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D96A13" w:rsidRPr="006F6B5F" w:rsidP="005B74F9" w14:paraId="4D28C846" w14:textId="6EDE731E">
      <w:pPr>
        <w:spacing w:line="240" w:lineRule="auto"/>
        <w:rPr>
          <w:rStyle w:val="PageNumber"/>
          <w:rFonts w:ascii="Times New Roman" w:hAnsi="Times New Roman"/>
          <w:sz w:val="20"/>
        </w:rPr>
      </w:pPr>
      <w:r>
        <w:rPr>
          <w:rStyle w:val="PageNumber"/>
          <w:rFonts w:ascii="Times New Roman" w:hAnsi="Times New Roman"/>
          <w:sz w:val="20"/>
        </w:rPr>
        <w:t>Filed 5</w:t>
      </w:r>
      <w:r w:rsidR="004006A4">
        <w:rPr>
          <w:rStyle w:val="PageNumber"/>
          <w:rFonts w:ascii="Times New Roman" w:hAnsi="Times New Roman"/>
          <w:sz w:val="20"/>
        </w:rPr>
        <w:t>/</w:t>
      </w:r>
      <w:r>
        <w:rPr>
          <w:rStyle w:val="PageNumber"/>
          <w:rFonts w:ascii="Times New Roman" w:hAnsi="Times New Roman"/>
          <w:sz w:val="20"/>
        </w:rPr>
        <w:t>2</w:t>
      </w:r>
      <w:r w:rsidR="004006A4">
        <w:rPr>
          <w:rStyle w:val="PageNumber"/>
          <w:rFonts w:ascii="Times New Roman" w:hAnsi="Times New Roman"/>
          <w:sz w:val="20"/>
        </w:rPr>
        <w:t>/</w:t>
      </w:r>
      <w:r>
        <w:rPr>
          <w:rStyle w:val="PageNumber"/>
          <w:rFonts w:ascii="Times New Roman" w:hAnsi="Times New Roman"/>
          <w:sz w:val="20"/>
        </w:rPr>
        <w:t>24</w:t>
      </w:r>
    </w:p>
    <w:p w:rsidR="001B09C0" w:rsidRPr="00757C79" w:rsidP="00A1045B" w14:paraId="348B94A7" w14:textId="577FC1A3">
      <w:pPr>
        <w:spacing w:line="240" w:lineRule="auto"/>
        <w:jc w:val="center"/>
        <w:rPr>
          <w:rStyle w:val="PageNumber"/>
          <w:rFonts w:ascii="Century Schoolbook" w:hAnsi="Century Schoolbook"/>
          <w:sz w:val="26"/>
          <w:szCs w:val="26"/>
        </w:rPr>
      </w:pPr>
      <w:r w:rsidRPr="00757C79">
        <w:rPr>
          <w:rStyle w:val="PageNumber"/>
          <w:rFonts w:ascii="Century Schoolbook" w:hAnsi="Century Schoolbook"/>
          <w:sz w:val="26"/>
          <w:szCs w:val="26"/>
        </w:rPr>
        <w:t>CERTIFIED FOR PUBLICATION</w:t>
      </w:r>
    </w:p>
    <w:p w:rsidR="001B09C0" w:rsidP="005B74F9" w14:paraId="08DD409B" w14:textId="77777777">
      <w:pPr>
        <w:spacing w:line="240" w:lineRule="auto"/>
        <w:jc w:val="center"/>
        <w:rPr>
          <w:rStyle w:val="PageNumber"/>
          <w:rFonts w:ascii="Century Schoolbook" w:hAnsi="Century Schoolbook"/>
          <w:sz w:val="26"/>
          <w:szCs w:val="26"/>
        </w:rPr>
      </w:pPr>
    </w:p>
    <w:p w:rsidR="005B74F9" w:rsidRPr="005B74F9" w:rsidP="005B74F9" w14:paraId="1B532E32" w14:textId="7ECC90D5">
      <w:pPr>
        <w:spacing w:line="240" w:lineRule="auto"/>
        <w:jc w:val="center"/>
        <w:rPr>
          <w:rStyle w:val="PageNumber"/>
          <w:rFonts w:ascii="Century Schoolbook" w:hAnsi="Century Schoolbook"/>
          <w:sz w:val="26"/>
          <w:szCs w:val="26"/>
        </w:rPr>
      </w:pPr>
      <w:r w:rsidRPr="005B74F9">
        <w:rPr>
          <w:rStyle w:val="PageNumber"/>
          <w:rFonts w:ascii="Century Schoolbook" w:hAnsi="Century Schoolbook"/>
          <w:sz w:val="26"/>
          <w:szCs w:val="26"/>
        </w:rPr>
        <w:t>IN THE COURT OF APPEAL OF THE STATE OF CALIFORNIA</w:t>
      </w:r>
    </w:p>
    <w:p w:rsidR="005B74F9" w:rsidRPr="005B74F9" w:rsidP="005B74F9" w14:paraId="611FEC49" w14:textId="77777777">
      <w:pPr>
        <w:spacing w:line="240" w:lineRule="auto"/>
        <w:jc w:val="center"/>
        <w:rPr>
          <w:rStyle w:val="PageNumber"/>
          <w:rFonts w:ascii="Century Schoolbook" w:hAnsi="Century Schoolbook"/>
          <w:sz w:val="26"/>
          <w:szCs w:val="26"/>
        </w:rPr>
      </w:pPr>
    </w:p>
    <w:p w:rsidR="005B74F9" w:rsidRPr="005B74F9" w:rsidP="005B74F9" w14:paraId="20B8883C" w14:textId="77777777">
      <w:pPr>
        <w:spacing w:line="240" w:lineRule="auto"/>
        <w:jc w:val="center"/>
        <w:rPr>
          <w:rStyle w:val="PageNumber"/>
          <w:rFonts w:ascii="Century Schoolbook" w:hAnsi="Century Schoolbook"/>
          <w:sz w:val="26"/>
          <w:szCs w:val="26"/>
        </w:rPr>
      </w:pPr>
      <w:r w:rsidRPr="005B74F9">
        <w:rPr>
          <w:rStyle w:val="PageNumber"/>
          <w:rFonts w:ascii="Century Schoolbook" w:hAnsi="Century Schoolbook"/>
          <w:sz w:val="26"/>
          <w:szCs w:val="26"/>
        </w:rPr>
        <w:t>SECOND APPELLATE DISTRICT</w:t>
      </w:r>
    </w:p>
    <w:p w:rsidR="005B74F9" w:rsidRPr="005B74F9" w:rsidP="005B74F9" w14:paraId="624F25DC" w14:textId="77777777">
      <w:pPr>
        <w:spacing w:line="240" w:lineRule="auto"/>
        <w:jc w:val="center"/>
        <w:rPr>
          <w:rStyle w:val="PageNumber"/>
          <w:rFonts w:ascii="Century Schoolbook" w:hAnsi="Century Schoolbook"/>
          <w:sz w:val="26"/>
          <w:szCs w:val="26"/>
        </w:rPr>
      </w:pPr>
    </w:p>
    <w:p w:rsidR="005B74F9" w:rsidRPr="005B74F9" w:rsidP="005B74F9" w14:paraId="116C4E61" w14:textId="77777777">
      <w:pPr>
        <w:spacing w:line="240" w:lineRule="auto"/>
        <w:jc w:val="center"/>
        <w:rPr>
          <w:rStyle w:val="PageNumber"/>
          <w:rFonts w:ascii="Century Schoolbook" w:hAnsi="Century Schoolbook"/>
          <w:sz w:val="26"/>
          <w:szCs w:val="26"/>
        </w:rPr>
      </w:pPr>
      <w:r w:rsidRPr="005B74F9">
        <w:rPr>
          <w:rStyle w:val="PageNumber"/>
          <w:rFonts w:ascii="Century Schoolbook" w:hAnsi="Century Schoolbook"/>
          <w:sz w:val="26"/>
          <w:szCs w:val="26"/>
        </w:rPr>
        <w:t>DIVISION SIX</w:t>
      </w:r>
    </w:p>
    <w:p w:rsidR="005B74F9" w:rsidRPr="005B74F9" w:rsidP="005B74F9" w14:paraId="03079078" w14:textId="77777777">
      <w:pPr>
        <w:spacing w:line="240" w:lineRule="auto"/>
        <w:jc w:val="center"/>
        <w:rPr>
          <w:rStyle w:val="PageNumber"/>
          <w:rFonts w:ascii="Century Schoolbook" w:hAnsi="Century Schoolbook"/>
          <w:sz w:val="26"/>
          <w:szCs w:val="26"/>
        </w:rPr>
      </w:pPr>
    </w:p>
    <w:p w:rsidR="005B74F9" w:rsidRPr="005B74F9" w:rsidP="005B74F9" w14:paraId="543E0C08" w14:textId="77777777">
      <w:pPr>
        <w:spacing w:line="240" w:lineRule="auto"/>
        <w:jc w:val="center"/>
        <w:rPr>
          <w:rStyle w:val="PageNumber"/>
          <w:rFonts w:ascii="Century Schoolbook" w:hAnsi="Century Schoolbook"/>
          <w:sz w:val="26"/>
          <w:szCs w:val="26"/>
        </w:rPr>
      </w:pPr>
    </w:p>
    <w:tbl>
      <w:tblPr>
        <w:tblW w:w="8136" w:type="dxa"/>
        <w:tblLayout w:type="fixed"/>
        <w:tblLook w:val="04A0"/>
      </w:tblPr>
      <w:tblGrid>
        <w:gridCol w:w="4068"/>
        <w:gridCol w:w="4068"/>
      </w:tblGrid>
      <w:tr w14:paraId="59A89069" w14:textId="77777777" w:rsidTr="00C0421D">
        <w:tblPrEx>
          <w:tblW w:w="8136" w:type="dxa"/>
          <w:tblLayout w:type="fixed"/>
          <w:tblLook w:val="04A0"/>
        </w:tblPrEx>
        <w:tc>
          <w:tcPr>
            <w:tcW w:w="4068" w:type="dxa"/>
            <w:tcBorders>
              <w:top w:val="nil"/>
              <w:left w:val="nil"/>
              <w:bottom w:val="single" w:sz="4" w:space="0" w:color="auto"/>
              <w:right w:val="single" w:sz="4" w:space="0" w:color="auto"/>
            </w:tcBorders>
          </w:tcPr>
          <w:p w:rsidR="005B74F9" w:rsidRPr="005B74F9" w14:paraId="6B6070D6" w14:textId="1626B2F5">
            <w:pPr>
              <w:spacing w:line="240" w:lineRule="auto"/>
              <w:rPr>
                <w:rStyle w:val="PageNumber"/>
                <w:rFonts w:ascii="Century Schoolbook" w:hAnsi="Century Schoolbook"/>
                <w:sz w:val="26"/>
                <w:szCs w:val="26"/>
              </w:rPr>
            </w:pPr>
            <w:r>
              <w:rPr>
                <w:rStyle w:val="PageNumber"/>
                <w:rFonts w:ascii="Century Schoolbook" w:hAnsi="Century Schoolbook"/>
                <w:sz w:val="26"/>
                <w:szCs w:val="26"/>
              </w:rPr>
              <w:t xml:space="preserve">THE </w:t>
            </w:r>
            <w:r w:rsidR="00D755ED">
              <w:rPr>
                <w:rStyle w:val="PageNumber"/>
                <w:rFonts w:ascii="Century Schoolbook" w:hAnsi="Century Schoolbook"/>
                <w:sz w:val="26"/>
                <w:szCs w:val="26"/>
              </w:rPr>
              <w:t>PEOPLE,</w:t>
            </w:r>
          </w:p>
          <w:p w:rsidR="005B74F9" w:rsidRPr="005B74F9" w14:paraId="6DD5C218" w14:textId="77777777">
            <w:pPr>
              <w:spacing w:line="240" w:lineRule="auto"/>
              <w:rPr>
                <w:rStyle w:val="PageNumber"/>
                <w:rFonts w:ascii="Century Schoolbook" w:hAnsi="Century Schoolbook"/>
                <w:sz w:val="26"/>
                <w:szCs w:val="26"/>
              </w:rPr>
            </w:pPr>
          </w:p>
          <w:p w:rsidR="005B74F9" w:rsidRPr="005B74F9" w14:paraId="3C83F267" w14:textId="01F69538">
            <w:pPr>
              <w:spacing w:line="240" w:lineRule="auto"/>
              <w:rPr>
                <w:rStyle w:val="PageNumber"/>
                <w:rFonts w:ascii="Century Schoolbook" w:hAnsi="Century Schoolbook"/>
                <w:sz w:val="26"/>
                <w:szCs w:val="26"/>
              </w:rPr>
            </w:pPr>
            <w:r w:rsidRPr="005B74F9">
              <w:rPr>
                <w:rStyle w:val="PageNumber"/>
                <w:rFonts w:ascii="Century Schoolbook" w:hAnsi="Century Schoolbook"/>
                <w:sz w:val="26"/>
                <w:szCs w:val="26"/>
              </w:rPr>
              <w:t xml:space="preserve">    Plaintiff and </w:t>
            </w:r>
            <w:r w:rsidR="007A4CDA">
              <w:rPr>
                <w:rStyle w:val="PageNumber"/>
                <w:rFonts w:ascii="Century Schoolbook" w:hAnsi="Century Schoolbook"/>
                <w:sz w:val="26"/>
                <w:szCs w:val="26"/>
              </w:rPr>
              <w:t>Appellant</w:t>
            </w:r>
            <w:r w:rsidRPr="005B74F9">
              <w:rPr>
                <w:rStyle w:val="PageNumber"/>
                <w:rFonts w:ascii="Century Schoolbook" w:hAnsi="Century Schoolbook"/>
                <w:sz w:val="26"/>
                <w:szCs w:val="26"/>
              </w:rPr>
              <w:t>,</w:t>
            </w:r>
          </w:p>
          <w:p w:rsidR="005B74F9" w:rsidRPr="005B74F9" w14:paraId="2CF7319C" w14:textId="77777777">
            <w:pPr>
              <w:spacing w:line="240" w:lineRule="auto"/>
              <w:rPr>
                <w:rStyle w:val="PageNumber"/>
                <w:rFonts w:ascii="Century Schoolbook" w:hAnsi="Century Schoolbook"/>
                <w:sz w:val="26"/>
                <w:szCs w:val="26"/>
              </w:rPr>
            </w:pPr>
          </w:p>
          <w:p w:rsidR="005B74F9" w:rsidRPr="005B74F9" w14:paraId="2236FF7F" w14:textId="77777777">
            <w:pPr>
              <w:spacing w:line="240" w:lineRule="auto"/>
              <w:rPr>
                <w:rStyle w:val="PageNumber"/>
                <w:rFonts w:ascii="Century Schoolbook" w:hAnsi="Century Schoolbook"/>
                <w:sz w:val="26"/>
                <w:szCs w:val="26"/>
              </w:rPr>
            </w:pPr>
            <w:r w:rsidRPr="005B74F9">
              <w:rPr>
                <w:rStyle w:val="PageNumber"/>
                <w:rFonts w:ascii="Century Schoolbook" w:hAnsi="Century Schoolbook"/>
                <w:sz w:val="26"/>
                <w:szCs w:val="26"/>
              </w:rPr>
              <w:t>v.</w:t>
            </w:r>
          </w:p>
          <w:p w:rsidR="005B74F9" w:rsidRPr="005B74F9" w14:paraId="32F46C1A" w14:textId="77777777">
            <w:pPr>
              <w:spacing w:line="240" w:lineRule="auto"/>
              <w:rPr>
                <w:rStyle w:val="PageNumber"/>
                <w:rFonts w:ascii="Century Schoolbook" w:hAnsi="Century Schoolbook"/>
                <w:sz w:val="26"/>
                <w:szCs w:val="26"/>
              </w:rPr>
            </w:pPr>
          </w:p>
          <w:p w:rsidR="005B74F9" w:rsidRPr="005B74F9" w14:paraId="65E3E76D" w14:textId="54014EBF">
            <w:pPr>
              <w:spacing w:line="240" w:lineRule="auto"/>
              <w:rPr>
                <w:rStyle w:val="PageNumber"/>
                <w:rFonts w:ascii="Century Schoolbook" w:hAnsi="Century Schoolbook"/>
                <w:sz w:val="26"/>
                <w:szCs w:val="26"/>
              </w:rPr>
            </w:pPr>
            <w:r>
              <w:rPr>
                <w:rStyle w:val="PageNumber"/>
                <w:rFonts w:ascii="Century Schoolbook" w:hAnsi="Century Schoolbook"/>
                <w:sz w:val="26"/>
                <w:szCs w:val="26"/>
              </w:rPr>
              <w:t>PLAINS ALL AMERICAN PIPELINE, L.P.</w:t>
            </w:r>
            <w:r w:rsidRPr="005B74F9">
              <w:rPr>
                <w:rStyle w:val="PageNumber"/>
                <w:rFonts w:ascii="Century Schoolbook" w:hAnsi="Century Schoolbook"/>
                <w:sz w:val="26"/>
                <w:szCs w:val="26"/>
              </w:rPr>
              <w:t>,</w:t>
            </w:r>
          </w:p>
          <w:p w:rsidR="005B74F9" w:rsidRPr="005B74F9" w14:paraId="73323376" w14:textId="77777777">
            <w:pPr>
              <w:spacing w:line="240" w:lineRule="auto"/>
              <w:rPr>
                <w:rStyle w:val="PageNumber"/>
                <w:rFonts w:ascii="Century Schoolbook" w:hAnsi="Century Schoolbook"/>
                <w:sz w:val="26"/>
                <w:szCs w:val="26"/>
              </w:rPr>
            </w:pPr>
          </w:p>
          <w:p w:rsidR="005B74F9" w:rsidRPr="005B74F9" w14:paraId="67ED212A" w14:textId="6D05032B">
            <w:pPr>
              <w:spacing w:line="240" w:lineRule="auto"/>
              <w:rPr>
                <w:rStyle w:val="PageNumber"/>
                <w:rFonts w:ascii="Century Schoolbook" w:hAnsi="Century Schoolbook"/>
                <w:sz w:val="26"/>
                <w:szCs w:val="26"/>
              </w:rPr>
            </w:pPr>
            <w:r w:rsidRPr="005B74F9">
              <w:rPr>
                <w:rStyle w:val="PageNumber"/>
                <w:rFonts w:ascii="Century Schoolbook" w:hAnsi="Century Schoolbook"/>
                <w:sz w:val="26"/>
                <w:szCs w:val="26"/>
              </w:rPr>
              <w:t xml:space="preserve">    Defendant and </w:t>
            </w:r>
            <w:r w:rsidR="007A4CDA">
              <w:rPr>
                <w:rStyle w:val="PageNumber"/>
                <w:rFonts w:ascii="Century Schoolbook" w:hAnsi="Century Schoolbook"/>
                <w:sz w:val="26"/>
                <w:szCs w:val="26"/>
              </w:rPr>
              <w:t>Respondent</w:t>
            </w:r>
            <w:r w:rsidRPr="005B74F9">
              <w:rPr>
                <w:rStyle w:val="PageNumber"/>
                <w:rFonts w:ascii="Century Schoolbook" w:hAnsi="Century Schoolbook"/>
                <w:sz w:val="26"/>
                <w:szCs w:val="26"/>
              </w:rPr>
              <w:t>.</w:t>
            </w:r>
          </w:p>
          <w:p w:rsidR="005B74F9" w:rsidRPr="005B74F9" w14:paraId="0F1E264C" w14:textId="77777777">
            <w:pPr>
              <w:spacing w:line="240" w:lineRule="auto"/>
              <w:rPr>
                <w:rStyle w:val="PageNumber"/>
                <w:rFonts w:ascii="Century Schoolbook" w:hAnsi="Century Schoolbook"/>
                <w:sz w:val="26"/>
                <w:szCs w:val="26"/>
              </w:rPr>
            </w:pPr>
          </w:p>
        </w:tc>
        <w:tc>
          <w:tcPr>
            <w:tcW w:w="4068" w:type="dxa"/>
            <w:tcBorders>
              <w:top w:val="nil"/>
              <w:left w:val="single" w:sz="4" w:space="0" w:color="auto"/>
              <w:bottom w:val="nil"/>
              <w:right w:val="nil"/>
            </w:tcBorders>
          </w:tcPr>
          <w:p w:rsidR="00380EBC" w:rsidP="00DC69F2" w14:paraId="45D9C036" w14:textId="65916C83">
            <w:pPr>
              <w:spacing w:line="240" w:lineRule="auto"/>
              <w:jc w:val="center"/>
              <w:rPr>
                <w:rStyle w:val="PageNumber"/>
                <w:rFonts w:ascii="Century Schoolbook" w:hAnsi="Century Schoolbook"/>
                <w:sz w:val="26"/>
                <w:szCs w:val="26"/>
              </w:rPr>
            </w:pPr>
            <w:r>
              <w:rPr>
                <w:rStyle w:val="PageNumber"/>
                <w:rFonts w:ascii="Century Schoolbook" w:hAnsi="Century Schoolbook"/>
                <w:sz w:val="26"/>
                <w:szCs w:val="26"/>
              </w:rPr>
              <w:t>2d Crim No</w:t>
            </w:r>
            <w:r w:rsidR="00DC69F2">
              <w:rPr>
                <w:rStyle w:val="PageNumber"/>
                <w:rFonts w:ascii="Century Schoolbook" w:hAnsi="Century Schoolbook"/>
                <w:sz w:val="26"/>
                <w:szCs w:val="26"/>
              </w:rPr>
              <w:t>s</w:t>
            </w:r>
            <w:r>
              <w:rPr>
                <w:rStyle w:val="PageNumber"/>
                <w:rFonts w:ascii="Century Schoolbook" w:hAnsi="Century Schoolbook"/>
                <w:sz w:val="26"/>
                <w:szCs w:val="26"/>
              </w:rPr>
              <w:t xml:space="preserve">. </w:t>
            </w:r>
            <w:r w:rsidRPr="005B74F9" w:rsidR="005B74F9">
              <w:rPr>
                <w:rStyle w:val="PageNumber"/>
                <w:rFonts w:ascii="Century Schoolbook" w:hAnsi="Century Schoolbook"/>
                <w:sz w:val="26"/>
                <w:szCs w:val="26"/>
              </w:rPr>
              <w:t>B</w:t>
            </w:r>
            <w:r w:rsidR="007A4CDA">
              <w:rPr>
                <w:rStyle w:val="PageNumber"/>
                <w:rFonts w:ascii="Century Schoolbook" w:hAnsi="Century Schoolbook"/>
                <w:sz w:val="26"/>
                <w:szCs w:val="26"/>
              </w:rPr>
              <w:t>315256</w:t>
            </w:r>
            <w:r w:rsidR="00DC69F2">
              <w:rPr>
                <w:rStyle w:val="PageNumber"/>
                <w:rFonts w:ascii="Century Schoolbook" w:hAnsi="Century Schoolbook"/>
                <w:sz w:val="26"/>
                <w:szCs w:val="26"/>
              </w:rPr>
              <w:t xml:space="preserve">, </w:t>
            </w:r>
            <w:r>
              <w:rPr>
                <w:rStyle w:val="PageNumber"/>
                <w:rFonts w:ascii="Century Schoolbook" w:hAnsi="Century Schoolbook"/>
                <w:sz w:val="26"/>
                <w:szCs w:val="26"/>
              </w:rPr>
              <w:t>B316508</w:t>
            </w:r>
            <w:r w:rsidR="00945FD1">
              <w:rPr>
                <w:rStyle w:val="PageNumber"/>
                <w:rFonts w:ascii="Century Schoolbook" w:hAnsi="Century Schoolbook"/>
                <w:sz w:val="26"/>
                <w:szCs w:val="26"/>
              </w:rPr>
              <w:t>)</w:t>
            </w:r>
          </w:p>
          <w:p w:rsidR="005B74F9" w:rsidRPr="005B74F9" w14:paraId="00B7F162" w14:textId="10391620">
            <w:pPr>
              <w:spacing w:line="240" w:lineRule="auto"/>
              <w:jc w:val="center"/>
              <w:rPr>
                <w:rStyle w:val="PageNumber"/>
                <w:rFonts w:ascii="Century Schoolbook" w:hAnsi="Century Schoolbook"/>
                <w:sz w:val="26"/>
                <w:szCs w:val="26"/>
              </w:rPr>
            </w:pPr>
            <w:r w:rsidRPr="005B74F9">
              <w:rPr>
                <w:rStyle w:val="PageNumber"/>
                <w:rFonts w:ascii="Century Schoolbook" w:hAnsi="Century Schoolbook"/>
                <w:sz w:val="26"/>
                <w:szCs w:val="26"/>
              </w:rPr>
              <w:t>(Super. Ct. No.</w:t>
            </w:r>
            <w:r w:rsidR="007A4CDA">
              <w:rPr>
                <w:rStyle w:val="PageNumber"/>
                <w:rFonts w:ascii="Century Schoolbook" w:hAnsi="Century Schoolbook"/>
                <w:sz w:val="26"/>
                <w:szCs w:val="26"/>
              </w:rPr>
              <w:t xml:space="preserve"> 149</w:t>
            </w:r>
            <w:r w:rsidR="00E154DF">
              <w:rPr>
                <w:rStyle w:val="PageNumber"/>
                <w:rFonts w:ascii="Century Schoolbook" w:hAnsi="Century Schoolbook"/>
                <w:sz w:val="26"/>
                <w:szCs w:val="26"/>
              </w:rPr>
              <w:t>5091</w:t>
            </w:r>
            <w:r w:rsidRPr="005B74F9">
              <w:rPr>
                <w:rStyle w:val="PageNumber"/>
                <w:rFonts w:ascii="Century Schoolbook" w:hAnsi="Century Schoolbook"/>
                <w:sz w:val="26"/>
                <w:szCs w:val="26"/>
              </w:rPr>
              <w:t>)</w:t>
            </w:r>
          </w:p>
          <w:p w:rsidR="005B74F9" w:rsidRPr="005B74F9" w14:paraId="2BB3F972" w14:textId="06884E92">
            <w:pPr>
              <w:spacing w:line="240" w:lineRule="auto"/>
              <w:jc w:val="center"/>
              <w:rPr>
                <w:rStyle w:val="PageNumber"/>
                <w:rFonts w:ascii="Century Schoolbook" w:hAnsi="Century Schoolbook"/>
                <w:sz w:val="26"/>
                <w:szCs w:val="26"/>
              </w:rPr>
            </w:pPr>
            <w:r w:rsidRPr="005B74F9">
              <w:rPr>
                <w:rStyle w:val="PageNumber"/>
                <w:rFonts w:ascii="Century Schoolbook" w:hAnsi="Century Schoolbook"/>
                <w:sz w:val="26"/>
                <w:szCs w:val="26"/>
              </w:rPr>
              <w:t>(</w:t>
            </w:r>
            <w:r w:rsidR="00E154DF">
              <w:rPr>
                <w:rStyle w:val="PageNumber"/>
                <w:rFonts w:ascii="Century Schoolbook" w:hAnsi="Century Schoolbook"/>
                <w:sz w:val="26"/>
                <w:szCs w:val="26"/>
              </w:rPr>
              <w:t>Santa Barbara</w:t>
            </w:r>
            <w:r w:rsidRPr="005B74F9">
              <w:rPr>
                <w:rStyle w:val="PageNumber"/>
                <w:rFonts w:ascii="Century Schoolbook" w:hAnsi="Century Schoolbook"/>
                <w:sz w:val="26"/>
                <w:szCs w:val="26"/>
              </w:rPr>
              <w:t xml:space="preserve"> County)</w:t>
            </w:r>
          </w:p>
          <w:p w:rsidR="005B74F9" w:rsidRPr="005B74F9" w14:paraId="327550C6" w14:textId="77777777">
            <w:pPr>
              <w:spacing w:line="240" w:lineRule="auto"/>
              <w:jc w:val="center"/>
              <w:rPr>
                <w:rStyle w:val="PageNumber"/>
                <w:rFonts w:ascii="Century Schoolbook" w:hAnsi="Century Schoolbook"/>
                <w:sz w:val="26"/>
                <w:szCs w:val="26"/>
              </w:rPr>
            </w:pPr>
          </w:p>
        </w:tc>
      </w:tr>
      <w:tr w14:paraId="3DC607BE" w14:textId="77777777" w:rsidTr="00C0421D">
        <w:tblPrEx>
          <w:tblW w:w="8136" w:type="dxa"/>
          <w:tblLayout w:type="fixed"/>
          <w:tblLook w:val="04A0"/>
        </w:tblPrEx>
        <w:tc>
          <w:tcPr>
            <w:tcW w:w="4068" w:type="dxa"/>
            <w:tcBorders>
              <w:top w:val="nil"/>
              <w:left w:val="nil"/>
              <w:bottom w:val="single" w:sz="4" w:space="0" w:color="auto"/>
              <w:right w:val="single" w:sz="4" w:space="0" w:color="auto"/>
            </w:tcBorders>
            <w:shd w:val="clear" w:color="auto" w:fill="auto"/>
          </w:tcPr>
          <w:p w:rsidR="00DC69F2" w:rsidP="008C0478" w14:paraId="0A8CEB6E" w14:textId="77777777">
            <w:pPr>
              <w:spacing w:line="240" w:lineRule="auto"/>
              <w:rPr>
                <w:rStyle w:val="PageNumber"/>
                <w:rFonts w:ascii="Century Schoolbook" w:hAnsi="Century Schoolbook"/>
                <w:sz w:val="26"/>
                <w:szCs w:val="26"/>
              </w:rPr>
            </w:pPr>
          </w:p>
          <w:p w:rsidR="00C0421D" w:rsidRPr="00D80FA5" w:rsidP="008C0478" w14:paraId="2EF6C424" w14:textId="466E24F7">
            <w:pPr>
              <w:spacing w:line="240" w:lineRule="auto"/>
              <w:rPr>
                <w:rStyle w:val="PageNumber"/>
                <w:rFonts w:ascii="Century Schoolbook" w:hAnsi="Century Schoolbook"/>
                <w:sz w:val="26"/>
                <w:szCs w:val="26"/>
              </w:rPr>
            </w:pPr>
            <w:r w:rsidRPr="00D80FA5">
              <w:rPr>
                <w:rStyle w:val="PageNumber"/>
                <w:rFonts w:ascii="Century Schoolbook" w:hAnsi="Century Schoolbook"/>
                <w:sz w:val="26"/>
                <w:szCs w:val="26"/>
              </w:rPr>
              <w:t>VICTIM RESTITUTION CLAIMANTS,</w:t>
            </w:r>
          </w:p>
          <w:p w:rsidR="00C0421D" w:rsidRPr="00D80FA5" w:rsidP="008C0478" w14:paraId="4BCF76BD" w14:textId="77777777">
            <w:pPr>
              <w:spacing w:line="240" w:lineRule="auto"/>
              <w:rPr>
                <w:rStyle w:val="PageNumber"/>
                <w:rFonts w:ascii="Century Schoolbook" w:hAnsi="Century Schoolbook"/>
                <w:sz w:val="26"/>
                <w:szCs w:val="26"/>
              </w:rPr>
            </w:pPr>
          </w:p>
          <w:p w:rsidR="00C0421D" w:rsidRPr="00D80FA5" w:rsidP="008C0478" w14:paraId="710B0C72" w14:textId="77777777">
            <w:pPr>
              <w:spacing w:line="240" w:lineRule="auto"/>
              <w:rPr>
                <w:rStyle w:val="PageNumber"/>
                <w:rFonts w:ascii="Century Schoolbook" w:hAnsi="Century Schoolbook"/>
                <w:sz w:val="26"/>
                <w:szCs w:val="26"/>
              </w:rPr>
            </w:pPr>
            <w:r w:rsidRPr="00D80FA5">
              <w:rPr>
                <w:rStyle w:val="PageNumber"/>
                <w:rFonts w:ascii="Century Schoolbook" w:hAnsi="Century Schoolbook"/>
                <w:sz w:val="26"/>
                <w:szCs w:val="26"/>
              </w:rPr>
              <w:t xml:space="preserve">    Petitioners,</w:t>
            </w:r>
          </w:p>
          <w:p w:rsidR="00C0421D" w:rsidRPr="00D80FA5" w:rsidP="008C0478" w14:paraId="4FE95ECF" w14:textId="77777777">
            <w:pPr>
              <w:spacing w:line="240" w:lineRule="auto"/>
              <w:rPr>
                <w:rStyle w:val="PageNumber"/>
                <w:rFonts w:ascii="Century Schoolbook" w:hAnsi="Century Schoolbook"/>
                <w:sz w:val="26"/>
                <w:szCs w:val="26"/>
              </w:rPr>
            </w:pPr>
          </w:p>
          <w:p w:rsidR="00C0421D" w:rsidRPr="00D80FA5" w:rsidP="008C0478" w14:paraId="46E70C88" w14:textId="77777777">
            <w:pPr>
              <w:spacing w:line="240" w:lineRule="auto"/>
              <w:rPr>
                <w:rStyle w:val="PageNumber"/>
                <w:rFonts w:ascii="Century Schoolbook" w:hAnsi="Century Schoolbook"/>
                <w:sz w:val="26"/>
                <w:szCs w:val="26"/>
              </w:rPr>
            </w:pPr>
            <w:r w:rsidRPr="00D80FA5">
              <w:rPr>
                <w:rStyle w:val="PageNumber"/>
                <w:rFonts w:ascii="Century Schoolbook" w:hAnsi="Century Schoolbook"/>
                <w:sz w:val="26"/>
                <w:szCs w:val="26"/>
              </w:rPr>
              <w:t>v.</w:t>
            </w:r>
          </w:p>
          <w:p w:rsidR="00C0421D" w:rsidRPr="00D80FA5" w:rsidP="008C0478" w14:paraId="28D89560" w14:textId="77777777">
            <w:pPr>
              <w:spacing w:line="240" w:lineRule="auto"/>
              <w:rPr>
                <w:rStyle w:val="PageNumber"/>
                <w:rFonts w:ascii="Century Schoolbook" w:hAnsi="Century Schoolbook"/>
                <w:sz w:val="26"/>
                <w:szCs w:val="26"/>
              </w:rPr>
            </w:pPr>
          </w:p>
          <w:p w:rsidR="00C0421D" w:rsidRPr="00D80FA5" w:rsidP="008C0478" w14:paraId="17E740CB" w14:textId="77777777">
            <w:pPr>
              <w:spacing w:line="240" w:lineRule="auto"/>
              <w:rPr>
                <w:rStyle w:val="PageNumber"/>
                <w:rFonts w:ascii="Century Schoolbook" w:hAnsi="Century Schoolbook"/>
                <w:sz w:val="26"/>
                <w:szCs w:val="26"/>
              </w:rPr>
            </w:pPr>
            <w:r w:rsidRPr="00D80FA5">
              <w:rPr>
                <w:rStyle w:val="PageNumber"/>
                <w:rFonts w:ascii="Century Schoolbook" w:hAnsi="Century Schoolbook"/>
                <w:sz w:val="26"/>
                <w:szCs w:val="26"/>
              </w:rPr>
              <w:t xml:space="preserve">THE SUPERIOR COURT OF SANTA BARBARA COUNTY, </w:t>
            </w:r>
          </w:p>
          <w:p w:rsidR="00C0421D" w:rsidRPr="00D80FA5" w:rsidP="008C0478" w14:paraId="1DAD7913" w14:textId="77777777">
            <w:pPr>
              <w:spacing w:line="240" w:lineRule="auto"/>
              <w:rPr>
                <w:rStyle w:val="PageNumber"/>
                <w:rFonts w:ascii="Century Schoolbook" w:hAnsi="Century Schoolbook"/>
                <w:sz w:val="26"/>
                <w:szCs w:val="26"/>
              </w:rPr>
            </w:pPr>
          </w:p>
          <w:p w:rsidR="00C0421D" w:rsidRPr="00D80FA5" w:rsidP="008C0478" w14:paraId="230A92C3" w14:textId="77777777">
            <w:pPr>
              <w:spacing w:line="240" w:lineRule="auto"/>
              <w:rPr>
                <w:rStyle w:val="PageNumber"/>
                <w:rFonts w:ascii="Century Schoolbook" w:hAnsi="Century Schoolbook"/>
                <w:sz w:val="26"/>
                <w:szCs w:val="26"/>
              </w:rPr>
            </w:pPr>
            <w:r w:rsidRPr="00D80FA5">
              <w:rPr>
                <w:rStyle w:val="PageNumber"/>
                <w:rFonts w:ascii="Century Schoolbook" w:hAnsi="Century Schoolbook"/>
                <w:sz w:val="26"/>
                <w:szCs w:val="26"/>
              </w:rPr>
              <w:t xml:space="preserve">    Respondent;</w:t>
            </w:r>
          </w:p>
          <w:p w:rsidR="00C0421D" w:rsidRPr="00D80FA5" w:rsidP="008C0478" w14:paraId="67AD19E8" w14:textId="77777777">
            <w:pPr>
              <w:spacing w:line="240" w:lineRule="auto"/>
              <w:rPr>
                <w:rStyle w:val="PageNumber"/>
                <w:rFonts w:ascii="Century Schoolbook" w:hAnsi="Century Schoolbook"/>
                <w:sz w:val="26"/>
                <w:szCs w:val="26"/>
              </w:rPr>
            </w:pPr>
          </w:p>
          <w:p w:rsidR="00C0421D" w:rsidRPr="00D80FA5" w:rsidP="008C0478" w14:paraId="76C7B5AA" w14:textId="5AA78045">
            <w:pPr>
              <w:spacing w:line="240" w:lineRule="auto"/>
              <w:rPr>
                <w:rStyle w:val="PageNumber"/>
                <w:rFonts w:ascii="Century Schoolbook" w:hAnsi="Century Schoolbook"/>
                <w:sz w:val="26"/>
                <w:szCs w:val="26"/>
              </w:rPr>
            </w:pPr>
            <w:r>
              <w:rPr>
                <w:rStyle w:val="PageNumber"/>
                <w:rFonts w:ascii="Century Schoolbook" w:hAnsi="Century Schoolbook"/>
                <w:sz w:val="26"/>
                <w:szCs w:val="26"/>
              </w:rPr>
              <w:t>PLAINS ALL AMERICAN PIPELINE, L.P.</w:t>
            </w:r>
            <w:r w:rsidRPr="00D80FA5">
              <w:rPr>
                <w:rStyle w:val="PageNumber"/>
                <w:rFonts w:ascii="Century Schoolbook" w:hAnsi="Century Schoolbook"/>
                <w:sz w:val="26"/>
                <w:szCs w:val="26"/>
              </w:rPr>
              <w:t>,</w:t>
            </w:r>
            <w:r w:rsidR="00A65423">
              <w:rPr>
                <w:rStyle w:val="PageNumber"/>
                <w:rFonts w:ascii="Century Schoolbook" w:hAnsi="Century Schoolbook"/>
                <w:sz w:val="26"/>
                <w:szCs w:val="26"/>
              </w:rPr>
              <w:t xml:space="preserve"> et al.</w:t>
            </w:r>
            <w:r w:rsidR="000A25CD">
              <w:rPr>
                <w:rStyle w:val="PageNumber"/>
                <w:rFonts w:ascii="Century Schoolbook" w:hAnsi="Century Schoolbook"/>
                <w:sz w:val="26"/>
                <w:szCs w:val="26"/>
              </w:rPr>
              <w:t>,</w:t>
            </w:r>
          </w:p>
          <w:p w:rsidR="00C0421D" w:rsidRPr="00D80FA5" w:rsidP="008C0478" w14:paraId="66913989" w14:textId="77777777">
            <w:pPr>
              <w:spacing w:line="240" w:lineRule="auto"/>
              <w:rPr>
                <w:rStyle w:val="PageNumber"/>
                <w:rFonts w:ascii="Century Schoolbook" w:hAnsi="Century Schoolbook"/>
                <w:sz w:val="26"/>
                <w:szCs w:val="26"/>
              </w:rPr>
            </w:pPr>
          </w:p>
          <w:p w:rsidR="00C0421D" w:rsidRPr="00D80FA5" w:rsidP="008C0478" w14:paraId="6C59237E" w14:textId="77777777">
            <w:pPr>
              <w:spacing w:line="240" w:lineRule="auto"/>
              <w:rPr>
                <w:rStyle w:val="PageNumber"/>
                <w:rFonts w:ascii="Century Schoolbook" w:hAnsi="Century Schoolbook"/>
                <w:sz w:val="26"/>
                <w:szCs w:val="26"/>
              </w:rPr>
            </w:pPr>
            <w:r w:rsidRPr="00D80FA5">
              <w:rPr>
                <w:rStyle w:val="PageNumber"/>
                <w:rFonts w:ascii="Century Schoolbook" w:hAnsi="Century Schoolbook"/>
                <w:sz w:val="26"/>
                <w:szCs w:val="26"/>
              </w:rPr>
              <w:t xml:space="preserve">    Real Parties in Interest.</w:t>
            </w:r>
          </w:p>
          <w:p w:rsidR="00C0421D" w:rsidRPr="00D80FA5" w:rsidP="008C0478" w14:paraId="32B39A1A" w14:textId="77777777">
            <w:pPr>
              <w:spacing w:line="240" w:lineRule="auto"/>
              <w:rPr>
                <w:rStyle w:val="PageNumber"/>
                <w:rFonts w:ascii="Century Schoolbook" w:hAnsi="Century Schoolbook"/>
                <w:sz w:val="26"/>
                <w:szCs w:val="26"/>
              </w:rPr>
            </w:pPr>
          </w:p>
        </w:tc>
        <w:tc>
          <w:tcPr>
            <w:tcW w:w="4068" w:type="dxa"/>
            <w:tcBorders>
              <w:top w:val="nil"/>
              <w:left w:val="single" w:sz="4" w:space="0" w:color="auto"/>
              <w:bottom w:val="nil"/>
              <w:right w:val="nil"/>
            </w:tcBorders>
            <w:shd w:val="clear" w:color="auto" w:fill="auto"/>
          </w:tcPr>
          <w:p w:rsidR="00C0421D" w:rsidRPr="00D80FA5" w:rsidP="008C0478" w14:paraId="2F2B9EB4" w14:textId="6D17731A">
            <w:pPr>
              <w:spacing w:line="240" w:lineRule="auto"/>
              <w:jc w:val="center"/>
              <w:rPr>
                <w:rStyle w:val="PageNumber"/>
                <w:rFonts w:ascii="Century Schoolbook" w:hAnsi="Century Schoolbook"/>
                <w:sz w:val="26"/>
                <w:szCs w:val="26"/>
              </w:rPr>
            </w:pPr>
            <w:r>
              <w:rPr>
                <w:rStyle w:val="PageNumber"/>
                <w:rFonts w:ascii="Century Schoolbook" w:hAnsi="Century Schoolbook"/>
                <w:sz w:val="26"/>
                <w:szCs w:val="26"/>
              </w:rPr>
              <w:t xml:space="preserve">2d Crim. No. </w:t>
            </w:r>
            <w:r w:rsidRPr="00D80FA5">
              <w:rPr>
                <w:rStyle w:val="PageNumber"/>
                <w:rFonts w:ascii="Century Schoolbook" w:hAnsi="Century Schoolbook"/>
                <w:sz w:val="26"/>
                <w:szCs w:val="26"/>
              </w:rPr>
              <w:t>B317229</w:t>
            </w:r>
          </w:p>
          <w:p w:rsidR="00C0421D" w:rsidRPr="00D80FA5" w:rsidP="008C0478" w14:paraId="37742F44" w14:textId="77777777">
            <w:pPr>
              <w:spacing w:line="240" w:lineRule="auto"/>
              <w:jc w:val="center"/>
              <w:rPr>
                <w:rStyle w:val="PageNumber"/>
                <w:rFonts w:ascii="Century Schoolbook" w:hAnsi="Century Schoolbook"/>
                <w:sz w:val="26"/>
                <w:szCs w:val="26"/>
              </w:rPr>
            </w:pPr>
            <w:r w:rsidRPr="00D80FA5">
              <w:rPr>
                <w:rStyle w:val="PageNumber"/>
                <w:rFonts w:ascii="Century Schoolbook" w:hAnsi="Century Schoolbook"/>
                <w:sz w:val="26"/>
                <w:szCs w:val="26"/>
              </w:rPr>
              <w:t>(Super. Ct. No. 1495091)</w:t>
            </w:r>
          </w:p>
          <w:p w:rsidR="00C0421D" w:rsidRPr="00D80FA5" w:rsidP="008C0478" w14:paraId="7F460F4D" w14:textId="77777777">
            <w:pPr>
              <w:spacing w:line="240" w:lineRule="auto"/>
              <w:jc w:val="center"/>
              <w:rPr>
                <w:rStyle w:val="PageNumber"/>
                <w:rFonts w:ascii="Century Schoolbook" w:hAnsi="Century Schoolbook"/>
                <w:sz w:val="26"/>
                <w:szCs w:val="26"/>
              </w:rPr>
            </w:pPr>
            <w:r w:rsidRPr="00D80FA5">
              <w:rPr>
                <w:rStyle w:val="PageNumber"/>
                <w:rFonts w:ascii="Century Schoolbook" w:hAnsi="Century Schoolbook"/>
                <w:sz w:val="26"/>
                <w:szCs w:val="26"/>
              </w:rPr>
              <w:t>(Santa Barbara County)</w:t>
            </w:r>
          </w:p>
        </w:tc>
      </w:tr>
    </w:tbl>
    <w:p w:rsidR="00DC69F2" w:rsidP="005B74F9" w14:paraId="748CA4C0" w14:textId="77777777">
      <w:pPr>
        <w:tabs>
          <w:tab w:val="left" w:pos="1440"/>
          <w:tab w:val="left" w:pos="2880"/>
          <w:tab w:val="left" w:pos="4320"/>
          <w:tab w:val="left" w:pos="5760"/>
          <w:tab w:val="left" w:pos="7200"/>
        </w:tabs>
        <w:spacing w:line="360" w:lineRule="auto"/>
        <w:rPr>
          <w:rStyle w:val="PageNumber"/>
          <w:rFonts w:ascii="Century Schoolbook" w:hAnsi="Century Schoolbook"/>
          <w:sz w:val="26"/>
          <w:szCs w:val="26"/>
        </w:rPr>
        <w:sectPr w:rsidSect="00181680">
          <w:footerReference w:type="default" r:id="rId6"/>
          <w:pgSz w:w="12240" w:h="15840"/>
          <w:pgMar w:top="1728" w:right="2160" w:bottom="1440" w:left="2160" w:header="720" w:footer="720" w:gutter="0"/>
          <w:cols w:space="720"/>
          <w:titlePg/>
          <w:docGrid w:linePitch="354"/>
        </w:sectPr>
      </w:pPr>
    </w:p>
    <w:p w:rsidR="00C22949" w:rsidRPr="00BB3BDA" w:rsidP="00C22949" w14:paraId="3B5D2E27" w14:textId="19803EDA">
      <w:pPr>
        <w:rPr>
          <w:rFonts w:ascii="Century Schoolbook" w:hAnsi="Century Schoolbook"/>
        </w:rPr>
      </w:pPr>
      <w:r w:rsidRPr="00C46A47">
        <w:rPr>
          <w:rStyle w:val="PageNumber"/>
          <w:rFonts w:ascii="Century Schoolbook" w:hAnsi="Century Schoolbook"/>
          <w:sz w:val="26"/>
          <w:szCs w:val="26"/>
        </w:rPr>
        <w:tab/>
      </w:r>
      <w:bookmarkStart w:id="0" w:name="_Hlk152673901"/>
      <w:r w:rsidRPr="00BB3BDA">
        <w:rPr>
          <w:rFonts w:ascii="Century Schoolbook" w:hAnsi="Century Schoolbook"/>
        </w:rPr>
        <w:t xml:space="preserve">Environmental crimes have far-reaching </w:t>
      </w:r>
      <w:r w:rsidR="00C33D1A">
        <w:rPr>
          <w:rFonts w:ascii="Century Schoolbook" w:hAnsi="Century Schoolbook"/>
        </w:rPr>
        <w:t>impacts</w:t>
      </w:r>
      <w:r w:rsidRPr="00BB3BDA">
        <w:rPr>
          <w:rFonts w:ascii="Century Schoolbook" w:hAnsi="Century Schoolbook"/>
        </w:rPr>
        <w:t xml:space="preserve"> on the community</w:t>
      </w:r>
      <w:r w:rsidR="00327552">
        <w:rPr>
          <w:rFonts w:ascii="Century Schoolbook" w:hAnsi="Century Schoolbook"/>
        </w:rPr>
        <w:t xml:space="preserve"> and </w:t>
      </w:r>
      <w:r w:rsidRPr="00BB3BDA">
        <w:rPr>
          <w:rFonts w:ascii="Century Schoolbook" w:hAnsi="Century Schoolbook"/>
        </w:rPr>
        <w:t xml:space="preserve">can result in complex restitution determinations. </w:t>
      </w:r>
      <w:r w:rsidR="003A3CB1">
        <w:rPr>
          <w:rFonts w:ascii="Century Schoolbook" w:hAnsi="Century Schoolbook"/>
        </w:rPr>
        <w:t xml:space="preserve"> Here we hold r</w:t>
      </w:r>
      <w:r w:rsidRPr="003A3CB1" w:rsidR="003A3CB1">
        <w:rPr>
          <w:rFonts w:ascii="Century Schoolbook" w:hAnsi="Century Schoolbook"/>
        </w:rPr>
        <w:t>estitution cannot be denied based on mediated civil settlements or a class action lawsuit</w:t>
      </w:r>
      <w:r w:rsidR="003A3CB1">
        <w:rPr>
          <w:rFonts w:ascii="Century Schoolbook" w:hAnsi="Century Schoolbook"/>
        </w:rPr>
        <w:t>, and that persons</w:t>
      </w:r>
      <w:r w:rsidRPr="003A3CB1" w:rsidR="003A3CB1">
        <w:rPr>
          <w:rFonts w:ascii="Century Schoolbook" w:hAnsi="Century Schoolbook"/>
        </w:rPr>
        <w:t xml:space="preserve"> seeking restitution have the right to make oral impact statements to the court.</w:t>
      </w:r>
      <w:r w:rsidR="003A3CB1">
        <w:rPr>
          <w:rFonts w:ascii="Century Schoolbook" w:hAnsi="Century Schoolbook"/>
        </w:rPr>
        <w:t xml:space="preserve">  Nevertheless, we conclude </w:t>
      </w:r>
      <w:r w:rsidR="00B611CF">
        <w:rPr>
          <w:rFonts w:ascii="Century Schoolbook" w:hAnsi="Century Schoolbook"/>
        </w:rPr>
        <w:t>the trial court properly</w:t>
      </w:r>
      <w:r w:rsidR="004E51D9">
        <w:rPr>
          <w:rFonts w:ascii="Century Schoolbook" w:hAnsi="Century Schoolbook"/>
        </w:rPr>
        <w:t xml:space="preserve"> denied restitution to </w:t>
      </w:r>
      <w:r w:rsidR="003A3CB1">
        <w:rPr>
          <w:rFonts w:ascii="Century Schoolbook" w:hAnsi="Century Schoolbook"/>
        </w:rPr>
        <w:t>f</w:t>
      </w:r>
      <w:r w:rsidRPr="00BB3BDA">
        <w:rPr>
          <w:rFonts w:ascii="Century Schoolbook" w:hAnsi="Century Schoolbook"/>
        </w:rPr>
        <w:t xml:space="preserve">ishers </w:t>
      </w:r>
      <w:r w:rsidR="0080085F">
        <w:rPr>
          <w:rFonts w:ascii="Century Schoolbook" w:hAnsi="Century Schoolbook"/>
        </w:rPr>
        <w:t>for</w:t>
      </w:r>
      <w:r w:rsidRPr="00BB3BDA" w:rsidR="0080085F">
        <w:rPr>
          <w:rFonts w:ascii="Century Schoolbook" w:hAnsi="Century Schoolbook"/>
        </w:rPr>
        <w:t xml:space="preserve"> </w:t>
      </w:r>
      <w:r w:rsidRPr="00BB3BDA">
        <w:rPr>
          <w:rFonts w:ascii="Century Schoolbook" w:hAnsi="Century Schoolbook"/>
        </w:rPr>
        <w:t xml:space="preserve">catches reduced by an oil spill </w:t>
      </w:r>
      <w:r w:rsidR="0080085F">
        <w:rPr>
          <w:rFonts w:ascii="Century Schoolbook" w:hAnsi="Century Schoolbook"/>
        </w:rPr>
        <w:t>where</w:t>
      </w:r>
      <w:r w:rsidR="00EC7631">
        <w:rPr>
          <w:rFonts w:ascii="Century Schoolbook" w:hAnsi="Century Schoolbook"/>
        </w:rPr>
        <w:t xml:space="preserve"> the loss to each </w:t>
      </w:r>
      <w:r w:rsidR="0080085F">
        <w:rPr>
          <w:rFonts w:ascii="Century Schoolbook" w:hAnsi="Century Schoolbook"/>
        </w:rPr>
        <w:t xml:space="preserve">was not </w:t>
      </w:r>
      <w:r w:rsidR="00EC7631">
        <w:rPr>
          <w:rFonts w:ascii="Century Schoolbook" w:hAnsi="Century Schoolbook"/>
        </w:rPr>
        <w:t>established</w:t>
      </w:r>
      <w:r w:rsidRPr="00BB3BDA">
        <w:rPr>
          <w:rFonts w:ascii="Century Schoolbook" w:hAnsi="Century Schoolbook"/>
        </w:rPr>
        <w:t xml:space="preserve">.  </w:t>
      </w:r>
      <w:r w:rsidR="003A3CB1">
        <w:rPr>
          <w:rFonts w:ascii="Century Schoolbook" w:hAnsi="Century Schoolbook"/>
        </w:rPr>
        <w:t>We also conclude o</w:t>
      </w:r>
      <w:r w:rsidRPr="00BB3BDA">
        <w:rPr>
          <w:rFonts w:ascii="Century Schoolbook" w:hAnsi="Century Schoolbook"/>
        </w:rPr>
        <w:t xml:space="preserve">il platform workers and </w:t>
      </w:r>
      <w:r w:rsidR="003A3CB1">
        <w:rPr>
          <w:rFonts w:ascii="Century Schoolbook" w:hAnsi="Century Schoolbook"/>
        </w:rPr>
        <w:t>businesses</w:t>
      </w:r>
      <w:r w:rsidRPr="00BB3BDA">
        <w:rPr>
          <w:rFonts w:ascii="Century Schoolbook" w:hAnsi="Century Schoolbook"/>
        </w:rPr>
        <w:t xml:space="preserve"> whose income depended on the oil industry </w:t>
      </w:r>
      <w:r w:rsidR="003B465F">
        <w:rPr>
          <w:rFonts w:ascii="Century Schoolbook" w:hAnsi="Century Schoolbook"/>
        </w:rPr>
        <w:t>a</w:t>
      </w:r>
      <w:r w:rsidRPr="00BB3BDA">
        <w:rPr>
          <w:rFonts w:ascii="Century Schoolbook" w:hAnsi="Century Schoolbook"/>
        </w:rPr>
        <w:t>re</w:t>
      </w:r>
      <w:r w:rsidRPr="002E1336" w:rsidR="002E1336">
        <w:rPr>
          <w:rFonts w:ascii="Century Schoolbook" w:hAnsi="Century Schoolbook"/>
        </w:rPr>
        <w:t xml:space="preserve"> </w:t>
      </w:r>
      <w:r w:rsidRPr="00D329C6" w:rsidR="002E1336">
        <w:rPr>
          <w:rFonts w:ascii="Century Schoolbook" w:hAnsi="Century Schoolbook"/>
        </w:rPr>
        <w:t xml:space="preserve">not entitled to </w:t>
      </w:r>
      <w:r w:rsidR="003A3CB1">
        <w:rPr>
          <w:rFonts w:ascii="Century Schoolbook" w:hAnsi="Century Schoolbook"/>
        </w:rPr>
        <w:t xml:space="preserve">non-probationary </w:t>
      </w:r>
      <w:r w:rsidRPr="00D329C6" w:rsidR="002E1336">
        <w:rPr>
          <w:rFonts w:ascii="Century Schoolbook" w:hAnsi="Century Schoolbook"/>
        </w:rPr>
        <w:t>restitution</w:t>
      </w:r>
      <w:r w:rsidRPr="00BB3BDA">
        <w:rPr>
          <w:rFonts w:ascii="Century Schoolbook" w:hAnsi="Century Schoolbook"/>
        </w:rPr>
        <w:t xml:space="preserve"> </w:t>
      </w:r>
      <w:r w:rsidR="002E1336">
        <w:rPr>
          <w:rFonts w:ascii="Century Schoolbook" w:hAnsi="Century Schoolbook"/>
        </w:rPr>
        <w:t xml:space="preserve">because they were only </w:t>
      </w:r>
      <w:r w:rsidRPr="00BB3BDA">
        <w:rPr>
          <w:rFonts w:ascii="Century Schoolbook" w:hAnsi="Century Schoolbook"/>
        </w:rPr>
        <w:t xml:space="preserve">indirect victims </w:t>
      </w:r>
      <w:r w:rsidR="002E1336">
        <w:rPr>
          <w:rFonts w:ascii="Century Schoolbook" w:hAnsi="Century Schoolbook"/>
        </w:rPr>
        <w:t>of the pipeline shutdown after the spill</w:t>
      </w:r>
      <w:r w:rsidRPr="00BB3BDA">
        <w:rPr>
          <w:rFonts w:ascii="Century Schoolbook" w:hAnsi="Century Schoolbook"/>
        </w:rPr>
        <w:t xml:space="preserve">.  </w:t>
      </w:r>
      <w:bookmarkEnd w:id="0"/>
    </w:p>
    <w:p w:rsidR="00BB16F5" w:rsidP="00F62102" w14:paraId="34768C66" w14:textId="32AC5356">
      <w:pPr>
        <w:spacing w:line="288" w:lineRule="auto"/>
        <w:ind w:firstLine="720"/>
        <w:rPr>
          <w:rFonts w:ascii="Century Schoolbook" w:hAnsi="Century Schoolbook"/>
          <w:bCs/>
          <w:szCs w:val="26"/>
        </w:rPr>
      </w:pPr>
      <w:r w:rsidRPr="00395E41">
        <w:rPr>
          <w:rStyle w:val="PageNumber"/>
          <w:rFonts w:ascii="Century Schoolbook" w:hAnsi="Century Schoolbook"/>
          <w:sz w:val="26"/>
          <w:szCs w:val="26"/>
        </w:rPr>
        <w:t xml:space="preserve">The </w:t>
      </w:r>
      <w:r w:rsidRPr="00395E41" w:rsidR="0063178B">
        <w:rPr>
          <w:rStyle w:val="PageNumber"/>
          <w:rFonts w:ascii="Century Schoolbook" w:hAnsi="Century Schoolbook"/>
          <w:sz w:val="26"/>
          <w:szCs w:val="26"/>
        </w:rPr>
        <w:t>P</w:t>
      </w:r>
      <w:r w:rsidRPr="00395E41">
        <w:rPr>
          <w:rStyle w:val="PageNumber"/>
          <w:rFonts w:ascii="Century Schoolbook" w:hAnsi="Century Schoolbook"/>
          <w:sz w:val="26"/>
          <w:szCs w:val="26"/>
        </w:rPr>
        <w:t xml:space="preserve">eople </w:t>
      </w:r>
      <w:r w:rsidRPr="00395E41" w:rsidR="00E50F2E">
        <w:rPr>
          <w:rStyle w:val="PageNumber"/>
          <w:rFonts w:ascii="Century Schoolbook" w:hAnsi="Century Schoolbook"/>
          <w:sz w:val="26"/>
          <w:szCs w:val="26"/>
        </w:rPr>
        <w:t>of the State of California appeal</w:t>
      </w:r>
      <w:r w:rsidRPr="00395E41" w:rsidR="00456B2D">
        <w:rPr>
          <w:rStyle w:val="PageNumber"/>
          <w:rFonts w:ascii="Century Schoolbook" w:hAnsi="Century Schoolbook"/>
          <w:sz w:val="26"/>
          <w:szCs w:val="26"/>
        </w:rPr>
        <w:t xml:space="preserve"> orders</w:t>
      </w:r>
      <w:r w:rsidR="000369D0">
        <w:rPr>
          <w:rStyle w:val="PageNumber"/>
          <w:rFonts w:ascii="Century Schoolbook" w:hAnsi="Century Schoolbook"/>
          <w:sz w:val="26"/>
          <w:szCs w:val="26"/>
        </w:rPr>
        <w:t xml:space="preserve"> </w:t>
      </w:r>
      <w:r w:rsidRPr="00395E41" w:rsidR="00456B2D">
        <w:rPr>
          <w:rStyle w:val="PageNumber"/>
          <w:rFonts w:ascii="Century Schoolbook" w:hAnsi="Century Schoolbook"/>
          <w:sz w:val="26"/>
          <w:szCs w:val="26"/>
        </w:rPr>
        <w:t>denying restitution</w:t>
      </w:r>
      <w:r w:rsidRPr="00395E41" w:rsidR="0052261A">
        <w:rPr>
          <w:rStyle w:val="PageNumber"/>
          <w:rFonts w:ascii="Century Schoolbook" w:hAnsi="Century Schoolbook"/>
          <w:sz w:val="26"/>
          <w:szCs w:val="26"/>
        </w:rPr>
        <w:t xml:space="preserve"> after Plains All American Pipeline, L.P. (Plains) was convicted of unlawfully discharging oil into</w:t>
      </w:r>
      <w:r w:rsidRPr="00395E41" w:rsidR="00EC3A38">
        <w:rPr>
          <w:rStyle w:val="PageNumber"/>
          <w:rFonts w:ascii="Century Schoolbook" w:hAnsi="Century Schoolbook"/>
          <w:sz w:val="26"/>
          <w:szCs w:val="26"/>
        </w:rPr>
        <w:t xml:space="preserve"> the ocean. </w:t>
      </w:r>
      <w:r w:rsidRPr="00395E41" w:rsidR="0052261A">
        <w:rPr>
          <w:rStyle w:val="PageNumber"/>
          <w:rFonts w:ascii="Century Schoolbook" w:hAnsi="Century Schoolbook"/>
          <w:sz w:val="26"/>
          <w:szCs w:val="26"/>
        </w:rPr>
        <w:t xml:space="preserve"> </w:t>
      </w:r>
      <w:r w:rsidR="006D2B7B">
        <w:rPr>
          <w:rStyle w:val="PageNumber"/>
          <w:rFonts w:ascii="Century Schoolbook" w:hAnsi="Century Schoolbook"/>
          <w:sz w:val="26"/>
          <w:szCs w:val="26"/>
        </w:rPr>
        <w:t xml:space="preserve">The trial court considered restitution for four groups: </w:t>
      </w:r>
      <w:r w:rsidRPr="00F8561D" w:rsidR="006D2B7B">
        <w:rPr>
          <w:rStyle w:val="PageNumber"/>
          <w:rFonts w:ascii="Century Schoolbook" w:hAnsi="Century Schoolbook"/>
          <w:sz w:val="26"/>
          <w:szCs w:val="26"/>
        </w:rPr>
        <w:t>Group 1 (claims under $10,000)</w:t>
      </w:r>
      <w:r w:rsidR="006D2B7B">
        <w:rPr>
          <w:rStyle w:val="PageNumber"/>
          <w:rFonts w:ascii="Century Schoolbook" w:hAnsi="Century Schoolbook"/>
          <w:sz w:val="26"/>
          <w:szCs w:val="26"/>
        </w:rPr>
        <w:t xml:space="preserve">, </w:t>
      </w:r>
      <w:r w:rsidRPr="00F8561D" w:rsidR="006D2B7B">
        <w:rPr>
          <w:rStyle w:val="PageNumber"/>
          <w:rFonts w:ascii="Century Schoolbook" w:hAnsi="Century Schoolbook"/>
          <w:sz w:val="26"/>
          <w:szCs w:val="26"/>
        </w:rPr>
        <w:t>Group 2 (fishers, restaurants, and tourism businesses claiming los</w:t>
      </w:r>
      <w:r w:rsidR="006D2B7B">
        <w:rPr>
          <w:rStyle w:val="PageNumber"/>
          <w:rFonts w:ascii="Century Schoolbook" w:hAnsi="Century Schoolbook"/>
          <w:sz w:val="26"/>
          <w:szCs w:val="26"/>
        </w:rPr>
        <w:t>t</w:t>
      </w:r>
      <w:r w:rsidRPr="00F8561D" w:rsidR="006D2B7B">
        <w:rPr>
          <w:rStyle w:val="PageNumber"/>
          <w:rFonts w:ascii="Century Schoolbook" w:hAnsi="Century Schoolbook"/>
          <w:sz w:val="26"/>
          <w:szCs w:val="26"/>
        </w:rPr>
        <w:t xml:space="preserve"> revenue), Group 3 (oil industry claimants</w:t>
      </w:r>
      <w:r w:rsidR="009F1EA8">
        <w:rPr>
          <w:rStyle w:val="PageNumber"/>
          <w:rFonts w:ascii="Century Schoolbook" w:hAnsi="Century Schoolbook"/>
          <w:sz w:val="26"/>
          <w:szCs w:val="26"/>
        </w:rPr>
        <w:t xml:space="preserve"> </w:t>
      </w:r>
      <w:r w:rsidR="009F1EA8">
        <w:rPr>
          <w:rFonts w:ascii="Century Schoolbook" w:hAnsi="Century Schoolbook"/>
          <w:bCs/>
          <w:szCs w:val="26"/>
        </w:rPr>
        <w:t>consisting of</w:t>
      </w:r>
      <w:r w:rsidRPr="00523678" w:rsidR="009F1EA8">
        <w:rPr>
          <w:rFonts w:ascii="Century Schoolbook" w:hAnsi="Century Schoolbook"/>
          <w:position w:val="6"/>
          <w:szCs w:val="26"/>
        </w:rPr>
        <w:t xml:space="preserve"> </w:t>
      </w:r>
      <w:r w:rsidR="009F1EA8">
        <w:rPr>
          <w:rFonts w:ascii="Century Schoolbook" w:hAnsi="Century Schoolbook"/>
          <w:bCs/>
          <w:szCs w:val="26"/>
        </w:rPr>
        <w:t>o</w:t>
      </w:r>
      <w:r w:rsidRPr="00523678" w:rsidR="009F1EA8">
        <w:rPr>
          <w:rFonts w:ascii="Century Schoolbook" w:hAnsi="Century Schoolbook"/>
          <w:bCs/>
          <w:szCs w:val="26"/>
        </w:rPr>
        <w:t xml:space="preserve">il platform employees and others who derived income from the </w:t>
      </w:r>
      <w:r w:rsidR="009F1EA8">
        <w:rPr>
          <w:rFonts w:ascii="Century Schoolbook" w:hAnsi="Century Schoolbook"/>
          <w:bCs/>
          <w:szCs w:val="26"/>
        </w:rPr>
        <w:t xml:space="preserve">surrounding </w:t>
      </w:r>
      <w:r w:rsidRPr="00523678" w:rsidR="009F1EA8">
        <w:rPr>
          <w:rFonts w:ascii="Century Schoolbook" w:hAnsi="Century Schoolbook"/>
          <w:bCs/>
          <w:szCs w:val="26"/>
        </w:rPr>
        <w:t>oil industry</w:t>
      </w:r>
      <w:r w:rsidRPr="00F8561D" w:rsidR="006D2B7B">
        <w:rPr>
          <w:rStyle w:val="PageNumber"/>
          <w:rFonts w:ascii="Century Schoolbook" w:hAnsi="Century Schoolbook"/>
          <w:sz w:val="26"/>
          <w:szCs w:val="26"/>
        </w:rPr>
        <w:t>), and Group 4 (real property claimants alleging their property was damaged by the spill).</w:t>
      </w:r>
      <w:r w:rsidR="009F1EA8">
        <w:rPr>
          <w:rStyle w:val="PageNumber"/>
          <w:rFonts w:ascii="Century Schoolbook" w:hAnsi="Century Schoolbook"/>
          <w:sz w:val="26"/>
          <w:szCs w:val="26"/>
        </w:rPr>
        <w:t xml:space="preserve">  </w:t>
      </w:r>
      <w:r w:rsidRPr="00395E41" w:rsidR="009F1EA8">
        <w:rPr>
          <w:rStyle w:val="PageNumber"/>
          <w:rFonts w:ascii="Century Schoolbook" w:hAnsi="Century Schoolbook"/>
          <w:sz w:val="26"/>
          <w:szCs w:val="26"/>
        </w:rPr>
        <w:t>The</w:t>
      </w:r>
      <w:r w:rsidR="009F1EA8">
        <w:rPr>
          <w:rStyle w:val="PageNumber"/>
          <w:rFonts w:ascii="Century Schoolbook" w:hAnsi="Century Schoolbook"/>
          <w:sz w:val="26"/>
          <w:szCs w:val="26"/>
        </w:rPr>
        <w:t xml:space="preserve"> People</w:t>
      </w:r>
      <w:r w:rsidR="000E0017">
        <w:rPr>
          <w:rStyle w:val="PageNumber"/>
          <w:rFonts w:ascii="Century Schoolbook" w:hAnsi="Century Schoolbook"/>
          <w:sz w:val="26"/>
          <w:szCs w:val="26"/>
        </w:rPr>
        <w:t xml:space="preserve"> appeal denial of restitution for claimants in Groups 2 and 3.</w:t>
      </w:r>
      <w:r>
        <w:rPr>
          <w:rStyle w:val="FootnoteReference"/>
        </w:rPr>
        <w:footnoteReference w:id="2"/>
      </w:r>
      <w:r w:rsidR="002A5FE4">
        <w:rPr>
          <w:rFonts w:ascii="Century Schoolbook" w:hAnsi="Century Schoolbook"/>
          <w:bCs/>
          <w:szCs w:val="26"/>
        </w:rPr>
        <w:t xml:space="preserve"> </w:t>
      </w:r>
      <w:r w:rsidRPr="00395E41" w:rsidR="004759B7">
        <w:rPr>
          <w:rFonts w:ascii="Century Schoolbook" w:hAnsi="Century Schoolbook"/>
          <w:bCs/>
          <w:szCs w:val="26"/>
        </w:rPr>
        <w:t xml:space="preserve"> </w:t>
      </w:r>
    </w:p>
    <w:p w:rsidR="00A44558" w:rsidP="00181DB4" w14:paraId="4F98D460" w14:textId="45D8FA27">
      <w:pPr>
        <w:spacing w:line="288" w:lineRule="auto"/>
        <w:ind w:firstLine="720"/>
        <w:rPr>
          <w:rStyle w:val="PageNumber"/>
          <w:rFonts w:ascii="Century Schoolbook" w:hAnsi="Century Schoolbook"/>
          <w:sz w:val="26"/>
          <w:szCs w:val="26"/>
        </w:rPr>
      </w:pPr>
      <w:r w:rsidRPr="00395E41">
        <w:rPr>
          <w:rStyle w:val="PageNumber"/>
          <w:rFonts w:ascii="Century Schoolbook" w:hAnsi="Century Schoolbook"/>
          <w:sz w:val="26"/>
          <w:szCs w:val="26"/>
        </w:rPr>
        <w:t>The</w:t>
      </w:r>
      <w:r w:rsidRPr="00395E41" w:rsidR="002F4525">
        <w:rPr>
          <w:rStyle w:val="PageNumber"/>
          <w:rFonts w:ascii="Century Schoolbook" w:hAnsi="Century Schoolbook"/>
          <w:sz w:val="26"/>
          <w:szCs w:val="26"/>
        </w:rPr>
        <w:t xml:space="preserve"> People</w:t>
      </w:r>
      <w:r w:rsidRPr="00395E41" w:rsidR="00733740">
        <w:rPr>
          <w:rStyle w:val="PageNumber"/>
          <w:rFonts w:ascii="Century Schoolbook" w:hAnsi="Century Schoolbook"/>
          <w:sz w:val="26"/>
          <w:szCs w:val="26"/>
        </w:rPr>
        <w:t xml:space="preserve"> contend</w:t>
      </w:r>
      <w:r w:rsidRPr="00395E41" w:rsidR="00EC3A38">
        <w:rPr>
          <w:rStyle w:val="PageNumber"/>
          <w:rFonts w:ascii="Century Schoolbook" w:hAnsi="Century Schoolbook"/>
          <w:sz w:val="26"/>
          <w:szCs w:val="26"/>
        </w:rPr>
        <w:t xml:space="preserve"> the trial court erred when it</w:t>
      </w:r>
      <w:r w:rsidRPr="00395E41" w:rsidR="00733740">
        <w:rPr>
          <w:rStyle w:val="PageNumber"/>
          <w:rFonts w:ascii="Century Schoolbook" w:hAnsi="Century Schoolbook"/>
          <w:sz w:val="26"/>
          <w:szCs w:val="26"/>
        </w:rPr>
        <w:t xml:space="preserve">: </w:t>
      </w:r>
      <w:bookmarkStart w:id="1" w:name="_Hlk143255891"/>
      <w:r w:rsidRPr="00395E41" w:rsidR="00733740">
        <w:rPr>
          <w:rStyle w:val="PageNumber"/>
          <w:rFonts w:ascii="Century Schoolbook" w:hAnsi="Century Schoolbook"/>
          <w:sz w:val="26"/>
          <w:szCs w:val="26"/>
        </w:rPr>
        <w:t>(1)</w:t>
      </w:r>
      <w:r w:rsidR="007B210C">
        <w:rPr>
          <w:rStyle w:val="PageNumber"/>
          <w:rFonts w:ascii="Century Schoolbook" w:hAnsi="Century Schoolbook"/>
          <w:sz w:val="26"/>
          <w:szCs w:val="26"/>
        </w:rPr>
        <w:t xml:space="preserve"> </w:t>
      </w:r>
      <w:r w:rsidRPr="00395E41" w:rsidR="007B210C">
        <w:rPr>
          <w:rStyle w:val="PageNumber"/>
          <w:rFonts w:ascii="Century Schoolbook" w:hAnsi="Century Schoolbook"/>
          <w:sz w:val="26"/>
          <w:szCs w:val="26"/>
        </w:rPr>
        <w:t xml:space="preserve">concluded oil industry claimants were not </w:t>
      </w:r>
      <w:r w:rsidR="00D812B7">
        <w:rPr>
          <w:rStyle w:val="PageNumber"/>
          <w:rFonts w:ascii="Century Schoolbook" w:hAnsi="Century Schoolbook"/>
          <w:sz w:val="26"/>
          <w:szCs w:val="26"/>
        </w:rPr>
        <w:t xml:space="preserve">direct </w:t>
      </w:r>
      <w:r w:rsidRPr="00395E41" w:rsidR="007B210C">
        <w:rPr>
          <w:rStyle w:val="PageNumber"/>
          <w:rFonts w:ascii="Century Schoolbook" w:hAnsi="Century Schoolbook"/>
          <w:sz w:val="26"/>
          <w:szCs w:val="26"/>
        </w:rPr>
        <w:t>victims of defendant’s crime</w:t>
      </w:r>
      <w:r w:rsidR="00910F69">
        <w:rPr>
          <w:rStyle w:val="PageNumber"/>
          <w:rFonts w:ascii="Century Schoolbook" w:hAnsi="Century Schoolbook"/>
          <w:sz w:val="26"/>
          <w:szCs w:val="26"/>
        </w:rPr>
        <w:t>s</w:t>
      </w:r>
      <w:r w:rsidR="007B210C">
        <w:rPr>
          <w:rStyle w:val="PageNumber"/>
          <w:rFonts w:ascii="Century Schoolbook" w:hAnsi="Century Schoolbook"/>
          <w:sz w:val="26"/>
          <w:szCs w:val="26"/>
        </w:rPr>
        <w:t xml:space="preserve">, (2) </w:t>
      </w:r>
      <w:r w:rsidRPr="00395E41" w:rsidR="00186FF1">
        <w:rPr>
          <w:rStyle w:val="PageNumber"/>
          <w:rFonts w:ascii="Century Schoolbook" w:hAnsi="Century Schoolbook"/>
          <w:sz w:val="26"/>
          <w:szCs w:val="26"/>
        </w:rPr>
        <w:t xml:space="preserve">accepted </w:t>
      </w:r>
      <w:r w:rsidR="00413B8F">
        <w:rPr>
          <w:rStyle w:val="PageNumber"/>
          <w:rFonts w:ascii="Century Schoolbook" w:hAnsi="Century Schoolbook"/>
          <w:sz w:val="26"/>
          <w:szCs w:val="26"/>
        </w:rPr>
        <w:t xml:space="preserve">mediated </w:t>
      </w:r>
      <w:r w:rsidR="00255863">
        <w:rPr>
          <w:rStyle w:val="PageNumber"/>
          <w:rFonts w:ascii="Century Schoolbook" w:hAnsi="Century Schoolbook"/>
          <w:sz w:val="26"/>
          <w:szCs w:val="26"/>
        </w:rPr>
        <w:t>settlements</w:t>
      </w:r>
      <w:r w:rsidR="00413B8F">
        <w:rPr>
          <w:rStyle w:val="PageNumber"/>
          <w:rFonts w:ascii="Century Schoolbook" w:hAnsi="Century Schoolbook"/>
          <w:sz w:val="26"/>
          <w:szCs w:val="26"/>
        </w:rPr>
        <w:t xml:space="preserve"> in lieu of restitution</w:t>
      </w:r>
      <w:r w:rsidR="00ED7996">
        <w:rPr>
          <w:rStyle w:val="PageNumber"/>
          <w:rFonts w:ascii="Century Schoolbook" w:hAnsi="Century Schoolbook"/>
          <w:sz w:val="26"/>
          <w:szCs w:val="26"/>
        </w:rPr>
        <w:t xml:space="preserve">, </w:t>
      </w:r>
      <w:r w:rsidRPr="00395E41" w:rsidR="00ED7996">
        <w:rPr>
          <w:rStyle w:val="PageNumber"/>
          <w:rFonts w:ascii="Century Schoolbook" w:hAnsi="Century Schoolbook"/>
          <w:sz w:val="26"/>
          <w:szCs w:val="26"/>
        </w:rPr>
        <w:t>(</w:t>
      </w:r>
      <w:r w:rsidR="004E04A1">
        <w:rPr>
          <w:rStyle w:val="PageNumber"/>
          <w:rFonts w:ascii="Century Schoolbook" w:hAnsi="Century Schoolbook"/>
          <w:sz w:val="26"/>
          <w:szCs w:val="26"/>
        </w:rPr>
        <w:t>3</w:t>
      </w:r>
      <w:r w:rsidRPr="00395E41" w:rsidR="00ED7996">
        <w:rPr>
          <w:rStyle w:val="PageNumber"/>
          <w:rFonts w:ascii="Century Schoolbook" w:hAnsi="Century Schoolbook"/>
          <w:sz w:val="26"/>
          <w:szCs w:val="26"/>
        </w:rPr>
        <w:t>) denied restitution to fishers based on a pending class action</w:t>
      </w:r>
      <w:r w:rsidR="0073542D">
        <w:rPr>
          <w:rStyle w:val="PageNumber"/>
          <w:rFonts w:ascii="Century Schoolbook" w:hAnsi="Century Schoolbook"/>
          <w:sz w:val="26"/>
          <w:szCs w:val="26"/>
        </w:rPr>
        <w:t xml:space="preserve"> lawsuit</w:t>
      </w:r>
      <w:r w:rsidRPr="00395E41" w:rsidR="00186FF1">
        <w:rPr>
          <w:rStyle w:val="PageNumber"/>
          <w:rFonts w:ascii="Century Schoolbook" w:hAnsi="Century Schoolbook"/>
          <w:sz w:val="26"/>
          <w:szCs w:val="26"/>
        </w:rPr>
        <w:t>,</w:t>
      </w:r>
      <w:r w:rsidRPr="00C97E1E" w:rsidR="00C97E1E">
        <w:rPr>
          <w:rStyle w:val="PageNumber"/>
          <w:rFonts w:ascii="Century Schoolbook" w:hAnsi="Century Schoolbook"/>
          <w:sz w:val="26"/>
          <w:szCs w:val="26"/>
        </w:rPr>
        <w:t xml:space="preserve"> </w:t>
      </w:r>
      <w:r w:rsidRPr="00395E41" w:rsidR="00C97E1E">
        <w:rPr>
          <w:rStyle w:val="PageNumber"/>
          <w:rFonts w:ascii="Century Schoolbook" w:hAnsi="Century Schoolbook"/>
          <w:sz w:val="26"/>
          <w:szCs w:val="26"/>
        </w:rPr>
        <w:t>(</w:t>
      </w:r>
      <w:r w:rsidR="004E04A1">
        <w:rPr>
          <w:rStyle w:val="PageNumber"/>
          <w:rFonts w:ascii="Century Schoolbook" w:hAnsi="Century Schoolbook"/>
          <w:sz w:val="26"/>
          <w:szCs w:val="26"/>
        </w:rPr>
        <w:t>4</w:t>
      </w:r>
      <w:r w:rsidRPr="00395E41" w:rsidR="00C97E1E">
        <w:rPr>
          <w:rStyle w:val="PageNumber"/>
          <w:rFonts w:ascii="Century Schoolbook" w:hAnsi="Century Schoolbook"/>
          <w:sz w:val="26"/>
          <w:szCs w:val="26"/>
        </w:rPr>
        <w:t xml:space="preserve">) declined to consider </w:t>
      </w:r>
      <w:r w:rsidR="00D812B7">
        <w:rPr>
          <w:rStyle w:val="PageNumber"/>
          <w:rFonts w:ascii="Century Schoolbook" w:hAnsi="Century Schoolbook"/>
          <w:sz w:val="26"/>
          <w:szCs w:val="26"/>
        </w:rPr>
        <w:t xml:space="preserve">aggregate </w:t>
      </w:r>
      <w:r w:rsidRPr="00395E41" w:rsidR="00C97E1E">
        <w:rPr>
          <w:rStyle w:val="PageNumber"/>
          <w:rFonts w:ascii="Century Schoolbook" w:hAnsi="Century Schoolbook"/>
          <w:sz w:val="26"/>
          <w:szCs w:val="26"/>
        </w:rPr>
        <w:t>proof presented by fishers,</w:t>
      </w:r>
      <w:r w:rsidRPr="00395E41" w:rsidR="00186FF1">
        <w:rPr>
          <w:rStyle w:val="PageNumber"/>
          <w:rFonts w:ascii="Century Schoolbook" w:hAnsi="Century Schoolbook"/>
          <w:sz w:val="26"/>
          <w:szCs w:val="26"/>
        </w:rPr>
        <w:t xml:space="preserve"> </w:t>
      </w:r>
      <w:r w:rsidRPr="00395E41" w:rsidR="00C97E1E">
        <w:rPr>
          <w:rStyle w:val="PageNumber"/>
          <w:rFonts w:ascii="Century Schoolbook" w:hAnsi="Century Schoolbook"/>
          <w:sz w:val="26"/>
          <w:szCs w:val="26"/>
        </w:rPr>
        <w:t xml:space="preserve">(5) denied restitution to fishers based on “compelling and extraordinary reasons,” </w:t>
      </w:r>
      <w:r w:rsidRPr="00395E41" w:rsidR="00186FF1">
        <w:rPr>
          <w:rStyle w:val="PageNumber"/>
          <w:rFonts w:ascii="Century Schoolbook" w:hAnsi="Century Schoolbook"/>
          <w:sz w:val="26"/>
          <w:szCs w:val="26"/>
        </w:rPr>
        <w:t>(</w:t>
      </w:r>
      <w:r w:rsidR="004E04A1">
        <w:rPr>
          <w:rStyle w:val="PageNumber"/>
          <w:rFonts w:ascii="Century Schoolbook" w:hAnsi="Century Schoolbook"/>
          <w:sz w:val="26"/>
          <w:szCs w:val="26"/>
        </w:rPr>
        <w:t>6</w:t>
      </w:r>
      <w:r w:rsidRPr="00395E41" w:rsidR="00B959A5">
        <w:rPr>
          <w:rStyle w:val="PageNumber"/>
          <w:rFonts w:ascii="Century Schoolbook" w:hAnsi="Century Schoolbook"/>
          <w:sz w:val="26"/>
          <w:szCs w:val="26"/>
        </w:rPr>
        <w:t xml:space="preserve">) refused to consider defendant’s criminal conduct, </w:t>
      </w:r>
      <w:r w:rsidRPr="00395E41" w:rsidR="00905A96">
        <w:rPr>
          <w:rStyle w:val="PageNumber"/>
          <w:rFonts w:ascii="Century Schoolbook" w:hAnsi="Century Schoolbook"/>
          <w:sz w:val="26"/>
          <w:szCs w:val="26"/>
        </w:rPr>
        <w:t>and</w:t>
      </w:r>
      <w:bookmarkEnd w:id="1"/>
      <w:r w:rsidR="004E04A1">
        <w:rPr>
          <w:rStyle w:val="PageNumber"/>
          <w:rFonts w:ascii="Century Schoolbook" w:hAnsi="Century Schoolbook"/>
          <w:sz w:val="26"/>
          <w:szCs w:val="26"/>
        </w:rPr>
        <w:t xml:space="preserve"> (7</w:t>
      </w:r>
      <w:r w:rsidRPr="00395E41" w:rsidR="00C97E1E">
        <w:rPr>
          <w:rStyle w:val="PageNumber"/>
          <w:rFonts w:ascii="Century Schoolbook" w:hAnsi="Century Schoolbook"/>
          <w:sz w:val="26"/>
          <w:szCs w:val="26"/>
        </w:rPr>
        <w:t xml:space="preserve">) refused </w:t>
      </w:r>
      <w:r w:rsidR="00774C76">
        <w:rPr>
          <w:rStyle w:val="PageNumber"/>
          <w:rFonts w:ascii="Century Schoolbook" w:hAnsi="Century Schoolbook"/>
          <w:sz w:val="26"/>
          <w:szCs w:val="26"/>
        </w:rPr>
        <w:t>oral victim impact statements.</w:t>
      </w:r>
      <w:r w:rsidRPr="00395E41" w:rsidR="00E37B6C">
        <w:rPr>
          <w:rStyle w:val="PageNumber"/>
          <w:rFonts w:ascii="Century Schoolbook" w:hAnsi="Century Schoolbook"/>
          <w:sz w:val="26"/>
          <w:szCs w:val="26"/>
        </w:rPr>
        <w:t xml:space="preserve"> </w:t>
      </w:r>
    </w:p>
    <w:p w:rsidR="0041505B" w:rsidP="00181DB4" w14:paraId="31D2FBFD" w14:textId="43B60F53">
      <w:pPr>
        <w:spacing w:line="288" w:lineRule="auto"/>
        <w:ind w:firstLine="720"/>
        <w:rPr>
          <w:rStyle w:val="PageNumber"/>
          <w:rFonts w:ascii="Century Schoolbook" w:hAnsi="Century Schoolbook"/>
          <w:sz w:val="26"/>
          <w:szCs w:val="26"/>
        </w:rPr>
      </w:pPr>
      <w:r>
        <w:rPr>
          <w:rStyle w:val="PageNumber"/>
          <w:rFonts w:ascii="Century Schoolbook" w:hAnsi="Century Schoolbook"/>
          <w:sz w:val="26"/>
          <w:szCs w:val="26"/>
        </w:rPr>
        <w:t>Additional oil industry claimants</w:t>
      </w:r>
      <w:r w:rsidR="00825E17">
        <w:rPr>
          <w:rStyle w:val="PageNumber"/>
          <w:rFonts w:ascii="Century Schoolbook" w:hAnsi="Century Schoolbook"/>
          <w:sz w:val="26"/>
          <w:szCs w:val="26"/>
        </w:rPr>
        <w:t xml:space="preserve"> in </w:t>
      </w:r>
      <w:r>
        <w:rPr>
          <w:rStyle w:val="PageNumber"/>
          <w:rFonts w:ascii="Century Schoolbook" w:hAnsi="Century Schoolbook"/>
          <w:sz w:val="26"/>
          <w:szCs w:val="26"/>
        </w:rPr>
        <w:t>Group 3</w:t>
      </w:r>
      <w:r w:rsidR="00825E17">
        <w:rPr>
          <w:rStyle w:val="PageNumber"/>
          <w:rFonts w:ascii="Century Schoolbook" w:hAnsi="Century Schoolbook"/>
          <w:sz w:val="26"/>
          <w:szCs w:val="26"/>
        </w:rPr>
        <w:t xml:space="preserve"> </w:t>
      </w:r>
      <w:r>
        <w:rPr>
          <w:rStyle w:val="PageNumber"/>
          <w:rFonts w:ascii="Century Schoolbook" w:hAnsi="Century Schoolbook"/>
          <w:sz w:val="26"/>
          <w:szCs w:val="26"/>
        </w:rPr>
        <w:t>sought restitution</w:t>
      </w:r>
      <w:r w:rsidR="00825E17">
        <w:rPr>
          <w:rStyle w:val="PageNumber"/>
          <w:rFonts w:ascii="Century Schoolbook" w:hAnsi="Century Schoolbook"/>
          <w:sz w:val="26"/>
          <w:szCs w:val="26"/>
        </w:rPr>
        <w:t xml:space="preserve"> </w:t>
      </w:r>
      <w:r>
        <w:rPr>
          <w:rStyle w:val="PageNumber"/>
          <w:rFonts w:ascii="Century Schoolbook" w:hAnsi="Century Schoolbook"/>
          <w:sz w:val="26"/>
          <w:szCs w:val="26"/>
        </w:rPr>
        <w:t>through private counsel (claimants’ counsel).</w:t>
      </w:r>
      <w:r w:rsidR="00F2680E">
        <w:rPr>
          <w:rStyle w:val="PageNumber"/>
          <w:rFonts w:ascii="Century Schoolbook" w:hAnsi="Century Schoolbook"/>
          <w:sz w:val="26"/>
          <w:szCs w:val="26"/>
        </w:rPr>
        <w:t xml:space="preserve">  They challenge the denial of restitution </w:t>
      </w:r>
      <w:r w:rsidR="009F4325">
        <w:rPr>
          <w:rStyle w:val="PageNumber"/>
          <w:rFonts w:ascii="Century Schoolbook" w:hAnsi="Century Schoolbook"/>
          <w:sz w:val="26"/>
          <w:szCs w:val="26"/>
        </w:rPr>
        <w:t>in</w:t>
      </w:r>
      <w:r w:rsidR="00F2680E">
        <w:rPr>
          <w:rStyle w:val="PageNumber"/>
          <w:rFonts w:ascii="Century Schoolbook" w:hAnsi="Century Schoolbook"/>
          <w:sz w:val="26"/>
          <w:szCs w:val="26"/>
        </w:rPr>
        <w:t xml:space="preserve"> a petition for writ of mandate.  We issued a</w:t>
      </w:r>
      <w:r w:rsidR="009F4325">
        <w:rPr>
          <w:rStyle w:val="PageNumber"/>
          <w:rFonts w:ascii="Century Schoolbook" w:hAnsi="Century Schoolbook"/>
          <w:sz w:val="26"/>
          <w:szCs w:val="26"/>
        </w:rPr>
        <w:t>n order to show cause</w:t>
      </w:r>
      <w:r w:rsidR="00F2680E">
        <w:rPr>
          <w:rStyle w:val="PageNumber"/>
          <w:rFonts w:ascii="Century Schoolbook" w:hAnsi="Century Schoolbook"/>
          <w:sz w:val="26"/>
          <w:szCs w:val="26"/>
        </w:rPr>
        <w:t xml:space="preserve"> and consolidated the writ proceedings with the People’s appeal.</w:t>
      </w:r>
    </w:p>
    <w:p w:rsidR="005B74F9" w:rsidRPr="00395E41" w:rsidP="00181DB4" w14:paraId="7C150267" w14:textId="003FAE08">
      <w:pPr>
        <w:spacing w:line="288" w:lineRule="auto"/>
        <w:ind w:firstLine="720"/>
        <w:rPr>
          <w:rStyle w:val="PageNumber"/>
          <w:rFonts w:ascii="Century Schoolbook" w:hAnsi="Century Schoolbook"/>
          <w:sz w:val="26"/>
          <w:szCs w:val="26"/>
        </w:rPr>
      </w:pPr>
      <w:r w:rsidRPr="00395E41">
        <w:rPr>
          <w:rStyle w:val="PageNumber"/>
          <w:rFonts w:ascii="Century Schoolbook" w:hAnsi="Century Schoolbook"/>
          <w:sz w:val="26"/>
          <w:szCs w:val="26"/>
        </w:rPr>
        <w:t xml:space="preserve">We </w:t>
      </w:r>
      <w:r w:rsidR="00AA3A9F">
        <w:rPr>
          <w:rStyle w:val="PageNumber"/>
          <w:rFonts w:ascii="Century Schoolbook" w:hAnsi="Century Schoolbook"/>
          <w:sz w:val="26"/>
          <w:szCs w:val="26"/>
        </w:rPr>
        <w:t xml:space="preserve">remand for consideration of restitution for </w:t>
      </w:r>
      <w:r w:rsidR="006D6C48">
        <w:rPr>
          <w:rStyle w:val="PageNumber"/>
          <w:rFonts w:ascii="Century Schoolbook" w:hAnsi="Century Schoolbook"/>
          <w:sz w:val="26"/>
          <w:szCs w:val="26"/>
        </w:rPr>
        <w:t xml:space="preserve">four </w:t>
      </w:r>
      <w:r w:rsidR="00AA3A9F">
        <w:rPr>
          <w:rStyle w:val="PageNumber"/>
          <w:rFonts w:ascii="Century Schoolbook" w:hAnsi="Century Schoolbook"/>
          <w:sz w:val="26"/>
          <w:szCs w:val="26"/>
        </w:rPr>
        <w:t>fis</w:t>
      </w:r>
      <w:r w:rsidR="002D548A">
        <w:rPr>
          <w:rStyle w:val="PageNumber"/>
          <w:rFonts w:ascii="Century Schoolbook" w:hAnsi="Century Schoolbook"/>
          <w:sz w:val="26"/>
          <w:szCs w:val="26"/>
        </w:rPr>
        <w:t>her claims</w:t>
      </w:r>
      <w:r w:rsidR="00D812B7">
        <w:rPr>
          <w:rStyle w:val="PageNumber"/>
          <w:rFonts w:ascii="Century Schoolbook" w:hAnsi="Century Schoolbook"/>
          <w:sz w:val="26"/>
          <w:szCs w:val="26"/>
        </w:rPr>
        <w:t>.  I</w:t>
      </w:r>
      <w:r w:rsidR="002D548A">
        <w:rPr>
          <w:rStyle w:val="PageNumber"/>
          <w:rFonts w:ascii="Century Schoolbook" w:hAnsi="Century Schoolbook"/>
          <w:sz w:val="26"/>
          <w:szCs w:val="26"/>
        </w:rPr>
        <w:t xml:space="preserve">n all other respects </w:t>
      </w:r>
      <w:r w:rsidR="00D812B7">
        <w:rPr>
          <w:rStyle w:val="PageNumber"/>
          <w:rFonts w:ascii="Century Schoolbook" w:hAnsi="Century Schoolbook"/>
          <w:sz w:val="26"/>
          <w:szCs w:val="26"/>
        </w:rPr>
        <w:t xml:space="preserve">we </w:t>
      </w:r>
      <w:r w:rsidR="002D548A">
        <w:rPr>
          <w:rStyle w:val="PageNumber"/>
          <w:rFonts w:ascii="Century Schoolbook" w:hAnsi="Century Schoolbook"/>
          <w:sz w:val="26"/>
          <w:szCs w:val="26"/>
        </w:rPr>
        <w:t>affirm</w:t>
      </w:r>
      <w:r w:rsidRPr="00395E41">
        <w:rPr>
          <w:rStyle w:val="PageNumber"/>
          <w:rFonts w:ascii="Century Schoolbook" w:hAnsi="Century Schoolbook"/>
          <w:sz w:val="26"/>
          <w:szCs w:val="26"/>
        </w:rPr>
        <w:t>.</w:t>
      </w:r>
      <w:r w:rsidR="00710DED">
        <w:rPr>
          <w:rStyle w:val="PageNumber"/>
          <w:rFonts w:ascii="Century Schoolbook" w:hAnsi="Century Schoolbook"/>
          <w:sz w:val="26"/>
          <w:szCs w:val="26"/>
        </w:rPr>
        <w:t xml:space="preserve">  We deny the </w:t>
      </w:r>
      <w:r w:rsidR="00A43E59">
        <w:rPr>
          <w:rStyle w:val="PageNumber"/>
          <w:rFonts w:ascii="Century Schoolbook" w:hAnsi="Century Schoolbook"/>
          <w:sz w:val="26"/>
          <w:szCs w:val="26"/>
        </w:rPr>
        <w:t>writ petition.</w:t>
      </w:r>
    </w:p>
    <w:p w:rsidR="005B74F9" w:rsidRPr="00395E41" w:rsidP="003626F7" w14:paraId="4D0A19E3" w14:textId="77777777">
      <w:pPr>
        <w:keepNext/>
        <w:widowControl/>
        <w:spacing w:line="288" w:lineRule="auto"/>
        <w:jc w:val="center"/>
        <w:rPr>
          <w:rStyle w:val="PageNumber"/>
          <w:rFonts w:ascii="Century Schoolbook" w:hAnsi="Century Schoolbook"/>
          <w:sz w:val="26"/>
          <w:szCs w:val="26"/>
        </w:rPr>
      </w:pPr>
      <w:r w:rsidRPr="00395E41">
        <w:rPr>
          <w:rStyle w:val="PageNumber"/>
          <w:rFonts w:ascii="Century Schoolbook" w:hAnsi="Century Schoolbook"/>
          <w:sz w:val="26"/>
          <w:szCs w:val="26"/>
        </w:rPr>
        <w:t>FACTUAL AND PROCEDURAL HISTORY</w:t>
      </w:r>
    </w:p>
    <w:p w:rsidR="00DC7261" w:rsidRPr="00DC7261" w:rsidP="003626F7" w14:paraId="0FBE014A" w14:textId="32120D93">
      <w:pPr>
        <w:keepNext/>
        <w:widowControl/>
        <w:spacing w:line="288" w:lineRule="auto"/>
        <w:rPr>
          <w:rFonts w:ascii="Century Schoolbook" w:hAnsi="Century Schoolbook" w:cs="Arial"/>
          <w:szCs w:val="26"/>
        </w:rPr>
      </w:pPr>
      <w:r w:rsidRPr="00395E41">
        <w:rPr>
          <w:rStyle w:val="PageNumber"/>
          <w:rFonts w:ascii="Century Schoolbook" w:hAnsi="Century Schoolbook" w:cs="Arial"/>
          <w:sz w:val="26"/>
          <w:szCs w:val="26"/>
        </w:rPr>
        <w:tab/>
      </w:r>
      <w:r w:rsidRPr="00395E41" w:rsidR="001F0C12">
        <w:rPr>
          <w:rFonts w:ascii="Century Schoolbook" w:hAnsi="Century Schoolbook" w:cs="Arial"/>
          <w:szCs w:val="26"/>
        </w:rPr>
        <w:t xml:space="preserve">Several oil platforms off the coast of Santa Barbara County </w:t>
      </w:r>
      <w:r w:rsidR="00111BFE">
        <w:rPr>
          <w:rFonts w:ascii="Century Schoolbook" w:hAnsi="Century Schoolbook" w:cs="Arial"/>
          <w:szCs w:val="26"/>
        </w:rPr>
        <w:t>pumped</w:t>
      </w:r>
      <w:r w:rsidRPr="00395E41" w:rsidR="001F0C12">
        <w:rPr>
          <w:rFonts w:ascii="Century Schoolbook" w:hAnsi="Century Schoolbook" w:cs="Arial"/>
          <w:szCs w:val="26"/>
        </w:rPr>
        <w:t xml:space="preserve"> oil </w:t>
      </w:r>
      <w:r w:rsidR="000947A2">
        <w:rPr>
          <w:rFonts w:ascii="Century Schoolbook" w:hAnsi="Century Schoolbook" w:cs="Arial"/>
          <w:szCs w:val="26"/>
        </w:rPr>
        <w:t xml:space="preserve">and gas </w:t>
      </w:r>
      <w:r w:rsidRPr="00395E41" w:rsidR="001F0C12">
        <w:rPr>
          <w:rFonts w:ascii="Century Schoolbook" w:hAnsi="Century Schoolbook" w:cs="Arial"/>
          <w:szCs w:val="26"/>
        </w:rPr>
        <w:t xml:space="preserve">to onshore pumping stations.  Oil from </w:t>
      </w:r>
      <w:r w:rsidR="002A65B7">
        <w:rPr>
          <w:rFonts w:ascii="Century Schoolbook" w:hAnsi="Century Schoolbook" w:cs="Arial"/>
          <w:szCs w:val="26"/>
        </w:rPr>
        <w:t>platform</w:t>
      </w:r>
      <w:r w:rsidR="001663FC">
        <w:rPr>
          <w:rFonts w:ascii="Century Schoolbook" w:hAnsi="Century Schoolbook" w:cs="Arial"/>
          <w:szCs w:val="26"/>
        </w:rPr>
        <w:t>s</w:t>
      </w:r>
      <w:r w:rsidR="002A65B7">
        <w:rPr>
          <w:rFonts w:ascii="Century Schoolbook" w:hAnsi="Century Schoolbook" w:cs="Arial"/>
          <w:szCs w:val="26"/>
        </w:rPr>
        <w:t xml:space="preserve"> </w:t>
      </w:r>
      <w:r w:rsidR="00910F69">
        <w:rPr>
          <w:rFonts w:ascii="Century Schoolbook" w:hAnsi="Century Schoolbook" w:cs="Arial"/>
          <w:szCs w:val="26"/>
        </w:rPr>
        <w:t>operated by Venoco</w:t>
      </w:r>
      <w:r w:rsidR="001663FC">
        <w:rPr>
          <w:rFonts w:ascii="Century Schoolbook" w:hAnsi="Century Schoolbook" w:cs="Arial"/>
          <w:szCs w:val="26"/>
        </w:rPr>
        <w:t xml:space="preserve"> and</w:t>
      </w:r>
      <w:r w:rsidR="002231C1">
        <w:rPr>
          <w:rFonts w:ascii="Century Schoolbook" w:hAnsi="Century Schoolbook" w:cs="Arial"/>
          <w:szCs w:val="26"/>
        </w:rPr>
        <w:t xml:space="preserve"> </w:t>
      </w:r>
      <w:r w:rsidRPr="00395E41" w:rsidR="001F0C12">
        <w:rPr>
          <w:rFonts w:ascii="Century Schoolbook" w:hAnsi="Century Schoolbook" w:cs="Arial"/>
          <w:szCs w:val="26"/>
        </w:rPr>
        <w:t xml:space="preserve">ExxonMobil </w:t>
      </w:r>
      <w:r w:rsidR="00DA30A8">
        <w:rPr>
          <w:rFonts w:ascii="Century Schoolbook" w:hAnsi="Century Schoolbook" w:cs="Arial"/>
          <w:szCs w:val="26"/>
        </w:rPr>
        <w:t>were pum</w:t>
      </w:r>
      <w:r w:rsidR="0088756A">
        <w:rPr>
          <w:rFonts w:ascii="Century Schoolbook" w:hAnsi="Century Schoolbook" w:cs="Arial"/>
          <w:szCs w:val="26"/>
        </w:rPr>
        <w:t xml:space="preserve">ped to the onshore Las Flores facility and then </w:t>
      </w:r>
      <w:r w:rsidRPr="00395E41" w:rsidR="001F0C12">
        <w:rPr>
          <w:rFonts w:ascii="Century Schoolbook" w:hAnsi="Century Schoolbook" w:cs="Arial"/>
          <w:szCs w:val="26"/>
        </w:rPr>
        <w:t xml:space="preserve">entered Plains Line 901, which ran up the coast and connected to Plains Line 903.  Line 903 also transported oil from </w:t>
      </w:r>
      <w:r w:rsidR="00067AAF">
        <w:rPr>
          <w:rFonts w:ascii="Century Schoolbook" w:hAnsi="Century Schoolbook" w:cs="Arial"/>
          <w:szCs w:val="26"/>
        </w:rPr>
        <w:t xml:space="preserve">platforms operated by mining company </w:t>
      </w:r>
      <w:r w:rsidRPr="00395E41" w:rsidR="001F0C12">
        <w:rPr>
          <w:rFonts w:ascii="Century Schoolbook" w:hAnsi="Century Schoolbook" w:cs="Arial"/>
          <w:szCs w:val="26"/>
        </w:rPr>
        <w:t>Freeport</w:t>
      </w:r>
      <w:r w:rsidR="008556F2">
        <w:rPr>
          <w:rFonts w:ascii="Century Schoolbook" w:hAnsi="Century Schoolbook" w:cs="Arial"/>
          <w:szCs w:val="26"/>
        </w:rPr>
        <w:t>-</w:t>
      </w:r>
      <w:r w:rsidRPr="00395E41" w:rsidR="001F0C12">
        <w:rPr>
          <w:rFonts w:ascii="Century Schoolbook" w:hAnsi="Century Schoolbook" w:cs="Arial"/>
          <w:szCs w:val="26"/>
        </w:rPr>
        <w:t xml:space="preserve">McMoRan. </w:t>
      </w:r>
      <w:r w:rsidRPr="00DC7261">
        <w:rPr>
          <w:rFonts w:ascii="Century Schoolbook" w:hAnsi="Century Schoolbook" w:cs="Arial"/>
          <w:szCs w:val="26"/>
        </w:rPr>
        <w:t xml:space="preserve"> Before Venoco entered an agreement with Plains in 2011 to use Line 901, oil was shipped by barge.  </w:t>
      </w:r>
    </w:p>
    <w:p w:rsidR="00111BFE" w:rsidP="00222DE2" w14:paraId="71BA7AFC" w14:textId="57BD262F">
      <w:pPr>
        <w:spacing w:line="288" w:lineRule="auto"/>
        <w:ind w:firstLine="720"/>
        <w:rPr>
          <w:rFonts w:ascii="Century Schoolbook" w:hAnsi="Century Schoolbook"/>
          <w:position w:val="6"/>
          <w:szCs w:val="26"/>
        </w:rPr>
      </w:pPr>
      <w:r w:rsidRPr="00395E41">
        <w:rPr>
          <w:rFonts w:ascii="Century Schoolbook" w:hAnsi="Century Schoolbook" w:cs="Arial"/>
          <w:szCs w:val="26"/>
        </w:rPr>
        <w:t xml:space="preserve">Plains failed to reasonably monitor, </w:t>
      </w:r>
      <w:r w:rsidRPr="00395E41" w:rsidR="006C2200">
        <w:rPr>
          <w:rFonts w:ascii="Century Schoolbook" w:hAnsi="Century Schoolbook" w:cs="Arial"/>
          <w:szCs w:val="26"/>
        </w:rPr>
        <w:t>maintain,</w:t>
      </w:r>
      <w:r w:rsidRPr="00395E41">
        <w:rPr>
          <w:rFonts w:ascii="Century Schoolbook" w:hAnsi="Century Schoolbook" w:cs="Arial"/>
          <w:szCs w:val="26"/>
        </w:rPr>
        <w:t xml:space="preserve"> and repair Line 901.  The pipeline walls, originally 0.344 inches thick, were corroded 89 percent.  </w:t>
      </w:r>
      <w:r w:rsidR="008D35C4">
        <w:rPr>
          <w:rFonts w:ascii="Century Schoolbook" w:hAnsi="Century Schoolbook" w:cs="Arial"/>
          <w:szCs w:val="26"/>
        </w:rPr>
        <w:t>T</w:t>
      </w:r>
      <w:r w:rsidRPr="00395E41">
        <w:rPr>
          <w:rFonts w:ascii="Century Schoolbook" w:hAnsi="Century Schoolbook" w:cs="Arial"/>
          <w:szCs w:val="26"/>
        </w:rPr>
        <w:t>he</w:t>
      </w:r>
      <w:r w:rsidRPr="00395E41" w:rsidR="004A23B3">
        <w:rPr>
          <w:rFonts w:ascii="Century Schoolbook" w:hAnsi="Century Schoolbook" w:cs="Arial"/>
          <w:szCs w:val="26"/>
        </w:rPr>
        <w:t xml:space="preserve"> </w:t>
      </w:r>
      <w:r w:rsidRPr="00395E41">
        <w:rPr>
          <w:rFonts w:ascii="Century Schoolbook" w:hAnsi="Century Schoolbook" w:cs="Arial"/>
          <w:szCs w:val="26"/>
        </w:rPr>
        <w:t>pipeline ruptured near Refugio State Beach on May 19, 2015, spilling over 142,000 gallons of crude oil into the ocean and onto the beach</w:t>
      </w:r>
      <w:r w:rsidR="005576BB">
        <w:rPr>
          <w:rFonts w:ascii="Century Schoolbook" w:hAnsi="Century Schoolbook" w:cs="Arial"/>
          <w:szCs w:val="26"/>
        </w:rPr>
        <w:t xml:space="preserve"> </w:t>
      </w:r>
      <w:r w:rsidR="005811CB">
        <w:rPr>
          <w:rFonts w:ascii="Century Schoolbook" w:hAnsi="Century Schoolbook" w:cs="Arial"/>
          <w:szCs w:val="26"/>
        </w:rPr>
        <w:t xml:space="preserve">over the course of approximately </w:t>
      </w:r>
      <w:r w:rsidR="005576BB">
        <w:rPr>
          <w:rFonts w:ascii="Century Schoolbook" w:hAnsi="Century Schoolbook" w:cs="Arial"/>
          <w:szCs w:val="26"/>
        </w:rPr>
        <w:t>3</w:t>
      </w:r>
      <w:r w:rsidR="005811CB">
        <w:rPr>
          <w:rFonts w:ascii="Century Schoolbook" w:hAnsi="Century Schoolbook" w:cs="Arial"/>
          <w:szCs w:val="26"/>
        </w:rPr>
        <w:t xml:space="preserve">5 </w:t>
      </w:r>
      <w:r w:rsidR="005576BB">
        <w:rPr>
          <w:rFonts w:ascii="Century Schoolbook" w:hAnsi="Century Schoolbook" w:cs="Arial"/>
          <w:szCs w:val="26"/>
        </w:rPr>
        <w:t>minutes</w:t>
      </w:r>
      <w:r w:rsidRPr="00395E41">
        <w:rPr>
          <w:rFonts w:ascii="Century Schoolbook" w:hAnsi="Century Schoolbook" w:cs="Arial"/>
          <w:szCs w:val="26"/>
        </w:rPr>
        <w:t xml:space="preserve">.  Line 903 was also corroded but did not rupture.  Regulators ordered Plains to shut </w:t>
      </w:r>
      <w:r w:rsidRPr="00AD378E">
        <w:rPr>
          <w:rFonts w:ascii="Century Schoolbook" w:hAnsi="Century Schoolbook" w:cs="Arial"/>
          <w:szCs w:val="26"/>
        </w:rPr>
        <w:t xml:space="preserve">down </w:t>
      </w:r>
      <w:r w:rsidR="00833368">
        <w:rPr>
          <w:rFonts w:ascii="Century Schoolbook" w:hAnsi="Century Schoolbook" w:cs="Arial"/>
          <w:szCs w:val="26"/>
        </w:rPr>
        <w:t>both pipelines</w:t>
      </w:r>
      <w:r w:rsidRPr="00AD378E">
        <w:rPr>
          <w:rFonts w:ascii="Century Schoolbook" w:hAnsi="Century Schoolbook" w:cs="Arial"/>
          <w:szCs w:val="26"/>
        </w:rPr>
        <w:t xml:space="preserve"> until repairs could be approved.  </w:t>
      </w:r>
    </w:p>
    <w:p w:rsidR="00222DE2" w:rsidRPr="00D42AE1" w:rsidP="00774C76" w14:paraId="484987FF" w14:textId="49A71799">
      <w:pPr>
        <w:spacing w:line="288" w:lineRule="auto"/>
        <w:ind w:firstLine="720"/>
        <w:rPr>
          <w:rFonts w:ascii="Century Schoolbook" w:hAnsi="Century Schoolbook" w:cs="Arial"/>
          <w:szCs w:val="26"/>
        </w:rPr>
      </w:pPr>
      <w:r w:rsidRPr="00D42AE1">
        <w:rPr>
          <w:rFonts w:ascii="Century Schoolbook" w:hAnsi="Century Schoolbook" w:cs="Arial"/>
          <w:szCs w:val="26"/>
        </w:rPr>
        <w:t>Plains could have replaced the damaged portion of the pipeline and resumed operations in a few weeks, but decided instead to replace</w:t>
      </w:r>
      <w:r w:rsidRPr="00D42AE1" w:rsidR="0054462D">
        <w:rPr>
          <w:rFonts w:ascii="Century Schoolbook" w:hAnsi="Century Schoolbook" w:cs="Arial"/>
          <w:szCs w:val="26"/>
        </w:rPr>
        <w:t xml:space="preserve"> Line 901</w:t>
      </w:r>
      <w:r w:rsidRPr="00D42AE1" w:rsidR="001C7CAB">
        <w:rPr>
          <w:rFonts w:ascii="Century Schoolbook" w:hAnsi="Century Schoolbook" w:cs="Arial"/>
          <w:szCs w:val="26"/>
        </w:rPr>
        <w:t>.  Plains</w:t>
      </w:r>
      <w:r w:rsidRPr="00D42AE1">
        <w:rPr>
          <w:rFonts w:ascii="Century Schoolbook" w:hAnsi="Century Schoolbook" w:cs="Arial"/>
          <w:szCs w:val="26"/>
        </w:rPr>
        <w:t xml:space="preserve"> </w:t>
      </w:r>
      <w:r w:rsidRPr="00D42AE1" w:rsidR="002C6E21">
        <w:rPr>
          <w:rFonts w:ascii="Century Schoolbook" w:hAnsi="Century Schoolbook" w:cs="Arial"/>
          <w:szCs w:val="26"/>
        </w:rPr>
        <w:t xml:space="preserve">then </w:t>
      </w:r>
      <w:r w:rsidRPr="00D42AE1">
        <w:rPr>
          <w:rFonts w:ascii="Century Schoolbook" w:hAnsi="Century Schoolbook" w:cs="Arial"/>
          <w:szCs w:val="26"/>
        </w:rPr>
        <w:t xml:space="preserve">faced regulatory delays. </w:t>
      </w:r>
      <w:r w:rsidRPr="00D42AE1" w:rsidR="00EA4005">
        <w:rPr>
          <w:rFonts w:ascii="Century Schoolbook" w:hAnsi="Century Schoolbook" w:cs="Arial"/>
          <w:szCs w:val="26"/>
        </w:rPr>
        <w:t xml:space="preserve"> </w:t>
      </w:r>
      <w:r w:rsidRPr="00774C76" w:rsidR="00774C76">
        <w:rPr>
          <w:rFonts w:ascii="Century Schoolbook" w:hAnsi="Century Schoolbook" w:cs="Arial"/>
          <w:szCs w:val="26"/>
        </w:rPr>
        <w:t xml:space="preserve">Neither pipeline has reopened.   </w:t>
      </w:r>
    </w:p>
    <w:p w:rsidR="009E7AA6" w:rsidRPr="003D374F" w:rsidP="00222DE2" w14:paraId="0DCFFEEE" w14:textId="22929B39">
      <w:pPr>
        <w:spacing w:line="288" w:lineRule="auto"/>
        <w:ind w:firstLine="720"/>
        <w:rPr>
          <w:rFonts w:ascii="Century Schoolbook" w:hAnsi="Century Schoolbook" w:cs="Arial"/>
          <w:szCs w:val="26"/>
        </w:rPr>
      </w:pPr>
      <w:r w:rsidRPr="00D42AE1">
        <w:rPr>
          <w:rFonts w:ascii="Century Schoolbook" w:hAnsi="Century Schoolbook" w:cs="Arial"/>
          <w:szCs w:val="26"/>
        </w:rPr>
        <w:t>Oil p</w:t>
      </w:r>
      <w:r w:rsidRPr="00D42AE1">
        <w:rPr>
          <w:rFonts w:ascii="Century Schoolbook" w:hAnsi="Century Schoolbook" w:cs="Arial"/>
          <w:szCs w:val="26"/>
        </w:rPr>
        <w:t>latforms that had used Lines 901 and 903</w:t>
      </w:r>
      <w:r w:rsidRPr="00D42AE1" w:rsidR="00C76640">
        <w:rPr>
          <w:rFonts w:ascii="Century Schoolbook" w:hAnsi="Century Schoolbook" w:cs="Arial"/>
          <w:szCs w:val="26"/>
        </w:rPr>
        <w:t xml:space="preserve"> were closed by their operators.  </w:t>
      </w:r>
      <w:r w:rsidRPr="00D42AE1" w:rsidR="00F72C42">
        <w:rPr>
          <w:rFonts w:ascii="Century Schoolbook" w:hAnsi="Century Schoolbook" w:cs="Arial"/>
          <w:szCs w:val="26"/>
        </w:rPr>
        <w:t>Petitioners presented evidence</w:t>
      </w:r>
      <w:r w:rsidRPr="00D42AE1" w:rsidR="005A23F9">
        <w:rPr>
          <w:rFonts w:ascii="Century Schoolbook" w:hAnsi="Century Schoolbook" w:cs="Arial"/>
          <w:szCs w:val="26"/>
        </w:rPr>
        <w:t xml:space="preserve"> that</w:t>
      </w:r>
      <w:r w:rsidRPr="00D42AE1" w:rsidR="007C1893">
        <w:rPr>
          <w:rFonts w:ascii="Century Schoolbook" w:hAnsi="Century Schoolbook" w:cs="Arial"/>
          <w:szCs w:val="26"/>
        </w:rPr>
        <w:t xml:space="preserve"> workers </w:t>
      </w:r>
      <w:r w:rsidRPr="00D42AE1" w:rsidR="005758E3">
        <w:rPr>
          <w:rFonts w:ascii="Century Schoolbook" w:hAnsi="Century Schoolbook" w:cs="Arial"/>
          <w:szCs w:val="26"/>
        </w:rPr>
        <w:t xml:space="preserve">were </w:t>
      </w:r>
      <w:r w:rsidRPr="00D42AE1" w:rsidR="007C1893">
        <w:rPr>
          <w:rFonts w:ascii="Century Schoolbook" w:hAnsi="Century Schoolbook" w:cs="Arial"/>
          <w:szCs w:val="26"/>
        </w:rPr>
        <w:t xml:space="preserve">laid off </w:t>
      </w:r>
      <w:r w:rsidRPr="00B26A71" w:rsidR="005758E3">
        <w:rPr>
          <w:rFonts w:ascii="Century Schoolbook" w:hAnsi="Century Schoolbook" w:cs="Arial"/>
          <w:szCs w:val="26"/>
        </w:rPr>
        <w:t>because of</w:t>
      </w:r>
      <w:r w:rsidRPr="00D42AE1" w:rsidR="007C1893">
        <w:rPr>
          <w:rFonts w:ascii="Century Schoolbook" w:hAnsi="Century Schoolbook" w:cs="Arial"/>
          <w:szCs w:val="26"/>
        </w:rPr>
        <w:t xml:space="preserve"> the pipeline closures. </w:t>
      </w:r>
      <w:r w:rsidRPr="00B26A71" w:rsidR="005758E3">
        <w:rPr>
          <w:rFonts w:ascii="Century Schoolbook" w:hAnsi="Century Schoolbook" w:cs="Arial"/>
          <w:szCs w:val="26"/>
        </w:rPr>
        <w:t xml:space="preserve"> </w:t>
      </w:r>
      <w:r w:rsidRPr="00D42AE1" w:rsidR="00C76640">
        <w:rPr>
          <w:rFonts w:ascii="Century Schoolbook" w:hAnsi="Century Schoolbook" w:cs="Arial"/>
          <w:szCs w:val="26"/>
        </w:rPr>
        <w:t xml:space="preserve">Plains presented evidence that the closures were largely caused by </w:t>
      </w:r>
      <w:r w:rsidRPr="00D42AE1" w:rsidR="00B438D9">
        <w:rPr>
          <w:rFonts w:ascii="Century Schoolbook" w:hAnsi="Century Schoolbook" w:cs="Arial"/>
          <w:szCs w:val="26"/>
        </w:rPr>
        <w:t xml:space="preserve">industrywide </w:t>
      </w:r>
      <w:r w:rsidRPr="00D42AE1" w:rsidR="00907909">
        <w:rPr>
          <w:rFonts w:ascii="Century Schoolbook" w:hAnsi="Century Schoolbook" w:cs="Arial"/>
          <w:szCs w:val="26"/>
        </w:rPr>
        <w:t xml:space="preserve">economic conditions unrelated to the pipeline closures. </w:t>
      </w:r>
      <w:r w:rsidRPr="00D42AE1" w:rsidR="00C1601C">
        <w:rPr>
          <w:rFonts w:ascii="Century Schoolbook" w:hAnsi="Century Schoolbook" w:cs="Arial"/>
          <w:szCs w:val="26"/>
        </w:rPr>
        <w:t xml:space="preserve"> </w:t>
      </w:r>
    </w:p>
    <w:p w:rsidR="001F0C12" w:rsidP="004B0B16" w14:paraId="12E8B080" w14:textId="28ED2756">
      <w:pPr>
        <w:spacing w:line="288" w:lineRule="auto"/>
        <w:ind w:firstLine="720"/>
        <w:rPr>
          <w:rFonts w:ascii="Century Schoolbook" w:hAnsi="Century Schoolbook" w:cs="Arial"/>
          <w:szCs w:val="26"/>
        </w:rPr>
      </w:pPr>
      <w:r w:rsidRPr="00395E41">
        <w:rPr>
          <w:rFonts w:ascii="Century Schoolbook" w:hAnsi="Century Schoolbook" w:cs="Arial"/>
          <w:szCs w:val="26"/>
        </w:rPr>
        <w:t>Plains was convicted of causing the discharge of oil into the waters of the state, a felony.  (Gov. Code § 8670.64, subd. (a)(3).)</w:t>
      </w:r>
      <w:r>
        <w:rPr>
          <w:rFonts w:ascii="Century Schoolbook" w:hAnsi="Century Schoolbook" w:cs="Arial"/>
          <w:position w:val="8"/>
          <w:sz w:val="20"/>
        </w:rPr>
        <w:footnoteReference w:id="3"/>
      </w:r>
      <w:r w:rsidRPr="00395E41">
        <w:rPr>
          <w:rFonts w:ascii="Century Schoolbook" w:hAnsi="Century Schoolbook" w:cs="Arial"/>
          <w:szCs w:val="26"/>
        </w:rPr>
        <w:t xml:space="preserve">  The court </w:t>
      </w:r>
      <w:r w:rsidR="00B92D07">
        <w:rPr>
          <w:rFonts w:ascii="Century Schoolbook" w:hAnsi="Century Schoolbook" w:cs="Arial"/>
          <w:szCs w:val="26"/>
        </w:rPr>
        <w:t>did not place Plains on probation</w:t>
      </w:r>
      <w:r w:rsidR="00577CB4">
        <w:rPr>
          <w:rFonts w:ascii="Century Schoolbook" w:hAnsi="Century Schoolbook" w:cs="Arial"/>
          <w:szCs w:val="26"/>
        </w:rPr>
        <w:t xml:space="preserve">.  It </w:t>
      </w:r>
      <w:r w:rsidRPr="00395E41">
        <w:rPr>
          <w:rFonts w:ascii="Century Schoolbook" w:hAnsi="Century Schoolbook" w:cs="Arial"/>
          <w:szCs w:val="26"/>
        </w:rPr>
        <w:t xml:space="preserve">sentenced </w:t>
      </w:r>
      <w:r w:rsidR="00577CB4">
        <w:rPr>
          <w:rFonts w:ascii="Century Schoolbook" w:hAnsi="Century Schoolbook" w:cs="Arial"/>
          <w:szCs w:val="26"/>
        </w:rPr>
        <w:t xml:space="preserve">Plains to </w:t>
      </w:r>
      <w:r w:rsidR="00EB7F11">
        <w:rPr>
          <w:rFonts w:ascii="Century Schoolbook" w:hAnsi="Century Schoolbook" w:cs="Arial"/>
          <w:szCs w:val="26"/>
        </w:rPr>
        <w:t>the</w:t>
      </w:r>
      <w:r w:rsidR="00577CB4">
        <w:rPr>
          <w:rFonts w:ascii="Century Schoolbook" w:hAnsi="Century Schoolbook" w:cs="Arial"/>
          <w:szCs w:val="26"/>
        </w:rPr>
        <w:t xml:space="preserve"> </w:t>
      </w:r>
      <w:r w:rsidRPr="00395E41">
        <w:rPr>
          <w:rFonts w:ascii="Century Schoolbook" w:hAnsi="Century Schoolbook" w:cs="Arial"/>
          <w:szCs w:val="26"/>
        </w:rPr>
        <w:t xml:space="preserve">maximum fine of $3,347,650. </w:t>
      </w:r>
    </w:p>
    <w:p w:rsidR="0024466F" w:rsidP="00E066BE" w14:paraId="4B8665B2" w14:textId="7C73430F">
      <w:pPr>
        <w:spacing w:line="288" w:lineRule="auto"/>
        <w:ind w:firstLine="720"/>
        <w:rPr>
          <w:rFonts w:ascii="Century Schoolbook" w:hAnsi="Century Schoolbook" w:cs="Arial"/>
          <w:szCs w:val="26"/>
        </w:rPr>
      </w:pPr>
      <w:r>
        <w:rPr>
          <w:rFonts w:ascii="Century Schoolbook" w:hAnsi="Century Schoolbook" w:cs="Arial"/>
          <w:szCs w:val="26"/>
        </w:rPr>
        <w:t xml:space="preserve">The court held restitution </w:t>
      </w:r>
      <w:r w:rsidR="00D63434">
        <w:rPr>
          <w:rFonts w:ascii="Century Schoolbook" w:hAnsi="Century Schoolbook" w:cs="Arial"/>
          <w:szCs w:val="26"/>
        </w:rPr>
        <w:t>hearings</w:t>
      </w:r>
      <w:r>
        <w:rPr>
          <w:rFonts w:ascii="Century Schoolbook" w:hAnsi="Century Schoolbook" w:cs="Arial"/>
          <w:szCs w:val="26"/>
        </w:rPr>
        <w:t xml:space="preserve"> after entry of judgment.  (Pen. Code, §</w:t>
      </w:r>
      <w:r w:rsidR="00DB66D1">
        <w:rPr>
          <w:rFonts w:ascii="Century Schoolbook" w:hAnsi="Century Schoolbook" w:cs="Arial"/>
          <w:szCs w:val="26"/>
        </w:rPr>
        <w:t>§</w:t>
      </w:r>
      <w:r>
        <w:rPr>
          <w:rFonts w:ascii="Century Schoolbook" w:hAnsi="Century Schoolbook" w:cs="Arial"/>
          <w:szCs w:val="26"/>
        </w:rPr>
        <w:t xml:space="preserve"> 1202.4, subd. (f)</w:t>
      </w:r>
      <w:r w:rsidR="00DB66D1">
        <w:rPr>
          <w:rFonts w:ascii="Century Schoolbook" w:hAnsi="Century Schoolbook" w:cs="Arial"/>
          <w:szCs w:val="26"/>
        </w:rPr>
        <w:t>, 1202.4</w:t>
      </w:r>
      <w:r w:rsidR="007F07DF">
        <w:rPr>
          <w:rFonts w:ascii="Century Schoolbook" w:hAnsi="Century Schoolbook" w:cs="Arial"/>
          <w:szCs w:val="26"/>
        </w:rPr>
        <w:t>6</w:t>
      </w:r>
      <w:r>
        <w:rPr>
          <w:rFonts w:ascii="Century Schoolbook" w:hAnsi="Century Schoolbook" w:cs="Arial"/>
          <w:szCs w:val="26"/>
        </w:rPr>
        <w:t>.)</w:t>
      </w:r>
      <w:r w:rsidR="0064443F">
        <w:rPr>
          <w:rFonts w:ascii="Century Schoolbook" w:hAnsi="Century Schoolbook" w:cs="Arial"/>
          <w:szCs w:val="26"/>
        </w:rPr>
        <w:t xml:space="preserve">  </w:t>
      </w:r>
      <w:r w:rsidR="00E45D94">
        <w:rPr>
          <w:rFonts w:ascii="Century Schoolbook" w:hAnsi="Century Schoolbook" w:cs="Arial"/>
          <w:szCs w:val="26"/>
        </w:rPr>
        <w:t xml:space="preserve">It </w:t>
      </w:r>
      <w:bookmarkStart w:id="2" w:name="_Hlk133939749"/>
      <w:r w:rsidRPr="00395E41" w:rsidR="00482A0D">
        <w:rPr>
          <w:rFonts w:ascii="Century Schoolbook" w:hAnsi="Century Schoolbook" w:cs="Arial"/>
          <w:szCs w:val="26"/>
        </w:rPr>
        <w:t>ordered that all claim</w:t>
      </w:r>
      <w:r w:rsidR="00E45D94">
        <w:rPr>
          <w:rFonts w:ascii="Century Schoolbook" w:hAnsi="Century Schoolbook" w:cs="Arial"/>
          <w:szCs w:val="26"/>
        </w:rPr>
        <w:t>s</w:t>
      </w:r>
      <w:r w:rsidR="005D6E94">
        <w:rPr>
          <w:rFonts w:ascii="Century Schoolbook" w:hAnsi="Century Schoolbook" w:cs="Arial"/>
          <w:szCs w:val="26"/>
        </w:rPr>
        <w:t xml:space="preserve"> </w:t>
      </w:r>
      <w:r w:rsidRPr="00395E41" w:rsidR="00482A0D">
        <w:rPr>
          <w:rFonts w:ascii="Century Schoolbook" w:hAnsi="Century Schoolbook" w:cs="Arial"/>
          <w:szCs w:val="26"/>
        </w:rPr>
        <w:t>identif</w:t>
      </w:r>
      <w:r w:rsidR="00E45D94">
        <w:rPr>
          <w:rFonts w:ascii="Century Schoolbook" w:hAnsi="Century Schoolbook" w:cs="Arial"/>
          <w:szCs w:val="26"/>
        </w:rPr>
        <w:t xml:space="preserve">y </w:t>
      </w:r>
      <w:r w:rsidR="000C120D">
        <w:rPr>
          <w:rFonts w:ascii="Century Schoolbook" w:hAnsi="Century Schoolbook" w:cs="Arial"/>
          <w:szCs w:val="26"/>
        </w:rPr>
        <w:t>“</w:t>
      </w:r>
      <w:r w:rsidR="005D6E94">
        <w:rPr>
          <w:rFonts w:ascii="Century Schoolbook" w:hAnsi="Century Schoolbook" w:cs="Arial"/>
          <w:szCs w:val="26"/>
        </w:rPr>
        <w:t>the amount of restitution each claimant seeks”</w:t>
      </w:r>
      <w:r w:rsidR="00E45D94">
        <w:rPr>
          <w:rFonts w:ascii="Century Schoolbook" w:hAnsi="Century Schoolbook" w:cs="Arial"/>
          <w:szCs w:val="26"/>
        </w:rPr>
        <w:t xml:space="preserve"> based</w:t>
      </w:r>
      <w:r w:rsidRPr="00E45D94" w:rsidR="00E45D94">
        <w:rPr>
          <w:rFonts w:ascii="Century Schoolbook" w:hAnsi="Century Schoolbook" w:cs="Arial"/>
          <w:szCs w:val="26"/>
        </w:rPr>
        <w:t xml:space="preserve"> </w:t>
      </w:r>
      <w:r w:rsidR="00E45D94">
        <w:rPr>
          <w:rFonts w:ascii="Century Schoolbook" w:hAnsi="Century Schoolbook" w:cs="Arial"/>
          <w:szCs w:val="26"/>
        </w:rPr>
        <w:t xml:space="preserve">on </w:t>
      </w:r>
      <w:r w:rsidRPr="00E45D94" w:rsidR="00E45D94">
        <w:rPr>
          <w:rFonts w:ascii="Century Schoolbook" w:hAnsi="Century Schoolbook" w:cs="Arial"/>
          <w:szCs w:val="26"/>
        </w:rPr>
        <w:t>spreadsheets</w:t>
      </w:r>
      <w:r w:rsidR="00763179">
        <w:rPr>
          <w:rFonts w:ascii="Century Schoolbook" w:hAnsi="Century Schoolbook" w:cs="Arial"/>
          <w:szCs w:val="26"/>
        </w:rPr>
        <w:t xml:space="preserve"> and supporting </w:t>
      </w:r>
      <w:r w:rsidRPr="00E45D94" w:rsidR="00E45D94">
        <w:rPr>
          <w:rFonts w:ascii="Century Schoolbook" w:hAnsi="Century Schoolbook" w:cs="Arial"/>
          <w:szCs w:val="26"/>
        </w:rPr>
        <w:t>declarations and documents</w:t>
      </w:r>
      <w:r w:rsidR="00E45D94">
        <w:rPr>
          <w:rFonts w:ascii="Century Schoolbook" w:hAnsi="Century Schoolbook" w:cs="Arial"/>
          <w:szCs w:val="26"/>
        </w:rPr>
        <w:t xml:space="preserve">, </w:t>
      </w:r>
      <w:r w:rsidR="00763179">
        <w:rPr>
          <w:rFonts w:ascii="Century Schoolbook" w:hAnsi="Century Schoolbook" w:cs="Arial"/>
          <w:szCs w:val="26"/>
        </w:rPr>
        <w:t xml:space="preserve">to be </w:t>
      </w:r>
      <w:r w:rsidRPr="00E45D94" w:rsidR="00E45D94">
        <w:rPr>
          <w:rFonts w:ascii="Century Schoolbook" w:hAnsi="Century Schoolbook" w:cs="Arial"/>
          <w:szCs w:val="26"/>
        </w:rPr>
        <w:t>filed six weeks before the restitution hearing</w:t>
      </w:r>
      <w:r w:rsidR="00E45D94">
        <w:rPr>
          <w:rFonts w:ascii="Century Schoolbook" w:hAnsi="Century Schoolbook" w:cs="Arial"/>
          <w:szCs w:val="26"/>
        </w:rPr>
        <w:t xml:space="preserve">. </w:t>
      </w:r>
      <w:bookmarkEnd w:id="2"/>
      <w:r w:rsidRPr="00395E41" w:rsidR="0063677C">
        <w:rPr>
          <w:rFonts w:ascii="Century Schoolbook" w:hAnsi="Century Schoolbook" w:cs="Arial"/>
          <w:szCs w:val="26"/>
        </w:rPr>
        <w:t xml:space="preserve"> </w:t>
      </w:r>
      <w:r w:rsidR="00B26A71">
        <w:rPr>
          <w:rFonts w:ascii="Century Schoolbook" w:hAnsi="Century Schoolbook" w:cs="Arial"/>
          <w:szCs w:val="26"/>
        </w:rPr>
        <w:t xml:space="preserve">The order </w:t>
      </w:r>
      <w:r w:rsidR="007D19CC">
        <w:rPr>
          <w:rFonts w:ascii="Century Schoolbook" w:hAnsi="Century Schoolbook" w:cs="Arial"/>
          <w:szCs w:val="26"/>
        </w:rPr>
        <w:t xml:space="preserve">did not </w:t>
      </w:r>
      <w:r w:rsidR="00B26A71">
        <w:rPr>
          <w:rFonts w:ascii="Century Schoolbook" w:hAnsi="Century Schoolbook" w:cs="Arial"/>
          <w:szCs w:val="26"/>
        </w:rPr>
        <w:t xml:space="preserve">permit </w:t>
      </w:r>
      <w:r w:rsidRPr="00395E41" w:rsidR="00C774D5">
        <w:rPr>
          <w:rFonts w:ascii="Century Schoolbook" w:hAnsi="Century Schoolbook" w:cs="Arial"/>
          <w:szCs w:val="26"/>
        </w:rPr>
        <w:t>“deviation from this schedule” and</w:t>
      </w:r>
      <w:r w:rsidR="007D19CC">
        <w:rPr>
          <w:rFonts w:ascii="Century Schoolbook" w:hAnsi="Century Schoolbook" w:cs="Arial"/>
          <w:szCs w:val="26"/>
        </w:rPr>
        <w:t xml:space="preserve"> prohibited</w:t>
      </w:r>
      <w:r w:rsidRPr="00395E41" w:rsidR="00C774D5">
        <w:rPr>
          <w:rFonts w:ascii="Century Schoolbook" w:hAnsi="Century Schoolbook" w:cs="Arial"/>
          <w:szCs w:val="26"/>
        </w:rPr>
        <w:t xml:space="preserve"> “supplemental claims</w:t>
      </w:r>
      <w:r w:rsidRPr="00395E41" w:rsidR="009D4DD5">
        <w:rPr>
          <w:rFonts w:ascii="Century Schoolbook" w:hAnsi="Century Schoolbook" w:cs="Arial"/>
          <w:szCs w:val="26"/>
        </w:rPr>
        <w:t>.</w:t>
      </w:r>
      <w:r w:rsidRPr="00395E41" w:rsidR="00C774D5">
        <w:rPr>
          <w:rFonts w:ascii="Century Schoolbook" w:hAnsi="Century Schoolbook" w:cs="Arial"/>
          <w:szCs w:val="26"/>
        </w:rPr>
        <w:t>”</w:t>
      </w:r>
      <w:r w:rsidRPr="00395E41" w:rsidR="009D4DD5">
        <w:rPr>
          <w:rFonts w:ascii="Century Schoolbook" w:hAnsi="Century Schoolbook" w:cs="Arial"/>
          <w:szCs w:val="26"/>
        </w:rPr>
        <w:t xml:space="preserve"> </w:t>
      </w:r>
      <w:r w:rsidRPr="00395E41" w:rsidR="00C960B8">
        <w:rPr>
          <w:rFonts w:ascii="Century Schoolbook" w:hAnsi="Century Schoolbook" w:cs="Arial"/>
          <w:szCs w:val="26"/>
        </w:rPr>
        <w:t xml:space="preserve"> </w:t>
      </w:r>
    </w:p>
    <w:p w:rsidR="002936CB" w:rsidRPr="00395E41" w:rsidP="001F0C12" w14:paraId="12A75D9E" w14:textId="15BCCF51">
      <w:pPr>
        <w:spacing w:line="288" w:lineRule="auto"/>
        <w:rPr>
          <w:rFonts w:ascii="Century Schoolbook" w:hAnsi="Century Schoolbook" w:cs="Arial"/>
          <w:szCs w:val="26"/>
        </w:rPr>
      </w:pPr>
      <w:r>
        <w:rPr>
          <w:rFonts w:ascii="Century Schoolbook" w:hAnsi="Century Schoolbook" w:cs="Arial"/>
          <w:szCs w:val="26"/>
        </w:rPr>
        <w:tab/>
        <w:t>The People</w:t>
      </w:r>
      <w:r w:rsidR="00CD6003">
        <w:rPr>
          <w:rFonts w:ascii="Century Schoolbook" w:hAnsi="Century Schoolbook" w:cs="Arial"/>
          <w:szCs w:val="26"/>
        </w:rPr>
        <w:t>, represented by the district attorney and the Attorney General,</w:t>
      </w:r>
      <w:r>
        <w:rPr>
          <w:rFonts w:ascii="Century Schoolbook" w:hAnsi="Century Schoolbook" w:cs="Arial"/>
          <w:szCs w:val="26"/>
        </w:rPr>
        <w:t xml:space="preserve"> sought </w:t>
      </w:r>
      <w:r w:rsidR="00246383">
        <w:rPr>
          <w:rFonts w:ascii="Century Schoolbook" w:hAnsi="Century Schoolbook" w:cs="Arial"/>
          <w:szCs w:val="26"/>
        </w:rPr>
        <w:t xml:space="preserve">restitution for claimants in each group.  </w:t>
      </w:r>
      <w:r w:rsidR="001E2397">
        <w:rPr>
          <w:rFonts w:ascii="Century Schoolbook" w:hAnsi="Century Schoolbook" w:cs="Arial"/>
          <w:szCs w:val="26"/>
        </w:rPr>
        <w:t>C</w:t>
      </w:r>
      <w:r w:rsidR="00425AF1">
        <w:rPr>
          <w:rFonts w:ascii="Century Schoolbook" w:hAnsi="Century Schoolbook" w:cs="Arial"/>
          <w:szCs w:val="26"/>
        </w:rPr>
        <w:t xml:space="preserve">laimants’ counsel </w:t>
      </w:r>
      <w:r w:rsidR="00246383">
        <w:rPr>
          <w:rFonts w:ascii="Century Schoolbook" w:hAnsi="Century Schoolbook" w:cs="Arial"/>
          <w:szCs w:val="26"/>
        </w:rPr>
        <w:t>sought restitution for additional claimants</w:t>
      </w:r>
      <w:r w:rsidR="001E2397">
        <w:rPr>
          <w:rFonts w:ascii="Century Schoolbook" w:hAnsi="Century Schoolbook" w:cs="Arial"/>
          <w:szCs w:val="26"/>
        </w:rPr>
        <w:t xml:space="preserve"> in each group</w:t>
      </w:r>
      <w:r w:rsidR="004D0845">
        <w:rPr>
          <w:rFonts w:ascii="Century Schoolbook" w:hAnsi="Century Schoolbook" w:cs="Arial"/>
          <w:szCs w:val="26"/>
        </w:rPr>
        <w:t xml:space="preserve">.  The </w:t>
      </w:r>
      <w:r w:rsidR="0007363F">
        <w:rPr>
          <w:rFonts w:ascii="Century Schoolbook" w:hAnsi="Century Schoolbook" w:cs="Arial"/>
          <w:szCs w:val="26"/>
        </w:rPr>
        <w:t xml:space="preserve">claimant </w:t>
      </w:r>
      <w:r w:rsidR="004D0845">
        <w:rPr>
          <w:rFonts w:ascii="Century Schoolbook" w:hAnsi="Century Schoolbook" w:cs="Arial"/>
          <w:szCs w:val="26"/>
        </w:rPr>
        <w:t>groups are as follows:</w:t>
      </w:r>
    </w:p>
    <w:p w:rsidR="004D0845" w:rsidP="00E860FD" w14:paraId="332E70B7" w14:textId="2BA9B369">
      <w:pPr>
        <w:spacing w:line="288" w:lineRule="auto"/>
        <w:jc w:val="center"/>
        <w:rPr>
          <w:rFonts w:ascii="Century Schoolbook" w:hAnsi="Century Schoolbook" w:cs="Arial"/>
          <w:szCs w:val="26"/>
        </w:rPr>
      </w:pPr>
      <w:r w:rsidRPr="004D0845">
        <w:rPr>
          <w:rFonts w:ascii="Century Schoolbook" w:hAnsi="Century Schoolbook" w:cs="Arial"/>
          <w:i/>
          <w:iCs/>
          <w:szCs w:val="26"/>
        </w:rPr>
        <w:t>Group 1: Claims under $10,000</w:t>
      </w:r>
    </w:p>
    <w:p w:rsidR="007E61B8" w:rsidRPr="00395E41" w:rsidP="00697633" w14:paraId="7AA88B4C" w14:textId="6CE08DA8">
      <w:pPr>
        <w:spacing w:line="288" w:lineRule="auto"/>
        <w:ind w:firstLine="720"/>
        <w:rPr>
          <w:rFonts w:ascii="Century Schoolbook" w:hAnsi="Century Schoolbook" w:cs="Arial"/>
          <w:szCs w:val="26"/>
        </w:rPr>
      </w:pPr>
      <w:r w:rsidRPr="004950D7">
        <w:rPr>
          <w:rFonts w:ascii="Century Schoolbook" w:hAnsi="Century Schoolbook" w:cs="Arial"/>
          <w:szCs w:val="26"/>
        </w:rPr>
        <w:t xml:space="preserve">The </w:t>
      </w:r>
      <w:r w:rsidR="00A04594">
        <w:rPr>
          <w:rFonts w:ascii="Century Schoolbook" w:hAnsi="Century Schoolbook" w:cs="Arial"/>
          <w:szCs w:val="26"/>
        </w:rPr>
        <w:t xml:space="preserve">trial </w:t>
      </w:r>
      <w:r w:rsidRPr="004950D7">
        <w:rPr>
          <w:rFonts w:ascii="Century Schoolbook" w:hAnsi="Century Schoolbook" w:cs="Arial"/>
          <w:szCs w:val="26"/>
        </w:rPr>
        <w:t xml:space="preserve">court </w:t>
      </w:r>
      <w:r w:rsidR="00A83492">
        <w:rPr>
          <w:rFonts w:ascii="Century Schoolbook" w:hAnsi="Century Schoolbook" w:cs="Arial"/>
          <w:szCs w:val="26"/>
        </w:rPr>
        <w:t xml:space="preserve">concluded that a </w:t>
      </w:r>
      <w:r w:rsidRPr="004950D7">
        <w:rPr>
          <w:rFonts w:ascii="Century Schoolbook" w:hAnsi="Century Schoolbook" w:cs="Arial"/>
          <w:szCs w:val="26"/>
        </w:rPr>
        <w:t xml:space="preserve">restitution hearing </w:t>
      </w:r>
      <w:r w:rsidR="00697633">
        <w:rPr>
          <w:rFonts w:ascii="Century Schoolbook" w:hAnsi="Century Schoolbook" w:cs="Arial"/>
          <w:szCs w:val="26"/>
        </w:rPr>
        <w:t xml:space="preserve">regarding Group 1 </w:t>
      </w:r>
      <w:r w:rsidRPr="004950D7">
        <w:rPr>
          <w:rFonts w:ascii="Century Schoolbook" w:hAnsi="Century Schoolbook" w:cs="Arial"/>
          <w:szCs w:val="26"/>
        </w:rPr>
        <w:t>was unnecessary</w:t>
      </w:r>
      <w:r w:rsidR="00697633">
        <w:rPr>
          <w:rFonts w:ascii="Century Schoolbook" w:hAnsi="Century Schoolbook" w:cs="Arial"/>
          <w:szCs w:val="26"/>
        </w:rPr>
        <w:t xml:space="preserve"> </w:t>
      </w:r>
      <w:r w:rsidRPr="004950D7">
        <w:rPr>
          <w:rFonts w:ascii="Century Schoolbook" w:hAnsi="Century Schoolbook" w:cs="Arial"/>
          <w:szCs w:val="26"/>
        </w:rPr>
        <w:t xml:space="preserve">because Plains agreed to pay the claimants “in full.” </w:t>
      </w:r>
      <w:r w:rsidR="00697633">
        <w:rPr>
          <w:rFonts w:ascii="Century Schoolbook" w:hAnsi="Century Schoolbook" w:cs="Arial"/>
          <w:szCs w:val="26"/>
        </w:rPr>
        <w:t xml:space="preserve"> </w:t>
      </w:r>
      <w:r w:rsidR="00486DB0">
        <w:rPr>
          <w:rFonts w:ascii="Century Schoolbook" w:hAnsi="Century Schoolbook" w:cs="Arial"/>
          <w:szCs w:val="26"/>
        </w:rPr>
        <w:t xml:space="preserve">No writ or appeal </w:t>
      </w:r>
      <w:r w:rsidR="007D32F0">
        <w:rPr>
          <w:rFonts w:ascii="Century Schoolbook" w:hAnsi="Century Schoolbook" w:cs="Arial"/>
          <w:szCs w:val="26"/>
        </w:rPr>
        <w:t>was</w:t>
      </w:r>
      <w:r w:rsidR="00486DB0">
        <w:rPr>
          <w:rFonts w:ascii="Century Schoolbook" w:hAnsi="Century Schoolbook" w:cs="Arial"/>
          <w:szCs w:val="26"/>
        </w:rPr>
        <w:t xml:space="preserve"> filed </w:t>
      </w:r>
      <w:r w:rsidR="007D32F0">
        <w:rPr>
          <w:rFonts w:ascii="Century Schoolbook" w:hAnsi="Century Schoolbook" w:cs="Arial"/>
          <w:szCs w:val="26"/>
        </w:rPr>
        <w:t>from</w:t>
      </w:r>
      <w:r w:rsidR="00486DB0">
        <w:rPr>
          <w:rFonts w:ascii="Century Schoolbook" w:hAnsi="Century Schoolbook" w:cs="Arial"/>
          <w:szCs w:val="26"/>
        </w:rPr>
        <w:t xml:space="preserve"> </w:t>
      </w:r>
      <w:r>
        <w:rPr>
          <w:rFonts w:ascii="Century Schoolbook" w:hAnsi="Century Schoolbook" w:cs="Arial"/>
          <w:szCs w:val="26"/>
        </w:rPr>
        <w:t>th</w:t>
      </w:r>
      <w:r w:rsidR="00523678">
        <w:rPr>
          <w:rFonts w:ascii="Century Schoolbook" w:hAnsi="Century Schoolbook" w:cs="Arial"/>
          <w:szCs w:val="26"/>
        </w:rPr>
        <w:t>is</w:t>
      </w:r>
      <w:r>
        <w:rPr>
          <w:rFonts w:ascii="Century Schoolbook" w:hAnsi="Century Schoolbook" w:cs="Arial"/>
          <w:szCs w:val="26"/>
        </w:rPr>
        <w:t xml:space="preserve"> ruling.</w:t>
      </w:r>
    </w:p>
    <w:p w:rsidR="0091185D" w:rsidP="00E860FD" w14:paraId="381582B4" w14:textId="285489BB">
      <w:pPr>
        <w:spacing w:line="288" w:lineRule="auto"/>
        <w:jc w:val="center"/>
        <w:rPr>
          <w:rFonts w:ascii="Century Schoolbook" w:hAnsi="Century Schoolbook" w:cs="Arial"/>
          <w:szCs w:val="26"/>
        </w:rPr>
      </w:pPr>
      <w:r w:rsidRPr="0091185D">
        <w:rPr>
          <w:rFonts w:ascii="Century Schoolbook" w:hAnsi="Century Schoolbook" w:cs="Arial"/>
          <w:i/>
          <w:iCs/>
          <w:szCs w:val="26"/>
        </w:rPr>
        <w:t>Group 2: Fishers</w:t>
      </w:r>
    </w:p>
    <w:p w:rsidR="00C955A2" w:rsidP="004F6EC2" w14:paraId="45E358D3" w14:textId="7DA765EE">
      <w:pPr>
        <w:spacing w:line="288" w:lineRule="auto"/>
        <w:ind w:firstLine="720"/>
        <w:rPr>
          <w:rFonts w:ascii="Century Schoolbook" w:hAnsi="Century Schoolbook" w:cs="Arial"/>
          <w:szCs w:val="26"/>
        </w:rPr>
      </w:pPr>
      <w:r>
        <w:rPr>
          <w:rFonts w:ascii="Century Schoolbook" w:hAnsi="Century Schoolbook" w:cs="Arial"/>
          <w:szCs w:val="26"/>
        </w:rPr>
        <w:t xml:space="preserve">This group included fishers </w:t>
      </w:r>
      <w:r w:rsidR="00A61BF1">
        <w:rPr>
          <w:rFonts w:ascii="Century Schoolbook" w:hAnsi="Century Schoolbook" w:cs="Arial"/>
          <w:szCs w:val="26"/>
        </w:rPr>
        <w:t>who claimed their</w:t>
      </w:r>
      <w:r w:rsidRPr="00395E41" w:rsidR="0024466F">
        <w:rPr>
          <w:rFonts w:ascii="Century Schoolbook" w:hAnsi="Century Schoolbook" w:cs="Arial"/>
          <w:szCs w:val="26"/>
        </w:rPr>
        <w:t xml:space="preserve"> catch decreased due to </w:t>
      </w:r>
      <w:r>
        <w:rPr>
          <w:rFonts w:ascii="Century Schoolbook" w:hAnsi="Century Schoolbook" w:cs="Arial"/>
          <w:szCs w:val="26"/>
        </w:rPr>
        <w:t xml:space="preserve">pollution from the </w:t>
      </w:r>
      <w:r w:rsidR="00523678">
        <w:rPr>
          <w:rFonts w:ascii="Century Schoolbook" w:hAnsi="Century Schoolbook" w:cs="Arial"/>
          <w:szCs w:val="26"/>
        </w:rPr>
        <w:t xml:space="preserve">oil </w:t>
      </w:r>
      <w:r>
        <w:rPr>
          <w:rFonts w:ascii="Century Schoolbook" w:hAnsi="Century Schoolbook" w:cs="Arial"/>
          <w:szCs w:val="26"/>
        </w:rPr>
        <w:t>spill</w:t>
      </w:r>
      <w:r w:rsidRPr="00395E41" w:rsidR="0024466F">
        <w:rPr>
          <w:rFonts w:ascii="Century Schoolbook" w:hAnsi="Century Schoolbook" w:cs="Arial"/>
          <w:szCs w:val="26"/>
        </w:rPr>
        <w:t>, and restaurants</w:t>
      </w:r>
      <w:r w:rsidRPr="00395E41" w:rsidR="004C0F44">
        <w:rPr>
          <w:rFonts w:ascii="Century Schoolbook" w:hAnsi="Century Schoolbook" w:cs="Arial"/>
          <w:szCs w:val="26"/>
        </w:rPr>
        <w:t xml:space="preserve"> </w:t>
      </w:r>
      <w:r w:rsidRPr="00395E41" w:rsidR="0024466F">
        <w:rPr>
          <w:rFonts w:ascii="Century Schoolbook" w:hAnsi="Century Schoolbook" w:cs="Arial"/>
          <w:szCs w:val="26"/>
        </w:rPr>
        <w:t xml:space="preserve">and other </w:t>
      </w:r>
      <w:r w:rsidR="000330CF">
        <w:rPr>
          <w:rFonts w:ascii="Century Schoolbook" w:hAnsi="Century Schoolbook" w:cs="Arial"/>
          <w:szCs w:val="26"/>
        </w:rPr>
        <w:t>“</w:t>
      </w:r>
      <w:r w:rsidRPr="00395E41" w:rsidR="0024466F">
        <w:rPr>
          <w:rFonts w:ascii="Century Schoolbook" w:hAnsi="Century Schoolbook" w:cs="Arial"/>
          <w:szCs w:val="26"/>
        </w:rPr>
        <w:t>tourism industry” businesses</w:t>
      </w:r>
      <w:r w:rsidRPr="00395E41" w:rsidR="004C0F44">
        <w:rPr>
          <w:rFonts w:ascii="Century Schoolbook" w:hAnsi="Century Schoolbook" w:cs="Arial"/>
          <w:szCs w:val="26"/>
        </w:rPr>
        <w:t xml:space="preserve"> </w:t>
      </w:r>
      <w:r w:rsidR="00A91CEE">
        <w:rPr>
          <w:rFonts w:ascii="Century Schoolbook" w:hAnsi="Century Schoolbook" w:cs="Arial"/>
          <w:szCs w:val="26"/>
        </w:rPr>
        <w:t xml:space="preserve">that </w:t>
      </w:r>
      <w:r w:rsidR="00523678">
        <w:rPr>
          <w:rFonts w:ascii="Century Schoolbook" w:hAnsi="Century Schoolbook" w:cs="Arial"/>
          <w:szCs w:val="26"/>
        </w:rPr>
        <w:t>claimed</w:t>
      </w:r>
      <w:r w:rsidRPr="00395E41" w:rsidR="0024466F">
        <w:rPr>
          <w:rFonts w:ascii="Century Schoolbook" w:hAnsi="Century Schoolbook" w:cs="Arial"/>
          <w:szCs w:val="26"/>
        </w:rPr>
        <w:t xml:space="preserve"> los</w:t>
      </w:r>
      <w:r w:rsidR="00BA1018">
        <w:rPr>
          <w:rFonts w:ascii="Century Schoolbook" w:hAnsi="Century Schoolbook" w:cs="Arial"/>
          <w:szCs w:val="26"/>
        </w:rPr>
        <w:t>t</w:t>
      </w:r>
      <w:r w:rsidRPr="00395E41" w:rsidR="0024466F">
        <w:rPr>
          <w:rFonts w:ascii="Century Schoolbook" w:hAnsi="Century Schoolbook" w:cs="Arial"/>
          <w:szCs w:val="26"/>
        </w:rPr>
        <w:t xml:space="preserve"> revenue </w:t>
      </w:r>
      <w:r w:rsidR="00523678">
        <w:rPr>
          <w:rFonts w:ascii="Century Schoolbook" w:hAnsi="Century Schoolbook" w:cs="Arial"/>
          <w:szCs w:val="26"/>
        </w:rPr>
        <w:t xml:space="preserve">due to </w:t>
      </w:r>
      <w:r w:rsidRPr="00395E41" w:rsidR="0024466F">
        <w:rPr>
          <w:rFonts w:ascii="Century Schoolbook" w:hAnsi="Century Schoolbook" w:cs="Arial"/>
          <w:szCs w:val="26"/>
        </w:rPr>
        <w:t xml:space="preserve">decreased business purportedly caused by the spill.  The People sought restitution for </w:t>
      </w:r>
      <w:r w:rsidRPr="00395E41" w:rsidR="003D6667">
        <w:rPr>
          <w:rFonts w:ascii="Century Schoolbook" w:hAnsi="Century Schoolbook" w:cs="Arial"/>
          <w:szCs w:val="26"/>
        </w:rPr>
        <w:t>1</w:t>
      </w:r>
      <w:r w:rsidR="004F6EC2">
        <w:rPr>
          <w:rFonts w:ascii="Century Schoolbook" w:hAnsi="Century Schoolbook" w:cs="Arial"/>
          <w:szCs w:val="26"/>
        </w:rPr>
        <w:t>6 claims</w:t>
      </w:r>
      <w:r w:rsidRPr="00395E41" w:rsidR="003D6667">
        <w:rPr>
          <w:rFonts w:ascii="Century Schoolbook" w:hAnsi="Century Schoolbook" w:cs="Arial"/>
          <w:szCs w:val="26"/>
        </w:rPr>
        <w:t xml:space="preserve"> </w:t>
      </w:r>
      <w:r w:rsidR="005E182A">
        <w:rPr>
          <w:rFonts w:ascii="Century Schoolbook" w:hAnsi="Century Schoolbook" w:cs="Arial"/>
          <w:szCs w:val="26"/>
        </w:rPr>
        <w:t xml:space="preserve">from 14 </w:t>
      </w:r>
      <w:r w:rsidR="006A7368">
        <w:rPr>
          <w:rFonts w:ascii="Century Schoolbook" w:hAnsi="Century Schoolbook" w:cs="Arial"/>
          <w:szCs w:val="26"/>
        </w:rPr>
        <w:t>claimants</w:t>
      </w:r>
      <w:r w:rsidR="00441BD9">
        <w:rPr>
          <w:rFonts w:ascii="Century Schoolbook" w:hAnsi="Century Schoolbook" w:cs="Arial"/>
          <w:szCs w:val="26"/>
        </w:rPr>
        <w:t xml:space="preserve"> </w:t>
      </w:r>
      <w:r w:rsidRPr="00395E41" w:rsidR="0024466F">
        <w:rPr>
          <w:rFonts w:ascii="Century Schoolbook" w:hAnsi="Century Schoolbook" w:cs="Arial"/>
          <w:szCs w:val="26"/>
        </w:rPr>
        <w:t>totaling approximately $3.2 million.</w:t>
      </w:r>
      <w:r w:rsidR="004F6EC2">
        <w:rPr>
          <w:rFonts w:ascii="Century Schoolbook" w:hAnsi="Century Schoolbook" w:cs="Arial"/>
          <w:szCs w:val="26"/>
        </w:rPr>
        <w:t xml:space="preserve">  </w:t>
      </w:r>
      <w:r w:rsidRPr="00395E41" w:rsidR="004D2FF2">
        <w:rPr>
          <w:rFonts w:ascii="Century Schoolbook" w:hAnsi="Century Schoolbook" w:cs="Arial"/>
          <w:szCs w:val="26"/>
        </w:rPr>
        <w:t>The claim</w:t>
      </w:r>
      <w:r w:rsidRPr="00395E41" w:rsidR="000918B5">
        <w:rPr>
          <w:rFonts w:ascii="Century Schoolbook" w:hAnsi="Century Schoolbook" w:cs="Arial"/>
          <w:szCs w:val="26"/>
        </w:rPr>
        <w:t>s</w:t>
      </w:r>
      <w:r w:rsidRPr="00395E41" w:rsidR="004D2FF2">
        <w:rPr>
          <w:rFonts w:ascii="Century Schoolbook" w:hAnsi="Century Schoolbook" w:cs="Arial"/>
          <w:szCs w:val="26"/>
        </w:rPr>
        <w:t xml:space="preserve"> included</w:t>
      </w:r>
      <w:r w:rsidRPr="00395E41" w:rsidR="000918B5">
        <w:rPr>
          <w:rFonts w:ascii="Century Schoolbook" w:hAnsi="Century Schoolbook" w:cs="Arial"/>
          <w:szCs w:val="26"/>
        </w:rPr>
        <w:t xml:space="preserve"> a fisherman whose catch decreased</w:t>
      </w:r>
      <w:r w:rsidRPr="00395E41" w:rsidR="00A47E06">
        <w:rPr>
          <w:rFonts w:ascii="Century Schoolbook" w:hAnsi="Century Schoolbook" w:cs="Arial"/>
          <w:szCs w:val="26"/>
        </w:rPr>
        <w:t>; oil damage to the paint of a sailboat; the cost of relocating crab pots;</w:t>
      </w:r>
      <w:r w:rsidRPr="00395E41" w:rsidR="009A5E4D">
        <w:rPr>
          <w:rFonts w:ascii="Century Schoolbook" w:hAnsi="Century Schoolbook" w:cs="Arial"/>
          <w:szCs w:val="26"/>
        </w:rPr>
        <w:t xml:space="preserve"> closure of an abalone farm</w:t>
      </w:r>
      <w:r>
        <w:rPr>
          <w:rFonts w:ascii="Century Schoolbook" w:hAnsi="Century Schoolbook" w:cs="Arial"/>
          <w:szCs w:val="26"/>
        </w:rPr>
        <w:t>;</w:t>
      </w:r>
      <w:r w:rsidRPr="00395E41" w:rsidR="00A47E06">
        <w:rPr>
          <w:rFonts w:ascii="Century Schoolbook" w:hAnsi="Century Schoolbook" w:cs="Arial"/>
          <w:szCs w:val="26"/>
        </w:rPr>
        <w:t xml:space="preserve"> and </w:t>
      </w:r>
      <w:r w:rsidRPr="00395E41" w:rsidR="000918B5">
        <w:rPr>
          <w:rFonts w:ascii="Century Schoolbook" w:hAnsi="Century Schoolbook" w:cs="Arial"/>
          <w:szCs w:val="26"/>
        </w:rPr>
        <w:t>decrease</w:t>
      </w:r>
      <w:r w:rsidRPr="00395E41" w:rsidR="00A47E06">
        <w:rPr>
          <w:rFonts w:ascii="Century Schoolbook" w:hAnsi="Century Schoolbook" w:cs="Arial"/>
          <w:szCs w:val="26"/>
        </w:rPr>
        <w:t>s</w:t>
      </w:r>
      <w:r w:rsidRPr="00395E41" w:rsidR="000918B5">
        <w:rPr>
          <w:rFonts w:ascii="Century Schoolbook" w:hAnsi="Century Schoolbook" w:cs="Arial"/>
          <w:szCs w:val="26"/>
        </w:rPr>
        <w:t xml:space="preserve"> in business to a wholesale fish business</w:t>
      </w:r>
      <w:r w:rsidRPr="00395E41" w:rsidR="00A47E06">
        <w:rPr>
          <w:rFonts w:ascii="Century Schoolbook" w:hAnsi="Century Schoolbook" w:cs="Arial"/>
          <w:szCs w:val="26"/>
        </w:rPr>
        <w:t>,</w:t>
      </w:r>
      <w:r w:rsidRPr="00395E41" w:rsidR="000918B5">
        <w:rPr>
          <w:rFonts w:ascii="Century Schoolbook" w:hAnsi="Century Schoolbook" w:cs="Arial"/>
          <w:szCs w:val="26"/>
        </w:rPr>
        <w:t xml:space="preserve"> </w:t>
      </w:r>
      <w:r w:rsidRPr="00395E41" w:rsidR="0054160D">
        <w:rPr>
          <w:rFonts w:ascii="Century Schoolbook" w:hAnsi="Century Schoolbook" w:cs="Arial"/>
          <w:szCs w:val="26"/>
        </w:rPr>
        <w:t xml:space="preserve">charter fishing </w:t>
      </w:r>
      <w:r w:rsidR="00310D39">
        <w:rPr>
          <w:rFonts w:ascii="Century Schoolbook" w:hAnsi="Century Schoolbook" w:cs="Arial"/>
          <w:szCs w:val="26"/>
        </w:rPr>
        <w:t xml:space="preserve">and whale watching </w:t>
      </w:r>
      <w:r w:rsidRPr="00395E41" w:rsidR="0054160D">
        <w:rPr>
          <w:rFonts w:ascii="Century Schoolbook" w:hAnsi="Century Schoolbook" w:cs="Arial"/>
          <w:szCs w:val="26"/>
        </w:rPr>
        <w:t>boat</w:t>
      </w:r>
      <w:r w:rsidR="00310D39">
        <w:rPr>
          <w:rFonts w:ascii="Century Schoolbook" w:hAnsi="Century Schoolbook" w:cs="Arial"/>
          <w:szCs w:val="26"/>
        </w:rPr>
        <w:t>s</w:t>
      </w:r>
      <w:r w:rsidRPr="00395E41" w:rsidR="0054160D">
        <w:rPr>
          <w:rFonts w:ascii="Century Schoolbook" w:hAnsi="Century Schoolbook" w:cs="Arial"/>
          <w:szCs w:val="26"/>
        </w:rPr>
        <w:t>, a bait and tackle shop,</w:t>
      </w:r>
      <w:r w:rsidRPr="00395E41" w:rsidR="005B482E">
        <w:rPr>
          <w:rFonts w:ascii="Century Schoolbook" w:hAnsi="Century Schoolbook" w:cs="Arial"/>
          <w:szCs w:val="26"/>
        </w:rPr>
        <w:t xml:space="preserve"> restaurant</w:t>
      </w:r>
      <w:r w:rsidRPr="00395E41" w:rsidR="004D267C">
        <w:rPr>
          <w:rFonts w:ascii="Century Schoolbook" w:hAnsi="Century Schoolbook" w:cs="Arial"/>
          <w:szCs w:val="26"/>
        </w:rPr>
        <w:t>s</w:t>
      </w:r>
      <w:r w:rsidRPr="00395E41" w:rsidR="005B482E">
        <w:rPr>
          <w:rFonts w:ascii="Century Schoolbook" w:hAnsi="Century Schoolbook" w:cs="Arial"/>
          <w:szCs w:val="26"/>
        </w:rPr>
        <w:t xml:space="preserve">, </w:t>
      </w:r>
      <w:r w:rsidRPr="00395E41" w:rsidR="00253933">
        <w:rPr>
          <w:rFonts w:ascii="Century Schoolbook" w:hAnsi="Century Schoolbook" w:cs="Arial"/>
          <w:szCs w:val="26"/>
        </w:rPr>
        <w:t xml:space="preserve">a candy shop, </w:t>
      </w:r>
      <w:r w:rsidRPr="00395E41" w:rsidR="00C42F37">
        <w:rPr>
          <w:rFonts w:ascii="Century Schoolbook" w:hAnsi="Century Schoolbook" w:cs="Arial"/>
          <w:szCs w:val="26"/>
        </w:rPr>
        <w:t>a sunglass</w:t>
      </w:r>
      <w:r w:rsidRPr="00395E41" w:rsidR="00A47E06">
        <w:rPr>
          <w:rFonts w:ascii="Century Schoolbook" w:hAnsi="Century Schoolbook" w:cs="Arial"/>
          <w:szCs w:val="26"/>
        </w:rPr>
        <w:t xml:space="preserve"> shop</w:t>
      </w:r>
      <w:r w:rsidRPr="00395E41" w:rsidR="00C42F37">
        <w:rPr>
          <w:rFonts w:ascii="Century Schoolbook" w:hAnsi="Century Schoolbook" w:cs="Arial"/>
          <w:szCs w:val="26"/>
        </w:rPr>
        <w:t>,</w:t>
      </w:r>
      <w:r w:rsidRPr="00395E41" w:rsidR="008E16C9">
        <w:rPr>
          <w:rFonts w:ascii="Century Schoolbook" w:hAnsi="Century Schoolbook" w:cs="Arial"/>
          <w:szCs w:val="26"/>
        </w:rPr>
        <w:t xml:space="preserve"> and </w:t>
      </w:r>
      <w:r w:rsidRPr="00395E41" w:rsidR="00F07CEE">
        <w:rPr>
          <w:rFonts w:ascii="Century Schoolbook" w:hAnsi="Century Schoolbook" w:cs="Arial"/>
          <w:szCs w:val="26"/>
        </w:rPr>
        <w:t>other retailers.</w:t>
      </w:r>
      <w:r w:rsidRPr="00395E41" w:rsidR="00C26579">
        <w:rPr>
          <w:rFonts w:ascii="Century Schoolbook" w:hAnsi="Century Schoolbook" w:cs="Arial"/>
          <w:szCs w:val="26"/>
        </w:rPr>
        <w:t xml:space="preserve"> </w:t>
      </w:r>
    </w:p>
    <w:p w:rsidR="00A03BE7" w:rsidRPr="00395E41" w:rsidP="0091185D" w14:paraId="2EC73E02" w14:textId="19FE5E10">
      <w:pPr>
        <w:spacing w:line="288" w:lineRule="auto"/>
        <w:ind w:firstLine="720"/>
        <w:rPr>
          <w:rFonts w:ascii="Arial" w:hAnsi="Arial" w:cs="Arial"/>
          <w:szCs w:val="26"/>
        </w:rPr>
      </w:pPr>
      <w:r w:rsidRPr="00395E41">
        <w:rPr>
          <w:rFonts w:ascii="Century Schoolbook" w:hAnsi="Century Schoolbook" w:cs="Arial"/>
          <w:szCs w:val="26"/>
        </w:rPr>
        <w:t>The court ordered</w:t>
      </w:r>
      <w:r w:rsidR="00210E42">
        <w:rPr>
          <w:rFonts w:ascii="Century Schoolbook" w:hAnsi="Century Schoolbook" w:cs="Arial"/>
          <w:szCs w:val="26"/>
        </w:rPr>
        <w:t xml:space="preserve"> </w:t>
      </w:r>
      <w:r w:rsidRPr="00395E41">
        <w:rPr>
          <w:rFonts w:ascii="Century Schoolbook" w:hAnsi="Century Schoolbook" w:cs="Arial"/>
          <w:szCs w:val="26"/>
        </w:rPr>
        <w:t>$81,294</w:t>
      </w:r>
      <w:r w:rsidR="00210E42">
        <w:rPr>
          <w:rFonts w:ascii="Century Schoolbook" w:hAnsi="Century Schoolbook" w:cs="Arial"/>
          <w:szCs w:val="26"/>
        </w:rPr>
        <w:t xml:space="preserve"> </w:t>
      </w:r>
      <w:r w:rsidR="0019497E">
        <w:rPr>
          <w:rFonts w:ascii="Century Schoolbook" w:hAnsi="Century Schoolbook" w:cs="Arial"/>
          <w:szCs w:val="26"/>
        </w:rPr>
        <w:t xml:space="preserve">in </w:t>
      </w:r>
      <w:r w:rsidRPr="00395E41">
        <w:rPr>
          <w:rFonts w:ascii="Century Schoolbook" w:hAnsi="Century Schoolbook" w:cs="Arial"/>
          <w:szCs w:val="26"/>
        </w:rPr>
        <w:t xml:space="preserve">restitution to five </w:t>
      </w:r>
      <w:r w:rsidR="0004331B">
        <w:rPr>
          <w:rFonts w:ascii="Century Schoolbook" w:hAnsi="Century Schoolbook" w:cs="Arial"/>
          <w:szCs w:val="26"/>
        </w:rPr>
        <w:t>claimants</w:t>
      </w:r>
      <w:r w:rsidR="003F7581">
        <w:rPr>
          <w:rFonts w:ascii="Century Schoolbook" w:hAnsi="Century Schoolbook" w:cs="Arial"/>
          <w:szCs w:val="26"/>
        </w:rPr>
        <w:t xml:space="preserve"> </w:t>
      </w:r>
      <w:r w:rsidR="00560452">
        <w:rPr>
          <w:rFonts w:ascii="Century Schoolbook" w:hAnsi="Century Schoolbook" w:cs="Arial"/>
          <w:szCs w:val="26"/>
        </w:rPr>
        <w:t xml:space="preserve">identified </w:t>
      </w:r>
      <w:r w:rsidR="003F7581">
        <w:rPr>
          <w:rFonts w:ascii="Century Schoolbook" w:hAnsi="Century Schoolbook" w:cs="Arial"/>
          <w:szCs w:val="26"/>
        </w:rPr>
        <w:t xml:space="preserve">by the </w:t>
      </w:r>
      <w:r w:rsidR="00CD6003">
        <w:rPr>
          <w:rFonts w:ascii="Century Schoolbook" w:hAnsi="Century Schoolbook" w:cs="Arial"/>
          <w:szCs w:val="26"/>
        </w:rPr>
        <w:t>People</w:t>
      </w:r>
      <w:r w:rsidR="00EB5DE7">
        <w:rPr>
          <w:rFonts w:ascii="Century Schoolbook" w:hAnsi="Century Schoolbook" w:cs="Arial"/>
          <w:szCs w:val="26"/>
        </w:rPr>
        <w:t xml:space="preserve">.  </w:t>
      </w:r>
      <w:r w:rsidR="0004331B">
        <w:rPr>
          <w:rFonts w:ascii="Century Schoolbook" w:hAnsi="Century Schoolbook" w:cs="Arial"/>
          <w:szCs w:val="26"/>
        </w:rPr>
        <w:t xml:space="preserve">It </w:t>
      </w:r>
      <w:r w:rsidRPr="00395E41">
        <w:rPr>
          <w:rFonts w:ascii="Century Schoolbook" w:hAnsi="Century Schoolbook" w:cs="Arial"/>
          <w:szCs w:val="26"/>
        </w:rPr>
        <w:t xml:space="preserve">denied restitution </w:t>
      </w:r>
      <w:r w:rsidR="0004331B">
        <w:rPr>
          <w:rFonts w:ascii="Century Schoolbook" w:hAnsi="Century Schoolbook" w:cs="Arial"/>
          <w:szCs w:val="26"/>
        </w:rPr>
        <w:t>to</w:t>
      </w:r>
      <w:r w:rsidR="00D02717">
        <w:rPr>
          <w:rFonts w:ascii="Century Schoolbook" w:hAnsi="Century Schoolbook" w:cs="Arial"/>
          <w:szCs w:val="26"/>
        </w:rPr>
        <w:t xml:space="preserve"> one</w:t>
      </w:r>
      <w:r w:rsidR="003F7581">
        <w:rPr>
          <w:rFonts w:ascii="Century Schoolbook" w:hAnsi="Century Schoolbook" w:cs="Arial"/>
          <w:szCs w:val="26"/>
        </w:rPr>
        <w:t xml:space="preserve"> claimant </w:t>
      </w:r>
      <w:r w:rsidR="00560452">
        <w:rPr>
          <w:rFonts w:ascii="Century Schoolbook" w:hAnsi="Century Schoolbook" w:cs="Arial"/>
          <w:szCs w:val="26"/>
        </w:rPr>
        <w:t xml:space="preserve">identified </w:t>
      </w:r>
      <w:r w:rsidR="003F7581">
        <w:rPr>
          <w:rFonts w:ascii="Century Schoolbook" w:hAnsi="Century Schoolbook" w:cs="Arial"/>
          <w:szCs w:val="26"/>
        </w:rPr>
        <w:t>by the</w:t>
      </w:r>
      <w:r w:rsidR="00CD6003">
        <w:rPr>
          <w:rFonts w:ascii="Century Schoolbook" w:hAnsi="Century Schoolbook" w:cs="Arial"/>
          <w:szCs w:val="26"/>
        </w:rPr>
        <w:t xml:space="preserve"> People</w:t>
      </w:r>
      <w:r w:rsidR="003F7581">
        <w:rPr>
          <w:rFonts w:ascii="Century Schoolbook" w:hAnsi="Century Schoolbook" w:cs="Arial"/>
          <w:szCs w:val="26"/>
        </w:rPr>
        <w:t xml:space="preserve"> and </w:t>
      </w:r>
      <w:r w:rsidR="0004331B">
        <w:rPr>
          <w:rFonts w:ascii="Century Schoolbook" w:hAnsi="Century Schoolbook" w:cs="Arial"/>
          <w:szCs w:val="26"/>
        </w:rPr>
        <w:t xml:space="preserve">three </w:t>
      </w:r>
      <w:r w:rsidR="00D02717">
        <w:rPr>
          <w:rFonts w:ascii="Century Schoolbook" w:hAnsi="Century Schoolbook" w:cs="Arial"/>
          <w:szCs w:val="26"/>
        </w:rPr>
        <w:t xml:space="preserve">individual </w:t>
      </w:r>
      <w:r w:rsidR="00777389">
        <w:rPr>
          <w:rFonts w:ascii="Century Schoolbook" w:hAnsi="Century Schoolbook" w:cs="Arial"/>
          <w:szCs w:val="26"/>
        </w:rPr>
        <w:t xml:space="preserve">claimants </w:t>
      </w:r>
      <w:r w:rsidR="00D02717">
        <w:rPr>
          <w:rFonts w:ascii="Century Schoolbook" w:hAnsi="Century Schoolbook" w:cs="Arial"/>
          <w:szCs w:val="26"/>
        </w:rPr>
        <w:t xml:space="preserve">identified </w:t>
      </w:r>
      <w:r w:rsidR="0004331B">
        <w:rPr>
          <w:rFonts w:ascii="Century Schoolbook" w:hAnsi="Century Schoolbook" w:cs="Arial"/>
          <w:szCs w:val="26"/>
        </w:rPr>
        <w:t>by</w:t>
      </w:r>
      <w:r w:rsidR="00777389">
        <w:rPr>
          <w:rFonts w:ascii="Century Schoolbook" w:hAnsi="Century Schoolbook" w:cs="Arial"/>
          <w:szCs w:val="26"/>
        </w:rPr>
        <w:t xml:space="preserve"> claimants’ counsel</w:t>
      </w:r>
      <w:r w:rsidR="00EB5DE7">
        <w:rPr>
          <w:rFonts w:ascii="Century Schoolbook" w:hAnsi="Century Schoolbook" w:cs="Arial"/>
          <w:szCs w:val="26"/>
        </w:rPr>
        <w:t xml:space="preserve">, concluding </w:t>
      </w:r>
      <w:r w:rsidR="00326E73">
        <w:rPr>
          <w:rFonts w:ascii="Century Schoolbook" w:hAnsi="Century Schoolbook" w:cs="Arial"/>
          <w:szCs w:val="26"/>
        </w:rPr>
        <w:t xml:space="preserve">they did not suffer any losses </w:t>
      </w:r>
      <w:r w:rsidR="0004331B">
        <w:rPr>
          <w:rFonts w:ascii="Century Schoolbook" w:hAnsi="Century Schoolbook" w:cs="Arial"/>
          <w:szCs w:val="26"/>
        </w:rPr>
        <w:t>because</w:t>
      </w:r>
      <w:r w:rsidR="00326E73">
        <w:rPr>
          <w:rFonts w:ascii="Century Schoolbook" w:hAnsi="Century Schoolbook" w:cs="Arial"/>
          <w:szCs w:val="26"/>
        </w:rPr>
        <w:t xml:space="preserve"> of the spill</w:t>
      </w:r>
      <w:r w:rsidRPr="00395E41">
        <w:rPr>
          <w:rFonts w:ascii="Century Schoolbook" w:hAnsi="Century Schoolbook" w:cs="Arial"/>
          <w:szCs w:val="26"/>
        </w:rPr>
        <w:t>.</w:t>
      </w:r>
      <w:r w:rsidR="008B6B01">
        <w:rPr>
          <w:rFonts w:ascii="Century Schoolbook" w:hAnsi="Century Schoolbook" w:cs="Arial"/>
          <w:szCs w:val="26"/>
        </w:rPr>
        <w:t xml:space="preserve">  </w:t>
      </w:r>
      <w:r w:rsidRPr="00395E41">
        <w:rPr>
          <w:rFonts w:ascii="Century Schoolbook" w:hAnsi="Century Schoolbook" w:cs="Arial"/>
          <w:szCs w:val="26"/>
        </w:rPr>
        <w:t>The court declined to</w:t>
      </w:r>
      <w:r w:rsidR="0004331B">
        <w:rPr>
          <w:rFonts w:ascii="Century Schoolbook" w:hAnsi="Century Schoolbook" w:cs="Arial"/>
          <w:szCs w:val="26"/>
        </w:rPr>
        <w:t xml:space="preserve"> order</w:t>
      </w:r>
      <w:r w:rsidRPr="00395E41">
        <w:rPr>
          <w:rFonts w:ascii="Century Schoolbook" w:hAnsi="Century Schoolbook" w:cs="Arial"/>
          <w:szCs w:val="26"/>
        </w:rPr>
        <w:t xml:space="preserve"> restitution </w:t>
      </w:r>
      <w:r w:rsidR="0004331B">
        <w:rPr>
          <w:rFonts w:ascii="Century Schoolbook" w:hAnsi="Century Schoolbook" w:cs="Arial"/>
          <w:szCs w:val="26"/>
        </w:rPr>
        <w:t xml:space="preserve">for the remaining </w:t>
      </w:r>
      <w:r w:rsidR="00ED6893">
        <w:rPr>
          <w:rFonts w:ascii="Century Schoolbook" w:hAnsi="Century Schoolbook" w:cs="Arial"/>
          <w:szCs w:val="26"/>
        </w:rPr>
        <w:t>eight claimants</w:t>
      </w:r>
      <w:r w:rsidR="008657B0">
        <w:rPr>
          <w:rFonts w:ascii="Century Schoolbook" w:hAnsi="Century Schoolbook" w:cs="Arial"/>
          <w:szCs w:val="26"/>
        </w:rPr>
        <w:t xml:space="preserve"> </w:t>
      </w:r>
      <w:r w:rsidR="00560452">
        <w:rPr>
          <w:rFonts w:ascii="Century Schoolbook" w:hAnsi="Century Schoolbook" w:cs="Arial"/>
          <w:szCs w:val="26"/>
        </w:rPr>
        <w:t xml:space="preserve">identified </w:t>
      </w:r>
      <w:r w:rsidR="008657B0">
        <w:rPr>
          <w:rFonts w:ascii="Century Schoolbook" w:hAnsi="Century Schoolbook" w:cs="Arial"/>
          <w:szCs w:val="26"/>
        </w:rPr>
        <w:t xml:space="preserve">by the </w:t>
      </w:r>
      <w:r w:rsidR="002B413C">
        <w:rPr>
          <w:rFonts w:ascii="Century Schoolbook" w:hAnsi="Century Schoolbook" w:cs="Arial"/>
          <w:szCs w:val="26"/>
        </w:rPr>
        <w:t>People</w:t>
      </w:r>
      <w:r w:rsidR="0088763C">
        <w:rPr>
          <w:rFonts w:ascii="Century Schoolbook" w:hAnsi="Century Schoolbook" w:cs="Arial"/>
          <w:szCs w:val="26"/>
        </w:rPr>
        <w:t xml:space="preserve"> </w:t>
      </w:r>
      <w:r w:rsidR="0004331B">
        <w:rPr>
          <w:rFonts w:ascii="Century Schoolbook" w:hAnsi="Century Schoolbook" w:cs="Arial"/>
          <w:szCs w:val="26"/>
        </w:rPr>
        <w:t xml:space="preserve">whose claims </w:t>
      </w:r>
      <w:r w:rsidRPr="00395E41">
        <w:rPr>
          <w:rFonts w:ascii="Century Schoolbook" w:hAnsi="Century Schoolbook" w:cs="Arial"/>
          <w:szCs w:val="26"/>
        </w:rPr>
        <w:t xml:space="preserve">had been resolved through mediation. </w:t>
      </w:r>
      <w:r w:rsidRPr="00395E41" w:rsidR="0024466F">
        <w:rPr>
          <w:rFonts w:ascii="Arial" w:hAnsi="Arial" w:cs="Arial"/>
          <w:szCs w:val="26"/>
        </w:rPr>
        <w:t xml:space="preserve"> </w:t>
      </w:r>
    </w:p>
    <w:p w:rsidR="00D9195E" w:rsidP="0019497E" w14:paraId="6C423328" w14:textId="06DD23BA">
      <w:pPr>
        <w:spacing w:line="288" w:lineRule="auto"/>
        <w:ind w:firstLine="720"/>
        <w:rPr>
          <w:rFonts w:ascii="Century Schoolbook" w:hAnsi="Century Schoolbook" w:cs="Arial"/>
          <w:szCs w:val="26"/>
        </w:rPr>
      </w:pPr>
      <w:r w:rsidRPr="00395E41">
        <w:rPr>
          <w:rFonts w:ascii="Century Schoolbook" w:hAnsi="Century Schoolbook" w:cs="Arial"/>
          <w:szCs w:val="26"/>
        </w:rPr>
        <w:t>C</w:t>
      </w:r>
      <w:r w:rsidRPr="00395E41" w:rsidR="0024466F">
        <w:rPr>
          <w:rFonts w:ascii="Century Schoolbook" w:hAnsi="Century Schoolbook" w:cs="Arial"/>
          <w:szCs w:val="26"/>
        </w:rPr>
        <w:t>laimants</w:t>
      </w:r>
      <w:r w:rsidRPr="00395E41">
        <w:rPr>
          <w:rFonts w:ascii="Century Schoolbook" w:hAnsi="Century Schoolbook" w:cs="Arial"/>
          <w:szCs w:val="26"/>
        </w:rPr>
        <w:t>’ counsel</w:t>
      </w:r>
      <w:r w:rsidRPr="00395E41" w:rsidR="0024466F">
        <w:rPr>
          <w:rFonts w:ascii="Century Schoolbook" w:hAnsi="Century Schoolbook" w:cs="Arial"/>
          <w:szCs w:val="26"/>
        </w:rPr>
        <w:t xml:space="preserve"> </w:t>
      </w:r>
      <w:r w:rsidR="00A61BF1">
        <w:rPr>
          <w:rFonts w:ascii="Century Schoolbook" w:hAnsi="Century Schoolbook" w:cs="Arial"/>
          <w:szCs w:val="26"/>
        </w:rPr>
        <w:t>also sought restitution</w:t>
      </w:r>
      <w:r w:rsidRPr="0021774F" w:rsidR="007F129A">
        <w:rPr>
          <w:rFonts w:ascii="Century Schoolbook" w:hAnsi="Century Schoolbook" w:cs="Arial"/>
          <w:szCs w:val="26"/>
        </w:rPr>
        <w:t xml:space="preserve"> </w:t>
      </w:r>
      <w:r w:rsidR="004149E5">
        <w:rPr>
          <w:rFonts w:ascii="Century Schoolbook" w:hAnsi="Century Schoolbook" w:cs="Arial"/>
          <w:szCs w:val="26"/>
        </w:rPr>
        <w:t xml:space="preserve">of </w:t>
      </w:r>
      <w:r w:rsidRPr="00395E41">
        <w:rPr>
          <w:rFonts w:ascii="Century Schoolbook" w:hAnsi="Century Schoolbook" w:cs="Arial"/>
          <w:szCs w:val="26"/>
        </w:rPr>
        <w:t xml:space="preserve">over </w:t>
      </w:r>
      <w:r w:rsidRPr="00395E41" w:rsidR="0024466F">
        <w:rPr>
          <w:rFonts w:ascii="Century Schoolbook" w:hAnsi="Century Schoolbook" w:cs="Arial"/>
          <w:szCs w:val="26"/>
        </w:rPr>
        <w:t xml:space="preserve">$430 million on behalf of a </w:t>
      </w:r>
      <w:r w:rsidR="003726BE">
        <w:rPr>
          <w:rFonts w:ascii="Century Schoolbook" w:hAnsi="Century Schoolbook" w:cs="Arial"/>
          <w:szCs w:val="26"/>
        </w:rPr>
        <w:t>group</w:t>
      </w:r>
      <w:r w:rsidRPr="00395E41" w:rsidR="0024466F">
        <w:rPr>
          <w:rFonts w:ascii="Century Schoolbook" w:hAnsi="Century Schoolbook" w:cs="Arial"/>
          <w:szCs w:val="26"/>
        </w:rPr>
        <w:t xml:space="preserve"> of </w:t>
      </w:r>
      <w:r w:rsidRPr="00395E41" w:rsidR="0058109D">
        <w:rPr>
          <w:rFonts w:ascii="Century Schoolbook" w:hAnsi="Century Schoolbook" w:cs="Arial"/>
          <w:szCs w:val="26"/>
        </w:rPr>
        <w:t>1,500 to 3,000</w:t>
      </w:r>
      <w:r w:rsidRPr="00395E41" w:rsidR="0024466F">
        <w:rPr>
          <w:rFonts w:ascii="Century Schoolbook" w:hAnsi="Century Schoolbook" w:cs="Arial"/>
          <w:szCs w:val="26"/>
        </w:rPr>
        <w:t xml:space="preserve"> </w:t>
      </w:r>
      <w:r w:rsidR="00723886">
        <w:rPr>
          <w:rFonts w:ascii="Century Schoolbook" w:hAnsi="Century Schoolbook" w:cs="Arial"/>
          <w:szCs w:val="26"/>
        </w:rPr>
        <w:t xml:space="preserve">unnamed </w:t>
      </w:r>
      <w:r w:rsidRPr="00395E41" w:rsidR="0024466F">
        <w:rPr>
          <w:rFonts w:ascii="Century Schoolbook" w:hAnsi="Century Schoolbook" w:cs="Arial"/>
          <w:szCs w:val="26"/>
        </w:rPr>
        <w:t xml:space="preserve">fishers </w:t>
      </w:r>
      <w:r w:rsidR="00313EFF">
        <w:rPr>
          <w:rFonts w:ascii="Century Schoolbook" w:hAnsi="Century Schoolbook" w:cs="Arial"/>
          <w:szCs w:val="26"/>
        </w:rPr>
        <w:t xml:space="preserve">who had been </w:t>
      </w:r>
      <w:r w:rsidR="00565526">
        <w:rPr>
          <w:rFonts w:ascii="Century Schoolbook" w:hAnsi="Century Schoolbook" w:cs="Arial"/>
          <w:szCs w:val="26"/>
        </w:rPr>
        <w:t xml:space="preserve">certified as a class </w:t>
      </w:r>
      <w:r w:rsidRPr="00395E41" w:rsidR="0024466F">
        <w:rPr>
          <w:rFonts w:ascii="Century Schoolbook" w:hAnsi="Century Schoolbook" w:cs="Arial"/>
          <w:szCs w:val="26"/>
        </w:rPr>
        <w:t xml:space="preserve">in </w:t>
      </w:r>
      <w:r w:rsidR="00FF544F">
        <w:rPr>
          <w:rFonts w:ascii="Century Schoolbook" w:hAnsi="Century Schoolbook" w:cs="Arial"/>
          <w:szCs w:val="26"/>
        </w:rPr>
        <w:t>the</w:t>
      </w:r>
      <w:r w:rsidRPr="00395E41" w:rsidR="00FF544F">
        <w:rPr>
          <w:rFonts w:ascii="Century Schoolbook" w:hAnsi="Century Schoolbook" w:cs="Arial"/>
          <w:szCs w:val="26"/>
        </w:rPr>
        <w:t xml:space="preserve"> </w:t>
      </w:r>
      <w:r w:rsidRPr="00395E41" w:rsidR="0024466F">
        <w:rPr>
          <w:rFonts w:ascii="Century Schoolbook" w:hAnsi="Century Schoolbook" w:cs="Arial"/>
          <w:szCs w:val="26"/>
        </w:rPr>
        <w:t xml:space="preserve">federal </w:t>
      </w:r>
      <w:r w:rsidRPr="00A355C9" w:rsidR="00FF544F">
        <w:rPr>
          <w:rFonts w:ascii="Century Schoolbook" w:hAnsi="Century Schoolbook" w:cs="Arial"/>
          <w:i/>
          <w:iCs/>
          <w:szCs w:val="26"/>
        </w:rPr>
        <w:t>Andrews</w:t>
      </w:r>
      <w:r w:rsidR="00FF544F">
        <w:rPr>
          <w:rFonts w:ascii="Century Schoolbook" w:hAnsi="Century Schoolbook" w:cs="Arial"/>
          <w:szCs w:val="26"/>
        </w:rPr>
        <w:t xml:space="preserve"> </w:t>
      </w:r>
      <w:r w:rsidRPr="00395E41" w:rsidR="0024466F">
        <w:rPr>
          <w:rFonts w:ascii="Century Schoolbook" w:hAnsi="Century Schoolbook" w:cs="Arial"/>
          <w:szCs w:val="26"/>
        </w:rPr>
        <w:t xml:space="preserve">class action </w:t>
      </w:r>
      <w:r w:rsidRPr="00395E41" w:rsidR="007C721F">
        <w:rPr>
          <w:rFonts w:ascii="Century Schoolbook" w:hAnsi="Century Schoolbook"/>
          <w:bCs/>
          <w:szCs w:val="26"/>
        </w:rPr>
        <w:t>(</w:t>
      </w:r>
      <w:r w:rsidRPr="00395E41" w:rsidR="007C721F">
        <w:rPr>
          <w:rFonts w:ascii="Century Schoolbook" w:hAnsi="Century Schoolbook"/>
          <w:bCs/>
          <w:i/>
          <w:iCs/>
          <w:szCs w:val="26"/>
        </w:rPr>
        <w:t>Andrews v. Plains All Am</w:t>
      </w:r>
      <w:r w:rsidR="00B735BF">
        <w:rPr>
          <w:rFonts w:ascii="Century Schoolbook" w:hAnsi="Century Schoolbook"/>
          <w:bCs/>
          <w:i/>
          <w:iCs/>
          <w:szCs w:val="26"/>
        </w:rPr>
        <w:t>.</w:t>
      </w:r>
      <w:r w:rsidRPr="00395E41" w:rsidR="007C721F">
        <w:rPr>
          <w:rFonts w:ascii="Century Schoolbook" w:hAnsi="Century Schoolbook"/>
          <w:bCs/>
          <w:i/>
          <w:iCs/>
          <w:szCs w:val="26"/>
        </w:rPr>
        <w:t xml:space="preserve"> Pipeline</w:t>
      </w:r>
      <w:r w:rsidR="007C721F">
        <w:rPr>
          <w:rFonts w:ascii="Century Schoolbook" w:hAnsi="Century Schoolbook"/>
          <w:bCs/>
          <w:i/>
          <w:iCs/>
          <w:szCs w:val="26"/>
        </w:rPr>
        <w:t>, L.P.</w:t>
      </w:r>
      <w:r w:rsidRPr="00395E41" w:rsidR="007C721F">
        <w:rPr>
          <w:rFonts w:ascii="Century Schoolbook" w:hAnsi="Century Schoolbook"/>
          <w:bCs/>
          <w:i/>
          <w:iCs/>
          <w:szCs w:val="26"/>
        </w:rPr>
        <w:t xml:space="preserve"> </w:t>
      </w:r>
      <w:r w:rsidRPr="00395E41" w:rsidR="007C721F">
        <w:rPr>
          <w:rFonts w:ascii="Century Schoolbook" w:hAnsi="Century Schoolbook"/>
          <w:bCs/>
          <w:szCs w:val="26"/>
        </w:rPr>
        <w:t xml:space="preserve">(C.D.Cal., </w:t>
      </w:r>
      <w:r w:rsidR="008E3B70">
        <w:rPr>
          <w:rFonts w:ascii="Century Schoolbook" w:hAnsi="Century Schoolbook"/>
          <w:bCs/>
          <w:szCs w:val="26"/>
        </w:rPr>
        <w:t xml:space="preserve">Nov. 22, 2019, </w:t>
      </w:r>
      <w:r w:rsidRPr="00395E41" w:rsidR="007C721F">
        <w:rPr>
          <w:rFonts w:ascii="Century Schoolbook" w:hAnsi="Century Schoolbook"/>
          <w:bCs/>
          <w:szCs w:val="26"/>
        </w:rPr>
        <w:t>No. 2:15-cv-</w:t>
      </w:r>
      <w:r w:rsidRPr="00395E41" w:rsidR="00EF46E3">
        <w:rPr>
          <w:rFonts w:ascii="Century Schoolbook" w:hAnsi="Century Schoolbook"/>
          <w:bCs/>
          <w:szCs w:val="26"/>
        </w:rPr>
        <w:t>04113</w:t>
      </w:r>
      <w:r w:rsidR="00EF46E3">
        <w:rPr>
          <w:rFonts w:ascii="Century Schoolbook" w:hAnsi="Century Schoolbook"/>
          <w:bCs/>
          <w:szCs w:val="26"/>
        </w:rPr>
        <w:t>-</w:t>
      </w:r>
      <w:r w:rsidR="008E3B70">
        <w:rPr>
          <w:rFonts w:ascii="Century Schoolbook" w:hAnsi="Century Schoolbook"/>
          <w:bCs/>
          <w:szCs w:val="26"/>
        </w:rPr>
        <w:t>PSG (JEMx)</w:t>
      </w:r>
      <w:r w:rsidR="007005DC">
        <w:rPr>
          <w:rFonts w:ascii="Century Schoolbook" w:hAnsi="Century Schoolbook"/>
          <w:bCs/>
          <w:szCs w:val="26"/>
        </w:rPr>
        <w:t>)</w:t>
      </w:r>
      <w:r w:rsidR="008E3B70">
        <w:rPr>
          <w:rFonts w:ascii="Century Schoolbook" w:hAnsi="Century Schoolbook"/>
          <w:bCs/>
          <w:szCs w:val="26"/>
        </w:rPr>
        <w:t xml:space="preserve"> </w:t>
      </w:r>
      <w:r w:rsidRPr="00395E41" w:rsidR="007C721F">
        <w:rPr>
          <w:rFonts w:ascii="Century Schoolbook" w:hAnsi="Century Schoolbook"/>
          <w:bCs/>
          <w:szCs w:val="26"/>
        </w:rPr>
        <w:t>20</w:t>
      </w:r>
      <w:r w:rsidR="008E3B70">
        <w:rPr>
          <w:rFonts w:ascii="Century Schoolbook" w:hAnsi="Century Schoolbook"/>
          <w:bCs/>
          <w:szCs w:val="26"/>
        </w:rPr>
        <w:t>19</w:t>
      </w:r>
      <w:r w:rsidRPr="00395E41" w:rsidR="007C721F">
        <w:rPr>
          <w:rFonts w:ascii="Century Schoolbook" w:hAnsi="Century Schoolbook"/>
          <w:bCs/>
          <w:szCs w:val="26"/>
        </w:rPr>
        <w:t xml:space="preserve"> WL </w:t>
      </w:r>
      <w:r w:rsidR="008E3B70">
        <w:rPr>
          <w:rFonts w:ascii="Century Schoolbook" w:hAnsi="Century Schoolbook"/>
          <w:bCs/>
          <w:szCs w:val="26"/>
        </w:rPr>
        <w:t>6647928</w:t>
      </w:r>
      <w:r w:rsidRPr="00395E41" w:rsidR="007C721F">
        <w:rPr>
          <w:rFonts w:ascii="Century Schoolbook" w:hAnsi="Century Schoolbook"/>
          <w:bCs/>
          <w:szCs w:val="26"/>
        </w:rPr>
        <w:t>, 20</w:t>
      </w:r>
      <w:r w:rsidR="008E3B70">
        <w:rPr>
          <w:rFonts w:ascii="Century Schoolbook" w:hAnsi="Century Schoolbook"/>
          <w:bCs/>
          <w:szCs w:val="26"/>
        </w:rPr>
        <w:t xml:space="preserve">19 </w:t>
      </w:r>
      <w:r w:rsidRPr="00395E41" w:rsidR="007C721F">
        <w:rPr>
          <w:rFonts w:ascii="Century Schoolbook" w:hAnsi="Century Schoolbook"/>
          <w:bCs/>
          <w:szCs w:val="26"/>
        </w:rPr>
        <w:t xml:space="preserve">U.S.Dist. Lexis </w:t>
      </w:r>
      <w:r w:rsidR="008E3B70">
        <w:rPr>
          <w:rFonts w:ascii="Century Schoolbook" w:hAnsi="Century Schoolbook"/>
          <w:bCs/>
          <w:szCs w:val="26"/>
        </w:rPr>
        <w:t>212027</w:t>
      </w:r>
      <w:r w:rsidRPr="00395E41" w:rsidR="0024466F">
        <w:rPr>
          <w:rFonts w:ascii="Century Schoolbook" w:hAnsi="Century Schoolbook" w:cs="Arial"/>
          <w:szCs w:val="26"/>
        </w:rPr>
        <w:t xml:space="preserve">). </w:t>
      </w:r>
      <w:r w:rsidRPr="00395E41" w:rsidR="00A03BE7">
        <w:rPr>
          <w:rFonts w:ascii="Century Schoolbook" w:hAnsi="Century Schoolbook" w:cs="Arial"/>
          <w:szCs w:val="26"/>
        </w:rPr>
        <w:t xml:space="preserve"> </w:t>
      </w:r>
      <w:r w:rsidRPr="00395E41" w:rsidR="00B02832">
        <w:rPr>
          <w:rFonts w:ascii="Century Schoolbook" w:hAnsi="Century Schoolbook" w:cs="Arial"/>
          <w:szCs w:val="26"/>
        </w:rPr>
        <w:t>T</w:t>
      </w:r>
      <w:r w:rsidRPr="00395E41" w:rsidR="00306866">
        <w:rPr>
          <w:rFonts w:ascii="Century Schoolbook" w:hAnsi="Century Schoolbook" w:cs="Arial"/>
          <w:szCs w:val="26"/>
        </w:rPr>
        <w:t xml:space="preserve">he court ruled </w:t>
      </w:r>
      <w:r w:rsidR="00540B71">
        <w:rPr>
          <w:rFonts w:ascii="Century Schoolbook" w:hAnsi="Century Schoolbook" w:cs="Arial"/>
          <w:szCs w:val="26"/>
        </w:rPr>
        <w:t>that</w:t>
      </w:r>
      <w:r w:rsidRPr="00395E41" w:rsidR="00306866">
        <w:rPr>
          <w:rFonts w:ascii="Century Schoolbook" w:hAnsi="Century Schoolbook" w:cs="Arial"/>
          <w:szCs w:val="26"/>
        </w:rPr>
        <w:t xml:space="preserve"> </w:t>
      </w:r>
      <w:r w:rsidRPr="00395E41" w:rsidR="00BB4671">
        <w:rPr>
          <w:rFonts w:ascii="Century Schoolbook" w:hAnsi="Century Schoolbook" w:cs="Arial"/>
          <w:szCs w:val="26"/>
        </w:rPr>
        <w:t xml:space="preserve">class </w:t>
      </w:r>
      <w:r w:rsidR="00A24D2F">
        <w:rPr>
          <w:rFonts w:ascii="Century Schoolbook" w:hAnsi="Century Schoolbook" w:cs="Arial"/>
          <w:szCs w:val="26"/>
        </w:rPr>
        <w:t xml:space="preserve">members who did not make individual restitution claims in the criminal action were </w:t>
      </w:r>
      <w:r w:rsidR="00D539D5">
        <w:rPr>
          <w:rFonts w:ascii="Century Schoolbook" w:hAnsi="Century Schoolbook" w:cs="Arial"/>
          <w:szCs w:val="26"/>
        </w:rPr>
        <w:t xml:space="preserve">not entitled to </w:t>
      </w:r>
      <w:r w:rsidR="00D834E6">
        <w:rPr>
          <w:rFonts w:ascii="Century Schoolbook" w:hAnsi="Century Schoolbook" w:cs="Arial"/>
          <w:szCs w:val="26"/>
        </w:rPr>
        <w:t>restitution</w:t>
      </w:r>
      <w:r w:rsidRPr="00395E41" w:rsidR="006A6ED8">
        <w:rPr>
          <w:rFonts w:ascii="Century Schoolbook" w:hAnsi="Century Schoolbook" w:cs="Arial"/>
          <w:szCs w:val="26"/>
        </w:rPr>
        <w:t xml:space="preserve">. </w:t>
      </w:r>
      <w:r w:rsidRPr="00395E41" w:rsidR="00D75D89">
        <w:rPr>
          <w:rFonts w:ascii="Century Schoolbook" w:hAnsi="Century Schoolbook" w:cs="Arial"/>
          <w:szCs w:val="26"/>
        </w:rPr>
        <w:t xml:space="preserve"> </w:t>
      </w:r>
    </w:p>
    <w:p w:rsidR="00306866" w:rsidRPr="00395E41" w:rsidP="00D539D5" w14:paraId="5B06116A" w14:textId="6CB0464C">
      <w:pPr>
        <w:spacing w:line="288" w:lineRule="auto"/>
        <w:ind w:firstLine="720"/>
        <w:rPr>
          <w:rFonts w:ascii="Century Schoolbook" w:hAnsi="Century Schoolbook" w:cs="Arial"/>
          <w:szCs w:val="26"/>
        </w:rPr>
      </w:pPr>
      <w:r w:rsidRPr="00395E41">
        <w:rPr>
          <w:rFonts w:ascii="Century Schoolbook" w:hAnsi="Century Schoolbook" w:cs="Arial"/>
          <w:szCs w:val="26"/>
        </w:rPr>
        <w:t xml:space="preserve">The court </w:t>
      </w:r>
      <w:r w:rsidR="003948C1">
        <w:rPr>
          <w:rFonts w:ascii="Century Schoolbook" w:hAnsi="Century Schoolbook" w:cs="Arial"/>
          <w:szCs w:val="26"/>
        </w:rPr>
        <w:t xml:space="preserve">also </w:t>
      </w:r>
      <w:r w:rsidR="00D9195E">
        <w:rPr>
          <w:rFonts w:ascii="Century Schoolbook" w:hAnsi="Century Schoolbook" w:cs="Arial"/>
          <w:szCs w:val="26"/>
        </w:rPr>
        <w:t>ruled</w:t>
      </w:r>
      <w:r w:rsidR="0047698A">
        <w:rPr>
          <w:rFonts w:ascii="Century Schoolbook" w:hAnsi="Century Schoolbook" w:cs="Arial"/>
          <w:szCs w:val="26"/>
        </w:rPr>
        <w:t xml:space="preserve"> the</w:t>
      </w:r>
      <w:r w:rsidRPr="00D539D5" w:rsidR="00D539D5">
        <w:rPr>
          <w:rFonts w:ascii="Century Schoolbook" w:hAnsi="Century Schoolbook" w:cs="Arial"/>
          <w:szCs w:val="26"/>
        </w:rPr>
        <w:t xml:space="preserve"> criminal restitution hearing was duplicative of the federal class action, the class action was the </w:t>
      </w:r>
      <w:r w:rsidR="00D539D5">
        <w:rPr>
          <w:rFonts w:ascii="Century Schoolbook" w:hAnsi="Century Schoolbook" w:cs="Arial"/>
          <w:szCs w:val="26"/>
        </w:rPr>
        <w:t>appropriate</w:t>
      </w:r>
      <w:r w:rsidRPr="00D539D5" w:rsidR="00D539D5">
        <w:rPr>
          <w:rFonts w:ascii="Century Schoolbook" w:hAnsi="Century Schoolbook" w:cs="Arial"/>
          <w:szCs w:val="26"/>
        </w:rPr>
        <w:t xml:space="preserve"> forum, judicial resources were better directed there</w:t>
      </w:r>
      <w:r w:rsidR="00A833CC">
        <w:rPr>
          <w:rFonts w:ascii="Century Schoolbook" w:hAnsi="Century Schoolbook" w:cs="Arial"/>
          <w:szCs w:val="26"/>
        </w:rPr>
        <w:t xml:space="preserve">, and there were </w:t>
      </w:r>
      <w:r w:rsidRPr="00395E41" w:rsidR="00A833CC">
        <w:rPr>
          <w:rFonts w:ascii="Century Schoolbook" w:hAnsi="Century Schoolbook" w:cs="Arial"/>
          <w:szCs w:val="26"/>
        </w:rPr>
        <w:t xml:space="preserve">“compelling and extraordinary reasons” to not order </w:t>
      </w:r>
      <w:r w:rsidR="003948C1">
        <w:rPr>
          <w:rFonts w:ascii="Century Schoolbook" w:hAnsi="Century Schoolbook" w:cs="Arial"/>
          <w:szCs w:val="26"/>
        </w:rPr>
        <w:t xml:space="preserve">class </w:t>
      </w:r>
      <w:r w:rsidRPr="00395E41" w:rsidR="00A833CC">
        <w:rPr>
          <w:rFonts w:ascii="Century Schoolbook" w:hAnsi="Century Schoolbook" w:cs="Arial"/>
          <w:szCs w:val="26"/>
        </w:rPr>
        <w:t>restitution for the fisher class.</w:t>
      </w:r>
      <w:r w:rsidR="00A833CC">
        <w:rPr>
          <w:rFonts w:ascii="Century Schoolbook" w:hAnsi="Century Schoolbook" w:cs="Arial"/>
          <w:szCs w:val="26"/>
        </w:rPr>
        <w:t xml:space="preserve">  (Italics </w:t>
      </w:r>
      <w:r w:rsidR="000C120D">
        <w:rPr>
          <w:rFonts w:ascii="Century Schoolbook" w:hAnsi="Century Schoolbook" w:cs="Arial"/>
          <w:szCs w:val="26"/>
        </w:rPr>
        <w:t>omit</w:t>
      </w:r>
      <w:r w:rsidR="00A833CC">
        <w:rPr>
          <w:rFonts w:ascii="Century Schoolbook" w:hAnsi="Century Schoolbook" w:cs="Arial"/>
          <w:szCs w:val="26"/>
        </w:rPr>
        <w:t>ted.)</w:t>
      </w:r>
      <w:r w:rsidRPr="00D539D5" w:rsidR="00D539D5">
        <w:rPr>
          <w:rFonts w:ascii="Century Schoolbook" w:hAnsi="Century Schoolbook" w:cs="Arial"/>
          <w:szCs w:val="26"/>
        </w:rPr>
        <w:t xml:space="preserve"> </w:t>
      </w:r>
      <w:r w:rsidR="00D539D5">
        <w:rPr>
          <w:rFonts w:ascii="Century Schoolbook" w:hAnsi="Century Schoolbook" w:cs="Arial"/>
          <w:szCs w:val="26"/>
        </w:rPr>
        <w:t xml:space="preserve"> The court also </w:t>
      </w:r>
      <w:r w:rsidR="0032235C">
        <w:rPr>
          <w:rFonts w:ascii="Century Schoolbook" w:hAnsi="Century Schoolbook" w:cs="Arial"/>
          <w:szCs w:val="26"/>
        </w:rPr>
        <w:t xml:space="preserve">found that </w:t>
      </w:r>
      <w:r w:rsidRPr="00395E41" w:rsidR="0032235C">
        <w:rPr>
          <w:rFonts w:ascii="Century Schoolbook" w:hAnsi="Century Schoolbook" w:cs="Arial"/>
          <w:szCs w:val="26"/>
        </w:rPr>
        <w:t>Plain</w:t>
      </w:r>
      <w:r w:rsidR="0032235C">
        <w:rPr>
          <w:rFonts w:ascii="Century Schoolbook" w:hAnsi="Century Schoolbook" w:cs="Arial"/>
          <w:szCs w:val="26"/>
        </w:rPr>
        <w:t xml:space="preserve">s established “that the </w:t>
      </w:r>
      <w:r w:rsidRPr="00395E41" w:rsidR="0032235C">
        <w:rPr>
          <w:rFonts w:ascii="Century Schoolbook" w:hAnsi="Century Schoolbook" w:cs="Arial"/>
          <w:szCs w:val="26"/>
        </w:rPr>
        <w:t>amount of the loss</w:t>
      </w:r>
      <w:r w:rsidR="0032235C">
        <w:rPr>
          <w:rFonts w:ascii="Century Schoolbook" w:hAnsi="Century Schoolbook" w:cs="Arial"/>
          <w:szCs w:val="26"/>
        </w:rPr>
        <w:t xml:space="preserve"> is</w:t>
      </w:r>
      <w:r w:rsidRPr="00395E41" w:rsidR="0032235C">
        <w:rPr>
          <w:rFonts w:ascii="Century Schoolbook" w:hAnsi="Century Schoolbook" w:cs="Arial"/>
          <w:szCs w:val="26"/>
        </w:rPr>
        <w:t xml:space="preserve"> other than that claimed.</w:t>
      </w:r>
      <w:r w:rsidR="0032235C">
        <w:rPr>
          <w:rFonts w:ascii="Century Schoolbook" w:hAnsi="Century Schoolbook" w:cs="Arial"/>
          <w:szCs w:val="26"/>
        </w:rPr>
        <w:t xml:space="preserve">” </w:t>
      </w:r>
      <w:r w:rsidRPr="00395E41" w:rsidR="0032235C">
        <w:rPr>
          <w:rFonts w:ascii="Century Schoolbook" w:hAnsi="Century Schoolbook" w:cs="Arial"/>
          <w:szCs w:val="26"/>
        </w:rPr>
        <w:t xml:space="preserve"> </w:t>
      </w:r>
      <w:r w:rsidR="00706413">
        <w:rPr>
          <w:rFonts w:ascii="Century Schoolbook" w:hAnsi="Century Schoolbook" w:cs="Arial"/>
          <w:szCs w:val="26"/>
        </w:rPr>
        <w:t xml:space="preserve">(Italics </w:t>
      </w:r>
      <w:r w:rsidR="000C120D">
        <w:rPr>
          <w:rFonts w:ascii="Century Schoolbook" w:hAnsi="Century Schoolbook" w:cs="Arial"/>
          <w:szCs w:val="26"/>
        </w:rPr>
        <w:t>omit</w:t>
      </w:r>
      <w:r w:rsidR="00706413">
        <w:rPr>
          <w:rFonts w:ascii="Century Schoolbook" w:hAnsi="Century Schoolbook" w:cs="Arial"/>
          <w:szCs w:val="26"/>
        </w:rPr>
        <w:t xml:space="preserve">ted.)  </w:t>
      </w:r>
    </w:p>
    <w:p w:rsidR="00707812" w:rsidP="00AF6710" w14:paraId="553A32A4" w14:textId="4E348274">
      <w:pPr>
        <w:spacing w:line="288" w:lineRule="auto"/>
        <w:jc w:val="center"/>
        <w:rPr>
          <w:rFonts w:ascii="Century Schoolbook" w:hAnsi="Century Schoolbook" w:cs="Arial"/>
          <w:szCs w:val="26"/>
        </w:rPr>
      </w:pPr>
      <w:bookmarkStart w:id="3" w:name="_Hlk134090709"/>
      <w:bookmarkStart w:id="4" w:name="_Hlk134091627"/>
      <w:r w:rsidRPr="00707812">
        <w:rPr>
          <w:rFonts w:ascii="Century Schoolbook" w:hAnsi="Century Schoolbook" w:cs="Arial"/>
          <w:i/>
          <w:iCs/>
          <w:szCs w:val="26"/>
        </w:rPr>
        <w:t>Group 3: Oil industry claimants</w:t>
      </w:r>
    </w:p>
    <w:p w:rsidR="00F04655" w:rsidRPr="00395E41" w:rsidP="00F04655" w14:paraId="1B2AF83B" w14:textId="441CDDC3">
      <w:pPr>
        <w:spacing w:line="288" w:lineRule="auto"/>
        <w:ind w:firstLine="720"/>
        <w:rPr>
          <w:rFonts w:ascii="Century Schoolbook" w:hAnsi="Century Schoolbook" w:cs="Arial"/>
          <w:szCs w:val="26"/>
        </w:rPr>
      </w:pPr>
      <w:r w:rsidRPr="000727A5">
        <w:rPr>
          <w:rFonts w:ascii="Century Schoolbook" w:hAnsi="Century Schoolbook" w:cs="Arial"/>
          <w:szCs w:val="26"/>
        </w:rPr>
        <w:t>Group 3 consist</w:t>
      </w:r>
      <w:r w:rsidRPr="000727A5" w:rsidR="00C24D5D">
        <w:rPr>
          <w:rFonts w:ascii="Century Schoolbook" w:hAnsi="Century Schoolbook" w:cs="Arial"/>
          <w:szCs w:val="26"/>
        </w:rPr>
        <w:t>ed</w:t>
      </w:r>
      <w:r w:rsidRPr="000727A5">
        <w:rPr>
          <w:rFonts w:ascii="Century Schoolbook" w:hAnsi="Century Schoolbook" w:cs="Arial"/>
          <w:szCs w:val="26"/>
        </w:rPr>
        <w:t xml:space="preserve"> of </w:t>
      </w:r>
      <w:r w:rsidRPr="000727A5" w:rsidR="0024466F">
        <w:rPr>
          <w:rFonts w:ascii="Century Schoolbook" w:hAnsi="Century Schoolbook" w:cs="Arial"/>
          <w:szCs w:val="26"/>
        </w:rPr>
        <w:t xml:space="preserve">workers and businesses who lost </w:t>
      </w:r>
      <w:r w:rsidRPr="000727A5" w:rsidR="008956D1">
        <w:rPr>
          <w:rFonts w:ascii="Century Schoolbook" w:hAnsi="Century Schoolbook" w:cs="Arial"/>
          <w:szCs w:val="26"/>
        </w:rPr>
        <w:t>wages</w:t>
      </w:r>
      <w:r w:rsidRPr="000727A5" w:rsidR="0024466F">
        <w:rPr>
          <w:rFonts w:ascii="Century Schoolbook" w:hAnsi="Century Schoolbook" w:cs="Arial"/>
          <w:szCs w:val="26"/>
        </w:rPr>
        <w:t xml:space="preserve"> or revenue resulting from the oil platform</w:t>
      </w:r>
      <w:r w:rsidRPr="000727A5" w:rsidR="00E95DF5">
        <w:rPr>
          <w:rFonts w:ascii="Century Schoolbook" w:hAnsi="Century Schoolbook" w:cs="Arial"/>
          <w:szCs w:val="26"/>
        </w:rPr>
        <w:t xml:space="preserve"> closures</w:t>
      </w:r>
      <w:r w:rsidRPr="000727A5" w:rsidR="0024466F">
        <w:rPr>
          <w:rFonts w:ascii="Century Schoolbook" w:hAnsi="Century Schoolbook" w:cs="Arial"/>
          <w:szCs w:val="26"/>
        </w:rPr>
        <w:t xml:space="preserve">.  The People filed </w:t>
      </w:r>
      <w:r w:rsidRPr="000727A5" w:rsidR="00564C8E">
        <w:rPr>
          <w:rFonts w:ascii="Century Schoolbook" w:hAnsi="Century Schoolbook" w:cs="Arial"/>
          <w:szCs w:val="26"/>
        </w:rPr>
        <w:t>nine</w:t>
      </w:r>
      <w:r w:rsidRPr="000727A5" w:rsidR="0024466F">
        <w:rPr>
          <w:rFonts w:ascii="Century Schoolbook" w:hAnsi="Century Schoolbook" w:cs="Arial"/>
          <w:szCs w:val="26"/>
        </w:rPr>
        <w:t xml:space="preserve"> restitution claims totaling approximately $28.5 million</w:t>
      </w:r>
      <w:r w:rsidRPr="000727A5" w:rsidR="00B247B5">
        <w:rPr>
          <w:rFonts w:ascii="Century Schoolbook" w:hAnsi="Century Schoolbook" w:cs="Arial"/>
          <w:szCs w:val="26"/>
        </w:rPr>
        <w:t xml:space="preserve">.  </w:t>
      </w:r>
      <w:r w:rsidRPr="000727A5">
        <w:rPr>
          <w:rFonts w:ascii="Century Schoolbook" w:hAnsi="Century Schoolbook" w:cs="Arial"/>
          <w:szCs w:val="26"/>
        </w:rPr>
        <w:t xml:space="preserve">Additional oil industry claimants, represented by </w:t>
      </w:r>
      <w:r w:rsidRPr="000727A5" w:rsidR="00464509">
        <w:rPr>
          <w:rFonts w:ascii="Century Schoolbook" w:hAnsi="Century Schoolbook" w:cs="Arial"/>
          <w:szCs w:val="26"/>
        </w:rPr>
        <w:t xml:space="preserve">claimants’ </w:t>
      </w:r>
      <w:r w:rsidRPr="000727A5">
        <w:rPr>
          <w:rFonts w:ascii="Century Schoolbook" w:hAnsi="Century Schoolbook" w:cs="Arial"/>
          <w:szCs w:val="26"/>
        </w:rPr>
        <w:t xml:space="preserve">counsel, filed </w:t>
      </w:r>
      <w:r w:rsidRPr="000727A5" w:rsidR="00F27C1B">
        <w:rPr>
          <w:rFonts w:ascii="Century Schoolbook" w:hAnsi="Century Schoolbook" w:cs="Arial"/>
          <w:szCs w:val="26"/>
        </w:rPr>
        <w:t xml:space="preserve">another </w:t>
      </w:r>
      <w:r w:rsidRPr="000727A5">
        <w:rPr>
          <w:rFonts w:ascii="Century Schoolbook" w:hAnsi="Century Schoolbook" w:cs="Arial"/>
          <w:szCs w:val="26"/>
        </w:rPr>
        <w:t>1</w:t>
      </w:r>
      <w:r w:rsidRPr="000727A5" w:rsidR="001D7D97">
        <w:rPr>
          <w:rFonts w:ascii="Century Schoolbook" w:hAnsi="Century Schoolbook" w:cs="Arial"/>
          <w:szCs w:val="26"/>
        </w:rPr>
        <w:t>58</w:t>
      </w:r>
      <w:r w:rsidRPr="000727A5">
        <w:rPr>
          <w:rFonts w:ascii="Century Schoolbook" w:hAnsi="Century Schoolbook" w:cs="Arial"/>
          <w:szCs w:val="26"/>
        </w:rPr>
        <w:t xml:space="preserve"> claims </w:t>
      </w:r>
      <w:r w:rsidRPr="000727A5" w:rsidR="006B22B0">
        <w:rPr>
          <w:rFonts w:ascii="Century Schoolbook" w:hAnsi="Century Schoolbook" w:cs="Arial"/>
          <w:szCs w:val="26"/>
        </w:rPr>
        <w:t>seeking</w:t>
      </w:r>
      <w:r w:rsidRPr="000727A5">
        <w:rPr>
          <w:rFonts w:ascii="Century Schoolbook" w:hAnsi="Century Schoolbook" w:cs="Arial"/>
          <w:szCs w:val="26"/>
        </w:rPr>
        <w:t xml:space="preserve"> approximately $213.5 million</w:t>
      </w:r>
      <w:r w:rsidRPr="000727A5" w:rsidR="006B22B0">
        <w:rPr>
          <w:rFonts w:ascii="Century Schoolbook" w:hAnsi="Century Schoolbook" w:cs="Arial"/>
          <w:szCs w:val="26"/>
        </w:rPr>
        <w:t xml:space="preserve"> in restitution</w:t>
      </w:r>
      <w:r w:rsidRPr="000727A5">
        <w:rPr>
          <w:rFonts w:ascii="Century Schoolbook" w:hAnsi="Century Schoolbook" w:cs="Arial"/>
          <w:szCs w:val="26"/>
        </w:rPr>
        <w:t xml:space="preserve">. </w:t>
      </w:r>
      <w:bookmarkStart w:id="5" w:name="_Hlk143603090"/>
      <w:r w:rsidRPr="000727A5">
        <w:rPr>
          <w:rFonts w:ascii="Century Schoolbook" w:hAnsi="Century Schoolbook" w:cs="Arial"/>
          <w:szCs w:val="26"/>
        </w:rPr>
        <w:t xml:space="preserve"> The</w:t>
      </w:r>
      <w:r w:rsidRPr="000727A5" w:rsidR="006B22B0">
        <w:rPr>
          <w:rFonts w:ascii="Century Schoolbook" w:hAnsi="Century Schoolbook" w:cs="Arial"/>
          <w:szCs w:val="26"/>
        </w:rPr>
        <w:t>y</w:t>
      </w:r>
      <w:r w:rsidRPr="000727A5">
        <w:rPr>
          <w:rFonts w:ascii="Century Schoolbook" w:hAnsi="Century Schoolbook" w:cs="Arial"/>
          <w:szCs w:val="26"/>
        </w:rPr>
        <w:t xml:space="preserve"> included oil platform workers who lost their jobs when the platforms </w:t>
      </w:r>
      <w:r w:rsidRPr="000727A5" w:rsidR="00C063BB">
        <w:rPr>
          <w:rFonts w:ascii="Century Schoolbook" w:hAnsi="Century Schoolbook" w:cs="Arial"/>
          <w:szCs w:val="26"/>
        </w:rPr>
        <w:t>closed</w:t>
      </w:r>
      <w:r w:rsidRPr="000727A5" w:rsidR="006963D8">
        <w:rPr>
          <w:rFonts w:ascii="Century Schoolbook" w:hAnsi="Century Schoolbook" w:cs="Arial"/>
          <w:szCs w:val="26"/>
        </w:rPr>
        <w:t xml:space="preserve">, contractors who provided the platforms with </w:t>
      </w:r>
      <w:r w:rsidRPr="000727A5" w:rsidR="00464509">
        <w:rPr>
          <w:rFonts w:ascii="Century Schoolbook" w:hAnsi="Century Schoolbook" w:cs="Arial"/>
          <w:szCs w:val="26"/>
        </w:rPr>
        <w:t xml:space="preserve">supplies </w:t>
      </w:r>
      <w:r w:rsidRPr="000727A5" w:rsidR="006963D8">
        <w:rPr>
          <w:rFonts w:ascii="Century Schoolbook" w:hAnsi="Century Schoolbook" w:cs="Arial"/>
          <w:szCs w:val="26"/>
        </w:rPr>
        <w:t xml:space="preserve">and oilfield services, </w:t>
      </w:r>
      <w:r w:rsidRPr="000727A5" w:rsidR="00804F97">
        <w:rPr>
          <w:rFonts w:ascii="Century Schoolbook" w:hAnsi="Century Schoolbook" w:cs="Arial"/>
          <w:szCs w:val="26"/>
        </w:rPr>
        <w:t>ships that brought crew and supplies to the platforms</w:t>
      </w:r>
      <w:r w:rsidRPr="000727A5" w:rsidR="003901E1">
        <w:rPr>
          <w:rFonts w:ascii="Century Schoolbook" w:hAnsi="Century Schoolbook" w:cs="Arial"/>
          <w:szCs w:val="26"/>
        </w:rPr>
        <w:t>, and a Port Hueneme company that fueled vessels that s</w:t>
      </w:r>
      <w:r w:rsidR="00CA78F9">
        <w:rPr>
          <w:rFonts w:ascii="Century Schoolbook" w:hAnsi="Century Schoolbook" w:cs="Arial"/>
          <w:szCs w:val="26"/>
        </w:rPr>
        <w:t>erviced</w:t>
      </w:r>
      <w:r w:rsidRPr="000727A5" w:rsidR="003901E1">
        <w:rPr>
          <w:rFonts w:ascii="Century Schoolbook" w:hAnsi="Century Schoolbook" w:cs="Arial"/>
          <w:szCs w:val="26"/>
        </w:rPr>
        <w:t xml:space="preserve"> the oil platforms</w:t>
      </w:r>
      <w:r w:rsidRPr="000727A5">
        <w:rPr>
          <w:rFonts w:ascii="Century Schoolbook" w:hAnsi="Century Schoolbook" w:cs="Arial"/>
          <w:szCs w:val="26"/>
        </w:rPr>
        <w:t>.</w:t>
      </w:r>
      <w:bookmarkEnd w:id="5"/>
      <w:r w:rsidRPr="000727A5">
        <w:rPr>
          <w:rFonts w:ascii="Century Schoolbook" w:hAnsi="Century Schoolbook" w:cs="Arial"/>
          <w:szCs w:val="26"/>
        </w:rPr>
        <w:t xml:space="preserve"> </w:t>
      </w:r>
      <w:r>
        <w:rPr>
          <w:rFonts w:ascii="Century Schoolbook" w:hAnsi="Century Schoolbook" w:cs="Arial"/>
          <w:szCs w:val="26"/>
        </w:rPr>
        <w:t xml:space="preserve"> </w:t>
      </w:r>
    </w:p>
    <w:bookmarkEnd w:id="3"/>
    <w:bookmarkEnd w:id="4"/>
    <w:p w:rsidR="001F0C12" w:rsidRPr="00395E41" w:rsidP="004A23B3" w14:paraId="215D7136" w14:textId="49BBA821">
      <w:pPr>
        <w:spacing w:line="288" w:lineRule="auto"/>
        <w:ind w:firstLine="720"/>
        <w:rPr>
          <w:rFonts w:ascii="Century Schoolbook" w:hAnsi="Century Schoolbook" w:cs="Arial"/>
          <w:szCs w:val="26"/>
        </w:rPr>
      </w:pPr>
      <w:r w:rsidRPr="006F04D7">
        <w:rPr>
          <w:rFonts w:ascii="Century Schoolbook" w:hAnsi="Century Schoolbook" w:cs="Arial"/>
          <w:szCs w:val="26"/>
        </w:rPr>
        <w:t>Twenty-seven</w:t>
      </w:r>
      <w:r w:rsidRPr="00395E41">
        <w:rPr>
          <w:rFonts w:ascii="Century Schoolbook" w:hAnsi="Century Schoolbook" w:cs="Arial"/>
          <w:szCs w:val="26"/>
        </w:rPr>
        <w:t xml:space="preserve"> claimants resolved their claims through mediation and </w:t>
      </w:r>
      <w:r w:rsidR="009B3F8B">
        <w:rPr>
          <w:rFonts w:ascii="Century Schoolbook" w:hAnsi="Century Schoolbook" w:cs="Arial"/>
          <w:szCs w:val="26"/>
        </w:rPr>
        <w:t xml:space="preserve">stated they </w:t>
      </w:r>
      <w:r w:rsidRPr="00395E41">
        <w:rPr>
          <w:rFonts w:ascii="Century Schoolbook" w:hAnsi="Century Schoolbook" w:cs="Arial"/>
          <w:szCs w:val="26"/>
        </w:rPr>
        <w:t xml:space="preserve">withdrew their restitution claims.  The court denied the </w:t>
      </w:r>
      <w:r w:rsidR="00E21209">
        <w:rPr>
          <w:rFonts w:ascii="Century Schoolbook" w:hAnsi="Century Schoolbook" w:cs="Arial"/>
          <w:szCs w:val="26"/>
        </w:rPr>
        <w:t xml:space="preserve">remaining </w:t>
      </w:r>
      <w:r w:rsidRPr="00395E41">
        <w:rPr>
          <w:rFonts w:ascii="Century Schoolbook" w:hAnsi="Century Schoolbook" w:cs="Arial"/>
          <w:szCs w:val="26"/>
        </w:rPr>
        <w:t>claims “based on a legal issue common to all those claims,” i.e., that they were “not victims of the crimes of which Plains was convicted</w:t>
      </w:r>
      <w:r w:rsidR="00167FBA">
        <w:rPr>
          <w:rFonts w:ascii="Century Schoolbook" w:hAnsi="Century Schoolbook" w:cs="Arial"/>
          <w:szCs w:val="26"/>
        </w:rPr>
        <w:t>.</w:t>
      </w:r>
      <w:r w:rsidRPr="00395E41">
        <w:rPr>
          <w:rFonts w:ascii="Century Schoolbook" w:hAnsi="Century Schoolbook" w:cs="Arial"/>
          <w:szCs w:val="26"/>
        </w:rPr>
        <w:t xml:space="preserve">” </w:t>
      </w:r>
    </w:p>
    <w:p w:rsidR="006F04D7" w:rsidP="0093623B" w14:paraId="227D0B72" w14:textId="4F7D8CD5">
      <w:pPr>
        <w:keepNext/>
        <w:spacing w:line="288" w:lineRule="auto"/>
        <w:jc w:val="center"/>
        <w:rPr>
          <w:rFonts w:ascii="Century Schoolbook" w:hAnsi="Century Schoolbook" w:cs="Arial"/>
          <w:szCs w:val="26"/>
        </w:rPr>
      </w:pPr>
      <w:r w:rsidRPr="006F04D7">
        <w:rPr>
          <w:rFonts w:ascii="Century Schoolbook" w:hAnsi="Century Schoolbook" w:cs="Arial"/>
          <w:i/>
          <w:iCs/>
          <w:szCs w:val="26"/>
        </w:rPr>
        <w:t>Group 4: Real property claimants</w:t>
      </w:r>
    </w:p>
    <w:p w:rsidR="00814E5A" w:rsidRPr="00686680" w:rsidP="0093623B" w14:paraId="5F7BEDC5" w14:textId="3F2DCE35">
      <w:pPr>
        <w:keepNext/>
        <w:spacing w:line="288" w:lineRule="auto"/>
        <w:ind w:firstLine="720"/>
        <w:rPr>
          <w:rFonts w:ascii="Century Schoolbook" w:hAnsi="Century Schoolbook" w:cs="Arial"/>
          <w:szCs w:val="26"/>
        </w:rPr>
      </w:pPr>
      <w:r>
        <w:rPr>
          <w:rFonts w:ascii="Century Schoolbook" w:hAnsi="Century Schoolbook" w:cs="Arial"/>
          <w:szCs w:val="26"/>
        </w:rPr>
        <w:t>Group 4 include</w:t>
      </w:r>
      <w:r w:rsidR="005D57B8">
        <w:rPr>
          <w:rFonts w:ascii="Century Schoolbook" w:hAnsi="Century Schoolbook" w:cs="Arial"/>
          <w:szCs w:val="26"/>
        </w:rPr>
        <w:t>d</w:t>
      </w:r>
      <w:r>
        <w:rPr>
          <w:rFonts w:ascii="Century Schoolbook" w:hAnsi="Century Schoolbook" w:cs="Arial"/>
          <w:szCs w:val="26"/>
        </w:rPr>
        <w:t xml:space="preserve"> claimants </w:t>
      </w:r>
      <w:r w:rsidRPr="00395E41" w:rsidR="00EB4498">
        <w:rPr>
          <w:rFonts w:ascii="Century Schoolbook" w:hAnsi="Century Schoolbook" w:cs="Arial"/>
          <w:szCs w:val="26"/>
        </w:rPr>
        <w:t xml:space="preserve">whose properties were </w:t>
      </w:r>
      <w:r w:rsidR="00F27C1B">
        <w:rPr>
          <w:rFonts w:ascii="Century Schoolbook" w:hAnsi="Century Schoolbook" w:cs="Arial"/>
          <w:szCs w:val="26"/>
        </w:rPr>
        <w:t>damaged</w:t>
      </w:r>
      <w:r w:rsidRPr="00395E41" w:rsidR="00EB4498">
        <w:rPr>
          <w:rFonts w:ascii="Century Schoolbook" w:hAnsi="Century Schoolbook" w:cs="Arial"/>
          <w:szCs w:val="26"/>
        </w:rPr>
        <w:t xml:space="preserve"> by the </w:t>
      </w:r>
      <w:r w:rsidR="00F27C1B">
        <w:rPr>
          <w:rFonts w:ascii="Century Schoolbook" w:hAnsi="Century Schoolbook" w:cs="Arial"/>
          <w:szCs w:val="26"/>
        </w:rPr>
        <w:t xml:space="preserve">oil </w:t>
      </w:r>
      <w:r w:rsidRPr="00395E41" w:rsidR="00EB4498">
        <w:rPr>
          <w:rFonts w:ascii="Century Schoolbook" w:hAnsi="Century Schoolbook" w:cs="Arial"/>
          <w:szCs w:val="26"/>
        </w:rPr>
        <w:t>spill.</w:t>
      </w:r>
      <w:r w:rsidRPr="00395E41" w:rsidR="00CC1CBB">
        <w:rPr>
          <w:rFonts w:ascii="Century Schoolbook" w:hAnsi="Century Schoolbook" w:cs="Arial"/>
          <w:szCs w:val="26"/>
        </w:rPr>
        <w:t xml:space="preserve">  </w:t>
      </w:r>
      <w:r w:rsidR="00DF7141">
        <w:rPr>
          <w:rFonts w:ascii="Century Schoolbook" w:hAnsi="Century Schoolbook" w:cs="Arial"/>
          <w:szCs w:val="26"/>
        </w:rPr>
        <w:t>T</w:t>
      </w:r>
      <w:r w:rsidR="00723886">
        <w:rPr>
          <w:rFonts w:ascii="Century Schoolbook" w:hAnsi="Century Schoolbook" w:cs="Arial"/>
          <w:szCs w:val="26"/>
        </w:rPr>
        <w:t>he only t</w:t>
      </w:r>
      <w:r w:rsidR="00DF7141">
        <w:rPr>
          <w:rFonts w:ascii="Century Schoolbook" w:hAnsi="Century Schoolbook" w:cs="Arial"/>
          <w:szCs w:val="26"/>
        </w:rPr>
        <w:t>wo claims in this group were withdrawn</w:t>
      </w:r>
      <w:r w:rsidR="006A2B09">
        <w:rPr>
          <w:rFonts w:ascii="Century Schoolbook" w:hAnsi="Century Schoolbook" w:cs="Arial"/>
          <w:szCs w:val="26"/>
        </w:rPr>
        <w:t xml:space="preserve">. </w:t>
      </w:r>
      <w:r w:rsidR="00723886">
        <w:rPr>
          <w:rFonts w:ascii="Century Schoolbook" w:hAnsi="Century Schoolbook" w:cs="Arial"/>
          <w:szCs w:val="26"/>
        </w:rPr>
        <w:t xml:space="preserve"> T</w:t>
      </w:r>
      <w:r w:rsidR="00A25C72">
        <w:rPr>
          <w:rFonts w:ascii="Century Schoolbook" w:hAnsi="Century Schoolbook" w:cs="Arial"/>
          <w:szCs w:val="26"/>
        </w:rPr>
        <w:t xml:space="preserve">he People have not appealed </w:t>
      </w:r>
      <w:r w:rsidR="005210BB">
        <w:rPr>
          <w:rFonts w:ascii="Century Schoolbook" w:hAnsi="Century Schoolbook" w:cs="Arial"/>
          <w:szCs w:val="26"/>
        </w:rPr>
        <w:t>any</w:t>
      </w:r>
      <w:r w:rsidR="007E61B8">
        <w:rPr>
          <w:rFonts w:ascii="Century Schoolbook" w:hAnsi="Century Schoolbook" w:cs="Arial"/>
          <w:szCs w:val="26"/>
        </w:rPr>
        <w:t xml:space="preserve"> </w:t>
      </w:r>
      <w:r w:rsidR="00A25C72">
        <w:rPr>
          <w:rFonts w:ascii="Century Schoolbook" w:hAnsi="Century Schoolbook" w:cs="Arial"/>
          <w:szCs w:val="26"/>
        </w:rPr>
        <w:t>ruling regarding this group</w:t>
      </w:r>
      <w:r w:rsidR="00815144">
        <w:rPr>
          <w:rFonts w:ascii="Century Schoolbook" w:hAnsi="Century Schoolbook" w:cs="Arial"/>
          <w:szCs w:val="26"/>
        </w:rPr>
        <w:t>, and the writ petition was withdrawn for this group</w:t>
      </w:r>
      <w:r w:rsidR="00A25C72">
        <w:rPr>
          <w:rFonts w:ascii="Century Schoolbook" w:hAnsi="Century Schoolbook" w:cs="Arial"/>
          <w:szCs w:val="26"/>
        </w:rPr>
        <w:t>.</w:t>
      </w:r>
      <w:r w:rsidR="00686680">
        <w:rPr>
          <w:rFonts w:ascii="Century Schoolbook" w:hAnsi="Century Schoolbook" w:cs="Arial"/>
          <w:szCs w:val="26"/>
        </w:rPr>
        <w:t xml:space="preserve"> </w:t>
      </w:r>
    </w:p>
    <w:p w:rsidR="00E84AAA" w:rsidRPr="004741F7" w:rsidP="00AF6710" w14:paraId="07028B73" w14:textId="77777777">
      <w:pPr>
        <w:spacing w:line="288" w:lineRule="auto"/>
        <w:jc w:val="center"/>
        <w:rPr>
          <w:rFonts w:ascii="Century Schoolbook" w:hAnsi="Century Schoolbook"/>
          <w:bCs/>
          <w:i/>
          <w:iCs/>
          <w:szCs w:val="26"/>
        </w:rPr>
      </w:pPr>
      <w:r w:rsidRPr="004741F7">
        <w:rPr>
          <w:rFonts w:ascii="Century Schoolbook" w:hAnsi="Century Schoolbook"/>
          <w:bCs/>
          <w:i/>
          <w:iCs/>
          <w:szCs w:val="26"/>
        </w:rPr>
        <w:t>Federal court settlement</w:t>
      </w:r>
    </w:p>
    <w:p w:rsidR="00D15250" w:rsidP="00D770BA" w14:paraId="22094C22" w14:textId="3CCF8E80">
      <w:pPr>
        <w:spacing w:line="288" w:lineRule="auto"/>
        <w:ind w:firstLine="720"/>
        <w:rPr>
          <w:rFonts w:ascii="Century Schoolbook" w:hAnsi="Century Schoolbook"/>
          <w:bCs/>
          <w:szCs w:val="26"/>
        </w:rPr>
      </w:pPr>
      <w:r>
        <w:rPr>
          <w:rFonts w:ascii="Century Schoolbook" w:hAnsi="Century Schoolbook"/>
          <w:bCs/>
          <w:szCs w:val="26"/>
        </w:rPr>
        <w:t>A</w:t>
      </w:r>
      <w:r w:rsidR="00124157">
        <w:rPr>
          <w:rFonts w:ascii="Century Schoolbook" w:hAnsi="Century Schoolbook"/>
          <w:bCs/>
          <w:szCs w:val="26"/>
        </w:rPr>
        <w:t xml:space="preserve">fter the restitution orders at issue here, </w:t>
      </w:r>
      <w:r w:rsidR="004741F7">
        <w:rPr>
          <w:rFonts w:ascii="Century Schoolbook" w:hAnsi="Century Schoolbook"/>
          <w:bCs/>
          <w:szCs w:val="26"/>
        </w:rPr>
        <w:t>t</w:t>
      </w:r>
      <w:r w:rsidRPr="00395E41" w:rsidR="003650B7">
        <w:rPr>
          <w:rFonts w:ascii="Century Schoolbook" w:hAnsi="Century Schoolbook"/>
          <w:bCs/>
          <w:szCs w:val="26"/>
        </w:rPr>
        <w:t xml:space="preserve">he federal district court </w:t>
      </w:r>
      <w:r w:rsidR="003112FB">
        <w:rPr>
          <w:rFonts w:ascii="Century Schoolbook" w:hAnsi="Century Schoolbook"/>
          <w:bCs/>
          <w:szCs w:val="26"/>
        </w:rPr>
        <w:t xml:space="preserve">in </w:t>
      </w:r>
      <w:r w:rsidRPr="00B26A71" w:rsidR="003112FB">
        <w:rPr>
          <w:rFonts w:ascii="Century Schoolbook" w:hAnsi="Century Schoolbook"/>
          <w:bCs/>
          <w:i/>
          <w:iCs/>
          <w:szCs w:val="26"/>
        </w:rPr>
        <w:t>Andrews</w:t>
      </w:r>
      <w:r w:rsidR="003112FB">
        <w:rPr>
          <w:rFonts w:ascii="Century Schoolbook" w:hAnsi="Century Schoolbook"/>
          <w:bCs/>
          <w:szCs w:val="26"/>
        </w:rPr>
        <w:t xml:space="preserve"> </w:t>
      </w:r>
      <w:r w:rsidRPr="00395E41" w:rsidR="003650B7">
        <w:rPr>
          <w:rFonts w:ascii="Century Schoolbook" w:hAnsi="Century Schoolbook"/>
          <w:bCs/>
          <w:szCs w:val="26"/>
        </w:rPr>
        <w:t xml:space="preserve">approved a </w:t>
      </w:r>
      <w:r w:rsidRPr="00395E41">
        <w:rPr>
          <w:rFonts w:ascii="Century Schoolbook" w:hAnsi="Century Schoolbook"/>
          <w:bCs/>
          <w:szCs w:val="26"/>
        </w:rPr>
        <w:t>class action</w:t>
      </w:r>
      <w:r w:rsidR="006B22B0">
        <w:rPr>
          <w:rFonts w:ascii="Century Schoolbook" w:hAnsi="Century Schoolbook"/>
          <w:bCs/>
          <w:szCs w:val="26"/>
        </w:rPr>
        <w:t xml:space="preserve"> settlement</w:t>
      </w:r>
      <w:r w:rsidRPr="00395E41" w:rsidR="003650B7">
        <w:rPr>
          <w:rFonts w:ascii="Century Schoolbook" w:hAnsi="Century Schoolbook"/>
          <w:bCs/>
          <w:szCs w:val="26"/>
        </w:rPr>
        <w:t xml:space="preserve"> of $184 million </w:t>
      </w:r>
      <w:r w:rsidR="0041213C">
        <w:rPr>
          <w:rFonts w:ascii="Century Schoolbook" w:hAnsi="Century Schoolbook"/>
          <w:bCs/>
          <w:szCs w:val="26"/>
        </w:rPr>
        <w:t xml:space="preserve">to resolve the claims of </w:t>
      </w:r>
      <w:r w:rsidR="00892E0B">
        <w:rPr>
          <w:rFonts w:ascii="Century Schoolbook" w:hAnsi="Century Schoolbook"/>
          <w:bCs/>
          <w:szCs w:val="26"/>
        </w:rPr>
        <w:t>fisher class</w:t>
      </w:r>
      <w:r w:rsidR="00972587">
        <w:rPr>
          <w:rFonts w:ascii="Century Schoolbook" w:hAnsi="Century Schoolbook"/>
          <w:bCs/>
          <w:szCs w:val="26"/>
        </w:rPr>
        <w:t xml:space="preserve"> members </w:t>
      </w:r>
      <w:r w:rsidRPr="00395E41" w:rsidR="001E5FF3">
        <w:rPr>
          <w:rFonts w:ascii="Century Schoolbook" w:hAnsi="Century Schoolbook"/>
          <w:bCs/>
          <w:szCs w:val="26"/>
        </w:rPr>
        <w:t xml:space="preserve">and </w:t>
      </w:r>
      <w:r w:rsidRPr="00395E41" w:rsidR="000A48A4">
        <w:rPr>
          <w:rFonts w:ascii="Century Schoolbook" w:hAnsi="Century Schoolbook"/>
          <w:bCs/>
          <w:szCs w:val="26"/>
        </w:rPr>
        <w:t xml:space="preserve">$46 million </w:t>
      </w:r>
      <w:r w:rsidR="0041213C">
        <w:rPr>
          <w:rFonts w:ascii="Century Schoolbook" w:hAnsi="Century Schoolbook"/>
          <w:bCs/>
          <w:szCs w:val="26"/>
        </w:rPr>
        <w:t>to resolve th</w:t>
      </w:r>
      <w:r w:rsidR="00096B04">
        <w:rPr>
          <w:rFonts w:ascii="Century Schoolbook" w:hAnsi="Century Schoolbook"/>
          <w:bCs/>
          <w:szCs w:val="26"/>
        </w:rPr>
        <w:t>ose</w:t>
      </w:r>
      <w:r w:rsidR="0041213C">
        <w:rPr>
          <w:rFonts w:ascii="Century Schoolbook" w:hAnsi="Century Schoolbook"/>
          <w:bCs/>
          <w:szCs w:val="26"/>
        </w:rPr>
        <w:t xml:space="preserve"> of </w:t>
      </w:r>
      <w:r w:rsidR="00892E0B">
        <w:rPr>
          <w:rFonts w:ascii="Century Schoolbook" w:hAnsi="Century Schoolbook"/>
          <w:bCs/>
          <w:szCs w:val="26"/>
        </w:rPr>
        <w:t>property class</w:t>
      </w:r>
      <w:r w:rsidR="007D489F">
        <w:rPr>
          <w:rFonts w:ascii="Century Schoolbook" w:hAnsi="Century Schoolbook"/>
          <w:bCs/>
          <w:szCs w:val="26"/>
        </w:rPr>
        <w:t xml:space="preserve"> members</w:t>
      </w:r>
      <w:r w:rsidRPr="00395E41" w:rsidR="001E5FF3">
        <w:rPr>
          <w:rFonts w:ascii="Century Schoolbook" w:hAnsi="Century Schoolbook"/>
          <w:bCs/>
          <w:szCs w:val="26"/>
        </w:rPr>
        <w:t xml:space="preserve">. </w:t>
      </w:r>
      <w:r w:rsidRPr="00395E41">
        <w:rPr>
          <w:rFonts w:ascii="Century Schoolbook" w:hAnsi="Century Schoolbook"/>
          <w:bCs/>
          <w:szCs w:val="26"/>
        </w:rPr>
        <w:t xml:space="preserve"> </w:t>
      </w:r>
      <w:r w:rsidR="002E09EC">
        <w:rPr>
          <w:rFonts w:ascii="Century Schoolbook" w:hAnsi="Century Schoolbook"/>
          <w:bCs/>
          <w:szCs w:val="26"/>
        </w:rPr>
        <w:t xml:space="preserve">Some of the class members </w:t>
      </w:r>
      <w:r w:rsidR="0041213C">
        <w:rPr>
          <w:rFonts w:ascii="Century Schoolbook" w:hAnsi="Century Schoolbook"/>
          <w:bCs/>
          <w:szCs w:val="26"/>
        </w:rPr>
        <w:t xml:space="preserve">included </w:t>
      </w:r>
      <w:r w:rsidR="007F6104">
        <w:rPr>
          <w:rFonts w:ascii="Century Schoolbook" w:hAnsi="Century Schoolbook"/>
          <w:bCs/>
          <w:szCs w:val="26"/>
        </w:rPr>
        <w:t xml:space="preserve">Group 2 </w:t>
      </w:r>
      <w:r w:rsidR="002E09EC">
        <w:rPr>
          <w:rFonts w:ascii="Century Schoolbook" w:hAnsi="Century Schoolbook"/>
          <w:bCs/>
          <w:szCs w:val="26"/>
        </w:rPr>
        <w:t xml:space="preserve">restitution claimants.  </w:t>
      </w:r>
      <w:r w:rsidRPr="00395E41">
        <w:rPr>
          <w:rFonts w:ascii="Century Schoolbook" w:hAnsi="Century Schoolbook"/>
          <w:bCs/>
          <w:szCs w:val="26"/>
        </w:rPr>
        <w:t>The settlement provided</w:t>
      </w:r>
      <w:r w:rsidRPr="00395E41" w:rsidR="005D16BB">
        <w:rPr>
          <w:rFonts w:ascii="Century Schoolbook" w:hAnsi="Century Schoolbook"/>
          <w:bCs/>
          <w:szCs w:val="26"/>
        </w:rPr>
        <w:t>: “</w:t>
      </w:r>
      <w:r w:rsidR="00EB3744">
        <w:rPr>
          <w:rFonts w:ascii="Century Schoolbook" w:hAnsi="Century Schoolbook"/>
          <w:bCs/>
          <w:szCs w:val="26"/>
        </w:rPr>
        <w:t>[A]</w:t>
      </w:r>
      <w:r w:rsidRPr="00395E41">
        <w:rPr>
          <w:rFonts w:ascii="Century Schoolbook" w:hAnsi="Century Schoolbook"/>
          <w:bCs/>
          <w:szCs w:val="26"/>
        </w:rPr>
        <w:t>ll Class Members have, by operation of this Order, fully, finally and forever released, relinquished, and discharged the Released Parties</w:t>
      </w:r>
      <w:r w:rsidRPr="00395E41" w:rsidR="005D16BB">
        <w:rPr>
          <w:rFonts w:ascii="Century Schoolbook" w:hAnsi="Century Schoolbook"/>
          <w:bCs/>
          <w:szCs w:val="26"/>
        </w:rPr>
        <w:t xml:space="preserve"> . . . [¶]</w:t>
      </w:r>
      <w:r w:rsidRPr="00395E41" w:rsidR="00D770BA">
        <w:rPr>
          <w:rFonts w:ascii="Century Schoolbook" w:hAnsi="Century Schoolbook"/>
          <w:bCs/>
          <w:szCs w:val="26"/>
        </w:rPr>
        <w:t xml:space="preserve"> </w:t>
      </w:r>
      <w:bookmarkStart w:id="6" w:name="_Hlk134002701"/>
      <w:r w:rsidRPr="00395E41">
        <w:rPr>
          <w:rFonts w:ascii="Century Schoolbook" w:hAnsi="Century Schoolbook"/>
          <w:bCs/>
          <w:szCs w:val="26"/>
        </w:rPr>
        <w:t>Class Members</w:t>
      </w:r>
      <w:r w:rsidRPr="00395E41" w:rsidR="00D770BA">
        <w:rPr>
          <w:rFonts w:ascii="Century Schoolbook" w:hAnsi="Century Schoolbook"/>
          <w:bCs/>
          <w:szCs w:val="26"/>
        </w:rPr>
        <w:t xml:space="preserve"> . . . </w:t>
      </w:r>
      <w:r w:rsidRPr="00395E41">
        <w:rPr>
          <w:rFonts w:ascii="Century Schoolbook" w:hAnsi="Century Schoolbook"/>
          <w:bCs/>
          <w:szCs w:val="26"/>
        </w:rPr>
        <w:t xml:space="preserve">are permanently barred and enjoined from commencing or continuing any action or proceeding in any court or tribunal asserting any claims released under the Settlement Agreement, including any claims for criminal restitution in </w:t>
      </w:r>
      <w:r w:rsidRPr="00395E41">
        <w:rPr>
          <w:rFonts w:ascii="Century Schoolbook" w:hAnsi="Century Schoolbook"/>
          <w:bCs/>
          <w:i/>
          <w:iCs/>
          <w:szCs w:val="26"/>
        </w:rPr>
        <w:t>People v. Plains All Am. Pipeline, L.P.</w:t>
      </w:r>
      <w:r w:rsidRPr="00395E41">
        <w:rPr>
          <w:rFonts w:ascii="Century Schoolbook" w:hAnsi="Century Schoolbook"/>
          <w:bCs/>
          <w:szCs w:val="26"/>
        </w:rPr>
        <w:t>, No. 1495091 (Cal. Superior Ct.)</w:t>
      </w:r>
      <w:r w:rsidR="00641CFC">
        <w:rPr>
          <w:rFonts w:ascii="Century Schoolbook" w:hAnsi="Century Schoolbook"/>
          <w:bCs/>
          <w:szCs w:val="26"/>
        </w:rPr>
        <w:t xml:space="preserve"> </w:t>
      </w:r>
      <w:r w:rsidRPr="00395E41">
        <w:rPr>
          <w:rFonts w:ascii="Century Schoolbook" w:hAnsi="Century Schoolbook"/>
          <w:bCs/>
          <w:szCs w:val="26"/>
        </w:rPr>
        <w:t>and from accepting payment of any Restitution Award in</w:t>
      </w:r>
      <w:r w:rsidRPr="00395E41" w:rsidR="004C5D63">
        <w:rPr>
          <w:rFonts w:ascii="Century Schoolbook" w:hAnsi="Century Schoolbook"/>
          <w:bCs/>
          <w:szCs w:val="26"/>
        </w:rPr>
        <w:t xml:space="preserve"> [that case].”</w:t>
      </w:r>
      <w:r w:rsidRPr="000822C5" w:rsidR="00AF79F0">
        <w:rPr>
          <w:rFonts w:ascii="Century Schoolbook" w:hAnsi="Century Schoolbook"/>
          <w:bCs/>
          <w:szCs w:val="26"/>
        </w:rPr>
        <w:t xml:space="preserve"> </w:t>
      </w:r>
      <w:bookmarkEnd w:id="6"/>
      <w:r w:rsidRPr="000822C5" w:rsidR="00443A93">
        <w:rPr>
          <w:rFonts w:ascii="Century Schoolbook" w:hAnsi="Century Schoolbook"/>
          <w:bCs/>
          <w:szCs w:val="26"/>
        </w:rPr>
        <w:t xml:space="preserve"> </w:t>
      </w:r>
      <w:r w:rsidRPr="008E3B70" w:rsidR="008E3B70">
        <w:rPr>
          <w:rFonts w:ascii="Century Schoolbook" w:hAnsi="Century Schoolbook"/>
          <w:bCs/>
          <w:szCs w:val="26"/>
        </w:rPr>
        <w:t>(</w:t>
      </w:r>
      <w:r w:rsidRPr="008E3B70" w:rsidR="008E3B70">
        <w:rPr>
          <w:rFonts w:ascii="Century Schoolbook" w:hAnsi="Century Schoolbook"/>
          <w:bCs/>
          <w:i/>
          <w:iCs/>
          <w:szCs w:val="26"/>
        </w:rPr>
        <w:t>Andrews v. Plains All Am</w:t>
      </w:r>
      <w:r w:rsidR="00B735BF">
        <w:rPr>
          <w:rFonts w:ascii="Century Schoolbook" w:hAnsi="Century Schoolbook"/>
          <w:bCs/>
          <w:i/>
          <w:iCs/>
          <w:szCs w:val="26"/>
        </w:rPr>
        <w:t>.</w:t>
      </w:r>
      <w:r w:rsidRPr="008E3B70" w:rsidR="008E3B70">
        <w:rPr>
          <w:rFonts w:ascii="Century Schoolbook" w:hAnsi="Century Schoolbook"/>
          <w:bCs/>
          <w:i/>
          <w:iCs/>
          <w:szCs w:val="26"/>
        </w:rPr>
        <w:t xml:space="preserve"> Pipeline, L.P.</w:t>
      </w:r>
      <w:r w:rsidRPr="008E3B70" w:rsidR="008E3B70">
        <w:rPr>
          <w:rFonts w:ascii="Century Schoolbook" w:hAnsi="Century Schoolbook"/>
          <w:bCs/>
          <w:szCs w:val="26"/>
        </w:rPr>
        <w:t xml:space="preserve"> (C.D.Cal., Sept. 20, 2022, No. 2:15-cv-04113-PSG-JEM) 2022 WL 4453860, 2022 U.S.Dist. Lexis 172155.)</w:t>
      </w:r>
      <w:r>
        <w:rPr>
          <w:rStyle w:val="FootnoteReference"/>
          <w:bCs/>
        </w:rPr>
        <w:footnoteReference w:id="4"/>
      </w:r>
    </w:p>
    <w:p w:rsidR="007D5903" w:rsidRPr="007D5903" w:rsidP="00F776EB" w14:paraId="30B9A61B" w14:textId="6FF07F88">
      <w:pPr>
        <w:spacing w:line="288" w:lineRule="auto"/>
        <w:ind w:firstLine="720"/>
        <w:rPr>
          <w:rFonts w:ascii="Century Schoolbook" w:hAnsi="Century Schoolbook"/>
          <w:bCs/>
          <w:szCs w:val="26"/>
        </w:rPr>
      </w:pPr>
      <w:bookmarkStart w:id="8" w:name="_Hlk139638524"/>
      <w:r w:rsidRPr="007D5903">
        <w:rPr>
          <w:rFonts w:ascii="Century Schoolbook" w:hAnsi="Century Schoolbook"/>
          <w:bCs/>
          <w:szCs w:val="26"/>
        </w:rPr>
        <w:t xml:space="preserve">The writ petition originally sought restitution as to Group 2 (fishers), Group 3 (oil industry claimants), and Group 4 (real property claimants).  </w:t>
      </w:r>
      <w:bookmarkEnd w:id="8"/>
      <w:r w:rsidR="00EB5D83">
        <w:rPr>
          <w:rFonts w:ascii="Century Schoolbook" w:hAnsi="Century Schoolbook"/>
          <w:bCs/>
          <w:szCs w:val="26"/>
        </w:rPr>
        <w:t xml:space="preserve">After the </w:t>
      </w:r>
      <w:r w:rsidRPr="00B26A71" w:rsidR="009C4E52">
        <w:rPr>
          <w:rFonts w:ascii="Century Schoolbook" w:hAnsi="Century Schoolbook"/>
          <w:bCs/>
          <w:i/>
          <w:iCs/>
          <w:szCs w:val="26"/>
        </w:rPr>
        <w:t>Andrews</w:t>
      </w:r>
      <w:r w:rsidR="009C4E52">
        <w:rPr>
          <w:rFonts w:ascii="Century Schoolbook" w:hAnsi="Century Schoolbook"/>
          <w:bCs/>
          <w:szCs w:val="26"/>
        </w:rPr>
        <w:t xml:space="preserve"> </w:t>
      </w:r>
      <w:r w:rsidR="00EB5D83">
        <w:rPr>
          <w:rFonts w:ascii="Century Schoolbook" w:hAnsi="Century Schoolbook"/>
          <w:bCs/>
          <w:szCs w:val="26"/>
        </w:rPr>
        <w:t xml:space="preserve">settlement, </w:t>
      </w:r>
      <w:r w:rsidR="0043430C">
        <w:rPr>
          <w:rFonts w:ascii="Century Schoolbook" w:hAnsi="Century Schoolbook"/>
          <w:bCs/>
          <w:szCs w:val="26"/>
        </w:rPr>
        <w:t>petitioner</w:t>
      </w:r>
      <w:r w:rsidR="00320020">
        <w:rPr>
          <w:rFonts w:ascii="Century Schoolbook" w:hAnsi="Century Schoolbook"/>
          <w:bCs/>
          <w:szCs w:val="26"/>
        </w:rPr>
        <w:t xml:space="preserve">s in </w:t>
      </w:r>
      <w:r w:rsidR="00EB5D83">
        <w:rPr>
          <w:rFonts w:ascii="Century Schoolbook" w:hAnsi="Century Schoolbook"/>
          <w:bCs/>
          <w:szCs w:val="26"/>
        </w:rPr>
        <w:t>Groups 2 and 4 withdrew</w:t>
      </w:r>
      <w:r w:rsidR="00865D64">
        <w:rPr>
          <w:rFonts w:ascii="Century Schoolbook" w:hAnsi="Century Schoolbook"/>
          <w:bCs/>
          <w:szCs w:val="26"/>
        </w:rPr>
        <w:t xml:space="preserve"> their request</w:t>
      </w:r>
      <w:r w:rsidR="00250371">
        <w:rPr>
          <w:rFonts w:ascii="Century Schoolbook" w:hAnsi="Century Schoolbook"/>
          <w:bCs/>
          <w:szCs w:val="26"/>
        </w:rPr>
        <w:t>s</w:t>
      </w:r>
      <w:r w:rsidR="00865D64">
        <w:rPr>
          <w:rFonts w:ascii="Century Schoolbook" w:hAnsi="Century Schoolbook"/>
          <w:bCs/>
          <w:szCs w:val="26"/>
        </w:rPr>
        <w:t xml:space="preserve"> for writ relief.</w:t>
      </w:r>
      <w:r w:rsidRPr="007D5903">
        <w:rPr>
          <w:rFonts w:ascii="Century Schoolbook" w:hAnsi="Century Schoolbook"/>
          <w:bCs/>
          <w:szCs w:val="26"/>
        </w:rPr>
        <w:t xml:space="preserve">  </w:t>
      </w:r>
      <w:r w:rsidR="00EF425B">
        <w:rPr>
          <w:rFonts w:ascii="Century Schoolbook" w:hAnsi="Century Schoolbook"/>
          <w:bCs/>
          <w:szCs w:val="26"/>
        </w:rPr>
        <w:t>We accordingly limit our analysis of the writ petition to</w:t>
      </w:r>
      <w:r w:rsidRPr="007D5903">
        <w:rPr>
          <w:rFonts w:ascii="Century Schoolbook" w:hAnsi="Century Schoolbook"/>
          <w:bCs/>
          <w:szCs w:val="26"/>
        </w:rPr>
        <w:t xml:space="preserve"> Group 3 petitioners.</w:t>
      </w:r>
      <w:r w:rsidR="005C5774">
        <w:rPr>
          <w:rFonts w:ascii="Century Schoolbook" w:hAnsi="Century Schoolbook"/>
          <w:bCs/>
          <w:szCs w:val="26"/>
        </w:rPr>
        <w:t xml:space="preserve">  But becaus</w:t>
      </w:r>
      <w:r w:rsidR="003C1D68">
        <w:rPr>
          <w:rFonts w:ascii="Century Schoolbook" w:hAnsi="Century Schoolbook"/>
          <w:bCs/>
          <w:szCs w:val="26"/>
        </w:rPr>
        <w:t xml:space="preserve">e </w:t>
      </w:r>
      <w:r w:rsidR="002D43A5">
        <w:rPr>
          <w:rFonts w:ascii="Century Schoolbook" w:hAnsi="Century Schoolbook"/>
          <w:bCs/>
          <w:szCs w:val="26"/>
        </w:rPr>
        <w:t>the</w:t>
      </w:r>
      <w:r w:rsidR="003C1D68">
        <w:rPr>
          <w:rFonts w:ascii="Century Schoolbook" w:hAnsi="Century Schoolbook"/>
          <w:bCs/>
          <w:szCs w:val="26"/>
        </w:rPr>
        <w:t xml:space="preserve"> c</w:t>
      </w:r>
      <w:r w:rsidRPr="003C1D68" w:rsidR="003C1D68">
        <w:rPr>
          <w:rFonts w:ascii="Century Schoolbook" w:hAnsi="Century Schoolbook"/>
          <w:bCs/>
          <w:szCs w:val="26"/>
        </w:rPr>
        <w:t xml:space="preserve">ivil settlement is not binding on the </w:t>
      </w:r>
      <w:r w:rsidR="00440F34">
        <w:rPr>
          <w:rFonts w:ascii="Century Schoolbook" w:hAnsi="Century Schoolbook"/>
          <w:bCs/>
          <w:szCs w:val="26"/>
        </w:rPr>
        <w:t>People</w:t>
      </w:r>
      <w:r w:rsidRPr="003C1D68" w:rsidR="003C1D68">
        <w:rPr>
          <w:rFonts w:ascii="Century Schoolbook" w:hAnsi="Century Schoolbook"/>
          <w:bCs/>
          <w:szCs w:val="26"/>
        </w:rPr>
        <w:t xml:space="preserve"> (</w:t>
      </w:r>
      <w:r w:rsidRPr="003C1D68" w:rsidR="003C1D68">
        <w:rPr>
          <w:rFonts w:ascii="Century Schoolbook" w:hAnsi="Century Schoolbook"/>
          <w:bCs/>
          <w:i/>
          <w:iCs/>
          <w:szCs w:val="26"/>
        </w:rPr>
        <w:t>People v. Nonaka</w:t>
      </w:r>
      <w:r w:rsidRPr="003C1D68" w:rsidR="003C1D68">
        <w:rPr>
          <w:rFonts w:ascii="Century Schoolbook" w:hAnsi="Century Schoolbook"/>
          <w:bCs/>
          <w:szCs w:val="26"/>
        </w:rPr>
        <w:t xml:space="preserve"> (2022) 83 Cal.App.5th 998, 1000</w:t>
      </w:r>
      <w:r w:rsidR="003C1D68">
        <w:rPr>
          <w:rFonts w:ascii="Century Schoolbook" w:hAnsi="Century Schoolbook"/>
          <w:bCs/>
          <w:szCs w:val="26"/>
        </w:rPr>
        <w:t>)</w:t>
      </w:r>
      <w:r w:rsidR="0002700E">
        <w:rPr>
          <w:rFonts w:ascii="Century Schoolbook" w:hAnsi="Century Schoolbook"/>
          <w:bCs/>
          <w:szCs w:val="26"/>
        </w:rPr>
        <w:t>,</w:t>
      </w:r>
      <w:r w:rsidRPr="003C1D68" w:rsidR="003C1D68">
        <w:rPr>
          <w:rFonts w:ascii="Century Schoolbook" w:hAnsi="Century Schoolbook"/>
          <w:bCs/>
          <w:szCs w:val="26"/>
        </w:rPr>
        <w:t xml:space="preserve"> we resolve the</w:t>
      </w:r>
      <w:r w:rsidR="0043430C">
        <w:rPr>
          <w:rFonts w:ascii="Century Schoolbook" w:hAnsi="Century Schoolbook"/>
          <w:bCs/>
          <w:szCs w:val="26"/>
        </w:rPr>
        <w:t xml:space="preserve"> People’s contentions regarding</w:t>
      </w:r>
      <w:r w:rsidRPr="003C1D68" w:rsidR="003C1D68">
        <w:rPr>
          <w:rFonts w:ascii="Century Schoolbook" w:hAnsi="Century Schoolbook"/>
          <w:bCs/>
          <w:szCs w:val="26"/>
        </w:rPr>
        <w:t xml:space="preserve"> Groups 2 and 3, including those in Group 2 who settled their claims in </w:t>
      </w:r>
      <w:r w:rsidRPr="00E0780F" w:rsidR="00440F34">
        <w:rPr>
          <w:rFonts w:ascii="Century Schoolbook" w:hAnsi="Century Schoolbook"/>
          <w:bCs/>
          <w:i/>
          <w:iCs/>
          <w:szCs w:val="26"/>
        </w:rPr>
        <w:t>Andrews</w:t>
      </w:r>
      <w:r w:rsidRPr="003C1D68" w:rsidR="003C1D68">
        <w:rPr>
          <w:rFonts w:ascii="Century Schoolbook" w:hAnsi="Century Schoolbook"/>
          <w:bCs/>
          <w:szCs w:val="26"/>
        </w:rPr>
        <w:t>.</w:t>
      </w:r>
    </w:p>
    <w:p w:rsidR="003C16C8" w:rsidP="00F776EB" w14:paraId="74496E9C" w14:textId="0ACAADAF">
      <w:pPr>
        <w:spacing w:line="288" w:lineRule="auto"/>
        <w:jc w:val="center"/>
        <w:rPr>
          <w:rStyle w:val="PageNumber"/>
          <w:rFonts w:ascii="Century Schoolbook" w:hAnsi="Century Schoolbook"/>
          <w:sz w:val="26"/>
          <w:szCs w:val="26"/>
        </w:rPr>
      </w:pPr>
      <w:r w:rsidRPr="00395E41">
        <w:rPr>
          <w:rStyle w:val="PageNumber"/>
          <w:rFonts w:ascii="Century Schoolbook" w:hAnsi="Century Schoolbook"/>
          <w:sz w:val="26"/>
          <w:szCs w:val="26"/>
        </w:rPr>
        <w:t>DISCUSSION</w:t>
      </w:r>
    </w:p>
    <w:p w:rsidR="00634198" w:rsidRPr="00634198" w:rsidP="00F776EB" w14:paraId="20EF9B92" w14:textId="3190F0D6">
      <w:pPr>
        <w:widowControl/>
        <w:spacing w:line="288" w:lineRule="auto"/>
        <w:jc w:val="center"/>
        <w:rPr>
          <w:rFonts w:ascii="Century Schoolbook" w:hAnsi="Century Schoolbook"/>
          <w:i/>
          <w:iCs/>
          <w:position w:val="6"/>
          <w:szCs w:val="26"/>
        </w:rPr>
      </w:pPr>
      <w:r>
        <w:rPr>
          <w:rFonts w:ascii="Century Schoolbook" w:hAnsi="Century Schoolbook"/>
          <w:i/>
          <w:iCs/>
          <w:position w:val="6"/>
          <w:szCs w:val="26"/>
        </w:rPr>
        <w:t>Right to seek mandamus</w:t>
      </w:r>
    </w:p>
    <w:p w:rsidR="00634198" w:rsidRPr="00634198" w:rsidP="00F776EB" w14:paraId="23300430" w14:textId="59F16B7C">
      <w:pPr>
        <w:widowControl/>
        <w:tabs>
          <w:tab w:val="left" w:pos="720"/>
        </w:tabs>
        <w:spacing w:line="288" w:lineRule="auto"/>
        <w:rPr>
          <w:rFonts w:ascii="Century Schoolbook" w:hAnsi="Century Schoolbook"/>
          <w:bCs/>
          <w:position w:val="6"/>
          <w:szCs w:val="26"/>
        </w:rPr>
      </w:pPr>
      <w:r w:rsidRPr="00634198">
        <w:rPr>
          <w:rFonts w:ascii="Century Schoolbook" w:hAnsi="Century Schoolbook"/>
          <w:bCs/>
          <w:position w:val="6"/>
          <w:szCs w:val="26"/>
        </w:rPr>
        <w:tab/>
        <w:t>Plains demurs to the mandamus petition (Code Civ. Proc., §</w:t>
      </w:r>
      <w:r w:rsidR="00F776EB">
        <w:rPr>
          <w:rFonts w:ascii="Century Schoolbook" w:hAnsi="Century Schoolbook"/>
          <w:bCs/>
          <w:position w:val="6"/>
          <w:szCs w:val="26"/>
        </w:rPr>
        <w:t> </w:t>
      </w:r>
      <w:r w:rsidRPr="00634198">
        <w:rPr>
          <w:rFonts w:ascii="Century Schoolbook" w:hAnsi="Century Schoolbook"/>
          <w:bCs/>
          <w:position w:val="6"/>
          <w:szCs w:val="26"/>
        </w:rPr>
        <w:t>1089) on the ground that the oil industry claimants have no right to seek writ relief because the People have separately appealed.  The demurrer is overruled.</w:t>
      </w:r>
    </w:p>
    <w:p w:rsidR="00634198" w:rsidRPr="00634198" w:rsidP="00634198" w14:paraId="041D583E" w14:textId="07D3DF04">
      <w:pPr>
        <w:widowControl/>
        <w:tabs>
          <w:tab w:val="left" w:pos="720"/>
        </w:tabs>
        <w:spacing w:line="288" w:lineRule="auto"/>
        <w:rPr>
          <w:rFonts w:ascii="Century Schoolbook" w:hAnsi="Century Schoolbook"/>
          <w:bCs/>
          <w:position w:val="6"/>
          <w:szCs w:val="26"/>
        </w:rPr>
      </w:pPr>
      <w:r w:rsidRPr="00634198">
        <w:rPr>
          <w:rFonts w:ascii="Century Schoolbook" w:hAnsi="Century Schoolbook"/>
          <w:bCs/>
          <w:position w:val="6"/>
          <w:szCs w:val="26"/>
        </w:rPr>
        <w:tab/>
        <w:t>Because restitution claimants are not parties in a criminal prosecution, the oil industry claimants have no right to direct appeal.  (</w:t>
      </w:r>
      <w:r w:rsidRPr="00634198">
        <w:rPr>
          <w:rFonts w:ascii="Century Schoolbook" w:hAnsi="Century Schoolbook"/>
          <w:bCs/>
          <w:i/>
          <w:iCs/>
          <w:position w:val="6"/>
          <w:szCs w:val="26"/>
        </w:rPr>
        <w:t>Crump v. Appellate Division</w:t>
      </w:r>
      <w:r w:rsidRPr="00634198">
        <w:rPr>
          <w:rFonts w:ascii="Century Schoolbook" w:hAnsi="Century Schoolbook"/>
          <w:bCs/>
          <w:position w:val="6"/>
          <w:szCs w:val="26"/>
        </w:rPr>
        <w:t xml:space="preserve"> </w:t>
      </w:r>
      <w:r w:rsidRPr="00CE1BB1" w:rsidR="00CE1BB1">
        <w:rPr>
          <w:rFonts w:ascii="Century Schoolbook" w:hAnsi="Century Schoolbook"/>
          <w:bCs/>
          <w:i/>
          <w:iCs/>
          <w:position w:val="6"/>
          <w:szCs w:val="26"/>
        </w:rPr>
        <w:t>of Superior Court</w:t>
      </w:r>
      <w:r w:rsidR="00CE1BB1">
        <w:rPr>
          <w:rFonts w:ascii="Century Schoolbook" w:hAnsi="Century Schoolbook"/>
          <w:bCs/>
          <w:position w:val="6"/>
          <w:szCs w:val="26"/>
        </w:rPr>
        <w:t xml:space="preserve"> </w:t>
      </w:r>
      <w:r w:rsidRPr="00634198">
        <w:rPr>
          <w:rFonts w:ascii="Century Schoolbook" w:hAnsi="Century Schoolbook"/>
          <w:bCs/>
          <w:position w:val="6"/>
          <w:szCs w:val="26"/>
        </w:rPr>
        <w:t>(2019) 37 Cal.App.5th 222, 236 (</w:t>
      </w:r>
      <w:r w:rsidRPr="00634198">
        <w:rPr>
          <w:rFonts w:ascii="Century Schoolbook" w:hAnsi="Century Schoolbook"/>
          <w:bCs/>
          <w:i/>
          <w:iCs/>
          <w:position w:val="6"/>
          <w:szCs w:val="26"/>
        </w:rPr>
        <w:t>Crump</w:t>
      </w:r>
      <w:r w:rsidRPr="00634198">
        <w:rPr>
          <w:rFonts w:ascii="Century Schoolbook" w:hAnsi="Century Schoolbook"/>
          <w:bCs/>
          <w:position w:val="6"/>
          <w:szCs w:val="26"/>
        </w:rPr>
        <w:t>).)  “Instead . . . where the trial court fails in its duty to order restitution from the convicted wrongdoer to the victims of the crime, the victims may do what petitioners have done in this case: seek a writ of mandate.”  (</w:t>
      </w:r>
      <w:r w:rsidRPr="00634198">
        <w:rPr>
          <w:rFonts w:ascii="Century Schoolbook" w:hAnsi="Century Schoolbook"/>
          <w:bCs/>
          <w:i/>
          <w:iCs/>
          <w:position w:val="6"/>
          <w:szCs w:val="26"/>
        </w:rPr>
        <w:t>Id</w:t>
      </w:r>
      <w:r w:rsidRPr="00634198">
        <w:rPr>
          <w:rFonts w:ascii="Century Schoolbook" w:hAnsi="Century Schoolbook"/>
          <w:bCs/>
          <w:position w:val="6"/>
          <w:szCs w:val="26"/>
        </w:rPr>
        <w:t xml:space="preserve">. at p. 230; </w:t>
      </w:r>
      <w:r w:rsidRPr="00634198">
        <w:rPr>
          <w:rFonts w:ascii="Century Schoolbook" w:hAnsi="Century Schoolbook"/>
          <w:bCs/>
          <w:i/>
          <w:iCs/>
          <w:position w:val="6"/>
          <w:szCs w:val="26"/>
        </w:rPr>
        <w:t>Q-Soft, Inc. v. Superior Court</w:t>
      </w:r>
      <w:r w:rsidRPr="00634198">
        <w:rPr>
          <w:rFonts w:ascii="Century Schoolbook" w:hAnsi="Century Schoolbook"/>
          <w:bCs/>
          <w:position w:val="6"/>
          <w:szCs w:val="26"/>
        </w:rPr>
        <w:t> (2007) 157 Cal.App.4th 441, 446-447.)</w:t>
      </w:r>
    </w:p>
    <w:p w:rsidR="00634198" w:rsidRPr="00634198" w:rsidP="00634198" w14:paraId="74CEFBD7" w14:textId="216791BD">
      <w:pPr>
        <w:widowControl/>
        <w:tabs>
          <w:tab w:val="left" w:pos="720"/>
        </w:tabs>
        <w:spacing w:line="288" w:lineRule="auto"/>
        <w:rPr>
          <w:rFonts w:ascii="Century Schoolbook" w:hAnsi="Century Schoolbook"/>
          <w:bCs/>
          <w:position w:val="6"/>
          <w:szCs w:val="26"/>
        </w:rPr>
      </w:pPr>
      <w:r w:rsidRPr="00634198">
        <w:rPr>
          <w:rFonts w:ascii="Century Schoolbook" w:hAnsi="Century Schoolbook"/>
          <w:bCs/>
          <w:position w:val="6"/>
          <w:szCs w:val="26"/>
        </w:rPr>
        <w:tab/>
        <w:t xml:space="preserve">“[W]here the trial court improperly refuses or otherwise errs in awarding restitution, and </w:t>
      </w:r>
      <w:r w:rsidRPr="00634198">
        <w:rPr>
          <w:rFonts w:ascii="Century Schoolbook" w:hAnsi="Century Schoolbook"/>
          <w:bCs/>
          <w:i/>
          <w:position w:val="6"/>
          <w:szCs w:val="26"/>
        </w:rPr>
        <w:t>no appeal is taken</w:t>
      </w:r>
      <w:r w:rsidRPr="00634198">
        <w:rPr>
          <w:rFonts w:ascii="Century Schoolbook" w:hAnsi="Century Schoolbook"/>
          <w:bCs/>
          <w:position w:val="6"/>
          <w:szCs w:val="26"/>
        </w:rPr>
        <w:t>, the victim may enforce the right to restitution in the appellate courts by seeking a writ of mandate.”  (</w:t>
      </w:r>
      <w:r w:rsidRPr="00634198">
        <w:rPr>
          <w:rFonts w:ascii="Century Schoolbook" w:hAnsi="Century Schoolbook"/>
          <w:bCs/>
          <w:i/>
          <w:iCs/>
          <w:position w:val="6"/>
          <w:szCs w:val="26"/>
        </w:rPr>
        <w:t>Crump</w:t>
      </w:r>
      <w:r w:rsidRPr="000822C5">
        <w:rPr>
          <w:rFonts w:ascii="Century Schoolbook" w:hAnsi="Century Schoolbook"/>
          <w:bCs/>
          <w:position w:val="6"/>
          <w:szCs w:val="26"/>
        </w:rPr>
        <w:t>,</w:t>
      </w:r>
      <w:r w:rsidRPr="00634198">
        <w:rPr>
          <w:rFonts w:ascii="Century Schoolbook" w:hAnsi="Century Schoolbook"/>
          <w:bCs/>
          <w:i/>
          <w:iCs/>
          <w:position w:val="6"/>
          <w:szCs w:val="26"/>
        </w:rPr>
        <w:t xml:space="preserve"> supra</w:t>
      </w:r>
      <w:r w:rsidRPr="000822C5">
        <w:rPr>
          <w:rFonts w:ascii="Century Schoolbook" w:hAnsi="Century Schoolbook"/>
          <w:bCs/>
          <w:position w:val="6"/>
          <w:szCs w:val="26"/>
        </w:rPr>
        <w:t xml:space="preserve">, </w:t>
      </w:r>
      <w:r w:rsidRPr="00634198">
        <w:rPr>
          <w:rFonts w:ascii="Century Schoolbook" w:hAnsi="Century Schoolbook"/>
          <w:bCs/>
          <w:position w:val="6"/>
          <w:szCs w:val="26"/>
        </w:rPr>
        <w:t xml:space="preserve">37 Cal.App.5th at p. 241, italics added.)  </w:t>
      </w:r>
      <w:r w:rsidR="00496EFE">
        <w:rPr>
          <w:rFonts w:ascii="Century Schoolbook" w:hAnsi="Century Schoolbook"/>
          <w:bCs/>
          <w:position w:val="6"/>
          <w:szCs w:val="26"/>
        </w:rPr>
        <w:t>Because</w:t>
      </w:r>
      <w:r w:rsidRPr="00634198">
        <w:rPr>
          <w:rFonts w:ascii="Century Schoolbook" w:hAnsi="Century Schoolbook"/>
          <w:bCs/>
          <w:position w:val="6"/>
          <w:szCs w:val="26"/>
        </w:rPr>
        <w:t xml:space="preserve"> the issue was not before it, however, </w:t>
      </w:r>
      <w:r w:rsidRPr="00634198">
        <w:rPr>
          <w:rFonts w:ascii="Century Schoolbook" w:hAnsi="Century Schoolbook"/>
          <w:bCs/>
          <w:i/>
          <w:iCs/>
          <w:position w:val="6"/>
          <w:szCs w:val="26"/>
        </w:rPr>
        <w:t>Crump</w:t>
      </w:r>
      <w:r w:rsidRPr="00634198">
        <w:rPr>
          <w:rFonts w:ascii="Century Schoolbook" w:hAnsi="Century Schoolbook"/>
          <w:bCs/>
          <w:position w:val="6"/>
          <w:szCs w:val="26"/>
        </w:rPr>
        <w:t xml:space="preserve"> did not determine what rights victims would have if</w:t>
      </w:r>
      <w:r>
        <w:rPr>
          <w:rFonts w:ascii="Century Schoolbook" w:hAnsi="Century Schoolbook"/>
          <w:bCs/>
          <w:position w:val="6"/>
          <w:szCs w:val="26"/>
        </w:rPr>
        <w:t>, as is the case here,</w:t>
      </w:r>
      <w:r w:rsidRPr="00634198">
        <w:rPr>
          <w:rFonts w:ascii="Century Schoolbook" w:hAnsi="Century Schoolbook"/>
          <w:bCs/>
          <w:position w:val="6"/>
          <w:szCs w:val="26"/>
        </w:rPr>
        <w:t xml:space="preserve"> the People appealed.  </w:t>
      </w:r>
    </w:p>
    <w:p w:rsidR="00634198" w:rsidRPr="00634198" w:rsidP="00634198" w14:paraId="43A06596" w14:textId="5A80CCAD">
      <w:pPr>
        <w:widowControl/>
        <w:tabs>
          <w:tab w:val="left" w:pos="720"/>
        </w:tabs>
        <w:spacing w:line="288" w:lineRule="auto"/>
        <w:rPr>
          <w:rFonts w:ascii="Century Schoolbook" w:hAnsi="Century Schoolbook"/>
          <w:bCs/>
          <w:position w:val="6"/>
          <w:szCs w:val="26"/>
        </w:rPr>
      </w:pPr>
      <w:r w:rsidRPr="00634198">
        <w:rPr>
          <w:rFonts w:ascii="Century Schoolbook" w:hAnsi="Century Schoolbook"/>
          <w:bCs/>
          <w:position w:val="6"/>
          <w:szCs w:val="26"/>
        </w:rPr>
        <w:tab/>
        <w:t>“When a sentence is invalid due to the omission of a restitution order . . . a victim, the district attorney, or the court on its own motion may at any time request correction of the sentence to include a proper restitution award.”  (</w:t>
      </w:r>
      <w:r w:rsidRPr="00634198">
        <w:rPr>
          <w:rFonts w:ascii="Century Schoolbook" w:hAnsi="Century Schoolbook"/>
          <w:bCs/>
          <w:i/>
          <w:iCs/>
          <w:position w:val="6"/>
          <w:szCs w:val="26"/>
        </w:rPr>
        <w:t>People v. Brown</w:t>
      </w:r>
      <w:r w:rsidRPr="00634198">
        <w:rPr>
          <w:rFonts w:ascii="Century Schoolbook" w:hAnsi="Century Schoolbook"/>
          <w:bCs/>
          <w:position w:val="6"/>
          <w:szCs w:val="26"/>
        </w:rPr>
        <w:t xml:space="preserve"> (2007) 147 Cal.App.4th 1213, 122</w:t>
      </w:r>
      <w:r w:rsidR="00CE1BB1">
        <w:rPr>
          <w:rFonts w:ascii="Century Schoolbook" w:hAnsi="Century Schoolbook"/>
          <w:bCs/>
          <w:position w:val="6"/>
          <w:szCs w:val="26"/>
        </w:rPr>
        <w:t>5</w:t>
      </w:r>
      <w:r w:rsidRPr="00634198">
        <w:rPr>
          <w:rFonts w:ascii="Century Schoolbook" w:hAnsi="Century Schoolbook"/>
          <w:bCs/>
          <w:position w:val="6"/>
          <w:szCs w:val="26"/>
        </w:rPr>
        <w:t>, fn. 7.)  “A victim, the retained attorney of a victim, a lawful representative of the victim, or the prosecuting attorney upon request of the victim, may enforce” the constitutional right to restitution “in any trial or appellate court with jurisdiction over the case as a matter of right.”  (Cal. Const., art. I, § 28, subd. (c)(1).)  Because “ ‘appellate jurisdiction . . . encompasses review by extraordinary writ as well as review by direct appeal’ ” (</w:t>
      </w:r>
      <w:r w:rsidRPr="00634198">
        <w:rPr>
          <w:rFonts w:ascii="Century Schoolbook" w:hAnsi="Century Schoolbook"/>
          <w:bCs/>
          <w:i/>
          <w:iCs/>
          <w:position w:val="6"/>
          <w:szCs w:val="26"/>
        </w:rPr>
        <w:t>Crump</w:t>
      </w:r>
      <w:r w:rsidRPr="00634198">
        <w:rPr>
          <w:rFonts w:ascii="Century Schoolbook" w:hAnsi="Century Schoolbook"/>
          <w:bCs/>
          <w:position w:val="6"/>
          <w:szCs w:val="26"/>
        </w:rPr>
        <w:t xml:space="preserve">, </w:t>
      </w:r>
      <w:r w:rsidRPr="00634198">
        <w:rPr>
          <w:rFonts w:ascii="Century Schoolbook" w:hAnsi="Century Schoolbook"/>
          <w:bCs/>
          <w:i/>
          <w:iCs/>
          <w:position w:val="6"/>
          <w:szCs w:val="26"/>
        </w:rPr>
        <w:t>supra</w:t>
      </w:r>
      <w:r w:rsidRPr="00634198">
        <w:rPr>
          <w:rFonts w:ascii="Century Schoolbook" w:hAnsi="Century Schoolbook"/>
          <w:bCs/>
          <w:position w:val="6"/>
          <w:szCs w:val="26"/>
        </w:rPr>
        <w:t xml:space="preserve">, 37 Cal.App.5th at p. 241), we conclude the People’s appeal does not preclude the oil industry claimants from seeking writ relief. </w:t>
      </w:r>
    </w:p>
    <w:p w:rsidR="001B3BDB" w:rsidP="002E12DA" w14:paraId="143B778E" w14:textId="2368C4E7">
      <w:pPr>
        <w:widowControl/>
        <w:tabs>
          <w:tab w:val="left" w:pos="720"/>
        </w:tabs>
        <w:spacing w:line="288" w:lineRule="auto"/>
        <w:rPr>
          <w:rFonts w:ascii="Century Schoolbook" w:hAnsi="Century Schoolbook"/>
          <w:bCs/>
          <w:position w:val="6"/>
          <w:szCs w:val="26"/>
        </w:rPr>
      </w:pPr>
      <w:r w:rsidRPr="00634198">
        <w:rPr>
          <w:rFonts w:ascii="Century Schoolbook" w:hAnsi="Century Schoolbook"/>
          <w:bCs/>
          <w:position w:val="6"/>
          <w:szCs w:val="26"/>
        </w:rPr>
        <w:tab/>
        <w:t>The demurrer also contends the petition fails to state facts sufficient to show the trial court abused its discretion.  We overrule the demurrer on that ground as well.</w:t>
      </w:r>
      <w:r>
        <w:rPr>
          <w:rFonts w:ascii="Century Schoolbook" w:hAnsi="Century Schoolbook"/>
          <w:bCs/>
          <w:position w:val="6"/>
          <w:szCs w:val="26"/>
        </w:rPr>
        <w:t xml:space="preserve">  </w:t>
      </w:r>
      <w:r w:rsidRPr="00634198">
        <w:rPr>
          <w:rFonts w:ascii="Century Schoolbook" w:hAnsi="Century Schoolbook"/>
          <w:bCs/>
          <w:position w:val="6"/>
          <w:szCs w:val="26"/>
        </w:rPr>
        <w:t>“For the purpose of ruling on a demurrer</w:t>
      </w:r>
      <w:r w:rsidR="00CE1BB1">
        <w:rPr>
          <w:rFonts w:ascii="Century Schoolbook" w:hAnsi="Century Schoolbook"/>
          <w:bCs/>
          <w:position w:val="6"/>
          <w:szCs w:val="26"/>
        </w:rPr>
        <w:t>,</w:t>
      </w:r>
      <w:r w:rsidRPr="00634198">
        <w:rPr>
          <w:rFonts w:ascii="Century Schoolbook" w:hAnsi="Century Schoolbook"/>
          <w:bCs/>
          <w:position w:val="6"/>
          <w:szCs w:val="26"/>
        </w:rPr>
        <w:t xml:space="preserve"> the court assumes the truth of all well</w:t>
      </w:r>
      <w:r w:rsidR="003775F0">
        <w:rPr>
          <w:rFonts w:ascii="Century Schoolbook" w:hAnsi="Century Schoolbook"/>
          <w:bCs/>
          <w:position w:val="6"/>
          <w:szCs w:val="26"/>
        </w:rPr>
        <w:noBreakHyphen/>
      </w:r>
      <w:r w:rsidRPr="00634198">
        <w:rPr>
          <w:rFonts w:ascii="Century Schoolbook" w:hAnsi="Century Schoolbook"/>
          <w:bCs/>
          <w:position w:val="6"/>
          <w:szCs w:val="26"/>
        </w:rPr>
        <w:t>pleaded allegations of a complaint.”</w:t>
      </w:r>
      <w:r w:rsidR="00103FAE">
        <w:rPr>
          <w:rFonts w:ascii="Century Schoolbook" w:hAnsi="Century Schoolbook"/>
          <w:bCs/>
          <w:position w:val="6"/>
          <w:szCs w:val="26"/>
        </w:rPr>
        <w:t xml:space="preserve">  </w:t>
      </w:r>
      <w:r w:rsidRPr="00634198">
        <w:rPr>
          <w:rFonts w:ascii="Century Schoolbook" w:hAnsi="Century Schoolbook"/>
          <w:bCs/>
          <w:position w:val="6"/>
          <w:szCs w:val="26"/>
        </w:rPr>
        <w:t>(</w:t>
      </w:r>
      <w:r w:rsidRPr="00634198">
        <w:rPr>
          <w:rFonts w:ascii="Century Schoolbook" w:hAnsi="Century Schoolbook"/>
          <w:bCs/>
          <w:i/>
          <w:iCs/>
          <w:position w:val="6"/>
          <w:szCs w:val="26"/>
        </w:rPr>
        <w:t>StorMedia Inc. v. Superior Court</w:t>
      </w:r>
      <w:r w:rsidRPr="00634198">
        <w:rPr>
          <w:rFonts w:ascii="Century Schoolbook" w:hAnsi="Century Schoolbook"/>
          <w:bCs/>
          <w:position w:val="6"/>
          <w:szCs w:val="26"/>
        </w:rPr>
        <w:t xml:space="preserve"> (1999) 20 Cal.4th 449, 453, fn. 3.)  The petition alleges that </w:t>
      </w:r>
      <w:r>
        <w:rPr>
          <w:rFonts w:ascii="Century Schoolbook" w:hAnsi="Century Schoolbook"/>
          <w:bCs/>
          <w:position w:val="6"/>
          <w:szCs w:val="26"/>
        </w:rPr>
        <w:t xml:space="preserve">the oil industry </w:t>
      </w:r>
      <w:r w:rsidRPr="00634198">
        <w:rPr>
          <w:rFonts w:ascii="Century Schoolbook" w:hAnsi="Century Schoolbook"/>
          <w:bCs/>
          <w:position w:val="6"/>
          <w:szCs w:val="26"/>
        </w:rPr>
        <w:t xml:space="preserve">claimants are “victims who suffered economic losses as a direct result of Plains’ crimes.”  </w:t>
      </w:r>
      <w:r w:rsidR="00256A74">
        <w:rPr>
          <w:rFonts w:ascii="Century Schoolbook" w:hAnsi="Century Schoolbook"/>
          <w:bCs/>
          <w:position w:val="6"/>
          <w:szCs w:val="26"/>
        </w:rPr>
        <w:t xml:space="preserve">It </w:t>
      </w:r>
      <w:r w:rsidRPr="00634198">
        <w:rPr>
          <w:rFonts w:ascii="Century Schoolbook" w:hAnsi="Century Schoolbook"/>
          <w:bCs/>
          <w:position w:val="6"/>
          <w:szCs w:val="26"/>
        </w:rPr>
        <w:t xml:space="preserve">also alleges the trial court erred in denying restitution as a matter of law by misinterpreting the California Constitution and Penal Code.  </w:t>
      </w:r>
    </w:p>
    <w:p w:rsidR="001C1CC0" w:rsidRPr="00B26A71" w:rsidP="002E12DA" w14:paraId="5EC62503" w14:textId="780B5B76">
      <w:pPr>
        <w:widowControl/>
        <w:tabs>
          <w:tab w:val="left" w:pos="720"/>
        </w:tabs>
        <w:spacing w:line="288" w:lineRule="auto"/>
        <w:rPr>
          <w:rStyle w:val="PageNumber"/>
          <w:rFonts w:ascii="Century Schoolbook" w:hAnsi="Century Schoolbook"/>
          <w:bCs/>
          <w:position w:val="6"/>
          <w:sz w:val="26"/>
          <w:szCs w:val="26"/>
        </w:rPr>
      </w:pPr>
      <w:r>
        <w:rPr>
          <w:rFonts w:ascii="Century Schoolbook" w:hAnsi="Century Schoolbook"/>
          <w:bCs/>
          <w:position w:val="6"/>
          <w:szCs w:val="26"/>
        </w:rPr>
        <w:tab/>
      </w:r>
      <w:r w:rsidRPr="00634198" w:rsidR="00634198">
        <w:rPr>
          <w:rFonts w:ascii="Century Schoolbook" w:hAnsi="Century Schoolbook"/>
          <w:bCs/>
          <w:position w:val="6"/>
          <w:szCs w:val="26"/>
        </w:rPr>
        <w:t>Mandamus lies to review an abuse of discretion based on misinterpretation or misapplication of applicable law.  (</w:t>
      </w:r>
      <w:r w:rsidRPr="00634198" w:rsidR="00634198">
        <w:rPr>
          <w:rFonts w:ascii="Century Schoolbook" w:hAnsi="Century Schoolbook"/>
          <w:bCs/>
          <w:i/>
          <w:iCs/>
          <w:position w:val="6"/>
          <w:szCs w:val="26"/>
        </w:rPr>
        <w:t>Conservatorship of Lee C.</w:t>
      </w:r>
      <w:r w:rsidRPr="00634198" w:rsidR="00634198">
        <w:rPr>
          <w:rFonts w:ascii="Century Schoolbook" w:hAnsi="Century Schoolbook"/>
          <w:bCs/>
          <w:position w:val="6"/>
          <w:szCs w:val="26"/>
        </w:rPr>
        <w:t xml:space="preserve"> (2017) 18 Cal.App.5th 1072, 1092.)  We conclude the allegations in the petition are sufficient to survive the demurrer.</w:t>
      </w:r>
    </w:p>
    <w:p w:rsidR="00CE3187" w:rsidRPr="00395E41" w:rsidP="00E154DF" w14:paraId="158F4835" w14:textId="6C7CD4DC">
      <w:pPr>
        <w:spacing w:line="288" w:lineRule="auto"/>
        <w:jc w:val="center"/>
        <w:rPr>
          <w:rStyle w:val="PageNumber"/>
          <w:rFonts w:ascii="Century Schoolbook" w:hAnsi="Century Schoolbook"/>
          <w:i/>
          <w:iCs/>
          <w:sz w:val="26"/>
          <w:szCs w:val="26"/>
        </w:rPr>
      </w:pPr>
      <w:r w:rsidRPr="00096B04">
        <w:rPr>
          <w:rStyle w:val="PageNumber"/>
          <w:rFonts w:ascii="Century Schoolbook" w:hAnsi="Century Schoolbook"/>
          <w:i/>
          <w:iCs/>
          <w:sz w:val="26"/>
          <w:szCs w:val="26"/>
        </w:rPr>
        <w:t>Right to restitution</w:t>
      </w:r>
    </w:p>
    <w:p w:rsidR="00AA5556" w:rsidRPr="007F373E" w:rsidP="007F373E" w14:paraId="507BB440" w14:textId="2F127D3D">
      <w:pPr>
        <w:spacing w:line="288" w:lineRule="auto"/>
        <w:ind w:firstLine="720"/>
        <w:rPr>
          <w:rFonts w:ascii="Century Schoolbook" w:hAnsi="Century Schoolbook"/>
          <w:szCs w:val="26"/>
        </w:rPr>
      </w:pPr>
      <w:r w:rsidRPr="00395E41">
        <w:rPr>
          <w:rFonts w:ascii="Century Schoolbook" w:hAnsi="Century Schoolbook"/>
          <w:szCs w:val="26"/>
        </w:rPr>
        <w:t xml:space="preserve">“It is the unequivocal intention of the People of the State of California that all persons who suffer losses as a result of criminal activity shall have the right to seek and secure restitution from the persons convicted of the crimes causing the losses they suffer.” </w:t>
      </w:r>
      <w:r w:rsidR="0071514E">
        <w:rPr>
          <w:rFonts w:ascii="Century Schoolbook" w:hAnsi="Century Schoolbook"/>
          <w:szCs w:val="26"/>
        </w:rPr>
        <w:t xml:space="preserve"> </w:t>
      </w:r>
      <w:r w:rsidRPr="00395E41">
        <w:rPr>
          <w:rFonts w:ascii="Century Schoolbook" w:hAnsi="Century Schoolbook"/>
          <w:szCs w:val="26"/>
        </w:rPr>
        <w:t xml:space="preserve">(Cal. Const., </w:t>
      </w:r>
      <w:r w:rsidR="00E42799">
        <w:rPr>
          <w:rFonts w:ascii="Century Schoolbook" w:hAnsi="Century Schoolbook"/>
          <w:szCs w:val="26"/>
        </w:rPr>
        <w:t>art. I</w:t>
      </w:r>
      <w:r w:rsidRPr="00395E41">
        <w:rPr>
          <w:rFonts w:ascii="Century Schoolbook" w:hAnsi="Century Schoolbook"/>
          <w:szCs w:val="26"/>
        </w:rPr>
        <w:t>, §</w:t>
      </w:r>
      <w:r w:rsidR="000947AF">
        <w:rPr>
          <w:rFonts w:ascii="Century Schoolbook" w:hAnsi="Century Schoolbook"/>
          <w:szCs w:val="26"/>
        </w:rPr>
        <w:t> </w:t>
      </w:r>
      <w:r w:rsidRPr="00395E41">
        <w:rPr>
          <w:rFonts w:ascii="Century Schoolbook" w:hAnsi="Century Schoolbook"/>
          <w:szCs w:val="26"/>
        </w:rPr>
        <w:t xml:space="preserve">28, subd. (b)(13)(A).) </w:t>
      </w:r>
      <w:r w:rsidRPr="00395E41" w:rsidR="00256B79">
        <w:rPr>
          <w:rFonts w:ascii="Century Schoolbook" w:hAnsi="Century Schoolbook"/>
          <w:szCs w:val="26"/>
        </w:rPr>
        <w:t xml:space="preserve"> “R</w:t>
      </w:r>
      <w:r w:rsidRPr="00395E41">
        <w:rPr>
          <w:rFonts w:ascii="Century Schoolbook" w:hAnsi="Century Schoolbook"/>
          <w:szCs w:val="26"/>
        </w:rPr>
        <w:t xml:space="preserve">estitution shall be ordered from the convicted wrongdoer in every case, regardless of the sentence or disposition imposed, in which a crime victim suffers a loss.” </w:t>
      </w:r>
      <w:r w:rsidRPr="00395E41" w:rsidR="00256B79">
        <w:rPr>
          <w:rFonts w:ascii="Century Schoolbook" w:hAnsi="Century Schoolbook"/>
          <w:szCs w:val="26"/>
        </w:rPr>
        <w:t xml:space="preserve"> </w:t>
      </w:r>
      <w:r w:rsidRPr="00395E41">
        <w:rPr>
          <w:rFonts w:ascii="Century Schoolbook" w:hAnsi="Century Schoolbook"/>
          <w:szCs w:val="26"/>
        </w:rPr>
        <w:t xml:space="preserve">(Cal. Const., </w:t>
      </w:r>
      <w:r w:rsidR="00E42799">
        <w:rPr>
          <w:rFonts w:ascii="Century Schoolbook" w:hAnsi="Century Schoolbook"/>
          <w:szCs w:val="26"/>
        </w:rPr>
        <w:t>art. I</w:t>
      </w:r>
      <w:r w:rsidRPr="00395E41">
        <w:rPr>
          <w:rFonts w:ascii="Century Schoolbook" w:hAnsi="Century Schoolbook"/>
          <w:szCs w:val="26"/>
        </w:rPr>
        <w:t xml:space="preserve">, § 28, subd. (b)(13)(B).) </w:t>
      </w:r>
      <w:r w:rsidRPr="00395E41" w:rsidR="00092AC0">
        <w:rPr>
          <w:rFonts w:ascii="Century Schoolbook" w:hAnsi="Century Schoolbook"/>
          <w:szCs w:val="26"/>
        </w:rPr>
        <w:t xml:space="preserve"> </w:t>
      </w:r>
    </w:p>
    <w:p w:rsidR="00DB2334" w:rsidRPr="007F373E" w:rsidP="00B5564D" w14:paraId="2EA69D22" w14:textId="69DEEF8B">
      <w:pPr>
        <w:pStyle w:val="NormalWeb"/>
        <w:shd w:val="clear" w:color="auto" w:fill="FFFFFF"/>
        <w:spacing w:line="288" w:lineRule="auto"/>
        <w:ind w:firstLine="720"/>
        <w:textAlignment w:val="baseline"/>
        <w:rPr>
          <w:rFonts w:ascii="Century Schoolbook" w:hAnsi="Century Schoolbook"/>
          <w:sz w:val="26"/>
          <w:szCs w:val="26"/>
        </w:rPr>
      </w:pPr>
      <w:r w:rsidRPr="007F373E">
        <w:rPr>
          <w:rFonts w:ascii="Century Schoolbook" w:hAnsi="Century Schoolbook"/>
          <w:sz w:val="26"/>
          <w:szCs w:val="26"/>
        </w:rPr>
        <w:t xml:space="preserve">The right to restitution was implemented by </w:t>
      </w:r>
      <w:r w:rsidRPr="007F373E" w:rsidR="002B48A3">
        <w:rPr>
          <w:rFonts w:ascii="Century Schoolbook" w:hAnsi="Century Schoolbook"/>
          <w:sz w:val="26"/>
          <w:szCs w:val="26"/>
        </w:rPr>
        <w:t xml:space="preserve">Penal Code </w:t>
      </w:r>
      <w:r w:rsidRPr="007F373E">
        <w:rPr>
          <w:rFonts w:ascii="Century Schoolbook" w:hAnsi="Century Schoolbook"/>
          <w:sz w:val="26"/>
          <w:szCs w:val="26"/>
        </w:rPr>
        <w:t>s</w:t>
      </w:r>
      <w:r w:rsidRPr="007F373E" w:rsidR="00321573">
        <w:rPr>
          <w:rFonts w:ascii="Century Schoolbook" w:hAnsi="Century Schoolbook"/>
          <w:sz w:val="26"/>
          <w:szCs w:val="26"/>
        </w:rPr>
        <w:t>ection 1202.4</w:t>
      </w:r>
      <w:r w:rsidR="000D6D76">
        <w:rPr>
          <w:rFonts w:ascii="Century Schoolbook" w:hAnsi="Century Schoolbook"/>
          <w:sz w:val="26"/>
          <w:szCs w:val="26"/>
        </w:rPr>
        <w:t xml:space="preserve">.  It </w:t>
      </w:r>
      <w:r w:rsidRPr="007F373E" w:rsidR="00D643B0">
        <w:rPr>
          <w:rFonts w:ascii="Century Schoolbook" w:hAnsi="Century Schoolbook"/>
          <w:sz w:val="26"/>
          <w:szCs w:val="26"/>
        </w:rPr>
        <w:t>provides</w:t>
      </w:r>
      <w:r w:rsidR="00096B04">
        <w:rPr>
          <w:rFonts w:ascii="Century Schoolbook" w:hAnsi="Century Schoolbook"/>
          <w:sz w:val="26"/>
          <w:szCs w:val="26"/>
        </w:rPr>
        <w:t>:</w:t>
      </w:r>
      <w:r w:rsidRPr="007F373E" w:rsidR="00C96B73">
        <w:rPr>
          <w:rFonts w:ascii="Century Schoolbook" w:hAnsi="Century Schoolbook"/>
          <w:sz w:val="26"/>
          <w:szCs w:val="26"/>
        </w:rPr>
        <w:t xml:space="preserve"> </w:t>
      </w:r>
      <w:r w:rsidRPr="007F373E" w:rsidR="00A26054">
        <w:rPr>
          <w:rFonts w:ascii="Century Schoolbook" w:hAnsi="Century Schoolbook"/>
          <w:sz w:val="26"/>
          <w:szCs w:val="26"/>
        </w:rPr>
        <w:t>“The court, in addition to any other penalty provided or imposed under the law, shall order the defendant to pay .</w:t>
      </w:r>
      <w:r w:rsidR="000E2D60">
        <w:rPr>
          <w:rFonts w:ascii="Century Schoolbook" w:hAnsi="Century Schoolbook"/>
          <w:sz w:val="26"/>
          <w:szCs w:val="26"/>
        </w:rPr>
        <w:t> </w:t>
      </w:r>
      <w:r w:rsidRPr="007F373E" w:rsidR="00A26054">
        <w:rPr>
          <w:rFonts w:ascii="Century Schoolbook" w:hAnsi="Century Schoolbook"/>
          <w:sz w:val="26"/>
          <w:szCs w:val="26"/>
        </w:rPr>
        <w:t>.</w:t>
      </w:r>
      <w:r w:rsidR="000E2D60">
        <w:rPr>
          <w:rFonts w:ascii="Century Schoolbook" w:hAnsi="Century Schoolbook"/>
          <w:sz w:val="26"/>
          <w:szCs w:val="26"/>
        </w:rPr>
        <w:t> </w:t>
      </w:r>
      <w:r w:rsidRPr="007F373E" w:rsidR="00A26054">
        <w:rPr>
          <w:rFonts w:ascii="Century Schoolbook" w:hAnsi="Century Schoolbook"/>
          <w:sz w:val="26"/>
          <w:szCs w:val="26"/>
        </w:rPr>
        <w:t xml:space="preserve">. </w:t>
      </w:r>
      <w:r w:rsidRPr="007F373E" w:rsidR="00796D6F">
        <w:rPr>
          <w:rFonts w:ascii="Century Schoolbook" w:hAnsi="Century Schoolbook"/>
          <w:sz w:val="26"/>
          <w:szCs w:val="26"/>
        </w:rPr>
        <w:t>[</w:t>
      </w:r>
      <w:r w:rsidRPr="006A2D5A" w:rsidR="00796D6F">
        <w:rPr>
          <w:rFonts w:ascii="Century Schoolbook" w:hAnsi="Century Schoolbook"/>
          <w:sz w:val="26"/>
          <w:szCs w:val="26"/>
        </w:rPr>
        <w:t>¶</w:t>
      </w:r>
      <w:r w:rsidRPr="007F373E" w:rsidR="00796D6F">
        <w:rPr>
          <w:rFonts w:ascii="Century Schoolbook" w:hAnsi="Century Schoolbook"/>
          <w:sz w:val="26"/>
          <w:szCs w:val="26"/>
        </w:rPr>
        <w:t>]</w:t>
      </w:r>
      <w:r w:rsidR="000E2D60">
        <w:rPr>
          <w:rFonts w:ascii="Century Schoolbook" w:hAnsi="Century Schoolbook"/>
          <w:sz w:val="26"/>
          <w:szCs w:val="26"/>
        </w:rPr>
        <w:t> </w:t>
      </w:r>
      <w:r w:rsidRPr="007F373E" w:rsidR="000E2D60">
        <w:rPr>
          <w:rFonts w:ascii="Century Schoolbook" w:hAnsi="Century Schoolbook"/>
          <w:sz w:val="26"/>
          <w:szCs w:val="26"/>
        </w:rPr>
        <w:t>.</w:t>
      </w:r>
      <w:r w:rsidR="000E2D60">
        <w:rPr>
          <w:rFonts w:ascii="Century Schoolbook" w:hAnsi="Century Schoolbook"/>
          <w:sz w:val="26"/>
          <w:szCs w:val="26"/>
        </w:rPr>
        <w:t> </w:t>
      </w:r>
      <w:r w:rsidRPr="007F373E" w:rsidR="000E2D60">
        <w:rPr>
          <w:rFonts w:ascii="Century Schoolbook" w:hAnsi="Century Schoolbook"/>
          <w:sz w:val="26"/>
          <w:szCs w:val="26"/>
        </w:rPr>
        <w:t>.</w:t>
      </w:r>
      <w:r w:rsidR="000E2D60">
        <w:rPr>
          <w:rFonts w:ascii="Century Schoolbook" w:hAnsi="Century Schoolbook"/>
          <w:sz w:val="26"/>
          <w:szCs w:val="26"/>
        </w:rPr>
        <w:t> </w:t>
      </w:r>
      <w:r w:rsidRPr="007F373E" w:rsidR="000E2D60">
        <w:rPr>
          <w:rFonts w:ascii="Century Schoolbook" w:hAnsi="Century Schoolbook"/>
          <w:sz w:val="26"/>
          <w:szCs w:val="26"/>
        </w:rPr>
        <w:t>.</w:t>
      </w:r>
      <w:r w:rsidR="000E2D60">
        <w:rPr>
          <w:rFonts w:ascii="Century Schoolbook" w:hAnsi="Century Schoolbook"/>
          <w:sz w:val="26"/>
          <w:szCs w:val="26"/>
        </w:rPr>
        <w:t> </w:t>
      </w:r>
      <w:r w:rsidRPr="007F373E" w:rsidR="00796D6F">
        <w:rPr>
          <w:rFonts w:ascii="Century Schoolbook" w:hAnsi="Century Schoolbook"/>
          <w:sz w:val="26"/>
          <w:szCs w:val="26"/>
        </w:rPr>
        <w:t>[</w:t>
      </w:r>
      <w:r w:rsidRPr="006A2D5A" w:rsidR="00796D6F">
        <w:rPr>
          <w:rFonts w:ascii="Century Schoolbook" w:hAnsi="Century Schoolbook"/>
          <w:sz w:val="26"/>
          <w:szCs w:val="26"/>
        </w:rPr>
        <w:t>¶</w:t>
      </w:r>
      <w:r w:rsidRPr="007F373E" w:rsidR="00796D6F">
        <w:rPr>
          <w:rFonts w:ascii="Century Schoolbook" w:hAnsi="Century Schoolbook"/>
          <w:sz w:val="26"/>
          <w:szCs w:val="26"/>
        </w:rPr>
        <w:t xml:space="preserve">] </w:t>
      </w:r>
      <w:r w:rsidRPr="007F373E" w:rsidR="00A26054">
        <w:rPr>
          <w:rFonts w:ascii="Century Schoolbook" w:hAnsi="Century Schoolbook"/>
          <w:sz w:val="26"/>
          <w:szCs w:val="26"/>
        </w:rPr>
        <w:t xml:space="preserve">[r]estitution to the victim or victims, if any.” </w:t>
      </w:r>
      <w:r w:rsidRPr="007F373E" w:rsidR="002555A7">
        <w:rPr>
          <w:rFonts w:ascii="Century Schoolbook" w:hAnsi="Century Schoolbook"/>
          <w:sz w:val="26"/>
          <w:szCs w:val="26"/>
        </w:rPr>
        <w:t xml:space="preserve"> </w:t>
      </w:r>
      <w:r w:rsidRPr="007F373E" w:rsidR="00A26054">
        <w:rPr>
          <w:rFonts w:ascii="Century Schoolbook" w:hAnsi="Century Schoolbook"/>
          <w:sz w:val="26"/>
          <w:szCs w:val="26"/>
        </w:rPr>
        <w:t>(</w:t>
      </w:r>
      <w:r w:rsidRPr="007F373E" w:rsidR="00DC5241">
        <w:rPr>
          <w:rFonts w:ascii="Century Schoolbook" w:hAnsi="Century Schoolbook"/>
          <w:sz w:val="26"/>
          <w:szCs w:val="26"/>
        </w:rPr>
        <w:t xml:space="preserve">Pen. Code, </w:t>
      </w:r>
      <w:r w:rsidRPr="007F373E" w:rsidR="00A26054">
        <w:rPr>
          <w:rFonts w:ascii="Century Schoolbook" w:hAnsi="Century Schoolbook"/>
          <w:sz w:val="26"/>
          <w:szCs w:val="26"/>
        </w:rPr>
        <w:t xml:space="preserve">§ 1202.4, subd. </w:t>
      </w:r>
      <w:r w:rsidRPr="007F373E" w:rsidR="00EC37CD">
        <w:rPr>
          <w:rFonts w:ascii="Century Schoolbook" w:hAnsi="Century Schoolbook"/>
          <w:sz w:val="26"/>
          <w:szCs w:val="26"/>
        </w:rPr>
        <w:t>(a)</w:t>
      </w:r>
      <w:r w:rsidRPr="007F373E" w:rsidR="00A26054">
        <w:rPr>
          <w:rFonts w:ascii="Century Schoolbook" w:hAnsi="Century Schoolbook"/>
          <w:sz w:val="26"/>
          <w:szCs w:val="26"/>
        </w:rPr>
        <w:t xml:space="preserve">(3)(B).) </w:t>
      </w:r>
      <w:r w:rsidRPr="007F373E" w:rsidR="00EC37CD">
        <w:rPr>
          <w:rFonts w:ascii="Century Schoolbook" w:hAnsi="Century Schoolbook"/>
          <w:sz w:val="26"/>
          <w:szCs w:val="26"/>
        </w:rPr>
        <w:t xml:space="preserve"> “[I]</w:t>
      </w:r>
      <w:r w:rsidRPr="007F373E" w:rsidR="00A26054">
        <w:rPr>
          <w:rFonts w:ascii="Century Schoolbook" w:hAnsi="Century Schoolbook"/>
          <w:sz w:val="26"/>
          <w:szCs w:val="26"/>
        </w:rPr>
        <w:t>n every case in which a victim has suffered economic loss as a result of the defendant’s conduct, the court shall require that the defendant make restitution to the victim or victims in an amount established by court order, based on the amount of loss claimed by the victim or victims or any other showing to the court.</w:t>
      </w:r>
      <w:r w:rsidR="00DD4D87">
        <w:rPr>
          <w:rFonts w:ascii="Century Schoolbook" w:hAnsi="Century Schoolbook"/>
          <w:sz w:val="26"/>
          <w:szCs w:val="26"/>
        </w:rPr>
        <w:t> </w:t>
      </w:r>
      <w:r w:rsidRPr="007F373E" w:rsidR="00581D7D">
        <w:rPr>
          <w:rFonts w:ascii="Century Schoolbook" w:hAnsi="Century Schoolbook"/>
          <w:sz w:val="26"/>
          <w:szCs w:val="26"/>
        </w:rPr>
        <w:t>.</w:t>
      </w:r>
      <w:r w:rsidR="00DD4D87">
        <w:rPr>
          <w:rFonts w:ascii="Century Schoolbook" w:hAnsi="Century Schoolbook"/>
          <w:sz w:val="26"/>
          <w:szCs w:val="26"/>
        </w:rPr>
        <w:t> </w:t>
      </w:r>
      <w:r w:rsidRPr="007F373E" w:rsidR="00581D7D">
        <w:rPr>
          <w:rFonts w:ascii="Century Schoolbook" w:hAnsi="Century Schoolbook"/>
          <w:sz w:val="26"/>
          <w:szCs w:val="26"/>
        </w:rPr>
        <w:t>.</w:t>
      </w:r>
      <w:r w:rsidR="00DD4D87">
        <w:rPr>
          <w:rFonts w:ascii="Century Schoolbook" w:hAnsi="Century Schoolbook"/>
          <w:sz w:val="26"/>
          <w:szCs w:val="26"/>
        </w:rPr>
        <w:t> </w:t>
      </w:r>
      <w:r w:rsidRPr="007F373E" w:rsidR="00581D7D">
        <w:rPr>
          <w:rFonts w:ascii="Century Schoolbook" w:hAnsi="Century Schoolbook"/>
          <w:sz w:val="26"/>
          <w:szCs w:val="26"/>
        </w:rPr>
        <w:t>.</w:t>
      </w:r>
      <w:r w:rsidR="000947AF">
        <w:rPr>
          <w:rFonts w:ascii="Century Schoolbook" w:hAnsi="Century Schoolbook"/>
          <w:sz w:val="26"/>
          <w:szCs w:val="26"/>
        </w:rPr>
        <w:t xml:space="preserve">  </w:t>
      </w:r>
      <w:r w:rsidRPr="007F373E" w:rsidR="00581D7D">
        <w:rPr>
          <w:rFonts w:ascii="Century Schoolbook" w:hAnsi="Century Schoolbook"/>
          <w:sz w:val="26"/>
          <w:szCs w:val="26"/>
        </w:rPr>
        <w:t>The court shall order full restitution.”</w:t>
      </w:r>
      <w:r w:rsidRPr="007F373E" w:rsidR="002555A7">
        <w:rPr>
          <w:rFonts w:ascii="Century Schoolbook" w:hAnsi="Century Schoolbook"/>
          <w:sz w:val="26"/>
          <w:szCs w:val="26"/>
        </w:rPr>
        <w:t xml:space="preserve"> </w:t>
      </w:r>
      <w:r w:rsidRPr="007F373E" w:rsidR="00581D7D">
        <w:rPr>
          <w:rFonts w:ascii="Century Schoolbook" w:hAnsi="Century Schoolbook"/>
          <w:sz w:val="26"/>
          <w:szCs w:val="26"/>
        </w:rPr>
        <w:t xml:space="preserve"> </w:t>
      </w:r>
      <w:r w:rsidRPr="007F373E" w:rsidR="00A26054">
        <w:rPr>
          <w:rFonts w:ascii="Century Schoolbook" w:hAnsi="Century Schoolbook"/>
          <w:sz w:val="26"/>
          <w:szCs w:val="26"/>
        </w:rPr>
        <w:t>(</w:t>
      </w:r>
      <w:r w:rsidRPr="007F373E" w:rsidR="00DC5241">
        <w:rPr>
          <w:rFonts w:ascii="Century Schoolbook" w:hAnsi="Century Schoolbook"/>
          <w:sz w:val="26"/>
          <w:szCs w:val="26"/>
        </w:rPr>
        <w:t xml:space="preserve">Pen. Code, </w:t>
      </w:r>
      <w:r w:rsidRPr="007F373E" w:rsidR="00A26054">
        <w:rPr>
          <w:rFonts w:ascii="Century Schoolbook" w:hAnsi="Century Schoolbook"/>
          <w:sz w:val="26"/>
          <w:szCs w:val="26"/>
        </w:rPr>
        <w:t>§ 1202</w:t>
      </w:r>
      <w:r w:rsidRPr="007F373E" w:rsidR="006E1583">
        <w:rPr>
          <w:rFonts w:ascii="Century Schoolbook" w:hAnsi="Century Schoolbook"/>
          <w:sz w:val="26"/>
          <w:szCs w:val="26"/>
        </w:rPr>
        <w:t>.</w:t>
      </w:r>
      <w:r w:rsidRPr="007F373E" w:rsidR="00A26054">
        <w:rPr>
          <w:rFonts w:ascii="Century Schoolbook" w:hAnsi="Century Schoolbook"/>
          <w:sz w:val="26"/>
          <w:szCs w:val="26"/>
        </w:rPr>
        <w:t xml:space="preserve">4, subd. (f).) </w:t>
      </w:r>
    </w:p>
    <w:p w:rsidR="00DB2334" w:rsidP="00E066BE" w14:paraId="24B9FC58" w14:textId="29670C47">
      <w:pPr>
        <w:pStyle w:val="NormalWeb"/>
        <w:shd w:val="clear" w:color="auto" w:fill="FFFFFF"/>
        <w:spacing w:line="288" w:lineRule="auto"/>
        <w:ind w:firstLine="720"/>
        <w:textAlignment w:val="baseline"/>
        <w:rPr>
          <w:rFonts w:ascii="Century Schoolbook" w:hAnsi="Century Schoolbook"/>
          <w:sz w:val="26"/>
          <w:szCs w:val="26"/>
        </w:rPr>
      </w:pPr>
      <w:r>
        <w:rPr>
          <w:rFonts w:ascii="Century Schoolbook" w:hAnsi="Century Schoolbook"/>
          <w:sz w:val="26"/>
          <w:szCs w:val="26"/>
        </w:rPr>
        <w:t>When probation is granted, the trial court has broad discretion to order restitution, “ </w:t>
      </w:r>
      <w:r w:rsidRPr="00E066BE">
        <w:rPr>
          <w:rFonts w:ascii="Century Schoolbook" w:hAnsi="Century Schoolbook"/>
          <w:sz w:val="26"/>
          <w:szCs w:val="26"/>
        </w:rPr>
        <w:t>‘even when the loss was not necessarily caused by the criminal conduct underlying the conviction</w:t>
      </w:r>
      <w:r w:rsidR="000A05AC">
        <w:rPr>
          <w:rFonts w:ascii="Century Schoolbook" w:hAnsi="Century Schoolbook"/>
          <w:sz w:val="26"/>
          <w:szCs w:val="26"/>
        </w:rPr>
        <w:t>.</w:t>
      </w:r>
      <w:r w:rsidRPr="00E066BE">
        <w:rPr>
          <w:rFonts w:ascii="Century Schoolbook" w:hAnsi="Century Schoolbook"/>
          <w:sz w:val="26"/>
          <w:szCs w:val="26"/>
        </w:rPr>
        <w:t xml:space="preserve">’ ” </w:t>
      </w:r>
      <w:r w:rsidR="006B34BD">
        <w:rPr>
          <w:rFonts w:ascii="Century Schoolbook" w:hAnsi="Century Schoolbook"/>
          <w:sz w:val="26"/>
          <w:szCs w:val="26"/>
        </w:rPr>
        <w:t xml:space="preserve"> </w:t>
      </w:r>
      <w:r w:rsidR="00354440">
        <w:rPr>
          <w:rFonts w:ascii="Century Schoolbook" w:hAnsi="Century Schoolbook"/>
          <w:sz w:val="26"/>
          <w:szCs w:val="26"/>
        </w:rPr>
        <w:t>(</w:t>
      </w:r>
      <w:r w:rsidRPr="00C06662" w:rsidR="00354440">
        <w:rPr>
          <w:rFonts w:ascii="Century Schoolbook" w:hAnsi="Century Schoolbook"/>
          <w:i/>
          <w:iCs/>
          <w:sz w:val="26"/>
          <w:szCs w:val="26"/>
        </w:rPr>
        <w:t>People v. Martinez</w:t>
      </w:r>
      <w:r w:rsidR="00354440">
        <w:rPr>
          <w:rFonts w:ascii="Century Schoolbook" w:hAnsi="Century Schoolbook"/>
          <w:sz w:val="26"/>
          <w:szCs w:val="26"/>
        </w:rPr>
        <w:t xml:space="preserve"> (2017)</w:t>
      </w:r>
      <w:r w:rsidRPr="00EE48C3" w:rsidR="00354440">
        <w:rPr>
          <w:rFonts w:ascii="Century Schoolbook" w:hAnsi="Century Schoolbook"/>
          <w:sz w:val="26"/>
          <w:szCs w:val="26"/>
        </w:rPr>
        <w:t xml:space="preserve"> 2</w:t>
      </w:r>
      <w:r w:rsidRPr="00E066BE" w:rsidR="00354440">
        <w:rPr>
          <w:rFonts w:ascii="Century Schoolbook" w:hAnsi="Century Schoolbook"/>
          <w:sz w:val="26"/>
          <w:szCs w:val="26"/>
        </w:rPr>
        <w:t xml:space="preserve"> Cal.5th 1093, 1101</w:t>
      </w:r>
      <w:r w:rsidR="0001584F">
        <w:rPr>
          <w:rFonts w:ascii="Century Schoolbook" w:hAnsi="Century Schoolbook"/>
          <w:sz w:val="26"/>
          <w:szCs w:val="26"/>
        </w:rPr>
        <w:t xml:space="preserve"> (</w:t>
      </w:r>
      <w:r w:rsidR="0001584F">
        <w:rPr>
          <w:rFonts w:ascii="Century Schoolbook" w:hAnsi="Century Schoolbook"/>
          <w:i/>
          <w:iCs/>
          <w:sz w:val="26"/>
          <w:szCs w:val="26"/>
        </w:rPr>
        <w:t>Martinez</w:t>
      </w:r>
      <w:r w:rsidRPr="0001584F" w:rsidR="0001584F">
        <w:rPr>
          <w:rFonts w:ascii="Century Schoolbook" w:hAnsi="Century Schoolbook"/>
          <w:sz w:val="26"/>
          <w:szCs w:val="26"/>
        </w:rPr>
        <w:t>)</w:t>
      </w:r>
      <w:r w:rsidRPr="00E066BE" w:rsidR="00354440">
        <w:rPr>
          <w:rFonts w:ascii="Century Schoolbook" w:hAnsi="Century Schoolbook"/>
          <w:sz w:val="26"/>
          <w:szCs w:val="26"/>
        </w:rPr>
        <w:t>.)</w:t>
      </w:r>
      <w:r w:rsidRPr="00E066BE">
        <w:rPr>
          <w:rFonts w:ascii="Century Schoolbook" w:hAnsi="Century Schoolbook"/>
          <w:sz w:val="26"/>
          <w:szCs w:val="26"/>
        </w:rPr>
        <w:t xml:space="preserve">  But </w:t>
      </w:r>
      <w:r w:rsidR="007B315E">
        <w:rPr>
          <w:rFonts w:ascii="Century Schoolbook" w:hAnsi="Century Schoolbook"/>
          <w:sz w:val="26"/>
          <w:szCs w:val="26"/>
        </w:rPr>
        <w:t>when</w:t>
      </w:r>
      <w:r w:rsidR="00096B04">
        <w:rPr>
          <w:rFonts w:ascii="Century Schoolbook" w:hAnsi="Century Schoolbook"/>
          <w:sz w:val="26"/>
          <w:szCs w:val="26"/>
        </w:rPr>
        <w:t xml:space="preserve"> </w:t>
      </w:r>
      <w:r w:rsidR="007B315E">
        <w:rPr>
          <w:rFonts w:ascii="Century Schoolbook" w:hAnsi="Century Schoolbook"/>
          <w:sz w:val="26"/>
          <w:szCs w:val="26"/>
        </w:rPr>
        <w:t>probation is not granted,</w:t>
      </w:r>
      <w:r w:rsidRPr="00E066BE">
        <w:rPr>
          <w:rFonts w:ascii="Century Schoolbook" w:hAnsi="Century Schoolbook"/>
          <w:sz w:val="26"/>
          <w:szCs w:val="26"/>
        </w:rPr>
        <w:t xml:space="preserve"> “ ‘the statute is explicit and narrow.”  (</w:t>
      </w:r>
      <w:r w:rsidRPr="00E066BE">
        <w:rPr>
          <w:rFonts w:ascii="Century Schoolbook" w:hAnsi="Century Schoolbook"/>
          <w:i/>
          <w:iCs/>
          <w:sz w:val="26"/>
          <w:szCs w:val="26"/>
        </w:rPr>
        <w:t>Id</w:t>
      </w:r>
      <w:r w:rsidRPr="00E066BE">
        <w:rPr>
          <w:rFonts w:ascii="Century Schoolbook" w:hAnsi="Century Schoolbook"/>
          <w:sz w:val="26"/>
          <w:szCs w:val="26"/>
        </w:rPr>
        <w:t>. at p</w:t>
      </w:r>
      <w:r w:rsidR="000A05AC">
        <w:rPr>
          <w:rFonts w:ascii="Century Schoolbook" w:hAnsi="Century Schoolbook"/>
          <w:sz w:val="26"/>
          <w:szCs w:val="26"/>
        </w:rPr>
        <w:t>.</w:t>
      </w:r>
      <w:r w:rsidRPr="00E066BE">
        <w:rPr>
          <w:rFonts w:ascii="Century Schoolbook" w:hAnsi="Century Schoolbook"/>
          <w:sz w:val="26"/>
          <w:szCs w:val="26"/>
        </w:rPr>
        <w:t xml:space="preserve"> 1102.)</w:t>
      </w:r>
      <w:r w:rsidR="00F34189">
        <w:rPr>
          <w:rFonts w:ascii="Century Schoolbook" w:hAnsi="Century Schoolbook"/>
          <w:sz w:val="26"/>
          <w:szCs w:val="26"/>
        </w:rPr>
        <w:t xml:space="preserve">  In non-probation cases, </w:t>
      </w:r>
      <w:r w:rsidRPr="007F373E" w:rsidR="00F34189">
        <w:rPr>
          <w:rFonts w:ascii="Century Schoolbook" w:hAnsi="Century Schoolbook"/>
          <w:sz w:val="26"/>
          <w:szCs w:val="26"/>
        </w:rPr>
        <w:t>“a victim of crime who incurs an economic loss as a result of the commission of a crime shall receive restitution directly from a defendant</w:t>
      </w:r>
      <w:r w:rsidRPr="002E12DA" w:rsidR="00F34189">
        <w:rPr>
          <w:rFonts w:ascii="Century Schoolbook" w:hAnsi="Century Schoolbook"/>
          <w:i/>
          <w:iCs/>
          <w:sz w:val="26"/>
          <w:szCs w:val="26"/>
        </w:rPr>
        <w:t xml:space="preserve"> convicted of that crime</w:t>
      </w:r>
      <w:r w:rsidRPr="007F373E" w:rsidR="00F34189">
        <w:rPr>
          <w:rFonts w:ascii="Century Schoolbook" w:hAnsi="Century Schoolbook"/>
          <w:sz w:val="26"/>
          <w:szCs w:val="26"/>
        </w:rPr>
        <w:t>.”  (Pen. Code, § 1202.4, subd. (a)(1)</w:t>
      </w:r>
      <w:r w:rsidR="00F34189">
        <w:rPr>
          <w:rFonts w:ascii="Century Schoolbook" w:hAnsi="Century Schoolbook"/>
          <w:sz w:val="26"/>
          <w:szCs w:val="26"/>
        </w:rPr>
        <w:t>, italics added</w:t>
      </w:r>
      <w:r w:rsidRPr="007F373E" w:rsidR="00F34189">
        <w:rPr>
          <w:rFonts w:ascii="Century Schoolbook" w:hAnsi="Century Schoolbook"/>
          <w:sz w:val="26"/>
          <w:szCs w:val="26"/>
        </w:rPr>
        <w:t>.)</w:t>
      </w:r>
    </w:p>
    <w:p w:rsidR="007C7EE9" w:rsidRPr="007F373E" w:rsidP="00E066BE" w14:paraId="6D281ED9" w14:textId="3C7C80AA">
      <w:pPr>
        <w:pStyle w:val="NormalWeb"/>
        <w:shd w:val="clear" w:color="auto" w:fill="FFFFFF"/>
        <w:spacing w:line="288" w:lineRule="auto"/>
        <w:jc w:val="center"/>
        <w:textAlignment w:val="baseline"/>
        <w:rPr>
          <w:rFonts w:ascii="Century Schoolbook" w:hAnsi="Century Schoolbook"/>
          <w:i/>
          <w:iCs/>
          <w:sz w:val="26"/>
          <w:szCs w:val="26"/>
        </w:rPr>
      </w:pPr>
      <w:r w:rsidRPr="007F373E">
        <w:rPr>
          <w:rFonts w:ascii="Century Schoolbook" w:hAnsi="Century Schoolbook"/>
          <w:i/>
          <w:iCs/>
          <w:sz w:val="26"/>
          <w:szCs w:val="26"/>
        </w:rPr>
        <w:t>Standard of review</w:t>
      </w:r>
    </w:p>
    <w:p w:rsidR="00EF067B" w:rsidP="009E6177" w14:paraId="2BC54019" w14:textId="5BC8ABB1">
      <w:pPr>
        <w:pStyle w:val="NormalWeb"/>
        <w:spacing w:line="288" w:lineRule="auto"/>
        <w:ind w:firstLine="720"/>
        <w:textAlignment w:val="baseline"/>
        <w:rPr>
          <w:rFonts w:ascii="Century Schoolbook" w:hAnsi="Century Schoolbook"/>
          <w:bCs/>
          <w:sz w:val="26"/>
          <w:szCs w:val="26"/>
        </w:rPr>
      </w:pPr>
      <w:bookmarkStart w:id="9" w:name="_Hlk143605781"/>
      <w:r w:rsidRPr="007F373E">
        <w:rPr>
          <w:rFonts w:ascii="Century Schoolbook" w:hAnsi="Century Schoolbook"/>
          <w:sz w:val="26"/>
          <w:szCs w:val="26"/>
        </w:rPr>
        <w:t xml:space="preserve">“The standard of proof at a restitution hearing is </w:t>
      </w:r>
      <w:r w:rsidRPr="000306EF">
        <w:rPr>
          <w:rFonts w:ascii="Century Schoolbook" w:hAnsi="Century Schoolbook"/>
          <w:sz w:val="26"/>
          <w:szCs w:val="26"/>
        </w:rPr>
        <w:t>preponderance of the evidence</w:t>
      </w:r>
      <w:r>
        <w:rPr>
          <w:rFonts w:ascii="Century Schoolbook" w:hAnsi="Century Schoolbook"/>
          <w:sz w:val="26"/>
          <w:szCs w:val="26"/>
        </w:rPr>
        <w:t>.</w:t>
      </w:r>
      <w:r w:rsidR="000E2D60">
        <w:rPr>
          <w:rFonts w:ascii="Century Schoolbook" w:hAnsi="Century Schoolbook"/>
          <w:sz w:val="26"/>
          <w:szCs w:val="26"/>
        </w:rPr>
        <w:t> </w:t>
      </w:r>
      <w:r>
        <w:rPr>
          <w:rFonts w:ascii="Century Schoolbook" w:hAnsi="Century Schoolbook"/>
          <w:sz w:val="26"/>
          <w:szCs w:val="26"/>
        </w:rPr>
        <w:t>.</w:t>
      </w:r>
      <w:r w:rsidR="000E2D60">
        <w:rPr>
          <w:rFonts w:ascii="Century Schoolbook" w:hAnsi="Century Schoolbook"/>
          <w:sz w:val="26"/>
          <w:szCs w:val="26"/>
        </w:rPr>
        <w:t> </w:t>
      </w:r>
      <w:r w:rsidRPr="000306EF">
        <w:rPr>
          <w:rFonts w:ascii="Century Schoolbook" w:hAnsi="Century Schoolbook"/>
          <w:sz w:val="26"/>
          <w:szCs w:val="26"/>
        </w:rPr>
        <w:t>.</w:t>
      </w:r>
      <w:r w:rsidR="000E2D60">
        <w:rPr>
          <w:rFonts w:ascii="Century Schoolbook" w:hAnsi="Century Schoolbook"/>
          <w:sz w:val="26"/>
          <w:szCs w:val="26"/>
        </w:rPr>
        <w:t xml:space="preserve"> .  </w:t>
      </w:r>
      <w:r>
        <w:rPr>
          <w:rFonts w:ascii="Century Schoolbook" w:hAnsi="Century Schoolbook"/>
          <w:sz w:val="26"/>
          <w:szCs w:val="26"/>
        </w:rPr>
        <w:t xml:space="preserve">[Citation.]  </w:t>
      </w:r>
      <w:r w:rsidRPr="000306EF">
        <w:rPr>
          <w:rFonts w:ascii="Century Schoolbook" w:hAnsi="Century Schoolbook"/>
          <w:sz w:val="26"/>
          <w:szCs w:val="26"/>
        </w:rPr>
        <w:t xml:space="preserve">We review a victim restitution award for abuse of discretion. </w:t>
      </w:r>
      <w:r w:rsidR="00F6304C">
        <w:rPr>
          <w:rFonts w:ascii="Century Schoolbook" w:hAnsi="Century Schoolbook"/>
          <w:sz w:val="26"/>
          <w:szCs w:val="26"/>
        </w:rPr>
        <w:t xml:space="preserve"> [Citation.]  ‘</w:t>
      </w:r>
      <w:r w:rsidRPr="000306EF">
        <w:rPr>
          <w:rFonts w:ascii="Century Schoolbook" w:hAnsi="Century Schoolbook"/>
          <w:sz w:val="26"/>
          <w:szCs w:val="26"/>
        </w:rPr>
        <w:t>[W]here the specific issue is whether the court</w:t>
      </w:r>
      <w:r w:rsidR="00F6304C">
        <w:rPr>
          <w:rFonts w:ascii="Century Schoolbook" w:hAnsi="Century Schoolbook"/>
          <w:sz w:val="26"/>
          <w:szCs w:val="26"/>
        </w:rPr>
        <w:t>’</w:t>
      </w:r>
      <w:r w:rsidRPr="000306EF">
        <w:rPr>
          <w:rFonts w:ascii="Century Schoolbook" w:hAnsi="Century Schoolbook"/>
          <w:sz w:val="26"/>
          <w:szCs w:val="26"/>
        </w:rPr>
        <w:t>s factual findings support restitution, we review those findings for substantial evidence.</w:t>
      </w:r>
      <w:r w:rsidR="00F6304C">
        <w:rPr>
          <w:rFonts w:ascii="Century Schoolbook" w:hAnsi="Century Schoolbook"/>
          <w:sz w:val="26"/>
          <w:szCs w:val="26"/>
        </w:rPr>
        <w:t>’ </w:t>
      </w:r>
      <w:r w:rsidRPr="000306EF">
        <w:rPr>
          <w:rFonts w:ascii="Century Schoolbook" w:hAnsi="Century Schoolbook"/>
          <w:sz w:val="26"/>
          <w:szCs w:val="26"/>
        </w:rPr>
        <w:t>”</w:t>
      </w:r>
      <w:r w:rsidR="00F6304C">
        <w:rPr>
          <w:rFonts w:ascii="Century Schoolbook" w:hAnsi="Century Schoolbook"/>
          <w:sz w:val="26"/>
          <w:szCs w:val="26"/>
        </w:rPr>
        <w:t xml:space="preserve">  (</w:t>
      </w:r>
      <w:r w:rsidRPr="000306EF">
        <w:rPr>
          <w:rFonts w:ascii="Century Schoolbook" w:hAnsi="Century Schoolbook"/>
          <w:i/>
          <w:iCs/>
          <w:sz w:val="26"/>
          <w:szCs w:val="26"/>
        </w:rPr>
        <w:t>People v. Trout-Lacy</w:t>
      </w:r>
      <w:r w:rsidRPr="000306EF">
        <w:rPr>
          <w:rFonts w:ascii="Century Schoolbook" w:hAnsi="Century Schoolbook"/>
          <w:sz w:val="26"/>
          <w:szCs w:val="26"/>
        </w:rPr>
        <w:t xml:space="preserve"> (2019) 43 Cal.App.5th 369, 373</w:t>
      </w:r>
      <w:r w:rsidR="00F6304C">
        <w:rPr>
          <w:rFonts w:ascii="Century Schoolbook" w:hAnsi="Century Schoolbook"/>
          <w:sz w:val="26"/>
          <w:szCs w:val="26"/>
        </w:rPr>
        <w:t xml:space="preserve">.)  </w:t>
      </w:r>
      <w:r w:rsidR="000C3BCE">
        <w:rPr>
          <w:rFonts w:ascii="Century Schoolbook" w:hAnsi="Century Schoolbook"/>
          <w:bCs/>
          <w:sz w:val="26"/>
          <w:szCs w:val="26"/>
        </w:rPr>
        <w:t xml:space="preserve"> </w:t>
      </w:r>
      <w:r w:rsidRPr="007A36DD" w:rsidR="00B80008">
        <w:rPr>
          <w:rFonts w:ascii="Century Schoolbook" w:hAnsi="Century Schoolbook"/>
          <w:bCs/>
          <w:sz w:val="26"/>
          <w:szCs w:val="26"/>
        </w:rPr>
        <w:t xml:space="preserve"> </w:t>
      </w:r>
    </w:p>
    <w:p w:rsidR="007A7B58" w:rsidRPr="00A65B8A" w:rsidP="002E12DA" w14:paraId="5E852C7B" w14:textId="0178AC72">
      <w:pPr>
        <w:pStyle w:val="NormalWeb"/>
        <w:spacing w:line="288" w:lineRule="auto"/>
        <w:ind w:firstLine="720"/>
        <w:textAlignment w:val="baseline"/>
        <w:rPr>
          <w:rFonts w:ascii="Century Schoolbook" w:hAnsi="Century Schoolbook"/>
          <w:bCs/>
          <w:sz w:val="26"/>
          <w:szCs w:val="26"/>
        </w:rPr>
      </w:pPr>
      <w:r w:rsidRPr="007A36DD">
        <w:rPr>
          <w:rFonts w:ascii="Century Schoolbook" w:hAnsi="Century Schoolbook"/>
          <w:bCs/>
          <w:sz w:val="26"/>
          <w:szCs w:val="26"/>
        </w:rPr>
        <w:t xml:space="preserve">Because </w:t>
      </w:r>
      <w:r w:rsidRPr="007A36DD" w:rsidR="0010047F">
        <w:rPr>
          <w:rFonts w:ascii="Century Schoolbook" w:hAnsi="Century Schoolbook"/>
          <w:bCs/>
          <w:sz w:val="26"/>
          <w:szCs w:val="26"/>
        </w:rPr>
        <w:t xml:space="preserve">the trial court </w:t>
      </w:r>
      <w:r w:rsidR="00096B04">
        <w:rPr>
          <w:rFonts w:ascii="Century Schoolbook" w:hAnsi="Century Schoolbook"/>
          <w:bCs/>
          <w:sz w:val="26"/>
          <w:szCs w:val="26"/>
        </w:rPr>
        <w:t xml:space="preserve">here </w:t>
      </w:r>
      <w:r w:rsidRPr="007A36DD" w:rsidR="0010047F">
        <w:rPr>
          <w:rFonts w:ascii="Century Schoolbook" w:hAnsi="Century Schoolbook"/>
          <w:bCs/>
          <w:sz w:val="26"/>
          <w:szCs w:val="26"/>
        </w:rPr>
        <w:t>denied restitution</w:t>
      </w:r>
      <w:r w:rsidRPr="007A36DD">
        <w:rPr>
          <w:rFonts w:ascii="Century Schoolbook" w:hAnsi="Century Schoolbook"/>
          <w:bCs/>
          <w:sz w:val="26"/>
          <w:szCs w:val="26"/>
        </w:rPr>
        <w:t xml:space="preserve"> to the oil industry claimants</w:t>
      </w:r>
      <w:r w:rsidR="00650009">
        <w:rPr>
          <w:rFonts w:ascii="Century Schoolbook" w:hAnsi="Century Schoolbook"/>
          <w:bCs/>
          <w:sz w:val="26"/>
          <w:szCs w:val="26"/>
        </w:rPr>
        <w:t xml:space="preserve"> </w:t>
      </w:r>
      <w:r w:rsidR="00EE48C3">
        <w:rPr>
          <w:rFonts w:ascii="Century Schoolbook" w:hAnsi="Century Schoolbook"/>
          <w:bCs/>
          <w:sz w:val="26"/>
          <w:szCs w:val="26"/>
        </w:rPr>
        <w:t>as a matter of law</w:t>
      </w:r>
      <w:r w:rsidRPr="007A36DD" w:rsidR="0010047F">
        <w:rPr>
          <w:rFonts w:ascii="Century Schoolbook" w:hAnsi="Century Schoolbook"/>
          <w:bCs/>
          <w:sz w:val="26"/>
          <w:szCs w:val="26"/>
        </w:rPr>
        <w:t>, we review th</w:t>
      </w:r>
      <w:r w:rsidRPr="007A36DD">
        <w:rPr>
          <w:rFonts w:ascii="Century Schoolbook" w:hAnsi="Century Schoolbook"/>
          <w:bCs/>
          <w:sz w:val="26"/>
          <w:szCs w:val="26"/>
        </w:rPr>
        <w:t>at</w:t>
      </w:r>
      <w:r w:rsidRPr="007A36DD" w:rsidR="0010047F">
        <w:rPr>
          <w:rFonts w:ascii="Century Schoolbook" w:hAnsi="Century Schoolbook"/>
          <w:bCs/>
          <w:sz w:val="26"/>
          <w:szCs w:val="26"/>
        </w:rPr>
        <w:t xml:space="preserve"> order de novo.  (</w:t>
      </w:r>
      <w:r w:rsidRPr="000306EF" w:rsidR="009E6177">
        <w:rPr>
          <w:rFonts w:ascii="Century Schoolbook" w:hAnsi="Century Schoolbook"/>
          <w:bCs/>
          <w:i/>
          <w:iCs/>
          <w:sz w:val="26"/>
          <w:szCs w:val="26"/>
        </w:rPr>
        <w:t>People v. Brunette</w:t>
      </w:r>
      <w:r w:rsidR="00814973">
        <w:rPr>
          <w:rFonts w:ascii="Century Schoolbook" w:hAnsi="Century Schoolbook"/>
          <w:bCs/>
          <w:sz w:val="26"/>
          <w:szCs w:val="26"/>
        </w:rPr>
        <w:t xml:space="preserve"> (2011) </w:t>
      </w:r>
      <w:r w:rsidRPr="000306EF" w:rsidR="009E6177">
        <w:rPr>
          <w:rFonts w:ascii="Century Schoolbook" w:hAnsi="Century Schoolbook"/>
          <w:bCs/>
          <w:sz w:val="26"/>
          <w:szCs w:val="26"/>
        </w:rPr>
        <w:t xml:space="preserve">194 </w:t>
      </w:r>
      <w:r w:rsidRPr="00B80008" w:rsidR="009E6177">
        <w:rPr>
          <w:rFonts w:ascii="Century Schoolbook" w:hAnsi="Century Schoolbook"/>
          <w:bCs/>
          <w:sz w:val="26"/>
          <w:szCs w:val="26"/>
        </w:rPr>
        <w:t>Cal.App.</w:t>
      </w:r>
      <w:r w:rsidR="000822C5">
        <w:rPr>
          <w:rFonts w:ascii="Century Schoolbook" w:hAnsi="Century Schoolbook"/>
          <w:bCs/>
          <w:sz w:val="26"/>
          <w:szCs w:val="26"/>
        </w:rPr>
        <w:t xml:space="preserve">4th </w:t>
      </w:r>
      <w:r w:rsidR="00814973">
        <w:rPr>
          <w:rFonts w:ascii="Century Schoolbook" w:hAnsi="Century Schoolbook"/>
          <w:bCs/>
          <w:sz w:val="26"/>
          <w:szCs w:val="26"/>
        </w:rPr>
        <w:t xml:space="preserve">268, </w:t>
      </w:r>
      <w:r w:rsidRPr="00CC11BC" w:rsidR="00CC11BC">
        <w:rPr>
          <w:rFonts w:ascii="Century Schoolbook" w:hAnsi="Century Schoolbook"/>
          <w:bCs/>
          <w:sz w:val="26"/>
          <w:szCs w:val="26"/>
        </w:rPr>
        <w:t>276-277</w:t>
      </w:r>
      <w:r w:rsidRPr="00CC11BC" w:rsidR="0010047F">
        <w:rPr>
          <w:rFonts w:ascii="Century Schoolbook" w:hAnsi="Century Schoolbook"/>
          <w:bCs/>
          <w:sz w:val="26"/>
          <w:szCs w:val="26"/>
        </w:rPr>
        <w:t>.</w:t>
      </w:r>
      <w:r w:rsidRPr="007A36DD" w:rsidR="0010047F">
        <w:rPr>
          <w:rFonts w:ascii="Century Schoolbook" w:hAnsi="Century Schoolbook"/>
          <w:bCs/>
          <w:sz w:val="26"/>
          <w:szCs w:val="26"/>
        </w:rPr>
        <w:t xml:space="preserve">)  </w:t>
      </w:r>
      <w:r w:rsidRPr="007A7B58">
        <w:rPr>
          <w:rFonts w:ascii="Century Schoolbook" w:hAnsi="Century Schoolbook"/>
          <w:bCs/>
          <w:sz w:val="26"/>
          <w:szCs w:val="26"/>
        </w:rPr>
        <w:t xml:space="preserve">The trial court </w:t>
      </w:r>
      <w:r w:rsidR="006350E5">
        <w:rPr>
          <w:rFonts w:ascii="Century Schoolbook" w:hAnsi="Century Schoolbook"/>
          <w:bCs/>
          <w:sz w:val="26"/>
          <w:szCs w:val="26"/>
        </w:rPr>
        <w:t>reasoned</w:t>
      </w:r>
      <w:r w:rsidR="00480337">
        <w:rPr>
          <w:rFonts w:ascii="Century Schoolbook" w:hAnsi="Century Schoolbook"/>
          <w:bCs/>
          <w:sz w:val="26"/>
          <w:szCs w:val="26"/>
        </w:rPr>
        <w:t xml:space="preserve"> that</w:t>
      </w:r>
      <w:r w:rsidRPr="007A7B58">
        <w:rPr>
          <w:rFonts w:ascii="Century Schoolbook" w:hAnsi="Century Schoolbook"/>
          <w:bCs/>
          <w:sz w:val="26"/>
          <w:szCs w:val="26"/>
        </w:rPr>
        <w:t xml:space="preserve"> the oil industry claimants</w:t>
      </w:r>
      <w:r w:rsidR="00480337">
        <w:rPr>
          <w:rFonts w:ascii="Century Schoolbook" w:hAnsi="Century Schoolbook"/>
          <w:bCs/>
          <w:sz w:val="26"/>
          <w:szCs w:val="26"/>
        </w:rPr>
        <w:t>’</w:t>
      </w:r>
      <w:r w:rsidRPr="007A7B58">
        <w:rPr>
          <w:rFonts w:ascii="Century Schoolbook" w:hAnsi="Century Schoolbook"/>
          <w:bCs/>
          <w:sz w:val="26"/>
          <w:szCs w:val="26"/>
        </w:rPr>
        <w:t xml:space="preserve"> losses were caused by Plains’s “noncriminal” failure to maintain and monitor the pipeline rather than the resulting spill.  “</w:t>
      </w:r>
      <w:r w:rsidR="00C145AD">
        <w:rPr>
          <w:rFonts w:ascii="Century Schoolbook" w:hAnsi="Century Schoolbook"/>
          <w:bCs/>
          <w:sz w:val="26"/>
          <w:szCs w:val="26"/>
        </w:rPr>
        <w:t>W</w:t>
      </w:r>
      <w:r w:rsidRPr="007A7B58">
        <w:rPr>
          <w:rFonts w:ascii="Century Schoolbook" w:hAnsi="Century Schoolbook"/>
          <w:bCs/>
          <w:sz w:val="26"/>
          <w:szCs w:val="26"/>
        </w:rPr>
        <w:t>e uphold the trial court’s decision if it was correct under any theory of law, even if the announced basis for the ruling was erroneous.”  (</w:t>
      </w:r>
      <w:r w:rsidRPr="007A7B58">
        <w:rPr>
          <w:rFonts w:ascii="Century Schoolbook" w:hAnsi="Century Schoolbook"/>
          <w:bCs/>
          <w:i/>
          <w:iCs/>
          <w:sz w:val="26"/>
          <w:szCs w:val="26"/>
        </w:rPr>
        <w:t>Fuss v. Superior Court</w:t>
      </w:r>
      <w:r w:rsidRPr="007A7B58">
        <w:rPr>
          <w:rFonts w:ascii="Century Schoolbook" w:hAnsi="Century Schoolbook"/>
          <w:bCs/>
          <w:sz w:val="26"/>
          <w:szCs w:val="26"/>
        </w:rPr>
        <w:t xml:space="preserve"> (1991) 228 Cal.App.3d 556, 561.)</w:t>
      </w:r>
    </w:p>
    <w:bookmarkEnd w:id="9"/>
    <w:p w:rsidR="00A63BF9" w:rsidP="00934662" w14:paraId="79DC086B" w14:textId="1C391C2D">
      <w:pPr>
        <w:keepNext/>
        <w:widowControl/>
        <w:spacing w:line="288" w:lineRule="auto"/>
        <w:jc w:val="center"/>
        <w:rPr>
          <w:rFonts w:ascii="Century Schoolbook" w:hAnsi="Century Schoolbook"/>
          <w:i/>
          <w:iCs/>
          <w:szCs w:val="26"/>
        </w:rPr>
      </w:pPr>
      <w:r>
        <w:rPr>
          <w:rFonts w:ascii="Century Schoolbook" w:hAnsi="Century Schoolbook"/>
          <w:i/>
          <w:iCs/>
          <w:szCs w:val="26"/>
        </w:rPr>
        <w:t>Whether o</w:t>
      </w:r>
      <w:r>
        <w:rPr>
          <w:rFonts w:ascii="Century Schoolbook" w:hAnsi="Century Schoolbook"/>
          <w:i/>
          <w:iCs/>
          <w:szCs w:val="26"/>
        </w:rPr>
        <w:t>il industry</w:t>
      </w:r>
      <w:r w:rsidRPr="00395E41">
        <w:rPr>
          <w:rFonts w:ascii="Century Schoolbook" w:hAnsi="Century Schoolbook"/>
          <w:i/>
          <w:iCs/>
          <w:szCs w:val="26"/>
        </w:rPr>
        <w:t xml:space="preserve"> claimants</w:t>
      </w:r>
      <w:r>
        <w:rPr>
          <w:rFonts w:ascii="Century Schoolbook" w:hAnsi="Century Schoolbook"/>
          <w:i/>
          <w:iCs/>
          <w:szCs w:val="26"/>
        </w:rPr>
        <w:t xml:space="preserve"> were victims</w:t>
      </w:r>
    </w:p>
    <w:p w:rsidR="00A63BF9" w:rsidP="00934662" w14:paraId="093BF5DF" w14:textId="6B20B359">
      <w:pPr>
        <w:keepNext/>
        <w:widowControl/>
        <w:spacing w:line="288" w:lineRule="auto"/>
        <w:ind w:firstLine="720"/>
        <w:rPr>
          <w:rFonts w:ascii="Century Schoolbook" w:hAnsi="Century Schoolbook"/>
          <w:bCs/>
          <w:szCs w:val="26"/>
        </w:rPr>
      </w:pPr>
      <w:r w:rsidRPr="00395E41">
        <w:rPr>
          <w:rFonts w:ascii="Century Schoolbook" w:hAnsi="Century Schoolbook"/>
          <w:szCs w:val="26"/>
        </w:rPr>
        <w:t xml:space="preserve">The People </w:t>
      </w:r>
      <w:r w:rsidR="007629E1">
        <w:rPr>
          <w:rFonts w:ascii="Century Schoolbook" w:hAnsi="Century Schoolbook"/>
          <w:szCs w:val="26"/>
        </w:rPr>
        <w:t xml:space="preserve">and </w:t>
      </w:r>
      <w:r w:rsidR="00680613">
        <w:rPr>
          <w:rFonts w:ascii="Century Schoolbook" w:hAnsi="Century Schoolbook"/>
          <w:szCs w:val="26"/>
        </w:rPr>
        <w:t xml:space="preserve">petitioners </w:t>
      </w:r>
      <w:r w:rsidRPr="00395E41">
        <w:rPr>
          <w:rFonts w:ascii="Century Schoolbook" w:hAnsi="Century Schoolbook"/>
          <w:szCs w:val="26"/>
        </w:rPr>
        <w:t xml:space="preserve">contend the trial court erroneously concluded </w:t>
      </w:r>
      <w:r w:rsidR="00FC4B40">
        <w:rPr>
          <w:rFonts w:ascii="Century Schoolbook" w:hAnsi="Century Schoolbook"/>
          <w:szCs w:val="26"/>
        </w:rPr>
        <w:t xml:space="preserve">the </w:t>
      </w:r>
      <w:r w:rsidRPr="00395E41">
        <w:rPr>
          <w:rFonts w:ascii="Century Schoolbook" w:hAnsi="Century Schoolbook"/>
          <w:szCs w:val="26"/>
        </w:rPr>
        <w:t xml:space="preserve">oil industry claimants were not victims </w:t>
      </w:r>
      <w:r w:rsidR="00406712">
        <w:rPr>
          <w:rFonts w:ascii="Century Schoolbook" w:hAnsi="Century Schoolbook"/>
          <w:szCs w:val="26"/>
        </w:rPr>
        <w:t>of the crimes of which Plains was convicted.</w:t>
      </w:r>
      <w:r w:rsidR="00B55B46">
        <w:rPr>
          <w:rFonts w:ascii="Century Schoolbook" w:hAnsi="Century Schoolbook"/>
          <w:szCs w:val="26"/>
        </w:rPr>
        <w:t xml:space="preserve">  </w:t>
      </w:r>
      <w:r w:rsidR="000C3BCE">
        <w:rPr>
          <w:rFonts w:ascii="Century Schoolbook" w:hAnsi="Century Schoolbook"/>
          <w:szCs w:val="26"/>
        </w:rPr>
        <w:t xml:space="preserve">We </w:t>
      </w:r>
      <w:r w:rsidR="00DF4448">
        <w:rPr>
          <w:rFonts w:ascii="Century Schoolbook" w:hAnsi="Century Schoolbook"/>
          <w:szCs w:val="26"/>
        </w:rPr>
        <w:t xml:space="preserve">conclude they were not entitled to restitution </w:t>
      </w:r>
      <w:r w:rsidRPr="0018626D" w:rsidR="0018626D">
        <w:rPr>
          <w:rFonts w:ascii="Century Schoolbook" w:hAnsi="Century Schoolbook"/>
          <w:bCs/>
          <w:szCs w:val="26"/>
        </w:rPr>
        <w:t>based on the elements of the crime, and because the</w:t>
      </w:r>
      <w:r w:rsidR="00406712">
        <w:rPr>
          <w:rFonts w:ascii="Century Schoolbook" w:hAnsi="Century Schoolbook"/>
          <w:bCs/>
          <w:szCs w:val="26"/>
        </w:rPr>
        <w:t>se claimants</w:t>
      </w:r>
      <w:r w:rsidRPr="0018626D" w:rsidR="0018626D">
        <w:rPr>
          <w:rFonts w:ascii="Century Schoolbook" w:hAnsi="Century Schoolbook"/>
          <w:bCs/>
          <w:szCs w:val="26"/>
        </w:rPr>
        <w:t xml:space="preserve"> were </w:t>
      </w:r>
      <w:r w:rsidR="006B439B">
        <w:rPr>
          <w:rFonts w:ascii="Century Schoolbook" w:hAnsi="Century Schoolbook"/>
          <w:bCs/>
          <w:szCs w:val="26"/>
        </w:rPr>
        <w:t>neither</w:t>
      </w:r>
      <w:r w:rsidRPr="0018626D" w:rsidR="006B439B">
        <w:rPr>
          <w:rFonts w:ascii="Century Schoolbook" w:hAnsi="Century Schoolbook"/>
          <w:bCs/>
          <w:szCs w:val="26"/>
        </w:rPr>
        <w:t xml:space="preserve"> </w:t>
      </w:r>
      <w:r w:rsidRPr="0018626D" w:rsidR="0018626D">
        <w:rPr>
          <w:rFonts w:ascii="Century Schoolbook" w:hAnsi="Century Schoolbook"/>
          <w:bCs/>
          <w:szCs w:val="26"/>
        </w:rPr>
        <w:t xml:space="preserve">direct victims </w:t>
      </w:r>
      <w:r w:rsidR="006B439B">
        <w:rPr>
          <w:rFonts w:ascii="Century Schoolbook" w:hAnsi="Century Schoolbook"/>
          <w:bCs/>
          <w:szCs w:val="26"/>
        </w:rPr>
        <w:t>nor</w:t>
      </w:r>
      <w:r w:rsidRPr="0018626D" w:rsidR="0018626D">
        <w:rPr>
          <w:rFonts w:ascii="Century Schoolbook" w:hAnsi="Century Schoolbook"/>
          <w:bCs/>
          <w:szCs w:val="26"/>
        </w:rPr>
        <w:t xml:space="preserve"> the objects of the crime. </w:t>
      </w:r>
    </w:p>
    <w:p w:rsidR="00B52DFC" w:rsidRPr="00B52DFC" w:rsidP="00BC64CE" w14:paraId="6D5BB425" w14:textId="47D07E5C">
      <w:pPr>
        <w:spacing w:line="288" w:lineRule="auto"/>
        <w:jc w:val="center"/>
        <w:rPr>
          <w:rFonts w:ascii="Century Schoolbook" w:hAnsi="Century Schoolbook"/>
          <w:bCs/>
          <w:i/>
          <w:iCs/>
          <w:szCs w:val="26"/>
        </w:rPr>
      </w:pPr>
      <w:r>
        <w:rPr>
          <w:rFonts w:ascii="Century Schoolbook" w:hAnsi="Century Schoolbook"/>
          <w:bCs/>
          <w:i/>
          <w:iCs/>
          <w:szCs w:val="26"/>
        </w:rPr>
        <w:t xml:space="preserve">1.  </w:t>
      </w:r>
      <w:r w:rsidRPr="00B52DFC">
        <w:rPr>
          <w:rFonts w:ascii="Century Schoolbook" w:hAnsi="Century Schoolbook"/>
          <w:bCs/>
          <w:i/>
          <w:iCs/>
          <w:szCs w:val="26"/>
        </w:rPr>
        <w:t>Elements of crime</w:t>
      </w:r>
    </w:p>
    <w:p w:rsidR="00B52DFC" w:rsidRPr="00B52DFC" w:rsidP="00B52DFC" w14:paraId="721AE0F4" w14:textId="29662137">
      <w:pPr>
        <w:spacing w:line="288" w:lineRule="auto"/>
        <w:ind w:firstLine="720"/>
        <w:rPr>
          <w:rFonts w:ascii="Century Schoolbook" w:hAnsi="Century Schoolbook"/>
          <w:bCs/>
          <w:szCs w:val="26"/>
        </w:rPr>
      </w:pPr>
      <w:r w:rsidRPr="00B52DFC">
        <w:rPr>
          <w:rFonts w:ascii="Century Schoolbook" w:hAnsi="Century Schoolbook"/>
          <w:bCs/>
          <w:szCs w:val="26"/>
        </w:rPr>
        <w:t xml:space="preserve">Victims are entitled to restitution “from the persons convicted of the crimes causing the losses they suffer.”  (Cal. Const., art. I, § 28, subd. (b)(13)(A).)  “[A] victim of crime who incurs an economic loss as a result of the commission of a crime shall receive restitution directly from a defendant </w:t>
      </w:r>
      <w:r w:rsidRPr="00B52DFC">
        <w:rPr>
          <w:rFonts w:ascii="Century Schoolbook" w:hAnsi="Century Schoolbook"/>
          <w:bCs/>
          <w:i/>
          <w:iCs/>
          <w:szCs w:val="26"/>
        </w:rPr>
        <w:t>convicted of that crime.</w:t>
      </w:r>
      <w:r w:rsidRPr="00B52DFC">
        <w:rPr>
          <w:rFonts w:ascii="Century Schoolbook" w:hAnsi="Century Schoolbook"/>
          <w:bCs/>
          <w:szCs w:val="26"/>
        </w:rPr>
        <w:t>”  (Pen. Code, § 1202.4, subd. (a)(1), italics added.)  The right to restitution is based on “ ‘what conduct is encompassed by the crime.’ ”  (</w:t>
      </w:r>
      <w:r w:rsidRPr="00B52DFC">
        <w:rPr>
          <w:rFonts w:ascii="Century Schoolbook" w:hAnsi="Century Schoolbook"/>
          <w:bCs/>
          <w:i/>
          <w:iCs/>
          <w:szCs w:val="26"/>
        </w:rPr>
        <w:t>Crump</w:t>
      </w:r>
      <w:r w:rsidRPr="000822C5" w:rsidR="00A529DE">
        <w:rPr>
          <w:rFonts w:ascii="Century Schoolbook" w:hAnsi="Century Schoolbook"/>
          <w:bCs/>
          <w:szCs w:val="26"/>
        </w:rPr>
        <w:t xml:space="preserve">, </w:t>
      </w:r>
      <w:r w:rsidR="00A529DE">
        <w:rPr>
          <w:rFonts w:ascii="Century Schoolbook" w:hAnsi="Century Schoolbook"/>
          <w:bCs/>
          <w:i/>
          <w:iCs/>
          <w:szCs w:val="26"/>
        </w:rPr>
        <w:t>supra</w:t>
      </w:r>
      <w:r w:rsidRPr="000822C5" w:rsidR="00A529DE">
        <w:rPr>
          <w:rFonts w:ascii="Century Schoolbook" w:hAnsi="Century Schoolbook"/>
          <w:bCs/>
          <w:i/>
          <w:iCs/>
          <w:szCs w:val="26"/>
        </w:rPr>
        <w:t xml:space="preserve">, </w:t>
      </w:r>
      <w:r w:rsidRPr="00B52DFC">
        <w:rPr>
          <w:rFonts w:ascii="Century Schoolbook" w:hAnsi="Century Schoolbook"/>
          <w:bCs/>
          <w:szCs w:val="26"/>
        </w:rPr>
        <w:t xml:space="preserve">37 Cal.App.5th </w:t>
      </w:r>
      <w:r w:rsidR="00A529DE">
        <w:rPr>
          <w:rFonts w:ascii="Century Schoolbook" w:hAnsi="Century Schoolbook"/>
          <w:bCs/>
          <w:szCs w:val="26"/>
        </w:rPr>
        <w:t>at p.</w:t>
      </w:r>
      <w:r w:rsidRPr="00B52DFC">
        <w:rPr>
          <w:rFonts w:ascii="Century Schoolbook" w:hAnsi="Century Schoolbook"/>
          <w:bCs/>
          <w:szCs w:val="26"/>
        </w:rPr>
        <w:t xml:space="preserve"> 24</w:t>
      </w:r>
      <w:r w:rsidR="000E2D60">
        <w:rPr>
          <w:rFonts w:ascii="Century Schoolbook" w:hAnsi="Century Schoolbook"/>
          <w:bCs/>
          <w:szCs w:val="26"/>
        </w:rPr>
        <w:t>5</w:t>
      </w:r>
      <w:r w:rsidRPr="00B52DFC">
        <w:rPr>
          <w:rFonts w:ascii="Century Schoolbook" w:hAnsi="Century Schoolbook"/>
          <w:bCs/>
          <w:szCs w:val="26"/>
        </w:rPr>
        <w:t xml:space="preserve">.)  </w:t>
      </w:r>
      <w:r w:rsidR="006F16DE">
        <w:rPr>
          <w:rFonts w:ascii="Century Schoolbook" w:hAnsi="Century Schoolbook"/>
          <w:bCs/>
          <w:szCs w:val="26"/>
        </w:rPr>
        <w:t>Non</w:t>
      </w:r>
      <w:r w:rsidR="00934662">
        <w:rPr>
          <w:rFonts w:ascii="Century Schoolbook" w:hAnsi="Century Schoolbook"/>
          <w:bCs/>
          <w:szCs w:val="26"/>
        </w:rPr>
        <w:noBreakHyphen/>
      </w:r>
      <w:r w:rsidR="006F16DE">
        <w:rPr>
          <w:rFonts w:ascii="Century Schoolbook" w:hAnsi="Century Schoolbook"/>
          <w:bCs/>
          <w:szCs w:val="26"/>
        </w:rPr>
        <w:t>probationary r</w:t>
      </w:r>
      <w:r w:rsidRPr="00B52DFC" w:rsidR="006F16DE">
        <w:rPr>
          <w:rFonts w:ascii="Century Schoolbook" w:hAnsi="Century Schoolbook"/>
          <w:bCs/>
          <w:szCs w:val="26"/>
        </w:rPr>
        <w:t xml:space="preserve">estitution </w:t>
      </w:r>
      <w:r w:rsidRPr="00B52DFC">
        <w:rPr>
          <w:rFonts w:ascii="Century Schoolbook" w:hAnsi="Century Schoolbook"/>
          <w:bCs/>
          <w:szCs w:val="26"/>
        </w:rPr>
        <w:t>is not available to persons who suffer losses that are merely “ ‘transactionally related’ ” to the conviction offense.  (</w:t>
      </w:r>
      <w:r w:rsidRPr="00B52DFC">
        <w:rPr>
          <w:rFonts w:ascii="Century Schoolbook" w:hAnsi="Century Schoolbook"/>
          <w:bCs/>
          <w:i/>
          <w:iCs/>
          <w:szCs w:val="26"/>
        </w:rPr>
        <w:t>Id</w:t>
      </w:r>
      <w:r w:rsidRPr="00D84D93">
        <w:rPr>
          <w:rFonts w:ascii="Century Schoolbook" w:hAnsi="Century Schoolbook"/>
          <w:bCs/>
          <w:szCs w:val="26"/>
        </w:rPr>
        <w:t>.</w:t>
      </w:r>
      <w:r w:rsidRPr="00B52DFC">
        <w:rPr>
          <w:rFonts w:ascii="Century Schoolbook" w:hAnsi="Century Schoolbook"/>
          <w:bCs/>
          <w:szCs w:val="26"/>
        </w:rPr>
        <w:t xml:space="preserve"> at p. 246 [no right to restitution for property owners affected by gas leak where defendant convicted of failure to report leak].)</w:t>
      </w:r>
      <w:r w:rsidRPr="00BC64CE">
        <w:rPr>
          <w:rFonts w:ascii="Century Schoolbook" w:hAnsi="Century Schoolbook"/>
          <w:bCs/>
          <w:szCs w:val="26"/>
          <w:vertAlign w:val="superscript"/>
        </w:rPr>
        <w:t xml:space="preserve"> </w:t>
      </w:r>
    </w:p>
    <w:p w:rsidR="00B52DFC" w:rsidP="00B52DFC" w14:paraId="0C34F80A" w14:textId="7B220DE1">
      <w:pPr>
        <w:spacing w:line="288" w:lineRule="auto"/>
        <w:ind w:firstLine="720"/>
        <w:rPr>
          <w:rFonts w:ascii="Century Schoolbook" w:hAnsi="Century Schoolbook"/>
          <w:bCs/>
          <w:szCs w:val="26"/>
        </w:rPr>
      </w:pPr>
      <w:r w:rsidRPr="00B52DFC">
        <w:rPr>
          <w:rFonts w:ascii="Century Schoolbook" w:hAnsi="Century Schoolbook"/>
          <w:bCs/>
          <w:szCs w:val="26"/>
        </w:rPr>
        <w:t xml:space="preserve">Plains was convicted of </w:t>
      </w:r>
      <w:r w:rsidR="00832CFF">
        <w:rPr>
          <w:rFonts w:ascii="Century Schoolbook" w:hAnsi="Century Schoolbook"/>
          <w:bCs/>
          <w:szCs w:val="26"/>
        </w:rPr>
        <w:t xml:space="preserve">violating </w:t>
      </w:r>
      <w:r w:rsidRPr="00B52DFC">
        <w:rPr>
          <w:rFonts w:ascii="Century Schoolbook" w:hAnsi="Century Schoolbook"/>
          <w:bCs/>
          <w:szCs w:val="26"/>
        </w:rPr>
        <w:t>Government Code section 8670.64, subdivision (a)</w:t>
      </w:r>
      <w:r w:rsidR="00D26918">
        <w:rPr>
          <w:rFonts w:ascii="Century Schoolbook" w:hAnsi="Century Schoolbook"/>
          <w:bCs/>
          <w:szCs w:val="26"/>
        </w:rPr>
        <w:t>(3)</w:t>
      </w:r>
      <w:r w:rsidRPr="00B52DFC">
        <w:rPr>
          <w:rFonts w:ascii="Century Schoolbook" w:hAnsi="Century Schoolbook"/>
          <w:bCs/>
          <w:szCs w:val="26"/>
        </w:rPr>
        <w:t xml:space="preserve">, which </w:t>
      </w:r>
      <w:r w:rsidR="00D26918">
        <w:rPr>
          <w:rFonts w:ascii="Century Schoolbook" w:hAnsi="Century Schoolbook"/>
          <w:bCs/>
          <w:szCs w:val="26"/>
        </w:rPr>
        <w:t xml:space="preserve">prohibits </w:t>
      </w:r>
      <w:r w:rsidR="009E11AB">
        <w:rPr>
          <w:rFonts w:ascii="Century Schoolbook" w:hAnsi="Century Schoolbook"/>
          <w:bCs/>
          <w:szCs w:val="26"/>
        </w:rPr>
        <w:t>“</w:t>
      </w:r>
      <w:r w:rsidR="00D26918">
        <w:rPr>
          <w:rFonts w:ascii="Century Schoolbook" w:hAnsi="Century Schoolbook"/>
          <w:bCs/>
          <w:szCs w:val="26"/>
        </w:rPr>
        <w:t>[k]</w:t>
      </w:r>
      <w:r w:rsidRPr="00B52DFC">
        <w:rPr>
          <w:rFonts w:ascii="Century Schoolbook" w:hAnsi="Century Schoolbook"/>
          <w:bCs/>
          <w:szCs w:val="26"/>
        </w:rPr>
        <w:t xml:space="preserve">nowingly </w:t>
      </w:r>
      <w:r w:rsidR="004645C7">
        <w:rPr>
          <w:rFonts w:ascii="Century Schoolbook" w:hAnsi="Century Schoolbook"/>
          <w:bCs/>
          <w:szCs w:val="26"/>
        </w:rPr>
        <w:t xml:space="preserve">engag[ing] </w:t>
      </w:r>
      <w:r w:rsidRPr="00B52DFC">
        <w:rPr>
          <w:rFonts w:ascii="Century Schoolbook" w:hAnsi="Century Schoolbook"/>
          <w:bCs/>
          <w:szCs w:val="26"/>
        </w:rPr>
        <w:t>in or caus</w:t>
      </w:r>
      <w:r w:rsidR="00D26918">
        <w:rPr>
          <w:rFonts w:ascii="Century Schoolbook" w:hAnsi="Century Schoolbook"/>
          <w:bCs/>
          <w:szCs w:val="26"/>
        </w:rPr>
        <w:t>[ing]</w:t>
      </w:r>
      <w:r w:rsidRPr="00B52DFC">
        <w:rPr>
          <w:rFonts w:ascii="Century Schoolbook" w:hAnsi="Century Schoolbook"/>
          <w:bCs/>
          <w:szCs w:val="26"/>
        </w:rPr>
        <w:t xml:space="preserve"> the discharge or spill of oil into waters of the state, or a person who reasonably should have known that the person was engaging in or causing the discharge or spill of oil into waters of the state.”  </w:t>
      </w:r>
      <w:r w:rsidRPr="007E4AEC">
        <w:rPr>
          <w:rFonts w:ascii="Century Schoolbook" w:hAnsi="Century Schoolbook"/>
          <w:bCs/>
          <w:szCs w:val="26"/>
        </w:rPr>
        <w:t xml:space="preserve">Thus, Plains was convicted of </w:t>
      </w:r>
      <w:r w:rsidR="00DF4448">
        <w:rPr>
          <w:rFonts w:ascii="Century Schoolbook" w:hAnsi="Century Schoolbook"/>
          <w:bCs/>
          <w:szCs w:val="26"/>
        </w:rPr>
        <w:t>acts</w:t>
      </w:r>
      <w:r w:rsidRPr="007E4AEC">
        <w:rPr>
          <w:rFonts w:ascii="Century Schoolbook" w:hAnsi="Century Schoolbook"/>
          <w:bCs/>
          <w:szCs w:val="26"/>
        </w:rPr>
        <w:t xml:space="preserve"> it reasonably should have known would discharge oil into the ocean</w:t>
      </w:r>
      <w:r w:rsidRPr="007E4AEC" w:rsidR="001F59D0">
        <w:rPr>
          <w:rFonts w:ascii="Century Schoolbook" w:hAnsi="Century Schoolbook"/>
          <w:bCs/>
          <w:szCs w:val="26"/>
        </w:rPr>
        <w:t>, not acts that would cause employees and businesses to suffer lost wages and income</w:t>
      </w:r>
      <w:r w:rsidRPr="00B26A71" w:rsidR="007E4AEC">
        <w:rPr>
          <w:rFonts w:ascii="Century Schoolbook" w:hAnsi="Century Schoolbook"/>
          <w:bCs/>
          <w:szCs w:val="26"/>
        </w:rPr>
        <w:t xml:space="preserve"> because of </w:t>
      </w:r>
      <w:r w:rsidR="007E4AEC">
        <w:rPr>
          <w:rFonts w:ascii="Century Schoolbook" w:hAnsi="Century Schoolbook"/>
          <w:bCs/>
          <w:szCs w:val="26"/>
        </w:rPr>
        <w:t xml:space="preserve">third-party </w:t>
      </w:r>
      <w:r w:rsidRPr="00B26A71" w:rsidR="007E4AEC">
        <w:rPr>
          <w:rFonts w:ascii="Century Schoolbook" w:hAnsi="Century Schoolbook"/>
          <w:bCs/>
          <w:szCs w:val="26"/>
        </w:rPr>
        <w:t>oil platform closures</w:t>
      </w:r>
      <w:r w:rsidRPr="007E4AEC">
        <w:rPr>
          <w:rFonts w:ascii="Century Schoolbook" w:hAnsi="Century Schoolbook"/>
          <w:bCs/>
          <w:szCs w:val="26"/>
        </w:rPr>
        <w:t>.</w:t>
      </w:r>
      <w:r w:rsidRPr="00B52DFC">
        <w:rPr>
          <w:rFonts w:ascii="Century Schoolbook" w:hAnsi="Century Schoolbook"/>
          <w:bCs/>
          <w:szCs w:val="26"/>
        </w:rPr>
        <w:t xml:space="preserve">  </w:t>
      </w:r>
    </w:p>
    <w:p w:rsidR="00B52DFC" w:rsidRPr="00B52DFC" w:rsidP="00E228B9" w14:paraId="3C4B2D2D" w14:textId="70B51826">
      <w:pPr>
        <w:spacing w:line="288" w:lineRule="auto"/>
        <w:jc w:val="center"/>
        <w:rPr>
          <w:rFonts w:ascii="Century Schoolbook" w:hAnsi="Century Schoolbook"/>
          <w:bCs/>
          <w:i/>
          <w:iCs/>
          <w:szCs w:val="26"/>
        </w:rPr>
      </w:pPr>
      <w:r>
        <w:rPr>
          <w:rFonts w:ascii="Century Schoolbook" w:hAnsi="Century Schoolbook"/>
          <w:bCs/>
          <w:i/>
          <w:iCs/>
          <w:szCs w:val="26"/>
        </w:rPr>
        <w:t xml:space="preserve">2.  </w:t>
      </w:r>
      <w:r w:rsidRPr="00B52DFC">
        <w:rPr>
          <w:rFonts w:ascii="Century Schoolbook" w:hAnsi="Century Schoolbook"/>
          <w:bCs/>
          <w:i/>
          <w:iCs/>
          <w:szCs w:val="26"/>
        </w:rPr>
        <w:t>Direct victims</w:t>
      </w:r>
    </w:p>
    <w:p w:rsidR="00B52DFC" w:rsidRPr="00B52DFC" w:rsidP="00B52DFC" w14:paraId="2B10EAAB" w14:textId="311488AC">
      <w:pPr>
        <w:spacing w:line="288" w:lineRule="auto"/>
        <w:ind w:firstLine="720"/>
        <w:rPr>
          <w:rFonts w:ascii="Century Schoolbook" w:hAnsi="Century Schoolbook"/>
          <w:bCs/>
          <w:szCs w:val="26"/>
        </w:rPr>
      </w:pPr>
      <w:bookmarkStart w:id="10" w:name="_Hlk143240151"/>
      <w:r w:rsidRPr="00B52DFC">
        <w:rPr>
          <w:rFonts w:ascii="Century Schoolbook" w:hAnsi="Century Schoolbook"/>
          <w:bCs/>
          <w:szCs w:val="26"/>
        </w:rPr>
        <w:t>The California Constitution</w:t>
      </w:r>
      <w:bookmarkEnd w:id="10"/>
      <w:r w:rsidRPr="00B52DFC">
        <w:rPr>
          <w:rFonts w:ascii="Century Schoolbook" w:hAnsi="Century Schoolbook"/>
          <w:bCs/>
          <w:szCs w:val="26"/>
        </w:rPr>
        <w:t xml:space="preserve"> provides that “a ‘victim’ is a person who suffers direct or threatened physical, psychological, or financial harm as a result of the commission or attempted commission of a crime or delinquent act.”  (Cal. Const., art. I, §</w:t>
      </w:r>
      <w:r w:rsidR="00353758">
        <w:rPr>
          <w:rFonts w:ascii="Century Schoolbook" w:hAnsi="Century Schoolbook"/>
          <w:bCs/>
          <w:szCs w:val="26"/>
        </w:rPr>
        <w:t> </w:t>
      </w:r>
      <w:r w:rsidRPr="00B52DFC">
        <w:rPr>
          <w:rFonts w:ascii="Century Schoolbook" w:hAnsi="Century Schoolbook"/>
          <w:bCs/>
          <w:szCs w:val="26"/>
        </w:rPr>
        <w:t>28, subd. (e).)  But th</w:t>
      </w:r>
      <w:r w:rsidR="00C47E86">
        <w:rPr>
          <w:rFonts w:ascii="Century Schoolbook" w:hAnsi="Century Schoolbook"/>
          <w:bCs/>
          <w:szCs w:val="26"/>
        </w:rPr>
        <w:t>is</w:t>
      </w:r>
      <w:r w:rsidRPr="00B52DFC">
        <w:rPr>
          <w:rFonts w:ascii="Century Schoolbook" w:hAnsi="Century Schoolbook"/>
          <w:bCs/>
          <w:szCs w:val="26"/>
        </w:rPr>
        <w:t xml:space="preserve"> </w:t>
      </w:r>
      <w:r w:rsidR="002D5335">
        <w:rPr>
          <w:rFonts w:ascii="Century Schoolbook" w:hAnsi="Century Schoolbook"/>
          <w:bCs/>
          <w:szCs w:val="26"/>
        </w:rPr>
        <w:t>c</w:t>
      </w:r>
      <w:r w:rsidRPr="00B52DFC">
        <w:rPr>
          <w:rFonts w:ascii="Century Schoolbook" w:hAnsi="Century Schoolbook"/>
          <w:bCs/>
          <w:szCs w:val="26"/>
        </w:rPr>
        <w:t>onstitution</w:t>
      </w:r>
      <w:r w:rsidR="002D5335">
        <w:rPr>
          <w:rFonts w:ascii="Century Schoolbook" w:hAnsi="Century Schoolbook"/>
          <w:bCs/>
          <w:szCs w:val="26"/>
        </w:rPr>
        <w:t>al</w:t>
      </w:r>
      <w:r w:rsidRPr="00B52DFC">
        <w:rPr>
          <w:rFonts w:ascii="Century Schoolbook" w:hAnsi="Century Schoolbook"/>
          <w:bCs/>
          <w:szCs w:val="26"/>
        </w:rPr>
        <w:t xml:space="preserve"> restitution provision is not self-executing.  (</w:t>
      </w:r>
      <w:r w:rsidRPr="00B52DFC">
        <w:rPr>
          <w:rFonts w:ascii="Century Schoolbook" w:hAnsi="Century Schoolbook"/>
          <w:bCs/>
          <w:i/>
          <w:iCs/>
          <w:szCs w:val="26"/>
        </w:rPr>
        <w:t>Martinez</w:t>
      </w:r>
      <w:r w:rsidR="001E415D">
        <w:rPr>
          <w:rFonts w:ascii="Century Schoolbook" w:hAnsi="Century Schoolbook"/>
          <w:bCs/>
          <w:szCs w:val="26"/>
        </w:rPr>
        <w:t xml:space="preserve">, </w:t>
      </w:r>
      <w:r w:rsidRPr="00E228B9" w:rsidR="001E415D">
        <w:rPr>
          <w:rFonts w:ascii="Century Schoolbook" w:hAnsi="Century Schoolbook"/>
          <w:bCs/>
          <w:i/>
          <w:iCs/>
          <w:szCs w:val="26"/>
        </w:rPr>
        <w:t>supra</w:t>
      </w:r>
      <w:r w:rsidR="001E415D">
        <w:rPr>
          <w:rFonts w:ascii="Century Schoolbook" w:hAnsi="Century Schoolbook"/>
          <w:bCs/>
          <w:szCs w:val="26"/>
        </w:rPr>
        <w:t xml:space="preserve">, </w:t>
      </w:r>
      <w:r w:rsidRPr="00B52DFC">
        <w:rPr>
          <w:rFonts w:ascii="Century Schoolbook" w:hAnsi="Century Schoolbook"/>
          <w:bCs/>
          <w:szCs w:val="26"/>
        </w:rPr>
        <w:t xml:space="preserve">2 Cal.5th </w:t>
      </w:r>
      <w:r w:rsidR="001E415D">
        <w:rPr>
          <w:rFonts w:ascii="Century Schoolbook" w:hAnsi="Century Schoolbook"/>
          <w:bCs/>
          <w:szCs w:val="26"/>
        </w:rPr>
        <w:t>at p.</w:t>
      </w:r>
      <w:r w:rsidRPr="00B52DFC">
        <w:rPr>
          <w:rFonts w:ascii="Century Schoolbook" w:hAnsi="Century Schoolbook"/>
          <w:bCs/>
          <w:szCs w:val="26"/>
        </w:rPr>
        <w:t xml:space="preserve"> 1100, fn. 1.)  When first enacted by Proposition 8 in 1982, it provided, “The Legislature shall adopt provisions to implement this section during the calendar year following adoption of this section.”  (Cal. Const., art. I, § 28, former subd. (b).)  </w:t>
      </w:r>
    </w:p>
    <w:p w:rsidR="00BA1E3D" w:rsidP="005778D2" w14:paraId="24360648" w14:textId="618338BA">
      <w:pPr>
        <w:spacing w:line="288" w:lineRule="auto"/>
        <w:ind w:firstLine="720"/>
        <w:rPr>
          <w:rFonts w:ascii="Century Schoolbook" w:hAnsi="Century Schoolbook"/>
          <w:szCs w:val="26"/>
        </w:rPr>
      </w:pPr>
      <w:r w:rsidRPr="00B52DFC">
        <w:rPr>
          <w:rFonts w:ascii="Century Schoolbook" w:hAnsi="Century Schoolbook"/>
          <w:bCs/>
          <w:szCs w:val="26"/>
        </w:rPr>
        <w:t>Penal Code section 1202.4</w:t>
      </w:r>
      <w:r w:rsidR="00DE40BC">
        <w:rPr>
          <w:rFonts w:ascii="Century Schoolbook" w:hAnsi="Century Schoolbook"/>
          <w:bCs/>
          <w:szCs w:val="26"/>
        </w:rPr>
        <w:t xml:space="preserve"> </w:t>
      </w:r>
      <w:r w:rsidRPr="00B52DFC">
        <w:rPr>
          <w:rFonts w:ascii="Century Schoolbook" w:hAnsi="Century Schoolbook"/>
          <w:bCs/>
          <w:szCs w:val="26"/>
        </w:rPr>
        <w:t xml:space="preserve">requires restitution to “a victim [who] has suffered economic loss as a result of the defendant’s conduct.”  (Pen. Code, § 1202.4, subd. (f).)  The statute does not define “victim.”  But subdivision (k) of Penal Code section 1202.4 states that “victim” includes (1) “[t]he immediate surviving family of the </w:t>
      </w:r>
      <w:r w:rsidRPr="00B52DFC">
        <w:rPr>
          <w:rFonts w:ascii="Century Schoolbook" w:hAnsi="Century Schoolbook"/>
          <w:bCs/>
          <w:i/>
          <w:iCs/>
          <w:szCs w:val="26"/>
        </w:rPr>
        <w:t>actual victim</w:t>
      </w:r>
      <w:r w:rsidRPr="00B52DFC">
        <w:rPr>
          <w:rFonts w:ascii="Century Schoolbook" w:hAnsi="Century Schoolbook"/>
          <w:bCs/>
          <w:szCs w:val="26"/>
        </w:rPr>
        <w:t xml:space="preserve">,” (2) a business entity that “is a </w:t>
      </w:r>
      <w:r w:rsidRPr="00B52DFC">
        <w:rPr>
          <w:rFonts w:ascii="Century Schoolbook" w:hAnsi="Century Schoolbook"/>
          <w:bCs/>
          <w:i/>
          <w:iCs/>
          <w:szCs w:val="26"/>
        </w:rPr>
        <w:t>direct victim</w:t>
      </w:r>
      <w:r w:rsidRPr="00B52DFC">
        <w:rPr>
          <w:rFonts w:ascii="Century Schoolbook" w:hAnsi="Century Schoolbook"/>
          <w:bCs/>
          <w:szCs w:val="26"/>
        </w:rPr>
        <w:t xml:space="preserve"> of a crime,” and (3) a “person who has sustained economic loss as the result of </w:t>
      </w:r>
      <w:r w:rsidR="000E2D60">
        <w:rPr>
          <w:rFonts w:ascii="Century Schoolbook" w:hAnsi="Century Schoolbook"/>
          <w:bCs/>
          <w:szCs w:val="26"/>
        </w:rPr>
        <w:t>a</w:t>
      </w:r>
      <w:r w:rsidRPr="00B52DFC">
        <w:rPr>
          <w:rFonts w:ascii="Century Schoolbook" w:hAnsi="Century Schoolbook"/>
          <w:bCs/>
          <w:szCs w:val="26"/>
        </w:rPr>
        <w:t xml:space="preserve"> crime” </w:t>
      </w:r>
      <w:r w:rsidRPr="00B52DFC">
        <w:rPr>
          <w:rFonts w:ascii="Century Schoolbook" w:hAnsi="Century Schoolbook"/>
          <w:bCs/>
          <w:i/>
          <w:iCs/>
          <w:szCs w:val="26"/>
        </w:rPr>
        <w:t>and</w:t>
      </w:r>
      <w:r w:rsidRPr="00B52DFC">
        <w:rPr>
          <w:rFonts w:ascii="Century Schoolbook" w:hAnsi="Century Schoolbook"/>
          <w:bCs/>
          <w:szCs w:val="26"/>
        </w:rPr>
        <w:t xml:space="preserve"> who is a designated relative or household member “</w:t>
      </w:r>
      <w:r w:rsidRPr="00B52DFC">
        <w:rPr>
          <w:rFonts w:ascii="Century Schoolbook" w:hAnsi="Century Schoolbook"/>
          <w:bCs/>
          <w:i/>
          <w:iCs/>
          <w:szCs w:val="26"/>
        </w:rPr>
        <w:t>of the victim</w:t>
      </w:r>
      <w:r w:rsidRPr="00B52DFC">
        <w:rPr>
          <w:rFonts w:ascii="Century Schoolbook" w:hAnsi="Century Schoolbook"/>
          <w:bCs/>
          <w:szCs w:val="26"/>
        </w:rPr>
        <w:t xml:space="preserve">.”  (Italics added.)  </w:t>
      </w:r>
      <w:r w:rsidR="006F16DE">
        <w:rPr>
          <w:rFonts w:ascii="Century Schoolbook" w:hAnsi="Century Schoolbook"/>
          <w:bCs/>
          <w:szCs w:val="26"/>
        </w:rPr>
        <w:t>Thus, r</w:t>
      </w:r>
      <w:r w:rsidRPr="00B52DFC" w:rsidR="006F16DE">
        <w:rPr>
          <w:rFonts w:ascii="Century Schoolbook" w:hAnsi="Century Schoolbook"/>
          <w:bCs/>
          <w:szCs w:val="26"/>
        </w:rPr>
        <w:t xml:space="preserve">estitution </w:t>
      </w:r>
      <w:r w:rsidRPr="00B52DFC">
        <w:rPr>
          <w:rFonts w:ascii="Century Schoolbook" w:hAnsi="Century Schoolbook"/>
          <w:bCs/>
          <w:szCs w:val="26"/>
        </w:rPr>
        <w:t xml:space="preserve">is authorized only for “actual” or “direct” victims, and certain </w:t>
      </w:r>
      <w:r w:rsidR="00DE40BC">
        <w:rPr>
          <w:rFonts w:ascii="Century Schoolbook" w:hAnsi="Century Schoolbook"/>
          <w:bCs/>
          <w:szCs w:val="26"/>
        </w:rPr>
        <w:t xml:space="preserve">family or household </w:t>
      </w:r>
      <w:r w:rsidRPr="00B52DFC">
        <w:rPr>
          <w:rFonts w:ascii="Century Schoolbook" w:hAnsi="Century Schoolbook"/>
          <w:bCs/>
          <w:szCs w:val="26"/>
        </w:rPr>
        <w:t>members.</w:t>
      </w:r>
      <w:r w:rsidR="00E02453">
        <w:rPr>
          <w:rFonts w:ascii="Century Schoolbook" w:hAnsi="Century Schoolbook"/>
          <w:bCs/>
          <w:szCs w:val="26"/>
        </w:rPr>
        <w:t xml:space="preserve">  </w:t>
      </w:r>
      <w:r w:rsidR="001E2BEA">
        <w:rPr>
          <w:rFonts w:ascii="Century Schoolbook" w:hAnsi="Century Schoolbook"/>
          <w:szCs w:val="26"/>
        </w:rPr>
        <w:t>(</w:t>
      </w:r>
      <w:r w:rsidRPr="00B52DFC">
        <w:rPr>
          <w:rFonts w:ascii="Century Schoolbook" w:hAnsi="Century Schoolbook"/>
          <w:i/>
          <w:iCs/>
          <w:szCs w:val="26"/>
        </w:rPr>
        <w:t>People v. Birkett</w:t>
      </w:r>
      <w:r w:rsidRPr="00B52DFC">
        <w:rPr>
          <w:rFonts w:ascii="Century Schoolbook" w:hAnsi="Century Schoolbook"/>
          <w:szCs w:val="26"/>
        </w:rPr>
        <w:t xml:space="preserve"> (1999) 21 Cal.4th 226 (</w:t>
      </w:r>
      <w:r w:rsidRPr="00B52DFC">
        <w:rPr>
          <w:rFonts w:ascii="Century Schoolbook" w:hAnsi="Century Schoolbook"/>
          <w:i/>
          <w:iCs/>
          <w:szCs w:val="26"/>
        </w:rPr>
        <w:t>Birkett</w:t>
      </w:r>
      <w:r w:rsidRPr="00B52DFC">
        <w:rPr>
          <w:rFonts w:ascii="Century Schoolbook" w:hAnsi="Century Schoolbook"/>
          <w:szCs w:val="26"/>
        </w:rPr>
        <w:t>)</w:t>
      </w:r>
      <w:r w:rsidR="001E2BEA">
        <w:rPr>
          <w:rFonts w:ascii="Century Schoolbook" w:hAnsi="Century Schoolbook"/>
          <w:szCs w:val="26"/>
        </w:rPr>
        <w:t>.</w:t>
      </w:r>
      <w:r>
        <w:rPr>
          <w:rStyle w:val="FootnoteReference"/>
          <w:bCs/>
        </w:rPr>
        <w:footnoteReference w:id="5"/>
      </w:r>
      <w:r w:rsidR="001E2BEA">
        <w:rPr>
          <w:rFonts w:ascii="Century Schoolbook" w:hAnsi="Century Schoolbook"/>
          <w:szCs w:val="26"/>
        </w:rPr>
        <w:t>)</w:t>
      </w:r>
    </w:p>
    <w:p w:rsidR="00CB6B4F" w:rsidP="00C90072" w14:paraId="68C3C66B" w14:textId="1574F795">
      <w:pPr>
        <w:spacing w:line="288" w:lineRule="auto"/>
        <w:ind w:firstLine="720"/>
        <w:rPr>
          <w:rFonts w:ascii="Century Schoolbook" w:hAnsi="Century Schoolbook"/>
          <w:szCs w:val="26"/>
        </w:rPr>
      </w:pPr>
      <w:r w:rsidRPr="00B52DFC">
        <w:rPr>
          <w:rFonts w:ascii="Century Schoolbook" w:hAnsi="Century Schoolbook"/>
          <w:szCs w:val="26"/>
        </w:rPr>
        <w:t>“Nothing in the language or history of the initiative measure compels the conclusion that persons other than the real, actual, immediate, and direct victims of crime have a constitutional right to restitution from the offenders.”  (</w:t>
      </w:r>
      <w:r w:rsidR="00BA1E3D">
        <w:rPr>
          <w:rFonts w:ascii="Century Schoolbook" w:hAnsi="Century Schoolbook"/>
          <w:i/>
          <w:iCs/>
          <w:szCs w:val="26"/>
        </w:rPr>
        <w:t>Birkett</w:t>
      </w:r>
      <w:r w:rsidRPr="007E3504" w:rsidR="00BA1E3D">
        <w:rPr>
          <w:rFonts w:ascii="Century Schoolbook" w:hAnsi="Century Schoolbook"/>
          <w:szCs w:val="26"/>
        </w:rPr>
        <w:t>,</w:t>
      </w:r>
      <w:r w:rsidR="00BA1E3D">
        <w:rPr>
          <w:rFonts w:ascii="Century Schoolbook" w:hAnsi="Century Schoolbook"/>
          <w:i/>
          <w:iCs/>
          <w:szCs w:val="26"/>
        </w:rPr>
        <w:t xml:space="preserve"> supra</w:t>
      </w:r>
      <w:r w:rsidRPr="0014126F" w:rsidR="00BA1E3D">
        <w:rPr>
          <w:rFonts w:ascii="Century Schoolbook" w:hAnsi="Century Schoolbook"/>
          <w:szCs w:val="26"/>
        </w:rPr>
        <w:t>, 21 Cal.4th</w:t>
      </w:r>
      <w:r w:rsidRPr="00B52DFC">
        <w:rPr>
          <w:rFonts w:ascii="Century Schoolbook" w:hAnsi="Century Schoolbook"/>
          <w:szCs w:val="26"/>
        </w:rPr>
        <w:t xml:space="preserve"> at p. 243.)  </w:t>
      </w:r>
      <w:bookmarkStart w:id="11" w:name="_Hlk139634195"/>
      <w:r w:rsidRPr="00035DF9" w:rsidR="00832CFF">
        <w:rPr>
          <w:rFonts w:ascii="Century Schoolbook" w:hAnsi="Century Schoolbook"/>
          <w:i/>
          <w:iCs/>
          <w:szCs w:val="26"/>
        </w:rPr>
        <w:t>Birkett</w:t>
      </w:r>
      <w:r w:rsidRPr="00B52DFC">
        <w:rPr>
          <w:rFonts w:ascii="Century Schoolbook" w:hAnsi="Century Schoolbook"/>
          <w:szCs w:val="26"/>
        </w:rPr>
        <w:t xml:space="preserve"> </w:t>
      </w:r>
      <w:r w:rsidR="00561501">
        <w:rPr>
          <w:rFonts w:ascii="Century Schoolbook" w:hAnsi="Century Schoolbook"/>
          <w:szCs w:val="26"/>
        </w:rPr>
        <w:t xml:space="preserve">thus </w:t>
      </w:r>
      <w:r w:rsidRPr="00B52DFC">
        <w:rPr>
          <w:rFonts w:ascii="Century Schoolbook" w:hAnsi="Century Schoolbook"/>
          <w:szCs w:val="26"/>
        </w:rPr>
        <w:t>concluded that insurance companies who reimbursed owners of stolen vehicles were not “victims” entitled to restitution.  (</w:t>
      </w:r>
      <w:r w:rsidRPr="00B52DFC">
        <w:rPr>
          <w:rFonts w:ascii="Century Schoolbook" w:hAnsi="Century Schoolbook"/>
          <w:i/>
          <w:iCs/>
          <w:szCs w:val="26"/>
        </w:rPr>
        <w:t>Id</w:t>
      </w:r>
      <w:r w:rsidRPr="00B52DFC">
        <w:rPr>
          <w:rFonts w:ascii="Century Schoolbook" w:hAnsi="Century Schoolbook"/>
          <w:szCs w:val="26"/>
        </w:rPr>
        <w:t xml:space="preserve">. at p. 229.)  </w:t>
      </w:r>
      <w:bookmarkEnd w:id="11"/>
    </w:p>
    <w:p w:rsidR="00841112" w:rsidP="00841112" w14:paraId="208A4733" w14:textId="18BA2FD1">
      <w:pPr>
        <w:spacing w:line="288" w:lineRule="auto"/>
        <w:ind w:firstLine="720"/>
        <w:rPr>
          <w:rFonts w:ascii="Century Schoolbook" w:hAnsi="Century Schoolbook"/>
          <w:bCs/>
          <w:szCs w:val="26"/>
        </w:rPr>
      </w:pPr>
      <w:r w:rsidRPr="00B26A71">
        <w:rPr>
          <w:rFonts w:ascii="Century Schoolbook" w:hAnsi="Century Schoolbook"/>
          <w:bCs/>
          <w:szCs w:val="26"/>
        </w:rPr>
        <w:t>To determine who is a direct victim for purposes of restitution, we consider tort principles of causation.  (</w:t>
      </w:r>
      <w:r w:rsidRPr="00B26A71">
        <w:rPr>
          <w:rFonts w:ascii="Century Schoolbook" w:hAnsi="Century Schoolbook"/>
          <w:bCs/>
          <w:i/>
          <w:iCs/>
          <w:szCs w:val="26"/>
        </w:rPr>
        <w:t>People v. Jones</w:t>
      </w:r>
      <w:r w:rsidRPr="00B26A71">
        <w:rPr>
          <w:rFonts w:ascii="Century Schoolbook" w:hAnsi="Century Schoolbook"/>
          <w:bCs/>
          <w:szCs w:val="26"/>
        </w:rPr>
        <w:t xml:space="preserve"> (2010) 187 Cal.App.4th 418, 425.)  In the civil context, negligently causing a man-made disaster does not impose tort liability for all who foreseeably suffer “ ‘pure economic loss.’ ”  (</w:t>
      </w:r>
      <w:r w:rsidRPr="00B26A71">
        <w:rPr>
          <w:rFonts w:ascii="Century Schoolbook" w:hAnsi="Century Schoolbook"/>
          <w:bCs/>
          <w:i/>
          <w:iCs/>
          <w:szCs w:val="26"/>
        </w:rPr>
        <w:t xml:space="preserve">Southern California Gas Leak Cases </w:t>
      </w:r>
      <w:r w:rsidRPr="00B26A71">
        <w:rPr>
          <w:rFonts w:ascii="Century Schoolbook" w:hAnsi="Century Schoolbook"/>
          <w:bCs/>
          <w:szCs w:val="26"/>
        </w:rPr>
        <w:t>(2019) 7 Cal.5th 391, 401 (</w:t>
      </w:r>
      <w:r w:rsidRPr="00B26A71">
        <w:rPr>
          <w:rFonts w:ascii="Century Schoolbook" w:hAnsi="Century Schoolbook"/>
          <w:bCs/>
          <w:i/>
          <w:iCs/>
          <w:szCs w:val="26"/>
        </w:rPr>
        <w:t>Gas Leak Cases</w:t>
      </w:r>
      <w:r w:rsidRPr="00B26A71">
        <w:rPr>
          <w:rFonts w:ascii="Century Schoolbook" w:hAnsi="Century Schoolbook"/>
          <w:bCs/>
          <w:szCs w:val="26"/>
        </w:rPr>
        <w:t>).)  “After all, on ‘ “clear judicial days” ’ courts ‘ “can foresee forever.” ’ ”  (</w:t>
      </w:r>
      <w:r w:rsidRPr="00B26A71">
        <w:rPr>
          <w:rFonts w:ascii="Century Schoolbook" w:hAnsi="Century Schoolbook"/>
          <w:bCs/>
          <w:i/>
          <w:iCs/>
          <w:szCs w:val="26"/>
        </w:rPr>
        <w:t>Ibid</w:t>
      </w:r>
      <w:r w:rsidRPr="00B26A71">
        <w:rPr>
          <w:rFonts w:ascii="Century Schoolbook" w:hAnsi="Century Schoolbook"/>
          <w:bCs/>
          <w:szCs w:val="26"/>
        </w:rPr>
        <w:t>.)  Our Supreme Court accordingly denied recovery to local businesses who lost customers from the noxious effects of a natural gas leak.  (</w:t>
      </w:r>
      <w:r w:rsidRPr="00B26A71">
        <w:rPr>
          <w:rFonts w:ascii="Century Schoolbook" w:hAnsi="Century Schoolbook"/>
          <w:bCs/>
          <w:i/>
          <w:iCs/>
          <w:szCs w:val="26"/>
        </w:rPr>
        <w:t>Id</w:t>
      </w:r>
      <w:r w:rsidRPr="00B26A71">
        <w:rPr>
          <w:rFonts w:ascii="Century Schoolbook" w:hAnsi="Century Schoolbook"/>
          <w:bCs/>
          <w:szCs w:val="26"/>
        </w:rPr>
        <w:t>. at pp.394-397.)</w:t>
      </w:r>
    </w:p>
    <w:p w:rsidR="00841112" w:rsidRPr="00D64F0E" w:rsidP="00D42AE1" w14:paraId="208DC24E" w14:textId="3AABB69D">
      <w:pPr>
        <w:spacing w:line="288" w:lineRule="auto"/>
        <w:ind w:firstLine="720"/>
        <w:rPr>
          <w:rFonts w:ascii="Century Schoolbook" w:hAnsi="Century Schoolbook"/>
          <w:bCs/>
          <w:szCs w:val="26"/>
        </w:rPr>
      </w:pPr>
      <w:r w:rsidRPr="001135E2">
        <w:rPr>
          <w:rFonts w:ascii="Century Schoolbook" w:hAnsi="Century Schoolbook"/>
          <w:bCs/>
          <w:szCs w:val="26"/>
        </w:rPr>
        <w:t>Similarly here, the oil industry claimants were not directly harmed by the oil spillage, but instead by indirect intervening actions</w:t>
      </w:r>
      <w:r w:rsidRPr="00B26A71" w:rsidR="00D42AE1">
        <w:rPr>
          <w:rFonts w:ascii="Century Schoolbook" w:hAnsi="Century Schoolbook"/>
          <w:bCs/>
          <w:szCs w:val="26"/>
        </w:rPr>
        <w:t xml:space="preserve">.  </w:t>
      </w:r>
      <w:r w:rsidRPr="001135E2">
        <w:rPr>
          <w:rFonts w:ascii="Century Schoolbook" w:hAnsi="Century Schoolbook"/>
          <w:bCs/>
          <w:szCs w:val="26"/>
        </w:rPr>
        <w:t xml:space="preserve">Plains </w:t>
      </w:r>
      <w:r w:rsidRPr="00B26A71" w:rsidR="00D42AE1">
        <w:rPr>
          <w:rFonts w:ascii="Century Schoolbook" w:hAnsi="Century Schoolbook"/>
          <w:bCs/>
          <w:szCs w:val="26"/>
        </w:rPr>
        <w:t xml:space="preserve">decided to replace Line 901 instead of repairing it, </w:t>
      </w:r>
      <w:r w:rsidRPr="001135E2">
        <w:rPr>
          <w:rFonts w:ascii="Century Schoolbook" w:hAnsi="Century Schoolbook"/>
          <w:bCs/>
          <w:szCs w:val="26"/>
        </w:rPr>
        <w:t xml:space="preserve">regulators </w:t>
      </w:r>
      <w:r w:rsidRPr="00B26A71" w:rsidR="00D42AE1">
        <w:rPr>
          <w:rFonts w:ascii="Century Schoolbook" w:hAnsi="Century Schoolbook"/>
          <w:bCs/>
          <w:szCs w:val="26"/>
        </w:rPr>
        <w:t xml:space="preserve">ordered Plains to shut down Line 903 even though it did not rupture, and </w:t>
      </w:r>
      <w:r w:rsidRPr="001135E2">
        <w:rPr>
          <w:rFonts w:ascii="Century Schoolbook" w:hAnsi="Century Schoolbook"/>
          <w:bCs/>
          <w:szCs w:val="26"/>
        </w:rPr>
        <w:t xml:space="preserve">oil platform operators </w:t>
      </w:r>
      <w:r w:rsidRPr="00B26A71" w:rsidR="00D42AE1">
        <w:rPr>
          <w:rFonts w:ascii="Century Schoolbook" w:hAnsi="Century Schoolbook"/>
          <w:bCs/>
          <w:szCs w:val="26"/>
        </w:rPr>
        <w:t xml:space="preserve">decided </w:t>
      </w:r>
      <w:r w:rsidRPr="001135E2">
        <w:rPr>
          <w:rFonts w:ascii="Century Schoolbook" w:hAnsi="Century Schoolbook"/>
          <w:bCs/>
          <w:szCs w:val="26"/>
        </w:rPr>
        <w:t>to close</w:t>
      </w:r>
      <w:r w:rsidR="00433EE6">
        <w:rPr>
          <w:rFonts w:ascii="Century Schoolbook" w:hAnsi="Century Schoolbook"/>
          <w:bCs/>
          <w:szCs w:val="26"/>
        </w:rPr>
        <w:t xml:space="preserve"> </w:t>
      </w:r>
      <w:r w:rsidRPr="0014126F" w:rsidR="00DE3111">
        <w:rPr>
          <w:rFonts w:ascii="Century Schoolbook" w:hAnsi="Century Schoolbook"/>
          <w:bCs/>
          <w:szCs w:val="26"/>
        </w:rPr>
        <w:t xml:space="preserve">after </w:t>
      </w:r>
      <w:r w:rsidRPr="0014126F" w:rsidR="001135E2">
        <w:rPr>
          <w:rFonts w:ascii="Century Schoolbook" w:hAnsi="Century Schoolbook"/>
          <w:bCs/>
          <w:szCs w:val="26"/>
        </w:rPr>
        <w:t xml:space="preserve">ExxonMobil </w:t>
      </w:r>
      <w:r w:rsidRPr="0014126F" w:rsidR="00D64F0E">
        <w:rPr>
          <w:rFonts w:ascii="Century Schoolbook" w:hAnsi="Century Schoolbook"/>
          <w:bCs/>
          <w:szCs w:val="26"/>
        </w:rPr>
        <w:t xml:space="preserve">unsuccessfully </w:t>
      </w:r>
      <w:r w:rsidRPr="0014126F" w:rsidR="001135E2">
        <w:rPr>
          <w:rFonts w:ascii="Century Schoolbook" w:hAnsi="Century Schoolbook"/>
          <w:bCs/>
          <w:szCs w:val="26"/>
        </w:rPr>
        <w:t>sought a permit to transport oil to the refineries by truck.</w:t>
      </w:r>
      <w:r w:rsidR="00DD08A8">
        <w:rPr>
          <w:rFonts w:ascii="Century Schoolbook" w:hAnsi="Century Schoolbook"/>
          <w:bCs/>
          <w:szCs w:val="26"/>
        </w:rPr>
        <w:t xml:space="preserve"> </w:t>
      </w:r>
    </w:p>
    <w:p w:rsidR="00841112" w:rsidRPr="00B26A71" w:rsidP="00841112" w14:paraId="169C9F93" w14:textId="64FB692F">
      <w:pPr>
        <w:spacing w:line="288" w:lineRule="auto"/>
        <w:ind w:firstLine="720"/>
        <w:rPr>
          <w:rFonts w:ascii="Century Schoolbook" w:hAnsi="Century Schoolbook"/>
          <w:bCs/>
          <w:szCs w:val="26"/>
        </w:rPr>
      </w:pPr>
      <w:r w:rsidRPr="00B26A71">
        <w:rPr>
          <w:rFonts w:ascii="Century Schoolbook" w:hAnsi="Century Schoolbook"/>
          <w:bCs/>
          <w:szCs w:val="26"/>
        </w:rPr>
        <w:t>Public policy considerations support limiting the scope of restitution to direct economic losses here.</w:t>
      </w:r>
      <w:r>
        <w:rPr>
          <w:rFonts w:ascii="Century Schoolbook" w:hAnsi="Century Schoolbook"/>
          <w:bCs/>
          <w:szCs w:val="26"/>
        </w:rPr>
        <w:t xml:space="preserve">  </w:t>
      </w:r>
      <w:r w:rsidRPr="00B26A71">
        <w:rPr>
          <w:rFonts w:ascii="Century Schoolbook" w:hAnsi="Century Schoolbook"/>
          <w:bCs/>
          <w:szCs w:val="26"/>
        </w:rPr>
        <w:t xml:space="preserve">“Just as in tort law . . . the law must impose limitations on liability for victim restitution other than simple direct causality or else a defendant will face </w:t>
      </w:r>
      <w:r w:rsidRPr="00B26A71">
        <w:rPr>
          <w:rFonts w:ascii="Century Schoolbook" w:hAnsi="Century Schoolbook"/>
          <w:bCs/>
          <w:i/>
          <w:iCs/>
          <w:szCs w:val="26"/>
        </w:rPr>
        <w:t>infinite liability</w:t>
      </w:r>
      <w:r w:rsidRPr="00B26A71">
        <w:rPr>
          <w:rFonts w:ascii="Century Schoolbook" w:hAnsi="Century Schoolbook"/>
          <w:bCs/>
          <w:szCs w:val="26"/>
        </w:rPr>
        <w:t xml:space="preserve"> for </w:t>
      </w:r>
      <w:r w:rsidR="006B4FEF">
        <w:rPr>
          <w:rFonts w:ascii="Century Schoolbook" w:hAnsi="Century Schoolbook"/>
          <w:bCs/>
          <w:szCs w:val="26"/>
        </w:rPr>
        <w:t xml:space="preserve">[their] </w:t>
      </w:r>
      <w:r w:rsidRPr="00B26A71">
        <w:rPr>
          <w:rFonts w:ascii="Century Schoolbook" w:hAnsi="Century Schoolbook"/>
          <w:bCs/>
          <w:szCs w:val="26"/>
        </w:rPr>
        <w:t xml:space="preserve">criminal acts, </w:t>
      </w:r>
      <w:r w:rsidRPr="00B26A71">
        <w:rPr>
          <w:rFonts w:ascii="Century Schoolbook" w:hAnsi="Century Schoolbook"/>
          <w:bCs/>
          <w:i/>
          <w:iCs/>
          <w:szCs w:val="26"/>
        </w:rPr>
        <w:t>no matter how remote</w:t>
      </w:r>
      <w:r w:rsidRPr="00B26A71">
        <w:rPr>
          <w:rFonts w:ascii="Century Schoolbook" w:hAnsi="Century Schoolbook"/>
          <w:bCs/>
          <w:szCs w:val="26"/>
        </w:rPr>
        <w:t xml:space="preserve"> the consequence.”  (</w:t>
      </w:r>
      <w:r w:rsidRPr="00B26A71">
        <w:rPr>
          <w:rFonts w:ascii="Century Schoolbook" w:hAnsi="Century Schoolbook"/>
          <w:bCs/>
          <w:i/>
          <w:iCs/>
          <w:szCs w:val="26"/>
        </w:rPr>
        <w:t>People v. Jones</w:t>
      </w:r>
      <w:r w:rsidRPr="00B26A71">
        <w:rPr>
          <w:rFonts w:ascii="Century Schoolbook" w:hAnsi="Century Schoolbook"/>
          <w:bCs/>
          <w:szCs w:val="26"/>
        </w:rPr>
        <w:t xml:space="preserve">, </w:t>
      </w:r>
      <w:r w:rsidRPr="00B26A71">
        <w:rPr>
          <w:rFonts w:ascii="Century Schoolbook" w:hAnsi="Century Schoolbook"/>
          <w:bCs/>
          <w:i/>
          <w:iCs/>
          <w:szCs w:val="26"/>
        </w:rPr>
        <w:t>supra</w:t>
      </w:r>
      <w:r w:rsidRPr="00B26A71">
        <w:rPr>
          <w:rFonts w:ascii="Century Schoolbook" w:hAnsi="Century Schoolbook"/>
          <w:bCs/>
          <w:szCs w:val="26"/>
        </w:rPr>
        <w:t>, 187 Cal.App.4th at p.</w:t>
      </w:r>
      <w:r w:rsidR="00433EE6">
        <w:rPr>
          <w:rFonts w:ascii="Century Schoolbook" w:hAnsi="Century Schoolbook"/>
          <w:bCs/>
          <w:szCs w:val="26"/>
        </w:rPr>
        <w:t> </w:t>
      </w:r>
      <w:r w:rsidRPr="00B26A71">
        <w:rPr>
          <w:rFonts w:ascii="Century Schoolbook" w:hAnsi="Century Schoolbook"/>
          <w:bCs/>
          <w:szCs w:val="26"/>
        </w:rPr>
        <w:t>425, italics added.)</w:t>
      </w:r>
      <w:r>
        <w:rPr>
          <w:rFonts w:ascii="Century Schoolbook" w:hAnsi="Century Schoolbook"/>
          <w:bCs/>
          <w:szCs w:val="26"/>
        </w:rPr>
        <w:t xml:space="preserve">  </w:t>
      </w:r>
      <w:r w:rsidRPr="00841112">
        <w:rPr>
          <w:rFonts w:ascii="Century Schoolbook" w:hAnsi="Century Schoolbook"/>
          <w:bCs/>
          <w:szCs w:val="26"/>
        </w:rPr>
        <w:t xml:space="preserve">In </w:t>
      </w:r>
      <w:r w:rsidRPr="00841112">
        <w:rPr>
          <w:rFonts w:ascii="Century Schoolbook" w:hAnsi="Century Schoolbook"/>
          <w:bCs/>
          <w:i/>
          <w:iCs/>
          <w:szCs w:val="26"/>
        </w:rPr>
        <w:t>Jones</w:t>
      </w:r>
      <w:r w:rsidRPr="00841112">
        <w:rPr>
          <w:rFonts w:ascii="Century Schoolbook" w:hAnsi="Century Schoolbook"/>
          <w:bCs/>
          <w:szCs w:val="26"/>
        </w:rPr>
        <w:t>,</w:t>
      </w:r>
      <w:r>
        <w:rPr>
          <w:rFonts w:ascii="Century Schoolbook" w:hAnsi="Century Schoolbook"/>
          <w:bCs/>
          <w:szCs w:val="26"/>
        </w:rPr>
        <w:t xml:space="preserve"> </w:t>
      </w:r>
      <w:r w:rsidRPr="00841112">
        <w:rPr>
          <w:rFonts w:ascii="Century Schoolbook" w:hAnsi="Century Schoolbook"/>
          <w:bCs/>
          <w:szCs w:val="26"/>
        </w:rPr>
        <w:t>the court denied restitution for damage to the victim’s vehicle in the courthouse parking lot while she attended a hearing for the charged offense.</w:t>
      </w:r>
      <w:r>
        <w:rPr>
          <w:rFonts w:ascii="Century Schoolbook" w:hAnsi="Century Schoolbook"/>
          <w:bCs/>
          <w:szCs w:val="26"/>
        </w:rPr>
        <w:t xml:space="preserve">  </w:t>
      </w:r>
      <w:r w:rsidRPr="00841112">
        <w:rPr>
          <w:rFonts w:ascii="Century Schoolbook" w:hAnsi="Century Schoolbook"/>
          <w:bCs/>
          <w:szCs w:val="26"/>
        </w:rPr>
        <w:t>“ ‘[T]o simply say .</w:t>
      </w:r>
      <w:r w:rsidR="00433EE6">
        <w:rPr>
          <w:rFonts w:ascii="Century Schoolbook" w:hAnsi="Century Schoolbook"/>
          <w:bCs/>
          <w:szCs w:val="26"/>
        </w:rPr>
        <w:t> </w:t>
      </w:r>
      <w:r w:rsidRPr="00841112">
        <w:rPr>
          <w:rFonts w:ascii="Century Schoolbook" w:hAnsi="Century Schoolbook"/>
          <w:bCs/>
          <w:szCs w:val="26"/>
        </w:rPr>
        <w:t>.</w:t>
      </w:r>
      <w:r w:rsidR="00433EE6">
        <w:rPr>
          <w:rFonts w:ascii="Century Schoolbook" w:hAnsi="Century Schoolbook"/>
          <w:bCs/>
          <w:szCs w:val="26"/>
        </w:rPr>
        <w:t> </w:t>
      </w:r>
      <w:r w:rsidRPr="00841112">
        <w:rPr>
          <w:rFonts w:ascii="Century Schoolbook" w:hAnsi="Century Schoolbook"/>
          <w:bCs/>
          <w:szCs w:val="26"/>
        </w:rPr>
        <w:t>. that the defendant’s conduct was a necessary antecedent of the injury does not resolve the question of whether the defendant should be liable.  In the words of Prosser and Keeton: “[T]he consequences of an act go forward to eternity, and the causes of an event go back to the dawn of human events, and beyond.” .</w:t>
      </w:r>
      <w:r w:rsidR="00433EE6">
        <w:rPr>
          <w:rFonts w:ascii="Century Schoolbook" w:hAnsi="Century Schoolbook"/>
          <w:bCs/>
          <w:szCs w:val="26"/>
        </w:rPr>
        <w:t> </w:t>
      </w:r>
      <w:r w:rsidRPr="00841112">
        <w:rPr>
          <w:rFonts w:ascii="Century Schoolbook" w:hAnsi="Century Schoolbook"/>
          <w:bCs/>
          <w:szCs w:val="26"/>
        </w:rPr>
        <w:t>.</w:t>
      </w:r>
      <w:r w:rsidR="00433EE6">
        <w:rPr>
          <w:rFonts w:ascii="Century Schoolbook" w:hAnsi="Century Schoolbook"/>
          <w:bCs/>
          <w:szCs w:val="26"/>
        </w:rPr>
        <w:t> </w:t>
      </w:r>
      <w:r w:rsidRPr="00841112">
        <w:rPr>
          <w:rFonts w:ascii="Century Schoolbook" w:hAnsi="Century Schoolbook"/>
          <w:bCs/>
          <w:szCs w:val="26"/>
        </w:rPr>
        <w:t>.  Therefore, the law must impose limitations on liability other than simple causality.’ ”  (</w:t>
      </w:r>
      <w:r w:rsidR="000F4614">
        <w:rPr>
          <w:rFonts w:ascii="Century Schoolbook" w:hAnsi="Century Schoolbook"/>
          <w:bCs/>
          <w:i/>
          <w:iCs/>
          <w:szCs w:val="26"/>
        </w:rPr>
        <w:t>Jones</w:t>
      </w:r>
      <w:r w:rsidR="000F4614">
        <w:rPr>
          <w:rFonts w:ascii="Century Schoolbook" w:hAnsi="Century Schoolbook"/>
          <w:bCs/>
          <w:szCs w:val="26"/>
        </w:rPr>
        <w:t xml:space="preserve">, </w:t>
      </w:r>
      <w:r w:rsidRPr="00841112">
        <w:rPr>
          <w:rFonts w:ascii="Century Schoolbook" w:hAnsi="Century Schoolbook"/>
          <w:bCs/>
          <w:szCs w:val="26"/>
        </w:rPr>
        <w:t xml:space="preserve">at p. 425.) </w:t>
      </w:r>
    </w:p>
    <w:p w:rsidR="00B52DFC" w:rsidP="00B52DFC" w14:paraId="5E54487E" w14:textId="24C6C5CE">
      <w:pPr>
        <w:spacing w:line="288" w:lineRule="auto"/>
        <w:ind w:firstLine="720"/>
        <w:rPr>
          <w:rFonts w:ascii="Century Schoolbook" w:hAnsi="Century Schoolbook"/>
          <w:bCs/>
          <w:szCs w:val="26"/>
        </w:rPr>
      </w:pPr>
      <w:r w:rsidRPr="00B52DFC">
        <w:rPr>
          <w:rFonts w:ascii="Century Schoolbook" w:hAnsi="Century Schoolbook"/>
          <w:bCs/>
          <w:i/>
          <w:iCs/>
          <w:szCs w:val="26"/>
        </w:rPr>
        <w:t>People v. Foalima</w:t>
      </w:r>
      <w:r w:rsidRPr="00B52DFC">
        <w:rPr>
          <w:rFonts w:ascii="Century Schoolbook" w:hAnsi="Century Schoolbook"/>
          <w:bCs/>
          <w:szCs w:val="26"/>
        </w:rPr>
        <w:t xml:space="preserve"> (2015) 239 Cal.App.4th 1376, upon which the People</w:t>
      </w:r>
      <w:r w:rsidR="005A125A">
        <w:rPr>
          <w:rFonts w:ascii="Century Schoolbook" w:hAnsi="Century Schoolbook"/>
          <w:bCs/>
          <w:szCs w:val="26"/>
        </w:rPr>
        <w:t xml:space="preserve"> and petitioners</w:t>
      </w:r>
      <w:r w:rsidR="0068689E">
        <w:rPr>
          <w:rFonts w:ascii="Century Schoolbook" w:hAnsi="Century Schoolbook"/>
          <w:bCs/>
          <w:szCs w:val="26"/>
        </w:rPr>
        <w:t xml:space="preserve"> </w:t>
      </w:r>
      <w:r w:rsidRPr="00B52DFC">
        <w:rPr>
          <w:rFonts w:ascii="Century Schoolbook" w:hAnsi="Century Schoolbook"/>
          <w:bCs/>
          <w:szCs w:val="26"/>
        </w:rPr>
        <w:t xml:space="preserve">rely, </w:t>
      </w:r>
      <w:r w:rsidR="00C47E86">
        <w:rPr>
          <w:rFonts w:ascii="Century Schoolbook" w:hAnsi="Century Schoolbook"/>
          <w:bCs/>
          <w:szCs w:val="26"/>
        </w:rPr>
        <w:t xml:space="preserve">is inapplicable.  </w:t>
      </w:r>
      <w:r w:rsidRPr="00B52DFC">
        <w:rPr>
          <w:rFonts w:ascii="Century Schoolbook" w:hAnsi="Century Schoolbook"/>
          <w:bCs/>
          <w:szCs w:val="26"/>
        </w:rPr>
        <w:t xml:space="preserve">Foalima was convicted of murder, but acquitted of arson of the victim’s daughter’s apartment where the body was found.  The court nonetheless affirmed the restitution order for </w:t>
      </w:r>
      <w:r w:rsidR="000D6918">
        <w:rPr>
          <w:rFonts w:ascii="Century Schoolbook" w:hAnsi="Century Schoolbook"/>
          <w:bCs/>
          <w:szCs w:val="26"/>
        </w:rPr>
        <w:t xml:space="preserve">damages to the </w:t>
      </w:r>
      <w:r w:rsidRPr="00B52DFC">
        <w:rPr>
          <w:rFonts w:ascii="Century Schoolbook" w:hAnsi="Century Schoolbook"/>
          <w:bCs/>
          <w:szCs w:val="26"/>
        </w:rPr>
        <w:t>daughter’s property from the fire.</w:t>
      </w:r>
      <w:r w:rsidR="000D6918">
        <w:rPr>
          <w:rFonts w:ascii="Century Schoolbook" w:hAnsi="Century Schoolbook"/>
          <w:bCs/>
          <w:szCs w:val="26"/>
        </w:rPr>
        <w:t xml:space="preserve">  B</w:t>
      </w:r>
      <w:r w:rsidRPr="00B52DFC">
        <w:rPr>
          <w:rFonts w:ascii="Century Schoolbook" w:hAnsi="Century Schoolbook"/>
          <w:bCs/>
          <w:szCs w:val="26"/>
        </w:rPr>
        <w:t>ecause the fire was intended to conceal the murder, the murder was a “substantial factor” and a proximate cause of the loss.  (</w:t>
      </w:r>
      <w:r w:rsidRPr="00B52DFC">
        <w:rPr>
          <w:rFonts w:ascii="Century Schoolbook" w:hAnsi="Century Schoolbook"/>
          <w:bCs/>
          <w:i/>
          <w:iCs/>
          <w:szCs w:val="26"/>
        </w:rPr>
        <w:t>Id</w:t>
      </w:r>
      <w:r w:rsidRPr="00B52DFC">
        <w:rPr>
          <w:rFonts w:ascii="Century Schoolbook" w:hAnsi="Century Schoolbook"/>
          <w:bCs/>
          <w:szCs w:val="26"/>
        </w:rPr>
        <w:t>. at pp. 1396-1397.)  But</w:t>
      </w:r>
      <w:r w:rsidR="000D6918">
        <w:rPr>
          <w:rFonts w:ascii="Century Schoolbook" w:hAnsi="Century Schoolbook"/>
          <w:bCs/>
          <w:szCs w:val="26"/>
        </w:rPr>
        <w:t xml:space="preserve"> </w:t>
      </w:r>
      <w:r w:rsidRPr="00B52DFC">
        <w:rPr>
          <w:rFonts w:ascii="Century Schoolbook" w:hAnsi="Century Schoolbook"/>
          <w:bCs/>
          <w:szCs w:val="26"/>
        </w:rPr>
        <w:t xml:space="preserve">this does not mean that restitution is authorized for foreseeable consequences to </w:t>
      </w:r>
      <w:r w:rsidR="00C47E86">
        <w:rPr>
          <w:rFonts w:ascii="Century Schoolbook" w:hAnsi="Century Schoolbook"/>
          <w:bCs/>
          <w:szCs w:val="26"/>
        </w:rPr>
        <w:t xml:space="preserve">indirect </w:t>
      </w:r>
      <w:r w:rsidRPr="00B52DFC">
        <w:rPr>
          <w:rFonts w:ascii="Century Schoolbook" w:hAnsi="Century Schoolbook"/>
          <w:bCs/>
          <w:szCs w:val="26"/>
        </w:rPr>
        <w:t xml:space="preserve">victims.  </w:t>
      </w:r>
      <w:r w:rsidRPr="00B52DFC">
        <w:rPr>
          <w:rFonts w:ascii="Century Schoolbook" w:hAnsi="Century Schoolbook"/>
          <w:bCs/>
          <w:i/>
          <w:iCs/>
          <w:szCs w:val="26"/>
        </w:rPr>
        <w:t>Foalima</w:t>
      </w:r>
      <w:r w:rsidRPr="00B52DFC">
        <w:rPr>
          <w:rFonts w:ascii="Century Schoolbook" w:hAnsi="Century Schoolbook"/>
          <w:bCs/>
          <w:szCs w:val="26"/>
        </w:rPr>
        <w:t xml:space="preserve"> did not discuss whether the daughter was a “victim” for purposes of the restitution statute</w:t>
      </w:r>
      <w:r w:rsidR="005778D2">
        <w:rPr>
          <w:rFonts w:ascii="Century Schoolbook" w:hAnsi="Century Schoolbook"/>
          <w:bCs/>
          <w:szCs w:val="26"/>
        </w:rPr>
        <w:t xml:space="preserve"> because </w:t>
      </w:r>
      <w:r w:rsidRPr="00B52DFC">
        <w:rPr>
          <w:rFonts w:ascii="Century Schoolbook" w:hAnsi="Century Schoolbook"/>
          <w:bCs/>
          <w:szCs w:val="26"/>
        </w:rPr>
        <w:t xml:space="preserve">she came within its provisions as “[t]he immediate surviving family of the actual victim” and a “child . . . of the victim.”  (Pen. Code, § 1202.4, subd. (k)(1) &amp; (3)(A).)  In contrast, the oil industry claimants do not come within the definition of </w:t>
      </w:r>
      <w:r w:rsidR="00C47E86">
        <w:rPr>
          <w:rFonts w:ascii="Century Schoolbook" w:hAnsi="Century Schoolbook"/>
          <w:bCs/>
          <w:szCs w:val="26"/>
        </w:rPr>
        <w:t>“</w:t>
      </w:r>
      <w:r w:rsidRPr="00B52DFC">
        <w:rPr>
          <w:rFonts w:ascii="Century Schoolbook" w:hAnsi="Century Schoolbook"/>
          <w:bCs/>
          <w:szCs w:val="26"/>
        </w:rPr>
        <w:t>victim</w:t>
      </w:r>
      <w:r w:rsidR="00C47E86">
        <w:rPr>
          <w:rFonts w:ascii="Century Schoolbook" w:hAnsi="Century Schoolbook"/>
          <w:bCs/>
          <w:szCs w:val="26"/>
        </w:rPr>
        <w:t>”</w:t>
      </w:r>
      <w:r w:rsidRPr="00B52DFC">
        <w:rPr>
          <w:rFonts w:ascii="Century Schoolbook" w:hAnsi="Century Schoolbook"/>
          <w:bCs/>
          <w:szCs w:val="26"/>
        </w:rPr>
        <w:t xml:space="preserve"> </w:t>
      </w:r>
      <w:r w:rsidRPr="00C47E86" w:rsidR="00C47E86">
        <w:rPr>
          <w:rFonts w:ascii="Century Schoolbook" w:hAnsi="Century Schoolbook"/>
          <w:bCs/>
          <w:szCs w:val="26"/>
        </w:rPr>
        <w:t xml:space="preserve">in section 1202.4, subdivision (k). </w:t>
      </w:r>
    </w:p>
    <w:p w:rsidR="00113BD0" w:rsidRPr="00B52DFC" w:rsidP="00B52DFC" w14:paraId="7A44D860" w14:textId="769B5136">
      <w:pPr>
        <w:spacing w:line="288" w:lineRule="auto"/>
        <w:ind w:firstLine="720"/>
        <w:rPr>
          <w:rFonts w:ascii="Century Schoolbook" w:hAnsi="Century Schoolbook"/>
          <w:bCs/>
          <w:szCs w:val="26"/>
        </w:rPr>
      </w:pPr>
      <w:r w:rsidRPr="0014126F">
        <w:rPr>
          <w:rFonts w:ascii="Century Schoolbook" w:hAnsi="Century Schoolbook"/>
          <w:bCs/>
          <w:szCs w:val="26"/>
        </w:rPr>
        <w:t xml:space="preserve">Nor does </w:t>
      </w:r>
      <w:r w:rsidRPr="00AC6135">
        <w:rPr>
          <w:rFonts w:ascii="Century Schoolbook" w:hAnsi="Century Schoolbook"/>
          <w:bCs/>
          <w:i/>
          <w:iCs/>
          <w:szCs w:val="26"/>
        </w:rPr>
        <w:t>People v. Rojas</w:t>
      </w:r>
      <w:r w:rsidRPr="00AC6135">
        <w:rPr>
          <w:rFonts w:ascii="Century Schoolbook" w:hAnsi="Century Schoolbook"/>
          <w:bCs/>
          <w:szCs w:val="26"/>
        </w:rPr>
        <w:t xml:space="preserve"> (2023) 95 Cal.App.5th 48, </w:t>
      </w:r>
      <w:r>
        <w:rPr>
          <w:rFonts w:ascii="Century Schoolbook" w:hAnsi="Century Schoolbook"/>
          <w:bCs/>
          <w:szCs w:val="26"/>
        </w:rPr>
        <w:t>59-62</w:t>
      </w:r>
      <w:r w:rsidRPr="00AC6135">
        <w:rPr>
          <w:rFonts w:ascii="Century Schoolbook" w:hAnsi="Century Schoolbook"/>
          <w:bCs/>
          <w:szCs w:val="26"/>
        </w:rPr>
        <w:t>,</w:t>
      </w:r>
      <w:r>
        <w:rPr>
          <w:rFonts w:ascii="Century Schoolbook" w:hAnsi="Century Schoolbook"/>
          <w:bCs/>
          <w:szCs w:val="26"/>
        </w:rPr>
        <w:t xml:space="preserve"> entitle the oil industry claimants to restitution.  Rojas </w:t>
      </w:r>
      <w:r w:rsidR="00D43955">
        <w:rPr>
          <w:rFonts w:ascii="Century Schoolbook" w:hAnsi="Century Schoolbook"/>
          <w:bCs/>
          <w:szCs w:val="26"/>
        </w:rPr>
        <w:t>started</w:t>
      </w:r>
      <w:r>
        <w:rPr>
          <w:rFonts w:ascii="Century Schoolbook" w:hAnsi="Century Schoolbook"/>
          <w:bCs/>
          <w:szCs w:val="26"/>
        </w:rPr>
        <w:t xml:space="preserve"> a fistfight with the victim</w:t>
      </w:r>
      <w:r w:rsidR="00D43955">
        <w:rPr>
          <w:rFonts w:ascii="Century Schoolbook" w:hAnsi="Century Schoolbook"/>
          <w:bCs/>
          <w:szCs w:val="26"/>
        </w:rPr>
        <w:t>,</w:t>
      </w:r>
      <w:r w:rsidR="00DC42E2">
        <w:rPr>
          <w:rFonts w:ascii="Century Schoolbook" w:hAnsi="Century Schoolbook"/>
          <w:bCs/>
          <w:szCs w:val="26"/>
        </w:rPr>
        <w:t xml:space="preserve"> then summoned </w:t>
      </w:r>
      <w:r w:rsidR="003A18DB">
        <w:rPr>
          <w:rFonts w:ascii="Century Schoolbook" w:hAnsi="Century Schoolbook"/>
          <w:bCs/>
          <w:szCs w:val="26"/>
        </w:rPr>
        <w:t xml:space="preserve">help from </w:t>
      </w:r>
      <w:r w:rsidR="00DC42E2">
        <w:rPr>
          <w:rFonts w:ascii="Century Schoolbook" w:hAnsi="Century Schoolbook"/>
          <w:bCs/>
          <w:szCs w:val="26"/>
        </w:rPr>
        <w:t>a</w:t>
      </w:r>
      <w:r>
        <w:rPr>
          <w:rFonts w:ascii="Century Schoolbook" w:hAnsi="Century Schoolbook"/>
          <w:bCs/>
          <w:szCs w:val="26"/>
        </w:rPr>
        <w:t xml:space="preserve"> fellow gang member </w:t>
      </w:r>
      <w:r w:rsidR="00DC42E2">
        <w:rPr>
          <w:rFonts w:ascii="Century Schoolbook" w:hAnsi="Century Schoolbook"/>
          <w:bCs/>
          <w:szCs w:val="26"/>
        </w:rPr>
        <w:t>who</w:t>
      </w:r>
      <w:r>
        <w:rPr>
          <w:rFonts w:ascii="Century Schoolbook" w:hAnsi="Century Schoolbook"/>
          <w:bCs/>
          <w:szCs w:val="26"/>
        </w:rPr>
        <w:t xml:space="preserve"> shot and killed </w:t>
      </w:r>
      <w:r w:rsidR="00422722">
        <w:rPr>
          <w:rFonts w:ascii="Century Schoolbook" w:hAnsi="Century Schoolbook"/>
          <w:bCs/>
          <w:szCs w:val="26"/>
        </w:rPr>
        <w:t>the victim</w:t>
      </w:r>
      <w:r>
        <w:rPr>
          <w:rFonts w:ascii="Century Schoolbook" w:hAnsi="Century Schoolbook"/>
          <w:bCs/>
          <w:szCs w:val="26"/>
        </w:rPr>
        <w:t xml:space="preserve">.  Although </w:t>
      </w:r>
      <w:r w:rsidR="008B4A8E">
        <w:rPr>
          <w:rFonts w:ascii="Century Schoolbook" w:hAnsi="Century Schoolbook"/>
          <w:bCs/>
          <w:szCs w:val="26"/>
        </w:rPr>
        <w:t>Rojas’s</w:t>
      </w:r>
      <w:r>
        <w:rPr>
          <w:rFonts w:ascii="Century Schoolbook" w:hAnsi="Century Schoolbook"/>
          <w:bCs/>
          <w:szCs w:val="26"/>
        </w:rPr>
        <w:t xml:space="preserve"> </w:t>
      </w:r>
      <w:r w:rsidR="003A18DB">
        <w:rPr>
          <w:rFonts w:ascii="Century Schoolbook" w:hAnsi="Century Schoolbook"/>
          <w:bCs/>
          <w:szCs w:val="26"/>
        </w:rPr>
        <w:t xml:space="preserve">voluntary manslaughter </w:t>
      </w:r>
      <w:r>
        <w:rPr>
          <w:rFonts w:ascii="Century Schoolbook" w:hAnsi="Century Schoolbook"/>
          <w:bCs/>
          <w:szCs w:val="26"/>
        </w:rPr>
        <w:t xml:space="preserve">conviction was reduced on resentencing to assault by force likely to cause great bodily injury, Rojas remained responsible for restitution for the victim’s burial expenses. </w:t>
      </w:r>
      <w:r w:rsidR="00422722">
        <w:rPr>
          <w:rFonts w:ascii="Century Schoolbook" w:hAnsi="Century Schoolbook"/>
          <w:bCs/>
          <w:szCs w:val="26"/>
        </w:rPr>
        <w:t xml:space="preserve"> But u</w:t>
      </w:r>
      <w:r>
        <w:rPr>
          <w:rFonts w:ascii="Century Schoolbook" w:hAnsi="Century Schoolbook"/>
          <w:bCs/>
          <w:szCs w:val="26"/>
        </w:rPr>
        <w:t xml:space="preserve">nlike the oil industry claimants, </w:t>
      </w:r>
      <w:r w:rsidR="00422722">
        <w:rPr>
          <w:rFonts w:ascii="Century Schoolbook" w:hAnsi="Century Schoolbook"/>
          <w:bCs/>
          <w:szCs w:val="26"/>
        </w:rPr>
        <w:t>the restitution order rel</w:t>
      </w:r>
      <w:r w:rsidR="006B6BD3">
        <w:rPr>
          <w:rFonts w:ascii="Century Schoolbook" w:hAnsi="Century Schoolbook"/>
          <w:bCs/>
          <w:szCs w:val="26"/>
        </w:rPr>
        <w:t>ated to the</w:t>
      </w:r>
      <w:r>
        <w:rPr>
          <w:rFonts w:ascii="Century Schoolbook" w:hAnsi="Century Schoolbook"/>
          <w:bCs/>
          <w:szCs w:val="26"/>
        </w:rPr>
        <w:t xml:space="preserve"> direct victim</w:t>
      </w:r>
      <w:r w:rsidR="006B6BD3">
        <w:rPr>
          <w:rFonts w:ascii="Century Schoolbook" w:hAnsi="Century Schoolbook"/>
          <w:bCs/>
          <w:szCs w:val="26"/>
        </w:rPr>
        <w:t xml:space="preserve"> </w:t>
      </w:r>
      <w:r>
        <w:rPr>
          <w:rFonts w:ascii="Century Schoolbook" w:hAnsi="Century Schoolbook"/>
          <w:bCs/>
          <w:szCs w:val="26"/>
        </w:rPr>
        <w:t xml:space="preserve">of </w:t>
      </w:r>
      <w:r w:rsidR="006B6BD3">
        <w:rPr>
          <w:rFonts w:ascii="Century Schoolbook" w:hAnsi="Century Schoolbook"/>
          <w:bCs/>
          <w:szCs w:val="26"/>
        </w:rPr>
        <w:t>Rojas’s</w:t>
      </w:r>
      <w:r>
        <w:rPr>
          <w:rFonts w:ascii="Century Schoolbook" w:hAnsi="Century Schoolbook"/>
          <w:bCs/>
          <w:szCs w:val="26"/>
        </w:rPr>
        <w:t xml:space="preserve"> </w:t>
      </w:r>
      <w:r w:rsidR="003A18DB">
        <w:rPr>
          <w:rFonts w:ascii="Century Schoolbook" w:hAnsi="Century Schoolbook"/>
          <w:bCs/>
          <w:szCs w:val="26"/>
        </w:rPr>
        <w:t>crime</w:t>
      </w:r>
      <w:r w:rsidR="006B6BD3">
        <w:rPr>
          <w:rFonts w:ascii="Century Schoolbook" w:hAnsi="Century Schoolbook"/>
          <w:bCs/>
          <w:szCs w:val="26"/>
        </w:rPr>
        <w:t>.</w:t>
      </w:r>
    </w:p>
    <w:p w:rsidR="00B52DFC" w:rsidRPr="00B52DFC" w:rsidP="00C32782" w14:paraId="548D8B10" w14:textId="364CFE7C">
      <w:pPr>
        <w:spacing w:line="288" w:lineRule="auto"/>
        <w:ind w:firstLine="720"/>
        <w:rPr>
          <w:rFonts w:ascii="Century Schoolbook" w:hAnsi="Century Schoolbook"/>
          <w:bCs/>
          <w:szCs w:val="26"/>
        </w:rPr>
      </w:pPr>
      <w:r w:rsidRPr="00B52DFC">
        <w:rPr>
          <w:rFonts w:ascii="Century Schoolbook" w:hAnsi="Century Schoolbook"/>
          <w:bCs/>
          <w:szCs w:val="26"/>
        </w:rPr>
        <w:t xml:space="preserve">The wide net cast by the oil industry claimants </w:t>
      </w:r>
      <w:r w:rsidR="002D5335">
        <w:rPr>
          <w:rFonts w:ascii="Century Schoolbook" w:hAnsi="Century Schoolbook"/>
          <w:bCs/>
          <w:szCs w:val="26"/>
        </w:rPr>
        <w:t>illustrates</w:t>
      </w:r>
      <w:r w:rsidRPr="00B52DFC">
        <w:rPr>
          <w:rFonts w:ascii="Century Schoolbook" w:hAnsi="Century Schoolbook"/>
          <w:bCs/>
          <w:szCs w:val="26"/>
        </w:rPr>
        <w:t xml:space="preserve"> their ineligibility for restitution.  The</w:t>
      </w:r>
      <w:r w:rsidR="003B71F6">
        <w:rPr>
          <w:rFonts w:ascii="Century Schoolbook" w:hAnsi="Century Schoolbook"/>
          <w:bCs/>
          <w:szCs w:val="26"/>
        </w:rPr>
        <w:t>se</w:t>
      </w:r>
      <w:r w:rsidRPr="00B52DFC">
        <w:rPr>
          <w:rFonts w:ascii="Century Schoolbook" w:hAnsi="Century Schoolbook"/>
          <w:bCs/>
          <w:szCs w:val="26"/>
        </w:rPr>
        <w:t xml:space="preserve"> claimants include employees and contractors who worked on oil rigs until their operators decided the oil could not be profitably transported without the pipeline.  The Freeport-McMoRan oil rigs did not use Line 901 at all, but used Line 903, which Plains shut</w:t>
      </w:r>
      <w:r w:rsidR="007F7001">
        <w:rPr>
          <w:rFonts w:ascii="Century Schoolbook" w:hAnsi="Century Schoolbook"/>
          <w:bCs/>
          <w:szCs w:val="26"/>
        </w:rPr>
        <w:t xml:space="preserve"> </w:t>
      </w:r>
      <w:r w:rsidR="003B71F6">
        <w:rPr>
          <w:rFonts w:ascii="Century Schoolbook" w:hAnsi="Century Schoolbook"/>
          <w:bCs/>
          <w:szCs w:val="26"/>
        </w:rPr>
        <w:t xml:space="preserve">down due to </w:t>
      </w:r>
      <w:r w:rsidRPr="00B52DFC">
        <w:rPr>
          <w:rFonts w:ascii="Century Schoolbook" w:hAnsi="Century Schoolbook"/>
          <w:bCs/>
          <w:szCs w:val="26"/>
        </w:rPr>
        <w:t>maintenance deficiencies</w:t>
      </w:r>
      <w:r w:rsidR="009E0ABF">
        <w:rPr>
          <w:rFonts w:ascii="Century Schoolbook" w:hAnsi="Century Schoolbook"/>
          <w:bCs/>
          <w:szCs w:val="26"/>
        </w:rPr>
        <w:t>, not because of the oil spill</w:t>
      </w:r>
      <w:r w:rsidRPr="00B52DFC">
        <w:rPr>
          <w:rFonts w:ascii="Century Schoolbook" w:hAnsi="Century Schoolbook"/>
          <w:bCs/>
          <w:szCs w:val="26"/>
        </w:rPr>
        <w:t>.  Claimants</w:t>
      </w:r>
      <w:r w:rsidR="00740987">
        <w:rPr>
          <w:rFonts w:ascii="Century Schoolbook" w:hAnsi="Century Schoolbook"/>
          <w:bCs/>
          <w:szCs w:val="26"/>
        </w:rPr>
        <w:t>, including</w:t>
      </w:r>
      <w:r w:rsidRPr="00B52DFC">
        <w:rPr>
          <w:rFonts w:ascii="Century Schoolbook" w:hAnsi="Century Schoolbook"/>
          <w:bCs/>
          <w:szCs w:val="26"/>
        </w:rPr>
        <w:t xml:space="preserve"> </w:t>
      </w:r>
      <w:r w:rsidR="00C32782">
        <w:rPr>
          <w:rFonts w:ascii="Century Schoolbook" w:hAnsi="Century Schoolbook"/>
          <w:bCs/>
          <w:szCs w:val="26"/>
        </w:rPr>
        <w:t xml:space="preserve">boat </w:t>
      </w:r>
      <w:r w:rsidRPr="00B52DFC">
        <w:rPr>
          <w:rFonts w:ascii="Century Schoolbook" w:hAnsi="Century Schoolbook"/>
          <w:bCs/>
          <w:szCs w:val="26"/>
        </w:rPr>
        <w:t>operators that transported supplies to oil rigs, or a company in another county that sold fuel to th</w:t>
      </w:r>
      <w:r w:rsidR="00C32782">
        <w:rPr>
          <w:rFonts w:ascii="Century Schoolbook" w:hAnsi="Century Schoolbook"/>
          <w:bCs/>
          <w:szCs w:val="26"/>
        </w:rPr>
        <w:t>e</w:t>
      </w:r>
      <w:r w:rsidRPr="00B52DFC">
        <w:rPr>
          <w:rFonts w:ascii="Century Schoolbook" w:hAnsi="Century Schoolbook"/>
          <w:bCs/>
          <w:szCs w:val="26"/>
        </w:rPr>
        <w:t xml:space="preserve"> boats, may have lost income as indirect consequences of the pipeline shutdown</w:t>
      </w:r>
      <w:r w:rsidR="00740987">
        <w:rPr>
          <w:rFonts w:ascii="Century Schoolbook" w:hAnsi="Century Schoolbook"/>
          <w:bCs/>
          <w:szCs w:val="26"/>
        </w:rPr>
        <w:t>.  B</w:t>
      </w:r>
      <w:r w:rsidRPr="00B52DFC">
        <w:rPr>
          <w:rFonts w:ascii="Century Schoolbook" w:hAnsi="Century Schoolbook"/>
          <w:bCs/>
          <w:szCs w:val="26"/>
        </w:rPr>
        <w:t>ut they are not direct crime victims entitled to restitution.</w:t>
      </w:r>
      <w:r w:rsidR="00CC7360">
        <w:rPr>
          <w:rFonts w:ascii="Century Schoolbook" w:hAnsi="Century Schoolbook"/>
          <w:bCs/>
          <w:szCs w:val="26"/>
        </w:rPr>
        <w:t xml:space="preserve">  In our view, </w:t>
      </w:r>
      <w:r w:rsidR="00DC29CA">
        <w:rPr>
          <w:rFonts w:ascii="Century Schoolbook" w:hAnsi="Century Schoolbook"/>
          <w:bCs/>
          <w:szCs w:val="26"/>
        </w:rPr>
        <w:t xml:space="preserve">non-probationary </w:t>
      </w:r>
      <w:r w:rsidR="00CC7360">
        <w:rPr>
          <w:rFonts w:ascii="Century Schoolbook" w:hAnsi="Century Schoolbook"/>
          <w:bCs/>
          <w:szCs w:val="26"/>
        </w:rPr>
        <w:t>r</w:t>
      </w:r>
      <w:r w:rsidRPr="00740987" w:rsidR="00740987">
        <w:rPr>
          <w:rFonts w:ascii="Century Schoolbook" w:hAnsi="Century Schoolbook"/>
          <w:bCs/>
          <w:szCs w:val="26"/>
        </w:rPr>
        <w:t>estitution is not authorized for indirect financial losses to oil industry claimants following the oil spill.</w:t>
      </w:r>
    </w:p>
    <w:p w:rsidR="00B52DFC" w:rsidRPr="00B52DFC" w:rsidP="00E228B9" w14:paraId="551CD414" w14:textId="6135958B">
      <w:pPr>
        <w:spacing w:line="288" w:lineRule="auto"/>
        <w:jc w:val="center"/>
        <w:rPr>
          <w:rFonts w:ascii="Century Schoolbook" w:hAnsi="Century Schoolbook"/>
          <w:bCs/>
          <w:i/>
          <w:iCs/>
          <w:szCs w:val="26"/>
        </w:rPr>
      </w:pPr>
      <w:r w:rsidRPr="003D683C">
        <w:rPr>
          <w:rFonts w:ascii="Century Schoolbook" w:hAnsi="Century Schoolbook"/>
          <w:bCs/>
          <w:i/>
          <w:iCs/>
          <w:szCs w:val="26"/>
        </w:rPr>
        <w:t xml:space="preserve">3.  </w:t>
      </w:r>
      <w:r w:rsidRPr="003D683C">
        <w:rPr>
          <w:rFonts w:ascii="Century Schoolbook" w:hAnsi="Century Schoolbook"/>
          <w:bCs/>
          <w:i/>
          <w:iCs/>
          <w:szCs w:val="26"/>
        </w:rPr>
        <w:t>Object of crime</w:t>
      </w:r>
    </w:p>
    <w:p w:rsidR="00881AF9" w:rsidP="00B52DFC" w14:paraId="71A8ED96" w14:textId="0CEB7039">
      <w:pPr>
        <w:spacing w:line="288" w:lineRule="auto"/>
        <w:ind w:firstLine="720"/>
      </w:pPr>
      <w:r>
        <w:rPr>
          <w:rFonts w:ascii="Century Schoolbook" w:hAnsi="Century Schoolbook"/>
          <w:bCs/>
          <w:szCs w:val="26"/>
        </w:rPr>
        <w:t xml:space="preserve">The </w:t>
      </w:r>
      <w:r w:rsidRPr="00B52DFC" w:rsidR="00B52DFC">
        <w:rPr>
          <w:rFonts w:ascii="Century Schoolbook" w:hAnsi="Century Schoolbook"/>
          <w:bCs/>
          <w:szCs w:val="26"/>
        </w:rPr>
        <w:t xml:space="preserve">oil industry claimants </w:t>
      </w:r>
      <w:r w:rsidR="003B71F6">
        <w:rPr>
          <w:rFonts w:ascii="Century Schoolbook" w:hAnsi="Century Schoolbook"/>
          <w:bCs/>
          <w:szCs w:val="26"/>
        </w:rPr>
        <w:t xml:space="preserve">are </w:t>
      </w:r>
      <w:r>
        <w:rPr>
          <w:rFonts w:ascii="Century Schoolbook" w:hAnsi="Century Schoolbook"/>
          <w:bCs/>
          <w:szCs w:val="26"/>
        </w:rPr>
        <w:t xml:space="preserve">also </w:t>
      </w:r>
      <w:r w:rsidR="003B71F6">
        <w:rPr>
          <w:rFonts w:ascii="Century Schoolbook" w:hAnsi="Century Schoolbook"/>
          <w:bCs/>
          <w:szCs w:val="26"/>
        </w:rPr>
        <w:t xml:space="preserve">not entitled to </w:t>
      </w:r>
      <w:r w:rsidR="00DC29CA">
        <w:rPr>
          <w:rFonts w:ascii="Century Schoolbook" w:hAnsi="Century Schoolbook"/>
          <w:bCs/>
          <w:szCs w:val="26"/>
        </w:rPr>
        <w:t>non</w:t>
      </w:r>
      <w:r w:rsidR="00433EE6">
        <w:rPr>
          <w:rFonts w:ascii="Century Schoolbook" w:hAnsi="Century Schoolbook"/>
          <w:bCs/>
          <w:szCs w:val="26"/>
        </w:rPr>
        <w:noBreakHyphen/>
      </w:r>
      <w:r w:rsidR="00DC29CA">
        <w:rPr>
          <w:rFonts w:ascii="Century Schoolbook" w:hAnsi="Century Schoolbook"/>
          <w:bCs/>
          <w:szCs w:val="26"/>
        </w:rPr>
        <w:t xml:space="preserve">probationary </w:t>
      </w:r>
      <w:r w:rsidR="003B71F6">
        <w:rPr>
          <w:rFonts w:ascii="Century Schoolbook" w:hAnsi="Century Schoolbook"/>
          <w:bCs/>
          <w:szCs w:val="26"/>
        </w:rPr>
        <w:t xml:space="preserve">restitution because they were </w:t>
      </w:r>
      <w:r w:rsidRPr="00B52DFC" w:rsidR="00B52DFC">
        <w:rPr>
          <w:rFonts w:ascii="Century Schoolbook" w:hAnsi="Century Schoolbook"/>
          <w:bCs/>
          <w:szCs w:val="26"/>
        </w:rPr>
        <w:t xml:space="preserve">not </w:t>
      </w:r>
      <w:r w:rsidR="003B71F6">
        <w:rPr>
          <w:rFonts w:ascii="Century Schoolbook" w:hAnsi="Century Schoolbook"/>
          <w:bCs/>
          <w:szCs w:val="26"/>
        </w:rPr>
        <w:t xml:space="preserve">the </w:t>
      </w:r>
      <w:r w:rsidRPr="00B52DFC" w:rsidR="00B52DFC">
        <w:rPr>
          <w:rFonts w:ascii="Century Schoolbook" w:hAnsi="Century Schoolbook"/>
          <w:bCs/>
          <w:szCs w:val="26"/>
        </w:rPr>
        <w:t>objects of the c</w:t>
      </w:r>
      <w:r w:rsidR="003B71F6">
        <w:rPr>
          <w:rFonts w:ascii="Century Schoolbook" w:hAnsi="Century Schoolbook"/>
          <w:bCs/>
          <w:szCs w:val="26"/>
        </w:rPr>
        <w:t>rime of unlawfully discharging oil in</w:t>
      </w:r>
      <w:r w:rsidR="003A18DB">
        <w:rPr>
          <w:rFonts w:ascii="Century Schoolbook" w:hAnsi="Century Schoolbook"/>
          <w:bCs/>
          <w:szCs w:val="26"/>
        </w:rPr>
        <w:t>to</w:t>
      </w:r>
      <w:r w:rsidR="003B71F6">
        <w:rPr>
          <w:rFonts w:ascii="Century Schoolbook" w:hAnsi="Century Schoolbook"/>
          <w:bCs/>
          <w:szCs w:val="26"/>
        </w:rPr>
        <w:t xml:space="preserve"> the ocean</w:t>
      </w:r>
      <w:r w:rsidRPr="00B52DFC" w:rsidR="00B52DFC">
        <w:rPr>
          <w:rFonts w:ascii="Century Schoolbook" w:hAnsi="Century Schoolbook"/>
          <w:bCs/>
          <w:szCs w:val="26"/>
        </w:rPr>
        <w:t>.</w:t>
      </w:r>
      <w:r w:rsidRPr="00CC7360" w:rsidR="00CC7360">
        <w:t xml:space="preserve"> </w:t>
      </w:r>
      <w:r w:rsidR="00CC7360">
        <w:t xml:space="preserve"> </w:t>
      </w:r>
    </w:p>
    <w:p w:rsidR="00B52DFC" w:rsidRPr="00B52DFC" w:rsidP="00B52DFC" w14:paraId="4E00F95A" w14:textId="6DDABB95">
      <w:pPr>
        <w:spacing w:line="288" w:lineRule="auto"/>
        <w:ind w:firstLine="720"/>
        <w:rPr>
          <w:rFonts w:ascii="Century Schoolbook" w:hAnsi="Century Schoolbook"/>
          <w:bCs/>
          <w:szCs w:val="26"/>
        </w:rPr>
      </w:pPr>
      <w:r w:rsidRPr="00CC7360">
        <w:rPr>
          <w:rFonts w:ascii="Century Schoolbook" w:hAnsi="Century Schoolbook"/>
          <w:bCs/>
          <w:szCs w:val="26"/>
        </w:rPr>
        <w:t xml:space="preserve">Legislative findings for the </w:t>
      </w:r>
      <w:r w:rsidRPr="002F5DF0" w:rsidR="002F5DF0">
        <w:rPr>
          <w:rFonts w:ascii="Century Schoolbook" w:hAnsi="Century Schoolbook"/>
          <w:bCs/>
          <w:szCs w:val="26"/>
        </w:rPr>
        <w:t>Lempert-Keene-Seastrand Oil Spill Prevention and Response Act</w:t>
      </w:r>
      <w:r w:rsidR="002F5DF0">
        <w:rPr>
          <w:rFonts w:ascii="Century Schoolbook" w:hAnsi="Century Schoolbook"/>
          <w:bCs/>
          <w:szCs w:val="26"/>
        </w:rPr>
        <w:t xml:space="preserve"> </w:t>
      </w:r>
      <w:bookmarkStart w:id="12" w:name="_Hlk163231712"/>
      <w:r w:rsidR="002F5DF0">
        <w:rPr>
          <w:rFonts w:ascii="Century Schoolbook" w:hAnsi="Century Schoolbook"/>
          <w:bCs/>
          <w:szCs w:val="26"/>
        </w:rPr>
        <w:t>(</w:t>
      </w:r>
      <w:r w:rsidR="000825FD">
        <w:rPr>
          <w:rFonts w:ascii="Century Schoolbook" w:hAnsi="Century Schoolbook"/>
          <w:bCs/>
          <w:szCs w:val="26"/>
        </w:rPr>
        <w:t xml:space="preserve">Gov. Code, § 8670.1 et seq.; </w:t>
      </w:r>
      <w:r w:rsidR="002F5DF0">
        <w:rPr>
          <w:rFonts w:ascii="Century Schoolbook" w:hAnsi="Century Schoolbook"/>
          <w:bCs/>
          <w:szCs w:val="26"/>
        </w:rPr>
        <w:t>OSPRA)</w:t>
      </w:r>
      <w:bookmarkEnd w:id="12"/>
      <w:r w:rsidR="002F5DF0">
        <w:rPr>
          <w:rFonts w:ascii="Century Schoolbook" w:hAnsi="Century Schoolbook"/>
          <w:bCs/>
          <w:szCs w:val="26"/>
        </w:rPr>
        <w:t xml:space="preserve">, which </w:t>
      </w:r>
      <w:r w:rsidR="00336EBE">
        <w:rPr>
          <w:rFonts w:ascii="Century Schoolbook" w:hAnsi="Century Schoolbook"/>
          <w:bCs/>
          <w:szCs w:val="26"/>
        </w:rPr>
        <w:t xml:space="preserve">includes the conviction </w:t>
      </w:r>
      <w:r w:rsidRPr="00CC7360">
        <w:rPr>
          <w:rFonts w:ascii="Century Schoolbook" w:hAnsi="Century Schoolbook"/>
          <w:bCs/>
          <w:szCs w:val="26"/>
        </w:rPr>
        <w:t xml:space="preserve">offense </w:t>
      </w:r>
      <w:r w:rsidR="00340AAA">
        <w:rPr>
          <w:rFonts w:ascii="Century Schoolbook" w:hAnsi="Century Schoolbook"/>
          <w:bCs/>
          <w:szCs w:val="26"/>
        </w:rPr>
        <w:t xml:space="preserve">here, </w:t>
      </w:r>
      <w:r w:rsidRPr="00CC7360">
        <w:rPr>
          <w:rFonts w:ascii="Century Schoolbook" w:hAnsi="Century Schoolbook"/>
          <w:bCs/>
          <w:szCs w:val="26"/>
        </w:rPr>
        <w:t>state that California’s waters are “treasured environmental and economic resources that the state cannot afford to place at undue risk from an oil spill,” and oil spills are “extremely expensive because of the need to clean up discharged oil, protect sensitive environmental areas, and restore ecosystem damage.”  (Gov. Code, § 8670.2, subds. (e)</w:t>
      </w:r>
      <w:r w:rsidR="00954754">
        <w:rPr>
          <w:rFonts w:ascii="Century Schoolbook" w:hAnsi="Century Schoolbook"/>
          <w:bCs/>
          <w:szCs w:val="26"/>
        </w:rPr>
        <w:t xml:space="preserve"> </w:t>
      </w:r>
      <w:r w:rsidRPr="00CC7360">
        <w:rPr>
          <w:rFonts w:ascii="Century Schoolbook" w:hAnsi="Century Schoolbook"/>
          <w:bCs/>
          <w:szCs w:val="26"/>
        </w:rPr>
        <w:t>&amp; (h).)</w:t>
      </w:r>
      <w:r w:rsidR="00CF5CA7">
        <w:rPr>
          <w:rFonts w:ascii="Century Schoolbook" w:hAnsi="Century Schoolbook"/>
          <w:bCs/>
          <w:szCs w:val="26"/>
        </w:rPr>
        <w:t xml:space="preserve">  </w:t>
      </w:r>
      <w:r w:rsidR="000A0EFB">
        <w:rPr>
          <w:rFonts w:ascii="Century Schoolbook" w:hAnsi="Century Schoolbook"/>
          <w:bCs/>
          <w:szCs w:val="26"/>
        </w:rPr>
        <w:t>“</w:t>
      </w:r>
      <w:r w:rsidRPr="000A0EFB" w:rsidR="000A0EFB">
        <w:rPr>
          <w:rFonts w:ascii="Century Schoolbook" w:hAnsi="Century Schoolbook"/>
          <w:bCs/>
          <w:szCs w:val="26"/>
        </w:rPr>
        <w:t>The purpose of this bill</w:t>
      </w:r>
      <w:r w:rsidR="000A0EFB">
        <w:rPr>
          <w:rFonts w:ascii="Century Schoolbook" w:hAnsi="Century Schoolbook"/>
          <w:bCs/>
          <w:szCs w:val="26"/>
        </w:rPr>
        <w:t xml:space="preserve"> [was]</w:t>
      </w:r>
      <w:r w:rsidRPr="000A0EFB" w:rsidR="000A0EFB">
        <w:rPr>
          <w:rFonts w:ascii="Century Schoolbook" w:hAnsi="Century Schoolbook"/>
          <w:bCs/>
          <w:szCs w:val="26"/>
        </w:rPr>
        <w:t xml:space="preserve"> to enact a comprehensive plan </w:t>
      </w:r>
      <w:r w:rsidR="000A0EFB">
        <w:rPr>
          <w:rFonts w:ascii="Century Schoolbook" w:hAnsi="Century Schoolbook"/>
          <w:bCs/>
          <w:szCs w:val="26"/>
        </w:rPr>
        <w:t>[to]</w:t>
      </w:r>
      <w:r w:rsidRPr="000A0EFB" w:rsidR="000A0EFB">
        <w:rPr>
          <w:rFonts w:ascii="Century Schoolbook" w:hAnsi="Century Schoolbook"/>
          <w:bCs/>
          <w:szCs w:val="26"/>
        </w:rPr>
        <w:t xml:space="preserve"> allow the state to respond quickly, efficiently, and effectively to oil spills in marine waters.</w:t>
      </w:r>
      <w:r w:rsidR="000A0EFB">
        <w:rPr>
          <w:rFonts w:ascii="Century Schoolbook" w:hAnsi="Century Schoolbook"/>
          <w:bCs/>
          <w:szCs w:val="26"/>
        </w:rPr>
        <w:t>”  (</w:t>
      </w:r>
      <w:r w:rsidR="003A2711">
        <w:rPr>
          <w:rFonts w:ascii="Century Schoolbook" w:hAnsi="Century Schoolbook"/>
          <w:bCs/>
          <w:szCs w:val="26"/>
        </w:rPr>
        <w:t>Sen. Com. on Judiciary, Analysis of Sen. Bill No. 2040 (</w:t>
      </w:r>
      <w:r w:rsidR="00C02F45">
        <w:rPr>
          <w:rFonts w:ascii="Century Schoolbook" w:hAnsi="Century Schoolbook"/>
          <w:bCs/>
          <w:szCs w:val="26"/>
        </w:rPr>
        <w:t xml:space="preserve">1989-1990 Reg. Sess.) as amended Apr. </w:t>
      </w:r>
      <w:r w:rsidR="00765ABC">
        <w:rPr>
          <w:rFonts w:ascii="Century Schoolbook" w:hAnsi="Century Schoolbook"/>
          <w:bCs/>
          <w:szCs w:val="26"/>
        </w:rPr>
        <w:t>2</w:t>
      </w:r>
      <w:r w:rsidR="0088198F">
        <w:rPr>
          <w:rFonts w:ascii="Century Schoolbook" w:hAnsi="Century Schoolbook"/>
          <w:bCs/>
          <w:szCs w:val="26"/>
        </w:rPr>
        <w:t>3</w:t>
      </w:r>
      <w:r w:rsidR="00C02F45">
        <w:rPr>
          <w:rFonts w:ascii="Century Schoolbook" w:hAnsi="Century Schoolbook"/>
          <w:bCs/>
          <w:szCs w:val="26"/>
        </w:rPr>
        <w:t xml:space="preserve">, 1990, p. </w:t>
      </w:r>
      <w:r w:rsidR="006B2828">
        <w:rPr>
          <w:rFonts w:ascii="Century Schoolbook" w:hAnsi="Century Schoolbook"/>
          <w:bCs/>
          <w:szCs w:val="26"/>
        </w:rPr>
        <w:t>3</w:t>
      </w:r>
      <w:r w:rsidR="00C02F45">
        <w:rPr>
          <w:rFonts w:ascii="Century Schoolbook" w:hAnsi="Century Schoolbook"/>
          <w:bCs/>
          <w:szCs w:val="26"/>
        </w:rPr>
        <w:t>.</w:t>
      </w:r>
      <w:r w:rsidR="006760B8">
        <w:rPr>
          <w:rFonts w:ascii="Century Schoolbook" w:hAnsi="Century Schoolbook"/>
          <w:bCs/>
          <w:szCs w:val="26"/>
        </w:rPr>
        <w:t xml:space="preserve">)  </w:t>
      </w:r>
      <w:r w:rsidR="00B228CF">
        <w:rPr>
          <w:rFonts w:ascii="Century Schoolbook" w:hAnsi="Century Schoolbook"/>
          <w:bCs/>
          <w:szCs w:val="26"/>
        </w:rPr>
        <w:t>OSPRA</w:t>
      </w:r>
      <w:r w:rsidR="00FF52CC">
        <w:rPr>
          <w:rFonts w:ascii="Century Schoolbook" w:hAnsi="Century Schoolbook"/>
          <w:bCs/>
          <w:szCs w:val="26"/>
        </w:rPr>
        <w:t xml:space="preserve"> </w:t>
      </w:r>
      <w:r w:rsidR="00B228CF">
        <w:rPr>
          <w:rFonts w:ascii="Century Schoolbook" w:hAnsi="Century Schoolbook"/>
          <w:bCs/>
          <w:szCs w:val="26"/>
        </w:rPr>
        <w:t xml:space="preserve">was </w:t>
      </w:r>
      <w:r w:rsidR="000B5E5F">
        <w:rPr>
          <w:rFonts w:ascii="Century Schoolbook" w:hAnsi="Century Schoolbook"/>
          <w:bCs/>
          <w:szCs w:val="26"/>
        </w:rPr>
        <w:t>intended to</w:t>
      </w:r>
      <w:r w:rsidR="00DD62F9">
        <w:rPr>
          <w:rFonts w:ascii="Century Schoolbook" w:hAnsi="Century Schoolbook"/>
          <w:bCs/>
          <w:szCs w:val="26"/>
        </w:rPr>
        <w:t xml:space="preserve"> “provide urgently needed protection for the waters of California.”  (Stats. </w:t>
      </w:r>
      <w:r w:rsidR="00C119F3">
        <w:rPr>
          <w:rFonts w:ascii="Century Schoolbook" w:hAnsi="Century Schoolbook"/>
          <w:bCs/>
          <w:szCs w:val="26"/>
        </w:rPr>
        <w:t>1990, ch.</w:t>
      </w:r>
      <w:r w:rsidR="00433EE6">
        <w:rPr>
          <w:rFonts w:ascii="Century Schoolbook" w:hAnsi="Century Schoolbook"/>
          <w:bCs/>
          <w:szCs w:val="26"/>
        </w:rPr>
        <w:t xml:space="preserve"> </w:t>
      </w:r>
      <w:r w:rsidR="00C119F3">
        <w:rPr>
          <w:rFonts w:ascii="Century Schoolbook" w:hAnsi="Century Schoolbook"/>
          <w:bCs/>
          <w:szCs w:val="26"/>
        </w:rPr>
        <w:t>1248, §</w:t>
      </w:r>
      <w:r w:rsidR="00433EE6">
        <w:rPr>
          <w:rFonts w:ascii="Century Schoolbook" w:hAnsi="Century Schoolbook"/>
          <w:bCs/>
          <w:szCs w:val="26"/>
        </w:rPr>
        <w:t> </w:t>
      </w:r>
      <w:r w:rsidR="00C119F3">
        <w:rPr>
          <w:rFonts w:ascii="Century Schoolbook" w:hAnsi="Century Schoolbook"/>
          <w:bCs/>
          <w:szCs w:val="26"/>
        </w:rPr>
        <w:t>2</w:t>
      </w:r>
      <w:r w:rsidR="00DA17EE">
        <w:rPr>
          <w:rFonts w:ascii="Century Schoolbook" w:hAnsi="Century Schoolbook"/>
          <w:bCs/>
          <w:szCs w:val="26"/>
        </w:rPr>
        <w:t>5</w:t>
      </w:r>
      <w:r w:rsidR="00433EE6">
        <w:rPr>
          <w:rFonts w:ascii="Century Schoolbook" w:hAnsi="Century Schoolbook"/>
          <w:bCs/>
          <w:szCs w:val="26"/>
        </w:rPr>
        <w:t xml:space="preserve">, </w:t>
      </w:r>
      <w:r w:rsidR="00DA17EE">
        <w:rPr>
          <w:rFonts w:ascii="Century Schoolbook" w:hAnsi="Century Schoolbook"/>
          <w:bCs/>
          <w:szCs w:val="26"/>
        </w:rPr>
        <w:t>p. 5258</w:t>
      </w:r>
      <w:r w:rsidR="00C119F3">
        <w:rPr>
          <w:rFonts w:ascii="Century Schoolbook" w:hAnsi="Century Schoolbook"/>
          <w:bCs/>
          <w:szCs w:val="26"/>
        </w:rPr>
        <w:t>.)</w:t>
      </w:r>
      <w:r w:rsidR="00F74A2C">
        <w:rPr>
          <w:rFonts w:ascii="Century Schoolbook" w:hAnsi="Century Schoolbook"/>
          <w:bCs/>
          <w:szCs w:val="26"/>
        </w:rPr>
        <w:t xml:space="preserve">  </w:t>
      </w:r>
      <w:r w:rsidR="000B5E5F">
        <w:rPr>
          <w:rFonts w:ascii="Century Schoolbook" w:hAnsi="Century Schoolbook"/>
          <w:bCs/>
          <w:szCs w:val="26"/>
        </w:rPr>
        <w:t xml:space="preserve">Its purpose </w:t>
      </w:r>
      <w:r w:rsidR="004D777E">
        <w:rPr>
          <w:rFonts w:ascii="Century Schoolbook" w:hAnsi="Century Schoolbook"/>
          <w:bCs/>
          <w:szCs w:val="26"/>
        </w:rPr>
        <w:t>was</w:t>
      </w:r>
      <w:r w:rsidR="00F74A2C">
        <w:rPr>
          <w:rFonts w:ascii="Century Schoolbook" w:hAnsi="Century Schoolbook"/>
          <w:bCs/>
          <w:szCs w:val="26"/>
        </w:rPr>
        <w:t xml:space="preserve"> not </w:t>
      </w:r>
      <w:r w:rsidR="004315A1">
        <w:rPr>
          <w:rFonts w:ascii="Century Schoolbook" w:hAnsi="Century Schoolbook"/>
          <w:bCs/>
          <w:szCs w:val="26"/>
        </w:rPr>
        <w:t xml:space="preserve">to reimburse </w:t>
      </w:r>
      <w:r w:rsidR="00D42AE1">
        <w:rPr>
          <w:rFonts w:ascii="Century Schoolbook" w:hAnsi="Century Schoolbook"/>
          <w:bCs/>
          <w:szCs w:val="26"/>
        </w:rPr>
        <w:t xml:space="preserve">oil industry workers for </w:t>
      </w:r>
      <w:r w:rsidR="004315A1">
        <w:rPr>
          <w:rFonts w:ascii="Century Schoolbook" w:hAnsi="Century Schoolbook"/>
          <w:bCs/>
          <w:szCs w:val="26"/>
        </w:rPr>
        <w:t xml:space="preserve">economic losses </w:t>
      </w:r>
      <w:r w:rsidR="00992262">
        <w:rPr>
          <w:rFonts w:ascii="Century Schoolbook" w:hAnsi="Century Schoolbook"/>
          <w:bCs/>
          <w:szCs w:val="26"/>
        </w:rPr>
        <w:t xml:space="preserve">resulting from </w:t>
      </w:r>
      <w:r w:rsidR="00F266BE">
        <w:rPr>
          <w:rFonts w:ascii="Century Schoolbook" w:hAnsi="Century Schoolbook"/>
          <w:bCs/>
          <w:szCs w:val="26"/>
        </w:rPr>
        <w:t>shutting</w:t>
      </w:r>
      <w:r w:rsidR="00992262">
        <w:rPr>
          <w:rFonts w:ascii="Century Schoolbook" w:hAnsi="Century Schoolbook"/>
          <w:bCs/>
          <w:szCs w:val="26"/>
        </w:rPr>
        <w:t xml:space="preserve"> </w:t>
      </w:r>
      <w:r w:rsidR="00D42AE1">
        <w:rPr>
          <w:rFonts w:ascii="Century Schoolbook" w:hAnsi="Century Schoolbook"/>
          <w:bCs/>
          <w:szCs w:val="26"/>
        </w:rPr>
        <w:t>the</w:t>
      </w:r>
      <w:r w:rsidR="00992262">
        <w:rPr>
          <w:rFonts w:ascii="Century Schoolbook" w:hAnsi="Century Schoolbook"/>
          <w:bCs/>
          <w:szCs w:val="26"/>
        </w:rPr>
        <w:t xml:space="preserve"> pipeline</w:t>
      </w:r>
      <w:r w:rsidR="00D42AE1">
        <w:rPr>
          <w:rFonts w:ascii="Century Schoolbook" w:hAnsi="Century Schoolbook"/>
          <w:bCs/>
          <w:szCs w:val="26"/>
        </w:rPr>
        <w:t>s</w:t>
      </w:r>
      <w:r w:rsidR="00786078">
        <w:rPr>
          <w:rFonts w:ascii="Century Schoolbook" w:hAnsi="Century Schoolbook"/>
          <w:bCs/>
          <w:szCs w:val="26"/>
        </w:rPr>
        <w:t xml:space="preserve"> and oil platform operators’ decisions to close their platforms</w:t>
      </w:r>
      <w:r w:rsidR="00992262">
        <w:rPr>
          <w:rFonts w:ascii="Century Schoolbook" w:hAnsi="Century Schoolbook"/>
          <w:bCs/>
          <w:szCs w:val="26"/>
        </w:rPr>
        <w:t>.</w:t>
      </w:r>
    </w:p>
    <w:p w:rsidR="00B52DFC" w:rsidRPr="00B52DFC" w:rsidP="00B52DFC" w14:paraId="1B9606DB" w14:textId="57AF696C">
      <w:pPr>
        <w:spacing w:line="288" w:lineRule="auto"/>
        <w:ind w:firstLine="720"/>
        <w:rPr>
          <w:rFonts w:ascii="Century Schoolbook" w:hAnsi="Century Schoolbook"/>
          <w:bCs/>
          <w:szCs w:val="26"/>
        </w:rPr>
      </w:pPr>
      <w:r w:rsidRPr="00B52DFC">
        <w:rPr>
          <w:rFonts w:ascii="Century Schoolbook" w:hAnsi="Century Schoolbook"/>
          <w:bCs/>
          <w:szCs w:val="26"/>
        </w:rPr>
        <w:t xml:space="preserve">When the </w:t>
      </w:r>
      <w:r w:rsidR="003D683C">
        <w:rPr>
          <w:rFonts w:ascii="Century Schoolbook" w:hAnsi="Century Schoolbook"/>
          <w:bCs/>
          <w:szCs w:val="26"/>
        </w:rPr>
        <w:t xml:space="preserve">electorate enacted the </w:t>
      </w:r>
      <w:r w:rsidRPr="00B52DFC">
        <w:rPr>
          <w:rFonts w:ascii="Century Schoolbook" w:hAnsi="Century Schoolbook"/>
          <w:bCs/>
          <w:szCs w:val="26"/>
        </w:rPr>
        <w:t xml:space="preserve">restitution provision of </w:t>
      </w:r>
      <w:r w:rsidR="00131AB6">
        <w:rPr>
          <w:rFonts w:ascii="Century Schoolbook" w:hAnsi="Century Schoolbook"/>
          <w:bCs/>
          <w:szCs w:val="26"/>
        </w:rPr>
        <w:t xml:space="preserve">our </w:t>
      </w:r>
      <w:r w:rsidRPr="00B52DFC">
        <w:rPr>
          <w:rFonts w:ascii="Century Schoolbook" w:hAnsi="Century Schoolbook"/>
          <w:bCs/>
          <w:szCs w:val="26"/>
        </w:rPr>
        <w:t>Constitution,</w:t>
      </w:r>
      <w:r w:rsidR="003D683C">
        <w:rPr>
          <w:rFonts w:ascii="Century Schoolbook" w:hAnsi="Century Schoolbook"/>
          <w:bCs/>
          <w:szCs w:val="26"/>
        </w:rPr>
        <w:t xml:space="preserve"> it</w:t>
      </w:r>
      <w:r w:rsidRPr="00B52DFC">
        <w:rPr>
          <w:rFonts w:ascii="Century Schoolbook" w:hAnsi="Century Schoolbook"/>
          <w:bCs/>
          <w:szCs w:val="26"/>
        </w:rPr>
        <w:t xml:space="preserve"> “was concerned with . . . victims as ordinarily understood, i.e., those </w:t>
      </w:r>
      <w:r w:rsidRPr="00B52DFC">
        <w:rPr>
          <w:rFonts w:ascii="Century Schoolbook" w:hAnsi="Century Schoolbook"/>
          <w:bCs/>
          <w:i/>
          <w:iCs/>
          <w:szCs w:val="26"/>
        </w:rPr>
        <w:t>against whom</w:t>
      </w:r>
      <w:r w:rsidRPr="00B52DFC">
        <w:rPr>
          <w:rFonts w:ascii="Century Schoolbook" w:hAnsi="Century Schoolbook"/>
          <w:bCs/>
          <w:szCs w:val="26"/>
        </w:rPr>
        <w:t xml:space="preserve"> crimes had been committed.”  (</w:t>
      </w:r>
      <w:r w:rsidRPr="00B52DFC">
        <w:rPr>
          <w:rFonts w:ascii="Century Schoolbook" w:hAnsi="Century Schoolbook"/>
          <w:bCs/>
          <w:i/>
          <w:iCs/>
          <w:szCs w:val="26"/>
        </w:rPr>
        <w:t>Birkett</w:t>
      </w:r>
      <w:r w:rsidRPr="00B52DFC">
        <w:rPr>
          <w:rFonts w:ascii="Century Schoolbook" w:hAnsi="Century Schoolbook"/>
          <w:bCs/>
          <w:szCs w:val="26"/>
        </w:rPr>
        <w:t xml:space="preserve">, </w:t>
      </w:r>
      <w:r w:rsidRPr="00B52DFC">
        <w:rPr>
          <w:rFonts w:ascii="Century Schoolbook" w:hAnsi="Century Schoolbook"/>
          <w:bCs/>
          <w:i/>
          <w:iCs/>
          <w:szCs w:val="26"/>
        </w:rPr>
        <w:t>supra</w:t>
      </w:r>
      <w:r w:rsidRPr="00B52DFC">
        <w:rPr>
          <w:rFonts w:ascii="Century Schoolbook" w:hAnsi="Century Schoolbook"/>
          <w:bCs/>
          <w:szCs w:val="26"/>
        </w:rPr>
        <w:t xml:space="preserve">, 21 Cal.4th at p. 243, italics added.)  “Insofar as the voters focused on restitution when adopting Proposition 8, it thus seems clear they were concerned with the straightforward principle that those who had suffered loss from </w:t>
      </w:r>
      <w:r w:rsidRPr="00B52DFC">
        <w:rPr>
          <w:rFonts w:ascii="Century Schoolbook" w:hAnsi="Century Schoolbook"/>
          <w:bCs/>
          <w:i/>
          <w:iCs/>
          <w:szCs w:val="26"/>
        </w:rPr>
        <w:t>crimes committed against them</w:t>
      </w:r>
      <w:r w:rsidRPr="00B52DFC">
        <w:rPr>
          <w:rFonts w:ascii="Century Schoolbook" w:hAnsi="Century Schoolbook"/>
          <w:bCs/>
          <w:szCs w:val="26"/>
        </w:rPr>
        <w:t xml:space="preserve"> should have the right to reparation from the crimes’ perpetrators.  Nothing indicates the electorate intended to encompass each and every economic consequence that might incidentally be incurred by persons or entities</w:t>
      </w:r>
      <w:r w:rsidR="00555A9E">
        <w:rPr>
          <w:rFonts w:ascii="Century Schoolbook" w:hAnsi="Century Schoolbook"/>
          <w:bCs/>
          <w:szCs w:val="26"/>
        </w:rPr>
        <w:t>.</w:t>
      </w:r>
      <w:r w:rsidR="00A50543">
        <w:rPr>
          <w:rFonts w:ascii="Century Schoolbook" w:hAnsi="Century Schoolbook"/>
          <w:bCs/>
          <w:szCs w:val="26"/>
        </w:rPr>
        <w:t>”</w:t>
      </w:r>
      <w:r w:rsidRPr="00B52DFC">
        <w:rPr>
          <w:rFonts w:ascii="Century Schoolbook" w:hAnsi="Century Schoolbook"/>
          <w:bCs/>
          <w:szCs w:val="26"/>
        </w:rPr>
        <w:t xml:space="preserve">  (</w:t>
      </w:r>
      <w:r w:rsidRPr="00A355C9" w:rsidR="008723B1">
        <w:rPr>
          <w:rFonts w:ascii="Century Schoolbook" w:hAnsi="Century Schoolbook"/>
          <w:bCs/>
          <w:i/>
          <w:iCs/>
          <w:szCs w:val="26"/>
        </w:rPr>
        <w:t>Id</w:t>
      </w:r>
      <w:r w:rsidR="008723B1">
        <w:rPr>
          <w:rFonts w:ascii="Century Schoolbook" w:hAnsi="Century Schoolbook"/>
          <w:bCs/>
          <w:szCs w:val="26"/>
        </w:rPr>
        <w:t xml:space="preserve">. </w:t>
      </w:r>
      <w:r w:rsidRPr="00B52DFC">
        <w:rPr>
          <w:rFonts w:ascii="Century Schoolbook" w:hAnsi="Century Schoolbook"/>
          <w:bCs/>
          <w:szCs w:val="26"/>
        </w:rPr>
        <w:t>at p. 244, italics added.)  And when the Legislature amended Penal Code section 1202.4, it “foreclose[d] such entitlement by persons whose losses arose only as a result of crimes committed against others.”  (</w:t>
      </w:r>
      <w:r w:rsidR="00944553">
        <w:rPr>
          <w:rFonts w:ascii="Century Schoolbook" w:hAnsi="Century Schoolbook"/>
          <w:bCs/>
          <w:i/>
          <w:iCs/>
          <w:szCs w:val="26"/>
        </w:rPr>
        <w:t>Birkett</w:t>
      </w:r>
      <w:r w:rsidRPr="00CC0D15" w:rsidR="00944553">
        <w:rPr>
          <w:rFonts w:ascii="Century Schoolbook" w:hAnsi="Century Schoolbook"/>
          <w:bCs/>
          <w:szCs w:val="26"/>
        </w:rPr>
        <w:t xml:space="preserve">, </w:t>
      </w:r>
      <w:r w:rsidRPr="00B52DFC">
        <w:rPr>
          <w:rFonts w:ascii="Century Schoolbook" w:hAnsi="Century Schoolbook"/>
          <w:bCs/>
          <w:szCs w:val="26"/>
        </w:rPr>
        <w:t>at p. 243</w:t>
      </w:r>
      <w:r w:rsidRPr="00CC0D15">
        <w:rPr>
          <w:rFonts w:ascii="Century Schoolbook" w:hAnsi="Century Schoolbook"/>
          <w:bCs/>
          <w:szCs w:val="26"/>
        </w:rPr>
        <w:t>.</w:t>
      </w:r>
      <w:r w:rsidRPr="00B52DFC">
        <w:rPr>
          <w:rFonts w:ascii="Century Schoolbook" w:hAnsi="Century Schoolbook"/>
          <w:bCs/>
          <w:szCs w:val="26"/>
        </w:rPr>
        <w:t xml:space="preserve">)  Accordingly, </w:t>
      </w:r>
      <w:r w:rsidRPr="00B52DFC">
        <w:rPr>
          <w:rFonts w:ascii="Century Schoolbook" w:hAnsi="Century Schoolbook"/>
          <w:bCs/>
          <w:i/>
          <w:iCs/>
          <w:szCs w:val="26"/>
        </w:rPr>
        <w:t>Birkett</w:t>
      </w:r>
      <w:r w:rsidRPr="00B52DFC">
        <w:rPr>
          <w:rFonts w:ascii="Century Schoolbook" w:hAnsi="Century Schoolbook"/>
          <w:bCs/>
          <w:szCs w:val="26"/>
        </w:rPr>
        <w:t xml:space="preserve"> concluded that insurance companies that reimbursed owners of stolen vehicles were not “victims” entitled to restitution.  (</w:t>
      </w:r>
      <w:r w:rsidRPr="00B52DFC">
        <w:rPr>
          <w:rFonts w:ascii="Century Schoolbook" w:hAnsi="Century Schoolbook"/>
          <w:bCs/>
          <w:i/>
          <w:iCs/>
          <w:szCs w:val="26"/>
        </w:rPr>
        <w:t>Id</w:t>
      </w:r>
      <w:r w:rsidRPr="00B52DFC">
        <w:rPr>
          <w:rFonts w:ascii="Century Schoolbook" w:hAnsi="Century Schoolbook"/>
          <w:bCs/>
          <w:szCs w:val="26"/>
        </w:rPr>
        <w:t xml:space="preserve">. at p. 229.)  </w:t>
      </w:r>
    </w:p>
    <w:p w:rsidR="00B52DFC" w:rsidRPr="00B52DFC" w:rsidP="00B52DFC" w14:paraId="6591C192" w14:textId="3FF89C49">
      <w:pPr>
        <w:spacing w:line="288" w:lineRule="auto"/>
        <w:ind w:firstLine="720"/>
        <w:rPr>
          <w:rFonts w:ascii="Century Schoolbook" w:hAnsi="Century Schoolbook"/>
          <w:bCs/>
          <w:szCs w:val="26"/>
        </w:rPr>
      </w:pPr>
      <w:r w:rsidRPr="00B52DFC">
        <w:rPr>
          <w:rFonts w:ascii="Century Schoolbook" w:hAnsi="Century Schoolbook"/>
          <w:bCs/>
          <w:szCs w:val="26"/>
        </w:rPr>
        <w:t xml:space="preserve">Our Supreme Court followed </w:t>
      </w:r>
      <w:r w:rsidRPr="00B52DFC">
        <w:rPr>
          <w:rFonts w:ascii="Century Schoolbook" w:hAnsi="Century Schoolbook"/>
          <w:bCs/>
          <w:i/>
          <w:iCs/>
          <w:szCs w:val="26"/>
        </w:rPr>
        <w:t>Birkett</w:t>
      </w:r>
      <w:r w:rsidRPr="00B52DFC">
        <w:rPr>
          <w:rFonts w:ascii="Century Schoolbook" w:hAnsi="Century Schoolbook"/>
          <w:bCs/>
          <w:szCs w:val="26"/>
        </w:rPr>
        <w:t xml:space="preserve"> in </w:t>
      </w:r>
      <w:r w:rsidRPr="00B52DFC">
        <w:rPr>
          <w:rFonts w:ascii="Century Schoolbook" w:hAnsi="Century Schoolbook"/>
          <w:bCs/>
          <w:i/>
          <w:iCs/>
          <w:szCs w:val="26"/>
        </w:rPr>
        <w:t>People v. Runyan</w:t>
      </w:r>
      <w:r w:rsidRPr="00B52DFC">
        <w:rPr>
          <w:rFonts w:ascii="Century Schoolbook" w:hAnsi="Century Schoolbook"/>
          <w:bCs/>
          <w:szCs w:val="26"/>
        </w:rPr>
        <w:t xml:space="preserve"> (2012) 54 Cal.4th 849, conclud</w:t>
      </w:r>
      <w:r w:rsidR="00131AB6">
        <w:rPr>
          <w:rFonts w:ascii="Century Schoolbook" w:hAnsi="Century Schoolbook"/>
          <w:bCs/>
          <w:szCs w:val="26"/>
        </w:rPr>
        <w:t>ing</w:t>
      </w:r>
      <w:r w:rsidRPr="00B52DFC">
        <w:rPr>
          <w:rFonts w:ascii="Century Schoolbook" w:hAnsi="Century Schoolbook"/>
          <w:bCs/>
          <w:szCs w:val="26"/>
        </w:rPr>
        <w:t xml:space="preserve"> the estate of a vehicular homicide victim was not entitled to restitution for the loss in value of its assets.  (</w:t>
      </w:r>
      <w:r w:rsidRPr="00B52DFC">
        <w:rPr>
          <w:rFonts w:ascii="Century Schoolbook" w:hAnsi="Century Schoolbook"/>
          <w:bCs/>
          <w:i/>
          <w:iCs/>
          <w:szCs w:val="26"/>
        </w:rPr>
        <w:t>Id</w:t>
      </w:r>
      <w:r w:rsidRPr="00B52DFC">
        <w:rPr>
          <w:rFonts w:ascii="Century Schoolbook" w:hAnsi="Century Schoolbook"/>
          <w:bCs/>
          <w:szCs w:val="26"/>
        </w:rPr>
        <w:t>. at p. 857.)  The court stated, “[T]he estate is not an entity against which defendant committed his alcohol</w:t>
      </w:r>
      <w:r w:rsidR="00137C79">
        <w:rPr>
          <w:rFonts w:ascii="Century Schoolbook" w:hAnsi="Century Schoolbook"/>
          <w:bCs/>
          <w:szCs w:val="26"/>
        </w:rPr>
        <w:noBreakHyphen/>
      </w:r>
      <w:r w:rsidRPr="00B52DFC">
        <w:rPr>
          <w:rFonts w:ascii="Century Schoolbook" w:hAnsi="Century Schoolbook"/>
          <w:bCs/>
          <w:szCs w:val="26"/>
        </w:rPr>
        <w:t>related offenses of vehicular homicide and injurious driving, and it was not the immediate object of those offenses.”  (</w:t>
      </w:r>
      <w:r w:rsidRPr="00B52DFC">
        <w:rPr>
          <w:rFonts w:ascii="Century Schoolbook" w:hAnsi="Century Schoolbook"/>
          <w:bCs/>
          <w:i/>
          <w:iCs/>
          <w:szCs w:val="26"/>
        </w:rPr>
        <w:t>Ibid</w:t>
      </w:r>
      <w:r w:rsidRPr="00B52DFC">
        <w:rPr>
          <w:rFonts w:ascii="Century Schoolbook" w:hAnsi="Century Schoolbook"/>
          <w:bCs/>
          <w:szCs w:val="26"/>
        </w:rPr>
        <w:t xml:space="preserve">.)  </w:t>
      </w:r>
      <w:r w:rsidRPr="00376D6A" w:rsidR="00131AB6">
        <w:rPr>
          <w:rFonts w:ascii="Century Schoolbook" w:hAnsi="Century Schoolbook"/>
          <w:bCs/>
          <w:i/>
          <w:iCs/>
          <w:szCs w:val="26"/>
        </w:rPr>
        <w:t>Runyan</w:t>
      </w:r>
      <w:r w:rsidR="00131AB6">
        <w:rPr>
          <w:rFonts w:ascii="Century Schoolbook" w:hAnsi="Century Schoolbook"/>
          <w:bCs/>
          <w:szCs w:val="26"/>
        </w:rPr>
        <w:t xml:space="preserve"> </w:t>
      </w:r>
      <w:r w:rsidRPr="00B52DFC">
        <w:rPr>
          <w:rFonts w:ascii="Century Schoolbook" w:hAnsi="Century Schoolbook"/>
          <w:bCs/>
          <w:szCs w:val="26"/>
        </w:rPr>
        <w:t>reasoned that the estate was not “directly targeted and victimized by defendant’s crimes.”  (</w:t>
      </w:r>
      <w:r w:rsidRPr="00B52DFC">
        <w:rPr>
          <w:rFonts w:ascii="Century Schoolbook" w:hAnsi="Century Schoolbook"/>
          <w:bCs/>
          <w:i/>
          <w:iCs/>
          <w:szCs w:val="26"/>
        </w:rPr>
        <w:t>Ibid</w:t>
      </w:r>
      <w:r w:rsidRPr="00B52DFC">
        <w:rPr>
          <w:rFonts w:ascii="Century Schoolbook" w:hAnsi="Century Schoolbook"/>
          <w:bCs/>
          <w:szCs w:val="26"/>
        </w:rPr>
        <w:t>.)</w:t>
      </w:r>
    </w:p>
    <w:p w:rsidR="00B52DFC" w:rsidP="00B52DFC" w14:paraId="23BBD8DB" w14:textId="3CF9B099">
      <w:pPr>
        <w:spacing w:line="288" w:lineRule="auto"/>
        <w:ind w:firstLine="720"/>
        <w:rPr>
          <w:rFonts w:ascii="Century Schoolbook" w:hAnsi="Century Schoolbook"/>
          <w:szCs w:val="26"/>
        </w:rPr>
      </w:pPr>
      <w:r w:rsidRPr="00B52DFC">
        <w:rPr>
          <w:rFonts w:ascii="Century Schoolbook" w:hAnsi="Century Schoolbook"/>
          <w:szCs w:val="26"/>
        </w:rPr>
        <w:t xml:space="preserve">The People rely upon </w:t>
      </w:r>
      <w:r w:rsidRPr="00B52DFC">
        <w:rPr>
          <w:rFonts w:ascii="Century Schoolbook" w:hAnsi="Century Schoolbook"/>
          <w:i/>
          <w:iCs/>
          <w:szCs w:val="26"/>
        </w:rPr>
        <w:t>People v. Broussard</w:t>
      </w:r>
      <w:r w:rsidRPr="00B52DFC">
        <w:rPr>
          <w:rFonts w:ascii="Century Schoolbook" w:hAnsi="Century Schoolbook"/>
          <w:szCs w:val="26"/>
        </w:rPr>
        <w:t xml:space="preserve"> (1993) 5 Cal.4th 1067, 107</w:t>
      </w:r>
      <w:r w:rsidR="000E2D60">
        <w:rPr>
          <w:rFonts w:ascii="Century Schoolbook" w:hAnsi="Century Schoolbook"/>
          <w:szCs w:val="26"/>
        </w:rPr>
        <w:t>5</w:t>
      </w:r>
      <w:r w:rsidRPr="00B52DFC">
        <w:rPr>
          <w:rFonts w:ascii="Century Schoolbook" w:hAnsi="Century Schoolbook"/>
          <w:szCs w:val="26"/>
        </w:rPr>
        <w:t xml:space="preserve">, which stated that “the Legislature intended the word ‘victim,’ as used in subdivision (c) of [former Government Code] section 13967, to include </w:t>
      </w:r>
      <w:r w:rsidRPr="00B52DFC">
        <w:rPr>
          <w:rFonts w:ascii="Century Schoolbook" w:hAnsi="Century Schoolbook"/>
          <w:i/>
          <w:iCs/>
          <w:szCs w:val="26"/>
        </w:rPr>
        <w:t>anyone</w:t>
      </w:r>
      <w:r w:rsidRPr="00B52DFC">
        <w:rPr>
          <w:rFonts w:ascii="Century Schoolbook" w:hAnsi="Century Schoolbook"/>
          <w:szCs w:val="26"/>
        </w:rPr>
        <w:t xml:space="preserve"> who </w:t>
      </w:r>
      <w:r w:rsidR="00960073">
        <w:rPr>
          <w:rFonts w:ascii="Century Schoolbook" w:hAnsi="Century Schoolbook"/>
          <w:szCs w:val="26"/>
        </w:rPr>
        <w:t xml:space="preserve">. . . </w:t>
      </w:r>
      <w:r w:rsidRPr="00B52DFC">
        <w:rPr>
          <w:rFonts w:ascii="Century Schoolbook" w:hAnsi="Century Schoolbook"/>
          <w:szCs w:val="26"/>
        </w:rPr>
        <w:t xml:space="preserve">has sustained economic loss resulting from a defendant’s criminal acts.”  (Italics added.)  But the victims there were the owners of property the defendant stole or received.  </w:t>
      </w:r>
      <w:r w:rsidRPr="00EE7FE9" w:rsidR="004233CE">
        <w:rPr>
          <w:rFonts w:ascii="Century Schoolbook" w:hAnsi="Century Schoolbook"/>
          <w:i/>
          <w:iCs/>
          <w:szCs w:val="26"/>
        </w:rPr>
        <w:t>Broussard</w:t>
      </w:r>
      <w:r w:rsidR="004233CE">
        <w:rPr>
          <w:rFonts w:ascii="Century Schoolbook" w:hAnsi="Century Schoolbook"/>
          <w:szCs w:val="26"/>
        </w:rPr>
        <w:t xml:space="preserve"> </w:t>
      </w:r>
      <w:r w:rsidRPr="00B52DFC">
        <w:rPr>
          <w:rFonts w:ascii="Century Schoolbook" w:hAnsi="Century Schoolbook"/>
          <w:szCs w:val="26"/>
        </w:rPr>
        <w:t xml:space="preserve">did not </w:t>
      </w:r>
      <w:r w:rsidR="00962D20">
        <w:rPr>
          <w:rFonts w:ascii="Century Schoolbook" w:hAnsi="Century Schoolbook"/>
          <w:szCs w:val="26"/>
        </w:rPr>
        <w:t xml:space="preserve">examine whether the purported victims </w:t>
      </w:r>
      <w:r w:rsidRPr="00B52DFC">
        <w:rPr>
          <w:rFonts w:ascii="Century Schoolbook" w:hAnsi="Century Schoolbook"/>
          <w:szCs w:val="26"/>
        </w:rPr>
        <w:t xml:space="preserve">in </w:t>
      </w:r>
      <w:r w:rsidRPr="00B52DFC">
        <w:rPr>
          <w:rFonts w:ascii="Century Schoolbook" w:hAnsi="Century Schoolbook"/>
          <w:i/>
          <w:iCs/>
          <w:szCs w:val="26"/>
        </w:rPr>
        <w:t>B</w:t>
      </w:r>
      <w:r w:rsidRPr="00B52DFC">
        <w:rPr>
          <w:rFonts w:ascii="Century Schoolbook" w:hAnsi="Century Schoolbook"/>
          <w:bCs/>
          <w:i/>
          <w:iCs/>
          <w:szCs w:val="26"/>
        </w:rPr>
        <w:t>irkett</w:t>
      </w:r>
      <w:r w:rsidRPr="00CC0D15">
        <w:rPr>
          <w:rFonts w:ascii="Century Schoolbook" w:hAnsi="Century Schoolbook"/>
          <w:bCs/>
          <w:szCs w:val="26"/>
        </w:rPr>
        <w:t xml:space="preserve">, </w:t>
      </w:r>
      <w:r w:rsidRPr="00B52DFC">
        <w:rPr>
          <w:rFonts w:ascii="Century Schoolbook" w:hAnsi="Century Schoolbook"/>
          <w:bCs/>
          <w:i/>
          <w:iCs/>
          <w:szCs w:val="26"/>
        </w:rPr>
        <w:t>supra</w:t>
      </w:r>
      <w:r w:rsidRPr="00B52DFC">
        <w:rPr>
          <w:rFonts w:ascii="Century Schoolbook" w:hAnsi="Century Schoolbook"/>
          <w:bCs/>
          <w:szCs w:val="26"/>
        </w:rPr>
        <w:t xml:space="preserve">, 21 Cal.4th at page 233, </w:t>
      </w:r>
      <w:r w:rsidRPr="00B52DFC">
        <w:rPr>
          <w:rFonts w:ascii="Century Schoolbook" w:hAnsi="Century Schoolbook"/>
          <w:szCs w:val="26"/>
        </w:rPr>
        <w:t xml:space="preserve">and </w:t>
      </w:r>
      <w:r w:rsidRPr="00E228B9" w:rsidR="00CD0828">
        <w:rPr>
          <w:rFonts w:ascii="Century Schoolbook" w:hAnsi="Century Schoolbook"/>
          <w:i/>
          <w:iCs/>
          <w:szCs w:val="26"/>
        </w:rPr>
        <w:t xml:space="preserve">People v. </w:t>
      </w:r>
      <w:r w:rsidRPr="00B52DFC">
        <w:rPr>
          <w:rFonts w:ascii="Century Schoolbook" w:hAnsi="Century Schoolbook"/>
          <w:i/>
          <w:iCs/>
          <w:szCs w:val="26"/>
        </w:rPr>
        <w:t>Runyan</w:t>
      </w:r>
      <w:r w:rsidRPr="00CC0D15">
        <w:rPr>
          <w:rFonts w:ascii="Century Schoolbook" w:hAnsi="Century Schoolbook"/>
          <w:szCs w:val="26"/>
        </w:rPr>
        <w:t xml:space="preserve">, </w:t>
      </w:r>
      <w:r w:rsidRPr="00B52DFC">
        <w:rPr>
          <w:rFonts w:ascii="Century Schoolbook" w:hAnsi="Century Schoolbook"/>
          <w:i/>
          <w:iCs/>
          <w:szCs w:val="26"/>
        </w:rPr>
        <w:t>supra</w:t>
      </w:r>
      <w:r w:rsidRPr="00B52DFC">
        <w:rPr>
          <w:rFonts w:ascii="Century Schoolbook" w:hAnsi="Century Schoolbook"/>
          <w:szCs w:val="26"/>
        </w:rPr>
        <w:t>, 54 Cal.4th at page 857, were immediate objects of the crimes.</w:t>
      </w:r>
    </w:p>
    <w:p w:rsidR="00B52DFC" w:rsidRPr="00B52DFC" w:rsidP="005623DF" w14:paraId="787B02BA" w14:textId="296910FA">
      <w:pPr>
        <w:spacing w:line="288" w:lineRule="auto"/>
        <w:ind w:firstLine="720"/>
        <w:rPr>
          <w:rFonts w:ascii="Century Schoolbook" w:hAnsi="Century Schoolbook"/>
          <w:bCs/>
          <w:szCs w:val="26"/>
        </w:rPr>
      </w:pPr>
      <w:r w:rsidRPr="00962D20">
        <w:rPr>
          <w:rFonts w:ascii="Century Schoolbook" w:hAnsi="Century Schoolbook"/>
          <w:bCs/>
          <w:szCs w:val="26"/>
        </w:rPr>
        <w:t>Restitution is limited to a “ ‘victim,’ ” defined as “a ‘person who is the object of a crime.’ ”  (</w:t>
      </w:r>
      <w:r w:rsidRPr="00962D20">
        <w:rPr>
          <w:rFonts w:ascii="Century Schoolbook" w:hAnsi="Century Schoolbook"/>
          <w:bCs/>
          <w:i/>
          <w:iCs/>
          <w:szCs w:val="26"/>
        </w:rPr>
        <w:t>People v. Crow</w:t>
      </w:r>
      <w:r w:rsidRPr="00962D20">
        <w:rPr>
          <w:rFonts w:ascii="Century Schoolbook" w:hAnsi="Century Schoolbook"/>
          <w:bCs/>
          <w:szCs w:val="26"/>
        </w:rPr>
        <w:t xml:space="preserve"> (1993) 6 Cal.4th 952, 957, quoting Black’s Law Dict. (5th ed. 1979) p. 1405, col. 2.)  The oil industry claimants here were not the objects of the oil spill.  </w:t>
      </w:r>
      <w:r w:rsidR="005623DF">
        <w:rPr>
          <w:rFonts w:ascii="Century Schoolbook" w:hAnsi="Century Schoolbook"/>
          <w:bCs/>
          <w:szCs w:val="26"/>
        </w:rPr>
        <w:t>This</w:t>
      </w:r>
      <w:r w:rsidRPr="00962D20">
        <w:rPr>
          <w:rFonts w:ascii="Century Schoolbook" w:hAnsi="Century Schoolbook"/>
          <w:bCs/>
          <w:szCs w:val="26"/>
        </w:rPr>
        <w:t xml:space="preserve"> crime was committed against the environment, including sea life</w:t>
      </w:r>
      <w:r w:rsidR="000F74B9">
        <w:rPr>
          <w:rFonts w:ascii="Century Schoolbook" w:hAnsi="Century Schoolbook"/>
          <w:bCs/>
          <w:szCs w:val="26"/>
        </w:rPr>
        <w:t>,</w:t>
      </w:r>
      <w:r w:rsidRPr="00962D20">
        <w:rPr>
          <w:rFonts w:ascii="Century Schoolbook" w:hAnsi="Century Schoolbook"/>
          <w:bCs/>
          <w:szCs w:val="26"/>
        </w:rPr>
        <w:t xml:space="preserve"> and owners of property damaged by the discharged oil, not oil platform employees and others who derived income from the oil industry.</w:t>
      </w:r>
      <w:r w:rsidR="005623DF">
        <w:rPr>
          <w:rFonts w:ascii="Century Schoolbook" w:hAnsi="Century Schoolbook"/>
          <w:bCs/>
          <w:szCs w:val="26"/>
        </w:rPr>
        <w:t xml:space="preserve">  </w:t>
      </w:r>
      <w:r w:rsidR="005623DF">
        <w:rPr>
          <w:rFonts w:ascii="Century Schoolbook" w:hAnsi="Century Schoolbook"/>
          <w:szCs w:val="26"/>
        </w:rPr>
        <w:t>W</w:t>
      </w:r>
      <w:r w:rsidR="00555A9E">
        <w:rPr>
          <w:rFonts w:ascii="Century Schoolbook" w:hAnsi="Century Schoolbook"/>
          <w:szCs w:val="26"/>
        </w:rPr>
        <w:t xml:space="preserve">e conclude </w:t>
      </w:r>
      <w:r w:rsidRPr="00B52DFC">
        <w:rPr>
          <w:rFonts w:ascii="Century Schoolbook" w:hAnsi="Century Schoolbook"/>
          <w:szCs w:val="26"/>
        </w:rPr>
        <w:t>they are not entitled to restitution.</w:t>
      </w:r>
      <w:r w:rsidRPr="00B52DFC">
        <w:rPr>
          <w:rFonts w:ascii="Century Schoolbook" w:hAnsi="Century Schoolbook"/>
          <w:bCs/>
          <w:szCs w:val="26"/>
        </w:rPr>
        <w:tab/>
      </w:r>
    </w:p>
    <w:p w:rsidR="002B630C" w:rsidRPr="00395E41" w:rsidP="003F0E88" w14:paraId="3A3CACC0" w14:textId="6EBFCC32">
      <w:pPr>
        <w:spacing w:line="288" w:lineRule="auto"/>
        <w:jc w:val="center"/>
        <w:rPr>
          <w:rFonts w:ascii="Century Schoolbook" w:hAnsi="Century Schoolbook"/>
          <w:i/>
          <w:iCs/>
          <w:szCs w:val="26"/>
        </w:rPr>
      </w:pPr>
      <w:r w:rsidRPr="00395E41">
        <w:rPr>
          <w:rFonts w:ascii="Century Schoolbook" w:hAnsi="Century Schoolbook"/>
          <w:i/>
          <w:iCs/>
          <w:szCs w:val="26"/>
        </w:rPr>
        <w:t>Mediated compromises</w:t>
      </w:r>
    </w:p>
    <w:p w:rsidR="009E0FAD" w:rsidRPr="00395E41" w:rsidP="003F0E88" w14:paraId="6723FD55" w14:textId="7E3EFF30">
      <w:pPr>
        <w:spacing w:line="288" w:lineRule="auto"/>
        <w:ind w:firstLine="720"/>
        <w:rPr>
          <w:rFonts w:ascii="Century Schoolbook" w:hAnsi="Century Schoolbook"/>
          <w:szCs w:val="26"/>
        </w:rPr>
      </w:pPr>
      <w:bookmarkStart w:id="13" w:name="_Hlk133569305"/>
      <w:r w:rsidRPr="00395E41">
        <w:rPr>
          <w:rFonts w:ascii="Century Schoolbook" w:hAnsi="Century Schoolbook"/>
          <w:szCs w:val="26"/>
        </w:rPr>
        <w:t xml:space="preserve">The People contend the trial court </w:t>
      </w:r>
      <w:bookmarkEnd w:id="13"/>
      <w:r w:rsidR="00DF06F4">
        <w:rPr>
          <w:rFonts w:ascii="Century Schoolbook" w:hAnsi="Century Schoolbook"/>
          <w:szCs w:val="26"/>
        </w:rPr>
        <w:t xml:space="preserve">erred when it </w:t>
      </w:r>
      <w:r w:rsidR="007D6EE2">
        <w:rPr>
          <w:rFonts w:ascii="Century Schoolbook" w:hAnsi="Century Schoolbook"/>
          <w:szCs w:val="26"/>
        </w:rPr>
        <w:t xml:space="preserve">failed to order restitution for </w:t>
      </w:r>
      <w:r w:rsidR="0057603A">
        <w:rPr>
          <w:rFonts w:ascii="Century Schoolbook" w:hAnsi="Century Schoolbook"/>
          <w:szCs w:val="26"/>
        </w:rPr>
        <w:t xml:space="preserve">those </w:t>
      </w:r>
      <w:r w:rsidR="007D6EE2">
        <w:rPr>
          <w:rFonts w:ascii="Century Schoolbook" w:hAnsi="Century Schoolbook"/>
          <w:szCs w:val="26"/>
        </w:rPr>
        <w:t xml:space="preserve">victims </w:t>
      </w:r>
      <w:r w:rsidR="0057603A">
        <w:rPr>
          <w:rFonts w:ascii="Century Schoolbook" w:hAnsi="Century Schoolbook"/>
          <w:szCs w:val="26"/>
        </w:rPr>
        <w:t>who</w:t>
      </w:r>
      <w:r w:rsidR="00A32CC0">
        <w:rPr>
          <w:rFonts w:ascii="Century Schoolbook" w:hAnsi="Century Schoolbook"/>
          <w:szCs w:val="26"/>
        </w:rPr>
        <w:t xml:space="preserve"> </w:t>
      </w:r>
      <w:r w:rsidR="0057603A">
        <w:rPr>
          <w:rFonts w:ascii="Century Schoolbook" w:hAnsi="Century Schoolbook"/>
          <w:szCs w:val="26"/>
        </w:rPr>
        <w:t xml:space="preserve">settled </w:t>
      </w:r>
      <w:r w:rsidR="004702D9">
        <w:rPr>
          <w:rFonts w:ascii="Century Schoolbook" w:hAnsi="Century Schoolbook"/>
          <w:szCs w:val="26"/>
        </w:rPr>
        <w:t xml:space="preserve">their </w:t>
      </w:r>
      <w:r w:rsidR="0057603A">
        <w:rPr>
          <w:rFonts w:ascii="Century Schoolbook" w:hAnsi="Century Schoolbook"/>
          <w:szCs w:val="26"/>
        </w:rPr>
        <w:t xml:space="preserve">claims in mediation.  </w:t>
      </w:r>
      <w:r w:rsidR="008E1171">
        <w:rPr>
          <w:rFonts w:ascii="Century Schoolbook" w:hAnsi="Century Schoolbook"/>
          <w:szCs w:val="26"/>
        </w:rPr>
        <w:t>We agree</w:t>
      </w:r>
      <w:r w:rsidR="00DD7F05">
        <w:rPr>
          <w:rFonts w:ascii="Century Schoolbook" w:hAnsi="Century Schoolbook"/>
          <w:szCs w:val="26"/>
        </w:rPr>
        <w:t xml:space="preserve"> and remand for determination of </w:t>
      </w:r>
      <w:r w:rsidR="005343BA">
        <w:rPr>
          <w:rFonts w:ascii="Century Schoolbook" w:hAnsi="Century Schoolbook"/>
          <w:szCs w:val="26"/>
        </w:rPr>
        <w:t xml:space="preserve">restitution for </w:t>
      </w:r>
      <w:r w:rsidR="009326F5">
        <w:rPr>
          <w:rFonts w:ascii="Century Schoolbook" w:hAnsi="Century Schoolbook"/>
          <w:szCs w:val="26"/>
        </w:rPr>
        <w:t xml:space="preserve">four </w:t>
      </w:r>
      <w:r w:rsidR="005343BA">
        <w:rPr>
          <w:rFonts w:ascii="Century Schoolbook" w:hAnsi="Century Schoolbook"/>
          <w:szCs w:val="26"/>
        </w:rPr>
        <w:t>Group 2 claimants</w:t>
      </w:r>
      <w:r w:rsidR="007A64C3">
        <w:rPr>
          <w:rFonts w:ascii="Century Schoolbook" w:hAnsi="Century Schoolbook"/>
          <w:szCs w:val="26"/>
        </w:rPr>
        <w:t xml:space="preserve">, consisting of fishers, </w:t>
      </w:r>
      <w:r w:rsidR="003E3632">
        <w:rPr>
          <w:rFonts w:ascii="Century Schoolbook" w:hAnsi="Century Schoolbook"/>
          <w:szCs w:val="26"/>
        </w:rPr>
        <w:t>who may be eligible for restitution</w:t>
      </w:r>
      <w:r w:rsidR="005343BA">
        <w:rPr>
          <w:rFonts w:ascii="Century Schoolbook" w:hAnsi="Century Schoolbook"/>
          <w:szCs w:val="26"/>
        </w:rPr>
        <w:t>.</w:t>
      </w:r>
    </w:p>
    <w:p w:rsidR="00B75AB0" w:rsidRPr="007D6EE2" w:rsidP="003F0E88" w14:paraId="42B66BDC" w14:textId="04D6380B">
      <w:pPr>
        <w:spacing w:line="288" w:lineRule="auto"/>
        <w:ind w:firstLine="720"/>
        <w:rPr>
          <w:rFonts w:ascii="Century Schoolbook" w:hAnsi="Century Schoolbook"/>
          <w:szCs w:val="26"/>
        </w:rPr>
      </w:pPr>
      <w:r w:rsidRPr="00395E41">
        <w:rPr>
          <w:rFonts w:ascii="Century Schoolbook" w:hAnsi="Century Schoolbook"/>
          <w:szCs w:val="26"/>
        </w:rPr>
        <w:t xml:space="preserve">The </w:t>
      </w:r>
      <w:r w:rsidR="003538B1">
        <w:rPr>
          <w:rFonts w:ascii="Century Schoolbook" w:hAnsi="Century Schoolbook"/>
          <w:szCs w:val="26"/>
        </w:rPr>
        <w:t xml:space="preserve">trial </w:t>
      </w:r>
      <w:r w:rsidRPr="00395E41">
        <w:rPr>
          <w:rFonts w:ascii="Century Schoolbook" w:hAnsi="Century Schoolbook"/>
          <w:szCs w:val="26"/>
        </w:rPr>
        <w:t xml:space="preserve">court appointed a </w:t>
      </w:r>
      <w:r w:rsidR="00FC5BE4">
        <w:rPr>
          <w:rFonts w:ascii="Century Schoolbook" w:hAnsi="Century Schoolbook"/>
          <w:szCs w:val="26"/>
        </w:rPr>
        <w:t>“Mediator/Settlement Master”</w:t>
      </w:r>
      <w:r w:rsidRPr="00395E41">
        <w:rPr>
          <w:rFonts w:ascii="Century Schoolbook" w:hAnsi="Century Schoolbook"/>
          <w:szCs w:val="26"/>
        </w:rPr>
        <w:t xml:space="preserve"> for restitution issues</w:t>
      </w:r>
      <w:r w:rsidR="00C80A12">
        <w:rPr>
          <w:rFonts w:ascii="Century Schoolbook" w:hAnsi="Century Schoolbook"/>
          <w:szCs w:val="26"/>
        </w:rPr>
        <w:t xml:space="preserve"> and </w:t>
      </w:r>
      <w:r w:rsidRPr="00395E41" w:rsidR="0024703B">
        <w:rPr>
          <w:rFonts w:ascii="Century Schoolbook" w:hAnsi="Century Schoolbook"/>
          <w:szCs w:val="26"/>
        </w:rPr>
        <w:t>ordered that settlement discussion</w:t>
      </w:r>
      <w:r w:rsidR="008E1171">
        <w:rPr>
          <w:rFonts w:ascii="Century Schoolbook" w:hAnsi="Century Schoolbook"/>
          <w:szCs w:val="26"/>
        </w:rPr>
        <w:t>s</w:t>
      </w:r>
      <w:r w:rsidRPr="00395E41" w:rsidR="0024703B">
        <w:rPr>
          <w:rFonts w:ascii="Century Schoolbook" w:hAnsi="Century Schoolbook"/>
          <w:szCs w:val="26"/>
        </w:rPr>
        <w:t xml:space="preserve"> be </w:t>
      </w:r>
      <w:r w:rsidR="004258A8">
        <w:rPr>
          <w:rFonts w:ascii="Century Schoolbook" w:hAnsi="Century Schoolbook"/>
          <w:szCs w:val="26"/>
        </w:rPr>
        <w:t>“</w:t>
      </w:r>
      <w:r w:rsidRPr="00395E41" w:rsidR="0024703B">
        <w:rPr>
          <w:rFonts w:ascii="Century Schoolbook" w:hAnsi="Century Schoolbook"/>
          <w:szCs w:val="26"/>
        </w:rPr>
        <w:t>confidential</w:t>
      </w:r>
      <w:r w:rsidR="00C80A12">
        <w:rPr>
          <w:rFonts w:ascii="Century Schoolbook" w:hAnsi="Century Schoolbook"/>
          <w:szCs w:val="26"/>
        </w:rPr>
        <w:t xml:space="preserve">” </w:t>
      </w:r>
      <w:r w:rsidR="00CD3EA6">
        <w:rPr>
          <w:rFonts w:ascii="Century Schoolbook" w:hAnsi="Century Schoolbook"/>
          <w:szCs w:val="26"/>
        </w:rPr>
        <w:t xml:space="preserve">and </w:t>
      </w:r>
      <w:r w:rsidR="00C80A12">
        <w:rPr>
          <w:rFonts w:ascii="Century Schoolbook" w:hAnsi="Century Schoolbook"/>
          <w:szCs w:val="26"/>
        </w:rPr>
        <w:t>no</w:t>
      </w:r>
      <w:r w:rsidR="00CD3EA6">
        <w:rPr>
          <w:rFonts w:ascii="Century Schoolbook" w:hAnsi="Century Schoolbook"/>
          <w:szCs w:val="26"/>
        </w:rPr>
        <w:t>t</w:t>
      </w:r>
      <w:r w:rsidR="00C80A12">
        <w:rPr>
          <w:rFonts w:ascii="Century Schoolbook" w:hAnsi="Century Schoolbook"/>
          <w:szCs w:val="26"/>
        </w:rPr>
        <w:t xml:space="preserve"> disclosed to the court</w:t>
      </w:r>
      <w:r w:rsidRPr="00395E41" w:rsidR="0024703B">
        <w:rPr>
          <w:rFonts w:ascii="Century Schoolbook" w:hAnsi="Century Schoolbook"/>
          <w:szCs w:val="26"/>
        </w:rPr>
        <w:t>.</w:t>
      </w:r>
      <w:r>
        <w:rPr>
          <w:rStyle w:val="FootnoteReference"/>
        </w:rPr>
        <w:footnoteReference w:id="6"/>
      </w:r>
      <w:r w:rsidR="007E3504">
        <w:rPr>
          <w:rFonts w:ascii="Century Schoolbook" w:hAnsi="Century Schoolbook"/>
          <w:sz w:val="20"/>
        </w:rPr>
        <w:t xml:space="preserve">  </w:t>
      </w:r>
      <w:r w:rsidR="00C80A12">
        <w:rPr>
          <w:rFonts w:ascii="Century Schoolbook" w:hAnsi="Century Schoolbook"/>
          <w:szCs w:val="26"/>
        </w:rPr>
        <w:t xml:space="preserve">It </w:t>
      </w:r>
      <w:r w:rsidR="00E01480">
        <w:rPr>
          <w:rFonts w:ascii="Century Schoolbook" w:hAnsi="Century Schoolbook"/>
          <w:szCs w:val="26"/>
        </w:rPr>
        <w:t xml:space="preserve">declined to review the </w:t>
      </w:r>
      <w:r w:rsidR="003538B1">
        <w:rPr>
          <w:rFonts w:ascii="Century Schoolbook" w:hAnsi="Century Schoolbook"/>
          <w:szCs w:val="26"/>
        </w:rPr>
        <w:t xml:space="preserve">amounts of the </w:t>
      </w:r>
      <w:r w:rsidR="00E01480">
        <w:rPr>
          <w:rFonts w:ascii="Century Schoolbook" w:hAnsi="Century Schoolbook"/>
          <w:szCs w:val="26"/>
        </w:rPr>
        <w:t xml:space="preserve">mediated settlements. </w:t>
      </w:r>
      <w:r w:rsidR="007D6EE2">
        <w:rPr>
          <w:rFonts w:ascii="Century Schoolbook" w:hAnsi="Century Schoolbook"/>
          <w:szCs w:val="26"/>
        </w:rPr>
        <w:t xml:space="preserve"> </w:t>
      </w:r>
    </w:p>
    <w:p w:rsidR="00B467C9" w:rsidP="003F0E88" w14:paraId="2787FA88" w14:textId="269C62E0">
      <w:pPr>
        <w:spacing w:line="288" w:lineRule="auto"/>
        <w:ind w:firstLine="720"/>
        <w:rPr>
          <w:rFonts w:ascii="Century Schoolbook" w:hAnsi="Century Schoolbook"/>
          <w:szCs w:val="26"/>
        </w:rPr>
      </w:pPr>
      <w:r w:rsidRPr="00395E41">
        <w:rPr>
          <w:rFonts w:ascii="Century Schoolbook" w:hAnsi="Century Schoolbook"/>
          <w:szCs w:val="26"/>
        </w:rPr>
        <w:t xml:space="preserve">Several Group 2 </w:t>
      </w:r>
      <w:r w:rsidR="00242491">
        <w:rPr>
          <w:rFonts w:ascii="Century Schoolbook" w:hAnsi="Century Schoolbook"/>
          <w:szCs w:val="26"/>
        </w:rPr>
        <w:t xml:space="preserve">fisher </w:t>
      </w:r>
      <w:r w:rsidRPr="00395E41">
        <w:rPr>
          <w:rFonts w:ascii="Century Schoolbook" w:hAnsi="Century Schoolbook"/>
          <w:szCs w:val="26"/>
        </w:rPr>
        <w:t>claimants</w:t>
      </w:r>
      <w:r w:rsidRPr="00395E41" w:rsidR="008C6D7E">
        <w:rPr>
          <w:rFonts w:ascii="Century Schoolbook" w:hAnsi="Century Schoolbook"/>
          <w:szCs w:val="26"/>
        </w:rPr>
        <w:t xml:space="preserve"> </w:t>
      </w:r>
      <w:r w:rsidR="00967F94">
        <w:rPr>
          <w:rFonts w:ascii="Century Schoolbook" w:hAnsi="Century Schoolbook"/>
          <w:szCs w:val="26"/>
        </w:rPr>
        <w:t>settle</w:t>
      </w:r>
      <w:r w:rsidR="00C80A12">
        <w:rPr>
          <w:rFonts w:ascii="Century Schoolbook" w:hAnsi="Century Schoolbook"/>
          <w:szCs w:val="26"/>
        </w:rPr>
        <w:t>d</w:t>
      </w:r>
      <w:r w:rsidR="00967F94">
        <w:rPr>
          <w:rFonts w:ascii="Century Schoolbook" w:hAnsi="Century Schoolbook"/>
          <w:szCs w:val="26"/>
        </w:rPr>
        <w:t xml:space="preserve"> with Plains.  Some claimants agreed to accept</w:t>
      </w:r>
      <w:r w:rsidR="008E39FB">
        <w:rPr>
          <w:rFonts w:ascii="Century Schoolbook" w:hAnsi="Century Schoolbook"/>
          <w:szCs w:val="26"/>
        </w:rPr>
        <w:t xml:space="preserve"> </w:t>
      </w:r>
      <w:r w:rsidRPr="00395E41" w:rsidR="004D1BAC">
        <w:rPr>
          <w:rFonts w:ascii="Century Schoolbook" w:hAnsi="Century Schoolbook"/>
          <w:szCs w:val="26"/>
        </w:rPr>
        <w:t xml:space="preserve">between 3.5 percent and 18.6 percent </w:t>
      </w:r>
      <w:r w:rsidRPr="00395E41" w:rsidR="008C6D7E">
        <w:rPr>
          <w:rFonts w:ascii="Century Schoolbook" w:hAnsi="Century Schoolbook"/>
          <w:szCs w:val="26"/>
        </w:rPr>
        <w:t xml:space="preserve">of </w:t>
      </w:r>
      <w:r w:rsidR="00B902B0">
        <w:rPr>
          <w:rFonts w:ascii="Century Schoolbook" w:hAnsi="Century Schoolbook"/>
          <w:szCs w:val="26"/>
        </w:rPr>
        <w:t>their</w:t>
      </w:r>
      <w:r w:rsidRPr="00395E41" w:rsidR="008C6D7E">
        <w:rPr>
          <w:rFonts w:ascii="Century Schoolbook" w:hAnsi="Century Schoolbook"/>
          <w:szCs w:val="26"/>
        </w:rPr>
        <w:t xml:space="preserve"> </w:t>
      </w:r>
      <w:r w:rsidR="00B902B0">
        <w:rPr>
          <w:rFonts w:ascii="Century Schoolbook" w:hAnsi="Century Schoolbook"/>
          <w:szCs w:val="26"/>
        </w:rPr>
        <w:t xml:space="preserve">restitution </w:t>
      </w:r>
      <w:r w:rsidRPr="00395E41" w:rsidR="00E5500E">
        <w:rPr>
          <w:rFonts w:ascii="Century Schoolbook" w:hAnsi="Century Schoolbook"/>
          <w:szCs w:val="26"/>
        </w:rPr>
        <w:t>claims</w:t>
      </w:r>
      <w:r w:rsidR="00A325B6">
        <w:rPr>
          <w:rFonts w:ascii="Century Schoolbook" w:hAnsi="Century Schoolbook"/>
          <w:szCs w:val="26"/>
        </w:rPr>
        <w:t xml:space="preserve">.  They </w:t>
      </w:r>
      <w:r w:rsidR="00876B96">
        <w:rPr>
          <w:rFonts w:ascii="Century Schoolbook" w:hAnsi="Century Schoolbook"/>
          <w:szCs w:val="26"/>
        </w:rPr>
        <w:t>released Plains</w:t>
      </w:r>
      <w:r w:rsidR="00663A62">
        <w:rPr>
          <w:rFonts w:ascii="Century Schoolbook" w:hAnsi="Century Schoolbook"/>
          <w:szCs w:val="26"/>
        </w:rPr>
        <w:t xml:space="preserve"> “from any and all claims . . . whether civil, criminal, or administrative</w:t>
      </w:r>
      <w:r w:rsidR="00AF6B1E">
        <w:rPr>
          <w:rFonts w:ascii="Century Schoolbook" w:hAnsi="Century Schoolbook"/>
          <w:szCs w:val="26"/>
        </w:rPr>
        <w:t>.</w:t>
      </w:r>
      <w:r w:rsidR="00663A62">
        <w:rPr>
          <w:rFonts w:ascii="Century Schoolbook" w:hAnsi="Century Schoolbook"/>
          <w:szCs w:val="26"/>
        </w:rPr>
        <w:t xml:space="preserve">” </w:t>
      </w:r>
      <w:r w:rsidR="009F174C">
        <w:rPr>
          <w:rFonts w:ascii="Century Schoolbook" w:hAnsi="Century Schoolbook"/>
          <w:szCs w:val="26"/>
        </w:rPr>
        <w:t xml:space="preserve"> </w:t>
      </w:r>
      <w:r w:rsidR="00C80A12">
        <w:rPr>
          <w:rFonts w:ascii="Century Schoolbook" w:hAnsi="Century Schoolbook"/>
          <w:szCs w:val="26"/>
        </w:rPr>
        <w:t>And t</w:t>
      </w:r>
      <w:r w:rsidR="00AF6B1E">
        <w:rPr>
          <w:rFonts w:ascii="Century Schoolbook" w:hAnsi="Century Schoolbook"/>
          <w:szCs w:val="26"/>
        </w:rPr>
        <w:t>hey acknowledged the payment “fully satisfies the Claimant’s restitution claim</w:t>
      </w:r>
      <w:r w:rsidR="00A41E08">
        <w:rPr>
          <w:rFonts w:ascii="Century Schoolbook" w:hAnsi="Century Schoolbook"/>
          <w:szCs w:val="26"/>
        </w:rPr>
        <w:t>, and that</w:t>
      </w:r>
      <w:r w:rsidR="000924C0">
        <w:rPr>
          <w:rFonts w:ascii="Century Schoolbook" w:hAnsi="Century Schoolbook"/>
          <w:szCs w:val="26"/>
        </w:rPr>
        <w:t xml:space="preserve"> the</w:t>
      </w:r>
      <w:r w:rsidR="00A41E08">
        <w:rPr>
          <w:rFonts w:ascii="Century Schoolbook" w:hAnsi="Century Schoolbook"/>
          <w:szCs w:val="26"/>
        </w:rPr>
        <w:t xml:space="preserve"> Claimant will not </w:t>
      </w:r>
      <w:r w:rsidRPr="00395E41" w:rsidR="00E5500E">
        <w:rPr>
          <w:rFonts w:ascii="Century Schoolbook" w:hAnsi="Century Schoolbook"/>
          <w:szCs w:val="26"/>
        </w:rPr>
        <w:t>continue to pursue</w:t>
      </w:r>
      <w:r w:rsidR="00A41E08">
        <w:rPr>
          <w:rFonts w:ascii="Century Schoolbook" w:hAnsi="Century Schoolbook"/>
          <w:szCs w:val="26"/>
        </w:rPr>
        <w:t xml:space="preserve"> that claim before the Superior Court</w:t>
      </w:r>
      <w:r w:rsidRPr="00395E41" w:rsidR="00E5500E">
        <w:rPr>
          <w:rFonts w:ascii="Century Schoolbook" w:hAnsi="Century Schoolbook"/>
          <w:szCs w:val="26"/>
        </w:rPr>
        <w:t>.</w:t>
      </w:r>
      <w:r w:rsidR="00A41E08">
        <w:rPr>
          <w:rFonts w:ascii="Century Schoolbook" w:hAnsi="Century Schoolbook"/>
          <w:szCs w:val="26"/>
        </w:rPr>
        <w:t xml:space="preserve">”  (Bold </w:t>
      </w:r>
      <w:r w:rsidR="000C120D">
        <w:rPr>
          <w:rFonts w:ascii="Century Schoolbook" w:hAnsi="Century Schoolbook"/>
          <w:szCs w:val="26"/>
        </w:rPr>
        <w:t>omit</w:t>
      </w:r>
      <w:r w:rsidR="00A41E08">
        <w:rPr>
          <w:rFonts w:ascii="Century Schoolbook" w:hAnsi="Century Schoolbook"/>
          <w:szCs w:val="26"/>
        </w:rPr>
        <w:t>ted.)</w:t>
      </w:r>
      <w:r w:rsidRPr="00395E41" w:rsidR="00E5500E">
        <w:rPr>
          <w:rFonts w:ascii="Century Schoolbook" w:hAnsi="Century Schoolbook"/>
          <w:szCs w:val="26"/>
        </w:rPr>
        <w:t xml:space="preserve"> </w:t>
      </w:r>
      <w:r w:rsidR="00C91736">
        <w:rPr>
          <w:rFonts w:ascii="Century Schoolbook" w:hAnsi="Century Schoolbook"/>
          <w:szCs w:val="26"/>
        </w:rPr>
        <w:t xml:space="preserve"> </w:t>
      </w:r>
    </w:p>
    <w:p w:rsidR="00E5150E" w:rsidP="00F55690" w14:paraId="28DB2B33" w14:textId="41502827">
      <w:pPr>
        <w:spacing w:line="288" w:lineRule="auto"/>
        <w:ind w:firstLine="720"/>
        <w:rPr>
          <w:rFonts w:ascii="Century Schoolbook" w:hAnsi="Century Schoolbook"/>
          <w:szCs w:val="26"/>
        </w:rPr>
      </w:pPr>
      <w:r w:rsidRPr="00395E41">
        <w:rPr>
          <w:rFonts w:ascii="Century Schoolbook" w:hAnsi="Century Schoolbook"/>
          <w:szCs w:val="26"/>
        </w:rPr>
        <w:t xml:space="preserve">The court </w:t>
      </w:r>
      <w:r w:rsidR="00D72964">
        <w:rPr>
          <w:rFonts w:ascii="Century Schoolbook" w:hAnsi="Century Schoolbook"/>
          <w:szCs w:val="26"/>
        </w:rPr>
        <w:t xml:space="preserve">declined to </w:t>
      </w:r>
      <w:r w:rsidR="00CF68C7">
        <w:rPr>
          <w:rFonts w:ascii="Century Schoolbook" w:hAnsi="Century Schoolbook"/>
          <w:szCs w:val="26"/>
        </w:rPr>
        <w:t>order</w:t>
      </w:r>
      <w:r w:rsidR="00D72964">
        <w:rPr>
          <w:rFonts w:ascii="Century Schoolbook" w:hAnsi="Century Schoolbook"/>
          <w:szCs w:val="26"/>
        </w:rPr>
        <w:t xml:space="preserve"> restitution</w:t>
      </w:r>
      <w:r w:rsidR="00CF68C7">
        <w:rPr>
          <w:rFonts w:ascii="Century Schoolbook" w:hAnsi="Century Schoolbook"/>
          <w:szCs w:val="26"/>
        </w:rPr>
        <w:t xml:space="preserve"> for</w:t>
      </w:r>
      <w:r w:rsidR="00D72964">
        <w:rPr>
          <w:rFonts w:ascii="Century Schoolbook" w:hAnsi="Century Schoolbook"/>
          <w:szCs w:val="26"/>
        </w:rPr>
        <w:t xml:space="preserve"> </w:t>
      </w:r>
      <w:r w:rsidRPr="00395E41" w:rsidR="00750F29">
        <w:rPr>
          <w:rFonts w:ascii="Century Schoolbook" w:hAnsi="Century Schoolbook"/>
          <w:szCs w:val="26"/>
        </w:rPr>
        <w:t>ten</w:t>
      </w:r>
      <w:r w:rsidRPr="00395E41">
        <w:rPr>
          <w:rFonts w:ascii="Century Schoolbook" w:hAnsi="Century Schoolbook"/>
          <w:szCs w:val="26"/>
        </w:rPr>
        <w:t xml:space="preserve"> Group 2 claims </w:t>
      </w:r>
      <w:r w:rsidR="00D72964">
        <w:rPr>
          <w:rFonts w:ascii="Century Schoolbook" w:hAnsi="Century Schoolbook"/>
          <w:szCs w:val="26"/>
        </w:rPr>
        <w:t xml:space="preserve">that </w:t>
      </w:r>
      <w:r w:rsidRPr="00395E41">
        <w:rPr>
          <w:rFonts w:ascii="Century Schoolbook" w:hAnsi="Century Schoolbook"/>
          <w:szCs w:val="26"/>
        </w:rPr>
        <w:t>were “</w:t>
      </w:r>
      <w:r w:rsidR="001F4DDC">
        <w:rPr>
          <w:rFonts w:ascii="Century Schoolbook" w:hAnsi="Century Schoolbook"/>
          <w:szCs w:val="26"/>
        </w:rPr>
        <w:t>settled/r</w:t>
      </w:r>
      <w:r w:rsidRPr="00395E41" w:rsidR="00CB1221">
        <w:rPr>
          <w:rFonts w:ascii="Century Schoolbook" w:hAnsi="Century Schoolbook"/>
          <w:szCs w:val="26"/>
        </w:rPr>
        <w:t>esolved” for unstated amounts, presumably through mediation.</w:t>
      </w:r>
      <w:r w:rsidR="00E915A8">
        <w:rPr>
          <w:rFonts w:ascii="Century Schoolbook" w:hAnsi="Century Schoolbook"/>
          <w:szCs w:val="26"/>
        </w:rPr>
        <w:t xml:space="preserve">  </w:t>
      </w:r>
      <w:r w:rsidR="0028162A">
        <w:rPr>
          <w:rFonts w:ascii="Century Schoolbook" w:hAnsi="Century Schoolbook"/>
          <w:szCs w:val="26"/>
        </w:rPr>
        <w:t xml:space="preserve">It </w:t>
      </w:r>
      <w:r w:rsidR="00F55690">
        <w:rPr>
          <w:rFonts w:ascii="Century Schoolbook" w:hAnsi="Century Schoolbook"/>
          <w:szCs w:val="26"/>
        </w:rPr>
        <w:t>also declined to</w:t>
      </w:r>
      <w:r w:rsidRPr="00395E41" w:rsidR="0019166C">
        <w:rPr>
          <w:rFonts w:ascii="Century Schoolbook" w:hAnsi="Century Schoolbook"/>
          <w:szCs w:val="26"/>
        </w:rPr>
        <w:t xml:space="preserve"> </w:t>
      </w:r>
      <w:r w:rsidR="00CF68C7">
        <w:rPr>
          <w:rFonts w:ascii="Century Schoolbook" w:hAnsi="Century Schoolbook"/>
          <w:szCs w:val="26"/>
        </w:rPr>
        <w:t xml:space="preserve">order </w:t>
      </w:r>
      <w:r w:rsidRPr="00395E41" w:rsidR="0019166C">
        <w:rPr>
          <w:rFonts w:ascii="Century Schoolbook" w:hAnsi="Century Schoolbook"/>
          <w:szCs w:val="26"/>
        </w:rPr>
        <w:t xml:space="preserve">restitution </w:t>
      </w:r>
      <w:r w:rsidR="00CF68C7">
        <w:rPr>
          <w:rFonts w:ascii="Century Schoolbook" w:hAnsi="Century Schoolbook"/>
          <w:szCs w:val="26"/>
        </w:rPr>
        <w:t>for</w:t>
      </w:r>
      <w:r w:rsidR="007A64C3">
        <w:rPr>
          <w:rFonts w:ascii="Century Schoolbook" w:hAnsi="Century Schoolbook"/>
          <w:szCs w:val="26"/>
        </w:rPr>
        <w:t xml:space="preserve"> 27</w:t>
      </w:r>
      <w:r w:rsidRPr="00395E41" w:rsidR="0019166C">
        <w:rPr>
          <w:rFonts w:ascii="Century Schoolbook" w:hAnsi="Century Schoolbook"/>
          <w:szCs w:val="26"/>
        </w:rPr>
        <w:t xml:space="preserve"> Group 3 </w:t>
      </w:r>
      <w:r w:rsidR="00242491">
        <w:rPr>
          <w:rFonts w:ascii="Century Schoolbook" w:hAnsi="Century Schoolbook"/>
          <w:szCs w:val="26"/>
        </w:rPr>
        <w:t xml:space="preserve">oil industry </w:t>
      </w:r>
      <w:r w:rsidRPr="00395E41" w:rsidR="0019166C">
        <w:rPr>
          <w:rFonts w:ascii="Century Schoolbook" w:hAnsi="Century Schoolbook"/>
          <w:szCs w:val="26"/>
        </w:rPr>
        <w:t xml:space="preserve">claimants because </w:t>
      </w:r>
      <w:r w:rsidRPr="00395E41" w:rsidR="00EC0D2C">
        <w:rPr>
          <w:rFonts w:ascii="Century Schoolbook" w:hAnsi="Century Schoolbook"/>
          <w:szCs w:val="26"/>
        </w:rPr>
        <w:t xml:space="preserve">they were “resolved” and “withdrawn.” </w:t>
      </w:r>
      <w:r w:rsidRPr="00395E41" w:rsidR="000D0570">
        <w:rPr>
          <w:rFonts w:ascii="Century Schoolbook" w:hAnsi="Century Schoolbook"/>
          <w:szCs w:val="26"/>
        </w:rPr>
        <w:t xml:space="preserve"> </w:t>
      </w:r>
      <w:r w:rsidR="00A827BD">
        <w:rPr>
          <w:rFonts w:ascii="Century Schoolbook" w:hAnsi="Century Schoolbook"/>
          <w:szCs w:val="26"/>
        </w:rPr>
        <w:t>T</w:t>
      </w:r>
      <w:r w:rsidR="007A64C3">
        <w:rPr>
          <w:rFonts w:ascii="Century Schoolbook" w:hAnsi="Century Schoolbook"/>
          <w:szCs w:val="26"/>
        </w:rPr>
        <w:t>he court erred.</w:t>
      </w:r>
    </w:p>
    <w:p w:rsidR="004C0AC4" w:rsidRPr="008F3CAB" w:rsidP="00DC0F0C" w14:paraId="7BA2AAED" w14:textId="789F2E79">
      <w:pPr>
        <w:spacing w:line="288" w:lineRule="auto"/>
        <w:ind w:firstLine="720"/>
        <w:rPr>
          <w:rFonts w:ascii="Century Schoolbook" w:hAnsi="Century Schoolbook"/>
          <w:szCs w:val="26"/>
        </w:rPr>
      </w:pPr>
      <w:r w:rsidRPr="00395E41">
        <w:rPr>
          <w:rFonts w:ascii="Century Schoolbook" w:hAnsi="Century Schoolbook"/>
          <w:szCs w:val="26"/>
        </w:rPr>
        <w:t xml:space="preserve">Civil liability and criminal restitution serve different interests. </w:t>
      </w:r>
      <w:r w:rsidR="00F04950">
        <w:rPr>
          <w:rFonts w:ascii="Century Schoolbook" w:hAnsi="Century Schoolbook"/>
          <w:szCs w:val="26"/>
        </w:rPr>
        <w:t xml:space="preserve"> </w:t>
      </w:r>
      <w:r w:rsidRPr="00395E41">
        <w:rPr>
          <w:rFonts w:ascii="Century Schoolbook" w:hAnsi="Century Schoolbook"/>
          <w:szCs w:val="26"/>
        </w:rPr>
        <w:t xml:space="preserve">“ ‘Just as a restitution order pursuant to the criminal law is not a substitute for a civil action to recover damages [citation], a partial civil settlement is not a substitute for restitution in a criminal proceeding.’ ” </w:t>
      </w:r>
      <w:r w:rsidR="00F04950">
        <w:rPr>
          <w:rFonts w:ascii="Century Schoolbook" w:hAnsi="Century Schoolbook"/>
          <w:szCs w:val="26"/>
        </w:rPr>
        <w:t xml:space="preserve"> </w:t>
      </w:r>
      <w:r w:rsidRPr="00395E41" w:rsidR="00F04950">
        <w:rPr>
          <w:rFonts w:ascii="Century Schoolbook" w:hAnsi="Century Schoolbook"/>
          <w:szCs w:val="26"/>
        </w:rPr>
        <w:t>(</w:t>
      </w:r>
      <w:r w:rsidRPr="008C7998" w:rsidR="00F04950">
        <w:rPr>
          <w:rFonts w:ascii="Century Schoolbook" w:hAnsi="Century Schoolbook"/>
          <w:i/>
          <w:iCs/>
          <w:szCs w:val="26"/>
        </w:rPr>
        <w:t>People v. Grundfor</w:t>
      </w:r>
      <w:r w:rsidRPr="008C7998" w:rsidR="00F04950">
        <w:rPr>
          <w:rFonts w:ascii="Century Schoolbook" w:hAnsi="Century Schoolbook"/>
          <w:szCs w:val="26"/>
        </w:rPr>
        <w:t xml:space="preserve"> (2019) 39 Cal.App.5th 22, 28</w:t>
      </w:r>
      <w:r w:rsidRPr="00395E41" w:rsidR="00F04950">
        <w:rPr>
          <w:rFonts w:ascii="Century Schoolbook" w:hAnsi="Century Schoolbook"/>
          <w:szCs w:val="26"/>
        </w:rPr>
        <w:t xml:space="preserve"> (</w:t>
      </w:r>
      <w:r w:rsidRPr="00395E41" w:rsidR="00F04950">
        <w:rPr>
          <w:rFonts w:ascii="Century Schoolbook" w:hAnsi="Century Schoolbook"/>
          <w:i/>
          <w:iCs/>
          <w:szCs w:val="26"/>
        </w:rPr>
        <w:t>Grundfor</w:t>
      </w:r>
      <w:r w:rsidRPr="00395E41" w:rsidR="00F04950">
        <w:rPr>
          <w:rFonts w:ascii="Century Schoolbook" w:hAnsi="Century Schoolbook"/>
          <w:szCs w:val="26"/>
        </w:rPr>
        <w:t>)</w:t>
      </w:r>
      <w:r w:rsidRPr="00395E41">
        <w:rPr>
          <w:rFonts w:ascii="Century Schoolbook" w:hAnsi="Century Schoolbook"/>
          <w:szCs w:val="26"/>
        </w:rPr>
        <w:t>.)  A civil settlement is between the victim and the defendant, but a “restitution order [i</w:t>
      </w:r>
      <w:r w:rsidR="00536331">
        <w:rPr>
          <w:rFonts w:ascii="Century Schoolbook" w:hAnsi="Century Schoolbook"/>
          <w:szCs w:val="26"/>
        </w:rPr>
        <w:t>s]</w:t>
      </w:r>
      <w:r w:rsidRPr="00395E41">
        <w:rPr>
          <w:rFonts w:ascii="Century Schoolbook" w:hAnsi="Century Schoolbook"/>
          <w:szCs w:val="26"/>
        </w:rPr>
        <w:t xml:space="preserve"> between [the defendant] and the state.”  (</w:t>
      </w:r>
      <w:r w:rsidRPr="00395E41">
        <w:rPr>
          <w:rFonts w:ascii="Century Schoolbook" w:hAnsi="Century Schoolbook"/>
          <w:i/>
          <w:iCs/>
          <w:szCs w:val="26"/>
        </w:rPr>
        <w:t>Ibid</w:t>
      </w:r>
      <w:r w:rsidRPr="00395E41">
        <w:rPr>
          <w:rFonts w:ascii="Century Schoolbook" w:hAnsi="Century Schoolbook"/>
          <w:szCs w:val="26"/>
        </w:rPr>
        <w:t xml:space="preserve">.)  </w:t>
      </w:r>
      <w:r w:rsidR="00536331">
        <w:rPr>
          <w:rFonts w:ascii="Century Schoolbook" w:hAnsi="Century Schoolbook"/>
          <w:szCs w:val="26"/>
        </w:rPr>
        <w:t>“</w:t>
      </w:r>
      <w:r w:rsidRPr="00395E41">
        <w:rPr>
          <w:rFonts w:ascii="Century Schoolbook" w:hAnsi="Century Schoolbook"/>
          <w:szCs w:val="26"/>
        </w:rPr>
        <w:t xml:space="preserve">While the release may </w:t>
      </w:r>
      <w:r w:rsidR="00536331">
        <w:rPr>
          <w:rFonts w:ascii="Century Schoolbook" w:hAnsi="Century Schoolbook"/>
          <w:szCs w:val="26"/>
        </w:rPr>
        <w:t>[</w:t>
      </w:r>
      <w:r w:rsidRPr="00395E41">
        <w:rPr>
          <w:rFonts w:ascii="Century Schoolbook" w:hAnsi="Century Schoolbook"/>
          <w:szCs w:val="26"/>
        </w:rPr>
        <w:t>relieve the defendant</w:t>
      </w:r>
      <w:r w:rsidR="00536331">
        <w:rPr>
          <w:rFonts w:ascii="Century Schoolbook" w:hAnsi="Century Schoolbook"/>
          <w:szCs w:val="26"/>
        </w:rPr>
        <w:t>]</w:t>
      </w:r>
      <w:r w:rsidRPr="00395E41">
        <w:rPr>
          <w:rFonts w:ascii="Century Schoolbook" w:hAnsi="Century Schoolbook"/>
          <w:szCs w:val="26"/>
        </w:rPr>
        <w:t xml:space="preserve"> </w:t>
      </w:r>
      <w:r w:rsidR="00536331">
        <w:rPr>
          <w:rFonts w:ascii="Century Schoolbook" w:hAnsi="Century Schoolbook"/>
          <w:szCs w:val="26"/>
        </w:rPr>
        <w:t>from</w:t>
      </w:r>
      <w:r w:rsidRPr="00395E41">
        <w:rPr>
          <w:rFonts w:ascii="Century Schoolbook" w:hAnsi="Century Schoolbook"/>
          <w:szCs w:val="26"/>
        </w:rPr>
        <w:t xml:space="preserve"> further </w:t>
      </w:r>
      <w:r w:rsidRPr="00395E41">
        <w:rPr>
          <w:rFonts w:ascii="Century Schoolbook" w:hAnsi="Century Schoolbook"/>
          <w:i/>
          <w:iCs/>
          <w:szCs w:val="26"/>
        </w:rPr>
        <w:t>civil</w:t>
      </w:r>
      <w:r w:rsidRPr="00395E41">
        <w:rPr>
          <w:rFonts w:ascii="Century Schoolbook" w:hAnsi="Century Schoolbook"/>
          <w:szCs w:val="26"/>
        </w:rPr>
        <w:t xml:space="preserve"> liability, it </w:t>
      </w:r>
      <w:r w:rsidR="00CF68C7">
        <w:rPr>
          <w:rFonts w:ascii="Century Schoolbook" w:hAnsi="Century Schoolbook"/>
          <w:szCs w:val="26"/>
        </w:rPr>
        <w:t>[</w:t>
      </w:r>
      <w:r w:rsidR="00972285">
        <w:rPr>
          <w:rFonts w:ascii="Century Schoolbook" w:hAnsi="Century Schoolbook"/>
          <w:szCs w:val="26"/>
        </w:rPr>
        <w:t>d</w:t>
      </w:r>
      <w:r w:rsidR="00CF68C7">
        <w:rPr>
          <w:rFonts w:ascii="Century Schoolbook" w:hAnsi="Century Schoolbook"/>
          <w:szCs w:val="26"/>
        </w:rPr>
        <w:t>oes]</w:t>
      </w:r>
      <w:r w:rsidRPr="00395E41">
        <w:rPr>
          <w:rFonts w:ascii="Century Schoolbook" w:hAnsi="Century Schoolbook"/>
          <w:szCs w:val="26"/>
        </w:rPr>
        <w:t xml:space="preserve"> not relieve </w:t>
      </w:r>
      <w:r w:rsidR="00972285">
        <w:rPr>
          <w:rFonts w:ascii="Century Schoolbook" w:hAnsi="Century Schoolbook"/>
          <w:szCs w:val="26"/>
        </w:rPr>
        <w:t>[</w:t>
      </w:r>
      <w:r w:rsidRPr="00395E41">
        <w:rPr>
          <w:rFonts w:ascii="Century Schoolbook" w:hAnsi="Century Schoolbook"/>
          <w:szCs w:val="26"/>
        </w:rPr>
        <w:t>the defendant</w:t>
      </w:r>
      <w:r w:rsidR="00972285">
        <w:rPr>
          <w:rFonts w:ascii="Century Schoolbook" w:hAnsi="Century Schoolbook"/>
          <w:szCs w:val="26"/>
        </w:rPr>
        <w:t>]</w:t>
      </w:r>
      <w:r w:rsidRPr="00395E41">
        <w:rPr>
          <w:rFonts w:ascii="Century Schoolbook" w:hAnsi="Century Schoolbook"/>
          <w:szCs w:val="26"/>
        </w:rPr>
        <w:t xml:space="preserve"> from paying </w:t>
      </w:r>
      <w:r w:rsidRPr="00395E41">
        <w:rPr>
          <w:rFonts w:ascii="Century Schoolbook" w:hAnsi="Century Schoolbook"/>
          <w:i/>
          <w:iCs/>
          <w:szCs w:val="26"/>
        </w:rPr>
        <w:t>criminal</w:t>
      </w:r>
      <w:r w:rsidRPr="00395E41">
        <w:rPr>
          <w:rFonts w:ascii="Century Schoolbook" w:hAnsi="Century Schoolbook"/>
          <w:szCs w:val="26"/>
        </w:rPr>
        <w:t xml:space="preserve"> restitution.</w:t>
      </w:r>
      <w:r w:rsidR="00972285">
        <w:rPr>
          <w:rFonts w:ascii="Century Schoolbook" w:hAnsi="Century Schoolbook"/>
          <w:szCs w:val="26"/>
        </w:rPr>
        <w:t>”</w:t>
      </w:r>
      <w:r w:rsidRPr="00395E41">
        <w:rPr>
          <w:rFonts w:ascii="Century Schoolbook" w:hAnsi="Century Schoolbook"/>
          <w:szCs w:val="26"/>
        </w:rPr>
        <w:t xml:space="preserve">  (</w:t>
      </w:r>
      <w:r w:rsidRPr="00395E41">
        <w:rPr>
          <w:rFonts w:ascii="Century Schoolbook" w:hAnsi="Century Schoolbook"/>
          <w:i/>
          <w:iCs/>
          <w:szCs w:val="26"/>
        </w:rPr>
        <w:t>Ibid</w:t>
      </w:r>
      <w:r w:rsidRPr="00395E41">
        <w:rPr>
          <w:rFonts w:ascii="Century Schoolbook" w:hAnsi="Century Schoolbook"/>
          <w:szCs w:val="26"/>
        </w:rPr>
        <w:t xml:space="preserve">.)  </w:t>
      </w:r>
      <w:r w:rsidR="009B70F1">
        <w:rPr>
          <w:rFonts w:ascii="Century Schoolbook" w:hAnsi="Century Schoolbook"/>
          <w:szCs w:val="26"/>
        </w:rPr>
        <w:t>Thus, a</w:t>
      </w:r>
      <w:r w:rsidRPr="00395E41">
        <w:rPr>
          <w:rFonts w:ascii="Century Schoolbook" w:hAnsi="Century Schoolbook"/>
          <w:szCs w:val="26"/>
        </w:rPr>
        <w:t xml:space="preserve"> civil settlement “could no more ‘release [a defendant] from [their] financial debt to the state any more than it could terminate [their] prison sentence.</w:t>
      </w:r>
      <w:r w:rsidR="00972285">
        <w:rPr>
          <w:rFonts w:ascii="Century Schoolbook" w:hAnsi="Century Schoolbook"/>
          <w:szCs w:val="26"/>
        </w:rPr>
        <w:t>’ </w:t>
      </w:r>
      <w:r w:rsidRPr="00395E41">
        <w:rPr>
          <w:rFonts w:ascii="Century Schoolbook" w:hAnsi="Century Schoolbook"/>
          <w:szCs w:val="26"/>
        </w:rPr>
        <w:t>”  (</w:t>
      </w:r>
      <w:r w:rsidRPr="00395E41">
        <w:rPr>
          <w:rFonts w:ascii="Century Schoolbook" w:hAnsi="Century Schoolbook"/>
          <w:i/>
          <w:iCs/>
          <w:szCs w:val="26"/>
        </w:rPr>
        <w:t>Ibid</w:t>
      </w:r>
      <w:r w:rsidRPr="00395E41">
        <w:rPr>
          <w:rFonts w:ascii="Century Schoolbook" w:hAnsi="Century Schoolbook"/>
          <w:szCs w:val="26"/>
        </w:rPr>
        <w:t>.)</w:t>
      </w:r>
      <w:r w:rsidR="00DC0F0C">
        <w:rPr>
          <w:rFonts w:ascii="Century Schoolbook" w:hAnsi="Century Schoolbook"/>
          <w:szCs w:val="26"/>
        </w:rPr>
        <w:t xml:space="preserve">  </w:t>
      </w:r>
      <w:r w:rsidR="00655B7D">
        <w:rPr>
          <w:rFonts w:ascii="Century Schoolbook" w:hAnsi="Century Schoolbook"/>
          <w:bCs/>
          <w:szCs w:val="26"/>
        </w:rPr>
        <w:t>A</w:t>
      </w:r>
      <w:r w:rsidRPr="00395E41">
        <w:rPr>
          <w:rFonts w:ascii="Century Schoolbook" w:hAnsi="Century Schoolbook"/>
          <w:bCs/>
          <w:szCs w:val="26"/>
        </w:rPr>
        <w:t>mounts paid</w:t>
      </w:r>
      <w:r w:rsidR="00B902B0">
        <w:rPr>
          <w:rFonts w:ascii="Century Schoolbook" w:hAnsi="Century Schoolbook"/>
          <w:bCs/>
          <w:szCs w:val="26"/>
        </w:rPr>
        <w:t xml:space="preserve"> to a victim</w:t>
      </w:r>
      <w:r w:rsidRPr="00395E41">
        <w:rPr>
          <w:rFonts w:ascii="Century Schoolbook" w:hAnsi="Century Schoolbook"/>
          <w:bCs/>
          <w:szCs w:val="26"/>
        </w:rPr>
        <w:t xml:space="preserve"> in </w:t>
      </w:r>
      <w:r w:rsidR="00B902B0">
        <w:rPr>
          <w:rFonts w:ascii="Century Schoolbook" w:hAnsi="Century Schoolbook"/>
          <w:bCs/>
          <w:szCs w:val="26"/>
        </w:rPr>
        <w:t xml:space="preserve">a </w:t>
      </w:r>
      <w:r w:rsidRPr="00395E41">
        <w:rPr>
          <w:rFonts w:ascii="Century Schoolbook" w:hAnsi="Century Schoolbook"/>
          <w:bCs/>
          <w:szCs w:val="26"/>
        </w:rPr>
        <w:t>civil settlement</w:t>
      </w:r>
      <w:r w:rsidR="00655B7D">
        <w:rPr>
          <w:rFonts w:ascii="Century Schoolbook" w:hAnsi="Century Schoolbook"/>
          <w:bCs/>
          <w:szCs w:val="26"/>
        </w:rPr>
        <w:t xml:space="preserve"> provide no more than an offset for the restitution amount</w:t>
      </w:r>
      <w:r w:rsidRPr="00395E41">
        <w:rPr>
          <w:rFonts w:ascii="Century Schoolbook" w:hAnsi="Century Schoolbook"/>
          <w:bCs/>
          <w:szCs w:val="26"/>
        </w:rPr>
        <w:t xml:space="preserve">. </w:t>
      </w:r>
      <w:r w:rsidR="00960073">
        <w:rPr>
          <w:rFonts w:ascii="Century Schoolbook" w:hAnsi="Century Schoolbook"/>
          <w:bCs/>
          <w:szCs w:val="26"/>
        </w:rPr>
        <w:t xml:space="preserve"> </w:t>
      </w:r>
      <w:r w:rsidRPr="00DC0F0C" w:rsidR="00DC0F0C">
        <w:rPr>
          <w:rFonts w:ascii="Century Schoolbook" w:hAnsi="Century Schoolbook"/>
          <w:bCs/>
          <w:szCs w:val="26"/>
        </w:rPr>
        <w:t>(</w:t>
      </w:r>
      <w:r w:rsidRPr="00DC0F0C" w:rsidR="00DC0F0C">
        <w:rPr>
          <w:rFonts w:ascii="Century Schoolbook" w:hAnsi="Century Schoolbook"/>
          <w:bCs/>
          <w:i/>
          <w:iCs/>
          <w:szCs w:val="26"/>
        </w:rPr>
        <w:t>People v. Nonaka</w:t>
      </w:r>
      <w:r w:rsidRPr="00DC0F0C" w:rsidR="00DC0F0C">
        <w:rPr>
          <w:rFonts w:ascii="Century Schoolbook" w:hAnsi="Century Schoolbook"/>
          <w:bCs/>
          <w:szCs w:val="26"/>
        </w:rPr>
        <w:t xml:space="preserve">, </w:t>
      </w:r>
      <w:r w:rsidRPr="00DC0F0C" w:rsidR="00DC0F0C">
        <w:rPr>
          <w:rFonts w:ascii="Century Schoolbook" w:hAnsi="Century Schoolbook"/>
          <w:bCs/>
          <w:i/>
          <w:iCs/>
          <w:szCs w:val="26"/>
        </w:rPr>
        <w:t>supra</w:t>
      </w:r>
      <w:r w:rsidRPr="00DC0F0C" w:rsidR="00DC0F0C">
        <w:rPr>
          <w:rFonts w:ascii="Century Schoolbook" w:hAnsi="Century Schoolbook"/>
          <w:bCs/>
          <w:szCs w:val="26"/>
        </w:rPr>
        <w:t>, 83 Cal.App.5th at p. 100</w:t>
      </w:r>
      <w:r w:rsidR="00DC0F0C">
        <w:rPr>
          <w:rFonts w:ascii="Century Schoolbook" w:hAnsi="Century Schoolbook"/>
          <w:bCs/>
          <w:szCs w:val="26"/>
        </w:rPr>
        <w:t>2</w:t>
      </w:r>
      <w:r w:rsidRPr="00DC0F0C" w:rsidR="00DC0F0C">
        <w:rPr>
          <w:rFonts w:ascii="Century Schoolbook" w:hAnsi="Century Schoolbook"/>
          <w:bCs/>
          <w:szCs w:val="26"/>
        </w:rPr>
        <w:t>.)</w:t>
      </w:r>
    </w:p>
    <w:p w:rsidR="008C7998" w:rsidRPr="008C7998" w:rsidP="002301C5" w14:paraId="3CBD006B" w14:textId="7261E9A7">
      <w:pPr>
        <w:spacing w:line="288" w:lineRule="auto"/>
        <w:ind w:firstLine="720"/>
        <w:rPr>
          <w:rFonts w:ascii="Century Schoolbook" w:hAnsi="Century Schoolbook"/>
          <w:szCs w:val="26"/>
        </w:rPr>
      </w:pPr>
      <w:r>
        <w:rPr>
          <w:rFonts w:ascii="Century Schoolbook" w:hAnsi="Century Schoolbook"/>
          <w:szCs w:val="26"/>
        </w:rPr>
        <w:t xml:space="preserve">Unlike a civil settlement, </w:t>
      </w:r>
      <w:r w:rsidR="007572D7">
        <w:rPr>
          <w:rFonts w:ascii="Century Schoolbook" w:hAnsi="Century Schoolbook"/>
          <w:szCs w:val="26"/>
        </w:rPr>
        <w:t>“</w:t>
      </w:r>
      <w:r>
        <w:rPr>
          <w:rFonts w:ascii="Century Schoolbook" w:hAnsi="Century Schoolbook"/>
          <w:szCs w:val="26"/>
        </w:rPr>
        <w:t>[r]</w:t>
      </w:r>
      <w:r w:rsidRPr="0020391E" w:rsidR="0020391E">
        <w:rPr>
          <w:rFonts w:ascii="Century Schoolbook" w:hAnsi="Century Schoolbook"/>
          <w:szCs w:val="26"/>
        </w:rPr>
        <w:t xml:space="preserve">estitution </w:t>
      </w:r>
      <w:r w:rsidRPr="00395E41" w:rsidR="0020391E">
        <w:rPr>
          <w:rFonts w:ascii="Century Schoolbook" w:hAnsi="Century Schoolbook"/>
          <w:szCs w:val="26"/>
        </w:rPr>
        <w:t>‘</w:t>
      </w:r>
      <w:r w:rsidRPr="0020391E" w:rsidR="0020391E">
        <w:rPr>
          <w:rFonts w:ascii="Century Schoolbook" w:hAnsi="Century Schoolbook"/>
          <w:szCs w:val="26"/>
        </w:rPr>
        <w:t>may serve the salutary purpose of making a criminal understand that he has harmed not merely society in the abstract but also individual human beings, and that he has a responsibility to make them whole.</w:t>
      </w:r>
      <w:r w:rsidRPr="00395E41" w:rsidR="0020391E">
        <w:rPr>
          <w:rFonts w:ascii="Century Schoolbook" w:hAnsi="Century Schoolbook"/>
          <w:szCs w:val="26"/>
        </w:rPr>
        <w:t>’</w:t>
      </w:r>
      <w:r w:rsidR="00FC7C3D">
        <w:rPr>
          <w:rFonts w:ascii="Century Schoolbook" w:hAnsi="Century Schoolbook"/>
          <w:szCs w:val="26"/>
        </w:rPr>
        <w:t xml:space="preserve"> </w:t>
      </w:r>
      <w:r w:rsidR="007572D7">
        <w:rPr>
          <w:rFonts w:ascii="Century Schoolbook" w:hAnsi="Century Schoolbook"/>
          <w:szCs w:val="26"/>
        </w:rPr>
        <w:t xml:space="preserve">”  </w:t>
      </w:r>
      <w:r w:rsidRPr="00395E41" w:rsidR="00394067">
        <w:rPr>
          <w:rFonts w:ascii="Century Schoolbook" w:hAnsi="Century Schoolbook"/>
          <w:szCs w:val="26"/>
        </w:rPr>
        <w:t>(</w:t>
      </w:r>
      <w:r w:rsidRPr="0020391E" w:rsidR="00394067">
        <w:rPr>
          <w:rFonts w:ascii="Century Schoolbook" w:hAnsi="Century Schoolbook"/>
          <w:i/>
          <w:iCs/>
          <w:szCs w:val="26"/>
        </w:rPr>
        <w:t>People v. Cookson</w:t>
      </w:r>
      <w:r w:rsidRPr="0020391E" w:rsidR="00394067">
        <w:rPr>
          <w:rFonts w:ascii="Century Schoolbook" w:hAnsi="Century Schoolbook"/>
          <w:szCs w:val="26"/>
        </w:rPr>
        <w:t xml:space="preserve"> (1991) 54 Cal.3d 1091, 109</w:t>
      </w:r>
      <w:r w:rsidR="00394067">
        <w:rPr>
          <w:rFonts w:ascii="Century Schoolbook" w:hAnsi="Century Schoolbook"/>
          <w:szCs w:val="26"/>
        </w:rPr>
        <w:t xml:space="preserve">7.)  </w:t>
      </w:r>
      <w:r w:rsidR="002C0A5F">
        <w:rPr>
          <w:rFonts w:ascii="Century Schoolbook" w:hAnsi="Century Schoolbook"/>
          <w:szCs w:val="26"/>
        </w:rPr>
        <w:t>“[R]</w:t>
      </w:r>
      <w:r w:rsidRPr="0020391E" w:rsidR="0020391E">
        <w:rPr>
          <w:rFonts w:ascii="Century Schoolbook" w:hAnsi="Century Schoolbook"/>
          <w:szCs w:val="26"/>
        </w:rPr>
        <w:t xml:space="preserve">estitution serves valid </w:t>
      </w:r>
      <w:bookmarkStart w:id="14" w:name="_Hlk135656420"/>
      <w:r w:rsidRPr="0020391E" w:rsidR="0020391E">
        <w:rPr>
          <w:rFonts w:ascii="Century Schoolbook" w:hAnsi="Century Schoolbook"/>
          <w:szCs w:val="26"/>
        </w:rPr>
        <w:t xml:space="preserve">punitive, deterrent, and rehabilitative objectives by </w:t>
      </w:r>
      <w:r w:rsidRPr="00395E41" w:rsidR="00C776EB">
        <w:rPr>
          <w:rFonts w:ascii="Century Schoolbook" w:hAnsi="Century Schoolbook"/>
          <w:szCs w:val="26"/>
        </w:rPr>
        <w:t xml:space="preserve">. . . </w:t>
      </w:r>
      <w:r w:rsidRPr="0020391E" w:rsidR="0020391E">
        <w:rPr>
          <w:rFonts w:ascii="Century Schoolbook" w:hAnsi="Century Schoolbook"/>
          <w:szCs w:val="26"/>
        </w:rPr>
        <w:t xml:space="preserve">helping </w:t>
      </w:r>
      <w:r w:rsidR="00D47371">
        <w:rPr>
          <w:rFonts w:ascii="Century Schoolbook" w:hAnsi="Century Schoolbook"/>
          <w:szCs w:val="26"/>
        </w:rPr>
        <w:t>[them]</w:t>
      </w:r>
      <w:r w:rsidRPr="0020391E" w:rsidR="0020391E">
        <w:rPr>
          <w:rFonts w:ascii="Century Schoolbook" w:hAnsi="Century Schoolbook"/>
          <w:szCs w:val="26"/>
        </w:rPr>
        <w:t xml:space="preserve"> appreciate the harm done to the victim.</w:t>
      </w:r>
      <w:r w:rsidRPr="00395E41" w:rsidR="00C776EB">
        <w:rPr>
          <w:rFonts w:ascii="Century Schoolbook" w:hAnsi="Century Schoolbook"/>
          <w:szCs w:val="26"/>
        </w:rPr>
        <w:t xml:space="preserve">”  </w:t>
      </w:r>
      <w:bookmarkEnd w:id="14"/>
      <w:r w:rsidR="00394067">
        <w:rPr>
          <w:rFonts w:ascii="Century Schoolbook" w:hAnsi="Century Schoolbook"/>
          <w:szCs w:val="26"/>
        </w:rPr>
        <w:t>(</w:t>
      </w:r>
      <w:r w:rsidRPr="00394067" w:rsidR="00394067">
        <w:rPr>
          <w:rFonts w:ascii="Century Schoolbook" w:hAnsi="Century Schoolbook"/>
          <w:i/>
          <w:iCs/>
          <w:szCs w:val="26"/>
        </w:rPr>
        <w:t>Ibid</w:t>
      </w:r>
      <w:r w:rsidR="00394067">
        <w:rPr>
          <w:rFonts w:ascii="Century Schoolbook" w:hAnsi="Century Schoolbook"/>
          <w:szCs w:val="26"/>
        </w:rPr>
        <w:t>.</w:t>
      </w:r>
      <w:r w:rsidR="00480935">
        <w:rPr>
          <w:rFonts w:ascii="Century Schoolbook" w:hAnsi="Century Schoolbook"/>
          <w:szCs w:val="26"/>
        </w:rPr>
        <w:t xml:space="preserve">; </w:t>
      </w:r>
      <w:r w:rsidRPr="008C7998">
        <w:rPr>
          <w:rFonts w:ascii="Century Schoolbook" w:hAnsi="Century Schoolbook"/>
          <w:i/>
          <w:iCs/>
          <w:szCs w:val="26"/>
        </w:rPr>
        <w:t>Grundfor</w:t>
      </w:r>
      <w:r w:rsidR="002301C5">
        <w:rPr>
          <w:rFonts w:ascii="Century Schoolbook" w:hAnsi="Century Schoolbook"/>
          <w:szCs w:val="26"/>
        </w:rPr>
        <w:t xml:space="preserve">, </w:t>
      </w:r>
      <w:r w:rsidRPr="00D33B7A" w:rsidR="002301C5">
        <w:rPr>
          <w:rFonts w:ascii="Century Schoolbook" w:hAnsi="Century Schoolbook"/>
          <w:i/>
          <w:iCs/>
          <w:szCs w:val="26"/>
        </w:rPr>
        <w:t>supra</w:t>
      </w:r>
      <w:r w:rsidR="002301C5">
        <w:rPr>
          <w:rFonts w:ascii="Century Schoolbook" w:hAnsi="Century Schoolbook"/>
          <w:szCs w:val="26"/>
        </w:rPr>
        <w:t xml:space="preserve">, </w:t>
      </w:r>
      <w:r w:rsidRPr="008C7998">
        <w:rPr>
          <w:rFonts w:ascii="Century Schoolbook" w:hAnsi="Century Schoolbook"/>
          <w:szCs w:val="26"/>
        </w:rPr>
        <w:t xml:space="preserve">39 Cal.App.5th </w:t>
      </w:r>
      <w:r w:rsidR="00D33B7A">
        <w:rPr>
          <w:rFonts w:ascii="Century Schoolbook" w:hAnsi="Century Schoolbook"/>
          <w:szCs w:val="26"/>
        </w:rPr>
        <w:t>at pp.</w:t>
      </w:r>
      <w:r w:rsidRPr="008C7998">
        <w:rPr>
          <w:rFonts w:ascii="Century Schoolbook" w:hAnsi="Century Schoolbook"/>
          <w:szCs w:val="26"/>
        </w:rPr>
        <w:t xml:space="preserve"> 28</w:t>
      </w:r>
      <w:r w:rsidRPr="00395E41">
        <w:rPr>
          <w:rFonts w:ascii="Century Schoolbook" w:hAnsi="Century Schoolbook"/>
          <w:szCs w:val="26"/>
        </w:rPr>
        <w:t>-29.)</w:t>
      </w:r>
    </w:p>
    <w:p w:rsidR="00B902B0" w:rsidP="00E7465B" w14:paraId="1EE33985" w14:textId="47577574">
      <w:pPr>
        <w:spacing w:line="288" w:lineRule="auto"/>
        <w:ind w:firstLine="720"/>
        <w:rPr>
          <w:rFonts w:ascii="Century Schoolbook" w:hAnsi="Century Schoolbook"/>
          <w:szCs w:val="26"/>
        </w:rPr>
      </w:pPr>
      <w:r w:rsidRPr="00395E41">
        <w:rPr>
          <w:rFonts w:ascii="Century Schoolbook" w:hAnsi="Century Schoolbook"/>
          <w:szCs w:val="26"/>
        </w:rPr>
        <w:t>“A victim’s right to restitution is</w:t>
      </w:r>
      <w:r w:rsidRPr="00395E41" w:rsidR="00D676BE">
        <w:rPr>
          <w:rFonts w:ascii="Century Schoolbook" w:hAnsi="Century Schoolbook"/>
          <w:szCs w:val="26"/>
        </w:rPr>
        <w:t xml:space="preserve"> . . . </w:t>
      </w:r>
      <w:r w:rsidRPr="00395E41">
        <w:rPr>
          <w:rFonts w:ascii="Century Schoolbook" w:hAnsi="Century Schoolbook"/>
          <w:szCs w:val="26"/>
        </w:rPr>
        <w:t>a constitutional one; it cannot be bargained away or limited</w:t>
      </w:r>
      <w:r w:rsidR="005517D6">
        <w:rPr>
          <w:rFonts w:ascii="Century Schoolbook" w:hAnsi="Century Schoolbook"/>
          <w:szCs w:val="26"/>
        </w:rPr>
        <w:t xml:space="preserve">, </w:t>
      </w:r>
      <w:r w:rsidRPr="005517D6" w:rsidR="005517D6">
        <w:rPr>
          <w:rFonts w:ascii="Century Schoolbook" w:hAnsi="Century Schoolbook"/>
          <w:szCs w:val="26"/>
        </w:rPr>
        <w:t>nor can the prosecution waive the victim</w:t>
      </w:r>
      <w:r w:rsidR="005517D6">
        <w:rPr>
          <w:rFonts w:ascii="Century Schoolbook" w:hAnsi="Century Schoolbook"/>
          <w:szCs w:val="26"/>
        </w:rPr>
        <w:t>’</w:t>
      </w:r>
      <w:r w:rsidRPr="005517D6" w:rsidR="005517D6">
        <w:rPr>
          <w:rFonts w:ascii="Century Schoolbook" w:hAnsi="Century Schoolbook"/>
          <w:szCs w:val="26"/>
        </w:rPr>
        <w:t>s right to receive restitution</w:t>
      </w:r>
      <w:r w:rsidRPr="00395E41" w:rsidR="00D676BE">
        <w:rPr>
          <w:rFonts w:ascii="Century Schoolbook" w:hAnsi="Century Schoolbook"/>
          <w:szCs w:val="26"/>
        </w:rPr>
        <w:t>.”  (</w:t>
      </w:r>
      <w:r w:rsidRPr="00395E41">
        <w:rPr>
          <w:rFonts w:ascii="Century Schoolbook" w:hAnsi="Century Schoolbook"/>
          <w:i/>
          <w:iCs/>
          <w:szCs w:val="26"/>
        </w:rPr>
        <w:t>People v. Gross</w:t>
      </w:r>
      <w:r w:rsidRPr="00395E41">
        <w:rPr>
          <w:rFonts w:ascii="Century Schoolbook" w:hAnsi="Century Schoolbook"/>
          <w:szCs w:val="26"/>
        </w:rPr>
        <w:t xml:space="preserve"> (2015) 238 Cal.App.4th 1313, 1318</w:t>
      </w:r>
      <w:r w:rsidRPr="00395E41" w:rsidR="00616817">
        <w:rPr>
          <w:rFonts w:ascii="Century Schoolbook" w:hAnsi="Century Schoolbook"/>
          <w:szCs w:val="26"/>
        </w:rPr>
        <w:t>.)</w:t>
      </w:r>
      <w:r w:rsidRPr="00395E41" w:rsidR="00727F84">
        <w:rPr>
          <w:rFonts w:ascii="Century Schoolbook" w:hAnsi="Century Schoolbook"/>
          <w:szCs w:val="26"/>
        </w:rPr>
        <w:t xml:space="preserve"> </w:t>
      </w:r>
      <w:r w:rsidRPr="00395E41" w:rsidR="008A1F0D">
        <w:rPr>
          <w:rFonts w:ascii="Century Schoolbook" w:hAnsi="Century Schoolbook"/>
          <w:szCs w:val="26"/>
        </w:rPr>
        <w:t xml:space="preserve"> </w:t>
      </w:r>
      <w:r w:rsidRPr="00395E41" w:rsidR="00C54C50">
        <w:rPr>
          <w:rFonts w:ascii="Century Schoolbook" w:hAnsi="Century Schoolbook"/>
          <w:szCs w:val="26"/>
        </w:rPr>
        <w:t>“The Legislature left no discretion or authority with the trial court or the prosecution to bargain away the victim’s constitutional and statutory right to restitution.”  (</w:t>
      </w:r>
      <w:r w:rsidRPr="00C54C50" w:rsidR="00C54C50">
        <w:rPr>
          <w:rFonts w:ascii="Century Schoolbook" w:hAnsi="Century Schoolbook"/>
          <w:i/>
          <w:iCs/>
          <w:szCs w:val="26"/>
        </w:rPr>
        <w:t>People v. Valdez</w:t>
      </w:r>
      <w:r w:rsidRPr="00C54C50" w:rsidR="00C54C50">
        <w:rPr>
          <w:rFonts w:ascii="Century Schoolbook" w:hAnsi="Century Schoolbook"/>
          <w:szCs w:val="26"/>
        </w:rPr>
        <w:t xml:space="preserve"> (1994) 24 Cal.App.4th 1194, 1203</w:t>
      </w:r>
      <w:r w:rsidRPr="00395E41" w:rsidR="00C54C50">
        <w:rPr>
          <w:rFonts w:ascii="Century Schoolbook" w:hAnsi="Century Schoolbook"/>
          <w:szCs w:val="26"/>
        </w:rPr>
        <w:t xml:space="preserve">.)  </w:t>
      </w:r>
    </w:p>
    <w:p w:rsidR="002B462C" w:rsidP="002B462C" w14:paraId="67948341" w14:textId="10251D8C">
      <w:pPr>
        <w:spacing w:line="288" w:lineRule="auto"/>
        <w:ind w:firstLine="720"/>
        <w:rPr>
          <w:rFonts w:ascii="Century Schoolbook" w:hAnsi="Century Schoolbook"/>
          <w:szCs w:val="26"/>
        </w:rPr>
      </w:pPr>
      <w:r w:rsidRPr="00395E41">
        <w:rPr>
          <w:rFonts w:ascii="Century Schoolbook" w:hAnsi="Century Schoolbook"/>
          <w:szCs w:val="26"/>
        </w:rPr>
        <w:t xml:space="preserve">But the </w:t>
      </w:r>
      <w:r w:rsidR="00480935">
        <w:rPr>
          <w:rFonts w:ascii="Century Schoolbook" w:hAnsi="Century Schoolbook"/>
          <w:szCs w:val="26"/>
        </w:rPr>
        <w:t xml:space="preserve">trial </w:t>
      </w:r>
      <w:r w:rsidRPr="00395E41">
        <w:rPr>
          <w:rFonts w:ascii="Century Schoolbook" w:hAnsi="Century Schoolbook"/>
          <w:szCs w:val="26"/>
        </w:rPr>
        <w:t xml:space="preserve">court here did just that.  It appointed a mediator with power to negotiate </w:t>
      </w:r>
      <w:r w:rsidRPr="00395E41" w:rsidR="008660C7">
        <w:rPr>
          <w:rFonts w:ascii="Century Schoolbook" w:hAnsi="Century Schoolbook"/>
          <w:szCs w:val="26"/>
        </w:rPr>
        <w:t>“</w:t>
      </w:r>
      <w:r w:rsidRPr="00395E41">
        <w:rPr>
          <w:rFonts w:ascii="Century Schoolbook" w:hAnsi="Century Schoolbook"/>
          <w:szCs w:val="26"/>
        </w:rPr>
        <w:t xml:space="preserve">settlement” of </w:t>
      </w:r>
      <w:r w:rsidRPr="00395E41" w:rsidR="008660C7">
        <w:rPr>
          <w:rFonts w:ascii="Century Schoolbook" w:hAnsi="Century Schoolbook"/>
          <w:szCs w:val="26"/>
        </w:rPr>
        <w:t xml:space="preserve">restitution </w:t>
      </w:r>
      <w:r w:rsidR="00B902B0">
        <w:rPr>
          <w:rFonts w:ascii="Century Schoolbook" w:hAnsi="Century Schoolbook"/>
          <w:szCs w:val="26"/>
        </w:rPr>
        <w:t>claims</w:t>
      </w:r>
      <w:r w:rsidR="002A365C">
        <w:rPr>
          <w:rFonts w:ascii="Century Schoolbook" w:hAnsi="Century Schoolbook"/>
          <w:szCs w:val="26"/>
        </w:rPr>
        <w:t xml:space="preserve"> and </w:t>
      </w:r>
      <w:r w:rsidRPr="00395E41" w:rsidR="008660C7">
        <w:rPr>
          <w:rFonts w:ascii="Century Schoolbook" w:hAnsi="Century Schoolbook"/>
          <w:szCs w:val="26"/>
        </w:rPr>
        <w:t>accepted th</w:t>
      </w:r>
      <w:r w:rsidR="002A365C">
        <w:rPr>
          <w:rFonts w:ascii="Century Schoolbook" w:hAnsi="Century Schoolbook"/>
          <w:szCs w:val="26"/>
        </w:rPr>
        <w:t>e</w:t>
      </w:r>
      <w:r w:rsidRPr="00395E41" w:rsidR="008660C7">
        <w:rPr>
          <w:rFonts w:ascii="Century Schoolbook" w:hAnsi="Century Schoolbook"/>
          <w:szCs w:val="26"/>
        </w:rPr>
        <w:t xml:space="preserve"> settlements without making the required showing that </w:t>
      </w:r>
      <w:r w:rsidRPr="00395E41" w:rsidR="00FB2878">
        <w:rPr>
          <w:rFonts w:ascii="Century Schoolbook" w:hAnsi="Century Schoolbook"/>
          <w:szCs w:val="26"/>
        </w:rPr>
        <w:t xml:space="preserve">the </w:t>
      </w:r>
      <w:r w:rsidR="00E570D6">
        <w:rPr>
          <w:rFonts w:ascii="Century Schoolbook" w:hAnsi="Century Schoolbook"/>
          <w:szCs w:val="26"/>
        </w:rPr>
        <w:t xml:space="preserve">payments </w:t>
      </w:r>
      <w:r w:rsidRPr="00E570D6" w:rsidR="00E570D6">
        <w:rPr>
          <w:rFonts w:ascii="Century Schoolbook" w:hAnsi="Century Schoolbook"/>
          <w:szCs w:val="26"/>
        </w:rPr>
        <w:t>“</w:t>
      </w:r>
      <w:r w:rsidRPr="00E570D6" w:rsidR="00035513">
        <w:rPr>
          <w:rFonts w:ascii="Century Schoolbook" w:hAnsi="Century Schoolbook"/>
          <w:szCs w:val="26"/>
        </w:rPr>
        <w:t>fully reimburse the victim or victims for every determined economic loss incurred as the result of the defendant’s criminal conduct.”  (</w:t>
      </w:r>
      <w:r w:rsidR="00DC5241">
        <w:rPr>
          <w:rFonts w:ascii="Century Schoolbook" w:hAnsi="Century Schoolbook"/>
          <w:szCs w:val="26"/>
        </w:rPr>
        <w:t xml:space="preserve">Pen. Code, </w:t>
      </w:r>
      <w:r w:rsidRPr="00E570D6" w:rsidR="00035513">
        <w:rPr>
          <w:rFonts w:ascii="Century Schoolbook" w:hAnsi="Century Schoolbook"/>
          <w:szCs w:val="26"/>
        </w:rPr>
        <w:t>§</w:t>
      </w:r>
      <w:r w:rsidR="000E2D60">
        <w:rPr>
          <w:rFonts w:ascii="Century Schoolbook" w:hAnsi="Century Schoolbook"/>
          <w:szCs w:val="26"/>
        </w:rPr>
        <w:t> </w:t>
      </w:r>
      <w:r w:rsidRPr="00E570D6" w:rsidR="00035513">
        <w:rPr>
          <w:rFonts w:ascii="Century Schoolbook" w:hAnsi="Century Schoolbook"/>
          <w:szCs w:val="26"/>
        </w:rPr>
        <w:t>1202.4, subd. (f)(3)</w:t>
      </w:r>
      <w:r w:rsidR="00E570D6">
        <w:rPr>
          <w:rFonts w:ascii="Century Schoolbook" w:hAnsi="Century Schoolbook"/>
          <w:szCs w:val="26"/>
        </w:rPr>
        <w:t>.)</w:t>
      </w:r>
      <w:r>
        <w:rPr>
          <w:rFonts w:ascii="Century Schoolbook" w:hAnsi="Century Schoolbook"/>
          <w:szCs w:val="26"/>
        </w:rPr>
        <w:t xml:space="preserve"> </w:t>
      </w:r>
      <w:r w:rsidR="00B902B0">
        <w:rPr>
          <w:rFonts w:ascii="Century Schoolbook" w:hAnsi="Century Schoolbook"/>
          <w:szCs w:val="26"/>
        </w:rPr>
        <w:t xml:space="preserve"> </w:t>
      </w:r>
    </w:p>
    <w:p w:rsidR="00766DE6" w:rsidP="00D024AE" w14:paraId="1AEF8CF3" w14:textId="7B247EEB">
      <w:pPr>
        <w:spacing w:line="288" w:lineRule="auto"/>
        <w:ind w:firstLine="720"/>
        <w:rPr>
          <w:rFonts w:ascii="Century Schoolbook" w:hAnsi="Century Schoolbook"/>
          <w:szCs w:val="26"/>
        </w:rPr>
      </w:pPr>
      <w:r>
        <w:rPr>
          <w:rFonts w:ascii="Century Schoolbook" w:hAnsi="Century Schoolbook"/>
          <w:szCs w:val="26"/>
        </w:rPr>
        <w:t xml:space="preserve">The court did not </w:t>
      </w:r>
      <w:r w:rsidRPr="00905B2C" w:rsidR="00905B2C">
        <w:rPr>
          <w:rFonts w:ascii="Century Schoolbook" w:hAnsi="Century Schoolbook"/>
          <w:szCs w:val="26"/>
        </w:rPr>
        <w:t>“analyze the evidence presented, and make a clear statement of the calculation method used and how that method justifies the amount ordered.”  (</w:t>
      </w:r>
      <w:r w:rsidRPr="00905B2C" w:rsidR="00905B2C">
        <w:rPr>
          <w:rFonts w:ascii="Century Schoolbook" w:hAnsi="Century Schoolbook"/>
          <w:i/>
          <w:iCs/>
          <w:szCs w:val="26"/>
        </w:rPr>
        <w:t>People v. Giordano</w:t>
      </w:r>
      <w:r w:rsidRPr="00905B2C" w:rsidR="00905B2C">
        <w:rPr>
          <w:rFonts w:ascii="Century Schoolbook" w:hAnsi="Century Schoolbook"/>
          <w:szCs w:val="26"/>
        </w:rPr>
        <w:t xml:space="preserve"> (2007) 42 Cal.4th 644, 664.)</w:t>
      </w:r>
      <w:r w:rsidR="00905B2C">
        <w:rPr>
          <w:rFonts w:ascii="Century Schoolbook" w:hAnsi="Century Schoolbook"/>
          <w:szCs w:val="26"/>
        </w:rPr>
        <w:t xml:space="preserve">  Nor was t</w:t>
      </w:r>
      <w:r w:rsidR="00297349">
        <w:rPr>
          <w:rFonts w:ascii="Century Schoolbook" w:hAnsi="Century Schoolbook"/>
          <w:szCs w:val="26"/>
        </w:rPr>
        <w:t>he amount of restitution</w:t>
      </w:r>
      <w:r w:rsidR="00905B2C">
        <w:rPr>
          <w:rFonts w:ascii="Century Schoolbook" w:hAnsi="Century Schoolbook"/>
          <w:szCs w:val="26"/>
        </w:rPr>
        <w:t xml:space="preserve"> </w:t>
      </w:r>
      <w:r w:rsidR="00297349">
        <w:rPr>
          <w:rFonts w:ascii="Century Schoolbook" w:hAnsi="Century Schoolbook"/>
          <w:szCs w:val="26"/>
        </w:rPr>
        <w:t>“in an amount established by court order” based on a “showing to the court.”  (</w:t>
      </w:r>
      <w:r w:rsidR="004E4846">
        <w:rPr>
          <w:rFonts w:ascii="Century Schoolbook" w:hAnsi="Century Schoolbook"/>
          <w:szCs w:val="26"/>
        </w:rPr>
        <w:t xml:space="preserve">Pen. Code, </w:t>
      </w:r>
      <w:r w:rsidR="007D5136">
        <w:rPr>
          <w:rFonts w:ascii="Century Schoolbook" w:hAnsi="Century Schoolbook"/>
          <w:szCs w:val="26"/>
        </w:rPr>
        <w:t>§ 120</w:t>
      </w:r>
      <w:r w:rsidR="008132CA">
        <w:rPr>
          <w:rFonts w:ascii="Century Schoolbook" w:hAnsi="Century Schoolbook"/>
          <w:szCs w:val="26"/>
        </w:rPr>
        <w:t>2</w:t>
      </w:r>
      <w:r w:rsidR="007D5136">
        <w:rPr>
          <w:rFonts w:ascii="Century Schoolbook" w:hAnsi="Century Schoolbook"/>
          <w:szCs w:val="26"/>
        </w:rPr>
        <w:t xml:space="preserve">.4, subd. (f).)  </w:t>
      </w:r>
      <w:r w:rsidRPr="00395E41">
        <w:rPr>
          <w:rFonts w:ascii="Century Schoolbook" w:hAnsi="Century Schoolbook"/>
          <w:szCs w:val="26"/>
        </w:rPr>
        <w:t>A sentence that provides less tha</w:t>
      </w:r>
      <w:r w:rsidR="00971802">
        <w:rPr>
          <w:rFonts w:ascii="Century Schoolbook" w:hAnsi="Century Schoolbook"/>
          <w:szCs w:val="26"/>
        </w:rPr>
        <w:t>n</w:t>
      </w:r>
      <w:r w:rsidRPr="00395E41">
        <w:rPr>
          <w:rFonts w:ascii="Century Schoolbook" w:hAnsi="Century Schoolbook"/>
          <w:szCs w:val="26"/>
        </w:rPr>
        <w:t xml:space="preserve"> “</w:t>
      </w:r>
      <w:r w:rsidR="0013020A">
        <w:rPr>
          <w:rFonts w:ascii="Century Schoolbook" w:hAnsi="Century Schoolbook"/>
          <w:szCs w:val="26"/>
        </w:rPr>
        <w:t> ‘</w:t>
      </w:r>
      <w:r w:rsidRPr="00395E41">
        <w:rPr>
          <w:rFonts w:ascii="Century Schoolbook" w:hAnsi="Century Schoolbook"/>
          <w:szCs w:val="26"/>
        </w:rPr>
        <w:t>full restitution</w:t>
      </w:r>
      <w:r w:rsidR="0013020A">
        <w:rPr>
          <w:rFonts w:ascii="Century Schoolbook" w:hAnsi="Century Schoolbook"/>
          <w:szCs w:val="26"/>
        </w:rPr>
        <w:t>’ </w:t>
      </w:r>
      <w:r w:rsidRPr="00395E41">
        <w:rPr>
          <w:rFonts w:ascii="Century Schoolbook" w:hAnsi="Century Schoolbook"/>
          <w:szCs w:val="26"/>
        </w:rPr>
        <w:t>” is invalid.  (</w:t>
      </w:r>
      <w:r w:rsidRPr="00395E41">
        <w:rPr>
          <w:rFonts w:ascii="Century Schoolbook" w:hAnsi="Century Schoolbook"/>
          <w:i/>
          <w:iCs/>
          <w:szCs w:val="26"/>
        </w:rPr>
        <w:t>People v. Bernal</w:t>
      </w:r>
      <w:r w:rsidRPr="00395E41">
        <w:rPr>
          <w:rFonts w:ascii="Century Schoolbook" w:hAnsi="Century Schoolbook"/>
          <w:szCs w:val="26"/>
        </w:rPr>
        <w:t xml:space="preserve"> (2002) 101 Cal.App.4th 155, 164-165.)</w:t>
      </w:r>
      <w:r>
        <w:rPr>
          <w:rFonts w:ascii="Century Schoolbook" w:hAnsi="Century Schoolbook"/>
          <w:szCs w:val="26"/>
        </w:rPr>
        <w:t xml:space="preserve">  </w:t>
      </w:r>
    </w:p>
    <w:p w:rsidR="002A365C" w:rsidP="002A365C" w14:paraId="1B8C3993" w14:textId="71269383">
      <w:pPr>
        <w:spacing w:line="288" w:lineRule="auto"/>
        <w:ind w:firstLine="720"/>
        <w:rPr>
          <w:rFonts w:ascii="Century Schoolbook" w:hAnsi="Century Schoolbook"/>
          <w:szCs w:val="26"/>
        </w:rPr>
      </w:pPr>
      <w:r w:rsidRPr="002A365C">
        <w:rPr>
          <w:rFonts w:ascii="Century Schoolbook" w:hAnsi="Century Schoolbook"/>
          <w:szCs w:val="26"/>
        </w:rPr>
        <w:t>By refusing to order restitution for those claimants who settled their claims through mediation, the court did not comply with the mandate that “[r]estitution shall be ordered .</w:t>
      </w:r>
      <w:r w:rsidR="00EF61BB">
        <w:rPr>
          <w:rFonts w:ascii="Century Schoolbook" w:hAnsi="Century Schoolbook"/>
          <w:szCs w:val="26"/>
        </w:rPr>
        <w:t> </w:t>
      </w:r>
      <w:r w:rsidRPr="002A365C">
        <w:rPr>
          <w:rFonts w:ascii="Century Schoolbook" w:hAnsi="Century Schoolbook"/>
          <w:szCs w:val="26"/>
        </w:rPr>
        <w:t>.</w:t>
      </w:r>
      <w:r w:rsidR="00EF61BB">
        <w:rPr>
          <w:rFonts w:ascii="Century Schoolbook" w:hAnsi="Century Schoolbook"/>
          <w:szCs w:val="26"/>
        </w:rPr>
        <w:t> </w:t>
      </w:r>
      <w:r w:rsidRPr="002A365C">
        <w:rPr>
          <w:rFonts w:ascii="Century Schoolbook" w:hAnsi="Century Schoolbook"/>
          <w:szCs w:val="26"/>
        </w:rPr>
        <w:t>. in every case .</w:t>
      </w:r>
      <w:r w:rsidR="00EF61BB">
        <w:rPr>
          <w:rFonts w:ascii="Century Schoolbook" w:hAnsi="Century Schoolbook"/>
          <w:szCs w:val="26"/>
        </w:rPr>
        <w:t> </w:t>
      </w:r>
      <w:r w:rsidRPr="002A365C">
        <w:rPr>
          <w:rFonts w:ascii="Century Schoolbook" w:hAnsi="Century Schoolbook"/>
          <w:szCs w:val="26"/>
        </w:rPr>
        <w:t>.</w:t>
      </w:r>
      <w:r w:rsidR="00EF61BB">
        <w:rPr>
          <w:rFonts w:ascii="Century Schoolbook" w:hAnsi="Century Schoolbook"/>
          <w:szCs w:val="26"/>
        </w:rPr>
        <w:t> </w:t>
      </w:r>
      <w:r w:rsidRPr="002A365C">
        <w:rPr>
          <w:rFonts w:ascii="Century Schoolbook" w:hAnsi="Century Schoolbook"/>
          <w:szCs w:val="26"/>
        </w:rPr>
        <w:t>. in which a crime victim suffers a loss.”  (Cal. Const., art. I, § 28, subd. (b)(13)(B); Pen. Code, § 1202.4, subd. (f).)  Instead, the court erroneously accepted settlements as a substitute for criminal restitution.  (</w:t>
      </w:r>
      <w:r w:rsidRPr="002A365C">
        <w:rPr>
          <w:rFonts w:ascii="Century Schoolbook" w:hAnsi="Century Schoolbook"/>
          <w:i/>
          <w:iCs/>
          <w:szCs w:val="26"/>
        </w:rPr>
        <w:t>Grundfor</w:t>
      </w:r>
      <w:r w:rsidRPr="002A365C">
        <w:rPr>
          <w:rFonts w:ascii="Century Schoolbook" w:hAnsi="Century Schoolbook"/>
          <w:szCs w:val="26"/>
        </w:rPr>
        <w:t xml:space="preserve">, </w:t>
      </w:r>
      <w:r w:rsidRPr="002A365C">
        <w:rPr>
          <w:rFonts w:ascii="Century Schoolbook" w:hAnsi="Century Schoolbook"/>
          <w:i/>
          <w:iCs/>
          <w:szCs w:val="26"/>
        </w:rPr>
        <w:t>supra</w:t>
      </w:r>
      <w:r w:rsidRPr="002A365C">
        <w:rPr>
          <w:rFonts w:ascii="Century Schoolbook" w:hAnsi="Century Schoolbook"/>
          <w:szCs w:val="26"/>
        </w:rPr>
        <w:t xml:space="preserve">, 39 Cal.App.5th at p. 28.)  </w:t>
      </w:r>
    </w:p>
    <w:p w:rsidR="00E066BE" w:rsidP="00C93D87" w14:paraId="6687D352" w14:textId="5B8B5A29">
      <w:pPr>
        <w:spacing w:line="288" w:lineRule="auto"/>
        <w:ind w:firstLine="720"/>
        <w:rPr>
          <w:rFonts w:ascii="Century Schoolbook" w:hAnsi="Century Schoolbook"/>
          <w:color w:val="000000"/>
          <w:szCs w:val="26"/>
        </w:rPr>
      </w:pPr>
      <w:r>
        <w:rPr>
          <w:rFonts w:ascii="Century Schoolbook" w:hAnsi="Century Schoolbook"/>
          <w:szCs w:val="26"/>
        </w:rPr>
        <w:t xml:space="preserve">We conclude </w:t>
      </w:r>
      <w:r>
        <w:rPr>
          <w:rFonts w:ascii="Century Schoolbook" w:hAnsi="Century Schoolbook"/>
          <w:bCs/>
          <w:szCs w:val="26"/>
        </w:rPr>
        <w:t>t</w:t>
      </w:r>
      <w:r w:rsidR="008E78E6">
        <w:rPr>
          <w:rFonts w:ascii="Century Schoolbook" w:hAnsi="Century Schoolbook"/>
          <w:bCs/>
          <w:szCs w:val="26"/>
        </w:rPr>
        <w:t>he court was required to order restitution for commercial fishers</w:t>
      </w:r>
      <w:r w:rsidR="001E7569">
        <w:rPr>
          <w:rFonts w:ascii="Century Schoolbook" w:hAnsi="Century Schoolbook"/>
          <w:bCs/>
          <w:szCs w:val="26"/>
        </w:rPr>
        <w:t xml:space="preserve"> in Group 2 </w:t>
      </w:r>
      <w:r w:rsidR="009B13E2">
        <w:rPr>
          <w:rFonts w:ascii="Century Schoolbook" w:hAnsi="Century Schoolbook"/>
          <w:bCs/>
          <w:szCs w:val="26"/>
        </w:rPr>
        <w:t xml:space="preserve">who could demonstrate losses from the crime.  </w:t>
      </w:r>
      <w:r w:rsidR="00E95442">
        <w:rPr>
          <w:rFonts w:ascii="Century Schoolbook" w:hAnsi="Century Schoolbook"/>
          <w:bCs/>
          <w:szCs w:val="26"/>
        </w:rPr>
        <w:t>“ ‘</w:t>
      </w:r>
      <w:r w:rsidR="00504E57">
        <w:rPr>
          <w:rFonts w:ascii="Century Schoolbook" w:hAnsi="Century Schoolbook"/>
          <w:bCs/>
          <w:szCs w:val="26"/>
        </w:rPr>
        <w:t xml:space="preserve">[C]ommercial </w:t>
      </w:r>
      <w:r w:rsidR="00E95442">
        <w:rPr>
          <w:rFonts w:ascii="Century Schoolbook" w:hAnsi="Century Schoolbook"/>
          <w:bCs/>
          <w:szCs w:val="26"/>
        </w:rPr>
        <w:t>fishermen’ whose livelihoods depend on the flourishing of aquatic life in the commons of the sea</w:t>
      </w:r>
      <w:r w:rsidR="00CC7810">
        <w:rPr>
          <w:rFonts w:ascii="Century Schoolbook" w:hAnsi="Century Schoolbook"/>
          <w:bCs/>
          <w:szCs w:val="26"/>
        </w:rPr>
        <w:t>”</w:t>
      </w:r>
      <w:r w:rsidR="00504E57">
        <w:rPr>
          <w:rFonts w:ascii="Century Schoolbook" w:hAnsi="Century Schoolbook"/>
          <w:bCs/>
          <w:szCs w:val="26"/>
        </w:rPr>
        <w:t xml:space="preserve"> </w:t>
      </w:r>
      <w:r w:rsidR="00E95442">
        <w:rPr>
          <w:rFonts w:ascii="Century Schoolbook" w:hAnsi="Century Schoolbook"/>
          <w:bCs/>
          <w:szCs w:val="26"/>
        </w:rPr>
        <w:t>are direct victims “for the ‘diminution of aquatic life’ caused by an oil spill.”</w:t>
      </w:r>
      <w:r w:rsidRPr="00CC0D15" w:rsidR="00E95442">
        <w:rPr>
          <w:rFonts w:ascii="Century Schoolbook" w:hAnsi="Century Schoolbook"/>
          <w:bCs/>
          <w:szCs w:val="26"/>
        </w:rPr>
        <w:t xml:space="preserve">  </w:t>
      </w:r>
      <w:r w:rsidRPr="00EF61BB" w:rsidR="00E95442">
        <w:rPr>
          <w:rFonts w:ascii="Century Schoolbook" w:hAnsi="Century Schoolbook"/>
          <w:bCs/>
          <w:szCs w:val="26"/>
        </w:rPr>
        <w:t>(</w:t>
      </w:r>
      <w:r w:rsidRPr="00EF61BB" w:rsidR="00E95442">
        <w:rPr>
          <w:rFonts w:ascii="Century Schoolbook" w:hAnsi="Century Schoolbook"/>
          <w:i/>
          <w:iCs/>
          <w:szCs w:val="26"/>
          <w:bdr w:val="none" w:sz="0" w:space="0" w:color="auto" w:frame="1"/>
        </w:rPr>
        <w:t>Gas Leak Cases</w:t>
      </w:r>
      <w:r w:rsidRPr="00EF61BB" w:rsidR="00E95442">
        <w:rPr>
          <w:rFonts w:ascii="Century Schoolbook" w:hAnsi="Century Schoolbook"/>
          <w:szCs w:val="26"/>
        </w:rPr>
        <w:t xml:space="preserve">, </w:t>
      </w:r>
      <w:r w:rsidRPr="00EF61BB" w:rsidR="00E95442">
        <w:rPr>
          <w:rFonts w:ascii="Century Schoolbook" w:hAnsi="Century Schoolbook"/>
          <w:i/>
          <w:iCs/>
          <w:szCs w:val="26"/>
        </w:rPr>
        <w:t>supra</w:t>
      </w:r>
      <w:r w:rsidRPr="00EF61BB" w:rsidR="00E95442">
        <w:rPr>
          <w:rFonts w:ascii="Century Schoolbook" w:hAnsi="Century Schoolbook"/>
          <w:szCs w:val="26"/>
        </w:rPr>
        <w:t xml:space="preserve">, 7 Cal.5th at p. 406, citing </w:t>
      </w:r>
      <w:r w:rsidRPr="00EF61BB" w:rsidR="00E95442">
        <w:rPr>
          <w:rFonts w:ascii="Century Schoolbook" w:hAnsi="Century Schoolbook"/>
          <w:i/>
          <w:iCs/>
          <w:szCs w:val="26"/>
          <w:bdr w:val="none" w:sz="0" w:space="0" w:color="auto" w:frame="1"/>
        </w:rPr>
        <w:t>Union Oil Co. v. Oppen</w:t>
      </w:r>
      <w:r w:rsidR="00E95442">
        <w:rPr>
          <w:rFonts w:ascii="Century Schoolbook" w:hAnsi="Century Schoolbook"/>
          <w:color w:val="000000"/>
          <w:szCs w:val="26"/>
        </w:rPr>
        <w:t xml:space="preserve"> (9th Cir. 1974) 501 F.2d 558, 570.)  </w:t>
      </w:r>
      <w:r w:rsidR="00484E75">
        <w:rPr>
          <w:rFonts w:ascii="Century Schoolbook" w:hAnsi="Century Schoolbook"/>
          <w:color w:val="000000"/>
          <w:szCs w:val="26"/>
        </w:rPr>
        <w:t>“</w:t>
      </w:r>
      <w:r w:rsidRPr="00484E75" w:rsidR="00484E75">
        <w:rPr>
          <w:rFonts w:ascii="Century Schoolbook" w:hAnsi="Century Schoolbook"/>
          <w:color w:val="000000"/>
          <w:szCs w:val="26"/>
        </w:rPr>
        <w:t xml:space="preserve">This long recognized rule (the right of fishermen to recover their share of the prospective catch) is no doubt a manifestation of the </w:t>
      </w:r>
      <w:r w:rsidR="00484E75">
        <w:rPr>
          <w:rFonts w:ascii="Century Schoolbook" w:hAnsi="Century Schoolbook"/>
          <w:color w:val="000000"/>
          <w:szCs w:val="26"/>
        </w:rPr>
        <w:t xml:space="preserve">familiar </w:t>
      </w:r>
      <w:r w:rsidRPr="00484E75" w:rsidR="00484E75">
        <w:rPr>
          <w:rFonts w:ascii="Century Schoolbook" w:hAnsi="Century Schoolbook"/>
          <w:color w:val="000000"/>
          <w:szCs w:val="26"/>
        </w:rPr>
        <w:t>principle that seamen are the favorites of admiralty and their economic interests entitled to the fullest possible legal protection.</w:t>
      </w:r>
      <w:r w:rsidR="00484E75">
        <w:rPr>
          <w:rFonts w:ascii="Century Schoolbook" w:hAnsi="Century Schoolbook"/>
          <w:color w:val="000000"/>
          <w:szCs w:val="26"/>
        </w:rPr>
        <w:t>”  (</w:t>
      </w:r>
      <w:r w:rsidRPr="00484E75" w:rsidR="00484E75">
        <w:rPr>
          <w:rFonts w:ascii="Century Schoolbook" w:hAnsi="Century Schoolbook"/>
          <w:i/>
          <w:iCs/>
          <w:color w:val="000000"/>
          <w:szCs w:val="26"/>
        </w:rPr>
        <w:t>Union O</w:t>
      </w:r>
      <w:r w:rsidRPr="0056191C" w:rsidR="00484E75">
        <w:rPr>
          <w:rFonts w:ascii="Century Schoolbook" w:hAnsi="Century Schoolbook"/>
          <w:i/>
          <w:iCs/>
          <w:color w:val="000000"/>
          <w:szCs w:val="26"/>
        </w:rPr>
        <w:t>il</w:t>
      </w:r>
      <w:r w:rsidRPr="00E066BE" w:rsidR="00484E75">
        <w:rPr>
          <w:rFonts w:ascii="Century Schoolbook" w:hAnsi="Century Schoolbook"/>
          <w:color w:val="000000"/>
          <w:szCs w:val="26"/>
        </w:rPr>
        <w:t xml:space="preserve">, at p. </w:t>
      </w:r>
      <w:r w:rsidRPr="00484E75" w:rsidR="00484E75">
        <w:rPr>
          <w:rFonts w:ascii="Century Schoolbook" w:hAnsi="Century Schoolbook"/>
          <w:color w:val="000000"/>
          <w:szCs w:val="26"/>
        </w:rPr>
        <w:t>567</w:t>
      </w:r>
      <w:r w:rsidR="00484E75">
        <w:rPr>
          <w:rFonts w:ascii="Century Schoolbook" w:hAnsi="Century Schoolbook"/>
          <w:color w:val="000000"/>
          <w:szCs w:val="26"/>
        </w:rPr>
        <w:t>.)</w:t>
      </w:r>
      <w:r w:rsidR="002B019B">
        <w:rPr>
          <w:rFonts w:ascii="Century Schoolbook" w:hAnsi="Century Schoolbook"/>
          <w:color w:val="000000"/>
          <w:szCs w:val="26"/>
        </w:rPr>
        <w:t xml:space="preserve">  </w:t>
      </w:r>
      <w:r w:rsidR="008D156E">
        <w:rPr>
          <w:rFonts w:ascii="Century Schoolbook" w:hAnsi="Century Schoolbook"/>
          <w:color w:val="000000"/>
          <w:szCs w:val="26"/>
        </w:rPr>
        <w:t xml:space="preserve">This liability is for “a </w:t>
      </w:r>
      <w:r w:rsidRPr="00F51095" w:rsidR="00F51095">
        <w:rPr>
          <w:rFonts w:ascii="Century Schoolbook" w:hAnsi="Century Schoolbook"/>
          <w:color w:val="000000"/>
          <w:szCs w:val="26"/>
        </w:rPr>
        <w:t>pecuniary loss of a particular and special nature, limited to the class of commercial fishermen</w:t>
      </w:r>
      <w:r w:rsidR="00C93D87">
        <w:rPr>
          <w:rFonts w:ascii="Century Schoolbook" w:hAnsi="Century Schoolbook"/>
          <w:color w:val="000000"/>
          <w:szCs w:val="26"/>
        </w:rPr>
        <w:t>,</w:t>
      </w:r>
      <w:r w:rsidR="008D156E">
        <w:rPr>
          <w:rFonts w:ascii="Century Schoolbook" w:hAnsi="Century Schoolbook"/>
          <w:color w:val="000000"/>
          <w:szCs w:val="26"/>
        </w:rPr>
        <w:t xml:space="preserve">” </w:t>
      </w:r>
      <w:r w:rsidR="00C93D87">
        <w:rPr>
          <w:rFonts w:ascii="Century Schoolbook" w:hAnsi="Century Schoolbook"/>
          <w:color w:val="000000"/>
          <w:szCs w:val="26"/>
        </w:rPr>
        <w:t>and does not extend to recreational fishers.  (</w:t>
      </w:r>
      <w:r w:rsidRPr="00E066BE" w:rsidR="00C93D87">
        <w:rPr>
          <w:rFonts w:ascii="Century Schoolbook" w:hAnsi="Century Schoolbook"/>
          <w:i/>
          <w:iCs/>
          <w:color w:val="000000"/>
          <w:szCs w:val="26"/>
        </w:rPr>
        <w:t>Id</w:t>
      </w:r>
      <w:r w:rsidR="00C93D87">
        <w:rPr>
          <w:rFonts w:ascii="Century Schoolbook" w:hAnsi="Century Schoolbook"/>
          <w:color w:val="000000"/>
          <w:szCs w:val="26"/>
        </w:rPr>
        <w:t>. at p. 570.)</w:t>
      </w:r>
    </w:p>
    <w:p w:rsidR="00C85556" w:rsidP="00C93D87" w14:paraId="14617188" w14:textId="473308A2">
      <w:pPr>
        <w:spacing w:line="288" w:lineRule="auto"/>
        <w:ind w:firstLine="720"/>
        <w:rPr>
          <w:rFonts w:ascii="Century Schoolbook" w:hAnsi="Century Schoolbook"/>
          <w:color w:val="000000"/>
          <w:szCs w:val="26"/>
        </w:rPr>
      </w:pPr>
      <w:r>
        <w:rPr>
          <w:rFonts w:ascii="Century Schoolbook" w:hAnsi="Century Schoolbook"/>
          <w:bCs/>
          <w:szCs w:val="26"/>
        </w:rPr>
        <w:t xml:space="preserve">But not all claimants who mediated civil settlements are entitled to restitution.  </w:t>
      </w:r>
      <w:r w:rsidRPr="005430A6">
        <w:rPr>
          <w:rFonts w:ascii="Century Schoolbook" w:hAnsi="Century Schoolbook"/>
          <w:color w:val="000000"/>
          <w:szCs w:val="26"/>
        </w:rPr>
        <w:t>“Not ‘every decline in the general commercial activity of every business’ nearby . . . [is] ‘a legally cognizable injury for which the defendants may be responsible.’ ”  (</w:t>
      </w:r>
      <w:r w:rsidRPr="005430A6">
        <w:rPr>
          <w:rFonts w:ascii="Century Schoolbook" w:hAnsi="Century Schoolbook"/>
          <w:i/>
          <w:iCs/>
          <w:color w:val="000000"/>
          <w:szCs w:val="26"/>
        </w:rPr>
        <w:t>Gas Leak Cases</w:t>
      </w:r>
      <w:r w:rsidRPr="005430A6">
        <w:rPr>
          <w:rFonts w:ascii="Century Schoolbook" w:hAnsi="Century Schoolbook"/>
          <w:color w:val="000000"/>
          <w:szCs w:val="26"/>
        </w:rPr>
        <w:t xml:space="preserve">, </w:t>
      </w:r>
      <w:r>
        <w:rPr>
          <w:rFonts w:ascii="Century Schoolbook" w:hAnsi="Century Schoolbook"/>
          <w:i/>
          <w:iCs/>
          <w:color w:val="000000"/>
          <w:szCs w:val="26"/>
        </w:rPr>
        <w:t>supra</w:t>
      </w:r>
      <w:r>
        <w:rPr>
          <w:rFonts w:ascii="Century Schoolbook" w:hAnsi="Century Schoolbook"/>
          <w:color w:val="000000"/>
          <w:szCs w:val="26"/>
        </w:rPr>
        <w:t xml:space="preserve">, 7 Cal.5th </w:t>
      </w:r>
      <w:r w:rsidRPr="005430A6">
        <w:rPr>
          <w:rFonts w:ascii="Century Schoolbook" w:hAnsi="Century Schoolbook"/>
          <w:color w:val="000000"/>
          <w:szCs w:val="26"/>
        </w:rPr>
        <w:t>at p. 406.)</w:t>
      </w:r>
      <w:r>
        <w:rPr>
          <w:rFonts w:ascii="Century Schoolbook" w:hAnsi="Century Schoolbook"/>
          <w:color w:val="000000"/>
          <w:szCs w:val="26"/>
        </w:rPr>
        <w:t xml:space="preserve">  There, our Supreme Court concluded the utility responsible for a gas leak did not have tort liability for the reduction in customers and lost earnings of local restaurants, gas stations, retailers, and other businesses.  (</w:t>
      </w:r>
      <w:r w:rsidRPr="00E066BE">
        <w:rPr>
          <w:rFonts w:ascii="Century Schoolbook" w:hAnsi="Century Schoolbook"/>
          <w:i/>
          <w:iCs/>
          <w:color w:val="000000"/>
          <w:szCs w:val="26"/>
        </w:rPr>
        <w:t>Id</w:t>
      </w:r>
      <w:r>
        <w:rPr>
          <w:rFonts w:ascii="Century Schoolbook" w:hAnsi="Century Schoolbook"/>
          <w:color w:val="000000"/>
          <w:szCs w:val="26"/>
        </w:rPr>
        <w:t>. at pp. 394-397.)  We apply this tort principle, and our analysis above regarding the oil industry claimants, to Group 2 restaurants and shops not directly tied to the commercial fishing industry and conclude they are not entitled to restitution.</w:t>
      </w:r>
    </w:p>
    <w:p w:rsidR="00561E37" w:rsidP="00C93D87" w14:paraId="7E45A8AE" w14:textId="3B214266">
      <w:pPr>
        <w:spacing w:line="288" w:lineRule="auto"/>
        <w:ind w:firstLine="720"/>
        <w:rPr>
          <w:rFonts w:ascii="Century Schoolbook" w:hAnsi="Century Schoolbook"/>
          <w:szCs w:val="26"/>
        </w:rPr>
      </w:pPr>
      <w:r>
        <w:rPr>
          <w:rFonts w:ascii="Century Schoolbook" w:hAnsi="Century Schoolbook"/>
          <w:bCs/>
          <w:szCs w:val="26"/>
        </w:rPr>
        <w:t>Accordingly, t</w:t>
      </w:r>
      <w:r w:rsidR="0094328E">
        <w:rPr>
          <w:rFonts w:ascii="Century Schoolbook" w:hAnsi="Century Schoolbook"/>
          <w:szCs w:val="26"/>
        </w:rPr>
        <w:t xml:space="preserve">he order </w:t>
      </w:r>
      <w:r w:rsidR="00CD297A">
        <w:rPr>
          <w:rFonts w:ascii="Century Schoolbook" w:hAnsi="Century Schoolbook"/>
          <w:szCs w:val="26"/>
        </w:rPr>
        <w:t xml:space="preserve">denying </w:t>
      </w:r>
      <w:r w:rsidR="0094328E">
        <w:rPr>
          <w:rFonts w:ascii="Century Schoolbook" w:hAnsi="Century Schoolbook"/>
          <w:szCs w:val="26"/>
        </w:rPr>
        <w:t xml:space="preserve">restitution </w:t>
      </w:r>
      <w:r w:rsidR="00CD297A">
        <w:rPr>
          <w:rFonts w:ascii="Century Schoolbook" w:hAnsi="Century Schoolbook"/>
          <w:szCs w:val="26"/>
        </w:rPr>
        <w:t xml:space="preserve">to </w:t>
      </w:r>
      <w:r w:rsidR="00805F33">
        <w:rPr>
          <w:rFonts w:ascii="Century Schoolbook" w:hAnsi="Century Schoolbook"/>
          <w:szCs w:val="26"/>
        </w:rPr>
        <w:t xml:space="preserve">the following </w:t>
      </w:r>
      <w:r w:rsidR="00CD297A">
        <w:rPr>
          <w:rFonts w:ascii="Century Schoolbook" w:hAnsi="Century Schoolbook"/>
          <w:szCs w:val="26"/>
        </w:rPr>
        <w:t xml:space="preserve">four </w:t>
      </w:r>
      <w:r w:rsidR="00B34E09">
        <w:rPr>
          <w:rFonts w:ascii="Century Schoolbook" w:hAnsi="Century Schoolbook"/>
          <w:szCs w:val="26"/>
        </w:rPr>
        <w:t xml:space="preserve">Group 2 claims based on mediated settlements is reversed and remanded for the trial court to </w:t>
      </w:r>
      <w:r w:rsidR="00F008FB">
        <w:rPr>
          <w:rFonts w:ascii="Century Schoolbook" w:hAnsi="Century Schoolbook"/>
          <w:szCs w:val="26"/>
        </w:rPr>
        <w:t xml:space="preserve">determine </w:t>
      </w:r>
      <w:r w:rsidR="002C40CA">
        <w:rPr>
          <w:rFonts w:ascii="Century Schoolbook" w:hAnsi="Century Schoolbook"/>
          <w:szCs w:val="26"/>
        </w:rPr>
        <w:t>entitle</w:t>
      </w:r>
      <w:r w:rsidR="00CD297A">
        <w:rPr>
          <w:rFonts w:ascii="Century Schoolbook" w:hAnsi="Century Schoolbook"/>
          <w:szCs w:val="26"/>
        </w:rPr>
        <w:t>ment</w:t>
      </w:r>
      <w:r w:rsidR="002C40CA">
        <w:rPr>
          <w:rFonts w:ascii="Century Schoolbook" w:hAnsi="Century Schoolbook"/>
          <w:szCs w:val="26"/>
        </w:rPr>
        <w:t xml:space="preserve"> to restitution</w:t>
      </w:r>
      <w:r w:rsidR="00152005">
        <w:rPr>
          <w:rFonts w:ascii="Century Schoolbook" w:hAnsi="Century Schoolbook"/>
          <w:szCs w:val="26"/>
        </w:rPr>
        <w:t xml:space="preserve">: </w:t>
      </w:r>
      <w:r w:rsidR="00F047B1">
        <w:rPr>
          <w:rFonts w:ascii="Century Schoolbook" w:hAnsi="Century Schoolbook"/>
          <w:szCs w:val="26"/>
        </w:rPr>
        <w:t>Chantal Haines (Chan</w:t>
      </w:r>
      <w:r w:rsidR="00124167">
        <w:rPr>
          <w:rFonts w:ascii="Century Schoolbook" w:hAnsi="Century Schoolbook"/>
          <w:szCs w:val="26"/>
        </w:rPr>
        <w:t>ta</w:t>
      </w:r>
      <w:r w:rsidR="00F047B1">
        <w:rPr>
          <w:rFonts w:ascii="Century Schoolbook" w:hAnsi="Century Schoolbook"/>
          <w:szCs w:val="26"/>
        </w:rPr>
        <w:t>l Seafood Wholesaler), Eric and David Shogren</w:t>
      </w:r>
      <w:r w:rsidR="00061CC7">
        <w:rPr>
          <w:rFonts w:ascii="Century Schoolbook" w:hAnsi="Century Schoolbook"/>
          <w:szCs w:val="26"/>
        </w:rPr>
        <w:t xml:space="preserve"> (lost crab</w:t>
      </w:r>
      <w:r w:rsidR="00C30D75">
        <w:rPr>
          <w:rFonts w:ascii="Century Schoolbook" w:hAnsi="Century Schoolbook"/>
          <w:szCs w:val="26"/>
        </w:rPr>
        <w:t xml:space="preserve"> fishing revenue, damage to boat, etc.)</w:t>
      </w:r>
      <w:r w:rsidR="00F047B1">
        <w:rPr>
          <w:rFonts w:ascii="Century Schoolbook" w:hAnsi="Century Schoolbook"/>
          <w:szCs w:val="26"/>
        </w:rPr>
        <w:t>, Miguel Angel Franco (</w:t>
      </w:r>
      <w:r w:rsidR="00C30D75">
        <w:rPr>
          <w:rFonts w:ascii="Century Schoolbook" w:hAnsi="Century Schoolbook"/>
          <w:szCs w:val="26"/>
        </w:rPr>
        <w:t xml:space="preserve">fish wholesaler, </w:t>
      </w:r>
      <w:r w:rsidR="00F047B1">
        <w:rPr>
          <w:rFonts w:ascii="Century Schoolbook" w:hAnsi="Century Schoolbook"/>
          <w:szCs w:val="26"/>
        </w:rPr>
        <w:t xml:space="preserve">Santa Barbara Seafood Company), </w:t>
      </w:r>
      <w:r w:rsidR="004711B2">
        <w:rPr>
          <w:rFonts w:ascii="Century Schoolbook" w:hAnsi="Century Schoolbook"/>
          <w:szCs w:val="26"/>
        </w:rPr>
        <w:t xml:space="preserve">and </w:t>
      </w:r>
      <w:r w:rsidR="00F047B1">
        <w:rPr>
          <w:rFonts w:ascii="Century Schoolbook" w:hAnsi="Century Schoolbook"/>
          <w:szCs w:val="26"/>
        </w:rPr>
        <w:t>David Albaum and Douglas Bush (Cultured Abalone Farm).</w:t>
      </w:r>
      <w:r w:rsidRPr="00395E41" w:rsidR="00F047B1">
        <w:rPr>
          <w:rFonts w:ascii="Century Schoolbook" w:hAnsi="Century Schoolbook"/>
          <w:szCs w:val="26"/>
        </w:rPr>
        <w:t xml:space="preserve"> </w:t>
      </w:r>
      <w:r w:rsidR="00FB732E">
        <w:rPr>
          <w:rFonts w:ascii="Century Schoolbook" w:hAnsi="Century Schoolbook"/>
          <w:szCs w:val="26"/>
        </w:rPr>
        <w:t xml:space="preserve"> </w:t>
      </w:r>
      <w:r w:rsidR="00960518">
        <w:rPr>
          <w:rFonts w:ascii="Century Schoolbook" w:hAnsi="Century Schoolbook"/>
          <w:szCs w:val="26"/>
        </w:rPr>
        <w:t>No remand is required regarding the following Group 2 claimants because they do not</w:t>
      </w:r>
      <w:r w:rsidR="004711B2">
        <w:rPr>
          <w:rFonts w:ascii="Century Schoolbook" w:hAnsi="Century Schoolbook"/>
          <w:szCs w:val="26"/>
        </w:rPr>
        <w:t xml:space="preserve"> claim damage to property from </w:t>
      </w:r>
      <w:r w:rsidR="00FA1E25">
        <w:rPr>
          <w:rFonts w:ascii="Century Schoolbook" w:hAnsi="Century Schoolbook"/>
          <w:szCs w:val="26"/>
        </w:rPr>
        <w:t>the oil</w:t>
      </w:r>
      <w:r w:rsidR="008E0BEC">
        <w:rPr>
          <w:rFonts w:ascii="Century Schoolbook" w:hAnsi="Century Schoolbook"/>
          <w:szCs w:val="26"/>
        </w:rPr>
        <w:t xml:space="preserve"> spill </w:t>
      </w:r>
      <w:r w:rsidR="00FA1E25">
        <w:rPr>
          <w:rFonts w:ascii="Century Schoolbook" w:hAnsi="Century Schoolbook"/>
          <w:szCs w:val="26"/>
        </w:rPr>
        <w:t xml:space="preserve">and </w:t>
      </w:r>
      <w:r w:rsidR="00E57D75">
        <w:rPr>
          <w:rFonts w:ascii="Century Schoolbook" w:hAnsi="Century Schoolbook"/>
          <w:szCs w:val="26"/>
        </w:rPr>
        <w:t>are not</w:t>
      </w:r>
      <w:r w:rsidR="00960518">
        <w:rPr>
          <w:rFonts w:ascii="Century Schoolbook" w:hAnsi="Century Schoolbook"/>
          <w:szCs w:val="26"/>
        </w:rPr>
        <w:t xml:space="preserve"> commercial fishers</w:t>
      </w:r>
      <w:r w:rsidR="000B171F">
        <w:rPr>
          <w:rFonts w:ascii="Century Schoolbook" w:hAnsi="Century Schoolbook"/>
          <w:color w:val="000000"/>
          <w:szCs w:val="26"/>
        </w:rPr>
        <w:t xml:space="preserve">: </w:t>
      </w:r>
      <w:r w:rsidR="000F56A5">
        <w:rPr>
          <w:rFonts w:ascii="Century Schoolbook" w:hAnsi="Century Schoolbook"/>
          <w:szCs w:val="26"/>
        </w:rPr>
        <w:t xml:space="preserve">Neil Bruskin (Mother Sterns Candy Co.), Neil Bruskin (Nature’s Own Gallery), Jan Hendrickson and </w:t>
      </w:r>
      <w:r w:rsidR="000C120D">
        <w:rPr>
          <w:rFonts w:ascii="Century Schoolbook" w:hAnsi="Century Schoolbook"/>
          <w:szCs w:val="26"/>
        </w:rPr>
        <w:t>John</w:t>
      </w:r>
      <w:r w:rsidR="000F56A5">
        <w:rPr>
          <w:rFonts w:ascii="Century Schoolbook" w:hAnsi="Century Schoolbook"/>
          <w:szCs w:val="26"/>
        </w:rPr>
        <w:t xml:space="preserve"> Devereaux (Read ‘N Post),</w:t>
      </w:r>
      <w:r w:rsidRPr="005430A6" w:rsidR="000B171F">
        <w:rPr>
          <w:rFonts w:ascii="Century Schoolbook" w:hAnsi="Century Schoolbook"/>
          <w:color w:val="000000"/>
          <w:szCs w:val="26"/>
        </w:rPr>
        <w:t xml:space="preserve"> </w:t>
      </w:r>
      <w:r w:rsidR="007D2EFD">
        <w:rPr>
          <w:rFonts w:ascii="Century Schoolbook" w:hAnsi="Century Schoolbook"/>
          <w:szCs w:val="26"/>
        </w:rPr>
        <w:t>David Bacon (Wave Walker Charters), David Bacon (Hook Line &amp; Sinker)</w:t>
      </w:r>
      <w:r w:rsidR="007A69F7">
        <w:rPr>
          <w:rFonts w:ascii="Century Schoolbook" w:hAnsi="Century Schoolbook"/>
          <w:szCs w:val="26"/>
        </w:rPr>
        <w:t>,</w:t>
      </w:r>
      <w:r w:rsidRPr="007D2EFD" w:rsidR="007D2EFD">
        <w:rPr>
          <w:rFonts w:ascii="Century Schoolbook" w:hAnsi="Century Schoolbook"/>
          <w:szCs w:val="26"/>
        </w:rPr>
        <w:t xml:space="preserve"> </w:t>
      </w:r>
      <w:r w:rsidR="007D2EFD">
        <w:rPr>
          <w:rFonts w:ascii="Century Schoolbook" w:hAnsi="Century Schoolbook"/>
          <w:szCs w:val="26"/>
        </w:rPr>
        <w:t xml:space="preserve">and Hiroko Benko and Kevin Goodwin (Condor Express Tours). </w:t>
      </w:r>
      <w:r w:rsidR="007B59B1">
        <w:rPr>
          <w:rFonts w:ascii="Century Schoolbook" w:hAnsi="Century Schoolbook"/>
          <w:szCs w:val="26"/>
        </w:rPr>
        <w:t xml:space="preserve"> </w:t>
      </w:r>
      <w:r w:rsidR="00FB732E">
        <w:rPr>
          <w:rFonts w:ascii="Century Schoolbook" w:hAnsi="Century Schoolbook"/>
          <w:szCs w:val="26"/>
        </w:rPr>
        <w:t>No</w:t>
      </w:r>
      <w:r w:rsidR="00960518">
        <w:rPr>
          <w:rFonts w:ascii="Century Schoolbook" w:hAnsi="Century Schoolbook"/>
          <w:szCs w:val="26"/>
        </w:rPr>
        <w:t>r is</w:t>
      </w:r>
      <w:r w:rsidR="00FB732E">
        <w:rPr>
          <w:rFonts w:ascii="Century Schoolbook" w:hAnsi="Century Schoolbook"/>
          <w:szCs w:val="26"/>
        </w:rPr>
        <w:t xml:space="preserve"> remand required </w:t>
      </w:r>
      <w:r w:rsidR="008E0BEC">
        <w:rPr>
          <w:rFonts w:ascii="Century Schoolbook" w:hAnsi="Century Schoolbook"/>
          <w:szCs w:val="26"/>
        </w:rPr>
        <w:t xml:space="preserve">for the </w:t>
      </w:r>
      <w:r w:rsidR="007A69F7">
        <w:rPr>
          <w:rFonts w:ascii="Century Schoolbook" w:hAnsi="Century Schoolbook"/>
          <w:szCs w:val="26"/>
        </w:rPr>
        <w:t>Group</w:t>
      </w:r>
      <w:r w:rsidR="00FB732E">
        <w:rPr>
          <w:rFonts w:ascii="Century Schoolbook" w:hAnsi="Century Schoolbook"/>
          <w:szCs w:val="26"/>
        </w:rPr>
        <w:t xml:space="preserve"> 3 </w:t>
      </w:r>
      <w:r w:rsidRPr="007E413D" w:rsidR="007E413D">
        <w:rPr>
          <w:rFonts w:ascii="Century Schoolbook" w:hAnsi="Century Schoolbook"/>
          <w:szCs w:val="26"/>
        </w:rPr>
        <w:t xml:space="preserve">oil industry claimants </w:t>
      </w:r>
      <w:r w:rsidR="00FB732E">
        <w:rPr>
          <w:rFonts w:ascii="Century Schoolbook" w:hAnsi="Century Schoolbook"/>
          <w:szCs w:val="26"/>
        </w:rPr>
        <w:t>because they are</w:t>
      </w:r>
      <w:r w:rsidR="008E0BEC">
        <w:rPr>
          <w:rFonts w:ascii="Century Schoolbook" w:hAnsi="Century Schoolbook"/>
          <w:szCs w:val="26"/>
        </w:rPr>
        <w:t xml:space="preserve"> </w:t>
      </w:r>
      <w:r w:rsidR="00FB732E">
        <w:rPr>
          <w:rFonts w:ascii="Century Schoolbook" w:hAnsi="Century Schoolbook"/>
          <w:szCs w:val="26"/>
        </w:rPr>
        <w:t>not entitled to restitution as a matter of law.</w:t>
      </w:r>
    </w:p>
    <w:p w:rsidR="00C200F4" w:rsidRPr="0098423C" w:rsidP="00C200F4" w14:paraId="16BB118D" w14:textId="28606487">
      <w:pPr>
        <w:spacing w:line="288" w:lineRule="auto"/>
        <w:jc w:val="center"/>
        <w:rPr>
          <w:rStyle w:val="PageNumber"/>
          <w:rFonts w:ascii="Century Schoolbook" w:hAnsi="Century Schoolbook"/>
          <w:i/>
          <w:iCs/>
          <w:sz w:val="26"/>
          <w:szCs w:val="26"/>
        </w:rPr>
      </w:pPr>
      <w:r w:rsidRPr="00F53467">
        <w:rPr>
          <w:rStyle w:val="PageNumber"/>
          <w:rFonts w:ascii="Century Schoolbook" w:hAnsi="Century Schoolbook"/>
          <w:i/>
          <w:iCs/>
          <w:sz w:val="26"/>
          <w:szCs w:val="26"/>
        </w:rPr>
        <w:t xml:space="preserve">Effect of </w:t>
      </w:r>
      <w:r w:rsidRPr="00F53467" w:rsidR="00827442">
        <w:rPr>
          <w:rStyle w:val="PageNumber"/>
          <w:rFonts w:ascii="Century Schoolbook" w:hAnsi="Century Schoolbook"/>
          <w:i/>
          <w:iCs/>
          <w:sz w:val="26"/>
          <w:szCs w:val="26"/>
        </w:rPr>
        <w:t xml:space="preserve">pending </w:t>
      </w:r>
      <w:r w:rsidRPr="00F53467" w:rsidR="00177AEB">
        <w:rPr>
          <w:rStyle w:val="PageNumber"/>
          <w:rFonts w:ascii="Century Schoolbook" w:hAnsi="Century Schoolbook"/>
          <w:i/>
          <w:iCs/>
          <w:sz w:val="26"/>
          <w:szCs w:val="26"/>
        </w:rPr>
        <w:t>federal</w:t>
      </w:r>
      <w:r w:rsidRPr="00F53467" w:rsidR="00827442">
        <w:rPr>
          <w:rStyle w:val="PageNumber"/>
          <w:rFonts w:ascii="Century Schoolbook" w:hAnsi="Century Schoolbook"/>
          <w:i/>
          <w:iCs/>
          <w:sz w:val="26"/>
          <w:szCs w:val="26"/>
        </w:rPr>
        <w:t xml:space="preserve"> case</w:t>
      </w:r>
      <w:r w:rsidRPr="0098423C" w:rsidR="00827442">
        <w:rPr>
          <w:rStyle w:val="PageNumber"/>
          <w:rFonts w:ascii="Century Schoolbook" w:hAnsi="Century Schoolbook"/>
          <w:i/>
          <w:iCs/>
          <w:sz w:val="26"/>
          <w:szCs w:val="26"/>
        </w:rPr>
        <w:t xml:space="preserve"> </w:t>
      </w:r>
    </w:p>
    <w:p w:rsidR="00160278" w:rsidP="00952C3C" w14:paraId="7258618D" w14:textId="43E16155">
      <w:pPr>
        <w:spacing w:line="288" w:lineRule="auto"/>
        <w:rPr>
          <w:rFonts w:ascii="Century Schoolbook" w:hAnsi="Century Schoolbook"/>
          <w:szCs w:val="26"/>
        </w:rPr>
      </w:pPr>
      <w:r w:rsidRPr="0098423C">
        <w:rPr>
          <w:rFonts w:ascii="Century Schoolbook" w:hAnsi="Century Schoolbook"/>
          <w:bCs/>
          <w:szCs w:val="26"/>
        </w:rPr>
        <w:tab/>
      </w:r>
      <w:r w:rsidRPr="0098423C">
        <w:rPr>
          <w:rFonts w:ascii="Century Schoolbook" w:hAnsi="Century Schoolbook"/>
          <w:szCs w:val="26"/>
        </w:rPr>
        <w:t xml:space="preserve">The People contend the trial court erroneously </w:t>
      </w:r>
      <w:r w:rsidRPr="0098423C" w:rsidR="00983A27">
        <w:rPr>
          <w:rFonts w:ascii="Century Schoolbook" w:hAnsi="Century Schoolbook"/>
          <w:szCs w:val="26"/>
        </w:rPr>
        <w:t>relied on</w:t>
      </w:r>
      <w:r w:rsidRPr="0098423C">
        <w:rPr>
          <w:rFonts w:ascii="Century Schoolbook" w:hAnsi="Century Schoolbook"/>
          <w:szCs w:val="26"/>
        </w:rPr>
        <w:t xml:space="preserve"> </w:t>
      </w:r>
      <w:r w:rsidRPr="0098423C" w:rsidR="00E3672D">
        <w:rPr>
          <w:rFonts w:ascii="Century Schoolbook" w:hAnsi="Century Schoolbook"/>
          <w:szCs w:val="26"/>
        </w:rPr>
        <w:t>the</w:t>
      </w:r>
      <w:r w:rsidRPr="0098423C">
        <w:rPr>
          <w:rFonts w:ascii="Century Schoolbook" w:hAnsi="Century Schoolbook"/>
          <w:szCs w:val="26"/>
        </w:rPr>
        <w:t xml:space="preserve"> </w:t>
      </w:r>
      <w:r w:rsidR="00E57D75">
        <w:rPr>
          <w:rFonts w:ascii="Century Schoolbook" w:hAnsi="Century Schoolbook"/>
          <w:szCs w:val="26"/>
        </w:rPr>
        <w:t>then-</w:t>
      </w:r>
      <w:r w:rsidRPr="0098423C">
        <w:rPr>
          <w:rFonts w:ascii="Century Schoolbook" w:hAnsi="Century Schoolbook"/>
          <w:szCs w:val="26"/>
        </w:rPr>
        <w:t xml:space="preserve">pending </w:t>
      </w:r>
      <w:r w:rsidRPr="0098423C" w:rsidR="00177AEB">
        <w:rPr>
          <w:rFonts w:ascii="Century Schoolbook" w:hAnsi="Century Schoolbook"/>
          <w:szCs w:val="26"/>
        </w:rPr>
        <w:t xml:space="preserve">federal </w:t>
      </w:r>
      <w:r w:rsidRPr="0098423C">
        <w:rPr>
          <w:rFonts w:ascii="Century Schoolbook" w:hAnsi="Century Schoolbook"/>
          <w:szCs w:val="26"/>
        </w:rPr>
        <w:t>class action</w:t>
      </w:r>
      <w:r w:rsidRPr="0098423C" w:rsidR="00983A27">
        <w:rPr>
          <w:rFonts w:ascii="Century Schoolbook" w:hAnsi="Century Schoolbook"/>
          <w:szCs w:val="26"/>
        </w:rPr>
        <w:t xml:space="preserve"> to deny restitution</w:t>
      </w:r>
      <w:r w:rsidRPr="0098423C" w:rsidR="00E25A14">
        <w:rPr>
          <w:rFonts w:ascii="Century Schoolbook" w:hAnsi="Century Schoolbook"/>
          <w:szCs w:val="26"/>
        </w:rPr>
        <w:t xml:space="preserve"> to Group 2 claimants (fishers)</w:t>
      </w:r>
      <w:r w:rsidRPr="0098423C">
        <w:rPr>
          <w:rFonts w:ascii="Century Schoolbook" w:hAnsi="Century Schoolbook"/>
          <w:szCs w:val="26"/>
        </w:rPr>
        <w:t xml:space="preserve">. </w:t>
      </w:r>
      <w:r w:rsidRPr="0098423C">
        <w:rPr>
          <w:rFonts w:ascii="Century Schoolbook" w:hAnsi="Century Schoolbook"/>
          <w:szCs w:val="26"/>
        </w:rPr>
        <w:t xml:space="preserve"> We agree</w:t>
      </w:r>
      <w:r w:rsidRPr="0098423C" w:rsidR="00983A27">
        <w:rPr>
          <w:rFonts w:ascii="Century Schoolbook" w:hAnsi="Century Schoolbook"/>
          <w:szCs w:val="26"/>
        </w:rPr>
        <w:t xml:space="preserve">, </w:t>
      </w:r>
      <w:r w:rsidRPr="0098423C" w:rsidR="003670B2">
        <w:rPr>
          <w:rFonts w:ascii="Century Schoolbook" w:hAnsi="Century Schoolbook"/>
          <w:szCs w:val="26"/>
        </w:rPr>
        <w:t xml:space="preserve">but </w:t>
      </w:r>
      <w:r w:rsidR="00F159B7">
        <w:rPr>
          <w:rFonts w:ascii="Century Schoolbook" w:hAnsi="Century Schoolbook"/>
          <w:szCs w:val="26"/>
        </w:rPr>
        <w:t>conclude</w:t>
      </w:r>
      <w:r w:rsidRPr="0098423C" w:rsidR="003670B2">
        <w:rPr>
          <w:rFonts w:ascii="Century Schoolbook" w:hAnsi="Century Schoolbook"/>
          <w:szCs w:val="26"/>
        </w:rPr>
        <w:t xml:space="preserve"> the error</w:t>
      </w:r>
      <w:r w:rsidR="00F159B7">
        <w:rPr>
          <w:rFonts w:ascii="Century Schoolbook" w:hAnsi="Century Schoolbook"/>
          <w:szCs w:val="26"/>
        </w:rPr>
        <w:t xml:space="preserve"> is</w:t>
      </w:r>
      <w:r w:rsidRPr="0098423C" w:rsidR="003670B2">
        <w:rPr>
          <w:rFonts w:ascii="Century Schoolbook" w:hAnsi="Century Schoolbook"/>
          <w:szCs w:val="26"/>
        </w:rPr>
        <w:t xml:space="preserve"> harmless </w:t>
      </w:r>
      <w:r w:rsidR="0098423C">
        <w:rPr>
          <w:rFonts w:ascii="Century Schoolbook" w:hAnsi="Century Schoolbook"/>
          <w:szCs w:val="26"/>
        </w:rPr>
        <w:t xml:space="preserve">because </w:t>
      </w:r>
      <w:r w:rsidRPr="0098423C" w:rsidR="003670B2">
        <w:rPr>
          <w:rFonts w:ascii="Century Schoolbook" w:hAnsi="Century Schoolbook"/>
          <w:szCs w:val="26"/>
        </w:rPr>
        <w:t>the claimants</w:t>
      </w:r>
      <w:r w:rsidR="0098423C">
        <w:rPr>
          <w:rFonts w:ascii="Century Schoolbook" w:hAnsi="Century Schoolbook"/>
          <w:szCs w:val="26"/>
        </w:rPr>
        <w:t xml:space="preserve"> did not </w:t>
      </w:r>
      <w:r w:rsidRPr="0098423C" w:rsidR="00E25A14">
        <w:rPr>
          <w:rFonts w:ascii="Century Schoolbook" w:hAnsi="Century Schoolbook"/>
          <w:szCs w:val="26"/>
        </w:rPr>
        <w:t>establish loss.</w:t>
      </w:r>
    </w:p>
    <w:p w:rsidR="00226993" w:rsidP="00226993" w14:paraId="58F4E95C" w14:textId="1106F685">
      <w:pPr>
        <w:spacing w:line="288" w:lineRule="auto"/>
        <w:ind w:firstLine="720"/>
        <w:rPr>
          <w:rFonts w:ascii="Century Schoolbook" w:hAnsi="Century Schoolbook"/>
          <w:szCs w:val="26"/>
        </w:rPr>
      </w:pPr>
      <w:r>
        <w:rPr>
          <w:rFonts w:ascii="Century Schoolbook" w:hAnsi="Century Schoolbook"/>
          <w:szCs w:val="26"/>
        </w:rPr>
        <w:t>The principles discussed above regarding mediated settlements apply</w:t>
      </w:r>
      <w:r w:rsidRPr="009D2923" w:rsidR="009D2923">
        <w:rPr>
          <w:rFonts w:ascii="Century Schoolbook" w:hAnsi="Century Schoolbook"/>
          <w:szCs w:val="26"/>
        </w:rPr>
        <w:t xml:space="preserve"> </w:t>
      </w:r>
      <w:r w:rsidR="009D2923">
        <w:rPr>
          <w:rFonts w:ascii="Century Schoolbook" w:hAnsi="Century Schoolbook"/>
          <w:szCs w:val="26"/>
        </w:rPr>
        <w:t>equally</w:t>
      </w:r>
      <w:r>
        <w:rPr>
          <w:rFonts w:ascii="Century Schoolbook" w:hAnsi="Century Schoolbook"/>
          <w:szCs w:val="26"/>
        </w:rPr>
        <w:t xml:space="preserve"> here</w:t>
      </w:r>
      <w:r w:rsidR="009D2923">
        <w:rPr>
          <w:rFonts w:ascii="Century Schoolbook" w:hAnsi="Century Schoolbook"/>
          <w:szCs w:val="26"/>
        </w:rPr>
        <w:t xml:space="preserve">. </w:t>
      </w:r>
      <w:r w:rsidRPr="00395E41" w:rsidR="00C200F4">
        <w:rPr>
          <w:rFonts w:ascii="Century Schoolbook" w:hAnsi="Century Schoolbook"/>
          <w:szCs w:val="26"/>
        </w:rPr>
        <w:t xml:space="preserve"> </w:t>
      </w:r>
      <w:r w:rsidR="00680231">
        <w:rPr>
          <w:rFonts w:ascii="Century Schoolbook" w:hAnsi="Century Schoolbook"/>
          <w:bCs/>
          <w:szCs w:val="26"/>
        </w:rPr>
        <w:t>“</w:t>
      </w:r>
      <w:r w:rsidRPr="00395E41" w:rsidR="00680231">
        <w:rPr>
          <w:rFonts w:ascii="Century Schoolbook" w:hAnsi="Century Schoolbook"/>
          <w:bCs/>
          <w:szCs w:val="26"/>
        </w:rPr>
        <w:t>Since restitution orders and civil judgments are issued for different purposes, a victim suffering from economic losses as a result of a criminal act has a right to both.”  (</w:t>
      </w:r>
      <w:r w:rsidRPr="00395E41" w:rsidR="00680231">
        <w:rPr>
          <w:rFonts w:ascii="Century Schoolbook" w:hAnsi="Century Schoolbook"/>
          <w:bCs/>
          <w:i/>
          <w:iCs/>
          <w:szCs w:val="26"/>
        </w:rPr>
        <w:t>Vigilant Ins. Co. v. Chiu</w:t>
      </w:r>
      <w:r w:rsidRPr="00395E41" w:rsidR="00680231">
        <w:rPr>
          <w:rFonts w:ascii="Century Schoolbook" w:hAnsi="Century Schoolbook"/>
          <w:bCs/>
          <w:szCs w:val="26"/>
        </w:rPr>
        <w:t xml:space="preserve"> (2009) 175 Cal.App.4th 438, 445.) </w:t>
      </w:r>
      <w:r w:rsidR="00680231">
        <w:rPr>
          <w:rFonts w:ascii="Century Schoolbook" w:hAnsi="Century Schoolbook"/>
          <w:bCs/>
          <w:szCs w:val="26"/>
        </w:rPr>
        <w:t xml:space="preserve"> </w:t>
      </w:r>
      <w:r w:rsidR="00F35EFE">
        <w:rPr>
          <w:rFonts w:ascii="Century Schoolbook" w:hAnsi="Century Schoolbook"/>
          <w:szCs w:val="26"/>
        </w:rPr>
        <w:t>The court may not “substitut[e]</w:t>
      </w:r>
      <w:r w:rsidRPr="00500E2D" w:rsidR="00F35EFE">
        <w:rPr>
          <w:rFonts w:ascii="Century Schoolbook" w:hAnsi="Century Schoolbook"/>
          <w:szCs w:val="26"/>
        </w:rPr>
        <w:t xml:space="preserve"> the uncertain prospect of a civil recovery for the victim</w:t>
      </w:r>
      <w:r w:rsidR="00F35EFE">
        <w:rPr>
          <w:rFonts w:ascii="Century Schoolbook" w:hAnsi="Century Schoolbook"/>
          <w:szCs w:val="26"/>
        </w:rPr>
        <w:t>’</w:t>
      </w:r>
      <w:r w:rsidRPr="00500E2D" w:rsidR="00F35EFE">
        <w:rPr>
          <w:rFonts w:ascii="Century Schoolbook" w:hAnsi="Century Schoolbook"/>
          <w:szCs w:val="26"/>
        </w:rPr>
        <w:t xml:space="preserve">s constitutional </w:t>
      </w:r>
      <w:r w:rsidR="00F35EFE">
        <w:rPr>
          <w:rFonts w:ascii="Century Schoolbook" w:hAnsi="Century Schoolbook"/>
          <w:szCs w:val="26"/>
        </w:rPr>
        <w:t>‘</w:t>
      </w:r>
      <w:r w:rsidRPr="00500E2D" w:rsidR="00F35EFE">
        <w:rPr>
          <w:rFonts w:ascii="Century Schoolbook" w:hAnsi="Century Schoolbook"/>
          <w:szCs w:val="26"/>
        </w:rPr>
        <w:t>right to restitution.</w:t>
      </w:r>
      <w:r w:rsidR="00F35EFE">
        <w:rPr>
          <w:rFonts w:ascii="Century Schoolbook" w:hAnsi="Century Schoolbook"/>
          <w:szCs w:val="26"/>
        </w:rPr>
        <w:t>’ </w:t>
      </w:r>
      <w:r w:rsidRPr="00500E2D" w:rsidR="00F35EFE">
        <w:rPr>
          <w:rFonts w:ascii="Century Schoolbook" w:hAnsi="Century Schoolbook"/>
          <w:szCs w:val="26"/>
        </w:rPr>
        <w:t>”</w:t>
      </w:r>
      <w:r w:rsidR="00F35EFE">
        <w:rPr>
          <w:rFonts w:ascii="Century Schoolbook" w:hAnsi="Century Schoolbook"/>
          <w:szCs w:val="26"/>
        </w:rPr>
        <w:t xml:space="preserve">  (</w:t>
      </w:r>
      <w:r w:rsidRPr="00500E2D" w:rsidR="00F35EFE">
        <w:rPr>
          <w:rFonts w:ascii="Century Schoolbook" w:hAnsi="Century Schoolbook"/>
          <w:i/>
          <w:iCs/>
          <w:szCs w:val="26"/>
        </w:rPr>
        <w:t>People v. Bufford</w:t>
      </w:r>
      <w:r w:rsidRPr="00500E2D" w:rsidR="00F35EFE">
        <w:rPr>
          <w:rFonts w:ascii="Century Schoolbook" w:hAnsi="Century Schoolbook"/>
          <w:szCs w:val="26"/>
        </w:rPr>
        <w:t xml:space="preserve"> (2007) 146 Cal.App.4th 966, 971</w:t>
      </w:r>
      <w:r w:rsidR="00F35EFE">
        <w:rPr>
          <w:rFonts w:ascii="Century Schoolbook" w:hAnsi="Century Schoolbook"/>
          <w:szCs w:val="26"/>
        </w:rPr>
        <w:t xml:space="preserve">; </w:t>
      </w:r>
      <w:r w:rsidRPr="00804987" w:rsidR="00F35EFE">
        <w:rPr>
          <w:rFonts w:ascii="Century Schoolbook" w:hAnsi="Century Schoolbook"/>
          <w:i/>
          <w:iCs/>
          <w:szCs w:val="26"/>
        </w:rPr>
        <w:t>In re Brittany L.</w:t>
      </w:r>
      <w:r w:rsidRPr="00804987" w:rsidR="00F35EFE">
        <w:rPr>
          <w:rFonts w:ascii="Century Schoolbook" w:hAnsi="Century Schoolbook"/>
          <w:szCs w:val="26"/>
        </w:rPr>
        <w:t xml:space="preserve"> (2002) 99 Cal.App.4th 1381, 1390</w:t>
      </w:r>
      <w:r w:rsidR="00F35EFE">
        <w:rPr>
          <w:rFonts w:ascii="Century Schoolbook" w:hAnsi="Century Schoolbook"/>
          <w:szCs w:val="26"/>
        </w:rPr>
        <w:t xml:space="preserve">.)  </w:t>
      </w:r>
      <w:r w:rsidR="00E238B5">
        <w:rPr>
          <w:rFonts w:ascii="Century Schoolbook" w:hAnsi="Century Schoolbook"/>
          <w:szCs w:val="26"/>
        </w:rPr>
        <w:t>The</w:t>
      </w:r>
      <w:r w:rsidR="002655E5">
        <w:rPr>
          <w:rFonts w:ascii="Century Schoolbook" w:hAnsi="Century Schoolbook"/>
          <w:szCs w:val="26"/>
        </w:rPr>
        <w:t xml:space="preserve"> criminal</w:t>
      </w:r>
      <w:r w:rsidR="000B02AC">
        <w:rPr>
          <w:rFonts w:ascii="Century Schoolbook" w:hAnsi="Century Schoolbook"/>
          <w:szCs w:val="26"/>
        </w:rPr>
        <w:t xml:space="preserve"> court </w:t>
      </w:r>
      <w:r w:rsidR="002655E5">
        <w:rPr>
          <w:rFonts w:ascii="Century Schoolbook" w:hAnsi="Century Schoolbook"/>
          <w:szCs w:val="26"/>
        </w:rPr>
        <w:t>is</w:t>
      </w:r>
      <w:r w:rsidR="000B02AC">
        <w:rPr>
          <w:rFonts w:ascii="Century Schoolbook" w:hAnsi="Century Schoolbook"/>
          <w:szCs w:val="26"/>
        </w:rPr>
        <w:t xml:space="preserve"> obligated to</w:t>
      </w:r>
      <w:r w:rsidR="0098423C">
        <w:rPr>
          <w:rFonts w:ascii="Century Schoolbook" w:hAnsi="Century Schoolbook"/>
          <w:szCs w:val="26"/>
        </w:rPr>
        <w:t xml:space="preserve"> order restitution </w:t>
      </w:r>
      <w:r w:rsidR="00172705">
        <w:rPr>
          <w:rFonts w:ascii="Century Schoolbook" w:hAnsi="Century Schoolbook"/>
          <w:szCs w:val="26"/>
        </w:rPr>
        <w:t>even though it “</w:t>
      </w:r>
      <w:r w:rsidRPr="00395E41" w:rsidR="00172705">
        <w:rPr>
          <w:rFonts w:ascii="Century Schoolbook" w:hAnsi="Century Schoolbook"/>
          <w:szCs w:val="26"/>
        </w:rPr>
        <w:t>may require complicated calculations or result in large restitution awards</w:t>
      </w:r>
      <w:r w:rsidR="005E6277">
        <w:rPr>
          <w:rFonts w:ascii="Century Schoolbook" w:hAnsi="Century Schoolbook"/>
          <w:szCs w:val="26"/>
        </w:rPr>
        <w:t>” or “</w:t>
      </w:r>
      <w:r w:rsidRPr="00395E41" w:rsidR="00172705">
        <w:rPr>
          <w:rFonts w:ascii="Century Schoolbook" w:hAnsi="Century Schoolbook"/>
          <w:szCs w:val="26"/>
        </w:rPr>
        <w:t>may be complex.”  (</w:t>
      </w:r>
      <w:r w:rsidRPr="00395E41" w:rsidR="00172705">
        <w:rPr>
          <w:rFonts w:ascii="Century Schoolbook" w:hAnsi="Century Schoolbook"/>
          <w:i/>
          <w:iCs/>
          <w:szCs w:val="26"/>
        </w:rPr>
        <w:t>People v. Giordano</w:t>
      </w:r>
      <w:r w:rsidR="00FB732E">
        <w:rPr>
          <w:rFonts w:ascii="Century Schoolbook" w:hAnsi="Century Schoolbook"/>
          <w:szCs w:val="26"/>
        </w:rPr>
        <w:t xml:space="preserve">, </w:t>
      </w:r>
      <w:r w:rsidRPr="00FB732E" w:rsidR="00FB732E">
        <w:rPr>
          <w:rFonts w:ascii="Century Schoolbook" w:hAnsi="Century Schoolbook"/>
          <w:i/>
          <w:iCs/>
          <w:szCs w:val="26"/>
        </w:rPr>
        <w:t>supra</w:t>
      </w:r>
      <w:r w:rsidR="00FB732E">
        <w:rPr>
          <w:rFonts w:ascii="Century Schoolbook" w:hAnsi="Century Schoolbook"/>
          <w:szCs w:val="26"/>
        </w:rPr>
        <w:t xml:space="preserve">, </w:t>
      </w:r>
      <w:r w:rsidRPr="00395E41" w:rsidR="00172705">
        <w:rPr>
          <w:rFonts w:ascii="Century Schoolbook" w:hAnsi="Century Schoolbook"/>
          <w:szCs w:val="26"/>
        </w:rPr>
        <w:t xml:space="preserve">42 Cal.4th </w:t>
      </w:r>
      <w:r w:rsidR="009A6E05">
        <w:rPr>
          <w:rFonts w:ascii="Century Schoolbook" w:hAnsi="Century Schoolbook"/>
          <w:szCs w:val="26"/>
        </w:rPr>
        <w:t>at p.</w:t>
      </w:r>
      <w:r w:rsidRPr="00395E41" w:rsidR="00172705">
        <w:rPr>
          <w:rFonts w:ascii="Century Schoolbook" w:hAnsi="Century Schoolbook"/>
          <w:szCs w:val="26"/>
        </w:rPr>
        <w:t xml:space="preserve"> 661</w:t>
      </w:r>
      <w:r>
        <w:rPr>
          <w:rFonts w:ascii="Century Schoolbook" w:hAnsi="Century Schoolbook"/>
          <w:szCs w:val="26"/>
        </w:rPr>
        <w:t>.)</w:t>
      </w:r>
    </w:p>
    <w:p w:rsidR="00D25C7C" w:rsidP="00804987" w14:paraId="25B91E16" w14:textId="0BDF16A1">
      <w:pPr>
        <w:spacing w:line="288" w:lineRule="auto"/>
        <w:ind w:firstLine="720"/>
        <w:rPr>
          <w:rFonts w:ascii="Century Schoolbook" w:hAnsi="Century Schoolbook"/>
          <w:szCs w:val="26"/>
        </w:rPr>
      </w:pPr>
      <w:r>
        <w:rPr>
          <w:rFonts w:ascii="Century Schoolbook" w:hAnsi="Century Schoolbook"/>
          <w:szCs w:val="26"/>
        </w:rPr>
        <w:t xml:space="preserve">But as we explain below, </w:t>
      </w:r>
      <w:r>
        <w:rPr>
          <w:rFonts w:ascii="Century Schoolbook" w:hAnsi="Century Schoolbook"/>
          <w:szCs w:val="26"/>
        </w:rPr>
        <w:t xml:space="preserve">the </w:t>
      </w:r>
      <w:r w:rsidR="004A1DD5">
        <w:rPr>
          <w:rFonts w:ascii="Century Schoolbook" w:hAnsi="Century Schoolbook"/>
          <w:szCs w:val="26"/>
        </w:rPr>
        <w:t xml:space="preserve">court’s </w:t>
      </w:r>
      <w:r>
        <w:rPr>
          <w:rFonts w:ascii="Century Schoolbook" w:hAnsi="Century Schoolbook"/>
          <w:szCs w:val="26"/>
        </w:rPr>
        <w:t>error is harmless because</w:t>
      </w:r>
      <w:r>
        <w:rPr>
          <w:rFonts w:ascii="Century Schoolbook" w:hAnsi="Century Schoolbook"/>
          <w:szCs w:val="26"/>
        </w:rPr>
        <w:t xml:space="preserve"> the </w:t>
      </w:r>
      <w:r w:rsidR="00AD5011">
        <w:rPr>
          <w:rFonts w:ascii="Century Schoolbook" w:hAnsi="Century Schoolbook"/>
          <w:szCs w:val="26"/>
        </w:rPr>
        <w:t xml:space="preserve">aggregate </w:t>
      </w:r>
      <w:r w:rsidR="000B6212">
        <w:rPr>
          <w:rFonts w:ascii="Century Schoolbook" w:hAnsi="Century Schoolbook"/>
          <w:szCs w:val="26"/>
        </w:rPr>
        <w:t xml:space="preserve">Group 2 </w:t>
      </w:r>
      <w:r w:rsidR="00083C86">
        <w:rPr>
          <w:rFonts w:ascii="Century Schoolbook" w:hAnsi="Century Schoolbook"/>
          <w:szCs w:val="26"/>
        </w:rPr>
        <w:t xml:space="preserve">claimants </w:t>
      </w:r>
      <w:r>
        <w:rPr>
          <w:rFonts w:ascii="Century Schoolbook" w:hAnsi="Century Schoolbook"/>
          <w:szCs w:val="26"/>
        </w:rPr>
        <w:t>did not</w:t>
      </w:r>
      <w:r w:rsidRPr="000B6212" w:rsidR="00083C86">
        <w:rPr>
          <w:rFonts w:ascii="Century Schoolbook" w:hAnsi="Century Schoolbook"/>
          <w:szCs w:val="26"/>
        </w:rPr>
        <w:t xml:space="preserve"> </w:t>
      </w:r>
      <w:r w:rsidRPr="000B6212" w:rsidR="00F708C7">
        <w:rPr>
          <w:rFonts w:ascii="Century Schoolbook" w:hAnsi="Century Schoolbook"/>
          <w:szCs w:val="26"/>
        </w:rPr>
        <w:t xml:space="preserve">identify each victim </w:t>
      </w:r>
      <w:r w:rsidRPr="00395E41" w:rsidR="00F708C7">
        <w:rPr>
          <w:rFonts w:ascii="Century Schoolbook" w:hAnsi="Century Schoolbook"/>
          <w:szCs w:val="26"/>
        </w:rPr>
        <w:t>and</w:t>
      </w:r>
      <w:r>
        <w:rPr>
          <w:rFonts w:ascii="Century Schoolbook" w:hAnsi="Century Schoolbook"/>
          <w:szCs w:val="26"/>
        </w:rPr>
        <w:t xml:space="preserve"> prove each loss</w:t>
      </w:r>
      <w:r w:rsidR="00F708C7">
        <w:rPr>
          <w:rFonts w:ascii="Century Schoolbook" w:hAnsi="Century Schoolbook"/>
          <w:szCs w:val="26"/>
        </w:rPr>
        <w:t>.</w:t>
      </w:r>
      <w:r w:rsidR="000B7B59">
        <w:rPr>
          <w:rFonts w:ascii="Century Schoolbook" w:hAnsi="Century Schoolbook"/>
          <w:szCs w:val="26"/>
        </w:rPr>
        <w:t xml:space="preserve">  Substantial evidence also supports the court’s order </w:t>
      </w:r>
      <w:r w:rsidR="00AD5011">
        <w:rPr>
          <w:rFonts w:ascii="Century Schoolbook" w:hAnsi="Century Schoolbook"/>
          <w:szCs w:val="26"/>
        </w:rPr>
        <w:t>denying restitution to</w:t>
      </w:r>
      <w:r w:rsidR="004B00BC">
        <w:rPr>
          <w:rFonts w:ascii="Century Schoolbook" w:hAnsi="Century Schoolbook"/>
          <w:szCs w:val="26"/>
        </w:rPr>
        <w:t xml:space="preserve"> the unnamed members of</w:t>
      </w:r>
      <w:r w:rsidR="00AD5011">
        <w:rPr>
          <w:rFonts w:ascii="Century Schoolbook" w:hAnsi="Century Schoolbook"/>
          <w:szCs w:val="26"/>
        </w:rPr>
        <w:t xml:space="preserve"> </w:t>
      </w:r>
      <w:r w:rsidR="000B7B59">
        <w:rPr>
          <w:rFonts w:ascii="Century Schoolbook" w:hAnsi="Century Schoolbook"/>
          <w:szCs w:val="26"/>
        </w:rPr>
        <w:t>Group 2.</w:t>
      </w:r>
    </w:p>
    <w:p w:rsidR="00C2011D" w:rsidRPr="00395E41" w:rsidP="00C2011D" w14:paraId="3D75CBEF" w14:textId="77777777">
      <w:pPr>
        <w:spacing w:line="288" w:lineRule="auto"/>
        <w:jc w:val="center"/>
        <w:rPr>
          <w:rFonts w:ascii="Century Schoolbook" w:hAnsi="Century Schoolbook"/>
          <w:i/>
          <w:iCs/>
          <w:szCs w:val="26"/>
        </w:rPr>
      </w:pPr>
      <w:r>
        <w:rPr>
          <w:rFonts w:ascii="Century Schoolbook" w:hAnsi="Century Schoolbook"/>
          <w:i/>
          <w:iCs/>
          <w:szCs w:val="26"/>
        </w:rPr>
        <w:t>P</w:t>
      </w:r>
      <w:r w:rsidRPr="00395E41">
        <w:rPr>
          <w:rFonts w:ascii="Century Schoolbook" w:hAnsi="Century Schoolbook"/>
          <w:i/>
          <w:iCs/>
          <w:szCs w:val="26"/>
        </w:rPr>
        <w:t>roof of loss</w:t>
      </w:r>
    </w:p>
    <w:p w:rsidR="00C2011D" w:rsidP="00C2011D" w14:paraId="6B1D7354" w14:textId="577EA740">
      <w:pPr>
        <w:spacing w:line="288" w:lineRule="auto"/>
        <w:ind w:firstLine="720"/>
        <w:rPr>
          <w:rFonts w:ascii="Century Schoolbook" w:hAnsi="Century Schoolbook"/>
          <w:szCs w:val="26"/>
        </w:rPr>
      </w:pPr>
      <w:r w:rsidRPr="007F5E03">
        <w:rPr>
          <w:rFonts w:ascii="Century Schoolbook" w:hAnsi="Century Schoolbook"/>
          <w:szCs w:val="26"/>
        </w:rPr>
        <w:t xml:space="preserve">The People contend the trial court improperly refused to consider </w:t>
      </w:r>
      <w:r w:rsidRPr="007F5E03" w:rsidR="0098423C">
        <w:rPr>
          <w:rFonts w:ascii="Century Schoolbook" w:hAnsi="Century Schoolbook"/>
          <w:szCs w:val="26"/>
        </w:rPr>
        <w:t xml:space="preserve">the aggregate </w:t>
      </w:r>
      <w:r w:rsidRPr="007F5E03">
        <w:rPr>
          <w:rFonts w:ascii="Century Schoolbook" w:hAnsi="Century Schoolbook"/>
          <w:szCs w:val="26"/>
        </w:rPr>
        <w:t xml:space="preserve">proof of loss presented by </w:t>
      </w:r>
      <w:r w:rsidRPr="007F5E03" w:rsidR="00894833">
        <w:rPr>
          <w:rFonts w:ascii="Century Schoolbook" w:hAnsi="Century Schoolbook"/>
          <w:szCs w:val="26"/>
        </w:rPr>
        <w:t xml:space="preserve">the </w:t>
      </w:r>
      <w:r w:rsidRPr="007F5E03">
        <w:rPr>
          <w:rFonts w:ascii="Century Schoolbook" w:hAnsi="Century Schoolbook"/>
          <w:szCs w:val="26"/>
        </w:rPr>
        <w:t>fisher</w:t>
      </w:r>
      <w:r w:rsidRPr="007F5E03" w:rsidR="00894833">
        <w:rPr>
          <w:rFonts w:ascii="Century Schoolbook" w:hAnsi="Century Schoolbook"/>
          <w:szCs w:val="26"/>
        </w:rPr>
        <w:t xml:space="preserve"> group</w:t>
      </w:r>
      <w:r w:rsidRPr="007F5E03">
        <w:rPr>
          <w:rFonts w:ascii="Century Schoolbook" w:hAnsi="Century Schoolbook"/>
          <w:szCs w:val="26"/>
        </w:rPr>
        <w:t>.</w:t>
      </w:r>
      <w:r>
        <w:rPr>
          <w:rFonts w:ascii="Century Schoolbook" w:hAnsi="Century Schoolbook"/>
          <w:szCs w:val="26"/>
        </w:rPr>
        <w:t xml:space="preserve">  We </w:t>
      </w:r>
      <w:r w:rsidR="00894833">
        <w:rPr>
          <w:rFonts w:ascii="Century Schoolbook" w:hAnsi="Century Schoolbook"/>
          <w:szCs w:val="26"/>
        </w:rPr>
        <w:t>disagree</w:t>
      </w:r>
      <w:r w:rsidR="006E1395">
        <w:rPr>
          <w:rFonts w:ascii="Century Schoolbook" w:hAnsi="Century Schoolbook"/>
          <w:szCs w:val="26"/>
        </w:rPr>
        <w:t xml:space="preserve"> for two reasons</w:t>
      </w:r>
      <w:r w:rsidR="000E10E9">
        <w:rPr>
          <w:rFonts w:ascii="Century Schoolbook" w:hAnsi="Century Schoolbook"/>
          <w:szCs w:val="26"/>
        </w:rPr>
        <w:t>.</w:t>
      </w:r>
      <w:r w:rsidR="006E1395">
        <w:rPr>
          <w:rFonts w:ascii="Century Schoolbook" w:hAnsi="Century Schoolbook"/>
          <w:szCs w:val="26"/>
        </w:rPr>
        <w:t xml:space="preserve">  First, the court properly declined to order restitution to unidentified members of a group.  Second, </w:t>
      </w:r>
      <w:r w:rsidR="00D4061D">
        <w:rPr>
          <w:rFonts w:ascii="Century Schoolbook" w:hAnsi="Century Schoolbook"/>
          <w:szCs w:val="26"/>
        </w:rPr>
        <w:t xml:space="preserve">substantial evidence supports the conclusion that </w:t>
      </w:r>
      <w:r w:rsidR="003C3BEB">
        <w:rPr>
          <w:rFonts w:ascii="Century Schoolbook" w:hAnsi="Century Schoolbook"/>
          <w:szCs w:val="26"/>
        </w:rPr>
        <w:t xml:space="preserve">financial </w:t>
      </w:r>
      <w:r w:rsidR="00D4061D">
        <w:rPr>
          <w:rFonts w:ascii="Century Schoolbook" w:hAnsi="Century Schoolbook"/>
          <w:szCs w:val="26"/>
        </w:rPr>
        <w:t>loss was not established.</w:t>
      </w:r>
    </w:p>
    <w:p w:rsidR="00C2011D" w:rsidP="00C2011D" w14:paraId="63DE3FBF" w14:textId="5B0AE632">
      <w:pPr>
        <w:spacing w:line="288" w:lineRule="auto"/>
        <w:ind w:firstLine="720"/>
        <w:rPr>
          <w:rFonts w:ascii="Century Schoolbook" w:hAnsi="Century Schoolbook" w:cs="Arial"/>
          <w:bCs/>
          <w:szCs w:val="26"/>
        </w:rPr>
      </w:pPr>
      <w:r>
        <w:rPr>
          <w:rFonts w:ascii="Century Schoolbook" w:hAnsi="Century Schoolbook" w:cs="Arial"/>
          <w:bCs/>
          <w:szCs w:val="26"/>
        </w:rPr>
        <w:t xml:space="preserve">Claimants presented </w:t>
      </w:r>
      <w:r w:rsidRPr="007F5E03">
        <w:rPr>
          <w:rFonts w:ascii="Century Schoolbook" w:hAnsi="Century Schoolbook" w:cs="Arial"/>
          <w:bCs/>
          <w:szCs w:val="26"/>
        </w:rPr>
        <w:t>expert</w:t>
      </w:r>
      <w:r w:rsidRPr="00187AA5" w:rsidR="002C644B">
        <w:rPr>
          <w:rFonts w:ascii="Century Schoolbook" w:hAnsi="Century Schoolbook" w:cs="Arial"/>
          <w:bCs/>
          <w:szCs w:val="26"/>
        </w:rPr>
        <w:t xml:space="preserve"> </w:t>
      </w:r>
      <w:r w:rsidR="00F733CE">
        <w:rPr>
          <w:rFonts w:ascii="Century Schoolbook" w:hAnsi="Century Schoolbook" w:cs="Arial"/>
          <w:bCs/>
          <w:szCs w:val="26"/>
        </w:rPr>
        <w:t>declarations</w:t>
      </w:r>
      <w:r w:rsidR="002C644B">
        <w:rPr>
          <w:rFonts w:ascii="Century Schoolbook" w:hAnsi="Century Schoolbook" w:cs="Arial"/>
          <w:bCs/>
          <w:szCs w:val="26"/>
        </w:rPr>
        <w:t xml:space="preserve"> regarding</w:t>
      </w:r>
      <w:r>
        <w:rPr>
          <w:rFonts w:ascii="Century Schoolbook" w:hAnsi="Century Schoolbook" w:cs="Arial"/>
          <w:bCs/>
          <w:szCs w:val="26"/>
        </w:rPr>
        <w:t xml:space="preserve"> the aggregate loss to fishers </w:t>
      </w:r>
      <w:r w:rsidR="00C54D67">
        <w:rPr>
          <w:rFonts w:ascii="Century Schoolbook" w:hAnsi="Century Schoolbook" w:cs="Arial"/>
          <w:bCs/>
          <w:szCs w:val="26"/>
        </w:rPr>
        <w:t xml:space="preserve">as a group </w:t>
      </w:r>
      <w:r>
        <w:rPr>
          <w:rFonts w:ascii="Century Schoolbook" w:hAnsi="Century Schoolbook" w:cs="Arial"/>
          <w:bCs/>
          <w:szCs w:val="26"/>
        </w:rPr>
        <w:t>based on reduced catch from the oil spill</w:t>
      </w:r>
      <w:r w:rsidR="00C54D67">
        <w:rPr>
          <w:rFonts w:ascii="Century Schoolbook" w:hAnsi="Century Schoolbook" w:cs="Arial"/>
          <w:bCs/>
          <w:szCs w:val="26"/>
        </w:rPr>
        <w:t xml:space="preserve">.  </w:t>
      </w:r>
      <w:r>
        <w:rPr>
          <w:rFonts w:ascii="Century Schoolbook" w:hAnsi="Century Schoolbook" w:cs="Arial"/>
          <w:bCs/>
          <w:szCs w:val="26"/>
        </w:rPr>
        <w:t xml:space="preserve">Dr. Igor Mezić, a professor of mechanical engineering and mathematics, </w:t>
      </w:r>
      <w:r w:rsidR="00C54D67">
        <w:rPr>
          <w:rFonts w:ascii="Century Schoolbook" w:hAnsi="Century Schoolbook" w:cs="Arial"/>
          <w:bCs/>
          <w:szCs w:val="26"/>
        </w:rPr>
        <w:t>calculated</w:t>
      </w:r>
      <w:r>
        <w:rPr>
          <w:rFonts w:ascii="Century Schoolbook" w:hAnsi="Century Schoolbook" w:cs="Arial"/>
          <w:bCs/>
          <w:szCs w:val="26"/>
        </w:rPr>
        <w:t xml:space="preserve"> how much oil moved into different fishing blocks.</w:t>
      </w:r>
      <w:r>
        <w:rPr>
          <w:rStyle w:val="FootnoteReference"/>
          <w:rFonts w:cs="Arial"/>
          <w:bCs/>
          <w:szCs w:val="26"/>
        </w:rPr>
        <w:footnoteReference w:id="7"/>
      </w:r>
      <w:r>
        <w:rPr>
          <w:rFonts w:ascii="Century Schoolbook" w:hAnsi="Century Schoolbook" w:cs="Arial"/>
          <w:bCs/>
          <w:szCs w:val="26"/>
        </w:rPr>
        <w:t xml:space="preserve">  </w:t>
      </w:r>
      <w:bookmarkStart w:id="15" w:name="_Hlk143600718"/>
      <w:r>
        <w:rPr>
          <w:rFonts w:ascii="Century Schoolbook" w:hAnsi="Century Schoolbook" w:cs="Arial"/>
          <w:bCs/>
          <w:szCs w:val="26"/>
        </w:rPr>
        <w:t>An economics professor, Peter Rupert, Ph.D., calculate</w:t>
      </w:r>
      <w:r w:rsidR="003E6F79">
        <w:rPr>
          <w:rFonts w:ascii="Century Schoolbook" w:hAnsi="Century Schoolbook" w:cs="Arial"/>
          <w:bCs/>
          <w:szCs w:val="26"/>
        </w:rPr>
        <w:t>d</w:t>
      </w:r>
      <w:r>
        <w:rPr>
          <w:rFonts w:ascii="Century Schoolbook" w:hAnsi="Century Schoolbook" w:cs="Arial"/>
          <w:bCs/>
          <w:szCs w:val="26"/>
        </w:rPr>
        <w:t xml:space="preserve"> the aggregate lost profits from the “lost catch” </w:t>
      </w:r>
      <w:r w:rsidR="00AD587D">
        <w:rPr>
          <w:rFonts w:ascii="Century Schoolbook" w:hAnsi="Century Schoolbook" w:cs="Arial"/>
          <w:bCs/>
          <w:szCs w:val="26"/>
        </w:rPr>
        <w:t xml:space="preserve">from the date of the spill through the end of 2017 </w:t>
      </w:r>
      <w:r>
        <w:rPr>
          <w:rFonts w:ascii="Century Schoolbook" w:hAnsi="Century Schoolbook" w:cs="Arial"/>
          <w:bCs/>
          <w:szCs w:val="26"/>
        </w:rPr>
        <w:t xml:space="preserve">as $202,509,788, based on the number of fish that would have been caught without the oil spill, </w:t>
      </w:r>
      <w:r w:rsidR="0098423C">
        <w:rPr>
          <w:rFonts w:ascii="Century Schoolbook" w:hAnsi="Century Schoolbook" w:cs="Arial"/>
          <w:bCs/>
          <w:szCs w:val="26"/>
        </w:rPr>
        <w:t xml:space="preserve">accounting for </w:t>
      </w:r>
      <w:r>
        <w:rPr>
          <w:rFonts w:ascii="Century Schoolbook" w:hAnsi="Century Schoolbook" w:cs="Arial"/>
          <w:bCs/>
          <w:szCs w:val="26"/>
        </w:rPr>
        <w:t xml:space="preserve">factors such as climate and weather patterns.  </w:t>
      </w:r>
      <w:bookmarkEnd w:id="15"/>
      <w:r w:rsidR="007177F3">
        <w:rPr>
          <w:rFonts w:ascii="Century Schoolbook" w:hAnsi="Century Schoolbook" w:cs="Arial"/>
          <w:bCs/>
          <w:szCs w:val="26"/>
        </w:rPr>
        <w:t>C</w:t>
      </w:r>
      <w:r w:rsidR="000831CD">
        <w:rPr>
          <w:rFonts w:ascii="Century Schoolbook" w:hAnsi="Century Schoolbook" w:cs="Arial"/>
          <w:bCs/>
          <w:szCs w:val="26"/>
        </w:rPr>
        <w:t>laimants</w:t>
      </w:r>
      <w:r w:rsidRPr="000831CD" w:rsidR="000831CD">
        <w:rPr>
          <w:rFonts w:ascii="Century Schoolbook" w:hAnsi="Century Schoolbook" w:cs="Arial"/>
          <w:bCs/>
          <w:szCs w:val="26"/>
        </w:rPr>
        <w:t xml:space="preserve"> </w:t>
      </w:r>
      <w:r w:rsidR="000831CD">
        <w:rPr>
          <w:rFonts w:ascii="Century Schoolbook" w:hAnsi="Century Schoolbook" w:cs="Arial"/>
          <w:bCs/>
          <w:szCs w:val="26"/>
        </w:rPr>
        <w:t xml:space="preserve">did not name the affected fishers or specify the amount of loss to each.  </w:t>
      </w:r>
      <w:r w:rsidR="009251CE">
        <w:rPr>
          <w:rFonts w:ascii="Century Schoolbook" w:hAnsi="Century Schoolbook" w:cs="Arial"/>
          <w:bCs/>
          <w:szCs w:val="26"/>
        </w:rPr>
        <w:t>Plains presented conflict</w:t>
      </w:r>
      <w:r w:rsidR="00774B8D">
        <w:rPr>
          <w:rFonts w:ascii="Century Schoolbook" w:hAnsi="Century Schoolbook" w:cs="Arial"/>
          <w:bCs/>
          <w:szCs w:val="26"/>
        </w:rPr>
        <w:t>ing</w:t>
      </w:r>
      <w:r w:rsidR="009251CE">
        <w:rPr>
          <w:rFonts w:ascii="Century Schoolbook" w:hAnsi="Century Schoolbook" w:cs="Arial"/>
          <w:bCs/>
          <w:szCs w:val="26"/>
        </w:rPr>
        <w:t xml:space="preserve"> expert declarations.</w:t>
      </w:r>
    </w:p>
    <w:p w:rsidR="00D4061D" w:rsidRPr="00D4061D" w:rsidP="00E228B9" w14:paraId="741A6F44" w14:textId="13C61355">
      <w:pPr>
        <w:spacing w:line="288" w:lineRule="auto"/>
        <w:jc w:val="center"/>
        <w:rPr>
          <w:rFonts w:ascii="Century Schoolbook" w:hAnsi="Century Schoolbook" w:cs="Arial"/>
          <w:bCs/>
          <w:i/>
          <w:iCs/>
          <w:szCs w:val="26"/>
        </w:rPr>
      </w:pPr>
      <w:r w:rsidRPr="00D4061D">
        <w:rPr>
          <w:rFonts w:ascii="Century Schoolbook" w:hAnsi="Century Schoolbook" w:cs="Arial"/>
          <w:bCs/>
          <w:i/>
          <w:iCs/>
          <w:szCs w:val="26"/>
        </w:rPr>
        <w:t>1.  Restitution to group</w:t>
      </w:r>
    </w:p>
    <w:p w:rsidR="00C2011D" w:rsidP="00C2011D" w14:paraId="60406152" w14:textId="104A5B0C">
      <w:pPr>
        <w:spacing w:line="288" w:lineRule="auto"/>
        <w:ind w:firstLine="720"/>
        <w:rPr>
          <w:rFonts w:ascii="Century Schoolbook" w:hAnsi="Century Schoolbook" w:cs="Arial"/>
          <w:szCs w:val="26"/>
        </w:rPr>
      </w:pPr>
      <w:r>
        <w:rPr>
          <w:rFonts w:ascii="Century Schoolbook" w:hAnsi="Century Schoolbook" w:cs="Arial"/>
          <w:szCs w:val="26"/>
        </w:rPr>
        <w:t>Claimants’ counsel</w:t>
      </w:r>
      <w:r w:rsidRPr="00395E41">
        <w:rPr>
          <w:rFonts w:ascii="Century Schoolbook" w:hAnsi="Century Schoolbook" w:cs="Arial"/>
          <w:szCs w:val="26"/>
        </w:rPr>
        <w:t xml:space="preserve"> stated the identity of the class members </w:t>
      </w:r>
      <w:r>
        <w:rPr>
          <w:rFonts w:ascii="Century Schoolbook" w:hAnsi="Century Schoolbook" w:cs="Arial"/>
          <w:szCs w:val="26"/>
        </w:rPr>
        <w:t>could be</w:t>
      </w:r>
      <w:r w:rsidRPr="00395E41">
        <w:rPr>
          <w:rFonts w:ascii="Century Schoolbook" w:hAnsi="Century Schoolbook" w:cs="Arial"/>
          <w:szCs w:val="26"/>
        </w:rPr>
        <w:t xml:space="preserve"> </w:t>
      </w:r>
      <w:r>
        <w:rPr>
          <w:rFonts w:ascii="Century Schoolbook" w:hAnsi="Century Schoolbook" w:cs="Arial"/>
          <w:szCs w:val="26"/>
        </w:rPr>
        <w:t>“</w:t>
      </w:r>
      <w:r w:rsidRPr="00395E41">
        <w:rPr>
          <w:rFonts w:ascii="Century Schoolbook" w:hAnsi="Century Schoolbook" w:cs="Arial"/>
          <w:szCs w:val="26"/>
        </w:rPr>
        <w:t>readily identified” through California Department of Fish and Wildlife (CDF</w:t>
      </w:r>
      <w:r>
        <w:rPr>
          <w:rFonts w:ascii="Century Schoolbook" w:hAnsi="Century Schoolbook" w:cs="Arial"/>
          <w:szCs w:val="26"/>
        </w:rPr>
        <w:t>W</w:t>
      </w:r>
      <w:r w:rsidRPr="00395E41">
        <w:rPr>
          <w:rFonts w:ascii="Century Schoolbook" w:hAnsi="Century Schoolbook" w:cs="Arial"/>
          <w:szCs w:val="26"/>
        </w:rPr>
        <w:t>)</w:t>
      </w:r>
      <w:r>
        <w:rPr>
          <w:rFonts w:ascii="Century Schoolbook" w:hAnsi="Century Schoolbook" w:cs="Arial"/>
          <w:szCs w:val="26"/>
        </w:rPr>
        <w:t xml:space="preserve"> </w:t>
      </w:r>
      <w:r w:rsidRPr="00395E41">
        <w:rPr>
          <w:rFonts w:ascii="Century Schoolbook" w:hAnsi="Century Schoolbook" w:cs="Arial"/>
          <w:szCs w:val="26"/>
        </w:rPr>
        <w:t>records of fish caught in affected fishing blocks</w:t>
      </w:r>
      <w:r>
        <w:rPr>
          <w:rFonts w:ascii="Century Schoolbook" w:hAnsi="Century Schoolbook" w:cs="Arial"/>
          <w:szCs w:val="26"/>
        </w:rPr>
        <w:t>.</w:t>
      </w:r>
      <w:r w:rsidRPr="00395E41">
        <w:rPr>
          <w:rFonts w:ascii="Century Schoolbook" w:hAnsi="Century Schoolbook" w:cs="Arial"/>
          <w:szCs w:val="26"/>
        </w:rPr>
        <w:t xml:space="preserve"> </w:t>
      </w:r>
      <w:r>
        <w:rPr>
          <w:rFonts w:ascii="Century Schoolbook" w:hAnsi="Century Schoolbook" w:cs="Arial"/>
          <w:szCs w:val="26"/>
        </w:rPr>
        <w:t xml:space="preserve"> </w:t>
      </w:r>
      <w:r w:rsidR="0094219C">
        <w:rPr>
          <w:rFonts w:ascii="Century Schoolbook" w:hAnsi="Century Schoolbook" w:cs="Arial"/>
          <w:szCs w:val="26"/>
        </w:rPr>
        <w:t>C</w:t>
      </w:r>
      <w:r>
        <w:rPr>
          <w:rFonts w:ascii="Century Schoolbook" w:hAnsi="Century Schoolbook" w:cs="Arial"/>
          <w:szCs w:val="26"/>
        </w:rPr>
        <w:t>ounsel</w:t>
      </w:r>
      <w:r w:rsidRPr="00395E41">
        <w:rPr>
          <w:rFonts w:ascii="Century Schoolbook" w:hAnsi="Century Schoolbook" w:cs="Arial"/>
          <w:szCs w:val="26"/>
        </w:rPr>
        <w:t xml:space="preserve"> </w:t>
      </w:r>
      <w:r>
        <w:rPr>
          <w:rFonts w:ascii="Century Schoolbook" w:hAnsi="Century Schoolbook" w:cs="Arial"/>
          <w:szCs w:val="26"/>
        </w:rPr>
        <w:t>stated</w:t>
      </w:r>
      <w:r w:rsidRPr="00411EB2">
        <w:rPr>
          <w:rFonts w:ascii="Century Schoolbook" w:hAnsi="Century Schoolbook" w:cs="Arial"/>
          <w:szCs w:val="26"/>
        </w:rPr>
        <w:t xml:space="preserve"> </w:t>
      </w:r>
      <w:r w:rsidRPr="00395E41">
        <w:rPr>
          <w:rFonts w:ascii="Century Schoolbook" w:hAnsi="Century Schoolbook" w:cs="Arial"/>
          <w:szCs w:val="26"/>
        </w:rPr>
        <w:t>the federal court order</w:t>
      </w:r>
      <w:r w:rsidR="0094219C">
        <w:rPr>
          <w:rFonts w:ascii="Century Schoolbook" w:hAnsi="Century Schoolbook" w:cs="Arial"/>
          <w:szCs w:val="26"/>
        </w:rPr>
        <w:t xml:space="preserve">ed </w:t>
      </w:r>
      <w:r w:rsidRPr="00395E41">
        <w:rPr>
          <w:rFonts w:ascii="Century Schoolbook" w:hAnsi="Century Schoolbook" w:cs="Arial"/>
          <w:szCs w:val="26"/>
        </w:rPr>
        <w:t xml:space="preserve">CDFW to produce its records </w:t>
      </w:r>
      <w:r w:rsidR="0094219C">
        <w:rPr>
          <w:rFonts w:ascii="Century Schoolbook" w:hAnsi="Century Schoolbook" w:cs="Arial"/>
          <w:szCs w:val="26"/>
        </w:rPr>
        <w:t xml:space="preserve">but </w:t>
      </w:r>
      <w:r w:rsidRPr="00395E41">
        <w:rPr>
          <w:rFonts w:ascii="Century Schoolbook" w:hAnsi="Century Schoolbook" w:cs="Arial"/>
          <w:szCs w:val="26"/>
        </w:rPr>
        <w:t xml:space="preserve">prohibited </w:t>
      </w:r>
      <w:r>
        <w:rPr>
          <w:rFonts w:ascii="Century Schoolbook" w:hAnsi="Century Schoolbook" w:cs="Arial"/>
          <w:szCs w:val="26"/>
        </w:rPr>
        <w:t xml:space="preserve">counsel </w:t>
      </w:r>
      <w:r w:rsidRPr="00395E41">
        <w:rPr>
          <w:rFonts w:ascii="Century Schoolbook" w:hAnsi="Century Schoolbook" w:cs="Arial"/>
          <w:szCs w:val="26"/>
        </w:rPr>
        <w:t xml:space="preserve">from publicly filing the victims’ names. </w:t>
      </w:r>
      <w:r w:rsidR="007C6D61">
        <w:rPr>
          <w:rFonts w:ascii="Century Schoolbook" w:hAnsi="Century Schoolbook" w:cs="Arial"/>
          <w:szCs w:val="26"/>
        </w:rPr>
        <w:t xml:space="preserve"> (See Fish &amp; Game Code, § 8022, subd. (b).) </w:t>
      </w:r>
      <w:r w:rsidRPr="00395E41">
        <w:rPr>
          <w:rFonts w:ascii="Century Schoolbook" w:hAnsi="Century Schoolbook" w:cs="Arial"/>
          <w:szCs w:val="26"/>
        </w:rPr>
        <w:t xml:space="preserve"> </w:t>
      </w:r>
      <w:r w:rsidR="001E0E9A">
        <w:rPr>
          <w:rFonts w:ascii="Century Schoolbook" w:hAnsi="Century Schoolbook" w:cs="Arial"/>
          <w:szCs w:val="26"/>
        </w:rPr>
        <w:t xml:space="preserve">They </w:t>
      </w:r>
      <w:r w:rsidR="0009049D">
        <w:rPr>
          <w:rFonts w:ascii="Century Schoolbook" w:hAnsi="Century Schoolbook" w:cs="Arial"/>
          <w:szCs w:val="26"/>
        </w:rPr>
        <w:t>said they</w:t>
      </w:r>
      <w:r w:rsidR="00310624">
        <w:rPr>
          <w:rFonts w:ascii="Century Schoolbook" w:hAnsi="Century Schoolbook" w:cs="Arial"/>
          <w:szCs w:val="26"/>
        </w:rPr>
        <w:t xml:space="preserve"> were willing to list the individual fishers if the court made an order allowing it</w:t>
      </w:r>
      <w:r w:rsidR="0009049D">
        <w:rPr>
          <w:rFonts w:ascii="Century Schoolbook" w:hAnsi="Century Schoolbook" w:cs="Arial"/>
          <w:szCs w:val="26"/>
        </w:rPr>
        <w:t xml:space="preserve">.  </w:t>
      </w:r>
      <w:r w:rsidRPr="00395E41">
        <w:rPr>
          <w:rFonts w:ascii="Century Schoolbook" w:hAnsi="Century Schoolbook" w:cs="Arial"/>
          <w:szCs w:val="26"/>
        </w:rPr>
        <w:t xml:space="preserve">Claimants requested that </w:t>
      </w:r>
      <w:r w:rsidR="002A52D0">
        <w:rPr>
          <w:rFonts w:ascii="Century Schoolbook" w:hAnsi="Century Schoolbook" w:cs="Arial"/>
          <w:szCs w:val="26"/>
        </w:rPr>
        <w:t xml:space="preserve">restitution be paid to </w:t>
      </w:r>
      <w:r>
        <w:rPr>
          <w:rFonts w:ascii="Century Schoolbook" w:hAnsi="Century Schoolbook" w:cs="Arial"/>
          <w:szCs w:val="26"/>
        </w:rPr>
        <w:t xml:space="preserve">their </w:t>
      </w:r>
      <w:r w:rsidRPr="00395E41">
        <w:rPr>
          <w:rFonts w:ascii="Century Schoolbook" w:hAnsi="Century Schoolbook" w:cs="Arial"/>
          <w:szCs w:val="26"/>
        </w:rPr>
        <w:t>counsel</w:t>
      </w:r>
      <w:r w:rsidR="008A22FD">
        <w:rPr>
          <w:rFonts w:ascii="Century Schoolbook" w:hAnsi="Century Schoolbook" w:cs="Arial"/>
          <w:szCs w:val="26"/>
        </w:rPr>
        <w:t xml:space="preserve"> and the People</w:t>
      </w:r>
      <w:r w:rsidR="002A52D0">
        <w:rPr>
          <w:rFonts w:ascii="Century Schoolbook" w:hAnsi="Century Schoolbook" w:cs="Arial"/>
          <w:szCs w:val="26"/>
        </w:rPr>
        <w:t xml:space="preserve">, who would then </w:t>
      </w:r>
      <w:r w:rsidRPr="00395E41">
        <w:rPr>
          <w:rFonts w:ascii="Century Schoolbook" w:hAnsi="Century Schoolbook" w:cs="Arial"/>
          <w:szCs w:val="26"/>
        </w:rPr>
        <w:t xml:space="preserve">distribute </w:t>
      </w:r>
      <w:r w:rsidR="002A52D0">
        <w:rPr>
          <w:rFonts w:ascii="Century Schoolbook" w:hAnsi="Century Schoolbook" w:cs="Arial"/>
          <w:szCs w:val="26"/>
        </w:rPr>
        <w:t xml:space="preserve">the award </w:t>
      </w:r>
      <w:r w:rsidRPr="00395E41">
        <w:rPr>
          <w:rFonts w:ascii="Century Schoolbook" w:hAnsi="Century Schoolbook" w:cs="Arial"/>
          <w:szCs w:val="26"/>
        </w:rPr>
        <w:t xml:space="preserve">to </w:t>
      </w:r>
      <w:r w:rsidR="00397EFA">
        <w:rPr>
          <w:rFonts w:ascii="Century Schoolbook" w:hAnsi="Century Schoolbook" w:cs="Arial"/>
          <w:szCs w:val="26"/>
        </w:rPr>
        <w:t xml:space="preserve">class </w:t>
      </w:r>
      <w:r w:rsidRPr="00395E41">
        <w:rPr>
          <w:rFonts w:ascii="Century Schoolbook" w:hAnsi="Century Schoolbook" w:cs="Arial"/>
          <w:szCs w:val="26"/>
        </w:rPr>
        <w:t>members based on C</w:t>
      </w:r>
      <w:r>
        <w:rPr>
          <w:rFonts w:ascii="Century Schoolbook" w:hAnsi="Century Schoolbook" w:cs="Arial"/>
          <w:szCs w:val="26"/>
        </w:rPr>
        <w:t xml:space="preserve">DFW </w:t>
      </w:r>
      <w:r w:rsidRPr="00395E41">
        <w:rPr>
          <w:rFonts w:ascii="Century Schoolbook" w:hAnsi="Century Schoolbook" w:cs="Arial"/>
          <w:szCs w:val="26"/>
        </w:rPr>
        <w:t xml:space="preserve">“fish ticket” records of catch volume and prices. </w:t>
      </w:r>
      <w:r w:rsidR="0070567A">
        <w:rPr>
          <w:rFonts w:ascii="Century Schoolbook" w:hAnsi="Century Schoolbook" w:cs="Arial"/>
          <w:szCs w:val="26"/>
        </w:rPr>
        <w:t xml:space="preserve"> The court ruled that </w:t>
      </w:r>
      <w:r w:rsidR="0071604D">
        <w:rPr>
          <w:rFonts w:ascii="Century Schoolbook" w:hAnsi="Century Schoolbook" w:cs="Arial"/>
          <w:szCs w:val="26"/>
        </w:rPr>
        <w:t>claimants’ counsel could have</w:t>
      </w:r>
      <w:r w:rsidR="007907B2">
        <w:rPr>
          <w:rFonts w:ascii="Century Schoolbook" w:hAnsi="Century Schoolbook" w:cs="Arial"/>
          <w:szCs w:val="26"/>
        </w:rPr>
        <w:t xml:space="preserve"> </w:t>
      </w:r>
      <w:r w:rsidR="0071604D">
        <w:rPr>
          <w:rFonts w:ascii="Century Schoolbook" w:hAnsi="Century Schoolbook" w:cs="Arial"/>
          <w:szCs w:val="26"/>
        </w:rPr>
        <w:t>submitted claims on behalf of individual fishers</w:t>
      </w:r>
      <w:r w:rsidR="007907B2">
        <w:rPr>
          <w:rFonts w:ascii="Century Schoolbook" w:hAnsi="Century Schoolbook" w:cs="Arial"/>
          <w:szCs w:val="26"/>
        </w:rPr>
        <w:t xml:space="preserve"> but did not do so</w:t>
      </w:r>
      <w:r w:rsidR="0071604D">
        <w:rPr>
          <w:rFonts w:ascii="Century Schoolbook" w:hAnsi="Century Schoolbook" w:cs="Arial"/>
          <w:szCs w:val="26"/>
        </w:rPr>
        <w:t xml:space="preserve">.  It </w:t>
      </w:r>
      <w:r w:rsidR="00B37C95">
        <w:rPr>
          <w:rFonts w:ascii="Century Schoolbook" w:hAnsi="Century Schoolbook" w:cs="Arial"/>
          <w:szCs w:val="26"/>
        </w:rPr>
        <w:t xml:space="preserve">found </w:t>
      </w:r>
      <w:r w:rsidR="007907B2">
        <w:rPr>
          <w:rFonts w:ascii="Century Schoolbook" w:hAnsi="Century Schoolbook" w:cs="Arial"/>
          <w:szCs w:val="26"/>
        </w:rPr>
        <w:t>t</w:t>
      </w:r>
      <w:r w:rsidR="00B37C95">
        <w:rPr>
          <w:rFonts w:ascii="Century Schoolbook" w:hAnsi="Century Schoolbook" w:cs="Arial"/>
          <w:szCs w:val="26"/>
        </w:rPr>
        <w:t xml:space="preserve">he declarations and arguments submitted by Plains were more persuasive, and the amount of loss was other than that claimed. </w:t>
      </w:r>
    </w:p>
    <w:p w:rsidR="00A01BC3" w:rsidRPr="000C4BFE" w:rsidP="00A01BC3" w14:paraId="5EF39ACC" w14:textId="4ACC99A5">
      <w:pPr>
        <w:spacing w:line="288" w:lineRule="auto"/>
        <w:ind w:firstLine="720"/>
        <w:rPr>
          <w:rFonts w:ascii="Century Schoolbook" w:hAnsi="Century Schoolbook"/>
          <w:szCs w:val="26"/>
        </w:rPr>
      </w:pPr>
      <w:r w:rsidRPr="00395E41">
        <w:rPr>
          <w:rFonts w:ascii="Century Schoolbook" w:hAnsi="Century Schoolbook" w:cs="Arial"/>
          <w:szCs w:val="26"/>
        </w:rPr>
        <w:t xml:space="preserve">The </w:t>
      </w:r>
      <w:r>
        <w:rPr>
          <w:rFonts w:ascii="Century Schoolbook" w:hAnsi="Century Schoolbook" w:cs="Arial"/>
          <w:szCs w:val="26"/>
        </w:rPr>
        <w:t xml:space="preserve">trial court declined to award restitution to the </w:t>
      </w:r>
      <w:r w:rsidRPr="00094B8A">
        <w:rPr>
          <w:rFonts w:ascii="Century Schoolbook" w:hAnsi="Century Schoolbook" w:cs="Arial"/>
          <w:i/>
          <w:iCs/>
          <w:szCs w:val="26"/>
        </w:rPr>
        <w:t>Andrews</w:t>
      </w:r>
      <w:r>
        <w:rPr>
          <w:rFonts w:ascii="Century Schoolbook" w:hAnsi="Century Schoolbook" w:cs="Arial"/>
          <w:szCs w:val="26"/>
        </w:rPr>
        <w:t xml:space="preserve"> </w:t>
      </w:r>
      <w:r w:rsidR="009E3567">
        <w:rPr>
          <w:rFonts w:ascii="Century Schoolbook" w:hAnsi="Century Schoolbook" w:cs="Arial"/>
          <w:szCs w:val="26"/>
        </w:rPr>
        <w:t xml:space="preserve">federal </w:t>
      </w:r>
      <w:r>
        <w:rPr>
          <w:rFonts w:ascii="Century Schoolbook" w:hAnsi="Century Schoolbook" w:cs="Arial"/>
          <w:szCs w:val="26"/>
        </w:rPr>
        <w:t xml:space="preserve">class </w:t>
      </w:r>
      <w:r w:rsidR="00397EFA">
        <w:rPr>
          <w:rFonts w:ascii="Century Schoolbook" w:hAnsi="Century Schoolbook" w:cs="Arial"/>
          <w:szCs w:val="26"/>
        </w:rPr>
        <w:t xml:space="preserve">that was </w:t>
      </w:r>
      <w:r>
        <w:rPr>
          <w:rFonts w:ascii="Century Schoolbook" w:hAnsi="Century Schoolbook" w:cs="Arial"/>
          <w:szCs w:val="26"/>
        </w:rPr>
        <w:t xml:space="preserve">certified </w:t>
      </w:r>
      <w:r w:rsidR="00397EFA">
        <w:rPr>
          <w:rFonts w:ascii="Century Schoolbook" w:hAnsi="Century Schoolbook" w:cs="Arial"/>
          <w:szCs w:val="26"/>
        </w:rPr>
        <w:t>for settlement purposes</w:t>
      </w:r>
      <w:r>
        <w:rPr>
          <w:rFonts w:ascii="Century Schoolbook" w:hAnsi="Century Schoolbook" w:cs="Arial"/>
          <w:szCs w:val="26"/>
        </w:rPr>
        <w:t>.  Th</w:t>
      </w:r>
      <w:r w:rsidR="00397EFA">
        <w:rPr>
          <w:rFonts w:ascii="Century Schoolbook" w:hAnsi="Century Schoolbook" w:cs="Arial"/>
          <w:szCs w:val="26"/>
        </w:rPr>
        <w:t>at settlement class w</w:t>
      </w:r>
      <w:r>
        <w:rPr>
          <w:rFonts w:ascii="Century Schoolbook" w:hAnsi="Century Schoolbook" w:cs="Arial"/>
          <w:szCs w:val="26"/>
        </w:rPr>
        <w:t xml:space="preserve">as </w:t>
      </w:r>
      <w:r w:rsidR="00397EFA">
        <w:rPr>
          <w:rFonts w:ascii="Century Schoolbook" w:hAnsi="Century Schoolbook" w:cs="Arial"/>
          <w:szCs w:val="26"/>
        </w:rPr>
        <w:t xml:space="preserve">defined as </w:t>
      </w:r>
      <w:r>
        <w:rPr>
          <w:rFonts w:ascii="Century Schoolbook" w:hAnsi="Century Schoolbook" w:cs="Arial"/>
          <w:szCs w:val="26"/>
        </w:rPr>
        <w:t xml:space="preserve">those </w:t>
      </w:r>
      <w:r w:rsidR="00397EFA">
        <w:rPr>
          <w:rFonts w:ascii="Century Schoolbook" w:hAnsi="Century Schoolbook" w:cs="Arial"/>
          <w:szCs w:val="26"/>
        </w:rPr>
        <w:t xml:space="preserve">persons who </w:t>
      </w:r>
      <w:r>
        <w:rPr>
          <w:rFonts w:ascii="Century Schoolbook" w:hAnsi="Century Schoolbook" w:cs="Arial"/>
          <w:szCs w:val="26"/>
        </w:rPr>
        <w:t xml:space="preserve">owned or worked on vessels who caught fish in designated areas, and </w:t>
      </w:r>
      <w:r w:rsidR="00E50CF5">
        <w:rPr>
          <w:rFonts w:ascii="Century Schoolbook" w:hAnsi="Century Schoolbook" w:cs="Arial"/>
          <w:szCs w:val="26"/>
        </w:rPr>
        <w:t xml:space="preserve">those who purchased and resold </w:t>
      </w:r>
      <w:r>
        <w:rPr>
          <w:rFonts w:ascii="Century Schoolbook" w:hAnsi="Century Schoolbook" w:cs="Arial"/>
          <w:szCs w:val="26"/>
        </w:rPr>
        <w:t xml:space="preserve">those fish.  </w:t>
      </w:r>
      <w:r w:rsidR="00397EFA">
        <w:rPr>
          <w:rFonts w:ascii="Century Schoolbook" w:hAnsi="Century Schoolbook" w:cs="Arial"/>
          <w:szCs w:val="26"/>
        </w:rPr>
        <w:t xml:space="preserve">It </w:t>
      </w:r>
      <w:r>
        <w:rPr>
          <w:rFonts w:ascii="Century Schoolbook" w:hAnsi="Century Schoolbook" w:cs="Arial"/>
          <w:szCs w:val="26"/>
        </w:rPr>
        <w:t>overlapped with, but was not identical to, Group 2, which included fisher claimants identified through CDFW records “</w:t>
      </w:r>
      <w:r w:rsidRPr="00AA7E74">
        <w:rPr>
          <w:rFonts w:ascii="Century Schoolbook" w:hAnsi="Century Schoolbook" w:cs="Arial"/>
          <w:szCs w:val="26"/>
        </w:rPr>
        <w:t>and related folks, either fishermen or restaurants or other sort</w:t>
      </w:r>
      <w:r>
        <w:rPr>
          <w:rFonts w:ascii="Century Schoolbook" w:hAnsi="Century Schoolbook" w:cs="Arial"/>
          <w:szCs w:val="26"/>
        </w:rPr>
        <w:t xml:space="preserve"> </w:t>
      </w:r>
      <w:r w:rsidRPr="00AA7E74">
        <w:rPr>
          <w:rFonts w:ascii="Century Schoolbook" w:hAnsi="Century Schoolbook" w:cs="Arial"/>
          <w:szCs w:val="26"/>
        </w:rPr>
        <w:t>of fish</w:t>
      </w:r>
      <w:r>
        <w:rPr>
          <w:rFonts w:ascii="Century Schoolbook" w:hAnsi="Century Schoolbook" w:cs="Arial"/>
          <w:szCs w:val="26"/>
        </w:rPr>
        <w:t>ing</w:t>
      </w:r>
      <w:r w:rsidRPr="00AA7E74">
        <w:rPr>
          <w:rFonts w:ascii="Century Schoolbook" w:hAnsi="Century Schoolbook" w:cs="Arial"/>
          <w:szCs w:val="26"/>
        </w:rPr>
        <w:t>-related claims.</w:t>
      </w:r>
      <w:r>
        <w:rPr>
          <w:rFonts w:ascii="Century Schoolbook" w:hAnsi="Century Schoolbook" w:cs="Arial"/>
          <w:szCs w:val="26"/>
        </w:rPr>
        <w:t xml:space="preserve">”  </w:t>
      </w:r>
    </w:p>
    <w:p w:rsidR="00522BD6" w:rsidP="00522BD6" w14:paraId="31A9798A" w14:textId="604369A2">
      <w:pPr>
        <w:spacing w:line="288" w:lineRule="auto"/>
        <w:ind w:firstLine="720"/>
        <w:rPr>
          <w:rFonts w:ascii="Century Schoolbook" w:hAnsi="Century Schoolbook"/>
        </w:rPr>
      </w:pPr>
      <w:r>
        <w:rPr>
          <w:rFonts w:ascii="Century Schoolbook" w:hAnsi="Century Schoolbook" w:cs="Arial"/>
          <w:bCs/>
          <w:szCs w:val="26"/>
        </w:rPr>
        <w:t>The People contend the evidence provided the court with a “rational method .</w:t>
      </w:r>
      <w:r w:rsidR="00EA0AEF">
        <w:rPr>
          <w:rFonts w:ascii="Century Schoolbook" w:hAnsi="Century Schoolbook" w:cs="Arial"/>
          <w:bCs/>
          <w:szCs w:val="26"/>
        </w:rPr>
        <w:t> </w:t>
      </w:r>
      <w:r>
        <w:rPr>
          <w:rFonts w:ascii="Century Schoolbook" w:hAnsi="Century Schoolbook" w:cs="Arial"/>
          <w:bCs/>
          <w:szCs w:val="26"/>
        </w:rPr>
        <w:t>.</w:t>
      </w:r>
      <w:r w:rsidR="00EA0AEF">
        <w:rPr>
          <w:rFonts w:ascii="Century Schoolbook" w:hAnsi="Century Schoolbook" w:cs="Arial"/>
          <w:bCs/>
          <w:szCs w:val="26"/>
        </w:rPr>
        <w:t> </w:t>
      </w:r>
      <w:r>
        <w:rPr>
          <w:rFonts w:ascii="Century Schoolbook" w:hAnsi="Century Schoolbook" w:cs="Arial"/>
          <w:bCs/>
          <w:szCs w:val="26"/>
        </w:rPr>
        <w:t>. reasonably calculated to make the victim whole</w:t>
      </w:r>
      <w:r w:rsidR="001661C8">
        <w:rPr>
          <w:rFonts w:ascii="Century Schoolbook" w:hAnsi="Century Schoolbook" w:cs="Arial"/>
          <w:bCs/>
          <w:szCs w:val="26"/>
        </w:rPr>
        <w:t>.</w:t>
      </w:r>
      <w:r>
        <w:rPr>
          <w:rFonts w:ascii="Century Schoolbook" w:hAnsi="Century Schoolbook" w:cs="Arial"/>
          <w:bCs/>
          <w:szCs w:val="26"/>
        </w:rPr>
        <w:t xml:space="preserve">” </w:t>
      </w:r>
      <w:r w:rsidR="001661C8">
        <w:rPr>
          <w:rFonts w:ascii="Century Schoolbook" w:hAnsi="Century Schoolbook" w:cs="Arial"/>
          <w:bCs/>
          <w:szCs w:val="26"/>
        </w:rPr>
        <w:t xml:space="preserve"> They</w:t>
      </w:r>
      <w:r>
        <w:rPr>
          <w:rFonts w:ascii="Century Schoolbook" w:hAnsi="Century Schoolbook" w:cs="Arial"/>
          <w:bCs/>
          <w:szCs w:val="26"/>
        </w:rPr>
        <w:t xml:space="preserve"> characterize the court’s refusal to order restitution based on </w:t>
      </w:r>
      <w:r w:rsidR="001661C8">
        <w:rPr>
          <w:rFonts w:ascii="Century Schoolbook" w:hAnsi="Century Schoolbook" w:cs="Arial"/>
          <w:bCs/>
          <w:szCs w:val="26"/>
        </w:rPr>
        <w:t>CDFW records</w:t>
      </w:r>
      <w:r>
        <w:rPr>
          <w:rFonts w:ascii="Century Schoolbook" w:hAnsi="Century Schoolbook" w:cs="Arial"/>
          <w:bCs/>
          <w:szCs w:val="26"/>
        </w:rPr>
        <w:t xml:space="preserve"> as an improper demand for a “particular kind of proof.”  </w:t>
      </w:r>
      <w:r w:rsidR="00380533">
        <w:rPr>
          <w:rFonts w:ascii="Century Schoolbook" w:hAnsi="Century Schoolbook" w:cs="Arial"/>
          <w:bCs/>
          <w:szCs w:val="26"/>
        </w:rPr>
        <w:t xml:space="preserve">They rely upon </w:t>
      </w:r>
      <w:r w:rsidRPr="00F85589">
        <w:rPr>
          <w:rFonts w:ascii="Century Schoolbook" w:hAnsi="Century Schoolbook"/>
          <w:i/>
          <w:iCs/>
        </w:rPr>
        <w:t>People v. Kelly</w:t>
      </w:r>
      <w:r w:rsidRPr="00F85589">
        <w:rPr>
          <w:rFonts w:ascii="Century Schoolbook" w:hAnsi="Century Schoolbook"/>
        </w:rPr>
        <w:t xml:space="preserve"> (2020) 59 Cal.App.5th 1172, 118</w:t>
      </w:r>
      <w:r>
        <w:rPr>
          <w:rFonts w:ascii="Century Schoolbook" w:hAnsi="Century Schoolbook"/>
        </w:rPr>
        <w:t>1</w:t>
      </w:r>
      <w:r w:rsidR="00380533">
        <w:rPr>
          <w:rFonts w:ascii="Century Schoolbook" w:hAnsi="Century Schoolbook"/>
        </w:rPr>
        <w:t xml:space="preserve">, which </w:t>
      </w:r>
      <w:r w:rsidR="004153C0">
        <w:rPr>
          <w:rFonts w:ascii="Century Schoolbook" w:hAnsi="Century Schoolbook"/>
        </w:rPr>
        <w:t>concluded</w:t>
      </w:r>
      <w:r w:rsidR="005A222B">
        <w:rPr>
          <w:rFonts w:ascii="Century Schoolbook" w:hAnsi="Century Schoolbook"/>
        </w:rPr>
        <w:t xml:space="preserve"> that Penal Code s</w:t>
      </w:r>
      <w:r w:rsidRPr="00061C22">
        <w:rPr>
          <w:rFonts w:ascii="Century Schoolbook" w:hAnsi="Century Schoolbook"/>
        </w:rPr>
        <w:t xml:space="preserve">ection 1202.4 </w:t>
      </w:r>
      <w:r w:rsidR="005A222B">
        <w:rPr>
          <w:rFonts w:ascii="Century Schoolbook" w:hAnsi="Century Schoolbook"/>
        </w:rPr>
        <w:t>“ ‘</w:t>
      </w:r>
      <w:r w:rsidRPr="00061C22">
        <w:rPr>
          <w:rFonts w:ascii="Century Schoolbook" w:hAnsi="Century Schoolbook"/>
        </w:rPr>
        <w:t>does not, by its terms, require any particular kind of proof</w:t>
      </w:r>
      <w:r w:rsidR="00C31DC0">
        <w:rPr>
          <w:rFonts w:ascii="Century Schoolbook" w:hAnsi="Century Schoolbook"/>
        </w:rPr>
        <w:t>.</w:t>
      </w:r>
      <w:r>
        <w:rPr>
          <w:rFonts w:ascii="Century Schoolbook" w:hAnsi="Century Schoolbook"/>
        </w:rPr>
        <w:t xml:space="preserve">’ ” </w:t>
      </w:r>
      <w:r w:rsidR="00C31DC0">
        <w:rPr>
          <w:rFonts w:ascii="Century Schoolbook" w:hAnsi="Century Schoolbook"/>
        </w:rPr>
        <w:t xml:space="preserve"> </w:t>
      </w:r>
      <w:r w:rsidRPr="00C31DC0" w:rsidR="00C31DC0">
        <w:rPr>
          <w:rFonts w:ascii="Century Schoolbook" w:hAnsi="Century Schoolbook"/>
          <w:i/>
          <w:iCs/>
        </w:rPr>
        <w:t>Kelly</w:t>
      </w:r>
      <w:r w:rsidR="00C31DC0">
        <w:rPr>
          <w:rFonts w:ascii="Century Schoolbook" w:hAnsi="Century Schoolbook"/>
        </w:rPr>
        <w:t xml:space="preserve"> </w:t>
      </w:r>
      <w:r w:rsidR="004153C0">
        <w:rPr>
          <w:rFonts w:ascii="Century Schoolbook" w:hAnsi="Century Schoolbook"/>
        </w:rPr>
        <w:t>held</w:t>
      </w:r>
      <w:r>
        <w:rPr>
          <w:rFonts w:ascii="Century Schoolbook" w:hAnsi="Century Schoolbook"/>
        </w:rPr>
        <w:t xml:space="preserve"> the trial court’s reliance on billing records and declarations was a permissible “</w:t>
      </w:r>
      <w:r w:rsidR="00DA4ED1">
        <w:rPr>
          <w:rFonts w:ascii="Century Schoolbook" w:hAnsi="Century Schoolbook"/>
        </w:rPr>
        <w:t> ‘</w:t>
      </w:r>
      <w:r>
        <w:rPr>
          <w:rFonts w:ascii="Century Schoolbook" w:hAnsi="Century Schoolbook"/>
        </w:rPr>
        <w:t xml:space="preserve">rational </w:t>
      </w:r>
      <w:r w:rsidR="00DA4ED1">
        <w:rPr>
          <w:rFonts w:ascii="Century Schoolbook" w:hAnsi="Century Schoolbook"/>
        </w:rPr>
        <w:t xml:space="preserve">calculation </w:t>
      </w:r>
      <w:r>
        <w:rPr>
          <w:rFonts w:ascii="Century Schoolbook" w:hAnsi="Century Schoolbook"/>
        </w:rPr>
        <w:t>method</w:t>
      </w:r>
      <w:r w:rsidR="00DA4ED1">
        <w:rPr>
          <w:rFonts w:ascii="Century Schoolbook" w:hAnsi="Century Schoolbook"/>
        </w:rPr>
        <w:t>’ </w:t>
      </w:r>
      <w:r>
        <w:rPr>
          <w:rFonts w:ascii="Century Schoolbook" w:hAnsi="Century Schoolbook"/>
        </w:rPr>
        <w:t xml:space="preserve">” to determine the amount of attorney fees and costs incurred as the result of the defendant’s </w:t>
      </w:r>
      <w:r w:rsidR="00D85961">
        <w:rPr>
          <w:rFonts w:ascii="Century Schoolbook" w:hAnsi="Century Schoolbook"/>
        </w:rPr>
        <w:t>mis</w:t>
      </w:r>
      <w:r>
        <w:rPr>
          <w:rFonts w:ascii="Century Schoolbook" w:hAnsi="Century Schoolbook"/>
        </w:rPr>
        <w:t>conduct</w:t>
      </w:r>
      <w:r w:rsidR="00C31DC0">
        <w:rPr>
          <w:rFonts w:ascii="Century Schoolbook" w:hAnsi="Century Schoolbook"/>
        </w:rPr>
        <w:t>.</w:t>
      </w:r>
      <w:r>
        <w:rPr>
          <w:rFonts w:ascii="Century Schoolbook" w:hAnsi="Century Schoolbook"/>
        </w:rPr>
        <w:t xml:space="preserve"> </w:t>
      </w:r>
      <w:r w:rsidR="005A222B">
        <w:rPr>
          <w:rFonts w:ascii="Century Schoolbook" w:hAnsi="Century Schoolbook"/>
        </w:rPr>
        <w:t xml:space="preserve"> </w:t>
      </w:r>
      <w:r>
        <w:rPr>
          <w:rFonts w:ascii="Century Schoolbook" w:hAnsi="Century Schoolbook"/>
        </w:rPr>
        <w:t>(</w:t>
      </w:r>
      <w:r w:rsidR="000E2D60">
        <w:rPr>
          <w:rFonts w:ascii="Century Schoolbook" w:hAnsi="Century Schoolbook"/>
          <w:i/>
          <w:iCs/>
        </w:rPr>
        <w:t>Kelly</w:t>
      </w:r>
      <w:r w:rsidRPr="00CC0D15" w:rsidR="000E2D60">
        <w:rPr>
          <w:rFonts w:ascii="Century Schoolbook" w:hAnsi="Century Schoolbook"/>
        </w:rPr>
        <w:t>,</w:t>
      </w:r>
      <w:r w:rsidRPr="00CC0D15">
        <w:rPr>
          <w:rFonts w:ascii="Century Schoolbook" w:hAnsi="Century Schoolbook"/>
        </w:rPr>
        <w:t xml:space="preserve"> </w:t>
      </w:r>
      <w:r>
        <w:rPr>
          <w:rFonts w:ascii="Century Schoolbook" w:hAnsi="Century Schoolbook"/>
        </w:rPr>
        <w:t>at pp. 1182-1183</w:t>
      </w:r>
      <w:r w:rsidR="00C31DC0">
        <w:rPr>
          <w:rFonts w:ascii="Century Schoolbook" w:hAnsi="Century Schoolbook"/>
        </w:rPr>
        <w:t>.</w:t>
      </w:r>
      <w:r>
        <w:rPr>
          <w:rFonts w:ascii="Century Schoolbook" w:hAnsi="Century Schoolbook"/>
        </w:rPr>
        <w:t>)</w:t>
      </w:r>
      <w:r w:rsidR="00010D6F">
        <w:rPr>
          <w:rFonts w:ascii="Century Schoolbook" w:hAnsi="Century Schoolbook"/>
        </w:rPr>
        <w:t xml:space="preserve">  But w</w:t>
      </w:r>
      <w:r w:rsidRPr="00F010E3">
        <w:rPr>
          <w:rFonts w:ascii="Century Schoolbook" w:hAnsi="Century Schoolbook"/>
        </w:rPr>
        <w:t>hile</w:t>
      </w:r>
      <w:r w:rsidR="00CE2B12">
        <w:rPr>
          <w:rFonts w:ascii="Century Schoolbook" w:hAnsi="Century Schoolbook"/>
        </w:rPr>
        <w:t xml:space="preserve"> section 1202.4</w:t>
      </w:r>
      <w:r w:rsidR="0094219C">
        <w:rPr>
          <w:rFonts w:ascii="Century Schoolbook" w:hAnsi="Century Schoolbook"/>
        </w:rPr>
        <w:t xml:space="preserve"> </w:t>
      </w:r>
      <w:r w:rsidR="00305285">
        <w:rPr>
          <w:rFonts w:ascii="Century Schoolbook" w:hAnsi="Century Schoolbook"/>
        </w:rPr>
        <w:t>does not specify a</w:t>
      </w:r>
      <w:r w:rsidRPr="00F010E3">
        <w:rPr>
          <w:rFonts w:ascii="Century Schoolbook" w:hAnsi="Century Schoolbook"/>
        </w:rPr>
        <w:t xml:space="preserve"> </w:t>
      </w:r>
      <w:r>
        <w:rPr>
          <w:rFonts w:ascii="Century Schoolbook" w:hAnsi="Century Schoolbook"/>
        </w:rPr>
        <w:t>“</w:t>
      </w:r>
      <w:r w:rsidRPr="00F010E3">
        <w:rPr>
          <w:rFonts w:ascii="Century Schoolbook" w:hAnsi="Century Schoolbook"/>
        </w:rPr>
        <w:t>particular kind of proof</w:t>
      </w:r>
      <w:r w:rsidR="00305285">
        <w:rPr>
          <w:rFonts w:ascii="Century Schoolbook" w:hAnsi="Century Schoolbook"/>
        </w:rPr>
        <w:t>,</w:t>
      </w:r>
      <w:r>
        <w:rPr>
          <w:rFonts w:ascii="Century Schoolbook" w:hAnsi="Century Schoolbook"/>
        </w:rPr>
        <w:t xml:space="preserve">” </w:t>
      </w:r>
      <w:r w:rsidRPr="00B80211">
        <w:rPr>
          <w:rFonts w:ascii="Century Schoolbook" w:hAnsi="Century Schoolbook"/>
          <w:i/>
          <w:iCs/>
        </w:rPr>
        <w:t>Kelly</w:t>
      </w:r>
      <w:r>
        <w:rPr>
          <w:rFonts w:ascii="Century Schoolbook" w:hAnsi="Century Schoolbook"/>
        </w:rPr>
        <w:t xml:space="preserve"> does not eliminate the trial court</w:t>
      </w:r>
      <w:r w:rsidR="007B68D1">
        <w:rPr>
          <w:rFonts w:ascii="Century Schoolbook" w:hAnsi="Century Schoolbook"/>
        </w:rPr>
        <w:t>’</w:t>
      </w:r>
      <w:r>
        <w:rPr>
          <w:rFonts w:ascii="Century Schoolbook" w:hAnsi="Century Schoolbook"/>
        </w:rPr>
        <w:t xml:space="preserve">s discretion to determine the kind of proof it will use as part of its “rational method” </w:t>
      </w:r>
      <w:r w:rsidR="00FD6D2E">
        <w:rPr>
          <w:rFonts w:ascii="Century Schoolbook" w:hAnsi="Century Schoolbook"/>
        </w:rPr>
        <w:t>to</w:t>
      </w:r>
      <w:r>
        <w:rPr>
          <w:rFonts w:ascii="Century Schoolbook" w:hAnsi="Century Schoolbook"/>
        </w:rPr>
        <w:t xml:space="preserve"> determin</w:t>
      </w:r>
      <w:r w:rsidR="00FD6D2E">
        <w:rPr>
          <w:rFonts w:ascii="Century Schoolbook" w:hAnsi="Century Schoolbook"/>
        </w:rPr>
        <w:t>e</w:t>
      </w:r>
      <w:r>
        <w:rPr>
          <w:rFonts w:ascii="Century Schoolbook" w:hAnsi="Century Schoolbook"/>
        </w:rPr>
        <w:t xml:space="preserve"> restitution.</w:t>
      </w:r>
    </w:p>
    <w:p w:rsidR="00380533" w:rsidP="00380533" w14:paraId="6B3AE700" w14:textId="5DDEBCF1">
      <w:pPr>
        <w:spacing w:line="288" w:lineRule="auto"/>
        <w:ind w:firstLine="720"/>
        <w:rPr>
          <w:rFonts w:ascii="Century Schoolbook" w:hAnsi="Century Schoolbook"/>
          <w:bCs/>
          <w:szCs w:val="26"/>
        </w:rPr>
      </w:pPr>
      <w:r w:rsidRPr="00E867FF">
        <w:rPr>
          <w:rFonts w:ascii="Century Schoolbook" w:hAnsi="Century Schoolbook"/>
          <w:bCs/>
          <w:szCs w:val="26"/>
        </w:rPr>
        <w:t xml:space="preserve">There is conflicting authority whether the court may make a restitution order to a group rather than </w:t>
      </w:r>
      <w:r w:rsidRPr="00E867FF" w:rsidR="00F76BB0">
        <w:rPr>
          <w:rFonts w:ascii="Century Schoolbook" w:hAnsi="Century Schoolbook"/>
          <w:bCs/>
          <w:szCs w:val="26"/>
        </w:rPr>
        <w:t xml:space="preserve">to </w:t>
      </w:r>
      <w:r w:rsidRPr="00E867FF">
        <w:rPr>
          <w:rFonts w:ascii="Century Schoolbook" w:hAnsi="Century Schoolbook"/>
          <w:bCs/>
          <w:szCs w:val="26"/>
        </w:rPr>
        <w:t xml:space="preserve">individual victims.  In </w:t>
      </w:r>
      <w:r w:rsidRPr="00E867FF">
        <w:rPr>
          <w:rFonts w:ascii="Century Schoolbook" w:hAnsi="Century Schoolbook"/>
          <w:bCs/>
          <w:i/>
          <w:iCs/>
          <w:szCs w:val="26"/>
        </w:rPr>
        <w:t>People v. Ortiz</w:t>
      </w:r>
      <w:r w:rsidRPr="00E867FF">
        <w:rPr>
          <w:rFonts w:ascii="Century Schoolbook" w:hAnsi="Century Schoolbook"/>
          <w:bCs/>
          <w:szCs w:val="26"/>
        </w:rPr>
        <w:t xml:space="preserve"> (1997) </w:t>
      </w:r>
      <w:bookmarkStart w:id="16" w:name="_Hlk135051040"/>
      <w:r w:rsidRPr="00E867FF">
        <w:rPr>
          <w:rFonts w:ascii="Century Schoolbook" w:hAnsi="Century Schoolbook"/>
          <w:bCs/>
          <w:szCs w:val="26"/>
        </w:rPr>
        <w:t>53 Cal.App.4th 791</w:t>
      </w:r>
      <w:bookmarkEnd w:id="16"/>
      <w:r w:rsidRPr="00E867FF">
        <w:rPr>
          <w:rFonts w:ascii="Century Schoolbook" w:hAnsi="Century Schoolbook"/>
          <w:bCs/>
          <w:szCs w:val="26"/>
        </w:rPr>
        <w:t xml:space="preserve"> (</w:t>
      </w:r>
      <w:r w:rsidRPr="00E867FF">
        <w:rPr>
          <w:rFonts w:ascii="Century Schoolbook" w:hAnsi="Century Schoolbook"/>
          <w:bCs/>
          <w:i/>
          <w:iCs/>
          <w:szCs w:val="26"/>
        </w:rPr>
        <w:t>Ortiz</w:t>
      </w:r>
      <w:r w:rsidRPr="00E867FF">
        <w:rPr>
          <w:rFonts w:ascii="Century Schoolbook" w:hAnsi="Century Schoolbook"/>
          <w:bCs/>
          <w:szCs w:val="26"/>
        </w:rPr>
        <w:t xml:space="preserve">), numerous Latin American musicians were </w:t>
      </w:r>
      <w:r w:rsidRPr="00E867FF" w:rsidR="007B68D1">
        <w:rPr>
          <w:rFonts w:ascii="Century Schoolbook" w:hAnsi="Century Schoolbook"/>
          <w:bCs/>
          <w:szCs w:val="26"/>
        </w:rPr>
        <w:t>harmed</w:t>
      </w:r>
      <w:r w:rsidRPr="00E867FF">
        <w:rPr>
          <w:rFonts w:ascii="Century Schoolbook" w:hAnsi="Century Schoolbook"/>
          <w:bCs/>
          <w:szCs w:val="26"/>
        </w:rPr>
        <w:t xml:space="preserve"> by the defendant’s sale of counterfeit music tapes.  </w:t>
      </w:r>
      <w:r w:rsidR="00E44A46">
        <w:rPr>
          <w:rFonts w:ascii="Century Schoolbook" w:hAnsi="Century Schoolbook"/>
          <w:bCs/>
          <w:szCs w:val="26"/>
        </w:rPr>
        <w:t xml:space="preserve">Our colleagues in </w:t>
      </w:r>
      <w:r w:rsidRPr="00E867FF">
        <w:rPr>
          <w:rFonts w:ascii="Century Schoolbook" w:hAnsi="Century Schoolbook"/>
          <w:bCs/>
          <w:szCs w:val="26"/>
        </w:rPr>
        <w:t>Division 7 affirmed a restitution</w:t>
      </w:r>
      <w:r w:rsidR="00DB0D04">
        <w:rPr>
          <w:rFonts w:ascii="Century Schoolbook" w:hAnsi="Century Schoolbook"/>
          <w:bCs/>
          <w:szCs w:val="26"/>
        </w:rPr>
        <w:t xml:space="preserve"> award</w:t>
      </w:r>
      <w:r w:rsidRPr="00E867FF">
        <w:rPr>
          <w:rFonts w:ascii="Century Schoolbook" w:hAnsi="Century Schoolbook"/>
          <w:bCs/>
          <w:szCs w:val="26"/>
        </w:rPr>
        <w:t xml:space="preserve"> to a nonprofit trade association in lieu of the individual victims</w:t>
      </w:r>
      <w:r w:rsidR="00825E19">
        <w:rPr>
          <w:rFonts w:ascii="Century Schoolbook" w:hAnsi="Century Schoolbook"/>
          <w:bCs/>
          <w:szCs w:val="26"/>
        </w:rPr>
        <w:t xml:space="preserve">.  </w:t>
      </w:r>
      <w:r w:rsidR="00E44A46">
        <w:rPr>
          <w:rFonts w:ascii="Century Schoolbook" w:hAnsi="Century Schoolbook"/>
          <w:bCs/>
          <w:szCs w:val="26"/>
        </w:rPr>
        <w:t>They</w:t>
      </w:r>
      <w:r w:rsidR="00825E19">
        <w:rPr>
          <w:rFonts w:ascii="Century Schoolbook" w:hAnsi="Century Schoolbook"/>
          <w:bCs/>
          <w:szCs w:val="26"/>
        </w:rPr>
        <w:t xml:space="preserve"> reasoned: </w:t>
      </w:r>
      <w:r w:rsidRPr="00E867FF">
        <w:rPr>
          <w:rFonts w:ascii="Century Schoolbook" w:hAnsi="Century Schoolbook"/>
          <w:bCs/>
          <w:szCs w:val="26"/>
        </w:rPr>
        <w:t>“</w:t>
      </w:r>
      <w:r w:rsidR="00825E19">
        <w:rPr>
          <w:rFonts w:ascii="Century Schoolbook" w:hAnsi="Century Schoolbook"/>
          <w:bCs/>
          <w:szCs w:val="26"/>
        </w:rPr>
        <w:t>[W]</w:t>
      </w:r>
      <w:r w:rsidRPr="00E867FF">
        <w:rPr>
          <w:rFonts w:ascii="Century Schoolbook" w:hAnsi="Century Schoolbook"/>
          <w:bCs/>
          <w:szCs w:val="26"/>
        </w:rPr>
        <w:t xml:space="preserve">here there are numerous victims of the defendant’s criminal activity and those victims are foreign residents, it may be impracticable if not impossible for each of them, individually, to discover and seek restitution for crimes involving their property interests in California.  Unless they can bind together to seek restitution under one representative organization, these crime victims effectively could be denied the compensation to which they are entitled and the defendant could escape </w:t>
      </w:r>
      <w:r w:rsidR="006B4FEF">
        <w:rPr>
          <w:rFonts w:ascii="Century Schoolbook" w:hAnsi="Century Schoolbook"/>
          <w:bCs/>
          <w:szCs w:val="26"/>
        </w:rPr>
        <w:t>[its]</w:t>
      </w:r>
      <w:r w:rsidRPr="00E867FF">
        <w:rPr>
          <w:rFonts w:ascii="Century Schoolbook" w:hAnsi="Century Schoolbook"/>
          <w:bCs/>
          <w:szCs w:val="26"/>
        </w:rPr>
        <w:t xml:space="preserve"> responsibility to make restitution for the economic loss </w:t>
      </w:r>
      <w:r w:rsidR="006B4FEF">
        <w:rPr>
          <w:rFonts w:ascii="Century Schoolbook" w:hAnsi="Century Schoolbook"/>
          <w:bCs/>
          <w:szCs w:val="26"/>
        </w:rPr>
        <w:t>[it]</w:t>
      </w:r>
      <w:r w:rsidRPr="00E867FF">
        <w:rPr>
          <w:rFonts w:ascii="Century Schoolbook" w:hAnsi="Century Schoolbook"/>
          <w:bCs/>
          <w:szCs w:val="26"/>
        </w:rPr>
        <w:t xml:space="preserve"> has caused.”  (</w:t>
      </w:r>
      <w:r w:rsidRPr="00E867FF">
        <w:rPr>
          <w:rFonts w:ascii="Century Schoolbook" w:hAnsi="Century Schoolbook"/>
          <w:bCs/>
          <w:i/>
          <w:szCs w:val="26"/>
        </w:rPr>
        <w:t>Id</w:t>
      </w:r>
      <w:r w:rsidRPr="00E867FF">
        <w:rPr>
          <w:rFonts w:ascii="Century Schoolbook" w:hAnsi="Century Schoolbook"/>
          <w:bCs/>
          <w:szCs w:val="26"/>
        </w:rPr>
        <w:t>. at p. 797.)</w:t>
      </w:r>
    </w:p>
    <w:p w:rsidR="00380533" w:rsidRPr="00C25773" w:rsidP="00380533" w14:paraId="4DBCED26" w14:textId="150C0155">
      <w:pPr>
        <w:spacing w:line="288" w:lineRule="auto"/>
        <w:ind w:firstLine="720"/>
        <w:rPr>
          <w:rFonts w:ascii="Century Schoolbook" w:hAnsi="Century Schoolbook"/>
          <w:bCs/>
          <w:szCs w:val="26"/>
        </w:rPr>
      </w:pPr>
      <w:r>
        <w:rPr>
          <w:rFonts w:ascii="Century Schoolbook" w:hAnsi="Century Schoolbook"/>
          <w:szCs w:val="26"/>
        </w:rPr>
        <w:t>But i</w:t>
      </w:r>
      <w:r w:rsidR="005653F8">
        <w:rPr>
          <w:rFonts w:ascii="Century Schoolbook" w:hAnsi="Century Schoolbook"/>
          <w:szCs w:val="26"/>
        </w:rPr>
        <w:t xml:space="preserve">n our view, </w:t>
      </w:r>
      <w:r w:rsidRPr="00BA4440">
        <w:rPr>
          <w:rFonts w:ascii="Century Schoolbook" w:hAnsi="Century Schoolbook"/>
          <w:i/>
          <w:iCs/>
          <w:szCs w:val="26"/>
        </w:rPr>
        <w:t>Ortiz</w:t>
      </w:r>
      <w:r w:rsidRPr="00CC0D15" w:rsidR="00E566D9">
        <w:rPr>
          <w:rFonts w:ascii="Century Schoolbook" w:hAnsi="Century Schoolbook"/>
          <w:szCs w:val="26"/>
        </w:rPr>
        <w:t xml:space="preserve">, </w:t>
      </w:r>
      <w:r w:rsidR="00E566D9">
        <w:rPr>
          <w:rFonts w:ascii="Century Schoolbook" w:hAnsi="Century Schoolbook"/>
          <w:i/>
          <w:iCs/>
          <w:szCs w:val="26"/>
        </w:rPr>
        <w:t>supra</w:t>
      </w:r>
      <w:r w:rsidRPr="00E566D9" w:rsidR="00E566D9">
        <w:rPr>
          <w:rFonts w:ascii="Century Schoolbook" w:hAnsi="Century Schoolbook"/>
          <w:szCs w:val="26"/>
        </w:rPr>
        <w:t xml:space="preserve">, 53 Cal.App.4th 791, </w:t>
      </w:r>
      <w:r w:rsidR="00DA4ED1">
        <w:rPr>
          <w:rFonts w:ascii="Century Schoolbook" w:hAnsi="Century Schoolbook"/>
          <w:szCs w:val="26"/>
        </w:rPr>
        <w:t>does</w:t>
      </w:r>
      <w:r>
        <w:rPr>
          <w:rFonts w:ascii="Century Schoolbook" w:hAnsi="Century Schoolbook"/>
          <w:szCs w:val="26"/>
        </w:rPr>
        <w:t xml:space="preserve"> not require</w:t>
      </w:r>
      <w:r w:rsidR="009D6BA6">
        <w:rPr>
          <w:rFonts w:ascii="Century Schoolbook" w:hAnsi="Century Schoolbook"/>
          <w:szCs w:val="26"/>
        </w:rPr>
        <w:t xml:space="preserve"> ordering restitution on an aggregate basis </w:t>
      </w:r>
      <w:r w:rsidR="00EF17CB">
        <w:rPr>
          <w:rFonts w:ascii="Century Schoolbook" w:hAnsi="Century Schoolbook"/>
          <w:szCs w:val="26"/>
        </w:rPr>
        <w:t>here</w:t>
      </w:r>
      <w:r>
        <w:rPr>
          <w:rFonts w:ascii="Century Schoolbook" w:hAnsi="Century Schoolbook"/>
          <w:szCs w:val="26"/>
        </w:rPr>
        <w:t xml:space="preserve">.  Because </w:t>
      </w:r>
      <w:r w:rsidRPr="00BA4440">
        <w:rPr>
          <w:rFonts w:ascii="Century Schoolbook" w:hAnsi="Century Schoolbook"/>
          <w:i/>
          <w:iCs/>
          <w:szCs w:val="26"/>
        </w:rPr>
        <w:t>Ortiz</w:t>
      </w:r>
      <w:r>
        <w:rPr>
          <w:rFonts w:ascii="Century Schoolbook" w:hAnsi="Century Schoolbook"/>
          <w:szCs w:val="26"/>
        </w:rPr>
        <w:t xml:space="preserve"> was a probationary order, the court </w:t>
      </w:r>
      <w:r w:rsidR="0052519C">
        <w:rPr>
          <w:rFonts w:ascii="Century Schoolbook" w:hAnsi="Century Schoolbook"/>
          <w:szCs w:val="26"/>
        </w:rPr>
        <w:t xml:space="preserve">there </w:t>
      </w:r>
      <w:r>
        <w:rPr>
          <w:rFonts w:ascii="Century Schoolbook" w:hAnsi="Century Schoolbook"/>
          <w:szCs w:val="26"/>
        </w:rPr>
        <w:t>had greater leeway to fashion a restitution order.</w:t>
      </w:r>
      <w:r w:rsidRPr="00395E41">
        <w:rPr>
          <w:rFonts w:ascii="Century Schoolbook" w:hAnsi="Century Schoolbook"/>
          <w:bCs/>
          <w:szCs w:val="26"/>
        </w:rPr>
        <w:t xml:space="preserve">  </w:t>
      </w:r>
      <w:r w:rsidR="0052519C">
        <w:rPr>
          <w:rFonts w:ascii="Century Schoolbook" w:hAnsi="Century Schoolbook"/>
          <w:bCs/>
          <w:szCs w:val="26"/>
        </w:rPr>
        <w:t>(</w:t>
      </w:r>
      <w:r w:rsidRPr="0052519C" w:rsidR="0052519C">
        <w:rPr>
          <w:rFonts w:ascii="Century Schoolbook" w:hAnsi="Century Schoolbook"/>
          <w:bCs/>
          <w:i/>
          <w:iCs/>
          <w:szCs w:val="26"/>
        </w:rPr>
        <w:t>Martinez</w:t>
      </w:r>
      <w:r w:rsidR="00D85961">
        <w:rPr>
          <w:rFonts w:ascii="Century Schoolbook" w:hAnsi="Century Schoolbook"/>
          <w:bCs/>
          <w:szCs w:val="26"/>
        </w:rPr>
        <w:t xml:space="preserve">, </w:t>
      </w:r>
      <w:r w:rsidRPr="00E228B9" w:rsidR="00D85961">
        <w:rPr>
          <w:rFonts w:ascii="Century Schoolbook" w:hAnsi="Century Schoolbook"/>
          <w:bCs/>
          <w:i/>
          <w:iCs/>
          <w:szCs w:val="26"/>
        </w:rPr>
        <w:t>supra</w:t>
      </w:r>
      <w:r w:rsidR="00D85961">
        <w:rPr>
          <w:rFonts w:ascii="Century Schoolbook" w:hAnsi="Century Schoolbook"/>
          <w:bCs/>
          <w:szCs w:val="26"/>
        </w:rPr>
        <w:t>,</w:t>
      </w:r>
      <w:r w:rsidR="0052519C">
        <w:rPr>
          <w:rFonts w:ascii="Century Schoolbook" w:hAnsi="Century Schoolbook"/>
          <w:bCs/>
          <w:szCs w:val="26"/>
        </w:rPr>
        <w:t xml:space="preserve"> 2 Cal.5th </w:t>
      </w:r>
      <w:r w:rsidR="00D85961">
        <w:rPr>
          <w:rFonts w:ascii="Century Schoolbook" w:hAnsi="Century Schoolbook"/>
          <w:bCs/>
          <w:szCs w:val="26"/>
        </w:rPr>
        <w:t>at pp.</w:t>
      </w:r>
      <w:r w:rsidR="0052519C">
        <w:rPr>
          <w:rFonts w:ascii="Century Schoolbook" w:hAnsi="Century Schoolbook"/>
          <w:bCs/>
          <w:szCs w:val="26"/>
        </w:rPr>
        <w:t xml:space="preserve"> 1101</w:t>
      </w:r>
      <w:r w:rsidR="00724129">
        <w:rPr>
          <w:rFonts w:ascii="Century Schoolbook" w:hAnsi="Century Schoolbook"/>
          <w:bCs/>
          <w:szCs w:val="26"/>
        </w:rPr>
        <w:t>-1102.</w:t>
      </w:r>
      <w:r w:rsidR="0052519C">
        <w:rPr>
          <w:rFonts w:ascii="Century Schoolbook" w:hAnsi="Century Schoolbook"/>
          <w:bCs/>
          <w:szCs w:val="26"/>
        </w:rPr>
        <w:t xml:space="preserve">)  </w:t>
      </w:r>
      <w:r w:rsidR="005653F8">
        <w:rPr>
          <w:rFonts w:ascii="Century Schoolbook" w:hAnsi="Century Schoolbook"/>
          <w:bCs/>
          <w:szCs w:val="26"/>
        </w:rPr>
        <w:t>And u</w:t>
      </w:r>
      <w:r w:rsidRPr="00E867FF">
        <w:rPr>
          <w:rFonts w:ascii="Century Schoolbook" w:hAnsi="Century Schoolbook"/>
          <w:bCs/>
          <w:szCs w:val="26"/>
        </w:rPr>
        <w:t xml:space="preserve">nlike </w:t>
      </w:r>
      <w:r w:rsidRPr="00E867FF">
        <w:rPr>
          <w:rFonts w:ascii="Century Schoolbook" w:hAnsi="Century Schoolbook"/>
          <w:bCs/>
          <w:i/>
          <w:iCs/>
          <w:szCs w:val="26"/>
        </w:rPr>
        <w:t>Ortiz</w:t>
      </w:r>
      <w:r w:rsidRPr="00E867FF">
        <w:rPr>
          <w:rFonts w:ascii="Century Schoolbook" w:hAnsi="Century Schoolbook"/>
          <w:bCs/>
          <w:szCs w:val="26"/>
        </w:rPr>
        <w:t>, the individual claimants here could have been identified.</w:t>
      </w:r>
      <w:r w:rsidR="004153C0">
        <w:rPr>
          <w:rFonts w:ascii="Century Schoolbook" w:hAnsi="Century Schoolbook"/>
          <w:bCs/>
          <w:szCs w:val="26"/>
        </w:rPr>
        <w:t xml:space="preserve">  </w:t>
      </w:r>
      <w:r w:rsidRPr="004A0E08" w:rsidR="004A0E08">
        <w:rPr>
          <w:rFonts w:ascii="Century Schoolbook" w:hAnsi="Century Schoolbook"/>
          <w:bCs/>
          <w:szCs w:val="26"/>
        </w:rPr>
        <w:t>Claimants’ counsel stated the identity of the class members could be “readily identified” through CDFW records.</w:t>
      </w:r>
      <w:r>
        <w:rPr>
          <w:rStyle w:val="FootnoteReference"/>
          <w:bCs/>
          <w:szCs w:val="26"/>
        </w:rPr>
        <w:footnoteReference w:id="8"/>
      </w:r>
      <w:r w:rsidR="00EA0AEF">
        <w:rPr>
          <w:rFonts w:ascii="Century Schoolbook" w:hAnsi="Century Schoolbook"/>
          <w:bCs/>
          <w:position w:val="8"/>
          <w:sz w:val="20"/>
        </w:rPr>
        <w:t xml:space="preserve">  </w:t>
      </w:r>
      <w:r w:rsidR="005653F8">
        <w:rPr>
          <w:rFonts w:ascii="Century Schoolbook" w:hAnsi="Century Schoolbook"/>
          <w:bCs/>
          <w:szCs w:val="26"/>
        </w:rPr>
        <w:t>W</w:t>
      </w:r>
      <w:r>
        <w:rPr>
          <w:rFonts w:ascii="Century Schoolbook" w:hAnsi="Century Schoolbook"/>
          <w:bCs/>
          <w:szCs w:val="26"/>
        </w:rPr>
        <w:t xml:space="preserve">hile </w:t>
      </w:r>
      <w:r w:rsidRPr="007B68D1" w:rsidR="007B68D1">
        <w:rPr>
          <w:rFonts w:ascii="Century Schoolbook" w:hAnsi="Century Schoolbook"/>
          <w:bCs/>
          <w:i/>
          <w:iCs/>
          <w:szCs w:val="26"/>
        </w:rPr>
        <w:t>Ortiz</w:t>
      </w:r>
      <w:r w:rsidR="007B68D1">
        <w:rPr>
          <w:rFonts w:ascii="Century Schoolbook" w:hAnsi="Century Schoolbook"/>
          <w:bCs/>
          <w:szCs w:val="26"/>
        </w:rPr>
        <w:t xml:space="preserve"> affirmed </w:t>
      </w:r>
      <w:r>
        <w:rPr>
          <w:rFonts w:ascii="Century Schoolbook" w:hAnsi="Century Schoolbook"/>
          <w:bCs/>
          <w:szCs w:val="26"/>
        </w:rPr>
        <w:t>the trial court’s exercise of discretion</w:t>
      </w:r>
      <w:r w:rsidR="001D6A98">
        <w:rPr>
          <w:rFonts w:ascii="Century Schoolbook" w:hAnsi="Century Schoolbook"/>
          <w:bCs/>
          <w:szCs w:val="26"/>
        </w:rPr>
        <w:t xml:space="preserve"> in</w:t>
      </w:r>
      <w:r>
        <w:rPr>
          <w:rFonts w:ascii="Century Schoolbook" w:hAnsi="Century Schoolbook"/>
          <w:bCs/>
          <w:szCs w:val="26"/>
        </w:rPr>
        <w:t xml:space="preserve"> ordering restitution</w:t>
      </w:r>
      <w:r w:rsidR="001D6A98">
        <w:rPr>
          <w:rFonts w:ascii="Century Schoolbook" w:hAnsi="Century Schoolbook"/>
          <w:bCs/>
          <w:szCs w:val="26"/>
        </w:rPr>
        <w:t xml:space="preserve">, </w:t>
      </w:r>
      <w:r w:rsidR="005653F8">
        <w:rPr>
          <w:rFonts w:ascii="Century Schoolbook" w:hAnsi="Century Schoolbook"/>
          <w:bCs/>
          <w:szCs w:val="26"/>
        </w:rPr>
        <w:t xml:space="preserve">it </w:t>
      </w:r>
      <w:r>
        <w:rPr>
          <w:rFonts w:ascii="Century Schoolbook" w:hAnsi="Century Schoolbook"/>
          <w:bCs/>
          <w:szCs w:val="26"/>
        </w:rPr>
        <w:t xml:space="preserve">does not mandate that courts exercise their discretion to award restitution to a representative group. </w:t>
      </w:r>
    </w:p>
    <w:p w:rsidR="008B2728" w:rsidP="00380533" w14:paraId="36711DEC" w14:textId="787EA2CF">
      <w:pPr>
        <w:spacing w:line="288" w:lineRule="auto"/>
        <w:rPr>
          <w:rFonts w:ascii="Century Schoolbook" w:hAnsi="Century Schoolbook"/>
          <w:bCs/>
          <w:szCs w:val="26"/>
        </w:rPr>
      </w:pPr>
      <w:r w:rsidRPr="00395E41">
        <w:rPr>
          <w:rFonts w:ascii="Century Schoolbook" w:hAnsi="Century Schoolbook"/>
          <w:bCs/>
          <w:szCs w:val="26"/>
        </w:rPr>
        <w:tab/>
      </w:r>
      <w:r>
        <w:rPr>
          <w:rFonts w:ascii="Century Schoolbook" w:hAnsi="Century Schoolbook"/>
          <w:bCs/>
          <w:szCs w:val="26"/>
        </w:rPr>
        <w:t>In</w:t>
      </w:r>
      <w:r w:rsidRPr="00395E41">
        <w:rPr>
          <w:rFonts w:ascii="Century Schoolbook" w:hAnsi="Century Schoolbook"/>
          <w:bCs/>
          <w:szCs w:val="26"/>
        </w:rPr>
        <w:t xml:space="preserve"> </w:t>
      </w:r>
      <w:r w:rsidRPr="007A54F5">
        <w:rPr>
          <w:rFonts w:ascii="Century Schoolbook" w:hAnsi="Century Schoolbook"/>
          <w:bCs/>
          <w:i/>
          <w:szCs w:val="26"/>
        </w:rPr>
        <w:t>People v. Kelly</w:t>
      </w:r>
      <w:r w:rsidRPr="00395E41">
        <w:rPr>
          <w:rFonts w:ascii="Century Schoolbook" w:hAnsi="Century Schoolbook"/>
          <w:bCs/>
          <w:szCs w:val="26"/>
        </w:rPr>
        <w:t xml:space="preserve"> (2010) 189 Cal.App.4th 73, 77, the Fourth District</w:t>
      </w:r>
      <w:r w:rsidR="00960332">
        <w:rPr>
          <w:rFonts w:ascii="Century Schoolbook" w:hAnsi="Century Schoolbook"/>
          <w:bCs/>
          <w:szCs w:val="26"/>
        </w:rPr>
        <w:t>, Division 2,</w:t>
      </w:r>
      <w:r w:rsidRPr="00395E41">
        <w:rPr>
          <w:rFonts w:ascii="Century Schoolbook" w:hAnsi="Century Schoolbook"/>
          <w:bCs/>
          <w:szCs w:val="26"/>
        </w:rPr>
        <w:t xml:space="preserve"> declined to follow </w:t>
      </w:r>
      <w:r w:rsidRPr="00395E41">
        <w:rPr>
          <w:rFonts w:ascii="Century Schoolbook" w:hAnsi="Century Schoolbook"/>
          <w:bCs/>
          <w:i/>
          <w:szCs w:val="26"/>
        </w:rPr>
        <w:t>Ortiz</w:t>
      </w:r>
      <w:r w:rsidR="00CC0D15">
        <w:rPr>
          <w:rFonts w:ascii="Century Schoolbook" w:hAnsi="Century Schoolbook"/>
          <w:bCs/>
          <w:iCs/>
          <w:szCs w:val="26"/>
        </w:rPr>
        <w:t xml:space="preserve">, </w:t>
      </w:r>
      <w:r w:rsidR="00CC0D15">
        <w:rPr>
          <w:rFonts w:ascii="Century Schoolbook" w:hAnsi="Century Schoolbook"/>
          <w:bCs/>
          <w:i/>
          <w:szCs w:val="26"/>
        </w:rPr>
        <w:t>supra</w:t>
      </w:r>
      <w:r w:rsidR="00CC0D15">
        <w:rPr>
          <w:rFonts w:ascii="Century Schoolbook" w:hAnsi="Century Schoolbook"/>
          <w:bCs/>
          <w:iCs/>
          <w:szCs w:val="26"/>
        </w:rPr>
        <w:t>, 53 Cal.App.4th 791</w:t>
      </w:r>
      <w:r w:rsidRPr="00395E41">
        <w:rPr>
          <w:rFonts w:ascii="Century Schoolbook" w:hAnsi="Century Schoolbook"/>
          <w:bCs/>
          <w:szCs w:val="26"/>
        </w:rPr>
        <w:t xml:space="preserve">, and suggested it was “wrongly decided.”  Like </w:t>
      </w:r>
      <w:r w:rsidRPr="00395E41">
        <w:rPr>
          <w:rFonts w:ascii="Century Schoolbook" w:hAnsi="Century Schoolbook"/>
          <w:bCs/>
          <w:i/>
          <w:szCs w:val="26"/>
        </w:rPr>
        <w:t>Ortiz</w:t>
      </w:r>
      <w:r w:rsidRPr="00395E41">
        <w:rPr>
          <w:rFonts w:ascii="Century Schoolbook" w:hAnsi="Century Schoolbook"/>
          <w:bCs/>
          <w:szCs w:val="26"/>
        </w:rPr>
        <w:t xml:space="preserve">, </w:t>
      </w:r>
      <w:r w:rsidRPr="00395E41">
        <w:rPr>
          <w:rFonts w:ascii="Century Schoolbook" w:hAnsi="Century Schoolbook"/>
          <w:bCs/>
          <w:i/>
          <w:szCs w:val="26"/>
        </w:rPr>
        <w:t>Kelly</w:t>
      </w:r>
      <w:r w:rsidRPr="00395E41">
        <w:rPr>
          <w:rFonts w:ascii="Century Schoolbook" w:hAnsi="Century Schoolbook"/>
          <w:bCs/>
          <w:szCs w:val="26"/>
        </w:rPr>
        <w:t xml:space="preserve"> dealt with counterfeit music recordings</w:t>
      </w:r>
      <w:r w:rsidR="00E541D7">
        <w:rPr>
          <w:rFonts w:ascii="Century Schoolbook" w:hAnsi="Century Schoolbook"/>
          <w:bCs/>
          <w:szCs w:val="26"/>
        </w:rPr>
        <w:t xml:space="preserve"> but </w:t>
      </w:r>
      <w:r w:rsidRPr="00395E41">
        <w:rPr>
          <w:rFonts w:ascii="Century Schoolbook" w:hAnsi="Century Schoolbook"/>
          <w:bCs/>
          <w:szCs w:val="26"/>
        </w:rPr>
        <w:t>held that a trade association</w:t>
      </w:r>
      <w:r w:rsidR="004C161E">
        <w:rPr>
          <w:rFonts w:ascii="Century Schoolbook" w:hAnsi="Century Schoolbook"/>
          <w:bCs/>
          <w:szCs w:val="26"/>
        </w:rPr>
        <w:t xml:space="preserve"> </w:t>
      </w:r>
      <w:r w:rsidRPr="00395E41">
        <w:rPr>
          <w:rFonts w:ascii="Century Schoolbook" w:hAnsi="Century Schoolbook"/>
          <w:bCs/>
          <w:szCs w:val="26"/>
        </w:rPr>
        <w:t xml:space="preserve">was not a victim and reversed the order </w:t>
      </w:r>
      <w:r w:rsidR="00E867FF">
        <w:rPr>
          <w:rFonts w:ascii="Century Schoolbook" w:hAnsi="Century Schoolbook"/>
          <w:bCs/>
          <w:szCs w:val="26"/>
        </w:rPr>
        <w:t xml:space="preserve">awarding </w:t>
      </w:r>
      <w:r w:rsidRPr="00395E41">
        <w:rPr>
          <w:rFonts w:ascii="Century Schoolbook" w:hAnsi="Century Schoolbook"/>
          <w:bCs/>
          <w:szCs w:val="26"/>
        </w:rPr>
        <w:t>it restitution.</w:t>
      </w:r>
      <w:r>
        <w:rPr>
          <w:rFonts w:ascii="Century Schoolbook" w:hAnsi="Century Schoolbook"/>
          <w:bCs/>
          <w:szCs w:val="26"/>
        </w:rPr>
        <w:t xml:space="preserve"> </w:t>
      </w:r>
      <w:r w:rsidR="00A8531E">
        <w:rPr>
          <w:rFonts w:ascii="Century Schoolbook" w:hAnsi="Century Schoolbook"/>
          <w:bCs/>
          <w:szCs w:val="26"/>
        </w:rPr>
        <w:t xml:space="preserve"> </w:t>
      </w:r>
    </w:p>
    <w:p w:rsidR="00380533" w:rsidP="00E228B9" w14:paraId="0BC43DBC" w14:textId="0C990C11">
      <w:pPr>
        <w:spacing w:line="288" w:lineRule="auto"/>
        <w:ind w:firstLine="720"/>
        <w:rPr>
          <w:rFonts w:ascii="Century Schoolbook" w:hAnsi="Century Schoolbook"/>
          <w:szCs w:val="26"/>
        </w:rPr>
      </w:pPr>
      <w:r>
        <w:rPr>
          <w:rFonts w:ascii="Century Schoolbook" w:hAnsi="Century Schoolbook"/>
          <w:bCs/>
          <w:szCs w:val="26"/>
        </w:rPr>
        <w:t xml:space="preserve">We conclude that </w:t>
      </w:r>
      <w:r w:rsidR="00B42770">
        <w:rPr>
          <w:rFonts w:ascii="Century Schoolbook" w:hAnsi="Century Schoolbook"/>
          <w:bCs/>
          <w:szCs w:val="26"/>
        </w:rPr>
        <w:t xml:space="preserve">an aggregate </w:t>
      </w:r>
      <w:r w:rsidR="00A8531E">
        <w:rPr>
          <w:rFonts w:ascii="Century Schoolbook" w:hAnsi="Century Schoolbook"/>
          <w:bCs/>
          <w:szCs w:val="26"/>
        </w:rPr>
        <w:t>r</w:t>
      </w:r>
      <w:r>
        <w:rPr>
          <w:rFonts w:ascii="Century Schoolbook" w:hAnsi="Century Schoolbook"/>
          <w:szCs w:val="26"/>
        </w:rPr>
        <w:t xml:space="preserve">estitution </w:t>
      </w:r>
      <w:r w:rsidR="00A8531E">
        <w:rPr>
          <w:rFonts w:ascii="Century Schoolbook" w:hAnsi="Century Schoolbook"/>
          <w:szCs w:val="26"/>
        </w:rPr>
        <w:t xml:space="preserve">award </w:t>
      </w:r>
      <w:r>
        <w:rPr>
          <w:rFonts w:ascii="Century Schoolbook" w:hAnsi="Century Schoolbook"/>
          <w:szCs w:val="26"/>
        </w:rPr>
        <w:t>to class members</w:t>
      </w:r>
      <w:r w:rsidR="00A92C40">
        <w:rPr>
          <w:rFonts w:ascii="Century Schoolbook" w:hAnsi="Century Schoolbook"/>
          <w:szCs w:val="26"/>
        </w:rPr>
        <w:t xml:space="preserve"> </w:t>
      </w:r>
      <w:r>
        <w:rPr>
          <w:rFonts w:ascii="Century Schoolbook" w:hAnsi="Century Schoolbook"/>
          <w:szCs w:val="26"/>
        </w:rPr>
        <w:t>distributed by claimants’ counsel</w:t>
      </w:r>
      <w:r w:rsidR="00A92C40">
        <w:rPr>
          <w:rFonts w:ascii="Century Schoolbook" w:hAnsi="Century Schoolbook"/>
          <w:szCs w:val="26"/>
        </w:rPr>
        <w:t xml:space="preserve"> </w:t>
      </w:r>
      <w:r>
        <w:rPr>
          <w:rFonts w:ascii="Century Schoolbook" w:hAnsi="Century Schoolbook"/>
          <w:szCs w:val="26"/>
        </w:rPr>
        <w:t xml:space="preserve">would not comply with </w:t>
      </w:r>
      <w:r w:rsidR="00A92C40">
        <w:rPr>
          <w:rFonts w:ascii="Century Schoolbook" w:hAnsi="Century Schoolbook"/>
          <w:szCs w:val="26"/>
        </w:rPr>
        <w:t xml:space="preserve">section 1202.4 because </w:t>
      </w:r>
      <w:r w:rsidR="009E6AFA">
        <w:rPr>
          <w:rFonts w:ascii="Century Schoolbook" w:hAnsi="Century Schoolbook"/>
          <w:szCs w:val="26"/>
        </w:rPr>
        <w:t xml:space="preserve">“[t]o the extent possible” </w:t>
      </w:r>
      <w:r>
        <w:rPr>
          <w:rFonts w:ascii="Century Schoolbook" w:hAnsi="Century Schoolbook"/>
          <w:szCs w:val="26"/>
        </w:rPr>
        <w:t>the court</w:t>
      </w:r>
      <w:r w:rsidR="00A92C40">
        <w:rPr>
          <w:rFonts w:ascii="Century Schoolbook" w:hAnsi="Century Schoolbook"/>
          <w:szCs w:val="26"/>
        </w:rPr>
        <w:t xml:space="preserve"> must</w:t>
      </w:r>
      <w:r>
        <w:rPr>
          <w:rFonts w:ascii="Century Schoolbook" w:hAnsi="Century Schoolbook"/>
          <w:szCs w:val="26"/>
        </w:rPr>
        <w:t xml:space="preserve"> “identify each victim and each loss to which it pertains.”  (Pen. Code, § 1202.4, subd. (f)(3).)</w:t>
      </w:r>
      <w:r w:rsidR="00645CFD">
        <w:rPr>
          <w:rFonts w:ascii="Century Schoolbook" w:hAnsi="Century Schoolbook"/>
          <w:szCs w:val="26"/>
        </w:rPr>
        <w:t xml:space="preserve">  </w:t>
      </w:r>
      <w:r w:rsidRPr="002A1ECF" w:rsidR="00645CFD">
        <w:rPr>
          <w:rFonts w:ascii="Century Schoolbook" w:hAnsi="Century Schoolbook"/>
          <w:szCs w:val="26"/>
        </w:rPr>
        <w:t xml:space="preserve">“[S]ome evidence of the harm incurred by the </w:t>
      </w:r>
      <w:r w:rsidRPr="002A1ECF" w:rsidR="00645CFD">
        <w:rPr>
          <w:rFonts w:ascii="Century Schoolbook" w:hAnsi="Century Schoolbook"/>
          <w:i/>
          <w:iCs/>
          <w:szCs w:val="26"/>
        </w:rPr>
        <w:t>particular victim</w:t>
      </w:r>
      <w:r w:rsidRPr="002A1ECF" w:rsidR="00645CFD">
        <w:rPr>
          <w:rFonts w:ascii="Century Schoolbook" w:hAnsi="Century Schoolbook"/>
          <w:szCs w:val="26"/>
        </w:rPr>
        <w:t xml:space="preserve"> of the crime is required to support a victim restitution award.  ‘</w:t>
      </w:r>
      <w:bookmarkStart w:id="17" w:name="_Hlk152667401"/>
      <w:r w:rsidRPr="002A1ECF" w:rsidR="00645CFD">
        <w:rPr>
          <w:rFonts w:ascii="Century Schoolbook" w:hAnsi="Century Schoolbook"/>
          <w:szCs w:val="26"/>
        </w:rPr>
        <w:t xml:space="preserve">[A] crime victim may recover only for losses </w:t>
      </w:r>
      <w:r w:rsidRPr="002A1ECF" w:rsidR="00645CFD">
        <w:rPr>
          <w:rFonts w:ascii="Century Schoolbook" w:hAnsi="Century Schoolbook"/>
          <w:i/>
          <w:iCs/>
          <w:szCs w:val="26"/>
        </w:rPr>
        <w:t>personally incurred by that victim</w:t>
      </w:r>
      <w:r w:rsidRPr="002A1ECF" w:rsidR="00645CFD">
        <w:rPr>
          <w:rFonts w:ascii="Century Schoolbook" w:hAnsi="Century Schoolbook"/>
          <w:szCs w:val="26"/>
        </w:rPr>
        <w:t>.’</w:t>
      </w:r>
      <w:r w:rsidRPr="002A1ECF" w:rsidR="00626169">
        <w:rPr>
          <w:rFonts w:ascii="Century Schoolbook" w:hAnsi="Century Schoolbook"/>
          <w:szCs w:val="26"/>
        </w:rPr>
        <w:t xml:space="preserve"> </w:t>
      </w:r>
      <w:r w:rsidRPr="002A1ECF" w:rsidR="00F02D2F">
        <w:rPr>
          <w:rFonts w:ascii="Century Schoolbook" w:hAnsi="Century Schoolbook"/>
          <w:szCs w:val="26"/>
        </w:rPr>
        <w:t xml:space="preserve"> (</w:t>
      </w:r>
      <w:r w:rsidRPr="002A1ECF" w:rsidR="00F02D2F">
        <w:rPr>
          <w:rFonts w:ascii="Century Schoolbook" w:hAnsi="Century Schoolbook"/>
          <w:i/>
          <w:iCs/>
          <w:szCs w:val="26"/>
        </w:rPr>
        <w:t>People v. Runyan</w:t>
      </w:r>
      <w:r w:rsidRPr="002A1ECF" w:rsidR="00F02D2F">
        <w:rPr>
          <w:rFonts w:ascii="Century Schoolbook" w:hAnsi="Century Schoolbook"/>
          <w:szCs w:val="26"/>
        </w:rPr>
        <w:t xml:space="preserve"> (2012) 54 Cal.4th 849, 859; [other citation omitted].)</w:t>
      </w:r>
      <w:bookmarkEnd w:id="17"/>
      <w:r w:rsidR="00EE04A3">
        <w:rPr>
          <w:rFonts w:ascii="Century Schoolbook" w:hAnsi="Century Schoolbook"/>
          <w:szCs w:val="26"/>
        </w:rPr>
        <w:t> </w:t>
      </w:r>
      <w:r w:rsidRPr="002A1ECF" w:rsidR="00626169">
        <w:rPr>
          <w:rFonts w:ascii="Century Schoolbook" w:hAnsi="Century Schoolbook"/>
          <w:szCs w:val="26"/>
        </w:rPr>
        <w:t>.</w:t>
      </w:r>
      <w:r w:rsidR="00EE04A3">
        <w:rPr>
          <w:rFonts w:ascii="Century Schoolbook" w:hAnsi="Century Schoolbook"/>
          <w:szCs w:val="26"/>
        </w:rPr>
        <w:t> </w:t>
      </w:r>
      <w:r w:rsidRPr="002A1ECF" w:rsidR="00626169">
        <w:rPr>
          <w:rFonts w:ascii="Century Schoolbook" w:hAnsi="Century Schoolbook"/>
          <w:szCs w:val="26"/>
        </w:rPr>
        <w:t>.</w:t>
      </w:r>
      <w:r w:rsidR="00EE04A3">
        <w:rPr>
          <w:rFonts w:ascii="Century Schoolbook" w:hAnsi="Century Schoolbook"/>
          <w:szCs w:val="26"/>
        </w:rPr>
        <w:t> </w:t>
      </w:r>
      <w:r w:rsidRPr="002A1ECF" w:rsidR="00626169">
        <w:rPr>
          <w:rFonts w:ascii="Century Schoolbook" w:hAnsi="Century Schoolbook"/>
          <w:szCs w:val="26"/>
        </w:rPr>
        <w:t>.</w:t>
      </w:r>
      <w:r w:rsidR="00EA0AEF">
        <w:rPr>
          <w:rFonts w:ascii="Century Schoolbook" w:hAnsi="Century Schoolbook"/>
          <w:szCs w:val="26"/>
        </w:rPr>
        <w:t xml:space="preserve">  </w:t>
      </w:r>
      <w:r w:rsidRPr="002A1ECF" w:rsidR="00626169">
        <w:rPr>
          <w:rFonts w:ascii="Century Schoolbook" w:hAnsi="Century Schoolbook"/>
          <w:szCs w:val="26"/>
        </w:rPr>
        <w:t xml:space="preserve">[I]t is insufficient that the </w:t>
      </w:r>
      <w:r w:rsidRPr="002A1ECF" w:rsidR="00626169">
        <w:rPr>
          <w:rFonts w:ascii="Century Schoolbook" w:hAnsi="Century Schoolbook"/>
          <w:i/>
          <w:iCs/>
          <w:szCs w:val="26"/>
        </w:rPr>
        <w:t>average victim</w:t>
      </w:r>
      <w:r w:rsidRPr="002A1ECF" w:rsidR="00626169">
        <w:rPr>
          <w:rFonts w:ascii="Century Schoolbook" w:hAnsi="Century Schoolbook"/>
          <w:szCs w:val="26"/>
        </w:rPr>
        <w:t xml:space="preserve"> would suffer injury from a particular type of crime.</w:t>
      </w:r>
      <w:r w:rsidRPr="002A1ECF" w:rsidR="00645CFD">
        <w:rPr>
          <w:rFonts w:ascii="Century Schoolbook" w:hAnsi="Century Schoolbook"/>
          <w:szCs w:val="26"/>
        </w:rPr>
        <w:t xml:space="preserve">” </w:t>
      </w:r>
      <w:r w:rsidRPr="002A1ECF" w:rsidR="006A1BC0">
        <w:rPr>
          <w:rFonts w:ascii="Century Schoolbook" w:hAnsi="Century Schoolbook"/>
          <w:szCs w:val="26"/>
        </w:rPr>
        <w:t xml:space="preserve"> </w:t>
      </w:r>
      <w:r w:rsidRPr="002A1ECF" w:rsidR="00645CFD">
        <w:rPr>
          <w:rFonts w:ascii="Century Schoolbook" w:hAnsi="Century Schoolbook"/>
          <w:szCs w:val="26"/>
        </w:rPr>
        <w:t>(</w:t>
      </w:r>
      <w:r w:rsidRPr="002A1ECF" w:rsidR="00645CFD">
        <w:rPr>
          <w:rFonts w:ascii="Century Schoolbook" w:hAnsi="Century Schoolbook"/>
          <w:i/>
          <w:iCs/>
          <w:szCs w:val="26"/>
        </w:rPr>
        <w:t>People v. Gomez</w:t>
      </w:r>
      <w:r w:rsidRPr="002A1ECF" w:rsidR="00645CFD">
        <w:rPr>
          <w:rFonts w:ascii="Century Schoolbook" w:hAnsi="Century Schoolbook"/>
          <w:szCs w:val="26"/>
        </w:rPr>
        <w:t xml:space="preserve"> (2023) </w:t>
      </w:r>
      <w:r w:rsidR="000E2D60">
        <w:rPr>
          <w:rFonts w:ascii="Century Schoolbook" w:hAnsi="Century Schoolbook"/>
          <w:szCs w:val="26"/>
        </w:rPr>
        <w:t xml:space="preserve">97 </w:t>
      </w:r>
      <w:r w:rsidRPr="002A1ECF" w:rsidR="00645CFD">
        <w:rPr>
          <w:rFonts w:ascii="Century Schoolbook" w:hAnsi="Century Schoolbook"/>
          <w:szCs w:val="26"/>
        </w:rPr>
        <w:t xml:space="preserve">Cal.App.5th </w:t>
      </w:r>
      <w:r w:rsidR="000E2D60">
        <w:rPr>
          <w:rFonts w:ascii="Century Schoolbook" w:hAnsi="Century Schoolbook"/>
          <w:szCs w:val="26"/>
        </w:rPr>
        <w:t>111</w:t>
      </w:r>
      <w:r w:rsidRPr="002A1ECF" w:rsidR="00645CFD">
        <w:rPr>
          <w:rFonts w:ascii="Century Schoolbook" w:hAnsi="Century Schoolbook"/>
          <w:szCs w:val="26"/>
        </w:rPr>
        <w:t xml:space="preserve">, </w:t>
      </w:r>
      <w:r w:rsidR="000E2D60">
        <w:rPr>
          <w:rFonts w:ascii="Century Schoolbook" w:hAnsi="Century Schoolbook"/>
          <w:szCs w:val="26"/>
        </w:rPr>
        <w:t>118.)</w:t>
      </w:r>
      <w:r w:rsidR="00645CFD">
        <w:rPr>
          <w:rFonts w:ascii="Century Schoolbook" w:hAnsi="Century Schoolbook"/>
          <w:szCs w:val="26"/>
        </w:rPr>
        <w:t xml:space="preserve"> </w:t>
      </w:r>
      <w:r w:rsidR="00CB6E40">
        <w:rPr>
          <w:rFonts w:ascii="Century Schoolbook" w:hAnsi="Century Schoolbook"/>
          <w:szCs w:val="26"/>
        </w:rPr>
        <w:t xml:space="preserve"> </w:t>
      </w:r>
      <w:r w:rsidR="00F76BA4">
        <w:rPr>
          <w:rFonts w:ascii="Century Schoolbook" w:hAnsi="Century Schoolbook"/>
          <w:szCs w:val="26"/>
        </w:rPr>
        <w:t>And here, n</w:t>
      </w:r>
      <w:r w:rsidR="00645CFD">
        <w:rPr>
          <w:rFonts w:ascii="Century Schoolbook" w:hAnsi="Century Schoolbook"/>
          <w:szCs w:val="26"/>
        </w:rPr>
        <w:t xml:space="preserve">o evidence </w:t>
      </w:r>
      <w:r w:rsidR="00CF3F01">
        <w:rPr>
          <w:rFonts w:ascii="Century Schoolbook" w:hAnsi="Century Schoolbook"/>
          <w:szCs w:val="26"/>
        </w:rPr>
        <w:t xml:space="preserve">of individual losses </w:t>
      </w:r>
      <w:r w:rsidR="00645CFD">
        <w:rPr>
          <w:rFonts w:ascii="Century Schoolbook" w:hAnsi="Century Schoolbook"/>
          <w:szCs w:val="26"/>
        </w:rPr>
        <w:t>was presented.</w:t>
      </w:r>
    </w:p>
    <w:p w:rsidR="00DC7735" w:rsidRPr="00C25773" w:rsidP="00DC7735" w14:paraId="7189A832" w14:textId="07D7F047">
      <w:pPr>
        <w:spacing w:line="288" w:lineRule="auto"/>
        <w:ind w:firstLine="720"/>
        <w:rPr>
          <w:rFonts w:ascii="Century Schoolbook" w:hAnsi="Century Schoolbook"/>
          <w:bCs/>
          <w:szCs w:val="26"/>
        </w:rPr>
      </w:pPr>
      <w:r>
        <w:rPr>
          <w:rFonts w:ascii="Century Schoolbook" w:hAnsi="Century Schoolbook"/>
          <w:szCs w:val="26"/>
        </w:rPr>
        <w:t xml:space="preserve">Nor do we </w:t>
      </w:r>
      <w:r w:rsidR="00380533">
        <w:rPr>
          <w:rFonts w:ascii="Century Schoolbook" w:hAnsi="Century Schoolbook"/>
          <w:szCs w:val="26"/>
        </w:rPr>
        <w:t xml:space="preserve">agree with the People’s contention that the </w:t>
      </w:r>
      <w:r w:rsidRPr="00430F0E" w:rsidR="00B42770">
        <w:rPr>
          <w:rFonts w:ascii="Century Schoolbook" w:hAnsi="Century Schoolbook"/>
          <w:i/>
          <w:iCs/>
          <w:szCs w:val="26"/>
        </w:rPr>
        <w:t>Andrews</w:t>
      </w:r>
      <w:r w:rsidR="00B42770">
        <w:rPr>
          <w:rFonts w:ascii="Century Schoolbook" w:hAnsi="Century Schoolbook"/>
          <w:szCs w:val="26"/>
        </w:rPr>
        <w:t xml:space="preserve"> </w:t>
      </w:r>
      <w:r w:rsidR="00640534">
        <w:rPr>
          <w:rFonts w:ascii="Century Schoolbook" w:hAnsi="Century Schoolbook"/>
          <w:szCs w:val="26"/>
        </w:rPr>
        <w:t xml:space="preserve">settlement class </w:t>
      </w:r>
      <w:r w:rsidR="00380533">
        <w:rPr>
          <w:rFonts w:ascii="Century Schoolbook" w:hAnsi="Century Schoolbook"/>
          <w:szCs w:val="26"/>
        </w:rPr>
        <w:t>was eligible for restitution pursuant to Penal Code section 1202.4, subdivision (k)(2)</w:t>
      </w:r>
      <w:r w:rsidR="009F5B77">
        <w:rPr>
          <w:rFonts w:ascii="Century Schoolbook" w:hAnsi="Century Schoolbook"/>
          <w:szCs w:val="26"/>
        </w:rPr>
        <w:t xml:space="preserve">.  </w:t>
      </w:r>
      <w:r w:rsidR="00ED4C22">
        <w:rPr>
          <w:rFonts w:ascii="Century Schoolbook" w:hAnsi="Century Schoolbook"/>
          <w:szCs w:val="26"/>
        </w:rPr>
        <w:t xml:space="preserve">The organizations </w:t>
      </w:r>
      <w:r w:rsidR="00380533">
        <w:rPr>
          <w:rFonts w:ascii="Century Schoolbook" w:hAnsi="Century Schoolbook"/>
          <w:szCs w:val="26"/>
        </w:rPr>
        <w:t xml:space="preserve">listed in </w:t>
      </w:r>
      <w:r w:rsidR="0088198F">
        <w:rPr>
          <w:rFonts w:ascii="Century Schoolbook" w:hAnsi="Century Schoolbook"/>
          <w:szCs w:val="26"/>
        </w:rPr>
        <w:t xml:space="preserve">that provision </w:t>
      </w:r>
      <w:r w:rsidR="006D714E">
        <w:rPr>
          <w:rFonts w:ascii="Century Schoolbook" w:hAnsi="Century Schoolbook"/>
          <w:szCs w:val="26"/>
        </w:rPr>
        <w:t>a</w:t>
      </w:r>
      <w:r w:rsidR="002A3468">
        <w:rPr>
          <w:rFonts w:ascii="Century Schoolbook" w:hAnsi="Century Schoolbook"/>
          <w:szCs w:val="26"/>
        </w:rPr>
        <w:t xml:space="preserve">re fictitious persons or other business entities.  </w:t>
      </w:r>
      <w:r w:rsidR="004E070B">
        <w:rPr>
          <w:rFonts w:ascii="Century Schoolbook" w:hAnsi="Century Schoolbook"/>
          <w:szCs w:val="26"/>
        </w:rPr>
        <w:t xml:space="preserve">“[W]e </w:t>
      </w:r>
      <w:r w:rsidRPr="00165DFB" w:rsidR="003356C1">
        <w:rPr>
          <w:rFonts w:ascii="Century Schoolbook" w:hAnsi="Century Schoolbook"/>
          <w:szCs w:val="26"/>
        </w:rPr>
        <w:t xml:space="preserve">presume the Legislature knows an association is an </w:t>
      </w:r>
      <w:r w:rsidRPr="00C00746" w:rsidR="003356C1">
        <w:rPr>
          <w:rFonts w:ascii="Century Schoolbook" w:hAnsi="Century Schoolbook"/>
          <w:i/>
          <w:iCs/>
          <w:szCs w:val="26"/>
        </w:rPr>
        <w:t>organization</w:t>
      </w:r>
      <w:r w:rsidRPr="00165DFB" w:rsidR="003356C1">
        <w:rPr>
          <w:rFonts w:ascii="Century Schoolbook" w:hAnsi="Century Schoolbook"/>
          <w:szCs w:val="26"/>
        </w:rPr>
        <w:t xml:space="preserve"> of people or other entities joined for a common purpose</w:t>
      </w:r>
      <w:r w:rsidR="003356C1">
        <w:rPr>
          <w:rFonts w:ascii="Century Schoolbook" w:hAnsi="Century Schoolbook"/>
          <w:szCs w:val="26"/>
        </w:rPr>
        <w:t>.”  (</w:t>
      </w:r>
      <w:r w:rsidRPr="00165DFB" w:rsidR="003356C1">
        <w:rPr>
          <w:rFonts w:ascii="Century Schoolbook" w:hAnsi="Century Schoolbook"/>
          <w:i/>
          <w:iCs/>
          <w:szCs w:val="26"/>
        </w:rPr>
        <w:t>Ortiz</w:t>
      </w:r>
      <w:r w:rsidR="003356C1">
        <w:rPr>
          <w:rFonts w:ascii="Century Schoolbook" w:hAnsi="Century Schoolbook"/>
          <w:szCs w:val="26"/>
        </w:rPr>
        <w:t xml:space="preserve">, </w:t>
      </w:r>
      <w:r w:rsidRPr="00F31C5D" w:rsidR="003356C1">
        <w:rPr>
          <w:rFonts w:ascii="Century Schoolbook" w:hAnsi="Century Schoolbook"/>
          <w:i/>
          <w:iCs/>
          <w:szCs w:val="26"/>
        </w:rPr>
        <w:t>supra</w:t>
      </w:r>
      <w:r w:rsidR="003356C1">
        <w:rPr>
          <w:rFonts w:ascii="Century Schoolbook" w:hAnsi="Century Schoolbook"/>
          <w:szCs w:val="26"/>
        </w:rPr>
        <w:t xml:space="preserve">, </w:t>
      </w:r>
      <w:r w:rsidRPr="00165DFB" w:rsidR="003356C1">
        <w:rPr>
          <w:rFonts w:ascii="Century Schoolbook" w:hAnsi="Century Schoolbook"/>
          <w:szCs w:val="26"/>
        </w:rPr>
        <w:t xml:space="preserve">53 Cal.App.4th </w:t>
      </w:r>
      <w:r w:rsidR="003356C1">
        <w:rPr>
          <w:rFonts w:ascii="Century Schoolbook" w:hAnsi="Century Schoolbook"/>
          <w:szCs w:val="26"/>
        </w:rPr>
        <w:t xml:space="preserve">at p. </w:t>
      </w:r>
      <w:r w:rsidRPr="00165DFB" w:rsidR="003356C1">
        <w:rPr>
          <w:rFonts w:ascii="Century Schoolbook" w:hAnsi="Century Schoolbook"/>
          <w:szCs w:val="26"/>
        </w:rPr>
        <w:t>796</w:t>
      </w:r>
      <w:r w:rsidR="003356C1">
        <w:rPr>
          <w:rFonts w:ascii="Century Schoolbook" w:hAnsi="Century Schoolbook"/>
          <w:szCs w:val="26"/>
        </w:rPr>
        <w:t>, italics added.)</w:t>
      </w:r>
      <w:r w:rsidR="00364B3D">
        <w:rPr>
          <w:rFonts w:ascii="Century Schoolbook" w:hAnsi="Century Schoolbook"/>
          <w:szCs w:val="26"/>
        </w:rPr>
        <w:t xml:space="preserve">  </w:t>
      </w:r>
      <w:r w:rsidR="002A3468">
        <w:rPr>
          <w:rFonts w:ascii="Century Schoolbook" w:hAnsi="Century Schoolbook"/>
          <w:szCs w:val="26"/>
        </w:rPr>
        <w:t xml:space="preserve">In contrast, </w:t>
      </w:r>
      <w:r w:rsidR="00380533">
        <w:rPr>
          <w:rFonts w:ascii="Century Schoolbook" w:hAnsi="Century Schoolbook"/>
          <w:szCs w:val="26"/>
        </w:rPr>
        <w:t>a certified class</w:t>
      </w:r>
      <w:r w:rsidR="00DB652A">
        <w:rPr>
          <w:rFonts w:ascii="Century Schoolbook" w:hAnsi="Century Schoolbook"/>
          <w:szCs w:val="26"/>
        </w:rPr>
        <w:t xml:space="preserve"> </w:t>
      </w:r>
      <w:r w:rsidR="00933D28">
        <w:rPr>
          <w:rFonts w:ascii="Century Schoolbook" w:hAnsi="Century Schoolbook"/>
          <w:szCs w:val="26"/>
        </w:rPr>
        <w:t xml:space="preserve">is a group of </w:t>
      </w:r>
      <w:r w:rsidR="002A3468">
        <w:rPr>
          <w:rFonts w:ascii="Century Schoolbook" w:hAnsi="Century Schoolbook"/>
          <w:szCs w:val="26"/>
        </w:rPr>
        <w:t xml:space="preserve">separate </w:t>
      </w:r>
      <w:r w:rsidR="00933D28">
        <w:rPr>
          <w:rFonts w:ascii="Century Schoolbook" w:hAnsi="Century Schoolbook"/>
          <w:szCs w:val="26"/>
        </w:rPr>
        <w:t xml:space="preserve">individuals </w:t>
      </w:r>
      <w:r w:rsidR="00C75092">
        <w:rPr>
          <w:rFonts w:ascii="Century Schoolbook" w:hAnsi="Century Schoolbook"/>
          <w:szCs w:val="26"/>
        </w:rPr>
        <w:t>with</w:t>
      </w:r>
      <w:r>
        <w:rPr>
          <w:rFonts w:ascii="Century Schoolbook" w:hAnsi="Century Schoolbook"/>
          <w:szCs w:val="26"/>
        </w:rPr>
        <w:t xml:space="preserve"> a “community of interest</w:t>
      </w:r>
      <w:r w:rsidR="00980A55">
        <w:rPr>
          <w:rFonts w:ascii="Century Schoolbook" w:hAnsi="Century Schoolbook"/>
          <w:szCs w:val="26"/>
        </w:rPr>
        <w:t xml:space="preserve">” in </w:t>
      </w:r>
      <w:r>
        <w:rPr>
          <w:rFonts w:ascii="Century Schoolbook" w:hAnsi="Century Schoolbook"/>
          <w:szCs w:val="26"/>
        </w:rPr>
        <w:t xml:space="preserve">civil </w:t>
      </w:r>
      <w:r w:rsidR="00980A55">
        <w:rPr>
          <w:rFonts w:ascii="Century Schoolbook" w:hAnsi="Century Schoolbook"/>
          <w:szCs w:val="26"/>
        </w:rPr>
        <w:t>litigation</w:t>
      </w:r>
      <w:r w:rsidR="00654698">
        <w:rPr>
          <w:rFonts w:ascii="Century Schoolbook" w:hAnsi="Century Schoolbook"/>
          <w:szCs w:val="26"/>
        </w:rPr>
        <w:t xml:space="preserve">, not </w:t>
      </w:r>
      <w:r w:rsidR="00093F9B">
        <w:rPr>
          <w:rFonts w:ascii="Century Schoolbook" w:hAnsi="Century Schoolbook"/>
          <w:szCs w:val="26"/>
        </w:rPr>
        <w:t xml:space="preserve">an entity that is a </w:t>
      </w:r>
      <w:r w:rsidR="00654698">
        <w:rPr>
          <w:rFonts w:ascii="Century Schoolbook" w:hAnsi="Century Schoolbook"/>
          <w:szCs w:val="26"/>
        </w:rPr>
        <w:t xml:space="preserve">direct victim of </w:t>
      </w:r>
      <w:r w:rsidR="00093F9B">
        <w:rPr>
          <w:rFonts w:ascii="Century Schoolbook" w:hAnsi="Century Schoolbook"/>
          <w:szCs w:val="26"/>
        </w:rPr>
        <w:t xml:space="preserve">a </w:t>
      </w:r>
      <w:r w:rsidR="00654698">
        <w:rPr>
          <w:rFonts w:ascii="Century Schoolbook" w:hAnsi="Century Schoolbook"/>
          <w:szCs w:val="26"/>
        </w:rPr>
        <w:t>crime</w:t>
      </w:r>
      <w:r w:rsidR="00980A55">
        <w:rPr>
          <w:rFonts w:ascii="Century Schoolbook" w:hAnsi="Century Schoolbook"/>
          <w:szCs w:val="26"/>
        </w:rPr>
        <w:t>.</w:t>
      </w:r>
      <w:r>
        <w:rPr>
          <w:rFonts w:ascii="Century Schoolbook" w:hAnsi="Century Schoolbook"/>
          <w:szCs w:val="26"/>
        </w:rPr>
        <w:t xml:space="preserve">  (</w:t>
      </w:r>
      <w:r w:rsidRPr="00C25773">
        <w:rPr>
          <w:rFonts w:ascii="Century Schoolbook" w:hAnsi="Century Schoolbook"/>
          <w:bCs/>
          <w:i/>
          <w:iCs/>
          <w:szCs w:val="26"/>
        </w:rPr>
        <w:t>Linder v. Thrifty Oil Co.</w:t>
      </w:r>
      <w:r w:rsidRPr="00C25773">
        <w:rPr>
          <w:rFonts w:ascii="Century Schoolbook" w:hAnsi="Century Schoolbook"/>
          <w:bCs/>
          <w:szCs w:val="26"/>
        </w:rPr>
        <w:t xml:space="preserve"> (2000) 23 Cal.4th 429, 435</w:t>
      </w:r>
      <w:r w:rsidR="00654698">
        <w:rPr>
          <w:rFonts w:ascii="Century Schoolbook" w:hAnsi="Century Schoolbook"/>
          <w:bCs/>
          <w:szCs w:val="26"/>
        </w:rPr>
        <w:t xml:space="preserve">; </w:t>
      </w:r>
      <w:r w:rsidRPr="00654698" w:rsidR="00654698">
        <w:rPr>
          <w:rFonts w:ascii="Century Schoolbook" w:hAnsi="Century Schoolbook"/>
          <w:bCs/>
          <w:szCs w:val="26"/>
        </w:rPr>
        <w:t>Pen. Code, § 1202.4, subd. (</w:t>
      </w:r>
      <w:r w:rsidR="00654698">
        <w:rPr>
          <w:rFonts w:ascii="Century Schoolbook" w:hAnsi="Century Schoolbook"/>
          <w:bCs/>
          <w:szCs w:val="26"/>
        </w:rPr>
        <w:t>k</w:t>
      </w:r>
      <w:r w:rsidRPr="00654698" w:rsidR="00654698">
        <w:rPr>
          <w:rFonts w:ascii="Century Schoolbook" w:hAnsi="Century Schoolbook"/>
          <w:bCs/>
          <w:szCs w:val="26"/>
        </w:rPr>
        <w:t>)(</w:t>
      </w:r>
      <w:r w:rsidR="00654698">
        <w:rPr>
          <w:rFonts w:ascii="Century Schoolbook" w:hAnsi="Century Schoolbook"/>
          <w:bCs/>
          <w:szCs w:val="26"/>
        </w:rPr>
        <w:t>2</w:t>
      </w:r>
      <w:r w:rsidRPr="00654698" w:rsidR="00654698">
        <w:rPr>
          <w:rFonts w:ascii="Century Schoolbook" w:hAnsi="Century Schoolbook"/>
          <w:bCs/>
          <w:szCs w:val="26"/>
        </w:rPr>
        <w:t>)</w:t>
      </w:r>
      <w:r w:rsidR="005B4EE2">
        <w:rPr>
          <w:rFonts w:ascii="Century Schoolbook" w:hAnsi="Century Schoolbook"/>
          <w:bCs/>
          <w:szCs w:val="26"/>
        </w:rPr>
        <w:t>.</w:t>
      </w:r>
      <w:r>
        <w:rPr>
          <w:rFonts w:ascii="Century Schoolbook" w:hAnsi="Century Schoolbook"/>
          <w:bCs/>
          <w:szCs w:val="26"/>
        </w:rPr>
        <w:t>)</w:t>
      </w:r>
    </w:p>
    <w:p w:rsidR="00EA0AEF" w:rsidP="00EA0AEF" w14:paraId="60B4D299" w14:textId="77777777">
      <w:pPr>
        <w:spacing w:line="288" w:lineRule="auto"/>
        <w:ind w:firstLine="720"/>
        <w:rPr>
          <w:rFonts w:ascii="Century Schoolbook" w:hAnsi="Century Schoolbook" w:cs="Arial"/>
          <w:szCs w:val="26"/>
        </w:rPr>
      </w:pPr>
      <w:r>
        <w:rPr>
          <w:rFonts w:ascii="Century Schoolbook" w:hAnsi="Century Schoolbook"/>
          <w:szCs w:val="26"/>
        </w:rPr>
        <w:t>We decline t</w:t>
      </w:r>
      <w:r w:rsidR="00380533">
        <w:rPr>
          <w:rFonts w:ascii="Century Schoolbook" w:hAnsi="Century Schoolbook"/>
          <w:szCs w:val="26"/>
        </w:rPr>
        <w:t>he People</w:t>
      </w:r>
      <w:r>
        <w:rPr>
          <w:rFonts w:ascii="Century Schoolbook" w:hAnsi="Century Schoolbook"/>
          <w:szCs w:val="26"/>
        </w:rPr>
        <w:t xml:space="preserve">’s invitation to </w:t>
      </w:r>
      <w:r w:rsidR="00380533">
        <w:rPr>
          <w:rFonts w:ascii="Century Schoolbook" w:hAnsi="Century Schoolbook"/>
          <w:szCs w:val="26"/>
        </w:rPr>
        <w:t>appl</w:t>
      </w:r>
      <w:r>
        <w:rPr>
          <w:rFonts w:ascii="Century Schoolbook" w:hAnsi="Century Schoolbook"/>
          <w:szCs w:val="26"/>
        </w:rPr>
        <w:t>y</w:t>
      </w:r>
      <w:r w:rsidR="00380533">
        <w:rPr>
          <w:rFonts w:ascii="Century Schoolbook" w:hAnsi="Century Schoolbook"/>
          <w:szCs w:val="26"/>
        </w:rPr>
        <w:t xml:space="preserve"> class action principles to </w:t>
      </w:r>
      <w:r w:rsidR="007F015F">
        <w:rPr>
          <w:rFonts w:ascii="Century Schoolbook" w:hAnsi="Century Schoolbook"/>
          <w:szCs w:val="26"/>
        </w:rPr>
        <w:t xml:space="preserve">awarding </w:t>
      </w:r>
      <w:r w:rsidR="00380533">
        <w:rPr>
          <w:rFonts w:ascii="Century Schoolbook" w:hAnsi="Century Schoolbook"/>
          <w:szCs w:val="26"/>
        </w:rPr>
        <w:t xml:space="preserve">criminal </w:t>
      </w:r>
      <w:r w:rsidR="007F015F">
        <w:rPr>
          <w:rFonts w:ascii="Century Schoolbook" w:hAnsi="Century Schoolbook"/>
          <w:szCs w:val="26"/>
        </w:rPr>
        <w:t>restitution to unnamed class members</w:t>
      </w:r>
      <w:r w:rsidR="00380533">
        <w:rPr>
          <w:rFonts w:ascii="Century Schoolbook" w:hAnsi="Century Schoolbook"/>
          <w:szCs w:val="26"/>
        </w:rPr>
        <w:t>.</w:t>
      </w:r>
      <w:r w:rsidR="00EA42A1">
        <w:rPr>
          <w:rFonts w:ascii="Century Schoolbook" w:hAnsi="Century Schoolbook"/>
          <w:szCs w:val="26"/>
        </w:rPr>
        <w:t xml:space="preserve">  </w:t>
      </w:r>
      <w:r>
        <w:rPr>
          <w:rFonts w:ascii="Century Schoolbook" w:hAnsi="Century Schoolbook"/>
          <w:szCs w:val="26"/>
        </w:rPr>
        <w:t>We conclude t</w:t>
      </w:r>
      <w:r w:rsidR="00EA42A1">
        <w:rPr>
          <w:rFonts w:ascii="Century Schoolbook" w:hAnsi="Century Schoolbook"/>
          <w:szCs w:val="26"/>
        </w:rPr>
        <w:t>he trial court did not abuse its discretion when it declined to order restitution</w:t>
      </w:r>
      <w:r w:rsidR="00FB7E85">
        <w:rPr>
          <w:rFonts w:ascii="Century Schoolbook" w:hAnsi="Century Schoolbook"/>
          <w:szCs w:val="26"/>
        </w:rPr>
        <w:t xml:space="preserve"> in unspecified amounts</w:t>
      </w:r>
      <w:r w:rsidR="00EA42A1">
        <w:rPr>
          <w:rFonts w:ascii="Century Schoolbook" w:hAnsi="Century Schoolbook"/>
          <w:szCs w:val="26"/>
        </w:rPr>
        <w:t xml:space="preserve"> to unidentified </w:t>
      </w:r>
      <w:r w:rsidR="00FB7E85">
        <w:rPr>
          <w:rFonts w:ascii="Century Schoolbook" w:hAnsi="Century Schoolbook"/>
          <w:szCs w:val="26"/>
        </w:rPr>
        <w:t>class action</w:t>
      </w:r>
      <w:r w:rsidR="00CF3F01">
        <w:rPr>
          <w:rFonts w:ascii="Century Schoolbook" w:hAnsi="Century Schoolbook"/>
          <w:szCs w:val="26"/>
        </w:rPr>
        <w:t xml:space="preserve"> participants</w:t>
      </w:r>
      <w:r w:rsidR="00FB7E85">
        <w:rPr>
          <w:rFonts w:ascii="Century Schoolbook" w:hAnsi="Century Schoolbook"/>
          <w:szCs w:val="26"/>
        </w:rPr>
        <w:t>.</w:t>
      </w:r>
    </w:p>
    <w:p w:rsidR="00EA0AEF" w:rsidP="00974C2B" w14:paraId="0EA1903E" w14:textId="77777777">
      <w:pPr>
        <w:spacing w:line="288" w:lineRule="auto"/>
        <w:jc w:val="center"/>
        <w:rPr>
          <w:rFonts w:ascii="Century Schoolbook" w:hAnsi="Century Schoolbook" w:cs="Arial"/>
          <w:szCs w:val="26"/>
        </w:rPr>
      </w:pPr>
      <w:r w:rsidRPr="00D4061D">
        <w:rPr>
          <w:rFonts w:ascii="Century Schoolbook" w:hAnsi="Century Schoolbook" w:cs="Arial"/>
          <w:i/>
          <w:iCs/>
          <w:szCs w:val="26"/>
        </w:rPr>
        <w:t>2.  Substantial evidence</w:t>
      </w:r>
    </w:p>
    <w:p w:rsidR="00522BD6" w:rsidRPr="00395E41" w:rsidP="00EA0AEF" w14:paraId="25DD30E5" w14:textId="63249CD5">
      <w:pPr>
        <w:spacing w:line="288" w:lineRule="auto"/>
        <w:ind w:firstLine="720"/>
        <w:rPr>
          <w:rFonts w:ascii="Century Schoolbook" w:hAnsi="Century Schoolbook" w:cs="Arial"/>
          <w:szCs w:val="26"/>
        </w:rPr>
      </w:pPr>
      <w:r>
        <w:rPr>
          <w:rFonts w:ascii="Century Schoolbook" w:hAnsi="Century Schoolbook" w:cs="Arial"/>
          <w:szCs w:val="26"/>
        </w:rPr>
        <w:t>S</w:t>
      </w:r>
      <w:r w:rsidRPr="00B56375">
        <w:rPr>
          <w:rFonts w:ascii="Century Schoolbook" w:hAnsi="Century Schoolbook" w:cs="Arial"/>
          <w:szCs w:val="26"/>
        </w:rPr>
        <w:t xml:space="preserve">ubstantial evidence </w:t>
      </w:r>
      <w:r>
        <w:rPr>
          <w:rFonts w:ascii="Century Schoolbook" w:hAnsi="Century Schoolbook" w:cs="Arial"/>
          <w:szCs w:val="26"/>
        </w:rPr>
        <w:t xml:space="preserve">also </w:t>
      </w:r>
      <w:r w:rsidRPr="00B56375">
        <w:rPr>
          <w:rFonts w:ascii="Century Schoolbook" w:hAnsi="Century Schoolbook" w:cs="Arial"/>
          <w:szCs w:val="26"/>
        </w:rPr>
        <w:t xml:space="preserve">supports the </w:t>
      </w:r>
      <w:r w:rsidR="005A6EE8">
        <w:rPr>
          <w:rFonts w:ascii="Century Schoolbook" w:hAnsi="Century Schoolbook" w:cs="Arial"/>
          <w:szCs w:val="26"/>
        </w:rPr>
        <w:t xml:space="preserve">trial court’s finding </w:t>
      </w:r>
      <w:r w:rsidRPr="00B56375">
        <w:rPr>
          <w:rFonts w:ascii="Century Schoolbook" w:hAnsi="Century Schoolbook" w:cs="Arial"/>
          <w:szCs w:val="26"/>
        </w:rPr>
        <w:t>that</w:t>
      </w:r>
      <w:r>
        <w:rPr>
          <w:rFonts w:ascii="Century Schoolbook" w:hAnsi="Century Schoolbook" w:cs="Arial"/>
          <w:szCs w:val="26"/>
        </w:rPr>
        <w:t xml:space="preserve"> the </w:t>
      </w:r>
      <w:r w:rsidR="0065282A">
        <w:rPr>
          <w:rFonts w:ascii="Century Schoolbook" w:hAnsi="Century Schoolbook" w:cs="Arial"/>
          <w:szCs w:val="26"/>
        </w:rPr>
        <w:t>aggregate</w:t>
      </w:r>
      <w:r w:rsidR="00903792">
        <w:rPr>
          <w:rFonts w:ascii="Century Schoolbook" w:hAnsi="Century Schoolbook" w:cs="Arial"/>
          <w:szCs w:val="26"/>
        </w:rPr>
        <w:t xml:space="preserve"> </w:t>
      </w:r>
      <w:r>
        <w:rPr>
          <w:rFonts w:ascii="Century Schoolbook" w:hAnsi="Century Schoolbook" w:cs="Arial"/>
          <w:szCs w:val="26"/>
        </w:rPr>
        <w:t>Group 2 claimants did not</w:t>
      </w:r>
      <w:r w:rsidRPr="00B56375">
        <w:rPr>
          <w:rFonts w:ascii="Century Schoolbook" w:hAnsi="Century Schoolbook" w:cs="Arial"/>
          <w:szCs w:val="26"/>
        </w:rPr>
        <w:t xml:space="preserve"> </w:t>
      </w:r>
      <w:r>
        <w:rPr>
          <w:rFonts w:ascii="Century Schoolbook" w:hAnsi="Century Schoolbook" w:cs="Arial"/>
          <w:szCs w:val="26"/>
        </w:rPr>
        <w:t xml:space="preserve">establish </w:t>
      </w:r>
      <w:r w:rsidRPr="00B56375">
        <w:rPr>
          <w:rFonts w:ascii="Century Schoolbook" w:hAnsi="Century Schoolbook" w:cs="Arial"/>
          <w:szCs w:val="26"/>
        </w:rPr>
        <w:t>financial loss</w:t>
      </w:r>
      <w:r>
        <w:rPr>
          <w:rFonts w:ascii="Century Schoolbook" w:hAnsi="Century Schoolbook" w:cs="Arial"/>
          <w:szCs w:val="26"/>
        </w:rPr>
        <w:t>.</w:t>
      </w:r>
      <w:r w:rsidRPr="00B56375">
        <w:rPr>
          <w:rFonts w:ascii="Century Schoolbook" w:hAnsi="Century Schoolbook" w:cs="Arial"/>
          <w:szCs w:val="26"/>
        </w:rPr>
        <w:t xml:space="preserve"> </w:t>
      </w:r>
    </w:p>
    <w:p w:rsidR="00C2011D" w:rsidP="00C2011D" w14:paraId="286DE8FB" w14:textId="5BFBCEF0">
      <w:pPr>
        <w:spacing w:line="288" w:lineRule="auto"/>
        <w:ind w:firstLine="720"/>
        <w:rPr>
          <w:rFonts w:ascii="Century Schoolbook" w:hAnsi="Century Schoolbook" w:cs="Arial"/>
          <w:bCs/>
          <w:szCs w:val="26"/>
        </w:rPr>
      </w:pPr>
      <w:r>
        <w:rPr>
          <w:rFonts w:ascii="Century Schoolbook" w:hAnsi="Century Schoolbook" w:cs="Arial"/>
          <w:bCs/>
          <w:szCs w:val="26"/>
        </w:rPr>
        <w:t>Plains presented the expert opinion of f</w:t>
      </w:r>
      <w:r>
        <w:rPr>
          <w:rFonts w:ascii="Century Schoolbook" w:hAnsi="Century Schoolbook" w:cs="Arial"/>
          <w:bCs/>
          <w:szCs w:val="26"/>
        </w:rPr>
        <w:t>orensic accountant Avram S. Tucker</w:t>
      </w:r>
      <w:r w:rsidR="00C965CF">
        <w:rPr>
          <w:rFonts w:ascii="Century Schoolbook" w:hAnsi="Century Schoolbook" w:cs="Arial"/>
          <w:bCs/>
          <w:szCs w:val="26"/>
        </w:rPr>
        <w:t>, who</w:t>
      </w:r>
      <w:r>
        <w:rPr>
          <w:rFonts w:ascii="Century Schoolbook" w:hAnsi="Century Schoolbook" w:cs="Arial"/>
          <w:bCs/>
          <w:szCs w:val="26"/>
        </w:rPr>
        <w:t xml:space="preserve"> compared the </w:t>
      </w:r>
      <w:r w:rsidR="00117384">
        <w:rPr>
          <w:rFonts w:ascii="Century Schoolbook" w:hAnsi="Century Schoolbook" w:cs="Arial"/>
          <w:bCs/>
          <w:szCs w:val="26"/>
        </w:rPr>
        <w:t>pre</w:t>
      </w:r>
      <w:r w:rsidR="0061708F">
        <w:rPr>
          <w:rFonts w:ascii="Century Schoolbook" w:hAnsi="Century Schoolbook" w:cs="Arial"/>
          <w:bCs/>
          <w:szCs w:val="26"/>
        </w:rPr>
        <w:t>-</w:t>
      </w:r>
      <w:r w:rsidR="00117384">
        <w:rPr>
          <w:rFonts w:ascii="Century Schoolbook" w:hAnsi="Century Schoolbook" w:cs="Arial"/>
          <w:bCs/>
          <w:szCs w:val="26"/>
        </w:rPr>
        <w:t xml:space="preserve"> and post-oil spill revenues and profit margins of </w:t>
      </w:r>
      <w:r>
        <w:rPr>
          <w:rFonts w:ascii="Century Schoolbook" w:hAnsi="Century Schoolbook" w:cs="Arial"/>
          <w:bCs/>
          <w:szCs w:val="26"/>
        </w:rPr>
        <w:t>fishers</w:t>
      </w:r>
      <w:r w:rsidR="009C621F">
        <w:rPr>
          <w:rFonts w:ascii="Century Schoolbook" w:hAnsi="Century Schoolbook" w:cs="Arial"/>
          <w:bCs/>
          <w:szCs w:val="26"/>
        </w:rPr>
        <w:t>.  H</w:t>
      </w:r>
      <w:r>
        <w:rPr>
          <w:rFonts w:ascii="Century Schoolbook" w:hAnsi="Century Schoolbook" w:cs="Arial"/>
          <w:bCs/>
          <w:szCs w:val="26"/>
        </w:rPr>
        <w:t>e concluded, “</w:t>
      </w:r>
      <w:r w:rsidRPr="00DB7823">
        <w:rPr>
          <w:rFonts w:ascii="Century Schoolbook" w:hAnsi="Century Schoolbook" w:cs="Arial"/>
          <w:bCs/>
          <w:szCs w:val="26"/>
        </w:rPr>
        <w:t>Dr. Rupert</w:t>
      </w:r>
      <w:r>
        <w:rPr>
          <w:rFonts w:ascii="Century Schoolbook" w:hAnsi="Century Schoolbook" w:cs="Arial"/>
          <w:bCs/>
          <w:szCs w:val="26"/>
        </w:rPr>
        <w:t>’</w:t>
      </w:r>
      <w:r w:rsidRPr="00DB7823">
        <w:rPr>
          <w:rFonts w:ascii="Century Schoolbook" w:hAnsi="Century Schoolbook" w:cs="Arial"/>
          <w:bCs/>
          <w:szCs w:val="26"/>
        </w:rPr>
        <w:t xml:space="preserve">s conclusion that the oil spill caused </w:t>
      </w:r>
      <w:r w:rsidRPr="00C279CE">
        <w:rPr>
          <w:rFonts w:ascii="Century Schoolbook" w:hAnsi="Century Schoolbook" w:cs="Arial"/>
          <w:bCs/>
          <w:i/>
          <w:iCs/>
          <w:szCs w:val="26"/>
        </w:rPr>
        <w:t>any</w:t>
      </w:r>
      <w:r w:rsidRPr="00DB7823">
        <w:rPr>
          <w:rFonts w:ascii="Century Schoolbook" w:hAnsi="Century Schoolbook" w:cs="Arial"/>
          <w:bCs/>
          <w:szCs w:val="26"/>
        </w:rPr>
        <w:t xml:space="preserve"> reduced revenue or lost profits realized by fishers and fish processors is unsupported and unreliable.</w:t>
      </w:r>
      <w:r>
        <w:rPr>
          <w:rFonts w:ascii="Century Schoolbook" w:hAnsi="Century Schoolbook" w:cs="Arial"/>
          <w:bCs/>
          <w:szCs w:val="26"/>
        </w:rPr>
        <w:t>”  (Italics added.)</w:t>
      </w:r>
      <w:r w:rsidRPr="00DB7823">
        <w:rPr>
          <w:rFonts w:ascii="Century Schoolbook" w:hAnsi="Century Schoolbook" w:cs="Arial"/>
          <w:bCs/>
          <w:szCs w:val="26"/>
        </w:rPr>
        <w:t xml:space="preserve"> </w:t>
      </w:r>
    </w:p>
    <w:p w:rsidR="00D65038" w:rsidP="00D65038" w14:paraId="6F301D48" w14:textId="6A50310F">
      <w:pPr>
        <w:spacing w:line="288" w:lineRule="auto"/>
        <w:ind w:firstLine="720"/>
        <w:rPr>
          <w:rFonts w:ascii="Century Schoolbook" w:hAnsi="Century Schoolbook" w:cs="Arial"/>
          <w:szCs w:val="26"/>
        </w:rPr>
      </w:pPr>
      <w:r>
        <w:rPr>
          <w:rFonts w:ascii="Century Schoolbook" w:hAnsi="Century Schoolbook" w:cs="Arial"/>
          <w:szCs w:val="26"/>
        </w:rPr>
        <w:t xml:space="preserve">Plains also presented a declaration from Ann Michelle Morrison, Sc.D., an expert in ecological and biological sciences.  She stated that Dr. Rupert’s methodology was flawed.  She concluded that any impacts from the spill were of “short duration,” and noted the affected fishing blocks were reopened 41 days later.  She </w:t>
      </w:r>
      <w:r w:rsidR="00ED5F1A">
        <w:rPr>
          <w:rFonts w:ascii="Century Schoolbook" w:hAnsi="Century Schoolbook" w:cs="Arial"/>
          <w:szCs w:val="26"/>
        </w:rPr>
        <w:t xml:space="preserve">also opined </w:t>
      </w:r>
      <w:r>
        <w:rPr>
          <w:rFonts w:ascii="Century Schoolbook" w:hAnsi="Century Schoolbook" w:cs="Arial"/>
          <w:szCs w:val="26"/>
        </w:rPr>
        <w:t>that climate and weather events</w:t>
      </w:r>
      <w:r w:rsidR="00FE49FF">
        <w:rPr>
          <w:rFonts w:ascii="Century Schoolbook" w:hAnsi="Century Schoolbook" w:cs="Arial"/>
          <w:szCs w:val="26"/>
        </w:rPr>
        <w:t xml:space="preserve"> and “long-term fishery management decisions”</w:t>
      </w:r>
      <w:r>
        <w:rPr>
          <w:rFonts w:ascii="Century Schoolbook" w:hAnsi="Century Schoolbook" w:cs="Arial"/>
          <w:szCs w:val="26"/>
        </w:rPr>
        <w:t xml:space="preserve"> were the most likely causes of any observed decline in fish harvests.  She concluded that “</w:t>
      </w:r>
      <w:r w:rsidRPr="00EA79AC">
        <w:rPr>
          <w:rFonts w:ascii="Century Schoolbook" w:hAnsi="Century Schoolbook" w:cs="Arial"/>
          <w:szCs w:val="26"/>
        </w:rPr>
        <w:t>Line 901 oil exposure would have been insufficient to have affected the reported harvests or measured abundances of any of the fishery resources in the class blocks.</w:t>
      </w:r>
      <w:r>
        <w:rPr>
          <w:rFonts w:ascii="Century Schoolbook" w:hAnsi="Century Schoolbook" w:cs="Arial"/>
          <w:szCs w:val="26"/>
        </w:rPr>
        <w:t xml:space="preserve">” </w:t>
      </w:r>
      <w:r w:rsidR="000A5127">
        <w:rPr>
          <w:rFonts w:ascii="Century Schoolbook" w:hAnsi="Century Schoolbook" w:cs="Arial"/>
          <w:szCs w:val="26"/>
        </w:rPr>
        <w:t xml:space="preserve"> </w:t>
      </w:r>
    </w:p>
    <w:p w:rsidR="00ED628C" w:rsidRPr="00F10217" w:rsidP="00F10217" w14:paraId="2B51863C" w14:textId="2176EE15">
      <w:pPr>
        <w:spacing w:line="288" w:lineRule="auto"/>
        <w:ind w:firstLine="720"/>
        <w:rPr>
          <w:rFonts w:ascii="Century Schoolbook" w:hAnsi="Century Schoolbook" w:cs="Arial"/>
          <w:szCs w:val="26"/>
        </w:rPr>
      </w:pPr>
      <w:r>
        <w:rPr>
          <w:rFonts w:ascii="Century Schoolbook" w:hAnsi="Century Schoolbook" w:cs="Arial"/>
          <w:szCs w:val="26"/>
        </w:rPr>
        <w:t xml:space="preserve">The court found the declarations submitted by Plains more persuasive than those submitted in support of </w:t>
      </w:r>
      <w:r w:rsidR="003D5C0E">
        <w:rPr>
          <w:rFonts w:ascii="Century Schoolbook" w:hAnsi="Century Schoolbook" w:cs="Arial"/>
          <w:szCs w:val="26"/>
        </w:rPr>
        <w:t xml:space="preserve">Group 2 </w:t>
      </w:r>
      <w:r w:rsidR="00ED5F1A">
        <w:rPr>
          <w:rFonts w:ascii="Century Schoolbook" w:hAnsi="Century Schoolbook" w:cs="Arial"/>
          <w:szCs w:val="26"/>
        </w:rPr>
        <w:t>claimants</w:t>
      </w:r>
      <w:r>
        <w:rPr>
          <w:rFonts w:ascii="Century Schoolbook" w:hAnsi="Century Schoolbook" w:cs="Arial"/>
          <w:szCs w:val="26"/>
        </w:rPr>
        <w:t>.</w:t>
      </w:r>
      <w:r w:rsidR="00EE04A3">
        <w:rPr>
          <w:rFonts w:ascii="Century Schoolbook" w:hAnsi="Century Schoolbook" w:cs="Arial"/>
          <w:szCs w:val="26"/>
        </w:rPr>
        <w:t xml:space="preserve">  </w:t>
      </w:r>
      <w:r w:rsidR="0011587A">
        <w:rPr>
          <w:rFonts w:ascii="Century Schoolbook" w:hAnsi="Century Schoolbook" w:cs="Arial"/>
          <w:szCs w:val="26"/>
        </w:rPr>
        <w:t>It stated, “The Court found all the declarations submitted by Plains persuasive, particularly the declaration of Ann Michelle Morrison.”</w:t>
      </w:r>
      <w:r w:rsidR="000C120D">
        <w:rPr>
          <w:rFonts w:ascii="Century Schoolbook" w:hAnsi="Century Schoolbook" w:cs="Arial"/>
          <w:szCs w:val="26"/>
        </w:rPr>
        <w:t xml:space="preserve">  (Italics omitted.)</w:t>
      </w:r>
      <w:r w:rsidR="0011587A">
        <w:rPr>
          <w:rFonts w:ascii="Century Schoolbook" w:hAnsi="Century Schoolbook" w:cs="Arial"/>
          <w:szCs w:val="26"/>
        </w:rPr>
        <w:t xml:space="preserve"> </w:t>
      </w:r>
      <w:r w:rsidR="00F10217">
        <w:rPr>
          <w:rFonts w:ascii="Century Schoolbook" w:hAnsi="Century Schoolbook" w:cs="Arial"/>
          <w:szCs w:val="26"/>
        </w:rPr>
        <w:t xml:space="preserve"> </w:t>
      </w:r>
      <w:r w:rsidRPr="00377AE8" w:rsidR="00377AE8">
        <w:rPr>
          <w:rFonts w:ascii="Century Schoolbook" w:hAnsi="Century Schoolbook"/>
        </w:rPr>
        <w:t>“A reviewing court neither reweighs evidence nor reevaluates a witness’s credibility.”  (</w:t>
      </w:r>
      <w:r w:rsidRPr="0066231C" w:rsidR="0066231C">
        <w:rPr>
          <w:rFonts w:ascii="Century Schoolbook" w:hAnsi="Century Schoolbook"/>
          <w:i/>
          <w:iCs/>
        </w:rPr>
        <w:t>People v. Lindberg</w:t>
      </w:r>
      <w:r w:rsidRPr="0066231C" w:rsidR="0066231C">
        <w:rPr>
          <w:rFonts w:ascii="Century Schoolbook" w:hAnsi="Century Schoolbook"/>
        </w:rPr>
        <w:t xml:space="preserve"> (2008) 45 Cal.4th 1, 27.)  </w:t>
      </w:r>
      <w:r w:rsidRPr="00377AE8" w:rsidR="00377AE8">
        <w:rPr>
          <w:rFonts w:ascii="Century Schoolbook" w:hAnsi="Century Schoolbook"/>
        </w:rPr>
        <w:t xml:space="preserve">Substantial evidence supports the </w:t>
      </w:r>
      <w:r w:rsidR="00DB652A">
        <w:rPr>
          <w:rFonts w:ascii="Century Schoolbook" w:hAnsi="Century Schoolbook"/>
        </w:rPr>
        <w:t>trial court’s conclusion</w:t>
      </w:r>
      <w:r w:rsidRPr="00377AE8" w:rsidR="00377AE8">
        <w:rPr>
          <w:rFonts w:ascii="Century Schoolbook" w:hAnsi="Century Schoolbook"/>
        </w:rPr>
        <w:t>.</w:t>
      </w:r>
    </w:p>
    <w:p w:rsidR="006003F8" w:rsidRPr="00395E41" w:rsidP="00B51EDE" w14:paraId="19FFF167" w14:textId="65E8B415">
      <w:pPr>
        <w:keepNext/>
        <w:spacing w:line="288" w:lineRule="auto"/>
        <w:jc w:val="center"/>
        <w:rPr>
          <w:rFonts w:ascii="Century Schoolbook" w:hAnsi="Century Schoolbook"/>
          <w:i/>
          <w:iCs/>
          <w:szCs w:val="26"/>
        </w:rPr>
      </w:pPr>
      <w:r w:rsidRPr="00395E41">
        <w:rPr>
          <w:rFonts w:ascii="Century Schoolbook" w:hAnsi="Century Schoolbook"/>
          <w:i/>
          <w:iCs/>
          <w:szCs w:val="26"/>
        </w:rPr>
        <w:t>Compelling and extraordinary reasons</w:t>
      </w:r>
    </w:p>
    <w:p w:rsidR="00C2011D" w:rsidP="00B51EDE" w14:paraId="47846725" w14:textId="6A98691A">
      <w:pPr>
        <w:keepNext/>
        <w:spacing w:line="288" w:lineRule="auto"/>
        <w:ind w:firstLine="720"/>
        <w:rPr>
          <w:rFonts w:ascii="Century Schoolbook" w:hAnsi="Century Schoolbook"/>
          <w:szCs w:val="26"/>
        </w:rPr>
      </w:pPr>
      <w:r w:rsidRPr="00395E41">
        <w:rPr>
          <w:rFonts w:ascii="Century Schoolbook" w:hAnsi="Century Schoolbook"/>
          <w:szCs w:val="26"/>
        </w:rPr>
        <w:t xml:space="preserve">The People </w:t>
      </w:r>
      <w:r w:rsidR="003D5C0E">
        <w:rPr>
          <w:rFonts w:ascii="Century Schoolbook" w:hAnsi="Century Schoolbook"/>
          <w:szCs w:val="26"/>
        </w:rPr>
        <w:t xml:space="preserve">also </w:t>
      </w:r>
      <w:r w:rsidRPr="00395E41">
        <w:rPr>
          <w:rFonts w:ascii="Century Schoolbook" w:hAnsi="Century Schoolbook"/>
          <w:szCs w:val="26"/>
        </w:rPr>
        <w:t xml:space="preserve">contend the trial court erroneously denied restitution to Group 2 claimants (fishers) </w:t>
      </w:r>
      <w:r w:rsidR="003D2E4D">
        <w:rPr>
          <w:rFonts w:ascii="Century Schoolbook" w:hAnsi="Century Schoolbook"/>
          <w:szCs w:val="26"/>
        </w:rPr>
        <w:t xml:space="preserve">by relying </w:t>
      </w:r>
      <w:r w:rsidRPr="00395E41">
        <w:rPr>
          <w:rFonts w:ascii="Century Schoolbook" w:hAnsi="Century Schoolbook"/>
          <w:szCs w:val="26"/>
        </w:rPr>
        <w:t xml:space="preserve">on </w:t>
      </w:r>
      <w:r w:rsidR="004F7D65">
        <w:rPr>
          <w:rFonts w:ascii="Century Schoolbook" w:hAnsi="Century Schoolbook"/>
          <w:szCs w:val="26"/>
        </w:rPr>
        <w:t xml:space="preserve">the exception for </w:t>
      </w:r>
      <w:r w:rsidRPr="00395E41">
        <w:rPr>
          <w:rFonts w:ascii="Century Schoolbook" w:hAnsi="Century Schoolbook"/>
          <w:szCs w:val="26"/>
        </w:rPr>
        <w:t xml:space="preserve">“compelling and extraordinary reasons.” </w:t>
      </w:r>
      <w:r w:rsidRPr="001663EB" w:rsidR="00AA7B74">
        <w:rPr>
          <w:rFonts w:ascii="Century Schoolbook" w:hAnsi="Century Schoolbook" w:cs="Arial"/>
          <w:bCs/>
          <w:szCs w:val="26"/>
        </w:rPr>
        <w:t xml:space="preserve"> </w:t>
      </w:r>
      <w:r w:rsidRPr="002E0110" w:rsidR="002E0110">
        <w:rPr>
          <w:rFonts w:ascii="Century Schoolbook" w:hAnsi="Century Schoolbook" w:cs="Arial"/>
          <w:bCs/>
          <w:szCs w:val="26"/>
        </w:rPr>
        <w:t xml:space="preserve">The </w:t>
      </w:r>
      <w:r w:rsidR="004F7D65">
        <w:rPr>
          <w:rFonts w:ascii="Century Schoolbook" w:hAnsi="Century Schoolbook" w:cs="Arial"/>
          <w:bCs/>
          <w:szCs w:val="26"/>
        </w:rPr>
        <w:t>exception</w:t>
      </w:r>
      <w:r w:rsidRPr="002E0110" w:rsidR="002E0110">
        <w:rPr>
          <w:rFonts w:ascii="Century Schoolbook" w:hAnsi="Century Schoolbook" w:cs="Arial"/>
          <w:bCs/>
          <w:szCs w:val="26"/>
        </w:rPr>
        <w:t xml:space="preserve"> </w:t>
      </w:r>
      <w:r w:rsidR="00D1168D">
        <w:rPr>
          <w:rFonts w:ascii="Century Schoolbook" w:hAnsi="Century Schoolbook" w:cs="Arial"/>
          <w:bCs/>
          <w:szCs w:val="26"/>
        </w:rPr>
        <w:t>has been</w:t>
      </w:r>
      <w:r w:rsidRPr="002E0110" w:rsidR="002E0110">
        <w:rPr>
          <w:rFonts w:ascii="Century Schoolbook" w:hAnsi="Century Schoolbook" w:cs="Arial"/>
          <w:bCs/>
          <w:szCs w:val="26"/>
        </w:rPr>
        <w:t xml:space="preserve"> eliminated from </w:t>
      </w:r>
      <w:r w:rsidR="00122AA6">
        <w:rPr>
          <w:rFonts w:ascii="Century Schoolbook" w:hAnsi="Century Schoolbook" w:cs="Arial"/>
          <w:bCs/>
          <w:szCs w:val="26"/>
        </w:rPr>
        <w:t xml:space="preserve">article I, section 28, subdivision (b) of </w:t>
      </w:r>
      <w:r w:rsidRPr="002E0110" w:rsidR="002E0110">
        <w:rPr>
          <w:rFonts w:ascii="Century Schoolbook" w:hAnsi="Century Schoolbook" w:cs="Arial"/>
          <w:bCs/>
          <w:szCs w:val="26"/>
        </w:rPr>
        <w:t>California Constitution</w:t>
      </w:r>
      <w:r w:rsidR="00D1168D">
        <w:rPr>
          <w:rFonts w:ascii="Century Schoolbook" w:hAnsi="Century Schoolbook" w:cs="Arial"/>
          <w:bCs/>
          <w:szCs w:val="26"/>
        </w:rPr>
        <w:t xml:space="preserve"> (P</w:t>
      </w:r>
      <w:r w:rsidRPr="002E0110" w:rsidR="002E0110">
        <w:rPr>
          <w:rFonts w:ascii="Century Schoolbook" w:hAnsi="Century Schoolbook" w:cs="Arial"/>
          <w:bCs/>
          <w:szCs w:val="26"/>
        </w:rPr>
        <w:t>rop. 9, as approved by voters, Gen. Elect. (Nov. 4, 2008) § 4.1</w:t>
      </w:r>
      <w:r w:rsidR="00D1168D">
        <w:rPr>
          <w:rFonts w:ascii="Century Schoolbook" w:hAnsi="Century Schoolbook" w:cs="Arial"/>
          <w:bCs/>
          <w:szCs w:val="26"/>
        </w:rPr>
        <w:t>) and</w:t>
      </w:r>
      <w:r w:rsidRPr="002E0110" w:rsidR="002E0110">
        <w:rPr>
          <w:rFonts w:ascii="Century Schoolbook" w:hAnsi="Century Schoolbook" w:cs="Arial"/>
          <w:bCs/>
          <w:szCs w:val="26"/>
        </w:rPr>
        <w:t xml:space="preserve"> </w:t>
      </w:r>
      <w:r w:rsidR="00D1168D">
        <w:rPr>
          <w:rFonts w:ascii="Century Schoolbook" w:hAnsi="Century Schoolbook" w:cs="Arial"/>
          <w:bCs/>
          <w:szCs w:val="26"/>
        </w:rPr>
        <w:t xml:space="preserve">retroactively </w:t>
      </w:r>
      <w:r w:rsidRPr="002E0110" w:rsidR="002E0110">
        <w:rPr>
          <w:rFonts w:ascii="Century Schoolbook" w:hAnsi="Century Schoolbook" w:cs="Arial"/>
          <w:bCs/>
          <w:szCs w:val="26"/>
        </w:rPr>
        <w:t>from Penal Code</w:t>
      </w:r>
      <w:r w:rsidR="00EB6F7F">
        <w:rPr>
          <w:rFonts w:ascii="Century Schoolbook" w:hAnsi="Century Schoolbook" w:cs="Arial"/>
          <w:bCs/>
          <w:szCs w:val="26"/>
        </w:rPr>
        <w:t xml:space="preserve"> </w:t>
      </w:r>
      <w:r w:rsidRPr="002E0110" w:rsidR="002E0110">
        <w:rPr>
          <w:rFonts w:ascii="Century Schoolbook" w:hAnsi="Century Schoolbook" w:cs="Arial"/>
          <w:bCs/>
          <w:szCs w:val="26"/>
        </w:rPr>
        <w:t>section 1202.4 (Stats. 2016, ch. 37, §</w:t>
      </w:r>
      <w:r w:rsidR="004F7D65">
        <w:rPr>
          <w:rFonts w:ascii="Century Schoolbook" w:hAnsi="Century Schoolbook" w:cs="Arial"/>
          <w:bCs/>
          <w:szCs w:val="26"/>
        </w:rPr>
        <w:t>§</w:t>
      </w:r>
      <w:r w:rsidRPr="002E0110" w:rsidR="002E0110">
        <w:rPr>
          <w:rFonts w:ascii="Century Schoolbook" w:hAnsi="Century Schoolbook" w:cs="Arial"/>
          <w:bCs/>
          <w:szCs w:val="26"/>
        </w:rPr>
        <w:t xml:space="preserve"> 3</w:t>
      </w:r>
      <w:r w:rsidR="004F7D65">
        <w:rPr>
          <w:rFonts w:ascii="Century Schoolbook" w:hAnsi="Century Schoolbook" w:cs="Arial"/>
          <w:bCs/>
          <w:szCs w:val="26"/>
        </w:rPr>
        <w:t xml:space="preserve"> &amp; 5</w:t>
      </w:r>
      <w:r w:rsidRPr="002E0110" w:rsidR="002E0110">
        <w:rPr>
          <w:rFonts w:ascii="Century Schoolbook" w:hAnsi="Century Schoolbook" w:cs="Arial"/>
          <w:bCs/>
          <w:szCs w:val="26"/>
        </w:rPr>
        <w:t>)</w:t>
      </w:r>
      <w:r w:rsidR="00105EC0">
        <w:rPr>
          <w:rFonts w:ascii="Century Schoolbook" w:hAnsi="Century Schoolbook" w:cs="Arial"/>
          <w:bCs/>
          <w:szCs w:val="26"/>
        </w:rPr>
        <w:t>.</w:t>
      </w:r>
      <w:r w:rsidR="004F7D65">
        <w:rPr>
          <w:rFonts w:ascii="Century Schoolbook" w:hAnsi="Century Schoolbook" w:cs="Arial"/>
          <w:bCs/>
          <w:szCs w:val="26"/>
        </w:rPr>
        <w:t xml:space="preserve">  </w:t>
      </w:r>
      <w:r w:rsidR="00774B8D">
        <w:rPr>
          <w:rFonts w:ascii="Century Schoolbook" w:hAnsi="Century Schoolbook" w:cs="Arial"/>
          <w:bCs/>
          <w:szCs w:val="26"/>
        </w:rPr>
        <w:t xml:space="preserve">But we </w:t>
      </w:r>
      <w:r w:rsidR="005633F3">
        <w:rPr>
          <w:rFonts w:ascii="Century Schoolbook" w:hAnsi="Century Schoolbook" w:cs="Arial"/>
          <w:bCs/>
          <w:szCs w:val="26"/>
        </w:rPr>
        <w:t xml:space="preserve">conclude </w:t>
      </w:r>
      <w:r w:rsidRPr="001663EB" w:rsidR="00AA7B74">
        <w:rPr>
          <w:rFonts w:ascii="Century Schoolbook" w:hAnsi="Century Schoolbook" w:cs="Arial"/>
          <w:bCs/>
          <w:szCs w:val="26"/>
        </w:rPr>
        <w:t xml:space="preserve">the error </w:t>
      </w:r>
      <w:r w:rsidR="005633F3">
        <w:rPr>
          <w:rFonts w:ascii="Century Schoolbook" w:hAnsi="Century Schoolbook" w:cs="Arial"/>
          <w:bCs/>
          <w:szCs w:val="26"/>
        </w:rPr>
        <w:t xml:space="preserve">is </w:t>
      </w:r>
      <w:r w:rsidRPr="001663EB" w:rsidR="00AA7B74">
        <w:rPr>
          <w:rFonts w:ascii="Century Schoolbook" w:hAnsi="Century Schoolbook" w:cs="Arial"/>
          <w:bCs/>
          <w:szCs w:val="26"/>
        </w:rPr>
        <w:t>harmless</w:t>
      </w:r>
      <w:r w:rsidR="005633F3">
        <w:rPr>
          <w:rFonts w:ascii="Century Schoolbook" w:hAnsi="Century Schoolbook" w:cs="Arial"/>
          <w:bCs/>
          <w:szCs w:val="26"/>
        </w:rPr>
        <w:t xml:space="preserve">.  </w:t>
      </w:r>
      <w:r w:rsidR="005633F3">
        <w:rPr>
          <w:rFonts w:ascii="Century Schoolbook" w:hAnsi="Century Schoolbook"/>
          <w:szCs w:val="26"/>
        </w:rPr>
        <w:t>R</w:t>
      </w:r>
      <w:r w:rsidR="001A72E9">
        <w:rPr>
          <w:rFonts w:ascii="Century Schoolbook" w:hAnsi="Century Schoolbook"/>
          <w:szCs w:val="26"/>
        </w:rPr>
        <w:t>estitution was properly denied based on the failure to establish individual losses</w:t>
      </w:r>
      <w:r w:rsidR="003908E4">
        <w:rPr>
          <w:rFonts w:ascii="Century Schoolbook" w:hAnsi="Century Schoolbook"/>
          <w:szCs w:val="26"/>
        </w:rPr>
        <w:t xml:space="preserve"> for Group 2</w:t>
      </w:r>
      <w:r w:rsidR="001A72E9">
        <w:rPr>
          <w:rFonts w:ascii="Century Schoolbook" w:hAnsi="Century Schoolbook"/>
          <w:szCs w:val="26"/>
        </w:rPr>
        <w:t xml:space="preserve"> and the trial court’s weighing of conflicting evidence.  </w:t>
      </w:r>
    </w:p>
    <w:p w:rsidR="00AA165E" w:rsidRPr="00395E41" w:rsidP="004D42F0" w14:paraId="33CDA050" w14:textId="527D53CA">
      <w:pPr>
        <w:spacing w:line="288" w:lineRule="auto"/>
        <w:jc w:val="center"/>
        <w:rPr>
          <w:rFonts w:ascii="Century Schoolbook" w:hAnsi="Century Schoolbook"/>
          <w:i/>
          <w:iCs/>
          <w:szCs w:val="26"/>
        </w:rPr>
      </w:pPr>
      <w:r w:rsidRPr="00395E41">
        <w:rPr>
          <w:rFonts w:ascii="Century Schoolbook" w:hAnsi="Century Schoolbook"/>
          <w:i/>
          <w:iCs/>
          <w:szCs w:val="26"/>
        </w:rPr>
        <w:t>Consideration of criminal conduct</w:t>
      </w:r>
    </w:p>
    <w:p w:rsidR="004D42F0" w:rsidRPr="00395E41" w:rsidP="0037116F" w14:paraId="0933BE84" w14:textId="71276724">
      <w:pPr>
        <w:spacing w:line="288" w:lineRule="auto"/>
        <w:ind w:firstLine="720"/>
        <w:rPr>
          <w:rFonts w:ascii="Century Schoolbook" w:hAnsi="Century Schoolbook"/>
          <w:szCs w:val="26"/>
        </w:rPr>
      </w:pPr>
      <w:r w:rsidRPr="00395E41">
        <w:rPr>
          <w:rFonts w:ascii="Century Schoolbook" w:hAnsi="Century Schoolbook"/>
          <w:szCs w:val="26"/>
        </w:rPr>
        <w:t xml:space="preserve">The People </w:t>
      </w:r>
      <w:r w:rsidR="00E42F68">
        <w:rPr>
          <w:rFonts w:ascii="Century Schoolbook" w:hAnsi="Century Schoolbook"/>
          <w:szCs w:val="26"/>
        </w:rPr>
        <w:t xml:space="preserve">also </w:t>
      </w:r>
      <w:r w:rsidRPr="00395E41">
        <w:rPr>
          <w:rFonts w:ascii="Century Schoolbook" w:hAnsi="Century Schoolbook"/>
          <w:szCs w:val="26"/>
        </w:rPr>
        <w:t xml:space="preserve">contend </w:t>
      </w:r>
      <w:r w:rsidR="00A271E8">
        <w:rPr>
          <w:rFonts w:ascii="Century Schoolbook" w:hAnsi="Century Schoolbook"/>
          <w:szCs w:val="26"/>
        </w:rPr>
        <w:t xml:space="preserve">the trial court </w:t>
      </w:r>
      <w:r w:rsidR="003908E4">
        <w:rPr>
          <w:rFonts w:ascii="Century Schoolbook" w:hAnsi="Century Schoolbook"/>
          <w:szCs w:val="26"/>
        </w:rPr>
        <w:t xml:space="preserve">erred in </w:t>
      </w:r>
      <w:r w:rsidRPr="00395E41" w:rsidR="00CE3187">
        <w:rPr>
          <w:rFonts w:ascii="Century Schoolbook" w:hAnsi="Century Schoolbook"/>
          <w:szCs w:val="26"/>
        </w:rPr>
        <w:t>refus</w:t>
      </w:r>
      <w:r w:rsidR="003908E4">
        <w:rPr>
          <w:rFonts w:ascii="Century Schoolbook" w:hAnsi="Century Schoolbook"/>
          <w:szCs w:val="26"/>
        </w:rPr>
        <w:t>ing</w:t>
      </w:r>
      <w:r w:rsidRPr="00395E41" w:rsidR="00CE3187">
        <w:rPr>
          <w:rFonts w:ascii="Century Schoolbook" w:hAnsi="Century Schoolbook"/>
          <w:szCs w:val="26"/>
        </w:rPr>
        <w:t xml:space="preserve"> to consider</w:t>
      </w:r>
      <w:r w:rsidR="00594F6B">
        <w:rPr>
          <w:rFonts w:ascii="Century Schoolbook" w:hAnsi="Century Schoolbook"/>
          <w:szCs w:val="26"/>
        </w:rPr>
        <w:t xml:space="preserve"> the</w:t>
      </w:r>
      <w:r w:rsidRPr="00395E41" w:rsidR="00CE3187">
        <w:rPr>
          <w:rFonts w:ascii="Century Schoolbook" w:hAnsi="Century Schoolbook"/>
          <w:szCs w:val="26"/>
        </w:rPr>
        <w:t xml:space="preserve"> </w:t>
      </w:r>
      <w:r w:rsidR="003908E4">
        <w:rPr>
          <w:rFonts w:ascii="Century Schoolbook" w:hAnsi="Century Schoolbook"/>
          <w:szCs w:val="26"/>
        </w:rPr>
        <w:t xml:space="preserve">nature of the </w:t>
      </w:r>
      <w:r w:rsidRPr="00395E41" w:rsidR="00CE3187">
        <w:rPr>
          <w:rFonts w:ascii="Century Schoolbook" w:hAnsi="Century Schoolbook"/>
          <w:szCs w:val="26"/>
        </w:rPr>
        <w:t>defendant’s criminal conduct</w:t>
      </w:r>
      <w:bookmarkStart w:id="18" w:name="_Hlk142655048"/>
      <w:r w:rsidR="006F2090">
        <w:rPr>
          <w:rFonts w:ascii="Century Schoolbook" w:hAnsi="Century Schoolbook"/>
          <w:szCs w:val="26"/>
        </w:rPr>
        <w:t xml:space="preserve">, </w:t>
      </w:r>
      <w:r w:rsidR="00A17C09">
        <w:rPr>
          <w:rFonts w:ascii="Century Schoolbook" w:hAnsi="Century Schoolbook"/>
          <w:szCs w:val="26"/>
        </w:rPr>
        <w:t xml:space="preserve">prior history of violations, </w:t>
      </w:r>
      <w:r w:rsidR="00370E43">
        <w:rPr>
          <w:rFonts w:ascii="Century Schoolbook" w:hAnsi="Century Schoolbook"/>
          <w:szCs w:val="26"/>
        </w:rPr>
        <w:t>lack of remorse,</w:t>
      </w:r>
      <w:r w:rsidR="007369A1">
        <w:rPr>
          <w:rFonts w:ascii="Century Schoolbook" w:hAnsi="Century Schoolbook"/>
          <w:szCs w:val="26"/>
        </w:rPr>
        <w:t xml:space="preserve"> </w:t>
      </w:r>
      <w:r w:rsidR="00D8559D">
        <w:rPr>
          <w:rFonts w:ascii="Century Schoolbook" w:hAnsi="Century Schoolbook"/>
          <w:szCs w:val="26"/>
        </w:rPr>
        <w:t>resistance to paying compensation, and</w:t>
      </w:r>
      <w:r w:rsidR="006F2090">
        <w:rPr>
          <w:rFonts w:ascii="Century Schoolbook" w:hAnsi="Century Schoolbook"/>
          <w:szCs w:val="26"/>
        </w:rPr>
        <w:t xml:space="preserve"> the</w:t>
      </w:r>
      <w:r w:rsidR="00773337">
        <w:rPr>
          <w:rFonts w:ascii="Century Schoolbook" w:hAnsi="Century Schoolbook"/>
          <w:szCs w:val="26"/>
        </w:rPr>
        <w:t xml:space="preserve"> purported</w:t>
      </w:r>
      <w:r w:rsidR="00D8559D">
        <w:rPr>
          <w:rFonts w:ascii="Century Schoolbook" w:hAnsi="Century Schoolbook"/>
          <w:szCs w:val="26"/>
        </w:rPr>
        <w:t xml:space="preserve"> inadequacy of the fine imposed. </w:t>
      </w:r>
      <w:bookmarkEnd w:id="18"/>
      <w:r w:rsidR="005038B7">
        <w:rPr>
          <w:rFonts w:ascii="Century Schoolbook" w:hAnsi="Century Schoolbook"/>
          <w:szCs w:val="26"/>
        </w:rPr>
        <w:t xml:space="preserve"> </w:t>
      </w:r>
      <w:r w:rsidR="00313EF0">
        <w:rPr>
          <w:rFonts w:ascii="Century Schoolbook" w:hAnsi="Century Schoolbook"/>
          <w:szCs w:val="26"/>
        </w:rPr>
        <w:t>We disagree.</w:t>
      </w:r>
    </w:p>
    <w:p w:rsidR="002C622D" w:rsidRPr="005758B6" w:rsidP="002C622D" w14:paraId="72C4BBA2" w14:textId="3583A4BC">
      <w:pPr>
        <w:spacing w:line="288" w:lineRule="auto"/>
        <w:ind w:firstLine="720"/>
        <w:rPr>
          <w:rFonts w:ascii="Century Schoolbook" w:hAnsi="Century Schoolbook"/>
        </w:rPr>
      </w:pPr>
      <w:r>
        <w:rPr>
          <w:rFonts w:ascii="Century Schoolbook" w:hAnsi="Century Schoolbook"/>
          <w:szCs w:val="26"/>
        </w:rPr>
        <w:t xml:space="preserve">In the hearing regarding </w:t>
      </w:r>
      <w:r w:rsidR="0086362B">
        <w:rPr>
          <w:rFonts w:ascii="Century Schoolbook" w:hAnsi="Century Schoolbook"/>
          <w:szCs w:val="26"/>
        </w:rPr>
        <w:t xml:space="preserve">the </w:t>
      </w:r>
      <w:r>
        <w:rPr>
          <w:rFonts w:ascii="Century Schoolbook" w:hAnsi="Century Schoolbook"/>
          <w:szCs w:val="26"/>
        </w:rPr>
        <w:t xml:space="preserve">Group 2 </w:t>
      </w:r>
      <w:r w:rsidR="0086362B">
        <w:rPr>
          <w:rFonts w:ascii="Century Schoolbook" w:hAnsi="Century Schoolbook"/>
          <w:szCs w:val="26"/>
        </w:rPr>
        <w:t xml:space="preserve">fisher </w:t>
      </w:r>
      <w:r>
        <w:rPr>
          <w:rFonts w:ascii="Century Schoolbook" w:hAnsi="Century Schoolbook"/>
          <w:szCs w:val="26"/>
        </w:rPr>
        <w:t>claims</w:t>
      </w:r>
      <w:r w:rsidRPr="00395E41" w:rsidR="007973B2">
        <w:rPr>
          <w:rFonts w:ascii="Century Schoolbook" w:hAnsi="Century Schoolbook"/>
          <w:szCs w:val="26"/>
        </w:rPr>
        <w:t xml:space="preserve">, the court </w:t>
      </w:r>
      <w:r w:rsidR="000B57AF">
        <w:rPr>
          <w:rFonts w:ascii="Century Schoolbook" w:hAnsi="Century Schoolbook"/>
          <w:szCs w:val="26"/>
        </w:rPr>
        <w:t>noted Plains’s “many efforts to avoid responsibility</w:t>
      </w:r>
      <w:r w:rsidR="00875DFA">
        <w:rPr>
          <w:rFonts w:ascii="Century Schoolbook" w:hAnsi="Century Schoolbook"/>
          <w:szCs w:val="26"/>
        </w:rPr>
        <w:t>” and its “significant blame for .</w:t>
      </w:r>
      <w:r w:rsidR="00574ED8">
        <w:rPr>
          <w:rFonts w:ascii="Century Schoolbook" w:hAnsi="Century Schoolbook"/>
          <w:szCs w:val="26"/>
        </w:rPr>
        <w:t> </w:t>
      </w:r>
      <w:r w:rsidR="00875DFA">
        <w:rPr>
          <w:rFonts w:ascii="Century Schoolbook" w:hAnsi="Century Schoolbook"/>
          <w:szCs w:val="26"/>
        </w:rPr>
        <w:t>.</w:t>
      </w:r>
      <w:r w:rsidR="00574ED8">
        <w:rPr>
          <w:rFonts w:ascii="Century Schoolbook" w:hAnsi="Century Schoolbook"/>
          <w:szCs w:val="26"/>
        </w:rPr>
        <w:t> </w:t>
      </w:r>
      <w:r w:rsidR="00875DFA">
        <w:rPr>
          <w:rFonts w:ascii="Century Schoolbook" w:hAnsi="Century Schoolbook"/>
          <w:szCs w:val="26"/>
        </w:rPr>
        <w:t>.</w:t>
      </w:r>
      <w:r w:rsidR="000C120D">
        <w:rPr>
          <w:rFonts w:ascii="Century Schoolbook" w:hAnsi="Century Schoolbook"/>
          <w:szCs w:val="26"/>
        </w:rPr>
        <w:t xml:space="preserve"> </w:t>
      </w:r>
      <w:r w:rsidR="00875DFA">
        <w:rPr>
          <w:rFonts w:ascii="Century Schoolbook" w:hAnsi="Century Schoolbook"/>
          <w:szCs w:val="26"/>
        </w:rPr>
        <w:t>what happened .</w:t>
      </w:r>
      <w:r w:rsidR="00574ED8">
        <w:rPr>
          <w:rFonts w:ascii="Century Schoolbook" w:hAnsi="Century Schoolbook"/>
          <w:szCs w:val="26"/>
        </w:rPr>
        <w:t> </w:t>
      </w:r>
      <w:r w:rsidR="00875DFA">
        <w:rPr>
          <w:rFonts w:ascii="Century Schoolbook" w:hAnsi="Century Schoolbook"/>
          <w:szCs w:val="26"/>
        </w:rPr>
        <w:t>.</w:t>
      </w:r>
      <w:r w:rsidR="00574ED8">
        <w:rPr>
          <w:rFonts w:ascii="Century Schoolbook" w:hAnsi="Century Schoolbook"/>
          <w:szCs w:val="26"/>
        </w:rPr>
        <w:t> </w:t>
      </w:r>
      <w:r w:rsidR="00875DFA">
        <w:rPr>
          <w:rFonts w:ascii="Century Schoolbook" w:hAnsi="Century Schoolbook"/>
          <w:szCs w:val="26"/>
        </w:rPr>
        <w:t xml:space="preserve">. and what happened </w:t>
      </w:r>
      <w:r w:rsidR="00F45464">
        <w:rPr>
          <w:rFonts w:ascii="Century Schoolbook" w:hAnsi="Century Schoolbook"/>
          <w:szCs w:val="26"/>
        </w:rPr>
        <w:t>thereafter.</w:t>
      </w:r>
      <w:r w:rsidR="00B31138">
        <w:rPr>
          <w:rFonts w:ascii="Century Schoolbook" w:hAnsi="Century Schoolbook"/>
          <w:szCs w:val="26"/>
        </w:rPr>
        <w:t xml:space="preserve"> [¶] </w:t>
      </w:r>
      <w:r w:rsidR="00F45464">
        <w:rPr>
          <w:rFonts w:ascii="Century Schoolbook" w:hAnsi="Century Schoolbook"/>
          <w:szCs w:val="26"/>
        </w:rPr>
        <w:t>But i</w:t>
      </w:r>
      <w:r w:rsidRPr="00395E41" w:rsidR="00D12E72">
        <w:rPr>
          <w:rFonts w:ascii="Century Schoolbook" w:hAnsi="Century Schoolbook"/>
          <w:szCs w:val="26"/>
        </w:rPr>
        <w:t>n fixing restitution, I have taken the approach that I will do it on a clean sheet approach.  I don’t think that because a particular defendant’s action was horrible, terrible, whatever word you want to put at it, that the restitution should necessarily be bigger or larger or doubled.</w:t>
      </w:r>
      <w:r w:rsidRPr="00395E41" w:rsidR="00E11F46">
        <w:rPr>
          <w:rFonts w:ascii="Century Schoolbook" w:hAnsi="Century Schoolbook"/>
          <w:szCs w:val="26"/>
        </w:rPr>
        <w:t xml:space="preserve"> </w:t>
      </w:r>
      <w:r w:rsidRPr="00395E41" w:rsidR="00D12E72">
        <w:rPr>
          <w:rFonts w:ascii="Century Schoolbook" w:hAnsi="Century Schoolbook"/>
          <w:szCs w:val="26"/>
        </w:rPr>
        <w:t xml:space="preserve"> I think the restitution should be based upon the facts that the Court considers in making an appropriate restitution number</w:t>
      </w:r>
      <w:r w:rsidRPr="00395E41" w:rsidR="00E11F46">
        <w:rPr>
          <w:rFonts w:ascii="Century Schoolbook" w:hAnsi="Century Schoolbook"/>
          <w:szCs w:val="26"/>
        </w:rPr>
        <w:t>.”</w:t>
      </w:r>
      <w:r w:rsidRPr="00395E41" w:rsidR="007973B2">
        <w:rPr>
          <w:rFonts w:ascii="Century Schoolbook" w:hAnsi="Century Schoolbook"/>
          <w:szCs w:val="26"/>
        </w:rPr>
        <w:t xml:space="preserve"> </w:t>
      </w:r>
      <w:r w:rsidR="00DB650A">
        <w:rPr>
          <w:rFonts w:ascii="Century Schoolbook" w:hAnsi="Century Schoolbook"/>
          <w:szCs w:val="26"/>
        </w:rPr>
        <w:t xml:space="preserve"> The court continued, “[I]</w:t>
      </w:r>
      <w:r w:rsidRPr="00C73A7B">
        <w:rPr>
          <w:rFonts w:ascii="Century Schoolbook" w:hAnsi="Century Schoolbook"/>
          <w:szCs w:val="26"/>
        </w:rPr>
        <w:t xml:space="preserve">rrespective of what the facts might be concerning the egregious nature of the underlying case, I am not fixing restitution based on that. </w:t>
      </w:r>
      <w:r w:rsidR="00DB650A">
        <w:rPr>
          <w:rFonts w:ascii="Century Schoolbook" w:hAnsi="Century Schoolbook"/>
          <w:szCs w:val="26"/>
        </w:rPr>
        <w:t xml:space="preserve"> </w:t>
      </w:r>
      <w:r w:rsidRPr="00C73A7B">
        <w:rPr>
          <w:rFonts w:ascii="Century Schoolbook" w:hAnsi="Century Schoolbook"/>
          <w:szCs w:val="26"/>
        </w:rPr>
        <w:t xml:space="preserve">I am taking a look at what the evidence is that’s presented on the issue of restitution as if it was a new book, not only a new chapter, but a new book, trying to determine what’s reasonable and fair for restitution only.” </w:t>
      </w:r>
      <w:r w:rsidRPr="00890AFD" w:rsidR="00890AFD">
        <w:rPr>
          <w:rFonts w:ascii="Century Schoolbook" w:hAnsi="Century Schoolbook"/>
          <w:szCs w:val="26"/>
        </w:rPr>
        <w:t xml:space="preserve"> </w:t>
      </w:r>
    </w:p>
    <w:p w:rsidR="006721CA" w:rsidRPr="00730033" w:rsidP="006721CA" w14:paraId="033384B1" w14:textId="5EE37122">
      <w:pPr>
        <w:spacing w:line="288" w:lineRule="auto"/>
        <w:ind w:firstLine="720"/>
        <w:rPr>
          <w:rFonts w:ascii="Century Schoolbook" w:hAnsi="Century Schoolbook"/>
        </w:rPr>
      </w:pPr>
      <w:r>
        <w:rPr>
          <w:rFonts w:ascii="Century Schoolbook" w:hAnsi="Century Schoolbook"/>
        </w:rPr>
        <w:t xml:space="preserve">The trial court </w:t>
      </w:r>
      <w:r w:rsidR="00D075E1">
        <w:rPr>
          <w:rFonts w:ascii="Century Schoolbook" w:hAnsi="Century Schoolbook"/>
        </w:rPr>
        <w:t>did not err</w:t>
      </w:r>
      <w:r w:rsidR="00BB62A7">
        <w:rPr>
          <w:rFonts w:ascii="Century Schoolbook" w:hAnsi="Century Schoolbook"/>
        </w:rPr>
        <w:t xml:space="preserve"> in declining to consider </w:t>
      </w:r>
      <w:r w:rsidR="00155E0E">
        <w:rPr>
          <w:rFonts w:ascii="Century Schoolbook" w:hAnsi="Century Schoolbook"/>
        </w:rPr>
        <w:t>th</w:t>
      </w:r>
      <w:r w:rsidR="00844B70">
        <w:rPr>
          <w:rFonts w:ascii="Century Schoolbook" w:hAnsi="Century Schoolbook"/>
        </w:rPr>
        <w:t>e</w:t>
      </w:r>
      <w:r w:rsidR="00155E0E">
        <w:rPr>
          <w:rFonts w:ascii="Century Schoolbook" w:hAnsi="Century Schoolbook"/>
        </w:rPr>
        <w:t xml:space="preserve">se </w:t>
      </w:r>
      <w:r w:rsidRPr="00E74D36" w:rsidR="00BB62A7">
        <w:rPr>
          <w:rFonts w:ascii="Century Schoolbook" w:hAnsi="Century Schoolbook"/>
        </w:rPr>
        <w:t>factors</w:t>
      </w:r>
      <w:r w:rsidRPr="00E74D36" w:rsidR="00C7502C">
        <w:rPr>
          <w:rFonts w:ascii="Century Schoolbook" w:hAnsi="Century Schoolbook"/>
        </w:rPr>
        <w:t xml:space="preserve">.  </w:t>
      </w:r>
      <w:r w:rsidRPr="00E74D36" w:rsidR="00BB46F5">
        <w:rPr>
          <w:rFonts w:ascii="Century Schoolbook" w:hAnsi="Century Schoolbook"/>
        </w:rPr>
        <w:t xml:space="preserve">Because </w:t>
      </w:r>
      <w:r w:rsidRPr="00E74D36" w:rsidR="00EA6395">
        <w:rPr>
          <w:rFonts w:ascii="Century Schoolbook" w:hAnsi="Century Schoolbook"/>
        </w:rPr>
        <w:t xml:space="preserve">probation </w:t>
      </w:r>
      <w:r w:rsidRPr="00E74D36" w:rsidR="00BB46F5">
        <w:rPr>
          <w:rFonts w:ascii="Century Schoolbook" w:hAnsi="Century Schoolbook"/>
        </w:rPr>
        <w:t xml:space="preserve">was </w:t>
      </w:r>
      <w:r w:rsidRPr="00E74D36" w:rsidR="00EA6395">
        <w:rPr>
          <w:rFonts w:ascii="Century Schoolbook" w:hAnsi="Century Schoolbook"/>
        </w:rPr>
        <w:t>not granted</w:t>
      </w:r>
      <w:r w:rsidRPr="00E74D36" w:rsidR="009951A2">
        <w:rPr>
          <w:rFonts w:ascii="Century Schoolbook" w:hAnsi="Century Schoolbook"/>
        </w:rPr>
        <w:t>,</w:t>
      </w:r>
      <w:r w:rsidRPr="00E74D36" w:rsidR="00952A41">
        <w:rPr>
          <w:rFonts w:ascii="Century Schoolbook" w:hAnsi="Century Schoolbook"/>
        </w:rPr>
        <w:t xml:space="preserve"> </w:t>
      </w:r>
      <w:r w:rsidRPr="00E74D36" w:rsidR="00EA6395">
        <w:rPr>
          <w:rFonts w:ascii="Century Schoolbook" w:hAnsi="Century Schoolbook"/>
        </w:rPr>
        <w:t>the statutory right to restitution is</w:t>
      </w:r>
      <w:r w:rsidRPr="00E74D36" w:rsidR="005F1D61">
        <w:rPr>
          <w:rFonts w:ascii="Century Schoolbook" w:hAnsi="Century Schoolbook"/>
        </w:rPr>
        <w:t xml:space="preserve"> </w:t>
      </w:r>
      <w:r w:rsidRPr="00E74D36" w:rsidR="00315B25">
        <w:rPr>
          <w:rFonts w:ascii="Century Schoolbook" w:hAnsi="Century Schoolbook"/>
        </w:rPr>
        <w:t>“</w:t>
      </w:r>
      <w:r w:rsidRPr="00E74D36" w:rsidR="00730033">
        <w:rPr>
          <w:rFonts w:ascii="Century Schoolbook" w:hAnsi="Century Schoolbook"/>
        </w:rPr>
        <w:t> ‘</w:t>
      </w:r>
      <w:r w:rsidRPr="00E74D36" w:rsidR="009951A2">
        <w:rPr>
          <w:rFonts w:ascii="Century Schoolbook" w:hAnsi="Century Schoolbook"/>
        </w:rPr>
        <w:t>explicit and narrow</w:t>
      </w:r>
      <w:r w:rsidRPr="00E74D36" w:rsidR="005F1D61">
        <w:rPr>
          <w:rFonts w:ascii="Century Schoolbook" w:hAnsi="Century Schoolbook"/>
        </w:rPr>
        <w:t>.</w:t>
      </w:r>
      <w:r w:rsidRPr="00E74D36" w:rsidR="00730033">
        <w:rPr>
          <w:rFonts w:ascii="Century Schoolbook" w:hAnsi="Century Schoolbook"/>
        </w:rPr>
        <w:t>’ </w:t>
      </w:r>
      <w:r w:rsidRPr="00E74D36" w:rsidR="005F1D61">
        <w:rPr>
          <w:rFonts w:ascii="Century Schoolbook" w:hAnsi="Century Schoolbook"/>
        </w:rPr>
        <w:t xml:space="preserve">” </w:t>
      </w:r>
      <w:r w:rsidRPr="00E74D36" w:rsidR="009951A2">
        <w:rPr>
          <w:rFonts w:ascii="Century Schoolbook" w:hAnsi="Century Schoolbook"/>
        </w:rPr>
        <w:t xml:space="preserve"> (</w:t>
      </w:r>
      <w:r w:rsidRPr="00E74D36" w:rsidR="00730EA5">
        <w:rPr>
          <w:rFonts w:ascii="Century Schoolbook" w:hAnsi="Century Schoolbook"/>
          <w:i/>
          <w:iCs/>
        </w:rPr>
        <w:t>Martinez</w:t>
      </w:r>
      <w:r w:rsidRPr="00E74D36" w:rsidR="001C3F30">
        <w:rPr>
          <w:rFonts w:ascii="Century Schoolbook" w:hAnsi="Century Schoolbook"/>
        </w:rPr>
        <w:t xml:space="preserve">, </w:t>
      </w:r>
      <w:r w:rsidRPr="00E74D36" w:rsidR="001C3F30">
        <w:rPr>
          <w:rFonts w:ascii="Century Schoolbook" w:hAnsi="Century Schoolbook"/>
          <w:i/>
          <w:iCs/>
        </w:rPr>
        <w:t>supra</w:t>
      </w:r>
      <w:r w:rsidRPr="00E74D36" w:rsidR="001C3F30">
        <w:rPr>
          <w:rFonts w:ascii="Century Schoolbook" w:hAnsi="Century Schoolbook"/>
        </w:rPr>
        <w:t xml:space="preserve">, </w:t>
      </w:r>
      <w:r w:rsidRPr="00E74D36" w:rsidR="00730EA5">
        <w:rPr>
          <w:rFonts w:ascii="Century Schoolbook" w:hAnsi="Century Schoolbook"/>
        </w:rPr>
        <w:t xml:space="preserve">2 Cal.5th </w:t>
      </w:r>
      <w:r w:rsidRPr="00E74D36" w:rsidR="001C3F30">
        <w:rPr>
          <w:rFonts w:ascii="Century Schoolbook" w:hAnsi="Century Schoolbook"/>
        </w:rPr>
        <w:t>at</w:t>
      </w:r>
      <w:r w:rsidRPr="00E74D36" w:rsidR="00730033">
        <w:rPr>
          <w:rFonts w:ascii="Century Schoolbook" w:hAnsi="Century Schoolbook"/>
        </w:rPr>
        <w:t xml:space="preserve"> pp. 1101-1102.</w:t>
      </w:r>
      <w:r w:rsidRPr="00E74D36" w:rsidR="009528AD">
        <w:rPr>
          <w:rFonts w:ascii="Century Schoolbook" w:hAnsi="Century Schoolbook"/>
        </w:rPr>
        <w:t>)</w:t>
      </w:r>
      <w:r w:rsidRPr="00E74D36" w:rsidR="00730033">
        <w:rPr>
          <w:rFonts w:ascii="Century Schoolbook" w:hAnsi="Century Schoolbook"/>
        </w:rPr>
        <w:t xml:space="preserve"> </w:t>
      </w:r>
      <w:r w:rsidRPr="00E74D36" w:rsidR="00CC78F1">
        <w:rPr>
          <w:rFonts w:ascii="Century Schoolbook" w:hAnsi="Century Schoolbook"/>
        </w:rPr>
        <w:t xml:space="preserve"> </w:t>
      </w:r>
      <w:r w:rsidRPr="00E74D36" w:rsidR="00BB46F5">
        <w:rPr>
          <w:rFonts w:ascii="Century Schoolbook" w:hAnsi="Century Schoolbook"/>
        </w:rPr>
        <w:t xml:space="preserve">Thus, </w:t>
      </w:r>
      <w:r w:rsidRPr="00E74D36" w:rsidR="00BB46F5">
        <w:rPr>
          <w:rFonts w:ascii="Century Schoolbook" w:hAnsi="Century Schoolbook"/>
          <w:szCs w:val="26"/>
        </w:rPr>
        <w:t>r</w:t>
      </w:r>
      <w:r w:rsidRPr="00E74D36" w:rsidR="003E7964">
        <w:rPr>
          <w:rFonts w:ascii="Century Schoolbook" w:hAnsi="Century Schoolbook"/>
          <w:szCs w:val="26"/>
        </w:rPr>
        <w:t>estitution must be based on the “determined economic loss incurred as the res</w:t>
      </w:r>
      <w:r w:rsidRPr="007A384B" w:rsidR="003E7964">
        <w:rPr>
          <w:rFonts w:ascii="Century Schoolbook" w:hAnsi="Century Schoolbook"/>
          <w:szCs w:val="26"/>
        </w:rPr>
        <w:t>ult of the defendant</w:t>
      </w:r>
      <w:r w:rsidR="003E7964">
        <w:rPr>
          <w:rFonts w:ascii="Century Schoolbook" w:hAnsi="Century Schoolbook"/>
          <w:szCs w:val="26"/>
        </w:rPr>
        <w:t>’</w:t>
      </w:r>
      <w:r w:rsidRPr="007A384B" w:rsidR="003E7964">
        <w:rPr>
          <w:rFonts w:ascii="Century Schoolbook" w:hAnsi="Century Schoolbook"/>
          <w:szCs w:val="26"/>
        </w:rPr>
        <w:t>s criminal conduct</w:t>
      </w:r>
      <w:r w:rsidR="003E7964">
        <w:rPr>
          <w:rFonts w:ascii="Century Schoolbook" w:hAnsi="Century Schoolbook"/>
          <w:szCs w:val="26"/>
        </w:rPr>
        <w:t>.”  (Pen. Code, § 1202.4, subd. (f)(3)</w:t>
      </w:r>
      <w:r w:rsidR="00594F6B">
        <w:rPr>
          <w:rFonts w:ascii="Century Schoolbook" w:hAnsi="Century Schoolbook"/>
          <w:szCs w:val="26"/>
        </w:rPr>
        <w:t>.</w:t>
      </w:r>
      <w:r w:rsidR="003E7964">
        <w:rPr>
          <w:rFonts w:ascii="Century Schoolbook" w:hAnsi="Century Schoolbook"/>
          <w:szCs w:val="26"/>
        </w:rPr>
        <w:t>)</w:t>
      </w:r>
      <w:r w:rsidR="00594F6B">
        <w:rPr>
          <w:rFonts w:ascii="Century Schoolbook" w:hAnsi="Century Schoolbook"/>
          <w:szCs w:val="26"/>
        </w:rPr>
        <w:t xml:space="preserve"> </w:t>
      </w:r>
      <w:r w:rsidR="003E7964">
        <w:rPr>
          <w:rFonts w:ascii="Century Schoolbook" w:hAnsi="Century Schoolbook"/>
        </w:rPr>
        <w:t xml:space="preserve"> </w:t>
      </w:r>
      <w:r w:rsidR="007B7107">
        <w:rPr>
          <w:rFonts w:ascii="Century Schoolbook" w:hAnsi="Century Schoolbook"/>
        </w:rPr>
        <w:t>“</w:t>
      </w:r>
      <w:r w:rsidRPr="007B7107" w:rsidR="007B7107">
        <w:rPr>
          <w:rFonts w:ascii="Century Schoolbook" w:hAnsi="Century Schoolbook"/>
        </w:rPr>
        <w:t xml:space="preserve">A trial court has no discretion over the issuance of the </w:t>
      </w:r>
      <w:r w:rsidR="007B7107">
        <w:rPr>
          <w:rFonts w:ascii="Century Schoolbook" w:hAnsi="Century Schoolbook"/>
        </w:rPr>
        <w:t xml:space="preserve">[restitution] </w:t>
      </w:r>
      <w:r w:rsidRPr="007B7107" w:rsidR="007B7107">
        <w:rPr>
          <w:rFonts w:ascii="Century Schoolbook" w:hAnsi="Century Schoolbook"/>
        </w:rPr>
        <w:t xml:space="preserve">award itself </w:t>
      </w:r>
      <w:r w:rsidR="007B7107">
        <w:rPr>
          <w:rFonts w:ascii="Century Schoolbook" w:hAnsi="Century Schoolbook"/>
        </w:rPr>
        <w:t>[</w:t>
      </w:r>
      <w:r w:rsidR="0016203A">
        <w:rPr>
          <w:rFonts w:ascii="Century Schoolbook" w:hAnsi="Century Schoolbook"/>
        </w:rPr>
        <w:t>citation</w:t>
      </w:r>
      <w:r w:rsidR="007B7107">
        <w:rPr>
          <w:rFonts w:ascii="Century Schoolbook" w:hAnsi="Century Schoolbook"/>
        </w:rPr>
        <w:t>]</w:t>
      </w:r>
      <w:r w:rsidRPr="007B7107" w:rsidR="007B7107">
        <w:rPr>
          <w:rFonts w:ascii="Century Schoolbook" w:hAnsi="Century Schoolbook"/>
        </w:rPr>
        <w:t xml:space="preserve"> and</w:t>
      </w:r>
      <w:r w:rsidR="007B7107">
        <w:rPr>
          <w:rFonts w:ascii="Century Schoolbook" w:hAnsi="Century Schoolbook"/>
        </w:rPr>
        <w:t xml:space="preserve"> ‘</w:t>
      </w:r>
      <w:r w:rsidRPr="007B7107" w:rsidR="007B7107">
        <w:rPr>
          <w:rFonts w:ascii="Century Schoolbook" w:hAnsi="Century Schoolbook"/>
        </w:rPr>
        <w:t>really very little discretion</w:t>
      </w:r>
      <w:r w:rsidR="007B7107">
        <w:rPr>
          <w:rFonts w:ascii="Century Schoolbook" w:hAnsi="Century Schoolbook"/>
        </w:rPr>
        <w:t>’</w:t>
      </w:r>
      <w:r w:rsidRPr="007B7107" w:rsidR="007B7107">
        <w:rPr>
          <w:rFonts w:ascii="Century Schoolbook" w:hAnsi="Century Schoolbook"/>
        </w:rPr>
        <w:t xml:space="preserve"> over the amount of the award </w:t>
      </w:r>
      <w:r w:rsidR="007B7107">
        <w:rPr>
          <w:rFonts w:ascii="Century Schoolbook" w:hAnsi="Century Schoolbook"/>
        </w:rPr>
        <w:t>[cit</w:t>
      </w:r>
      <w:r w:rsidR="001B0607">
        <w:rPr>
          <w:rFonts w:ascii="Century Schoolbook" w:hAnsi="Century Schoolbook"/>
        </w:rPr>
        <w:t>ation</w:t>
      </w:r>
      <w:r w:rsidR="008F4BE0">
        <w:rPr>
          <w:rFonts w:ascii="Century Schoolbook" w:hAnsi="Century Schoolbook"/>
        </w:rPr>
        <w:t>]</w:t>
      </w:r>
      <w:r w:rsidR="001B0607">
        <w:rPr>
          <w:rFonts w:ascii="Century Schoolbook" w:hAnsi="Century Schoolbook"/>
        </w:rPr>
        <w:t xml:space="preserve">. </w:t>
      </w:r>
      <w:r w:rsidR="00CC78F1">
        <w:rPr>
          <w:rFonts w:ascii="Century Schoolbook" w:hAnsi="Century Schoolbook"/>
        </w:rPr>
        <w:t xml:space="preserve"> </w:t>
      </w:r>
      <w:r w:rsidR="001B0607">
        <w:rPr>
          <w:rFonts w:ascii="Century Schoolbook" w:hAnsi="Century Schoolbook"/>
        </w:rPr>
        <w:t>‘</w:t>
      </w:r>
      <w:r w:rsidRPr="007B7107" w:rsidR="007B7107">
        <w:rPr>
          <w:rFonts w:ascii="Century Schoolbook" w:hAnsi="Century Schoolbook"/>
        </w:rPr>
        <w:t xml:space="preserve">The statute requires the award be set in an amount which will fully reimburse the victim for </w:t>
      </w:r>
      <w:r w:rsidR="006B4FEF">
        <w:rPr>
          <w:rFonts w:ascii="Century Schoolbook" w:hAnsi="Century Schoolbook"/>
        </w:rPr>
        <w:t xml:space="preserve">[their] </w:t>
      </w:r>
      <w:r w:rsidRPr="007B7107" w:rsidR="007B7107">
        <w:rPr>
          <w:rFonts w:ascii="Century Schoolbook" w:hAnsi="Century Schoolbook"/>
        </w:rPr>
        <w:t>losses</w:t>
      </w:r>
      <w:r w:rsidR="00137087">
        <w:rPr>
          <w:rFonts w:ascii="Century Schoolbook" w:hAnsi="Century Schoolbook"/>
        </w:rPr>
        <w:t> </w:t>
      </w:r>
      <w:r w:rsidR="001C3F30">
        <w:rPr>
          <w:rFonts w:ascii="Century Schoolbook" w:hAnsi="Century Schoolbook"/>
        </w:rPr>
        <w:t>.</w:t>
      </w:r>
      <w:r w:rsidR="00137087">
        <w:rPr>
          <w:rFonts w:ascii="Century Schoolbook" w:hAnsi="Century Schoolbook"/>
        </w:rPr>
        <w:t> </w:t>
      </w:r>
      <w:r w:rsidR="001C3F30">
        <w:rPr>
          <w:rFonts w:ascii="Century Schoolbook" w:hAnsi="Century Schoolbook"/>
        </w:rPr>
        <w:t>.</w:t>
      </w:r>
      <w:r w:rsidR="00137087">
        <w:rPr>
          <w:rFonts w:ascii="Century Schoolbook" w:hAnsi="Century Schoolbook"/>
        </w:rPr>
        <w:t> </w:t>
      </w:r>
      <w:r w:rsidR="001C3F30">
        <w:rPr>
          <w:rFonts w:ascii="Century Schoolbook" w:hAnsi="Century Schoolbook"/>
        </w:rPr>
        <w:t>.</w:t>
      </w:r>
      <w:r w:rsidR="00137087">
        <w:rPr>
          <w:rFonts w:ascii="Century Schoolbook" w:hAnsi="Century Schoolbook"/>
        </w:rPr>
        <w:t> </w:t>
      </w:r>
      <w:r w:rsidRPr="007B7107" w:rsidR="007B7107">
        <w:rPr>
          <w:rFonts w:ascii="Century Schoolbook" w:hAnsi="Century Schoolbook"/>
        </w:rPr>
        <w:t>.</w:t>
      </w:r>
      <w:r w:rsidR="009528AD">
        <w:rPr>
          <w:rFonts w:ascii="Century Schoolbook" w:hAnsi="Century Schoolbook"/>
        </w:rPr>
        <w:t>’ </w:t>
      </w:r>
      <w:r w:rsidRPr="007B7107" w:rsidR="007B7107">
        <w:rPr>
          <w:rFonts w:ascii="Century Schoolbook" w:hAnsi="Century Schoolbook"/>
        </w:rPr>
        <w:t>”</w:t>
      </w:r>
      <w:r w:rsidR="001938CF">
        <w:rPr>
          <w:rFonts w:ascii="Century Schoolbook" w:hAnsi="Century Schoolbook"/>
        </w:rPr>
        <w:t xml:space="preserve">  (</w:t>
      </w:r>
      <w:r w:rsidRPr="007B7107" w:rsidR="007B7107">
        <w:rPr>
          <w:rFonts w:ascii="Century Schoolbook" w:hAnsi="Century Schoolbook"/>
          <w:i/>
          <w:iCs/>
        </w:rPr>
        <w:t>People v. Brown</w:t>
      </w:r>
      <w:r w:rsidR="0001584F">
        <w:rPr>
          <w:rFonts w:ascii="Century Schoolbook" w:hAnsi="Century Schoolbook"/>
        </w:rPr>
        <w:t xml:space="preserve">, </w:t>
      </w:r>
      <w:r w:rsidR="0001584F">
        <w:rPr>
          <w:rFonts w:ascii="Century Schoolbook" w:hAnsi="Century Schoolbook"/>
          <w:i/>
          <w:iCs/>
        </w:rPr>
        <w:t>supra</w:t>
      </w:r>
      <w:r w:rsidR="0001584F">
        <w:rPr>
          <w:rFonts w:ascii="Century Schoolbook" w:hAnsi="Century Schoolbook"/>
        </w:rPr>
        <w:t xml:space="preserve">, </w:t>
      </w:r>
      <w:r w:rsidRPr="007B7107" w:rsidR="007B7107">
        <w:rPr>
          <w:rFonts w:ascii="Century Schoolbook" w:hAnsi="Century Schoolbook"/>
        </w:rPr>
        <w:t xml:space="preserve">147 Cal.App.4th </w:t>
      </w:r>
      <w:r w:rsidR="0001584F">
        <w:rPr>
          <w:rFonts w:ascii="Century Schoolbook" w:hAnsi="Century Schoolbook"/>
        </w:rPr>
        <w:t xml:space="preserve">at p. </w:t>
      </w:r>
      <w:r w:rsidRPr="007B7107" w:rsidR="007B7107">
        <w:rPr>
          <w:rFonts w:ascii="Century Schoolbook" w:hAnsi="Century Schoolbook"/>
        </w:rPr>
        <w:t>1225</w:t>
      </w:r>
      <w:r w:rsidR="001938CF">
        <w:rPr>
          <w:rFonts w:ascii="Century Schoolbook" w:hAnsi="Century Schoolbook"/>
        </w:rPr>
        <w:t>.)</w:t>
      </w:r>
    </w:p>
    <w:p w:rsidR="0023711A" w:rsidP="0023711A" w14:paraId="2DCAE8C2" w14:textId="2D044360">
      <w:pPr>
        <w:spacing w:line="288" w:lineRule="auto"/>
        <w:jc w:val="center"/>
        <w:rPr>
          <w:rFonts w:ascii="Century Schoolbook" w:hAnsi="Century Schoolbook"/>
          <w:i/>
          <w:iCs/>
          <w:szCs w:val="26"/>
        </w:rPr>
      </w:pPr>
      <w:r w:rsidRPr="00F12623">
        <w:rPr>
          <w:rFonts w:ascii="Century Schoolbook" w:hAnsi="Century Schoolbook"/>
          <w:i/>
          <w:iCs/>
          <w:szCs w:val="26"/>
        </w:rPr>
        <w:t>Victims’ right to be heard</w:t>
      </w:r>
    </w:p>
    <w:p w:rsidR="0023711A" w:rsidP="0023711A" w14:paraId="30E15764" w14:textId="6EF4991D">
      <w:pPr>
        <w:spacing w:line="288" w:lineRule="auto"/>
        <w:ind w:firstLine="720"/>
        <w:rPr>
          <w:rFonts w:ascii="Century Schoolbook" w:hAnsi="Century Schoolbook"/>
          <w:szCs w:val="26"/>
        </w:rPr>
      </w:pPr>
      <w:bookmarkStart w:id="19" w:name="_Hlk143249641"/>
      <w:r w:rsidRPr="00D04867">
        <w:rPr>
          <w:rFonts w:ascii="Century Schoolbook" w:hAnsi="Century Schoolbook"/>
          <w:szCs w:val="26"/>
        </w:rPr>
        <w:t xml:space="preserve">The People </w:t>
      </w:r>
      <w:r w:rsidR="008E1E1B">
        <w:rPr>
          <w:rFonts w:ascii="Century Schoolbook" w:hAnsi="Century Schoolbook"/>
          <w:szCs w:val="26"/>
        </w:rPr>
        <w:t xml:space="preserve">and petitioners </w:t>
      </w:r>
      <w:r w:rsidRPr="00D04867">
        <w:rPr>
          <w:rFonts w:ascii="Century Schoolbook" w:hAnsi="Century Schoolbook"/>
          <w:szCs w:val="26"/>
        </w:rPr>
        <w:t xml:space="preserve">contend the trial court </w:t>
      </w:r>
      <w:r w:rsidR="00D04867">
        <w:rPr>
          <w:rFonts w:ascii="Century Schoolbook" w:hAnsi="Century Schoolbook"/>
          <w:szCs w:val="26"/>
        </w:rPr>
        <w:t xml:space="preserve">also erred in </w:t>
      </w:r>
      <w:r w:rsidR="005633F3">
        <w:rPr>
          <w:rFonts w:ascii="Century Schoolbook" w:hAnsi="Century Schoolbook"/>
          <w:szCs w:val="26"/>
        </w:rPr>
        <w:t xml:space="preserve">not allowing </w:t>
      </w:r>
      <w:r w:rsidR="00B96BF6">
        <w:rPr>
          <w:rFonts w:ascii="Century Schoolbook" w:hAnsi="Century Schoolbook"/>
          <w:szCs w:val="26"/>
        </w:rPr>
        <w:t xml:space="preserve">Group 3 </w:t>
      </w:r>
      <w:r w:rsidRPr="00D04867" w:rsidR="00901C07">
        <w:rPr>
          <w:rFonts w:ascii="Century Schoolbook" w:hAnsi="Century Schoolbook"/>
          <w:szCs w:val="26"/>
        </w:rPr>
        <w:t xml:space="preserve">claimants </w:t>
      </w:r>
      <w:r w:rsidRPr="00D04867">
        <w:rPr>
          <w:rFonts w:ascii="Century Schoolbook" w:hAnsi="Century Schoolbook"/>
          <w:szCs w:val="26"/>
        </w:rPr>
        <w:t xml:space="preserve">to </w:t>
      </w:r>
      <w:r w:rsidR="00D075E1">
        <w:rPr>
          <w:rFonts w:ascii="Century Schoolbook" w:hAnsi="Century Schoolbook"/>
          <w:szCs w:val="26"/>
        </w:rPr>
        <w:t>give oral impact statements.</w:t>
      </w:r>
      <w:r>
        <w:rPr>
          <w:rStyle w:val="FootnoteReference"/>
          <w:szCs w:val="26"/>
        </w:rPr>
        <w:footnoteReference w:id="9"/>
      </w:r>
      <w:r w:rsidR="00D075E1">
        <w:rPr>
          <w:rFonts w:ascii="Century Schoolbook" w:hAnsi="Century Schoolbook"/>
          <w:szCs w:val="26"/>
        </w:rPr>
        <w:t xml:space="preserve">  </w:t>
      </w:r>
      <w:r w:rsidR="005633F3">
        <w:rPr>
          <w:rFonts w:ascii="Century Schoolbook" w:hAnsi="Century Schoolbook"/>
          <w:szCs w:val="26"/>
        </w:rPr>
        <w:t>We agree.</w:t>
      </w:r>
    </w:p>
    <w:p w:rsidR="0023711A" w:rsidRPr="00055376" w:rsidP="0023711A" w14:paraId="4FE26314" w14:textId="517ABB83">
      <w:pPr>
        <w:spacing w:line="288" w:lineRule="auto"/>
        <w:ind w:firstLine="720"/>
        <w:rPr>
          <w:rFonts w:ascii="Century Schoolbook" w:hAnsi="Century Schoolbook"/>
          <w:bCs/>
          <w:szCs w:val="26"/>
        </w:rPr>
      </w:pPr>
      <w:r w:rsidRPr="00055376">
        <w:rPr>
          <w:rFonts w:ascii="Century Schoolbook" w:hAnsi="Century Schoolbook"/>
          <w:bCs/>
          <w:szCs w:val="26"/>
        </w:rPr>
        <w:t xml:space="preserve">Whether the court is required to hear oral statements by </w:t>
      </w:r>
      <w:r w:rsidR="00901C07">
        <w:rPr>
          <w:rFonts w:ascii="Century Schoolbook" w:hAnsi="Century Schoolbook"/>
          <w:bCs/>
          <w:szCs w:val="26"/>
        </w:rPr>
        <w:t>claimants</w:t>
      </w:r>
      <w:r w:rsidRPr="00055376" w:rsidR="00901C07">
        <w:rPr>
          <w:rFonts w:ascii="Century Schoolbook" w:hAnsi="Century Schoolbook"/>
          <w:bCs/>
          <w:szCs w:val="26"/>
        </w:rPr>
        <w:t xml:space="preserve"> </w:t>
      </w:r>
      <w:r w:rsidRPr="00055376">
        <w:rPr>
          <w:rFonts w:ascii="Century Schoolbook" w:hAnsi="Century Schoolbook"/>
          <w:bCs/>
          <w:szCs w:val="26"/>
        </w:rPr>
        <w:t xml:space="preserve">has two </w:t>
      </w:r>
      <w:r w:rsidR="001663EB">
        <w:rPr>
          <w:rFonts w:ascii="Century Schoolbook" w:hAnsi="Century Schoolbook"/>
          <w:bCs/>
          <w:szCs w:val="26"/>
        </w:rPr>
        <w:t>components</w:t>
      </w:r>
      <w:r w:rsidRPr="00055376">
        <w:rPr>
          <w:rFonts w:ascii="Century Schoolbook" w:hAnsi="Century Schoolbook"/>
          <w:bCs/>
          <w:szCs w:val="26"/>
        </w:rPr>
        <w:t xml:space="preserve">: the evidence necessary for the court to </w:t>
      </w:r>
      <w:r w:rsidR="00AF407B">
        <w:rPr>
          <w:rFonts w:ascii="Century Schoolbook" w:hAnsi="Century Schoolbook"/>
          <w:bCs/>
          <w:szCs w:val="26"/>
        </w:rPr>
        <w:t xml:space="preserve">determine </w:t>
      </w:r>
      <w:r w:rsidRPr="00055376">
        <w:rPr>
          <w:rFonts w:ascii="Century Schoolbook" w:hAnsi="Century Schoolbook"/>
          <w:bCs/>
          <w:szCs w:val="26"/>
        </w:rPr>
        <w:t xml:space="preserve">restitution, and </w:t>
      </w:r>
      <w:r w:rsidR="00901C07">
        <w:rPr>
          <w:rFonts w:ascii="Century Schoolbook" w:hAnsi="Century Schoolbook"/>
          <w:bCs/>
          <w:szCs w:val="26"/>
        </w:rPr>
        <w:t>their</w:t>
      </w:r>
      <w:r w:rsidRPr="00055376" w:rsidR="00901C07">
        <w:rPr>
          <w:rFonts w:ascii="Century Schoolbook" w:hAnsi="Century Schoolbook"/>
          <w:bCs/>
          <w:szCs w:val="26"/>
        </w:rPr>
        <w:t xml:space="preserve"> </w:t>
      </w:r>
      <w:r w:rsidRPr="00055376">
        <w:rPr>
          <w:rFonts w:ascii="Century Schoolbook" w:hAnsi="Century Schoolbook"/>
          <w:bCs/>
          <w:szCs w:val="26"/>
        </w:rPr>
        <w:t>right to make an impact statement.</w:t>
      </w:r>
    </w:p>
    <w:p w:rsidR="00451911" w:rsidP="0023711A" w14:paraId="279F77C1" w14:textId="1E58D8E4">
      <w:pPr>
        <w:spacing w:line="288" w:lineRule="auto"/>
        <w:ind w:firstLine="720"/>
        <w:rPr>
          <w:rFonts w:ascii="Century Schoolbook" w:hAnsi="Century Schoolbook"/>
          <w:bCs/>
          <w:szCs w:val="26"/>
        </w:rPr>
      </w:pPr>
      <w:r w:rsidRPr="00055376">
        <w:rPr>
          <w:rFonts w:ascii="Century Schoolbook" w:hAnsi="Century Schoolbook"/>
          <w:bCs/>
          <w:szCs w:val="26"/>
        </w:rPr>
        <w:t>On the first issue, the court properly exercised its discretion to base its decision on documentary evidence.</w:t>
      </w:r>
      <w:r>
        <w:rPr>
          <w:rFonts w:ascii="Century Schoolbook" w:hAnsi="Century Schoolbook"/>
          <w:bCs/>
          <w:szCs w:val="26"/>
        </w:rPr>
        <w:t xml:space="preserve">  </w:t>
      </w:r>
      <w:r w:rsidR="00F12623">
        <w:rPr>
          <w:rFonts w:ascii="Century Schoolbook" w:hAnsi="Century Schoolbook"/>
          <w:bCs/>
          <w:szCs w:val="26"/>
        </w:rPr>
        <w:t>R</w:t>
      </w:r>
      <w:r w:rsidRPr="00055376">
        <w:rPr>
          <w:rFonts w:ascii="Century Schoolbook" w:hAnsi="Century Schoolbook"/>
          <w:bCs/>
          <w:szCs w:val="26"/>
        </w:rPr>
        <w:t>estitution is “based on the amount of loss claimed by the victim or victims or any other showing to the court.”  (Pen. Code, §</w:t>
      </w:r>
      <w:r w:rsidR="00137087">
        <w:rPr>
          <w:rFonts w:ascii="Century Schoolbook" w:hAnsi="Century Schoolbook"/>
          <w:bCs/>
          <w:szCs w:val="26"/>
        </w:rPr>
        <w:t> </w:t>
      </w:r>
      <w:r w:rsidRPr="00055376">
        <w:rPr>
          <w:rFonts w:ascii="Century Schoolbook" w:hAnsi="Century Schoolbook"/>
          <w:bCs/>
          <w:szCs w:val="26"/>
        </w:rPr>
        <w:t>1202.4, subd. (f).)  The court “ ‘may use any rational method of fixing the amount of restitution as long as it is reasonably calculated to make the victim whole.’ ”  (</w:t>
      </w:r>
      <w:r w:rsidRPr="00055376">
        <w:rPr>
          <w:rFonts w:ascii="Century Schoolbook" w:hAnsi="Century Schoolbook"/>
          <w:bCs/>
          <w:i/>
          <w:iCs/>
          <w:szCs w:val="26"/>
        </w:rPr>
        <w:t>People v. Millard</w:t>
      </w:r>
      <w:r w:rsidRPr="00055376">
        <w:rPr>
          <w:rFonts w:ascii="Century Schoolbook" w:hAnsi="Century Schoolbook"/>
          <w:bCs/>
          <w:szCs w:val="26"/>
        </w:rPr>
        <w:t xml:space="preserve"> (2009) 175 Cal.App.4th 7, 26; </w:t>
      </w:r>
      <w:r w:rsidRPr="00055376">
        <w:rPr>
          <w:rFonts w:ascii="Century Schoolbook" w:hAnsi="Century Schoolbook"/>
          <w:bCs/>
          <w:i/>
          <w:iCs/>
          <w:szCs w:val="26"/>
        </w:rPr>
        <w:t>People v. Baumann</w:t>
      </w:r>
      <w:r w:rsidRPr="00055376">
        <w:rPr>
          <w:rFonts w:ascii="Century Schoolbook" w:hAnsi="Century Schoolbook"/>
          <w:bCs/>
          <w:szCs w:val="26"/>
        </w:rPr>
        <w:t xml:space="preserve"> (1985) 176 Cal.App.3d 67, 80.)  “[A] trial court has sufficient discretion to appropriately limit the evidence admitted at a victim restitution hearing to avoid an unduly prolonged and involved hearing.”  (</w:t>
      </w:r>
      <w:r w:rsidRPr="00055376">
        <w:rPr>
          <w:rFonts w:ascii="Century Schoolbook" w:hAnsi="Century Schoolbook"/>
          <w:bCs/>
          <w:i/>
          <w:iCs/>
          <w:szCs w:val="26"/>
        </w:rPr>
        <w:t>Millard</w:t>
      </w:r>
      <w:r w:rsidRPr="00CC0D15">
        <w:rPr>
          <w:rFonts w:ascii="Century Schoolbook" w:hAnsi="Century Schoolbook"/>
          <w:bCs/>
          <w:szCs w:val="26"/>
        </w:rPr>
        <w:t>,</w:t>
      </w:r>
      <w:r w:rsidRPr="00055376">
        <w:rPr>
          <w:rFonts w:ascii="Century Schoolbook" w:hAnsi="Century Schoolbook"/>
          <w:bCs/>
          <w:szCs w:val="26"/>
        </w:rPr>
        <w:t xml:space="preserve"> at p.</w:t>
      </w:r>
      <w:r w:rsidR="00574ED8">
        <w:rPr>
          <w:rFonts w:ascii="Century Schoolbook" w:hAnsi="Century Schoolbook"/>
          <w:bCs/>
          <w:szCs w:val="26"/>
        </w:rPr>
        <w:t> </w:t>
      </w:r>
      <w:r w:rsidRPr="00055376">
        <w:rPr>
          <w:rFonts w:ascii="Century Schoolbook" w:hAnsi="Century Schoolbook"/>
          <w:bCs/>
          <w:szCs w:val="26"/>
        </w:rPr>
        <w:t xml:space="preserve">42.)  </w:t>
      </w:r>
      <w:r w:rsidR="00B15D57">
        <w:rPr>
          <w:rFonts w:ascii="Century Schoolbook" w:hAnsi="Century Schoolbook"/>
          <w:bCs/>
          <w:szCs w:val="26"/>
        </w:rPr>
        <w:t>I</w:t>
      </w:r>
      <w:r w:rsidR="00E835D3">
        <w:rPr>
          <w:rFonts w:ascii="Century Schoolbook" w:hAnsi="Century Schoolbook"/>
          <w:bCs/>
          <w:szCs w:val="26"/>
        </w:rPr>
        <w:t>t</w:t>
      </w:r>
      <w:r w:rsidRPr="00055376">
        <w:rPr>
          <w:rFonts w:ascii="Century Schoolbook" w:hAnsi="Century Schoolbook"/>
          <w:bCs/>
          <w:szCs w:val="26"/>
        </w:rPr>
        <w:t xml:space="preserve"> may make a restitution order based on “truncated evidence” such as declarations</w:t>
      </w:r>
      <w:r>
        <w:rPr>
          <w:rFonts w:ascii="Century Schoolbook" w:hAnsi="Century Schoolbook"/>
          <w:bCs/>
          <w:szCs w:val="26"/>
        </w:rPr>
        <w:t xml:space="preserve"> </w:t>
      </w:r>
      <w:r w:rsidRPr="00055376">
        <w:rPr>
          <w:rFonts w:ascii="Century Schoolbook" w:hAnsi="Century Schoolbook"/>
          <w:bCs/>
          <w:szCs w:val="26"/>
        </w:rPr>
        <w:t>or probation reports, business records, and checks</w:t>
      </w:r>
      <w:r>
        <w:rPr>
          <w:rFonts w:ascii="Century Schoolbook" w:hAnsi="Century Schoolbook"/>
          <w:bCs/>
          <w:szCs w:val="26"/>
        </w:rPr>
        <w:t xml:space="preserve">. </w:t>
      </w:r>
      <w:r w:rsidRPr="00055376">
        <w:rPr>
          <w:rFonts w:ascii="Century Schoolbook" w:hAnsi="Century Schoolbook"/>
          <w:bCs/>
          <w:szCs w:val="26"/>
        </w:rPr>
        <w:t xml:space="preserve"> (</w:t>
      </w:r>
      <w:r>
        <w:rPr>
          <w:rFonts w:ascii="Century Schoolbook" w:hAnsi="Century Schoolbook"/>
          <w:bCs/>
          <w:i/>
          <w:iCs/>
          <w:szCs w:val="26"/>
        </w:rPr>
        <w:t>I</w:t>
      </w:r>
      <w:r w:rsidRPr="00200792">
        <w:rPr>
          <w:rFonts w:ascii="Century Schoolbook" w:hAnsi="Century Schoolbook"/>
          <w:bCs/>
          <w:i/>
          <w:iCs/>
          <w:szCs w:val="26"/>
        </w:rPr>
        <w:t>bid</w:t>
      </w:r>
      <w:r>
        <w:rPr>
          <w:rFonts w:ascii="Century Schoolbook" w:hAnsi="Century Schoolbook"/>
          <w:bCs/>
          <w:szCs w:val="26"/>
        </w:rPr>
        <w:t xml:space="preserve">.; </w:t>
      </w:r>
      <w:r w:rsidRPr="00055376">
        <w:rPr>
          <w:rFonts w:ascii="Century Schoolbook" w:hAnsi="Century Schoolbook"/>
          <w:bCs/>
          <w:i/>
          <w:iCs/>
          <w:szCs w:val="26"/>
        </w:rPr>
        <w:t>Baumann</w:t>
      </w:r>
      <w:r w:rsidRPr="007E3504">
        <w:rPr>
          <w:rFonts w:ascii="Century Schoolbook" w:hAnsi="Century Schoolbook"/>
          <w:bCs/>
          <w:szCs w:val="26"/>
        </w:rPr>
        <w:t>,</w:t>
      </w:r>
      <w:r w:rsidRPr="00055376">
        <w:rPr>
          <w:rFonts w:ascii="Century Schoolbook" w:hAnsi="Century Schoolbook"/>
          <w:bCs/>
          <w:szCs w:val="26"/>
        </w:rPr>
        <w:t xml:space="preserve"> at pp. 81-82.) </w:t>
      </w:r>
      <w:r w:rsidR="003D7A12">
        <w:rPr>
          <w:rFonts w:ascii="Century Schoolbook" w:hAnsi="Century Schoolbook"/>
          <w:bCs/>
          <w:szCs w:val="26"/>
        </w:rPr>
        <w:t xml:space="preserve"> </w:t>
      </w:r>
    </w:p>
    <w:p w:rsidR="0023711A" w:rsidRPr="00055376" w:rsidP="0023711A" w14:paraId="068B6332" w14:textId="7F682021">
      <w:pPr>
        <w:spacing w:line="288" w:lineRule="auto"/>
        <w:ind w:firstLine="720"/>
        <w:rPr>
          <w:rFonts w:ascii="Century Schoolbook" w:hAnsi="Century Schoolbook"/>
          <w:bCs/>
          <w:szCs w:val="26"/>
        </w:rPr>
      </w:pPr>
      <w:r>
        <w:rPr>
          <w:rFonts w:ascii="Century Schoolbook" w:hAnsi="Century Schoolbook"/>
          <w:bCs/>
          <w:szCs w:val="26"/>
        </w:rPr>
        <w:t>C</w:t>
      </w:r>
      <w:r w:rsidRPr="00055376" w:rsidR="003D7A12">
        <w:rPr>
          <w:rFonts w:ascii="Century Schoolbook" w:hAnsi="Century Schoolbook"/>
          <w:bCs/>
          <w:szCs w:val="26"/>
        </w:rPr>
        <w:t xml:space="preserve">laimants </w:t>
      </w:r>
      <w:r>
        <w:rPr>
          <w:rFonts w:ascii="Century Schoolbook" w:hAnsi="Century Schoolbook"/>
          <w:bCs/>
          <w:szCs w:val="26"/>
        </w:rPr>
        <w:t xml:space="preserve">here </w:t>
      </w:r>
      <w:r w:rsidRPr="00055376" w:rsidR="003D7A12">
        <w:rPr>
          <w:rFonts w:ascii="Century Schoolbook" w:hAnsi="Century Schoolbook"/>
          <w:bCs/>
          <w:szCs w:val="26"/>
        </w:rPr>
        <w:t xml:space="preserve">submitted </w:t>
      </w:r>
      <w:r w:rsidR="003D7A12">
        <w:rPr>
          <w:rFonts w:ascii="Century Schoolbook" w:hAnsi="Century Schoolbook"/>
          <w:bCs/>
          <w:szCs w:val="26"/>
        </w:rPr>
        <w:t xml:space="preserve">thousands of </w:t>
      </w:r>
      <w:r w:rsidRPr="00055376" w:rsidR="003D7A12">
        <w:rPr>
          <w:rFonts w:ascii="Century Schoolbook" w:hAnsi="Century Schoolbook"/>
          <w:bCs/>
          <w:szCs w:val="26"/>
        </w:rPr>
        <w:t xml:space="preserve">pages of declarations and supporting documentation. </w:t>
      </w:r>
      <w:bookmarkStart w:id="20" w:name="_Hlk142318587"/>
      <w:r w:rsidRPr="00055376" w:rsidR="003D7A12">
        <w:rPr>
          <w:rFonts w:ascii="Century Schoolbook" w:hAnsi="Century Schoolbook"/>
          <w:bCs/>
          <w:szCs w:val="26"/>
        </w:rPr>
        <w:t xml:space="preserve"> </w:t>
      </w:r>
      <w:bookmarkEnd w:id="20"/>
      <w:r w:rsidR="00E835D3">
        <w:rPr>
          <w:rFonts w:ascii="Century Schoolbook" w:hAnsi="Century Schoolbook"/>
          <w:bCs/>
          <w:szCs w:val="26"/>
        </w:rPr>
        <w:t>In our view, t</w:t>
      </w:r>
      <w:r w:rsidRPr="00055376">
        <w:rPr>
          <w:rFonts w:ascii="Century Schoolbook" w:hAnsi="Century Schoolbook"/>
          <w:bCs/>
          <w:szCs w:val="26"/>
        </w:rPr>
        <w:t>he court</w:t>
      </w:r>
      <w:r>
        <w:rPr>
          <w:rFonts w:ascii="Century Schoolbook" w:hAnsi="Century Schoolbook"/>
          <w:bCs/>
          <w:szCs w:val="26"/>
        </w:rPr>
        <w:t>’s consideration of</w:t>
      </w:r>
      <w:r w:rsidRPr="00055376">
        <w:rPr>
          <w:rFonts w:ascii="Century Schoolbook" w:hAnsi="Century Schoolbook"/>
          <w:bCs/>
          <w:szCs w:val="26"/>
        </w:rPr>
        <w:t xml:space="preserve"> </w:t>
      </w:r>
      <w:r w:rsidR="004C240E">
        <w:rPr>
          <w:rFonts w:ascii="Century Schoolbook" w:hAnsi="Century Schoolbook"/>
          <w:bCs/>
          <w:szCs w:val="26"/>
        </w:rPr>
        <w:t>that evidence</w:t>
      </w:r>
      <w:r>
        <w:rPr>
          <w:rFonts w:ascii="Century Schoolbook" w:hAnsi="Century Schoolbook"/>
          <w:bCs/>
          <w:szCs w:val="26"/>
        </w:rPr>
        <w:t xml:space="preserve"> </w:t>
      </w:r>
      <w:r w:rsidRPr="00055376">
        <w:rPr>
          <w:rFonts w:ascii="Century Schoolbook" w:hAnsi="Century Schoolbook"/>
          <w:bCs/>
          <w:szCs w:val="26"/>
        </w:rPr>
        <w:t>“afforded a full, extensive fair hearing on the issue of restitution.”  (</w:t>
      </w:r>
      <w:r w:rsidRPr="002E12DA" w:rsidR="00CD0E5E">
        <w:rPr>
          <w:rFonts w:ascii="Century Schoolbook" w:hAnsi="Century Schoolbook"/>
          <w:bCs/>
          <w:i/>
          <w:iCs/>
          <w:szCs w:val="26"/>
        </w:rPr>
        <w:t xml:space="preserve">People v. </w:t>
      </w:r>
      <w:r w:rsidRPr="00055376">
        <w:rPr>
          <w:rFonts w:ascii="Century Schoolbook" w:hAnsi="Century Schoolbook"/>
          <w:bCs/>
          <w:i/>
          <w:iCs/>
          <w:szCs w:val="26"/>
        </w:rPr>
        <w:t>Baumann</w:t>
      </w:r>
      <w:r w:rsidRPr="0001584F">
        <w:rPr>
          <w:rFonts w:ascii="Century Schoolbook" w:hAnsi="Century Schoolbook"/>
          <w:bCs/>
          <w:szCs w:val="26"/>
        </w:rPr>
        <w:t>,</w:t>
      </w:r>
      <w:r w:rsidRPr="00055376">
        <w:rPr>
          <w:rFonts w:ascii="Century Schoolbook" w:hAnsi="Century Schoolbook"/>
          <w:bCs/>
          <w:szCs w:val="26"/>
        </w:rPr>
        <w:t xml:space="preserve"> </w:t>
      </w:r>
      <w:r w:rsidR="00137087">
        <w:rPr>
          <w:rFonts w:ascii="Century Schoolbook" w:hAnsi="Century Schoolbook"/>
          <w:bCs/>
          <w:i/>
          <w:iCs/>
          <w:szCs w:val="26"/>
        </w:rPr>
        <w:t>supra</w:t>
      </w:r>
      <w:r w:rsidR="00137087">
        <w:rPr>
          <w:rFonts w:ascii="Century Schoolbook" w:hAnsi="Century Schoolbook"/>
          <w:bCs/>
          <w:szCs w:val="26"/>
        </w:rPr>
        <w:t xml:space="preserve">, 176 Cal.App.3d </w:t>
      </w:r>
      <w:r w:rsidRPr="00055376">
        <w:rPr>
          <w:rFonts w:ascii="Century Schoolbook" w:hAnsi="Century Schoolbook"/>
          <w:bCs/>
          <w:szCs w:val="26"/>
        </w:rPr>
        <w:t>at p. 82.)</w:t>
      </w:r>
    </w:p>
    <w:p w:rsidR="00B15D57" w:rsidP="00624C71" w14:paraId="222EA67F" w14:textId="58A5957C">
      <w:pPr>
        <w:spacing w:line="288" w:lineRule="auto"/>
        <w:ind w:firstLine="720"/>
        <w:rPr>
          <w:rFonts w:ascii="Century Schoolbook" w:hAnsi="Century Schoolbook"/>
          <w:bCs/>
          <w:szCs w:val="26"/>
        </w:rPr>
      </w:pPr>
      <w:bookmarkStart w:id="21" w:name="_Hlk151389895"/>
      <w:r w:rsidRPr="00055376">
        <w:rPr>
          <w:rFonts w:ascii="Century Schoolbook" w:hAnsi="Century Schoolbook"/>
          <w:bCs/>
          <w:szCs w:val="26"/>
        </w:rPr>
        <w:t xml:space="preserve">The second issue is </w:t>
      </w:r>
      <w:r w:rsidR="006E0222">
        <w:rPr>
          <w:rFonts w:ascii="Century Schoolbook" w:hAnsi="Century Schoolbook"/>
          <w:bCs/>
          <w:szCs w:val="26"/>
        </w:rPr>
        <w:t xml:space="preserve">the claimants’ </w:t>
      </w:r>
      <w:r>
        <w:rPr>
          <w:rFonts w:ascii="Century Schoolbook" w:hAnsi="Century Schoolbook"/>
          <w:bCs/>
          <w:szCs w:val="26"/>
        </w:rPr>
        <w:t xml:space="preserve">constitutional </w:t>
      </w:r>
      <w:r w:rsidRPr="00055376">
        <w:rPr>
          <w:rFonts w:ascii="Century Schoolbook" w:hAnsi="Century Schoolbook"/>
          <w:bCs/>
          <w:szCs w:val="26"/>
        </w:rPr>
        <w:t xml:space="preserve">right to address the court.  Several </w:t>
      </w:r>
      <w:r>
        <w:rPr>
          <w:rFonts w:ascii="Century Schoolbook" w:hAnsi="Century Schoolbook"/>
          <w:bCs/>
          <w:szCs w:val="26"/>
        </w:rPr>
        <w:t>claimants</w:t>
      </w:r>
      <w:r w:rsidRPr="00055376">
        <w:rPr>
          <w:rFonts w:ascii="Century Schoolbook" w:hAnsi="Century Schoolbook"/>
          <w:bCs/>
          <w:szCs w:val="26"/>
        </w:rPr>
        <w:t xml:space="preserve"> gave oral victim impact statements.  The court</w:t>
      </w:r>
      <w:r>
        <w:rPr>
          <w:rFonts w:ascii="Century Schoolbook" w:hAnsi="Century Schoolbook"/>
          <w:bCs/>
          <w:szCs w:val="26"/>
        </w:rPr>
        <w:t xml:space="preserve"> did not</w:t>
      </w:r>
      <w:r w:rsidRPr="00055376">
        <w:rPr>
          <w:rFonts w:ascii="Century Schoolbook" w:hAnsi="Century Schoolbook"/>
          <w:bCs/>
          <w:szCs w:val="26"/>
        </w:rPr>
        <w:t xml:space="preserve"> allow additional oral </w:t>
      </w:r>
      <w:r w:rsidR="00F002A3">
        <w:rPr>
          <w:rFonts w:ascii="Century Schoolbook" w:hAnsi="Century Schoolbook"/>
          <w:bCs/>
          <w:szCs w:val="26"/>
        </w:rPr>
        <w:t xml:space="preserve">victim impact </w:t>
      </w:r>
      <w:r>
        <w:rPr>
          <w:rFonts w:ascii="Century Schoolbook" w:hAnsi="Century Schoolbook"/>
          <w:bCs/>
          <w:szCs w:val="26"/>
        </w:rPr>
        <w:t>statements</w:t>
      </w:r>
      <w:r w:rsidR="00946266">
        <w:rPr>
          <w:rFonts w:ascii="Century Schoolbook" w:hAnsi="Century Schoolbook"/>
          <w:bCs/>
          <w:szCs w:val="26"/>
        </w:rPr>
        <w:t xml:space="preserve">, stating that </w:t>
      </w:r>
      <w:r w:rsidRPr="00055376">
        <w:rPr>
          <w:rFonts w:ascii="Century Schoolbook" w:hAnsi="Century Schoolbook"/>
          <w:bCs/>
          <w:szCs w:val="26"/>
        </w:rPr>
        <w:t>presentations had been made by “very involved and experienced competent lawyers</w:t>
      </w:r>
      <w:r w:rsidR="00F162AE">
        <w:rPr>
          <w:rFonts w:ascii="Century Schoolbook" w:hAnsi="Century Schoolbook"/>
          <w:bCs/>
          <w:szCs w:val="26"/>
        </w:rPr>
        <w:t>.</w:t>
      </w:r>
      <w:r w:rsidRPr="00055376">
        <w:rPr>
          <w:rFonts w:ascii="Century Schoolbook" w:hAnsi="Century Schoolbook"/>
          <w:bCs/>
          <w:szCs w:val="26"/>
        </w:rPr>
        <w:t xml:space="preserve">” </w:t>
      </w:r>
      <w:r w:rsidR="001C2C3E">
        <w:rPr>
          <w:rFonts w:ascii="Century Schoolbook" w:hAnsi="Century Schoolbook"/>
          <w:bCs/>
          <w:szCs w:val="26"/>
        </w:rPr>
        <w:t xml:space="preserve"> </w:t>
      </w:r>
      <w:r w:rsidR="00D075E1">
        <w:rPr>
          <w:rFonts w:ascii="Century Schoolbook" w:hAnsi="Century Schoolbook"/>
          <w:bCs/>
          <w:szCs w:val="26"/>
        </w:rPr>
        <w:t xml:space="preserve">The </w:t>
      </w:r>
      <w:r w:rsidR="00C8037A">
        <w:rPr>
          <w:rFonts w:ascii="Century Schoolbook" w:hAnsi="Century Schoolbook"/>
          <w:bCs/>
          <w:szCs w:val="26"/>
        </w:rPr>
        <w:t xml:space="preserve">trial </w:t>
      </w:r>
      <w:r w:rsidR="00D075E1">
        <w:rPr>
          <w:rFonts w:ascii="Century Schoolbook" w:hAnsi="Century Schoolbook"/>
          <w:bCs/>
          <w:szCs w:val="26"/>
        </w:rPr>
        <w:t>court erred</w:t>
      </w:r>
      <w:r>
        <w:rPr>
          <w:rFonts w:ascii="Century Schoolbook" w:hAnsi="Century Schoolbook"/>
          <w:bCs/>
          <w:szCs w:val="26"/>
        </w:rPr>
        <w:t xml:space="preserve">. </w:t>
      </w:r>
    </w:p>
    <w:p w:rsidR="00E5771A" w:rsidP="00E5771A" w14:paraId="2069481B" w14:textId="7CBEFA75">
      <w:pPr>
        <w:tabs>
          <w:tab w:val="left" w:pos="720"/>
        </w:tabs>
        <w:rPr>
          <w:rFonts w:ascii="Century Schoolbook" w:hAnsi="Century Schoolbook"/>
          <w:bCs/>
          <w:szCs w:val="26"/>
        </w:rPr>
      </w:pPr>
      <w:r>
        <w:rPr>
          <w:rFonts w:ascii="Century Schoolbook" w:hAnsi="Century Schoolbook"/>
          <w:bCs/>
          <w:szCs w:val="26"/>
        </w:rPr>
        <w:tab/>
      </w:r>
      <w:r w:rsidRPr="00E74D36">
        <w:rPr>
          <w:rFonts w:ascii="Century Schoolbook" w:hAnsi="Century Schoolbook"/>
          <w:bCs/>
          <w:szCs w:val="26"/>
        </w:rPr>
        <w:t>T</w:t>
      </w:r>
      <w:r w:rsidRPr="00E74D36">
        <w:rPr>
          <w:rFonts w:ascii="Century Schoolbook" w:hAnsi="Century Schoolbook"/>
          <w:bCs/>
          <w:szCs w:val="26"/>
        </w:rPr>
        <w:t xml:space="preserve">he request that additional Group 3 claimants be heard was </w:t>
      </w:r>
      <w:r w:rsidRPr="00E74D36" w:rsidR="00814274">
        <w:rPr>
          <w:rFonts w:ascii="Century Schoolbook" w:hAnsi="Century Schoolbook"/>
          <w:bCs/>
          <w:szCs w:val="26"/>
        </w:rPr>
        <w:t xml:space="preserve">for </w:t>
      </w:r>
      <w:r w:rsidRPr="00E74D36">
        <w:rPr>
          <w:rFonts w:ascii="Century Schoolbook" w:hAnsi="Century Schoolbook"/>
          <w:bCs/>
          <w:szCs w:val="26"/>
        </w:rPr>
        <w:t xml:space="preserve">a “proceeding in which a right of the victim [was] at issue” </w:t>
      </w:r>
      <w:r w:rsidRPr="00E74D36" w:rsidR="00D03AB9">
        <w:rPr>
          <w:rFonts w:ascii="Century Schoolbook" w:hAnsi="Century Schoolbook"/>
          <w:bCs/>
          <w:szCs w:val="26"/>
        </w:rPr>
        <w:t>where</w:t>
      </w:r>
      <w:r w:rsidRPr="00E74D36">
        <w:rPr>
          <w:rFonts w:ascii="Century Schoolbook" w:hAnsi="Century Schoolbook"/>
          <w:bCs/>
          <w:szCs w:val="26"/>
        </w:rPr>
        <w:t xml:space="preserve"> victims had a right “[t]o be heard.”  </w:t>
      </w:r>
      <w:r w:rsidRPr="00E74D36" w:rsidR="00C574AD">
        <w:rPr>
          <w:rFonts w:ascii="Century Schoolbook" w:hAnsi="Century Schoolbook"/>
          <w:bCs/>
          <w:szCs w:val="26"/>
        </w:rPr>
        <w:t>(C</w:t>
      </w:r>
      <w:r w:rsidRPr="00C574AD" w:rsidR="00C574AD">
        <w:rPr>
          <w:rFonts w:ascii="Century Schoolbook" w:hAnsi="Century Schoolbook"/>
          <w:bCs/>
          <w:szCs w:val="26"/>
        </w:rPr>
        <w:t>al. Const., art. I, §</w:t>
      </w:r>
      <w:r w:rsidR="003541C0">
        <w:rPr>
          <w:rFonts w:ascii="Century Schoolbook" w:hAnsi="Century Schoolbook"/>
          <w:bCs/>
          <w:szCs w:val="26"/>
        </w:rPr>
        <w:t> </w:t>
      </w:r>
      <w:r w:rsidRPr="00C574AD" w:rsidR="00C574AD">
        <w:rPr>
          <w:rFonts w:ascii="Century Schoolbook" w:hAnsi="Century Schoolbook"/>
          <w:bCs/>
          <w:szCs w:val="26"/>
        </w:rPr>
        <w:t xml:space="preserve">28, subd. (b)(8).)  </w:t>
      </w:r>
      <w:r w:rsidRPr="0010115F" w:rsidR="00543564">
        <w:rPr>
          <w:rFonts w:ascii="Century Schoolbook" w:hAnsi="Century Schoolbook"/>
          <w:bCs/>
          <w:szCs w:val="26"/>
        </w:rPr>
        <w:t>When the</w:t>
      </w:r>
      <w:r>
        <w:rPr>
          <w:rFonts w:ascii="Century Schoolbook" w:hAnsi="Century Schoolbook"/>
          <w:bCs/>
          <w:szCs w:val="26"/>
        </w:rPr>
        <w:t>se</w:t>
      </w:r>
      <w:r w:rsidRPr="0010115F" w:rsidR="00543564">
        <w:rPr>
          <w:rFonts w:ascii="Century Schoolbook" w:hAnsi="Century Schoolbook"/>
          <w:bCs/>
          <w:szCs w:val="26"/>
        </w:rPr>
        <w:t xml:space="preserve"> request</w:t>
      </w:r>
      <w:r w:rsidR="00543564">
        <w:rPr>
          <w:rFonts w:ascii="Century Schoolbook" w:hAnsi="Century Schoolbook"/>
          <w:bCs/>
          <w:szCs w:val="26"/>
        </w:rPr>
        <w:t>s</w:t>
      </w:r>
      <w:r w:rsidRPr="0010115F" w:rsidR="00543564">
        <w:rPr>
          <w:rFonts w:ascii="Century Schoolbook" w:hAnsi="Century Schoolbook"/>
          <w:bCs/>
          <w:szCs w:val="26"/>
        </w:rPr>
        <w:t xml:space="preserve"> </w:t>
      </w:r>
      <w:r w:rsidR="00543564">
        <w:rPr>
          <w:rFonts w:ascii="Century Schoolbook" w:hAnsi="Century Schoolbook"/>
          <w:bCs/>
          <w:szCs w:val="26"/>
        </w:rPr>
        <w:t>were</w:t>
      </w:r>
      <w:r w:rsidRPr="0010115F" w:rsidR="00543564">
        <w:rPr>
          <w:rFonts w:ascii="Century Schoolbook" w:hAnsi="Century Schoolbook"/>
          <w:bCs/>
          <w:szCs w:val="26"/>
        </w:rPr>
        <w:t xml:space="preserve"> made, the court had issued a </w:t>
      </w:r>
      <w:r w:rsidRPr="0087412E" w:rsidR="00543564">
        <w:rPr>
          <w:rFonts w:ascii="Century Schoolbook" w:hAnsi="Century Schoolbook"/>
          <w:bCs/>
          <w:i/>
          <w:iCs/>
          <w:szCs w:val="26"/>
        </w:rPr>
        <w:t>tentative</w:t>
      </w:r>
      <w:r w:rsidRPr="0010115F" w:rsidR="00543564">
        <w:rPr>
          <w:rFonts w:ascii="Century Schoolbook" w:hAnsi="Century Schoolbook"/>
          <w:bCs/>
          <w:szCs w:val="26"/>
        </w:rPr>
        <w:t xml:space="preserve"> ruling that </w:t>
      </w:r>
      <w:r w:rsidR="00CA50C4">
        <w:rPr>
          <w:rFonts w:ascii="Century Schoolbook" w:hAnsi="Century Schoolbook"/>
          <w:bCs/>
          <w:szCs w:val="26"/>
        </w:rPr>
        <w:t>Group 3 claimants</w:t>
      </w:r>
      <w:r w:rsidRPr="0010115F" w:rsidR="00543564">
        <w:rPr>
          <w:rFonts w:ascii="Century Schoolbook" w:hAnsi="Century Schoolbook"/>
          <w:bCs/>
          <w:szCs w:val="26"/>
        </w:rPr>
        <w:t xml:space="preserve"> were not victims for purposes of restitution. </w:t>
      </w:r>
      <w:r w:rsidR="00543564">
        <w:rPr>
          <w:rFonts w:ascii="Century Schoolbook" w:hAnsi="Century Schoolbook"/>
          <w:b/>
          <w:szCs w:val="26"/>
        </w:rPr>
        <w:t xml:space="preserve"> </w:t>
      </w:r>
      <w:r w:rsidRPr="00B26A71" w:rsidR="00FC66C3">
        <w:rPr>
          <w:rFonts w:ascii="Century Schoolbook" w:hAnsi="Century Schoolbook"/>
          <w:bCs/>
          <w:szCs w:val="26"/>
        </w:rPr>
        <w:t xml:space="preserve">But </w:t>
      </w:r>
      <w:r w:rsidR="00FC66C3">
        <w:rPr>
          <w:rFonts w:ascii="Century Schoolbook" w:hAnsi="Century Schoolbook"/>
          <w:bCs/>
          <w:szCs w:val="26"/>
        </w:rPr>
        <w:t>t</w:t>
      </w:r>
      <w:r w:rsidRPr="00624C71">
        <w:rPr>
          <w:rFonts w:ascii="Century Schoolbook" w:hAnsi="Century Schoolbook"/>
          <w:bCs/>
          <w:szCs w:val="26"/>
        </w:rPr>
        <w:t>hese claimants</w:t>
      </w:r>
      <w:r>
        <w:rPr>
          <w:rFonts w:ascii="Century Schoolbook" w:hAnsi="Century Schoolbook"/>
          <w:b/>
          <w:szCs w:val="26"/>
        </w:rPr>
        <w:t xml:space="preserve"> </w:t>
      </w:r>
      <w:r>
        <w:rPr>
          <w:rFonts w:ascii="Century Schoolbook" w:hAnsi="Century Schoolbook"/>
          <w:bCs/>
          <w:szCs w:val="26"/>
        </w:rPr>
        <w:t xml:space="preserve">should not have been deprived of </w:t>
      </w:r>
      <w:r w:rsidRPr="00E5771A">
        <w:rPr>
          <w:rFonts w:ascii="Century Schoolbook" w:hAnsi="Century Schoolbook"/>
          <w:bCs/>
          <w:szCs w:val="26"/>
        </w:rPr>
        <w:t xml:space="preserve">their right to be heard on a contested issue before the </w:t>
      </w:r>
      <w:r>
        <w:rPr>
          <w:rFonts w:ascii="Century Schoolbook" w:hAnsi="Century Schoolbook"/>
          <w:bCs/>
          <w:szCs w:val="26"/>
        </w:rPr>
        <w:t xml:space="preserve">final restitution ruling was </w:t>
      </w:r>
      <w:r w:rsidRPr="00E5771A">
        <w:rPr>
          <w:rFonts w:ascii="Century Schoolbook" w:hAnsi="Century Schoolbook"/>
          <w:bCs/>
          <w:szCs w:val="26"/>
        </w:rPr>
        <w:t>made.</w:t>
      </w:r>
      <w:r w:rsidRPr="00543564" w:rsidR="00543564">
        <w:rPr>
          <w:rFonts w:ascii="Century Schoolbook" w:hAnsi="Century Schoolbook"/>
          <w:bCs/>
          <w:szCs w:val="26"/>
        </w:rPr>
        <w:t xml:space="preserve"> </w:t>
      </w:r>
    </w:p>
    <w:p w:rsidR="00B727F5" w:rsidRPr="00B727F5" w:rsidP="00B727F5" w14:paraId="52C1878D" w14:textId="752A1588">
      <w:pPr>
        <w:tabs>
          <w:tab w:val="left" w:pos="720"/>
        </w:tabs>
        <w:rPr>
          <w:rFonts w:ascii="Century Schoolbook" w:hAnsi="Century Schoolbook"/>
          <w:bCs/>
          <w:szCs w:val="26"/>
        </w:rPr>
      </w:pPr>
      <w:r w:rsidRPr="00B727F5">
        <w:rPr>
          <w:rFonts w:ascii="Century Schoolbook" w:hAnsi="Century Schoolbook"/>
          <w:bCs/>
          <w:szCs w:val="26"/>
        </w:rPr>
        <w:tab/>
        <w:t xml:space="preserve">“It is the unequivocal intention of the People of the State of California that all persons who suffer losses as a result of criminal activity shall have the right to </w:t>
      </w:r>
      <w:r w:rsidRPr="00B727F5">
        <w:rPr>
          <w:rFonts w:ascii="Century Schoolbook" w:hAnsi="Century Schoolbook"/>
          <w:bCs/>
          <w:i/>
          <w:iCs/>
          <w:szCs w:val="26"/>
        </w:rPr>
        <w:t>seek</w:t>
      </w:r>
      <w:r w:rsidRPr="00B727F5">
        <w:rPr>
          <w:rFonts w:ascii="Century Schoolbook" w:hAnsi="Century Schoolbook"/>
          <w:bCs/>
          <w:szCs w:val="26"/>
        </w:rPr>
        <w:t xml:space="preserve"> and secure restitution from the persons convicted of the crimes causing the losses they suffer.”  (Cal. Const., art. I, § 28, subd. (b)(13)(A), italics added.)  This provision does not limit the right to be heard to direct victims.  </w:t>
      </w:r>
      <w:r w:rsidRPr="00E74D36" w:rsidR="009729C6">
        <w:rPr>
          <w:rFonts w:ascii="Century Schoolbook" w:hAnsi="Century Schoolbook"/>
          <w:bCs/>
          <w:szCs w:val="26"/>
        </w:rPr>
        <w:t>In</w:t>
      </w:r>
      <w:r w:rsidRPr="00E74D36">
        <w:rPr>
          <w:rFonts w:ascii="Century Schoolbook" w:hAnsi="Century Schoolbook"/>
          <w:bCs/>
          <w:szCs w:val="26"/>
        </w:rPr>
        <w:t xml:space="preserve"> </w:t>
      </w:r>
      <w:r w:rsidRPr="00E74D36">
        <w:rPr>
          <w:rFonts w:ascii="Century Schoolbook" w:hAnsi="Century Schoolbook"/>
          <w:bCs/>
          <w:i/>
          <w:iCs/>
          <w:szCs w:val="26"/>
        </w:rPr>
        <w:t>Crump</w:t>
      </w:r>
      <w:r w:rsidRPr="00E74D36">
        <w:rPr>
          <w:rFonts w:ascii="Century Schoolbook" w:hAnsi="Century Schoolbook"/>
          <w:bCs/>
          <w:szCs w:val="26"/>
        </w:rPr>
        <w:t xml:space="preserve">, </w:t>
      </w:r>
      <w:r w:rsidRPr="00E74D36">
        <w:rPr>
          <w:rFonts w:ascii="Century Schoolbook" w:hAnsi="Century Schoolbook"/>
          <w:bCs/>
          <w:i/>
          <w:iCs/>
          <w:szCs w:val="26"/>
        </w:rPr>
        <w:t>supra</w:t>
      </w:r>
      <w:r w:rsidRPr="00E74D36">
        <w:rPr>
          <w:rFonts w:ascii="Century Schoolbook" w:hAnsi="Century Schoolbook"/>
          <w:bCs/>
          <w:szCs w:val="26"/>
        </w:rPr>
        <w:t xml:space="preserve">, </w:t>
      </w:r>
      <w:r w:rsidRPr="00E74D36" w:rsidR="00137087">
        <w:rPr>
          <w:rFonts w:ascii="Century Schoolbook" w:hAnsi="Century Schoolbook"/>
          <w:bCs/>
          <w:szCs w:val="26"/>
        </w:rPr>
        <w:t xml:space="preserve">37 Cal.App.5th at page 234, </w:t>
      </w:r>
      <w:r w:rsidRPr="00E74D36" w:rsidR="00451911">
        <w:rPr>
          <w:rFonts w:ascii="Century Schoolbook" w:hAnsi="Century Schoolbook"/>
          <w:bCs/>
          <w:szCs w:val="26"/>
        </w:rPr>
        <w:t xml:space="preserve">our colleagues in Division 8 held that purported victims impacted by a gas leak had the right to be heard despite the trial court’s </w:t>
      </w:r>
      <w:r w:rsidRPr="00E74D36" w:rsidR="00CE1D46">
        <w:rPr>
          <w:rFonts w:ascii="Century Schoolbook" w:hAnsi="Century Schoolbook"/>
          <w:bCs/>
          <w:szCs w:val="26"/>
        </w:rPr>
        <w:t>conclusion</w:t>
      </w:r>
      <w:r w:rsidRPr="00E74D36" w:rsidR="00451911">
        <w:rPr>
          <w:rFonts w:ascii="Century Schoolbook" w:hAnsi="Century Schoolbook"/>
          <w:bCs/>
          <w:szCs w:val="26"/>
        </w:rPr>
        <w:t xml:space="preserve"> they were not victims entitled to restitution.</w:t>
      </w:r>
      <w:r w:rsidRPr="00451911" w:rsidR="00451911">
        <w:rPr>
          <w:rFonts w:ascii="Century Schoolbook" w:hAnsi="Century Schoolbook"/>
          <w:bCs/>
          <w:szCs w:val="26"/>
        </w:rPr>
        <w:t xml:space="preserve"> </w:t>
      </w:r>
    </w:p>
    <w:p w:rsidR="00782EF5" w:rsidP="00AF407B" w14:paraId="55139C87" w14:textId="77777777">
      <w:pPr>
        <w:tabs>
          <w:tab w:val="left" w:pos="720"/>
        </w:tabs>
        <w:rPr>
          <w:rFonts w:ascii="Century Schoolbook" w:hAnsi="Century Schoolbook"/>
          <w:bCs/>
          <w:szCs w:val="26"/>
        </w:rPr>
      </w:pPr>
      <w:r>
        <w:rPr>
          <w:rFonts w:ascii="Century Schoolbook" w:hAnsi="Century Schoolbook"/>
          <w:bCs/>
          <w:szCs w:val="26"/>
        </w:rPr>
        <w:tab/>
      </w:r>
      <w:r w:rsidRPr="004A5189" w:rsidR="00C574AD">
        <w:rPr>
          <w:rFonts w:ascii="Century Schoolbook" w:hAnsi="Century Schoolbook"/>
          <w:bCs/>
          <w:szCs w:val="26"/>
        </w:rPr>
        <w:t xml:space="preserve">There is conflicting authority whether </w:t>
      </w:r>
      <w:r w:rsidR="000F2CFC">
        <w:rPr>
          <w:rFonts w:ascii="Century Schoolbook" w:hAnsi="Century Schoolbook"/>
          <w:bCs/>
          <w:szCs w:val="26"/>
        </w:rPr>
        <w:t>a</w:t>
      </w:r>
      <w:r w:rsidRPr="004A5189" w:rsidR="00C574AD">
        <w:rPr>
          <w:rFonts w:ascii="Century Schoolbook" w:hAnsi="Century Schoolbook"/>
          <w:bCs/>
          <w:szCs w:val="26"/>
        </w:rPr>
        <w:t xml:space="preserve"> victim’s right to be heard includes the right to</w:t>
      </w:r>
      <w:r w:rsidR="000F2CFC">
        <w:rPr>
          <w:rFonts w:ascii="Century Schoolbook" w:hAnsi="Century Schoolbook"/>
          <w:bCs/>
          <w:szCs w:val="26"/>
        </w:rPr>
        <w:t xml:space="preserve"> make an oral presentation</w:t>
      </w:r>
      <w:r w:rsidRPr="004A5189" w:rsidR="00C574AD">
        <w:rPr>
          <w:rFonts w:ascii="Century Schoolbook" w:hAnsi="Century Schoolbook"/>
          <w:bCs/>
          <w:szCs w:val="26"/>
        </w:rPr>
        <w:t xml:space="preserve">.  (Compare </w:t>
      </w:r>
      <w:r w:rsidRPr="004A5189" w:rsidR="00C574AD">
        <w:rPr>
          <w:rFonts w:ascii="Century Schoolbook" w:hAnsi="Century Schoolbook"/>
          <w:bCs/>
          <w:i/>
          <w:iCs/>
          <w:szCs w:val="26"/>
        </w:rPr>
        <w:t>People v. Hannon</w:t>
      </w:r>
      <w:r w:rsidRPr="004A5189" w:rsidR="00C574AD">
        <w:rPr>
          <w:rFonts w:ascii="Century Schoolbook" w:hAnsi="Century Schoolbook"/>
          <w:bCs/>
          <w:szCs w:val="26"/>
        </w:rPr>
        <w:t xml:space="preserve"> (2016) 5 Cal.App.5th 94, 103 [declining to decide]; </w:t>
      </w:r>
      <w:r w:rsidRPr="004A5189" w:rsidR="00C574AD">
        <w:rPr>
          <w:rFonts w:ascii="Century Schoolbook" w:hAnsi="Century Schoolbook"/>
          <w:bCs/>
          <w:i/>
          <w:iCs/>
          <w:szCs w:val="26"/>
        </w:rPr>
        <w:t xml:space="preserve">Kenna v. U.S. District Court </w:t>
      </w:r>
      <w:r w:rsidRPr="004A5189" w:rsidR="00C574AD">
        <w:rPr>
          <w:rFonts w:ascii="Century Schoolbook" w:hAnsi="Century Schoolbook"/>
          <w:bCs/>
          <w:szCs w:val="26"/>
        </w:rPr>
        <w:t xml:space="preserve">(9th Cir. 2006) 435 F.3d 1011, 1016 [right to orally address court, based on legislative history of federal statute]; </w:t>
      </w:r>
      <w:r w:rsidRPr="004A5189" w:rsidR="00C574AD">
        <w:rPr>
          <w:rFonts w:ascii="Century Schoolbook" w:hAnsi="Century Schoolbook"/>
          <w:bCs/>
          <w:i/>
          <w:iCs/>
          <w:szCs w:val="26"/>
        </w:rPr>
        <w:t>U</w:t>
      </w:r>
      <w:r w:rsidR="00137087">
        <w:rPr>
          <w:rFonts w:ascii="Century Schoolbook" w:hAnsi="Century Schoolbook"/>
          <w:bCs/>
          <w:i/>
          <w:iCs/>
          <w:szCs w:val="26"/>
        </w:rPr>
        <w:t xml:space="preserve">nited </w:t>
      </w:r>
      <w:r w:rsidRPr="004A5189" w:rsidR="00C574AD">
        <w:rPr>
          <w:rFonts w:ascii="Century Schoolbook" w:hAnsi="Century Schoolbook"/>
          <w:bCs/>
          <w:i/>
          <w:iCs/>
          <w:szCs w:val="26"/>
        </w:rPr>
        <w:t>S</w:t>
      </w:r>
      <w:r w:rsidR="00137087">
        <w:rPr>
          <w:rFonts w:ascii="Century Schoolbook" w:hAnsi="Century Schoolbook"/>
          <w:bCs/>
          <w:i/>
          <w:iCs/>
          <w:szCs w:val="26"/>
        </w:rPr>
        <w:t>tates</w:t>
      </w:r>
      <w:r w:rsidRPr="004A5189" w:rsidR="00C574AD">
        <w:rPr>
          <w:rFonts w:ascii="Century Schoolbook" w:hAnsi="Century Schoolbook"/>
          <w:bCs/>
          <w:i/>
          <w:iCs/>
          <w:szCs w:val="26"/>
        </w:rPr>
        <w:t xml:space="preserve"> v. Marcello</w:t>
      </w:r>
      <w:r w:rsidRPr="004A5189" w:rsidR="00C574AD">
        <w:rPr>
          <w:rFonts w:ascii="Century Schoolbook" w:hAnsi="Century Schoolbook"/>
          <w:bCs/>
          <w:szCs w:val="26"/>
        </w:rPr>
        <w:t xml:space="preserve"> (N.D.Ill. 2005) 370 F.Supp.2d 745, 747-748 [no right to oral statement].)  </w:t>
      </w:r>
    </w:p>
    <w:p w:rsidR="009116E8" w:rsidP="00FC66C3" w14:paraId="57B10E78" w14:textId="5A15A856">
      <w:pPr>
        <w:tabs>
          <w:tab w:val="left" w:pos="720"/>
        </w:tabs>
        <w:rPr>
          <w:rFonts w:ascii="Century Schoolbook" w:hAnsi="Century Schoolbook"/>
          <w:bCs/>
          <w:szCs w:val="26"/>
        </w:rPr>
      </w:pPr>
      <w:r>
        <w:rPr>
          <w:rFonts w:ascii="Century Schoolbook" w:hAnsi="Century Schoolbook"/>
          <w:bCs/>
          <w:szCs w:val="26"/>
        </w:rPr>
        <w:tab/>
      </w:r>
      <w:r w:rsidR="008B20DC">
        <w:rPr>
          <w:rFonts w:ascii="Century Schoolbook" w:hAnsi="Century Schoolbook"/>
          <w:bCs/>
          <w:szCs w:val="26"/>
        </w:rPr>
        <w:t xml:space="preserve">We </w:t>
      </w:r>
      <w:r w:rsidR="005556DF">
        <w:rPr>
          <w:rFonts w:ascii="Century Schoolbook" w:hAnsi="Century Schoolbook"/>
          <w:bCs/>
          <w:szCs w:val="26"/>
        </w:rPr>
        <w:t xml:space="preserve">conclude </w:t>
      </w:r>
      <w:r w:rsidR="008B20DC">
        <w:rPr>
          <w:rFonts w:ascii="Century Schoolbook" w:hAnsi="Century Schoolbook"/>
          <w:bCs/>
          <w:szCs w:val="26"/>
        </w:rPr>
        <w:t xml:space="preserve">that victims </w:t>
      </w:r>
      <w:r w:rsidR="00DF751B">
        <w:rPr>
          <w:rFonts w:ascii="Century Schoolbook" w:hAnsi="Century Schoolbook"/>
          <w:bCs/>
          <w:szCs w:val="26"/>
        </w:rPr>
        <w:t xml:space="preserve">seeking restitution </w:t>
      </w:r>
      <w:r w:rsidR="008B20DC">
        <w:rPr>
          <w:rFonts w:ascii="Century Schoolbook" w:hAnsi="Century Schoolbook"/>
          <w:bCs/>
          <w:szCs w:val="26"/>
        </w:rPr>
        <w:t xml:space="preserve">have the right to </w:t>
      </w:r>
      <w:r w:rsidR="00DF751B">
        <w:rPr>
          <w:rFonts w:ascii="Century Schoolbook" w:hAnsi="Century Schoolbook"/>
          <w:bCs/>
          <w:szCs w:val="26"/>
        </w:rPr>
        <w:t xml:space="preserve">orally address </w:t>
      </w:r>
      <w:r w:rsidR="00A62A8B">
        <w:rPr>
          <w:rFonts w:ascii="Century Schoolbook" w:hAnsi="Century Schoolbook"/>
          <w:bCs/>
          <w:szCs w:val="26"/>
        </w:rPr>
        <w:t>the court.</w:t>
      </w:r>
      <w:r>
        <w:rPr>
          <w:rFonts w:ascii="Century Schoolbook" w:hAnsi="Century Schoolbook"/>
          <w:bCs/>
          <w:szCs w:val="26"/>
        </w:rPr>
        <w:t xml:space="preserve">  </w:t>
      </w:r>
      <w:bookmarkStart w:id="22" w:name="_Hlk143090829"/>
      <w:r w:rsidRPr="00A42F32" w:rsidR="0023711A">
        <w:rPr>
          <w:rFonts w:ascii="Century Schoolbook" w:hAnsi="Century Schoolbook"/>
          <w:bCs/>
          <w:szCs w:val="26"/>
        </w:rPr>
        <w:t xml:space="preserve">Marsy’s </w:t>
      </w:r>
      <w:r w:rsidR="00DF0008">
        <w:rPr>
          <w:rFonts w:ascii="Century Schoolbook" w:hAnsi="Century Schoolbook"/>
          <w:bCs/>
          <w:szCs w:val="26"/>
        </w:rPr>
        <w:t>L</w:t>
      </w:r>
      <w:r w:rsidRPr="00A42F32" w:rsidR="00DF0008">
        <w:rPr>
          <w:rFonts w:ascii="Century Schoolbook" w:hAnsi="Century Schoolbook"/>
          <w:bCs/>
          <w:szCs w:val="26"/>
        </w:rPr>
        <w:t xml:space="preserve">aw </w:t>
      </w:r>
      <w:r w:rsidRPr="00A42F32" w:rsidR="0023711A">
        <w:rPr>
          <w:rFonts w:ascii="Century Schoolbook" w:hAnsi="Century Schoolbook"/>
          <w:bCs/>
          <w:szCs w:val="26"/>
        </w:rPr>
        <w:t>entitles victims to be heard, even when it “will not alter the outcome” of the hearing</w:t>
      </w:r>
      <w:r w:rsidR="00120E5B">
        <w:rPr>
          <w:rFonts w:ascii="Century Schoolbook" w:hAnsi="Century Schoolbook"/>
          <w:bCs/>
          <w:szCs w:val="26"/>
        </w:rPr>
        <w:t xml:space="preserve">.  </w:t>
      </w:r>
      <w:r w:rsidRPr="00A42F32" w:rsidR="0023711A">
        <w:rPr>
          <w:rFonts w:ascii="Century Schoolbook" w:hAnsi="Century Schoolbook"/>
          <w:bCs/>
          <w:szCs w:val="26"/>
        </w:rPr>
        <w:t>(</w:t>
      </w:r>
      <w:r w:rsidRPr="00A42F32" w:rsidR="0023711A">
        <w:rPr>
          <w:rFonts w:ascii="Century Schoolbook" w:hAnsi="Century Schoolbook"/>
          <w:bCs/>
          <w:i/>
          <w:iCs/>
          <w:szCs w:val="26"/>
        </w:rPr>
        <w:t>In re Vicks</w:t>
      </w:r>
      <w:r w:rsidR="00474FF6">
        <w:rPr>
          <w:rFonts w:ascii="Century Schoolbook" w:hAnsi="Century Schoolbook"/>
          <w:bCs/>
          <w:szCs w:val="26"/>
        </w:rPr>
        <w:t xml:space="preserve"> (2013)</w:t>
      </w:r>
      <w:r w:rsidR="003D7A12">
        <w:rPr>
          <w:rFonts w:ascii="Century Schoolbook" w:hAnsi="Century Schoolbook"/>
          <w:bCs/>
          <w:szCs w:val="26"/>
        </w:rPr>
        <w:t xml:space="preserve"> </w:t>
      </w:r>
      <w:r w:rsidRPr="00A42F32" w:rsidR="0023711A">
        <w:rPr>
          <w:rFonts w:ascii="Century Schoolbook" w:hAnsi="Century Schoolbook"/>
          <w:bCs/>
          <w:szCs w:val="26"/>
        </w:rPr>
        <w:t>56 Cal.4th</w:t>
      </w:r>
      <w:r w:rsidR="008316DD">
        <w:rPr>
          <w:rFonts w:ascii="Century Schoolbook" w:hAnsi="Century Schoolbook"/>
          <w:bCs/>
          <w:szCs w:val="26"/>
        </w:rPr>
        <w:t xml:space="preserve"> </w:t>
      </w:r>
      <w:r w:rsidR="00474FF6">
        <w:rPr>
          <w:rFonts w:ascii="Century Schoolbook" w:hAnsi="Century Schoolbook"/>
          <w:bCs/>
          <w:szCs w:val="26"/>
        </w:rPr>
        <w:t>274,</w:t>
      </w:r>
      <w:r w:rsidRPr="00A42F32" w:rsidR="0023711A">
        <w:rPr>
          <w:rFonts w:ascii="Century Schoolbook" w:hAnsi="Century Schoolbook"/>
          <w:bCs/>
          <w:szCs w:val="26"/>
        </w:rPr>
        <w:t xml:space="preserve"> 310 [victim statement at parole hearing].)</w:t>
      </w:r>
      <w:bookmarkEnd w:id="22"/>
      <w:r w:rsidR="007641ED">
        <w:rPr>
          <w:rFonts w:ascii="Century Schoolbook" w:hAnsi="Century Schoolbook"/>
          <w:bCs/>
          <w:szCs w:val="26"/>
        </w:rPr>
        <w:t xml:space="preserve"> </w:t>
      </w:r>
      <w:r w:rsidR="00DF2B84">
        <w:rPr>
          <w:rFonts w:ascii="Century Schoolbook" w:hAnsi="Century Schoolbook"/>
          <w:bCs/>
          <w:szCs w:val="26"/>
        </w:rPr>
        <w:t xml:space="preserve"> </w:t>
      </w:r>
      <w:r w:rsidR="00D934E0">
        <w:rPr>
          <w:rFonts w:ascii="Century Schoolbook" w:hAnsi="Century Schoolbook"/>
          <w:bCs/>
          <w:szCs w:val="26"/>
        </w:rPr>
        <w:t>Respecting victims’</w:t>
      </w:r>
      <w:r w:rsidR="00F21968">
        <w:rPr>
          <w:rFonts w:ascii="Century Schoolbook" w:hAnsi="Century Schoolbook"/>
          <w:bCs/>
          <w:szCs w:val="26"/>
        </w:rPr>
        <w:t xml:space="preserve"> </w:t>
      </w:r>
      <w:r w:rsidRPr="00A42F32" w:rsidR="0023711A">
        <w:rPr>
          <w:rFonts w:ascii="Century Schoolbook" w:hAnsi="Century Schoolbook"/>
          <w:bCs/>
          <w:szCs w:val="26"/>
        </w:rPr>
        <w:t xml:space="preserve">right </w:t>
      </w:r>
      <w:r w:rsidR="00F21968">
        <w:rPr>
          <w:rFonts w:ascii="Century Schoolbook" w:hAnsi="Century Schoolbook"/>
          <w:bCs/>
          <w:szCs w:val="26"/>
        </w:rPr>
        <w:t>to</w:t>
      </w:r>
      <w:r w:rsidRPr="00A42F32" w:rsidR="0023711A">
        <w:rPr>
          <w:rFonts w:ascii="Century Schoolbook" w:hAnsi="Century Schoolbook"/>
          <w:bCs/>
          <w:szCs w:val="26"/>
        </w:rPr>
        <w:t xml:space="preserve"> address the court treats </w:t>
      </w:r>
      <w:r w:rsidR="00F21968">
        <w:rPr>
          <w:rFonts w:ascii="Century Schoolbook" w:hAnsi="Century Schoolbook"/>
          <w:bCs/>
          <w:szCs w:val="26"/>
        </w:rPr>
        <w:t>them</w:t>
      </w:r>
      <w:r w:rsidRPr="00A42F32" w:rsidR="0023711A">
        <w:rPr>
          <w:rFonts w:ascii="Century Schoolbook" w:hAnsi="Century Schoolbook"/>
          <w:bCs/>
          <w:szCs w:val="26"/>
        </w:rPr>
        <w:t xml:space="preserve"> with dignity</w:t>
      </w:r>
      <w:r w:rsidR="00413410">
        <w:rPr>
          <w:rFonts w:ascii="Century Schoolbook" w:hAnsi="Century Schoolbook"/>
          <w:bCs/>
          <w:szCs w:val="26"/>
        </w:rPr>
        <w:t xml:space="preserve"> and </w:t>
      </w:r>
      <w:r w:rsidRPr="00A42F32" w:rsidR="0023711A">
        <w:rPr>
          <w:rFonts w:ascii="Century Schoolbook" w:hAnsi="Century Schoolbook"/>
          <w:bCs/>
          <w:szCs w:val="26"/>
        </w:rPr>
        <w:t>recognizes their importance as participants in the case</w:t>
      </w:r>
      <w:r w:rsidR="00413410">
        <w:rPr>
          <w:rFonts w:ascii="Century Schoolbook" w:hAnsi="Century Schoolbook"/>
          <w:bCs/>
          <w:szCs w:val="26"/>
        </w:rPr>
        <w:t>.  (</w:t>
      </w:r>
      <w:r w:rsidRPr="00413410" w:rsidR="00413410">
        <w:rPr>
          <w:rFonts w:ascii="Century Schoolbook" w:hAnsi="Century Schoolbook"/>
          <w:bCs/>
          <w:i/>
          <w:iCs/>
          <w:szCs w:val="26"/>
        </w:rPr>
        <w:t>Ibid</w:t>
      </w:r>
      <w:r w:rsidRPr="0001584F" w:rsidR="00413410">
        <w:rPr>
          <w:rFonts w:ascii="Century Schoolbook" w:hAnsi="Century Schoolbook"/>
          <w:bCs/>
          <w:szCs w:val="26"/>
        </w:rPr>
        <w:t>.</w:t>
      </w:r>
      <w:r w:rsidR="00413410">
        <w:rPr>
          <w:rFonts w:ascii="Century Schoolbook" w:hAnsi="Century Schoolbook"/>
          <w:bCs/>
          <w:szCs w:val="26"/>
        </w:rPr>
        <w:t xml:space="preserve">)  </w:t>
      </w:r>
      <w:bookmarkStart w:id="23" w:name="_Hlk152753553"/>
      <w:r w:rsidR="00C65B8C">
        <w:rPr>
          <w:rFonts w:ascii="Century Schoolbook" w:hAnsi="Century Schoolbook"/>
          <w:bCs/>
          <w:szCs w:val="26"/>
        </w:rPr>
        <w:t xml:space="preserve">It may also </w:t>
      </w:r>
      <w:r w:rsidR="0017332A">
        <w:rPr>
          <w:rFonts w:ascii="Century Schoolbook" w:hAnsi="Century Schoolbook"/>
          <w:bCs/>
          <w:szCs w:val="26"/>
        </w:rPr>
        <w:t xml:space="preserve">serve a </w:t>
      </w:r>
      <w:r w:rsidR="005377AC">
        <w:rPr>
          <w:rFonts w:ascii="Century Schoolbook" w:hAnsi="Century Schoolbook"/>
          <w:bCs/>
          <w:szCs w:val="26"/>
        </w:rPr>
        <w:t xml:space="preserve">healing </w:t>
      </w:r>
      <w:r w:rsidR="0017332A">
        <w:rPr>
          <w:rFonts w:ascii="Century Schoolbook" w:hAnsi="Century Schoolbook"/>
          <w:bCs/>
          <w:szCs w:val="26"/>
        </w:rPr>
        <w:t xml:space="preserve">cathartic effect and reduce </w:t>
      </w:r>
      <w:r w:rsidR="00FA468F">
        <w:rPr>
          <w:rFonts w:ascii="Century Schoolbook" w:hAnsi="Century Schoolbook"/>
          <w:bCs/>
          <w:szCs w:val="26"/>
        </w:rPr>
        <w:t xml:space="preserve">victims’ feelings of depersonalization and bitterness. </w:t>
      </w:r>
      <w:r w:rsidR="00471BAF">
        <w:rPr>
          <w:rFonts w:ascii="Century Schoolbook" w:hAnsi="Century Schoolbook"/>
          <w:bCs/>
          <w:szCs w:val="26"/>
        </w:rPr>
        <w:t xml:space="preserve"> </w:t>
      </w:r>
      <w:r w:rsidRPr="00471BAF" w:rsidR="00471BAF">
        <w:rPr>
          <w:rFonts w:ascii="Century Schoolbook" w:hAnsi="Century Schoolbook"/>
          <w:bCs/>
          <w:szCs w:val="26"/>
        </w:rPr>
        <w:t>(</w:t>
      </w:r>
      <w:r w:rsidR="00C70B3B">
        <w:rPr>
          <w:rFonts w:ascii="Century Schoolbook" w:hAnsi="Century Schoolbook"/>
          <w:bCs/>
          <w:i/>
          <w:iCs/>
          <w:szCs w:val="26"/>
        </w:rPr>
        <w:t xml:space="preserve">United States </w:t>
      </w:r>
      <w:r w:rsidRPr="00471BAF" w:rsidR="00471BAF">
        <w:rPr>
          <w:rFonts w:ascii="Century Schoolbook" w:hAnsi="Century Schoolbook"/>
          <w:bCs/>
          <w:i/>
          <w:iCs/>
          <w:szCs w:val="26"/>
        </w:rPr>
        <w:t xml:space="preserve">v. Blake </w:t>
      </w:r>
      <w:r w:rsidRPr="00471BAF" w:rsidR="00471BAF">
        <w:rPr>
          <w:rFonts w:ascii="Century Schoolbook" w:hAnsi="Century Schoolbook"/>
          <w:bCs/>
          <w:szCs w:val="26"/>
        </w:rPr>
        <w:t xml:space="preserve">(E.D.N.Y. 2000) 89 F.Supp.2d 328, 351; </w:t>
      </w:r>
      <w:r w:rsidRPr="005A3982" w:rsidR="00471BAF">
        <w:rPr>
          <w:rFonts w:ascii="Century Schoolbook" w:hAnsi="Century Schoolbook"/>
          <w:bCs/>
          <w:szCs w:val="26"/>
        </w:rPr>
        <w:t>S</w:t>
      </w:r>
      <w:r w:rsidR="00C70B3B">
        <w:rPr>
          <w:rFonts w:ascii="Century Schoolbook" w:hAnsi="Century Schoolbook"/>
          <w:bCs/>
          <w:szCs w:val="26"/>
        </w:rPr>
        <w:t>en</w:t>
      </w:r>
      <w:r w:rsidRPr="005A3982" w:rsidR="00471BAF">
        <w:rPr>
          <w:rFonts w:ascii="Century Schoolbook" w:hAnsi="Century Schoolbook"/>
          <w:bCs/>
          <w:szCs w:val="26"/>
        </w:rPr>
        <w:t>.R</w:t>
      </w:r>
      <w:r w:rsidRPr="00471BAF" w:rsidR="00471BAF">
        <w:rPr>
          <w:rFonts w:ascii="Century Schoolbook" w:hAnsi="Century Schoolbook"/>
          <w:bCs/>
          <w:szCs w:val="26"/>
        </w:rPr>
        <w:t>ep.</w:t>
      </w:r>
      <w:r w:rsidRPr="005A3982" w:rsidR="00471BAF">
        <w:rPr>
          <w:rFonts w:ascii="Century Schoolbook" w:hAnsi="Century Schoolbook"/>
          <w:bCs/>
          <w:szCs w:val="26"/>
        </w:rPr>
        <w:t xml:space="preserve"> </w:t>
      </w:r>
      <w:r w:rsidR="00C70B3B">
        <w:rPr>
          <w:rFonts w:ascii="Century Schoolbook" w:hAnsi="Century Schoolbook"/>
          <w:bCs/>
          <w:szCs w:val="26"/>
        </w:rPr>
        <w:t xml:space="preserve">No. </w:t>
      </w:r>
      <w:r w:rsidRPr="005A3982" w:rsidR="00471BAF">
        <w:rPr>
          <w:rFonts w:ascii="Century Schoolbook" w:hAnsi="Century Schoolbook"/>
          <w:bCs/>
          <w:szCs w:val="26"/>
        </w:rPr>
        <w:t>105-409</w:t>
      </w:r>
      <w:r w:rsidR="00C70B3B">
        <w:rPr>
          <w:rFonts w:ascii="Century Schoolbook" w:hAnsi="Century Schoolbook"/>
          <w:bCs/>
          <w:szCs w:val="26"/>
        </w:rPr>
        <w:t>, 2d Sess.,</w:t>
      </w:r>
      <w:r w:rsidRPr="00471BAF" w:rsidR="00471BAF">
        <w:rPr>
          <w:rFonts w:ascii="Century Schoolbook" w:hAnsi="Century Schoolbook"/>
          <w:bCs/>
          <w:szCs w:val="26"/>
        </w:rPr>
        <w:t xml:space="preserve"> pp. 17, </w:t>
      </w:r>
      <w:r w:rsidRPr="005A3982" w:rsidR="00471BAF">
        <w:rPr>
          <w:rFonts w:ascii="Century Schoolbook" w:hAnsi="Century Schoolbook"/>
          <w:bCs/>
          <w:szCs w:val="26"/>
        </w:rPr>
        <w:t>28</w:t>
      </w:r>
      <w:r w:rsidRPr="00471BAF" w:rsidR="00471BAF">
        <w:rPr>
          <w:rFonts w:ascii="Century Schoolbook" w:hAnsi="Century Schoolbook"/>
          <w:bCs/>
          <w:szCs w:val="26"/>
        </w:rPr>
        <w:t xml:space="preserve"> (1998) [1998 WL 723953] [Senate report proposing</w:t>
      </w:r>
      <w:r w:rsidR="009508A2">
        <w:rPr>
          <w:rFonts w:ascii="Century Schoolbook" w:hAnsi="Century Schoolbook"/>
          <w:bCs/>
          <w:szCs w:val="26"/>
        </w:rPr>
        <w:t xml:space="preserve"> Constitutional amendment for</w:t>
      </w:r>
      <w:r w:rsidRPr="00471BAF" w:rsidR="00471BAF">
        <w:rPr>
          <w:rFonts w:ascii="Century Schoolbook" w:hAnsi="Century Schoolbook"/>
          <w:bCs/>
          <w:szCs w:val="26"/>
        </w:rPr>
        <w:t xml:space="preserve"> crime victims’ rights];</w:t>
      </w:r>
      <w:r w:rsidR="00A67B95">
        <w:rPr>
          <w:rFonts w:ascii="Century Schoolbook" w:hAnsi="Century Schoolbook"/>
          <w:bCs/>
          <w:szCs w:val="26"/>
        </w:rPr>
        <w:t xml:space="preserve"> </w:t>
      </w:r>
      <w:r w:rsidR="00F54AB7">
        <w:rPr>
          <w:rFonts w:ascii="Century Schoolbook" w:hAnsi="Century Schoolbook"/>
          <w:bCs/>
          <w:szCs w:val="26"/>
        </w:rPr>
        <w:t>Comment</w:t>
      </w:r>
      <w:r w:rsidRPr="00471BAF" w:rsidR="00471BAF">
        <w:rPr>
          <w:rFonts w:ascii="Century Schoolbook" w:hAnsi="Century Schoolbook"/>
          <w:bCs/>
          <w:szCs w:val="26"/>
        </w:rPr>
        <w:t xml:space="preserve">, </w:t>
      </w:r>
      <w:r w:rsidRPr="00471BAF" w:rsidR="00471BAF">
        <w:rPr>
          <w:rFonts w:ascii="Century Schoolbook" w:hAnsi="Century Schoolbook"/>
          <w:bCs/>
          <w:i/>
          <w:iCs/>
          <w:szCs w:val="26"/>
        </w:rPr>
        <w:t>The Larry Nassar Hearings: Victim Impact Statements, Child Sexual Abuse, and the Role of Catharsis in Criminal Law</w:t>
      </w:r>
      <w:r w:rsidRPr="00471BAF" w:rsidR="00471BAF">
        <w:rPr>
          <w:rFonts w:ascii="Century Schoolbook" w:hAnsi="Century Schoolbook"/>
          <w:bCs/>
          <w:szCs w:val="26"/>
        </w:rPr>
        <w:t xml:space="preserve"> (2023) 82 Md. L.Rev. 782, 795-797.)</w:t>
      </w:r>
      <w:bookmarkEnd w:id="23"/>
    </w:p>
    <w:p w:rsidR="0082430F" w14:paraId="2B7A6888" w14:textId="1B7DEBA8">
      <w:pPr>
        <w:tabs>
          <w:tab w:val="left" w:pos="720"/>
        </w:tabs>
        <w:rPr>
          <w:rFonts w:ascii="Century Schoolbook" w:hAnsi="Century Schoolbook"/>
          <w:bCs/>
          <w:szCs w:val="26"/>
        </w:rPr>
      </w:pPr>
      <w:r>
        <w:rPr>
          <w:rFonts w:ascii="Century Schoolbook" w:hAnsi="Century Schoolbook"/>
          <w:bCs/>
          <w:szCs w:val="26"/>
        </w:rPr>
        <w:tab/>
      </w:r>
      <w:r w:rsidRPr="00FC66C3">
        <w:rPr>
          <w:rFonts w:ascii="Century Schoolbook" w:hAnsi="Century Schoolbook"/>
          <w:bCs/>
          <w:szCs w:val="26"/>
        </w:rPr>
        <w:t xml:space="preserve">We are not persuaded by Plains’s contention that it is sufficient to allow victims to be “heard” in writing.  The findings and declarations of Marsy’s Law, which added the victim’s right to be heard to the state Constitution, lamented the prior “failure to provide [crime victims] with an opportunity to </w:t>
      </w:r>
      <w:r w:rsidRPr="00FC66C3">
        <w:rPr>
          <w:rFonts w:ascii="Century Schoolbook" w:hAnsi="Century Schoolbook"/>
          <w:bCs/>
          <w:i/>
          <w:iCs/>
          <w:szCs w:val="26"/>
        </w:rPr>
        <w:t>speak</w:t>
      </w:r>
      <w:r w:rsidRPr="00FC66C3">
        <w:rPr>
          <w:rFonts w:ascii="Century Schoolbook" w:hAnsi="Century Schoolbook"/>
          <w:bCs/>
          <w:szCs w:val="26"/>
        </w:rPr>
        <w:t xml:space="preserve"> and participate.”  (Prop. 9, as approved by voters, Gen. Elect. (Nov. 4, 2008) § 2, ¶ 9, quoted in </w:t>
      </w:r>
      <w:r w:rsidRPr="00FC66C3">
        <w:rPr>
          <w:rFonts w:ascii="Century Schoolbook" w:hAnsi="Century Schoolbook"/>
          <w:bCs/>
          <w:i/>
          <w:iCs/>
          <w:szCs w:val="26"/>
        </w:rPr>
        <w:t>In re Vicks</w:t>
      </w:r>
      <w:r w:rsidR="00474FF6">
        <w:rPr>
          <w:rFonts w:ascii="Century Schoolbook" w:hAnsi="Century Schoolbook"/>
          <w:bCs/>
          <w:szCs w:val="26"/>
        </w:rPr>
        <w:t xml:space="preserve">, </w:t>
      </w:r>
      <w:r w:rsidRPr="0014126F" w:rsidR="00474FF6">
        <w:rPr>
          <w:rFonts w:ascii="Century Schoolbook" w:hAnsi="Century Schoolbook"/>
          <w:bCs/>
          <w:i/>
          <w:iCs/>
          <w:szCs w:val="26"/>
        </w:rPr>
        <w:t>supra</w:t>
      </w:r>
      <w:r w:rsidR="00474FF6">
        <w:rPr>
          <w:rFonts w:ascii="Century Schoolbook" w:hAnsi="Century Schoolbook"/>
          <w:bCs/>
          <w:szCs w:val="26"/>
        </w:rPr>
        <w:t>,</w:t>
      </w:r>
      <w:r w:rsidRPr="00FC66C3">
        <w:rPr>
          <w:rFonts w:ascii="Century Schoolbook" w:hAnsi="Century Schoolbook"/>
          <w:bCs/>
          <w:szCs w:val="26"/>
        </w:rPr>
        <w:t xml:space="preserve"> 56 Cal.4th </w:t>
      </w:r>
      <w:r w:rsidR="00474FF6">
        <w:rPr>
          <w:rFonts w:ascii="Century Schoolbook" w:hAnsi="Century Schoolbook"/>
          <w:bCs/>
          <w:szCs w:val="26"/>
        </w:rPr>
        <w:t>at p.</w:t>
      </w:r>
      <w:r w:rsidRPr="00FC66C3">
        <w:rPr>
          <w:rFonts w:ascii="Century Schoolbook" w:hAnsi="Century Schoolbook"/>
          <w:bCs/>
          <w:szCs w:val="26"/>
        </w:rPr>
        <w:t xml:space="preserve"> 282, italics added.)  </w:t>
      </w:r>
    </w:p>
    <w:p w:rsidR="00FC66C3" w:rsidP="00B26A71" w14:paraId="5DBD6250" w14:textId="22B479EE">
      <w:pPr>
        <w:tabs>
          <w:tab w:val="left" w:pos="720"/>
        </w:tabs>
        <w:rPr>
          <w:rFonts w:ascii="Century Schoolbook" w:hAnsi="Century Schoolbook"/>
          <w:bCs/>
          <w:szCs w:val="26"/>
        </w:rPr>
      </w:pPr>
      <w:r>
        <w:rPr>
          <w:rFonts w:ascii="Century Schoolbook" w:hAnsi="Century Schoolbook"/>
          <w:bCs/>
          <w:szCs w:val="26"/>
        </w:rPr>
        <w:tab/>
      </w:r>
      <w:r w:rsidRPr="00FC66C3">
        <w:rPr>
          <w:rFonts w:ascii="Century Schoolbook" w:hAnsi="Century Schoolbook"/>
          <w:bCs/>
          <w:szCs w:val="26"/>
        </w:rPr>
        <w:t xml:space="preserve">Victims “have the right to appear, personally or by counsel, at the sentencing proceeding and to reasonably express . . . their views concerning the crime, the person responsible, and the need for restitution.”  (Pen. Code, § 1191.1, enacted (with minor wording differences) by Prop. 8, as approved by voters, Primary Elect. (June 8, 1982) § 6; see Pen. Code, § 679.02, subd. (a)(3).)  This provision “mandate[s] a previously optional procedure, to </w:t>
      </w:r>
      <w:r w:rsidRPr="00FC66C3">
        <w:rPr>
          <w:rFonts w:ascii="Century Schoolbook" w:hAnsi="Century Schoolbook"/>
          <w:bCs/>
          <w:i/>
          <w:iCs/>
          <w:szCs w:val="26"/>
        </w:rPr>
        <w:t>require</w:t>
      </w:r>
      <w:r w:rsidRPr="00FC66C3">
        <w:rPr>
          <w:rFonts w:ascii="Century Schoolbook" w:hAnsi="Century Schoolbook"/>
          <w:bCs/>
          <w:szCs w:val="26"/>
        </w:rPr>
        <w:t xml:space="preserve"> the judge to </w:t>
      </w:r>
      <w:r w:rsidRPr="00FC66C3">
        <w:rPr>
          <w:rFonts w:ascii="Century Schoolbook" w:hAnsi="Century Schoolbook"/>
          <w:bCs/>
          <w:i/>
          <w:iCs/>
          <w:szCs w:val="26"/>
        </w:rPr>
        <w:t>listen to</w:t>
      </w:r>
      <w:r w:rsidRPr="00FC66C3">
        <w:rPr>
          <w:rFonts w:ascii="Century Schoolbook" w:hAnsi="Century Schoolbook"/>
          <w:bCs/>
          <w:szCs w:val="26"/>
        </w:rPr>
        <w:t xml:space="preserve"> and consider the views of the victim.”  (</w:t>
      </w:r>
      <w:r w:rsidRPr="00FC66C3">
        <w:rPr>
          <w:rFonts w:ascii="Century Schoolbook" w:hAnsi="Century Schoolbook"/>
          <w:bCs/>
          <w:i/>
          <w:iCs/>
          <w:szCs w:val="26"/>
        </w:rPr>
        <w:t>People v. Zikorus</w:t>
      </w:r>
      <w:r w:rsidRPr="00FC66C3">
        <w:rPr>
          <w:rFonts w:ascii="Century Schoolbook" w:hAnsi="Century Schoolbook"/>
          <w:bCs/>
          <w:szCs w:val="26"/>
        </w:rPr>
        <w:t xml:space="preserve"> (1983) 150 Cal.App.3d 324, 331, second italics added.)</w:t>
      </w:r>
    </w:p>
    <w:p w:rsidR="0023711A" w:rsidP="006032F7" w14:paraId="7D16E16E" w14:textId="3CA4C51D">
      <w:pPr>
        <w:spacing w:line="288" w:lineRule="auto"/>
        <w:ind w:firstLine="720"/>
        <w:rPr>
          <w:rFonts w:ascii="Century Schoolbook" w:hAnsi="Century Schoolbook"/>
          <w:bCs/>
          <w:szCs w:val="26"/>
        </w:rPr>
      </w:pPr>
      <w:r>
        <w:rPr>
          <w:rFonts w:ascii="Century Schoolbook" w:hAnsi="Century Schoolbook"/>
          <w:bCs/>
          <w:szCs w:val="26"/>
        </w:rPr>
        <w:t xml:space="preserve">But we </w:t>
      </w:r>
      <w:bookmarkStart w:id="24" w:name="_Hlk151391640"/>
      <w:r w:rsidR="00FC66C3">
        <w:rPr>
          <w:rFonts w:ascii="Century Schoolbook" w:hAnsi="Century Schoolbook"/>
          <w:bCs/>
          <w:szCs w:val="26"/>
        </w:rPr>
        <w:t>nevertheless conclude t</w:t>
      </w:r>
      <w:r>
        <w:rPr>
          <w:rFonts w:ascii="Century Schoolbook" w:hAnsi="Century Schoolbook"/>
          <w:bCs/>
          <w:szCs w:val="26"/>
        </w:rPr>
        <w:t xml:space="preserve">he error </w:t>
      </w:r>
      <w:r w:rsidR="00782EF5">
        <w:rPr>
          <w:rFonts w:ascii="Century Schoolbook" w:hAnsi="Century Schoolbook"/>
          <w:bCs/>
          <w:szCs w:val="26"/>
        </w:rPr>
        <w:t xml:space="preserve">is harmless because the </w:t>
      </w:r>
      <w:r>
        <w:rPr>
          <w:rFonts w:ascii="Century Schoolbook" w:hAnsi="Century Schoolbook"/>
          <w:bCs/>
          <w:szCs w:val="26"/>
        </w:rPr>
        <w:t xml:space="preserve">Group 3 </w:t>
      </w:r>
      <w:r w:rsidR="00ED2FE0">
        <w:rPr>
          <w:rFonts w:ascii="Century Schoolbook" w:hAnsi="Century Schoolbook"/>
          <w:bCs/>
          <w:szCs w:val="26"/>
        </w:rPr>
        <w:t xml:space="preserve">oil industry </w:t>
      </w:r>
      <w:r>
        <w:rPr>
          <w:rFonts w:ascii="Century Schoolbook" w:hAnsi="Century Schoolbook"/>
          <w:bCs/>
          <w:szCs w:val="26"/>
        </w:rPr>
        <w:t xml:space="preserve">claimants </w:t>
      </w:r>
      <w:r w:rsidR="00DF751B">
        <w:rPr>
          <w:rFonts w:ascii="Century Schoolbook" w:hAnsi="Century Schoolbook"/>
          <w:bCs/>
          <w:szCs w:val="26"/>
        </w:rPr>
        <w:t>are</w:t>
      </w:r>
      <w:bookmarkEnd w:id="24"/>
      <w:r>
        <w:rPr>
          <w:rFonts w:ascii="Century Schoolbook" w:hAnsi="Century Schoolbook"/>
          <w:bCs/>
          <w:szCs w:val="26"/>
        </w:rPr>
        <w:t xml:space="preserve"> not entitled to restitution as a matter of law. </w:t>
      </w:r>
      <w:r w:rsidR="002B0E5B">
        <w:rPr>
          <w:rFonts w:ascii="Century Schoolbook" w:hAnsi="Century Schoolbook"/>
          <w:bCs/>
          <w:szCs w:val="26"/>
        </w:rPr>
        <w:t xml:space="preserve"> </w:t>
      </w:r>
      <w:r w:rsidR="00FC66C3">
        <w:rPr>
          <w:rFonts w:ascii="Century Schoolbook" w:hAnsi="Century Schoolbook"/>
          <w:bCs/>
          <w:szCs w:val="26"/>
        </w:rPr>
        <w:t>Thus, i</w:t>
      </w:r>
      <w:r w:rsidR="00323E5E">
        <w:rPr>
          <w:rFonts w:ascii="Century Schoolbook" w:hAnsi="Century Schoolbook"/>
          <w:bCs/>
          <w:szCs w:val="26"/>
        </w:rPr>
        <w:t xml:space="preserve">n the </w:t>
      </w:r>
      <w:r w:rsidR="00AC0010">
        <w:rPr>
          <w:rFonts w:ascii="Century Schoolbook" w:hAnsi="Century Schoolbook"/>
          <w:bCs/>
          <w:szCs w:val="26"/>
        </w:rPr>
        <w:t xml:space="preserve">specific circumstances of this case, </w:t>
      </w:r>
      <w:r w:rsidR="00E835D3">
        <w:rPr>
          <w:rFonts w:ascii="Century Schoolbook" w:hAnsi="Century Schoolbook"/>
          <w:bCs/>
          <w:szCs w:val="26"/>
        </w:rPr>
        <w:t xml:space="preserve">the </w:t>
      </w:r>
      <w:r>
        <w:rPr>
          <w:rFonts w:ascii="Century Schoolbook" w:hAnsi="Century Schoolbook"/>
          <w:bCs/>
          <w:szCs w:val="26"/>
        </w:rPr>
        <w:t xml:space="preserve">failure to allow oral victim impact statements </w:t>
      </w:r>
      <w:r w:rsidR="00A57C0F">
        <w:rPr>
          <w:rFonts w:ascii="Century Schoolbook" w:hAnsi="Century Schoolbook"/>
          <w:bCs/>
          <w:szCs w:val="26"/>
        </w:rPr>
        <w:t xml:space="preserve">by oil industry claimants </w:t>
      </w:r>
      <w:r>
        <w:rPr>
          <w:rFonts w:ascii="Century Schoolbook" w:hAnsi="Century Schoolbook"/>
          <w:bCs/>
          <w:szCs w:val="26"/>
        </w:rPr>
        <w:t>does not form a basis for reversal</w:t>
      </w:r>
      <w:r w:rsidR="0064591D">
        <w:rPr>
          <w:rFonts w:ascii="Century Schoolbook" w:hAnsi="Century Schoolbook"/>
          <w:bCs/>
          <w:szCs w:val="26"/>
        </w:rPr>
        <w:t xml:space="preserve"> or writ relief</w:t>
      </w:r>
      <w:r>
        <w:rPr>
          <w:rFonts w:ascii="Century Schoolbook" w:hAnsi="Century Schoolbook"/>
          <w:bCs/>
          <w:szCs w:val="26"/>
        </w:rPr>
        <w:t xml:space="preserve">. </w:t>
      </w:r>
      <w:r w:rsidR="002B0E5B">
        <w:rPr>
          <w:rFonts w:ascii="Century Schoolbook" w:hAnsi="Century Schoolbook"/>
          <w:bCs/>
          <w:szCs w:val="26"/>
        </w:rPr>
        <w:t xml:space="preserve"> On remand, however, the court must allow the </w:t>
      </w:r>
      <w:r w:rsidR="005E34D5">
        <w:rPr>
          <w:rFonts w:ascii="Century Schoolbook" w:hAnsi="Century Schoolbook"/>
          <w:bCs/>
          <w:szCs w:val="26"/>
        </w:rPr>
        <w:t xml:space="preserve">four </w:t>
      </w:r>
      <w:r w:rsidR="00555B15">
        <w:rPr>
          <w:rFonts w:ascii="Century Schoolbook" w:hAnsi="Century Schoolbook"/>
          <w:bCs/>
          <w:szCs w:val="26"/>
        </w:rPr>
        <w:t xml:space="preserve">Group 2 </w:t>
      </w:r>
      <w:r w:rsidR="002B0E5B">
        <w:rPr>
          <w:rFonts w:ascii="Century Schoolbook" w:hAnsi="Century Schoolbook"/>
          <w:bCs/>
          <w:szCs w:val="26"/>
        </w:rPr>
        <w:t>claimants</w:t>
      </w:r>
      <w:r w:rsidR="00754607">
        <w:rPr>
          <w:rFonts w:ascii="Century Schoolbook" w:hAnsi="Century Schoolbook"/>
          <w:bCs/>
          <w:szCs w:val="26"/>
        </w:rPr>
        <w:t xml:space="preserve"> </w:t>
      </w:r>
      <w:r w:rsidR="002B0E5B">
        <w:rPr>
          <w:rFonts w:ascii="Century Schoolbook" w:hAnsi="Century Schoolbook"/>
          <w:bCs/>
          <w:szCs w:val="26"/>
        </w:rPr>
        <w:t xml:space="preserve">whose restitution </w:t>
      </w:r>
      <w:r w:rsidR="004E1BA7">
        <w:rPr>
          <w:rFonts w:ascii="Century Schoolbook" w:hAnsi="Century Schoolbook"/>
          <w:bCs/>
          <w:szCs w:val="26"/>
        </w:rPr>
        <w:t xml:space="preserve">is at issue to make oral </w:t>
      </w:r>
      <w:r>
        <w:rPr>
          <w:rFonts w:ascii="Century Schoolbook" w:hAnsi="Century Schoolbook"/>
          <w:bCs/>
          <w:szCs w:val="26"/>
        </w:rPr>
        <w:t xml:space="preserve">impact </w:t>
      </w:r>
      <w:r w:rsidR="004E1BA7">
        <w:rPr>
          <w:rFonts w:ascii="Century Schoolbook" w:hAnsi="Century Schoolbook"/>
          <w:bCs/>
          <w:szCs w:val="26"/>
        </w:rPr>
        <w:t xml:space="preserve">statements if </w:t>
      </w:r>
      <w:r w:rsidR="008F580D">
        <w:rPr>
          <w:rFonts w:ascii="Century Schoolbook" w:hAnsi="Century Schoolbook"/>
          <w:bCs/>
          <w:szCs w:val="26"/>
        </w:rPr>
        <w:t>requested</w:t>
      </w:r>
      <w:r w:rsidR="004E1BA7">
        <w:rPr>
          <w:rFonts w:ascii="Century Schoolbook" w:hAnsi="Century Schoolbook"/>
          <w:bCs/>
          <w:szCs w:val="26"/>
        </w:rPr>
        <w:t>.</w:t>
      </w:r>
      <w:bookmarkEnd w:id="19"/>
      <w:r w:rsidR="00FC66C3">
        <w:rPr>
          <w:rFonts w:ascii="Century Schoolbook" w:hAnsi="Century Schoolbook"/>
          <w:bCs/>
          <w:szCs w:val="26"/>
        </w:rPr>
        <w:t xml:space="preserve">  </w:t>
      </w:r>
    </w:p>
    <w:bookmarkEnd w:id="21"/>
    <w:p w:rsidR="0059207B" w:rsidRPr="0059207B" w:rsidP="0059207B" w14:paraId="00980367" w14:textId="63446843">
      <w:pPr>
        <w:spacing w:line="288" w:lineRule="auto"/>
        <w:jc w:val="center"/>
        <w:rPr>
          <w:rStyle w:val="PageNumber"/>
          <w:rFonts w:ascii="Century Schoolbook" w:hAnsi="Century Schoolbook"/>
          <w:i/>
          <w:iCs/>
          <w:sz w:val="26"/>
          <w:szCs w:val="26"/>
        </w:rPr>
      </w:pPr>
      <w:r w:rsidRPr="0059207B">
        <w:rPr>
          <w:rFonts w:ascii="Century Schoolbook" w:hAnsi="Century Schoolbook"/>
          <w:i/>
          <w:iCs/>
          <w:szCs w:val="26"/>
        </w:rPr>
        <w:t>Conclusion</w:t>
      </w:r>
    </w:p>
    <w:p w:rsidR="00111407" w:rsidRPr="00395E41" w:rsidP="006032F7" w14:paraId="0E06D280" w14:textId="48C647C0">
      <w:pPr>
        <w:spacing w:line="288" w:lineRule="auto"/>
        <w:rPr>
          <w:rFonts w:ascii="Century Schoolbook" w:hAnsi="Century Schoolbook"/>
          <w:bCs/>
          <w:szCs w:val="26"/>
        </w:rPr>
      </w:pPr>
      <w:r>
        <w:rPr>
          <w:rFonts w:ascii="Century Schoolbook" w:hAnsi="Century Schoolbook"/>
          <w:bCs/>
          <w:szCs w:val="26"/>
        </w:rPr>
        <w:tab/>
      </w:r>
      <w:r w:rsidR="00555B15">
        <w:rPr>
          <w:rFonts w:ascii="Century Schoolbook" w:hAnsi="Century Schoolbook"/>
          <w:bCs/>
          <w:szCs w:val="26"/>
        </w:rPr>
        <w:t>The</w:t>
      </w:r>
      <w:r w:rsidR="00661645">
        <w:rPr>
          <w:rFonts w:ascii="Century Schoolbook" w:hAnsi="Century Schoolbook"/>
          <w:bCs/>
          <w:szCs w:val="26"/>
        </w:rPr>
        <w:t xml:space="preserve"> trial</w:t>
      </w:r>
      <w:r w:rsidR="00555B15">
        <w:rPr>
          <w:rFonts w:ascii="Century Schoolbook" w:hAnsi="Century Schoolbook"/>
          <w:bCs/>
          <w:szCs w:val="26"/>
        </w:rPr>
        <w:t xml:space="preserve"> court properly denied restitution to the </w:t>
      </w:r>
      <w:r w:rsidR="00ED2FE0">
        <w:rPr>
          <w:rFonts w:ascii="Century Schoolbook" w:hAnsi="Century Schoolbook"/>
          <w:bCs/>
          <w:szCs w:val="26"/>
        </w:rPr>
        <w:t>Group</w:t>
      </w:r>
      <w:r w:rsidR="00555B15">
        <w:rPr>
          <w:rFonts w:ascii="Century Schoolbook" w:hAnsi="Century Schoolbook"/>
          <w:bCs/>
          <w:szCs w:val="26"/>
        </w:rPr>
        <w:t xml:space="preserve"> 3 </w:t>
      </w:r>
      <w:r w:rsidR="00ED2FE0">
        <w:rPr>
          <w:rFonts w:ascii="Century Schoolbook" w:hAnsi="Century Schoolbook"/>
          <w:bCs/>
          <w:szCs w:val="26"/>
        </w:rPr>
        <w:t xml:space="preserve">oil industry </w:t>
      </w:r>
      <w:r w:rsidR="00555B15">
        <w:rPr>
          <w:rFonts w:ascii="Century Schoolbook" w:hAnsi="Century Schoolbook"/>
          <w:bCs/>
          <w:szCs w:val="26"/>
        </w:rPr>
        <w:t xml:space="preserve">claimants as a matter of law.  </w:t>
      </w:r>
      <w:r w:rsidR="00654015">
        <w:rPr>
          <w:rFonts w:ascii="Century Schoolbook" w:hAnsi="Century Schoolbook"/>
          <w:bCs/>
          <w:szCs w:val="26"/>
        </w:rPr>
        <w:t xml:space="preserve">The court properly denied restitution </w:t>
      </w:r>
      <w:r w:rsidR="00C821A9">
        <w:rPr>
          <w:rFonts w:ascii="Century Schoolbook" w:hAnsi="Century Schoolbook"/>
          <w:bCs/>
          <w:szCs w:val="26"/>
        </w:rPr>
        <w:t xml:space="preserve">to unidentified members of </w:t>
      </w:r>
      <w:r w:rsidR="00654015">
        <w:rPr>
          <w:rFonts w:ascii="Century Schoolbook" w:hAnsi="Century Schoolbook"/>
          <w:bCs/>
          <w:szCs w:val="26"/>
        </w:rPr>
        <w:t xml:space="preserve">Group </w:t>
      </w:r>
      <w:r w:rsidR="002F59E7">
        <w:rPr>
          <w:rFonts w:ascii="Century Schoolbook" w:hAnsi="Century Schoolbook"/>
          <w:bCs/>
          <w:szCs w:val="26"/>
        </w:rPr>
        <w:t>2</w:t>
      </w:r>
      <w:r w:rsidR="00654015">
        <w:rPr>
          <w:rFonts w:ascii="Century Schoolbook" w:hAnsi="Century Schoolbook"/>
          <w:bCs/>
          <w:szCs w:val="26"/>
        </w:rPr>
        <w:t xml:space="preserve"> </w:t>
      </w:r>
      <w:r w:rsidR="00ED2FE0">
        <w:rPr>
          <w:rFonts w:ascii="Century Schoolbook" w:hAnsi="Century Schoolbook"/>
          <w:bCs/>
          <w:szCs w:val="26"/>
        </w:rPr>
        <w:t xml:space="preserve">fisher </w:t>
      </w:r>
      <w:r w:rsidR="00654015">
        <w:rPr>
          <w:rFonts w:ascii="Century Schoolbook" w:hAnsi="Century Schoolbook"/>
          <w:bCs/>
          <w:szCs w:val="26"/>
        </w:rPr>
        <w:t>claimants on a</w:t>
      </w:r>
      <w:r w:rsidR="00E835D3">
        <w:rPr>
          <w:rFonts w:ascii="Century Schoolbook" w:hAnsi="Century Schoolbook"/>
          <w:bCs/>
          <w:szCs w:val="26"/>
        </w:rPr>
        <w:t>n</w:t>
      </w:r>
      <w:r w:rsidR="00654015">
        <w:rPr>
          <w:rFonts w:ascii="Century Schoolbook" w:hAnsi="Century Schoolbook"/>
          <w:bCs/>
          <w:szCs w:val="26"/>
        </w:rPr>
        <w:t xml:space="preserve"> </w:t>
      </w:r>
      <w:r w:rsidR="00E835D3">
        <w:rPr>
          <w:rFonts w:ascii="Century Schoolbook" w:hAnsi="Century Schoolbook"/>
          <w:bCs/>
          <w:szCs w:val="26"/>
        </w:rPr>
        <w:t>aggregate</w:t>
      </w:r>
      <w:r w:rsidR="00654015">
        <w:rPr>
          <w:rFonts w:ascii="Century Schoolbook" w:hAnsi="Century Schoolbook"/>
          <w:bCs/>
          <w:szCs w:val="26"/>
        </w:rPr>
        <w:t xml:space="preserve"> basis.  </w:t>
      </w:r>
      <w:r>
        <w:rPr>
          <w:rFonts w:ascii="Century Schoolbook" w:hAnsi="Century Schoolbook"/>
          <w:bCs/>
          <w:szCs w:val="26"/>
        </w:rPr>
        <w:t xml:space="preserve">As to the </w:t>
      </w:r>
      <w:r w:rsidR="00673877">
        <w:rPr>
          <w:rFonts w:ascii="Century Schoolbook" w:hAnsi="Century Schoolbook"/>
          <w:bCs/>
          <w:szCs w:val="26"/>
        </w:rPr>
        <w:t xml:space="preserve">four </w:t>
      </w:r>
      <w:r w:rsidR="008A0802">
        <w:rPr>
          <w:rFonts w:ascii="Century Schoolbook" w:hAnsi="Century Schoolbook"/>
          <w:bCs/>
          <w:szCs w:val="26"/>
        </w:rPr>
        <w:t xml:space="preserve">specific </w:t>
      </w:r>
      <w:r w:rsidR="001F752B">
        <w:rPr>
          <w:rFonts w:ascii="Century Schoolbook" w:hAnsi="Century Schoolbook"/>
          <w:bCs/>
          <w:szCs w:val="26"/>
        </w:rPr>
        <w:t xml:space="preserve">Group 2 </w:t>
      </w:r>
      <w:r w:rsidR="00ED2FE0">
        <w:rPr>
          <w:rFonts w:ascii="Century Schoolbook" w:hAnsi="Century Schoolbook"/>
          <w:bCs/>
          <w:szCs w:val="26"/>
        </w:rPr>
        <w:t xml:space="preserve">fisher </w:t>
      </w:r>
      <w:r w:rsidR="00555B15">
        <w:rPr>
          <w:rFonts w:ascii="Century Schoolbook" w:hAnsi="Century Schoolbook"/>
          <w:bCs/>
          <w:szCs w:val="26"/>
        </w:rPr>
        <w:t>claims</w:t>
      </w:r>
      <w:r w:rsidR="006E12BE">
        <w:rPr>
          <w:rFonts w:ascii="Century Schoolbook" w:hAnsi="Century Schoolbook"/>
          <w:bCs/>
          <w:szCs w:val="26"/>
        </w:rPr>
        <w:t xml:space="preserve"> </w:t>
      </w:r>
      <w:r w:rsidR="000A7AD2">
        <w:rPr>
          <w:rFonts w:ascii="Century Schoolbook" w:hAnsi="Century Schoolbook"/>
          <w:bCs/>
          <w:szCs w:val="26"/>
        </w:rPr>
        <w:t xml:space="preserve">identified above, </w:t>
      </w:r>
      <w:r w:rsidR="006E12BE">
        <w:rPr>
          <w:rFonts w:ascii="Century Schoolbook" w:hAnsi="Century Schoolbook"/>
          <w:bCs/>
          <w:szCs w:val="26"/>
        </w:rPr>
        <w:t xml:space="preserve">the court must </w:t>
      </w:r>
      <w:r w:rsidR="00A20242">
        <w:rPr>
          <w:rFonts w:ascii="Century Schoolbook" w:hAnsi="Century Schoolbook"/>
          <w:bCs/>
          <w:szCs w:val="26"/>
        </w:rPr>
        <w:t>order full restitution for e</w:t>
      </w:r>
      <w:r w:rsidRPr="00395E41" w:rsidR="00D71A88">
        <w:rPr>
          <w:rFonts w:ascii="Century Schoolbook" w:hAnsi="Century Schoolbook"/>
          <w:szCs w:val="26"/>
        </w:rPr>
        <w:t xml:space="preserve">conomic loss </w:t>
      </w:r>
      <w:r w:rsidR="00A20242">
        <w:rPr>
          <w:rFonts w:ascii="Century Schoolbook" w:hAnsi="Century Schoolbook"/>
          <w:szCs w:val="26"/>
        </w:rPr>
        <w:t xml:space="preserve">suffered </w:t>
      </w:r>
      <w:r w:rsidRPr="00395E41" w:rsidR="00D71A88">
        <w:rPr>
          <w:rFonts w:ascii="Century Schoolbook" w:hAnsi="Century Schoolbook"/>
          <w:szCs w:val="26"/>
        </w:rPr>
        <w:t xml:space="preserve">as a result of the </w:t>
      </w:r>
      <w:r w:rsidR="007B4E41">
        <w:rPr>
          <w:rFonts w:ascii="Century Schoolbook" w:hAnsi="Century Schoolbook"/>
          <w:szCs w:val="26"/>
        </w:rPr>
        <w:t>crime</w:t>
      </w:r>
      <w:r w:rsidR="00CD2DEF">
        <w:rPr>
          <w:rFonts w:ascii="Century Schoolbook" w:hAnsi="Century Schoolbook"/>
          <w:szCs w:val="26"/>
        </w:rPr>
        <w:t xml:space="preserve">. </w:t>
      </w:r>
      <w:r w:rsidRPr="00395E41" w:rsidR="00D71A88">
        <w:rPr>
          <w:rFonts w:ascii="Century Schoolbook" w:hAnsi="Century Schoolbook"/>
          <w:szCs w:val="26"/>
        </w:rPr>
        <w:t xml:space="preserve"> (</w:t>
      </w:r>
      <w:r w:rsidR="00B60872">
        <w:rPr>
          <w:rFonts w:ascii="Century Schoolbook" w:hAnsi="Century Schoolbook"/>
          <w:szCs w:val="26"/>
        </w:rPr>
        <w:t xml:space="preserve">Pen. Code, </w:t>
      </w:r>
      <w:r w:rsidRPr="00395E41" w:rsidR="00D71A88">
        <w:rPr>
          <w:rFonts w:ascii="Century Schoolbook" w:hAnsi="Century Schoolbook"/>
          <w:szCs w:val="26"/>
        </w:rPr>
        <w:t>§</w:t>
      </w:r>
      <w:r w:rsidR="00137087">
        <w:rPr>
          <w:rFonts w:ascii="Century Schoolbook" w:hAnsi="Century Schoolbook"/>
          <w:szCs w:val="26"/>
        </w:rPr>
        <w:t> </w:t>
      </w:r>
      <w:r w:rsidRPr="00395E41" w:rsidR="00D71A88">
        <w:rPr>
          <w:rFonts w:ascii="Century Schoolbook" w:hAnsi="Century Schoolbook"/>
          <w:szCs w:val="26"/>
        </w:rPr>
        <w:t>1202</w:t>
      </w:r>
      <w:r w:rsidR="00D71A88">
        <w:rPr>
          <w:rFonts w:ascii="Century Schoolbook" w:hAnsi="Century Schoolbook"/>
          <w:szCs w:val="26"/>
        </w:rPr>
        <w:t>.</w:t>
      </w:r>
      <w:r w:rsidRPr="00395E41" w:rsidR="00D71A88">
        <w:rPr>
          <w:rFonts w:ascii="Century Schoolbook" w:hAnsi="Century Schoolbook"/>
          <w:szCs w:val="26"/>
        </w:rPr>
        <w:t>4, subd. (f).)</w:t>
      </w:r>
      <w:r>
        <w:rPr>
          <w:rStyle w:val="FootnoteReference"/>
        </w:rPr>
        <w:footnoteReference w:id="10"/>
      </w:r>
      <w:r w:rsidRPr="005A6A2C" w:rsidR="00CD2DEF">
        <w:rPr>
          <w:rFonts w:ascii="Century Schoolbook" w:hAnsi="Century Schoolbook"/>
          <w:sz w:val="20"/>
        </w:rPr>
        <w:t xml:space="preserve"> </w:t>
      </w:r>
    </w:p>
    <w:p w:rsidR="00701ABE" w:rsidRPr="00C848FF" w:rsidP="00CA4558" w14:paraId="52AD197A" w14:textId="0747C674">
      <w:pPr>
        <w:keepNext/>
        <w:widowControl/>
        <w:spacing w:line="288" w:lineRule="auto"/>
        <w:jc w:val="center"/>
        <w:rPr>
          <w:rFonts w:ascii="Century Schoolbook" w:hAnsi="Century Schoolbook"/>
          <w:szCs w:val="26"/>
        </w:rPr>
      </w:pPr>
      <w:r w:rsidRPr="00C848FF">
        <w:rPr>
          <w:rFonts w:ascii="Century Schoolbook" w:hAnsi="Century Schoolbook"/>
          <w:szCs w:val="26"/>
        </w:rPr>
        <w:t>DISPOSITION</w:t>
      </w:r>
    </w:p>
    <w:p w:rsidR="00EF7957" w:rsidP="00CA4558" w14:paraId="057E03D3" w14:textId="21491E5F">
      <w:pPr>
        <w:keepNext/>
        <w:widowControl/>
        <w:spacing w:line="288" w:lineRule="auto"/>
        <w:ind w:firstLine="720"/>
        <w:rPr>
          <w:rStyle w:val="PageNumber"/>
          <w:rFonts w:ascii="Century Schoolbook" w:hAnsi="Century Schoolbook"/>
          <w:sz w:val="26"/>
          <w:szCs w:val="26"/>
        </w:rPr>
      </w:pPr>
      <w:r w:rsidRPr="00395E41">
        <w:rPr>
          <w:rStyle w:val="PageNumber"/>
          <w:rFonts w:ascii="Century Schoolbook" w:hAnsi="Century Schoolbook"/>
          <w:sz w:val="26"/>
          <w:szCs w:val="26"/>
        </w:rPr>
        <w:t xml:space="preserve">We </w:t>
      </w:r>
      <w:r w:rsidR="00E3624A">
        <w:rPr>
          <w:rStyle w:val="PageNumber"/>
          <w:rFonts w:ascii="Century Schoolbook" w:hAnsi="Century Schoolbook"/>
          <w:sz w:val="26"/>
          <w:szCs w:val="26"/>
        </w:rPr>
        <w:t xml:space="preserve">reverse the denial of restitution to the </w:t>
      </w:r>
      <w:r w:rsidR="006B7B6A">
        <w:rPr>
          <w:rStyle w:val="PageNumber"/>
          <w:rFonts w:ascii="Century Schoolbook" w:hAnsi="Century Schoolbook"/>
          <w:sz w:val="26"/>
          <w:szCs w:val="26"/>
        </w:rPr>
        <w:t xml:space="preserve">four </w:t>
      </w:r>
      <w:r w:rsidR="00ED2FE0">
        <w:rPr>
          <w:rStyle w:val="PageNumber"/>
          <w:rFonts w:ascii="Century Schoolbook" w:hAnsi="Century Schoolbook"/>
          <w:sz w:val="26"/>
          <w:szCs w:val="26"/>
        </w:rPr>
        <w:t>Group</w:t>
      </w:r>
      <w:r w:rsidR="00E3624A">
        <w:rPr>
          <w:rStyle w:val="PageNumber"/>
          <w:rFonts w:ascii="Century Schoolbook" w:hAnsi="Century Schoolbook"/>
          <w:sz w:val="26"/>
          <w:szCs w:val="26"/>
        </w:rPr>
        <w:t xml:space="preserve"> 2 </w:t>
      </w:r>
      <w:r w:rsidR="00B66A50">
        <w:rPr>
          <w:rStyle w:val="PageNumber"/>
          <w:rFonts w:ascii="Century Schoolbook" w:hAnsi="Century Schoolbook"/>
          <w:sz w:val="26"/>
          <w:szCs w:val="26"/>
        </w:rPr>
        <w:t xml:space="preserve">claimants </w:t>
      </w:r>
      <w:r w:rsidR="00E3624A">
        <w:rPr>
          <w:rStyle w:val="PageNumber"/>
          <w:rFonts w:ascii="Century Schoolbook" w:hAnsi="Century Schoolbook"/>
          <w:sz w:val="26"/>
          <w:szCs w:val="26"/>
        </w:rPr>
        <w:t xml:space="preserve">identified above and </w:t>
      </w:r>
      <w:r w:rsidRPr="00395E41">
        <w:rPr>
          <w:rStyle w:val="PageNumber"/>
          <w:rFonts w:ascii="Century Schoolbook" w:hAnsi="Century Schoolbook"/>
          <w:sz w:val="26"/>
          <w:szCs w:val="26"/>
        </w:rPr>
        <w:t xml:space="preserve">remand </w:t>
      </w:r>
      <w:r w:rsidR="002D12AF">
        <w:rPr>
          <w:rStyle w:val="PageNumber"/>
          <w:rFonts w:ascii="Century Schoolbook" w:hAnsi="Century Schoolbook"/>
          <w:sz w:val="26"/>
          <w:szCs w:val="26"/>
        </w:rPr>
        <w:t>for</w:t>
      </w:r>
      <w:r w:rsidRPr="00395E41">
        <w:rPr>
          <w:rStyle w:val="PageNumber"/>
          <w:rFonts w:ascii="Century Schoolbook" w:hAnsi="Century Schoolbook"/>
          <w:sz w:val="26"/>
          <w:szCs w:val="26"/>
        </w:rPr>
        <w:t xml:space="preserve"> the trial court to determine</w:t>
      </w:r>
      <w:r w:rsidR="002D12AF">
        <w:rPr>
          <w:rStyle w:val="PageNumber"/>
          <w:rFonts w:ascii="Century Schoolbook" w:hAnsi="Century Schoolbook"/>
          <w:sz w:val="26"/>
          <w:szCs w:val="26"/>
        </w:rPr>
        <w:t xml:space="preserve"> their right to restitution </w:t>
      </w:r>
      <w:r w:rsidRPr="00395E41">
        <w:rPr>
          <w:rStyle w:val="PageNumber"/>
          <w:rFonts w:ascii="Century Schoolbook" w:hAnsi="Century Schoolbook"/>
          <w:sz w:val="26"/>
          <w:szCs w:val="26"/>
        </w:rPr>
        <w:t>in accordance with the principles stated in this decision.</w:t>
      </w:r>
      <w:r w:rsidR="007856B1">
        <w:rPr>
          <w:rStyle w:val="PageNumber"/>
          <w:rFonts w:ascii="Century Schoolbook" w:hAnsi="Century Schoolbook"/>
          <w:sz w:val="26"/>
          <w:szCs w:val="26"/>
        </w:rPr>
        <w:t xml:space="preserve"> </w:t>
      </w:r>
      <w:r w:rsidR="002D12AF">
        <w:rPr>
          <w:rStyle w:val="PageNumber"/>
          <w:rFonts w:ascii="Century Schoolbook" w:hAnsi="Century Schoolbook"/>
          <w:sz w:val="26"/>
          <w:szCs w:val="26"/>
        </w:rPr>
        <w:t xml:space="preserve"> In all other respects, the </w:t>
      </w:r>
      <w:r w:rsidR="008B2F3C">
        <w:rPr>
          <w:rStyle w:val="PageNumber"/>
          <w:rFonts w:ascii="Century Schoolbook" w:hAnsi="Century Schoolbook"/>
          <w:sz w:val="26"/>
          <w:szCs w:val="26"/>
        </w:rPr>
        <w:t>restitution orders are affirmed.</w:t>
      </w:r>
    </w:p>
    <w:p w:rsidR="00D15942" w:rsidRPr="00395E41" w:rsidP="001F752B" w14:paraId="7B674079" w14:textId="38C2F9F5">
      <w:pPr>
        <w:spacing w:line="288" w:lineRule="auto"/>
        <w:ind w:firstLine="720"/>
        <w:rPr>
          <w:rStyle w:val="PageNumber"/>
          <w:rFonts w:ascii="Century Schoolbook" w:hAnsi="Century Schoolbook"/>
          <w:sz w:val="26"/>
          <w:szCs w:val="26"/>
        </w:rPr>
      </w:pPr>
      <w:r w:rsidRPr="00D15942">
        <w:rPr>
          <w:rFonts w:ascii="Century Schoolbook" w:hAnsi="Century Schoolbook"/>
          <w:bCs/>
          <w:szCs w:val="26"/>
        </w:rPr>
        <w:t>The petition for writ of mandate is denied and the order to show cause is discharged.  Each party shall bear its own costs.</w:t>
      </w:r>
    </w:p>
    <w:p w:rsidR="00575574" w:rsidP="00561190" w14:paraId="4A565DD8" w14:textId="287FF03C">
      <w:pPr>
        <w:spacing w:line="288" w:lineRule="auto"/>
        <w:ind w:firstLine="720"/>
        <w:rPr>
          <w:rFonts w:ascii="Century Schoolbook" w:hAnsi="Century Schoolbook"/>
          <w:szCs w:val="26"/>
        </w:rPr>
      </w:pPr>
      <w:r>
        <w:rPr>
          <w:rFonts w:ascii="Century Schoolbook" w:hAnsi="Century Schoolbook"/>
          <w:szCs w:val="26"/>
          <w:u w:val="single"/>
        </w:rPr>
        <w:t>CERTIFIED FOR PUBLICATION.</w:t>
      </w:r>
    </w:p>
    <w:p w:rsidR="00575574" w:rsidRPr="00395E41" w:rsidP="002D5A35" w14:paraId="3334520C" w14:textId="4F300457">
      <w:pPr>
        <w:spacing w:line="288" w:lineRule="auto"/>
        <w:rPr>
          <w:rFonts w:ascii="Century Schoolbook" w:hAnsi="Century Schoolbook"/>
          <w:szCs w:val="26"/>
        </w:rPr>
      </w:pPr>
    </w:p>
    <w:p w:rsidR="00575574" w:rsidP="00B51EDE" w14:paraId="793C5D9D" w14:textId="77777777">
      <w:pPr>
        <w:spacing w:line="288" w:lineRule="auto"/>
        <w:rPr>
          <w:rFonts w:ascii="Century Schoolbook" w:hAnsi="Century Schoolbook"/>
          <w:szCs w:val="26"/>
        </w:rPr>
      </w:pPr>
    </w:p>
    <w:p w:rsidR="00B51EDE" w:rsidRPr="00395E41" w:rsidP="00B51EDE" w14:paraId="12F5D406" w14:textId="77777777">
      <w:pPr>
        <w:spacing w:line="288" w:lineRule="auto"/>
        <w:rPr>
          <w:rFonts w:ascii="Century Schoolbook" w:hAnsi="Century Schoolbook"/>
          <w:szCs w:val="26"/>
        </w:rPr>
      </w:pPr>
    </w:p>
    <w:p w:rsidR="00575574" w:rsidP="000A0DC5" w14:paraId="05F4B730" w14:textId="00234F95">
      <w:pPr>
        <w:spacing w:line="288" w:lineRule="auto"/>
        <w:ind w:firstLine="720"/>
        <w:rPr>
          <w:rFonts w:ascii="Century Schoolbook" w:hAnsi="Century Schoolbook"/>
          <w:szCs w:val="26"/>
        </w:rPr>
      </w:pPr>
      <w:r w:rsidRPr="00395E41">
        <w:rPr>
          <w:rFonts w:ascii="Century Schoolbook" w:hAnsi="Century Schoolbook"/>
          <w:szCs w:val="26"/>
        </w:rPr>
        <w:tab/>
      </w:r>
      <w:r w:rsidRPr="00395E41">
        <w:rPr>
          <w:rFonts w:ascii="Century Schoolbook" w:hAnsi="Century Schoolbook"/>
          <w:szCs w:val="26"/>
        </w:rPr>
        <w:tab/>
      </w:r>
      <w:r w:rsidRPr="00395E41">
        <w:rPr>
          <w:rFonts w:ascii="Century Schoolbook" w:hAnsi="Century Schoolbook"/>
          <w:szCs w:val="26"/>
        </w:rPr>
        <w:tab/>
      </w:r>
      <w:r w:rsidR="00FE6747">
        <w:rPr>
          <w:rFonts w:ascii="Century Schoolbook" w:hAnsi="Century Schoolbook"/>
          <w:szCs w:val="26"/>
        </w:rPr>
        <w:tab/>
      </w:r>
      <w:r w:rsidR="00FE6747">
        <w:rPr>
          <w:rFonts w:ascii="Century Schoolbook" w:hAnsi="Century Schoolbook"/>
          <w:szCs w:val="26"/>
        </w:rPr>
        <w:tab/>
      </w:r>
      <w:r w:rsidRPr="00395E41">
        <w:rPr>
          <w:rFonts w:ascii="Century Schoolbook" w:hAnsi="Century Schoolbook"/>
          <w:szCs w:val="26"/>
        </w:rPr>
        <w:t>BALTODANO, J.</w:t>
      </w:r>
    </w:p>
    <w:p w:rsidR="00B51EDE" w:rsidRPr="00395E41" w:rsidP="00575574" w14:paraId="7FD86D43" w14:textId="77777777">
      <w:pPr>
        <w:spacing w:line="288" w:lineRule="auto"/>
        <w:ind w:firstLine="720"/>
        <w:rPr>
          <w:rFonts w:ascii="Century Schoolbook" w:hAnsi="Century Schoolbook"/>
          <w:szCs w:val="26"/>
        </w:rPr>
      </w:pPr>
    </w:p>
    <w:p w:rsidR="00575574" w:rsidRPr="00395E41" w:rsidP="00FE6747" w14:paraId="446C9D9B" w14:textId="77777777">
      <w:pPr>
        <w:spacing w:line="288" w:lineRule="auto"/>
        <w:rPr>
          <w:rFonts w:ascii="Century Schoolbook" w:hAnsi="Century Schoolbook"/>
          <w:szCs w:val="26"/>
        </w:rPr>
      </w:pPr>
      <w:r w:rsidRPr="00395E41">
        <w:rPr>
          <w:rFonts w:ascii="Century Schoolbook" w:hAnsi="Century Schoolbook"/>
          <w:szCs w:val="26"/>
        </w:rPr>
        <w:t>We concur:</w:t>
      </w:r>
    </w:p>
    <w:p w:rsidR="00575574" w:rsidP="00575574" w14:paraId="10A21F7A" w14:textId="77777777">
      <w:pPr>
        <w:spacing w:line="288" w:lineRule="auto"/>
        <w:ind w:firstLine="720"/>
        <w:rPr>
          <w:rFonts w:ascii="Century Schoolbook" w:hAnsi="Century Schoolbook"/>
          <w:szCs w:val="26"/>
        </w:rPr>
      </w:pPr>
    </w:p>
    <w:p w:rsidR="00B51EDE" w:rsidP="00575574" w14:paraId="00A1C6A8" w14:textId="77777777">
      <w:pPr>
        <w:spacing w:line="288" w:lineRule="auto"/>
        <w:ind w:firstLine="720"/>
        <w:rPr>
          <w:rFonts w:ascii="Century Schoolbook" w:hAnsi="Century Schoolbook"/>
          <w:szCs w:val="26"/>
        </w:rPr>
      </w:pPr>
    </w:p>
    <w:p w:rsidR="00B51EDE" w:rsidRPr="00395E41" w:rsidP="00575574" w14:paraId="5823F71B" w14:textId="77777777">
      <w:pPr>
        <w:spacing w:line="288" w:lineRule="auto"/>
        <w:ind w:firstLine="720"/>
        <w:rPr>
          <w:rFonts w:ascii="Century Schoolbook" w:hAnsi="Century Schoolbook"/>
          <w:szCs w:val="26"/>
        </w:rPr>
      </w:pPr>
    </w:p>
    <w:p w:rsidR="00620572" w:rsidP="00B51EDE" w14:paraId="11BC3007" w14:textId="74354480">
      <w:pPr>
        <w:spacing w:line="288" w:lineRule="auto"/>
        <w:ind w:firstLine="720"/>
        <w:rPr>
          <w:rFonts w:ascii="Century Schoolbook" w:hAnsi="Century Schoolbook"/>
          <w:szCs w:val="26"/>
        </w:rPr>
        <w:sectPr w:rsidSect="00181680">
          <w:footerReference w:type="first" r:id="rId7"/>
          <w:pgSz w:w="12240" w:h="15840"/>
          <w:pgMar w:top="2160" w:right="2160" w:bottom="2160" w:left="2160" w:header="720" w:footer="720" w:gutter="0"/>
          <w:cols w:space="720"/>
          <w:titlePg/>
          <w:docGrid w:linePitch="354"/>
        </w:sectPr>
      </w:pPr>
      <w:r w:rsidRPr="00395E41">
        <w:rPr>
          <w:rFonts w:ascii="Century Schoolbook" w:hAnsi="Century Schoolbook"/>
          <w:szCs w:val="26"/>
        </w:rPr>
        <w:tab/>
        <w:t>GILBERT, P. J.</w:t>
      </w:r>
      <w:r w:rsidRPr="00395E41">
        <w:rPr>
          <w:rFonts w:ascii="Century Schoolbook" w:hAnsi="Century Schoolbook"/>
          <w:szCs w:val="26"/>
        </w:rPr>
        <w:tab/>
      </w:r>
      <w:r w:rsidR="00EF18A1">
        <w:rPr>
          <w:rFonts w:ascii="Century Schoolbook" w:hAnsi="Century Schoolbook"/>
          <w:szCs w:val="26"/>
        </w:rPr>
        <w:tab/>
      </w:r>
      <w:r w:rsidR="00EF18A1">
        <w:rPr>
          <w:rFonts w:ascii="Century Schoolbook" w:hAnsi="Century Schoolbook"/>
          <w:szCs w:val="26"/>
        </w:rPr>
        <w:tab/>
      </w:r>
      <w:r w:rsidRPr="00395E41">
        <w:rPr>
          <w:rFonts w:ascii="Century Schoolbook" w:hAnsi="Century Schoolbook"/>
          <w:szCs w:val="26"/>
        </w:rPr>
        <w:t>YEGAN, J.</w:t>
      </w:r>
    </w:p>
    <w:p w:rsidR="00575574" w:rsidP="00620572" w14:paraId="670C0FDC" w14:textId="3E0B5DC3">
      <w:pPr>
        <w:spacing w:line="288" w:lineRule="auto"/>
        <w:jc w:val="center"/>
        <w:rPr>
          <w:rFonts w:ascii="Century Schoolbook" w:hAnsi="Century Schoolbook"/>
          <w:szCs w:val="26"/>
        </w:rPr>
      </w:pPr>
      <w:r>
        <w:rPr>
          <w:rFonts w:ascii="Century Schoolbook" w:hAnsi="Century Schoolbook"/>
          <w:szCs w:val="26"/>
        </w:rPr>
        <w:t>Thomas P. Anderle, Judge</w:t>
      </w:r>
    </w:p>
    <w:p w:rsidR="00620572" w:rsidP="00620572" w14:paraId="73B178F2" w14:textId="6FEBF8EA">
      <w:pPr>
        <w:spacing w:line="288" w:lineRule="auto"/>
        <w:jc w:val="center"/>
        <w:rPr>
          <w:rFonts w:ascii="Century Schoolbook" w:hAnsi="Century Schoolbook"/>
          <w:szCs w:val="26"/>
        </w:rPr>
      </w:pPr>
    </w:p>
    <w:p w:rsidR="00620572" w:rsidP="00620572" w14:paraId="2CBF8219" w14:textId="49EEBBD8">
      <w:pPr>
        <w:spacing w:line="288" w:lineRule="auto"/>
        <w:jc w:val="center"/>
        <w:rPr>
          <w:rFonts w:ascii="Century Schoolbook" w:hAnsi="Century Schoolbook"/>
          <w:szCs w:val="26"/>
        </w:rPr>
      </w:pPr>
      <w:r>
        <w:rPr>
          <w:rFonts w:ascii="Century Schoolbook" w:hAnsi="Century Schoolbook"/>
          <w:szCs w:val="26"/>
        </w:rPr>
        <w:t>Superior Court County of Santa Barbara</w:t>
      </w:r>
    </w:p>
    <w:p w:rsidR="00620572" w:rsidP="00620572" w14:paraId="016CFDDA" w14:textId="77777777">
      <w:pPr>
        <w:spacing w:line="288" w:lineRule="auto"/>
        <w:jc w:val="center"/>
        <w:rPr>
          <w:rFonts w:ascii="Century Schoolbook" w:hAnsi="Century Schoolbook"/>
          <w:szCs w:val="26"/>
        </w:rPr>
      </w:pPr>
    </w:p>
    <w:p w:rsidR="00620572" w:rsidP="00620572" w14:paraId="0D2857B9" w14:textId="5FBA15C5">
      <w:pPr>
        <w:spacing w:line="288" w:lineRule="auto"/>
        <w:jc w:val="center"/>
        <w:rPr>
          <w:rFonts w:ascii="Century Schoolbook" w:hAnsi="Century Schoolbook"/>
          <w:szCs w:val="26"/>
        </w:rPr>
      </w:pPr>
      <w:r>
        <w:rPr>
          <w:rFonts w:ascii="Century Schoolbook" w:hAnsi="Century Schoolbook"/>
          <w:szCs w:val="26"/>
        </w:rPr>
        <w:t>______________________________</w:t>
      </w:r>
    </w:p>
    <w:p w:rsidR="00620572" w:rsidP="00620572" w14:paraId="33CA327B" w14:textId="77777777">
      <w:pPr>
        <w:spacing w:line="288" w:lineRule="auto"/>
        <w:rPr>
          <w:rFonts w:ascii="Century Schoolbook" w:hAnsi="Century Schoolbook"/>
          <w:szCs w:val="26"/>
        </w:rPr>
      </w:pPr>
    </w:p>
    <w:p w:rsidR="00620572" w:rsidRPr="00620572" w:rsidP="00620572" w14:paraId="18883512" w14:textId="5CBD1273">
      <w:pPr>
        <w:tabs>
          <w:tab w:val="left" w:pos="2880"/>
          <w:tab w:val="left" w:pos="4320"/>
          <w:tab w:val="left" w:pos="5760"/>
          <w:tab w:val="left" w:pos="7200"/>
        </w:tabs>
        <w:ind w:firstLine="720"/>
        <w:rPr>
          <w:rFonts w:ascii="Century Schoolbook" w:hAnsi="Century Schoolbook"/>
        </w:rPr>
      </w:pPr>
      <w:r w:rsidRPr="00620572">
        <w:rPr>
          <w:rFonts w:ascii="Century Schoolbook" w:hAnsi="Century Schoolbook"/>
          <w:szCs w:val="26"/>
        </w:rPr>
        <w:t xml:space="preserve">Rob Bonta, Attorney General, Lance E. Winters, Chief Assistant Attorney General, Susan Sullivan Pithey, Assistant Attorney General, </w:t>
      </w:r>
      <w:r>
        <w:rPr>
          <w:rFonts w:ascii="Century Schoolbook" w:hAnsi="Century Schoolbook"/>
          <w:szCs w:val="26"/>
        </w:rPr>
        <w:t>Scott A. Taryle</w:t>
      </w:r>
      <w:r w:rsidRPr="00620572">
        <w:rPr>
          <w:rFonts w:ascii="Century Schoolbook" w:hAnsi="Century Schoolbook"/>
          <w:szCs w:val="26"/>
        </w:rPr>
        <w:t xml:space="preserve"> and </w:t>
      </w:r>
      <w:r>
        <w:rPr>
          <w:rFonts w:ascii="Century Schoolbook" w:hAnsi="Century Schoolbook"/>
          <w:szCs w:val="26"/>
        </w:rPr>
        <w:t>Blythe J. Leszkay</w:t>
      </w:r>
      <w:r w:rsidRPr="00620572">
        <w:rPr>
          <w:rFonts w:ascii="Century Schoolbook" w:hAnsi="Century Schoolbook"/>
          <w:szCs w:val="26"/>
        </w:rPr>
        <w:t>, Deputy Attorneys General,</w:t>
      </w:r>
      <w:r>
        <w:rPr>
          <w:rFonts w:ascii="Century Schoolbook" w:hAnsi="Century Schoolbook"/>
          <w:szCs w:val="26"/>
        </w:rPr>
        <w:t xml:space="preserve"> for </w:t>
      </w:r>
      <w:r>
        <w:rPr>
          <w:rFonts w:ascii="Century Schoolbook" w:hAnsi="Century Schoolbook"/>
        </w:rPr>
        <w:t xml:space="preserve">Plaintiff </w:t>
      </w:r>
      <w:r w:rsidRPr="00620572">
        <w:rPr>
          <w:rFonts w:ascii="Century Schoolbook" w:hAnsi="Century Schoolbook"/>
        </w:rPr>
        <w:t>and Appellant.</w:t>
      </w:r>
    </w:p>
    <w:p w:rsidR="00620572" w:rsidP="00620572" w14:paraId="3C68BA46" w14:textId="084ECB53">
      <w:pPr>
        <w:spacing w:line="288" w:lineRule="auto"/>
        <w:ind w:firstLine="720"/>
        <w:rPr>
          <w:rFonts w:ascii="Century Schoolbook" w:hAnsi="Century Schoolbook"/>
          <w:szCs w:val="26"/>
        </w:rPr>
      </w:pPr>
      <w:r>
        <w:rPr>
          <w:rFonts w:ascii="Century Schoolbook" w:hAnsi="Century Schoolbook"/>
          <w:szCs w:val="26"/>
        </w:rPr>
        <w:t>Munger, Tolles</w:t>
      </w:r>
      <w:r w:rsidRPr="00620572">
        <w:rPr>
          <w:rFonts w:ascii="Century Schoolbook" w:hAnsi="Century Schoolbook"/>
          <w:szCs w:val="26"/>
        </w:rPr>
        <w:t xml:space="preserve"> &amp;</w:t>
      </w:r>
      <w:r>
        <w:rPr>
          <w:rFonts w:ascii="Century Schoolbook" w:hAnsi="Century Schoolbook"/>
          <w:szCs w:val="26"/>
        </w:rPr>
        <w:t xml:space="preserve"> Olson</w:t>
      </w:r>
      <w:r w:rsidRPr="00620572">
        <w:rPr>
          <w:rFonts w:ascii="Century Schoolbook" w:hAnsi="Century Schoolbook"/>
          <w:szCs w:val="26"/>
        </w:rPr>
        <w:t xml:space="preserve">, </w:t>
      </w:r>
      <w:r>
        <w:rPr>
          <w:rFonts w:ascii="Century Schoolbook" w:hAnsi="Century Schoolbook"/>
          <w:szCs w:val="26"/>
        </w:rPr>
        <w:t>Henry Weissman</w:t>
      </w:r>
      <w:r w:rsidR="00A355C9">
        <w:rPr>
          <w:rFonts w:ascii="Century Schoolbook" w:hAnsi="Century Schoolbook"/>
          <w:szCs w:val="26"/>
        </w:rPr>
        <w:t>n</w:t>
      </w:r>
      <w:r>
        <w:rPr>
          <w:rFonts w:ascii="Century Schoolbook" w:hAnsi="Century Schoolbook"/>
          <w:szCs w:val="26"/>
        </w:rPr>
        <w:t xml:space="preserve">, Donald B. Verrilli, Jr., Elaine </w:t>
      </w:r>
      <w:r w:rsidR="00943150">
        <w:rPr>
          <w:rFonts w:ascii="Century Schoolbook" w:hAnsi="Century Schoolbook"/>
          <w:szCs w:val="26"/>
        </w:rPr>
        <w:t xml:space="preserve">J. </w:t>
      </w:r>
      <w:r>
        <w:rPr>
          <w:rFonts w:ascii="Century Schoolbook" w:hAnsi="Century Schoolbook"/>
          <w:szCs w:val="26"/>
        </w:rPr>
        <w:t>Gold</w:t>
      </w:r>
      <w:r w:rsidR="001E3813">
        <w:rPr>
          <w:rFonts w:ascii="Century Schoolbook" w:hAnsi="Century Schoolbook"/>
          <w:szCs w:val="26"/>
        </w:rPr>
        <w:t>en</w:t>
      </w:r>
      <w:r>
        <w:rPr>
          <w:rFonts w:ascii="Century Schoolbook" w:hAnsi="Century Schoolbook"/>
          <w:szCs w:val="26"/>
        </w:rPr>
        <w:t>berg, Daniel B. Levin</w:t>
      </w:r>
      <w:r w:rsidRPr="00620572">
        <w:rPr>
          <w:rFonts w:ascii="Century Schoolbook" w:hAnsi="Century Schoolbook"/>
          <w:szCs w:val="26"/>
        </w:rPr>
        <w:t xml:space="preserve"> and </w:t>
      </w:r>
      <w:r>
        <w:rPr>
          <w:rFonts w:ascii="Century Schoolbook" w:hAnsi="Century Schoolbook"/>
          <w:szCs w:val="26"/>
        </w:rPr>
        <w:t xml:space="preserve">Sarah Weiner </w:t>
      </w:r>
      <w:r w:rsidRPr="00620572">
        <w:rPr>
          <w:rFonts w:ascii="Century Schoolbook" w:hAnsi="Century Schoolbook"/>
          <w:szCs w:val="26"/>
        </w:rPr>
        <w:t xml:space="preserve">for </w:t>
      </w:r>
      <w:r>
        <w:rPr>
          <w:rFonts w:ascii="Century Schoolbook" w:hAnsi="Century Schoolbook"/>
          <w:szCs w:val="26"/>
        </w:rPr>
        <w:t>Defendant</w:t>
      </w:r>
      <w:r w:rsidRPr="00620572">
        <w:rPr>
          <w:rFonts w:ascii="Century Schoolbook" w:hAnsi="Century Schoolbook"/>
          <w:szCs w:val="26"/>
        </w:rPr>
        <w:t xml:space="preserve"> and Respondent.</w:t>
      </w:r>
    </w:p>
    <w:p w:rsidR="00F606FC" w:rsidP="00F606FC" w14:paraId="1F2092E6" w14:textId="22E181BA">
      <w:pPr>
        <w:spacing w:line="288" w:lineRule="auto"/>
        <w:ind w:firstLine="720"/>
        <w:rPr>
          <w:rFonts w:ascii="Century Schoolbook" w:hAnsi="Century Schoolbook"/>
          <w:szCs w:val="26"/>
        </w:rPr>
      </w:pPr>
      <w:r>
        <w:rPr>
          <w:rFonts w:ascii="Century Schoolbook" w:hAnsi="Century Schoolbook"/>
          <w:szCs w:val="26"/>
        </w:rPr>
        <w:t>Cappello &amp; No</w:t>
      </w:r>
      <w:r w:rsidR="00A355C9">
        <w:rPr>
          <w:rFonts w:ascii="Century Schoolbook" w:hAnsi="Century Schoolbook"/>
          <w:szCs w:val="26"/>
        </w:rPr>
        <w:t>ё</w:t>
      </w:r>
      <w:r>
        <w:rPr>
          <w:rFonts w:ascii="Century Schoolbook" w:hAnsi="Century Schoolbook"/>
          <w:szCs w:val="26"/>
        </w:rPr>
        <w:t xml:space="preserve">l, A. Barry Cappello, Leila J. Noёl, Lawrence J. Conlan; Lieff Cabraser Heimann &amp; Bernstein, Robert J. Nelson, Nimish R. Desai, Wilson M. Dunlavey; Keller Rohrback, Juli Farris, Matthew J. Preusch; Audet &amp; Partners, William M. Audet and Ling Y. Kuang </w:t>
      </w:r>
      <w:r w:rsidRPr="00620572">
        <w:rPr>
          <w:rFonts w:ascii="Century Schoolbook" w:hAnsi="Century Schoolbook"/>
          <w:szCs w:val="26"/>
        </w:rPr>
        <w:t xml:space="preserve">for </w:t>
      </w:r>
      <w:r>
        <w:rPr>
          <w:rFonts w:ascii="Century Schoolbook" w:hAnsi="Century Schoolbook"/>
          <w:szCs w:val="26"/>
        </w:rPr>
        <w:t>Petitioners</w:t>
      </w:r>
      <w:r w:rsidRPr="00620572">
        <w:rPr>
          <w:rFonts w:ascii="Century Schoolbook" w:hAnsi="Century Schoolbook"/>
          <w:szCs w:val="26"/>
        </w:rPr>
        <w:t>.</w:t>
      </w:r>
      <w:r w:rsidR="00E039E1">
        <w:rPr>
          <w:rFonts w:ascii="Century Schoolbook" w:hAnsi="Century Schoolbook"/>
          <w:szCs w:val="26"/>
        </w:rPr>
        <w:t xml:space="preserve"> </w:t>
      </w:r>
    </w:p>
    <w:p w:rsidR="00F606FC" w:rsidP="00F606FC" w14:paraId="5933035A" w14:textId="32A77B76">
      <w:pPr>
        <w:spacing w:line="288" w:lineRule="auto"/>
        <w:ind w:firstLine="720"/>
        <w:rPr>
          <w:rFonts w:ascii="Century Schoolbook" w:hAnsi="Century Schoolbook"/>
          <w:szCs w:val="26"/>
        </w:rPr>
      </w:pPr>
      <w:r>
        <w:rPr>
          <w:rFonts w:ascii="Century Schoolbook" w:hAnsi="Century Schoolbook"/>
          <w:szCs w:val="26"/>
        </w:rPr>
        <w:t>No appearance for Respondent</w:t>
      </w:r>
      <w:r w:rsidR="00A65423">
        <w:rPr>
          <w:rFonts w:ascii="Century Schoolbook" w:hAnsi="Century Schoolbook"/>
          <w:szCs w:val="26"/>
        </w:rPr>
        <w:t xml:space="preserve"> in No. B317229</w:t>
      </w:r>
      <w:r>
        <w:rPr>
          <w:rFonts w:ascii="Century Schoolbook" w:hAnsi="Century Schoolbook"/>
          <w:szCs w:val="26"/>
        </w:rPr>
        <w:t>.</w:t>
      </w:r>
    </w:p>
    <w:p w:rsidR="00943150" w:rsidP="00F606FC" w14:paraId="782A8561" w14:textId="5EB9B1CB">
      <w:pPr>
        <w:spacing w:line="288" w:lineRule="auto"/>
        <w:ind w:firstLine="720"/>
        <w:rPr>
          <w:rFonts w:ascii="Century Schoolbook" w:hAnsi="Century Schoolbook"/>
          <w:szCs w:val="26"/>
        </w:rPr>
      </w:pPr>
      <w:r>
        <w:rPr>
          <w:rFonts w:ascii="Century Schoolbook" w:hAnsi="Century Schoolbook"/>
          <w:szCs w:val="26"/>
        </w:rPr>
        <w:t>Munger, Tolles</w:t>
      </w:r>
      <w:r w:rsidRPr="00620572">
        <w:rPr>
          <w:rFonts w:ascii="Century Schoolbook" w:hAnsi="Century Schoolbook"/>
          <w:szCs w:val="26"/>
        </w:rPr>
        <w:t xml:space="preserve"> &amp;</w:t>
      </w:r>
      <w:r>
        <w:rPr>
          <w:rFonts w:ascii="Century Schoolbook" w:hAnsi="Century Schoolbook"/>
          <w:szCs w:val="26"/>
        </w:rPr>
        <w:t xml:space="preserve"> Olson</w:t>
      </w:r>
      <w:r w:rsidRPr="00620572">
        <w:rPr>
          <w:rFonts w:ascii="Century Schoolbook" w:hAnsi="Century Schoolbook"/>
          <w:szCs w:val="26"/>
        </w:rPr>
        <w:t xml:space="preserve">, </w:t>
      </w:r>
      <w:r>
        <w:rPr>
          <w:rFonts w:ascii="Century Schoolbook" w:hAnsi="Century Schoolbook"/>
          <w:szCs w:val="26"/>
        </w:rPr>
        <w:t>Henry Weissman</w:t>
      </w:r>
      <w:r w:rsidR="008D6FB0">
        <w:rPr>
          <w:rFonts w:ascii="Century Schoolbook" w:hAnsi="Century Schoolbook"/>
          <w:szCs w:val="26"/>
        </w:rPr>
        <w:t>n</w:t>
      </w:r>
      <w:r>
        <w:rPr>
          <w:rFonts w:ascii="Century Schoolbook" w:hAnsi="Century Schoolbook"/>
          <w:szCs w:val="26"/>
        </w:rPr>
        <w:t>, Elaine J. Gold</w:t>
      </w:r>
      <w:r w:rsidR="001E3813">
        <w:rPr>
          <w:rFonts w:ascii="Century Schoolbook" w:hAnsi="Century Schoolbook"/>
          <w:szCs w:val="26"/>
        </w:rPr>
        <w:t>en</w:t>
      </w:r>
      <w:r>
        <w:rPr>
          <w:rFonts w:ascii="Century Schoolbook" w:hAnsi="Century Schoolbook"/>
          <w:szCs w:val="26"/>
        </w:rPr>
        <w:t>berg</w:t>
      </w:r>
      <w:r w:rsidR="00061E4F">
        <w:rPr>
          <w:rFonts w:ascii="Century Schoolbook" w:hAnsi="Century Schoolbook"/>
          <w:szCs w:val="26"/>
        </w:rPr>
        <w:t xml:space="preserve">, </w:t>
      </w:r>
      <w:r>
        <w:rPr>
          <w:rFonts w:ascii="Century Schoolbook" w:hAnsi="Century Schoolbook"/>
          <w:szCs w:val="26"/>
        </w:rPr>
        <w:t>Daniel B. Levin</w:t>
      </w:r>
      <w:r w:rsidR="00061E4F">
        <w:rPr>
          <w:rFonts w:ascii="Century Schoolbook" w:hAnsi="Century Schoolbook"/>
          <w:szCs w:val="26"/>
        </w:rPr>
        <w:t xml:space="preserve"> and Sarah Weiner</w:t>
      </w:r>
      <w:r>
        <w:rPr>
          <w:rFonts w:ascii="Century Schoolbook" w:hAnsi="Century Schoolbook"/>
          <w:szCs w:val="26"/>
        </w:rPr>
        <w:t xml:space="preserve"> </w:t>
      </w:r>
      <w:r w:rsidRPr="00620572">
        <w:rPr>
          <w:rFonts w:ascii="Century Schoolbook" w:hAnsi="Century Schoolbook"/>
          <w:szCs w:val="26"/>
        </w:rPr>
        <w:t>for</w:t>
      </w:r>
      <w:r>
        <w:rPr>
          <w:rFonts w:ascii="Century Schoolbook" w:hAnsi="Century Schoolbook"/>
          <w:szCs w:val="26"/>
        </w:rPr>
        <w:t xml:space="preserve"> Real Party in Interest</w:t>
      </w:r>
      <w:r w:rsidR="00CE1BB1">
        <w:rPr>
          <w:rFonts w:ascii="Century Schoolbook" w:hAnsi="Century Schoolbook"/>
          <w:szCs w:val="26"/>
        </w:rPr>
        <w:t xml:space="preserve"> Plains All American Pipeline, L.P.</w:t>
      </w:r>
    </w:p>
    <w:p w:rsidR="00A65423" w:rsidP="00A65423" w14:paraId="3BEF3EEE" w14:textId="44C3A4DF">
      <w:pPr>
        <w:spacing w:line="288" w:lineRule="auto"/>
        <w:ind w:firstLine="720"/>
        <w:rPr>
          <w:rFonts w:ascii="Century Schoolbook" w:hAnsi="Century Schoolbook"/>
          <w:szCs w:val="26"/>
        </w:rPr>
      </w:pPr>
      <w:r>
        <w:rPr>
          <w:rFonts w:ascii="Century Schoolbook" w:hAnsi="Century Schoolbook"/>
          <w:szCs w:val="26"/>
        </w:rPr>
        <w:t xml:space="preserve">No appearance for Real Party in Interest The People. </w:t>
      </w:r>
    </w:p>
    <w:p w:rsidR="00A65423" w:rsidP="00A65423" w14:paraId="62076030" w14:textId="6E73A74C">
      <w:pPr>
        <w:spacing w:line="288" w:lineRule="auto"/>
        <w:ind w:firstLine="720"/>
        <w:rPr>
          <w:rFonts w:ascii="Century Schoolbook" w:hAnsi="Century Schoolbook"/>
          <w:szCs w:val="26"/>
        </w:rPr>
      </w:pPr>
      <w:r>
        <w:rPr>
          <w:rFonts w:ascii="Century Schoolbook" w:hAnsi="Century Schoolbook"/>
          <w:szCs w:val="26"/>
        </w:rPr>
        <w:t xml:space="preserve">No appearance for Real Party in Interest James Buchanan. </w:t>
      </w:r>
    </w:p>
    <w:p w:rsidR="00A65423" w:rsidP="00A65423" w14:paraId="039764EC" w14:textId="77777777">
      <w:pPr>
        <w:spacing w:line="288" w:lineRule="auto"/>
        <w:ind w:firstLine="720"/>
        <w:rPr>
          <w:rFonts w:ascii="Century Schoolbook" w:hAnsi="Century Schoolbook"/>
          <w:szCs w:val="26"/>
        </w:rPr>
      </w:pPr>
    </w:p>
    <w:p w:rsidR="00943150" w:rsidP="00F606FC" w14:paraId="603B0B7F" w14:textId="77777777">
      <w:pPr>
        <w:spacing w:line="288" w:lineRule="auto"/>
        <w:ind w:firstLine="720"/>
        <w:rPr>
          <w:rFonts w:ascii="Century Schoolbook" w:hAnsi="Century Schoolbook"/>
          <w:szCs w:val="26"/>
        </w:rPr>
      </w:pPr>
    </w:p>
    <w:p w:rsidR="00620572" w:rsidRPr="00620572" w:rsidP="00620572" w14:paraId="56BFD62C" w14:textId="77777777">
      <w:pPr>
        <w:spacing w:line="288" w:lineRule="auto"/>
        <w:ind w:firstLine="720"/>
        <w:rPr>
          <w:rFonts w:ascii="Century Schoolbook" w:hAnsi="Century Schoolbook"/>
          <w:szCs w:val="26"/>
        </w:rPr>
      </w:pPr>
    </w:p>
    <w:p w:rsidR="005B74F9" w:rsidRPr="00620572" w:rsidP="00620572" w14:paraId="7D568EC0" w14:textId="387D6D60">
      <w:pPr>
        <w:spacing w:line="288" w:lineRule="auto"/>
        <w:ind w:firstLine="720"/>
        <w:jc w:val="center"/>
      </w:pPr>
    </w:p>
    <w:p w:rsidR="005B74F9" w:rsidRPr="00620572" w:rsidP="00620572" w14:paraId="7CAF44CC" w14:textId="77777777">
      <w:pPr>
        <w:spacing w:line="288" w:lineRule="auto"/>
        <w:ind w:firstLine="720"/>
        <w:jc w:val="center"/>
      </w:pPr>
    </w:p>
    <w:p w:rsidR="008A74B8" w:rsidRPr="00395E41" w:rsidP="00620572" w14:paraId="1F08798E" w14:textId="0D531AE6">
      <w:pPr>
        <w:spacing w:line="288" w:lineRule="auto"/>
        <w:jc w:val="both"/>
        <w:rPr>
          <w:rStyle w:val="FootnoteReference"/>
          <w:rFonts w:ascii="Courier New" w:hAnsi="Courier New"/>
          <w:position w:val="0"/>
          <w:sz w:val="26"/>
          <w:szCs w:val="26"/>
        </w:rPr>
      </w:pPr>
    </w:p>
    <w:sectPr w:rsidSect="00181680">
      <w:footerReference w:type="default" r:id="rId8"/>
      <w:footerReference w:type="first" r:id="rId9"/>
      <w:pgSz w:w="12240" w:h="15840"/>
      <w:pgMar w:top="2160" w:right="2160" w:bottom="216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5E2D" w:rsidRPr="005B74F9" w14:paraId="5D6B1828" w14:textId="4F38E415">
    <w:pPr>
      <w:pStyle w:val="Footer"/>
      <w:framePr w:wrap="auto" w:vAnchor="text" w:hAnchor="margin" w:xAlign="center" w:y="1"/>
      <w:rPr>
        <w:rStyle w:val="PageNumber"/>
        <w:rFonts w:ascii="Century Schoolbook" w:hAnsi="Century Schoolbook"/>
        <w:sz w:val="26"/>
        <w:szCs w:val="26"/>
      </w:rPr>
    </w:pPr>
    <w:r w:rsidRPr="005B74F9">
      <w:rPr>
        <w:rStyle w:val="PageNumber"/>
        <w:rFonts w:ascii="Century Schoolbook" w:hAnsi="Century Schoolbook"/>
        <w:sz w:val="26"/>
        <w:szCs w:val="26"/>
      </w:rPr>
      <w:fldChar w:fldCharType="begin"/>
    </w:r>
    <w:r w:rsidRPr="005B74F9">
      <w:rPr>
        <w:rStyle w:val="PageNumber"/>
        <w:rFonts w:ascii="Century Schoolbook" w:hAnsi="Century Schoolbook"/>
        <w:sz w:val="26"/>
        <w:szCs w:val="26"/>
      </w:rPr>
      <w:instrText xml:space="preserve">PAGE  </w:instrText>
    </w:r>
    <w:r w:rsidRPr="005B74F9">
      <w:rPr>
        <w:rStyle w:val="PageNumber"/>
        <w:rFonts w:ascii="Century Schoolbook" w:hAnsi="Century Schoolbook"/>
        <w:sz w:val="26"/>
        <w:szCs w:val="26"/>
      </w:rPr>
      <w:fldChar w:fldCharType="separate"/>
    </w:r>
    <w:r w:rsidR="009C5ADB">
      <w:rPr>
        <w:rStyle w:val="PageNumber"/>
        <w:rFonts w:ascii="Century Schoolbook" w:hAnsi="Century Schoolbook"/>
        <w:noProof/>
        <w:sz w:val="26"/>
        <w:szCs w:val="26"/>
      </w:rPr>
      <w:t>21</w:t>
    </w:r>
    <w:r w:rsidRPr="005B74F9">
      <w:rPr>
        <w:rStyle w:val="PageNumber"/>
        <w:rFonts w:ascii="Century Schoolbook" w:hAnsi="Century Schoolbook"/>
        <w:sz w:val="26"/>
        <w:szCs w:val="26"/>
      </w:rPr>
      <w:fldChar w:fldCharType="end"/>
    </w:r>
  </w:p>
  <w:p w:rsidR="00C75E2D" w:rsidP="00EA0AEF" w14:paraId="708A92D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46928902"/>
      <w:docPartObj>
        <w:docPartGallery w:val="Page Numbers (Bottom of Page)"/>
        <w:docPartUnique/>
      </w:docPartObj>
    </w:sdtPr>
    <w:sdtEndPr>
      <w:rPr>
        <w:rFonts w:asciiTheme="majorHAnsi" w:hAnsiTheme="majorHAnsi"/>
        <w:noProof/>
      </w:rPr>
    </w:sdtEndPr>
    <w:sdtContent>
      <w:p w:rsidR="001C4198" w:rsidRPr="001C4198" w14:paraId="1C1BC6AC" w14:textId="1F276023">
        <w:pPr>
          <w:pStyle w:val="Footer"/>
          <w:jc w:val="center"/>
          <w:rPr>
            <w:rFonts w:asciiTheme="majorHAnsi" w:hAnsiTheme="majorHAnsi"/>
          </w:rPr>
        </w:pPr>
        <w:r w:rsidRPr="001C4198">
          <w:rPr>
            <w:rFonts w:asciiTheme="majorHAnsi" w:hAnsiTheme="majorHAnsi"/>
          </w:rPr>
          <w:fldChar w:fldCharType="begin"/>
        </w:r>
        <w:r w:rsidRPr="001C4198">
          <w:rPr>
            <w:rFonts w:asciiTheme="majorHAnsi" w:hAnsiTheme="majorHAnsi"/>
          </w:rPr>
          <w:instrText xml:space="preserve"> PAGE   \* MERGEFORMAT </w:instrText>
        </w:r>
        <w:r w:rsidRPr="001C4198">
          <w:rPr>
            <w:rFonts w:asciiTheme="majorHAnsi" w:hAnsiTheme="majorHAnsi"/>
          </w:rPr>
          <w:fldChar w:fldCharType="separate"/>
        </w:r>
        <w:r w:rsidR="009C5ADB">
          <w:rPr>
            <w:rFonts w:asciiTheme="majorHAnsi" w:hAnsiTheme="majorHAnsi"/>
            <w:noProof/>
          </w:rPr>
          <w:t>2</w:t>
        </w:r>
        <w:r w:rsidRPr="001C4198">
          <w:rPr>
            <w:rFonts w:asciiTheme="majorHAnsi" w:hAnsiTheme="majorHAnsi"/>
            <w:noProof/>
          </w:rPr>
          <w:fldChar w:fldCharType="end"/>
        </w:r>
      </w:p>
    </w:sdtContent>
  </w:sdt>
  <w:p w:rsidR="001C4198" w:rsidRPr="001C4198" w14:paraId="0F1635F1" w14:textId="77777777">
    <w:pPr>
      <w:pStyle w:val="Footer"/>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5633" w14:paraId="74EC860E"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23010694"/>
      <w:docPartObj>
        <w:docPartGallery w:val="Page Numbers (Bottom of Page)"/>
        <w:docPartUnique/>
      </w:docPartObj>
    </w:sdtPr>
    <w:sdtEndPr>
      <w:rPr>
        <w:rFonts w:asciiTheme="majorHAnsi" w:hAnsiTheme="majorHAnsi"/>
        <w:noProof/>
      </w:rPr>
    </w:sdtEndPr>
    <w:sdtContent>
      <w:p w:rsidR="00305633" w:rsidRPr="001C4198" w14:paraId="644E028A" w14:textId="77777777">
        <w:pPr>
          <w:pStyle w:val="Footer"/>
          <w:jc w:val="center"/>
          <w:rPr>
            <w:rFonts w:asciiTheme="majorHAnsi" w:hAnsiTheme="majorHAnsi"/>
          </w:rPr>
        </w:pPr>
        <w:r w:rsidRPr="001C4198">
          <w:rPr>
            <w:rFonts w:asciiTheme="majorHAnsi" w:hAnsiTheme="majorHAnsi"/>
          </w:rPr>
          <w:fldChar w:fldCharType="begin"/>
        </w:r>
        <w:r w:rsidRPr="001C4198">
          <w:rPr>
            <w:rFonts w:asciiTheme="majorHAnsi" w:hAnsiTheme="majorHAnsi"/>
          </w:rPr>
          <w:instrText xml:space="preserve"> PAGE   \* MERGEFORMAT </w:instrText>
        </w:r>
        <w:r w:rsidRPr="001C4198">
          <w:rPr>
            <w:rFonts w:asciiTheme="majorHAnsi" w:hAnsiTheme="majorHAnsi"/>
          </w:rPr>
          <w:fldChar w:fldCharType="separate"/>
        </w:r>
        <w:r w:rsidRPr="001C4198">
          <w:rPr>
            <w:rFonts w:asciiTheme="majorHAnsi" w:hAnsiTheme="majorHAnsi"/>
            <w:noProof/>
          </w:rPr>
          <w:t>2</w:t>
        </w:r>
        <w:r w:rsidRPr="001C4198">
          <w:rPr>
            <w:rFonts w:asciiTheme="majorHAnsi" w:hAnsiTheme="majorHAnsi"/>
            <w:noProof/>
          </w:rPr>
          <w:fldChar w:fldCharType="end"/>
        </w:r>
      </w:p>
    </w:sdtContent>
  </w:sdt>
  <w:p w:rsidR="00305633" w:rsidRPr="001C4198" w14:paraId="1FC462F1" w14:textId="77777777">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81680" w14:paraId="6808BDC7" w14:textId="77777777">
      <w:r>
        <w:separator/>
      </w:r>
    </w:p>
  </w:footnote>
  <w:footnote w:type="continuationSeparator" w:id="1">
    <w:p w:rsidR="00181680" w14:paraId="7A0D3B08" w14:textId="77777777">
      <w:r>
        <w:continuationSeparator/>
      </w:r>
    </w:p>
  </w:footnote>
  <w:footnote w:id="2">
    <w:p w:rsidR="006A4CB8" w:rsidRPr="002E362C" w:rsidP="003E32DF" w14:paraId="599C5160" w14:textId="12EF2464">
      <w:pPr>
        <w:spacing w:line="240" w:lineRule="auto"/>
        <w:ind w:firstLine="720"/>
        <w:rPr>
          <w:rFonts w:ascii="Century Schoolbook" w:hAnsi="Century Schoolbook"/>
          <w:bCs/>
          <w:szCs w:val="26"/>
        </w:rPr>
      </w:pPr>
      <w:r w:rsidRPr="004A2A49">
        <w:rPr>
          <w:rStyle w:val="FootnoteReference"/>
        </w:rPr>
        <w:footnoteRef/>
      </w:r>
      <w:r w:rsidRPr="00A355C9">
        <w:rPr>
          <w:rStyle w:val="FootnoteReference"/>
          <w:sz w:val="26"/>
          <w:szCs w:val="26"/>
        </w:rPr>
        <w:t xml:space="preserve"> </w:t>
      </w:r>
      <w:r w:rsidRPr="004A2A49">
        <w:rPr>
          <w:rFonts w:ascii="Century Schoolbook" w:hAnsi="Century Schoolbook"/>
          <w:szCs w:val="26"/>
        </w:rPr>
        <w:t xml:space="preserve">Plains dismissed its cross-appeal of the restitution order for those Group 2 claimants who were granted restitution.  Although the People’s briefs discuss restitution claims in Groups 1 and 4, </w:t>
      </w:r>
      <w:r w:rsidRPr="004A2A49" w:rsidR="00F87200">
        <w:rPr>
          <w:rFonts w:ascii="Century Schoolbook" w:hAnsi="Century Schoolbook"/>
          <w:szCs w:val="26"/>
        </w:rPr>
        <w:t>th</w:t>
      </w:r>
      <w:r w:rsidRPr="004A2A49" w:rsidR="00990BD7">
        <w:rPr>
          <w:rFonts w:ascii="Century Schoolbook" w:hAnsi="Century Schoolbook"/>
          <w:szCs w:val="26"/>
        </w:rPr>
        <w:t>ey are not before us</w:t>
      </w:r>
      <w:r w:rsidRPr="004A2A49" w:rsidR="00F87200">
        <w:rPr>
          <w:rFonts w:ascii="Century Schoolbook" w:hAnsi="Century Schoolbook"/>
          <w:szCs w:val="26"/>
        </w:rPr>
        <w:t xml:space="preserve"> because </w:t>
      </w:r>
      <w:r w:rsidRPr="004A2A49">
        <w:rPr>
          <w:rFonts w:ascii="Century Schoolbook" w:hAnsi="Century Schoolbook"/>
          <w:szCs w:val="26"/>
        </w:rPr>
        <w:t>the notices of appeal only challenge rulings regarding Groups 2 and 3.</w:t>
      </w:r>
    </w:p>
  </w:footnote>
  <w:footnote w:id="3">
    <w:p w:rsidR="001F0C12" w:rsidRPr="004445F1" w:rsidP="001F0C12" w14:paraId="058AE265" w14:textId="3AE3B424">
      <w:pPr>
        <w:pStyle w:val="FootnoteText"/>
        <w:rPr>
          <w:szCs w:val="26"/>
        </w:rPr>
      </w:pPr>
      <w:r w:rsidRPr="0093623B">
        <w:rPr>
          <w:rStyle w:val="FootnoteReference"/>
          <w:position w:val="12"/>
        </w:rPr>
        <w:footnoteRef/>
      </w:r>
      <w:r w:rsidRPr="0093623B">
        <w:rPr>
          <w:position w:val="12"/>
          <w:szCs w:val="26"/>
        </w:rPr>
        <w:t xml:space="preserve"> </w:t>
      </w:r>
      <w:r w:rsidRPr="00D96406">
        <w:rPr>
          <w:szCs w:val="26"/>
        </w:rPr>
        <w:t>Plains was also convicted of misdemeanor counts of knowingly failing to follow an oil</w:t>
      </w:r>
      <w:r w:rsidR="007F07DF">
        <w:rPr>
          <w:szCs w:val="26"/>
        </w:rPr>
        <w:t xml:space="preserve"> spill</w:t>
      </w:r>
      <w:r w:rsidRPr="00D96406">
        <w:rPr>
          <w:szCs w:val="26"/>
        </w:rPr>
        <w:t xml:space="preserve"> contingency plan (Gov. Code, § 8670.64, subd. (c)(2)(D))</w:t>
      </w:r>
      <w:r w:rsidR="007D18E6">
        <w:rPr>
          <w:szCs w:val="26"/>
        </w:rPr>
        <w:t>;</w:t>
      </w:r>
      <w:r>
        <w:rPr>
          <w:szCs w:val="26"/>
        </w:rPr>
        <w:t xml:space="preserve"> unlawfully taking a marine mammal, protected bird, and designated fish (Fish &amp; Game Code, §§ 4500, subd. (a), 3511, subd. (a)(1), 2000, subd. (a))</w:t>
      </w:r>
      <w:r w:rsidR="007D18E6">
        <w:rPr>
          <w:szCs w:val="26"/>
        </w:rPr>
        <w:t>;</w:t>
      </w:r>
      <w:r>
        <w:rPr>
          <w:szCs w:val="26"/>
        </w:rPr>
        <w:t xml:space="preserve"> and unlawfully discharging oil to waters or land (Santa Barbara County Code, § 25-37).</w:t>
      </w:r>
      <w:r w:rsidRPr="00D96406">
        <w:rPr>
          <w:szCs w:val="26"/>
        </w:rPr>
        <w:t xml:space="preserve"> </w:t>
      </w:r>
    </w:p>
  </w:footnote>
  <w:footnote w:id="4">
    <w:p w:rsidR="00597480" w:rsidRPr="00176193" w:rsidP="00015BE3" w14:paraId="75478818" w14:textId="4C829F9F">
      <w:pPr>
        <w:pStyle w:val="FootnoteText"/>
      </w:pPr>
      <w:r w:rsidRPr="0093623B">
        <w:rPr>
          <w:rStyle w:val="FootnoteReference"/>
          <w:bCs/>
          <w:position w:val="12"/>
        </w:rPr>
        <w:footnoteRef/>
      </w:r>
      <w:r>
        <w:t xml:space="preserve"> </w:t>
      </w:r>
      <w:bookmarkStart w:id="7" w:name="_Hlk142902639"/>
      <w:r w:rsidR="004D0B0B">
        <w:t xml:space="preserve">We take </w:t>
      </w:r>
      <w:r w:rsidR="007B1CB4">
        <w:t xml:space="preserve">judicial </w:t>
      </w:r>
      <w:r w:rsidR="004D0B0B">
        <w:t xml:space="preserve">notice of the </w:t>
      </w:r>
      <w:r w:rsidR="006B22B0">
        <w:t xml:space="preserve">class action </w:t>
      </w:r>
      <w:r w:rsidR="004D0B0B">
        <w:t xml:space="preserve">settlement in </w:t>
      </w:r>
      <w:r w:rsidRPr="0097553B" w:rsidR="004D0B0B">
        <w:rPr>
          <w:i/>
          <w:iCs/>
        </w:rPr>
        <w:t>Andrews</w:t>
      </w:r>
      <w:r w:rsidR="004D0B0B">
        <w:t xml:space="preserve">.  (Evid. Code, §§ </w:t>
      </w:r>
      <w:r w:rsidR="00FA6EE6">
        <w:t>4</w:t>
      </w:r>
      <w:r w:rsidR="004D0B0B">
        <w:t>52, subd. (d), 459</w:t>
      </w:r>
      <w:r w:rsidR="00FA6EE6">
        <w:t>, subd. (a)</w:t>
      </w:r>
      <w:r w:rsidR="004D0B0B">
        <w:t xml:space="preserve">.) </w:t>
      </w:r>
      <w:r w:rsidR="002D08B0">
        <w:t xml:space="preserve"> </w:t>
      </w:r>
      <w:r w:rsidR="00DA6F3D">
        <w:t xml:space="preserve">Although the settlement occurred after the </w:t>
      </w:r>
      <w:r w:rsidR="004375B2">
        <w:t xml:space="preserve">restitution </w:t>
      </w:r>
      <w:r w:rsidR="002D08B0">
        <w:t xml:space="preserve">orders </w:t>
      </w:r>
      <w:r w:rsidR="004375B2">
        <w:t>at issue here</w:t>
      </w:r>
      <w:r w:rsidR="00916E52">
        <w:t xml:space="preserve">, </w:t>
      </w:r>
      <w:r w:rsidR="006B22B0">
        <w:t xml:space="preserve">the </w:t>
      </w:r>
      <w:r w:rsidR="004D0B0B">
        <w:t>parties refer to it in their briefs</w:t>
      </w:r>
      <w:r w:rsidR="002D08B0">
        <w:t xml:space="preserve">, and it </w:t>
      </w:r>
      <w:r w:rsidR="007B1CB4">
        <w:t xml:space="preserve">is </w:t>
      </w:r>
      <w:r w:rsidR="002D08B0">
        <w:t>relevant to the issue of mootness</w:t>
      </w:r>
      <w:r w:rsidR="004D0B0B">
        <w:t xml:space="preserve">.  </w:t>
      </w:r>
      <w:r w:rsidR="007B1CB4">
        <w:t>(</w:t>
      </w:r>
      <w:r w:rsidRPr="00DB3FB5" w:rsidR="007B1CB4">
        <w:rPr>
          <w:i/>
          <w:iCs/>
        </w:rPr>
        <w:t>Reserve Insurance Co. v. Pisciotta</w:t>
      </w:r>
      <w:r w:rsidR="007B1CB4">
        <w:t xml:space="preserve"> (1982) 30 Cal.3d 800, 813</w:t>
      </w:r>
      <w:r w:rsidR="00DB3FB5">
        <w:t>.)</w:t>
      </w:r>
      <w:bookmarkEnd w:id="7"/>
      <w:r w:rsidR="00DB3FB5">
        <w:t xml:space="preserve">  </w:t>
      </w:r>
      <w:r w:rsidR="006B22B0">
        <w:t xml:space="preserve">However, </w:t>
      </w:r>
      <w:r w:rsidR="0097553B">
        <w:t xml:space="preserve">we </w:t>
      </w:r>
      <w:r w:rsidR="00BB5B9A">
        <w:t>deny</w:t>
      </w:r>
      <w:r>
        <w:t xml:space="preserve"> the </w:t>
      </w:r>
      <w:r w:rsidR="00DB3FB5">
        <w:t xml:space="preserve">parties’ </w:t>
      </w:r>
      <w:r w:rsidR="00C063BB">
        <w:t>request</w:t>
      </w:r>
      <w:r w:rsidR="00BB5B9A">
        <w:t xml:space="preserve"> for</w:t>
      </w:r>
      <w:r>
        <w:t xml:space="preserve"> judicial notice of </w:t>
      </w:r>
      <w:r w:rsidR="00E355D6">
        <w:t xml:space="preserve">the </w:t>
      </w:r>
      <w:r w:rsidR="00BB5B9A">
        <w:t>rest of the</w:t>
      </w:r>
      <w:r w:rsidR="00E355D6">
        <w:t xml:space="preserve"> </w:t>
      </w:r>
      <w:r w:rsidR="00196FD7">
        <w:t xml:space="preserve">federal </w:t>
      </w:r>
      <w:r w:rsidR="00E355D6">
        <w:t>court file</w:t>
      </w:r>
      <w:r w:rsidR="00176193">
        <w:t xml:space="preserve">. </w:t>
      </w:r>
      <w:r w:rsidR="0047535F">
        <w:t xml:space="preserve"> </w:t>
      </w:r>
      <w:r w:rsidR="00407558">
        <w:t xml:space="preserve">The </w:t>
      </w:r>
      <w:r w:rsidR="00015BE3">
        <w:t>parties</w:t>
      </w:r>
      <w:r w:rsidR="0033383F">
        <w:t xml:space="preserve"> </w:t>
      </w:r>
      <w:r w:rsidR="00015BE3">
        <w:t>have not shown th</w:t>
      </w:r>
      <w:r w:rsidR="006B22B0">
        <w:t>ose</w:t>
      </w:r>
      <w:r w:rsidR="005210BB">
        <w:t xml:space="preserve"> records</w:t>
      </w:r>
      <w:r w:rsidR="00015BE3">
        <w:t xml:space="preserve"> </w:t>
      </w:r>
      <w:r w:rsidR="006B22B0">
        <w:t>are</w:t>
      </w:r>
      <w:r w:rsidR="00015BE3">
        <w:t xml:space="preserve"> “both relevant to and helpful toward resolving the matters before this court.”  (</w:t>
      </w:r>
      <w:r w:rsidRPr="00E355D6" w:rsidR="00015BE3">
        <w:rPr>
          <w:i/>
          <w:iCs/>
        </w:rPr>
        <w:t>Deveny v. Entropin, Inc.</w:t>
      </w:r>
      <w:r w:rsidR="00015BE3">
        <w:t xml:space="preserve"> (2006) 139 Cal.App.4th 408, 418</w:t>
      </w:r>
      <w:r w:rsidR="00854379">
        <w:t>.)  Nor have</w:t>
      </w:r>
      <w:r w:rsidR="0033383F">
        <w:t xml:space="preserve"> th</w:t>
      </w:r>
      <w:r w:rsidR="005B1814">
        <w:t>ey</w:t>
      </w:r>
      <w:r w:rsidR="0033383F">
        <w:t xml:space="preserve"> </w:t>
      </w:r>
      <w:r w:rsidR="00407558">
        <w:t>provided us with a copy of the</w:t>
      </w:r>
      <w:r w:rsidR="00196FD7">
        <w:t xml:space="preserve"> </w:t>
      </w:r>
      <w:r w:rsidR="00330CA9">
        <w:t xml:space="preserve">file or other means to </w:t>
      </w:r>
      <w:r w:rsidR="00A918EE">
        <w:t>access</w:t>
      </w:r>
      <w:r w:rsidR="00330CA9">
        <w:t xml:space="preserve"> it.  </w:t>
      </w:r>
      <w:r w:rsidR="0047535F">
        <w:t>(Evid. Code, §§</w:t>
      </w:r>
      <w:r w:rsidR="005B1814">
        <w:t xml:space="preserve"> </w:t>
      </w:r>
      <w:r w:rsidR="0047535F">
        <w:t>45</w:t>
      </w:r>
      <w:r w:rsidR="0097553B">
        <w:t>3, subd. (b)</w:t>
      </w:r>
      <w:r w:rsidR="005B1814">
        <w:t>, 459</w:t>
      </w:r>
      <w:r w:rsidR="00FA6EE6">
        <w:t>, subd. (a)</w:t>
      </w:r>
      <w:r w:rsidR="0097553B">
        <w:t>.)</w:t>
      </w:r>
    </w:p>
  </w:footnote>
  <w:footnote w:id="5">
    <w:p w:rsidR="00732426" w:rsidRPr="001B756C" w:rsidP="00732426" w14:paraId="1B01CF05" w14:textId="77777777">
      <w:pPr>
        <w:pStyle w:val="FootnoteText"/>
        <w:rPr>
          <w:szCs w:val="26"/>
        </w:rPr>
      </w:pPr>
      <w:r w:rsidRPr="0093623B">
        <w:rPr>
          <w:rStyle w:val="FootnoteReference"/>
          <w:bCs/>
          <w:position w:val="12"/>
        </w:rPr>
        <w:footnoteRef/>
      </w:r>
      <w:r w:rsidRPr="003A4A66">
        <w:rPr>
          <w:b/>
          <w:bCs/>
          <w:szCs w:val="26"/>
          <w:vertAlign w:val="superscript"/>
        </w:rPr>
        <w:t xml:space="preserve"> </w:t>
      </w:r>
      <w:r>
        <w:rPr>
          <w:szCs w:val="26"/>
        </w:rPr>
        <w:t>The</w:t>
      </w:r>
      <w:r w:rsidRPr="0051138C">
        <w:rPr>
          <w:szCs w:val="26"/>
        </w:rPr>
        <w:t xml:space="preserve"> </w:t>
      </w:r>
      <w:r>
        <w:rPr>
          <w:szCs w:val="26"/>
        </w:rPr>
        <w:t>l</w:t>
      </w:r>
      <w:r w:rsidRPr="001B756C">
        <w:rPr>
          <w:szCs w:val="26"/>
        </w:rPr>
        <w:t xml:space="preserve">anguage interpreted in </w:t>
      </w:r>
      <w:r w:rsidRPr="00AB6565">
        <w:rPr>
          <w:i/>
          <w:iCs/>
          <w:szCs w:val="26"/>
        </w:rPr>
        <w:t>Birkett</w:t>
      </w:r>
      <w:r>
        <w:rPr>
          <w:szCs w:val="26"/>
        </w:rPr>
        <w:t xml:space="preserve"> (</w:t>
      </w:r>
      <w:r w:rsidRPr="001B756C">
        <w:rPr>
          <w:szCs w:val="26"/>
        </w:rPr>
        <w:t xml:space="preserve">former </w:t>
      </w:r>
      <w:r>
        <w:rPr>
          <w:szCs w:val="26"/>
        </w:rPr>
        <w:t>Pen. Code, § </w:t>
      </w:r>
      <w:r w:rsidRPr="001B756C">
        <w:rPr>
          <w:szCs w:val="26"/>
        </w:rPr>
        <w:t>1203.04</w:t>
      </w:r>
      <w:r>
        <w:rPr>
          <w:szCs w:val="26"/>
        </w:rPr>
        <w:t xml:space="preserve">, subds. (a)(1) &amp; (h)(2), as amended by </w:t>
      </w:r>
      <w:r w:rsidRPr="001B756C">
        <w:rPr>
          <w:szCs w:val="26"/>
        </w:rPr>
        <w:t xml:space="preserve">Stats. 1994, ch. 1106, § 4, </w:t>
      </w:r>
      <w:r>
        <w:rPr>
          <w:szCs w:val="26"/>
        </w:rPr>
        <w:t xml:space="preserve">pp. 6550, 6552, </w:t>
      </w:r>
      <w:r w:rsidRPr="001B756C">
        <w:rPr>
          <w:szCs w:val="26"/>
        </w:rPr>
        <w:t>repealed by Stats. 1995, ch. 313, § 8</w:t>
      </w:r>
      <w:r>
        <w:rPr>
          <w:szCs w:val="26"/>
        </w:rPr>
        <w:t>, p. 1762)</w:t>
      </w:r>
      <w:r w:rsidRPr="001B756C">
        <w:rPr>
          <w:szCs w:val="26"/>
        </w:rPr>
        <w:t xml:space="preserve"> </w:t>
      </w:r>
      <w:r>
        <w:rPr>
          <w:szCs w:val="26"/>
        </w:rPr>
        <w:t xml:space="preserve">is substantially identical to </w:t>
      </w:r>
      <w:r w:rsidRPr="001B756C">
        <w:rPr>
          <w:szCs w:val="26"/>
        </w:rPr>
        <w:t xml:space="preserve">current </w:t>
      </w:r>
      <w:r>
        <w:rPr>
          <w:szCs w:val="26"/>
        </w:rPr>
        <w:t>Penal Code section</w:t>
      </w:r>
      <w:r w:rsidRPr="001B756C">
        <w:rPr>
          <w:szCs w:val="26"/>
        </w:rPr>
        <w:t xml:space="preserve"> 1202.4, subd</w:t>
      </w:r>
      <w:r>
        <w:rPr>
          <w:szCs w:val="26"/>
        </w:rPr>
        <w:t>ivisio</w:t>
      </w:r>
      <w:r w:rsidRPr="001B756C">
        <w:rPr>
          <w:szCs w:val="26"/>
        </w:rPr>
        <w:t>ns (a)(1)</w:t>
      </w:r>
      <w:r>
        <w:rPr>
          <w:szCs w:val="26"/>
        </w:rPr>
        <w:t xml:space="preserve"> and</w:t>
      </w:r>
      <w:r w:rsidRPr="001B756C">
        <w:rPr>
          <w:szCs w:val="26"/>
        </w:rPr>
        <w:t xml:space="preserve"> (k)(1</w:t>
      </w:r>
      <w:r>
        <w:rPr>
          <w:szCs w:val="26"/>
        </w:rPr>
        <w:t>).</w:t>
      </w:r>
      <w:r w:rsidRPr="001B756C">
        <w:rPr>
          <w:szCs w:val="26"/>
        </w:rPr>
        <w:t xml:space="preserve"> </w:t>
      </w:r>
    </w:p>
  </w:footnote>
  <w:footnote w:id="6">
    <w:p w:rsidR="00CF22D4" w:rsidRPr="007719B5" w:rsidP="002A6EB0" w14:paraId="6FF39D24" w14:textId="5DCB1160">
      <w:pPr>
        <w:pStyle w:val="FootnoteText"/>
        <w:rPr>
          <w:szCs w:val="26"/>
        </w:rPr>
      </w:pPr>
      <w:r w:rsidRPr="005A6A2C">
        <w:rPr>
          <w:rStyle w:val="FootnoteReference"/>
          <w:position w:val="12"/>
        </w:rPr>
        <w:footnoteRef/>
      </w:r>
      <w:r w:rsidRPr="007719B5">
        <w:rPr>
          <w:szCs w:val="26"/>
        </w:rPr>
        <w:t xml:space="preserve"> Communications </w:t>
      </w:r>
      <w:r w:rsidR="006C2200">
        <w:rPr>
          <w:szCs w:val="26"/>
        </w:rPr>
        <w:t>during mediation</w:t>
      </w:r>
      <w:r w:rsidRPr="007719B5">
        <w:rPr>
          <w:szCs w:val="26"/>
        </w:rPr>
        <w:t xml:space="preserve"> </w:t>
      </w:r>
      <w:r w:rsidRPr="007719B5" w:rsidR="007719B5">
        <w:rPr>
          <w:szCs w:val="26"/>
        </w:rPr>
        <w:t>are</w:t>
      </w:r>
      <w:r w:rsidRPr="007719B5">
        <w:rPr>
          <w:szCs w:val="26"/>
        </w:rPr>
        <w:t xml:space="preserve"> confidential only in “noncriminal proceeding</w:t>
      </w:r>
      <w:r w:rsidR="000E2D60">
        <w:rPr>
          <w:szCs w:val="26"/>
        </w:rPr>
        <w:t>[</w:t>
      </w:r>
      <w:r w:rsidRPr="007719B5">
        <w:rPr>
          <w:szCs w:val="26"/>
        </w:rPr>
        <w:t>s</w:t>
      </w:r>
      <w:r w:rsidR="000E2D60">
        <w:rPr>
          <w:szCs w:val="26"/>
        </w:rPr>
        <w:t>]</w:t>
      </w:r>
      <w:r w:rsidRPr="007719B5">
        <w:rPr>
          <w:szCs w:val="26"/>
        </w:rPr>
        <w:t>.”  (Evid. Code, § 1119, subds. (</w:t>
      </w:r>
      <w:r w:rsidRPr="007719B5" w:rsidR="007719B5">
        <w:rPr>
          <w:szCs w:val="26"/>
        </w:rPr>
        <w:t>a) &amp; (b).)</w:t>
      </w:r>
      <w:r w:rsidR="00F86555">
        <w:rPr>
          <w:szCs w:val="26"/>
        </w:rPr>
        <w:t xml:space="preserve">  </w:t>
      </w:r>
      <w:r w:rsidR="00DA06F8">
        <w:rPr>
          <w:szCs w:val="26"/>
        </w:rPr>
        <w:t>P</w:t>
      </w:r>
      <w:r w:rsidRPr="00F86555" w:rsidR="00F86555">
        <w:rPr>
          <w:szCs w:val="26"/>
        </w:rPr>
        <w:t>ublic policy favor</w:t>
      </w:r>
      <w:r w:rsidR="00DA06F8">
        <w:rPr>
          <w:szCs w:val="26"/>
        </w:rPr>
        <w:t>s</w:t>
      </w:r>
      <w:r w:rsidRPr="00F86555" w:rsidR="00F86555">
        <w:rPr>
          <w:szCs w:val="26"/>
        </w:rPr>
        <w:t xml:space="preserve"> open judicial hearings</w:t>
      </w:r>
      <w:r w:rsidR="00DA06F8">
        <w:rPr>
          <w:szCs w:val="26"/>
        </w:rPr>
        <w:t xml:space="preserve"> in criminal cases.  (</w:t>
      </w:r>
      <w:r w:rsidRPr="00110109" w:rsidR="00F86555">
        <w:rPr>
          <w:i/>
          <w:iCs/>
          <w:szCs w:val="26"/>
        </w:rPr>
        <w:t>People v. Woodruff</w:t>
      </w:r>
      <w:r w:rsidRPr="00F86555" w:rsidR="00F86555">
        <w:rPr>
          <w:szCs w:val="26"/>
        </w:rPr>
        <w:t xml:space="preserve"> (2018) 5 Cal.5th 697, 757</w:t>
      </w:r>
      <w:r w:rsidR="00EE7C53">
        <w:rPr>
          <w:szCs w:val="26"/>
        </w:rPr>
        <w:t>; Cal. Const., art. I, §</w:t>
      </w:r>
      <w:r w:rsidR="000E2D60">
        <w:rPr>
          <w:szCs w:val="26"/>
        </w:rPr>
        <w:t> </w:t>
      </w:r>
      <w:r w:rsidR="00EE7C53">
        <w:rPr>
          <w:szCs w:val="26"/>
        </w:rPr>
        <w:t>29 [People’s right to public trial]</w:t>
      </w:r>
      <w:r w:rsidR="00DA06F8">
        <w:rPr>
          <w:szCs w:val="26"/>
        </w:rPr>
        <w:t>.)</w:t>
      </w:r>
    </w:p>
  </w:footnote>
  <w:footnote w:id="7">
    <w:p w:rsidR="00A21037" w:rsidRPr="000A508B" w14:paraId="4865C0D2" w14:textId="4A3268BC">
      <w:pPr>
        <w:pStyle w:val="FootnoteText"/>
      </w:pPr>
      <w:r w:rsidRPr="00EF61BB">
        <w:rPr>
          <w:rStyle w:val="FootnoteReference"/>
          <w:position w:val="12"/>
        </w:rPr>
        <w:footnoteRef/>
      </w:r>
      <w:r w:rsidRPr="00EF61BB">
        <w:rPr>
          <w:position w:val="12"/>
        </w:rPr>
        <w:t xml:space="preserve"> </w:t>
      </w:r>
      <w:r>
        <w:t>Fish</w:t>
      </w:r>
      <w:r w:rsidR="00236E67">
        <w:t>ing</w:t>
      </w:r>
      <w:r>
        <w:t xml:space="preserve"> blocks </w:t>
      </w:r>
      <w:r w:rsidR="00985BCB">
        <w:t xml:space="preserve">are </w:t>
      </w:r>
      <w:r w:rsidR="000A508B">
        <w:t xml:space="preserve">numbered </w:t>
      </w:r>
      <w:r w:rsidR="00B175F4">
        <w:t xml:space="preserve">grid squares in an ocean map </w:t>
      </w:r>
      <w:r w:rsidR="004F650A">
        <w:t xml:space="preserve">shown </w:t>
      </w:r>
      <w:r w:rsidR="00985BCB">
        <w:t xml:space="preserve">in Department of Fish and Wildlife </w:t>
      </w:r>
      <w:r w:rsidR="00740B5F">
        <w:t>f</w:t>
      </w:r>
      <w:r w:rsidR="000A508B">
        <w:t xml:space="preserve">isheries </w:t>
      </w:r>
      <w:r w:rsidR="00740B5F">
        <w:t>c</w:t>
      </w:r>
      <w:r w:rsidR="000A508B">
        <w:t>hart</w:t>
      </w:r>
      <w:r w:rsidR="00740B5F">
        <w:t>s</w:t>
      </w:r>
      <w:r w:rsidR="000A508B">
        <w:t xml:space="preserve">. </w:t>
      </w:r>
      <w:r w:rsidR="00740B5F">
        <w:t xml:space="preserve"> </w:t>
      </w:r>
      <w:r w:rsidR="00066C9F">
        <w:t>(See Cal.</w:t>
      </w:r>
      <w:r w:rsidR="001A5DB8">
        <w:t xml:space="preserve"> </w:t>
      </w:r>
      <w:r w:rsidR="00066C9F">
        <w:t>Code Regs., tit. 14, § 705.1</w:t>
      </w:r>
      <w:r w:rsidR="00A36D68">
        <w:t xml:space="preserve">, subd. </w:t>
      </w:r>
      <w:r w:rsidR="00066C9F">
        <w:t xml:space="preserve">(d).) </w:t>
      </w:r>
    </w:p>
  </w:footnote>
  <w:footnote w:id="8">
    <w:p w:rsidR="004153C0" w14:paraId="1B0C86B2" w14:textId="1E953945">
      <w:pPr>
        <w:pStyle w:val="FootnoteText"/>
      </w:pPr>
      <w:r w:rsidRPr="00EA0AEF">
        <w:rPr>
          <w:rStyle w:val="FootnoteReference"/>
          <w:position w:val="12"/>
        </w:rPr>
        <w:footnoteRef/>
      </w:r>
      <w:r w:rsidRPr="00EA0AEF">
        <w:rPr>
          <w:position w:val="12"/>
        </w:rPr>
        <w:t xml:space="preserve"> </w:t>
      </w:r>
      <w:r w:rsidRPr="004153C0">
        <w:t>Counsel stated they were “familiar with . . . the identities of likely class members” and were “well-equipped to supply notice” to victims who had not yet submitted claims.</w:t>
      </w:r>
      <w:r w:rsidRPr="004153C0">
        <w:rPr>
          <w:b/>
          <w:bCs/>
        </w:rPr>
        <w:t xml:space="preserve"> </w:t>
      </w:r>
      <w:r w:rsidRPr="004153C0">
        <w:t xml:space="preserve"> In </w:t>
      </w:r>
      <w:r w:rsidRPr="004153C0">
        <w:rPr>
          <w:i/>
          <w:iCs/>
        </w:rPr>
        <w:t>Andrews</w:t>
      </w:r>
      <w:r w:rsidRPr="004153C0">
        <w:t xml:space="preserve">, counsel represented that “notice to the class was manageable,” and they provided notice to members through direct mail. </w:t>
      </w:r>
    </w:p>
  </w:footnote>
  <w:footnote w:id="9">
    <w:p w:rsidR="00FC66C3" w14:paraId="31D1240F" w14:textId="65B1CF38">
      <w:pPr>
        <w:pStyle w:val="FootnoteText"/>
      </w:pPr>
      <w:r w:rsidRPr="00574ED8">
        <w:rPr>
          <w:rStyle w:val="FootnoteReference"/>
          <w:position w:val="12"/>
        </w:rPr>
        <w:footnoteRef/>
      </w:r>
      <w:r w:rsidRPr="00574ED8">
        <w:rPr>
          <w:position w:val="12"/>
        </w:rPr>
        <w:t xml:space="preserve"> </w:t>
      </w:r>
      <w:r w:rsidRPr="00FC66C3">
        <w:rPr>
          <w:bCs/>
        </w:rPr>
        <w:t xml:space="preserve">This issue is not pertinent to Group 2 claimants because the record does not show the trial court denied them the right to make oral impact statements.  </w:t>
      </w:r>
    </w:p>
  </w:footnote>
  <w:footnote w:id="10">
    <w:p w:rsidR="00BA7281" w:rsidRPr="00E01886" w:rsidP="00B77E50" w14:paraId="4BCA3607" w14:textId="6B332E6F">
      <w:pPr>
        <w:pStyle w:val="FootnoteText"/>
        <w:rPr>
          <w:szCs w:val="26"/>
        </w:rPr>
      </w:pPr>
      <w:r w:rsidRPr="005A6A2C">
        <w:rPr>
          <w:rStyle w:val="FootnoteReference"/>
          <w:position w:val="12"/>
        </w:rPr>
        <w:footnoteRef/>
      </w:r>
      <w:r w:rsidRPr="00E01886">
        <w:rPr>
          <w:szCs w:val="26"/>
        </w:rPr>
        <w:t xml:space="preserve"> </w:t>
      </w:r>
      <w:r w:rsidRPr="00E01886" w:rsidR="00FC62AE">
        <w:rPr>
          <w:szCs w:val="26"/>
        </w:rPr>
        <w:t xml:space="preserve">A footnote in </w:t>
      </w:r>
      <w:r w:rsidR="003303F3">
        <w:rPr>
          <w:szCs w:val="26"/>
        </w:rPr>
        <w:t>appellant’s</w:t>
      </w:r>
      <w:r w:rsidRPr="00E01886" w:rsidR="003D0B11">
        <w:rPr>
          <w:szCs w:val="26"/>
        </w:rPr>
        <w:t xml:space="preserve"> </w:t>
      </w:r>
      <w:r w:rsidRPr="00E01886" w:rsidR="00FC62AE">
        <w:rPr>
          <w:szCs w:val="26"/>
        </w:rPr>
        <w:t xml:space="preserve">opening brief </w:t>
      </w:r>
      <w:r w:rsidRPr="00E01886" w:rsidR="00FA2BE4">
        <w:rPr>
          <w:szCs w:val="26"/>
        </w:rPr>
        <w:t>states tha</w:t>
      </w:r>
      <w:r w:rsidRPr="00E01886" w:rsidR="00AA4DC7">
        <w:rPr>
          <w:szCs w:val="26"/>
        </w:rPr>
        <w:t xml:space="preserve">t </w:t>
      </w:r>
      <w:r w:rsidR="00EA47AB">
        <w:rPr>
          <w:szCs w:val="26"/>
        </w:rPr>
        <w:t>their</w:t>
      </w:r>
      <w:r w:rsidRPr="00E01886" w:rsidR="00EA47AB">
        <w:rPr>
          <w:szCs w:val="26"/>
        </w:rPr>
        <w:t xml:space="preserve"> </w:t>
      </w:r>
      <w:r w:rsidRPr="00E01886" w:rsidR="00D43EC1">
        <w:rPr>
          <w:szCs w:val="26"/>
        </w:rPr>
        <w:t>contentions</w:t>
      </w:r>
      <w:r w:rsidRPr="00E01886" w:rsidR="00DA5359">
        <w:rPr>
          <w:szCs w:val="26"/>
        </w:rPr>
        <w:t xml:space="preserve"> </w:t>
      </w:r>
      <w:r w:rsidRPr="00E01886" w:rsidR="00AA4DC7">
        <w:rPr>
          <w:szCs w:val="26"/>
        </w:rPr>
        <w:t xml:space="preserve">also apply to Group 4 real property claimants. </w:t>
      </w:r>
      <w:r w:rsidRPr="00E01886" w:rsidR="00FA2BE4">
        <w:rPr>
          <w:szCs w:val="26"/>
        </w:rPr>
        <w:t xml:space="preserve"> </w:t>
      </w:r>
      <w:r w:rsidRPr="00E01886" w:rsidR="00906A35">
        <w:rPr>
          <w:szCs w:val="26"/>
        </w:rPr>
        <w:t>B</w:t>
      </w:r>
      <w:r w:rsidRPr="00E01886" w:rsidR="00AC774A">
        <w:rPr>
          <w:szCs w:val="26"/>
        </w:rPr>
        <w:t xml:space="preserve">ecause the Attorney General appealed only the orders regarding Groups 2 and 3, issues regarding Groups 1 and 4 are not before us. </w:t>
      </w:r>
      <w:r w:rsidRPr="00E01886" w:rsidR="00B77E50">
        <w:rPr>
          <w:szCs w:val="26"/>
        </w:rPr>
        <w:t xml:space="preserve"> (</w:t>
      </w:r>
      <w:r w:rsidRPr="0084284C" w:rsidR="00B77E50">
        <w:rPr>
          <w:i/>
          <w:iCs/>
          <w:szCs w:val="26"/>
        </w:rPr>
        <w:t>Pfeifer v. John Crane, Inc.</w:t>
      </w:r>
      <w:r w:rsidRPr="00E01886" w:rsidR="00B77E50">
        <w:rPr>
          <w:szCs w:val="26"/>
        </w:rPr>
        <w:t xml:space="preserve"> (2013) 220 Cal.App.4th 1270, 1315-1316.) </w:t>
      </w:r>
      <w:r w:rsidRPr="00E01886" w:rsidR="00AC774A">
        <w:rPr>
          <w:szCs w:val="26"/>
        </w:rPr>
        <w:t xml:space="preserve"> </w:t>
      </w:r>
      <w:r w:rsidRPr="00E01886" w:rsidR="00260F32">
        <w:rPr>
          <w:szCs w:val="26"/>
        </w:rPr>
        <w:t xml:space="preserve">Appellant also </w:t>
      </w:r>
      <w:r w:rsidRPr="00E01886" w:rsidR="003D1BF3">
        <w:rPr>
          <w:szCs w:val="26"/>
        </w:rPr>
        <w:t>contends</w:t>
      </w:r>
      <w:r w:rsidRPr="00E01886" w:rsidR="003112DA">
        <w:rPr>
          <w:szCs w:val="26"/>
        </w:rPr>
        <w:t xml:space="preserve"> </w:t>
      </w:r>
      <w:r w:rsidRPr="00E01886" w:rsidR="003D1BF3">
        <w:rPr>
          <w:szCs w:val="26"/>
        </w:rPr>
        <w:t xml:space="preserve">that </w:t>
      </w:r>
      <w:r w:rsidRPr="00E01886" w:rsidR="00A86E6A">
        <w:rPr>
          <w:szCs w:val="26"/>
        </w:rPr>
        <w:t xml:space="preserve">on remand, the trial court must permit new claims by any victim. </w:t>
      </w:r>
      <w:r w:rsidRPr="00E01886" w:rsidR="00676B8D">
        <w:rPr>
          <w:szCs w:val="26"/>
        </w:rPr>
        <w:t xml:space="preserve"> We decline to</w:t>
      </w:r>
      <w:r w:rsidRPr="00E01886" w:rsidR="00483DEE">
        <w:rPr>
          <w:szCs w:val="26"/>
        </w:rPr>
        <w:t xml:space="preserve"> address</w:t>
      </w:r>
      <w:r w:rsidRPr="00E01886" w:rsidR="00676B8D">
        <w:rPr>
          <w:szCs w:val="26"/>
        </w:rPr>
        <w:t xml:space="preserve"> this issue</w:t>
      </w:r>
      <w:r w:rsidRPr="00E01886" w:rsidR="00026CC4">
        <w:rPr>
          <w:szCs w:val="26"/>
        </w:rPr>
        <w:t xml:space="preserve"> because </w:t>
      </w:r>
      <w:r w:rsidRPr="00E01886" w:rsidR="00260F32">
        <w:rPr>
          <w:szCs w:val="26"/>
        </w:rPr>
        <w:t>it was raised for the first time in the reply brief.  (</w:t>
      </w:r>
      <w:r w:rsidRPr="0084284C" w:rsidR="00162DD1">
        <w:rPr>
          <w:i/>
          <w:iCs/>
          <w:szCs w:val="26"/>
        </w:rPr>
        <w:t>People v. Newton</w:t>
      </w:r>
      <w:r w:rsidRPr="00E01886" w:rsidR="00162DD1">
        <w:rPr>
          <w:szCs w:val="26"/>
        </w:rPr>
        <w:t xml:space="preserve"> (2007) 155 Cal.App.4th 1000, 1005.</w:t>
      </w:r>
      <w:r w:rsidRPr="00E01886" w:rsidR="00260F32">
        <w:rPr>
          <w:szCs w:val="2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7B615D"/>
    <w:multiLevelType w:val="hybridMultilevel"/>
    <w:tmpl w:val="DDF8F306"/>
    <w:lvl w:ilvl="0">
      <w:start w:val="1"/>
      <w:numFmt w:val="decimal"/>
      <w:lvlText w:val="%1."/>
      <w:lvlJc w:val="left"/>
      <w:pPr>
        <w:ind w:left="1020" w:hanging="360"/>
      </w:pPr>
    </w:lvl>
    <w:lvl w:ilvl="1">
      <w:start w:val="1"/>
      <w:numFmt w:val="decimal"/>
      <w:lvlText w:val="%2."/>
      <w:lvlJc w:val="left"/>
      <w:pPr>
        <w:ind w:left="1020" w:hanging="360"/>
      </w:pPr>
    </w:lvl>
    <w:lvl w:ilvl="2">
      <w:start w:val="1"/>
      <w:numFmt w:val="decimal"/>
      <w:lvlText w:val="%3."/>
      <w:lvlJc w:val="left"/>
      <w:pPr>
        <w:ind w:left="1020" w:hanging="360"/>
      </w:pPr>
    </w:lvl>
    <w:lvl w:ilvl="3">
      <w:start w:val="1"/>
      <w:numFmt w:val="decimal"/>
      <w:lvlText w:val="%4."/>
      <w:lvlJc w:val="left"/>
      <w:pPr>
        <w:ind w:left="1020" w:hanging="360"/>
      </w:pPr>
    </w:lvl>
    <w:lvl w:ilvl="4">
      <w:start w:val="1"/>
      <w:numFmt w:val="decimal"/>
      <w:lvlText w:val="%5."/>
      <w:lvlJc w:val="left"/>
      <w:pPr>
        <w:ind w:left="1020" w:hanging="360"/>
      </w:pPr>
    </w:lvl>
    <w:lvl w:ilvl="5">
      <w:start w:val="1"/>
      <w:numFmt w:val="decimal"/>
      <w:lvlText w:val="%6."/>
      <w:lvlJc w:val="left"/>
      <w:pPr>
        <w:ind w:left="1020" w:hanging="360"/>
      </w:pPr>
    </w:lvl>
    <w:lvl w:ilvl="6">
      <w:start w:val="1"/>
      <w:numFmt w:val="decimal"/>
      <w:lvlText w:val="%7."/>
      <w:lvlJc w:val="left"/>
      <w:pPr>
        <w:ind w:left="1020" w:hanging="360"/>
      </w:pPr>
    </w:lvl>
    <w:lvl w:ilvl="7">
      <w:start w:val="1"/>
      <w:numFmt w:val="decimal"/>
      <w:lvlText w:val="%8."/>
      <w:lvlJc w:val="left"/>
      <w:pPr>
        <w:ind w:left="1020" w:hanging="360"/>
      </w:pPr>
    </w:lvl>
    <w:lvl w:ilvl="8">
      <w:start w:val="1"/>
      <w:numFmt w:val="decimal"/>
      <w:lvlText w:val="%9."/>
      <w:lvlJc w:val="left"/>
      <w:pPr>
        <w:ind w:left="1020" w:hanging="360"/>
      </w:pPr>
    </w:lvl>
  </w:abstractNum>
  <w:abstractNum w:abstractNumId="1">
    <w:nsid w:val="0D0402BF"/>
    <w:multiLevelType w:val="hybridMultilevel"/>
    <w:tmpl w:val="2872012E"/>
    <w:lvl w:ilvl="0">
      <w:start w:val="1"/>
      <w:numFmt w:val="decimal"/>
      <w:lvlText w:val="%1."/>
      <w:lvlJc w:val="left"/>
      <w:pPr>
        <w:ind w:left="1020" w:hanging="360"/>
      </w:pPr>
    </w:lvl>
    <w:lvl w:ilvl="1">
      <w:start w:val="1"/>
      <w:numFmt w:val="decimal"/>
      <w:lvlText w:val="%2."/>
      <w:lvlJc w:val="left"/>
      <w:pPr>
        <w:ind w:left="1020" w:hanging="360"/>
      </w:pPr>
    </w:lvl>
    <w:lvl w:ilvl="2">
      <w:start w:val="1"/>
      <w:numFmt w:val="decimal"/>
      <w:lvlText w:val="%3."/>
      <w:lvlJc w:val="left"/>
      <w:pPr>
        <w:ind w:left="1020" w:hanging="360"/>
      </w:pPr>
    </w:lvl>
    <w:lvl w:ilvl="3">
      <w:start w:val="1"/>
      <w:numFmt w:val="decimal"/>
      <w:lvlText w:val="%4."/>
      <w:lvlJc w:val="left"/>
      <w:pPr>
        <w:ind w:left="1020" w:hanging="360"/>
      </w:pPr>
    </w:lvl>
    <w:lvl w:ilvl="4">
      <w:start w:val="1"/>
      <w:numFmt w:val="decimal"/>
      <w:lvlText w:val="%5."/>
      <w:lvlJc w:val="left"/>
      <w:pPr>
        <w:ind w:left="1020" w:hanging="360"/>
      </w:pPr>
    </w:lvl>
    <w:lvl w:ilvl="5">
      <w:start w:val="1"/>
      <w:numFmt w:val="decimal"/>
      <w:lvlText w:val="%6."/>
      <w:lvlJc w:val="left"/>
      <w:pPr>
        <w:ind w:left="1020" w:hanging="360"/>
      </w:pPr>
    </w:lvl>
    <w:lvl w:ilvl="6">
      <w:start w:val="1"/>
      <w:numFmt w:val="decimal"/>
      <w:lvlText w:val="%7."/>
      <w:lvlJc w:val="left"/>
      <w:pPr>
        <w:ind w:left="1020" w:hanging="360"/>
      </w:pPr>
    </w:lvl>
    <w:lvl w:ilvl="7">
      <w:start w:val="1"/>
      <w:numFmt w:val="decimal"/>
      <w:lvlText w:val="%8."/>
      <w:lvlJc w:val="left"/>
      <w:pPr>
        <w:ind w:left="1020" w:hanging="360"/>
      </w:pPr>
    </w:lvl>
    <w:lvl w:ilvl="8">
      <w:start w:val="1"/>
      <w:numFmt w:val="decimal"/>
      <w:lvlText w:val="%9."/>
      <w:lvlJc w:val="left"/>
      <w:pPr>
        <w:ind w:left="10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30"/>
  <w:displayHorizontalDrawingGridEvery w:val="2"/>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F2A"/>
    <w:rsid w:val="000008A5"/>
    <w:rsid w:val="00001921"/>
    <w:rsid w:val="00001C2B"/>
    <w:rsid w:val="000023EB"/>
    <w:rsid w:val="000026F1"/>
    <w:rsid w:val="00004572"/>
    <w:rsid w:val="00004BB0"/>
    <w:rsid w:val="00006786"/>
    <w:rsid w:val="000100EF"/>
    <w:rsid w:val="00010370"/>
    <w:rsid w:val="0001045F"/>
    <w:rsid w:val="00010D6F"/>
    <w:rsid w:val="00011EA4"/>
    <w:rsid w:val="0001257B"/>
    <w:rsid w:val="000136AE"/>
    <w:rsid w:val="00013DD0"/>
    <w:rsid w:val="000152AD"/>
    <w:rsid w:val="0001571A"/>
    <w:rsid w:val="0001584F"/>
    <w:rsid w:val="00015BE3"/>
    <w:rsid w:val="00015F89"/>
    <w:rsid w:val="00016A11"/>
    <w:rsid w:val="00020109"/>
    <w:rsid w:val="0002224D"/>
    <w:rsid w:val="00022396"/>
    <w:rsid w:val="000248C5"/>
    <w:rsid w:val="00025A26"/>
    <w:rsid w:val="00026CC4"/>
    <w:rsid w:val="00026E23"/>
    <w:rsid w:val="0002700E"/>
    <w:rsid w:val="00027078"/>
    <w:rsid w:val="000272BB"/>
    <w:rsid w:val="000306EF"/>
    <w:rsid w:val="00030D2D"/>
    <w:rsid w:val="0003118C"/>
    <w:rsid w:val="00031A06"/>
    <w:rsid w:val="00031E86"/>
    <w:rsid w:val="000330CF"/>
    <w:rsid w:val="00033641"/>
    <w:rsid w:val="00033D12"/>
    <w:rsid w:val="0003460D"/>
    <w:rsid w:val="00035513"/>
    <w:rsid w:val="00035DF9"/>
    <w:rsid w:val="000362A0"/>
    <w:rsid w:val="00036376"/>
    <w:rsid w:val="000369D0"/>
    <w:rsid w:val="000422BD"/>
    <w:rsid w:val="0004296F"/>
    <w:rsid w:val="00042CD5"/>
    <w:rsid w:val="0004331B"/>
    <w:rsid w:val="00043FC4"/>
    <w:rsid w:val="00046A8D"/>
    <w:rsid w:val="00046B06"/>
    <w:rsid w:val="00050F60"/>
    <w:rsid w:val="000514BB"/>
    <w:rsid w:val="0005165E"/>
    <w:rsid w:val="00051667"/>
    <w:rsid w:val="000533D5"/>
    <w:rsid w:val="0005499E"/>
    <w:rsid w:val="00055376"/>
    <w:rsid w:val="00057307"/>
    <w:rsid w:val="00057C07"/>
    <w:rsid w:val="0006006D"/>
    <w:rsid w:val="00060454"/>
    <w:rsid w:val="00060DA3"/>
    <w:rsid w:val="00061C22"/>
    <w:rsid w:val="00061CC7"/>
    <w:rsid w:val="00061E4F"/>
    <w:rsid w:val="000623E2"/>
    <w:rsid w:val="0006339C"/>
    <w:rsid w:val="00064CBC"/>
    <w:rsid w:val="000653A1"/>
    <w:rsid w:val="000653A7"/>
    <w:rsid w:val="0006549C"/>
    <w:rsid w:val="00065AE6"/>
    <w:rsid w:val="00065BEC"/>
    <w:rsid w:val="000662A1"/>
    <w:rsid w:val="00066C9F"/>
    <w:rsid w:val="000676DD"/>
    <w:rsid w:val="00067AAF"/>
    <w:rsid w:val="00067E9C"/>
    <w:rsid w:val="000705CE"/>
    <w:rsid w:val="0007222E"/>
    <w:rsid w:val="000727A5"/>
    <w:rsid w:val="0007363F"/>
    <w:rsid w:val="00073E7C"/>
    <w:rsid w:val="00073E85"/>
    <w:rsid w:val="000740F2"/>
    <w:rsid w:val="0007624A"/>
    <w:rsid w:val="00076891"/>
    <w:rsid w:val="00080606"/>
    <w:rsid w:val="000808A6"/>
    <w:rsid w:val="00080DC5"/>
    <w:rsid w:val="000820D9"/>
    <w:rsid w:val="000822C5"/>
    <w:rsid w:val="000825A0"/>
    <w:rsid w:val="000825FD"/>
    <w:rsid w:val="00082E41"/>
    <w:rsid w:val="000831CD"/>
    <w:rsid w:val="00083C86"/>
    <w:rsid w:val="000846C9"/>
    <w:rsid w:val="00084C92"/>
    <w:rsid w:val="00086012"/>
    <w:rsid w:val="00086B48"/>
    <w:rsid w:val="00087267"/>
    <w:rsid w:val="00087863"/>
    <w:rsid w:val="000878B6"/>
    <w:rsid w:val="0009049D"/>
    <w:rsid w:val="00090B95"/>
    <w:rsid w:val="00090C98"/>
    <w:rsid w:val="000918B5"/>
    <w:rsid w:val="00091C3B"/>
    <w:rsid w:val="000924C0"/>
    <w:rsid w:val="00092AC0"/>
    <w:rsid w:val="00093243"/>
    <w:rsid w:val="000936CB"/>
    <w:rsid w:val="00093747"/>
    <w:rsid w:val="00093F24"/>
    <w:rsid w:val="00093F9B"/>
    <w:rsid w:val="000940AA"/>
    <w:rsid w:val="000947A2"/>
    <w:rsid w:val="000947AF"/>
    <w:rsid w:val="00094B8A"/>
    <w:rsid w:val="00095361"/>
    <w:rsid w:val="00095828"/>
    <w:rsid w:val="00095E52"/>
    <w:rsid w:val="00095EF6"/>
    <w:rsid w:val="00096B04"/>
    <w:rsid w:val="000A05AC"/>
    <w:rsid w:val="000A0DC5"/>
    <w:rsid w:val="000A0EFB"/>
    <w:rsid w:val="000A0F63"/>
    <w:rsid w:val="000A0F6A"/>
    <w:rsid w:val="000A148E"/>
    <w:rsid w:val="000A25CD"/>
    <w:rsid w:val="000A2797"/>
    <w:rsid w:val="000A42DB"/>
    <w:rsid w:val="000A48A4"/>
    <w:rsid w:val="000A508B"/>
    <w:rsid w:val="000A5127"/>
    <w:rsid w:val="000A523C"/>
    <w:rsid w:val="000A5637"/>
    <w:rsid w:val="000A689C"/>
    <w:rsid w:val="000A7139"/>
    <w:rsid w:val="000A7AD2"/>
    <w:rsid w:val="000A7DB4"/>
    <w:rsid w:val="000B02AC"/>
    <w:rsid w:val="000B0EE9"/>
    <w:rsid w:val="000B133A"/>
    <w:rsid w:val="000B171F"/>
    <w:rsid w:val="000B1D46"/>
    <w:rsid w:val="000B1E3B"/>
    <w:rsid w:val="000B2868"/>
    <w:rsid w:val="000B2A90"/>
    <w:rsid w:val="000B2CAF"/>
    <w:rsid w:val="000B35F2"/>
    <w:rsid w:val="000B37CB"/>
    <w:rsid w:val="000B4D72"/>
    <w:rsid w:val="000B4F9B"/>
    <w:rsid w:val="000B57AF"/>
    <w:rsid w:val="000B5E5F"/>
    <w:rsid w:val="000B6212"/>
    <w:rsid w:val="000B6B40"/>
    <w:rsid w:val="000B7B59"/>
    <w:rsid w:val="000B7D79"/>
    <w:rsid w:val="000C120D"/>
    <w:rsid w:val="000C144E"/>
    <w:rsid w:val="000C16FA"/>
    <w:rsid w:val="000C21FB"/>
    <w:rsid w:val="000C27D6"/>
    <w:rsid w:val="000C2D03"/>
    <w:rsid w:val="000C391F"/>
    <w:rsid w:val="000C3BCE"/>
    <w:rsid w:val="000C3DDD"/>
    <w:rsid w:val="000C44C1"/>
    <w:rsid w:val="000C4BFE"/>
    <w:rsid w:val="000C5D9D"/>
    <w:rsid w:val="000C60EE"/>
    <w:rsid w:val="000C7589"/>
    <w:rsid w:val="000D0570"/>
    <w:rsid w:val="000D0A16"/>
    <w:rsid w:val="000D0BD4"/>
    <w:rsid w:val="000D1369"/>
    <w:rsid w:val="000D17DD"/>
    <w:rsid w:val="000D18DF"/>
    <w:rsid w:val="000D25B6"/>
    <w:rsid w:val="000D3916"/>
    <w:rsid w:val="000D6918"/>
    <w:rsid w:val="000D6A65"/>
    <w:rsid w:val="000D6D76"/>
    <w:rsid w:val="000D7798"/>
    <w:rsid w:val="000D7D12"/>
    <w:rsid w:val="000E0017"/>
    <w:rsid w:val="000E10E9"/>
    <w:rsid w:val="000E149F"/>
    <w:rsid w:val="000E2062"/>
    <w:rsid w:val="000E20AA"/>
    <w:rsid w:val="000E22FD"/>
    <w:rsid w:val="000E25BB"/>
    <w:rsid w:val="000E260B"/>
    <w:rsid w:val="000E28A4"/>
    <w:rsid w:val="000E2D60"/>
    <w:rsid w:val="000E3F8C"/>
    <w:rsid w:val="000E52BD"/>
    <w:rsid w:val="000E54EA"/>
    <w:rsid w:val="000E6F1A"/>
    <w:rsid w:val="000E7239"/>
    <w:rsid w:val="000E7C17"/>
    <w:rsid w:val="000F0313"/>
    <w:rsid w:val="000F0D56"/>
    <w:rsid w:val="000F2CFC"/>
    <w:rsid w:val="000F2FD8"/>
    <w:rsid w:val="000F315E"/>
    <w:rsid w:val="000F45B4"/>
    <w:rsid w:val="000F4614"/>
    <w:rsid w:val="000F4890"/>
    <w:rsid w:val="000F53C1"/>
    <w:rsid w:val="000F5666"/>
    <w:rsid w:val="000F56A5"/>
    <w:rsid w:val="000F59A2"/>
    <w:rsid w:val="000F63D2"/>
    <w:rsid w:val="000F6929"/>
    <w:rsid w:val="000F70F2"/>
    <w:rsid w:val="000F729B"/>
    <w:rsid w:val="000F74B9"/>
    <w:rsid w:val="000F7A81"/>
    <w:rsid w:val="0010047F"/>
    <w:rsid w:val="00100FA3"/>
    <w:rsid w:val="0010115F"/>
    <w:rsid w:val="001012AD"/>
    <w:rsid w:val="00103B97"/>
    <w:rsid w:val="00103FAE"/>
    <w:rsid w:val="00104E3B"/>
    <w:rsid w:val="0010504C"/>
    <w:rsid w:val="00105EC0"/>
    <w:rsid w:val="00106413"/>
    <w:rsid w:val="00107CB2"/>
    <w:rsid w:val="00110109"/>
    <w:rsid w:val="001107B0"/>
    <w:rsid w:val="00110E6A"/>
    <w:rsid w:val="00110F55"/>
    <w:rsid w:val="00111407"/>
    <w:rsid w:val="0011181F"/>
    <w:rsid w:val="00111BFE"/>
    <w:rsid w:val="00111D0E"/>
    <w:rsid w:val="00111EA9"/>
    <w:rsid w:val="00111F71"/>
    <w:rsid w:val="00112CFE"/>
    <w:rsid w:val="001135E2"/>
    <w:rsid w:val="00113BD0"/>
    <w:rsid w:val="0011485E"/>
    <w:rsid w:val="0011587A"/>
    <w:rsid w:val="00117384"/>
    <w:rsid w:val="00120020"/>
    <w:rsid w:val="00120E5B"/>
    <w:rsid w:val="00121611"/>
    <w:rsid w:val="00122513"/>
    <w:rsid w:val="001225AF"/>
    <w:rsid w:val="00122AA6"/>
    <w:rsid w:val="00123F4B"/>
    <w:rsid w:val="00124157"/>
    <w:rsid w:val="00124167"/>
    <w:rsid w:val="00125EAC"/>
    <w:rsid w:val="00126943"/>
    <w:rsid w:val="00127669"/>
    <w:rsid w:val="0013020A"/>
    <w:rsid w:val="001303E9"/>
    <w:rsid w:val="00130AB0"/>
    <w:rsid w:val="00130BC4"/>
    <w:rsid w:val="001319AC"/>
    <w:rsid w:val="00131AB6"/>
    <w:rsid w:val="00132C09"/>
    <w:rsid w:val="00132DFD"/>
    <w:rsid w:val="00133BC8"/>
    <w:rsid w:val="001360AF"/>
    <w:rsid w:val="0013614A"/>
    <w:rsid w:val="00136DBF"/>
    <w:rsid w:val="00137087"/>
    <w:rsid w:val="00137C79"/>
    <w:rsid w:val="0014126F"/>
    <w:rsid w:val="0014143F"/>
    <w:rsid w:val="00141F48"/>
    <w:rsid w:val="00144354"/>
    <w:rsid w:val="00145055"/>
    <w:rsid w:val="0014618F"/>
    <w:rsid w:val="00146C8B"/>
    <w:rsid w:val="001474B9"/>
    <w:rsid w:val="00150819"/>
    <w:rsid w:val="001511E4"/>
    <w:rsid w:val="0015135B"/>
    <w:rsid w:val="001513EA"/>
    <w:rsid w:val="00151FA6"/>
    <w:rsid w:val="00151FE8"/>
    <w:rsid w:val="00152005"/>
    <w:rsid w:val="001527E1"/>
    <w:rsid w:val="00153C64"/>
    <w:rsid w:val="00154224"/>
    <w:rsid w:val="00154944"/>
    <w:rsid w:val="001557C7"/>
    <w:rsid w:val="00155C12"/>
    <w:rsid w:val="00155C46"/>
    <w:rsid w:val="00155E0E"/>
    <w:rsid w:val="00156A23"/>
    <w:rsid w:val="0015756E"/>
    <w:rsid w:val="00160278"/>
    <w:rsid w:val="00161E26"/>
    <w:rsid w:val="0016203A"/>
    <w:rsid w:val="00162DD1"/>
    <w:rsid w:val="00163306"/>
    <w:rsid w:val="0016490E"/>
    <w:rsid w:val="00165DFB"/>
    <w:rsid w:val="00165EF4"/>
    <w:rsid w:val="001661C8"/>
    <w:rsid w:val="001663EB"/>
    <w:rsid w:val="001663FC"/>
    <w:rsid w:val="001672E5"/>
    <w:rsid w:val="00167FBA"/>
    <w:rsid w:val="001706BF"/>
    <w:rsid w:val="00170BC3"/>
    <w:rsid w:val="00170C2F"/>
    <w:rsid w:val="0017114F"/>
    <w:rsid w:val="00171197"/>
    <w:rsid w:val="001724DE"/>
    <w:rsid w:val="00172705"/>
    <w:rsid w:val="0017332A"/>
    <w:rsid w:val="00173C37"/>
    <w:rsid w:val="00174568"/>
    <w:rsid w:val="00174CBD"/>
    <w:rsid w:val="001756CA"/>
    <w:rsid w:val="00176193"/>
    <w:rsid w:val="001761CC"/>
    <w:rsid w:val="00176414"/>
    <w:rsid w:val="00177901"/>
    <w:rsid w:val="00177AEB"/>
    <w:rsid w:val="00177D2A"/>
    <w:rsid w:val="00177F83"/>
    <w:rsid w:val="0018134D"/>
    <w:rsid w:val="00181680"/>
    <w:rsid w:val="00181B8E"/>
    <w:rsid w:val="00181DB4"/>
    <w:rsid w:val="001826C7"/>
    <w:rsid w:val="00182D74"/>
    <w:rsid w:val="00183854"/>
    <w:rsid w:val="0018434B"/>
    <w:rsid w:val="001846D6"/>
    <w:rsid w:val="00184F34"/>
    <w:rsid w:val="001856A8"/>
    <w:rsid w:val="0018626D"/>
    <w:rsid w:val="0018643C"/>
    <w:rsid w:val="00186A06"/>
    <w:rsid w:val="00186FF1"/>
    <w:rsid w:val="001873B0"/>
    <w:rsid w:val="00187AA5"/>
    <w:rsid w:val="00190179"/>
    <w:rsid w:val="0019150B"/>
    <w:rsid w:val="0019166C"/>
    <w:rsid w:val="0019196D"/>
    <w:rsid w:val="00191AFB"/>
    <w:rsid w:val="00192A4D"/>
    <w:rsid w:val="001937FA"/>
    <w:rsid w:val="00193891"/>
    <w:rsid w:val="001938CF"/>
    <w:rsid w:val="0019435A"/>
    <w:rsid w:val="001946E3"/>
    <w:rsid w:val="00194918"/>
    <w:rsid w:val="0019497E"/>
    <w:rsid w:val="00196FD7"/>
    <w:rsid w:val="001976F8"/>
    <w:rsid w:val="001A0915"/>
    <w:rsid w:val="001A1CC9"/>
    <w:rsid w:val="001A48BA"/>
    <w:rsid w:val="001A5B4B"/>
    <w:rsid w:val="001A5CEC"/>
    <w:rsid w:val="001A5DB8"/>
    <w:rsid w:val="001A659F"/>
    <w:rsid w:val="001A7213"/>
    <w:rsid w:val="001A72E9"/>
    <w:rsid w:val="001A7AE0"/>
    <w:rsid w:val="001B0607"/>
    <w:rsid w:val="001B09C0"/>
    <w:rsid w:val="001B1A55"/>
    <w:rsid w:val="001B3BDB"/>
    <w:rsid w:val="001B3CFA"/>
    <w:rsid w:val="001B682A"/>
    <w:rsid w:val="001B6969"/>
    <w:rsid w:val="001B756C"/>
    <w:rsid w:val="001C086B"/>
    <w:rsid w:val="001C11AF"/>
    <w:rsid w:val="001C151C"/>
    <w:rsid w:val="001C1CC0"/>
    <w:rsid w:val="001C22B1"/>
    <w:rsid w:val="001C2C3E"/>
    <w:rsid w:val="001C3B60"/>
    <w:rsid w:val="001C3E6E"/>
    <w:rsid w:val="001C3F30"/>
    <w:rsid w:val="001C4198"/>
    <w:rsid w:val="001C42A3"/>
    <w:rsid w:val="001C5B98"/>
    <w:rsid w:val="001C74FC"/>
    <w:rsid w:val="001C799C"/>
    <w:rsid w:val="001C7CAB"/>
    <w:rsid w:val="001D0D09"/>
    <w:rsid w:val="001D1DFD"/>
    <w:rsid w:val="001D36DF"/>
    <w:rsid w:val="001D4942"/>
    <w:rsid w:val="001D601F"/>
    <w:rsid w:val="001D6A98"/>
    <w:rsid w:val="001D72F9"/>
    <w:rsid w:val="001D7D97"/>
    <w:rsid w:val="001E0272"/>
    <w:rsid w:val="001E0DAA"/>
    <w:rsid w:val="001E0E9A"/>
    <w:rsid w:val="001E2397"/>
    <w:rsid w:val="001E2BEA"/>
    <w:rsid w:val="001E3813"/>
    <w:rsid w:val="001E415D"/>
    <w:rsid w:val="001E4B32"/>
    <w:rsid w:val="001E5FF3"/>
    <w:rsid w:val="001E6B35"/>
    <w:rsid w:val="001E7569"/>
    <w:rsid w:val="001F00BF"/>
    <w:rsid w:val="001F075E"/>
    <w:rsid w:val="001F0C12"/>
    <w:rsid w:val="001F3898"/>
    <w:rsid w:val="001F3FF5"/>
    <w:rsid w:val="001F4B9E"/>
    <w:rsid w:val="001F4DDC"/>
    <w:rsid w:val="001F59B5"/>
    <w:rsid w:val="001F59D0"/>
    <w:rsid w:val="001F5AE4"/>
    <w:rsid w:val="001F5CE1"/>
    <w:rsid w:val="001F6B44"/>
    <w:rsid w:val="001F752B"/>
    <w:rsid w:val="001F7A85"/>
    <w:rsid w:val="0020030E"/>
    <w:rsid w:val="00200792"/>
    <w:rsid w:val="002015AD"/>
    <w:rsid w:val="00202584"/>
    <w:rsid w:val="002026EA"/>
    <w:rsid w:val="0020391E"/>
    <w:rsid w:val="00203D3D"/>
    <w:rsid w:val="002040FA"/>
    <w:rsid w:val="00204C67"/>
    <w:rsid w:val="002057CB"/>
    <w:rsid w:val="002057F3"/>
    <w:rsid w:val="002059CE"/>
    <w:rsid w:val="00205E69"/>
    <w:rsid w:val="00206D34"/>
    <w:rsid w:val="0020781F"/>
    <w:rsid w:val="00210DDD"/>
    <w:rsid w:val="00210E42"/>
    <w:rsid w:val="002113AD"/>
    <w:rsid w:val="00212556"/>
    <w:rsid w:val="00214E0A"/>
    <w:rsid w:val="00215060"/>
    <w:rsid w:val="0021774F"/>
    <w:rsid w:val="00217A62"/>
    <w:rsid w:val="00217F01"/>
    <w:rsid w:val="002218E1"/>
    <w:rsid w:val="00221BAA"/>
    <w:rsid w:val="00221BE5"/>
    <w:rsid w:val="0022239E"/>
    <w:rsid w:val="00222888"/>
    <w:rsid w:val="00222DE2"/>
    <w:rsid w:val="002231C1"/>
    <w:rsid w:val="002234F6"/>
    <w:rsid w:val="00223DE1"/>
    <w:rsid w:val="002255AD"/>
    <w:rsid w:val="00226993"/>
    <w:rsid w:val="0022728D"/>
    <w:rsid w:val="00227BD0"/>
    <w:rsid w:val="00227EE6"/>
    <w:rsid w:val="002301C5"/>
    <w:rsid w:val="0023098D"/>
    <w:rsid w:val="00231EF5"/>
    <w:rsid w:val="00232D60"/>
    <w:rsid w:val="00233F12"/>
    <w:rsid w:val="002349FD"/>
    <w:rsid w:val="00234DCB"/>
    <w:rsid w:val="00235B93"/>
    <w:rsid w:val="00235B94"/>
    <w:rsid w:val="00236B17"/>
    <w:rsid w:val="00236E67"/>
    <w:rsid w:val="0023711A"/>
    <w:rsid w:val="0023778E"/>
    <w:rsid w:val="0024045B"/>
    <w:rsid w:val="00240B70"/>
    <w:rsid w:val="00241026"/>
    <w:rsid w:val="002411E8"/>
    <w:rsid w:val="0024189D"/>
    <w:rsid w:val="002420B7"/>
    <w:rsid w:val="00242491"/>
    <w:rsid w:val="00242E32"/>
    <w:rsid w:val="002432BF"/>
    <w:rsid w:val="0024466F"/>
    <w:rsid w:val="00244FAE"/>
    <w:rsid w:val="002456D7"/>
    <w:rsid w:val="00245BF9"/>
    <w:rsid w:val="00245D5F"/>
    <w:rsid w:val="00245E1A"/>
    <w:rsid w:val="00246383"/>
    <w:rsid w:val="00246660"/>
    <w:rsid w:val="0024703B"/>
    <w:rsid w:val="00247486"/>
    <w:rsid w:val="00247F34"/>
    <w:rsid w:val="00250371"/>
    <w:rsid w:val="0025097D"/>
    <w:rsid w:val="00251C0D"/>
    <w:rsid w:val="00253933"/>
    <w:rsid w:val="002542C0"/>
    <w:rsid w:val="002546C6"/>
    <w:rsid w:val="002555A7"/>
    <w:rsid w:val="00255863"/>
    <w:rsid w:val="002564D3"/>
    <w:rsid w:val="00256A74"/>
    <w:rsid w:val="00256B79"/>
    <w:rsid w:val="00257200"/>
    <w:rsid w:val="002600E6"/>
    <w:rsid w:val="00260A2C"/>
    <w:rsid w:val="00260F32"/>
    <w:rsid w:val="00261130"/>
    <w:rsid w:val="00261C1A"/>
    <w:rsid w:val="00261DEB"/>
    <w:rsid w:val="00262C78"/>
    <w:rsid w:val="0026330E"/>
    <w:rsid w:val="002640FE"/>
    <w:rsid w:val="0026526D"/>
    <w:rsid w:val="00265314"/>
    <w:rsid w:val="00265471"/>
    <w:rsid w:val="00265509"/>
    <w:rsid w:val="002655E5"/>
    <w:rsid w:val="00265EB7"/>
    <w:rsid w:val="00265FCF"/>
    <w:rsid w:val="00266336"/>
    <w:rsid w:val="00266DE5"/>
    <w:rsid w:val="00267990"/>
    <w:rsid w:val="00271363"/>
    <w:rsid w:val="00272191"/>
    <w:rsid w:val="00274557"/>
    <w:rsid w:val="00275F35"/>
    <w:rsid w:val="00276989"/>
    <w:rsid w:val="002772BE"/>
    <w:rsid w:val="0027733A"/>
    <w:rsid w:val="00277F7B"/>
    <w:rsid w:val="00280390"/>
    <w:rsid w:val="0028162A"/>
    <w:rsid w:val="002819FB"/>
    <w:rsid w:val="00282ADF"/>
    <w:rsid w:val="00282DBF"/>
    <w:rsid w:val="002849A6"/>
    <w:rsid w:val="002850BD"/>
    <w:rsid w:val="0029174C"/>
    <w:rsid w:val="00291B39"/>
    <w:rsid w:val="00291C12"/>
    <w:rsid w:val="002936CB"/>
    <w:rsid w:val="00293A6D"/>
    <w:rsid w:val="00294256"/>
    <w:rsid w:val="002958EB"/>
    <w:rsid w:val="00295C05"/>
    <w:rsid w:val="00296A0F"/>
    <w:rsid w:val="00296C0B"/>
    <w:rsid w:val="00297349"/>
    <w:rsid w:val="002A0346"/>
    <w:rsid w:val="002A04C9"/>
    <w:rsid w:val="002A0990"/>
    <w:rsid w:val="002A1952"/>
    <w:rsid w:val="002A1ECF"/>
    <w:rsid w:val="002A2350"/>
    <w:rsid w:val="002A32DF"/>
    <w:rsid w:val="002A3443"/>
    <w:rsid w:val="002A3468"/>
    <w:rsid w:val="002A365C"/>
    <w:rsid w:val="002A3AC1"/>
    <w:rsid w:val="002A3C41"/>
    <w:rsid w:val="002A3D54"/>
    <w:rsid w:val="002A52D0"/>
    <w:rsid w:val="002A5FE4"/>
    <w:rsid w:val="002A65B7"/>
    <w:rsid w:val="002A6EB0"/>
    <w:rsid w:val="002B019B"/>
    <w:rsid w:val="002B0389"/>
    <w:rsid w:val="002B04EF"/>
    <w:rsid w:val="002B0E5B"/>
    <w:rsid w:val="002B150F"/>
    <w:rsid w:val="002B21BF"/>
    <w:rsid w:val="002B23C7"/>
    <w:rsid w:val="002B413C"/>
    <w:rsid w:val="002B462C"/>
    <w:rsid w:val="002B48A3"/>
    <w:rsid w:val="002B4A5C"/>
    <w:rsid w:val="002B630C"/>
    <w:rsid w:val="002B74D5"/>
    <w:rsid w:val="002C0880"/>
    <w:rsid w:val="002C0A5F"/>
    <w:rsid w:val="002C1689"/>
    <w:rsid w:val="002C3E07"/>
    <w:rsid w:val="002C409B"/>
    <w:rsid w:val="002C40CA"/>
    <w:rsid w:val="002C4BE2"/>
    <w:rsid w:val="002C622D"/>
    <w:rsid w:val="002C644B"/>
    <w:rsid w:val="002C66AD"/>
    <w:rsid w:val="002C691D"/>
    <w:rsid w:val="002C6E21"/>
    <w:rsid w:val="002C7622"/>
    <w:rsid w:val="002C7E68"/>
    <w:rsid w:val="002D08B0"/>
    <w:rsid w:val="002D12AF"/>
    <w:rsid w:val="002D2DF3"/>
    <w:rsid w:val="002D3619"/>
    <w:rsid w:val="002D43A5"/>
    <w:rsid w:val="002D5335"/>
    <w:rsid w:val="002D5478"/>
    <w:rsid w:val="002D5479"/>
    <w:rsid w:val="002D548A"/>
    <w:rsid w:val="002D549A"/>
    <w:rsid w:val="002D5A35"/>
    <w:rsid w:val="002D61C2"/>
    <w:rsid w:val="002D62EF"/>
    <w:rsid w:val="002E0110"/>
    <w:rsid w:val="002E042B"/>
    <w:rsid w:val="002E09EC"/>
    <w:rsid w:val="002E12DA"/>
    <w:rsid w:val="002E1336"/>
    <w:rsid w:val="002E1C09"/>
    <w:rsid w:val="002E1C52"/>
    <w:rsid w:val="002E2EA8"/>
    <w:rsid w:val="002E362C"/>
    <w:rsid w:val="002E39D8"/>
    <w:rsid w:val="002E51EC"/>
    <w:rsid w:val="002E65E2"/>
    <w:rsid w:val="002E6F8B"/>
    <w:rsid w:val="002E73F8"/>
    <w:rsid w:val="002E791F"/>
    <w:rsid w:val="002F0929"/>
    <w:rsid w:val="002F26C8"/>
    <w:rsid w:val="002F2DC9"/>
    <w:rsid w:val="002F369D"/>
    <w:rsid w:val="002F3C73"/>
    <w:rsid w:val="002F3C97"/>
    <w:rsid w:val="002F4525"/>
    <w:rsid w:val="002F4912"/>
    <w:rsid w:val="002F59E7"/>
    <w:rsid w:val="002F5DF0"/>
    <w:rsid w:val="002F6207"/>
    <w:rsid w:val="002F6979"/>
    <w:rsid w:val="002F7A64"/>
    <w:rsid w:val="002F7CA8"/>
    <w:rsid w:val="002F7EF8"/>
    <w:rsid w:val="00300593"/>
    <w:rsid w:val="0030162A"/>
    <w:rsid w:val="0030198D"/>
    <w:rsid w:val="00302368"/>
    <w:rsid w:val="0030302C"/>
    <w:rsid w:val="003031A7"/>
    <w:rsid w:val="00304E23"/>
    <w:rsid w:val="00305285"/>
    <w:rsid w:val="00305633"/>
    <w:rsid w:val="00306866"/>
    <w:rsid w:val="003101FC"/>
    <w:rsid w:val="00310624"/>
    <w:rsid w:val="00310D39"/>
    <w:rsid w:val="003112DA"/>
    <w:rsid w:val="003112FB"/>
    <w:rsid w:val="00311D29"/>
    <w:rsid w:val="00312C83"/>
    <w:rsid w:val="00313763"/>
    <w:rsid w:val="00313EF0"/>
    <w:rsid w:val="00313EFF"/>
    <w:rsid w:val="00315B25"/>
    <w:rsid w:val="00316A8F"/>
    <w:rsid w:val="003175D3"/>
    <w:rsid w:val="00320020"/>
    <w:rsid w:val="00321573"/>
    <w:rsid w:val="0032161F"/>
    <w:rsid w:val="0032235C"/>
    <w:rsid w:val="00322CDE"/>
    <w:rsid w:val="00322F68"/>
    <w:rsid w:val="00323E5E"/>
    <w:rsid w:val="00324003"/>
    <w:rsid w:val="003257F2"/>
    <w:rsid w:val="003261B5"/>
    <w:rsid w:val="0032689C"/>
    <w:rsid w:val="003268B0"/>
    <w:rsid w:val="00326E73"/>
    <w:rsid w:val="00327411"/>
    <w:rsid w:val="00327552"/>
    <w:rsid w:val="003303F3"/>
    <w:rsid w:val="003308A3"/>
    <w:rsid w:val="00330CA9"/>
    <w:rsid w:val="003311AC"/>
    <w:rsid w:val="003336EA"/>
    <w:rsid w:val="0033383F"/>
    <w:rsid w:val="00333987"/>
    <w:rsid w:val="003339CF"/>
    <w:rsid w:val="00333FB2"/>
    <w:rsid w:val="00334651"/>
    <w:rsid w:val="003356C1"/>
    <w:rsid w:val="0033610D"/>
    <w:rsid w:val="0033690A"/>
    <w:rsid w:val="00336EBE"/>
    <w:rsid w:val="003370D3"/>
    <w:rsid w:val="00337E4C"/>
    <w:rsid w:val="00340AAA"/>
    <w:rsid w:val="00341491"/>
    <w:rsid w:val="00341651"/>
    <w:rsid w:val="00344004"/>
    <w:rsid w:val="00344984"/>
    <w:rsid w:val="00345FBE"/>
    <w:rsid w:val="0034678B"/>
    <w:rsid w:val="00346B48"/>
    <w:rsid w:val="00346C63"/>
    <w:rsid w:val="00347A38"/>
    <w:rsid w:val="00350D5D"/>
    <w:rsid w:val="00351A82"/>
    <w:rsid w:val="00352068"/>
    <w:rsid w:val="00352D9E"/>
    <w:rsid w:val="0035342F"/>
    <w:rsid w:val="003534B1"/>
    <w:rsid w:val="00353758"/>
    <w:rsid w:val="003538B1"/>
    <w:rsid w:val="00353AC7"/>
    <w:rsid w:val="003541C0"/>
    <w:rsid w:val="00354440"/>
    <w:rsid w:val="00355DBB"/>
    <w:rsid w:val="0035634A"/>
    <w:rsid w:val="0035663C"/>
    <w:rsid w:val="00356A76"/>
    <w:rsid w:val="00357C13"/>
    <w:rsid w:val="003600A2"/>
    <w:rsid w:val="003606E6"/>
    <w:rsid w:val="00360762"/>
    <w:rsid w:val="00361D1C"/>
    <w:rsid w:val="003621D0"/>
    <w:rsid w:val="003626F7"/>
    <w:rsid w:val="00362BBE"/>
    <w:rsid w:val="00362C29"/>
    <w:rsid w:val="003631FE"/>
    <w:rsid w:val="00363829"/>
    <w:rsid w:val="00364B3D"/>
    <w:rsid w:val="003650B7"/>
    <w:rsid w:val="00365AEC"/>
    <w:rsid w:val="00365E38"/>
    <w:rsid w:val="0036670F"/>
    <w:rsid w:val="003670B2"/>
    <w:rsid w:val="00367719"/>
    <w:rsid w:val="00370977"/>
    <w:rsid w:val="00370E43"/>
    <w:rsid w:val="0037116F"/>
    <w:rsid w:val="00371C2E"/>
    <w:rsid w:val="003726BE"/>
    <w:rsid w:val="00373359"/>
    <w:rsid w:val="00373BB9"/>
    <w:rsid w:val="00373CCB"/>
    <w:rsid w:val="00373CE1"/>
    <w:rsid w:val="00374A99"/>
    <w:rsid w:val="00375FA3"/>
    <w:rsid w:val="00376838"/>
    <w:rsid w:val="00376D6A"/>
    <w:rsid w:val="003775F0"/>
    <w:rsid w:val="00377AE8"/>
    <w:rsid w:val="00377CFE"/>
    <w:rsid w:val="00380533"/>
    <w:rsid w:val="00380A6A"/>
    <w:rsid w:val="00380EBC"/>
    <w:rsid w:val="003819A4"/>
    <w:rsid w:val="0038228E"/>
    <w:rsid w:val="003824D2"/>
    <w:rsid w:val="00383862"/>
    <w:rsid w:val="00383B42"/>
    <w:rsid w:val="0038594E"/>
    <w:rsid w:val="00386D42"/>
    <w:rsid w:val="00387B34"/>
    <w:rsid w:val="00387B5E"/>
    <w:rsid w:val="003901E1"/>
    <w:rsid w:val="0039089D"/>
    <w:rsid w:val="003908E4"/>
    <w:rsid w:val="00390A09"/>
    <w:rsid w:val="00391339"/>
    <w:rsid w:val="00392137"/>
    <w:rsid w:val="00392395"/>
    <w:rsid w:val="003924B8"/>
    <w:rsid w:val="00392694"/>
    <w:rsid w:val="00392AAA"/>
    <w:rsid w:val="00392C76"/>
    <w:rsid w:val="00392FD6"/>
    <w:rsid w:val="003930B8"/>
    <w:rsid w:val="0039358F"/>
    <w:rsid w:val="00394067"/>
    <w:rsid w:val="0039406E"/>
    <w:rsid w:val="003948C1"/>
    <w:rsid w:val="00395240"/>
    <w:rsid w:val="00395D80"/>
    <w:rsid w:val="00395E41"/>
    <w:rsid w:val="00395F3C"/>
    <w:rsid w:val="003973E0"/>
    <w:rsid w:val="00397EFA"/>
    <w:rsid w:val="003A0AF6"/>
    <w:rsid w:val="003A1213"/>
    <w:rsid w:val="003A18DB"/>
    <w:rsid w:val="003A2711"/>
    <w:rsid w:val="003A3BE6"/>
    <w:rsid w:val="003A3BF4"/>
    <w:rsid w:val="003A3CB1"/>
    <w:rsid w:val="003A4829"/>
    <w:rsid w:val="003A4A66"/>
    <w:rsid w:val="003A502E"/>
    <w:rsid w:val="003A7112"/>
    <w:rsid w:val="003A7B23"/>
    <w:rsid w:val="003B0934"/>
    <w:rsid w:val="003B0C6F"/>
    <w:rsid w:val="003B194E"/>
    <w:rsid w:val="003B1BB5"/>
    <w:rsid w:val="003B2289"/>
    <w:rsid w:val="003B30CB"/>
    <w:rsid w:val="003B332D"/>
    <w:rsid w:val="003B35DE"/>
    <w:rsid w:val="003B39C5"/>
    <w:rsid w:val="003B3C10"/>
    <w:rsid w:val="003B40F5"/>
    <w:rsid w:val="003B465F"/>
    <w:rsid w:val="003B71F6"/>
    <w:rsid w:val="003B7AAE"/>
    <w:rsid w:val="003C0602"/>
    <w:rsid w:val="003C073E"/>
    <w:rsid w:val="003C16C8"/>
    <w:rsid w:val="003C1D68"/>
    <w:rsid w:val="003C2189"/>
    <w:rsid w:val="003C3914"/>
    <w:rsid w:val="003C3BEB"/>
    <w:rsid w:val="003C3C60"/>
    <w:rsid w:val="003C4CBD"/>
    <w:rsid w:val="003C520B"/>
    <w:rsid w:val="003C794F"/>
    <w:rsid w:val="003D0563"/>
    <w:rsid w:val="003D0B11"/>
    <w:rsid w:val="003D18EA"/>
    <w:rsid w:val="003D1BF3"/>
    <w:rsid w:val="003D2E4D"/>
    <w:rsid w:val="003D33EA"/>
    <w:rsid w:val="003D374F"/>
    <w:rsid w:val="003D4334"/>
    <w:rsid w:val="003D4360"/>
    <w:rsid w:val="003D4A77"/>
    <w:rsid w:val="003D4C00"/>
    <w:rsid w:val="003D4F15"/>
    <w:rsid w:val="003D5C0E"/>
    <w:rsid w:val="003D6667"/>
    <w:rsid w:val="003D683C"/>
    <w:rsid w:val="003D72FA"/>
    <w:rsid w:val="003D7A12"/>
    <w:rsid w:val="003D7FF4"/>
    <w:rsid w:val="003E0F20"/>
    <w:rsid w:val="003E1A97"/>
    <w:rsid w:val="003E202B"/>
    <w:rsid w:val="003E2EAC"/>
    <w:rsid w:val="003E32DF"/>
    <w:rsid w:val="003E3632"/>
    <w:rsid w:val="003E38CC"/>
    <w:rsid w:val="003E4006"/>
    <w:rsid w:val="003E5C28"/>
    <w:rsid w:val="003E6460"/>
    <w:rsid w:val="003E6BF2"/>
    <w:rsid w:val="003E6F79"/>
    <w:rsid w:val="003E7964"/>
    <w:rsid w:val="003E7EEE"/>
    <w:rsid w:val="003F0E88"/>
    <w:rsid w:val="003F1763"/>
    <w:rsid w:val="003F300B"/>
    <w:rsid w:val="003F7580"/>
    <w:rsid w:val="003F7581"/>
    <w:rsid w:val="003F7679"/>
    <w:rsid w:val="003F7AA5"/>
    <w:rsid w:val="004001CD"/>
    <w:rsid w:val="0040056F"/>
    <w:rsid w:val="004006A4"/>
    <w:rsid w:val="00400703"/>
    <w:rsid w:val="00402281"/>
    <w:rsid w:val="0040240B"/>
    <w:rsid w:val="004035A5"/>
    <w:rsid w:val="0040387D"/>
    <w:rsid w:val="00404550"/>
    <w:rsid w:val="00404B97"/>
    <w:rsid w:val="00404D55"/>
    <w:rsid w:val="0040660C"/>
    <w:rsid w:val="00406712"/>
    <w:rsid w:val="00406F63"/>
    <w:rsid w:val="00407080"/>
    <w:rsid w:val="004070C1"/>
    <w:rsid w:val="00407558"/>
    <w:rsid w:val="004106E9"/>
    <w:rsid w:val="0041084D"/>
    <w:rsid w:val="00410B5F"/>
    <w:rsid w:val="00411241"/>
    <w:rsid w:val="0041124C"/>
    <w:rsid w:val="00411EB2"/>
    <w:rsid w:val="0041213C"/>
    <w:rsid w:val="00412A20"/>
    <w:rsid w:val="00412AFB"/>
    <w:rsid w:val="00413410"/>
    <w:rsid w:val="004137C3"/>
    <w:rsid w:val="00413A04"/>
    <w:rsid w:val="00413B8F"/>
    <w:rsid w:val="004140BB"/>
    <w:rsid w:val="004143BF"/>
    <w:rsid w:val="004149E5"/>
    <w:rsid w:val="00415042"/>
    <w:rsid w:val="0041505B"/>
    <w:rsid w:val="00415079"/>
    <w:rsid w:val="00415219"/>
    <w:rsid w:val="004153C0"/>
    <w:rsid w:val="00415673"/>
    <w:rsid w:val="00417960"/>
    <w:rsid w:val="00420294"/>
    <w:rsid w:val="00421C2A"/>
    <w:rsid w:val="00422322"/>
    <w:rsid w:val="00422722"/>
    <w:rsid w:val="00422958"/>
    <w:rsid w:val="004233CE"/>
    <w:rsid w:val="00423717"/>
    <w:rsid w:val="00424387"/>
    <w:rsid w:val="00424795"/>
    <w:rsid w:val="00424BE1"/>
    <w:rsid w:val="004258A8"/>
    <w:rsid w:val="00425A8E"/>
    <w:rsid w:val="00425AF1"/>
    <w:rsid w:val="004264AE"/>
    <w:rsid w:val="00430052"/>
    <w:rsid w:val="00430393"/>
    <w:rsid w:val="00430AF2"/>
    <w:rsid w:val="00430F0E"/>
    <w:rsid w:val="004315A1"/>
    <w:rsid w:val="00431A22"/>
    <w:rsid w:val="00431E51"/>
    <w:rsid w:val="00433EE6"/>
    <w:rsid w:val="004341F5"/>
    <w:rsid w:val="0043430C"/>
    <w:rsid w:val="004346EC"/>
    <w:rsid w:val="004347BB"/>
    <w:rsid w:val="00435BCB"/>
    <w:rsid w:val="004360FC"/>
    <w:rsid w:val="004375B2"/>
    <w:rsid w:val="0044035B"/>
    <w:rsid w:val="00440F34"/>
    <w:rsid w:val="00440FCA"/>
    <w:rsid w:val="00441BD9"/>
    <w:rsid w:val="00442192"/>
    <w:rsid w:val="00443A93"/>
    <w:rsid w:val="004441FF"/>
    <w:rsid w:val="004445F1"/>
    <w:rsid w:val="00444F77"/>
    <w:rsid w:val="00445101"/>
    <w:rsid w:val="00445CCB"/>
    <w:rsid w:val="004478E0"/>
    <w:rsid w:val="004504DD"/>
    <w:rsid w:val="0045066F"/>
    <w:rsid w:val="00451911"/>
    <w:rsid w:val="00451FFA"/>
    <w:rsid w:val="00452324"/>
    <w:rsid w:val="0045287B"/>
    <w:rsid w:val="00453CD2"/>
    <w:rsid w:val="00453F71"/>
    <w:rsid w:val="00454944"/>
    <w:rsid w:val="00456B2D"/>
    <w:rsid w:val="00461A42"/>
    <w:rsid w:val="00462AB4"/>
    <w:rsid w:val="00463512"/>
    <w:rsid w:val="004636B3"/>
    <w:rsid w:val="00464008"/>
    <w:rsid w:val="00464509"/>
    <w:rsid w:val="004645C7"/>
    <w:rsid w:val="004648C8"/>
    <w:rsid w:val="00465C43"/>
    <w:rsid w:val="00466386"/>
    <w:rsid w:val="004702D9"/>
    <w:rsid w:val="004707DB"/>
    <w:rsid w:val="004711B2"/>
    <w:rsid w:val="0047149D"/>
    <w:rsid w:val="004718DA"/>
    <w:rsid w:val="00471BAF"/>
    <w:rsid w:val="00473844"/>
    <w:rsid w:val="00473B38"/>
    <w:rsid w:val="004741F7"/>
    <w:rsid w:val="004742D7"/>
    <w:rsid w:val="00474E3F"/>
    <w:rsid w:val="00474FF6"/>
    <w:rsid w:val="0047535F"/>
    <w:rsid w:val="004759B7"/>
    <w:rsid w:val="004768DA"/>
    <w:rsid w:val="0047698A"/>
    <w:rsid w:val="00476F19"/>
    <w:rsid w:val="00477AA8"/>
    <w:rsid w:val="00480337"/>
    <w:rsid w:val="00480935"/>
    <w:rsid w:val="00482299"/>
    <w:rsid w:val="00482632"/>
    <w:rsid w:val="00482A0D"/>
    <w:rsid w:val="00483BDC"/>
    <w:rsid w:val="00483DEE"/>
    <w:rsid w:val="00483FAA"/>
    <w:rsid w:val="00484E09"/>
    <w:rsid w:val="00484E68"/>
    <w:rsid w:val="00484E75"/>
    <w:rsid w:val="00486BA4"/>
    <w:rsid w:val="00486DB0"/>
    <w:rsid w:val="0048767B"/>
    <w:rsid w:val="00493D71"/>
    <w:rsid w:val="00493FC0"/>
    <w:rsid w:val="00494234"/>
    <w:rsid w:val="004950D7"/>
    <w:rsid w:val="00495419"/>
    <w:rsid w:val="00496254"/>
    <w:rsid w:val="00496EFE"/>
    <w:rsid w:val="00497D8B"/>
    <w:rsid w:val="004A0E08"/>
    <w:rsid w:val="004A184C"/>
    <w:rsid w:val="004A1DD5"/>
    <w:rsid w:val="004A200F"/>
    <w:rsid w:val="004A23B3"/>
    <w:rsid w:val="004A2A49"/>
    <w:rsid w:val="004A2C97"/>
    <w:rsid w:val="004A3127"/>
    <w:rsid w:val="004A353C"/>
    <w:rsid w:val="004A48CE"/>
    <w:rsid w:val="004A5189"/>
    <w:rsid w:val="004B00BC"/>
    <w:rsid w:val="004B08B3"/>
    <w:rsid w:val="004B0B16"/>
    <w:rsid w:val="004B1AC7"/>
    <w:rsid w:val="004B2419"/>
    <w:rsid w:val="004B31BF"/>
    <w:rsid w:val="004B390D"/>
    <w:rsid w:val="004B3AB4"/>
    <w:rsid w:val="004B3CFB"/>
    <w:rsid w:val="004B4957"/>
    <w:rsid w:val="004B55F3"/>
    <w:rsid w:val="004B5F3E"/>
    <w:rsid w:val="004C0AC4"/>
    <w:rsid w:val="004C0F44"/>
    <w:rsid w:val="004C161E"/>
    <w:rsid w:val="004C1F38"/>
    <w:rsid w:val="004C2358"/>
    <w:rsid w:val="004C240E"/>
    <w:rsid w:val="004C32A8"/>
    <w:rsid w:val="004C34AE"/>
    <w:rsid w:val="004C3E98"/>
    <w:rsid w:val="004C40FE"/>
    <w:rsid w:val="004C44F6"/>
    <w:rsid w:val="004C489A"/>
    <w:rsid w:val="004C5D63"/>
    <w:rsid w:val="004C67D7"/>
    <w:rsid w:val="004C696E"/>
    <w:rsid w:val="004C6CCB"/>
    <w:rsid w:val="004C6EC3"/>
    <w:rsid w:val="004C730A"/>
    <w:rsid w:val="004D0235"/>
    <w:rsid w:val="004D0845"/>
    <w:rsid w:val="004D0B0B"/>
    <w:rsid w:val="004D0E8F"/>
    <w:rsid w:val="004D1BAC"/>
    <w:rsid w:val="004D1D84"/>
    <w:rsid w:val="004D267C"/>
    <w:rsid w:val="004D2F6E"/>
    <w:rsid w:val="004D2FF2"/>
    <w:rsid w:val="004D3A4B"/>
    <w:rsid w:val="004D42F0"/>
    <w:rsid w:val="004D5B2F"/>
    <w:rsid w:val="004D6440"/>
    <w:rsid w:val="004D6A34"/>
    <w:rsid w:val="004D7242"/>
    <w:rsid w:val="004D75E9"/>
    <w:rsid w:val="004D777E"/>
    <w:rsid w:val="004E04A1"/>
    <w:rsid w:val="004E070B"/>
    <w:rsid w:val="004E17F7"/>
    <w:rsid w:val="004E196E"/>
    <w:rsid w:val="004E1BA7"/>
    <w:rsid w:val="004E2D1B"/>
    <w:rsid w:val="004E4846"/>
    <w:rsid w:val="004E4D4D"/>
    <w:rsid w:val="004E51D9"/>
    <w:rsid w:val="004E53B1"/>
    <w:rsid w:val="004E6A0D"/>
    <w:rsid w:val="004F1086"/>
    <w:rsid w:val="004F23AE"/>
    <w:rsid w:val="004F2FFC"/>
    <w:rsid w:val="004F4B90"/>
    <w:rsid w:val="004F5045"/>
    <w:rsid w:val="004F5B88"/>
    <w:rsid w:val="004F650A"/>
    <w:rsid w:val="004F6E5C"/>
    <w:rsid w:val="004F6EC0"/>
    <w:rsid w:val="004F6EC2"/>
    <w:rsid w:val="004F6FE6"/>
    <w:rsid w:val="004F7D65"/>
    <w:rsid w:val="00500BB6"/>
    <w:rsid w:val="00500E2D"/>
    <w:rsid w:val="0050128C"/>
    <w:rsid w:val="00501DBA"/>
    <w:rsid w:val="005022FE"/>
    <w:rsid w:val="005025AF"/>
    <w:rsid w:val="00502E53"/>
    <w:rsid w:val="005038B7"/>
    <w:rsid w:val="005049CE"/>
    <w:rsid w:val="00504E57"/>
    <w:rsid w:val="00505E20"/>
    <w:rsid w:val="00506C8C"/>
    <w:rsid w:val="00506F62"/>
    <w:rsid w:val="0050795A"/>
    <w:rsid w:val="00507A48"/>
    <w:rsid w:val="00507EEC"/>
    <w:rsid w:val="00510717"/>
    <w:rsid w:val="0051138C"/>
    <w:rsid w:val="00515099"/>
    <w:rsid w:val="00515648"/>
    <w:rsid w:val="00516767"/>
    <w:rsid w:val="00516B02"/>
    <w:rsid w:val="005210BB"/>
    <w:rsid w:val="00521884"/>
    <w:rsid w:val="005219FD"/>
    <w:rsid w:val="0052261A"/>
    <w:rsid w:val="005229B2"/>
    <w:rsid w:val="00522BD6"/>
    <w:rsid w:val="00523678"/>
    <w:rsid w:val="0052453D"/>
    <w:rsid w:val="00524E76"/>
    <w:rsid w:val="0052519C"/>
    <w:rsid w:val="005258F0"/>
    <w:rsid w:val="0052662C"/>
    <w:rsid w:val="00527808"/>
    <w:rsid w:val="00530906"/>
    <w:rsid w:val="00532602"/>
    <w:rsid w:val="00532D11"/>
    <w:rsid w:val="0053434D"/>
    <w:rsid w:val="005343BA"/>
    <w:rsid w:val="0053440C"/>
    <w:rsid w:val="00534919"/>
    <w:rsid w:val="005349D6"/>
    <w:rsid w:val="00536091"/>
    <w:rsid w:val="00536331"/>
    <w:rsid w:val="00536767"/>
    <w:rsid w:val="00536FA0"/>
    <w:rsid w:val="00537775"/>
    <w:rsid w:val="005377AC"/>
    <w:rsid w:val="0054019B"/>
    <w:rsid w:val="00540B71"/>
    <w:rsid w:val="005415C3"/>
    <w:rsid w:val="0054160D"/>
    <w:rsid w:val="00541EE9"/>
    <w:rsid w:val="00541F9D"/>
    <w:rsid w:val="00542B97"/>
    <w:rsid w:val="005430A6"/>
    <w:rsid w:val="00543564"/>
    <w:rsid w:val="005436C6"/>
    <w:rsid w:val="00544147"/>
    <w:rsid w:val="0054462D"/>
    <w:rsid w:val="00544786"/>
    <w:rsid w:val="00544DB7"/>
    <w:rsid w:val="00545E7D"/>
    <w:rsid w:val="00546AC9"/>
    <w:rsid w:val="00550BE9"/>
    <w:rsid w:val="00550E1D"/>
    <w:rsid w:val="005517D6"/>
    <w:rsid w:val="0055378E"/>
    <w:rsid w:val="00553D99"/>
    <w:rsid w:val="00555075"/>
    <w:rsid w:val="005556DF"/>
    <w:rsid w:val="00555A9E"/>
    <w:rsid w:val="00555B15"/>
    <w:rsid w:val="00557638"/>
    <w:rsid w:val="005576BB"/>
    <w:rsid w:val="0055777B"/>
    <w:rsid w:val="00557F2F"/>
    <w:rsid w:val="00560452"/>
    <w:rsid w:val="00561190"/>
    <w:rsid w:val="00561501"/>
    <w:rsid w:val="0056191C"/>
    <w:rsid w:val="00561970"/>
    <w:rsid w:val="00561E37"/>
    <w:rsid w:val="00561F71"/>
    <w:rsid w:val="005622A9"/>
    <w:rsid w:val="005623DF"/>
    <w:rsid w:val="005633F3"/>
    <w:rsid w:val="00563894"/>
    <w:rsid w:val="00563C88"/>
    <w:rsid w:val="005649B1"/>
    <w:rsid w:val="00564C8E"/>
    <w:rsid w:val="005653F8"/>
    <w:rsid w:val="00565526"/>
    <w:rsid w:val="00565FB6"/>
    <w:rsid w:val="005667DA"/>
    <w:rsid w:val="005672CB"/>
    <w:rsid w:val="005704F3"/>
    <w:rsid w:val="00571C74"/>
    <w:rsid w:val="00573755"/>
    <w:rsid w:val="00573ECF"/>
    <w:rsid w:val="00574202"/>
    <w:rsid w:val="00574ED8"/>
    <w:rsid w:val="00574F95"/>
    <w:rsid w:val="00575574"/>
    <w:rsid w:val="00575692"/>
    <w:rsid w:val="005758B6"/>
    <w:rsid w:val="005758E3"/>
    <w:rsid w:val="00575B10"/>
    <w:rsid w:val="00575BCD"/>
    <w:rsid w:val="0057603A"/>
    <w:rsid w:val="00576191"/>
    <w:rsid w:val="0057695D"/>
    <w:rsid w:val="005778D2"/>
    <w:rsid w:val="00577CB4"/>
    <w:rsid w:val="0058109D"/>
    <w:rsid w:val="00581182"/>
    <w:rsid w:val="005811CB"/>
    <w:rsid w:val="00581249"/>
    <w:rsid w:val="00581D7D"/>
    <w:rsid w:val="0058253F"/>
    <w:rsid w:val="00582A06"/>
    <w:rsid w:val="0058337D"/>
    <w:rsid w:val="00584141"/>
    <w:rsid w:val="005846A9"/>
    <w:rsid w:val="00585E26"/>
    <w:rsid w:val="0058646E"/>
    <w:rsid w:val="00586B2E"/>
    <w:rsid w:val="00587EEF"/>
    <w:rsid w:val="00587F27"/>
    <w:rsid w:val="005908B3"/>
    <w:rsid w:val="00590CD7"/>
    <w:rsid w:val="0059207B"/>
    <w:rsid w:val="00592F89"/>
    <w:rsid w:val="00593679"/>
    <w:rsid w:val="00594C60"/>
    <w:rsid w:val="00594F6B"/>
    <w:rsid w:val="0059558F"/>
    <w:rsid w:val="00595D3A"/>
    <w:rsid w:val="00596231"/>
    <w:rsid w:val="00597480"/>
    <w:rsid w:val="00597F06"/>
    <w:rsid w:val="005A0DCC"/>
    <w:rsid w:val="005A125A"/>
    <w:rsid w:val="005A222B"/>
    <w:rsid w:val="005A23F9"/>
    <w:rsid w:val="005A2917"/>
    <w:rsid w:val="005A2A0C"/>
    <w:rsid w:val="005A31C9"/>
    <w:rsid w:val="005A3982"/>
    <w:rsid w:val="005A3F8C"/>
    <w:rsid w:val="005A481C"/>
    <w:rsid w:val="005A5BFA"/>
    <w:rsid w:val="005A69FF"/>
    <w:rsid w:val="005A6A2C"/>
    <w:rsid w:val="005A6E11"/>
    <w:rsid w:val="005A6EE8"/>
    <w:rsid w:val="005A7BB9"/>
    <w:rsid w:val="005A7DF1"/>
    <w:rsid w:val="005A7FCD"/>
    <w:rsid w:val="005B13B3"/>
    <w:rsid w:val="005B1814"/>
    <w:rsid w:val="005B1B50"/>
    <w:rsid w:val="005B3632"/>
    <w:rsid w:val="005B463E"/>
    <w:rsid w:val="005B482E"/>
    <w:rsid w:val="005B4EE2"/>
    <w:rsid w:val="005B50D3"/>
    <w:rsid w:val="005B74F9"/>
    <w:rsid w:val="005C0891"/>
    <w:rsid w:val="005C177D"/>
    <w:rsid w:val="005C3E5E"/>
    <w:rsid w:val="005C54E5"/>
    <w:rsid w:val="005C5774"/>
    <w:rsid w:val="005C5A83"/>
    <w:rsid w:val="005D08A6"/>
    <w:rsid w:val="005D0AD2"/>
    <w:rsid w:val="005D0BDB"/>
    <w:rsid w:val="005D10C1"/>
    <w:rsid w:val="005D16BB"/>
    <w:rsid w:val="005D3624"/>
    <w:rsid w:val="005D4183"/>
    <w:rsid w:val="005D41E9"/>
    <w:rsid w:val="005D42F3"/>
    <w:rsid w:val="005D4457"/>
    <w:rsid w:val="005D4C0B"/>
    <w:rsid w:val="005D57B8"/>
    <w:rsid w:val="005D5C6B"/>
    <w:rsid w:val="005D6E94"/>
    <w:rsid w:val="005D7B96"/>
    <w:rsid w:val="005D7FC5"/>
    <w:rsid w:val="005E09BD"/>
    <w:rsid w:val="005E160D"/>
    <w:rsid w:val="005E182A"/>
    <w:rsid w:val="005E2533"/>
    <w:rsid w:val="005E34D5"/>
    <w:rsid w:val="005E3880"/>
    <w:rsid w:val="005E4DC5"/>
    <w:rsid w:val="005E4E7A"/>
    <w:rsid w:val="005E50F1"/>
    <w:rsid w:val="005E56DB"/>
    <w:rsid w:val="005E617C"/>
    <w:rsid w:val="005E6277"/>
    <w:rsid w:val="005E6FDD"/>
    <w:rsid w:val="005E7F07"/>
    <w:rsid w:val="005F06CD"/>
    <w:rsid w:val="005F1D61"/>
    <w:rsid w:val="005F2C51"/>
    <w:rsid w:val="005F44FD"/>
    <w:rsid w:val="005F7C73"/>
    <w:rsid w:val="006001AB"/>
    <w:rsid w:val="00600303"/>
    <w:rsid w:val="006003F8"/>
    <w:rsid w:val="00602665"/>
    <w:rsid w:val="006030E1"/>
    <w:rsid w:val="006032F7"/>
    <w:rsid w:val="006036EB"/>
    <w:rsid w:val="00604103"/>
    <w:rsid w:val="00604864"/>
    <w:rsid w:val="00605B61"/>
    <w:rsid w:val="00605F4D"/>
    <w:rsid w:val="00606A8A"/>
    <w:rsid w:val="00606B77"/>
    <w:rsid w:val="00610B58"/>
    <w:rsid w:val="00610F59"/>
    <w:rsid w:val="0061153D"/>
    <w:rsid w:val="00611A75"/>
    <w:rsid w:val="00611D53"/>
    <w:rsid w:val="006122C6"/>
    <w:rsid w:val="00612530"/>
    <w:rsid w:val="00612D61"/>
    <w:rsid w:val="00614A6A"/>
    <w:rsid w:val="00615790"/>
    <w:rsid w:val="00616432"/>
    <w:rsid w:val="00616817"/>
    <w:rsid w:val="00616B42"/>
    <w:rsid w:val="0061708F"/>
    <w:rsid w:val="00617B09"/>
    <w:rsid w:val="00617EB2"/>
    <w:rsid w:val="00620572"/>
    <w:rsid w:val="00620777"/>
    <w:rsid w:val="006222AE"/>
    <w:rsid w:val="00623BA2"/>
    <w:rsid w:val="00624843"/>
    <w:rsid w:val="00624C71"/>
    <w:rsid w:val="00626169"/>
    <w:rsid w:val="0062677F"/>
    <w:rsid w:val="00626C6A"/>
    <w:rsid w:val="00627085"/>
    <w:rsid w:val="00627BA9"/>
    <w:rsid w:val="0063151F"/>
    <w:rsid w:val="0063178B"/>
    <w:rsid w:val="00631946"/>
    <w:rsid w:val="00631C71"/>
    <w:rsid w:val="00632B06"/>
    <w:rsid w:val="00634198"/>
    <w:rsid w:val="006345BA"/>
    <w:rsid w:val="006350E5"/>
    <w:rsid w:val="0063677C"/>
    <w:rsid w:val="00636D8D"/>
    <w:rsid w:val="00640534"/>
    <w:rsid w:val="00640924"/>
    <w:rsid w:val="00640A18"/>
    <w:rsid w:val="00641CFC"/>
    <w:rsid w:val="006442C9"/>
    <w:rsid w:val="0064443F"/>
    <w:rsid w:val="00644A8E"/>
    <w:rsid w:val="006455D0"/>
    <w:rsid w:val="006458BC"/>
    <w:rsid w:val="0064591D"/>
    <w:rsid w:val="00645CFD"/>
    <w:rsid w:val="00646424"/>
    <w:rsid w:val="006466A1"/>
    <w:rsid w:val="0064756F"/>
    <w:rsid w:val="00650009"/>
    <w:rsid w:val="00650791"/>
    <w:rsid w:val="00650DAB"/>
    <w:rsid w:val="00651C71"/>
    <w:rsid w:val="0065282A"/>
    <w:rsid w:val="00654015"/>
    <w:rsid w:val="00654698"/>
    <w:rsid w:val="00654AA8"/>
    <w:rsid w:val="00654ECC"/>
    <w:rsid w:val="00655728"/>
    <w:rsid w:val="00655B7D"/>
    <w:rsid w:val="0065609F"/>
    <w:rsid w:val="006570DC"/>
    <w:rsid w:val="0066005D"/>
    <w:rsid w:val="006609B3"/>
    <w:rsid w:val="006614D0"/>
    <w:rsid w:val="00661645"/>
    <w:rsid w:val="0066223A"/>
    <w:rsid w:val="0066231C"/>
    <w:rsid w:val="00662C9C"/>
    <w:rsid w:val="00662F49"/>
    <w:rsid w:val="00663A62"/>
    <w:rsid w:val="00663FA2"/>
    <w:rsid w:val="00664374"/>
    <w:rsid w:val="00664BEC"/>
    <w:rsid w:val="00664DA3"/>
    <w:rsid w:val="00664DD1"/>
    <w:rsid w:val="00665FDD"/>
    <w:rsid w:val="006661CE"/>
    <w:rsid w:val="00666867"/>
    <w:rsid w:val="00667084"/>
    <w:rsid w:val="006708B3"/>
    <w:rsid w:val="00670E6F"/>
    <w:rsid w:val="00671367"/>
    <w:rsid w:val="00671651"/>
    <w:rsid w:val="006721CA"/>
    <w:rsid w:val="006734BA"/>
    <w:rsid w:val="00673877"/>
    <w:rsid w:val="00673C58"/>
    <w:rsid w:val="006760B8"/>
    <w:rsid w:val="00676742"/>
    <w:rsid w:val="00676B8D"/>
    <w:rsid w:val="00676F0A"/>
    <w:rsid w:val="00680231"/>
    <w:rsid w:val="00680613"/>
    <w:rsid w:val="0068175A"/>
    <w:rsid w:val="00682732"/>
    <w:rsid w:val="006836DB"/>
    <w:rsid w:val="00683C1D"/>
    <w:rsid w:val="00683E02"/>
    <w:rsid w:val="006843DA"/>
    <w:rsid w:val="00684E0D"/>
    <w:rsid w:val="00685077"/>
    <w:rsid w:val="00685098"/>
    <w:rsid w:val="00685468"/>
    <w:rsid w:val="00685E74"/>
    <w:rsid w:val="00685ECA"/>
    <w:rsid w:val="0068601F"/>
    <w:rsid w:val="00686680"/>
    <w:rsid w:val="0068689E"/>
    <w:rsid w:val="00687DFD"/>
    <w:rsid w:val="006919FE"/>
    <w:rsid w:val="00691AFC"/>
    <w:rsid w:val="00691B75"/>
    <w:rsid w:val="00691E28"/>
    <w:rsid w:val="006925D8"/>
    <w:rsid w:val="00692973"/>
    <w:rsid w:val="00692FE1"/>
    <w:rsid w:val="00693086"/>
    <w:rsid w:val="00693CA8"/>
    <w:rsid w:val="006947C4"/>
    <w:rsid w:val="00694A6E"/>
    <w:rsid w:val="00694BD8"/>
    <w:rsid w:val="006953D9"/>
    <w:rsid w:val="00695615"/>
    <w:rsid w:val="006963D8"/>
    <w:rsid w:val="00696CDF"/>
    <w:rsid w:val="00697633"/>
    <w:rsid w:val="006977D7"/>
    <w:rsid w:val="00697D6D"/>
    <w:rsid w:val="006A0935"/>
    <w:rsid w:val="006A1BC0"/>
    <w:rsid w:val="006A1DC6"/>
    <w:rsid w:val="006A2B09"/>
    <w:rsid w:val="006A2D5A"/>
    <w:rsid w:val="006A37BA"/>
    <w:rsid w:val="006A3905"/>
    <w:rsid w:val="006A3F7F"/>
    <w:rsid w:val="006A4CB8"/>
    <w:rsid w:val="006A5077"/>
    <w:rsid w:val="006A5FE3"/>
    <w:rsid w:val="006A6C27"/>
    <w:rsid w:val="006A6EC1"/>
    <w:rsid w:val="006A6ED8"/>
    <w:rsid w:val="006A7368"/>
    <w:rsid w:val="006B0B0F"/>
    <w:rsid w:val="006B0D3D"/>
    <w:rsid w:val="006B1730"/>
    <w:rsid w:val="006B22B0"/>
    <w:rsid w:val="006B2828"/>
    <w:rsid w:val="006B2C70"/>
    <w:rsid w:val="006B344A"/>
    <w:rsid w:val="006B34BD"/>
    <w:rsid w:val="006B3917"/>
    <w:rsid w:val="006B439B"/>
    <w:rsid w:val="006B4EAB"/>
    <w:rsid w:val="006B4FEF"/>
    <w:rsid w:val="006B546E"/>
    <w:rsid w:val="006B6BD3"/>
    <w:rsid w:val="006B7114"/>
    <w:rsid w:val="006B7389"/>
    <w:rsid w:val="006B7B6A"/>
    <w:rsid w:val="006C048F"/>
    <w:rsid w:val="006C2200"/>
    <w:rsid w:val="006C35A5"/>
    <w:rsid w:val="006C3F4C"/>
    <w:rsid w:val="006C4344"/>
    <w:rsid w:val="006C5503"/>
    <w:rsid w:val="006C6B1C"/>
    <w:rsid w:val="006D196E"/>
    <w:rsid w:val="006D2195"/>
    <w:rsid w:val="006D2725"/>
    <w:rsid w:val="006D28F3"/>
    <w:rsid w:val="006D2B7B"/>
    <w:rsid w:val="006D358D"/>
    <w:rsid w:val="006D42F0"/>
    <w:rsid w:val="006D4300"/>
    <w:rsid w:val="006D497F"/>
    <w:rsid w:val="006D4F05"/>
    <w:rsid w:val="006D54FC"/>
    <w:rsid w:val="006D559B"/>
    <w:rsid w:val="006D574F"/>
    <w:rsid w:val="006D5F77"/>
    <w:rsid w:val="006D6C48"/>
    <w:rsid w:val="006D714E"/>
    <w:rsid w:val="006E0222"/>
    <w:rsid w:val="006E0BA6"/>
    <w:rsid w:val="006E0DB0"/>
    <w:rsid w:val="006E12BE"/>
    <w:rsid w:val="006E1395"/>
    <w:rsid w:val="006E1583"/>
    <w:rsid w:val="006E1C66"/>
    <w:rsid w:val="006E3452"/>
    <w:rsid w:val="006E4BDC"/>
    <w:rsid w:val="006E4FF7"/>
    <w:rsid w:val="006E5BB2"/>
    <w:rsid w:val="006E694B"/>
    <w:rsid w:val="006E6AF2"/>
    <w:rsid w:val="006E709D"/>
    <w:rsid w:val="006F04D7"/>
    <w:rsid w:val="006F16DE"/>
    <w:rsid w:val="006F16EC"/>
    <w:rsid w:val="006F2090"/>
    <w:rsid w:val="006F213E"/>
    <w:rsid w:val="006F2D02"/>
    <w:rsid w:val="006F3CBE"/>
    <w:rsid w:val="006F6B5F"/>
    <w:rsid w:val="007005DC"/>
    <w:rsid w:val="0070199F"/>
    <w:rsid w:val="00701ABE"/>
    <w:rsid w:val="00701BB2"/>
    <w:rsid w:val="0070400C"/>
    <w:rsid w:val="00704200"/>
    <w:rsid w:val="00704447"/>
    <w:rsid w:val="00704608"/>
    <w:rsid w:val="007046AE"/>
    <w:rsid w:val="0070481A"/>
    <w:rsid w:val="0070567A"/>
    <w:rsid w:val="00705B23"/>
    <w:rsid w:val="00706413"/>
    <w:rsid w:val="00706CB6"/>
    <w:rsid w:val="007076ED"/>
    <w:rsid w:val="00707812"/>
    <w:rsid w:val="0071032B"/>
    <w:rsid w:val="00710639"/>
    <w:rsid w:val="0071094D"/>
    <w:rsid w:val="00710DED"/>
    <w:rsid w:val="00711242"/>
    <w:rsid w:val="00711754"/>
    <w:rsid w:val="00711F41"/>
    <w:rsid w:val="0071349F"/>
    <w:rsid w:val="00715066"/>
    <w:rsid w:val="0071514E"/>
    <w:rsid w:val="00715FD0"/>
    <w:rsid w:val="0071604D"/>
    <w:rsid w:val="00716083"/>
    <w:rsid w:val="00716F51"/>
    <w:rsid w:val="007176B3"/>
    <w:rsid w:val="007177F3"/>
    <w:rsid w:val="007207EE"/>
    <w:rsid w:val="0072191F"/>
    <w:rsid w:val="007219CC"/>
    <w:rsid w:val="00722702"/>
    <w:rsid w:val="00723077"/>
    <w:rsid w:val="007237A3"/>
    <w:rsid w:val="00723886"/>
    <w:rsid w:val="00723DFC"/>
    <w:rsid w:val="00724129"/>
    <w:rsid w:val="007256FE"/>
    <w:rsid w:val="00725E00"/>
    <w:rsid w:val="00727465"/>
    <w:rsid w:val="00727F84"/>
    <w:rsid w:val="00730033"/>
    <w:rsid w:val="0073072A"/>
    <w:rsid w:val="0073097B"/>
    <w:rsid w:val="00730EA5"/>
    <w:rsid w:val="00731321"/>
    <w:rsid w:val="007323F3"/>
    <w:rsid w:val="00732426"/>
    <w:rsid w:val="00732BD7"/>
    <w:rsid w:val="007330B0"/>
    <w:rsid w:val="00733421"/>
    <w:rsid w:val="00733525"/>
    <w:rsid w:val="00733740"/>
    <w:rsid w:val="0073542D"/>
    <w:rsid w:val="00735B56"/>
    <w:rsid w:val="007369A1"/>
    <w:rsid w:val="00736B0B"/>
    <w:rsid w:val="0073755A"/>
    <w:rsid w:val="00737F62"/>
    <w:rsid w:val="0074007D"/>
    <w:rsid w:val="00740377"/>
    <w:rsid w:val="00740987"/>
    <w:rsid w:val="00740B5F"/>
    <w:rsid w:val="00740CFA"/>
    <w:rsid w:val="00741213"/>
    <w:rsid w:val="007412F4"/>
    <w:rsid w:val="00741983"/>
    <w:rsid w:val="00741D37"/>
    <w:rsid w:val="00741FB8"/>
    <w:rsid w:val="0074265E"/>
    <w:rsid w:val="007446FF"/>
    <w:rsid w:val="007458DB"/>
    <w:rsid w:val="00747FA2"/>
    <w:rsid w:val="007504E7"/>
    <w:rsid w:val="00750648"/>
    <w:rsid w:val="00750B28"/>
    <w:rsid w:val="00750F29"/>
    <w:rsid w:val="00750F97"/>
    <w:rsid w:val="007516F0"/>
    <w:rsid w:val="00752007"/>
    <w:rsid w:val="007524E5"/>
    <w:rsid w:val="00752B89"/>
    <w:rsid w:val="00753761"/>
    <w:rsid w:val="007539E5"/>
    <w:rsid w:val="00754607"/>
    <w:rsid w:val="00756F34"/>
    <w:rsid w:val="007572D7"/>
    <w:rsid w:val="00757BDE"/>
    <w:rsid w:val="00757C79"/>
    <w:rsid w:val="00760B0C"/>
    <w:rsid w:val="007613F5"/>
    <w:rsid w:val="007614A5"/>
    <w:rsid w:val="00761A72"/>
    <w:rsid w:val="007623C3"/>
    <w:rsid w:val="00762443"/>
    <w:rsid w:val="00762917"/>
    <w:rsid w:val="007629E1"/>
    <w:rsid w:val="00763179"/>
    <w:rsid w:val="00764014"/>
    <w:rsid w:val="007641ED"/>
    <w:rsid w:val="00764856"/>
    <w:rsid w:val="00764BA5"/>
    <w:rsid w:val="00764F84"/>
    <w:rsid w:val="0076514F"/>
    <w:rsid w:val="00765ABC"/>
    <w:rsid w:val="00765FF8"/>
    <w:rsid w:val="007660D1"/>
    <w:rsid w:val="00766566"/>
    <w:rsid w:val="00766DE6"/>
    <w:rsid w:val="00770FCC"/>
    <w:rsid w:val="007710E1"/>
    <w:rsid w:val="007710EC"/>
    <w:rsid w:val="00771739"/>
    <w:rsid w:val="007719B5"/>
    <w:rsid w:val="00771B4A"/>
    <w:rsid w:val="00772B1C"/>
    <w:rsid w:val="00773337"/>
    <w:rsid w:val="007735DE"/>
    <w:rsid w:val="00773955"/>
    <w:rsid w:val="00774B8D"/>
    <w:rsid w:val="00774C76"/>
    <w:rsid w:val="0077566C"/>
    <w:rsid w:val="00777389"/>
    <w:rsid w:val="0078077C"/>
    <w:rsid w:val="00780A43"/>
    <w:rsid w:val="007811AB"/>
    <w:rsid w:val="00781657"/>
    <w:rsid w:val="007822EB"/>
    <w:rsid w:val="00782EF5"/>
    <w:rsid w:val="00784F6F"/>
    <w:rsid w:val="007856B1"/>
    <w:rsid w:val="00786078"/>
    <w:rsid w:val="0078632B"/>
    <w:rsid w:val="007902D1"/>
    <w:rsid w:val="00790547"/>
    <w:rsid w:val="007907B2"/>
    <w:rsid w:val="007914CA"/>
    <w:rsid w:val="007915AF"/>
    <w:rsid w:val="00791BC4"/>
    <w:rsid w:val="00792E61"/>
    <w:rsid w:val="00794739"/>
    <w:rsid w:val="00796A3D"/>
    <w:rsid w:val="00796D6F"/>
    <w:rsid w:val="007973B2"/>
    <w:rsid w:val="007A0A1D"/>
    <w:rsid w:val="007A157F"/>
    <w:rsid w:val="007A218C"/>
    <w:rsid w:val="007A36DD"/>
    <w:rsid w:val="007A384B"/>
    <w:rsid w:val="007A3A79"/>
    <w:rsid w:val="007A3BFF"/>
    <w:rsid w:val="007A4CDA"/>
    <w:rsid w:val="007A54F5"/>
    <w:rsid w:val="007A5793"/>
    <w:rsid w:val="007A64C3"/>
    <w:rsid w:val="007A69F7"/>
    <w:rsid w:val="007A7B58"/>
    <w:rsid w:val="007A7B7B"/>
    <w:rsid w:val="007B188A"/>
    <w:rsid w:val="007B1CB4"/>
    <w:rsid w:val="007B1F25"/>
    <w:rsid w:val="007B210C"/>
    <w:rsid w:val="007B2873"/>
    <w:rsid w:val="007B315E"/>
    <w:rsid w:val="007B3BFF"/>
    <w:rsid w:val="007B3F2E"/>
    <w:rsid w:val="007B4B87"/>
    <w:rsid w:val="007B4E41"/>
    <w:rsid w:val="007B59B1"/>
    <w:rsid w:val="007B5B19"/>
    <w:rsid w:val="007B68D1"/>
    <w:rsid w:val="007B6B32"/>
    <w:rsid w:val="007B6C90"/>
    <w:rsid w:val="007B7107"/>
    <w:rsid w:val="007B721D"/>
    <w:rsid w:val="007C04B7"/>
    <w:rsid w:val="007C1893"/>
    <w:rsid w:val="007C19DB"/>
    <w:rsid w:val="007C1CCD"/>
    <w:rsid w:val="007C201C"/>
    <w:rsid w:val="007C2A8A"/>
    <w:rsid w:val="007C6130"/>
    <w:rsid w:val="007C6B2B"/>
    <w:rsid w:val="007C6D2D"/>
    <w:rsid w:val="007C6D61"/>
    <w:rsid w:val="007C721F"/>
    <w:rsid w:val="007C7EE9"/>
    <w:rsid w:val="007D057A"/>
    <w:rsid w:val="007D17B8"/>
    <w:rsid w:val="007D18E6"/>
    <w:rsid w:val="007D19CC"/>
    <w:rsid w:val="007D1CB7"/>
    <w:rsid w:val="007D1DF2"/>
    <w:rsid w:val="007D2EFD"/>
    <w:rsid w:val="007D30B1"/>
    <w:rsid w:val="007D32F0"/>
    <w:rsid w:val="007D388B"/>
    <w:rsid w:val="007D4344"/>
    <w:rsid w:val="007D489F"/>
    <w:rsid w:val="007D4C6D"/>
    <w:rsid w:val="007D5136"/>
    <w:rsid w:val="007D5903"/>
    <w:rsid w:val="007D59BC"/>
    <w:rsid w:val="007D6E0F"/>
    <w:rsid w:val="007D6EE2"/>
    <w:rsid w:val="007D744A"/>
    <w:rsid w:val="007E21DF"/>
    <w:rsid w:val="007E2AD2"/>
    <w:rsid w:val="007E3504"/>
    <w:rsid w:val="007E413D"/>
    <w:rsid w:val="007E4358"/>
    <w:rsid w:val="007E4AEC"/>
    <w:rsid w:val="007E55FB"/>
    <w:rsid w:val="007E5903"/>
    <w:rsid w:val="007E61B8"/>
    <w:rsid w:val="007E624C"/>
    <w:rsid w:val="007E70CF"/>
    <w:rsid w:val="007E7231"/>
    <w:rsid w:val="007E77AB"/>
    <w:rsid w:val="007F015F"/>
    <w:rsid w:val="007F023E"/>
    <w:rsid w:val="007F07DF"/>
    <w:rsid w:val="007F129A"/>
    <w:rsid w:val="007F373E"/>
    <w:rsid w:val="007F4808"/>
    <w:rsid w:val="007F4DDD"/>
    <w:rsid w:val="007F5120"/>
    <w:rsid w:val="007F514B"/>
    <w:rsid w:val="007F5D8F"/>
    <w:rsid w:val="007F5E03"/>
    <w:rsid w:val="007F6104"/>
    <w:rsid w:val="007F63EB"/>
    <w:rsid w:val="007F6A4F"/>
    <w:rsid w:val="007F7001"/>
    <w:rsid w:val="007F78ED"/>
    <w:rsid w:val="0080085F"/>
    <w:rsid w:val="00800CD8"/>
    <w:rsid w:val="008011CC"/>
    <w:rsid w:val="00802B11"/>
    <w:rsid w:val="008037E0"/>
    <w:rsid w:val="00803EB7"/>
    <w:rsid w:val="00804987"/>
    <w:rsid w:val="00804C65"/>
    <w:rsid w:val="00804DC5"/>
    <w:rsid w:val="00804F97"/>
    <w:rsid w:val="00805388"/>
    <w:rsid w:val="008056E9"/>
    <w:rsid w:val="00805F33"/>
    <w:rsid w:val="0080621F"/>
    <w:rsid w:val="0080691B"/>
    <w:rsid w:val="00811C43"/>
    <w:rsid w:val="00812AF5"/>
    <w:rsid w:val="00812C7B"/>
    <w:rsid w:val="00812FEC"/>
    <w:rsid w:val="008132CA"/>
    <w:rsid w:val="00814274"/>
    <w:rsid w:val="00814973"/>
    <w:rsid w:val="00814E5A"/>
    <w:rsid w:val="00815144"/>
    <w:rsid w:val="008154A6"/>
    <w:rsid w:val="00815B6C"/>
    <w:rsid w:val="00816D6D"/>
    <w:rsid w:val="00816DC2"/>
    <w:rsid w:val="00817994"/>
    <w:rsid w:val="00820091"/>
    <w:rsid w:val="00820F43"/>
    <w:rsid w:val="0082391C"/>
    <w:rsid w:val="00823FCA"/>
    <w:rsid w:val="0082430F"/>
    <w:rsid w:val="0082431B"/>
    <w:rsid w:val="00824CFB"/>
    <w:rsid w:val="008252AE"/>
    <w:rsid w:val="00825E17"/>
    <w:rsid w:val="00825E19"/>
    <w:rsid w:val="008264F4"/>
    <w:rsid w:val="008266D8"/>
    <w:rsid w:val="00826B17"/>
    <w:rsid w:val="00827183"/>
    <w:rsid w:val="00827442"/>
    <w:rsid w:val="00827557"/>
    <w:rsid w:val="00827698"/>
    <w:rsid w:val="008279EA"/>
    <w:rsid w:val="008316DD"/>
    <w:rsid w:val="008324A7"/>
    <w:rsid w:val="00832CFF"/>
    <w:rsid w:val="00833253"/>
    <w:rsid w:val="00833368"/>
    <w:rsid w:val="0083498C"/>
    <w:rsid w:val="0083511C"/>
    <w:rsid w:val="00835606"/>
    <w:rsid w:val="00835CAA"/>
    <w:rsid w:val="00835D6E"/>
    <w:rsid w:val="00836C8A"/>
    <w:rsid w:val="00836D4D"/>
    <w:rsid w:val="0083743D"/>
    <w:rsid w:val="008378A4"/>
    <w:rsid w:val="00837D8E"/>
    <w:rsid w:val="008407C4"/>
    <w:rsid w:val="00840FDE"/>
    <w:rsid w:val="00841112"/>
    <w:rsid w:val="0084284C"/>
    <w:rsid w:val="008434EC"/>
    <w:rsid w:val="00844B57"/>
    <w:rsid w:val="00844B70"/>
    <w:rsid w:val="00845A48"/>
    <w:rsid w:val="00845C51"/>
    <w:rsid w:val="008468D9"/>
    <w:rsid w:val="008502E3"/>
    <w:rsid w:val="00850C87"/>
    <w:rsid w:val="00850E19"/>
    <w:rsid w:val="008516A2"/>
    <w:rsid w:val="008531A5"/>
    <w:rsid w:val="0085336F"/>
    <w:rsid w:val="00854345"/>
    <w:rsid w:val="00854379"/>
    <w:rsid w:val="00855452"/>
    <w:rsid w:val="008556F2"/>
    <w:rsid w:val="00855DA4"/>
    <w:rsid w:val="00857158"/>
    <w:rsid w:val="008616EA"/>
    <w:rsid w:val="00862432"/>
    <w:rsid w:val="0086311E"/>
    <w:rsid w:val="0086362B"/>
    <w:rsid w:val="008638C3"/>
    <w:rsid w:val="008657B0"/>
    <w:rsid w:val="00865D64"/>
    <w:rsid w:val="008660B0"/>
    <w:rsid w:val="008660C7"/>
    <w:rsid w:val="00866101"/>
    <w:rsid w:val="00866DF1"/>
    <w:rsid w:val="00867749"/>
    <w:rsid w:val="00867F2C"/>
    <w:rsid w:val="008701CC"/>
    <w:rsid w:val="00870FD0"/>
    <w:rsid w:val="008719B0"/>
    <w:rsid w:val="008723B1"/>
    <w:rsid w:val="00872566"/>
    <w:rsid w:val="00873D70"/>
    <w:rsid w:val="0087412E"/>
    <w:rsid w:val="00875242"/>
    <w:rsid w:val="00875DFA"/>
    <w:rsid w:val="00875F21"/>
    <w:rsid w:val="00876B96"/>
    <w:rsid w:val="008774D7"/>
    <w:rsid w:val="00877558"/>
    <w:rsid w:val="008801A4"/>
    <w:rsid w:val="00880B20"/>
    <w:rsid w:val="0088135C"/>
    <w:rsid w:val="0088198F"/>
    <w:rsid w:val="00881AF9"/>
    <w:rsid w:val="00881CEF"/>
    <w:rsid w:val="00882864"/>
    <w:rsid w:val="00883CCC"/>
    <w:rsid w:val="00884E35"/>
    <w:rsid w:val="008852CF"/>
    <w:rsid w:val="00885B05"/>
    <w:rsid w:val="00885CF6"/>
    <w:rsid w:val="00886DF0"/>
    <w:rsid w:val="00886E58"/>
    <w:rsid w:val="00887191"/>
    <w:rsid w:val="0088756A"/>
    <w:rsid w:val="0088763C"/>
    <w:rsid w:val="00887E21"/>
    <w:rsid w:val="0089065C"/>
    <w:rsid w:val="00890AFD"/>
    <w:rsid w:val="0089104B"/>
    <w:rsid w:val="00891FCE"/>
    <w:rsid w:val="00892E0B"/>
    <w:rsid w:val="00893971"/>
    <w:rsid w:val="00893B6C"/>
    <w:rsid w:val="00893EE4"/>
    <w:rsid w:val="00894833"/>
    <w:rsid w:val="008956D1"/>
    <w:rsid w:val="00895C02"/>
    <w:rsid w:val="00895ECD"/>
    <w:rsid w:val="00896B7B"/>
    <w:rsid w:val="008A0802"/>
    <w:rsid w:val="008A148D"/>
    <w:rsid w:val="008A1551"/>
    <w:rsid w:val="008A1F0D"/>
    <w:rsid w:val="008A22FD"/>
    <w:rsid w:val="008A25DE"/>
    <w:rsid w:val="008A323B"/>
    <w:rsid w:val="008A4988"/>
    <w:rsid w:val="008A4AFD"/>
    <w:rsid w:val="008A4EDC"/>
    <w:rsid w:val="008A606F"/>
    <w:rsid w:val="008A74B8"/>
    <w:rsid w:val="008B18A2"/>
    <w:rsid w:val="008B20DC"/>
    <w:rsid w:val="008B21AF"/>
    <w:rsid w:val="008B2728"/>
    <w:rsid w:val="008B2F3C"/>
    <w:rsid w:val="008B2F84"/>
    <w:rsid w:val="008B36AE"/>
    <w:rsid w:val="008B3B0C"/>
    <w:rsid w:val="008B3C10"/>
    <w:rsid w:val="008B4A8E"/>
    <w:rsid w:val="008B64D6"/>
    <w:rsid w:val="008B6698"/>
    <w:rsid w:val="008B6B01"/>
    <w:rsid w:val="008B7D22"/>
    <w:rsid w:val="008C0478"/>
    <w:rsid w:val="008C1039"/>
    <w:rsid w:val="008C10D2"/>
    <w:rsid w:val="008C33B2"/>
    <w:rsid w:val="008C38AF"/>
    <w:rsid w:val="008C3B98"/>
    <w:rsid w:val="008C406E"/>
    <w:rsid w:val="008C6D7E"/>
    <w:rsid w:val="008C7998"/>
    <w:rsid w:val="008D07DC"/>
    <w:rsid w:val="008D0993"/>
    <w:rsid w:val="008D156E"/>
    <w:rsid w:val="008D276D"/>
    <w:rsid w:val="008D2A79"/>
    <w:rsid w:val="008D3326"/>
    <w:rsid w:val="008D35C4"/>
    <w:rsid w:val="008D39E0"/>
    <w:rsid w:val="008D5790"/>
    <w:rsid w:val="008D68B8"/>
    <w:rsid w:val="008D6FB0"/>
    <w:rsid w:val="008D7692"/>
    <w:rsid w:val="008D76DE"/>
    <w:rsid w:val="008D7FC1"/>
    <w:rsid w:val="008E0BEC"/>
    <w:rsid w:val="008E0EDB"/>
    <w:rsid w:val="008E1171"/>
    <w:rsid w:val="008E16C9"/>
    <w:rsid w:val="008E1ABD"/>
    <w:rsid w:val="008E1E1B"/>
    <w:rsid w:val="008E39FB"/>
    <w:rsid w:val="008E3B47"/>
    <w:rsid w:val="008E3B70"/>
    <w:rsid w:val="008E3FF7"/>
    <w:rsid w:val="008E4FA3"/>
    <w:rsid w:val="008E54F1"/>
    <w:rsid w:val="008E7293"/>
    <w:rsid w:val="008E78E6"/>
    <w:rsid w:val="008E7C20"/>
    <w:rsid w:val="008F0185"/>
    <w:rsid w:val="008F05F8"/>
    <w:rsid w:val="008F0686"/>
    <w:rsid w:val="008F14B4"/>
    <w:rsid w:val="008F1A9A"/>
    <w:rsid w:val="008F2268"/>
    <w:rsid w:val="008F23EF"/>
    <w:rsid w:val="008F32F1"/>
    <w:rsid w:val="008F332C"/>
    <w:rsid w:val="008F3486"/>
    <w:rsid w:val="008F3CAB"/>
    <w:rsid w:val="008F40BF"/>
    <w:rsid w:val="008F4BE0"/>
    <w:rsid w:val="008F506F"/>
    <w:rsid w:val="008F52EE"/>
    <w:rsid w:val="008F580D"/>
    <w:rsid w:val="008F6D5A"/>
    <w:rsid w:val="008F71F6"/>
    <w:rsid w:val="009001CC"/>
    <w:rsid w:val="00901845"/>
    <w:rsid w:val="00901C07"/>
    <w:rsid w:val="00903792"/>
    <w:rsid w:val="0090545E"/>
    <w:rsid w:val="00905A96"/>
    <w:rsid w:val="00905B2C"/>
    <w:rsid w:val="00905F57"/>
    <w:rsid w:val="00905FD7"/>
    <w:rsid w:val="00906064"/>
    <w:rsid w:val="0090624D"/>
    <w:rsid w:val="00906A35"/>
    <w:rsid w:val="009076FF"/>
    <w:rsid w:val="00907909"/>
    <w:rsid w:val="009102C4"/>
    <w:rsid w:val="00910579"/>
    <w:rsid w:val="00910C8F"/>
    <w:rsid w:val="00910F69"/>
    <w:rsid w:val="009112E5"/>
    <w:rsid w:val="009116E8"/>
    <w:rsid w:val="0091185D"/>
    <w:rsid w:val="0091210A"/>
    <w:rsid w:val="00912FC1"/>
    <w:rsid w:val="009130E4"/>
    <w:rsid w:val="0091333E"/>
    <w:rsid w:val="0091363A"/>
    <w:rsid w:val="0091370B"/>
    <w:rsid w:val="00914176"/>
    <w:rsid w:val="0091427C"/>
    <w:rsid w:val="00914397"/>
    <w:rsid w:val="00915482"/>
    <w:rsid w:val="00915E34"/>
    <w:rsid w:val="00916B2F"/>
    <w:rsid w:val="00916E52"/>
    <w:rsid w:val="00920853"/>
    <w:rsid w:val="00921BE0"/>
    <w:rsid w:val="00921D37"/>
    <w:rsid w:val="00923698"/>
    <w:rsid w:val="00923857"/>
    <w:rsid w:val="00924657"/>
    <w:rsid w:val="0092517C"/>
    <w:rsid w:val="009251CE"/>
    <w:rsid w:val="009254C7"/>
    <w:rsid w:val="00926F60"/>
    <w:rsid w:val="00927BD1"/>
    <w:rsid w:val="0093013A"/>
    <w:rsid w:val="009326F5"/>
    <w:rsid w:val="00933AC0"/>
    <w:rsid w:val="00933D28"/>
    <w:rsid w:val="009342E4"/>
    <w:rsid w:val="009345C1"/>
    <w:rsid w:val="00934662"/>
    <w:rsid w:val="00934D4F"/>
    <w:rsid w:val="00935037"/>
    <w:rsid w:val="00935625"/>
    <w:rsid w:val="0093623B"/>
    <w:rsid w:val="00936DCF"/>
    <w:rsid w:val="00937813"/>
    <w:rsid w:val="00937D43"/>
    <w:rsid w:val="00940BE7"/>
    <w:rsid w:val="009412CB"/>
    <w:rsid w:val="0094219C"/>
    <w:rsid w:val="00942F65"/>
    <w:rsid w:val="00943150"/>
    <w:rsid w:val="0094328E"/>
    <w:rsid w:val="00943531"/>
    <w:rsid w:val="00944553"/>
    <w:rsid w:val="00944778"/>
    <w:rsid w:val="00945334"/>
    <w:rsid w:val="009453B9"/>
    <w:rsid w:val="00945D23"/>
    <w:rsid w:val="00945F75"/>
    <w:rsid w:val="00945FD1"/>
    <w:rsid w:val="00946266"/>
    <w:rsid w:val="0094749E"/>
    <w:rsid w:val="0095003E"/>
    <w:rsid w:val="009508A2"/>
    <w:rsid w:val="00950C5D"/>
    <w:rsid w:val="0095187C"/>
    <w:rsid w:val="009528AD"/>
    <w:rsid w:val="009528C2"/>
    <w:rsid w:val="00952A41"/>
    <w:rsid w:val="00952C3C"/>
    <w:rsid w:val="009539B9"/>
    <w:rsid w:val="00953DA5"/>
    <w:rsid w:val="00954754"/>
    <w:rsid w:val="00954ECB"/>
    <w:rsid w:val="00955935"/>
    <w:rsid w:val="00955E0F"/>
    <w:rsid w:val="009564E6"/>
    <w:rsid w:val="009572D8"/>
    <w:rsid w:val="009572F0"/>
    <w:rsid w:val="00960073"/>
    <w:rsid w:val="00960332"/>
    <w:rsid w:val="00960518"/>
    <w:rsid w:val="00961AF1"/>
    <w:rsid w:val="00962C56"/>
    <w:rsid w:val="00962D20"/>
    <w:rsid w:val="00963857"/>
    <w:rsid w:val="00963DD8"/>
    <w:rsid w:val="00963E99"/>
    <w:rsid w:val="00965663"/>
    <w:rsid w:val="009669C0"/>
    <w:rsid w:val="00966F75"/>
    <w:rsid w:val="00967A0B"/>
    <w:rsid w:val="00967F94"/>
    <w:rsid w:val="00970306"/>
    <w:rsid w:val="00970465"/>
    <w:rsid w:val="009705D7"/>
    <w:rsid w:val="00971802"/>
    <w:rsid w:val="00971E2E"/>
    <w:rsid w:val="00972285"/>
    <w:rsid w:val="00972587"/>
    <w:rsid w:val="009729C6"/>
    <w:rsid w:val="009734F6"/>
    <w:rsid w:val="00973E82"/>
    <w:rsid w:val="00974516"/>
    <w:rsid w:val="00974C2B"/>
    <w:rsid w:val="00974C42"/>
    <w:rsid w:val="0097506F"/>
    <w:rsid w:val="0097553B"/>
    <w:rsid w:val="009756A7"/>
    <w:rsid w:val="00975ECF"/>
    <w:rsid w:val="00975ED8"/>
    <w:rsid w:val="0097608D"/>
    <w:rsid w:val="00976943"/>
    <w:rsid w:val="00977DDB"/>
    <w:rsid w:val="0098066F"/>
    <w:rsid w:val="00980A55"/>
    <w:rsid w:val="00981C8C"/>
    <w:rsid w:val="00982A64"/>
    <w:rsid w:val="00982E66"/>
    <w:rsid w:val="0098308A"/>
    <w:rsid w:val="00983790"/>
    <w:rsid w:val="00983A27"/>
    <w:rsid w:val="00983EF3"/>
    <w:rsid w:val="00984194"/>
    <w:rsid w:val="0098423C"/>
    <w:rsid w:val="009844F3"/>
    <w:rsid w:val="00985BCB"/>
    <w:rsid w:val="00986621"/>
    <w:rsid w:val="00986720"/>
    <w:rsid w:val="009875B6"/>
    <w:rsid w:val="00987B6E"/>
    <w:rsid w:val="00987CDB"/>
    <w:rsid w:val="0099046B"/>
    <w:rsid w:val="00990BD7"/>
    <w:rsid w:val="0099195C"/>
    <w:rsid w:val="00992262"/>
    <w:rsid w:val="00993365"/>
    <w:rsid w:val="00993DB6"/>
    <w:rsid w:val="009951A2"/>
    <w:rsid w:val="00995B49"/>
    <w:rsid w:val="00996704"/>
    <w:rsid w:val="00996935"/>
    <w:rsid w:val="00996CC2"/>
    <w:rsid w:val="0099784F"/>
    <w:rsid w:val="009A09D8"/>
    <w:rsid w:val="009A1329"/>
    <w:rsid w:val="009A1394"/>
    <w:rsid w:val="009A34AD"/>
    <w:rsid w:val="009A447A"/>
    <w:rsid w:val="009A47C6"/>
    <w:rsid w:val="009A4F47"/>
    <w:rsid w:val="009A5E4D"/>
    <w:rsid w:val="009A60CA"/>
    <w:rsid w:val="009A6BC7"/>
    <w:rsid w:val="009A6E05"/>
    <w:rsid w:val="009A70FD"/>
    <w:rsid w:val="009A76AC"/>
    <w:rsid w:val="009B00FC"/>
    <w:rsid w:val="009B07F6"/>
    <w:rsid w:val="009B13E2"/>
    <w:rsid w:val="009B3F8B"/>
    <w:rsid w:val="009B5FAC"/>
    <w:rsid w:val="009B70F1"/>
    <w:rsid w:val="009C1823"/>
    <w:rsid w:val="009C1840"/>
    <w:rsid w:val="009C3D62"/>
    <w:rsid w:val="009C3E3F"/>
    <w:rsid w:val="009C4C9B"/>
    <w:rsid w:val="009C4D82"/>
    <w:rsid w:val="009C4E52"/>
    <w:rsid w:val="009C5ADB"/>
    <w:rsid w:val="009C61C0"/>
    <w:rsid w:val="009C621F"/>
    <w:rsid w:val="009D0733"/>
    <w:rsid w:val="009D081F"/>
    <w:rsid w:val="009D0C1E"/>
    <w:rsid w:val="009D14B6"/>
    <w:rsid w:val="009D16C0"/>
    <w:rsid w:val="009D1EE0"/>
    <w:rsid w:val="009D25C9"/>
    <w:rsid w:val="009D2923"/>
    <w:rsid w:val="009D395A"/>
    <w:rsid w:val="009D3FCA"/>
    <w:rsid w:val="009D4DD5"/>
    <w:rsid w:val="009D6BA6"/>
    <w:rsid w:val="009D6E8C"/>
    <w:rsid w:val="009E0ABF"/>
    <w:rsid w:val="009E0FAD"/>
    <w:rsid w:val="009E11AB"/>
    <w:rsid w:val="009E26FE"/>
    <w:rsid w:val="009E3567"/>
    <w:rsid w:val="009E4380"/>
    <w:rsid w:val="009E446B"/>
    <w:rsid w:val="009E5183"/>
    <w:rsid w:val="009E5875"/>
    <w:rsid w:val="009E6177"/>
    <w:rsid w:val="009E6AFA"/>
    <w:rsid w:val="009E6C6B"/>
    <w:rsid w:val="009E7AA6"/>
    <w:rsid w:val="009E7D82"/>
    <w:rsid w:val="009F174C"/>
    <w:rsid w:val="009F1EA8"/>
    <w:rsid w:val="009F2150"/>
    <w:rsid w:val="009F4325"/>
    <w:rsid w:val="009F47EE"/>
    <w:rsid w:val="009F54FC"/>
    <w:rsid w:val="009F5B77"/>
    <w:rsid w:val="009F5C90"/>
    <w:rsid w:val="009F673F"/>
    <w:rsid w:val="009F739C"/>
    <w:rsid w:val="00A001CC"/>
    <w:rsid w:val="00A00246"/>
    <w:rsid w:val="00A01300"/>
    <w:rsid w:val="00A01599"/>
    <w:rsid w:val="00A015B1"/>
    <w:rsid w:val="00A01A2A"/>
    <w:rsid w:val="00A01B72"/>
    <w:rsid w:val="00A01BC3"/>
    <w:rsid w:val="00A0225D"/>
    <w:rsid w:val="00A02A7A"/>
    <w:rsid w:val="00A036A5"/>
    <w:rsid w:val="00A03BE7"/>
    <w:rsid w:val="00A04594"/>
    <w:rsid w:val="00A0563E"/>
    <w:rsid w:val="00A05E40"/>
    <w:rsid w:val="00A0718E"/>
    <w:rsid w:val="00A0752F"/>
    <w:rsid w:val="00A1045B"/>
    <w:rsid w:val="00A1260B"/>
    <w:rsid w:val="00A1300C"/>
    <w:rsid w:val="00A14AB5"/>
    <w:rsid w:val="00A14FDC"/>
    <w:rsid w:val="00A15E8A"/>
    <w:rsid w:val="00A16816"/>
    <w:rsid w:val="00A16918"/>
    <w:rsid w:val="00A17687"/>
    <w:rsid w:val="00A17C09"/>
    <w:rsid w:val="00A20242"/>
    <w:rsid w:val="00A21037"/>
    <w:rsid w:val="00A21B27"/>
    <w:rsid w:val="00A222B1"/>
    <w:rsid w:val="00A22353"/>
    <w:rsid w:val="00A22ADB"/>
    <w:rsid w:val="00A2398D"/>
    <w:rsid w:val="00A2427D"/>
    <w:rsid w:val="00A24590"/>
    <w:rsid w:val="00A24890"/>
    <w:rsid w:val="00A24D2F"/>
    <w:rsid w:val="00A25623"/>
    <w:rsid w:val="00A25C72"/>
    <w:rsid w:val="00A25C79"/>
    <w:rsid w:val="00A26054"/>
    <w:rsid w:val="00A2700B"/>
    <w:rsid w:val="00A271E8"/>
    <w:rsid w:val="00A30DDE"/>
    <w:rsid w:val="00A31127"/>
    <w:rsid w:val="00A31E4B"/>
    <w:rsid w:val="00A32265"/>
    <w:rsid w:val="00A325B6"/>
    <w:rsid w:val="00A3285D"/>
    <w:rsid w:val="00A32CC0"/>
    <w:rsid w:val="00A32DCD"/>
    <w:rsid w:val="00A34363"/>
    <w:rsid w:val="00A34FC2"/>
    <w:rsid w:val="00A355C9"/>
    <w:rsid w:val="00A36070"/>
    <w:rsid w:val="00A36B7A"/>
    <w:rsid w:val="00A36D68"/>
    <w:rsid w:val="00A3761B"/>
    <w:rsid w:val="00A3775C"/>
    <w:rsid w:val="00A37D18"/>
    <w:rsid w:val="00A40689"/>
    <w:rsid w:val="00A40E75"/>
    <w:rsid w:val="00A41E08"/>
    <w:rsid w:val="00A42DB8"/>
    <w:rsid w:val="00A42F32"/>
    <w:rsid w:val="00A43E59"/>
    <w:rsid w:val="00A44558"/>
    <w:rsid w:val="00A44D61"/>
    <w:rsid w:val="00A44E3B"/>
    <w:rsid w:val="00A44FF6"/>
    <w:rsid w:val="00A47DE9"/>
    <w:rsid w:val="00A47E06"/>
    <w:rsid w:val="00A503B5"/>
    <w:rsid w:val="00A50543"/>
    <w:rsid w:val="00A50A75"/>
    <w:rsid w:val="00A50C64"/>
    <w:rsid w:val="00A517EC"/>
    <w:rsid w:val="00A524D7"/>
    <w:rsid w:val="00A529DE"/>
    <w:rsid w:val="00A52F89"/>
    <w:rsid w:val="00A55502"/>
    <w:rsid w:val="00A565B4"/>
    <w:rsid w:val="00A5707B"/>
    <w:rsid w:val="00A57C0F"/>
    <w:rsid w:val="00A6011B"/>
    <w:rsid w:val="00A60E90"/>
    <w:rsid w:val="00A61BF1"/>
    <w:rsid w:val="00A62A8B"/>
    <w:rsid w:val="00A63BF9"/>
    <w:rsid w:val="00A63EB1"/>
    <w:rsid w:val="00A64F93"/>
    <w:rsid w:val="00A652A6"/>
    <w:rsid w:val="00A65423"/>
    <w:rsid w:val="00A65B8A"/>
    <w:rsid w:val="00A65FDA"/>
    <w:rsid w:val="00A6603D"/>
    <w:rsid w:val="00A66F68"/>
    <w:rsid w:val="00A67B95"/>
    <w:rsid w:val="00A67C36"/>
    <w:rsid w:val="00A67C7A"/>
    <w:rsid w:val="00A711B0"/>
    <w:rsid w:val="00A71F70"/>
    <w:rsid w:val="00A72E53"/>
    <w:rsid w:val="00A737C1"/>
    <w:rsid w:val="00A75C2B"/>
    <w:rsid w:val="00A75C72"/>
    <w:rsid w:val="00A80C38"/>
    <w:rsid w:val="00A8132E"/>
    <w:rsid w:val="00A827BD"/>
    <w:rsid w:val="00A82D62"/>
    <w:rsid w:val="00A8300A"/>
    <w:rsid w:val="00A8328B"/>
    <w:rsid w:val="00A832EE"/>
    <w:rsid w:val="00A833CC"/>
    <w:rsid w:val="00A83492"/>
    <w:rsid w:val="00A834FD"/>
    <w:rsid w:val="00A836BB"/>
    <w:rsid w:val="00A83BDC"/>
    <w:rsid w:val="00A84303"/>
    <w:rsid w:val="00A84B3C"/>
    <w:rsid w:val="00A8531E"/>
    <w:rsid w:val="00A86A1E"/>
    <w:rsid w:val="00A86E6A"/>
    <w:rsid w:val="00A877C2"/>
    <w:rsid w:val="00A90295"/>
    <w:rsid w:val="00A918EE"/>
    <w:rsid w:val="00A91CEE"/>
    <w:rsid w:val="00A92BA0"/>
    <w:rsid w:val="00A92C40"/>
    <w:rsid w:val="00A92D28"/>
    <w:rsid w:val="00A92E12"/>
    <w:rsid w:val="00A9373F"/>
    <w:rsid w:val="00A94467"/>
    <w:rsid w:val="00A944C2"/>
    <w:rsid w:val="00A953BD"/>
    <w:rsid w:val="00A9552F"/>
    <w:rsid w:val="00A957C0"/>
    <w:rsid w:val="00A95DB7"/>
    <w:rsid w:val="00A95EC4"/>
    <w:rsid w:val="00A96B79"/>
    <w:rsid w:val="00A978A4"/>
    <w:rsid w:val="00AA165E"/>
    <w:rsid w:val="00AA1ACA"/>
    <w:rsid w:val="00AA2246"/>
    <w:rsid w:val="00AA23BD"/>
    <w:rsid w:val="00AA23EC"/>
    <w:rsid w:val="00AA2894"/>
    <w:rsid w:val="00AA2918"/>
    <w:rsid w:val="00AA30BE"/>
    <w:rsid w:val="00AA34D7"/>
    <w:rsid w:val="00AA3A9F"/>
    <w:rsid w:val="00AA49B8"/>
    <w:rsid w:val="00AA4A7F"/>
    <w:rsid w:val="00AA4DC7"/>
    <w:rsid w:val="00AA5205"/>
    <w:rsid w:val="00AA52B9"/>
    <w:rsid w:val="00AA5556"/>
    <w:rsid w:val="00AA57D9"/>
    <w:rsid w:val="00AA652F"/>
    <w:rsid w:val="00AA7A47"/>
    <w:rsid w:val="00AA7B74"/>
    <w:rsid w:val="00AA7E74"/>
    <w:rsid w:val="00AB0E98"/>
    <w:rsid w:val="00AB1516"/>
    <w:rsid w:val="00AB37DB"/>
    <w:rsid w:val="00AB4C81"/>
    <w:rsid w:val="00AB641D"/>
    <w:rsid w:val="00AB6565"/>
    <w:rsid w:val="00AB690C"/>
    <w:rsid w:val="00AB69B4"/>
    <w:rsid w:val="00AC0010"/>
    <w:rsid w:val="00AC01FA"/>
    <w:rsid w:val="00AC028C"/>
    <w:rsid w:val="00AC0640"/>
    <w:rsid w:val="00AC1F20"/>
    <w:rsid w:val="00AC2F21"/>
    <w:rsid w:val="00AC3416"/>
    <w:rsid w:val="00AC40B6"/>
    <w:rsid w:val="00AC56C1"/>
    <w:rsid w:val="00AC5B05"/>
    <w:rsid w:val="00AC6135"/>
    <w:rsid w:val="00AC643A"/>
    <w:rsid w:val="00AC6E39"/>
    <w:rsid w:val="00AC774A"/>
    <w:rsid w:val="00AC7967"/>
    <w:rsid w:val="00AC7A13"/>
    <w:rsid w:val="00AD05D9"/>
    <w:rsid w:val="00AD061B"/>
    <w:rsid w:val="00AD07FE"/>
    <w:rsid w:val="00AD0B13"/>
    <w:rsid w:val="00AD0B66"/>
    <w:rsid w:val="00AD15AC"/>
    <w:rsid w:val="00AD1AD5"/>
    <w:rsid w:val="00AD3752"/>
    <w:rsid w:val="00AD378E"/>
    <w:rsid w:val="00AD3B47"/>
    <w:rsid w:val="00AD400C"/>
    <w:rsid w:val="00AD4AFF"/>
    <w:rsid w:val="00AD5011"/>
    <w:rsid w:val="00AD587D"/>
    <w:rsid w:val="00AD5919"/>
    <w:rsid w:val="00AD602A"/>
    <w:rsid w:val="00AD6C9F"/>
    <w:rsid w:val="00AD6F74"/>
    <w:rsid w:val="00AE07CE"/>
    <w:rsid w:val="00AE173B"/>
    <w:rsid w:val="00AE1E32"/>
    <w:rsid w:val="00AE2315"/>
    <w:rsid w:val="00AE23A2"/>
    <w:rsid w:val="00AE2561"/>
    <w:rsid w:val="00AE6091"/>
    <w:rsid w:val="00AE65EC"/>
    <w:rsid w:val="00AE6967"/>
    <w:rsid w:val="00AE741D"/>
    <w:rsid w:val="00AE7D74"/>
    <w:rsid w:val="00AF04FD"/>
    <w:rsid w:val="00AF082B"/>
    <w:rsid w:val="00AF0DBF"/>
    <w:rsid w:val="00AF18B5"/>
    <w:rsid w:val="00AF2371"/>
    <w:rsid w:val="00AF31D8"/>
    <w:rsid w:val="00AF407B"/>
    <w:rsid w:val="00AF42BE"/>
    <w:rsid w:val="00AF535E"/>
    <w:rsid w:val="00AF5B32"/>
    <w:rsid w:val="00AF5B75"/>
    <w:rsid w:val="00AF5EB6"/>
    <w:rsid w:val="00AF6710"/>
    <w:rsid w:val="00AF6B1E"/>
    <w:rsid w:val="00AF79F0"/>
    <w:rsid w:val="00B00DB3"/>
    <w:rsid w:val="00B01FF4"/>
    <w:rsid w:val="00B02670"/>
    <w:rsid w:val="00B02832"/>
    <w:rsid w:val="00B029AA"/>
    <w:rsid w:val="00B02CBE"/>
    <w:rsid w:val="00B03245"/>
    <w:rsid w:val="00B0447F"/>
    <w:rsid w:val="00B048FF"/>
    <w:rsid w:val="00B04CB3"/>
    <w:rsid w:val="00B105B6"/>
    <w:rsid w:val="00B111FC"/>
    <w:rsid w:val="00B13A1C"/>
    <w:rsid w:val="00B13CF1"/>
    <w:rsid w:val="00B1597F"/>
    <w:rsid w:val="00B15D57"/>
    <w:rsid w:val="00B15DEA"/>
    <w:rsid w:val="00B16448"/>
    <w:rsid w:val="00B164EC"/>
    <w:rsid w:val="00B175F4"/>
    <w:rsid w:val="00B17E48"/>
    <w:rsid w:val="00B20FF8"/>
    <w:rsid w:val="00B218DD"/>
    <w:rsid w:val="00B21C0A"/>
    <w:rsid w:val="00B228CF"/>
    <w:rsid w:val="00B238BA"/>
    <w:rsid w:val="00B247B5"/>
    <w:rsid w:val="00B25B76"/>
    <w:rsid w:val="00B25D56"/>
    <w:rsid w:val="00B268B4"/>
    <w:rsid w:val="00B26A71"/>
    <w:rsid w:val="00B279F3"/>
    <w:rsid w:val="00B27AB5"/>
    <w:rsid w:val="00B27DB8"/>
    <w:rsid w:val="00B27F1D"/>
    <w:rsid w:val="00B30557"/>
    <w:rsid w:val="00B3098D"/>
    <w:rsid w:val="00B31138"/>
    <w:rsid w:val="00B31480"/>
    <w:rsid w:val="00B316B3"/>
    <w:rsid w:val="00B31809"/>
    <w:rsid w:val="00B31A5F"/>
    <w:rsid w:val="00B32B6E"/>
    <w:rsid w:val="00B33DFB"/>
    <w:rsid w:val="00B33E65"/>
    <w:rsid w:val="00B34E09"/>
    <w:rsid w:val="00B35064"/>
    <w:rsid w:val="00B360D8"/>
    <w:rsid w:val="00B37139"/>
    <w:rsid w:val="00B37C95"/>
    <w:rsid w:val="00B41157"/>
    <w:rsid w:val="00B42770"/>
    <w:rsid w:val="00B42C00"/>
    <w:rsid w:val="00B42F22"/>
    <w:rsid w:val="00B43068"/>
    <w:rsid w:val="00B43858"/>
    <w:rsid w:val="00B438D9"/>
    <w:rsid w:val="00B4517A"/>
    <w:rsid w:val="00B45274"/>
    <w:rsid w:val="00B4663E"/>
    <w:rsid w:val="00B467C3"/>
    <w:rsid w:val="00B467C9"/>
    <w:rsid w:val="00B46A51"/>
    <w:rsid w:val="00B5048D"/>
    <w:rsid w:val="00B510F0"/>
    <w:rsid w:val="00B517E8"/>
    <w:rsid w:val="00B51AD4"/>
    <w:rsid w:val="00B51EDE"/>
    <w:rsid w:val="00B52DFC"/>
    <w:rsid w:val="00B53FAC"/>
    <w:rsid w:val="00B5421D"/>
    <w:rsid w:val="00B5464F"/>
    <w:rsid w:val="00B54DAF"/>
    <w:rsid w:val="00B5564D"/>
    <w:rsid w:val="00B55B46"/>
    <w:rsid w:val="00B56375"/>
    <w:rsid w:val="00B60872"/>
    <w:rsid w:val="00B6093F"/>
    <w:rsid w:val="00B60AF9"/>
    <w:rsid w:val="00B611CF"/>
    <w:rsid w:val="00B61855"/>
    <w:rsid w:val="00B664F3"/>
    <w:rsid w:val="00B66A50"/>
    <w:rsid w:val="00B66F90"/>
    <w:rsid w:val="00B670E7"/>
    <w:rsid w:val="00B70631"/>
    <w:rsid w:val="00B706DD"/>
    <w:rsid w:val="00B70944"/>
    <w:rsid w:val="00B71277"/>
    <w:rsid w:val="00B71684"/>
    <w:rsid w:val="00B7244D"/>
    <w:rsid w:val="00B727F5"/>
    <w:rsid w:val="00B72E15"/>
    <w:rsid w:val="00B735BF"/>
    <w:rsid w:val="00B75AB0"/>
    <w:rsid w:val="00B75FD4"/>
    <w:rsid w:val="00B767A6"/>
    <w:rsid w:val="00B767DC"/>
    <w:rsid w:val="00B772C4"/>
    <w:rsid w:val="00B77759"/>
    <w:rsid w:val="00B77E50"/>
    <w:rsid w:val="00B80008"/>
    <w:rsid w:val="00B80201"/>
    <w:rsid w:val="00B80211"/>
    <w:rsid w:val="00B81073"/>
    <w:rsid w:val="00B811A1"/>
    <w:rsid w:val="00B81351"/>
    <w:rsid w:val="00B81E05"/>
    <w:rsid w:val="00B84214"/>
    <w:rsid w:val="00B86680"/>
    <w:rsid w:val="00B902B0"/>
    <w:rsid w:val="00B903C1"/>
    <w:rsid w:val="00B91011"/>
    <w:rsid w:val="00B91BF1"/>
    <w:rsid w:val="00B924E6"/>
    <w:rsid w:val="00B92D07"/>
    <w:rsid w:val="00B939F5"/>
    <w:rsid w:val="00B93B03"/>
    <w:rsid w:val="00B941C5"/>
    <w:rsid w:val="00B94490"/>
    <w:rsid w:val="00B946EB"/>
    <w:rsid w:val="00B94C69"/>
    <w:rsid w:val="00B959A5"/>
    <w:rsid w:val="00B95B97"/>
    <w:rsid w:val="00B96628"/>
    <w:rsid w:val="00B96BF6"/>
    <w:rsid w:val="00B977ED"/>
    <w:rsid w:val="00BA09DF"/>
    <w:rsid w:val="00BA1018"/>
    <w:rsid w:val="00BA1E3D"/>
    <w:rsid w:val="00BA4440"/>
    <w:rsid w:val="00BA4D59"/>
    <w:rsid w:val="00BA598A"/>
    <w:rsid w:val="00BA7281"/>
    <w:rsid w:val="00BA7343"/>
    <w:rsid w:val="00BB16F5"/>
    <w:rsid w:val="00BB17CA"/>
    <w:rsid w:val="00BB291E"/>
    <w:rsid w:val="00BB3BDA"/>
    <w:rsid w:val="00BB3FBA"/>
    <w:rsid w:val="00BB424F"/>
    <w:rsid w:val="00BB4671"/>
    <w:rsid w:val="00BB46F5"/>
    <w:rsid w:val="00BB49E1"/>
    <w:rsid w:val="00BB4BF8"/>
    <w:rsid w:val="00BB5B9A"/>
    <w:rsid w:val="00BB62A7"/>
    <w:rsid w:val="00BC122E"/>
    <w:rsid w:val="00BC274D"/>
    <w:rsid w:val="00BC3206"/>
    <w:rsid w:val="00BC3412"/>
    <w:rsid w:val="00BC36EB"/>
    <w:rsid w:val="00BC3D7F"/>
    <w:rsid w:val="00BC3F8A"/>
    <w:rsid w:val="00BC4840"/>
    <w:rsid w:val="00BC5BE3"/>
    <w:rsid w:val="00BC5BFA"/>
    <w:rsid w:val="00BC64CE"/>
    <w:rsid w:val="00BD008E"/>
    <w:rsid w:val="00BD0F87"/>
    <w:rsid w:val="00BD2723"/>
    <w:rsid w:val="00BD3797"/>
    <w:rsid w:val="00BD3C36"/>
    <w:rsid w:val="00BD4915"/>
    <w:rsid w:val="00BD74AD"/>
    <w:rsid w:val="00BD765C"/>
    <w:rsid w:val="00BE0857"/>
    <w:rsid w:val="00BE173C"/>
    <w:rsid w:val="00BE2178"/>
    <w:rsid w:val="00BE34C6"/>
    <w:rsid w:val="00BE35D6"/>
    <w:rsid w:val="00BE4257"/>
    <w:rsid w:val="00BF18FE"/>
    <w:rsid w:val="00BF223C"/>
    <w:rsid w:val="00BF28C2"/>
    <w:rsid w:val="00BF2A90"/>
    <w:rsid w:val="00BF2BCE"/>
    <w:rsid w:val="00BF374A"/>
    <w:rsid w:val="00BF445E"/>
    <w:rsid w:val="00BF4A0D"/>
    <w:rsid w:val="00BF4B26"/>
    <w:rsid w:val="00BF6207"/>
    <w:rsid w:val="00BF778F"/>
    <w:rsid w:val="00C00746"/>
    <w:rsid w:val="00C009E2"/>
    <w:rsid w:val="00C02C3D"/>
    <w:rsid w:val="00C02EB2"/>
    <w:rsid w:val="00C02F45"/>
    <w:rsid w:val="00C0421D"/>
    <w:rsid w:val="00C05348"/>
    <w:rsid w:val="00C063BB"/>
    <w:rsid w:val="00C06662"/>
    <w:rsid w:val="00C07714"/>
    <w:rsid w:val="00C07AF4"/>
    <w:rsid w:val="00C10DFB"/>
    <w:rsid w:val="00C119F3"/>
    <w:rsid w:val="00C11FC7"/>
    <w:rsid w:val="00C11FE6"/>
    <w:rsid w:val="00C12566"/>
    <w:rsid w:val="00C12DE0"/>
    <w:rsid w:val="00C137DA"/>
    <w:rsid w:val="00C138E3"/>
    <w:rsid w:val="00C14533"/>
    <w:rsid w:val="00C145AD"/>
    <w:rsid w:val="00C15170"/>
    <w:rsid w:val="00C15F05"/>
    <w:rsid w:val="00C15F47"/>
    <w:rsid w:val="00C1601C"/>
    <w:rsid w:val="00C17B3B"/>
    <w:rsid w:val="00C17CF6"/>
    <w:rsid w:val="00C200F4"/>
    <w:rsid w:val="00C2011D"/>
    <w:rsid w:val="00C2058C"/>
    <w:rsid w:val="00C208E4"/>
    <w:rsid w:val="00C209F2"/>
    <w:rsid w:val="00C22949"/>
    <w:rsid w:val="00C23961"/>
    <w:rsid w:val="00C249BD"/>
    <w:rsid w:val="00C24D5D"/>
    <w:rsid w:val="00C24D7F"/>
    <w:rsid w:val="00C24D9B"/>
    <w:rsid w:val="00C25773"/>
    <w:rsid w:val="00C26579"/>
    <w:rsid w:val="00C27177"/>
    <w:rsid w:val="00C276A2"/>
    <w:rsid w:val="00C279CE"/>
    <w:rsid w:val="00C27FF7"/>
    <w:rsid w:val="00C306D6"/>
    <w:rsid w:val="00C306DB"/>
    <w:rsid w:val="00C30D75"/>
    <w:rsid w:val="00C30F49"/>
    <w:rsid w:val="00C31D11"/>
    <w:rsid w:val="00C31DC0"/>
    <w:rsid w:val="00C32782"/>
    <w:rsid w:val="00C32887"/>
    <w:rsid w:val="00C33969"/>
    <w:rsid w:val="00C33B76"/>
    <w:rsid w:val="00C33D1A"/>
    <w:rsid w:val="00C350DB"/>
    <w:rsid w:val="00C35C61"/>
    <w:rsid w:val="00C36ADB"/>
    <w:rsid w:val="00C36E8F"/>
    <w:rsid w:val="00C37DC3"/>
    <w:rsid w:val="00C42F37"/>
    <w:rsid w:val="00C43AB7"/>
    <w:rsid w:val="00C449FC"/>
    <w:rsid w:val="00C45898"/>
    <w:rsid w:val="00C463CD"/>
    <w:rsid w:val="00C46A47"/>
    <w:rsid w:val="00C47D92"/>
    <w:rsid w:val="00C47E86"/>
    <w:rsid w:val="00C50548"/>
    <w:rsid w:val="00C50962"/>
    <w:rsid w:val="00C51628"/>
    <w:rsid w:val="00C538A3"/>
    <w:rsid w:val="00C538B6"/>
    <w:rsid w:val="00C54C50"/>
    <w:rsid w:val="00C54D67"/>
    <w:rsid w:val="00C56613"/>
    <w:rsid w:val="00C5677E"/>
    <w:rsid w:val="00C57227"/>
    <w:rsid w:val="00C573C3"/>
    <w:rsid w:val="00C574AD"/>
    <w:rsid w:val="00C57705"/>
    <w:rsid w:val="00C607A0"/>
    <w:rsid w:val="00C61C4A"/>
    <w:rsid w:val="00C61DA6"/>
    <w:rsid w:val="00C61FB1"/>
    <w:rsid w:val="00C62A3A"/>
    <w:rsid w:val="00C62E7C"/>
    <w:rsid w:val="00C638AA"/>
    <w:rsid w:val="00C63A04"/>
    <w:rsid w:val="00C63C30"/>
    <w:rsid w:val="00C64046"/>
    <w:rsid w:val="00C65B8C"/>
    <w:rsid w:val="00C66179"/>
    <w:rsid w:val="00C66215"/>
    <w:rsid w:val="00C67C07"/>
    <w:rsid w:val="00C67EA6"/>
    <w:rsid w:val="00C7004C"/>
    <w:rsid w:val="00C70B3B"/>
    <w:rsid w:val="00C71AD8"/>
    <w:rsid w:val="00C7271A"/>
    <w:rsid w:val="00C72AE2"/>
    <w:rsid w:val="00C72ED2"/>
    <w:rsid w:val="00C73A7B"/>
    <w:rsid w:val="00C74A3B"/>
    <w:rsid w:val="00C74D71"/>
    <w:rsid w:val="00C74D81"/>
    <w:rsid w:val="00C7502C"/>
    <w:rsid w:val="00C75092"/>
    <w:rsid w:val="00C75E2D"/>
    <w:rsid w:val="00C7638A"/>
    <w:rsid w:val="00C76640"/>
    <w:rsid w:val="00C774D5"/>
    <w:rsid w:val="00C776EB"/>
    <w:rsid w:val="00C77745"/>
    <w:rsid w:val="00C7791B"/>
    <w:rsid w:val="00C8037A"/>
    <w:rsid w:val="00C803AF"/>
    <w:rsid w:val="00C80986"/>
    <w:rsid w:val="00C80A12"/>
    <w:rsid w:val="00C8100F"/>
    <w:rsid w:val="00C81633"/>
    <w:rsid w:val="00C821A9"/>
    <w:rsid w:val="00C83215"/>
    <w:rsid w:val="00C842D7"/>
    <w:rsid w:val="00C848FF"/>
    <w:rsid w:val="00C84AF0"/>
    <w:rsid w:val="00C850FB"/>
    <w:rsid w:val="00C85556"/>
    <w:rsid w:val="00C8643E"/>
    <w:rsid w:val="00C86B69"/>
    <w:rsid w:val="00C86EBC"/>
    <w:rsid w:val="00C87654"/>
    <w:rsid w:val="00C90072"/>
    <w:rsid w:val="00C906DA"/>
    <w:rsid w:val="00C91109"/>
    <w:rsid w:val="00C91736"/>
    <w:rsid w:val="00C9234B"/>
    <w:rsid w:val="00C93D87"/>
    <w:rsid w:val="00C95365"/>
    <w:rsid w:val="00C955A2"/>
    <w:rsid w:val="00C960B8"/>
    <w:rsid w:val="00C965CF"/>
    <w:rsid w:val="00C96B73"/>
    <w:rsid w:val="00C97744"/>
    <w:rsid w:val="00C97E1E"/>
    <w:rsid w:val="00CA03BA"/>
    <w:rsid w:val="00CA1955"/>
    <w:rsid w:val="00CA255B"/>
    <w:rsid w:val="00CA2983"/>
    <w:rsid w:val="00CA3EEE"/>
    <w:rsid w:val="00CA4558"/>
    <w:rsid w:val="00CA4F70"/>
    <w:rsid w:val="00CA50C4"/>
    <w:rsid w:val="00CA5662"/>
    <w:rsid w:val="00CA73D4"/>
    <w:rsid w:val="00CA744F"/>
    <w:rsid w:val="00CA7862"/>
    <w:rsid w:val="00CA78F9"/>
    <w:rsid w:val="00CA7BD6"/>
    <w:rsid w:val="00CB007A"/>
    <w:rsid w:val="00CB0FA9"/>
    <w:rsid w:val="00CB1221"/>
    <w:rsid w:val="00CB2911"/>
    <w:rsid w:val="00CB361F"/>
    <w:rsid w:val="00CB37F6"/>
    <w:rsid w:val="00CB4658"/>
    <w:rsid w:val="00CB4A7C"/>
    <w:rsid w:val="00CB574B"/>
    <w:rsid w:val="00CB661A"/>
    <w:rsid w:val="00CB6B4F"/>
    <w:rsid w:val="00CB6E40"/>
    <w:rsid w:val="00CB78C3"/>
    <w:rsid w:val="00CB7B4C"/>
    <w:rsid w:val="00CC09C0"/>
    <w:rsid w:val="00CC09F5"/>
    <w:rsid w:val="00CC0D15"/>
    <w:rsid w:val="00CC11BC"/>
    <w:rsid w:val="00CC12CE"/>
    <w:rsid w:val="00CC1CBB"/>
    <w:rsid w:val="00CC4586"/>
    <w:rsid w:val="00CC5F86"/>
    <w:rsid w:val="00CC7360"/>
    <w:rsid w:val="00CC75C8"/>
    <w:rsid w:val="00CC7810"/>
    <w:rsid w:val="00CC78F1"/>
    <w:rsid w:val="00CD0828"/>
    <w:rsid w:val="00CD0E5E"/>
    <w:rsid w:val="00CD1501"/>
    <w:rsid w:val="00CD1D17"/>
    <w:rsid w:val="00CD297A"/>
    <w:rsid w:val="00CD2DEF"/>
    <w:rsid w:val="00CD3EA6"/>
    <w:rsid w:val="00CD42AA"/>
    <w:rsid w:val="00CD4948"/>
    <w:rsid w:val="00CD58BF"/>
    <w:rsid w:val="00CD6003"/>
    <w:rsid w:val="00CD6AAF"/>
    <w:rsid w:val="00CE1766"/>
    <w:rsid w:val="00CE1BB1"/>
    <w:rsid w:val="00CE1D46"/>
    <w:rsid w:val="00CE2B12"/>
    <w:rsid w:val="00CE3187"/>
    <w:rsid w:val="00CE3AE6"/>
    <w:rsid w:val="00CE5034"/>
    <w:rsid w:val="00CE5075"/>
    <w:rsid w:val="00CE532E"/>
    <w:rsid w:val="00CE5E91"/>
    <w:rsid w:val="00CE6366"/>
    <w:rsid w:val="00CE63D9"/>
    <w:rsid w:val="00CE76EE"/>
    <w:rsid w:val="00CF0978"/>
    <w:rsid w:val="00CF0D8D"/>
    <w:rsid w:val="00CF18F6"/>
    <w:rsid w:val="00CF22D4"/>
    <w:rsid w:val="00CF3906"/>
    <w:rsid w:val="00CF3BC4"/>
    <w:rsid w:val="00CF3C26"/>
    <w:rsid w:val="00CF3F01"/>
    <w:rsid w:val="00CF47E5"/>
    <w:rsid w:val="00CF51CD"/>
    <w:rsid w:val="00CF525E"/>
    <w:rsid w:val="00CF5CA7"/>
    <w:rsid w:val="00CF60CE"/>
    <w:rsid w:val="00CF68C7"/>
    <w:rsid w:val="00CF6DDC"/>
    <w:rsid w:val="00CF769B"/>
    <w:rsid w:val="00CF7AD0"/>
    <w:rsid w:val="00CF7FE1"/>
    <w:rsid w:val="00D002F4"/>
    <w:rsid w:val="00D013EC"/>
    <w:rsid w:val="00D01709"/>
    <w:rsid w:val="00D01A47"/>
    <w:rsid w:val="00D024AE"/>
    <w:rsid w:val="00D026B4"/>
    <w:rsid w:val="00D02717"/>
    <w:rsid w:val="00D027C8"/>
    <w:rsid w:val="00D03AB9"/>
    <w:rsid w:val="00D0447A"/>
    <w:rsid w:val="00D04867"/>
    <w:rsid w:val="00D048D2"/>
    <w:rsid w:val="00D05829"/>
    <w:rsid w:val="00D05D4D"/>
    <w:rsid w:val="00D05D57"/>
    <w:rsid w:val="00D0634B"/>
    <w:rsid w:val="00D06EF5"/>
    <w:rsid w:val="00D06F96"/>
    <w:rsid w:val="00D075E1"/>
    <w:rsid w:val="00D07B34"/>
    <w:rsid w:val="00D07F9F"/>
    <w:rsid w:val="00D1168D"/>
    <w:rsid w:val="00D12E72"/>
    <w:rsid w:val="00D14038"/>
    <w:rsid w:val="00D14D48"/>
    <w:rsid w:val="00D150B8"/>
    <w:rsid w:val="00D15250"/>
    <w:rsid w:val="00D15375"/>
    <w:rsid w:val="00D15942"/>
    <w:rsid w:val="00D17334"/>
    <w:rsid w:val="00D1790D"/>
    <w:rsid w:val="00D20FC0"/>
    <w:rsid w:val="00D22C66"/>
    <w:rsid w:val="00D23571"/>
    <w:rsid w:val="00D236FD"/>
    <w:rsid w:val="00D23D2B"/>
    <w:rsid w:val="00D24C3C"/>
    <w:rsid w:val="00D25C7C"/>
    <w:rsid w:val="00D25E78"/>
    <w:rsid w:val="00D263A4"/>
    <w:rsid w:val="00D263BB"/>
    <w:rsid w:val="00D264CE"/>
    <w:rsid w:val="00D26918"/>
    <w:rsid w:val="00D3172B"/>
    <w:rsid w:val="00D329C6"/>
    <w:rsid w:val="00D33B7A"/>
    <w:rsid w:val="00D341AE"/>
    <w:rsid w:val="00D35F96"/>
    <w:rsid w:val="00D36075"/>
    <w:rsid w:val="00D4061D"/>
    <w:rsid w:val="00D42AE1"/>
    <w:rsid w:val="00D43955"/>
    <w:rsid w:val="00D43EC1"/>
    <w:rsid w:val="00D4453A"/>
    <w:rsid w:val="00D454F2"/>
    <w:rsid w:val="00D45501"/>
    <w:rsid w:val="00D46368"/>
    <w:rsid w:val="00D47148"/>
    <w:rsid w:val="00D47371"/>
    <w:rsid w:val="00D47803"/>
    <w:rsid w:val="00D47843"/>
    <w:rsid w:val="00D47DAD"/>
    <w:rsid w:val="00D5088C"/>
    <w:rsid w:val="00D50A73"/>
    <w:rsid w:val="00D51144"/>
    <w:rsid w:val="00D5145B"/>
    <w:rsid w:val="00D536D7"/>
    <w:rsid w:val="00D537E0"/>
    <w:rsid w:val="00D539B2"/>
    <w:rsid w:val="00D539D5"/>
    <w:rsid w:val="00D53D0A"/>
    <w:rsid w:val="00D53FEB"/>
    <w:rsid w:val="00D544B8"/>
    <w:rsid w:val="00D54C7C"/>
    <w:rsid w:val="00D5595D"/>
    <w:rsid w:val="00D55C5E"/>
    <w:rsid w:val="00D56228"/>
    <w:rsid w:val="00D57E34"/>
    <w:rsid w:val="00D612E9"/>
    <w:rsid w:val="00D613CB"/>
    <w:rsid w:val="00D61E21"/>
    <w:rsid w:val="00D63434"/>
    <w:rsid w:val="00D643B0"/>
    <w:rsid w:val="00D64F0E"/>
    <w:rsid w:val="00D65038"/>
    <w:rsid w:val="00D662FC"/>
    <w:rsid w:val="00D66DAD"/>
    <w:rsid w:val="00D676BE"/>
    <w:rsid w:val="00D71A88"/>
    <w:rsid w:val="00D72964"/>
    <w:rsid w:val="00D7493C"/>
    <w:rsid w:val="00D755ED"/>
    <w:rsid w:val="00D75D89"/>
    <w:rsid w:val="00D75F04"/>
    <w:rsid w:val="00D76645"/>
    <w:rsid w:val="00D76AFE"/>
    <w:rsid w:val="00D770BA"/>
    <w:rsid w:val="00D80268"/>
    <w:rsid w:val="00D80FA5"/>
    <w:rsid w:val="00D812B7"/>
    <w:rsid w:val="00D81FC0"/>
    <w:rsid w:val="00D825ED"/>
    <w:rsid w:val="00D834E6"/>
    <w:rsid w:val="00D84D93"/>
    <w:rsid w:val="00D8559D"/>
    <w:rsid w:val="00D85961"/>
    <w:rsid w:val="00D867C1"/>
    <w:rsid w:val="00D87691"/>
    <w:rsid w:val="00D9195E"/>
    <w:rsid w:val="00D91994"/>
    <w:rsid w:val="00D92AF3"/>
    <w:rsid w:val="00D92E9C"/>
    <w:rsid w:val="00D934E0"/>
    <w:rsid w:val="00D936A1"/>
    <w:rsid w:val="00D93700"/>
    <w:rsid w:val="00D96406"/>
    <w:rsid w:val="00D96632"/>
    <w:rsid w:val="00D96A13"/>
    <w:rsid w:val="00D97142"/>
    <w:rsid w:val="00DA06F8"/>
    <w:rsid w:val="00DA17EE"/>
    <w:rsid w:val="00DA30A8"/>
    <w:rsid w:val="00DA373F"/>
    <w:rsid w:val="00DA4B9C"/>
    <w:rsid w:val="00DA4ED1"/>
    <w:rsid w:val="00DA5359"/>
    <w:rsid w:val="00DA565F"/>
    <w:rsid w:val="00DA5C24"/>
    <w:rsid w:val="00DA63A2"/>
    <w:rsid w:val="00DA63C5"/>
    <w:rsid w:val="00DA6522"/>
    <w:rsid w:val="00DA6A82"/>
    <w:rsid w:val="00DA6F3D"/>
    <w:rsid w:val="00DB083B"/>
    <w:rsid w:val="00DB0D04"/>
    <w:rsid w:val="00DB127A"/>
    <w:rsid w:val="00DB1FFA"/>
    <w:rsid w:val="00DB2334"/>
    <w:rsid w:val="00DB2BF7"/>
    <w:rsid w:val="00DB2D76"/>
    <w:rsid w:val="00DB3578"/>
    <w:rsid w:val="00DB3FB5"/>
    <w:rsid w:val="00DB3FFA"/>
    <w:rsid w:val="00DB49C2"/>
    <w:rsid w:val="00DB5E9C"/>
    <w:rsid w:val="00DB650A"/>
    <w:rsid w:val="00DB652A"/>
    <w:rsid w:val="00DB66D1"/>
    <w:rsid w:val="00DB68D7"/>
    <w:rsid w:val="00DB7823"/>
    <w:rsid w:val="00DC07FE"/>
    <w:rsid w:val="00DC0F0C"/>
    <w:rsid w:val="00DC1C7E"/>
    <w:rsid w:val="00DC1E26"/>
    <w:rsid w:val="00DC2101"/>
    <w:rsid w:val="00DC27D4"/>
    <w:rsid w:val="00DC29CA"/>
    <w:rsid w:val="00DC2A19"/>
    <w:rsid w:val="00DC42E2"/>
    <w:rsid w:val="00DC44BF"/>
    <w:rsid w:val="00DC4611"/>
    <w:rsid w:val="00DC5241"/>
    <w:rsid w:val="00DC67F2"/>
    <w:rsid w:val="00DC69F2"/>
    <w:rsid w:val="00DC7261"/>
    <w:rsid w:val="00DC7735"/>
    <w:rsid w:val="00DD08A8"/>
    <w:rsid w:val="00DD08EF"/>
    <w:rsid w:val="00DD188C"/>
    <w:rsid w:val="00DD2229"/>
    <w:rsid w:val="00DD2422"/>
    <w:rsid w:val="00DD4841"/>
    <w:rsid w:val="00DD4D87"/>
    <w:rsid w:val="00DD5382"/>
    <w:rsid w:val="00DD57C4"/>
    <w:rsid w:val="00DD62F9"/>
    <w:rsid w:val="00DD6376"/>
    <w:rsid w:val="00DD664E"/>
    <w:rsid w:val="00DD7F05"/>
    <w:rsid w:val="00DE094B"/>
    <w:rsid w:val="00DE0FFA"/>
    <w:rsid w:val="00DE2BFF"/>
    <w:rsid w:val="00DE3111"/>
    <w:rsid w:val="00DE3A8A"/>
    <w:rsid w:val="00DE40BC"/>
    <w:rsid w:val="00DE4707"/>
    <w:rsid w:val="00DE65A0"/>
    <w:rsid w:val="00DE7A2B"/>
    <w:rsid w:val="00DF0008"/>
    <w:rsid w:val="00DF02B8"/>
    <w:rsid w:val="00DF0643"/>
    <w:rsid w:val="00DF06F4"/>
    <w:rsid w:val="00DF0AF0"/>
    <w:rsid w:val="00DF1454"/>
    <w:rsid w:val="00DF2176"/>
    <w:rsid w:val="00DF278E"/>
    <w:rsid w:val="00DF2B50"/>
    <w:rsid w:val="00DF2B84"/>
    <w:rsid w:val="00DF36E3"/>
    <w:rsid w:val="00DF4448"/>
    <w:rsid w:val="00DF4A74"/>
    <w:rsid w:val="00DF4E46"/>
    <w:rsid w:val="00DF7141"/>
    <w:rsid w:val="00DF751B"/>
    <w:rsid w:val="00E003FF"/>
    <w:rsid w:val="00E0057C"/>
    <w:rsid w:val="00E01480"/>
    <w:rsid w:val="00E01886"/>
    <w:rsid w:val="00E01A5B"/>
    <w:rsid w:val="00E02453"/>
    <w:rsid w:val="00E02E49"/>
    <w:rsid w:val="00E039E1"/>
    <w:rsid w:val="00E04715"/>
    <w:rsid w:val="00E05888"/>
    <w:rsid w:val="00E05B33"/>
    <w:rsid w:val="00E066BE"/>
    <w:rsid w:val="00E0780F"/>
    <w:rsid w:val="00E10936"/>
    <w:rsid w:val="00E1158A"/>
    <w:rsid w:val="00E1191B"/>
    <w:rsid w:val="00E11F46"/>
    <w:rsid w:val="00E135C5"/>
    <w:rsid w:val="00E154DF"/>
    <w:rsid w:val="00E15B83"/>
    <w:rsid w:val="00E17EA9"/>
    <w:rsid w:val="00E21209"/>
    <w:rsid w:val="00E21CF2"/>
    <w:rsid w:val="00E2260D"/>
    <w:rsid w:val="00E228B9"/>
    <w:rsid w:val="00E238B5"/>
    <w:rsid w:val="00E25A14"/>
    <w:rsid w:val="00E26046"/>
    <w:rsid w:val="00E311E8"/>
    <w:rsid w:val="00E31C13"/>
    <w:rsid w:val="00E32CB0"/>
    <w:rsid w:val="00E34135"/>
    <w:rsid w:val="00E34433"/>
    <w:rsid w:val="00E355D6"/>
    <w:rsid w:val="00E3624A"/>
    <w:rsid w:val="00E3672D"/>
    <w:rsid w:val="00E37B6C"/>
    <w:rsid w:val="00E37D3B"/>
    <w:rsid w:val="00E41509"/>
    <w:rsid w:val="00E42799"/>
    <w:rsid w:val="00E427F4"/>
    <w:rsid w:val="00E42F68"/>
    <w:rsid w:val="00E43032"/>
    <w:rsid w:val="00E43327"/>
    <w:rsid w:val="00E43719"/>
    <w:rsid w:val="00E44176"/>
    <w:rsid w:val="00E449DB"/>
    <w:rsid w:val="00E44A46"/>
    <w:rsid w:val="00E45D01"/>
    <w:rsid w:val="00E45D94"/>
    <w:rsid w:val="00E50659"/>
    <w:rsid w:val="00E50CF5"/>
    <w:rsid w:val="00E50F2E"/>
    <w:rsid w:val="00E51080"/>
    <w:rsid w:val="00E51431"/>
    <w:rsid w:val="00E5150E"/>
    <w:rsid w:val="00E51690"/>
    <w:rsid w:val="00E51780"/>
    <w:rsid w:val="00E53665"/>
    <w:rsid w:val="00E541D7"/>
    <w:rsid w:val="00E54CE1"/>
    <w:rsid w:val="00E5500E"/>
    <w:rsid w:val="00E5508C"/>
    <w:rsid w:val="00E55899"/>
    <w:rsid w:val="00E566D9"/>
    <w:rsid w:val="00E570D6"/>
    <w:rsid w:val="00E5771A"/>
    <w:rsid w:val="00E57D75"/>
    <w:rsid w:val="00E600AD"/>
    <w:rsid w:val="00E600CB"/>
    <w:rsid w:val="00E61155"/>
    <w:rsid w:val="00E61F6F"/>
    <w:rsid w:val="00E62D62"/>
    <w:rsid w:val="00E632F8"/>
    <w:rsid w:val="00E64596"/>
    <w:rsid w:val="00E646B2"/>
    <w:rsid w:val="00E647A4"/>
    <w:rsid w:val="00E65C3C"/>
    <w:rsid w:val="00E65E81"/>
    <w:rsid w:val="00E6667D"/>
    <w:rsid w:val="00E669BB"/>
    <w:rsid w:val="00E67106"/>
    <w:rsid w:val="00E67C70"/>
    <w:rsid w:val="00E703EA"/>
    <w:rsid w:val="00E706DF"/>
    <w:rsid w:val="00E707C8"/>
    <w:rsid w:val="00E708CC"/>
    <w:rsid w:val="00E70E42"/>
    <w:rsid w:val="00E71491"/>
    <w:rsid w:val="00E71752"/>
    <w:rsid w:val="00E72180"/>
    <w:rsid w:val="00E723B6"/>
    <w:rsid w:val="00E727C1"/>
    <w:rsid w:val="00E72FC5"/>
    <w:rsid w:val="00E7465B"/>
    <w:rsid w:val="00E74B86"/>
    <w:rsid w:val="00E74D36"/>
    <w:rsid w:val="00E76705"/>
    <w:rsid w:val="00E76839"/>
    <w:rsid w:val="00E76E3E"/>
    <w:rsid w:val="00E77099"/>
    <w:rsid w:val="00E7748D"/>
    <w:rsid w:val="00E8004D"/>
    <w:rsid w:val="00E80710"/>
    <w:rsid w:val="00E8135A"/>
    <w:rsid w:val="00E81948"/>
    <w:rsid w:val="00E819B1"/>
    <w:rsid w:val="00E820A0"/>
    <w:rsid w:val="00E835D3"/>
    <w:rsid w:val="00E843F3"/>
    <w:rsid w:val="00E84A3D"/>
    <w:rsid w:val="00E84AAA"/>
    <w:rsid w:val="00E860FD"/>
    <w:rsid w:val="00E867FF"/>
    <w:rsid w:val="00E86953"/>
    <w:rsid w:val="00E90849"/>
    <w:rsid w:val="00E915A8"/>
    <w:rsid w:val="00E94478"/>
    <w:rsid w:val="00E944BA"/>
    <w:rsid w:val="00E94D05"/>
    <w:rsid w:val="00E95442"/>
    <w:rsid w:val="00E95BFC"/>
    <w:rsid w:val="00E95DF5"/>
    <w:rsid w:val="00E95ED6"/>
    <w:rsid w:val="00E963AA"/>
    <w:rsid w:val="00E96CCE"/>
    <w:rsid w:val="00E96E6A"/>
    <w:rsid w:val="00E971BF"/>
    <w:rsid w:val="00E97264"/>
    <w:rsid w:val="00E9782A"/>
    <w:rsid w:val="00E97B97"/>
    <w:rsid w:val="00EA0AEF"/>
    <w:rsid w:val="00EA0D09"/>
    <w:rsid w:val="00EA1B53"/>
    <w:rsid w:val="00EA27CA"/>
    <w:rsid w:val="00EA3016"/>
    <w:rsid w:val="00EA3480"/>
    <w:rsid w:val="00EA4005"/>
    <w:rsid w:val="00EA4281"/>
    <w:rsid w:val="00EA42A1"/>
    <w:rsid w:val="00EA437D"/>
    <w:rsid w:val="00EA47AB"/>
    <w:rsid w:val="00EA4CF8"/>
    <w:rsid w:val="00EA6395"/>
    <w:rsid w:val="00EA79AC"/>
    <w:rsid w:val="00EB3744"/>
    <w:rsid w:val="00EB4498"/>
    <w:rsid w:val="00EB4F23"/>
    <w:rsid w:val="00EB51CB"/>
    <w:rsid w:val="00EB58FE"/>
    <w:rsid w:val="00EB5D83"/>
    <w:rsid w:val="00EB5DE7"/>
    <w:rsid w:val="00EB6E51"/>
    <w:rsid w:val="00EB6F2A"/>
    <w:rsid w:val="00EB6F7F"/>
    <w:rsid w:val="00EB76B3"/>
    <w:rsid w:val="00EB76DF"/>
    <w:rsid w:val="00EB7F11"/>
    <w:rsid w:val="00EC0D2C"/>
    <w:rsid w:val="00EC157F"/>
    <w:rsid w:val="00EC1D5F"/>
    <w:rsid w:val="00EC338B"/>
    <w:rsid w:val="00EC3497"/>
    <w:rsid w:val="00EC37CD"/>
    <w:rsid w:val="00EC3A38"/>
    <w:rsid w:val="00EC7631"/>
    <w:rsid w:val="00ED034A"/>
    <w:rsid w:val="00ED1216"/>
    <w:rsid w:val="00ED2C0F"/>
    <w:rsid w:val="00ED2FE0"/>
    <w:rsid w:val="00ED4C22"/>
    <w:rsid w:val="00ED5778"/>
    <w:rsid w:val="00ED5F1A"/>
    <w:rsid w:val="00ED628C"/>
    <w:rsid w:val="00ED6297"/>
    <w:rsid w:val="00ED6893"/>
    <w:rsid w:val="00ED771B"/>
    <w:rsid w:val="00ED77EB"/>
    <w:rsid w:val="00ED7996"/>
    <w:rsid w:val="00ED7C68"/>
    <w:rsid w:val="00EE0114"/>
    <w:rsid w:val="00EE04A3"/>
    <w:rsid w:val="00EE48C3"/>
    <w:rsid w:val="00EE4C6D"/>
    <w:rsid w:val="00EE59FD"/>
    <w:rsid w:val="00EE62F6"/>
    <w:rsid w:val="00EE66A6"/>
    <w:rsid w:val="00EE679B"/>
    <w:rsid w:val="00EE6870"/>
    <w:rsid w:val="00EE7C53"/>
    <w:rsid w:val="00EE7DA6"/>
    <w:rsid w:val="00EE7F7C"/>
    <w:rsid w:val="00EE7FE9"/>
    <w:rsid w:val="00EF067B"/>
    <w:rsid w:val="00EF07A2"/>
    <w:rsid w:val="00EF168A"/>
    <w:rsid w:val="00EF17CB"/>
    <w:rsid w:val="00EF18A1"/>
    <w:rsid w:val="00EF252F"/>
    <w:rsid w:val="00EF2BAC"/>
    <w:rsid w:val="00EF3AB7"/>
    <w:rsid w:val="00EF40C0"/>
    <w:rsid w:val="00EF425B"/>
    <w:rsid w:val="00EF42D0"/>
    <w:rsid w:val="00EF46E3"/>
    <w:rsid w:val="00EF61BB"/>
    <w:rsid w:val="00EF697B"/>
    <w:rsid w:val="00EF7957"/>
    <w:rsid w:val="00F002A3"/>
    <w:rsid w:val="00F008FB"/>
    <w:rsid w:val="00F00D04"/>
    <w:rsid w:val="00F00DB7"/>
    <w:rsid w:val="00F010E3"/>
    <w:rsid w:val="00F0175E"/>
    <w:rsid w:val="00F02457"/>
    <w:rsid w:val="00F02D2F"/>
    <w:rsid w:val="00F03049"/>
    <w:rsid w:val="00F03E8C"/>
    <w:rsid w:val="00F04655"/>
    <w:rsid w:val="00F047B1"/>
    <w:rsid w:val="00F04950"/>
    <w:rsid w:val="00F06AB1"/>
    <w:rsid w:val="00F07349"/>
    <w:rsid w:val="00F0741F"/>
    <w:rsid w:val="00F07CEE"/>
    <w:rsid w:val="00F10217"/>
    <w:rsid w:val="00F1121F"/>
    <w:rsid w:val="00F118FE"/>
    <w:rsid w:val="00F12623"/>
    <w:rsid w:val="00F1383F"/>
    <w:rsid w:val="00F159B7"/>
    <w:rsid w:val="00F16155"/>
    <w:rsid w:val="00F162AE"/>
    <w:rsid w:val="00F16F19"/>
    <w:rsid w:val="00F179CC"/>
    <w:rsid w:val="00F17B29"/>
    <w:rsid w:val="00F20C8D"/>
    <w:rsid w:val="00F21968"/>
    <w:rsid w:val="00F21B79"/>
    <w:rsid w:val="00F2221D"/>
    <w:rsid w:val="00F238C1"/>
    <w:rsid w:val="00F23A06"/>
    <w:rsid w:val="00F23B51"/>
    <w:rsid w:val="00F23C9B"/>
    <w:rsid w:val="00F2482A"/>
    <w:rsid w:val="00F266BE"/>
    <w:rsid w:val="00F2680E"/>
    <w:rsid w:val="00F26C74"/>
    <w:rsid w:val="00F26FAB"/>
    <w:rsid w:val="00F27C1B"/>
    <w:rsid w:val="00F27EE6"/>
    <w:rsid w:val="00F30704"/>
    <w:rsid w:val="00F31C5D"/>
    <w:rsid w:val="00F3336D"/>
    <w:rsid w:val="00F34189"/>
    <w:rsid w:val="00F35EFE"/>
    <w:rsid w:val="00F37196"/>
    <w:rsid w:val="00F37F10"/>
    <w:rsid w:val="00F40BCC"/>
    <w:rsid w:val="00F4119B"/>
    <w:rsid w:val="00F41536"/>
    <w:rsid w:val="00F420FF"/>
    <w:rsid w:val="00F42220"/>
    <w:rsid w:val="00F42229"/>
    <w:rsid w:val="00F4284F"/>
    <w:rsid w:val="00F43559"/>
    <w:rsid w:val="00F45464"/>
    <w:rsid w:val="00F45D17"/>
    <w:rsid w:val="00F4688B"/>
    <w:rsid w:val="00F4741D"/>
    <w:rsid w:val="00F507E5"/>
    <w:rsid w:val="00F51095"/>
    <w:rsid w:val="00F510C9"/>
    <w:rsid w:val="00F53261"/>
    <w:rsid w:val="00F53467"/>
    <w:rsid w:val="00F54AB7"/>
    <w:rsid w:val="00F55644"/>
    <w:rsid w:val="00F55690"/>
    <w:rsid w:val="00F55780"/>
    <w:rsid w:val="00F56D78"/>
    <w:rsid w:val="00F575D3"/>
    <w:rsid w:val="00F57CDF"/>
    <w:rsid w:val="00F606FC"/>
    <w:rsid w:val="00F6107A"/>
    <w:rsid w:val="00F617E6"/>
    <w:rsid w:val="00F620B6"/>
    <w:rsid w:val="00F62102"/>
    <w:rsid w:val="00F62A26"/>
    <w:rsid w:val="00F62B9D"/>
    <w:rsid w:val="00F6304C"/>
    <w:rsid w:val="00F64F84"/>
    <w:rsid w:val="00F655F7"/>
    <w:rsid w:val="00F65AF8"/>
    <w:rsid w:val="00F66226"/>
    <w:rsid w:val="00F666A2"/>
    <w:rsid w:val="00F6766D"/>
    <w:rsid w:val="00F67A3A"/>
    <w:rsid w:val="00F704A6"/>
    <w:rsid w:val="00F708C7"/>
    <w:rsid w:val="00F7095E"/>
    <w:rsid w:val="00F71AEB"/>
    <w:rsid w:val="00F71E54"/>
    <w:rsid w:val="00F727A5"/>
    <w:rsid w:val="00F72BEC"/>
    <w:rsid w:val="00F72C42"/>
    <w:rsid w:val="00F733CE"/>
    <w:rsid w:val="00F735E0"/>
    <w:rsid w:val="00F742B2"/>
    <w:rsid w:val="00F7488B"/>
    <w:rsid w:val="00F74A2C"/>
    <w:rsid w:val="00F74C14"/>
    <w:rsid w:val="00F75BD5"/>
    <w:rsid w:val="00F75C4D"/>
    <w:rsid w:val="00F767EE"/>
    <w:rsid w:val="00F76BA4"/>
    <w:rsid w:val="00F76BB0"/>
    <w:rsid w:val="00F776EB"/>
    <w:rsid w:val="00F77ABC"/>
    <w:rsid w:val="00F77DD3"/>
    <w:rsid w:val="00F807A6"/>
    <w:rsid w:val="00F80E58"/>
    <w:rsid w:val="00F8147E"/>
    <w:rsid w:val="00F81809"/>
    <w:rsid w:val="00F8183D"/>
    <w:rsid w:val="00F82252"/>
    <w:rsid w:val="00F83B1D"/>
    <w:rsid w:val="00F83FEF"/>
    <w:rsid w:val="00F84AD7"/>
    <w:rsid w:val="00F84DA9"/>
    <w:rsid w:val="00F84FAA"/>
    <w:rsid w:val="00F85589"/>
    <w:rsid w:val="00F8561D"/>
    <w:rsid w:val="00F86048"/>
    <w:rsid w:val="00F86555"/>
    <w:rsid w:val="00F87200"/>
    <w:rsid w:val="00F87F51"/>
    <w:rsid w:val="00F901C8"/>
    <w:rsid w:val="00F91A60"/>
    <w:rsid w:val="00F92003"/>
    <w:rsid w:val="00F93495"/>
    <w:rsid w:val="00F938C7"/>
    <w:rsid w:val="00F94391"/>
    <w:rsid w:val="00F94CCB"/>
    <w:rsid w:val="00F957C8"/>
    <w:rsid w:val="00F9608D"/>
    <w:rsid w:val="00F96329"/>
    <w:rsid w:val="00F96F69"/>
    <w:rsid w:val="00FA0610"/>
    <w:rsid w:val="00FA0BC1"/>
    <w:rsid w:val="00FA1E25"/>
    <w:rsid w:val="00FA27B5"/>
    <w:rsid w:val="00FA2B69"/>
    <w:rsid w:val="00FA2BE4"/>
    <w:rsid w:val="00FA37B8"/>
    <w:rsid w:val="00FA39ED"/>
    <w:rsid w:val="00FA3E56"/>
    <w:rsid w:val="00FA468F"/>
    <w:rsid w:val="00FA536C"/>
    <w:rsid w:val="00FA5503"/>
    <w:rsid w:val="00FA59CD"/>
    <w:rsid w:val="00FA6517"/>
    <w:rsid w:val="00FA6595"/>
    <w:rsid w:val="00FA6EE6"/>
    <w:rsid w:val="00FA7EA6"/>
    <w:rsid w:val="00FB145D"/>
    <w:rsid w:val="00FB19B5"/>
    <w:rsid w:val="00FB27F3"/>
    <w:rsid w:val="00FB2878"/>
    <w:rsid w:val="00FB34D2"/>
    <w:rsid w:val="00FB3E06"/>
    <w:rsid w:val="00FB5FFB"/>
    <w:rsid w:val="00FB656E"/>
    <w:rsid w:val="00FB6E5C"/>
    <w:rsid w:val="00FB732E"/>
    <w:rsid w:val="00FB75A5"/>
    <w:rsid w:val="00FB79ED"/>
    <w:rsid w:val="00FB7B74"/>
    <w:rsid w:val="00FB7E85"/>
    <w:rsid w:val="00FC0F5D"/>
    <w:rsid w:val="00FC2401"/>
    <w:rsid w:val="00FC443C"/>
    <w:rsid w:val="00FC4B40"/>
    <w:rsid w:val="00FC5BE4"/>
    <w:rsid w:val="00FC5F64"/>
    <w:rsid w:val="00FC62AE"/>
    <w:rsid w:val="00FC66C3"/>
    <w:rsid w:val="00FC7C3D"/>
    <w:rsid w:val="00FC7F19"/>
    <w:rsid w:val="00FD075B"/>
    <w:rsid w:val="00FD1E63"/>
    <w:rsid w:val="00FD34D4"/>
    <w:rsid w:val="00FD352A"/>
    <w:rsid w:val="00FD354D"/>
    <w:rsid w:val="00FD39BF"/>
    <w:rsid w:val="00FD4151"/>
    <w:rsid w:val="00FD4C5F"/>
    <w:rsid w:val="00FD5507"/>
    <w:rsid w:val="00FD635B"/>
    <w:rsid w:val="00FD6D2E"/>
    <w:rsid w:val="00FD7D83"/>
    <w:rsid w:val="00FE0EA6"/>
    <w:rsid w:val="00FE127B"/>
    <w:rsid w:val="00FE260F"/>
    <w:rsid w:val="00FE2F19"/>
    <w:rsid w:val="00FE37BC"/>
    <w:rsid w:val="00FE3815"/>
    <w:rsid w:val="00FE3E3C"/>
    <w:rsid w:val="00FE407C"/>
    <w:rsid w:val="00FE48DB"/>
    <w:rsid w:val="00FE49FF"/>
    <w:rsid w:val="00FE4F74"/>
    <w:rsid w:val="00FE57F3"/>
    <w:rsid w:val="00FE5B8D"/>
    <w:rsid w:val="00FE5EC1"/>
    <w:rsid w:val="00FE6747"/>
    <w:rsid w:val="00FE6873"/>
    <w:rsid w:val="00FF03EB"/>
    <w:rsid w:val="00FF17B3"/>
    <w:rsid w:val="00FF1BFF"/>
    <w:rsid w:val="00FF31C1"/>
    <w:rsid w:val="00FF466B"/>
    <w:rsid w:val="00FF4D9B"/>
    <w:rsid w:val="00FF52CC"/>
    <w:rsid w:val="00FF544F"/>
    <w:rsid w:val="00FF5967"/>
    <w:rsid w:val="00FF6E5C"/>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Times New Roman" w:hAnsi="Century Schoolbook" w:cs="Times New Roman"/>
        <w:position w:val="6"/>
        <w:sz w:val="24"/>
        <w:lang w:val="en-US" w:eastAsia="en-US" w:bidi="ar-SA"/>
      </w:rPr>
    </w:rPrDefault>
    <w:pPrDefault>
      <w:pPr>
        <w:spacing w:line="288"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EF6"/>
    <w:pPr>
      <w:widowControl w:val="0"/>
      <w:spacing w:line="360" w:lineRule="exact"/>
    </w:pPr>
    <w:rPr>
      <w:rFonts w:ascii="Times New Roman" w:hAnsi="Times New Roman"/>
      <w:position w:val="0"/>
      <w:sz w:val="26"/>
    </w:rPr>
  </w:style>
  <w:style w:type="paragraph" w:styleId="Heading1">
    <w:name w:val="heading 1"/>
    <w:basedOn w:val="Normal"/>
    <w:next w:val="Normal"/>
    <w:qFormat/>
    <w:rsid w:val="00757BDE"/>
    <w:pPr>
      <w:keepNext/>
      <w:widowControl/>
      <w:spacing w:line="360" w:lineRule="auto"/>
      <w:outlineLvl w:val="0"/>
    </w:pPr>
    <w:rPr>
      <w:rFonts w:ascii="Courier New" w:hAnsi="Courier New"/>
      <w:position w:val="6"/>
      <w:sz w:val="24"/>
      <w:u w:val="single"/>
    </w:rPr>
  </w:style>
  <w:style w:type="paragraph" w:styleId="Heading2">
    <w:name w:val="heading 2"/>
    <w:basedOn w:val="Normal"/>
    <w:next w:val="Normal"/>
    <w:qFormat/>
    <w:rsid w:val="00757BDE"/>
    <w:pPr>
      <w:keepNext/>
      <w:widowControl/>
      <w:spacing w:line="360" w:lineRule="auto"/>
      <w:outlineLvl w:val="1"/>
    </w:pPr>
    <w:rPr>
      <w:rFonts w:ascii="Courier New" w:hAnsi="Courier New"/>
      <w:i/>
      <w:position w:val="6"/>
      <w:sz w:val="24"/>
    </w:rPr>
  </w:style>
  <w:style w:type="paragraph" w:styleId="Heading3">
    <w:name w:val="heading 3"/>
    <w:basedOn w:val="Normal"/>
    <w:next w:val="Normal"/>
    <w:qFormat/>
    <w:rsid w:val="00757BDE"/>
    <w:pPr>
      <w:keepNext/>
      <w:widowControl/>
      <w:spacing w:line="360" w:lineRule="auto"/>
      <w:outlineLvl w:val="2"/>
    </w:pPr>
    <w:rPr>
      <w:rFonts w:ascii="Courier New" w:hAnsi="Courier New"/>
      <w:i/>
      <w:position w:val="6"/>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4D81"/>
    <w:pPr>
      <w:framePr w:w="7920" w:h="1980" w:hRule="exact" w:hSpace="180" w:wrap="auto" w:hAnchor="page" w:xAlign="center" w:yAlign="bottom"/>
      <w:widowControl/>
      <w:spacing w:line="288" w:lineRule="auto"/>
      <w:ind w:left="2880"/>
    </w:pPr>
    <w:rPr>
      <w:rFonts w:ascii="Courier New" w:hAnsi="Courier New"/>
      <w:position w:val="6"/>
      <w:sz w:val="24"/>
    </w:rPr>
  </w:style>
  <w:style w:type="paragraph" w:styleId="Footer">
    <w:name w:val="footer"/>
    <w:basedOn w:val="Normal"/>
    <w:link w:val="FooterChar"/>
    <w:uiPriority w:val="99"/>
    <w:rsid w:val="00C74D81"/>
    <w:pPr>
      <w:widowControl/>
      <w:tabs>
        <w:tab w:val="center" w:pos="4320"/>
        <w:tab w:val="right" w:pos="8640"/>
      </w:tabs>
      <w:spacing w:line="360" w:lineRule="auto"/>
    </w:pPr>
    <w:rPr>
      <w:rFonts w:ascii="Courier New" w:hAnsi="Courier New"/>
      <w:position w:val="6"/>
      <w:sz w:val="24"/>
    </w:rPr>
  </w:style>
  <w:style w:type="character" w:styleId="FootnoteReference">
    <w:name w:val="footnote reference"/>
    <w:rsid w:val="000B133A"/>
    <w:rPr>
      <w:rFonts w:ascii="Century Schoolbook" w:hAnsi="Century Schoolbook"/>
      <w:position w:val="8"/>
      <w:sz w:val="20"/>
    </w:rPr>
  </w:style>
  <w:style w:type="paragraph" w:styleId="FootnoteText">
    <w:name w:val="footnote text"/>
    <w:basedOn w:val="Normal"/>
    <w:link w:val="FootnoteTextChar"/>
    <w:rsid w:val="00BD765C"/>
    <w:pPr>
      <w:widowControl/>
      <w:spacing w:line="240" w:lineRule="auto"/>
      <w:ind w:firstLine="720"/>
    </w:pPr>
    <w:rPr>
      <w:rFonts w:ascii="Century Schoolbook" w:hAnsi="Century Schoolbook"/>
      <w:position w:val="6"/>
    </w:rPr>
  </w:style>
  <w:style w:type="paragraph" w:styleId="Header">
    <w:name w:val="header"/>
    <w:basedOn w:val="Normal"/>
    <w:rsid w:val="00C74D81"/>
    <w:pPr>
      <w:widowControl/>
      <w:tabs>
        <w:tab w:val="center" w:pos="4320"/>
        <w:tab w:val="right" w:pos="8640"/>
      </w:tabs>
      <w:spacing w:line="360" w:lineRule="auto"/>
    </w:pPr>
    <w:rPr>
      <w:rFonts w:ascii="Courier New" w:hAnsi="Courier New"/>
      <w:position w:val="6"/>
      <w:sz w:val="24"/>
    </w:rPr>
  </w:style>
  <w:style w:type="character" w:styleId="PageNumber">
    <w:name w:val="page number"/>
    <w:basedOn w:val="DefaultParagraphFont"/>
    <w:rsid w:val="00C74D81"/>
    <w:rPr>
      <w:rFonts w:ascii="Courier New" w:hAnsi="Courier New"/>
      <w:sz w:val="24"/>
    </w:rPr>
  </w:style>
  <w:style w:type="paragraph" w:styleId="NormalWeb">
    <w:name w:val="Normal (Web)"/>
    <w:basedOn w:val="Normal"/>
    <w:uiPriority w:val="99"/>
    <w:unhideWhenUsed/>
    <w:rsid w:val="00A44D61"/>
    <w:rPr>
      <w:sz w:val="24"/>
      <w:szCs w:val="24"/>
    </w:rPr>
  </w:style>
  <w:style w:type="character" w:customStyle="1" w:styleId="acb">
    <w:name w:val="acb"/>
    <w:basedOn w:val="DefaultParagraphFont"/>
    <w:rsid w:val="009D1EE0"/>
  </w:style>
  <w:style w:type="character" w:customStyle="1" w:styleId="costarpage">
    <w:name w:val="co_starpage"/>
    <w:basedOn w:val="DefaultParagraphFont"/>
    <w:rsid w:val="000D0A16"/>
  </w:style>
  <w:style w:type="character" w:customStyle="1" w:styleId="copinpointicon">
    <w:name w:val="co_pinpointicon"/>
    <w:basedOn w:val="DefaultParagraphFont"/>
    <w:rsid w:val="000D0A16"/>
  </w:style>
  <w:style w:type="character" w:styleId="Emphasis">
    <w:name w:val="Emphasis"/>
    <w:basedOn w:val="DefaultParagraphFont"/>
    <w:uiPriority w:val="20"/>
    <w:qFormat/>
    <w:rsid w:val="000D0A16"/>
    <w:rPr>
      <w:i/>
      <w:iCs/>
    </w:rPr>
  </w:style>
  <w:style w:type="character" w:styleId="Hyperlink">
    <w:name w:val="Hyperlink"/>
    <w:basedOn w:val="DefaultParagraphFont"/>
    <w:unhideWhenUsed/>
    <w:rsid w:val="0017114F"/>
    <w:rPr>
      <w:color w:val="0000FF" w:themeColor="hyperlink"/>
      <w:u w:val="single"/>
    </w:rPr>
  </w:style>
  <w:style w:type="character" w:customStyle="1" w:styleId="UnresolvedMention1">
    <w:name w:val="Unresolved Mention1"/>
    <w:basedOn w:val="DefaultParagraphFont"/>
    <w:uiPriority w:val="99"/>
    <w:semiHidden/>
    <w:unhideWhenUsed/>
    <w:rsid w:val="0017114F"/>
    <w:rPr>
      <w:color w:val="605E5C"/>
      <w:shd w:val="clear" w:color="auto" w:fill="E1DFDD"/>
    </w:rPr>
  </w:style>
  <w:style w:type="character" w:customStyle="1" w:styleId="FootnoteTextChar">
    <w:name w:val="Footnote Text Char"/>
    <w:basedOn w:val="DefaultParagraphFont"/>
    <w:link w:val="FootnoteText"/>
    <w:rsid w:val="00C2011D"/>
    <w:rPr>
      <w:sz w:val="26"/>
    </w:rPr>
  </w:style>
  <w:style w:type="character" w:styleId="CommentReference">
    <w:name w:val="annotation reference"/>
    <w:basedOn w:val="DefaultParagraphFont"/>
    <w:semiHidden/>
    <w:unhideWhenUsed/>
    <w:rsid w:val="0054019B"/>
    <w:rPr>
      <w:sz w:val="16"/>
      <w:szCs w:val="16"/>
    </w:rPr>
  </w:style>
  <w:style w:type="paragraph" w:styleId="CommentText">
    <w:name w:val="annotation text"/>
    <w:basedOn w:val="Normal"/>
    <w:link w:val="CommentTextChar"/>
    <w:unhideWhenUsed/>
    <w:rsid w:val="0054019B"/>
    <w:pPr>
      <w:spacing w:line="240" w:lineRule="auto"/>
    </w:pPr>
    <w:rPr>
      <w:sz w:val="20"/>
    </w:rPr>
  </w:style>
  <w:style w:type="character" w:customStyle="1" w:styleId="CommentTextChar">
    <w:name w:val="Comment Text Char"/>
    <w:basedOn w:val="DefaultParagraphFont"/>
    <w:link w:val="CommentText"/>
    <w:rsid w:val="0054019B"/>
    <w:rPr>
      <w:rFonts w:ascii="Times New Roman" w:hAnsi="Times New Roman"/>
      <w:position w:val="0"/>
      <w:sz w:val="20"/>
    </w:rPr>
  </w:style>
  <w:style w:type="paragraph" w:styleId="CommentSubject">
    <w:name w:val="annotation subject"/>
    <w:basedOn w:val="CommentText"/>
    <w:next w:val="CommentText"/>
    <w:link w:val="CommentSubjectChar"/>
    <w:semiHidden/>
    <w:unhideWhenUsed/>
    <w:rsid w:val="0054019B"/>
    <w:rPr>
      <w:b/>
      <w:bCs/>
    </w:rPr>
  </w:style>
  <w:style w:type="character" w:customStyle="1" w:styleId="CommentSubjectChar">
    <w:name w:val="Comment Subject Char"/>
    <w:basedOn w:val="CommentTextChar"/>
    <w:link w:val="CommentSubject"/>
    <w:semiHidden/>
    <w:rsid w:val="0054019B"/>
    <w:rPr>
      <w:rFonts w:ascii="Times New Roman" w:hAnsi="Times New Roman"/>
      <w:b/>
      <w:bCs/>
      <w:position w:val="0"/>
      <w:sz w:val="20"/>
    </w:rPr>
  </w:style>
  <w:style w:type="paragraph" w:styleId="Revision">
    <w:name w:val="Revision"/>
    <w:hidden/>
    <w:uiPriority w:val="99"/>
    <w:semiHidden/>
    <w:rsid w:val="00DD08EF"/>
    <w:pPr>
      <w:spacing w:line="240" w:lineRule="auto"/>
    </w:pPr>
    <w:rPr>
      <w:rFonts w:ascii="Times New Roman" w:hAnsi="Times New Roman"/>
      <w:position w:val="0"/>
      <w:sz w:val="26"/>
    </w:rPr>
  </w:style>
  <w:style w:type="character" w:customStyle="1" w:styleId="FooterChar">
    <w:name w:val="Footer Char"/>
    <w:basedOn w:val="DefaultParagraphFont"/>
    <w:link w:val="Footer"/>
    <w:uiPriority w:val="99"/>
    <w:rsid w:val="001C4198"/>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30A51-D3A0-4B1A-807D-E26F02672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office07a1</Template>
  <TotalTime>0</TotalTime>
  <Pages>2</Pages>
  <Words>8413</Words>
  <Characters>47955</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2024-05-02T19:30:36Z</dcterms:created>
  <dcterms:modified xsi:type="dcterms:W3CDTF">2024-05-02T19:30:36Z</dcterms:modified>
</cp:coreProperties>
</file>