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D20B4" w:rsidRPr="006D20B4" w:rsidP="006D20B4">
      <w:pPr>
        <w:spacing w:line="360" w:lineRule="auto"/>
        <w:rPr>
          <w:bCs/>
          <w:sz w:val="20"/>
          <w:szCs w:val="20"/>
        </w:rPr>
      </w:pPr>
      <w:r>
        <w:rPr>
          <w:bCs/>
          <w:sz w:val="20"/>
          <w:szCs w:val="20"/>
        </w:rPr>
        <w:t>Filed 5</w:t>
      </w:r>
      <w:r w:rsidR="0006475D">
        <w:rPr>
          <w:bCs/>
          <w:sz w:val="20"/>
          <w:szCs w:val="20"/>
        </w:rPr>
        <w:t>/</w:t>
      </w:r>
      <w:r>
        <w:rPr>
          <w:bCs/>
          <w:sz w:val="20"/>
          <w:szCs w:val="20"/>
        </w:rPr>
        <w:t>30</w:t>
      </w:r>
      <w:r w:rsidR="0006475D">
        <w:rPr>
          <w:bCs/>
          <w:sz w:val="20"/>
          <w:szCs w:val="20"/>
        </w:rPr>
        <w:t>/</w:t>
      </w:r>
      <w:r>
        <w:rPr>
          <w:bCs/>
          <w:sz w:val="20"/>
          <w:szCs w:val="20"/>
        </w:rPr>
        <w:t>24</w:t>
      </w:r>
      <w:r w:rsidR="003F5D3D">
        <w:rPr>
          <w:bCs/>
          <w:sz w:val="20"/>
          <w:szCs w:val="20"/>
        </w:rPr>
        <w:t>; certified for publication 6/25/24 (order attached)</w:t>
      </w:r>
      <w:r w:rsidR="00326F2C">
        <w:rPr>
          <w:bCs/>
          <w:sz w:val="20"/>
          <w:szCs w:val="20"/>
        </w:rPr>
        <w:t xml:space="preserve">  </w:t>
      </w:r>
    </w:p>
    <w:p w:rsidR="006B51AE" w:rsidP="006B51AE">
      <w:pPr>
        <w:spacing w:line="240" w:lineRule="auto"/>
        <w:jc w:val="center"/>
        <w:rPr>
          <w:b/>
        </w:rPr>
      </w:pPr>
    </w:p>
    <w:p w:rsidR="006B51AE" w:rsidP="006B51AE">
      <w:pPr>
        <w:spacing w:line="240" w:lineRule="auto"/>
        <w:jc w:val="center"/>
        <w:rPr>
          <w:b/>
        </w:rPr>
      </w:pPr>
    </w:p>
    <w:p w:rsidR="006F1D80" w:rsidP="006B51AE">
      <w:pPr>
        <w:spacing w:line="240" w:lineRule="auto"/>
        <w:jc w:val="center"/>
        <w:rPr>
          <w:b/>
        </w:rPr>
      </w:pPr>
    </w:p>
    <w:p w:rsidR="006F1D80" w:rsidP="006B51AE">
      <w:pPr>
        <w:spacing w:line="240" w:lineRule="auto"/>
        <w:jc w:val="center"/>
        <w:rPr>
          <w:b/>
        </w:rPr>
      </w:pPr>
    </w:p>
    <w:p w:rsidR="006B51AE" w:rsidP="006B51AE">
      <w:pPr>
        <w:spacing w:line="240" w:lineRule="auto"/>
        <w:jc w:val="center"/>
      </w:pPr>
    </w:p>
    <w:p w:rsidR="0060106F" w:rsidP="0060106F">
      <w:pPr>
        <w:spacing w:line="240" w:lineRule="auto"/>
        <w:jc w:val="center"/>
      </w:pPr>
    </w:p>
    <w:p w:rsidR="0060106F" w:rsidP="0060106F">
      <w:pPr>
        <w:spacing w:line="240" w:lineRule="auto"/>
        <w:jc w:val="center"/>
      </w:pPr>
      <w:r>
        <w:t>IN THE COURT OF APPEAL OF THE STATE OF CALIFORNIA</w:t>
      </w:r>
    </w:p>
    <w:p w:rsidR="0060106F" w:rsidP="0060106F">
      <w:pPr>
        <w:spacing w:line="240" w:lineRule="auto"/>
        <w:jc w:val="center"/>
      </w:pPr>
    </w:p>
    <w:p w:rsidR="0060106F" w:rsidP="0060106F">
      <w:pPr>
        <w:spacing w:line="240" w:lineRule="auto"/>
        <w:jc w:val="center"/>
      </w:pPr>
      <w:r>
        <w:t>SECOND APPELLATE DISTRICT</w:t>
      </w:r>
    </w:p>
    <w:p w:rsidR="0060106F" w:rsidP="0060106F">
      <w:pPr>
        <w:spacing w:line="240" w:lineRule="auto"/>
        <w:jc w:val="center"/>
      </w:pPr>
    </w:p>
    <w:p w:rsidR="006C7D8D" w:rsidP="0060106F">
      <w:pPr>
        <w:spacing w:line="240" w:lineRule="auto"/>
        <w:jc w:val="center"/>
      </w:pPr>
      <w:r>
        <w:t>DIVISION SIX</w:t>
      </w:r>
    </w:p>
    <w:p w:rsidR="006C7D8D" w:rsidP="006C7D8D">
      <w:pPr>
        <w:spacing w:line="240" w:lineRule="auto"/>
        <w:jc w:val="center"/>
      </w:pPr>
    </w:p>
    <w:p w:rsidR="006C7D8D" w:rsidP="006C7D8D">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068"/>
        <w:gridCol w:w="4068"/>
      </w:tblGrid>
      <w:tr w:rsidTr="006C7D8D">
        <w:tblPrEx>
          <w:tblW w:w="0" w:type="auto"/>
          <w:tblInd w:w="0" w:type="dxa"/>
          <w:tblLayout w:type="fixed"/>
          <w:tblCellMar>
            <w:top w:w="0" w:type="dxa"/>
            <w:left w:w="108" w:type="dxa"/>
            <w:bottom w:w="0" w:type="dxa"/>
            <w:right w:w="108" w:type="dxa"/>
          </w:tblCellMar>
          <w:tblLook w:val="0000"/>
        </w:tblPrEx>
        <w:tc>
          <w:tcPr>
            <w:tcW w:w="4068" w:type="dxa"/>
            <w:tcBorders>
              <w:bottom w:val="single" w:sz="4" w:space="0" w:color="auto"/>
              <w:right w:val="single" w:sz="4" w:space="0" w:color="auto"/>
            </w:tcBorders>
            <w:shd w:val="clear" w:color="auto" w:fill="auto"/>
          </w:tcPr>
          <w:p w:rsidR="006C7D8D" w:rsidP="006C7D8D">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CASA BLANCA BEACH ESTATES OWNERS</w:t>
            </w:r>
            <w:r w:rsidR="00CD4907">
              <w:rPr>
                <w:rFonts w:ascii="Century Schoolbook" w:eastAsia="Calibri" w:hAnsi="Century Schoolbook"/>
                <w:sz w:val="26"/>
                <w:szCs w:val="22"/>
                <w:lang w:val="en-US" w:eastAsia="en-US" w:bidi="ar-SA"/>
              </w:rPr>
              <w:t>’</w:t>
            </w:r>
            <w:r>
              <w:rPr>
                <w:rFonts w:ascii="Century Schoolbook" w:eastAsia="Calibri" w:hAnsi="Century Schoolbook"/>
                <w:sz w:val="26"/>
                <w:szCs w:val="22"/>
                <w:lang w:val="en-US" w:eastAsia="en-US" w:bidi="ar-SA"/>
              </w:rPr>
              <w:t xml:space="preserve"> ASSOCIATION, </w:t>
            </w:r>
          </w:p>
          <w:p w:rsidR="006C7D8D" w:rsidP="006C7D8D">
            <w:pPr>
              <w:spacing w:line="240" w:lineRule="auto"/>
              <w:rPr>
                <w:rStyle w:val="DefaultParagraphFont"/>
                <w:rFonts w:ascii="Century Schoolbook" w:eastAsia="Calibri" w:hAnsi="Century Schoolbook"/>
                <w:sz w:val="26"/>
                <w:szCs w:val="22"/>
                <w:lang w:val="en-US" w:eastAsia="en-US" w:bidi="ar-SA"/>
              </w:rPr>
            </w:pPr>
          </w:p>
          <w:p w:rsidR="006C7D8D" w:rsidP="00F436A6">
            <w:pPr>
              <w:spacing w:line="240" w:lineRule="auto"/>
              <w:ind w:left="360"/>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Plaintiff and Appellant,</w:t>
            </w:r>
          </w:p>
          <w:p w:rsidR="006C7D8D" w:rsidP="006C7D8D">
            <w:pPr>
              <w:spacing w:line="240" w:lineRule="auto"/>
              <w:rPr>
                <w:rStyle w:val="DefaultParagraphFont"/>
                <w:rFonts w:ascii="Century Schoolbook" w:eastAsia="Calibri" w:hAnsi="Century Schoolbook"/>
                <w:sz w:val="26"/>
                <w:szCs w:val="22"/>
                <w:lang w:val="en-US" w:eastAsia="en-US" w:bidi="ar-SA"/>
              </w:rPr>
            </w:pPr>
          </w:p>
          <w:p w:rsidR="006C7D8D" w:rsidP="006C7D8D">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v.</w:t>
            </w:r>
          </w:p>
          <w:p w:rsidR="006C7D8D" w:rsidP="006C7D8D">
            <w:pPr>
              <w:spacing w:line="240" w:lineRule="auto"/>
              <w:rPr>
                <w:rStyle w:val="DefaultParagraphFont"/>
                <w:rFonts w:ascii="Century Schoolbook" w:eastAsia="Calibri" w:hAnsi="Century Schoolbook"/>
                <w:sz w:val="26"/>
                <w:szCs w:val="22"/>
                <w:lang w:val="en-US" w:eastAsia="en-US" w:bidi="ar-SA"/>
              </w:rPr>
            </w:pPr>
          </w:p>
          <w:p w:rsidR="006C7D8D" w:rsidP="006C7D8D">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COUNTY OF SANTA BARBARA </w:t>
            </w:r>
            <w:r w:rsidR="00CD4907">
              <w:rPr>
                <w:rFonts w:ascii="Century Schoolbook" w:eastAsia="Calibri" w:hAnsi="Century Schoolbook"/>
                <w:sz w:val="26"/>
                <w:szCs w:val="22"/>
                <w:lang w:val="en-US" w:eastAsia="en-US" w:bidi="ar-SA"/>
              </w:rPr>
              <w:t>et al</w:t>
            </w:r>
            <w:r w:rsidR="006F1D80">
              <w:rPr>
                <w:rFonts w:ascii="Century Schoolbook" w:eastAsia="Calibri" w:hAnsi="Century Schoolbook"/>
                <w:sz w:val="26"/>
                <w:szCs w:val="22"/>
                <w:lang w:val="en-US" w:eastAsia="en-US" w:bidi="ar-SA"/>
              </w:rPr>
              <w:t>.</w:t>
            </w:r>
            <w:r>
              <w:rPr>
                <w:rFonts w:ascii="Century Schoolbook" w:eastAsia="Calibri" w:hAnsi="Century Schoolbook"/>
                <w:sz w:val="26"/>
                <w:szCs w:val="22"/>
                <w:lang w:val="en-US" w:eastAsia="en-US" w:bidi="ar-SA"/>
              </w:rPr>
              <w:t>,</w:t>
            </w:r>
          </w:p>
          <w:p w:rsidR="006C7D8D" w:rsidP="006C7D8D">
            <w:pPr>
              <w:spacing w:line="240" w:lineRule="auto"/>
              <w:rPr>
                <w:rStyle w:val="DefaultParagraphFont"/>
                <w:rFonts w:ascii="Century Schoolbook" w:eastAsia="Calibri" w:hAnsi="Century Schoolbook"/>
                <w:sz w:val="26"/>
                <w:szCs w:val="22"/>
                <w:lang w:val="en-US" w:eastAsia="en-US" w:bidi="ar-SA"/>
              </w:rPr>
            </w:pPr>
          </w:p>
          <w:p w:rsidR="006C7D8D" w:rsidP="00F436A6">
            <w:pPr>
              <w:spacing w:line="240" w:lineRule="auto"/>
              <w:ind w:left="360"/>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Defendants and Respondents.</w:t>
            </w:r>
          </w:p>
          <w:p w:rsidR="006C7D8D" w:rsidP="006C7D8D">
            <w:pPr>
              <w:spacing w:line="240" w:lineRule="auto"/>
              <w:rPr>
                <w:rStyle w:val="DefaultParagraphFont"/>
                <w:rFonts w:ascii="Century Schoolbook" w:eastAsia="Calibri" w:hAnsi="Century Schoolbook"/>
                <w:sz w:val="26"/>
                <w:szCs w:val="22"/>
                <w:lang w:val="en-US" w:eastAsia="en-US" w:bidi="ar-SA"/>
              </w:rPr>
            </w:pPr>
          </w:p>
        </w:tc>
        <w:tc>
          <w:tcPr>
            <w:tcW w:w="4068" w:type="dxa"/>
            <w:tcBorders>
              <w:left w:val="single" w:sz="4" w:space="0" w:color="auto"/>
            </w:tcBorders>
            <w:shd w:val="clear" w:color="auto" w:fill="auto"/>
          </w:tcPr>
          <w:p w:rsidR="006C7D8D" w:rsidP="006C7D8D">
            <w:pPr>
              <w:spacing w:line="240" w:lineRule="auto"/>
              <w:jc w:val="center"/>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2d Civ. No. B314102</w:t>
            </w:r>
          </w:p>
          <w:p w:rsidR="006C7D8D" w:rsidP="006C7D8D">
            <w:pPr>
              <w:spacing w:line="240" w:lineRule="auto"/>
              <w:jc w:val="center"/>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(Super. Ct. No. </w:t>
            </w:r>
            <w:r w:rsidR="00051989">
              <w:rPr>
                <w:rFonts w:ascii="Century Schoolbook" w:eastAsia="Calibri" w:hAnsi="Century Schoolbook"/>
                <w:sz w:val="26"/>
                <w:szCs w:val="22"/>
                <w:lang w:val="en-US" w:eastAsia="en-US" w:bidi="ar-SA"/>
              </w:rPr>
              <w:t>18CV04772</w:t>
            </w:r>
            <w:r>
              <w:rPr>
                <w:rFonts w:ascii="Century Schoolbook" w:eastAsia="Calibri" w:hAnsi="Century Schoolbook"/>
                <w:sz w:val="26"/>
                <w:szCs w:val="22"/>
                <w:lang w:val="en-US" w:eastAsia="en-US" w:bidi="ar-SA"/>
              </w:rPr>
              <w:t>)</w:t>
            </w:r>
          </w:p>
          <w:p w:rsidR="006C7D8D" w:rsidP="006C7D8D">
            <w:pPr>
              <w:spacing w:line="240" w:lineRule="auto"/>
              <w:jc w:val="center"/>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w:t>
            </w:r>
            <w:r w:rsidR="00051989">
              <w:rPr>
                <w:rFonts w:ascii="Century Schoolbook" w:eastAsia="Calibri" w:hAnsi="Century Schoolbook"/>
                <w:sz w:val="26"/>
                <w:szCs w:val="22"/>
                <w:lang w:val="en-US" w:eastAsia="en-US" w:bidi="ar-SA"/>
              </w:rPr>
              <w:t>Santa Barbara</w:t>
            </w:r>
            <w:r>
              <w:rPr>
                <w:rFonts w:ascii="Century Schoolbook" w:eastAsia="Calibri" w:hAnsi="Century Schoolbook"/>
                <w:sz w:val="26"/>
                <w:szCs w:val="22"/>
                <w:lang w:val="en-US" w:eastAsia="en-US" w:bidi="ar-SA"/>
              </w:rPr>
              <w:t xml:space="preserve"> County)</w:t>
            </w:r>
          </w:p>
          <w:p w:rsidR="006C7D8D" w:rsidP="006C7D8D">
            <w:pPr>
              <w:spacing w:line="240" w:lineRule="auto"/>
              <w:jc w:val="center"/>
              <w:rPr>
                <w:rStyle w:val="DefaultParagraphFont"/>
                <w:rFonts w:ascii="Century Schoolbook" w:eastAsia="Calibri" w:hAnsi="Century Schoolbook"/>
                <w:sz w:val="26"/>
                <w:szCs w:val="22"/>
                <w:lang w:val="en-US" w:eastAsia="en-US" w:bidi="ar-SA"/>
              </w:rPr>
            </w:pPr>
          </w:p>
        </w:tc>
      </w:tr>
    </w:tbl>
    <w:p w:rsidR="006C7D8D" w:rsidP="0066391E">
      <w:pPr>
        <w:tabs>
          <w:tab w:val="left" w:pos="1440"/>
          <w:tab w:val="left" w:pos="2880"/>
          <w:tab w:val="left" w:pos="4320"/>
          <w:tab w:val="left" w:pos="5760"/>
          <w:tab w:val="left" w:pos="7200"/>
        </w:tabs>
      </w:pPr>
    </w:p>
    <w:p w:rsidR="00C14284" w:rsidRPr="006E43C1" w:rsidP="008E5CC6">
      <w:pPr>
        <w:tabs>
          <w:tab w:val="left" w:pos="1440"/>
          <w:tab w:val="left" w:pos="2880"/>
          <w:tab w:val="left" w:pos="4320"/>
          <w:tab w:val="left" w:pos="5760"/>
          <w:tab w:val="left" w:pos="7200"/>
        </w:tabs>
        <w:ind w:firstLine="720"/>
      </w:pPr>
      <w:r>
        <w:t xml:space="preserve">In the midst of administrative proceedings, </w:t>
      </w:r>
      <w:r w:rsidRPr="006E43C1" w:rsidR="008E5CC6">
        <w:t xml:space="preserve">Casa Blanca </w:t>
      </w:r>
      <w:r w:rsidRPr="006E43C1" w:rsidR="002E3EA9">
        <w:t>Beach Estates Owners</w:t>
      </w:r>
      <w:r w:rsidRPr="006E43C1" w:rsidR="00CD4907">
        <w:t>’</w:t>
      </w:r>
      <w:r w:rsidRPr="006E43C1" w:rsidR="002E3EA9">
        <w:t xml:space="preserve"> Association (Casa Blanca)</w:t>
      </w:r>
      <w:r w:rsidR="00A879CB">
        <w:t xml:space="preserve"> </w:t>
      </w:r>
      <w:r w:rsidRPr="006E43C1">
        <w:t xml:space="preserve">sought </w:t>
      </w:r>
      <w:r w:rsidRPr="006E43C1" w:rsidR="00975DC7">
        <w:t>declaratory relief</w:t>
      </w:r>
      <w:r w:rsidRPr="006E43C1">
        <w:t xml:space="preserve"> against the County of Santa Barbara (County) and the California Coastal Commission (Commission) regarding</w:t>
      </w:r>
      <w:r w:rsidRPr="006E43C1" w:rsidR="00975DC7">
        <w:t xml:space="preserve"> the timing of</w:t>
      </w:r>
      <w:r w:rsidRPr="006E43C1">
        <w:t xml:space="preserve"> its obligation to construct a beach access walkway pursuant to an offer to dedicate recorded in 1990.  </w:t>
      </w:r>
      <w:r w:rsidR="00E60C33">
        <w:t>The trial court</w:t>
      </w:r>
      <w:r w:rsidR="00BF79A5">
        <w:t xml:space="preserve"> </w:t>
      </w:r>
      <w:r w:rsidR="00BF79A5">
        <w:t>correctly found</w:t>
      </w:r>
      <w:r>
        <w:t xml:space="preserve"> Casa Blanca failed to exhaust its administrative remedies and entered judgment in favor of respondents.</w:t>
      </w:r>
      <w:r w:rsidR="00D909D4">
        <w:t xml:space="preserve"> </w:t>
      </w:r>
      <w:r>
        <w:t xml:space="preserve"> </w:t>
      </w:r>
      <w:r w:rsidR="00E60C33">
        <w:t xml:space="preserve">We will affirm. </w:t>
      </w:r>
    </w:p>
    <w:p w:rsidR="0000191B" w:rsidRPr="00C50E21" w:rsidP="00C50E21">
      <w:pPr>
        <w:tabs>
          <w:tab w:val="left" w:pos="1440"/>
          <w:tab w:val="left" w:pos="2880"/>
          <w:tab w:val="left" w:pos="4320"/>
          <w:tab w:val="left" w:pos="5760"/>
          <w:tab w:val="left" w:pos="7200"/>
        </w:tabs>
        <w:jc w:val="center"/>
      </w:pPr>
      <w:r>
        <w:t>FACTUAL AND PROCEDURAL BACKGROUND</w:t>
      </w:r>
    </w:p>
    <w:p w:rsidR="00BF5415" w:rsidP="00877181">
      <w:pPr>
        <w:tabs>
          <w:tab w:val="left" w:pos="1440"/>
          <w:tab w:val="left" w:pos="2880"/>
          <w:tab w:val="left" w:pos="4320"/>
          <w:tab w:val="left" w:pos="5760"/>
          <w:tab w:val="left" w:pos="7200"/>
        </w:tabs>
        <w:ind w:firstLine="720"/>
      </w:pPr>
      <w:r>
        <w:t xml:space="preserve">More than </w:t>
      </w:r>
      <w:r w:rsidR="002E3EA9">
        <w:t>30</w:t>
      </w:r>
      <w:r>
        <w:t xml:space="preserve"> years ago, the County of Santa Barbara Planning Commission approved </w:t>
      </w:r>
      <w:r w:rsidR="00D27863">
        <w:t xml:space="preserve">the </w:t>
      </w:r>
      <w:r>
        <w:t xml:space="preserve">development of a 12-lot </w:t>
      </w:r>
      <w:r w:rsidR="00196572">
        <w:t xml:space="preserve">oceanfront </w:t>
      </w:r>
      <w:r>
        <w:t xml:space="preserve">subdivision </w:t>
      </w:r>
      <w:r w:rsidR="00196572">
        <w:t>in Carpinteria</w:t>
      </w:r>
      <w:r>
        <w:t xml:space="preserve">. </w:t>
      </w:r>
      <w:r w:rsidR="00E37C63">
        <w:t xml:space="preserve"> </w:t>
      </w:r>
      <w:r w:rsidR="0092073B">
        <w:t xml:space="preserve">Casa Blanca </w:t>
      </w:r>
      <w:r w:rsidR="002E3EA9">
        <w:t xml:space="preserve">is </w:t>
      </w:r>
      <w:r w:rsidR="006E43C1">
        <w:t>the</w:t>
      </w:r>
      <w:r w:rsidR="0092073B">
        <w:t xml:space="preserve"> </w:t>
      </w:r>
      <w:r w:rsidR="008E0556">
        <w:t xml:space="preserve">non-profit </w:t>
      </w:r>
      <w:r w:rsidR="0092073B">
        <w:t>homeowner</w:t>
      </w:r>
      <w:r w:rsidR="00CD4907">
        <w:t>’</w:t>
      </w:r>
      <w:r w:rsidR="0092073B">
        <w:t>s association formed to manage the development</w:t>
      </w:r>
      <w:r w:rsidR="002E3EA9">
        <w:t>.</w:t>
      </w:r>
      <w:r w:rsidR="00BD265D">
        <w:t xml:space="preserve"> </w:t>
      </w:r>
      <w:r w:rsidR="002E3EA9">
        <w:t xml:space="preserve"> It </w:t>
      </w:r>
      <w:r w:rsidR="008E0556">
        <w:t>has owned</w:t>
      </w:r>
      <w:r w:rsidR="0092073B">
        <w:t xml:space="preserve"> the common area within the development</w:t>
      </w:r>
      <w:r w:rsidR="008E0556">
        <w:t xml:space="preserve"> since the 1990s.</w:t>
      </w:r>
      <w:r w:rsidR="0092073B">
        <w:t xml:space="preserve"> </w:t>
      </w:r>
      <w:r w:rsidR="00E37C63">
        <w:t xml:space="preserve"> </w:t>
      </w:r>
    </w:p>
    <w:p w:rsidR="00596C7C" w:rsidP="006A3C78">
      <w:pPr>
        <w:tabs>
          <w:tab w:val="left" w:pos="1440"/>
          <w:tab w:val="left" w:pos="2880"/>
          <w:tab w:val="left" w:pos="4320"/>
          <w:tab w:val="left" w:pos="5760"/>
          <w:tab w:val="left" w:pos="7200"/>
        </w:tabs>
        <w:ind w:firstLine="720"/>
      </w:pPr>
      <w:r>
        <w:t>The development</w:t>
      </w:r>
      <w:r w:rsidR="00CD4907">
        <w:t>’</w:t>
      </w:r>
      <w:r>
        <w:t xml:space="preserve">s approval was subject to </w:t>
      </w:r>
      <w:r w:rsidR="00E0241B">
        <w:t>multiple</w:t>
      </w:r>
      <w:r>
        <w:t xml:space="preserve"> conditions.  Condition 20 required </w:t>
      </w:r>
      <w:r w:rsidR="00365C8C">
        <w:t>Casa Blanca</w:t>
      </w:r>
      <w:r w:rsidR="00CD4907">
        <w:t>’</w:t>
      </w:r>
      <w:r w:rsidR="00365C8C">
        <w:t xml:space="preserve">s predecessor-in-interest </w:t>
      </w:r>
      <w:r>
        <w:t xml:space="preserve">to </w:t>
      </w:r>
      <w:r w:rsidR="00CD4907">
        <w:t>“</w:t>
      </w:r>
      <w:r>
        <w:t>provide an irrevocable offer to dedicate a lateral access easement five feet in width</w:t>
      </w:r>
      <w:r w:rsidR="00CD4907">
        <w:t xml:space="preserve"> . . .”</w:t>
      </w:r>
      <w:r>
        <w:t xml:space="preserve"> for public beach access and to construct</w:t>
      </w:r>
      <w:r w:rsidR="001E2579">
        <w:t xml:space="preserve"> </w:t>
      </w:r>
      <w:r>
        <w:t xml:space="preserve">a concrete walkway along the entire easement length </w:t>
      </w:r>
      <w:r w:rsidR="001E2579">
        <w:t xml:space="preserve">within </w:t>
      </w:r>
      <w:r w:rsidR="006E27C6">
        <w:t>180</w:t>
      </w:r>
      <w:r w:rsidR="001E2579">
        <w:t xml:space="preserve"> days after acceptance of the offer to dedicate.</w:t>
      </w:r>
      <w:r>
        <w:t xml:space="preserve"> </w:t>
      </w:r>
      <w:r w:rsidR="00E37C63">
        <w:t xml:space="preserve"> </w:t>
      </w:r>
      <w:r w:rsidRPr="00607BDD" w:rsidR="00607BDD">
        <w:t xml:space="preserve">Casa Blana’s predecessor recorded </w:t>
      </w:r>
      <w:r w:rsidR="00607BDD">
        <w:t>a</w:t>
      </w:r>
      <w:r w:rsidR="006A3C78">
        <w:t>n Irrevocable Offer to Dedicate Easement</w:t>
      </w:r>
      <w:r w:rsidR="00196572">
        <w:t xml:space="preserve"> (</w:t>
      </w:r>
      <w:r w:rsidR="002E3EA9">
        <w:t>o</w:t>
      </w:r>
      <w:r w:rsidR="00196572">
        <w:t xml:space="preserve">ffer to </w:t>
      </w:r>
      <w:r w:rsidR="002E3EA9">
        <w:t>d</w:t>
      </w:r>
      <w:r w:rsidR="00196572">
        <w:t>edicate)</w:t>
      </w:r>
      <w:r w:rsidR="00607BDD">
        <w:t xml:space="preserve"> </w:t>
      </w:r>
      <w:r w:rsidR="006745FA">
        <w:t>including terms requiring</w:t>
      </w:r>
      <w:r w:rsidR="00AF5CEF">
        <w:t xml:space="preserve"> </w:t>
      </w:r>
      <w:r w:rsidRPr="000729F3" w:rsidR="000729F3">
        <w:t xml:space="preserve">the applicant </w:t>
      </w:r>
      <w:r w:rsidR="006745FA">
        <w:t>to</w:t>
      </w:r>
      <w:r w:rsidRPr="000729F3" w:rsidR="006745FA">
        <w:t xml:space="preserve"> </w:t>
      </w:r>
      <w:r w:rsidRPr="000729F3" w:rsidR="000729F3">
        <w:t>construct a concrete walkway within “[180] days after the last to occur of the following:</w:t>
      </w:r>
      <w:r w:rsidR="0070267F">
        <w:t xml:space="preserve"> </w:t>
      </w:r>
      <w:r w:rsidRPr="000729F3" w:rsidR="000729F3">
        <w:t xml:space="preserve"> </w:t>
      </w:r>
      <w:r w:rsidR="008F6DA7">
        <w:t>[</w:t>
      </w:r>
      <w:r w:rsidRPr="000729F3" w:rsidR="000729F3">
        <w:t>¶</w:t>
      </w:r>
      <w:r w:rsidR="008F6DA7">
        <w:t>]</w:t>
      </w:r>
      <w:r w:rsidRPr="000729F3" w:rsidR="000729F3">
        <w:t xml:space="preserve"> (i) recordation of said Notice of Acceptance, or </w:t>
      </w:r>
      <w:r w:rsidR="008F6DA7">
        <w:t>[</w:t>
      </w:r>
      <w:r w:rsidRPr="000729F3" w:rsidR="000729F3">
        <w:t>¶</w:t>
      </w:r>
      <w:r w:rsidR="008F6DA7">
        <w:t xml:space="preserve">] </w:t>
      </w:r>
      <w:r w:rsidRPr="000729F3" w:rsidR="000729F3">
        <w:t>(ii) issuance of any required land use permit or other governmental approval needed to permit construction of the accessway, including approval by the State Lands Commission, if required.</w:t>
      </w:r>
      <w:r w:rsidR="00CE5D09">
        <w:t>”</w:t>
      </w:r>
      <w:r w:rsidR="003C788D">
        <w:t xml:space="preserve">  </w:t>
      </w:r>
    </w:p>
    <w:p w:rsidR="00677E92" w:rsidP="003C788D">
      <w:pPr>
        <w:tabs>
          <w:tab w:val="left" w:pos="1440"/>
          <w:tab w:val="left" w:pos="2880"/>
          <w:tab w:val="left" w:pos="4320"/>
          <w:tab w:val="left" w:pos="5760"/>
          <w:tab w:val="left" w:pos="7200"/>
        </w:tabs>
        <w:ind w:firstLine="720"/>
      </w:pPr>
      <w:r>
        <w:t>The County accepted the offer to dedicate</w:t>
      </w:r>
      <w:r w:rsidR="00D27CC5">
        <w:t xml:space="preserve"> in 2011</w:t>
      </w:r>
      <w:r w:rsidR="006745FA">
        <w:t xml:space="preserve">. </w:t>
      </w:r>
      <w:r>
        <w:t xml:space="preserve"> </w:t>
      </w:r>
      <w:r w:rsidR="00D27CC5">
        <w:t>I</w:t>
      </w:r>
      <w:r w:rsidR="001A06B3">
        <w:t>n 2017</w:t>
      </w:r>
      <w:r w:rsidR="006745FA">
        <w:t>,</w:t>
      </w:r>
      <w:r w:rsidR="001A06B3">
        <w:t xml:space="preserve"> </w:t>
      </w:r>
      <w:r>
        <w:t>the County and Commission</w:t>
      </w:r>
      <w:r w:rsidR="00365C8C">
        <w:t xml:space="preserve"> sent Casa Blanca a </w:t>
      </w:r>
      <w:r w:rsidR="00C207EC">
        <w:t>n</w:t>
      </w:r>
      <w:r w:rsidR="00365C8C">
        <w:t xml:space="preserve">otice of </w:t>
      </w:r>
      <w:r w:rsidR="00C207EC">
        <w:t>v</w:t>
      </w:r>
      <w:r w:rsidR="00365C8C">
        <w:t>iolation</w:t>
      </w:r>
      <w:r w:rsidR="001A06B3">
        <w:t xml:space="preserve"> alleging</w:t>
      </w:r>
      <w:r w:rsidR="00610CEF">
        <w:t xml:space="preserve"> </w:t>
      </w:r>
      <w:r w:rsidR="00683A3E">
        <w:t xml:space="preserve">the deadline to construct the walkway had </w:t>
      </w:r>
      <w:r w:rsidR="00683A3E">
        <w:t>passed</w:t>
      </w:r>
      <w:r w:rsidR="001A06B3">
        <w:t>.</w:t>
      </w:r>
      <w:r>
        <w:rPr>
          <w:rStyle w:val="FootnoteReference"/>
        </w:rPr>
        <w:footnoteReference w:id="2"/>
      </w:r>
      <w:r w:rsidR="00683A3E">
        <w:t xml:space="preserve"> </w:t>
      </w:r>
      <w:r w:rsidR="00E37C63">
        <w:t xml:space="preserve"> </w:t>
      </w:r>
      <w:r w:rsidR="001C60FC">
        <w:t xml:space="preserve">In response, </w:t>
      </w:r>
      <w:r w:rsidRPr="00C03820" w:rsidR="00683A3E">
        <w:t xml:space="preserve">Casa Blanca </w:t>
      </w:r>
      <w:r w:rsidRPr="00C03820" w:rsidR="00C03820">
        <w:t>submitted</w:t>
      </w:r>
      <w:r w:rsidR="00645A8D">
        <w:t xml:space="preserve"> walkway</w:t>
      </w:r>
      <w:r w:rsidRPr="00C03820" w:rsidR="00C03820">
        <w:t xml:space="preserve"> construction plans to the County, but was told it must obtain a coastal development permit from the Commission. </w:t>
      </w:r>
      <w:r w:rsidR="00E37C63">
        <w:t xml:space="preserve"> </w:t>
      </w:r>
      <w:r w:rsidR="001C60FC">
        <w:t>It</w:t>
      </w:r>
      <w:r w:rsidR="00C03820">
        <w:t xml:space="preserve"> </w:t>
      </w:r>
      <w:r w:rsidRPr="00677E92" w:rsidR="00604077">
        <w:t>applied</w:t>
      </w:r>
      <w:r w:rsidR="00645A8D">
        <w:t xml:space="preserve"> to the Commission</w:t>
      </w:r>
      <w:r w:rsidRPr="00677E92" w:rsidR="00683A3E">
        <w:t xml:space="preserve"> for </w:t>
      </w:r>
      <w:r w:rsidR="006745FA">
        <w:t>the</w:t>
      </w:r>
      <w:r w:rsidRPr="00677E92" w:rsidR="00683A3E">
        <w:t xml:space="preserve"> permit, </w:t>
      </w:r>
      <w:r w:rsidRPr="00677E92" w:rsidR="00740E40">
        <w:t>but the Commission deemed the application incomplete</w:t>
      </w:r>
      <w:r w:rsidRPr="00677E92" w:rsidR="00545FC2">
        <w:t xml:space="preserve">.  </w:t>
      </w:r>
      <w:r w:rsidR="00BB53CD">
        <w:t>Over the next few years,</w:t>
      </w:r>
      <w:r w:rsidRPr="00677E92" w:rsidR="00BB53CD">
        <w:t xml:space="preserve"> </w:t>
      </w:r>
      <w:r w:rsidRPr="00677E92" w:rsidR="00545FC2">
        <w:t>Casa Blanca and</w:t>
      </w:r>
      <w:r w:rsidR="006E27C6">
        <w:t xml:space="preserve"> the</w:t>
      </w:r>
      <w:r w:rsidRPr="00677E92" w:rsidR="00545FC2">
        <w:t xml:space="preserve"> Commission </w:t>
      </w:r>
      <w:r w:rsidR="001C60FC">
        <w:t xml:space="preserve">unsuccessfully </w:t>
      </w:r>
      <w:r w:rsidR="00645A8D">
        <w:t xml:space="preserve">worked together </w:t>
      </w:r>
      <w:r w:rsidR="00BB53CD">
        <w:t>to</w:t>
      </w:r>
      <w:r w:rsidRPr="00677E92" w:rsidR="00545FC2">
        <w:t xml:space="preserve"> complete the permit application. </w:t>
      </w:r>
    </w:p>
    <w:p w:rsidR="008955C4" w:rsidP="008955C4">
      <w:pPr>
        <w:tabs>
          <w:tab w:val="left" w:pos="1440"/>
          <w:tab w:val="left" w:pos="2880"/>
          <w:tab w:val="left" w:pos="4320"/>
          <w:tab w:val="left" w:pos="5760"/>
          <w:tab w:val="left" w:pos="7200"/>
        </w:tabs>
        <w:ind w:firstLine="720"/>
      </w:pPr>
      <w:r>
        <w:t xml:space="preserve">In September 2018, Casa Blanca filed a complaint for declaratory relief </w:t>
      </w:r>
      <w:r w:rsidR="00FC60BB">
        <w:t xml:space="preserve">against the County and Commission </w:t>
      </w:r>
      <w:r>
        <w:t>and petition</w:t>
      </w:r>
      <w:r w:rsidR="00FC60BB">
        <w:t>ed</w:t>
      </w:r>
      <w:r>
        <w:t xml:space="preserve"> for writ of mandate</w:t>
      </w:r>
      <w:r w:rsidR="00FC60BB">
        <w:t xml:space="preserve"> against the County</w:t>
      </w:r>
      <w:r>
        <w:t xml:space="preserve">, alleging it had exhausted all administrative remedies and had no plain, speedy, or adequate remedy at law.  </w:t>
      </w:r>
    </w:p>
    <w:p w:rsidR="008955C4" w:rsidP="008955C4">
      <w:pPr>
        <w:tabs>
          <w:tab w:val="left" w:pos="1440"/>
          <w:tab w:val="left" w:pos="2880"/>
          <w:tab w:val="left" w:pos="4320"/>
          <w:tab w:val="left" w:pos="5760"/>
          <w:tab w:val="left" w:pos="7200"/>
        </w:tabs>
        <w:ind w:firstLine="720"/>
      </w:pPr>
      <w:r>
        <w:t xml:space="preserve">In May 2019, as </w:t>
      </w:r>
      <w:r w:rsidR="001A2C2B">
        <w:t xml:space="preserve">litigation proceeded, </w:t>
      </w:r>
      <w:r w:rsidRPr="00645A8D">
        <w:t>Casa Blanca appealed the Commission staff</w:t>
      </w:r>
      <w:r>
        <w:t>’</w:t>
      </w:r>
      <w:r w:rsidRPr="00645A8D">
        <w:t>s determination that its application was incomplete</w:t>
      </w:r>
      <w:r w:rsidR="008F6DA7">
        <w:t xml:space="preserve"> </w:t>
      </w:r>
      <w:r w:rsidR="000729F3">
        <w:t>but</w:t>
      </w:r>
      <w:r>
        <w:t xml:space="preserve"> then withdrew the appeal at </w:t>
      </w:r>
      <w:r w:rsidRPr="00645A8D">
        <w:t>the Commission</w:t>
      </w:r>
      <w:r>
        <w:t>’</w:t>
      </w:r>
      <w:r w:rsidRPr="00645A8D">
        <w:t xml:space="preserve">s request, </w:t>
      </w:r>
      <w:r>
        <w:t>stating</w:t>
      </w:r>
      <w:r w:rsidRPr="00645A8D">
        <w:t xml:space="preserve"> it would examine the feasibility of two alternative construction options. </w:t>
      </w:r>
      <w:r w:rsidR="00E37C63">
        <w:t xml:space="preserve"> </w:t>
      </w:r>
      <w:r w:rsidR="00AE594C">
        <w:t>It</w:t>
      </w:r>
      <w:r>
        <w:t xml:space="preserve"> subsequently</w:t>
      </w:r>
      <w:r w:rsidRPr="00645A8D">
        <w:t xml:space="preserve"> determined further study of the alternatives was not worthwhile and declined to submit the requested analysis to the Commission. </w:t>
      </w:r>
      <w:r w:rsidR="00E37C63">
        <w:t xml:space="preserve"> </w:t>
      </w:r>
    </w:p>
    <w:p w:rsidR="008955C4" w:rsidP="008955C4">
      <w:pPr>
        <w:tabs>
          <w:tab w:val="left" w:pos="1440"/>
          <w:tab w:val="left" w:pos="2880"/>
          <w:tab w:val="left" w:pos="4320"/>
          <w:tab w:val="left" w:pos="5760"/>
          <w:tab w:val="left" w:pos="7200"/>
        </w:tabs>
        <w:ind w:firstLine="720"/>
      </w:pPr>
      <w:r>
        <w:t xml:space="preserve">In November 2019, the court heard cross motions for summary judgment and/or adjudication </w:t>
      </w:r>
      <w:r w:rsidR="000C1684">
        <w:t>from</w:t>
      </w:r>
      <w:r>
        <w:t xml:space="preserve"> the County and Casa Blanca.  The Commission opposed Casa Blanca’s motion but did not move for summary judgment. </w:t>
      </w:r>
      <w:r w:rsidR="00E37C63">
        <w:t xml:space="preserve"> </w:t>
      </w:r>
      <w:r>
        <w:t xml:space="preserve">The trial court granted the County’s motion on all causes of action and denied Casa Blanca’s.  As to the first and third causes of action, the court found the </w:t>
      </w:r>
      <w:r w:rsidR="001C60FC">
        <w:t>o</w:t>
      </w:r>
      <w:r>
        <w:t xml:space="preserve">ffer to </w:t>
      </w:r>
      <w:r w:rsidR="001C60FC">
        <w:t>d</w:t>
      </w:r>
      <w:r>
        <w:t>edicate had been timely accepted by the County.</w:t>
      </w:r>
      <w:r>
        <w:rPr>
          <w:rStyle w:val="FootnoteReference"/>
        </w:rPr>
        <w:footnoteReference w:id="3"/>
      </w:r>
      <w:r>
        <w:t xml:space="preserve"> </w:t>
      </w:r>
      <w:r w:rsidR="00E37C63">
        <w:t xml:space="preserve"> </w:t>
      </w:r>
      <w:r w:rsidR="00CD6490">
        <w:t xml:space="preserve">As to the second cause of action seeking a determination regarding “the deadline for Casa Blanca to meet any obligation </w:t>
      </w:r>
      <w:r w:rsidR="002968DD">
        <w:t>. . .</w:t>
      </w:r>
      <w:r w:rsidR="00CD6490">
        <w:t xml:space="preserve"> to construct a walkway within the land described in </w:t>
      </w:r>
      <w:r w:rsidR="002968DD">
        <w:t>. . .</w:t>
      </w:r>
      <w:r w:rsidR="00CD6490">
        <w:t xml:space="preserve"> the Offer to Dedicate” i</w:t>
      </w:r>
      <w:r>
        <w:t xml:space="preserve">t found it had no jurisdiction because Casa Blanca had failed to exhaust administrative remedies. </w:t>
      </w:r>
    </w:p>
    <w:p w:rsidR="00B632B3" w:rsidRPr="00DD1609" w:rsidP="00B632B3">
      <w:pPr>
        <w:tabs>
          <w:tab w:val="left" w:pos="1440"/>
          <w:tab w:val="left" w:pos="2880"/>
          <w:tab w:val="left" w:pos="4320"/>
          <w:tab w:val="left" w:pos="5760"/>
          <w:tab w:val="left" w:pos="7200"/>
        </w:tabs>
        <w:ind w:firstLine="720"/>
      </w:pPr>
      <w:r>
        <w:t>One month later</w:t>
      </w:r>
      <w:r w:rsidR="006E27C6">
        <w:t>,</w:t>
      </w:r>
      <w:r>
        <w:t xml:space="preserve"> </w:t>
      </w:r>
      <w:r w:rsidR="009D5FFD">
        <w:t>t</w:t>
      </w:r>
      <w:r w:rsidR="00B84EF2">
        <w:t>he</w:t>
      </w:r>
      <w:r w:rsidR="00604077">
        <w:t xml:space="preserve"> Commission</w:t>
      </w:r>
      <w:r w:rsidR="00B65202">
        <w:t xml:space="preserve">, </w:t>
      </w:r>
      <w:r w:rsidR="00604077">
        <w:t>acting alone</w:t>
      </w:r>
      <w:r w:rsidR="00B65202">
        <w:t>,</w:t>
      </w:r>
      <w:r w:rsidR="00604077">
        <w:t xml:space="preserve"> issued a </w:t>
      </w:r>
      <w:r w:rsidR="00CD4907">
        <w:t>“</w:t>
      </w:r>
      <w:r w:rsidR="00604077">
        <w:t>Notice of Intent to Record Notices of Violation of the Coastal Act and Notice of Intent to Commence Cease and Desist Order and Administrative Civil Penalty Action Proceedings</w:t>
      </w:r>
      <w:r w:rsidR="00CD4907">
        <w:t>”</w:t>
      </w:r>
      <w:r w:rsidR="00604077">
        <w:t xml:space="preserve"> (</w:t>
      </w:r>
      <w:r w:rsidR="0035151B">
        <w:t>n</w:t>
      </w:r>
      <w:r w:rsidR="00604077">
        <w:t xml:space="preserve">otice of </w:t>
      </w:r>
      <w:r w:rsidR="0035151B">
        <w:t>i</w:t>
      </w:r>
      <w:r w:rsidR="00604077">
        <w:t>nten</w:t>
      </w:r>
      <w:r w:rsidR="006E35DA">
        <w:t>t</w:t>
      </w:r>
      <w:r w:rsidR="00604077">
        <w:t xml:space="preserve">). </w:t>
      </w:r>
      <w:r w:rsidR="00E37C63">
        <w:t xml:space="preserve"> </w:t>
      </w:r>
      <w:r w:rsidR="004A5268">
        <w:t xml:space="preserve">Ten months </w:t>
      </w:r>
      <w:r w:rsidR="006E27C6">
        <w:t>after that</w:t>
      </w:r>
      <w:r w:rsidR="004A5268">
        <w:t xml:space="preserve">, </w:t>
      </w:r>
      <w:r w:rsidR="00C57307">
        <w:t>Casa Blanca filed a Statement of Defense and Objections to Recordation of Notices of Violation</w:t>
      </w:r>
      <w:r w:rsidR="001E1E04">
        <w:t>.</w:t>
      </w:r>
      <w:r w:rsidR="004A5268">
        <w:t xml:space="preserve"> </w:t>
      </w:r>
      <w:r w:rsidR="00E37C63">
        <w:t xml:space="preserve"> </w:t>
      </w:r>
      <w:r w:rsidR="00CE5D09">
        <w:t>After the</w:t>
      </w:r>
      <w:r w:rsidR="006745FA">
        <w:t xml:space="preserve"> </w:t>
      </w:r>
      <w:r w:rsidR="001E1E04">
        <w:t xml:space="preserve">State Lands Commission issued a preliminary determination showing portions of the promised </w:t>
      </w:r>
      <w:r w:rsidR="00E778C8">
        <w:t xml:space="preserve">walkway </w:t>
      </w:r>
      <w:r w:rsidR="0084511E">
        <w:t>encroached</w:t>
      </w:r>
      <w:r w:rsidR="001E1E04">
        <w:t xml:space="preserve"> on tidal lands</w:t>
      </w:r>
      <w:r w:rsidR="00CE5D09">
        <w:t>, t</w:t>
      </w:r>
      <w:r w:rsidR="009D5FFD">
        <w:t>he</w:t>
      </w:r>
      <w:r w:rsidR="000263F5">
        <w:t xml:space="preserve"> C</w:t>
      </w:r>
      <w:r w:rsidR="001E1E04">
        <w:t>ommission</w:t>
      </w:r>
      <w:r w:rsidR="002B6D39">
        <w:t xml:space="preserve"> </w:t>
      </w:r>
      <w:r w:rsidR="000263F5">
        <w:t>rescinded</w:t>
      </w:r>
      <w:r w:rsidR="007006FA">
        <w:t xml:space="preserve"> the portion of its </w:t>
      </w:r>
      <w:r w:rsidR="00C207EC">
        <w:t>n</w:t>
      </w:r>
      <w:r w:rsidR="007006FA">
        <w:t xml:space="preserve">otice of </w:t>
      </w:r>
      <w:r w:rsidR="00C207EC">
        <w:t>i</w:t>
      </w:r>
      <w:r w:rsidR="007006FA">
        <w:t xml:space="preserve">ntent regarding its intent to record the </w:t>
      </w:r>
      <w:r w:rsidR="00C207EC">
        <w:t>n</w:t>
      </w:r>
      <w:r w:rsidR="007006FA">
        <w:t xml:space="preserve">otice of </w:t>
      </w:r>
      <w:r w:rsidR="00C207EC">
        <w:t>v</w:t>
      </w:r>
      <w:r w:rsidR="007006FA">
        <w:t>iolation</w:t>
      </w:r>
      <w:r w:rsidR="00CE5D09">
        <w:t>.</w:t>
      </w:r>
      <w:r w:rsidR="001E1E04">
        <w:t xml:space="preserve"> </w:t>
      </w:r>
      <w:r w:rsidR="00E37C63">
        <w:t xml:space="preserve"> </w:t>
      </w:r>
      <w:r w:rsidR="006745FA">
        <w:t xml:space="preserve">In December 2019, the </w:t>
      </w:r>
      <w:r>
        <w:t>court stayed litigation</w:t>
      </w:r>
      <w:r w:rsidR="000E22B7">
        <w:t xml:space="preserve"> </w:t>
      </w:r>
      <w:r>
        <w:t xml:space="preserve">to provide Casa Blanca an opportunity to exhaust administrative remedies.  The stay was lifted in November 2020. </w:t>
      </w:r>
      <w:r w:rsidR="00E37C63">
        <w:t xml:space="preserve"> </w:t>
      </w:r>
    </w:p>
    <w:p w:rsidR="00B632B3" w:rsidRPr="003E4DC8" w:rsidP="008F6DA7">
      <w:pPr>
        <w:tabs>
          <w:tab w:val="left" w:pos="720"/>
          <w:tab w:val="left" w:pos="1440"/>
          <w:tab w:val="left" w:pos="2880"/>
          <w:tab w:val="left" w:pos="4320"/>
          <w:tab w:val="left" w:pos="5760"/>
          <w:tab w:val="left" w:pos="7200"/>
        </w:tabs>
      </w:pPr>
      <w:r>
        <w:tab/>
      </w:r>
      <w:r w:rsidR="00DD1609">
        <w:t xml:space="preserve">In February 2021, </w:t>
      </w:r>
      <w:r w:rsidR="002D2815">
        <w:t xml:space="preserve">Casa Blanca filed a </w:t>
      </w:r>
      <w:r w:rsidR="001E2BE9">
        <w:t>s</w:t>
      </w:r>
      <w:r w:rsidR="002D2815">
        <w:t xml:space="preserve">econd </w:t>
      </w:r>
      <w:r w:rsidR="001E2BE9">
        <w:t>a</w:t>
      </w:r>
      <w:r w:rsidR="002D2815">
        <w:t xml:space="preserve">mended </w:t>
      </w:r>
      <w:r w:rsidR="001E2BE9">
        <w:t>c</w:t>
      </w:r>
      <w:r w:rsidR="00F541A5">
        <w:t>omplaint</w:t>
      </w:r>
      <w:r w:rsidR="002D2815">
        <w:t xml:space="preserve"> </w:t>
      </w:r>
      <w:r w:rsidR="00CE5D09">
        <w:t xml:space="preserve">adding </w:t>
      </w:r>
      <w:r w:rsidR="002D2815">
        <w:t xml:space="preserve">allegations against the Commission. </w:t>
      </w:r>
      <w:r w:rsidR="00E37C63">
        <w:t xml:space="preserve"> </w:t>
      </w:r>
      <w:r w:rsidR="002D2815">
        <w:t>The Commission demurred</w:t>
      </w:r>
      <w:r w:rsidR="00F541A5">
        <w:t xml:space="preserve"> on </w:t>
      </w:r>
      <w:r w:rsidR="001C60FC">
        <w:t>grounds</w:t>
      </w:r>
      <w:r w:rsidR="00F541A5">
        <w:t xml:space="preserve"> Casa Blanca failed to exhaust administrative remedies. </w:t>
      </w:r>
      <w:r w:rsidR="00E37C63">
        <w:t xml:space="preserve"> </w:t>
      </w:r>
      <w:r w:rsidR="00F541A5">
        <w:t xml:space="preserve">The trial court sustained the demurrer without leave to amend </w:t>
      </w:r>
      <w:r w:rsidR="00873051">
        <w:t xml:space="preserve">and </w:t>
      </w:r>
      <w:r w:rsidR="00902300">
        <w:t>entered</w:t>
      </w:r>
      <w:r w:rsidR="00873051">
        <w:t xml:space="preserve"> judgment</w:t>
      </w:r>
      <w:r w:rsidR="00902300">
        <w:t xml:space="preserve"> in favor of the County and Commission.</w:t>
      </w:r>
      <w:r>
        <w:rPr>
          <w:rStyle w:val="FootnoteReference"/>
        </w:rPr>
        <w:footnoteReference w:id="4"/>
      </w:r>
    </w:p>
    <w:p w:rsidR="0000191B" w:rsidP="004F3D39">
      <w:pPr>
        <w:tabs>
          <w:tab w:val="left" w:pos="1440"/>
          <w:tab w:val="left" w:pos="2880"/>
          <w:tab w:val="left" w:pos="4320"/>
          <w:tab w:val="left" w:pos="5760"/>
          <w:tab w:val="left" w:pos="7200"/>
        </w:tabs>
        <w:jc w:val="center"/>
      </w:pPr>
      <w:r>
        <w:t>DISCUSSION</w:t>
      </w:r>
    </w:p>
    <w:p w:rsidR="008E7190" w:rsidRPr="008E7190" w:rsidP="008E7190">
      <w:pPr>
        <w:tabs>
          <w:tab w:val="left" w:pos="1440"/>
          <w:tab w:val="left" w:pos="2880"/>
          <w:tab w:val="left" w:pos="4320"/>
          <w:tab w:val="left" w:pos="5760"/>
          <w:tab w:val="left" w:pos="7200"/>
        </w:tabs>
        <w:ind w:firstLine="720"/>
      </w:pPr>
      <w:r w:rsidRPr="008E7190">
        <w:t xml:space="preserve">Casa Blanca contends </w:t>
      </w:r>
      <w:r>
        <w:t>its claim is ripe</w:t>
      </w:r>
      <w:r w:rsidR="001A2C2B">
        <w:t xml:space="preserve"> </w:t>
      </w:r>
      <w:r>
        <w:t>because</w:t>
      </w:r>
      <w:r w:rsidR="003C788D">
        <w:t xml:space="preserve"> </w:t>
      </w:r>
      <w:r w:rsidRPr="008E7190">
        <w:t>it has exhausted all available administrative remedies or is excused from doing so.</w:t>
      </w:r>
      <w:r w:rsidR="00196188">
        <w:t xml:space="preserve"> </w:t>
      </w:r>
      <w:r w:rsidRPr="008E7190">
        <w:t xml:space="preserve"> It seeks remand directing the trial court to determine whether it is currently obligated to construct the walkway.</w:t>
      </w:r>
      <w:r>
        <w:rPr>
          <w:rStyle w:val="FootnoteReference"/>
        </w:rPr>
        <w:footnoteReference w:id="5"/>
      </w:r>
      <w:r w:rsidRPr="008E7190">
        <w:t xml:space="preserve"> </w:t>
      </w:r>
    </w:p>
    <w:p w:rsidR="00F41257" w:rsidRPr="00F41257" w:rsidP="00F41257">
      <w:pPr>
        <w:tabs>
          <w:tab w:val="left" w:pos="1440"/>
          <w:tab w:val="left" w:pos="2880"/>
          <w:tab w:val="left" w:pos="4320"/>
          <w:tab w:val="left" w:pos="5760"/>
          <w:tab w:val="left" w:pos="7200"/>
        </w:tabs>
        <w:jc w:val="center"/>
        <w:rPr>
          <w:i/>
          <w:iCs/>
        </w:rPr>
      </w:pPr>
      <w:r>
        <w:rPr>
          <w:i/>
          <w:iCs/>
        </w:rPr>
        <w:t>Standard of Review</w:t>
      </w:r>
    </w:p>
    <w:p w:rsidR="00801A40" w:rsidP="00801A40">
      <w:pPr>
        <w:tabs>
          <w:tab w:val="left" w:pos="1440"/>
          <w:tab w:val="left" w:pos="2880"/>
          <w:tab w:val="left" w:pos="4320"/>
          <w:tab w:val="left" w:pos="5760"/>
          <w:tab w:val="left" w:pos="7200"/>
        </w:tabs>
        <w:ind w:firstLine="720"/>
      </w:pPr>
      <w:r>
        <w:t xml:space="preserve">An </w:t>
      </w:r>
      <w:r w:rsidRPr="007369A5">
        <w:t>order granting</w:t>
      </w:r>
      <w:r>
        <w:t xml:space="preserve"> </w:t>
      </w:r>
      <w:r w:rsidRPr="007369A5">
        <w:t>summary judgment</w:t>
      </w:r>
      <w:r>
        <w:t xml:space="preserve"> is reviewed de novo.  “</w:t>
      </w:r>
      <w:r w:rsidRPr="007369A5">
        <w:t xml:space="preserve">Summary judgment is appropriate only </w:t>
      </w:r>
      <w:r>
        <w:t>‘</w:t>
      </w:r>
      <w:r w:rsidRPr="007369A5">
        <w:t>where no triable issue of material fact exists and the moving party is entitled to judgment as a matter of law.</w:t>
      </w:r>
      <w:r>
        <w:t xml:space="preserve">’ </w:t>
      </w:r>
      <w:r w:rsidRPr="007369A5">
        <w:t xml:space="preserve"> </w:t>
      </w:r>
      <w:r>
        <w:t>[Citation.]”  (</w:t>
      </w:r>
      <w:r w:rsidRPr="007369A5">
        <w:rPr>
          <w:i/>
          <w:iCs/>
        </w:rPr>
        <w:t>Regents of University of California v. Superior Court</w:t>
      </w:r>
      <w:r w:rsidRPr="007369A5">
        <w:t xml:space="preserve"> (2018) 4 Cal.</w:t>
      </w:r>
      <w:r w:rsidR="00E37C63">
        <w:t>5th</w:t>
      </w:r>
      <w:r w:rsidRPr="007369A5">
        <w:t xml:space="preserve"> 607, 618</w:t>
      </w:r>
      <w:r>
        <w:t>.)  We review an order sustaining a demurrer de novo</w:t>
      </w:r>
      <w:r w:rsidR="008F6DA7">
        <w:t>.</w:t>
      </w:r>
      <w:r>
        <w:rPr>
          <w:rStyle w:val="FootnoteReference"/>
        </w:rPr>
        <w:footnoteReference w:id="6"/>
      </w:r>
      <w:r w:rsidR="00A879CB">
        <w:t xml:space="preserve">  </w:t>
      </w:r>
      <w:r w:rsidRPr="00A879CB" w:rsidR="00A879CB">
        <w:rPr>
          <w:szCs w:val="26"/>
        </w:rPr>
        <w:t>(</w:t>
      </w:r>
      <w:r w:rsidRPr="00A879CB" w:rsidR="00A879CB">
        <w:rPr>
          <w:i/>
          <w:iCs/>
          <w:szCs w:val="26"/>
        </w:rPr>
        <w:t>Blank v. Kirwan</w:t>
      </w:r>
      <w:r w:rsidRPr="00A879CB" w:rsidR="00A879CB">
        <w:rPr>
          <w:szCs w:val="26"/>
        </w:rPr>
        <w:t xml:space="preserve"> (1985) 39 Cal.3d 311, 318</w:t>
      </w:r>
      <w:r w:rsidR="00A879CB">
        <w:rPr>
          <w:szCs w:val="26"/>
        </w:rPr>
        <w:t xml:space="preserve"> (</w:t>
      </w:r>
      <w:r w:rsidRPr="00A879CB" w:rsidR="00A879CB">
        <w:rPr>
          <w:i/>
          <w:iCs/>
          <w:szCs w:val="26"/>
        </w:rPr>
        <w:t>Blank</w:t>
      </w:r>
      <w:r w:rsidR="00A879CB">
        <w:rPr>
          <w:szCs w:val="26"/>
        </w:rPr>
        <w:t>)</w:t>
      </w:r>
      <w:r w:rsidRPr="00A879CB" w:rsidR="00A879CB">
        <w:rPr>
          <w:szCs w:val="26"/>
        </w:rPr>
        <w:t>.)</w:t>
      </w:r>
    </w:p>
    <w:p w:rsidR="003C788D" w:rsidP="003C788D">
      <w:pPr>
        <w:pStyle w:val="ListParagraph"/>
        <w:tabs>
          <w:tab w:val="left" w:pos="0"/>
          <w:tab w:val="left" w:pos="1440"/>
          <w:tab w:val="left" w:pos="2880"/>
          <w:tab w:val="left" w:pos="4320"/>
          <w:tab w:val="left" w:pos="5760"/>
          <w:tab w:val="left" w:pos="7200"/>
        </w:tabs>
        <w:ind w:left="0"/>
        <w:jc w:val="center"/>
        <w:rPr>
          <w:i/>
          <w:iCs/>
        </w:rPr>
      </w:pPr>
      <w:r>
        <w:rPr>
          <w:i/>
          <w:iCs/>
        </w:rPr>
        <w:t>Administrative Proceedings</w:t>
      </w:r>
      <w:r w:rsidR="009416CE">
        <w:rPr>
          <w:i/>
          <w:iCs/>
        </w:rPr>
        <w:t xml:space="preserve"> </w:t>
      </w:r>
      <w:r w:rsidR="00857A40">
        <w:rPr>
          <w:i/>
          <w:iCs/>
        </w:rPr>
        <w:t>Have Not Been Exhausted</w:t>
      </w:r>
    </w:p>
    <w:p w:rsidR="002A0527" w:rsidP="002A0527">
      <w:pPr>
        <w:tabs>
          <w:tab w:val="left" w:pos="1440"/>
          <w:tab w:val="left" w:pos="2880"/>
          <w:tab w:val="left" w:pos="4320"/>
          <w:tab w:val="left" w:pos="5760"/>
          <w:tab w:val="left" w:pos="7200"/>
        </w:tabs>
        <w:ind w:firstLine="720"/>
      </w:pPr>
      <w:bookmarkStart w:id="0" w:name="_Hlk166492360"/>
      <w:r w:rsidRPr="002A0527">
        <w:t xml:space="preserve">The </w:t>
      </w:r>
      <w:r w:rsidR="00E10F25">
        <w:t xml:space="preserve">exhaustion of </w:t>
      </w:r>
      <w:r w:rsidR="00607BDD">
        <w:t xml:space="preserve">administrative </w:t>
      </w:r>
      <w:r w:rsidR="00E10F25">
        <w:t xml:space="preserve">remedies </w:t>
      </w:r>
      <w:r w:rsidRPr="002A0527">
        <w:t>doctrine applies when there is an administrative remedy to questionable government action.  It assures certain prerequisites are met before legal action is taken.  (</w:t>
      </w:r>
      <w:r w:rsidRPr="002A0527">
        <w:rPr>
          <w:i/>
          <w:iCs/>
        </w:rPr>
        <w:t>Redevelopment Agency v. Superior Court</w:t>
      </w:r>
      <w:r w:rsidRPr="002A0527">
        <w:t xml:space="preserve"> (1991) 228 Cal.App.3d 1487, 1492-93.)  </w:t>
      </w:r>
      <w:bookmarkEnd w:id="0"/>
      <w:r w:rsidRPr="002A0527">
        <w:t>Where an administrative remedy is provided by statute, relief must first be sought from the administrative body.  (</w:t>
      </w:r>
      <w:r w:rsidRPr="002A0527">
        <w:rPr>
          <w:i/>
          <w:iCs/>
        </w:rPr>
        <w:t>Abelleira v. District Court of Appeal</w:t>
      </w:r>
      <w:r w:rsidRPr="002A0527">
        <w:t xml:space="preserve"> (1941) 17 Cal.2d 280, 292.)  This is a fundamental rule of procedure “followed under the doctrine of </w:t>
      </w:r>
      <w:r w:rsidRPr="002A0527">
        <w:rPr>
          <w:i/>
          <w:iCs/>
        </w:rPr>
        <w:t>stare decisis</w:t>
      </w:r>
      <w:r w:rsidRPr="002A0527">
        <w:t>, and binding upon all courts.”  (</w:t>
      </w:r>
      <w:r w:rsidRPr="002A0527">
        <w:rPr>
          <w:i/>
          <w:iCs/>
        </w:rPr>
        <w:t>Id</w:t>
      </w:r>
      <w:r w:rsidRPr="002A0527">
        <w:t>. at p.</w:t>
      </w:r>
      <w:r w:rsidR="008F6DA7">
        <w:t> </w:t>
      </w:r>
      <w:r w:rsidRPr="002A0527">
        <w:t>293.)  A court’s intervention before an administrative agency has resolved the claim constitutes jurisdictional interference.  (</w:t>
      </w:r>
      <w:r w:rsidRPr="002A0527">
        <w:rPr>
          <w:i/>
          <w:iCs/>
        </w:rPr>
        <w:t xml:space="preserve">Plantier v. Ramona Municipal Water Dist. </w:t>
      </w:r>
      <w:r w:rsidRPr="002A0527">
        <w:t>(2019) 7 Cal.</w:t>
      </w:r>
      <w:r w:rsidR="00E37C63">
        <w:t>5th</w:t>
      </w:r>
      <w:r w:rsidRPr="002A0527">
        <w:t xml:space="preserve"> 372, 383.)  Courts “have no discretion to relax the exhaustion doctrine.”  (</w:t>
      </w:r>
      <w:r w:rsidRPr="002A0527">
        <w:rPr>
          <w:i/>
          <w:iCs/>
        </w:rPr>
        <w:t>Park Area Neighbors v. Town of Fairfax</w:t>
      </w:r>
      <w:r w:rsidRPr="002A0527">
        <w:t xml:space="preserve"> (1994) 29 Cal.App.</w:t>
      </w:r>
      <w:r w:rsidR="00E37C63">
        <w:t>4th</w:t>
      </w:r>
      <w:r w:rsidRPr="002A0527">
        <w:t xml:space="preserve"> 1442, 1449.)  </w:t>
      </w:r>
      <w:r w:rsidR="006F13C4">
        <w:t xml:space="preserve">Casa Blanca has the burden of proof to show it has exhausted its administrative remedies. </w:t>
      </w:r>
      <w:r w:rsidR="00DB6DDA">
        <w:t xml:space="preserve"> </w:t>
      </w:r>
      <w:r w:rsidR="006F13C4">
        <w:t>(</w:t>
      </w:r>
      <w:r w:rsidRPr="00E37C63" w:rsidR="006F13C4">
        <w:rPr>
          <w:i/>
          <w:iCs/>
        </w:rPr>
        <w:t>North Coast Rivers Alliance v. Marin Municipal Water Dist. Bd. of Directors</w:t>
      </w:r>
      <w:r w:rsidRPr="006F13C4" w:rsidR="006F13C4">
        <w:t xml:space="preserve"> (2013) 216 Cal.App.4th 614</w:t>
      </w:r>
      <w:r w:rsidR="006F13C4">
        <w:t>, 624.)</w:t>
      </w:r>
    </w:p>
    <w:p w:rsidR="00607BDD" w:rsidRPr="00607BDD" w:rsidP="00607BDD">
      <w:pPr>
        <w:tabs>
          <w:tab w:val="left" w:pos="1440"/>
          <w:tab w:val="left" w:pos="2880"/>
          <w:tab w:val="left" w:pos="4320"/>
          <w:tab w:val="left" w:pos="5760"/>
          <w:tab w:val="left" w:pos="7200"/>
        </w:tabs>
        <w:ind w:firstLine="720"/>
      </w:pPr>
      <w:r>
        <w:t xml:space="preserve">A </w:t>
      </w:r>
      <w:r w:rsidR="008B3986">
        <w:t xml:space="preserve">concept </w:t>
      </w:r>
      <w:r>
        <w:t xml:space="preserve">distinct from but </w:t>
      </w:r>
      <w:r w:rsidR="00FF52AA">
        <w:t>similar</w:t>
      </w:r>
      <w:r w:rsidR="006745FA">
        <w:t xml:space="preserve"> </w:t>
      </w:r>
      <w:r>
        <w:t xml:space="preserve">to the exhaustion requirement is that </w:t>
      </w:r>
      <w:r w:rsidR="00B6741E">
        <w:t xml:space="preserve">there be </w:t>
      </w:r>
      <w:r>
        <w:t>a “ripe controversy.”</w:t>
      </w:r>
      <w:r w:rsidRPr="00607BDD">
        <w:t xml:space="preserve">  </w:t>
      </w:r>
      <w:r w:rsidR="00FF52AA">
        <w:t xml:space="preserve">Ripeness looks at whether a controversy is “’definite and concrete.’” </w:t>
      </w:r>
      <w:r w:rsidR="00990DCF">
        <w:t xml:space="preserve"> </w:t>
      </w:r>
      <w:r w:rsidRPr="00607BDD">
        <w:t xml:space="preserve">The ripeness doctrine prevents courts “‘from entangling themselves in abstract disagreements over administrative policies,’” and protects administrative agencies from </w:t>
      </w:r>
      <w:r w:rsidR="00BA588E">
        <w:t>“</w:t>
      </w:r>
      <w:r w:rsidRPr="00607BDD">
        <w:t>judicial interference</w:t>
      </w:r>
      <w:r w:rsidR="00BA588E">
        <w:t xml:space="preserve"> until an administrative decision has been formalized and its effects felt in a concrete way by the challenging parties</w:t>
      </w:r>
      <w:r w:rsidRPr="00607BDD">
        <w:t>.</w:t>
      </w:r>
      <w:r w:rsidR="00BA588E">
        <w:t>”</w:t>
      </w:r>
      <w:r w:rsidRPr="00607BDD">
        <w:t xml:space="preserve">  </w:t>
      </w:r>
      <w:r w:rsidRPr="00E10F25" w:rsidR="00E10F25">
        <w:t>(</w:t>
      </w:r>
      <w:r w:rsidRPr="00E10F25" w:rsidR="00E10F25">
        <w:rPr>
          <w:i/>
          <w:iCs/>
        </w:rPr>
        <w:t>Pacific Legal Foundation v. California Coastal Com.</w:t>
      </w:r>
      <w:r w:rsidRPr="00E10F25" w:rsidR="00E10F25">
        <w:t xml:space="preserve"> (1982) 33 Cal.3d 158, </w:t>
      </w:r>
      <w:r w:rsidRPr="00607BDD">
        <w:t xml:space="preserve">171.)  </w:t>
      </w:r>
    </w:p>
    <w:p w:rsidR="00607BDD" w:rsidP="002A0527">
      <w:pPr>
        <w:tabs>
          <w:tab w:val="left" w:pos="1440"/>
          <w:tab w:val="left" w:pos="2880"/>
          <w:tab w:val="left" w:pos="4320"/>
          <w:tab w:val="left" w:pos="5760"/>
          <w:tab w:val="left" w:pos="7200"/>
        </w:tabs>
        <w:ind w:firstLine="720"/>
      </w:pPr>
      <w:r>
        <w:t xml:space="preserve">Here, the questions of whether Casa Blanca has </w:t>
      </w:r>
      <w:r w:rsidR="00B643BC">
        <w:t xml:space="preserve">presented </w:t>
      </w:r>
      <w:r>
        <w:t>a ripe controversy and whether it has exhausted its administrative remedies overlap.</w:t>
      </w:r>
      <w:r w:rsidR="00AD04EC">
        <w:t xml:space="preserve"> </w:t>
      </w:r>
      <w:r w:rsidR="00196188">
        <w:t xml:space="preserve"> </w:t>
      </w:r>
    </w:p>
    <w:p w:rsidR="00B643BC" w:rsidP="001E53F2">
      <w:pPr>
        <w:tabs>
          <w:tab w:val="left" w:pos="1440"/>
          <w:tab w:val="left" w:pos="2880"/>
          <w:tab w:val="left" w:pos="4320"/>
          <w:tab w:val="left" w:pos="5760"/>
          <w:tab w:val="left" w:pos="7200"/>
        </w:tabs>
      </w:pPr>
      <w:r w:rsidRPr="0044616C">
        <w:t>An administrative decision is final</w:t>
      </w:r>
      <w:r w:rsidR="0065479D">
        <w:t>, i.e., ripe,</w:t>
      </w:r>
      <w:r w:rsidRPr="0044616C">
        <w:t xml:space="preserve"> “when the agency has exhausted its jurisdiction and possesses ‘no further power to reconsider or rehear the claim.’”  (</w:t>
      </w:r>
      <w:r w:rsidRPr="0044616C">
        <w:rPr>
          <w:i/>
          <w:iCs/>
        </w:rPr>
        <w:t>Long Beach Unified Sch. Dist. v. State of California</w:t>
      </w:r>
      <w:r w:rsidRPr="0044616C">
        <w:t xml:space="preserve"> (1990) 225 Cal.App.3d 155, 169.)  “Until a public agency makes a </w:t>
      </w:r>
      <w:r w:rsidRPr="0044616C">
        <w:rPr>
          <w:i/>
          <w:iCs/>
        </w:rPr>
        <w:t>final</w:t>
      </w:r>
      <w:r w:rsidRPr="0044616C">
        <w:t xml:space="preserve"> decision, the matter is not ripe for judicial review.”  (</w:t>
      </w:r>
      <w:r w:rsidRPr="0044616C">
        <w:rPr>
          <w:i/>
          <w:iCs/>
        </w:rPr>
        <w:t xml:space="preserve">California Water Impact Network v. Newhall County Water Dist. </w:t>
      </w:r>
      <w:r w:rsidRPr="0044616C">
        <w:t>(2008) 161 Cal</w:t>
      </w:r>
      <w:r w:rsidRPr="00196188">
        <w:t>.A</w:t>
      </w:r>
      <w:r w:rsidRPr="0044616C">
        <w:t>pp.4th 1464, 1485, italics added.</w:t>
      </w:r>
      <w:r w:rsidR="006745FA">
        <w:t xml:space="preserve"> </w:t>
      </w:r>
      <w:r>
        <w:t xml:space="preserve"> See also, </w:t>
      </w:r>
      <w:r w:rsidRPr="00E37C63">
        <w:rPr>
          <w:i/>
          <w:iCs/>
        </w:rPr>
        <w:t>Santa Barbara County Flower &amp; Nursery Growers Assn. v. County of Santa Barbara</w:t>
      </w:r>
      <w:r w:rsidRPr="00B643BC">
        <w:t xml:space="preserve"> (2004) 121 Cal.App.4th 864, 875</w:t>
      </w:r>
      <w:r>
        <w:t xml:space="preserve"> [</w:t>
      </w:r>
      <w:r w:rsidR="00E37C63">
        <w:t>“</w:t>
      </w:r>
      <w:r>
        <w:t>In the context of administrative proceedings, a controversy is not ripe for adjudication until the administrative process is completed and the agency makes a final decision that results in a direct and immediate impact on the parties.</w:t>
      </w:r>
      <w:r w:rsidR="00E37C63">
        <w:t>”</w:t>
      </w:r>
      <w:r>
        <w:t>].)</w:t>
      </w:r>
      <w:r w:rsidR="00DC2A53">
        <w:t xml:space="preserve"> </w:t>
      </w:r>
      <w:r w:rsidRPr="00DC2A53" w:rsidR="00DC2A53">
        <w:t>Casa Blanca’s action is not ripe because it has failed to exhaust its administrative remedies.</w:t>
      </w:r>
    </w:p>
    <w:p w:rsidR="008B3986" w:rsidRPr="008B3986" w:rsidP="008B3986">
      <w:pPr>
        <w:tabs>
          <w:tab w:val="left" w:pos="1440"/>
          <w:tab w:val="left" w:pos="2880"/>
          <w:tab w:val="left" w:pos="4320"/>
          <w:tab w:val="left" w:pos="5760"/>
          <w:tab w:val="left" w:pos="7200"/>
        </w:tabs>
        <w:ind w:firstLine="720"/>
      </w:pPr>
      <w:r w:rsidRPr="008B3986">
        <w:t>Casa Blanca contends the controversy is ripe because Commission staff threat</w:t>
      </w:r>
      <w:r w:rsidR="006745FA">
        <w:t>en</w:t>
      </w:r>
      <w:r w:rsidRPr="008B3986">
        <w:t xml:space="preserve">s “millions of dollars in fines and penalties for an alleged delay in construction of a walkway.” </w:t>
      </w:r>
      <w:r w:rsidR="00E37C63">
        <w:t xml:space="preserve"> </w:t>
      </w:r>
      <w:r w:rsidRPr="008B3986">
        <w:t xml:space="preserve">But threats are not formalized or final decisions. </w:t>
      </w:r>
      <w:r w:rsidR="00196188">
        <w:t xml:space="preserve"> </w:t>
      </w:r>
      <w:r>
        <w:t>Neither t</w:t>
      </w:r>
      <w:r w:rsidRPr="008B3986">
        <w:t>he Commission</w:t>
      </w:r>
      <w:r>
        <w:t xml:space="preserve"> nor the County</w:t>
      </w:r>
      <w:r w:rsidRPr="008B3986">
        <w:t xml:space="preserve"> has made a final decision whether to impose any fines or penalties or even whether </w:t>
      </w:r>
      <w:r>
        <w:t xml:space="preserve">they </w:t>
      </w:r>
      <w:r w:rsidRPr="008B3986">
        <w:t>agree with Casa Blanca that the obligation to construct the walkway is subject to conditions precedent.</w:t>
      </w:r>
    </w:p>
    <w:p w:rsidR="006E27C6" w:rsidP="000B7E7B">
      <w:pPr>
        <w:tabs>
          <w:tab w:val="left" w:pos="1440"/>
          <w:tab w:val="left" w:pos="2880"/>
          <w:tab w:val="left" w:pos="4320"/>
          <w:tab w:val="left" w:pos="5760"/>
          <w:tab w:val="left" w:pos="7200"/>
        </w:tabs>
        <w:ind w:firstLine="720"/>
      </w:pPr>
      <w:r>
        <w:t xml:space="preserve">Citing </w:t>
      </w:r>
      <w:r w:rsidRPr="00A15733">
        <w:rPr>
          <w:i/>
          <w:iCs/>
        </w:rPr>
        <w:t>Sackett v. EPA</w:t>
      </w:r>
      <w:r w:rsidRPr="00A15733">
        <w:t xml:space="preserve"> (2012) 566 U.S. 120,</w:t>
      </w:r>
      <w:r>
        <w:t xml:space="preserve"> </w:t>
      </w:r>
      <w:r w:rsidR="00DF07F1">
        <w:t>Casa Blanca</w:t>
      </w:r>
      <w:r>
        <w:t xml:space="preserve"> argues</w:t>
      </w:r>
      <w:r w:rsidR="00DF07F1">
        <w:t xml:space="preserve"> the Commission’s </w:t>
      </w:r>
      <w:r>
        <w:t>notice of violation</w:t>
      </w:r>
      <w:r w:rsidR="000916A5">
        <w:t xml:space="preserve">, </w:t>
      </w:r>
      <w:r>
        <w:t>notice of intent</w:t>
      </w:r>
      <w:r w:rsidR="00196188">
        <w:t>,</w:t>
      </w:r>
      <w:r>
        <w:t xml:space="preserve"> and refusal to commence administrative hearings are the equivalent </w:t>
      </w:r>
      <w:r w:rsidR="00DF07F1">
        <w:t xml:space="preserve">of an agency final action proper for judicial review. </w:t>
      </w:r>
      <w:r w:rsidR="00E37C63">
        <w:t xml:space="preserve"> </w:t>
      </w:r>
      <w:r w:rsidR="00DF07F1">
        <w:t xml:space="preserve">But </w:t>
      </w:r>
      <w:r w:rsidR="00DF07F1">
        <w:rPr>
          <w:i/>
          <w:iCs/>
        </w:rPr>
        <w:t>Sackett</w:t>
      </w:r>
      <w:r w:rsidR="00DF07F1">
        <w:t xml:space="preserve"> is distinguishable because </w:t>
      </w:r>
      <w:r w:rsidR="0046024B">
        <w:t xml:space="preserve">the challenged agency compliance order was </w:t>
      </w:r>
      <w:r w:rsidR="00E10C66">
        <w:t>a final decision, subject to no further agency review</w:t>
      </w:r>
      <w:r w:rsidR="00196188">
        <w:t>,</w:t>
      </w:r>
      <w:r w:rsidR="00E10C66">
        <w:t xml:space="preserve"> and from which the Sacket</w:t>
      </w:r>
      <w:r w:rsidR="002968DD">
        <w:t>t</w:t>
      </w:r>
      <w:r w:rsidR="00E10C66">
        <w:t>s were legally obligated to take specified actions.</w:t>
      </w:r>
      <w:r w:rsidR="00D714CD">
        <w:t xml:space="preserve"> </w:t>
      </w:r>
      <w:r w:rsidR="00E10C66">
        <w:t xml:space="preserve"> </w:t>
      </w:r>
      <w:r w:rsidR="00DF07F1">
        <w:t>(</w:t>
      </w:r>
      <w:r w:rsidRPr="00CD4EE6" w:rsidR="00DF07F1">
        <w:rPr>
          <w:i/>
          <w:iCs/>
        </w:rPr>
        <w:t>Id</w:t>
      </w:r>
      <w:r w:rsidR="00DF07F1">
        <w:t>. at p. 127.)</w:t>
      </w:r>
      <w:r w:rsidR="00D714CD">
        <w:t xml:space="preserve"> </w:t>
      </w:r>
      <w:r w:rsidR="00E10C66">
        <w:t xml:space="preserve"> The same is not true here. </w:t>
      </w:r>
      <w:r w:rsidR="00D714CD">
        <w:t xml:space="preserve"> </w:t>
      </w:r>
      <w:r w:rsidR="00E10C66">
        <w:t>There has been no final agency decision</w:t>
      </w:r>
      <w:r w:rsidR="004F559D">
        <w:t>.</w:t>
      </w:r>
    </w:p>
    <w:p w:rsidR="00D86A3A" w:rsidP="004B1B79">
      <w:pPr>
        <w:tabs>
          <w:tab w:val="left" w:pos="720"/>
          <w:tab w:val="left" w:pos="1440"/>
          <w:tab w:val="left" w:pos="2880"/>
          <w:tab w:val="left" w:pos="4320"/>
          <w:tab w:val="left" w:pos="5760"/>
          <w:tab w:val="left" w:pos="7200"/>
        </w:tabs>
        <w:rPr>
          <w:b/>
          <w:bCs/>
        </w:rPr>
      </w:pPr>
      <w:r>
        <w:tab/>
      </w:r>
      <w:r w:rsidR="00820711">
        <w:t xml:space="preserve">Casa Blanca alleges it was excused from obtaining a final administrative decision because the process has been unreasonably delayed or halted by Commission staff’s refusal to set a hearing on the permit application. </w:t>
      </w:r>
      <w:r w:rsidR="00990DCF">
        <w:t xml:space="preserve"> </w:t>
      </w:r>
      <w:r>
        <w:t xml:space="preserve">(See e.g., </w:t>
      </w:r>
      <w:r w:rsidRPr="00776BA3">
        <w:rPr>
          <w:i/>
          <w:iCs/>
        </w:rPr>
        <w:t>Hollon v. Pierce</w:t>
      </w:r>
      <w:r>
        <w:t xml:space="preserve"> (1967) 257 Cal.App.2d 468, 476.)  However, the Commission is not obligated to schedule a hearing on the application until Casa Blanca completes it.  (Cal. Code Regs., tit. 14, § 13062).</w:t>
      </w:r>
      <w:r w:rsidR="004F559D">
        <w:t xml:space="preserve"> </w:t>
      </w:r>
      <w:r w:rsidR="00196188">
        <w:t xml:space="preserve"> </w:t>
      </w:r>
      <w:r w:rsidR="00DC2A53">
        <w:t xml:space="preserve">Moreover, </w:t>
      </w:r>
      <w:r w:rsidR="004F559D">
        <w:t xml:space="preserve">Casa Blanca </w:t>
      </w:r>
      <w:r w:rsidR="00DC2A53">
        <w:t xml:space="preserve">has not but </w:t>
      </w:r>
      <w:r w:rsidR="004F559D">
        <w:t>could (as it did previously) appeal the determination its application is incomplete</w:t>
      </w:r>
      <w:r>
        <w:t xml:space="preserve"> </w:t>
      </w:r>
      <w:r w:rsidR="004F559D">
        <w:t xml:space="preserve">and a hearing would </w:t>
      </w:r>
      <w:r w:rsidR="00162A09">
        <w:t xml:space="preserve">then </w:t>
      </w:r>
      <w:r w:rsidR="004F559D">
        <w:t>be required. (</w:t>
      </w:r>
      <w:r w:rsidR="00820711">
        <w:rPr>
          <w:i/>
          <w:iCs/>
        </w:rPr>
        <w:t xml:space="preserve">Id. </w:t>
      </w:r>
      <w:r w:rsidR="00820711">
        <w:t xml:space="preserve">§ </w:t>
      </w:r>
      <w:r w:rsidR="004F559D">
        <w:t>13056</w:t>
      </w:r>
      <w:r w:rsidR="00820711">
        <w:t xml:space="preserve"> subd. </w:t>
      </w:r>
      <w:r w:rsidR="004F559D">
        <w:t xml:space="preserve">(d).) </w:t>
      </w:r>
      <w:r>
        <w:t xml:space="preserve"> </w:t>
      </w:r>
    </w:p>
    <w:p w:rsidR="00D86A3A" w:rsidRPr="00F70408" w:rsidP="00D86A3A">
      <w:pPr>
        <w:tabs>
          <w:tab w:val="left" w:pos="1440"/>
          <w:tab w:val="left" w:pos="2880"/>
          <w:tab w:val="left" w:pos="4320"/>
          <w:tab w:val="left" w:pos="5760"/>
          <w:tab w:val="left" w:pos="7200"/>
        </w:tabs>
        <w:ind w:firstLine="720"/>
      </w:pPr>
      <w:r>
        <w:t xml:space="preserve">Casa Blanca </w:t>
      </w:r>
      <w:r w:rsidR="00B643BC">
        <w:t xml:space="preserve">similarly </w:t>
      </w:r>
      <w:r>
        <w:t xml:space="preserve">alleges the Commission has delayed by failing to provide a public hearing on the notice of intent pursuant to Public Resources Code section 30812.  Public Resources Code section 30812 </w:t>
      </w:r>
      <w:r w:rsidR="00192EFB">
        <w:t>provides for a public hearing if a timely objection to the recording of a notice of violation is submitted but it also states the notice of violation procedures may not be invoked “until all existing administrative methods fo</w:t>
      </w:r>
      <w:r w:rsidR="008F6DA7">
        <w:t>r</w:t>
      </w:r>
      <w:r w:rsidR="00192EFB">
        <w:t xml:space="preserve"> resolving the violation have been utilized.”</w:t>
      </w:r>
      <w:r w:rsidR="008F6DA7">
        <w:t xml:space="preserve"> </w:t>
      </w:r>
      <w:r w:rsidR="00192EFB">
        <w:t xml:space="preserve"> (Pub. Res. Code §30812, subds. (c), (g).</w:t>
      </w:r>
      <w:r w:rsidR="00E10F25">
        <w:t>)</w:t>
      </w:r>
      <w:r w:rsidR="00192EFB">
        <w:t xml:space="preserve"> </w:t>
      </w:r>
      <w:r w:rsidR="008F6DA7">
        <w:t xml:space="preserve"> </w:t>
      </w:r>
      <w:r w:rsidR="00192EFB">
        <w:t xml:space="preserve">Here </w:t>
      </w:r>
      <w:r w:rsidR="00D714CD">
        <w:t xml:space="preserve">it </w:t>
      </w:r>
      <w:r w:rsidR="00192EFB">
        <w:t>appears</w:t>
      </w:r>
      <w:r>
        <w:t xml:space="preserve"> </w:t>
      </w:r>
      <w:r w:rsidR="00D165DC">
        <w:t>Casa Blanca</w:t>
      </w:r>
      <w:r w:rsidR="00192EFB">
        <w:t>’s objection was not timely</w:t>
      </w:r>
      <w:r>
        <w:rPr>
          <w:rStyle w:val="FootnoteReference"/>
        </w:rPr>
        <w:footnoteReference w:id="7"/>
      </w:r>
      <w:r w:rsidR="00192EFB">
        <w:t xml:space="preserve"> but </w:t>
      </w:r>
      <w:r w:rsidR="00414373">
        <w:t xml:space="preserve">also </w:t>
      </w:r>
      <w:r>
        <w:t xml:space="preserve">the Commission rescinded its intent to record the notice of violation, ending that portion of the enforcement proceedings. </w:t>
      </w:r>
      <w:r w:rsidR="00E37C63">
        <w:t xml:space="preserve"> </w:t>
      </w:r>
    </w:p>
    <w:p w:rsidR="00D86A3A" w:rsidP="00D86A3A">
      <w:pPr>
        <w:tabs>
          <w:tab w:val="left" w:pos="1440"/>
          <w:tab w:val="left" w:pos="2880"/>
          <w:tab w:val="left" w:pos="4320"/>
          <w:tab w:val="left" w:pos="5760"/>
          <w:tab w:val="left" w:pos="7200"/>
        </w:tabs>
        <w:ind w:firstLine="720"/>
      </w:pPr>
      <w:r>
        <w:t>Casa Blanca also relies upon the f</w:t>
      </w:r>
      <w:r w:rsidR="006C69C8">
        <w:t>utility exception to the exhaustion</w:t>
      </w:r>
      <w:r>
        <w:t xml:space="preserve"> requirement</w:t>
      </w:r>
      <w:r w:rsidR="006C69C8">
        <w:t>.</w:t>
      </w:r>
      <w:r w:rsidR="001968B1">
        <w:t xml:space="preserve"> </w:t>
      </w:r>
      <w:r w:rsidR="006C69C8">
        <w:t xml:space="preserve"> </w:t>
      </w:r>
      <w:r w:rsidR="004B1B79">
        <w:t>The futility exception requires a party to</w:t>
      </w:r>
      <w:r w:rsidR="00D165DC">
        <w:t xml:space="preserve"> affirmatively state</w:t>
      </w:r>
      <w:r w:rsidR="004B1B79">
        <w:t xml:space="preserve"> “</w:t>
      </w:r>
      <w:r w:rsidR="00BA02D4">
        <w:t>‘“</w:t>
      </w:r>
      <w:r w:rsidR="004B1B79">
        <w:t>the [agency] has declared what its ruling will be on a particular case.</w:t>
      </w:r>
      <w:r w:rsidR="00BA02D4">
        <w:t>”’</w:t>
      </w:r>
      <w:r w:rsidR="004B1B79">
        <w:t>”  (</w:t>
      </w:r>
      <w:r w:rsidRPr="003B3CB6" w:rsidR="004B1B79">
        <w:rPr>
          <w:i/>
          <w:iCs/>
        </w:rPr>
        <w:t>Coachella Valley Mosquito &amp; Vector Control Dist. v. California Public Employment Relations Bd.</w:t>
      </w:r>
      <w:r w:rsidR="004B1B79">
        <w:t xml:space="preserve"> (2005) 35 Cal.4th 1072, 1080-1081.)  </w:t>
      </w:r>
      <w:r w:rsidRPr="00C25B36">
        <w:t>Casa Blanca</w:t>
      </w:r>
      <w:r>
        <w:t xml:space="preserve"> </w:t>
      </w:r>
      <w:r w:rsidR="004B1B79">
        <w:t>asserts the futility exception applies because</w:t>
      </w:r>
      <w:r>
        <w:t xml:space="preserve"> the Commission’s decision is “certain to be adverse.” </w:t>
      </w:r>
      <w:r w:rsidR="00E37C63">
        <w:t xml:space="preserve"> </w:t>
      </w:r>
      <w:r>
        <w:t xml:space="preserve">Nothing in the record </w:t>
      </w:r>
      <w:r w:rsidR="000916A5">
        <w:t xml:space="preserve">supports this assertion. </w:t>
      </w:r>
      <w:r w:rsidR="001968B1">
        <w:t xml:space="preserve"> </w:t>
      </w:r>
      <w:r>
        <w:t xml:space="preserve">Instead, the facts </w:t>
      </w:r>
      <w:r w:rsidR="006E27C6">
        <w:t>show</w:t>
      </w:r>
      <w:r>
        <w:t xml:space="preserve"> the Commission’s ongoing efforts to resolve the application’s deficiencies</w:t>
      </w:r>
      <w:r w:rsidR="000916A5">
        <w:t>.</w:t>
      </w:r>
      <w:r>
        <w:t xml:space="preserve"> </w:t>
      </w:r>
      <w:r w:rsidR="00723B76">
        <w:t xml:space="preserve"> </w:t>
      </w:r>
      <w:r w:rsidRPr="00723B76" w:rsidR="00723B76">
        <w:t xml:space="preserve">Casa Blanca’s belief the Commission would agree with </w:t>
      </w:r>
      <w:r w:rsidR="004F3DA5">
        <w:t xml:space="preserve">its </w:t>
      </w:r>
      <w:r w:rsidRPr="00723B76" w:rsidR="00723B76">
        <w:t xml:space="preserve">staff’s “adverse decision” is unavailing. </w:t>
      </w:r>
      <w:r w:rsidR="001968B1">
        <w:t xml:space="preserve"> </w:t>
      </w:r>
      <w:r w:rsidRPr="00723B76" w:rsidR="00723B76">
        <w:t>(</w:t>
      </w:r>
      <w:r w:rsidRPr="00723B76" w:rsidR="00723B76">
        <w:rPr>
          <w:i/>
          <w:iCs/>
        </w:rPr>
        <w:t>Bennett v. Borden, Inc.</w:t>
      </w:r>
      <w:r w:rsidRPr="00723B76" w:rsidR="00723B76">
        <w:t xml:space="preserve"> (1976) 56 Cal.App.3d 706, 710 [“preconception of the futility of administrative action did not permit </w:t>
      </w:r>
      <w:r w:rsidR="002565E0">
        <w:t>[</w:t>
      </w:r>
      <w:r w:rsidRPr="00723B76" w:rsidR="00723B76">
        <w:t>plaintiff</w:t>
      </w:r>
      <w:r w:rsidR="002565E0">
        <w:t>]</w:t>
      </w:r>
      <w:r w:rsidRPr="00723B76" w:rsidR="00723B76">
        <w:t xml:space="preserve"> to bypass the administrative remedy”].)</w:t>
      </w:r>
    </w:p>
    <w:p w:rsidR="00D07B43" w:rsidRPr="00D07B43" w:rsidP="001E53F2">
      <w:pPr>
        <w:keepNext/>
        <w:tabs>
          <w:tab w:val="left" w:pos="1440"/>
          <w:tab w:val="left" w:pos="2880"/>
          <w:tab w:val="left" w:pos="4320"/>
          <w:tab w:val="left" w:pos="5760"/>
          <w:tab w:val="left" w:pos="7200"/>
        </w:tabs>
        <w:jc w:val="center"/>
        <w:rPr>
          <w:i/>
          <w:iCs/>
        </w:rPr>
      </w:pPr>
      <w:r w:rsidRPr="00D07B43">
        <w:rPr>
          <w:i/>
          <w:iCs/>
        </w:rPr>
        <w:t>Code of Civil Procedure Section 1060 Does Not Entitle Casa Blanca to Declaratory Relief as a Matter of Law</w:t>
      </w:r>
    </w:p>
    <w:p w:rsidR="00D07B43" w:rsidRPr="00D07B43" w:rsidP="00D07B43">
      <w:pPr>
        <w:tabs>
          <w:tab w:val="left" w:pos="1440"/>
          <w:tab w:val="left" w:pos="2880"/>
          <w:tab w:val="left" w:pos="4320"/>
          <w:tab w:val="left" w:pos="5760"/>
          <w:tab w:val="left" w:pos="7200"/>
        </w:tabs>
        <w:ind w:firstLine="720"/>
      </w:pPr>
      <w:r w:rsidRPr="00D07B43">
        <w:t>Casa Blanca argues the exhaustion doctrine does not apply to its claim for declaratory relief under Code of Civil Procedure section 1060.  We disagree.</w:t>
      </w:r>
    </w:p>
    <w:p w:rsidR="00D07B43" w:rsidRPr="00D07B43" w:rsidP="00D07B43">
      <w:pPr>
        <w:tabs>
          <w:tab w:val="left" w:pos="1440"/>
          <w:tab w:val="left" w:pos="2880"/>
          <w:tab w:val="left" w:pos="4320"/>
          <w:tab w:val="left" w:pos="5760"/>
          <w:tab w:val="left" w:pos="7200"/>
        </w:tabs>
        <w:ind w:firstLine="720"/>
      </w:pPr>
      <w:r w:rsidRPr="00D07B43">
        <w:t>Section 1060 “authorizes a party ‘who desires a declaration of [their] rights or duties with respect to another’ to bring an original action ‘for a declaration of [their] rights and duties,’ and permits the court to issue ‘a binding declaration of these rights or duties.’”  (</w:t>
      </w:r>
      <w:r w:rsidRPr="00D07B43">
        <w:rPr>
          <w:i/>
          <w:iCs/>
        </w:rPr>
        <w:t>Tejon Real Estate, LLC v. City of Los Angeles</w:t>
      </w:r>
      <w:r w:rsidR="002565E0">
        <w:rPr>
          <w:i/>
          <w:iCs/>
        </w:rPr>
        <w:t xml:space="preserve"> </w:t>
      </w:r>
      <w:r w:rsidRPr="00D07B43">
        <w:t>(2014)</w:t>
      </w:r>
      <w:r w:rsidRPr="00D07B43">
        <w:rPr>
          <w:i/>
          <w:iCs/>
        </w:rPr>
        <w:t xml:space="preserve"> </w:t>
      </w:r>
      <w:r w:rsidRPr="00D07B43">
        <w:t xml:space="preserve">223 Cal.App.4th 149, 154.)  A party, however, </w:t>
      </w:r>
      <w:r w:rsidR="002565E0">
        <w:t>“</w:t>
      </w:r>
      <w:r w:rsidRPr="00D07B43">
        <w:t>may not evade the exhaustion requirement by filing an action for declaratory or injunctive relief.</w:t>
      </w:r>
      <w:r w:rsidR="002565E0">
        <w:t>”</w:t>
      </w:r>
      <w:r w:rsidR="001968B1">
        <w:t xml:space="preserve"> </w:t>
      </w:r>
      <w:r w:rsidRPr="00D07B43">
        <w:t xml:space="preserve"> (</w:t>
      </w:r>
      <w:r w:rsidRPr="00D07B43">
        <w:rPr>
          <w:i/>
          <w:iCs/>
        </w:rPr>
        <w:t>Contractors</w:t>
      </w:r>
      <w:r w:rsidR="002565E0">
        <w:rPr>
          <w:i/>
          <w:iCs/>
        </w:rPr>
        <w:t>’</w:t>
      </w:r>
      <w:r w:rsidRPr="00D07B43">
        <w:rPr>
          <w:i/>
          <w:iCs/>
        </w:rPr>
        <w:t xml:space="preserve"> State License Bd. v. Superior Court</w:t>
      </w:r>
      <w:r w:rsidRPr="00D07B43">
        <w:t xml:space="preserve"> (2018) 28 Cal.App.5th 771, 780.)</w:t>
      </w:r>
    </w:p>
    <w:p w:rsidR="0000191B" w:rsidP="004F3D39">
      <w:pPr>
        <w:tabs>
          <w:tab w:val="left" w:pos="1440"/>
          <w:tab w:val="left" w:pos="2880"/>
          <w:tab w:val="left" w:pos="4320"/>
          <w:tab w:val="left" w:pos="5760"/>
          <w:tab w:val="left" w:pos="7200"/>
        </w:tabs>
        <w:jc w:val="center"/>
      </w:pPr>
      <w:r>
        <w:t>DISPOSITION</w:t>
      </w:r>
    </w:p>
    <w:p w:rsidR="000F72D5" w:rsidP="005C405C">
      <w:pPr>
        <w:ind w:firstLine="720"/>
      </w:pPr>
      <w:r>
        <w:t>T</w:t>
      </w:r>
      <w:r w:rsidR="005C405C">
        <w:t>he j</w:t>
      </w:r>
      <w:r w:rsidR="00763B2B">
        <w:t>udgment is affirmed.</w:t>
      </w:r>
      <w:r w:rsidR="00F072DF">
        <w:t xml:space="preserve"> </w:t>
      </w:r>
      <w:r w:rsidR="008F6DA7">
        <w:t xml:space="preserve"> </w:t>
      </w:r>
      <w:r w:rsidR="00F072DF">
        <w:t xml:space="preserve">Respondents shall recover their costs on appeal. </w:t>
      </w:r>
    </w:p>
    <w:p w:rsidR="00B34D64" w:rsidP="004F3D39">
      <w:pPr>
        <w:tabs>
          <w:tab w:val="left" w:pos="1440"/>
          <w:tab w:val="left" w:pos="2880"/>
          <w:tab w:val="left" w:pos="4320"/>
          <w:tab w:val="left" w:pos="5760"/>
          <w:tab w:val="left" w:pos="7200"/>
        </w:tabs>
        <w:ind w:firstLine="720"/>
        <w:rPr>
          <w:u w:val="single"/>
        </w:rPr>
      </w:pPr>
    </w:p>
    <w:p w:rsidR="00B20340" w:rsidP="00911B5A">
      <w:pPr>
        <w:tabs>
          <w:tab w:val="left" w:pos="1440"/>
          <w:tab w:val="left" w:pos="2880"/>
          <w:tab w:val="left" w:pos="4320"/>
          <w:tab w:val="left" w:pos="5760"/>
          <w:tab w:val="left" w:pos="7200"/>
        </w:tabs>
        <w:spacing w:line="240" w:lineRule="auto"/>
        <w:ind w:left="4320"/>
      </w:pPr>
    </w:p>
    <w:p w:rsidR="00B20340" w:rsidP="00911B5A">
      <w:pPr>
        <w:tabs>
          <w:tab w:val="left" w:pos="1440"/>
          <w:tab w:val="left" w:pos="2880"/>
          <w:tab w:val="left" w:pos="4320"/>
          <w:tab w:val="left" w:pos="5760"/>
          <w:tab w:val="left" w:pos="7200"/>
        </w:tabs>
        <w:spacing w:line="240" w:lineRule="auto"/>
        <w:ind w:left="4320"/>
      </w:pPr>
    </w:p>
    <w:p w:rsidR="0066391E" w:rsidP="00911B5A">
      <w:pPr>
        <w:tabs>
          <w:tab w:val="left" w:pos="1440"/>
          <w:tab w:val="left" w:pos="2880"/>
          <w:tab w:val="left" w:pos="4320"/>
          <w:tab w:val="left" w:pos="5760"/>
          <w:tab w:val="left" w:pos="7200"/>
        </w:tabs>
        <w:spacing w:line="240" w:lineRule="auto"/>
        <w:ind w:left="4320"/>
      </w:pPr>
    </w:p>
    <w:p w:rsidR="00B34D64" w:rsidP="00911B5A">
      <w:pPr>
        <w:tabs>
          <w:tab w:val="left" w:pos="1440"/>
          <w:tab w:val="left" w:pos="2880"/>
          <w:tab w:val="left" w:pos="4320"/>
          <w:tab w:val="left" w:pos="5760"/>
          <w:tab w:val="left" w:pos="7200"/>
        </w:tabs>
        <w:spacing w:line="240" w:lineRule="auto"/>
        <w:ind w:left="4320"/>
      </w:pPr>
      <w:r>
        <w:t>CODY, J.</w:t>
      </w:r>
    </w:p>
    <w:p w:rsidR="00B20340" w:rsidP="00911B5A">
      <w:pPr>
        <w:tabs>
          <w:tab w:val="left" w:pos="1440"/>
          <w:tab w:val="left" w:pos="2880"/>
          <w:tab w:val="left" w:pos="4320"/>
          <w:tab w:val="left" w:pos="5760"/>
          <w:tab w:val="left" w:pos="7200"/>
        </w:tabs>
        <w:spacing w:line="240" w:lineRule="auto"/>
        <w:ind w:left="4320"/>
      </w:pPr>
    </w:p>
    <w:p w:rsidR="00B34D64" w:rsidP="00C260FB">
      <w:pPr>
        <w:tabs>
          <w:tab w:val="left" w:pos="1440"/>
          <w:tab w:val="left" w:pos="2880"/>
          <w:tab w:val="left" w:pos="4320"/>
          <w:tab w:val="left" w:pos="5760"/>
          <w:tab w:val="left" w:pos="7200"/>
        </w:tabs>
        <w:spacing w:line="240" w:lineRule="auto"/>
      </w:pPr>
      <w:r>
        <w:t>We concur:</w:t>
      </w:r>
    </w:p>
    <w:p w:rsidR="005164CA" w:rsidP="00B20340">
      <w:pPr>
        <w:tabs>
          <w:tab w:val="left" w:pos="1440"/>
          <w:tab w:val="left" w:pos="2880"/>
          <w:tab w:val="left" w:pos="4320"/>
          <w:tab w:val="left" w:pos="5760"/>
          <w:tab w:val="left" w:pos="7200"/>
        </w:tabs>
        <w:spacing w:line="240" w:lineRule="auto"/>
        <w:ind w:firstLine="1440"/>
      </w:pPr>
    </w:p>
    <w:p w:rsidR="0066391E" w:rsidP="00B20340">
      <w:pPr>
        <w:tabs>
          <w:tab w:val="left" w:pos="1440"/>
          <w:tab w:val="left" w:pos="2880"/>
          <w:tab w:val="left" w:pos="4320"/>
          <w:tab w:val="left" w:pos="5760"/>
          <w:tab w:val="left" w:pos="7200"/>
        </w:tabs>
        <w:spacing w:line="240" w:lineRule="auto"/>
        <w:ind w:firstLine="1440"/>
      </w:pPr>
    </w:p>
    <w:p w:rsidR="00B20340" w:rsidP="00B20340">
      <w:pPr>
        <w:tabs>
          <w:tab w:val="left" w:pos="1440"/>
          <w:tab w:val="left" w:pos="2880"/>
          <w:tab w:val="left" w:pos="4320"/>
          <w:tab w:val="left" w:pos="5760"/>
          <w:tab w:val="left" w:pos="7200"/>
        </w:tabs>
        <w:spacing w:line="240" w:lineRule="auto"/>
        <w:ind w:firstLine="1440"/>
      </w:pPr>
    </w:p>
    <w:p w:rsidR="0066391E" w:rsidP="00C260FB">
      <w:pPr>
        <w:tabs>
          <w:tab w:val="left" w:pos="1440"/>
          <w:tab w:val="left" w:pos="2880"/>
          <w:tab w:val="left" w:pos="4320"/>
          <w:tab w:val="left" w:pos="5760"/>
          <w:tab w:val="left" w:pos="7200"/>
        </w:tabs>
        <w:spacing w:line="240" w:lineRule="auto"/>
        <w:ind w:firstLine="720"/>
      </w:pPr>
      <w:r>
        <w:t>GILBERT, P. J.</w:t>
      </w:r>
    </w:p>
    <w:p w:rsidR="0066391E" w:rsidP="00C260FB">
      <w:pPr>
        <w:tabs>
          <w:tab w:val="left" w:pos="1440"/>
          <w:tab w:val="left" w:pos="2880"/>
          <w:tab w:val="left" w:pos="4320"/>
          <w:tab w:val="left" w:pos="5760"/>
          <w:tab w:val="left" w:pos="7200"/>
        </w:tabs>
        <w:spacing w:line="240" w:lineRule="auto"/>
        <w:ind w:firstLine="720"/>
      </w:pPr>
    </w:p>
    <w:p w:rsidR="0066391E" w:rsidP="00C260FB">
      <w:pPr>
        <w:tabs>
          <w:tab w:val="left" w:pos="1440"/>
          <w:tab w:val="left" w:pos="2880"/>
          <w:tab w:val="left" w:pos="4320"/>
          <w:tab w:val="left" w:pos="5760"/>
          <w:tab w:val="left" w:pos="7200"/>
        </w:tabs>
        <w:spacing w:line="240" w:lineRule="auto"/>
        <w:ind w:firstLine="720"/>
      </w:pPr>
    </w:p>
    <w:p w:rsidR="0066391E" w:rsidP="00C260FB">
      <w:pPr>
        <w:tabs>
          <w:tab w:val="left" w:pos="1440"/>
          <w:tab w:val="left" w:pos="2880"/>
          <w:tab w:val="left" w:pos="4320"/>
          <w:tab w:val="left" w:pos="5760"/>
          <w:tab w:val="left" w:pos="7200"/>
        </w:tabs>
        <w:spacing w:line="240" w:lineRule="auto"/>
        <w:ind w:firstLine="720"/>
      </w:pPr>
    </w:p>
    <w:p w:rsidR="00BB14F5" w:rsidP="00C260FB">
      <w:pPr>
        <w:tabs>
          <w:tab w:val="left" w:pos="1440"/>
          <w:tab w:val="left" w:pos="2880"/>
          <w:tab w:val="left" w:pos="4320"/>
          <w:tab w:val="left" w:pos="5760"/>
          <w:tab w:val="left" w:pos="7200"/>
        </w:tabs>
        <w:spacing w:line="240" w:lineRule="auto"/>
        <w:ind w:firstLine="720"/>
      </w:pPr>
      <w:r>
        <w:t>BALT</w:t>
      </w:r>
      <w:r w:rsidR="00AF5CEF">
        <w:t>O</w:t>
      </w:r>
      <w:r>
        <w:t>DANO, J.</w:t>
      </w:r>
    </w:p>
    <w:p w:rsidR="000F6C1D" w:rsidP="000F6C1D">
      <w:pPr>
        <w:tabs>
          <w:tab w:val="left" w:pos="720"/>
          <w:tab w:val="left" w:pos="1440"/>
          <w:tab w:val="left" w:pos="2880"/>
          <w:tab w:val="left" w:pos="4320"/>
          <w:tab w:val="left" w:pos="5760"/>
          <w:tab w:val="left" w:pos="7200"/>
        </w:tabs>
        <w:jc w:val="center"/>
      </w:pPr>
      <w:r>
        <w:br w:type="page"/>
      </w:r>
      <w:r w:rsidR="00051989">
        <w:t>Pauline Maxwell</w:t>
      </w:r>
      <w:r w:rsidR="00AF5CEF">
        <w:t>, Judge</w:t>
      </w:r>
    </w:p>
    <w:p w:rsidR="0064322B" w:rsidP="000F6C1D">
      <w:pPr>
        <w:tabs>
          <w:tab w:val="left" w:pos="1440"/>
          <w:tab w:val="left" w:pos="2880"/>
          <w:tab w:val="left" w:pos="4320"/>
          <w:tab w:val="left" w:pos="5760"/>
          <w:tab w:val="left" w:pos="7200"/>
        </w:tabs>
        <w:jc w:val="center"/>
      </w:pPr>
      <w:r>
        <w:t>Donna Geck, Judge</w:t>
      </w:r>
    </w:p>
    <w:p w:rsidR="0064322B" w:rsidP="000F6C1D">
      <w:pPr>
        <w:tabs>
          <w:tab w:val="left" w:pos="1440"/>
          <w:tab w:val="left" w:pos="2880"/>
          <w:tab w:val="left" w:pos="4320"/>
          <w:tab w:val="left" w:pos="5760"/>
          <w:tab w:val="left" w:pos="7200"/>
        </w:tabs>
        <w:jc w:val="center"/>
      </w:pPr>
      <w:r>
        <w:t xml:space="preserve">Superior Court County of </w:t>
      </w:r>
      <w:r w:rsidR="00051989">
        <w:t>Santa Barbara</w:t>
      </w:r>
    </w:p>
    <w:p w:rsidR="0064322B" w:rsidP="000F6C1D">
      <w:pPr>
        <w:tabs>
          <w:tab w:val="left" w:pos="1440"/>
          <w:tab w:val="left" w:pos="2880"/>
          <w:tab w:val="left" w:pos="4320"/>
          <w:tab w:val="left" w:pos="5760"/>
          <w:tab w:val="left" w:pos="7200"/>
        </w:tabs>
        <w:jc w:val="center"/>
      </w:pPr>
      <w:r>
        <w:t>______________________________</w:t>
      </w:r>
    </w:p>
    <w:p w:rsidR="0064322B" w:rsidP="00112B4A">
      <w:pPr>
        <w:tabs>
          <w:tab w:val="left" w:pos="1440"/>
          <w:tab w:val="left" w:pos="2880"/>
          <w:tab w:val="left" w:pos="4320"/>
          <w:tab w:val="left" w:pos="5760"/>
          <w:tab w:val="left" w:pos="7200"/>
        </w:tabs>
        <w:ind w:firstLine="720"/>
        <w:jc w:val="center"/>
      </w:pPr>
    </w:p>
    <w:p w:rsidR="0064322B" w:rsidP="00112B4A">
      <w:pPr>
        <w:tabs>
          <w:tab w:val="left" w:pos="1440"/>
          <w:tab w:val="left" w:pos="2880"/>
          <w:tab w:val="left" w:pos="4320"/>
          <w:tab w:val="left" w:pos="5760"/>
          <w:tab w:val="left" w:pos="7200"/>
        </w:tabs>
        <w:ind w:firstLine="720"/>
      </w:pPr>
      <w:r>
        <w:t>Gaines &amp; Stacey, Sherman L. Stacy, Lisa A. Weinberg, Rebecca A. Thompson, for Plaintiff and Appellant.</w:t>
      </w:r>
    </w:p>
    <w:p w:rsidR="0064322B" w:rsidP="00112B4A">
      <w:pPr>
        <w:tabs>
          <w:tab w:val="left" w:pos="1440"/>
          <w:tab w:val="left" w:pos="2880"/>
          <w:tab w:val="left" w:pos="4320"/>
          <w:tab w:val="left" w:pos="5760"/>
          <w:tab w:val="left" w:pos="7200"/>
        </w:tabs>
        <w:ind w:firstLine="720"/>
      </w:pPr>
      <w:r>
        <w:t>Santa Barbara County Counsel</w:t>
      </w:r>
      <w:r w:rsidR="00CD4907">
        <w:t>’</w:t>
      </w:r>
      <w:r>
        <w:t xml:space="preserve">s Office, Brian Pettit, Senior Deputy, </w:t>
      </w:r>
      <w:r w:rsidR="00FE0588">
        <w:t xml:space="preserve">for Defendant and Respondent, </w:t>
      </w:r>
      <w:r>
        <w:t>County of Santa Barbara</w:t>
      </w:r>
      <w:r w:rsidR="00FE0588">
        <w:t>.</w:t>
      </w:r>
    </w:p>
    <w:p w:rsidR="006F1D80" w:rsidP="00A06A26">
      <w:pPr>
        <w:tabs>
          <w:tab w:val="left" w:pos="1440"/>
          <w:tab w:val="left" w:pos="2880"/>
          <w:tab w:val="left" w:pos="4320"/>
          <w:tab w:val="left" w:pos="5760"/>
          <w:tab w:val="left" w:pos="7200"/>
        </w:tabs>
        <w:ind w:firstLine="720"/>
        <w:sectPr w:rsidSect="000D6D20">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cols w:space="720"/>
          <w:titlePg/>
          <w:docGrid w:linePitch="360"/>
        </w:sectPr>
      </w:pPr>
      <w:r>
        <w:t>Rob Bonta</w:t>
      </w:r>
      <w:r w:rsidRPr="00A06A26" w:rsidR="00A06A26">
        <w:t xml:space="preserve">, Attorney General, </w:t>
      </w:r>
      <w:r w:rsidR="00051989">
        <w:t>Daniel A. Olivas</w:t>
      </w:r>
      <w:r w:rsidRPr="00A06A26" w:rsidR="00A06A26">
        <w:t xml:space="preserve">, Senior Assistant Attorney General, </w:t>
      </w:r>
      <w:r w:rsidR="00051989">
        <w:t>Christina Bull Arndt</w:t>
      </w:r>
      <w:r w:rsidRPr="00A06A26" w:rsidR="00A06A26">
        <w:t xml:space="preserve">, Supervising Deputy Attorney General, and </w:t>
      </w:r>
      <w:r w:rsidR="00051989">
        <w:t>Elizabeth S. St. John,</w:t>
      </w:r>
      <w:r w:rsidRPr="00A06A26" w:rsidR="00A06A26">
        <w:t xml:space="preserve"> Deputy Attorney General, for </w:t>
      </w:r>
      <w:r w:rsidR="00051989">
        <w:t>Defendant and Respondent, California Coastal Commission</w:t>
      </w:r>
      <w:r w:rsidRPr="00A06A26" w:rsidR="00A06A26">
        <w:t>.</w:t>
      </w:r>
    </w:p>
    <w:p w:rsidR="006F1D80" w:rsidRPr="006D20B4" w:rsidP="006F1D80">
      <w:pPr>
        <w:spacing w:line="360" w:lineRule="auto"/>
        <w:rPr>
          <w:bCs/>
          <w:sz w:val="20"/>
          <w:szCs w:val="20"/>
        </w:rPr>
      </w:pPr>
      <w:r>
        <w:rPr>
          <w:bCs/>
          <w:sz w:val="20"/>
          <w:szCs w:val="20"/>
        </w:rPr>
        <w:t>Filed 6/25/24</w:t>
      </w:r>
    </w:p>
    <w:p w:rsidR="006F1D80" w:rsidP="006F1D80">
      <w:pPr>
        <w:spacing w:line="240" w:lineRule="auto"/>
        <w:jc w:val="center"/>
        <w:rPr>
          <w:b/>
        </w:rPr>
      </w:pPr>
      <w:r>
        <w:rPr>
          <w:b/>
        </w:rPr>
        <w:t>CERTIFIED FOR PUBLICATION</w:t>
      </w:r>
    </w:p>
    <w:p w:rsidR="006F1D80" w:rsidP="006F1D80">
      <w:pPr>
        <w:spacing w:line="240" w:lineRule="auto"/>
        <w:jc w:val="center"/>
      </w:pPr>
    </w:p>
    <w:p w:rsidR="006F1D80" w:rsidP="006F1D80">
      <w:pPr>
        <w:spacing w:line="240" w:lineRule="auto"/>
        <w:jc w:val="center"/>
      </w:pPr>
      <w:r>
        <w:t>IN THE COURT OF APPEAL OF THE STATE OF CALIFORNIA</w:t>
      </w:r>
    </w:p>
    <w:p w:rsidR="006F1D80" w:rsidP="006F1D80">
      <w:pPr>
        <w:spacing w:line="240" w:lineRule="auto"/>
        <w:jc w:val="center"/>
      </w:pPr>
    </w:p>
    <w:p w:rsidR="006F1D80" w:rsidP="006F1D80">
      <w:pPr>
        <w:spacing w:line="240" w:lineRule="auto"/>
        <w:jc w:val="center"/>
      </w:pPr>
      <w:r>
        <w:t>SECOND APPELLATE DISTRICT</w:t>
      </w:r>
    </w:p>
    <w:p w:rsidR="006F1D80" w:rsidP="006F1D80">
      <w:pPr>
        <w:spacing w:line="240" w:lineRule="auto"/>
        <w:jc w:val="center"/>
      </w:pPr>
    </w:p>
    <w:p w:rsidR="006F1D80" w:rsidP="006F1D80">
      <w:pPr>
        <w:spacing w:line="240" w:lineRule="auto"/>
        <w:jc w:val="center"/>
      </w:pPr>
      <w:r>
        <w:t>DIVISION SIX</w:t>
      </w:r>
    </w:p>
    <w:p w:rsidR="006F1D80" w:rsidP="006F1D80">
      <w:pPr>
        <w:spacing w:line="240" w:lineRule="auto"/>
        <w:jc w:val="center"/>
      </w:pPr>
    </w:p>
    <w:p w:rsidR="006F1D80" w:rsidP="006F1D80">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068"/>
        <w:gridCol w:w="4068"/>
      </w:tblGrid>
      <w:tr w:rsidTr="00D17DF2">
        <w:tblPrEx>
          <w:tblW w:w="0" w:type="auto"/>
          <w:tblInd w:w="0" w:type="dxa"/>
          <w:tblLayout w:type="fixed"/>
          <w:tblCellMar>
            <w:top w:w="0" w:type="dxa"/>
            <w:left w:w="108" w:type="dxa"/>
            <w:bottom w:w="0" w:type="dxa"/>
            <w:right w:w="108" w:type="dxa"/>
          </w:tblCellMar>
          <w:tblLook w:val="0000"/>
        </w:tblPrEx>
        <w:tc>
          <w:tcPr>
            <w:tcW w:w="4068" w:type="dxa"/>
            <w:tcBorders>
              <w:bottom w:val="single" w:sz="4" w:space="0" w:color="auto"/>
              <w:right w:val="single" w:sz="4" w:space="0" w:color="auto"/>
            </w:tcBorders>
            <w:shd w:val="clear" w:color="auto" w:fill="auto"/>
          </w:tcPr>
          <w:p w:rsidR="006F1D80"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CASA BLANCA BEACH ESTATES OWNERS’ ASSOCIATION, </w:t>
            </w:r>
          </w:p>
          <w:p w:rsidR="006F1D80" w:rsidP="00D17DF2">
            <w:pPr>
              <w:spacing w:line="240" w:lineRule="auto"/>
              <w:rPr>
                <w:rStyle w:val="DefaultParagraphFont"/>
                <w:rFonts w:ascii="Century Schoolbook" w:eastAsia="Calibri" w:hAnsi="Century Schoolbook"/>
                <w:sz w:val="26"/>
                <w:szCs w:val="22"/>
                <w:lang w:val="en-US" w:eastAsia="en-US" w:bidi="ar-SA"/>
              </w:rPr>
            </w:pPr>
          </w:p>
          <w:p w:rsidR="006F1D80" w:rsidP="00D17DF2">
            <w:pPr>
              <w:spacing w:line="240" w:lineRule="auto"/>
              <w:ind w:left="360"/>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Plaintiff and Appellant,</w:t>
            </w:r>
          </w:p>
          <w:p w:rsidR="006F1D80" w:rsidP="00D17DF2">
            <w:pPr>
              <w:spacing w:line="240" w:lineRule="auto"/>
              <w:rPr>
                <w:rStyle w:val="DefaultParagraphFont"/>
                <w:rFonts w:ascii="Century Schoolbook" w:eastAsia="Calibri" w:hAnsi="Century Schoolbook"/>
                <w:sz w:val="26"/>
                <w:szCs w:val="22"/>
                <w:lang w:val="en-US" w:eastAsia="en-US" w:bidi="ar-SA"/>
              </w:rPr>
            </w:pPr>
          </w:p>
          <w:p w:rsidR="006F1D80"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v.</w:t>
            </w:r>
          </w:p>
          <w:p w:rsidR="006F1D80" w:rsidP="00D17DF2">
            <w:pPr>
              <w:spacing w:line="240" w:lineRule="auto"/>
              <w:rPr>
                <w:rStyle w:val="DefaultParagraphFont"/>
                <w:rFonts w:ascii="Century Schoolbook" w:eastAsia="Calibri" w:hAnsi="Century Schoolbook"/>
                <w:sz w:val="26"/>
                <w:szCs w:val="22"/>
                <w:lang w:val="en-US" w:eastAsia="en-US" w:bidi="ar-SA"/>
              </w:rPr>
            </w:pPr>
          </w:p>
          <w:p w:rsidR="006F1D80"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COUNTY OF SANTA BARBARA et al.,</w:t>
            </w:r>
          </w:p>
          <w:p w:rsidR="006F1D80" w:rsidP="00D17DF2">
            <w:pPr>
              <w:spacing w:line="240" w:lineRule="auto"/>
              <w:rPr>
                <w:rStyle w:val="DefaultParagraphFont"/>
                <w:rFonts w:ascii="Century Schoolbook" w:eastAsia="Calibri" w:hAnsi="Century Schoolbook"/>
                <w:sz w:val="26"/>
                <w:szCs w:val="22"/>
                <w:lang w:val="en-US" w:eastAsia="en-US" w:bidi="ar-SA"/>
              </w:rPr>
            </w:pPr>
          </w:p>
          <w:p w:rsidR="006F1D80" w:rsidP="00D17DF2">
            <w:pPr>
              <w:spacing w:line="240" w:lineRule="auto"/>
              <w:ind w:left="360"/>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Defendants and Respondents.</w:t>
            </w:r>
          </w:p>
          <w:p w:rsidR="006F1D80" w:rsidP="00D17DF2">
            <w:pPr>
              <w:spacing w:line="240" w:lineRule="auto"/>
              <w:rPr>
                <w:rStyle w:val="DefaultParagraphFont"/>
                <w:rFonts w:ascii="Century Schoolbook" w:eastAsia="Calibri" w:hAnsi="Century Schoolbook"/>
                <w:sz w:val="26"/>
                <w:szCs w:val="22"/>
                <w:lang w:val="en-US" w:eastAsia="en-US" w:bidi="ar-SA"/>
              </w:rPr>
            </w:pPr>
          </w:p>
        </w:tc>
        <w:tc>
          <w:tcPr>
            <w:tcW w:w="4068" w:type="dxa"/>
            <w:tcBorders>
              <w:left w:val="single" w:sz="4" w:space="0" w:color="auto"/>
            </w:tcBorders>
            <w:shd w:val="clear" w:color="auto" w:fill="auto"/>
          </w:tcPr>
          <w:p w:rsidR="006F1D80" w:rsidP="00D17DF2">
            <w:pPr>
              <w:spacing w:line="240" w:lineRule="auto"/>
              <w:jc w:val="center"/>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2d Civ. No. B314102</w:t>
            </w:r>
          </w:p>
          <w:p w:rsidR="006F1D80" w:rsidP="00D17DF2">
            <w:pPr>
              <w:spacing w:line="240" w:lineRule="auto"/>
              <w:jc w:val="center"/>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(Super. Ct. No. 18CV04772)</w:t>
            </w:r>
          </w:p>
          <w:p w:rsidR="006F1D80" w:rsidP="00D17DF2">
            <w:pPr>
              <w:spacing w:line="240" w:lineRule="auto"/>
              <w:jc w:val="center"/>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(Santa Barbara County)</w:t>
            </w:r>
          </w:p>
          <w:p w:rsidR="006F1D80" w:rsidP="00D17DF2">
            <w:pPr>
              <w:spacing w:line="240" w:lineRule="auto"/>
              <w:jc w:val="center"/>
              <w:rPr>
                <w:rStyle w:val="DefaultParagraphFont"/>
                <w:rFonts w:ascii="Century Schoolbook" w:eastAsia="Calibri" w:hAnsi="Century Schoolbook"/>
                <w:sz w:val="26"/>
                <w:szCs w:val="22"/>
                <w:lang w:val="en-US" w:eastAsia="en-US" w:bidi="ar-SA"/>
              </w:rPr>
            </w:pPr>
          </w:p>
          <w:p w:rsidR="006F1D80" w:rsidP="00D17DF2">
            <w:pPr>
              <w:spacing w:line="240" w:lineRule="auto"/>
              <w:jc w:val="center"/>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ORDER CERTIFYING OPINION FOR PUBLICATION</w:t>
            </w:r>
          </w:p>
          <w:p w:rsidR="006F1D80" w:rsidP="00D17DF2">
            <w:pPr>
              <w:spacing w:line="240" w:lineRule="auto"/>
              <w:jc w:val="center"/>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(No Change in Judgment)</w:t>
            </w:r>
          </w:p>
        </w:tc>
      </w:tr>
    </w:tbl>
    <w:p w:rsidR="006F1D80" w:rsidP="006F1D80">
      <w:pPr>
        <w:tabs>
          <w:tab w:val="left" w:pos="1440"/>
          <w:tab w:val="left" w:pos="2880"/>
          <w:tab w:val="left" w:pos="4320"/>
          <w:tab w:val="left" w:pos="5760"/>
          <w:tab w:val="left" w:pos="7200"/>
        </w:tabs>
      </w:pPr>
    </w:p>
    <w:p w:rsidR="006F1D80" w:rsidP="006F1D80">
      <w:pPr>
        <w:tabs>
          <w:tab w:val="left" w:pos="1440"/>
          <w:tab w:val="left" w:pos="2880"/>
          <w:tab w:val="left" w:pos="4320"/>
          <w:tab w:val="left" w:pos="5760"/>
          <w:tab w:val="left" w:pos="7200"/>
        </w:tabs>
      </w:pPr>
      <w:r>
        <w:t>THE COURT</w:t>
      </w:r>
      <w:r>
        <w:rPr>
          <w:rStyle w:val="FootnoteReference"/>
        </w:rPr>
        <w:footnoteReference w:customMarkFollows="1" w:id="8"/>
        <w:t xml:space="preserve">*</w:t>
      </w:r>
      <w:r>
        <w:t>:</w:t>
      </w:r>
    </w:p>
    <w:p w:rsidR="006F1D80" w:rsidP="006F1D80">
      <w:pPr>
        <w:tabs>
          <w:tab w:val="left" w:pos="720"/>
          <w:tab w:val="left" w:pos="2880"/>
          <w:tab w:val="left" w:pos="4320"/>
          <w:tab w:val="left" w:pos="5760"/>
          <w:tab w:val="left" w:pos="7200"/>
        </w:tabs>
      </w:pPr>
      <w:r>
        <w:tab/>
        <w:t>The opinion in the above-entitled matter filed on May 30, 2024, was not certified for publication in the Official Reports.  For good cause it now appears that the opinion should be published in the Official Reports and it is so ordered.</w:t>
      </w:r>
    </w:p>
    <w:p w:rsidR="006F1D80" w:rsidP="006F1D80">
      <w:pPr>
        <w:tabs>
          <w:tab w:val="left" w:pos="720"/>
          <w:tab w:val="left" w:pos="2880"/>
          <w:tab w:val="left" w:pos="4320"/>
          <w:tab w:val="left" w:pos="5760"/>
          <w:tab w:val="left" w:pos="7200"/>
        </w:tabs>
      </w:pPr>
      <w:r>
        <w:tab/>
        <w:t>There is no change in the Judgment.</w:t>
      </w:r>
    </w:p>
    <w:p w:rsidR="006F1D80" w:rsidP="006F1D80">
      <w:pPr>
        <w:tabs>
          <w:tab w:val="left" w:pos="720"/>
          <w:tab w:val="left" w:pos="2880"/>
          <w:tab w:val="left" w:pos="4320"/>
          <w:tab w:val="left" w:pos="5760"/>
          <w:tab w:val="left" w:pos="7200"/>
        </w:tabs>
      </w:pPr>
      <w:r>
        <w:tab/>
        <w:t>CERTIFIED FOR PUBLICATION.</w:t>
      </w:r>
    </w:p>
    <w:sectPr w:rsidSect="000D6D20">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D8D" w:rsidP="006C7D8D">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7058" w:rsidP="006C7D8D">
      <w:pPr>
        <w:spacing w:line="240" w:lineRule="auto"/>
      </w:pPr>
      <w:r>
        <w:separator/>
      </w:r>
    </w:p>
  </w:footnote>
  <w:footnote w:type="continuationSeparator" w:id="1">
    <w:p w:rsidR="00B47058" w:rsidP="006C7D8D">
      <w:pPr>
        <w:spacing w:line="240" w:lineRule="auto"/>
      </w:pPr>
      <w:r>
        <w:continuationSeparator/>
      </w:r>
    </w:p>
  </w:footnote>
  <w:footnote w:id="2">
    <w:p w:rsidR="00F92286" w:rsidRPr="00077D90" w:rsidP="00077D90">
      <w:pPr>
        <w:pStyle w:val="FootnoteText"/>
        <w:spacing w:line="240" w:lineRule="auto"/>
        <w:ind w:firstLine="720"/>
        <w:rPr>
          <w:sz w:val="26"/>
          <w:szCs w:val="26"/>
        </w:rPr>
      </w:pPr>
      <w:r w:rsidRPr="00077D90">
        <w:rPr>
          <w:rStyle w:val="FootnoteReference"/>
          <w:sz w:val="26"/>
          <w:szCs w:val="26"/>
        </w:rPr>
        <w:footnoteRef/>
      </w:r>
      <w:r w:rsidRPr="00077D90">
        <w:rPr>
          <w:sz w:val="26"/>
          <w:szCs w:val="26"/>
        </w:rPr>
        <w:t xml:space="preserve"> The County authorized the Commission to assume primary responsibility for resolving Casa Blanca’s alleged violation.</w:t>
      </w:r>
      <w:r w:rsidR="003A0173">
        <w:rPr>
          <w:sz w:val="26"/>
          <w:szCs w:val="26"/>
        </w:rPr>
        <w:t xml:space="preserve">  </w:t>
      </w:r>
      <w:r w:rsidRPr="00077D90">
        <w:rPr>
          <w:sz w:val="26"/>
          <w:szCs w:val="26"/>
        </w:rPr>
        <w:t xml:space="preserve">(Pub. Resources Code, § 30810, subd. (a)(1).)  </w:t>
      </w:r>
    </w:p>
  </w:footnote>
  <w:footnote w:id="3">
    <w:p w:rsidR="00C84F3E" w:rsidP="002968DD">
      <w:pPr>
        <w:pStyle w:val="FootnoteText"/>
        <w:spacing w:line="240" w:lineRule="auto"/>
        <w:ind w:firstLine="720"/>
        <w:rPr>
          <w:sz w:val="26"/>
          <w:szCs w:val="26"/>
        </w:rPr>
      </w:pPr>
      <w:r w:rsidRPr="002968DD">
        <w:rPr>
          <w:rStyle w:val="FootnoteReference"/>
          <w:sz w:val="26"/>
          <w:szCs w:val="26"/>
        </w:rPr>
        <w:footnoteRef/>
      </w:r>
      <w:r w:rsidRPr="002968DD">
        <w:rPr>
          <w:sz w:val="26"/>
          <w:szCs w:val="26"/>
        </w:rPr>
        <w:t xml:space="preserve"> Casa Blanca has not appealed the trial court’s rulings on the first and third causes of action. </w:t>
      </w:r>
    </w:p>
    <w:p w:rsidR="00E37C63" w:rsidRPr="002968DD" w:rsidP="002968DD">
      <w:pPr>
        <w:pStyle w:val="FootnoteText"/>
        <w:spacing w:line="240" w:lineRule="auto"/>
        <w:ind w:firstLine="720"/>
        <w:rPr>
          <w:sz w:val="26"/>
          <w:szCs w:val="26"/>
        </w:rPr>
      </w:pPr>
    </w:p>
  </w:footnote>
  <w:footnote w:id="4">
    <w:p w:rsidR="000729F3" w:rsidP="008F6DA7">
      <w:pPr>
        <w:pStyle w:val="FootnoteText"/>
        <w:spacing w:line="240" w:lineRule="auto"/>
        <w:ind w:firstLine="720"/>
        <w:rPr>
          <w:sz w:val="26"/>
          <w:szCs w:val="26"/>
        </w:rPr>
      </w:pPr>
      <w:r w:rsidRPr="008F6DA7">
        <w:rPr>
          <w:rStyle w:val="FootnoteReference"/>
          <w:sz w:val="26"/>
          <w:szCs w:val="26"/>
        </w:rPr>
        <w:footnoteRef/>
      </w:r>
      <w:r w:rsidRPr="008F6DA7">
        <w:rPr>
          <w:sz w:val="26"/>
          <w:szCs w:val="26"/>
        </w:rPr>
        <w:t xml:space="preserve"> We deny Casa Blanca’s request for judicial notice of a summons and complaint entitled </w:t>
      </w:r>
      <w:r w:rsidRPr="008F6DA7">
        <w:rPr>
          <w:i/>
          <w:iCs/>
          <w:sz w:val="26"/>
          <w:szCs w:val="26"/>
        </w:rPr>
        <w:t>State Lands Commission v. Casa Blanca Beach Owners Assoc., et al</w:t>
      </w:r>
      <w:r w:rsidRPr="008F6DA7">
        <w:rPr>
          <w:sz w:val="26"/>
          <w:szCs w:val="26"/>
        </w:rPr>
        <w:t xml:space="preserve">, case no. 23CV03115, filed with the Superior Court of the County of Santa Barbara on July 20, 2023.  It seeks notice under Evidence Code sections 459 and 452, subdivision (d), which covers “Records of (1) any court of this state or (2) any court of record of the United States or of any state of the United States.”  (See Evid. Code § 459, subd. (a), italics added [“The reviewing court </w:t>
      </w:r>
      <w:r w:rsidRPr="008F6DA7">
        <w:rPr>
          <w:i/>
          <w:iCs/>
          <w:sz w:val="26"/>
          <w:szCs w:val="26"/>
        </w:rPr>
        <w:t xml:space="preserve">may </w:t>
      </w:r>
      <w:r w:rsidRPr="008F6DA7">
        <w:rPr>
          <w:sz w:val="26"/>
          <w:szCs w:val="26"/>
        </w:rPr>
        <w:t>take judicial notice of any matter specified in Section 452”].)  Casa Blanca asserts the summons and complaint are relevant to this appeal because the State Lands Commission will be unable to finalize its boundary line determination until the boundary issue is resolved through settlement or judgment.  We deferred ruling on this request pending consideration of the merits of the appeal.  We now conclude the summons and complaint are not relevant to our analysis and accordingly, decline to take judicial notice.  The motion is denied.</w:t>
      </w:r>
    </w:p>
    <w:p w:rsidR="008F6DA7" w:rsidRPr="008F6DA7" w:rsidP="008F6DA7">
      <w:pPr>
        <w:pStyle w:val="FootnoteText"/>
        <w:spacing w:line="240" w:lineRule="auto"/>
        <w:ind w:firstLine="720"/>
        <w:rPr>
          <w:sz w:val="26"/>
          <w:szCs w:val="26"/>
        </w:rPr>
      </w:pPr>
    </w:p>
  </w:footnote>
  <w:footnote w:id="5">
    <w:p w:rsidR="003C788D" w:rsidP="003C788D">
      <w:pPr>
        <w:pStyle w:val="FootnoteText"/>
        <w:spacing w:line="240" w:lineRule="auto"/>
        <w:ind w:firstLine="720"/>
        <w:rPr>
          <w:sz w:val="26"/>
          <w:szCs w:val="26"/>
        </w:rPr>
      </w:pPr>
      <w:r w:rsidRPr="003C788D">
        <w:rPr>
          <w:rStyle w:val="FootnoteReference"/>
          <w:sz w:val="26"/>
          <w:szCs w:val="26"/>
        </w:rPr>
        <w:footnoteRef/>
      </w:r>
      <w:r w:rsidRPr="003C788D">
        <w:rPr>
          <w:sz w:val="26"/>
          <w:szCs w:val="26"/>
        </w:rPr>
        <w:t xml:space="preserve"> </w:t>
      </w:r>
      <w:r w:rsidRPr="002968DD">
        <w:rPr>
          <w:sz w:val="26"/>
          <w:szCs w:val="26"/>
        </w:rPr>
        <w:t xml:space="preserve">Casa Blanca </w:t>
      </w:r>
      <w:r>
        <w:rPr>
          <w:sz w:val="26"/>
          <w:szCs w:val="26"/>
        </w:rPr>
        <w:t xml:space="preserve">maintains the offer to dedicate contains </w:t>
      </w:r>
      <w:r w:rsidRPr="002968DD">
        <w:rPr>
          <w:sz w:val="26"/>
          <w:szCs w:val="26"/>
        </w:rPr>
        <w:t xml:space="preserve">conditions precedent </w:t>
      </w:r>
      <w:r>
        <w:rPr>
          <w:sz w:val="26"/>
          <w:szCs w:val="26"/>
        </w:rPr>
        <w:t xml:space="preserve">that </w:t>
      </w:r>
      <w:r w:rsidRPr="002968DD">
        <w:rPr>
          <w:sz w:val="26"/>
          <w:szCs w:val="26"/>
        </w:rPr>
        <w:t xml:space="preserve">must be satisfied before it is obligated to construct the walkway. </w:t>
      </w:r>
      <w:r w:rsidR="00E37C63">
        <w:rPr>
          <w:sz w:val="26"/>
          <w:szCs w:val="26"/>
        </w:rPr>
        <w:t xml:space="preserve"> </w:t>
      </w:r>
    </w:p>
    <w:p w:rsidR="003C788D">
      <w:pPr>
        <w:pStyle w:val="FootnoteText"/>
      </w:pPr>
    </w:p>
  </w:footnote>
  <w:footnote w:id="6">
    <w:p w:rsidR="00A879CB" w:rsidRPr="00A879CB" w:rsidP="00A879CB">
      <w:pPr>
        <w:pStyle w:val="FootnoteText"/>
        <w:spacing w:line="240" w:lineRule="auto"/>
        <w:ind w:firstLine="720"/>
        <w:rPr>
          <w:sz w:val="26"/>
          <w:szCs w:val="26"/>
        </w:rPr>
      </w:pPr>
      <w:r w:rsidRPr="00A879CB">
        <w:rPr>
          <w:rStyle w:val="FootnoteReference"/>
          <w:sz w:val="26"/>
          <w:szCs w:val="26"/>
        </w:rPr>
        <w:footnoteRef/>
      </w:r>
      <w:r w:rsidRPr="00A879CB">
        <w:rPr>
          <w:sz w:val="26"/>
          <w:szCs w:val="26"/>
        </w:rPr>
        <w:t xml:space="preserve"> A demurrer sustained without leave to amend is reviewed for abuse of discretion.  (</w:t>
      </w:r>
      <w:r w:rsidRPr="00A879CB">
        <w:rPr>
          <w:i/>
          <w:iCs/>
          <w:sz w:val="26"/>
          <w:szCs w:val="26"/>
        </w:rPr>
        <w:t>Blank</w:t>
      </w:r>
      <w:r>
        <w:rPr>
          <w:i/>
          <w:iCs/>
          <w:sz w:val="26"/>
          <w:szCs w:val="26"/>
        </w:rPr>
        <w:t xml:space="preserve">, supra, </w:t>
      </w:r>
      <w:r w:rsidRPr="00A879CB">
        <w:rPr>
          <w:sz w:val="26"/>
          <w:szCs w:val="26"/>
        </w:rPr>
        <w:t xml:space="preserve">39 Cal.3d </w:t>
      </w:r>
      <w:r>
        <w:rPr>
          <w:sz w:val="26"/>
          <w:szCs w:val="26"/>
        </w:rPr>
        <w:t>at p.</w:t>
      </w:r>
      <w:r w:rsidRPr="00A879CB">
        <w:rPr>
          <w:sz w:val="26"/>
          <w:szCs w:val="26"/>
        </w:rPr>
        <w:t xml:space="preserve"> 318.)</w:t>
      </w:r>
      <w:r>
        <w:rPr>
          <w:sz w:val="26"/>
          <w:szCs w:val="26"/>
        </w:rPr>
        <w:t xml:space="preserve"> </w:t>
      </w:r>
      <w:r w:rsidR="00E2700C">
        <w:rPr>
          <w:sz w:val="26"/>
          <w:szCs w:val="26"/>
        </w:rPr>
        <w:t xml:space="preserve"> </w:t>
      </w:r>
      <w:r>
        <w:rPr>
          <w:sz w:val="26"/>
          <w:szCs w:val="26"/>
        </w:rPr>
        <w:t>I</w:t>
      </w:r>
      <w:r w:rsidRPr="00A879CB">
        <w:rPr>
          <w:sz w:val="26"/>
          <w:szCs w:val="26"/>
        </w:rPr>
        <w:t>t is appellant’s responsibility to support claims with colorable arguments and citations to legal authority.  If an argument is not made on a particular point, we may treat it as forfeited.  (</w:t>
      </w:r>
      <w:r w:rsidRPr="00A879CB">
        <w:rPr>
          <w:i/>
          <w:iCs/>
          <w:sz w:val="26"/>
          <w:szCs w:val="26"/>
        </w:rPr>
        <w:t>Allen v. City of Sacramento</w:t>
      </w:r>
      <w:r w:rsidRPr="00A879CB">
        <w:rPr>
          <w:sz w:val="26"/>
          <w:szCs w:val="26"/>
        </w:rPr>
        <w:t xml:space="preserve"> (2015) 234 Cal.App.4th 41, 52.)  Casa Blanca </w:t>
      </w:r>
      <w:r w:rsidR="00E2700C">
        <w:rPr>
          <w:sz w:val="26"/>
          <w:szCs w:val="26"/>
        </w:rPr>
        <w:t>did</w:t>
      </w:r>
      <w:r w:rsidRPr="00A879CB">
        <w:rPr>
          <w:sz w:val="26"/>
          <w:szCs w:val="26"/>
        </w:rPr>
        <w:t xml:space="preserve"> not assert</w:t>
      </w:r>
      <w:r w:rsidR="00E2700C">
        <w:rPr>
          <w:sz w:val="26"/>
          <w:szCs w:val="26"/>
        </w:rPr>
        <w:t xml:space="preserve"> an error by</w:t>
      </w:r>
      <w:r w:rsidRPr="00A879CB">
        <w:rPr>
          <w:sz w:val="26"/>
          <w:szCs w:val="26"/>
        </w:rPr>
        <w:t xml:space="preserve"> the trial court</w:t>
      </w:r>
      <w:r>
        <w:rPr>
          <w:sz w:val="26"/>
          <w:szCs w:val="26"/>
        </w:rPr>
        <w:t xml:space="preserve"> </w:t>
      </w:r>
      <w:r w:rsidRPr="00A879CB">
        <w:rPr>
          <w:sz w:val="26"/>
          <w:szCs w:val="26"/>
        </w:rPr>
        <w:t xml:space="preserve">in denying leave to amend.  </w:t>
      </w:r>
      <w:r>
        <w:rPr>
          <w:sz w:val="26"/>
          <w:szCs w:val="26"/>
        </w:rPr>
        <w:t xml:space="preserve">As such, we will discuss </w:t>
      </w:r>
      <w:r w:rsidRPr="00A879CB">
        <w:rPr>
          <w:sz w:val="26"/>
          <w:szCs w:val="26"/>
        </w:rPr>
        <w:t>the court</w:t>
      </w:r>
      <w:r>
        <w:rPr>
          <w:sz w:val="26"/>
          <w:szCs w:val="26"/>
        </w:rPr>
        <w:t xml:space="preserve">’s </w:t>
      </w:r>
      <w:r w:rsidRPr="00A879CB">
        <w:rPr>
          <w:sz w:val="26"/>
          <w:szCs w:val="26"/>
        </w:rPr>
        <w:t xml:space="preserve">granting County’s motion for summary judgment and sustaining Commission’s demurrer </w:t>
      </w:r>
      <w:r>
        <w:rPr>
          <w:sz w:val="26"/>
          <w:szCs w:val="26"/>
        </w:rPr>
        <w:t xml:space="preserve">but </w:t>
      </w:r>
      <w:r w:rsidRPr="00A879CB">
        <w:rPr>
          <w:sz w:val="26"/>
          <w:szCs w:val="26"/>
        </w:rPr>
        <w:t>decline to analyze the court’s denial of leave to amend.</w:t>
      </w:r>
    </w:p>
  </w:footnote>
  <w:footnote w:id="7">
    <w:p w:rsidR="00192EFB" w:rsidRPr="008F6DA7" w:rsidP="008F6DA7">
      <w:pPr>
        <w:pStyle w:val="FootnoteText"/>
        <w:spacing w:line="240" w:lineRule="auto"/>
        <w:ind w:firstLine="720"/>
        <w:rPr>
          <w:sz w:val="26"/>
          <w:szCs w:val="26"/>
        </w:rPr>
      </w:pPr>
      <w:r w:rsidRPr="008F6DA7">
        <w:rPr>
          <w:rStyle w:val="FootnoteReference"/>
          <w:sz w:val="26"/>
          <w:szCs w:val="26"/>
        </w:rPr>
        <w:footnoteRef/>
      </w:r>
      <w:r w:rsidRPr="008F6DA7">
        <w:rPr>
          <w:sz w:val="26"/>
          <w:szCs w:val="26"/>
        </w:rPr>
        <w:t xml:space="preserve"> Casa Blanca waited 10 months to object, yet the code requires the objection be submitted within 20 days of the postmarked mailing of the notification. </w:t>
      </w:r>
      <w:r w:rsidR="00D714CD">
        <w:rPr>
          <w:sz w:val="26"/>
          <w:szCs w:val="26"/>
        </w:rPr>
        <w:t xml:space="preserve"> </w:t>
      </w:r>
      <w:r w:rsidRPr="008F6DA7">
        <w:rPr>
          <w:sz w:val="26"/>
          <w:szCs w:val="26"/>
        </w:rPr>
        <w:t>(Pub. Res. Code § 30812, subd. (b).)</w:t>
      </w:r>
    </w:p>
  </w:footnote>
  <w:footnote w:id="8">
    <w:p w:rsidR="006F1D80" w:rsidRPr="002C02A1" w:rsidP="006F1D80">
      <w:pPr>
        <w:pStyle w:val="FootnoteText"/>
        <w:ind w:firstLine="720"/>
        <w:rPr>
          <w:sz w:val="26"/>
          <w:szCs w:val="26"/>
        </w:rPr>
      </w:pPr>
      <w:r w:rsidRPr="002C02A1">
        <w:rPr>
          <w:rStyle w:val="FootnoteReference"/>
          <w:sz w:val="26"/>
          <w:szCs w:val="26"/>
        </w:rPr>
        <w:t>*</w:t>
      </w:r>
      <w:r w:rsidRPr="002C02A1">
        <w:rPr>
          <w:sz w:val="26"/>
          <w:szCs w:val="26"/>
        </w:rPr>
        <w:t xml:space="preserve"> GILBERT, P.J.</w:t>
      </w:r>
      <w:r>
        <w:rPr>
          <w:sz w:val="26"/>
          <w:szCs w:val="26"/>
        </w:rPr>
        <w:t xml:space="preserve">, BALTODANO. J., </w:t>
      </w:r>
      <w:r w:rsidRPr="002C02A1">
        <w:rPr>
          <w:sz w:val="26"/>
          <w:szCs w:val="26"/>
        </w:rPr>
        <w:t>CODY, 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BD4533"/>
    <w:multiLevelType w:val="hybridMultilevel"/>
    <w:tmpl w:val="69929682"/>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5072AD0"/>
    <w:multiLevelType w:val="hybridMultilevel"/>
    <w:tmpl w:val="5AFCF9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03928D9"/>
    <w:multiLevelType w:val="hybridMultilevel"/>
    <w:tmpl w:val="5150C0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E47378"/>
    <w:multiLevelType w:val="hybridMultilevel"/>
    <w:tmpl w:val="037AB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9164861"/>
    <w:multiLevelType w:val="hybridMultilevel"/>
    <w:tmpl w:val="802699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AE10982"/>
    <w:multiLevelType w:val="hybridMultilevel"/>
    <w:tmpl w:val="E544E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F095A2E"/>
    <w:multiLevelType w:val="hybridMultilevel"/>
    <w:tmpl w:val="3746E0BE"/>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D8D"/>
    <w:pPr>
      <w:tabs>
        <w:tab w:val="center" w:pos="4680"/>
        <w:tab w:val="right" w:pos="9360"/>
      </w:tabs>
    </w:pPr>
  </w:style>
  <w:style w:type="character" w:customStyle="1" w:styleId="HeaderChar">
    <w:name w:val="Header Char"/>
    <w:link w:val="Header"/>
    <w:uiPriority w:val="99"/>
    <w:rsid w:val="006C7D8D"/>
    <w:rPr>
      <w:rFonts w:ascii="Century Schoolbook" w:hAnsi="Century Schoolbook"/>
      <w:sz w:val="26"/>
      <w:szCs w:val="22"/>
    </w:rPr>
  </w:style>
  <w:style w:type="paragraph" w:styleId="Footer">
    <w:name w:val="footer"/>
    <w:basedOn w:val="Normal"/>
    <w:link w:val="FooterChar"/>
    <w:uiPriority w:val="99"/>
    <w:unhideWhenUsed/>
    <w:rsid w:val="006C7D8D"/>
    <w:pPr>
      <w:tabs>
        <w:tab w:val="center" w:pos="4680"/>
        <w:tab w:val="right" w:pos="9360"/>
      </w:tabs>
    </w:pPr>
  </w:style>
  <w:style w:type="character" w:customStyle="1" w:styleId="FooterChar">
    <w:name w:val="Footer Char"/>
    <w:link w:val="Footer"/>
    <w:uiPriority w:val="99"/>
    <w:rsid w:val="006C7D8D"/>
    <w:rPr>
      <w:rFonts w:ascii="Century Schoolbook" w:hAnsi="Century Schoolbook"/>
      <w:sz w:val="26"/>
      <w:szCs w:val="22"/>
    </w:rPr>
  </w:style>
  <w:style w:type="paragraph" w:styleId="FootnoteText">
    <w:name w:val="footnote text"/>
    <w:basedOn w:val="Normal"/>
    <w:link w:val="FootnoteTextChar"/>
    <w:uiPriority w:val="99"/>
    <w:semiHidden/>
    <w:unhideWhenUsed/>
    <w:rsid w:val="00C56030"/>
    <w:rPr>
      <w:sz w:val="20"/>
      <w:szCs w:val="20"/>
    </w:rPr>
  </w:style>
  <w:style w:type="character" w:customStyle="1" w:styleId="FootnoteTextChar">
    <w:name w:val="Footnote Text Char"/>
    <w:link w:val="FootnoteText"/>
    <w:uiPriority w:val="99"/>
    <w:semiHidden/>
    <w:rsid w:val="00C56030"/>
    <w:rPr>
      <w:rFonts w:ascii="Century Schoolbook" w:hAnsi="Century Schoolbook"/>
    </w:rPr>
  </w:style>
  <w:style w:type="character" w:styleId="FootnoteReference">
    <w:name w:val="footnote reference"/>
    <w:uiPriority w:val="99"/>
    <w:semiHidden/>
    <w:unhideWhenUsed/>
    <w:rsid w:val="00C56030"/>
    <w:rPr>
      <w:vertAlign w:val="superscript"/>
    </w:rPr>
  </w:style>
  <w:style w:type="character" w:styleId="PlaceholderText">
    <w:name w:val="Placeholder Text"/>
    <w:basedOn w:val="DefaultParagraphFont"/>
    <w:uiPriority w:val="99"/>
    <w:semiHidden/>
    <w:rsid w:val="007167D8"/>
    <w:rPr>
      <w:color w:val="666666"/>
    </w:rPr>
  </w:style>
  <w:style w:type="character" w:styleId="CommentReference">
    <w:name w:val="annotation reference"/>
    <w:basedOn w:val="DefaultParagraphFont"/>
    <w:uiPriority w:val="99"/>
    <w:semiHidden/>
    <w:unhideWhenUsed/>
    <w:rsid w:val="00632676"/>
    <w:rPr>
      <w:sz w:val="16"/>
      <w:szCs w:val="16"/>
    </w:rPr>
  </w:style>
  <w:style w:type="paragraph" w:styleId="CommentText">
    <w:name w:val="annotation text"/>
    <w:basedOn w:val="Normal"/>
    <w:link w:val="CommentTextChar"/>
    <w:uiPriority w:val="99"/>
    <w:unhideWhenUsed/>
    <w:rsid w:val="00632676"/>
    <w:pPr>
      <w:spacing w:line="240" w:lineRule="auto"/>
    </w:pPr>
    <w:rPr>
      <w:sz w:val="20"/>
      <w:szCs w:val="20"/>
    </w:rPr>
  </w:style>
  <w:style w:type="character" w:customStyle="1" w:styleId="CommentTextChar">
    <w:name w:val="Comment Text Char"/>
    <w:basedOn w:val="DefaultParagraphFont"/>
    <w:link w:val="CommentText"/>
    <w:uiPriority w:val="99"/>
    <w:rsid w:val="00632676"/>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632676"/>
    <w:rPr>
      <w:b/>
      <w:bCs/>
    </w:rPr>
  </w:style>
  <w:style w:type="character" w:customStyle="1" w:styleId="CommentSubjectChar">
    <w:name w:val="Comment Subject Char"/>
    <w:basedOn w:val="CommentTextChar"/>
    <w:link w:val="CommentSubject"/>
    <w:uiPriority w:val="99"/>
    <w:semiHidden/>
    <w:rsid w:val="00632676"/>
    <w:rPr>
      <w:rFonts w:ascii="Century Schoolbook" w:hAnsi="Century Schoolbook"/>
      <w:b/>
      <w:bCs/>
    </w:rPr>
  </w:style>
  <w:style w:type="paragraph" w:styleId="Revision">
    <w:name w:val="Revision"/>
    <w:hidden/>
    <w:uiPriority w:val="99"/>
    <w:semiHidden/>
    <w:rsid w:val="00CD4907"/>
    <w:rPr>
      <w:rFonts w:ascii="Century Schoolbook" w:hAnsi="Century Schoolbook"/>
      <w:sz w:val="26"/>
      <w:szCs w:val="22"/>
    </w:rPr>
  </w:style>
  <w:style w:type="paragraph" w:styleId="ListParagraph">
    <w:name w:val="List Paragraph"/>
    <w:basedOn w:val="Normal"/>
    <w:uiPriority w:val="34"/>
    <w:qFormat/>
    <w:rsid w:val="00C64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2024-06-25T20:10:25Z</dcterms:created>
  <dcterms:modified xsi:type="dcterms:W3CDTF">2024-06-25T20:10:25Z</dcterms:modified>
</cp:coreProperties>
</file>