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C40EEE" w:rsidP="00C40EEE" w14:paraId="7AA6B12C" w14:textId="5171E5D7">
      <w:pPr>
        <w:spacing w:line="240" w:lineRule="auto"/>
        <w:rPr>
          <w:sz w:val="20"/>
        </w:rPr>
      </w:pPr>
      <w:r>
        <w:rPr>
          <w:sz w:val="20"/>
        </w:rPr>
        <w:t xml:space="preserve">Filed </w:t>
      </w:r>
      <w:r w:rsidR="007C48F4">
        <w:rPr>
          <w:sz w:val="20"/>
        </w:rPr>
        <w:t>6/3/24</w:t>
      </w:r>
      <w:r w:rsidR="000E0457">
        <w:rPr>
          <w:sz w:val="20"/>
        </w:rPr>
        <w:t>; Certified for Publication 6/20/24 (order attached)</w:t>
      </w:r>
    </w:p>
    <w:p w:rsidR="00C40EEE" w:rsidP="00C40EEE" w14:paraId="575A7D56" w14:textId="43D30431">
      <w:pPr>
        <w:spacing w:line="240" w:lineRule="auto"/>
        <w:jc w:val="center"/>
        <w:rPr>
          <w:b/>
        </w:rPr>
      </w:pPr>
    </w:p>
    <w:p w:rsidR="000E0457" w:rsidP="00C40EEE" w14:paraId="2535B7E7" w14:textId="77777777">
      <w:pPr>
        <w:spacing w:line="240" w:lineRule="auto"/>
        <w:jc w:val="center"/>
        <w:rPr>
          <w:b/>
        </w:rPr>
      </w:pPr>
    </w:p>
    <w:p w:rsidR="000E0457" w:rsidP="00C40EEE" w14:paraId="6ADC01E0" w14:textId="77777777">
      <w:pPr>
        <w:spacing w:line="240" w:lineRule="auto"/>
        <w:jc w:val="center"/>
        <w:rPr>
          <w:b/>
        </w:rPr>
      </w:pPr>
    </w:p>
    <w:p w:rsidR="000E0457" w:rsidP="00C40EEE" w14:paraId="111DB25D" w14:textId="77777777">
      <w:pPr>
        <w:spacing w:line="240" w:lineRule="auto"/>
        <w:jc w:val="center"/>
        <w:rPr>
          <w:sz w:val="16"/>
        </w:rPr>
      </w:pPr>
    </w:p>
    <w:p w:rsidR="000E0457" w:rsidP="00C40EEE" w14:paraId="11076828" w14:textId="77777777">
      <w:pPr>
        <w:spacing w:line="240" w:lineRule="auto"/>
        <w:jc w:val="center"/>
        <w:rPr>
          <w:sz w:val="16"/>
        </w:rPr>
      </w:pPr>
    </w:p>
    <w:p w:rsidR="00B54101" w:rsidRPr="00C13BB2" w:rsidP="00C40EEE" w14:paraId="3559453B" w14:textId="3B50422C">
      <w:pPr>
        <w:spacing w:line="240" w:lineRule="auto"/>
        <w:jc w:val="center"/>
      </w:pPr>
      <w:r w:rsidRPr="00C13BB2">
        <w:t>IN THE COURT OF APPEAL OF THE STATE OF CALIFORNIA</w:t>
      </w:r>
    </w:p>
    <w:p w:rsidR="00B54101" w:rsidRPr="00C13BB2" w:rsidP="00B54101" w14:paraId="3CC1B888" w14:textId="77777777">
      <w:pPr>
        <w:spacing w:line="240" w:lineRule="auto"/>
        <w:jc w:val="center"/>
      </w:pPr>
    </w:p>
    <w:p w:rsidR="00B54101" w:rsidRPr="00C13BB2" w:rsidP="00B54101" w14:paraId="6ED119E9" w14:textId="77777777">
      <w:pPr>
        <w:spacing w:line="240" w:lineRule="auto"/>
        <w:jc w:val="center"/>
      </w:pPr>
      <w:r w:rsidRPr="00C13BB2">
        <w:t>FIRST APPELLATE DISTRICT</w:t>
      </w:r>
    </w:p>
    <w:p w:rsidR="00B54101" w:rsidRPr="00C13BB2" w:rsidP="00B54101" w14:paraId="66DBFE0C" w14:textId="77777777">
      <w:pPr>
        <w:spacing w:line="240" w:lineRule="auto"/>
        <w:jc w:val="center"/>
      </w:pPr>
    </w:p>
    <w:p w:rsidR="00B54101" w:rsidRPr="00C13BB2" w:rsidP="00B54101" w14:paraId="20ADFCAF" w14:textId="77777777">
      <w:pPr>
        <w:spacing w:line="240" w:lineRule="auto"/>
        <w:jc w:val="center"/>
      </w:pPr>
      <w:r w:rsidRPr="00C13BB2">
        <w:t>DIVISION THREE</w:t>
      </w:r>
    </w:p>
    <w:p w:rsidR="00B54101" w:rsidRPr="00C13BB2" w:rsidP="00B54101" w14:paraId="4DC395BF" w14:textId="77777777">
      <w:pPr>
        <w:spacing w:line="240" w:lineRule="auto"/>
        <w:jc w:val="center"/>
      </w:pPr>
    </w:p>
    <w:tbl>
      <w:tblPr>
        <w:tblW w:w="9540" w:type="dxa"/>
        <w:tblLayout w:type="fixed"/>
        <w:tblLook w:val="0000"/>
      </w:tblPr>
      <w:tblGrid>
        <w:gridCol w:w="4770"/>
        <w:gridCol w:w="4770"/>
      </w:tblGrid>
      <w:tr w14:paraId="10DF7F7B" w14:textId="77777777" w:rsidTr="008E438E">
        <w:tblPrEx>
          <w:tblW w:w="9540" w:type="dxa"/>
          <w:tblLayout w:type="fixed"/>
          <w:tblLook w:val="0000"/>
        </w:tblPrEx>
        <w:tc>
          <w:tcPr>
            <w:tcW w:w="4770" w:type="dxa"/>
            <w:tcBorders>
              <w:bottom w:val="single" w:sz="4" w:space="0" w:color="auto"/>
              <w:right w:val="single" w:sz="4" w:space="0" w:color="auto"/>
            </w:tcBorders>
            <w:shd w:val="clear" w:color="auto" w:fill="auto"/>
          </w:tcPr>
          <w:p w:rsidR="00DB1029" w:rsidP="00BB1CEE" w14:paraId="057FFB59" w14:textId="77777777">
            <w:pPr>
              <w:spacing w:line="240" w:lineRule="auto"/>
            </w:pPr>
            <w:r>
              <w:t>In re K.M., a Person Coming Under the Juvenile Court Law.</w:t>
            </w:r>
          </w:p>
          <w:p w:rsidR="00DB1029" w:rsidP="00DB1029" w14:paraId="6A65BAB3" w14:textId="38F521DC">
            <w:pPr>
              <w:spacing w:after="120" w:line="240" w:lineRule="auto"/>
            </w:pPr>
            <w:r>
              <w:t>___________________________________</w:t>
            </w:r>
          </w:p>
          <w:p w:rsidR="00B71266" w:rsidRPr="00DE401D" w:rsidP="008E438E" w14:paraId="115E342E" w14:textId="0A1BDFCF">
            <w:pPr>
              <w:spacing w:after="120" w:line="240" w:lineRule="auto"/>
            </w:pPr>
            <w:r>
              <w:t>THE PEOPLE</w:t>
            </w:r>
            <w:r w:rsidRPr="00DE401D">
              <w:t>,</w:t>
            </w:r>
          </w:p>
          <w:p w:rsidR="00B71266" w:rsidRPr="00DE401D" w:rsidP="008E438E" w14:paraId="66049390" w14:textId="1EEC895B">
            <w:pPr>
              <w:spacing w:after="120" w:line="240" w:lineRule="auto"/>
            </w:pPr>
            <w:r w:rsidRPr="00DE401D">
              <w:tab/>
              <w:t xml:space="preserve">Plaintiff and </w:t>
            </w:r>
            <w:r w:rsidR="00DB1029">
              <w:t>Respondent</w:t>
            </w:r>
            <w:r w:rsidRPr="00DE401D">
              <w:t>,</w:t>
            </w:r>
          </w:p>
          <w:p w:rsidR="00B71266" w:rsidRPr="00DE401D" w:rsidP="008E438E" w14:paraId="589DE6C2" w14:textId="77777777">
            <w:pPr>
              <w:spacing w:after="120" w:line="240" w:lineRule="auto"/>
            </w:pPr>
            <w:r w:rsidRPr="00DE401D">
              <w:t>v.</w:t>
            </w:r>
          </w:p>
          <w:p w:rsidR="00B71266" w:rsidRPr="00DE401D" w:rsidP="008E438E" w14:paraId="3CAA8C73" w14:textId="43A663B4">
            <w:pPr>
              <w:spacing w:after="120" w:line="240" w:lineRule="auto"/>
            </w:pPr>
            <w:r>
              <w:t>K.M.</w:t>
            </w:r>
            <w:r w:rsidRPr="00DE401D">
              <w:t>,</w:t>
            </w:r>
          </w:p>
          <w:p w:rsidR="00B71266" w:rsidRPr="00DE401D" w:rsidP="008E438E" w14:paraId="75DAE7CC" w14:textId="12694B58">
            <w:pPr>
              <w:spacing w:after="120" w:line="240" w:lineRule="auto"/>
            </w:pPr>
            <w:r w:rsidRPr="00DE401D">
              <w:tab/>
              <w:t xml:space="preserve">Defendant and </w:t>
            </w:r>
            <w:r w:rsidR="00DB1029">
              <w:t>Appellant</w:t>
            </w:r>
            <w:r w:rsidRPr="00DE401D">
              <w:t>.</w:t>
            </w:r>
          </w:p>
        </w:tc>
        <w:tc>
          <w:tcPr>
            <w:tcW w:w="4770" w:type="dxa"/>
            <w:tcBorders>
              <w:left w:val="single" w:sz="4" w:space="0" w:color="auto"/>
            </w:tcBorders>
            <w:shd w:val="clear" w:color="auto" w:fill="auto"/>
          </w:tcPr>
          <w:p w:rsidR="003C355D" w:rsidP="008E438E" w14:paraId="1CFE20FD" w14:textId="77777777">
            <w:pPr>
              <w:spacing w:after="120" w:line="240" w:lineRule="auto"/>
            </w:pPr>
          </w:p>
          <w:p w:rsidR="004B7F81" w:rsidP="008E438E" w14:paraId="72D634C7" w14:textId="569EC1B1">
            <w:pPr>
              <w:spacing w:after="120" w:line="240" w:lineRule="auto"/>
            </w:pPr>
            <w:r>
              <w:t xml:space="preserve">      </w:t>
            </w:r>
          </w:p>
          <w:p w:rsidR="004B7F81" w:rsidP="008E438E" w14:paraId="44F1E062" w14:textId="77777777">
            <w:pPr>
              <w:spacing w:after="120" w:line="240" w:lineRule="auto"/>
            </w:pPr>
          </w:p>
          <w:p w:rsidR="00B71266" w:rsidRPr="00DE401D" w:rsidP="008E438E" w14:paraId="6FF7B853" w14:textId="1BD879F2">
            <w:pPr>
              <w:spacing w:after="120" w:line="240" w:lineRule="auto"/>
            </w:pPr>
            <w:r w:rsidRPr="00DE401D">
              <w:t xml:space="preserve">      A</w:t>
            </w:r>
            <w:r w:rsidR="00DB1029">
              <w:t>168834</w:t>
            </w:r>
          </w:p>
          <w:p w:rsidR="00536375" w:rsidP="008E438E" w14:paraId="4B66F6BC" w14:textId="60A75B03">
            <w:pPr>
              <w:spacing w:line="240" w:lineRule="auto"/>
            </w:pPr>
            <w:r w:rsidRPr="00DE401D">
              <w:t xml:space="preserve">      (</w:t>
            </w:r>
            <w:r w:rsidR="00DB1029">
              <w:t xml:space="preserve">Mendocino </w:t>
            </w:r>
            <w:r>
              <w:t xml:space="preserve">County </w:t>
            </w:r>
          </w:p>
          <w:p w:rsidR="00B71266" w:rsidRPr="00DE401D" w:rsidP="00536375" w14:paraId="4C025764" w14:textId="388F366F">
            <w:pPr>
              <w:spacing w:line="240" w:lineRule="auto"/>
            </w:pPr>
            <w:r>
              <w:t xml:space="preserve">      </w:t>
            </w:r>
            <w:r w:rsidR="001831BC">
              <w:t xml:space="preserve">Super. Ct. </w:t>
            </w:r>
            <w:r w:rsidRPr="00DE401D">
              <w:t>No.</w:t>
            </w:r>
            <w:r w:rsidR="001367E3">
              <w:t xml:space="preserve"> </w:t>
            </w:r>
            <w:r w:rsidR="00DB1029">
              <w:t>23JD0004301</w:t>
            </w:r>
            <w:r w:rsidRPr="00DE401D">
              <w:t>)</w:t>
            </w:r>
          </w:p>
        </w:tc>
      </w:tr>
    </w:tbl>
    <w:p w:rsidR="008C69C3" w14:paraId="49A37E90" w14:textId="08681748"/>
    <w:p w:rsidR="00F368E6" w14:paraId="1C51C933" w14:textId="15B800FB">
      <w:r>
        <w:tab/>
      </w:r>
      <w:r w:rsidR="004B7F81">
        <w:t xml:space="preserve">In this proceeding, the juvenile court sustained a petition alleging </w:t>
      </w:r>
      <w:r w:rsidR="00B94FC7">
        <w:t xml:space="preserve">that </w:t>
      </w:r>
      <w:r w:rsidR="006C6C69">
        <w:t>K.M.</w:t>
      </w:r>
      <w:r w:rsidR="004B7F81">
        <w:t xml:space="preserve"> </w:t>
      </w:r>
      <w:r w:rsidR="0059051C">
        <w:t>possess</w:t>
      </w:r>
      <w:r w:rsidR="004B7F81">
        <w:t>ed</w:t>
      </w:r>
      <w:r w:rsidR="00AD6283">
        <w:t xml:space="preserve"> </w:t>
      </w:r>
      <w:r w:rsidR="00C95F90">
        <w:t xml:space="preserve">a folding knife </w:t>
      </w:r>
      <w:r w:rsidR="0059051C">
        <w:t>on school grounds</w:t>
      </w:r>
      <w:r w:rsidR="004B7F81">
        <w:t>.</w:t>
      </w:r>
      <w:r w:rsidR="00C95F90">
        <w:t xml:space="preserve"> </w:t>
      </w:r>
      <w:r w:rsidR="004B7F81">
        <w:t xml:space="preserve"> (</w:t>
      </w:r>
      <w:r w:rsidR="006F23F7">
        <w:t>Pen</w:t>
      </w:r>
      <w:r w:rsidR="004B7F81">
        <w:t>.</w:t>
      </w:r>
      <w:r w:rsidR="006F23F7">
        <w:t xml:space="preserve"> Code</w:t>
      </w:r>
      <w:r w:rsidR="004B7F81">
        <w:t>, §</w:t>
      </w:r>
      <w:r w:rsidR="009D24CB">
        <w:t> </w:t>
      </w:r>
      <w:r w:rsidR="006F23F7">
        <w:t>626.10</w:t>
      </w:r>
      <w:r w:rsidR="001604B8">
        <w:t>, subd</w:t>
      </w:r>
      <w:r w:rsidR="00521A19">
        <w:t>. </w:t>
      </w:r>
      <w:r w:rsidR="001604B8">
        <w:t>(a)(1)</w:t>
      </w:r>
      <w:r w:rsidR="00521A19">
        <w:t>; u</w:t>
      </w:r>
      <w:r w:rsidR="004B7F81">
        <w:t>ndesignated statutory references are to this code.)</w:t>
      </w:r>
      <w:r w:rsidR="009F325E">
        <w:t xml:space="preserve">  </w:t>
      </w:r>
      <w:r w:rsidR="00CD0F03">
        <w:t>K.M.</w:t>
      </w:r>
      <w:r w:rsidR="0059051C">
        <w:t xml:space="preserve"> was</w:t>
      </w:r>
      <w:r w:rsidR="00AA42B0">
        <w:t xml:space="preserve"> </w:t>
      </w:r>
      <w:r w:rsidR="004C251C">
        <w:t xml:space="preserve">barely </w:t>
      </w:r>
      <w:r w:rsidR="00F36963">
        <w:t>13</w:t>
      </w:r>
      <w:r w:rsidR="00AA42B0">
        <w:t xml:space="preserve"> years old at the time of the incident</w:t>
      </w:r>
      <w:r w:rsidR="00324700">
        <w:t>.  On appeal,</w:t>
      </w:r>
      <w:r w:rsidR="00AA42B0">
        <w:t xml:space="preserve"> </w:t>
      </w:r>
      <w:r w:rsidR="00324700">
        <w:t xml:space="preserve">he </w:t>
      </w:r>
      <w:r w:rsidR="006E4E82">
        <w:t xml:space="preserve">argues the </w:t>
      </w:r>
      <w:r w:rsidR="00324700">
        <w:t xml:space="preserve">prosecution </w:t>
      </w:r>
      <w:r w:rsidR="00F36963">
        <w:t>did not prove</w:t>
      </w:r>
      <w:r w:rsidR="003E66F8">
        <w:t xml:space="preserve"> </w:t>
      </w:r>
      <w:r w:rsidR="00324700">
        <w:t xml:space="preserve">— </w:t>
      </w:r>
      <w:r w:rsidR="00CD12C3">
        <w:t>and the evidence does not support</w:t>
      </w:r>
      <w:r w:rsidR="00152EC9">
        <w:t xml:space="preserve"> </w:t>
      </w:r>
      <w:r w:rsidR="00324700">
        <w:t xml:space="preserve">an </w:t>
      </w:r>
      <w:r w:rsidR="00152EC9">
        <w:t xml:space="preserve">implied finding </w:t>
      </w:r>
      <w:r w:rsidR="00324700">
        <w:t xml:space="preserve">— </w:t>
      </w:r>
      <w:r w:rsidR="00152EC9">
        <w:t xml:space="preserve">that he </w:t>
      </w:r>
      <w:r w:rsidR="00324700">
        <w:t xml:space="preserve">appreciated </w:t>
      </w:r>
      <w:r w:rsidR="00152EC9">
        <w:t>the wrongfulness of his conduct</w:t>
      </w:r>
      <w:r w:rsidR="007C362C">
        <w:t xml:space="preserve"> </w:t>
      </w:r>
      <w:r w:rsidR="00152EC9">
        <w:t>at the time</w:t>
      </w:r>
      <w:r w:rsidR="007C362C">
        <w:t xml:space="preserve"> of </w:t>
      </w:r>
      <w:r w:rsidR="00B94FC7">
        <w:t>the incident</w:t>
      </w:r>
      <w:r w:rsidR="00CC75BD">
        <w:t xml:space="preserve">.  </w:t>
      </w:r>
      <w:r w:rsidR="00767F83">
        <w:t>We</w:t>
      </w:r>
      <w:r w:rsidR="007C362C">
        <w:t xml:space="preserve"> agree and</w:t>
      </w:r>
      <w:r w:rsidR="00767F83">
        <w:t xml:space="preserve"> reverse</w:t>
      </w:r>
      <w:r w:rsidR="004C251C">
        <w:t xml:space="preserve"> the court’s order</w:t>
      </w:r>
      <w:r w:rsidR="00767F83">
        <w:t>.</w:t>
      </w:r>
    </w:p>
    <w:p w:rsidR="00810FDA" w:rsidP="00A4538C" w14:paraId="1C048BF5" w14:textId="377EE7D1">
      <w:pPr>
        <w:keepNext/>
        <w:jc w:val="center"/>
        <w:rPr>
          <w:b/>
          <w:bCs/>
        </w:rPr>
      </w:pPr>
      <w:r>
        <w:rPr>
          <w:b/>
          <w:bCs/>
        </w:rPr>
        <w:t>BACKGROUND</w:t>
      </w:r>
    </w:p>
    <w:p w:rsidR="00992D2F" w:rsidP="00E577A2" w14:paraId="6398ED5C" w14:textId="502D749E">
      <w:pPr>
        <w:ind w:firstLine="720"/>
      </w:pPr>
      <w:r>
        <w:t>In December 2022, a student at Pomilita Middle School</w:t>
      </w:r>
      <w:r w:rsidR="00A01893">
        <w:t xml:space="preserve"> reported K.M. </w:t>
      </w:r>
      <w:r w:rsidR="00B94FC7">
        <w:t>was</w:t>
      </w:r>
      <w:r w:rsidR="00A01893">
        <w:t xml:space="preserve"> </w:t>
      </w:r>
      <w:r w:rsidR="004E4A7D">
        <w:t>“</w:t>
      </w:r>
      <w:r w:rsidR="00A01893">
        <w:t>vaping in the bathroom.”</w:t>
      </w:r>
      <w:r w:rsidR="004E4A7D">
        <w:t xml:space="preserve"> </w:t>
      </w:r>
      <w:r w:rsidR="005533F8">
        <w:t xml:space="preserve"> </w:t>
      </w:r>
      <w:r w:rsidR="00B94FC7">
        <w:t xml:space="preserve">A campus supervisor took </w:t>
      </w:r>
      <w:r w:rsidR="00DC2D92">
        <w:t xml:space="preserve">K.M. to </w:t>
      </w:r>
      <w:r w:rsidR="00BF026B">
        <w:t>the principal’s office</w:t>
      </w:r>
      <w:r w:rsidR="00B94FC7">
        <w:t>,</w:t>
      </w:r>
      <w:r w:rsidR="00BF026B">
        <w:t xml:space="preserve"> </w:t>
      </w:r>
      <w:r w:rsidR="00646399">
        <w:t xml:space="preserve">and </w:t>
      </w:r>
      <w:r w:rsidR="00D55453">
        <w:t xml:space="preserve">K.M. consented to a search of </w:t>
      </w:r>
      <w:r w:rsidR="00646399">
        <w:t>his backpack</w:t>
      </w:r>
      <w:r w:rsidR="00856949">
        <w:t xml:space="preserve">. </w:t>
      </w:r>
      <w:r w:rsidR="00F841AC">
        <w:t xml:space="preserve"> </w:t>
      </w:r>
      <w:r w:rsidR="0017359A">
        <w:t>The principal found two vape pens</w:t>
      </w:r>
      <w:r w:rsidR="00B94FC7">
        <w:t xml:space="preserve"> —</w:t>
      </w:r>
      <w:r w:rsidR="002D02E9">
        <w:t xml:space="preserve"> one </w:t>
      </w:r>
      <w:r w:rsidR="00B94FC7">
        <w:t xml:space="preserve">for </w:t>
      </w:r>
      <w:r w:rsidR="002D02E9">
        <w:t xml:space="preserve">marijuana and </w:t>
      </w:r>
      <w:r w:rsidR="00B94FC7">
        <w:t xml:space="preserve">the other for </w:t>
      </w:r>
      <w:r w:rsidR="002D02E9">
        <w:t>nicotine</w:t>
      </w:r>
      <w:r w:rsidR="00FE31D7">
        <w:t> </w:t>
      </w:r>
      <w:r w:rsidR="00B94FC7">
        <w:t>—</w:t>
      </w:r>
      <w:r w:rsidR="002D02E9">
        <w:t xml:space="preserve"> and a</w:t>
      </w:r>
      <w:r w:rsidR="0017359A">
        <w:t xml:space="preserve"> </w:t>
      </w:r>
      <w:r w:rsidR="00E24F3F">
        <w:t>folding knife</w:t>
      </w:r>
      <w:r w:rsidR="00DC3F8A">
        <w:t xml:space="preserve"> with two rusted blades</w:t>
      </w:r>
      <w:r w:rsidR="006B537F">
        <w:t>, each</w:t>
      </w:r>
      <w:r w:rsidR="00511171">
        <w:t xml:space="preserve"> approximately three inches long</w:t>
      </w:r>
      <w:r w:rsidR="00DC3F8A">
        <w:t xml:space="preserve">. </w:t>
      </w:r>
      <w:r w:rsidR="00F03EAB">
        <w:t xml:space="preserve"> </w:t>
      </w:r>
      <w:r w:rsidR="003C25F4">
        <w:t>A few hours later</w:t>
      </w:r>
      <w:r w:rsidR="00EC3641">
        <w:t>, the principal received a report that K.M. threatened another student with the knife</w:t>
      </w:r>
      <w:r w:rsidR="007E5F0E">
        <w:t xml:space="preserve"> earlier in the day</w:t>
      </w:r>
      <w:r w:rsidR="00EC3641">
        <w:t>.</w:t>
      </w:r>
      <w:r w:rsidR="007E5F0E">
        <w:t xml:space="preserve">  </w:t>
      </w:r>
      <w:r w:rsidR="00195F44">
        <w:t xml:space="preserve">A </w:t>
      </w:r>
      <w:r w:rsidR="00B94FC7">
        <w:t xml:space="preserve">responding </w:t>
      </w:r>
      <w:r w:rsidR="00195F44">
        <w:t xml:space="preserve">police officer </w:t>
      </w:r>
      <w:r w:rsidR="002B2D3C">
        <w:t>interviewed the students involved, confiscated the knife</w:t>
      </w:r>
      <w:r w:rsidR="007E1B0F">
        <w:t>, and issued K.M. a citation for brandishing</w:t>
      </w:r>
      <w:r w:rsidR="007A285B">
        <w:t xml:space="preserve"> a knife</w:t>
      </w:r>
      <w:r w:rsidR="007E1B0F">
        <w:t xml:space="preserve"> a</w:t>
      </w:r>
      <w:r w:rsidR="00160C71">
        <w:t xml:space="preserve">nd </w:t>
      </w:r>
      <w:r w:rsidR="00B94FC7">
        <w:t xml:space="preserve">for </w:t>
      </w:r>
      <w:r w:rsidR="00160C71">
        <w:t>possession</w:t>
      </w:r>
      <w:r w:rsidR="007A285B">
        <w:t xml:space="preserve"> of</w:t>
      </w:r>
      <w:r w:rsidR="00160C71">
        <w:t xml:space="preserve"> a knife</w:t>
      </w:r>
      <w:r w:rsidR="007E1B0F">
        <w:t xml:space="preserve"> on school grounds.</w:t>
      </w:r>
    </w:p>
    <w:p w:rsidR="002C13B9" w:rsidP="00D55453" w14:paraId="148A155B" w14:textId="14E5D770">
      <w:pPr>
        <w:ind w:firstLine="720"/>
      </w:pPr>
      <w:r>
        <w:t>In March</w:t>
      </w:r>
      <w:r w:rsidRPr="00E577A2" w:rsidR="004B76B5">
        <w:t xml:space="preserve"> 2023, the </w:t>
      </w:r>
      <w:r w:rsidR="00BB552D">
        <w:t xml:space="preserve">prosecution </w:t>
      </w:r>
      <w:r w:rsidRPr="00E577A2" w:rsidR="004B76B5">
        <w:t>filed a wardship petition</w:t>
      </w:r>
      <w:r w:rsidRPr="00E577A2" w:rsidR="00C65EF0">
        <w:t xml:space="preserve"> (Welf</w:t>
      </w:r>
      <w:r w:rsidR="00CB28A5">
        <w:t>.</w:t>
      </w:r>
      <w:r w:rsidRPr="00E577A2" w:rsidR="00C65EF0">
        <w:t xml:space="preserve"> &amp; Inst.</w:t>
      </w:r>
      <w:r w:rsidRPr="00E577A2" w:rsidR="00E577A2">
        <w:t xml:space="preserve"> Code, §</w:t>
      </w:r>
      <w:r w:rsidR="001E5D4F">
        <w:t> </w:t>
      </w:r>
      <w:r w:rsidRPr="00E577A2" w:rsidR="00E577A2">
        <w:t>602, subd.</w:t>
      </w:r>
      <w:r w:rsidR="001E5D4F">
        <w:t> </w:t>
      </w:r>
      <w:r w:rsidRPr="00E577A2" w:rsidR="00E577A2">
        <w:t>(a))</w:t>
      </w:r>
      <w:r w:rsidR="00C62D2C">
        <w:t xml:space="preserve"> alleging K.M. </w:t>
      </w:r>
      <w:r w:rsidR="001E5D4F">
        <w:t xml:space="preserve">brought a </w:t>
      </w:r>
      <w:r w:rsidR="006B5B3B">
        <w:t>weapon</w:t>
      </w:r>
      <w:r w:rsidR="00B94FC7">
        <w:t xml:space="preserve"> </w:t>
      </w:r>
      <w:r w:rsidR="00EB5CC7">
        <w:t>—</w:t>
      </w:r>
      <w:r w:rsidR="00B94FC7">
        <w:t xml:space="preserve"> </w:t>
      </w:r>
      <w:r w:rsidR="00EB5CC7">
        <w:t>a folding</w:t>
      </w:r>
      <w:r w:rsidR="00F175CC">
        <w:t xml:space="preserve"> </w:t>
      </w:r>
      <w:r w:rsidR="001E5D4F">
        <w:t>knife</w:t>
      </w:r>
      <w:r w:rsidR="00B94FC7">
        <w:t xml:space="preserve"> </w:t>
      </w:r>
      <w:r w:rsidR="00EB5CC7">
        <w:t>—</w:t>
      </w:r>
      <w:r w:rsidR="00B94FC7">
        <w:t xml:space="preserve"> </w:t>
      </w:r>
      <w:r w:rsidR="00252745">
        <w:t>on</w:t>
      </w:r>
      <w:r w:rsidR="006B5B3B">
        <w:t>to</w:t>
      </w:r>
      <w:r w:rsidR="001E5D4F">
        <w:t xml:space="preserve"> school</w:t>
      </w:r>
      <w:r w:rsidR="00EB5CC7">
        <w:t xml:space="preserve"> property</w:t>
      </w:r>
      <w:r w:rsidR="001E5D4F">
        <w:t xml:space="preserve"> (§ </w:t>
      </w:r>
      <w:r w:rsidR="006B5B3B">
        <w:t>626.10, subd. (a)(1)</w:t>
      </w:r>
      <w:r w:rsidR="00252745">
        <w:t>; count one</w:t>
      </w:r>
      <w:r w:rsidR="006B5B3B">
        <w:t>) and</w:t>
      </w:r>
      <w:r w:rsidR="00252745">
        <w:t xml:space="preserve"> </w:t>
      </w:r>
      <w:r w:rsidR="00756458">
        <w:t>brandished the knife</w:t>
      </w:r>
      <w:r w:rsidR="00720BE0">
        <w:t xml:space="preserve"> (§ 417, subd. (a)(1); count two). </w:t>
      </w:r>
      <w:r w:rsidR="00D55453">
        <w:t xml:space="preserve"> </w:t>
      </w:r>
      <w:r>
        <w:t>In</w:t>
      </w:r>
      <w:r w:rsidR="00C812D3">
        <w:t xml:space="preserve"> August 2023, t</w:t>
      </w:r>
      <w:r w:rsidR="00872E81">
        <w:t>he juvenile court held a contested</w:t>
      </w:r>
      <w:r w:rsidR="00C812D3">
        <w:t xml:space="preserve"> jurisdictional hearing</w:t>
      </w:r>
      <w:r w:rsidR="00521ABD">
        <w:t xml:space="preserve"> at which the principal and the police officer who issued the citation testified</w:t>
      </w:r>
      <w:r w:rsidR="009153F2">
        <w:t xml:space="preserve">.  </w:t>
      </w:r>
      <w:r w:rsidR="00521ABD">
        <w:t>Ultimately, t</w:t>
      </w:r>
      <w:r w:rsidR="005D3900">
        <w:t>he court</w:t>
      </w:r>
      <w:r w:rsidR="001A3D67">
        <w:t xml:space="preserve"> </w:t>
      </w:r>
      <w:r w:rsidR="00E41BB8">
        <w:t>found K.M. committed count one</w:t>
      </w:r>
      <w:r w:rsidR="00521ABD">
        <w:t xml:space="preserve"> and</w:t>
      </w:r>
      <w:r w:rsidR="009F01E3">
        <w:t xml:space="preserve"> designat</w:t>
      </w:r>
      <w:r w:rsidR="00521ABD">
        <w:t>ed</w:t>
      </w:r>
      <w:r w:rsidR="001A3D67">
        <w:t xml:space="preserve"> the offense a felony</w:t>
      </w:r>
      <w:r w:rsidR="00BD66F5">
        <w:t xml:space="preserve">, and </w:t>
      </w:r>
      <w:r w:rsidR="00F03453">
        <w:t xml:space="preserve">it </w:t>
      </w:r>
      <w:r w:rsidR="00BD66F5">
        <w:t>dismissed count two for insufficient evidence</w:t>
      </w:r>
      <w:r w:rsidR="001A3D67">
        <w:t xml:space="preserve">. </w:t>
      </w:r>
      <w:r w:rsidR="00521ABD">
        <w:t xml:space="preserve"> On the form containing the court’s findings and orders, t</w:t>
      </w:r>
      <w:r w:rsidR="0023219C">
        <w:t xml:space="preserve">he </w:t>
      </w:r>
      <w:r w:rsidR="00521ABD">
        <w:t xml:space="preserve">box indicating </w:t>
      </w:r>
      <w:r w:rsidR="00BB552D">
        <w:t>the</w:t>
      </w:r>
      <w:r w:rsidR="00521ABD">
        <w:t xml:space="preserve"> </w:t>
      </w:r>
      <w:r w:rsidR="00D55453">
        <w:t xml:space="preserve">court </w:t>
      </w:r>
      <w:r w:rsidR="00521ABD">
        <w:t>had found “[c]lear proof the minor knew his/her action was wrong”</w:t>
      </w:r>
      <w:r w:rsidR="00BB552D">
        <w:t xml:space="preserve"> was not checked.</w:t>
      </w:r>
    </w:p>
    <w:p w:rsidR="00872E81" w:rsidRPr="00E577A2" w:rsidP="00521ABD" w14:paraId="3CE488E4" w14:textId="45C8EEBC">
      <w:pPr>
        <w:ind w:firstLine="720"/>
      </w:pPr>
      <w:r>
        <w:t>The next month,</w:t>
      </w:r>
      <w:r w:rsidR="00981611">
        <w:t xml:space="preserve"> the </w:t>
      </w:r>
      <w:r w:rsidR="002C13B9">
        <w:t xml:space="preserve">juvenile </w:t>
      </w:r>
      <w:r w:rsidR="00981611">
        <w:t xml:space="preserve">court </w:t>
      </w:r>
      <w:r w:rsidR="001A26E7">
        <w:t>held a dispositional hearing</w:t>
      </w:r>
      <w:r w:rsidR="002C13B9">
        <w:t xml:space="preserve">. </w:t>
      </w:r>
      <w:r w:rsidR="00917944">
        <w:t xml:space="preserve"> </w:t>
      </w:r>
      <w:r w:rsidR="00C7506A">
        <w:t xml:space="preserve">K.M.’s counsel </w:t>
      </w:r>
      <w:r w:rsidR="00F83ECF">
        <w:t>sought to have the m</w:t>
      </w:r>
      <w:r w:rsidR="00BB772F">
        <w:t xml:space="preserve">atter reduced to </w:t>
      </w:r>
      <w:r w:rsidR="00BB552D">
        <w:t xml:space="preserve">a </w:t>
      </w:r>
      <w:r w:rsidR="00BB772F">
        <w:t xml:space="preserve">misdemeanor </w:t>
      </w:r>
      <w:r w:rsidR="00985BF3">
        <w:t>since</w:t>
      </w:r>
      <w:r w:rsidR="00BB772F">
        <w:t xml:space="preserve"> K.M.</w:t>
      </w:r>
      <w:r w:rsidR="00172B3E">
        <w:t xml:space="preserve"> was doing </w:t>
      </w:r>
      <w:r w:rsidR="0061788B">
        <w:t>well</w:t>
      </w:r>
      <w:r w:rsidR="00172B3E">
        <w:t xml:space="preserve"> at his new school, </w:t>
      </w:r>
      <w:r w:rsidR="00143870">
        <w:t xml:space="preserve">helped his mother with his four </w:t>
      </w:r>
      <w:r w:rsidR="00D41279">
        <w:t>siblings</w:t>
      </w:r>
      <w:r w:rsidR="001415AD">
        <w:t xml:space="preserve">, </w:t>
      </w:r>
      <w:r w:rsidR="00EA7D95">
        <w:t xml:space="preserve">and </w:t>
      </w:r>
      <w:r w:rsidR="0061788B">
        <w:t xml:space="preserve">had never been in trouble before. </w:t>
      </w:r>
      <w:r w:rsidR="004D3782">
        <w:t xml:space="preserve"> </w:t>
      </w:r>
      <w:r w:rsidR="00521ABD">
        <w:t>Counsel</w:t>
      </w:r>
      <w:r w:rsidR="006A371A">
        <w:t xml:space="preserve"> also </w:t>
      </w:r>
      <w:r w:rsidR="00521ABD">
        <w:t xml:space="preserve">argued </w:t>
      </w:r>
      <w:r w:rsidR="00405640">
        <w:t>K.M. did not know he was breaking any rules when he had the knife at school b</w:t>
      </w:r>
      <w:r w:rsidR="008A691E">
        <w:t>ecause</w:t>
      </w:r>
      <w:r w:rsidR="00405640">
        <w:t xml:space="preserve"> his father </w:t>
      </w:r>
      <w:r w:rsidR="008A691E">
        <w:t>told him the knife was legal</w:t>
      </w:r>
      <w:r w:rsidR="00405640">
        <w:t xml:space="preserve">.  </w:t>
      </w:r>
      <w:r w:rsidR="00B36F24">
        <w:t xml:space="preserve">In response, the </w:t>
      </w:r>
      <w:r w:rsidR="00BB552D">
        <w:t>prosecution</w:t>
      </w:r>
      <w:r w:rsidR="00B36F24">
        <w:t xml:space="preserve"> </w:t>
      </w:r>
      <w:r w:rsidR="00FA79FC">
        <w:t>stated</w:t>
      </w:r>
      <w:r w:rsidR="00B36F24">
        <w:t xml:space="preserve"> the elements of the charge</w:t>
      </w:r>
      <w:r w:rsidR="0067722D">
        <w:t xml:space="preserve"> were met </w:t>
      </w:r>
      <w:r w:rsidRPr="00A4538C" w:rsidR="00566D1F">
        <w:rPr>
          <w:i/>
          <w:iCs/>
        </w:rPr>
        <w:t>regardless</w:t>
      </w:r>
      <w:r w:rsidR="00566D1F">
        <w:t xml:space="preserve"> of </w:t>
      </w:r>
      <w:r w:rsidR="0067722D">
        <w:t>“whether he knew that having a knife on school grounds was or was not illegal</w:t>
      </w:r>
      <w:r w:rsidR="00566D1F">
        <w:t xml:space="preserve">.” </w:t>
      </w:r>
      <w:r w:rsidR="001F554C">
        <w:t xml:space="preserve"> </w:t>
      </w:r>
      <w:r w:rsidR="00702C32">
        <w:t>In its ruling, t</w:t>
      </w:r>
      <w:r w:rsidR="001F554C">
        <w:t xml:space="preserve">he court </w:t>
      </w:r>
      <w:r w:rsidR="00521ABD">
        <w:t xml:space="preserve">concluded </w:t>
      </w:r>
      <w:r w:rsidR="001F554C">
        <w:t xml:space="preserve">K.M. would benefit from juvenile probation based on the </w:t>
      </w:r>
      <w:r w:rsidR="00946568">
        <w:t>probation</w:t>
      </w:r>
      <w:r w:rsidR="00B146AD">
        <w:t xml:space="preserve"> </w:t>
      </w:r>
      <w:r w:rsidR="001F554C">
        <w:t>report</w:t>
      </w:r>
      <w:r w:rsidR="00B5794A">
        <w:t xml:space="preserve"> </w:t>
      </w:r>
      <w:r w:rsidR="00B146AD">
        <w:t xml:space="preserve">and </w:t>
      </w:r>
      <w:r w:rsidR="00946568">
        <w:t xml:space="preserve">acknowledged </w:t>
      </w:r>
      <w:r w:rsidR="0050627C">
        <w:t>he</w:t>
      </w:r>
      <w:r w:rsidR="00946568">
        <w:t xml:space="preserve"> was</w:t>
      </w:r>
      <w:r w:rsidR="002A3D09">
        <w:t xml:space="preserve"> “really intelligent.” </w:t>
      </w:r>
      <w:r w:rsidR="001A26E7">
        <w:t xml:space="preserve"> </w:t>
      </w:r>
      <w:r w:rsidR="001B5BA2">
        <w:t>The court also stated it would not be appropriate for it to comment on K.M.’s belief that the knife was legal</w:t>
      </w:r>
      <w:r w:rsidR="001007E2">
        <w:t xml:space="preserve">. </w:t>
      </w:r>
      <w:r w:rsidR="00B32AA4">
        <w:t xml:space="preserve"> </w:t>
      </w:r>
      <w:r w:rsidR="00521ABD">
        <w:t xml:space="preserve">It </w:t>
      </w:r>
      <w:r w:rsidR="00981611">
        <w:t xml:space="preserve">declared </w:t>
      </w:r>
      <w:r w:rsidR="001A26E7">
        <w:t>K.M.</w:t>
      </w:r>
      <w:r w:rsidR="0027476A">
        <w:t xml:space="preserve"> a ward of the court under </w:t>
      </w:r>
      <w:r w:rsidR="009C3634">
        <w:t xml:space="preserve">Welfare and Institutions Code </w:t>
      </w:r>
      <w:r w:rsidR="0027476A">
        <w:t xml:space="preserve">section 602 </w:t>
      </w:r>
      <w:r w:rsidR="00981611">
        <w:t xml:space="preserve">and placed </w:t>
      </w:r>
      <w:r w:rsidR="0027476A">
        <w:t>him</w:t>
      </w:r>
      <w:r w:rsidR="00981611">
        <w:t xml:space="preserve"> on probation </w:t>
      </w:r>
      <w:r w:rsidR="00521ABD">
        <w:t xml:space="preserve">for six months </w:t>
      </w:r>
      <w:r w:rsidR="00981611">
        <w:t>with various terms and conditions.</w:t>
      </w:r>
    </w:p>
    <w:p w:rsidR="00414333" w:rsidP="00A4538C" w14:paraId="265EEE11" w14:textId="22DABBFF">
      <w:pPr>
        <w:keepNext/>
        <w:jc w:val="center"/>
        <w:rPr>
          <w:b/>
          <w:bCs/>
        </w:rPr>
      </w:pPr>
      <w:r>
        <w:rPr>
          <w:b/>
          <w:bCs/>
        </w:rPr>
        <w:t>DISCUSSION</w:t>
      </w:r>
    </w:p>
    <w:p w:rsidR="00872AA9" w:rsidP="00872AA9" w14:paraId="731D0C7C" w14:textId="795A2562">
      <w:pPr>
        <w:ind w:firstLine="720"/>
      </w:pPr>
      <w:r>
        <w:t>S</w:t>
      </w:r>
      <w:r w:rsidRPr="00872AA9">
        <w:t>ection 26 creates a presumption that a child under the age of 14 is incapable of committing a crime</w:t>
      </w:r>
      <w:r w:rsidR="006A3E15">
        <w:t xml:space="preserve"> unless the</w:t>
      </w:r>
      <w:r w:rsidRPr="00872AA9">
        <w:t xml:space="preserve"> </w:t>
      </w:r>
      <w:r w:rsidR="00BB552D">
        <w:t xml:space="preserve">prosecution </w:t>
      </w:r>
      <w:r w:rsidR="006A3E15">
        <w:t>can</w:t>
      </w:r>
      <w:r w:rsidRPr="00872AA9">
        <w:t xml:space="preserve"> show by </w:t>
      </w:r>
      <w:r w:rsidR="00AD1CB7">
        <w:t>“</w:t>
      </w:r>
      <w:r w:rsidRPr="00872AA9">
        <w:t>clear and convincing evidence that the child understood the wrongfulness of the charged act at the time of its commission.</w:t>
      </w:r>
      <w:r w:rsidR="006152F6">
        <w:t>”  (</w:t>
      </w:r>
      <w:r w:rsidRPr="00D7669D" w:rsidR="006152F6">
        <w:rPr>
          <w:i/>
          <w:iCs/>
        </w:rPr>
        <w:t>In re J.E.</w:t>
      </w:r>
      <w:r w:rsidR="00995C0C">
        <w:t xml:space="preserve"> (2020)</w:t>
      </w:r>
      <w:r w:rsidR="006152F6">
        <w:t xml:space="preserve"> </w:t>
      </w:r>
      <w:r w:rsidR="00D01003">
        <w:t xml:space="preserve">54 </w:t>
      </w:r>
      <w:r w:rsidR="0046780D">
        <w:t>Cal.App.5th</w:t>
      </w:r>
      <w:r w:rsidR="00D01003">
        <w:t xml:space="preserve"> 309, </w:t>
      </w:r>
      <w:r w:rsidR="00D7669D">
        <w:t>313</w:t>
      </w:r>
      <w:r w:rsidR="00E136CA">
        <w:t xml:space="preserve"> (</w:t>
      </w:r>
      <w:r w:rsidRPr="00E136CA" w:rsidR="00E136CA">
        <w:rPr>
          <w:i/>
          <w:iCs/>
        </w:rPr>
        <w:t>J.E</w:t>
      </w:r>
      <w:r w:rsidRPr="00E136CA" w:rsidR="00D7669D">
        <w:rPr>
          <w:i/>
          <w:iCs/>
        </w:rPr>
        <w:t>.</w:t>
      </w:r>
      <w:r w:rsidR="00E136CA">
        <w:t>).</w:t>
      </w:r>
      <w:r w:rsidR="00D7669D">
        <w:t>)</w:t>
      </w:r>
      <w:r w:rsidR="008829B2">
        <w:t xml:space="preserve"> </w:t>
      </w:r>
      <w:r w:rsidR="0097063B">
        <w:t xml:space="preserve"> “C</w:t>
      </w:r>
      <w:r w:rsidRPr="0097063B" w:rsidR="0097063B">
        <w:t xml:space="preserve">ourts consider the age, experience, knowledge and conduct of a minor to determine whether </w:t>
      </w:r>
      <w:r w:rsidR="00C06EDA">
        <w:t>[he]</w:t>
      </w:r>
      <w:r w:rsidRPr="0097063B" w:rsidR="0097063B">
        <w:t xml:space="preserve"> understood the wrongfulness of </w:t>
      </w:r>
      <w:r w:rsidR="00C06EDA">
        <w:t>[his]</w:t>
      </w:r>
      <w:r w:rsidRPr="0097063B" w:rsidR="0097063B">
        <w:t xml:space="preserve"> conduct.</w:t>
      </w:r>
      <w:r w:rsidR="00746F62">
        <w:t xml:space="preserve">  [Citation.]  </w:t>
      </w:r>
      <w:r w:rsidRPr="00746F62" w:rsidR="00746F62">
        <w:t xml:space="preserve">Knowledge of wrongfulness cannot be inferred from the offense itself, but the court may consider </w:t>
      </w:r>
      <w:r w:rsidR="00E93254">
        <w:t>‘</w:t>
      </w:r>
      <w:r w:rsidRPr="00746F62" w:rsidR="00746F62">
        <w:t>the attendant circumstances of the crime, such as its preparation, the particular method of its commission, and its concealment.</w:t>
      </w:r>
      <w:r w:rsidR="00E93254">
        <w:t>’</w:t>
      </w:r>
      <w:r w:rsidR="007A365B">
        <w:t> ”</w:t>
      </w:r>
      <w:r w:rsidR="00946508">
        <w:t xml:space="preserve"> </w:t>
      </w:r>
      <w:r w:rsidR="0081231D">
        <w:t xml:space="preserve"> </w:t>
      </w:r>
      <w:r w:rsidR="00946508">
        <w:t>(</w:t>
      </w:r>
      <w:r w:rsidR="00E136CA">
        <w:rPr>
          <w:i/>
          <w:iCs/>
        </w:rPr>
        <w:t>J.E.</w:t>
      </w:r>
      <w:r w:rsidRPr="00E136CA" w:rsidR="00E136CA">
        <w:t xml:space="preserve">, </w:t>
      </w:r>
      <w:r w:rsidR="006D7141">
        <w:t xml:space="preserve">at </w:t>
      </w:r>
      <w:r w:rsidR="00CA710D">
        <w:t>p. </w:t>
      </w:r>
      <w:r w:rsidR="006D7141">
        <w:t xml:space="preserve">314.)  </w:t>
      </w:r>
      <w:r w:rsidR="002F3817">
        <w:t>A finding of capacity under section 26 “is a prerequisite to an adjudication of wardship.”  (</w:t>
      </w:r>
      <w:r w:rsidRPr="00CB7513" w:rsidR="002F3817">
        <w:rPr>
          <w:i/>
          <w:iCs/>
        </w:rPr>
        <w:t>In re Manuel L.</w:t>
      </w:r>
      <w:r w:rsidR="002F3817">
        <w:t xml:space="preserve"> (1994) 7 Cal.4th 229, 236.)</w:t>
      </w:r>
    </w:p>
    <w:p w:rsidR="00872AA9" w:rsidP="007D2353" w14:paraId="3C74DFCB" w14:textId="74B3659D">
      <w:pPr>
        <w:ind w:firstLine="720"/>
      </w:pPr>
      <w:r>
        <w:t>A</w:t>
      </w:r>
      <w:r w:rsidR="00DC7832">
        <w:t>n</w:t>
      </w:r>
      <w:r>
        <w:t xml:space="preserve"> </w:t>
      </w:r>
      <w:r w:rsidR="00584AE4">
        <w:t xml:space="preserve">implied </w:t>
      </w:r>
      <w:r w:rsidR="00AD3603">
        <w:t xml:space="preserve">finding of capacity </w:t>
      </w:r>
      <w:r w:rsidR="00971E7A">
        <w:t xml:space="preserve">under section 26 </w:t>
      </w:r>
      <w:r w:rsidR="00D81AAF">
        <w:t xml:space="preserve">is reviewed </w:t>
      </w:r>
      <w:r w:rsidR="002731FC">
        <w:t>for substantial evidence</w:t>
      </w:r>
      <w:r w:rsidR="00C07FDD">
        <w:t xml:space="preserve">. </w:t>
      </w:r>
      <w:r w:rsidR="00BA5A01">
        <w:t xml:space="preserve"> </w:t>
      </w:r>
      <w:r w:rsidR="00745934">
        <w:t>(</w:t>
      </w:r>
      <w:r w:rsidRPr="00CB2300" w:rsidR="00745934">
        <w:rPr>
          <w:i/>
          <w:iCs/>
        </w:rPr>
        <w:t>People v. Lewis</w:t>
      </w:r>
      <w:r w:rsidR="00745934">
        <w:t xml:space="preserve"> (2001) 26 </w:t>
      </w:r>
      <w:r w:rsidRPr="006F4FDB" w:rsidR="001A5E84">
        <w:t xml:space="preserve">Cal.4th </w:t>
      </w:r>
      <w:r w:rsidR="001A5E84">
        <w:t>334, 378–379</w:t>
      </w:r>
      <w:r w:rsidR="002731FC">
        <w:t>;</w:t>
      </w:r>
      <w:r w:rsidR="001A5E84">
        <w:t xml:space="preserve"> </w:t>
      </w:r>
      <w:r w:rsidRPr="00CB2300" w:rsidR="001A5E84">
        <w:rPr>
          <w:i/>
          <w:iCs/>
        </w:rPr>
        <w:t>J.E.</w:t>
      </w:r>
      <w:r w:rsidR="001A5E84">
        <w:t xml:space="preserve">, </w:t>
      </w:r>
      <w:r w:rsidRPr="002731FC" w:rsidR="001A5E84">
        <w:rPr>
          <w:i/>
          <w:iCs/>
        </w:rPr>
        <w:t>supra</w:t>
      </w:r>
      <w:r w:rsidR="001A5E84">
        <w:t xml:space="preserve">, </w:t>
      </w:r>
      <w:r w:rsidR="00CB2300">
        <w:t>54 Cal.App.5th at p. 313</w:t>
      </w:r>
      <w:r w:rsidR="00C07FDD">
        <w:t>.)</w:t>
      </w:r>
      <w:r w:rsidR="002731FC">
        <w:t xml:space="preserve"> </w:t>
      </w:r>
      <w:r w:rsidR="00B83723">
        <w:t xml:space="preserve"> </w:t>
      </w:r>
      <w:r w:rsidRPr="00646566" w:rsidR="00646566">
        <w:t>“Substantial evidence is ‘evidence that is reasonable, credible, and of solid value—from which a reasonable trier of fact could have made the requisite finding under the governing standard of proof.’</w:t>
      </w:r>
      <w:r w:rsidR="00646566">
        <w:t> </w:t>
      </w:r>
      <w:r w:rsidRPr="00646566" w:rsidR="00646566">
        <w:t>”</w:t>
      </w:r>
      <w:r w:rsidR="00646566">
        <w:t xml:space="preserve"> </w:t>
      </w:r>
      <w:r w:rsidR="000D5660">
        <w:t xml:space="preserve"> </w:t>
      </w:r>
      <w:r w:rsidR="00646566">
        <w:t>(</w:t>
      </w:r>
      <w:r w:rsidRPr="00646566" w:rsidR="00646566">
        <w:rPr>
          <w:i/>
          <w:iCs/>
        </w:rPr>
        <w:t>J.E.</w:t>
      </w:r>
      <w:r w:rsidR="00646566">
        <w:t xml:space="preserve">, at p. 313.)  </w:t>
      </w:r>
      <w:r w:rsidR="0003294A">
        <w:t>When reviewing a</w:t>
      </w:r>
      <w:r w:rsidR="00BA3C1C">
        <w:t xml:space="preserve"> finding </w:t>
      </w:r>
      <w:r w:rsidR="0003294A">
        <w:t xml:space="preserve">made </w:t>
      </w:r>
      <w:r w:rsidR="00BA3C1C">
        <w:t>u</w:t>
      </w:r>
      <w:r w:rsidR="004D6B23">
        <w:t xml:space="preserve">nder the clear and convincing evidence standard, </w:t>
      </w:r>
      <w:r w:rsidR="00667D28">
        <w:t xml:space="preserve">we </w:t>
      </w:r>
      <w:r w:rsidR="00711B3F">
        <w:t xml:space="preserve">review the </w:t>
      </w:r>
      <w:r w:rsidR="004B399C">
        <w:t xml:space="preserve">entire </w:t>
      </w:r>
      <w:r w:rsidR="00711B3F">
        <w:t xml:space="preserve">record to determine whether </w:t>
      </w:r>
      <w:r w:rsidR="008A7CB4">
        <w:t xml:space="preserve">it contains “substantial evidence from which a reasonable fact finder could have found it highly probable that the fact was true.” </w:t>
      </w:r>
      <w:r w:rsidR="008F2EBC">
        <w:t xml:space="preserve"> </w:t>
      </w:r>
      <w:r w:rsidR="008A7CB4">
        <w:t>(</w:t>
      </w:r>
      <w:r w:rsidRPr="00964A99" w:rsidR="008A7CB4">
        <w:rPr>
          <w:i/>
          <w:iCs/>
        </w:rPr>
        <w:t>Conservatorship of O.B.</w:t>
      </w:r>
      <w:r w:rsidR="008A7CB4">
        <w:t xml:space="preserve"> (2020) 9 Cal.5th 989, 1011</w:t>
      </w:r>
      <w:r w:rsidR="00E94DF2">
        <w:t>.)  We “view the record in the light most favorable to the prevailing party below and give appropriate deference to how the trier of fact may have evaluated the credibility of witnesses, resolved conflicts in the evidence, and drawn reasonable inferences from the evidence.”</w:t>
      </w:r>
      <w:r w:rsidR="00BA3C1C">
        <w:t xml:space="preserve">  (</w:t>
      </w:r>
      <w:r w:rsidRPr="0003294A" w:rsidR="00BA3C1C">
        <w:rPr>
          <w:i/>
          <w:iCs/>
        </w:rPr>
        <w:t>Id</w:t>
      </w:r>
      <w:r w:rsidR="00BA3C1C">
        <w:t>. at pp. 1011–</w:t>
      </w:r>
      <w:r w:rsidR="00463D71">
        <w:t>10</w:t>
      </w:r>
      <w:r w:rsidR="00BA3C1C">
        <w:t xml:space="preserve">12.) </w:t>
      </w:r>
      <w:r w:rsidR="000D5660">
        <w:t xml:space="preserve"> </w:t>
      </w:r>
      <w:r w:rsidRPr="000D5660" w:rsidR="000D5660">
        <w:t>“</w:t>
      </w:r>
      <w:r w:rsidR="000D5660">
        <w:t> ‘</w:t>
      </w:r>
      <w:r w:rsidRPr="000D5660" w:rsidR="000D5660">
        <w:t>We do not reweigh the evidence or exercise independent judgment, but merely determine if there are sufficient facts to support the findings of the trial court.</w:t>
      </w:r>
      <w:r w:rsidR="000D5660">
        <w:t>’ </w:t>
      </w:r>
      <w:r w:rsidRPr="000D5660" w:rsidR="000D5660">
        <w:t xml:space="preserve">” </w:t>
      </w:r>
      <w:r w:rsidR="00EC7452">
        <w:t xml:space="preserve"> </w:t>
      </w:r>
      <w:r w:rsidR="000D5660">
        <w:t>(</w:t>
      </w:r>
      <w:r w:rsidRPr="00646566" w:rsidR="000D5660">
        <w:rPr>
          <w:i/>
          <w:iCs/>
        </w:rPr>
        <w:t>J.E.</w:t>
      </w:r>
      <w:r w:rsidR="000D5660">
        <w:t>, at p. 31</w:t>
      </w:r>
      <w:r w:rsidR="00C377E5">
        <w:t>4</w:t>
      </w:r>
      <w:r w:rsidR="000D5660">
        <w:t>.)</w:t>
      </w:r>
    </w:p>
    <w:p w:rsidR="003F5B59" w:rsidP="000269F6" w14:paraId="5A0357AA" w14:textId="12161E70">
      <w:pPr>
        <w:ind w:firstLine="720"/>
      </w:pPr>
      <w:r>
        <w:t xml:space="preserve">K.M. argues </w:t>
      </w:r>
      <w:r w:rsidR="00B766E4">
        <w:t>the</w:t>
      </w:r>
      <w:r w:rsidR="00484173">
        <w:t xml:space="preserve">re is no </w:t>
      </w:r>
      <w:r w:rsidR="00B766E4">
        <w:t xml:space="preserve">clear and convincing </w:t>
      </w:r>
      <w:r w:rsidR="00E114EC">
        <w:t xml:space="preserve">evidence he </w:t>
      </w:r>
      <w:r w:rsidR="00BC5CCE">
        <w:t>understood</w:t>
      </w:r>
      <w:r w:rsidR="00E114EC">
        <w:t xml:space="preserve"> the wrongfulness of possessing a knife on school grounds</w:t>
      </w:r>
      <w:r w:rsidR="009E11EB">
        <w:t xml:space="preserve">.  </w:t>
      </w:r>
      <w:r w:rsidR="0001710E">
        <w:t xml:space="preserve">We agree.  </w:t>
      </w:r>
      <w:r w:rsidR="000269F6">
        <w:t>As an initial matter, t</w:t>
      </w:r>
      <w:r w:rsidR="007701DC">
        <w:t xml:space="preserve">he juvenile court </w:t>
      </w:r>
      <w:r w:rsidR="00524E04">
        <w:t>did not</w:t>
      </w:r>
      <w:r w:rsidR="0001710E">
        <w:t xml:space="preserve"> explicitly</w:t>
      </w:r>
      <w:r w:rsidR="00524E04">
        <w:t xml:space="preserve"> </w:t>
      </w:r>
      <w:r w:rsidR="00F03453">
        <w:t xml:space="preserve">determine </w:t>
      </w:r>
      <w:r w:rsidR="0001710E">
        <w:t>K.M.</w:t>
      </w:r>
      <w:r>
        <w:t xml:space="preserve"> </w:t>
      </w:r>
      <w:r w:rsidR="00960823">
        <w:t>had the capacity to be</w:t>
      </w:r>
      <w:r w:rsidR="006F383F">
        <w:t xml:space="preserve"> held legally responsible for </w:t>
      </w:r>
      <w:r w:rsidR="00D9273B">
        <w:t>his conduct</w:t>
      </w:r>
      <w:r w:rsidR="00DA381C">
        <w:t xml:space="preserve">. </w:t>
      </w:r>
      <w:r w:rsidR="00A04673">
        <w:t xml:space="preserve"> </w:t>
      </w:r>
      <w:r w:rsidR="000269F6">
        <w:t>The court did not check the box indicating it had found “[c]lear proof the minor knew his/her action was wrong</w:t>
      </w:r>
      <w:r w:rsidR="00FC7E1F">
        <w:t>.</w:t>
      </w:r>
      <w:r w:rsidR="000269F6">
        <w:t>”</w:t>
      </w:r>
      <w:r w:rsidR="00FC7E1F">
        <w:t xml:space="preserve"> </w:t>
      </w:r>
      <w:r w:rsidR="000269F6">
        <w:t xml:space="preserve"> </w:t>
      </w:r>
      <w:r w:rsidR="00FC7E1F">
        <w:t xml:space="preserve">Moreover, at the dispositional hearing, the court </w:t>
      </w:r>
      <w:r w:rsidR="00BB552D">
        <w:t xml:space="preserve">said it would be inappropriate to “comment on” </w:t>
      </w:r>
      <w:r w:rsidR="000D4885">
        <w:t>K.M.’s</w:t>
      </w:r>
      <w:r w:rsidR="00BB552D">
        <w:t xml:space="preserve"> belief — due to what his father had told him —</w:t>
      </w:r>
      <w:r w:rsidR="0078349E">
        <w:t xml:space="preserve"> </w:t>
      </w:r>
      <w:r w:rsidR="00BB552D">
        <w:t xml:space="preserve">the knife was legal.  </w:t>
      </w:r>
      <w:r w:rsidR="000269F6">
        <w:t>N</w:t>
      </w:r>
      <w:r w:rsidRPr="00B606D3">
        <w:t xml:space="preserve">o testimony </w:t>
      </w:r>
      <w:r w:rsidR="000269F6">
        <w:t xml:space="preserve">addressed </w:t>
      </w:r>
      <w:r w:rsidRPr="00B606D3">
        <w:t>K.M.</w:t>
      </w:r>
      <w:r w:rsidR="00BB552D">
        <w:t>’s</w:t>
      </w:r>
      <w:r w:rsidRPr="00B606D3">
        <w:t xml:space="preserve"> </w:t>
      </w:r>
      <w:r w:rsidRPr="00B606D3" w:rsidR="007212B0">
        <w:t>underst</w:t>
      </w:r>
      <w:r w:rsidR="00BB552D">
        <w:t>anding that</w:t>
      </w:r>
      <w:r w:rsidRPr="00B606D3">
        <w:t xml:space="preserve"> it was wrong to bring a knife to school</w:t>
      </w:r>
      <w:r w:rsidR="000269F6">
        <w:t>, nor was there evidence he</w:t>
      </w:r>
      <w:r w:rsidRPr="00B606D3" w:rsidR="00AE5808">
        <w:t xml:space="preserve"> had </w:t>
      </w:r>
      <w:r w:rsidR="000269F6">
        <w:t xml:space="preserve">previously </w:t>
      </w:r>
      <w:r w:rsidRPr="00B606D3" w:rsidR="00917CB8">
        <w:t>been</w:t>
      </w:r>
      <w:r w:rsidRPr="00B606D3" w:rsidR="00AE5808">
        <w:t xml:space="preserve"> </w:t>
      </w:r>
      <w:r w:rsidRPr="00B606D3" w:rsidR="001655C6">
        <w:t>in trouble</w:t>
      </w:r>
      <w:r w:rsidRPr="00B606D3" w:rsidR="00AE5808">
        <w:t xml:space="preserve"> for similar issues </w:t>
      </w:r>
      <w:r w:rsidR="000269F6">
        <w:t xml:space="preserve">such that one could infer </w:t>
      </w:r>
      <w:r w:rsidRPr="00B606D3" w:rsidR="00AE5808">
        <w:t>h</w:t>
      </w:r>
      <w:r w:rsidRPr="00B606D3" w:rsidR="00B606D3">
        <w:t>e knew it was wrong</w:t>
      </w:r>
      <w:r w:rsidRPr="00B606D3">
        <w:t>.</w:t>
      </w:r>
      <w:r>
        <w:t xml:space="preserve">  (</w:t>
      </w:r>
      <w:r w:rsidRPr="00455AE0">
        <w:rPr>
          <w:i/>
          <w:iCs/>
        </w:rPr>
        <w:t>J.E.</w:t>
      </w:r>
      <w:r>
        <w:t xml:space="preserve">, </w:t>
      </w:r>
      <w:r w:rsidRPr="00455AE0">
        <w:rPr>
          <w:i/>
          <w:iCs/>
        </w:rPr>
        <w:t>supra</w:t>
      </w:r>
      <w:r>
        <w:t xml:space="preserve">, 54 Cal.App.5th at p. 315 [evidence minor </w:t>
      </w:r>
      <w:r w:rsidR="00670122">
        <w:t xml:space="preserve">was </w:t>
      </w:r>
      <w:r>
        <w:t xml:space="preserve">taught </w:t>
      </w:r>
      <w:r w:rsidR="00670122">
        <w:t xml:space="preserve">act was wrong </w:t>
      </w:r>
      <w:r>
        <w:t xml:space="preserve">at school or at home </w:t>
      </w:r>
      <w:r w:rsidR="00872C2E">
        <w:t xml:space="preserve">supported finding </w:t>
      </w:r>
      <w:r w:rsidR="00DA1821">
        <w:t>s</w:t>
      </w:r>
      <w:r w:rsidR="000269F6">
        <w:t xml:space="preserve">he was </w:t>
      </w:r>
      <w:r w:rsidR="00872C2E">
        <w:t>aware of the wrongfulness of h</w:t>
      </w:r>
      <w:r w:rsidR="00DA1821">
        <w:t>er</w:t>
      </w:r>
      <w:r w:rsidR="00872C2E">
        <w:t xml:space="preserve"> conduct</w:t>
      </w:r>
      <w:r>
        <w:t>].)</w:t>
      </w:r>
      <w:r w:rsidR="00E23C1A">
        <w:t xml:space="preserve"> </w:t>
      </w:r>
      <w:r w:rsidR="00917CB8">
        <w:t xml:space="preserve"> </w:t>
      </w:r>
      <w:r w:rsidR="0078349E">
        <w:t xml:space="preserve">Indeed, </w:t>
      </w:r>
      <w:r w:rsidR="000D4885">
        <w:t>the prosecution argued the allegation could be sustained “whether [K.M.] knew that having a knife on school grounds was or was not illegal.”</w:t>
      </w:r>
    </w:p>
    <w:p w:rsidR="00FE31D7" w:rsidP="00E3656D" w14:paraId="15E04516" w14:textId="77777777">
      <w:pPr>
        <w:ind w:firstLine="720"/>
      </w:pPr>
      <w:r>
        <w:t xml:space="preserve">Nor do </w:t>
      </w:r>
      <w:r w:rsidR="00017745">
        <w:t xml:space="preserve">the </w:t>
      </w:r>
      <w:r>
        <w:t xml:space="preserve">attendant </w:t>
      </w:r>
      <w:r w:rsidR="00017745">
        <w:t xml:space="preserve">circumstances of the </w:t>
      </w:r>
      <w:r w:rsidR="00D64A44">
        <w:t>offense</w:t>
      </w:r>
      <w:r w:rsidR="00017745">
        <w:t xml:space="preserve"> </w:t>
      </w:r>
      <w:r w:rsidR="00196333">
        <w:t>support</w:t>
      </w:r>
      <w:r w:rsidR="00017745">
        <w:t xml:space="preserve"> </w:t>
      </w:r>
      <w:r w:rsidR="00BD0FE6">
        <w:t>an implicit finding of capacity</w:t>
      </w:r>
      <w:r w:rsidR="00017745">
        <w:t xml:space="preserve">.  </w:t>
      </w:r>
      <w:r>
        <w:t>T</w:t>
      </w:r>
      <w:r w:rsidR="001D3F0B">
        <w:t>here was no preparation</w:t>
      </w:r>
      <w:r w:rsidR="00C366FE">
        <w:t xml:space="preserve"> </w:t>
      </w:r>
      <w:r w:rsidR="000D4885">
        <w:t xml:space="preserve">for </w:t>
      </w:r>
      <w:r w:rsidR="00C366FE">
        <w:t xml:space="preserve">or </w:t>
      </w:r>
      <w:r w:rsidR="00994DFC">
        <w:t xml:space="preserve">particular </w:t>
      </w:r>
      <w:r w:rsidR="00C366FE">
        <w:t xml:space="preserve">method </w:t>
      </w:r>
      <w:r w:rsidR="00994DFC">
        <w:t>to</w:t>
      </w:r>
      <w:r w:rsidR="00C366FE">
        <w:t xml:space="preserve"> </w:t>
      </w:r>
      <w:r w:rsidR="000D4885">
        <w:t xml:space="preserve">K.M.’s conduct </w:t>
      </w:r>
      <w:r w:rsidR="0079620D">
        <w:t>suggest</w:t>
      </w:r>
      <w:r w:rsidR="000D4885">
        <w:t>ing</w:t>
      </w:r>
      <w:r w:rsidR="0079620D">
        <w:t xml:space="preserve"> </w:t>
      </w:r>
      <w:r w:rsidR="000D4885">
        <w:t xml:space="preserve">he </w:t>
      </w:r>
      <w:r w:rsidR="0079620D">
        <w:t>knew it was wrong.</w:t>
      </w:r>
      <w:r w:rsidR="00263EC6">
        <w:t xml:space="preserve">  </w:t>
      </w:r>
      <w:r w:rsidR="006355CD">
        <w:t>The</w:t>
      </w:r>
      <w:r>
        <w:t xml:space="preserve">re was evidence </w:t>
      </w:r>
      <w:r w:rsidR="0078349E">
        <w:t xml:space="preserve">he </w:t>
      </w:r>
      <w:r w:rsidR="000D4885">
        <w:t xml:space="preserve">told the principal that </w:t>
      </w:r>
      <w:r>
        <w:t xml:space="preserve">he didn’t “have anything” in his backpack before it </w:t>
      </w:r>
    </w:p>
    <w:p w:rsidR="00FE31D7" w:rsidP="00FE31D7" w14:paraId="0C25ADE1" w14:textId="77777777">
      <w:r>
        <w:t xml:space="preserve">was searched despite </w:t>
      </w:r>
      <w:r w:rsidR="000D4885">
        <w:t xml:space="preserve">it containing </w:t>
      </w:r>
      <w:r>
        <w:t xml:space="preserve">the vape pens and knife.  </w:t>
      </w:r>
      <w:r w:rsidR="00660854">
        <w:t>(</w:t>
      </w:r>
      <w:r w:rsidR="00660854">
        <w:rPr>
          <w:i/>
          <w:iCs/>
        </w:rPr>
        <w:t>J.E.</w:t>
      </w:r>
      <w:r w:rsidRPr="00E136CA" w:rsidR="00660854">
        <w:t xml:space="preserve">, </w:t>
      </w:r>
      <w:r w:rsidR="00660854">
        <w:rPr>
          <w:i/>
          <w:iCs/>
        </w:rPr>
        <w:t>supra</w:t>
      </w:r>
      <w:r w:rsidR="00660854">
        <w:t>, 54</w:t>
      </w:r>
      <w:r>
        <w:t> </w:t>
      </w:r>
      <w:r w:rsidR="00660854">
        <w:t>Cal.App.5th at p. 314.)</w:t>
      </w:r>
      <w:r>
        <w:t xml:space="preserve">  </w:t>
      </w:r>
      <w:r w:rsidR="0078349E">
        <w:t>T</w:t>
      </w:r>
      <w:r>
        <w:t xml:space="preserve">he prosecution </w:t>
      </w:r>
      <w:r w:rsidR="000D4885">
        <w:t xml:space="preserve">contends </w:t>
      </w:r>
      <w:r>
        <w:t xml:space="preserve">this statement </w:t>
      </w:r>
      <w:r w:rsidR="000806D2">
        <w:t>suppor</w:t>
      </w:r>
      <w:r>
        <w:t>ts</w:t>
      </w:r>
      <w:r w:rsidR="000806D2">
        <w:t xml:space="preserve"> an inference</w:t>
      </w:r>
      <w:r w:rsidR="00CB7FC0">
        <w:t xml:space="preserve"> </w:t>
      </w:r>
      <w:r w:rsidR="00F27D5A">
        <w:t>that</w:t>
      </w:r>
      <w:r w:rsidR="000D4885">
        <w:t xml:space="preserve"> K.M. </w:t>
      </w:r>
      <w:r w:rsidR="000806D2">
        <w:t>kn</w:t>
      </w:r>
      <w:r w:rsidR="00F27D5A">
        <w:t>ew</w:t>
      </w:r>
      <w:r w:rsidR="005C2CD7">
        <w:t xml:space="preserve"> </w:t>
      </w:r>
      <w:r w:rsidR="000806D2">
        <w:t>having the knife</w:t>
      </w:r>
      <w:r w:rsidR="005C2CD7">
        <w:t xml:space="preserve"> at school was wrong</w:t>
      </w:r>
      <w:r w:rsidR="000806D2">
        <w:t xml:space="preserve">. </w:t>
      </w:r>
      <w:r w:rsidR="00AC5DED">
        <w:t xml:space="preserve"> </w:t>
      </w:r>
      <w:r w:rsidR="00AD7AB5">
        <w:t>K.M.</w:t>
      </w:r>
      <w:r>
        <w:t xml:space="preserve"> respon</w:t>
      </w:r>
      <w:r w:rsidR="000D4885">
        <w:t>ds</w:t>
      </w:r>
      <w:r>
        <w:t xml:space="preserve"> that he was not hiding the knife but simply storing it with all his other belongings; moreover, he notes he consented to the search</w:t>
      </w:r>
      <w:r w:rsidR="000D4885">
        <w:t>, which he would not have done had he known the knife was forbidden</w:t>
      </w:r>
      <w:r>
        <w:t xml:space="preserve">. </w:t>
      </w:r>
      <w:r w:rsidR="00BF595F">
        <w:t xml:space="preserve"> </w:t>
      </w:r>
      <w:r w:rsidR="000D4885">
        <w:t>Either way</w:t>
      </w:r>
      <w:r>
        <w:t>, e</w:t>
      </w:r>
      <w:r w:rsidR="00CD05C1">
        <w:t xml:space="preserve">ven </w:t>
      </w:r>
      <w:r>
        <w:t xml:space="preserve">considering </w:t>
      </w:r>
      <w:r w:rsidR="000D4885">
        <w:t xml:space="preserve">this </w:t>
      </w:r>
      <w:r>
        <w:t xml:space="preserve">statement </w:t>
      </w:r>
      <w:r w:rsidR="009F0DAF">
        <w:t>in the light most favorable to the judgment</w:t>
      </w:r>
      <w:r w:rsidR="00EE24F0">
        <w:t xml:space="preserve">, we </w:t>
      </w:r>
      <w:r w:rsidR="00675286">
        <w:t xml:space="preserve">find </w:t>
      </w:r>
      <w:r w:rsidR="00490A84">
        <w:t xml:space="preserve">it </w:t>
      </w:r>
      <w:r w:rsidR="00CD236C">
        <w:t>falls short of the substantial evidence</w:t>
      </w:r>
      <w:r w:rsidR="00BD471B">
        <w:t xml:space="preserve"> necessary for the juvenile court to “have found it highly probable” that K.M. understood the wrongfulness of his conduct.</w:t>
      </w:r>
      <w:r w:rsidR="00CD236C">
        <w:t xml:space="preserve"> </w:t>
      </w:r>
      <w:r w:rsidR="008E138F">
        <w:t xml:space="preserve"> </w:t>
      </w:r>
      <w:r w:rsidR="00180F88">
        <w:t>(</w:t>
      </w:r>
      <w:r w:rsidRPr="00964A99" w:rsidR="00180F88">
        <w:rPr>
          <w:i/>
          <w:iCs/>
        </w:rPr>
        <w:t>Conservatorship of O.B.</w:t>
      </w:r>
      <w:r w:rsidR="00180F88">
        <w:t xml:space="preserve">, </w:t>
      </w:r>
      <w:r w:rsidR="00180F88">
        <w:rPr>
          <w:i/>
          <w:iCs/>
        </w:rPr>
        <w:t>supra</w:t>
      </w:r>
      <w:r w:rsidR="00180F88">
        <w:t xml:space="preserve">, 9 Cal.5th </w:t>
      </w:r>
    </w:p>
    <w:p w:rsidR="003F5B59" w:rsidP="00FE31D7" w14:paraId="35561417" w14:textId="57C71962">
      <w:r>
        <w:t>at pp. 1011</w:t>
      </w:r>
      <w:r w:rsidR="00490A84">
        <w:t>–</w:t>
      </w:r>
      <w:r w:rsidR="00C60F0D">
        <w:t>10</w:t>
      </w:r>
      <w:r>
        <w:t xml:space="preserve">12.) </w:t>
      </w:r>
    </w:p>
    <w:p w:rsidR="007D2353" w:rsidP="006A5160" w14:paraId="7D61991A" w14:textId="66B42280">
      <w:pPr>
        <w:ind w:firstLine="720"/>
      </w:pPr>
      <w:r>
        <w:t xml:space="preserve">The </w:t>
      </w:r>
      <w:r w:rsidR="000D4885">
        <w:t xml:space="preserve">other </w:t>
      </w:r>
      <w:r w:rsidR="00FD7E23">
        <w:t>evidence</w:t>
      </w:r>
      <w:r w:rsidR="00F454B4">
        <w:t xml:space="preserve"> </w:t>
      </w:r>
      <w:r w:rsidR="0078349E">
        <w:t xml:space="preserve">relied upon by the prosecution is similarly </w:t>
      </w:r>
      <w:r w:rsidR="00FD7E23">
        <w:t>unavailing</w:t>
      </w:r>
      <w:r>
        <w:t>.  First</w:t>
      </w:r>
      <w:r w:rsidR="000B75FF">
        <w:t>,</w:t>
      </w:r>
      <w:r>
        <w:t xml:space="preserve"> </w:t>
      </w:r>
      <w:r w:rsidR="000B75FF">
        <w:t>t</w:t>
      </w:r>
      <w:r w:rsidR="00A60FCE">
        <w:t xml:space="preserve">he </w:t>
      </w:r>
      <w:r w:rsidR="000D4885">
        <w:t xml:space="preserve">prosecution contends </w:t>
      </w:r>
      <w:r w:rsidR="00FC0114">
        <w:t>K.M.</w:t>
      </w:r>
      <w:r w:rsidR="004F066F">
        <w:t xml:space="preserve">’s age makes it more likely that he appreciated the wrongfulness of his act. </w:t>
      </w:r>
      <w:r w:rsidR="006F2497">
        <w:t xml:space="preserve"> </w:t>
      </w:r>
      <w:r w:rsidR="00B35265">
        <w:t>K.M.</w:t>
      </w:r>
      <w:r w:rsidR="00FC0114">
        <w:t xml:space="preserve"> turned 13 </w:t>
      </w:r>
      <w:r w:rsidR="000D4885">
        <w:t>years old one</w:t>
      </w:r>
      <w:r w:rsidR="00FC0114">
        <w:t xml:space="preserve"> month before the incident.  </w:t>
      </w:r>
      <w:r w:rsidR="00AB71A6">
        <w:t>“</w:t>
      </w:r>
      <w:r w:rsidR="00FC0114">
        <w:t>But t</w:t>
      </w:r>
      <w:r w:rsidR="0055614B">
        <w:t>he capacity determination r</w:t>
      </w:r>
      <w:r w:rsidRPr="00AB71A6" w:rsidR="00AB71A6">
        <w:t>equires a trial court to consider the particular circumstances and perspective of the individual child before it, rather than to rely on generalizations about what children of a certain age should know.</w:t>
      </w:r>
      <w:r w:rsidR="00AB71A6">
        <w:t>”</w:t>
      </w:r>
      <w:r w:rsidRPr="00AB71A6" w:rsidR="00AB71A6">
        <w:t xml:space="preserve"> </w:t>
      </w:r>
      <w:r w:rsidR="0055614B">
        <w:t xml:space="preserve"> </w:t>
      </w:r>
      <w:r w:rsidR="00AB71A6">
        <w:t>(</w:t>
      </w:r>
      <w:r w:rsidRPr="00646566" w:rsidR="00AB71A6">
        <w:rPr>
          <w:i/>
          <w:iCs/>
        </w:rPr>
        <w:t>J.E.</w:t>
      </w:r>
      <w:r w:rsidR="00AB71A6">
        <w:t xml:space="preserve">, </w:t>
      </w:r>
      <w:r w:rsidRPr="002731FC" w:rsidR="00AB71A6">
        <w:rPr>
          <w:i/>
          <w:iCs/>
        </w:rPr>
        <w:t>supra</w:t>
      </w:r>
      <w:r w:rsidR="00AB71A6">
        <w:t>, 54 Cal.App.5th at pp. 314</w:t>
      </w:r>
      <w:r w:rsidR="00180F88">
        <w:t>–</w:t>
      </w:r>
      <w:r w:rsidR="00AB71A6">
        <w:t xml:space="preserve">315.)  </w:t>
      </w:r>
      <w:r w:rsidRPr="009E49C5" w:rsidR="00C305B9">
        <w:t xml:space="preserve">Moreover, </w:t>
      </w:r>
      <w:r w:rsidRPr="009E49C5" w:rsidR="00832643">
        <w:t>to give independent weight to K.M.</w:t>
      </w:r>
      <w:r w:rsidRPr="009E49C5" w:rsidR="005A19B8">
        <w:t>’s age</w:t>
      </w:r>
      <w:r w:rsidRPr="009E49C5" w:rsidR="00832643">
        <w:t xml:space="preserve"> </w:t>
      </w:r>
      <w:r w:rsidRPr="009E49C5" w:rsidR="00741AA8">
        <w:t xml:space="preserve">is in tension with the Legislature </w:t>
      </w:r>
      <w:r w:rsidRPr="009E49C5" w:rsidR="005A19B8">
        <w:t xml:space="preserve">selecting the age of </w:t>
      </w:r>
      <w:r w:rsidRPr="009E49C5" w:rsidR="00BB4868">
        <w:t xml:space="preserve">14 </w:t>
      </w:r>
      <w:r w:rsidRPr="009E49C5" w:rsidR="005A19B8">
        <w:t xml:space="preserve">as </w:t>
      </w:r>
      <w:r w:rsidRPr="009E49C5" w:rsidR="00BB4868">
        <w:t>the threshold age for</w:t>
      </w:r>
      <w:r w:rsidRPr="009E49C5" w:rsidR="004A3BC5">
        <w:t xml:space="preserve"> capacity</w:t>
      </w:r>
      <w:r w:rsidR="004A3BC5">
        <w:t xml:space="preserve">. </w:t>
      </w:r>
    </w:p>
    <w:p w:rsidR="00481923" w:rsidP="007D2353" w14:paraId="3DBAF8DA" w14:textId="55660FC9">
      <w:pPr>
        <w:ind w:firstLine="720"/>
      </w:pPr>
      <w:r>
        <w:t xml:space="preserve">Second, </w:t>
      </w:r>
      <w:r w:rsidR="004A5F73">
        <w:t>t</w:t>
      </w:r>
      <w:r w:rsidR="00A33D15">
        <w:t xml:space="preserve">he </w:t>
      </w:r>
      <w:r w:rsidR="0078349E">
        <w:t xml:space="preserve">prosecution contends </w:t>
      </w:r>
      <w:r w:rsidR="00730D00">
        <w:t xml:space="preserve">the juvenile court’s </w:t>
      </w:r>
      <w:r w:rsidR="0078349E">
        <w:t xml:space="preserve">finding beyond a reasonable doubt </w:t>
      </w:r>
      <w:r w:rsidR="005A19B8">
        <w:t xml:space="preserve">that </w:t>
      </w:r>
      <w:r w:rsidR="00730D00">
        <w:t xml:space="preserve">K.M. </w:t>
      </w:r>
      <w:r w:rsidR="004508D6">
        <w:t xml:space="preserve">committed the </w:t>
      </w:r>
      <w:r w:rsidR="0078349E">
        <w:t xml:space="preserve">offense </w:t>
      </w:r>
      <w:r w:rsidR="00D11248">
        <w:t xml:space="preserve">necessarily </w:t>
      </w:r>
      <w:r w:rsidR="00B659FB">
        <w:t xml:space="preserve">entails a finding of capacity. </w:t>
      </w:r>
      <w:r w:rsidR="00FA4708">
        <w:t xml:space="preserve"> </w:t>
      </w:r>
      <w:r w:rsidR="005A19B8">
        <w:t xml:space="preserve">Not so.  </w:t>
      </w:r>
      <w:r w:rsidR="003F48DC">
        <w:t>S</w:t>
      </w:r>
      <w:r w:rsidR="004A5F73">
        <w:t>ection 626.10, subdivision (a)</w:t>
      </w:r>
      <w:r w:rsidR="00C57CEC">
        <w:t>(1)</w:t>
      </w:r>
      <w:r w:rsidR="004A5F73">
        <w:t xml:space="preserve"> is a general intent crime,</w:t>
      </w:r>
      <w:r>
        <w:rPr>
          <w:rStyle w:val="FootnoteReference"/>
        </w:rPr>
        <w:footnoteReference w:id="2"/>
      </w:r>
      <w:r w:rsidR="004A5F73">
        <w:t xml:space="preserve"> </w:t>
      </w:r>
      <w:r w:rsidR="003F48DC">
        <w:t xml:space="preserve">so </w:t>
      </w:r>
      <w:r w:rsidR="000F358D">
        <w:t xml:space="preserve">the court’s </w:t>
      </w:r>
      <w:r w:rsidR="003F48DC">
        <w:t xml:space="preserve">determination </w:t>
      </w:r>
      <w:r w:rsidR="0088346A">
        <w:t>d</w:t>
      </w:r>
      <w:r w:rsidR="007926A6">
        <w:t>id not include a</w:t>
      </w:r>
      <w:r w:rsidR="0088346A">
        <w:t xml:space="preserve"> finding of criminal intent</w:t>
      </w:r>
      <w:r w:rsidR="00056187">
        <w:t>.</w:t>
      </w:r>
      <w:r w:rsidR="009013F7">
        <w:t xml:space="preserve">  </w:t>
      </w:r>
      <w:r w:rsidR="00F56C6A">
        <w:t>(</w:t>
      </w:r>
      <w:r w:rsidRPr="00646566" w:rsidR="00F56C6A">
        <w:rPr>
          <w:i/>
          <w:iCs/>
        </w:rPr>
        <w:t>J.E.</w:t>
      </w:r>
      <w:r w:rsidR="00F56C6A">
        <w:t xml:space="preserve">, </w:t>
      </w:r>
      <w:r w:rsidRPr="002731FC" w:rsidR="00F56C6A">
        <w:rPr>
          <w:i/>
          <w:iCs/>
        </w:rPr>
        <w:t>supra</w:t>
      </w:r>
      <w:r w:rsidR="00F56C6A">
        <w:t xml:space="preserve">, 54 Cal.App.5th at </w:t>
      </w:r>
      <w:r w:rsidR="007A2C5D">
        <w:t xml:space="preserve">p. </w:t>
      </w:r>
      <w:r w:rsidR="00F56C6A">
        <w:t>314</w:t>
      </w:r>
      <w:r w:rsidR="00000D0A">
        <w:t xml:space="preserve"> </w:t>
      </w:r>
      <w:r w:rsidR="00F56C6A">
        <w:t>[</w:t>
      </w:r>
      <w:r w:rsidR="00000D0A">
        <w:t>“</w:t>
      </w:r>
      <w:r w:rsidRPr="00746F62" w:rsidR="00F56C6A">
        <w:t>Knowledge of wrongfulness cannot be inferred from the offense itself</w:t>
      </w:r>
      <w:r w:rsidR="00000D0A">
        <w:t xml:space="preserve">”].)  </w:t>
      </w:r>
    </w:p>
    <w:p w:rsidR="00323625" w:rsidP="003F48DC" w14:paraId="2582E0AC" w14:textId="4DA699FF">
      <w:pPr>
        <w:ind w:firstLine="720"/>
      </w:pPr>
      <w:r>
        <w:t xml:space="preserve">Third, the </w:t>
      </w:r>
      <w:r w:rsidR="003F48DC">
        <w:t xml:space="preserve">prosecution </w:t>
      </w:r>
      <w:r>
        <w:t>argues the juvenile court</w:t>
      </w:r>
      <w:r w:rsidR="00CB6AEC">
        <w:t>’s</w:t>
      </w:r>
      <w:r>
        <w:t xml:space="preserve"> </w:t>
      </w:r>
      <w:r w:rsidR="003F48DC">
        <w:t>acknowledgment that</w:t>
      </w:r>
      <w:r>
        <w:t xml:space="preserve"> K.M.</w:t>
      </w:r>
      <w:r w:rsidR="003F48DC">
        <w:t xml:space="preserve"> is “really intelligent” </w:t>
      </w:r>
      <w:r w:rsidR="00CB6AEC">
        <w:t xml:space="preserve">supports </w:t>
      </w:r>
      <w:r w:rsidR="00DC5E7B">
        <w:t>an</w:t>
      </w:r>
      <w:r w:rsidR="00CB6AEC">
        <w:t xml:space="preserve"> </w:t>
      </w:r>
      <w:r w:rsidR="004D66FE">
        <w:t>inference that he understood the wrongfulness of his conduct</w:t>
      </w:r>
      <w:r w:rsidR="00CB6AEC">
        <w:t xml:space="preserve">. </w:t>
      </w:r>
      <w:r>
        <w:t xml:space="preserve"> </w:t>
      </w:r>
      <w:r w:rsidR="00D850B5">
        <w:t>T</w:t>
      </w:r>
      <w:r w:rsidR="00371E81">
        <w:t>he court</w:t>
      </w:r>
      <w:r w:rsidR="00D850B5">
        <w:t>, however,</w:t>
      </w:r>
      <w:r w:rsidR="00371E81">
        <w:t xml:space="preserve"> made </w:t>
      </w:r>
      <w:r w:rsidR="003F48DC">
        <w:t xml:space="preserve">that </w:t>
      </w:r>
      <w:r w:rsidR="00371E81">
        <w:t>statement</w:t>
      </w:r>
      <w:r w:rsidR="003F48DC">
        <w:t xml:space="preserve"> </w:t>
      </w:r>
      <w:r w:rsidR="00371E81">
        <w:t>at the dispositional hearing</w:t>
      </w:r>
      <w:r w:rsidR="003F48DC">
        <w:t xml:space="preserve"> </w:t>
      </w:r>
      <w:r w:rsidR="00D850B5">
        <w:t>—</w:t>
      </w:r>
      <w:r w:rsidR="003F48DC">
        <w:t xml:space="preserve"> </w:t>
      </w:r>
      <w:r w:rsidR="00371E81">
        <w:t>not the jurisdictional hearing</w:t>
      </w:r>
      <w:r w:rsidR="003F48DC">
        <w:t xml:space="preserve"> </w:t>
      </w:r>
      <w:r w:rsidR="00D850B5">
        <w:t>—</w:t>
      </w:r>
      <w:r w:rsidR="003F48DC">
        <w:t xml:space="preserve"> </w:t>
      </w:r>
      <w:r w:rsidR="00433A7D">
        <w:t xml:space="preserve">and </w:t>
      </w:r>
      <w:r w:rsidR="003F48DC">
        <w:t xml:space="preserve">it is </w:t>
      </w:r>
      <w:r w:rsidR="00433A7D">
        <w:t>th</w:t>
      </w:r>
      <w:r w:rsidR="00D850B5">
        <w:t>erefore</w:t>
      </w:r>
      <w:r w:rsidR="00433A7D">
        <w:t xml:space="preserve"> irrelevant</w:t>
      </w:r>
      <w:r w:rsidR="00371E81">
        <w:t xml:space="preserve">. </w:t>
      </w:r>
      <w:r w:rsidR="00824EBA">
        <w:t xml:space="preserve"> (</w:t>
      </w:r>
      <w:r w:rsidRPr="00824EBA" w:rsidR="00824EBA">
        <w:rPr>
          <w:i/>
          <w:iCs/>
        </w:rPr>
        <w:t>People v. Welch</w:t>
      </w:r>
      <w:r w:rsidR="00824EBA">
        <w:t xml:space="preserve"> (1999) 20 Cal.4th 701, 739 [</w:t>
      </w:r>
      <w:r w:rsidR="00200671">
        <w:t>a</w:t>
      </w:r>
      <w:r w:rsidR="00497083">
        <w:t>ppellate courts “review the correctness of the trial court’s ruling at the time it was made,</w:t>
      </w:r>
      <w:r w:rsidR="00FE31D7">
        <w:t> </w:t>
      </w:r>
      <w:r w:rsidR="00497083">
        <w:t>.</w:t>
      </w:r>
      <w:r w:rsidR="00FE31D7">
        <w:t> </w:t>
      </w:r>
      <w:r w:rsidR="00497083">
        <w:t>.</w:t>
      </w:r>
      <w:r w:rsidR="00FE31D7">
        <w:t> </w:t>
      </w:r>
      <w:r w:rsidR="00497083">
        <w:t>.</w:t>
      </w:r>
      <w:r w:rsidR="00FE31D7">
        <w:t> </w:t>
      </w:r>
      <w:r w:rsidR="00497083">
        <w:t>and not by reference to evidence produced at a later date”]</w:t>
      </w:r>
      <w:r w:rsidR="00824EBA">
        <w:t>.)</w:t>
      </w:r>
      <w:r w:rsidR="000339B5">
        <w:t xml:space="preserve"> </w:t>
      </w:r>
      <w:r w:rsidR="00200671">
        <w:t xml:space="preserve"> </w:t>
      </w:r>
      <w:r w:rsidR="003F48DC">
        <w:t xml:space="preserve">Moreover, </w:t>
      </w:r>
      <w:r w:rsidR="005A19B8">
        <w:t xml:space="preserve">that </w:t>
      </w:r>
      <w:r w:rsidR="000339B5">
        <w:t xml:space="preserve">a child under </w:t>
      </w:r>
      <w:r w:rsidR="003F48DC">
        <w:t xml:space="preserve">the age of </w:t>
      </w:r>
      <w:r w:rsidR="000339B5">
        <w:t xml:space="preserve">14 </w:t>
      </w:r>
      <w:r w:rsidR="005A19B8">
        <w:t xml:space="preserve">is described as intelligent </w:t>
      </w:r>
      <w:r w:rsidR="000339B5">
        <w:t xml:space="preserve">does not demonstrate that they knew something was wrongful.  Indeed, </w:t>
      </w:r>
      <w:r w:rsidRPr="00BE597C" w:rsidR="00BE597C">
        <w:t xml:space="preserve">“children ‘are more vulnerable </w:t>
      </w:r>
      <w:r w:rsidR="00BE597C">
        <w:t>. . .</w:t>
      </w:r>
      <w:r w:rsidRPr="00BE597C" w:rsidR="00BE597C">
        <w:t xml:space="preserve"> to negative influences and outside pressures,’ including from their family and peers</w:t>
      </w:r>
      <w:r w:rsidR="00BE597C">
        <w:t>.</w:t>
      </w:r>
      <w:r w:rsidRPr="00BE597C" w:rsidR="00BE597C">
        <w:t>”</w:t>
      </w:r>
      <w:r w:rsidR="000339B5">
        <w:t xml:space="preserve">  </w:t>
      </w:r>
      <w:r w:rsidRPr="00183CE0" w:rsidR="00183CE0">
        <w:t>(</w:t>
      </w:r>
      <w:r w:rsidRPr="00183CE0" w:rsidR="00183CE0">
        <w:rPr>
          <w:i/>
          <w:iCs/>
        </w:rPr>
        <w:t>Miller v. Alabama</w:t>
      </w:r>
      <w:r w:rsidRPr="00183CE0" w:rsidR="00183CE0">
        <w:t xml:space="preserve"> (2012) 567 U.S. 460, 471</w:t>
      </w:r>
      <w:r w:rsidR="00183CE0">
        <w:t>.)</w:t>
      </w:r>
      <w:r w:rsidR="00433A7D">
        <w:t xml:space="preserve">  Based on the statements at the dispositional hearing, K.M. may have </w:t>
      </w:r>
      <w:r w:rsidR="009071D2">
        <w:t>honestly believed it was</w:t>
      </w:r>
      <w:r w:rsidR="00433A7D">
        <w:t xml:space="preserve"> lawful </w:t>
      </w:r>
      <w:r w:rsidR="009071D2">
        <w:t>to</w:t>
      </w:r>
      <w:r w:rsidR="00433A7D">
        <w:t xml:space="preserve"> hav</w:t>
      </w:r>
      <w:r w:rsidR="009071D2">
        <w:t>e</w:t>
      </w:r>
      <w:r w:rsidR="00433A7D">
        <w:t xml:space="preserve"> </w:t>
      </w:r>
      <w:r w:rsidR="009071D2">
        <w:t>the</w:t>
      </w:r>
      <w:r w:rsidR="00433A7D">
        <w:t xml:space="preserve"> knife</w:t>
      </w:r>
      <w:r w:rsidR="009071D2">
        <w:t xml:space="preserve"> with him</w:t>
      </w:r>
      <w:r w:rsidR="00433A7D">
        <w:t xml:space="preserve"> </w:t>
      </w:r>
      <w:r w:rsidR="009071D2">
        <w:t>at</w:t>
      </w:r>
      <w:r w:rsidR="00433A7D">
        <w:t xml:space="preserve"> school based on his father’s misrepresentation.</w:t>
      </w:r>
      <w:r w:rsidR="009F213B">
        <w:t xml:space="preserve"> </w:t>
      </w:r>
      <w:r w:rsidR="00033AA8">
        <w:t xml:space="preserve"> </w:t>
      </w:r>
      <w:r w:rsidR="005A19B8">
        <w:t>At least, n</w:t>
      </w:r>
      <w:r w:rsidR="003F48DC">
        <w:t>o evidence to the contrary was presented.</w:t>
      </w:r>
    </w:p>
    <w:p w:rsidR="00D847BB" w:rsidP="00AA31AE" w14:paraId="64B6A3DD" w14:textId="2DF774B1">
      <w:pPr>
        <w:ind w:firstLine="720"/>
      </w:pPr>
      <w:r>
        <w:t xml:space="preserve">Finally, the prosecution </w:t>
      </w:r>
      <w:r w:rsidR="001C0A8E">
        <w:t xml:space="preserve">argues K.M.’s </w:t>
      </w:r>
      <w:r w:rsidR="001A5BF2">
        <w:t>appreciation of the il</w:t>
      </w:r>
      <w:r w:rsidR="001C0A8E">
        <w:t>legal</w:t>
      </w:r>
      <w:r w:rsidR="001A5BF2">
        <w:t>ity</w:t>
      </w:r>
      <w:r>
        <w:t xml:space="preserve"> </w:t>
      </w:r>
      <w:r w:rsidR="001A5BF2">
        <w:t xml:space="preserve">of his conduct </w:t>
      </w:r>
      <w:r>
        <w:t xml:space="preserve">is </w:t>
      </w:r>
      <w:r w:rsidR="001A5BF2">
        <w:t xml:space="preserve">distinct </w:t>
      </w:r>
      <w:r>
        <w:t xml:space="preserve">from his </w:t>
      </w:r>
      <w:r w:rsidR="001A5BF2">
        <w:t xml:space="preserve">awareness </w:t>
      </w:r>
      <w:r>
        <w:t xml:space="preserve">of </w:t>
      </w:r>
      <w:r w:rsidR="001A5BF2">
        <w:t xml:space="preserve">its </w:t>
      </w:r>
      <w:r>
        <w:t xml:space="preserve">wrongfulness.  </w:t>
      </w:r>
      <w:r w:rsidR="001A5BF2">
        <w:t>Here, however, the conduct’s wrongfulness and legality cannot be so easily separated</w:t>
      </w:r>
      <w:r w:rsidR="00CB5ACF">
        <w:t xml:space="preserve">.  </w:t>
      </w:r>
      <w:r w:rsidR="001A5BF2">
        <w:t xml:space="preserve">Possessing a knife — that may have innocent uses — on school grounds </w:t>
      </w:r>
      <w:r w:rsidR="00F422DB">
        <w:t xml:space="preserve">appears to be wrongful </w:t>
      </w:r>
      <w:r w:rsidRPr="00FB49A9" w:rsidR="00F422DB">
        <w:rPr>
          <w:i/>
          <w:iCs/>
        </w:rPr>
        <w:t>because</w:t>
      </w:r>
      <w:r w:rsidR="00F422DB">
        <w:t xml:space="preserve"> it is illegal or otherwise violates school rules</w:t>
      </w:r>
      <w:r w:rsidR="0075284C">
        <w:t>;</w:t>
      </w:r>
      <w:r w:rsidR="00F422DB">
        <w:t xml:space="preserve"> </w:t>
      </w:r>
      <w:r w:rsidR="0075284C">
        <w:t>a</w:t>
      </w:r>
      <w:r w:rsidR="00F422DB">
        <w:t xml:space="preserve">t least, the prosecution does not persuade </w:t>
      </w:r>
      <w:r w:rsidR="00FB49A9">
        <w:t xml:space="preserve">us </w:t>
      </w:r>
      <w:r w:rsidR="00F422DB">
        <w:t xml:space="preserve">otherwise.  Moreover, even if K.M. need not have appreciated the illegality of his conduct in order for the allegation to </w:t>
      </w:r>
      <w:r w:rsidR="0075284C">
        <w:t xml:space="preserve">have </w:t>
      </w:r>
      <w:r w:rsidR="00F422DB">
        <w:t>be</w:t>
      </w:r>
      <w:r w:rsidR="0075284C">
        <w:t>en</w:t>
      </w:r>
      <w:r w:rsidR="00F422DB">
        <w:t xml:space="preserve"> sustained, section 26 require</w:t>
      </w:r>
      <w:r w:rsidR="0075284C">
        <w:t>d</w:t>
      </w:r>
      <w:r w:rsidR="00F422DB">
        <w:t xml:space="preserve"> a finding </w:t>
      </w:r>
      <w:r w:rsidR="0075284C">
        <w:t xml:space="preserve">that </w:t>
      </w:r>
      <w:r w:rsidR="00F422DB">
        <w:t xml:space="preserve">he understood the wrongfulness of his conduct.  </w:t>
      </w:r>
      <w:r w:rsidR="00FB49A9">
        <w:t>(</w:t>
      </w:r>
      <w:r w:rsidRPr="00CB2300" w:rsidR="00FB49A9">
        <w:rPr>
          <w:i/>
          <w:iCs/>
        </w:rPr>
        <w:t>J.E.</w:t>
      </w:r>
      <w:r w:rsidR="00FB49A9">
        <w:t xml:space="preserve">, </w:t>
      </w:r>
      <w:r w:rsidRPr="002731FC" w:rsidR="00FB49A9">
        <w:rPr>
          <w:i/>
          <w:iCs/>
        </w:rPr>
        <w:t>supra</w:t>
      </w:r>
      <w:r w:rsidR="00FB49A9">
        <w:t>, 54</w:t>
      </w:r>
      <w:r w:rsidR="00FE31D7">
        <w:t> </w:t>
      </w:r>
      <w:r w:rsidR="00FB49A9">
        <w:t xml:space="preserve">Cal.App.5th at p. 313.)  </w:t>
      </w:r>
      <w:r w:rsidR="00F422DB">
        <w:t>Substantial evidence does not support such a finding.</w:t>
      </w:r>
    </w:p>
    <w:p w:rsidR="001205A9" w:rsidP="007D2353" w14:paraId="09080B20" w14:textId="77AA95C1">
      <w:pPr>
        <w:ind w:firstLine="720"/>
      </w:pPr>
      <w:r>
        <w:t xml:space="preserve">On this record, we find </w:t>
      </w:r>
      <w:r w:rsidR="00BA7B55">
        <w:t xml:space="preserve">insufficient evidence to support the juvenile court’s implied finding that K.M. </w:t>
      </w:r>
      <w:r w:rsidR="003F48DC">
        <w:t xml:space="preserve">understood </w:t>
      </w:r>
      <w:r w:rsidR="00BA7B55">
        <w:t xml:space="preserve">the wrongfulness of bringing a knife </w:t>
      </w:r>
      <w:r w:rsidR="003A4F19">
        <w:t>on</w:t>
      </w:r>
      <w:r w:rsidR="00BA7B55">
        <w:t>to school</w:t>
      </w:r>
      <w:r w:rsidR="003A4F19">
        <w:t xml:space="preserve"> property</w:t>
      </w:r>
      <w:r w:rsidR="0055636E">
        <w:t xml:space="preserve"> at the time of the incident.</w:t>
      </w:r>
      <w:r w:rsidR="00BA7B55">
        <w:t xml:space="preserve"> </w:t>
      </w:r>
    </w:p>
    <w:p w:rsidR="00D5628C" w:rsidP="001367E3" w14:paraId="021E407E" w14:textId="301012CB">
      <w:pPr>
        <w:jc w:val="center"/>
        <w:rPr>
          <w:b/>
          <w:bCs/>
        </w:rPr>
      </w:pPr>
      <w:r>
        <w:rPr>
          <w:b/>
          <w:bCs/>
        </w:rPr>
        <w:t>DISPOSITION</w:t>
      </w:r>
    </w:p>
    <w:p w:rsidR="00FB1BC9" w:rsidP="00D024BE" w14:paraId="4E7EA7DA" w14:textId="5A84B258">
      <w:pPr>
        <w:ind w:firstLine="720"/>
      </w:pPr>
      <w:r>
        <w:t xml:space="preserve">The judgment is reversed.  </w:t>
      </w:r>
      <w:r w:rsidR="005703D8">
        <w:t>The matter is remanded for further proceedings consistent with the views expressed in this opinion.</w:t>
      </w:r>
    </w:p>
    <w:p w:rsidR="00FB1BC9" w14:paraId="2FBAB5AF" w14:textId="77777777">
      <w:r>
        <w:br w:type="page"/>
      </w:r>
    </w:p>
    <w:p w:rsidR="002F42C4" w:rsidP="00554CF8" w14:paraId="37EEAD8C" w14:textId="77777777">
      <w:pPr>
        <w:spacing w:line="240" w:lineRule="auto"/>
      </w:pPr>
    </w:p>
    <w:p w:rsidR="00FB1BC9" w:rsidP="00554CF8" w14:paraId="1D7CE4AC" w14:textId="5B5D4BB6">
      <w:pPr>
        <w:spacing w:line="240" w:lineRule="auto"/>
      </w:pPr>
      <w:r>
        <w:tab/>
      </w:r>
      <w:r>
        <w:tab/>
      </w:r>
      <w:r>
        <w:tab/>
      </w:r>
      <w:r>
        <w:tab/>
      </w:r>
      <w:r>
        <w:tab/>
      </w:r>
      <w:r>
        <w:tab/>
      </w:r>
      <w:r>
        <w:tab/>
        <w:t>_________________________</w:t>
      </w:r>
    </w:p>
    <w:p w:rsidR="00FB1BC9" w:rsidP="00554CF8" w14:paraId="00EEF84E" w14:textId="675FC5E9">
      <w:pPr>
        <w:spacing w:line="240" w:lineRule="auto"/>
      </w:pPr>
      <w:r>
        <w:tab/>
      </w:r>
      <w:r>
        <w:tab/>
      </w:r>
      <w:r>
        <w:tab/>
      </w:r>
      <w:r>
        <w:tab/>
      </w:r>
      <w:r>
        <w:tab/>
      </w:r>
      <w:r>
        <w:tab/>
      </w:r>
      <w:r>
        <w:tab/>
        <w:t>RODRÍGUEZ, J.</w:t>
      </w:r>
    </w:p>
    <w:p w:rsidR="00FB1BC9" w:rsidP="00554CF8" w14:paraId="20E5822B" w14:textId="77777777">
      <w:pPr>
        <w:spacing w:line="240" w:lineRule="auto"/>
      </w:pPr>
    </w:p>
    <w:p w:rsidR="00FB1BC9" w:rsidP="00554CF8" w14:paraId="0B6836FE" w14:textId="77777777">
      <w:pPr>
        <w:spacing w:line="240" w:lineRule="auto"/>
      </w:pPr>
    </w:p>
    <w:p w:rsidR="00FB1BC9" w:rsidP="00554CF8" w14:paraId="325CCA05" w14:textId="2CBEF8E2">
      <w:pPr>
        <w:spacing w:line="240" w:lineRule="auto"/>
      </w:pPr>
      <w:r>
        <w:t>WE CONCUR:</w:t>
      </w:r>
    </w:p>
    <w:p w:rsidR="00FB1BC9" w:rsidP="00554CF8" w14:paraId="11BDDDD4" w14:textId="77777777">
      <w:pPr>
        <w:spacing w:line="240" w:lineRule="auto"/>
      </w:pPr>
    </w:p>
    <w:p w:rsidR="00FB1BC9" w:rsidP="00554CF8" w14:paraId="13413A34" w14:textId="77777777">
      <w:pPr>
        <w:spacing w:line="240" w:lineRule="auto"/>
      </w:pPr>
    </w:p>
    <w:p w:rsidR="00FB1BC9" w:rsidP="00554CF8" w14:paraId="0B3A55F1" w14:textId="57FFAC08">
      <w:pPr>
        <w:spacing w:line="240" w:lineRule="auto"/>
      </w:pPr>
      <w:r>
        <w:t>_________________________</w:t>
      </w:r>
    </w:p>
    <w:p w:rsidR="00FB1BC9" w:rsidP="00554CF8" w14:paraId="343E681E" w14:textId="439E00F8">
      <w:pPr>
        <w:spacing w:line="240" w:lineRule="auto"/>
      </w:pPr>
      <w:r>
        <w:t>TUCHER, P. J.</w:t>
      </w:r>
    </w:p>
    <w:p w:rsidR="00FB1BC9" w:rsidP="00554CF8" w14:paraId="2773E722" w14:textId="77777777">
      <w:pPr>
        <w:spacing w:line="240" w:lineRule="auto"/>
      </w:pPr>
    </w:p>
    <w:p w:rsidR="00FB1BC9" w:rsidP="00554CF8" w14:paraId="7D89840F" w14:textId="77777777">
      <w:pPr>
        <w:spacing w:line="240" w:lineRule="auto"/>
      </w:pPr>
    </w:p>
    <w:p w:rsidR="00FB1BC9" w:rsidP="00554CF8" w14:paraId="44263A0E" w14:textId="098E1065">
      <w:pPr>
        <w:spacing w:line="240" w:lineRule="auto"/>
      </w:pPr>
      <w:r>
        <w:t>_________________________</w:t>
      </w:r>
    </w:p>
    <w:p w:rsidR="00FB1BC9" w:rsidP="00554CF8" w14:paraId="3DFA1115" w14:textId="60386046">
      <w:pPr>
        <w:spacing w:line="240" w:lineRule="auto"/>
      </w:pPr>
      <w:r>
        <w:t>PETROU, J.</w:t>
      </w:r>
    </w:p>
    <w:p w:rsidR="00FB1BC9" w:rsidP="00554CF8" w14:paraId="52CED951" w14:textId="77777777">
      <w:pPr>
        <w:spacing w:line="240" w:lineRule="auto"/>
      </w:pPr>
    </w:p>
    <w:p w:rsidR="00FB1BC9" w:rsidP="00554CF8" w14:paraId="4E13814F" w14:textId="77777777">
      <w:pPr>
        <w:spacing w:line="240" w:lineRule="auto"/>
      </w:pPr>
    </w:p>
    <w:p w:rsidR="00FB1BC9" w:rsidP="00554CF8" w14:paraId="1105CA74" w14:textId="77777777">
      <w:pPr>
        <w:spacing w:line="240" w:lineRule="auto"/>
      </w:pPr>
    </w:p>
    <w:p w:rsidR="00FB1BC9" w:rsidP="00554CF8" w14:paraId="463C95CD" w14:textId="77777777">
      <w:pPr>
        <w:spacing w:line="240" w:lineRule="auto"/>
      </w:pPr>
    </w:p>
    <w:p w:rsidR="00FB1BC9" w:rsidP="00554CF8" w14:paraId="7EB75860" w14:textId="77777777">
      <w:pPr>
        <w:spacing w:line="240" w:lineRule="auto"/>
      </w:pPr>
    </w:p>
    <w:p w:rsidR="00FB1BC9" w:rsidP="00554CF8" w14:paraId="04595A32" w14:textId="77777777">
      <w:pPr>
        <w:spacing w:line="240" w:lineRule="auto"/>
      </w:pPr>
    </w:p>
    <w:p w:rsidR="00FB1BC9" w:rsidP="00554CF8" w14:paraId="772D09D3" w14:textId="77777777">
      <w:pPr>
        <w:spacing w:line="240" w:lineRule="auto"/>
      </w:pPr>
    </w:p>
    <w:p w:rsidR="00FB1BC9" w:rsidP="00554CF8" w14:paraId="2464C876" w14:textId="77777777">
      <w:pPr>
        <w:spacing w:line="240" w:lineRule="auto"/>
      </w:pPr>
    </w:p>
    <w:p w:rsidR="00FB1BC9" w:rsidP="00554CF8" w14:paraId="2C756CC0" w14:textId="77777777">
      <w:pPr>
        <w:spacing w:line="240" w:lineRule="auto"/>
      </w:pPr>
    </w:p>
    <w:p w:rsidR="00FB1BC9" w:rsidP="00554CF8" w14:paraId="53A4A335" w14:textId="77777777">
      <w:pPr>
        <w:spacing w:line="240" w:lineRule="auto"/>
      </w:pPr>
    </w:p>
    <w:p w:rsidR="00FB1BC9" w:rsidP="00554CF8" w14:paraId="5F916AE9" w14:textId="77777777">
      <w:pPr>
        <w:spacing w:line="240" w:lineRule="auto"/>
      </w:pPr>
    </w:p>
    <w:p w:rsidR="00FB1BC9" w:rsidP="00554CF8" w14:paraId="11C29DE3" w14:textId="77777777">
      <w:pPr>
        <w:spacing w:line="240" w:lineRule="auto"/>
      </w:pPr>
    </w:p>
    <w:p w:rsidR="00FB1BC9" w:rsidP="00554CF8" w14:paraId="2F9351FF" w14:textId="77777777">
      <w:pPr>
        <w:spacing w:line="240" w:lineRule="auto"/>
      </w:pPr>
    </w:p>
    <w:p w:rsidR="00FB1BC9" w:rsidP="00554CF8" w14:paraId="1BDA1623" w14:textId="77777777">
      <w:pPr>
        <w:spacing w:line="240" w:lineRule="auto"/>
      </w:pPr>
    </w:p>
    <w:p w:rsidR="00FB1BC9" w:rsidP="00554CF8" w14:paraId="6457A0F9" w14:textId="77777777">
      <w:pPr>
        <w:spacing w:line="240" w:lineRule="auto"/>
      </w:pPr>
    </w:p>
    <w:p w:rsidR="00FB1BC9" w:rsidP="00554CF8" w14:paraId="49BC08CC" w14:textId="77777777">
      <w:pPr>
        <w:spacing w:line="240" w:lineRule="auto"/>
      </w:pPr>
    </w:p>
    <w:p w:rsidR="00FB1BC9" w:rsidP="00554CF8" w14:paraId="1A2425CC" w14:textId="77777777">
      <w:pPr>
        <w:spacing w:line="240" w:lineRule="auto"/>
      </w:pPr>
    </w:p>
    <w:p w:rsidR="00FB1BC9" w:rsidP="00554CF8" w14:paraId="38D0D2E3" w14:textId="77777777">
      <w:pPr>
        <w:spacing w:line="240" w:lineRule="auto"/>
      </w:pPr>
    </w:p>
    <w:p w:rsidR="00FB1BC9" w:rsidP="00554CF8" w14:paraId="631820C4" w14:textId="77777777">
      <w:pPr>
        <w:spacing w:line="240" w:lineRule="auto"/>
      </w:pPr>
    </w:p>
    <w:p w:rsidR="00FB1BC9" w:rsidP="00554CF8" w14:paraId="4090D170" w14:textId="77777777">
      <w:pPr>
        <w:spacing w:line="240" w:lineRule="auto"/>
      </w:pPr>
    </w:p>
    <w:p w:rsidR="00FB1BC9" w:rsidP="00554CF8" w14:paraId="64BB8DAE" w14:textId="77777777">
      <w:pPr>
        <w:spacing w:line="240" w:lineRule="auto"/>
      </w:pPr>
    </w:p>
    <w:p w:rsidR="00FB1BC9" w:rsidP="00554CF8" w14:paraId="041FAB58" w14:textId="77777777">
      <w:pPr>
        <w:spacing w:line="240" w:lineRule="auto"/>
      </w:pPr>
    </w:p>
    <w:p w:rsidR="00FB1BC9" w:rsidP="00554CF8" w14:paraId="7BB8BF16" w14:textId="77777777">
      <w:pPr>
        <w:spacing w:line="240" w:lineRule="auto"/>
      </w:pPr>
    </w:p>
    <w:p w:rsidR="000E0457" w:rsidP="00554CF8" w14:paraId="76CE385B" w14:textId="77777777">
      <w:pPr>
        <w:spacing w:line="240" w:lineRule="auto"/>
        <w:sectPr w:rsidSect="00B54101">
          <w:footerReference w:type="default" r:id="rId5"/>
          <w:pgSz w:w="12240" w:h="15840"/>
          <w:pgMar w:top="1440" w:right="1440" w:bottom="1440" w:left="1440" w:header="720" w:footer="720" w:gutter="0"/>
          <w:cols w:space="720"/>
          <w:docGrid w:linePitch="360"/>
        </w:sectPr>
      </w:pPr>
      <w:r>
        <w:t>A168834</w:t>
      </w:r>
    </w:p>
    <w:p w:rsidR="000E0457" w:rsidP="000E0457" w14:paraId="46D58892" w14:textId="77777777">
      <w:pPr>
        <w:spacing w:line="240" w:lineRule="auto"/>
        <w:rPr>
          <w:sz w:val="20"/>
        </w:rPr>
      </w:pPr>
      <w:r>
        <w:rPr>
          <w:sz w:val="20"/>
        </w:rPr>
        <w:t>Filed 6/20/24</w:t>
      </w:r>
    </w:p>
    <w:p w:rsidR="000E0457" w:rsidP="000E0457" w14:paraId="08E51582" w14:textId="77777777">
      <w:pPr>
        <w:spacing w:after="120" w:line="240" w:lineRule="auto"/>
        <w:rPr>
          <w:sz w:val="20"/>
        </w:rPr>
      </w:pPr>
    </w:p>
    <w:p w:rsidR="000E0457" w:rsidRPr="00337A27" w:rsidP="000E0457" w14:paraId="5776CA88" w14:textId="77777777">
      <w:pPr>
        <w:spacing w:line="240" w:lineRule="auto"/>
        <w:jc w:val="center"/>
        <w:rPr>
          <w:b/>
        </w:rPr>
      </w:pPr>
      <w:r w:rsidRPr="00337A27">
        <w:rPr>
          <w:b/>
        </w:rPr>
        <w:t>CERTIFIED FOR PUBLICATION</w:t>
      </w:r>
    </w:p>
    <w:p w:rsidR="000E0457" w:rsidP="000E0457" w14:paraId="0344A6FD" w14:textId="77777777">
      <w:pPr>
        <w:spacing w:line="240" w:lineRule="auto"/>
        <w:jc w:val="center"/>
      </w:pPr>
    </w:p>
    <w:p w:rsidR="000E0457" w:rsidRPr="00C13BB2" w:rsidP="000E0457" w14:paraId="7BC6FABE" w14:textId="77777777">
      <w:pPr>
        <w:spacing w:line="240" w:lineRule="auto"/>
        <w:jc w:val="center"/>
      </w:pPr>
      <w:r w:rsidRPr="00C13BB2">
        <w:t>IN THE COURT OF APPEAL OF THE STATE OF CALIFORNIA</w:t>
      </w:r>
    </w:p>
    <w:p w:rsidR="000E0457" w:rsidRPr="00C13BB2" w:rsidP="000E0457" w14:paraId="1B8E4C21" w14:textId="77777777">
      <w:pPr>
        <w:spacing w:line="240" w:lineRule="auto"/>
        <w:jc w:val="center"/>
      </w:pPr>
    </w:p>
    <w:p w:rsidR="000E0457" w:rsidRPr="00C13BB2" w:rsidP="000E0457" w14:paraId="3D0B5732" w14:textId="77777777">
      <w:pPr>
        <w:spacing w:line="240" w:lineRule="auto"/>
        <w:jc w:val="center"/>
      </w:pPr>
      <w:r w:rsidRPr="00C13BB2">
        <w:t>FIRST APPELLATE DISTRICT</w:t>
      </w:r>
    </w:p>
    <w:p w:rsidR="000E0457" w:rsidRPr="00C13BB2" w:rsidP="000E0457" w14:paraId="771CDE65" w14:textId="77777777">
      <w:pPr>
        <w:spacing w:line="240" w:lineRule="auto"/>
        <w:jc w:val="center"/>
      </w:pPr>
    </w:p>
    <w:p w:rsidR="000E0457" w:rsidRPr="00C13BB2" w:rsidP="000E0457" w14:paraId="298CC29A" w14:textId="77777777">
      <w:pPr>
        <w:spacing w:line="240" w:lineRule="auto"/>
        <w:jc w:val="center"/>
      </w:pPr>
      <w:r w:rsidRPr="00C13BB2">
        <w:t>DIVISION THREE</w:t>
      </w:r>
    </w:p>
    <w:p w:rsidR="000E0457" w:rsidRPr="00C13BB2" w:rsidP="000E0457" w14:paraId="181255CE" w14:textId="77777777">
      <w:pPr>
        <w:spacing w:line="240" w:lineRule="auto"/>
        <w:jc w:val="center"/>
      </w:pPr>
    </w:p>
    <w:tbl>
      <w:tblPr>
        <w:tblW w:w="9540" w:type="dxa"/>
        <w:tblLayout w:type="fixed"/>
        <w:tblLook w:val="0000"/>
      </w:tblPr>
      <w:tblGrid>
        <w:gridCol w:w="4770"/>
        <w:gridCol w:w="4770"/>
      </w:tblGrid>
      <w:tr w14:paraId="3F49400E" w14:textId="77777777" w:rsidTr="00272080">
        <w:tblPrEx>
          <w:tblW w:w="9540" w:type="dxa"/>
          <w:tblLayout w:type="fixed"/>
          <w:tblLook w:val="0000"/>
        </w:tblPrEx>
        <w:tc>
          <w:tcPr>
            <w:tcW w:w="4770" w:type="dxa"/>
            <w:tcBorders>
              <w:bottom w:val="single" w:sz="4" w:space="0" w:color="auto"/>
              <w:right w:val="single" w:sz="4" w:space="0" w:color="auto"/>
            </w:tcBorders>
            <w:shd w:val="clear" w:color="auto" w:fill="auto"/>
          </w:tcPr>
          <w:p w:rsidR="000E0457" w:rsidP="00272080" w14:paraId="12727ABC" w14:textId="77777777">
            <w:pPr>
              <w:spacing w:line="240" w:lineRule="auto"/>
            </w:pPr>
            <w:r>
              <w:t>In re K.M., a Person Coming Under the Juvenile Court Law.</w:t>
            </w:r>
          </w:p>
          <w:p w:rsidR="000E0457" w:rsidP="00272080" w14:paraId="4CDB28EE" w14:textId="77777777">
            <w:pPr>
              <w:spacing w:after="120" w:line="240" w:lineRule="auto"/>
            </w:pPr>
            <w:r>
              <w:t>___________________________________</w:t>
            </w:r>
          </w:p>
          <w:p w:rsidR="000E0457" w:rsidRPr="00DE401D" w:rsidP="00272080" w14:paraId="0EBE19DE" w14:textId="77777777">
            <w:pPr>
              <w:spacing w:after="120" w:line="240" w:lineRule="auto"/>
            </w:pPr>
            <w:r>
              <w:t>THE PEOPLE</w:t>
            </w:r>
            <w:r w:rsidRPr="00DE401D">
              <w:t>,</w:t>
            </w:r>
          </w:p>
          <w:p w:rsidR="000E0457" w:rsidRPr="00DE401D" w:rsidP="00272080" w14:paraId="2DF3003D" w14:textId="77777777">
            <w:pPr>
              <w:spacing w:after="120" w:line="240" w:lineRule="auto"/>
            </w:pPr>
            <w:r w:rsidRPr="00DE401D">
              <w:tab/>
              <w:t xml:space="preserve">Plaintiff and </w:t>
            </w:r>
            <w:r>
              <w:t>Respondent</w:t>
            </w:r>
            <w:r w:rsidRPr="00DE401D">
              <w:t>,</w:t>
            </w:r>
          </w:p>
          <w:p w:rsidR="000E0457" w:rsidRPr="00DE401D" w:rsidP="00272080" w14:paraId="5E5CEC8A" w14:textId="77777777">
            <w:pPr>
              <w:spacing w:after="120" w:line="240" w:lineRule="auto"/>
            </w:pPr>
            <w:r w:rsidRPr="00DE401D">
              <w:t>v.</w:t>
            </w:r>
          </w:p>
          <w:p w:rsidR="000E0457" w:rsidRPr="00DE401D" w:rsidP="00272080" w14:paraId="2DEB55CE" w14:textId="77777777">
            <w:pPr>
              <w:spacing w:after="120" w:line="240" w:lineRule="auto"/>
            </w:pPr>
            <w:r>
              <w:t>K.M.</w:t>
            </w:r>
            <w:r w:rsidRPr="00DE401D">
              <w:t>,</w:t>
            </w:r>
          </w:p>
          <w:p w:rsidR="000E0457" w:rsidRPr="00DE401D" w:rsidP="00272080" w14:paraId="38479A5A" w14:textId="77777777">
            <w:pPr>
              <w:spacing w:after="120" w:line="240" w:lineRule="auto"/>
            </w:pPr>
            <w:r w:rsidRPr="00DE401D">
              <w:tab/>
              <w:t xml:space="preserve">Defendant and </w:t>
            </w:r>
            <w:r>
              <w:t>Appellant</w:t>
            </w:r>
            <w:r w:rsidRPr="00DE401D">
              <w:t>.</w:t>
            </w:r>
          </w:p>
        </w:tc>
        <w:tc>
          <w:tcPr>
            <w:tcW w:w="4770" w:type="dxa"/>
            <w:tcBorders>
              <w:left w:val="single" w:sz="4" w:space="0" w:color="auto"/>
            </w:tcBorders>
            <w:shd w:val="clear" w:color="auto" w:fill="auto"/>
          </w:tcPr>
          <w:p w:rsidR="000E0457" w:rsidP="00272080" w14:paraId="2DF9325B" w14:textId="77777777">
            <w:pPr>
              <w:spacing w:after="120" w:line="240" w:lineRule="auto"/>
            </w:pPr>
          </w:p>
          <w:p w:rsidR="000E0457" w:rsidP="00272080" w14:paraId="4C0DA7B9" w14:textId="77777777">
            <w:pPr>
              <w:spacing w:after="120" w:line="240" w:lineRule="auto"/>
            </w:pPr>
          </w:p>
          <w:p w:rsidR="000E0457" w:rsidP="00272080" w14:paraId="42E835CE" w14:textId="77777777">
            <w:pPr>
              <w:spacing w:after="120" w:line="240" w:lineRule="auto"/>
            </w:pPr>
          </w:p>
          <w:p w:rsidR="000E0457" w:rsidRPr="00DE401D" w:rsidP="00272080" w14:paraId="6164F241" w14:textId="77777777">
            <w:pPr>
              <w:spacing w:after="120" w:line="240" w:lineRule="auto"/>
            </w:pPr>
            <w:r w:rsidRPr="00DE401D">
              <w:t xml:space="preserve">      A</w:t>
            </w:r>
            <w:r>
              <w:t>168834</w:t>
            </w:r>
          </w:p>
          <w:p w:rsidR="000E0457" w:rsidP="00272080" w14:paraId="78AEA052" w14:textId="77777777">
            <w:pPr>
              <w:spacing w:line="240" w:lineRule="auto"/>
            </w:pPr>
            <w:r w:rsidRPr="00DE401D">
              <w:t xml:space="preserve">      (</w:t>
            </w:r>
            <w:r>
              <w:t xml:space="preserve">Mendocino County </w:t>
            </w:r>
          </w:p>
          <w:p w:rsidR="000E0457" w:rsidRPr="00DE401D" w:rsidP="00272080" w14:paraId="5E495B87" w14:textId="77777777">
            <w:pPr>
              <w:spacing w:line="240" w:lineRule="auto"/>
            </w:pPr>
            <w:r>
              <w:t xml:space="preserve">      Super. Ct. </w:t>
            </w:r>
            <w:r w:rsidRPr="00DE401D">
              <w:t>No.</w:t>
            </w:r>
            <w:r>
              <w:t xml:space="preserve"> 23JD0004301</w:t>
            </w:r>
            <w:r w:rsidRPr="00DE401D">
              <w:t>)</w:t>
            </w:r>
          </w:p>
        </w:tc>
      </w:tr>
    </w:tbl>
    <w:p w:rsidR="000E0457" w:rsidP="000E0457" w14:paraId="782B3625" w14:textId="77777777">
      <w:pPr>
        <w:spacing w:line="240" w:lineRule="auto"/>
      </w:pPr>
    </w:p>
    <w:p w:rsidR="000E0457" w:rsidRPr="00337A27" w:rsidP="000E0457" w14:paraId="2CC91A36" w14:textId="77777777">
      <w:pPr>
        <w:spacing w:line="240" w:lineRule="auto"/>
        <w:jc w:val="center"/>
        <w:rPr>
          <w:b/>
        </w:rPr>
      </w:pPr>
      <w:r>
        <w:tab/>
      </w:r>
      <w:r w:rsidRPr="00337A27">
        <w:rPr>
          <w:b/>
        </w:rPr>
        <w:t>ORDER CERTIFYING OPINION FOR PUBLICATION</w:t>
      </w:r>
    </w:p>
    <w:p w:rsidR="000E0457" w:rsidRPr="00337A27" w:rsidP="000E0457" w14:paraId="39FF4B54" w14:textId="77777777">
      <w:pPr>
        <w:spacing w:line="240" w:lineRule="auto"/>
        <w:jc w:val="center"/>
        <w:rPr>
          <w:b/>
        </w:rPr>
      </w:pPr>
      <w:r w:rsidRPr="00337A27">
        <w:rPr>
          <w:b/>
        </w:rPr>
        <w:t>[NO CHANGE IN JUDGMENT]</w:t>
      </w:r>
    </w:p>
    <w:p w:rsidR="000E0457" w:rsidRPr="00337A27" w:rsidP="000E0457" w14:paraId="11F9BAD2" w14:textId="77777777">
      <w:r w:rsidRPr="00337A27">
        <w:rPr>
          <w:b/>
        </w:rPr>
        <w:t>THE COURT</w:t>
      </w:r>
      <w:r>
        <w:rPr>
          <w:rStyle w:val="FootnoteReference"/>
          <w:b/>
        </w:rPr>
        <w:footnoteReference w:customMarkFollows="1" w:id="3"/>
        <w:t xml:space="preserve">*</w:t>
      </w:r>
      <w:r w:rsidRPr="00337A27">
        <w:rPr>
          <w:b/>
        </w:rPr>
        <w:t>:</w:t>
      </w:r>
    </w:p>
    <w:p w:rsidR="000E0457" w:rsidRPr="00EA1527" w:rsidP="000E0457" w14:paraId="3480D3F2" w14:textId="77777777">
      <w:r w:rsidRPr="00EA1527">
        <w:tab/>
        <w:t xml:space="preserve">The opinion in </w:t>
      </w:r>
      <w:r>
        <w:t xml:space="preserve">this </w:t>
      </w:r>
      <w:r w:rsidRPr="00EA1527">
        <w:t xml:space="preserve">appeal, filed on </w:t>
      </w:r>
      <w:r>
        <w:t>June 3, 2024</w:t>
      </w:r>
      <w:r w:rsidRPr="00EA1527">
        <w:t>, was not certified for publication in the Official Reports.  For good cause appearing, pursuant to California Rules of Court, rule 8.1105(b)</w:t>
      </w:r>
      <w:r>
        <w:t xml:space="preserve"> and</w:t>
      </w:r>
      <w:r w:rsidRPr="00EA1527">
        <w:t xml:space="preserve"> (c), the opinion is certified for publication.  Accordingly, </w:t>
      </w:r>
      <w:r>
        <w:t>Pacific Juvenile Defender Center</w:t>
      </w:r>
      <w:r w:rsidRPr="00EA1527">
        <w:t>’s request for</w:t>
      </w:r>
      <w:r>
        <w:t xml:space="preserve"> </w:t>
      </w:r>
      <w:r w:rsidRPr="00EA1527">
        <w:t>publication is GRANTED.</w:t>
      </w:r>
    </w:p>
    <w:p w:rsidR="000E0457" w:rsidP="000E0457" w14:paraId="4D4FB398" w14:textId="77777777">
      <w:pPr>
        <w:spacing w:after="120"/>
        <w:ind w:firstLine="720"/>
      </w:pPr>
      <w:r w:rsidRPr="00EA1527">
        <w:t>The order effects no change in the judgment.</w:t>
      </w:r>
    </w:p>
    <w:p w:rsidR="000E0457" w:rsidRPr="00EA1527" w:rsidP="000E0457" w14:paraId="05A9AF68" w14:textId="77777777">
      <w:pPr>
        <w:spacing w:after="120"/>
        <w:ind w:firstLine="720"/>
      </w:pPr>
    </w:p>
    <w:p w:rsidR="000E0457" w:rsidP="000E0457" w14:paraId="59BACC72" w14:textId="77777777">
      <w:pPr>
        <w:spacing w:line="276" w:lineRule="auto"/>
      </w:pPr>
      <w:r w:rsidRPr="00EA1527">
        <w:t xml:space="preserve">Dated:  </w:t>
      </w:r>
      <w:r>
        <w:rPr>
          <w:u w:val="single"/>
        </w:rPr>
        <w:t>6/20/2024</w:t>
      </w:r>
      <w:r w:rsidRPr="00EA1527">
        <w:tab/>
      </w:r>
      <w:r w:rsidRPr="00EA1527">
        <w:tab/>
      </w:r>
      <w:r w:rsidRPr="00EA1527">
        <w:tab/>
      </w:r>
      <w:r w:rsidRPr="004C518F">
        <w:rPr>
          <w:u w:val="single"/>
        </w:rPr>
        <w:t>____</w:t>
      </w:r>
      <w:r>
        <w:rPr>
          <w:u w:val="single"/>
        </w:rPr>
        <w:t>/Tucher, P.J.</w:t>
      </w:r>
      <w:r w:rsidRPr="004C518F">
        <w:rPr>
          <w:u w:val="single"/>
        </w:rPr>
        <w:t>____________________</w:t>
      </w:r>
      <w:r w:rsidRPr="00EA1527">
        <w:t>, P. J.</w:t>
      </w:r>
    </w:p>
    <w:p w:rsidR="000E0457" w:rsidP="000E0457" w14:paraId="6E421CEF" w14:textId="77777777">
      <w:pPr>
        <w:spacing w:line="276" w:lineRule="auto"/>
      </w:pPr>
    </w:p>
    <w:p w:rsidR="000E0457" w:rsidRPr="00EA1527" w:rsidP="000E0457" w14:paraId="795CEFC3" w14:textId="77777777">
      <w:pPr>
        <w:spacing w:line="240" w:lineRule="auto"/>
      </w:pPr>
      <w:r w:rsidRPr="00EA1527">
        <w:t>Superior Court of M</w:t>
      </w:r>
      <w:r>
        <w:t>endocino</w:t>
      </w:r>
      <w:r w:rsidRPr="00EA1527">
        <w:t xml:space="preserve"> County, Hon. </w:t>
      </w:r>
      <w:r>
        <w:t>Ann C. Moorman.</w:t>
      </w:r>
    </w:p>
    <w:p w:rsidR="000E0457" w:rsidRPr="00EA1527" w:rsidP="000E0457" w14:paraId="7D66FE40" w14:textId="77777777">
      <w:pPr>
        <w:spacing w:line="240" w:lineRule="auto"/>
      </w:pPr>
    </w:p>
    <w:p w:rsidR="000E0457" w:rsidRPr="006801C3" w:rsidP="000E0457" w14:paraId="7334EB89" w14:textId="77777777">
      <w:pPr>
        <w:spacing w:line="240" w:lineRule="auto"/>
        <w:rPr>
          <w:highlight w:val="yellow"/>
        </w:rPr>
      </w:pPr>
      <w:r>
        <w:t>Heather E. Shallenberger, under appointment by the Court of Appeal</w:t>
      </w:r>
      <w:r w:rsidRPr="000F6B76">
        <w:t>, for Defendant and Appellant.</w:t>
      </w:r>
    </w:p>
    <w:p w:rsidR="000E0457" w:rsidRPr="006801C3" w:rsidP="000E0457" w14:paraId="503CE493" w14:textId="77777777">
      <w:pPr>
        <w:spacing w:line="240" w:lineRule="auto"/>
        <w:rPr>
          <w:highlight w:val="yellow"/>
        </w:rPr>
      </w:pPr>
    </w:p>
    <w:p w:rsidR="000E0457" w:rsidRPr="005448FE" w:rsidP="000E0457" w14:paraId="4B19B458" w14:textId="77777777">
      <w:pPr>
        <w:spacing w:line="240" w:lineRule="auto"/>
      </w:pPr>
      <w:r>
        <w:t>Rob Bonta</w:t>
      </w:r>
      <w:r w:rsidRPr="00404A29">
        <w:t>, Attorney General</w:t>
      </w:r>
      <w:r w:rsidRPr="00413866">
        <w:t xml:space="preserve">, Lance E. Winters, Chief Assistant Attorney General, </w:t>
      </w:r>
      <w:r>
        <w:t xml:space="preserve">Jeffrey M. Laurence, </w:t>
      </w:r>
      <w:r w:rsidRPr="00583880">
        <w:t xml:space="preserve">Assistant Attorney General, </w:t>
      </w:r>
      <w:r>
        <w:t xml:space="preserve">Donna M. Provenzano and Victoria Ratnikova, </w:t>
      </w:r>
      <w:r w:rsidRPr="004705B4">
        <w:t>Deputy</w:t>
      </w:r>
      <w:r>
        <w:t xml:space="preserve"> Attorneys General, </w:t>
      </w:r>
      <w:r w:rsidRPr="005C2C1F">
        <w:t xml:space="preserve">for </w:t>
      </w:r>
      <w:r w:rsidRPr="000D3233">
        <w:t>Plaintiff and Respondent.</w:t>
      </w:r>
    </w:p>
    <w:p w:rsidR="00FB1BC9" w:rsidRPr="005448FE" w:rsidP="00554CF8" w14:paraId="7F27C476" w14:textId="79B91F5C">
      <w:pPr>
        <w:spacing w:line="240" w:lineRule="auto"/>
      </w:pPr>
    </w:p>
    <w:sectPr w:rsidSect="000E0457">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19429984"/>
      <w:docPartObj>
        <w:docPartGallery w:val="Page Numbers (Bottom of Page)"/>
        <w:docPartUnique/>
      </w:docPartObj>
    </w:sdtPr>
    <w:sdtEndPr>
      <w:rPr>
        <w:noProof/>
      </w:rPr>
    </w:sdtEndPr>
    <w:sdtContent>
      <w:p w:rsidR="00981C76" w14:paraId="5849C707" w14:textId="4218CE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81C76" w14:paraId="47E8795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D6E14" w:rsidP="00981C76" w14:paraId="355CBC0B" w14:textId="77777777">
      <w:pPr>
        <w:spacing w:line="240" w:lineRule="auto"/>
      </w:pPr>
      <w:r>
        <w:separator/>
      </w:r>
    </w:p>
  </w:footnote>
  <w:footnote w:type="continuationSeparator" w:id="1">
    <w:p w:rsidR="008D6E14" w:rsidP="00981C76" w14:paraId="346E3EDE" w14:textId="77777777">
      <w:pPr>
        <w:spacing w:line="240" w:lineRule="auto"/>
      </w:pPr>
      <w:r>
        <w:continuationSeparator/>
      </w:r>
    </w:p>
  </w:footnote>
  <w:footnote w:id="2">
    <w:p w:rsidR="007433AA" w:rsidP="00A4538C" w14:paraId="56549394" w14:textId="748621E0">
      <w:pPr>
        <w:pStyle w:val="FootnoteText"/>
        <w:ind w:firstLine="720"/>
      </w:pPr>
      <w:r w:rsidRPr="00A4538C">
        <w:rPr>
          <w:rStyle w:val="FootnoteReference"/>
          <w:sz w:val="26"/>
          <w:szCs w:val="26"/>
        </w:rPr>
        <w:footnoteRef/>
      </w:r>
      <w:r w:rsidRPr="009D24CB">
        <w:rPr>
          <w:sz w:val="26"/>
          <w:szCs w:val="26"/>
        </w:rPr>
        <w:t xml:space="preserve"> </w:t>
      </w:r>
      <w:r w:rsidR="00331587">
        <w:rPr>
          <w:sz w:val="26"/>
          <w:szCs w:val="26"/>
        </w:rPr>
        <w:t>“Any person, except a duly appointed peace officer</w:t>
      </w:r>
      <w:r w:rsidR="0078349E">
        <w:rPr>
          <w:sz w:val="26"/>
          <w:szCs w:val="26"/>
        </w:rPr>
        <w:t xml:space="preserve"> . . . </w:t>
      </w:r>
      <w:r w:rsidR="00331587">
        <w:rPr>
          <w:sz w:val="26"/>
          <w:szCs w:val="26"/>
        </w:rPr>
        <w:t>, who brings or possesses any</w:t>
      </w:r>
      <w:r w:rsidR="0078349E">
        <w:rPr>
          <w:sz w:val="26"/>
          <w:szCs w:val="26"/>
        </w:rPr>
        <w:t xml:space="preserve"> . . . </w:t>
      </w:r>
      <w:r w:rsidR="00331587">
        <w:rPr>
          <w:sz w:val="26"/>
          <w:szCs w:val="26"/>
        </w:rPr>
        <w:t>knife having a blade longer than 2</w:t>
      </w:r>
      <w:r w:rsidR="0078349E">
        <w:rPr>
          <w:sz w:val="26"/>
          <w:szCs w:val="26"/>
        </w:rPr>
        <w:t xml:space="preserve"> 1/2</w:t>
      </w:r>
      <w:r w:rsidR="00331587">
        <w:rPr>
          <w:sz w:val="26"/>
          <w:szCs w:val="26"/>
        </w:rPr>
        <w:t xml:space="preserve"> inches</w:t>
      </w:r>
      <w:r w:rsidR="0078349E">
        <w:rPr>
          <w:sz w:val="26"/>
          <w:szCs w:val="26"/>
        </w:rPr>
        <w:t xml:space="preserve"> . . .</w:t>
      </w:r>
      <w:r w:rsidR="009D24CB">
        <w:rPr>
          <w:sz w:val="26"/>
          <w:szCs w:val="26"/>
        </w:rPr>
        <w:t xml:space="preserve"> </w:t>
      </w:r>
      <w:r w:rsidR="0078349E">
        <w:rPr>
          <w:sz w:val="26"/>
          <w:szCs w:val="26"/>
        </w:rPr>
        <w:t>,</w:t>
      </w:r>
      <w:r w:rsidR="00331587">
        <w:rPr>
          <w:sz w:val="26"/>
          <w:szCs w:val="26"/>
        </w:rPr>
        <w:t xml:space="preserve"> upon the grounds of, or within, any public or private school</w:t>
      </w:r>
      <w:r w:rsidR="003F48DC">
        <w:rPr>
          <w:sz w:val="26"/>
          <w:szCs w:val="26"/>
        </w:rPr>
        <w:t xml:space="preserve"> . . . </w:t>
      </w:r>
      <w:r w:rsidR="00331587">
        <w:rPr>
          <w:sz w:val="26"/>
          <w:szCs w:val="26"/>
        </w:rPr>
        <w:t xml:space="preserve">is guilty of a public offense.” </w:t>
      </w:r>
      <w:r w:rsidR="00EB063E">
        <w:rPr>
          <w:sz w:val="26"/>
          <w:szCs w:val="26"/>
        </w:rPr>
        <w:t xml:space="preserve"> (</w:t>
      </w:r>
      <w:r w:rsidRPr="00EB063E" w:rsidR="00EB063E">
        <w:rPr>
          <w:sz w:val="26"/>
          <w:szCs w:val="26"/>
        </w:rPr>
        <w:t>§ 626.10, subd. (a)(1)</w:t>
      </w:r>
      <w:r w:rsidR="00EB063E">
        <w:rPr>
          <w:sz w:val="26"/>
          <w:szCs w:val="26"/>
        </w:rPr>
        <w:t>.)</w:t>
      </w:r>
    </w:p>
  </w:footnote>
  <w:footnote w:id="3">
    <w:p w:rsidR="000E0457" w:rsidRPr="006D6842" w:rsidP="000E0457" w14:paraId="34285EC0" w14:textId="77777777">
      <w:pPr>
        <w:pStyle w:val="FootnoteText"/>
        <w:ind w:firstLine="720"/>
        <w:rPr>
          <w:sz w:val="26"/>
          <w:szCs w:val="26"/>
        </w:rPr>
      </w:pPr>
      <w:r w:rsidRPr="006D6842">
        <w:rPr>
          <w:rStyle w:val="FootnoteReference"/>
          <w:sz w:val="26"/>
          <w:szCs w:val="26"/>
        </w:rPr>
        <w:t>*</w:t>
      </w:r>
      <w:r w:rsidRPr="006D6842">
        <w:rPr>
          <w:sz w:val="26"/>
          <w:szCs w:val="26"/>
        </w:rPr>
        <w:t xml:space="preserve"> Tucher, P. J., </w:t>
      </w:r>
      <w:r>
        <w:rPr>
          <w:sz w:val="26"/>
          <w:szCs w:val="26"/>
        </w:rPr>
        <w:t>Petrou</w:t>
      </w:r>
      <w:r w:rsidRPr="006D6842">
        <w:rPr>
          <w:sz w:val="26"/>
          <w:szCs w:val="26"/>
        </w:rPr>
        <w:t>, J., and Rodríguez, J. participated in the decision.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3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23"/>
    <w:rsid w:val="00000D0A"/>
    <w:rsid w:val="0000355A"/>
    <w:rsid w:val="00004326"/>
    <w:rsid w:val="00006673"/>
    <w:rsid w:val="00010EEA"/>
    <w:rsid w:val="0001446F"/>
    <w:rsid w:val="00016D05"/>
    <w:rsid w:val="00016FE7"/>
    <w:rsid w:val="0001710E"/>
    <w:rsid w:val="00017745"/>
    <w:rsid w:val="00023780"/>
    <w:rsid w:val="000269F6"/>
    <w:rsid w:val="000308FE"/>
    <w:rsid w:val="0003294A"/>
    <w:rsid w:val="000339B5"/>
    <w:rsid w:val="00033AA8"/>
    <w:rsid w:val="00035CCA"/>
    <w:rsid w:val="00041CB2"/>
    <w:rsid w:val="00043FE2"/>
    <w:rsid w:val="000462C5"/>
    <w:rsid w:val="00047BFD"/>
    <w:rsid w:val="00056187"/>
    <w:rsid w:val="0005680E"/>
    <w:rsid w:val="00057051"/>
    <w:rsid w:val="00067615"/>
    <w:rsid w:val="00070A68"/>
    <w:rsid w:val="000806D2"/>
    <w:rsid w:val="0008110A"/>
    <w:rsid w:val="000812BD"/>
    <w:rsid w:val="00081CFB"/>
    <w:rsid w:val="0009122E"/>
    <w:rsid w:val="00091762"/>
    <w:rsid w:val="0009214D"/>
    <w:rsid w:val="00093FEA"/>
    <w:rsid w:val="00097E89"/>
    <w:rsid w:val="000A0491"/>
    <w:rsid w:val="000A1C2B"/>
    <w:rsid w:val="000A5D42"/>
    <w:rsid w:val="000B23F7"/>
    <w:rsid w:val="000B39D1"/>
    <w:rsid w:val="000B46EE"/>
    <w:rsid w:val="000B734B"/>
    <w:rsid w:val="000B75FF"/>
    <w:rsid w:val="000B7711"/>
    <w:rsid w:val="000C35F6"/>
    <w:rsid w:val="000C3EE3"/>
    <w:rsid w:val="000C3F71"/>
    <w:rsid w:val="000C407D"/>
    <w:rsid w:val="000C5F18"/>
    <w:rsid w:val="000C676E"/>
    <w:rsid w:val="000C7DEF"/>
    <w:rsid w:val="000D04B6"/>
    <w:rsid w:val="000D3233"/>
    <w:rsid w:val="000D4885"/>
    <w:rsid w:val="000D5660"/>
    <w:rsid w:val="000D58B2"/>
    <w:rsid w:val="000D674D"/>
    <w:rsid w:val="000D6CC0"/>
    <w:rsid w:val="000D6D84"/>
    <w:rsid w:val="000E0457"/>
    <w:rsid w:val="000E0599"/>
    <w:rsid w:val="000E20B4"/>
    <w:rsid w:val="000E2FC3"/>
    <w:rsid w:val="000E30D9"/>
    <w:rsid w:val="000E42C2"/>
    <w:rsid w:val="000E4C19"/>
    <w:rsid w:val="000E514C"/>
    <w:rsid w:val="000F0D0C"/>
    <w:rsid w:val="000F358D"/>
    <w:rsid w:val="000F6B76"/>
    <w:rsid w:val="000F71D4"/>
    <w:rsid w:val="00100408"/>
    <w:rsid w:val="001007E2"/>
    <w:rsid w:val="0010188B"/>
    <w:rsid w:val="00102591"/>
    <w:rsid w:val="00102F2B"/>
    <w:rsid w:val="00103474"/>
    <w:rsid w:val="001046A6"/>
    <w:rsid w:val="0010765A"/>
    <w:rsid w:val="001101F2"/>
    <w:rsid w:val="00110544"/>
    <w:rsid w:val="00114C24"/>
    <w:rsid w:val="00117BCD"/>
    <w:rsid w:val="001205A9"/>
    <w:rsid w:val="0012062E"/>
    <w:rsid w:val="00120A37"/>
    <w:rsid w:val="001211B7"/>
    <w:rsid w:val="00121930"/>
    <w:rsid w:val="00122DA5"/>
    <w:rsid w:val="0012651B"/>
    <w:rsid w:val="00126776"/>
    <w:rsid w:val="00126C83"/>
    <w:rsid w:val="00126FD0"/>
    <w:rsid w:val="001323F9"/>
    <w:rsid w:val="00132ABE"/>
    <w:rsid w:val="001367E3"/>
    <w:rsid w:val="00137FD5"/>
    <w:rsid w:val="001415AD"/>
    <w:rsid w:val="00142403"/>
    <w:rsid w:val="00143870"/>
    <w:rsid w:val="00144A7E"/>
    <w:rsid w:val="00144EBB"/>
    <w:rsid w:val="0014646E"/>
    <w:rsid w:val="00147E17"/>
    <w:rsid w:val="00152A6D"/>
    <w:rsid w:val="00152EC9"/>
    <w:rsid w:val="00153241"/>
    <w:rsid w:val="00154051"/>
    <w:rsid w:val="00154480"/>
    <w:rsid w:val="001569D0"/>
    <w:rsid w:val="001604B8"/>
    <w:rsid w:val="00160C71"/>
    <w:rsid w:val="001636B8"/>
    <w:rsid w:val="0016392F"/>
    <w:rsid w:val="001655C6"/>
    <w:rsid w:val="00166974"/>
    <w:rsid w:val="0017211C"/>
    <w:rsid w:val="00172B3E"/>
    <w:rsid w:val="0017359A"/>
    <w:rsid w:val="0017611F"/>
    <w:rsid w:val="001761B8"/>
    <w:rsid w:val="001765A7"/>
    <w:rsid w:val="00180F88"/>
    <w:rsid w:val="0018222F"/>
    <w:rsid w:val="00182446"/>
    <w:rsid w:val="001824CF"/>
    <w:rsid w:val="001831BC"/>
    <w:rsid w:val="00183503"/>
    <w:rsid w:val="00183CE0"/>
    <w:rsid w:val="00190B72"/>
    <w:rsid w:val="00190F74"/>
    <w:rsid w:val="001911E0"/>
    <w:rsid w:val="0019149C"/>
    <w:rsid w:val="00191FD0"/>
    <w:rsid w:val="001929F6"/>
    <w:rsid w:val="00195575"/>
    <w:rsid w:val="00195F44"/>
    <w:rsid w:val="00196333"/>
    <w:rsid w:val="00196340"/>
    <w:rsid w:val="001A02B8"/>
    <w:rsid w:val="001A26E7"/>
    <w:rsid w:val="001A379F"/>
    <w:rsid w:val="001A3D67"/>
    <w:rsid w:val="001A3EB5"/>
    <w:rsid w:val="001A4459"/>
    <w:rsid w:val="001A5BF2"/>
    <w:rsid w:val="001A5E84"/>
    <w:rsid w:val="001B064D"/>
    <w:rsid w:val="001B08B6"/>
    <w:rsid w:val="001B2387"/>
    <w:rsid w:val="001B2ADB"/>
    <w:rsid w:val="001B5A2D"/>
    <w:rsid w:val="001B5BA2"/>
    <w:rsid w:val="001B6BA7"/>
    <w:rsid w:val="001B79B7"/>
    <w:rsid w:val="001C00C3"/>
    <w:rsid w:val="001C0A8E"/>
    <w:rsid w:val="001C36C5"/>
    <w:rsid w:val="001C4A9B"/>
    <w:rsid w:val="001C6ABB"/>
    <w:rsid w:val="001D3084"/>
    <w:rsid w:val="001D3F0B"/>
    <w:rsid w:val="001D3F8E"/>
    <w:rsid w:val="001D41A0"/>
    <w:rsid w:val="001D5A96"/>
    <w:rsid w:val="001E0AB0"/>
    <w:rsid w:val="001E0ABC"/>
    <w:rsid w:val="001E0CE2"/>
    <w:rsid w:val="001E3344"/>
    <w:rsid w:val="001E42A0"/>
    <w:rsid w:val="001E498B"/>
    <w:rsid w:val="001E5D4F"/>
    <w:rsid w:val="001F286B"/>
    <w:rsid w:val="001F44AD"/>
    <w:rsid w:val="001F554C"/>
    <w:rsid w:val="001F7D1D"/>
    <w:rsid w:val="00200671"/>
    <w:rsid w:val="00200AF9"/>
    <w:rsid w:val="002023F4"/>
    <w:rsid w:val="0020336F"/>
    <w:rsid w:val="00204839"/>
    <w:rsid w:val="00207F28"/>
    <w:rsid w:val="00210210"/>
    <w:rsid w:val="002107CB"/>
    <w:rsid w:val="002112CD"/>
    <w:rsid w:val="00211C97"/>
    <w:rsid w:val="002120BA"/>
    <w:rsid w:val="00214D5F"/>
    <w:rsid w:val="002150E3"/>
    <w:rsid w:val="002176CC"/>
    <w:rsid w:val="00226881"/>
    <w:rsid w:val="0022790D"/>
    <w:rsid w:val="00227CB4"/>
    <w:rsid w:val="002303E6"/>
    <w:rsid w:val="0023219C"/>
    <w:rsid w:val="00232DD9"/>
    <w:rsid w:val="0023396E"/>
    <w:rsid w:val="00233F2E"/>
    <w:rsid w:val="00234CE6"/>
    <w:rsid w:val="00234E92"/>
    <w:rsid w:val="00235BB9"/>
    <w:rsid w:val="002422E5"/>
    <w:rsid w:val="0024377A"/>
    <w:rsid w:val="002459BB"/>
    <w:rsid w:val="0024664A"/>
    <w:rsid w:val="00246D18"/>
    <w:rsid w:val="00251838"/>
    <w:rsid w:val="00252745"/>
    <w:rsid w:val="00252B6B"/>
    <w:rsid w:val="00253752"/>
    <w:rsid w:val="00254272"/>
    <w:rsid w:val="00254524"/>
    <w:rsid w:val="0025508B"/>
    <w:rsid w:val="002558E1"/>
    <w:rsid w:val="002604CA"/>
    <w:rsid w:val="00263EC6"/>
    <w:rsid w:val="00267749"/>
    <w:rsid w:val="00271420"/>
    <w:rsid w:val="00272080"/>
    <w:rsid w:val="002724DA"/>
    <w:rsid w:val="002731FC"/>
    <w:rsid w:val="0027476A"/>
    <w:rsid w:val="00274F01"/>
    <w:rsid w:val="0027550D"/>
    <w:rsid w:val="00275CD9"/>
    <w:rsid w:val="00277115"/>
    <w:rsid w:val="00280BBC"/>
    <w:rsid w:val="00280BE8"/>
    <w:rsid w:val="00282734"/>
    <w:rsid w:val="002827E3"/>
    <w:rsid w:val="0028685B"/>
    <w:rsid w:val="00290644"/>
    <w:rsid w:val="00292C04"/>
    <w:rsid w:val="002950F3"/>
    <w:rsid w:val="0029683E"/>
    <w:rsid w:val="00296A23"/>
    <w:rsid w:val="0029777C"/>
    <w:rsid w:val="002A187A"/>
    <w:rsid w:val="002A1D5A"/>
    <w:rsid w:val="002A24C4"/>
    <w:rsid w:val="002A3D09"/>
    <w:rsid w:val="002A65A1"/>
    <w:rsid w:val="002A7F1D"/>
    <w:rsid w:val="002B2D3C"/>
    <w:rsid w:val="002B4899"/>
    <w:rsid w:val="002B5350"/>
    <w:rsid w:val="002B56D0"/>
    <w:rsid w:val="002B6243"/>
    <w:rsid w:val="002C13B9"/>
    <w:rsid w:val="002C3241"/>
    <w:rsid w:val="002C339D"/>
    <w:rsid w:val="002C421D"/>
    <w:rsid w:val="002C6F3C"/>
    <w:rsid w:val="002D02E9"/>
    <w:rsid w:val="002D0F0A"/>
    <w:rsid w:val="002D24A2"/>
    <w:rsid w:val="002D4387"/>
    <w:rsid w:val="002D61D2"/>
    <w:rsid w:val="002D6AE2"/>
    <w:rsid w:val="002D6FDD"/>
    <w:rsid w:val="002E0ADB"/>
    <w:rsid w:val="002E14D8"/>
    <w:rsid w:val="002E3D0E"/>
    <w:rsid w:val="002E6FC1"/>
    <w:rsid w:val="002F11BA"/>
    <w:rsid w:val="002F195D"/>
    <w:rsid w:val="002F1F61"/>
    <w:rsid w:val="002F3817"/>
    <w:rsid w:val="002F42C4"/>
    <w:rsid w:val="002F7E9D"/>
    <w:rsid w:val="00303D39"/>
    <w:rsid w:val="003104EF"/>
    <w:rsid w:val="00312704"/>
    <w:rsid w:val="00312928"/>
    <w:rsid w:val="00313A29"/>
    <w:rsid w:val="0031432F"/>
    <w:rsid w:val="00314F8E"/>
    <w:rsid w:val="00321F08"/>
    <w:rsid w:val="00323625"/>
    <w:rsid w:val="00324700"/>
    <w:rsid w:val="003306D2"/>
    <w:rsid w:val="00331587"/>
    <w:rsid w:val="0033328C"/>
    <w:rsid w:val="00334C61"/>
    <w:rsid w:val="0033653B"/>
    <w:rsid w:val="003372A6"/>
    <w:rsid w:val="00337A27"/>
    <w:rsid w:val="00337F9A"/>
    <w:rsid w:val="003416E4"/>
    <w:rsid w:val="00345C28"/>
    <w:rsid w:val="003502EE"/>
    <w:rsid w:val="00351CA0"/>
    <w:rsid w:val="003526E6"/>
    <w:rsid w:val="00352A6D"/>
    <w:rsid w:val="00354660"/>
    <w:rsid w:val="00354CEC"/>
    <w:rsid w:val="00356F06"/>
    <w:rsid w:val="00357220"/>
    <w:rsid w:val="00357A6E"/>
    <w:rsid w:val="00357C86"/>
    <w:rsid w:val="00360563"/>
    <w:rsid w:val="00366C7B"/>
    <w:rsid w:val="00371999"/>
    <w:rsid w:val="00371AEE"/>
    <w:rsid w:val="00371E81"/>
    <w:rsid w:val="00371EED"/>
    <w:rsid w:val="00372A45"/>
    <w:rsid w:val="00372DEC"/>
    <w:rsid w:val="003815E7"/>
    <w:rsid w:val="00382992"/>
    <w:rsid w:val="00382A2D"/>
    <w:rsid w:val="00385320"/>
    <w:rsid w:val="00386C41"/>
    <w:rsid w:val="00387B38"/>
    <w:rsid w:val="003975C8"/>
    <w:rsid w:val="003A14B9"/>
    <w:rsid w:val="003A1B23"/>
    <w:rsid w:val="003A386B"/>
    <w:rsid w:val="003A4F19"/>
    <w:rsid w:val="003A4FA6"/>
    <w:rsid w:val="003B1895"/>
    <w:rsid w:val="003B1B53"/>
    <w:rsid w:val="003B1D57"/>
    <w:rsid w:val="003C1C0D"/>
    <w:rsid w:val="003C25F4"/>
    <w:rsid w:val="003C32F7"/>
    <w:rsid w:val="003C355D"/>
    <w:rsid w:val="003C4447"/>
    <w:rsid w:val="003C4B10"/>
    <w:rsid w:val="003C5996"/>
    <w:rsid w:val="003C7ED9"/>
    <w:rsid w:val="003D2961"/>
    <w:rsid w:val="003D34D3"/>
    <w:rsid w:val="003D4DD1"/>
    <w:rsid w:val="003D658B"/>
    <w:rsid w:val="003D7690"/>
    <w:rsid w:val="003E66F8"/>
    <w:rsid w:val="003E70F5"/>
    <w:rsid w:val="003E756E"/>
    <w:rsid w:val="003F48DC"/>
    <w:rsid w:val="003F51B8"/>
    <w:rsid w:val="003F5B59"/>
    <w:rsid w:val="003F7E35"/>
    <w:rsid w:val="0040244C"/>
    <w:rsid w:val="00403437"/>
    <w:rsid w:val="00403BBF"/>
    <w:rsid w:val="004043C7"/>
    <w:rsid w:val="004048B1"/>
    <w:rsid w:val="00404A29"/>
    <w:rsid w:val="00404D9A"/>
    <w:rsid w:val="00405640"/>
    <w:rsid w:val="004056B7"/>
    <w:rsid w:val="00406991"/>
    <w:rsid w:val="004071F4"/>
    <w:rsid w:val="00413866"/>
    <w:rsid w:val="00413AA9"/>
    <w:rsid w:val="00414333"/>
    <w:rsid w:val="004207FD"/>
    <w:rsid w:val="00420DAE"/>
    <w:rsid w:val="0042321C"/>
    <w:rsid w:val="004239FA"/>
    <w:rsid w:val="0043365C"/>
    <w:rsid w:val="00433A7D"/>
    <w:rsid w:val="00435D71"/>
    <w:rsid w:val="00437382"/>
    <w:rsid w:val="004408DA"/>
    <w:rsid w:val="00440FF2"/>
    <w:rsid w:val="00441062"/>
    <w:rsid w:val="00441876"/>
    <w:rsid w:val="00444173"/>
    <w:rsid w:val="004502A1"/>
    <w:rsid w:val="004502C9"/>
    <w:rsid w:val="004508D6"/>
    <w:rsid w:val="00451E73"/>
    <w:rsid w:val="00452038"/>
    <w:rsid w:val="00453328"/>
    <w:rsid w:val="00453758"/>
    <w:rsid w:val="00453D3B"/>
    <w:rsid w:val="00455AE0"/>
    <w:rsid w:val="0045756A"/>
    <w:rsid w:val="00457AA4"/>
    <w:rsid w:val="00457C1E"/>
    <w:rsid w:val="0046175A"/>
    <w:rsid w:val="00462420"/>
    <w:rsid w:val="00463D71"/>
    <w:rsid w:val="00466CBA"/>
    <w:rsid w:val="004673DA"/>
    <w:rsid w:val="0046780D"/>
    <w:rsid w:val="004705B4"/>
    <w:rsid w:val="00471AD9"/>
    <w:rsid w:val="00481923"/>
    <w:rsid w:val="004825EE"/>
    <w:rsid w:val="00484173"/>
    <w:rsid w:val="00484D4E"/>
    <w:rsid w:val="00484DE3"/>
    <w:rsid w:val="0048630F"/>
    <w:rsid w:val="00490A84"/>
    <w:rsid w:val="00490B5F"/>
    <w:rsid w:val="004921DB"/>
    <w:rsid w:val="00494635"/>
    <w:rsid w:val="004952D9"/>
    <w:rsid w:val="00495B59"/>
    <w:rsid w:val="00497083"/>
    <w:rsid w:val="004A35FF"/>
    <w:rsid w:val="004A3BC5"/>
    <w:rsid w:val="004A3C5A"/>
    <w:rsid w:val="004A5F73"/>
    <w:rsid w:val="004A6149"/>
    <w:rsid w:val="004A6C31"/>
    <w:rsid w:val="004A75FE"/>
    <w:rsid w:val="004A7C97"/>
    <w:rsid w:val="004B10A7"/>
    <w:rsid w:val="004B14B2"/>
    <w:rsid w:val="004B27C1"/>
    <w:rsid w:val="004B399C"/>
    <w:rsid w:val="004B3CD8"/>
    <w:rsid w:val="004B414E"/>
    <w:rsid w:val="004B4992"/>
    <w:rsid w:val="004B6BB7"/>
    <w:rsid w:val="004B76B5"/>
    <w:rsid w:val="004B7F81"/>
    <w:rsid w:val="004B7FE7"/>
    <w:rsid w:val="004C1AC3"/>
    <w:rsid w:val="004C251C"/>
    <w:rsid w:val="004C3612"/>
    <w:rsid w:val="004C518F"/>
    <w:rsid w:val="004C7359"/>
    <w:rsid w:val="004D2492"/>
    <w:rsid w:val="004D3782"/>
    <w:rsid w:val="004D456F"/>
    <w:rsid w:val="004D4E39"/>
    <w:rsid w:val="004D4EBF"/>
    <w:rsid w:val="004D66FE"/>
    <w:rsid w:val="004D6B23"/>
    <w:rsid w:val="004D6D5D"/>
    <w:rsid w:val="004E13A1"/>
    <w:rsid w:val="004E18C9"/>
    <w:rsid w:val="004E23BC"/>
    <w:rsid w:val="004E2EC1"/>
    <w:rsid w:val="004E2F40"/>
    <w:rsid w:val="004E39F8"/>
    <w:rsid w:val="004E4A7D"/>
    <w:rsid w:val="004E4D6B"/>
    <w:rsid w:val="004E5900"/>
    <w:rsid w:val="004F066F"/>
    <w:rsid w:val="004F0840"/>
    <w:rsid w:val="004F12F8"/>
    <w:rsid w:val="004F146F"/>
    <w:rsid w:val="004F1497"/>
    <w:rsid w:val="004F36B4"/>
    <w:rsid w:val="004F3CB3"/>
    <w:rsid w:val="004F72AF"/>
    <w:rsid w:val="005010EE"/>
    <w:rsid w:val="0050133E"/>
    <w:rsid w:val="00503078"/>
    <w:rsid w:val="00503525"/>
    <w:rsid w:val="0050443E"/>
    <w:rsid w:val="00506040"/>
    <w:rsid w:val="0050627C"/>
    <w:rsid w:val="00511171"/>
    <w:rsid w:val="00511BBF"/>
    <w:rsid w:val="00513157"/>
    <w:rsid w:val="00513C5B"/>
    <w:rsid w:val="00514B1D"/>
    <w:rsid w:val="00516293"/>
    <w:rsid w:val="0051653A"/>
    <w:rsid w:val="005178A8"/>
    <w:rsid w:val="005179B3"/>
    <w:rsid w:val="00520010"/>
    <w:rsid w:val="00521A19"/>
    <w:rsid w:val="00521ABD"/>
    <w:rsid w:val="005228BD"/>
    <w:rsid w:val="00524E04"/>
    <w:rsid w:val="00525410"/>
    <w:rsid w:val="00525E7D"/>
    <w:rsid w:val="005300A7"/>
    <w:rsid w:val="00530228"/>
    <w:rsid w:val="0053143E"/>
    <w:rsid w:val="00536375"/>
    <w:rsid w:val="00537EDB"/>
    <w:rsid w:val="00543119"/>
    <w:rsid w:val="00543174"/>
    <w:rsid w:val="005448FE"/>
    <w:rsid w:val="00545493"/>
    <w:rsid w:val="00546307"/>
    <w:rsid w:val="00546892"/>
    <w:rsid w:val="005533F8"/>
    <w:rsid w:val="00553B0E"/>
    <w:rsid w:val="00554CF8"/>
    <w:rsid w:val="0055614B"/>
    <w:rsid w:val="0055636E"/>
    <w:rsid w:val="00556D31"/>
    <w:rsid w:val="00561C58"/>
    <w:rsid w:val="005635C0"/>
    <w:rsid w:val="00565DD1"/>
    <w:rsid w:val="00566D1F"/>
    <w:rsid w:val="00570149"/>
    <w:rsid w:val="005703D8"/>
    <w:rsid w:val="00571CC2"/>
    <w:rsid w:val="00572E43"/>
    <w:rsid w:val="005750C3"/>
    <w:rsid w:val="005833DB"/>
    <w:rsid w:val="00583614"/>
    <w:rsid w:val="00583880"/>
    <w:rsid w:val="005842DA"/>
    <w:rsid w:val="00584AE4"/>
    <w:rsid w:val="0058608E"/>
    <w:rsid w:val="00586162"/>
    <w:rsid w:val="0059051C"/>
    <w:rsid w:val="00590B21"/>
    <w:rsid w:val="00594C21"/>
    <w:rsid w:val="00594D1A"/>
    <w:rsid w:val="005A19B8"/>
    <w:rsid w:val="005A2FD8"/>
    <w:rsid w:val="005A3A95"/>
    <w:rsid w:val="005B053F"/>
    <w:rsid w:val="005B5C99"/>
    <w:rsid w:val="005B77FC"/>
    <w:rsid w:val="005C22D2"/>
    <w:rsid w:val="005C2C1F"/>
    <w:rsid w:val="005C2CD7"/>
    <w:rsid w:val="005C458D"/>
    <w:rsid w:val="005C642F"/>
    <w:rsid w:val="005D2EFD"/>
    <w:rsid w:val="005D3900"/>
    <w:rsid w:val="005D409C"/>
    <w:rsid w:val="005D50B2"/>
    <w:rsid w:val="005D5939"/>
    <w:rsid w:val="005E07E2"/>
    <w:rsid w:val="005E1F71"/>
    <w:rsid w:val="005E50CE"/>
    <w:rsid w:val="005E53F3"/>
    <w:rsid w:val="005F02D8"/>
    <w:rsid w:val="005F06AC"/>
    <w:rsid w:val="005F6A52"/>
    <w:rsid w:val="005F6B9D"/>
    <w:rsid w:val="005F7817"/>
    <w:rsid w:val="005F7A96"/>
    <w:rsid w:val="0060261C"/>
    <w:rsid w:val="00605987"/>
    <w:rsid w:val="006116C1"/>
    <w:rsid w:val="0061376C"/>
    <w:rsid w:val="006152F6"/>
    <w:rsid w:val="006164F9"/>
    <w:rsid w:val="00616D2B"/>
    <w:rsid w:val="0061788B"/>
    <w:rsid w:val="00617AC6"/>
    <w:rsid w:val="0062284A"/>
    <w:rsid w:val="00624555"/>
    <w:rsid w:val="00627B2D"/>
    <w:rsid w:val="00633832"/>
    <w:rsid w:val="00634315"/>
    <w:rsid w:val="006351C0"/>
    <w:rsid w:val="006355CD"/>
    <w:rsid w:val="00635DD4"/>
    <w:rsid w:val="00646399"/>
    <w:rsid w:val="006463D0"/>
    <w:rsid w:val="00646566"/>
    <w:rsid w:val="00647AD0"/>
    <w:rsid w:val="00650706"/>
    <w:rsid w:val="0065684C"/>
    <w:rsid w:val="00660854"/>
    <w:rsid w:val="00664C62"/>
    <w:rsid w:val="00665194"/>
    <w:rsid w:val="0066528F"/>
    <w:rsid w:val="00666B62"/>
    <w:rsid w:val="006672AC"/>
    <w:rsid w:val="00667D28"/>
    <w:rsid w:val="00670122"/>
    <w:rsid w:val="00670E1A"/>
    <w:rsid w:val="00671CFE"/>
    <w:rsid w:val="00674A6B"/>
    <w:rsid w:val="00675286"/>
    <w:rsid w:val="00675F7C"/>
    <w:rsid w:val="0067722D"/>
    <w:rsid w:val="006801C3"/>
    <w:rsid w:val="0069446F"/>
    <w:rsid w:val="00695911"/>
    <w:rsid w:val="006A104A"/>
    <w:rsid w:val="006A1234"/>
    <w:rsid w:val="006A371A"/>
    <w:rsid w:val="006A3E15"/>
    <w:rsid w:val="006A46B9"/>
    <w:rsid w:val="006A48E0"/>
    <w:rsid w:val="006A5160"/>
    <w:rsid w:val="006B111E"/>
    <w:rsid w:val="006B537F"/>
    <w:rsid w:val="006B5B3B"/>
    <w:rsid w:val="006B60F5"/>
    <w:rsid w:val="006B64AE"/>
    <w:rsid w:val="006B7640"/>
    <w:rsid w:val="006C12F5"/>
    <w:rsid w:val="006C28D1"/>
    <w:rsid w:val="006C4C30"/>
    <w:rsid w:val="006C4E43"/>
    <w:rsid w:val="006C5169"/>
    <w:rsid w:val="006C528F"/>
    <w:rsid w:val="006C6522"/>
    <w:rsid w:val="006C6691"/>
    <w:rsid w:val="006C6C69"/>
    <w:rsid w:val="006D15EA"/>
    <w:rsid w:val="006D6842"/>
    <w:rsid w:val="006D7141"/>
    <w:rsid w:val="006D779D"/>
    <w:rsid w:val="006E2136"/>
    <w:rsid w:val="006E3307"/>
    <w:rsid w:val="006E48EE"/>
    <w:rsid w:val="006E4E82"/>
    <w:rsid w:val="006E53BB"/>
    <w:rsid w:val="006E77C3"/>
    <w:rsid w:val="006F23F7"/>
    <w:rsid w:val="006F2497"/>
    <w:rsid w:val="006F383F"/>
    <w:rsid w:val="006F4686"/>
    <w:rsid w:val="006F4FDB"/>
    <w:rsid w:val="0070010B"/>
    <w:rsid w:val="00702282"/>
    <w:rsid w:val="00702C32"/>
    <w:rsid w:val="00703E25"/>
    <w:rsid w:val="00704B70"/>
    <w:rsid w:val="00706970"/>
    <w:rsid w:val="0071199D"/>
    <w:rsid w:val="00711B3F"/>
    <w:rsid w:val="00712011"/>
    <w:rsid w:val="00713212"/>
    <w:rsid w:val="00714147"/>
    <w:rsid w:val="00714164"/>
    <w:rsid w:val="00714A8D"/>
    <w:rsid w:val="00716180"/>
    <w:rsid w:val="007165A0"/>
    <w:rsid w:val="00717F62"/>
    <w:rsid w:val="00720BE0"/>
    <w:rsid w:val="007212B0"/>
    <w:rsid w:val="00721AC3"/>
    <w:rsid w:val="00723DC7"/>
    <w:rsid w:val="00725D17"/>
    <w:rsid w:val="00727D74"/>
    <w:rsid w:val="0073097B"/>
    <w:rsid w:val="00730D00"/>
    <w:rsid w:val="00730EB6"/>
    <w:rsid w:val="00731656"/>
    <w:rsid w:val="00732624"/>
    <w:rsid w:val="00732D18"/>
    <w:rsid w:val="00734399"/>
    <w:rsid w:val="00734A2A"/>
    <w:rsid w:val="00735398"/>
    <w:rsid w:val="00735770"/>
    <w:rsid w:val="00741AA8"/>
    <w:rsid w:val="00741ECD"/>
    <w:rsid w:val="007433AA"/>
    <w:rsid w:val="00745934"/>
    <w:rsid w:val="00746F62"/>
    <w:rsid w:val="00751BE3"/>
    <w:rsid w:val="0075284C"/>
    <w:rsid w:val="00753D52"/>
    <w:rsid w:val="007555B1"/>
    <w:rsid w:val="00756458"/>
    <w:rsid w:val="00757665"/>
    <w:rsid w:val="00757D39"/>
    <w:rsid w:val="007610D5"/>
    <w:rsid w:val="007620B1"/>
    <w:rsid w:val="00763112"/>
    <w:rsid w:val="007641D0"/>
    <w:rsid w:val="00764C71"/>
    <w:rsid w:val="00766CB5"/>
    <w:rsid w:val="00767F83"/>
    <w:rsid w:val="007701DC"/>
    <w:rsid w:val="0077147A"/>
    <w:rsid w:val="00771AB2"/>
    <w:rsid w:val="0077673F"/>
    <w:rsid w:val="007779BD"/>
    <w:rsid w:val="00780CBE"/>
    <w:rsid w:val="0078110F"/>
    <w:rsid w:val="00782546"/>
    <w:rsid w:val="0078349E"/>
    <w:rsid w:val="00787DB0"/>
    <w:rsid w:val="007904D7"/>
    <w:rsid w:val="007926A6"/>
    <w:rsid w:val="00795B77"/>
    <w:rsid w:val="00796179"/>
    <w:rsid w:val="0079620D"/>
    <w:rsid w:val="00796A97"/>
    <w:rsid w:val="007A27EA"/>
    <w:rsid w:val="007A285B"/>
    <w:rsid w:val="007A2C5D"/>
    <w:rsid w:val="007A365B"/>
    <w:rsid w:val="007A4A47"/>
    <w:rsid w:val="007B3217"/>
    <w:rsid w:val="007B3987"/>
    <w:rsid w:val="007B4300"/>
    <w:rsid w:val="007B4E79"/>
    <w:rsid w:val="007C0BEA"/>
    <w:rsid w:val="007C10BD"/>
    <w:rsid w:val="007C1775"/>
    <w:rsid w:val="007C3083"/>
    <w:rsid w:val="007C362C"/>
    <w:rsid w:val="007C48F4"/>
    <w:rsid w:val="007C70A9"/>
    <w:rsid w:val="007C74AE"/>
    <w:rsid w:val="007D05BA"/>
    <w:rsid w:val="007D0A86"/>
    <w:rsid w:val="007D2353"/>
    <w:rsid w:val="007D2DAE"/>
    <w:rsid w:val="007D48A5"/>
    <w:rsid w:val="007D563B"/>
    <w:rsid w:val="007D763B"/>
    <w:rsid w:val="007E1B0F"/>
    <w:rsid w:val="007E247A"/>
    <w:rsid w:val="007E416D"/>
    <w:rsid w:val="007E5F0E"/>
    <w:rsid w:val="007E6381"/>
    <w:rsid w:val="007F74A1"/>
    <w:rsid w:val="00800048"/>
    <w:rsid w:val="00806B4E"/>
    <w:rsid w:val="00806D20"/>
    <w:rsid w:val="00807B8E"/>
    <w:rsid w:val="00810FDA"/>
    <w:rsid w:val="0081231D"/>
    <w:rsid w:val="00812359"/>
    <w:rsid w:val="0081302F"/>
    <w:rsid w:val="00814662"/>
    <w:rsid w:val="0081539D"/>
    <w:rsid w:val="00824EBA"/>
    <w:rsid w:val="00827B1B"/>
    <w:rsid w:val="00830AEA"/>
    <w:rsid w:val="00832643"/>
    <w:rsid w:val="00832BFC"/>
    <w:rsid w:val="00832ED5"/>
    <w:rsid w:val="008378CF"/>
    <w:rsid w:val="00842B29"/>
    <w:rsid w:val="00842F6A"/>
    <w:rsid w:val="00844C28"/>
    <w:rsid w:val="0084550D"/>
    <w:rsid w:val="008463E3"/>
    <w:rsid w:val="00851E19"/>
    <w:rsid w:val="00853DFD"/>
    <w:rsid w:val="00854DB5"/>
    <w:rsid w:val="00855602"/>
    <w:rsid w:val="008568DF"/>
    <w:rsid w:val="00856949"/>
    <w:rsid w:val="00856B3B"/>
    <w:rsid w:val="00861135"/>
    <w:rsid w:val="00864157"/>
    <w:rsid w:val="00864532"/>
    <w:rsid w:val="0086784E"/>
    <w:rsid w:val="00872AA9"/>
    <w:rsid w:val="00872C2E"/>
    <w:rsid w:val="00872E81"/>
    <w:rsid w:val="008755A5"/>
    <w:rsid w:val="008819FF"/>
    <w:rsid w:val="00881F5C"/>
    <w:rsid w:val="008829B2"/>
    <w:rsid w:val="00882E15"/>
    <w:rsid w:val="0088346A"/>
    <w:rsid w:val="0088488E"/>
    <w:rsid w:val="00884B9E"/>
    <w:rsid w:val="0088620B"/>
    <w:rsid w:val="00886B1C"/>
    <w:rsid w:val="008878D4"/>
    <w:rsid w:val="00890457"/>
    <w:rsid w:val="008937BA"/>
    <w:rsid w:val="00895932"/>
    <w:rsid w:val="008974A2"/>
    <w:rsid w:val="008A053B"/>
    <w:rsid w:val="008A1FBC"/>
    <w:rsid w:val="008A43F7"/>
    <w:rsid w:val="008A691E"/>
    <w:rsid w:val="008A7CB4"/>
    <w:rsid w:val="008A7F93"/>
    <w:rsid w:val="008B1474"/>
    <w:rsid w:val="008B1F3F"/>
    <w:rsid w:val="008B3DA0"/>
    <w:rsid w:val="008C04F3"/>
    <w:rsid w:val="008C0F5D"/>
    <w:rsid w:val="008C39DD"/>
    <w:rsid w:val="008C3E1D"/>
    <w:rsid w:val="008C511A"/>
    <w:rsid w:val="008C69C3"/>
    <w:rsid w:val="008C6B01"/>
    <w:rsid w:val="008C73BD"/>
    <w:rsid w:val="008C7E5E"/>
    <w:rsid w:val="008D2048"/>
    <w:rsid w:val="008D2436"/>
    <w:rsid w:val="008D2AE2"/>
    <w:rsid w:val="008D2E17"/>
    <w:rsid w:val="008D32B2"/>
    <w:rsid w:val="008D32D8"/>
    <w:rsid w:val="008D486B"/>
    <w:rsid w:val="008D6E14"/>
    <w:rsid w:val="008E138F"/>
    <w:rsid w:val="008E1D61"/>
    <w:rsid w:val="008E438E"/>
    <w:rsid w:val="008E66FA"/>
    <w:rsid w:val="008E68CB"/>
    <w:rsid w:val="008E6E45"/>
    <w:rsid w:val="008E7934"/>
    <w:rsid w:val="008F117A"/>
    <w:rsid w:val="008F2EBC"/>
    <w:rsid w:val="008F48F7"/>
    <w:rsid w:val="008F603A"/>
    <w:rsid w:val="008F6404"/>
    <w:rsid w:val="008F64BA"/>
    <w:rsid w:val="009013F7"/>
    <w:rsid w:val="00901492"/>
    <w:rsid w:val="00903CD2"/>
    <w:rsid w:val="00904F17"/>
    <w:rsid w:val="009071D2"/>
    <w:rsid w:val="0090775E"/>
    <w:rsid w:val="00912AD1"/>
    <w:rsid w:val="00913DD2"/>
    <w:rsid w:val="0091534D"/>
    <w:rsid w:val="009153F2"/>
    <w:rsid w:val="0091600F"/>
    <w:rsid w:val="009170AF"/>
    <w:rsid w:val="00917944"/>
    <w:rsid w:val="00917AE7"/>
    <w:rsid w:val="00917CB8"/>
    <w:rsid w:val="00920FF0"/>
    <w:rsid w:val="00921AB9"/>
    <w:rsid w:val="0092218E"/>
    <w:rsid w:val="00926403"/>
    <w:rsid w:val="009271DE"/>
    <w:rsid w:val="009319BC"/>
    <w:rsid w:val="00931E5D"/>
    <w:rsid w:val="0093532A"/>
    <w:rsid w:val="0093544F"/>
    <w:rsid w:val="00935B65"/>
    <w:rsid w:val="00936F21"/>
    <w:rsid w:val="0093773C"/>
    <w:rsid w:val="0094199D"/>
    <w:rsid w:val="0094397F"/>
    <w:rsid w:val="00943A7C"/>
    <w:rsid w:val="00943DBF"/>
    <w:rsid w:val="00944024"/>
    <w:rsid w:val="00944973"/>
    <w:rsid w:val="0094551E"/>
    <w:rsid w:val="009462E1"/>
    <w:rsid w:val="00946508"/>
    <w:rsid w:val="00946568"/>
    <w:rsid w:val="00960823"/>
    <w:rsid w:val="009629C0"/>
    <w:rsid w:val="009641EC"/>
    <w:rsid w:val="00964535"/>
    <w:rsid w:val="00964A99"/>
    <w:rsid w:val="00964C47"/>
    <w:rsid w:val="00965877"/>
    <w:rsid w:val="00965D13"/>
    <w:rsid w:val="00966FCB"/>
    <w:rsid w:val="00967B11"/>
    <w:rsid w:val="00967DC7"/>
    <w:rsid w:val="0097063B"/>
    <w:rsid w:val="00971E7A"/>
    <w:rsid w:val="00971FD0"/>
    <w:rsid w:val="00981611"/>
    <w:rsid w:val="00981C76"/>
    <w:rsid w:val="00981CC3"/>
    <w:rsid w:val="00983F96"/>
    <w:rsid w:val="00985BF3"/>
    <w:rsid w:val="009927FA"/>
    <w:rsid w:val="00992D2F"/>
    <w:rsid w:val="00993CC7"/>
    <w:rsid w:val="00994831"/>
    <w:rsid w:val="00994D7D"/>
    <w:rsid w:val="00994DFC"/>
    <w:rsid w:val="00995C0C"/>
    <w:rsid w:val="009A3FFC"/>
    <w:rsid w:val="009A448B"/>
    <w:rsid w:val="009A4901"/>
    <w:rsid w:val="009B2FDE"/>
    <w:rsid w:val="009B3CD8"/>
    <w:rsid w:val="009B532F"/>
    <w:rsid w:val="009B5E90"/>
    <w:rsid w:val="009C2FF4"/>
    <w:rsid w:val="009C3634"/>
    <w:rsid w:val="009C3BE8"/>
    <w:rsid w:val="009C78DC"/>
    <w:rsid w:val="009C7B19"/>
    <w:rsid w:val="009D1377"/>
    <w:rsid w:val="009D230D"/>
    <w:rsid w:val="009D24CB"/>
    <w:rsid w:val="009D27AE"/>
    <w:rsid w:val="009D6B90"/>
    <w:rsid w:val="009E045A"/>
    <w:rsid w:val="009E04BF"/>
    <w:rsid w:val="009E11EB"/>
    <w:rsid w:val="009E1C8E"/>
    <w:rsid w:val="009E2416"/>
    <w:rsid w:val="009E49B4"/>
    <w:rsid w:val="009E49C5"/>
    <w:rsid w:val="009E5A9C"/>
    <w:rsid w:val="009E5B71"/>
    <w:rsid w:val="009F01E3"/>
    <w:rsid w:val="009F0DAF"/>
    <w:rsid w:val="009F213B"/>
    <w:rsid w:val="009F283F"/>
    <w:rsid w:val="009F29DF"/>
    <w:rsid w:val="009F325E"/>
    <w:rsid w:val="009F3419"/>
    <w:rsid w:val="009F38B6"/>
    <w:rsid w:val="009F5221"/>
    <w:rsid w:val="009F525C"/>
    <w:rsid w:val="00A01893"/>
    <w:rsid w:val="00A02214"/>
    <w:rsid w:val="00A022AB"/>
    <w:rsid w:val="00A04673"/>
    <w:rsid w:val="00A04BB5"/>
    <w:rsid w:val="00A05506"/>
    <w:rsid w:val="00A078C6"/>
    <w:rsid w:val="00A10167"/>
    <w:rsid w:val="00A150B3"/>
    <w:rsid w:val="00A15A08"/>
    <w:rsid w:val="00A16A81"/>
    <w:rsid w:val="00A20A1A"/>
    <w:rsid w:val="00A20CB8"/>
    <w:rsid w:val="00A22FE3"/>
    <w:rsid w:val="00A24A12"/>
    <w:rsid w:val="00A257F2"/>
    <w:rsid w:val="00A26490"/>
    <w:rsid w:val="00A272B7"/>
    <w:rsid w:val="00A3156E"/>
    <w:rsid w:val="00A32A0C"/>
    <w:rsid w:val="00A334BD"/>
    <w:rsid w:val="00A33D15"/>
    <w:rsid w:val="00A37D1E"/>
    <w:rsid w:val="00A44754"/>
    <w:rsid w:val="00A44D71"/>
    <w:rsid w:val="00A4538C"/>
    <w:rsid w:val="00A470A1"/>
    <w:rsid w:val="00A51C66"/>
    <w:rsid w:val="00A51E9C"/>
    <w:rsid w:val="00A52490"/>
    <w:rsid w:val="00A53F3E"/>
    <w:rsid w:val="00A54770"/>
    <w:rsid w:val="00A60FCE"/>
    <w:rsid w:val="00A60FEC"/>
    <w:rsid w:val="00A627D3"/>
    <w:rsid w:val="00A63225"/>
    <w:rsid w:val="00A6504E"/>
    <w:rsid w:val="00A65D8B"/>
    <w:rsid w:val="00A725F5"/>
    <w:rsid w:val="00A779DA"/>
    <w:rsid w:val="00A80CC2"/>
    <w:rsid w:val="00A839C0"/>
    <w:rsid w:val="00A8439E"/>
    <w:rsid w:val="00A84FE8"/>
    <w:rsid w:val="00A85ECE"/>
    <w:rsid w:val="00A9395E"/>
    <w:rsid w:val="00A9533C"/>
    <w:rsid w:val="00A97519"/>
    <w:rsid w:val="00A97691"/>
    <w:rsid w:val="00AA00C5"/>
    <w:rsid w:val="00AA25E0"/>
    <w:rsid w:val="00AA31AE"/>
    <w:rsid w:val="00AA4071"/>
    <w:rsid w:val="00AA42B0"/>
    <w:rsid w:val="00AB0807"/>
    <w:rsid w:val="00AB13A8"/>
    <w:rsid w:val="00AB1E8D"/>
    <w:rsid w:val="00AB1F77"/>
    <w:rsid w:val="00AB266D"/>
    <w:rsid w:val="00AB2701"/>
    <w:rsid w:val="00AB45D5"/>
    <w:rsid w:val="00AB58B4"/>
    <w:rsid w:val="00AB71A6"/>
    <w:rsid w:val="00AB78A7"/>
    <w:rsid w:val="00AC33AC"/>
    <w:rsid w:val="00AC5DED"/>
    <w:rsid w:val="00AD1CB7"/>
    <w:rsid w:val="00AD1D72"/>
    <w:rsid w:val="00AD2338"/>
    <w:rsid w:val="00AD3603"/>
    <w:rsid w:val="00AD57BD"/>
    <w:rsid w:val="00AD6283"/>
    <w:rsid w:val="00AD7AA3"/>
    <w:rsid w:val="00AD7AB5"/>
    <w:rsid w:val="00AE108F"/>
    <w:rsid w:val="00AE2C28"/>
    <w:rsid w:val="00AE467E"/>
    <w:rsid w:val="00AE4DF3"/>
    <w:rsid w:val="00AE5808"/>
    <w:rsid w:val="00AE6F2D"/>
    <w:rsid w:val="00AE77E8"/>
    <w:rsid w:val="00AF0BE6"/>
    <w:rsid w:val="00AF3088"/>
    <w:rsid w:val="00AF39D1"/>
    <w:rsid w:val="00AF4271"/>
    <w:rsid w:val="00AF553D"/>
    <w:rsid w:val="00AF5946"/>
    <w:rsid w:val="00B00B7F"/>
    <w:rsid w:val="00B02498"/>
    <w:rsid w:val="00B03EC2"/>
    <w:rsid w:val="00B05425"/>
    <w:rsid w:val="00B065C2"/>
    <w:rsid w:val="00B10E53"/>
    <w:rsid w:val="00B119A3"/>
    <w:rsid w:val="00B130EF"/>
    <w:rsid w:val="00B146AD"/>
    <w:rsid w:val="00B159B7"/>
    <w:rsid w:val="00B17A2D"/>
    <w:rsid w:val="00B23BC2"/>
    <w:rsid w:val="00B23F5F"/>
    <w:rsid w:val="00B23F85"/>
    <w:rsid w:val="00B2651D"/>
    <w:rsid w:val="00B3033D"/>
    <w:rsid w:val="00B3283A"/>
    <w:rsid w:val="00B32AA4"/>
    <w:rsid w:val="00B3361F"/>
    <w:rsid w:val="00B337CE"/>
    <w:rsid w:val="00B34465"/>
    <w:rsid w:val="00B35265"/>
    <w:rsid w:val="00B358E1"/>
    <w:rsid w:val="00B36F24"/>
    <w:rsid w:val="00B40B16"/>
    <w:rsid w:val="00B45642"/>
    <w:rsid w:val="00B47AD4"/>
    <w:rsid w:val="00B510D2"/>
    <w:rsid w:val="00B54101"/>
    <w:rsid w:val="00B56E93"/>
    <w:rsid w:val="00B5794A"/>
    <w:rsid w:val="00B606D3"/>
    <w:rsid w:val="00B608E0"/>
    <w:rsid w:val="00B62A38"/>
    <w:rsid w:val="00B62FFD"/>
    <w:rsid w:val="00B63ED5"/>
    <w:rsid w:val="00B6551F"/>
    <w:rsid w:val="00B659FB"/>
    <w:rsid w:val="00B66A93"/>
    <w:rsid w:val="00B67686"/>
    <w:rsid w:val="00B711F5"/>
    <w:rsid w:val="00B71266"/>
    <w:rsid w:val="00B712E9"/>
    <w:rsid w:val="00B718A5"/>
    <w:rsid w:val="00B7238E"/>
    <w:rsid w:val="00B766E4"/>
    <w:rsid w:val="00B8169A"/>
    <w:rsid w:val="00B819E9"/>
    <w:rsid w:val="00B81B84"/>
    <w:rsid w:val="00B83723"/>
    <w:rsid w:val="00B83B95"/>
    <w:rsid w:val="00B85FB9"/>
    <w:rsid w:val="00B86996"/>
    <w:rsid w:val="00B86B9F"/>
    <w:rsid w:val="00B86D20"/>
    <w:rsid w:val="00B92D8D"/>
    <w:rsid w:val="00B92F20"/>
    <w:rsid w:val="00B936B7"/>
    <w:rsid w:val="00B93720"/>
    <w:rsid w:val="00B94169"/>
    <w:rsid w:val="00B94FC7"/>
    <w:rsid w:val="00B9509A"/>
    <w:rsid w:val="00B95C48"/>
    <w:rsid w:val="00BA033E"/>
    <w:rsid w:val="00BA0A23"/>
    <w:rsid w:val="00BA0ADD"/>
    <w:rsid w:val="00BA17E9"/>
    <w:rsid w:val="00BA3C1C"/>
    <w:rsid w:val="00BA4029"/>
    <w:rsid w:val="00BA5736"/>
    <w:rsid w:val="00BA5A01"/>
    <w:rsid w:val="00BA6074"/>
    <w:rsid w:val="00BA7296"/>
    <w:rsid w:val="00BA7B55"/>
    <w:rsid w:val="00BB0A03"/>
    <w:rsid w:val="00BB1CEE"/>
    <w:rsid w:val="00BB20BD"/>
    <w:rsid w:val="00BB4868"/>
    <w:rsid w:val="00BB552D"/>
    <w:rsid w:val="00BB5C80"/>
    <w:rsid w:val="00BB772F"/>
    <w:rsid w:val="00BC31B2"/>
    <w:rsid w:val="00BC3EAA"/>
    <w:rsid w:val="00BC4117"/>
    <w:rsid w:val="00BC5CCE"/>
    <w:rsid w:val="00BD03AD"/>
    <w:rsid w:val="00BD0670"/>
    <w:rsid w:val="00BD0FE6"/>
    <w:rsid w:val="00BD249E"/>
    <w:rsid w:val="00BD471B"/>
    <w:rsid w:val="00BD66F5"/>
    <w:rsid w:val="00BD7EA2"/>
    <w:rsid w:val="00BE0931"/>
    <w:rsid w:val="00BE186E"/>
    <w:rsid w:val="00BE4F9E"/>
    <w:rsid w:val="00BE54A0"/>
    <w:rsid w:val="00BE597C"/>
    <w:rsid w:val="00BE5DBB"/>
    <w:rsid w:val="00BF026B"/>
    <w:rsid w:val="00BF1FC4"/>
    <w:rsid w:val="00BF2507"/>
    <w:rsid w:val="00BF2C14"/>
    <w:rsid w:val="00BF39BF"/>
    <w:rsid w:val="00BF5567"/>
    <w:rsid w:val="00BF595F"/>
    <w:rsid w:val="00BF5A83"/>
    <w:rsid w:val="00BF64A1"/>
    <w:rsid w:val="00BF7127"/>
    <w:rsid w:val="00BF7BC6"/>
    <w:rsid w:val="00C0486D"/>
    <w:rsid w:val="00C05C04"/>
    <w:rsid w:val="00C06EDA"/>
    <w:rsid w:val="00C07FDD"/>
    <w:rsid w:val="00C10113"/>
    <w:rsid w:val="00C11241"/>
    <w:rsid w:val="00C11373"/>
    <w:rsid w:val="00C128FA"/>
    <w:rsid w:val="00C13BB2"/>
    <w:rsid w:val="00C14A4C"/>
    <w:rsid w:val="00C17C30"/>
    <w:rsid w:val="00C23E47"/>
    <w:rsid w:val="00C2555A"/>
    <w:rsid w:val="00C305B9"/>
    <w:rsid w:val="00C33172"/>
    <w:rsid w:val="00C366FE"/>
    <w:rsid w:val="00C377E5"/>
    <w:rsid w:val="00C40EEE"/>
    <w:rsid w:val="00C41B2F"/>
    <w:rsid w:val="00C43621"/>
    <w:rsid w:val="00C43CBC"/>
    <w:rsid w:val="00C44582"/>
    <w:rsid w:val="00C46370"/>
    <w:rsid w:val="00C464B8"/>
    <w:rsid w:val="00C46F8F"/>
    <w:rsid w:val="00C503C9"/>
    <w:rsid w:val="00C505B3"/>
    <w:rsid w:val="00C5065B"/>
    <w:rsid w:val="00C519DA"/>
    <w:rsid w:val="00C52AB4"/>
    <w:rsid w:val="00C5382F"/>
    <w:rsid w:val="00C55E92"/>
    <w:rsid w:val="00C57CEC"/>
    <w:rsid w:val="00C60332"/>
    <w:rsid w:val="00C606DE"/>
    <w:rsid w:val="00C60F0D"/>
    <w:rsid w:val="00C6270C"/>
    <w:rsid w:val="00C62D2C"/>
    <w:rsid w:val="00C63FA9"/>
    <w:rsid w:val="00C65EF0"/>
    <w:rsid w:val="00C677DB"/>
    <w:rsid w:val="00C72BB6"/>
    <w:rsid w:val="00C7506A"/>
    <w:rsid w:val="00C755D9"/>
    <w:rsid w:val="00C76E5E"/>
    <w:rsid w:val="00C773A7"/>
    <w:rsid w:val="00C80BE3"/>
    <w:rsid w:val="00C812D3"/>
    <w:rsid w:val="00C8158F"/>
    <w:rsid w:val="00C82D40"/>
    <w:rsid w:val="00C82D99"/>
    <w:rsid w:val="00C860C6"/>
    <w:rsid w:val="00C9154C"/>
    <w:rsid w:val="00C923D8"/>
    <w:rsid w:val="00C94017"/>
    <w:rsid w:val="00C95F90"/>
    <w:rsid w:val="00CA3C9A"/>
    <w:rsid w:val="00CA46AD"/>
    <w:rsid w:val="00CA5007"/>
    <w:rsid w:val="00CA52E2"/>
    <w:rsid w:val="00CA5B28"/>
    <w:rsid w:val="00CA643F"/>
    <w:rsid w:val="00CA710D"/>
    <w:rsid w:val="00CB0336"/>
    <w:rsid w:val="00CB05AC"/>
    <w:rsid w:val="00CB2300"/>
    <w:rsid w:val="00CB28A5"/>
    <w:rsid w:val="00CB5ACF"/>
    <w:rsid w:val="00CB6AEC"/>
    <w:rsid w:val="00CB7513"/>
    <w:rsid w:val="00CB7FB0"/>
    <w:rsid w:val="00CB7FC0"/>
    <w:rsid w:val="00CC0847"/>
    <w:rsid w:val="00CC139A"/>
    <w:rsid w:val="00CC1C71"/>
    <w:rsid w:val="00CC32AF"/>
    <w:rsid w:val="00CC3D51"/>
    <w:rsid w:val="00CC5EB7"/>
    <w:rsid w:val="00CC75BD"/>
    <w:rsid w:val="00CD05C1"/>
    <w:rsid w:val="00CD0F03"/>
    <w:rsid w:val="00CD12C3"/>
    <w:rsid w:val="00CD236C"/>
    <w:rsid w:val="00CD48F5"/>
    <w:rsid w:val="00CF0135"/>
    <w:rsid w:val="00CF301C"/>
    <w:rsid w:val="00CF34E2"/>
    <w:rsid w:val="00D01003"/>
    <w:rsid w:val="00D023C3"/>
    <w:rsid w:val="00D024BE"/>
    <w:rsid w:val="00D05633"/>
    <w:rsid w:val="00D065A5"/>
    <w:rsid w:val="00D06C51"/>
    <w:rsid w:val="00D078CD"/>
    <w:rsid w:val="00D10714"/>
    <w:rsid w:val="00D11248"/>
    <w:rsid w:val="00D1477C"/>
    <w:rsid w:val="00D15E51"/>
    <w:rsid w:val="00D221A5"/>
    <w:rsid w:val="00D22C46"/>
    <w:rsid w:val="00D242A3"/>
    <w:rsid w:val="00D3329E"/>
    <w:rsid w:val="00D35A54"/>
    <w:rsid w:val="00D35D7E"/>
    <w:rsid w:val="00D36D76"/>
    <w:rsid w:val="00D37B8F"/>
    <w:rsid w:val="00D41279"/>
    <w:rsid w:val="00D4188A"/>
    <w:rsid w:val="00D41B0C"/>
    <w:rsid w:val="00D426D5"/>
    <w:rsid w:val="00D50044"/>
    <w:rsid w:val="00D508B4"/>
    <w:rsid w:val="00D50F88"/>
    <w:rsid w:val="00D55453"/>
    <w:rsid w:val="00D55C3B"/>
    <w:rsid w:val="00D55DCC"/>
    <w:rsid w:val="00D5628C"/>
    <w:rsid w:val="00D563FC"/>
    <w:rsid w:val="00D62BB9"/>
    <w:rsid w:val="00D64A44"/>
    <w:rsid w:val="00D66AF7"/>
    <w:rsid w:val="00D7262B"/>
    <w:rsid w:val="00D740D0"/>
    <w:rsid w:val="00D765AA"/>
    <w:rsid w:val="00D7669D"/>
    <w:rsid w:val="00D7718A"/>
    <w:rsid w:val="00D774D5"/>
    <w:rsid w:val="00D77622"/>
    <w:rsid w:val="00D81AAF"/>
    <w:rsid w:val="00D8362F"/>
    <w:rsid w:val="00D847BB"/>
    <w:rsid w:val="00D850B5"/>
    <w:rsid w:val="00D85502"/>
    <w:rsid w:val="00D872A2"/>
    <w:rsid w:val="00D91947"/>
    <w:rsid w:val="00D92375"/>
    <w:rsid w:val="00D9273B"/>
    <w:rsid w:val="00D93783"/>
    <w:rsid w:val="00D962D3"/>
    <w:rsid w:val="00D97217"/>
    <w:rsid w:val="00DA0A80"/>
    <w:rsid w:val="00DA11C9"/>
    <w:rsid w:val="00DA1821"/>
    <w:rsid w:val="00DA19C7"/>
    <w:rsid w:val="00DA381C"/>
    <w:rsid w:val="00DA5F07"/>
    <w:rsid w:val="00DA605A"/>
    <w:rsid w:val="00DB1029"/>
    <w:rsid w:val="00DB1768"/>
    <w:rsid w:val="00DB6C9B"/>
    <w:rsid w:val="00DC0903"/>
    <w:rsid w:val="00DC2D92"/>
    <w:rsid w:val="00DC2EE0"/>
    <w:rsid w:val="00DC3F8A"/>
    <w:rsid w:val="00DC52CD"/>
    <w:rsid w:val="00DC5E7B"/>
    <w:rsid w:val="00DC7832"/>
    <w:rsid w:val="00DD091A"/>
    <w:rsid w:val="00DD3CBF"/>
    <w:rsid w:val="00DE0298"/>
    <w:rsid w:val="00DE0C0F"/>
    <w:rsid w:val="00DE401D"/>
    <w:rsid w:val="00DE50B2"/>
    <w:rsid w:val="00DE6D98"/>
    <w:rsid w:val="00DE78C1"/>
    <w:rsid w:val="00DF3958"/>
    <w:rsid w:val="00E03D5E"/>
    <w:rsid w:val="00E114EC"/>
    <w:rsid w:val="00E13586"/>
    <w:rsid w:val="00E136CA"/>
    <w:rsid w:val="00E15D6C"/>
    <w:rsid w:val="00E16A11"/>
    <w:rsid w:val="00E16BC4"/>
    <w:rsid w:val="00E17375"/>
    <w:rsid w:val="00E200FC"/>
    <w:rsid w:val="00E225B5"/>
    <w:rsid w:val="00E239C7"/>
    <w:rsid w:val="00E23C1A"/>
    <w:rsid w:val="00E24F3F"/>
    <w:rsid w:val="00E251C5"/>
    <w:rsid w:val="00E31B25"/>
    <w:rsid w:val="00E3299C"/>
    <w:rsid w:val="00E359F3"/>
    <w:rsid w:val="00E3656D"/>
    <w:rsid w:val="00E36A39"/>
    <w:rsid w:val="00E41BB8"/>
    <w:rsid w:val="00E422AA"/>
    <w:rsid w:val="00E42343"/>
    <w:rsid w:val="00E45699"/>
    <w:rsid w:val="00E4711C"/>
    <w:rsid w:val="00E4763C"/>
    <w:rsid w:val="00E50B19"/>
    <w:rsid w:val="00E52037"/>
    <w:rsid w:val="00E532D8"/>
    <w:rsid w:val="00E53852"/>
    <w:rsid w:val="00E545B2"/>
    <w:rsid w:val="00E56CFB"/>
    <w:rsid w:val="00E577A2"/>
    <w:rsid w:val="00E6036A"/>
    <w:rsid w:val="00E61C6A"/>
    <w:rsid w:val="00E6302B"/>
    <w:rsid w:val="00E6649C"/>
    <w:rsid w:val="00E6724A"/>
    <w:rsid w:val="00E675F2"/>
    <w:rsid w:val="00E67E52"/>
    <w:rsid w:val="00E70F54"/>
    <w:rsid w:val="00E736AD"/>
    <w:rsid w:val="00E74604"/>
    <w:rsid w:val="00E76772"/>
    <w:rsid w:val="00E771EC"/>
    <w:rsid w:val="00E80605"/>
    <w:rsid w:val="00E8288E"/>
    <w:rsid w:val="00E87291"/>
    <w:rsid w:val="00E912B6"/>
    <w:rsid w:val="00E9193D"/>
    <w:rsid w:val="00E92D54"/>
    <w:rsid w:val="00E93254"/>
    <w:rsid w:val="00E93FA5"/>
    <w:rsid w:val="00E9417C"/>
    <w:rsid w:val="00E94980"/>
    <w:rsid w:val="00E94B29"/>
    <w:rsid w:val="00E94DF2"/>
    <w:rsid w:val="00E9515C"/>
    <w:rsid w:val="00E97583"/>
    <w:rsid w:val="00EA0E4B"/>
    <w:rsid w:val="00EA1527"/>
    <w:rsid w:val="00EA313A"/>
    <w:rsid w:val="00EA57C5"/>
    <w:rsid w:val="00EA58EF"/>
    <w:rsid w:val="00EA65B7"/>
    <w:rsid w:val="00EA7D95"/>
    <w:rsid w:val="00EB05FF"/>
    <w:rsid w:val="00EB063E"/>
    <w:rsid w:val="00EB14AA"/>
    <w:rsid w:val="00EB30C1"/>
    <w:rsid w:val="00EB420C"/>
    <w:rsid w:val="00EB5CC7"/>
    <w:rsid w:val="00EC16D3"/>
    <w:rsid w:val="00EC190C"/>
    <w:rsid w:val="00EC2C2D"/>
    <w:rsid w:val="00EC31E1"/>
    <w:rsid w:val="00EC3641"/>
    <w:rsid w:val="00EC3A64"/>
    <w:rsid w:val="00EC3E16"/>
    <w:rsid w:val="00EC3E1E"/>
    <w:rsid w:val="00EC4389"/>
    <w:rsid w:val="00EC7452"/>
    <w:rsid w:val="00ED0F83"/>
    <w:rsid w:val="00ED42E9"/>
    <w:rsid w:val="00ED4DF6"/>
    <w:rsid w:val="00EE24F0"/>
    <w:rsid w:val="00EE54A5"/>
    <w:rsid w:val="00EF28DB"/>
    <w:rsid w:val="00EF2A70"/>
    <w:rsid w:val="00EF44E2"/>
    <w:rsid w:val="00EF713B"/>
    <w:rsid w:val="00F01257"/>
    <w:rsid w:val="00F03453"/>
    <w:rsid w:val="00F03EAB"/>
    <w:rsid w:val="00F074BB"/>
    <w:rsid w:val="00F07A00"/>
    <w:rsid w:val="00F07A23"/>
    <w:rsid w:val="00F104A7"/>
    <w:rsid w:val="00F1196C"/>
    <w:rsid w:val="00F1396C"/>
    <w:rsid w:val="00F13B3D"/>
    <w:rsid w:val="00F165AA"/>
    <w:rsid w:val="00F175CC"/>
    <w:rsid w:val="00F207CC"/>
    <w:rsid w:val="00F21DBE"/>
    <w:rsid w:val="00F231B5"/>
    <w:rsid w:val="00F2403B"/>
    <w:rsid w:val="00F25B27"/>
    <w:rsid w:val="00F27D5A"/>
    <w:rsid w:val="00F3095F"/>
    <w:rsid w:val="00F30C48"/>
    <w:rsid w:val="00F323E4"/>
    <w:rsid w:val="00F368E6"/>
    <w:rsid w:val="00F36963"/>
    <w:rsid w:val="00F41E34"/>
    <w:rsid w:val="00F422DB"/>
    <w:rsid w:val="00F454B4"/>
    <w:rsid w:val="00F47842"/>
    <w:rsid w:val="00F47F38"/>
    <w:rsid w:val="00F50988"/>
    <w:rsid w:val="00F5186F"/>
    <w:rsid w:val="00F521D5"/>
    <w:rsid w:val="00F5361F"/>
    <w:rsid w:val="00F56C6A"/>
    <w:rsid w:val="00F57BEF"/>
    <w:rsid w:val="00F60E1D"/>
    <w:rsid w:val="00F6589F"/>
    <w:rsid w:val="00F66D78"/>
    <w:rsid w:val="00F7202E"/>
    <w:rsid w:val="00F73A94"/>
    <w:rsid w:val="00F76A9D"/>
    <w:rsid w:val="00F772E5"/>
    <w:rsid w:val="00F7748F"/>
    <w:rsid w:val="00F83ECF"/>
    <w:rsid w:val="00F841AC"/>
    <w:rsid w:val="00F84825"/>
    <w:rsid w:val="00F904AD"/>
    <w:rsid w:val="00F9095A"/>
    <w:rsid w:val="00F9103B"/>
    <w:rsid w:val="00F911A2"/>
    <w:rsid w:val="00F92EF1"/>
    <w:rsid w:val="00FA0A6E"/>
    <w:rsid w:val="00FA1E85"/>
    <w:rsid w:val="00FA4708"/>
    <w:rsid w:val="00FA4B99"/>
    <w:rsid w:val="00FA79FC"/>
    <w:rsid w:val="00FA7CE3"/>
    <w:rsid w:val="00FB1B94"/>
    <w:rsid w:val="00FB1BC9"/>
    <w:rsid w:val="00FB2E01"/>
    <w:rsid w:val="00FB49A9"/>
    <w:rsid w:val="00FB4A65"/>
    <w:rsid w:val="00FB7575"/>
    <w:rsid w:val="00FB7A8A"/>
    <w:rsid w:val="00FC0114"/>
    <w:rsid w:val="00FC17EE"/>
    <w:rsid w:val="00FC6C24"/>
    <w:rsid w:val="00FC7C77"/>
    <w:rsid w:val="00FC7E1F"/>
    <w:rsid w:val="00FD1159"/>
    <w:rsid w:val="00FD595F"/>
    <w:rsid w:val="00FD69A0"/>
    <w:rsid w:val="00FD7E23"/>
    <w:rsid w:val="00FE121C"/>
    <w:rsid w:val="00FE121F"/>
    <w:rsid w:val="00FE14FA"/>
    <w:rsid w:val="00FE31D7"/>
    <w:rsid w:val="00FE513B"/>
    <w:rsid w:val="00FE59BB"/>
    <w:rsid w:val="00FE71CB"/>
    <w:rsid w:val="00FF2824"/>
    <w:rsid w:val="00FF719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F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F93"/>
    <w:rPr>
      <w:rFonts w:ascii="Segoe UI" w:hAnsi="Segoe UI" w:cs="Segoe UI"/>
      <w:sz w:val="18"/>
      <w:szCs w:val="18"/>
    </w:rPr>
  </w:style>
  <w:style w:type="paragraph" w:styleId="Header">
    <w:name w:val="header"/>
    <w:basedOn w:val="Normal"/>
    <w:link w:val="HeaderChar"/>
    <w:uiPriority w:val="99"/>
    <w:unhideWhenUsed/>
    <w:rsid w:val="00981C76"/>
    <w:pPr>
      <w:tabs>
        <w:tab w:val="center" w:pos="4680"/>
        <w:tab w:val="right" w:pos="9360"/>
      </w:tabs>
      <w:spacing w:line="240" w:lineRule="auto"/>
    </w:pPr>
  </w:style>
  <w:style w:type="character" w:customStyle="1" w:styleId="HeaderChar">
    <w:name w:val="Header Char"/>
    <w:basedOn w:val="DefaultParagraphFont"/>
    <w:link w:val="Header"/>
    <w:uiPriority w:val="99"/>
    <w:rsid w:val="00981C76"/>
  </w:style>
  <w:style w:type="paragraph" w:styleId="Footer">
    <w:name w:val="footer"/>
    <w:basedOn w:val="Normal"/>
    <w:link w:val="FooterChar"/>
    <w:uiPriority w:val="99"/>
    <w:unhideWhenUsed/>
    <w:rsid w:val="00981C76"/>
    <w:pPr>
      <w:tabs>
        <w:tab w:val="center" w:pos="4680"/>
        <w:tab w:val="right" w:pos="9360"/>
      </w:tabs>
      <w:spacing w:line="240" w:lineRule="auto"/>
    </w:pPr>
  </w:style>
  <w:style w:type="character" w:customStyle="1" w:styleId="FooterChar">
    <w:name w:val="Footer Char"/>
    <w:basedOn w:val="DefaultParagraphFont"/>
    <w:link w:val="Footer"/>
    <w:uiPriority w:val="99"/>
    <w:rsid w:val="00981C76"/>
  </w:style>
  <w:style w:type="character" w:styleId="Emphasis">
    <w:name w:val="Emphasis"/>
    <w:basedOn w:val="DefaultParagraphFont"/>
    <w:uiPriority w:val="20"/>
    <w:qFormat/>
    <w:rsid w:val="00DA0A80"/>
    <w:rPr>
      <w:i/>
      <w:iCs/>
    </w:rPr>
  </w:style>
  <w:style w:type="paragraph" w:styleId="FootnoteText">
    <w:name w:val="footnote text"/>
    <w:basedOn w:val="Normal"/>
    <w:link w:val="FootnoteTextChar"/>
    <w:uiPriority w:val="99"/>
    <w:semiHidden/>
    <w:unhideWhenUsed/>
    <w:rsid w:val="008755A5"/>
    <w:pPr>
      <w:spacing w:line="240" w:lineRule="auto"/>
    </w:pPr>
    <w:rPr>
      <w:sz w:val="20"/>
      <w:szCs w:val="20"/>
    </w:rPr>
  </w:style>
  <w:style w:type="character" w:customStyle="1" w:styleId="FootnoteTextChar">
    <w:name w:val="Footnote Text Char"/>
    <w:basedOn w:val="DefaultParagraphFont"/>
    <w:link w:val="FootnoteText"/>
    <w:uiPriority w:val="99"/>
    <w:semiHidden/>
    <w:rsid w:val="008755A5"/>
    <w:rPr>
      <w:sz w:val="20"/>
      <w:szCs w:val="20"/>
    </w:rPr>
  </w:style>
  <w:style w:type="character" w:styleId="FootnoteReference">
    <w:name w:val="footnote reference"/>
    <w:basedOn w:val="DefaultParagraphFont"/>
    <w:uiPriority w:val="99"/>
    <w:semiHidden/>
    <w:unhideWhenUsed/>
    <w:rsid w:val="008755A5"/>
    <w:rPr>
      <w:vertAlign w:val="superscript"/>
    </w:rPr>
  </w:style>
  <w:style w:type="character" w:styleId="Hyperlink">
    <w:name w:val="Hyperlink"/>
    <w:basedOn w:val="DefaultParagraphFont"/>
    <w:uiPriority w:val="99"/>
    <w:semiHidden/>
    <w:unhideWhenUsed/>
    <w:rsid w:val="00EB420C"/>
    <w:rPr>
      <w:color w:val="0000FF"/>
      <w:u w:val="single"/>
    </w:rPr>
  </w:style>
  <w:style w:type="paragraph" w:styleId="Revision">
    <w:name w:val="Revision"/>
    <w:hidden/>
    <w:uiPriority w:val="99"/>
    <w:semiHidden/>
    <w:rsid w:val="00D872A2"/>
    <w:pPr>
      <w:spacing w:line="240" w:lineRule="auto"/>
    </w:pPr>
  </w:style>
  <w:style w:type="character" w:styleId="CommentReference">
    <w:name w:val="annotation reference"/>
    <w:basedOn w:val="DefaultParagraphFont"/>
    <w:uiPriority w:val="99"/>
    <w:semiHidden/>
    <w:unhideWhenUsed/>
    <w:rsid w:val="00EC31E1"/>
    <w:rPr>
      <w:sz w:val="16"/>
      <w:szCs w:val="16"/>
    </w:rPr>
  </w:style>
  <w:style w:type="paragraph" w:styleId="CommentText">
    <w:name w:val="annotation text"/>
    <w:basedOn w:val="Normal"/>
    <w:link w:val="CommentTextChar"/>
    <w:uiPriority w:val="99"/>
    <w:unhideWhenUsed/>
    <w:rsid w:val="00EC31E1"/>
    <w:pPr>
      <w:spacing w:line="240" w:lineRule="auto"/>
    </w:pPr>
    <w:rPr>
      <w:sz w:val="20"/>
      <w:szCs w:val="20"/>
    </w:rPr>
  </w:style>
  <w:style w:type="character" w:customStyle="1" w:styleId="CommentTextChar">
    <w:name w:val="Comment Text Char"/>
    <w:basedOn w:val="DefaultParagraphFont"/>
    <w:link w:val="CommentText"/>
    <w:uiPriority w:val="99"/>
    <w:rsid w:val="00EC31E1"/>
    <w:rPr>
      <w:sz w:val="20"/>
      <w:szCs w:val="20"/>
    </w:rPr>
  </w:style>
  <w:style w:type="paragraph" w:styleId="CommentSubject">
    <w:name w:val="annotation subject"/>
    <w:basedOn w:val="CommentText"/>
    <w:next w:val="CommentText"/>
    <w:link w:val="CommentSubjectChar"/>
    <w:uiPriority w:val="99"/>
    <w:semiHidden/>
    <w:unhideWhenUsed/>
    <w:rsid w:val="00EC31E1"/>
    <w:rPr>
      <w:b/>
      <w:bCs/>
    </w:rPr>
  </w:style>
  <w:style w:type="character" w:customStyle="1" w:styleId="CommentSubjectChar">
    <w:name w:val="Comment Subject Char"/>
    <w:basedOn w:val="CommentTextChar"/>
    <w:link w:val="CommentSubject"/>
    <w:uiPriority w:val="99"/>
    <w:semiHidden/>
    <w:rsid w:val="00EC31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2024-06-20T19:28:20Z</dcterms:created>
  <dcterms:modified xsi:type="dcterms:W3CDTF">2024-06-20T19:28:20Z</dcterms:modified>
</cp:coreProperties>
</file>