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F0AA1" w:rsidP="00DF0AA1" w14:paraId="403C9E77" w14:textId="77777777">
      <w:pPr>
        <w:spacing w:line="240" w:lineRule="auto"/>
        <w:rPr>
          <w:sz w:val="20"/>
        </w:rPr>
      </w:pPr>
      <w:r>
        <w:rPr>
          <w:sz w:val="20"/>
        </w:rPr>
        <w:t>Filed 3/15/24 (unmodified opn. attached)</w:t>
      </w:r>
    </w:p>
    <w:p w:rsidR="00DF0AA1" w:rsidRPr="006A715F" w:rsidP="00DF0AA1" w14:paraId="70980AE0" w14:textId="77777777">
      <w:pPr>
        <w:spacing w:line="240" w:lineRule="auto"/>
        <w:rPr>
          <w:sz w:val="20"/>
        </w:rPr>
      </w:pPr>
    </w:p>
    <w:p w:rsidR="00DF0AA1" w:rsidRPr="006A715F" w:rsidP="00DF0AA1" w14:paraId="13E636CD" w14:textId="77777777">
      <w:pPr>
        <w:spacing w:line="240" w:lineRule="auto"/>
        <w:jc w:val="center"/>
        <w:rPr>
          <w:b/>
        </w:rPr>
      </w:pPr>
      <w:r w:rsidRPr="006A715F">
        <w:rPr>
          <w:b/>
        </w:rPr>
        <w:t>CERTIFIED FOR PUBLICATION</w:t>
      </w:r>
    </w:p>
    <w:p w:rsidR="00DF0AA1" w:rsidRPr="006A715F" w:rsidP="00DF0AA1" w14:paraId="01D12108" w14:textId="77777777">
      <w:pPr>
        <w:spacing w:line="240" w:lineRule="auto"/>
        <w:jc w:val="center"/>
      </w:pPr>
    </w:p>
    <w:p w:rsidR="00DF0AA1" w:rsidP="00DF0AA1" w14:paraId="4EECD91E" w14:textId="77777777">
      <w:pPr>
        <w:spacing w:line="240" w:lineRule="auto"/>
        <w:jc w:val="center"/>
      </w:pPr>
      <w:r>
        <w:t>IN THE COURT OF APPEAL OF THE STATE OF CALIFORNIA</w:t>
      </w:r>
    </w:p>
    <w:p w:rsidR="00DF0AA1" w:rsidP="00DF0AA1" w14:paraId="6F5229FE" w14:textId="77777777">
      <w:pPr>
        <w:spacing w:line="240" w:lineRule="auto"/>
        <w:jc w:val="center"/>
      </w:pPr>
    </w:p>
    <w:p w:rsidR="00DF0AA1" w:rsidP="00DF0AA1" w14:paraId="3E21DACD" w14:textId="77777777">
      <w:pPr>
        <w:spacing w:line="240" w:lineRule="auto"/>
        <w:jc w:val="center"/>
      </w:pPr>
      <w:r>
        <w:t>FIRST APPELLATE DISTRICT</w:t>
      </w:r>
    </w:p>
    <w:p w:rsidR="00DF0AA1" w:rsidP="00DF0AA1" w14:paraId="33D3C91C" w14:textId="77777777">
      <w:pPr>
        <w:spacing w:line="240" w:lineRule="auto"/>
        <w:jc w:val="center"/>
      </w:pPr>
    </w:p>
    <w:p w:rsidR="00DF0AA1" w:rsidP="00DF0AA1" w14:paraId="5ED6FA75" w14:textId="77777777">
      <w:pPr>
        <w:spacing w:line="240" w:lineRule="auto"/>
        <w:jc w:val="center"/>
      </w:pPr>
      <w:r>
        <w:t>DIVISION TWO</w:t>
      </w:r>
    </w:p>
    <w:p w:rsidR="00DF0AA1" w:rsidP="00DF0AA1" w14:paraId="785338B0" w14:textId="77777777">
      <w:pPr>
        <w:spacing w:line="240" w:lineRule="auto"/>
        <w:jc w:val="center"/>
      </w:pPr>
    </w:p>
    <w:p w:rsidR="00DF0AA1" w:rsidP="00DF0AA1" w14:paraId="2BB29E24" w14:textId="77777777">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3960"/>
        <w:gridCol w:w="3960"/>
      </w:tblGrid>
      <w:tr w14:paraId="23FBF9C4" w14:textId="77777777" w:rsidTr="000F4319">
        <w:tblPrEx>
          <w:tblW w:w="0" w:type="auto"/>
          <w:tblInd w:w="0" w:type="dxa"/>
          <w:tblLayout w:type="fixed"/>
          <w:tblCellMar>
            <w:top w:w="0" w:type="dxa"/>
            <w:left w:w="108" w:type="dxa"/>
            <w:bottom w:w="0" w:type="dxa"/>
            <w:right w:w="108" w:type="dxa"/>
          </w:tblCellMar>
          <w:tblLook w:val="0000"/>
        </w:tblPrEx>
        <w:tc>
          <w:tcPr>
            <w:tcW w:w="3960" w:type="dxa"/>
            <w:tcBorders>
              <w:bottom w:val="single" w:sz="4" w:space="0" w:color="auto"/>
              <w:right w:val="single" w:sz="4" w:space="0" w:color="auto"/>
            </w:tcBorders>
            <w:shd w:val="clear" w:color="auto" w:fill="auto"/>
          </w:tcPr>
          <w:p w:rsidR="00DF0AA1" w:rsidP="000F4319" w14:paraId="7E699B9F" w14:textId="77777777">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SAMANTHA WOOD,</w:t>
            </w:r>
          </w:p>
          <w:p w:rsidR="00DF0AA1" w:rsidP="000F4319" w14:paraId="34842D15" w14:textId="77777777">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Petitioner and Appellant,</w:t>
            </w:r>
          </w:p>
          <w:p w:rsidR="00DF0AA1" w:rsidP="000F4319" w14:paraId="4DC23E18" w14:textId="77777777">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v.</w:t>
            </w:r>
          </w:p>
          <w:p w:rsidR="00DF0AA1" w:rsidP="000F4319" w14:paraId="2FD4F2CA" w14:textId="77777777">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SAN FRANCISCO COUNTY SUPERIOR COURT,</w:t>
            </w:r>
          </w:p>
          <w:p w:rsidR="00DF0AA1" w:rsidP="000F4319" w14:paraId="17730195" w14:textId="77777777">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Defendant and Respondent.</w:t>
            </w:r>
          </w:p>
        </w:tc>
        <w:tc>
          <w:tcPr>
            <w:tcW w:w="3960" w:type="dxa"/>
            <w:tcBorders>
              <w:left w:val="single" w:sz="4" w:space="0" w:color="auto"/>
            </w:tcBorders>
            <w:shd w:val="clear" w:color="auto" w:fill="auto"/>
          </w:tcPr>
          <w:p w:rsidR="00DF0AA1" w:rsidP="000F4319" w14:paraId="32106E92" w14:textId="77777777">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 xml:space="preserve">      A168463</w:t>
            </w:r>
          </w:p>
          <w:p w:rsidR="00DF0AA1" w:rsidP="000F4319" w14:paraId="3B6EAEC8" w14:textId="77777777">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DF0AA1" w:rsidP="000F4319" w14:paraId="2033FD09" w14:textId="77777777">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 xml:space="preserve">      (San Francisco County</w:t>
            </w:r>
          </w:p>
          <w:p w:rsidR="00DF0AA1" w:rsidP="000F4319" w14:paraId="057EF599" w14:textId="77777777">
            <w:pPr>
              <w:tabs>
                <w:tab w:val="left" w:pos="720"/>
              </w:tabs>
              <w:spacing w:line="240" w:lineRule="auto"/>
              <w:ind w:left="432"/>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 xml:space="preserve">Super. Ct. No. </w:t>
            </w:r>
            <w:r w:rsidRPr="00A30D5A">
              <w:rPr>
                <w:rFonts w:ascii="Century Schoolbook" w:hAnsi="Century Schoolbook" w:eastAsiaTheme="minorHAnsi" w:cstheme="minorBidi"/>
                <w:kern w:val="2"/>
                <w:sz w:val="26"/>
                <w:szCs w:val="26"/>
                <w:lang w:val="en-US" w:eastAsia="en-US" w:bidi="ar-SA"/>
                <w14:ligatures w14:val="standardContextual"/>
              </w:rPr>
              <w:t>CNC23557879</w:t>
            </w:r>
            <w:r>
              <w:rPr>
                <w:rFonts w:ascii="Century Schoolbook" w:hAnsi="Century Schoolbook" w:eastAsiaTheme="minorHAnsi" w:cstheme="minorBidi"/>
                <w:kern w:val="2"/>
                <w:sz w:val="26"/>
                <w:szCs w:val="26"/>
                <w:lang w:val="en-US" w:eastAsia="en-US" w:bidi="ar-SA"/>
                <w14:ligatures w14:val="standardContextual"/>
              </w:rPr>
              <w:t>)</w:t>
            </w:r>
          </w:p>
          <w:p w:rsidR="00DF0AA1" w:rsidP="000F4319" w14:paraId="72A0B250" w14:textId="77777777">
            <w:pPr>
              <w:tabs>
                <w:tab w:val="left" w:pos="720"/>
              </w:tabs>
              <w:spacing w:line="240" w:lineRule="auto"/>
              <w:ind w:left="432"/>
              <w:rPr>
                <w:rStyle w:val="DefaultParagraphFont"/>
                <w:rFonts w:ascii="Century Schoolbook" w:hAnsi="Century Schoolbook" w:eastAsiaTheme="minorHAnsi" w:cstheme="minorBidi"/>
                <w:kern w:val="2"/>
                <w:sz w:val="26"/>
                <w:szCs w:val="26"/>
                <w:lang w:val="en-US" w:eastAsia="en-US" w:bidi="ar-SA"/>
                <w14:ligatures w14:val="standardContextual"/>
              </w:rPr>
            </w:pPr>
          </w:p>
          <w:p w:rsidR="00DF0AA1" w:rsidRPr="009677EB" w:rsidP="000F4319" w14:paraId="19E5AF0F" w14:textId="77777777">
            <w:pPr>
              <w:tabs>
                <w:tab w:val="left" w:pos="720"/>
              </w:tabs>
              <w:spacing w:line="240" w:lineRule="auto"/>
              <w:ind w:left="432"/>
              <w:rPr>
                <w:rStyle w:val="DefaultParagraphFont"/>
                <w:rFonts w:ascii="Century Schoolbook" w:hAnsi="Century Schoolbook" w:eastAsiaTheme="minorHAnsi" w:cstheme="minorBidi"/>
                <w:b/>
                <w:bCs/>
                <w:kern w:val="2"/>
                <w:sz w:val="26"/>
                <w:szCs w:val="26"/>
                <w:lang w:val="en-US" w:eastAsia="en-US" w:bidi="ar-SA"/>
                <w14:ligatures w14:val="standardContextual"/>
              </w:rPr>
            </w:pPr>
            <w:r w:rsidRPr="009677EB">
              <w:rPr>
                <w:rFonts w:ascii="Century Schoolbook" w:hAnsi="Century Schoolbook" w:eastAsiaTheme="minorHAnsi" w:cstheme="minorBidi"/>
                <w:b/>
                <w:bCs/>
                <w:kern w:val="2"/>
                <w:sz w:val="26"/>
                <w:szCs w:val="26"/>
                <w:lang w:val="en-US" w:eastAsia="en-US" w:bidi="ar-SA"/>
                <w14:ligatures w14:val="standardContextual"/>
              </w:rPr>
              <w:t>ORDER MODIFYING OPINION</w:t>
            </w:r>
          </w:p>
          <w:p w:rsidR="00DF0AA1" w:rsidP="000F4319" w14:paraId="1B79A001" w14:textId="77777777">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tc>
      </w:tr>
    </w:tbl>
    <w:p w:rsidR="00DF0AA1" w:rsidP="00DF0AA1" w14:paraId="14A99EE9" w14:textId="77777777">
      <w:pPr>
        <w:spacing w:line="360" w:lineRule="auto"/>
      </w:pPr>
      <w:r>
        <w:t>BY THE COURT:</w:t>
      </w:r>
    </w:p>
    <w:p w:rsidR="00DF0AA1" w:rsidP="00DF0AA1" w14:paraId="4A4207CB" w14:textId="77777777">
      <w:pPr>
        <w:spacing w:line="360" w:lineRule="auto"/>
      </w:pPr>
      <w:r>
        <w:tab/>
        <w:t>The opinion filed herein on March 14, 2024, is modified as follows.</w:t>
      </w:r>
    </w:p>
    <w:p w:rsidR="00DF0AA1" w:rsidP="00DF0AA1" w14:paraId="6231C498" w14:textId="77777777">
      <w:pPr>
        <w:spacing w:line="360" w:lineRule="auto"/>
      </w:pPr>
      <w:r>
        <w:tab/>
        <w:t>On page 1, the San Francisco County Superior Court Case No. is modified to read:</w:t>
      </w:r>
    </w:p>
    <w:p w:rsidR="00DF0AA1" w:rsidP="00DF0AA1" w14:paraId="2A4FF0DC" w14:textId="77777777">
      <w:pPr>
        <w:spacing w:line="240" w:lineRule="auto"/>
      </w:pPr>
      <w:r>
        <w:t>(San Francisco County</w:t>
      </w:r>
    </w:p>
    <w:p w:rsidR="00DF0AA1" w:rsidP="00DF0AA1" w14:paraId="57D7E224" w14:textId="77777777">
      <w:pPr>
        <w:spacing w:line="240" w:lineRule="auto"/>
      </w:pPr>
      <w:r>
        <w:t xml:space="preserve">Super. Ct. No. </w:t>
      </w:r>
      <w:r w:rsidRPr="00A30D5A">
        <w:t>CNC23557879</w:t>
      </w:r>
      <w:r>
        <w:t>)</w:t>
      </w:r>
    </w:p>
    <w:p w:rsidR="00DF0AA1" w:rsidP="00DF0AA1" w14:paraId="100B5E17" w14:textId="77777777">
      <w:pPr>
        <w:spacing w:line="240" w:lineRule="auto"/>
      </w:pPr>
    </w:p>
    <w:p w:rsidR="00DF0AA1" w:rsidP="00DF0AA1" w14:paraId="1F25581F" w14:textId="77777777">
      <w:pPr>
        <w:spacing w:line="360" w:lineRule="auto"/>
      </w:pPr>
      <w:r>
        <w:t>This modification does not effect a change in the judgment.</w:t>
      </w:r>
    </w:p>
    <w:p w:rsidR="00DF0AA1" w:rsidP="00DF0AA1" w14:paraId="76B266D7" w14:textId="77777777">
      <w:pPr>
        <w:spacing w:line="360" w:lineRule="auto"/>
      </w:pPr>
    </w:p>
    <w:p w:rsidR="00DF0AA1" w:rsidP="00DF0AA1" w14:paraId="35202E2F" w14:textId="77777777">
      <w:pPr>
        <w:spacing w:line="360" w:lineRule="auto"/>
      </w:pPr>
      <w:r>
        <w:t>Date: 3/15/24</w:t>
      </w:r>
      <w:r>
        <w:tab/>
      </w:r>
      <w:r>
        <w:tab/>
      </w:r>
      <w:r>
        <w:tab/>
      </w:r>
      <w:r>
        <w:tab/>
      </w:r>
      <w:r>
        <w:tab/>
        <w:t xml:space="preserve">          ________________</w:t>
      </w:r>
      <w:r>
        <w:br/>
      </w:r>
      <w:r>
        <w:tab/>
      </w:r>
      <w:r>
        <w:tab/>
      </w:r>
      <w:r>
        <w:tab/>
      </w:r>
      <w:r>
        <w:tab/>
      </w:r>
      <w:r>
        <w:tab/>
      </w:r>
      <w:r>
        <w:tab/>
      </w:r>
      <w:r>
        <w:tab/>
      </w:r>
      <w:r>
        <w:tab/>
        <w:t>Stewart, P. J.</w:t>
      </w:r>
    </w:p>
    <w:p w:rsidR="00DF0AA1" w:rsidP="00DF0AA1" w14:paraId="2E988017" w14:textId="77777777">
      <w:pPr>
        <w:spacing w:line="240" w:lineRule="auto"/>
      </w:pPr>
    </w:p>
    <w:p w:rsidR="00DF0AA1" w:rsidP="001A70DE" w14:paraId="1729A692" w14:textId="77777777">
      <w:pPr>
        <w:spacing w:line="240" w:lineRule="auto"/>
        <w:rPr>
          <w:sz w:val="20"/>
        </w:rPr>
        <w:sectPr w:rsidSect="00AD6DD5">
          <w:headerReference w:type="even" r:id="rId5"/>
          <w:headerReference w:type="default" r:id="rId6"/>
          <w:footerReference w:type="even" r:id="rId7"/>
          <w:footerReference w:type="default" r:id="rId8"/>
          <w:headerReference w:type="first" r:id="rId9"/>
          <w:footerReference w:type="first" r:id="rId10"/>
          <w:pgSz w:w="12240" w:h="15840"/>
          <w:pgMar w:top="1440" w:right="2160" w:bottom="1440" w:left="2160" w:header="720" w:footer="720" w:gutter="0"/>
          <w:cols w:space="720"/>
          <w:docGrid w:linePitch="360"/>
        </w:sectPr>
      </w:pPr>
    </w:p>
    <w:p w:rsidR="001A70DE" w:rsidRPr="006A715F" w:rsidP="001A70DE" w14:paraId="38D00028" w14:textId="51B763D7">
      <w:pPr>
        <w:spacing w:line="240" w:lineRule="auto"/>
        <w:rPr>
          <w:sz w:val="20"/>
        </w:rPr>
      </w:pPr>
      <w:r w:rsidRPr="006A715F">
        <w:rPr>
          <w:sz w:val="20"/>
        </w:rPr>
        <w:t xml:space="preserve">Filed </w:t>
      </w:r>
      <w:r>
        <w:rPr>
          <w:sz w:val="20"/>
        </w:rPr>
        <w:t>3</w:t>
      </w:r>
      <w:r w:rsidRPr="006A715F">
        <w:rPr>
          <w:sz w:val="20"/>
        </w:rPr>
        <w:t>/</w:t>
      </w:r>
      <w:r w:rsidR="00797EDB">
        <w:rPr>
          <w:sz w:val="20"/>
        </w:rPr>
        <w:t>14</w:t>
      </w:r>
      <w:r w:rsidRPr="006A715F">
        <w:rPr>
          <w:sz w:val="20"/>
        </w:rPr>
        <w:t>/2</w:t>
      </w:r>
      <w:r>
        <w:rPr>
          <w:sz w:val="20"/>
        </w:rPr>
        <w:t>4</w:t>
      </w:r>
      <w:r w:rsidR="00DF0AA1">
        <w:rPr>
          <w:sz w:val="20"/>
        </w:rPr>
        <w:t xml:space="preserve"> (unmodified opinion)</w:t>
      </w:r>
    </w:p>
    <w:p w:rsidR="001A70DE" w:rsidRPr="006A715F" w:rsidP="001A70DE" w14:paraId="1EA2C2F1" w14:textId="77777777">
      <w:pPr>
        <w:spacing w:line="240" w:lineRule="auto"/>
        <w:jc w:val="center"/>
        <w:rPr>
          <w:b/>
        </w:rPr>
      </w:pPr>
      <w:r w:rsidRPr="006A715F">
        <w:rPr>
          <w:b/>
        </w:rPr>
        <w:t>CERTIFIED FOR PUBLICATION</w:t>
      </w:r>
    </w:p>
    <w:p w:rsidR="001A70DE" w:rsidRPr="006A715F" w:rsidP="001A70DE" w14:paraId="651D6B2B" w14:textId="77777777">
      <w:pPr>
        <w:spacing w:line="240" w:lineRule="auto"/>
        <w:jc w:val="center"/>
      </w:pPr>
    </w:p>
    <w:p w:rsidR="008C69C3" w:rsidP="00AD6DD5" w14:paraId="6C7F380B" w14:textId="611B6A34">
      <w:pPr>
        <w:spacing w:line="240" w:lineRule="auto"/>
        <w:jc w:val="center"/>
      </w:pPr>
      <w:r>
        <w:t>IN THE COURT OF APPEAL OF THE STATE OF CALIFORNIA</w:t>
      </w:r>
    </w:p>
    <w:p w:rsidR="00AD6DD5" w:rsidP="00AD6DD5" w14:paraId="5EE9503E" w14:textId="77777777">
      <w:pPr>
        <w:spacing w:line="240" w:lineRule="auto"/>
        <w:jc w:val="center"/>
      </w:pPr>
    </w:p>
    <w:p w:rsidR="00AD6DD5" w:rsidP="00AD6DD5" w14:paraId="308707EA" w14:textId="474776F8">
      <w:pPr>
        <w:spacing w:line="240" w:lineRule="auto"/>
        <w:jc w:val="center"/>
      </w:pPr>
      <w:r>
        <w:t>FIRST APPELLATE DISTRICT</w:t>
      </w:r>
    </w:p>
    <w:p w:rsidR="00AD6DD5" w:rsidP="00AD6DD5" w14:paraId="2EF87D9D" w14:textId="77777777">
      <w:pPr>
        <w:spacing w:line="240" w:lineRule="auto"/>
        <w:jc w:val="center"/>
      </w:pPr>
    </w:p>
    <w:p w:rsidR="00AD6DD5" w:rsidP="00AD6DD5" w14:paraId="75227264" w14:textId="458B567F">
      <w:pPr>
        <w:spacing w:line="240" w:lineRule="auto"/>
        <w:jc w:val="center"/>
      </w:pPr>
      <w:r>
        <w:t>DIVISION TWO</w:t>
      </w:r>
    </w:p>
    <w:p w:rsidR="00AD6DD5" w:rsidP="00AD6DD5" w14:paraId="5398D0EC" w14:textId="77777777">
      <w:pPr>
        <w:spacing w:line="240" w:lineRule="auto"/>
        <w:jc w:val="center"/>
      </w:pPr>
    </w:p>
    <w:p w:rsidR="00AD6DD5" w:rsidP="00AD6DD5" w14:paraId="4B3C02F7" w14:textId="77777777">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3960"/>
        <w:gridCol w:w="3960"/>
      </w:tblGrid>
      <w:tr w14:paraId="2F601C1E" w14:textId="77777777" w:rsidTr="00AD6DD5">
        <w:tblPrEx>
          <w:tblW w:w="0" w:type="auto"/>
          <w:tblInd w:w="0" w:type="dxa"/>
          <w:tblLayout w:type="fixed"/>
          <w:tblCellMar>
            <w:top w:w="0" w:type="dxa"/>
            <w:left w:w="108" w:type="dxa"/>
            <w:bottom w:w="0" w:type="dxa"/>
            <w:right w:w="108" w:type="dxa"/>
          </w:tblCellMar>
          <w:tblLook w:val="0000"/>
        </w:tblPrEx>
        <w:tc>
          <w:tcPr>
            <w:tcW w:w="3960" w:type="dxa"/>
            <w:tcBorders>
              <w:bottom w:val="single" w:sz="4" w:space="0" w:color="auto"/>
              <w:right w:val="single" w:sz="4" w:space="0" w:color="auto"/>
            </w:tcBorders>
            <w:shd w:val="clear" w:color="auto" w:fill="auto"/>
          </w:tcPr>
          <w:p w:rsidR="00AD6DD5" w:rsidP="00AD6DD5" w14:paraId="4BF4B5D1" w14:textId="77777777">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SAMANTHA WOOD,</w:t>
            </w:r>
          </w:p>
          <w:p w:rsidR="00AD6DD5" w:rsidP="00AD6DD5" w14:paraId="69C00F74" w14:textId="10F746DC">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P</w:t>
            </w:r>
            <w:r w:rsidR="001A2566">
              <w:rPr>
                <w:rFonts w:ascii="Century Schoolbook" w:hAnsi="Century Schoolbook" w:eastAsiaTheme="minorHAnsi" w:cstheme="minorBidi"/>
                <w:kern w:val="2"/>
                <w:sz w:val="26"/>
                <w:szCs w:val="26"/>
                <w:lang w:val="en-US" w:eastAsia="en-US" w:bidi="ar-SA"/>
                <w14:ligatures w14:val="standardContextual"/>
              </w:rPr>
              <w:t xml:space="preserve">etitioner </w:t>
            </w:r>
            <w:r>
              <w:rPr>
                <w:rFonts w:ascii="Century Schoolbook" w:hAnsi="Century Schoolbook" w:eastAsiaTheme="minorHAnsi" w:cstheme="minorBidi"/>
                <w:kern w:val="2"/>
                <w:sz w:val="26"/>
                <w:szCs w:val="26"/>
                <w:lang w:val="en-US" w:eastAsia="en-US" w:bidi="ar-SA"/>
                <w14:ligatures w14:val="standardContextual"/>
              </w:rPr>
              <w:t>and Appellant,</w:t>
            </w:r>
          </w:p>
          <w:p w:rsidR="00AD6DD5" w:rsidP="00AD6DD5" w14:paraId="577EAD5C" w14:textId="77777777">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v.</w:t>
            </w:r>
          </w:p>
          <w:p w:rsidR="00AD6DD5" w:rsidP="00AD6DD5" w14:paraId="55328B2B" w14:textId="77777777">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SAN FRANCISCO COUNTY SUPERIOR COURT,</w:t>
            </w:r>
          </w:p>
          <w:p w:rsidR="00AD6DD5" w:rsidP="00AD6DD5" w14:paraId="1C881D25" w14:textId="38E50E16">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Defendant and Respondent.</w:t>
            </w:r>
          </w:p>
        </w:tc>
        <w:tc>
          <w:tcPr>
            <w:tcW w:w="3960" w:type="dxa"/>
            <w:tcBorders>
              <w:left w:val="single" w:sz="4" w:space="0" w:color="auto"/>
            </w:tcBorders>
            <w:shd w:val="clear" w:color="auto" w:fill="auto"/>
          </w:tcPr>
          <w:p w:rsidR="00AD6DD5" w:rsidP="00AD6DD5" w14:paraId="3D2E55E9" w14:textId="77777777">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AD6DD5" w:rsidP="00AD6DD5" w14:paraId="3A6026FB" w14:textId="77777777">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AD6DD5" w:rsidP="00AD6DD5" w14:paraId="5A0F0764" w14:textId="77777777">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 xml:space="preserve">      A168463</w:t>
            </w:r>
          </w:p>
          <w:p w:rsidR="00AD6DD5" w:rsidP="00AD6DD5" w14:paraId="1D055F22" w14:textId="77777777">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AD6DD5" w:rsidP="00AD6DD5" w14:paraId="3ECE8233" w14:textId="77777777">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 xml:space="preserve">      (San Francisco County</w:t>
            </w:r>
          </w:p>
          <w:p w:rsidR="00AD6DD5" w:rsidP="00AD6DD5" w14:paraId="0A04CF73" w14:textId="6E34D78B">
            <w:pPr>
              <w:tabs>
                <w:tab w:val="left" w:pos="720"/>
              </w:tabs>
              <w:spacing w:line="240" w:lineRule="auto"/>
              <w:ind w:left="432"/>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Super. Ct. No. SCNC2366789)</w:t>
            </w:r>
          </w:p>
          <w:p w:rsidR="00AD6DD5" w:rsidP="00AD6DD5" w14:paraId="2CD2D5C8" w14:textId="1365B7D8">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tc>
      </w:tr>
    </w:tbl>
    <w:p w:rsidR="00AD6DD5" w:rsidP="00AD6DD5" w14:paraId="43742D61" w14:textId="77777777">
      <w:pPr>
        <w:spacing w:line="360" w:lineRule="auto"/>
      </w:pPr>
    </w:p>
    <w:p w:rsidR="00AD6DD5" w:rsidP="00AD6DD5" w14:paraId="3FE7C1DB" w14:textId="74DA08E8">
      <w:pPr>
        <w:tabs>
          <w:tab w:val="clear" w:pos="720"/>
        </w:tabs>
        <w:spacing w:line="360" w:lineRule="auto"/>
        <w:ind w:left="-720" w:right="-720" w:firstLine="720"/>
      </w:pPr>
      <w:r>
        <w:t xml:space="preserve">Appellant Samantha Wood filed a petition for name change, to change her name to Candi Bimbo Doll, a name by which she has long been known.  No opposition was filed, and no </w:t>
      </w:r>
      <w:r w:rsidR="00587145">
        <w:t xml:space="preserve">hearing </w:t>
      </w:r>
      <w:r>
        <w:t xml:space="preserve">was </w:t>
      </w:r>
      <w:r w:rsidR="00587145">
        <w:t>held</w:t>
      </w:r>
      <w:r>
        <w:t xml:space="preserve">.  But </w:t>
      </w:r>
      <w:r w:rsidR="000B76DD">
        <w:t xml:space="preserve">a </w:t>
      </w:r>
      <w:r w:rsidR="00587145">
        <w:t xml:space="preserve">trial </w:t>
      </w:r>
      <w:r w:rsidR="000B76DD">
        <w:t>ju</w:t>
      </w:r>
      <w:r w:rsidR="004C6C62">
        <w:t xml:space="preserve">dge </w:t>
      </w:r>
      <w:r w:rsidR="00587145">
        <w:t xml:space="preserve">did some </w:t>
      </w:r>
      <w:r w:rsidR="00D840A0">
        <w:t xml:space="preserve">research and, citing to </w:t>
      </w:r>
      <w:r w:rsidR="00162186">
        <w:t xml:space="preserve">a </w:t>
      </w:r>
      <w:r w:rsidR="00D840A0">
        <w:t xml:space="preserve">California case, </w:t>
      </w:r>
      <w:r w:rsidR="00712743">
        <w:t xml:space="preserve">a </w:t>
      </w:r>
      <w:r w:rsidR="00C30962">
        <w:t>34-year-old</w:t>
      </w:r>
      <w:r w:rsidR="00712743">
        <w:t xml:space="preserve"> law review article, and TikTok,</w:t>
      </w:r>
      <w:r w:rsidR="004A4AA7">
        <w:t xml:space="preserve"> </w:t>
      </w:r>
      <w:r w:rsidR="00942C9E">
        <w:t xml:space="preserve">filed a 33-line </w:t>
      </w:r>
      <w:r w:rsidR="002F0987">
        <w:t xml:space="preserve">order </w:t>
      </w:r>
      <w:r>
        <w:t>den</w:t>
      </w:r>
      <w:r w:rsidR="002F0987">
        <w:t xml:space="preserve">ying </w:t>
      </w:r>
      <w:r>
        <w:t>the petition.  We conclude that denial was error, and we reverse.</w:t>
      </w:r>
    </w:p>
    <w:p w:rsidR="002F64E4" w:rsidP="00797EDB" w14:paraId="590B88E2" w14:textId="5FEF8853">
      <w:pPr>
        <w:tabs>
          <w:tab w:val="clear" w:pos="720"/>
        </w:tabs>
        <w:spacing w:line="360" w:lineRule="auto"/>
        <w:ind w:left="-720" w:right="-720"/>
        <w:jc w:val="center"/>
      </w:pPr>
      <w:r>
        <w:rPr>
          <w:b/>
          <w:bCs/>
        </w:rPr>
        <w:t>BACKGROUND</w:t>
      </w:r>
    </w:p>
    <w:p w:rsidR="002F64E4" w:rsidP="002F64E4" w14:paraId="5B38A64A" w14:textId="6680ECCB">
      <w:pPr>
        <w:tabs>
          <w:tab w:val="clear" w:pos="720"/>
        </w:tabs>
        <w:spacing w:line="360" w:lineRule="auto"/>
        <w:ind w:left="-720" w:right="-720" w:firstLine="720"/>
      </w:pPr>
      <w:r>
        <w:t>On April 12, 2023, representing herself, appellant S</w:t>
      </w:r>
      <w:r w:rsidR="000B1C5C">
        <w:t xml:space="preserve">amantha E. Wood filed a petition for change of name. </w:t>
      </w:r>
      <w:r w:rsidR="0082114A">
        <w:t xml:space="preserve"> The petition was on the Judicial Council Form and sought to change her name to Candi Bimbo Doll</w:t>
      </w:r>
      <w:r w:rsidR="000528C3">
        <w:t xml:space="preserve">, </w:t>
      </w:r>
      <w:r w:rsidR="004A4AA7">
        <w:t xml:space="preserve">and </w:t>
      </w:r>
      <w:r w:rsidR="000528C3">
        <w:t>assert</w:t>
      </w:r>
      <w:r w:rsidR="004A4AA7">
        <w:t xml:space="preserve">ed </w:t>
      </w:r>
      <w:r w:rsidR="000528C3">
        <w:t xml:space="preserve">this basis for the change:  </w:t>
      </w:r>
      <w:r w:rsidR="00FF4AC6">
        <w:t>“This is an identity I have pursued well over a decade; I</w:t>
      </w:r>
      <w:r w:rsidR="00F71F2A">
        <w:t> </w:t>
      </w:r>
      <w:r w:rsidR="00FF4AC6">
        <w:t xml:space="preserve">have already embraced it and taken numerous, permanent steps to secure it.  The name is the last thing left.  I promise I know what I’m requesting.” </w:t>
      </w:r>
      <w:r w:rsidR="00572D0A">
        <w:t xml:space="preserve"> The petition was signed under penalty of perjury. </w:t>
      </w:r>
    </w:p>
    <w:p w:rsidR="00572D0A" w:rsidP="002F64E4" w14:paraId="5F3747A3" w14:textId="5053C34C">
      <w:pPr>
        <w:tabs>
          <w:tab w:val="clear" w:pos="720"/>
        </w:tabs>
        <w:spacing w:line="360" w:lineRule="auto"/>
        <w:ind w:left="-720" w:right="-720" w:firstLine="720"/>
      </w:pPr>
      <w:r>
        <w:t xml:space="preserve">No opposition was filed to the petition.  </w:t>
      </w:r>
      <w:r w:rsidR="00162186">
        <w:t xml:space="preserve">No </w:t>
      </w:r>
      <w:r>
        <w:t>hearing was held.</w:t>
      </w:r>
    </w:p>
    <w:p w:rsidR="00572D0A" w:rsidP="002F64E4" w14:paraId="4B345AFD" w14:textId="169D97E2">
      <w:pPr>
        <w:tabs>
          <w:tab w:val="clear" w:pos="720"/>
        </w:tabs>
        <w:spacing w:line="360" w:lineRule="auto"/>
        <w:ind w:left="-720" w:right="-720" w:firstLine="720"/>
      </w:pPr>
      <w:r>
        <w:t xml:space="preserve">On July 14, </w:t>
      </w:r>
      <w:r w:rsidR="00350242">
        <w:t xml:space="preserve">2023, </w:t>
      </w:r>
      <w:r>
        <w:t>the trial court entered a</w:t>
      </w:r>
      <w:r w:rsidR="00BD6853">
        <w:t xml:space="preserve">n </w:t>
      </w:r>
      <w:r w:rsidR="00B723A0">
        <w:t>order denying the petition, which order provided in i</w:t>
      </w:r>
      <w:r w:rsidR="00BD6853">
        <w:t>t</w:t>
      </w:r>
      <w:r w:rsidR="00B723A0">
        <w:t>s substantive entirety</w:t>
      </w:r>
      <w:r w:rsidR="00744C2E">
        <w:t xml:space="preserve"> as follows:</w:t>
      </w:r>
    </w:p>
    <w:p w:rsidR="009021F3" w:rsidP="002F64E4" w14:paraId="03885318" w14:textId="1B56FFAC">
      <w:pPr>
        <w:tabs>
          <w:tab w:val="clear" w:pos="720"/>
        </w:tabs>
        <w:spacing w:line="360" w:lineRule="auto"/>
        <w:ind w:left="-720" w:right="-720" w:firstLine="720"/>
      </w:pPr>
      <w:r>
        <w:t>“Petitioner requests to change her name to ‘Candi Bimbo Doll.’  Petitioner here asserts that she has pursued the identity for well over a decade, has ‘already embraced it, and taken numerous steps to secure it.  The name is the last thing left.’</w:t>
      </w:r>
    </w:p>
    <w:p w:rsidR="009021F3" w:rsidP="009021F3" w14:paraId="46F5703D" w14:textId="779470D5">
      <w:pPr>
        <w:tabs>
          <w:tab w:val="clear" w:pos="720"/>
        </w:tabs>
        <w:spacing w:line="360" w:lineRule="auto"/>
        <w:ind w:left="-720" w:right="-720" w:firstLine="720"/>
      </w:pPr>
      <w:r>
        <w:t>“A person has a common law right to change their name to ‘Candi Bimbo Doll</w:t>
      </w:r>
      <w:r w:rsidR="00A22C5A">
        <w:t>’ without the necessity of any legal proceeding.  (California Code of Civil Procedure</w:t>
      </w:r>
      <w:r w:rsidR="001109FD">
        <w:t xml:space="preserve"> (CCP) 1279.5(a).)  A CCP 1276 proceeding to change a person’s name merely provides a public record of the name change.</w:t>
      </w:r>
      <w:r w:rsidR="00182415">
        <w:t xml:space="preserve">  (</w:t>
      </w:r>
      <w:r w:rsidR="00182415">
        <w:rPr>
          <w:i/>
          <w:iCs/>
        </w:rPr>
        <w:t xml:space="preserve">Weathers v. Superior Court </w:t>
      </w:r>
      <w:r w:rsidR="00182415">
        <w:t>(1976) 5</w:t>
      </w:r>
      <w:r w:rsidR="005F7875">
        <w:t>[4</w:t>
      </w:r>
      <w:r w:rsidR="00182415">
        <w:t xml:space="preserve"> C</w:t>
      </w:r>
      <w:r w:rsidR="005F7875">
        <w:t>]</w:t>
      </w:r>
      <w:r w:rsidR="00182415">
        <w:t>al.App.3d 286, 288.)</w:t>
      </w:r>
    </w:p>
    <w:p w:rsidR="00182415" w:rsidP="009021F3" w14:paraId="39F60A87" w14:textId="7BB62180">
      <w:pPr>
        <w:tabs>
          <w:tab w:val="clear" w:pos="720"/>
        </w:tabs>
        <w:spacing w:line="360" w:lineRule="auto"/>
        <w:ind w:left="-720" w:right="-720" w:firstLine="720"/>
      </w:pPr>
      <w:r>
        <w:t xml:space="preserve">“However, no person has a </w:t>
      </w:r>
      <w:r w:rsidR="00C44178">
        <w:rPr>
          <w:u w:val="single"/>
        </w:rPr>
        <w:t>statutory right</w:t>
      </w:r>
      <w:r w:rsidR="00C44178">
        <w:t xml:space="preserve"> to officially change their name to a name universally recognized as being offensive.  (</w:t>
      </w:r>
      <w:r w:rsidR="00C44178">
        <w:rPr>
          <w:i/>
          <w:iCs/>
        </w:rPr>
        <w:t xml:space="preserve">Lee v. Superior Court </w:t>
      </w:r>
      <w:r w:rsidR="00C44178">
        <w:t>(1992) 9 Cal.App.4th 510</w:t>
      </w:r>
      <w:r w:rsidR="00CE18AC">
        <w:t>, 514</w:t>
      </w:r>
      <w:r w:rsidR="000B1C66">
        <w:t xml:space="preserve"> </w:t>
      </w:r>
      <w:r w:rsidR="00AD23B5">
        <w:t>[</w:t>
      </w:r>
      <w:r w:rsidR="000B1C66">
        <w:t>(</w:t>
      </w:r>
      <w:r w:rsidR="000B1C66">
        <w:rPr>
          <w:i/>
          <w:iCs/>
        </w:rPr>
        <w:t>Lee</w:t>
      </w:r>
      <w:r w:rsidR="000B1C66">
        <w:t>)</w:t>
      </w:r>
      <w:r w:rsidR="00AD23B5">
        <w:t>]</w:t>
      </w:r>
      <w:r w:rsidR="00CE18AC">
        <w:t>.)</w:t>
      </w:r>
    </w:p>
    <w:p w:rsidR="00117164" w:rsidP="009021F3" w14:paraId="3F2BB9E3" w14:textId="17299AF6">
      <w:pPr>
        <w:tabs>
          <w:tab w:val="clear" w:pos="720"/>
        </w:tabs>
        <w:spacing w:line="360" w:lineRule="auto"/>
        <w:ind w:left="-720" w:right="-720" w:firstLine="720"/>
      </w:pPr>
      <w:r>
        <w:t xml:space="preserve">“Although the word ‘bimbo’ has sometimes been used to mean a prostitute, the </w:t>
      </w:r>
      <w:r w:rsidR="006F47EA">
        <w:t xml:space="preserve">Oxford English Dictionary says it’s used now as a derogatory term for ‘a young woman considered to be sexually attractive but </w:t>
      </w:r>
      <w:r w:rsidR="005C4DDF">
        <w:t>of limited intelligence.’  The derogatory meaning of bimbo, universally, is an attract</w:t>
      </w:r>
      <w:r w:rsidR="00DE2431">
        <w:t>ive but stupid young woman; a foolish, stupid, or inept person.</w:t>
      </w:r>
    </w:p>
    <w:p w:rsidR="008A6891" w:rsidP="008A6891" w14:paraId="005630D8" w14:textId="4420782F">
      <w:pPr>
        <w:tabs>
          <w:tab w:val="clear" w:pos="720"/>
        </w:tabs>
        <w:spacing w:line="360" w:lineRule="auto"/>
        <w:ind w:left="-720" w:right="-720" w:firstLine="720"/>
      </w:pPr>
      <w:r>
        <w:t>“The Court is aware of a TikTok trend of the 2020’s, post-covid shut down, called ‘Bimbofication’ which encourages</w:t>
      </w:r>
      <w:r w:rsidR="009402C7">
        <w:t xml:space="preserve"> embracing self-love and claiming the word ‘bimbo’ as their own.  While the perception of ‘bimbo’</w:t>
      </w:r>
      <w:r>
        <w:t xml:space="preserve"> may be changing in the TikTok world, the word itself is perceived as offensive and seen as a step backward for women empowerment in our culture.  Criticisms such as </w:t>
      </w:r>
      <w:r w:rsidR="00EA1DAA">
        <w:t xml:space="preserve">‘It’s still degrading and sexist, and now men think they get to call women that too,’ and ‘Bimbofication and contemporary </w:t>
      </w:r>
      <w:r w:rsidR="00FD511B">
        <w:t>femininity is deeply rooted in consumerism and choice feminism.  Attaching a couple of progressive words to it doesn’t actually make it political.’</w:t>
      </w:r>
    </w:p>
    <w:p w:rsidR="00FD511B" w:rsidP="008A6891" w14:paraId="60780FC9" w14:textId="7427BE4B">
      <w:pPr>
        <w:tabs>
          <w:tab w:val="clear" w:pos="720"/>
        </w:tabs>
        <w:spacing w:line="360" w:lineRule="auto"/>
        <w:ind w:left="-720" w:right="-720" w:firstLine="720"/>
      </w:pPr>
      <w:r>
        <w:t>“</w:t>
      </w:r>
      <w:r w:rsidR="00B004D3">
        <w:t xml:space="preserve"> ‘</w:t>
      </w:r>
      <w:r>
        <w:rPr>
          <w:i/>
          <w:iCs/>
        </w:rPr>
        <w:t>One feature of strong insults and epithets is that they tend to shock those at whom they are directed and others who hear</w:t>
      </w:r>
      <w:r w:rsidR="00B004D3">
        <w:t>.’  (Greenwalt, Insults and Epithets:  Are They Protected Speech (1990) 42 Rutgers L. Rev.</w:t>
      </w:r>
      <w:r w:rsidR="00CE02E7">
        <w:t xml:space="preserve"> 287, 291.)  Such strong reactions may even result in an unwanted negative physical response against the owner of the name or others around him or her.</w:t>
      </w:r>
    </w:p>
    <w:p w:rsidR="00CE02E7" w:rsidP="008A6891" w14:paraId="5718943F" w14:textId="75724093">
      <w:pPr>
        <w:tabs>
          <w:tab w:val="clear" w:pos="720"/>
        </w:tabs>
        <w:spacing w:line="360" w:lineRule="auto"/>
        <w:ind w:left="-720" w:right="-720" w:firstLine="720"/>
      </w:pPr>
      <w:r>
        <w:t>“The judiciary</w:t>
      </w:r>
      <w:r w:rsidR="005C63D0">
        <w:t xml:space="preserve"> should not lend the Great Seal of the State of California to aid a person in a ‘social experiment’ who proposes to change their name to a word or phrase that is determined to be vulgar and offensive.  (</w:t>
      </w:r>
      <w:r w:rsidR="00FC7328">
        <w:rPr>
          <w:i/>
          <w:iCs/>
        </w:rPr>
        <w:t>Lee</w:t>
      </w:r>
      <w:r w:rsidR="00FC7328">
        <w:t xml:space="preserve">, </w:t>
      </w:r>
      <w:r w:rsidR="00FC7328">
        <w:rPr>
          <w:i/>
          <w:iCs/>
        </w:rPr>
        <w:t>supra</w:t>
      </w:r>
      <w:r w:rsidR="00FC7328">
        <w:t>[, 9 Cal.App.4</w:t>
      </w:r>
      <w:r w:rsidR="002940BC">
        <w:t>th at p.] 510.)</w:t>
      </w:r>
    </w:p>
    <w:p w:rsidR="002940BC" w:rsidP="00395390" w14:paraId="6BC45B22" w14:textId="5A4757DD">
      <w:pPr>
        <w:tabs>
          <w:tab w:val="clear" w:pos="720"/>
        </w:tabs>
        <w:spacing w:line="360" w:lineRule="auto"/>
        <w:ind w:left="-720" w:right="-720" w:firstLine="720"/>
      </w:pPr>
      <w:r>
        <w:t>“Therefore, the petition is denied.</w:t>
      </w:r>
      <w:r w:rsidR="00395390">
        <w:t>”</w:t>
      </w:r>
      <w:r w:rsidR="008860CA">
        <w:t xml:space="preserve"> </w:t>
      </w:r>
    </w:p>
    <w:p w:rsidR="008860CA" w:rsidP="008A6891" w14:paraId="544A65AB" w14:textId="7E029751">
      <w:pPr>
        <w:tabs>
          <w:tab w:val="clear" w:pos="720"/>
        </w:tabs>
        <w:spacing w:line="360" w:lineRule="auto"/>
        <w:ind w:left="-720" w:right="-720" w:firstLine="720"/>
      </w:pPr>
      <w:r>
        <w:t xml:space="preserve">On August 9, represented by counsel, Wood filed an appeal. </w:t>
      </w:r>
    </w:p>
    <w:p w:rsidR="008860CA" w:rsidP="00797EDB" w14:paraId="4A565B4D" w14:textId="0589A7B5">
      <w:pPr>
        <w:tabs>
          <w:tab w:val="clear" w:pos="720"/>
        </w:tabs>
        <w:spacing w:line="360" w:lineRule="auto"/>
        <w:ind w:left="-720" w:right="-720"/>
        <w:jc w:val="center"/>
      </w:pPr>
      <w:r>
        <w:rPr>
          <w:b/>
          <w:bCs/>
        </w:rPr>
        <w:t>DISCUSSION</w:t>
      </w:r>
    </w:p>
    <w:p w:rsidR="00BD6853" w:rsidRPr="006A2364" w:rsidP="008860CA" w14:paraId="292BCB88" w14:textId="1868CD35">
      <w:pPr>
        <w:tabs>
          <w:tab w:val="clear" w:pos="720"/>
        </w:tabs>
        <w:spacing w:line="360" w:lineRule="auto"/>
        <w:ind w:left="-720" w:right="-720" w:firstLine="720"/>
        <w:rPr>
          <w:b/>
          <w:bCs/>
        </w:rPr>
      </w:pPr>
      <w:r w:rsidRPr="006A2364">
        <w:rPr>
          <w:b/>
          <w:bCs/>
        </w:rPr>
        <w:t>Introduction</w:t>
      </w:r>
    </w:p>
    <w:p w:rsidR="00196520" w:rsidP="008860CA" w14:paraId="110FFCD9" w14:textId="4473FD0E">
      <w:pPr>
        <w:tabs>
          <w:tab w:val="clear" w:pos="720"/>
        </w:tabs>
        <w:spacing w:line="360" w:lineRule="auto"/>
        <w:ind w:left="-720" w:right="-720" w:firstLine="720"/>
      </w:pPr>
      <w:r>
        <w:t>Counsel filed an opening brief on Wood’s behalf.</w:t>
      </w:r>
      <w:r w:rsidR="00BD6853">
        <w:t xml:space="preserve">  </w:t>
      </w:r>
      <w:r>
        <w:t xml:space="preserve">Consistent with the record below, </w:t>
      </w:r>
      <w:r w:rsidR="00625302">
        <w:t xml:space="preserve">where there was no opposition to Wood’s petition, </w:t>
      </w:r>
      <w:r>
        <w:t>no respondent’s brief was filed.  However, our clerk’s office received a letter from the San Francisco Superior Court that read as follows:</w:t>
      </w:r>
      <w:r w:rsidR="00395390">
        <w:t xml:space="preserve">  </w:t>
      </w:r>
      <w:r w:rsidR="00B25214">
        <w:t>“The above</w:t>
      </w:r>
      <w:r w:rsidR="00391A3B">
        <w:t>-referenced appellate proceeding has been brought to the attention of the Superior Court of California, County of San Francisco (the Superior Court).  Following a review of the record on appeal, the Superior Court does not wish to supplement the analysis and reasoning in the July 14, 2023 order in the underlying name-change petition proceeding</w:t>
      </w:r>
      <w:r w:rsidR="005D1D2A">
        <w:t xml:space="preserve">, </w:t>
      </w:r>
      <w:r w:rsidR="005D1D2A">
        <w:rPr>
          <w:i/>
          <w:iCs/>
        </w:rPr>
        <w:t xml:space="preserve">Petition of Samantha E. Wood </w:t>
      </w:r>
      <w:r w:rsidR="005D1D2A">
        <w:t>(Superior Court No. CNC-23-557879), and this appellate matter may be considered su</w:t>
      </w:r>
      <w:r w:rsidR="004D20A5">
        <w:t xml:space="preserve">bmitted based on the record and appellant’s </w:t>
      </w:r>
      <w:r w:rsidR="00AD23B5">
        <w:t xml:space="preserve">opening </w:t>
      </w:r>
      <w:r w:rsidR="004D20A5">
        <w:t xml:space="preserve">brief.” </w:t>
      </w:r>
    </w:p>
    <w:p w:rsidR="00F71F2A" w:rsidP="008860CA" w14:paraId="27C7788A" w14:textId="77777777">
      <w:pPr>
        <w:tabs>
          <w:tab w:val="clear" w:pos="720"/>
        </w:tabs>
        <w:spacing w:line="360" w:lineRule="auto"/>
        <w:ind w:left="-720" w:right="-720" w:firstLine="720"/>
      </w:pPr>
    </w:p>
    <w:p w:rsidR="00E849EA" w:rsidP="008860CA" w14:paraId="60BB8599" w14:textId="77777777">
      <w:pPr>
        <w:tabs>
          <w:tab w:val="clear" w:pos="720"/>
        </w:tabs>
        <w:spacing w:line="360" w:lineRule="auto"/>
        <w:ind w:left="-720" w:right="-720" w:firstLine="720"/>
      </w:pPr>
    </w:p>
    <w:p w:rsidR="006F7C55" w:rsidRPr="006A2364" w:rsidP="008860CA" w14:paraId="1EB12CFD" w14:textId="491E6A5A">
      <w:pPr>
        <w:tabs>
          <w:tab w:val="clear" w:pos="720"/>
        </w:tabs>
        <w:spacing w:line="360" w:lineRule="auto"/>
        <w:ind w:left="-720" w:right="-720" w:firstLine="720"/>
        <w:rPr>
          <w:b/>
          <w:bCs/>
        </w:rPr>
      </w:pPr>
      <w:r w:rsidRPr="006A2364">
        <w:rPr>
          <w:b/>
          <w:bCs/>
        </w:rPr>
        <w:t>Denial of the Name Change Was Error</w:t>
      </w:r>
    </w:p>
    <w:p w:rsidR="00703142" w:rsidP="00A61027" w14:paraId="63C651C7" w14:textId="7F2EA5BB">
      <w:pPr>
        <w:tabs>
          <w:tab w:val="clear" w:pos="720"/>
        </w:tabs>
        <w:spacing w:line="360" w:lineRule="auto"/>
        <w:ind w:left="-720" w:right="-720" w:firstLine="720"/>
      </w:pPr>
      <w:r>
        <w:t xml:space="preserve">As Wood described in her </w:t>
      </w:r>
      <w:r w:rsidR="006F7C55">
        <w:t>petition</w:t>
      </w:r>
      <w:r>
        <w:t xml:space="preserve">, she has been known as Candi Bimbo Doll “for well over a decade,” </w:t>
      </w:r>
      <w:r w:rsidR="00B571F9">
        <w:t xml:space="preserve">a name </w:t>
      </w:r>
      <w:r w:rsidR="00953DB1">
        <w:t xml:space="preserve">the law </w:t>
      </w:r>
      <w:r w:rsidR="00B571F9">
        <w:t>recogni</w:t>
      </w:r>
      <w:r w:rsidR="009C32E1">
        <w:t>zes</w:t>
      </w:r>
      <w:r w:rsidR="003C59A2">
        <w:t>,</w:t>
      </w:r>
      <w:r w:rsidR="009C32E1">
        <w:t xml:space="preserve"> as </w:t>
      </w:r>
      <w:r w:rsidR="00953DB1">
        <w:t xml:space="preserve">a person has a common law right to change his or her name without applying to a court.  </w:t>
      </w:r>
      <w:r w:rsidR="0093551E">
        <w:t>I</w:t>
      </w:r>
      <w:r w:rsidR="00953DB1">
        <w:t xml:space="preserve">t has been said that a person may refer to themselves by </w:t>
      </w:r>
      <w:r w:rsidR="00827048">
        <w:t>any name they like (</w:t>
      </w:r>
      <w:r w:rsidR="00827048">
        <w:rPr>
          <w:i/>
          <w:iCs/>
        </w:rPr>
        <w:t xml:space="preserve">In re </w:t>
      </w:r>
      <w:r w:rsidR="006F2DB4">
        <w:rPr>
          <w:i/>
          <w:iCs/>
        </w:rPr>
        <w:t xml:space="preserve">Forchion </w:t>
      </w:r>
      <w:r w:rsidR="006F2DB4">
        <w:t xml:space="preserve">(2011) </w:t>
      </w:r>
      <w:r w:rsidR="000044C3">
        <w:t>198 Cal.App.4th 1284, 1</w:t>
      </w:r>
      <w:r w:rsidR="00A418EB">
        <w:t>307</w:t>
      </w:r>
      <w:r w:rsidR="000C6581">
        <w:t xml:space="preserve"> (</w:t>
      </w:r>
      <w:r w:rsidR="000C6581">
        <w:rPr>
          <w:i/>
          <w:iCs/>
        </w:rPr>
        <w:t>Forchion</w:t>
      </w:r>
      <w:r w:rsidR="000C6581">
        <w:t>)</w:t>
      </w:r>
      <w:r w:rsidR="00A418EB">
        <w:t>)</w:t>
      </w:r>
      <w:r w:rsidR="003C59A2">
        <w:t xml:space="preserve">, </w:t>
      </w:r>
      <w:r w:rsidR="00AF4839">
        <w:t xml:space="preserve">and may </w:t>
      </w:r>
      <w:r w:rsidR="003C59A2">
        <w:t xml:space="preserve">do so </w:t>
      </w:r>
      <w:r w:rsidR="00CD4F8E">
        <w:t>without the need for any legal proceeding.</w:t>
      </w:r>
      <w:r w:rsidR="00134819">
        <w:t xml:space="preserve">  (</w:t>
      </w:r>
      <w:r w:rsidR="00134819">
        <w:rPr>
          <w:i/>
          <w:iCs/>
        </w:rPr>
        <w:t>In re Marriage of Banks</w:t>
      </w:r>
      <w:r w:rsidR="005A59EC">
        <w:t xml:space="preserve"> (1974) 42</w:t>
      </w:r>
      <w:r w:rsidR="009C32E1">
        <w:t> </w:t>
      </w:r>
      <w:r w:rsidR="005A59EC">
        <w:t xml:space="preserve">Cal.App.3d 631, </w:t>
      </w:r>
      <w:r w:rsidR="00C60F34">
        <w:t>637</w:t>
      </w:r>
      <w:r w:rsidR="009C32E1">
        <w:t xml:space="preserve"> (</w:t>
      </w:r>
      <w:r w:rsidR="009C32E1">
        <w:rPr>
          <w:i/>
          <w:iCs/>
        </w:rPr>
        <w:t>Banks</w:t>
      </w:r>
      <w:r w:rsidR="009C32E1">
        <w:t>)</w:t>
      </w:r>
      <w:r w:rsidR="00C60F34">
        <w:t>.)</w:t>
      </w:r>
      <w:r w:rsidR="001C2893">
        <w:t xml:space="preserve">  </w:t>
      </w:r>
      <w:r w:rsidR="00C60F34">
        <w:t xml:space="preserve">But using </w:t>
      </w:r>
      <w:r w:rsidR="008246BE">
        <w:t xml:space="preserve">a </w:t>
      </w:r>
      <w:r w:rsidR="00C60F34">
        <w:t xml:space="preserve">name </w:t>
      </w:r>
      <w:r w:rsidR="008263AF">
        <w:t xml:space="preserve">does not provide a record of the change </w:t>
      </w:r>
      <w:r w:rsidR="00E904B3">
        <w:t xml:space="preserve">of name </w:t>
      </w:r>
      <w:r w:rsidR="008263AF">
        <w:t>or formally change</w:t>
      </w:r>
      <w:r w:rsidR="00E904B3">
        <w:t xml:space="preserve"> it</w:t>
      </w:r>
      <w:r w:rsidR="008263AF">
        <w:t xml:space="preserve">.  That is where the statutory </w:t>
      </w:r>
      <w:r w:rsidR="00195190">
        <w:t xml:space="preserve">procedure for a name change </w:t>
      </w:r>
      <w:r w:rsidR="008B37C7">
        <w:t xml:space="preserve">comes into play, </w:t>
      </w:r>
      <w:r w:rsidR="00195190">
        <w:t>which procedure</w:t>
      </w:r>
      <w:r w:rsidR="006969A5">
        <w:t xml:space="preserve"> was </w:t>
      </w:r>
      <w:r w:rsidR="008A68AB">
        <w:t>enacted “in affirmation of [the] common law right and for the purpose of providing for the establishment of a change of name as a matter of public record.”  (</w:t>
      </w:r>
      <w:r w:rsidR="008A68AB">
        <w:rPr>
          <w:i/>
          <w:iCs/>
        </w:rPr>
        <w:t>Banks</w:t>
      </w:r>
      <w:r w:rsidR="008A68AB">
        <w:t xml:space="preserve">, </w:t>
      </w:r>
      <w:r w:rsidR="008A68AB">
        <w:rPr>
          <w:i/>
          <w:iCs/>
        </w:rPr>
        <w:t>supra</w:t>
      </w:r>
      <w:r w:rsidR="008A68AB">
        <w:t xml:space="preserve">, 42 Cal.App.3d at p. 637, citing </w:t>
      </w:r>
      <w:r w:rsidR="008A68AB">
        <w:rPr>
          <w:i/>
          <w:iCs/>
        </w:rPr>
        <w:t xml:space="preserve">In re Ross </w:t>
      </w:r>
      <w:r w:rsidR="008A68AB">
        <w:t>(1937) 8</w:t>
      </w:r>
      <w:r w:rsidR="006969A5">
        <w:t> </w:t>
      </w:r>
      <w:r w:rsidR="008A68AB">
        <w:t xml:space="preserve">Cal.2d 608, 609 and </w:t>
      </w:r>
      <w:r w:rsidR="008B37C7">
        <w:rPr>
          <w:i/>
          <w:iCs/>
        </w:rPr>
        <w:t xml:space="preserve">In re </w:t>
      </w:r>
      <w:r w:rsidR="0022358B">
        <w:rPr>
          <w:i/>
          <w:iCs/>
        </w:rPr>
        <w:t xml:space="preserve">Application of Useldinger </w:t>
      </w:r>
      <w:r w:rsidR="0022358B">
        <w:t>(</w:t>
      </w:r>
      <w:r w:rsidR="0040213C">
        <w:t xml:space="preserve">1939) 35 Cal.App.2d 723, 726.)  </w:t>
      </w:r>
    </w:p>
    <w:p w:rsidR="00057604" w:rsidP="00A61027" w14:paraId="1118F6C1" w14:textId="77A04B19">
      <w:pPr>
        <w:tabs>
          <w:tab w:val="clear" w:pos="720"/>
        </w:tabs>
        <w:spacing w:line="360" w:lineRule="auto"/>
        <w:ind w:left="-720" w:right="-720" w:firstLine="720"/>
      </w:pPr>
      <w:r>
        <w:t>Code of Civil Procedure section</w:t>
      </w:r>
      <w:r w:rsidR="006969A5">
        <w:t>s</w:t>
      </w:r>
      <w:r>
        <w:t xml:space="preserve"> 127</w:t>
      </w:r>
      <w:r w:rsidR="008D0ADA">
        <w:t>5</w:t>
      </w:r>
      <w:r>
        <w:t xml:space="preserve"> et seq. govern the process by which an individual can obtain a formal legal name change in California.  </w:t>
      </w:r>
      <w:r w:rsidR="008D0ADA">
        <w:t xml:space="preserve">Section </w:t>
      </w:r>
      <w:r w:rsidR="00703142">
        <w:t xml:space="preserve">1277 </w:t>
      </w:r>
      <w:r>
        <w:t>pro</w:t>
      </w:r>
      <w:r w:rsidR="004A4DB1">
        <w:t>vides that once a petition seeking a name change is filed, the superior court shall make an order setting forth the details of the petition and direct all persons interested in the matter</w:t>
      </w:r>
      <w:r w:rsidR="00747CAF">
        <w:t xml:space="preserve"> “to appear before the court at a time and place specified</w:t>
      </w:r>
      <w:r w:rsidR="0002646A">
        <w:t xml:space="preserve"> . . .</w:t>
      </w:r>
      <w:r w:rsidR="00703142">
        <w:t xml:space="preserve"> .</w:t>
      </w:r>
      <w:r w:rsidR="0002646A">
        <w:t xml:space="preserve">” </w:t>
      </w:r>
      <w:r w:rsidR="001A5D37">
        <w:t xml:space="preserve"> </w:t>
      </w:r>
      <w:r w:rsidR="009E59CD">
        <w:t xml:space="preserve">(Code Civ. Proc., § 1277, subd. (a)(1).)  </w:t>
      </w:r>
      <w:r w:rsidR="006969A5">
        <w:t>T</w:t>
      </w:r>
      <w:r w:rsidR="00CD13B0">
        <w:t xml:space="preserve">hat section </w:t>
      </w:r>
      <w:r w:rsidR="006969A5">
        <w:t xml:space="preserve">also </w:t>
      </w:r>
      <w:r w:rsidR="0002646A">
        <w:t xml:space="preserve">directs </w:t>
      </w:r>
      <w:r w:rsidR="006969A5">
        <w:t xml:space="preserve">that </w:t>
      </w:r>
      <w:r w:rsidR="0002646A">
        <w:t xml:space="preserve">notice of the hearing and pending petition be published in a newspaper of general circulation.  </w:t>
      </w:r>
      <w:r w:rsidR="009E59CD">
        <w:t>(</w:t>
      </w:r>
      <w:r w:rsidR="009E59CD">
        <w:rPr>
          <w:i/>
          <w:iCs/>
        </w:rPr>
        <w:t>Id.</w:t>
      </w:r>
      <w:r w:rsidR="009E59CD">
        <w:t xml:space="preserve">, subd. </w:t>
      </w:r>
      <w:r w:rsidR="00595E69">
        <w:t>(a)</w:t>
      </w:r>
      <w:r w:rsidR="009E59CD">
        <w:t xml:space="preserve">(2)(A).)  </w:t>
      </w:r>
      <w:r w:rsidR="00141E04">
        <w:t>S</w:t>
      </w:r>
      <w:r w:rsidR="0002646A">
        <w:t>ection 1278</w:t>
      </w:r>
      <w:r w:rsidR="00595E69">
        <w:t>, subdivision (a)(1)</w:t>
      </w:r>
      <w:r w:rsidR="0002646A">
        <w:t xml:space="preserve"> provides that if an objection is filed by any person, the court may examine </w:t>
      </w:r>
      <w:r w:rsidR="001A5D37">
        <w:t>“</w:t>
      </w:r>
      <w:r w:rsidR="0002646A">
        <w:t>on oath</w:t>
      </w:r>
      <w:r w:rsidR="001A5D37">
        <w:t>”</w:t>
      </w:r>
      <w:r w:rsidR="0002646A">
        <w:t xml:space="preserve"> any persons touching the petition or</w:t>
      </w:r>
      <w:r w:rsidR="000E7DFA">
        <w:t xml:space="preserve"> application and may order the name change or dismiss the petition as to the court may seem right and proper.</w:t>
      </w:r>
      <w:r w:rsidR="00893D5A">
        <w:t xml:space="preserve">  </w:t>
      </w:r>
      <w:r w:rsidR="0094597B">
        <w:t xml:space="preserve">And section 1278, subdivision (a)(2) </w:t>
      </w:r>
      <w:r>
        <w:t xml:space="preserve">goes on to </w:t>
      </w:r>
      <w:r w:rsidR="0094597B">
        <w:t>provide that “</w:t>
      </w:r>
      <w:r w:rsidR="00893D5A">
        <w:t>If no objection is filed</w:t>
      </w:r>
      <w:r w:rsidR="00713FF6">
        <w:t xml:space="preserve"> . . .</w:t>
      </w:r>
      <w:r w:rsidR="00893D5A">
        <w:t xml:space="preserve"> the court may, without hearing, enter the order that the change of name is granted.</w:t>
      </w:r>
      <w:r w:rsidR="00713FF6">
        <w:t>”</w:t>
      </w:r>
      <w:r w:rsidR="00893D5A">
        <w:t xml:space="preserve">  </w:t>
      </w:r>
    </w:p>
    <w:p w:rsidR="00CC4034" w:rsidP="008F20F8" w14:paraId="0CF03511" w14:textId="38BA8E0D">
      <w:pPr>
        <w:tabs>
          <w:tab w:val="clear" w:pos="720"/>
        </w:tabs>
        <w:spacing w:line="360" w:lineRule="auto"/>
        <w:ind w:left="-720" w:right="-720" w:firstLine="720"/>
      </w:pPr>
      <w:r>
        <w:t>As the word “may”</w:t>
      </w:r>
      <w:r w:rsidR="00907F40">
        <w:t xml:space="preserve"> indicates, the </w:t>
      </w:r>
      <w:r w:rsidR="00F74CC3">
        <w:t xml:space="preserve">trial </w:t>
      </w:r>
      <w:r w:rsidR="00907F40">
        <w:t xml:space="preserve">court has some discretion on the issue, </w:t>
      </w:r>
      <w:r>
        <w:t xml:space="preserve">and </w:t>
      </w:r>
      <w:r w:rsidR="00907F40">
        <w:t>we review its ruling for</w:t>
      </w:r>
      <w:r w:rsidR="00A17C47">
        <w:t xml:space="preserve"> </w:t>
      </w:r>
      <w:r w:rsidR="00A61027">
        <w:t>abuse of discretion.  (</w:t>
      </w:r>
      <w:r w:rsidR="00A61027">
        <w:rPr>
          <w:i/>
          <w:iCs/>
        </w:rPr>
        <w:t>Forchion</w:t>
      </w:r>
      <w:r w:rsidR="00A61027">
        <w:t xml:space="preserve">, </w:t>
      </w:r>
      <w:r w:rsidR="00A61027">
        <w:rPr>
          <w:i/>
          <w:iCs/>
        </w:rPr>
        <w:t>supra</w:t>
      </w:r>
      <w:r w:rsidR="00A61027">
        <w:t xml:space="preserve">, 198 Cal.App.4th at p. 1304.)  </w:t>
      </w:r>
      <w:r w:rsidR="00DD417D">
        <w:t>A</w:t>
      </w:r>
      <w:r w:rsidR="00F74CC3">
        <w:t>nd a</w:t>
      </w:r>
      <w:r w:rsidR="00DD417D">
        <w:t xml:space="preserve">s </w:t>
      </w:r>
      <w:r w:rsidR="00F046EC">
        <w:t xml:space="preserve">to </w:t>
      </w:r>
      <w:r w:rsidR="00B23180">
        <w:t xml:space="preserve">how </w:t>
      </w:r>
      <w:r w:rsidR="00F046EC">
        <w:t>that discretion</w:t>
      </w:r>
      <w:r w:rsidR="00B23180">
        <w:t xml:space="preserve"> is to be exercised—</w:t>
      </w:r>
      <w:r w:rsidR="00DD417D">
        <w:t xml:space="preserve">how a court is to rule on a petition for name </w:t>
      </w:r>
      <w:r w:rsidR="000263F4">
        <w:t>change</w:t>
      </w:r>
      <w:r w:rsidR="00BB380E">
        <w:t>—</w:t>
      </w:r>
      <w:r w:rsidR="000263F4">
        <w:t xml:space="preserve">cases </w:t>
      </w:r>
      <w:r w:rsidR="003464E1">
        <w:t xml:space="preserve">have held </w:t>
      </w:r>
      <w:r w:rsidR="000263F4">
        <w:t xml:space="preserve">that </w:t>
      </w:r>
      <w:r w:rsidR="00295896">
        <w:t xml:space="preserve">a change of name “may be denied </w:t>
      </w:r>
      <w:r w:rsidR="00295896">
        <w:rPr>
          <w:i/>
          <w:iCs/>
        </w:rPr>
        <w:t xml:space="preserve">only </w:t>
      </w:r>
      <w:r w:rsidR="00295896">
        <w:t xml:space="preserve">when there is a showing of </w:t>
      </w:r>
      <w:r w:rsidR="00AD23B5">
        <w:t>‘</w:t>
      </w:r>
      <w:r w:rsidR="00295896">
        <w:t>substantial reason.</w:t>
      </w:r>
      <w:r w:rsidR="00AD23B5">
        <w:t xml:space="preserve">’ </w:t>
      </w:r>
      <w:r w:rsidR="00295896">
        <w:t>”  (</w:t>
      </w:r>
      <w:r w:rsidR="00295896">
        <w:rPr>
          <w:i/>
          <w:iCs/>
        </w:rPr>
        <w:t>Banks</w:t>
      </w:r>
      <w:r w:rsidR="00295896">
        <w:t xml:space="preserve">, </w:t>
      </w:r>
      <w:r w:rsidR="00295896">
        <w:rPr>
          <w:i/>
          <w:iCs/>
        </w:rPr>
        <w:t>supra</w:t>
      </w:r>
      <w:r w:rsidR="00295896">
        <w:t xml:space="preserve">, 42 Cal.App.3d </w:t>
      </w:r>
      <w:r w:rsidR="003464E1">
        <w:t xml:space="preserve">at p. 638, </w:t>
      </w:r>
      <w:r w:rsidR="00295896">
        <w:t xml:space="preserve">citing </w:t>
      </w:r>
      <w:r w:rsidR="00295896">
        <w:rPr>
          <w:i/>
          <w:iCs/>
        </w:rPr>
        <w:t>In re Ross</w:t>
      </w:r>
      <w:r w:rsidR="00295896">
        <w:t xml:space="preserve">, </w:t>
      </w:r>
      <w:r w:rsidR="00295896">
        <w:rPr>
          <w:i/>
          <w:iCs/>
        </w:rPr>
        <w:t>supra</w:t>
      </w:r>
      <w:r w:rsidR="00295896">
        <w:t>, 8 Cal.2d at p. 61</w:t>
      </w:r>
      <w:r w:rsidR="001E3A76">
        <w:t>0</w:t>
      </w:r>
      <w:r w:rsidR="00FC3248">
        <w:t xml:space="preserve">; </w:t>
      </w:r>
      <w:r w:rsidR="00FC3248">
        <w:rPr>
          <w:i/>
          <w:iCs/>
        </w:rPr>
        <w:t xml:space="preserve">In re Trower </w:t>
      </w:r>
      <w:r w:rsidR="00FC3248">
        <w:t>(1968) 260 Cal.App.2d 75, 76</w:t>
      </w:r>
      <w:r w:rsidR="00FC3248">
        <w:rPr>
          <w:rFonts w:ascii="Symbol" w:hAnsi="Symbol"/>
        </w:rPr>
        <w:sym w:font="Symbol" w:char="F02D"/>
      </w:r>
      <w:r w:rsidR="00FC3248">
        <w:t>77</w:t>
      </w:r>
      <w:r w:rsidR="004B4D5F">
        <w:t xml:space="preserve">, disapproved on another ground in </w:t>
      </w:r>
      <w:r w:rsidR="004B4D5F">
        <w:rPr>
          <w:i/>
          <w:iCs/>
        </w:rPr>
        <w:t xml:space="preserve">In re Marriage of Schiffman </w:t>
      </w:r>
      <w:r w:rsidR="004B4D5F">
        <w:t>(1980) 28 Cal.3d 640, 647</w:t>
      </w:r>
      <w:r w:rsidR="005A6601">
        <w:t xml:space="preserve">; </w:t>
      </w:r>
      <w:r w:rsidR="00CD79D8">
        <w:t xml:space="preserve">and </w:t>
      </w:r>
      <w:r w:rsidR="005A6601">
        <w:rPr>
          <w:i/>
          <w:iCs/>
        </w:rPr>
        <w:t>In re McG</w:t>
      </w:r>
      <w:r w:rsidR="001E3A76">
        <w:rPr>
          <w:i/>
          <w:iCs/>
        </w:rPr>
        <w:t>e</w:t>
      </w:r>
      <w:r w:rsidR="005A6601">
        <w:rPr>
          <w:i/>
          <w:iCs/>
        </w:rPr>
        <w:t>hee</w:t>
      </w:r>
      <w:r w:rsidR="005A6601">
        <w:t xml:space="preserve"> (1956) 147 Cal.App.2d 25, 26.</w:t>
      </w:r>
      <w:r w:rsidR="00295896">
        <w:t>)</w:t>
      </w:r>
      <w:r w:rsidR="000A0C4F">
        <w:t xml:space="preserve">  As one court described</w:t>
      </w:r>
      <w:r w:rsidR="00BB774C">
        <w:t>,</w:t>
      </w:r>
      <w:r w:rsidR="000A0C4F">
        <w:t xml:space="preserve"> </w:t>
      </w:r>
      <w:r w:rsidR="00BB774C">
        <w:t xml:space="preserve">there </w:t>
      </w:r>
      <w:r w:rsidR="000A0C4F">
        <w:t>must be</w:t>
      </w:r>
      <w:r w:rsidR="000263F4">
        <w:t xml:space="preserve"> </w:t>
      </w:r>
      <w:r w:rsidR="001241F4">
        <w:t>“substantial and principled reasons</w:t>
      </w:r>
      <w:r w:rsidR="001F4BD3">
        <w:t>”</w:t>
      </w:r>
      <w:r w:rsidR="001241F4">
        <w:t xml:space="preserve"> for denying</w:t>
      </w:r>
      <w:r w:rsidR="001F4BD3">
        <w:t xml:space="preserve"> </w:t>
      </w:r>
      <w:r w:rsidR="00BB774C">
        <w:t>a name change</w:t>
      </w:r>
      <w:r w:rsidR="001F4BD3">
        <w:t xml:space="preserve">. </w:t>
      </w:r>
      <w:r w:rsidR="001241F4">
        <w:t xml:space="preserve"> (See </w:t>
      </w:r>
      <w:r w:rsidR="001241F4">
        <w:rPr>
          <w:i/>
          <w:iCs/>
        </w:rPr>
        <w:t xml:space="preserve">In re Arnett </w:t>
      </w:r>
      <w:r w:rsidR="001241F4">
        <w:t>(2007) 148 Cal.App.4th 654, 661</w:t>
      </w:r>
      <w:r>
        <w:t>.)</w:t>
      </w:r>
      <w:r w:rsidR="0075530D">
        <w:t xml:space="preserve">  Or </w:t>
      </w:r>
      <w:r w:rsidR="001F4BD3">
        <w:t xml:space="preserve">as </w:t>
      </w:r>
      <w:r w:rsidR="0075530D">
        <w:t>another</w:t>
      </w:r>
      <w:r w:rsidR="001F4BD3">
        <w:t xml:space="preserve"> put it, </w:t>
      </w:r>
      <w:r>
        <w:t>a person should be</w:t>
      </w:r>
      <w:r w:rsidR="005F7875">
        <w:t xml:space="preserve"> </w:t>
      </w:r>
      <w:r>
        <w:t xml:space="preserve">able to </w:t>
      </w:r>
      <w:r w:rsidR="005F7875">
        <w:t>“</w:t>
      </w:r>
      <w:r>
        <w:t>adopt any n</w:t>
      </w:r>
      <w:r w:rsidR="00F267B5">
        <w:t xml:space="preserve">ame he or she chooses </w:t>
      </w:r>
      <w:r w:rsidR="005F7875">
        <w:t>[citation]</w:t>
      </w:r>
      <w:r w:rsidR="00AD23B5">
        <w:t xml:space="preserve"> </w:t>
      </w:r>
      <w:r w:rsidR="00F267B5">
        <w:t xml:space="preserve">so long as the name is not adopted to </w:t>
      </w:r>
      <w:r w:rsidR="00E14F7A">
        <w:t>defraud or intentionally confuse.”  (</w:t>
      </w:r>
      <w:r w:rsidR="00E14F7A">
        <w:rPr>
          <w:i/>
          <w:iCs/>
        </w:rPr>
        <w:t>Weathers v. Superior Court</w:t>
      </w:r>
      <w:r w:rsidR="006A689D">
        <w:t xml:space="preserve">, </w:t>
      </w:r>
      <w:r w:rsidR="006A689D">
        <w:rPr>
          <w:i/>
          <w:iCs/>
        </w:rPr>
        <w:t>supra</w:t>
      </w:r>
      <w:r w:rsidR="006A689D">
        <w:t>, 5</w:t>
      </w:r>
      <w:r w:rsidR="005F7875">
        <w:t>4</w:t>
      </w:r>
      <w:r w:rsidR="006A689D">
        <w:t xml:space="preserve"> Cal.App.3d at p</w:t>
      </w:r>
      <w:r w:rsidR="005F7875">
        <w:t>p</w:t>
      </w:r>
      <w:r w:rsidR="006A689D">
        <w:t>. </w:t>
      </w:r>
      <w:r w:rsidR="005F7875">
        <w:t>288</w:t>
      </w:r>
      <w:r w:rsidR="005F7875">
        <w:rPr>
          <w:rFonts w:ascii="Symbol" w:hAnsi="Symbol"/>
        </w:rPr>
        <w:sym w:font="Symbol" w:char="F02D"/>
      </w:r>
      <w:r w:rsidR="00B02E7E">
        <w:t>289.)</w:t>
      </w:r>
    </w:p>
    <w:p w:rsidR="00E12BF2" w:rsidP="008F20F8" w14:paraId="4DAD6CE0" w14:textId="48440CB8">
      <w:pPr>
        <w:tabs>
          <w:tab w:val="clear" w:pos="720"/>
        </w:tabs>
        <w:spacing w:line="360" w:lineRule="auto"/>
        <w:ind w:left="-720" w:right="-720" w:firstLine="720"/>
      </w:pPr>
      <w:r>
        <w:t>None of those descriptions apply here</w:t>
      </w:r>
      <w:r w:rsidR="00831C35">
        <w:t>—</w:t>
      </w:r>
      <w:r w:rsidR="005036A3">
        <w:t xml:space="preserve">and </w:t>
      </w:r>
      <w:r w:rsidR="00914193">
        <w:t xml:space="preserve">the </w:t>
      </w:r>
      <w:r w:rsidR="00831C35">
        <w:t xml:space="preserve">denial </w:t>
      </w:r>
      <w:r w:rsidR="00914193">
        <w:t>was err</w:t>
      </w:r>
      <w:r w:rsidR="004E5B64">
        <w:t>o</w:t>
      </w:r>
      <w:r w:rsidR="00914193">
        <w:t>r.</w:t>
      </w:r>
    </w:p>
    <w:p w:rsidR="00904E1C" w:rsidP="008860CA" w14:paraId="6A820129" w14:textId="3802C748">
      <w:pPr>
        <w:tabs>
          <w:tab w:val="clear" w:pos="720"/>
        </w:tabs>
        <w:spacing w:line="360" w:lineRule="auto"/>
        <w:ind w:left="-720" w:right="-720" w:firstLine="720"/>
      </w:pPr>
      <w:r>
        <w:t>Two cases from this District are instructive</w:t>
      </w:r>
      <w:r w:rsidR="004E5B64">
        <w:t>.  This first is</w:t>
      </w:r>
      <w:r w:rsidR="00247418">
        <w:t xml:space="preserve"> </w:t>
      </w:r>
      <w:r w:rsidR="009226F2">
        <w:rPr>
          <w:i/>
          <w:iCs/>
        </w:rPr>
        <w:t>In re Application of Useldinger</w:t>
      </w:r>
      <w:r w:rsidR="009226F2">
        <w:t xml:space="preserve">, </w:t>
      </w:r>
      <w:r w:rsidR="009226F2">
        <w:rPr>
          <w:i/>
          <w:iCs/>
        </w:rPr>
        <w:t>supra</w:t>
      </w:r>
      <w:r w:rsidR="009226F2">
        <w:t xml:space="preserve">, 35 Cal.App.2d </w:t>
      </w:r>
      <w:r w:rsidR="008717E3">
        <w:t xml:space="preserve">723, a case from this court.  </w:t>
      </w:r>
      <w:r w:rsidR="00197DCB">
        <w:t xml:space="preserve">There, Harold Verne Useldinger petitioned to change his name to James </w:t>
      </w:r>
      <w:r w:rsidR="00693B65">
        <w:t xml:space="preserve">J. Britt, a name by which </w:t>
      </w:r>
      <w:r w:rsidR="00216CBA">
        <w:t xml:space="preserve">he </w:t>
      </w:r>
      <w:r w:rsidR="00693B65">
        <w:t xml:space="preserve">had been known for 14 years, </w:t>
      </w:r>
      <w:r w:rsidR="00FB24B3">
        <w:t>had been married, had</w:t>
      </w:r>
      <w:r w:rsidR="00FA24C6">
        <w:t xml:space="preserve"> registered the birth of his child</w:t>
      </w:r>
      <w:r>
        <w:t xml:space="preserve">, and </w:t>
      </w:r>
      <w:r w:rsidR="00216CBA">
        <w:t xml:space="preserve">had </w:t>
      </w:r>
      <w:r>
        <w:t>conducted tavern businesses.</w:t>
      </w:r>
      <w:r w:rsidR="00216CBA">
        <w:t xml:space="preserve">  </w:t>
      </w:r>
      <w:r>
        <w:t xml:space="preserve">No objections were filed, but one James Edward Britt appeared at the hearing and advised the court of his background and experience, </w:t>
      </w:r>
      <w:r w:rsidR="00C8673B">
        <w:t xml:space="preserve">especially one experience when petitioner </w:t>
      </w:r>
      <w:r w:rsidR="0031571A">
        <w:t>had put up a sign indicating that a tavern had changed hands and his</w:t>
      </w:r>
      <w:r w:rsidR="00B83225">
        <w:t xml:space="preserve"> interaction with petitioner in that tavern.  After hearing from James Edward Britt, the trial court denied the petition.</w:t>
      </w:r>
    </w:p>
    <w:p w:rsidR="00191B41" w:rsidP="008860CA" w14:paraId="21EB3C80" w14:textId="70BD5784">
      <w:pPr>
        <w:tabs>
          <w:tab w:val="clear" w:pos="720"/>
        </w:tabs>
        <w:spacing w:line="360" w:lineRule="auto"/>
        <w:ind w:left="-720" w:right="-720" w:firstLine="720"/>
      </w:pPr>
      <w:r>
        <w:t>We reversed</w:t>
      </w:r>
      <w:r w:rsidR="00B82116">
        <w:t>.  We beg</w:t>
      </w:r>
      <w:r w:rsidR="000243BE">
        <w:t>a</w:t>
      </w:r>
      <w:r w:rsidR="00B82116">
        <w:t>n with discussion of the common law and the statutory</w:t>
      </w:r>
      <w:r w:rsidR="005E1951">
        <w:t xml:space="preserve"> </w:t>
      </w:r>
      <w:r w:rsidR="000243BE">
        <w:t>developments</w:t>
      </w:r>
      <w:r w:rsidR="008246BE">
        <w:t>,</w:t>
      </w:r>
      <w:r w:rsidR="000243BE">
        <w:t xml:space="preserve"> </w:t>
      </w:r>
      <w:r w:rsidR="005E1951">
        <w:t>and then discuss</w:t>
      </w:r>
      <w:r w:rsidR="000243BE">
        <w:t>ed</w:t>
      </w:r>
      <w:r w:rsidR="005E1951">
        <w:t xml:space="preserve"> the principles in</w:t>
      </w:r>
      <w:r w:rsidR="00150B70">
        <w:t xml:space="preserve"> </w:t>
      </w:r>
      <w:r w:rsidR="00150B70">
        <w:rPr>
          <w:i/>
          <w:iCs/>
        </w:rPr>
        <w:t>In re Ross</w:t>
      </w:r>
      <w:r w:rsidR="00150B70">
        <w:t xml:space="preserve">, </w:t>
      </w:r>
      <w:r w:rsidR="00150B70">
        <w:rPr>
          <w:i/>
          <w:iCs/>
        </w:rPr>
        <w:t>supra</w:t>
      </w:r>
      <w:r w:rsidR="00150B70">
        <w:t xml:space="preserve">, </w:t>
      </w:r>
      <w:r w:rsidR="00957F93">
        <w:t>8 Cal.2d 608</w:t>
      </w:r>
      <w:r w:rsidR="006B328A">
        <w:t>,</w:t>
      </w:r>
      <w:r w:rsidR="00F07838">
        <w:t xml:space="preserve"> including its admonition </w:t>
      </w:r>
      <w:r w:rsidR="009C39B4">
        <w:t xml:space="preserve">that </w:t>
      </w:r>
      <w:r w:rsidR="00813215">
        <w:t xml:space="preserve">there must be </w:t>
      </w:r>
      <w:r w:rsidR="005D62D8">
        <w:t>“</w:t>
      </w:r>
      <w:r w:rsidR="009C39B4">
        <w:t>some substantial reason</w:t>
      </w:r>
      <w:r w:rsidR="005D62D8">
        <w:t>”</w:t>
      </w:r>
      <w:r w:rsidR="009C39B4">
        <w:t xml:space="preserve"> for denial</w:t>
      </w:r>
      <w:r w:rsidR="006D3EF2">
        <w:t xml:space="preserve"> of a name change.  </w:t>
      </w:r>
      <w:r w:rsidR="00080ACE">
        <w:t xml:space="preserve">Then, after discussing what had been </w:t>
      </w:r>
      <w:r w:rsidR="005D62D8">
        <w:t xml:space="preserve">put </w:t>
      </w:r>
      <w:r w:rsidR="00080ACE">
        <w:t xml:space="preserve">before the court by </w:t>
      </w:r>
      <w:r w:rsidR="00831988">
        <w:t>James Edward Britt</w:t>
      </w:r>
      <w:r w:rsidR="00593D6B">
        <w:t>, we concluded as follows:</w:t>
      </w:r>
      <w:r w:rsidR="00955F4E">
        <w:t xml:space="preserve">  </w:t>
      </w:r>
    </w:p>
    <w:p w:rsidR="00583626" w:rsidP="008860CA" w14:paraId="747E791F" w14:textId="2904FCB8">
      <w:pPr>
        <w:tabs>
          <w:tab w:val="clear" w:pos="720"/>
        </w:tabs>
        <w:spacing w:line="360" w:lineRule="auto"/>
        <w:ind w:left="-720" w:right="-720" w:firstLine="720"/>
      </w:pPr>
      <w:r>
        <w:t xml:space="preserve">“In reversing the order of the trial court, we do not mean to imply that every petition for change </w:t>
      </w:r>
      <w:r w:rsidR="00AD23B5">
        <w:t xml:space="preserve">of name </w:t>
      </w:r>
      <w:r>
        <w:t>must be granted or that the trial court</w:t>
      </w:r>
      <w:r w:rsidR="00FF5A4D">
        <w:t xml:space="preserve"> may deny a petition only upon a showing of actual fraud or the actual invasion of the legal rights of another.  Each case must stand upon its own particular facts in determining whether a trial court has abused its discretion</w:t>
      </w:r>
      <w:r w:rsidR="00B10C97">
        <w:t xml:space="preserve"> in denying the petition.  We are of the opinion, however, that as the petitioner here had constantly used and had been generally known by the adopted name over a long period of years, it did constitute an abuse of discretion to deny him a legal record of such change upon the unsubstantial showing made in opposition to his petition.  Until such time as the common-law right to change one’s name may be abrogated by statute, the courts should encourage rather than discourage the filing of petitions for change of name</w:t>
      </w:r>
      <w:r w:rsidR="005321F1">
        <w:t xml:space="preserve"> </w:t>
      </w:r>
      <w:r w:rsidR="00831988">
        <w:t xml:space="preserve">[citation] </w:t>
      </w:r>
      <w:r w:rsidR="005321F1">
        <w:t xml:space="preserve">to the end </w:t>
      </w:r>
      <w:r w:rsidR="00D4071F">
        <w:t xml:space="preserve">that such changes may be a matter of public record.”  </w:t>
      </w:r>
      <w:r w:rsidR="00E70C52">
        <w:t>(</w:t>
      </w:r>
      <w:r w:rsidR="00E70C52">
        <w:rPr>
          <w:i/>
          <w:iCs/>
        </w:rPr>
        <w:t>In re Application of Useldinger</w:t>
      </w:r>
      <w:r w:rsidR="00E70C52">
        <w:t xml:space="preserve">, </w:t>
      </w:r>
      <w:r w:rsidR="00E70C52">
        <w:rPr>
          <w:i/>
          <w:iCs/>
        </w:rPr>
        <w:t>supra</w:t>
      </w:r>
      <w:r w:rsidR="00E70C52">
        <w:t>, 35 Cal.App.2d</w:t>
      </w:r>
      <w:r w:rsidR="00A97704">
        <w:t xml:space="preserve"> at pp. 726</w:t>
      </w:r>
      <w:r w:rsidR="00A97704">
        <w:rPr>
          <w:rFonts w:ascii="Symbol" w:hAnsi="Symbol"/>
        </w:rPr>
        <w:sym w:font="Symbol" w:char="F02D"/>
      </w:r>
      <w:r w:rsidR="00A97704">
        <w:t>727.)</w:t>
      </w:r>
      <w:r w:rsidR="005D62D8">
        <w:t xml:space="preserve">  </w:t>
      </w:r>
      <w:r>
        <w:t xml:space="preserve">Here, of course, there was no opposition—other than </w:t>
      </w:r>
      <w:r w:rsidR="003767D7">
        <w:t xml:space="preserve">by </w:t>
      </w:r>
      <w:r>
        <w:t xml:space="preserve">the </w:t>
      </w:r>
      <w:r w:rsidR="00460B38">
        <w:t xml:space="preserve">trial </w:t>
      </w:r>
      <w:r>
        <w:t>court.</w:t>
      </w:r>
    </w:p>
    <w:p w:rsidR="00882A4A" w:rsidP="008860CA" w14:paraId="0AC57C84" w14:textId="0D1D5412">
      <w:pPr>
        <w:tabs>
          <w:tab w:val="clear" w:pos="720"/>
        </w:tabs>
        <w:spacing w:line="360" w:lineRule="auto"/>
        <w:ind w:left="-720" w:right="-720" w:firstLine="720"/>
      </w:pPr>
      <w:r>
        <w:t xml:space="preserve">The second case is </w:t>
      </w:r>
      <w:r>
        <w:rPr>
          <w:i/>
          <w:iCs/>
        </w:rPr>
        <w:t>Banks</w:t>
      </w:r>
      <w:r w:rsidR="00460B38">
        <w:t>,</w:t>
      </w:r>
      <w:r w:rsidR="00AE66F3">
        <w:t xml:space="preserve"> </w:t>
      </w:r>
      <w:r w:rsidR="00A10396">
        <w:t xml:space="preserve">where </w:t>
      </w:r>
      <w:r w:rsidR="00AE66F3">
        <w:t xml:space="preserve">Janice Christensen Banks petitioned to change her name to her maiden name.  The trial court denied the petition on the basis that the change </w:t>
      </w:r>
      <w:r w:rsidR="00D21F8D">
        <w:t>c</w:t>
      </w:r>
      <w:r w:rsidR="00AE66F3">
        <w:t>ould have an adverse effect on their children</w:t>
      </w:r>
      <w:r w:rsidR="00A27AAF">
        <w:t xml:space="preserve">.  </w:t>
      </w:r>
      <w:r w:rsidR="00D21F8D">
        <w:t>After discussing the statutory scheme, o</w:t>
      </w:r>
      <w:r w:rsidR="00727F7E">
        <w:t xml:space="preserve">ur colleagues in Division </w:t>
      </w:r>
      <w:r w:rsidR="00913AFB">
        <w:t xml:space="preserve">Four </w:t>
      </w:r>
      <w:r w:rsidR="00A27AAF">
        <w:t>modified the judgment to reflect the name change</w:t>
      </w:r>
      <w:r w:rsidR="007450A3">
        <w:t xml:space="preserve">, </w:t>
      </w:r>
      <w:r w:rsidR="00A27AAF">
        <w:t>conclud</w:t>
      </w:r>
      <w:r w:rsidR="007450A3">
        <w:t xml:space="preserve">ing </w:t>
      </w:r>
      <w:r w:rsidR="00A27AAF">
        <w:t xml:space="preserve">as follows:  </w:t>
      </w:r>
    </w:p>
    <w:p w:rsidR="003767D7" w:rsidP="008860CA" w14:paraId="03CADE85" w14:textId="5ABA0BC2">
      <w:pPr>
        <w:tabs>
          <w:tab w:val="clear" w:pos="720"/>
        </w:tabs>
        <w:spacing w:line="360" w:lineRule="auto"/>
        <w:ind w:left="-720" w:right="-720" w:firstLine="720"/>
      </w:pPr>
      <w:r>
        <w:t xml:space="preserve">“Under this statutory scheme, a person who has applied to a superior court for an order changing his [or her] name may obtain </w:t>
      </w:r>
      <w:r w:rsidR="004A7B77">
        <w:t>an order registering the change if to the court it ‘may seem right and proper.’  (Code Civ. Proc., §</w:t>
      </w:r>
      <w:r w:rsidR="007450A3">
        <w:t> </w:t>
      </w:r>
      <w:r w:rsidR="004A7B77">
        <w:t xml:space="preserve">1278.)  Thus, </w:t>
      </w:r>
      <w:r w:rsidR="00A9568B">
        <w:t>the trial judge is given discretion just as he is under Civil Code section 4362 in dissolution proceedings.</w:t>
      </w:r>
    </w:p>
    <w:p w:rsidR="00A9568B" w:rsidP="008860CA" w14:paraId="6D113CFB" w14:textId="65C2EF37">
      <w:pPr>
        <w:tabs>
          <w:tab w:val="clear" w:pos="720"/>
        </w:tabs>
        <w:spacing w:line="360" w:lineRule="auto"/>
        <w:ind w:left="-720" w:right="-720" w:firstLine="720"/>
      </w:pPr>
      <w:r>
        <w:t xml:space="preserve">“However, it has been held that a change of name under </w:t>
      </w:r>
      <w:r w:rsidR="00AD23B5">
        <w:t xml:space="preserve">the </w:t>
      </w:r>
      <w:r>
        <w:t xml:space="preserve">Code of Civil Procedure may be denied </w:t>
      </w:r>
      <w:r>
        <w:rPr>
          <w:i/>
          <w:iCs/>
        </w:rPr>
        <w:t xml:space="preserve">only </w:t>
      </w:r>
      <w:r>
        <w:t>when there is a showing of ‘substantial reason’</w:t>
      </w:r>
      <w:r w:rsidR="00AE71B2">
        <w:t xml:space="preserve"> (</w:t>
      </w:r>
      <w:r w:rsidR="00AE71B2">
        <w:rPr>
          <w:i/>
          <w:iCs/>
        </w:rPr>
        <w:t>In re Ross</w:t>
      </w:r>
      <w:r w:rsidR="00AE71B2">
        <w:t xml:space="preserve">, </w:t>
      </w:r>
      <w:r w:rsidR="00AE71B2">
        <w:rPr>
          <w:i/>
          <w:iCs/>
        </w:rPr>
        <w:t>supra</w:t>
      </w:r>
      <w:r w:rsidR="00AE71B2">
        <w:t xml:space="preserve">, 8 Cal.2d at p. 610; </w:t>
      </w:r>
      <w:r w:rsidR="00AE71B2">
        <w:rPr>
          <w:i/>
          <w:iCs/>
        </w:rPr>
        <w:t>In re Trower</w:t>
      </w:r>
      <w:r w:rsidR="005F1DEC">
        <w:t xml:space="preserve">[, </w:t>
      </w:r>
      <w:r w:rsidRPr="00797EDB" w:rsidR="005F1DEC">
        <w:rPr>
          <w:i/>
          <w:iCs/>
        </w:rPr>
        <w:t>supra</w:t>
      </w:r>
      <w:r w:rsidR="005F1DEC">
        <w:t xml:space="preserve">,] </w:t>
      </w:r>
      <w:r w:rsidR="00AE71B2">
        <w:t>260</w:t>
      </w:r>
      <w:r w:rsidR="00443D6D">
        <w:t xml:space="preserve"> Cal.App.2d </w:t>
      </w:r>
      <w:r w:rsidR="005F1DEC">
        <w:t xml:space="preserve">[at pp.] </w:t>
      </w:r>
      <w:r w:rsidR="00443D6D">
        <w:t>76</w:t>
      </w:r>
      <w:r w:rsidR="00443D6D">
        <w:rPr>
          <w:rFonts w:ascii="Symbol" w:hAnsi="Symbol"/>
        </w:rPr>
        <w:sym w:font="Symbol" w:char="F02D"/>
      </w:r>
      <w:r w:rsidR="00443D6D">
        <w:t xml:space="preserve">77; </w:t>
      </w:r>
      <w:r w:rsidR="00443D6D">
        <w:rPr>
          <w:i/>
          <w:iCs/>
        </w:rPr>
        <w:t>In re McGehee</w:t>
      </w:r>
      <w:r w:rsidR="00E1784D">
        <w:t xml:space="preserve">[, </w:t>
      </w:r>
      <w:r w:rsidRPr="00E1784D" w:rsidR="00E1784D">
        <w:rPr>
          <w:i/>
          <w:iCs/>
        </w:rPr>
        <w:t>supra</w:t>
      </w:r>
      <w:r w:rsidR="00E1784D">
        <w:t xml:space="preserve">,] </w:t>
      </w:r>
      <w:r w:rsidRPr="00E1784D" w:rsidR="00443D6D">
        <w:t>147</w:t>
      </w:r>
      <w:r w:rsidR="00443D6D">
        <w:t xml:space="preserve"> Cal.App.2d </w:t>
      </w:r>
      <w:r w:rsidR="00E1784D">
        <w:t>[at p.]</w:t>
      </w:r>
      <w:r w:rsidR="00443D6D">
        <w:t xml:space="preserve"> 26</w:t>
      </w:r>
      <w:r w:rsidR="00F9505D">
        <w:t>) or ‘peculiar circumstances’ (</w:t>
      </w:r>
      <w:r w:rsidR="00EF0CBE">
        <w:rPr>
          <w:i/>
          <w:iCs/>
        </w:rPr>
        <w:t>In re Useldinger</w:t>
      </w:r>
      <w:r w:rsidR="00EF0CBE">
        <w:t xml:space="preserve">, </w:t>
      </w:r>
      <w:r w:rsidR="00EF0CBE">
        <w:rPr>
          <w:i/>
          <w:iCs/>
        </w:rPr>
        <w:t>supra</w:t>
      </w:r>
      <w:r w:rsidR="00EF0CBE">
        <w:t>, 35 Cal.App.2d at p. 726).  In effect the burden of proof rests on the person who would deny the change, not the person seeking the change.</w:t>
      </w:r>
    </w:p>
    <w:p w:rsidR="00BD2593" w:rsidP="00A25C2A" w14:paraId="5C8BB36F" w14:textId="27DAB561">
      <w:pPr>
        <w:tabs>
          <w:tab w:val="clear" w:pos="720"/>
        </w:tabs>
        <w:spacing w:line="360" w:lineRule="auto"/>
        <w:ind w:left="-720" w:right="-720" w:firstLine="720"/>
      </w:pPr>
      <w:r>
        <w:t xml:space="preserve">“. . . .  Just as public policy favors judicial </w:t>
      </w:r>
      <w:r w:rsidR="003629B7">
        <w:t xml:space="preserve">granting of a name change for correcting the public record, it should </w:t>
      </w:r>
      <w:r w:rsidR="00870BD9">
        <w:t xml:space="preserve">also </w:t>
      </w:r>
      <w:r w:rsidR="003629B7">
        <w:t>favor</w:t>
      </w:r>
      <w:r w:rsidR="00870BD9">
        <w:t xml:space="preserve"> the restoration of maiden name in dissolution proceedings.</w:t>
      </w:r>
      <w:r w:rsidR="00E1784D">
        <w:t xml:space="preserve">” </w:t>
      </w:r>
      <w:r w:rsidR="00A25C2A">
        <w:t xml:space="preserve"> </w:t>
      </w:r>
      <w:r w:rsidR="002D0703">
        <w:t>(</w:t>
      </w:r>
      <w:r w:rsidR="002D0703">
        <w:rPr>
          <w:i/>
          <w:iCs/>
        </w:rPr>
        <w:t>Banks</w:t>
      </w:r>
      <w:r w:rsidR="00767CA5">
        <w:t xml:space="preserve">, </w:t>
      </w:r>
      <w:r w:rsidR="00767CA5">
        <w:rPr>
          <w:i/>
          <w:iCs/>
        </w:rPr>
        <w:t>supra</w:t>
      </w:r>
      <w:r w:rsidR="00767CA5">
        <w:t xml:space="preserve">, 42 Cal.App.3d at </w:t>
      </w:r>
      <w:r w:rsidR="00322474">
        <w:t>pp.</w:t>
      </w:r>
      <w:r w:rsidR="00A25C2A">
        <w:t> </w:t>
      </w:r>
      <w:r w:rsidR="00322474">
        <w:t>637</w:t>
      </w:r>
      <w:r w:rsidR="00322474">
        <w:rPr>
          <w:rFonts w:ascii="Symbol" w:hAnsi="Symbol"/>
        </w:rPr>
        <w:sym w:font="Symbol" w:char="F02D"/>
      </w:r>
      <w:r w:rsidR="00322474">
        <w:t>638.)</w:t>
      </w:r>
    </w:p>
    <w:p w:rsidR="00DB02EF" w:rsidP="00DB02EF" w14:paraId="051961E0" w14:textId="337A5662">
      <w:pPr>
        <w:tabs>
          <w:tab w:val="clear" w:pos="720"/>
        </w:tabs>
        <w:spacing w:line="360" w:lineRule="auto"/>
        <w:ind w:left="-720" w:right="-720" w:firstLine="720"/>
      </w:pPr>
      <w:r>
        <w:t>As quoted</w:t>
      </w:r>
      <w:r w:rsidR="000C5447">
        <w:t xml:space="preserve"> above</w:t>
      </w:r>
      <w:r>
        <w:t>, the trial court noted</w:t>
      </w:r>
      <w:r w:rsidR="00F31BA8">
        <w:t xml:space="preserve"> that</w:t>
      </w:r>
      <w:r>
        <w:t xml:space="preserve"> the </w:t>
      </w:r>
      <w:r w:rsidR="008900D2">
        <w:t>“</w:t>
      </w:r>
      <w:r>
        <w:t xml:space="preserve">Oxford English Dictionary says </w:t>
      </w:r>
      <w:r w:rsidR="008900D2">
        <w:t xml:space="preserve">[Bimbo is] </w:t>
      </w:r>
      <w:r>
        <w:t>used now as a derogatory term for ‘a young woman considered to be sexually attractive but of limited intelligence.’  The derogatory meaning of bimbo, universally, is an attractive but stupid young woman; a foolish, stupid, or inept person.</w:t>
      </w:r>
      <w:r w:rsidR="00626394">
        <w:t>”</w:t>
      </w:r>
    </w:p>
    <w:p w:rsidR="004E4CF6" w:rsidP="00F85794" w14:paraId="5567BEDB" w14:textId="1D6073C4">
      <w:pPr>
        <w:tabs>
          <w:tab w:val="clear" w:pos="720"/>
        </w:tabs>
        <w:spacing w:line="360" w:lineRule="auto"/>
        <w:ind w:left="-720" w:right="-720" w:firstLine="720"/>
      </w:pPr>
      <w:r>
        <w:t xml:space="preserve">We pause here to note that while the dictionary definition </w:t>
      </w:r>
      <w:r w:rsidR="001947AF">
        <w:t>quoted</w:t>
      </w:r>
      <w:r w:rsidR="00E03F42">
        <w:t xml:space="preserve"> seems correct, no support appears for the “foolish, stupid, or inept” person.  But even if the</w:t>
      </w:r>
      <w:r w:rsidR="00626394">
        <w:t>r</w:t>
      </w:r>
      <w:r w:rsidR="00E03F42">
        <w:t>e were,</w:t>
      </w:r>
      <w:r w:rsidR="00A354B3">
        <w:t xml:space="preserve"> we do not understand how “inept,” for example, can be a basis to reject a name change</w:t>
      </w:r>
      <w:r>
        <w:t>.</w:t>
      </w:r>
    </w:p>
    <w:p w:rsidR="00F85794" w:rsidP="00F85794" w14:paraId="79C3EC38" w14:textId="644C1B0E">
      <w:pPr>
        <w:tabs>
          <w:tab w:val="clear" w:pos="720"/>
        </w:tabs>
        <w:spacing w:line="360" w:lineRule="auto"/>
        <w:ind w:left="-720" w:right="-720" w:firstLine="720"/>
      </w:pPr>
      <w:r>
        <w:t xml:space="preserve">But even if it were, </w:t>
      </w:r>
      <w:r w:rsidR="00583626">
        <w:t>in the very next paragraph</w:t>
      </w:r>
      <w:r w:rsidR="0033393D">
        <w:t xml:space="preserve"> the court</w:t>
      </w:r>
      <w:r w:rsidR="00302ADD">
        <w:t xml:space="preserve"> noted that it was “</w:t>
      </w:r>
      <w:r w:rsidR="00626065">
        <w:t>aware of a TikTok trend of the 2020’s, post-covid shut down, called ‘Bimbofication’ which encourages embracing self-love and claiming the word ‘bimbo’ as their own</w:t>
      </w:r>
      <w:r w:rsidR="00DC5B89">
        <w:t>”</w:t>
      </w:r>
      <w:r w:rsidR="00F543AE">
        <w:t>—i</w:t>
      </w:r>
      <w:r w:rsidR="00C847CE">
        <w:t xml:space="preserve">n other words, </w:t>
      </w:r>
      <w:r w:rsidR="00C23D43">
        <w:t xml:space="preserve">a part of a positive trend of women’s empowerment on TikTok and in our society.  </w:t>
      </w:r>
    </w:p>
    <w:p w:rsidR="00F543AE" w:rsidP="00F543AE" w14:paraId="6BF7DCD5" w14:textId="36CE544C">
      <w:pPr>
        <w:tabs>
          <w:tab w:val="clear" w:pos="720"/>
        </w:tabs>
        <w:spacing w:line="360" w:lineRule="auto"/>
        <w:ind w:left="-720" w:right="-720" w:firstLine="720"/>
      </w:pPr>
      <w:r>
        <w:t xml:space="preserve">In a July </w:t>
      </w:r>
      <w:r w:rsidR="009B181D">
        <w:t xml:space="preserve">2023 column </w:t>
      </w:r>
      <w:r w:rsidR="00A05A12">
        <w:t xml:space="preserve">entitled “Greta Gerwig’s </w:t>
      </w:r>
      <w:r w:rsidR="00AD23B5">
        <w:t xml:space="preserve">Barbie </w:t>
      </w:r>
      <w:r w:rsidR="00A05A12">
        <w:t>Movie is a Feminist Bimbo Classic,”</w:t>
      </w:r>
      <w:r w:rsidR="004048E7">
        <w:t xml:space="preserve"> a professor </w:t>
      </w:r>
      <w:r w:rsidR="009B181D">
        <w:t xml:space="preserve">at </w:t>
      </w:r>
      <w:r w:rsidR="006E668D">
        <w:t>Anglia Ruskin University</w:t>
      </w:r>
      <w:r w:rsidR="004048E7">
        <w:t xml:space="preserve"> in the United Kingdo</w:t>
      </w:r>
      <w:r w:rsidR="008900D2">
        <w:t>m</w:t>
      </w:r>
      <w:r w:rsidR="004048E7">
        <w:t xml:space="preserve"> </w:t>
      </w:r>
      <w:r w:rsidR="002F19F7">
        <w:t>wrote</w:t>
      </w:r>
      <w:r w:rsidR="00845FD8">
        <w:t xml:space="preserve"> this</w:t>
      </w:r>
      <w:r w:rsidR="002F19F7">
        <w:t xml:space="preserve">:  </w:t>
      </w:r>
      <w:r w:rsidR="006E668D">
        <w:t xml:space="preserve">“Gerwig’s take on Barbie is timely.  My research explores the recent feminist reclamation of the ‘bimbo’ figure.  On TikTok, the </w:t>
      </w:r>
      <w:r w:rsidRPr="002F19F7" w:rsidR="006E668D">
        <w:rPr>
          <w:i/>
          <w:iCs/>
        </w:rPr>
        <w:t>#Bimbo trend</w:t>
      </w:r>
      <w:r w:rsidR="006E668D">
        <w:t xml:space="preserve"> sees feminine-presenting content creators </w:t>
      </w:r>
      <w:r w:rsidRPr="002F19F7" w:rsidR="006E668D">
        <w:rPr>
          <w:i/>
          <w:iCs/>
        </w:rPr>
        <w:t>reclaiming</w:t>
      </w:r>
      <w:r w:rsidR="006E668D">
        <w:t xml:space="preserve"> the once derogatory </w:t>
      </w:r>
      <w:r w:rsidR="00614448">
        <w:t xml:space="preserve">‘bimbo’ label and aesthetic.  Instead of abandoning femininity </w:t>
      </w:r>
      <w:r w:rsidR="00CD4CAE">
        <w:t xml:space="preserve">to succeed in a patriarchal society, bimbo feminism embraces </w:t>
      </w:r>
      <w:r w:rsidR="007B41A0">
        <w:t>femininity while supporting women’s advancement.”  (</w:t>
      </w:r>
      <w:r w:rsidRPr="00993B8D" w:rsidR="00993B8D">
        <w:t xml:space="preserve">Fletcher, </w:t>
      </w:r>
      <w:r w:rsidRPr="00DC6D1F" w:rsidR="00DC6D1F">
        <w:rPr>
          <w:i/>
          <w:iCs/>
        </w:rPr>
        <w:t>Greta Gerwig’s Barbie</w:t>
      </w:r>
      <w:r w:rsidR="00A210C3">
        <w:rPr>
          <w:i/>
          <w:iCs/>
        </w:rPr>
        <w:t xml:space="preserve"> </w:t>
      </w:r>
      <w:r w:rsidRPr="00DC6D1F" w:rsidR="00A210C3">
        <w:rPr>
          <w:i/>
          <w:iCs/>
        </w:rPr>
        <w:t>Movie</w:t>
      </w:r>
      <w:r w:rsidRPr="00DC6D1F" w:rsidR="00DC6D1F">
        <w:rPr>
          <w:i/>
          <w:iCs/>
        </w:rPr>
        <w:t xml:space="preserve"> is a Feminist Bimbo Classic</w:t>
      </w:r>
      <w:r w:rsidR="00143EC2">
        <w:t>,</w:t>
      </w:r>
      <w:r w:rsidR="00DC6D1F">
        <w:rPr>
          <w:i/>
          <w:iCs/>
        </w:rPr>
        <w:t xml:space="preserve"> </w:t>
      </w:r>
      <w:r w:rsidRPr="00DC6D1F" w:rsidR="00143EC2">
        <w:t>The Conversation</w:t>
      </w:r>
      <w:r w:rsidR="00143EC2">
        <w:t xml:space="preserve"> </w:t>
      </w:r>
      <w:r w:rsidR="00DC6D1F">
        <w:t>(</w:t>
      </w:r>
      <w:r w:rsidRPr="00993B8D" w:rsidR="00DC6D1F">
        <w:t>July 19, 2023</w:t>
      </w:r>
      <w:r w:rsidR="00DC6D1F">
        <w:t>)</w:t>
      </w:r>
      <w:r w:rsidRPr="00993B8D" w:rsidR="00993B8D">
        <w:t>.)</w:t>
      </w:r>
      <w:r>
        <w:t xml:space="preserve">  In short, as best we understand it</w:t>
      </w:r>
      <w:r w:rsidR="00F71F9D">
        <w:t>,</w:t>
      </w:r>
      <w:r>
        <w:t xml:space="preserve"> Bimbofication is using the once derogatory term as a means of empowerment, to build a sense of community</w:t>
      </w:r>
      <w:r w:rsidR="00DC3F03">
        <w:t>—as a positive</w:t>
      </w:r>
      <w:r>
        <w:t>.</w:t>
      </w:r>
      <w:r w:rsidR="005D36F7">
        <w:t xml:space="preserve">  The trial court disregarded all that.</w:t>
      </w:r>
    </w:p>
    <w:p w:rsidR="00F77299" w:rsidP="00832865" w14:paraId="02C5DE13" w14:textId="10244DD0">
      <w:pPr>
        <w:tabs>
          <w:tab w:val="clear" w:pos="720"/>
        </w:tabs>
        <w:spacing w:line="360" w:lineRule="auto"/>
        <w:ind w:left="-720" w:right="-720" w:firstLine="720"/>
      </w:pPr>
      <w:r>
        <w:t xml:space="preserve">The trial court cited one case in support of its denial, </w:t>
      </w:r>
      <w:r>
        <w:rPr>
          <w:i/>
          <w:iCs/>
        </w:rPr>
        <w:t>Lee</w:t>
      </w:r>
      <w:r w:rsidR="00143EC2">
        <w:t xml:space="preserve">, </w:t>
      </w:r>
      <w:r w:rsidR="00143EC2">
        <w:rPr>
          <w:i/>
          <w:iCs/>
        </w:rPr>
        <w:t>supra</w:t>
      </w:r>
      <w:r w:rsidR="00143EC2">
        <w:t>,</w:t>
      </w:r>
      <w:r>
        <w:rPr>
          <w:i/>
          <w:iCs/>
        </w:rPr>
        <w:t xml:space="preserve"> </w:t>
      </w:r>
      <w:r>
        <w:t>9 Cal.App.4th 510</w:t>
      </w:r>
      <w:r w:rsidR="005D36F7">
        <w:t xml:space="preserve">, </w:t>
      </w:r>
      <w:r w:rsidR="00DC3F03">
        <w:t xml:space="preserve">first </w:t>
      </w:r>
      <w:r w:rsidR="005D36F7">
        <w:t>c</w:t>
      </w:r>
      <w:r w:rsidR="00DF6A87">
        <w:t>ited for the proposition that no one has a “statutory right to officially change their name to a name</w:t>
      </w:r>
      <w:r w:rsidR="0020021F">
        <w:t xml:space="preserve"> universally recognized as being offensive</w:t>
      </w:r>
      <w:r w:rsidR="006F0A42">
        <w:t>,</w:t>
      </w:r>
      <w:r w:rsidR="0020021F">
        <w:t>”</w:t>
      </w:r>
      <w:r w:rsidR="00DB4F5C">
        <w:t xml:space="preserve"> </w:t>
      </w:r>
      <w:r w:rsidR="00490A6A">
        <w:t xml:space="preserve">and </w:t>
      </w:r>
      <w:r w:rsidR="006F0A42">
        <w:t xml:space="preserve">going on </w:t>
      </w:r>
      <w:r w:rsidR="00DB4F5C">
        <w:t xml:space="preserve">to </w:t>
      </w:r>
      <w:r w:rsidR="006F0A42">
        <w:t xml:space="preserve">cite </w:t>
      </w:r>
      <w:r w:rsidR="00DB4F5C">
        <w:rPr>
          <w:i/>
          <w:iCs/>
        </w:rPr>
        <w:t xml:space="preserve">Lee </w:t>
      </w:r>
      <w:r w:rsidR="00DB4F5C">
        <w:t xml:space="preserve">at the end of its order for the proposition that </w:t>
      </w:r>
      <w:r w:rsidR="006E4467">
        <w:t>“</w:t>
      </w:r>
      <w:r w:rsidR="00A210C3">
        <w:t>[t]</w:t>
      </w:r>
      <w:r w:rsidR="006E4467">
        <w:t>he judiciary should not lend the Great Seal of the State of California to aid a person in a ‘social experiment’ who proposes to change their name to a word or phrase that is determined to be vulgar and offensive.</w:t>
      </w:r>
      <w:r w:rsidR="00490A6A">
        <w:t>”</w:t>
      </w:r>
      <w:r w:rsidR="000F425F">
        <w:t xml:space="preserve">  </w:t>
      </w:r>
      <w:r w:rsidR="006F0A42">
        <w:rPr>
          <w:i/>
          <w:iCs/>
        </w:rPr>
        <w:t xml:space="preserve">Lee </w:t>
      </w:r>
      <w:r>
        <w:t xml:space="preserve">is a far cry from the situation here.  </w:t>
      </w:r>
    </w:p>
    <w:p w:rsidR="00832865" w:rsidP="00832865" w14:paraId="522D71B3" w14:textId="23EE20F8">
      <w:pPr>
        <w:tabs>
          <w:tab w:val="clear" w:pos="720"/>
        </w:tabs>
        <w:spacing w:line="360" w:lineRule="auto"/>
        <w:ind w:left="-720" w:right="-720" w:firstLine="720"/>
      </w:pPr>
      <w:r>
        <w:t>There, Russell Lawrence Lee petitioned to change his name to “Misteri N</w:t>
      </w:r>
      <w:r w:rsidR="007B3ECB">
        <w:t>igger</w:t>
      </w:r>
      <w:r>
        <w:t>,” on the basis the name would further his goals on social justice.  The trial court denied the petition, and the Court of Appeal affirmed, beginning its opinion with the observation that “The proposed surname is commonly considered to be a racial epithet and has t</w:t>
      </w:r>
      <w:r w:rsidR="00A210C3">
        <w:t>he</w:t>
      </w:r>
      <w:r>
        <w:t xml:space="preserve"> </w:t>
      </w:r>
      <w:r>
        <w:rPr>
          <w:i/>
          <w:iCs/>
        </w:rPr>
        <w:t>potential</w:t>
      </w:r>
      <w:r>
        <w:t xml:space="preserve"> to be a ‘fighting word.’ ”  The court went on to hold that no one has a statutory right to change his or her name to one universally recognized as offensive (</w:t>
      </w:r>
      <w:r>
        <w:rPr>
          <w:i/>
          <w:iCs/>
        </w:rPr>
        <w:t>Lee</w:t>
      </w:r>
      <w:r>
        <w:t>,</w:t>
      </w:r>
      <w:r>
        <w:rPr>
          <w:i/>
          <w:iCs/>
        </w:rPr>
        <w:t xml:space="preserve"> </w:t>
      </w:r>
      <w:r w:rsidRPr="00797EDB" w:rsidR="00143EC2">
        <w:rPr>
          <w:i/>
          <w:iCs/>
        </w:rPr>
        <w:t>supra</w:t>
      </w:r>
      <w:r w:rsidR="00143EC2">
        <w:t>, 9</w:t>
      </w:r>
      <w:r w:rsidR="00797EDB">
        <w:t> </w:t>
      </w:r>
      <w:r w:rsidR="00143EC2">
        <w:t xml:space="preserve">Cal.App.4th </w:t>
      </w:r>
      <w:r>
        <w:t xml:space="preserve">at </w:t>
      </w:r>
      <w:r w:rsidR="00A210C3">
        <w:t>p</w:t>
      </w:r>
      <w:r>
        <w:t xml:space="preserve">p. </w:t>
      </w:r>
      <w:r w:rsidR="00A210C3">
        <w:t>513</w:t>
      </w:r>
      <w:r w:rsidR="00A210C3">
        <w:rPr>
          <w:rFonts w:ascii="Symbol" w:hAnsi="Symbol"/>
        </w:rPr>
        <w:sym w:font="Symbol" w:char="F02D"/>
      </w:r>
      <w:r>
        <w:t xml:space="preserve">514), and that “the trial </w:t>
      </w:r>
      <w:r w:rsidR="00A210C3">
        <w:t xml:space="preserve">court’s </w:t>
      </w:r>
      <w:r>
        <w:t xml:space="preserve">determination that the proposed </w:t>
      </w:r>
      <w:r w:rsidR="00441B63">
        <w:t>sur</w:t>
      </w:r>
      <w:r>
        <w:t xml:space="preserve">name was vulgar, offensive, and a racial slur [was] a substantial and principled reason </w:t>
      </w:r>
      <w:r w:rsidR="00441B63">
        <w:t xml:space="preserve">for </w:t>
      </w:r>
      <w:r>
        <w:t>den</w:t>
      </w:r>
      <w:r w:rsidR="00441B63">
        <w:t>ial of</w:t>
      </w:r>
      <w:r>
        <w:t xml:space="preserve"> the motion.”  (</w:t>
      </w:r>
      <w:r w:rsidR="00143EC2">
        <w:rPr>
          <w:i/>
          <w:iCs/>
        </w:rPr>
        <w:t>Id.</w:t>
      </w:r>
      <w:r w:rsidR="00143EC2">
        <w:t xml:space="preserve"> </w:t>
      </w:r>
      <w:r>
        <w:t xml:space="preserve">at p. 515.)  Finally, the court noted that the proposed name here may also constitute </w:t>
      </w:r>
      <w:r w:rsidR="00441B63">
        <w:t>“</w:t>
      </w:r>
      <w:r>
        <w:t>fighting words,</w:t>
      </w:r>
      <w:r w:rsidR="00441B63">
        <w:t>”</w:t>
      </w:r>
      <w:r>
        <w:t xml:space="preserve"> which the court should not sanction, adding “It matters not that appellant’s motives may be rooted in a sincere and honest attempt to remove the sting from the word ‘n</w:t>
      </w:r>
      <w:r w:rsidR="008B2992">
        <w:t>[</w:t>
      </w:r>
      <w:r w:rsidR="004D3C05">
        <w:t>***</w:t>
      </w:r>
      <w:r w:rsidR="008B2992">
        <w:t>**]’</w:t>
      </w:r>
      <w:r>
        <w:t xml:space="preserve">or that it may only be uttered in the context of </w:t>
      </w:r>
      <w:r w:rsidR="00441B63">
        <w:t xml:space="preserve">a </w:t>
      </w:r>
      <w:r>
        <w:t>name.  It is the reaction thereto that may cause a breach of the peace.”  (</w:t>
      </w:r>
      <w:r w:rsidR="00143EC2">
        <w:rPr>
          <w:i/>
          <w:iCs/>
        </w:rPr>
        <w:t>Id.</w:t>
      </w:r>
      <w:r w:rsidR="00143EC2">
        <w:t xml:space="preserve"> </w:t>
      </w:r>
      <w:r>
        <w:t>at p. 518.)</w:t>
      </w:r>
    </w:p>
    <w:p w:rsidR="00F77299" w:rsidRPr="00B225BC" w:rsidP="00832865" w14:paraId="4E6A8C16" w14:textId="20E32A11">
      <w:pPr>
        <w:tabs>
          <w:tab w:val="clear" w:pos="720"/>
        </w:tabs>
        <w:spacing w:line="360" w:lineRule="auto"/>
        <w:ind w:left="-720" w:right="-720" w:firstLine="720"/>
      </w:pPr>
      <w:r>
        <w:t xml:space="preserve">The </w:t>
      </w:r>
      <w:r w:rsidR="008A3209">
        <w:t xml:space="preserve">word causing the rejection </w:t>
      </w:r>
      <w:r>
        <w:t xml:space="preserve">in </w:t>
      </w:r>
      <w:r>
        <w:rPr>
          <w:i/>
          <w:iCs/>
        </w:rPr>
        <w:t xml:space="preserve">Lee </w:t>
      </w:r>
      <w:r>
        <w:t xml:space="preserve">is </w:t>
      </w:r>
      <w:r w:rsidR="001838E3">
        <w:t xml:space="preserve">perhaps the most inflammatory </w:t>
      </w:r>
      <w:r w:rsidR="00F67CC4">
        <w:t>word in the English language, a word one author described as one that</w:t>
      </w:r>
      <w:r w:rsidR="001D505F">
        <w:t xml:space="preserve"> “wreaked symbolic violence, often accompanied by physical violence.</w:t>
      </w:r>
      <w:r w:rsidR="00CE2E16">
        <w:t>”</w:t>
      </w:r>
      <w:r w:rsidR="001D505F">
        <w:t xml:space="preserve">  (Rahman, </w:t>
      </w:r>
      <w:r w:rsidRPr="00DC6D1F" w:rsidR="00CE2E16">
        <w:rPr>
          <w:i/>
          <w:iCs/>
        </w:rPr>
        <w:t>The N-Word:  Its History and Use in the African-American Community</w:t>
      </w:r>
      <w:r w:rsidR="00440DC4">
        <w:t xml:space="preserve"> (201</w:t>
      </w:r>
      <w:r w:rsidR="00441B63">
        <w:t>1</w:t>
      </w:r>
      <w:r w:rsidR="00440DC4">
        <w:t>) Journal of English Linguistics</w:t>
      </w:r>
      <w:r w:rsidR="006D0E76">
        <w:t>, p. 6</w:t>
      </w:r>
      <w:r w:rsidR="00440DC4">
        <w:t xml:space="preserve">.)  </w:t>
      </w:r>
      <w:r w:rsidR="00AD57E9">
        <w:t xml:space="preserve">It </w:t>
      </w:r>
      <w:r w:rsidR="00440DC4">
        <w:t xml:space="preserve">is hard to </w:t>
      </w:r>
      <w:r w:rsidR="00AD57E9">
        <w:t xml:space="preserve">come up with </w:t>
      </w:r>
      <w:r w:rsidR="00440DC4">
        <w:t>an</w:t>
      </w:r>
      <w:r w:rsidR="00977B44">
        <w:t xml:space="preserve"> adjective adequate to describe a discussion of that word in the same breath as Bimbo.</w:t>
      </w:r>
      <w:r w:rsidR="00F00EC9">
        <w:t xml:space="preserve"> </w:t>
      </w:r>
    </w:p>
    <w:p w:rsidR="00E6425F" w:rsidP="00832865" w14:paraId="1205982B" w14:textId="0B2792F0">
      <w:pPr>
        <w:tabs>
          <w:tab w:val="clear" w:pos="720"/>
        </w:tabs>
        <w:spacing w:line="360" w:lineRule="auto"/>
        <w:ind w:left="-720" w:right="-720" w:firstLine="720"/>
      </w:pPr>
      <w:r>
        <w:t>As also noted, t</w:t>
      </w:r>
      <w:r w:rsidR="00832865">
        <w:t xml:space="preserve">he trial court cited the 1990 Rutgers Law Review article, quoting that “One feature of strong insults and epithets is that they tend to shock those at whom they are directed and those that hear.”  (Greenwalt, </w:t>
      </w:r>
      <w:r w:rsidRPr="00DC6D1F" w:rsidR="00832865">
        <w:rPr>
          <w:i/>
          <w:iCs/>
        </w:rPr>
        <w:t>Insults and Epithets:  Are They Protected Speech</w:t>
      </w:r>
      <w:r w:rsidRPr="00441B63" w:rsidR="00441B63">
        <w:t>?</w:t>
      </w:r>
      <w:r w:rsidR="00DC6D1F">
        <w:rPr>
          <w:i/>
          <w:iCs/>
        </w:rPr>
        <w:t xml:space="preserve"> </w:t>
      </w:r>
      <w:r w:rsidRPr="00DC6D1F" w:rsidR="00DC6D1F">
        <w:t>(1990)</w:t>
      </w:r>
      <w:r w:rsidR="00832865">
        <w:t xml:space="preserve"> </w:t>
      </w:r>
      <w:r w:rsidRPr="00FD45E0" w:rsidR="00832865">
        <w:t>42</w:t>
      </w:r>
      <w:r w:rsidR="00441B63">
        <w:t> </w:t>
      </w:r>
      <w:r w:rsidR="00832865">
        <w:t>Rutgers L.Rev. 287, 291.)  That article lists numerous—Wood’s brief says 53—examples of offensive terms</w:t>
      </w:r>
      <w:r w:rsidR="007F08C5">
        <w:t>.</w:t>
      </w:r>
      <w:r w:rsidR="00832865">
        <w:t xml:space="preserve">  Bimbo is not among them. </w:t>
      </w:r>
    </w:p>
    <w:p w:rsidR="00F02863" w:rsidP="00EE3A4A" w14:paraId="29146467" w14:textId="30E37674">
      <w:pPr>
        <w:tabs>
          <w:tab w:val="clear" w:pos="720"/>
        </w:tabs>
        <w:spacing w:line="360" w:lineRule="auto"/>
        <w:ind w:left="-720" w:right="-720" w:firstLine="720"/>
      </w:pPr>
      <w:r>
        <w:t>In sum and in short, Bimbo is not</w:t>
      </w:r>
      <w:r w:rsidR="00615B44">
        <w:t xml:space="preserve"> </w:t>
      </w:r>
      <w:r w:rsidR="00502EF4">
        <w:t>a</w:t>
      </w:r>
      <w:r w:rsidR="00A6498D">
        <w:t xml:space="preserve"> fighting word.  I</w:t>
      </w:r>
      <w:r w:rsidR="003520ED">
        <w:t>t</w:t>
      </w:r>
      <w:r w:rsidR="00A6498D">
        <w:t xml:space="preserve"> is not</w:t>
      </w:r>
      <w:r w:rsidR="00502EF4">
        <w:t xml:space="preserve"> </w:t>
      </w:r>
      <w:r w:rsidR="00D62AB1">
        <w:t>vulgar</w:t>
      </w:r>
      <w:r w:rsidR="003520ED">
        <w:t xml:space="preserve">. </w:t>
      </w:r>
      <w:r w:rsidR="00D62AB1">
        <w:t xml:space="preserve"> </w:t>
      </w:r>
      <w:r w:rsidR="003520ED">
        <w:t>A</w:t>
      </w:r>
      <w:r w:rsidR="00615B44">
        <w:t xml:space="preserve">nd according to the </w:t>
      </w:r>
      <w:r w:rsidR="008B2992">
        <w:t xml:space="preserve">trial </w:t>
      </w:r>
      <w:r w:rsidR="00615B44">
        <w:t>court</w:t>
      </w:r>
      <w:r w:rsidR="00C40E63">
        <w:t>’</w:t>
      </w:r>
      <w:r w:rsidR="00D62AB1">
        <w:t xml:space="preserve">s </w:t>
      </w:r>
      <w:r>
        <w:t xml:space="preserve">description of TikTok and the </w:t>
      </w:r>
      <w:r w:rsidR="00D62AB1">
        <w:t xml:space="preserve">professor’s comments, </w:t>
      </w:r>
      <w:r>
        <w:t xml:space="preserve">it is </w:t>
      </w:r>
      <w:r w:rsidR="00D62AB1">
        <w:t>not</w:t>
      </w:r>
      <w:r w:rsidR="00C141E6">
        <w:t xml:space="preserve"> necessarily</w:t>
      </w:r>
      <w:r w:rsidR="00D62AB1">
        <w:t xml:space="preserve"> </w:t>
      </w:r>
      <w:r>
        <w:t>offensive</w:t>
      </w:r>
      <w:r w:rsidR="00D62AB1">
        <w:t>.</w:t>
      </w:r>
      <w:r w:rsidR="00615B44">
        <w:t xml:space="preserve"> </w:t>
      </w:r>
    </w:p>
    <w:p w:rsidR="00CD0D91" w:rsidP="00EE3A4A" w14:paraId="18F0982C" w14:textId="795D40B0">
      <w:pPr>
        <w:tabs>
          <w:tab w:val="clear" w:pos="720"/>
        </w:tabs>
        <w:spacing w:line="360" w:lineRule="auto"/>
        <w:ind w:left="-720" w:right="-720" w:firstLine="720"/>
      </w:pPr>
      <w:r>
        <w:t xml:space="preserve">A </w:t>
      </w:r>
      <w:r w:rsidR="00AD047C">
        <w:t xml:space="preserve">business </w:t>
      </w:r>
      <w:r>
        <w:t xml:space="preserve">search for Bimbo on the </w:t>
      </w:r>
      <w:r w:rsidR="00AD047C">
        <w:t xml:space="preserve">California </w:t>
      </w:r>
      <w:r w:rsidR="00194AD9">
        <w:t xml:space="preserve">Secretary of </w:t>
      </w:r>
      <w:r w:rsidR="00AD3C52">
        <w:t>State</w:t>
      </w:r>
      <w:r w:rsidR="00702AC7">
        <w:t xml:space="preserve"> </w:t>
      </w:r>
      <w:r w:rsidR="00AD3C52">
        <w:t xml:space="preserve">website </w:t>
      </w:r>
      <w:r w:rsidR="002518DC">
        <w:t xml:space="preserve">reveals that the Secretary lists </w:t>
      </w:r>
      <w:r w:rsidR="00A00F0C">
        <w:t xml:space="preserve">17 entities </w:t>
      </w:r>
      <w:r w:rsidR="00BC2C9B">
        <w:t>as including the name Bimbo</w:t>
      </w:r>
      <w:r w:rsidR="007D4183">
        <w:t xml:space="preserve">, </w:t>
      </w:r>
      <w:r w:rsidR="00962E14">
        <w:t>some of which are as simple as Bimbo, LLC and Bimbo, Inc.</w:t>
      </w:r>
      <w:r w:rsidR="00C141E6">
        <w:t>, a</w:t>
      </w:r>
      <w:r w:rsidR="007D4183">
        <w:t xml:space="preserve"> </w:t>
      </w:r>
      <w:r w:rsidR="004C2379">
        <w:t xml:space="preserve">list </w:t>
      </w:r>
      <w:r w:rsidR="00702AC7">
        <w:t xml:space="preserve">of which </w:t>
      </w:r>
      <w:r w:rsidR="0012572B">
        <w:t xml:space="preserve">we take </w:t>
      </w:r>
      <w:r w:rsidR="00702AC7">
        <w:t xml:space="preserve">judicial </w:t>
      </w:r>
      <w:r w:rsidR="0012572B">
        <w:t xml:space="preserve">notice.  </w:t>
      </w:r>
      <w:r w:rsidR="00770987">
        <w:t xml:space="preserve">(See </w:t>
      </w:r>
      <w:r w:rsidR="00770987">
        <w:rPr>
          <w:i/>
          <w:iCs/>
        </w:rPr>
        <w:t>Wood</w:t>
      </w:r>
      <w:r w:rsidR="0012572B">
        <w:rPr>
          <w:i/>
          <w:iCs/>
        </w:rPr>
        <w:t> </w:t>
      </w:r>
      <w:r w:rsidR="00770987">
        <w:rPr>
          <w:i/>
          <w:iCs/>
        </w:rPr>
        <w:t>v. Superior Court</w:t>
      </w:r>
      <w:r w:rsidR="00770987">
        <w:t xml:space="preserve"> (2020) 46</w:t>
      </w:r>
      <w:r w:rsidR="008D738F">
        <w:t> </w:t>
      </w:r>
      <w:r w:rsidR="00770987">
        <w:t>Cal.App.</w:t>
      </w:r>
      <w:r w:rsidR="00B255B4">
        <w:t>5th 562</w:t>
      </w:r>
      <w:r w:rsidR="00952DCF">
        <w:t xml:space="preserve">, </w:t>
      </w:r>
      <w:r w:rsidR="00DF7EC4">
        <w:t>580</w:t>
      </w:r>
      <w:r w:rsidR="00E030B7">
        <w:t>, fn. 2</w:t>
      </w:r>
      <w:r w:rsidR="00DF7EC4">
        <w:t xml:space="preserve"> [taking judicial notice of several pages of DFEH website, and noting that “</w:t>
      </w:r>
      <w:r w:rsidR="00E030B7">
        <w:t>[</w:t>
      </w:r>
      <w:r w:rsidR="00DF7EC4">
        <w:t>w</w:t>
      </w:r>
      <w:r w:rsidR="00E030B7">
        <w:t>]</w:t>
      </w:r>
      <w:r w:rsidR="00DF7EC4">
        <w:t>hile we may no</w:t>
      </w:r>
      <w:r w:rsidR="00674365">
        <w:t>t</w:t>
      </w:r>
      <w:r w:rsidR="00DF7EC4">
        <w:t xml:space="preserve"> judicially notice the truth of any statement in </w:t>
      </w:r>
      <w:r w:rsidR="003C08A8">
        <w:t>these materials, we may take notice of the fact that they were made to the public”</w:t>
      </w:r>
      <w:r w:rsidR="00653AEA">
        <w:t xml:space="preserve">].)  </w:t>
      </w:r>
      <w:r w:rsidR="004C2379">
        <w:t xml:space="preserve">The </w:t>
      </w:r>
      <w:r w:rsidR="00674365">
        <w:t xml:space="preserve">Secretary of State </w:t>
      </w:r>
      <w:r w:rsidR="002109D3">
        <w:t xml:space="preserve">has no issue </w:t>
      </w:r>
      <w:r>
        <w:t xml:space="preserve">with </w:t>
      </w:r>
      <w:r w:rsidR="00674365">
        <w:t xml:space="preserve">Bimbo.  </w:t>
      </w:r>
    </w:p>
    <w:p w:rsidR="003C08A8" w:rsidRPr="00770987" w:rsidP="00EE3A4A" w14:paraId="0FCCD965" w14:textId="153AEF77">
      <w:pPr>
        <w:tabs>
          <w:tab w:val="clear" w:pos="720"/>
        </w:tabs>
        <w:spacing w:line="360" w:lineRule="auto"/>
        <w:ind w:left="-720" w:right="-720" w:firstLine="720"/>
      </w:pPr>
      <w:r>
        <w:t xml:space="preserve">Nor does </w:t>
      </w:r>
      <w:r w:rsidR="005A635B">
        <w:t xml:space="preserve">the California Department of Motor Vehicles </w:t>
      </w:r>
      <w:r w:rsidR="00674365">
        <w:t>(DMV)</w:t>
      </w:r>
      <w:r w:rsidR="00B36F83">
        <w:t xml:space="preserve">. </w:t>
      </w:r>
      <w:r w:rsidR="00D44BF2">
        <w:t xml:space="preserve"> </w:t>
      </w:r>
      <w:r w:rsidR="00B36F83">
        <w:t xml:space="preserve">The </w:t>
      </w:r>
      <w:r w:rsidR="000B296B">
        <w:t xml:space="preserve">DMV instructions state that it will not issue a personalized </w:t>
      </w:r>
      <w:r w:rsidR="00C141E6">
        <w:t xml:space="preserve">license </w:t>
      </w:r>
      <w:r w:rsidR="000B296B">
        <w:t xml:space="preserve">plate that has “sexual connotation” or a “vulgar term or a term of prejudice or hostility.” </w:t>
      </w:r>
      <w:r w:rsidR="00835E81">
        <w:t xml:space="preserve"> </w:t>
      </w:r>
      <w:r w:rsidR="00C141E6">
        <w:t xml:space="preserve">We </w:t>
      </w:r>
      <w:r w:rsidR="0091340F">
        <w:t xml:space="preserve">understand </w:t>
      </w:r>
      <w:r w:rsidR="00B36F83">
        <w:t xml:space="preserve">the DMV </w:t>
      </w:r>
      <w:r w:rsidR="005A635B">
        <w:t xml:space="preserve">has issued </w:t>
      </w:r>
      <w:r w:rsidR="00B36F83">
        <w:t xml:space="preserve">so many </w:t>
      </w:r>
      <w:r w:rsidR="005A635B">
        <w:t xml:space="preserve">personalized license plates in the </w:t>
      </w:r>
      <w:r w:rsidR="00636C29">
        <w:t>name of “Bimbo</w:t>
      </w:r>
      <w:r w:rsidR="003477B0">
        <w:t>,</w:t>
      </w:r>
      <w:r w:rsidR="00636C29">
        <w:t>” “Bimbo 1,”</w:t>
      </w:r>
      <w:r w:rsidR="003477B0">
        <w:t xml:space="preserve"> “Bimbo 25”</w:t>
      </w:r>
      <w:r w:rsidR="00D44BF2">
        <w:t xml:space="preserve"> etc</w:t>
      </w:r>
      <w:r w:rsidR="00E30070">
        <w:t xml:space="preserve">., that new requests are met with </w:t>
      </w:r>
      <w:r w:rsidR="003477B0">
        <w:t xml:space="preserve">the </w:t>
      </w:r>
      <w:r w:rsidR="004A08E7">
        <w:t xml:space="preserve">statement that “the license plate </w:t>
      </w:r>
      <w:r w:rsidR="003477B0">
        <w:t xml:space="preserve">you </w:t>
      </w:r>
      <w:r w:rsidR="004A08E7">
        <w:t>selected is no longer available</w:t>
      </w:r>
      <w:r w:rsidR="00D44BF2">
        <w:t>.</w:t>
      </w:r>
      <w:r w:rsidR="004A08E7">
        <w:t>”</w:t>
      </w:r>
      <w:r w:rsidR="00D44BF2">
        <w:t xml:space="preserve">  </w:t>
      </w:r>
    </w:p>
    <w:p w:rsidR="00AF563B" w:rsidP="00EE3A4A" w14:paraId="7D56698E" w14:textId="744891BF">
      <w:pPr>
        <w:tabs>
          <w:tab w:val="clear" w:pos="720"/>
        </w:tabs>
        <w:spacing w:line="360" w:lineRule="auto"/>
        <w:ind w:left="-720" w:right="-720" w:firstLine="720"/>
      </w:pPr>
      <w:r>
        <w:t>In all of California jurisprudence</w:t>
      </w:r>
      <w:r w:rsidR="00FA6BC0">
        <w:t>,</w:t>
      </w:r>
      <w:r>
        <w:t xml:space="preserve"> </w:t>
      </w:r>
      <w:r w:rsidR="007F08C5">
        <w:t xml:space="preserve">including </w:t>
      </w:r>
      <w:r w:rsidRPr="00F009A9" w:rsidR="007F08C5">
        <w:rPr>
          <w:i/>
          <w:iCs/>
        </w:rPr>
        <w:t>Lee</w:t>
      </w:r>
      <w:r w:rsidR="007F08C5">
        <w:t xml:space="preserve">, </w:t>
      </w:r>
      <w:r w:rsidRPr="007F08C5">
        <w:t>there</w:t>
      </w:r>
      <w:r>
        <w:t xml:space="preserve"> are </w:t>
      </w:r>
      <w:r w:rsidR="00F1242F">
        <w:t xml:space="preserve">apparently </w:t>
      </w:r>
      <w:r w:rsidR="004C2232">
        <w:t xml:space="preserve">only </w:t>
      </w:r>
      <w:r w:rsidR="00882548">
        <w:t>five</w:t>
      </w:r>
      <w:r w:rsidR="00F1242F">
        <w:t xml:space="preserve"> published cases upholding </w:t>
      </w:r>
      <w:r w:rsidR="00FB13EB">
        <w:t xml:space="preserve">the </w:t>
      </w:r>
      <w:r w:rsidR="00F1242F">
        <w:t>denial of a name change</w:t>
      </w:r>
      <w:r w:rsidR="00A9704E">
        <w:t>.</w:t>
      </w:r>
      <w:r w:rsidR="00D60106">
        <w:t xml:space="preserve">  </w:t>
      </w:r>
      <w:r w:rsidR="00A9704E">
        <w:t xml:space="preserve">The other four are:  </w:t>
      </w:r>
      <w:r w:rsidR="00D60106">
        <w:rPr>
          <w:i/>
          <w:iCs/>
        </w:rPr>
        <w:t>In re Weingand</w:t>
      </w:r>
      <w:r w:rsidR="00D60106">
        <w:t xml:space="preserve"> (1964) 231 Cal.App.2d 289; </w:t>
      </w:r>
      <w:r w:rsidR="00D60106">
        <w:rPr>
          <w:i/>
          <w:iCs/>
        </w:rPr>
        <w:t xml:space="preserve">In re </w:t>
      </w:r>
      <w:r w:rsidRPr="00D60106" w:rsidR="00D60106">
        <w:rPr>
          <w:i/>
          <w:iCs/>
        </w:rPr>
        <w:t>Ritchie</w:t>
      </w:r>
      <w:r w:rsidR="000C6581">
        <w:t xml:space="preserve"> (1984) </w:t>
      </w:r>
      <w:r w:rsidR="00E7191E">
        <w:t>159</w:t>
      </w:r>
      <w:r w:rsidR="00A9704E">
        <w:t> </w:t>
      </w:r>
      <w:r w:rsidR="00E7191E">
        <w:t xml:space="preserve">Cal.App.3d 1070; </w:t>
      </w:r>
      <w:r w:rsidRPr="00E7191E" w:rsidR="00E7191E">
        <w:rPr>
          <w:i/>
          <w:iCs/>
        </w:rPr>
        <w:t>Forch</w:t>
      </w:r>
      <w:r w:rsidR="00493075">
        <w:rPr>
          <w:i/>
          <w:iCs/>
        </w:rPr>
        <w:t>i</w:t>
      </w:r>
      <w:r w:rsidRPr="00E7191E" w:rsidR="00E7191E">
        <w:rPr>
          <w:i/>
          <w:iCs/>
        </w:rPr>
        <w:t>on</w:t>
      </w:r>
      <w:r w:rsidR="00E7191E">
        <w:t xml:space="preserve">, </w:t>
      </w:r>
      <w:r w:rsidRPr="00E7191E" w:rsidR="00E7191E">
        <w:rPr>
          <w:i/>
          <w:iCs/>
        </w:rPr>
        <w:t>supra</w:t>
      </w:r>
      <w:r w:rsidR="00E7191E">
        <w:t xml:space="preserve">, </w:t>
      </w:r>
      <w:r w:rsidR="009B5766">
        <w:t xml:space="preserve">198 Cal.App.4th 1284; and </w:t>
      </w:r>
      <w:r w:rsidR="009B5766">
        <w:rPr>
          <w:i/>
          <w:iCs/>
        </w:rPr>
        <w:t xml:space="preserve">In re </w:t>
      </w:r>
      <w:r w:rsidRPr="009B5766" w:rsidR="009B5766">
        <w:rPr>
          <w:i/>
          <w:iCs/>
        </w:rPr>
        <w:t>Harris</w:t>
      </w:r>
      <w:r w:rsidR="009B5766">
        <w:t xml:space="preserve"> (2023) 94</w:t>
      </w:r>
      <w:r w:rsidR="00F1242F">
        <w:t> </w:t>
      </w:r>
      <w:r w:rsidR="009B5766">
        <w:t>Cal.App.5th 608</w:t>
      </w:r>
      <w:r w:rsidR="004C2232">
        <w:t>, all of which</w:t>
      </w:r>
      <w:r w:rsidR="00281BA8">
        <w:t xml:space="preserve"> </w:t>
      </w:r>
      <w:r w:rsidR="00D87BC9">
        <w:t xml:space="preserve">cases </w:t>
      </w:r>
      <w:r w:rsidR="0051479B">
        <w:t>involve</w:t>
      </w:r>
      <w:r w:rsidR="00281BA8">
        <w:t>,</w:t>
      </w:r>
      <w:r w:rsidR="0051479B">
        <w:t xml:space="preserve"> in one way or another</w:t>
      </w:r>
      <w:r w:rsidR="00281BA8">
        <w:t>,</w:t>
      </w:r>
      <w:r w:rsidR="0051479B">
        <w:t xml:space="preserve"> confusion</w:t>
      </w:r>
      <w:r w:rsidR="004A3815">
        <w:t>.</w:t>
      </w:r>
      <w:r w:rsidR="008D23D3">
        <w:t xml:space="preserve"> </w:t>
      </w:r>
      <w:r w:rsidR="00047218">
        <w:t xml:space="preserve"> </w:t>
      </w:r>
      <w:r w:rsidR="00493075">
        <w:t>S</w:t>
      </w:r>
      <w:r w:rsidR="00047218">
        <w:t>pecifically</w:t>
      </w:r>
      <w:r w:rsidR="00744BB5">
        <w:t>:</w:t>
      </w:r>
      <w:r w:rsidR="00BB3CE7">
        <w:t xml:space="preserve">  </w:t>
      </w:r>
    </w:p>
    <w:p w:rsidR="0010017B" w:rsidP="00EE3A4A" w14:paraId="5418C2F7" w14:textId="40EB5291">
      <w:pPr>
        <w:tabs>
          <w:tab w:val="clear" w:pos="720"/>
        </w:tabs>
        <w:spacing w:line="360" w:lineRule="auto"/>
        <w:ind w:left="-720" w:right="-720" w:firstLine="720"/>
      </w:pPr>
      <w:r>
        <w:rPr>
          <w:i/>
          <w:iCs/>
        </w:rPr>
        <w:t xml:space="preserve">In re </w:t>
      </w:r>
      <w:r w:rsidR="004C0440">
        <w:rPr>
          <w:i/>
          <w:iCs/>
        </w:rPr>
        <w:t>Weingand</w:t>
      </w:r>
      <w:r w:rsidR="009423CB">
        <w:t xml:space="preserve">, </w:t>
      </w:r>
      <w:r w:rsidR="009423CB">
        <w:rPr>
          <w:i/>
          <w:iCs/>
        </w:rPr>
        <w:t>supra</w:t>
      </w:r>
      <w:r w:rsidR="009423CB">
        <w:t>,</w:t>
      </w:r>
      <w:r w:rsidR="004C0440">
        <w:t xml:space="preserve"> 231 Cal.App.</w:t>
      </w:r>
      <w:r w:rsidR="00717E63">
        <w:t>2d 289</w:t>
      </w:r>
      <w:r w:rsidR="00744BB5">
        <w:t xml:space="preserve"> involved </w:t>
      </w:r>
      <w:r w:rsidR="00735E09">
        <w:t>Eugene Weingand</w:t>
      </w:r>
      <w:r w:rsidR="00744BB5">
        <w:t>’s</w:t>
      </w:r>
      <w:r w:rsidR="00735E09">
        <w:t xml:space="preserve"> petition to change his name to Peter Lorie, on the claimed basis that hi</w:t>
      </w:r>
      <w:r w:rsidR="003226BF">
        <w:t xml:space="preserve">s current last name </w:t>
      </w:r>
      <w:r w:rsidR="00390BE7">
        <w:t>is hard to pronounce</w:t>
      </w:r>
      <w:r w:rsidR="00FD0056">
        <w:t>,</w:t>
      </w:r>
      <w:r w:rsidR="00390BE7">
        <w:t xml:space="preserve"> </w:t>
      </w:r>
      <w:r w:rsidR="00FD0056">
        <w:t xml:space="preserve">that </w:t>
      </w:r>
      <w:r w:rsidR="00390BE7">
        <w:t>he is engaged in show business</w:t>
      </w:r>
      <w:r w:rsidR="00684FBB">
        <w:t xml:space="preserve">, and </w:t>
      </w:r>
      <w:r w:rsidR="00F1242F">
        <w:t xml:space="preserve">that </w:t>
      </w:r>
      <w:r w:rsidR="00684FBB">
        <w:t xml:space="preserve">associates have called him by that name for approximately </w:t>
      </w:r>
      <w:r w:rsidR="0092669E">
        <w:t xml:space="preserve">one year.  Peter Lorre, the movie </w:t>
      </w:r>
      <w:r w:rsidR="00EB613B">
        <w:t xml:space="preserve">actor, appeared at the hearing, and </w:t>
      </w:r>
      <w:r w:rsidR="00F1242F">
        <w:t>along with other witnesses</w:t>
      </w:r>
      <w:r w:rsidR="00A62045">
        <w:t>,</w:t>
      </w:r>
      <w:r w:rsidR="00F1242F">
        <w:t xml:space="preserve"> </w:t>
      </w:r>
      <w:r w:rsidR="00EB613B">
        <w:t xml:space="preserve">testified </w:t>
      </w:r>
      <w:r w:rsidR="00D31225">
        <w:t xml:space="preserve">against </w:t>
      </w:r>
      <w:r w:rsidR="00EB613B">
        <w:t xml:space="preserve">the name </w:t>
      </w:r>
      <w:r w:rsidR="00D31225">
        <w:t xml:space="preserve">change.  </w:t>
      </w:r>
      <w:r w:rsidR="00223F80">
        <w:t xml:space="preserve">Lorre testified he had been an actor for 42 years and appeared in 150 motion pictures and was working in television.  The Court of Appeal affirmed </w:t>
      </w:r>
      <w:r w:rsidR="00561242">
        <w:t xml:space="preserve">the denial of the petition </w:t>
      </w:r>
      <w:r w:rsidR="00223F80">
        <w:t xml:space="preserve">on the basis that the name </w:t>
      </w:r>
      <w:r w:rsidR="000C6671">
        <w:t xml:space="preserve">would “confuse the public” and </w:t>
      </w:r>
      <w:r w:rsidR="003332CD">
        <w:t xml:space="preserve">“directly affect the commercial and professional value of the </w:t>
      </w:r>
      <w:r w:rsidR="00797963">
        <w:t>services and performances of Peter Lorre.</w:t>
      </w:r>
      <w:r w:rsidR="00AD23B5">
        <w:t>”</w:t>
      </w:r>
      <w:r w:rsidR="00797963">
        <w:t xml:space="preserve">  (</w:t>
      </w:r>
      <w:r w:rsidR="004D1666">
        <w:rPr>
          <w:i/>
          <w:iCs/>
        </w:rPr>
        <w:t xml:space="preserve">Id. </w:t>
      </w:r>
      <w:r w:rsidR="004D1666">
        <w:t>at p. 294.)</w:t>
      </w:r>
    </w:p>
    <w:p w:rsidR="0011701D" w:rsidP="00DF23EB" w14:paraId="5BC7F31A" w14:textId="2713F8FE">
      <w:pPr>
        <w:tabs>
          <w:tab w:val="clear" w:pos="720"/>
        </w:tabs>
        <w:spacing w:line="360" w:lineRule="auto"/>
        <w:ind w:left="-720" w:right="-720" w:firstLine="720"/>
      </w:pPr>
      <w:r>
        <w:rPr>
          <w:i/>
          <w:iCs/>
        </w:rPr>
        <w:t>In re Ritchie</w:t>
      </w:r>
      <w:r w:rsidR="00DA4E8B">
        <w:t xml:space="preserve">, </w:t>
      </w:r>
      <w:r w:rsidR="00DA4E8B">
        <w:rPr>
          <w:i/>
          <w:iCs/>
        </w:rPr>
        <w:t>supra</w:t>
      </w:r>
      <w:r w:rsidR="00DA4E8B">
        <w:t>,</w:t>
      </w:r>
      <w:r>
        <w:t xml:space="preserve"> 159 Cal.App.3d 1070</w:t>
      </w:r>
      <w:r w:rsidR="00DA4E8B">
        <w:t xml:space="preserve"> involved petitioner’s attempt to change his name from Thomas Boyd Ritchie III to </w:t>
      </w:r>
      <w:r w:rsidR="00F51CA1">
        <w:t xml:space="preserve">“III,” pronounced “three.”  </w:t>
      </w:r>
      <w:r w:rsidR="00BB6EB3">
        <w:t>Ritchie’s</w:t>
      </w:r>
      <w:r w:rsidR="00F51CA1">
        <w:t xml:space="preserve"> petition alleged that approximately six years prior to his petition, he began using III as his name for the sake of convenience, that he kept using the name because it gave him a greater sense of personal identity</w:t>
      </w:r>
      <w:r w:rsidR="00D55A26">
        <w:t xml:space="preserve">, and that his friends, peers, and business associates knew him as III.  </w:t>
      </w:r>
      <w:r w:rsidR="00561242">
        <w:t>It</w:t>
      </w:r>
      <w:r w:rsidR="00F71F2A">
        <w:t> </w:t>
      </w:r>
      <w:r w:rsidR="00D55A26">
        <w:t>further alleged that an official recordation of his new name was essential in order to obtain credit cards and documents such as a driver’s license from agencies and financial institutions.</w:t>
      </w:r>
      <w:r w:rsidR="00BB6EB3">
        <w:t xml:space="preserve">  </w:t>
      </w:r>
      <w:r w:rsidR="00D55A26">
        <w:t xml:space="preserve">The petition was denied on the grounds that the proposed change to a numeral did not constitute a name change within the meaning of the law, and that </w:t>
      </w:r>
      <w:r w:rsidR="00432246">
        <w:t xml:space="preserve">the </w:t>
      </w:r>
      <w:r w:rsidR="00D55A26">
        <w:t>new name was “inherently confusing.”</w:t>
      </w:r>
      <w:r w:rsidR="007F2482">
        <w:t xml:space="preserve">  (</w:t>
      </w:r>
      <w:r w:rsidR="00A62045">
        <w:rPr>
          <w:i/>
          <w:iCs/>
        </w:rPr>
        <w:t>Id.</w:t>
      </w:r>
      <w:r w:rsidR="007F2482">
        <w:t xml:space="preserve"> at </w:t>
      </w:r>
      <w:r w:rsidR="000C6581">
        <w:t>p</w:t>
      </w:r>
      <w:r w:rsidR="007F2482">
        <w:t>p. </w:t>
      </w:r>
      <w:r w:rsidR="009F4E41">
        <w:t>1071</w:t>
      </w:r>
      <w:r w:rsidR="000C6581">
        <w:rPr>
          <w:rFonts w:ascii="Symbol" w:hAnsi="Symbol"/>
        </w:rPr>
        <w:sym w:font="Symbol" w:char="F02D"/>
      </w:r>
      <w:r w:rsidR="000C6581">
        <w:t>1072</w:t>
      </w:r>
      <w:r w:rsidR="009F4E41">
        <w:t>.)</w:t>
      </w:r>
      <w:r w:rsidR="00DF23EB">
        <w:t xml:space="preserve">  The Court of Appeal</w:t>
      </w:r>
      <w:r>
        <w:t xml:space="preserve"> affirmed, noting in part that in light of the modern trend</w:t>
      </w:r>
      <w:r w:rsidR="00F00E25">
        <w:t xml:space="preserve"> toward </w:t>
      </w:r>
      <w:r w:rsidR="00807C7C">
        <w:t>high technology and data necessary by computers, “it is not unreasonable to conclude that the usage of numbers for designating or describing persons might cause inherent confusion in public records which, in turn, may well facilitate deception or fraud of individuals, institutions or the public as a whole.</w:t>
      </w:r>
      <w:r w:rsidR="00D244A1">
        <w:t>”  (</w:t>
      </w:r>
      <w:r w:rsidR="00A62045">
        <w:rPr>
          <w:i/>
          <w:iCs/>
        </w:rPr>
        <w:t>Id.</w:t>
      </w:r>
      <w:r w:rsidR="00A62045">
        <w:t xml:space="preserve"> </w:t>
      </w:r>
      <w:r w:rsidR="00D244A1">
        <w:t>at p. 1074.)</w:t>
      </w:r>
    </w:p>
    <w:p w:rsidR="00463FA2" w:rsidP="00EE3A4A" w14:paraId="0440A8E2" w14:textId="3455CB4F">
      <w:pPr>
        <w:tabs>
          <w:tab w:val="clear" w:pos="720"/>
        </w:tabs>
        <w:spacing w:line="360" w:lineRule="auto"/>
        <w:ind w:left="-720" w:right="-720" w:firstLine="720"/>
      </w:pPr>
      <w:r>
        <w:t xml:space="preserve">In </w:t>
      </w:r>
      <w:r>
        <w:rPr>
          <w:i/>
          <w:iCs/>
        </w:rPr>
        <w:t>Forchion</w:t>
      </w:r>
      <w:r>
        <w:t xml:space="preserve">, </w:t>
      </w:r>
      <w:r>
        <w:rPr>
          <w:i/>
          <w:iCs/>
        </w:rPr>
        <w:t>supra</w:t>
      </w:r>
      <w:r>
        <w:t xml:space="preserve">, 198 Cal.App.4th 1284, </w:t>
      </w:r>
      <w:r w:rsidR="00561242">
        <w:t xml:space="preserve">the trial court </w:t>
      </w:r>
      <w:r>
        <w:t>held that</w:t>
      </w:r>
      <w:r w:rsidR="00CB5F9C">
        <w:t xml:space="preserve"> petitioner, a marijuana advocate with a national reputation</w:t>
      </w:r>
      <w:r w:rsidR="00D3463B">
        <w:t xml:space="preserve">, could not change his name to </w:t>
      </w:r>
      <w:r>
        <w:t>“</w:t>
      </w:r>
      <w:r w:rsidR="00D9211B">
        <w:t xml:space="preserve">NJ </w:t>
      </w:r>
      <w:r w:rsidR="00962E14">
        <w:t>w</w:t>
      </w:r>
      <w:r w:rsidR="00D9211B">
        <w:t xml:space="preserve">eedman.com,” </w:t>
      </w:r>
      <w:r w:rsidR="00D3463B">
        <w:t>the name of his website, including the “.com.”</w:t>
      </w:r>
      <w:r w:rsidR="00282C3A">
        <w:t xml:space="preserve">  The Court of Appeal affirmed</w:t>
      </w:r>
      <w:r w:rsidR="007C1ED7">
        <w:t>,</w:t>
      </w:r>
      <w:r w:rsidR="00282C3A">
        <w:t xml:space="preserve"> holding that “domain names were created for use on the Internet and should be limited to assisting a user in </w:t>
      </w:r>
      <w:r w:rsidR="00AB699B">
        <w:t>finding a desired Web site.  The court reasoned that petitioner could lose the use of the Web site by failing to make periodic</w:t>
      </w:r>
      <w:r w:rsidR="00A94DF7">
        <w:t xml:space="preserve"> registration payments or by breaching the registration agreement</w:t>
      </w:r>
      <w:r w:rsidR="00A62BF8">
        <w:t>, i</w:t>
      </w:r>
      <w:r w:rsidR="00A94DF7">
        <w:t xml:space="preserve">n </w:t>
      </w:r>
      <w:r w:rsidR="00A62BF8">
        <w:t xml:space="preserve">which </w:t>
      </w:r>
      <w:r w:rsidR="00A94DF7">
        <w:t xml:space="preserve">event the Web site name could be registered to someone </w:t>
      </w:r>
      <w:r w:rsidR="00A30530">
        <w:t>else,</w:t>
      </w:r>
      <w:r w:rsidR="00E77810">
        <w:t xml:space="preserve"> and, at the same time, petitioner could keep his new personal name, resulting in confusion.  </w:t>
      </w:r>
      <w:r w:rsidR="00885366">
        <w:t xml:space="preserve">But even if petitioner maintained the website, </w:t>
      </w:r>
      <w:r w:rsidR="00E77810">
        <w:t xml:space="preserve">the name </w:t>
      </w:r>
      <w:r w:rsidR="00885366">
        <w:t xml:space="preserve">“might </w:t>
      </w:r>
      <w:r w:rsidR="00E77810">
        <w:t>be so similar to another Web site name or trademark that the multiple usage would create confusion.</w:t>
      </w:r>
      <w:r w:rsidR="00274DCB">
        <w:t>”  (</w:t>
      </w:r>
      <w:r w:rsidR="00A62045">
        <w:rPr>
          <w:i/>
          <w:iCs/>
        </w:rPr>
        <w:t>Id.</w:t>
      </w:r>
      <w:r w:rsidR="00A62045">
        <w:t xml:space="preserve"> </w:t>
      </w:r>
      <w:r w:rsidR="00274DCB">
        <w:t>at p</w:t>
      </w:r>
      <w:r w:rsidR="00352D5F">
        <w:t>p</w:t>
      </w:r>
      <w:r w:rsidR="00274DCB">
        <w:t>. </w:t>
      </w:r>
      <w:r w:rsidR="00352D5F">
        <w:t>1287, 1312.</w:t>
      </w:r>
      <w:r w:rsidR="003B4F0E">
        <w:t>)</w:t>
      </w:r>
    </w:p>
    <w:p w:rsidR="007C2BE6" w:rsidRPr="00A62045" w:rsidP="0034604B" w14:paraId="04E6B1D8" w14:textId="281E4683">
      <w:pPr>
        <w:tabs>
          <w:tab w:val="clear" w:pos="720"/>
        </w:tabs>
        <w:spacing w:line="360" w:lineRule="auto"/>
        <w:ind w:left="-720" w:right="-720" w:firstLine="720"/>
        <w:rPr>
          <w:color w:val="212121"/>
          <w:shd w:val="clear" w:color="auto" w:fill="FFFFFF"/>
        </w:rPr>
      </w:pPr>
      <w:r>
        <w:rPr>
          <w:i/>
          <w:iCs/>
        </w:rPr>
        <w:t>In re Harris</w:t>
      </w:r>
      <w:r w:rsidR="00431D86">
        <w:t xml:space="preserve">, </w:t>
      </w:r>
      <w:r w:rsidRPr="00F6128D" w:rsidR="00431D86">
        <w:rPr>
          <w:i/>
          <w:iCs/>
        </w:rPr>
        <w:t>supra</w:t>
      </w:r>
      <w:r w:rsidR="00F6128D">
        <w:t xml:space="preserve">, </w:t>
      </w:r>
      <w:r w:rsidRPr="00F6128D" w:rsidR="00431D86">
        <w:t>94</w:t>
      </w:r>
      <w:r w:rsidRPr="00431D86" w:rsidR="00431D86">
        <w:t xml:space="preserve"> Cal.App.</w:t>
      </w:r>
      <w:r w:rsidR="00431D86">
        <w:t>5</w:t>
      </w:r>
      <w:r w:rsidR="005E339C">
        <w:t xml:space="preserve">th </w:t>
      </w:r>
      <w:r w:rsidR="00352D5F">
        <w:t>6</w:t>
      </w:r>
      <w:r w:rsidR="005E339C">
        <w:t xml:space="preserve">08 </w:t>
      </w:r>
      <w:r>
        <w:t xml:space="preserve">involved </w:t>
      </w:r>
      <w:r w:rsidR="0034604B">
        <w:t xml:space="preserve">Andre Pierre Harris’s petition to change his name </w:t>
      </w:r>
      <w:r w:rsidRPr="004F698C" w:rsidR="0034604B">
        <w:t xml:space="preserve">to </w:t>
      </w:r>
      <w:r w:rsidR="004F698C">
        <w:t>“</w:t>
      </w:r>
      <w:r w:rsidRPr="004F698C" w:rsidR="004F698C">
        <w:rPr>
          <w:color w:val="212121"/>
          <w:shd w:val="clear" w:color="auto" w:fill="FFFFFF"/>
        </w:rPr>
        <w:t>:Minko: Yona-Gvinge: El-Bey®.</w:t>
      </w:r>
      <w:r w:rsidR="004F698C">
        <w:rPr>
          <w:color w:val="212121"/>
          <w:shd w:val="clear" w:color="auto" w:fill="FFFFFF"/>
        </w:rPr>
        <w:t>”</w:t>
      </w:r>
      <w:r w:rsidR="000A7025">
        <w:rPr>
          <w:color w:val="212121"/>
          <w:shd w:val="clear" w:color="auto" w:fill="FFFFFF"/>
        </w:rPr>
        <w:t xml:space="preserve">  The trial court denied the petition because Harris had outstanding warrants, a denial the Court of Appeal affirmed. </w:t>
      </w:r>
      <w:r w:rsidR="00A62045">
        <w:rPr>
          <w:color w:val="212121"/>
          <w:shd w:val="clear" w:color="auto" w:fill="FFFFFF"/>
        </w:rPr>
        <w:t xml:space="preserve"> (</w:t>
      </w:r>
      <w:r w:rsidR="00A62045">
        <w:rPr>
          <w:i/>
          <w:iCs/>
          <w:color w:val="212121"/>
          <w:shd w:val="clear" w:color="auto" w:fill="FFFFFF"/>
        </w:rPr>
        <w:t>Id.</w:t>
      </w:r>
      <w:r w:rsidR="00A62045">
        <w:rPr>
          <w:color w:val="212121"/>
          <w:shd w:val="clear" w:color="auto" w:fill="FFFFFF"/>
        </w:rPr>
        <w:t xml:space="preserve"> at pp. 610, 611, 613.)  </w:t>
      </w:r>
    </w:p>
    <w:p w:rsidR="000A113B" w:rsidP="000A113B" w14:paraId="13A395D7" w14:textId="76EC90A9">
      <w:pPr>
        <w:tabs>
          <w:tab w:val="clear" w:pos="720"/>
        </w:tabs>
        <w:spacing w:line="360" w:lineRule="auto"/>
        <w:ind w:left="-720" w:right="-720" w:firstLine="720"/>
      </w:pPr>
      <w:r w:rsidRPr="00A60DC2">
        <w:t>Confusion</w:t>
      </w:r>
      <w:r>
        <w:t xml:space="preserve">.  Confusion.  Confusion.  </w:t>
      </w:r>
      <w:r w:rsidR="009744D2">
        <w:t xml:space="preserve">Confusion.  </w:t>
      </w:r>
      <w:r>
        <w:t xml:space="preserve">There is no confusion here. </w:t>
      </w:r>
    </w:p>
    <w:p w:rsidR="00301C42" w:rsidRPr="00F75A71" w:rsidP="00301C42" w14:paraId="7B53F06A" w14:textId="5A65760E">
      <w:pPr>
        <w:widowControl w:val="0"/>
        <w:spacing w:line="360" w:lineRule="auto"/>
        <w:ind w:left="-720" w:right="-720" w:firstLine="720"/>
        <w:contextualSpacing/>
      </w:pPr>
      <w:r>
        <w:t>As noted above, we review the trial court’s decision for abuse of discretion</w:t>
      </w:r>
      <w:r w:rsidR="00BF1625">
        <w:t xml:space="preserve">.  As to what that entails, we addressed the </w:t>
      </w:r>
      <w:r w:rsidR="008D23D3">
        <w:t xml:space="preserve">subject </w:t>
      </w:r>
      <w:r w:rsidRPr="00F75A71">
        <w:t xml:space="preserve">at some length in </w:t>
      </w:r>
      <w:r w:rsidRPr="00F75A71">
        <w:rPr>
          <w:i/>
          <w:iCs/>
        </w:rPr>
        <w:t>People v. Jacobs</w:t>
      </w:r>
      <w:r w:rsidRPr="00F75A71">
        <w:t xml:space="preserve"> (2007) 156</w:t>
      </w:r>
      <w:r>
        <w:t> </w:t>
      </w:r>
      <w:r w:rsidRPr="00F75A71">
        <w:t>Cal.App.4th 728</w:t>
      </w:r>
      <w:r w:rsidR="004D2458">
        <w:t xml:space="preserve">, </w:t>
      </w:r>
      <w:r w:rsidR="00202778">
        <w:t xml:space="preserve">noting among other things </w:t>
      </w:r>
      <w:r w:rsidR="009326F3">
        <w:t>that</w:t>
      </w:r>
      <w:r w:rsidRPr="00F75A71">
        <w:t xml:space="preserve"> “ ‘</w:t>
      </w:r>
      <w:r w:rsidR="00AD23B5">
        <w:t xml:space="preserve"> “ ‘</w:t>
      </w:r>
      <w:r w:rsidRPr="00F75A71">
        <w:t xml:space="preserve">The discretion of a trial judge is not a whimsical, uncontrolled power, but a legal discretion, which is subject to the limitations of legal principles governing the subject of its action, </w:t>
      </w:r>
      <w:r w:rsidR="00ED2B87">
        <w:t>. . .</w:t>
      </w:r>
      <w:r w:rsidR="00AD23B5">
        <w:t>’ ”</w:t>
      </w:r>
      <w:r w:rsidR="004852B6">
        <w:t xml:space="preserve">  </w:t>
      </w:r>
      <w:r w:rsidRPr="00F75A71">
        <w:t xml:space="preserve">The scope of discretion always resides in the particular law being applied, i.e., in the </w:t>
      </w:r>
      <w:r w:rsidR="00AD23B5">
        <w:t>“</w:t>
      </w:r>
      <w:r w:rsidRPr="00F75A71">
        <w:t>legal principles governing the subject of [the] action</w:t>
      </w:r>
      <w:r>
        <w:t> </w:t>
      </w:r>
      <w:r w:rsidRPr="00F75A71">
        <w:t>. . . .</w:t>
      </w:r>
      <w:r w:rsidR="00AD23B5">
        <w:t>”</w:t>
      </w:r>
      <w:r w:rsidRPr="00F75A71">
        <w:t xml:space="preserve"> </w:t>
      </w:r>
      <w:r>
        <w:t xml:space="preserve"> </w:t>
      </w:r>
      <w:r w:rsidRPr="00F75A71">
        <w:t>Action that transgresses the confines of the applicable principles of law is outside the scope of discretion and we call such action an “abuse” of discretion. [Citation.]</w:t>
      </w:r>
      <w:r w:rsidR="00AD23B5">
        <w:t>’</w:t>
      </w:r>
      <w:r>
        <w:t> </w:t>
      </w:r>
      <w:r w:rsidRPr="00F75A71">
        <w:t xml:space="preserve">. . .  [¶]  </w:t>
      </w:r>
      <w:r w:rsidR="001A2566">
        <w:t>[</w:t>
      </w:r>
      <w:r w:rsidRPr="00F75A71">
        <w:t>T</w:t>
      </w:r>
      <w:r w:rsidR="001A2566">
        <w:t>]</w:t>
      </w:r>
      <w:r w:rsidRPr="00F75A71">
        <w:t xml:space="preserve">he </w:t>
      </w:r>
      <w:r w:rsidR="00AD23B5">
        <w:t>‘</w:t>
      </w:r>
      <w:r w:rsidRPr="00F75A71">
        <w:t>legal principles that govern the subject of discretionary action vary greatly with context. [Citation.]  They are derived from the common law or statutes under which discretion is conferred.’  [Citation.]”  (</w:t>
      </w:r>
      <w:r w:rsidRPr="00F75A71">
        <w:rPr>
          <w:i/>
          <w:iCs/>
        </w:rPr>
        <w:t>People v. Jacobs</w:t>
      </w:r>
      <w:r w:rsidRPr="00F75A71">
        <w:t xml:space="preserve">, </w:t>
      </w:r>
      <w:r w:rsidRPr="00F75A71">
        <w:rPr>
          <w:i/>
          <w:iCs/>
        </w:rPr>
        <w:t>supra</w:t>
      </w:r>
      <w:r w:rsidRPr="00F75A71">
        <w:t>, 156</w:t>
      </w:r>
      <w:r w:rsidR="001A2566">
        <w:t> </w:t>
      </w:r>
      <w:r w:rsidRPr="00F75A71">
        <w:t>Cal.App.4th at p. 737</w:t>
      </w:r>
      <w:r w:rsidR="00226C1F">
        <w:t xml:space="preserve">; </w:t>
      </w:r>
      <w:r w:rsidR="00E45FB1">
        <w:t>acco</w:t>
      </w:r>
      <w:r w:rsidR="00000B20">
        <w:t>rd</w:t>
      </w:r>
      <w:r w:rsidR="001213A0">
        <w:t>,</w:t>
      </w:r>
      <w:r w:rsidR="00000B20">
        <w:t xml:space="preserve"> </w:t>
      </w:r>
      <w:r w:rsidR="00226C1F">
        <w:rPr>
          <w:i/>
          <w:iCs/>
        </w:rPr>
        <w:t xml:space="preserve">People v. Williams </w:t>
      </w:r>
      <w:r w:rsidR="00226C1F">
        <w:t>(</w:t>
      </w:r>
      <w:r w:rsidR="0065499B">
        <w:t xml:space="preserve">2021) 63 Cal.App.5th 990, </w:t>
      </w:r>
      <w:r w:rsidR="001A2566">
        <w:t>1000</w:t>
      </w:r>
      <w:r w:rsidR="001A2566">
        <w:rPr>
          <w:rFonts w:ascii="Symbol" w:hAnsi="Symbol"/>
        </w:rPr>
        <w:sym w:font="Symbol" w:char="F02D"/>
      </w:r>
      <w:r w:rsidR="001A2566">
        <w:t>1001</w:t>
      </w:r>
      <w:r w:rsidRPr="00F75A71">
        <w:t xml:space="preserve">.)  </w:t>
      </w:r>
      <w:r w:rsidR="009850FA">
        <w:t xml:space="preserve">As </w:t>
      </w:r>
      <w:r w:rsidR="00000B20">
        <w:t>o</w:t>
      </w:r>
      <w:r w:rsidRPr="00F75A71" w:rsidR="00000B20">
        <w:t xml:space="preserve">ur Supreme Court </w:t>
      </w:r>
      <w:r w:rsidR="009850FA">
        <w:t xml:space="preserve">distilled </w:t>
      </w:r>
      <w:r w:rsidR="00000B20">
        <w:t xml:space="preserve">it </w:t>
      </w:r>
      <w:r w:rsidRPr="00F75A71" w:rsidR="00000B20">
        <w:t xml:space="preserve">in </w:t>
      </w:r>
      <w:r w:rsidRPr="00F75A71" w:rsidR="00000B20">
        <w:rPr>
          <w:i/>
          <w:iCs/>
        </w:rPr>
        <w:t>Sargon Enterprises, Inc. v. University of Southern California</w:t>
      </w:r>
      <w:r w:rsidRPr="00F75A71" w:rsidR="00000B20">
        <w:t xml:space="preserve"> (2012) 55 Cal.4th 747, 773</w:t>
      </w:r>
      <w:r w:rsidR="009850FA">
        <w:t>,</w:t>
      </w:r>
      <w:r w:rsidRPr="00F75A71" w:rsidR="00000B20">
        <w:t xml:space="preserve"> “the court</w:t>
      </w:r>
      <w:r w:rsidR="00000B20">
        <w:t>’</w:t>
      </w:r>
      <w:r w:rsidRPr="00F75A71" w:rsidR="00000B20">
        <w:t xml:space="preserve">s discretion is not unlimited,” </w:t>
      </w:r>
      <w:r w:rsidR="00000B20">
        <w:t>but rather “</w:t>
      </w:r>
      <w:r w:rsidRPr="00F75A71" w:rsidR="00000B20">
        <w:t xml:space="preserve">must be exercised within the confines of the applicable legal principles.”  </w:t>
      </w:r>
    </w:p>
    <w:p w:rsidR="00F9225A" w:rsidP="00F9225A" w14:paraId="53FB8462" w14:textId="16B5FEB7">
      <w:pPr>
        <w:tabs>
          <w:tab w:val="clear" w:pos="720"/>
        </w:tabs>
        <w:spacing w:line="360" w:lineRule="auto"/>
        <w:ind w:left="-720" w:right="-720" w:firstLine="720"/>
      </w:pPr>
      <w:r>
        <w:t>As shown above, that law provides that “public policy favors granting a name change</w:t>
      </w:r>
      <w:r w:rsidR="003B440E">
        <w:t>”</w:t>
      </w:r>
      <w:r w:rsidR="00E449BC">
        <w:t xml:space="preserve"> and courts </w:t>
      </w:r>
      <w:r>
        <w:t>should “encourage</w:t>
      </w:r>
      <w:r w:rsidR="00E449BC">
        <w:t xml:space="preserve"> </w:t>
      </w:r>
      <w:r>
        <w:t>rather than discourage”</w:t>
      </w:r>
      <w:r w:rsidR="00CB11DE">
        <w:t xml:space="preserve"> </w:t>
      </w:r>
      <w:r w:rsidR="009F71E5">
        <w:t>it</w:t>
      </w:r>
      <w:r w:rsidR="00CB11DE">
        <w:t>.  The trial court did not even mention these</w:t>
      </w:r>
      <w:r w:rsidR="00B5636B">
        <w:t>, or other governing principles, and essentially turned the law on its head.  Moreover,</w:t>
      </w:r>
      <w:r>
        <w:t xml:space="preserve"> there must be “substantial and principled reasons” for denying a name change.  </w:t>
      </w:r>
      <w:r w:rsidR="00B5636B">
        <w:t xml:space="preserve">No such reason is </w:t>
      </w:r>
      <w:r w:rsidR="002F7AE6">
        <w:t xml:space="preserve">present here. </w:t>
      </w:r>
    </w:p>
    <w:p w:rsidR="0074141E" w:rsidP="00797EDB" w14:paraId="09223B06" w14:textId="3CBF5D5C">
      <w:pPr>
        <w:tabs>
          <w:tab w:val="clear" w:pos="720"/>
        </w:tabs>
        <w:spacing w:line="360" w:lineRule="auto"/>
        <w:ind w:left="-720" w:right="-720"/>
        <w:jc w:val="center"/>
      </w:pPr>
      <w:r>
        <w:rPr>
          <w:b/>
          <w:bCs/>
        </w:rPr>
        <w:t>DISPOSITION</w:t>
      </w:r>
    </w:p>
    <w:p w:rsidR="00AD23B5" w:rsidP="0074141E" w14:paraId="438067CA" w14:textId="546C8F05">
      <w:pPr>
        <w:tabs>
          <w:tab w:val="clear" w:pos="720"/>
        </w:tabs>
        <w:spacing w:line="360" w:lineRule="auto"/>
        <w:ind w:left="-720" w:right="-720" w:firstLine="720"/>
      </w:pPr>
      <w:r>
        <w:t xml:space="preserve">The order denying the petition to change name is reversed, and the matter is remanded to the trial court to enter a new order granting the petition. </w:t>
      </w:r>
    </w:p>
    <w:p w:rsidR="00AD23B5" w14:paraId="63B7A335" w14:textId="77777777">
      <w:pPr>
        <w:tabs>
          <w:tab w:val="clear" w:pos="720"/>
        </w:tabs>
        <w:spacing w:line="360" w:lineRule="auto"/>
      </w:pPr>
      <w:r>
        <w:br w:type="page"/>
      </w:r>
    </w:p>
    <w:p w:rsidR="001A70DE" w:rsidRPr="00A57F80" w:rsidP="001A70DE" w14:paraId="45C4F31F" w14:textId="774264E1">
      <w:pPr>
        <w:spacing w:line="240" w:lineRule="auto"/>
        <w:ind w:right="90"/>
      </w:pP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t>_________________________</w:t>
      </w:r>
    </w:p>
    <w:p w:rsidR="001A70DE" w:rsidRPr="00A57F80" w:rsidP="001A70DE" w14:paraId="2FAFBB9D" w14:textId="77777777">
      <w:pPr>
        <w:spacing w:line="240" w:lineRule="auto"/>
        <w:ind w:right="90"/>
      </w:pPr>
      <w:r w:rsidRPr="00A57F80">
        <w:tab/>
      </w:r>
      <w:r w:rsidRPr="00A57F80">
        <w:tab/>
      </w:r>
      <w:r w:rsidRPr="00A57F80">
        <w:tab/>
      </w:r>
      <w:r w:rsidRPr="00A57F80">
        <w:tab/>
      </w:r>
      <w:r w:rsidRPr="00A57F80">
        <w:tab/>
      </w:r>
      <w:r w:rsidRPr="00A57F80">
        <w:tab/>
        <w:t>Richman, J.</w:t>
      </w:r>
    </w:p>
    <w:p w:rsidR="001A70DE" w:rsidRPr="00A57F80" w:rsidP="001A70DE" w14:paraId="03BD373A" w14:textId="77777777">
      <w:pPr>
        <w:spacing w:line="240" w:lineRule="auto"/>
        <w:ind w:right="90"/>
      </w:pPr>
    </w:p>
    <w:p w:rsidR="001A70DE" w:rsidRPr="00A57F80" w:rsidP="001A70DE" w14:paraId="0CFC6099" w14:textId="77777777">
      <w:pPr>
        <w:spacing w:line="240" w:lineRule="auto"/>
        <w:ind w:right="90"/>
      </w:pPr>
    </w:p>
    <w:p w:rsidR="001A70DE" w:rsidRPr="00A57F80" w:rsidP="001A70DE" w14:paraId="49128DB8" w14:textId="77777777">
      <w:pPr>
        <w:spacing w:line="240" w:lineRule="auto"/>
        <w:ind w:right="90"/>
      </w:pPr>
      <w:r w:rsidRPr="00A57F80">
        <w:t>We concur:</w:t>
      </w:r>
    </w:p>
    <w:p w:rsidR="001A70DE" w:rsidP="001A70DE" w14:paraId="67D3B843" w14:textId="77777777">
      <w:pPr>
        <w:spacing w:line="240" w:lineRule="auto"/>
        <w:ind w:right="90"/>
      </w:pPr>
    </w:p>
    <w:p w:rsidR="00F71F2A" w:rsidRPr="00A57F80" w:rsidP="001A70DE" w14:paraId="48438380" w14:textId="77777777">
      <w:pPr>
        <w:spacing w:line="240" w:lineRule="auto"/>
        <w:ind w:right="90"/>
      </w:pPr>
    </w:p>
    <w:p w:rsidR="001A70DE" w:rsidP="001A70DE" w14:paraId="4050DC2C" w14:textId="77777777">
      <w:pPr>
        <w:spacing w:line="240" w:lineRule="auto"/>
        <w:ind w:right="90"/>
      </w:pPr>
      <w:r>
        <w:t>_________________________</w:t>
      </w:r>
    </w:p>
    <w:p w:rsidR="001A70DE" w:rsidP="001A70DE" w14:paraId="791B6B28" w14:textId="34EABE7D">
      <w:pPr>
        <w:spacing w:line="240" w:lineRule="auto"/>
        <w:ind w:right="90"/>
      </w:pPr>
      <w:r>
        <w:t>Stewart, P.</w:t>
      </w:r>
      <w:r w:rsidR="004A792C">
        <w:t xml:space="preserve"> </w:t>
      </w:r>
      <w:r>
        <w:t>J.</w:t>
      </w:r>
    </w:p>
    <w:p w:rsidR="001A70DE" w:rsidP="001A70DE" w14:paraId="2BEAE24E" w14:textId="77777777">
      <w:pPr>
        <w:spacing w:line="240" w:lineRule="auto"/>
        <w:ind w:right="90"/>
      </w:pPr>
    </w:p>
    <w:p w:rsidR="00F71F2A" w:rsidRPr="00A57F80" w:rsidP="001A70DE" w14:paraId="689B7A2C" w14:textId="77777777">
      <w:pPr>
        <w:spacing w:line="240" w:lineRule="auto"/>
        <w:ind w:right="90"/>
      </w:pPr>
    </w:p>
    <w:p w:rsidR="001A70DE" w:rsidRPr="00A57F80" w:rsidP="001A70DE" w14:paraId="6CF89F14" w14:textId="77777777">
      <w:pPr>
        <w:spacing w:line="240" w:lineRule="auto"/>
        <w:ind w:right="90"/>
      </w:pPr>
      <w:r w:rsidRPr="00A57F80">
        <w:t>_________________________</w:t>
      </w:r>
    </w:p>
    <w:p w:rsidR="001A70DE" w:rsidRPr="00A57F80" w:rsidP="001A70DE" w14:paraId="18FBACD1" w14:textId="77777777">
      <w:pPr>
        <w:spacing w:line="240" w:lineRule="auto"/>
        <w:ind w:right="90"/>
      </w:pPr>
      <w:r w:rsidRPr="00A57F80">
        <w:t>Miller, J.</w:t>
      </w:r>
    </w:p>
    <w:p w:rsidR="001A70DE" w:rsidRPr="00A57F80" w:rsidP="001A70DE" w14:paraId="0A218CCB" w14:textId="77777777">
      <w:pPr>
        <w:spacing w:line="240" w:lineRule="auto"/>
        <w:ind w:right="90"/>
      </w:pPr>
    </w:p>
    <w:p w:rsidR="001A70DE" w:rsidRPr="00A57F80" w:rsidP="001A70DE" w14:paraId="44230A6F" w14:textId="77777777">
      <w:pPr>
        <w:spacing w:line="240" w:lineRule="auto"/>
        <w:ind w:right="90"/>
      </w:pPr>
    </w:p>
    <w:p w:rsidR="001A70DE" w:rsidRPr="00A57F80" w:rsidP="001A70DE" w14:paraId="0F541121" w14:textId="77777777">
      <w:pPr>
        <w:spacing w:line="240" w:lineRule="auto"/>
        <w:ind w:right="90"/>
      </w:pPr>
    </w:p>
    <w:p w:rsidR="001A70DE" w:rsidRPr="00A57F80" w:rsidP="001A70DE" w14:paraId="2721D96F" w14:textId="77777777">
      <w:pPr>
        <w:spacing w:line="240" w:lineRule="auto"/>
        <w:ind w:right="90"/>
      </w:pPr>
    </w:p>
    <w:p w:rsidR="001A70DE" w:rsidRPr="00A57F80" w:rsidP="001A70DE" w14:paraId="589F44E0" w14:textId="77777777">
      <w:pPr>
        <w:spacing w:line="240" w:lineRule="auto"/>
        <w:ind w:right="90"/>
      </w:pPr>
    </w:p>
    <w:p w:rsidR="001A70DE" w:rsidRPr="00A57F80" w:rsidP="001A70DE" w14:paraId="71221F23" w14:textId="77777777">
      <w:pPr>
        <w:spacing w:line="240" w:lineRule="auto"/>
        <w:ind w:right="90"/>
      </w:pPr>
    </w:p>
    <w:p w:rsidR="001A70DE" w:rsidRPr="00A57F80" w:rsidP="001A70DE" w14:paraId="451172C8" w14:textId="77777777">
      <w:pPr>
        <w:spacing w:line="240" w:lineRule="auto"/>
        <w:ind w:right="90"/>
      </w:pPr>
    </w:p>
    <w:p w:rsidR="001A70DE" w:rsidRPr="00A57F80" w:rsidP="001A70DE" w14:paraId="496D403E" w14:textId="77777777">
      <w:pPr>
        <w:spacing w:line="240" w:lineRule="auto"/>
        <w:ind w:right="90"/>
      </w:pPr>
    </w:p>
    <w:p w:rsidR="001A70DE" w:rsidRPr="00A57F80" w:rsidP="001A70DE" w14:paraId="7F465F57" w14:textId="77777777">
      <w:pPr>
        <w:spacing w:line="240" w:lineRule="auto"/>
        <w:ind w:right="90"/>
      </w:pPr>
    </w:p>
    <w:p w:rsidR="001A70DE" w:rsidRPr="00A57F80" w:rsidP="001A70DE" w14:paraId="49C47E1F" w14:textId="77777777">
      <w:pPr>
        <w:spacing w:line="240" w:lineRule="auto"/>
        <w:ind w:right="90"/>
      </w:pPr>
    </w:p>
    <w:p w:rsidR="001A70DE" w:rsidRPr="00A57F80" w:rsidP="001A70DE" w14:paraId="12274C4C" w14:textId="77777777">
      <w:pPr>
        <w:spacing w:line="240" w:lineRule="auto"/>
        <w:ind w:right="90"/>
      </w:pPr>
    </w:p>
    <w:p w:rsidR="001A70DE" w:rsidRPr="00A57F80" w:rsidP="001A70DE" w14:paraId="08A6BBB5" w14:textId="77777777">
      <w:pPr>
        <w:spacing w:line="240" w:lineRule="auto"/>
        <w:ind w:right="90"/>
      </w:pPr>
    </w:p>
    <w:p w:rsidR="001A70DE" w:rsidRPr="00A57F80" w:rsidP="001A70DE" w14:paraId="7F7BB5CA" w14:textId="77777777">
      <w:pPr>
        <w:spacing w:line="240" w:lineRule="auto"/>
        <w:ind w:right="90"/>
      </w:pPr>
    </w:p>
    <w:p w:rsidR="001A70DE" w:rsidRPr="00A57F80" w:rsidP="001A70DE" w14:paraId="47F9F893" w14:textId="77777777">
      <w:pPr>
        <w:spacing w:line="240" w:lineRule="auto"/>
        <w:ind w:right="90"/>
      </w:pPr>
    </w:p>
    <w:p w:rsidR="001A70DE" w:rsidRPr="00A57F80" w:rsidP="001A70DE" w14:paraId="5BC1F259" w14:textId="77777777">
      <w:pPr>
        <w:spacing w:line="240" w:lineRule="auto"/>
        <w:ind w:right="90"/>
      </w:pPr>
    </w:p>
    <w:p w:rsidR="001A70DE" w:rsidRPr="00A57F80" w:rsidP="001A70DE" w14:paraId="3A7B1D18" w14:textId="77777777">
      <w:pPr>
        <w:spacing w:line="240" w:lineRule="auto"/>
        <w:ind w:right="90"/>
      </w:pPr>
    </w:p>
    <w:p w:rsidR="001A70DE" w:rsidRPr="00A57F80" w:rsidP="001A70DE" w14:paraId="2017F69D" w14:textId="77777777">
      <w:pPr>
        <w:spacing w:line="240" w:lineRule="auto"/>
        <w:ind w:right="90"/>
      </w:pPr>
    </w:p>
    <w:p w:rsidR="001A70DE" w:rsidRPr="00A57F80" w:rsidP="001A70DE" w14:paraId="525CB728" w14:textId="77777777">
      <w:pPr>
        <w:spacing w:line="240" w:lineRule="auto"/>
        <w:ind w:right="90"/>
      </w:pPr>
    </w:p>
    <w:p w:rsidR="001A70DE" w:rsidRPr="00A57F80" w:rsidP="001A70DE" w14:paraId="49EB565E" w14:textId="77777777">
      <w:pPr>
        <w:spacing w:line="240" w:lineRule="auto"/>
        <w:ind w:right="90"/>
      </w:pPr>
    </w:p>
    <w:p w:rsidR="001A70DE" w:rsidRPr="00A57F80" w:rsidP="001A70DE" w14:paraId="645D3002" w14:textId="77777777">
      <w:pPr>
        <w:spacing w:line="240" w:lineRule="auto"/>
        <w:ind w:right="90"/>
      </w:pPr>
    </w:p>
    <w:p w:rsidR="001A70DE" w:rsidRPr="00A57F80" w:rsidP="001A70DE" w14:paraId="6607B117" w14:textId="77777777">
      <w:pPr>
        <w:spacing w:line="240" w:lineRule="auto"/>
        <w:ind w:right="90"/>
      </w:pPr>
    </w:p>
    <w:p w:rsidR="001A70DE" w:rsidRPr="00A57F80" w:rsidP="001A70DE" w14:paraId="50219C91" w14:textId="77777777">
      <w:pPr>
        <w:spacing w:line="240" w:lineRule="auto"/>
        <w:ind w:right="90"/>
      </w:pPr>
    </w:p>
    <w:p w:rsidR="001A70DE" w:rsidRPr="00A57F80" w:rsidP="001A70DE" w14:paraId="34803F04" w14:textId="77777777">
      <w:pPr>
        <w:spacing w:line="240" w:lineRule="auto"/>
        <w:ind w:right="90"/>
      </w:pPr>
    </w:p>
    <w:p w:rsidR="001A70DE" w:rsidRPr="00A57F80" w:rsidP="001A70DE" w14:paraId="36FE5C36" w14:textId="415A95C5">
      <w:pPr>
        <w:spacing w:line="240" w:lineRule="auto"/>
        <w:ind w:right="90"/>
      </w:pPr>
      <w:r>
        <w:rPr>
          <w:i/>
          <w:lang w:val="it-IT"/>
        </w:rPr>
        <w:t xml:space="preserve">Wood v. San Francisco County Superior Court </w:t>
      </w:r>
      <w:r w:rsidRPr="00A57F80">
        <w:rPr>
          <w:lang w:val="it-IT"/>
        </w:rPr>
        <w:t>(</w:t>
      </w:r>
      <w:r w:rsidRPr="00A57F80">
        <w:t>A</w:t>
      </w:r>
      <w:r>
        <w:t>168463</w:t>
      </w:r>
      <w:r w:rsidRPr="00A57F80">
        <w:rPr>
          <w:lang w:val="it-IT"/>
        </w:rPr>
        <w:t>)</w:t>
      </w:r>
      <w:r w:rsidRPr="00A57F80">
        <w:t xml:space="preserve"> </w:t>
      </w:r>
    </w:p>
    <w:p w:rsidR="001A70DE" w:rsidRPr="00A57F80" w:rsidP="001A70DE" w14:paraId="572462B3" w14:textId="77777777">
      <w:pPr>
        <w:tabs>
          <w:tab w:val="clear" w:pos="720"/>
        </w:tabs>
        <w:spacing w:line="360" w:lineRule="auto"/>
        <w:ind w:right="90"/>
      </w:pPr>
      <w:r w:rsidRPr="00A57F80">
        <w:br w:type="page"/>
      </w:r>
    </w:p>
    <w:tbl>
      <w:tblPr>
        <w:tblpPr w:leftFromText="180" w:rightFromText="180" w:vertAnchor="text" w:horzAnchor="margin" w:tblpY="9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3987"/>
        <w:gridCol w:w="3933"/>
      </w:tblGrid>
      <w:tr w14:paraId="17B9920D" w14:textId="77777777" w:rsidTr="00B911C0">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4788" w:type="dxa"/>
            <w:tcBorders>
              <w:top w:val="nil"/>
              <w:left w:val="nil"/>
              <w:bottom w:val="nil"/>
              <w:right w:val="nil"/>
            </w:tcBorders>
            <w:hideMark/>
          </w:tcPr>
          <w:p w:rsidR="001A70DE" w:rsidRPr="00A57F80" w:rsidP="00B911C0" w14:paraId="29EB5A20" w14:textId="77777777">
            <w:pPr>
              <w:tabs>
                <w:tab w:val="left" w:pos="720"/>
              </w:tabs>
              <w:spacing w:line="240" w:lineRule="auto"/>
              <w:ind w:right="90"/>
              <w:rPr>
                <w:rStyle w:val="DefaultParagraphFont"/>
                <w:rFonts w:ascii="Century Schoolbook" w:hAnsi="Century Schoolbook" w:eastAsiaTheme="minorHAnsi" w:cstheme="minorBidi"/>
                <w:kern w:val="2"/>
                <w:sz w:val="26"/>
                <w:szCs w:val="26"/>
                <w:lang w:val="en-US" w:eastAsia="en-US" w:bidi="ar-SA"/>
                <w14:ligatures w14:val="standardContextual"/>
              </w:rPr>
            </w:pPr>
            <w:r w:rsidRPr="00A57F80">
              <w:rPr>
                <w:rFonts w:ascii="Century Schoolbook" w:hAnsi="Century Schoolbook" w:eastAsiaTheme="minorHAnsi" w:cstheme="minorBidi"/>
                <w:kern w:val="2"/>
                <w:sz w:val="26"/>
                <w:szCs w:val="26"/>
                <w:lang w:val="en-US" w:eastAsia="en-US" w:bidi="ar-SA"/>
                <w14:ligatures w14:val="standardContextual"/>
              </w:rPr>
              <w:t>Trial Court:</w:t>
            </w:r>
          </w:p>
        </w:tc>
        <w:tc>
          <w:tcPr>
            <w:tcW w:w="4788" w:type="dxa"/>
            <w:tcBorders>
              <w:top w:val="nil"/>
              <w:left w:val="nil"/>
              <w:bottom w:val="nil"/>
              <w:right w:val="nil"/>
            </w:tcBorders>
          </w:tcPr>
          <w:p w:rsidR="001A70DE" w:rsidRPr="00A57F80" w:rsidP="00B911C0" w14:paraId="44ED4315" w14:textId="77777777">
            <w:pPr>
              <w:tabs>
                <w:tab w:val="left" w:pos="720"/>
              </w:tabs>
              <w:spacing w:line="240" w:lineRule="auto"/>
              <w:ind w:right="90"/>
              <w:rPr>
                <w:rStyle w:val="DefaultParagraphFont"/>
                <w:rFonts w:ascii="Century Schoolbook" w:hAnsi="Century Schoolbook" w:eastAsiaTheme="minorHAnsi" w:cstheme="minorBidi"/>
                <w:kern w:val="2"/>
                <w:sz w:val="26"/>
                <w:szCs w:val="26"/>
                <w:lang w:val="en-US" w:eastAsia="en-US" w:bidi="ar-SA"/>
                <w14:ligatures w14:val="standardContextual"/>
              </w:rPr>
            </w:pPr>
            <w:r w:rsidRPr="00A57F80">
              <w:rPr>
                <w:rFonts w:ascii="Century Schoolbook" w:hAnsi="Century Schoolbook" w:eastAsiaTheme="minorHAnsi" w:cstheme="minorBidi"/>
                <w:kern w:val="2"/>
                <w:sz w:val="26"/>
                <w:szCs w:val="26"/>
                <w:lang w:val="en-US" w:eastAsia="en-US" w:bidi="ar-SA"/>
                <w14:ligatures w14:val="standardContextual"/>
              </w:rPr>
              <w:t>San Francisco County Superior Court;</w:t>
            </w:r>
          </w:p>
          <w:p w:rsidR="001A70DE" w:rsidRPr="00A57F80" w:rsidP="00B911C0" w14:paraId="5D336514" w14:textId="77777777">
            <w:pPr>
              <w:tabs>
                <w:tab w:val="left" w:pos="720"/>
              </w:tabs>
              <w:spacing w:line="240" w:lineRule="auto"/>
              <w:ind w:right="90"/>
              <w:rPr>
                <w:rStyle w:val="DefaultParagraphFont"/>
                <w:rFonts w:ascii="Century Schoolbook" w:hAnsi="Century Schoolbook" w:eastAsiaTheme="minorHAnsi" w:cstheme="minorBidi"/>
                <w:kern w:val="2"/>
                <w:sz w:val="26"/>
                <w:szCs w:val="26"/>
                <w:lang w:val="en-US" w:eastAsia="en-US" w:bidi="ar-SA"/>
                <w14:ligatures w14:val="standardContextual"/>
              </w:rPr>
            </w:pPr>
          </w:p>
        </w:tc>
      </w:tr>
      <w:tr w14:paraId="3CD818DB" w14:textId="77777777" w:rsidTr="00B911C0">
        <w:tblPrEx>
          <w:tblW w:w="0" w:type="auto"/>
          <w:tblInd w:w="0" w:type="dxa"/>
          <w:tblCellMar>
            <w:top w:w="0" w:type="dxa"/>
            <w:left w:w="108" w:type="dxa"/>
            <w:bottom w:w="0" w:type="dxa"/>
            <w:right w:w="108" w:type="dxa"/>
          </w:tblCellMar>
          <w:tblLook w:val="04A0"/>
        </w:tblPrEx>
        <w:tc>
          <w:tcPr>
            <w:tcW w:w="4788" w:type="dxa"/>
            <w:tcBorders>
              <w:top w:val="nil"/>
              <w:left w:val="nil"/>
              <w:bottom w:val="nil"/>
              <w:right w:val="nil"/>
            </w:tcBorders>
            <w:hideMark/>
          </w:tcPr>
          <w:p w:rsidR="001A70DE" w:rsidRPr="00A57F80" w:rsidP="00B911C0" w14:paraId="4524B1C6" w14:textId="77777777">
            <w:pPr>
              <w:tabs>
                <w:tab w:val="left" w:pos="720"/>
              </w:tabs>
              <w:spacing w:line="240" w:lineRule="auto"/>
              <w:ind w:right="90"/>
              <w:rPr>
                <w:rStyle w:val="DefaultParagraphFont"/>
                <w:rFonts w:ascii="Century Schoolbook" w:hAnsi="Century Schoolbook" w:eastAsiaTheme="minorHAnsi" w:cstheme="minorBidi"/>
                <w:kern w:val="2"/>
                <w:sz w:val="26"/>
                <w:szCs w:val="26"/>
                <w:lang w:val="en-US" w:eastAsia="en-US" w:bidi="ar-SA"/>
                <w14:ligatures w14:val="standardContextual"/>
              </w:rPr>
            </w:pPr>
            <w:r w:rsidRPr="00A57F80">
              <w:rPr>
                <w:rFonts w:ascii="Century Schoolbook" w:hAnsi="Century Schoolbook" w:eastAsiaTheme="minorHAnsi" w:cstheme="minorBidi"/>
                <w:kern w:val="2"/>
                <w:sz w:val="26"/>
                <w:szCs w:val="26"/>
                <w:lang w:val="en-US" w:eastAsia="en-US" w:bidi="ar-SA"/>
                <w14:ligatures w14:val="standardContextual"/>
              </w:rPr>
              <w:t>Trial Judge:</w:t>
            </w:r>
          </w:p>
        </w:tc>
        <w:tc>
          <w:tcPr>
            <w:tcW w:w="4788" w:type="dxa"/>
            <w:tcBorders>
              <w:top w:val="nil"/>
              <w:left w:val="nil"/>
              <w:bottom w:val="nil"/>
              <w:right w:val="nil"/>
            </w:tcBorders>
          </w:tcPr>
          <w:p w:rsidR="001A70DE" w:rsidRPr="00A57F80" w:rsidP="00B911C0" w14:paraId="2BC4C37C" w14:textId="5EEAC151">
            <w:pPr>
              <w:tabs>
                <w:tab w:val="left" w:pos="720"/>
              </w:tabs>
              <w:spacing w:line="240" w:lineRule="auto"/>
              <w:ind w:right="90"/>
              <w:rPr>
                <w:rStyle w:val="DefaultParagraphFont"/>
                <w:rFonts w:ascii="Century Schoolbook" w:hAnsi="Century Schoolbook" w:eastAsiaTheme="minorHAnsi" w:cstheme="minorBidi"/>
                <w:kern w:val="2"/>
                <w:sz w:val="26"/>
                <w:szCs w:val="26"/>
                <w:lang w:val="en-US" w:eastAsia="en-US" w:bidi="ar-SA"/>
                <w14:ligatures w14:val="standardContextual"/>
              </w:rPr>
            </w:pPr>
            <w:r w:rsidRPr="00A57F80">
              <w:rPr>
                <w:rFonts w:ascii="Century Schoolbook" w:hAnsi="Century Schoolbook" w:eastAsiaTheme="minorHAnsi" w:cstheme="minorBidi"/>
                <w:kern w:val="2"/>
                <w:sz w:val="26"/>
                <w:szCs w:val="26"/>
                <w:lang w:val="en-US" w:eastAsia="en-US" w:bidi="ar-SA"/>
                <w14:ligatures w14:val="standardContextual"/>
              </w:rPr>
              <w:t xml:space="preserve">Honorable </w:t>
            </w:r>
            <w:r>
              <w:rPr>
                <w:rFonts w:ascii="Century Schoolbook" w:hAnsi="Century Schoolbook" w:eastAsiaTheme="minorHAnsi" w:cstheme="minorBidi"/>
                <w:kern w:val="2"/>
                <w:sz w:val="26"/>
                <w:szCs w:val="26"/>
                <w:lang w:val="en-US" w:eastAsia="en-US" w:bidi="ar-SA"/>
                <w14:ligatures w14:val="standardContextual"/>
              </w:rPr>
              <w:t>Gail Dekreon</w:t>
            </w:r>
            <w:r w:rsidRPr="00A57F80">
              <w:rPr>
                <w:rFonts w:ascii="Century Schoolbook" w:hAnsi="Century Schoolbook" w:eastAsiaTheme="minorHAnsi" w:cstheme="minorBidi"/>
                <w:kern w:val="2"/>
                <w:sz w:val="26"/>
                <w:szCs w:val="26"/>
                <w:lang w:val="en-US" w:eastAsia="en-US" w:bidi="ar-SA"/>
                <w14:ligatures w14:val="standardContextual"/>
              </w:rPr>
              <w:t>;</w:t>
            </w:r>
          </w:p>
          <w:p w:rsidR="001A70DE" w:rsidRPr="00A57F80" w:rsidP="00B911C0" w14:paraId="368C3B9F" w14:textId="77777777">
            <w:pPr>
              <w:tabs>
                <w:tab w:val="left" w:pos="720"/>
              </w:tabs>
              <w:spacing w:line="240" w:lineRule="auto"/>
              <w:ind w:right="90"/>
              <w:rPr>
                <w:rStyle w:val="DefaultParagraphFont"/>
                <w:rFonts w:ascii="Century Schoolbook" w:hAnsi="Century Schoolbook" w:eastAsiaTheme="minorHAnsi" w:cstheme="minorBidi"/>
                <w:kern w:val="2"/>
                <w:sz w:val="26"/>
                <w:szCs w:val="26"/>
                <w:lang w:val="en-US" w:eastAsia="en-US" w:bidi="ar-SA"/>
                <w14:ligatures w14:val="standardContextual"/>
              </w:rPr>
            </w:pPr>
          </w:p>
        </w:tc>
      </w:tr>
      <w:tr w14:paraId="4D2835FF" w14:textId="77777777" w:rsidTr="00B911C0">
        <w:tblPrEx>
          <w:tblW w:w="0" w:type="auto"/>
          <w:tblInd w:w="0" w:type="dxa"/>
          <w:tblCellMar>
            <w:top w:w="0" w:type="dxa"/>
            <w:left w:w="108" w:type="dxa"/>
            <w:bottom w:w="0" w:type="dxa"/>
            <w:right w:w="108" w:type="dxa"/>
          </w:tblCellMar>
          <w:tblLook w:val="04A0"/>
        </w:tblPrEx>
        <w:tc>
          <w:tcPr>
            <w:tcW w:w="4788" w:type="dxa"/>
            <w:tcBorders>
              <w:top w:val="nil"/>
              <w:left w:val="nil"/>
              <w:bottom w:val="nil"/>
              <w:right w:val="nil"/>
            </w:tcBorders>
            <w:hideMark/>
          </w:tcPr>
          <w:p w:rsidR="001A70DE" w:rsidRPr="00A57F80" w:rsidP="00B911C0" w14:paraId="493E5815" w14:textId="28E72E97">
            <w:pPr>
              <w:tabs>
                <w:tab w:val="left" w:pos="720"/>
              </w:tabs>
              <w:spacing w:line="240" w:lineRule="auto"/>
              <w:ind w:right="90"/>
              <w:rPr>
                <w:rStyle w:val="DefaultParagraphFont"/>
                <w:rFonts w:ascii="Century Schoolbook" w:hAnsi="Century Schoolbook" w:eastAsiaTheme="minorHAnsi" w:cstheme="minorBidi"/>
                <w:kern w:val="2"/>
                <w:sz w:val="26"/>
                <w:szCs w:val="26"/>
                <w:lang w:val="en-US" w:eastAsia="en-US" w:bidi="ar-SA"/>
                <w14:ligatures w14:val="standardContextual"/>
              </w:rPr>
            </w:pPr>
            <w:r w:rsidRPr="00A57F80">
              <w:rPr>
                <w:rFonts w:ascii="Century Schoolbook" w:hAnsi="Century Schoolbook" w:eastAsiaTheme="minorHAnsi" w:cstheme="minorBidi"/>
                <w:kern w:val="2"/>
                <w:sz w:val="26"/>
                <w:szCs w:val="26"/>
                <w:lang w:val="en-US" w:eastAsia="en-US" w:bidi="ar-SA"/>
                <w14:ligatures w14:val="standardContextual"/>
              </w:rPr>
              <w:t>Attorney for P</w:t>
            </w:r>
            <w:r>
              <w:rPr>
                <w:rFonts w:ascii="Century Schoolbook" w:hAnsi="Century Schoolbook" w:eastAsiaTheme="minorHAnsi" w:cstheme="minorBidi"/>
                <w:kern w:val="2"/>
                <w:sz w:val="26"/>
                <w:szCs w:val="26"/>
                <w:lang w:val="en-US" w:eastAsia="en-US" w:bidi="ar-SA"/>
                <w14:ligatures w14:val="standardContextual"/>
              </w:rPr>
              <w:t xml:space="preserve">etitioner </w:t>
            </w:r>
            <w:r w:rsidRPr="00A57F80">
              <w:rPr>
                <w:rFonts w:ascii="Century Schoolbook" w:hAnsi="Century Schoolbook" w:eastAsiaTheme="minorHAnsi" w:cstheme="minorBidi"/>
                <w:kern w:val="2"/>
                <w:sz w:val="26"/>
                <w:szCs w:val="26"/>
                <w:lang w:val="en-US" w:eastAsia="en-US" w:bidi="ar-SA"/>
                <w14:ligatures w14:val="standardContextual"/>
              </w:rPr>
              <w:t xml:space="preserve">and Appellant, </w:t>
            </w:r>
            <w:r>
              <w:rPr>
                <w:rFonts w:ascii="Century Schoolbook" w:hAnsi="Century Schoolbook" w:eastAsiaTheme="minorHAnsi" w:cstheme="minorBidi"/>
                <w:kern w:val="2"/>
                <w:sz w:val="26"/>
                <w:szCs w:val="26"/>
                <w:lang w:val="en-US" w:eastAsia="en-US" w:bidi="ar-SA"/>
                <w14:ligatures w14:val="standardContextual"/>
              </w:rPr>
              <w:t>Samantha Wood</w:t>
            </w:r>
            <w:r w:rsidRPr="00A57F80">
              <w:rPr>
                <w:rFonts w:ascii="Century Schoolbook" w:hAnsi="Century Schoolbook" w:eastAsiaTheme="minorHAnsi" w:cstheme="minorBidi"/>
                <w:kern w:val="2"/>
                <w:sz w:val="26"/>
                <w:szCs w:val="26"/>
                <w:lang w:val="en-US" w:eastAsia="en-US" w:bidi="ar-SA"/>
                <w14:ligatures w14:val="standardContextual"/>
              </w:rPr>
              <w:t>:</w:t>
            </w:r>
          </w:p>
          <w:p w:rsidR="001A70DE" w:rsidRPr="00A57F80" w:rsidP="00B911C0" w14:paraId="77C60540" w14:textId="77777777">
            <w:pPr>
              <w:tabs>
                <w:tab w:val="left" w:pos="720"/>
              </w:tabs>
              <w:spacing w:line="240" w:lineRule="auto"/>
              <w:ind w:right="90"/>
              <w:rPr>
                <w:rStyle w:val="DefaultParagraphFont"/>
                <w:rFonts w:ascii="Century Schoolbook" w:hAnsi="Century Schoolbook" w:eastAsiaTheme="minorHAnsi" w:cstheme="minorBidi"/>
                <w:kern w:val="2"/>
                <w:sz w:val="26"/>
                <w:szCs w:val="26"/>
                <w:lang w:val="en-US" w:eastAsia="en-US" w:bidi="ar-SA"/>
                <w14:ligatures w14:val="standardContextual"/>
              </w:rPr>
            </w:pPr>
          </w:p>
        </w:tc>
        <w:tc>
          <w:tcPr>
            <w:tcW w:w="4788" w:type="dxa"/>
            <w:tcBorders>
              <w:top w:val="nil"/>
              <w:left w:val="nil"/>
              <w:bottom w:val="nil"/>
              <w:right w:val="nil"/>
            </w:tcBorders>
          </w:tcPr>
          <w:p w:rsidR="001A70DE" w:rsidRPr="00A57F80" w:rsidP="00B911C0" w14:paraId="02C47079" w14:textId="21601B2E">
            <w:pPr>
              <w:tabs>
                <w:tab w:val="left" w:pos="720"/>
              </w:tabs>
              <w:spacing w:line="240" w:lineRule="auto"/>
              <w:ind w:right="90"/>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Law Office of James Reilly, James Reilly</w:t>
            </w:r>
            <w:r w:rsidRPr="00A57F80">
              <w:rPr>
                <w:rFonts w:ascii="Century Schoolbook" w:hAnsi="Century Schoolbook" w:eastAsiaTheme="minorHAnsi" w:cstheme="minorBidi"/>
                <w:kern w:val="2"/>
                <w:sz w:val="26"/>
                <w:szCs w:val="26"/>
                <w:lang w:val="en-US" w:eastAsia="en-US" w:bidi="ar-SA"/>
                <w14:ligatures w14:val="standardContextual"/>
              </w:rPr>
              <w:t>;</w:t>
            </w:r>
          </w:p>
          <w:p w:rsidR="001A70DE" w:rsidRPr="00A57F80" w:rsidP="00B911C0" w14:paraId="451B8E20" w14:textId="77777777">
            <w:pPr>
              <w:tabs>
                <w:tab w:val="left" w:pos="720"/>
              </w:tabs>
              <w:spacing w:line="240" w:lineRule="auto"/>
              <w:ind w:right="90"/>
              <w:rPr>
                <w:rStyle w:val="DefaultParagraphFont"/>
                <w:rFonts w:ascii="Century Schoolbook" w:hAnsi="Century Schoolbook" w:eastAsiaTheme="minorHAnsi" w:cstheme="minorBidi"/>
                <w:kern w:val="2"/>
                <w:sz w:val="26"/>
                <w:szCs w:val="26"/>
                <w:lang w:val="en-US" w:eastAsia="en-US" w:bidi="ar-SA"/>
                <w14:ligatures w14:val="standardContextual"/>
              </w:rPr>
            </w:pPr>
          </w:p>
        </w:tc>
      </w:tr>
      <w:tr w14:paraId="652F7825" w14:textId="77777777" w:rsidTr="00B911C0">
        <w:tblPrEx>
          <w:tblW w:w="0" w:type="auto"/>
          <w:tblInd w:w="0" w:type="dxa"/>
          <w:tblCellMar>
            <w:top w:w="0" w:type="dxa"/>
            <w:left w:w="108" w:type="dxa"/>
            <w:bottom w:w="0" w:type="dxa"/>
            <w:right w:w="108" w:type="dxa"/>
          </w:tblCellMar>
          <w:tblLook w:val="04A0"/>
        </w:tblPrEx>
        <w:tc>
          <w:tcPr>
            <w:tcW w:w="4788" w:type="dxa"/>
            <w:tcBorders>
              <w:top w:val="nil"/>
              <w:left w:val="nil"/>
              <w:bottom w:val="nil"/>
              <w:right w:val="nil"/>
            </w:tcBorders>
            <w:hideMark/>
          </w:tcPr>
          <w:p w:rsidR="001A70DE" w:rsidRPr="00A57F80" w:rsidP="00B911C0" w14:paraId="1AAC5659" w14:textId="53A9B346">
            <w:pPr>
              <w:tabs>
                <w:tab w:val="left" w:pos="720"/>
              </w:tabs>
              <w:spacing w:line="240" w:lineRule="auto"/>
              <w:ind w:right="90"/>
              <w:rPr>
                <w:rStyle w:val="DefaultParagraphFont"/>
                <w:rFonts w:ascii="Century Schoolbook" w:hAnsi="Century Schoolbook" w:eastAsiaTheme="minorHAnsi" w:cstheme="minorBidi"/>
                <w:kern w:val="2"/>
                <w:sz w:val="26"/>
                <w:szCs w:val="26"/>
                <w:lang w:val="en-US" w:eastAsia="en-US" w:bidi="ar-SA"/>
                <w14:ligatures w14:val="standardContextual"/>
              </w:rPr>
            </w:pPr>
            <w:r w:rsidRPr="00A57F80">
              <w:rPr>
                <w:rFonts w:ascii="Century Schoolbook" w:hAnsi="Century Schoolbook" w:eastAsiaTheme="minorHAnsi" w:cstheme="minorBidi"/>
                <w:kern w:val="2"/>
                <w:sz w:val="26"/>
                <w:szCs w:val="26"/>
                <w:lang w:val="en-US" w:eastAsia="en-US" w:bidi="ar-SA"/>
                <w14:ligatures w14:val="standardContextual"/>
              </w:rPr>
              <w:t xml:space="preserve">Attorney for </w:t>
            </w:r>
            <w:r w:rsidR="00797EDB">
              <w:rPr>
                <w:rFonts w:ascii="Century Schoolbook" w:hAnsi="Century Schoolbook" w:eastAsiaTheme="minorHAnsi" w:cstheme="minorBidi"/>
                <w:kern w:val="2"/>
                <w:sz w:val="26"/>
                <w:szCs w:val="26"/>
                <w:lang w:val="en-US" w:eastAsia="en-US" w:bidi="ar-SA"/>
                <w14:ligatures w14:val="standardContextual"/>
              </w:rPr>
              <w:t xml:space="preserve">Defendant and </w:t>
            </w:r>
            <w:r w:rsidRPr="00A57F80">
              <w:rPr>
                <w:rFonts w:ascii="Century Schoolbook" w:hAnsi="Century Schoolbook" w:eastAsiaTheme="minorHAnsi" w:cstheme="minorBidi"/>
                <w:kern w:val="2"/>
                <w:sz w:val="26"/>
                <w:szCs w:val="26"/>
                <w:lang w:val="en-US" w:eastAsia="en-US" w:bidi="ar-SA"/>
                <w14:ligatures w14:val="standardContextual"/>
              </w:rPr>
              <w:t xml:space="preserve">Respondent, </w:t>
            </w:r>
            <w:r>
              <w:rPr>
                <w:rFonts w:ascii="Century Schoolbook" w:hAnsi="Century Schoolbook" w:eastAsiaTheme="minorHAnsi" w:cstheme="minorBidi"/>
                <w:kern w:val="2"/>
                <w:sz w:val="26"/>
                <w:szCs w:val="26"/>
                <w:lang w:val="en-US" w:eastAsia="en-US" w:bidi="ar-SA"/>
                <w14:ligatures w14:val="standardContextual"/>
              </w:rPr>
              <w:t>Superior Court of California, County of San Francisco:</w:t>
            </w:r>
          </w:p>
          <w:p w:rsidR="001A70DE" w:rsidRPr="00A57F80" w:rsidP="00B911C0" w14:paraId="60795E96" w14:textId="77777777">
            <w:pPr>
              <w:tabs>
                <w:tab w:val="left" w:pos="720"/>
              </w:tabs>
              <w:spacing w:line="240" w:lineRule="auto"/>
              <w:ind w:right="90"/>
              <w:rPr>
                <w:rStyle w:val="DefaultParagraphFont"/>
                <w:rFonts w:ascii="Century Schoolbook" w:hAnsi="Century Schoolbook" w:eastAsiaTheme="minorHAnsi" w:cstheme="minorBidi"/>
                <w:kern w:val="2"/>
                <w:sz w:val="26"/>
                <w:szCs w:val="26"/>
                <w:lang w:val="en-US" w:eastAsia="en-US" w:bidi="ar-SA"/>
                <w14:ligatures w14:val="standardContextual"/>
              </w:rPr>
            </w:pPr>
          </w:p>
          <w:p w:rsidR="001A70DE" w:rsidRPr="00A57F80" w:rsidP="00B911C0" w14:paraId="579BF7DE" w14:textId="55E4FB79">
            <w:pPr>
              <w:tabs>
                <w:tab w:val="left" w:pos="720"/>
              </w:tabs>
              <w:spacing w:line="240" w:lineRule="auto"/>
              <w:ind w:right="90"/>
              <w:rPr>
                <w:rStyle w:val="DefaultParagraphFont"/>
                <w:rFonts w:ascii="Century Schoolbook" w:hAnsi="Century Schoolbook" w:eastAsiaTheme="minorHAnsi" w:cstheme="minorBidi"/>
                <w:kern w:val="2"/>
                <w:sz w:val="26"/>
                <w:szCs w:val="26"/>
                <w:lang w:val="en-US" w:eastAsia="en-US" w:bidi="ar-SA"/>
                <w14:ligatures w14:val="standardContextual"/>
              </w:rPr>
            </w:pPr>
          </w:p>
        </w:tc>
        <w:tc>
          <w:tcPr>
            <w:tcW w:w="4788" w:type="dxa"/>
            <w:tcBorders>
              <w:top w:val="nil"/>
              <w:left w:val="nil"/>
              <w:bottom w:val="nil"/>
              <w:right w:val="nil"/>
            </w:tcBorders>
          </w:tcPr>
          <w:p w:rsidR="001A70DE" w:rsidRPr="00A57F80" w:rsidP="00B911C0" w14:paraId="62294B02" w14:textId="390B5DA8">
            <w:pPr>
              <w:tabs>
                <w:tab w:val="left" w:pos="720"/>
              </w:tabs>
              <w:spacing w:line="240" w:lineRule="auto"/>
              <w:ind w:right="90"/>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Superior Court of California, County of San Francisco, Stella Pantazis, Managing Attorney and General Counsel.</w:t>
            </w:r>
          </w:p>
        </w:tc>
      </w:tr>
      <w:tr w14:paraId="0BE431B9" w14:textId="77777777" w:rsidTr="00B911C0">
        <w:tblPrEx>
          <w:tblW w:w="0" w:type="auto"/>
          <w:tblInd w:w="0" w:type="dxa"/>
          <w:tblCellMar>
            <w:top w:w="0" w:type="dxa"/>
            <w:left w:w="108" w:type="dxa"/>
            <w:bottom w:w="0" w:type="dxa"/>
            <w:right w:w="108" w:type="dxa"/>
          </w:tblCellMar>
          <w:tblLook w:val="04A0"/>
        </w:tblPrEx>
        <w:tc>
          <w:tcPr>
            <w:tcW w:w="4788" w:type="dxa"/>
            <w:tcBorders>
              <w:top w:val="nil"/>
              <w:left w:val="nil"/>
              <w:bottom w:val="nil"/>
              <w:right w:val="nil"/>
            </w:tcBorders>
          </w:tcPr>
          <w:p w:rsidR="001A70DE" w:rsidRPr="00A57F80" w:rsidP="00B911C0" w14:paraId="69211D46" w14:textId="77777777">
            <w:pPr>
              <w:tabs>
                <w:tab w:val="left" w:pos="720"/>
              </w:tabs>
              <w:spacing w:line="240" w:lineRule="auto"/>
              <w:ind w:right="90"/>
              <w:rPr>
                <w:rStyle w:val="DefaultParagraphFont"/>
                <w:rFonts w:ascii="Century Schoolbook" w:hAnsi="Century Schoolbook" w:eastAsiaTheme="minorHAnsi" w:cstheme="minorBidi"/>
                <w:kern w:val="2"/>
                <w:sz w:val="26"/>
                <w:szCs w:val="26"/>
                <w:lang w:val="en-US" w:eastAsia="en-US" w:bidi="ar-SA"/>
                <w14:ligatures w14:val="standardContextual"/>
              </w:rPr>
            </w:pPr>
          </w:p>
        </w:tc>
        <w:tc>
          <w:tcPr>
            <w:tcW w:w="4788" w:type="dxa"/>
            <w:tcBorders>
              <w:top w:val="nil"/>
              <w:left w:val="nil"/>
              <w:bottom w:val="nil"/>
              <w:right w:val="nil"/>
            </w:tcBorders>
          </w:tcPr>
          <w:p w:rsidR="001A70DE" w:rsidP="00B911C0" w14:paraId="366CED9B" w14:textId="77777777">
            <w:pPr>
              <w:tabs>
                <w:tab w:val="left" w:pos="720"/>
              </w:tabs>
              <w:spacing w:line="240" w:lineRule="auto"/>
              <w:ind w:right="90"/>
              <w:rPr>
                <w:rStyle w:val="DefaultParagraphFont"/>
                <w:rFonts w:ascii="Century Schoolbook" w:hAnsi="Century Schoolbook" w:eastAsiaTheme="minorHAnsi" w:cstheme="minorBidi"/>
                <w:kern w:val="2"/>
                <w:sz w:val="26"/>
                <w:szCs w:val="26"/>
                <w:lang w:val="en-US" w:eastAsia="en-US" w:bidi="ar-SA"/>
                <w14:ligatures w14:val="standardContextual"/>
              </w:rPr>
            </w:pPr>
          </w:p>
        </w:tc>
      </w:tr>
    </w:tbl>
    <w:p w:rsidR="001A70DE" w:rsidRPr="00A57F80" w:rsidP="001A70DE" w14:paraId="4C543496" w14:textId="77777777">
      <w:pPr>
        <w:shd w:val="clear" w:color="auto" w:fill="FFFFFF"/>
        <w:spacing w:line="360" w:lineRule="auto"/>
        <w:ind w:left="-720" w:right="-720" w:firstLine="720"/>
        <w:textAlignment w:val="baseline"/>
      </w:pPr>
    </w:p>
    <w:p w:rsidR="001A70DE" w:rsidRPr="00A57F80" w:rsidP="001A70DE" w14:paraId="5572490A" w14:textId="77777777"/>
    <w:p w:rsidR="0074141E" w:rsidRPr="0074141E" w:rsidP="0074141E" w14:paraId="009AF9C4" w14:textId="77777777">
      <w:pPr>
        <w:tabs>
          <w:tab w:val="clear" w:pos="720"/>
        </w:tabs>
        <w:spacing w:line="360" w:lineRule="auto"/>
        <w:ind w:left="-720" w:right="-720" w:firstLine="720"/>
      </w:pPr>
    </w:p>
    <w:sectPr w:rsidSect="00DF0AA1">
      <w:footerReference w:type="default" r:id="rId11"/>
      <w:pgSz w:w="12240" w:h="15840"/>
      <w:pgMar w:top="1440" w:right="2160" w:bottom="1440" w:left="216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6DD5" w:rsidP="00D611FD" w14:paraId="5AA9E429" w14:textId="7CC0195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AD6DD5" w:rsidP="00D611FD" w14:paraId="433D3213" w14:textId="4DA1A05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AD6DD5" w14:paraId="447930E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6DD5" w:rsidP="00AD6DD5" w14:paraId="1DB6DADF" w14:textId="4E41CC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AD6DD5" w14:paraId="1809B13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568A" w14:paraId="761D020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AA1" w:rsidP="00AD6DD5" w14:paraId="3B752AE4"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F0AA1" w14:paraId="18FB319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568A" w14:paraId="6AB77E3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568A" w14:paraId="7EA16E7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568A" w14:paraId="19D4D62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D5"/>
    <w:rsid w:val="00000B20"/>
    <w:rsid w:val="000017AF"/>
    <w:rsid w:val="000044C3"/>
    <w:rsid w:val="00006CF6"/>
    <w:rsid w:val="00014E86"/>
    <w:rsid w:val="000243BE"/>
    <w:rsid w:val="000263F4"/>
    <w:rsid w:val="0002646A"/>
    <w:rsid w:val="000271F0"/>
    <w:rsid w:val="00047218"/>
    <w:rsid w:val="000528C3"/>
    <w:rsid w:val="00057604"/>
    <w:rsid w:val="000576D5"/>
    <w:rsid w:val="0006345A"/>
    <w:rsid w:val="00073687"/>
    <w:rsid w:val="000809F1"/>
    <w:rsid w:val="00080ACE"/>
    <w:rsid w:val="000854BA"/>
    <w:rsid w:val="00085D99"/>
    <w:rsid w:val="00090F42"/>
    <w:rsid w:val="000A0C4F"/>
    <w:rsid w:val="000A113B"/>
    <w:rsid w:val="000A7025"/>
    <w:rsid w:val="000B1C5C"/>
    <w:rsid w:val="000B1C66"/>
    <w:rsid w:val="000B296B"/>
    <w:rsid w:val="000B2EE9"/>
    <w:rsid w:val="000B51F2"/>
    <w:rsid w:val="000B76DD"/>
    <w:rsid w:val="000C5447"/>
    <w:rsid w:val="000C5CD0"/>
    <w:rsid w:val="000C6581"/>
    <w:rsid w:val="000C6671"/>
    <w:rsid w:val="000D1C85"/>
    <w:rsid w:val="000D2D7F"/>
    <w:rsid w:val="000E7DFA"/>
    <w:rsid w:val="000F425F"/>
    <w:rsid w:val="000F4319"/>
    <w:rsid w:val="0010017B"/>
    <w:rsid w:val="001109FD"/>
    <w:rsid w:val="0011701D"/>
    <w:rsid w:val="00117164"/>
    <w:rsid w:val="001213A0"/>
    <w:rsid w:val="001241F4"/>
    <w:rsid w:val="0012572B"/>
    <w:rsid w:val="00131113"/>
    <w:rsid w:val="00134819"/>
    <w:rsid w:val="00141E04"/>
    <w:rsid w:val="00143EC2"/>
    <w:rsid w:val="0015001B"/>
    <w:rsid w:val="00150B70"/>
    <w:rsid w:val="00154CA5"/>
    <w:rsid w:val="0016001E"/>
    <w:rsid w:val="00162186"/>
    <w:rsid w:val="001665CC"/>
    <w:rsid w:val="00166EB4"/>
    <w:rsid w:val="00180A44"/>
    <w:rsid w:val="00182415"/>
    <w:rsid w:val="001838E3"/>
    <w:rsid w:val="00191B41"/>
    <w:rsid w:val="0019452D"/>
    <w:rsid w:val="001947AF"/>
    <w:rsid w:val="00194AD9"/>
    <w:rsid w:val="00195190"/>
    <w:rsid w:val="00196520"/>
    <w:rsid w:val="00197DCB"/>
    <w:rsid w:val="001A1E08"/>
    <w:rsid w:val="001A2566"/>
    <w:rsid w:val="001A5D37"/>
    <w:rsid w:val="001A70DE"/>
    <w:rsid w:val="001B152B"/>
    <w:rsid w:val="001C2893"/>
    <w:rsid w:val="001D505F"/>
    <w:rsid w:val="001E3A76"/>
    <w:rsid w:val="001F2138"/>
    <w:rsid w:val="001F4BD3"/>
    <w:rsid w:val="0020021F"/>
    <w:rsid w:val="0020033E"/>
    <w:rsid w:val="00202778"/>
    <w:rsid w:val="002109D3"/>
    <w:rsid w:val="00216CBA"/>
    <w:rsid w:val="0022358B"/>
    <w:rsid w:val="00223F80"/>
    <w:rsid w:val="00226C1F"/>
    <w:rsid w:val="00247418"/>
    <w:rsid w:val="002518DC"/>
    <w:rsid w:val="00257C0A"/>
    <w:rsid w:val="00274DCB"/>
    <w:rsid w:val="0028120D"/>
    <w:rsid w:val="00281BA8"/>
    <w:rsid w:val="00282C3A"/>
    <w:rsid w:val="00287CD6"/>
    <w:rsid w:val="00292B20"/>
    <w:rsid w:val="00292FC1"/>
    <w:rsid w:val="002940BC"/>
    <w:rsid w:val="00295896"/>
    <w:rsid w:val="002A5BAA"/>
    <w:rsid w:val="002B628F"/>
    <w:rsid w:val="002C5C0D"/>
    <w:rsid w:val="002D0703"/>
    <w:rsid w:val="002D1FB6"/>
    <w:rsid w:val="002F0987"/>
    <w:rsid w:val="002F19F7"/>
    <w:rsid w:val="002F568A"/>
    <w:rsid w:val="002F6363"/>
    <w:rsid w:val="002F64E4"/>
    <w:rsid w:val="002F7AE6"/>
    <w:rsid w:val="00301C42"/>
    <w:rsid w:val="00302AD8"/>
    <w:rsid w:val="00302ADD"/>
    <w:rsid w:val="00314E6A"/>
    <w:rsid w:val="0031571A"/>
    <w:rsid w:val="00322474"/>
    <w:rsid w:val="003226BF"/>
    <w:rsid w:val="003332CD"/>
    <w:rsid w:val="0033393D"/>
    <w:rsid w:val="0034604B"/>
    <w:rsid w:val="003464E1"/>
    <w:rsid w:val="003477B0"/>
    <w:rsid w:val="00350242"/>
    <w:rsid w:val="003520ED"/>
    <w:rsid w:val="00352D5F"/>
    <w:rsid w:val="003629B7"/>
    <w:rsid w:val="003767D7"/>
    <w:rsid w:val="00376A55"/>
    <w:rsid w:val="00390BE7"/>
    <w:rsid w:val="00391A3B"/>
    <w:rsid w:val="00392B16"/>
    <w:rsid w:val="00395390"/>
    <w:rsid w:val="003969EF"/>
    <w:rsid w:val="003B0316"/>
    <w:rsid w:val="003B440E"/>
    <w:rsid w:val="003B4F0E"/>
    <w:rsid w:val="003C08A8"/>
    <w:rsid w:val="003C3DD1"/>
    <w:rsid w:val="003C3E0D"/>
    <w:rsid w:val="003C59A2"/>
    <w:rsid w:val="003C7CD1"/>
    <w:rsid w:val="003D09A3"/>
    <w:rsid w:val="003F6168"/>
    <w:rsid w:val="0040213C"/>
    <w:rsid w:val="004048E7"/>
    <w:rsid w:val="00421CB3"/>
    <w:rsid w:val="00422211"/>
    <w:rsid w:val="00431D86"/>
    <w:rsid w:val="00432246"/>
    <w:rsid w:val="004322C0"/>
    <w:rsid w:val="00435B48"/>
    <w:rsid w:val="00440DC4"/>
    <w:rsid w:val="00441B63"/>
    <w:rsid w:val="00443D6D"/>
    <w:rsid w:val="00450C44"/>
    <w:rsid w:val="00455341"/>
    <w:rsid w:val="00460B38"/>
    <w:rsid w:val="00463CAB"/>
    <w:rsid w:val="00463FA2"/>
    <w:rsid w:val="004852B6"/>
    <w:rsid w:val="00490A6A"/>
    <w:rsid w:val="00493075"/>
    <w:rsid w:val="00497ADC"/>
    <w:rsid w:val="004A08E7"/>
    <w:rsid w:val="004A3815"/>
    <w:rsid w:val="004A4AA7"/>
    <w:rsid w:val="004A4DB1"/>
    <w:rsid w:val="004A792C"/>
    <w:rsid w:val="004A7B77"/>
    <w:rsid w:val="004B4D5F"/>
    <w:rsid w:val="004B55E2"/>
    <w:rsid w:val="004C0440"/>
    <w:rsid w:val="004C2232"/>
    <w:rsid w:val="004C2379"/>
    <w:rsid w:val="004C6C62"/>
    <w:rsid w:val="004D1666"/>
    <w:rsid w:val="004D20A5"/>
    <w:rsid w:val="004D2458"/>
    <w:rsid w:val="004D3C05"/>
    <w:rsid w:val="004E4CF6"/>
    <w:rsid w:val="004E5B64"/>
    <w:rsid w:val="004F0236"/>
    <w:rsid w:val="004F698C"/>
    <w:rsid w:val="004F71D1"/>
    <w:rsid w:val="00502EF4"/>
    <w:rsid w:val="005036A3"/>
    <w:rsid w:val="0050443E"/>
    <w:rsid w:val="00511E5B"/>
    <w:rsid w:val="0051479B"/>
    <w:rsid w:val="0051785B"/>
    <w:rsid w:val="00522626"/>
    <w:rsid w:val="00524142"/>
    <w:rsid w:val="00524798"/>
    <w:rsid w:val="005321F1"/>
    <w:rsid w:val="00541839"/>
    <w:rsid w:val="00551AFA"/>
    <w:rsid w:val="00561183"/>
    <w:rsid w:val="00561242"/>
    <w:rsid w:val="005704C8"/>
    <w:rsid w:val="00572D0A"/>
    <w:rsid w:val="00575E35"/>
    <w:rsid w:val="00581A32"/>
    <w:rsid w:val="00583626"/>
    <w:rsid w:val="00587145"/>
    <w:rsid w:val="00593D6B"/>
    <w:rsid w:val="00595E69"/>
    <w:rsid w:val="005A1C7B"/>
    <w:rsid w:val="005A59EC"/>
    <w:rsid w:val="005A635B"/>
    <w:rsid w:val="005A6601"/>
    <w:rsid w:val="005B04ED"/>
    <w:rsid w:val="005B3AD4"/>
    <w:rsid w:val="005C4DDF"/>
    <w:rsid w:val="005C63D0"/>
    <w:rsid w:val="005D1D2A"/>
    <w:rsid w:val="005D36F7"/>
    <w:rsid w:val="005D54DC"/>
    <w:rsid w:val="005D62D8"/>
    <w:rsid w:val="005E1951"/>
    <w:rsid w:val="005E339C"/>
    <w:rsid w:val="005E350A"/>
    <w:rsid w:val="005F1DEC"/>
    <w:rsid w:val="005F7875"/>
    <w:rsid w:val="00611128"/>
    <w:rsid w:val="00614448"/>
    <w:rsid w:val="00614A0B"/>
    <w:rsid w:val="00615B44"/>
    <w:rsid w:val="006203B8"/>
    <w:rsid w:val="00625153"/>
    <w:rsid w:val="00625302"/>
    <w:rsid w:val="00626065"/>
    <w:rsid w:val="00626394"/>
    <w:rsid w:val="0063269F"/>
    <w:rsid w:val="0063339F"/>
    <w:rsid w:val="00636C29"/>
    <w:rsid w:val="00653AEA"/>
    <w:rsid w:val="0065499B"/>
    <w:rsid w:val="00674365"/>
    <w:rsid w:val="00677A4D"/>
    <w:rsid w:val="00682124"/>
    <w:rsid w:val="00684FBB"/>
    <w:rsid w:val="00693036"/>
    <w:rsid w:val="00693B65"/>
    <w:rsid w:val="00694B44"/>
    <w:rsid w:val="006969A5"/>
    <w:rsid w:val="006A0A35"/>
    <w:rsid w:val="006A2364"/>
    <w:rsid w:val="006A6268"/>
    <w:rsid w:val="006A689D"/>
    <w:rsid w:val="006A715F"/>
    <w:rsid w:val="006B328A"/>
    <w:rsid w:val="006C3B5F"/>
    <w:rsid w:val="006C4816"/>
    <w:rsid w:val="006C6135"/>
    <w:rsid w:val="006D0D96"/>
    <w:rsid w:val="006D0E76"/>
    <w:rsid w:val="006D36F7"/>
    <w:rsid w:val="006D3EF2"/>
    <w:rsid w:val="006E4467"/>
    <w:rsid w:val="006E668D"/>
    <w:rsid w:val="006F0A42"/>
    <w:rsid w:val="006F2DB4"/>
    <w:rsid w:val="006F47EA"/>
    <w:rsid w:val="006F7C55"/>
    <w:rsid w:val="00702AC7"/>
    <w:rsid w:val="00703142"/>
    <w:rsid w:val="00704696"/>
    <w:rsid w:val="00712743"/>
    <w:rsid w:val="0071290E"/>
    <w:rsid w:val="00713FF6"/>
    <w:rsid w:val="00717E63"/>
    <w:rsid w:val="00720349"/>
    <w:rsid w:val="00727F7E"/>
    <w:rsid w:val="00735421"/>
    <w:rsid w:val="00735E09"/>
    <w:rsid w:val="0074141E"/>
    <w:rsid w:val="00744BB5"/>
    <w:rsid w:val="00744C2E"/>
    <w:rsid w:val="007450A3"/>
    <w:rsid w:val="00747CAF"/>
    <w:rsid w:val="00751270"/>
    <w:rsid w:val="007523BD"/>
    <w:rsid w:val="0075494E"/>
    <w:rsid w:val="0075530D"/>
    <w:rsid w:val="00766BC7"/>
    <w:rsid w:val="00767CA5"/>
    <w:rsid w:val="00770987"/>
    <w:rsid w:val="00780DFD"/>
    <w:rsid w:val="007819A5"/>
    <w:rsid w:val="00793CF2"/>
    <w:rsid w:val="00797963"/>
    <w:rsid w:val="00797EDB"/>
    <w:rsid w:val="007B1F1F"/>
    <w:rsid w:val="007B3ECB"/>
    <w:rsid w:val="007B41A0"/>
    <w:rsid w:val="007C18E3"/>
    <w:rsid w:val="007C1ED7"/>
    <w:rsid w:val="007C2BE6"/>
    <w:rsid w:val="007D4183"/>
    <w:rsid w:val="007D4B28"/>
    <w:rsid w:val="007E04FE"/>
    <w:rsid w:val="007E620A"/>
    <w:rsid w:val="007F08C5"/>
    <w:rsid w:val="007F2482"/>
    <w:rsid w:val="007F567E"/>
    <w:rsid w:val="00801060"/>
    <w:rsid w:val="00803F59"/>
    <w:rsid w:val="0080798D"/>
    <w:rsid w:val="00807C7C"/>
    <w:rsid w:val="00812926"/>
    <w:rsid w:val="00812F44"/>
    <w:rsid w:val="00813215"/>
    <w:rsid w:val="00814B9E"/>
    <w:rsid w:val="0082114A"/>
    <w:rsid w:val="008222B6"/>
    <w:rsid w:val="008246BE"/>
    <w:rsid w:val="008263AF"/>
    <w:rsid w:val="00827048"/>
    <w:rsid w:val="00831988"/>
    <w:rsid w:val="00831C35"/>
    <w:rsid w:val="00832371"/>
    <w:rsid w:val="00832865"/>
    <w:rsid w:val="00834E5A"/>
    <w:rsid w:val="00835E81"/>
    <w:rsid w:val="00843FBD"/>
    <w:rsid w:val="00845FD8"/>
    <w:rsid w:val="00867685"/>
    <w:rsid w:val="00870BD9"/>
    <w:rsid w:val="008717E3"/>
    <w:rsid w:val="00882548"/>
    <w:rsid w:val="00882A4A"/>
    <w:rsid w:val="00885366"/>
    <w:rsid w:val="008860CA"/>
    <w:rsid w:val="008900D2"/>
    <w:rsid w:val="00893D5A"/>
    <w:rsid w:val="00895CCB"/>
    <w:rsid w:val="008A3209"/>
    <w:rsid w:val="008A6891"/>
    <w:rsid w:val="008A68AB"/>
    <w:rsid w:val="008B2992"/>
    <w:rsid w:val="008B37C7"/>
    <w:rsid w:val="008C69C3"/>
    <w:rsid w:val="008D0ADA"/>
    <w:rsid w:val="008D23D3"/>
    <w:rsid w:val="008D56A4"/>
    <w:rsid w:val="008D738F"/>
    <w:rsid w:val="008F20F8"/>
    <w:rsid w:val="008F72DC"/>
    <w:rsid w:val="008F7CB7"/>
    <w:rsid w:val="009021F3"/>
    <w:rsid w:val="00904E1C"/>
    <w:rsid w:val="00907F40"/>
    <w:rsid w:val="0091340F"/>
    <w:rsid w:val="00913AFB"/>
    <w:rsid w:val="00914193"/>
    <w:rsid w:val="009226F2"/>
    <w:rsid w:val="0092669E"/>
    <w:rsid w:val="009326F3"/>
    <w:rsid w:val="00932EBF"/>
    <w:rsid w:val="0093551E"/>
    <w:rsid w:val="009402C7"/>
    <w:rsid w:val="009423CB"/>
    <w:rsid w:val="00942C9E"/>
    <w:rsid w:val="0094597B"/>
    <w:rsid w:val="009462BF"/>
    <w:rsid w:val="00952DCF"/>
    <w:rsid w:val="00952ED0"/>
    <w:rsid w:val="00953DB1"/>
    <w:rsid w:val="00955F4E"/>
    <w:rsid w:val="00957F93"/>
    <w:rsid w:val="0096204A"/>
    <w:rsid w:val="00962219"/>
    <w:rsid w:val="00962E14"/>
    <w:rsid w:val="009677EB"/>
    <w:rsid w:val="00973049"/>
    <w:rsid w:val="009744D2"/>
    <w:rsid w:val="00977B44"/>
    <w:rsid w:val="00982520"/>
    <w:rsid w:val="009850FA"/>
    <w:rsid w:val="00986644"/>
    <w:rsid w:val="009934BD"/>
    <w:rsid w:val="00993667"/>
    <w:rsid w:val="00993B8D"/>
    <w:rsid w:val="00995A9E"/>
    <w:rsid w:val="009B181D"/>
    <w:rsid w:val="009B5400"/>
    <w:rsid w:val="009B5766"/>
    <w:rsid w:val="009C32E1"/>
    <w:rsid w:val="009C39B4"/>
    <w:rsid w:val="009D45E5"/>
    <w:rsid w:val="009D61EF"/>
    <w:rsid w:val="009E59CD"/>
    <w:rsid w:val="009F2D97"/>
    <w:rsid w:val="009F4E41"/>
    <w:rsid w:val="009F71E5"/>
    <w:rsid w:val="00A008E8"/>
    <w:rsid w:val="00A00F0C"/>
    <w:rsid w:val="00A05A12"/>
    <w:rsid w:val="00A10396"/>
    <w:rsid w:val="00A148CE"/>
    <w:rsid w:val="00A17049"/>
    <w:rsid w:val="00A17C47"/>
    <w:rsid w:val="00A210C3"/>
    <w:rsid w:val="00A22B72"/>
    <w:rsid w:val="00A22C5A"/>
    <w:rsid w:val="00A25C2A"/>
    <w:rsid w:val="00A26DC5"/>
    <w:rsid w:val="00A27AAF"/>
    <w:rsid w:val="00A30530"/>
    <w:rsid w:val="00A30D5A"/>
    <w:rsid w:val="00A354B3"/>
    <w:rsid w:val="00A36658"/>
    <w:rsid w:val="00A36901"/>
    <w:rsid w:val="00A418EB"/>
    <w:rsid w:val="00A55A69"/>
    <w:rsid w:val="00A5626B"/>
    <w:rsid w:val="00A57F80"/>
    <w:rsid w:val="00A60DC2"/>
    <w:rsid w:val="00A61027"/>
    <w:rsid w:val="00A62045"/>
    <w:rsid w:val="00A62BF8"/>
    <w:rsid w:val="00A6498D"/>
    <w:rsid w:val="00A81404"/>
    <w:rsid w:val="00A94DF7"/>
    <w:rsid w:val="00A9568B"/>
    <w:rsid w:val="00A9704E"/>
    <w:rsid w:val="00A97704"/>
    <w:rsid w:val="00AB2E4C"/>
    <w:rsid w:val="00AB699B"/>
    <w:rsid w:val="00AC0487"/>
    <w:rsid w:val="00AD047C"/>
    <w:rsid w:val="00AD23B5"/>
    <w:rsid w:val="00AD313C"/>
    <w:rsid w:val="00AD3C52"/>
    <w:rsid w:val="00AD57E9"/>
    <w:rsid w:val="00AD5E2C"/>
    <w:rsid w:val="00AD6DD5"/>
    <w:rsid w:val="00AE27E0"/>
    <w:rsid w:val="00AE61D5"/>
    <w:rsid w:val="00AE66F3"/>
    <w:rsid w:val="00AE71B2"/>
    <w:rsid w:val="00AF4839"/>
    <w:rsid w:val="00AF563B"/>
    <w:rsid w:val="00B004D3"/>
    <w:rsid w:val="00B02E7E"/>
    <w:rsid w:val="00B10C97"/>
    <w:rsid w:val="00B15406"/>
    <w:rsid w:val="00B225BC"/>
    <w:rsid w:val="00B23180"/>
    <w:rsid w:val="00B25214"/>
    <w:rsid w:val="00B255B4"/>
    <w:rsid w:val="00B30362"/>
    <w:rsid w:val="00B330FF"/>
    <w:rsid w:val="00B36F83"/>
    <w:rsid w:val="00B44D7E"/>
    <w:rsid w:val="00B46CF6"/>
    <w:rsid w:val="00B55B72"/>
    <w:rsid w:val="00B5636B"/>
    <w:rsid w:val="00B56DF5"/>
    <w:rsid w:val="00B571F9"/>
    <w:rsid w:val="00B604D1"/>
    <w:rsid w:val="00B70E2C"/>
    <w:rsid w:val="00B723A0"/>
    <w:rsid w:val="00B82116"/>
    <w:rsid w:val="00B83225"/>
    <w:rsid w:val="00B84ED4"/>
    <w:rsid w:val="00B911C0"/>
    <w:rsid w:val="00B958C7"/>
    <w:rsid w:val="00BB380E"/>
    <w:rsid w:val="00BB3CE7"/>
    <w:rsid w:val="00BB6EB3"/>
    <w:rsid w:val="00BB774C"/>
    <w:rsid w:val="00BC2C9B"/>
    <w:rsid w:val="00BD058A"/>
    <w:rsid w:val="00BD2593"/>
    <w:rsid w:val="00BD6853"/>
    <w:rsid w:val="00BE2B2F"/>
    <w:rsid w:val="00BF1625"/>
    <w:rsid w:val="00BF3006"/>
    <w:rsid w:val="00BF3AB7"/>
    <w:rsid w:val="00C141E6"/>
    <w:rsid w:val="00C23D43"/>
    <w:rsid w:val="00C25089"/>
    <w:rsid w:val="00C30962"/>
    <w:rsid w:val="00C32ADE"/>
    <w:rsid w:val="00C40143"/>
    <w:rsid w:val="00C40E63"/>
    <w:rsid w:val="00C44178"/>
    <w:rsid w:val="00C4743F"/>
    <w:rsid w:val="00C54393"/>
    <w:rsid w:val="00C5553C"/>
    <w:rsid w:val="00C60F34"/>
    <w:rsid w:val="00C802BD"/>
    <w:rsid w:val="00C847CE"/>
    <w:rsid w:val="00C8673B"/>
    <w:rsid w:val="00C875CA"/>
    <w:rsid w:val="00CA1808"/>
    <w:rsid w:val="00CB11DE"/>
    <w:rsid w:val="00CB5F9C"/>
    <w:rsid w:val="00CC1969"/>
    <w:rsid w:val="00CC4034"/>
    <w:rsid w:val="00CC5B51"/>
    <w:rsid w:val="00CD057A"/>
    <w:rsid w:val="00CD0D91"/>
    <w:rsid w:val="00CD13B0"/>
    <w:rsid w:val="00CD43E5"/>
    <w:rsid w:val="00CD4CAE"/>
    <w:rsid w:val="00CD4F8E"/>
    <w:rsid w:val="00CD79D8"/>
    <w:rsid w:val="00CE02E7"/>
    <w:rsid w:val="00CE18AC"/>
    <w:rsid w:val="00CE2E16"/>
    <w:rsid w:val="00CE58F5"/>
    <w:rsid w:val="00CE6B39"/>
    <w:rsid w:val="00D15F4F"/>
    <w:rsid w:val="00D21F8D"/>
    <w:rsid w:val="00D244A1"/>
    <w:rsid w:val="00D25897"/>
    <w:rsid w:val="00D27F75"/>
    <w:rsid w:val="00D31225"/>
    <w:rsid w:val="00D3463B"/>
    <w:rsid w:val="00D4071F"/>
    <w:rsid w:val="00D44BF2"/>
    <w:rsid w:val="00D55A26"/>
    <w:rsid w:val="00D60106"/>
    <w:rsid w:val="00D611FD"/>
    <w:rsid w:val="00D62AB1"/>
    <w:rsid w:val="00D840A0"/>
    <w:rsid w:val="00D87BC9"/>
    <w:rsid w:val="00D9211B"/>
    <w:rsid w:val="00DA2C28"/>
    <w:rsid w:val="00DA4E8B"/>
    <w:rsid w:val="00DB02EF"/>
    <w:rsid w:val="00DB4E48"/>
    <w:rsid w:val="00DB4F5A"/>
    <w:rsid w:val="00DB4F5C"/>
    <w:rsid w:val="00DC249D"/>
    <w:rsid w:val="00DC3F03"/>
    <w:rsid w:val="00DC5B89"/>
    <w:rsid w:val="00DC6D1F"/>
    <w:rsid w:val="00DD417D"/>
    <w:rsid w:val="00DE2431"/>
    <w:rsid w:val="00DE7041"/>
    <w:rsid w:val="00DF0AA1"/>
    <w:rsid w:val="00DF23EB"/>
    <w:rsid w:val="00DF6A87"/>
    <w:rsid w:val="00DF7EC4"/>
    <w:rsid w:val="00E01C53"/>
    <w:rsid w:val="00E030B7"/>
    <w:rsid w:val="00E03F42"/>
    <w:rsid w:val="00E12BF2"/>
    <w:rsid w:val="00E14F7A"/>
    <w:rsid w:val="00E1784D"/>
    <w:rsid w:val="00E30070"/>
    <w:rsid w:val="00E449BC"/>
    <w:rsid w:val="00E45FB1"/>
    <w:rsid w:val="00E50CB0"/>
    <w:rsid w:val="00E536CD"/>
    <w:rsid w:val="00E634B9"/>
    <w:rsid w:val="00E6425F"/>
    <w:rsid w:val="00E66057"/>
    <w:rsid w:val="00E67ACE"/>
    <w:rsid w:val="00E70C52"/>
    <w:rsid w:val="00E7191E"/>
    <w:rsid w:val="00E77810"/>
    <w:rsid w:val="00E849EA"/>
    <w:rsid w:val="00E862C1"/>
    <w:rsid w:val="00E904B3"/>
    <w:rsid w:val="00E975B6"/>
    <w:rsid w:val="00EA0EF1"/>
    <w:rsid w:val="00EA1DAA"/>
    <w:rsid w:val="00EB613B"/>
    <w:rsid w:val="00EC3401"/>
    <w:rsid w:val="00EC4CED"/>
    <w:rsid w:val="00ED2B87"/>
    <w:rsid w:val="00EE3A4A"/>
    <w:rsid w:val="00EE4437"/>
    <w:rsid w:val="00EE4612"/>
    <w:rsid w:val="00EF0CBE"/>
    <w:rsid w:val="00EF7492"/>
    <w:rsid w:val="00F009A9"/>
    <w:rsid w:val="00F00E25"/>
    <w:rsid w:val="00F00EC9"/>
    <w:rsid w:val="00F02863"/>
    <w:rsid w:val="00F046EC"/>
    <w:rsid w:val="00F07838"/>
    <w:rsid w:val="00F1242F"/>
    <w:rsid w:val="00F244AC"/>
    <w:rsid w:val="00F267B5"/>
    <w:rsid w:val="00F31BA8"/>
    <w:rsid w:val="00F404E1"/>
    <w:rsid w:val="00F4280D"/>
    <w:rsid w:val="00F4284B"/>
    <w:rsid w:val="00F51CA1"/>
    <w:rsid w:val="00F53D13"/>
    <w:rsid w:val="00F543AE"/>
    <w:rsid w:val="00F6128D"/>
    <w:rsid w:val="00F65237"/>
    <w:rsid w:val="00F67CC4"/>
    <w:rsid w:val="00F71F2A"/>
    <w:rsid w:val="00F71F9D"/>
    <w:rsid w:val="00F74CC3"/>
    <w:rsid w:val="00F75A71"/>
    <w:rsid w:val="00F77299"/>
    <w:rsid w:val="00F8210F"/>
    <w:rsid w:val="00F84893"/>
    <w:rsid w:val="00F85794"/>
    <w:rsid w:val="00F9225A"/>
    <w:rsid w:val="00F929A4"/>
    <w:rsid w:val="00F9505D"/>
    <w:rsid w:val="00FA17B5"/>
    <w:rsid w:val="00FA24C6"/>
    <w:rsid w:val="00FA6BC0"/>
    <w:rsid w:val="00FB13EB"/>
    <w:rsid w:val="00FB1792"/>
    <w:rsid w:val="00FB24B3"/>
    <w:rsid w:val="00FB47D2"/>
    <w:rsid w:val="00FC3248"/>
    <w:rsid w:val="00FC7328"/>
    <w:rsid w:val="00FD0056"/>
    <w:rsid w:val="00FD45E0"/>
    <w:rsid w:val="00FD511B"/>
    <w:rsid w:val="00FD55E4"/>
    <w:rsid w:val="00FD64C3"/>
    <w:rsid w:val="00FD67CA"/>
    <w:rsid w:val="00FF4AC6"/>
    <w:rsid w:val="00FF5A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DD5"/>
    <w:pPr>
      <w:tabs>
        <w:tab w:val="center" w:pos="4680"/>
        <w:tab w:val="right" w:pos="9360"/>
      </w:tabs>
      <w:spacing w:line="240" w:lineRule="auto"/>
    </w:pPr>
  </w:style>
  <w:style w:type="character" w:customStyle="1" w:styleId="HeaderChar">
    <w:name w:val="Header Char"/>
    <w:basedOn w:val="DefaultParagraphFont"/>
    <w:link w:val="Header"/>
    <w:uiPriority w:val="99"/>
    <w:rsid w:val="00AD6DD5"/>
  </w:style>
  <w:style w:type="paragraph" w:styleId="Footer">
    <w:name w:val="footer"/>
    <w:basedOn w:val="Normal"/>
    <w:link w:val="FooterChar"/>
    <w:uiPriority w:val="99"/>
    <w:unhideWhenUsed/>
    <w:rsid w:val="00AD6DD5"/>
    <w:pPr>
      <w:tabs>
        <w:tab w:val="center" w:pos="4680"/>
        <w:tab w:val="right" w:pos="9360"/>
      </w:tabs>
      <w:spacing w:line="240" w:lineRule="auto"/>
    </w:pPr>
  </w:style>
  <w:style w:type="character" w:customStyle="1" w:styleId="FooterChar">
    <w:name w:val="Footer Char"/>
    <w:basedOn w:val="DefaultParagraphFont"/>
    <w:link w:val="Footer"/>
    <w:uiPriority w:val="99"/>
    <w:rsid w:val="00AD6DD5"/>
  </w:style>
  <w:style w:type="character" w:styleId="PageNumber">
    <w:name w:val="page number"/>
    <w:basedOn w:val="DefaultParagraphFont"/>
    <w:uiPriority w:val="99"/>
    <w:semiHidden/>
    <w:unhideWhenUsed/>
    <w:rsid w:val="00AD6DD5"/>
  </w:style>
  <w:style w:type="paragraph" w:styleId="FootnoteText">
    <w:name w:val="footnote text"/>
    <w:link w:val="FootnoteTextChar"/>
    <w:uiPriority w:val="99"/>
    <w:unhideWhenUsed/>
    <w:rsid w:val="00AD6DD5"/>
    <w:pPr>
      <w:spacing w:line="240" w:lineRule="auto"/>
    </w:pPr>
    <w:rPr>
      <w:szCs w:val="20"/>
    </w:rPr>
  </w:style>
  <w:style w:type="character" w:customStyle="1" w:styleId="FootnoteTextChar">
    <w:name w:val="Footnote Text Char"/>
    <w:basedOn w:val="DefaultParagraphFont"/>
    <w:link w:val="FootnoteText"/>
    <w:uiPriority w:val="99"/>
    <w:rsid w:val="00AD6DD5"/>
    <w:rPr>
      <w:szCs w:val="20"/>
    </w:rPr>
  </w:style>
  <w:style w:type="character" w:styleId="FootnoteReference">
    <w:name w:val="footnote reference"/>
    <w:basedOn w:val="DefaultParagraphFont"/>
    <w:uiPriority w:val="99"/>
    <w:semiHidden/>
    <w:unhideWhenUsed/>
    <w:rsid w:val="003C3E0D"/>
    <w:rPr>
      <w:vertAlign w:val="superscript"/>
    </w:rPr>
  </w:style>
  <w:style w:type="paragraph" w:styleId="Revision">
    <w:name w:val="Revision"/>
    <w:hidden/>
    <w:uiPriority w:val="99"/>
    <w:semiHidden/>
    <w:rsid w:val="00E849E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081F4-0DD0-46FE-95E2-B3A1815B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3617</Words>
  <Characters>20620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2024-03-15T19:19:07Z</dcterms:created>
  <dcterms:modified xsi:type="dcterms:W3CDTF">2024-03-15T19:19:07Z</dcterms:modified>
</cp:coreProperties>
</file>