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593AFE" w:rsidRPr="00263939" w:rsidP="00593AFE" w14:paraId="2107B6DE" w14:textId="45D8EC58">
      <w:pPr>
        <w:spacing w:line="240" w:lineRule="auto"/>
        <w:rPr>
          <w:sz w:val="20"/>
        </w:rPr>
      </w:pPr>
      <w:r w:rsidRPr="00263939">
        <w:rPr>
          <w:sz w:val="20"/>
        </w:rPr>
        <w:t xml:space="preserve">Filed </w:t>
      </w:r>
      <w:r w:rsidRPr="00263939" w:rsidR="00620F8F">
        <w:rPr>
          <w:sz w:val="20"/>
        </w:rPr>
        <w:t>5/8/24</w:t>
      </w:r>
      <w:r w:rsidR="002067FF">
        <w:rPr>
          <w:sz w:val="20"/>
        </w:rPr>
        <w:t>; Certified for Publication 5/28/24 (order attached)</w:t>
      </w:r>
    </w:p>
    <w:p w:rsidR="00593AFE" w:rsidP="00593AFE" w14:paraId="17A2C873" w14:textId="48B89885">
      <w:pPr>
        <w:spacing w:line="240" w:lineRule="auto"/>
        <w:jc w:val="center"/>
        <w:rPr>
          <w:b/>
        </w:rPr>
      </w:pPr>
    </w:p>
    <w:p w:rsidR="00593AFE" w:rsidP="00593AFE" w14:paraId="3C53D166" w14:textId="77777777">
      <w:pPr>
        <w:spacing w:line="240" w:lineRule="auto"/>
        <w:jc w:val="center"/>
        <w:rPr>
          <w:sz w:val="16"/>
        </w:rPr>
      </w:pPr>
    </w:p>
    <w:p w:rsidR="002067FF" w:rsidP="00593AFE" w14:paraId="71C4729C" w14:textId="77777777">
      <w:pPr>
        <w:spacing w:line="240" w:lineRule="auto"/>
        <w:jc w:val="center"/>
        <w:rPr>
          <w:sz w:val="16"/>
        </w:rPr>
      </w:pPr>
    </w:p>
    <w:p w:rsidR="002067FF" w:rsidP="00593AFE" w14:paraId="43247221" w14:textId="77777777">
      <w:pPr>
        <w:spacing w:line="240" w:lineRule="auto"/>
        <w:jc w:val="center"/>
        <w:rPr>
          <w:sz w:val="16"/>
        </w:rPr>
      </w:pPr>
    </w:p>
    <w:p w:rsidR="002067FF" w:rsidP="00593AFE" w14:paraId="3FFA954E" w14:textId="77777777">
      <w:pPr>
        <w:spacing w:line="240" w:lineRule="auto"/>
        <w:jc w:val="center"/>
        <w:rPr>
          <w:sz w:val="16"/>
        </w:rPr>
      </w:pPr>
    </w:p>
    <w:p w:rsidR="002067FF" w:rsidP="00593AFE" w14:paraId="7BDB2A4E" w14:textId="77777777">
      <w:pPr>
        <w:spacing w:line="240" w:lineRule="auto"/>
        <w:jc w:val="center"/>
      </w:pPr>
    </w:p>
    <w:p w:rsidR="001B5E1F" w:rsidP="00593AFE" w14:paraId="60E14D5B" w14:textId="0E0A4DB5">
      <w:pPr>
        <w:spacing w:line="240" w:lineRule="auto"/>
        <w:jc w:val="center"/>
      </w:pPr>
      <w:r>
        <w:tab/>
      </w:r>
      <w:r w:rsidR="00A92B48">
        <w:t>IN THE COURT OF APPEAL OF THE STATE OF CALIFORNIA</w:t>
      </w:r>
    </w:p>
    <w:p w:rsidR="00A92B48" w:rsidP="00A92B48" w14:paraId="1E5B5C2F" w14:textId="77777777">
      <w:pPr>
        <w:spacing w:line="240" w:lineRule="auto"/>
        <w:jc w:val="center"/>
      </w:pPr>
    </w:p>
    <w:p w:rsidR="00A92B48" w:rsidP="00A92B48" w14:paraId="4C1DB569" w14:textId="2AC56705">
      <w:pPr>
        <w:spacing w:line="240" w:lineRule="auto"/>
        <w:jc w:val="center"/>
      </w:pPr>
      <w:r>
        <w:t>FIRST APPELLATE DISTRICT</w:t>
      </w:r>
    </w:p>
    <w:p w:rsidR="00A92B48" w:rsidP="00A92B48" w14:paraId="1CDE6956" w14:textId="77777777">
      <w:pPr>
        <w:spacing w:line="240" w:lineRule="auto"/>
        <w:jc w:val="center"/>
      </w:pPr>
    </w:p>
    <w:p w:rsidR="00A92B48" w:rsidP="00A92B48" w14:paraId="79669F44" w14:textId="70F8E42B">
      <w:pPr>
        <w:spacing w:line="240" w:lineRule="auto"/>
        <w:jc w:val="center"/>
      </w:pPr>
      <w:r>
        <w:t>DIVISION ONE</w:t>
      </w:r>
    </w:p>
    <w:p w:rsidR="00A92B48" w:rsidP="00A92B48" w14:paraId="61B658EF" w14:textId="77777777">
      <w:pPr>
        <w:spacing w:line="240" w:lineRule="auto"/>
        <w:jc w:val="center"/>
      </w:pPr>
    </w:p>
    <w:p w:rsidR="00A92B48" w:rsidP="00A92B48" w14:paraId="3857D5B6" w14:textId="77777777">
      <w:pPr>
        <w:spacing w:line="240" w:lineRule="auto"/>
        <w:jc w:val="center"/>
      </w:pPr>
    </w:p>
    <w:tbl>
      <w:tblPr>
        <w:tblW w:w="0" w:type="auto"/>
        <w:tblLayout w:type="fixed"/>
        <w:tblLook w:val="0000"/>
      </w:tblPr>
      <w:tblGrid>
        <w:gridCol w:w="4680"/>
        <w:gridCol w:w="4680"/>
      </w:tblGrid>
      <w:tr w14:paraId="62EFBCBC" w14:textId="77777777" w:rsidTr="00A92B48">
        <w:tblPrEx>
          <w:tblW w:w="0" w:type="auto"/>
          <w:tblLayout w:type="fixed"/>
          <w:tblLook w:val="0000"/>
        </w:tblPrEx>
        <w:tc>
          <w:tcPr>
            <w:tcW w:w="4680" w:type="dxa"/>
            <w:tcBorders>
              <w:bottom w:val="single" w:sz="4" w:space="0" w:color="auto"/>
              <w:right w:val="single" w:sz="4" w:space="0" w:color="auto"/>
            </w:tcBorders>
            <w:shd w:val="clear" w:color="auto" w:fill="auto"/>
          </w:tcPr>
          <w:p w:rsidR="00A92B48" w:rsidP="00A92B48" w14:paraId="7642C9FD" w14:textId="77777777">
            <w:pPr>
              <w:spacing w:after="120" w:line="240" w:lineRule="auto"/>
            </w:pPr>
            <w:r>
              <w:t>THE PEOPLE,</w:t>
            </w:r>
          </w:p>
          <w:p w:rsidR="00A92B48" w:rsidP="00A92B48" w14:paraId="1F99C9CE" w14:textId="77777777">
            <w:pPr>
              <w:spacing w:after="120" w:line="240" w:lineRule="auto"/>
            </w:pPr>
            <w:r>
              <w:tab/>
              <w:t>Plaintiff and Respondent,</w:t>
            </w:r>
          </w:p>
          <w:p w:rsidR="00A92B48" w:rsidP="00A92B48" w14:paraId="7FCE6BDB" w14:textId="77777777">
            <w:pPr>
              <w:spacing w:after="120" w:line="240" w:lineRule="auto"/>
            </w:pPr>
            <w:r>
              <w:t>v.</w:t>
            </w:r>
          </w:p>
          <w:p w:rsidR="00A92B48" w:rsidP="00A92B48" w14:paraId="094715A8" w14:textId="77777777">
            <w:pPr>
              <w:spacing w:after="120" w:line="240" w:lineRule="auto"/>
            </w:pPr>
            <w:r>
              <w:t>TARA SHAWNEE PRITCHETT,</w:t>
            </w:r>
          </w:p>
          <w:p w:rsidR="00A92B48" w:rsidP="00A92B48" w14:paraId="329603D8" w14:textId="07167479">
            <w:pPr>
              <w:spacing w:after="120" w:line="240" w:lineRule="auto"/>
            </w:pPr>
            <w:r>
              <w:tab/>
              <w:t>Defendant and Appellant.</w:t>
            </w:r>
          </w:p>
        </w:tc>
        <w:tc>
          <w:tcPr>
            <w:tcW w:w="4680" w:type="dxa"/>
            <w:tcBorders>
              <w:left w:val="single" w:sz="4" w:space="0" w:color="auto"/>
            </w:tcBorders>
            <w:shd w:val="clear" w:color="auto" w:fill="auto"/>
          </w:tcPr>
          <w:p w:rsidR="00A92B48" w:rsidP="00A92B48" w14:paraId="3A3F3CF8" w14:textId="77777777">
            <w:pPr>
              <w:spacing w:line="240" w:lineRule="auto"/>
            </w:pPr>
          </w:p>
          <w:p w:rsidR="00A92B48" w:rsidP="00A92B48" w14:paraId="17BCF5A1" w14:textId="77777777">
            <w:pPr>
              <w:spacing w:line="240" w:lineRule="auto"/>
            </w:pPr>
          </w:p>
          <w:p w:rsidR="00A92B48" w:rsidP="00A92B48" w14:paraId="6F186273" w14:textId="77777777">
            <w:pPr>
              <w:spacing w:line="240" w:lineRule="auto"/>
            </w:pPr>
            <w:r>
              <w:t xml:space="preserve">      A168411</w:t>
            </w:r>
          </w:p>
          <w:p w:rsidR="00A92B48" w:rsidP="00A92B48" w14:paraId="45B1C681" w14:textId="77777777">
            <w:pPr>
              <w:spacing w:line="240" w:lineRule="auto"/>
            </w:pPr>
          </w:p>
          <w:p w:rsidR="00A92B48" w:rsidP="00A92B48" w14:paraId="66B9481A" w14:textId="77777777">
            <w:pPr>
              <w:spacing w:line="240" w:lineRule="auto"/>
            </w:pPr>
            <w:r>
              <w:t xml:space="preserve">      (Sonoma County</w:t>
            </w:r>
          </w:p>
          <w:p w:rsidR="00A92B48" w:rsidP="00A92B48" w14:paraId="373DB688" w14:textId="77777777">
            <w:pPr>
              <w:spacing w:line="240" w:lineRule="auto"/>
            </w:pPr>
            <w:r>
              <w:t xml:space="preserve">      Super. Ct. No. SCR7557621)</w:t>
            </w:r>
          </w:p>
          <w:p w:rsidR="00A92B48" w:rsidP="00A92B48" w14:paraId="401E3BFA" w14:textId="6D0FEF60">
            <w:pPr>
              <w:spacing w:line="240" w:lineRule="auto"/>
            </w:pPr>
          </w:p>
        </w:tc>
      </w:tr>
    </w:tbl>
    <w:p w:rsidR="00A92B48" w:rsidP="00A92B48" w14:paraId="69D8D3BD" w14:textId="77777777">
      <w:pPr>
        <w:spacing w:line="240" w:lineRule="auto"/>
      </w:pPr>
    </w:p>
    <w:p w:rsidR="00B9047D" w:rsidP="001B5E1F" w14:paraId="369CCA3D" w14:textId="1643BE3E">
      <w:pPr>
        <w:ind w:firstLine="720"/>
      </w:pPr>
      <w:r>
        <w:t>The People appeal from the trial court’s order granting defendant Tara Shawnee Pri</w:t>
      </w:r>
      <w:r w:rsidR="00707725">
        <w:t>t</w:t>
      </w:r>
      <w:r>
        <w:t xml:space="preserve">chett’s motion to suppress evidence obtained from a warrantless search of her room in September 2021.  The </w:t>
      </w:r>
      <w:r w:rsidR="00E32BC4">
        <w:t>detective</w:t>
      </w:r>
      <w:r>
        <w:t xml:space="preserve"> conducting the search believed she was on searchable probation.</w:t>
      </w:r>
    </w:p>
    <w:p w:rsidR="00B9047D" w:rsidP="001B5E1F" w14:paraId="224BFC85" w14:textId="6CC00613">
      <w:pPr>
        <w:ind w:firstLine="720"/>
      </w:pPr>
      <w:r>
        <w:t>In August 2018, Pri</w:t>
      </w:r>
      <w:r w:rsidR="00707725">
        <w:t>t</w:t>
      </w:r>
      <w:r>
        <w:t xml:space="preserve">chett was placed on two years’ probation for a misdemeanor offense, which was </w:t>
      </w:r>
      <w:r w:rsidR="00024BFD">
        <w:t xml:space="preserve">later </w:t>
      </w:r>
      <w:r>
        <w:t xml:space="preserve">extended another year.  </w:t>
      </w:r>
      <w:r w:rsidR="00024BFD">
        <w:t>In May 2019,</w:t>
      </w:r>
      <w:r>
        <w:t xml:space="preserve"> she was placed on three years’ probation for a</w:t>
      </w:r>
      <w:r w:rsidR="00024BFD">
        <w:t>nother</w:t>
      </w:r>
      <w:r>
        <w:t xml:space="preserve"> misdemeanor offense.  </w:t>
      </w:r>
      <w:r w:rsidR="002067FF">
        <w:softHyphen/>
      </w:r>
      <w:r>
        <w:t>However, effective January 1, 2021, Penal Code section 1203a was amended by Assembly Bill No. 1950 (2019–2020</w:t>
      </w:r>
      <w:r w:rsidR="007B7FDE">
        <w:t xml:space="preserve"> Reg. Sess.</w:t>
      </w:r>
      <w:r>
        <w:t>) (Stats. 2020, ch. 328, §§ 1, 2) (AB 1950) to limit the maximum term of probation a trial court is allowed to impose for most misdemeanor offenses to one year.</w:t>
      </w:r>
      <w:r>
        <w:rPr>
          <w:rStyle w:val="FootnoteReference"/>
        </w:rPr>
        <w:footnoteReference w:id="2"/>
      </w:r>
      <w:r>
        <w:t xml:space="preserve">  (§ 1203a, subd. (a).)  </w:t>
      </w:r>
    </w:p>
    <w:p w:rsidR="00B9047D" w:rsidP="001B5E1F" w14:paraId="31176EFA" w14:textId="66FA391A">
      <w:pPr>
        <w:ind w:firstLine="720"/>
      </w:pPr>
      <w:r w:rsidRPr="00695E95">
        <w:t>The People argue the trial court erred in concluding that as a result of AB 1950, Pri</w:t>
      </w:r>
      <w:r w:rsidR="00707725">
        <w:t>t</w:t>
      </w:r>
      <w:r w:rsidRPr="00695E95">
        <w:t xml:space="preserve">chett’s probation terminated by operation of law after one year, and thus terminated upon the effective date of AB 1950, several months before the search.  </w:t>
      </w:r>
      <w:r w:rsidRPr="00EF0231">
        <w:t xml:space="preserve">The People further contend </w:t>
      </w:r>
      <w:r w:rsidRPr="00EF0231" w:rsidR="004338C5">
        <w:t xml:space="preserve">the </w:t>
      </w:r>
      <w:r w:rsidRPr="00EF0231" w:rsidR="00EF0231">
        <w:t xml:space="preserve">“good faith” exception to the exclusionary rule applies because the </w:t>
      </w:r>
      <w:r w:rsidRPr="00EF0231" w:rsidR="004338C5">
        <w:t>detective leading the search made objectively reasonabl</w:t>
      </w:r>
      <w:r w:rsidR="00E32BC4">
        <w:t>e</w:t>
      </w:r>
      <w:r w:rsidRPr="00EF0231" w:rsidR="004338C5">
        <w:t xml:space="preserve"> efforts to determine Pri</w:t>
      </w:r>
      <w:r w:rsidR="00707725">
        <w:t>t</w:t>
      </w:r>
      <w:r w:rsidRPr="00EF0231" w:rsidR="004338C5">
        <w:t>chett was on searchable probation</w:t>
      </w:r>
      <w:r w:rsidRPr="00EF0231" w:rsidR="00EF0231">
        <w:t>.</w:t>
      </w:r>
      <w:r w:rsidR="00EF0231">
        <w:t xml:space="preserve">  We agree with the latter contention and therefore reverse.</w:t>
      </w:r>
    </w:p>
    <w:p w:rsidR="00B9047D" w:rsidRPr="00B9047D" w:rsidP="00B9047D" w14:paraId="4D291433" w14:textId="665A9E1D">
      <w:pPr>
        <w:pStyle w:val="ListParagraph"/>
        <w:numPr>
          <w:ilvl w:val="0"/>
          <w:numId w:val="3"/>
        </w:numPr>
        <w:jc w:val="center"/>
        <w:rPr>
          <w:b/>
          <w:bCs/>
        </w:rPr>
      </w:pPr>
      <w:r w:rsidRPr="00B9047D">
        <w:rPr>
          <w:b/>
          <w:bCs/>
        </w:rPr>
        <w:t>BACKGROUND</w:t>
      </w:r>
    </w:p>
    <w:p w:rsidR="00A92B48" w:rsidP="001B5E1F" w14:paraId="3410BC74" w14:textId="58A23B87">
      <w:pPr>
        <w:ind w:firstLine="720"/>
      </w:pPr>
      <w:bookmarkStart w:id="0" w:name="_Hlk163391846"/>
      <w:r>
        <w:t>We take the following facts from the evidence elicited at</w:t>
      </w:r>
      <w:r w:rsidR="00A6185E">
        <w:t xml:space="preserve"> </w:t>
      </w:r>
      <w:r w:rsidR="00024BFD">
        <w:t xml:space="preserve">the </w:t>
      </w:r>
      <w:r>
        <w:t>hearing on Pri</w:t>
      </w:r>
      <w:r w:rsidR="00707725">
        <w:t>t</w:t>
      </w:r>
      <w:r>
        <w:t>chett’s motion to suppress.</w:t>
      </w:r>
    </w:p>
    <w:p w:rsidR="008463DF" w:rsidP="007C208D" w14:paraId="62EB9FF3" w14:textId="06DF148F">
      <w:pPr>
        <w:ind w:firstLine="720"/>
      </w:pPr>
      <w:r>
        <w:t xml:space="preserve">In September 2021, </w:t>
      </w:r>
      <w:r w:rsidR="001013EB">
        <w:t>Nick Vlahandrea</w:t>
      </w:r>
      <w:r>
        <w:t>s,</w:t>
      </w:r>
      <w:r w:rsidR="001013EB">
        <w:t xml:space="preserve"> a narcotics detective for Santa Rosa</w:t>
      </w:r>
      <w:r>
        <w:t>, conducted a search of Pri</w:t>
      </w:r>
      <w:r w:rsidR="00707725">
        <w:t>t</w:t>
      </w:r>
      <w:r>
        <w:t xml:space="preserve">chett’s hotel room. </w:t>
      </w:r>
      <w:r w:rsidR="007C208D">
        <w:t xml:space="preserve"> </w:t>
      </w:r>
      <w:r>
        <w:t>Prior</w:t>
      </w:r>
      <w:r w:rsidR="00575BBD">
        <w:t xml:space="preserve"> to </w:t>
      </w:r>
      <w:r>
        <w:t>the search,</w:t>
      </w:r>
      <w:r w:rsidR="00575BBD">
        <w:t xml:space="preserve"> </w:t>
      </w:r>
      <w:r w:rsidR="007C208D">
        <w:t>Vlahandreas</w:t>
      </w:r>
      <w:r w:rsidR="00575BBD">
        <w:t xml:space="preserve"> checked Crimnet, </w:t>
      </w:r>
      <w:r w:rsidR="00BA4D5E">
        <w:t xml:space="preserve">which </w:t>
      </w:r>
      <w:r w:rsidR="00575BBD">
        <w:t xml:space="preserve">is a database of information </w:t>
      </w:r>
      <w:r w:rsidR="00BA4D5E">
        <w:t xml:space="preserve">“straight” </w:t>
      </w:r>
      <w:r w:rsidR="00575BBD">
        <w:t>from Sonoma County courts</w:t>
      </w:r>
      <w:r w:rsidR="00BA4D5E">
        <w:t xml:space="preserve">. </w:t>
      </w:r>
      <w:r w:rsidR="00575BBD">
        <w:t xml:space="preserve"> </w:t>
      </w:r>
      <w:r w:rsidR="000B4B14">
        <w:t>“[T]here is no one at the police agency . . . that enters [the information].”  Crimnet</w:t>
      </w:r>
      <w:r w:rsidR="00575BBD">
        <w:t xml:space="preserve"> lists a person’s “pending court cases, prior arrests, probation status, things of that natur</w:t>
      </w:r>
      <w:r w:rsidR="007C208D">
        <w:t>e</w:t>
      </w:r>
      <w:r w:rsidR="00575BBD">
        <w:t>.</w:t>
      </w:r>
      <w:r w:rsidR="007C208D">
        <w:t>”</w:t>
      </w:r>
      <w:r w:rsidR="00575BBD">
        <w:t xml:space="preserve">  </w:t>
      </w:r>
      <w:r w:rsidR="007C208D">
        <w:t xml:space="preserve">It </w:t>
      </w:r>
      <w:r w:rsidR="00511C59">
        <w:t xml:space="preserve">also </w:t>
      </w:r>
      <w:r w:rsidR="007C208D">
        <w:t>note</w:t>
      </w:r>
      <w:r w:rsidR="00511C59">
        <w:t>d</w:t>
      </w:r>
      <w:r w:rsidR="007C208D">
        <w:t xml:space="preserve"> if someone’s probation had been terminated.  </w:t>
      </w:r>
      <w:r w:rsidR="00BA4D5E">
        <w:t xml:space="preserve">In this case, </w:t>
      </w:r>
      <w:r w:rsidR="00511C59">
        <w:t>Crimnet</w:t>
      </w:r>
      <w:r w:rsidR="00BA4D5E">
        <w:t xml:space="preserve"> showed that </w:t>
      </w:r>
      <w:r w:rsidR="007C208D">
        <w:t>Pri</w:t>
      </w:r>
      <w:r w:rsidR="00707725">
        <w:t>t</w:t>
      </w:r>
      <w:r w:rsidR="007C208D">
        <w:t>chett was on active probation with a condition that she “submit to warrantless search and seizure of person, property, residence, vehicles.”</w:t>
      </w:r>
      <w:r w:rsidR="00511C59">
        <w:t xml:space="preserve">  </w:t>
      </w:r>
    </w:p>
    <w:p w:rsidR="00EA2D14" w:rsidP="00EA2D14" w14:paraId="37CD4F20" w14:textId="64D2465C">
      <w:pPr>
        <w:ind w:firstLine="720"/>
      </w:pPr>
      <w:r>
        <w:t>In conducting the probation search,</w:t>
      </w:r>
      <w:r w:rsidR="00A23462">
        <w:t xml:space="preserve"> Vlahandreas and the officers accompanying him </w:t>
      </w:r>
      <w:r w:rsidR="00D97394">
        <w:t>knocked on Pri</w:t>
      </w:r>
      <w:r w:rsidR="00707725">
        <w:t>t</w:t>
      </w:r>
      <w:r w:rsidR="00D97394">
        <w:t>chett’s door and detained her after she answered</w:t>
      </w:r>
      <w:r w:rsidR="00A23462">
        <w:t>.</w:t>
      </w:r>
      <w:r w:rsidR="00D97394">
        <w:t xml:space="preserve">  A search of her room located U.S. currency and what Vlahandreas believed was fentanyl.</w:t>
      </w:r>
      <w:r w:rsidR="00A23462">
        <w:t xml:space="preserve"> </w:t>
      </w:r>
      <w:r w:rsidR="00511C59">
        <w:t xml:space="preserve"> </w:t>
      </w:r>
    </w:p>
    <w:p w:rsidR="00291E60" w:rsidP="00291E60" w14:paraId="7213ED4D" w14:textId="27FB767B">
      <w:pPr>
        <w:ind w:firstLine="720"/>
      </w:pPr>
      <w:r>
        <w:t>Pri</w:t>
      </w:r>
      <w:r w:rsidR="00707725">
        <w:t>t</w:t>
      </w:r>
      <w:r>
        <w:t>chett was charged with</w:t>
      </w:r>
      <w:r w:rsidR="00D97394">
        <w:t xml:space="preserve"> </w:t>
      </w:r>
      <w:r w:rsidR="00EA2D14">
        <w:t>one felony count of possession for sale of a controlled substance.  (Health &amp; Saf</w:t>
      </w:r>
      <w:r w:rsidR="00FF1E91">
        <w:t>.</w:t>
      </w:r>
      <w:r w:rsidR="00EA2D14">
        <w:t xml:space="preserve"> Code, § 11351.)  </w:t>
      </w:r>
      <w:r>
        <w:t xml:space="preserve">She subsequently moved to suppress the evidence obtained from the search of her room.  In her motion, she argued that AB 1950 applied retroactively to her probation grants, and </w:t>
      </w:r>
      <w:r w:rsidR="00A0690A">
        <w:t xml:space="preserve">as a result they were terminated when AB 1950 became effective.  Therefore, she argued, the warrantless search of her room was unlawful, and the evidence seized from the search must be suppressed.  She acknowledged that law enforcement was not “directly” at fault for Crimnet’s erroneous information about her probation status but contended the evidence should be excluded anyway since that </w:t>
      </w:r>
      <w:r w:rsidR="00135A9F">
        <w:t xml:space="preserve">information </w:t>
      </w:r>
      <w:r w:rsidR="00A0690A">
        <w:t xml:space="preserve">was the only basis for the search.  </w:t>
      </w:r>
    </w:p>
    <w:p w:rsidR="00511C59" w:rsidP="00EA2D14" w14:paraId="5BC3A50F" w14:textId="1D7B080F">
      <w:pPr>
        <w:ind w:firstLine="720"/>
      </w:pPr>
      <w:r>
        <w:t xml:space="preserve"> </w:t>
      </w:r>
      <w:r w:rsidR="00291E60">
        <w:t>In opposition, the People argued the search was a lawful probation search because AB 1950 did not “automatically” reduce the length of Pri</w:t>
      </w:r>
      <w:r w:rsidR="00707725">
        <w:t>t</w:t>
      </w:r>
      <w:r w:rsidR="00291E60">
        <w:t xml:space="preserve">chett’s probation grants, and she did not petition the court to terminate her probation.  </w:t>
      </w:r>
      <w:r w:rsidR="00FF2EEC">
        <w:t xml:space="preserve">The People </w:t>
      </w:r>
      <w:r w:rsidR="00725C03">
        <w:t xml:space="preserve">acknowledged that some courts </w:t>
      </w:r>
      <w:r w:rsidR="00E0406D">
        <w:t>have held</w:t>
      </w:r>
      <w:r w:rsidR="00725C03">
        <w:t xml:space="preserve"> that AB 1950 applied retroactively, but argued that no case held that AB 1950 “operate</w:t>
      </w:r>
      <w:r w:rsidR="00F1776C">
        <w:t>[d]</w:t>
      </w:r>
      <w:r w:rsidR="00725C03">
        <w:t xml:space="preserve"> automatically” without any judicial action.  </w:t>
      </w:r>
      <w:r w:rsidR="00291E60">
        <w:t>The People further contended that even if AB 1950 terminated Pri</w:t>
      </w:r>
      <w:r w:rsidR="00707725">
        <w:t>t</w:t>
      </w:r>
      <w:r w:rsidR="00291E60">
        <w:t>chett’s probation, Vlahandreas reasonably relied on court-maintained information, and thus the “good faith” exception to the exclusionary rule applied.</w:t>
      </w:r>
      <w:r w:rsidR="00505E85">
        <w:t xml:space="preserve"> </w:t>
      </w:r>
    </w:p>
    <w:p w:rsidR="00511C59" w:rsidP="00511C59" w14:paraId="2F436E7B" w14:textId="69C80974">
      <w:pPr>
        <w:ind w:firstLine="720"/>
      </w:pPr>
      <w:r>
        <w:t xml:space="preserve">The trial court conducted a hearing on the motion to suppress at which Vlahandreas was the only witness. </w:t>
      </w:r>
      <w:r w:rsidR="004F6020">
        <w:t xml:space="preserve"> He</w:t>
      </w:r>
      <w:r>
        <w:t xml:space="preserve"> testified that he had been a narcotics detective for three years and that “[e]very single person that we investigate we try and look them up in Crimnet.”  He found Crimnet “reliable”</w:t>
      </w:r>
      <w:r w:rsidR="00CE1196">
        <w:t xml:space="preserve"> and “accurate” </w:t>
      </w:r>
      <w:r>
        <w:t xml:space="preserve">and could not recall </w:t>
      </w:r>
      <w:r w:rsidR="00CE1196">
        <w:t>“any incidents where it was incorrect that [he] noted someone in Crimnet as searchable</w:t>
      </w:r>
      <w:r>
        <w:t>.</w:t>
      </w:r>
      <w:r w:rsidR="00CE1196">
        <w:t>”</w:t>
      </w:r>
      <w:r>
        <w:t xml:space="preserve">  </w:t>
      </w:r>
      <w:r w:rsidR="00505E85">
        <w:t>He relied on Crimnet in conducting the search of Pri</w:t>
      </w:r>
      <w:r w:rsidR="00707725">
        <w:t>t</w:t>
      </w:r>
      <w:r w:rsidR="00505E85">
        <w:t>chett’s room.</w:t>
      </w:r>
      <w:r w:rsidR="00F1776C">
        <w:t xml:space="preserve">  He said that Crimnet showed Pri</w:t>
      </w:r>
      <w:r w:rsidR="00707725">
        <w:t>t</w:t>
      </w:r>
      <w:r w:rsidR="00F1776C">
        <w:t>chett had been placed on probation in August 2018 and again in May 2019.</w:t>
      </w:r>
      <w:r w:rsidR="00505E85">
        <w:t xml:space="preserve"> </w:t>
      </w:r>
      <w:r w:rsidR="00FF2EEC">
        <w:t xml:space="preserve"> </w:t>
      </w:r>
      <w:r w:rsidR="00D97394">
        <w:t>When asked about</w:t>
      </w:r>
      <w:r>
        <w:t xml:space="preserve"> AB 1950 and its potential effect on the length of probation in misdemeanor cases</w:t>
      </w:r>
      <w:r w:rsidR="00D97394">
        <w:t>, he said he was unaware of AB 1950</w:t>
      </w:r>
      <w:r>
        <w:t>.</w:t>
      </w:r>
      <w:r w:rsidR="00B55564">
        <w:t xml:space="preserve">  </w:t>
      </w:r>
    </w:p>
    <w:p w:rsidR="00511C59" w:rsidP="008463DF" w14:paraId="2B88842D" w14:textId="1996EC30">
      <w:pPr>
        <w:ind w:firstLine="720"/>
      </w:pPr>
      <w:r>
        <w:t>After the matter was submitted, the trial court granted the motion to suppress, concluding Pri</w:t>
      </w:r>
      <w:r w:rsidR="00707725">
        <w:t>t</w:t>
      </w:r>
      <w:r>
        <w:t>chett’s probation grants automatically terminated when AB 1950 became effective on January 1, 2021, and the good faith exception did not apply.</w:t>
      </w:r>
      <w:r w:rsidR="00522D17">
        <w:t xml:space="preserve">  The court thereafter dismissed the charge against Pri</w:t>
      </w:r>
      <w:r w:rsidR="00707725">
        <w:t>t</w:t>
      </w:r>
      <w:r w:rsidR="00522D17">
        <w:t>chett.</w:t>
      </w:r>
    </w:p>
    <w:bookmarkEnd w:id="0"/>
    <w:p w:rsidR="000636A1" w:rsidRPr="000636A1" w:rsidP="000636A1" w14:paraId="240C26A7" w14:textId="2B3186AB">
      <w:pPr>
        <w:jc w:val="center"/>
        <w:rPr>
          <w:b/>
          <w:bCs/>
        </w:rPr>
      </w:pPr>
      <w:r w:rsidRPr="000636A1">
        <w:rPr>
          <w:b/>
          <w:bCs/>
        </w:rPr>
        <w:t>II.</w:t>
      </w:r>
      <w:r w:rsidRPr="000636A1">
        <w:rPr>
          <w:b/>
          <w:bCs/>
        </w:rPr>
        <w:tab/>
        <w:t>DISCUSSION</w:t>
      </w:r>
    </w:p>
    <w:p w:rsidR="000636A1" w14:paraId="7B1BCAF5" w14:textId="2A906D3A">
      <w:r>
        <w:tab/>
        <w:t>The People argue the trial court erred in granting Pri</w:t>
      </w:r>
      <w:r w:rsidR="00707725">
        <w:t>t</w:t>
      </w:r>
      <w:r>
        <w:t xml:space="preserve">chett’s motion to suppress for two reasons.  First, </w:t>
      </w:r>
      <w:r w:rsidR="00800BFD">
        <w:t xml:space="preserve">her </w:t>
      </w:r>
      <w:r>
        <w:t xml:space="preserve">probation grants were valid at the time of the search because AB 1950 did not automatically terminate them.  Second, the good faith exception to the exclusionary rule applies in this case.  We </w:t>
      </w:r>
      <w:r w:rsidR="00EB1D01">
        <w:t>find the latter contention dispositive and therefore do not reach the People’s first argument.</w:t>
      </w:r>
    </w:p>
    <w:p w:rsidR="000636A1" w:rsidRPr="00854B41" w:rsidP="000636A1" w14:paraId="63FA6980" w14:textId="0820D99A">
      <w:pPr>
        <w:pStyle w:val="ListParagraph"/>
        <w:numPr>
          <w:ilvl w:val="0"/>
          <w:numId w:val="1"/>
        </w:numPr>
        <w:rPr>
          <w:b/>
          <w:bCs/>
          <w:i/>
          <w:iCs/>
        </w:rPr>
      </w:pPr>
      <w:r w:rsidRPr="00854B41">
        <w:rPr>
          <w:b/>
          <w:bCs/>
          <w:i/>
          <w:iCs/>
        </w:rPr>
        <w:t>Legal Standards</w:t>
      </w:r>
      <w:r w:rsidRPr="00854B41" w:rsidR="00EF4ABA">
        <w:rPr>
          <w:b/>
          <w:bCs/>
          <w:i/>
          <w:iCs/>
        </w:rPr>
        <w:t xml:space="preserve"> </w:t>
      </w:r>
    </w:p>
    <w:p w:rsidR="00EB1D01" w:rsidP="00EF4ABA" w14:paraId="24F0DBEF" w14:textId="7E439069">
      <w:pPr>
        <w:ind w:firstLine="720"/>
        <w:rPr>
          <w:shd w:val="clear" w:color="auto" w:fill="FFFFFF"/>
        </w:rPr>
      </w:pPr>
      <w:r w:rsidRPr="00EF4ABA">
        <w:rPr>
          <w:shd w:val="clear" w:color="auto" w:fill="FFFFFF"/>
        </w:rPr>
        <w:t xml:space="preserve">Under the Fourth Amendment to the United States Constitution, searches and seizures conducted without a warrant are presumptively unreasonable. </w:t>
      </w:r>
      <w:r w:rsidR="00E467AD">
        <w:rPr>
          <w:shd w:val="clear" w:color="auto" w:fill="FFFFFF"/>
        </w:rPr>
        <w:t xml:space="preserve"> </w:t>
      </w:r>
      <w:r w:rsidRPr="00EF4ABA">
        <w:rPr>
          <w:shd w:val="clear" w:color="auto" w:fill="FFFFFF"/>
        </w:rPr>
        <w:t>“When a defendant raises a challenge to the legality of a warrantless search or seizure, the People are obligated to produce proof sufficient to show, by a preponderance of the evidence, that the search fell within one of the recognized exceptions to the warrant requirement.</w:t>
      </w:r>
      <w:r w:rsidR="00F1776C">
        <w:rPr>
          <w:shd w:val="clear" w:color="auto" w:fill="FFFFFF"/>
        </w:rPr>
        <w:t xml:space="preserve"> </w:t>
      </w:r>
      <w:r w:rsidRPr="00EF4ABA">
        <w:rPr>
          <w:shd w:val="clear" w:color="auto" w:fill="FFFFFF"/>
        </w:rPr>
        <w:t xml:space="preserve"> [Citations.] </w:t>
      </w:r>
      <w:r w:rsidR="00F1776C">
        <w:rPr>
          <w:shd w:val="clear" w:color="auto" w:fill="FFFFFF"/>
        </w:rPr>
        <w:t xml:space="preserve"> </w:t>
      </w:r>
      <w:r w:rsidRPr="00EF4ABA">
        <w:rPr>
          <w:shd w:val="clear" w:color="auto" w:fill="FFFFFF"/>
        </w:rPr>
        <w:t>A probation search is one of those exceptions.”</w:t>
      </w:r>
      <w:r>
        <w:rPr>
          <w:shd w:val="clear" w:color="auto" w:fill="FFFFFF"/>
        </w:rPr>
        <w:t xml:space="preserve">  (</w:t>
      </w:r>
      <w:r w:rsidRPr="00FD639F">
        <w:rPr>
          <w:i/>
          <w:iCs/>
          <w:shd w:val="clear" w:color="auto" w:fill="FFFFFF"/>
        </w:rPr>
        <w:t>People v. Romeo</w:t>
      </w:r>
      <w:r>
        <w:rPr>
          <w:shd w:val="clear" w:color="auto" w:fill="FFFFFF"/>
        </w:rPr>
        <w:t xml:space="preserve"> (2015) 240 Cal.App.4</w:t>
      </w:r>
      <w:r w:rsidRPr="00EF4ABA">
        <w:rPr>
          <w:shd w:val="clear" w:color="auto" w:fill="FFFFFF"/>
        </w:rPr>
        <w:t>th</w:t>
      </w:r>
      <w:r>
        <w:rPr>
          <w:shd w:val="clear" w:color="auto" w:fill="FFFFFF"/>
        </w:rPr>
        <w:t xml:space="preserve"> 931, 939.)</w:t>
      </w:r>
    </w:p>
    <w:p w:rsidR="00800BFD" w:rsidRPr="00800BFD" w:rsidP="00800BFD" w14:paraId="772B0B1E" w14:textId="65420D57">
      <w:pPr>
        <w:ind w:firstLine="720"/>
      </w:pPr>
      <w:r>
        <w:t xml:space="preserve">As noted, </w:t>
      </w:r>
      <w:r w:rsidR="00A07394">
        <w:t xml:space="preserve">by May 2019, </w:t>
      </w:r>
      <w:r w:rsidR="00854B41">
        <w:t>Pri</w:t>
      </w:r>
      <w:r w:rsidR="00707725">
        <w:t>t</w:t>
      </w:r>
      <w:r w:rsidR="00854B41">
        <w:t xml:space="preserve">chett </w:t>
      </w:r>
      <w:r w:rsidR="00BF3EC5">
        <w:t>had been placed on</w:t>
      </w:r>
      <w:r w:rsidR="005C6F00">
        <w:t xml:space="preserve"> two </w:t>
      </w:r>
      <w:r w:rsidR="00A07394">
        <w:t>three-year probation terms</w:t>
      </w:r>
      <w:r w:rsidR="005C6F00">
        <w:t xml:space="preserve"> </w:t>
      </w:r>
      <w:r w:rsidR="00FF012F">
        <w:t>for misdemeanor violations</w:t>
      </w:r>
      <w:bookmarkStart w:id="1" w:name="_Hlk163391966"/>
      <w:r w:rsidR="00854B41">
        <w:t xml:space="preserve">. </w:t>
      </w:r>
      <w:bookmarkEnd w:id="1"/>
      <w:r w:rsidR="00854B41">
        <w:t xml:space="preserve"> </w:t>
      </w:r>
      <w:r w:rsidR="00A07394">
        <w:t xml:space="preserve">Effective January 1, 2021, </w:t>
      </w:r>
      <w:r w:rsidR="00854B41">
        <w:t xml:space="preserve">AB 1950 amended </w:t>
      </w:r>
      <w:r w:rsidR="00A07394">
        <w:t xml:space="preserve">section 1203a to limit probation terms to </w:t>
      </w:r>
      <w:r w:rsidR="00FF012F">
        <w:t xml:space="preserve">a maximum of </w:t>
      </w:r>
      <w:r w:rsidR="00A07394">
        <w:t>one year for most misde</w:t>
      </w:r>
      <w:r w:rsidR="00FF012F">
        <w:t>meanor</w:t>
      </w:r>
      <w:r w:rsidR="007B1080">
        <w:t>s</w:t>
      </w:r>
      <w:r w:rsidR="00FF012F">
        <w:t xml:space="preserve">.  </w:t>
      </w:r>
      <w:r w:rsidR="007B1080">
        <w:t xml:space="preserve">(§ 1203a, subds. (a), (b).)  </w:t>
      </w:r>
      <w:r w:rsidR="00FF012F">
        <w:t xml:space="preserve">Several courts have since held that AB 1950 applies retroactively to </w:t>
      </w:r>
      <w:r w:rsidR="0053246C">
        <w:t xml:space="preserve">defendants who were serving a term of probation when </w:t>
      </w:r>
      <w:r w:rsidR="0019386A">
        <w:t>the amendment</w:t>
      </w:r>
      <w:r w:rsidR="0053246C">
        <w:t xml:space="preserve"> became effective</w:t>
      </w:r>
      <w:r w:rsidR="00FF012F">
        <w:t>.  (</w:t>
      </w:r>
      <w:r w:rsidR="007B1080">
        <w:t xml:space="preserve">See </w:t>
      </w:r>
      <w:r w:rsidRPr="00BF3EC5" w:rsidR="007B1080">
        <w:rPr>
          <w:i/>
          <w:iCs/>
        </w:rPr>
        <w:t>People v. Faial</w:t>
      </w:r>
      <w:r w:rsidR="007B1080">
        <w:t xml:space="preserve"> (2022) 75 Cal.App.5</w:t>
      </w:r>
      <w:r w:rsidRPr="00BF3EC5" w:rsidR="007B1080">
        <w:t>th</w:t>
      </w:r>
      <w:r w:rsidR="007B1080">
        <w:t xml:space="preserve"> 738, 743</w:t>
      </w:r>
      <w:r w:rsidR="00A01292">
        <w:t>, review granted May 18, 2022, S273840</w:t>
      </w:r>
      <w:r w:rsidR="007B1080">
        <w:t xml:space="preserve"> [collecting cases].)  </w:t>
      </w:r>
      <w:r>
        <w:t xml:space="preserve">Assuming without deciding that AB 1950 automatically terminated </w:t>
      </w:r>
      <w:r w:rsidR="00854B41">
        <w:t>Pri</w:t>
      </w:r>
      <w:r w:rsidR="00707725">
        <w:t>t</w:t>
      </w:r>
      <w:r w:rsidR="00854B41">
        <w:t>chett’s probation</w:t>
      </w:r>
      <w:r w:rsidR="00FF012F">
        <w:t xml:space="preserve"> </w:t>
      </w:r>
      <w:r w:rsidR="00CD21A7">
        <w:t xml:space="preserve">on its effective date </w:t>
      </w:r>
      <w:r w:rsidR="00854B41">
        <w:t>because she had been on probation for more than one year</w:t>
      </w:r>
      <w:r w:rsidR="006511B6">
        <w:t xml:space="preserve"> at </w:t>
      </w:r>
      <w:r w:rsidR="00FF012F">
        <w:t>that time</w:t>
      </w:r>
      <w:r w:rsidR="00854B41">
        <w:t xml:space="preserve">, </w:t>
      </w:r>
      <w:r>
        <w:t xml:space="preserve">the </w:t>
      </w:r>
      <w:r w:rsidR="004D3DFF">
        <w:t xml:space="preserve">subsequent </w:t>
      </w:r>
      <w:r w:rsidR="005C6F00">
        <w:t>probation</w:t>
      </w:r>
      <w:r w:rsidR="00854B41">
        <w:t xml:space="preserve"> </w:t>
      </w:r>
      <w:r>
        <w:t xml:space="preserve">search </w:t>
      </w:r>
      <w:r w:rsidR="00854B41">
        <w:t xml:space="preserve">of her hotel room </w:t>
      </w:r>
      <w:r>
        <w:t xml:space="preserve">was presumptively invalid.  </w:t>
      </w:r>
    </w:p>
    <w:p w:rsidR="00EF4ABA" w:rsidP="00EF4ABA" w14:paraId="0641806E" w14:textId="15398330">
      <w:pPr>
        <w:ind w:firstLine="720"/>
        <w:rPr>
          <w:shd w:val="clear" w:color="auto" w:fill="FFFFFF"/>
        </w:rPr>
      </w:pPr>
      <w:r>
        <w:t xml:space="preserve">Where a search is found to be invalid, </w:t>
      </w:r>
      <w:r w:rsidRPr="00EF4ABA">
        <w:rPr>
          <w:shd w:val="clear" w:color="auto" w:fill="FFFFFF"/>
        </w:rPr>
        <w:t>“a Fourth Amendment violation is shown and the question</w:t>
      </w:r>
      <w:r w:rsidR="00FD639F">
        <w:rPr>
          <w:shd w:val="clear" w:color="auto" w:fill="FFFFFF"/>
        </w:rPr>
        <w:t xml:space="preserve"> . . . </w:t>
      </w:r>
      <w:r w:rsidRPr="00EF4ABA">
        <w:rPr>
          <w:shd w:val="clear" w:color="auto" w:fill="FFFFFF"/>
        </w:rPr>
        <w:t>becomes whether such constitutional violation is appropriately remedied by</w:t>
      </w:r>
      <w:r w:rsidR="00494193">
        <w:rPr>
          <w:shd w:val="clear" w:color="auto" w:fill="FFFFFF"/>
        </w:rPr>
        <w:t xml:space="preserve"> the</w:t>
      </w:r>
      <w:r w:rsidRPr="00EF4ABA">
        <w:rPr>
          <w:shd w:val="clear" w:color="auto" w:fill="FFFFFF"/>
        </w:rPr>
        <w:t xml:space="preserve"> application of the judicially created exclusionary rule which prohibits the admission at trial of the evidence obtained during the unlawful search.”</w:t>
      </w:r>
      <w:r>
        <w:rPr>
          <w:shd w:val="clear" w:color="auto" w:fill="FFFFFF"/>
        </w:rPr>
        <w:t xml:space="preserve">  (</w:t>
      </w:r>
      <w:r w:rsidRPr="006A10D8">
        <w:rPr>
          <w:i/>
          <w:iCs/>
          <w:shd w:val="clear" w:color="auto" w:fill="FFFFFF"/>
        </w:rPr>
        <w:t>People v. Downing</w:t>
      </w:r>
      <w:r>
        <w:rPr>
          <w:shd w:val="clear" w:color="auto" w:fill="FFFFFF"/>
        </w:rPr>
        <w:t xml:space="preserve"> (1995) 33 Cal.App.4</w:t>
      </w:r>
      <w:r w:rsidRPr="006A10D8">
        <w:rPr>
          <w:shd w:val="clear" w:color="auto" w:fill="FFFFFF"/>
        </w:rPr>
        <w:t xml:space="preserve">th </w:t>
      </w:r>
      <w:r>
        <w:rPr>
          <w:shd w:val="clear" w:color="auto" w:fill="FFFFFF"/>
        </w:rPr>
        <w:t>1641, 1650–1651</w:t>
      </w:r>
      <w:r w:rsidR="004B1C32">
        <w:rPr>
          <w:shd w:val="clear" w:color="auto" w:fill="FFFFFF"/>
        </w:rPr>
        <w:t xml:space="preserve"> (</w:t>
      </w:r>
      <w:r w:rsidRPr="004B1C32" w:rsidR="004B1C32">
        <w:rPr>
          <w:i/>
          <w:iCs/>
          <w:shd w:val="clear" w:color="auto" w:fill="FFFFFF"/>
        </w:rPr>
        <w:t>Downing</w:t>
      </w:r>
      <w:r w:rsidR="004B1C32">
        <w:rPr>
          <w:shd w:val="clear" w:color="auto" w:fill="FFFFFF"/>
        </w:rPr>
        <w:t>)</w:t>
      </w:r>
      <w:r>
        <w:rPr>
          <w:shd w:val="clear" w:color="auto" w:fill="FFFFFF"/>
        </w:rPr>
        <w:t xml:space="preserve">, citing </w:t>
      </w:r>
      <w:r w:rsidRPr="006A10D8">
        <w:rPr>
          <w:i/>
          <w:iCs/>
          <w:shd w:val="clear" w:color="auto" w:fill="FFFFFF"/>
        </w:rPr>
        <w:t>United States v</w:t>
      </w:r>
      <w:r w:rsidRPr="006A10D8" w:rsidR="006A10D8">
        <w:rPr>
          <w:i/>
          <w:iCs/>
          <w:shd w:val="clear" w:color="auto" w:fill="FFFFFF"/>
        </w:rPr>
        <w:t>. Leon</w:t>
      </w:r>
      <w:r w:rsidR="006A10D8">
        <w:rPr>
          <w:shd w:val="clear" w:color="auto" w:fill="FFFFFF"/>
        </w:rPr>
        <w:t xml:space="preserve"> (1984) 468 U.S. 897, 906 (</w:t>
      </w:r>
      <w:r w:rsidRPr="006A10D8" w:rsidR="006A10D8">
        <w:rPr>
          <w:i/>
          <w:iCs/>
          <w:shd w:val="clear" w:color="auto" w:fill="FFFFFF"/>
        </w:rPr>
        <w:t>Leon</w:t>
      </w:r>
      <w:r w:rsidR="006A10D8">
        <w:rPr>
          <w:shd w:val="clear" w:color="auto" w:fill="FFFFFF"/>
        </w:rPr>
        <w:t>).)  Exclusion of the evidence is compelled “only where it ‘ “result[s] in appreciable deterrence.” ’ ”  (</w:t>
      </w:r>
      <w:r w:rsidRPr="006A10D8" w:rsidR="006A10D8">
        <w:rPr>
          <w:i/>
          <w:iCs/>
          <w:shd w:val="clear" w:color="auto" w:fill="FFFFFF"/>
        </w:rPr>
        <w:t>Herring v. United States</w:t>
      </w:r>
      <w:r w:rsidR="006A10D8">
        <w:rPr>
          <w:shd w:val="clear" w:color="auto" w:fill="FFFFFF"/>
        </w:rPr>
        <w:t xml:space="preserve"> (2009) 555 U.S. 135, 141 (</w:t>
      </w:r>
      <w:r w:rsidRPr="006A10D8" w:rsidR="006A10D8">
        <w:rPr>
          <w:i/>
          <w:iCs/>
          <w:shd w:val="clear" w:color="auto" w:fill="FFFFFF"/>
        </w:rPr>
        <w:t>Herring</w:t>
      </w:r>
      <w:r w:rsidR="006A10D8">
        <w:rPr>
          <w:shd w:val="clear" w:color="auto" w:fill="FFFFFF"/>
        </w:rPr>
        <w:t xml:space="preserve">).)  </w:t>
      </w:r>
      <w:r w:rsidRPr="006A10D8" w:rsidR="006A10D8">
        <w:rPr>
          <w:shd w:val="clear" w:color="auto" w:fill="FFFFFF"/>
        </w:rPr>
        <w:t>The Supreme Court has recognized that “exclusion ‘has always been our last resort, not our first impulse,’ [citation] and our precedents establish important principles that constrain application of the exclusionary rule.</w:t>
      </w:r>
      <w:r w:rsidR="00F1776C">
        <w:rPr>
          <w:shd w:val="clear" w:color="auto" w:fill="FFFFFF"/>
        </w:rPr>
        <w:t>”</w:t>
      </w:r>
      <w:r w:rsidR="006A10D8">
        <w:rPr>
          <w:shd w:val="clear" w:color="auto" w:fill="FFFFFF"/>
        </w:rPr>
        <w:t xml:space="preserve">  (</w:t>
      </w:r>
      <w:r w:rsidRPr="006A10D8" w:rsidR="006A10D8">
        <w:rPr>
          <w:i/>
          <w:iCs/>
          <w:shd w:val="clear" w:color="auto" w:fill="FFFFFF"/>
        </w:rPr>
        <w:t>Id.</w:t>
      </w:r>
      <w:r w:rsidR="006A10D8">
        <w:rPr>
          <w:shd w:val="clear" w:color="auto" w:fill="FFFFFF"/>
        </w:rPr>
        <w:t xml:space="preserve"> at p. 140.)  </w:t>
      </w:r>
    </w:p>
    <w:p w:rsidR="006A10D8" w:rsidP="006A10D8" w14:paraId="5D4D3E10" w14:textId="0BE995AA">
      <w:pPr>
        <w:ind w:firstLine="720"/>
        <w:rPr>
          <w:shd w:val="clear" w:color="auto" w:fill="FFFFFF"/>
        </w:rPr>
      </w:pPr>
      <w:r w:rsidRPr="006A10D8">
        <w:rPr>
          <w:shd w:val="clear" w:color="auto" w:fill="FFFFFF"/>
        </w:rPr>
        <w:t>“To trigger the exclusionary rule, police conduct must be sufficiently deliberate that exclusion can meaningfully deter it, and sufficiently culpable that such deterrence is worth the price paid by the justice system</w:t>
      </w:r>
      <w:r w:rsidR="00FD639F">
        <w:rPr>
          <w:shd w:val="clear" w:color="auto" w:fill="FFFFFF"/>
        </w:rPr>
        <w:t>. . . .</w:t>
      </w:r>
      <w:r w:rsidRPr="006A10D8">
        <w:rPr>
          <w:shd w:val="clear" w:color="auto" w:fill="FFFFFF"/>
        </w:rPr>
        <w:t xml:space="preserve"> </w:t>
      </w:r>
      <w:r w:rsidR="00FD639F">
        <w:rPr>
          <w:shd w:val="clear" w:color="auto" w:fill="FFFFFF"/>
        </w:rPr>
        <w:t xml:space="preserve"> </w:t>
      </w:r>
      <w:r w:rsidRPr="006A10D8">
        <w:rPr>
          <w:shd w:val="clear" w:color="auto" w:fill="FFFFFF"/>
        </w:rPr>
        <w:t>[T]he exclusionary rule serves to deter deliberate, reckless, or grossly negligent conduct, or in some circumstances recurring or systemic negligence.”  (</w:t>
      </w:r>
      <w:r w:rsidRPr="006A10D8">
        <w:rPr>
          <w:i/>
          <w:iCs/>
          <w:shd w:val="clear" w:color="auto" w:fill="FFFFFF"/>
        </w:rPr>
        <w:t>Herring, supra</w:t>
      </w:r>
      <w:r w:rsidRPr="006A10D8">
        <w:rPr>
          <w:shd w:val="clear" w:color="auto" w:fill="FFFFFF"/>
        </w:rPr>
        <w:t>, 555 U.S. at p. 144.)  “[W]hen police mistakes are the result of negligence</w:t>
      </w:r>
      <w:r w:rsidR="00FD639F">
        <w:rPr>
          <w:shd w:val="clear" w:color="auto" w:fill="FFFFFF"/>
        </w:rPr>
        <w:t xml:space="preserve"> . . . </w:t>
      </w:r>
      <w:r w:rsidRPr="006A10D8">
        <w:rPr>
          <w:shd w:val="clear" w:color="auto" w:fill="FFFFFF"/>
        </w:rPr>
        <w:t>rather than systemic error or reckless disregard of constitutional requirements, any marginal deterrence does not ‘pay its way.’</w:t>
      </w:r>
      <w:r w:rsidR="00F1776C">
        <w:rPr>
          <w:shd w:val="clear" w:color="auto" w:fill="FFFFFF"/>
        </w:rPr>
        <w:t xml:space="preserve"> </w:t>
      </w:r>
      <w:r w:rsidRPr="006A10D8">
        <w:rPr>
          <w:shd w:val="clear" w:color="auto" w:fill="FFFFFF"/>
        </w:rPr>
        <w:t xml:space="preserve"> [Citation.]</w:t>
      </w:r>
      <w:r w:rsidR="00F1776C">
        <w:rPr>
          <w:shd w:val="clear" w:color="auto" w:fill="FFFFFF"/>
        </w:rPr>
        <w:t xml:space="preserve"> </w:t>
      </w:r>
      <w:r w:rsidRPr="006A10D8">
        <w:rPr>
          <w:shd w:val="clear" w:color="auto" w:fill="FFFFFF"/>
        </w:rPr>
        <w:t xml:space="preserve"> In such a case, the criminal should not ‘go free because the constable has blundered.”  (</w:t>
      </w:r>
      <w:r w:rsidRPr="006A10D8">
        <w:rPr>
          <w:i/>
          <w:iCs/>
          <w:shd w:val="clear" w:color="auto" w:fill="FFFFFF"/>
        </w:rPr>
        <w:t>Id.</w:t>
      </w:r>
      <w:r w:rsidRPr="006A10D8">
        <w:rPr>
          <w:shd w:val="clear" w:color="auto" w:fill="FFFFFF"/>
        </w:rPr>
        <w:t xml:space="preserve"> at pp. 147–148.)</w:t>
      </w:r>
    </w:p>
    <w:p w:rsidR="00BF3EC5" w:rsidP="006A10D8" w14:paraId="5246C49E" w14:textId="29571EC3">
      <w:pPr>
        <w:ind w:firstLine="720"/>
        <w:rPr>
          <w:shd w:val="clear" w:color="auto" w:fill="FFFFFF"/>
        </w:rPr>
      </w:pPr>
      <w:r>
        <w:rPr>
          <w:shd w:val="clear" w:color="auto" w:fill="FFFFFF"/>
        </w:rPr>
        <w:t xml:space="preserve">The Supreme Court has clarified that, in applying the good faith exception, “[t]he pertinent </w:t>
      </w:r>
      <w:r w:rsidR="002D6036">
        <w:rPr>
          <w:shd w:val="clear" w:color="auto" w:fill="FFFFFF"/>
        </w:rPr>
        <w:t>analysis of deterrence and culpability is objective, not an ‘inquiry into the subjective awareness of arresting officers.’ ”  (</w:t>
      </w:r>
      <w:r w:rsidRPr="002D6036" w:rsidR="002D6036">
        <w:rPr>
          <w:i/>
          <w:iCs/>
          <w:shd w:val="clear" w:color="auto" w:fill="FFFFFF"/>
        </w:rPr>
        <w:t>Herring, supra</w:t>
      </w:r>
      <w:r w:rsidR="002D6036">
        <w:rPr>
          <w:shd w:val="clear" w:color="auto" w:fill="FFFFFF"/>
        </w:rPr>
        <w:t>, 555 U.S. at p. 145.)  The “ ‘good-faith inquiry is confined to the objectively ascertainable question whether a reasonably well trained officer would have known that the search was illegal</w:t>
      </w:r>
      <w:r w:rsidR="00F95954">
        <w:rPr>
          <w:shd w:val="clear" w:color="auto" w:fill="FFFFFF"/>
        </w:rPr>
        <w:t>’</w:t>
      </w:r>
      <w:r w:rsidR="002D6036">
        <w:rPr>
          <w:shd w:val="clear" w:color="auto" w:fill="FFFFFF"/>
        </w:rPr>
        <w:t xml:space="preserve"> in light of </w:t>
      </w:r>
      <w:r w:rsidR="00494193">
        <w:rPr>
          <w:shd w:val="clear" w:color="auto" w:fill="FFFFFF"/>
        </w:rPr>
        <w:t>‘</w:t>
      </w:r>
      <w:r w:rsidR="002D6036">
        <w:rPr>
          <w:shd w:val="clear" w:color="auto" w:fill="FFFFFF"/>
        </w:rPr>
        <w:t>all of the circumstances.’ ”  (</w:t>
      </w:r>
      <w:r w:rsidRPr="002D6036" w:rsidR="002D6036">
        <w:rPr>
          <w:i/>
          <w:iCs/>
          <w:shd w:val="clear" w:color="auto" w:fill="FFFFFF"/>
        </w:rPr>
        <w:t>Ibid.</w:t>
      </w:r>
      <w:r w:rsidR="002D6036">
        <w:rPr>
          <w:shd w:val="clear" w:color="auto" w:fill="FFFFFF"/>
        </w:rPr>
        <w:t>)</w:t>
      </w:r>
    </w:p>
    <w:p w:rsidR="006A10D8" w:rsidRPr="00EF4ABA" w:rsidP="00EF4ABA" w14:paraId="4461D97D" w14:textId="1D114F6F">
      <w:pPr>
        <w:ind w:firstLine="720"/>
      </w:pPr>
      <w:r>
        <w:t>We</w:t>
      </w:r>
      <w:r w:rsidR="00800BFD">
        <w:t xml:space="preserve"> independently determine </w:t>
      </w:r>
      <w:r>
        <w:t>the legality of a challenged search or seizure where the facts are undisputed</w:t>
      </w:r>
      <w:r w:rsidR="00800BFD">
        <w:t xml:space="preserve">.  </w:t>
      </w:r>
      <w:r>
        <w:t>(</w:t>
      </w:r>
      <w:r w:rsidRPr="00FD639F">
        <w:rPr>
          <w:i/>
          <w:iCs/>
        </w:rPr>
        <w:t>People v. Holiman</w:t>
      </w:r>
      <w:r>
        <w:t xml:space="preserve"> (2022) 76 Cal.App.5</w:t>
      </w:r>
      <w:r w:rsidRPr="00FD639F">
        <w:t>th</w:t>
      </w:r>
      <w:r>
        <w:t xml:space="preserve"> 825, 831; </w:t>
      </w:r>
      <w:r w:rsidRPr="00FD639F">
        <w:rPr>
          <w:i/>
          <w:iCs/>
        </w:rPr>
        <w:t>People v. Balint</w:t>
      </w:r>
      <w:r>
        <w:t xml:space="preserve"> (2006) 138 Cal.App.4</w:t>
      </w:r>
      <w:r w:rsidRPr="00FD639F">
        <w:t>th</w:t>
      </w:r>
      <w:r>
        <w:t xml:space="preserve"> 200, 205.)  </w:t>
      </w:r>
      <w:r w:rsidR="00800BFD">
        <w:t>The only facts relevant to the search of Pri</w:t>
      </w:r>
      <w:r w:rsidR="00707725">
        <w:t>t</w:t>
      </w:r>
      <w:r w:rsidR="00800BFD">
        <w:t xml:space="preserve">chett’s room are those stated in </w:t>
      </w:r>
      <w:r w:rsidR="00575BBD">
        <w:t>Vlahandreas’s</w:t>
      </w:r>
      <w:r w:rsidR="00800BFD">
        <w:t xml:space="preserve"> </w:t>
      </w:r>
      <w:r w:rsidRPr="004A6071" w:rsidR="00800BFD">
        <w:t>testimony; no other evidence concerning the search was introduced at the hearing on the suppression motion.</w:t>
      </w:r>
      <w:r w:rsidR="00800BFD">
        <w:t xml:space="preserve">  The trial court’s application of the law to those facts thus presents a purely legal question subject to our de novo review.</w:t>
      </w:r>
      <w:r w:rsidR="004A6071">
        <w:t xml:space="preserve">  (</w:t>
      </w:r>
      <w:r w:rsidR="006A3F7B">
        <w:t xml:space="preserve">See </w:t>
      </w:r>
      <w:r w:rsidRPr="006A3F7B" w:rsidR="006A3F7B">
        <w:rPr>
          <w:i/>
          <w:iCs/>
        </w:rPr>
        <w:t>Downing, supra</w:t>
      </w:r>
      <w:r w:rsidR="006A3F7B">
        <w:t>, 33 Cal.App.4</w:t>
      </w:r>
      <w:r w:rsidRPr="006A3F7B" w:rsidR="006A3F7B">
        <w:t xml:space="preserve">th </w:t>
      </w:r>
      <w:r w:rsidR="006A3F7B">
        <w:t>at p. 1650.)</w:t>
      </w:r>
    </w:p>
    <w:p w:rsidR="000636A1" w:rsidRPr="00854B41" w:rsidP="000636A1" w14:paraId="5CD49194" w14:textId="4635C6CF">
      <w:pPr>
        <w:pStyle w:val="ListParagraph"/>
        <w:numPr>
          <w:ilvl w:val="0"/>
          <w:numId w:val="1"/>
        </w:numPr>
        <w:rPr>
          <w:b/>
          <w:bCs/>
          <w:i/>
          <w:iCs/>
        </w:rPr>
      </w:pPr>
      <w:r w:rsidRPr="00854B41">
        <w:rPr>
          <w:b/>
          <w:bCs/>
          <w:i/>
          <w:iCs/>
        </w:rPr>
        <w:t>Analysis</w:t>
      </w:r>
    </w:p>
    <w:p w:rsidR="00FD639F" w:rsidP="00575BBD" w14:paraId="4E3E3322" w14:textId="16E2DC2D">
      <w:pPr>
        <w:ind w:firstLine="720"/>
      </w:pPr>
      <w:r>
        <w:t xml:space="preserve">The </w:t>
      </w:r>
      <w:r w:rsidR="00B72D49">
        <w:t xml:space="preserve">People argue </w:t>
      </w:r>
      <w:r>
        <w:t>the trial court erred in concluding the good faith exception was inapplicable</w:t>
      </w:r>
      <w:r w:rsidR="0042136C">
        <w:t xml:space="preserve">, as </w:t>
      </w:r>
      <w:r w:rsidR="00B72D49">
        <w:t>Vlahandreas acted reasonably in relying on court records to verify Pri</w:t>
      </w:r>
      <w:r w:rsidR="00707725">
        <w:t>t</w:t>
      </w:r>
      <w:r w:rsidR="00B72D49">
        <w:t xml:space="preserve">chett’s probation status prior to conducting the search. </w:t>
      </w:r>
      <w:r>
        <w:t xml:space="preserve"> We agree.</w:t>
      </w:r>
      <w:r w:rsidR="00800BFD">
        <w:t xml:space="preserve"> </w:t>
      </w:r>
    </w:p>
    <w:p w:rsidR="00AC1CC9" w:rsidP="00AC1CC9" w14:paraId="62665C12" w14:textId="5C6EFFBB">
      <w:pPr>
        <w:ind w:firstLine="720"/>
      </w:pPr>
      <w:r>
        <w:t xml:space="preserve">The trial court based its ruling </w:t>
      </w:r>
      <w:r w:rsidR="00A86594">
        <w:t xml:space="preserve">in part </w:t>
      </w:r>
      <w:r>
        <w:t xml:space="preserve">on </w:t>
      </w:r>
      <w:r w:rsidR="00575BBD">
        <w:t>Vlahandreas</w:t>
      </w:r>
      <w:r w:rsidR="00E467AD">
        <w:t xml:space="preserve">’s testimony that he was </w:t>
      </w:r>
      <w:r w:rsidR="00A80E75">
        <w:t>un</w:t>
      </w:r>
      <w:r w:rsidR="00E467AD">
        <w:t>aware of AB 1950</w:t>
      </w:r>
      <w:r w:rsidR="00B72D49">
        <w:t xml:space="preserve"> and the absence of evidence of any training he received</w:t>
      </w:r>
      <w:r w:rsidR="00E467AD">
        <w:t xml:space="preserve">, reasoning that </w:t>
      </w:r>
      <w:r w:rsidR="00B72D49">
        <w:t>“[b]eing a reasonably well-trained officer is a prerequisite to applying the good faith exception.”</w:t>
      </w:r>
      <w:r w:rsidR="00AD7670">
        <w:t xml:space="preserve">  The court </w:t>
      </w:r>
      <w:r w:rsidRPr="00AD7670" w:rsidR="00AD7670">
        <w:t>further stated</w:t>
      </w:r>
      <w:r w:rsidR="00C670CC">
        <w:t xml:space="preserve"> that while it did not expect law enforcement to “understand or know the intricacies or nuances of AB 1950,” it nonetheless expected a reasonably well-trained officer to “at least have heard of a sweeping change to the law such as AB 1950 which significantly affected probation lengths.”  </w:t>
      </w:r>
      <w:r w:rsidRPr="00AD7670" w:rsidR="00AD7670">
        <w:t xml:space="preserve">“The fact that </w:t>
      </w:r>
      <w:r w:rsidR="00AD7670">
        <w:t>[</w:t>
      </w:r>
      <w:r w:rsidR="00C670CC">
        <w:t>V</w:t>
      </w:r>
      <w:r w:rsidR="00505E85">
        <w:t>lahandreas</w:t>
      </w:r>
      <w:r w:rsidR="00AD7670">
        <w:t>]</w:t>
      </w:r>
      <w:r w:rsidRPr="00AD7670" w:rsidR="00AD7670">
        <w:t xml:space="preserve"> may have relied on a database containing information from the court would likely have entitled him to the good faith exception had he been reasonably well-trained.</w:t>
      </w:r>
      <w:r w:rsidR="00AD7670">
        <w:t xml:space="preserve">”  </w:t>
      </w:r>
      <w:r w:rsidR="0096701E">
        <w:t>The court appears to have misunderstood the objective good faith test.</w:t>
      </w:r>
    </w:p>
    <w:p w:rsidR="00AD7670" w:rsidP="0096701E" w14:paraId="2BED3EA9" w14:textId="0A718E97">
      <w:pPr>
        <w:ind w:firstLine="720"/>
        <w:rPr>
          <w:kern w:val="0"/>
          <w14:ligatures w14:val="none"/>
        </w:rPr>
      </w:pPr>
      <w:r>
        <w:t>“</w:t>
      </w:r>
      <w:r w:rsidR="0096701E">
        <w:t>T</w:t>
      </w:r>
      <w:r>
        <w:t>he objectively ascertainable question is not whether [the officer] was well-trained or experienced, but whether a reasonably well-trained officer in his position would have known that” the search was illegal.  (</w:t>
      </w:r>
      <w:r w:rsidRPr="00AD7670">
        <w:rPr>
          <w:i/>
          <w:iCs/>
        </w:rPr>
        <w:t>People v. Maestas</w:t>
      </w:r>
      <w:r>
        <w:t xml:space="preserve"> (1988) 204 Cal.App.3d 1208, 1217; see also </w:t>
      </w:r>
      <w:r w:rsidRPr="00AD7670">
        <w:rPr>
          <w:i/>
          <w:iCs/>
        </w:rPr>
        <w:t>People v. Lange</w:t>
      </w:r>
      <w:r>
        <w:t xml:space="preserve"> (2021) 72 Cal.App.5</w:t>
      </w:r>
      <w:r w:rsidRPr="00AD7670">
        <w:t xml:space="preserve">th </w:t>
      </w:r>
      <w:r>
        <w:t>1114, 1124 [</w:t>
      </w:r>
      <w:r w:rsidRPr="00AD7670">
        <w:rPr>
          <w:kern w:val="0"/>
          <w14:ligatures w14:val="none"/>
        </w:rPr>
        <w:t xml:space="preserve">rejecting </w:t>
      </w:r>
      <w:r w:rsidR="002C4104">
        <w:rPr>
          <w:kern w:val="0"/>
          <w14:ligatures w14:val="none"/>
        </w:rPr>
        <w:t xml:space="preserve">the </w:t>
      </w:r>
      <w:r w:rsidRPr="00AD7670">
        <w:rPr>
          <w:kern w:val="0"/>
          <w14:ligatures w14:val="none"/>
        </w:rPr>
        <w:t xml:space="preserve">defendant’s assertion that he should have had </w:t>
      </w:r>
      <w:r>
        <w:rPr>
          <w:kern w:val="0"/>
          <w14:ligatures w14:val="none"/>
        </w:rPr>
        <w:t xml:space="preserve">an </w:t>
      </w:r>
      <w:r w:rsidRPr="00AD7670">
        <w:rPr>
          <w:kern w:val="0"/>
          <w14:ligatures w14:val="none"/>
        </w:rPr>
        <w:t xml:space="preserve">opportunity to investigate the officer’s familiarity with </w:t>
      </w:r>
      <w:r>
        <w:rPr>
          <w:kern w:val="0"/>
          <w14:ligatures w14:val="none"/>
        </w:rPr>
        <w:t xml:space="preserve">the </w:t>
      </w:r>
      <w:r w:rsidRPr="00AD7670">
        <w:rPr>
          <w:kern w:val="0"/>
          <w14:ligatures w14:val="none"/>
        </w:rPr>
        <w:t>applicable law]</w:t>
      </w:r>
      <w:r w:rsidR="00927C0B">
        <w:rPr>
          <w:kern w:val="0"/>
          <w14:ligatures w14:val="none"/>
        </w:rPr>
        <w:t xml:space="preserve">; </w:t>
      </w:r>
      <w:r w:rsidRPr="00927C0B" w:rsidR="00927C0B">
        <w:rPr>
          <w:i/>
          <w:iCs/>
          <w:kern w:val="0"/>
          <w14:ligatures w14:val="none"/>
        </w:rPr>
        <w:t>Herring, supra</w:t>
      </w:r>
      <w:r w:rsidR="00927C0B">
        <w:rPr>
          <w:kern w:val="0"/>
          <w14:ligatures w14:val="none"/>
        </w:rPr>
        <w:t>, 555 U.S. at p. 145</w:t>
      </w:r>
      <w:r w:rsidR="00340521">
        <w:rPr>
          <w:kern w:val="0"/>
          <w14:ligatures w14:val="none"/>
        </w:rPr>
        <w:t xml:space="preserve">.)  </w:t>
      </w:r>
      <w:r w:rsidR="004B1C32">
        <w:rPr>
          <w:kern w:val="0"/>
          <w14:ligatures w14:val="none"/>
        </w:rPr>
        <w:t xml:space="preserve">The question </w:t>
      </w:r>
      <w:r w:rsidR="00C038B7">
        <w:rPr>
          <w:kern w:val="0"/>
          <w14:ligatures w14:val="none"/>
        </w:rPr>
        <w:t>thus</w:t>
      </w:r>
      <w:r w:rsidR="004B1C32">
        <w:rPr>
          <w:kern w:val="0"/>
          <w14:ligatures w14:val="none"/>
        </w:rPr>
        <w:t xml:space="preserve"> is </w:t>
      </w:r>
      <w:r w:rsidR="00A67BBD">
        <w:rPr>
          <w:kern w:val="0"/>
          <w14:ligatures w14:val="none"/>
        </w:rPr>
        <w:t xml:space="preserve">whether Vlahandreas “may properly be charged with knowledge that the search was </w:t>
      </w:r>
      <w:r w:rsidR="00AC1CC9">
        <w:rPr>
          <w:kern w:val="0"/>
          <w14:ligatures w14:val="none"/>
        </w:rPr>
        <w:t>unconstitutional”</w:t>
      </w:r>
      <w:r w:rsidR="00340521">
        <w:rPr>
          <w:kern w:val="0"/>
          <w14:ligatures w14:val="none"/>
        </w:rPr>
        <w:t xml:space="preserve"> based on the information provided to him.</w:t>
      </w:r>
      <w:r>
        <w:rPr>
          <w:rStyle w:val="FootnoteReference"/>
          <w:kern w:val="0"/>
          <w14:ligatures w14:val="none"/>
        </w:rPr>
        <w:footnoteReference w:id="3"/>
      </w:r>
      <w:r w:rsidR="004B1C32">
        <w:rPr>
          <w:kern w:val="0"/>
          <w14:ligatures w14:val="none"/>
        </w:rPr>
        <w:t xml:space="preserve">  </w:t>
      </w:r>
      <w:r w:rsidR="00AC1CC9">
        <w:rPr>
          <w:kern w:val="0"/>
          <w14:ligatures w14:val="none"/>
        </w:rPr>
        <w:t>(</w:t>
      </w:r>
      <w:r w:rsidRPr="00AC1CC9" w:rsidR="00AC1CC9">
        <w:rPr>
          <w:i/>
          <w:iCs/>
          <w:kern w:val="0"/>
          <w14:ligatures w14:val="none"/>
        </w:rPr>
        <w:t>Leon, supra</w:t>
      </w:r>
      <w:r w:rsidR="00AC1CC9">
        <w:rPr>
          <w:kern w:val="0"/>
          <w14:ligatures w14:val="none"/>
        </w:rPr>
        <w:t>, 468 U.S. at p. 919</w:t>
      </w:r>
      <w:r w:rsidR="00340521">
        <w:rPr>
          <w:kern w:val="0"/>
          <w14:ligatures w14:val="none"/>
        </w:rPr>
        <w:t xml:space="preserve">; </w:t>
      </w:r>
      <w:r w:rsidRPr="00340521" w:rsidR="00340521">
        <w:rPr>
          <w:i/>
          <w:iCs/>
          <w:kern w:val="0"/>
          <w14:ligatures w14:val="none"/>
        </w:rPr>
        <w:t xml:space="preserve">Herring, </w:t>
      </w:r>
      <w:r w:rsidR="00340521">
        <w:rPr>
          <w:kern w:val="0"/>
          <w14:ligatures w14:val="none"/>
        </w:rPr>
        <w:t>at p. 142.</w:t>
      </w:r>
      <w:r w:rsidR="00AC1CC9">
        <w:rPr>
          <w:kern w:val="0"/>
          <w14:ligatures w14:val="none"/>
        </w:rPr>
        <w:t>)</w:t>
      </w:r>
      <w:r w:rsidR="004B1C32">
        <w:rPr>
          <w:kern w:val="0"/>
          <w14:ligatures w14:val="none"/>
        </w:rPr>
        <w:t xml:space="preserve"> </w:t>
      </w:r>
    </w:p>
    <w:p w:rsidR="002F13F4" w:rsidP="0077417E" w14:paraId="1FC51F65" w14:textId="7E7341FB">
      <w:pPr>
        <w:ind w:firstLine="720"/>
        <w:rPr>
          <w:kern w:val="0"/>
          <w14:ligatures w14:val="none"/>
        </w:rPr>
      </w:pPr>
      <w:r>
        <w:rPr>
          <w:kern w:val="0"/>
          <w14:ligatures w14:val="none"/>
        </w:rPr>
        <w:t xml:space="preserve">On this record, we </w:t>
      </w:r>
      <w:r w:rsidR="00340521">
        <w:rPr>
          <w:kern w:val="0"/>
          <w14:ligatures w14:val="none"/>
        </w:rPr>
        <w:t xml:space="preserve">cannot conclude that </w:t>
      </w:r>
      <w:r w:rsidR="000A430A">
        <w:t>Vlahandreas</w:t>
      </w:r>
      <w:r w:rsidR="00340521">
        <w:rPr>
          <w:kern w:val="0"/>
          <w14:ligatures w14:val="none"/>
        </w:rPr>
        <w:t xml:space="preserve"> would or should have known that the information on Crimnet </w:t>
      </w:r>
      <w:r>
        <w:rPr>
          <w:kern w:val="0"/>
          <w14:ligatures w14:val="none"/>
        </w:rPr>
        <w:t>regarding Pri</w:t>
      </w:r>
      <w:r w:rsidR="00707725">
        <w:rPr>
          <w:kern w:val="0"/>
          <w14:ligatures w14:val="none"/>
        </w:rPr>
        <w:t>t</w:t>
      </w:r>
      <w:r>
        <w:rPr>
          <w:kern w:val="0"/>
          <w14:ligatures w14:val="none"/>
        </w:rPr>
        <w:t xml:space="preserve">chett’s probation status </w:t>
      </w:r>
      <w:r w:rsidR="00340521">
        <w:rPr>
          <w:kern w:val="0"/>
          <w14:ligatures w14:val="none"/>
        </w:rPr>
        <w:t xml:space="preserve">was incorrect. </w:t>
      </w:r>
      <w:r w:rsidR="00947669">
        <w:rPr>
          <w:kern w:val="0"/>
          <w14:ligatures w14:val="none"/>
        </w:rPr>
        <w:t xml:space="preserve"> Crimnet </w:t>
      </w:r>
      <w:r w:rsidR="00165A4D">
        <w:rPr>
          <w:kern w:val="0"/>
          <w14:ligatures w14:val="none"/>
        </w:rPr>
        <w:t>contains</w:t>
      </w:r>
      <w:r w:rsidR="00947669">
        <w:rPr>
          <w:kern w:val="0"/>
          <w14:ligatures w14:val="none"/>
        </w:rPr>
        <w:t xml:space="preserve"> information directly from the judicial system</w:t>
      </w:r>
      <w:r w:rsidR="00C670CC">
        <w:rPr>
          <w:kern w:val="0"/>
          <w14:ligatures w14:val="none"/>
        </w:rPr>
        <w:t xml:space="preserve">, including whether a </w:t>
      </w:r>
      <w:r w:rsidR="00505E85">
        <w:rPr>
          <w:kern w:val="0"/>
          <w14:ligatures w14:val="none"/>
        </w:rPr>
        <w:t>person</w:t>
      </w:r>
      <w:r w:rsidR="00C670CC">
        <w:rPr>
          <w:kern w:val="0"/>
          <w14:ligatures w14:val="none"/>
        </w:rPr>
        <w:t>’s probation had terminated</w:t>
      </w:r>
      <w:r w:rsidR="00947669">
        <w:rPr>
          <w:kern w:val="0"/>
          <w14:ligatures w14:val="none"/>
        </w:rPr>
        <w:t>.</w:t>
      </w:r>
      <w:r w:rsidR="00340521">
        <w:rPr>
          <w:kern w:val="0"/>
          <w14:ligatures w14:val="none"/>
        </w:rPr>
        <w:t xml:space="preserve"> </w:t>
      </w:r>
      <w:r w:rsidR="008F6DE2">
        <w:rPr>
          <w:kern w:val="0"/>
          <w14:ligatures w14:val="none"/>
        </w:rPr>
        <w:t xml:space="preserve"> </w:t>
      </w:r>
      <w:r w:rsidR="000A430A">
        <w:t>Vlahandreas</w:t>
      </w:r>
      <w:r w:rsidR="00340521">
        <w:rPr>
          <w:kern w:val="0"/>
          <w14:ligatures w14:val="none"/>
        </w:rPr>
        <w:t xml:space="preserve"> </w:t>
      </w:r>
      <w:r w:rsidR="0077417E">
        <w:rPr>
          <w:kern w:val="0"/>
          <w14:ligatures w14:val="none"/>
        </w:rPr>
        <w:t xml:space="preserve">found Crimnet accurate and </w:t>
      </w:r>
      <w:r w:rsidR="0041578C">
        <w:rPr>
          <w:kern w:val="0"/>
          <w14:ligatures w14:val="none"/>
        </w:rPr>
        <w:t xml:space="preserve">could not recall an instance where </w:t>
      </w:r>
      <w:r w:rsidR="00CE1196">
        <w:rPr>
          <w:kern w:val="0"/>
          <w14:ligatures w14:val="none"/>
        </w:rPr>
        <w:t>he had</w:t>
      </w:r>
      <w:r w:rsidR="0077417E">
        <w:rPr>
          <w:kern w:val="0"/>
          <w14:ligatures w14:val="none"/>
        </w:rPr>
        <w:t xml:space="preserve"> incorrectly noted someone </w:t>
      </w:r>
      <w:r w:rsidR="00CE1196">
        <w:rPr>
          <w:kern w:val="0"/>
          <w14:ligatures w14:val="none"/>
        </w:rPr>
        <w:t xml:space="preserve">in the system </w:t>
      </w:r>
      <w:r w:rsidR="0077417E">
        <w:rPr>
          <w:kern w:val="0"/>
          <w14:ligatures w14:val="none"/>
        </w:rPr>
        <w:t>was on searchable probation</w:t>
      </w:r>
      <w:r w:rsidR="0041578C">
        <w:rPr>
          <w:kern w:val="0"/>
          <w14:ligatures w14:val="none"/>
        </w:rPr>
        <w:t xml:space="preserve">.  He </w:t>
      </w:r>
      <w:r w:rsidR="00340521">
        <w:rPr>
          <w:kern w:val="0"/>
          <w14:ligatures w14:val="none"/>
        </w:rPr>
        <w:t>had been a detective for three years</w:t>
      </w:r>
      <w:r w:rsidR="00A73080">
        <w:rPr>
          <w:kern w:val="0"/>
          <w14:ligatures w14:val="none"/>
        </w:rPr>
        <w:t xml:space="preserve"> </w:t>
      </w:r>
      <w:r w:rsidR="00340521">
        <w:rPr>
          <w:kern w:val="0"/>
          <w14:ligatures w14:val="none"/>
        </w:rPr>
        <w:t xml:space="preserve">and used Crimnet </w:t>
      </w:r>
      <w:r w:rsidR="00CE1196">
        <w:rPr>
          <w:kern w:val="0"/>
          <w14:ligatures w14:val="none"/>
        </w:rPr>
        <w:t xml:space="preserve">extensively </w:t>
      </w:r>
      <w:r w:rsidR="00B8754C">
        <w:rPr>
          <w:kern w:val="0"/>
          <w14:ligatures w14:val="none"/>
        </w:rPr>
        <w:t>in his investigations</w:t>
      </w:r>
      <w:r w:rsidR="00340521">
        <w:rPr>
          <w:kern w:val="0"/>
          <w14:ligatures w14:val="none"/>
        </w:rPr>
        <w:t>.</w:t>
      </w:r>
      <w:r>
        <w:rPr>
          <w:kern w:val="0"/>
          <w14:ligatures w14:val="none"/>
        </w:rPr>
        <w:t xml:space="preserve">  </w:t>
      </w:r>
      <w:r w:rsidR="004279BC">
        <w:rPr>
          <w:kern w:val="0"/>
          <w14:ligatures w14:val="none"/>
        </w:rPr>
        <w:t>He used it to check Pri</w:t>
      </w:r>
      <w:r w:rsidR="00707725">
        <w:rPr>
          <w:kern w:val="0"/>
          <w14:ligatures w14:val="none"/>
        </w:rPr>
        <w:t>t</w:t>
      </w:r>
      <w:r w:rsidR="004279BC">
        <w:rPr>
          <w:kern w:val="0"/>
          <w14:ligatures w14:val="none"/>
        </w:rPr>
        <w:t xml:space="preserve">chett’s probation status the morning of the search, and it showed that her probation </w:t>
      </w:r>
      <w:r w:rsidR="004A6071">
        <w:rPr>
          <w:kern w:val="0"/>
          <w14:ligatures w14:val="none"/>
        </w:rPr>
        <w:t>was still active</w:t>
      </w:r>
      <w:r w:rsidR="00CD21A7">
        <w:rPr>
          <w:kern w:val="0"/>
          <w14:ligatures w14:val="none"/>
        </w:rPr>
        <w:t xml:space="preserve"> and included a condition that she submit to warrantless searches of her residence</w:t>
      </w:r>
      <w:r w:rsidR="004279BC">
        <w:rPr>
          <w:kern w:val="0"/>
          <w14:ligatures w14:val="none"/>
        </w:rPr>
        <w:t xml:space="preserve">.  </w:t>
      </w:r>
      <w:r w:rsidR="00B7012E">
        <w:rPr>
          <w:kern w:val="0"/>
          <w14:ligatures w14:val="none"/>
        </w:rPr>
        <w:t xml:space="preserve">The record reveals no reason for Vlahandreas to believe Crimnet provided </w:t>
      </w:r>
      <w:r w:rsidR="00D80DC6">
        <w:rPr>
          <w:kern w:val="0"/>
          <w14:ligatures w14:val="none"/>
        </w:rPr>
        <w:t>erroneous</w:t>
      </w:r>
      <w:r w:rsidR="00B7012E">
        <w:rPr>
          <w:kern w:val="0"/>
          <w14:ligatures w14:val="none"/>
        </w:rPr>
        <w:t xml:space="preserve"> information in this instance.  </w:t>
      </w:r>
      <w:r w:rsidR="0041578C">
        <w:rPr>
          <w:kern w:val="0"/>
          <w14:ligatures w14:val="none"/>
        </w:rPr>
        <w:t xml:space="preserve">Based on these facts, </w:t>
      </w:r>
      <w:r w:rsidR="00135A9F">
        <w:t>he</w:t>
      </w:r>
      <w:r w:rsidR="0041578C">
        <w:rPr>
          <w:kern w:val="0"/>
          <w14:ligatures w14:val="none"/>
        </w:rPr>
        <w:t xml:space="preserve"> was acting objectively reasonably when he relied on Crimnet.  (See </w:t>
      </w:r>
      <w:r w:rsidRPr="0041578C" w:rsidR="0041578C">
        <w:rPr>
          <w:i/>
          <w:iCs/>
          <w:kern w:val="0"/>
          <w14:ligatures w14:val="none"/>
        </w:rPr>
        <w:t>Downing, supra</w:t>
      </w:r>
      <w:r w:rsidR="0041578C">
        <w:rPr>
          <w:kern w:val="0"/>
          <w14:ligatures w14:val="none"/>
        </w:rPr>
        <w:t>, 33 Cal.App.4</w:t>
      </w:r>
      <w:r w:rsidRPr="0041578C" w:rsidR="0041578C">
        <w:rPr>
          <w:kern w:val="0"/>
          <w14:ligatures w14:val="none"/>
        </w:rPr>
        <w:t>th</w:t>
      </w:r>
      <w:r w:rsidR="0041578C">
        <w:rPr>
          <w:kern w:val="0"/>
          <w14:ligatures w14:val="none"/>
        </w:rPr>
        <w:t xml:space="preserve"> at </w:t>
      </w:r>
      <w:r w:rsidR="0041578C">
        <w:t>p. 1657 [reversing order granting motion to suppress where officer relied on court-maintained data]</w:t>
      </w:r>
      <w:r w:rsidR="00B7012E">
        <w:t xml:space="preserve">; </w:t>
      </w:r>
      <w:r w:rsidRPr="00B7012E" w:rsidR="00B7012E">
        <w:rPr>
          <w:i/>
          <w:iCs/>
          <w:kern w:val="0"/>
          <w14:ligatures w14:val="none"/>
        </w:rPr>
        <w:t>Arizona v. Evans</w:t>
      </w:r>
      <w:r w:rsidR="00B7012E">
        <w:rPr>
          <w:kern w:val="0"/>
          <w14:ligatures w14:val="none"/>
        </w:rPr>
        <w:t xml:space="preserve"> (1995) 514 U.S. 1, 15–16 [reversing judgment where there was “no indication that the arresting officer was not acting objectively reasonably when he relied upon” </w:t>
      </w:r>
      <w:r w:rsidR="00D80DC6">
        <w:rPr>
          <w:kern w:val="0"/>
          <w14:ligatures w14:val="none"/>
        </w:rPr>
        <w:t>incorrect</w:t>
      </w:r>
      <w:r w:rsidR="00B7012E">
        <w:rPr>
          <w:kern w:val="0"/>
          <w14:ligatures w14:val="none"/>
        </w:rPr>
        <w:t xml:space="preserve"> information provided by court clerk].</w:t>
      </w:r>
      <w:r w:rsidR="0041578C">
        <w:t xml:space="preserve">)  </w:t>
      </w:r>
      <w:r w:rsidR="0041578C">
        <w:rPr>
          <w:kern w:val="0"/>
          <w14:ligatures w14:val="none"/>
        </w:rPr>
        <w:t xml:space="preserve">    </w:t>
      </w:r>
    </w:p>
    <w:p w:rsidR="00340521" w:rsidP="00F67A18" w14:paraId="1B571EDB" w14:textId="35E6EAAD">
      <w:pPr>
        <w:ind w:firstLine="720"/>
        <w:rPr>
          <w:kern w:val="0"/>
          <w14:ligatures w14:val="none"/>
        </w:rPr>
      </w:pPr>
      <w:r>
        <w:rPr>
          <w:kern w:val="0"/>
          <w14:ligatures w14:val="none"/>
        </w:rPr>
        <w:t xml:space="preserve">Even </w:t>
      </w:r>
      <w:r w:rsidR="00165A4D">
        <w:rPr>
          <w:kern w:val="0"/>
          <w14:ligatures w14:val="none"/>
        </w:rPr>
        <w:t>presuming</w:t>
      </w:r>
      <w:r>
        <w:rPr>
          <w:kern w:val="0"/>
          <w14:ligatures w14:val="none"/>
        </w:rPr>
        <w:t xml:space="preserve"> </w:t>
      </w:r>
      <w:r w:rsidR="000A430A">
        <w:t>Vlahandreas</w:t>
      </w:r>
      <w:r>
        <w:rPr>
          <w:kern w:val="0"/>
          <w14:ligatures w14:val="none"/>
        </w:rPr>
        <w:t xml:space="preserve"> </w:t>
      </w:r>
      <w:r w:rsidR="0096701E">
        <w:rPr>
          <w:kern w:val="0"/>
          <w14:ligatures w14:val="none"/>
        </w:rPr>
        <w:t>should have been</w:t>
      </w:r>
      <w:r>
        <w:rPr>
          <w:kern w:val="0"/>
          <w14:ligatures w14:val="none"/>
        </w:rPr>
        <w:t xml:space="preserve"> aware </w:t>
      </w:r>
      <w:r w:rsidR="00377147">
        <w:rPr>
          <w:kern w:val="0"/>
          <w14:ligatures w14:val="none"/>
        </w:rPr>
        <w:t>that AB 1950 made changes to the length of some probation terms</w:t>
      </w:r>
      <w:r>
        <w:rPr>
          <w:kern w:val="0"/>
          <w14:ligatures w14:val="none"/>
        </w:rPr>
        <w:t xml:space="preserve">, </w:t>
      </w:r>
      <w:r w:rsidR="0096701E">
        <w:rPr>
          <w:kern w:val="0"/>
          <w14:ligatures w14:val="none"/>
        </w:rPr>
        <w:t>this does not change our conclusion.  P</w:t>
      </w:r>
      <w:r w:rsidR="005B131A">
        <w:rPr>
          <w:kern w:val="0"/>
          <w14:ligatures w14:val="none"/>
        </w:rPr>
        <w:t>olice officers are not legal experts.</w:t>
      </w:r>
      <w:r w:rsidR="00C55ACF">
        <w:rPr>
          <w:kern w:val="0"/>
          <w14:ligatures w14:val="none"/>
        </w:rPr>
        <w:t xml:space="preserve">  “[W]hat would be reasonable for a well-trained officer is not necessarily the same as what would be reasonable for a jurist.”  </w:t>
      </w:r>
      <w:r w:rsidR="001B5E1F">
        <w:rPr>
          <w:kern w:val="0"/>
          <w14:ligatures w14:val="none"/>
        </w:rPr>
        <w:t>(</w:t>
      </w:r>
      <w:r w:rsidRPr="001B2DDE" w:rsidR="00C55ACF">
        <w:rPr>
          <w:i/>
          <w:iCs/>
          <w:kern w:val="0"/>
          <w14:ligatures w14:val="none"/>
        </w:rPr>
        <w:t>United States v. Workman</w:t>
      </w:r>
      <w:r w:rsidR="00C55ACF">
        <w:rPr>
          <w:kern w:val="0"/>
          <w14:ligatures w14:val="none"/>
        </w:rPr>
        <w:t xml:space="preserve"> (2017) 863 F.3d 1313, 1321; see </w:t>
      </w:r>
      <w:r w:rsidRPr="00B86687" w:rsidR="00C55ACF">
        <w:rPr>
          <w:i/>
          <w:iCs/>
          <w:kern w:val="0"/>
          <w14:ligatures w14:val="none"/>
        </w:rPr>
        <w:t>Heien v. North Carolina</w:t>
      </w:r>
      <w:r w:rsidR="00C55ACF">
        <w:rPr>
          <w:kern w:val="0"/>
          <w14:ligatures w14:val="none"/>
        </w:rPr>
        <w:t xml:space="preserve"> (2014) 574 U.S. 54, 67–68 [officer’s error of law was reasonable where statute was ambiguous].)  </w:t>
      </w:r>
      <w:r w:rsidR="006B0BFA">
        <w:rPr>
          <w:kern w:val="0"/>
          <w14:ligatures w14:val="none"/>
        </w:rPr>
        <w:t>Considering</w:t>
      </w:r>
      <w:r w:rsidRPr="006B0BFA" w:rsidR="006B0BFA">
        <w:rPr>
          <w:kern w:val="0"/>
          <w14:ligatures w14:val="none"/>
        </w:rPr>
        <w:t xml:space="preserve"> the language of AB 1950</w:t>
      </w:r>
      <w:r w:rsidR="00F67A18">
        <w:rPr>
          <w:kern w:val="0"/>
          <w14:ligatures w14:val="none"/>
        </w:rPr>
        <w:t xml:space="preserve"> and the limited legal authority interpreting</w:t>
      </w:r>
      <w:r w:rsidR="008B7118">
        <w:rPr>
          <w:kern w:val="0"/>
          <w14:ligatures w14:val="none"/>
        </w:rPr>
        <w:t xml:space="preserve"> it</w:t>
      </w:r>
      <w:r w:rsidR="006B0BFA">
        <w:rPr>
          <w:kern w:val="0"/>
          <w14:ligatures w14:val="none"/>
        </w:rPr>
        <w:t xml:space="preserve">, </w:t>
      </w:r>
      <w:r w:rsidR="007E26E8">
        <w:rPr>
          <w:kern w:val="0"/>
          <w14:ligatures w14:val="none"/>
        </w:rPr>
        <w:t>we do not expect a</w:t>
      </w:r>
      <w:r w:rsidR="006B0BFA">
        <w:rPr>
          <w:kern w:val="0"/>
          <w14:ligatures w14:val="none"/>
        </w:rPr>
        <w:t xml:space="preserve"> reasonable officer</w:t>
      </w:r>
      <w:r w:rsidRPr="006B0BFA" w:rsidR="006B0BFA">
        <w:rPr>
          <w:kern w:val="0"/>
          <w14:ligatures w14:val="none"/>
        </w:rPr>
        <w:t xml:space="preserve"> </w:t>
      </w:r>
      <w:r w:rsidR="007E26E8">
        <w:rPr>
          <w:kern w:val="0"/>
          <w14:ligatures w14:val="none"/>
        </w:rPr>
        <w:t>to know that AB 1950</w:t>
      </w:r>
      <w:r w:rsidRPr="006B0BFA" w:rsidR="006B0BFA">
        <w:rPr>
          <w:kern w:val="0"/>
          <w14:ligatures w14:val="none"/>
        </w:rPr>
        <w:t xml:space="preserve"> may have terminated </w:t>
      </w:r>
      <w:r w:rsidR="00741DCA">
        <w:rPr>
          <w:kern w:val="0"/>
          <w14:ligatures w14:val="none"/>
        </w:rPr>
        <w:t>existing</w:t>
      </w:r>
      <w:r w:rsidRPr="006B0BFA" w:rsidR="006B0BFA">
        <w:rPr>
          <w:kern w:val="0"/>
          <w14:ligatures w14:val="none"/>
        </w:rPr>
        <w:t xml:space="preserve"> probation </w:t>
      </w:r>
      <w:r w:rsidR="00195DBE">
        <w:rPr>
          <w:kern w:val="0"/>
          <w14:ligatures w14:val="none"/>
        </w:rPr>
        <w:t>sentences</w:t>
      </w:r>
      <w:r w:rsidR="006B0BFA">
        <w:rPr>
          <w:kern w:val="0"/>
          <w14:ligatures w14:val="none"/>
        </w:rPr>
        <w:t xml:space="preserve"> automatically without a judicial determination</w:t>
      </w:r>
      <w:r w:rsidRPr="006B0BFA" w:rsidR="006B0BFA">
        <w:rPr>
          <w:kern w:val="0"/>
          <w14:ligatures w14:val="none"/>
        </w:rPr>
        <w:t>.</w:t>
      </w:r>
      <w:r w:rsidR="00F67A18">
        <w:rPr>
          <w:kern w:val="0"/>
          <w14:ligatures w14:val="none"/>
        </w:rPr>
        <w:t xml:space="preserve">  </w:t>
      </w:r>
      <w:r w:rsidR="002F13F4">
        <w:rPr>
          <w:kern w:val="0"/>
          <w14:ligatures w14:val="none"/>
        </w:rPr>
        <w:t xml:space="preserve">Section 1203a, as amended by AB 1950, </w:t>
      </w:r>
      <w:r w:rsidR="00165A4D">
        <w:rPr>
          <w:kern w:val="0"/>
          <w14:ligatures w14:val="none"/>
        </w:rPr>
        <w:t>does</w:t>
      </w:r>
      <w:r w:rsidR="0041367F">
        <w:rPr>
          <w:kern w:val="0"/>
          <w14:ligatures w14:val="none"/>
        </w:rPr>
        <w:t xml:space="preserve"> not indicate </w:t>
      </w:r>
      <w:r w:rsidR="00377147">
        <w:rPr>
          <w:kern w:val="0"/>
          <w14:ligatures w14:val="none"/>
        </w:rPr>
        <w:t>this on</w:t>
      </w:r>
      <w:r w:rsidR="0041367F">
        <w:rPr>
          <w:kern w:val="0"/>
          <w14:ligatures w14:val="none"/>
        </w:rPr>
        <w:t xml:space="preserve"> its face</w:t>
      </w:r>
      <w:r w:rsidR="00377147">
        <w:rPr>
          <w:kern w:val="0"/>
          <w14:ligatures w14:val="none"/>
        </w:rPr>
        <w:t xml:space="preserve">.  </w:t>
      </w:r>
      <w:r w:rsidR="004A6071">
        <w:rPr>
          <w:kern w:val="0"/>
          <w14:ligatures w14:val="none"/>
        </w:rPr>
        <w:t xml:space="preserve">It simply states </w:t>
      </w:r>
      <w:r w:rsidR="006A3F7B">
        <w:rPr>
          <w:kern w:val="0"/>
          <w14:ligatures w14:val="none"/>
        </w:rPr>
        <w:t>that “[t]he court may . . . make and enforce the terms of probation for a period not to exceed one year” (§ 1203a, subd. (a)), with a limited exception</w:t>
      </w:r>
      <w:r w:rsidR="004A6071">
        <w:rPr>
          <w:kern w:val="0"/>
          <w14:ligatures w14:val="none"/>
        </w:rPr>
        <w:t xml:space="preserve"> </w:t>
      </w:r>
      <w:r w:rsidR="006A3F7B">
        <w:rPr>
          <w:kern w:val="0"/>
          <w14:ligatures w14:val="none"/>
        </w:rPr>
        <w:t>(</w:t>
      </w:r>
      <w:r w:rsidRPr="006A3F7B" w:rsidR="006A3F7B">
        <w:rPr>
          <w:i/>
          <w:iCs/>
          <w:kern w:val="0"/>
          <w14:ligatures w14:val="none"/>
        </w:rPr>
        <w:t>id.</w:t>
      </w:r>
      <w:r w:rsidR="006A3F7B">
        <w:rPr>
          <w:kern w:val="0"/>
          <w14:ligatures w14:val="none"/>
        </w:rPr>
        <w:t>, subd. (b))</w:t>
      </w:r>
      <w:r w:rsidR="006B0BFA">
        <w:rPr>
          <w:kern w:val="0"/>
          <w14:ligatures w14:val="none"/>
        </w:rPr>
        <w:t xml:space="preserve">.  </w:t>
      </w:r>
      <w:r w:rsidR="00F67A18">
        <w:rPr>
          <w:kern w:val="0"/>
          <w14:ligatures w14:val="none"/>
        </w:rPr>
        <w:t>Moreover, no</w:t>
      </w:r>
      <w:r w:rsidR="009851BC">
        <w:rPr>
          <w:kern w:val="0"/>
          <w14:ligatures w14:val="none"/>
        </w:rPr>
        <w:t xml:space="preserve"> court ha</w:t>
      </w:r>
      <w:r w:rsidR="000A430A">
        <w:rPr>
          <w:kern w:val="0"/>
          <w14:ligatures w14:val="none"/>
        </w:rPr>
        <w:t>s</w:t>
      </w:r>
      <w:r w:rsidR="009851BC">
        <w:rPr>
          <w:kern w:val="0"/>
          <w14:ligatures w14:val="none"/>
        </w:rPr>
        <w:t xml:space="preserve"> decided </w:t>
      </w:r>
      <w:r w:rsidR="008B7118">
        <w:rPr>
          <w:kern w:val="0"/>
          <w14:ligatures w14:val="none"/>
        </w:rPr>
        <w:t>this precise issue</w:t>
      </w:r>
      <w:r w:rsidR="009851BC">
        <w:rPr>
          <w:kern w:val="0"/>
          <w14:ligatures w14:val="none"/>
        </w:rPr>
        <w:t xml:space="preserve">, though </w:t>
      </w:r>
      <w:r w:rsidR="001B5E1F">
        <w:rPr>
          <w:kern w:val="0"/>
          <w14:ligatures w14:val="none"/>
        </w:rPr>
        <w:t>one practice guide</w:t>
      </w:r>
      <w:r w:rsidR="009851BC">
        <w:rPr>
          <w:kern w:val="0"/>
          <w14:ligatures w14:val="none"/>
        </w:rPr>
        <w:t xml:space="preserve"> observed that “[s]everal cases support the argument that absent a judicial determination terminating probation, the defendant is still subject to ongoing probation terms.”  (Bensinger, Preliminary Hearing Handbook (The Rutter </w:t>
      </w:r>
      <w:r w:rsidR="004D27D7">
        <w:rPr>
          <w:kern w:val="0"/>
          <w14:ligatures w14:val="none"/>
        </w:rPr>
        <w:t>G</w:t>
      </w:r>
      <w:r w:rsidR="009851BC">
        <w:rPr>
          <w:kern w:val="0"/>
          <w14:ligatures w14:val="none"/>
        </w:rPr>
        <w:t xml:space="preserve">roup 2023) § 8:63, fn. 16; see, e.g., </w:t>
      </w:r>
      <w:r w:rsidRPr="009851BC" w:rsidR="009851BC">
        <w:rPr>
          <w:i/>
          <w:iCs/>
          <w:kern w:val="0"/>
          <w14:ligatures w14:val="none"/>
        </w:rPr>
        <w:t>People v. Fields</w:t>
      </w:r>
      <w:r w:rsidR="009851BC">
        <w:rPr>
          <w:kern w:val="0"/>
          <w14:ligatures w14:val="none"/>
        </w:rPr>
        <w:t xml:space="preserve"> (1981) 119 Cal.App.3d 386, 390–391 [despite reversal of defendant’s conviction, his consent to warrantless search as a probationer is “operative until that status is terminated by its terms or through judicial action”].)  </w:t>
      </w:r>
      <w:r w:rsidR="006B0BFA">
        <w:rPr>
          <w:kern w:val="0"/>
          <w14:ligatures w14:val="none"/>
        </w:rPr>
        <w:t xml:space="preserve">Given the complexity of the </w:t>
      </w:r>
      <w:r w:rsidR="00195DBE">
        <w:rPr>
          <w:kern w:val="0"/>
          <w14:ligatures w14:val="none"/>
        </w:rPr>
        <w:t>issue</w:t>
      </w:r>
      <w:r w:rsidR="009851BC">
        <w:rPr>
          <w:kern w:val="0"/>
          <w14:ligatures w14:val="none"/>
        </w:rPr>
        <w:t xml:space="preserve">, </w:t>
      </w:r>
      <w:r w:rsidR="000A430A">
        <w:t>Vlahandreas</w:t>
      </w:r>
      <w:r w:rsidR="009851BC">
        <w:rPr>
          <w:kern w:val="0"/>
          <w14:ligatures w14:val="none"/>
        </w:rPr>
        <w:t>’s failure to</w:t>
      </w:r>
      <w:r w:rsidR="001B5E1F">
        <w:rPr>
          <w:kern w:val="0"/>
          <w14:ligatures w14:val="none"/>
        </w:rPr>
        <w:t xml:space="preserve"> recognize Pri</w:t>
      </w:r>
      <w:r w:rsidR="00707725">
        <w:rPr>
          <w:kern w:val="0"/>
          <w14:ligatures w14:val="none"/>
        </w:rPr>
        <w:t>t</w:t>
      </w:r>
      <w:r w:rsidR="001B5E1F">
        <w:rPr>
          <w:kern w:val="0"/>
          <w14:ligatures w14:val="none"/>
        </w:rPr>
        <w:t xml:space="preserve">chett’s probation terms may have terminated </w:t>
      </w:r>
      <w:r w:rsidR="00741DCA">
        <w:rPr>
          <w:kern w:val="0"/>
          <w14:ligatures w14:val="none"/>
        </w:rPr>
        <w:t xml:space="preserve">without a court order </w:t>
      </w:r>
      <w:r w:rsidR="001B5E1F">
        <w:rPr>
          <w:kern w:val="0"/>
          <w14:ligatures w14:val="none"/>
        </w:rPr>
        <w:t>or</w:t>
      </w:r>
      <w:r w:rsidR="006B0BFA">
        <w:rPr>
          <w:kern w:val="0"/>
          <w14:ligatures w14:val="none"/>
        </w:rPr>
        <w:t xml:space="preserve"> </w:t>
      </w:r>
      <w:r w:rsidR="00F67A18">
        <w:rPr>
          <w:kern w:val="0"/>
          <w14:ligatures w14:val="none"/>
        </w:rPr>
        <w:t xml:space="preserve">to </w:t>
      </w:r>
      <w:r w:rsidR="00C55ACF">
        <w:rPr>
          <w:kern w:val="0"/>
          <w14:ligatures w14:val="none"/>
        </w:rPr>
        <w:t xml:space="preserve">conduct his own legal analysis of </w:t>
      </w:r>
      <w:r w:rsidR="006B0BFA">
        <w:rPr>
          <w:kern w:val="0"/>
          <w14:ligatures w14:val="none"/>
        </w:rPr>
        <w:t>her</w:t>
      </w:r>
      <w:r w:rsidR="00C55ACF">
        <w:rPr>
          <w:kern w:val="0"/>
          <w14:ligatures w14:val="none"/>
        </w:rPr>
        <w:t xml:space="preserve"> probation status prior to </w:t>
      </w:r>
      <w:r w:rsidR="006B0BFA">
        <w:rPr>
          <w:kern w:val="0"/>
          <w14:ligatures w14:val="none"/>
        </w:rPr>
        <w:t>the search</w:t>
      </w:r>
      <w:r w:rsidR="00C55ACF">
        <w:rPr>
          <w:kern w:val="0"/>
          <w14:ligatures w14:val="none"/>
        </w:rPr>
        <w:t xml:space="preserve"> does not undermine the conclusion that he acted reasonably based on the information he had.</w:t>
      </w:r>
    </w:p>
    <w:p w:rsidR="00B51321" w:rsidP="00C55ACF" w14:paraId="5103CF6A" w14:textId="5AA6FDEB">
      <w:pPr>
        <w:ind w:firstLine="720"/>
        <w:rPr>
          <w:kern w:val="0"/>
          <w14:ligatures w14:val="none"/>
        </w:rPr>
      </w:pPr>
      <w:r>
        <w:rPr>
          <w:kern w:val="0"/>
          <w14:ligatures w14:val="none"/>
        </w:rPr>
        <w:t>In urging affirmance, Pri</w:t>
      </w:r>
      <w:r w:rsidR="00707725">
        <w:rPr>
          <w:kern w:val="0"/>
          <w14:ligatures w14:val="none"/>
        </w:rPr>
        <w:t>t</w:t>
      </w:r>
      <w:r>
        <w:rPr>
          <w:kern w:val="0"/>
          <w14:ligatures w14:val="none"/>
        </w:rPr>
        <w:t xml:space="preserve">chett points to the trial court’s conclusion that had </w:t>
      </w:r>
      <w:r w:rsidR="000A430A">
        <w:t>Vlahandreas</w:t>
      </w:r>
      <w:r>
        <w:rPr>
          <w:kern w:val="0"/>
          <w14:ligatures w14:val="none"/>
        </w:rPr>
        <w:t xml:space="preserve"> been aware of AB 1950, he would “not have simply relied upon CRIMNET.”  </w:t>
      </w:r>
      <w:r w:rsidR="00F12882">
        <w:t>But</w:t>
      </w:r>
      <w:r w:rsidR="00945F46">
        <w:t xml:space="preserve"> in checking Crimnet, </w:t>
      </w:r>
      <w:r w:rsidR="000A430A">
        <w:t>Vlahandreas</w:t>
      </w:r>
      <w:r w:rsidR="00945F46">
        <w:t xml:space="preserve"> “went beyond a ‘bare bones’ investigation of relying only on police department in-house computer data.”  (</w:t>
      </w:r>
      <w:r w:rsidRPr="00945F46" w:rsidR="00945F46">
        <w:rPr>
          <w:i/>
          <w:iCs/>
        </w:rPr>
        <w:t>Downing, supra</w:t>
      </w:r>
      <w:r w:rsidR="00945F46">
        <w:t>, 33 Cal.App.4</w:t>
      </w:r>
      <w:r w:rsidRPr="00945F46" w:rsidR="00945F46">
        <w:t>th</w:t>
      </w:r>
      <w:r w:rsidR="00945F46">
        <w:t xml:space="preserve"> at p. 1657</w:t>
      </w:r>
      <w:r w:rsidR="0041578C">
        <w:t>.)</w:t>
      </w:r>
      <w:r w:rsidR="00945F46">
        <w:t xml:space="preserve"> </w:t>
      </w:r>
      <w:r w:rsidR="0041578C">
        <w:t xml:space="preserve"> </w:t>
      </w:r>
      <w:r w:rsidR="00945F46">
        <w:t>“[I]t is absurd to require a police officer to exhaust all avenues of investigation and corroboration when he has no objective reason to question facially valid computer data produced by other than the collective law enforcement in front of him.”  (</w:t>
      </w:r>
      <w:r w:rsidRPr="00945F46" w:rsidR="00945F46">
        <w:rPr>
          <w:i/>
          <w:iCs/>
        </w:rPr>
        <w:t>Ibid</w:t>
      </w:r>
      <w:r w:rsidR="00334C36">
        <w:t>.</w:t>
      </w:r>
      <w:r w:rsidR="00945F46">
        <w:t>)</w:t>
      </w:r>
      <w:r>
        <w:rPr>
          <w:kern w:val="0"/>
          <w14:ligatures w14:val="none"/>
        </w:rPr>
        <w:t xml:space="preserve">  </w:t>
      </w:r>
      <w:r w:rsidR="008D2B73">
        <w:rPr>
          <w:kern w:val="0"/>
          <w14:ligatures w14:val="none"/>
        </w:rPr>
        <w:t>For the reasons discussed, w</w:t>
      </w:r>
      <w:r w:rsidR="00111BC9">
        <w:rPr>
          <w:kern w:val="0"/>
          <w14:ligatures w14:val="none"/>
        </w:rPr>
        <w:t>e</w:t>
      </w:r>
      <w:r w:rsidR="00CF5982">
        <w:rPr>
          <w:kern w:val="0"/>
          <w14:ligatures w14:val="none"/>
        </w:rPr>
        <w:t xml:space="preserve"> cannot conclude that AB 1950 alone would have put </w:t>
      </w:r>
      <w:r w:rsidR="00334C36">
        <w:rPr>
          <w:kern w:val="0"/>
          <w14:ligatures w14:val="none"/>
        </w:rPr>
        <w:t xml:space="preserve">a </w:t>
      </w:r>
      <w:r w:rsidR="001B4F52">
        <w:rPr>
          <w:kern w:val="0"/>
          <w14:ligatures w14:val="none"/>
        </w:rPr>
        <w:t>reasonable</w:t>
      </w:r>
      <w:r w:rsidR="00334C36">
        <w:rPr>
          <w:kern w:val="0"/>
          <w14:ligatures w14:val="none"/>
        </w:rPr>
        <w:t xml:space="preserve"> officer</w:t>
      </w:r>
      <w:r w:rsidR="00CF5982">
        <w:rPr>
          <w:kern w:val="0"/>
          <w14:ligatures w14:val="none"/>
        </w:rPr>
        <w:t xml:space="preserve"> on notice that </w:t>
      </w:r>
      <w:r w:rsidR="001B4F52">
        <w:rPr>
          <w:kern w:val="0"/>
          <w14:ligatures w14:val="none"/>
        </w:rPr>
        <w:t xml:space="preserve">the information in Crimnet was inaccurate </w:t>
      </w:r>
      <w:r w:rsidR="00A73080">
        <w:rPr>
          <w:kern w:val="0"/>
          <w14:ligatures w14:val="none"/>
        </w:rPr>
        <w:t>such</w:t>
      </w:r>
      <w:r w:rsidR="001B4F52">
        <w:rPr>
          <w:kern w:val="0"/>
          <w14:ligatures w14:val="none"/>
        </w:rPr>
        <w:t xml:space="preserve"> that </w:t>
      </w:r>
      <w:r w:rsidR="008D2B73">
        <w:rPr>
          <w:kern w:val="0"/>
          <w14:ligatures w14:val="none"/>
        </w:rPr>
        <w:t>further investigation</w:t>
      </w:r>
      <w:r w:rsidR="001B4F52">
        <w:rPr>
          <w:kern w:val="0"/>
          <w14:ligatures w14:val="none"/>
        </w:rPr>
        <w:t xml:space="preserve"> was required</w:t>
      </w:r>
      <w:r w:rsidR="00BD3E21">
        <w:rPr>
          <w:kern w:val="0"/>
          <w14:ligatures w14:val="none"/>
        </w:rPr>
        <w:t>.</w:t>
      </w:r>
      <w:r w:rsidR="00B7012E">
        <w:rPr>
          <w:kern w:val="0"/>
          <w:shd w:val="clear" w:color="auto" w:fill="FFFFFF"/>
          <w14:ligatures w14:val="none"/>
        </w:rPr>
        <w:t xml:space="preserve"> </w:t>
      </w:r>
      <w:r w:rsidR="00BD3E21">
        <w:rPr>
          <w:kern w:val="0"/>
          <w14:ligatures w14:val="none"/>
        </w:rPr>
        <w:t xml:space="preserve"> </w:t>
      </w:r>
      <w:r w:rsidR="001B4F52">
        <w:rPr>
          <w:kern w:val="0"/>
          <w14:ligatures w14:val="none"/>
        </w:rPr>
        <w:t xml:space="preserve">(See </w:t>
      </w:r>
      <w:r w:rsidRPr="001B4F52" w:rsidR="001B4F52">
        <w:rPr>
          <w:i/>
          <w:iCs/>
          <w:kern w:val="0"/>
          <w14:ligatures w14:val="none"/>
        </w:rPr>
        <w:t>People v. Camarella</w:t>
      </w:r>
      <w:r w:rsidR="001B4F52">
        <w:rPr>
          <w:kern w:val="0"/>
          <w14:ligatures w14:val="none"/>
        </w:rPr>
        <w:t xml:space="preserve"> (1991) 54 Cal.3d 592, 606</w:t>
      </w:r>
      <w:r w:rsidR="00B7012E">
        <w:rPr>
          <w:kern w:val="0"/>
          <w14:ligatures w14:val="none"/>
        </w:rPr>
        <w:t>.)</w:t>
      </w:r>
      <w:r w:rsidR="00A73080">
        <w:rPr>
          <w:kern w:val="0"/>
          <w14:ligatures w14:val="none"/>
        </w:rPr>
        <w:t xml:space="preserve">  </w:t>
      </w:r>
      <w:r w:rsidR="00BD3E21">
        <w:rPr>
          <w:kern w:val="0"/>
          <w14:ligatures w14:val="none"/>
        </w:rPr>
        <w:t xml:space="preserve">Though it appears that several </w:t>
      </w:r>
      <w:r w:rsidR="003B1F8D">
        <w:rPr>
          <w:kern w:val="0"/>
          <w14:ligatures w14:val="none"/>
        </w:rPr>
        <w:t>other</w:t>
      </w:r>
      <w:r w:rsidR="001F4873">
        <w:rPr>
          <w:kern w:val="0"/>
          <w14:ligatures w14:val="none"/>
        </w:rPr>
        <w:t xml:space="preserve"> </w:t>
      </w:r>
      <w:r w:rsidR="00BD3E21">
        <w:rPr>
          <w:kern w:val="0"/>
          <w14:ligatures w14:val="none"/>
        </w:rPr>
        <w:t>agencies were</w:t>
      </w:r>
      <w:r w:rsidR="004E5095">
        <w:rPr>
          <w:kern w:val="0"/>
          <w14:ligatures w14:val="none"/>
        </w:rPr>
        <w:t xml:space="preserve"> </w:t>
      </w:r>
      <w:r w:rsidR="001F4873">
        <w:rPr>
          <w:kern w:val="0"/>
          <w14:ligatures w14:val="none"/>
        </w:rPr>
        <w:t xml:space="preserve">in fact </w:t>
      </w:r>
      <w:r w:rsidR="004E5095">
        <w:rPr>
          <w:kern w:val="0"/>
          <w14:ligatures w14:val="none"/>
        </w:rPr>
        <w:t>charged</w:t>
      </w:r>
      <w:r w:rsidR="00BD3E21">
        <w:rPr>
          <w:kern w:val="0"/>
          <w14:ligatures w14:val="none"/>
        </w:rPr>
        <w:t xml:space="preserve"> with implementing AB 1950, </w:t>
      </w:r>
      <w:r>
        <w:rPr>
          <w:kern w:val="0"/>
          <w14:ligatures w14:val="none"/>
        </w:rPr>
        <w:t>“</w:t>
      </w:r>
      <w:r w:rsidR="00945F46">
        <w:rPr>
          <w:kern w:val="0"/>
          <w14:ligatures w14:val="none"/>
        </w:rPr>
        <w:t>[t]</w:t>
      </w:r>
      <w:r>
        <w:rPr>
          <w:kern w:val="0"/>
          <w14:ligatures w14:val="none"/>
        </w:rPr>
        <w:t xml:space="preserve">he test is whether a reasonably well-trained officer would have </w:t>
      </w:r>
      <w:r w:rsidRPr="001B5E1F">
        <w:rPr>
          <w:kern w:val="0"/>
          <w14:ligatures w14:val="none"/>
        </w:rPr>
        <w:t>known</w:t>
      </w:r>
      <w:r>
        <w:rPr>
          <w:kern w:val="0"/>
          <w14:ligatures w14:val="none"/>
        </w:rPr>
        <w:t xml:space="preserve"> that the search was illegal; not whether a reasonably well-trained officer would have known which public agency was tasked with implementing a statute.” </w:t>
      </w:r>
      <w:r w:rsidR="002F0178">
        <w:rPr>
          <w:kern w:val="0"/>
          <w14:ligatures w14:val="none"/>
        </w:rPr>
        <w:t xml:space="preserve"> (</w:t>
      </w:r>
      <w:r w:rsidRPr="001727CE" w:rsidR="002F0178">
        <w:rPr>
          <w:i/>
          <w:iCs/>
        </w:rPr>
        <w:t>Fencl</w:t>
      </w:r>
      <w:r w:rsidRPr="002F0178" w:rsidR="002F0178">
        <w:rPr>
          <w:i/>
          <w:iCs/>
        </w:rPr>
        <w:t>, supra</w:t>
      </w:r>
      <w:r w:rsidR="002F0178">
        <w:t>, 202</w:t>
      </w:r>
      <w:r w:rsidR="00494193">
        <w:t>3</w:t>
      </w:r>
      <w:r w:rsidR="002F0178">
        <w:t xml:space="preserve"> U.S. Dist. LEXIS 2231, at *13.)  </w:t>
      </w:r>
    </w:p>
    <w:p w:rsidR="008F6DE2" w:rsidP="002F0178" w14:paraId="592D4238" w14:textId="590041D5">
      <w:pPr>
        <w:ind w:firstLine="720"/>
        <w:rPr>
          <w:kern w:val="0"/>
          <w14:ligatures w14:val="none"/>
        </w:rPr>
      </w:pPr>
      <w:r>
        <w:rPr>
          <w:kern w:val="0"/>
          <w14:ligatures w14:val="none"/>
        </w:rPr>
        <w:t xml:space="preserve">We acknowledge the concerns raised by the trial court </w:t>
      </w:r>
      <w:r w:rsidR="00B51321">
        <w:rPr>
          <w:kern w:val="0"/>
          <w14:ligatures w14:val="none"/>
        </w:rPr>
        <w:t xml:space="preserve">that </w:t>
      </w:r>
      <w:r w:rsidR="00971228">
        <w:rPr>
          <w:kern w:val="0"/>
          <w14:ligatures w14:val="none"/>
        </w:rPr>
        <w:t>law enforcement in this case</w:t>
      </w:r>
      <w:r w:rsidR="00B51321">
        <w:rPr>
          <w:kern w:val="0"/>
          <w14:ligatures w14:val="none"/>
        </w:rPr>
        <w:t xml:space="preserve"> was “completely unaware” of a change in law </w:t>
      </w:r>
      <w:r w:rsidR="00FA040F">
        <w:rPr>
          <w:kern w:val="0"/>
          <w14:ligatures w14:val="none"/>
        </w:rPr>
        <w:t xml:space="preserve">affecting </w:t>
      </w:r>
      <w:r w:rsidR="00B51321">
        <w:rPr>
          <w:kern w:val="0"/>
          <w14:ligatures w14:val="none"/>
        </w:rPr>
        <w:t xml:space="preserve">the legality of some probation searches.  </w:t>
      </w:r>
      <w:r w:rsidR="007D34A1">
        <w:rPr>
          <w:kern w:val="0"/>
          <w14:ligatures w14:val="none"/>
        </w:rPr>
        <w:t xml:space="preserve">However, </w:t>
      </w:r>
      <w:r w:rsidR="00914D7D">
        <w:rPr>
          <w:kern w:val="0"/>
          <w14:ligatures w14:val="none"/>
        </w:rPr>
        <w:t>as Pri</w:t>
      </w:r>
      <w:r w:rsidR="00707725">
        <w:rPr>
          <w:kern w:val="0"/>
          <w14:ligatures w14:val="none"/>
        </w:rPr>
        <w:t>t</w:t>
      </w:r>
      <w:r w:rsidR="00914D7D">
        <w:rPr>
          <w:kern w:val="0"/>
          <w14:ligatures w14:val="none"/>
        </w:rPr>
        <w:t>chett’s counsel</w:t>
      </w:r>
      <w:r w:rsidR="007E7180">
        <w:rPr>
          <w:kern w:val="0"/>
          <w14:ligatures w14:val="none"/>
        </w:rPr>
        <w:t xml:space="preserve"> noted</w:t>
      </w:r>
      <w:r w:rsidR="00914D7D">
        <w:rPr>
          <w:kern w:val="0"/>
          <w14:ligatures w14:val="none"/>
        </w:rPr>
        <w:t xml:space="preserve"> at the </w:t>
      </w:r>
      <w:r w:rsidR="00BB0E80">
        <w:rPr>
          <w:kern w:val="0"/>
          <w14:ligatures w14:val="none"/>
        </w:rPr>
        <w:t xml:space="preserve">suppression </w:t>
      </w:r>
      <w:r w:rsidR="00914D7D">
        <w:rPr>
          <w:kern w:val="0"/>
          <w14:ligatures w14:val="none"/>
        </w:rPr>
        <w:t>hearing, AB 1950 has presented a unique situation.  Its</w:t>
      </w:r>
      <w:r w:rsidR="007D34A1">
        <w:rPr>
          <w:kern w:val="0"/>
          <w14:ligatures w14:val="none"/>
        </w:rPr>
        <w:t xml:space="preserve"> “passage was an isolated event that affected numerous probationers in the State of California, and its implementation required the efforts of multiple public agencies, as well as interpretation by California courts.”  (</w:t>
      </w:r>
      <w:r w:rsidRPr="002F0178" w:rsidR="002F0178">
        <w:rPr>
          <w:i/>
          <w:iCs/>
          <w:kern w:val="0"/>
          <w14:ligatures w14:val="none"/>
        </w:rPr>
        <w:t>Fencl, supra</w:t>
      </w:r>
      <w:r w:rsidR="002F0178">
        <w:rPr>
          <w:kern w:val="0"/>
          <w14:ligatures w14:val="none"/>
        </w:rPr>
        <w:t xml:space="preserve">, </w:t>
      </w:r>
      <w:r w:rsidR="002F0178">
        <w:t>202</w:t>
      </w:r>
      <w:r w:rsidR="00494193">
        <w:t>3</w:t>
      </w:r>
      <w:r w:rsidR="002F0178">
        <w:t xml:space="preserve"> U.S. Dist. LEXIS 2231, at *14–15.)</w:t>
      </w:r>
      <w:r w:rsidR="007D34A1">
        <w:rPr>
          <w:kern w:val="0"/>
          <w14:ligatures w14:val="none"/>
        </w:rPr>
        <w:t xml:space="preserve">  It had been in effect for just over nine months at the time of the September 2021 search.  Further, no judicial action had been taken to terminate Pri</w:t>
      </w:r>
      <w:r w:rsidR="00707725">
        <w:rPr>
          <w:kern w:val="0"/>
          <w14:ligatures w14:val="none"/>
        </w:rPr>
        <w:t>t</w:t>
      </w:r>
      <w:r w:rsidR="007D34A1">
        <w:rPr>
          <w:kern w:val="0"/>
          <w14:ligatures w14:val="none"/>
        </w:rPr>
        <w:t xml:space="preserve">chett’s probation.  </w:t>
      </w:r>
      <w:r w:rsidR="00E70B3D">
        <w:rPr>
          <w:kern w:val="0"/>
          <w14:ligatures w14:val="none"/>
        </w:rPr>
        <w:t>Looking only at the objective facts</w:t>
      </w:r>
      <w:r w:rsidR="00DD32E8">
        <w:rPr>
          <w:kern w:val="0"/>
          <w14:ligatures w14:val="none"/>
        </w:rPr>
        <w:t>—</w:t>
      </w:r>
      <w:r w:rsidR="00C22C56">
        <w:rPr>
          <w:kern w:val="0"/>
          <w14:ligatures w14:val="none"/>
        </w:rPr>
        <w:t>the historical accuracy of Crimnet</w:t>
      </w:r>
      <w:r w:rsidR="00C52DF6">
        <w:rPr>
          <w:kern w:val="0"/>
          <w14:ligatures w14:val="none"/>
        </w:rPr>
        <w:t xml:space="preserve"> and the </w:t>
      </w:r>
      <w:r w:rsidR="007D34A1">
        <w:rPr>
          <w:kern w:val="0"/>
          <w14:ligatures w14:val="none"/>
        </w:rPr>
        <w:t xml:space="preserve">lack of any clear direction to law enforcement </w:t>
      </w:r>
      <w:r w:rsidR="00111BC9">
        <w:rPr>
          <w:kern w:val="0"/>
          <w14:ligatures w14:val="none"/>
        </w:rPr>
        <w:t xml:space="preserve">regarding the status of </w:t>
      </w:r>
      <w:r w:rsidR="00132A31">
        <w:rPr>
          <w:kern w:val="0"/>
          <w14:ligatures w14:val="none"/>
        </w:rPr>
        <w:t>Pri</w:t>
      </w:r>
      <w:r w:rsidR="00707725">
        <w:rPr>
          <w:kern w:val="0"/>
          <w14:ligatures w14:val="none"/>
        </w:rPr>
        <w:t>t</w:t>
      </w:r>
      <w:r w:rsidR="00132A31">
        <w:rPr>
          <w:kern w:val="0"/>
          <w14:ligatures w14:val="none"/>
        </w:rPr>
        <w:t xml:space="preserve">chett’s </w:t>
      </w:r>
      <w:r w:rsidR="00111BC9">
        <w:rPr>
          <w:kern w:val="0"/>
          <w14:ligatures w14:val="none"/>
        </w:rPr>
        <w:t xml:space="preserve">probation </w:t>
      </w:r>
      <w:r w:rsidR="004D27D7">
        <w:rPr>
          <w:kern w:val="0"/>
          <w14:ligatures w14:val="none"/>
        </w:rPr>
        <w:t>grants</w:t>
      </w:r>
      <w:r w:rsidR="00DD32E8">
        <w:rPr>
          <w:kern w:val="0"/>
          <w14:ligatures w14:val="none"/>
        </w:rPr>
        <w:t>—</w:t>
      </w:r>
      <w:r w:rsidR="007D34A1">
        <w:rPr>
          <w:kern w:val="0"/>
          <w14:ligatures w14:val="none"/>
        </w:rPr>
        <w:t>compel</w:t>
      </w:r>
      <w:r w:rsidR="00AF1098">
        <w:rPr>
          <w:kern w:val="0"/>
          <w14:ligatures w14:val="none"/>
        </w:rPr>
        <w:t>s</w:t>
      </w:r>
      <w:r w:rsidR="007D34A1">
        <w:rPr>
          <w:kern w:val="0"/>
          <w14:ligatures w14:val="none"/>
        </w:rPr>
        <w:t xml:space="preserve"> the conclusion that </w:t>
      </w:r>
      <w:r w:rsidR="000A430A">
        <w:t>Vlahandreas</w:t>
      </w:r>
      <w:r w:rsidR="007D34A1">
        <w:rPr>
          <w:kern w:val="0"/>
          <w14:ligatures w14:val="none"/>
        </w:rPr>
        <w:t xml:space="preserve"> did not act deliberately, recklessly, or grossly negligent in violating Pri</w:t>
      </w:r>
      <w:r w:rsidR="00707725">
        <w:rPr>
          <w:kern w:val="0"/>
          <w14:ligatures w14:val="none"/>
        </w:rPr>
        <w:t>t</w:t>
      </w:r>
      <w:r w:rsidR="007D34A1">
        <w:rPr>
          <w:kern w:val="0"/>
          <w14:ligatures w14:val="none"/>
        </w:rPr>
        <w:t>chett’s Fourth Amendment rights.</w:t>
      </w:r>
      <w:r w:rsidR="00C22C56">
        <w:rPr>
          <w:kern w:val="0"/>
          <w14:ligatures w14:val="none"/>
        </w:rPr>
        <w:t xml:space="preserve">  (</w:t>
      </w:r>
      <w:r w:rsidR="00BB0E80">
        <w:rPr>
          <w:kern w:val="0"/>
          <w14:ligatures w14:val="none"/>
        </w:rPr>
        <w:t xml:space="preserve">See </w:t>
      </w:r>
      <w:r w:rsidRPr="00C22C56" w:rsidR="00C22C56">
        <w:rPr>
          <w:i/>
          <w:iCs/>
          <w:kern w:val="0"/>
          <w14:ligatures w14:val="none"/>
        </w:rPr>
        <w:t>Herring, supra</w:t>
      </w:r>
      <w:r w:rsidR="00C22C56">
        <w:rPr>
          <w:kern w:val="0"/>
          <w14:ligatures w14:val="none"/>
        </w:rPr>
        <w:t xml:space="preserve">, 555 U.S. at p. 144.) </w:t>
      </w:r>
    </w:p>
    <w:p w:rsidR="00A92B48" w:rsidP="006A3F7B" w14:paraId="1E662FEE" w14:textId="0E7E5760">
      <w:pPr>
        <w:ind w:firstLine="720"/>
        <w:rPr>
          <w:kern w:val="0"/>
          <w14:ligatures w14:val="none"/>
        </w:rPr>
      </w:pPr>
      <w:r>
        <w:rPr>
          <w:kern w:val="0"/>
          <w14:ligatures w14:val="none"/>
        </w:rPr>
        <w:t xml:space="preserve">In sum, </w:t>
      </w:r>
      <w:r w:rsidR="008D2B73">
        <w:rPr>
          <w:kern w:val="0"/>
          <w14:ligatures w14:val="none"/>
        </w:rPr>
        <w:t xml:space="preserve">we conclude </w:t>
      </w:r>
      <w:r w:rsidR="000A430A">
        <w:t>Vlahandreas</w:t>
      </w:r>
      <w:r w:rsidR="008D2B73">
        <w:rPr>
          <w:kern w:val="0"/>
          <w14:ligatures w14:val="none"/>
        </w:rPr>
        <w:t xml:space="preserve"> acted in objectively </w:t>
      </w:r>
      <w:r w:rsidR="00195DBE">
        <w:rPr>
          <w:kern w:val="0"/>
          <w14:ligatures w14:val="none"/>
        </w:rPr>
        <w:t>reasonabl</w:t>
      </w:r>
      <w:r w:rsidR="00C22C56">
        <w:rPr>
          <w:kern w:val="0"/>
          <w14:ligatures w14:val="none"/>
        </w:rPr>
        <w:t>y</w:t>
      </w:r>
      <w:r w:rsidR="008D2B73">
        <w:rPr>
          <w:kern w:val="0"/>
          <w14:ligatures w14:val="none"/>
        </w:rPr>
        <w:t xml:space="preserve"> good faith, and applying the exclusionary rule in this case would not serve to promote its purpose of deterring unlawful police conduct.  The trial court therefore erred in granting the motion to suppress.</w:t>
      </w:r>
    </w:p>
    <w:p w:rsidR="006A3F7B" w:rsidP="006A3F7B" w14:paraId="28C25F7C" w14:textId="1D1611E6">
      <w:pPr>
        <w:pStyle w:val="ListParagraph"/>
        <w:numPr>
          <w:ilvl w:val="0"/>
          <w:numId w:val="3"/>
        </w:numPr>
        <w:jc w:val="center"/>
        <w:rPr>
          <w:b/>
          <w:bCs/>
          <w:kern w:val="0"/>
          <w14:ligatures w14:val="none"/>
        </w:rPr>
      </w:pPr>
      <w:r w:rsidRPr="006A3F7B">
        <w:rPr>
          <w:b/>
          <w:bCs/>
          <w:kern w:val="0"/>
          <w14:ligatures w14:val="none"/>
        </w:rPr>
        <w:t>DISPOSITION</w:t>
      </w:r>
    </w:p>
    <w:p w:rsidR="00522D17" w:rsidP="00522D17" w14:paraId="5F9F7172" w14:textId="30D7C183">
      <w:pPr>
        <w:rPr>
          <w:kern w:val="0"/>
          <w14:ligatures w14:val="none"/>
        </w:rPr>
      </w:pPr>
      <w:r>
        <w:rPr>
          <w:b/>
          <w:bCs/>
          <w:kern w:val="0"/>
          <w14:ligatures w14:val="none"/>
        </w:rPr>
        <w:tab/>
      </w:r>
      <w:r>
        <w:rPr>
          <w:kern w:val="0"/>
          <w14:ligatures w14:val="none"/>
        </w:rPr>
        <w:t>The order dismissing the criminal information against Pri</w:t>
      </w:r>
      <w:r w:rsidR="00707725">
        <w:rPr>
          <w:kern w:val="0"/>
          <w14:ligatures w14:val="none"/>
        </w:rPr>
        <w:t>t</w:t>
      </w:r>
      <w:r>
        <w:rPr>
          <w:kern w:val="0"/>
          <w14:ligatures w14:val="none"/>
        </w:rPr>
        <w:t>chett is reversed.  The trial court is directed to set aside the order granting Pri</w:t>
      </w:r>
      <w:r w:rsidR="00707725">
        <w:rPr>
          <w:kern w:val="0"/>
          <w14:ligatures w14:val="none"/>
        </w:rPr>
        <w:t>t</w:t>
      </w:r>
      <w:r>
        <w:rPr>
          <w:kern w:val="0"/>
          <w14:ligatures w14:val="none"/>
        </w:rPr>
        <w:t>chett’s motion to suppress and to enter a new order denying the motion.</w:t>
      </w:r>
    </w:p>
    <w:p w:rsidR="009561B2" w:rsidP="00522D17" w14:paraId="648BC44A" w14:textId="60F632E2">
      <w:pPr>
        <w:rPr>
          <w:kern w:val="0"/>
          <w14:ligatures w14:val="none"/>
        </w:rPr>
      </w:pPr>
    </w:p>
    <w:p w:rsidR="009561B2" w:rsidP="00522D17" w14:paraId="600AE66F" w14:textId="1D372477">
      <w:pPr>
        <w:rPr>
          <w:kern w:val="0"/>
          <w14:ligatures w14:val="none"/>
        </w:rPr>
      </w:pPr>
    </w:p>
    <w:p w:rsidR="009561B2" w:rsidP="009561B2" w14:paraId="534FE47D" w14:textId="77777777">
      <w:pPr>
        <w:spacing w:line="360" w:lineRule="auto"/>
        <w:ind w:firstLine="720"/>
      </w:pPr>
      <w:r>
        <w:tab/>
      </w:r>
      <w:r>
        <w:tab/>
      </w:r>
      <w:r>
        <w:tab/>
      </w:r>
      <w:r>
        <w:tab/>
      </w:r>
      <w:r>
        <w:tab/>
      </w:r>
      <w:r>
        <w:tab/>
      </w:r>
      <w:r>
        <w:tab/>
        <w:t xml:space="preserve">LANGHORNE WILSON, J. </w:t>
      </w:r>
    </w:p>
    <w:p w:rsidR="009561B2" w:rsidP="009561B2" w14:paraId="3AFD8054" w14:textId="77777777">
      <w:pPr>
        <w:spacing w:line="360" w:lineRule="auto"/>
      </w:pPr>
    </w:p>
    <w:p w:rsidR="009561B2" w:rsidP="009561B2" w14:paraId="2A30E617" w14:textId="77777777">
      <w:pPr>
        <w:tabs>
          <w:tab w:val="left" w:pos="0"/>
        </w:tabs>
        <w:spacing w:line="360" w:lineRule="auto"/>
      </w:pPr>
      <w:r>
        <w:t>WE CONCUR:</w:t>
      </w:r>
    </w:p>
    <w:p w:rsidR="009561B2" w:rsidP="009561B2" w14:paraId="30F7D673" w14:textId="60278F5C">
      <w:pPr>
        <w:tabs>
          <w:tab w:val="left" w:pos="0"/>
        </w:tabs>
        <w:spacing w:line="360" w:lineRule="auto"/>
      </w:pPr>
    </w:p>
    <w:p w:rsidR="00C51003" w:rsidP="009561B2" w14:paraId="68B3B547" w14:textId="77777777">
      <w:pPr>
        <w:tabs>
          <w:tab w:val="left" w:pos="0"/>
        </w:tabs>
        <w:spacing w:line="360" w:lineRule="auto"/>
      </w:pPr>
    </w:p>
    <w:p w:rsidR="009561B2" w:rsidP="009561B2" w14:paraId="2EEAC84E" w14:textId="174D7F13">
      <w:pPr>
        <w:tabs>
          <w:tab w:val="left" w:pos="0"/>
        </w:tabs>
        <w:spacing w:line="360" w:lineRule="auto"/>
      </w:pPr>
      <w:r>
        <w:t xml:space="preserve">HUMES, P. J. </w:t>
      </w:r>
    </w:p>
    <w:p w:rsidR="009561B2" w:rsidP="009561B2" w14:paraId="1310A9B0" w14:textId="513E6478">
      <w:pPr>
        <w:tabs>
          <w:tab w:val="left" w:pos="0"/>
        </w:tabs>
        <w:spacing w:line="360" w:lineRule="auto"/>
      </w:pPr>
    </w:p>
    <w:p w:rsidR="00C51003" w:rsidP="009561B2" w14:paraId="61A13D36" w14:textId="77777777">
      <w:pPr>
        <w:tabs>
          <w:tab w:val="left" w:pos="0"/>
        </w:tabs>
        <w:spacing w:line="360" w:lineRule="auto"/>
      </w:pPr>
    </w:p>
    <w:p w:rsidR="009561B2" w:rsidP="009561B2" w14:paraId="20E06D59" w14:textId="45194D72">
      <w:pPr>
        <w:tabs>
          <w:tab w:val="left" w:pos="0"/>
        </w:tabs>
        <w:spacing w:line="360" w:lineRule="auto"/>
      </w:pPr>
      <w:r>
        <w:t xml:space="preserve">BANKE, J. </w:t>
      </w:r>
    </w:p>
    <w:p w:rsidR="009561B2" w:rsidP="00522D17" w14:paraId="677EB189" w14:textId="76BCF4D7">
      <w:pPr>
        <w:rPr>
          <w:kern w:val="0"/>
          <w14:ligatures w14:val="none"/>
        </w:rPr>
      </w:pPr>
    </w:p>
    <w:p w:rsidR="009561B2" w:rsidP="00522D17" w14:paraId="4A09C18F" w14:textId="735362B0">
      <w:pPr>
        <w:rPr>
          <w:kern w:val="0"/>
          <w14:ligatures w14:val="none"/>
        </w:rPr>
      </w:pPr>
    </w:p>
    <w:p w:rsidR="009561B2" w:rsidP="00522D17" w14:paraId="60FDEEAD" w14:textId="08BA3CB1">
      <w:pPr>
        <w:rPr>
          <w:kern w:val="0"/>
          <w14:ligatures w14:val="none"/>
        </w:rPr>
      </w:pPr>
    </w:p>
    <w:p w:rsidR="002067FF" w:rsidP="00522D17" w14:paraId="7E52A0D7" w14:textId="77777777">
      <w:pPr>
        <w:sectPr w:rsidSect="00136B70">
          <w:footerReference w:type="even" r:id="rId6"/>
          <w:footerReference w:type="default" r:id="rId7"/>
          <w:pgSz w:w="12240" w:h="15840"/>
          <w:pgMar w:top="1440" w:right="1440" w:bottom="1440" w:left="1440" w:header="720" w:footer="720" w:gutter="0"/>
          <w:cols w:space="720"/>
          <w:titlePg/>
          <w:docGrid w:linePitch="360"/>
        </w:sectPr>
      </w:pPr>
      <w:r w:rsidRPr="009561B2">
        <w:rPr>
          <w:i/>
          <w:iCs/>
          <w:kern w:val="0"/>
          <w14:ligatures w14:val="none"/>
        </w:rPr>
        <w:t>People v. Pritchett</w:t>
      </w:r>
      <w:r>
        <w:rPr>
          <w:kern w:val="0"/>
          <w14:ligatures w14:val="none"/>
        </w:rPr>
        <w:t xml:space="preserve">; </w:t>
      </w:r>
      <w:r>
        <w:t>A168411</w:t>
      </w:r>
    </w:p>
    <w:p w:rsidR="002067FF" w:rsidRPr="002067FF" w:rsidP="002067FF" w14:paraId="24CC8549" w14:textId="77777777">
      <w:pPr>
        <w:tabs>
          <w:tab w:val="clear" w:pos="720"/>
        </w:tabs>
        <w:spacing w:line="240" w:lineRule="auto"/>
        <w:rPr>
          <w:rFonts w:eastAsia="Times New Roman" w:cs="Times New Roman"/>
          <w:kern w:val="0"/>
          <w:sz w:val="20"/>
          <w:szCs w:val="20"/>
          <w:lang w:eastAsia="zh-CN"/>
          <w14:ligatures w14:val="none"/>
        </w:rPr>
      </w:pPr>
      <w:r w:rsidRPr="002067FF">
        <w:rPr>
          <w:rFonts w:eastAsia="Times New Roman" w:cs="Times New Roman"/>
          <w:kern w:val="0"/>
          <w:sz w:val="20"/>
          <w:szCs w:val="20"/>
          <w:lang w:eastAsia="zh-CN"/>
          <w14:ligatures w14:val="none"/>
        </w:rPr>
        <w:t>Filed 5/28/24</w:t>
      </w:r>
    </w:p>
    <w:p w:rsidR="002067FF" w:rsidRPr="002067FF" w:rsidP="002067FF" w14:paraId="55220302" w14:textId="77777777">
      <w:pPr>
        <w:tabs>
          <w:tab w:val="clear" w:pos="720"/>
        </w:tabs>
        <w:spacing w:line="240" w:lineRule="auto"/>
        <w:jc w:val="center"/>
        <w:rPr>
          <w:rFonts w:eastAsia="Times New Roman" w:cs="Times New Roman"/>
          <w:b/>
          <w:kern w:val="0"/>
          <w:lang w:eastAsia="zh-CN"/>
          <w14:ligatures w14:val="none"/>
        </w:rPr>
      </w:pPr>
      <w:r w:rsidRPr="002067FF">
        <w:rPr>
          <w:rFonts w:eastAsia="Times New Roman" w:cs="Times New Roman"/>
          <w:b/>
          <w:kern w:val="0"/>
          <w:lang w:eastAsia="zh-CN"/>
          <w14:ligatures w14:val="none"/>
        </w:rPr>
        <w:t>CERTIFIED FOR PUBLICATION</w:t>
      </w:r>
    </w:p>
    <w:p w:rsidR="002067FF" w:rsidRPr="002067FF" w:rsidP="002067FF" w14:paraId="14DA3421" w14:textId="77777777">
      <w:pPr>
        <w:tabs>
          <w:tab w:val="clear" w:pos="720"/>
        </w:tabs>
        <w:spacing w:line="240" w:lineRule="auto"/>
        <w:jc w:val="center"/>
        <w:rPr>
          <w:rFonts w:eastAsia="Times New Roman" w:cs="Times New Roman"/>
          <w:b/>
          <w:kern w:val="0"/>
          <w:lang w:eastAsia="zh-CN"/>
          <w14:ligatures w14:val="none"/>
        </w:rPr>
      </w:pPr>
    </w:p>
    <w:p w:rsidR="002067FF" w:rsidRPr="002067FF" w:rsidP="002067FF" w14:paraId="120E85A5" w14:textId="77777777">
      <w:pPr>
        <w:tabs>
          <w:tab w:val="clear" w:pos="720"/>
        </w:tabs>
        <w:spacing w:line="240" w:lineRule="auto"/>
        <w:jc w:val="center"/>
        <w:rPr>
          <w:rFonts w:eastAsia="Times New Roman" w:cs="Times New Roman"/>
          <w:kern w:val="0"/>
          <w:lang w:eastAsia="zh-CN"/>
          <w14:ligatures w14:val="none"/>
        </w:rPr>
      </w:pPr>
      <w:r w:rsidRPr="002067FF">
        <w:rPr>
          <w:rFonts w:eastAsia="Times New Roman" w:cs="Times New Roman"/>
          <w:kern w:val="0"/>
          <w:lang w:eastAsia="zh-CN"/>
          <w14:ligatures w14:val="none"/>
        </w:rPr>
        <w:t>IN THE COURT OF APPEAL OF THE STATE OF CALIFORNIA</w:t>
      </w:r>
    </w:p>
    <w:p w:rsidR="002067FF" w:rsidRPr="002067FF" w:rsidP="002067FF" w14:paraId="5229D27F" w14:textId="77777777">
      <w:pPr>
        <w:tabs>
          <w:tab w:val="clear" w:pos="720"/>
        </w:tabs>
        <w:spacing w:line="240" w:lineRule="auto"/>
        <w:jc w:val="center"/>
        <w:rPr>
          <w:rFonts w:eastAsia="Times New Roman" w:cs="Times New Roman"/>
          <w:kern w:val="0"/>
          <w:lang w:eastAsia="zh-CN"/>
          <w14:ligatures w14:val="none"/>
        </w:rPr>
      </w:pPr>
    </w:p>
    <w:p w:rsidR="002067FF" w:rsidRPr="002067FF" w:rsidP="002067FF" w14:paraId="297D3DE3" w14:textId="77777777">
      <w:pPr>
        <w:tabs>
          <w:tab w:val="clear" w:pos="720"/>
        </w:tabs>
        <w:spacing w:line="240" w:lineRule="auto"/>
        <w:jc w:val="center"/>
        <w:rPr>
          <w:rFonts w:eastAsia="Times New Roman" w:cs="Times New Roman"/>
          <w:kern w:val="0"/>
          <w:lang w:eastAsia="zh-CN"/>
          <w14:ligatures w14:val="none"/>
        </w:rPr>
      </w:pPr>
      <w:r w:rsidRPr="002067FF">
        <w:rPr>
          <w:rFonts w:eastAsia="Times New Roman" w:cs="Times New Roman"/>
          <w:kern w:val="0"/>
          <w:lang w:eastAsia="zh-CN"/>
          <w14:ligatures w14:val="none"/>
        </w:rPr>
        <w:t>FIRST APPELLATE DISTRICT</w:t>
      </w:r>
    </w:p>
    <w:p w:rsidR="002067FF" w:rsidRPr="002067FF" w:rsidP="002067FF" w14:paraId="44BBE895" w14:textId="77777777">
      <w:pPr>
        <w:tabs>
          <w:tab w:val="clear" w:pos="720"/>
        </w:tabs>
        <w:spacing w:line="240" w:lineRule="auto"/>
        <w:jc w:val="center"/>
        <w:rPr>
          <w:rFonts w:eastAsia="Times New Roman" w:cs="Times New Roman"/>
          <w:kern w:val="0"/>
          <w:lang w:eastAsia="zh-CN"/>
          <w14:ligatures w14:val="none"/>
        </w:rPr>
      </w:pPr>
    </w:p>
    <w:p w:rsidR="002067FF" w:rsidRPr="002067FF" w:rsidP="002067FF" w14:paraId="77D68207" w14:textId="77777777">
      <w:pPr>
        <w:tabs>
          <w:tab w:val="clear" w:pos="720"/>
        </w:tabs>
        <w:spacing w:line="240" w:lineRule="auto"/>
        <w:jc w:val="center"/>
        <w:rPr>
          <w:rFonts w:eastAsia="Times New Roman" w:cs="Times New Roman"/>
          <w:kern w:val="0"/>
          <w:lang w:eastAsia="zh-CN"/>
          <w14:ligatures w14:val="none"/>
        </w:rPr>
      </w:pPr>
      <w:r w:rsidRPr="002067FF">
        <w:rPr>
          <w:rFonts w:eastAsia="Times New Roman" w:cs="Times New Roman"/>
          <w:kern w:val="0"/>
          <w:lang w:eastAsia="zh-CN"/>
          <w14:ligatures w14:val="none"/>
        </w:rPr>
        <w:t>DIVISION ONE</w:t>
      </w:r>
    </w:p>
    <w:p w:rsidR="002067FF" w:rsidRPr="002067FF" w:rsidP="002067FF" w14:paraId="7B4747F1" w14:textId="77777777">
      <w:pPr>
        <w:tabs>
          <w:tab w:val="clear" w:pos="720"/>
        </w:tabs>
        <w:spacing w:line="240" w:lineRule="auto"/>
        <w:jc w:val="center"/>
        <w:rPr>
          <w:rFonts w:eastAsia="Times New Roman" w:cs="Times New Roman"/>
          <w:kern w:val="0"/>
          <w:lang w:eastAsia="zh-CN"/>
          <w14:ligatures w14:val="none"/>
        </w:rPr>
      </w:pPr>
    </w:p>
    <w:p w:rsidR="002067FF" w:rsidRPr="002067FF" w:rsidP="002067FF" w14:paraId="789FDD10" w14:textId="77777777">
      <w:pPr>
        <w:tabs>
          <w:tab w:val="clear" w:pos="720"/>
        </w:tabs>
        <w:spacing w:line="240" w:lineRule="auto"/>
        <w:jc w:val="center"/>
        <w:rPr>
          <w:rFonts w:eastAsia="Times New Roman" w:cs="Times New Roman"/>
          <w:kern w:val="0"/>
          <w:lang w:eastAsia="zh-CN"/>
          <w14:ligatures w14:val="none"/>
        </w:rPr>
      </w:pPr>
    </w:p>
    <w:tbl>
      <w:tblPr>
        <w:tblW w:w="0" w:type="auto"/>
        <w:tblLayout w:type="fixed"/>
        <w:tblLook w:val="0000"/>
      </w:tblPr>
      <w:tblGrid>
        <w:gridCol w:w="4680"/>
        <w:gridCol w:w="4680"/>
      </w:tblGrid>
      <w:tr w14:paraId="10D4F5A9" w14:textId="77777777" w:rsidTr="00E57E06">
        <w:tblPrEx>
          <w:tblW w:w="0" w:type="auto"/>
          <w:tblLayout w:type="fixed"/>
          <w:tblLook w:val="0000"/>
        </w:tblPrEx>
        <w:tc>
          <w:tcPr>
            <w:tcW w:w="4680" w:type="dxa"/>
            <w:tcBorders>
              <w:bottom w:val="single" w:sz="4" w:space="0" w:color="auto"/>
              <w:right w:val="single" w:sz="4" w:space="0" w:color="auto"/>
            </w:tcBorders>
            <w:shd w:val="clear" w:color="auto" w:fill="auto"/>
          </w:tcPr>
          <w:p w:rsidR="002067FF" w:rsidRPr="002067FF" w:rsidP="002067FF" w14:paraId="27F09A09" w14:textId="77777777">
            <w:pPr>
              <w:tabs>
                <w:tab w:val="clear" w:pos="720"/>
              </w:tabs>
              <w:spacing w:after="120"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THE PEOPLE,</w:t>
            </w:r>
          </w:p>
          <w:p w:rsidR="002067FF" w:rsidRPr="002067FF" w:rsidP="002067FF" w14:paraId="54522269" w14:textId="77777777">
            <w:pPr>
              <w:tabs>
                <w:tab w:val="clear" w:pos="720"/>
              </w:tabs>
              <w:spacing w:after="120"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ab/>
              <w:t>Plaintiff and Respondent,</w:t>
            </w:r>
          </w:p>
          <w:p w:rsidR="002067FF" w:rsidRPr="002067FF" w:rsidP="002067FF" w14:paraId="6DFEF97F" w14:textId="77777777">
            <w:pPr>
              <w:tabs>
                <w:tab w:val="clear" w:pos="720"/>
              </w:tabs>
              <w:spacing w:after="120"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v.</w:t>
            </w:r>
          </w:p>
          <w:p w:rsidR="002067FF" w:rsidRPr="002067FF" w:rsidP="002067FF" w14:paraId="69B677CB" w14:textId="77777777">
            <w:pPr>
              <w:tabs>
                <w:tab w:val="clear" w:pos="720"/>
              </w:tabs>
              <w:spacing w:after="120"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TARA SHAWNEE PRITCHETT,</w:t>
            </w:r>
          </w:p>
          <w:p w:rsidR="002067FF" w:rsidRPr="002067FF" w:rsidP="002067FF" w14:paraId="181E8DED" w14:textId="77777777">
            <w:pPr>
              <w:tabs>
                <w:tab w:val="clear" w:pos="720"/>
              </w:tabs>
              <w:spacing w:after="120"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ab/>
              <w:t>Defendant and Appellant.</w:t>
            </w:r>
          </w:p>
        </w:tc>
        <w:tc>
          <w:tcPr>
            <w:tcW w:w="4680" w:type="dxa"/>
            <w:tcBorders>
              <w:left w:val="single" w:sz="4" w:space="0" w:color="auto"/>
            </w:tcBorders>
            <w:shd w:val="clear" w:color="auto" w:fill="auto"/>
          </w:tcPr>
          <w:p w:rsidR="002067FF" w:rsidRPr="002067FF" w:rsidP="002067FF" w14:paraId="67377524" w14:textId="77777777">
            <w:pPr>
              <w:tabs>
                <w:tab w:val="clear" w:pos="720"/>
              </w:tabs>
              <w:spacing w:line="240" w:lineRule="auto"/>
              <w:rPr>
                <w:rFonts w:eastAsia="Times New Roman" w:cs="Times New Roman"/>
                <w:kern w:val="0"/>
                <w:lang w:eastAsia="zh-CN"/>
                <w14:ligatures w14:val="none"/>
              </w:rPr>
            </w:pPr>
          </w:p>
          <w:p w:rsidR="002067FF" w:rsidRPr="002067FF" w:rsidP="002067FF" w14:paraId="5595E12F" w14:textId="77777777">
            <w:pPr>
              <w:tabs>
                <w:tab w:val="clear" w:pos="720"/>
              </w:tabs>
              <w:spacing w:line="240" w:lineRule="auto"/>
              <w:rPr>
                <w:rFonts w:eastAsia="Times New Roman" w:cs="Times New Roman"/>
                <w:kern w:val="0"/>
                <w:lang w:eastAsia="zh-CN"/>
                <w14:ligatures w14:val="none"/>
              </w:rPr>
            </w:pPr>
          </w:p>
          <w:p w:rsidR="002067FF" w:rsidRPr="002067FF" w:rsidP="002067FF" w14:paraId="71ECB29F" w14:textId="77777777">
            <w:pPr>
              <w:tabs>
                <w:tab w:val="clear" w:pos="720"/>
              </w:tabs>
              <w:spacing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 xml:space="preserve">      A168411</w:t>
            </w:r>
          </w:p>
          <w:p w:rsidR="002067FF" w:rsidRPr="002067FF" w:rsidP="002067FF" w14:paraId="208D62D8" w14:textId="77777777">
            <w:pPr>
              <w:tabs>
                <w:tab w:val="clear" w:pos="720"/>
              </w:tabs>
              <w:spacing w:line="240" w:lineRule="auto"/>
              <w:rPr>
                <w:rFonts w:eastAsia="Times New Roman" w:cs="Times New Roman"/>
                <w:kern w:val="0"/>
                <w:lang w:eastAsia="zh-CN"/>
                <w14:ligatures w14:val="none"/>
              </w:rPr>
            </w:pPr>
          </w:p>
          <w:p w:rsidR="002067FF" w:rsidRPr="002067FF" w:rsidP="002067FF" w14:paraId="6B15AD4A" w14:textId="77777777">
            <w:pPr>
              <w:tabs>
                <w:tab w:val="clear" w:pos="720"/>
              </w:tabs>
              <w:spacing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 xml:space="preserve">      (Sonoma County</w:t>
            </w:r>
          </w:p>
          <w:p w:rsidR="002067FF" w:rsidRPr="002067FF" w:rsidP="002067FF" w14:paraId="39A5F242" w14:textId="77777777">
            <w:pPr>
              <w:tabs>
                <w:tab w:val="clear" w:pos="720"/>
              </w:tabs>
              <w:spacing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 xml:space="preserve">      Super. Ct. No. SCR7557621)</w:t>
            </w:r>
          </w:p>
          <w:p w:rsidR="002067FF" w:rsidRPr="002067FF" w:rsidP="002067FF" w14:paraId="2E4BA9EA" w14:textId="77777777">
            <w:pPr>
              <w:spacing w:line="240" w:lineRule="auto"/>
              <w:ind w:left="360"/>
              <w:rPr>
                <w:kern w:val="0"/>
                <w14:ligatures w14:val="none"/>
              </w:rPr>
            </w:pPr>
          </w:p>
          <w:p w:rsidR="002067FF" w:rsidRPr="002067FF" w:rsidP="002067FF" w14:paraId="27C24AFA" w14:textId="77777777">
            <w:pPr>
              <w:spacing w:line="240" w:lineRule="auto"/>
              <w:ind w:left="360"/>
              <w:rPr>
                <w:kern w:val="0"/>
                <w14:ligatures w14:val="none"/>
              </w:rPr>
            </w:pPr>
            <w:r w:rsidRPr="002067FF">
              <w:rPr>
                <w:kern w:val="0"/>
                <w14:ligatures w14:val="none"/>
              </w:rPr>
              <w:t>ORDER GRANTING PUBLICATION</w:t>
            </w:r>
          </w:p>
          <w:p w:rsidR="002067FF" w:rsidRPr="002067FF" w:rsidP="002067FF" w14:paraId="63C331E8" w14:textId="77777777">
            <w:pPr>
              <w:spacing w:line="240" w:lineRule="auto"/>
              <w:ind w:left="360"/>
              <w:rPr>
                <w:kern w:val="0"/>
                <w14:ligatures w14:val="none"/>
              </w:rPr>
            </w:pPr>
          </w:p>
          <w:p w:rsidR="002067FF" w:rsidRPr="002067FF" w:rsidP="002067FF" w14:paraId="525E905C" w14:textId="77777777">
            <w:pPr>
              <w:tabs>
                <w:tab w:val="clear" w:pos="720"/>
              </w:tabs>
              <w:spacing w:line="240" w:lineRule="auto"/>
              <w:rPr>
                <w:rFonts w:eastAsia="Times New Roman" w:cs="Times New Roman"/>
                <w:kern w:val="0"/>
                <w:lang w:eastAsia="zh-CN"/>
                <w14:ligatures w14:val="none"/>
              </w:rPr>
            </w:pPr>
            <w:r w:rsidRPr="002067FF">
              <w:rPr>
                <w:kern w:val="0"/>
                <w14:ligatures w14:val="none"/>
              </w:rPr>
              <w:t xml:space="preserve">     [NO CHANGE IN JUDGMENT]</w:t>
            </w:r>
          </w:p>
        </w:tc>
      </w:tr>
    </w:tbl>
    <w:p w:rsidR="002067FF" w:rsidRPr="002067FF" w:rsidP="002067FF" w14:paraId="54E11EDF" w14:textId="77777777">
      <w:pPr>
        <w:tabs>
          <w:tab w:val="clear" w:pos="720"/>
        </w:tabs>
        <w:spacing w:line="240" w:lineRule="auto"/>
        <w:rPr>
          <w:rFonts w:eastAsia="Times New Roman" w:cs="Times New Roman"/>
          <w:kern w:val="0"/>
          <w:lang w:eastAsia="zh-CN"/>
          <w14:ligatures w14:val="none"/>
        </w:rPr>
      </w:pPr>
    </w:p>
    <w:p w:rsidR="002067FF" w:rsidRPr="002067FF" w:rsidP="002067FF" w14:paraId="5B6A3FFB" w14:textId="77777777">
      <w:pPr>
        <w:tabs>
          <w:tab w:val="clear" w:pos="720"/>
        </w:tabs>
        <w:spacing w:line="360" w:lineRule="auto"/>
        <w:rPr>
          <w:rFonts w:eastAsia="Times New Roman" w:cs="Times New Roman"/>
          <w:kern w:val="0"/>
          <w:lang w:eastAsia="zh-CN"/>
          <w14:ligatures w14:val="none"/>
        </w:rPr>
      </w:pPr>
      <w:r w:rsidRPr="002067FF">
        <w:rPr>
          <w:rFonts w:eastAsia="Times New Roman" w:cs="Times New Roman"/>
          <w:kern w:val="0"/>
          <w:lang w:eastAsia="zh-CN"/>
          <w14:ligatures w14:val="none"/>
        </w:rPr>
        <w:t>THE COURT:</w:t>
      </w:r>
    </w:p>
    <w:p w:rsidR="002067FF" w:rsidRPr="002067FF" w:rsidP="002067FF" w14:paraId="16255A66" w14:textId="77777777">
      <w:pPr>
        <w:tabs>
          <w:tab w:val="clear" w:pos="720"/>
        </w:tabs>
        <w:spacing w:line="360" w:lineRule="auto"/>
        <w:rPr>
          <w:rFonts w:eastAsia="Times New Roman" w:cs="Times New Roman"/>
          <w:kern w:val="0"/>
          <w:lang w:eastAsia="zh-CN"/>
          <w14:ligatures w14:val="none"/>
        </w:rPr>
      </w:pPr>
      <w:r w:rsidRPr="002067FF">
        <w:rPr>
          <w:rFonts w:eastAsia="Times New Roman" w:cs="Times New Roman"/>
          <w:kern w:val="0"/>
          <w:lang w:eastAsia="zh-CN"/>
          <w14:ligatures w14:val="none"/>
        </w:rPr>
        <w:tab/>
        <w:t xml:space="preserve">The opinion in the above-entitled matter, filed on May 8, 2024, was not certified for publication in the Official Reports.  After the court’s review of a request under California Rules of Court, rule 8.1120, and good cause established under rule 8.1105, it is hereby ordered that the opinion should be published in the Official Reports. </w:t>
      </w:r>
    </w:p>
    <w:p w:rsidR="002067FF" w:rsidRPr="002067FF" w:rsidP="002067FF" w14:paraId="3209C935" w14:textId="77777777">
      <w:pPr>
        <w:tabs>
          <w:tab w:val="clear" w:pos="720"/>
        </w:tabs>
        <w:spacing w:line="360" w:lineRule="auto"/>
        <w:rPr>
          <w:rFonts w:eastAsia="Times New Roman" w:cs="Times New Roman"/>
          <w:kern w:val="0"/>
          <w:lang w:eastAsia="zh-CN"/>
          <w14:ligatures w14:val="none"/>
        </w:rPr>
      </w:pPr>
    </w:p>
    <w:p w:rsidR="002067FF" w:rsidRPr="002067FF" w:rsidP="002067FF" w14:paraId="3C78BB0A" w14:textId="77777777">
      <w:pPr>
        <w:tabs>
          <w:tab w:val="clear" w:pos="720"/>
        </w:tabs>
        <w:spacing w:line="360" w:lineRule="auto"/>
        <w:rPr>
          <w:rFonts w:eastAsia="Times New Roman" w:cs="Times New Roman"/>
          <w:kern w:val="0"/>
          <w:lang w:eastAsia="zh-CN"/>
          <w14:ligatures w14:val="none"/>
        </w:rPr>
      </w:pPr>
    </w:p>
    <w:p w:rsidR="002067FF" w:rsidRPr="002067FF" w:rsidP="002067FF" w14:paraId="7EAC3EBA" w14:textId="77777777">
      <w:pPr>
        <w:tabs>
          <w:tab w:val="clear" w:pos="720"/>
        </w:tabs>
        <w:spacing w:line="360" w:lineRule="auto"/>
        <w:rPr>
          <w:rFonts w:eastAsia="Times New Roman" w:cs="Times New Roman"/>
          <w:kern w:val="0"/>
          <w:lang w:eastAsia="zh-CN"/>
          <w14:ligatures w14:val="none"/>
        </w:rPr>
      </w:pPr>
      <w:r w:rsidRPr="002067FF">
        <w:rPr>
          <w:rFonts w:eastAsia="Times New Roman" w:cs="Times New Roman"/>
          <w:kern w:val="0"/>
          <w:lang w:eastAsia="zh-CN"/>
          <w14:ligatures w14:val="none"/>
        </w:rPr>
        <w:t>Dated:</w:t>
      </w: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t xml:space="preserve">     </w:t>
      </w:r>
    </w:p>
    <w:p w:rsidR="002067FF" w:rsidRPr="002067FF" w:rsidP="002067FF" w14:paraId="30EF6C71" w14:textId="77777777">
      <w:pPr>
        <w:tabs>
          <w:tab w:val="clear" w:pos="720"/>
        </w:tabs>
        <w:spacing w:line="360" w:lineRule="auto"/>
        <w:rPr>
          <w:rFonts w:eastAsia="Times New Roman" w:cs="Times New Roman"/>
          <w:kern w:val="0"/>
          <w:lang w:eastAsia="zh-CN"/>
          <w14:ligatures w14:val="none"/>
        </w:rPr>
      </w:pPr>
      <w:r w:rsidRPr="002067FF">
        <w:rPr>
          <w:rFonts w:eastAsia="Times New Roman" w:cs="Times New Roman"/>
          <w:kern w:val="0"/>
          <w:lang w:eastAsia="zh-CN"/>
          <w14:ligatures w14:val="none"/>
        </w:rPr>
        <w:t xml:space="preserve">                                                  _______________________________</w:t>
      </w:r>
    </w:p>
    <w:p w:rsidR="002067FF" w:rsidRPr="002067FF" w:rsidP="002067FF" w14:paraId="6C200317" w14:textId="77777777">
      <w:pPr>
        <w:tabs>
          <w:tab w:val="clear" w:pos="720"/>
        </w:tabs>
        <w:spacing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r>
      <w:r w:rsidRPr="002067FF">
        <w:rPr>
          <w:rFonts w:eastAsia="Times New Roman" w:cs="Times New Roman"/>
          <w:kern w:val="0"/>
          <w:lang w:eastAsia="zh-CN"/>
          <w14:ligatures w14:val="none"/>
        </w:rPr>
        <w:tab/>
        <w:t>Humes, Presiding Justice</w:t>
      </w:r>
    </w:p>
    <w:p w:rsidR="002067FF" w:rsidRPr="002067FF" w:rsidP="002067FF" w14:paraId="2323739B" w14:textId="77777777">
      <w:pPr>
        <w:tabs>
          <w:tab w:val="clear" w:pos="720"/>
        </w:tabs>
        <w:spacing w:line="360" w:lineRule="auto"/>
        <w:rPr>
          <w:rFonts w:eastAsia="Times New Roman" w:cs="Times New Roman"/>
          <w:kern w:val="0"/>
          <w:lang w:eastAsia="zh-CN"/>
          <w14:ligatures w14:val="none"/>
        </w:rPr>
      </w:pPr>
      <w:r w:rsidRPr="002067FF">
        <w:rPr>
          <w:rFonts w:eastAsia="Times New Roman" w:cs="Times New Roman"/>
          <w:kern w:val="0"/>
          <w:lang w:eastAsia="zh-CN"/>
          <w14:ligatures w14:val="none"/>
        </w:rPr>
        <w:br w:type="page"/>
      </w:r>
    </w:p>
    <w:p w:rsidR="002067FF" w:rsidRPr="002067FF" w:rsidP="002067FF" w14:paraId="2216CAAA" w14:textId="77777777">
      <w:pPr>
        <w:tabs>
          <w:tab w:val="clear" w:pos="720"/>
        </w:tabs>
        <w:spacing w:line="240" w:lineRule="auto"/>
        <w:rPr>
          <w:rFonts w:eastAsia="Times New Roman" w:cs="Times New Roman"/>
          <w:kern w:val="0"/>
          <w:lang w:eastAsia="zh-CN"/>
          <w14:ligatures w14:val="none"/>
        </w:rPr>
      </w:pPr>
    </w:p>
    <w:p w:rsidR="002067FF" w:rsidRPr="002067FF" w:rsidP="002067FF" w14:paraId="5F69AEED" w14:textId="77777777">
      <w:pPr>
        <w:tabs>
          <w:tab w:val="clear" w:pos="720"/>
        </w:tabs>
        <w:spacing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Sonoma County Superior Court</w:t>
      </w:r>
    </w:p>
    <w:p w:rsidR="002067FF" w:rsidRPr="002067FF" w:rsidP="002067FF" w14:paraId="7468ABC3" w14:textId="77777777">
      <w:pPr>
        <w:tabs>
          <w:tab w:val="clear" w:pos="720"/>
        </w:tabs>
        <w:spacing w:line="240" w:lineRule="auto"/>
        <w:rPr>
          <w:rFonts w:eastAsia="Times New Roman" w:cs="Times New Roman"/>
          <w:kern w:val="0"/>
          <w:lang w:eastAsia="zh-CN"/>
          <w14:ligatures w14:val="none"/>
        </w:rPr>
      </w:pPr>
    </w:p>
    <w:p w:rsidR="002067FF" w:rsidRPr="002067FF" w:rsidP="002067FF" w14:paraId="6E9246BB" w14:textId="77777777">
      <w:pPr>
        <w:tabs>
          <w:tab w:val="clear" w:pos="720"/>
        </w:tabs>
        <w:spacing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Hon. Karlene Navarro</w:t>
      </w:r>
    </w:p>
    <w:p w:rsidR="002067FF" w:rsidRPr="002067FF" w:rsidP="002067FF" w14:paraId="7CB06D8A" w14:textId="77777777">
      <w:pPr>
        <w:tabs>
          <w:tab w:val="clear" w:pos="720"/>
        </w:tabs>
        <w:spacing w:line="240" w:lineRule="auto"/>
        <w:rPr>
          <w:rFonts w:eastAsia="Times New Roman" w:cs="Times New Roman"/>
          <w:kern w:val="0"/>
          <w:lang w:eastAsia="zh-CN"/>
          <w14:ligatures w14:val="none"/>
        </w:rPr>
      </w:pPr>
    </w:p>
    <w:p w:rsidR="002067FF" w:rsidRPr="002067FF" w:rsidP="002067FF" w14:paraId="17673FD8" w14:textId="77777777">
      <w:pPr>
        <w:tabs>
          <w:tab w:val="clear" w:pos="720"/>
        </w:tabs>
        <w:spacing w:line="240" w:lineRule="auto"/>
        <w:ind w:firstLine="720"/>
        <w:rPr>
          <w:rFonts w:eastAsia="Times New Roman" w:cs="Times New Roman"/>
          <w:kern w:val="0"/>
          <w:lang w:eastAsia="zh-CN"/>
          <w14:ligatures w14:val="none"/>
        </w:rPr>
      </w:pPr>
      <w:r w:rsidRPr="002067FF">
        <w:rPr>
          <w:rFonts w:eastAsia="Times New Roman" w:cs="Times New Roman"/>
          <w:kern w:val="0"/>
          <w:lang w:eastAsia="zh-CN"/>
          <w14:ligatures w14:val="none"/>
        </w:rPr>
        <w:t xml:space="preserve">Carla C. Rodriguez, District Attorney, Anne C. Masterson, Chief Deputy District Attorney, Sarah A. Brooks, Deputy District Attorney for Plaintiff and Appellant. </w:t>
      </w:r>
    </w:p>
    <w:p w:rsidR="002067FF" w:rsidRPr="002067FF" w:rsidP="002067FF" w14:paraId="6F090CEB" w14:textId="77777777">
      <w:pPr>
        <w:tabs>
          <w:tab w:val="clear" w:pos="720"/>
        </w:tabs>
        <w:spacing w:line="240" w:lineRule="auto"/>
        <w:ind w:firstLine="720"/>
        <w:rPr>
          <w:rFonts w:eastAsia="Times New Roman" w:cs="Times New Roman"/>
          <w:kern w:val="0"/>
          <w:lang w:eastAsia="zh-CN"/>
          <w14:ligatures w14:val="none"/>
        </w:rPr>
      </w:pPr>
    </w:p>
    <w:p w:rsidR="002067FF" w:rsidRPr="002067FF" w:rsidP="002067FF" w14:paraId="49419034" w14:textId="77777777">
      <w:pPr>
        <w:tabs>
          <w:tab w:val="clear" w:pos="720"/>
        </w:tabs>
        <w:spacing w:line="240" w:lineRule="auto"/>
        <w:ind w:firstLine="720"/>
        <w:rPr>
          <w:rFonts w:eastAsia="Times New Roman" w:cs="Times New Roman"/>
          <w:kern w:val="0"/>
          <w:lang w:eastAsia="zh-CN"/>
          <w14:ligatures w14:val="none"/>
        </w:rPr>
      </w:pPr>
      <w:r w:rsidRPr="002067FF">
        <w:rPr>
          <w:rFonts w:eastAsia="Times New Roman" w:cs="Times New Roman"/>
          <w:kern w:val="0"/>
          <w:lang w:eastAsia="zh-CN"/>
          <w14:ligatures w14:val="none"/>
        </w:rPr>
        <w:t xml:space="preserve">Richard Schwartzberg, under appointment for the Court of Appeal, for Defendant and Respondent.  </w:t>
      </w:r>
    </w:p>
    <w:p w:rsidR="002067FF" w:rsidRPr="002067FF" w:rsidP="002067FF" w14:paraId="7345E60A" w14:textId="77777777">
      <w:pPr>
        <w:tabs>
          <w:tab w:val="clear" w:pos="720"/>
        </w:tabs>
        <w:spacing w:line="240" w:lineRule="auto"/>
        <w:rPr>
          <w:rFonts w:eastAsia="Times New Roman" w:cs="Times New Roman"/>
          <w:kern w:val="0"/>
          <w:lang w:eastAsia="zh-CN"/>
          <w14:ligatures w14:val="none"/>
        </w:rPr>
      </w:pPr>
      <w:r w:rsidRPr="002067FF">
        <w:rPr>
          <w:rFonts w:eastAsia="Times New Roman" w:cs="Times New Roman"/>
          <w:kern w:val="0"/>
          <w:lang w:eastAsia="zh-CN"/>
          <w14:ligatures w14:val="none"/>
        </w:rPr>
        <w:tab/>
      </w:r>
    </w:p>
    <w:p w:rsidR="002067FF" w:rsidRPr="002067FF" w:rsidP="002067FF" w14:paraId="5B9714F4" w14:textId="77777777">
      <w:pPr>
        <w:tabs>
          <w:tab w:val="clear" w:pos="720"/>
        </w:tabs>
        <w:spacing w:line="240" w:lineRule="auto"/>
        <w:rPr>
          <w:rFonts w:eastAsia="Times New Roman" w:cs="Times New Roman"/>
          <w:kern w:val="0"/>
          <w:lang w:eastAsia="zh-CN"/>
          <w14:ligatures w14:val="none"/>
        </w:rPr>
      </w:pPr>
    </w:p>
    <w:p w:rsidR="009561B2" w:rsidRPr="00522D17" w:rsidP="00522D17" w14:paraId="6BB6FD9B" w14:textId="38DDC564">
      <w:pPr>
        <w:rPr>
          <w:kern w:val="0"/>
          <w14:ligatures w14:val="none"/>
        </w:rPr>
      </w:pPr>
    </w:p>
    <w:sectPr w:rsidSect="002067FF">
      <w:pgSz w:w="12240" w:h="15840"/>
      <w:pgMar w:top="1440" w:right="2160" w:bottom="1440" w:left="216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B48" w:rsidP="00220500" w14:paraId="3A3470A3" w14:textId="79CEC7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A92B48" w:rsidP="00220500" w14:paraId="2F690F0C" w14:textId="1BC2AB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A92B48" w14:paraId="4D1A48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B48" w:rsidP="00A92B48" w14:paraId="6C72F9F3" w14:textId="212880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92B48" w14:paraId="0465E0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73D0" w:rsidP="00CC2507" w14:paraId="4F1C4908" w14:textId="77777777">
      <w:pPr>
        <w:spacing w:line="240" w:lineRule="auto"/>
      </w:pPr>
      <w:r>
        <w:separator/>
      </w:r>
    </w:p>
  </w:footnote>
  <w:footnote w:type="continuationSeparator" w:id="1">
    <w:p w:rsidR="00DD73D0" w:rsidP="00CC2507" w14:paraId="7C9BCD3E" w14:textId="77777777">
      <w:pPr>
        <w:spacing w:line="240" w:lineRule="auto"/>
      </w:pPr>
      <w:r>
        <w:continuationSeparator/>
      </w:r>
    </w:p>
  </w:footnote>
  <w:footnote w:id="2">
    <w:p w:rsidR="00DA5D4B" w:rsidP="00DA5D4B" w14:paraId="32F8E398" w14:textId="7BF10196">
      <w:pPr>
        <w:pStyle w:val="FootnoteText"/>
        <w:ind w:firstLine="720"/>
      </w:pPr>
      <w:r>
        <w:rPr>
          <w:rStyle w:val="FootnoteReference"/>
        </w:rPr>
        <w:footnoteRef/>
      </w:r>
      <w:r>
        <w:t xml:space="preserve"> Undesignated statutory references are to the Penal Code.</w:t>
      </w:r>
    </w:p>
  </w:footnote>
  <w:footnote w:id="3">
    <w:p w:rsidR="001727CE" w:rsidP="00A4351C" w14:paraId="2712F1F9" w14:textId="25C1B12C">
      <w:pPr>
        <w:pStyle w:val="FootnoteText"/>
        <w:ind w:firstLine="720"/>
      </w:pPr>
      <w:r>
        <w:rPr>
          <w:rStyle w:val="FootnoteReference"/>
        </w:rPr>
        <w:footnoteRef/>
      </w:r>
      <w:r>
        <w:t xml:space="preserve"> The cases the trial court relied on do not hold otherwise.  </w:t>
      </w:r>
      <w:r w:rsidR="002443BE">
        <w:t xml:space="preserve">(See </w:t>
      </w:r>
      <w:r w:rsidRPr="00EF57F1" w:rsidR="002443BE">
        <w:rPr>
          <w:i/>
          <w:iCs/>
        </w:rPr>
        <w:t>People v. Rosas</w:t>
      </w:r>
      <w:r w:rsidR="002443BE">
        <w:t xml:space="preserve"> (2020) 50 Cal.App.5</w:t>
      </w:r>
      <w:r w:rsidRPr="00EF57F1" w:rsidR="002443BE">
        <w:t>th</w:t>
      </w:r>
      <w:r w:rsidR="002443BE">
        <w:t xml:space="preserve"> 17, 25; </w:t>
      </w:r>
      <w:r w:rsidRPr="001727CE">
        <w:rPr>
          <w:i/>
          <w:iCs/>
        </w:rPr>
        <w:t>United States v. Fencl</w:t>
      </w:r>
      <w:r>
        <w:t xml:space="preserve"> (S.D.</w:t>
      </w:r>
      <w:r w:rsidR="00BA7E8F">
        <w:t xml:space="preserve"> Cal.</w:t>
      </w:r>
      <w:r w:rsidR="00FC0A6A">
        <w:t>,</w:t>
      </w:r>
      <w:r w:rsidR="00BA7E8F">
        <w:t xml:space="preserve"> </w:t>
      </w:r>
      <w:r w:rsidR="002F0178">
        <w:t>Jan. 5</w:t>
      </w:r>
      <w:r w:rsidR="00BA7E8F">
        <w:t>, 202</w:t>
      </w:r>
      <w:r w:rsidR="002F0178">
        <w:t>3</w:t>
      </w:r>
      <w:r w:rsidR="00BA7E8F">
        <w:t>, No. 21-CR-3101 JLS) 202</w:t>
      </w:r>
      <w:r w:rsidR="00494193">
        <w:t>3</w:t>
      </w:r>
      <w:r w:rsidR="00BA7E8F">
        <w:t xml:space="preserve"> U.S. Dist. LEXIS 22</w:t>
      </w:r>
      <w:r w:rsidR="002F0178">
        <w:t>31</w:t>
      </w:r>
      <w:r w:rsidR="00BA7E8F">
        <w:t xml:space="preserve"> </w:t>
      </w:r>
      <w:r>
        <w:t>(</w:t>
      </w:r>
      <w:r w:rsidRPr="001727CE">
        <w:rPr>
          <w:i/>
          <w:iCs/>
        </w:rPr>
        <w:t>Fencl</w:t>
      </w:r>
      <w:r>
        <w:t>)</w:t>
      </w:r>
      <w:r w:rsidR="002443BE">
        <w:t xml:space="preserve">.)  </w:t>
      </w:r>
      <w:r w:rsidRPr="002443BE" w:rsidR="002443BE">
        <w:rPr>
          <w:i/>
          <w:iCs/>
        </w:rPr>
        <w:t>Fencl</w:t>
      </w:r>
      <w:r w:rsidRPr="002443BE">
        <w:rPr>
          <w:i/>
          <w:iCs/>
        </w:rPr>
        <w:t xml:space="preserve"> </w:t>
      </w:r>
      <w:r>
        <w:t xml:space="preserve">involved a situation </w:t>
      </w:r>
      <w:r w:rsidR="00A6185E">
        <w:t>like this</w:t>
      </w:r>
      <w:r>
        <w:t xml:space="preserve"> case.  An officer conducted a probation search of the defendant’s car several months after AB 1950 became effective.  (</w:t>
      </w:r>
      <w:r w:rsidRPr="001727CE">
        <w:rPr>
          <w:i/>
          <w:iCs/>
        </w:rPr>
        <w:t>Id.</w:t>
      </w:r>
      <w:r>
        <w:t xml:space="preserve"> at </w:t>
      </w:r>
      <w:r w:rsidR="00BA7E8F">
        <w:t>*</w:t>
      </w:r>
      <w:r>
        <w:t>1</w:t>
      </w:r>
      <w:r w:rsidR="00607737">
        <w:t>–</w:t>
      </w:r>
      <w:r>
        <w:t>2.)  Prior to the search, the officer checked a law enforcement database and called court officials.  (</w:t>
      </w:r>
      <w:r w:rsidRPr="002443BE">
        <w:rPr>
          <w:i/>
          <w:iCs/>
        </w:rPr>
        <w:t>Id.</w:t>
      </w:r>
      <w:r>
        <w:t xml:space="preserve"> at </w:t>
      </w:r>
      <w:r w:rsidR="00BA7E8F">
        <w:t>*</w:t>
      </w:r>
      <w:r w:rsidR="00820CCE">
        <w:t>3</w:t>
      </w:r>
      <w:r>
        <w:t xml:space="preserve">.)  He also received a bulletin from the probation department regarding AB 1950 </w:t>
      </w:r>
      <w:r w:rsidR="00E11C7E">
        <w:t>that directed</w:t>
      </w:r>
      <w:r>
        <w:t xml:space="preserve"> law enforcement to contact the probation office, which the officer did.  (</w:t>
      </w:r>
      <w:r w:rsidRPr="002443BE">
        <w:rPr>
          <w:i/>
          <w:iCs/>
        </w:rPr>
        <w:t>Id.</w:t>
      </w:r>
      <w:r>
        <w:t xml:space="preserve"> at </w:t>
      </w:r>
      <w:r w:rsidR="00BA7E8F">
        <w:t>*</w:t>
      </w:r>
      <w:r w:rsidR="00820CCE">
        <w:t>3</w:t>
      </w:r>
      <w:r>
        <w:t>.)  All source</w:t>
      </w:r>
      <w:r w:rsidR="002443BE">
        <w:t>s</w:t>
      </w:r>
      <w:r>
        <w:t xml:space="preserve"> incorrectly informed him the defendant was still on searchable probation.  (</w:t>
      </w:r>
      <w:r w:rsidRPr="002443BE">
        <w:rPr>
          <w:i/>
          <w:iCs/>
        </w:rPr>
        <w:t>Id.</w:t>
      </w:r>
      <w:r>
        <w:t xml:space="preserve"> at </w:t>
      </w:r>
      <w:r w:rsidR="00BA7E8F">
        <w:t>*</w:t>
      </w:r>
      <w:r w:rsidR="00820CCE">
        <w:t>3</w:t>
      </w:r>
      <w:r>
        <w:t>.)</w:t>
      </w:r>
      <w:r w:rsidR="002443BE">
        <w:t xml:space="preserve">  The court found the officer had acted objectively reasonabl</w:t>
      </w:r>
      <w:r w:rsidR="00607737">
        <w:t>y</w:t>
      </w:r>
      <w:r w:rsidR="002443BE">
        <w:t>.  (</w:t>
      </w:r>
      <w:r w:rsidRPr="002443BE" w:rsidR="002443BE">
        <w:rPr>
          <w:i/>
          <w:iCs/>
        </w:rPr>
        <w:t>Id.</w:t>
      </w:r>
      <w:r w:rsidR="002443BE">
        <w:t xml:space="preserve"> at </w:t>
      </w:r>
      <w:r w:rsidR="00BA7E8F">
        <w:t>*</w:t>
      </w:r>
      <w:r w:rsidR="00820CCE">
        <w:t>18</w:t>
      </w:r>
      <w:r w:rsidR="002443BE">
        <w:t>.)  Of significance here, it rejected the defendant’s argument</w:t>
      </w:r>
      <w:r w:rsidR="0000139A">
        <w:t>s</w:t>
      </w:r>
      <w:r w:rsidR="002443BE">
        <w:t xml:space="preserve"> that the police department’s “ ‘barebones’ ” training—i.e., the bulletin—warranted suppression </w:t>
      </w:r>
      <w:r w:rsidR="00D80DC6">
        <w:t>and that</w:t>
      </w:r>
      <w:r w:rsidR="002443BE">
        <w:t xml:space="preserve"> a reasonably well-trained officer would have known to consult sources</w:t>
      </w:r>
      <w:r w:rsidR="00607737">
        <w:t xml:space="preserve"> other than the probation office</w:t>
      </w:r>
      <w:r w:rsidR="002443BE">
        <w:t>.  (</w:t>
      </w:r>
      <w:r w:rsidRPr="002443BE" w:rsidR="002443BE">
        <w:rPr>
          <w:i/>
          <w:iCs/>
        </w:rPr>
        <w:t>Id.</w:t>
      </w:r>
      <w:r w:rsidR="002443BE">
        <w:t xml:space="preserve"> at </w:t>
      </w:r>
      <w:r w:rsidR="00BA7E8F">
        <w:t>*</w:t>
      </w:r>
      <w:r w:rsidR="00820CCE">
        <w:t>13-14</w:t>
      </w:r>
      <w:r w:rsidR="002443BE">
        <w:t xml:space="preserve">.)  </w:t>
      </w:r>
      <w:r w:rsidR="00607737">
        <w:t xml:space="preserve">The court </w:t>
      </w:r>
      <w:r w:rsidR="00E11C7E">
        <w:t xml:space="preserve">also </w:t>
      </w:r>
      <w:r w:rsidR="00607737">
        <w:t>pointed out that the bulletin “originated from the Probation Department, not the police department.”  (</w:t>
      </w:r>
      <w:r w:rsidRPr="00607737" w:rsidR="00607737">
        <w:rPr>
          <w:i/>
          <w:iCs/>
        </w:rPr>
        <w:t>Id.</w:t>
      </w:r>
      <w:r w:rsidR="00607737">
        <w:t xml:space="preserve"> at </w:t>
      </w:r>
      <w:r w:rsidR="00BA7E8F">
        <w:t>*</w:t>
      </w:r>
      <w:r w:rsidR="00820CCE">
        <w:t>14</w:t>
      </w:r>
      <w:r w:rsidR="00607737">
        <w:t>.)  “The Probation Department’s failure to identify the appropriate agency to contact for information . . . is not a concern of the exclusionary rule.”  (</w:t>
      </w:r>
      <w:r w:rsidRPr="00607737" w:rsidR="00607737">
        <w:rPr>
          <w:i/>
          <w:iCs/>
        </w:rPr>
        <w:t>Ibid.</w:t>
      </w:r>
      <w:r w:rsidR="00607737">
        <w:t>)</w:t>
      </w:r>
      <w:r w:rsidR="002443B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6C273B"/>
    <w:multiLevelType w:val="hybridMultilevel"/>
    <w:tmpl w:val="429CEDD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AA71CC4"/>
    <w:multiLevelType w:val="hybridMultilevel"/>
    <w:tmpl w:val="A8C657E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A3B56C7"/>
    <w:multiLevelType w:val="hybridMultilevel"/>
    <w:tmpl w:val="79E0E5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6D"/>
    <w:rsid w:val="0000139A"/>
    <w:rsid w:val="00024BFD"/>
    <w:rsid w:val="00037CCA"/>
    <w:rsid w:val="000636A1"/>
    <w:rsid w:val="00075681"/>
    <w:rsid w:val="00084005"/>
    <w:rsid w:val="000A430A"/>
    <w:rsid w:val="000B4B14"/>
    <w:rsid w:val="000C2E08"/>
    <w:rsid w:val="001013EB"/>
    <w:rsid w:val="00111BC9"/>
    <w:rsid w:val="00132A31"/>
    <w:rsid w:val="00134BCD"/>
    <w:rsid w:val="00135A9F"/>
    <w:rsid w:val="00136B70"/>
    <w:rsid w:val="00165A4D"/>
    <w:rsid w:val="00172665"/>
    <w:rsid w:val="001727CE"/>
    <w:rsid w:val="0019386A"/>
    <w:rsid w:val="00195DBE"/>
    <w:rsid w:val="001A0A13"/>
    <w:rsid w:val="001B2DDE"/>
    <w:rsid w:val="001B373A"/>
    <w:rsid w:val="001B4F52"/>
    <w:rsid w:val="001B5E1F"/>
    <w:rsid w:val="001C73CE"/>
    <w:rsid w:val="001D4318"/>
    <w:rsid w:val="001E1788"/>
    <w:rsid w:val="001F4873"/>
    <w:rsid w:val="00204F23"/>
    <w:rsid w:val="002067FF"/>
    <w:rsid w:val="00220500"/>
    <w:rsid w:val="00234DCB"/>
    <w:rsid w:val="002443BE"/>
    <w:rsid w:val="00250AB4"/>
    <w:rsid w:val="002628B7"/>
    <w:rsid w:val="00263939"/>
    <w:rsid w:val="002732DC"/>
    <w:rsid w:val="0028180C"/>
    <w:rsid w:val="00284BE3"/>
    <w:rsid w:val="00291E60"/>
    <w:rsid w:val="002C4104"/>
    <w:rsid w:val="002C7124"/>
    <w:rsid w:val="002D6036"/>
    <w:rsid w:val="002F0178"/>
    <w:rsid w:val="002F13F4"/>
    <w:rsid w:val="002F166A"/>
    <w:rsid w:val="002F6058"/>
    <w:rsid w:val="003079DD"/>
    <w:rsid w:val="00334C36"/>
    <w:rsid w:val="00340521"/>
    <w:rsid w:val="003571D6"/>
    <w:rsid w:val="00377147"/>
    <w:rsid w:val="00382AB9"/>
    <w:rsid w:val="003B1F8D"/>
    <w:rsid w:val="003D57FC"/>
    <w:rsid w:val="003F602A"/>
    <w:rsid w:val="00407C81"/>
    <w:rsid w:val="0041367F"/>
    <w:rsid w:val="0041578C"/>
    <w:rsid w:val="0042136C"/>
    <w:rsid w:val="004279BC"/>
    <w:rsid w:val="004338C5"/>
    <w:rsid w:val="00465742"/>
    <w:rsid w:val="00466387"/>
    <w:rsid w:val="00494193"/>
    <w:rsid w:val="004A11F0"/>
    <w:rsid w:val="004A6071"/>
    <w:rsid w:val="004B005E"/>
    <w:rsid w:val="004B1C32"/>
    <w:rsid w:val="004B577D"/>
    <w:rsid w:val="004C4FB4"/>
    <w:rsid w:val="004D27D7"/>
    <w:rsid w:val="004D3DFF"/>
    <w:rsid w:val="004E5095"/>
    <w:rsid w:val="004F4A19"/>
    <w:rsid w:val="004F6020"/>
    <w:rsid w:val="004F6663"/>
    <w:rsid w:val="0050443E"/>
    <w:rsid w:val="00505E85"/>
    <w:rsid w:val="00511C59"/>
    <w:rsid w:val="005226B1"/>
    <w:rsid w:val="00522D17"/>
    <w:rsid w:val="00525543"/>
    <w:rsid w:val="0053246C"/>
    <w:rsid w:val="0054499D"/>
    <w:rsid w:val="00564CBB"/>
    <w:rsid w:val="00575BBD"/>
    <w:rsid w:val="005802C0"/>
    <w:rsid w:val="00593AFE"/>
    <w:rsid w:val="005B131A"/>
    <w:rsid w:val="005C642D"/>
    <w:rsid w:val="005C6F00"/>
    <w:rsid w:val="00607737"/>
    <w:rsid w:val="00620F8F"/>
    <w:rsid w:val="006272B0"/>
    <w:rsid w:val="006511B6"/>
    <w:rsid w:val="0066741C"/>
    <w:rsid w:val="00670E3A"/>
    <w:rsid w:val="00690F71"/>
    <w:rsid w:val="00695E95"/>
    <w:rsid w:val="006A10D8"/>
    <w:rsid w:val="006A3F7B"/>
    <w:rsid w:val="006B0BFA"/>
    <w:rsid w:val="006D0073"/>
    <w:rsid w:val="006D270F"/>
    <w:rsid w:val="006D516D"/>
    <w:rsid w:val="006F17B7"/>
    <w:rsid w:val="00707725"/>
    <w:rsid w:val="00725C03"/>
    <w:rsid w:val="00741DCA"/>
    <w:rsid w:val="007574BC"/>
    <w:rsid w:val="0077417E"/>
    <w:rsid w:val="00777D02"/>
    <w:rsid w:val="00793583"/>
    <w:rsid w:val="007B1080"/>
    <w:rsid w:val="007B7FDE"/>
    <w:rsid w:val="007C208D"/>
    <w:rsid w:val="007C784B"/>
    <w:rsid w:val="007D34A1"/>
    <w:rsid w:val="007D3B4B"/>
    <w:rsid w:val="007E26E8"/>
    <w:rsid w:val="007E3297"/>
    <w:rsid w:val="007E7180"/>
    <w:rsid w:val="007F2223"/>
    <w:rsid w:val="00800AB1"/>
    <w:rsid w:val="00800BFD"/>
    <w:rsid w:val="00800ED7"/>
    <w:rsid w:val="00804E62"/>
    <w:rsid w:val="00820CCE"/>
    <w:rsid w:val="00830F0A"/>
    <w:rsid w:val="00842BD1"/>
    <w:rsid w:val="008463DF"/>
    <w:rsid w:val="00854B41"/>
    <w:rsid w:val="00873DB2"/>
    <w:rsid w:val="00891A13"/>
    <w:rsid w:val="008A14C9"/>
    <w:rsid w:val="008A6B64"/>
    <w:rsid w:val="008B7118"/>
    <w:rsid w:val="008C69C3"/>
    <w:rsid w:val="008D2B73"/>
    <w:rsid w:val="008E1A5A"/>
    <w:rsid w:val="008F2B75"/>
    <w:rsid w:val="008F47C9"/>
    <w:rsid w:val="008F6DE2"/>
    <w:rsid w:val="00902800"/>
    <w:rsid w:val="00914D7D"/>
    <w:rsid w:val="009207D0"/>
    <w:rsid w:val="0092303B"/>
    <w:rsid w:val="00927C0B"/>
    <w:rsid w:val="00941267"/>
    <w:rsid w:val="00945AAC"/>
    <w:rsid w:val="00945F46"/>
    <w:rsid w:val="00947669"/>
    <w:rsid w:val="009561B2"/>
    <w:rsid w:val="0096701E"/>
    <w:rsid w:val="00971228"/>
    <w:rsid w:val="009851BC"/>
    <w:rsid w:val="009A060A"/>
    <w:rsid w:val="009A5332"/>
    <w:rsid w:val="00A01292"/>
    <w:rsid w:val="00A053AF"/>
    <w:rsid w:val="00A0690A"/>
    <w:rsid w:val="00A07394"/>
    <w:rsid w:val="00A23462"/>
    <w:rsid w:val="00A4351C"/>
    <w:rsid w:val="00A43DB5"/>
    <w:rsid w:val="00A511B9"/>
    <w:rsid w:val="00A6185E"/>
    <w:rsid w:val="00A64C1C"/>
    <w:rsid w:val="00A67346"/>
    <w:rsid w:val="00A67BBD"/>
    <w:rsid w:val="00A73080"/>
    <w:rsid w:val="00A80E75"/>
    <w:rsid w:val="00A8502F"/>
    <w:rsid w:val="00A86594"/>
    <w:rsid w:val="00A92B48"/>
    <w:rsid w:val="00A94FA3"/>
    <w:rsid w:val="00AB0319"/>
    <w:rsid w:val="00AC1CC9"/>
    <w:rsid w:val="00AD7670"/>
    <w:rsid w:val="00AE1077"/>
    <w:rsid w:val="00AF046C"/>
    <w:rsid w:val="00AF1098"/>
    <w:rsid w:val="00AF4311"/>
    <w:rsid w:val="00B047A5"/>
    <w:rsid w:val="00B51321"/>
    <w:rsid w:val="00B55564"/>
    <w:rsid w:val="00B7012E"/>
    <w:rsid w:val="00B72D49"/>
    <w:rsid w:val="00B856F6"/>
    <w:rsid w:val="00B86687"/>
    <w:rsid w:val="00B8754C"/>
    <w:rsid w:val="00B9047D"/>
    <w:rsid w:val="00BA4D5E"/>
    <w:rsid w:val="00BA622F"/>
    <w:rsid w:val="00BA7E8F"/>
    <w:rsid w:val="00BB0E80"/>
    <w:rsid w:val="00BD12C1"/>
    <w:rsid w:val="00BD3E21"/>
    <w:rsid w:val="00BF3EC5"/>
    <w:rsid w:val="00C038B7"/>
    <w:rsid w:val="00C11796"/>
    <w:rsid w:val="00C22C56"/>
    <w:rsid w:val="00C4503A"/>
    <w:rsid w:val="00C51003"/>
    <w:rsid w:val="00C52DF6"/>
    <w:rsid w:val="00C55ACF"/>
    <w:rsid w:val="00C670CC"/>
    <w:rsid w:val="00CA6061"/>
    <w:rsid w:val="00CC2507"/>
    <w:rsid w:val="00CC75E5"/>
    <w:rsid w:val="00CD21A7"/>
    <w:rsid w:val="00CE1196"/>
    <w:rsid w:val="00CF5982"/>
    <w:rsid w:val="00D235A2"/>
    <w:rsid w:val="00D5150B"/>
    <w:rsid w:val="00D62EE8"/>
    <w:rsid w:val="00D80DC6"/>
    <w:rsid w:val="00D97394"/>
    <w:rsid w:val="00DA5D4B"/>
    <w:rsid w:val="00DB2C87"/>
    <w:rsid w:val="00DD28F3"/>
    <w:rsid w:val="00DD32E8"/>
    <w:rsid w:val="00DD73D0"/>
    <w:rsid w:val="00E0406D"/>
    <w:rsid w:val="00E11C7E"/>
    <w:rsid w:val="00E26167"/>
    <w:rsid w:val="00E31F5D"/>
    <w:rsid w:val="00E32BC4"/>
    <w:rsid w:val="00E467AD"/>
    <w:rsid w:val="00E53330"/>
    <w:rsid w:val="00E70B3D"/>
    <w:rsid w:val="00E97FD0"/>
    <w:rsid w:val="00EA2D14"/>
    <w:rsid w:val="00EB1D01"/>
    <w:rsid w:val="00EC6099"/>
    <w:rsid w:val="00ED0EC5"/>
    <w:rsid w:val="00EF0231"/>
    <w:rsid w:val="00EF1E4D"/>
    <w:rsid w:val="00EF4ABA"/>
    <w:rsid w:val="00EF57F1"/>
    <w:rsid w:val="00F01E4D"/>
    <w:rsid w:val="00F12882"/>
    <w:rsid w:val="00F1776C"/>
    <w:rsid w:val="00F2739B"/>
    <w:rsid w:val="00F32D96"/>
    <w:rsid w:val="00F604EE"/>
    <w:rsid w:val="00F67A18"/>
    <w:rsid w:val="00F95954"/>
    <w:rsid w:val="00FA040F"/>
    <w:rsid w:val="00FA604C"/>
    <w:rsid w:val="00FB0A6F"/>
    <w:rsid w:val="00FB0FFF"/>
    <w:rsid w:val="00FB79A3"/>
    <w:rsid w:val="00FC0A6A"/>
    <w:rsid w:val="00FC7BF3"/>
    <w:rsid w:val="00FD0222"/>
    <w:rsid w:val="00FD639F"/>
    <w:rsid w:val="00FD6AFB"/>
    <w:rsid w:val="00FE3374"/>
    <w:rsid w:val="00FF012F"/>
    <w:rsid w:val="00FF1E91"/>
    <w:rsid w:val="00FF2EEC"/>
    <w:rsid w:val="00FF42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A1"/>
    <w:pPr>
      <w:ind w:left="720"/>
      <w:contextualSpacing/>
    </w:pPr>
  </w:style>
  <w:style w:type="character" w:styleId="CommentReference">
    <w:name w:val="annotation reference"/>
    <w:basedOn w:val="DefaultParagraphFont"/>
    <w:uiPriority w:val="99"/>
    <w:semiHidden/>
    <w:unhideWhenUsed/>
    <w:rsid w:val="000636A1"/>
    <w:rPr>
      <w:sz w:val="16"/>
      <w:szCs w:val="16"/>
    </w:rPr>
  </w:style>
  <w:style w:type="paragraph" w:styleId="CommentText">
    <w:name w:val="annotation text"/>
    <w:basedOn w:val="Normal"/>
    <w:link w:val="CommentTextChar"/>
    <w:uiPriority w:val="99"/>
    <w:unhideWhenUsed/>
    <w:rsid w:val="000636A1"/>
    <w:pPr>
      <w:spacing w:line="240" w:lineRule="auto"/>
    </w:pPr>
    <w:rPr>
      <w:sz w:val="20"/>
      <w:szCs w:val="20"/>
    </w:rPr>
  </w:style>
  <w:style w:type="character" w:customStyle="1" w:styleId="CommentTextChar">
    <w:name w:val="Comment Text Char"/>
    <w:basedOn w:val="DefaultParagraphFont"/>
    <w:link w:val="CommentText"/>
    <w:uiPriority w:val="99"/>
    <w:rsid w:val="000636A1"/>
    <w:rPr>
      <w:sz w:val="20"/>
      <w:szCs w:val="20"/>
    </w:rPr>
  </w:style>
  <w:style w:type="paragraph" w:styleId="CommentSubject">
    <w:name w:val="annotation subject"/>
    <w:basedOn w:val="CommentText"/>
    <w:next w:val="CommentText"/>
    <w:link w:val="CommentSubjectChar"/>
    <w:uiPriority w:val="99"/>
    <w:semiHidden/>
    <w:unhideWhenUsed/>
    <w:rsid w:val="000636A1"/>
    <w:rPr>
      <w:b/>
      <w:bCs/>
    </w:rPr>
  </w:style>
  <w:style w:type="character" w:customStyle="1" w:styleId="CommentSubjectChar">
    <w:name w:val="Comment Subject Char"/>
    <w:basedOn w:val="CommentTextChar"/>
    <w:link w:val="CommentSubject"/>
    <w:uiPriority w:val="99"/>
    <w:semiHidden/>
    <w:rsid w:val="000636A1"/>
    <w:rPr>
      <w:b/>
      <w:bCs/>
      <w:sz w:val="20"/>
      <w:szCs w:val="20"/>
    </w:rPr>
  </w:style>
  <w:style w:type="paragraph" w:styleId="FootnoteText">
    <w:name w:val="footnote text"/>
    <w:link w:val="FootnoteTextChar"/>
    <w:uiPriority w:val="99"/>
    <w:unhideWhenUsed/>
    <w:rsid w:val="00CC2507"/>
    <w:pPr>
      <w:spacing w:line="240" w:lineRule="auto"/>
    </w:pPr>
    <w:rPr>
      <w:szCs w:val="20"/>
    </w:rPr>
  </w:style>
  <w:style w:type="character" w:customStyle="1" w:styleId="FootnoteTextChar">
    <w:name w:val="Footnote Text Char"/>
    <w:basedOn w:val="DefaultParagraphFont"/>
    <w:link w:val="FootnoteText"/>
    <w:uiPriority w:val="99"/>
    <w:rsid w:val="00CC2507"/>
    <w:rPr>
      <w:szCs w:val="20"/>
    </w:rPr>
  </w:style>
  <w:style w:type="character" w:styleId="FootnoteReference">
    <w:name w:val="footnote reference"/>
    <w:basedOn w:val="DefaultParagraphFont"/>
    <w:uiPriority w:val="99"/>
    <w:semiHidden/>
    <w:unhideWhenUsed/>
    <w:rsid w:val="00CC2507"/>
    <w:rPr>
      <w:vertAlign w:val="superscript"/>
    </w:rPr>
  </w:style>
  <w:style w:type="paragraph" w:styleId="Header">
    <w:name w:val="header"/>
    <w:basedOn w:val="Normal"/>
    <w:link w:val="HeaderChar"/>
    <w:uiPriority w:val="99"/>
    <w:unhideWhenUsed/>
    <w:rsid w:val="00A92B48"/>
    <w:pPr>
      <w:tabs>
        <w:tab w:val="center" w:pos="4680"/>
        <w:tab w:val="right" w:pos="9360"/>
      </w:tabs>
      <w:spacing w:line="240" w:lineRule="auto"/>
    </w:pPr>
  </w:style>
  <w:style w:type="character" w:customStyle="1" w:styleId="HeaderChar">
    <w:name w:val="Header Char"/>
    <w:basedOn w:val="DefaultParagraphFont"/>
    <w:link w:val="Header"/>
    <w:uiPriority w:val="99"/>
    <w:rsid w:val="00A92B48"/>
  </w:style>
  <w:style w:type="paragraph" w:styleId="Footer">
    <w:name w:val="footer"/>
    <w:basedOn w:val="Normal"/>
    <w:link w:val="FooterChar"/>
    <w:uiPriority w:val="99"/>
    <w:unhideWhenUsed/>
    <w:rsid w:val="00A92B48"/>
    <w:pPr>
      <w:tabs>
        <w:tab w:val="center" w:pos="4680"/>
        <w:tab w:val="right" w:pos="9360"/>
      </w:tabs>
      <w:spacing w:line="240" w:lineRule="auto"/>
    </w:pPr>
  </w:style>
  <w:style w:type="character" w:customStyle="1" w:styleId="FooterChar">
    <w:name w:val="Footer Char"/>
    <w:basedOn w:val="DefaultParagraphFont"/>
    <w:link w:val="Footer"/>
    <w:uiPriority w:val="99"/>
    <w:rsid w:val="00A92B48"/>
  </w:style>
  <w:style w:type="character" w:styleId="PageNumber">
    <w:name w:val="page number"/>
    <w:basedOn w:val="DefaultParagraphFont"/>
    <w:uiPriority w:val="99"/>
    <w:semiHidden/>
    <w:unhideWhenUsed/>
    <w:rsid w:val="00A92B48"/>
  </w:style>
  <w:style w:type="paragraph" w:styleId="Revision">
    <w:name w:val="Revision"/>
    <w:hidden/>
    <w:uiPriority w:val="99"/>
    <w:semiHidden/>
    <w:rsid w:val="00820CC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CC50-C309-488E-AB0B-EDAFE54A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2782</Words>
  <Characters>15861</Characters>
  <Application>Microsoft Office Word</Application>
  <DocSecurity>0</DocSecurity>
  <Lines>132</Lines>
  <Paragraphs>37</Paragraphs>
  <ScaleCrop>false</ScaleCrop>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2024-05-28T21:48:10Z</dcterms:created>
  <dcterms:modified xsi:type="dcterms:W3CDTF">2024-05-28T21:48:10Z</dcterms:modified>
</cp:coreProperties>
</file>