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2B745D" w:rsidP="002B745D" w14:paraId="5FBAB087" w14:textId="788B3EF5">
      <w:pPr>
        <w:tabs>
          <w:tab w:val="left" w:pos="3960"/>
          <w:tab w:val="left" w:pos="4680"/>
        </w:tabs>
        <w:spacing w:line="240" w:lineRule="auto"/>
        <w:rPr>
          <w:rFonts w:eastAsia="Times New Roman" w:cs="Times New Roman"/>
          <w:kern w:val="0"/>
          <w:sz w:val="20"/>
          <w14:ligatures w14:val="none"/>
        </w:rPr>
      </w:pPr>
      <w:r>
        <w:rPr>
          <w:rFonts w:eastAsia="Times New Roman" w:cs="Times New Roman"/>
          <w:kern w:val="0"/>
          <w:sz w:val="20"/>
          <w14:ligatures w14:val="none"/>
        </w:rPr>
        <w:t xml:space="preserve">Filed </w:t>
      </w:r>
      <w:r w:rsidR="00317AFA">
        <w:rPr>
          <w:rFonts w:eastAsia="Times New Roman" w:cs="Times New Roman"/>
          <w:kern w:val="0"/>
          <w:sz w:val="20"/>
          <w14:ligatures w14:val="none"/>
        </w:rPr>
        <w:t>6/</w:t>
      </w:r>
      <w:r w:rsidR="00C24244">
        <w:rPr>
          <w:rFonts w:eastAsia="Times New Roman" w:cs="Times New Roman"/>
          <w:kern w:val="0"/>
          <w:sz w:val="20"/>
          <w14:ligatures w14:val="none"/>
        </w:rPr>
        <w:t>20</w:t>
      </w:r>
      <w:r w:rsidR="00317AFA">
        <w:rPr>
          <w:rFonts w:eastAsia="Times New Roman" w:cs="Times New Roman"/>
          <w:kern w:val="0"/>
          <w:sz w:val="20"/>
          <w14:ligatures w14:val="none"/>
        </w:rPr>
        <w:t>/24</w:t>
      </w:r>
    </w:p>
    <w:p w:rsidR="002B745D" w:rsidP="002B745D" w14:paraId="35DA63CD" w14:textId="77777777">
      <w:pPr>
        <w:tabs>
          <w:tab w:val="left" w:pos="3960"/>
          <w:tab w:val="left" w:pos="4680"/>
        </w:tabs>
        <w:spacing w:line="240" w:lineRule="auto"/>
        <w:jc w:val="center"/>
        <w:rPr>
          <w:rFonts w:eastAsia="Times New Roman" w:cs="Times New Roman"/>
          <w:b/>
          <w:kern w:val="0"/>
          <w14:ligatures w14:val="none"/>
        </w:rPr>
      </w:pPr>
      <w:r>
        <w:rPr>
          <w:rFonts w:eastAsia="Times New Roman" w:cs="Times New Roman"/>
          <w:b/>
          <w:kern w:val="0"/>
          <w14:ligatures w14:val="none"/>
        </w:rPr>
        <w:t>CERTIFIED FOR PUBLICATION</w:t>
      </w:r>
    </w:p>
    <w:p w:rsidR="002B745D" w:rsidP="002B745D" w14:paraId="51EB3673" w14:textId="77777777">
      <w:pPr>
        <w:tabs>
          <w:tab w:val="left" w:pos="3960"/>
          <w:tab w:val="left" w:pos="4680"/>
        </w:tabs>
        <w:spacing w:line="240" w:lineRule="auto"/>
        <w:jc w:val="center"/>
        <w:rPr>
          <w:rFonts w:eastAsia="Times New Roman" w:cs="Times New Roman"/>
          <w:kern w:val="0"/>
          <w14:ligatures w14:val="none"/>
        </w:rPr>
      </w:pPr>
    </w:p>
    <w:p w:rsidR="00720B9E" w:rsidRPr="00720B9E" w:rsidP="002B745D" w14:paraId="4E1538E9" w14:textId="163387BE">
      <w:pPr>
        <w:tabs>
          <w:tab w:val="left" w:pos="3960"/>
          <w:tab w:val="left" w:pos="4680"/>
        </w:tabs>
        <w:spacing w:line="240" w:lineRule="auto"/>
        <w:jc w:val="center"/>
        <w:rPr>
          <w:rFonts w:eastAsia="Times New Roman" w:cs="Times New Roman"/>
          <w:kern w:val="0"/>
          <w14:ligatures w14:val="none"/>
        </w:rPr>
      </w:pPr>
      <w:r w:rsidRPr="00720B9E">
        <w:rPr>
          <w:rFonts w:eastAsia="Times New Roman" w:cs="Times New Roman"/>
          <w:kern w:val="0"/>
          <w14:ligatures w14:val="none"/>
        </w:rPr>
        <w:t>IN THE COURT OF APPEAL OF THE STATE OF CALIFORNIA</w:t>
      </w:r>
    </w:p>
    <w:p w:rsidR="00720B9E" w:rsidRPr="00720B9E" w:rsidP="00657673" w14:paraId="1F352C39" w14:textId="77777777">
      <w:pPr>
        <w:spacing w:line="240" w:lineRule="auto"/>
        <w:jc w:val="center"/>
        <w:rPr>
          <w:rFonts w:eastAsia="Times New Roman" w:cs="Times New Roman"/>
          <w:kern w:val="0"/>
          <w14:ligatures w14:val="none"/>
        </w:rPr>
      </w:pPr>
    </w:p>
    <w:p w:rsidR="00720B9E" w:rsidRPr="00720B9E" w:rsidP="00657673" w14:paraId="55EE378F" w14:textId="77777777">
      <w:pPr>
        <w:spacing w:line="240" w:lineRule="auto"/>
        <w:jc w:val="center"/>
        <w:rPr>
          <w:rFonts w:eastAsia="Times New Roman" w:cs="Times New Roman"/>
          <w:kern w:val="0"/>
          <w14:ligatures w14:val="none"/>
        </w:rPr>
      </w:pPr>
      <w:r w:rsidRPr="00720B9E">
        <w:rPr>
          <w:rFonts w:eastAsia="Times New Roman" w:cs="Times New Roman"/>
          <w:kern w:val="0"/>
          <w14:ligatures w14:val="none"/>
        </w:rPr>
        <w:t>FIRST APPELLATE DISTRICT</w:t>
      </w:r>
    </w:p>
    <w:p w:rsidR="00720B9E" w:rsidRPr="00720B9E" w:rsidP="00657673" w14:paraId="2ED65346" w14:textId="77777777">
      <w:pPr>
        <w:spacing w:line="240" w:lineRule="auto"/>
        <w:jc w:val="center"/>
        <w:rPr>
          <w:rFonts w:eastAsia="Times New Roman" w:cs="Times New Roman"/>
          <w:kern w:val="0"/>
          <w14:ligatures w14:val="none"/>
        </w:rPr>
      </w:pPr>
    </w:p>
    <w:p w:rsidR="00720B9E" w:rsidRPr="00720B9E" w:rsidP="00657673" w14:paraId="6F45749A" w14:textId="77777777">
      <w:pPr>
        <w:spacing w:line="240" w:lineRule="auto"/>
        <w:jc w:val="center"/>
        <w:rPr>
          <w:rFonts w:eastAsia="Times New Roman" w:cs="Times New Roman"/>
          <w:kern w:val="0"/>
          <w14:ligatures w14:val="none"/>
        </w:rPr>
      </w:pPr>
      <w:r w:rsidRPr="00720B9E">
        <w:rPr>
          <w:rFonts w:eastAsia="Times New Roman" w:cs="Times New Roman"/>
          <w:kern w:val="0"/>
          <w14:ligatures w14:val="none"/>
        </w:rPr>
        <w:t>DIVISION FOUR</w:t>
      </w:r>
    </w:p>
    <w:p w:rsidR="00720B9E" w:rsidRPr="00720B9E" w:rsidP="00657673" w14:paraId="56971F6C" w14:textId="77777777">
      <w:pPr>
        <w:spacing w:line="240" w:lineRule="auto"/>
        <w:jc w:val="center"/>
        <w:rPr>
          <w:rFonts w:eastAsia="Times New Roman" w:cs="Times New Roman"/>
          <w:kern w:val="0"/>
          <w14:ligatures w14:val="none"/>
        </w:rPr>
      </w:pPr>
    </w:p>
    <w:p w:rsidR="00720B9E" w:rsidRPr="00720B9E" w:rsidP="00AA4140" w14:paraId="7E9D463A" w14:textId="77777777">
      <w:pPr>
        <w:spacing w:line="240" w:lineRule="auto"/>
        <w:rPr>
          <w:rFonts w:eastAsia="Times New Roman" w:cs="Times New Roman"/>
          <w:kern w:val="0"/>
          <w14:ligatures w14:val="none"/>
        </w:rPr>
      </w:pPr>
    </w:p>
    <w:tbl>
      <w:tblPr>
        <w:tblW w:w="9540" w:type="dxa"/>
        <w:tblLayout w:type="fixed"/>
        <w:tblLook w:val="0000"/>
      </w:tblPr>
      <w:tblGrid>
        <w:gridCol w:w="4770"/>
        <w:gridCol w:w="4770"/>
      </w:tblGrid>
      <w:tr w14:paraId="682BAA26" w14:textId="77777777" w:rsidTr="00657673">
        <w:tblPrEx>
          <w:tblW w:w="9540" w:type="dxa"/>
          <w:tblLayout w:type="fixed"/>
          <w:tblLook w:val="0000"/>
        </w:tblPrEx>
        <w:tc>
          <w:tcPr>
            <w:tcW w:w="4770" w:type="dxa"/>
            <w:tcBorders>
              <w:bottom w:val="single" w:sz="4" w:space="0" w:color="auto"/>
              <w:right w:val="single" w:sz="4" w:space="0" w:color="auto"/>
            </w:tcBorders>
            <w:shd w:val="clear" w:color="auto" w:fill="auto"/>
          </w:tcPr>
          <w:p w:rsidR="00720B9E" w:rsidRPr="00720B9E" w:rsidP="00AA4140" w14:paraId="729C10A9" w14:textId="03926DD1">
            <w:pPr>
              <w:spacing w:after="120" w:line="240" w:lineRule="auto"/>
              <w:rPr>
                <w:rFonts w:eastAsia="Times New Roman" w:cs="Times New Roman"/>
                <w:kern w:val="0"/>
                <w14:ligatures w14:val="none"/>
              </w:rPr>
            </w:pPr>
            <w:r>
              <w:rPr>
                <w:rFonts w:eastAsia="Times New Roman" w:cs="Times New Roman"/>
                <w:kern w:val="0"/>
                <w14:ligatures w14:val="none"/>
              </w:rPr>
              <w:t>CAILIN HARDELL</w:t>
            </w:r>
            <w:r w:rsidRPr="00720B9E">
              <w:rPr>
                <w:rFonts w:eastAsia="Times New Roman" w:cs="Times New Roman"/>
                <w:kern w:val="0"/>
                <w14:ligatures w14:val="none"/>
              </w:rPr>
              <w:t>,</w:t>
            </w:r>
          </w:p>
          <w:p w:rsidR="00720B9E" w:rsidRPr="00720B9E" w:rsidP="00AA4140" w14:paraId="68380B51" w14:textId="77777777">
            <w:pPr>
              <w:spacing w:after="120" w:line="240" w:lineRule="auto"/>
              <w:rPr>
                <w:rFonts w:eastAsia="Times New Roman" w:cs="Times New Roman"/>
                <w:kern w:val="0"/>
                <w14:ligatures w14:val="none"/>
              </w:rPr>
            </w:pPr>
            <w:r w:rsidRPr="00720B9E">
              <w:rPr>
                <w:rFonts w:eastAsia="Times New Roman" w:cs="Times New Roman"/>
                <w:kern w:val="0"/>
                <w14:ligatures w14:val="none"/>
              </w:rPr>
              <w:tab/>
              <w:t>Plaintiff and Appellant,</w:t>
            </w:r>
          </w:p>
          <w:p w:rsidR="00720B9E" w:rsidRPr="00720B9E" w:rsidP="00AA4140" w14:paraId="4917203B" w14:textId="77777777">
            <w:pPr>
              <w:spacing w:after="120" w:line="240" w:lineRule="auto"/>
              <w:rPr>
                <w:rFonts w:eastAsia="Times New Roman" w:cs="Times New Roman"/>
                <w:kern w:val="0"/>
                <w14:ligatures w14:val="none"/>
              </w:rPr>
            </w:pPr>
            <w:r w:rsidRPr="00720B9E">
              <w:rPr>
                <w:rFonts w:eastAsia="Times New Roman" w:cs="Times New Roman"/>
                <w:kern w:val="0"/>
                <w14:ligatures w14:val="none"/>
              </w:rPr>
              <w:t>v.</w:t>
            </w:r>
          </w:p>
          <w:p w:rsidR="00720B9E" w:rsidRPr="00720B9E" w:rsidP="00AA4140" w14:paraId="173C504D" w14:textId="5C719A25">
            <w:pPr>
              <w:spacing w:after="120" w:line="240" w:lineRule="auto"/>
              <w:rPr>
                <w:rFonts w:eastAsia="Times New Roman" w:cs="Times New Roman"/>
                <w:kern w:val="0"/>
                <w14:ligatures w14:val="none"/>
              </w:rPr>
            </w:pPr>
            <w:r>
              <w:rPr>
                <w:rFonts w:eastAsia="Times New Roman" w:cs="Times New Roman"/>
                <w:kern w:val="0"/>
                <w14:ligatures w14:val="none"/>
              </w:rPr>
              <w:t>ADRIAN VANZYL</w:t>
            </w:r>
            <w:r w:rsidRPr="00720B9E">
              <w:rPr>
                <w:rFonts w:eastAsia="Times New Roman" w:cs="Times New Roman"/>
                <w:kern w:val="0"/>
                <w14:ligatures w14:val="none"/>
              </w:rPr>
              <w:t>,</w:t>
            </w:r>
          </w:p>
          <w:p w:rsidR="00720B9E" w:rsidRPr="00720B9E" w:rsidP="000F5746" w14:paraId="7FE15DC7" w14:textId="77777777">
            <w:pPr>
              <w:spacing w:after="240" w:line="240" w:lineRule="auto"/>
              <w:rPr>
                <w:rFonts w:eastAsia="Times New Roman" w:cs="Times New Roman"/>
                <w:kern w:val="0"/>
                <w14:ligatures w14:val="none"/>
              </w:rPr>
            </w:pPr>
            <w:r w:rsidRPr="00720B9E">
              <w:rPr>
                <w:rFonts w:eastAsia="Times New Roman" w:cs="Times New Roman"/>
                <w:kern w:val="0"/>
                <w14:ligatures w14:val="none"/>
              </w:rPr>
              <w:tab/>
              <w:t>Defendant and Respondent.</w:t>
            </w:r>
          </w:p>
        </w:tc>
        <w:tc>
          <w:tcPr>
            <w:tcW w:w="4770" w:type="dxa"/>
            <w:tcBorders>
              <w:left w:val="single" w:sz="4" w:space="0" w:color="auto"/>
            </w:tcBorders>
            <w:shd w:val="clear" w:color="auto" w:fill="auto"/>
          </w:tcPr>
          <w:p w:rsidR="00720B9E" w:rsidRPr="00720B9E" w:rsidP="00AA4140" w14:paraId="03D7AA43" w14:textId="77777777">
            <w:pPr>
              <w:spacing w:after="120" w:line="240" w:lineRule="auto"/>
              <w:rPr>
                <w:rFonts w:eastAsia="Times New Roman" w:cs="Times New Roman"/>
                <w:kern w:val="0"/>
                <w14:ligatures w14:val="none"/>
              </w:rPr>
            </w:pPr>
          </w:p>
          <w:p w:rsidR="00720B9E" w:rsidRPr="00720B9E" w:rsidP="00AA4140" w14:paraId="03AB6F56" w14:textId="1AB3CDD5">
            <w:pPr>
              <w:spacing w:after="120" w:line="240" w:lineRule="auto"/>
              <w:rPr>
                <w:rFonts w:eastAsia="Times New Roman" w:cs="Times New Roman"/>
                <w:kern w:val="0"/>
                <w14:ligatures w14:val="none"/>
              </w:rPr>
            </w:pPr>
            <w:r w:rsidRPr="00720B9E">
              <w:rPr>
                <w:rFonts w:eastAsia="Times New Roman" w:cs="Times New Roman"/>
                <w:kern w:val="0"/>
                <w14:ligatures w14:val="none"/>
              </w:rPr>
              <w:t xml:space="preserve">      A</w:t>
            </w:r>
            <w:r w:rsidR="00056012">
              <w:rPr>
                <w:rFonts w:eastAsia="Times New Roman" w:cs="Times New Roman"/>
                <w:kern w:val="0"/>
                <w14:ligatures w14:val="none"/>
              </w:rPr>
              <w:t>168113</w:t>
            </w:r>
          </w:p>
          <w:p w:rsidR="00720B9E" w:rsidRPr="00720B9E" w:rsidP="00AA4140" w14:paraId="62DAE30C" w14:textId="77777777">
            <w:pPr>
              <w:spacing w:after="120" w:line="240" w:lineRule="auto"/>
              <w:rPr>
                <w:rFonts w:eastAsia="Times New Roman" w:cs="Times New Roman"/>
                <w:kern w:val="0"/>
                <w14:ligatures w14:val="none"/>
              </w:rPr>
            </w:pPr>
          </w:p>
          <w:p w:rsidR="00720B9E" w:rsidRPr="00720B9E" w:rsidP="00AA4140" w14:paraId="02453508" w14:textId="269F51F4">
            <w:pPr>
              <w:spacing w:line="240" w:lineRule="auto"/>
              <w:rPr>
                <w:rFonts w:eastAsia="Times New Roman" w:cs="Times New Roman"/>
                <w:kern w:val="0"/>
                <w14:ligatures w14:val="none"/>
              </w:rPr>
            </w:pPr>
            <w:r w:rsidRPr="00720B9E">
              <w:rPr>
                <w:rFonts w:eastAsia="Times New Roman" w:cs="Times New Roman"/>
                <w:kern w:val="0"/>
                <w14:ligatures w14:val="none"/>
              </w:rPr>
              <w:t xml:space="preserve">      (</w:t>
            </w:r>
            <w:r w:rsidR="00DA4A64">
              <w:rPr>
                <w:rFonts w:eastAsia="Times New Roman" w:cs="Times New Roman"/>
                <w:kern w:val="0"/>
                <w14:ligatures w14:val="none"/>
              </w:rPr>
              <w:t xml:space="preserve">City &amp; County of </w:t>
            </w:r>
            <w:r w:rsidR="00056012">
              <w:rPr>
                <w:rFonts w:eastAsia="Times New Roman" w:cs="Times New Roman"/>
                <w:kern w:val="0"/>
                <w14:ligatures w14:val="none"/>
              </w:rPr>
              <w:t>San Francisco</w:t>
            </w:r>
          </w:p>
          <w:p w:rsidR="00720B9E" w:rsidRPr="00720B9E" w:rsidP="00AA4140" w14:paraId="34101613" w14:textId="03368D9B">
            <w:pPr>
              <w:spacing w:line="240" w:lineRule="auto"/>
              <w:rPr>
                <w:rFonts w:eastAsia="Times New Roman" w:cs="Times New Roman"/>
                <w:kern w:val="0"/>
                <w14:ligatures w14:val="none"/>
              </w:rPr>
            </w:pPr>
            <w:r w:rsidRPr="00720B9E">
              <w:rPr>
                <w:rFonts w:eastAsia="Times New Roman" w:cs="Times New Roman"/>
                <w:kern w:val="0"/>
                <w14:ligatures w14:val="none"/>
              </w:rPr>
              <w:t xml:space="preserve">      Super. Ct. No. </w:t>
            </w:r>
            <w:r w:rsidR="00056012">
              <w:rPr>
                <w:rFonts w:eastAsia="Times New Roman" w:cs="Times New Roman"/>
                <w:kern w:val="0"/>
                <w14:ligatures w14:val="none"/>
              </w:rPr>
              <w:t>CGC22602112</w:t>
            </w:r>
            <w:r w:rsidRPr="00720B9E">
              <w:rPr>
                <w:rFonts w:eastAsia="Times New Roman" w:cs="Times New Roman"/>
                <w:kern w:val="0"/>
                <w14:ligatures w14:val="none"/>
              </w:rPr>
              <w:t>)</w:t>
            </w:r>
          </w:p>
        </w:tc>
      </w:tr>
    </w:tbl>
    <w:p w:rsidR="004D6840" w:rsidP="00500FB3" w14:paraId="2B0A9B43" w14:textId="09287477">
      <w:pPr>
        <w:spacing w:before="240"/>
        <w:ind w:firstLine="720"/>
        <w:rPr>
          <w:rFonts w:eastAsia="Times New Roman" w:cs="Times New Roman"/>
          <w:kern w:val="0"/>
          <w14:ligatures w14:val="none"/>
        </w:rPr>
      </w:pPr>
      <w:r>
        <w:rPr>
          <w:rFonts w:eastAsia="Times New Roman" w:cs="Times New Roman"/>
          <w:kern w:val="0"/>
          <w14:ligatures w14:val="none"/>
        </w:rPr>
        <w:t>Cailin Hardell appeals from the trial court’s order granting Adrian Vanzyl’s motion to quash.  Hardell sued Vanzyl, along with Waleed Mohsen and Blumberg Capital, for sexual assault</w:t>
      </w:r>
      <w:r w:rsidR="00160340">
        <w:rPr>
          <w:rFonts w:eastAsia="Times New Roman" w:cs="Times New Roman"/>
          <w:kern w:val="0"/>
          <w14:ligatures w14:val="none"/>
        </w:rPr>
        <w:t xml:space="preserve"> and battery</w:t>
      </w:r>
      <w:r>
        <w:rPr>
          <w:rFonts w:eastAsia="Times New Roman" w:cs="Times New Roman"/>
          <w:kern w:val="0"/>
          <w14:ligatures w14:val="none"/>
        </w:rPr>
        <w:t>, sexual harassment</w:t>
      </w:r>
      <w:r w:rsidR="00160340">
        <w:rPr>
          <w:rFonts w:eastAsia="Times New Roman" w:cs="Times New Roman"/>
          <w:kern w:val="0"/>
          <w14:ligatures w14:val="none"/>
        </w:rPr>
        <w:t>, and retaliation, among other claims, relating to an incident in Miami, Florida in March</w:t>
      </w:r>
      <w:r w:rsidR="002B7233">
        <w:rPr>
          <w:rFonts w:eastAsia="Times New Roman" w:cs="Times New Roman"/>
          <w:kern w:val="0"/>
          <w14:ligatures w14:val="none"/>
        </w:rPr>
        <w:t> </w:t>
      </w:r>
      <w:r w:rsidR="00160340">
        <w:rPr>
          <w:rFonts w:eastAsia="Times New Roman" w:cs="Times New Roman"/>
          <w:kern w:val="0"/>
          <w14:ligatures w14:val="none"/>
        </w:rPr>
        <w:t xml:space="preserve">2022. </w:t>
      </w:r>
      <w:r w:rsidR="00592515">
        <w:rPr>
          <w:rFonts w:eastAsia="Times New Roman" w:cs="Times New Roman"/>
          <w:kern w:val="0"/>
          <w14:ligatures w14:val="none"/>
        </w:rPr>
        <w:t xml:space="preserve"> Vanzyl moved to quash service of </w:t>
      </w:r>
      <w:r w:rsidR="00F43660">
        <w:rPr>
          <w:rFonts w:eastAsia="Times New Roman" w:cs="Times New Roman"/>
          <w:kern w:val="0"/>
          <w14:ligatures w14:val="none"/>
        </w:rPr>
        <w:t>summons of</w:t>
      </w:r>
      <w:r w:rsidR="00592515">
        <w:rPr>
          <w:rFonts w:eastAsia="Times New Roman" w:cs="Times New Roman"/>
          <w:kern w:val="0"/>
          <w14:ligatures w14:val="none"/>
        </w:rPr>
        <w:t xml:space="preserve"> the </w:t>
      </w:r>
      <w:r w:rsidR="00DF116C">
        <w:rPr>
          <w:rFonts w:eastAsia="Times New Roman" w:cs="Times New Roman"/>
          <w:kern w:val="0"/>
          <w14:ligatures w14:val="none"/>
        </w:rPr>
        <w:t>f</w:t>
      </w:r>
      <w:r w:rsidR="00592515">
        <w:rPr>
          <w:rFonts w:eastAsia="Times New Roman" w:cs="Times New Roman"/>
          <w:kern w:val="0"/>
          <w14:ligatures w14:val="none"/>
        </w:rPr>
        <w:t xml:space="preserve">irst </w:t>
      </w:r>
      <w:r w:rsidR="00DF116C">
        <w:rPr>
          <w:rFonts w:eastAsia="Times New Roman" w:cs="Times New Roman"/>
          <w:kern w:val="0"/>
          <w14:ligatures w14:val="none"/>
        </w:rPr>
        <w:t>a</w:t>
      </w:r>
      <w:r w:rsidR="00592515">
        <w:rPr>
          <w:rFonts w:eastAsia="Times New Roman" w:cs="Times New Roman"/>
          <w:kern w:val="0"/>
          <w14:ligatures w14:val="none"/>
        </w:rPr>
        <w:t xml:space="preserve">mended </w:t>
      </w:r>
      <w:r w:rsidR="00DF116C">
        <w:rPr>
          <w:rFonts w:eastAsia="Times New Roman" w:cs="Times New Roman"/>
          <w:kern w:val="0"/>
          <w14:ligatures w14:val="none"/>
        </w:rPr>
        <w:t>c</w:t>
      </w:r>
      <w:r w:rsidR="00592515">
        <w:rPr>
          <w:rFonts w:eastAsia="Times New Roman" w:cs="Times New Roman"/>
          <w:kern w:val="0"/>
          <w14:ligatures w14:val="none"/>
        </w:rPr>
        <w:t>omplaint, arguing that</w:t>
      </w:r>
      <w:r w:rsidR="00241E63">
        <w:rPr>
          <w:rFonts w:eastAsia="Times New Roman" w:cs="Times New Roman"/>
          <w:kern w:val="0"/>
          <w14:ligatures w14:val="none"/>
        </w:rPr>
        <w:t>,</w:t>
      </w:r>
      <w:r w:rsidR="00592515">
        <w:rPr>
          <w:rFonts w:eastAsia="Times New Roman" w:cs="Times New Roman"/>
          <w:kern w:val="0"/>
          <w14:ligatures w14:val="none"/>
        </w:rPr>
        <w:t xml:space="preserve"> as a non-resident defendant, he had insufficient contacts with California </w:t>
      </w:r>
      <w:r w:rsidR="00304549">
        <w:rPr>
          <w:rFonts w:eastAsia="Times New Roman" w:cs="Times New Roman"/>
          <w:kern w:val="0"/>
          <w14:ligatures w14:val="none"/>
        </w:rPr>
        <w:t>for the trial court to exercise</w:t>
      </w:r>
      <w:r w:rsidR="00257A75">
        <w:rPr>
          <w:rFonts w:eastAsia="Times New Roman" w:cs="Times New Roman"/>
          <w:kern w:val="0"/>
          <w14:ligatures w14:val="none"/>
        </w:rPr>
        <w:t xml:space="preserve"> </w:t>
      </w:r>
      <w:r w:rsidR="00592515">
        <w:rPr>
          <w:rFonts w:eastAsia="Times New Roman" w:cs="Times New Roman"/>
          <w:kern w:val="0"/>
          <w14:ligatures w14:val="none"/>
        </w:rPr>
        <w:t xml:space="preserve">either specific or general </w:t>
      </w:r>
      <w:r w:rsidR="00304549">
        <w:rPr>
          <w:rFonts w:eastAsia="Times New Roman" w:cs="Times New Roman"/>
          <w:kern w:val="0"/>
          <w14:ligatures w14:val="none"/>
        </w:rPr>
        <w:t xml:space="preserve">personal </w:t>
      </w:r>
      <w:r w:rsidR="00592515">
        <w:rPr>
          <w:rFonts w:eastAsia="Times New Roman" w:cs="Times New Roman"/>
          <w:kern w:val="0"/>
          <w14:ligatures w14:val="none"/>
        </w:rPr>
        <w:t>jurisdiction</w:t>
      </w:r>
      <w:r w:rsidR="00304549">
        <w:rPr>
          <w:rFonts w:eastAsia="Times New Roman" w:cs="Times New Roman"/>
          <w:kern w:val="0"/>
          <w14:ligatures w14:val="none"/>
        </w:rPr>
        <w:t xml:space="preserve"> over him</w:t>
      </w:r>
      <w:r w:rsidR="00257A75">
        <w:rPr>
          <w:rFonts w:eastAsia="Times New Roman" w:cs="Times New Roman"/>
          <w:kern w:val="0"/>
          <w14:ligatures w14:val="none"/>
        </w:rPr>
        <w:t xml:space="preserve">. </w:t>
      </w:r>
      <w:r w:rsidR="00671720">
        <w:rPr>
          <w:rFonts w:eastAsia="Times New Roman" w:cs="Times New Roman"/>
          <w:kern w:val="0"/>
          <w14:ligatures w14:val="none"/>
        </w:rPr>
        <w:t xml:space="preserve"> The trial court agreed, and also denied Hardell’s request to conduct jurisdictional discovery. </w:t>
      </w:r>
    </w:p>
    <w:p w:rsidR="00671720" w:rsidP="00F37C31" w14:paraId="14D1846C" w14:textId="6F5D60E8">
      <w:pPr>
        <w:ind w:firstLine="720"/>
        <w:rPr>
          <w:rFonts w:eastAsia="Times New Roman" w:cs="Times New Roman"/>
          <w:kern w:val="0"/>
          <w14:ligatures w14:val="none"/>
        </w:rPr>
      </w:pPr>
      <w:r>
        <w:rPr>
          <w:rFonts w:eastAsia="Times New Roman" w:cs="Times New Roman"/>
          <w:kern w:val="0"/>
          <w14:ligatures w14:val="none"/>
        </w:rPr>
        <w:t>On appeal, Hardell argues that the trial court erred in finding that Vanzyl</w:t>
      </w:r>
      <w:r w:rsidR="00D957CC">
        <w:rPr>
          <w:rFonts w:eastAsia="Times New Roman" w:cs="Times New Roman"/>
          <w:kern w:val="0"/>
          <w14:ligatures w14:val="none"/>
        </w:rPr>
        <w:t xml:space="preserve"> was not</w:t>
      </w:r>
      <w:r>
        <w:rPr>
          <w:rFonts w:eastAsia="Times New Roman" w:cs="Times New Roman"/>
          <w:kern w:val="0"/>
          <w14:ligatures w14:val="none"/>
        </w:rPr>
        <w:t xml:space="preserve"> </w:t>
      </w:r>
      <w:r w:rsidR="00D957CC">
        <w:rPr>
          <w:rFonts w:eastAsia="Times New Roman" w:cs="Times New Roman"/>
          <w:kern w:val="0"/>
          <w14:ligatures w14:val="none"/>
        </w:rPr>
        <w:t xml:space="preserve">domiciled </w:t>
      </w:r>
      <w:r w:rsidR="00DE341C">
        <w:rPr>
          <w:rFonts w:eastAsia="Times New Roman" w:cs="Times New Roman"/>
          <w:kern w:val="0"/>
          <w14:ligatures w14:val="none"/>
        </w:rPr>
        <w:t xml:space="preserve">or continuously and systematically present </w:t>
      </w:r>
      <w:r w:rsidR="00D957CC">
        <w:rPr>
          <w:rFonts w:eastAsia="Times New Roman" w:cs="Times New Roman"/>
          <w:kern w:val="0"/>
          <w14:ligatures w14:val="none"/>
        </w:rPr>
        <w:t>in</w:t>
      </w:r>
      <w:r>
        <w:rPr>
          <w:rFonts w:eastAsia="Times New Roman" w:cs="Times New Roman"/>
          <w:kern w:val="0"/>
          <w14:ligatures w14:val="none"/>
        </w:rPr>
        <w:t xml:space="preserve"> California</w:t>
      </w:r>
      <w:r w:rsidR="00D957CC">
        <w:rPr>
          <w:rFonts w:eastAsia="Times New Roman" w:cs="Times New Roman"/>
          <w:kern w:val="0"/>
          <w14:ligatures w14:val="none"/>
        </w:rPr>
        <w:t xml:space="preserve"> in March</w:t>
      </w:r>
      <w:r w:rsidR="00A709F5">
        <w:rPr>
          <w:rFonts w:eastAsia="Times New Roman" w:cs="Times New Roman"/>
          <w:kern w:val="0"/>
          <w14:ligatures w14:val="none"/>
        </w:rPr>
        <w:t> </w:t>
      </w:r>
      <w:r w:rsidR="00D957CC">
        <w:rPr>
          <w:rFonts w:eastAsia="Times New Roman" w:cs="Times New Roman"/>
          <w:kern w:val="0"/>
          <w14:ligatures w14:val="none"/>
        </w:rPr>
        <w:t>2022</w:t>
      </w:r>
      <w:r>
        <w:rPr>
          <w:rFonts w:eastAsia="Times New Roman" w:cs="Times New Roman"/>
          <w:kern w:val="0"/>
          <w14:ligatures w14:val="none"/>
        </w:rPr>
        <w:t>, and otherwise that Vanzy</w:t>
      </w:r>
      <w:r w:rsidR="00D957CC">
        <w:rPr>
          <w:rFonts w:eastAsia="Times New Roman" w:cs="Times New Roman"/>
          <w:kern w:val="0"/>
          <w14:ligatures w14:val="none"/>
        </w:rPr>
        <w:t>l</w:t>
      </w:r>
      <w:r>
        <w:rPr>
          <w:rFonts w:eastAsia="Times New Roman" w:cs="Times New Roman"/>
          <w:kern w:val="0"/>
          <w14:ligatures w14:val="none"/>
        </w:rPr>
        <w:t xml:space="preserve"> had insufficient suit-related contacts with California.  She also argues </w:t>
      </w:r>
      <w:r w:rsidR="00662816">
        <w:rPr>
          <w:rFonts w:eastAsia="Times New Roman" w:cs="Times New Roman"/>
          <w:kern w:val="0"/>
          <w14:ligatures w14:val="none"/>
        </w:rPr>
        <w:t xml:space="preserve">that </w:t>
      </w:r>
      <w:r>
        <w:rPr>
          <w:rFonts w:eastAsia="Times New Roman" w:cs="Times New Roman"/>
          <w:kern w:val="0"/>
          <w14:ligatures w14:val="none"/>
        </w:rPr>
        <w:t xml:space="preserve">the court </w:t>
      </w:r>
      <w:r w:rsidR="00FB522F">
        <w:rPr>
          <w:rFonts w:eastAsia="Times New Roman" w:cs="Times New Roman"/>
          <w:kern w:val="0"/>
          <w14:ligatures w14:val="none"/>
        </w:rPr>
        <w:t>should have</w:t>
      </w:r>
      <w:r>
        <w:rPr>
          <w:rFonts w:eastAsia="Times New Roman" w:cs="Times New Roman"/>
          <w:kern w:val="0"/>
          <w14:ligatures w14:val="none"/>
        </w:rPr>
        <w:t xml:space="preserve"> grant</w:t>
      </w:r>
      <w:r w:rsidR="00FB522F">
        <w:rPr>
          <w:rFonts w:eastAsia="Times New Roman" w:cs="Times New Roman"/>
          <w:kern w:val="0"/>
          <w14:ligatures w14:val="none"/>
        </w:rPr>
        <w:t>ed</w:t>
      </w:r>
      <w:r>
        <w:rPr>
          <w:rFonts w:eastAsia="Times New Roman" w:cs="Times New Roman"/>
          <w:kern w:val="0"/>
          <w14:ligatures w14:val="none"/>
        </w:rPr>
        <w:t xml:space="preserve"> her request for jurisdictional discovery. </w:t>
      </w:r>
      <w:r w:rsidR="0002193B">
        <w:rPr>
          <w:rFonts w:eastAsia="Times New Roman" w:cs="Times New Roman"/>
          <w:kern w:val="0"/>
          <w14:ligatures w14:val="none"/>
        </w:rPr>
        <w:t xml:space="preserve"> We conclude that</w:t>
      </w:r>
      <w:r w:rsidR="007E2DB7">
        <w:rPr>
          <w:rFonts w:eastAsia="Times New Roman" w:cs="Times New Roman"/>
          <w:kern w:val="0"/>
          <w14:ligatures w14:val="none"/>
        </w:rPr>
        <w:t xml:space="preserve"> </w:t>
      </w:r>
      <w:r w:rsidR="0002193B">
        <w:rPr>
          <w:rFonts w:eastAsia="Times New Roman" w:cs="Times New Roman"/>
          <w:kern w:val="0"/>
          <w14:ligatures w14:val="none"/>
        </w:rPr>
        <w:t>the connection between Hardell’s c</w:t>
      </w:r>
      <w:r w:rsidR="007E2DB7">
        <w:rPr>
          <w:rFonts w:eastAsia="Times New Roman" w:cs="Times New Roman"/>
          <w:kern w:val="0"/>
          <w14:ligatures w14:val="none"/>
        </w:rPr>
        <w:t>laims</w:t>
      </w:r>
      <w:r w:rsidR="0002193B">
        <w:rPr>
          <w:rFonts w:eastAsia="Times New Roman" w:cs="Times New Roman"/>
          <w:kern w:val="0"/>
          <w14:ligatures w14:val="none"/>
        </w:rPr>
        <w:t xml:space="preserve"> against Vanzyl and his contacts with California is too attenuated to support </w:t>
      </w:r>
      <w:r w:rsidR="007E2DB7">
        <w:rPr>
          <w:rFonts w:eastAsia="Times New Roman" w:cs="Times New Roman"/>
          <w:kern w:val="0"/>
          <w14:ligatures w14:val="none"/>
        </w:rPr>
        <w:t xml:space="preserve">specific </w:t>
      </w:r>
      <w:r w:rsidR="0002193B">
        <w:rPr>
          <w:rFonts w:eastAsia="Times New Roman" w:cs="Times New Roman"/>
          <w:kern w:val="0"/>
          <w14:ligatures w14:val="none"/>
        </w:rPr>
        <w:t>jurisdiction</w:t>
      </w:r>
      <w:r w:rsidR="00232DAA">
        <w:rPr>
          <w:rFonts w:eastAsia="Times New Roman" w:cs="Times New Roman"/>
          <w:kern w:val="0"/>
          <w14:ligatures w14:val="none"/>
        </w:rPr>
        <w:t>.  We also conclude</w:t>
      </w:r>
      <w:r w:rsidR="0005492C">
        <w:rPr>
          <w:rFonts w:eastAsia="Times New Roman" w:cs="Times New Roman"/>
          <w:kern w:val="0"/>
          <w14:ligatures w14:val="none"/>
        </w:rPr>
        <w:t xml:space="preserve">, </w:t>
      </w:r>
      <w:r w:rsidR="0005492C">
        <w:rPr>
          <w:rFonts w:eastAsia="Times New Roman" w:cs="Times New Roman"/>
          <w:kern w:val="0"/>
          <w14:ligatures w14:val="none"/>
        </w:rPr>
        <w:t>however,</w:t>
      </w:r>
      <w:r w:rsidR="007E2DB7">
        <w:rPr>
          <w:rFonts w:eastAsia="Times New Roman" w:cs="Times New Roman"/>
          <w:kern w:val="0"/>
          <w14:ligatures w14:val="none"/>
        </w:rPr>
        <w:t xml:space="preserve"> that the trial court </w:t>
      </w:r>
      <w:r w:rsidR="00FA7D67">
        <w:rPr>
          <w:rFonts w:eastAsia="Times New Roman" w:cs="Times New Roman"/>
          <w:kern w:val="0"/>
          <w14:ligatures w14:val="none"/>
        </w:rPr>
        <w:t xml:space="preserve">erred in failing to consider whether it could exercise general jurisdiction over Vanzyl </w:t>
      </w:r>
      <w:r w:rsidR="009F1D5B">
        <w:rPr>
          <w:rFonts w:eastAsia="Times New Roman" w:cs="Times New Roman"/>
          <w:kern w:val="0"/>
          <w14:ligatures w14:val="none"/>
        </w:rPr>
        <w:t>notwithstanding its</w:t>
      </w:r>
      <w:r w:rsidR="00FA7D67">
        <w:rPr>
          <w:rFonts w:eastAsia="Times New Roman" w:cs="Times New Roman"/>
          <w:kern w:val="0"/>
          <w14:ligatures w14:val="none"/>
        </w:rPr>
        <w:t xml:space="preserve"> finding that he was </w:t>
      </w:r>
      <w:r w:rsidR="009F1D5B">
        <w:rPr>
          <w:rFonts w:eastAsia="Times New Roman" w:cs="Times New Roman"/>
          <w:kern w:val="0"/>
          <w14:ligatures w14:val="none"/>
        </w:rPr>
        <w:t xml:space="preserve">not </w:t>
      </w:r>
      <w:r w:rsidR="00FA7D67">
        <w:rPr>
          <w:rFonts w:eastAsia="Times New Roman" w:cs="Times New Roman"/>
          <w:kern w:val="0"/>
          <w14:ligatures w14:val="none"/>
        </w:rPr>
        <w:t xml:space="preserve">domiciled in California </w:t>
      </w:r>
      <w:r w:rsidR="00CD039B">
        <w:rPr>
          <w:rFonts w:eastAsia="Times New Roman" w:cs="Times New Roman"/>
          <w:kern w:val="0"/>
          <w14:ligatures w14:val="none"/>
        </w:rPr>
        <w:t>in</w:t>
      </w:r>
      <w:r w:rsidR="00FA7D67">
        <w:rPr>
          <w:rFonts w:eastAsia="Times New Roman" w:cs="Times New Roman"/>
          <w:kern w:val="0"/>
          <w14:ligatures w14:val="none"/>
        </w:rPr>
        <w:t xml:space="preserve"> </w:t>
      </w:r>
      <w:r w:rsidR="009F1D5B">
        <w:rPr>
          <w:rFonts w:eastAsia="Times New Roman" w:cs="Times New Roman"/>
          <w:kern w:val="0"/>
          <w14:ligatures w14:val="none"/>
        </w:rPr>
        <w:t>March</w:t>
      </w:r>
      <w:r w:rsidR="00FA7D67">
        <w:rPr>
          <w:rFonts w:eastAsia="Times New Roman" w:cs="Times New Roman"/>
          <w:kern w:val="0"/>
          <w14:ligatures w14:val="none"/>
        </w:rPr>
        <w:t xml:space="preserve"> 2022</w:t>
      </w:r>
      <w:r w:rsidR="00335DC6">
        <w:rPr>
          <w:rFonts w:eastAsia="Times New Roman" w:cs="Times New Roman"/>
          <w:kern w:val="0"/>
          <w14:ligatures w14:val="none"/>
        </w:rPr>
        <w:t>,</w:t>
      </w:r>
      <w:r w:rsidR="00CF6B9A">
        <w:rPr>
          <w:rFonts w:eastAsia="Times New Roman" w:cs="Times New Roman"/>
          <w:kern w:val="0"/>
          <w14:ligatures w14:val="none"/>
        </w:rPr>
        <w:t xml:space="preserve"> and that it</w:t>
      </w:r>
      <w:r w:rsidR="007E2DB7">
        <w:rPr>
          <w:rFonts w:eastAsia="Times New Roman" w:cs="Times New Roman"/>
          <w:kern w:val="0"/>
          <w14:ligatures w14:val="none"/>
        </w:rPr>
        <w:t xml:space="preserve"> abuse</w:t>
      </w:r>
      <w:r w:rsidR="00232DAA">
        <w:rPr>
          <w:rFonts w:eastAsia="Times New Roman" w:cs="Times New Roman"/>
          <w:kern w:val="0"/>
          <w14:ligatures w14:val="none"/>
        </w:rPr>
        <w:t>d</w:t>
      </w:r>
      <w:r w:rsidR="007E2DB7">
        <w:rPr>
          <w:rFonts w:eastAsia="Times New Roman" w:cs="Times New Roman"/>
          <w:kern w:val="0"/>
          <w14:ligatures w14:val="none"/>
        </w:rPr>
        <w:t xml:space="preserve"> its discretion in denying Hardell’s request for discovery</w:t>
      </w:r>
      <w:r w:rsidR="0002193B">
        <w:rPr>
          <w:rFonts w:eastAsia="Times New Roman" w:cs="Times New Roman"/>
          <w:kern w:val="0"/>
          <w14:ligatures w14:val="none"/>
        </w:rPr>
        <w:t xml:space="preserve">.  </w:t>
      </w:r>
      <w:r w:rsidR="00CF6B9A">
        <w:rPr>
          <w:rFonts w:eastAsia="Times New Roman" w:cs="Times New Roman"/>
          <w:kern w:val="0"/>
          <w14:ligatures w14:val="none"/>
        </w:rPr>
        <w:t>O</w:t>
      </w:r>
      <w:r w:rsidR="00EF010A">
        <w:rPr>
          <w:rFonts w:eastAsia="Times New Roman" w:cs="Times New Roman"/>
          <w:kern w:val="0"/>
          <w14:ligatures w14:val="none"/>
        </w:rPr>
        <w:t>n remand</w:t>
      </w:r>
      <w:r w:rsidR="00CF6B9A">
        <w:rPr>
          <w:rFonts w:eastAsia="Times New Roman" w:cs="Times New Roman"/>
          <w:kern w:val="0"/>
          <w14:ligatures w14:val="none"/>
        </w:rPr>
        <w:t>,</w:t>
      </w:r>
      <w:r w:rsidR="00EF010A">
        <w:rPr>
          <w:rFonts w:eastAsia="Times New Roman" w:cs="Times New Roman"/>
          <w:kern w:val="0"/>
          <w14:ligatures w14:val="none"/>
        </w:rPr>
        <w:t xml:space="preserve"> Hardell </w:t>
      </w:r>
      <w:r w:rsidR="00E94B0D">
        <w:rPr>
          <w:rFonts w:eastAsia="Times New Roman" w:cs="Times New Roman"/>
          <w:kern w:val="0"/>
          <w14:ligatures w14:val="none"/>
        </w:rPr>
        <w:t>must</w:t>
      </w:r>
      <w:r w:rsidR="00EF010A">
        <w:rPr>
          <w:rFonts w:eastAsia="Times New Roman" w:cs="Times New Roman"/>
          <w:kern w:val="0"/>
          <w14:ligatures w14:val="none"/>
        </w:rPr>
        <w:t xml:space="preserve"> be allowed to conduct </w:t>
      </w:r>
      <w:r w:rsidR="006B0D45">
        <w:rPr>
          <w:rFonts w:eastAsia="Times New Roman" w:cs="Times New Roman"/>
          <w:kern w:val="0"/>
          <w14:ligatures w14:val="none"/>
        </w:rPr>
        <w:t xml:space="preserve">limited </w:t>
      </w:r>
      <w:r w:rsidR="00691EDA">
        <w:rPr>
          <w:rFonts w:eastAsia="Times New Roman" w:cs="Times New Roman"/>
          <w:kern w:val="0"/>
          <w14:ligatures w14:val="none"/>
        </w:rPr>
        <w:t>discovery</w:t>
      </w:r>
      <w:r w:rsidR="006B0D45">
        <w:rPr>
          <w:rFonts w:eastAsia="Times New Roman" w:cs="Times New Roman"/>
          <w:kern w:val="0"/>
          <w14:ligatures w14:val="none"/>
        </w:rPr>
        <w:t xml:space="preserve"> addressing </w:t>
      </w:r>
      <w:r w:rsidR="003F690E">
        <w:rPr>
          <w:rFonts w:eastAsia="Times New Roman" w:cs="Times New Roman"/>
          <w:kern w:val="0"/>
          <w14:ligatures w14:val="none"/>
        </w:rPr>
        <w:t xml:space="preserve">whether </w:t>
      </w:r>
      <w:r w:rsidR="0012177C">
        <w:rPr>
          <w:rFonts w:eastAsia="Times New Roman" w:cs="Times New Roman"/>
          <w:kern w:val="0"/>
          <w14:ligatures w14:val="none"/>
        </w:rPr>
        <w:t xml:space="preserve">the </w:t>
      </w:r>
      <w:r w:rsidR="0005492C">
        <w:rPr>
          <w:rFonts w:eastAsia="Times New Roman" w:cs="Times New Roman"/>
          <w:kern w:val="0"/>
          <w14:ligatures w14:val="none"/>
        </w:rPr>
        <w:t>trial court</w:t>
      </w:r>
      <w:r w:rsidR="003F690E">
        <w:rPr>
          <w:rFonts w:eastAsia="Times New Roman" w:cs="Times New Roman"/>
          <w:kern w:val="0"/>
          <w14:ligatures w14:val="none"/>
        </w:rPr>
        <w:t xml:space="preserve"> may exercise general</w:t>
      </w:r>
      <w:r w:rsidR="0005492C">
        <w:rPr>
          <w:rFonts w:eastAsia="Times New Roman" w:cs="Times New Roman"/>
          <w:kern w:val="0"/>
          <w14:ligatures w14:val="none"/>
        </w:rPr>
        <w:t xml:space="preserve"> jurisdiction over Vanzyl</w:t>
      </w:r>
      <w:r w:rsidR="0002193B">
        <w:rPr>
          <w:rFonts w:eastAsia="Times New Roman" w:cs="Times New Roman"/>
          <w:kern w:val="0"/>
          <w14:ligatures w14:val="none"/>
        </w:rPr>
        <w:t>.</w:t>
      </w:r>
    </w:p>
    <w:p w:rsidR="00046358" w:rsidP="00F37C31" w14:paraId="248076C3" w14:textId="5DA75C7F">
      <w:pPr>
        <w:pStyle w:val="Heading1"/>
        <w:tabs>
          <w:tab w:val="left" w:pos="3960"/>
        </w:tabs>
      </w:pPr>
      <w:bookmarkStart w:id="0" w:name="_Hlk154133216"/>
      <w:r>
        <w:t>BACKGROUND</w:t>
      </w:r>
    </w:p>
    <w:bookmarkEnd w:id="0"/>
    <w:p w:rsidR="006843D3" w:rsidP="006843D3" w14:paraId="4937BACA" w14:textId="4F4D8242">
      <w:pPr>
        <w:pStyle w:val="Heading2"/>
        <w:spacing w:before="0" w:after="0" w:line="360" w:lineRule="auto"/>
        <w:ind w:right="0" w:hanging="180"/>
      </w:pPr>
      <w:r>
        <w:t>Factual History</w:t>
      </w:r>
    </w:p>
    <w:p w:rsidR="00775205" w:rsidP="006843D3" w14:paraId="38C004B0" w14:textId="797B57F6">
      <w:pPr>
        <w:tabs>
          <w:tab w:val="left" w:pos="720"/>
        </w:tabs>
        <w:ind w:firstLine="720"/>
      </w:pPr>
      <w:r>
        <w:t>In 2019, Hardell founded Segmed, Inc.</w:t>
      </w:r>
      <w:r w:rsidR="00815BB6">
        <w:t>, a medical data company,</w:t>
      </w:r>
      <w:r>
        <w:t xml:space="preserve"> with three</w:t>
      </w:r>
      <w:r w:rsidR="00662816">
        <w:t xml:space="preserve"> other</w:t>
      </w:r>
      <w:r>
        <w:t xml:space="preserve"> Stanford alumni.  </w:t>
      </w:r>
      <w:r w:rsidR="000533DB">
        <w:t xml:space="preserve">Hardell </w:t>
      </w:r>
      <w:r w:rsidR="00265798">
        <w:t>became Segmed’s</w:t>
      </w:r>
      <w:r>
        <w:t xml:space="preserve"> CEO and </w:t>
      </w:r>
      <w:r w:rsidR="002071EA">
        <w:t>w</w:t>
      </w:r>
      <w:r>
        <w:t>orked and resided</w:t>
      </w:r>
      <w:r w:rsidR="002071EA">
        <w:t xml:space="preserve"> </w:t>
      </w:r>
      <w:r>
        <w:t xml:space="preserve">in </w:t>
      </w:r>
      <w:r w:rsidR="002071EA">
        <w:t>California until roughly March</w:t>
      </w:r>
      <w:r w:rsidR="004540B5">
        <w:t> </w:t>
      </w:r>
      <w:r w:rsidR="002071EA">
        <w:t>2020, when she traveled to Colorado</w:t>
      </w:r>
      <w:r w:rsidR="00662816">
        <w:t xml:space="preserve"> and</w:t>
      </w:r>
      <w:r w:rsidR="002071EA">
        <w:t xml:space="preserve"> </w:t>
      </w:r>
      <w:r w:rsidR="00662816">
        <w:t>remained</w:t>
      </w:r>
      <w:r w:rsidR="00184333">
        <w:t xml:space="preserve"> as a resident</w:t>
      </w:r>
      <w:r w:rsidR="002071EA">
        <w:t>.</w:t>
      </w:r>
      <w:r w:rsidR="000533DB">
        <w:t xml:space="preserve">  </w:t>
      </w:r>
    </w:p>
    <w:p w:rsidR="00A55BDA" w:rsidP="006843D3" w14:paraId="172A689B" w14:textId="2CBA9498">
      <w:pPr>
        <w:tabs>
          <w:tab w:val="left" w:pos="720"/>
        </w:tabs>
        <w:ind w:firstLine="720"/>
      </w:pPr>
      <w:r>
        <w:t xml:space="preserve">Vanzyl </w:t>
      </w:r>
      <w:r w:rsidR="00166133">
        <w:t>was a Blumberg senior director</w:t>
      </w:r>
      <w:r>
        <w:t>.</w:t>
      </w:r>
      <w:r w:rsidR="00166133">
        <w:t xml:space="preserve"> </w:t>
      </w:r>
      <w:r>
        <w:t xml:space="preserve"> </w:t>
      </w:r>
      <w:r w:rsidR="00662816">
        <w:t>Blumberg is a venture capital firm that invests in privately held portfolio companies</w:t>
      </w:r>
      <w:r w:rsidR="00055308">
        <w:t>, and</w:t>
      </w:r>
      <w:r w:rsidR="00662816">
        <w:t xml:space="preserve"> </w:t>
      </w:r>
      <w:r>
        <w:t>Mohsen was and is the CEO of two companies</w:t>
      </w:r>
      <w:r w:rsidR="0063579F">
        <w:t xml:space="preserve"> in which Blumberg invested</w:t>
      </w:r>
      <w:r>
        <w:t>.  Blumberg and Segmed are headquartered in California</w:t>
      </w:r>
      <w:r w:rsidR="003B0836">
        <w:t xml:space="preserve"> and</w:t>
      </w:r>
      <w:r>
        <w:t xml:space="preserve"> </w:t>
      </w:r>
      <w:r w:rsidR="006A3A26">
        <w:t>both companies</w:t>
      </w:r>
      <w:r w:rsidR="00EB5EC0">
        <w:t xml:space="preserve"> operate from California</w:t>
      </w:r>
      <w:r>
        <w:t xml:space="preserve">. </w:t>
      </w:r>
    </w:p>
    <w:p w:rsidR="00775205" w:rsidP="006843D3" w14:paraId="19947196" w14:textId="5E1A3682">
      <w:pPr>
        <w:tabs>
          <w:tab w:val="left" w:pos="720"/>
        </w:tabs>
        <w:ind w:firstLine="720"/>
      </w:pPr>
      <w:r>
        <w:t xml:space="preserve">In </w:t>
      </w:r>
      <w:r w:rsidR="006A3A26">
        <w:t>October</w:t>
      </w:r>
      <w:r w:rsidR="0078151A">
        <w:t> </w:t>
      </w:r>
      <w:r>
        <w:t xml:space="preserve">2020, Blumberg invested in Segmed.  Pursuant to the investment agreement, Blumberg appointed Vanzyl to Segmed’s board of directors.  </w:t>
      </w:r>
      <w:r w:rsidR="00F25D17">
        <w:t>Starting i</w:t>
      </w:r>
      <w:r w:rsidR="00265798">
        <w:t>n summer</w:t>
      </w:r>
      <w:r w:rsidR="00A313BA">
        <w:t> </w:t>
      </w:r>
      <w:r w:rsidR="00265798">
        <w:t xml:space="preserve">2021, </w:t>
      </w:r>
      <w:r w:rsidR="00A55BDA">
        <w:t>Vanzyl</w:t>
      </w:r>
      <w:r w:rsidR="00265798">
        <w:t xml:space="preserve"> directed Hardell to raise more funds for Segmed.  </w:t>
      </w:r>
      <w:r w:rsidR="00F25D17">
        <w:t>He also assisted Hardell in her fundraising efforts, including with respect to a particular venture capital firm</w:t>
      </w:r>
      <w:r w:rsidR="00707098">
        <w:t>, dubbed “VC</w:t>
      </w:r>
      <w:r w:rsidR="00E3247F">
        <w:t> </w:t>
      </w:r>
      <w:r w:rsidR="00707098">
        <w:t>Firm</w:t>
      </w:r>
      <w:r w:rsidR="00A313BA">
        <w:t> </w:t>
      </w:r>
      <w:r w:rsidR="00707098">
        <w:t>A” in Hardell’s complaint</w:t>
      </w:r>
      <w:r w:rsidR="00F25D17">
        <w:t>.  I</w:t>
      </w:r>
      <w:r>
        <w:t>n</w:t>
      </w:r>
      <w:r w:rsidR="00F25D17">
        <w:t xml:space="preserve"> January</w:t>
      </w:r>
      <w:r w:rsidR="00E3247F">
        <w:t> </w:t>
      </w:r>
      <w:r w:rsidR="00F25D17">
        <w:t xml:space="preserve">2022, Vanzyl took Hardell to lunch in San Francisco, where he explained </w:t>
      </w:r>
      <w:r w:rsidR="003B479C">
        <w:t xml:space="preserve">that </w:t>
      </w:r>
      <w:r w:rsidR="00F25D17">
        <w:t xml:space="preserve">“he was essential to Hardell’s </w:t>
      </w:r>
      <w:r w:rsidRPr="002E32C4" w:rsidR="00F25D17">
        <w:t xml:space="preserve">and Segmed’s continued success,” and that </w:t>
      </w:r>
      <w:r w:rsidRPr="002E32C4" w:rsidR="004C08C4">
        <w:t xml:space="preserve">if </w:t>
      </w:r>
      <w:r w:rsidR="002E0DE5">
        <w:t>Blumberg</w:t>
      </w:r>
      <w:r w:rsidRPr="002E32C4" w:rsidR="002E0DE5">
        <w:t xml:space="preserve"> expressed</w:t>
      </w:r>
      <w:r w:rsidRPr="002E32C4" w:rsidR="004C08C4">
        <w:t xml:space="preserve"> support for Segmed, other investors were more likely to invest in the company. </w:t>
      </w:r>
      <w:r w:rsidRPr="002E32C4" w:rsidR="000533DB">
        <w:t xml:space="preserve"> </w:t>
      </w:r>
      <w:r w:rsidRPr="002E32C4" w:rsidR="00707098">
        <w:t>In February</w:t>
      </w:r>
      <w:r w:rsidR="00E3247F">
        <w:t> </w:t>
      </w:r>
      <w:r w:rsidRPr="002E32C4" w:rsidR="00707098">
        <w:t>2022, Hardell met with representatives from VC</w:t>
      </w:r>
      <w:r w:rsidR="00E3247F">
        <w:t> </w:t>
      </w:r>
      <w:r w:rsidRPr="002E32C4" w:rsidR="00707098">
        <w:t>Firm</w:t>
      </w:r>
      <w:r w:rsidR="00E3247F">
        <w:t> </w:t>
      </w:r>
      <w:r w:rsidRPr="002E32C4" w:rsidR="00707098">
        <w:t>A, who tentatively</w:t>
      </w:r>
      <w:r w:rsidR="00707098">
        <w:t xml:space="preserve"> suggested a large investment, subject to further discussion with Vanzyl. </w:t>
      </w:r>
    </w:p>
    <w:p w:rsidR="00046358" w:rsidP="00775205" w14:paraId="5AA5B1BF" w14:textId="421B340E">
      <w:pPr>
        <w:tabs>
          <w:tab w:val="left" w:pos="720"/>
        </w:tabs>
        <w:ind w:firstLine="720"/>
      </w:pPr>
      <w:r>
        <w:t>From</w:t>
      </w:r>
      <w:r w:rsidR="000533DB">
        <w:t xml:space="preserve"> March</w:t>
      </w:r>
      <w:r w:rsidR="00E3247F">
        <w:t> </w:t>
      </w:r>
      <w:r>
        <w:t>6</w:t>
      </w:r>
      <w:r w:rsidR="000533DB">
        <w:t xml:space="preserve"> to</w:t>
      </w:r>
      <w:r w:rsidR="00E3247F">
        <w:t> </w:t>
      </w:r>
      <w:r w:rsidR="000533DB">
        <w:t>9, 2022</w:t>
      </w:r>
      <w:r>
        <w:t>, Hardell attended a business conference</w:t>
      </w:r>
      <w:r w:rsidR="000533DB">
        <w:t xml:space="preserve"> in Miami, Florida</w:t>
      </w:r>
      <w:r>
        <w:t xml:space="preserve"> as part of her fundraising efforts for Segmed</w:t>
      </w:r>
      <w:r w:rsidR="000533DB">
        <w:t xml:space="preserve">. </w:t>
      </w:r>
      <w:r w:rsidR="00775205">
        <w:t xml:space="preserve"> </w:t>
      </w:r>
      <w:r w:rsidR="00C104E4">
        <w:t>Hardell alleges that</w:t>
      </w:r>
      <w:r w:rsidR="00576E8C">
        <w:t>,</w:t>
      </w:r>
      <w:r w:rsidR="00C104E4">
        <w:t xml:space="preserve"> while </w:t>
      </w:r>
      <w:r w:rsidR="00081E73">
        <w:t xml:space="preserve">there, </w:t>
      </w:r>
      <w:r w:rsidR="00C104E4">
        <w:t>she attended a</w:t>
      </w:r>
      <w:r w:rsidR="00171A4C">
        <w:t xml:space="preserve"> March</w:t>
      </w:r>
      <w:r w:rsidR="00E3247F">
        <w:t> </w:t>
      </w:r>
      <w:r w:rsidR="00171A4C">
        <w:t>8</w:t>
      </w:r>
      <w:r w:rsidR="00C104E4">
        <w:t xml:space="preserve"> dinner with</w:t>
      </w:r>
      <w:r>
        <w:t xml:space="preserve"> Vanzyl, Mohsen, and</w:t>
      </w:r>
      <w:r w:rsidR="00C104E4">
        <w:t xml:space="preserve"> </w:t>
      </w:r>
      <w:r>
        <w:t>the CEO of another Blumberg portfolio company</w:t>
      </w:r>
      <w:r w:rsidR="00081E73">
        <w:t>.  At the dinner,</w:t>
      </w:r>
      <w:r w:rsidR="00C104E4">
        <w:t xml:space="preserve"> Vanzyl and Mohsen</w:t>
      </w:r>
      <w:r>
        <w:t xml:space="preserve"> </w:t>
      </w:r>
      <w:r w:rsidR="00C104E4">
        <w:t xml:space="preserve">encouraged </w:t>
      </w:r>
      <w:r w:rsidR="00171A4C">
        <w:t xml:space="preserve">her </w:t>
      </w:r>
      <w:r w:rsidR="00C104E4">
        <w:t>to drink alcohol.  The</w:t>
      </w:r>
      <w:r>
        <w:t xml:space="preserve"> two men </w:t>
      </w:r>
      <w:r w:rsidR="00C104E4">
        <w:t xml:space="preserve">then accompanied her, uninvited, to a second </w:t>
      </w:r>
      <w:r w:rsidR="00171A4C">
        <w:t>event</w:t>
      </w:r>
      <w:r w:rsidR="002E32C4">
        <w:t xml:space="preserve"> where she </w:t>
      </w:r>
      <w:r w:rsidR="007B3880">
        <w:t>met</w:t>
      </w:r>
      <w:r w:rsidR="00171A4C">
        <w:t xml:space="preserve"> with potential investors</w:t>
      </w:r>
      <w:r w:rsidR="001524C1">
        <w:t xml:space="preserve">.  They </w:t>
      </w:r>
      <w:r w:rsidR="00171A4C">
        <w:t>again served her alcohol.  Afterward, they purchased more alcohol</w:t>
      </w:r>
      <w:r w:rsidR="001524C1">
        <w:t xml:space="preserve"> at a liquor store,</w:t>
      </w:r>
      <w:r w:rsidR="00171A4C">
        <w:t xml:space="preserve"> and Hardell alleges that Vanzyl directed them to the beach.  “Hardell protested, asking about Vanzyl’s wife and kids.”  Nevertheless, they </w:t>
      </w:r>
      <w:r>
        <w:t>proceed</w:t>
      </w:r>
      <w:r w:rsidR="00171A4C">
        <w:t xml:space="preserve">ed to the beach, drinking on the way.  Vanzyl and Mohsen went skinny-dipping.  Hardell also swam but kept her undergarments on. </w:t>
      </w:r>
    </w:p>
    <w:p w:rsidR="00171A4C" w:rsidP="00C40300" w14:paraId="04DEF8B4" w14:textId="66471E8D">
      <w:pPr>
        <w:tabs>
          <w:tab w:val="left" w:pos="720"/>
        </w:tabs>
        <w:ind w:firstLine="720"/>
      </w:pPr>
      <w:r>
        <w:t>Back on shore, Vanzyl and Mohsen encouraged Hardell to drink more.  The three discussed work.  Vanzyl</w:t>
      </w:r>
      <w:r w:rsidR="00707098">
        <w:t xml:space="preserve"> </w:t>
      </w:r>
      <w:r w:rsidR="008E0B1A">
        <w:t xml:space="preserve">had previously expressed support for </w:t>
      </w:r>
      <w:r w:rsidR="00707098">
        <w:t>VC</w:t>
      </w:r>
      <w:r w:rsidR="00E45587">
        <w:t> </w:t>
      </w:r>
      <w:r w:rsidR="00707098">
        <w:t>Firm</w:t>
      </w:r>
      <w:r w:rsidR="00E45587">
        <w:t> </w:t>
      </w:r>
      <w:r w:rsidR="00707098">
        <w:t>A’s investment in Segmed</w:t>
      </w:r>
      <w:r w:rsidR="008E0B1A">
        <w:t>,</w:t>
      </w:r>
      <w:r w:rsidR="00707098">
        <w:t xml:space="preserve"> but on the beach</w:t>
      </w:r>
      <w:r w:rsidR="008E0B1A">
        <w:t xml:space="preserve"> </w:t>
      </w:r>
      <w:r w:rsidR="00707098">
        <w:t>he</w:t>
      </w:r>
      <w:r w:rsidR="008E0B1A">
        <w:t xml:space="preserve"> became </w:t>
      </w:r>
      <w:r w:rsidR="001B6C87">
        <w:t>“</w:t>
      </w:r>
      <w:r w:rsidR="008E0B1A">
        <w:t>purposefully non-committal</w:t>
      </w:r>
      <w:r>
        <w:t>.</w:t>
      </w:r>
      <w:r w:rsidR="001B6C87">
        <w:t>”</w:t>
      </w:r>
      <w:r>
        <w:t xml:space="preserve"> </w:t>
      </w:r>
      <w:r w:rsidR="008E0B1A">
        <w:t xml:space="preserve"> </w:t>
      </w:r>
      <w:r w:rsidR="00CD5B38">
        <w:t xml:space="preserve">He steered the conversation to the topic of sex.  He asked Hardell about her sex life.  He then told her he loved her and kissed her. </w:t>
      </w:r>
    </w:p>
    <w:p w:rsidR="00CD5B38" w:rsidP="00C40300" w14:paraId="4168E463" w14:textId="516BE1E3">
      <w:pPr>
        <w:tabs>
          <w:tab w:val="left" w:pos="720"/>
        </w:tabs>
        <w:ind w:firstLine="720"/>
      </w:pPr>
      <w:r>
        <w:t xml:space="preserve">Vanzyl </w:t>
      </w:r>
      <w:r w:rsidR="007A5495">
        <w:t>performed oral sex on Hardell and encouraged Mohsen to do the same</w:t>
      </w:r>
      <w:r w:rsidR="005B4F49">
        <w:t>.  T</w:t>
      </w:r>
      <w:r w:rsidR="00A460A6">
        <w:t>hey</w:t>
      </w:r>
      <w:r w:rsidR="007642F6">
        <w:t xml:space="preserve"> continued even though</w:t>
      </w:r>
      <w:r w:rsidR="007519ED">
        <w:t xml:space="preserve"> she repeatedly told them </w:t>
      </w:r>
      <w:r w:rsidR="00002C35">
        <w:t xml:space="preserve">to </w:t>
      </w:r>
      <w:r w:rsidR="007519ED">
        <w:t xml:space="preserve">stop. </w:t>
      </w:r>
      <w:r>
        <w:t xml:space="preserve"> Hardell </w:t>
      </w:r>
      <w:r w:rsidR="007B4FD6">
        <w:t xml:space="preserve">then </w:t>
      </w:r>
      <w:r>
        <w:t xml:space="preserve">got dressed and </w:t>
      </w:r>
      <w:r w:rsidR="007B4FD6">
        <w:t xml:space="preserve">the three </w:t>
      </w:r>
      <w:r w:rsidR="00775205">
        <w:t>went to a bar</w:t>
      </w:r>
      <w:r w:rsidR="001C4155">
        <w:t>, where</w:t>
      </w:r>
      <w:r w:rsidR="00775205">
        <w:t xml:space="preserve"> </w:t>
      </w:r>
      <w:r>
        <w:t xml:space="preserve">Mohsen asked his roommate to vacate their hotel room. </w:t>
      </w:r>
      <w:r w:rsidR="003919E4">
        <w:t xml:space="preserve"> </w:t>
      </w:r>
      <w:r>
        <w:t>Hardell protested and explained that she was scared of Vanzyl and Mohsen due to the power dynamic at play. Vanzyl responded with “a ‘safe word</w:t>
      </w:r>
      <w:r w:rsidR="00775205">
        <w:t>.</w:t>
      </w:r>
      <w:r>
        <w:t>’</w:t>
      </w:r>
      <w:r w:rsidR="002B33F8">
        <w:t> </w:t>
      </w:r>
      <w:r>
        <w:t xml:space="preserve">” </w:t>
      </w:r>
      <w:r w:rsidR="003919E4">
        <w:t xml:space="preserve"> </w:t>
      </w:r>
      <w:r w:rsidR="00775205">
        <w:t>T</w:t>
      </w:r>
      <w:r>
        <w:t>he men handed her two shots of tequila and told her to drink them and</w:t>
      </w:r>
      <w:r w:rsidR="00775205">
        <w:t xml:space="preserve"> then</w:t>
      </w:r>
      <w:r>
        <w:t xml:space="preserve"> “too</w:t>
      </w:r>
      <w:r w:rsidR="00775205">
        <w:t>k</w:t>
      </w:r>
      <w:r>
        <w:t xml:space="preserve"> </w:t>
      </w:r>
      <w:r w:rsidR="00775205">
        <w:t>Hardell</w:t>
      </w:r>
      <w:r>
        <w:t xml:space="preserve"> to Mohsen’s hotel room and continued the assault.” </w:t>
      </w:r>
    </w:p>
    <w:p w:rsidR="006843D3" w:rsidP="00C40300" w14:paraId="63E40305" w14:textId="1CC7F0CA">
      <w:pPr>
        <w:tabs>
          <w:tab w:val="left" w:pos="720"/>
        </w:tabs>
        <w:ind w:firstLine="720"/>
      </w:pPr>
      <w:r>
        <w:t>At 5:30</w:t>
      </w:r>
      <w:r w:rsidR="00356929">
        <w:t> </w:t>
      </w:r>
      <w:r>
        <w:t>a.m. on</w:t>
      </w:r>
      <w:r w:rsidR="00CD5B38">
        <w:t xml:space="preserve"> March</w:t>
      </w:r>
      <w:r w:rsidR="00356929">
        <w:t> </w:t>
      </w:r>
      <w:r w:rsidR="00CD5B38">
        <w:t xml:space="preserve">9, Vanzyl told Hardell “he had to get home to his wife.”  Hardell </w:t>
      </w:r>
      <w:r>
        <w:t xml:space="preserve">walked to her hotel room and </w:t>
      </w:r>
      <w:r w:rsidR="00CD5B38">
        <w:t>called a rape hotline</w:t>
      </w:r>
      <w:r>
        <w:t xml:space="preserve">.  </w:t>
      </w:r>
      <w:r w:rsidR="00775205">
        <w:t>A medical examination revealed</w:t>
      </w:r>
      <w:r w:rsidR="00CD5B38">
        <w:t xml:space="preserve"> that she had </w:t>
      </w:r>
      <w:r>
        <w:t>suffer</w:t>
      </w:r>
      <w:r w:rsidR="00CD5B38">
        <w:t>ed</w:t>
      </w:r>
      <w:r>
        <w:t xml:space="preserve"> </w:t>
      </w:r>
      <w:r w:rsidR="003E30C0">
        <w:t>physical injuries</w:t>
      </w:r>
      <w:r w:rsidR="00CD5B38">
        <w:t xml:space="preserve">. </w:t>
      </w:r>
      <w:r w:rsidR="007B31E2">
        <w:t xml:space="preserve"> </w:t>
      </w:r>
      <w:r w:rsidR="00D957CC">
        <w:t>Hardell also experienced severe emotional distress and was not able to return to work as Segmed’s CEO.  After she reported the incident, Hardell alleged</w:t>
      </w:r>
      <w:r w:rsidR="004C6BEC">
        <w:t>,</w:t>
      </w:r>
      <w:r w:rsidR="00D957CC">
        <w:t xml:space="preserve"> Blumberg retaliated against her, causing her eventually to </w:t>
      </w:r>
      <w:r>
        <w:t>relinquish</w:t>
      </w:r>
      <w:r w:rsidR="00D957CC">
        <w:t xml:space="preserve"> her role in the promising startup that she had co-founded and directed. </w:t>
      </w:r>
      <w:r>
        <w:t xml:space="preserve">  </w:t>
      </w:r>
    </w:p>
    <w:p w:rsidR="006843D3" w:rsidP="00546A28" w14:paraId="7706B7CF" w14:textId="1A61D853">
      <w:pPr>
        <w:pStyle w:val="Heading2"/>
        <w:spacing w:before="0" w:after="0" w:line="360" w:lineRule="auto"/>
        <w:ind w:left="540" w:right="0" w:hanging="270"/>
      </w:pPr>
      <w:r>
        <w:t xml:space="preserve">  </w:t>
      </w:r>
      <w:r w:rsidR="00C54901">
        <w:t xml:space="preserve">The </w:t>
      </w:r>
      <w:r w:rsidR="004E64EB">
        <w:t xml:space="preserve">Lawsuit and </w:t>
      </w:r>
      <w:r w:rsidR="00C54901">
        <w:t>Motion to Quash</w:t>
      </w:r>
    </w:p>
    <w:p w:rsidR="00CD5B38" w:rsidP="00C40300" w14:paraId="3947B1D8" w14:textId="23ECE1BF">
      <w:pPr>
        <w:tabs>
          <w:tab w:val="left" w:pos="720"/>
        </w:tabs>
        <w:ind w:firstLine="720"/>
      </w:pPr>
      <w:r>
        <w:t>Hardell sued Vanzyl, Mohsen, and Blumberg</w:t>
      </w:r>
      <w:r w:rsidR="00984C70">
        <w:t xml:space="preserve"> on September 30, 2022</w:t>
      </w:r>
      <w:r>
        <w:t>, asserting claims o</w:t>
      </w:r>
      <w:r w:rsidR="004C75A7">
        <w:t>f</w:t>
      </w:r>
      <w:r>
        <w:t xml:space="preserve"> </w:t>
      </w:r>
      <w:r w:rsidR="004C75A7">
        <w:t>retaliation, unlawful conduct under Government Code section</w:t>
      </w:r>
      <w:r w:rsidR="00B27C2F">
        <w:t> </w:t>
      </w:r>
      <w:r w:rsidR="004C75A7">
        <w:t xml:space="preserve">12964.5, </w:t>
      </w:r>
      <w:r>
        <w:t xml:space="preserve">sexual assault and battery, gender violence, harassment, </w:t>
      </w:r>
      <w:r w:rsidR="004C75A7">
        <w:t xml:space="preserve">and </w:t>
      </w:r>
      <w:r>
        <w:t xml:space="preserve">intentional infliction of emotional distress.  </w:t>
      </w:r>
      <w:r w:rsidR="000C432A">
        <w:t xml:space="preserve">She named Vanzyl as a defendant </w:t>
      </w:r>
      <w:r w:rsidR="00E4532F">
        <w:t>on</w:t>
      </w:r>
      <w:r w:rsidR="000C432A">
        <w:t xml:space="preserve"> the </w:t>
      </w:r>
      <w:r w:rsidR="004C75A7">
        <w:t>latter four claims</w:t>
      </w:r>
      <w:r>
        <w:t xml:space="preserve">. </w:t>
      </w:r>
    </w:p>
    <w:p w:rsidR="008E5D09" w:rsidP="006843D3" w14:paraId="0AADF8D4" w14:textId="7CBA9867">
      <w:pPr>
        <w:tabs>
          <w:tab w:val="left" w:pos="720"/>
        </w:tabs>
        <w:ind w:firstLine="720"/>
      </w:pPr>
      <w:r>
        <w:t xml:space="preserve">Vanzyl </w:t>
      </w:r>
      <w:r w:rsidR="00AB3146">
        <w:t>lived in</w:t>
      </w:r>
      <w:r w:rsidR="007B3880">
        <w:t xml:space="preserve"> </w:t>
      </w:r>
      <w:r w:rsidR="00AB3146">
        <w:t>Australia when Hardell filed suit</w:t>
      </w:r>
      <w:r>
        <w:t>.</w:t>
      </w:r>
      <w:r w:rsidR="00E92516">
        <w:t xml:space="preserve"> </w:t>
      </w:r>
      <w:r>
        <w:t xml:space="preserve"> </w:t>
      </w:r>
      <w:r w:rsidR="00984C70">
        <w:t xml:space="preserve">She served him with the summons and complaint on March 25, 2023. </w:t>
      </w:r>
      <w:r>
        <w:t xml:space="preserve"> </w:t>
      </w:r>
      <w:r w:rsidR="00513984">
        <w:t xml:space="preserve">He moved to quash service, arguing </w:t>
      </w:r>
      <w:r>
        <w:t>that the trial court lacked personal jurisdiction over him</w:t>
      </w:r>
      <w:r w:rsidR="009D0159">
        <w:t xml:space="preserve">.  He averred in his declaration in support of </w:t>
      </w:r>
      <w:r w:rsidR="001F6005">
        <w:t>the</w:t>
      </w:r>
      <w:r w:rsidR="009D0159">
        <w:t xml:space="preserve"> motion that</w:t>
      </w:r>
      <w:r w:rsidR="00513984">
        <w:t xml:space="preserve"> </w:t>
      </w:r>
      <w:r>
        <w:t>he was not a California resident in March</w:t>
      </w:r>
      <w:r w:rsidR="00B27C2F">
        <w:t> </w:t>
      </w:r>
      <w:r>
        <w:t>2022</w:t>
      </w:r>
      <w:r w:rsidRPr="003702FF">
        <w:t xml:space="preserve">, </w:t>
      </w:r>
      <w:r w:rsidR="000E1172">
        <w:t>having</w:t>
      </w:r>
      <w:r w:rsidRPr="003702FF">
        <w:t xml:space="preserve"> permanently relocated from California to </w:t>
      </w:r>
      <w:r w:rsidR="001D6831">
        <w:t>Florida</w:t>
      </w:r>
      <w:r w:rsidRPr="003702FF">
        <w:t xml:space="preserve"> in February</w:t>
      </w:r>
      <w:r w:rsidR="00B27C2F">
        <w:t> </w:t>
      </w:r>
      <w:r w:rsidRPr="003702FF">
        <w:t xml:space="preserve">2022.  When he moved to </w:t>
      </w:r>
      <w:r w:rsidR="001D6831">
        <w:t>Florida</w:t>
      </w:r>
      <w:r w:rsidRPr="003702FF">
        <w:t>, and then to Australia, he “had no intention</w:t>
      </w:r>
      <w:r>
        <w:t xml:space="preserve"> of moving back to California to either live or work.”  He sold his house in California and purchased one in Miami, where his daughter was enrolled in a new school.  His paystubs </w:t>
      </w:r>
      <w:r w:rsidR="003702FF">
        <w:t>identified</w:t>
      </w:r>
      <w:r>
        <w:t xml:space="preserve"> Florida </w:t>
      </w:r>
      <w:r w:rsidR="003702FF">
        <w:t xml:space="preserve">as his </w:t>
      </w:r>
      <w:r>
        <w:t xml:space="preserve">residence </w:t>
      </w:r>
      <w:r w:rsidR="003702FF">
        <w:t xml:space="preserve">for tax purposes </w:t>
      </w:r>
      <w:r>
        <w:t>in</w:t>
      </w:r>
      <w:r w:rsidR="001D6831">
        <w:t xml:space="preserve"> the latter half of</w:t>
      </w:r>
      <w:r>
        <w:t xml:space="preserve"> February</w:t>
      </w:r>
      <w:r w:rsidR="00723C60">
        <w:t> </w:t>
      </w:r>
      <w:r>
        <w:t xml:space="preserve">2022.  Vanzyl denied that he owned real property in Tahoe, California, and </w:t>
      </w:r>
      <w:r w:rsidR="003702FF">
        <w:t>stated</w:t>
      </w:r>
      <w:r>
        <w:t xml:space="preserve"> </w:t>
      </w:r>
      <w:r w:rsidR="0085671C">
        <w:t xml:space="preserve">that </w:t>
      </w:r>
      <w:r>
        <w:t>he did not have any interaction with Hardell in California after moving to Florida.  He worked for Blumberg in Florida</w:t>
      </w:r>
      <w:r w:rsidR="0085671C">
        <w:t>,</w:t>
      </w:r>
      <w:r>
        <w:t xml:space="preserve"> </w:t>
      </w:r>
      <w:r w:rsidR="0085671C">
        <w:t xml:space="preserve">not California, </w:t>
      </w:r>
      <w:r>
        <w:t>in March</w:t>
      </w:r>
      <w:r w:rsidR="00723C60">
        <w:t> </w:t>
      </w:r>
      <w:r>
        <w:t>2022, and he did not operate any business in California in March</w:t>
      </w:r>
      <w:r w:rsidR="00723C60">
        <w:t> </w:t>
      </w:r>
      <w:r>
        <w:t xml:space="preserve">2022. </w:t>
      </w:r>
      <w:r w:rsidR="003702FF">
        <w:t xml:space="preserve"> Vanzyl asserted that he did not direct Hardell to attend the conference in Florida, </w:t>
      </w:r>
      <w:r w:rsidR="00C77E82">
        <w:t>but</w:t>
      </w:r>
      <w:r w:rsidR="00C324AC">
        <w:t xml:space="preserve"> that</w:t>
      </w:r>
      <w:r w:rsidR="003702FF">
        <w:t xml:space="preserve"> she emailed him and asked about it.  He also denied directing Hardell to attend the March</w:t>
      </w:r>
      <w:r w:rsidR="00C068AA">
        <w:t> </w:t>
      </w:r>
      <w:r w:rsidR="003702FF">
        <w:t>8</w:t>
      </w:r>
      <w:r w:rsidR="00C068AA">
        <w:t> </w:t>
      </w:r>
      <w:r w:rsidR="003702FF">
        <w:t xml:space="preserve">dinner and attached email correspondence showing that Mohsen invited Vanzyl and Hardell to the dinner.  At the time of the </w:t>
      </w:r>
      <w:r w:rsidR="001F6005">
        <w:t>invitation</w:t>
      </w:r>
      <w:r w:rsidR="003702FF">
        <w:t xml:space="preserve">, Vanzyl averred, he “had already moved to, and was working in, Florida.” </w:t>
      </w:r>
    </w:p>
    <w:p w:rsidR="004D6840" w:rsidP="006843D3" w14:paraId="2174C289" w14:textId="3DA12507">
      <w:pPr>
        <w:tabs>
          <w:tab w:val="left" w:pos="720"/>
        </w:tabs>
        <w:ind w:firstLine="720"/>
      </w:pPr>
      <w:r>
        <w:t>Vanzyl’s realtor also submitted a declaration.  The r</w:t>
      </w:r>
      <w:r w:rsidR="008E5D09">
        <w:t>ealtor</w:t>
      </w:r>
      <w:r>
        <w:t xml:space="preserve"> helped Vanzyl search for a home in late</w:t>
      </w:r>
      <w:r w:rsidR="00723C60">
        <w:t> </w:t>
      </w:r>
      <w:r>
        <w:t>2021 and early</w:t>
      </w:r>
      <w:r w:rsidR="00723C60">
        <w:t> </w:t>
      </w:r>
      <w:r>
        <w:t>2022</w:t>
      </w:r>
      <w:r w:rsidR="009B1ABB">
        <w:t xml:space="preserve">. </w:t>
      </w:r>
      <w:r>
        <w:t xml:space="preserve"> </w:t>
      </w:r>
      <w:r w:rsidR="009B1ABB">
        <w:t>T</w:t>
      </w:r>
      <w:r w:rsidR="006843D3">
        <w:t xml:space="preserve">he sale of </w:t>
      </w:r>
      <w:r>
        <w:t xml:space="preserve">the </w:t>
      </w:r>
      <w:r w:rsidR="003015B8">
        <w:t xml:space="preserve">Florida </w:t>
      </w:r>
      <w:r>
        <w:t>home closed in February</w:t>
      </w:r>
      <w:r w:rsidR="003037C8">
        <w:t> </w:t>
      </w:r>
      <w:r>
        <w:t>2022</w:t>
      </w:r>
      <w:r w:rsidR="007704AB">
        <w:t xml:space="preserve">.  During her </w:t>
      </w:r>
      <w:r w:rsidR="00591392">
        <w:t>“regular”</w:t>
      </w:r>
      <w:r w:rsidR="007704AB">
        <w:t xml:space="preserve"> visits in February and March</w:t>
      </w:r>
      <w:r w:rsidR="003037C8">
        <w:t> </w:t>
      </w:r>
      <w:r w:rsidR="007704AB">
        <w:t xml:space="preserve">2022, she “observed that both Mr. Vanzyl and his wife had moved their belongings into the house, had decorated the house, and appeared to be fully moved into and living in the house.” </w:t>
      </w:r>
    </w:p>
    <w:p w:rsidR="002253D2" w:rsidRPr="00145911" w:rsidP="004D6840" w14:paraId="37A587B3" w14:textId="2F78D27E">
      <w:pPr>
        <w:ind w:firstLine="720"/>
        <w:rPr>
          <w:rFonts w:cstheme="majorHAnsi"/>
        </w:rPr>
      </w:pPr>
      <w:r>
        <w:t>In opposition to the motion to quash, Hardell argued that Vanzyl’s declaration was not credible.  She provided evidence to rebut his claims of domicile</w:t>
      </w:r>
      <w:r w:rsidR="00E1301B">
        <w:t xml:space="preserve">, including that court filings in another case </w:t>
      </w:r>
      <w:r w:rsidR="00471E38">
        <w:t>referenced</w:t>
      </w:r>
      <w:r w:rsidR="00E1301B">
        <w:t xml:space="preserve"> a “Vanzyl family vacation home” in Tahoe, California.  While interacting remotely, Hardell had observed Vanzyl work from his study in the </w:t>
      </w:r>
      <w:r w:rsidR="001F4E27">
        <w:t xml:space="preserve">Tahoe </w:t>
      </w:r>
      <w:r w:rsidR="00E1301B">
        <w:t xml:space="preserve">home.  Vanzyl told Hardell </w:t>
      </w:r>
      <w:r w:rsidR="0006748D">
        <w:t xml:space="preserve">in January 2022 </w:t>
      </w:r>
      <w:r w:rsidR="00E1301B">
        <w:t>that the Tahoe</w:t>
      </w:r>
      <w:r w:rsidR="006572E1">
        <w:t xml:space="preserve"> home</w:t>
      </w:r>
      <w:r w:rsidR="00E1301B">
        <w:t xml:space="preserve"> was his “home base,” the place to which</w:t>
      </w:r>
      <w:r w:rsidR="00C240D7">
        <w:t xml:space="preserve"> “he and</w:t>
      </w:r>
      <w:r w:rsidR="00E1301B">
        <w:t xml:space="preserve"> his family</w:t>
      </w:r>
      <w:r w:rsidR="0016366D">
        <w:t xml:space="preserve"> would</w:t>
      </w:r>
      <w:r w:rsidR="00E1301B">
        <w:t xml:space="preserve"> </w:t>
      </w:r>
      <w:r w:rsidR="001F4E27">
        <w:t>consistently</w:t>
      </w:r>
      <w:r w:rsidR="00E1301B">
        <w:t xml:space="preserve"> return,</w:t>
      </w:r>
      <w:r w:rsidR="0016366D">
        <w:t>”</w:t>
      </w:r>
      <w:r w:rsidR="00E1301B">
        <w:t xml:space="preserve"> and </w:t>
      </w:r>
      <w:r w:rsidR="00D3793D">
        <w:t xml:space="preserve">the place </w:t>
      </w:r>
      <w:r w:rsidR="00E1301B">
        <w:t xml:space="preserve">where the family kept their important belongings.  </w:t>
      </w:r>
      <w:r w:rsidR="00E6763A">
        <w:t>M</w:t>
      </w:r>
      <w:r w:rsidR="007E0B05">
        <w:t xml:space="preserve">ail </w:t>
      </w:r>
      <w:r w:rsidR="001E27C3">
        <w:t>addressed to Vanzyl w</w:t>
      </w:r>
      <w:r w:rsidR="00E6763A">
        <w:t>as</w:t>
      </w:r>
      <w:r w:rsidR="001E27C3">
        <w:t xml:space="preserve"> </w:t>
      </w:r>
      <w:r w:rsidR="007E0B05">
        <w:t>forwarded</w:t>
      </w:r>
      <w:r w:rsidR="001F4E27">
        <w:t xml:space="preserve"> or sent directly</w:t>
      </w:r>
      <w:r w:rsidR="007E0B05">
        <w:t xml:space="preserve"> to the Tahoe </w:t>
      </w:r>
      <w:r w:rsidR="005562A4">
        <w:t>home</w:t>
      </w:r>
      <w:r w:rsidR="007E0B05">
        <w:t xml:space="preserve">. </w:t>
      </w:r>
      <w:r w:rsidR="001E27C3">
        <w:t xml:space="preserve"> In 2021, Vanzyl’s son worked remotely as a Segmed intern from the Tahoe home. </w:t>
      </w:r>
      <w:r w:rsidR="00B35BD0">
        <w:t xml:space="preserve"> In filings in the trial court, Vanzyl stated </w:t>
      </w:r>
      <w:r w:rsidRPr="00145911" w:rsidR="00B35BD0">
        <w:t>that his parents owned the Tahoe home</w:t>
      </w:r>
      <w:r w:rsidR="00CA0CAA">
        <w:t>.</w:t>
      </w:r>
      <w:r w:rsidRPr="00145911" w:rsidR="00A737B5">
        <w:rPr>
          <w:rFonts w:cstheme="majorHAnsi"/>
        </w:rPr>
        <w:t xml:space="preserve"> </w:t>
      </w:r>
    </w:p>
    <w:p w:rsidR="002253D2" w:rsidP="004D6840" w14:paraId="3AF95013" w14:textId="14DD3E57">
      <w:pPr>
        <w:ind w:firstLine="720"/>
      </w:pPr>
      <w:r>
        <w:rPr>
          <w:rFonts w:cstheme="majorHAnsi"/>
        </w:rPr>
        <w:t xml:space="preserve">After </w:t>
      </w:r>
      <w:r w:rsidRPr="0055261D" w:rsidR="00153743">
        <w:rPr>
          <w:rFonts w:cstheme="majorHAnsi"/>
        </w:rPr>
        <w:t>Hardell</w:t>
      </w:r>
      <w:r w:rsidRPr="0055261D" w:rsidR="009E00FC">
        <w:rPr>
          <w:rFonts w:cstheme="majorHAnsi"/>
        </w:rPr>
        <w:t xml:space="preserve"> moved to Colorado</w:t>
      </w:r>
      <w:r w:rsidR="009E00FC">
        <w:t xml:space="preserve"> in March</w:t>
      </w:r>
      <w:r w:rsidR="003037C8">
        <w:t> </w:t>
      </w:r>
      <w:r w:rsidR="009E00FC">
        <w:t>2020,</w:t>
      </w:r>
      <w:r w:rsidR="00153743">
        <w:t xml:space="preserve"> </w:t>
      </w:r>
      <w:r w:rsidR="00C7237C">
        <w:t>she</w:t>
      </w:r>
      <w:r w:rsidR="009E00FC">
        <w:t xml:space="preserve"> communicated with Segmed employees and directors in California</w:t>
      </w:r>
      <w:r w:rsidR="00C7237C">
        <w:t xml:space="preserve"> and at times worked from California</w:t>
      </w:r>
      <w:r w:rsidR="009E00FC">
        <w:t xml:space="preserve">.  </w:t>
      </w:r>
      <w:r w:rsidR="00904E93">
        <w:t>In January</w:t>
      </w:r>
      <w:r w:rsidR="003037C8">
        <w:t> </w:t>
      </w:r>
      <w:r w:rsidR="00904E93">
        <w:t xml:space="preserve">2022, Hardell and Vanzyl communicated </w:t>
      </w:r>
      <w:r w:rsidR="00854F5F">
        <w:t xml:space="preserve">by chat </w:t>
      </w:r>
      <w:r w:rsidR="00904E93">
        <w:t xml:space="preserve">about matters related to Segmed while both were in California.  </w:t>
      </w:r>
      <w:r>
        <w:t xml:space="preserve">At </w:t>
      </w:r>
      <w:r w:rsidR="00904E93">
        <w:t xml:space="preserve">a lunch </w:t>
      </w:r>
      <w:r w:rsidR="00AB2392">
        <w:t>in San Francisco</w:t>
      </w:r>
      <w:r w:rsidR="00904E93">
        <w:t xml:space="preserve"> the same month</w:t>
      </w:r>
      <w:r>
        <w:t>, Vanzyl told Hardell he was leaving San</w:t>
      </w:r>
      <w:r w:rsidR="00900194">
        <w:t> </w:t>
      </w:r>
      <w:r>
        <w:t xml:space="preserve">Francisco for Miami. </w:t>
      </w:r>
      <w:r w:rsidR="00F263E6">
        <w:t xml:space="preserve"> </w:t>
      </w:r>
    </w:p>
    <w:p w:rsidR="007E0B05" w:rsidP="00F3330A" w14:paraId="773F186A" w14:textId="276E9A1F">
      <w:pPr>
        <w:ind w:firstLine="720"/>
      </w:pPr>
      <w:r>
        <w:t>A p</w:t>
      </w:r>
      <w:r w:rsidR="00F3330A">
        <w:t xml:space="preserve">rivate investigator </w:t>
      </w:r>
      <w:r>
        <w:t xml:space="preserve">working for Hardell also submitted a </w:t>
      </w:r>
      <w:r w:rsidR="00F3330A">
        <w:t xml:space="preserve">declaration.  </w:t>
      </w:r>
      <w:r>
        <w:t>According to the declaration, Vanzyl owned and operated at least one California business, Target Velocit</w:t>
      </w:r>
      <w:r w:rsidR="00305709">
        <w:t>y</w:t>
      </w:r>
      <w:r>
        <w:t xml:space="preserve"> Companies LLC (Target Velocit</w:t>
      </w:r>
      <w:r w:rsidR="00305709">
        <w:t>y</w:t>
      </w:r>
      <w:r>
        <w:t>)</w:t>
      </w:r>
      <w:r w:rsidR="00187F42">
        <w:t>,</w:t>
      </w:r>
      <w:r w:rsidR="00BF0D5B">
        <w:t xml:space="preserve"> </w:t>
      </w:r>
      <w:r w:rsidR="00A67AA5">
        <w:t>in 2020 and 2021</w:t>
      </w:r>
      <w:r>
        <w:t xml:space="preserve">. </w:t>
      </w:r>
      <w:r w:rsidR="00471E38">
        <w:t xml:space="preserve"> </w:t>
      </w:r>
      <w:r w:rsidR="007A6736">
        <w:t>T</w:t>
      </w:r>
      <w:r>
        <w:t>he California Secretary of State’s business database</w:t>
      </w:r>
      <w:r w:rsidR="00BF0D5B">
        <w:t xml:space="preserve"> showed </w:t>
      </w:r>
      <w:r w:rsidR="00503F09">
        <w:t xml:space="preserve">in 2023 </w:t>
      </w:r>
      <w:r w:rsidR="00BF0D5B">
        <w:t>that</w:t>
      </w:r>
      <w:r>
        <w:t xml:space="preserve"> Vanzyl was </w:t>
      </w:r>
      <w:r w:rsidR="00EF459F">
        <w:t>Target Velocit</w:t>
      </w:r>
      <w:r w:rsidR="00293299">
        <w:t>y’s</w:t>
      </w:r>
      <w:r>
        <w:t xml:space="preserve"> agent for service of process, with a San Francisco address.  According to Blumberg’s discovery responses, </w:t>
      </w:r>
      <w:r w:rsidR="00D5021F">
        <w:t>Vanzyl</w:t>
      </w:r>
      <w:r>
        <w:t xml:space="preserve">’s </w:t>
      </w:r>
      <w:r w:rsidR="00D5021F">
        <w:t>contact email, which appeared active, had “@targetvelocity.com” as a domain name</w:t>
      </w:r>
      <w:r w:rsidR="004A3C90">
        <w:t xml:space="preserve"> and </w:t>
      </w:r>
      <w:r w:rsidR="00224A3C">
        <w:t xml:space="preserve">in 2023 </w:t>
      </w:r>
      <w:r w:rsidR="003C41D7">
        <w:t>Vanzyl</w:t>
      </w:r>
      <w:r w:rsidR="004A3C90">
        <w:t xml:space="preserve"> answered a </w:t>
      </w:r>
      <w:r w:rsidR="00224A3C">
        <w:t>tele</w:t>
      </w:r>
      <w:r w:rsidR="004A3C90">
        <w:t xml:space="preserve">phone call to a </w:t>
      </w:r>
      <w:r w:rsidR="00E5633A">
        <w:t>number</w:t>
      </w:r>
      <w:r w:rsidR="00A06F2F">
        <w:t xml:space="preserve"> with a San Francisco area code</w:t>
      </w:r>
      <w:r w:rsidR="00E5633A">
        <w:t xml:space="preserve"> attributed to Target Velocity</w:t>
      </w:r>
      <w:r w:rsidR="00D5021F">
        <w:t xml:space="preserve">.  </w:t>
      </w:r>
      <w:r w:rsidR="00EC5DA8">
        <w:t xml:space="preserve">In 2022 and 2023, </w:t>
      </w:r>
      <w:r>
        <w:t>Vanzyl also represented himself on LinkedIn and Twitter</w:t>
      </w:r>
      <w:r w:rsidR="00471E38">
        <w:t xml:space="preserve"> as a San Francisco-based</w:t>
      </w:r>
      <w:r>
        <w:t xml:space="preserve"> investor</w:t>
      </w:r>
      <w:r w:rsidR="00F3330A">
        <w:t>.</w:t>
      </w:r>
      <w:r>
        <w:t xml:space="preserve"> </w:t>
      </w:r>
      <w:r w:rsidR="00C32928">
        <w:t xml:space="preserve"> His </w:t>
      </w:r>
      <w:r w:rsidR="00184AE6">
        <w:t xml:space="preserve">LinkedIn </w:t>
      </w:r>
      <w:r w:rsidR="00C32928">
        <w:t>profile indicated that he had been working for Blumberg in San Francisco</w:t>
      </w:r>
      <w:r w:rsidR="00165237">
        <w:t xml:space="preserve"> since October 2020, had been working from the San Francisco Bay Area, in </w:t>
      </w:r>
      <w:r w:rsidR="00A71F24">
        <w:t>addition to Singapore and Thailand</w:t>
      </w:r>
      <w:r w:rsidR="00165237">
        <w:t xml:space="preserve">, since 2019, and had </w:t>
      </w:r>
      <w:r w:rsidR="00187F42">
        <w:t xml:space="preserve">previously </w:t>
      </w:r>
      <w:r w:rsidR="00165237">
        <w:t xml:space="preserve">worked for Blumberg in </w:t>
      </w:r>
      <w:r w:rsidR="00500FE6">
        <w:t xml:space="preserve">the </w:t>
      </w:r>
      <w:r w:rsidR="00165237">
        <w:t>San Francisco</w:t>
      </w:r>
      <w:r w:rsidR="00500FE6">
        <w:t xml:space="preserve"> Bay Area</w:t>
      </w:r>
      <w:r w:rsidR="00165237">
        <w:t xml:space="preserve"> from 2001 to 2011.</w:t>
      </w:r>
      <w:r w:rsidR="000D54B5">
        <w:t xml:space="preserve"> </w:t>
      </w:r>
    </w:p>
    <w:p w:rsidR="00F95B8E" w:rsidP="00F3330A" w14:paraId="533C1B8D" w14:textId="41C91CB3">
      <w:pPr>
        <w:ind w:firstLine="720"/>
      </w:pPr>
      <w:r>
        <w:t xml:space="preserve">In 2022, Vanzyl also owned two </w:t>
      </w:r>
      <w:r w:rsidR="00EF459F">
        <w:t xml:space="preserve">residential </w:t>
      </w:r>
      <w:r>
        <w:t>properties</w:t>
      </w:r>
      <w:r w:rsidR="00EF459F">
        <w:t xml:space="preserve"> in San Francisco</w:t>
      </w:r>
      <w:r>
        <w:t xml:space="preserve">.  Vanzyl sold </w:t>
      </w:r>
      <w:r w:rsidR="00EF459F">
        <w:t>his</w:t>
      </w:r>
      <w:r>
        <w:t xml:space="preserve"> Noe Valley property on or around February</w:t>
      </w:r>
      <w:r w:rsidR="009218FD">
        <w:t> </w:t>
      </w:r>
      <w:r>
        <w:t xml:space="preserve">15, 2022.  </w:t>
      </w:r>
      <w:r w:rsidR="00807029">
        <w:t>Vanzyl co-owned his</w:t>
      </w:r>
      <w:r>
        <w:t xml:space="preserve"> Potrero Hill property </w:t>
      </w:r>
      <w:r w:rsidR="00807029">
        <w:t>with</w:t>
      </w:r>
      <w:r>
        <w:t xml:space="preserve"> Target Velocit</w:t>
      </w:r>
      <w:r w:rsidR="00293299">
        <w:t>y</w:t>
      </w:r>
      <w:r>
        <w:t xml:space="preserve">, </w:t>
      </w:r>
      <w:r w:rsidR="00B91E83">
        <w:t>but</w:t>
      </w:r>
      <w:r>
        <w:t xml:space="preserve"> sold</w:t>
      </w:r>
      <w:r w:rsidR="00807029">
        <w:t xml:space="preserve"> the property</w:t>
      </w:r>
      <w:r>
        <w:t xml:space="preserve"> on July</w:t>
      </w:r>
      <w:r w:rsidR="009218FD">
        <w:t> </w:t>
      </w:r>
      <w:r>
        <w:t xml:space="preserve">30, 2022. </w:t>
      </w:r>
      <w:r w:rsidR="00BF0D5B">
        <w:t xml:space="preserve"> </w:t>
      </w:r>
      <w:r w:rsidR="00DB4C1D">
        <w:t>Vanzyl purchased the Miami home</w:t>
      </w:r>
      <w:r w:rsidR="00F66417">
        <w:t xml:space="preserve"> through a company; the</w:t>
      </w:r>
      <w:r w:rsidR="00BF0D5B">
        <w:t xml:space="preserve"> mailing address for </w:t>
      </w:r>
      <w:r w:rsidR="00467616">
        <w:t xml:space="preserve">the company </w:t>
      </w:r>
      <w:r w:rsidR="00BF0D5B">
        <w:t xml:space="preserve">was the address of the Tahoe </w:t>
      </w:r>
      <w:r w:rsidR="00B91E83">
        <w:t>hom</w:t>
      </w:r>
      <w:r w:rsidR="00BF0D5B">
        <w:t>e</w:t>
      </w:r>
      <w:r w:rsidR="00F66417">
        <w:t>.</w:t>
      </w:r>
      <w:r w:rsidR="00BF0D5B">
        <w:t xml:space="preserve"> </w:t>
      </w:r>
      <w:r w:rsidR="00F66417">
        <w:t xml:space="preserve"> M</w:t>
      </w:r>
      <w:r w:rsidR="00BF0D5B">
        <w:t>ail sent to Vanzyl at the Miam</w:t>
      </w:r>
      <w:r w:rsidR="006964EB">
        <w:t>i</w:t>
      </w:r>
      <w:r w:rsidR="00BF0D5B">
        <w:t xml:space="preserve"> address was returned with the Tahoe </w:t>
      </w:r>
      <w:r w:rsidR="00B91E83">
        <w:t>hom</w:t>
      </w:r>
      <w:r w:rsidR="00BF0D5B">
        <w:t xml:space="preserve">e listed as the forwarding address. </w:t>
      </w:r>
      <w:r w:rsidR="00212247">
        <w:t xml:space="preserve"> </w:t>
      </w:r>
      <w:r w:rsidR="00686F7B">
        <w:t>As of</w:t>
      </w:r>
      <w:r w:rsidR="00212247">
        <w:t xml:space="preserve"> December 2022, Vanzyl was renting</w:t>
      </w:r>
      <w:r w:rsidR="009B5E33">
        <w:t xml:space="preserve"> out</w:t>
      </w:r>
      <w:r w:rsidR="00212247">
        <w:t xml:space="preserve"> </w:t>
      </w:r>
      <w:r w:rsidR="00B35A53">
        <w:t xml:space="preserve">the Miami home through Airbnb. </w:t>
      </w:r>
    </w:p>
    <w:p w:rsidR="00C54901" w:rsidP="00F3330A" w14:paraId="70931635" w14:textId="60DDAC61">
      <w:pPr>
        <w:ind w:firstLine="720"/>
      </w:pPr>
      <w:r>
        <w:t xml:space="preserve">After considering the parties’ submissions </w:t>
      </w:r>
      <w:r w:rsidR="00144D98">
        <w:t>on</w:t>
      </w:r>
      <w:r>
        <w:t xml:space="preserve"> the motion to quash, the trial court </w:t>
      </w:r>
      <w:r w:rsidR="00073416">
        <w:t>foun</w:t>
      </w:r>
      <w:r>
        <w:t xml:space="preserve">d that </w:t>
      </w:r>
      <w:r w:rsidR="0008111A">
        <w:t xml:space="preserve">Hardell had </w:t>
      </w:r>
      <w:r w:rsidR="00073416">
        <w:t>not</w:t>
      </w:r>
      <w:r w:rsidR="0008111A">
        <w:t xml:space="preserve"> </w:t>
      </w:r>
      <w:r w:rsidR="00ED4C55">
        <w:t>prove</w:t>
      </w:r>
      <w:r w:rsidR="00073416">
        <w:t>n</w:t>
      </w:r>
      <w:r w:rsidR="00ED4C55">
        <w:t xml:space="preserve"> that </w:t>
      </w:r>
      <w:r w:rsidR="00073416">
        <w:t>it</w:t>
      </w:r>
      <w:r w:rsidR="00ED4C55">
        <w:t xml:space="preserve"> could exercise either specific or general jurisdiction over Vanzyl</w:t>
      </w:r>
      <w:r w:rsidR="001D42E7">
        <w:t>, stating as to the latter that Vanzyl was not domiciled in California as of March 2022</w:t>
      </w:r>
      <w:r w:rsidR="00ED4C55">
        <w:t xml:space="preserve">. </w:t>
      </w:r>
      <w:r w:rsidR="003153D4">
        <w:t xml:space="preserve"> The court also declined to grant Hardell’s request for jurisdictional discovery, because </w:t>
      </w:r>
      <w:r w:rsidR="00F06883">
        <w:t xml:space="preserve">although Hardell had employed </w:t>
      </w:r>
      <w:r w:rsidR="00C47FC1">
        <w:t>private investigators</w:t>
      </w:r>
      <w:r w:rsidR="00F06883">
        <w:t xml:space="preserve"> and “had the means to gather evidence to satisfy [her] burden,”</w:t>
      </w:r>
      <w:r w:rsidR="00D9430B">
        <w:t xml:space="preserve"> she could not do so.</w:t>
      </w:r>
      <w:r w:rsidR="00F06883">
        <w:t xml:space="preserve"> </w:t>
      </w:r>
      <w:r w:rsidR="00417B46">
        <w:t xml:space="preserve">  </w:t>
      </w:r>
    </w:p>
    <w:p w:rsidR="00624B2F" w:rsidRPr="00624B2F" w:rsidP="00624B2F" w14:paraId="7DBCB9A8" w14:textId="453AB815">
      <w:pPr>
        <w:pStyle w:val="Heading1"/>
        <w:tabs>
          <w:tab w:val="left" w:pos="3870"/>
          <w:tab w:val="left" w:pos="3960"/>
        </w:tabs>
      </w:pPr>
      <w:r>
        <w:t>DISCUSSION</w:t>
      </w:r>
    </w:p>
    <w:p w:rsidR="00BD74A9" w:rsidP="00F37C31" w14:paraId="3A5F646B" w14:textId="5BFD238E">
      <w:pPr>
        <w:pStyle w:val="Heading2"/>
        <w:numPr>
          <w:ilvl w:val="0"/>
          <w:numId w:val="14"/>
        </w:numPr>
        <w:spacing w:before="0" w:after="0" w:line="360" w:lineRule="auto"/>
        <w:ind w:right="0" w:hanging="180"/>
      </w:pPr>
      <w:r>
        <w:t>Standard of Review</w:t>
      </w:r>
    </w:p>
    <w:p w:rsidR="00624B2F" w:rsidP="00DA507E" w14:paraId="24430DB3" w14:textId="64E4EBF4">
      <w:pPr>
        <w:ind w:firstLine="720"/>
      </w:pPr>
      <w:r>
        <w:t>“When a nonresident defendant challenges personal jurisdiction, the plaintiff bears the burden of proof by a preponderance of the evidence to demonstrate the defendant has sufficient minimum contacts with the forum state to justify jurisdiction.”  (</w:t>
      </w:r>
      <w:r w:rsidRPr="00466B3C" w:rsidR="005111BF">
        <w:rPr>
          <w:i/>
          <w:iCs/>
        </w:rPr>
        <w:t>Thom</w:t>
      </w:r>
      <w:r w:rsidR="005111BF">
        <w:rPr>
          <w:i/>
          <w:iCs/>
        </w:rPr>
        <w:t>son</w:t>
      </w:r>
      <w:r w:rsidRPr="00466B3C" w:rsidR="005111BF">
        <w:rPr>
          <w:i/>
          <w:iCs/>
        </w:rPr>
        <w:t xml:space="preserve"> v. Anderson</w:t>
      </w:r>
      <w:r w:rsidR="005111BF">
        <w:t xml:space="preserve"> (2003) </w:t>
      </w:r>
      <w:r w:rsidRPr="00A16AEC" w:rsidR="005111BF">
        <w:t>113</w:t>
      </w:r>
      <w:r w:rsidR="009218FD">
        <w:t> </w:t>
      </w:r>
      <w:r w:rsidRPr="00A16AEC" w:rsidR="005111BF">
        <w:t>Cal.App.4th 258, 266</w:t>
      </w:r>
      <w:r w:rsidR="005111BF">
        <w:t xml:space="preserve"> (</w:t>
      </w:r>
      <w:r w:rsidR="005111BF">
        <w:rPr>
          <w:i/>
          <w:iCs/>
        </w:rPr>
        <w:t>Thomson</w:t>
      </w:r>
      <w:r w:rsidR="005111BF">
        <w:t>)</w:t>
      </w:r>
      <w:r>
        <w:t>.)  California’s long-arm statute, Code of Civil Procedure section</w:t>
      </w:r>
      <w:r w:rsidR="009218FD">
        <w:t> </w:t>
      </w:r>
      <w:r>
        <w:t>410.10, makes California courts’ authority to exercise jurisdiction over a defendant coextensive with federal and state constitutional limitations.  (</w:t>
      </w:r>
      <w:r w:rsidRPr="0018514F">
        <w:rPr>
          <w:i/>
          <w:iCs/>
        </w:rPr>
        <w:t>Vons Companies, Inc. v. Seabest Foods, Inc.</w:t>
      </w:r>
      <w:r>
        <w:t xml:space="preserve"> (1996) 14</w:t>
      </w:r>
      <w:r w:rsidR="009218FD">
        <w:t> </w:t>
      </w:r>
      <w:r>
        <w:t>Cal.4th 434, 444</w:t>
      </w:r>
      <w:r w:rsidR="0025101D">
        <w:t xml:space="preserve">, overruled on other grounds by </w:t>
      </w:r>
      <w:r w:rsidRPr="001831F2" w:rsidR="0025101D">
        <w:rPr>
          <w:i/>
          <w:iCs/>
        </w:rPr>
        <w:t>Bristol-Myers Squibb Co. v. Superior Court</w:t>
      </w:r>
      <w:r w:rsidR="0025101D">
        <w:t xml:space="preserve"> (2017) 582</w:t>
      </w:r>
      <w:r w:rsidR="009218FD">
        <w:t> </w:t>
      </w:r>
      <w:r w:rsidR="0025101D">
        <w:t>U.S. 255, 264 (</w:t>
      </w:r>
      <w:r w:rsidRPr="001831F2" w:rsidR="0025101D">
        <w:rPr>
          <w:i/>
          <w:iCs/>
        </w:rPr>
        <w:t>Bristol-Myers Squibb</w:t>
      </w:r>
      <w:r w:rsidR="0025101D">
        <w:t>)</w:t>
      </w:r>
      <w:r>
        <w:t>.)</w:t>
      </w:r>
    </w:p>
    <w:p w:rsidR="00DA507E" w:rsidP="00DA507E" w14:paraId="0B965A55" w14:textId="03240111">
      <w:pPr>
        <w:ind w:firstLine="720"/>
      </w:pPr>
      <w:r>
        <w:t>This court reviews for substantial evidence disputed facts underlying an order granting a motion to quash for lack of jurisdiction.  (</w:t>
      </w:r>
      <w:r w:rsidRPr="00466B3C">
        <w:rPr>
          <w:i/>
          <w:iCs/>
        </w:rPr>
        <w:t>Thom</w:t>
      </w:r>
      <w:r w:rsidR="0023535E">
        <w:rPr>
          <w:i/>
          <w:iCs/>
        </w:rPr>
        <w:t>son</w:t>
      </w:r>
      <w:r w:rsidR="005111BF">
        <w:t>,</w:t>
      </w:r>
      <w:r w:rsidR="005111BF">
        <w:rPr>
          <w:i/>
          <w:iCs/>
        </w:rPr>
        <w:t xml:space="preserve"> supra</w:t>
      </w:r>
      <w:r w:rsidR="005111BF">
        <w:t>,</w:t>
      </w:r>
      <w:r w:rsidR="005111BF">
        <w:rPr>
          <w:i/>
          <w:iCs/>
        </w:rPr>
        <w:t xml:space="preserve"> </w:t>
      </w:r>
      <w:r w:rsidRPr="00A16AEC">
        <w:t>113</w:t>
      </w:r>
      <w:r w:rsidR="009218FD">
        <w:t> </w:t>
      </w:r>
      <w:r w:rsidRPr="00A16AEC">
        <w:t xml:space="preserve">Cal.App.4th </w:t>
      </w:r>
      <w:r w:rsidR="005111BF">
        <w:t>at pp.</w:t>
      </w:r>
      <w:r w:rsidR="009218FD">
        <w:t> </w:t>
      </w:r>
      <w:r w:rsidRPr="00A16AEC" w:rsidR="00A16AEC">
        <w:t>266–</w:t>
      </w:r>
      <w:r w:rsidRPr="00A16AEC">
        <w:t>267</w:t>
      </w:r>
      <w:r>
        <w:t xml:space="preserve">.)  </w:t>
      </w:r>
      <w:r w:rsidR="00181B00">
        <w:t>W</w:t>
      </w:r>
      <w:r>
        <w:t>e review de novo the overarching question whether</w:t>
      </w:r>
      <w:r w:rsidR="005D4DEC">
        <w:t xml:space="preserve"> </w:t>
      </w:r>
      <w:r w:rsidR="00257ABC">
        <w:t>the exercise of jurisdiction over defendant “is fair and reasonable”</w:t>
      </w:r>
      <w:r w:rsidR="005D4DEC">
        <w:t xml:space="preserve"> based on those facts.</w:t>
      </w:r>
      <w:r>
        <w:t xml:space="preserve">  (</w:t>
      </w:r>
      <w:r w:rsidRPr="00664247" w:rsidR="00DD5CE4">
        <w:rPr>
          <w:i/>
          <w:iCs/>
        </w:rPr>
        <w:t>Aquila</w:t>
      </w:r>
      <w:r w:rsidR="00664247">
        <w:rPr>
          <w:i/>
          <w:iCs/>
        </w:rPr>
        <w:t>, Inc.</w:t>
      </w:r>
      <w:r w:rsidRPr="00664247" w:rsidR="00DD5CE4">
        <w:rPr>
          <w:i/>
          <w:iCs/>
        </w:rPr>
        <w:t xml:space="preserve"> v. Superior Court</w:t>
      </w:r>
      <w:r w:rsidR="00DD5CE4">
        <w:t xml:space="preserve"> (2007) </w:t>
      </w:r>
      <w:r w:rsidR="00664247">
        <w:t>148</w:t>
      </w:r>
      <w:r w:rsidR="007D6E09">
        <w:t> </w:t>
      </w:r>
      <w:r w:rsidR="00664247">
        <w:t xml:space="preserve">Cal.App.4th </w:t>
      </w:r>
      <w:r w:rsidR="00E56500">
        <w:t>556, 568</w:t>
      </w:r>
      <w:r w:rsidR="00DD5CE4">
        <w:t xml:space="preserve">; </w:t>
      </w:r>
      <w:r w:rsidR="00904A6C">
        <w:rPr>
          <w:i/>
          <w:iCs/>
        </w:rPr>
        <w:t>SK Trading Internat</w:t>
      </w:r>
      <w:r w:rsidR="006B2CEC">
        <w:rPr>
          <w:i/>
          <w:iCs/>
        </w:rPr>
        <w:t>.</w:t>
      </w:r>
      <w:r w:rsidR="00904A6C">
        <w:rPr>
          <w:i/>
          <w:iCs/>
        </w:rPr>
        <w:t xml:space="preserve"> Co. Ltd. v. </w:t>
      </w:r>
      <w:r w:rsidR="001A4CBA">
        <w:rPr>
          <w:i/>
          <w:iCs/>
        </w:rPr>
        <w:t>Superior Court</w:t>
      </w:r>
      <w:r w:rsidR="001A4CBA">
        <w:t xml:space="preserve"> (2022) 77</w:t>
      </w:r>
      <w:r w:rsidR="00FE72E0">
        <w:t> </w:t>
      </w:r>
      <w:r w:rsidR="001A4CBA">
        <w:t xml:space="preserve">Cal.App.5th 378, </w:t>
      </w:r>
      <w:r w:rsidR="00EC61AA">
        <w:t>387</w:t>
      </w:r>
      <w:r w:rsidR="00362768">
        <w:t>, 392</w:t>
      </w:r>
      <w:r w:rsidR="00EC61AA">
        <w:t xml:space="preserve"> (</w:t>
      </w:r>
      <w:r w:rsidRPr="00EC61AA" w:rsidR="00EC61AA">
        <w:rPr>
          <w:i/>
          <w:iCs/>
        </w:rPr>
        <w:t>SK Trading</w:t>
      </w:r>
      <w:r w:rsidR="002036A7">
        <w:rPr>
          <w:i/>
          <w:iCs/>
        </w:rPr>
        <w:t>)</w:t>
      </w:r>
      <w:r w:rsidR="004F6304">
        <w:t>.</w:t>
      </w:r>
      <w:r>
        <w:t>)</w:t>
      </w:r>
      <w:r w:rsidR="00813786">
        <w:t xml:space="preserve">  We review for abuse of discretion the denial of Hardell’s request for jurisdictional discovery.  (</w:t>
      </w:r>
      <w:r w:rsidR="00813786">
        <w:rPr>
          <w:i/>
          <w:iCs/>
        </w:rPr>
        <w:t>Goehring v. Superior Court</w:t>
      </w:r>
      <w:r w:rsidR="00813786">
        <w:t xml:space="preserve"> (1998) 62</w:t>
      </w:r>
      <w:r w:rsidR="001A08C9">
        <w:t> </w:t>
      </w:r>
      <w:r w:rsidR="00813786">
        <w:t>Cal.App.</w:t>
      </w:r>
      <w:r w:rsidRPr="00304549" w:rsidR="00813786">
        <w:t>4th 894, 911.)</w:t>
      </w:r>
    </w:p>
    <w:p w:rsidR="00C913C8" w:rsidP="00C913C8" w14:paraId="284D80DC" w14:textId="109716A8">
      <w:pPr>
        <w:pStyle w:val="Heading2"/>
        <w:numPr>
          <w:ilvl w:val="0"/>
          <w:numId w:val="14"/>
        </w:numPr>
        <w:spacing w:before="0" w:after="0" w:line="360" w:lineRule="auto"/>
        <w:ind w:left="720" w:right="0" w:hanging="450"/>
      </w:pPr>
      <w:r>
        <w:t>Potential Mootness of Motion to Quash</w:t>
      </w:r>
    </w:p>
    <w:p w:rsidR="00764D13" w:rsidP="00264DA1" w14:paraId="5DE51CBA" w14:textId="3AF33C7F">
      <w:pPr>
        <w:ind w:firstLine="720"/>
      </w:pPr>
      <w:r>
        <w:t xml:space="preserve">Hardell filed a second amended complaint while the motion to quash was pending.  No party has </w:t>
      </w:r>
      <w:r w:rsidR="00552220">
        <w:t>contended</w:t>
      </w:r>
      <w:r>
        <w:t xml:space="preserve"> that the filing of the second amended complaint mooted the motion to quash, </w:t>
      </w:r>
      <w:r w:rsidR="00EC5055">
        <w:t>but we may consider</w:t>
      </w:r>
      <w:r w:rsidR="00A22E36">
        <w:t xml:space="preserve"> the possibility of</w:t>
      </w:r>
      <w:r w:rsidR="00EC5055">
        <w:t xml:space="preserve"> mootness on our own motion.  (</w:t>
      </w:r>
      <w:r w:rsidRPr="006C1223" w:rsidR="00EC5055">
        <w:rPr>
          <w:i/>
          <w:iCs/>
        </w:rPr>
        <w:t>City of Hollister v. Monterey Ins. Co.</w:t>
      </w:r>
      <w:r w:rsidR="00EC5055">
        <w:t xml:space="preserve"> (2008) 165</w:t>
      </w:r>
      <w:r w:rsidR="007D6E09">
        <w:t> </w:t>
      </w:r>
      <w:r w:rsidR="00EC5055">
        <w:t>Cal.App.4th 455, 479</w:t>
      </w:r>
      <w:r w:rsidR="006C1223">
        <w:t xml:space="preserve">.)  </w:t>
      </w:r>
      <w:r w:rsidR="00803031">
        <w:t>“B</w:t>
      </w:r>
      <w:r w:rsidR="006456AC">
        <w:t>ecause there is but one complaint in a civil action [citation], the filing of an amended complaint moots a motion directed to a prior complaint.”  (</w:t>
      </w:r>
      <w:r w:rsidRPr="006456AC" w:rsidR="006456AC">
        <w:rPr>
          <w:i/>
          <w:iCs/>
        </w:rPr>
        <w:t>State Compensation Ins. Fund v. Superior Court</w:t>
      </w:r>
      <w:r w:rsidR="006456AC">
        <w:t xml:space="preserve"> (2010) 184</w:t>
      </w:r>
      <w:r w:rsidR="00710D1A">
        <w:t> </w:t>
      </w:r>
      <w:r w:rsidR="006456AC">
        <w:t>Cal.App.4th 1124, 1131</w:t>
      </w:r>
      <w:r w:rsidR="00FE76CA">
        <w:t xml:space="preserve">.)  </w:t>
      </w:r>
      <w:r w:rsidR="0047581A">
        <w:t>A</w:t>
      </w:r>
      <w:r w:rsidR="003B290C">
        <w:t xml:space="preserve">t least one </w:t>
      </w:r>
      <w:r w:rsidR="00FD3AAB">
        <w:t>c</w:t>
      </w:r>
      <w:r w:rsidR="009A5FD1">
        <w:t>ourt</w:t>
      </w:r>
      <w:r w:rsidR="003B290C">
        <w:t xml:space="preserve"> has suggested in dicta </w:t>
      </w:r>
      <w:r w:rsidR="00554B1D">
        <w:t xml:space="preserve">that </w:t>
      </w:r>
      <w:r w:rsidR="001F76F5">
        <w:t>a motion to quash is encompassed by this rule</w:t>
      </w:r>
      <w:r w:rsidR="0047581A">
        <w:t xml:space="preserve">. </w:t>
      </w:r>
      <w:r w:rsidR="00A92DF5">
        <w:t xml:space="preserve"> </w:t>
      </w:r>
      <w:r w:rsidR="00264DA1">
        <w:t>(</w:t>
      </w:r>
      <w:r w:rsidR="0047581A">
        <w:t>S</w:t>
      </w:r>
      <w:r w:rsidR="00264DA1">
        <w:t xml:space="preserve">ee </w:t>
      </w:r>
      <w:r w:rsidRPr="00264DA1" w:rsidR="00264DA1">
        <w:rPr>
          <w:i/>
          <w:iCs/>
        </w:rPr>
        <w:t>Naylor v. Superior Court</w:t>
      </w:r>
      <w:r w:rsidR="00264DA1">
        <w:t xml:space="preserve"> (2015) 236</w:t>
      </w:r>
      <w:r w:rsidR="00B96766">
        <w:t> </w:t>
      </w:r>
      <w:r w:rsidR="00264DA1">
        <w:t>Cal.App.4th Supp. 1, 4</w:t>
      </w:r>
      <w:r w:rsidR="007A3A93">
        <w:t>.</w:t>
      </w:r>
      <w:r w:rsidR="00503215">
        <w:t>)</w:t>
      </w:r>
      <w:r w:rsidR="007A3A93">
        <w:t xml:space="preserve">  However</w:t>
      </w:r>
      <w:r w:rsidR="00503215">
        <w:t xml:space="preserve">, </w:t>
      </w:r>
      <w:r w:rsidR="002E150C">
        <w:t>a motion to quash</w:t>
      </w:r>
      <w:r w:rsidR="000E0401">
        <w:t xml:space="preserve"> is directed to the summons, and</w:t>
      </w:r>
      <w:r>
        <w:t xml:space="preserve"> </w:t>
      </w:r>
      <w:r w:rsidR="000E0401">
        <w:t>t</w:t>
      </w:r>
      <w:r>
        <w:t xml:space="preserve">he filing of an amended </w:t>
      </w:r>
      <w:r w:rsidR="008A1470">
        <w:t>complaint</w:t>
      </w:r>
      <w:r>
        <w:t xml:space="preserve"> does not require the issuance of a new summons when the parties remain the same</w:t>
      </w:r>
      <w:r w:rsidR="007D0BB4">
        <w:t xml:space="preserve">. </w:t>
      </w:r>
      <w:r>
        <w:t xml:space="preserve"> (</w:t>
      </w:r>
      <w:r w:rsidRPr="00F7529B">
        <w:rPr>
          <w:i/>
          <w:iCs/>
        </w:rPr>
        <w:t>Gillette v. Burbank Community Hosp.</w:t>
      </w:r>
      <w:r w:rsidRPr="00F7529B">
        <w:t xml:space="preserve"> (1976) 56</w:t>
      </w:r>
      <w:r w:rsidR="00B96766">
        <w:t> </w:t>
      </w:r>
      <w:r w:rsidRPr="00F7529B">
        <w:t>Cal.App.3d 430, 433</w:t>
      </w:r>
      <w:r w:rsidR="007D0BB4">
        <w:t>.</w:t>
      </w:r>
      <w:r>
        <w:t>)</w:t>
      </w:r>
      <w:r w:rsidR="00AE76B4">
        <w:t xml:space="preserve">  </w:t>
      </w:r>
      <w:r w:rsidR="005C2D19">
        <w:t>Accordingly</w:t>
      </w:r>
      <w:r w:rsidR="00F47D8F">
        <w:t xml:space="preserve">, the filing of an amended complaint </w:t>
      </w:r>
      <w:r w:rsidR="00E25E34">
        <w:t xml:space="preserve">does not </w:t>
      </w:r>
      <w:r w:rsidRPr="009A5FD1" w:rsidR="00482E9E">
        <w:rPr>
          <w:i/>
          <w:iCs/>
        </w:rPr>
        <w:t>necessarily</w:t>
      </w:r>
      <w:r w:rsidR="00482E9E">
        <w:rPr>
          <w:i/>
          <w:iCs/>
        </w:rPr>
        <w:t xml:space="preserve"> </w:t>
      </w:r>
      <w:r w:rsidR="00482E9E">
        <w:t xml:space="preserve">moot a motion to quash service of summons </w:t>
      </w:r>
      <w:r w:rsidR="00D60428">
        <w:t>whe</w:t>
      </w:r>
      <w:r w:rsidR="00C5176A">
        <w:t>n</w:t>
      </w:r>
      <w:r w:rsidR="00D60428">
        <w:t xml:space="preserve"> no</w:t>
      </w:r>
      <w:r w:rsidR="00570923">
        <w:t xml:space="preserve"> new summons</w:t>
      </w:r>
      <w:r w:rsidR="00D60428">
        <w:t xml:space="preserve"> is required</w:t>
      </w:r>
      <w:r w:rsidR="00743047">
        <w:t>.</w:t>
      </w:r>
    </w:p>
    <w:p w:rsidR="00C913C8" w:rsidRPr="00813786" w:rsidP="00852484" w14:paraId="1F26A325" w14:textId="0C47268E">
      <w:pPr>
        <w:ind w:firstLine="720"/>
      </w:pPr>
      <w:r>
        <w:t>We recognize, however, that t</w:t>
      </w:r>
      <w:r w:rsidR="00C5176A">
        <w:t>here may be</w:t>
      </w:r>
      <w:r w:rsidR="007317C5">
        <w:t xml:space="preserve"> circumstances </w:t>
      </w:r>
      <w:r w:rsidR="00C5176A">
        <w:t>in</w:t>
      </w:r>
      <w:r w:rsidR="007317C5">
        <w:t xml:space="preserve"> which </w:t>
      </w:r>
      <w:r w:rsidR="00764D13">
        <w:t>the filing of an amended complaint would moot a pending motion to quash.  For example</w:t>
      </w:r>
      <w:r w:rsidR="00090A8E">
        <w:t xml:space="preserve">, </w:t>
      </w:r>
      <w:r w:rsidR="007923AD">
        <w:t xml:space="preserve">because </w:t>
      </w:r>
      <w:r w:rsidR="001F4B3F">
        <w:t xml:space="preserve">the existence </w:t>
      </w:r>
      <w:r w:rsidR="00F30E16">
        <w:t xml:space="preserve">of </w:t>
      </w:r>
      <w:r w:rsidR="007923AD">
        <w:t xml:space="preserve">specific jurisdiction </w:t>
      </w:r>
      <w:r w:rsidR="00252AE3">
        <w:t>is tied to</w:t>
      </w:r>
      <w:r w:rsidR="00B65A83">
        <w:t xml:space="preserve"> the </w:t>
      </w:r>
      <w:r w:rsidR="00E25E34">
        <w:t>claims asserted</w:t>
      </w:r>
      <w:r w:rsidR="00B65A83">
        <w:t>,</w:t>
      </w:r>
      <w:r w:rsidR="006D38C5">
        <w:t xml:space="preserve"> </w:t>
      </w:r>
      <w:r w:rsidR="006247D4">
        <w:t xml:space="preserve">if the amended pleading </w:t>
      </w:r>
      <w:r w:rsidR="008A0D8C">
        <w:t>advanced</w:t>
      </w:r>
      <w:r w:rsidR="00E25E34">
        <w:t xml:space="preserve"> different claims or </w:t>
      </w:r>
      <w:r w:rsidR="006247D4">
        <w:t xml:space="preserve">identified </w:t>
      </w:r>
      <w:r w:rsidR="008A0D8C">
        <w:t xml:space="preserve">additional </w:t>
      </w:r>
      <w:r w:rsidR="00E25E34">
        <w:t>underlying facts</w:t>
      </w:r>
      <w:r w:rsidR="006247D4">
        <w:t xml:space="preserve">, </w:t>
      </w:r>
      <w:r w:rsidR="00333B7D">
        <w:t>it</w:t>
      </w:r>
      <w:r w:rsidR="00E953CA">
        <w:t xml:space="preserve"> could </w:t>
      </w:r>
      <w:r w:rsidR="00B968A0">
        <w:t>moot</w:t>
      </w:r>
      <w:r w:rsidR="00E953CA">
        <w:t xml:space="preserve"> </w:t>
      </w:r>
      <w:r w:rsidR="006470A5">
        <w:t>a jurisdictional</w:t>
      </w:r>
      <w:r w:rsidR="00E953CA">
        <w:t xml:space="preserve"> </w:t>
      </w:r>
      <w:r w:rsidR="00813690">
        <w:t xml:space="preserve">analysis </w:t>
      </w:r>
      <w:r w:rsidR="006470A5">
        <w:t xml:space="preserve">based on </w:t>
      </w:r>
      <w:r w:rsidR="00FE63CF">
        <w:t xml:space="preserve">the allegations of </w:t>
      </w:r>
      <w:r w:rsidR="006470A5">
        <w:t>the prior pleading</w:t>
      </w:r>
      <w:r w:rsidR="00A91CE8">
        <w:t>.</w:t>
      </w:r>
      <w:r w:rsidR="00852484">
        <w:t xml:space="preserve">  (See </w:t>
      </w:r>
      <w:r w:rsidRPr="0008117D" w:rsidR="00852484">
        <w:rPr>
          <w:i/>
          <w:iCs/>
        </w:rPr>
        <w:t>Mihlon v. Superior Court</w:t>
      </w:r>
      <w:r w:rsidR="00852484">
        <w:t xml:space="preserve"> (1985) 169</w:t>
      </w:r>
      <w:r w:rsidR="00B96766">
        <w:t> </w:t>
      </w:r>
      <w:r w:rsidR="00852484">
        <w:t>Cal.App.3d 703, 710 [</w:t>
      </w:r>
      <w:r w:rsidR="00D752B8">
        <w:t>the pleading “</w:t>
      </w:r>
      <w:r w:rsidRPr="00D752B8" w:rsidR="00D752B8">
        <w:t>defines the cause of action, the nature of which has some bearing upon the decision whether it is fair and reasonable to require the nonresident parties to appear and defend in this state</w:t>
      </w:r>
      <w:r w:rsidR="00D752B8">
        <w:t>”</w:t>
      </w:r>
      <w:r w:rsidR="00852484">
        <w:t>]</w:t>
      </w:r>
      <w:r w:rsidR="00D752B8">
        <w:t>.)</w:t>
      </w:r>
      <w:r w:rsidR="00AF5729">
        <w:t xml:space="preserve">  Here, however, </w:t>
      </w:r>
      <w:r w:rsidR="001F25B1">
        <w:t>the parties do not contend</w:t>
      </w:r>
      <w:r w:rsidR="00E56F74">
        <w:t xml:space="preserve"> that there are differences between the allegations of the first and second amended complaints that would affect any aspect of the jurisdictional analysis</w:t>
      </w:r>
      <w:r w:rsidR="00D21181">
        <w:t xml:space="preserve">, and </w:t>
      </w:r>
      <w:r w:rsidR="0019292A">
        <w:t xml:space="preserve">we do not discern any </w:t>
      </w:r>
      <w:r w:rsidR="00B6291B">
        <w:t>material</w:t>
      </w:r>
      <w:r w:rsidR="0019292A">
        <w:t xml:space="preserve"> differences in </w:t>
      </w:r>
      <w:r w:rsidR="00D21181">
        <w:t xml:space="preserve">our </w:t>
      </w:r>
      <w:r w:rsidR="0019292A">
        <w:t xml:space="preserve">own </w:t>
      </w:r>
      <w:r w:rsidR="00D21181">
        <w:t xml:space="preserve">review of the two </w:t>
      </w:r>
      <w:r w:rsidR="00DC67B6">
        <w:t>pleadings</w:t>
      </w:r>
      <w:r w:rsidR="00E56F74">
        <w:t>.</w:t>
      </w:r>
      <w:r w:rsidR="002F6558">
        <w:t xml:space="preserve">  </w:t>
      </w:r>
      <w:r w:rsidR="0058210A">
        <w:t>We therefore</w:t>
      </w:r>
      <w:r w:rsidR="002F6558">
        <w:t xml:space="preserve"> turn to the merits of the parties’ arguments.</w:t>
      </w:r>
    </w:p>
    <w:p w:rsidR="00BD74A9" w:rsidP="00E24F26" w14:paraId="613450F3" w14:textId="769B497C">
      <w:pPr>
        <w:pStyle w:val="Heading2"/>
        <w:numPr>
          <w:ilvl w:val="0"/>
          <w:numId w:val="14"/>
        </w:numPr>
        <w:spacing w:before="0" w:after="0" w:line="360" w:lineRule="auto"/>
        <w:ind w:left="720" w:right="0" w:hanging="288"/>
      </w:pPr>
      <w:r>
        <w:t xml:space="preserve">Specific </w:t>
      </w:r>
      <w:r w:rsidR="00417B5D">
        <w:t>J</w:t>
      </w:r>
      <w:r>
        <w:t>urisdiction</w:t>
      </w:r>
    </w:p>
    <w:p w:rsidR="00DA507E" w:rsidRPr="002A71AB" w:rsidP="00BD792E" w14:paraId="6F0514E6" w14:textId="20314C7A">
      <w:pPr>
        <w:ind w:firstLine="720"/>
      </w:pPr>
      <w:r>
        <w:t xml:space="preserve">Hardell argues </w:t>
      </w:r>
      <w:r w:rsidR="00283986">
        <w:t xml:space="preserve">that </w:t>
      </w:r>
      <w:r>
        <w:t xml:space="preserve">the trial court should have found Vanzyl’s conduct in California gave rise to specific jurisdiction </w:t>
      </w:r>
      <w:r w:rsidR="00283986">
        <w:t>here</w:t>
      </w:r>
      <w:r>
        <w:t>, even though the assault and battery occurred in Florida</w:t>
      </w:r>
      <w:r w:rsidRPr="00622282">
        <w:t xml:space="preserve">. </w:t>
      </w:r>
      <w:r w:rsidR="002A71AB">
        <w:t xml:space="preserve"> In California, Hardell contends, Vanzyl </w:t>
      </w:r>
      <w:r w:rsidR="00E46D75">
        <w:t xml:space="preserve">groomed her for the Florida assault; </w:t>
      </w:r>
      <w:r w:rsidR="002A71AB">
        <w:t xml:space="preserve">established the power dynamic essential to </w:t>
      </w:r>
      <w:r w:rsidR="00E46D75">
        <w:t>the</w:t>
      </w:r>
      <w:r w:rsidR="002A71AB">
        <w:t xml:space="preserve"> assault; and directed her </w:t>
      </w:r>
      <w:r w:rsidR="00283986">
        <w:t xml:space="preserve">to </w:t>
      </w:r>
      <w:r w:rsidR="002A71AB">
        <w:t xml:space="preserve">attend the conference in Florida.  Vanzyl’s California conduct, </w:t>
      </w:r>
      <w:r w:rsidR="00283986">
        <w:t>Hardell says</w:t>
      </w:r>
      <w:r w:rsidR="002A71AB">
        <w:t xml:space="preserve">, was </w:t>
      </w:r>
      <w:r w:rsidR="00283986">
        <w:t xml:space="preserve">therefore </w:t>
      </w:r>
      <w:r w:rsidR="002A71AB">
        <w:t>part of a “</w:t>
      </w:r>
      <w:r w:rsidR="002A71AB">
        <w:rPr>
          <w:i/>
          <w:iCs/>
        </w:rPr>
        <w:t>continuum</w:t>
      </w:r>
      <w:r w:rsidR="002A71AB">
        <w:t xml:space="preserve"> .</w:t>
      </w:r>
      <w:r w:rsidR="001A08C9">
        <w:t> </w:t>
      </w:r>
      <w:r w:rsidR="002A71AB">
        <w:t>.</w:t>
      </w:r>
      <w:r w:rsidR="001A08C9">
        <w:t> </w:t>
      </w:r>
      <w:r w:rsidR="002A71AB">
        <w:t xml:space="preserve">. that </w:t>
      </w:r>
      <w:r w:rsidR="002A71AB">
        <w:rPr>
          <w:i/>
          <w:iCs/>
        </w:rPr>
        <w:t>culminated</w:t>
      </w:r>
      <w:r w:rsidR="002A71AB">
        <w:t xml:space="preserve"> in March</w:t>
      </w:r>
      <w:r w:rsidR="001A08C9">
        <w:t> </w:t>
      </w:r>
      <w:r w:rsidR="002A71AB">
        <w:t xml:space="preserve">2022, when Vanzyl plied Hardell with drinks </w:t>
      </w:r>
      <w:r w:rsidR="00215D95">
        <w:t xml:space="preserve">. . . </w:t>
      </w:r>
      <w:r w:rsidR="002A71AB">
        <w:t xml:space="preserve">and sexually harassed and assaulted her.” </w:t>
      </w:r>
    </w:p>
    <w:p w:rsidR="00BD792E" w:rsidP="00E55D0C" w14:paraId="26FD38EE" w14:textId="65DB1D71">
      <w:pPr>
        <w:ind w:firstLine="720"/>
      </w:pPr>
      <w:r>
        <w:t xml:space="preserve">To determine whether specific jurisdiction exists, we </w:t>
      </w:r>
      <w:r w:rsidR="00F73842">
        <w:t>look for</w:t>
      </w:r>
      <w:r w:rsidR="002A2BA6">
        <w:t xml:space="preserve"> </w:t>
      </w:r>
      <w:r w:rsidR="00F73842">
        <w:t>the</w:t>
      </w:r>
      <w:r w:rsidR="002A2BA6">
        <w:t xml:space="preserve"> “</w:t>
      </w:r>
      <w:r w:rsidR="00076EBF">
        <w:t> </w:t>
      </w:r>
      <w:r w:rsidR="00787B7D">
        <w:t>‘</w:t>
      </w:r>
      <w:r w:rsidR="002A2BA6">
        <w:t>relationship among the defendant, the forum, and the litigation.’</w:t>
      </w:r>
      <w:r w:rsidR="00076EBF">
        <w:t> </w:t>
      </w:r>
      <w:r w:rsidR="002A2BA6">
        <w:t>”  (</w:t>
      </w:r>
      <w:r w:rsidRPr="00A6081C" w:rsidR="00A3464B">
        <w:rPr>
          <w:i/>
          <w:iCs/>
        </w:rPr>
        <w:t>Ford M</w:t>
      </w:r>
      <w:r w:rsidRPr="00A6081C" w:rsidR="006F7645">
        <w:rPr>
          <w:i/>
          <w:iCs/>
        </w:rPr>
        <w:t>otor Co. v.</w:t>
      </w:r>
      <w:r w:rsidR="006F7645">
        <w:t xml:space="preserve"> </w:t>
      </w:r>
      <w:r w:rsidRPr="00093C2B" w:rsidR="00A6081C">
        <w:rPr>
          <w:i/>
          <w:iCs/>
        </w:rPr>
        <w:t>Montana Eighth Judicial Dist</w:t>
      </w:r>
      <w:r w:rsidR="00595625">
        <w:rPr>
          <w:i/>
          <w:iCs/>
        </w:rPr>
        <w:t>.</w:t>
      </w:r>
      <w:r w:rsidRPr="00093C2B" w:rsidR="00A6081C">
        <w:rPr>
          <w:i/>
          <w:iCs/>
        </w:rPr>
        <w:t xml:space="preserve"> Court</w:t>
      </w:r>
      <w:r w:rsidR="00A6081C">
        <w:t xml:space="preserve"> </w:t>
      </w:r>
      <w:r w:rsidR="006F7645">
        <w:t xml:space="preserve">(2021) </w:t>
      </w:r>
      <w:r w:rsidR="00E92D11">
        <w:t>592</w:t>
      </w:r>
      <w:r w:rsidR="002414B5">
        <w:t> </w:t>
      </w:r>
      <w:r w:rsidR="00E92D11">
        <w:t>U.S. 351</w:t>
      </w:r>
      <w:r w:rsidR="006F7645">
        <w:t>,</w:t>
      </w:r>
      <w:r w:rsidR="00AC131A">
        <w:t xml:space="preserve"> 3</w:t>
      </w:r>
      <w:r w:rsidR="005A1D8F">
        <w:t>65</w:t>
      </w:r>
      <w:r w:rsidR="00F124B9">
        <w:t xml:space="preserve"> (</w:t>
      </w:r>
      <w:r w:rsidR="00F124B9">
        <w:rPr>
          <w:i/>
          <w:iCs/>
        </w:rPr>
        <w:t>Ford Motor Co.</w:t>
      </w:r>
      <w:r w:rsidR="00F124B9">
        <w:t>)</w:t>
      </w:r>
      <w:r w:rsidR="002A2BA6">
        <w:t xml:space="preserve">.)  “A court </w:t>
      </w:r>
      <w:r w:rsidR="00904DBA">
        <w:t>‘</w:t>
      </w:r>
      <w:r w:rsidR="002A2BA6">
        <w:t>may exercise specific jurisdiction over a nonresident defendant only if (1)</w:t>
      </w:r>
      <w:r w:rsidR="00076EBF">
        <w:t> </w:t>
      </w:r>
      <w:r w:rsidR="00904DBA">
        <w:t>“</w:t>
      </w:r>
      <w:r w:rsidR="002A2BA6">
        <w:t>the defendant has purposefully availed himself or herself of forum benefits</w:t>
      </w:r>
      <w:r w:rsidR="008F287D">
        <w:t>”</w:t>
      </w:r>
      <w:r w:rsidR="002A2BA6">
        <w:t xml:space="preserve"> [citation]; (2)</w:t>
      </w:r>
      <w:r w:rsidR="00076EBF">
        <w:t> </w:t>
      </w:r>
      <w:r w:rsidR="008F287D">
        <w:t>“</w:t>
      </w:r>
      <w:r w:rsidR="002A2BA6">
        <w:t xml:space="preserve">the </w:t>
      </w:r>
      <w:r w:rsidR="008F287D">
        <w:t>‘</w:t>
      </w:r>
      <w:r w:rsidR="002A2BA6">
        <w:t xml:space="preserve">controversy is related to or </w:t>
      </w:r>
      <w:r w:rsidR="008F287D">
        <w:t>“</w:t>
      </w:r>
      <w:r w:rsidR="002A2BA6">
        <w:t>arises out of</w:t>
      </w:r>
      <w:r w:rsidR="008F287D">
        <w:t>”</w:t>
      </w:r>
      <w:r w:rsidR="002A2BA6">
        <w:t xml:space="preserve"> [the] defendant’s contacts with the forum</w:t>
      </w:r>
      <w:r w:rsidR="00A651D6">
        <w:t>’</w:t>
      </w:r>
      <w:r w:rsidR="00076EBF">
        <w:t> </w:t>
      </w:r>
      <w:r w:rsidR="002A2BA6">
        <w:t>” [citations]; and (3) “</w:t>
      </w:r>
      <w:r w:rsidR="00076EBF">
        <w:t> </w:t>
      </w:r>
      <w:r w:rsidR="00A651D6">
        <w:t>‘</w:t>
      </w:r>
      <w:r w:rsidR="00076EBF">
        <w:t> </w:t>
      </w:r>
      <w:r w:rsidR="00A651D6">
        <w:t>“</w:t>
      </w:r>
      <w:r w:rsidR="002A2BA6">
        <w:t>the assertion of personal jurisdiction would comport with ‘fair play and substantial justice</w:t>
      </w:r>
      <w:r w:rsidR="002535C0">
        <w:t>.</w:t>
      </w:r>
      <w:r w:rsidR="002A2BA6">
        <w:t>’</w:t>
      </w:r>
      <w:r w:rsidR="00076EBF">
        <w:t> </w:t>
      </w:r>
      <w:r w:rsidR="002A2BA6">
        <w:t>”</w:t>
      </w:r>
      <w:r w:rsidR="00076EBF">
        <w:t> </w:t>
      </w:r>
      <w:r w:rsidR="002A2BA6">
        <w:t>’</w:t>
      </w:r>
      <w:r w:rsidR="00B24FCF">
        <w:t> </w:t>
      </w:r>
      <w:r w:rsidR="002A2BA6">
        <w:t>”  (</w:t>
      </w:r>
      <w:r w:rsidR="003A0541">
        <w:rPr>
          <w:i/>
          <w:iCs/>
        </w:rPr>
        <w:t>SK Trading</w:t>
      </w:r>
      <w:r w:rsidR="003A0541">
        <w:t xml:space="preserve">, </w:t>
      </w:r>
      <w:r w:rsidR="003A0541">
        <w:rPr>
          <w:i/>
          <w:iCs/>
        </w:rPr>
        <w:t>supra</w:t>
      </w:r>
      <w:r w:rsidR="003A0541">
        <w:t xml:space="preserve">, </w:t>
      </w:r>
      <w:r w:rsidR="004141F1">
        <w:t>77</w:t>
      </w:r>
      <w:r w:rsidR="00236EA4">
        <w:t> </w:t>
      </w:r>
      <w:r w:rsidR="004141F1">
        <w:t>Cal.App.5th at p.</w:t>
      </w:r>
      <w:r w:rsidR="00236EA4">
        <w:t> </w:t>
      </w:r>
      <w:r w:rsidR="00F24449">
        <w:t>387</w:t>
      </w:r>
      <w:r w:rsidR="003A0541">
        <w:t>.</w:t>
      </w:r>
      <w:r w:rsidR="00E55D0C">
        <w:t>)</w:t>
      </w:r>
    </w:p>
    <w:p w:rsidR="00F31305" w:rsidP="00DB282F" w14:paraId="3AF763CA" w14:textId="2ADCD62E">
      <w:pPr>
        <w:ind w:firstLine="720"/>
      </w:pPr>
      <w:r w:rsidRPr="003D5014">
        <w:t>We focus</w:t>
      </w:r>
      <w:r>
        <w:t xml:space="preserve"> on the second, “relatedness” prong of the specific jurisdiction analysis, because it</w:t>
      </w:r>
      <w:r w:rsidR="003D5014">
        <w:t xml:space="preserve"> lies at the crux of the parties’ dispute and</w:t>
      </w:r>
      <w:r>
        <w:t xml:space="preserve"> is determinative.  Recent</w:t>
      </w:r>
      <w:r w:rsidR="003D5014">
        <w:t>ly, the</w:t>
      </w:r>
      <w:r>
        <w:t xml:space="preserve"> United States Supreme Court </w:t>
      </w:r>
      <w:r w:rsidR="0051693E">
        <w:t>clarified that</w:t>
      </w:r>
      <w:r>
        <w:t xml:space="preserve"> a strict causal connection between the plaintiff’s claims and the defendant’s contacts with the forum state</w:t>
      </w:r>
      <w:r w:rsidR="0051693E">
        <w:t xml:space="preserve"> is not required</w:t>
      </w:r>
      <w:r>
        <w:t xml:space="preserve">.  (See </w:t>
      </w:r>
      <w:r w:rsidRPr="00093C2B">
        <w:rPr>
          <w:i/>
          <w:iCs/>
        </w:rPr>
        <w:t>Ford Motor Co.</w:t>
      </w:r>
      <w:r w:rsidR="00A6081C">
        <w:t xml:space="preserve">, </w:t>
      </w:r>
      <w:r w:rsidRPr="00AC131A" w:rsidR="00A6081C">
        <w:rPr>
          <w:i/>
          <w:iCs/>
        </w:rPr>
        <w:t>supra</w:t>
      </w:r>
      <w:r w:rsidR="00A6081C">
        <w:t>,</w:t>
      </w:r>
      <w:r>
        <w:t xml:space="preserve"> 592</w:t>
      </w:r>
      <w:r w:rsidR="00C93E9D">
        <w:t> </w:t>
      </w:r>
      <w:r>
        <w:t xml:space="preserve">U.S. </w:t>
      </w:r>
      <w:r w:rsidR="00A6081C">
        <w:t>at pp.</w:t>
      </w:r>
      <w:r w:rsidR="00A85C40">
        <w:t> </w:t>
      </w:r>
      <w:r w:rsidR="003D5014">
        <w:t>361–362</w:t>
      </w:r>
      <w:r>
        <w:t xml:space="preserve"> [</w:t>
      </w:r>
      <w:r w:rsidR="00BC5CDB">
        <w:t xml:space="preserve">jurisdiction may lie where defendant’s contacts with the forum “relate to” plaintiff’s claims, even without a </w:t>
      </w:r>
      <w:r w:rsidR="00D0578F">
        <w:t>direct</w:t>
      </w:r>
      <w:r w:rsidR="00BC5CDB">
        <w:t xml:space="preserve"> causal connection, but such a relation has “real limits”</w:t>
      </w:r>
      <w:r>
        <w:t xml:space="preserve">].) </w:t>
      </w:r>
      <w:r w:rsidR="00AF76A4">
        <w:t xml:space="preserve"> </w:t>
      </w:r>
      <w:r>
        <w:t>Hardell has not, however, identified any case where</w:t>
      </w:r>
      <w:r w:rsidR="00FD1203">
        <w:t xml:space="preserve"> specific jurisdiction was founded on a</w:t>
      </w:r>
      <w:r>
        <w:t xml:space="preserve"> causal connection as attenuated as that here. </w:t>
      </w:r>
      <w:r w:rsidR="00AF76A4">
        <w:t xml:space="preserve"> (Cf. </w:t>
      </w:r>
      <w:r w:rsidRPr="000E5A6D" w:rsidR="00AF76A4">
        <w:rPr>
          <w:i/>
          <w:iCs/>
        </w:rPr>
        <w:t>LG Chem, Ltd. v. Superior Court</w:t>
      </w:r>
      <w:r w:rsidR="00AF76A4">
        <w:t xml:space="preserve"> (2022) 80</w:t>
      </w:r>
      <w:r w:rsidR="00C93E9D">
        <w:t> </w:t>
      </w:r>
      <w:r w:rsidR="00AF76A4">
        <w:t xml:space="preserve">Cal.App.5th 348, 369–370, 374 [lack of connection between claims against defendant and defendant’s admitted in-state contacts]; </w:t>
      </w:r>
      <w:r w:rsidRPr="00C10833" w:rsidR="00AF76A4">
        <w:rPr>
          <w:i/>
          <w:iCs/>
        </w:rPr>
        <w:t>Rivelli v. Hemm</w:t>
      </w:r>
      <w:r w:rsidR="00AF76A4">
        <w:t xml:space="preserve"> (2021) 67</w:t>
      </w:r>
      <w:r w:rsidR="00C93E9D">
        <w:t> </w:t>
      </w:r>
      <w:r w:rsidR="00AF76A4">
        <w:t xml:space="preserve">Cal.App.5th 380, 406–408 [no </w:t>
      </w:r>
      <w:r w:rsidR="0051693E">
        <w:t>specific jurisdiction w</w:t>
      </w:r>
      <w:r w:rsidR="007D514E">
        <w:t>ithout</w:t>
      </w:r>
      <w:r w:rsidR="0051693E">
        <w:t xml:space="preserve"> </w:t>
      </w:r>
      <w:r w:rsidR="00AF76A4">
        <w:t xml:space="preserve">evidence that individual director of company directed tortious conduct or wrongdoing at forum]; </w:t>
      </w:r>
      <w:r w:rsidRPr="003B56EA" w:rsidR="00DB282F">
        <w:rPr>
          <w:i/>
          <w:iCs/>
        </w:rPr>
        <w:t>Jacqueline</w:t>
      </w:r>
      <w:r w:rsidR="009E6106">
        <w:rPr>
          <w:i/>
          <w:iCs/>
        </w:rPr>
        <w:t> </w:t>
      </w:r>
      <w:r w:rsidRPr="003B56EA" w:rsidR="00DB282F">
        <w:rPr>
          <w:i/>
          <w:iCs/>
        </w:rPr>
        <w:t>B. v. Rawls Law Group, P.C.</w:t>
      </w:r>
      <w:r w:rsidR="00DB282F">
        <w:t xml:space="preserve"> (2021) 68</w:t>
      </w:r>
      <w:r w:rsidR="00C93E9D">
        <w:t> </w:t>
      </w:r>
      <w:r w:rsidR="00DB282F">
        <w:t>Cal.App.5th 243, 258–259</w:t>
      </w:r>
      <w:r w:rsidR="0051693E">
        <w:t xml:space="preserve"> [no specific jurisdiction to hear </w:t>
      </w:r>
      <w:r w:rsidR="00486267">
        <w:t>legal</w:t>
      </w:r>
      <w:r w:rsidR="0051693E">
        <w:t xml:space="preserve"> malpractice claim where no alleged malpractice arose from California conduct</w:t>
      </w:r>
      <w:r w:rsidR="00F10EFF">
        <w:t xml:space="preserve"> and the </w:t>
      </w:r>
      <w:r w:rsidR="0051693E">
        <w:t xml:space="preserve">only </w:t>
      </w:r>
      <w:r w:rsidR="00F10EFF">
        <w:t>in-state contact</w:t>
      </w:r>
      <w:r w:rsidR="0051693E">
        <w:t xml:space="preserve"> was in underlying lawsuit]</w:t>
      </w:r>
      <w:r w:rsidR="00DB282F">
        <w:t xml:space="preserve">; </w:t>
      </w:r>
      <w:r w:rsidRPr="003B56EA" w:rsidR="00AF76A4">
        <w:rPr>
          <w:i/>
          <w:iCs/>
        </w:rPr>
        <w:t>Halyard Health, Inc. v. Kimberly-Clark Corp.</w:t>
      </w:r>
      <w:r w:rsidR="00AF76A4">
        <w:t xml:space="preserve"> (2019) 43</w:t>
      </w:r>
      <w:r w:rsidR="008D29C5">
        <w:t> </w:t>
      </w:r>
      <w:r w:rsidR="00AF76A4">
        <w:t>Cal.App.</w:t>
      </w:r>
      <w:r w:rsidR="008D29C5">
        <w:t xml:space="preserve">5th </w:t>
      </w:r>
      <w:r w:rsidR="00AF76A4">
        <w:t>1062, 1072 [rejecting “causal chain” theory to establish relatedness].)</w:t>
      </w:r>
    </w:p>
    <w:p w:rsidR="0063215A" w:rsidRPr="00B33F0D" w:rsidP="008B55AA" w14:paraId="647CF4F3" w14:textId="3170D4C2">
      <w:pPr>
        <w:ind w:firstLine="720"/>
      </w:pPr>
      <w:r>
        <w:t xml:space="preserve">Hardell </w:t>
      </w:r>
      <w:r w:rsidR="00625F5E">
        <w:t xml:space="preserve">argues that </w:t>
      </w:r>
      <w:r w:rsidR="006942A2">
        <w:t>the relationship between</w:t>
      </w:r>
      <w:r w:rsidR="00235195">
        <w:t xml:space="preserve"> her claims and</w:t>
      </w:r>
      <w:r w:rsidR="006942A2">
        <w:t xml:space="preserve"> Vanzyl’s contacts</w:t>
      </w:r>
      <w:r w:rsidR="00235195">
        <w:t xml:space="preserve"> is greater than those in which courts have found a lack of specific jurisdiction, </w:t>
      </w:r>
      <w:r w:rsidR="00957B6B">
        <w:t>pointing to</w:t>
      </w:r>
      <w:r>
        <w:t xml:space="preserve"> </w:t>
      </w:r>
      <w:r w:rsidRPr="00EB17E3" w:rsidR="007D6AEF">
        <w:rPr>
          <w:i/>
          <w:iCs/>
        </w:rPr>
        <w:t>David</w:t>
      </w:r>
      <w:r w:rsidR="00BD44BA">
        <w:rPr>
          <w:i/>
          <w:iCs/>
        </w:rPr>
        <w:t> </w:t>
      </w:r>
      <w:r w:rsidRPr="00EB17E3" w:rsidR="007D6AEF">
        <w:rPr>
          <w:i/>
          <w:iCs/>
        </w:rPr>
        <w:t>L.</w:t>
      </w:r>
      <w:r w:rsidRPr="00EB17E3">
        <w:rPr>
          <w:i/>
          <w:iCs/>
        </w:rPr>
        <w:t xml:space="preserve"> v. Superior Court</w:t>
      </w:r>
      <w:r>
        <w:t xml:space="preserve"> (2018) 29</w:t>
      </w:r>
      <w:r w:rsidR="00DA73F0">
        <w:t> </w:t>
      </w:r>
      <w:r>
        <w:t>Cal.App.5th 359, 366</w:t>
      </w:r>
      <w:r w:rsidR="008B55AA">
        <w:t xml:space="preserve"> </w:t>
      </w:r>
      <w:r w:rsidR="0097670D">
        <w:t>(</w:t>
      </w:r>
      <w:r w:rsidR="0097670D">
        <w:rPr>
          <w:i/>
          <w:iCs/>
        </w:rPr>
        <w:t>David</w:t>
      </w:r>
      <w:r w:rsidR="00BD44BA">
        <w:rPr>
          <w:i/>
          <w:iCs/>
        </w:rPr>
        <w:t> </w:t>
      </w:r>
      <w:r w:rsidR="0097670D">
        <w:rPr>
          <w:i/>
          <w:iCs/>
        </w:rPr>
        <w:t>L.</w:t>
      </w:r>
      <w:r w:rsidR="0097670D">
        <w:t>)</w:t>
      </w:r>
      <w:r w:rsidR="0097670D">
        <w:rPr>
          <w:i/>
          <w:iCs/>
        </w:rPr>
        <w:t xml:space="preserve"> </w:t>
      </w:r>
      <w:r w:rsidR="008B55AA">
        <w:t>and</w:t>
      </w:r>
      <w:r w:rsidR="001831F2">
        <w:t xml:space="preserve"> </w:t>
      </w:r>
      <w:r w:rsidRPr="001831F2" w:rsidR="001831F2">
        <w:rPr>
          <w:i/>
          <w:iCs/>
        </w:rPr>
        <w:t>Bristol-Myers Squibb</w:t>
      </w:r>
      <w:r w:rsidR="0025101D">
        <w:t xml:space="preserve">, </w:t>
      </w:r>
      <w:r w:rsidRPr="0025101D" w:rsidR="0025101D">
        <w:rPr>
          <w:i/>
          <w:iCs/>
        </w:rPr>
        <w:t>supra</w:t>
      </w:r>
      <w:r w:rsidR="0025101D">
        <w:t>,</w:t>
      </w:r>
      <w:r w:rsidR="001831F2">
        <w:t xml:space="preserve"> 582</w:t>
      </w:r>
      <w:r w:rsidR="00DA73F0">
        <w:t> </w:t>
      </w:r>
      <w:r w:rsidR="001831F2">
        <w:t xml:space="preserve">U.S. </w:t>
      </w:r>
      <w:r w:rsidR="0025101D">
        <w:t>at p</w:t>
      </w:r>
      <w:r w:rsidR="007912FD">
        <w:t>age</w:t>
      </w:r>
      <w:r w:rsidR="00DA73F0">
        <w:t> </w:t>
      </w:r>
      <w:r w:rsidR="001831F2">
        <w:t xml:space="preserve">264.  In </w:t>
      </w:r>
      <w:r w:rsidR="008B55AA">
        <w:t>both</w:t>
      </w:r>
      <w:r w:rsidR="001831F2">
        <w:t xml:space="preserve"> case</w:t>
      </w:r>
      <w:r w:rsidR="008B55AA">
        <w:t>s</w:t>
      </w:r>
      <w:r w:rsidR="001831F2">
        <w:t xml:space="preserve">, the courts found an absolute lack of connection between the defendants’ contacts with the forum, if any, and the plaintiffs’ claims.  </w:t>
      </w:r>
      <w:r w:rsidR="00F10EFF">
        <w:t>But t</w:t>
      </w:r>
      <w:r w:rsidR="001831F2">
        <w:t xml:space="preserve">hose cases do not </w:t>
      </w:r>
      <w:r w:rsidR="00487280">
        <w:t>mean that any</w:t>
      </w:r>
      <w:r w:rsidR="00D200CC">
        <w:t xml:space="preserve"> greater connection is sufficient to establish specific jurisdiction</w:t>
      </w:r>
      <w:r w:rsidR="001831F2">
        <w:t>.</w:t>
      </w:r>
      <w:r w:rsidR="008B55AA">
        <w:t xml:space="preserve">  Hardell also relies on </w:t>
      </w:r>
      <w:r w:rsidRPr="008B55AA" w:rsidR="00BA237D">
        <w:rPr>
          <w:i/>
          <w:iCs/>
        </w:rPr>
        <w:t>Integral Development Corp</w:t>
      </w:r>
      <w:r w:rsidRPr="008B55AA" w:rsidR="008B55AA">
        <w:rPr>
          <w:i/>
          <w:iCs/>
        </w:rPr>
        <w:t>. v. Weissenbach</w:t>
      </w:r>
      <w:r w:rsidR="008B55AA">
        <w:t xml:space="preserve"> (2002) 99</w:t>
      </w:r>
      <w:r w:rsidR="00DA73F0">
        <w:t> </w:t>
      </w:r>
      <w:r w:rsidR="008B55AA">
        <w:t>Cal.App.4th 576</w:t>
      </w:r>
      <w:r w:rsidR="00BA237D">
        <w:t>.</w:t>
      </w:r>
      <w:r w:rsidR="008B55AA">
        <w:t xml:space="preserve">  </w:t>
      </w:r>
      <w:r w:rsidR="00DC5323">
        <w:t xml:space="preserve">In that case, </w:t>
      </w:r>
      <w:r w:rsidR="00F10EFF">
        <w:t xml:space="preserve">the defendant </w:t>
      </w:r>
      <w:r w:rsidR="001646BD">
        <w:t>obtained confidential business information as a</w:t>
      </w:r>
      <w:r w:rsidR="00F10EFF">
        <w:t xml:space="preserve"> direct</w:t>
      </w:r>
      <w:r w:rsidR="001646BD">
        <w:t xml:space="preserve"> result of his employment relationship with the plaintiff, a California company, and later its wholly</w:t>
      </w:r>
      <w:r w:rsidR="00E07D2C">
        <w:t>-</w:t>
      </w:r>
      <w:r w:rsidR="001646BD">
        <w:t xml:space="preserve">owned German subsidiary.  </w:t>
      </w:r>
      <w:r w:rsidR="007E0651">
        <w:t>(</w:t>
      </w:r>
      <w:r w:rsidR="007E0651">
        <w:rPr>
          <w:i/>
          <w:iCs/>
        </w:rPr>
        <w:t>Id.</w:t>
      </w:r>
      <w:r w:rsidR="007E0651">
        <w:t xml:space="preserve"> at p.</w:t>
      </w:r>
      <w:r w:rsidR="00DA73F0">
        <w:t> </w:t>
      </w:r>
      <w:r w:rsidR="007E0651">
        <w:t xml:space="preserve">587.) </w:t>
      </w:r>
      <w:r w:rsidR="001646BD">
        <w:t xml:space="preserve"> The</w:t>
      </w:r>
      <w:r w:rsidR="00FA48DC">
        <w:t xml:space="preserve"> court concluded that the California company</w:t>
      </w:r>
      <w:r w:rsidR="00F10EFF">
        <w:t>’s</w:t>
      </w:r>
      <w:r w:rsidR="001646BD">
        <w:t xml:space="preserve"> </w:t>
      </w:r>
      <w:r w:rsidR="00FA48DC">
        <w:t xml:space="preserve">claims of </w:t>
      </w:r>
      <w:r w:rsidR="00271048">
        <w:t>misappropriation of trade secrets and unfair competition</w:t>
      </w:r>
      <w:r w:rsidR="001646BD">
        <w:t xml:space="preserve"> were “directly related to </w:t>
      </w:r>
      <w:r w:rsidR="00F10EFF">
        <w:t>[defendant]</w:t>
      </w:r>
      <w:r w:rsidR="001258A2">
        <w:t>’s contacts with [California] in that they arise from the employment relationship</w:t>
      </w:r>
      <w:r w:rsidR="00271048">
        <w:t>.</w:t>
      </w:r>
      <w:r w:rsidR="001258A2">
        <w:t>”</w:t>
      </w:r>
      <w:r w:rsidR="00271048">
        <w:t xml:space="preserve">  (</w:t>
      </w:r>
      <w:r w:rsidR="00271048">
        <w:rPr>
          <w:i/>
          <w:iCs/>
        </w:rPr>
        <w:t>I</w:t>
      </w:r>
      <w:r w:rsidR="007E0651">
        <w:rPr>
          <w:i/>
          <w:iCs/>
        </w:rPr>
        <w:t>bi</w:t>
      </w:r>
      <w:r w:rsidR="00271048">
        <w:rPr>
          <w:i/>
          <w:iCs/>
        </w:rPr>
        <w:t>d.</w:t>
      </w:r>
      <w:r w:rsidR="00271048">
        <w:t xml:space="preserve">)  </w:t>
      </w:r>
      <w:r w:rsidR="007C6553">
        <w:t xml:space="preserve">The court also found that </w:t>
      </w:r>
      <w:r w:rsidR="00F10EFF">
        <w:t>the defendant</w:t>
      </w:r>
      <w:r w:rsidR="007C6553">
        <w:t xml:space="preserve"> aimed his tortious conduct at the California plaintiff</w:t>
      </w:r>
      <w:r w:rsidR="00B33F0D">
        <w:t>, and therefore satisfied the “effects test” of personal jurisdiction</w:t>
      </w:r>
      <w:r w:rsidR="007C6553">
        <w:t>.  (</w:t>
      </w:r>
      <w:r w:rsidRPr="007C6553" w:rsidR="007C6553">
        <w:rPr>
          <w:i/>
          <w:iCs/>
        </w:rPr>
        <w:t>Id.</w:t>
      </w:r>
      <w:r w:rsidR="007C6553">
        <w:t xml:space="preserve"> at p.</w:t>
      </w:r>
      <w:r w:rsidR="00165259">
        <w:t> </w:t>
      </w:r>
      <w:r w:rsidR="00B33F0D">
        <w:t>588</w:t>
      </w:r>
      <w:r w:rsidR="007C6553">
        <w:t xml:space="preserve">.) </w:t>
      </w:r>
      <w:r w:rsidR="00B33F0D">
        <w:t xml:space="preserve"> </w:t>
      </w:r>
      <w:r w:rsidR="007A6C22">
        <w:t>B</w:t>
      </w:r>
      <w:r w:rsidR="0002106F">
        <w:t>y contrast</w:t>
      </w:r>
      <w:r w:rsidR="003B64F6">
        <w:t>,</w:t>
      </w:r>
      <w:r w:rsidR="00B33F0D">
        <w:t xml:space="preserve"> </w:t>
      </w:r>
      <w:r w:rsidR="001646BD">
        <w:t>Hardell</w:t>
      </w:r>
      <w:r w:rsidR="00E30B22">
        <w:t xml:space="preserve"> was</w:t>
      </w:r>
      <w:r w:rsidR="00455756">
        <w:t xml:space="preserve"> </w:t>
      </w:r>
      <w:r w:rsidR="001646BD">
        <w:t>a resident</w:t>
      </w:r>
      <w:r w:rsidR="007A7333">
        <w:t xml:space="preserve"> of Colorado, not California</w:t>
      </w:r>
      <w:r w:rsidR="00455756">
        <w:t xml:space="preserve">, </w:t>
      </w:r>
      <w:r w:rsidR="008C7412">
        <w:t>even though she had</w:t>
      </w:r>
      <w:r w:rsidR="00455756">
        <w:t xml:space="preserve"> ongoing work in </w:t>
      </w:r>
      <w:r w:rsidR="007A7333">
        <w:t>this state</w:t>
      </w:r>
      <w:r w:rsidR="001646BD">
        <w:t xml:space="preserve">.  And </w:t>
      </w:r>
      <w:r w:rsidR="00A442F7">
        <w:t>although</w:t>
      </w:r>
      <w:r w:rsidR="00CE3A2A">
        <w:t xml:space="preserve"> Hardell relies on </w:t>
      </w:r>
      <w:r w:rsidR="00CE3A2A">
        <w:rPr>
          <w:i/>
          <w:iCs/>
        </w:rPr>
        <w:t>Weissenbach</w:t>
      </w:r>
      <w:r w:rsidR="00CE3A2A">
        <w:t xml:space="preserve"> assertedly to show the court erred with respect to its analysis of evidentiary matters, </w:t>
      </w:r>
      <w:r w:rsidR="006A75DF">
        <w:t>we see</w:t>
      </w:r>
      <w:r w:rsidR="00CE3A2A">
        <w:t xml:space="preserve"> no </w:t>
      </w:r>
      <w:r w:rsidR="000A2909">
        <w:t xml:space="preserve">material </w:t>
      </w:r>
      <w:r w:rsidR="00CE3A2A">
        <w:t>dispute</w:t>
      </w:r>
      <w:r w:rsidR="000A2909">
        <w:t xml:space="preserve"> </w:t>
      </w:r>
      <w:r w:rsidR="00085DBD">
        <w:t>of</w:t>
      </w:r>
      <w:r w:rsidR="000A2909">
        <w:t xml:space="preserve"> the evidentiary facts </w:t>
      </w:r>
      <w:r w:rsidR="007E21AA">
        <w:t>informing</w:t>
      </w:r>
      <w:r w:rsidR="000A2909">
        <w:t xml:space="preserve"> </w:t>
      </w:r>
      <w:r w:rsidR="007E21AA">
        <w:t>our</w:t>
      </w:r>
      <w:r w:rsidR="000A2909">
        <w:t xml:space="preserve"> specific jurisdiction analysis</w:t>
      </w:r>
      <w:r w:rsidR="007A1B97">
        <w:t xml:space="preserve">; the connection between the employment relationship at issue in </w:t>
      </w:r>
      <w:r w:rsidR="007A1B97">
        <w:rPr>
          <w:i/>
          <w:iCs/>
        </w:rPr>
        <w:t>Weissenbach</w:t>
      </w:r>
      <w:r w:rsidR="007A1B97">
        <w:t xml:space="preserve"> and the alleged torts is much closer</w:t>
      </w:r>
      <w:r w:rsidR="00F430BB">
        <w:t xml:space="preserve"> than the asserted relationship here</w:t>
      </w:r>
      <w:r w:rsidR="001646BD">
        <w:t>.</w:t>
      </w:r>
    </w:p>
    <w:p w:rsidR="00622282" w:rsidP="00FE1E08" w14:paraId="7D9F979E" w14:textId="258F12AB">
      <w:pPr>
        <w:ind w:firstLine="720"/>
      </w:pPr>
      <w:r>
        <w:t xml:space="preserve">Hardell </w:t>
      </w:r>
      <w:r w:rsidR="00EB17E3">
        <w:t>further</w:t>
      </w:r>
      <w:r>
        <w:t xml:space="preserve"> asserts in her reply brief that her sexual harassment claim </w:t>
      </w:r>
      <w:r w:rsidR="00174584">
        <w:t>is based on the parties’ employment relationship</w:t>
      </w:r>
      <w:r w:rsidR="00163653">
        <w:t xml:space="preserve">—that it “played a key role in </w:t>
      </w:r>
      <w:r w:rsidR="00505EA3">
        <w:t>[Vanzyl’s]</w:t>
      </w:r>
      <w:r w:rsidR="00163653">
        <w:t xml:space="preserve"> ability to direct her </w:t>
      </w:r>
      <w:r w:rsidR="00744455">
        <w:t>to a</w:t>
      </w:r>
      <w:r w:rsidR="00C50F07">
        <w:t xml:space="preserve">ttend an out-of-state conference, join her for a business-related dinner there, ply her with drinks, and overcome her objections to his sexual harassment.”  </w:t>
      </w:r>
      <w:r w:rsidR="00FE1E08">
        <w:t>But t</w:t>
      </w:r>
      <w:r w:rsidR="00387C32">
        <w:t>he c</w:t>
      </w:r>
      <w:r w:rsidR="00D81A71">
        <w:t xml:space="preserve">auses of action </w:t>
      </w:r>
      <w:r w:rsidR="00387C32">
        <w:t xml:space="preserve">Hardell alleged </w:t>
      </w:r>
      <w:r w:rsidR="00D81A71">
        <w:t>against Vanzyl</w:t>
      </w:r>
      <w:r w:rsidR="00F10EFF">
        <w:t>—</w:t>
      </w:r>
      <w:r w:rsidR="00FE1E08">
        <w:t>including the harassment claim</w:t>
      </w:r>
      <w:r w:rsidR="00F10EFF">
        <w:t>—</w:t>
      </w:r>
      <w:r w:rsidR="00D81A71">
        <w:t xml:space="preserve">are based on the discrete </w:t>
      </w:r>
      <w:r w:rsidR="00387C32">
        <w:t xml:space="preserve">events that occurred </w:t>
      </w:r>
      <w:r w:rsidR="00EB17E3">
        <w:t>from</w:t>
      </w:r>
      <w:r w:rsidR="00D81A71">
        <w:t xml:space="preserve"> March</w:t>
      </w:r>
      <w:r w:rsidR="006C412D">
        <w:t> </w:t>
      </w:r>
      <w:r w:rsidR="00D81A71">
        <w:t xml:space="preserve">8 </w:t>
      </w:r>
      <w:r w:rsidR="00EB17E3">
        <w:t>to</w:t>
      </w:r>
      <w:r w:rsidR="006C412D">
        <w:t> </w:t>
      </w:r>
      <w:r w:rsidR="00D81A71">
        <w:t>9, 2022.</w:t>
      </w:r>
      <w:r w:rsidR="00A00489">
        <w:t xml:space="preserve">  Vanzyl</w:t>
      </w:r>
      <w:r w:rsidR="00FD1203">
        <w:t>’s asserted</w:t>
      </w:r>
      <w:r w:rsidR="00A00489">
        <w:t xml:space="preserve"> condition</w:t>
      </w:r>
      <w:r w:rsidR="00FD1203">
        <w:t>ing of</w:t>
      </w:r>
      <w:r w:rsidR="00A00489">
        <w:t xml:space="preserve"> a benefit on sexual favors occurred on the beach in Florida</w:t>
      </w:r>
      <w:r w:rsidR="00FD1203">
        <w:t xml:space="preserve">.  </w:t>
      </w:r>
      <w:r w:rsidR="00985C09">
        <w:t>T</w:t>
      </w:r>
      <w:r w:rsidR="00D81A71">
        <w:t>he earlier contacts in Californi</w:t>
      </w:r>
      <w:r w:rsidR="00FE1E08">
        <w:t>a may</w:t>
      </w:r>
      <w:r w:rsidR="00985C09">
        <w:t xml:space="preserve"> well</w:t>
      </w:r>
      <w:r w:rsidR="00FE1E08">
        <w:t xml:space="preserve"> have set the stage</w:t>
      </w:r>
      <w:r w:rsidR="00D81A71">
        <w:t xml:space="preserve"> for the alleged power dynamic that </w:t>
      </w:r>
      <w:r w:rsidR="00637E62">
        <w:t>facilitated</w:t>
      </w:r>
      <w:r w:rsidR="00FE1E08">
        <w:t xml:space="preserve"> the</w:t>
      </w:r>
      <w:r w:rsidR="00D81A71">
        <w:t xml:space="preserve"> events in </w:t>
      </w:r>
      <w:r w:rsidR="00985C09">
        <w:t>Florida</w:t>
      </w:r>
      <w:r w:rsidR="005103DC">
        <w:t xml:space="preserve">, as Hardell argues, citing </w:t>
      </w:r>
      <w:r w:rsidRPr="005103DC" w:rsidR="005103DC">
        <w:rPr>
          <w:i/>
          <w:iCs/>
        </w:rPr>
        <w:t>Minarksy v. Susquehanna County</w:t>
      </w:r>
      <w:r w:rsidR="005103DC">
        <w:t xml:space="preserve"> (3d</w:t>
      </w:r>
      <w:r w:rsidR="005F7AD0">
        <w:t> </w:t>
      </w:r>
      <w:r w:rsidR="005103DC">
        <w:t>Cir.</w:t>
      </w:r>
      <w:r w:rsidR="006C412D">
        <w:t> </w:t>
      </w:r>
      <w:r w:rsidR="005103DC">
        <w:t>2018) 895</w:t>
      </w:r>
      <w:r w:rsidR="006C412D">
        <w:t> </w:t>
      </w:r>
      <w:r w:rsidR="005103DC">
        <w:t xml:space="preserve">F.3d 303, 314, </w:t>
      </w:r>
      <w:r w:rsidRPr="005103DC" w:rsidR="005103DC">
        <w:rPr>
          <w:i/>
          <w:iCs/>
        </w:rPr>
        <w:t>Vance v. Ball State Univ</w:t>
      </w:r>
      <w:r w:rsidR="002816CC">
        <w:rPr>
          <w:i/>
          <w:iCs/>
        </w:rPr>
        <w:t>.</w:t>
      </w:r>
      <w:r w:rsidR="005103DC">
        <w:t xml:space="preserve"> (2013) 570</w:t>
      </w:r>
      <w:r w:rsidR="006C412D">
        <w:t> </w:t>
      </w:r>
      <w:r w:rsidR="005103DC">
        <w:t>U.S. 421, 458</w:t>
      </w:r>
      <w:r w:rsidR="008A5914">
        <w:t xml:space="preserve"> (dis.</w:t>
      </w:r>
      <w:r w:rsidR="00ED09EB">
        <w:t xml:space="preserve"> </w:t>
      </w:r>
      <w:r w:rsidR="008A5914">
        <w:t>opn. of Ginsburg,</w:t>
      </w:r>
      <w:r w:rsidR="00ED09EB">
        <w:t> </w:t>
      </w:r>
      <w:r w:rsidR="008A5914">
        <w:t>J.)</w:t>
      </w:r>
      <w:r w:rsidR="005103DC">
        <w:t xml:space="preserve">, and </w:t>
      </w:r>
      <w:r w:rsidRPr="005103DC" w:rsidR="005103DC">
        <w:rPr>
          <w:i/>
          <w:iCs/>
        </w:rPr>
        <w:t>Henson v. City of Dundee</w:t>
      </w:r>
      <w:r w:rsidR="005103DC">
        <w:t xml:space="preserve"> (11</w:t>
      </w:r>
      <w:r w:rsidR="003E232C">
        <w:t>th</w:t>
      </w:r>
      <w:r w:rsidR="006C412D">
        <w:t> </w:t>
      </w:r>
      <w:r w:rsidR="005103DC">
        <w:t>Cir. 1982) 682</w:t>
      </w:r>
      <w:r w:rsidR="006C412D">
        <w:t> </w:t>
      </w:r>
      <w:r w:rsidR="005103DC">
        <w:t>F.2d 897, 910</w:t>
      </w:r>
      <w:r w:rsidR="00FD1203">
        <w:t xml:space="preserve">.  </w:t>
      </w:r>
      <w:r w:rsidR="00EB17E3">
        <w:t>But</w:t>
      </w:r>
      <w:r w:rsidR="00985C09">
        <w:t xml:space="preserve"> </w:t>
      </w:r>
      <w:r w:rsidR="00B47F6B">
        <w:t xml:space="preserve">a </w:t>
      </w:r>
      <w:r w:rsidR="00CA1DC0">
        <w:t xml:space="preserve">business-related </w:t>
      </w:r>
      <w:r w:rsidR="005103DC">
        <w:t>power imbalance</w:t>
      </w:r>
      <w:r w:rsidR="008A5914">
        <w:t xml:space="preserve"> may exist innocuously and indefinitely.  It does not,</w:t>
      </w:r>
      <w:r w:rsidR="005103DC">
        <w:t xml:space="preserve"> </w:t>
      </w:r>
      <w:r w:rsidR="008A5914">
        <w:t>without more,</w:t>
      </w:r>
      <w:r w:rsidR="005103DC">
        <w:t xml:space="preserve"> establish a sexual harassment claim</w:t>
      </w:r>
      <w:r w:rsidR="008A5914">
        <w:t>, and</w:t>
      </w:r>
      <w:r w:rsidR="005103DC">
        <w:t xml:space="preserve"> </w:t>
      </w:r>
      <w:r w:rsidR="00985C09">
        <w:t>there is no allegation that Vanzyl made sexual overtures</w:t>
      </w:r>
      <w:r w:rsidR="006C317D">
        <w:t xml:space="preserve"> to Hardell</w:t>
      </w:r>
      <w:r w:rsidR="00DC0382">
        <w:t xml:space="preserve">, </w:t>
      </w:r>
      <w:r w:rsidR="00A61688">
        <w:t xml:space="preserve">or </w:t>
      </w:r>
      <w:r w:rsidR="00AA2E2A">
        <w:t xml:space="preserve">even </w:t>
      </w:r>
      <w:r w:rsidR="00A61688">
        <w:t xml:space="preserve">planned </w:t>
      </w:r>
      <w:r w:rsidR="00A01E9D">
        <w:t>them</w:t>
      </w:r>
      <w:r w:rsidR="00DC0382">
        <w:t>,</w:t>
      </w:r>
      <w:r w:rsidR="00A01E9D">
        <w:t xml:space="preserve"> </w:t>
      </w:r>
      <w:r w:rsidR="00DA58B4">
        <w:t>anywhere other than in Florida</w:t>
      </w:r>
      <w:r w:rsidR="00985C09">
        <w:t>.</w:t>
      </w:r>
      <w:r w:rsidR="00C45838">
        <w:t xml:space="preserve">  Although Hardell </w:t>
      </w:r>
      <w:r w:rsidR="00F12840">
        <w:t>uses the word “grooming” in her brief</w:t>
      </w:r>
      <w:r w:rsidR="00331465">
        <w:t>ing</w:t>
      </w:r>
      <w:r w:rsidR="00F12840">
        <w:t xml:space="preserve">, there </w:t>
      </w:r>
      <w:r w:rsidR="00286310">
        <w:t>are no allegations</w:t>
      </w:r>
      <w:r w:rsidR="00D91601">
        <w:t xml:space="preserve"> in the complaint</w:t>
      </w:r>
      <w:r w:rsidR="00F12840">
        <w:t xml:space="preserve"> that, while in California, </w:t>
      </w:r>
      <w:r w:rsidR="00F06C44">
        <w:t>Vanzyl</w:t>
      </w:r>
      <w:r w:rsidR="00F12840">
        <w:t xml:space="preserve"> </w:t>
      </w:r>
      <w:r w:rsidR="00836F5B">
        <w:t xml:space="preserve">cultivated a relationship with her with the intent </w:t>
      </w:r>
      <w:r w:rsidR="00F06C44">
        <w:t>of later making sexual advances</w:t>
      </w:r>
      <w:r w:rsidR="00F26354">
        <w:t xml:space="preserve"> or committing a sexual assault</w:t>
      </w:r>
      <w:r w:rsidR="00F06C44">
        <w:t>.</w:t>
      </w:r>
      <w:r w:rsidR="00985C09">
        <w:t xml:space="preserve"> </w:t>
      </w:r>
      <w:r w:rsidR="00E41D01">
        <w:t xml:space="preserve"> Vanzyl submitted undisputed</w:t>
      </w:r>
      <w:r w:rsidR="002A5F8B">
        <w:t xml:space="preserve"> evidence</w:t>
      </w:r>
      <w:r w:rsidR="00E41D01">
        <w:t xml:space="preserve"> </w:t>
      </w:r>
      <w:r w:rsidR="002A5F8B">
        <w:t xml:space="preserve">that </w:t>
      </w:r>
      <w:r w:rsidR="000F6FC9">
        <w:t xml:space="preserve">it was </w:t>
      </w:r>
      <w:r w:rsidR="002A5F8B">
        <w:t xml:space="preserve">Hardell </w:t>
      </w:r>
      <w:r w:rsidR="000F6FC9">
        <w:t xml:space="preserve">who first </w:t>
      </w:r>
      <w:r w:rsidR="003A4989">
        <w:t>raised</w:t>
      </w:r>
      <w:r w:rsidR="002A5F8B">
        <w:t xml:space="preserve"> the Miami conference </w:t>
      </w:r>
      <w:r w:rsidR="00215ABD">
        <w:t>by email in February</w:t>
      </w:r>
      <w:r w:rsidR="00BC1F23">
        <w:t> </w:t>
      </w:r>
      <w:r w:rsidR="00215ABD">
        <w:t xml:space="preserve">2023—after </w:t>
      </w:r>
      <w:r w:rsidR="00F40D7A">
        <w:t>their January lunch in San</w:t>
      </w:r>
      <w:r w:rsidR="00BC1F23">
        <w:t> </w:t>
      </w:r>
      <w:r w:rsidR="00F40D7A">
        <w:t>Francisco—</w:t>
      </w:r>
      <w:r w:rsidR="00581FC3">
        <w:t>and that the dinner</w:t>
      </w:r>
      <w:r w:rsidR="00C87D04">
        <w:t xml:space="preserve"> </w:t>
      </w:r>
      <w:r w:rsidR="00AC5F42">
        <w:t>preceding the assault</w:t>
      </w:r>
      <w:r w:rsidR="00502079">
        <w:t xml:space="preserve"> was </w:t>
      </w:r>
      <w:r w:rsidR="00CC69FA">
        <w:t xml:space="preserve">proposed by Mohsen </w:t>
      </w:r>
      <w:r w:rsidR="00C87D04">
        <w:t>when</w:t>
      </w:r>
      <w:r w:rsidR="00CC69FA">
        <w:t xml:space="preserve"> Vanzyl had already moved to Florida.</w:t>
      </w:r>
      <w:r>
        <w:rPr>
          <w:rStyle w:val="FootnoteReference"/>
        </w:rPr>
        <w:footnoteReference w:id="3"/>
      </w:r>
      <w:r w:rsidR="00C87D04">
        <w:t xml:space="preserve"> </w:t>
      </w:r>
      <w:r w:rsidR="00D81A71">
        <w:t xml:space="preserve"> </w:t>
      </w:r>
      <w:r w:rsidR="00985C09">
        <w:t>O</w:t>
      </w:r>
      <w:r w:rsidR="00FE1E08">
        <w:t xml:space="preserve">n these </w:t>
      </w:r>
      <w:r w:rsidR="00CF05FE">
        <w:t>facts</w:t>
      </w:r>
      <w:r w:rsidR="00FE1E08">
        <w:t xml:space="preserve">, Hardell has not shown the requisite connection between Vanzyl, California, and </w:t>
      </w:r>
      <w:r w:rsidR="00B0296A">
        <w:t xml:space="preserve">any of </w:t>
      </w:r>
      <w:r w:rsidR="00FE1E08">
        <w:t>her claims</w:t>
      </w:r>
      <w:r w:rsidR="00B0296A">
        <w:t xml:space="preserve"> against him</w:t>
      </w:r>
      <w:r w:rsidR="00754959">
        <w:t>.</w:t>
      </w:r>
    </w:p>
    <w:p w:rsidR="00BD792E" w:rsidP="00417B5D" w14:paraId="7CE53E50" w14:textId="471456F0">
      <w:pPr>
        <w:pStyle w:val="Heading2"/>
        <w:numPr>
          <w:ilvl w:val="0"/>
          <w:numId w:val="14"/>
        </w:numPr>
        <w:spacing w:before="0" w:after="0" w:line="360" w:lineRule="auto"/>
        <w:ind w:left="720" w:right="0" w:hanging="270"/>
      </w:pPr>
      <w:r>
        <w:t xml:space="preserve">General </w:t>
      </w:r>
      <w:r w:rsidR="00A011F1">
        <w:t>J</w:t>
      </w:r>
      <w:r>
        <w:t>urisdiction</w:t>
      </w:r>
    </w:p>
    <w:p w:rsidR="00BD792E" w:rsidP="001100E8" w14:paraId="10B3A243" w14:textId="566DA9A9">
      <w:pPr>
        <w:ind w:firstLine="720"/>
      </w:pPr>
      <w:r>
        <w:t>Hardell</w:t>
      </w:r>
      <w:r w:rsidR="00FE1E08">
        <w:t xml:space="preserve"> also argues that the trial court had</w:t>
      </w:r>
      <w:r>
        <w:t xml:space="preserve"> general jurisdiction </w:t>
      </w:r>
      <w:r w:rsidR="00FE1E08">
        <w:t>over Vanzyl because he was domiciled</w:t>
      </w:r>
      <w:r>
        <w:t xml:space="preserve"> in California at the time of the assault</w:t>
      </w:r>
      <w:r w:rsidR="005F1D02">
        <w:t xml:space="preserve"> and because his contacts with California </w:t>
      </w:r>
      <w:r w:rsidR="008D47D1">
        <w:t xml:space="preserve">otherwise establish that he was “essentially at home” </w:t>
      </w:r>
      <w:r w:rsidR="0031524E">
        <w:t>here</w:t>
      </w:r>
      <w:r>
        <w:t xml:space="preserve">.  </w:t>
      </w:r>
      <w:r w:rsidR="00D951FD">
        <w:t xml:space="preserve">“A court with general jurisdiction may hear </w:t>
      </w:r>
      <w:r w:rsidR="00D951FD">
        <w:rPr>
          <w:i/>
          <w:iCs/>
        </w:rPr>
        <w:t xml:space="preserve">any </w:t>
      </w:r>
      <w:r w:rsidR="00D951FD">
        <w:t>claim against that defendant, even if all the incidents underlying the claim occurred in a different state.”  (</w:t>
      </w:r>
      <w:r w:rsidRPr="00603686" w:rsidR="00D951FD">
        <w:rPr>
          <w:i/>
          <w:iCs/>
        </w:rPr>
        <w:t>Bristol-Myers Squibb</w:t>
      </w:r>
      <w:r w:rsidR="001100E8">
        <w:t>,</w:t>
      </w:r>
      <w:r w:rsidR="001100E8">
        <w:rPr>
          <w:i/>
          <w:iCs/>
        </w:rPr>
        <w:t xml:space="preserve"> supra</w:t>
      </w:r>
      <w:r w:rsidR="001100E8">
        <w:t>,</w:t>
      </w:r>
      <w:r w:rsidRPr="00603686" w:rsidR="00D951FD">
        <w:t xml:space="preserve"> </w:t>
      </w:r>
      <w:r w:rsidRPr="002A2BA6" w:rsidR="00D951FD">
        <w:t>582</w:t>
      </w:r>
      <w:r w:rsidR="004D0BE0">
        <w:t> </w:t>
      </w:r>
      <w:r w:rsidRPr="002A2BA6" w:rsidR="00D951FD">
        <w:t xml:space="preserve">U.S. </w:t>
      </w:r>
      <w:r w:rsidR="001100E8">
        <w:t>at p.</w:t>
      </w:r>
      <w:r w:rsidR="004D0BE0">
        <w:t> </w:t>
      </w:r>
      <w:r w:rsidR="00D951FD">
        <w:t xml:space="preserve">262.)  </w:t>
      </w:r>
      <w:r w:rsidR="00E55D0C">
        <w:t>“</w:t>
      </w:r>
      <w:r w:rsidR="004D0BE0">
        <w:t> </w:t>
      </w:r>
      <w:r w:rsidR="00E55D0C">
        <w:t xml:space="preserve">‘For an individual, the paradigm forum for the exercise of </w:t>
      </w:r>
      <w:r w:rsidR="00510DC2">
        <w:t>gener</w:t>
      </w:r>
      <w:r w:rsidR="00E55D0C">
        <w:t>al jurisdiction is the individual’s domicile</w:t>
      </w:r>
      <w:r w:rsidR="00080A4B">
        <w:t> </w:t>
      </w:r>
      <w:r w:rsidR="00E55D0C">
        <w:t>.</w:t>
      </w:r>
      <w:r w:rsidR="004D0BE0">
        <w:t> </w:t>
      </w:r>
      <w:r w:rsidR="00E55D0C">
        <w:t>.</w:t>
      </w:r>
      <w:r w:rsidR="004D0BE0">
        <w:t> </w:t>
      </w:r>
      <w:r w:rsidR="00E55D0C">
        <w:t>.</w:t>
      </w:r>
      <w:r w:rsidR="00080A4B">
        <w:t> </w:t>
      </w:r>
      <w:r w:rsidR="00D5733A">
        <w:t>,</w:t>
      </w:r>
      <w:r w:rsidR="00E55D0C">
        <w:t>’</w:t>
      </w:r>
      <w:r w:rsidR="00080A4B">
        <w:t> </w:t>
      </w:r>
      <w:r w:rsidR="00E55D0C">
        <w:t xml:space="preserve">” </w:t>
      </w:r>
      <w:r w:rsidR="4BCFC558">
        <w:t>(</w:t>
      </w:r>
      <w:r w:rsidR="00D5733A">
        <w:rPr>
          <w:i/>
          <w:iCs/>
        </w:rPr>
        <w:t>i</w:t>
      </w:r>
      <w:r w:rsidR="00E55D0C">
        <w:rPr>
          <w:i/>
          <w:iCs/>
        </w:rPr>
        <w:t>bid.</w:t>
      </w:r>
      <w:r w:rsidR="00E55D0C">
        <w:t>)</w:t>
      </w:r>
      <w:r w:rsidR="00D5733A">
        <w:t>, but</w:t>
      </w:r>
      <w:r w:rsidR="001F1568">
        <w:t xml:space="preserve"> </w:t>
      </w:r>
      <w:r w:rsidR="00D5733A">
        <w:t>a</w:t>
      </w:r>
      <w:r w:rsidR="00604804">
        <w:t xml:space="preserve"> court may </w:t>
      </w:r>
      <w:r w:rsidR="004E2090">
        <w:t xml:space="preserve">also </w:t>
      </w:r>
      <w:r w:rsidR="00604804">
        <w:t xml:space="preserve">exercise general jurisdiction over </w:t>
      </w:r>
      <w:r w:rsidR="004E2090">
        <w:t>a nonresident defendant where the</w:t>
      </w:r>
      <w:r w:rsidR="00A337E2">
        <w:t xml:space="preserve"> defendant’s</w:t>
      </w:r>
      <w:r w:rsidR="004E2090">
        <w:t xml:space="preserve"> presence in </w:t>
      </w:r>
      <w:r w:rsidRPr="00CD05E5" w:rsidR="004E2090">
        <w:t xml:space="preserve">the forum is </w:t>
      </w:r>
      <w:r w:rsidRPr="00DF0044" w:rsidR="00F337CD">
        <w:t>“</w:t>
      </w:r>
      <w:r w:rsidRPr="00DF0044" w:rsidR="00B7499C">
        <w:t> ‘</w:t>
      </w:r>
      <w:r w:rsidRPr="00DF0044" w:rsidR="004E2090">
        <w:t xml:space="preserve">so </w:t>
      </w:r>
      <w:r w:rsidRPr="00DF0044" w:rsidR="0057269E">
        <w:t>“</w:t>
      </w:r>
      <w:r w:rsidRPr="00DF0044" w:rsidR="004E2090">
        <w:t>continuous and systematic</w:t>
      </w:r>
      <w:r w:rsidRPr="00DF0044" w:rsidR="0057269E">
        <w:t>” </w:t>
      </w:r>
      <w:r w:rsidRPr="00DF0044" w:rsidR="00F337CD">
        <w:t>’</w:t>
      </w:r>
      <w:r w:rsidRPr="00DF0044" w:rsidR="0057269E">
        <w:t> </w:t>
      </w:r>
      <w:r w:rsidRPr="00DF0044" w:rsidR="00F337CD">
        <w:t>”</w:t>
      </w:r>
      <w:r w:rsidRPr="00DF0044" w:rsidR="004E2090">
        <w:t xml:space="preserve"> tha</w:t>
      </w:r>
      <w:r w:rsidRPr="00CD05E5" w:rsidR="004E2090">
        <w:t>t the</w:t>
      </w:r>
      <w:r w:rsidR="00A337E2">
        <w:t xml:space="preserve"> defendant is</w:t>
      </w:r>
      <w:r w:rsidRPr="00CD05E5" w:rsidR="004E2090">
        <w:t xml:space="preserve"> “</w:t>
      </w:r>
      <w:r w:rsidR="0057269E">
        <w:t> </w:t>
      </w:r>
      <w:r w:rsidR="00902E9F">
        <w:t>‘</w:t>
      </w:r>
      <w:r w:rsidRPr="00CD05E5" w:rsidR="004E2090">
        <w:t>essentially at home</w:t>
      </w:r>
      <w:r w:rsidR="00902E9F">
        <w:t>’</w:t>
      </w:r>
      <w:r w:rsidR="0057269E">
        <w:t> </w:t>
      </w:r>
      <w:r w:rsidRPr="00CD05E5" w:rsidR="004E2090">
        <w:t xml:space="preserve">” </w:t>
      </w:r>
      <w:r w:rsidR="00A946AC">
        <w:t>there</w:t>
      </w:r>
      <w:r w:rsidRPr="00CD05E5" w:rsidR="004E2090">
        <w:t xml:space="preserve">.  </w:t>
      </w:r>
      <w:r w:rsidRPr="00CD05E5" w:rsidR="007A34A5">
        <w:rPr>
          <w:rFonts w:cs="Calibri Light"/>
        </w:rPr>
        <w:t>(</w:t>
      </w:r>
      <w:r w:rsidRPr="00CD05E5" w:rsidR="007A34A5">
        <w:rPr>
          <w:rFonts w:cs="Calibri Light"/>
          <w:i/>
          <w:iCs/>
        </w:rPr>
        <w:t>Daimler</w:t>
      </w:r>
      <w:r w:rsidR="00FF2E6F">
        <w:rPr>
          <w:rFonts w:cs="Calibri Light"/>
          <w:i/>
          <w:iCs/>
        </w:rPr>
        <w:t> </w:t>
      </w:r>
      <w:r w:rsidRPr="00CD05E5" w:rsidR="007A34A5">
        <w:rPr>
          <w:rFonts w:cs="Calibri Light"/>
          <w:i/>
          <w:iCs/>
        </w:rPr>
        <w:t>AG v. Bauman</w:t>
      </w:r>
      <w:r w:rsidRPr="00CD05E5" w:rsidR="007A34A5">
        <w:rPr>
          <w:rFonts w:cs="Calibri Light"/>
        </w:rPr>
        <w:t xml:space="preserve"> (2014) 571</w:t>
      </w:r>
      <w:r w:rsidR="00A50C3B">
        <w:rPr>
          <w:rFonts w:cs="Calibri Light"/>
        </w:rPr>
        <w:t> </w:t>
      </w:r>
      <w:r w:rsidRPr="00CD05E5" w:rsidR="007A34A5">
        <w:rPr>
          <w:rFonts w:cs="Calibri Light"/>
        </w:rPr>
        <w:t>U.S. 117, 137, 139, fn.</w:t>
      </w:r>
      <w:r w:rsidR="00A50C3B">
        <w:rPr>
          <w:rFonts w:cs="Calibri Light"/>
        </w:rPr>
        <w:t> </w:t>
      </w:r>
      <w:r w:rsidRPr="00CD05E5" w:rsidR="007A34A5">
        <w:rPr>
          <w:rFonts w:cs="Calibri Light"/>
        </w:rPr>
        <w:t>19</w:t>
      </w:r>
      <w:r w:rsidR="005570F0">
        <w:rPr>
          <w:rFonts w:cs="Calibri Light"/>
        </w:rPr>
        <w:t xml:space="preserve">; see </w:t>
      </w:r>
      <w:r w:rsidR="00A23FF6">
        <w:rPr>
          <w:rFonts w:cs="Calibri Light"/>
          <w:i/>
          <w:iCs/>
        </w:rPr>
        <w:t>David</w:t>
      </w:r>
      <w:r w:rsidR="00FF2E6F">
        <w:rPr>
          <w:rFonts w:cs="Calibri Light"/>
          <w:i/>
          <w:iCs/>
        </w:rPr>
        <w:t> </w:t>
      </w:r>
      <w:r w:rsidR="00A23FF6">
        <w:rPr>
          <w:rFonts w:cs="Calibri Light"/>
          <w:i/>
          <w:iCs/>
        </w:rPr>
        <w:t>L.</w:t>
      </w:r>
      <w:r w:rsidR="00A23FF6">
        <w:rPr>
          <w:rFonts w:cs="Calibri Light"/>
        </w:rPr>
        <w:t xml:space="preserve">, </w:t>
      </w:r>
      <w:r w:rsidR="00A23FF6">
        <w:rPr>
          <w:rFonts w:cs="Calibri Light"/>
          <w:i/>
          <w:iCs/>
        </w:rPr>
        <w:t>supra</w:t>
      </w:r>
      <w:r w:rsidR="00A23FF6">
        <w:rPr>
          <w:rFonts w:cs="Calibri Light"/>
        </w:rPr>
        <w:t>,</w:t>
      </w:r>
      <w:r w:rsidR="005570F0">
        <w:rPr>
          <w:rFonts w:cs="Calibri Light"/>
        </w:rPr>
        <w:t xml:space="preserve"> </w:t>
      </w:r>
      <w:r w:rsidR="00A23FF6">
        <w:t>29 Cal.App.5th at p. 366 [defendant’s contacts with the forum must be “ ‘so wide-ranging that they take the place of physical presence in the forum’ ”]</w:t>
      </w:r>
      <w:r w:rsidRPr="00CD05E5" w:rsidR="007A34A5">
        <w:rPr>
          <w:rFonts w:cs="Calibri Light"/>
        </w:rPr>
        <w:t>.)</w:t>
      </w:r>
    </w:p>
    <w:p w:rsidR="00F03459" w:rsidP="00E676B8" w14:paraId="6E62A8AB" w14:textId="0B314A8F">
      <w:pPr>
        <w:autoSpaceDE w:val="0"/>
        <w:autoSpaceDN w:val="0"/>
        <w:ind w:firstLine="720"/>
      </w:pPr>
      <w:r>
        <w:t>The</w:t>
      </w:r>
      <w:r w:rsidR="001F4E27">
        <w:t xml:space="preserve"> trial </w:t>
      </w:r>
      <w:r w:rsidR="00CA4473">
        <w:t xml:space="preserve">court </w:t>
      </w:r>
      <w:r w:rsidR="000D30C8">
        <w:t xml:space="preserve">concluded that general jurisdiction was lacking </w:t>
      </w:r>
      <w:r w:rsidR="005329F6">
        <w:t>based on its finding</w:t>
      </w:r>
      <w:r w:rsidR="000D30C8">
        <w:t xml:space="preserve"> </w:t>
      </w:r>
      <w:r w:rsidR="001F4E27">
        <w:t>that Van</w:t>
      </w:r>
      <w:r w:rsidR="00A34CAF">
        <w:t>zyl</w:t>
      </w:r>
      <w:r w:rsidR="003F50B3">
        <w:t xml:space="preserve"> was</w:t>
      </w:r>
      <w:r w:rsidR="00A34CAF">
        <w:t xml:space="preserve"> domicile</w:t>
      </w:r>
      <w:r w:rsidR="003F50B3">
        <w:t>d</w:t>
      </w:r>
      <w:r w:rsidR="00A34CAF">
        <w:t xml:space="preserve"> in Florida in March</w:t>
      </w:r>
      <w:r w:rsidR="00080A4B">
        <w:t> </w:t>
      </w:r>
      <w:r w:rsidR="00A34CAF">
        <w:t>2022</w:t>
      </w:r>
      <w:r w:rsidR="000D30C8">
        <w:t xml:space="preserve">. </w:t>
      </w:r>
      <w:r w:rsidR="005425F1">
        <w:t xml:space="preserve"> </w:t>
      </w:r>
      <w:r w:rsidR="007D345A">
        <w:t>While we conclud</w:t>
      </w:r>
      <w:r w:rsidR="00B0767B">
        <w:t xml:space="preserve">e that Vanzyl’s declaration constituted substantial evidence in support of this finding, his </w:t>
      </w:r>
      <w:r w:rsidR="00DE715C">
        <w:t xml:space="preserve">domicile </w:t>
      </w:r>
      <w:r w:rsidR="00030548">
        <w:t xml:space="preserve">does not necessarily end the inquiry.  </w:t>
      </w:r>
      <w:r w:rsidR="005F7D44">
        <w:t xml:space="preserve">While </w:t>
      </w:r>
      <w:r w:rsidR="00C555DE">
        <w:t xml:space="preserve">it may be the “exceptional” case in which </w:t>
      </w:r>
      <w:r w:rsidR="005D4163">
        <w:t>the facts would warrant the exercise of</w:t>
      </w:r>
      <w:r w:rsidR="00175FCF">
        <w:t xml:space="preserve"> general jurisdiction </w:t>
      </w:r>
      <w:r w:rsidR="000602EF">
        <w:t>over an individual who is domiciled elsewhere</w:t>
      </w:r>
      <w:r w:rsidR="009E2F62">
        <w:t xml:space="preserve"> (cf. </w:t>
      </w:r>
      <w:r w:rsidR="009E2F62">
        <w:rPr>
          <w:i/>
          <w:iCs/>
        </w:rPr>
        <w:t>Daimler</w:t>
      </w:r>
      <w:r w:rsidR="00D175BE">
        <w:rPr>
          <w:i/>
          <w:iCs/>
        </w:rPr>
        <w:t> </w:t>
      </w:r>
      <w:r w:rsidRPr="00DF0044" w:rsidR="0057269E">
        <w:rPr>
          <w:i/>
          <w:iCs/>
        </w:rPr>
        <w:t>AG v. Bauman</w:t>
      </w:r>
      <w:r w:rsidRPr="00DF0044" w:rsidR="000E1CB2">
        <w:rPr>
          <w:i/>
          <w:iCs/>
        </w:rPr>
        <w:t>,</w:t>
      </w:r>
      <w:r w:rsidR="000E1CB2">
        <w:rPr>
          <w:i/>
          <w:iCs/>
        </w:rPr>
        <w:t xml:space="preserve"> supra</w:t>
      </w:r>
      <w:r w:rsidR="000E1CB2">
        <w:t>, 571</w:t>
      </w:r>
      <w:r w:rsidR="00246D5A">
        <w:t> </w:t>
      </w:r>
      <w:r w:rsidR="000E1CB2">
        <w:t>U.S. at p.</w:t>
      </w:r>
      <w:r w:rsidR="00246D5A">
        <w:t> </w:t>
      </w:r>
      <w:r w:rsidR="008F64D7">
        <w:t>139</w:t>
      </w:r>
      <w:r w:rsidR="00C0718A">
        <w:t>,</w:t>
      </w:r>
      <w:r w:rsidR="008F64D7">
        <w:t xml:space="preserve"> fn.</w:t>
      </w:r>
      <w:r w:rsidR="00246D5A">
        <w:t> </w:t>
      </w:r>
      <w:r w:rsidR="008F64D7">
        <w:t>19</w:t>
      </w:r>
      <w:r w:rsidR="00936339">
        <w:t xml:space="preserve"> [</w:t>
      </w:r>
      <w:r w:rsidR="00A72042">
        <w:t xml:space="preserve">discussing </w:t>
      </w:r>
      <w:r w:rsidR="00A27E53">
        <w:t>corporations</w:t>
      </w:r>
      <w:r w:rsidR="00E36DD8">
        <w:t>]</w:t>
      </w:r>
      <w:r w:rsidR="008F64D7">
        <w:t>)</w:t>
      </w:r>
      <w:r w:rsidR="009E2F62">
        <w:t xml:space="preserve">, </w:t>
      </w:r>
      <w:r w:rsidR="0076037E">
        <w:t xml:space="preserve">the </w:t>
      </w:r>
      <w:r w:rsidR="005F00BB">
        <w:t>“essentially at home” standard</w:t>
      </w:r>
      <w:r w:rsidR="00A60905">
        <w:t xml:space="preserve"> </w:t>
      </w:r>
      <w:r w:rsidR="007F0253">
        <w:t>leaves open</w:t>
      </w:r>
      <w:r w:rsidR="0076037E">
        <w:t xml:space="preserve"> </w:t>
      </w:r>
      <w:r w:rsidR="004D38E7">
        <w:t xml:space="preserve">the possibility.  </w:t>
      </w:r>
      <w:r w:rsidR="004F02BE">
        <w:t xml:space="preserve">(See </w:t>
      </w:r>
      <w:r w:rsidRPr="004F02BE" w:rsidR="004F02BE">
        <w:rPr>
          <w:i/>
          <w:iCs/>
        </w:rPr>
        <w:t>Fernandez v. Tox Corporation</w:t>
      </w:r>
      <w:r w:rsidR="004F02BE">
        <w:t xml:space="preserve"> (C.D. Cal.</w:t>
      </w:r>
      <w:r w:rsidR="00194CC1">
        <w:t> </w:t>
      </w:r>
      <w:r w:rsidR="004F02BE">
        <w:t>2023) 677</w:t>
      </w:r>
      <w:r w:rsidR="00246D5A">
        <w:t> </w:t>
      </w:r>
      <w:r w:rsidR="004F02BE">
        <w:t>F.Supp.3d 1089, 1102</w:t>
      </w:r>
      <w:r w:rsidR="00511771">
        <w:t>.</w:t>
      </w:r>
      <w:r w:rsidR="004F02BE">
        <w:t>)</w:t>
      </w:r>
      <w:r w:rsidR="005F7D44">
        <w:t xml:space="preserve"> </w:t>
      </w:r>
      <w:r w:rsidR="000D30C8">
        <w:t xml:space="preserve"> </w:t>
      </w:r>
    </w:p>
    <w:p w:rsidR="00D04A5D" w:rsidRPr="00E676B8" w:rsidP="00CD2DDB" w14:paraId="37FE7829" w14:textId="2CE62A6F">
      <w:pPr>
        <w:autoSpaceDE w:val="0"/>
        <w:autoSpaceDN w:val="0"/>
        <w:ind w:firstLine="720"/>
        <w:rPr>
          <w:rFonts w:cs="Calibri Light"/>
        </w:rPr>
      </w:pPr>
      <w:r>
        <w:t xml:space="preserve">Here, there appears to be no dispute that Vanzyl </w:t>
      </w:r>
      <w:r w:rsidR="005222AC">
        <w:t>had a continuous and systematic presence</w:t>
      </w:r>
      <w:r>
        <w:t xml:space="preserve"> in California</w:t>
      </w:r>
      <w:r w:rsidR="001F4E27">
        <w:t xml:space="preserve"> </w:t>
      </w:r>
      <w:r>
        <w:t>as late as February</w:t>
      </w:r>
      <w:r w:rsidR="00246D5A">
        <w:t> </w:t>
      </w:r>
      <w:r>
        <w:t>2022</w:t>
      </w:r>
      <w:r w:rsidR="005222AC">
        <w:t>; it was his domicile and</w:t>
      </w:r>
      <w:r w:rsidR="00395806">
        <w:t xml:space="preserve"> he </w:t>
      </w:r>
      <w:r w:rsidR="007B7FE4">
        <w:t xml:space="preserve">had </w:t>
      </w:r>
      <w:r w:rsidR="004D5F7B">
        <w:t>worked</w:t>
      </w:r>
      <w:r w:rsidR="000079D4">
        <w:t xml:space="preserve"> </w:t>
      </w:r>
      <w:r>
        <w:t xml:space="preserve">in </w:t>
      </w:r>
      <w:r w:rsidR="005222AC">
        <w:t>the</w:t>
      </w:r>
      <w:r>
        <w:t xml:space="preserve"> state</w:t>
      </w:r>
      <w:r w:rsidR="000079D4">
        <w:t xml:space="preserve"> at least </w:t>
      </w:r>
      <w:r w:rsidR="004D5F7B">
        <w:t>since</w:t>
      </w:r>
      <w:r w:rsidR="00246D5A">
        <w:t> </w:t>
      </w:r>
      <w:r w:rsidR="004D5F7B">
        <w:t>2019</w:t>
      </w:r>
      <w:r>
        <w:t xml:space="preserve">.  </w:t>
      </w:r>
      <w:r w:rsidR="00FA2360">
        <w:t xml:space="preserve">While </w:t>
      </w:r>
      <w:r w:rsidR="00633BA7">
        <w:t xml:space="preserve">in March </w:t>
      </w:r>
      <w:r w:rsidR="00FA2360">
        <w:t>he changed his domicile</w:t>
      </w:r>
      <w:r w:rsidR="00B77A91">
        <w:t xml:space="preserve"> to Florida and </w:t>
      </w:r>
      <w:r w:rsidR="005D564C">
        <w:t xml:space="preserve">apparently </w:t>
      </w:r>
      <w:r w:rsidR="003E477B">
        <w:t>later</w:t>
      </w:r>
      <w:r w:rsidR="00B77A91">
        <w:t xml:space="preserve"> </w:t>
      </w:r>
      <w:r w:rsidR="00633BA7">
        <w:t xml:space="preserve">to </w:t>
      </w:r>
      <w:r w:rsidR="0072253E">
        <w:t>Australia</w:t>
      </w:r>
      <w:r w:rsidR="00B0793C">
        <w:t>,</w:t>
      </w:r>
      <w:r w:rsidR="000E668F">
        <w:t xml:space="preserve"> </w:t>
      </w:r>
      <w:r w:rsidR="00553618">
        <w:t xml:space="preserve">there is evidence </w:t>
      </w:r>
      <w:r w:rsidR="006C7CFD">
        <w:t xml:space="preserve">indicating </w:t>
      </w:r>
      <w:r w:rsidR="00C5646B">
        <w:t xml:space="preserve">that </w:t>
      </w:r>
      <w:r w:rsidR="008B311A">
        <w:t>California remained</w:t>
      </w:r>
      <w:r w:rsidR="00443A6C">
        <w:t xml:space="preserve"> </w:t>
      </w:r>
      <w:r w:rsidR="008C7EE9">
        <w:t>an important</w:t>
      </w:r>
      <w:r w:rsidR="00F66D37">
        <w:t xml:space="preserve"> </w:t>
      </w:r>
      <w:r w:rsidR="00443A6C">
        <w:t xml:space="preserve">locus </w:t>
      </w:r>
      <w:r w:rsidR="008C7EE9">
        <w:t>of his</w:t>
      </w:r>
      <w:r w:rsidR="001200D6">
        <w:t xml:space="preserve"> professional </w:t>
      </w:r>
      <w:r w:rsidR="00FA7FE4">
        <w:t>and</w:t>
      </w:r>
      <w:r w:rsidR="001200D6">
        <w:t xml:space="preserve"> personal </w:t>
      </w:r>
      <w:r w:rsidR="00443A6C">
        <w:t>activities</w:t>
      </w:r>
      <w:r w:rsidR="00F32A5F">
        <w:t>.</w:t>
      </w:r>
      <w:r w:rsidR="00623F63">
        <w:t xml:space="preserve">  </w:t>
      </w:r>
      <w:r w:rsidR="000D7FAB">
        <w:t xml:space="preserve">For example, </w:t>
      </w:r>
      <w:r w:rsidR="00D20009">
        <w:rPr>
          <w:rFonts w:cs="Calibri Light"/>
        </w:rPr>
        <w:t>Vanzyl’s</w:t>
      </w:r>
      <w:r w:rsidRPr="00D77381" w:rsidR="000D7FAB">
        <w:rPr>
          <w:rFonts w:cs="Calibri Light"/>
        </w:rPr>
        <w:t xml:space="preserve"> social media profiles through May</w:t>
      </w:r>
      <w:r w:rsidR="00246D5A">
        <w:rPr>
          <w:rFonts w:cs="Calibri Light"/>
        </w:rPr>
        <w:t> </w:t>
      </w:r>
      <w:r w:rsidRPr="00D77381" w:rsidR="000D7FAB">
        <w:rPr>
          <w:rFonts w:cs="Calibri Light"/>
        </w:rPr>
        <w:t xml:space="preserve">2023 </w:t>
      </w:r>
      <w:r w:rsidR="007D19FB">
        <w:rPr>
          <w:rFonts w:cs="Calibri Light"/>
        </w:rPr>
        <w:t>describe him as</w:t>
      </w:r>
      <w:r w:rsidRPr="00D77381" w:rsidR="000D7FAB">
        <w:rPr>
          <w:rFonts w:cs="Calibri Light"/>
        </w:rPr>
        <w:t xml:space="preserve"> a San</w:t>
      </w:r>
      <w:r w:rsidR="00462120">
        <w:rPr>
          <w:rFonts w:cs="Calibri Light"/>
        </w:rPr>
        <w:t> </w:t>
      </w:r>
      <w:r w:rsidRPr="00D77381" w:rsidR="000D7FAB">
        <w:rPr>
          <w:rFonts w:cs="Calibri Light"/>
        </w:rPr>
        <w:t>Francisco-based investor.</w:t>
      </w:r>
      <w:r w:rsidRPr="00DA5DBB" w:rsidR="000D7FAB">
        <w:rPr>
          <w:rFonts w:cs="Calibri Light"/>
        </w:rPr>
        <w:t xml:space="preserve"> </w:t>
      </w:r>
      <w:r w:rsidR="00E676B8">
        <w:rPr>
          <w:rFonts w:cs="Calibri Light"/>
        </w:rPr>
        <w:t xml:space="preserve"> He </w:t>
      </w:r>
      <w:r w:rsidRPr="00D77381" w:rsidR="000D7FAB">
        <w:rPr>
          <w:rFonts w:cs="Calibri Light"/>
        </w:rPr>
        <w:t>continued to own Target Velocity, a San</w:t>
      </w:r>
      <w:r w:rsidR="00462120">
        <w:rPr>
          <w:rFonts w:cs="Calibri Light"/>
        </w:rPr>
        <w:t> </w:t>
      </w:r>
      <w:r w:rsidRPr="00D77381" w:rsidR="000D7FAB">
        <w:rPr>
          <w:rFonts w:cs="Calibri Light"/>
        </w:rPr>
        <w:t>Francisco-based company, in</w:t>
      </w:r>
      <w:r w:rsidR="00246D5A">
        <w:rPr>
          <w:rFonts w:cs="Calibri Light"/>
        </w:rPr>
        <w:t> </w:t>
      </w:r>
      <w:r w:rsidRPr="00D77381" w:rsidR="000D7FAB">
        <w:rPr>
          <w:rFonts w:cs="Calibri Light"/>
        </w:rPr>
        <w:t>2023.</w:t>
      </w:r>
      <w:r w:rsidR="00246D5A">
        <w:rPr>
          <w:rFonts w:cs="Calibri Light"/>
        </w:rPr>
        <w:t xml:space="preserve"> </w:t>
      </w:r>
      <w:r w:rsidRPr="00D77381" w:rsidR="000D7FAB">
        <w:rPr>
          <w:rFonts w:cs="Calibri Light"/>
        </w:rPr>
        <w:t xml:space="preserve"> In March</w:t>
      </w:r>
      <w:r w:rsidR="00246D5A">
        <w:rPr>
          <w:rFonts w:cs="Calibri Light"/>
        </w:rPr>
        <w:t> </w:t>
      </w:r>
      <w:r w:rsidRPr="00D77381" w:rsidR="000D7FAB">
        <w:rPr>
          <w:rFonts w:cs="Calibri Light"/>
        </w:rPr>
        <w:t xml:space="preserve">2023, he answered a </w:t>
      </w:r>
      <w:r w:rsidR="000D7FAB">
        <w:rPr>
          <w:rFonts w:cs="Calibri Light"/>
        </w:rPr>
        <w:t>tele</w:t>
      </w:r>
      <w:r w:rsidRPr="00D77381" w:rsidR="000D7FAB">
        <w:rPr>
          <w:rFonts w:cs="Calibri Light"/>
        </w:rPr>
        <w:t xml:space="preserve">phone number with a </w:t>
      </w:r>
      <w:r w:rsidR="000D7FAB">
        <w:rPr>
          <w:rFonts w:cs="Calibri Light"/>
        </w:rPr>
        <w:t>San</w:t>
      </w:r>
      <w:r w:rsidR="00C13C45">
        <w:rPr>
          <w:rFonts w:cs="Calibri Light"/>
        </w:rPr>
        <w:t> </w:t>
      </w:r>
      <w:r w:rsidR="000D7FAB">
        <w:rPr>
          <w:rFonts w:cs="Calibri Light"/>
        </w:rPr>
        <w:t>Francisco</w:t>
      </w:r>
      <w:r w:rsidRPr="00D77381" w:rsidR="000D7FAB">
        <w:rPr>
          <w:rFonts w:cs="Calibri Light"/>
        </w:rPr>
        <w:t xml:space="preserve"> area code attributed to Target Velocity</w:t>
      </w:r>
      <w:r w:rsidR="000D7FAB">
        <w:rPr>
          <w:rFonts w:cs="Calibri Light"/>
        </w:rPr>
        <w:t>, and he had an email address with “targetvelocity.com” as the domain name</w:t>
      </w:r>
      <w:r w:rsidRPr="00D77381" w:rsidR="000D7FAB">
        <w:rPr>
          <w:rFonts w:cs="Calibri Light"/>
        </w:rPr>
        <w:t>.</w:t>
      </w:r>
      <w:r w:rsidR="00426016">
        <w:rPr>
          <w:rFonts w:cs="Calibri Light"/>
        </w:rPr>
        <w:t xml:space="preserve"> </w:t>
      </w:r>
      <w:r w:rsidRPr="00D77381" w:rsidR="000D7FAB">
        <w:rPr>
          <w:rFonts w:cs="Calibri Light"/>
        </w:rPr>
        <w:t xml:space="preserve"> </w:t>
      </w:r>
      <w:r w:rsidR="006C7CFD">
        <w:rPr>
          <w:rFonts w:cs="Calibri Light"/>
        </w:rPr>
        <w:t>When</w:t>
      </w:r>
      <w:r w:rsidR="004C4F4F">
        <w:rPr>
          <w:rFonts w:cs="Calibri Light"/>
        </w:rPr>
        <w:t xml:space="preserve"> he lived in San</w:t>
      </w:r>
      <w:r w:rsidR="00C13C45">
        <w:rPr>
          <w:rFonts w:cs="Calibri Light"/>
        </w:rPr>
        <w:t> </w:t>
      </w:r>
      <w:r w:rsidR="004C4F4F">
        <w:rPr>
          <w:rFonts w:cs="Calibri Light"/>
        </w:rPr>
        <w:t xml:space="preserve">Francisco, </w:t>
      </w:r>
      <w:r w:rsidRPr="00E072F7" w:rsidR="007B7FE4">
        <w:rPr>
          <w:rFonts w:cs="Calibri Light"/>
        </w:rPr>
        <w:t>Vanzyl</w:t>
      </w:r>
      <w:r w:rsidR="003F1918">
        <w:rPr>
          <w:rFonts w:cs="Calibri Light"/>
        </w:rPr>
        <w:t xml:space="preserve"> and his family</w:t>
      </w:r>
      <w:r w:rsidRPr="00E072F7" w:rsidR="007B7FE4">
        <w:rPr>
          <w:rFonts w:cs="Calibri Light"/>
        </w:rPr>
        <w:t xml:space="preserve"> spent </w:t>
      </w:r>
      <w:r w:rsidR="003F1918">
        <w:rPr>
          <w:rFonts w:cs="Calibri Light"/>
        </w:rPr>
        <w:t xml:space="preserve">significant </w:t>
      </w:r>
      <w:r w:rsidRPr="00E072F7" w:rsidR="007B7FE4">
        <w:rPr>
          <w:rFonts w:cs="Calibri Light"/>
        </w:rPr>
        <w:t xml:space="preserve">time at </w:t>
      </w:r>
      <w:r w:rsidR="002C02C7">
        <w:rPr>
          <w:rFonts w:cs="Calibri Light"/>
        </w:rPr>
        <w:t>a house</w:t>
      </w:r>
      <w:r w:rsidRPr="00E072F7" w:rsidR="007B7FE4">
        <w:rPr>
          <w:rFonts w:cs="Calibri Light"/>
        </w:rPr>
        <w:t xml:space="preserve"> in Lake</w:t>
      </w:r>
      <w:r w:rsidR="00DE1327">
        <w:rPr>
          <w:rFonts w:cs="Calibri Light"/>
        </w:rPr>
        <w:t> </w:t>
      </w:r>
      <w:r w:rsidRPr="00E072F7" w:rsidR="007B7FE4">
        <w:rPr>
          <w:rFonts w:cs="Calibri Light"/>
        </w:rPr>
        <w:t>Tahoe</w:t>
      </w:r>
      <w:r w:rsidR="003F1918">
        <w:rPr>
          <w:rFonts w:cs="Calibri Light"/>
        </w:rPr>
        <w:t xml:space="preserve"> apparently owned directly or indirectly </w:t>
      </w:r>
      <w:r w:rsidR="004E2076">
        <w:rPr>
          <w:rFonts w:cs="Calibri Light"/>
        </w:rPr>
        <w:t>by his parents</w:t>
      </w:r>
      <w:r w:rsidR="0058234D">
        <w:rPr>
          <w:rFonts w:cs="Calibri Light"/>
        </w:rPr>
        <w:t xml:space="preserve"> </w:t>
      </w:r>
      <w:r w:rsidR="00BA46DA">
        <w:rPr>
          <w:rFonts w:cs="Calibri Light"/>
        </w:rPr>
        <w:t>and</w:t>
      </w:r>
      <w:r w:rsidR="0093750E">
        <w:rPr>
          <w:rFonts w:cs="Calibri Light"/>
        </w:rPr>
        <w:t xml:space="preserve"> that Vanzyl described to Hardell as his “home base</w:t>
      </w:r>
      <w:r w:rsidR="00BA46DA">
        <w:rPr>
          <w:rFonts w:cs="Calibri Light"/>
        </w:rPr>
        <w:t>.</w:t>
      </w:r>
      <w:r w:rsidR="0093750E">
        <w:rPr>
          <w:rFonts w:cs="Calibri Light"/>
        </w:rPr>
        <w:t>”</w:t>
      </w:r>
      <w:r w:rsidRPr="00E072F7" w:rsidR="0093750E">
        <w:rPr>
          <w:rFonts w:cs="Calibri Light"/>
        </w:rPr>
        <w:t xml:space="preserve"> </w:t>
      </w:r>
      <w:r w:rsidR="0093750E">
        <w:rPr>
          <w:rFonts w:cs="Calibri Light"/>
        </w:rPr>
        <w:t xml:space="preserve"> </w:t>
      </w:r>
      <w:r w:rsidR="00057952">
        <w:rPr>
          <w:rFonts w:cs="Calibri Light"/>
        </w:rPr>
        <w:t xml:space="preserve">The record is unclear about </w:t>
      </w:r>
      <w:r w:rsidR="000C6720">
        <w:rPr>
          <w:rFonts w:cs="Calibri Light"/>
        </w:rPr>
        <w:t>whether he would have considered himself at home there</w:t>
      </w:r>
      <w:r w:rsidR="00612DB9">
        <w:rPr>
          <w:rFonts w:cs="Calibri Light"/>
        </w:rPr>
        <w:t xml:space="preserve"> after he moved to Florida, but </w:t>
      </w:r>
      <w:r w:rsidR="007C1CA8">
        <w:rPr>
          <w:rFonts w:cs="Calibri Light"/>
        </w:rPr>
        <w:t xml:space="preserve">at least </w:t>
      </w:r>
      <w:r w:rsidRPr="00E072F7" w:rsidR="007B7FE4">
        <w:rPr>
          <w:rFonts w:cs="Calibri Light"/>
        </w:rPr>
        <w:t xml:space="preserve">some of </w:t>
      </w:r>
      <w:r w:rsidR="007B7FE4">
        <w:rPr>
          <w:rFonts w:cs="Calibri Light"/>
        </w:rPr>
        <w:t>hi</w:t>
      </w:r>
      <w:r w:rsidRPr="00E072F7" w:rsidR="007B7FE4">
        <w:rPr>
          <w:rFonts w:cs="Calibri Light"/>
        </w:rPr>
        <w:t xml:space="preserve">s mail was </w:t>
      </w:r>
      <w:r w:rsidR="0088107C">
        <w:rPr>
          <w:rFonts w:cs="Calibri Light"/>
        </w:rPr>
        <w:t xml:space="preserve">sent and/or </w:t>
      </w:r>
      <w:r w:rsidRPr="00E072F7" w:rsidR="007B7FE4">
        <w:rPr>
          <w:rFonts w:cs="Calibri Light"/>
        </w:rPr>
        <w:t xml:space="preserve">forwarded to the Tahoe home </w:t>
      </w:r>
      <w:r w:rsidR="007C1CA8">
        <w:rPr>
          <w:rFonts w:cs="Calibri Light"/>
        </w:rPr>
        <w:t>between January and</w:t>
      </w:r>
      <w:r w:rsidRPr="00E072F7" w:rsidR="007B7FE4">
        <w:rPr>
          <w:rFonts w:cs="Calibri Light"/>
        </w:rPr>
        <w:t xml:space="preserve"> May</w:t>
      </w:r>
      <w:r w:rsidR="00246D5A">
        <w:rPr>
          <w:rFonts w:cs="Calibri Light"/>
        </w:rPr>
        <w:t> </w:t>
      </w:r>
      <w:r w:rsidRPr="00E072F7" w:rsidR="007B7FE4">
        <w:rPr>
          <w:rFonts w:cs="Calibri Light"/>
        </w:rPr>
        <w:t>2023</w:t>
      </w:r>
      <w:r w:rsidR="00E21E58">
        <w:rPr>
          <w:rFonts w:cs="Calibri Light"/>
        </w:rPr>
        <w:t>,</w:t>
      </w:r>
      <w:r w:rsidRPr="00E072F7" w:rsidR="007B7FE4">
        <w:rPr>
          <w:rFonts w:cs="Calibri Light"/>
        </w:rPr>
        <w:t xml:space="preserve"> </w:t>
      </w:r>
      <w:r w:rsidR="007C1CA8">
        <w:rPr>
          <w:rFonts w:cs="Calibri Light"/>
        </w:rPr>
        <w:t>including</w:t>
      </w:r>
      <w:r w:rsidR="00F44128">
        <w:rPr>
          <w:rFonts w:cs="Calibri Light"/>
        </w:rPr>
        <w:t xml:space="preserve"> m</w:t>
      </w:r>
      <w:r w:rsidRPr="00E072F7" w:rsidR="007B7FE4">
        <w:rPr>
          <w:rFonts w:cs="Calibri Light"/>
        </w:rPr>
        <w:t xml:space="preserve">ail addressed </w:t>
      </w:r>
      <w:r w:rsidR="007B7FE4">
        <w:rPr>
          <w:rFonts w:cs="Calibri Light"/>
        </w:rPr>
        <w:t xml:space="preserve">to </w:t>
      </w:r>
      <w:r w:rsidRPr="00E072F7" w:rsidR="007B7FE4">
        <w:rPr>
          <w:rFonts w:cs="Calibri Light"/>
        </w:rPr>
        <w:t>the Florida home.</w:t>
      </w:r>
      <w:r w:rsidR="00426016">
        <w:rPr>
          <w:rFonts w:cs="Calibri Light"/>
        </w:rPr>
        <w:t xml:space="preserve"> </w:t>
      </w:r>
      <w:r w:rsidR="00CD2DDB">
        <w:rPr>
          <w:rFonts w:cs="Calibri Light"/>
        </w:rPr>
        <w:t xml:space="preserve"> </w:t>
      </w:r>
      <w:r w:rsidR="00623F63">
        <w:t xml:space="preserve">Under </w:t>
      </w:r>
      <w:r w:rsidR="00017524">
        <w:t xml:space="preserve">the </w:t>
      </w:r>
      <w:r w:rsidR="00B36E7C">
        <w:t>circumstances</w:t>
      </w:r>
      <w:r w:rsidR="00623F63">
        <w:t xml:space="preserve">, </w:t>
      </w:r>
      <w:r w:rsidR="002E2B96">
        <w:t xml:space="preserve">we believe </w:t>
      </w:r>
      <w:r w:rsidR="00B551C7">
        <w:t xml:space="preserve">the trial court should have considered whether </w:t>
      </w:r>
      <w:r w:rsidR="0032771F">
        <w:t xml:space="preserve">the nature and quality of </w:t>
      </w:r>
      <w:r w:rsidR="00B551C7">
        <w:t>Vanzyl</w:t>
      </w:r>
      <w:r w:rsidR="0032771F">
        <w:t xml:space="preserve">’s continued contacts </w:t>
      </w:r>
      <w:r w:rsidR="00F84F76">
        <w:t>with California</w:t>
      </w:r>
      <w:r w:rsidR="00564A5D">
        <w:t xml:space="preserve"> </w:t>
      </w:r>
      <w:r w:rsidR="00F84F76">
        <w:t xml:space="preserve">rendered him </w:t>
      </w:r>
      <w:r w:rsidR="00B551C7">
        <w:t>subject to general jurisdiction</w:t>
      </w:r>
      <w:r w:rsidR="002027DD">
        <w:t xml:space="preserve"> </w:t>
      </w:r>
      <w:r w:rsidR="00F84F76">
        <w:t>here</w:t>
      </w:r>
      <w:r w:rsidR="00B551C7">
        <w:t xml:space="preserve"> </w:t>
      </w:r>
      <w:r w:rsidR="00CA56DD">
        <w:t>notwithstanding that he</w:t>
      </w:r>
      <w:r w:rsidR="00B551C7">
        <w:t xml:space="preserve"> was domiciled elsewhere.</w:t>
      </w:r>
      <w:r>
        <w:rPr>
          <w:rStyle w:val="FootnoteReference"/>
          <w:rFonts w:cs="Calibri Light"/>
        </w:rPr>
        <w:footnoteReference w:id="4"/>
      </w:r>
    </w:p>
    <w:p w:rsidR="00CB2E7A" w:rsidP="00CB2E7A" w14:paraId="079B5C20" w14:textId="57E26B46">
      <w:pPr>
        <w:autoSpaceDE w:val="0"/>
        <w:autoSpaceDN w:val="0"/>
        <w:ind w:firstLine="720"/>
        <w:rPr>
          <w:rFonts w:cs="Calibri Light"/>
        </w:rPr>
      </w:pPr>
      <w:r>
        <w:t>T</w:t>
      </w:r>
      <w:r w:rsidR="000D64D5">
        <w:t>o answer that question</w:t>
      </w:r>
      <w:r w:rsidR="00D576F6">
        <w:t xml:space="preserve">, </w:t>
      </w:r>
      <w:r w:rsidR="008D5ACA">
        <w:t xml:space="preserve">we think </w:t>
      </w:r>
      <w:r w:rsidR="00AD1FE3">
        <w:t xml:space="preserve">the </w:t>
      </w:r>
      <w:r w:rsidR="002E2B96">
        <w:t xml:space="preserve">trial </w:t>
      </w:r>
      <w:r w:rsidR="00AD1FE3">
        <w:t xml:space="preserve">court </w:t>
      </w:r>
      <w:r w:rsidR="002E2B96">
        <w:t>should assess</w:t>
      </w:r>
      <w:r w:rsidR="00D576F6">
        <w:t xml:space="preserve"> the nature of Vanzyl’s </w:t>
      </w:r>
      <w:r w:rsidR="00C77DAC">
        <w:t xml:space="preserve">continuing </w:t>
      </w:r>
      <w:r w:rsidR="007902C7">
        <w:t>contacts with California</w:t>
      </w:r>
      <w:r w:rsidR="00D576F6">
        <w:t xml:space="preserve"> </w:t>
      </w:r>
      <w:r w:rsidR="00DD19C3">
        <w:t>as of</w:t>
      </w:r>
      <w:r w:rsidR="00295E9A">
        <w:t xml:space="preserve"> </w:t>
      </w:r>
      <w:r w:rsidR="00666DDE">
        <w:t>the lawsuit’s filing</w:t>
      </w:r>
      <w:r w:rsidR="009B4FCB">
        <w:t xml:space="preserve"> through</w:t>
      </w:r>
      <w:r w:rsidR="00197FC5">
        <w:t xml:space="preserve"> the time that service was effectuated</w:t>
      </w:r>
      <w:r w:rsidR="00FA5500">
        <w:t>.</w:t>
      </w:r>
      <w:r w:rsidR="009752FA">
        <w:t xml:space="preserve"> </w:t>
      </w:r>
      <w:r w:rsidR="0090128C">
        <w:t xml:space="preserve"> </w:t>
      </w:r>
      <w:r>
        <w:t>Admittedly,</w:t>
      </w:r>
      <w:r w:rsidR="000413F1">
        <w:t xml:space="preserve"> </w:t>
      </w:r>
      <w:r w:rsidR="00B123EE">
        <w:t xml:space="preserve">the case law on the question is not settled, with </w:t>
      </w:r>
      <w:r w:rsidR="00C365E8">
        <w:t>some</w:t>
      </w:r>
      <w:r w:rsidR="00941ED0">
        <w:t xml:space="preserve"> cour</w:t>
      </w:r>
      <w:r w:rsidR="000413F1">
        <w:t>t</w:t>
      </w:r>
      <w:r w:rsidR="000E012F">
        <w:t>s</w:t>
      </w:r>
      <w:r w:rsidR="000413F1">
        <w:t xml:space="preserve"> </w:t>
      </w:r>
      <w:r w:rsidR="003C5FDF">
        <w:t xml:space="preserve">also </w:t>
      </w:r>
      <w:r w:rsidR="00B123EE">
        <w:t>pointing</w:t>
      </w:r>
      <w:r w:rsidR="003B3751">
        <w:t xml:space="preserve"> to</w:t>
      </w:r>
      <w:r w:rsidR="00C91FFD">
        <w:t xml:space="preserve"> the time </w:t>
      </w:r>
      <w:r w:rsidR="00DD4BD6">
        <w:t>of the events</w:t>
      </w:r>
      <w:r w:rsidR="001A27DC">
        <w:t xml:space="preserve"> </w:t>
      </w:r>
      <w:r w:rsidR="003B3751">
        <w:t>giving rise to suit</w:t>
      </w:r>
      <w:r w:rsidR="00DA0721">
        <w:t xml:space="preserve">. </w:t>
      </w:r>
      <w:r w:rsidR="001A27DC">
        <w:t xml:space="preserve"> (See</w:t>
      </w:r>
      <w:r w:rsidR="00C365E8">
        <w:t>, e.g.,</w:t>
      </w:r>
      <w:r w:rsidR="002E5688">
        <w:t xml:space="preserve"> </w:t>
      </w:r>
      <w:r w:rsidR="002E5688">
        <w:rPr>
          <w:i/>
          <w:iCs/>
        </w:rPr>
        <w:t xml:space="preserve">DVI, Inc. v. Superior Court </w:t>
      </w:r>
      <w:r w:rsidR="002E5688">
        <w:t>(2002) 104</w:t>
      </w:r>
      <w:r w:rsidR="00246D5A">
        <w:t> </w:t>
      </w:r>
      <w:r w:rsidR="002E5688">
        <w:t>Cal.App.4th 1080, 1100 (</w:t>
      </w:r>
      <w:r w:rsidR="002E5688">
        <w:rPr>
          <w:i/>
          <w:iCs/>
        </w:rPr>
        <w:t>DVI</w:t>
      </w:r>
      <w:r w:rsidR="002E5688">
        <w:t>)</w:t>
      </w:r>
      <w:r w:rsidR="004C021C">
        <w:t xml:space="preserve"> [“I</w:t>
      </w:r>
      <w:r w:rsidRPr="004C021C" w:rsidR="004C021C">
        <w:t>n analyzing general jurisdiction, we examine the defendant</w:t>
      </w:r>
      <w:r w:rsidR="004C021C">
        <w:t>’</w:t>
      </w:r>
      <w:r w:rsidRPr="004C021C" w:rsidR="004C021C">
        <w:t>s contacts when the alleged conduct occurred and at the time of service of summon</w:t>
      </w:r>
      <w:r w:rsidR="004C021C">
        <w:t>s”]</w:t>
      </w:r>
      <w:r w:rsidR="008E303E">
        <w:t xml:space="preserve">; </w:t>
      </w:r>
      <w:r w:rsidRPr="009A0293" w:rsidR="008E303E">
        <w:rPr>
          <w:rFonts w:cs="Calibri Light"/>
          <w:i/>
          <w:iCs/>
        </w:rPr>
        <w:t>Strasner v. Touchstone Wireless Repair &amp; Logistics, LP</w:t>
      </w:r>
      <w:r w:rsidRPr="009A0293" w:rsidR="008E303E">
        <w:rPr>
          <w:rFonts w:cs="Calibri Light"/>
        </w:rPr>
        <w:t xml:space="preserve"> (2016) 5</w:t>
      </w:r>
      <w:r w:rsidR="00246D5A">
        <w:rPr>
          <w:rFonts w:cs="Calibri Light"/>
        </w:rPr>
        <w:t> </w:t>
      </w:r>
      <w:r w:rsidRPr="009A0293" w:rsidR="008E303E">
        <w:rPr>
          <w:rFonts w:cs="Calibri Light"/>
        </w:rPr>
        <w:t>Cal.App.5th 215, 222</w:t>
      </w:r>
      <w:r w:rsidR="008E303E">
        <w:rPr>
          <w:rFonts w:cs="Calibri Light"/>
        </w:rPr>
        <w:t xml:space="preserve"> [</w:t>
      </w:r>
      <w:r w:rsidR="00444313">
        <w:t xml:space="preserve">citing </w:t>
      </w:r>
      <w:r w:rsidR="00444313">
        <w:rPr>
          <w:i/>
          <w:iCs/>
        </w:rPr>
        <w:t>DVI</w:t>
      </w:r>
      <w:r w:rsidR="008E303E">
        <w:t xml:space="preserve"> for th</w:t>
      </w:r>
      <w:r w:rsidR="00444313">
        <w:t>e sa</w:t>
      </w:r>
      <w:r w:rsidR="00FB3629">
        <w:t>m</w:t>
      </w:r>
      <w:r w:rsidR="00444313">
        <w:t>e</w:t>
      </w:r>
      <w:r w:rsidR="008E303E">
        <w:t xml:space="preserve"> proposition</w:t>
      </w:r>
      <w:r w:rsidR="008E303E">
        <w:rPr>
          <w:rFonts w:cs="Calibri Light"/>
        </w:rPr>
        <w:t xml:space="preserve"> without additional analysis</w:t>
      </w:r>
      <w:r w:rsidR="00444313">
        <w:rPr>
          <w:rFonts w:cs="Calibri Light"/>
        </w:rPr>
        <w:t>]</w:t>
      </w:r>
      <w:r w:rsidR="00336969">
        <w:rPr>
          <w:rFonts w:cs="Calibri Light"/>
        </w:rPr>
        <w:t>;</w:t>
      </w:r>
      <w:r w:rsidR="00572DFF">
        <w:rPr>
          <w:rFonts w:cs="Calibri Light"/>
        </w:rPr>
        <w:t xml:space="preserve"> </w:t>
      </w:r>
      <w:r w:rsidRPr="00572DFF" w:rsidR="00572DFF">
        <w:rPr>
          <w:rFonts w:cs="Calibri Light"/>
          <w:i/>
          <w:iCs/>
        </w:rPr>
        <w:t>Pecoraro v. Sky Ranch for Boys, Inc.</w:t>
      </w:r>
      <w:r w:rsidRPr="00572DFF" w:rsidR="00572DFF">
        <w:rPr>
          <w:rFonts w:cs="Calibri Light"/>
        </w:rPr>
        <w:t xml:space="preserve"> (</w:t>
      </w:r>
      <w:r w:rsidR="00246D5A">
        <w:rPr>
          <w:rFonts w:cs="Calibri Light"/>
        </w:rPr>
        <w:t>8th </w:t>
      </w:r>
      <w:r w:rsidRPr="00572DFF" w:rsidR="00572DFF">
        <w:rPr>
          <w:rFonts w:cs="Calibri Light"/>
        </w:rPr>
        <w:t>Cir. 2003) 340</w:t>
      </w:r>
      <w:r w:rsidR="00246D5A">
        <w:rPr>
          <w:rFonts w:cs="Calibri Light"/>
        </w:rPr>
        <w:t> </w:t>
      </w:r>
      <w:r w:rsidRPr="00572DFF" w:rsidR="00572DFF">
        <w:rPr>
          <w:rFonts w:cs="Calibri Light"/>
        </w:rPr>
        <w:t>F.3d 558, 562</w:t>
      </w:r>
      <w:r w:rsidR="002D4183">
        <w:rPr>
          <w:rFonts w:cs="Calibri Light"/>
        </w:rPr>
        <w:t xml:space="preserve"> [“</w:t>
      </w:r>
      <w:r w:rsidRPr="002D4183" w:rsidR="002D4183">
        <w:rPr>
          <w:rFonts w:cs="Calibri Light"/>
        </w:rPr>
        <w:t>Minimum contacts must exist either at the time the cause of action arose, the time the suit is filed, or within a reasonable period of time immediately prior to the filing of the lawsuit</w:t>
      </w:r>
      <w:r w:rsidR="002D4183">
        <w:rPr>
          <w:rFonts w:cs="Calibri Light"/>
        </w:rPr>
        <w:t>”]</w:t>
      </w:r>
      <w:r w:rsidR="00CC23A8">
        <w:rPr>
          <w:rFonts w:cs="Calibri Light"/>
        </w:rPr>
        <w:t>;</w:t>
      </w:r>
      <w:r w:rsidR="00336969">
        <w:rPr>
          <w:rFonts w:cs="Calibri Light"/>
        </w:rPr>
        <w:t xml:space="preserve"> </w:t>
      </w:r>
      <w:r w:rsidRPr="00114846" w:rsidR="00114846">
        <w:rPr>
          <w:rFonts w:cs="Calibri Light"/>
          <w:i/>
          <w:iCs/>
        </w:rPr>
        <w:t>Boaz v. Boyle &amp; Co.</w:t>
      </w:r>
      <w:r w:rsidRPr="00114846" w:rsidR="00114846">
        <w:rPr>
          <w:rFonts w:cs="Calibri Light"/>
        </w:rPr>
        <w:t xml:space="preserve"> (1995) 40</w:t>
      </w:r>
      <w:r w:rsidR="00246D5A">
        <w:rPr>
          <w:rFonts w:cs="Calibri Light"/>
        </w:rPr>
        <w:t> </w:t>
      </w:r>
      <w:r w:rsidRPr="00114846" w:rsidR="00114846">
        <w:rPr>
          <w:rFonts w:cs="Calibri Light"/>
        </w:rPr>
        <w:t>Cal.App.4th 700, 717 [</w:t>
      </w:r>
      <w:r w:rsidR="00234D77">
        <w:rPr>
          <w:rFonts w:cs="Calibri Light"/>
        </w:rPr>
        <w:t>court “assume</w:t>
      </w:r>
      <w:r w:rsidR="009B390F">
        <w:rPr>
          <w:rFonts w:cs="Calibri Light"/>
        </w:rPr>
        <w:t>[d]”</w:t>
      </w:r>
      <w:r w:rsidR="00953323">
        <w:rPr>
          <w:rFonts w:cs="Calibri Light"/>
        </w:rPr>
        <w:t xml:space="preserve"> that </w:t>
      </w:r>
      <w:r w:rsidR="008A2AF6">
        <w:rPr>
          <w:rFonts w:cs="Calibri Light"/>
        </w:rPr>
        <w:t xml:space="preserve">the relevant </w:t>
      </w:r>
      <w:r w:rsidR="009005BA">
        <w:rPr>
          <w:rFonts w:cs="Calibri Light"/>
        </w:rPr>
        <w:t>period</w:t>
      </w:r>
      <w:r w:rsidR="006A591B">
        <w:rPr>
          <w:rFonts w:cs="Calibri Light"/>
        </w:rPr>
        <w:t xml:space="preserve"> was</w:t>
      </w:r>
      <w:r w:rsidR="009005BA">
        <w:rPr>
          <w:rFonts w:cs="Calibri Light"/>
        </w:rPr>
        <w:t xml:space="preserve"> the </w:t>
      </w:r>
      <w:r w:rsidR="00BB3F63">
        <w:rPr>
          <w:rFonts w:cs="Calibri Light"/>
        </w:rPr>
        <w:t xml:space="preserve">time of the events giving rise to suit rather </w:t>
      </w:r>
      <w:r w:rsidR="00ED2CFE">
        <w:rPr>
          <w:rFonts w:cs="Calibri Light"/>
        </w:rPr>
        <w:t>than</w:t>
      </w:r>
      <w:r w:rsidR="00BB3F63">
        <w:rPr>
          <w:rFonts w:cs="Calibri Light"/>
        </w:rPr>
        <w:t xml:space="preserve"> </w:t>
      </w:r>
      <w:r w:rsidR="00050AFD">
        <w:rPr>
          <w:rFonts w:cs="Calibri Light"/>
        </w:rPr>
        <w:t>just before service</w:t>
      </w:r>
      <w:r w:rsidRPr="00114846" w:rsidR="00114846">
        <w:rPr>
          <w:rFonts w:cs="Calibri Light"/>
        </w:rPr>
        <w:t>]</w:t>
      </w:r>
      <w:r w:rsidR="0090128C">
        <w:rPr>
          <w:rFonts w:cs="Calibri Light"/>
        </w:rPr>
        <w:t>.)</w:t>
      </w:r>
      <w:r w:rsidR="000413F1">
        <w:rPr>
          <w:rFonts w:cs="Calibri Light"/>
        </w:rPr>
        <w:t xml:space="preserve">  </w:t>
      </w:r>
      <w:bookmarkStart w:id="1" w:name="_Hlk169091916"/>
      <w:r w:rsidR="00B603D1">
        <w:rPr>
          <w:rFonts w:cs="Calibri Light"/>
        </w:rPr>
        <w:t>A</w:t>
      </w:r>
      <w:r w:rsidR="00B309F7">
        <w:rPr>
          <w:rFonts w:cs="Calibri Light"/>
        </w:rPr>
        <w:t xml:space="preserve">s a well-known treatise has </w:t>
      </w:r>
      <w:r w:rsidR="001A578B">
        <w:rPr>
          <w:rFonts w:cs="Calibri Light"/>
        </w:rPr>
        <w:t>observed</w:t>
      </w:r>
      <w:r w:rsidR="00B309F7">
        <w:rPr>
          <w:rFonts w:cs="Calibri Light"/>
        </w:rPr>
        <w:t>, t</w:t>
      </w:r>
      <w:r w:rsidR="006664EB">
        <w:rPr>
          <w:rFonts w:cs="Calibri Light"/>
        </w:rPr>
        <w:t xml:space="preserve">he United States Supreme Court has not </w:t>
      </w:r>
      <w:r w:rsidR="004F5E03">
        <w:rPr>
          <w:rFonts w:cs="Calibri Light"/>
        </w:rPr>
        <w:t xml:space="preserve">resolved whether the relevant time </w:t>
      </w:r>
      <w:r w:rsidR="0040425C">
        <w:rPr>
          <w:rFonts w:cs="Calibri Light"/>
        </w:rPr>
        <w:t>for analyzing general jurisdiction</w:t>
      </w:r>
      <w:r w:rsidR="00590287">
        <w:rPr>
          <w:rFonts w:cs="Calibri Light"/>
        </w:rPr>
        <w:t xml:space="preserve"> </w:t>
      </w:r>
      <w:r w:rsidR="004F5E03">
        <w:rPr>
          <w:rFonts w:cs="Calibri Light"/>
        </w:rPr>
        <w:t>is the accrual of the claim or the filing of suit</w:t>
      </w:r>
      <w:r w:rsidR="00E87D74">
        <w:rPr>
          <w:rFonts w:cs="Calibri Light"/>
        </w:rPr>
        <w:t xml:space="preserve">.  </w:t>
      </w:r>
      <w:r>
        <w:rPr>
          <w:rFonts w:cs="Calibri Light"/>
        </w:rPr>
        <w:t>(</w:t>
      </w:r>
      <w:r w:rsidRPr="004B54EC">
        <w:rPr>
          <w:rFonts w:cs="Calibri Light"/>
        </w:rPr>
        <w:t>4</w:t>
      </w:r>
      <w:r>
        <w:rPr>
          <w:rFonts w:cs="Calibri Light"/>
        </w:rPr>
        <w:t xml:space="preserve"> Wright &amp; Miller, </w:t>
      </w:r>
      <w:r w:rsidRPr="004B54EC">
        <w:rPr>
          <w:rFonts w:cs="Calibri Light"/>
        </w:rPr>
        <w:t>Fed. Prac. &amp; Proc. Civ</w:t>
      </w:r>
      <w:r w:rsidRPr="00CE4BA4">
        <w:rPr>
          <w:rFonts w:cs="Calibri Light"/>
        </w:rPr>
        <w:t>. (2015) § 1067.5, p. 510).)</w:t>
      </w:r>
      <w:r>
        <w:rPr>
          <w:rFonts w:cs="Calibri Light"/>
        </w:rPr>
        <w:t xml:space="preserve">  </w:t>
      </w:r>
    </w:p>
    <w:p w:rsidR="00A26163" w:rsidP="00CB2E7A" w14:paraId="28944D09" w14:textId="52600239">
      <w:pPr>
        <w:autoSpaceDE w:val="0"/>
        <w:autoSpaceDN w:val="0"/>
        <w:ind w:firstLine="720"/>
      </w:pPr>
      <w:r>
        <w:rPr>
          <w:rFonts w:cs="Calibri Light"/>
        </w:rPr>
        <w:t>Most</w:t>
      </w:r>
      <w:r>
        <w:t xml:space="preserve"> courts that </w:t>
      </w:r>
      <w:bookmarkEnd w:id="1"/>
      <w:r w:rsidR="00F64CBA">
        <w:t>identify</w:t>
      </w:r>
      <w:r w:rsidR="005D0DEA">
        <w:t xml:space="preserve"> </w:t>
      </w:r>
      <w:r w:rsidR="00F57DDB">
        <w:t xml:space="preserve">the accrual of the claim </w:t>
      </w:r>
      <w:r w:rsidR="005D0DEA">
        <w:t xml:space="preserve">as </w:t>
      </w:r>
      <w:r w:rsidR="00145E39">
        <w:t xml:space="preserve">either a relevant or </w:t>
      </w:r>
      <w:r w:rsidR="007B31BF">
        <w:t xml:space="preserve">the </w:t>
      </w:r>
      <w:r w:rsidR="00DA2B47">
        <w:t>determinative</w:t>
      </w:r>
      <w:r w:rsidR="00BC78E3">
        <w:t xml:space="preserve"> time </w:t>
      </w:r>
      <w:r w:rsidR="009402E7">
        <w:t>for assessing jurisdiction</w:t>
      </w:r>
      <w:r w:rsidR="008A7096">
        <w:t>,</w:t>
      </w:r>
      <w:r w:rsidR="00D751E8">
        <w:t xml:space="preserve"> however, </w:t>
      </w:r>
      <w:r w:rsidR="0073762C">
        <w:t>cite</w:t>
      </w:r>
      <w:r w:rsidR="00B92109">
        <w:t xml:space="preserve"> cases discussing </w:t>
      </w:r>
      <w:r w:rsidRPr="00CF19B4" w:rsidR="00B92109">
        <w:rPr>
          <w:i/>
          <w:iCs/>
        </w:rPr>
        <w:t>specific</w:t>
      </w:r>
      <w:r w:rsidR="00B92109">
        <w:t xml:space="preserve"> jurisdiction or </w:t>
      </w:r>
      <w:r w:rsidR="0073762C">
        <w:t>otherwise do not</w:t>
      </w:r>
      <w:r w:rsidR="00B63708">
        <w:t xml:space="preserve"> </w:t>
      </w:r>
      <w:r w:rsidR="00BD6FEF">
        <w:t>consider the distinction.  T</w:t>
      </w:r>
      <w:r w:rsidR="00056CD9">
        <w:t>he</w:t>
      </w:r>
      <w:r w:rsidR="00C3221D">
        <w:t xml:space="preserve"> </w:t>
      </w:r>
      <w:r w:rsidR="00E05037">
        <w:rPr>
          <w:i/>
          <w:iCs/>
        </w:rPr>
        <w:t xml:space="preserve">DVI </w:t>
      </w:r>
      <w:r w:rsidR="00C3221D">
        <w:t xml:space="preserve">court </w:t>
      </w:r>
      <w:r w:rsidR="002D1639">
        <w:t xml:space="preserve">itself </w:t>
      </w:r>
      <w:r w:rsidR="00056CD9">
        <w:t>noted that</w:t>
      </w:r>
      <w:r w:rsidR="00C3221D">
        <w:t xml:space="preserve"> the </w:t>
      </w:r>
      <w:r w:rsidR="002D1639">
        <w:t xml:space="preserve">focus </w:t>
      </w:r>
      <w:r w:rsidR="00D23E4C">
        <w:t>on</w:t>
      </w:r>
      <w:r w:rsidR="002D1639">
        <w:t xml:space="preserve"> the </w:t>
      </w:r>
      <w:r w:rsidR="00C3221D">
        <w:t xml:space="preserve">time of the events underlying the dispute </w:t>
      </w:r>
      <w:r w:rsidR="002D1639">
        <w:t>has arisen in the context of</w:t>
      </w:r>
      <w:r w:rsidR="00C04305">
        <w:t xml:space="preserve"> </w:t>
      </w:r>
      <w:r w:rsidRPr="00CF19B4" w:rsidR="00C04305">
        <w:t>specific</w:t>
      </w:r>
      <w:r w:rsidR="00C04305">
        <w:t xml:space="preserve"> jurisdiction</w:t>
      </w:r>
      <w:r w:rsidR="002723F4">
        <w:t xml:space="preserve">. </w:t>
      </w:r>
      <w:r w:rsidR="007F3E60">
        <w:t xml:space="preserve"> (</w:t>
      </w:r>
      <w:r w:rsidR="00D45245">
        <w:rPr>
          <w:i/>
          <w:iCs/>
        </w:rPr>
        <w:t>DVI, supra</w:t>
      </w:r>
      <w:r w:rsidR="00D45245">
        <w:t>, 104</w:t>
      </w:r>
      <w:r w:rsidR="00246D5A">
        <w:t> </w:t>
      </w:r>
      <w:r w:rsidR="00D45245">
        <w:t>Cal.App.4th</w:t>
      </w:r>
      <w:r w:rsidR="007F3E60">
        <w:rPr>
          <w:i/>
          <w:iCs/>
        </w:rPr>
        <w:t xml:space="preserve"> </w:t>
      </w:r>
      <w:r w:rsidR="007F3E60">
        <w:t>at p</w:t>
      </w:r>
      <w:r w:rsidR="008A4A1A">
        <w:t>p</w:t>
      </w:r>
      <w:r w:rsidR="007F3E60">
        <w:t>.</w:t>
      </w:r>
      <w:r w:rsidR="00246D5A">
        <w:t> </w:t>
      </w:r>
      <w:r w:rsidR="008A4A1A">
        <w:t>1100–</w:t>
      </w:r>
      <w:r w:rsidR="00EB0468">
        <w:t>1</w:t>
      </w:r>
      <w:r w:rsidR="007F3E60">
        <w:t>101</w:t>
      </w:r>
      <w:r w:rsidR="00950E16">
        <w:t xml:space="preserve">; see </w:t>
      </w:r>
      <w:r w:rsidRPr="00950E16" w:rsidR="00950E16">
        <w:rPr>
          <w:i/>
          <w:iCs/>
        </w:rPr>
        <w:t>Steel v. U</w:t>
      </w:r>
      <w:r w:rsidR="00950E16">
        <w:rPr>
          <w:i/>
          <w:iCs/>
        </w:rPr>
        <w:t>nited States</w:t>
      </w:r>
      <w:r w:rsidRPr="00950E16" w:rsidR="00950E16">
        <w:t xml:space="preserve"> (</w:t>
      </w:r>
      <w:r w:rsidR="00246D5A">
        <w:t>9th </w:t>
      </w:r>
      <w:r w:rsidRPr="00950E16" w:rsidR="00950E16">
        <w:t>Cir. 1987) 813</w:t>
      </w:r>
      <w:r w:rsidR="00246D5A">
        <w:t> </w:t>
      </w:r>
      <w:r w:rsidRPr="00950E16" w:rsidR="00950E16">
        <w:t>F.2d 1545, 1549</w:t>
      </w:r>
      <w:r w:rsidR="00950E16">
        <w:t xml:space="preserve"> [</w:t>
      </w:r>
      <w:r w:rsidR="00263755">
        <w:t>“</w:t>
      </w:r>
      <w:r w:rsidRPr="00950E16" w:rsidR="00950E16">
        <w:t xml:space="preserve">When a court is exercising </w:t>
      </w:r>
      <w:r w:rsidRPr="00042B1C" w:rsidR="00950E16">
        <w:t>specific jurisdiction</w:t>
      </w:r>
      <w:r w:rsidRPr="00950E16" w:rsidR="00950E16">
        <w:t xml:space="preserve"> over a defendant</w:t>
      </w:r>
      <w:r w:rsidR="00263755">
        <w:t xml:space="preserve"> .</w:t>
      </w:r>
      <w:r w:rsidR="00683A7A">
        <w:t> </w:t>
      </w:r>
      <w:r w:rsidR="00263755">
        <w:t>.</w:t>
      </w:r>
      <w:r w:rsidR="00683A7A">
        <w:t> </w:t>
      </w:r>
      <w:r w:rsidR="00263755">
        <w:t>.</w:t>
      </w:r>
      <w:r w:rsidRPr="00950E16" w:rsidR="00950E16">
        <w:t xml:space="preserve"> the fair warning that due process requires arises not at the time of the suit, but when the events that gave rise to the suit occurred</w:t>
      </w:r>
      <w:r w:rsidR="007A6233">
        <w:t>”]</w:t>
      </w:r>
      <w:r w:rsidR="005E1260">
        <w:t>.</w:t>
      </w:r>
      <w:r w:rsidR="007F3E60">
        <w:t>)</w:t>
      </w:r>
      <w:r w:rsidR="002723F4">
        <w:t xml:space="preserve">  </w:t>
      </w:r>
      <w:r w:rsidR="007447DB">
        <w:t>W</w:t>
      </w:r>
      <w:r w:rsidR="004B77FB">
        <w:t>hile</w:t>
      </w:r>
      <w:r w:rsidR="00E53F20">
        <w:t xml:space="preserve"> </w:t>
      </w:r>
      <w:r w:rsidR="00D50BA2">
        <w:t xml:space="preserve">specific jurisdiction </w:t>
      </w:r>
      <w:r w:rsidR="000537FD">
        <w:t>rests on</w:t>
      </w:r>
      <w:r w:rsidR="00D50BA2">
        <w:t xml:space="preserve"> the defendant’s conduct </w:t>
      </w:r>
      <w:r w:rsidR="00F11085">
        <w:t>at issue</w:t>
      </w:r>
      <w:r w:rsidR="00FA5DAB">
        <w:t xml:space="preserve"> i</w:t>
      </w:r>
      <w:r w:rsidR="00C359A4">
        <w:t>n the litigation, g</w:t>
      </w:r>
      <w:r w:rsidR="007F3E60">
        <w:t>eneral jurisdiction</w:t>
      </w:r>
      <w:r w:rsidR="00E64D66">
        <w:t xml:space="preserve"> </w:t>
      </w:r>
      <w:r w:rsidR="00CF09D5">
        <w:t>means</w:t>
      </w:r>
      <w:r w:rsidR="000B1A8B">
        <w:t xml:space="preserve"> </w:t>
      </w:r>
      <w:r w:rsidR="007F3E60">
        <w:t xml:space="preserve">that the defendant is subject to the court’s jurisdiction even in the </w:t>
      </w:r>
      <w:r w:rsidRPr="00EE03A3" w:rsidR="007F3E60">
        <w:rPr>
          <w:i/>
          <w:iCs/>
        </w:rPr>
        <w:t>absence</w:t>
      </w:r>
      <w:r w:rsidR="007F3E60">
        <w:t xml:space="preserve"> of any connection between the forum and the conduct giving rise to the lawsuit</w:t>
      </w:r>
      <w:r w:rsidR="00B331DA">
        <w:t xml:space="preserve">—a consideration that we think </w:t>
      </w:r>
      <w:r w:rsidR="00617337">
        <w:t>makes the time of filing the more relevant measure of the defendant’s contacts.</w:t>
      </w:r>
    </w:p>
    <w:p w:rsidR="00D11D6E" w:rsidRPr="00F91D9E" w:rsidP="007E1944" w14:paraId="506EBEAF" w14:textId="5F8E6564">
      <w:pPr>
        <w:autoSpaceDE w:val="0"/>
        <w:autoSpaceDN w:val="0"/>
        <w:ind w:firstLine="720"/>
        <w:rPr>
          <w:rFonts w:cs="Calibri Light"/>
        </w:rPr>
      </w:pPr>
      <w:r>
        <w:t>We have previously drawn from</w:t>
      </w:r>
      <w:r w:rsidR="00AD1F8A">
        <w:t xml:space="preserve"> </w:t>
      </w:r>
      <w:r w:rsidR="00AD1F8A">
        <w:rPr>
          <w:i/>
          <w:iCs/>
        </w:rPr>
        <w:t>DVI</w:t>
      </w:r>
      <w:r w:rsidR="002B31F6">
        <w:t xml:space="preserve"> the conclusion</w:t>
      </w:r>
      <w:r w:rsidR="00AD1F8A">
        <w:t xml:space="preserve"> </w:t>
      </w:r>
      <w:r w:rsidR="00F23944">
        <w:t>that</w:t>
      </w:r>
      <w:r w:rsidR="00CE4E24">
        <w:t xml:space="preserve"> </w:t>
      </w:r>
      <w:r w:rsidRPr="00357999" w:rsidR="00CE4E24">
        <w:t>“general jurisdiction is determined no earlier than at the time a suit is file</w:t>
      </w:r>
      <w:r w:rsidR="00A7018B">
        <w:t>d</w:t>
      </w:r>
      <w:r w:rsidR="000D0DEE">
        <w:t>,</w:t>
      </w:r>
      <w:r w:rsidRPr="00357999" w:rsidR="00CE4E24">
        <w:t>”</w:t>
      </w:r>
      <w:r w:rsidR="00A7018B">
        <w:rPr>
          <w:rFonts w:cs="Calibri Light"/>
        </w:rPr>
        <w:t xml:space="preserve"> </w:t>
      </w:r>
      <w:r w:rsidR="000D0DEE">
        <w:rPr>
          <w:rFonts w:cs="Calibri Light"/>
        </w:rPr>
        <w:t xml:space="preserve">explaining that </w:t>
      </w:r>
      <w:r w:rsidR="000D0DEE">
        <w:t>“</w:t>
      </w:r>
      <w:r w:rsidRPr="00A0584D" w:rsidR="000D0DEE">
        <w:t>a finding of general jurisdiction is essentially a finding that a foreign defendant</w:t>
      </w:r>
      <w:r w:rsidR="000D0DEE">
        <w:t>’</w:t>
      </w:r>
      <w:r w:rsidRPr="00A0584D" w:rsidR="000D0DEE">
        <w:t>s contacts with a forum are ‘</w:t>
      </w:r>
      <w:r w:rsidR="00246D5A">
        <w:t> </w:t>
      </w:r>
      <w:r w:rsidR="000D0DEE">
        <w:t>“</w:t>
      </w:r>
      <w:r w:rsidRPr="00A0584D" w:rsidR="000D0DEE">
        <w:t>so wide-ranging t</w:t>
      </w:r>
      <w:r w:rsidR="00C34680">
        <w:t>h</w:t>
      </w:r>
      <w:r w:rsidRPr="00A0584D" w:rsidR="000D0DEE">
        <w:t>at they take the place of physical presence</w:t>
      </w:r>
      <w:r w:rsidR="000D0DEE">
        <w:t>”</w:t>
      </w:r>
      <w:r w:rsidR="00246D5A">
        <w:t> </w:t>
      </w:r>
      <w:r w:rsidRPr="00A0584D" w:rsidR="000D0DEE">
        <w:t xml:space="preserve">’ </w:t>
      </w:r>
      <w:r w:rsidRPr="00A14D06" w:rsidR="000D0DEE">
        <w:rPr>
          <w:i/>
          <w:iCs/>
        </w:rPr>
        <w:t>for purposes of service of process</w:t>
      </w:r>
      <w:r w:rsidRPr="00A0584D" w:rsidR="000D0DEE">
        <w:t>.</w:t>
      </w:r>
      <w:r w:rsidR="000D0DEE">
        <w:t>”</w:t>
      </w:r>
      <w:r w:rsidRPr="000D0DEE" w:rsidR="000D0DEE">
        <w:t xml:space="preserve"> </w:t>
      </w:r>
      <w:r w:rsidR="00C34680">
        <w:t xml:space="preserve"> </w:t>
      </w:r>
      <w:r w:rsidR="000D0DEE">
        <w:t>(</w:t>
      </w:r>
      <w:r w:rsidRPr="00DA5204" w:rsidR="000D0DEE">
        <w:rPr>
          <w:rFonts w:cs="Calibri Light"/>
          <w:i/>
          <w:iCs/>
        </w:rPr>
        <w:t>Young v. Daimler</w:t>
      </w:r>
      <w:r w:rsidR="00240E66">
        <w:rPr>
          <w:rFonts w:cs="Calibri Light"/>
          <w:i/>
          <w:iCs/>
        </w:rPr>
        <w:t> </w:t>
      </w:r>
      <w:r w:rsidRPr="00DA5204" w:rsidR="000D0DEE">
        <w:rPr>
          <w:rFonts w:cs="Calibri Light"/>
          <w:i/>
          <w:iCs/>
        </w:rPr>
        <w:t>AG</w:t>
      </w:r>
      <w:r w:rsidRPr="00DA5204" w:rsidR="000D0DEE">
        <w:rPr>
          <w:rFonts w:cs="Calibri Light"/>
        </w:rPr>
        <w:t xml:space="preserve"> (2014) 228</w:t>
      </w:r>
      <w:r w:rsidR="00246D5A">
        <w:rPr>
          <w:rFonts w:cs="Calibri Light"/>
        </w:rPr>
        <w:t> </w:t>
      </w:r>
      <w:r w:rsidRPr="00DA5204" w:rsidR="000D0DEE">
        <w:rPr>
          <w:rFonts w:cs="Calibri Light"/>
        </w:rPr>
        <w:t>Cal.App.4th 855, 864, fn.</w:t>
      </w:r>
      <w:r w:rsidR="00246D5A">
        <w:rPr>
          <w:rFonts w:cs="Calibri Light"/>
        </w:rPr>
        <w:t> </w:t>
      </w:r>
      <w:r w:rsidRPr="00DA5204" w:rsidR="000D0DEE">
        <w:rPr>
          <w:rFonts w:cs="Calibri Light"/>
        </w:rPr>
        <w:t>6</w:t>
      </w:r>
      <w:r w:rsidR="00A45F7B">
        <w:rPr>
          <w:rFonts w:cs="Calibri Light"/>
        </w:rPr>
        <w:t xml:space="preserve">, </w:t>
      </w:r>
      <w:r w:rsidR="00A14D06">
        <w:rPr>
          <w:rFonts w:cs="Calibri Light"/>
        </w:rPr>
        <w:t>emphasis added</w:t>
      </w:r>
      <w:r w:rsidR="00A45F7B">
        <w:rPr>
          <w:rFonts w:cs="Calibri Light"/>
        </w:rPr>
        <w:t>.</w:t>
      </w:r>
      <w:r w:rsidR="000D0DEE">
        <w:rPr>
          <w:rFonts w:cs="Calibri Light"/>
        </w:rPr>
        <w:t xml:space="preserve">) </w:t>
      </w:r>
      <w:r w:rsidR="0046691B">
        <w:rPr>
          <w:rFonts w:cs="Calibri Light"/>
        </w:rPr>
        <w:t xml:space="preserve"> As one federal court explained, reaching the same conclusion we do here, </w:t>
      </w:r>
      <w:r w:rsidRPr="00F34A7F" w:rsidR="0046691B">
        <w:rPr>
          <w:rFonts w:cs="Calibri Light"/>
        </w:rPr>
        <w:t>“</w:t>
      </w:r>
      <w:r w:rsidRPr="00A714F4" w:rsidR="0046691B">
        <w:rPr>
          <w:rFonts w:cs="Arial"/>
          <w:shd w:val="clear" w:color="auto" w:fill="FFFFFF"/>
        </w:rPr>
        <w:t>the time the complaint is filed is the time at which the plaintiff urges the court to assert its authority over the defendant</w:t>
      </w:r>
      <w:r w:rsidR="0046691B">
        <w:rPr>
          <w:rFonts w:cs="Arial"/>
          <w:shd w:val="clear" w:color="auto" w:fill="FFFFFF"/>
        </w:rPr>
        <w:t>.</w:t>
      </w:r>
      <w:r w:rsidRPr="00A714F4" w:rsidR="0046691B">
        <w:rPr>
          <w:rFonts w:cs="Arial"/>
          <w:shd w:val="clear" w:color="auto" w:fill="FFFFFF"/>
        </w:rPr>
        <w:t>”</w:t>
      </w:r>
      <w:r w:rsidR="0046691B">
        <w:rPr>
          <w:rFonts w:cs="Calibri Light"/>
        </w:rPr>
        <w:t xml:space="preserve">  (</w:t>
      </w:r>
      <w:r w:rsidRPr="00DC3507" w:rsidR="0046691B">
        <w:rPr>
          <w:rFonts w:cs="Calibri Light"/>
          <w:i/>
          <w:iCs/>
        </w:rPr>
        <w:t>Noonan v. Winston Co.</w:t>
      </w:r>
      <w:r w:rsidRPr="00DC3507" w:rsidR="0046691B">
        <w:rPr>
          <w:rFonts w:cs="Calibri Light"/>
        </w:rPr>
        <w:t xml:space="preserve"> (</w:t>
      </w:r>
      <w:r w:rsidR="00246D5A">
        <w:rPr>
          <w:rFonts w:cs="Calibri Light"/>
        </w:rPr>
        <w:t>1st </w:t>
      </w:r>
      <w:r w:rsidRPr="00DC3507" w:rsidR="0046691B">
        <w:rPr>
          <w:rFonts w:cs="Calibri Light"/>
        </w:rPr>
        <w:t>Cir. 1998) 135</w:t>
      </w:r>
      <w:r w:rsidR="00246D5A">
        <w:rPr>
          <w:rFonts w:cs="Calibri Light"/>
        </w:rPr>
        <w:t> </w:t>
      </w:r>
      <w:r w:rsidRPr="00DC3507" w:rsidR="0046691B">
        <w:rPr>
          <w:rFonts w:cs="Calibri Light"/>
        </w:rPr>
        <w:t>F.3d 85, 95</w:t>
      </w:r>
      <w:r w:rsidR="00684718">
        <w:rPr>
          <w:rFonts w:cs="Calibri Light"/>
        </w:rPr>
        <w:t xml:space="preserve"> &amp; fn.</w:t>
      </w:r>
      <w:r w:rsidR="00246D5A">
        <w:rPr>
          <w:rFonts w:cs="Calibri Light"/>
        </w:rPr>
        <w:t> </w:t>
      </w:r>
      <w:r w:rsidR="00684718">
        <w:rPr>
          <w:rFonts w:cs="Calibri Light"/>
        </w:rPr>
        <w:t xml:space="preserve">10; see also </w:t>
      </w:r>
      <w:bookmarkStart w:id="2" w:name="_Hlk169093194"/>
      <w:r w:rsidRPr="001A7B2C" w:rsidR="00684718">
        <w:rPr>
          <w:rFonts w:cs="Calibri Light"/>
          <w:i/>
          <w:iCs/>
        </w:rPr>
        <w:t xml:space="preserve">Klinghoffer v. S.N.C. Achille Lauro </w:t>
      </w:r>
      <w:r w:rsidRPr="001A7B2C" w:rsidR="00684718">
        <w:rPr>
          <w:rFonts w:cs="Calibri Light"/>
        </w:rPr>
        <w:t>(2d</w:t>
      </w:r>
      <w:r w:rsidR="00246D5A">
        <w:rPr>
          <w:rFonts w:cs="Calibri Light"/>
        </w:rPr>
        <w:t> </w:t>
      </w:r>
      <w:r w:rsidRPr="001A7B2C" w:rsidR="00684718">
        <w:rPr>
          <w:rFonts w:cs="Calibri Light"/>
        </w:rPr>
        <w:t>Cir. 1991) 937</w:t>
      </w:r>
      <w:r w:rsidR="00246D5A">
        <w:rPr>
          <w:rFonts w:cs="Calibri Light"/>
        </w:rPr>
        <w:t> </w:t>
      </w:r>
      <w:r w:rsidRPr="001A7B2C" w:rsidR="00684718">
        <w:rPr>
          <w:rFonts w:cs="Calibri Light"/>
        </w:rPr>
        <w:t>F.2d 44, 52</w:t>
      </w:r>
      <w:r w:rsidR="00336C5F">
        <w:rPr>
          <w:rFonts w:cs="Calibri Light"/>
        </w:rPr>
        <w:t xml:space="preserve"> </w:t>
      </w:r>
      <w:bookmarkEnd w:id="2"/>
      <w:r w:rsidR="00336C5F">
        <w:rPr>
          <w:rFonts w:cs="Calibri Light"/>
        </w:rPr>
        <w:t>(</w:t>
      </w:r>
      <w:r w:rsidR="00336C5F">
        <w:rPr>
          <w:rFonts w:cs="Calibri Light"/>
          <w:i/>
          <w:iCs/>
        </w:rPr>
        <w:t>Klinghoffer</w:t>
      </w:r>
      <w:r w:rsidR="00336C5F">
        <w:rPr>
          <w:rFonts w:cs="Calibri Light"/>
        </w:rPr>
        <w:t>)</w:t>
      </w:r>
      <w:r w:rsidR="00684718">
        <w:rPr>
          <w:rFonts w:cs="Calibri Light"/>
        </w:rPr>
        <w:t>.</w:t>
      </w:r>
      <w:r w:rsidRPr="00F34A7F" w:rsidR="0046691B">
        <w:rPr>
          <w:rFonts w:cs="Calibri Light"/>
        </w:rPr>
        <w:t>)</w:t>
      </w:r>
      <w:r w:rsidR="000D0DEE">
        <w:rPr>
          <w:rFonts w:cs="Calibri Light"/>
        </w:rPr>
        <w:t xml:space="preserve"> </w:t>
      </w:r>
      <w:r w:rsidR="006D1836">
        <w:rPr>
          <w:rFonts w:cs="Calibri Light"/>
        </w:rPr>
        <w:t xml:space="preserve"> </w:t>
      </w:r>
      <w:r w:rsidR="00803B3E">
        <w:rPr>
          <w:rFonts w:cs="Calibri Light"/>
        </w:rPr>
        <w:t>In addition,</w:t>
      </w:r>
      <w:r w:rsidR="006D1836">
        <w:rPr>
          <w:rFonts w:cs="Calibri Light"/>
        </w:rPr>
        <w:t xml:space="preserve"> the time of service matters because that is </w:t>
      </w:r>
      <w:r w:rsidR="00CD53C8">
        <w:rPr>
          <w:rFonts w:cs="Calibri Light"/>
        </w:rPr>
        <w:t>the point at which</w:t>
      </w:r>
      <w:r w:rsidR="006D1836">
        <w:rPr>
          <w:rFonts w:cs="Calibri Light"/>
        </w:rPr>
        <w:t xml:space="preserve"> the court’s authority is actually asserted</w:t>
      </w:r>
      <w:r w:rsidR="00005BC4">
        <w:rPr>
          <w:rFonts w:cs="Calibri Light"/>
        </w:rPr>
        <w:t xml:space="preserve"> over the defendant</w:t>
      </w:r>
      <w:r w:rsidR="006D1836">
        <w:rPr>
          <w:rFonts w:cs="Calibri Light"/>
        </w:rPr>
        <w:t xml:space="preserve">.  (See, e.g., </w:t>
      </w:r>
      <w:bookmarkStart w:id="3" w:name="_Hlk169093751"/>
      <w:r w:rsidRPr="007E1944" w:rsidR="006D1836">
        <w:rPr>
          <w:rFonts w:cs="Calibri Light"/>
          <w:i/>
          <w:iCs/>
        </w:rPr>
        <w:t>Sabre Intern</w:t>
      </w:r>
      <w:r w:rsidR="00CC1D99">
        <w:rPr>
          <w:rFonts w:cs="Calibri Light"/>
          <w:i/>
          <w:iCs/>
        </w:rPr>
        <w:t>.</w:t>
      </w:r>
      <w:r w:rsidRPr="007E1944" w:rsidR="006D1836">
        <w:rPr>
          <w:rFonts w:cs="Calibri Light"/>
          <w:i/>
          <w:iCs/>
        </w:rPr>
        <w:t xml:space="preserve"> Sec v. Torres Advanced Enterprise Sol</w:t>
      </w:r>
      <w:r w:rsidRPr="007E1944" w:rsidR="006D1836">
        <w:rPr>
          <w:rFonts w:cs="Calibri Light"/>
        </w:rPr>
        <w:t xml:space="preserve"> (D.D.C. 2014) 60</w:t>
      </w:r>
      <w:r w:rsidR="00695968">
        <w:rPr>
          <w:rFonts w:cs="Calibri Light"/>
        </w:rPr>
        <w:t> </w:t>
      </w:r>
      <w:r w:rsidRPr="007E1944" w:rsidR="006D1836">
        <w:rPr>
          <w:rFonts w:cs="Calibri Light"/>
        </w:rPr>
        <w:t>F.Supp.3d 21, 30</w:t>
      </w:r>
      <w:bookmarkEnd w:id="3"/>
      <w:r w:rsidR="006D1836">
        <w:rPr>
          <w:rFonts w:cs="Calibri Light"/>
        </w:rPr>
        <w:t xml:space="preserve">; </w:t>
      </w:r>
      <w:r w:rsidR="006D1836">
        <w:rPr>
          <w:i/>
          <w:iCs/>
          <w:bdr w:val="none" w:sz="0" w:space="0" w:color="auto" w:frame="1"/>
        </w:rPr>
        <w:t>Brandir International, Inc. v. Cascade Pacific Lumber Co.</w:t>
      </w:r>
      <w:r w:rsidR="00695968">
        <w:rPr>
          <w:bdr w:val="none" w:sz="0" w:space="0" w:color="auto" w:frame="1"/>
        </w:rPr>
        <w:t xml:space="preserve"> </w:t>
      </w:r>
      <w:r w:rsidR="006D1836">
        <w:rPr>
          <w:bdr w:val="none" w:sz="0" w:space="0" w:color="auto" w:frame="1"/>
        </w:rPr>
        <w:t>(S.D.N.Y. July</w:t>
      </w:r>
      <w:r w:rsidR="00695968">
        <w:rPr>
          <w:bdr w:val="none" w:sz="0" w:space="0" w:color="auto" w:frame="1"/>
        </w:rPr>
        <w:t> </w:t>
      </w:r>
      <w:r w:rsidR="006D1836">
        <w:rPr>
          <w:bdr w:val="none" w:sz="0" w:space="0" w:color="auto" w:frame="1"/>
        </w:rPr>
        <w:t>14, 1988, No.</w:t>
      </w:r>
      <w:r w:rsidR="00695968">
        <w:rPr>
          <w:bdr w:val="none" w:sz="0" w:space="0" w:color="auto" w:frame="1"/>
        </w:rPr>
        <w:t> </w:t>
      </w:r>
      <w:r w:rsidR="006D1836">
        <w:rPr>
          <w:bdr w:val="none" w:sz="0" w:space="0" w:color="auto" w:frame="1"/>
        </w:rPr>
        <w:t>84 Civ.</w:t>
      </w:r>
      <w:r w:rsidR="00695968">
        <w:rPr>
          <w:bdr w:val="none" w:sz="0" w:space="0" w:color="auto" w:frame="1"/>
        </w:rPr>
        <w:t> </w:t>
      </w:r>
      <w:r w:rsidR="006D1836">
        <w:rPr>
          <w:bdr w:val="none" w:sz="0" w:space="0" w:color="auto" w:frame="1"/>
        </w:rPr>
        <w:t>1411 (CSH)) 1988</w:t>
      </w:r>
      <w:r w:rsidR="00402C85">
        <w:rPr>
          <w:bdr w:val="none" w:sz="0" w:space="0" w:color="auto" w:frame="1"/>
        </w:rPr>
        <w:t> </w:t>
      </w:r>
      <w:r w:rsidR="006D1836">
        <w:rPr>
          <w:bdr w:val="none" w:sz="0" w:space="0" w:color="auto" w:frame="1"/>
        </w:rPr>
        <w:t>U.S.Dist.</w:t>
      </w:r>
      <w:r w:rsidRPr="00B411C9" w:rsidR="006D1836">
        <w:rPr>
          <w:bdr w:val="none" w:sz="0" w:space="0" w:color="auto" w:frame="1"/>
        </w:rPr>
        <w:t>L</w:t>
      </w:r>
      <w:r w:rsidRPr="00B411C9" w:rsidR="007C1104">
        <w:rPr>
          <w:bdr w:val="none" w:sz="0" w:space="0" w:color="auto" w:frame="1"/>
        </w:rPr>
        <w:t>exis</w:t>
      </w:r>
      <w:r w:rsidRPr="00B411C9" w:rsidR="006D1836">
        <w:rPr>
          <w:bdr w:val="none" w:sz="0" w:space="0" w:color="auto" w:frame="1"/>
        </w:rPr>
        <w:t xml:space="preserve"> 7269, at </w:t>
      </w:r>
      <w:r w:rsidRPr="00B411C9" w:rsidR="00246D5A">
        <w:rPr>
          <w:bdr w:val="none" w:sz="0" w:space="0" w:color="auto" w:frame="1"/>
        </w:rPr>
        <w:t>p.</w:t>
      </w:r>
      <w:r w:rsidR="00246D5A">
        <w:rPr>
          <w:bdr w:val="none" w:sz="0" w:space="0" w:color="auto" w:frame="1"/>
        </w:rPr>
        <w:t> </w:t>
      </w:r>
      <w:r w:rsidR="006D1836">
        <w:rPr>
          <w:bdr w:val="none" w:sz="0" w:space="0" w:color="auto" w:frame="1"/>
        </w:rPr>
        <w:t>*1.)</w:t>
      </w:r>
      <w:r w:rsidR="006D1836">
        <w:rPr>
          <w:rFonts w:cs="Calibri Light"/>
        </w:rPr>
        <w:t xml:space="preserve"> </w:t>
      </w:r>
    </w:p>
    <w:p w:rsidR="000476D2" w:rsidRPr="00C9545C" w:rsidP="002E5FFA" w14:paraId="3C26BA85" w14:textId="1E443653">
      <w:pPr>
        <w:autoSpaceDE w:val="0"/>
        <w:autoSpaceDN w:val="0"/>
        <w:ind w:firstLine="720"/>
        <w:rPr>
          <w:b/>
          <w:i/>
          <w:iCs/>
        </w:rPr>
      </w:pPr>
      <w:r>
        <w:t>The above analysis does not mean</w:t>
      </w:r>
      <w:r w:rsidR="005337E9">
        <w:t xml:space="preserve"> that</w:t>
      </w:r>
      <w:r w:rsidR="00D02AEB">
        <w:t xml:space="preserve"> </w:t>
      </w:r>
      <w:r w:rsidR="000D42FE">
        <w:t>Vanzyl</w:t>
      </w:r>
      <w:r w:rsidR="00D02AEB">
        <w:t xml:space="preserve">’s contacts before the complaint was filed </w:t>
      </w:r>
      <w:r w:rsidR="00A45F7B">
        <w:t xml:space="preserve">and served </w:t>
      </w:r>
      <w:r w:rsidR="00D02AEB">
        <w:t xml:space="preserve">are irrelevant.  </w:t>
      </w:r>
      <w:r w:rsidRPr="008D27D5" w:rsidR="00231FF0">
        <w:t xml:space="preserve">The </w:t>
      </w:r>
      <w:r w:rsidR="00231FF0">
        <w:t xml:space="preserve">general jurisdiction inquiry also requires a reasonable “lookback” period, typically of several years, to determine whether the defendant’s contacts are in fact continuous and systematic.  (See, e.g., </w:t>
      </w:r>
      <w:r w:rsidRPr="00386E5E" w:rsidR="00231FF0">
        <w:rPr>
          <w:i/>
          <w:iCs/>
        </w:rPr>
        <w:t>Metropolitan Life Ins</w:t>
      </w:r>
      <w:r w:rsidR="00B411C9">
        <w:rPr>
          <w:i/>
          <w:iCs/>
        </w:rPr>
        <w:t>.</w:t>
      </w:r>
      <w:r w:rsidRPr="00386E5E" w:rsidR="00231FF0">
        <w:rPr>
          <w:i/>
          <w:iCs/>
        </w:rPr>
        <w:t xml:space="preserve"> Co. v. Robertson-Ceco Corp.</w:t>
      </w:r>
      <w:r w:rsidRPr="00386E5E" w:rsidR="00231FF0">
        <w:t xml:space="preserve"> (2d</w:t>
      </w:r>
      <w:r w:rsidR="00246D5A">
        <w:t> </w:t>
      </w:r>
      <w:r w:rsidRPr="00386E5E" w:rsidR="00231FF0">
        <w:t>Cir. 1996) 84</w:t>
      </w:r>
      <w:r w:rsidR="00246D5A">
        <w:t> </w:t>
      </w:r>
      <w:r w:rsidRPr="00386E5E" w:rsidR="00231FF0">
        <w:t>F.3d 560, 567, 569–570</w:t>
      </w:r>
      <w:r w:rsidR="00E41610">
        <w:t>.</w:t>
      </w:r>
      <w:r w:rsidR="00231FF0">
        <w:t xml:space="preserve">)  Here, however, </w:t>
      </w:r>
      <w:r w:rsidR="00A37352">
        <w:t xml:space="preserve">there is no dispute that Vanzyl had continuous and systematic contacts </w:t>
      </w:r>
      <w:r w:rsidR="005125D4">
        <w:t xml:space="preserve">with California </w:t>
      </w:r>
      <w:r w:rsidR="00A37352">
        <w:t xml:space="preserve">as </w:t>
      </w:r>
      <w:r w:rsidR="00246983">
        <w:t xml:space="preserve">of </w:t>
      </w:r>
      <w:r w:rsidR="00A37352">
        <w:t>February</w:t>
      </w:r>
      <w:r w:rsidR="00246D5A">
        <w:t> </w:t>
      </w:r>
      <w:r w:rsidR="00A37352">
        <w:t xml:space="preserve">2022, </w:t>
      </w:r>
      <w:r w:rsidR="003C631C">
        <w:t xml:space="preserve">so </w:t>
      </w:r>
      <w:r w:rsidR="006F0E3A">
        <w:t xml:space="preserve">the lookback period </w:t>
      </w:r>
      <w:r w:rsidR="00EF1311">
        <w:t xml:space="preserve">extends </w:t>
      </w:r>
      <w:r w:rsidR="0042387D">
        <w:t>at most</w:t>
      </w:r>
      <w:r w:rsidR="00EF1311">
        <w:t xml:space="preserve"> to March</w:t>
      </w:r>
      <w:r w:rsidR="00B0386A">
        <w:t> </w:t>
      </w:r>
      <w:r w:rsidR="00EF1311">
        <w:t xml:space="preserve">2022; </w:t>
      </w:r>
      <w:r w:rsidR="000D7FBD">
        <w:t>his contacts</w:t>
      </w:r>
      <w:r w:rsidR="00166BB9">
        <w:t xml:space="preserve"> before that date</w:t>
      </w:r>
      <w:r w:rsidR="00231FF0">
        <w:t xml:space="preserve"> </w:t>
      </w:r>
      <w:r w:rsidR="00166BB9">
        <w:t xml:space="preserve">need not be </w:t>
      </w:r>
      <w:r w:rsidR="008E3685">
        <w:t>considered</w:t>
      </w:r>
      <w:r w:rsidR="00166BB9">
        <w:t xml:space="preserve"> </w:t>
      </w:r>
      <w:r w:rsidR="00A76766">
        <w:t>except</w:t>
      </w:r>
      <w:r w:rsidR="00167D35">
        <w:t xml:space="preserve"> </w:t>
      </w:r>
      <w:r w:rsidR="0078769D">
        <w:t xml:space="preserve">to the extent </w:t>
      </w:r>
      <w:r w:rsidR="00166BB9">
        <w:t>they</w:t>
      </w:r>
      <w:r w:rsidR="009D301C">
        <w:t xml:space="preserve"> </w:t>
      </w:r>
      <w:r w:rsidR="0078769D">
        <w:t>shed light on</w:t>
      </w:r>
      <w:r w:rsidR="00590E86">
        <w:t xml:space="preserve"> the nature</w:t>
      </w:r>
      <w:r w:rsidR="003C7F27">
        <w:t xml:space="preserve"> and quality</w:t>
      </w:r>
      <w:r w:rsidR="00590E86">
        <w:t xml:space="preserve"> of the contacts that </w:t>
      </w:r>
      <w:r w:rsidR="0078769D">
        <w:t xml:space="preserve">either </w:t>
      </w:r>
      <w:r w:rsidR="00DE17BC">
        <w:t>persisted</w:t>
      </w:r>
      <w:r w:rsidR="004944D7">
        <w:t xml:space="preserve"> or arose</w:t>
      </w:r>
      <w:r w:rsidR="00DE17BC">
        <w:t xml:space="preserve"> </w:t>
      </w:r>
      <w:r w:rsidR="00702E2F">
        <w:t>once Vanzyl was no longer domiciled here</w:t>
      </w:r>
      <w:r w:rsidR="00231FF0">
        <w:t xml:space="preserve">.  (See </w:t>
      </w:r>
      <w:r w:rsidRPr="002E5FFA" w:rsidR="002E5FFA">
        <w:rPr>
          <w:i/>
          <w:iCs/>
        </w:rPr>
        <w:t>Kormylo v. Forever Resorts, LLC</w:t>
      </w:r>
      <w:r w:rsidR="006011EA">
        <w:t xml:space="preserve"> </w:t>
      </w:r>
      <w:r w:rsidRPr="00C9545C" w:rsidR="002E5FFA">
        <w:t>(S.D.Cal. Jan.</w:t>
      </w:r>
      <w:r w:rsidR="006011EA">
        <w:t> </w:t>
      </w:r>
      <w:r w:rsidRPr="00C9545C" w:rsidR="002E5FFA">
        <w:t xml:space="preserve">6, </w:t>
      </w:r>
      <w:r w:rsidRPr="00B411C9" w:rsidR="002E5FFA">
        <w:t>2015, No.</w:t>
      </w:r>
      <w:r w:rsidRPr="00B411C9" w:rsidR="006011EA">
        <w:t> </w:t>
      </w:r>
      <w:r w:rsidRPr="00B411C9" w:rsidR="002E5FFA">
        <w:t>13-cv-511 JM (WVG)) 2015</w:t>
      </w:r>
      <w:r w:rsidRPr="00B411C9" w:rsidR="006011EA">
        <w:t> </w:t>
      </w:r>
      <w:r w:rsidRPr="00B411C9" w:rsidR="002E5FFA">
        <w:t>U.S.Dist.L</w:t>
      </w:r>
      <w:r w:rsidRPr="00B411C9" w:rsidR="00CC1D99">
        <w:t>exis</w:t>
      </w:r>
      <w:r w:rsidRPr="00B411C9" w:rsidR="002E5FFA">
        <w:t xml:space="preserve"> 1630, at </w:t>
      </w:r>
      <w:r w:rsidRPr="00B411C9" w:rsidR="00246D5A">
        <w:t>p. </w:t>
      </w:r>
      <w:r w:rsidRPr="00B411C9" w:rsidR="002E5FFA">
        <w:t>*28</w:t>
      </w:r>
      <w:r w:rsidRPr="00B411C9" w:rsidR="00231FF0">
        <w:t xml:space="preserve"> [“In this case, the court need not look back far, as it is undisputed that Allen was domiciled in California until </w:t>
      </w:r>
      <w:r w:rsidRPr="00B411C9" w:rsidR="00FA4E94">
        <w:t>.</w:t>
      </w:r>
      <w:r w:rsidRPr="00B411C9" w:rsidR="006011EA">
        <w:t> </w:t>
      </w:r>
      <w:r w:rsidRPr="00B411C9" w:rsidR="00FA4E94">
        <w:t>.</w:t>
      </w:r>
      <w:r w:rsidRPr="00B411C9" w:rsidR="006011EA">
        <w:t> </w:t>
      </w:r>
      <w:r w:rsidRPr="00B411C9" w:rsidR="00FA4E94">
        <w:t>.</w:t>
      </w:r>
      <w:r w:rsidRPr="00B411C9" w:rsidR="00231FF0">
        <w:t xml:space="preserve"> one month before the initial third-party complaint was filed”].) </w:t>
      </w:r>
      <w:r w:rsidRPr="00B411C9" w:rsidR="00AB21ED">
        <w:t xml:space="preserve"> </w:t>
      </w:r>
      <w:r w:rsidRPr="00B411C9" w:rsidR="009650FE">
        <w:t>We emphasize that i</w:t>
      </w:r>
      <w:r w:rsidRPr="00B411C9" w:rsidR="004E1285">
        <w:t xml:space="preserve">t is </w:t>
      </w:r>
      <w:r w:rsidRPr="00B411C9" w:rsidR="007441A8">
        <w:t xml:space="preserve">the extent of </w:t>
      </w:r>
      <w:r w:rsidRPr="00B411C9" w:rsidR="004E1285">
        <w:t>those later contacts</w:t>
      </w:r>
      <w:r w:rsidR="004E1285">
        <w:t>, rather than his previous</w:t>
      </w:r>
      <w:r w:rsidR="00E40DFD">
        <w:t xml:space="preserve"> contacts</w:t>
      </w:r>
      <w:r w:rsidR="00245DDD">
        <w:t xml:space="preserve"> when domiciled in California</w:t>
      </w:r>
      <w:r w:rsidR="00E40DFD">
        <w:t>, that will be dispositive.</w:t>
      </w:r>
      <w:r w:rsidR="00400987">
        <w:t xml:space="preserve">  (See, e.g., </w:t>
      </w:r>
      <w:r w:rsidRPr="00823B24" w:rsidR="00400987">
        <w:rPr>
          <w:rFonts w:cs="Calibri Light"/>
          <w:i/>
          <w:iCs/>
        </w:rPr>
        <w:t>Serafini v. Superior Court</w:t>
      </w:r>
      <w:r w:rsidRPr="00823B24" w:rsidR="00400987">
        <w:rPr>
          <w:rFonts w:cs="Calibri Light"/>
        </w:rPr>
        <w:t xml:space="preserve"> (1998) 68</w:t>
      </w:r>
      <w:r w:rsidR="00246D5A">
        <w:rPr>
          <w:rFonts w:cs="Calibri Light"/>
        </w:rPr>
        <w:t> </w:t>
      </w:r>
      <w:r w:rsidRPr="00823B24" w:rsidR="00400987">
        <w:rPr>
          <w:rFonts w:cs="Calibri Light"/>
        </w:rPr>
        <w:t xml:space="preserve">Cal.App.4th </w:t>
      </w:r>
      <w:r w:rsidR="00400987">
        <w:rPr>
          <w:rFonts w:cs="Calibri Light"/>
        </w:rPr>
        <w:t>70,</w:t>
      </w:r>
      <w:r w:rsidRPr="00823B24" w:rsidR="00400987">
        <w:rPr>
          <w:rFonts w:cs="Calibri Light"/>
        </w:rPr>
        <w:t xml:space="preserve"> </w:t>
      </w:r>
      <w:r w:rsidR="007441A8">
        <w:rPr>
          <w:rFonts w:cs="Calibri Light"/>
        </w:rPr>
        <w:t>80</w:t>
      </w:r>
      <w:r w:rsidR="00336C5F">
        <w:rPr>
          <w:rFonts w:cs="Calibri Light"/>
        </w:rPr>
        <w:t xml:space="preserve">; </w:t>
      </w:r>
      <w:r w:rsidR="00336C5F">
        <w:rPr>
          <w:rFonts w:cs="Calibri Light"/>
          <w:i/>
          <w:iCs/>
        </w:rPr>
        <w:t>Klinghoffer, supra</w:t>
      </w:r>
      <w:r w:rsidR="00336C5F">
        <w:rPr>
          <w:rFonts w:cs="Calibri Light"/>
        </w:rPr>
        <w:t>,</w:t>
      </w:r>
      <w:r w:rsidRPr="001A7B2C" w:rsidR="00336C5F">
        <w:rPr>
          <w:rFonts w:cs="Calibri Light"/>
        </w:rPr>
        <w:t xml:space="preserve"> 937</w:t>
      </w:r>
      <w:r w:rsidR="00246D5A">
        <w:rPr>
          <w:rFonts w:cs="Calibri Light"/>
        </w:rPr>
        <w:t> </w:t>
      </w:r>
      <w:r w:rsidRPr="001A7B2C" w:rsidR="00336C5F">
        <w:rPr>
          <w:rFonts w:cs="Calibri Light"/>
        </w:rPr>
        <w:t xml:space="preserve">F.2d </w:t>
      </w:r>
      <w:r w:rsidR="00336C5F">
        <w:rPr>
          <w:rFonts w:cs="Calibri Light"/>
        </w:rPr>
        <w:t>at p.</w:t>
      </w:r>
      <w:r w:rsidR="00246D5A">
        <w:rPr>
          <w:rFonts w:cs="Calibri Light"/>
        </w:rPr>
        <w:t> </w:t>
      </w:r>
      <w:r w:rsidRPr="001A7B2C" w:rsidR="00336C5F">
        <w:rPr>
          <w:rFonts w:cs="Calibri Light"/>
        </w:rPr>
        <w:t>52</w:t>
      </w:r>
      <w:r w:rsidR="007441A8">
        <w:rPr>
          <w:rFonts w:cs="Calibri Light"/>
        </w:rPr>
        <w:t>.)</w:t>
      </w:r>
      <w:r w:rsidR="00B36F04">
        <w:rPr>
          <w:rFonts w:cs="Calibri Light"/>
        </w:rPr>
        <w:t xml:space="preserve">  </w:t>
      </w:r>
    </w:p>
    <w:p w:rsidR="000413F1" w:rsidRPr="00823B24" w:rsidP="00263B11" w14:paraId="21D425CA" w14:textId="654CEE7B">
      <w:pPr>
        <w:autoSpaceDE w:val="0"/>
        <w:autoSpaceDN w:val="0"/>
        <w:ind w:firstLine="720"/>
        <w:rPr>
          <w:rFonts w:cs="Calibri Light"/>
        </w:rPr>
      </w:pPr>
      <w:r>
        <w:rPr>
          <w:rFonts w:cs="Calibri Light"/>
        </w:rPr>
        <w:t>In our view, t</w:t>
      </w:r>
      <w:r w:rsidR="00AD06A2">
        <w:rPr>
          <w:rFonts w:cs="Calibri Light"/>
        </w:rPr>
        <w:t xml:space="preserve">he </w:t>
      </w:r>
      <w:r>
        <w:rPr>
          <w:rFonts w:cs="Calibri Light"/>
        </w:rPr>
        <w:t xml:space="preserve">current </w:t>
      </w:r>
      <w:r w:rsidR="00AD06A2">
        <w:rPr>
          <w:rFonts w:cs="Calibri Light"/>
        </w:rPr>
        <w:t>record raises on</w:t>
      </w:r>
      <w:r w:rsidR="00B179CB">
        <w:rPr>
          <w:rFonts w:cs="Calibri Light"/>
        </w:rPr>
        <w:t>ly</w:t>
      </w:r>
      <w:r w:rsidR="00AD06A2">
        <w:rPr>
          <w:rFonts w:cs="Calibri Light"/>
        </w:rPr>
        <w:t xml:space="preserve"> the </w:t>
      </w:r>
      <w:r w:rsidRPr="00263B11" w:rsidR="00AD06A2">
        <w:rPr>
          <w:rFonts w:cs="Calibri Light"/>
          <w:i/>
          <w:iCs/>
        </w:rPr>
        <w:t>possibility</w:t>
      </w:r>
      <w:r w:rsidR="00AD06A2">
        <w:rPr>
          <w:rFonts w:cs="Calibri Light"/>
        </w:rPr>
        <w:t xml:space="preserve"> that </w:t>
      </w:r>
      <w:r w:rsidR="00FB3157">
        <w:rPr>
          <w:rFonts w:cs="Calibri Light"/>
        </w:rPr>
        <w:t>the exercise of general jurisdiction</w:t>
      </w:r>
      <w:r w:rsidR="001C1ABE">
        <w:rPr>
          <w:rFonts w:cs="Calibri Light"/>
        </w:rPr>
        <w:t xml:space="preserve"> could be </w:t>
      </w:r>
      <w:r w:rsidR="0012554B">
        <w:rPr>
          <w:rFonts w:cs="Calibri Light"/>
        </w:rPr>
        <w:t>warranted</w:t>
      </w:r>
      <w:r w:rsidR="00B179CB">
        <w:rPr>
          <w:rFonts w:cs="Calibri Light"/>
        </w:rPr>
        <w:t xml:space="preserve">. </w:t>
      </w:r>
      <w:r w:rsidR="00263B11">
        <w:rPr>
          <w:rFonts w:cs="Calibri Light"/>
        </w:rPr>
        <w:t xml:space="preserve"> </w:t>
      </w:r>
      <w:r w:rsidR="004E18C3">
        <w:rPr>
          <w:rFonts w:cs="Calibri Light"/>
        </w:rPr>
        <w:t>T</w:t>
      </w:r>
      <w:r w:rsidR="00215B1D">
        <w:rPr>
          <w:rFonts w:cs="Calibri Light"/>
        </w:rPr>
        <w:t xml:space="preserve">he </w:t>
      </w:r>
      <w:r w:rsidR="004E18C3">
        <w:rPr>
          <w:rFonts w:cs="Calibri Light"/>
        </w:rPr>
        <w:t xml:space="preserve">full </w:t>
      </w:r>
      <w:r w:rsidR="00215B1D">
        <w:rPr>
          <w:rFonts w:cs="Calibri Light"/>
        </w:rPr>
        <w:t xml:space="preserve">nature of </w:t>
      </w:r>
      <w:r w:rsidR="0012554B">
        <w:rPr>
          <w:rFonts w:cs="Calibri Light"/>
        </w:rPr>
        <w:t>Vanzyl’s</w:t>
      </w:r>
      <w:r w:rsidR="007A3BE1">
        <w:rPr>
          <w:rFonts w:cs="Calibri Light"/>
        </w:rPr>
        <w:t xml:space="preserve"> </w:t>
      </w:r>
      <w:r w:rsidR="004E18C3">
        <w:rPr>
          <w:rFonts w:cs="Calibri Light"/>
        </w:rPr>
        <w:t>California</w:t>
      </w:r>
      <w:r w:rsidR="00215B1D">
        <w:rPr>
          <w:rFonts w:cs="Calibri Light"/>
        </w:rPr>
        <w:t xml:space="preserve"> contacts </w:t>
      </w:r>
      <w:r w:rsidR="004E18C3">
        <w:rPr>
          <w:rFonts w:cs="Calibri Light"/>
        </w:rPr>
        <w:t>after</w:t>
      </w:r>
      <w:r w:rsidR="00215B1D">
        <w:rPr>
          <w:rFonts w:cs="Calibri Light"/>
        </w:rPr>
        <w:t xml:space="preserve"> </w:t>
      </w:r>
      <w:r w:rsidR="001F6FE3">
        <w:rPr>
          <w:rFonts w:cs="Calibri Light"/>
        </w:rPr>
        <w:t xml:space="preserve">he </w:t>
      </w:r>
      <w:r w:rsidR="00215B1D">
        <w:rPr>
          <w:rFonts w:cs="Calibri Light"/>
        </w:rPr>
        <w:t>moved to Florida</w:t>
      </w:r>
      <w:r w:rsidR="004E18C3">
        <w:rPr>
          <w:rFonts w:cs="Calibri Light"/>
        </w:rPr>
        <w:t xml:space="preserve"> is unclear</w:t>
      </w:r>
      <w:r w:rsidR="00215B1D">
        <w:rPr>
          <w:rFonts w:cs="Calibri Light"/>
        </w:rPr>
        <w:t xml:space="preserve">, </w:t>
      </w:r>
      <w:r w:rsidR="00B61285">
        <w:rPr>
          <w:rFonts w:cs="Calibri Light"/>
        </w:rPr>
        <w:t xml:space="preserve">and </w:t>
      </w:r>
      <w:r w:rsidR="001F6FE3">
        <w:rPr>
          <w:rFonts w:cs="Calibri Light"/>
        </w:rPr>
        <w:t>it is possible that</w:t>
      </w:r>
      <w:r w:rsidR="000666D1">
        <w:rPr>
          <w:rFonts w:cs="Calibri Light"/>
        </w:rPr>
        <w:t xml:space="preserve"> t</w:t>
      </w:r>
      <w:r w:rsidR="00B61285">
        <w:rPr>
          <w:rFonts w:cs="Calibri Light"/>
        </w:rPr>
        <w:t xml:space="preserve">hey changed </w:t>
      </w:r>
      <w:r w:rsidR="001F6FE3">
        <w:rPr>
          <w:rFonts w:cs="Calibri Light"/>
        </w:rPr>
        <w:t xml:space="preserve">again </w:t>
      </w:r>
      <w:r w:rsidR="00B61285">
        <w:rPr>
          <w:rFonts w:cs="Calibri Light"/>
        </w:rPr>
        <w:t xml:space="preserve">with his later move to Australia. </w:t>
      </w:r>
      <w:r w:rsidR="000666D1">
        <w:rPr>
          <w:rFonts w:cs="Calibri Light"/>
        </w:rPr>
        <w:t xml:space="preserve"> </w:t>
      </w:r>
      <w:r w:rsidR="00263B11">
        <w:rPr>
          <w:rFonts w:cs="Calibri Light"/>
        </w:rPr>
        <w:t xml:space="preserve">Accordingly, we next </w:t>
      </w:r>
      <w:r w:rsidR="00CE050B">
        <w:rPr>
          <w:rFonts w:cs="Calibri Light"/>
        </w:rPr>
        <w:t>consider</w:t>
      </w:r>
      <w:r w:rsidR="00263B11">
        <w:rPr>
          <w:rFonts w:cs="Calibri Light"/>
        </w:rPr>
        <w:t xml:space="preserve"> whether the trial court abused its discretion in failing to </w:t>
      </w:r>
      <w:r w:rsidR="0012554B">
        <w:rPr>
          <w:rFonts w:cs="Calibri Light"/>
        </w:rPr>
        <w:t>grant a continuance that would allow</w:t>
      </w:r>
      <w:r w:rsidR="00263B11">
        <w:rPr>
          <w:rFonts w:cs="Calibri Light"/>
        </w:rPr>
        <w:t xml:space="preserve"> Hardell to take jurisdictional discovery.</w:t>
      </w:r>
    </w:p>
    <w:p w:rsidR="00BD792E" w:rsidP="00475036" w14:paraId="18918B5E" w14:textId="6C0CDCF2">
      <w:pPr>
        <w:pStyle w:val="Heading2"/>
        <w:numPr>
          <w:ilvl w:val="0"/>
          <w:numId w:val="14"/>
        </w:numPr>
        <w:spacing w:before="0" w:after="0" w:line="360" w:lineRule="auto"/>
        <w:ind w:left="720" w:right="0" w:hanging="432"/>
      </w:pPr>
      <w:r>
        <w:t>Jurisdictional Discovery</w:t>
      </w:r>
    </w:p>
    <w:p w:rsidR="002B6052" w:rsidP="00BD792E" w14:paraId="1366954A" w14:textId="242FC622">
      <w:pPr>
        <w:ind w:firstLine="720"/>
      </w:pPr>
      <w:r>
        <w:t>Hardell</w:t>
      </w:r>
      <w:r w:rsidR="00593035">
        <w:t xml:space="preserve"> requested </w:t>
      </w:r>
      <w:r>
        <w:t>j</w:t>
      </w:r>
      <w:r w:rsidR="002D16B2">
        <w:t>urisdictional discovery</w:t>
      </w:r>
      <w:r>
        <w:t xml:space="preserve"> </w:t>
      </w:r>
      <w:r w:rsidR="00593035">
        <w:t>in the trial court</w:t>
      </w:r>
      <w:r w:rsidR="006451C9">
        <w:t xml:space="preserve">, </w:t>
      </w:r>
      <w:r w:rsidR="00A14E48">
        <w:t xml:space="preserve">noting generally her right to conduct discovery and </w:t>
      </w:r>
      <w:r w:rsidR="006451C9">
        <w:t xml:space="preserve">stating that she </w:t>
      </w:r>
      <w:r w:rsidR="00A41FFE">
        <w:t>“</w:t>
      </w:r>
      <w:r w:rsidR="00263257">
        <w:t>dispute</w:t>
      </w:r>
      <w:r w:rsidR="00A41FFE">
        <w:t>[</w:t>
      </w:r>
      <w:r w:rsidR="00263257">
        <w:t>d</w:t>
      </w:r>
      <w:r w:rsidR="00A41FFE">
        <w:t>]</w:t>
      </w:r>
      <w:r w:rsidR="00263257">
        <w:t xml:space="preserve"> the facts set forth in Vanzyl’s decla</w:t>
      </w:r>
      <w:r w:rsidR="00A41FFE">
        <w:t>ra</w:t>
      </w:r>
      <w:r w:rsidR="00263257">
        <w:t>tion</w:t>
      </w:r>
      <w:r w:rsidR="00012C48">
        <w:t>”</w:t>
      </w:r>
      <w:r w:rsidR="00A41FFE">
        <w:t xml:space="preserve"> and that Vanzyl </w:t>
      </w:r>
      <w:r w:rsidR="00012C48">
        <w:t xml:space="preserve">did not “present or address significant facts related to his California contacts or current or past </w:t>
      </w:r>
      <w:r w:rsidR="009D6C9E">
        <w:t>domicile</w:t>
      </w:r>
      <w:r w:rsidR="002D16B2">
        <w:t>.</w:t>
      </w:r>
      <w:r w:rsidR="00B31BCC">
        <w:t>”</w:t>
      </w:r>
      <w:r w:rsidR="002D16B2">
        <w:t xml:space="preserve">  </w:t>
      </w:r>
      <w:r w:rsidR="00331FA5">
        <w:t xml:space="preserve">She repeats her request here.  </w:t>
      </w:r>
      <w:r w:rsidR="00024225">
        <w:t>W</w:t>
      </w:r>
      <w:r w:rsidR="002D20C3">
        <w:t xml:space="preserve">ith jurisdictional discovery, </w:t>
      </w:r>
      <w:r w:rsidR="00024225">
        <w:t>Hardell contends,</w:t>
      </w:r>
      <w:r w:rsidR="002D20C3">
        <w:t xml:space="preserve"> she could access non-public information, in addition to </w:t>
      </w:r>
      <w:r w:rsidR="00C178C7">
        <w:t>what</w:t>
      </w:r>
      <w:r w:rsidR="002D20C3">
        <w:t xml:space="preserve"> her private investigator acquire</w:t>
      </w:r>
      <w:r w:rsidR="00024225">
        <w:t>d</w:t>
      </w:r>
      <w:r w:rsidR="00C178C7">
        <w:t xml:space="preserve"> from public sources</w:t>
      </w:r>
      <w:r w:rsidR="006C317D">
        <w:t xml:space="preserve">. </w:t>
      </w:r>
      <w:r w:rsidR="00E7780A">
        <w:t xml:space="preserve"> This would include</w:t>
      </w:r>
      <w:r w:rsidR="003F7F92">
        <w:t xml:space="preserve"> </w:t>
      </w:r>
      <w:r w:rsidR="00E7780A">
        <w:t xml:space="preserve">evidence to contradict the assertions in Vanzyl’s declaration </w:t>
      </w:r>
      <w:r w:rsidR="00710ABF">
        <w:t xml:space="preserve">and to reveal information omitted from that declaration—Vanzyl’s </w:t>
      </w:r>
      <w:r w:rsidR="009B4553">
        <w:t>ownership interest in the Tahoe</w:t>
      </w:r>
      <w:r w:rsidR="00616407">
        <w:t xml:space="preserve"> home</w:t>
      </w:r>
      <w:r w:rsidR="009B4553">
        <w:t>,</w:t>
      </w:r>
      <w:r w:rsidR="00035CB6">
        <w:t xml:space="preserve"> the amount of time he spent at that home, and</w:t>
      </w:r>
      <w:r w:rsidR="009B4553">
        <w:t xml:space="preserve"> the extent of his business activities in California,</w:t>
      </w:r>
      <w:r w:rsidR="00616407">
        <w:t xml:space="preserve"> including but not limited to those on behalf of Target Velocity</w:t>
      </w:r>
      <w:r w:rsidR="006C317D">
        <w:t xml:space="preserve">. </w:t>
      </w:r>
      <w:r w:rsidRPr="00E03043" w:rsidR="00E03043">
        <w:t xml:space="preserve"> </w:t>
      </w:r>
    </w:p>
    <w:p w:rsidR="00B13DB4" w:rsidRPr="0012167E" w:rsidP="0012167E" w14:paraId="012FD8DE" w14:textId="000A1E63">
      <w:pPr>
        <w:ind w:firstLine="720"/>
      </w:pPr>
      <w:r>
        <w:t>“</w:t>
      </w:r>
      <w:r w:rsidRPr="00275A41">
        <w:t>A plaintiff attempting to assert jurisdiction over a nonresident defendant is entitled to an opportunity to conduct discovery of the jurisdictional facts necessary to sustain its burden of proof</w:t>
      </w:r>
      <w:r w:rsidR="00F338A4">
        <w:t>,</w:t>
      </w:r>
      <w:r>
        <w:t>”</w:t>
      </w:r>
      <w:r w:rsidR="00F338A4">
        <w:t xml:space="preserve"> </w:t>
      </w:r>
      <w:r w:rsidRPr="00F75DD3" w:rsidR="00F338A4">
        <w:t xml:space="preserve">and </w:t>
      </w:r>
      <w:r w:rsidRPr="00F75DD3" w:rsidR="009B27EE">
        <w:t>“</w:t>
      </w:r>
      <w:r w:rsidRPr="00F75DD3" w:rsidR="00723D6B">
        <w:t>[</w:t>
      </w:r>
      <w:r w:rsidRPr="00F75DD3" w:rsidR="005E5AD9">
        <w:t>i</w:t>
      </w:r>
      <w:r w:rsidRPr="00F75DD3" w:rsidR="00723D6B">
        <w:t>]</w:t>
      </w:r>
      <w:r w:rsidRPr="00F75DD3" w:rsidR="005E5AD9">
        <w:t>n</w:t>
      </w:r>
      <w:r w:rsidR="005E5AD9">
        <w:t xml:space="preserve"> order </w:t>
      </w:r>
      <w:r w:rsidRPr="009B27EE" w:rsidR="009B27EE">
        <w:t xml:space="preserve">to prevail on a motion for a continuance for jurisdictional discovery, </w:t>
      </w:r>
      <w:r w:rsidR="006C3D41">
        <w:t>.</w:t>
      </w:r>
      <w:r w:rsidR="00723D6B">
        <w:t> </w:t>
      </w:r>
      <w:r w:rsidR="006C3D41">
        <w:t>.</w:t>
      </w:r>
      <w:r w:rsidR="00723D6B">
        <w:t> </w:t>
      </w:r>
      <w:r w:rsidR="006C3D41">
        <w:t>.</w:t>
      </w:r>
      <w:r w:rsidRPr="009B27EE" w:rsidR="009B27EE">
        <w:t xml:space="preserve"> should demonstrate that discovery is likely to lead to the production of evidence of facts establishing jurisdiction</w:t>
      </w:r>
      <w:r w:rsidR="007A71FE">
        <w:t>.”</w:t>
      </w:r>
      <w:r>
        <w:t xml:space="preserve">  (</w:t>
      </w:r>
      <w:r w:rsidRPr="00275A41">
        <w:rPr>
          <w:i/>
          <w:iCs/>
        </w:rPr>
        <w:t>In</w:t>
      </w:r>
      <w:r w:rsidR="00723D6B">
        <w:rPr>
          <w:i/>
          <w:iCs/>
        </w:rPr>
        <w:t> </w:t>
      </w:r>
      <w:r w:rsidRPr="00275A41">
        <w:rPr>
          <w:i/>
          <w:iCs/>
        </w:rPr>
        <w:t>re</w:t>
      </w:r>
      <w:r w:rsidR="00723D6B">
        <w:rPr>
          <w:i/>
          <w:iCs/>
        </w:rPr>
        <w:t> </w:t>
      </w:r>
      <w:r w:rsidRPr="00275A41">
        <w:rPr>
          <w:i/>
          <w:iCs/>
        </w:rPr>
        <w:t>Automobile Antitrust Cases I &amp;</w:t>
      </w:r>
      <w:r w:rsidR="00723D6B">
        <w:rPr>
          <w:i/>
          <w:iCs/>
        </w:rPr>
        <w:t> </w:t>
      </w:r>
      <w:r w:rsidRPr="00275A41">
        <w:rPr>
          <w:i/>
          <w:iCs/>
        </w:rPr>
        <w:t>II</w:t>
      </w:r>
      <w:r w:rsidRPr="00275A41">
        <w:t xml:space="preserve"> (2005) 135</w:t>
      </w:r>
      <w:r w:rsidR="00723D6B">
        <w:t> </w:t>
      </w:r>
      <w:r w:rsidRPr="00275A41">
        <w:t>Cal.App.4th 100, 127</w:t>
      </w:r>
      <w:r w:rsidR="00731A71">
        <w:t xml:space="preserve">; see </w:t>
      </w:r>
      <w:r w:rsidRPr="00393498" w:rsidR="00F0776D">
        <w:rPr>
          <w:i/>
          <w:iCs/>
        </w:rPr>
        <w:t>Goehring v. Superior Court</w:t>
      </w:r>
      <w:r w:rsidR="00805F71">
        <w:t xml:space="preserve">, </w:t>
      </w:r>
      <w:r w:rsidR="00805F71">
        <w:rPr>
          <w:i/>
          <w:iCs/>
        </w:rPr>
        <w:t>supra</w:t>
      </w:r>
      <w:r w:rsidR="00805F71">
        <w:t>,</w:t>
      </w:r>
      <w:r w:rsidR="00E337AC">
        <w:t xml:space="preserve"> </w:t>
      </w:r>
      <w:r w:rsidR="00F0776D">
        <w:t>62</w:t>
      </w:r>
      <w:r w:rsidR="00723D6B">
        <w:t> </w:t>
      </w:r>
      <w:r w:rsidR="00F0776D">
        <w:t xml:space="preserve">Cal.App.4th </w:t>
      </w:r>
      <w:r w:rsidR="00805F71">
        <w:t>at p.</w:t>
      </w:r>
      <w:r w:rsidR="00391AF9">
        <w:t> </w:t>
      </w:r>
      <w:r w:rsidR="00F0776D">
        <w:t>911 [“A plaintiff is generally entitled to conduct discovery with regard to a jurisdictional issue before a court rules on a motion to quash”].)</w:t>
      </w:r>
      <w:r w:rsidR="0012167E">
        <w:t xml:space="preserve">  </w:t>
      </w:r>
      <w:r w:rsidR="00014671">
        <w:t xml:space="preserve">Although Vanzyl </w:t>
      </w:r>
      <w:r w:rsidR="00393498">
        <w:t>contends</w:t>
      </w:r>
      <w:r w:rsidR="00014671">
        <w:t xml:space="preserve"> that </w:t>
      </w:r>
      <w:r w:rsidR="00B64591">
        <w:t xml:space="preserve">his declaration answers the relevant jurisdictional questions, we agree with Hardell that </w:t>
      </w:r>
      <w:r w:rsidR="00393498">
        <w:t>exploration of</w:t>
      </w:r>
      <w:r w:rsidR="002614FF">
        <w:t xml:space="preserve"> </w:t>
      </w:r>
      <w:r w:rsidR="005E5AD9">
        <w:t>his</w:t>
      </w:r>
      <w:r w:rsidR="002614FF">
        <w:t xml:space="preserve"> assertions</w:t>
      </w:r>
      <w:r w:rsidRPr="00444FDA" w:rsidR="00C91562">
        <w:t xml:space="preserve"> could reveal facts sufficient to establish general jurisdiction</w:t>
      </w:r>
      <w:r w:rsidRPr="00444FDA" w:rsidR="002614FF">
        <w:t xml:space="preserve">.  </w:t>
      </w:r>
      <w:r w:rsidRPr="00444FDA" w:rsidR="00710ABF">
        <w:t>(</w:t>
      </w:r>
      <w:r w:rsidRPr="002E1174" w:rsidR="00C91562">
        <w:t>See</w:t>
      </w:r>
      <w:r w:rsidR="002A581D">
        <w:t xml:space="preserve"> </w:t>
      </w:r>
      <w:r w:rsidRPr="002E1174" w:rsidR="002A581D">
        <w:rPr>
          <w:rFonts w:cs="Calibri Light"/>
          <w:i/>
          <w:iCs/>
        </w:rPr>
        <w:t>Orchid Bio</w:t>
      </w:r>
      <w:r w:rsidRPr="00444FDA" w:rsidR="002A581D">
        <w:rPr>
          <w:rFonts w:cs="Calibri Light"/>
          <w:i/>
          <w:iCs/>
        </w:rPr>
        <w:t>sciences, Inc. v. St.</w:t>
      </w:r>
      <w:r w:rsidR="00E56722">
        <w:rPr>
          <w:rFonts w:cs="Calibri Light"/>
          <w:i/>
          <w:iCs/>
        </w:rPr>
        <w:t> </w:t>
      </w:r>
      <w:r w:rsidRPr="00444FDA" w:rsidR="002A581D">
        <w:rPr>
          <w:rFonts w:cs="Calibri Light"/>
          <w:i/>
          <w:iCs/>
        </w:rPr>
        <w:t>Louis University</w:t>
      </w:r>
      <w:r w:rsidRPr="00444FDA" w:rsidR="002A581D">
        <w:rPr>
          <w:rFonts w:cs="Calibri Light"/>
        </w:rPr>
        <w:t xml:space="preserve"> (S</w:t>
      </w:r>
      <w:r w:rsidRPr="008B780D" w:rsidR="002A581D">
        <w:rPr>
          <w:rFonts w:cs="Calibri Light"/>
        </w:rPr>
        <w:t>.D. Cal. 2001) 198</w:t>
      </w:r>
      <w:r w:rsidR="00646CAC">
        <w:rPr>
          <w:rFonts w:cs="Calibri Light"/>
        </w:rPr>
        <w:t> </w:t>
      </w:r>
      <w:r w:rsidRPr="008B780D" w:rsidR="002A581D">
        <w:rPr>
          <w:rFonts w:cs="Calibri Light"/>
        </w:rPr>
        <w:t>F.R.D. 670, 673–674 [</w:t>
      </w:r>
      <w:r w:rsidRPr="005866A3" w:rsidR="002A581D">
        <w:rPr>
          <w:rFonts w:cs="Calibri Light"/>
        </w:rPr>
        <w:t xml:space="preserve">notwithstanding defendant’s assertion that its employee’s </w:t>
      </w:r>
      <w:r w:rsidR="002A581D">
        <w:rPr>
          <w:rFonts w:cs="Calibri Light"/>
        </w:rPr>
        <w:t>two</w:t>
      </w:r>
      <w:r w:rsidRPr="005866A3" w:rsidR="002A581D">
        <w:rPr>
          <w:rFonts w:cs="Calibri Light"/>
        </w:rPr>
        <w:t xml:space="preserve"> declaration</w:t>
      </w:r>
      <w:r w:rsidR="002A581D">
        <w:rPr>
          <w:rFonts w:cs="Calibri Light"/>
        </w:rPr>
        <w:t>s</w:t>
      </w:r>
      <w:r w:rsidRPr="005866A3" w:rsidR="002A581D">
        <w:rPr>
          <w:rFonts w:cs="Calibri Light"/>
        </w:rPr>
        <w:t xml:space="preserve"> answered all of plaintiff’s jurisdictional questions, there were still “</w:t>
      </w:r>
      <w:r w:rsidR="001723B4">
        <w:rPr>
          <w:rFonts w:cs="Calibri Light"/>
        </w:rPr>
        <w:t> ‘</w:t>
      </w:r>
      <w:r w:rsidRPr="005866A3" w:rsidR="002A581D">
        <w:rPr>
          <w:rFonts w:cs="Calibri Light"/>
        </w:rPr>
        <w:t>pertinent facts bearing on the question of jurisdiction [that] were controverted,</w:t>
      </w:r>
      <w:r w:rsidR="001723B4">
        <w:rPr>
          <w:rFonts w:cs="Calibri Light"/>
        </w:rPr>
        <w:t>’ </w:t>
      </w:r>
      <w:r w:rsidRPr="005866A3" w:rsidR="002A581D">
        <w:rPr>
          <w:rFonts w:cs="Calibri Light"/>
        </w:rPr>
        <w:t>” including whether the declaration</w:t>
      </w:r>
      <w:r w:rsidR="0048071D">
        <w:rPr>
          <w:rFonts w:cs="Calibri Light"/>
        </w:rPr>
        <w:t>s</w:t>
      </w:r>
      <w:r w:rsidRPr="005866A3" w:rsidR="002A581D">
        <w:rPr>
          <w:rFonts w:cs="Calibri Light"/>
        </w:rPr>
        <w:t xml:space="preserve"> disclosed all of defendant’s contacts with California</w:t>
      </w:r>
      <w:r w:rsidRPr="008B780D" w:rsidR="002A581D">
        <w:rPr>
          <w:rFonts w:cs="Calibri Light"/>
        </w:rPr>
        <w:t>]</w:t>
      </w:r>
      <w:r w:rsidR="0048071D">
        <w:rPr>
          <w:rFonts w:cs="Calibri Light"/>
        </w:rPr>
        <w:t>; cf.</w:t>
      </w:r>
      <w:r w:rsidRPr="002E1174" w:rsidR="00C91562">
        <w:t xml:space="preserve"> </w:t>
      </w:r>
      <w:r w:rsidRPr="00D77381" w:rsidR="005B5095">
        <w:rPr>
          <w:rFonts w:cs="Calibri Light"/>
          <w:i/>
          <w:iCs/>
        </w:rPr>
        <w:t>Laub v. U.S. Dept. of Interior</w:t>
      </w:r>
      <w:r w:rsidRPr="00D77381" w:rsidR="005B5095">
        <w:rPr>
          <w:rFonts w:cs="Calibri Light"/>
        </w:rPr>
        <w:t xml:space="preserve"> (</w:t>
      </w:r>
      <w:r w:rsidR="00BE1AD7">
        <w:rPr>
          <w:rFonts w:cs="Calibri Light"/>
        </w:rPr>
        <w:t>9th </w:t>
      </w:r>
      <w:r w:rsidRPr="00D77381" w:rsidR="005B5095">
        <w:rPr>
          <w:rFonts w:cs="Calibri Light"/>
        </w:rPr>
        <w:t>Cir. 2003) 342</w:t>
      </w:r>
      <w:r w:rsidR="00BE1AD7">
        <w:rPr>
          <w:rFonts w:cs="Calibri Light"/>
        </w:rPr>
        <w:t> </w:t>
      </w:r>
      <w:r w:rsidRPr="00D77381" w:rsidR="005B5095">
        <w:rPr>
          <w:rFonts w:cs="Calibri Light"/>
        </w:rPr>
        <w:t xml:space="preserve">F.3d 1080, 1093 [district court abused its discretion in denying discovery related to subject matter jurisdiction, where plaintiffs presented public documents that were insufficient, alone, to establish jurisdiction, but that indicated discovery would reveal more detailed information </w:t>
      </w:r>
      <w:r w:rsidR="002E1174">
        <w:rPr>
          <w:rFonts w:cs="Calibri Light"/>
        </w:rPr>
        <w:t>supporting jurisdiction</w:t>
      </w:r>
      <w:r w:rsidRPr="00D77381" w:rsidR="005B5095">
        <w:rPr>
          <w:rFonts w:cs="Calibri Light"/>
        </w:rPr>
        <w:t>]</w:t>
      </w:r>
      <w:r w:rsidRPr="008B780D" w:rsidR="00444FDA">
        <w:rPr>
          <w:rFonts w:cs="Calibri Light"/>
        </w:rPr>
        <w:t xml:space="preserve">; </w:t>
      </w:r>
      <w:r w:rsidRPr="00D77381" w:rsidR="00444FDA">
        <w:rPr>
          <w:rFonts w:cs="Calibri Light"/>
          <w:i/>
          <w:iCs/>
        </w:rPr>
        <w:t>1880</w:t>
      </w:r>
      <w:r w:rsidR="007775D8">
        <w:rPr>
          <w:rFonts w:cs="Calibri Light"/>
          <w:i/>
          <w:iCs/>
        </w:rPr>
        <w:t> </w:t>
      </w:r>
      <w:r w:rsidRPr="00D77381" w:rsidR="00444FDA">
        <w:rPr>
          <w:rFonts w:cs="Calibri Light"/>
          <w:i/>
          <w:iCs/>
        </w:rPr>
        <w:t xml:space="preserve">Corp. v. Superior Court </w:t>
      </w:r>
      <w:r w:rsidRPr="00D77381" w:rsidR="00444FDA">
        <w:rPr>
          <w:rFonts w:cs="Calibri Light"/>
        </w:rPr>
        <w:t>(1962) 57</w:t>
      </w:r>
      <w:r w:rsidR="007775D8">
        <w:rPr>
          <w:rFonts w:cs="Calibri Light"/>
        </w:rPr>
        <w:t> </w:t>
      </w:r>
      <w:r w:rsidRPr="00D77381" w:rsidR="00444FDA">
        <w:rPr>
          <w:rFonts w:cs="Calibri Light"/>
        </w:rPr>
        <w:t>Cal.2d 840, 843 [“there is no sound reason why a plaintiff should be deprived of [defendant as the primary] source of information” relating to personal jurisdiction]</w:t>
      </w:r>
      <w:r w:rsidRPr="00444FDA" w:rsidR="00710ABF">
        <w:rPr>
          <w:rFonts w:cs="Calibri Light"/>
        </w:rPr>
        <w:t>.)</w:t>
      </w:r>
      <w:r w:rsidRPr="00444FDA" w:rsidR="003A402D">
        <w:rPr>
          <w:rFonts w:cs="Calibri Light"/>
        </w:rPr>
        <w:t xml:space="preserve">  </w:t>
      </w:r>
    </w:p>
    <w:p w:rsidR="00513984" w:rsidRPr="00513984" w:rsidP="00513984" w14:paraId="0A731A64" w14:textId="277B6E84">
      <w:pPr>
        <w:ind w:firstLine="720"/>
      </w:pPr>
      <w:r>
        <w:rPr>
          <w:rFonts w:cs="Calibri Light"/>
        </w:rPr>
        <w:t xml:space="preserve">Had we </w:t>
      </w:r>
      <w:r w:rsidR="00332431">
        <w:rPr>
          <w:rFonts w:cs="Calibri Light"/>
        </w:rPr>
        <w:t>agreed</w:t>
      </w:r>
      <w:r>
        <w:rPr>
          <w:rFonts w:cs="Calibri Light"/>
        </w:rPr>
        <w:t xml:space="preserve"> with the trial court</w:t>
      </w:r>
      <w:r w:rsidR="00BC49D7">
        <w:rPr>
          <w:rFonts w:cs="Calibri Light"/>
        </w:rPr>
        <w:t xml:space="preserve">’s </w:t>
      </w:r>
      <w:r w:rsidR="00067C10">
        <w:rPr>
          <w:rFonts w:cs="Calibri Light"/>
        </w:rPr>
        <w:t xml:space="preserve">legal </w:t>
      </w:r>
      <w:r w:rsidR="00BC49D7">
        <w:rPr>
          <w:rFonts w:cs="Calibri Light"/>
        </w:rPr>
        <w:t>conclusion</w:t>
      </w:r>
      <w:r>
        <w:rPr>
          <w:rFonts w:cs="Calibri Light"/>
        </w:rPr>
        <w:t xml:space="preserve"> that Vanzyl’s domicile was dispositive, </w:t>
      </w:r>
      <w:r w:rsidR="00BC49D7">
        <w:rPr>
          <w:rFonts w:cs="Calibri Light"/>
        </w:rPr>
        <w:t xml:space="preserve">we would likely find no abuse of discretion in </w:t>
      </w:r>
      <w:r w:rsidR="00067C10">
        <w:rPr>
          <w:rFonts w:cs="Calibri Light"/>
        </w:rPr>
        <w:t>the court’s</w:t>
      </w:r>
      <w:r w:rsidR="00903C7B">
        <w:rPr>
          <w:rFonts w:cs="Calibri Light"/>
        </w:rPr>
        <w:t xml:space="preserve"> decision to deny</w:t>
      </w:r>
      <w:r w:rsidR="00BC49D7">
        <w:rPr>
          <w:rFonts w:cs="Calibri Light"/>
        </w:rPr>
        <w:t xml:space="preserve"> a continuance for discovery.  </w:t>
      </w:r>
      <w:r w:rsidR="00903C7B">
        <w:rPr>
          <w:rFonts w:cs="Calibri Light"/>
        </w:rPr>
        <w:t xml:space="preserve">However, because we have disagreed with that conclusion, </w:t>
      </w:r>
      <w:r w:rsidR="00067C10">
        <w:rPr>
          <w:rFonts w:cs="Calibri Light"/>
        </w:rPr>
        <w:t xml:space="preserve">we also </w:t>
      </w:r>
      <w:r w:rsidR="00FA7AD0">
        <w:rPr>
          <w:rFonts w:cs="Calibri Light"/>
        </w:rPr>
        <w:t xml:space="preserve">find that </w:t>
      </w:r>
      <w:r w:rsidR="007572A2">
        <w:rPr>
          <w:rFonts w:cs="Calibri Light"/>
        </w:rPr>
        <w:t>the court</w:t>
      </w:r>
      <w:r w:rsidR="00FA7AD0">
        <w:rPr>
          <w:rFonts w:cs="Calibri Light"/>
        </w:rPr>
        <w:t xml:space="preserve"> should have granted</w:t>
      </w:r>
      <w:r w:rsidR="00F23E95">
        <w:rPr>
          <w:rFonts w:cs="Calibri Light"/>
        </w:rPr>
        <w:t xml:space="preserve"> Hardell’s request</w:t>
      </w:r>
      <w:r w:rsidR="00BC525D">
        <w:rPr>
          <w:rFonts w:cs="Calibri Light"/>
        </w:rPr>
        <w:t>.</w:t>
      </w:r>
      <w:r w:rsidR="00FB75BB">
        <w:rPr>
          <w:rFonts w:cs="Calibri Light"/>
        </w:rPr>
        <w:t xml:space="preserve">  (</w:t>
      </w:r>
      <w:r w:rsidR="00FA7AD0">
        <w:rPr>
          <w:rFonts w:cs="Calibri Light"/>
        </w:rPr>
        <w:t xml:space="preserve">See </w:t>
      </w:r>
      <w:r w:rsidR="00210CE6">
        <w:rPr>
          <w:rFonts w:cs="Calibri Light"/>
          <w:i/>
          <w:iCs/>
        </w:rPr>
        <w:t xml:space="preserve">Deck v. Developers Investment Co., Inc. </w:t>
      </w:r>
      <w:r w:rsidR="006F030A">
        <w:rPr>
          <w:rFonts w:cs="Calibri Light"/>
        </w:rPr>
        <w:t>(2023) 89 Cal.App.5th 808, 824</w:t>
      </w:r>
      <w:r w:rsidR="00706262">
        <w:rPr>
          <w:rFonts w:cs="Calibri Light"/>
        </w:rPr>
        <w:t xml:space="preserve"> [</w:t>
      </w:r>
      <w:r w:rsidR="00E22E70">
        <w:rPr>
          <w:rFonts w:cs="Calibri Light"/>
        </w:rPr>
        <w:t>“</w:t>
      </w:r>
      <w:r w:rsidR="001D68EC">
        <w:rPr>
          <w:rFonts w:cs="Calibri Light"/>
        </w:rPr>
        <w:t>A trial court’s decision is an abuse of discretion if it is based on an error of law</w:t>
      </w:r>
      <w:r w:rsidR="009D5278">
        <w:rPr>
          <w:rFonts w:cs="Calibri Light"/>
        </w:rPr>
        <w:t>”</w:t>
      </w:r>
      <w:r w:rsidR="00706262">
        <w:rPr>
          <w:rFonts w:cs="Calibri Light"/>
        </w:rPr>
        <w:t>]</w:t>
      </w:r>
      <w:r w:rsidR="00FB75BB">
        <w:rPr>
          <w:rFonts w:cs="Calibri Light"/>
        </w:rPr>
        <w:t>.)</w:t>
      </w:r>
      <w:r>
        <w:rPr>
          <w:rStyle w:val="FootnoteReference"/>
        </w:rPr>
        <w:footnoteReference w:id="5"/>
      </w:r>
    </w:p>
    <w:p w:rsidR="00714EDA" w:rsidP="00F37C31" w14:paraId="7E78188C" w14:textId="71A110A9">
      <w:pPr>
        <w:pStyle w:val="Heading1"/>
        <w:tabs>
          <w:tab w:val="left" w:pos="3960"/>
        </w:tabs>
        <w:rPr>
          <w:rFonts w:eastAsia="Times New Roman" w:cs="Times New Roman"/>
          <w:kern w:val="0"/>
          <w14:ligatures w14:val="none"/>
        </w:rPr>
      </w:pPr>
      <w:r>
        <w:t>DISPOSITION</w:t>
      </w:r>
    </w:p>
    <w:p w:rsidR="000B7969" w:rsidP="007D0C2A" w14:paraId="65E2EFB3" w14:textId="2E9DA814">
      <w:pPr>
        <w:spacing w:before="2" w:beforeLines="1" w:after="2" w:afterLines="1"/>
        <w:ind w:firstLine="720"/>
        <w:textAlignment w:val="baseline"/>
        <w:rPr>
          <w:rFonts w:eastAsia="Times New Roman" w:cs="Times New Roman"/>
          <w:kern w:val="0"/>
          <w14:ligatures w14:val="none"/>
        </w:rPr>
      </w:pPr>
      <w:bookmarkStart w:id="4" w:name="_Hlk158119466"/>
      <w:r>
        <w:rPr>
          <w:rFonts w:eastAsia="Times New Roman" w:cs="Times New Roman"/>
          <w:kern w:val="0"/>
          <w14:ligatures w14:val="none"/>
        </w:rPr>
        <w:t xml:space="preserve">The </w:t>
      </w:r>
      <w:r w:rsidR="00B048CF">
        <w:rPr>
          <w:rFonts w:eastAsia="Times New Roman" w:cs="Times New Roman"/>
          <w:kern w:val="0"/>
          <w14:ligatures w14:val="none"/>
        </w:rPr>
        <w:t>order</w:t>
      </w:r>
      <w:r>
        <w:rPr>
          <w:rFonts w:eastAsia="Times New Roman" w:cs="Times New Roman"/>
          <w:kern w:val="0"/>
          <w14:ligatures w14:val="none"/>
        </w:rPr>
        <w:t xml:space="preserve"> is </w:t>
      </w:r>
      <w:r w:rsidR="009E5487">
        <w:rPr>
          <w:rFonts w:eastAsia="Times New Roman" w:cs="Times New Roman"/>
          <w:kern w:val="0"/>
          <w14:ligatures w14:val="none"/>
        </w:rPr>
        <w:t>affirmed</w:t>
      </w:r>
      <w:r w:rsidR="00741564">
        <w:rPr>
          <w:rFonts w:eastAsia="Times New Roman" w:cs="Times New Roman"/>
          <w:kern w:val="0"/>
          <w14:ligatures w14:val="none"/>
        </w:rPr>
        <w:t xml:space="preserve"> in part and reversed</w:t>
      </w:r>
      <w:r w:rsidR="001C596F">
        <w:rPr>
          <w:rFonts w:eastAsia="Times New Roman" w:cs="Times New Roman"/>
          <w:kern w:val="0"/>
          <w14:ligatures w14:val="none"/>
        </w:rPr>
        <w:t xml:space="preserve"> in part</w:t>
      </w:r>
      <w:r>
        <w:rPr>
          <w:rFonts w:eastAsia="Times New Roman" w:cs="Times New Roman"/>
          <w:kern w:val="0"/>
          <w14:ligatures w14:val="none"/>
        </w:rPr>
        <w:t>.</w:t>
      </w:r>
      <w:r w:rsidR="009561CA">
        <w:rPr>
          <w:rFonts w:eastAsia="Times New Roman" w:cs="Times New Roman"/>
          <w:kern w:val="0"/>
          <w14:ligatures w14:val="none"/>
        </w:rPr>
        <w:t xml:space="preserve">  The case is remanded to the trial court with directions to </w:t>
      </w:r>
      <w:r w:rsidR="008C1D82">
        <w:rPr>
          <w:rFonts w:eastAsia="Times New Roman" w:cs="Times New Roman"/>
          <w:kern w:val="0"/>
          <w14:ligatures w14:val="none"/>
        </w:rPr>
        <w:t>afford Hardell an opportunity</w:t>
      </w:r>
      <w:r w:rsidR="00DB0B0D">
        <w:rPr>
          <w:rFonts w:eastAsia="Times New Roman" w:cs="Times New Roman"/>
          <w:kern w:val="0"/>
          <w14:ligatures w14:val="none"/>
        </w:rPr>
        <w:t xml:space="preserve"> </w:t>
      </w:r>
      <w:r w:rsidR="002D6B56">
        <w:rPr>
          <w:rFonts w:eastAsia="Times New Roman" w:cs="Times New Roman"/>
          <w:kern w:val="0"/>
          <w14:ligatures w14:val="none"/>
        </w:rPr>
        <w:t>to conduct discovery relevant to</w:t>
      </w:r>
      <w:r w:rsidR="00D30F2A">
        <w:rPr>
          <w:rFonts w:eastAsia="Times New Roman" w:cs="Times New Roman"/>
          <w:kern w:val="0"/>
          <w14:ligatures w14:val="none"/>
        </w:rPr>
        <w:t xml:space="preserve"> the court’s general jurisdiction over Vanzyl</w:t>
      </w:r>
      <w:r w:rsidR="00D0256A">
        <w:rPr>
          <w:rFonts w:eastAsia="Times New Roman" w:cs="Times New Roman"/>
          <w:kern w:val="0"/>
          <w14:ligatures w14:val="none"/>
        </w:rPr>
        <w:t xml:space="preserve"> and </w:t>
      </w:r>
      <w:r w:rsidR="009615A6">
        <w:rPr>
          <w:rFonts w:eastAsia="Times New Roman" w:cs="Times New Roman"/>
          <w:kern w:val="0"/>
          <w14:ligatures w14:val="none"/>
        </w:rPr>
        <w:t xml:space="preserve">thereafter </w:t>
      </w:r>
      <w:r w:rsidR="000C407B">
        <w:rPr>
          <w:rFonts w:eastAsia="Times New Roman" w:cs="Times New Roman"/>
          <w:kern w:val="0"/>
          <w14:ligatures w14:val="none"/>
        </w:rPr>
        <w:t>to proceed as necessary to resolve the motion to quash</w:t>
      </w:r>
      <w:r w:rsidR="00D30F2A">
        <w:rPr>
          <w:rFonts w:eastAsia="Times New Roman" w:cs="Times New Roman"/>
          <w:kern w:val="0"/>
          <w14:ligatures w14:val="none"/>
        </w:rPr>
        <w:t>.</w:t>
      </w:r>
      <w:r w:rsidR="007D641F">
        <w:rPr>
          <w:rFonts w:eastAsia="Times New Roman" w:cs="Times New Roman"/>
          <w:kern w:val="0"/>
          <w14:ligatures w14:val="none"/>
        </w:rPr>
        <w:t xml:space="preserve"> </w:t>
      </w:r>
      <w:r w:rsidR="007D0C2A">
        <w:rPr>
          <w:rFonts w:eastAsia="Times New Roman" w:cs="Times New Roman"/>
          <w:kern w:val="0"/>
          <w14:ligatures w14:val="none"/>
        </w:rPr>
        <w:t xml:space="preserve"> </w:t>
      </w:r>
      <w:r w:rsidR="007D641F">
        <w:rPr>
          <w:rFonts w:eastAsia="Times New Roman" w:cs="Times New Roman"/>
          <w:kern w:val="0"/>
          <w14:ligatures w14:val="none"/>
        </w:rPr>
        <w:t>The parties shall bear their respective costs on appeal.</w:t>
      </w:r>
      <w:bookmarkEnd w:id="4"/>
    </w:p>
    <w:p w:rsidR="006A30E9" w:rsidRPr="00490764" w:rsidP="00490764" w14:paraId="663138B5" w14:textId="77777777">
      <w:pPr>
        <w:spacing w:line="240" w:lineRule="auto"/>
      </w:pPr>
      <w:r w:rsidRPr="00490764">
        <w:tab/>
      </w:r>
      <w:r w:rsidRPr="00490764">
        <w:tab/>
      </w:r>
      <w:r w:rsidRPr="00490764">
        <w:tab/>
      </w:r>
      <w:r w:rsidRPr="00490764">
        <w:tab/>
      </w:r>
      <w:r w:rsidRPr="00490764">
        <w:tab/>
      </w:r>
      <w:r w:rsidRPr="00490764">
        <w:tab/>
      </w:r>
      <w:r w:rsidRPr="00490764">
        <w:tab/>
        <w:t>GOLDMAN, J.</w:t>
      </w:r>
    </w:p>
    <w:p w:rsidR="006A30E9" w:rsidRPr="00490764" w:rsidP="00490764" w14:paraId="09596AEC" w14:textId="77777777">
      <w:pPr>
        <w:spacing w:line="240" w:lineRule="auto"/>
      </w:pPr>
    </w:p>
    <w:p w:rsidR="006A30E9" w:rsidRPr="00490764" w:rsidP="00490764" w14:paraId="46679A2E" w14:textId="77777777">
      <w:pPr>
        <w:spacing w:line="240" w:lineRule="auto"/>
      </w:pPr>
      <w:r w:rsidRPr="00490764">
        <w:t>WE CONCUR:</w:t>
      </w:r>
    </w:p>
    <w:p w:rsidR="006A30E9" w:rsidRPr="00490764" w:rsidP="00490764" w14:paraId="0F92A444" w14:textId="77777777">
      <w:pPr>
        <w:spacing w:line="240" w:lineRule="auto"/>
      </w:pPr>
    </w:p>
    <w:p w:rsidR="006A30E9" w:rsidRPr="00490764" w:rsidP="00490764" w14:paraId="07B4781C" w14:textId="00925CC0">
      <w:pPr>
        <w:spacing w:line="240" w:lineRule="auto"/>
      </w:pPr>
      <w:r>
        <w:t>BROWN</w:t>
      </w:r>
      <w:r w:rsidRPr="00490764">
        <w:t>, P. J.</w:t>
      </w:r>
    </w:p>
    <w:p w:rsidR="006A30E9" w:rsidRPr="00490764" w:rsidP="00490764" w14:paraId="31706E83" w14:textId="49922D46">
      <w:pPr>
        <w:spacing w:line="240" w:lineRule="auto"/>
      </w:pPr>
      <w:r>
        <w:t>SMILEY</w:t>
      </w:r>
      <w:r w:rsidRPr="00490764">
        <w:t>, J.</w:t>
      </w:r>
      <w:r w:rsidRPr="0053156A" w:rsidR="0053156A">
        <w:rPr>
          <w:rFonts w:eastAsia="Calibri" w:cs="Times New Roman"/>
          <w:kern w:val="0"/>
          <w:vertAlign w:val="superscript"/>
          <w14:ligatures w14:val="none"/>
        </w:rPr>
        <w:t xml:space="preserve"> </w:t>
      </w:r>
      <w:r>
        <w:rPr>
          <w:rFonts w:eastAsia="Calibri" w:cs="Times New Roman"/>
          <w:kern w:val="0"/>
          <w:vertAlign w:val="superscript"/>
          <w14:ligatures w14:val="none"/>
        </w:rPr>
        <w:footnoteReference w:customMarkFollows="1" w:id="6"/>
        <w:t xml:space="preserve">*</w:t>
      </w:r>
    </w:p>
    <w:p w:rsidR="006A30E9" w:rsidP="007D0C2A" w14:paraId="206C5F66" w14:textId="110E21BE">
      <w:pPr>
        <w:spacing w:before="2" w:beforeLines="1" w:after="2" w:afterLines="1"/>
        <w:ind w:firstLine="720"/>
        <w:textAlignment w:val="baseline"/>
        <w:rPr>
          <w:rFonts w:eastAsia="Times New Roman" w:cs="Times New Roman"/>
          <w:kern w:val="0"/>
          <w14:ligatures w14:val="none"/>
        </w:rPr>
      </w:pPr>
      <w:r>
        <w:rPr>
          <w:rFonts w:eastAsia="Times New Roman" w:cs="Times New Roman"/>
          <w:kern w:val="0"/>
          <w14:ligatures w14:val="none"/>
        </w:rPr>
        <w:t xml:space="preserve"> </w:t>
      </w:r>
    </w:p>
    <w:p w:rsidR="00C421A0" w14:paraId="54ED41DC" w14:textId="2D04750E">
      <w:pPr>
        <w:rPr>
          <w:rFonts w:eastAsia="Times New Roman" w:cs="Times New Roman"/>
          <w:kern w:val="0"/>
          <w14:ligatures w14:val="none"/>
        </w:rPr>
      </w:pPr>
      <w:r>
        <w:rPr>
          <w:rFonts w:eastAsia="Times New Roman" w:cs="Times New Roman"/>
          <w:kern w:val="0"/>
          <w14:ligatures w14:val="none"/>
        </w:rPr>
        <w:br w:type="page"/>
      </w:r>
    </w:p>
    <w:tbl>
      <w:tblPr>
        <w:tblStyle w:val="TableGrid"/>
        <w:tblW w:w="9535" w:type="dxa"/>
        <w:tblLook w:val="04A0"/>
      </w:tblPr>
      <w:tblGrid>
        <w:gridCol w:w="4405"/>
        <w:gridCol w:w="5130"/>
      </w:tblGrid>
      <w:tr w14:paraId="2AF7C160" w14:textId="77777777" w:rsidTr="00F30E73">
        <w:tblPrEx>
          <w:tblW w:w="9535" w:type="dxa"/>
          <w:tblLook w:val="04A0"/>
        </w:tblPrEx>
        <w:tc>
          <w:tcPr>
            <w:tcW w:w="4405" w:type="dxa"/>
          </w:tcPr>
          <w:p w:rsidR="00C421A0" w:rsidRPr="00C421A0" w:rsidP="00C421A0" w14:paraId="2AF756FF" w14:textId="77777777">
            <w:pPr>
              <w:tabs>
                <w:tab w:val="left" w:pos="720"/>
              </w:tabs>
              <w:suppressAutoHyphens/>
              <w:rPr>
                <w:rFonts w:ascii="Century Schoolbook" w:hAnsi="Century Schoolbook"/>
              </w:rPr>
            </w:pPr>
            <w:r w:rsidRPr="00C421A0">
              <w:rPr>
                <w:rFonts w:ascii="Century Schoolbook" w:hAnsi="Century Schoolbook"/>
              </w:rPr>
              <w:t>Trial Court:</w:t>
            </w:r>
          </w:p>
        </w:tc>
        <w:tc>
          <w:tcPr>
            <w:tcW w:w="5130" w:type="dxa"/>
          </w:tcPr>
          <w:p w:rsidR="00C421A0" w:rsidRPr="00C421A0" w:rsidP="00C421A0" w14:paraId="6DD13D8A" w14:textId="77777777">
            <w:pPr>
              <w:tabs>
                <w:tab w:val="left" w:pos="720"/>
              </w:tabs>
              <w:suppressAutoHyphens/>
              <w:rPr>
                <w:rFonts w:ascii="Century Schoolbook" w:hAnsi="Century Schoolbook"/>
              </w:rPr>
            </w:pPr>
            <w:r w:rsidRPr="00C421A0">
              <w:rPr>
                <w:rFonts w:ascii="Century Schoolbook" w:hAnsi="Century Schoolbook"/>
              </w:rPr>
              <w:t>City and County of San Francisco Superior Court</w:t>
            </w:r>
          </w:p>
          <w:p w:rsidR="00C421A0" w:rsidRPr="00C421A0" w:rsidP="00C421A0" w14:paraId="0F32CD39" w14:textId="77777777">
            <w:pPr>
              <w:tabs>
                <w:tab w:val="left" w:pos="720"/>
              </w:tabs>
              <w:suppressAutoHyphens/>
              <w:rPr>
                <w:rFonts w:ascii="Century Schoolbook" w:hAnsi="Century Schoolbook"/>
              </w:rPr>
            </w:pPr>
          </w:p>
        </w:tc>
      </w:tr>
      <w:tr w14:paraId="4A1A0F1F" w14:textId="77777777" w:rsidTr="00F30E73">
        <w:tblPrEx>
          <w:tblW w:w="9535" w:type="dxa"/>
          <w:tblLook w:val="04A0"/>
        </w:tblPrEx>
        <w:tc>
          <w:tcPr>
            <w:tcW w:w="4405" w:type="dxa"/>
          </w:tcPr>
          <w:p w:rsidR="00C421A0" w:rsidRPr="00C421A0" w:rsidP="00C421A0" w14:paraId="7DC24627" w14:textId="77777777">
            <w:pPr>
              <w:tabs>
                <w:tab w:val="left" w:pos="720"/>
              </w:tabs>
              <w:suppressAutoHyphens/>
              <w:rPr>
                <w:rFonts w:ascii="Century Schoolbook" w:hAnsi="Century Schoolbook"/>
              </w:rPr>
            </w:pPr>
            <w:r w:rsidRPr="00C421A0">
              <w:rPr>
                <w:rFonts w:ascii="Century Schoolbook" w:hAnsi="Century Schoolbook"/>
              </w:rPr>
              <w:t>Trial Judge:</w:t>
            </w:r>
          </w:p>
        </w:tc>
        <w:tc>
          <w:tcPr>
            <w:tcW w:w="5130" w:type="dxa"/>
          </w:tcPr>
          <w:p w:rsidR="00C421A0" w:rsidRPr="00C421A0" w:rsidP="00C421A0" w14:paraId="210A54E9" w14:textId="77777777">
            <w:pPr>
              <w:tabs>
                <w:tab w:val="left" w:pos="720"/>
              </w:tabs>
              <w:suppressAutoHyphens/>
              <w:rPr>
                <w:rFonts w:ascii="Century Schoolbook" w:hAnsi="Century Schoolbook"/>
              </w:rPr>
            </w:pPr>
            <w:r w:rsidRPr="00C421A0">
              <w:rPr>
                <w:rFonts w:ascii="Century Schoolbook" w:hAnsi="Century Schoolbook"/>
              </w:rPr>
              <w:t>Honorable Richard B. Ulmer</w:t>
            </w:r>
          </w:p>
          <w:p w:rsidR="00C421A0" w:rsidRPr="00C421A0" w:rsidP="00C421A0" w14:paraId="2468232C" w14:textId="77777777">
            <w:pPr>
              <w:tabs>
                <w:tab w:val="left" w:pos="720"/>
              </w:tabs>
              <w:suppressAutoHyphens/>
              <w:rPr>
                <w:rFonts w:ascii="Century Schoolbook" w:hAnsi="Century Schoolbook"/>
              </w:rPr>
            </w:pPr>
          </w:p>
        </w:tc>
      </w:tr>
      <w:tr w14:paraId="107BF866" w14:textId="77777777" w:rsidTr="00F30E73">
        <w:tblPrEx>
          <w:tblW w:w="9535" w:type="dxa"/>
          <w:tblLook w:val="04A0"/>
        </w:tblPrEx>
        <w:tc>
          <w:tcPr>
            <w:tcW w:w="4405" w:type="dxa"/>
          </w:tcPr>
          <w:p w:rsidR="00C421A0" w:rsidRPr="00C421A0" w:rsidP="00C421A0" w14:paraId="64C304AE" w14:textId="77777777">
            <w:pPr>
              <w:tabs>
                <w:tab w:val="left" w:pos="720"/>
              </w:tabs>
              <w:suppressAutoHyphens/>
              <w:spacing w:after="120"/>
              <w:rPr>
                <w:rFonts w:ascii="Century Schoolbook" w:hAnsi="Century Schoolbook"/>
              </w:rPr>
            </w:pPr>
            <w:r w:rsidRPr="00C421A0">
              <w:rPr>
                <w:rFonts w:ascii="Century Schoolbook" w:hAnsi="Century Schoolbook"/>
              </w:rPr>
              <w:t xml:space="preserve">Counsel for Plaintiff and Appellant: </w:t>
            </w:r>
          </w:p>
        </w:tc>
        <w:tc>
          <w:tcPr>
            <w:tcW w:w="5130" w:type="dxa"/>
          </w:tcPr>
          <w:p w:rsidR="00C421A0" w:rsidRPr="00C421A0" w:rsidP="00C421A0" w14:paraId="2897810C" w14:textId="77777777">
            <w:pPr>
              <w:suppressAutoHyphens/>
              <w:autoSpaceDE w:val="0"/>
              <w:autoSpaceDN w:val="0"/>
              <w:adjustRightInd w:val="0"/>
              <w:rPr>
                <w:rFonts w:ascii="Century Schoolbook" w:hAnsi="Century Schoolbook"/>
              </w:rPr>
            </w:pPr>
            <w:r w:rsidRPr="00C421A0">
              <w:rPr>
                <w:rFonts w:ascii="Century Schoolbook" w:hAnsi="Century Schoolbook"/>
              </w:rPr>
              <w:t>BAKER CURTIS &amp; SCHWARTZ, Christopher D. Baker, Robert A. Dolinko</w:t>
            </w:r>
          </w:p>
          <w:p w:rsidR="00C421A0" w:rsidRPr="00C421A0" w:rsidP="00C421A0" w14:paraId="573E6A2C" w14:textId="77777777">
            <w:pPr>
              <w:suppressAutoHyphens/>
              <w:autoSpaceDE w:val="0"/>
              <w:autoSpaceDN w:val="0"/>
              <w:adjustRightInd w:val="0"/>
              <w:rPr>
                <w:rFonts w:ascii="Century Schoolbook" w:hAnsi="Century Schoolbook"/>
              </w:rPr>
            </w:pPr>
          </w:p>
        </w:tc>
      </w:tr>
      <w:tr w14:paraId="34D95436" w14:textId="77777777" w:rsidTr="00F30E73">
        <w:tblPrEx>
          <w:tblW w:w="9535" w:type="dxa"/>
          <w:tblLook w:val="04A0"/>
        </w:tblPrEx>
        <w:tc>
          <w:tcPr>
            <w:tcW w:w="4405" w:type="dxa"/>
          </w:tcPr>
          <w:p w:rsidR="00C421A0" w:rsidRPr="00C421A0" w:rsidP="00C421A0" w14:paraId="7EF50F6F" w14:textId="77777777">
            <w:pPr>
              <w:tabs>
                <w:tab w:val="left" w:pos="720"/>
              </w:tabs>
              <w:suppressAutoHyphens/>
              <w:rPr>
                <w:rFonts w:ascii="Century Schoolbook" w:hAnsi="Century Schoolbook"/>
              </w:rPr>
            </w:pPr>
            <w:r w:rsidRPr="00C421A0">
              <w:rPr>
                <w:rFonts w:ascii="Century Schoolbook" w:hAnsi="Century Schoolbook"/>
              </w:rPr>
              <w:t xml:space="preserve">Counsel for Defendant and Respondent: </w:t>
            </w:r>
          </w:p>
        </w:tc>
        <w:tc>
          <w:tcPr>
            <w:tcW w:w="5130" w:type="dxa"/>
          </w:tcPr>
          <w:p w:rsidR="00C421A0" w:rsidRPr="00C421A0" w:rsidP="00C421A0" w14:paraId="1A5DFFE0" w14:textId="77777777">
            <w:pPr>
              <w:suppressAutoHyphens/>
              <w:autoSpaceDE w:val="0"/>
              <w:adjustRightInd w:val="0"/>
              <w:rPr>
                <w:rFonts w:ascii="Century Schoolbook" w:hAnsi="Century Schoolbook"/>
              </w:rPr>
            </w:pPr>
            <w:r w:rsidRPr="00C421A0">
              <w:rPr>
                <w:rFonts w:ascii="Century Schoolbook" w:hAnsi="Century Schoolbook"/>
              </w:rPr>
              <w:t>RUTAN &amp; TUCKER, Brian C. Sinclair</w:t>
            </w:r>
          </w:p>
          <w:p w:rsidR="00C421A0" w:rsidRPr="00C421A0" w:rsidP="00C421A0" w14:paraId="232DF33E" w14:textId="77777777">
            <w:pPr>
              <w:suppressAutoHyphens/>
              <w:autoSpaceDE w:val="0"/>
              <w:adjustRightInd w:val="0"/>
              <w:rPr>
                <w:rFonts w:ascii="Century Schoolbook" w:hAnsi="Century Schoolbook"/>
              </w:rPr>
            </w:pPr>
          </w:p>
        </w:tc>
      </w:tr>
    </w:tbl>
    <w:p w:rsidR="00C421A0" w:rsidP="007D0C2A" w14:paraId="1F0B75A7" w14:textId="77777777">
      <w:pPr>
        <w:spacing w:before="2" w:beforeLines="1" w:after="2" w:afterLines="1"/>
        <w:ind w:firstLine="720"/>
        <w:textAlignment w:val="baseline"/>
        <w:rPr>
          <w:rFonts w:eastAsia="Times New Roman" w:cs="Times New Roman"/>
          <w:kern w:val="0"/>
          <w14:ligatures w14:val="none"/>
        </w:rPr>
      </w:pPr>
    </w:p>
    <w:sectPr w:rsidSect="00CD525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3258814"/>
      <w:docPartObj>
        <w:docPartGallery w:val="Page Numbers (Bottom of Page)"/>
        <w:docPartUnique/>
      </w:docPartObj>
    </w:sdtPr>
    <w:sdtEndPr>
      <w:rPr>
        <w:noProof/>
      </w:rPr>
    </w:sdtEndPr>
    <w:sdtContent>
      <w:p w:rsidR="003B0982" w14:paraId="0B9CBFC0" w14:textId="73957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366B" w14:paraId="6B73B8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39674"/>
      <w:docPartObj>
        <w:docPartGallery w:val="Page Numbers (Bottom of Page)"/>
        <w:docPartUnique/>
      </w:docPartObj>
    </w:sdtPr>
    <w:sdtEndPr>
      <w:rPr>
        <w:noProof/>
      </w:rPr>
    </w:sdtEndPr>
    <w:sdtContent>
      <w:p w:rsidR="0029366B" w14:paraId="691357DE" w14:textId="4EC56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366B" w14:paraId="678C40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387E" w:rsidP="00720B9E" w14:paraId="3FC2BB6F" w14:textId="77777777">
      <w:pPr>
        <w:spacing w:line="240" w:lineRule="auto"/>
      </w:pPr>
      <w:r>
        <w:separator/>
      </w:r>
    </w:p>
  </w:footnote>
  <w:footnote w:type="continuationSeparator" w:id="1">
    <w:p w:rsidR="0061387E" w:rsidP="00720B9E" w14:paraId="2E6CD8B3" w14:textId="77777777">
      <w:pPr>
        <w:spacing w:line="240" w:lineRule="auto"/>
      </w:pPr>
      <w:r>
        <w:continuationSeparator/>
      </w:r>
    </w:p>
  </w:footnote>
  <w:footnote w:type="continuationNotice" w:id="2">
    <w:p w:rsidR="0061387E" w14:paraId="4F0AF87D" w14:textId="77777777">
      <w:pPr>
        <w:spacing w:line="240" w:lineRule="auto"/>
      </w:pPr>
    </w:p>
  </w:footnote>
  <w:footnote w:id="3">
    <w:p w:rsidR="00427745" w:rsidRPr="00BC44DA" w:rsidP="00BC44DA" w14:paraId="57C29328" w14:textId="00C899C6">
      <w:pPr>
        <w:pStyle w:val="FootnoteText"/>
        <w:ind w:firstLine="720"/>
        <w:rPr>
          <w:rFonts w:ascii="Century Schoolbook" w:hAnsi="Century Schoolbook"/>
          <w:sz w:val="26"/>
          <w:szCs w:val="26"/>
        </w:rPr>
      </w:pPr>
      <w:r w:rsidRPr="00BC44DA">
        <w:rPr>
          <w:rStyle w:val="FootnoteReference"/>
          <w:rFonts w:ascii="Century Schoolbook" w:hAnsi="Century Schoolbook"/>
          <w:sz w:val="26"/>
          <w:szCs w:val="26"/>
        </w:rPr>
        <w:footnoteRef/>
      </w:r>
      <w:r w:rsidRPr="00BC44DA">
        <w:rPr>
          <w:rFonts w:ascii="Century Schoolbook" w:hAnsi="Century Schoolbook"/>
          <w:sz w:val="26"/>
          <w:szCs w:val="26"/>
        </w:rPr>
        <w:t xml:space="preserve"> While Hardell </w:t>
      </w:r>
      <w:r w:rsidRPr="00BC44DA" w:rsidR="00836A81">
        <w:rPr>
          <w:rFonts w:ascii="Century Schoolbook" w:hAnsi="Century Schoolbook"/>
          <w:sz w:val="26"/>
          <w:szCs w:val="26"/>
        </w:rPr>
        <w:t xml:space="preserve">acknowledged in her opposition to the motion to quash that she was the one who brought the Miami conference to Vanzyl’s </w:t>
      </w:r>
      <w:r w:rsidRPr="00BC44DA" w:rsidR="00F172A5">
        <w:rPr>
          <w:rFonts w:ascii="Century Schoolbook" w:hAnsi="Century Schoolbook"/>
          <w:sz w:val="26"/>
          <w:szCs w:val="26"/>
        </w:rPr>
        <w:t xml:space="preserve">attention, she </w:t>
      </w:r>
      <w:r w:rsidR="0032312D">
        <w:rPr>
          <w:rFonts w:ascii="Century Schoolbook" w:hAnsi="Century Schoolbook"/>
          <w:sz w:val="26"/>
          <w:szCs w:val="26"/>
        </w:rPr>
        <w:t>added</w:t>
      </w:r>
      <w:r w:rsidRPr="00BC44DA" w:rsidR="00F172A5">
        <w:rPr>
          <w:rFonts w:ascii="Century Schoolbook" w:hAnsi="Century Schoolbook"/>
          <w:sz w:val="26"/>
          <w:szCs w:val="26"/>
        </w:rPr>
        <w:t xml:space="preserve"> that Vanzyl </w:t>
      </w:r>
      <w:r w:rsidR="00B97716">
        <w:rPr>
          <w:rFonts w:ascii="Century Schoolbook" w:hAnsi="Century Schoolbook"/>
          <w:sz w:val="26"/>
          <w:szCs w:val="26"/>
        </w:rPr>
        <w:t>“told me I should go</w:t>
      </w:r>
      <w:r w:rsidRPr="00BC44DA" w:rsidR="00F172A5">
        <w:rPr>
          <w:rFonts w:ascii="Century Schoolbook" w:hAnsi="Century Schoolbook"/>
          <w:sz w:val="26"/>
          <w:szCs w:val="26"/>
        </w:rPr>
        <w:t>.</w:t>
      </w:r>
      <w:r w:rsidR="00B97716">
        <w:rPr>
          <w:rFonts w:ascii="Century Schoolbook" w:hAnsi="Century Schoolbook"/>
          <w:sz w:val="26"/>
          <w:szCs w:val="26"/>
        </w:rPr>
        <w:t>”</w:t>
      </w:r>
      <w:r w:rsidRPr="00BC44DA" w:rsidR="00F172A5">
        <w:rPr>
          <w:rFonts w:ascii="Century Schoolbook" w:hAnsi="Century Schoolbook"/>
          <w:sz w:val="26"/>
          <w:szCs w:val="26"/>
        </w:rPr>
        <w:t xml:space="preserve">  Vanzyl</w:t>
      </w:r>
      <w:r w:rsidR="00B97716">
        <w:rPr>
          <w:rFonts w:ascii="Century Schoolbook" w:hAnsi="Century Schoolbook"/>
          <w:sz w:val="26"/>
          <w:szCs w:val="26"/>
        </w:rPr>
        <w:t xml:space="preserve"> </w:t>
      </w:r>
      <w:r w:rsidRPr="00BC44DA" w:rsidR="00F172A5">
        <w:rPr>
          <w:rFonts w:ascii="Century Schoolbook" w:hAnsi="Century Schoolbook"/>
          <w:sz w:val="26"/>
          <w:szCs w:val="26"/>
        </w:rPr>
        <w:t xml:space="preserve">stated in his declaration that </w:t>
      </w:r>
      <w:r w:rsidRPr="00BC44DA" w:rsidR="00C05A60">
        <w:rPr>
          <w:rFonts w:ascii="Century Schoolbook" w:hAnsi="Century Schoolbook"/>
          <w:sz w:val="26"/>
          <w:szCs w:val="26"/>
        </w:rPr>
        <w:t>he “</w:t>
      </w:r>
      <w:r w:rsidRPr="00BC44DA" w:rsidR="003033E1">
        <w:rPr>
          <w:rFonts w:ascii="Century Schoolbook" w:hAnsi="Century Schoolbook"/>
          <w:sz w:val="26"/>
          <w:szCs w:val="26"/>
        </w:rPr>
        <w:t xml:space="preserve">did not propose or direct” that </w:t>
      </w:r>
      <w:r w:rsidR="001527B3">
        <w:rPr>
          <w:rFonts w:ascii="Century Schoolbook" w:hAnsi="Century Schoolbook"/>
          <w:sz w:val="26"/>
          <w:szCs w:val="26"/>
        </w:rPr>
        <w:t>Hardell</w:t>
      </w:r>
      <w:r w:rsidRPr="00BC44DA" w:rsidR="003033E1">
        <w:rPr>
          <w:rFonts w:ascii="Century Schoolbook" w:hAnsi="Century Schoolbook"/>
          <w:sz w:val="26"/>
          <w:szCs w:val="26"/>
        </w:rPr>
        <w:t xml:space="preserve"> attend the conference. </w:t>
      </w:r>
      <w:r w:rsidRPr="00BC44DA" w:rsidR="00AF4988">
        <w:rPr>
          <w:rFonts w:ascii="Century Schoolbook" w:hAnsi="Century Schoolbook"/>
          <w:sz w:val="26"/>
          <w:szCs w:val="26"/>
        </w:rPr>
        <w:t xml:space="preserve"> </w:t>
      </w:r>
      <w:r w:rsidR="00B50957">
        <w:rPr>
          <w:rFonts w:ascii="Century Schoolbook" w:hAnsi="Century Schoolbook"/>
          <w:sz w:val="26"/>
          <w:szCs w:val="26"/>
        </w:rPr>
        <w:t>To the extent these declarations can be read to create</w:t>
      </w:r>
      <w:r w:rsidR="0032312D">
        <w:rPr>
          <w:rFonts w:ascii="Century Schoolbook" w:hAnsi="Century Schoolbook"/>
          <w:sz w:val="26"/>
          <w:szCs w:val="26"/>
        </w:rPr>
        <w:t xml:space="preserve"> a factual dispute, </w:t>
      </w:r>
      <w:r w:rsidR="001527B3">
        <w:rPr>
          <w:rFonts w:ascii="Century Schoolbook" w:hAnsi="Century Schoolbook"/>
          <w:sz w:val="26"/>
          <w:szCs w:val="26"/>
        </w:rPr>
        <w:t>the</w:t>
      </w:r>
      <w:r w:rsidR="0032312D">
        <w:rPr>
          <w:rFonts w:ascii="Century Schoolbook" w:hAnsi="Century Schoolbook"/>
          <w:sz w:val="26"/>
          <w:szCs w:val="26"/>
        </w:rPr>
        <w:t xml:space="preserve"> resolution</w:t>
      </w:r>
      <w:r w:rsidR="001527B3">
        <w:rPr>
          <w:rFonts w:ascii="Century Schoolbook" w:hAnsi="Century Schoolbook"/>
          <w:sz w:val="26"/>
          <w:szCs w:val="26"/>
        </w:rPr>
        <w:t xml:space="preserve"> of that dispute</w:t>
      </w:r>
      <w:r w:rsidR="0032312D">
        <w:rPr>
          <w:rFonts w:ascii="Century Schoolbook" w:hAnsi="Century Schoolbook"/>
          <w:sz w:val="26"/>
          <w:szCs w:val="26"/>
        </w:rPr>
        <w:t xml:space="preserve"> is not </w:t>
      </w:r>
      <w:r w:rsidR="00DB7CBB">
        <w:rPr>
          <w:rFonts w:ascii="Century Schoolbook" w:hAnsi="Century Schoolbook"/>
          <w:sz w:val="26"/>
          <w:szCs w:val="26"/>
        </w:rPr>
        <w:t>essential</w:t>
      </w:r>
      <w:r w:rsidRPr="00BC44DA" w:rsidR="00AF4988">
        <w:rPr>
          <w:rFonts w:ascii="Century Schoolbook" w:hAnsi="Century Schoolbook"/>
          <w:sz w:val="26"/>
          <w:szCs w:val="26"/>
        </w:rPr>
        <w:t xml:space="preserve"> given the absence of any allegation that Vanzyl</w:t>
      </w:r>
      <w:r w:rsidRPr="00BC44DA" w:rsidR="00C44DB1">
        <w:rPr>
          <w:rFonts w:ascii="Century Schoolbook" w:hAnsi="Century Schoolbook"/>
          <w:sz w:val="26"/>
          <w:szCs w:val="26"/>
        </w:rPr>
        <w:t>, while in California,</w:t>
      </w:r>
      <w:r w:rsidRPr="00BC44DA" w:rsidR="00AF4988">
        <w:rPr>
          <w:rFonts w:ascii="Century Schoolbook" w:hAnsi="Century Schoolbook"/>
          <w:sz w:val="26"/>
          <w:szCs w:val="26"/>
        </w:rPr>
        <w:t xml:space="preserve"> </w:t>
      </w:r>
      <w:r w:rsidR="001527B3">
        <w:rPr>
          <w:rFonts w:ascii="Century Schoolbook" w:hAnsi="Century Schoolbook"/>
          <w:sz w:val="26"/>
          <w:szCs w:val="26"/>
        </w:rPr>
        <w:t>told</w:t>
      </w:r>
      <w:r w:rsidRPr="00BC44DA" w:rsidR="00AF4988">
        <w:rPr>
          <w:rFonts w:ascii="Century Schoolbook" w:hAnsi="Century Schoolbook"/>
          <w:sz w:val="26"/>
          <w:szCs w:val="26"/>
        </w:rPr>
        <w:t xml:space="preserve"> </w:t>
      </w:r>
      <w:r w:rsidR="006136BA">
        <w:rPr>
          <w:rFonts w:ascii="Century Schoolbook" w:hAnsi="Century Schoolbook"/>
          <w:sz w:val="26"/>
          <w:szCs w:val="26"/>
        </w:rPr>
        <w:t>Hardell</w:t>
      </w:r>
      <w:r w:rsidRPr="00BC44DA" w:rsidR="00AF4988">
        <w:rPr>
          <w:rFonts w:ascii="Century Schoolbook" w:hAnsi="Century Schoolbook"/>
          <w:sz w:val="26"/>
          <w:szCs w:val="26"/>
        </w:rPr>
        <w:t xml:space="preserve"> to attend</w:t>
      </w:r>
      <w:r w:rsidRPr="00BC44DA" w:rsidR="00C44DB1">
        <w:rPr>
          <w:rFonts w:ascii="Century Schoolbook" w:hAnsi="Century Schoolbook"/>
          <w:sz w:val="26"/>
          <w:szCs w:val="26"/>
        </w:rPr>
        <w:t xml:space="preserve"> the conference </w:t>
      </w:r>
      <w:r w:rsidR="00CA0D8C">
        <w:rPr>
          <w:rFonts w:ascii="Century Schoolbook" w:hAnsi="Century Schoolbook"/>
          <w:sz w:val="26"/>
          <w:szCs w:val="26"/>
        </w:rPr>
        <w:t>intending</w:t>
      </w:r>
      <w:r w:rsidRPr="00BC44DA" w:rsidR="00376994">
        <w:rPr>
          <w:rFonts w:ascii="Century Schoolbook" w:hAnsi="Century Schoolbook"/>
          <w:sz w:val="26"/>
          <w:szCs w:val="26"/>
        </w:rPr>
        <w:t xml:space="preserve"> that </w:t>
      </w:r>
      <w:r w:rsidRPr="00BC44DA" w:rsidR="005E11D8">
        <w:rPr>
          <w:rFonts w:ascii="Century Schoolbook" w:hAnsi="Century Schoolbook"/>
          <w:sz w:val="26"/>
          <w:szCs w:val="26"/>
        </w:rPr>
        <w:t>it would furnish the occasion for a sexual assault.</w:t>
      </w:r>
    </w:p>
  </w:footnote>
  <w:footnote w:id="4">
    <w:p w:rsidR="00302CAA" w:rsidRPr="0084317E" w:rsidP="00675DD4" w14:paraId="3372748E" w14:textId="05D288EB">
      <w:pPr>
        <w:pStyle w:val="FootnoteText"/>
        <w:ind w:firstLine="720"/>
        <w:rPr>
          <w:rFonts w:ascii="Century Schoolbook" w:hAnsi="Century Schoolbook"/>
          <w:sz w:val="26"/>
          <w:szCs w:val="26"/>
        </w:rPr>
      </w:pPr>
      <w:r w:rsidRPr="0084317E">
        <w:rPr>
          <w:rStyle w:val="FootnoteReference"/>
          <w:rFonts w:ascii="Century Schoolbook" w:hAnsi="Century Schoolbook"/>
          <w:sz w:val="26"/>
          <w:szCs w:val="26"/>
        </w:rPr>
        <w:footnoteRef/>
      </w:r>
      <w:r w:rsidRPr="0EC8F0AB">
        <w:rPr>
          <w:rFonts w:ascii="Century Schoolbook" w:hAnsi="Century Schoolbook"/>
          <w:sz w:val="26"/>
          <w:szCs w:val="26"/>
        </w:rPr>
        <w:t xml:space="preserve"> In the trial court, Vanzyl objected to </w:t>
      </w:r>
      <w:r w:rsidR="008806A4">
        <w:rPr>
          <w:rFonts w:ascii="Century Schoolbook" w:hAnsi="Century Schoolbook"/>
          <w:sz w:val="26"/>
          <w:szCs w:val="26"/>
        </w:rPr>
        <w:t xml:space="preserve">some of the evidence discussed above, including </w:t>
      </w:r>
      <w:r w:rsidR="00E20034">
        <w:rPr>
          <w:rFonts w:ascii="Century Schoolbook" w:hAnsi="Century Schoolbook"/>
          <w:sz w:val="26"/>
          <w:szCs w:val="26"/>
        </w:rPr>
        <w:t xml:space="preserve">his social media profiles, </w:t>
      </w:r>
      <w:r w:rsidR="009C2D25">
        <w:rPr>
          <w:rFonts w:ascii="Century Schoolbook" w:hAnsi="Century Schoolbook"/>
          <w:sz w:val="26"/>
          <w:szCs w:val="26"/>
        </w:rPr>
        <w:t>information about Target Velocity</w:t>
      </w:r>
      <w:r w:rsidR="004643F5">
        <w:rPr>
          <w:rFonts w:ascii="Century Schoolbook" w:hAnsi="Century Schoolbook"/>
          <w:sz w:val="26"/>
          <w:szCs w:val="26"/>
        </w:rPr>
        <w:t xml:space="preserve"> or other companies reflected in corporate filings</w:t>
      </w:r>
      <w:r w:rsidR="009C2D25">
        <w:rPr>
          <w:rFonts w:ascii="Century Schoolbook" w:hAnsi="Century Schoolbook"/>
          <w:sz w:val="26"/>
          <w:szCs w:val="26"/>
        </w:rPr>
        <w:t>, and Hardell’s observations of Vanzyl and his son working from the Tahoe home</w:t>
      </w:r>
      <w:r w:rsidRPr="0EC8F0AB">
        <w:rPr>
          <w:rFonts w:ascii="Century Schoolbook" w:hAnsi="Century Schoolbook"/>
          <w:sz w:val="26"/>
          <w:szCs w:val="26"/>
        </w:rPr>
        <w:t xml:space="preserve">.  The trial court did not rule </w:t>
      </w:r>
      <w:r>
        <w:rPr>
          <w:rFonts w:ascii="Century Schoolbook" w:hAnsi="Century Schoolbook"/>
          <w:sz w:val="26"/>
          <w:szCs w:val="26"/>
        </w:rPr>
        <w:t xml:space="preserve">directly </w:t>
      </w:r>
      <w:r w:rsidRPr="0EC8F0AB">
        <w:rPr>
          <w:rFonts w:ascii="Century Schoolbook" w:hAnsi="Century Schoolbook"/>
          <w:sz w:val="26"/>
          <w:szCs w:val="26"/>
        </w:rPr>
        <w:t xml:space="preserve">on those objections </w:t>
      </w:r>
      <w:r w:rsidR="008617D8">
        <w:rPr>
          <w:rFonts w:ascii="Century Schoolbook" w:hAnsi="Century Schoolbook"/>
          <w:sz w:val="26"/>
          <w:szCs w:val="26"/>
        </w:rPr>
        <w:t>but</w:t>
      </w:r>
      <w:r w:rsidRPr="0EC8F0AB">
        <w:rPr>
          <w:rFonts w:ascii="Century Schoolbook" w:hAnsi="Century Schoolbook"/>
          <w:sz w:val="26"/>
          <w:szCs w:val="26"/>
        </w:rPr>
        <w:t xml:space="preserve"> the parties agree we should assume the court overruled them. </w:t>
      </w:r>
      <w:r w:rsidR="00E8683F">
        <w:rPr>
          <w:rFonts w:ascii="Century Schoolbook" w:hAnsi="Century Schoolbook"/>
          <w:sz w:val="26"/>
          <w:szCs w:val="26"/>
        </w:rPr>
        <w:t xml:space="preserve"> </w:t>
      </w:r>
      <w:r w:rsidR="00A632B2">
        <w:rPr>
          <w:rFonts w:ascii="Century Schoolbook" w:hAnsi="Century Schoolbook"/>
          <w:sz w:val="26"/>
          <w:szCs w:val="26"/>
        </w:rPr>
        <w:t xml:space="preserve">We </w:t>
      </w:r>
      <w:r w:rsidR="00401F72">
        <w:rPr>
          <w:rFonts w:ascii="Century Schoolbook" w:hAnsi="Century Schoolbook"/>
          <w:sz w:val="26"/>
          <w:szCs w:val="26"/>
        </w:rPr>
        <w:t>find it unnecessary to adjudicate them, because</w:t>
      </w:r>
      <w:r w:rsidR="00D32CE6">
        <w:rPr>
          <w:rFonts w:ascii="Century Schoolbook" w:hAnsi="Century Schoolbook"/>
          <w:sz w:val="26"/>
          <w:szCs w:val="26"/>
        </w:rPr>
        <w:t xml:space="preserve"> even if </w:t>
      </w:r>
      <w:r w:rsidR="003B2FD8">
        <w:rPr>
          <w:rFonts w:ascii="Century Schoolbook" w:hAnsi="Century Schoolbook"/>
          <w:sz w:val="26"/>
          <w:szCs w:val="26"/>
        </w:rPr>
        <w:t xml:space="preserve">some of </w:t>
      </w:r>
      <w:r w:rsidR="00815015">
        <w:rPr>
          <w:rFonts w:ascii="Century Schoolbook" w:hAnsi="Century Schoolbook"/>
          <w:sz w:val="26"/>
          <w:szCs w:val="26"/>
        </w:rPr>
        <w:t xml:space="preserve">the objections were </w:t>
      </w:r>
      <w:r w:rsidR="00D32CE6">
        <w:rPr>
          <w:rFonts w:ascii="Century Schoolbook" w:hAnsi="Century Schoolbook"/>
          <w:sz w:val="26"/>
          <w:szCs w:val="26"/>
        </w:rPr>
        <w:t xml:space="preserve">meritorious, the </w:t>
      </w:r>
      <w:r w:rsidR="00815015">
        <w:rPr>
          <w:rFonts w:ascii="Century Schoolbook" w:hAnsi="Century Schoolbook"/>
          <w:sz w:val="26"/>
          <w:szCs w:val="26"/>
        </w:rPr>
        <w:t xml:space="preserve">challenged </w:t>
      </w:r>
      <w:r w:rsidR="00D32CE6">
        <w:rPr>
          <w:rFonts w:ascii="Century Schoolbook" w:hAnsi="Century Schoolbook"/>
          <w:sz w:val="26"/>
          <w:szCs w:val="26"/>
        </w:rPr>
        <w:t>records</w:t>
      </w:r>
      <w:r w:rsidR="003B2FD8">
        <w:rPr>
          <w:rFonts w:ascii="Century Schoolbook" w:hAnsi="Century Schoolbook"/>
          <w:sz w:val="26"/>
          <w:szCs w:val="26"/>
        </w:rPr>
        <w:t xml:space="preserve"> still</w:t>
      </w:r>
      <w:r w:rsidR="00D32CE6">
        <w:rPr>
          <w:rFonts w:ascii="Century Schoolbook" w:hAnsi="Century Schoolbook"/>
          <w:sz w:val="26"/>
          <w:szCs w:val="26"/>
        </w:rPr>
        <w:t xml:space="preserve"> furnished a good-faith basis</w:t>
      </w:r>
      <w:r w:rsidR="00815015">
        <w:rPr>
          <w:rFonts w:ascii="Century Schoolbook" w:hAnsi="Century Schoolbook"/>
          <w:sz w:val="26"/>
          <w:szCs w:val="26"/>
        </w:rPr>
        <w:t xml:space="preserve"> for jurisdictional discovery</w:t>
      </w:r>
      <w:r w:rsidR="00DE0863">
        <w:rPr>
          <w:rFonts w:ascii="Century Schoolbook" w:hAnsi="Century Schoolbook"/>
          <w:sz w:val="26"/>
          <w:szCs w:val="26"/>
        </w:rPr>
        <w:t>, as discussed below</w:t>
      </w:r>
      <w:r w:rsidR="002A1D4E">
        <w:rPr>
          <w:rFonts w:ascii="Century Schoolbook" w:hAnsi="Century Schoolbook"/>
          <w:sz w:val="26"/>
          <w:szCs w:val="26"/>
        </w:rPr>
        <w:t>.</w:t>
      </w:r>
      <w:r w:rsidR="00D32CE6">
        <w:rPr>
          <w:rFonts w:ascii="Century Schoolbook" w:hAnsi="Century Schoolbook"/>
          <w:sz w:val="26"/>
          <w:szCs w:val="26"/>
        </w:rPr>
        <w:t xml:space="preserve"> </w:t>
      </w:r>
    </w:p>
  </w:footnote>
  <w:footnote w:id="5">
    <w:p w:rsidR="003406DF" w:rsidRPr="003406DF" w:rsidP="003406DF" w14:paraId="071A920F" w14:textId="5D62E247">
      <w:pPr>
        <w:pStyle w:val="FootnoteText"/>
        <w:ind w:firstLine="720"/>
        <w:rPr>
          <w:rFonts w:ascii="Century Schoolbook" w:hAnsi="Century Schoolbook"/>
          <w:sz w:val="26"/>
          <w:szCs w:val="26"/>
        </w:rPr>
      </w:pPr>
      <w:r w:rsidRPr="003406DF">
        <w:rPr>
          <w:rStyle w:val="FootnoteReference"/>
          <w:rFonts w:ascii="Century Schoolbook" w:hAnsi="Century Schoolbook"/>
          <w:sz w:val="26"/>
          <w:szCs w:val="26"/>
        </w:rPr>
        <w:footnoteRef/>
      </w:r>
      <w:r w:rsidR="00FA7AD0">
        <w:rPr>
          <w:rFonts w:ascii="Century Schoolbook" w:hAnsi="Century Schoolbook"/>
          <w:sz w:val="26"/>
          <w:szCs w:val="26"/>
        </w:rPr>
        <w:t xml:space="preserve"> </w:t>
      </w:r>
      <w:r w:rsidRPr="003406DF">
        <w:rPr>
          <w:rFonts w:ascii="Century Schoolbook" w:hAnsi="Century Schoolbook"/>
          <w:sz w:val="26"/>
          <w:szCs w:val="26"/>
        </w:rPr>
        <w:t>Because we conclude that the trial court erred by improperly limiting the scope of its</w:t>
      </w:r>
      <w:r w:rsidR="00447750">
        <w:rPr>
          <w:rFonts w:ascii="Century Schoolbook" w:hAnsi="Century Schoolbook"/>
          <w:sz w:val="26"/>
          <w:szCs w:val="26"/>
        </w:rPr>
        <w:t xml:space="preserve"> jurisdictional</w:t>
      </w:r>
      <w:r w:rsidRPr="003406DF">
        <w:rPr>
          <w:rFonts w:ascii="Century Schoolbook" w:hAnsi="Century Schoolbook"/>
          <w:sz w:val="26"/>
          <w:szCs w:val="26"/>
        </w:rPr>
        <w:t xml:space="preserve"> analysis</w:t>
      </w:r>
      <w:r w:rsidR="00D26BAA">
        <w:rPr>
          <w:rFonts w:ascii="Century Schoolbook" w:hAnsi="Century Schoolbook"/>
          <w:sz w:val="26"/>
          <w:szCs w:val="26"/>
        </w:rPr>
        <w:t xml:space="preserve">, </w:t>
      </w:r>
      <w:r w:rsidRPr="003406DF">
        <w:rPr>
          <w:rFonts w:ascii="Century Schoolbook" w:hAnsi="Century Schoolbook"/>
          <w:sz w:val="26"/>
          <w:szCs w:val="26"/>
        </w:rPr>
        <w:t xml:space="preserve">we </w:t>
      </w:r>
      <w:r w:rsidR="00A9563D">
        <w:rPr>
          <w:rFonts w:ascii="Century Schoolbook" w:hAnsi="Century Schoolbook"/>
          <w:sz w:val="26"/>
          <w:szCs w:val="26"/>
        </w:rPr>
        <w:t>do</w:t>
      </w:r>
      <w:r w:rsidRPr="003406DF">
        <w:rPr>
          <w:rFonts w:ascii="Century Schoolbook" w:hAnsi="Century Schoolbook"/>
          <w:sz w:val="26"/>
          <w:szCs w:val="26"/>
        </w:rPr>
        <w:t xml:space="preserve"> </w:t>
      </w:r>
      <w:r w:rsidR="005162EF">
        <w:rPr>
          <w:rFonts w:ascii="Century Schoolbook" w:hAnsi="Century Schoolbook"/>
          <w:sz w:val="26"/>
          <w:szCs w:val="26"/>
        </w:rPr>
        <w:t xml:space="preserve">not </w:t>
      </w:r>
      <w:r w:rsidRPr="003406DF">
        <w:rPr>
          <w:rFonts w:ascii="Century Schoolbook" w:hAnsi="Century Schoolbook"/>
          <w:sz w:val="26"/>
          <w:szCs w:val="26"/>
        </w:rPr>
        <w:t xml:space="preserve">consider Vanzyl’s remaining arguments. </w:t>
      </w:r>
    </w:p>
  </w:footnote>
  <w:footnote w:id="6">
    <w:p w:rsidR="0053156A" w:rsidRPr="0053156A" w:rsidP="0053156A" w14:paraId="5E5C9363" w14:textId="77777777">
      <w:pPr>
        <w:pStyle w:val="FootnoteText"/>
        <w:spacing w:before="2" w:after="2"/>
        <w:rPr>
          <w:rFonts w:ascii="Century Schoolbook" w:hAnsi="Century Schoolbook"/>
          <w:sz w:val="26"/>
          <w:szCs w:val="26"/>
        </w:rPr>
      </w:pPr>
      <w:r w:rsidRPr="0053156A">
        <w:rPr>
          <w:rStyle w:val="FootnoteReference"/>
          <w:rFonts w:ascii="Century Schoolbook" w:hAnsi="Century Schoolbook"/>
          <w:sz w:val="26"/>
          <w:szCs w:val="26"/>
        </w:rPr>
        <w:t>*</w:t>
      </w:r>
      <w:r w:rsidRPr="0053156A">
        <w:rPr>
          <w:rFonts w:ascii="Century Schoolbook" w:hAnsi="Century Schoolbook"/>
          <w:sz w:val="26"/>
          <w:szCs w:val="26"/>
        </w:rPr>
        <w:t xml:space="preserve"> Judge of the Superior Court of California, Alameda County,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51E1C"/>
    <w:multiLevelType w:val="hybridMultilevel"/>
    <w:tmpl w:val="C7467578"/>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A1329E"/>
    <w:multiLevelType w:val="hybridMultilevel"/>
    <w:tmpl w:val="3188857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27F4917"/>
    <w:multiLevelType w:val="hybridMultilevel"/>
    <w:tmpl w:val="AD646FAC"/>
    <w:lvl w:ilvl="0">
      <w:start w:val="1"/>
      <w:numFmt w:val="upperRoman"/>
      <w:pStyle w:val="Heading2"/>
      <w:lvlText w:val="%1."/>
      <w:lvlJc w:val="right"/>
      <w:pPr>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714AF6"/>
    <w:multiLevelType w:val="hybridMultilevel"/>
    <w:tmpl w:val="36B2AAB2"/>
    <w:lvl w:ilvl="0">
      <w:start w:val="9"/>
      <w:numFmt w:val="lowerLetter"/>
      <w:lvlText w:val="%1."/>
      <w:lvlJc w:val="left"/>
      <w:pPr>
        <w:ind w:left="1800" w:hanging="36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E3116AD"/>
    <w:multiLevelType w:val="hybridMultilevel"/>
    <w:tmpl w:val="5D2CF1D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3E78457C"/>
    <w:multiLevelType w:val="hybridMultilevel"/>
    <w:tmpl w:val="DB98151C"/>
    <w:lvl w:ilvl="0">
      <w:start w:val="1"/>
      <w:numFmt w:val="upperLetter"/>
      <w:pStyle w:val="Heading4"/>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A100740"/>
    <w:multiLevelType w:val="hybridMultilevel"/>
    <w:tmpl w:val="C64CCA44"/>
    <w:lvl w:ilvl="0">
      <w:start w:val="1"/>
      <w:numFmt w:val="lowerRoman"/>
      <w:pStyle w:val="Heading5"/>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53617CA7"/>
    <w:multiLevelType w:val="hybridMultilevel"/>
    <w:tmpl w:val="1AD48FA8"/>
    <w:lvl w:ilvl="0">
      <w:start w:val="1"/>
      <w:numFmt w:val="decimal"/>
      <w:pStyle w:val="Heading3"/>
      <w:lvlText w:val="%1."/>
      <w:lvlJc w:val="left"/>
      <w:pPr>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58311036"/>
    <w:multiLevelType w:val="hybridMultilevel"/>
    <w:tmpl w:val="2A683CA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num>
  <w:num w:numId="5">
    <w:abstractNumId w:val="1"/>
  </w:num>
  <w:num w:numId="6">
    <w:abstractNumId w:val="4"/>
  </w:num>
  <w:num w:numId="7">
    <w:abstractNumId w:val="0"/>
  </w:num>
  <w:num w:numId="8">
    <w:abstractNumId w:val="2"/>
  </w:num>
  <w:num w:numId="9">
    <w:abstractNumId w:val="7"/>
  </w:num>
  <w:num w:numId="10">
    <w:abstractNumId w:val="5"/>
  </w:num>
  <w:num w:numId="11">
    <w:abstractNumId w:val="3"/>
  </w:num>
  <w:num w:numId="12">
    <w:abstractNumId w:val="6"/>
  </w:num>
  <w:num w:numId="13">
    <w:abstractNumId w:val="5"/>
    <w:lvlOverride w:ilvl="0">
      <w:startOverride w:val="1"/>
    </w:lvlOverride>
  </w:num>
  <w:num w:numId="14">
    <w:abstractNumId w:val="2"/>
    <w:lvlOverride w:ilvl="0">
      <w:startOverride w:val="1"/>
    </w:lvlOverride>
  </w:num>
  <w:num w:numId="15">
    <w:abstractNumId w:val="7"/>
    <w:lvlOverride w:ilvl="0">
      <w:startOverride w:val="1"/>
    </w:lvlOverride>
  </w:num>
  <w:num w:numId="16">
    <w:abstractNumId w:val="5"/>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5"/>
  </w:num>
  <w:num w:numId="21">
    <w:abstractNumId w:val="7"/>
    <w:lvlOverride w:ilvl="0">
      <w:startOverride w:val="1"/>
    </w:lvlOverride>
  </w:num>
  <w:num w:numId="22">
    <w:abstractNumId w:val="7"/>
    <w:lvlOverride w:ilvl="0">
      <w:startOverride w:val="1"/>
    </w:lvlOverride>
  </w:num>
  <w:num w:numId="23">
    <w:abstractNumId w:val="5"/>
  </w:num>
  <w:num w:numId="24">
    <w:abstractNumId w:val="5"/>
  </w:num>
  <w:num w:numId="25">
    <w:abstractNumId w:val="5"/>
    <w:lvlOverride w:ilvl="0">
      <w:startOverride w:val="2"/>
    </w:lvlOverride>
  </w:num>
  <w:num w:numId="26">
    <w:abstractNumId w:val="2"/>
  </w:num>
  <w:num w:numId="27">
    <w:abstractNumId w:val="2"/>
  </w:num>
  <w:num w:numId="28">
    <w:abstractNumId w:val="7"/>
  </w:num>
  <w:num w:numId="29">
    <w:abstractNumId w:val="2"/>
  </w:num>
  <w:num w:numId="30">
    <w:abstractNumId w:val="2"/>
  </w:num>
  <w:num w:numId="31">
    <w:abstractNumId w:val="7"/>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3E"/>
    <w:rsid w:val="00001C5E"/>
    <w:rsid w:val="00002A9B"/>
    <w:rsid w:val="00002C35"/>
    <w:rsid w:val="00003C8C"/>
    <w:rsid w:val="0000515C"/>
    <w:rsid w:val="00005BC4"/>
    <w:rsid w:val="00005CB3"/>
    <w:rsid w:val="000066AD"/>
    <w:rsid w:val="00006B1B"/>
    <w:rsid w:val="000078AB"/>
    <w:rsid w:val="000079D4"/>
    <w:rsid w:val="000123FE"/>
    <w:rsid w:val="00012C48"/>
    <w:rsid w:val="00013E71"/>
    <w:rsid w:val="00014671"/>
    <w:rsid w:val="00017524"/>
    <w:rsid w:val="0002106F"/>
    <w:rsid w:val="0002193B"/>
    <w:rsid w:val="000223DA"/>
    <w:rsid w:val="00024225"/>
    <w:rsid w:val="00024E87"/>
    <w:rsid w:val="00025DDB"/>
    <w:rsid w:val="000276D9"/>
    <w:rsid w:val="0003051C"/>
    <w:rsid w:val="00030548"/>
    <w:rsid w:val="000313F8"/>
    <w:rsid w:val="00031C48"/>
    <w:rsid w:val="00032F9C"/>
    <w:rsid w:val="0003431B"/>
    <w:rsid w:val="00034F3D"/>
    <w:rsid w:val="00035CB6"/>
    <w:rsid w:val="00035CDD"/>
    <w:rsid w:val="000363C9"/>
    <w:rsid w:val="00036827"/>
    <w:rsid w:val="00037D81"/>
    <w:rsid w:val="0004009B"/>
    <w:rsid w:val="00040BA0"/>
    <w:rsid w:val="000413F1"/>
    <w:rsid w:val="00041BED"/>
    <w:rsid w:val="00041C5D"/>
    <w:rsid w:val="00042932"/>
    <w:rsid w:val="00042B1C"/>
    <w:rsid w:val="00042B79"/>
    <w:rsid w:val="00044AC8"/>
    <w:rsid w:val="00044DB7"/>
    <w:rsid w:val="00046358"/>
    <w:rsid w:val="00047417"/>
    <w:rsid w:val="000476D2"/>
    <w:rsid w:val="00050124"/>
    <w:rsid w:val="00050310"/>
    <w:rsid w:val="00050AFD"/>
    <w:rsid w:val="00051419"/>
    <w:rsid w:val="00052912"/>
    <w:rsid w:val="00052C62"/>
    <w:rsid w:val="0005303E"/>
    <w:rsid w:val="000533DB"/>
    <w:rsid w:val="000535A9"/>
    <w:rsid w:val="0005363E"/>
    <w:rsid w:val="000537FD"/>
    <w:rsid w:val="00053A9F"/>
    <w:rsid w:val="0005492C"/>
    <w:rsid w:val="00055308"/>
    <w:rsid w:val="00055969"/>
    <w:rsid w:val="00055AE4"/>
    <w:rsid w:val="00056012"/>
    <w:rsid w:val="00056CD9"/>
    <w:rsid w:val="00057952"/>
    <w:rsid w:val="000602EF"/>
    <w:rsid w:val="000610CB"/>
    <w:rsid w:val="000666D1"/>
    <w:rsid w:val="0006748D"/>
    <w:rsid w:val="000676D9"/>
    <w:rsid w:val="00067C10"/>
    <w:rsid w:val="00070A82"/>
    <w:rsid w:val="00071031"/>
    <w:rsid w:val="00071852"/>
    <w:rsid w:val="000731B0"/>
    <w:rsid w:val="00073416"/>
    <w:rsid w:val="00076EBF"/>
    <w:rsid w:val="00077726"/>
    <w:rsid w:val="00080030"/>
    <w:rsid w:val="0008047D"/>
    <w:rsid w:val="00080724"/>
    <w:rsid w:val="00080A4B"/>
    <w:rsid w:val="00080B7B"/>
    <w:rsid w:val="00080D7C"/>
    <w:rsid w:val="0008111A"/>
    <w:rsid w:val="0008117D"/>
    <w:rsid w:val="00081959"/>
    <w:rsid w:val="00081E73"/>
    <w:rsid w:val="000825A6"/>
    <w:rsid w:val="000847BB"/>
    <w:rsid w:val="00084D0A"/>
    <w:rsid w:val="000858ED"/>
    <w:rsid w:val="00085DBD"/>
    <w:rsid w:val="00090A8E"/>
    <w:rsid w:val="000927A6"/>
    <w:rsid w:val="00093C2B"/>
    <w:rsid w:val="00094C11"/>
    <w:rsid w:val="00094E8F"/>
    <w:rsid w:val="00096058"/>
    <w:rsid w:val="0009725A"/>
    <w:rsid w:val="000A10AC"/>
    <w:rsid w:val="000A2909"/>
    <w:rsid w:val="000A3DDF"/>
    <w:rsid w:val="000A44E3"/>
    <w:rsid w:val="000A4E3E"/>
    <w:rsid w:val="000A56FE"/>
    <w:rsid w:val="000A599A"/>
    <w:rsid w:val="000A5A82"/>
    <w:rsid w:val="000A5EB3"/>
    <w:rsid w:val="000A76E0"/>
    <w:rsid w:val="000A79B0"/>
    <w:rsid w:val="000B09AC"/>
    <w:rsid w:val="000B1A8B"/>
    <w:rsid w:val="000B2816"/>
    <w:rsid w:val="000B4A0A"/>
    <w:rsid w:val="000B4CE3"/>
    <w:rsid w:val="000B75C8"/>
    <w:rsid w:val="000B7969"/>
    <w:rsid w:val="000C0001"/>
    <w:rsid w:val="000C07B1"/>
    <w:rsid w:val="000C0BE5"/>
    <w:rsid w:val="000C0CE2"/>
    <w:rsid w:val="000C18D8"/>
    <w:rsid w:val="000C258B"/>
    <w:rsid w:val="000C333F"/>
    <w:rsid w:val="000C37A6"/>
    <w:rsid w:val="000C4033"/>
    <w:rsid w:val="000C4044"/>
    <w:rsid w:val="000C407B"/>
    <w:rsid w:val="000C432A"/>
    <w:rsid w:val="000C6720"/>
    <w:rsid w:val="000C6C05"/>
    <w:rsid w:val="000D0DEE"/>
    <w:rsid w:val="000D2D97"/>
    <w:rsid w:val="000D30C8"/>
    <w:rsid w:val="000D333A"/>
    <w:rsid w:val="000D42FE"/>
    <w:rsid w:val="000D54B5"/>
    <w:rsid w:val="000D64D5"/>
    <w:rsid w:val="000D7195"/>
    <w:rsid w:val="000D76D3"/>
    <w:rsid w:val="000D7FAB"/>
    <w:rsid w:val="000D7FBD"/>
    <w:rsid w:val="000E012F"/>
    <w:rsid w:val="000E0401"/>
    <w:rsid w:val="000E0977"/>
    <w:rsid w:val="000E1172"/>
    <w:rsid w:val="000E1CB2"/>
    <w:rsid w:val="000E2AE1"/>
    <w:rsid w:val="000E2B8C"/>
    <w:rsid w:val="000E3587"/>
    <w:rsid w:val="000E5A6D"/>
    <w:rsid w:val="000E668F"/>
    <w:rsid w:val="000E7257"/>
    <w:rsid w:val="000E7B64"/>
    <w:rsid w:val="000F2D13"/>
    <w:rsid w:val="000F2D8D"/>
    <w:rsid w:val="000F309C"/>
    <w:rsid w:val="000F47FC"/>
    <w:rsid w:val="000F5368"/>
    <w:rsid w:val="000F54A7"/>
    <w:rsid w:val="000F5746"/>
    <w:rsid w:val="000F5811"/>
    <w:rsid w:val="000F5900"/>
    <w:rsid w:val="000F6FC9"/>
    <w:rsid w:val="0010092C"/>
    <w:rsid w:val="001012A6"/>
    <w:rsid w:val="00103B58"/>
    <w:rsid w:val="0010403F"/>
    <w:rsid w:val="00105126"/>
    <w:rsid w:val="001079A6"/>
    <w:rsid w:val="001100E8"/>
    <w:rsid w:val="00110E2A"/>
    <w:rsid w:val="001124D3"/>
    <w:rsid w:val="001139D1"/>
    <w:rsid w:val="001145CB"/>
    <w:rsid w:val="00114846"/>
    <w:rsid w:val="00114BEE"/>
    <w:rsid w:val="00114CBF"/>
    <w:rsid w:val="00117D77"/>
    <w:rsid w:val="001200D6"/>
    <w:rsid w:val="00120ACA"/>
    <w:rsid w:val="001214F7"/>
    <w:rsid w:val="0012167E"/>
    <w:rsid w:val="0012177C"/>
    <w:rsid w:val="00121CA8"/>
    <w:rsid w:val="00121E98"/>
    <w:rsid w:val="0012554B"/>
    <w:rsid w:val="001258A2"/>
    <w:rsid w:val="00126306"/>
    <w:rsid w:val="0013025A"/>
    <w:rsid w:val="00131525"/>
    <w:rsid w:val="0013542B"/>
    <w:rsid w:val="00135C72"/>
    <w:rsid w:val="00140CDA"/>
    <w:rsid w:val="001427B4"/>
    <w:rsid w:val="0014449E"/>
    <w:rsid w:val="00144D98"/>
    <w:rsid w:val="00144EB9"/>
    <w:rsid w:val="00145323"/>
    <w:rsid w:val="00145911"/>
    <w:rsid w:val="00145E39"/>
    <w:rsid w:val="00146A3C"/>
    <w:rsid w:val="00147D56"/>
    <w:rsid w:val="001511A6"/>
    <w:rsid w:val="001519BF"/>
    <w:rsid w:val="00151AD9"/>
    <w:rsid w:val="001524C1"/>
    <w:rsid w:val="001527B3"/>
    <w:rsid w:val="00153743"/>
    <w:rsid w:val="00154107"/>
    <w:rsid w:val="001541BE"/>
    <w:rsid w:val="001543F6"/>
    <w:rsid w:val="00155728"/>
    <w:rsid w:val="00156BAE"/>
    <w:rsid w:val="00157B79"/>
    <w:rsid w:val="00160340"/>
    <w:rsid w:val="00160D6B"/>
    <w:rsid w:val="00160F51"/>
    <w:rsid w:val="00161686"/>
    <w:rsid w:val="00163653"/>
    <w:rsid w:val="0016366D"/>
    <w:rsid w:val="0016462B"/>
    <w:rsid w:val="001646BD"/>
    <w:rsid w:val="00164A78"/>
    <w:rsid w:val="00165237"/>
    <w:rsid w:val="00165259"/>
    <w:rsid w:val="00166133"/>
    <w:rsid w:val="00166BB9"/>
    <w:rsid w:val="00167D35"/>
    <w:rsid w:val="00171A4C"/>
    <w:rsid w:val="00171B11"/>
    <w:rsid w:val="001723B4"/>
    <w:rsid w:val="00174584"/>
    <w:rsid w:val="00174C5C"/>
    <w:rsid w:val="00175DC6"/>
    <w:rsid w:val="00175FCF"/>
    <w:rsid w:val="00175FE8"/>
    <w:rsid w:val="00176C90"/>
    <w:rsid w:val="00180AED"/>
    <w:rsid w:val="00180D6B"/>
    <w:rsid w:val="0018122C"/>
    <w:rsid w:val="00181B00"/>
    <w:rsid w:val="001820FB"/>
    <w:rsid w:val="00182A49"/>
    <w:rsid w:val="001831F2"/>
    <w:rsid w:val="00184333"/>
    <w:rsid w:val="00184AE6"/>
    <w:rsid w:val="0018514F"/>
    <w:rsid w:val="0018521E"/>
    <w:rsid w:val="001876B6"/>
    <w:rsid w:val="00187F42"/>
    <w:rsid w:val="00187F6D"/>
    <w:rsid w:val="0019280D"/>
    <w:rsid w:val="0019292A"/>
    <w:rsid w:val="00193122"/>
    <w:rsid w:val="00193B1F"/>
    <w:rsid w:val="00194CC1"/>
    <w:rsid w:val="001951BE"/>
    <w:rsid w:val="00195405"/>
    <w:rsid w:val="00195CB4"/>
    <w:rsid w:val="0019680F"/>
    <w:rsid w:val="00197369"/>
    <w:rsid w:val="00197FC5"/>
    <w:rsid w:val="001A006B"/>
    <w:rsid w:val="001A08C9"/>
    <w:rsid w:val="001A2387"/>
    <w:rsid w:val="001A27DC"/>
    <w:rsid w:val="001A4C2B"/>
    <w:rsid w:val="001A4CBA"/>
    <w:rsid w:val="001A557D"/>
    <w:rsid w:val="001A5701"/>
    <w:rsid w:val="001A578B"/>
    <w:rsid w:val="001A5B6E"/>
    <w:rsid w:val="001A7ACE"/>
    <w:rsid w:val="001A7B2C"/>
    <w:rsid w:val="001B03B9"/>
    <w:rsid w:val="001B09B4"/>
    <w:rsid w:val="001B1B8A"/>
    <w:rsid w:val="001B1D69"/>
    <w:rsid w:val="001B4B9B"/>
    <w:rsid w:val="001B5DB0"/>
    <w:rsid w:val="001B672E"/>
    <w:rsid w:val="001B6C87"/>
    <w:rsid w:val="001C1ABE"/>
    <w:rsid w:val="001C1ADE"/>
    <w:rsid w:val="001C224C"/>
    <w:rsid w:val="001C234C"/>
    <w:rsid w:val="001C38C5"/>
    <w:rsid w:val="001C3F49"/>
    <w:rsid w:val="001C4057"/>
    <w:rsid w:val="001C4155"/>
    <w:rsid w:val="001C4A20"/>
    <w:rsid w:val="001C5548"/>
    <w:rsid w:val="001C596F"/>
    <w:rsid w:val="001C5BAB"/>
    <w:rsid w:val="001C5F39"/>
    <w:rsid w:val="001C6616"/>
    <w:rsid w:val="001D16F3"/>
    <w:rsid w:val="001D196B"/>
    <w:rsid w:val="001D37EB"/>
    <w:rsid w:val="001D42E7"/>
    <w:rsid w:val="001D484E"/>
    <w:rsid w:val="001D6831"/>
    <w:rsid w:val="001D68EC"/>
    <w:rsid w:val="001D6F5D"/>
    <w:rsid w:val="001D72F9"/>
    <w:rsid w:val="001E02E5"/>
    <w:rsid w:val="001E07BB"/>
    <w:rsid w:val="001E2138"/>
    <w:rsid w:val="001E237A"/>
    <w:rsid w:val="001E27C3"/>
    <w:rsid w:val="001E2F1C"/>
    <w:rsid w:val="001E3169"/>
    <w:rsid w:val="001E58B2"/>
    <w:rsid w:val="001E6B8F"/>
    <w:rsid w:val="001E793C"/>
    <w:rsid w:val="001F04BD"/>
    <w:rsid w:val="001F0CA1"/>
    <w:rsid w:val="001F11C8"/>
    <w:rsid w:val="001F1568"/>
    <w:rsid w:val="001F25B1"/>
    <w:rsid w:val="001F2EA8"/>
    <w:rsid w:val="001F37A4"/>
    <w:rsid w:val="001F4283"/>
    <w:rsid w:val="001F464A"/>
    <w:rsid w:val="001F4B3F"/>
    <w:rsid w:val="001F4CC7"/>
    <w:rsid w:val="001F4E27"/>
    <w:rsid w:val="001F58E2"/>
    <w:rsid w:val="001F6005"/>
    <w:rsid w:val="001F63FF"/>
    <w:rsid w:val="001F6BD6"/>
    <w:rsid w:val="001F6EDE"/>
    <w:rsid w:val="001F6FE3"/>
    <w:rsid w:val="001F6FF4"/>
    <w:rsid w:val="001F76F5"/>
    <w:rsid w:val="0020041C"/>
    <w:rsid w:val="002027DD"/>
    <w:rsid w:val="002033FF"/>
    <w:rsid w:val="002036A7"/>
    <w:rsid w:val="00203E28"/>
    <w:rsid w:val="00203EAE"/>
    <w:rsid w:val="00204198"/>
    <w:rsid w:val="002041C1"/>
    <w:rsid w:val="0020451A"/>
    <w:rsid w:val="00206794"/>
    <w:rsid w:val="002071EA"/>
    <w:rsid w:val="002075EB"/>
    <w:rsid w:val="00207F63"/>
    <w:rsid w:val="002104B3"/>
    <w:rsid w:val="00210CE6"/>
    <w:rsid w:val="00210D4B"/>
    <w:rsid w:val="00212247"/>
    <w:rsid w:val="00215ABD"/>
    <w:rsid w:val="00215B1D"/>
    <w:rsid w:val="00215D95"/>
    <w:rsid w:val="00216F5D"/>
    <w:rsid w:val="00217484"/>
    <w:rsid w:val="00220B27"/>
    <w:rsid w:val="00222DEB"/>
    <w:rsid w:val="00224A3C"/>
    <w:rsid w:val="002253D2"/>
    <w:rsid w:val="00225512"/>
    <w:rsid w:val="00230F55"/>
    <w:rsid w:val="002312CB"/>
    <w:rsid w:val="00231FF0"/>
    <w:rsid w:val="00232841"/>
    <w:rsid w:val="00232DAA"/>
    <w:rsid w:val="00233CDB"/>
    <w:rsid w:val="00234D77"/>
    <w:rsid w:val="00234DDD"/>
    <w:rsid w:val="002350AF"/>
    <w:rsid w:val="00235195"/>
    <w:rsid w:val="0023535E"/>
    <w:rsid w:val="00235FFF"/>
    <w:rsid w:val="00236EA4"/>
    <w:rsid w:val="00240E66"/>
    <w:rsid w:val="002414B5"/>
    <w:rsid w:val="00241681"/>
    <w:rsid w:val="00241E63"/>
    <w:rsid w:val="00242CBB"/>
    <w:rsid w:val="00242E9C"/>
    <w:rsid w:val="00243E09"/>
    <w:rsid w:val="0024428A"/>
    <w:rsid w:val="0024437E"/>
    <w:rsid w:val="00244624"/>
    <w:rsid w:val="00245DDD"/>
    <w:rsid w:val="002467C0"/>
    <w:rsid w:val="00246983"/>
    <w:rsid w:val="00246D5A"/>
    <w:rsid w:val="00246D75"/>
    <w:rsid w:val="00246EAF"/>
    <w:rsid w:val="0024736D"/>
    <w:rsid w:val="00247C0A"/>
    <w:rsid w:val="00250BB0"/>
    <w:rsid w:val="00250C70"/>
    <w:rsid w:val="0025101D"/>
    <w:rsid w:val="0025202C"/>
    <w:rsid w:val="002525F1"/>
    <w:rsid w:val="00252AE3"/>
    <w:rsid w:val="002535AD"/>
    <w:rsid w:val="002535C0"/>
    <w:rsid w:val="0025704A"/>
    <w:rsid w:val="00257A75"/>
    <w:rsid w:val="00257ABC"/>
    <w:rsid w:val="00257FE8"/>
    <w:rsid w:val="002614FF"/>
    <w:rsid w:val="002619A1"/>
    <w:rsid w:val="00261B59"/>
    <w:rsid w:val="0026249D"/>
    <w:rsid w:val="002629E9"/>
    <w:rsid w:val="00263257"/>
    <w:rsid w:val="00263755"/>
    <w:rsid w:val="00263B11"/>
    <w:rsid w:val="00264DA1"/>
    <w:rsid w:val="0026534D"/>
    <w:rsid w:val="00265798"/>
    <w:rsid w:val="00271048"/>
    <w:rsid w:val="002723F4"/>
    <w:rsid w:val="00272D89"/>
    <w:rsid w:val="0027337E"/>
    <w:rsid w:val="00273A0D"/>
    <w:rsid w:val="0027592C"/>
    <w:rsid w:val="00275A41"/>
    <w:rsid w:val="00277663"/>
    <w:rsid w:val="002804BB"/>
    <w:rsid w:val="002816CC"/>
    <w:rsid w:val="00281B05"/>
    <w:rsid w:val="00283986"/>
    <w:rsid w:val="00286310"/>
    <w:rsid w:val="00291321"/>
    <w:rsid w:val="00292273"/>
    <w:rsid w:val="00292C73"/>
    <w:rsid w:val="00293299"/>
    <w:rsid w:val="0029366B"/>
    <w:rsid w:val="00295C46"/>
    <w:rsid w:val="00295D8F"/>
    <w:rsid w:val="00295E9A"/>
    <w:rsid w:val="0029605F"/>
    <w:rsid w:val="0029636D"/>
    <w:rsid w:val="002963FA"/>
    <w:rsid w:val="00297D47"/>
    <w:rsid w:val="002A05F5"/>
    <w:rsid w:val="002A060D"/>
    <w:rsid w:val="002A0E7A"/>
    <w:rsid w:val="002A0F50"/>
    <w:rsid w:val="002A11D9"/>
    <w:rsid w:val="002A1D4E"/>
    <w:rsid w:val="002A2BA6"/>
    <w:rsid w:val="002A3556"/>
    <w:rsid w:val="002A581D"/>
    <w:rsid w:val="002A5F8B"/>
    <w:rsid w:val="002A64CC"/>
    <w:rsid w:val="002A6FF5"/>
    <w:rsid w:val="002A71AB"/>
    <w:rsid w:val="002A784A"/>
    <w:rsid w:val="002B00C0"/>
    <w:rsid w:val="002B1624"/>
    <w:rsid w:val="002B17A3"/>
    <w:rsid w:val="002B269A"/>
    <w:rsid w:val="002B28A7"/>
    <w:rsid w:val="002B31F6"/>
    <w:rsid w:val="002B33F8"/>
    <w:rsid w:val="002B3E0B"/>
    <w:rsid w:val="002B5274"/>
    <w:rsid w:val="002B57F4"/>
    <w:rsid w:val="002B5A88"/>
    <w:rsid w:val="002B5FC3"/>
    <w:rsid w:val="002B601C"/>
    <w:rsid w:val="002B6052"/>
    <w:rsid w:val="002B7233"/>
    <w:rsid w:val="002B745D"/>
    <w:rsid w:val="002C02C7"/>
    <w:rsid w:val="002C0D6D"/>
    <w:rsid w:val="002C1A32"/>
    <w:rsid w:val="002C2546"/>
    <w:rsid w:val="002C39D5"/>
    <w:rsid w:val="002C3A24"/>
    <w:rsid w:val="002C3CC4"/>
    <w:rsid w:val="002C40DF"/>
    <w:rsid w:val="002C432D"/>
    <w:rsid w:val="002C5C1A"/>
    <w:rsid w:val="002C61E8"/>
    <w:rsid w:val="002D0D1F"/>
    <w:rsid w:val="002D1158"/>
    <w:rsid w:val="002D1639"/>
    <w:rsid w:val="002D16B2"/>
    <w:rsid w:val="002D20C3"/>
    <w:rsid w:val="002D2311"/>
    <w:rsid w:val="002D398A"/>
    <w:rsid w:val="002D3DAE"/>
    <w:rsid w:val="002D4183"/>
    <w:rsid w:val="002D5F22"/>
    <w:rsid w:val="002D6B56"/>
    <w:rsid w:val="002D7BD5"/>
    <w:rsid w:val="002E00F6"/>
    <w:rsid w:val="002E0283"/>
    <w:rsid w:val="002E0359"/>
    <w:rsid w:val="002E04AE"/>
    <w:rsid w:val="002E0DE5"/>
    <w:rsid w:val="002E1174"/>
    <w:rsid w:val="002E150C"/>
    <w:rsid w:val="002E2B96"/>
    <w:rsid w:val="002E329C"/>
    <w:rsid w:val="002E32C4"/>
    <w:rsid w:val="002E3B38"/>
    <w:rsid w:val="002E3B6C"/>
    <w:rsid w:val="002E4758"/>
    <w:rsid w:val="002E5688"/>
    <w:rsid w:val="002E5D3E"/>
    <w:rsid w:val="002E5FFA"/>
    <w:rsid w:val="002E6D63"/>
    <w:rsid w:val="002E6D75"/>
    <w:rsid w:val="002F0C86"/>
    <w:rsid w:val="002F2265"/>
    <w:rsid w:val="002F27D7"/>
    <w:rsid w:val="002F3085"/>
    <w:rsid w:val="002F3749"/>
    <w:rsid w:val="002F3DA0"/>
    <w:rsid w:val="002F3F9B"/>
    <w:rsid w:val="002F41C2"/>
    <w:rsid w:val="002F44FF"/>
    <w:rsid w:val="002F487C"/>
    <w:rsid w:val="002F6558"/>
    <w:rsid w:val="002F6B8B"/>
    <w:rsid w:val="002F6C18"/>
    <w:rsid w:val="002F774D"/>
    <w:rsid w:val="002F7DAE"/>
    <w:rsid w:val="003015B8"/>
    <w:rsid w:val="00301CBB"/>
    <w:rsid w:val="003026E8"/>
    <w:rsid w:val="00302CAA"/>
    <w:rsid w:val="003033E1"/>
    <w:rsid w:val="00303602"/>
    <w:rsid w:val="003037C8"/>
    <w:rsid w:val="00304549"/>
    <w:rsid w:val="00305593"/>
    <w:rsid w:val="00305709"/>
    <w:rsid w:val="00310514"/>
    <w:rsid w:val="00310C29"/>
    <w:rsid w:val="003111E8"/>
    <w:rsid w:val="00311947"/>
    <w:rsid w:val="00311A1E"/>
    <w:rsid w:val="00311D70"/>
    <w:rsid w:val="00311F44"/>
    <w:rsid w:val="003128DE"/>
    <w:rsid w:val="003132D2"/>
    <w:rsid w:val="00313696"/>
    <w:rsid w:val="00314C21"/>
    <w:rsid w:val="00314D0A"/>
    <w:rsid w:val="0031524E"/>
    <w:rsid w:val="003153D4"/>
    <w:rsid w:val="00315794"/>
    <w:rsid w:val="0031645D"/>
    <w:rsid w:val="00316AB9"/>
    <w:rsid w:val="003178A8"/>
    <w:rsid w:val="00317AFA"/>
    <w:rsid w:val="00320336"/>
    <w:rsid w:val="00321CB1"/>
    <w:rsid w:val="0032312D"/>
    <w:rsid w:val="00324D65"/>
    <w:rsid w:val="003264CC"/>
    <w:rsid w:val="0032771F"/>
    <w:rsid w:val="00330A48"/>
    <w:rsid w:val="00331465"/>
    <w:rsid w:val="00331FA5"/>
    <w:rsid w:val="0033200B"/>
    <w:rsid w:val="00332431"/>
    <w:rsid w:val="00332665"/>
    <w:rsid w:val="00333B7D"/>
    <w:rsid w:val="00334FAD"/>
    <w:rsid w:val="00335DC6"/>
    <w:rsid w:val="0033609B"/>
    <w:rsid w:val="00336969"/>
    <w:rsid w:val="00336C5F"/>
    <w:rsid w:val="003377AC"/>
    <w:rsid w:val="00340396"/>
    <w:rsid w:val="003406DF"/>
    <w:rsid w:val="003414FC"/>
    <w:rsid w:val="0034207A"/>
    <w:rsid w:val="00342E5B"/>
    <w:rsid w:val="00343064"/>
    <w:rsid w:val="00343902"/>
    <w:rsid w:val="00346B84"/>
    <w:rsid w:val="00347A9E"/>
    <w:rsid w:val="003501BE"/>
    <w:rsid w:val="00351485"/>
    <w:rsid w:val="00351D22"/>
    <w:rsid w:val="00353DCB"/>
    <w:rsid w:val="0035413A"/>
    <w:rsid w:val="003542A6"/>
    <w:rsid w:val="00355D28"/>
    <w:rsid w:val="00355ED9"/>
    <w:rsid w:val="00356929"/>
    <w:rsid w:val="00357587"/>
    <w:rsid w:val="00357999"/>
    <w:rsid w:val="00357A87"/>
    <w:rsid w:val="00361270"/>
    <w:rsid w:val="00361EC9"/>
    <w:rsid w:val="00362624"/>
    <w:rsid w:val="00362668"/>
    <w:rsid w:val="003626FC"/>
    <w:rsid w:val="00362768"/>
    <w:rsid w:val="0036384D"/>
    <w:rsid w:val="00363CC4"/>
    <w:rsid w:val="00364012"/>
    <w:rsid w:val="0036506F"/>
    <w:rsid w:val="00365CB7"/>
    <w:rsid w:val="00366281"/>
    <w:rsid w:val="00367415"/>
    <w:rsid w:val="003702D3"/>
    <w:rsid w:val="003702FF"/>
    <w:rsid w:val="00370C78"/>
    <w:rsid w:val="003720FE"/>
    <w:rsid w:val="003740FD"/>
    <w:rsid w:val="00376994"/>
    <w:rsid w:val="00377132"/>
    <w:rsid w:val="00381CED"/>
    <w:rsid w:val="003829BE"/>
    <w:rsid w:val="00383233"/>
    <w:rsid w:val="00383726"/>
    <w:rsid w:val="00386146"/>
    <w:rsid w:val="00386E5E"/>
    <w:rsid w:val="0038704A"/>
    <w:rsid w:val="00387C32"/>
    <w:rsid w:val="003919E4"/>
    <w:rsid w:val="00391AF9"/>
    <w:rsid w:val="0039285E"/>
    <w:rsid w:val="00392AAF"/>
    <w:rsid w:val="00392F29"/>
    <w:rsid w:val="00393498"/>
    <w:rsid w:val="00393ABF"/>
    <w:rsid w:val="0039414F"/>
    <w:rsid w:val="00395806"/>
    <w:rsid w:val="003962B5"/>
    <w:rsid w:val="003A0541"/>
    <w:rsid w:val="003A0B8C"/>
    <w:rsid w:val="003A1D78"/>
    <w:rsid w:val="003A245B"/>
    <w:rsid w:val="003A3D43"/>
    <w:rsid w:val="003A402D"/>
    <w:rsid w:val="003A4291"/>
    <w:rsid w:val="003A4924"/>
    <w:rsid w:val="003A4989"/>
    <w:rsid w:val="003A5076"/>
    <w:rsid w:val="003A58D9"/>
    <w:rsid w:val="003A652B"/>
    <w:rsid w:val="003A722F"/>
    <w:rsid w:val="003A7F8C"/>
    <w:rsid w:val="003A7FDA"/>
    <w:rsid w:val="003B0836"/>
    <w:rsid w:val="003B0982"/>
    <w:rsid w:val="003B09E4"/>
    <w:rsid w:val="003B0C7A"/>
    <w:rsid w:val="003B1039"/>
    <w:rsid w:val="003B274D"/>
    <w:rsid w:val="003B290C"/>
    <w:rsid w:val="003B2FD8"/>
    <w:rsid w:val="003B3751"/>
    <w:rsid w:val="003B44D7"/>
    <w:rsid w:val="003B46D6"/>
    <w:rsid w:val="003B479C"/>
    <w:rsid w:val="003B56EA"/>
    <w:rsid w:val="003B5807"/>
    <w:rsid w:val="003B60F8"/>
    <w:rsid w:val="003B64F6"/>
    <w:rsid w:val="003B6C95"/>
    <w:rsid w:val="003C3BB4"/>
    <w:rsid w:val="003C41D7"/>
    <w:rsid w:val="003C57A1"/>
    <w:rsid w:val="003C5FDF"/>
    <w:rsid w:val="003C631C"/>
    <w:rsid w:val="003C77F5"/>
    <w:rsid w:val="003C7B16"/>
    <w:rsid w:val="003C7F27"/>
    <w:rsid w:val="003D1C8A"/>
    <w:rsid w:val="003D221B"/>
    <w:rsid w:val="003D2D02"/>
    <w:rsid w:val="003D4B51"/>
    <w:rsid w:val="003D4F56"/>
    <w:rsid w:val="003D5014"/>
    <w:rsid w:val="003D787C"/>
    <w:rsid w:val="003D7B1B"/>
    <w:rsid w:val="003E01FC"/>
    <w:rsid w:val="003E12A5"/>
    <w:rsid w:val="003E2138"/>
    <w:rsid w:val="003E232C"/>
    <w:rsid w:val="003E30C0"/>
    <w:rsid w:val="003E3949"/>
    <w:rsid w:val="003E3C89"/>
    <w:rsid w:val="003E477B"/>
    <w:rsid w:val="003E6504"/>
    <w:rsid w:val="003E787C"/>
    <w:rsid w:val="003E79BB"/>
    <w:rsid w:val="003F1918"/>
    <w:rsid w:val="003F1F93"/>
    <w:rsid w:val="003F50B3"/>
    <w:rsid w:val="003F516A"/>
    <w:rsid w:val="003F561F"/>
    <w:rsid w:val="003F5A00"/>
    <w:rsid w:val="003F5E80"/>
    <w:rsid w:val="003F690E"/>
    <w:rsid w:val="003F7508"/>
    <w:rsid w:val="003F7D32"/>
    <w:rsid w:val="003F7F92"/>
    <w:rsid w:val="00400987"/>
    <w:rsid w:val="00401F72"/>
    <w:rsid w:val="00402A0A"/>
    <w:rsid w:val="00402C85"/>
    <w:rsid w:val="0040425C"/>
    <w:rsid w:val="004047FE"/>
    <w:rsid w:val="0040544E"/>
    <w:rsid w:val="004057F1"/>
    <w:rsid w:val="0040664F"/>
    <w:rsid w:val="004073A6"/>
    <w:rsid w:val="0041015D"/>
    <w:rsid w:val="004114BE"/>
    <w:rsid w:val="00411C7A"/>
    <w:rsid w:val="00411C8F"/>
    <w:rsid w:val="00411D7F"/>
    <w:rsid w:val="004120E5"/>
    <w:rsid w:val="0041383D"/>
    <w:rsid w:val="004141F1"/>
    <w:rsid w:val="00415102"/>
    <w:rsid w:val="004166CD"/>
    <w:rsid w:val="00417B46"/>
    <w:rsid w:val="00417B5D"/>
    <w:rsid w:val="00417C9D"/>
    <w:rsid w:val="00421860"/>
    <w:rsid w:val="0042387D"/>
    <w:rsid w:val="00423D8B"/>
    <w:rsid w:val="004242F3"/>
    <w:rsid w:val="00425177"/>
    <w:rsid w:val="0042557F"/>
    <w:rsid w:val="004259D7"/>
    <w:rsid w:val="00426016"/>
    <w:rsid w:val="00427745"/>
    <w:rsid w:val="00430C50"/>
    <w:rsid w:val="00432162"/>
    <w:rsid w:val="0043676A"/>
    <w:rsid w:val="00436F9E"/>
    <w:rsid w:val="00437235"/>
    <w:rsid w:val="00437BA6"/>
    <w:rsid w:val="004425B1"/>
    <w:rsid w:val="00442FDC"/>
    <w:rsid w:val="00443A6C"/>
    <w:rsid w:val="00443B39"/>
    <w:rsid w:val="00444313"/>
    <w:rsid w:val="00444674"/>
    <w:rsid w:val="00444FDA"/>
    <w:rsid w:val="00445504"/>
    <w:rsid w:val="00445FC2"/>
    <w:rsid w:val="00447087"/>
    <w:rsid w:val="00447750"/>
    <w:rsid w:val="00451170"/>
    <w:rsid w:val="004523D4"/>
    <w:rsid w:val="00453942"/>
    <w:rsid w:val="004540B5"/>
    <w:rsid w:val="00455756"/>
    <w:rsid w:val="00456C11"/>
    <w:rsid w:val="0045712D"/>
    <w:rsid w:val="00457B78"/>
    <w:rsid w:val="00462120"/>
    <w:rsid w:val="00462AF0"/>
    <w:rsid w:val="00462D47"/>
    <w:rsid w:val="00463597"/>
    <w:rsid w:val="00464343"/>
    <w:rsid w:val="004643F5"/>
    <w:rsid w:val="00466782"/>
    <w:rsid w:val="0046691B"/>
    <w:rsid w:val="00466B3C"/>
    <w:rsid w:val="00467616"/>
    <w:rsid w:val="00470227"/>
    <w:rsid w:val="00470512"/>
    <w:rsid w:val="00471AE1"/>
    <w:rsid w:val="00471BA2"/>
    <w:rsid w:val="00471E38"/>
    <w:rsid w:val="004722C3"/>
    <w:rsid w:val="00474453"/>
    <w:rsid w:val="00475036"/>
    <w:rsid w:val="00475534"/>
    <w:rsid w:val="0047581A"/>
    <w:rsid w:val="00475909"/>
    <w:rsid w:val="0048071D"/>
    <w:rsid w:val="00480CE3"/>
    <w:rsid w:val="00481B74"/>
    <w:rsid w:val="00482400"/>
    <w:rsid w:val="0048267A"/>
    <w:rsid w:val="00482E9E"/>
    <w:rsid w:val="004839EA"/>
    <w:rsid w:val="004841FB"/>
    <w:rsid w:val="00484723"/>
    <w:rsid w:val="00484AD6"/>
    <w:rsid w:val="0048601E"/>
    <w:rsid w:val="00486267"/>
    <w:rsid w:val="00487280"/>
    <w:rsid w:val="004874BC"/>
    <w:rsid w:val="00487C85"/>
    <w:rsid w:val="00490031"/>
    <w:rsid w:val="00490764"/>
    <w:rsid w:val="004908E6"/>
    <w:rsid w:val="004914D5"/>
    <w:rsid w:val="00491A34"/>
    <w:rsid w:val="00491BE3"/>
    <w:rsid w:val="004933FD"/>
    <w:rsid w:val="0049376D"/>
    <w:rsid w:val="004944D7"/>
    <w:rsid w:val="00494CA7"/>
    <w:rsid w:val="004962F5"/>
    <w:rsid w:val="004A0462"/>
    <w:rsid w:val="004A1684"/>
    <w:rsid w:val="004A2ED3"/>
    <w:rsid w:val="004A3C90"/>
    <w:rsid w:val="004A3FA7"/>
    <w:rsid w:val="004A3FD3"/>
    <w:rsid w:val="004A54EF"/>
    <w:rsid w:val="004A5C78"/>
    <w:rsid w:val="004A669C"/>
    <w:rsid w:val="004B291A"/>
    <w:rsid w:val="004B2B20"/>
    <w:rsid w:val="004B342B"/>
    <w:rsid w:val="004B3E29"/>
    <w:rsid w:val="004B54EC"/>
    <w:rsid w:val="004B6FD4"/>
    <w:rsid w:val="004B77FB"/>
    <w:rsid w:val="004C021C"/>
    <w:rsid w:val="004C0408"/>
    <w:rsid w:val="004C08C4"/>
    <w:rsid w:val="004C0C2F"/>
    <w:rsid w:val="004C0F02"/>
    <w:rsid w:val="004C2339"/>
    <w:rsid w:val="004C38FB"/>
    <w:rsid w:val="004C450A"/>
    <w:rsid w:val="004C45C1"/>
    <w:rsid w:val="004C4F4F"/>
    <w:rsid w:val="004C6BEC"/>
    <w:rsid w:val="004C756A"/>
    <w:rsid w:val="004C75A7"/>
    <w:rsid w:val="004D069A"/>
    <w:rsid w:val="004D0ADA"/>
    <w:rsid w:val="004D0BE0"/>
    <w:rsid w:val="004D2E05"/>
    <w:rsid w:val="004D2E1D"/>
    <w:rsid w:val="004D38E7"/>
    <w:rsid w:val="004D3CB4"/>
    <w:rsid w:val="004D4616"/>
    <w:rsid w:val="004D4A9E"/>
    <w:rsid w:val="004D5F7B"/>
    <w:rsid w:val="004D683E"/>
    <w:rsid w:val="004D6840"/>
    <w:rsid w:val="004D799B"/>
    <w:rsid w:val="004E0016"/>
    <w:rsid w:val="004E1285"/>
    <w:rsid w:val="004E18C3"/>
    <w:rsid w:val="004E1C7A"/>
    <w:rsid w:val="004E2076"/>
    <w:rsid w:val="004E2090"/>
    <w:rsid w:val="004E24CF"/>
    <w:rsid w:val="004E64EB"/>
    <w:rsid w:val="004E7B13"/>
    <w:rsid w:val="004F02BE"/>
    <w:rsid w:val="004F0476"/>
    <w:rsid w:val="004F0988"/>
    <w:rsid w:val="004F0CEA"/>
    <w:rsid w:val="004F3130"/>
    <w:rsid w:val="004F52FE"/>
    <w:rsid w:val="004F5E03"/>
    <w:rsid w:val="004F6304"/>
    <w:rsid w:val="004F6352"/>
    <w:rsid w:val="00500932"/>
    <w:rsid w:val="00500FB3"/>
    <w:rsid w:val="00500FE6"/>
    <w:rsid w:val="00502079"/>
    <w:rsid w:val="00502772"/>
    <w:rsid w:val="0050288B"/>
    <w:rsid w:val="00503215"/>
    <w:rsid w:val="0050343D"/>
    <w:rsid w:val="00503F09"/>
    <w:rsid w:val="0050443E"/>
    <w:rsid w:val="00504D85"/>
    <w:rsid w:val="00505EA3"/>
    <w:rsid w:val="00507CF8"/>
    <w:rsid w:val="005103DC"/>
    <w:rsid w:val="00510733"/>
    <w:rsid w:val="00510DC2"/>
    <w:rsid w:val="00510EE7"/>
    <w:rsid w:val="005111BF"/>
    <w:rsid w:val="00511771"/>
    <w:rsid w:val="00511B20"/>
    <w:rsid w:val="00512160"/>
    <w:rsid w:val="005125D4"/>
    <w:rsid w:val="00512A53"/>
    <w:rsid w:val="00513984"/>
    <w:rsid w:val="00514E32"/>
    <w:rsid w:val="00515154"/>
    <w:rsid w:val="00515A1A"/>
    <w:rsid w:val="00515C80"/>
    <w:rsid w:val="005162EF"/>
    <w:rsid w:val="0051693E"/>
    <w:rsid w:val="00517AAD"/>
    <w:rsid w:val="00517DA3"/>
    <w:rsid w:val="005204BA"/>
    <w:rsid w:val="005206B4"/>
    <w:rsid w:val="005211A5"/>
    <w:rsid w:val="00521676"/>
    <w:rsid w:val="00522016"/>
    <w:rsid w:val="005222AC"/>
    <w:rsid w:val="005222DB"/>
    <w:rsid w:val="00525E0A"/>
    <w:rsid w:val="00526F66"/>
    <w:rsid w:val="005276C9"/>
    <w:rsid w:val="0053059D"/>
    <w:rsid w:val="0053102F"/>
    <w:rsid w:val="0053156A"/>
    <w:rsid w:val="00531597"/>
    <w:rsid w:val="005329F6"/>
    <w:rsid w:val="005337E9"/>
    <w:rsid w:val="00533C55"/>
    <w:rsid w:val="00533C63"/>
    <w:rsid w:val="00534A50"/>
    <w:rsid w:val="00536AB3"/>
    <w:rsid w:val="005425F1"/>
    <w:rsid w:val="00543322"/>
    <w:rsid w:val="0054369E"/>
    <w:rsid w:val="0054604F"/>
    <w:rsid w:val="00546A28"/>
    <w:rsid w:val="00547B02"/>
    <w:rsid w:val="0055082B"/>
    <w:rsid w:val="00552220"/>
    <w:rsid w:val="0055248C"/>
    <w:rsid w:val="005525D8"/>
    <w:rsid w:val="0055261D"/>
    <w:rsid w:val="00552CEA"/>
    <w:rsid w:val="00553058"/>
    <w:rsid w:val="00553618"/>
    <w:rsid w:val="00554B1D"/>
    <w:rsid w:val="00555465"/>
    <w:rsid w:val="005561B0"/>
    <w:rsid w:val="005562A4"/>
    <w:rsid w:val="005570F0"/>
    <w:rsid w:val="005578C7"/>
    <w:rsid w:val="005607F1"/>
    <w:rsid w:val="00562754"/>
    <w:rsid w:val="00562A00"/>
    <w:rsid w:val="00564A5D"/>
    <w:rsid w:val="00565BEF"/>
    <w:rsid w:val="00566482"/>
    <w:rsid w:val="00570923"/>
    <w:rsid w:val="00571596"/>
    <w:rsid w:val="0057162A"/>
    <w:rsid w:val="00571D8C"/>
    <w:rsid w:val="0057269E"/>
    <w:rsid w:val="00572DFF"/>
    <w:rsid w:val="005759A8"/>
    <w:rsid w:val="00575C5B"/>
    <w:rsid w:val="00576B37"/>
    <w:rsid w:val="00576E8C"/>
    <w:rsid w:val="005804BE"/>
    <w:rsid w:val="00581FC3"/>
    <w:rsid w:val="0058210A"/>
    <w:rsid w:val="0058234D"/>
    <w:rsid w:val="005823EC"/>
    <w:rsid w:val="00583CAD"/>
    <w:rsid w:val="005849B5"/>
    <w:rsid w:val="005859AD"/>
    <w:rsid w:val="005866A3"/>
    <w:rsid w:val="00587E93"/>
    <w:rsid w:val="00590287"/>
    <w:rsid w:val="00590E86"/>
    <w:rsid w:val="00591392"/>
    <w:rsid w:val="00592515"/>
    <w:rsid w:val="00592667"/>
    <w:rsid w:val="00592E29"/>
    <w:rsid w:val="00593035"/>
    <w:rsid w:val="00595625"/>
    <w:rsid w:val="0059571D"/>
    <w:rsid w:val="00596621"/>
    <w:rsid w:val="00596753"/>
    <w:rsid w:val="00597469"/>
    <w:rsid w:val="005A10D4"/>
    <w:rsid w:val="005A1D8F"/>
    <w:rsid w:val="005A1F72"/>
    <w:rsid w:val="005A24C9"/>
    <w:rsid w:val="005A658E"/>
    <w:rsid w:val="005A73F4"/>
    <w:rsid w:val="005B01A5"/>
    <w:rsid w:val="005B0B9F"/>
    <w:rsid w:val="005B15E7"/>
    <w:rsid w:val="005B31CE"/>
    <w:rsid w:val="005B4F49"/>
    <w:rsid w:val="005B5095"/>
    <w:rsid w:val="005B7CCA"/>
    <w:rsid w:val="005C0461"/>
    <w:rsid w:val="005C068F"/>
    <w:rsid w:val="005C13B7"/>
    <w:rsid w:val="005C27E4"/>
    <w:rsid w:val="005C2D19"/>
    <w:rsid w:val="005C307B"/>
    <w:rsid w:val="005C3EB1"/>
    <w:rsid w:val="005C773F"/>
    <w:rsid w:val="005D03AC"/>
    <w:rsid w:val="005D0DEA"/>
    <w:rsid w:val="005D1614"/>
    <w:rsid w:val="005D2B86"/>
    <w:rsid w:val="005D3185"/>
    <w:rsid w:val="005D4163"/>
    <w:rsid w:val="005D4257"/>
    <w:rsid w:val="005D4DEC"/>
    <w:rsid w:val="005D564C"/>
    <w:rsid w:val="005D5747"/>
    <w:rsid w:val="005D5E69"/>
    <w:rsid w:val="005D6C23"/>
    <w:rsid w:val="005D73C7"/>
    <w:rsid w:val="005D79AA"/>
    <w:rsid w:val="005E0215"/>
    <w:rsid w:val="005E11D8"/>
    <w:rsid w:val="005E1260"/>
    <w:rsid w:val="005E1515"/>
    <w:rsid w:val="005E52E5"/>
    <w:rsid w:val="005E5AD9"/>
    <w:rsid w:val="005E6103"/>
    <w:rsid w:val="005F00BB"/>
    <w:rsid w:val="005F0545"/>
    <w:rsid w:val="005F0573"/>
    <w:rsid w:val="005F1D02"/>
    <w:rsid w:val="005F2FAA"/>
    <w:rsid w:val="005F354A"/>
    <w:rsid w:val="005F3F77"/>
    <w:rsid w:val="005F3FD4"/>
    <w:rsid w:val="005F51D5"/>
    <w:rsid w:val="005F6321"/>
    <w:rsid w:val="005F7AD0"/>
    <w:rsid w:val="005F7D44"/>
    <w:rsid w:val="0060027E"/>
    <w:rsid w:val="00601156"/>
    <w:rsid w:val="006011EA"/>
    <w:rsid w:val="006027B6"/>
    <w:rsid w:val="00603686"/>
    <w:rsid w:val="00604804"/>
    <w:rsid w:val="00606FFC"/>
    <w:rsid w:val="00610EA2"/>
    <w:rsid w:val="00611284"/>
    <w:rsid w:val="00611DBD"/>
    <w:rsid w:val="00612500"/>
    <w:rsid w:val="00612DB9"/>
    <w:rsid w:val="0061304E"/>
    <w:rsid w:val="006136BA"/>
    <w:rsid w:val="0061387E"/>
    <w:rsid w:val="00614771"/>
    <w:rsid w:val="0061521C"/>
    <w:rsid w:val="00616407"/>
    <w:rsid w:val="0061676D"/>
    <w:rsid w:val="00617337"/>
    <w:rsid w:val="00617639"/>
    <w:rsid w:val="0062057C"/>
    <w:rsid w:val="00620BA8"/>
    <w:rsid w:val="00621514"/>
    <w:rsid w:val="00622282"/>
    <w:rsid w:val="0062290C"/>
    <w:rsid w:val="00623F63"/>
    <w:rsid w:val="00624298"/>
    <w:rsid w:val="006247D4"/>
    <w:rsid w:val="00624B2F"/>
    <w:rsid w:val="00625F5E"/>
    <w:rsid w:val="006264E8"/>
    <w:rsid w:val="00626C6B"/>
    <w:rsid w:val="006271B4"/>
    <w:rsid w:val="00630C70"/>
    <w:rsid w:val="00631D12"/>
    <w:rsid w:val="0063215A"/>
    <w:rsid w:val="00633BA7"/>
    <w:rsid w:val="00633CB7"/>
    <w:rsid w:val="00633F89"/>
    <w:rsid w:val="0063409F"/>
    <w:rsid w:val="0063459F"/>
    <w:rsid w:val="00635042"/>
    <w:rsid w:val="0063579F"/>
    <w:rsid w:val="00635AA6"/>
    <w:rsid w:val="00637088"/>
    <w:rsid w:val="00637E62"/>
    <w:rsid w:val="00642701"/>
    <w:rsid w:val="0064416C"/>
    <w:rsid w:val="00644DE0"/>
    <w:rsid w:val="006451C9"/>
    <w:rsid w:val="006456AC"/>
    <w:rsid w:val="00645B6D"/>
    <w:rsid w:val="00646CAC"/>
    <w:rsid w:val="006470A5"/>
    <w:rsid w:val="006509C6"/>
    <w:rsid w:val="00651168"/>
    <w:rsid w:val="00652326"/>
    <w:rsid w:val="00654F95"/>
    <w:rsid w:val="006556A9"/>
    <w:rsid w:val="00655991"/>
    <w:rsid w:val="00656848"/>
    <w:rsid w:val="006570FB"/>
    <w:rsid w:val="006572E1"/>
    <w:rsid w:val="00657673"/>
    <w:rsid w:val="00657EDE"/>
    <w:rsid w:val="00662816"/>
    <w:rsid w:val="00662F43"/>
    <w:rsid w:val="00664247"/>
    <w:rsid w:val="00665A78"/>
    <w:rsid w:val="0066617B"/>
    <w:rsid w:val="006664EB"/>
    <w:rsid w:val="00666DDE"/>
    <w:rsid w:val="0066799E"/>
    <w:rsid w:val="006705B8"/>
    <w:rsid w:val="0067092E"/>
    <w:rsid w:val="00671478"/>
    <w:rsid w:val="00671720"/>
    <w:rsid w:val="006722A9"/>
    <w:rsid w:val="0067252B"/>
    <w:rsid w:val="00672AF3"/>
    <w:rsid w:val="00672E5A"/>
    <w:rsid w:val="00673805"/>
    <w:rsid w:val="00673843"/>
    <w:rsid w:val="00673E2F"/>
    <w:rsid w:val="00675DD4"/>
    <w:rsid w:val="00676068"/>
    <w:rsid w:val="006772B0"/>
    <w:rsid w:val="006776B1"/>
    <w:rsid w:val="00677A08"/>
    <w:rsid w:val="00680727"/>
    <w:rsid w:val="00680789"/>
    <w:rsid w:val="00680CE3"/>
    <w:rsid w:val="00680FA0"/>
    <w:rsid w:val="00683A7A"/>
    <w:rsid w:val="00683F43"/>
    <w:rsid w:val="006843D3"/>
    <w:rsid w:val="00684718"/>
    <w:rsid w:val="00686507"/>
    <w:rsid w:val="006865E9"/>
    <w:rsid w:val="00686F7B"/>
    <w:rsid w:val="00690971"/>
    <w:rsid w:val="006911FB"/>
    <w:rsid w:val="00691EDA"/>
    <w:rsid w:val="00693200"/>
    <w:rsid w:val="00693FA4"/>
    <w:rsid w:val="006942A2"/>
    <w:rsid w:val="00695968"/>
    <w:rsid w:val="006964EB"/>
    <w:rsid w:val="00697238"/>
    <w:rsid w:val="006979D9"/>
    <w:rsid w:val="006A15A6"/>
    <w:rsid w:val="006A1912"/>
    <w:rsid w:val="006A30E9"/>
    <w:rsid w:val="006A3400"/>
    <w:rsid w:val="006A378C"/>
    <w:rsid w:val="006A3A26"/>
    <w:rsid w:val="006A591B"/>
    <w:rsid w:val="006A6FA2"/>
    <w:rsid w:val="006A740E"/>
    <w:rsid w:val="006A75DF"/>
    <w:rsid w:val="006B0D45"/>
    <w:rsid w:val="006B176C"/>
    <w:rsid w:val="006B2796"/>
    <w:rsid w:val="006B2CEC"/>
    <w:rsid w:val="006B4706"/>
    <w:rsid w:val="006B5861"/>
    <w:rsid w:val="006B5CB9"/>
    <w:rsid w:val="006B6EE9"/>
    <w:rsid w:val="006B72FF"/>
    <w:rsid w:val="006C04AE"/>
    <w:rsid w:val="006C1223"/>
    <w:rsid w:val="006C22E5"/>
    <w:rsid w:val="006C2AAC"/>
    <w:rsid w:val="006C3022"/>
    <w:rsid w:val="006C317D"/>
    <w:rsid w:val="006C3D41"/>
    <w:rsid w:val="006C3DA4"/>
    <w:rsid w:val="006C4049"/>
    <w:rsid w:val="006C412D"/>
    <w:rsid w:val="006C45AA"/>
    <w:rsid w:val="006C7CFD"/>
    <w:rsid w:val="006D026F"/>
    <w:rsid w:val="006D1836"/>
    <w:rsid w:val="006D38C5"/>
    <w:rsid w:val="006D45D0"/>
    <w:rsid w:val="006D4C35"/>
    <w:rsid w:val="006D5DBE"/>
    <w:rsid w:val="006E0996"/>
    <w:rsid w:val="006E0B61"/>
    <w:rsid w:val="006E0F0E"/>
    <w:rsid w:val="006E1063"/>
    <w:rsid w:val="006E1599"/>
    <w:rsid w:val="006E172B"/>
    <w:rsid w:val="006E2535"/>
    <w:rsid w:val="006E37DA"/>
    <w:rsid w:val="006E426A"/>
    <w:rsid w:val="006E4A66"/>
    <w:rsid w:val="006E59EC"/>
    <w:rsid w:val="006E6F1F"/>
    <w:rsid w:val="006F030A"/>
    <w:rsid w:val="006F0E3A"/>
    <w:rsid w:val="006F1182"/>
    <w:rsid w:val="006F74B5"/>
    <w:rsid w:val="006F7645"/>
    <w:rsid w:val="006F778B"/>
    <w:rsid w:val="006F7896"/>
    <w:rsid w:val="00700F25"/>
    <w:rsid w:val="00702985"/>
    <w:rsid w:val="00702E2F"/>
    <w:rsid w:val="00706262"/>
    <w:rsid w:val="00707098"/>
    <w:rsid w:val="00707D80"/>
    <w:rsid w:val="00710ABF"/>
    <w:rsid w:val="00710D1A"/>
    <w:rsid w:val="007114BA"/>
    <w:rsid w:val="00714275"/>
    <w:rsid w:val="00714EDA"/>
    <w:rsid w:val="00714F11"/>
    <w:rsid w:val="007155AF"/>
    <w:rsid w:val="007155EC"/>
    <w:rsid w:val="00715CA2"/>
    <w:rsid w:val="00716001"/>
    <w:rsid w:val="007161BE"/>
    <w:rsid w:val="00717741"/>
    <w:rsid w:val="00720210"/>
    <w:rsid w:val="00720B9E"/>
    <w:rsid w:val="0072253E"/>
    <w:rsid w:val="0072384E"/>
    <w:rsid w:val="00723C60"/>
    <w:rsid w:val="00723D6B"/>
    <w:rsid w:val="007241AE"/>
    <w:rsid w:val="00726B18"/>
    <w:rsid w:val="00730361"/>
    <w:rsid w:val="00731483"/>
    <w:rsid w:val="007317C5"/>
    <w:rsid w:val="00731A71"/>
    <w:rsid w:val="007332F4"/>
    <w:rsid w:val="00735DD1"/>
    <w:rsid w:val="00736853"/>
    <w:rsid w:val="0073762C"/>
    <w:rsid w:val="0074093D"/>
    <w:rsid w:val="00740CF6"/>
    <w:rsid w:val="00741564"/>
    <w:rsid w:val="00741881"/>
    <w:rsid w:val="007423A7"/>
    <w:rsid w:val="00742767"/>
    <w:rsid w:val="00742D67"/>
    <w:rsid w:val="00742DFC"/>
    <w:rsid w:val="00743047"/>
    <w:rsid w:val="0074363F"/>
    <w:rsid w:val="007437E4"/>
    <w:rsid w:val="007441A8"/>
    <w:rsid w:val="00744455"/>
    <w:rsid w:val="007447DB"/>
    <w:rsid w:val="00744A9B"/>
    <w:rsid w:val="00744C7D"/>
    <w:rsid w:val="00747482"/>
    <w:rsid w:val="00747986"/>
    <w:rsid w:val="0075123C"/>
    <w:rsid w:val="007519ED"/>
    <w:rsid w:val="0075236D"/>
    <w:rsid w:val="00754959"/>
    <w:rsid w:val="00754B03"/>
    <w:rsid w:val="0075641F"/>
    <w:rsid w:val="007565DC"/>
    <w:rsid w:val="007572A2"/>
    <w:rsid w:val="00757526"/>
    <w:rsid w:val="0075773A"/>
    <w:rsid w:val="007578B6"/>
    <w:rsid w:val="00757E84"/>
    <w:rsid w:val="0076037E"/>
    <w:rsid w:val="00760829"/>
    <w:rsid w:val="007642F6"/>
    <w:rsid w:val="00764D13"/>
    <w:rsid w:val="007658B0"/>
    <w:rsid w:val="00767236"/>
    <w:rsid w:val="007704AB"/>
    <w:rsid w:val="00771395"/>
    <w:rsid w:val="0077214B"/>
    <w:rsid w:val="007730BE"/>
    <w:rsid w:val="00773AA2"/>
    <w:rsid w:val="00775205"/>
    <w:rsid w:val="007775D8"/>
    <w:rsid w:val="00777CA3"/>
    <w:rsid w:val="007804F2"/>
    <w:rsid w:val="00780940"/>
    <w:rsid w:val="0078151A"/>
    <w:rsid w:val="007837D0"/>
    <w:rsid w:val="007850DB"/>
    <w:rsid w:val="00785F96"/>
    <w:rsid w:val="00786F86"/>
    <w:rsid w:val="0078769D"/>
    <w:rsid w:val="00787B7D"/>
    <w:rsid w:val="007902C7"/>
    <w:rsid w:val="00790E7F"/>
    <w:rsid w:val="007912FD"/>
    <w:rsid w:val="00791ED9"/>
    <w:rsid w:val="00791F48"/>
    <w:rsid w:val="007923AD"/>
    <w:rsid w:val="00794A6A"/>
    <w:rsid w:val="00794C5D"/>
    <w:rsid w:val="00795750"/>
    <w:rsid w:val="00796318"/>
    <w:rsid w:val="00796915"/>
    <w:rsid w:val="007A0538"/>
    <w:rsid w:val="007A0D27"/>
    <w:rsid w:val="007A183E"/>
    <w:rsid w:val="007A1B97"/>
    <w:rsid w:val="007A2962"/>
    <w:rsid w:val="007A34A5"/>
    <w:rsid w:val="007A3A93"/>
    <w:rsid w:val="007A3AB2"/>
    <w:rsid w:val="007A3BE1"/>
    <w:rsid w:val="007A3E31"/>
    <w:rsid w:val="007A442A"/>
    <w:rsid w:val="007A49D3"/>
    <w:rsid w:val="007A5495"/>
    <w:rsid w:val="007A6022"/>
    <w:rsid w:val="007A6233"/>
    <w:rsid w:val="007A6736"/>
    <w:rsid w:val="007A6C22"/>
    <w:rsid w:val="007A71FE"/>
    <w:rsid w:val="007A7333"/>
    <w:rsid w:val="007B06A4"/>
    <w:rsid w:val="007B1ABD"/>
    <w:rsid w:val="007B2526"/>
    <w:rsid w:val="007B31BF"/>
    <w:rsid w:val="007B31E2"/>
    <w:rsid w:val="007B3880"/>
    <w:rsid w:val="007B3895"/>
    <w:rsid w:val="007B4FD6"/>
    <w:rsid w:val="007B506D"/>
    <w:rsid w:val="007B6F02"/>
    <w:rsid w:val="007B7FE4"/>
    <w:rsid w:val="007C1104"/>
    <w:rsid w:val="007C125D"/>
    <w:rsid w:val="007C1693"/>
    <w:rsid w:val="007C1CA8"/>
    <w:rsid w:val="007C3D55"/>
    <w:rsid w:val="007C4082"/>
    <w:rsid w:val="007C4845"/>
    <w:rsid w:val="007C48B1"/>
    <w:rsid w:val="007C4EF1"/>
    <w:rsid w:val="007C52F6"/>
    <w:rsid w:val="007C5768"/>
    <w:rsid w:val="007C6553"/>
    <w:rsid w:val="007D025B"/>
    <w:rsid w:val="007D0BB4"/>
    <w:rsid w:val="007D0C2A"/>
    <w:rsid w:val="007D19FB"/>
    <w:rsid w:val="007D345A"/>
    <w:rsid w:val="007D358E"/>
    <w:rsid w:val="007D3ED7"/>
    <w:rsid w:val="007D41B9"/>
    <w:rsid w:val="007D43F9"/>
    <w:rsid w:val="007D46A2"/>
    <w:rsid w:val="007D514E"/>
    <w:rsid w:val="007D53B4"/>
    <w:rsid w:val="007D583D"/>
    <w:rsid w:val="007D5ACE"/>
    <w:rsid w:val="007D641F"/>
    <w:rsid w:val="007D6AEF"/>
    <w:rsid w:val="007D6E09"/>
    <w:rsid w:val="007D70D7"/>
    <w:rsid w:val="007E0651"/>
    <w:rsid w:val="007E0B05"/>
    <w:rsid w:val="007E1944"/>
    <w:rsid w:val="007E21AA"/>
    <w:rsid w:val="007E2DB7"/>
    <w:rsid w:val="007E2FF3"/>
    <w:rsid w:val="007E33AC"/>
    <w:rsid w:val="007E33E4"/>
    <w:rsid w:val="007E3CB4"/>
    <w:rsid w:val="007E5016"/>
    <w:rsid w:val="007E79E4"/>
    <w:rsid w:val="007F0253"/>
    <w:rsid w:val="007F2003"/>
    <w:rsid w:val="007F3B2E"/>
    <w:rsid w:val="007F3E60"/>
    <w:rsid w:val="007F47C6"/>
    <w:rsid w:val="007F53A9"/>
    <w:rsid w:val="007F6156"/>
    <w:rsid w:val="007F73D1"/>
    <w:rsid w:val="00800A52"/>
    <w:rsid w:val="0080269E"/>
    <w:rsid w:val="00802796"/>
    <w:rsid w:val="00803031"/>
    <w:rsid w:val="00803B3E"/>
    <w:rsid w:val="00805F71"/>
    <w:rsid w:val="008063C2"/>
    <w:rsid w:val="00807029"/>
    <w:rsid w:val="008103A7"/>
    <w:rsid w:val="00811E28"/>
    <w:rsid w:val="0081259D"/>
    <w:rsid w:val="00812764"/>
    <w:rsid w:val="00812B05"/>
    <w:rsid w:val="00812B1A"/>
    <w:rsid w:val="00813690"/>
    <w:rsid w:val="00813786"/>
    <w:rsid w:val="00815015"/>
    <w:rsid w:val="008157AB"/>
    <w:rsid w:val="00815B42"/>
    <w:rsid w:val="00815BB6"/>
    <w:rsid w:val="008161A8"/>
    <w:rsid w:val="00823B24"/>
    <w:rsid w:val="00823F21"/>
    <w:rsid w:val="008245E3"/>
    <w:rsid w:val="00825161"/>
    <w:rsid w:val="00826932"/>
    <w:rsid w:val="00826EC6"/>
    <w:rsid w:val="00827484"/>
    <w:rsid w:val="008325DE"/>
    <w:rsid w:val="00836A81"/>
    <w:rsid w:val="00836F5B"/>
    <w:rsid w:val="008376A1"/>
    <w:rsid w:val="008414B8"/>
    <w:rsid w:val="00841517"/>
    <w:rsid w:val="00841711"/>
    <w:rsid w:val="00842152"/>
    <w:rsid w:val="00842C8A"/>
    <w:rsid w:val="0084317E"/>
    <w:rsid w:val="00843307"/>
    <w:rsid w:val="0084341B"/>
    <w:rsid w:val="00843471"/>
    <w:rsid w:val="008471F4"/>
    <w:rsid w:val="00847C5C"/>
    <w:rsid w:val="008500CE"/>
    <w:rsid w:val="00850755"/>
    <w:rsid w:val="0085130B"/>
    <w:rsid w:val="0085162B"/>
    <w:rsid w:val="00852484"/>
    <w:rsid w:val="00852909"/>
    <w:rsid w:val="0085319A"/>
    <w:rsid w:val="008535DD"/>
    <w:rsid w:val="0085477A"/>
    <w:rsid w:val="00854A7C"/>
    <w:rsid w:val="00854F5F"/>
    <w:rsid w:val="00855056"/>
    <w:rsid w:val="0085671C"/>
    <w:rsid w:val="00860478"/>
    <w:rsid w:val="008617D8"/>
    <w:rsid w:val="0086287D"/>
    <w:rsid w:val="00862B69"/>
    <w:rsid w:val="00862F5E"/>
    <w:rsid w:val="00863124"/>
    <w:rsid w:val="0086381B"/>
    <w:rsid w:val="0086452F"/>
    <w:rsid w:val="00867078"/>
    <w:rsid w:val="00873322"/>
    <w:rsid w:val="0087356B"/>
    <w:rsid w:val="00874A43"/>
    <w:rsid w:val="00875933"/>
    <w:rsid w:val="008806A4"/>
    <w:rsid w:val="008808B1"/>
    <w:rsid w:val="0088107C"/>
    <w:rsid w:val="00881570"/>
    <w:rsid w:val="008817CB"/>
    <w:rsid w:val="008821C3"/>
    <w:rsid w:val="0088406B"/>
    <w:rsid w:val="00884268"/>
    <w:rsid w:val="00884F67"/>
    <w:rsid w:val="00885BAC"/>
    <w:rsid w:val="00886B00"/>
    <w:rsid w:val="008906FD"/>
    <w:rsid w:val="00890F43"/>
    <w:rsid w:val="00891393"/>
    <w:rsid w:val="00893033"/>
    <w:rsid w:val="008940C5"/>
    <w:rsid w:val="0089661C"/>
    <w:rsid w:val="00896920"/>
    <w:rsid w:val="008A01D9"/>
    <w:rsid w:val="008A0731"/>
    <w:rsid w:val="008A0D8C"/>
    <w:rsid w:val="008A1470"/>
    <w:rsid w:val="008A2632"/>
    <w:rsid w:val="008A28F6"/>
    <w:rsid w:val="008A2AF6"/>
    <w:rsid w:val="008A3278"/>
    <w:rsid w:val="008A4181"/>
    <w:rsid w:val="008A4A1A"/>
    <w:rsid w:val="008A53DD"/>
    <w:rsid w:val="008A5914"/>
    <w:rsid w:val="008A6DFD"/>
    <w:rsid w:val="008A7096"/>
    <w:rsid w:val="008A765B"/>
    <w:rsid w:val="008A7CF4"/>
    <w:rsid w:val="008B1578"/>
    <w:rsid w:val="008B311A"/>
    <w:rsid w:val="008B324B"/>
    <w:rsid w:val="008B337C"/>
    <w:rsid w:val="008B55AA"/>
    <w:rsid w:val="008B5C68"/>
    <w:rsid w:val="008B6F9D"/>
    <w:rsid w:val="008B780D"/>
    <w:rsid w:val="008B7E5E"/>
    <w:rsid w:val="008C074C"/>
    <w:rsid w:val="008C0894"/>
    <w:rsid w:val="008C0C5F"/>
    <w:rsid w:val="008C1D82"/>
    <w:rsid w:val="008C2097"/>
    <w:rsid w:val="008C2683"/>
    <w:rsid w:val="008C6810"/>
    <w:rsid w:val="008C69C3"/>
    <w:rsid w:val="008C7412"/>
    <w:rsid w:val="008C7B3F"/>
    <w:rsid w:val="008C7EE9"/>
    <w:rsid w:val="008D02C6"/>
    <w:rsid w:val="008D0E6B"/>
    <w:rsid w:val="008D27D5"/>
    <w:rsid w:val="008D29C5"/>
    <w:rsid w:val="008D29DC"/>
    <w:rsid w:val="008D2D7D"/>
    <w:rsid w:val="008D3A71"/>
    <w:rsid w:val="008D3EC1"/>
    <w:rsid w:val="008D47D1"/>
    <w:rsid w:val="008D4DE2"/>
    <w:rsid w:val="008D5ACA"/>
    <w:rsid w:val="008D780D"/>
    <w:rsid w:val="008D788A"/>
    <w:rsid w:val="008E0B1A"/>
    <w:rsid w:val="008E0C37"/>
    <w:rsid w:val="008E2CBB"/>
    <w:rsid w:val="008E303E"/>
    <w:rsid w:val="008E3381"/>
    <w:rsid w:val="008E3685"/>
    <w:rsid w:val="008E3FC9"/>
    <w:rsid w:val="008E5768"/>
    <w:rsid w:val="008E5D09"/>
    <w:rsid w:val="008E688B"/>
    <w:rsid w:val="008F040E"/>
    <w:rsid w:val="008F07AF"/>
    <w:rsid w:val="008F0C1A"/>
    <w:rsid w:val="008F20D1"/>
    <w:rsid w:val="008F2850"/>
    <w:rsid w:val="008F287D"/>
    <w:rsid w:val="008F29A1"/>
    <w:rsid w:val="008F462A"/>
    <w:rsid w:val="008F54A5"/>
    <w:rsid w:val="008F64D7"/>
    <w:rsid w:val="008F7D49"/>
    <w:rsid w:val="00900194"/>
    <w:rsid w:val="009002DB"/>
    <w:rsid w:val="009005BA"/>
    <w:rsid w:val="009007D6"/>
    <w:rsid w:val="0090128C"/>
    <w:rsid w:val="00901B6A"/>
    <w:rsid w:val="00902E9F"/>
    <w:rsid w:val="00903524"/>
    <w:rsid w:val="00903648"/>
    <w:rsid w:val="00903C7B"/>
    <w:rsid w:val="00904A6C"/>
    <w:rsid w:val="00904DBA"/>
    <w:rsid w:val="00904E93"/>
    <w:rsid w:val="00907584"/>
    <w:rsid w:val="00907BFF"/>
    <w:rsid w:val="0091301C"/>
    <w:rsid w:val="00913504"/>
    <w:rsid w:val="009164AC"/>
    <w:rsid w:val="00917A3E"/>
    <w:rsid w:val="0092151C"/>
    <w:rsid w:val="009218FD"/>
    <w:rsid w:val="009223A6"/>
    <w:rsid w:val="0092665E"/>
    <w:rsid w:val="00927F59"/>
    <w:rsid w:val="0093240D"/>
    <w:rsid w:val="009332C6"/>
    <w:rsid w:val="009348F7"/>
    <w:rsid w:val="0093516D"/>
    <w:rsid w:val="00936339"/>
    <w:rsid w:val="00936A73"/>
    <w:rsid w:val="0093750E"/>
    <w:rsid w:val="0094006D"/>
    <w:rsid w:val="009402E7"/>
    <w:rsid w:val="00941027"/>
    <w:rsid w:val="009416AC"/>
    <w:rsid w:val="00941ED0"/>
    <w:rsid w:val="00942A40"/>
    <w:rsid w:val="00943459"/>
    <w:rsid w:val="009436AB"/>
    <w:rsid w:val="009454B7"/>
    <w:rsid w:val="0094567C"/>
    <w:rsid w:val="00945ECE"/>
    <w:rsid w:val="00946564"/>
    <w:rsid w:val="009475DE"/>
    <w:rsid w:val="00950E16"/>
    <w:rsid w:val="00951A32"/>
    <w:rsid w:val="00953323"/>
    <w:rsid w:val="009544D7"/>
    <w:rsid w:val="00955BFC"/>
    <w:rsid w:val="009561CA"/>
    <w:rsid w:val="009568B4"/>
    <w:rsid w:val="00956C61"/>
    <w:rsid w:val="00957B6B"/>
    <w:rsid w:val="009615A6"/>
    <w:rsid w:val="00961984"/>
    <w:rsid w:val="0096415E"/>
    <w:rsid w:val="0096440E"/>
    <w:rsid w:val="009650FE"/>
    <w:rsid w:val="00965410"/>
    <w:rsid w:val="00966B3C"/>
    <w:rsid w:val="00967A2B"/>
    <w:rsid w:val="00967DA3"/>
    <w:rsid w:val="00970F97"/>
    <w:rsid w:val="00971349"/>
    <w:rsid w:val="00971C77"/>
    <w:rsid w:val="00972C6D"/>
    <w:rsid w:val="00972CEA"/>
    <w:rsid w:val="00972DCA"/>
    <w:rsid w:val="00973654"/>
    <w:rsid w:val="00973702"/>
    <w:rsid w:val="00973866"/>
    <w:rsid w:val="009752FA"/>
    <w:rsid w:val="009753DD"/>
    <w:rsid w:val="009757A1"/>
    <w:rsid w:val="009763B7"/>
    <w:rsid w:val="0097670D"/>
    <w:rsid w:val="009818A4"/>
    <w:rsid w:val="00982950"/>
    <w:rsid w:val="00983988"/>
    <w:rsid w:val="00984C70"/>
    <w:rsid w:val="00984F2C"/>
    <w:rsid w:val="00985853"/>
    <w:rsid w:val="0098586C"/>
    <w:rsid w:val="00985C09"/>
    <w:rsid w:val="00985E3F"/>
    <w:rsid w:val="00986785"/>
    <w:rsid w:val="00986B59"/>
    <w:rsid w:val="00987E16"/>
    <w:rsid w:val="00990BA9"/>
    <w:rsid w:val="009930B5"/>
    <w:rsid w:val="00994647"/>
    <w:rsid w:val="00994F82"/>
    <w:rsid w:val="00995385"/>
    <w:rsid w:val="009958A1"/>
    <w:rsid w:val="00997CC5"/>
    <w:rsid w:val="009A00FA"/>
    <w:rsid w:val="009A01D5"/>
    <w:rsid w:val="009A0293"/>
    <w:rsid w:val="009A0A89"/>
    <w:rsid w:val="009A0F40"/>
    <w:rsid w:val="009A2DF4"/>
    <w:rsid w:val="009A4DC2"/>
    <w:rsid w:val="009A5FD1"/>
    <w:rsid w:val="009B0045"/>
    <w:rsid w:val="009B07F7"/>
    <w:rsid w:val="009B1ABB"/>
    <w:rsid w:val="009B230F"/>
    <w:rsid w:val="009B27EE"/>
    <w:rsid w:val="009B390F"/>
    <w:rsid w:val="009B4055"/>
    <w:rsid w:val="009B4553"/>
    <w:rsid w:val="009B4FCB"/>
    <w:rsid w:val="009B5534"/>
    <w:rsid w:val="009B5E33"/>
    <w:rsid w:val="009B6C67"/>
    <w:rsid w:val="009B71A2"/>
    <w:rsid w:val="009B7B40"/>
    <w:rsid w:val="009B7BB3"/>
    <w:rsid w:val="009C09DF"/>
    <w:rsid w:val="009C12E9"/>
    <w:rsid w:val="009C2D25"/>
    <w:rsid w:val="009C31C0"/>
    <w:rsid w:val="009C50DF"/>
    <w:rsid w:val="009C5AE2"/>
    <w:rsid w:val="009C64DC"/>
    <w:rsid w:val="009C64EE"/>
    <w:rsid w:val="009C738E"/>
    <w:rsid w:val="009C7E5C"/>
    <w:rsid w:val="009D0159"/>
    <w:rsid w:val="009D066A"/>
    <w:rsid w:val="009D1D6C"/>
    <w:rsid w:val="009D301C"/>
    <w:rsid w:val="009D33A6"/>
    <w:rsid w:val="009D479D"/>
    <w:rsid w:val="009D4BB6"/>
    <w:rsid w:val="009D4BD9"/>
    <w:rsid w:val="009D5278"/>
    <w:rsid w:val="009D6C9E"/>
    <w:rsid w:val="009D7087"/>
    <w:rsid w:val="009E00FC"/>
    <w:rsid w:val="009E025B"/>
    <w:rsid w:val="009E1324"/>
    <w:rsid w:val="009E13DB"/>
    <w:rsid w:val="009E231F"/>
    <w:rsid w:val="009E2F62"/>
    <w:rsid w:val="009E3286"/>
    <w:rsid w:val="009E3AC8"/>
    <w:rsid w:val="009E4628"/>
    <w:rsid w:val="009E5487"/>
    <w:rsid w:val="009E6106"/>
    <w:rsid w:val="009E63DE"/>
    <w:rsid w:val="009E64EB"/>
    <w:rsid w:val="009F04D9"/>
    <w:rsid w:val="009F0B9C"/>
    <w:rsid w:val="009F159F"/>
    <w:rsid w:val="009F18DE"/>
    <w:rsid w:val="009F1B83"/>
    <w:rsid w:val="009F1D5B"/>
    <w:rsid w:val="009F1DB5"/>
    <w:rsid w:val="009F3C27"/>
    <w:rsid w:val="009F4F72"/>
    <w:rsid w:val="009F58BC"/>
    <w:rsid w:val="00A00489"/>
    <w:rsid w:val="00A011F1"/>
    <w:rsid w:val="00A01E9D"/>
    <w:rsid w:val="00A02E3A"/>
    <w:rsid w:val="00A04143"/>
    <w:rsid w:val="00A04DAA"/>
    <w:rsid w:val="00A0584D"/>
    <w:rsid w:val="00A06EE6"/>
    <w:rsid w:val="00A06F2F"/>
    <w:rsid w:val="00A07BBF"/>
    <w:rsid w:val="00A10F0F"/>
    <w:rsid w:val="00A11C80"/>
    <w:rsid w:val="00A13C43"/>
    <w:rsid w:val="00A14D06"/>
    <w:rsid w:val="00A14E48"/>
    <w:rsid w:val="00A16AEC"/>
    <w:rsid w:val="00A1724C"/>
    <w:rsid w:val="00A17EF1"/>
    <w:rsid w:val="00A22C84"/>
    <w:rsid w:val="00A22E36"/>
    <w:rsid w:val="00A230FF"/>
    <w:rsid w:val="00A23FF6"/>
    <w:rsid w:val="00A247AF"/>
    <w:rsid w:val="00A2588E"/>
    <w:rsid w:val="00A26163"/>
    <w:rsid w:val="00A26A8B"/>
    <w:rsid w:val="00A27E53"/>
    <w:rsid w:val="00A305A9"/>
    <w:rsid w:val="00A313BA"/>
    <w:rsid w:val="00A317DB"/>
    <w:rsid w:val="00A337E2"/>
    <w:rsid w:val="00A3455D"/>
    <w:rsid w:val="00A3464B"/>
    <w:rsid w:val="00A34CAF"/>
    <w:rsid w:val="00A37352"/>
    <w:rsid w:val="00A373AF"/>
    <w:rsid w:val="00A375C9"/>
    <w:rsid w:val="00A40A8E"/>
    <w:rsid w:val="00A41FFE"/>
    <w:rsid w:val="00A424DC"/>
    <w:rsid w:val="00A430F5"/>
    <w:rsid w:val="00A435B3"/>
    <w:rsid w:val="00A43E6F"/>
    <w:rsid w:val="00A442F7"/>
    <w:rsid w:val="00A44E1B"/>
    <w:rsid w:val="00A450F8"/>
    <w:rsid w:val="00A456FA"/>
    <w:rsid w:val="00A45AA9"/>
    <w:rsid w:val="00A45F7B"/>
    <w:rsid w:val="00A460A6"/>
    <w:rsid w:val="00A4658F"/>
    <w:rsid w:val="00A47C14"/>
    <w:rsid w:val="00A50C3B"/>
    <w:rsid w:val="00A51341"/>
    <w:rsid w:val="00A5214D"/>
    <w:rsid w:val="00A52554"/>
    <w:rsid w:val="00A53872"/>
    <w:rsid w:val="00A5398E"/>
    <w:rsid w:val="00A53E17"/>
    <w:rsid w:val="00A5428E"/>
    <w:rsid w:val="00A55BDA"/>
    <w:rsid w:val="00A56088"/>
    <w:rsid w:val="00A57D19"/>
    <w:rsid w:val="00A6081C"/>
    <w:rsid w:val="00A60905"/>
    <w:rsid w:val="00A60DF9"/>
    <w:rsid w:val="00A61179"/>
    <w:rsid w:val="00A61688"/>
    <w:rsid w:val="00A61B80"/>
    <w:rsid w:val="00A61DF9"/>
    <w:rsid w:val="00A627EE"/>
    <w:rsid w:val="00A632B2"/>
    <w:rsid w:val="00A638C6"/>
    <w:rsid w:val="00A6463A"/>
    <w:rsid w:val="00A64879"/>
    <w:rsid w:val="00A64B51"/>
    <w:rsid w:val="00A651D6"/>
    <w:rsid w:val="00A67AA5"/>
    <w:rsid w:val="00A7018B"/>
    <w:rsid w:val="00A709F5"/>
    <w:rsid w:val="00A70F2D"/>
    <w:rsid w:val="00A71478"/>
    <w:rsid w:val="00A714F4"/>
    <w:rsid w:val="00A71F24"/>
    <w:rsid w:val="00A72042"/>
    <w:rsid w:val="00A7370E"/>
    <w:rsid w:val="00A737B5"/>
    <w:rsid w:val="00A73D18"/>
    <w:rsid w:val="00A7461E"/>
    <w:rsid w:val="00A74ADA"/>
    <w:rsid w:val="00A758A1"/>
    <w:rsid w:val="00A76766"/>
    <w:rsid w:val="00A76F9F"/>
    <w:rsid w:val="00A807F2"/>
    <w:rsid w:val="00A82729"/>
    <w:rsid w:val="00A8324E"/>
    <w:rsid w:val="00A841D4"/>
    <w:rsid w:val="00A849CA"/>
    <w:rsid w:val="00A85C40"/>
    <w:rsid w:val="00A865C6"/>
    <w:rsid w:val="00A87352"/>
    <w:rsid w:val="00A87BE7"/>
    <w:rsid w:val="00A90C46"/>
    <w:rsid w:val="00A91A77"/>
    <w:rsid w:val="00A91CE8"/>
    <w:rsid w:val="00A92955"/>
    <w:rsid w:val="00A92C84"/>
    <w:rsid w:val="00A92DF5"/>
    <w:rsid w:val="00A946AC"/>
    <w:rsid w:val="00A9563D"/>
    <w:rsid w:val="00A95E5D"/>
    <w:rsid w:val="00A965F7"/>
    <w:rsid w:val="00A9668A"/>
    <w:rsid w:val="00AA0960"/>
    <w:rsid w:val="00AA0AE8"/>
    <w:rsid w:val="00AA0CDA"/>
    <w:rsid w:val="00AA17DE"/>
    <w:rsid w:val="00AA208E"/>
    <w:rsid w:val="00AA2E2A"/>
    <w:rsid w:val="00AA30F2"/>
    <w:rsid w:val="00AA4082"/>
    <w:rsid w:val="00AA4140"/>
    <w:rsid w:val="00AA7A7A"/>
    <w:rsid w:val="00AA7F85"/>
    <w:rsid w:val="00AB1124"/>
    <w:rsid w:val="00AB1188"/>
    <w:rsid w:val="00AB1CD2"/>
    <w:rsid w:val="00AB21ED"/>
    <w:rsid w:val="00AB223D"/>
    <w:rsid w:val="00AB2392"/>
    <w:rsid w:val="00AB243B"/>
    <w:rsid w:val="00AB2B86"/>
    <w:rsid w:val="00AB3146"/>
    <w:rsid w:val="00AB33A0"/>
    <w:rsid w:val="00AB3465"/>
    <w:rsid w:val="00AB3BAD"/>
    <w:rsid w:val="00AB45C4"/>
    <w:rsid w:val="00AB4E2C"/>
    <w:rsid w:val="00AB51CC"/>
    <w:rsid w:val="00AB5CF4"/>
    <w:rsid w:val="00AB6B61"/>
    <w:rsid w:val="00AB6CFE"/>
    <w:rsid w:val="00AC10FA"/>
    <w:rsid w:val="00AC131A"/>
    <w:rsid w:val="00AC2C71"/>
    <w:rsid w:val="00AC2F1E"/>
    <w:rsid w:val="00AC5F42"/>
    <w:rsid w:val="00AC717D"/>
    <w:rsid w:val="00AD06A2"/>
    <w:rsid w:val="00AD0E41"/>
    <w:rsid w:val="00AD0F94"/>
    <w:rsid w:val="00AD187C"/>
    <w:rsid w:val="00AD1F8A"/>
    <w:rsid w:val="00AD1FE3"/>
    <w:rsid w:val="00AD2761"/>
    <w:rsid w:val="00AD4766"/>
    <w:rsid w:val="00AD5B83"/>
    <w:rsid w:val="00AD6096"/>
    <w:rsid w:val="00AD69E9"/>
    <w:rsid w:val="00AD72E1"/>
    <w:rsid w:val="00AD7493"/>
    <w:rsid w:val="00AE22D8"/>
    <w:rsid w:val="00AE2FAF"/>
    <w:rsid w:val="00AE67F6"/>
    <w:rsid w:val="00AE6B2D"/>
    <w:rsid w:val="00AE6E73"/>
    <w:rsid w:val="00AE76B4"/>
    <w:rsid w:val="00AF0900"/>
    <w:rsid w:val="00AF1C14"/>
    <w:rsid w:val="00AF277A"/>
    <w:rsid w:val="00AF44F4"/>
    <w:rsid w:val="00AF4988"/>
    <w:rsid w:val="00AF517E"/>
    <w:rsid w:val="00AF5729"/>
    <w:rsid w:val="00AF76A4"/>
    <w:rsid w:val="00B0047C"/>
    <w:rsid w:val="00B021F1"/>
    <w:rsid w:val="00B0296A"/>
    <w:rsid w:val="00B0386A"/>
    <w:rsid w:val="00B047CF"/>
    <w:rsid w:val="00B048CF"/>
    <w:rsid w:val="00B0640B"/>
    <w:rsid w:val="00B0767B"/>
    <w:rsid w:val="00B0793C"/>
    <w:rsid w:val="00B123EE"/>
    <w:rsid w:val="00B13DB4"/>
    <w:rsid w:val="00B168EE"/>
    <w:rsid w:val="00B1787B"/>
    <w:rsid w:val="00B179CB"/>
    <w:rsid w:val="00B201E5"/>
    <w:rsid w:val="00B216E0"/>
    <w:rsid w:val="00B22FC3"/>
    <w:rsid w:val="00B24F40"/>
    <w:rsid w:val="00B24FCF"/>
    <w:rsid w:val="00B2641E"/>
    <w:rsid w:val="00B27C2F"/>
    <w:rsid w:val="00B300BB"/>
    <w:rsid w:val="00B309F7"/>
    <w:rsid w:val="00B31A0E"/>
    <w:rsid w:val="00B31BCC"/>
    <w:rsid w:val="00B32FDD"/>
    <w:rsid w:val="00B331DA"/>
    <w:rsid w:val="00B33F0D"/>
    <w:rsid w:val="00B343FC"/>
    <w:rsid w:val="00B359BF"/>
    <w:rsid w:val="00B35A53"/>
    <w:rsid w:val="00B35BD0"/>
    <w:rsid w:val="00B360C7"/>
    <w:rsid w:val="00B36E7C"/>
    <w:rsid w:val="00B36F04"/>
    <w:rsid w:val="00B4028E"/>
    <w:rsid w:val="00B40563"/>
    <w:rsid w:val="00B411C9"/>
    <w:rsid w:val="00B4272A"/>
    <w:rsid w:val="00B45D65"/>
    <w:rsid w:val="00B4668D"/>
    <w:rsid w:val="00B46F0D"/>
    <w:rsid w:val="00B479F4"/>
    <w:rsid w:val="00B47F6B"/>
    <w:rsid w:val="00B508CB"/>
    <w:rsid w:val="00B50957"/>
    <w:rsid w:val="00B519BC"/>
    <w:rsid w:val="00B525C7"/>
    <w:rsid w:val="00B52A16"/>
    <w:rsid w:val="00B551C7"/>
    <w:rsid w:val="00B55496"/>
    <w:rsid w:val="00B55F10"/>
    <w:rsid w:val="00B603D1"/>
    <w:rsid w:val="00B61285"/>
    <w:rsid w:val="00B61B59"/>
    <w:rsid w:val="00B620ED"/>
    <w:rsid w:val="00B6291B"/>
    <w:rsid w:val="00B63708"/>
    <w:rsid w:val="00B63CBE"/>
    <w:rsid w:val="00B63F33"/>
    <w:rsid w:val="00B64591"/>
    <w:rsid w:val="00B64C28"/>
    <w:rsid w:val="00B64E88"/>
    <w:rsid w:val="00B6521F"/>
    <w:rsid w:val="00B655E7"/>
    <w:rsid w:val="00B65A83"/>
    <w:rsid w:val="00B67B05"/>
    <w:rsid w:val="00B71989"/>
    <w:rsid w:val="00B7445D"/>
    <w:rsid w:val="00B74901"/>
    <w:rsid w:val="00B7499C"/>
    <w:rsid w:val="00B759C5"/>
    <w:rsid w:val="00B778AC"/>
    <w:rsid w:val="00B77A91"/>
    <w:rsid w:val="00B805D6"/>
    <w:rsid w:val="00B80F00"/>
    <w:rsid w:val="00B84030"/>
    <w:rsid w:val="00B85CAE"/>
    <w:rsid w:val="00B908D2"/>
    <w:rsid w:val="00B91E83"/>
    <w:rsid w:val="00B92109"/>
    <w:rsid w:val="00B92486"/>
    <w:rsid w:val="00B9265A"/>
    <w:rsid w:val="00B94479"/>
    <w:rsid w:val="00B96766"/>
    <w:rsid w:val="00B968A0"/>
    <w:rsid w:val="00B9749F"/>
    <w:rsid w:val="00B97716"/>
    <w:rsid w:val="00BA07B8"/>
    <w:rsid w:val="00BA08CA"/>
    <w:rsid w:val="00BA237D"/>
    <w:rsid w:val="00BA2BFA"/>
    <w:rsid w:val="00BA36E9"/>
    <w:rsid w:val="00BA46DA"/>
    <w:rsid w:val="00BA51A6"/>
    <w:rsid w:val="00BA76F2"/>
    <w:rsid w:val="00BB0E4C"/>
    <w:rsid w:val="00BB2B3C"/>
    <w:rsid w:val="00BB3F63"/>
    <w:rsid w:val="00BB4787"/>
    <w:rsid w:val="00BB5EBC"/>
    <w:rsid w:val="00BB7E38"/>
    <w:rsid w:val="00BC1435"/>
    <w:rsid w:val="00BC1F23"/>
    <w:rsid w:val="00BC3763"/>
    <w:rsid w:val="00BC39E8"/>
    <w:rsid w:val="00BC44DA"/>
    <w:rsid w:val="00BC4504"/>
    <w:rsid w:val="00BC47D2"/>
    <w:rsid w:val="00BC49D7"/>
    <w:rsid w:val="00BC525D"/>
    <w:rsid w:val="00BC5CAE"/>
    <w:rsid w:val="00BC5CDB"/>
    <w:rsid w:val="00BC5F00"/>
    <w:rsid w:val="00BC78E3"/>
    <w:rsid w:val="00BD1089"/>
    <w:rsid w:val="00BD13E6"/>
    <w:rsid w:val="00BD1A0C"/>
    <w:rsid w:val="00BD1C55"/>
    <w:rsid w:val="00BD2EB5"/>
    <w:rsid w:val="00BD3325"/>
    <w:rsid w:val="00BD44BA"/>
    <w:rsid w:val="00BD45D5"/>
    <w:rsid w:val="00BD54D9"/>
    <w:rsid w:val="00BD5DF9"/>
    <w:rsid w:val="00BD642A"/>
    <w:rsid w:val="00BD6A19"/>
    <w:rsid w:val="00BD6A59"/>
    <w:rsid w:val="00BD6FEF"/>
    <w:rsid w:val="00BD74A9"/>
    <w:rsid w:val="00BD792E"/>
    <w:rsid w:val="00BE15C8"/>
    <w:rsid w:val="00BE192A"/>
    <w:rsid w:val="00BE1AD7"/>
    <w:rsid w:val="00BE21F7"/>
    <w:rsid w:val="00BE2505"/>
    <w:rsid w:val="00BE31FE"/>
    <w:rsid w:val="00BE397C"/>
    <w:rsid w:val="00BE3F98"/>
    <w:rsid w:val="00BE41F7"/>
    <w:rsid w:val="00BE4259"/>
    <w:rsid w:val="00BE5105"/>
    <w:rsid w:val="00BE6CBB"/>
    <w:rsid w:val="00BE7724"/>
    <w:rsid w:val="00BE7E27"/>
    <w:rsid w:val="00BF0D5B"/>
    <w:rsid w:val="00BF4083"/>
    <w:rsid w:val="00BF571B"/>
    <w:rsid w:val="00BF5E2B"/>
    <w:rsid w:val="00BF6F6E"/>
    <w:rsid w:val="00BF7567"/>
    <w:rsid w:val="00BF7C91"/>
    <w:rsid w:val="00C0069F"/>
    <w:rsid w:val="00C02AF8"/>
    <w:rsid w:val="00C04305"/>
    <w:rsid w:val="00C0470B"/>
    <w:rsid w:val="00C04BC6"/>
    <w:rsid w:val="00C059F7"/>
    <w:rsid w:val="00C05A60"/>
    <w:rsid w:val="00C05C59"/>
    <w:rsid w:val="00C068AA"/>
    <w:rsid w:val="00C06C3E"/>
    <w:rsid w:val="00C0718A"/>
    <w:rsid w:val="00C104E4"/>
    <w:rsid w:val="00C10833"/>
    <w:rsid w:val="00C116D5"/>
    <w:rsid w:val="00C1283D"/>
    <w:rsid w:val="00C12ABF"/>
    <w:rsid w:val="00C13C45"/>
    <w:rsid w:val="00C1593E"/>
    <w:rsid w:val="00C1620C"/>
    <w:rsid w:val="00C16425"/>
    <w:rsid w:val="00C17531"/>
    <w:rsid w:val="00C178C7"/>
    <w:rsid w:val="00C21A70"/>
    <w:rsid w:val="00C240D7"/>
    <w:rsid w:val="00C24244"/>
    <w:rsid w:val="00C244C0"/>
    <w:rsid w:val="00C30455"/>
    <w:rsid w:val="00C3200F"/>
    <w:rsid w:val="00C3221D"/>
    <w:rsid w:val="00C324AC"/>
    <w:rsid w:val="00C32928"/>
    <w:rsid w:val="00C33109"/>
    <w:rsid w:val="00C34680"/>
    <w:rsid w:val="00C35402"/>
    <w:rsid w:val="00C359A4"/>
    <w:rsid w:val="00C365E8"/>
    <w:rsid w:val="00C40300"/>
    <w:rsid w:val="00C4074D"/>
    <w:rsid w:val="00C40FE1"/>
    <w:rsid w:val="00C41E1A"/>
    <w:rsid w:val="00C421A0"/>
    <w:rsid w:val="00C42F58"/>
    <w:rsid w:val="00C432BD"/>
    <w:rsid w:val="00C43EEC"/>
    <w:rsid w:val="00C44DB1"/>
    <w:rsid w:val="00C45838"/>
    <w:rsid w:val="00C47FC1"/>
    <w:rsid w:val="00C50B1F"/>
    <w:rsid w:val="00C50F07"/>
    <w:rsid w:val="00C5176A"/>
    <w:rsid w:val="00C51A6A"/>
    <w:rsid w:val="00C52875"/>
    <w:rsid w:val="00C53421"/>
    <w:rsid w:val="00C53721"/>
    <w:rsid w:val="00C54901"/>
    <w:rsid w:val="00C5517F"/>
    <w:rsid w:val="00C555DE"/>
    <w:rsid w:val="00C5646B"/>
    <w:rsid w:val="00C57389"/>
    <w:rsid w:val="00C57E26"/>
    <w:rsid w:val="00C6056E"/>
    <w:rsid w:val="00C616CC"/>
    <w:rsid w:val="00C6257E"/>
    <w:rsid w:val="00C63EDF"/>
    <w:rsid w:val="00C648A1"/>
    <w:rsid w:val="00C64A89"/>
    <w:rsid w:val="00C67FC5"/>
    <w:rsid w:val="00C70F90"/>
    <w:rsid w:val="00C7237C"/>
    <w:rsid w:val="00C73534"/>
    <w:rsid w:val="00C73547"/>
    <w:rsid w:val="00C7399F"/>
    <w:rsid w:val="00C73CB0"/>
    <w:rsid w:val="00C75CE7"/>
    <w:rsid w:val="00C7759B"/>
    <w:rsid w:val="00C77DAC"/>
    <w:rsid w:val="00C77E82"/>
    <w:rsid w:val="00C8042A"/>
    <w:rsid w:val="00C810E5"/>
    <w:rsid w:val="00C81586"/>
    <w:rsid w:val="00C8543D"/>
    <w:rsid w:val="00C858B0"/>
    <w:rsid w:val="00C8796F"/>
    <w:rsid w:val="00C87D04"/>
    <w:rsid w:val="00C91379"/>
    <w:rsid w:val="00C913C8"/>
    <w:rsid w:val="00C91562"/>
    <w:rsid w:val="00C91ABF"/>
    <w:rsid w:val="00C91CF2"/>
    <w:rsid w:val="00C91FFD"/>
    <w:rsid w:val="00C92B84"/>
    <w:rsid w:val="00C93E9D"/>
    <w:rsid w:val="00C9545C"/>
    <w:rsid w:val="00C95ACF"/>
    <w:rsid w:val="00C96685"/>
    <w:rsid w:val="00C97D95"/>
    <w:rsid w:val="00CA031B"/>
    <w:rsid w:val="00CA0CAA"/>
    <w:rsid w:val="00CA0D8C"/>
    <w:rsid w:val="00CA1DC0"/>
    <w:rsid w:val="00CA23BF"/>
    <w:rsid w:val="00CA2FA8"/>
    <w:rsid w:val="00CA4473"/>
    <w:rsid w:val="00CA5511"/>
    <w:rsid w:val="00CA56DD"/>
    <w:rsid w:val="00CA6BD1"/>
    <w:rsid w:val="00CB1997"/>
    <w:rsid w:val="00CB1E5A"/>
    <w:rsid w:val="00CB29AF"/>
    <w:rsid w:val="00CB2D9D"/>
    <w:rsid w:val="00CB2E7A"/>
    <w:rsid w:val="00CB4C05"/>
    <w:rsid w:val="00CB55C5"/>
    <w:rsid w:val="00CB6F7E"/>
    <w:rsid w:val="00CC1D99"/>
    <w:rsid w:val="00CC23A8"/>
    <w:rsid w:val="00CC2DAD"/>
    <w:rsid w:val="00CC3051"/>
    <w:rsid w:val="00CC3A4E"/>
    <w:rsid w:val="00CC4D8F"/>
    <w:rsid w:val="00CC69FA"/>
    <w:rsid w:val="00CC7462"/>
    <w:rsid w:val="00CD039B"/>
    <w:rsid w:val="00CD05E5"/>
    <w:rsid w:val="00CD2018"/>
    <w:rsid w:val="00CD2DDB"/>
    <w:rsid w:val="00CD33FA"/>
    <w:rsid w:val="00CD3956"/>
    <w:rsid w:val="00CD5255"/>
    <w:rsid w:val="00CD53C8"/>
    <w:rsid w:val="00CD5AA5"/>
    <w:rsid w:val="00CD5B38"/>
    <w:rsid w:val="00CE050B"/>
    <w:rsid w:val="00CE1408"/>
    <w:rsid w:val="00CE20E0"/>
    <w:rsid w:val="00CE238B"/>
    <w:rsid w:val="00CE3A2A"/>
    <w:rsid w:val="00CE3B54"/>
    <w:rsid w:val="00CE3CBB"/>
    <w:rsid w:val="00CE47A9"/>
    <w:rsid w:val="00CE4BA4"/>
    <w:rsid w:val="00CE4E24"/>
    <w:rsid w:val="00CE4E38"/>
    <w:rsid w:val="00CE50AA"/>
    <w:rsid w:val="00CE712E"/>
    <w:rsid w:val="00CF05FE"/>
    <w:rsid w:val="00CF09D5"/>
    <w:rsid w:val="00CF1394"/>
    <w:rsid w:val="00CF18E7"/>
    <w:rsid w:val="00CF19B4"/>
    <w:rsid w:val="00CF22C4"/>
    <w:rsid w:val="00CF5304"/>
    <w:rsid w:val="00CF5690"/>
    <w:rsid w:val="00CF6952"/>
    <w:rsid w:val="00CF6B9A"/>
    <w:rsid w:val="00CF7774"/>
    <w:rsid w:val="00D0256A"/>
    <w:rsid w:val="00D02869"/>
    <w:rsid w:val="00D02AEB"/>
    <w:rsid w:val="00D03132"/>
    <w:rsid w:val="00D03A22"/>
    <w:rsid w:val="00D03E91"/>
    <w:rsid w:val="00D04A5D"/>
    <w:rsid w:val="00D0578F"/>
    <w:rsid w:val="00D05D26"/>
    <w:rsid w:val="00D05E2E"/>
    <w:rsid w:val="00D06443"/>
    <w:rsid w:val="00D067F0"/>
    <w:rsid w:val="00D10580"/>
    <w:rsid w:val="00D1079B"/>
    <w:rsid w:val="00D11023"/>
    <w:rsid w:val="00D11D6E"/>
    <w:rsid w:val="00D11EC5"/>
    <w:rsid w:val="00D1224E"/>
    <w:rsid w:val="00D143C8"/>
    <w:rsid w:val="00D14AB3"/>
    <w:rsid w:val="00D15293"/>
    <w:rsid w:val="00D156D1"/>
    <w:rsid w:val="00D175BE"/>
    <w:rsid w:val="00D20009"/>
    <w:rsid w:val="00D200CC"/>
    <w:rsid w:val="00D2010F"/>
    <w:rsid w:val="00D21181"/>
    <w:rsid w:val="00D2225A"/>
    <w:rsid w:val="00D22642"/>
    <w:rsid w:val="00D22D38"/>
    <w:rsid w:val="00D232C5"/>
    <w:rsid w:val="00D2334C"/>
    <w:rsid w:val="00D23763"/>
    <w:rsid w:val="00D23AC8"/>
    <w:rsid w:val="00D23BF6"/>
    <w:rsid w:val="00D23E4C"/>
    <w:rsid w:val="00D26BAA"/>
    <w:rsid w:val="00D27DAF"/>
    <w:rsid w:val="00D30F2A"/>
    <w:rsid w:val="00D31C64"/>
    <w:rsid w:val="00D32CE6"/>
    <w:rsid w:val="00D33991"/>
    <w:rsid w:val="00D34024"/>
    <w:rsid w:val="00D347AE"/>
    <w:rsid w:val="00D378D1"/>
    <w:rsid w:val="00D3793D"/>
    <w:rsid w:val="00D41FB3"/>
    <w:rsid w:val="00D4280D"/>
    <w:rsid w:val="00D42BF1"/>
    <w:rsid w:val="00D43B17"/>
    <w:rsid w:val="00D43D88"/>
    <w:rsid w:val="00D450DF"/>
    <w:rsid w:val="00D45245"/>
    <w:rsid w:val="00D46115"/>
    <w:rsid w:val="00D46AF1"/>
    <w:rsid w:val="00D46B74"/>
    <w:rsid w:val="00D4703D"/>
    <w:rsid w:val="00D5021F"/>
    <w:rsid w:val="00D50BA2"/>
    <w:rsid w:val="00D51E7A"/>
    <w:rsid w:val="00D53AAC"/>
    <w:rsid w:val="00D53EC7"/>
    <w:rsid w:val="00D54B27"/>
    <w:rsid w:val="00D55A06"/>
    <w:rsid w:val="00D5733A"/>
    <w:rsid w:val="00D576F6"/>
    <w:rsid w:val="00D57B71"/>
    <w:rsid w:val="00D60428"/>
    <w:rsid w:val="00D60435"/>
    <w:rsid w:val="00D607B9"/>
    <w:rsid w:val="00D66538"/>
    <w:rsid w:val="00D67D9A"/>
    <w:rsid w:val="00D731F4"/>
    <w:rsid w:val="00D73A18"/>
    <w:rsid w:val="00D74AF8"/>
    <w:rsid w:val="00D751E8"/>
    <w:rsid w:val="00D752B8"/>
    <w:rsid w:val="00D7547A"/>
    <w:rsid w:val="00D77381"/>
    <w:rsid w:val="00D80255"/>
    <w:rsid w:val="00D80817"/>
    <w:rsid w:val="00D80BBF"/>
    <w:rsid w:val="00D81A71"/>
    <w:rsid w:val="00D81F37"/>
    <w:rsid w:val="00D82379"/>
    <w:rsid w:val="00D83D96"/>
    <w:rsid w:val="00D84B31"/>
    <w:rsid w:val="00D84FA1"/>
    <w:rsid w:val="00D875C6"/>
    <w:rsid w:val="00D91601"/>
    <w:rsid w:val="00D923E0"/>
    <w:rsid w:val="00D9430B"/>
    <w:rsid w:val="00D951FD"/>
    <w:rsid w:val="00D952AF"/>
    <w:rsid w:val="00D957CC"/>
    <w:rsid w:val="00D95E54"/>
    <w:rsid w:val="00D971A3"/>
    <w:rsid w:val="00DA0162"/>
    <w:rsid w:val="00DA0721"/>
    <w:rsid w:val="00DA267C"/>
    <w:rsid w:val="00DA2984"/>
    <w:rsid w:val="00DA2B47"/>
    <w:rsid w:val="00DA2E6E"/>
    <w:rsid w:val="00DA3AD2"/>
    <w:rsid w:val="00DA4A64"/>
    <w:rsid w:val="00DA4BF1"/>
    <w:rsid w:val="00DA4E1B"/>
    <w:rsid w:val="00DA507E"/>
    <w:rsid w:val="00DA5204"/>
    <w:rsid w:val="00DA5455"/>
    <w:rsid w:val="00DA58B4"/>
    <w:rsid w:val="00DA5DBB"/>
    <w:rsid w:val="00DA6CBA"/>
    <w:rsid w:val="00DA70AA"/>
    <w:rsid w:val="00DA73F0"/>
    <w:rsid w:val="00DA7D94"/>
    <w:rsid w:val="00DB0B0D"/>
    <w:rsid w:val="00DB282F"/>
    <w:rsid w:val="00DB3088"/>
    <w:rsid w:val="00DB3930"/>
    <w:rsid w:val="00DB3C2D"/>
    <w:rsid w:val="00DB4617"/>
    <w:rsid w:val="00DB48F6"/>
    <w:rsid w:val="00DB4C1D"/>
    <w:rsid w:val="00DB4C2D"/>
    <w:rsid w:val="00DB56AB"/>
    <w:rsid w:val="00DB6D5C"/>
    <w:rsid w:val="00DB7CBB"/>
    <w:rsid w:val="00DC0382"/>
    <w:rsid w:val="00DC0ECC"/>
    <w:rsid w:val="00DC1454"/>
    <w:rsid w:val="00DC1F4C"/>
    <w:rsid w:val="00DC2306"/>
    <w:rsid w:val="00DC3507"/>
    <w:rsid w:val="00DC36E4"/>
    <w:rsid w:val="00DC3A40"/>
    <w:rsid w:val="00DC434A"/>
    <w:rsid w:val="00DC5323"/>
    <w:rsid w:val="00DC5870"/>
    <w:rsid w:val="00DC67B6"/>
    <w:rsid w:val="00DC728C"/>
    <w:rsid w:val="00DC7515"/>
    <w:rsid w:val="00DC79AF"/>
    <w:rsid w:val="00DD16B6"/>
    <w:rsid w:val="00DD19C3"/>
    <w:rsid w:val="00DD23A1"/>
    <w:rsid w:val="00DD2920"/>
    <w:rsid w:val="00DD3C70"/>
    <w:rsid w:val="00DD4BD6"/>
    <w:rsid w:val="00DD5CE4"/>
    <w:rsid w:val="00DD787A"/>
    <w:rsid w:val="00DE0863"/>
    <w:rsid w:val="00DE0B43"/>
    <w:rsid w:val="00DE1327"/>
    <w:rsid w:val="00DE17BC"/>
    <w:rsid w:val="00DE1E98"/>
    <w:rsid w:val="00DE1FE8"/>
    <w:rsid w:val="00DE2755"/>
    <w:rsid w:val="00DE278F"/>
    <w:rsid w:val="00DE2F1A"/>
    <w:rsid w:val="00DE341C"/>
    <w:rsid w:val="00DE3A47"/>
    <w:rsid w:val="00DE43FD"/>
    <w:rsid w:val="00DE5B48"/>
    <w:rsid w:val="00DE66DE"/>
    <w:rsid w:val="00DE68A5"/>
    <w:rsid w:val="00DE6E3B"/>
    <w:rsid w:val="00DE715C"/>
    <w:rsid w:val="00DE72AE"/>
    <w:rsid w:val="00DF0044"/>
    <w:rsid w:val="00DF062E"/>
    <w:rsid w:val="00DF116C"/>
    <w:rsid w:val="00DF1A5B"/>
    <w:rsid w:val="00DF1B0A"/>
    <w:rsid w:val="00DF25C9"/>
    <w:rsid w:val="00DF37A2"/>
    <w:rsid w:val="00DF4AFB"/>
    <w:rsid w:val="00DF6A00"/>
    <w:rsid w:val="00DF7299"/>
    <w:rsid w:val="00E020A0"/>
    <w:rsid w:val="00E03043"/>
    <w:rsid w:val="00E04EEA"/>
    <w:rsid w:val="00E05037"/>
    <w:rsid w:val="00E06C6D"/>
    <w:rsid w:val="00E072F7"/>
    <w:rsid w:val="00E07420"/>
    <w:rsid w:val="00E07D2C"/>
    <w:rsid w:val="00E10040"/>
    <w:rsid w:val="00E103E8"/>
    <w:rsid w:val="00E110F6"/>
    <w:rsid w:val="00E11868"/>
    <w:rsid w:val="00E118A4"/>
    <w:rsid w:val="00E11BCC"/>
    <w:rsid w:val="00E1301B"/>
    <w:rsid w:val="00E13DB5"/>
    <w:rsid w:val="00E13FD7"/>
    <w:rsid w:val="00E14926"/>
    <w:rsid w:val="00E14ACE"/>
    <w:rsid w:val="00E15205"/>
    <w:rsid w:val="00E156B3"/>
    <w:rsid w:val="00E16DD0"/>
    <w:rsid w:val="00E20034"/>
    <w:rsid w:val="00E20388"/>
    <w:rsid w:val="00E20668"/>
    <w:rsid w:val="00E20712"/>
    <w:rsid w:val="00E21E58"/>
    <w:rsid w:val="00E22C10"/>
    <w:rsid w:val="00E22E70"/>
    <w:rsid w:val="00E24031"/>
    <w:rsid w:val="00E24226"/>
    <w:rsid w:val="00E24F26"/>
    <w:rsid w:val="00E25E34"/>
    <w:rsid w:val="00E2604E"/>
    <w:rsid w:val="00E30B22"/>
    <w:rsid w:val="00E310BE"/>
    <w:rsid w:val="00E3247F"/>
    <w:rsid w:val="00E332C0"/>
    <w:rsid w:val="00E337AC"/>
    <w:rsid w:val="00E33868"/>
    <w:rsid w:val="00E3498B"/>
    <w:rsid w:val="00E36DD8"/>
    <w:rsid w:val="00E40DFD"/>
    <w:rsid w:val="00E40F81"/>
    <w:rsid w:val="00E41610"/>
    <w:rsid w:val="00E41D01"/>
    <w:rsid w:val="00E42B93"/>
    <w:rsid w:val="00E43508"/>
    <w:rsid w:val="00E43A65"/>
    <w:rsid w:val="00E43EE4"/>
    <w:rsid w:val="00E44A47"/>
    <w:rsid w:val="00E4532F"/>
    <w:rsid w:val="00E45587"/>
    <w:rsid w:val="00E456D8"/>
    <w:rsid w:val="00E4656B"/>
    <w:rsid w:val="00E46D75"/>
    <w:rsid w:val="00E47364"/>
    <w:rsid w:val="00E47F1B"/>
    <w:rsid w:val="00E5140E"/>
    <w:rsid w:val="00E51CFA"/>
    <w:rsid w:val="00E5255B"/>
    <w:rsid w:val="00E527D4"/>
    <w:rsid w:val="00E53388"/>
    <w:rsid w:val="00E53672"/>
    <w:rsid w:val="00E53F20"/>
    <w:rsid w:val="00E54D16"/>
    <w:rsid w:val="00E5572B"/>
    <w:rsid w:val="00E55D0C"/>
    <w:rsid w:val="00E5633A"/>
    <w:rsid w:val="00E56500"/>
    <w:rsid w:val="00E56722"/>
    <w:rsid w:val="00E56A3A"/>
    <w:rsid w:val="00E56B7E"/>
    <w:rsid w:val="00E56F74"/>
    <w:rsid w:val="00E56FA9"/>
    <w:rsid w:val="00E57E62"/>
    <w:rsid w:val="00E63298"/>
    <w:rsid w:val="00E63EFD"/>
    <w:rsid w:val="00E64D66"/>
    <w:rsid w:val="00E66483"/>
    <w:rsid w:val="00E6763A"/>
    <w:rsid w:val="00E6763E"/>
    <w:rsid w:val="00E676B8"/>
    <w:rsid w:val="00E72E6D"/>
    <w:rsid w:val="00E733AE"/>
    <w:rsid w:val="00E73832"/>
    <w:rsid w:val="00E741DA"/>
    <w:rsid w:val="00E7527E"/>
    <w:rsid w:val="00E76B77"/>
    <w:rsid w:val="00E77783"/>
    <w:rsid w:val="00E7780A"/>
    <w:rsid w:val="00E80EDE"/>
    <w:rsid w:val="00E826C6"/>
    <w:rsid w:val="00E8433E"/>
    <w:rsid w:val="00E846A3"/>
    <w:rsid w:val="00E85647"/>
    <w:rsid w:val="00E85CDA"/>
    <w:rsid w:val="00E8683F"/>
    <w:rsid w:val="00E87472"/>
    <w:rsid w:val="00E87D74"/>
    <w:rsid w:val="00E9100C"/>
    <w:rsid w:val="00E9248B"/>
    <w:rsid w:val="00E92516"/>
    <w:rsid w:val="00E926B3"/>
    <w:rsid w:val="00E9290D"/>
    <w:rsid w:val="00E92D11"/>
    <w:rsid w:val="00E93FEA"/>
    <w:rsid w:val="00E94B0D"/>
    <w:rsid w:val="00E953CA"/>
    <w:rsid w:val="00E96168"/>
    <w:rsid w:val="00E96BB2"/>
    <w:rsid w:val="00E97F4F"/>
    <w:rsid w:val="00EA0A10"/>
    <w:rsid w:val="00EA2517"/>
    <w:rsid w:val="00EA2ADE"/>
    <w:rsid w:val="00EA3DE8"/>
    <w:rsid w:val="00EA6888"/>
    <w:rsid w:val="00EA7FFE"/>
    <w:rsid w:val="00EB0468"/>
    <w:rsid w:val="00EB112F"/>
    <w:rsid w:val="00EB134E"/>
    <w:rsid w:val="00EB17E3"/>
    <w:rsid w:val="00EB19F2"/>
    <w:rsid w:val="00EB297E"/>
    <w:rsid w:val="00EB34D9"/>
    <w:rsid w:val="00EB47D3"/>
    <w:rsid w:val="00EB585C"/>
    <w:rsid w:val="00EB5EA7"/>
    <w:rsid w:val="00EB5EC0"/>
    <w:rsid w:val="00EC1F0A"/>
    <w:rsid w:val="00EC2249"/>
    <w:rsid w:val="00EC2525"/>
    <w:rsid w:val="00EC25DE"/>
    <w:rsid w:val="00EC5055"/>
    <w:rsid w:val="00EC5DA8"/>
    <w:rsid w:val="00EC61AA"/>
    <w:rsid w:val="00ED05E9"/>
    <w:rsid w:val="00ED06BA"/>
    <w:rsid w:val="00ED06EE"/>
    <w:rsid w:val="00ED09EB"/>
    <w:rsid w:val="00ED2CFE"/>
    <w:rsid w:val="00ED46DD"/>
    <w:rsid w:val="00ED4C55"/>
    <w:rsid w:val="00ED60F4"/>
    <w:rsid w:val="00ED7AC6"/>
    <w:rsid w:val="00EE0109"/>
    <w:rsid w:val="00EE03A3"/>
    <w:rsid w:val="00EE0DFB"/>
    <w:rsid w:val="00EE107F"/>
    <w:rsid w:val="00EE27C9"/>
    <w:rsid w:val="00EE322E"/>
    <w:rsid w:val="00EE33B5"/>
    <w:rsid w:val="00EE4673"/>
    <w:rsid w:val="00EE5F3E"/>
    <w:rsid w:val="00EE6243"/>
    <w:rsid w:val="00EF010A"/>
    <w:rsid w:val="00EF0B1D"/>
    <w:rsid w:val="00EF1146"/>
    <w:rsid w:val="00EF1311"/>
    <w:rsid w:val="00EF26A5"/>
    <w:rsid w:val="00EF459F"/>
    <w:rsid w:val="00EF6E92"/>
    <w:rsid w:val="00EF70F8"/>
    <w:rsid w:val="00EF72B6"/>
    <w:rsid w:val="00EF7843"/>
    <w:rsid w:val="00F01776"/>
    <w:rsid w:val="00F025D1"/>
    <w:rsid w:val="00F03459"/>
    <w:rsid w:val="00F0349E"/>
    <w:rsid w:val="00F0666F"/>
    <w:rsid w:val="00F06883"/>
    <w:rsid w:val="00F06C44"/>
    <w:rsid w:val="00F0776D"/>
    <w:rsid w:val="00F07C9D"/>
    <w:rsid w:val="00F07ED4"/>
    <w:rsid w:val="00F10EFF"/>
    <w:rsid w:val="00F11085"/>
    <w:rsid w:val="00F11B2C"/>
    <w:rsid w:val="00F11E6A"/>
    <w:rsid w:val="00F124B9"/>
    <w:rsid w:val="00F12840"/>
    <w:rsid w:val="00F1302C"/>
    <w:rsid w:val="00F13C7A"/>
    <w:rsid w:val="00F14801"/>
    <w:rsid w:val="00F172A5"/>
    <w:rsid w:val="00F172C4"/>
    <w:rsid w:val="00F172F8"/>
    <w:rsid w:val="00F20BA3"/>
    <w:rsid w:val="00F218FB"/>
    <w:rsid w:val="00F22447"/>
    <w:rsid w:val="00F226F4"/>
    <w:rsid w:val="00F230B4"/>
    <w:rsid w:val="00F23944"/>
    <w:rsid w:val="00F23E95"/>
    <w:rsid w:val="00F24449"/>
    <w:rsid w:val="00F2482C"/>
    <w:rsid w:val="00F2518F"/>
    <w:rsid w:val="00F259DC"/>
    <w:rsid w:val="00F25D17"/>
    <w:rsid w:val="00F260FA"/>
    <w:rsid w:val="00F26354"/>
    <w:rsid w:val="00F263E6"/>
    <w:rsid w:val="00F26DA6"/>
    <w:rsid w:val="00F26E5B"/>
    <w:rsid w:val="00F276E9"/>
    <w:rsid w:val="00F30E16"/>
    <w:rsid w:val="00F31305"/>
    <w:rsid w:val="00F32A5F"/>
    <w:rsid w:val="00F3320F"/>
    <w:rsid w:val="00F3330A"/>
    <w:rsid w:val="00F337CD"/>
    <w:rsid w:val="00F338A4"/>
    <w:rsid w:val="00F34A7F"/>
    <w:rsid w:val="00F3548A"/>
    <w:rsid w:val="00F354C7"/>
    <w:rsid w:val="00F3650E"/>
    <w:rsid w:val="00F36963"/>
    <w:rsid w:val="00F378FC"/>
    <w:rsid w:val="00F37C31"/>
    <w:rsid w:val="00F40A72"/>
    <w:rsid w:val="00F40D7A"/>
    <w:rsid w:val="00F419C6"/>
    <w:rsid w:val="00F430BB"/>
    <w:rsid w:val="00F43660"/>
    <w:rsid w:val="00F43995"/>
    <w:rsid w:val="00F44128"/>
    <w:rsid w:val="00F47D8F"/>
    <w:rsid w:val="00F507DD"/>
    <w:rsid w:val="00F5269E"/>
    <w:rsid w:val="00F53096"/>
    <w:rsid w:val="00F54095"/>
    <w:rsid w:val="00F5470C"/>
    <w:rsid w:val="00F561C6"/>
    <w:rsid w:val="00F57083"/>
    <w:rsid w:val="00F57DDB"/>
    <w:rsid w:val="00F601AE"/>
    <w:rsid w:val="00F60268"/>
    <w:rsid w:val="00F61C95"/>
    <w:rsid w:val="00F625B2"/>
    <w:rsid w:val="00F64BED"/>
    <w:rsid w:val="00F64CBA"/>
    <w:rsid w:val="00F64D3A"/>
    <w:rsid w:val="00F65161"/>
    <w:rsid w:val="00F66417"/>
    <w:rsid w:val="00F66D37"/>
    <w:rsid w:val="00F67971"/>
    <w:rsid w:val="00F71E28"/>
    <w:rsid w:val="00F72859"/>
    <w:rsid w:val="00F73842"/>
    <w:rsid w:val="00F740F9"/>
    <w:rsid w:val="00F7529B"/>
    <w:rsid w:val="00F75DD3"/>
    <w:rsid w:val="00F76098"/>
    <w:rsid w:val="00F76EF5"/>
    <w:rsid w:val="00F80C46"/>
    <w:rsid w:val="00F810D0"/>
    <w:rsid w:val="00F8126B"/>
    <w:rsid w:val="00F81C02"/>
    <w:rsid w:val="00F83E6D"/>
    <w:rsid w:val="00F84F76"/>
    <w:rsid w:val="00F854B9"/>
    <w:rsid w:val="00F868C2"/>
    <w:rsid w:val="00F8701A"/>
    <w:rsid w:val="00F91D9E"/>
    <w:rsid w:val="00F93366"/>
    <w:rsid w:val="00F93554"/>
    <w:rsid w:val="00F93C87"/>
    <w:rsid w:val="00F94FFC"/>
    <w:rsid w:val="00F95895"/>
    <w:rsid w:val="00F95B8E"/>
    <w:rsid w:val="00F9716E"/>
    <w:rsid w:val="00F971DC"/>
    <w:rsid w:val="00F971DE"/>
    <w:rsid w:val="00FA0032"/>
    <w:rsid w:val="00FA0D3D"/>
    <w:rsid w:val="00FA0F3B"/>
    <w:rsid w:val="00FA2360"/>
    <w:rsid w:val="00FA48DC"/>
    <w:rsid w:val="00FA4E94"/>
    <w:rsid w:val="00FA526F"/>
    <w:rsid w:val="00FA5500"/>
    <w:rsid w:val="00FA5DAB"/>
    <w:rsid w:val="00FA6984"/>
    <w:rsid w:val="00FA6C14"/>
    <w:rsid w:val="00FA6F7F"/>
    <w:rsid w:val="00FA70A5"/>
    <w:rsid w:val="00FA7AD0"/>
    <w:rsid w:val="00FA7D67"/>
    <w:rsid w:val="00FA7FE4"/>
    <w:rsid w:val="00FB03EF"/>
    <w:rsid w:val="00FB10A0"/>
    <w:rsid w:val="00FB3157"/>
    <w:rsid w:val="00FB3629"/>
    <w:rsid w:val="00FB3D7D"/>
    <w:rsid w:val="00FB46FD"/>
    <w:rsid w:val="00FB522F"/>
    <w:rsid w:val="00FB6294"/>
    <w:rsid w:val="00FB6520"/>
    <w:rsid w:val="00FB680A"/>
    <w:rsid w:val="00FB6EC9"/>
    <w:rsid w:val="00FB7197"/>
    <w:rsid w:val="00FB7262"/>
    <w:rsid w:val="00FB75BB"/>
    <w:rsid w:val="00FB7ADD"/>
    <w:rsid w:val="00FC0809"/>
    <w:rsid w:val="00FC09C4"/>
    <w:rsid w:val="00FC15F9"/>
    <w:rsid w:val="00FC1B9E"/>
    <w:rsid w:val="00FC2CE0"/>
    <w:rsid w:val="00FC2CE3"/>
    <w:rsid w:val="00FC2F78"/>
    <w:rsid w:val="00FC4532"/>
    <w:rsid w:val="00FC5260"/>
    <w:rsid w:val="00FC6236"/>
    <w:rsid w:val="00FC65AD"/>
    <w:rsid w:val="00FD1203"/>
    <w:rsid w:val="00FD12CD"/>
    <w:rsid w:val="00FD1B2C"/>
    <w:rsid w:val="00FD2ACB"/>
    <w:rsid w:val="00FD317D"/>
    <w:rsid w:val="00FD3AAB"/>
    <w:rsid w:val="00FD4ADB"/>
    <w:rsid w:val="00FD4FC3"/>
    <w:rsid w:val="00FD57C5"/>
    <w:rsid w:val="00FD5EB5"/>
    <w:rsid w:val="00FD6493"/>
    <w:rsid w:val="00FD6A81"/>
    <w:rsid w:val="00FD6EE9"/>
    <w:rsid w:val="00FD7599"/>
    <w:rsid w:val="00FD7812"/>
    <w:rsid w:val="00FD793F"/>
    <w:rsid w:val="00FD7C6C"/>
    <w:rsid w:val="00FE0AFC"/>
    <w:rsid w:val="00FE1E08"/>
    <w:rsid w:val="00FE282E"/>
    <w:rsid w:val="00FE34FF"/>
    <w:rsid w:val="00FE372D"/>
    <w:rsid w:val="00FE3BE6"/>
    <w:rsid w:val="00FE510A"/>
    <w:rsid w:val="00FE63CF"/>
    <w:rsid w:val="00FE72E0"/>
    <w:rsid w:val="00FE76CA"/>
    <w:rsid w:val="00FE7BDD"/>
    <w:rsid w:val="00FF1D69"/>
    <w:rsid w:val="00FF2E6F"/>
    <w:rsid w:val="00FF3F02"/>
    <w:rsid w:val="00FF53B6"/>
    <w:rsid w:val="00FF6771"/>
    <w:rsid w:val="00FF6EE7"/>
    <w:rsid w:val="0EC8F0AB"/>
    <w:rsid w:val="4BCFC558"/>
    <w:rsid w:val="55FA9223"/>
    <w:rsid w:val="7DF6C1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33E"/>
    <w:pPr>
      <w:keepNext/>
      <w:keepLines/>
      <w:jc w:val="center"/>
      <w:outlineLvl w:val="0"/>
    </w:pPr>
    <w:rPr>
      <w:rFonts w:eastAsiaTheme="majorEastAsia" w:cstheme="majorBidi"/>
      <w:b/>
      <w:smallCaps/>
      <w:szCs w:val="32"/>
    </w:rPr>
  </w:style>
  <w:style w:type="paragraph" w:styleId="Heading2">
    <w:name w:val="heading 2"/>
    <w:basedOn w:val="Normal"/>
    <w:next w:val="Normal"/>
    <w:link w:val="Heading2Char"/>
    <w:uiPriority w:val="9"/>
    <w:unhideWhenUsed/>
    <w:qFormat/>
    <w:rsid w:val="005F6321"/>
    <w:pPr>
      <w:keepNext/>
      <w:keepLines/>
      <w:numPr>
        <w:numId w:val="8"/>
      </w:numPr>
      <w:spacing w:before="120" w:after="120" w:line="240" w:lineRule="auto"/>
      <w:ind w:right="-720"/>
      <w:outlineLvl w:val="1"/>
    </w:pPr>
    <w:rPr>
      <w:rFonts w:eastAsiaTheme="majorEastAsia" w:cstheme="majorBidi"/>
      <w:b/>
    </w:rPr>
  </w:style>
  <w:style w:type="paragraph" w:styleId="Heading3">
    <w:name w:val="heading 3"/>
    <w:basedOn w:val="Normal"/>
    <w:next w:val="Normal"/>
    <w:link w:val="Heading3Char"/>
    <w:uiPriority w:val="9"/>
    <w:unhideWhenUsed/>
    <w:qFormat/>
    <w:rsid w:val="00BD74A9"/>
    <w:pPr>
      <w:keepNext/>
      <w:keepLines/>
      <w:numPr>
        <w:numId w:val="9"/>
      </w:numPr>
      <w:spacing w:before="120" w:after="12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D74A9"/>
    <w:pPr>
      <w:keepNext/>
      <w:keepLines/>
      <w:numPr>
        <w:numId w:val="10"/>
      </w:numPr>
      <w:spacing w:before="120" w:after="120" w:line="240" w:lineRule="auto"/>
      <w:outlineLvl w:val="3"/>
    </w:pPr>
    <w:rPr>
      <w:rFonts w:eastAsiaTheme="majorEastAsia" w:cstheme="majorBidi"/>
      <w:b/>
      <w:iCs/>
    </w:rPr>
  </w:style>
  <w:style w:type="paragraph" w:styleId="Heading5">
    <w:name w:val="heading 5"/>
    <w:basedOn w:val="Heading4"/>
    <w:next w:val="Normal"/>
    <w:link w:val="Heading5Char"/>
    <w:uiPriority w:val="9"/>
    <w:unhideWhenUsed/>
    <w:qFormat/>
    <w:rsid w:val="00CD5AA5"/>
    <w:pPr>
      <w:numPr>
        <w:numId w:val="1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EC1"/>
    <w:pPr>
      <w:contextualSpacing/>
      <w:jc w:val="center"/>
    </w:pPr>
    <w:rPr>
      <w:rFonts w:eastAsiaTheme="majorEastAsia" w:cstheme="majorBidi"/>
      <w:b/>
      <w:smallCaps/>
      <w:spacing w:val="-10"/>
      <w:kern w:val="28"/>
      <w:szCs w:val="56"/>
    </w:rPr>
  </w:style>
  <w:style w:type="character" w:customStyle="1" w:styleId="TitleChar">
    <w:name w:val="Title Char"/>
    <w:basedOn w:val="DefaultParagraphFont"/>
    <w:link w:val="Title"/>
    <w:uiPriority w:val="10"/>
    <w:rsid w:val="008D3EC1"/>
    <w:rPr>
      <w:rFonts w:eastAsiaTheme="majorEastAsia" w:cstheme="majorBidi"/>
      <w:b/>
      <w:smallCaps/>
      <w:spacing w:val="-10"/>
      <w:kern w:val="28"/>
      <w:szCs w:val="56"/>
    </w:rPr>
  </w:style>
  <w:style w:type="character" w:customStyle="1" w:styleId="Heading1Char">
    <w:name w:val="Heading 1 Char"/>
    <w:basedOn w:val="DefaultParagraphFont"/>
    <w:link w:val="Heading1"/>
    <w:uiPriority w:val="9"/>
    <w:rsid w:val="00E8433E"/>
    <w:rPr>
      <w:rFonts w:eastAsiaTheme="majorEastAsia" w:cstheme="majorBidi"/>
      <w:b/>
      <w:smallCaps/>
      <w:szCs w:val="32"/>
    </w:rPr>
  </w:style>
  <w:style w:type="character" w:customStyle="1" w:styleId="Heading3Char">
    <w:name w:val="Heading 3 Char"/>
    <w:basedOn w:val="DefaultParagraphFont"/>
    <w:link w:val="Heading3"/>
    <w:uiPriority w:val="9"/>
    <w:rsid w:val="00046358"/>
    <w:rPr>
      <w:rFonts w:eastAsiaTheme="majorEastAsia" w:cstheme="majorBidi"/>
      <w:b/>
      <w:szCs w:val="24"/>
    </w:rPr>
  </w:style>
  <w:style w:type="character" w:customStyle="1" w:styleId="Heading4Char">
    <w:name w:val="Heading 4 Char"/>
    <w:basedOn w:val="DefaultParagraphFont"/>
    <w:link w:val="Heading4"/>
    <w:uiPriority w:val="9"/>
    <w:rsid w:val="00046358"/>
    <w:rPr>
      <w:rFonts w:eastAsiaTheme="majorEastAsia" w:cstheme="majorBidi"/>
      <w:b/>
      <w:iCs/>
    </w:rPr>
  </w:style>
  <w:style w:type="character" w:customStyle="1" w:styleId="Heading2Char">
    <w:name w:val="Heading 2 Char"/>
    <w:basedOn w:val="DefaultParagraphFont"/>
    <w:link w:val="Heading2"/>
    <w:uiPriority w:val="9"/>
    <w:rsid w:val="005F6321"/>
    <w:rPr>
      <w:rFonts w:eastAsiaTheme="majorEastAsia" w:cstheme="majorBidi"/>
      <w:b/>
    </w:rPr>
  </w:style>
  <w:style w:type="paragraph" w:styleId="NoSpacing">
    <w:name w:val="No Spacing"/>
    <w:uiPriority w:val="1"/>
    <w:qFormat/>
    <w:rsid w:val="00C06C3E"/>
    <w:pPr>
      <w:spacing w:line="240" w:lineRule="auto"/>
    </w:pPr>
  </w:style>
  <w:style w:type="paragraph" w:styleId="FootnoteText">
    <w:name w:val="footnote text"/>
    <w:basedOn w:val="Normal"/>
    <w:link w:val="FootnoteTextChar"/>
    <w:uiPriority w:val="99"/>
    <w:unhideWhenUsed/>
    <w:rsid w:val="00720B9E"/>
    <w:pPr>
      <w:spacing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720B9E"/>
    <w:rPr>
      <w:rFonts w:ascii="Times New Roman" w:eastAsia="Times New Roman" w:hAnsi="Times New Roman" w:cs="Times New Roman"/>
      <w:kern w:val="0"/>
      <w:sz w:val="20"/>
      <w:szCs w:val="20"/>
      <w14:ligatures w14:val="none"/>
    </w:rPr>
  </w:style>
  <w:style w:type="character" w:styleId="FootnoteReference">
    <w:name w:val="footnote reference"/>
    <w:uiPriority w:val="99"/>
    <w:semiHidden/>
    <w:unhideWhenUsed/>
    <w:rsid w:val="00720B9E"/>
    <w:rPr>
      <w:vertAlign w:val="superscript"/>
    </w:rPr>
  </w:style>
  <w:style w:type="character" w:customStyle="1" w:styleId="Heading5Char">
    <w:name w:val="Heading 5 Char"/>
    <w:basedOn w:val="DefaultParagraphFont"/>
    <w:link w:val="Heading5"/>
    <w:uiPriority w:val="9"/>
    <w:rsid w:val="00E14ACE"/>
    <w:rPr>
      <w:rFonts w:eastAsiaTheme="majorEastAsia" w:cstheme="majorBidi"/>
      <w:b/>
      <w:iCs/>
    </w:rPr>
  </w:style>
  <w:style w:type="paragraph" w:styleId="Header">
    <w:name w:val="header"/>
    <w:basedOn w:val="Normal"/>
    <w:link w:val="HeaderChar"/>
    <w:uiPriority w:val="99"/>
    <w:unhideWhenUsed/>
    <w:rsid w:val="00942A40"/>
    <w:pPr>
      <w:tabs>
        <w:tab w:val="center" w:pos="4680"/>
        <w:tab w:val="right" w:pos="9360"/>
      </w:tabs>
      <w:spacing w:line="240" w:lineRule="auto"/>
    </w:pPr>
  </w:style>
  <w:style w:type="character" w:customStyle="1" w:styleId="HeaderChar">
    <w:name w:val="Header Char"/>
    <w:basedOn w:val="DefaultParagraphFont"/>
    <w:link w:val="Header"/>
    <w:uiPriority w:val="99"/>
    <w:rsid w:val="00942A40"/>
  </w:style>
  <w:style w:type="paragraph" w:styleId="Footer">
    <w:name w:val="footer"/>
    <w:basedOn w:val="Normal"/>
    <w:link w:val="FooterChar"/>
    <w:uiPriority w:val="99"/>
    <w:unhideWhenUsed/>
    <w:rsid w:val="00942A40"/>
    <w:pPr>
      <w:tabs>
        <w:tab w:val="center" w:pos="4680"/>
        <w:tab w:val="right" w:pos="9360"/>
      </w:tabs>
      <w:spacing w:line="240" w:lineRule="auto"/>
    </w:pPr>
  </w:style>
  <w:style w:type="character" w:customStyle="1" w:styleId="FooterChar">
    <w:name w:val="Footer Char"/>
    <w:basedOn w:val="DefaultParagraphFont"/>
    <w:link w:val="Footer"/>
    <w:uiPriority w:val="99"/>
    <w:rsid w:val="00942A40"/>
  </w:style>
  <w:style w:type="character" w:styleId="CommentReference">
    <w:name w:val="annotation reference"/>
    <w:basedOn w:val="DefaultParagraphFont"/>
    <w:uiPriority w:val="99"/>
    <w:semiHidden/>
    <w:unhideWhenUsed/>
    <w:rsid w:val="000D333A"/>
    <w:rPr>
      <w:sz w:val="16"/>
      <w:szCs w:val="16"/>
    </w:rPr>
  </w:style>
  <w:style w:type="paragraph" w:styleId="CommentText">
    <w:name w:val="annotation text"/>
    <w:basedOn w:val="Normal"/>
    <w:link w:val="CommentTextChar"/>
    <w:uiPriority w:val="99"/>
    <w:unhideWhenUsed/>
    <w:rsid w:val="000D333A"/>
    <w:pPr>
      <w:spacing w:line="240" w:lineRule="auto"/>
    </w:pPr>
    <w:rPr>
      <w:sz w:val="20"/>
      <w:szCs w:val="20"/>
    </w:rPr>
  </w:style>
  <w:style w:type="character" w:customStyle="1" w:styleId="CommentTextChar">
    <w:name w:val="Comment Text Char"/>
    <w:basedOn w:val="DefaultParagraphFont"/>
    <w:link w:val="CommentText"/>
    <w:uiPriority w:val="99"/>
    <w:rsid w:val="000D333A"/>
    <w:rPr>
      <w:sz w:val="20"/>
      <w:szCs w:val="20"/>
    </w:rPr>
  </w:style>
  <w:style w:type="paragraph" w:styleId="CommentSubject">
    <w:name w:val="annotation subject"/>
    <w:basedOn w:val="CommentText"/>
    <w:next w:val="CommentText"/>
    <w:link w:val="CommentSubjectChar"/>
    <w:uiPriority w:val="99"/>
    <w:semiHidden/>
    <w:unhideWhenUsed/>
    <w:rsid w:val="000D333A"/>
    <w:rPr>
      <w:b/>
      <w:bCs/>
    </w:rPr>
  </w:style>
  <w:style w:type="character" w:customStyle="1" w:styleId="CommentSubjectChar">
    <w:name w:val="Comment Subject Char"/>
    <w:basedOn w:val="CommentTextChar"/>
    <w:link w:val="CommentSubject"/>
    <w:uiPriority w:val="99"/>
    <w:semiHidden/>
    <w:rsid w:val="000D333A"/>
    <w:rPr>
      <w:b/>
      <w:bCs/>
      <w:sz w:val="20"/>
      <w:szCs w:val="20"/>
    </w:rPr>
  </w:style>
  <w:style w:type="paragraph" w:styleId="Revision">
    <w:name w:val="Revision"/>
    <w:hidden/>
    <w:uiPriority w:val="99"/>
    <w:semiHidden/>
    <w:rsid w:val="00676068"/>
    <w:pPr>
      <w:spacing w:line="240" w:lineRule="auto"/>
    </w:pPr>
  </w:style>
  <w:style w:type="character" w:styleId="Hyperlink">
    <w:name w:val="Hyperlink"/>
    <w:basedOn w:val="DefaultParagraphFont"/>
    <w:uiPriority w:val="99"/>
    <w:semiHidden/>
    <w:unhideWhenUsed/>
    <w:rsid w:val="002E3B6C"/>
    <w:rPr>
      <w:color w:val="0000FF"/>
      <w:u w:val="single"/>
    </w:rPr>
  </w:style>
  <w:style w:type="character" w:styleId="Emphasis">
    <w:name w:val="Emphasis"/>
    <w:basedOn w:val="DefaultParagraphFont"/>
    <w:uiPriority w:val="20"/>
    <w:qFormat/>
    <w:rsid w:val="002E3B6C"/>
    <w:rPr>
      <w:i/>
      <w:iCs/>
    </w:rPr>
  </w:style>
  <w:style w:type="paragraph" w:styleId="NormalWeb">
    <w:name w:val="Normal (Web)"/>
    <w:basedOn w:val="Normal"/>
    <w:uiPriority w:val="99"/>
    <w:semiHidden/>
    <w:unhideWhenUsed/>
    <w:rsid w:val="002E5FFA"/>
    <w:rPr>
      <w:rFonts w:ascii="Times New Roman" w:hAnsi="Times New Roman" w:cs="Times New Roman"/>
      <w:sz w:val="24"/>
      <w:szCs w:val="24"/>
    </w:rPr>
  </w:style>
  <w:style w:type="table" w:styleId="TableGrid">
    <w:name w:val="Table Grid"/>
    <w:basedOn w:val="TableNormal"/>
    <w:uiPriority w:val="39"/>
    <w:rsid w:val="00C421A0"/>
    <w:pPr>
      <w:spacing w:line="240" w:lineRule="auto"/>
    </w:pPr>
    <w:rPr>
      <w:rFonts w:ascii="Times New Roman" w:hAnsi="Times New Roman"/>
      <w:kern w:val="0"/>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0832-E82D-4923-9BAE-9E23B5B1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2024-06-20T20:34:11Z</dcterms:created>
  <dcterms:modified xsi:type="dcterms:W3CDTF">2024-06-20T20:34:11Z</dcterms:modified>
</cp:coreProperties>
</file>