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1D14" w14:textId="3BA7F296" w:rsidR="008D0DBC" w:rsidRDefault="008D0DBC" w:rsidP="008D0DBC">
      <w:pPr>
        <w:spacing w:line="240" w:lineRule="auto"/>
        <w:rPr>
          <w:sz w:val="20"/>
        </w:rPr>
      </w:pPr>
      <w:r>
        <w:rPr>
          <w:sz w:val="20"/>
        </w:rPr>
        <w:t xml:space="preserve">Filed </w:t>
      </w:r>
      <w:proofErr w:type="gramStart"/>
      <w:r w:rsidR="00F82FB3">
        <w:rPr>
          <w:sz w:val="20"/>
        </w:rPr>
        <w:t>6/5/24</w:t>
      </w:r>
      <w:proofErr w:type="gramEnd"/>
    </w:p>
    <w:p w14:paraId="207BC1B2" w14:textId="22B13F89" w:rsidR="008D0DBC" w:rsidRPr="008D0DBC" w:rsidRDefault="008D0DBC" w:rsidP="008D0DBC">
      <w:pPr>
        <w:spacing w:line="240" w:lineRule="auto"/>
        <w:jc w:val="center"/>
      </w:pPr>
      <w:r>
        <w:rPr>
          <w:b/>
        </w:rPr>
        <w:t>CERTIFIED FOR PARTIAL PUBLICATION</w:t>
      </w:r>
      <w:r>
        <w:rPr>
          <w:rStyle w:val="FootnoteReference"/>
          <w:b/>
        </w:rPr>
        <w:footnoteReference w:customMarkFollows="1" w:id="2"/>
        <w:t>*</w:t>
      </w:r>
    </w:p>
    <w:p w14:paraId="2E673E54" w14:textId="77777777" w:rsidR="008D0DBC" w:rsidRPr="008D0DBC" w:rsidRDefault="008D0DBC" w:rsidP="008D0DBC">
      <w:pPr>
        <w:spacing w:line="240" w:lineRule="auto"/>
        <w:rPr>
          <w:sz w:val="20"/>
        </w:rPr>
      </w:pPr>
    </w:p>
    <w:p w14:paraId="1A8A921E" w14:textId="3D9769E4" w:rsidR="00CF2387" w:rsidRDefault="0073287A" w:rsidP="0073287A">
      <w:pPr>
        <w:spacing w:line="240" w:lineRule="auto"/>
        <w:jc w:val="center"/>
      </w:pPr>
      <w:r>
        <w:t>IN THE COURT OF APPEAL OF THE STATE OF CALIFORNIA</w:t>
      </w:r>
    </w:p>
    <w:p w14:paraId="40CFC1BC" w14:textId="77777777" w:rsidR="0073287A" w:rsidRDefault="0073287A" w:rsidP="0073287A">
      <w:pPr>
        <w:spacing w:line="240" w:lineRule="auto"/>
        <w:jc w:val="center"/>
      </w:pPr>
    </w:p>
    <w:p w14:paraId="54011FA3" w14:textId="4A278196" w:rsidR="0073287A" w:rsidRDefault="0073287A" w:rsidP="0073287A">
      <w:pPr>
        <w:spacing w:line="240" w:lineRule="auto"/>
        <w:jc w:val="center"/>
      </w:pPr>
      <w:r>
        <w:t>FIRST APPELLATE DISTRICT</w:t>
      </w:r>
    </w:p>
    <w:p w14:paraId="59298A38" w14:textId="77777777" w:rsidR="0073287A" w:rsidRDefault="0073287A" w:rsidP="0073287A">
      <w:pPr>
        <w:spacing w:line="240" w:lineRule="auto"/>
        <w:jc w:val="center"/>
      </w:pPr>
    </w:p>
    <w:p w14:paraId="3EE8956E" w14:textId="7BB98389" w:rsidR="0073287A" w:rsidRDefault="0073287A" w:rsidP="0073287A">
      <w:pPr>
        <w:spacing w:line="240" w:lineRule="auto"/>
        <w:jc w:val="center"/>
      </w:pPr>
      <w:r>
        <w:t>DIVISION FOUR</w:t>
      </w:r>
    </w:p>
    <w:p w14:paraId="45DD7E3E" w14:textId="77777777" w:rsidR="0073287A" w:rsidRDefault="0073287A" w:rsidP="0073287A">
      <w:pPr>
        <w:spacing w:line="240" w:lineRule="auto"/>
        <w:jc w:val="center"/>
      </w:pPr>
    </w:p>
    <w:p w14:paraId="2079CBCB" w14:textId="77777777" w:rsidR="0073287A" w:rsidRDefault="0073287A" w:rsidP="0073287A">
      <w:pPr>
        <w:spacing w:line="240" w:lineRule="auto"/>
        <w:jc w:val="center"/>
      </w:pPr>
    </w:p>
    <w:tbl>
      <w:tblPr>
        <w:tblW w:w="0" w:type="auto"/>
        <w:tblLayout w:type="fixed"/>
        <w:tblLook w:val="0000" w:firstRow="0" w:lastRow="0" w:firstColumn="0" w:lastColumn="0" w:noHBand="0" w:noVBand="0"/>
      </w:tblPr>
      <w:tblGrid>
        <w:gridCol w:w="4770"/>
        <w:gridCol w:w="4590"/>
      </w:tblGrid>
      <w:tr w:rsidR="0073287A" w14:paraId="07FABD4A" w14:textId="77777777" w:rsidTr="003B02CA">
        <w:tc>
          <w:tcPr>
            <w:tcW w:w="4770" w:type="dxa"/>
            <w:tcBorders>
              <w:bottom w:val="single" w:sz="4" w:space="0" w:color="auto"/>
              <w:right w:val="single" w:sz="4" w:space="0" w:color="auto"/>
            </w:tcBorders>
            <w:shd w:val="clear" w:color="auto" w:fill="auto"/>
          </w:tcPr>
          <w:p w14:paraId="6CB857C6" w14:textId="77777777" w:rsidR="0073287A" w:rsidRDefault="0073287A" w:rsidP="0073287A">
            <w:pPr>
              <w:spacing w:after="120" w:line="240" w:lineRule="auto"/>
            </w:pPr>
            <w:r>
              <w:t>THE PEOPLE,</w:t>
            </w:r>
          </w:p>
          <w:p w14:paraId="29A685D2" w14:textId="77777777" w:rsidR="0073287A" w:rsidRDefault="0073287A" w:rsidP="0073287A">
            <w:pPr>
              <w:spacing w:after="120" w:line="240" w:lineRule="auto"/>
            </w:pPr>
            <w:r>
              <w:tab/>
              <w:t>Plaintiff and Respondent,</w:t>
            </w:r>
          </w:p>
          <w:p w14:paraId="51F1E433" w14:textId="77777777" w:rsidR="0073287A" w:rsidRDefault="0073287A" w:rsidP="0073287A">
            <w:pPr>
              <w:spacing w:after="120" w:line="240" w:lineRule="auto"/>
            </w:pPr>
            <w:r>
              <w:t>v.</w:t>
            </w:r>
          </w:p>
          <w:p w14:paraId="49CA5C45" w14:textId="5A351C96" w:rsidR="0073287A" w:rsidRDefault="0073287A" w:rsidP="0073287A">
            <w:pPr>
              <w:spacing w:after="120" w:line="240" w:lineRule="auto"/>
            </w:pPr>
            <w:r>
              <w:t xml:space="preserve">JOSEPH </w:t>
            </w:r>
            <w:r w:rsidR="00995FE9">
              <w:t xml:space="preserve">LEE </w:t>
            </w:r>
            <w:r>
              <w:t>FISH,</w:t>
            </w:r>
          </w:p>
          <w:p w14:paraId="4E02417C" w14:textId="73429AF4" w:rsidR="0073287A" w:rsidRDefault="0073287A" w:rsidP="00886A4D">
            <w:pPr>
              <w:spacing w:after="240" w:line="240" w:lineRule="auto"/>
            </w:pPr>
            <w:r>
              <w:tab/>
              <w:t>Defendant and Appellant.</w:t>
            </w:r>
          </w:p>
        </w:tc>
        <w:tc>
          <w:tcPr>
            <w:tcW w:w="4590" w:type="dxa"/>
            <w:tcBorders>
              <w:left w:val="single" w:sz="4" w:space="0" w:color="auto"/>
            </w:tcBorders>
            <w:shd w:val="clear" w:color="auto" w:fill="auto"/>
          </w:tcPr>
          <w:p w14:paraId="68EA45DF" w14:textId="77777777" w:rsidR="0073287A" w:rsidRDefault="0073287A" w:rsidP="0073287A">
            <w:pPr>
              <w:spacing w:line="240" w:lineRule="auto"/>
            </w:pPr>
          </w:p>
          <w:p w14:paraId="2B81E083" w14:textId="77777777" w:rsidR="0073287A" w:rsidRDefault="0073287A" w:rsidP="0073287A">
            <w:pPr>
              <w:spacing w:line="240" w:lineRule="auto"/>
            </w:pPr>
          </w:p>
          <w:p w14:paraId="47817E54" w14:textId="77777777" w:rsidR="0073287A" w:rsidRDefault="0073287A" w:rsidP="0073287A">
            <w:pPr>
              <w:spacing w:line="240" w:lineRule="auto"/>
            </w:pPr>
            <w:r>
              <w:t xml:space="preserve">      A168087, A168088</w:t>
            </w:r>
          </w:p>
          <w:p w14:paraId="7917A4D5" w14:textId="77777777" w:rsidR="0073287A" w:rsidRDefault="0073287A" w:rsidP="0073287A">
            <w:pPr>
              <w:spacing w:line="240" w:lineRule="auto"/>
            </w:pPr>
          </w:p>
          <w:p w14:paraId="0CA46435" w14:textId="2BBC7C06" w:rsidR="0073287A" w:rsidRDefault="0073287A" w:rsidP="0073287A">
            <w:pPr>
              <w:spacing w:line="240" w:lineRule="auto"/>
            </w:pPr>
            <w:r>
              <w:t xml:space="preserve">      (Lake County</w:t>
            </w:r>
            <w:r w:rsidR="00886A4D">
              <w:t xml:space="preserve"> Super Ct.</w:t>
            </w:r>
          </w:p>
          <w:p w14:paraId="3000FE02" w14:textId="4C56FE07" w:rsidR="0073287A" w:rsidRDefault="0073287A" w:rsidP="0073287A">
            <w:pPr>
              <w:spacing w:line="240" w:lineRule="auto"/>
            </w:pPr>
            <w:r>
              <w:t xml:space="preserve">      Nos. CR961859, CR965203)</w:t>
            </w:r>
          </w:p>
          <w:p w14:paraId="4797072A" w14:textId="19A4EE3E" w:rsidR="0073287A" w:rsidRDefault="0073287A" w:rsidP="0073287A">
            <w:pPr>
              <w:spacing w:line="240" w:lineRule="auto"/>
            </w:pPr>
          </w:p>
        </w:tc>
      </w:tr>
    </w:tbl>
    <w:p w14:paraId="2379DBA9" w14:textId="182AC6A6" w:rsidR="00B17EF3" w:rsidRDefault="0060757C" w:rsidP="00886A4D">
      <w:pPr>
        <w:spacing w:before="240" w:line="360" w:lineRule="auto"/>
      </w:pPr>
      <w:r>
        <w:tab/>
      </w:r>
      <w:r w:rsidR="00CE74BC">
        <w:t xml:space="preserve">Joseph Fish pled guilty to one </w:t>
      </w:r>
      <w:r w:rsidR="00EC7000">
        <w:t xml:space="preserve">felony </w:t>
      </w:r>
      <w:r w:rsidR="00CE74BC">
        <w:t>count of making a criminal threat</w:t>
      </w:r>
      <w:r w:rsidR="00A14981">
        <w:t xml:space="preserve"> (Pen. Code,</w:t>
      </w:r>
      <w:r w:rsidR="00A14981">
        <w:rPr>
          <w:rStyle w:val="FootnoteReference"/>
        </w:rPr>
        <w:footnoteReference w:id="3"/>
      </w:r>
      <w:r w:rsidR="00A14981">
        <w:t xml:space="preserve"> § 422)</w:t>
      </w:r>
      <w:r w:rsidR="00F34FEA">
        <w:t xml:space="preserve"> and</w:t>
      </w:r>
      <w:r w:rsidR="00B31400">
        <w:t xml:space="preserve"> </w:t>
      </w:r>
      <w:r w:rsidR="00CE74BC">
        <w:t>was</w:t>
      </w:r>
      <w:r w:rsidR="00F34FEA">
        <w:t xml:space="preserve"> released on his own recognizance pending sentencing</w:t>
      </w:r>
      <w:r w:rsidR="00150DEA">
        <w:t>.</w:t>
      </w:r>
      <w:r w:rsidR="007E09C1">
        <w:t xml:space="preserve"> </w:t>
      </w:r>
      <w:r w:rsidR="00150DEA">
        <w:t xml:space="preserve"> </w:t>
      </w:r>
      <w:r w:rsidR="00B61739">
        <w:t>Before he co</w:t>
      </w:r>
      <w:r w:rsidR="00CB29F3">
        <w:t>u</w:t>
      </w:r>
      <w:r w:rsidR="00B61739">
        <w:t>ld be sentenced, however,</w:t>
      </w:r>
      <w:r w:rsidR="00150DEA">
        <w:t xml:space="preserve"> </w:t>
      </w:r>
      <w:r w:rsidR="00EB55A2">
        <w:t xml:space="preserve">Fish was charged in a separate case </w:t>
      </w:r>
      <w:r w:rsidR="00E121E8">
        <w:t xml:space="preserve">and convicted by a jury of </w:t>
      </w:r>
      <w:r w:rsidR="00EC7000">
        <w:t xml:space="preserve">misdemeanor </w:t>
      </w:r>
      <w:r w:rsidR="00E121E8" w:rsidRPr="00510A97">
        <w:t>domestic battery (§</w:t>
      </w:r>
      <w:r w:rsidR="00005364">
        <w:t> </w:t>
      </w:r>
      <w:r w:rsidR="00E121E8" w:rsidRPr="00510A97">
        <w:t>243, subd.</w:t>
      </w:r>
      <w:r w:rsidR="00005364">
        <w:t> </w:t>
      </w:r>
      <w:r w:rsidR="00E121E8" w:rsidRPr="00510A97">
        <w:t>(e)(1))</w:t>
      </w:r>
      <w:r w:rsidR="00E121E8">
        <w:t xml:space="preserve">, </w:t>
      </w:r>
      <w:r w:rsidR="00EC7000">
        <w:t xml:space="preserve">felony </w:t>
      </w:r>
      <w:r w:rsidR="00E121E8" w:rsidRPr="00510A97">
        <w:t>assault with a deadly weapon (§</w:t>
      </w:r>
      <w:r w:rsidR="00005364">
        <w:t> </w:t>
      </w:r>
      <w:r w:rsidR="00E121E8" w:rsidRPr="00510A97">
        <w:t>245, subd.</w:t>
      </w:r>
      <w:r w:rsidR="00005364">
        <w:t> </w:t>
      </w:r>
      <w:r w:rsidR="00E121E8" w:rsidRPr="00510A97">
        <w:t>(a)(1)</w:t>
      </w:r>
      <w:r w:rsidR="00E121E8">
        <w:t xml:space="preserve">), and </w:t>
      </w:r>
      <w:r w:rsidR="00EC7000">
        <w:t xml:space="preserve">felony </w:t>
      </w:r>
      <w:r w:rsidR="00E121E8" w:rsidRPr="00197455">
        <w:t>dissuading a witness (§</w:t>
      </w:r>
      <w:r w:rsidR="00005364">
        <w:t> </w:t>
      </w:r>
      <w:r w:rsidR="00E121E8" w:rsidRPr="00197455">
        <w:t>136.1, subd.</w:t>
      </w:r>
      <w:r w:rsidR="00005364">
        <w:t> </w:t>
      </w:r>
      <w:r w:rsidR="00E121E8" w:rsidRPr="00197455">
        <w:t>(c)(1)</w:t>
      </w:r>
      <w:r w:rsidR="00E121E8">
        <w:t>).</w:t>
      </w:r>
      <w:r w:rsidR="00B61739">
        <w:t xml:space="preserve"> </w:t>
      </w:r>
      <w:r w:rsidR="00E121E8">
        <w:t xml:space="preserve"> </w:t>
      </w:r>
      <w:r w:rsidR="009B1469">
        <w:t xml:space="preserve">In a consolidated hearing, Fish was sentenced to </w:t>
      </w:r>
      <w:r w:rsidR="00AB6148">
        <w:t>a total term of 10</w:t>
      </w:r>
      <w:r w:rsidR="00500CF8">
        <w:t> </w:t>
      </w:r>
      <w:r w:rsidR="00AB6148">
        <w:t>years, 8</w:t>
      </w:r>
      <w:r w:rsidR="00500CF8">
        <w:t> </w:t>
      </w:r>
      <w:r w:rsidR="00AB6148">
        <w:t>months in prison.</w:t>
      </w:r>
      <w:r w:rsidR="00CB29F3">
        <w:t xml:space="preserve"> </w:t>
      </w:r>
      <w:r w:rsidR="00744B3F">
        <w:t xml:space="preserve"> </w:t>
      </w:r>
      <w:r w:rsidR="00A4433C">
        <w:t>The court</w:t>
      </w:r>
      <w:r w:rsidR="00EC7000">
        <w:t xml:space="preserve"> also</w:t>
      </w:r>
      <w:r w:rsidR="00A4433C">
        <w:t xml:space="preserve"> imposed </w:t>
      </w:r>
      <w:r w:rsidR="00E02FAE">
        <w:t xml:space="preserve">the </w:t>
      </w:r>
      <w:r w:rsidR="00A4433C">
        <w:t xml:space="preserve">minimum mandatory statutory fines and assessments. </w:t>
      </w:r>
      <w:r w:rsidR="00EF5987">
        <w:t xml:space="preserve"> </w:t>
      </w:r>
      <w:r w:rsidR="0040437D">
        <w:t>Fish’s appeals in both cases have been consolidated for all purposes.</w:t>
      </w:r>
    </w:p>
    <w:p w14:paraId="4D00D4B5" w14:textId="044A5C00" w:rsidR="0073287A" w:rsidRDefault="00B17EF3" w:rsidP="0073287A">
      <w:pPr>
        <w:spacing w:line="360" w:lineRule="auto"/>
      </w:pPr>
      <w:r>
        <w:tab/>
        <w:t>In Appeal No.</w:t>
      </w:r>
      <w:r w:rsidR="00500CF8">
        <w:t> </w:t>
      </w:r>
      <w:r>
        <w:t xml:space="preserve">A168088, Fish contends </w:t>
      </w:r>
      <w:r w:rsidR="00DF20C6">
        <w:t xml:space="preserve">that </w:t>
      </w:r>
      <w:r w:rsidR="004062A9">
        <w:t xml:space="preserve">his convictions for </w:t>
      </w:r>
      <w:r w:rsidR="00352711">
        <w:t>domestic battery</w:t>
      </w:r>
      <w:r w:rsidR="00A627E2">
        <w:t xml:space="preserve"> and assault with a deadly weapon should be reversed because </w:t>
      </w:r>
      <w:r>
        <w:t xml:space="preserve">the </w:t>
      </w:r>
      <w:r w:rsidR="000961CB">
        <w:lastRenderedPageBreak/>
        <w:t>trial court</w:t>
      </w:r>
      <w:r w:rsidR="00A627E2">
        <w:t xml:space="preserve"> erred in instructing the jury.</w:t>
      </w:r>
      <w:r w:rsidR="00AC5C33">
        <w:t xml:space="preserve"> </w:t>
      </w:r>
      <w:r w:rsidR="00FD301C">
        <w:t xml:space="preserve"> </w:t>
      </w:r>
      <w:r w:rsidR="00AC5C33">
        <w:t xml:space="preserve">He also contends </w:t>
      </w:r>
      <w:r w:rsidR="00DF20C6">
        <w:t>that</w:t>
      </w:r>
      <w:r w:rsidR="00AC5C33">
        <w:t xml:space="preserve"> </w:t>
      </w:r>
      <w:r w:rsidR="009875FE">
        <w:t>his sentence on those counts violated section</w:t>
      </w:r>
      <w:r w:rsidR="001F66FF">
        <w:t> </w:t>
      </w:r>
      <w:r w:rsidR="00AC5C33">
        <w:t>654</w:t>
      </w:r>
      <w:r w:rsidR="009875FE">
        <w:t xml:space="preserve">’s prohibition </w:t>
      </w:r>
      <w:r w:rsidR="00377159">
        <w:t>against multiple punishment and that the f</w:t>
      </w:r>
      <w:r w:rsidR="00425C85">
        <w:t>ines</w:t>
      </w:r>
      <w:r w:rsidR="00377159">
        <w:t xml:space="preserve"> and </w:t>
      </w:r>
      <w:r w:rsidR="00A4433C">
        <w:t>assessments</w:t>
      </w:r>
      <w:r w:rsidR="00377159">
        <w:t xml:space="preserve"> imposed by the trial court should be vacated </w:t>
      </w:r>
      <w:r w:rsidR="00E7120F">
        <w:t xml:space="preserve">because the trial court </w:t>
      </w:r>
      <w:r w:rsidR="002C393E">
        <w:t xml:space="preserve">abused its discretion in finding he </w:t>
      </w:r>
      <w:r w:rsidR="00447EC9">
        <w:t xml:space="preserve">is able to pay them. </w:t>
      </w:r>
      <w:r w:rsidR="00AC5C33">
        <w:t xml:space="preserve"> </w:t>
      </w:r>
      <w:r w:rsidR="0060757C">
        <w:t xml:space="preserve">In </w:t>
      </w:r>
      <w:r w:rsidR="000028CE">
        <w:t>Appeal No.</w:t>
      </w:r>
      <w:r w:rsidR="001F66FF">
        <w:t> </w:t>
      </w:r>
      <w:r w:rsidR="00696990">
        <w:t>A</w:t>
      </w:r>
      <w:r w:rsidR="00764DD6">
        <w:t xml:space="preserve">168087, </w:t>
      </w:r>
      <w:r w:rsidR="00221456">
        <w:t xml:space="preserve">Fish </w:t>
      </w:r>
      <w:r w:rsidR="00447EC9">
        <w:t xml:space="preserve">reasserts his </w:t>
      </w:r>
      <w:r w:rsidR="008F464F">
        <w:t>argument</w:t>
      </w:r>
      <w:r w:rsidR="002F5AF4">
        <w:t xml:space="preserve"> regard</w:t>
      </w:r>
      <w:r w:rsidR="00221456">
        <w:t>ing</w:t>
      </w:r>
      <w:r w:rsidR="002F5AF4">
        <w:t xml:space="preserve"> his ability to pay the fines</w:t>
      </w:r>
      <w:r w:rsidR="00425C85">
        <w:t xml:space="preserve"> and assessments</w:t>
      </w:r>
      <w:r w:rsidR="002F5AF4">
        <w:t xml:space="preserve"> imposed in connection with his conviction for </w:t>
      </w:r>
      <w:r w:rsidR="00A41456">
        <w:t>making a criminal threat</w:t>
      </w:r>
      <w:r w:rsidR="00DA5D1A">
        <w:t>.</w:t>
      </w:r>
      <w:r w:rsidR="00A41456">
        <w:t xml:space="preserve"> </w:t>
      </w:r>
      <w:r w:rsidR="00E02FAE">
        <w:t xml:space="preserve"> </w:t>
      </w:r>
      <w:r w:rsidR="00984A02">
        <w:t>Finding</w:t>
      </w:r>
      <w:r w:rsidR="00425C85">
        <w:t xml:space="preserve"> no </w:t>
      </w:r>
      <w:r w:rsidR="00453D27">
        <w:t xml:space="preserve">prejudicial </w:t>
      </w:r>
      <w:r w:rsidR="00425C85">
        <w:t>error</w:t>
      </w:r>
      <w:r w:rsidR="00984A02">
        <w:t xml:space="preserve">, we </w:t>
      </w:r>
      <w:r w:rsidR="00425C85">
        <w:t>affirm</w:t>
      </w:r>
      <w:r w:rsidR="00A274D3">
        <w:t xml:space="preserve">, but in the published portion of the opinion, we </w:t>
      </w:r>
      <w:r w:rsidR="00FB2673">
        <w:t>explain</w:t>
      </w:r>
      <w:r w:rsidR="00A274D3">
        <w:t xml:space="preserve"> </w:t>
      </w:r>
      <w:r w:rsidR="007C5ACF">
        <w:t>that</w:t>
      </w:r>
      <w:r w:rsidR="00E969BB">
        <w:t>,</w:t>
      </w:r>
      <w:r w:rsidR="003E3275">
        <w:t xml:space="preserve"> when</w:t>
      </w:r>
      <w:r w:rsidR="007C5ACF">
        <w:t xml:space="preserve"> </w:t>
      </w:r>
      <w:proofErr w:type="gramStart"/>
      <w:r w:rsidR="007C5ACF">
        <w:t>a</w:t>
      </w:r>
      <w:proofErr w:type="gramEnd"/>
      <w:r w:rsidR="007C5ACF">
        <w:t xml:space="preserve"> unanimity instruction </w:t>
      </w:r>
      <w:r w:rsidR="003E3275">
        <w:t>is warranted for</w:t>
      </w:r>
      <w:r w:rsidR="00576EB3">
        <w:t xml:space="preserve"> the charged offense</w:t>
      </w:r>
      <w:r w:rsidR="003E3275">
        <w:t>, it</w:t>
      </w:r>
      <w:r w:rsidR="00576EB3">
        <w:t xml:space="preserve"> should also be expressly extended to any lesser included offense </w:t>
      </w:r>
      <w:r w:rsidR="007633ED">
        <w:t xml:space="preserve">for which guilt may </w:t>
      </w:r>
      <w:r w:rsidR="00671DDE">
        <w:t xml:space="preserve">similarly </w:t>
      </w:r>
      <w:r w:rsidR="007633ED">
        <w:t>rest on more than one act</w:t>
      </w:r>
      <w:r w:rsidR="00425C85">
        <w:t>.</w:t>
      </w:r>
    </w:p>
    <w:p w14:paraId="05836144" w14:textId="2A413573" w:rsidR="00A52BA5" w:rsidRDefault="00A52BA5" w:rsidP="002B2B82">
      <w:pPr>
        <w:keepNext/>
        <w:spacing w:line="360" w:lineRule="auto"/>
        <w:jc w:val="center"/>
        <w:rPr>
          <w:b/>
          <w:bCs/>
          <w:smallCaps/>
        </w:rPr>
      </w:pPr>
      <w:r w:rsidRPr="00A52BA5">
        <w:rPr>
          <w:b/>
          <w:bCs/>
          <w:smallCaps/>
        </w:rPr>
        <w:t>Background</w:t>
      </w:r>
    </w:p>
    <w:p w14:paraId="7C83A4B1" w14:textId="7E5EF837" w:rsidR="00D74B6D" w:rsidRDefault="001A4A70" w:rsidP="00F42089">
      <w:pPr>
        <w:spacing w:line="360" w:lineRule="auto"/>
      </w:pPr>
      <w:r>
        <w:tab/>
      </w:r>
      <w:r w:rsidR="00C36DAC">
        <w:t>I</w:t>
      </w:r>
      <w:r>
        <w:t>n October</w:t>
      </w:r>
      <w:r w:rsidR="001F66FF">
        <w:t> </w:t>
      </w:r>
      <w:r>
        <w:t xml:space="preserve">2021, Fish was charged with </w:t>
      </w:r>
      <w:r w:rsidR="007B046E">
        <w:t>(1)</w:t>
      </w:r>
      <w:r w:rsidR="001F66FF">
        <w:t> </w:t>
      </w:r>
      <w:r>
        <w:t>making criminal threats (§</w:t>
      </w:r>
      <w:r w:rsidR="001F66FF">
        <w:t> </w:t>
      </w:r>
      <w:r>
        <w:t>422</w:t>
      </w:r>
      <w:r w:rsidR="005F078B">
        <w:t>, subd. (a)</w:t>
      </w:r>
      <w:r>
        <w:t xml:space="preserve">); </w:t>
      </w:r>
      <w:r w:rsidR="007B046E">
        <w:t>(2)</w:t>
      </w:r>
      <w:r w:rsidR="001F66FF">
        <w:t> </w:t>
      </w:r>
      <w:r>
        <w:t>brandishing a weapon (§</w:t>
      </w:r>
      <w:r w:rsidR="001F66FF">
        <w:t> </w:t>
      </w:r>
      <w:r>
        <w:t>417, subd.</w:t>
      </w:r>
      <w:r w:rsidR="001F66FF">
        <w:t> </w:t>
      </w:r>
      <w:r>
        <w:t xml:space="preserve">(a)(1)); and </w:t>
      </w:r>
      <w:r w:rsidR="009A4A35">
        <w:t>(3)</w:t>
      </w:r>
      <w:r w:rsidR="001F66FF">
        <w:t> </w:t>
      </w:r>
      <w:r>
        <w:t xml:space="preserve">possession of drug paraphernalia (Health &amp; </w:t>
      </w:r>
      <w:proofErr w:type="spellStart"/>
      <w:r>
        <w:t>Saf</w:t>
      </w:r>
      <w:proofErr w:type="spellEnd"/>
      <w:r>
        <w:t>. Code, §</w:t>
      </w:r>
      <w:r w:rsidR="001F66FF">
        <w:t> </w:t>
      </w:r>
      <w:r>
        <w:t xml:space="preserve">11364).  </w:t>
      </w:r>
      <w:r w:rsidR="00EE2D98">
        <w:t xml:space="preserve">In </w:t>
      </w:r>
      <w:r w:rsidR="00AA308F">
        <w:t>December</w:t>
      </w:r>
      <w:r w:rsidR="001F66FF">
        <w:t> </w:t>
      </w:r>
      <w:r w:rsidR="00AA308F">
        <w:t xml:space="preserve">2021, </w:t>
      </w:r>
      <w:r w:rsidR="00EE2D98">
        <w:t>a</w:t>
      </w:r>
      <w:r w:rsidR="00D74B6D">
        <w:t>s part of a negotiated disposition</w:t>
      </w:r>
      <w:r w:rsidR="00C52E9E">
        <w:t xml:space="preserve">, Fish </w:t>
      </w:r>
      <w:r w:rsidR="00D74B6D">
        <w:t xml:space="preserve">pled guilty to one count of making a criminal threat </w:t>
      </w:r>
      <w:r w:rsidR="00B459F0">
        <w:t xml:space="preserve">in exchange for </w:t>
      </w:r>
      <w:r w:rsidR="00F67E58">
        <w:t>a grant of</w:t>
      </w:r>
      <w:r w:rsidR="00C52E9E">
        <w:t xml:space="preserve"> probation</w:t>
      </w:r>
      <w:r w:rsidR="00D74B6D">
        <w:t xml:space="preserve">. </w:t>
      </w:r>
      <w:r w:rsidR="00F42089">
        <w:t xml:space="preserve"> </w:t>
      </w:r>
      <w:r w:rsidR="005A4BE1">
        <w:t xml:space="preserve">Fish was advised that </w:t>
      </w:r>
      <w:r w:rsidR="00B42CE2">
        <w:t xml:space="preserve">his conviction </w:t>
      </w:r>
      <w:r w:rsidR="00006CA5">
        <w:t xml:space="preserve">would qualify as a “strike” </w:t>
      </w:r>
      <w:r w:rsidR="00A57A83">
        <w:t xml:space="preserve">for purposes of sentencing on any future felony conviction.  </w:t>
      </w:r>
      <w:r w:rsidR="00F42089">
        <w:t>The parties stipulated as a factual basis for the plea that on September</w:t>
      </w:r>
      <w:r w:rsidR="001F66FF">
        <w:t> </w:t>
      </w:r>
      <w:r w:rsidR="00F42089">
        <w:t xml:space="preserve">25, 2021, Fish told </w:t>
      </w:r>
      <w:r w:rsidR="00B62759">
        <w:t>the victim</w:t>
      </w:r>
      <w:r w:rsidR="00F42089">
        <w:t xml:space="preserve"> that he was going to bash her head in with a rock and kill her. </w:t>
      </w:r>
    </w:p>
    <w:p w14:paraId="20BCDE5B" w14:textId="6A3C6D7F" w:rsidR="00D74B6D" w:rsidRDefault="00A52BA5" w:rsidP="00D74B6D">
      <w:pPr>
        <w:spacing w:line="360" w:lineRule="auto"/>
      </w:pPr>
      <w:r>
        <w:tab/>
      </w:r>
      <w:r w:rsidR="00C36DAC">
        <w:t>In March</w:t>
      </w:r>
      <w:r w:rsidR="001F66FF">
        <w:t> </w:t>
      </w:r>
      <w:r w:rsidR="00C36DAC">
        <w:t>2022,</w:t>
      </w:r>
      <w:r w:rsidR="00AB4CAA">
        <w:t xml:space="preserve"> </w:t>
      </w:r>
      <w:r w:rsidR="00F02F42">
        <w:t xml:space="preserve">Fish was arrested and charged </w:t>
      </w:r>
      <w:r w:rsidR="009F7378">
        <w:t>with several offenses committed against a different victim.</w:t>
      </w:r>
      <w:r w:rsidR="00720848">
        <w:t xml:space="preserve"> </w:t>
      </w:r>
      <w:r w:rsidR="00C36DAC">
        <w:t xml:space="preserve"> </w:t>
      </w:r>
      <w:r w:rsidR="0030259F">
        <w:t xml:space="preserve">As subsequently amended, </w:t>
      </w:r>
      <w:r w:rsidR="00D74B6D">
        <w:t xml:space="preserve">Fish </w:t>
      </w:r>
      <w:r w:rsidR="00C52E9E">
        <w:t xml:space="preserve">was charged </w:t>
      </w:r>
      <w:r w:rsidR="00707820">
        <w:t>by in</w:t>
      </w:r>
      <w:r w:rsidR="00B04514">
        <w:t>formation</w:t>
      </w:r>
      <w:r w:rsidR="00EE2D98">
        <w:t xml:space="preserve"> </w:t>
      </w:r>
      <w:r w:rsidR="005D7D79">
        <w:t>in count</w:t>
      </w:r>
      <w:r w:rsidR="008D51CF">
        <w:t> </w:t>
      </w:r>
      <w:r w:rsidR="005D7D79">
        <w:t>1</w:t>
      </w:r>
      <w:r w:rsidR="00EE2D98">
        <w:t xml:space="preserve"> </w:t>
      </w:r>
      <w:r w:rsidR="00D74B6D">
        <w:t>with corporal injury to a cohabitant (§</w:t>
      </w:r>
      <w:r w:rsidR="008D51CF">
        <w:t> </w:t>
      </w:r>
      <w:r w:rsidR="00D74B6D">
        <w:t>273.5, subd.</w:t>
      </w:r>
      <w:r w:rsidR="008D51CF">
        <w:t> </w:t>
      </w:r>
      <w:r w:rsidR="00D74B6D">
        <w:t xml:space="preserve">(a)); </w:t>
      </w:r>
      <w:r w:rsidR="005D7D79">
        <w:t xml:space="preserve">in </w:t>
      </w:r>
      <w:r w:rsidR="00D74B6D">
        <w:t>count</w:t>
      </w:r>
      <w:r w:rsidR="008D51CF">
        <w:t> </w:t>
      </w:r>
      <w:r w:rsidR="005D7D79">
        <w:t>2</w:t>
      </w:r>
      <w:r w:rsidR="002739F1">
        <w:t>, with</w:t>
      </w:r>
      <w:r w:rsidR="00D74B6D">
        <w:t xml:space="preserve"> assault with a deadly weapon (§</w:t>
      </w:r>
      <w:r w:rsidR="008D51CF">
        <w:t> </w:t>
      </w:r>
      <w:r w:rsidR="00D74B6D">
        <w:t>245, subd.</w:t>
      </w:r>
      <w:r w:rsidR="008D51CF">
        <w:t> </w:t>
      </w:r>
      <w:r w:rsidR="00D74B6D">
        <w:t xml:space="preserve">(a)(1)); </w:t>
      </w:r>
      <w:r w:rsidR="002739F1">
        <w:t>in count</w:t>
      </w:r>
      <w:r w:rsidR="008D51CF">
        <w:t> </w:t>
      </w:r>
      <w:r w:rsidR="002739F1">
        <w:t>3, with</w:t>
      </w:r>
      <w:r w:rsidR="00D74B6D">
        <w:t xml:space="preserve"> assault with </w:t>
      </w:r>
      <w:r w:rsidR="00EA256E">
        <w:t>force</w:t>
      </w:r>
      <w:r w:rsidR="00276838">
        <w:t xml:space="preserve"> likely to produce great bodily injury</w:t>
      </w:r>
      <w:r w:rsidR="00D74B6D">
        <w:t xml:space="preserve"> (§</w:t>
      </w:r>
      <w:r w:rsidR="008D51CF">
        <w:t> </w:t>
      </w:r>
      <w:r w:rsidR="00D74B6D">
        <w:t>245, subd.</w:t>
      </w:r>
      <w:r w:rsidR="008D51CF">
        <w:t> </w:t>
      </w:r>
      <w:r w:rsidR="00D74B6D">
        <w:t xml:space="preserve">(a)(4)); and </w:t>
      </w:r>
      <w:r w:rsidR="002739F1">
        <w:t>in count</w:t>
      </w:r>
      <w:r w:rsidR="008D51CF">
        <w:t> </w:t>
      </w:r>
      <w:r w:rsidR="002739F1">
        <w:t xml:space="preserve">4, with </w:t>
      </w:r>
      <w:r w:rsidR="00D74B6D">
        <w:t>dissuading a witness (§</w:t>
      </w:r>
      <w:r w:rsidR="008D51CF">
        <w:t> </w:t>
      </w:r>
      <w:r w:rsidR="00D74B6D">
        <w:t xml:space="preserve">136.1, </w:t>
      </w:r>
      <w:r w:rsidR="00D74B6D">
        <w:lastRenderedPageBreak/>
        <w:t>subd.</w:t>
      </w:r>
      <w:r w:rsidR="008D51CF">
        <w:t> </w:t>
      </w:r>
      <w:r w:rsidR="00D74B6D">
        <w:t>(c)(1)).</w:t>
      </w:r>
      <w:r w:rsidR="0030259F">
        <w:t xml:space="preserve"> </w:t>
      </w:r>
      <w:r w:rsidR="00D74B6D">
        <w:t xml:space="preserve"> The information further alleged that </w:t>
      </w:r>
      <w:r w:rsidR="001B144A">
        <w:t>Fish</w:t>
      </w:r>
      <w:r w:rsidR="00821F93">
        <w:t>’s December</w:t>
      </w:r>
      <w:r w:rsidR="008D51CF">
        <w:t> </w:t>
      </w:r>
      <w:r w:rsidR="00821F93">
        <w:t xml:space="preserve">2021 </w:t>
      </w:r>
      <w:r w:rsidR="004E327F">
        <w:t>conviction for</w:t>
      </w:r>
      <w:r w:rsidR="00821F93">
        <w:t xml:space="preserve"> making a criminal threat</w:t>
      </w:r>
      <w:r w:rsidR="001B144A">
        <w:t xml:space="preserve"> </w:t>
      </w:r>
      <w:r w:rsidR="00821F93">
        <w:t xml:space="preserve">constituted </w:t>
      </w:r>
      <w:r w:rsidR="00B23138">
        <w:t xml:space="preserve">a serious felony for purposes of sentencing under the </w:t>
      </w:r>
      <w:r w:rsidR="004F25AA">
        <w:t>“</w:t>
      </w:r>
      <w:r w:rsidR="00B23138">
        <w:t>Three Strikes</w:t>
      </w:r>
      <w:r w:rsidR="004739DE">
        <w:t>”</w:t>
      </w:r>
      <w:r w:rsidR="00B23138">
        <w:t xml:space="preserve"> law</w:t>
      </w:r>
      <w:r w:rsidR="00D74B6D">
        <w:t xml:space="preserve"> (§</w:t>
      </w:r>
      <w:r w:rsidR="008D51CF">
        <w:t> </w:t>
      </w:r>
      <w:r w:rsidR="00D74B6D">
        <w:t>1170.12)</w:t>
      </w:r>
      <w:r w:rsidR="00EE2D98">
        <w:t xml:space="preserve"> </w:t>
      </w:r>
      <w:r w:rsidR="00D74B6D">
        <w:t>and alleged various aggravating</w:t>
      </w:r>
      <w:r w:rsidR="00E02FAE">
        <w:t xml:space="preserve"> sentencing </w:t>
      </w:r>
      <w:r w:rsidR="00D74B6D">
        <w:t xml:space="preserve">factors. </w:t>
      </w:r>
    </w:p>
    <w:p w14:paraId="4251F7FB" w14:textId="5BDEC651" w:rsidR="001B144A" w:rsidRDefault="001B144A" w:rsidP="00455FF4">
      <w:pPr>
        <w:spacing w:line="360" w:lineRule="auto"/>
      </w:pPr>
      <w:r>
        <w:tab/>
      </w:r>
      <w:r w:rsidR="00AE4235">
        <w:t xml:space="preserve">At trial, </w:t>
      </w:r>
      <w:r w:rsidR="00552D23">
        <w:t>the victim</w:t>
      </w:r>
      <w:r w:rsidR="00AE4235">
        <w:t xml:space="preserve"> </w:t>
      </w:r>
      <w:r w:rsidR="00552D23">
        <w:t xml:space="preserve">testified </w:t>
      </w:r>
      <w:r w:rsidR="00455FF4">
        <w:t xml:space="preserve">that </w:t>
      </w:r>
      <w:r w:rsidR="00BA7FC3">
        <w:t xml:space="preserve">she and Fish had been in a relationship for </w:t>
      </w:r>
      <w:r w:rsidR="00704B14">
        <w:t>16 or 17</w:t>
      </w:r>
      <w:r w:rsidR="008D51CF">
        <w:t> </w:t>
      </w:r>
      <w:r w:rsidR="00BA7FC3">
        <w:t>years and had one child together.   O</w:t>
      </w:r>
      <w:r w:rsidR="00455FF4">
        <w:t>n March</w:t>
      </w:r>
      <w:r w:rsidR="008D51CF">
        <w:t> </w:t>
      </w:r>
      <w:r w:rsidR="00455FF4">
        <w:t xml:space="preserve">24, 2022, </w:t>
      </w:r>
      <w:r w:rsidR="00552D23">
        <w:t xml:space="preserve">she </w:t>
      </w:r>
      <w:r w:rsidR="005E5E44">
        <w:t>and</w:t>
      </w:r>
      <w:r w:rsidR="00BA7FC3">
        <w:t xml:space="preserve"> </w:t>
      </w:r>
      <w:r w:rsidR="00455FF4">
        <w:t>Fish had a</w:t>
      </w:r>
      <w:r w:rsidR="00B51720">
        <w:t xml:space="preserve"> lengthy</w:t>
      </w:r>
      <w:r w:rsidR="00BA7FC3">
        <w:t xml:space="preserve"> </w:t>
      </w:r>
      <w:r w:rsidR="00455FF4">
        <w:t>argument.</w:t>
      </w:r>
      <w:r w:rsidR="00B51720">
        <w:t xml:space="preserve"> </w:t>
      </w:r>
      <w:r w:rsidR="00E02FAE">
        <w:t xml:space="preserve"> </w:t>
      </w:r>
      <w:r w:rsidR="00BA7FC3">
        <w:t>After several hours of arguing</w:t>
      </w:r>
      <w:r w:rsidR="00552D23" w:rsidRPr="00552D23">
        <w:t xml:space="preserve">, she sat </w:t>
      </w:r>
      <w:r w:rsidR="00E871B9">
        <w:t>down</w:t>
      </w:r>
      <w:r w:rsidR="00552D23" w:rsidRPr="00552D23">
        <w:t xml:space="preserve">.  Fish was standing over her, when he suddenly hit her in the face with his closed fist.  She reported that the punch caused some swelling but testified that it “wasn’t like a man punch or anything.”  </w:t>
      </w:r>
      <w:r w:rsidR="00DA2BF0">
        <w:t>After the punch, they walked away from each other i</w:t>
      </w:r>
      <w:r w:rsidR="001E0980">
        <w:t>n</w:t>
      </w:r>
      <w:r w:rsidR="00DA2BF0">
        <w:t xml:space="preserve"> separate directions.  </w:t>
      </w:r>
      <w:r w:rsidR="001E0980">
        <w:t>Two hours later</w:t>
      </w:r>
      <w:r w:rsidR="00455FF4">
        <w:t xml:space="preserve">, </w:t>
      </w:r>
      <w:r w:rsidR="00DA2BF0">
        <w:t xml:space="preserve">she saw </w:t>
      </w:r>
      <w:r w:rsidR="007846DF">
        <w:t xml:space="preserve">Fish approaching carrying </w:t>
      </w:r>
      <w:r w:rsidR="00557598">
        <w:t xml:space="preserve">metal </w:t>
      </w:r>
      <w:r w:rsidR="00777EF3">
        <w:t xml:space="preserve">bar or rod. </w:t>
      </w:r>
      <w:r w:rsidR="00557598">
        <w:t xml:space="preserve"> </w:t>
      </w:r>
      <w:r w:rsidR="007846DF">
        <w:t xml:space="preserve">She was afraid and started to </w:t>
      </w:r>
      <w:r w:rsidR="00785481">
        <w:t>run.</w:t>
      </w:r>
      <w:r w:rsidR="001E41C5">
        <w:t xml:space="preserve"> </w:t>
      </w:r>
      <w:r w:rsidR="00785481">
        <w:t xml:space="preserve"> </w:t>
      </w:r>
      <w:r w:rsidR="00540D4B">
        <w:t xml:space="preserve">When she glanced back in his direction, the </w:t>
      </w:r>
      <w:r w:rsidR="00B70CAE">
        <w:t xml:space="preserve">metal </w:t>
      </w:r>
      <w:r w:rsidR="00F35D9E">
        <w:t>ro</w:t>
      </w:r>
      <w:r w:rsidR="00B70CAE">
        <w:t>d</w:t>
      </w:r>
      <w:r w:rsidR="00540D4B">
        <w:t xml:space="preserve"> ricocheted off the ground, hitting her in the </w:t>
      </w:r>
      <w:r w:rsidR="00585F18">
        <w:t>face</w:t>
      </w:r>
      <w:r w:rsidR="00540D4B">
        <w:t xml:space="preserve"> and </w:t>
      </w:r>
      <w:r w:rsidR="00585F18">
        <w:t>cutting her cheek</w:t>
      </w:r>
      <w:r w:rsidR="00540D4B">
        <w:t xml:space="preserve">.  </w:t>
      </w:r>
      <w:r w:rsidR="00115363">
        <w:t xml:space="preserve">After being </w:t>
      </w:r>
      <w:r w:rsidR="0093149D">
        <w:t>arrested</w:t>
      </w:r>
      <w:r w:rsidR="00455FF4">
        <w:t xml:space="preserve">, </w:t>
      </w:r>
      <w:r w:rsidR="00B41B2F">
        <w:t>Fish</w:t>
      </w:r>
      <w:r w:rsidR="0093149D">
        <w:t xml:space="preserve"> called the victim from jail and </w:t>
      </w:r>
      <w:r w:rsidR="00455FF4">
        <w:t xml:space="preserve">told </w:t>
      </w:r>
      <w:r w:rsidR="0093149D">
        <w:t>her</w:t>
      </w:r>
      <w:r w:rsidR="00455FF4">
        <w:t xml:space="preserve"> not to cooperate with the prosecution and stated that she would be murdered if she </w:t>
      </w:r>
      <w:r w:rsidR="007F6B8F">
        <w:t>appeared in</w:t>
      </w:r>
      <w:r w:rsidR="00455FF4">
        <w:t xml:space="preserve"> court. </w:t>
      </w:r>
    </w:p>
    <w:p w14:paraId="4FDC211F" w14:textId="09710404" w:rsidR="00D74B6D" w:rsidRDefault="001B144A" w:rsidP="00D74B6D">
      <w:pPr>
        <w:spacing w:line="360" w:lineRule="auto"/>
      </w:pPr>
      <w:r>
        <w:tab/>
      </w:r>
      <w:r w:rsidR="00AE4235">
        <w:t>The</w:t>
      </w:r>
      <w:r w:rsidR="00D74B6D">
        <w:t xml:space="preserve"> jury found </w:t>
      </w:r>
      <w:r w:rsidR="00AE4235">
        <w:t xml:space="preserve">Fish </w:t>
      </w:r>
      <w:r w:rsidR="00D74B6D">
        <w:t>guilty o</w:t>
      </w:r>
      <w:r w:rsidR="002921C8">
        <w:t>f assault with a deadly weapon</w:t>
      </w:r>
      <w:r w:rsidR="007751E5">
        <w:t xml:space="preserve"> (the metal </w:t>
      </w:r>
      <w:r w:rsidR="007C6430">
        <w:t>rod</w:t>
      </w:r>
      <w:r w:rsidR="007751E5">
        <w:t>)</w:t>
      </w:r>
      <w:r w:rsidR="002921C8">
        <w:t xml:space="preserve"> and dissuading a witness.</w:t>
      </w:r>
      <w:r w:rsidR="00D74B6D">
        <w:t xml:space="preserve"> </w:t>
      </w:r>
      <w:r w:rsidR="00E02FAE">
        <w:t xml:space="preserve"> </w:t>
      </w:r>
      <w:r w:rsidR="002921C8">
        <w:t>T</w:t>
      </w:r>
      <w:r w:rsidR="00D74B6D">
        <w:t xml:space="preserve">he jury found </w:t>
      </w:r>
      <w:r w:rsidR="00AE4235">
        <w:t>him</w:t>
      </w:r>
      <w:r w:rsidR="00D74B6D">
        <w:t xml:space="preserve"> not guilty of </w:t>
      </w:r>
      <w:r w:rsidR="002921C8">
        <w:t>corporal injury to a cohabitant</w:t>
      </w:r>
      <w:r w:rsidR="00D74B6D">
        <w:t>, but guilty of the lesser included offense of domestic battery (§</w:t>
      </w:r>
      <w:r w:rsidR="009900BC">
        <w:t> </w:t>
      </w:r>
      <w:r w:rsidR="00D74B6D">
        <w:t>243, subd.</w:t>
      </w:r>
      <w:r w:rsidR="009900BC">
        <w:t> </w:t>
      </w:r>
      <w:r w:rsidR="00D74B6D">
        <w:t xml:space="preserve">(e)(1)). </w:t>
      </w:r>
      <w:r w:rsidR="001329F6">
        <w:t xml:space="preserve"> </w:t>
      </w:r>
      <w:r w:rsidR="00781479">
        <w:t>T</w:t>
      </w:r>
      <w:r w:rsidR="00D74B6D">
        <w:t xml:space="preserve">he jury found </w:t>
      </w:r>
      <w:r w:rsidR="00781479">
        <w:t>Fish</w:t>
      </w:r>
      <w:r w:rsidR="00D74B6D">
        <w:t xml:space="preserve"> not guilty </w:t>
      </w:r>
      <w:r w:rsidR="000103F1">
        <w:t>of assault with force likely to produce great bodily injury</w:t>
      </w:r>
      <w:r w:rsidR="00D74B6D">
        <w:t>.</w:t>
      </w:r>
      <w:r w:rsidR="00781479">
        <w:t xml:space="preserve"> </w:t>
      </w:r>
      <w:r w:rsidR="00D74B6D">
        <w:t xml:space="preserve"> The jury also </w:t>
      </w:r>
      <w:r w:rsidR="008F05B3">
        <w:t>made true findings as to</w:t>
      </w:r>
      <w:r w:rsidR="00D74B6D">
        <w:t xml:space="preserve"> the strike prior and the aggravating </w:t>
      </w:r>
      <w:r w:rsidR="002921C8">
        <w:t xml:space="preserve">sentencing </w:t>
      </w:r>
      <w:r w:rsidR="00D74B6D">
        <w:t xml:space="preserve">factors. </w:t>
      </w:r>
    </w:p>
    <w:p w14:paraId="1179A1A6" w14:textId="2A4431AA" w:rsidR="00D74B6D" w:rsidRDefault="00326B97" w:rsidP="00D74B6D">
      <w:pPr>
        <w:spacing w:line="360" w:lineRule="auto"/>
      </w:pPr>
      <w:r>
        <w:tab/>
      </w:r>
      <w:r w:rsidR="00325FE7">
        <w:t xml:space="preserve">Following the jury trial, </w:t>
      </w:r>
      <w:r w:rsidR="00B04514">
        <w:t>the court co</w:t>
      </w:r>
      <w:r w:rsidR="0076090C">
        <w:t>nsidered</w:t>
      </w:r>
      <w:r w:rsidR="00DE091C">
        <w:t xml:space="preserve"> and rejected </w:t>
      </w:r>
      <w:r w:rsidR="00325FE7">
        <w:t>Fish</w:t>
      </w:r>
      <w:r w:rsidR="00DE091C">
        <w:t>’s</w:t>
      </w:r>
      <w:r w:rsidR="00325FE7">
        <w:t xml:space="preserve"> mo</w:t>
      </w:r>
      <w:r w:rsidR="00DE091C">
        <w:t>tion to</w:t>
      </w:r>
      <w:r w:rsidR="00325FE7">
        <w:t xml:space="preserve"> </w:t>
      </w:r>
      <w:r w:rsidR="002B6A59">
        <w:t xml:space="preserve">withdraw his guilty plea in the strike case. </w:t>
      </w:r>
      <w:r w:rsidR="00A001B6">
        <w:t xml:space="preserve"> Thereafter, </w:t>
      </w:r>
      <w:r>
        <w:t xml:space="preserve">Fish was sentenced </w:t>
      </w:r>
      <w:r w:rsidR="00D74B6D">
        <w:t xml:space="preserve">together </w:t>
      </w:r>
      <w:r>
        <w:t>on both cases</w:t>
      </w:r>
      <w:r w:rsidR="00D74B6D">
        <w:t>.</w:t>
      </w:r>
      <w:r w:rsidR="00E02FAE">
        <w:t xml:space="preserve"> </w:t>
      </w:r>
      <w:r w:rsidR="00D74B6D">
        <w:t xml:space="preserve"> The trial court imposed a </w:t>
      </w:r>
      <w:r w:rsidR="00D14D15">
        <w:t>four</w:t>
      </w:r>
      <w:r w:rsidR="00A001B6">
        <w:t>-year</w:t>
      </w:r>
      <w:r>
        <w:t xml:space="preserve"> term</w:t>
      </w:r>
      <w:r w:rsidR="00D74B6D">
        <w:t xml:space="preserve"> for </w:t>
      </w:r>
      <w:r w:rsidR="00AA187B">
        <w:t>his conviction of assault with a deadly weapon</w:t>
      </w:r>
      <w:r w:rsidR="00D74B6D">
        <w:t xml:space="preserve"> (the low term of </w:t>
      </w:r>
      <w:r w:rsidR="004F5014">
        <w:t>two</w:t>
      </w:r>
      <w:r w:rsidR="009A6BEF">
        <w:t> </w:t>
      </w:r>
      <w:r w:rsidR="00D74B6D">
        <w:t xml:space="preserve">years, </w:t>
      </w:r>
      <w:r w:rsidR="00D74B6D">
        <w:lastRenderedPageBreak/>
        <w:t xml:space="preserve">doubled for the strike prior); </w:t>
      </w:r>
      <w:r w:rsidR="004F5014">
        <w:t>six</w:t>
      </w:r>
      <w:r w:rsidR="009A6BEF">
        <w:t> </w:t>
      </w:r>
      <w:r w:rsidR="00D74B6D">
        <w:t xml:space="preserve">years for </w:t>
      </w:r>
      <w:r w:rsidR="00AA187B">
        <w:t>dissuading a witness</w:t>
      </w:r>
      <w:r w:rsidR="00D74B6D">
        <w:t xml:space="preserve"> (the full consecutive middle term of </w:t>
      </w:r>
      <w:r w:rsidR="004F5014">
        <w:t>three</w:t>
      </w:r>
      <w:r w:rsidR="00B07527">
        <w:t xml:space="preserve"> </w:t>
      </w:r>
      <w:r w:rsidR="00D74B6D">
        <w:t xml:space="preserve">years, doubled for the strike prior); and </w:t>
      </w:r>
      <w:r w:rsidR="004F5014">
        <w:t>eight</w:t>
      </w:r>
      <w:r w:rsidR="00B07527">
        <w:t xml:space="preserve"> </w:t>
      </w:r>
      <w:r w:rsidR="00D74B6D">
        <w:t xml:space="preserve">months for </w:t>
      </w:r>
      <w:r w:rsidR="001441BD">
        <w:t xml:space="preserve">the </w:t>
      </w:r>
      <w:r w:rsidR="005D3DE8">
        <w:t>criminal threats</w:t>
      </w:r>
      <w:r w:rsidR="001441BD">
        <w:t xml:space="preserve"> conviction </w:t>
      </w:r>
      <w:r w:rsidR="001329F6">
        <w:t>to which he pled guilty</w:t>
      </w:r>
      <w:r w:rsidR="00D74B6D">
        <w:t xml:space="preserve"> (</w:t>
      </w:r>
      <w:r w:rsidR="00875E00">
        <w:t>one-third</w:t>
      </w:r>
      <w:r w:rsidR="00D74B6D">
        <w:t xml:space="preserve"> of the middle term of </w:t>
      </w:r>
      <w:r w:rsidR="004F5014">
        <w:t>two</w:t>
      </w:r>
      <w:r w:rsidR="00B07527">
        <w:t xml:space="preserve"> </w:t>
      </w:r>
      <w:r w:rsidR="00D74B6D">
        <w:t xml:space="preserve">years). </w:t>
      </w:r>
      <w:r w:rsidR="00E02FAE">
        <w:t xml:space="preserve"> </w:t>
      </w:r>
      <w:r w:rsidR="00D74B6D">
        <w:t>The trial court also imposed a concurrent term of 364</w:t>
      </w:r>
      <w:r w:rsidR="0040379D">
        <w:t> </w:t>
      </w:r>
      <w:r w:rsidR="00D74B6D">
        <w:t xml:space="preserve">days for </w:t>
      </w:r>
      <w:r w:rsidR="001441BD">
        <w:t>his domestic battery conviction</w:t>
      </w:r>
      <w:r w:rsidR="00D74B6D">
        <w:t xml:space="preserve">. </w:t>
      </w:r>
    </w:p>
    <w:p w14:paraId="14ABA536" w14:textId="72942A64" w:rsidR="001C187F" w:rsidRDefault="001C187F" w:rsidP="00D74B6D">
      <w:pPr>
        <w:spacing w:line="360" w:lineRule="auto"/>
      </w:pPr>
      <w:r>
        <w:tab/>
      </w:r>
      <w:r w:rsidR="008552FC">
        <w:t xml:space="preserve">With respect to </w:t>
      </w:r>
      <w:r w:rsidR="00D31222">
        <w:t xml:space="preserve">the </w:t>
      </w:r>
      <w:r w:rsidR="00D14D15">
        <w:t>three</w:t>
      </w:r>
      <w:r w:rsidR="00D31222">
        <w:t xml:space="preserve"> counts on which Fish was found guilty by the jury, the</w:t>
      </w:r>
      <w:r w:rsidR="00D05667">
        <w:t xml:space="preserve"> trial</w:t>
      </w:r>
      <w:r>
        <w:t xml:space="preserve"> court</w:t>
      </w:r>
      <w:r w:rsidR="00D05667">
        <w:t xml:space="preserve"> indicated that it intended to</w:t>
      </w:r>
      <w:r>
        <w:t xml:space="preserve"> impose a $300</w:t>
      </w:r>
      <w:r w:rsidR="0040379D">
        <w:t> </w:t>
      </w:r>
      <w:r>
        <w:t>restitution fine (§ 1202.4); a $300</w:t>
      </w:r>
      <w:r w:rsidR="0040379D">
        <w:t> </w:t>
      </w:r>
      <w:r>
        <w:t xml:space="preserve">stayed </w:t>
      </w:r>
      <w:r w:rsidR="001801A1">
        <w:t xml:space="preserve">parole </w:t>
      </w:r>
      <w:r>
        <w:t>revocation fine (§</w:t>
      </w:r>
      <w:r w:rsidR="0040379D">
        <w:t> </w:t>
      </w:r>
      <w:r>
        <w:t>1202.45); $120</w:t>
      </w:r>
      <w:r w:rsidR="0040379D">
        <w:t> </w:t>
      </w:r>
      <w:r>
        <w:t>in court operations assessment</w:t>
      </w:r>
      <w:r w:rsidR="00E02FAE">
        <w:t xml:space="preserve">s </w:t>
      </w:r>
      <w:r>
        <w:t>(§</w:t>
      </w:r>
      <w:r w:rsidR="005E62B9">
        <w:t> </w:t>
      </w:r>
      <w:r>
        <w:t>1465.8); and $90 in criminal conviction assessment</w:t>
      </w:r>
      <w:r w:rsidR="00E02FAE">
        <w:t>s</w:t>
      </w:r>
      <w:r>
        <w:t xml:space="preserve"> (Gov. Code, §</w:t>
      </w:r>
      <w:r w:rsidR="005E62B9">
        <w:t> </w:t>
      </w:r>
      <w:r>
        <w:t>70373)</w:t>
      </w:r>
      <w:r w:rsidR="00D31222">
        <w:t xml:space="preserve">. </w:t>
      </w:r>
      <w:r>
        <w:t xml:space="preserve"> Fish objected on the ground that he was unable to pay these fines and assessments</w:t>
      </w:r>
      <w:r w:rsidR="00D05667">
        <w:t xml:space="preserve">. </w:t>
      </w:r>
      <w:r w:rsidR="00E02FAE">
        <w:t xml:space="preserve"> </w:t>
      </w:r>
      <w:r w:rsidR="00D05667">
        <w:t xml:space="preserve">His counsel explained that he </w:t>
      </w:r>
      <w:r>
        <w:t xml:space="preserve">was transient </w:t>
      </w:r>
      <w:r w:rsidR="00D05667">
        <w:t xml:space="preserve">at the time of the </w:t>
      </w:r>
      <w:r w:rsidR="00003BF7">
        <w:t>offenses</w:t>
      </w:r>
      <w:r>
        <w:t xml:space="preserve"> and had not been employed since</w:t>
      </w:r>
      <w:r w:rsidR="00880228">
        <w:t> </w:t>
      </w:r>
      <w:r>
        <w:t>2019.  The trial court overruled his objection</w:t>
      </w:r>
      <w:r w:rsidR="00825B07">
        <w:t>,</w:t>
      </w:r>
      <w:r>
        <w:t xml:space="preserve"> stating</w:t>
      </w:r>
      <w:proofErr w:type="gramStart"/>
      <w:r>
        <w:t xml:space="preserve">: </w:t>
      </w:r>
      <w:r w:rsidR="00B7229D">
        <w:t xml:space="preserve"> </w:t>
      </w:r>
      <w:r>
        <w:t>“</w:t>
      </w:r>
      <w:proofErr w:type="gramEnd"/>
      <w:r>
        <w:t xml:space="preserve">According to the probation report, his physical health is good, his mental health is good, and he can do physical labor.  </w:t>
      </w:r>
      <w:proofErr w:type="gramStart"/>
      <w:r>
        <w:t>So</w:t>
      </w:r>
      <w:proofErr w:type="gramEnd"/>
      <w:r>
        <w:t xml:space="preserve"> I do find that he has the ability to pay the fines and fees.  I am imposing the minimum fines and fees in this case.” </w:t>
      </w:r>
      <w:r w:rsidR="00226E25">
        <w:t xml:space="preserve"> </w:t>
      </w:r>
      <w:r w:rsidR="00095E92">
        <w:t xml:space="preserve">As </w:t>
      </w:r>
      <w:r w:rsidR="00B516F3">
        <w:t xml:space="preserve">for </w:t>
      </w:r>
      <w:r w:rsidR="00095E92">
        <w:t xml:space="preserve">the </w:t>
      </w:r>
      <w:r w:rsidR="005D3DE8">
        <w:t>case in which</w:t>
      </w:r>
      <w:r w:rsidR="00095E92">
        <w:t xml:space="preserve"> Fish pled guilty, the trial court imposed </w:t>
      </w:r>
      <w:r w:rsidR="00314ABA">
        <w:t xml:space="preserve">“concurrent” mandatory, minimum </w:t>
      </w:r>
      <w:r w:rsidR="005F0863">
        <w:t>statutory</w:t>
      </w:r>
      <w:r w:rsidR="00314ABA">
        <w:t xml:space="preserve"> fines and assessments. </w:t>
      </w:r>
    </w:p>
    <w:p w14:paraId="24320B39" w14:textId="55186798" w:rsidR="00945F7B" w:rsidRPr="001E15D5" w:rsidRDefault="00945F7B" w:rsidP="007751E5">
      <w:pPr>
        <w:keepNext/>
        <w:spacing w:line="360" w:lineRule="auto"/>
        <w:jc w:val="center"/>
        <w:rPr>
          <w:b/>
          <w:smallCaps/>
        </w:rPr>
      </w:pPr>
      <w:r w:rsidRPr="001E15D5">
        <w:rPr>
          <w:b/>
          <w:smallCaps/>
        </w:rPr>
        <w:t>Discussion</w:t>
      </w:r>
    </w:p>
    <w:p w14:paraId="2C918394" w14:textId="77777777" w:rsidR="004C6B21" w:rsidRPr="00264799" w:rsidRDefault="004C6B21" w:rsidP="007751E5">
      <w:pPr>
        <w:pStyle w:val="ListParagraph"/>
        <w:keepNext/>
        <w:numPr>
          <w:ilvl w:val="0"/>
          <w:numId w:val="1"/>
        </w:numPr>
        <w:spacing w:line="360" w:lineRule="auto"/>
        <w:rPr>
          <w:b/>
          <w:bCs/>
        </w:rPr>
      </w:pPr>
      <w:r w:rsidRPr="00264799">
        <w:rPr>
          <w:b/>
          <w:bCs/>
        </w:rPr>
        <w:t>Instructional Error (A168088)</w:t>
      </w:r>
    </w:p>
    <w:p w14:paraId="0B24B676" w14:textId="5F51DDAF" w:rsidR="00206C45" w:rsidRDefault="00206C45" w:rsidP="00A21777">
      <w:pPr>
        <w:spacing w:line="360" w:lineRule="auto"/>
      </w:pPr>
      <w:r>
        <w:tab/>
      </w:r>
      <w:r w:rsidR="00DE7EB7">
        <w:t>Fish contends</w:t>
      </w:r>
      <w:r w:rsidR="009A3BB3">
        <w:t xml:space="preserve"> that</w:t>
      </w:r>
      <w:r w:rsidR="00DE7EB7">
        <w:t xml:space="preserve"> the Court erred by failing to give </w:t>
      </w:r>
      <w:proofErr w:type="gramStart"/>
      <w:r w:rsidR="00DE7EB7">
        <w:t>a</w:t>
      </w:r>
      <w:proofErr w:type="gramEnd"/>
      <w:r w:rsidR="00DE7EB7">
        <w:t xml:space="preserve"> unanimity instruction as to the </w:t>
      </w:r>
      <w:r w:rsidR="0098452A">
        <w:t>domestic battery charge (the lesser offense to</w:t>
      </w:r>
      <w:r w:rsidR="0098452A" w:rsidRPr="0098452A">
        <w:t xml:space="preserve"> </w:t>
      </w:r>
      <w:r w:rsidR="0098452A">
        <w:t>corporal injury to cohabitant charged in count</w:t>
      </w:r>
      <w:r w:rsidR="006A7DD7">
        <w:t> </w:t>
      </w:r>
      <w:r w:rsidR="0098452A">
        <w:t>1)</w:t>
      </w:r>
      <w:r w:rsidR="006A7DD7">
        <w:t xml:space="preserve"> </w:t>
      </w:r>
      <w:r w:rsidR="0098452A">
        <w:t xml:space="preserve">and </w:t>
      </w:r>
      <w:r w:rsidR="00A21777">
        <w:t xml:space="preserve">by failing </w:t>
      </w:r>
      <w:proofErr w:type="spellStart"/>
      <w:r w:rsidR="00A21777">
        <w:t>sua</w:t>
      </w:r>
      <w:proofErr w:type="spellEnd"/>
      <w:r w:rsidR="00A21777">
        <w:t xml:space="preserve"> sponte</w:t>
      </w:r>
      <w:r w:rsidR="00FB0D7A">
        <w:t xml:space="preserve"> to</w:t>
      </w:r>
      <w:r w:rsidR="00A21777">
        <w:t xml:space="preserve"> instruct the jury that it could consider the “limited” nature of the victim’s injury in determining whether the metal </w:t>
      </w:r>
      <w:r w:rsidR="00AA26C2">
        <w:t>rod he threw at the victim</w:t>
      </w:r>
      <w:r w:rsidR="00A21777">
        <w:t xml:space="preserve"> was a deadly weapon under count</w:t>
      </w:r>
      <w:r w:rsidR="00B86300">
        <w:t> </w:t>
      </w:r>
      <w:r w:rsidR="00A21777">
        <w:t>2.</w:t>
      </w:r>
      <w:r w:rsidR="0098452A">
        <w:t xml:space="preserve"> </w:t>
      </w:r>
      <w:r w:rsidR="00DE7EB7">
        <w:t xml:space="preserve"> </w:t>
      </w:r>
    </w:p>
    <w:p w14:paraId="31C49F3E" w14:textId="21D77B70" w:rsidR="00682348" w:rsidRDefault="00682348" w:rsidP="00FC41B2">
      <w:pPr>
        <w:spacing w:line="360" w:lineRule="auto"/>
      </w:pPr>
      <w:r>
        <w:lastRenderedPageBreak/>
        <w:tab/>
      </w:r>
      <w:proofErr w:type="gramStart"/>
      <w:r w:rsidR="00F21F10" w:rsidRPr="00F21F10">
        <w:t>“</w:t>
      </w:r>
      <w:r w:rsidR="00B86300">
        <w:t> </w:t>
      </w:r>
      <w:r w:rsidR="00F21F10" w:rsidRPr="00F21F10">
        <w:t>‘</w:t>
      </w:r>
      <w:proofErr w:type="gramEnd"/>
      <w:r w:rsidR="00B86300">
        <w:t> </w:t>
      </w:r>
      <w:r w:rsidR="00F21F10">
        <w:t>“</w:t>
      </w:r>
      <w:r w:rsidR="00F21F10" w:rsidRPr="00F21F10">
        <w:t>It is settled that in criminal cases, even in the absence of a request, a trial court must instruct on general principles of law relevant to the issues raised by the evidence</w:t>
      </w:r>
      <w:r w:rsidR="00F21F10">
        <w:t>”</w:t>
      </w:r>
      <w:r w:rsidR="00B86300">
        <w:t> </w:t>
      </w:r>
      <w:r w:rsidR="00F21F10" w:rsidRPr="00F21F10">
        <w:t>’ and ‘</w:t>
      </w:r>
      <w:r w:rsidR="00944ED9">
        <w:t> </w:t>
      </w:r>
      <w:r w:rsidR="00F21F10">
        <w:t>“</w:t>
      </w:r>
      <w:r w:rsidR="00F21F10" w:rsidRPr="00F21F10">
        <w:t>necessary for the jury</w:t>
      </w:r>
      <w:r w:rsidR="00061AE6">
        <w:t>’</w:t>
      </w:r>
      <w:r w:rsidR="00F21F10" w:rsidRPr="00F21F10">
        <w:t>s understanding of the case.</w:t>
      </w:r>
      <w:r w:rsidR="00F21F10">
        <w:t>”</w:t>
      </w:r>
      <w:r w:rsidR="00944ED9">
        <w:t> </w:t>
      </w:r>
      <w:r w:rsidR="00F21F10" w:rsidRPr="00F21F10">
        <w:t>’</w:t>
      </w:r>
      <w:r w:rsidR="00944ED9">
        <w:t> </w:t>
      </w:r>
      <w:r w:rsidR="00F21F10" w:rsidRPr="00F21F10">
        <w:t xml:space="preserve">” </w:t>
      </w:r>
      <w:r w:rsidR="00E02FAE">
        <w:t xml:space="preserve"> </w:t>
      </w:r>
      <w:r w:rsidR="007241F8" w:rsidRPr="007241F8">
        <w:t>(</w:t>
      </w:r>
      <w:r w:rsidR="007241F8" w:rsidRPr="007241F8">
        <w:rPr>
          <w:i/>
          <w:iCs/>
        </w:rPr>
        <w:t>People v. Brooks</w:t>
      </w:r>
      <w:r w:rsidR="007241F8" w:rsidRPr="007241F8">
        <w:t xml:space="preserve"> (2017) 3</w:t>
      </w:r>
      <w:r w:rsidR="00944ED9">
        <w:t> </w:t>
      </w:r>
      <w:r w:rsidR="007241F8" w:rsidRPr="007241F8">
        <w:t xml:space="preserve">Cal.5th 1, 73.) </w:t>
      </w:r>
      <w:r w:rsidR="00E02FAE">
        <w:t xml:space="preserve"> </w:t>
      </w:r>
      <w:r>
        <w:t xml:space="preserve">Whether a jury has been properly instructed is a question of law reviewed de novo. </w:t>
      </w:r>
      <w:r w:rsidR="00E02FAE">
        <w:t xml:space="preserve"> </w:t>
      </w:r>
      <w:r>
        <w:t>(</w:t>
      </w:r>
      <w:r w:rsidR="008221D1" w:rsidRPr="008221D1">
        <w:rPr>
          <w:i/>
          <w:iCs/>
        </w:rPr>
        <w:t xml:space="preserve">People v. Cole </w:t>
      </w:r>
      <w:r w:rsidR="008221D1" w:rsidRPr="008221D1">
        <w:t>(2004) 33</w:t>
      </w:r>
      <w:r w:rsidR="00944ED9">
        <w:t> </w:t>
      </w:r>
      <w:r w:rsidR="008221D1" w:rsidRPr="008221D1">
        <w:t>Cal.4th 1158, 1210</w:t>
      </w:r>
      <w:r w:rsidRPr="008221D1">
        <w:t>.)</w:t>
      </w:r>
      <w:r w:rsidR="00FC41B2">
        <w:t xml:space="preserve"> </w:t>
      </w:r>
      <w:r w:rsidR="00E02FAE">
        <w:t xml:space="preserve"> </w:t>
      </w:r>
      <w:r w:rsidR="00FC41B2">
        <w:t xml:space="preserve">When an appellate court reviews a potentially incomplete or misleading instruction, the relevant inquiry is </w:t>
      </w:r>
      <w:proofErr w:type="gramStart"/>
      <w:r w:rsidR="00FC41B2">
        <w:t>“</w:t>
      </w:r>
      <w:r w:rsidR="00944ED9">
        <w:t> </w:t>
      </w:r>
      <w:r w:rsidR="00FC41B2">
        <w:t>‘</w:t>
      </w:r>
      <w:proofErr w:type="gramEnd"/>
      <w:r w:rsidR="00FC41B2">
        <w:t>whether there is a reasonable likelihood that the jury misunderstood and misapplied the instruction.</w:t>
      </w:r>
      <w:r w:rsidR="001543A1">
        <w:t>’</w:t>
      </w:r>
      <w:r w:rsidR="00FC41B2">
        <w:t xml:space="preserve"> </w:t>
      </w:r>
      <w:r w:rsidR="00825C9E">
        <w:t>[Citation</w:t>
      </w:r>
      <w:r w:rsidR="00234D98">
        <w:t>s</w:t>
      </w:r>
      <w:r w:rsidR="00825C9E">
        <w:t>.]</w:t>
      </w:r>
      <w:r w:rsidR="00234D98">
        <w:t xml:space="preserve"> </w:t>
      </w:r>
      <w:proofErr w:type="gramStart"/>
      <w:r w:rsidR="00F27F3A">
        <w:t>‘</w:t>
      </w:r>
      <w:r w:rsidR="00944ED9">
        <w:t> </w:t>
      </w:r>
      <w:r w:rsidR="00F27F3A">
        <w:t>“</w:t>
      </w:r>
      <w:proofErr w:type="gramEnd"/>
      <w:r w:rsidR="00944ED9">
        <w:t> </w:t>
      </w:r>
      <w:r w:rsidR="00F27F3A">
        <w:t>‘</w:t>
      </w:r>
      <w:r w:rsidR="00944ED9">
        <w:t> </w:t>
      </w:r>
      <w:r w:rsidR="00F27F3A">
        <w:t>“</w:t>
      </w:r>
      <w:r w:rsidR="00FC41B2">
        <w:t>[T]he correctness of jury instructions is to be determined from the entire charge of the court, not from a consideration of parts of an instruction or from a particular instruction.</w:t>
      </w:r>
      <w:r w:rsidR="00F27F3A">
        <w:t>”</w:t>
      </w:r>
      <w:r w:rsidR="00944ED9">
        <w:t> </w:t>
      </w:r>
      <w:r w:rsidR="00F27F3A">
        <w:t>’</w:t>
      </w:r>
      <w:r w:rsidR="00944ED9">
        <w:t> </w:t>
      </w:r>
      <w:r w:rsidR="00F27F3A">
        <w:t>”</w:t>
      </w:r>
      <w:r w:rsidR="00944ED9">
        <w:t> </w:t>
      </w:r>
      <w:r w:rsidR="00F27F3A">
        <w:t>’</w:t>
      </w:r>
      <w:r w:rsidR="00331CB5">
        <w:t xml:space="preserve"> [Citation.]</w:t>
      </w:r>
      <w:r w:rsidR="00FC41B2">
        <w:t xml:space="preserve"> The reviewing court also must consider the arguments of counsel in assessing the probable impact of the instruction on the jury.” </w:t>
      </w:r>
      <w:r w:rsidR="00E02FAE">
        <w:t xml:space="preserve"> </w:t>
      </w:r>
      <w:r w:rsidR="00FC41B2">
        <w:t>(</w:t>
      </w:r>
      <w:r w:rsidR="00FC41B2" w:rsidRPr="006563C6">
        <w:rPr>
          <w:i/>
          <w:iCs/>
        </w:rPr>
        <w:t>People v. Young</w:t>
      </w:r>
      <w:r w:rsidR="00605E1C">
        <w:t xml:space="preserve"> </w:t>
      </w:r>
      <w:r w:rsidR="00FC41B2">
        <w:t>(2005) 34</w:t>
      </w:r>
      <w:r w:rsidR="00944ED9">
        <w:t> </w:t>
      </w:r>
      <w:r w:rsidR="00FC41B2">
        <w:t xml:space="preserve">Cal.4th 1149, 1202.) </w:t>
      </w:r>
    </w:p>
    <w:p w14:paraId="3E4B4EDF" w14:textId="77777777" w:rsidR="002263C2" w:rsidRPr="00264799" w:rsidRDefault="00CA7E33" w:rsidP="002B2B82">
      <w:pPr>
        <w:pStyle w:val="ListParagraph"/>
        <w:keepNext/>
        <w:numPr>
          <w:ilvl w:val="0"/>
          <w:numId w:val="2"/>
        </w:numPr>
        <w:spacing w:line="360" w:lineRule="auto"/>
        <w:rPr>
          <w:b/>
          <w:bCs/>
        </w:rPr>
      </w:pPr>
      <w:r w:rsidRPr="00264799">
        <w:rPr>
          <w:b/>
          <w:bCs/>
        </w:rPr>
        <w:t xml:space="preserve">Unanimity </w:t>
      </w:r>
      <w:r w:rsidR="00DC1E21" w:rsidRPr="00264799">
        <w:rPr>
          <w:b/>
          <w:bCs/>
        </w:rPr>
        <w:t>Instruction</w:t>
      </w:r>
    </w:p>
    <w:p w14:paraId="628304F5" w14:textId="553C1ECA" w:rsidR="00BF477A" w:rsidRDefault="002263C2" w:rsidP="00DC1E21">
      <w:pPr>
        <w:spacing w:line="360" w:lineRule="auto"/>
      </w:pPr>
      <w:r>
        <w:tab/>
        <w:t xml:space="preserve">The trial court instructed the jury </w:t>
      </w:r>
      <w:r w:rsidR="00B65AC3">
        <w:t xml:space="preserve">that Fish was </w:t>
      </w:r>
      <w:r>
        <w:t xml:space="preserve">charged </w:t>
      </w:r>
      <w:r w:rsidR="00B65AC3">
        <w:t xml:space="preserve">in </w:t>
      </w:r>
      <w:r w:rsidR="00591CC7">
        <w:t>c</w:t>
      </w:r>
      <w:r w:rsidR="00B65AC3">
        <w:t>ount</w:t>
      </w:r>
      <w:r w:rsidR="00944ED9">
        <w:t> </w:t>
      </w:r>
      <w:r w:rsidR="00B65AC3">
        <w:t xml:space="preserve">1 </w:t>
      </w:r>
      <w:r>
        <w:t>with inflicting a</w:t>
      </w:r>
      <w:r w:rsidR="00795A9D">
        <w:t xml:space="preserve"> physical</w:t>
      </w:r>
      <w:r>
        <w:t xml:space="preserve"> injury on the mother of his child that resulted in a traumatic condition</w:t>
      </w:r>
      <w:r w:rsidR="00061AE6">
        <w:t xml:space="preserve">. </w:t>
      </w:r>
      <w:r w:rsidR="00E02FAE">
        <w:t xml:space="preserve"> </w:t>
      </w:r>
      <w:r w:rsidR="00061AE6">
        <w:t xml:space="preserve">A traumatic condition </w:t>
      </w:r>
      <w:r w:rsidR="00795A9D">
        <w:t>was defined as</w:t>
      </w:r>
      <w:r w:rsidR="00B10101">
        <w:t xml:space="preserve"> “a wound or other bod</w:t>
      </w:r>
      <w:r w:rsidR="00B07BDC">
        <w:t>i</w:t>
      </w:r>
      <w:r w:rsidR="00B10101">
        <w:t>ly</w:t>
      </w:r>
      <w:r w:rsidR="00B07BDC">
        <w:t xml:space="preserve"> injury, whether minor or serious, caused by the direct application of physical force.”  The jury was </w:t>
      </w:r>
      <w:r w:rsidR="00C032DC">
        <w:t>also</w:t>
      </w:r>
      <w:r w:rsidR="00B07BDC">
        <w:t xml:space="preserve"> instructed that </w:t>
      </w:r>
      <w:r w:rsidR="00B65AC3">
        <w:t xml:space="preserve">the crime of </w:t>
      </w:r>
      <w:r w:rsidR="00C747A6">
        <w:t>domestic battery is a lesser offense of the charg</w:t>
      </w:r>
      <w:r w:rsidR="003C6C9F">
        <w:t>e</w:t>
      </w:r>
      <w:r w:rsidR="00C747A6">
        <w:t>d offense</w:t>
      </w:r>
      <w:r w:rsidR="003948D7">
        <w:t>, which re</w:t>
      </w:r>
      <w:r w:rsidR="00B07BDC">
        <w:t xml:space="preserve">quires </w:t>
      </w:r>
      <w:r w:rsidR="003948D7">
        <w:t xml:space="preserve">only that </w:t>
      </w:r>
      <w:r w:rsidR="00B07BDC">
        <w:t xml:space="preserve">defendant touch the victim in a </w:t>
      </w:r>
      <w:r w:rsidR="003948D7">
        <w:t>“</w:t>
      </w:r>
      <w:r w:rsidR="00B07BDC">
        <w:t>harmful or offensive mann</w:t>
      </w:r>
      <w:r w:rsidR="003948D7">
        <w:t>er.”</w:t>
      </w:r>
      <w:r w:rsidR="00B07BDC">
        <w:t xml:space="preserve"> </w:t>
      </w:r>
      <w:r>
        <w:t xml:space="preserve"> </w:t>
      </w:r>
      <w:r w:rsidR="00C032DC">
        <w:t xml:space="preserve">The jury was given the following unanimity instruction under </w:t>
      </w:r>
      <w:r w:rsidR="00D63F04">
        <w:t>CALCRIM No</w:t>
      </w:r>
      <w:r w:rsidR="007A6E05">
        <w:t>.</w:t>
      </w:r>
      <w:r w:rsidR="00786AFC">
        <w:t> </w:t>
      </w:r>
      <w:r w:rsidR="00D63F04">
        <w:t>3500</w:t>
      </w:r>
      <w:proofErr w:type="gramStart"/>
      <w:r w:rsidR="00C032DC">
        <w:t xml:space="preserve">: </w:t>
      </w:r>
      <w:r w:rsidR="00F3503E">
        <w:t xml:space="preserve"> </w:t>
      </w:r>
      <w:r w:rsidR="00B73BC4">
        <w:t>“</w:t>
      </w:r>
      <w:proofErr w:type="gramEnd"/>
      <w:r w:rsidR="00B73BC4">
        <w:t>The defendant is charged with inflicting an injury on the mother of his child that resulted in a traumatic condition in Count</w:t>
      </w:r>
      <w:r w:rsidR="00786AFC">
        <w:t> </w:t>
      </w:r>
      <w:r w:rsidR="00B73BC4">
        <w:t>1.</w:t>
      </w:r>
      <w:r w:rsidR="00533D75">
        <w:t xml:space="preserve"> </w:t>
      </w:r>
      <w:r w:rsidR="00B73BC4">
        <w:t xml:space="preserve"> </w:t>
      </w:r>
      <w:r w:rsidR="003C6C9F">
        <w:t>[</w:t>
      </w:r>
      <w:proofErr w:type="gramStart"/>
      <w:r w:rsidR="003C6C9F">
        <w:t>¶]</w:t>
      </w:r>
      <w:r w:rsidR="00533D75">
        <w:t xml:space="preserve"> </w:t>
      </w:r>
      <w:r>
        <w:t xml:space="preserve"> The</w:t>
      </w:r>
      <w:proofErr w:type="gramEnd"/>
      <w:r>
        <w:t xml:space="preserve"> People have presented evidence of more than one act to prove that the defendant committed this offense. </w:t>
      </w:r>
      <w:r w:rsidR="00F3503E">
        <w:t xml:space="preserve"> </w:t>
      </w:r>
      <w:r>
        <w:t xml:space="preserve">You must not find the defendant guilty unless you all agree that the </w:t>
      </w:r>
      <w:r>
        <w:lastRenderedPageBreak/>
        <w:t>People have proved that the defendant committed at least one of these acts and you all agree on which act he committed.</w:t>
      </w:r>
      <w:r w:rsidR="00DC581E">
        <w:t>”</w:t>
      </w:r>
      <w:r>
        <w:t xml:space="preserve"> </w:t>
      </w:r>
    </w:p>
    <w:p w14:paraId="7AFDFB17" w14:textId="6F1485BD" w:rsidR="003D7637" w:rsidRDefault="00BF477A" w:rsidP="00DC1E21">
      <w:pPr>
        <w:spacing w:line="360" w:lineRule="auto"/>
      </w:pPr>
      <w:r>
        <w:tab/>
        <w:t>In closing argument</w:t>
      </w:r>
      <w:r w:rsidR="0071758B">
        <w:t>,</w:t>
      </w:r>
      <w:r>
        <w:t xml:space="preserve"> the prosecutor identified the two theories of liability under </w:t>
      </w:r>
      <w:r w:rsidR="00BF5C24">
        <w:t>c</w:t>
      </w:r>
      <w:r>
        <w:t>ount</w:t>
      </w:r>
      <w:r w:rsidR="006A7DD7">
        <w:t> </w:t>
      </w:r>
      <w:r>
        <w:t>1 and emphasized, “It’s important that while you</w:t>
      </w:r>
      <w:r w:rsidR="00D30152">
        <w:t>’</w:t>
      </w:r>
      <w:r>
        <w:t xml:space="preserve">re deliberating and if you do come to a unanimous guilty verdict as to </w:t>
      </w:r>
      <w:r w:rsidR="00286DB9">
        <w:t>C</w:t>
      </w:r>
      <w:r>
        <w:t xml:space="preserve">ount 1 that everyone also agrees on what act constituted that corporal injury, the punching, her being hit by the rod, perhaps both. </w:t>
      </w:r>
      <w:r w:rsidR="00441907">
        <w:t xml:space="preserve"> </w:t>
      </w:r>
      <w:r>
        <w:t xml:space="preserve">But everyone has to agree on what </w:t>
      </w:r>
      <w:proofErr w:type="gramStart"/>
      <w:r>
        <w:t>act</w:t>
      </w:r>
      <w:proofErr w:type="gramEnd"/>
      <w:r>
        <w:t xml:space="preserve"> and everyone has to have a unanimous guilty for a verdict on that act. </w:t>
      </w:r>
      <w:r w:rsidR="00441907">
        <w:t xml:space="preserve"> </w:t>
      </w:r>
      <w:r>
        <w:t>That’s to protect against maybe ten jurors believe the punch caused the corporal injury but aren</w:t>
      </w:r>
      <w:r w:rsidR="00D30152">
        <w:t>’</w:t>
      </w:r>
      <w:r>
        <w:t xml:space="preserve">t so sure about the metal rod and another ten maybe believe the rod caused the corporal injury but not the punch. </w:t>
      </w:r>
      <w:r w:rsidR="00AD47DA">
        <w:t xml:space="preserve"> </w:t>
      </w:r>
      <w:proofErr w:type="gramStart"/>
      <w:r>
        <w:t>So</w:t>
      </w:r>
      <w:proofErr w:type="gramEnd"/>
      <w:r>
        <w:t xml:space="preserve"> it’s important that everyone agrees on the act that caused that potential corporal injury, not just everyone agrees he did something.” </w:t>
      </w:r>
      <w:r w:rsidR="00822BF0">
        <w:t xml:space="preserve"> </w:t>
      </w:r>
      <w:r w:rsidR="003974D2">
        <w:t>T</w:t>
      </w:r>
      <w:r w:rsidR="00822BF0">
        <w:t xml:space="preserve">he prosecutor </w:t>
      </w:r>
      <w:r w:rsidR="003974D2">
        <w:t>continued</w:t>
      </w:r>
      <w:r w:rsidR="00822BF0">
        <w:t>, “</w:t>
      </w:r>
      <w:r w:rsidR="002E04D2">
        <w:t>Count</w:t>
      </w:r>
      <w:r w:rsidR="00786AFC">
        <w:t> </w:t>
      </w:r>
      <w:r w:rsidR="002E04D2">
        <w:t>1</w:t>
      </w:r>
      <w:r w:rsidR="00AD121C">
        <w:t xml:space="preserve">, which is corporal injury and domestic violence, </w:t>
      </w:r>
      <w:r w:rsidR="002E04D2">
        <w:t>has one lesser included</w:t>
      </w:r>
      <w:r w:rsidR="00AD121C">
        <w:t>, effectively simple domestic battery.  Any harmful or offens</w:t>
      </w:r>
      <w:r w:rsidR="00CA54E8">
        <w:t>ive</w:t>
      </w:r>
      <w:r w:rsidR="00AD121C">
        <w:t xml:space="preserve"> contact could be </w:t>
      </w:r>
      <w:r w:rsidR="00060698">
        <w:t>considered</w:t>
      </w:r>
      <w:r w:rsidR="00AD121C">
        <w:t xml:space="preserve"> domestic violence. </w:t>
      </w:r>
      <w:r w:rsidR="00AD47DA">
        <w:t xml:space="preserve"> </w:t>
      </w:r>
      <w:r w:rsidR="00AD121C">
        <w:t xml:space="preserve">It doesn’t have to result in injury to be a criminal offense. </w:t>
      </w:r>
      <w:r w:rsidR="00AD47DA">
        <w:t xml:space="preserve"> </w:t>
      </w:r>
      <w:proofErr w:type="gramStart"/>
      <w:r w:rsidR="00AD121C">
        <w:t>So</w:t>
      </w:r>
      <w:proofErr w:type="gramEnd"/>
      <w:r w:rsidR="00AD121C">
        <w:t xml:space="preserve"> let’s say hypothetically, </w:t>
      </w:r>
      <w:r w:rsidR="005503DB">
        <w:t>you guys go back in chambers and everyone agrees, ye</w:t>
      </w:r>
      <w:r w:rsidR="00060698">
        <w:t>s</w:t>
      </w:r>
      <w:r w:rsidR="005503DB">
        <w:t xml:space="preserve">, he punched her. </w:t>
      </w:r>
      <w:r w:rsidR="00AD47DA">
        <w:t xml:space="preserve"> </w:t>
      </w:r>
      <w:r w:rsidR="005503DB">
        <w:t xml:space="preserve">Or yes, he threw the rod at her, but I don’t think it caused injury. </w:t>
      </w:r>
      <w:r w:rsidR="00AD47DA">
        <w:t xml:space="preserve"> </w:t>
      </w:r>
      <w:r w:rsidR="005503DB">
        <w:t>It is still illegal to punch someone, even if it did</w:t>
      </w:r>
      <w:r w:rsidR="00060698">
        <w:t xml:space="preserve">n’t cause injury. </w:t>
      </w:r>
      <w:r w:rsidR="00AD47DA">
        <w:t xml:space="preserve"> </w:t>
      </w:r>
      <w:r w:rsidR="00060698">
        <w:t>It’s still illegal to throw a metal rod at someone, even if it didn’t cause injury.”</w:t>
      </w:r>
    </w:p>
    <w:p w14:paraId="2733B06D" w14:textId="2EE025B1" w:rsidR="006D411E" w:rsidRDefault="00FF3599" w:rsidP="00F90761">
      <w:pPr>
        <w:spacing w:line="360" w:lineRule="auto"/>
      </w:pPr>
      <w:r>
        <w:tab/>
      </w:r>
      <w:r w:rsidR="00DC1E21">
        <w:t xml:space="preserve">Fish contends the trial court </w:t>
      </w:r>
      <w:r w:rsidR="00D36F75" w:rsidRPr="00D36F75">
        <w:t xml:space="preserve">violated his right to due process by failing to expressly instruct the jury that the unanimity instruction applied not only to the charged </w:t>
      </w:r>
      <w:r w:rsidR="00D36F75">
        <w:t xml:space="preserve">offense </w:t>
      </w:r>
      <w:r w:rsidR="00D36F75" w:rsidRPr="00D36F75">
        <w:t>but also to the lesser included offense</w:t>
      </w:r>
      <w:r w:rsidR="00D36F75">
        <w:t xml:space="preserve"> of domestic battery</w:t>
      </w:r>
      <w:r w:rsidR="007458D4">
        <w:t>.</w:t>
      </w:r>
      <w:r w:rsidR="00DC1E21">
        <w:t xml:space="preserve"> </w:t>
      </w:r>
      <w:r w:rsidR="007458D4">
        <w:t xml:space="preserve"> </w:t>
      </w:r>
      <w:r w:rsidR="00341105" w:rsidRPr="004857B9">
        <w:t xml:space="preserve">The </w:t>
      </w:r>
      <w:r w:rsidR="009B084B">
        <w:t>Attorney General</w:t>
      </w:r>
      <w:r w:rsidR="00341105">
        <w:t xml:space="preserve"> acknowledge</w:t>
      </w:r>
      <w:r w:rsidR="009B084B">
        <w:t>s</w:t>
      </w:r>
      <w:r w:rsidR="00341105">
        <w:t xml:space="preserve"> that </w:t>
      </w:r>
      <w:r w:rsidR="00E651D7">
        <w:t>the unanimity instruction was not expressly extended to the lesser charge but argue</w:t>
      </w:r>
      <w:r w:rsidR="00EE3590">
        <w:t>s</w:t>
      </w:r>
      <w:r w:rsidR="00E651D7">
        <w:t xml:space="preserve"> that there is no reasonable likelihood that the jury would have understood the unanimity </w:t>
      </w:r>
      <w:r w:rsidR="00E651D7">
        <w:lastRenderedPageBreak/>
        <w:t xml:space="preserve">instruction to apply only to the charged </w:t>
      </w:r>
      <w:r w:rsidR="005F6C72">
        <w:t>offense</w:t>
      </w:r>
      <w:r w:rsidR="00E651D7">
        <w:t xml:space="preserve"> and not to the lesser included offense. </w:t>
      </w:r>
      <w:r w:rsidR="000663D5">
        <w:t xml:space="preserve"> </w:t>
      </w:r>
    </w:p>
    <w:p w14:paraId="10B304BF" w14:textId="75391CDA" w:rsidR="00FF18DC" w:rsidRDefault="006D411E" w:rsidP="00F305CA">
      <w:pPr>
        <w:spacing w:line="360" w:lineRule="auto"/>
      </w:pPr>
      <w:r>
        <w:tab/>
      </w:r>
      <w:r w:rsidR="00B14455">
        <w:t>The parties have</w:t>
      </w:r>
      <w:r>
        <w:t xml:space="preserve"> not cited any authority </w:t>
      </w:r>
      <w:r w:rsidR="00B14455">
        <w:t xml:space="preserve">addressing whether </w:t>
      </w:r>
      <w:proofErr w:type="gramStart"/>
      <w:r w:rsidR="006B0BBC">
        <w:t>a</w:t>
      </w:r>
      <w:proofErr w:type="gramEnd"/>
      <w:r w:rsidR="006B0BBC">
        <w:t xml:space="preserve"> unanimity instruction</w:t>
      </w:r>
      <w:r w:rsidR="00F722D1">
        <w:t>,</w:t>
      </w:r>
      <w:r w:rsidR="008E063E">
        <w:t xml:space="preserve"> given as to the charged offense</w:t>
      </w:r>
      <w:r w:rsidR="00F722D1">
        <w:t>,</w:t>
      </w:r>
      <w:r w:rsidR="006B0BBC">
        <w:t xml:space="preserve"> </w:t>
      </w:r>
      <w:r w:rsidR="00B14455">
        <w:t xml:space="preserve">must </w:t>
      </w:r>
      <w:r w:rsidR="006B0BBC">
        <w:t xml:space="preserve">be expressly extended to </w:t>
      </w:r>
      <w:r w:rsidR="003600F3">
        <w:t>a</w:t>
      </w:r>
      <w:r w:rsidR="006B0BBC">
        <w:t xml:space="preserve"> lesser included offense </w:t>
      </w:r>
      <w:r w:rsidR="008E063E">
        <w:t xml:space="preserve">when </w:t>
      </w:r>
      <w:r w:rsidR="0061691A">
        <w:t>the same potential acts form the basis of each offense</w:t>
      </w:r>
      <w:r w:rsidR="00CD1CFA">
        <w:t>.</w:t>
      </w:r>
      <w:r w:rsidR="004D67A4">
        <w:t xml:space="preserve"> </w:t>
      </w:r>
      <w:r w:rsidR="00E02FAE">
        <w:t xml:space="preserve"> </w:t>
      </w:r>
      <w:r w:rsidR="003B62C2">
        <w:t xml:space="preserve">Our </w:t>
      </w:r>
      <w:r w:rsidR="002647B3">
        <w:t xml:space="preserve">own research has not identified any published California </w:t>
      </w:r>
      <w:r w:rsidR="009D2244">
        <w:t>cases</w:t>
      </w:r>
      <w:r w:rsidR="002647B3">
        <w:t xml:space="preserve"> on the question</w:t>
      </w:r>
      <w:r w:rsidR="00FB618B">
        <w:t xml:space="preserve"> either</w:t>
      </w:r>
      <w:r w:rsidR="002647B3">
        <w:t xml:space="preserve">, </w:t>
      </w:r>
      <w:r w:rsidR="005C7716">
        <w:t xml:space="preserve">but </w:t>
      </w:r>
      <w:r w:rsidR="00EC1658">
        <w:t>at least one other state court has</w:t>
      </w:r>
      <w:r w:rsidR="00E141E8">
        <w:t xml:space="preserve"> </w:t>
      </w:r>
      <w:r w:rsidR="000A48F0">
        <w:t>held</w:t>
      </w:r>
      <w:r w:rsidR="00E141E8">
        <w:t xml:space="preserve"> that</w:t>
      </w:r>
      <w:r w:rsidR="006903D7">
        <w:t>, while</w:t>
      </w:r>
      <w:r w:rsidR="00E141E8">
        <w:t xml:space="preserve"> a separate unanimity instruction</w:t>
      </w:r>
      <w:r w:rsidR="008A046A">
        <w:t xml:space="preserve"> is</w:t>
      </w:r>
      <w:r w:rsidR="002737A3">
        <w:t xml:space="preserve"> preferable</w:t>
      </w:r>
      <w:r w:rsidR="006903D7">
        <w:t>, the failure to give it</w:t>
      </w:r>
      <w:r w:rsidR="002737A3">
        <w:t xml:space="preserve"> </w:t>
      </w:r>
      <w:r w:rsidR="000A48F0">
        <w:t>did</w:t>
      </w:r>
      <w:r w:rsidR="00A35EC0">
        <w:t xml:space="preserve"> not constitute plain error</w:t>
      </w:r>
      <w:r w:rsidR="002C3FE7">
        <w:t xml:space="preserve"> </w:t>
      </w:r>
      <w:r w:rsidR="00780BBA">
        <w:t>when</w:t>
      </w:r>
      <w:r w:rsidR="002C3FE7">
        <w:t xml:space="preserve"> there </w:t>
      </w:r>
      <w:r w:rsidR="00497C4B">
        <w:t>was</w:t>
      </w:r>
      <w:r w:rsidR="002C3FE7">
        <w:t xml:space="preserve"> nothing in the record </w:t>
      </w:r>
      <w:r w:rsidR="008B7820">
        <w:t>that would have suggested</w:t>
      </w:r>
      <w:r w:rsidR="002C3FE7">
        <w:t xml:space="preserve"> </w:t>
      </w:r>
      <w:r w:rsidR="00780BBA">
        <w:t xml:space="preserve">to the jury that </w:t>
      </w:r>
      <w:r w:rsidR="008B7820">
        <w:t>the same requirement did not apply to the lesser included offense</w:t>
      </w:r>
      <w:r w:rsidR="002737A3">
        <w:t xml:space="preserve">.  </w:t>
      </w:r>
      <w:r w:rsidR="008C5AD8">
        <w:t xml:space="preserve">(See </w:t>
      </w:r>
      <w:r w:rsidR="008C5AD8" w:rsidRPr="008C5AD8">
        <w:rPr>
          <w:i/>
          <w:iCs/>
        </w:rPr>
        <w:t>People v. Abdulla</w:t>
      </w:r>
      <w:r w:rsidR="008C5AD8">
        <w:t xml:space="preserve"> (Colo. App.</w:t>
      </w:r>
      <w:r w:rsidR="0019527C">
        <w:t> </w:t>
      </w:r>
      <w:r w:rsidR="008C5AD8">
        <w:t>2020) 486</w:t>
      </w:r>
      <w:r w:rsidR="00C1415D">
        <w:t> </w:t>
      </w:r>
      <w:r w:rsidR="008C5AD8">
        <w:t>P.3d 380, 391</w:t>
      </w:r>
      <w:r w:rsidR="0052239F">
        <w:t xml:space="preserve"> [</w:t>
      </w:r>
      <w:r w:rsidR="00467466">
        <w:t>although</w:t>
      </w:r>
      <w:r w:rsidR="008F43BE">
        <w:t xml:space="preserve"> unanimity instruction referenced </w:t>
      </w:r>
      <w:r w:rsidR="001144CA">
        <w:t xml:space="preserve">only </w:t>
      </w:r>
      <w:r w:rsidR="008F43BE">
        <w:t>sexual assault and not unlawful sexual contact,</w:t>
      </w:r>
      <w:r w:rsidR="002C4C68">
        <w:t xml:space="preserve"> </w:t>
      </w:r>
      <w:r w:rsidR="00497C4B">
        <w:t>the instruction</w:t>
      </w:r>
      <w:r w:rsidR="002C4C68">
        <w:t xml:space="preserve"> “logically encompassed” the lesser included offense]</w:t>
      </w:r>
      <w:r w:rsidR="00E92688">
        <w:t>.</w:t>
      </w:r>
      <w:r w:rsidR="008C5AD8">
        <w:t>)</w:t>
      </w:r>
      <w:r w:rsidR="004D4EF4">
        <w:t xml:space="preserve"> </w:t>
      </w:r>
      <w:r w:rsidR="008C5AD8">
        <w:t xml:space="preserve"> </w:t>
      </w:r>
    </w:p>
    <w:p w14:paraId="5D080F74" w14:textId="6CB370D3" w:rsidR="00430A91" w:rsidRDefault="00FF18DC" w:rsidP="00F305CA">
      <w:pPr>
        <w:spacing w:line="360" w:lineRule="auto"/>
      </w:pPr>
      <w:r>
        <w:tab/>
      </w:r>
      <w:r w:rsidR="0089619B">
        <w:t xml:space="preserve">Had </w:t>
      </w:r>
      <w:r w:rsidR="003A4B1F">
        <w:t xml:space="preserve">the </w:t>
      </w:r>
      <w:r w:rsidR="00FA387F">
        <w:t xml:space="preserve">trial </w:t>
      </w:r>
      <w:r w:rsidR="00CA426D">
        <w:t>court</w:t>
      </w:r>
      <w:r w:rsidR="00053A08">
        <w:t xml:space="preserve"> </w:t>
      </w:r>
      <w:r w:rsidR="003B754C">
        <w:t xml:space="preserve">generally instructed the jury as to the </w:t>
      </w:r>
      <w:r w:rsidR="003974D2">
        <w:t>requirement for a unanimous verdict</w:t>
      </w:r>
      <w:r w:rsidR="009E1836">
        <w:t xml:space="preserve"> on count</w:t>
      </w:r>
      <w:r w:rsidR="006A7DD7">
        <w:t> </w:t>
      </w:r>
      <w:r w:rsidR="009E1836">
        <w:t xml:space="preserve">1, without expressly </w:t>
      </w:r>
      <w:r w:rsidR="00B643E2">
        <w:t>indicating the charged offense</w:t>
      </w:r>
      <w:r w:rsidR="003B754C">
        <w:t xml:space="preserve">, we would be quicker to agree that a </w:t>
      </w:r>
      <w:r w:rsidR="009E1836">
        <w:t>reasonable</w:t>
      </w:r>
      <w:r w:rsidR="003B754C">
        <w:t xml:space="preserve"> juror would </w:t>
      </w:r>
      <w:r w:rsidR="009E1836">
        <w:t>understand</w:t>
      </w:r>
      <w:r w:rsidR="00B643E2">
        <w:t xml:space="preserve"> the instruction as applying to both the charged offense and </w:t>
      </w:r>
      <w:r w:rsidR="00164627">
        <w:t>the</w:t>
      </w:r>
      <w:r w:rsidR="00B643E2">
        <w:t xml:space="preserve"> lesser offense.</w:t>
      </w:r>
      <w:r w:rsidR="00481D39">
        <w:t xml:space="preserve"> </w:t>
      </w:r>
      <w:r w:rsidR="00B643E2">
        <w:t xml:space="preserve"> </w:t>
      </w:r>
      <w:r w:rsidR="00D6135B">
        <w:t>However, b</w:t>
      </w:r>
      <w:r w:rsidR="00B57752">
        <w:t xml:space="preserve">y </w:t>
      </w:r>
      <w:r w:rsidR="0018182E">
        <w:t>explicitly</w:t>
      </w:r>
      <w:r w:rsidR="00D6135B">
        <w:t xml:space="preserve"> </w:t>
      </w:r>
      <w:r w:rsidR="003A7177">
        <w:t>naming</w:t>
      </w:r>
      <w:r w:rsidR="00B57752">
        <w:t xml:space="preserve"> the charged offense and omitting the lesser charge, the instruction arguably injected confusion into the deliberative process.</w:t>
      </w:r>
      <w:r w:rsidR="00481D39">
        <w:t xml:space="preserve"> </w:t>
      </w:r>
      <w:r w:rsidR="00B57752">
        <w:t xml:space="preserve"> (See </w:t>
      </w:r>
      <w:r w:rsidR="00F305CA" w:rsidRPr="00081A2A">
        <w:rPr>
          <w:i/>
        </w:rPr>
        <w:t>People v. Milosavljevic</w:t>
      </w:r>
      <w:r w:rsidR="00F305CA">
        <w:t xml:space="preserve"> (2010) 183</w:t>
      </w:r>
      <w:r w:rsidR="0019527C">
        <w:t> </w:t>
      </w:r>
      <w:r w:rsidR="00F305CA">
        <w:t xml:space="preserve">Cal.App.4th 640, </w:t>
      </w:r>
      <w:r w:rsidR="00565A7B">
        <w:t>648</w:t>
      </w:r>
      <w:r w:rsidR="008437FF">
        <w:t xml:space="preserve"> [</w:t>
      </w:r>
      <w:r w:rsidR="00540AD1">
        <w:t xml:space="preserve">where </w:t>
      </w:r>
      <w:r w:rsidR="001F5DEA">
        <w:t>unanimity</w:t>
      </w:r>
      <w:r w:rsidR="00540AD1">
        <w:t xml:space="preserve"> instruction expressly identified the multiple cou</w:t>
      </w:r>
      <w:r w:rsidR="00D6135B">
        <w:t>n</w:t>
      </w:r>
      <w:r w:rsidR="00540AD1">
        <w:t xml:space="preserve">ts to which it applied, </w:t>
      </w:r>
      <w:r w:rsidR="001F5DEA">
        <w:t>court would not presume that</w:t>
      </w:r>
      <w:r w:rsidR="001F5DEA" w:rsidRPr="001F5DEA">
        <w:t xml:space="preserve"> the jurors inferred that the omission </w:t>
      </w:r>
      <w:r w:rsidR="00595AB5">
        <w:t xml:space="preserve">of another count </w:t>
      </w:r>
      <w:r w:rsidR="008C1600">
        <w:t>“</w:t>
      </w:r>
      <w:r w:rsidR="001F5DEA" w:rsidRPr="001F5DEA">
        <w:t>was merely an oversight by the court and, on their own, decided to require unanimity regarding the specific act constituting that offense</w:t>
      </w:r>
      <w:r w:rsidR="008C1600">
        <w:t>”</w:t>
      </w:r>
      <w:r w:rsidR="004E3AF6">
        <w:t>]</w:t>
      </w:r>
      <w:r w:rsidR="001F5DEA" w:rsidRPr="001F5DEA">
        <w:t>.</w:t>
      </w:r>
      <w:r w:rsidR="004E3AF6">
        <w:t>)</w:t>
      </w:r>
      <w:r w:rsidR="00650440">
        <w:t xml:space="preserve">  </w:t>
      </w:r>
      <w:r w:rsidR="00081A2A">
        <w:t>T</w:t>
      </w:r>
      <w:r w:rsidR="00650440">
        <w:t xml:space="preserve">his confusion could </w:t>
      </w:r>
      <w:r w:rsidR="00E81E89">
        <w:t xml:space="preserve">have </w:t>
      </w:r>
      <w:r w:rsidR="00650440">
        <w:t>be</w:t>
      </w:r>
      <w:r w:rsidR="00E81E89">
        <w:t>en</w:t>
      </w:r>
      <w:r w:rsidR="00650440">
        <w:t xml:space="preserve"> avoided by modifying the pattern instruction to read</w:t>
      </w:r>
      <w:proofErr w:type="gramStart"/>
      <w:r w:rsidR="00650440">
        <w:t xml:space="preserve">: </w:t>
      </w:r>
      <w:r w:rsidR="005C1081">
        <w:t xml:space="preserve"> </w:t>
      </w:r>
      <w:r w:rsidR="00650440">
        <w:t>“</w:t>
      </w:r>
      <w:proofErr w:type="gramEnd"/>
      <w:r w:rsidR="00650440" w:rsidRPr="001508DE">
        <w:t xml:space="preserve">The defendant is charged with </w:t>
      </w:r>
      <w:r w:rsidR="00650440" w:rsidRPr="001508DE">
        <w:lastRenderedPageBreak/>
        <w:t>inflicting an injury on the mother of his child that resulted in a traumatic condition in Count</w:t>
      </w:r>
      <w:r w:rsidR="00537CB8">
        <w:t> </w:t>
      </w:r>
      <w:r w:rsidR="00650440" w:rsidRPr="001508DE">
        <w:t>1</w:t>
      </w:r>
      <w:r w:rsidR="00CE2DE8">
        <w:t xml:space="preserve">, </w:t>
      </w:r>
      <w:r w:rsidR="00CE2DE8" w:rsidRPr="0077296A">
        <w:rPr>
          <w:i/>
          <w:iCs/>
        </w:rPr>
        <w:t xml:space="preserve">and the lesser </w:t>
      </w:r>
      <w:r w:rsidR="000A6FCA" w:rsidRPr="0077296A">
        <w:rPr>
          <w:i/>
          <w:iCs/>
        </w:rPr>
        <w:t>included offense</w:t>
      </w:r>
      <w:r w:rsidR="00650440" w:rsidRPr="001508DE">
        <w:t>.</w:t>
      </w:r>
      <w:r w:rsidR="005C1081">
        <w:t xml:space="preserve"> </w:t>
      </w:r>
      <w:r w:rsidR="00650440" w:rsidRPr="001508DE">
        <w:t xml:space="preserve"> [</w:t>
      </w:r>
      <w:proofErr w:type="gramStart"/>
      <w:r w:rsidR="00650440" w:rsidRPr="001508DE">
        <w:t>¶]  The</w:t>
      </w:r>
      <w:proofErr w:type="gramEnd"/>
      <w:r w:rsidR="00650440" w:rsidRPr="001508DE">
        <w:t xml:space="preserve"> People have presented evidence of more than one act to prove that the defendant committed this offense</w:t>
      </w:r>
      <w:r w:rsidR="00650440">
        <w:t xml:space="preserve"> </w:t>
      </w:r>
      <w:r w:rsidR="00650440" w:rsidRPr="005E0893">
        <w:rPr>
          <w:i/>
          <w:iCs/>
        </w:rPr>
        <w:t>and the lesser included offense</w:t>
      </w:r>
      <w:r w:rsidR="00650440" w:rsidRPr="001508DE">
        <w:t xml:space="preserve">.  You must not find the defendant guilty </w:t>
      </w:r>
      <w:r w:rsidR="008E55EF">
        <w:rPr>
          <w:i/>
          <w:iCs/>
        </w:rPr>
        <w:t xml:space="preserve">of either offense </w:t>
      </w:r>
      <w:r w:rsidR="00650440" w:rsidRPr="001508DE">
        <w:t xml:space="preserve">unless you all agree that the People have proved that the defendant committed at least one of these acts and you all agree on which act he committed.” </w:t>
      </w:r>
      <w:r w:rsidR="00270C27">
        <w:t xml:space="preserve">  </w:t>
      </w:r>
    </w:p>
    <w:p w14:paraId="76212152" w14:textId="4831B779" w:rsidR="00F90761" w:rsidRDefault="007616EB" w:rsidP="00F90761">
      <w:pPr>
        <w:spacing w:line="360" w:lineRule="auto"/>
      </w:pPr>
      <w:r>
        <w:tab/>
      </w:r>
      <w:r w:rsidR="00E73AB4">
        <w:t>Although such clarif</w:t>
      </w:r>
      <w:r w:rsidR="003E1F08">
        <w:t xml:space="preserve">ying language was absent, we give some weight to the fact that the </w:t>
      </w:r>
      <w:r w:rsidR="00DA6948">
        <w:t xml:space="preserve">prosecutor’s </w:t>
      </w:r>
      <w:r w:rsidR="00BC2328">
        <w:t xml:space="preserve">argument </w:t>
      </w:r>
      <w:r w:rsidR="00DF7DB0">
        <w:t>suggested</w:t>
      </w:r>
      <w:r w:rsidR="00612AF5">
        <w:t xml:space="preserve"> that </w:t>
      </w:r>
      <w:r w:rsidR="00983CB5">
        <w:t xml:space="preserve">unanimity was required </w:t>
      </w:r>
      <w:r w:rsidR="009A7081">
        <w:t>for</w:t>
      </w:r>
      <w:r w:rsidR="00983CB5">
        <w:t xml:space="preserve"> both the charged and lesser</w:t>
      </w:r>
      <w:r w:rsidR="00B139C9">
        <w:t xml:space="preserve"> included</w:t>
      </w:r>
      <w:r w:rsidR="00983CB5">
        <w:t xml:space="preserve"> offense. </w:t>
      </w:r>
      <w:r w:rsidR="00E02FAE">
        <w:t xml:space="preserve"> </w:t>
      </w:r>
      <w:r w:rsidR="00D76E69">
        <w:t xml:space="preserve">(See </w:t>
      </w:r>
      <w:r w:rsidR="00D76E69" w:rsidRPr="00D76E69">
        <w:rPr>
          <w:i/>
          <w:iCs/>
        </w:rPr>
        <w:t>Middleton v. McNeil</w:t>
      </w:r>
      <w:r w:rsidR="00D76E69">
        <w:t xml:space="preserve"> (2004) 541</w:t>
      </w:r>
      <w:r w:rsidR="00723DBC">
        <w:t> </w:t>
      </w:r>
      <w:r w:rsidR="00D76E69">
        <w:t>U.S. 433, 438 [</w:t>
      </w:r>
      <w:r w:rsidR="000938BA">
        <w:t xml:space="preserve">it is </w:t>
      </w:r>
      <w:r w:rsidR="009D6B73">
        <w:t xml:space="preserve">reasonable to assume that </w:t>
      </w:r>
      <w:r w:rsidR="00EB60C1">
        <w:t xml:space="preserve">counsel’s </w:t>
      </w:r>
      <w:r w:rsidR="009D6B73">
        <w:t xml:space="preserve">argument </w:t>
      </w:r>
      <w:r w:rsidR="00DF590F">
        <w:t>clarified</w:t>
      </w:r>
      <w:r w:rsidR="009D6B73">
        <w:t xml:space="preserve"> an ambiguous </w:t>
      </w:r>
      <w:r w:rsidR="00EB60C1">
        <w:t>jury instruction</w:t>
      </w:r>
      <w:r w:rsidR="00F9765D">
        <w:t>,</w:t>
      </w:r>
      <w:r w:rsidR="00EB60C1">
        <w:t xml:space="preserve"> </w:t>
      </w:r>
      <w:r w:rsidR="006306C4">
        <w:t xml:space="preserve">particularly </w:t>
      </w:r>
      <w:r w:rsidR="00EB60C1">
        <w:t>when it is the prosecutor’s argument resolving an ambiguity in favor of the defendant]</w:t>
      </w:r>
      <w:r w:rsidR="00D43EBC">
        <w:t xml:space="preserve">; </w:t>
      </w:r>
      <w:r w:rsidR="008A63E5" w:rsidRPr="00AF552B">
        <w:rPr>
          <w:i/>
          <w:iCs/>
        </w:rPr>
        <w:t>People v. Young</w:t>
      </w:r>
      <w:r w:rsidR="008A63E5" w:rsidRPr="008A63E5">
        <w:t xml:space="preserve"> (2005) 34</w:t>
      </w:r>
      <w:r w:rsidR="00A5154C">
        <w:t> </w:t>
      </w:r>
      <w:r w:rsidR="008A63E5" w:rsidRPr="008A63E5">
        <w:t xml:space="preserve">Cal.4th 1149, 1202 </w:t>
      </w:r>
      <w:r w:rsidR="008A63E5">
        <w:t>[“</w:t>
      </w:r>
      <w:r w:rsidR="008A63E5" w:rsidRPr="008A63E5">
        <w:t>The reviewing court also must consider the arguments of counsel in assessing the probable impact of the instruction on the jury</w:t>
      </w:r>
      <w:r w:rsidR="00277F4B">
        <w:t>”]</w:t>
      </w:r>
      <w:r w:rsidR="00EB60C1">
        <w:t xml:space="preserve">.)  </w:t>
      </w:r>
      <w:r w:rsidR="00E07165">
        <w:t>T</w:t>
      </w:r>
      <w:r w:rsidR="005D6C97">
        <w:t xml:space="preserve">he </w:t>
      </w:r>
      <w:r w:rsidR="00CE74E9">
        <w:t>prosecutor</w:t>
      </w:r>
      <w:r w:rsidR="005D6C97">
        <w:t xml:space="preserve"> did not expressly state that the </w:t>
      </w:r>
      <w:r w:rsidR="005E038B">
        <w:t xml:space="preserve">unanimity </w:t>
      </w:r>
      <w:r w:rsidR="005D6C97">
        <w:t xml:space="preserve">instruction applied to the lesser </w:t>
      </w:r>
      <w:r w:rsidR="00BF2124">
        <w:t xml:space="preserve">included </w:t>
      </w:r>
      <w:r w:rsidR="005D6C97">
        <w:t xml:space="preserve">offense, </w:t>
      </w:r>
      <w:r w:rsidR="00E07165">
        <w:t xml:space="preserve">but </w:t>
      </w:r>
      <w:r w:rsidR="00EC18DE">
        <w:t xml:space="preserve">his </w:t>
      </w:r>
      <w:r w:rsidR="00F72D67">
        <w:t>account of</w:t>
      </w:r>
      <w:r w:rsidR="009D51D5">
        <w:t xml:space="preserve"> </w:t>
      </w:r>
      <w:r w:rsidR="00F72D67">
        <w:t>the circumstances under which the jury should</w:t>
      </w:r>
      <w:r w:rsidR="009D51D5">
        <w:t xml:space="preserve"> convict on</w:t>
      </w:r>
      <w:r w:rsidR="00712C7E">
        <w:t xml:space="preserve"> </w:t>
      </w:r>
      <w:r w:rsidR="00BF2124">
        <w:t>it</w:t>
      </w:r>
      <w:r w:rsidR="0092441F">
        <w:t>, which immediately followed his discussion of the unani</w:t>
      </w:r>
      <w:r w:rsidR="00037F8F">
        <w:t xml:space="preserve">mity requirement, was </w:t>
      </w:r>
      <w:r w:rsidR="004356FD">
        <w:t xml:space="preserve">also </w:t>
      </w:r>
      <w:r w:rsidR="00037F8F">
        <w:t>premised on unanimity</w:t>
      </w:r>
      <w:proofErr w:type="gramStart"/>
      <w:r w:rsidR="00037F8F">
        <w:t xml:space="preserve">: </w:t>
      </w:r>
      <w:r w:rsidR="00481D39">
        <w:t xml:space="preserve"> </w:t>
      </w:r>
      <w:r w:rsidR="00FD4637">
        <w:t>“</w:t>
      </w:r>
      <w:proofErr w:type="gramEnd"/>
      <w:r w:rsidR="006636C8">
        <w:t>So let’s say hypothetically, y</w:t>
      </w:r>
      <w:r w:rsidR="00432A04">
        <w:t xml:space="preserve">ou guys go back in chambers and </w:t>
      </w:r>
      <w:r w:rsidR="00432A04" w:rsidRPr="00112DF7">
        <w:t>everyone</w:t>
      </w:r>
      <w:r w:rsidR="00432A04">
        <w:t xml:space="preserve"> agrees, yes, he punched her.  Or yes, he threw the rod at her, but I don’t think it caused injury.</w:t>
      </w:r>
      <w:r w:rsidR="00FD4637">
        <w:t>”</w:t>
      </w:r>
      <w:r w:rsidR="00F21738">
        <w:rPr>
          <w:rStyle w:val="FootnoteReference"/>
        </w:rPr>
        <w:footnoteReference w:id="4"/>
      </w:r>
      <w:r w:rsidR="00432A04">
        <w:t xml:space="preserve">  </w:t>
      </w:r>
      <w:r w:rsidR="0082668B">
        <w:t>By arguing</w:t>
      </w:r>
      <w:r w:rsidR="00B616DA">
        <w:t xml:space="preserve"> that </w:t>
      </w:r>
      <w:r w:rsidR="001C41E0">
        <w:t xml:space="preserve">the jury </w:t>
      </w:r>
      <w:r w:rsidR="00301E1F">
        <w:t>should</w:t>
      </w:r>
      <w:r w:rsidR="001C41E0">
        <w:t xml:space="preserve"> </w:t>
      </w:r>
      <w:r w:rsidR="001C41E0">
        <w:lastRenderedPageBreak/>
        <w:t xml:space="preserve">convict on the lesser </w:t>
      </w:r>
      <w:r w:rsidR="006B531D">
        <w:t xml:space="preserve">included offense if </w:t>
      </w:r>
      <w:r w:rsidR="00B616DA">
        <w:t xml:space="preserve">everyone </w:t>
      </w:r>
      <w:r w:rsidR="006B531D">
        <w:t>agreed</w:t>
      </w:r>
      <w:r w:rsidR="00B616DA">
        <w:t xml:space="preserve"> on the act </w:t>
      </w:r>
      <w:r w:rsidR="00CE0A3E">
        <w:t xml:space="preserve">but </w:t>
      </w:r>
      <w:r w:rsidR="004F499A">
        <w:t>did not believe</w:t>
      </w:r>
      <w:r w:rsidR="00B616DA">
        <w:t xml:space="preserve"> it caused injury</w:t>
      </w:r>
      <w:r w:rsidR="001F2DC5">
        <w:t xml:space="preserve">, </w:t>
      </w:r>
      <w:r w:rsidR="00307532">
        <w:t>the prosecutor</w:t>
      </w:r>
      <w:r w:rsidR="001F2DC5">
        <w:t xml:space="preserve"> reduced the likelihood</w:t>
      </w:r>
      <w:r w:rsidR="00B16463">
        <w:t xml:space="preserve"> </w:t>
      </w:r>
      <w:r w:rsidR="005B708F">
        <w:t>of confusion</w:t>
      </w:r>
      <w:r w:rsidR="00982403">
        <w:t xml:space="preserve"> about whether the unanimity instruction was applicable</w:t>
      </w:r>
      <w:r w:rsidR="00F90761">
        <w:t>.</w:t>
      </w:r>
      <w:r w:rsidR="00AC347D">
        <w:t xml:space="preserve">  Nonetheless, we echo</w:t>
      </w:r>
      <w:r w:rsidR="00907334">
        <w:t xml:space="preserve"> our sister court in Colorado </w:t>
      </w:r>
      <w:r w:rsidR="00CE2AA8">
        <w:t xml:space="preserve">in emphasizing that </w:t>
      </w:r>
      <w:r w:rsidR="005F682F">
        <w:t xml:space="preserve">a </w:t>
      </w:r>
      <w:r w:rsidR="00CD2B4D">
        <w:t xml:space="preserve">trial court should </w:t>
      </w:r>
      <w:r w:rsidR="00AA5755">
        <w:t xml:space="preserve">expressly </w:t>
      </w:r>
      <w:r w:rsidR="00824F13">
        <w:t xml:space="preserve">instruct </w:t>
      </w:r>
      <w:r w:rsidR="005F682F">
        <w:t>the</w:t>
      </w:r>
      <w:r w:rsidR="00AA5755">
        <w:t xml:space="preserve"> jur</w:t>
      </w:r>
      <w:r w:rsidR="005F682F">
        <w:t>y</w:t>
      </w:r>
      <w:r w:rsidR="00AA5755">
        <w:t xml:space="preserve"> that the unanimity requirement applies both to the charged offense and to any lesser included offense when </w:t>
      </w:r>
      <w:r w:rsidR="005A58F1">
        <w:t>a guilty finding</w:t>
      </w:r>
      <w:r w:rsidR="00423EBD">
        <w:t xml:space="preserve"> may </w:t>
      </w:r>
      <w:r w:rsidR="005F682F">
        <w:t>rest</w:t>
      </w:r>
      <w:r w:rsidR="00423EBD">
        <w:t xml:space="preserve"> on more than one act.</w:t>
      </w:r>
    </w:p>
    <w:p w14:paraId="126B6B2D" w14:textId="041817A1" w:rsidR="001561B7" w:rsidRDefault="00BC6EE8" w:rsidP="00F90761">
      <w:pPr>
        <w:spacing w:line="360" w:lineRule="auto"/>
      </w:pPr>
      <w:r>
        <w:tab/>
      </w:r>
      <w:r w:rsidR="005A58F1">
        <w:t>E</w:t>
      </w:r>
      <w:r w:rsidR="00B97F13">
        <w:t>ven if we assume</w:t>
      </w:r>
      <w:r w:rsidR="00DE1A5D">
        <w:t xml:space="preserve"> error</w:t>
      </w:r>
      <w:r w:rsidR="005A58F1">
        <w:t xml:space="preserve"> in this case</w:t>
      </w:r>
      <w:r>
        <w:t xml:space="preserve">, </w:t>
      </w:r>
      <w:r w:rsidR="008A73A4">
        <w:t xml:space="preserve">however, </w:t>
      </w:r>
      <w:r w:rsidR="00DE1A5D">
        <w:t xml:space="preserve">we find that </w:t>
      </w:r>
      <w:r w:rsidR="00AB3CFE">
        <w:t>it</w:t>
      </w:r>
      <w:r w:rsidR="00F42B1D">
        <w:t xml:space="preserve"> was harmless beyond a reasonable</w:t>
      </w:r>
      <w:r w:rsidR="007762BC">
        <w:t xml:space="preserve"> doubt. </w:t>
      </w:r>
      <w:r w:rsidR="00DE1A5D">
        <w:t xml:space="preserve"> </w:t>
      </w:r>
      <w:r w:rsidR="007762BC">
        <w:t>(</w:t>
      </w:r>
      <w:r w:rsidR="007762BC">
        <w:rPr>
          <w:i/>
        </w:rPr>
        <w:t>Chapman v. California</w:t>
      </w:r>
      <w:r w:rsidR="007762BC">
        <w:t xml:space="preserve"> (1967) 386</w:t>
      </w:r>
      <w:r w:rsidR="00693B2B">
        <w:t> </w:t>
      </w:r>
      <w:r w:rsidR="007762BC">
        <w:t>U.S. 18</w:t>
      </w:r>
      <w:r w:rsidR="009C4295">
        <w:t>.)</w:t>
      </w:r>
      <w:r w:rsidR="00F002F5">
        <w:t xml:space="preserve"> </w:t>
      </w:r>
      <w:r w:rsidR="00DE1A5D">
        <w:t xml:space="preserve"> </w:t>
      </w:r>
      <w:r w:rsidR="00F002F5">
        <w:t>“U</w:t>
      </w:r>
      <w:r w:rsidR="001561B7" w:rsidRPr="00623756">
        <w:t xml:space="preserve">nder </w:t>
      </w:r>
      <w:r w:rsidR="001561B7" w:rsidRPr="0059495D">
        <w:rPr>
          <w:i/>
        </w:rPr>
        <w:t>Chapman</w:t>
      </w:r>
      <w:r w:rsidR="00C25621">
        <w:t>,</w:t>
      </w:r>
      <w:r w:rsidR="001561B7" w:rsidRPr="00623756">
        <w:t xml:space="preserve"> </w:t>
      </w:r>
      <w:r w:rsidR="00B951F1">
        <w:t>[</w:t>
      </w:r>
      <w:r w:rsidR="003E3697">
        <w:t>the failure to give a unanimity instruction is harmless</w:t>
      </w:r>
      <w:r w:rsidR="00B951F1">
        <w:t>]</w:t>
      </w:r>
      <w:r w:rsidR="001561B7" w:rsidRPr="00623756">
        <w:t xml:space="preserve"> ‘[w]here the record provides no rational basis, by way of argument or evidence, for the jury to distinguish between the various acts, and the jury must have believed beyond a reasonable doubt that [the] defendant committed all acts if he committed any</w:t>
      </w:r>
      <w:r w:rsidR="00E0537D">
        <w:t>,</w:t>
      </w:r>
      <w:r w:rsidR="00863492">
        <w:t xml:space="preserve"> </w:t>
      </w:r>
      <w:r w:rsidR="00E0537D">
        <w:rPr>
          <w:rStyle w:val="ssrfcsection"/>
        </w:rPr>
        <w:t>the failure to give a unanimity instruction is harmless</w:t>
      </w:r>
      <w:r w:rsidR="003A6372">
        <w:rPr>
          <w:rStyle w:val="ssrfcsection"/>
        </w:rPr>
        <w:t>.</w:t>
      </w:r>
      <w:r w:rsidR="001561B7" w:rsidRPr="00623756">
        <w:t>’</w:t>
      </w:r>
      <w:r w:rsidR="00694903">
        <w:t xml:space="preserve"> </w:t>
      </w:r>
      <w:r w:rsidR="003A6372">
        <w:t xml:space="preserve"> </w:t>
      </w:r>
      <w:r w:rsidR="00694903">
        <w:t>[Citation.]</w:t>
      </w:r>
      <w:r w:rsidR="001561B7" w:rsidRPr="00623756">
        <w:t xml:space="preserve">  </w:t>
      </w:r>
      <w:r w:rsidR="00863492" w:rsidRPr="00863492">
        <w:t xml:space="preserve">For example, where the defendant offered the same defense to all criminal acts and </w:t>
      </w:r>
      <w:r w:rsidR="00863492">
        <w:t>‘</w:t>
      </w:r>
      <w:r w:rsidR="00863492" w:rsidRPr="00863492">
        <w:t>the jury</w:t>
      </w:r>
      <w:r w:rsidR="00BA5267">
        <w:t>’</w:t>
      </w:r>
      <w:r w:rsidR="00863492" w:rsidRPr="00863492">
        <w:t>s verdict implies that it did not believe the only defense offered,</w:t>
      </w:r>
      <w:r w:rsidR="00863492">
        <w:t>’</w:t>
      </w:r>
      <w:r w:rsidR="00863492" w:rsidRPr="00863492">
        <w:t xml:space="preserve"> failure to give </w:t>
      </w:r>
      <w:proofErr w:type="gramStart"/>
      <w:r w:rsidR="00863492" w:rsidRPr="00863492">
        <w:t>a</w:t>
      </w:r>
      <w:proofErr w:type="gramEnd"/>
      <w:r w:rsidR="00863492" w:rsidRPr="00863492">
        <w:t xml:space="preserve"> unanimity instruction is harmless error. </w:t>
      </w:r>
      <w:r w:rsidR="00B4191F">
        <w:t xml:space="preserve"> </w:t>
      </w:r>
      <w:r w:rsidR="00863492">
        <w:t>[Citation.]</w:t>
      </w:r>
      <w:r w:rsidR="00863492" w:rsidRPr="00863492">
        <w:t xml:space="preserve">  </w:t>
      </w:r>
      <w:r w:rsidR="00863492">
        <w:t>. . .</w:t>
      </w:r>
      <w:r w:rsidR="00863492" w:rsidRPr="00863492">
        <w:t xml:space="preserve">  The error is also harmless </w:t>
      </w:r>
      <w:r w:rsidR="00863492">
        <w:t>‘</w:t>
      </w:r>
      <w:r w:rsidR="00863492" w:rsidRPr="00863492">
        <w:t>[w]here the record indicates the jury resolved the basic credibility dispute against the defendant and therefore would have convicted him of any of the various offenses shown by the evidence.</w:t>
      </w:r>
      <w:proofErr w:type="gramStart"/>
      <w:r w:rsidR="00863492">
        <w:t>’</w:t>
      </w:r>
      <w:r w:rsidR="00226EB6">
        <w:t> </w:t>
      </w:r>
      <w:r w:rsidR="00863492">
        <w:t>”</w:t>
      </w:r>
      <w:proofErr w:type="gramEnd"/>
      <w:r w:rsidR="00863492" w:rsidRPr="00863492">
        <w:t xml:space="preserve"> </w:t>
      </w:r>
      <w:r w:rsidR="00490EE5">
        <w:t xml:space="preserve"> </w:t>
      </w:r>
      <w:r w:rsidR="001561B7" w:rsidRPr="00623756">
        <w:t>(</w:t>
      </w:r>
      <w:r w:rsidR="00CB70EB">
        <w:rPr>
          <w:i/>
          <w:iCs/>
        </w:rPr>
        <w:t xml:space="preserve">People v. </w:t>
      </w:r>
      <w:r w:rsidR="001561B7" w:rsidRPr="0059495D">
        <w:rPr>
          <w:i/>
        </w:rPr>
        <w:t>Hernandez</w:t>
      </w:r>
      <w:r w:rsidR="00CB70EB">
        <w:rPr>
          <w:i/>
          <w:iCs/>
        </w:rPr>
        <w:t xml:space="preserve"> </w:t>
      </w:r>
      <w:r w:rsidR="00CB70EB">
        <w:t>(2013)</w:t>
      </w:r>
      <w:r w:rsidR="001561B7" w:rsidRPr="00623756">
        <w:t xml:space="preserve"> 217</w:t>
      </w:r>
      <w:r w:rsidR="00226EB6">
        <w:t> </w:t>
      </w:r>
      <w:r w:rsidR="001561B7" w:rsidRPr="00623756">
        <w:t xml:space="preserve">Cal.App.4th </w:t>
      </w:r>
      <w:r w:rsidR="00CB70EB">
        <w:t>559,</w:t>
      </w:r>
      <w:r w:rsidR="001561B7" w:rsidRPr="00623756">
        <w:t xml:space="preserve"> 577.)</w:t>
      </w:r>
    </w:p>
    <w:p w14:paraId="5147FCE1" w14:textId="524FCD98" w:rsidR="00BC6EE8" w:rsidRDefault="001561B7" w:rsidP="00F90761">
      <w:pPr>
        <w:spacing w:line="360" w:lineRule="auto"/>
      </w:pPr>
      <w:r>
        <w:lastRenderedPageBreak/>
        <w:tab/>
      </w:r>
      <w:r w:rsidR="00AA753F">
        <w:t>Here,</w:t>
      </w:r>
      <w:r w:rsidR="009542EB">
        <w:t xml:space="preserve"> </w:t>
      </w:r>
      <w:r w:rsidR="009542EB">
        <w:rPr>
          <w:color w:val="000000"/>
        </w:rPr>
        <w:t>the record provide</w:t>
      </w:r>
      <w:r w:rsidR="00DD270F">
        <w:rPr>
          <w:color w:val="000000"/>
        </w:rPr>
        <w:t>s</w:t>
      </w:r>
      <w:r w:rsidR="009542EB">
        <w:rPr>
          <w:color w:val="000000"/>
        </w:rPr>
        <w:t xml:space="preserve"> no rational basis, by way of argument or evidence, for the jury to have distinguished between the two acts offered in support of the crime of domestic battery. </w:t>
      </w:r>
      <w:r w:rsidR="00620F61">
        <w:rPr>
          <w:color w:val="000000"/>
        </w:rPr>
        <w:t xml:space="preserve"> </w:t>
      </w:r>
      <w:r w:rsidR="009542EB">
        <w:rPr>
          <w:color w:val="000000"/>
        </w:rPr>
        <w:t xml:space="preserve">(See </w:t>
      </w:r>
      <w:r w:rsidR="009542EB">
        <w:rPr>
          <w:i/>
          <w:iCs/>
          <w:color w:val="000000"/>
        </w:rPr>
        <w:t>People v. Diedrich</w:t>
      </w:r>
      <w:r w:rsidR="009542EB">
        <w:rPr>
          <w:color w:val="000000"/>
        </w:rPr>
        <w:t xml:space="preserve"> (1982) 31</w:t>
      </w:r>
      <w:r w:rsidR="00210AB8">
        <w:rPr>
          <w:color w:val="000000"/>
        </w:rPr>
        <w:t> </w:t>
      </w:r>
      <w:r w:rsidR="009542EB">
        <w:rPr>
          <w:color w:val="000000"/>
        </w:rPr>
        <w:t xml:space="preserve">Cal.3d 263, 283 [failure to give unanimity instruction is harmless “where the jury’s verdict implies that it did not believe the only defense offered”].) </w:t>
      </w:r>
      <w:r w:rsidR="007718CB">
        <w:rPr>
          <w:color w:val="000000"/>
        </w:rPr>
        <w:t xml:space="preserve"> </w:t>
      </w:r>
      <w:r w:rsidR="00406B3D">
        <w:t xml:space="preserve">In closing, Fish’s counsel </w:t>
      </w:r>
      <w:r w:rsidR="00FA02CA">
        <w:t>did not differentiate between the two acts that</w:t>
      </w:r>
      <w:r w:rsidR="00235AD2">
        <w:t xml:space="preserve"> formed the basis of </w:t>
      </w:r>
      <w:r w:rsidR="000C14D1">
        <w:t xml:space="preserve">his conviction </w:t>
      </w:r>
      <w:r w:rsidR="00C96271">
        <w:t xml:space="preserve">on </w:t>
      </w:r>
      <w:r w:rsidR="008D2747">
        <w:t>count</w:t>
      </w:r>
      <w:r w:rsidR="006A7DD7">
        <w:t> </w:t>
      </w:r>
      <w:r w:rsidR="008D2747">
        <w:t>1</w:t>
      </w:r>
      <w:r w:rsidR="00F05F59">
        <w:t xml:space="preserve"> or provide a specific defense to the lesser charge of domestic battery</w:t>
      </w:r>
      <w:r w:rsidR="005B089A">
        <w:t>.</w:t>
      </w:r>
      <w:r w:rsidR="00D03E4F">
        <w:t xml:space="preserve"> </w:t>
      </w:r>
      <w:r w:rsidR="00C116E0">
        <w:t xml:space="preserve"> </w:t>
      </w:r>
      <w:r w:rsidR="008D3093">
        <w:t>Beyond a general suggestion that the victim had personal biases and motivations that lessened her overall credibility, Fish’s counsel</w:t>
      </w:r>
      <w:r w:rsidR="00586BD1">
        <w:t xml:space="preserve"> </w:t>
      </w:r>
      <w:r w:rsidR="00541CB7">
        <w:t xml:space="preserve">questioned the credibility of the victim’s account of </w:t>
      </w:r>
      <w:r w:rsidR="00C63C51" w:rsidRPr="00C63C51">
        <w:t>the incident with the rod</w:t>
      </w:r>
      <w:r w:rsidR="00112E99">
        <w:t>—</w:t>
      </w:r>
      <w:r w:rsidR="00541CB7">
        <w:t>noting</w:t>
      </w:r>
      <w:r w:rsidR="00112E99">
        <w:t>,</w:t>
      </w:r>
      <w:r w:rsidR="00541CB7">
        <w:t xml:space="preserve"> </w:t>
      </w:r>
      <w:r w:rsidR="00C63C51" w:rsidRPr="00C63C51">
        <w:t>for example, that the victim did not see Fish throw it</w:t>
      </w:r>
      <w:r w:rsidR="00541CB7">
        <w:t xml:space="preserve"> and</w:t>
      </w:r>
      <w:r w:rsidR="00C63C51" w:rsidRPr="00C63C51">
        <w:t xml:space="preserve"> that she could describe it only generally</w:t>
      </w:r>
      <w:r w:rsidR="008D3093">
        <w:t>.</w:t>
      </w:r>
      <w:r w:rsidR="00406B3D">
        <w:t xml:space="preserve">  </w:t>
      </w:r>
      <w:r w:rsidR="007B03F1">
        <w:t>I</w:t>
      </w:r>
      <w:r w:rsidR="00F602CC">
        <w:t>n finding Fish guilty</w:t>
      </w:r>
      <w:r w:rsidR="00433290">
        <w:t xml:space="preserve"> of assault</w:t>
      </w:r>
      <w:r w:rsidR="00DA3EFB">
        <w:t xml:space="preserve"> with a deadly weapon</w:t>
      </w:r>
      <w:r w:rsidR="007B03F1">
        <w:t>, the jury</w:t>
      </w:r>
      <w:r w:rsidR="00F602CC">
        <w:t xml:space="preserve"> </w:t>
      </w:r>
      <w:r w:rsidR="00DA3EFB">
        <w:t xml:space="preserve">necessarily </w:t>
      </w:r>
      <w:r w:rsidR="001D5CF0">
        <w:t xml:space="preserve">rejected </w:t>
      </w:r>
      <w:r w:rsidR="002F43A0">
        <w:t>that argument</w:t>
      </w:r>
      <w:r w:rsidR="00BA3C61">
        <w:t xml:space="preserve">.  </w:t>
      </w:r>
      <w:r w:rsidR="00992A63">
        <w:rPr>
          <w:color w:val="000000"/>
        </w:rPr>
        <w:t xml:space="preserve">Fish provided no evidence or argument suggesting that he did not intend for the rod to touch the victim when he threw it at her.  </w:t>
      </w:r>
      <w:r w:rsidR="006650A8">
        <w:t>The victim’s testimony, once credited by the jury, necessarily establishe</w:t>
      </w:r>
      <w:r w:rsidR="00E96FF7">
        <w:t>s</w:t>
      </w:r>
      <w:r w:rsidR="006650A8">
        <w:t xml:space="preserve"> that Fish committed a battery in two ways</w:t>
      </w:r>
      <w:r w:rsidR="00D52884">
        <w:t xml:space="preserve">: </w:t>
      </w:r>
      <w:r w:rsidR="00D159B0">
        <w:t xml:space="preserve"> H</w:t>
      </w:r>
      <w:r w:rsidR="00D52884">
        <w:t xml:space="preserve">e punched her in the </w:t>
      </w:r>
      <w:proofErr w:type="gramStart"/>
      <w:r w:rsidR="00D52884">
        <w:t>face</w:t>
      </w:r>
      <w:proofErr w:type="gramEnd"/>
      <w:r w:rsidR="00D52884">
        <w:t xml:space="preserve"> and he caused her to be struck </w:t>
      </w:r>
      <w:r w:rsidR="009F73CD">
        <w:t xml:space="preserve">with the thrown object. </w:t>
      </w:r>
      <w:r w:rsidR="00613D14">
        <w:t xml:space="preserve"> </w:t>
      </w:r>
      <w:r w:rsidR="003C52CC">
        <w:t>There was a</w:t>
      </w:r>
      <w:r w:rsidR="00D16DF4">
        <w:t>n “offensive”</w:t>
      </w:r>
      <w:r w:rsidR="003C52CC">
        <w:t xml:space="preserve"> </w:t>
      </w:r>
      <w:r w:rsidR="00D16DF4">
        <w:t>“</w:t>
      </w:r>
      <w:r w:rsidR="003C52CC">
        <w:t>touch</w:t>
      </w:r>
      <w:r w:rsidR="00D16DF4">
        <w:t>[</w:t>
      </w:r>
      <w:proofErr w:type="spellStart"/>
      <w:r w:rsidR="003C52CC">
        <w:t>ing</w:t>
      </w:r>
      <w:proofErr w:type="spellEnd"/>
      <w:r w:rsidR="00D16DF4">
        <w:t>]”</w:t>
      </w:r>
      <w:r w:rsidR="003C52CC">
        <w:t xml:space="preserve"> either way. </w:t>
      </w:r>
      <w:r w:rsidR="002B7A2C">
        <w:t xml:space="preserve"> </w:t>
      </w:r>
      <w:r w:rsidR="00D25165">
        <w:t xml:space="preserve">Particularly </w:t>
      </w:r>
      <w:proofErr w:type="gramStart"/>
      <w:r w:rsidR="00D25165">
        <w:t>i</w:t>
      </w:r>
      <w:r w:rsidR="00DA380D">
        <w:t>n light of</w:t>
      </w:r>
      <w:proofErr w:type="gramEnd"/>
      <w:r w:rsidR="00DA380D">
        <w:t xml:space="preserve"> the overall verdict, </w:t>
      </w:r>
      <w:r w:rsidR="005C6269">
        <w:t>Fish identifies no basis on which a</w:t>
      </w:r>
      <w:r w:rsidR="007222B4">
        <w:t xml:space="preserve"> rational juror </w:t>
      </w:r>
      <w:r w:rsidR="007B03F1">
        <w:t>c</w:t>
      </w:r>
      <w:r w:rsidR="00AD5212">
        <w:t xml:space="preserve">ould conclude that she was being truthful about one but not the other. </w:t>
      </w:r>
      <w:r w:rsidR="00CC25A5">
        <w:t xml:space="preserve"> </w:t>
      </w:r>
      <w:r w:rsidR="006650A8">
        <w:t xml:space="preserve">Accordingly, </w:t>
      </w:r>
      <w:r w:rsidR="007D5D9E">
        <w:t xml:space="preserve">the failure to expressly extend the unanimity instruction to encompass the lesser offense was harmless beyond a </w:t>
      </w:r>
      <w:r w:rsidR="00623756">
        <w:t xml:space="preserve">reasonable doubt. </w:t>
      </w:r>
    </w:p>
    <w:p w14:paraId="20BE8FE3" w14:textId="603AD82B" w:rsidR="00F822E8" w:rsidRPr="009158BE" w:rsidRDefault="00F822E8" w:rsidP="00F724B8">
      <w:pPr>
        <w:pStyle w:val="ListParagraph"/>
        <w:keepNext/>
        <w:numPr>
          <w:ilvl w:val="0"/>
          <w:numId w:val="2"/>
        </w:numPr>
        <w:spacing w:line="360" w:lineRule="auto"/>
        <w:rPr>
          <w:b/>
          <w:bCs/>
        </w:rPr>
      </w:pPr>
      <w:r w:rsidRPr="009158BE">
        <w:rPr>
          <w:b/>
          <w:bCs/>
        </w:rPr>
        <w:t>Assault with a Deadly Weapon</w:t>
      </w:r>
    </w:p>
    <w:p w14:paraId="02A60DC8" w14:textId="7D76CCB4" w:rsidR="00BC649B" w:rsidRDefault="00513960" w:rsidP="00F822E8">
      <w:pPr>
        <w:spacing w:line="360" w:lineRule="auto"/>
      </w:pPr>
      <w:r>
        <w:tab/>
      </w:r>
      <w:r w:rsidR="001172F8">
        <w:t xml:space="preserve">Fish was </w:t>
      </w:r>
      <w:r>
        <w:t>convicted on count</w:t>
      </w:r>
      <w:r w:rsidR="00865FB8">
        <w:t> </w:t>
      </w:r>
      <w:r>
        <w:t>2 with assault with a deadly weapon</w:t>
      </w:r>
      <w:r w:rsidRPr="00513960">
        <w:t xml:space="preserve"> </w:t>
      </w:r>
      <w:r w:rsidR="00276838">
        <w:t xml:space="preserve">based on his </w:t>
      </w:r>
      <w:r w:rsidR="00C37F1A">
        <w:t>act of throwing the metal rod at the victim</w:t>
      </w:r>
      <w:r>
        <w:t xml:space="preserve">. </w:t>
      </w:r>
      <w:r w:rsidR="00E02FAE">
        <w:t xml:space="preserve"> </w:t>
      </w:r>
      <w:r>
        <w:t>The jury was instructed pursuant to CALCRIM No.</w:t>
      </w:r>
      <w:r w:rsidR="00865FB8">
        <w:t> </w:t>
      </w:r>
      <w:r>
        <w:t>875</w:t>
      </w:r>
      <w:r w:rsidR="009249D8">
        <w:t xml:space="preserve"> that </w:t>
      </w:r>
      <w:r w:rsidR="0085443F">
        <w:t xml:space="preserve">a deadly weapon is “any object, </w:t>
      </w:r>
      <w:r w:rsidR="0085443F">
        <w:lastRenderedPageBreak/>
        <w:t xml:space="preserve">instrument, or weapon that is used in such a way that it is capable of causing and likely to cause death or great bodily injury. </w:t>
      </w:r>
      <w:r w:rsidR="00E02101">
        <w:t xml:space="preserve"> </w:t>
      </w:r>
      <w:r w:rsidR="0085443F">
        <w:t>[</w:t>
      </w:r>
      <w:proofErr w:type="gramStart"/>
      <w:r w:rsidR="0085443F">
        <w:t>¶]</w:t>
      </w:r>
      <w:r w:rsidR="00E02101">
        <w:t xml:space="preserve"> </w:t>
      </w:r>
      <w:r w:rsidR="0085443F">
        <w:t> In</w:t>
      </w:r>
      <w:proofErr w:type="gramEnd"/>
      <w:r w:rsidR="0085443F">
        <w:t xml:space="preserve"> deciding whether an object is a deadly weapon, consider all the surrounding circumstances.”</w:t>
      </w:r>
      <w:r w:rsidR="009249D8">
        <w:t xml:space="preserve"> </w:t>
      </w:r>
      <w:r>
        <w:t xml:space="preserve"> </w:t>
      </w:r>
      <w:r w:rsidR="00154D67">
        <w:t xml:space="preserve">Citing </w:t>
      </w:r>
      <w:r w:rsidR="00CF41AA" w:rsidRPr="00CF41AA">
        <w:rPr>
          <w:i/>
          <w:iCs/>
        </w:rPr>
        <w:t>In</w:t>
      </w:r>
      <w:r w:rsidR="00B24A3B">
        <w:rPr>
          <w:i/>
          <w:iCs/>
        </w:rPr>
        <w:t> </w:t>
      </w:r>
      <w:r w:rsidR="00CF41AA" w:rsidRPr="00CF41AA">
        <w:rPr>
          <w:i/>
          <w:iCs/>
        </w:rPr>
        <w:t>re</w:t>
      </w:r>
      <w:r w:rsidR="00B24A3B">
        <w:rPr>
          <w:i/>
          <w:iCs/>
        </w:rPr>
        <w:t> </w:t>
      </w:r>
      <w:r w:rsidR="00CF41AA" w:rsidRPr="00CF41AA">
        <w:rPr>
          <w:i/>
          <w:iCs/>
        </w:rPr>
        <w:t>B.M</w:t>
      </w:r>
      <w:r w:rsidR="00CF41AA" w:rsidRPr="00CF41AA">
        <w:t>. (2018) 6</w:t>
      </w:r>
      <w:r w:rsidR="00B24A3B">
        <w:t> </w:t>
      </w:r>
      <w:r w:rsidR="00CF41AA" w:rsidRPr="00CF41AA">
        <w:t>Cal.5th 528</w:t>
      </w:r>
      <w:r w:rsidR="00CF41AA">
        <w:t xml:space="preserve">, </w:t>
      </w:r>
      <w:r w:rsidR="00126A21">
        <w:t xml:space="preserve">Fish contends the court erred in failing </w:t>
      </w:r>
      <w:proofErr w:type="spellStart"/>
      <w:r w:rsidR="00126A21">
        <w:t>sua</w:t>
      </w:r>
      <w:proofErr w:type="spellEnd"/>
      <w:r w:rsidR="00126A21">
        <w:t xml:space="preserve"> sponte</w:t>
      </w:r>
      <w:r w:rsidR="00E02101">
        <w:t xml:space="preserve"> </w:t>
      </w:r>
      <w:r w:rsidR="00126A21">
        <w:t xml:space="preserve">to instruct the jury that </w:t>
      </w:r>
      <w:r w:rsidR="00154D67">
        <w:t xml:space="preserve">it can consider the victim’s </w:t>
      </w:r>
      <w:proofErr w:type="gramStart"/>
      <w:r w:rsidR="00154D67">
        <w:t>“</w:t>
      </w:r>
      <w:r w:rsidR="00B24A3B">
        <w:t> </w:t>
      </w:r>
      <w:r w:rsidR="00CF41AA">
        <w:t>‘</w:t>
      </w:r>
      <w:proofErr w:type="gramEnd"/>
      <w:r w:rsidR="00154D67">
        <w:t>limited injury or lack of injury</w:t>
      </w:r>
      <w:r w:rsidR="00CF41AA">
        <w:t xml:space="preserve">’ in determining whether an object qualifies as a ‘deadly </w:t>
      </w:r>
      <w:r w:rsidR="00B05A77">
        <w:t>weapon.’</w:t>
      </w:r>
      <w:r w:rsidR="00B24A3B">
        <w:t> </w:t>
      </w:r>
      <w:r w:rsidR="00B05A77">
        <w:t xml:space="preserve">” </w:t>
      </w:r>
      <w:r w:rsidR="00BC649B">
        <w:t xml:space="preserve"> </w:t>
      </w:r>
    </w:p>
    <w:p w14:paraId="2CEAFE30" w14:textId="78DCF9F4" w:rsidR="00AB3AAF" w:rsidRDefault="00BC649B" w:rsidP="00356C94">
      <w:pPr>
        <w:spacing w:line="360" w:lineRule="auto"/>
      </w:pPr>
      <w:r>
        <w:tab/>
      </w:r>
      <w:r w:rsidR="00E02FAE">
        <w:t>I</w:t>
      </w:r>
      <w:r w:rsidR="00CC3292">
        <w:t xml:space="preserve">n </w:t>
      </w:r>
      <w:r w:rsidR="00CC3292" w:rsidRPr="00CF41AA">
        <w:rPr>
          <w:i/>
          <w:iCs/>
        </w:rPr>
        <w:t>In</w:t>
      </w:r>
      <w:r w:rsidR="00B24A3B">
        <w:rPr>
          <w:i/>
          <w:iCs/>
        </w:rPr>
        <w:t> </w:t>
      </w:r>
      <w:r w:rsidR="00CC3292" w:rsidRPr="00CF41AA">
        <w:rPr>
          <w:i/>
          <w:iCs/>
        </w:rPr>
        <w:t>re</w:t>
      </w:r>
      <w:r w:rsidR="00B24A3B">
        <w:rPr>
          <w:i/>
          <w:iCs/>
        </w:rPr>
        <w:t> </w:t>
      </w:r>
      <w:r w:rsidR="00CC3292" w:rsidRPr="00CF41AA">
        <w:rPr>
          <w:i/>
          <w:iCs/>
        </w:rPr>
        <w:t>B.M</w:t>
      </w:r>
      <w:r w:rsidR="00CC3292" w:rsidRPr="00CF41AA">
        <w:t>.</w:t>
      </w:r>
      <w:r w:rsidR="00CC3292">
        <w:t xml:space="preserve">, </w:t>
      </w:r>
      <w:r w:rsidR="00CC3292" w:rsidRPr="004E1775">
        <w:rPr>
          <w:i/>
          <w:iCs/>
        </w:rPr>
        <w:t>supra</w:t>
      </w:r>
      <w:r w:rsidR="00CC3292">
        <w:t xml:space="preserve">, </w:t>
      </w:r>
      <w:r w:rsidR="00CC3292" w:rsidRPr="00CF41AA">
        <w:t>6</w:t>
      </w:r>
      <w:r w:rsidR="00B24A3B">
        <w:t> </w:t>
      </w:r>
      <w:r w:rsidR="00CC3292" w:rsidRPr="00CF41AA">
        <w:t xml:space="preserve">Cal.5th </w:t>
      </w:r>
      <w:r w:rsidR="00CC3292">
        <w:t>at page</w:t>
      </w:r>
      <w:r w:rsidR="00B24A3B">
        <w:t> </w:t>
      </w:r>
      <w:r w:rsidR="0070754D">
        <w:t>536</w:t>
      </w:r>
      <w:r w:rsidR="00CC3292">
        <w:t>, the Court</w:t>
      </w:r>
      <w:r w:rsidR="001A68F4">
        <w:t xml:space="preserve"> reversed the defendant’s conviction for assault with a deadly weapon on the ground that there was no substantial evidence that the butter knife used in the assault was a deadly weapon. </w:t>
      </w:r>
      <w:r w:rsidR="00CC3292">
        <w:t xml:space="preserve"> </w:t>
      </w:r>
      <w:r w:rsidR="005E59E1">
        <w:t>T</w:t>
      </w:r>
      <w:r w:rsidR="007601D0">
        <w:t xml:space="preserve">he court </w:t>
      </w:r>
      <w:r w:rsidR="005444C9">
        <w:t>clarified</w:t>
      </w:r>
      <w:r w:rsidR="00533E96">
        <w:t xml:space="preserve"> the principles that guide the analysis of whether an object is a deadly weapon under section</w:t>
      </w:r>
      <w:r w:rsidR="003542E2">
        <w:t> </w:t>
      </w:r>
      <w:r w:rsidR="00533E96">
        <w:t>245</w:t>
      </w:r>
      <w:r w:rsidR="007C66B3">
        <w:t xml:space="preserve">. </w:t>
      </w:r>
      <w:r w:rsidR="00E02FAE">
        <w:t xml:space="preserve"> </w:t>
      </w:r>
      <w:r w:rsidR="007C66B3">
        <w:t>(</w:t>
      </w:r>
      <w:r w:rsidR="007C66B3">
        <w:rPr>
          <w:i/>
          <w:iCs/>
        </w:rPr>
        <w:t xml:space="preserve">Id. </w:t>
      </w:r>
      <w:r w:rsidR="007C66B3" w:rsidRPr="007C66B3">
        <w:t>at p.</w:t>
      </w:r>
      <w:r w:rsidR="003542E2">
        <w:t> </w:t>
      </w:r>
      <w:r w:rsidR="007C66B3" w:rsidRPr="007C66B3">
        <w:t>533.)</w:t>
      </w:r>
      <w:r w:rsidR="00533E96">
        <w:t xml:space="preserve"> </w:t>
      </w:r>
      <w:r w:rsidR="00E02FAE">
        <w:t xml:space="preserve"> </w:t>
      </w:r>
      <w:r w:rsidR="007C66B3">
        <w:t>First, for</w:t>
      </w:r>
      <w:r w:rsidR="0001028D">
        <w:t xml:space="preserve"> an object to qualify as a deadly weapon</w:t>
      </w:r>
      <w:r w:rsidR="005C1D57">
        <w:t>,</w:t>
      </w:r>
      <w:r w:rsidR="0001028D">
        <w:t xml:space="preserve"> it must </w:t>
      </w:r>
      <w:r w:rsidR="000A0160">
        <w:t>“</w:t>
      </w:r>
      <w:r w:rsidR="0001028D">
        <w:t xml:space="preserve">be used in a manner that is not only </w:t>
      </w:r>
      <w:r w:rsidR="000A0160">
        <w:t>‘</w:t>
      </w:r>
      <w:r w:rsidR="0001028D">
        <w:t>capable of producing</w:t>
      </w:r>
      <w:r w:rsidR="000A0160">
        <w:t>’</w:t>
      </w:r>
      <w:r w:rsidR="0001028D">
        <w:t xml:space="preserve"> but also </w:t>
      </w:r>
      <w:proofErr w:type="gramStart"/>
      <w:r w:rsidR="0001028D">
        <w:t>‘</w:t>
      </w:r>
      <w:r w:rsidR="003542E2">
        <w:t> </w:t>
      </w:r>
      <w:r w:rsidR="000A0160">
        <w:t>“</w:t>
      </w:r>
      <w:proofErr w:type="gramEnd"/>
      <w:r w:rsidR="0001028D">
        <w:t>likely to produce death or great bodily injury</w:t>
      </w:r>
      <w:r w:rsidR="007C66B3">
        <w:t>.</w:t>
      </w:r>
      <w:r w:rsidR="000A0160">
        <w:t>”</w:t>
      </w:r>
      <w:r w:rsidR="003542E2">
        <w:t> </w:t>
      </w:r>
      <w:r w:rsidR="0001028D">
        <w:t>’</w:t>
      </w:r>
      <w:r w:rsidR="003542E2">
        <w:t> </w:t>
      </w:r>
      <w:r w:rsidR="0001028D">
        <w:t>”</w:t>
      </w:r>
      <w:r w:rsidR="007C66B3">
        <w:t xml:space="preserve"> </w:t>
      </w:r>
      <w:r w:rsidR="00E02FAE">
        <w:t xml:space="preserve"> </w:t>
      </w:r>
      <w:r w:rsidR="007C66B3">
        <w:t>(</w:t>
      </w:r>
      <w:r w:rsidR="007C66B3">
        <w:rPr>
          <w:i/>
          <w:iCs/>
        </w:rPr>
        <w:t>Ibid</w:t>
      </w:r>
      <w:r w:rsidR="007C66B3">
        <w:t>.</w:t>
      </w:r>
      <w:r w:rsidR="002C221E">
        <w:t>, italics omitted</w:t>
      </w:r>
      <w:r w:rsidR="00653730">
        <w:t>.</w:t>
      </w:r>
      <w:r w:rsidR="007C66B3">
        <w:t>)</w:t>
      </w:r>
      <w:r w:rsidR="00E02FAE">
        <w:t xml:space="preserve"> </w:t>
      </w:r>
      <w:r w:rsidR="007C66B3">
        <w:t xml:space="preserve"> </w:t>
      </w:r>
      <w:r w:rsidR="00385B79">
        <w:t xml:space="preserve">Next, </w:t>
      </w:r>
      <w:r w:rsidR="00876AC5">
        <w:t>“</w:t>
      </w:r>
      <w:r w:rsidR="00876AC5" w:rsidRPr="00876AC5">
        <w:t xml:space="preserve">the determination of whether an object is a deadly weapon </w:t>
      </w:r>
      <w:r w:rsidR="005E59E1">
        <w:t>. . .</w:t>
      </w:r>
      <w:r w:rsidR="00876AC5" w:rsidRPr="00876AC5">
        <w:t xml:space="preserve"> must rest on evidence of how the defendant </w:t>
      </w:r>
      <w:proofErr w:type="gramStart"/>
      <w:r w:rsidR="00876AC5" w:rsidRPr="00876AC5">
        <w:t xml:space="preserve">actually </w:t>
      </w:r>
      <w:r w:rsidR="005E59E1">
        <w:t>‘</w:t>
      </w:r>
      <w:r w:rsidR="00876AC5" w:rsidRPr="00876AC5">
        <w:t>used</w:t>
      </w:r>
      <w:r w:rsidR="005E59E1">
        <w:t>’</w:t>
      </w:r>
      <w:proofErr w:type="gramEnd"/>
      <w:r w:rsidR="00876AC5" w:rsidRPr="00876AC5">
        <w:t xml:space="preserve"> the object.</w:t>
      </w:r>
      <w:r w:rsidR="00472A72">
        <w:t xml:space="preserve">” </w:t>
      </w:r>
      <w:r w:rsidR="00E02FAE">
        <w:t xml:space="preserve"> </w:t>
      </w:r>
      <w:r w:rsidR="00472A72">
        <w:t>(</w:t>
      </w:r>
      <w:r w:rsidR="00472A72" w:rsidRPr="00472A72">
        <w:rPr>
          <w:i/>
          <w:iCs/>
        </w:rPr>
        <w:t>Id</w:t>
      </w:r>
      <w:r w:rsidR="00472A72">
        <w:t>. at p.</w:t>
      </w:r>
      <w:r w:rsidR="00085198">
        <w:t> </w:t>
      </w:r>
      <w:r w:rsidR="00472A72">
        <w:t>534.</w:t>
      </w:r>
      <w:r w:rsidR="0001028D">
        <w:t>)</w:t>
      </w:r>
      <w:r w:rsidR="00B7570B">
        <w:t xml:space="preserve"> </w:t>
      </w:r>
      <w:r w:rsidR="00E02FAE">
        <w:t xml:space="preserve"> </w:t>
      </w:r>
      <w:r w:rsidR="00385B79">
        <w:t xml:space="preserve">Finally, “although it is appropriate to consider the injury that could have resulted from the way the object was used, the extent of actual injury or lack of injury is also relevant.” </w:t>
      </w:r>
      <w:r w:rsidR="00E02FAE">
        <w:t xml:space="preserve"> </w:t>
      </w:r>
      <w:r w:rsidR="00385B79">
        <w:t>(</w:t>
      </w:r>
      <w:r w:rsidR="00385B79">
        <w:rPr>
          <w:i/>
          <w:iCs/>
        </w:rPr>
        <w:t>Id.</w:t>
      </w:r>
      <w:r w:rsidR="00385B79">
        <w:t xml:space="preserve"> at p.</w:t>
      </w:r>
      <w:r w:rsidR="00A11BDB">
        <w:t> </w:t>
      </w:r>
      <w:r w:rsidR="00385B79">
        <w:t xml:space="preserve">535.) </w:t>
      </w:r>
      <w:r w:rsidR="00E02FAE">
        <w:t xml:space="preserve"> </w:t>
      </w:r>
      <w:r w:rsidR="00385B79">
        <w:t>With respect to this last principle, the court observed</w:t>
      </w:r>
      <w:r w:rsidR="007577A1">
        <w:t xml:space="preserve"> that </w:t>
      </w:r>
      <w:r w:rsidR="0070754D">
        <w:t>“</w:t>
      </w:r>
      <w:r w:rsidR="007577A1" w:rsidRPr="007577A1">
        <w:t>limited injury or lack of injury may suggest that the nature of the object or the way it was used was not capable of producing or likely to produce death or serious harm.</w:t>
      </w:r>
      <w:r w:rsidR="0070754D">
        <w:t>”</w:t>
      </w:r>
      <w:r w:rsidR="00512AB3">
        <w:t xml:space="preserve"> </w:t>
      </w:r>
      <w:r w:rsidR="00E02FAE">
        <w:t xml:space="preserve"> </w:t>
      </w:r>
      <w:r w:rsidR="00512AB3">
        <w:t>(</w:t>
      </w:r>
      <w:r w:rsidR="00512AB3">
        <w:rPr>
          <w:i/>
          <w:iCs/>
        </w:rPr>
        <w:t>Ibid</w:t>
      </w:r>
      <w:r w:rsidR="00512AB3">
        <w:t>.)</w:t>
      </w:r>
      <w:r w:rsidR="0070754D">
        <w:t xml:space="preserve"> </w:t>
      </w:r>
      <w:r w:rsidR="00E02FAE">
        <w:t xml:space="preserve"> </w:t>
      </w:r>
      <w:r w:rsidR="0070754D">
        <w:t xml:space="preserve">Applying these principles, the court found that </w:t>
      </w:r>
      <w:r w:rsidR="006B36F6">
        <w:t xml:space="preserve">there was no substantial evidence that the </w:t>
      </w:r>
      <w:r w:rsidR="0070754D">
        <w:t xml:space="preserve">butter knife was </w:t>
      </w:r>
      <w:r w:rsidR="00602B4D">
        <w:t>a deadly weapon, in part</w:t>
      </w:r>
      <w:r w:rsidR="00753B2B">
        <w:t xml:space="preserve"> because the manner in which the weapon </w:t>
      </w:r>
      <w:r w:rsidR="00010D40">
        <w:t xml:space="preserve">had been </w:t>
      </w:r>
      <w:r w:rsidR="00753B2B">
        <w:t>used</w:t>
      </w:r>
      <w:proofErr w:type="gramStart"/>
      <w:r w:rsidR="00BE1481">
        <w:t>—</w:t>
      </w:r>
      <w:r w:rsidR="00FC1B3F">
        <w:t>“</w:t>
      </w:r>
      <w:proofErr w:type="gramEnd"/>
      <w:r w:rsidR="00FC1B3F">
        <w:t>slicing”</w:t>
      </w:r>
      <w:r w:rsidR="006436A3">
        <w:t xml:space="preserve"> at the victim</w:t>
      </w:r>
      <w:r w:rsidR="00FC1B3F">
        <w:t xml:space="preserve"> and applying only </w:t>
      </w:r>
      <w:r w:rsidR="006436A3">
        <w:t xml:space="preserve">moderate pressure </w:t>
      </w:r>
      <w:r w:rsidR="00FC1B3F">
        <w:t>to victim’s blanketed legs</w:t>
      </w:r>
      <w:r w:rsidR="00BE1481">
        <w:t>—</w:t>
      </w:r>
      <w:r w:rsidR="00753B2B">
        <w:t>did not produce</w:t>
      </w:r>
      <w:r w:rsidR="00010D40">
        <w:t xml:space="preserve"> any</w:t>
      </w:r>
      <w:r w:rsidR="00753B2B">
        <w:t xml:space="preserve"> injury.</w:t>
      </w:r>
      <w:r w:rsidR="00E02FAE">
        <w:t xml:space="preserve">  </w:t>
      </w:r>
      <w:r w:rsidR="00F065F1" w:rsidRPr="00FC0156">
        <w:t>(</w:t>
      </w:r>
      <w:r w:rsidR="00F065F1" w:rsidRPr="00FC0156">
        <w:rPr>
          <w:i/>
          <w:iCs/>
        </w:rPr>
        <w:t>Id</w:t>
      </w:r>
      <w:r w:rsidR="00F065F1" w:rsidRPr="00FC0156">
        <w:t>. at p</w:t>
      </w:r>
      <w:r w:rsidR="00A413AB">
        <w:t>p</w:t>
      </w:r>
      <w:r w:rsidR="00F065F1" w:rsidRPr="00FC0156">
        <w:t>.</w:t>
      </w:r>
      <w:r w:rsidR="00A413AB">
        <w:t> </w:t>
      </w:r>
      <w:r w:rsidR="00FC1B3F">
        <w:t xml:space="preserve">531, </w:t>
      </w:r>
      <w:r w:rsidR="00FC0156">
        <w:t>536</w:t>
      </w:r>
      <w:bookmarkStart w:id="0" w:name="_Hlk128126099"/>
      <w:r w:rsidR="00F4121B" w:rsidRPr="00F4121B">
        <w:rPr>
          <w:rFonts w:eastAsia="Calibri" w:cs="Times New Roman"/>
          <w:szCs w:val="26"/>
        </w:rPr>
        <w:t>–</w:t>
      </w:r>
      <w:bookmarkEnd w:id="0"/>
      <w:r w:rsidR="00191900">
        <w:t>538</w:t>
      </w:r>
      <w:r w:rsidR="00F065F1" w:rsidRPr="00FC0156">
        <w:t>)</w:t>
      </w:r>
    </w:p>
    <w:p w14:paraId="6ABEF850" w14:textId="088D2269" w:rsidR="00F05708" w:rsidRPr="008B24EF" w:rsidRDefault="00AB3AAF" w:rsidP="00F822E8">
      <w:pPr>
        <w:spacing w:line="360" w:lineRule="auto"/>
        <w:rPr>
          <w:i/>
        </w:rPr>
      </w:pPr>
      <w:r>
        <w:lastRenderedPageBreak/>
        <w:tab/>
      </w:r>
      <w:r w:rsidR="005628D1">
        <w:t>C</w:t>
      </w:r>
      <w:r w:rsidR="003C7F0F">
        <w:t xml:space="preserve">ontrary to Fish’s characterization, we do not believe </w:t>
      </w:r>
      <w:r>
        <w:t xml:space="preserve">that </w:t>
      </w:r>
      <w:r w:rsidR="004A30E7">
        <w:t xml:space="preserve">the decision in </w:t>
      </w:r>
      <w:proofErr w:type="gramStart"/>
      <w:r w:rsidR="004A30E7" w:rsidRPr="004A30E7">
        <w:rPr>
          <w:i/>
          <w:iCs/>
        </w:rPr>
        <w:t>In</w:t>
      </w:r>
      <w:proofErr w:type="gramEnd"/>
      <w:r w:rsidR="00A413AB">
        <w:rPr>
          <w:i/>
          <w:iCs/>
        </w:rPr>
        <w:t> </w:t>
      </w:r>
      <w:r w:rsidR="004A30E7" w:rsidRPr="004A30E7">
        <w:rPr>
          <w:i/>
          <w:iCs/>
        </w:rPr>
        <w:t>re</w:t>
      </w:r>
      <w:r w:rsidR="00A413AB">
        <w:rPr>
          <w:i/>
          <w:iCs/>
        </w:rPr>
        <w:t> </w:t>
      </w:r>
      <w:r w:rsidR="004A30E7" w:rsidRPr="004A30E7">
        <w:rPr>
          <w:i/>
          <w:iCs/>
        </w:rPr>
        <w:t>B.M</w:t>
      </w:r>
      <w:r w:rsidR="004A30E7">
        <w:t>.</w:t>
      </w:r>
      <w:r w:rsidR="003C7F0F">
        <w:t xml:space="preserve"> </w:t>
      </w:r>
      <w:r w:rsidR="009B4A44">
        <w:t xml:space="preserve">“pronounced </w:t>
      </w:r>
      <w:r w:rsidR="00651B56">
        <w:t>new law on the use of the victim’s injury</w:t>
      </w:r>
      <w:r w:rsidR="00BE1481">
        <w:t>—</w:t>
      </w:r>
      <w:r w:rsidR="00651B56">
        <w:t>or lack thereof</w:t>
      </w:r>
      <w:r w:rsidR="00BE1481">
        <w:t>—</w:t>
      </w:r>
      <w:r w:rsidR="00651B56">
        <w:t xml:space="preserve">in deadly-weapon assault cases” </w:t>
      </w:r>
      <w:r w:rsidR="00EC77BB">
        <w:t xml:space="preserve">such that </w:t>
      </w:r>
      <w:r w:rsidR="00B52183">
        <w:t xml:space="preserve">the court was required </w:t>
      </w:r>
      <w:proofErr w:type="spellStart"/>
      <w:r w:rsidR="00B52183">
        <w:t>sua</w:t>
      </w:r>
      <w:proofErr w:type="spellEnd"/>
      <w:r w:rsidR="00B52183">
        <w:t xml:space="preserve"> sponte to modify </w:t>
      </w:r>
      <w:r w:rsidR="00EC77BB">
        <w:t xml:space="preserve">CALCRIM </w:t>
      </w:r>
      <w:r w:rsidR="00C9441A">
        <w:t>No</w:t>
      </w:r>
      <w:r w:rsidR="008E2927">
        <w:t>.</w:t>
      </w:r>
      <w:r w:rsidR="003943D1">
        <w:t> </w:t>
      </w:r>
      <w:r w:rsidR="00EC77BB">
        <w:t xml:space="preserve">875.  </w:t>
      </w:r>
      <w:r w:rsidR="00FB0812">
        <w:t>As set forth above</w:t>
      </w:r>
      <w:r>
        <w:t xml:space="preserve">, the jury </w:t>
      </w:r>
      <w:r w:rsidR="004A30E7">
        <w:t xml:space="preserve">was instructed </w:t>
      </w:r>
      <w:r>
        <w:t>that</w:t>
      </w:r>
      <w:r w:rsidR="00CA4A65">
        <w:t>,</w:t>
      </w:r>
      <w:r>
        <w:t xml:space="preserve"> </w:t>
      </w:r>
      <w:r w:rsidR="006F1913">
        <w:t xml:space="preserve">in determining whether an object, as used by the defendant, </w:t>
      </w:r>
      <w:r w:rsidR="006F1913" w:rsidRPr="007577A1">
        <w:t>was capable of producing or likely to produce death or serious harm</w:t>
      </w:r>
      <w:r w:rsidR="006F1913">
        <w:t xml:space="preserve">, </w:t>
      </w:r>
      <w:r>
        <w:t xml:space="preserve">it </w:t>
      </w:r>
      <w:r w:rsidR="004A30E7">
        <w:t>could</w:t>
      </w:r>
      <w:r>
        <w:t xml:space="preserve"> consider </w:t>
      </w:r>
      <w:r w:rsidRPr="00FB0812">
        <w:rPr>
          <w:i/>
          <w:iCs/>
        </w:rPr>
        <w:t>all relevant circumstances</w:t>
      </w:r>
      <w:r w:rsidR="004A30E7">
        <w:t xml:space="preserve">, which </w:t>
      </w:r>
      <w:r w:rsidR="00A4001B">
        <w:t>necessarily</w:t>
      </w:r>
      <w:r w:rsidR="004A30E7">
        <w:t xml:space="preserve"> included the nature of the </w:t>
      </w:r>
      <w:r w:rsidR="00EA1C34">
        <w:t>injury</w:t>
      </w:r>
      <w:r w:rsidR="004A30E7">
        <w:t xml:space="preserve"> </w:t>
      </w:r>
      <w:proofErr w:type="gramStart"/>
      <w:r w:rsidR="00EA1C34">
        <w:t>actually inflicted</w:t>
      </w:r>
      <w:proofErr w:type="gramEnd"/>
      <w:r w:rsidR="006F1913">
        <w:t>.</w:t>
      </w:r>
      <w:r w:rsidR="008D22FA">
        <w:t xml:space="preserve">  </w:t>
      </w:r>
      <w:r w:rsidR="00FB0812">
        <w:t>Fish has not cited any authority concluding that</w:t>
      </w:r>
      <w:r w:rsidR="007A5E08">
        <w:t>,</w:t>
      </w:r>
      <w:r w:rsidR="00FB0812">
        <w:t xml:space="preserve"> following the decision in </w:t>
      </w:r>
      <w:proofErr w:type="gramStart"/>
      <w:r w:rsidR="00FB0812" w:rsidRPr="004E1775">
        <w:rPr>
          <w:i/>
          <w:iCs/>
        </w:rPr>
        <w:t>In</w:t>
      </w:r>
      <w:proofErr w:type="gramEnd"/>
      <w:r w:rsidR="00C9441A">
        <w:rPr>
          <w:i/>
          <w:iCs/>
        </w:rPr>
        <w:t> </w:t>
      </w:r>
      <w:r w:rsidR="00FB0812" w:rsidRPr="004E1775">
        <w:rPr>
          <w:i/>
          <w:iCs/>
        </w:rPr>
        <w:t>re</w:t>
      </w:r>
      <w:r w:rsidR="00C9441A">
        <w:rPr>
          <w:i/>
          <w:iCs/>
        </w:rPr>
        <w:t> </w:t>
      </w:r>
      <w:r w:rsidR="00FB0812" w:rsidRPr="004E1775">
        <w:rPr>
          <w:i/>
          <w:iCs/>
        </w:rPr>
        <w:t>B.M</w:t>
      </w:r>
      <w:r w:rsidR="00FB0812">
        <w:t>., the definition of a deadly weapon in CALCRIM No</w:t>
      </w:r>
      <w:r w:rsidR="008E2927">
        <w:t>.</w:t>
      </w:r>
      <w:r w:rsidR="00C9441A">
        <w:t> </w:t>
      </w:r>
      <w:r w:rsidR="00FB0812">
        <w:t>875 fails to fully inform the jury regarding the definition of a deadly weapon.</w:t>
      </w:r>
      <w:r w:rsidR="00A4001B">
        <w:t xml:space="preserve">  </w:t>
      </w:r>
      <w:r w:rsidR="00C34CD5">
        <w:t>In our view</w:t>
      </w:r>
      <w:r w:rsidR="006F1913">
        <w:t>, CALCRIM No.</w:t>
      </w:r>
      <w:r w:rsidR="00B6353C">
        <w:t> </w:t>
      </w:r>
      <w:r w:rsidR="006F1913">
        <w:t xml:space="preserve">875, as given in this case, </w:t>
      </w:r>
      <w:r w:rsidR="006436A3">
        <w:t xml:space="preserve">satisfied the trial court’s duty to instruct </w:t>
      </w:r>
      <w:proofErr w:type="spellStart"/>
      <w:r w:rsidR="006436A3">
        <w:t>sua</w:t>
      </w:r>
      <w:proofErr w:type="spellEnd"/>
      <w:r w:rsidR="006436A3">
        <w:t xml:space="preserve"> sponte on all relevant points of law. </w:t>
      </w:r>
      <w:r w:rsidR="0022240A">
        <w:rPr>
          <w:i/>
          <w:iCs/>
        </w:rPr>
        <w:t xml:space="preserve"> </w:t>
      </w:r>
    </w:p>
    <w:p w14:paraId="7760A54A" w14:textId="6B9227BC" w:rsidR="00645BDE" w:rsidRDefault="00F05708" w:rsidP="0069379F">
      <w:pPr>
        <w:spacing w:line="360" w:lineRule="auto"/>
      </w:pPr>
      <w:r>
        <w:tab/>
      </w:r>
      <w:r w:rsidR="008B24EF">
        <w:t>E</w:t>
      </w:r>
      <w:r w:rsidR="0089430A">
        <w:t>ven assuming</w:t>
      </w:r>
      <w:r w:rsidR="008B24EF">
        <w:t>, however,</w:t>
      </w:r>
      <w:r w:rsidR="0089430A">
        <w:t xml:space="preserve"> that some additional clarification was </w:t>
      </w:r>
      <w:r w:rsidR="00652B7B">
        <w:t>warranted</w:t>
      </w:r>
      <w:r w:rsidR="0089430A">
        <w:t>, the failure to do so in this case was harmless.</w:t>
      </w:r>
      <w:r w:rsidR="00991D18">
        <w:t xml:space="preserve"> </w:t>
      </w:r>
      <w:r w:rsidR="005628D1">
        <w:t xml:space="preserve"> </w:t>
      </w:r>
      <w:r w:rsidR="00991D18">
        <w:t>(</w:t>
      </w:r>
      <w:r w:rsidR="00991D18">
        <w:rPr>
          <w:i/>
        </w:rPr>
        <w:t>People v. Watson</w:t>
      </w:r>
      <w:r w:rsidR="00991D18">
        <w:t xml:space="preserve"> (1956) 46</w:t>
      </w:r>
      <w:r w:rsidR="00B6353C">
        <w:t> </w:t>
      </w:r>
      <w:r w:rsidR="00991D18">
        <w:t>Cal.2d 818, 836</w:t>
      </w:r>
      <w:r w:rsidR="002B523E">
        <w:t xml:space="preserve"> [</w:t>
      </w:r>
      <w:r w:rsidR="002B523E" w:rsidRPr="002B523E">
        <w:t xml:space="preserve">an error </w:t>
      </w:r>
      <w:r w:rsidR="00B353DC">
        <w:t xml:space="preserve">is </w:t>
      </w:r>
      <w:r w:rsidR="002B523E" w:rsidRPr="002B523E">
        <w:t>harmless unless it is “reasonably probable” the outcome would have been different in the absence of the error</w:t>
      </w:r>
      <w:r w:rsidR="002B523E">
        <w:t>]</w:t>
      </w:r>
      <w:r w:rsidR="0069379F">
        <w:t xml:space="preserve">; </w:t>
      </w:r>
      <w:r w:rsidR="0069379F" w:rsidRPr="0069379F">
        <w:rPr>
          <w:i/>
          <w:iCs/>
        </w:rPr>
        <w:t>People v. Hendrix</w:t>
      </w:r>
      <w:r w:rsidR="0069379F">
        <w:t xml:space="preserve"> (2022) 13</w:t>
      </w:r>
      <w:r w:rsidR="00B6353C">
        <w:t> </w:t>
      </w:r>
      <w:r w:rsidR="0069379F">
        <w:t>Cal.5th 933, 942 [</w:t>
      </w:r>
      <w:r w:rsidR="0069379F" w:rsidRPr="0069379F">
        <w:rPr>
          <w:i/>
          <w:iCs/>
        </w:rPr>
        <w:t>Watson</w:t>
      </w:r>
      <w:r w:rsidR="0069379F">
        <w:t xml:space="preserve"> standard of prejudice “applies to </w:t>
      </w:r>
      <w:r w:rsidR="009B0C24">
        <w:t>‘ </w:t>
      </w:r>
      <w:r w:rsidR="0069379F">
        <w:t>“</w:t>
      </w:r>
      <w:r w:rsidR="00B6353C">
        <w:t> </w:t>
      </w:r>
      <w:r w:rsidR="0069379F">
        <w:t>‘</w:t>
      </w:r>
      <w:r w:rsidR="00B6353C">
        <w:t> </w:t>
      </w:r>
      <w:r w:rsidR="0069379F">
        <w:t>“incorrect, ambiguous, conflicting, or wrongly omitted instructions that do not amount to federal constitutional error</w:t>
      </w:r>
      <w:r w:rsidR="00CD6F7C">
        <w:t>’ </w:t>
      </w:r>
      <w:r w:rsidR="0069379F">
        <w:t>”</w:t>
      </w:r>
      <w:r w:rsidR="00B6353C">
        <w:t> </w:t>
      </w:r>
      <w:r w:rsidR="0069379F">
        <w:t>’</w:t>
      </w:r>
      <w:r w:rsidR="00B6353C">
        <w:t> </w:t>
      </w:r>
      <w:r w:rsidR="0069379F">
        <w:t>”].)</w:t>
      </w:r>
      <w:r w:rsidR="00991D18">
        <w:t xml:space="preserve"> </w:t>
      </w:r>
      <w:r w:rsidR="007D688A">
        <w:t xml:space="preserve"> </w:t>
      </w:r>
    </w:p>
    <w:p w14:paraId="1E4E9EEF" w14:textId="72E85247" w:rsidR="000663D5" w:rsidRDefault="00645BDE" w:rsidP="0069379F">
      <w:pPr>
        <w:spacing w:line="360" w:lineRule="auto"/>
      </w:pPr>
      <w:r>
        <w:tab/>
      </w:r>
      <w:r w:rsidR="00652B7B">
        <w:t>The victim described the object as a metal rod, bar</w:t>
      </w:r>
      <w:r w:rsidR="009B3C2A">
        <w:t>,</w:t>
      </w:r>
      <w:r w:rsidR="00652B7B">
        <w:t xml:space="preserve"> or pipe that was about </w:t>
      </w:r>
      <w:r w:rsidR="00032003">
        <w:t>two</w:t>
      </w:r>
      <w:r w:rsidR="00A82BF2">
        <w:t xml:space="preserve"> </w:t>
      </w:r>
      <w:r w:rsidR="00652B7B">
        <w:t xml:space="preserve">feet long and had a thickness somewhere between a fishing pole and a baseball bat.  It was a rusty brown color, round and </w:t>
      </w:r>
      <w:r w:rsidR="006C70A7">
        <w:t>hollow,</w:t>
      </w:r>
      <w:r w:rsidR="00652B7B">
        <w:t xml:space="preserve"> and looked like it had been bent or cut </w:t>
      </w:r>
      <w:proofErr w:type="gramStart"/>
      <w:r w:rsidR="00652B7B">
        <w:t>off of</w:t>
      </w:r>
      <w:proofErr w:type="gramEnd"/>
      <w:r w:rsidR="00652B7B">
        <w:t xml:space="preserve"> something.  </w:t>
      </w:r>
      <w:r w:rsidR="00BF2711">
        <w:t>Nothing in the record suggests that Fish purposefully threw the object at the ground with the intent to scare rather than injure the victim.  The victim estimated that Fish was about 50</w:t>
      </w:r>
      <w:r w:rsidR="00F1687B">
        <w:t> </w:t>
      </w:r>
      <w:r w:rsidR="00BF2711">
        <w:t>feet away</w:t>
      </w:r>
      <w:r w:rsidR="00A51869">
        <w:t xml:space="preserve"> (which she described as</w:t>
      </w:r>
      <w:r w:rsidR="00BF2711">
        <w:t xml:space="preserve"> a point beyond the courtroom doors </w:t>
      </w:r>
      <w:r w:rsidR="00BF2711">
        <w:lastRenderedPageBreak/>
        <w:t>from where she was sitting while testifying</w:t>
      </w:r>
      <w:r w:rsidR="00A51869">
        <w:t>)</w:t>
      </w:r>
      <w:r w:rsidR="00EC418A">
        <w:t xml:space="preserve">, </w:t>
      </w:r>
      <w:r w:rsidR="00BF2711">
        <w:t>and</w:t>
      </w:r>
      <w:r w:rsidR="009E39BC">
        <w:t xml:space="preserve"> </w:t>
      </w:r>
      <w:r w:rsidR="00834B41">
        <w:t xml:space="preserve">she </w:t>
      </w:r>
      <w:r w:rsidR="009E39BC">
        <w:t xml:space="preserve">was running away </w:t>
      </w:r>
      <w:r w:rsidR="00702B84">
        <w:t xml:space="preserve">from </w:t>
      </w:r>
      <w:r w:rsidR="00EC418A">
        <w:t xml:space="preserve">him. </w:t>
      </w:r>
      <w:r w:rsidR="00EF4963">
        <w:t xml:space="preserve"> </w:t>
      </w:r>
      <w:r w:rsidR="00ED7ED6">
        <w:t xml:space="preserve">It had to have been thrown </w:t>
      </w:r>
      <w:r w:rsidR="00A72C06">
        <w:t>with some force</w:t>
      </w:r>
      <w:r w:rsidR="00E90EED">
        <w:t xml:space="preserve"> </w:t>
      </w:r>
      <w:proofErr w:type="gramStart"/>
      <w:r w:rsidR="00E90EED">
        <w:t>in order</w:t>
      </w:r>
      <w:r w:rsidR="00ED7ED6">
        <w:t xml:space="preserve"> to</w:t>
      </w:r>
      <w:proofErr w:type="gramEnd"/>
      <w:r w:rsidR="00ED7ED6">
        <w:t xml:space="preserve"> reach her.  </w:t>
      </w:r>
      <w:r w:rsidR="00B83945">
        <w:t>W</w:t>
      </w:r>
      <w:r w:rsidR="00EF4963">
        <w:t>hen she glanced back in his direction, t</w:t>
      </w:r>
      <w:r w:rsidR="000F179B">
        <w:t>he</w:t>
      </w:r>
      <w:r w:rsidR="00652B7B">
        <w:t xml:space="preserve"> object ricocheted off the ground </w:t>
      </w:r>
      <w:r w:rsidR="00B83945">
        <w:t xml:space="preserve">only </w:t>
      </w:r>
      <w:r w:rsidR="00652B7B">
        <w:t xml:space="preserve">about a foot </w:t>
      </w:r>
      <w:r w:rsidR="00036EBA">
        <w:t xml:space="preserve">away </w:t>
      </w:r>
      <w:r w:rsidR="00652B7B">
        <w:t xml:space="preserve">from her, hitting her in the </w:t>
      </w:r>
      <w:r w:rsidR="004B6DDA">
        <w:t>cheek</w:t>
      </w:r>
      <w:r w:rsidR="00036EBA">
        <w:t xml:space="preserve"> and</w:t>
      </w:r>
      <w:r w:rsidR="00652B7B">
        <w:t xml:space="preserve"> causing a one-inch cut that, although it healed completely, was significant enough that she felt the need to go to the hospital by ambulance.  She testified that she “had a lot of blood coming out” and “was hurting really bad.”  </w:t>
      </w:r>
      <w:r w:rsidR="00B9063A">
        <w:t>Given this record,</w:t>
      </w:r>
      <w:r w:rsidR="00652B7B">
        <w:t xml:space="preserve"> </w:t>
      </w:r>
      <w:r w:rsidR="00C17BAD">
        <w:t>there is no reasonable likelihood</w:t>
      </w:r>
      <w:r w:rsidR="00652B7B">
        <w:t xml:space="preserve"> that the jury would have concluded that this object was not </w:t>
      </w:r>
      <w:r w:rsidR="00652B7B" w:rsidRPr="007577A1">
        <w:t xml:space="preserve">capable of </w:t>
      </w:r>
      <w:r w:rsidR="00EE44C9">
        <w:t>causing</w:t>
      </w:r>
      <w:r w:rsidR="00652B7B" w:rsidRPr="007577A1">
        <w:t xml:space="preserve"> </w:t>
      </w:r>
      <w:r w:rsidR="00443C8E">
        <w:t>and</w:t>
      </w:r>
      <w:r w:rsidR="00443C8E" w:rsidRPr="007577A1">
        <w:t xml:space="preserve"> </w:t>
      </w:r>
      <w:r w:rsidR="00652B7B" w:rsidRPr="007577A1">
        <w:t xml:space="preserve">likely to </w:t>
      </w:r>
      <w:r w:rsidR="008F6966">
        <w:t xml:space="preserve">cause </w:t>
      </w:r>
      <w:r w:rsidR="00652B7B" w:rsidRPr="007577A1">
        <w:t>serious harm</w:t>
      </w:r>
      <w:r w:rsidR="00652B7B">
        <w:t xml:space="preserve"> merely because</w:t>
      </w:r>
      <w:r w:rsidR="00573BB1">
        <w:t xml:space="preserve"> </w:t>
      </w:r>
      <w:r w:rsidR="000943CF">
        <w:t xml:space="preserve">it happened to strike her only after </w:t>
      </w:r>
      <w:r w:rsidR="00EE0A0D">
        <w:t>bouncing off</w:t>
      </w:r>
      <w:r w:rsidR="000943CF">
        <w:t xml:space="preserve"> the ground first</w:t>
      </w:r>
      <w:r w:rsidR="00652B7B">
        <w:t xml:space="preserve"> and inflicted minimal injury.</w:t>
      </w:r>
      <w:r w:rsidR="00F80A68">
        <w:t xml:space="preserve"> </w:t>
      </w:r>
      <w:r w:rsidR="00C12B1B">
        <w:t xml:space="preserve"> </w:t>
      </w:r>
      <w:r w:rsidR="00F80A68">
        <w:t xml:space="preserve">(See </w:t>
      </w:r>
      <w:r w:rsidR="00C12B1B" w:rsidRPr="00C12B1B">
        <w:rPr>
          <w:i/>
          <w:iCs/>
        </w:rPr>
        <w:t>In</w:t>
      </w:r>
      <w:r w:rsidR="0069046C">
        <w:rPr>
          <w:i/>
          <w:iCs/>
        </w:rPr>
        <w:t> </w:t>
      </w:r>
      <w:r w:rsidR="00C12B1B" w:rsidRPr="00C12B1B">
        <w:rPr>
          <w:i/>
          <w:iCs/>
        </w:rPr>
        <w:t>re</w:t>
      </w:r>
      <w:r w:rsidR="0069046C">
        <w:rPr>
          <w:i/>
          <w:iCs/>
        </w:rPr>
        <w:t> </w:t>
      </w:r>
      <w:r w:rsidR="00C12B1B" w:rsidRPr="00C12B1B">
        <w:rPr>
          <w:i/>
          <w:iCs/>
        </w:rPr>
        <w:t>B.M., supra</w:t>
      </w:r>
      <w:r w:rsidR="00C12B1B">
        <w:t>, 6</w:t>
      </w:r>
      <w:r w:rsidR="0069046C">
        <w:t> </w:t>
      </w:r>
      <w:r w:rsidR="00C12B1B">
        <w:t>Cal.5th at p.</w:t>
      </w:r>
      <w:r w:rsidR="0069046C">
        <w:t> </w:t>
      </w:r>
      <w:r w:rsidR="00C12B1B">
        <w:t>535 [“it is appropriate in the deadly weapon inquiry to consider what harm could have resulted from the way the object was actually used”].)</w:t>
      </w:r>
      <w:r w:rsidR="000663D5">
        <w:tab/>
      </w:r>
    </w:p>
    <w:p w14:paraId="36D3EC92" w14:textId="17F2E67C" w:rsidR="003F31DF" w:rsidRPr="003043EE" w:rsidRDefault="003F31DF" w:rsidP="00733F66">
      <w:pPr>
        <w:pStyle w:val="ListParagraph"/>
        <w:keepNext/>
        <w:numPr>
          <w:ilvl w:val="0"/>
          <w:numId w:val="1"/>
        </w:numPr>
        <w:spacing w:line="360" w:lineRule="auto"/>
        <w:ind w:left="864"/>
        <w:rPr>
          <w:b/>
          <w:bCs/>
        </w:rPr>
      </w:pPr>
      <w:r w:rsidRPr="003043EE">
        <w:rPr>
          <w:b/>
          <w:bCs/>
        </w:rPr>
        <w:t>Section</w:t>
      </w:r>
      <w:r w:rsidR="0069046C">
        <w:rPr>
          <w:b/>
          <w:bCs/>
        </w:rPr>
        <w:t> </w:t>
      </w:r>
      <w:r w:rsidRPr="003043EE">
        <w:rPr>
          <w:b/>
          <w:bCs/>
        </w:rPr>
        <w:t>654</w:t>
      </w:r>
    </w:p>
    <w:p w14:paraId="569FFB78" w14:textId="2C0987C7" w:rsidR="00727026" w:rsidRDefault="00E23BA5" w:rsidP="00767EDC">
      <w:pPr>
        <w:spacing w:line="360" w:lineRule="auto"/>
      </w:pPr>
      <w:r>
        <w:tab/>
        <w:t xml:space="preserve">Under </w:t>
      </w:r>
      <w:r w:rsidR="00AD4AD7">
        <w:t>s</w:t>
      </w:r>
      <w:r>
        <w:t>ection</w:t>
      </w:r>
      <w:r w:rsidR="0069046C">
        <w:t> </w:t>
      </w:r>
      <w:r>
        <w:t>654, subdivision</w:t>
      </w:r>
      <w:r w:rsidR="0069046C">
        <w:t> </w:t>
      </w:r>
      <w:r>
        <w:t>(a),</w:t>
      </w:r>
      <w:r w:rsidR="0069046C">
        <w:t xml:space="preserve"> </w:t>
      </w:r>
      <w:r>
        <w:t>“</w:t>
      </w:r>
      <w:r w:rsidR="00EA6E7F">
        <w:t>[a]</w:t>
      </w:r>
      <w:r>
        <w:t>n act or omission that is punishable in different ways by different provisions of law may be punished under either of such provisions, but in no case shall the act or omission be punished under more than one provision.”</w:t>
      </w:r>
      <w:r w:rsidR="004712D4">
        <w:t xml:space="preserve"> </w:t>
      </w:r>
      <w:r>
        <w:t xml:space="preserve"> </w:t>
      </w:r>
      <w:r w:rsidR="00C536FD">
        <w:t>I</w:t>
      </w:r>
      <w:r w:rsidR="008C177E">
        <w:t xml:space="preserve">n determining whether section 654 applies, </w:t>
      </w:r>
      <w:r w:rsidR="00C536FD">
        <w:t>“</w:t>
      </w:r>
      <w:r w:rsidR="008C177E">
        <w:t>the trial court is entitled to make any necessary factual findings not already made by the jury.”</w:t>
      </w:r>
      <w:r w:rsidR="004712D4">
        <w:t xml:space="preserve"> </w:t>
      </w:r>
      <w:r w:rsidR="008A39E7">
        <w:t xml:space="preserve"> </w:t>
      </w:r>
      <w:r w:rsidR="004712D4">
        <w:t>(</w:t>
      </w:r>
      <w:r w:rsidR="008C177E" w:rsidRPr="004712D4">
        <w:rPr>
          <w:i/>
          <w:iCs/>
        </w:rPr>
        <w:t>People v. Deegan</w:t>
      </w:r>
      <w:r w:rsidR="004712D4">
        <w:t xml:space="preserve"> (2016)</w:t>
      </w:r>
      <w:r w:rsidR="008C177E">
        <w:t xml:space="preserve"> 247</w:t>
      </w:r>
      <w:r w:rsidR="0069046C">
        <w:t> </w:t>
      </w:r>
      <w:r w:rsidR="008C177E">
        <w:t>Cal.App.4th 532, 545</w:t>
      </w:r>
      <w:r w:rsidR="004712D4">
        <w:t>.</w:t>
      </w:r>
      <w:r w:rsidR="008C177E">
        <w:t>)</w:t>
      </w:r>
      <w:r w:rsidR="004712D4">
        <w:t xml:space="preserve">  </w:t>
      </w:r>
      <w:r w:rsidR="00727026">
        <w:t xml:space="preserve">While a jury verdict must be unanimous, </w:t>
      </w:r>
      <w:r w:rsidR="00727026" w:rsidRPr="006C38CF">
        <w:t xml:space="preserve">the jury </w:t>
      </w:r>
      <w:r w:rsidR="00727026">
        <w:t xml:space="preserve">is not required to </w:t>
      </w:r>
      <w:r w:rsidR="00727026" w:rsidRPr="006C38CF">
        <w:t>make findings</w:t>
      </w:r>
      <w:r w:rsidR="00727026">
        <w:t xml:space="preserve"> as to which of multiple acts supported its verdict.</w:t>
      </w:r>
      <w:r w:rsidR="007163D1">
        <w:t xml:space="preserve"> </w:t>
      </w:r>
      <w:r w:rsidR="008A39E7">
        <w:t xml:space="preserve"> </w:t>
      </w:r>
      <w:r w:rsidR="00767EDC">
        <w:t>(</w:t>
      </w:r>
      <w:r w:rsidR="008A39E7">
        <w:rPr>
          <w:i/>
          <w:iCs/>
        </w:rPr>
        <w:t xml:space="preserve">Id. </w:t>
      </w:r>
      <w:r w:rsidR="008A39E7" w:rsidRPr="008A39E7">
        <w:t>at p.</w:t>
      </w:r>
      <w:r w:rsidR="0069046C">
        <w:rPr>
          <w:i/>
          <w:iCs/>
        </w:rPr>
        <w:t> </w:t>
      </w:r>
      <w:r w:rsidR="0098189E">
        <w:t>547 [jury is not required “to make the factual findings that determine whether the trial court will stay sentences under section</w:t>
      </w:r>
      <w:r w:rsidR="0069046C">
        <w:t> </w:t>
      </w:r>
      <w:r w:rsidR="0098189E">
        <w:t xml:space="preserve">654 on one or more of multiple convictions”]; </w:t>
      </w:r>
      <w:r w:rsidR="00767EDC" w:rsidRPr="00767EDC">
        <w:rPr>
          <w:i/>
          <w:iCs/>
        </w:rPr>
        <w:t>People v. Williams</w:t>
      </w:r>
      <w:r w:rsidR="00767EDC">
        <w:t xml:space="preserve"> (2001) 25</w:t>
      </w:r>
      <w:r w:rsidR="00A97FE5">
        <w:t> </w:t>
      </w:r>
      <w:r w:rsidR="00767EDC">
        <w:t>Cal.4th 441, 450</w:t>
      </w:r>
      <w:r w:rsidR="007B79B9">
        <w:t xml:space="preserve">, </w:t>
      </w:r>
      <w:r w:rsidR="007B79B9" w:rsidRPr="007B79B9">
        <w:t xml:space="preserve">disapproved on another ground by </w:t>
      </w:r>
      <w:r w:rsidR="007B79B9" w:rsidRPr="007B79B9">
        <w:rPr>
          <w:i/>
          <w:iCs/>
        </w:rPr>
        <w:t>People v. Barnwell</w:t>
      </w:r>
      <w:r w:rsidR="007B79B9" w:rsidRPr="007B79B9">
        <w:t xml:space="preserve"> (2007) 41</w:t>
      </w:r>
      <w:r w:rsidR="00A97FE5">
        <w:t> </w:t>
      </w:r>
      <w:r w:rsidR="007B79B9" w:rsidRPr="007B79B9">
        <w:t>Cal.4th 103</w:t>
      </w:r>
      <w:r w:rsidR="00790E65">
        <w:t>8</w:t>
      </w:r>
      <w:r w:rsidR="007B79B9" w:rsidRPr="007B79B9">
        <w:t>, 105</w:t>
      </w:r>
      <w:r w:rsidR="00790E65">
        <w:t>2</w:t>
      </w:r>
      <w:r w:rsidR="00767EDC">
        <w:t xml:space="preserve"> [“General verdicts are required in criminal cases, in order to permit the </w:t>
      </w:r>
      <w:r w:rsidR="00767EDC">
        <w:lastRenderedPageBreak/>
        <w:t xml:space="preserve">jury wide latitude in reaching its verdict”].) </w:t>
      </w:r>
      <w:r w:rsidR="00727026">
        <w:t xml:space="preserve"> Accordingly, </w:t>
      </w:r>
      <w:proofErr w:type="gramStart"/>
      <w:r w:rsidR="00727026">
        <w:t>“</w:t>
      </w:r>
      <w:r w:rsidR="00FC6D29">
        <w:t> </w:t>
      </w:r>
      <w:r w:rsidR="00D15188">
        <w:t>‘</w:t>
      </w:r>
      <w:proofErr w:type="gramEnd"/>
      <w:r w:rsidR="00727026" w:rsidRPr="006C38CF">
        <w:t xml:space="preserve">in the absence of some circumstance </w:t>
      </w:r>
      <w:r w:rsidR="00D15188">
        <w:t>“</w:t>
      </w:r>
      <w:r w:rsidR="00727026" w:rsidRPr="006C38CF">
        <w:t>foreclosing</w:t>
      </w:r>
      <w:r w:rsidR="00D15188">
        <w:t>”</w:t>
      </w:r>
      <w:r w:rsidR="00727026" w:rsidRPr="006C38CF">
        <w:t xml:space="preserve"> its sentencing discretion</w:t>
      </w:r>
      <w:r w:rsidR="00A97FE5">
        <w:t> </w:t>
      </w:r>
      <w:r w:rsidR="00727026" w:rsidRPr="006C38CF">
        <w:t>.</w:t>
      </w:r>
      <w:r w:rsidR="00A97FE5">
        <w:t> </w:t>
      </w:r>
      <w:r w:rsidR="00727026" w:rsidRPr="006C38CF">
        <w:t>.</w:t>
      </w:r>
      <w:r w:rsidR="00A97FE5">
        <w:t> </w:t>
      </w:r>
      <w:r w:rsidR="00727026" w:rsidRPr="006C38CF">
        <w:t>.</w:t>
      </w:r>
      <w:r w:rsidR="003A652A">
        <w:t> </w:t>
      </w:r>
      <w:r w:rsidR="00727026" w:rsidRPr="006C38CF">
        <w:t>, a trial court may base its decision under section</w:t>
      </w:r>
      <w:r w:rsidR="007A50C2">
        <w:t> </w:t>
      </w:r>
      <w:r w:rsidR="00727026" w:rsidRPr="006C38CF">
        <w:t xml:space="preserve">654 on </w:t>
      </w:r>
      <w:r w:rsidR="00727026" w:rsidRPr="0059574F">
        <w:rPr>
          <w:i/>
          <w:iCs/>
        </w:rPr>
        <w:t>any</w:t>
      </w:r>
      <w:r w:rsidR="00727026" w:rsidRPr="006C38CF">
        <w:t xml:space="preserve"> of the facts that are in evidence at trial, without regard to the verdicts.’</w:t>
      </w:r>
      <w:r w:rsidR="007A50C2">
        <w:t> </w:t>
      </w:r>
      <w:r w:rsidR="00727026">
        <w:t xml:space="preserve">” </w:t>
      </w:r>
      <w:r w:rsidR="00727026" w:rsidRPr="006C38CF">
        <w:t xml:space="preserve"> (</w:t>
      </w:r>
      <w:r w:rsidR="00092DF9" w:rsidRPr="004712D4">
        <w:rPr>
          <w:i/>
          <w:iCs/>
        </w:rPr>
        <w:t>People v. Deegan</w:t>
      </w:r>
      <w:r w:rsidR="00092DF9">
        <w:t xml:space="preserve">, </w:t>
      </w:r>
      <w:r w:rsidR="00092DF9">
        <w:rPr>
          <w:i/>
          <w:iCs/>
        </w:rPr>
        <w:t>supra,</w:t>
      </w:r>
      <w:r w:rsidR="00092DF9">
        <w:t xml:space="preserve"> </w:t>
      </w:r>
      <w:r w:rsidR="00727026" w:rsidRPr="00446B35">
        <w:t>at p.</w:t>
      </w:r>
      <w:r w:rsidR="007A50C2">
        <w:t> </w:t>
      </w:r>
      <w:r w:rsidR="00727026" w:rsidRPr="006C38CF">
        <w:t>545.)</w:t>
      </w:r>
    </w:p>
    <w:p w14:paraId="365EC9E4" w14:textId="3CEE995D" w:rsidR="0061489A" w:rsidRDefault="00727026" w:rsidP="00AB474F">
      <w:pPr>
        <w:spacing w:line="360" w:lineRule="auto"/>
      </w:pPr>
      <w:r>
        <w:tab/>
      </w:r>
      <w:r w:rsidR="00622146">
        <w:t xml:space="preserve">As </w:t>
      </w:r>
      <w:r w:rsidR="007C2F53">
        <w:t>discussed above, the prosecutor</w:t>
      </w:r>
      <w:r w:rsidR="00C86D36">
        <w:t xml:space="preserve"> argued that Fish committed domestic battery</w:t>
      </w:r>
      <w:r w:rsidR="00FD494B">
        <w:t xml:space="preserve"> under count</w:t>
      </w:r>
      <w:r w:rsidR="006A7DD7">
        <w:t> </w:t>
      </w:r>
      <w:r w:rsidR="00FD494B">
        <w:t>1</w:t>
      </w:r>
      <w:r w:rsidR="00C86D36">
        <w:t xml:space="preserve"> by ei</w:t>
      </w:r>
      <w:r w:rsidR="00FD494B">
        <w:t>ther punching the victim or throwing a metal road at her</w:t>
      </w:r>
      <w:r w:rsidR="003C7EF6">
        <w:t>,</w:t>
      </w:r>
      <w:r w:rsidR="00FD494B">
        <w:t xml:space="preserve"> or both. </w:t>
      </w:r>
      <w:r w:rsidR="00EC6E22">
        <w:t xml:space="preserve"> Fish was convicted of assault under count</w:t>
      </w:r>
      <w:r w:rsidR="007A50C2">
        <w:t> </w:t>
      </w:r>
      <w:r w:rsidR="00EC6E22">
        <w:t xml:space="preserve">2 based solely on the </w:t>
      </w:r>
      <w:r w:rsidR="00AB474F">
        <w:t xml:space="preserve">act involving the </w:t>
      </w:r>
      <w:r w:rsidR="00EC6E22">
        <w:t xml:space="preserve">metal rod. </w:t>
      </w:r>
      <w:r w:rsidR="00092DF9">
        <w:t xml:space="preserve"> </w:t>
      </w:r>
      <w:r w:rsidR="002B1609">
        <w:t xml:space="preserve">Fish was sentenced to concurrent terms on these counts. </w:t>
      </w:r>
      <w:r w:rsidR="00092DF9">
        <w:t xml:space="preserve"> </w:t>
      </w:r>
      <w:r w:rsidR="0061489A">
        <w:t xml:space="preserve">At the sentencing hearing, </w:t>
      </w:r>
      <w:r w:rsidR="002B1609">
        <w:t xml:space="preserve">neither the parties nor the court discussed whether </w:t>
      </w:r>
      <w:r w:rsidR="00B15FE5">
        <w:t>s</w:t>
      </w:r>
      <w:r w:rsidR="002B1609">
        <w:t>ection</w:t>
      </w:r>
      <w:r w:rsidR="007A50C2">
        <w:t> </w:t>
      </w:r>
      <w:r w:rsidR="002B1609">
        <w:t>654 applied</w:t>
      </w:r>
      <w:r w:rsidR="00AE7A6D">
        <w:t>.</w:t>
      </w:r>
      <w:r w:rsidR="002B1609">
        <w:t xml:space="preserve"> </w:t>
      </w:r>
      <w:r w:rsidR="0061489A">
        <w:t xml:space="preserve"> </w:t>
      </w:r>
    </w:p>
    <w:p w14:paraId="60823E3E" w14:textId="0013A2ED" w:rsidR="00246421" w:rsidRDefault="0061489A" w:rsidP="00AB474F">
      <w:pPr>
        <w:spacing w:line="360" w:lineRule="auto"/>
      </w:pPr>
      <w:r>
        <w:tab/>
      </w:r>
      <w:r w:rsidR="00622146">
        <w:t xml:space="preserve">On appeal, </w:t>
      </w:r>
      <w:r w:rsidR="00EC6E22">
        <w:t xml:space="preserve">Fish argues that </w:t>
      </w:r>
      <w:r w:rsidR="00DB78AA">
        <w:t xml:space="preserve">because it is impossible to tell from the record which act formed the basis of </w:t>
      </w:r>
      <w:r w:rsidR="00DB560D">
        <w:t xml:space="preserve">his conviction on </w:t>
      </w:r>
      <w:r w:rsidR="00C86D36">
        <w:t>count</w:t>
      </w:r>
      <w:r w:rsidR="007A50C2">
        <w:t> </w:t>
      </w:r>
      <w:r w:rsidR="00C86D36">
        <w:t>1</w:t>
      </w:r>
      <w:r w:rsidR="00DB78AA">
        <w:t xml:space="preserve">, remand is necessary so that the court can </w:t>
      </w:r>
      <w:r w:rsidR="00385A93">
        <w:t>determine whether the jury’s verdict</w:t>
      </w:r>
      <w:r w:rsidR="004E1EB0">
        <w:t xml:space="preserve"> rested on </w:t>
      </w:r>
      <w:r w:rsidR="0047740D">
        <w:t>“</w:t>
      </w:r>
      <w:r w:rsidR="004E1EB0">
        <w:t>the metal</w:t>
      </w:r>
      <w:r w:rsidR="0047740D">
        <w:t>-</w:t>
      </w:r>
      <w:r w:rsidR="004E1EB0">
        <w:t>rod incident rather than the face-punch incident” and</w:t>
      </w:r>
      <w:r w:rsidR="00A858CD">
        <w:t>, if so,</w:t>
      </w:r>
      <w:r w:rsidR="0047740D">
        <w:t xml:space="preserve"> </w:t>
      </w:r>
      <w:r w:rsidR="00A858CD">
        <w:t>which count</w:t>
      </w:r>
      <w:r w:rsidR="00C51BE6">
        <w:t xml:space="preserve"> </w:t>
      </w:r>
      <w:r w:rsidR="00A858CD">
        <w:t>to stay under section</w:t>
      </w:r>
      <w:r w:rsidR="007A50C2">
        <w:t> </w:t>
      </w:r>
      <w:r w:rsidR="00A858CD">
        <w:t>654</w:t>
      </w:r>
      <w:r w:rsidR="00C86D36">
        <w:t>.</w:t>
      </w:r>
      <w:r w:rsidR="00180360">
        <w:t xml:space="preserve"> </w:t>
      </w:r>
      <w:r w:rsidR="0047740D">
        <w:t xml:space="preserve"> </w:t>
      </w:r>
      <w:r w:rsidR="00E13391">
        <w:t xml:space="preserve">The Attorney General </w:t>
      </w:r>
      <w:r w:rsidR="006C73C9">
        <w:t xml:space="preserve">argues </w:t>
      </w:r>
      <w:r w:rsidR="00D40FCB">
        <w:t>that there is no need for a remand because the trial court</w:t>
      </w:r>
      <w:r w:rsidR="00431AE1">
        <w:t>, by not staying count</w:t>
      </w:r>
      <w:r w:rsidR="007A50C2">
        <w:t> </w:t>
      </w:r>
      <w:r w:rsidR="00431AE1">
        <w:t>1,</w:t>
      </w:r>
      <w:r w:rsidR="00D40FCB">
        <w:t xml:space="preserve"> impliedly found that </w:t>
      </w:r>
      <w:r w:rsidR="007A50C2">
        <w:t>s</w:t>
      </w:r>
      <w:r w:rsidR="008379DB">
        <w:t>ection</w:t>
      </w:r>
      <w:r w:rsidR="007A50C2">
        <w:t> </w:t>
      </w:r>
      <w:r w:rsidR="008379DB">
        <w:t xml:space="preserve">654 does not apply </w:t>
      </w:r>
      <w:r w:rsidR="009943D7">
        <w:t>because count</w:t>
      </w:r>
      <w:r w:rsidR="007A50C2">
        <w:t> </w:t>
      </w:r>
      <w:r w:rsidR="009943D7">
        <w:t>1 rested</w:t>
      </w:r>
      <w:r w:rsidR="001E3ECF">
        <w:t>,</w:t>
      </w:r>
      <w:r w:rsidR="00D97FC0">
        <w:t xml:space="preserve"> at least</w:t>
      </w:r>
      <w:r w:rsidR="001E3ECF">
        <w:t xml:space="preserve"> in part</w:t>
      </w:r>
      <w:r w:rsidR="00F5540A">
        <w:t>,</w:t>
      </w:r>
      <w:r w:rsidR="009943D7">
        <w:t xml:space="preserve"> on the punch</w:t>
      </w:r>
      <w:r w:rsidR="00431AE1">
        <w:t>.</w:t>
      </w:r>
      <w:r w:rsidR="00AB474F">
        <w:t xml:space="preserve">  </w:t>
      </w:r>
    </w:p>
    <w:p w14:paraId="51658182" w14:textId="35182A4D" w:rsidR="007143AE" w:rsidRDefault="00E51AD2" w:rsidP="002D01F8">
      <w:pPr>
        <w:spacing w:line="360" w:lineRule="auto"/>
      </w:pPr>
      <w:r>
        <w:tab/>
      </w:r>
      <w:r w:rsidR="00167EB7" w:rsidRPr="00167EB7">
        <w:t xml:space="preserve">Although </w:t>
      </w:r>
      <w:r w:rsidR="00180360">
        <w:t xml:space="preserve">Fish </w:t>
      </w:r>
      <w:r w:rsidR="00167EB7" w:rsidRPr="00167EB7">
        <w:t xml:space="preserve">did not raise </w:t>
      </w:r>
      <w:r w:rsidR="000B1A2F">
        <w:t>a section</w:t>
      </w:r>
      <w:r w:rsidR="007A50C2">
        <w:t> </w:t>
      </w:r>
      <w:r w:rsidR="000B1A2F">
        <w:t>654</w:t>
      </w:r>
      <w:r w:rsidR="00167EB7" w:rsidRPr="00167EB7">
        <w:t xml:space="preserve"> objection during the sentencing hearing, </w:t>
      </w:r>
      <w:proofErr w:type="gramStart"/>
      <w:r w:rsidR="00167EB7" w:rsidRPr="00167EB7">
        <w:t>“</w:t>
      </w:r>
      <w:r w:rsidR="007A50C2">
        <w:t> </w:t>
      </w:r>
      <w:r w:rsidR="00167EB7" w:rsidRPr="00167EB7">
        <w:t>‘</w:t>
      </w:r>
      <w:proofErr w:type="gramEnd"/>
      <w:r w:rsidR="000B1A2F">
        <w:t>[e</w:t>
      </w:r>
      <w:r w:rsidR="00A15064">
        <w:t>]</w:t>
      </w:r>
      <w:proofErr w:type="spellStart"/>
      <w:r w:rsidR="00167EB7" w:rsidRPr="00167EB7">
        <w:t>rrors</w:t>
      </w:r>
      <w:proofErr w:type="spellEnd"/>
      <w:r w:rsidR="00167EB7" w:rsidRPr="00167EB7">
        <w:t xml:space="preserve"> in the applicability of section</w:t>
      </w:r>
      <w:r w:rsidR="007A50C2">
        <w:t> </w:t>
      </w:r>
      <w:r w:rsidR="00167EB7" w:rsidRPr="00167EB7">
        <w:t>654 are corrected on appeal regardless of whether the point was raised by objection in the trial court or assigned as error on appeal.’</w:t>
      </w:r>
      <w:r w:rsidR="007A50C2">
        <w:t> </w:t>
      </w:r>
      <w:r w:rsidR="00167EB7" w:rsidRPr="00167EB7">
        <w:t xml:space="preserve">” </w:t>
      </w:r>
      <w:r w:rsidR="00092DF9">
        <w:t xml:space="preserve"> </w:t>
      </w:r>
      <w:r w:rsidR="00167EB7" w:rsidRPr="00167EB7">
        <w:t>(</w:t>
      </w:r>
      <w:r w:rsidR="00167EB7" w:rsidRPr="00180360">
        <w:rPr>
          <w:i/>
          <w:iCs/>
        </w:rPr>
        <w:t>People v. Hester</w:t>
      </w:r>
      <w:r w:rsidR="00167EB7" w:rsidRPr="00167EB7">
        <w:t xml:space="preserve"> (2000) 22</w:t>
      </w:r>
      <w:r w:rsidR="007A50C2">
        <w:t> </w:t>
      </w:r>
      <w:r w:rsidR="00167EB7" w:rsidRPr="00167EB7">
        <w:t>Cal.4th 290, 295.)</w:t>
      </w:r>
      <w:r w:rsidR="00092DF9">
        <w:t xml:space="preserve"> </w:t>
      </w:r>
      <w:r w:rsidR="00167EB7" w:rsidRPr="00167EB7">
        <w:t xml:space="preserve"> </w:t>
      </w:r>
      <w:r w:rsidR="00C95A0C" w:rsidRPr="008748B2">
        <w:t>If the trial court does not stay a sentence pursuant to section</w:t>
      </w:r>
      <w:r w:rsidR="007A50C2">
        <w:t> </w:t>
      </w:r>
      <w:r w:rsidR="00C95A0C" w:rsidRPr="008748B2">
        <w:t xml:space="preserve">654, and offers no factual basis for its decision, we presume the court </w:t>
      </w:r>
      <w:r w:rsidR="00B1210C">
        <w:t xml:space="preserve">made the necessary findings to </w:t>
      </w:r>
      <w:r w:rsidR="00B1210C" w:rsidRPr="00167EB7">
        <w:t>impose separate sentences without violating the statutory proscription against multiple punishment</w:t>
      </w:r>
      <w:r w:rsidR="00F805C9">
        <w:t>.</w:t>
      </w:r>
      <w:r w:rsidR="00C95A0C" w:rsidRPr="008748B2">
        <w:t xml:space="preserve"> </w:t>
      </w:r>
      <w:r w:rsidR="00092DF9">
        <w:t xml:space="preserve"> </w:t>
      </w:r>
      <w:r w:rsidR="00C95A0C" w:rsidRPr="008748B2">
        <w:t>(</w:t>
      </w:r>
      <w:r w:rsidR="002D01F8" w:rsidRPr="000E642A">
        <w:rPr>
          <w:i/>
          <w:iCs/>
        </w:rPr>
        <w:t>People v. Mejia</w:t>
      </w:r>
      <w:r w:rsidR="000E642A">
        <w:t xml:space="preserve"> (2017)</w:t>
      </w:r>
      <w:r w:rsidR="002D01F8">
        <w:t xml:space="preserve"> </w:t>
      </w:r>
      <w:r w:rsidR="002D01F8">
        <w:lastRenderedPageBreak/>
        <w:t>9</w:t>
      </w:r>
      <w:r w:rsidR="007A50C2">
        <w:t> </w:t>
      </w:r>
      <w:r w:rsidR="002D01F8">
        <w:t>Cal.App.5th 1036, 1045</w:t>
      </w:r>
      <w:r w:rsidR="00C95A0C" w:rsidRPr="008748B2">
        <w:t>.)</w:t>
      </w:r>
      <w:r w:rsidR="00C95A0C">
        <w:t xml:space="preserve">  </w:t>
      </w:r>
      <w:r w:rsidR="00C928E1" w:rsidRPr="00C928E1">
        <w:t>A trial court</w:t>
      </w:r>
      <w:r w:rsidR="00C928E1">
        <w:t>’</w:t>
      </w:r>
      <w:r w:rsidR="00C928E1" w:rsidRPr="00C928E1">
        <w:t xml:space="preserve">s imposition of multiple sentences must be sustained on appeal so long as its factual findings, express or implied, of multiple acts are supported by substantial evidence. </w:t>
      </w:r>
      <w:r w:rsidR="00092DF9">
        <w:t xml:space="preserve"> </w:t>
      </w:r>
      <w:r w:rsidR="00C928E1" w:rsidRPr="00C928E1">
        <w:t>(</w:t>
      </w:r>
      <w:r w:rsidR="00C928E1" w:rsidRPr="00C928E1">
        <w:rPr>
          <w:i/>
          <w:iCs/>
        </w:rPr>
        <w:t>People v. Cruz</w:t>
      </w:r>
      <w:r w:rsidR="00C928E1" w:rsidRPr="00C928E1">
        <w:t xml:space="preserve"> (2020) 46</w:t>
      </w:r>
      <w:r w:rsidR="007A50C2">
        <w:t> </w:t>
      </w:r>
      <w:r w:rsidR="00C928E1" w:rsidRPr="00C928E1">
        <w:t xml:space="preserve">Cal.App.5th 715, 737.) </w:t>
      </w:r>
      <w:r w:rsidR="00092DF9">
        <w:t xml:space="preserve"> </w:t>
      </w:r>
      <w:r w:rsidR="00745062">
        <w:t>W</w:t>
      </w:r>
      <w:r w:rsidR="00C928E1" w:rsidRPr="00C928E1">
        <w:t>e review the trial court</w:t>
      </w:r>
      <w:r w:rsidR="00A15064">
        <w:t>’</w:t>
      </w:r>
      <w:r w:rsidR="00C928E1" w:rsidRPr="00C928E1">
        <w:t xml:space="preserve">s imposition of multiple sentences </w:t>
      </w:r>
      <w:proofErr w:type="gramStart"/>
      <w:r w:rsidR="00C928E1" w:rsidRPr="00C928E1">
        <w:t>“</w:t>
      </w:r>
      <w:r w:rsidR="007A50C2">
        <w:t> </w:t>
      </w:r>
      <w:r w:rsidR="00C928E1" w:rsidRPr="00C928E1">
        <w:t>‘</w:t>
      </w:r>
      <w:proofErr w:type="gramEnd"/>
      <w:r w:rsidR="00C928E1" w:rsidRPr="00C928E1">
        <w:t>in the light most favorable to the respondent and presume the existence of every fact the trial court could reasonably deduce from the evidence.’</w:t>
      </w:r>
      <w:r w:rsidR="007A50C2">
        <w:t> </w:t>
      </w:r>
      <w:r w:rsidR="00C928E1" w:rsidRPr="00C928E1">
        <w:t xml:space="preserve">” </w:t>
      </w:r>
      <w:r w:rsidR="00092DF9">
        <w:t xml:space="preserve"> </w:t>
      </w:r>
      <w:r w:rsidR="00C928E1" w:rsidRPr="00C928E1">
        <w:t>(</w:t>
      </w:r>
      <w:r w:rsidR="00C928E1" w:rsidRPr="00C928E1">
        <w:rPr>
          <w:i/>
          <w:iCs/>
        </w:rPr>
        <w:t>People v. Ortiz</w:t>
      </w:r>
      <w:r w:rsidR="00C928E1" w:rsidRPr="00C928E1">
        <w:t xml:space="preserve"> (2012) 208</w:t>
      </w:r>
      <w:r w:rsidR="007A50C2">
        <w:t> </w:t>
      </w:r>
      <w:r w:rsidR="00C928E1" w:rsidRPr="00C928E1">
        <w:t>Cal.App.4th 1354, 1378</w:t>
      </w:r>
      <w:r w:rsidR="009C3465">
        <w:t xml:space="preserve">, </w:t>
      </w:r>
      <w:r w:rsidR="009C3465" w:rsidRPr="000E642A">
        <w:rPr>
          <w:i/>
          <w:iCs/>
        </w:rPr>
        <w:t>People v. Mejia</w:t>
      </w:r>
      <w:r w:rsidR="009C3465">
        <w:rPr>
          <w:i/>
          <w:iCs/>
        </w:rPr>
        <w:t>, supra,</w:t>
      </w:r>
      <w:r w:rsidR="009C3465">
        <w:t xml:space="preserve"> at p.</w:t>
      </w:r>
      <w:r w:rsidR="005D6FA8">
        <w:t> </w:t>
      </w:r>
      <w:r w:rsidR="009C3465">
        <w:t>1046</w:t>
      </w:r>
      <w:r w:rsidR="00C928E1" w:rsidRPr="00C928E1">
        <w:t>.)</w:t>
      </w:r>
    </w:p>
    <w:p w14:paraId="5E6A02A2" w14:textId="4EF98AA2" w:rsidR="0028119F" w:rsidRDefault="007143AE" w:rsidP="00E4638C">
      <w:pPr>
        <w:spacing w:line="360" w:lineRule="auto"/>
      </w:pPr>
      <w:r>
        <w:tab/>
        <w:t>Fish</w:t>
      </w:r>
      <w:r w:rsidR="00024316">
        <w:t xml:space="preserve"> acknowledges these rules of appellate practice but argues that </w:t>
      </w:r>
      <w:r w:rsidR="00802CBE">
        <w:t xml:space="preserve">it would be inappropriate </w:t>
      </w:r>
      <w:r w:rsidR="00D7546D">
        <w:t>and unfair “</w:t>
      </w:r>
      <w:r w:rsidR="00802CBE">
        <w:t>to presume that the trial court considered the applicability of section</w:t>
      </w:r>
      <w:r w:rsidR="007A50C2">
        <w:t> </w:t>
      </w:r>
      <w:r w:rsidR="00802CBE">
        <w:t>654 to counts</w:t>
      </w:r>
      <w:r w:rsidR="007A50C2">
        <w:t> </w:t>
      </w:r>
      <w:r w:rsidR="00802CBE">
        <w:t>1 and</w:t>
      </w:r>
      <w:r w:rsidR="007A50C2">
        <w:t> </w:t>
      </w:r>
      <w:r w:rsidR="00802CBE">
        <w:t xml:space="preserve">2” </w:t>
      </w:r>
      <w:r w:rsidR="00C069D2">
        <w:t xml:space="preserve">in this case </w:t>
      </w:r>
      <w:r w:rsidR="00031E39">
        <w:t xml:space="preserve">because </w:t>
      </w:r>
      <w:r w:rsidR="00234CB1">
        <w:t xml:space="preserve">the </w:t>
      </w:r>
      <w:r w:rsidR="00233E09">
        <w:t>trial</w:t>
      </w:r>
      <w:r w:rsidR="00234CB1">
        <w:t xml:space="preserve"> court </w:t>
      </w:r>
      <w:r w:rsidR="00031E39">
        <w:t>“</w:t>
      </w:r>
      <w:r w:rsidR="00234CB1">
        <w:t>affirmatively erred at th</w:t>
      </w:r>
      <w:r w:rsidR="004F4E52">
        <w:t>e</w:t>
      </w:r>
      <w:r w:rsidR="00234CB1">
        <w:t xml:space="preserve"> matter </w:t>
      </w:r>
      <w:r w:rsidR="004F4E52">
        <w:t>at the heart of the section</w:t>
      </w:r>
      <w:r w:rsidR="007A50C2">
        <w:t> </w:t>
      </w:r>
      <w:r w:rsidR="004F4E52">
        <w:t>654 inquiry</w:t>
      </w:r>
      <w:r w:rsidR="00031E39">
        <w:t>”</w:t>
      </w:r>
      <w:r w:rsidR="004F4E52">
        <w:t xml:space="preserve"> </w:t>
      </w:r>
      <w:r w:rsidR="00233E09">
        <w:t>b</w:t>
      </w:r>
      <w:r w:rsidR="004F4E52">
        <w:t xml:space="preserve">y </w:t>
      </w:r>
      <w:r w:rsidR="00233E09">
        <w:t xml:space="preserve">failing to give </w:t>
      </w:r>
      <w:proofErr w:type="gramStart"/>
      <w:r w:rsidR="00233E09">
        <w:t>a</w:t>
      </w:r>
      <w:proofErr w:type="gramEnd"/>
      <w:r w:rsidR="00233E09">
        <w:t xml:space="preserve"> unanimity instruction as to the lesser offense on count</w:t>
      </w:r>
      <w:r w:rsidR="007A50C2">
        <w:t> </w:t>
      </w:r>
      <w:r w:rsidR="00233E09">
        <w:t>1.</w:t>
      </w:r>
      <w:r w:rsidR="00C069D2">
        <w:t xml:space="preserve"> </w:t>
      </w:r>
      <w:r>
        <w:t xml:space="preserve"> </w:t>
      </w:r>
      <w:r w:rsidR="00374112">
        <w:t>We disag</w:t>
      </w:r>
      <w:r w:rsidR="00D44DAF">
        <w:t>ree that the trial court’s failure to expressly identify the lesser included offense in the unanimity instruction</w:t>
      </w:r>
      <w:r w:rsidR="00B96174">
        <w:t>—irrespective of whether it amounted to error in this case—</w:t>
      </w:r>
      <w:r w:rsidR="00854CE8">
        <w:t xml:space="preserve">provides a basis to jettison the usual presumption that </w:t>
      </w:r>
      <w:r w:rsidR="00812EF9">
        <w:t xml:space="preserve">the </w:t>
      </w:r>
      <w:r w:rsidR="00DC2F9C">
        <w:t xml:space="preserve">court </w:t>
      </w:r>
      <w:r w:rsidR="00854CE8">
        <w:t>had</w:t>
      </w:r>
      <w:r w:rsidR="00DC2F9C">
        <w:t xml:space="preserve"> in mind its obligations under section</w:t>
      </w:r>
      <w:r w:rsidR="007A50C2">
        <w:t> </w:t>
      </w:r>
      <w:r w:rsidR="00DC2F9C">
        <w:t>654</w:t>
      </w:r>
      <w:r w:rsidR="00500FCC">
        <w:t xml:space="preserve"> at sentencing</w:t>
      </w:r>
      <w:r w:rsidR="00DC2F9C">
        <w:t xml:space="preserve">.  </w:t>
      </w:r>
      <w:r w:rsidR="00FD0397">
        <w:t xml:space="preserve">The </w:t>
      </w:r>
      <w:r w:rsidR="00A8769C">
        <w:t xml:space="preserve">possibility that a reasonable juror could </w:t>
      </w:r>
      <w:r w:rsidR="00B079D2">
        <w:t>have been confused by the instruction’s reference to the charged</w:t>
      </w:r>
      <w:r w:rsidR="005828BC">
        <w:t xml:space="preserve"> </w:t>
      </w:r>
      <w:r w:rsidR="00345544">
        <w:t>but</w:t>
      </w:r>
      <w:r w:rsidR="00B079D2">
        <w:t xml:space="preserve"> not </w:t>
      </w:r>
      <w:r w:rsidR="00E55DD6">
        <w:t xml:space="preserve">the lesser included offense </w:t>
      </w:r>
      <w:r w:rsidR="00345544">
        <w:t xml:space="preserve">does not </w:t>
      </w:r>
      <w:r w:rsidR="00D47D0F">
        <w:t>establish</w:t>
      </w:r>
      <w:r w:rsidR="00E55DD6">
        <w:t xml:space="preserve"> that the trial court </w:t>
      </w:r>
      <w:r w:rsidR="00406708">
        <w:t>itself did not understand that unanimity was required</w:t>
      </w:r>
      <w:r w:rsidR="00987053">
        <w:t xml:space="preserve"> or</w:t>
      </w:r>
      <w:r w:rsidR="00345544">
        <w:t xml:space="preserve"> that,</w:t>
      </w:r>
      <w:r>
        <w:t xml:space="preserve"> </w:t>
      </w:r>
      <w:r w:rsidR="00406708">
        <w:t>at se</w:t>
      </w:r>
      <w:r w:rsidR="00345544">
        <w:t>n</w:t>
      </w:r>
      <w:r w:rsidR="00406708">
        <w:t>tencing</w:t>
      </w:r>
      <w:r w:rsidR="00345544">
        <w:t>, it</w:t>
      </w:r>
      <w:r>
        <w:t xml:space="preserve"> </w:t>
      </w:r>
      <w:r w:rsidR="00FA6833">
        <w:t>“overlooked</w:t>
      </w:r>
      <w:r>
        <w:t xml:space="preserve"> the need to consider the section</w:t>
      </w:r>
      <w:r w:rsidR="007A50C2">
        <w:t> </w:t>
      </w:r>
      <w:r>
        <w:t>654 applicability of that count vis-à-vis count</w:t>
      </w:r>
      <w:r w:rsidR="007A50C2">
        <w:t> </w:t>
      </w:r>
      <w:r>
        <w:t>2</w:t>
      </w:r>
      <w:r w:rsidR="003346DD">
        <w:t>,</w:t>
      </w:r>
      <w:r>
        <w:t>”</w:t>
      </w:r>
      <w:r w:rsidR="003346DD">
        <w:t xml:space="preserve"> as Fish contends.</w:t>
      </w:r>
      <w:r>
        <w:t xml:space="preserve">  </w:t>
      </w:r>
      <w:r w:rsidR="005742E6">
        <w:t>Accordingly, we presume the court found that the domestic battery conviction was based on the punch so that section</w:t>
      </w:r>
      <w:r w:rsidR="007A50C2">
        <w:t> </w:t>
      </w:r>
      <w:r w:rsidR="005742E6">
        <w:t>654 was not applicable.</w:t>
      </w:r>
    </w:p>
    <w:p w14:paraId="545594CD" w14:textId="0B023F87" w:rsidR="003F31DF" w:rsidRPr="005D67BD" w:rsidRDefault="00DC5015" w:rsidP="00733F66">
      <w:pPr>
        <w:pStyle w:val="ListParagraph"/>
        <w:keepNext/>
        <w:numPr>
          <w:ilvl w:val="0"/>
          <w:numId w:val="1"/>
        </w:numPr>
        <w:spacing w:line="360" w:lineRule="auto"/>
        <w:ind w:left="1008"/>
        <w:rPr>
          <w:b/>
          <w:bCs/>
        </w:rPr>
      </w:pPr>
      <w:r>
        <w:rPr>
          <w:b/>
          <w:bCs/>
        </w:rPr>
        <w:t>Assessments</w:t>
      </w:r>
      <w:r w:rsidR="003F31DF" w:rsidRPr="005D67BD">
        <w:rPr>
          <w:b/>
          <w:bCs/>
        </w:rPr>
        <w:t xml:space="preserve"> and </w:t>
      </w:r>
      <w:r w:rsidR="005D67BD" w:rsidRPr="005D67BD">
        <w:rPr>
          <w:b/>
          <w:bCs/>
        </w:rPr>
        <w:t>F</w:t>
      </w:r>
      <w:r w:rsidR="003F31DF" w:rsidRPr="005D67BD">
        <w:rPr>
          <w:b/>
          <w:bCs/>
        </w:rPr>
        <w:t>ines</w:t>
      </w:r>
    </w:p>
    <w:p w14:paraId="67C72B1D" w14:textId="2F546D79" w:rsidR="003F31DF" w:rsidRDefault="00AC5756" w:rsidP="00405DBA">
      <w:pPr>
        <w:spacing w:line="360" w:lineRule="auto"/>
      </w:pPr>
      <w:r>
        <w:tab/>
      </w:r>
      <w:r w:rsidR="005463B8">
        <w:t>Fish contends that</w:t>
      </w:r>
      <w:r w:rsidR="000E705F">
        <w:t xml:space="preserve"> the</w:t>
      </w:r>
      <w:r w:rsidR="005463B8">
        <w:t xml:space="preserve"> trial court’s imposition of </w:t>
      </w:r>
      <w:r w:rsidR="00167772">
        <w:t>fines and</w:t>
      </w:r>
      <w:r>
        <w:t xml:space="preserve"> assessment</w:t>
      </w:r>
      <w:r w:rsidR="005C0967">
        <w:t xml:space="preserve">s </w:t>
      </w:r>
      <w:r w:rsidR="00167772">
        <w:t xml:space="preserve">in this case </w:t>
      </w:r>
      <w:r w:rsidR="005C0967">
        <w:t>was “arbitrary and irrational</w:t>
      </w:r>
      <w:r w:rsidR="008B6A59">
        <w:t>.</w:t>
      </w:r>
      <w:r w:rsidR="005C0967">
        <w:t>”</w:t>
      </w:r>
      <w:r w:rsidR="008B6A59">
        <w:t xml:space="preserve">  He argues that </w:t>
      </w:r>
      <w:r w:rsidR="00D86933">
        <w:t xml:space="preserve">the undisputed </w:t>
      </w:r>
      <w:r w:rsidR="00D86933">
        <w:lastRenderedPageBreak/>
        <w:t xml:space="preserve">evidence establishes that he is indigent and that the court abused its discretion by relying on his “theoretical ability to earn prison wages without any sort of evidence about appellant’s eligibility for in-custody employment or the availability of employment.”  </w:t>
      </w:r>
      <w:r w:rsidR="005C0967">
        <w:t xml:space="preserve"> </w:t>
      </w:r>
    </w:p>
    <w:p w14:paraId="2CF58228" w14:textId="77777777" w:rsidR="004A3EDB" w:rsidRDefault="00544858" w:rsidP="006A4019">
      <w:pPr>
        <w:spacing w:line="360" w:lineRule="auto"/>
      </w:pPr>
      <w:r>
        <w:tab/>
      </w:r>
      <w:r w:rsidR="00094F6C">
        <w:t xml:space="preserve">While the relevant statutes </w:t>
      </w:r>
      <w:r w:rsidR="00A51C79">
        <w:t xml:space="preserve">do not </w:t>
      </w:r>
      <w:r w:rsidR="00A51C79" w:rsidRPr="005F16AC">
        <w:t xml:space="preserve">require </w:t>
      </w:r>
      <w:r w:rsidR="00A51C79">
        <w:t xml:space="preserve">trial </w:t>
      </w:r>
      <w:r w:rsidR="00A51C79" w:rsidRPr="005F16AC">
        <w:t>court</w:t>
      </w:r>
      <w:r w:rsidR="00A51C79">
        <w:t>s</w:t>
      </w:r>
      <w:r w:rsidR="00A51C79" w:rsidRPr="005F16AC">
        <w:t xml:space="preserve"> </w:t>
      </w:r>
      <w:r w:rsidR="00A51C79">
        <w:t xml:space="preserve">to </w:t>
      </w:r>
      <w:r w:rsidR="00A51C79" w:rsidRPr="005F16AC">
        <w:t>ascertain a defendant</w:t>
      </w:r>
      <w:r w:rsidR="00A51C79">
        <w:t>’</w:t>
      </w:r>
      <w:r w:rsidR="00A51C79" w:rsidRPr="005F16AC">
        <w:t xml:space="preserve">s ability to pay </w:t>
      </w:r>
      <w:r w:rsidR="007F7108">
        <w:t>before imposing only</w:t>
      </w:r>
      <w:r w:rsidR="00E873DC">
        <w:t xml:space="preserve"> the</w:t>
      </w:r>
      <w:r w:rsidR="007F7108">
        <w:t xml:space="preserve"> statutory</w:t>
      </w:r>
      <w:r w:rsidR="00E873DC">
        <w:t xml:space="preserve"> minimum</w:t>
      </w:r>
      <w:r w:rsidR="007F7108">
        <w:t>s</w:t>
      </w:r>
      <w:r w:rsidR="00094F6C">
        <w:t xml:space="preserve">, </w:t>
      </w:r>
      <w:r w:rsidR="001F2344">
        <w:t xml:space="preserve">this court and others have concluded that constitutional </w:t>
      </w:r>
      <w:r w:rsidR="00CC4703">
        <w:t>protections</w:t>
      </w:r>
      <w:r w:rsidR="00303F47">
        <w:t xml:space="preserve"> </w:t>
      </w:r>
      <w:r w:rsidR="000B53F3">
        <w:t>impose such a requirement on the trial court.</w:t>
      </w:r>
      <w:r w:rsidR="00094F6C">
        <w:t xml:space="preserve"> </w:t>
      </w:r>
      <w:r w:rsidR="007E38AE">
        <w:t xml:space="preserve"> (</w:t>
      </w:r>
      <w:r w:rsidR="007E38AE" w:rsidRPr="00CC4703">
        <w:rPr>
          <w:i/>
          <w:iCs/>
        </w:rPr>
        <w:t>People v. Cowan</w:t>
      </w:r>
      <w:r w:rsidR="007E38AE" w:rsidRPr="007E38AE">
        <w:t xml:space="preserve"> (2020) 47</w:t>
      </w:r>
      <w:r w:rsidR="007A50C2">
        <w:t> </w:t>
      </w:r>
      <w:r w:rsidR="007E38AE" w:rsidRPr="007E38AE">
        <w:t>Cal.App.5th 32, 46, review granted June</w:t>
      </w:r>
      <w:r w:rsidR="007A50C2">
        <w:t> </w:t>
      </w:r>
      <w:r w:rsidR="007E38AE" w:rsidRPr="007E38AE">
        <w:t>17, 2020, S261952 [Eighth Amendment</w:t>
      </w:r>
      <w:r w:rsidR="000B53F3">
        <w:t>’</w:t>
      </w:r>
      <w:r w:rsidR="007E38AE" w:rsidRPr="007E38AE">
        <w:t xml:space="preserve">s protection against excessive fines prohibits the imposition of these assessments when the trial court determines that the defendant lacks the ability to pay]; </w:t>
      </w:r>
      <w:r w:rsidR="007E38AE" w:rsidRPr="00CC4703">
        <w:rPr>
          <w:i/>
          <w:iCs/>
        </w:rPr>
        <w:t xml:space="preserve">People v. </w:t>
      </w:r>
      <w:proofErr w:type="spellStart"/>
      <w:r w:rsidR="007E38AE" w:rsidRPr="00CC4703">
        <w:rPr>
          <w:i/>
          <w:iCs/>
        </w:rPr>
        <w:t>Dueñas</w:t>
      </w:r>
      <w:proofErr w:type="spellEnd"/>
      <w:r w:rsidR="007E38AE" w:rsidRPr="007E38AE">
        <w:t xml:space="preserve"> (2019) 30</w:t>
      </w:r>
      <w:r w:rsidR="007A50C2">
        <w:t> </w:t>
      </w:r>
      <w:r w:rsidR="007E38AE" w:rsidRPr="007E38AE">
        <w:t>Cal.App.5th 1157, 1168</w:t>
      </w:r>
      <w:r w:rsidR="009D6075" w:rsidRPr="009D6075">
        <w:rPr>
          <w:rFonts w:eastAsia="Calibri" w:cs="Times New Roman"/>
          <w:szCs w:val="26"/>
        </w:rPr>
        <w:t>–</w:t>
      </w:r>
      <w:r w:rsidR="007E38AE" w:rsidRPr="007E38AE">
        <w:t>1169 [reaching same conclusion based on due process].)</w:t>
      </w:r>
      <w:r w:rsidR="00707ED7">
        <w:t xml:space="preserve"> </w:t>
      </w:r>
      <w:r w:rsidR="00745062">
        <w:t xml:space="preserve"> </w:t>
      </w:r>
      <w:r w:rsidR="00B97094">
        <w:t>I</w:t>
      </w:r>
      <w:r w:rsidR="00D55FEC">
        <w:t xml:space="preserve">t </w:t>
      </w:r>
      <w:r w:rsidR="00F674FA">
        <w:t>was Fish’s</w:t>
      </w:r>
      <w:r w:rsidR="00C6163A">
        <w:t xml:space="preserve"> burden</w:t>
      </w:r>
      <w:r w:rsidR="00707ED7">
        <w:t>, however,</w:t>
      </w:r>
      <w:r w:rsidR="00C6163A">
        <w:t xml:space="preserve"> </w:t>
      </w:r>
      <w:r w:rsidR="00D55FEC">
        <w:t>to</w:t>
      </w:r>
      <w:r w:rsidR="00C6163A">
        <w:t xml:space="preserve"> prov</w:t>
      </w:r>
      <w:r w:rsidR="00D55FEC">
        <w:t>e</w:t>
      </w:r>
      <w:r w:rsidR="00C6163A">
        <w:t xml:space="preserve"> </w:t>
      </w:r>
      <w:r w:rsidR="00F674FA">
        <w:t xml:space="preserve">his </w:t>
      </w:r>
      <w:r w:rsidR="00C6163A">
        <w:t xml:space="preserve">inability to pay the </w:t>
      </w:r>
      <w:r w:rsidR="00A65221">
        <w:t>relevant fines</w:t>
      </w:r>
      <w:r w:rsidR="00FD6627">
        <w:t xml:space="preserve"> and assessments</w:t>
      </w:r>
      <w:r w:rsidR="00C6163A">
        <w:t>.</w:t>
      </w:r>
      <w:r w:rsidR="00745062">
        <w:t xml:space="preserve"> </w:t>
      </w:r>
      <w:r w:rsidR="00C6163A">
        <w:t xml:space="preserve"> (</w:t>
      </w:r>
      <w:r w:rsidR="00C84F9E" w:rsidRPr="00C84F9E">
        <w:rPr>
          <w:i/>
          <w:iCs/>
        </w:rPr>
        <w:t>People v. Cowan, supra</w:t>
      </w:r>
      <w:r w:rsidR="00C84F9E">
        <w:t>, at p</w:t>
      </w:r>
      <w:r w:rsidR="007A50C2">
        <w:t>p</w:t>
      </w:r>
      <w:r w:rsidR="00C84F9E">
        <w:t>.</w:t>
      </w:r>
      <w:r w:rsidR="0055603C">
        <w:t> </w:t>
      </w:r>
      <w:r w:rsidR="00C84F9E" w:rsidRPr="00C84F9E">
        <w:t>49–50</w:t>
      </w:r>
      <w:r w:rsidR="00C84F9E">
        <w:t xml:space="preserve">; </w:t>
      </w:r>
      <w:r w:rsidR="002724C0" w:rsidRPr="002724C0">
        <w:rPr>
          <w:i/>
          <w:iCs/>
        </w:rPr>
        <w:t>People v. Kopp</w:t>
      </w:r>
      <w:r w:rsidR="002724C0">
        <w:t xml:space="preserve"> (2019) 38</w:t>
      </w:r>
      <w:r w:rsidR="0055603C">
        <w:t> </w:t>
      </w:r>
      <w:r w:rsidR="002724C0">
        <w:t xml:space="preserve">Cal.App.5th 47, 96.) </w:t>
      </w:r>
      <w:r w:rsidR="00745062">
        <w:t xml:space="preserve"> </w:t>
      </w:r>
      <w:r w:rsidR="00C6163A">
        <w:t>To meet th</w:t>
      </w:r>
      <w:r w:rsidR="00D55FEC">
        <w:t>at</w:t>
      </w:r>
      <w:r w:rsidR="00C6163A">
        <w:t xml:space="preserve"> burden, </w:t>
      </w:r>
      <w:r w:rsidR="00F674FA">
        <w:t>Fish was required to</w:t>
      </w:r>
      <w:r w:rsidR="00C6163A">
        <w:t xml:space="preserve"> “present evidence of his </w:t>
      </w:r>
      <w:r w:rsidR="00F674FA">
        <w:t>. . .</w:t>
      </w:r>
      <w:r w:rsidR="00C6163A">
        <w:t xml:space="preserve"> inability to pay the amounts contemplated by the trial court.” </w:t>
      </w:r>
      <w:r w:rsidR="00745062">
        <w:t xml:space="preserve"> </w:t>
      </w:r>
      <w:r w:rsidR="00C6163A">
        <w:t>(</w:t>
      </w:r>
      <w:r w:rsidR="00C6163A" w:rsidRPr="006A4019">
        <w:rPr>
          <w:i/>
          <w:iCs/>
        </w:rPr>
        <w:t>People v. Castellano</w:t>
      </w:r>
      <w:r w:rsidR="00C6163A">
        <w:t xml:space="preserve"> (2019) 33</w:t>
      </w:r>
      <w:r w:rsidR="0055603C">
        <w:t> </w:t>
      </w:r>
      <w:r w:rsidR="00C6163A">
        <w:t>Cal.App.5th 485, 490.)</w:t>
      </w:r>
      <w:r w:rsidR="00854BAC" w:rsidRPr="00854BAC">
        <w:t xml:space="preserve"> </w:t>
      </w:r>
      <w:r w:rsidR="00745062">
        <w:t xml:space="preserve"> </w:t>
      </w:r>
      <w:r w:rsidR="00854BAC">
        <w:t xml:space="preserve">In determining </w:t>
      </w:r>
      <w:r w:rsidR="00F674FA">
        <w:t>his</w:t>
      </w:r>
      <w:r w:rsidR="00854BAC">
        <w:t xml:space="preserve"> ability to pay,</w:t>
      </w:r>
      <w:r w:rsidR="00E0262D">
        <w:t xml:space="preserve"> the court </w:t>
      </w:r>
      <w:r w:rsidR="00F674FA">
        <w:t>could</w:t>
      </w:r>
      <w:r w:rsidR="00E0262D">
        <w:t xml:space="preserve"> consider all relevant circumstances </w:t>
      </w:r>
      <w:r w:rsidR="00263074">
        <w:t xml:space="preserve">and </w:t>
      </w:r>
      <w:r w:rsidR="00F674FA">
        <w:t>was</w:t>
      </w:r>
      <w:r w:rsidR="00263074">
        <w:t xml:space="preserve"> not </w:t>
      </w:r>
      <w:r w:rsidR="00715765" w:rsidRPr="00715765">
        <w:t>limit</w:t>
      </w:r>
      <w:r w:rsidR="00715765">
        <w:t>ed</w:t>
      </w:r>
      <w:r w:rsidR="00715765" w:rsidRPr="00715765">
        <w:t xml:space="preserve"> </w:t>
      </w:r>
      <w:r w:rsidR="00715765">
        <w:t>“</w:t>
      </w:r>
      <w:r w:rsidR="00715765" w:rsidRPr="00715765">
        <w:t xml:space="preserve">to considering only whether </w:t>
      </w:r>
      <w:r w:rsidR="00F674FA">
        <w:t>[he]</w:t>
      </w:r>
      <w:r w:rsidR="00715765" w:rsidRPr="00715765">
        <w:t xml:space="preserve"> ha</w:t>
      </w:r>
      <w:r w:rsidR="00F674FA">
        <w:t>[d]</w:t>
      </w:r>
      <w:r w:rsidR="00715765" w:rsidRPr="00715765">
        <w:t xml:space="preserve"> the ability to pay at the time of the sentencing hearing.</w:t>
      </w:r>
      <w:r w:rsidR="00715765">
        <w:t>”</w:t>
      </w:r>
      <w:r w:rsidR="00E0262D">
        <w:t xml:space="preserve"> </w:t>
      </w:r>
      <w:r w:rsidR="00854BAC">
        <w:t xml:space="preserve"> (</w:t>
      </w:r>
      <w:r w:rsidR="00854BAC" w:rsidRPr="00B83A1F">
        <w:rPr>
          <w:i/>
          <w:iCs/>
        </w:rPr>
        <w:t>People v. Kopp</w:t>
      </w:r>
      <w:r w:rsidR="00854BAC">
        <w:t xml:space="preserve">, </w:t>
      </w:r>
      <w:r w:rsidR="00854BAC" w:rsidRPr="00707ED7">
        <w:rPr>
          <w:i/>
          <w:iCs/>
        </w:rPr>
        <w:t>supra</w:t>
      </w:r>
      <w:r w:rsidR="00854BAC">
        <w:t>, at p.</w:t>
      </w:r>
      <w:r w:rsidR="0055603C">
        <w:t> </w:t>
      </w:r>
      <w:r w:rsidR="00854BAC">
        <w:t>96 [</w:t>
      </w:r>
      <w:r w:rsidR="00417DE4">
        <w:t>i</w:t>
      </w:r>
      <w:r w:rsidR="00854BAC">
        <w:t>n determining a defendant’s ability to pay</w:t>
      </w:r>
      <w:r w:rsidR="00715765">
        <w:t xml:space="preserve"> fines and assessments</w:t>
      </w:r>
      <w:r w:rsidR="00854BAC">
        <w:t xml:space="preserve">, it is appropriate for the court to consider the wages that may </w:t>
      </w:r>
      <w:r w:rsidR="00A807D9">
        <w:t>be earned</w:t>
      </w:r>
      <w:r w:rsidR="00854BAC">
        <w:t xml:space="preserve"> in prison]; </w:t>
      </w:r>
      <w:r w:rsidR="00854BAC" w:rsidRPr="00044E52">
        <w:rPr>
          <w:i/>
          <w:iCs/>
        </w:rPr>
        <w:t>People v. Santos</w:t>
      </w:r>
      <w:r w:rsidR="00854BAC" w:rsidRPr="00241E76">
        <w:t xml:space="preserve"> (2019) 38</w:t>
      </w:r>
      <w:r w:rsidR="00417DE4">
        <w:t> </w:t>
      </w:r>
      <w:r w:rsidR="00854BAC" w:rsidRPr="00241E76">
        <w:t>Cal.App.5th 923, 933</w:t>
      </w:r>
      <w:r w:rsidR="00854BAC">
        <w:t xml:space="preserve"> [factors to consider</w:t>
      </w:r>
      <w:r w:rsidR="00135AB9">
        <w:t xml:space="preserve"> in determining ability to pay</w:t>
      </w:r>
      <w:r w:rsidR="00854BAC">
        <w:t xml:space="preserve"> may include, among other</w:t>
      </w:r>
      <w:r w:rsidR="00F235F5">
        <w:t>s,</w:t>
      </w:r>
      <w:r w:rsidR="00854BAC">
        <w:t xml:space="preserve"> the defendant’s “</w:t>
      </w:r>
      <w:r w:rsidR="00854BAC" w:rsidRPr="00A96248">
        <w:t>realistic ability to earn prison wages or obtain employment</w:t>
      </w:r>
      <w:r w:rsidR="00854BAC">
        <w:t xml:space="preserve">”]; </w:t>
      </w:r>
      <w:r w:rsidR="00854BAC" w:rsidRPr="001C1DF0">
        <w:rPr>
          <w:i/>
          <w:iCs/>
        </w:rPr>
        <w:t>People v. Douglas</w:t>
      </w:r>
      <w:r w:rsidR="00854BAC">
        <w:t xml:space="preserve"> (1995) 39</w:t>
      </w:r>
      <w:r w:rsidR="00417DE4">
        <w:t> </w:t>
      </w:r>
      <w:r w:rsidR="00854BAC">
        <w:t xml:space="preserve">Cal.App.4th 1385, 1397 [noting that because the </w:t>
      </w:r>
      <w:r w:rsidR="00854BAC" w:rsidRPr="0083269D">
        <w:t xml:space="preserve">statute of limitations on the enforcement of judgments does </w:t>
      </w:r>
      <w:r w:rsidR="00854BAC" w:rsidRPr="0083269D">
        <w:lastRenderedPageBreak/>
        <w:t>not apply to a restitution fine</w:t>
      </w:r>
      <w:r w:rsidR="00854BAC">
        <w:t xml:space="preserve">, a defendant may lack </w:t>
      </w:r>
      <w:r w:rsidR="00135AB9">
        <w:t xml:space="preserve">present </w:t>
      </w:r>
      <w:r w:rsidR="00854BAC">
        <w:t>ability to pay costs of court-appointed counsel yet have ability to pay a restitution fine</w:t>
      </w:r>
      <w:r w:rsidR="00135AB9">
        <w:t xml:space="preserve"> in the future</w:t>
      </w:r>
      <w:r w:rsidR="00854BAC">
        <w:t xml:space="preserve">]; </w:t>
      </w:r>
      <w:r w:rsidR="00A807D9">
        <w:t xml:space="preserve">see also </w:t>
      </w:r>
      <w:r w:rsidR="00854BAC" w:rsidRPr="00A807D9">
        <w:rPr>
          <w:i/>
          <w:iCs/>
        </w:rPr>
        <w:t>People v. Burnett</w:t>
      </w:r>
      <w:r w:rsidR="00854BAC">
        <w:t xml:space="preserve"> (2004)</w:t>
      </w:r>
      <w:r w:rsidR="00854BAC" w:rsidRPr="00683235">
        <w:t xml:space="preserve"> 116</w:t>
      </w:r>
      <w:r w:rsidR="00417DE4">
        <w:t> </w:t>
      </w:r>
      <w:r w:rsidR="00854BAC" w:rsidRPr="00683235">
        <w:t xml:space="preserve">Cal.App.4th </w:t>
      </w:r>
      <w:r w:rsidR="00854BAC">
        <w:t>257,</w:t>
      </w:r>
      <w:r w:rsidR="00854BAC" w:rsidRPr="00683235">
        <w:t xml:space="preserve"> 261 [</w:t>
      </w:r>
      <w:r w:rsidR="00854BAC" w:rsidRPr="00EC1C07">
        <w:t>in determining a defendant</w:t>
      </w:r>
      <w:r w:rsidR="00135AB9">
        <w:t>’</w:t>
      </w:r>
      <w:r w:rsidR="00854BAC" w:rsidRPr="00EC1C07">
        <w:t>s ability to pay the sex offender fine</w:t>
      </w:r>
      <w:r w:rsidR="00854BAC">
        <w:t>, “</w:t>
      </w:r>
      <w:r w:rsidR="00854BAC" w:rsidRPr="00EC1C07">
        <w:t>the trial court may consider all evidence relevant to ability to pay, including the amount of any fine or restitution ordered and the defendant</w:t>
      </w:r>
      <w:r w:rsidR="00854BAC">
        <w:t>’</w:t>
      </w:r>
      <w:r w:rsidR="00854BAC" w:rsidRPr="00EC1C07">
        <w:t>s potential future income</w:t>
      </w:r>
      <w:r w:rsidR="00854BAC">
        <w:t xml:space="preserve">”].) </w:t>
      </w:r>
      <w:r w:rsidR="00745062">
        <w:t xml:space="preserve"> </w:t>
      </w:r>
    </w:p>
    <w:p w14:paraId="314B17D2" w14:textId="26685CA7" w:rsidR="00FF5820" w:rsidRPr="00A32C2C" w:rsidRDefault="004A3EDB" w:rsidP="006A4019">
      <w:pPr>
        <w:spacing w:line="360" w:lineRule="auto"/>
        <w:rPr>
          <w:szCs w:val="26"/>
        </w:rPr>
      </w:pPr>
      <w:r>
        <w:tab/>
      </w:r>
      <w:r w:rsidR="00854BAC">
        <w:t>Here, a</w:t>
      </w:r>
      <w:r w:rsidR="00045C25">
        <w:t>lthough the evidence in the record establishes that</w:t>
      </w:r>
      <w:r w:rsidR="00D55FEC">
        <w:t xml:space="preserve"> Fish</w:t>
      </w:r>
      <w:r w:rsidR="00045C25">
        <w:t xml:space="preserve"> </w:t>
      </w:r>
      <w:r w:rsidR="00D55FEC">
        <w:t>was</w:t>
      </w:r>
      <w:r w:rsidR="00045C25">
        <w:t xml:space="preserve"> </w:t>
      </w:r>
      <w:r w:rsidR="00D55FEC">
        <w:t xml:space="preserve">unemployed and without assets at the time of </w:t>
      </w:r>
      <w:r w:rsidR="00FB3584">
        <w:t>his convictions</w:t>
      </w:r>
      <w:r w:rsidR="00CB2E08">
        <w:t xml:space="preserve">, </w:t>
      </w:r>
      <w:r w:rsidR="00D51FCD">
        <w:t xml:space="preserve">Fish did not present any evidence to show that </w:t>
      </w:r>
      <w:r w:rsidR="00CB2E08">
        <w:t>he w</w:t>
      </w:r>
      <w:r w:rsidR="00082FC2">
        <w:t>ould</w:t>
      </w:r>
      <w:r w:rsidR="00CB2E08">
        <w:t xml:space="preserve"> not be able to pay </w:t>
      </w:r>
      <w:r w:rsidR="00D55FEC">
        <w:t>the</w:t>
      </w:r>
      <w:r w:rsidR="00CB2E08">
        <w:t xml:space="preserve"> f</w:t>
      </w:r>
      <w:r w:rsidR="00E02FAE">
        <w:t>ines</w:t>
      </w:r>
      <w:r w:rsidR="00D55FEC">
        <w:t xml:space="preserve"> and assessments imposed</w:t>
      </w:r>
      <w:r w:rsidR="00CB2E08">
        <w:t xml:space="preserve"> going forward. </w:t>
      </w:r>
      <w:r w:rsidR="00745062">
        <w:t xml:space="preserve"> </w:t>
      </w:r>
      <w:r w:rsidR="00854BAC">
        <w:t>To the contrary, t</w:t>
      </w:r>
      <w:r w:rsidR="00992CFB">
        <w:t xml:space="preserve">he probation report indicates that Fish </w:t>
      </w:r>
      <w:r w:rsidR="003F05B1">
        <w:t>graduated from high school</w:t>
      </w:r>
      <w:r w:rsidR="0013395B">
        <w:t xml:space="preserve"> and</w:t>
      </w:r>
      <w:r w:rsidR="003F05B1">
        <w:t xml:space="preserve"> ha</w:t>
      </w:r>
      <w:r w:rsidR="0013395B">
        <w:t>s</w:t>
      </w:r>
      <w:r w:rsidR="003F05B1">
        <w:t xml:space="preserve"> an </w:t>
      </w:r>
      <w:r w:rsidR="0019731F">
        <w:t>associate degree</w:t>
      </w:r>
      <w:r w:rsidR="003F05B1">
        <w:t xml:space="preserve"> from a </w:t>
      </w:r>
      <w:r w:rsidR="00AF7C1A">
        <w:t xml:space="preserve">local </w:t>
      </w:r>
      <w:r w:rsidR="003F05B1">
        <w:t>community college</w:t>
      </w:r>
      <w:r w:rsidR="0013395B">
        <w:t xml:space="preserve">. </w:t>
      </w:r>
      <w:r w:rsidR="00854BAC">
        <w:t xml:space="preserve"> </w:t>
      </w:r>
      <w:r w:rsidR="00A572CC">
        <w:t>Between</w:t>
      </w:r>
      <w:r w:rsidR="003225C6">
        <w:t> </w:t>
      </w:r>
      <w:r w:rsidR="00A07CFA">
        <w:t>2013 to 2018</w:t>
      </w:r>
      <w:r w:rsidR="00A572CC">
        <w:t>, Fish work</w:t>
      </w:r>
      <w:r w:rsidR="00D51FCD">
        <w:t>ed</w:t>
      </w:r>
      <w:r w:rsidR="00A572CC">
        <w:t xml:space="preserve"> in security at a casino</w:t>
      </w:r>
      <w:r w:rsidR="007404AD">
        <w:t>,</w:t>
      </w:r>
      <w:r w:rsidR="00A572CC">
        <w:t xml:space="preserve"> and in</w:t>
      </w:r>
      <w:r w:rsidR="003225C6">
        <w:t> </w:t>
      </w:r>
      <w:r w:rsidR="00A572CC">
        <w:t>2019</w:t>
      </w:r>
      <w:r w:rsidR="002A6275">
        <w:t xml:space="preserve"> he worked both as a yard worker at a mill and as a manager at </w:t>
      </w:r>
      <w:r w:rsidR="00DA28B7">
        <w:t>a grocery store</w:t>
      </w:r>
      <w:r w:rsidR="00A07CFA">
        <w:t xml:space="preserve">.  </w:t>
      </w:r>
      <w:r w:rsidR="00AF7C1A">
        <w:t xml:space="preserve">While the probation report indicates that Fish </w:t>
      </w:r>
      <w:r w:rsidR="00317889">
        <w:t>regularly uses illegal substances</w:t>
      </w:r>
      <w:r w:rsidR="00833200">
        <w:t xml:space="preserve">, </w:t>
      </w:r>
      <w:r w:rsidR="00A240CE">
        <w:t>Fish reported that</w:t>
      </w:r>
      <w:r w:rsidR="0038015D">
        <w:t xml:space="preserve"> he is in treatment for his drug addiction and that</w:t>
      </w:r>
      <w:r w:rsidR="00FB3584">
        <w:t xml:space="preserve"> otherwise</w:t>
      </w:r>
      <w:r w:rsidR="00A240CE">
        <w:t xml:space="preserve"> “he is of good health, having no medical, dental or mental health issues.”</w:t>
      </w:r>
      <w:r w:rsidR="00CB2E08">
        <w:t xml:space="preserve">  </w:t>
      </w:r>
      <w:r w:rsidR="00B97094">
        <w:t xml:space="preserve">Accordingly, substantial evidence supports the trial court’s finding </w:t>
      </w:r>
      <w:r w:rsidR="00B97094" w:rsidRPr="00A32C2C">
        <w:rPr>
          <w:szCs w:val="26"/>
        </w:rPr>
        <w:t xml:space="preserve">that Fish </w:t>
      </w:r>
      <w:proofErr w:type="gramStart"/>
      <w:r w:rsidR="005C1EEF" w:rsidRPr="00A32C2C">
        <w:rPr>
          <w:szCs w:val="26"/>
        </w:rPr>
        <w:t>is</w:t>
      </w:r>
      <w:r w:rsidR="00B97094" w:rsidRPr="00A32C2C">
        <w:rPr>
          <w:szCs w:val="26"/>
        </w:rPr>
        <w:t xml:space="preserve"> </w:t>
      </w:r>
      <w:r w:rsidR="009F0D8D" w:rsidRPr="00A32C2C">
        <w:rPr>
          <w:szCs w:val="26"/>
        </w:rPr>
        <w:t>cap</w:t>
      </w:r>
      <w:r w:rsidR="00B97094" w:rsidRPr="00A32C2C">
        <w:rPr>
          <w:szCs w:val="26"/>
        </w:rPr>
        <w:t xml:space="preserve">able </w:t>
      </w:r>
      <w:r w:rsidR="009F0D8D" w:rsidRPr="00A32C2C">
        <w:rPr>
          <w:szCs w:val="26"/>
        </w:rPr>
        <w:t>of paying</w:t>
      </w:r>
      <w:proofErr w:type="gramEnd"/>
      <w:r w:rsidR="00B97094" w:rsidRPr="00A32C2C">
        <w:rPr>
          <w:szCs w:val="26"/>
        </w:rPr>
        <w:t xml:space="preserve"> the minim</w:t>
      </w:r>
      <w:r w:rsidR="00632311" w:rsidRPr="00A32C2C">
        <w:rPr>
          <w:szCs w:val="26"/>
        </w:rPr>
        <w:t>al</w:t>
      </w:r>
      <w:r w:rsidR="00B97094" w:rsidRPr="00A32C2C">
        <w:rPr>
          <w:szCs w:val="26"/>
        </w:rPr>
        <w:t xml:space="preserve"> f</w:t>
      </w:r>
      <w:r w:rsidR="009F0D8D" w:rsidRPr="00A32C2C">
        <w:rPr>
          <w:szCs w:val="26"/>
        </w:rPr>
        <w:t xml:space="preserve">ines </w:t>
      </w:r>
      <w:r w:rsidR="00B97094" w:rsidRPr="00A32C2C">
        <w:rPr>
          <w:szCs w:val="26"/>
        </w:rPr>
        <w:t>and assessments</w:t>
      </w:r>
      <w:r w:rsidR="00976511" w:rsidRPr="00A32C2C">
        <w:rPr>
          <w:szCs w:val="26"/>
        </w:rPr>
        <w:t xml:space="preserve"> imposed by the court</w:t>
      </w:r>
      <w:r w:rsidR="00B97094" w:rsidRPr="00A32C2C">
        <w:rPr>
          <w:szCs w:val="26"/>
        </w:rPr>
        <w:t>.</w:t>
      </w:r>
      <w:r w:rsidR="005B05BB" w:rsidRPr="00A32C2C">
        <w:rPr>
          <w:szCs w:val="26"/>
        </w:rPr>
        <w:t xml:space="preserve"> </w:t>
      </w:r>
      <w:r w:rsidR="00A32C2C">
        <w:rPr>
          <w:szCs w:val="26"/>
        </w:rPr>
        <w:t xml:space="preserve"> </w:t>
      </w:r>
      <w:r w:rsidR="005B05BB" w:rsidRPr="00A32C2C">
        <w:rPr>
          <w:szCs w:val="26"/>
        </w:rPr>
        <w:t xml:space="preserve">(See </w:t>
      </w:r>
      <w:r w:rsidR="005B05BB" w:rsidRPr="00AF5542">
        <w:rPr>
          <w:rFonts w:eastAsia="Times New Roman" w:cs="Times New Roman"/>
          <w:i/>
          <w:iCs/>
          <w:color w:val="3D3D3D"/>
          <w:szCs w:val="26"/>
          <w:bdr w:val="none" w:sz="0" w:space="0" w:color="auto" w:frame="1"/>
        </w:rPr>
        <w:t>People v. Johnson</w:t>
      </w:r>
      <w:r w:rsidR="005B05BB" w:rsidRPr="00AF5542">
        <w:rPr>
          <w:rFonts w:eastAsia="Times New Roman" w:cs="Times New Roman"/>
          <w:color w:val="000000"/>
          <w:szCs w:val="26"/>
        </w:rPr>
        <w:t xml:space="preserve"> (2019) 35</w:t>
      </w:r>
      <w:r w:rsidR="00AA7FAA">
        <w:rPr>
          <w:rFonts w:eastAsia="Times New Roman" w:cs="Times New Roman"/>
          <w:color w:val="000000"/>
          <w:szCs w:val="26"/>
        </w:rPr>
        <w:t> </w:t>
      </w:r>
      <w:r w:rsidR="005B05BB" w:rsidRPr="00AF5542">
        <w:rPr>
          <w:rFonts w:eastAsia="Times New Roman" w:cs="Times New Roman"/>
          <w:color w:val="000000"/>
          <w:szCs w:val="26"/>
        </w:rPr>
        <w:t>Cal.App.5th 134, 139</w:t>
      </w:r>
      <w:r w:rsidR="00CE44A3" w:rsidRPr="009D6075">
        <w:rPr>
          <w:rFonts w:eastAsia="Calibri" w:cs="Times New Roman"/>
          <w:szCs w:val="26"/>
        </w:rPr>
        <w:t>–</w:t>
      </w:r>
      <w:r w:rsidR="00AF307D">
        <w:rPr>
          <w:rFonts w:eastAsia="Times New Roman" w:cs="Times New Roman"/>
          <w:color w:val="000000"/>
          <w:szCs w:val="26"/>
        </w:rPr>
        <w:t>140</w:t>
      </w:r>
      <w:r w:rsidR="00BE2AB2" w:rsidRPr="00AF5542">
        <w:rPr>
          <w:rFonts w:eastAsia="Times New Roman" w:cs="Times New Roman"/>
          <w:color w:val="000000"/>
          <w:szCs w:val="26"/>
        </w:rPr>
        <w:t>.)</w:t>
      </w:r>
      <w:r w:rsidR="006A014A" w:rsidRPr="00A32C2C">
        <w:rPr>
          <w:rStyle w:val="FootnoteReference"/>
          <w:szCs w:val="26"/>
        </w:rPr>
        <w:footnoteReference w:id="5"/>
      </w:r>
      <w:r w:rsidR="00DE2D3F" w:rsidRPr="00A32C2C">
        <w:rPr>
          <w:szCs w:val="26"/>
        </w:rPr>
        <w:t xml:space="preserve"> </w:t>
      </w:r>
      <w:r w:rsidR="00950E93" w:rsidRPr="00A32C2C">
        <w:rPr>
          <w:szCs w:val="26"/>
        </w:rPr>
        <w:t xml:space="preserve"> </w:t>
      </w:r>
    </w:p>
    <w:p w14:paraId="3CD6D32A" w14:textId="5CD5BD09" w:rsidR="006617B8" w:rsidRDefault="0070234C" w:rsidP="0027212F">
      <w:pPr>
        <w:spacing w:line="360" w:lineRule="auto"/>
        <w:ind w:firstLine="720"/>
      </w:pPr>
      <w:r w:rsidRPr="00A32C2C">
        <w:rPr>
          <w:szCs w:val="26"/>
        </w:rPr>
        <w:lastRenderedPageBreak/>
        <w:t>Fish’s</w:t>
      </w:r>
      <w:r w:rsidR="00937253" w:rsidRPr="00A32C2C">
        <w:rPr>
          <w:szCs w:val="26"/>
        </w:rPr>
        <w:t xml:space="preserve"> citation to </w:t>
      </w:r>
      <w:r w:rsidR="00617BAD" w:rsidRPr="00A32C2C">
        <w:rPr>
          <w:szCs w:val="26"/>
        </w:rPr>
        <w:t>prison unemployment statistics</w:t>
      </w:r>
      <w:r w:rsidR="00937253" w:rsidRPr="00A32C2C">
        <w:rPr>
          <w:szCs w:val="26"/>
        </w:rPr>
        <w:t xml:space="preserve"> and</w:t>
      </w:r>
      <w:r w:rsidR="00617BAD" w:rsidRPr="00A32C2C">
        <w:rPr>
          <w:szCs w:val="26"/>
        </w:rPr>
        <w:t xml:space="preserve"> prison wage schedules</w:t>
      </w:r>
      <w:r w:rsidR="00937253" w:rsidRPr="00A32C2C">
        <w:rPr>
          <w:szCs w:val="26"/>
        </w:rPr>
        <w:t xml:space="preserve"> does not alter thi</w:t>
      </w:r>
      <w:r w:rsidR="00937253">
        <w:t xml:space="preserve">s conclusion. </w:t>
      </w:r>
      <w:r w:rsidR="00745062">
        <w:t xml:space="preserve"> </w:t>
      </w:r>
      <w:r w:rsidR="00937253">
        <w:t xml:space="preserve">First, </w:t>
      </w:r>
      <w:r w:rsidR="00277F8F">
        <w:t>none</w:t>
      </w:r>
      <w:r w:rsidR="00617BAD" w:rsidRPr="00617BAD">
        <w:t xml:space="preserve"> of </w:t>
      </w:r>
      <w:r>
        <w:t>this information was presented</w:t>
      </w:r>
      <w:r w:rsidR="00617BAD" w:rsidRPr="00617BAD">
        <w:t xml:space="preserve"> to the trial court at </w:t>
      </w:r>
      <w:r w:rsidR="00277F8F">
        <w:t>the sentencing</w:t>
      </w:r>
      <w:r w:rsidR="00617BAD" w:rsidRPr="00617BAD">
        <w:t xml:space="preserve"> hearing</w:t>
      </w:r>
      <w:r>
        <w:t xml:space="preserve">, </w:t>
      </w:r>
      <w:r w:rsidR="007870D3">
        <w:t xml:space="preserve">so </w:t>
      </w:r>
      <w:r>
        <w:t>we decline to consider it</w:t>
      </w:r>
      <w:r w:rsidR="00617BAD" w:rsidRPr="00617BAD">
        <w:t xml:space="preserve"> for the first time on appeal. </w:t>
      </w:r>
      <w:r w:rsidR="00D748CB">
        <w:t xml:space="preserve"> </w:t>
      </w:r>
      <w:r w:rsidR="006D65EB">
        <w:t>At that hearing,</w:t>
      </w:r>
      <w:r w:rsidR="00A55590">
        <w:t xml:space="preserve"> </w:t>
      </w:r>
      <w:r w:rsidR="00D748CB">
        <w:t xml:space="preserve">Fish’s trial counsel </w:t>
      </w:r>
      <w:r w:rsidR="00336E9B">
        <w:t xml:space="preserve">stated that Fish </w:t>
      </w:r>
      <w:r w:rsidR="00B05A6C">
        <w:t>“can obviously earn some money in custody,</w:t>
      </w:r>
      <w:r w:rsidR="00336E9B">
        <w:t xml:space="preserve">” </w:t>
      </w:r>
      <w:r w:rsidR="00955497">
        <w:t>arguing</w:t>
      </w:r>
      <w:r w:rsidR="00336E9B">
        <w:t xml:space="preserve"> only</w:t>
      </w:r>
      <w:r w:rsidR="000669EC">
        <w:t xml:space="preserve"> that it was</w:t>
      </w:r>
      <w:r w:rsidR="00B05A6C">
        <w:t xml:space="preserve"> </w:t>
      </w:r>
      <w:r w:rsidR="000669EC">
        <w:t>“</w:t>
      </w:r>
      <w:r w:rsidR="00B05A6C">
        <w:t>unlikely that he is going to have the means to pay the fines in any short order.</w:t>
      </w:r>
      <w:r w:rsidR="0059335B">
        <w:t>”</w:t>
      </w:r>
      <w:r w:rsidR="00427E49">
        <w:t xml:space="preserve"> </w:t>
      </w:r>
      <w:r w:rsidR="00745062">
        <w:t xml:space="preserve"> </w:t>
      </w:r>
      <w:r w:rsidR="009F47DB">
        <w:t>Second</w:t>
      </w:r>
      <w:r w:rsidR="00691C16">
        <w:t xml:space="preserve">, </w:t>
      </w:r>
      <w:r w:rsidR="007C75A3">
        <w:t xml:space="preserve">the trial court did not </w:t>
      </w:r>
      <w:r w:rsidR="00712BE5">
        <w:t xml:space="preserve">state that it was relying </w:t>
      </w:r>
      <w:r w:rsidR="00CE6426">
        <w:t>solely</w:t>
      </w:r>
      <w:r w:rsidR="00712BE5">
        <w:t xml:space="preserve"> on </w:t>
      </w:r>
      <w:r w:rsidR="00044C8F">
        <w:t>Fish’s</w:t>
      </w:r>
      <w:r w:rsidR="00712BE5">
        <w:t xml:space="preserve"> ability to earn wages </w:t>
      </w:r>
      <w:r w:rsidR="00F33219">
        <w:t xml:space="preserve">while </w:t>
      </w:r>
      <w:r w:rsidR="00712BE5">
        <w:t>in prison</w:t>
      </w:r>
      <w:r w:rsidR="005C1EEF">
        <w:t xml:space="preserve">. </w:t>
      </w:r>
      <w:r w:rsidR="00745062">
        <w:t xml:space="preserve"> </w:t>
      </w:r>
      <w:r w:rsidR="005C1EEF">
        <w:t xml:space="preserve">The court found </w:t>
      </w:r>
      <w:r w:rsidR="00044C8F">
        <w:t>simply</w:t>
      </w:r>
      <w:r w:rsidR="005C1EEF">
        <w:t xml:space="preserve"> that he is </w:t>
      </w:r>
      <w:r w:rsidR="00712BE5">
        <w:t>capable of working.</w:t>
      </w:r>
      <w:r w:rsidR="0027212F">
        <w:t xml:space="preserve">  (See </w:t>
      </w:r>
      <w:r w:rsidR="0027212F" w:rsidRPr="0027212F">
        <w:rPr>
          <w:i/>
          <w:iCs/>
        </w:rPr>
        <w:t>People v. Cervantes</w:t>
      </w:r>
      <w:r w:rsidR="0027212F">
        <w:t xml:space="preserve"> (2020) 46</w:t>
      </w:r>
      <w:r w:rsidR="003225C6">
        <w:t> </w:t>
      </w:r>
      <w:r w:rsidR="0027212F">
        <w:t xml:space="preserve">Cal.App.5th 213, 229 [ability to pay includes the ability </w:t>
      </w:r>
      <w:r w:rsidR="009B768A">
        <w:t xml:space="preserve">both </w:t>
      </w:r>
      <w:r w:rsidR="0027212F">
        <w:t>to obtain prison wages and to earn money after release from custody].)</w:t>
      </w:r>
      <w:r w:rsidR="00712BE5">
        <w:t xml:space="preserve"> </w:t>
      </w:r>
      <w:r w:rsidR="00745062">
        <w:t xml:space="preserve"> </w:t>
      </w:r>
      <w:r w:rsidR="004060B8">
        <w:t>Fish was 41</w:t>
      </w:r>
      <w:r w:rsidR="003225C6">
        <w:t> </w:t>
      </w:r>
      <w:r w:rsidR="004060B8">
        <w:t>years old when sentenced to just under 11</w:t>
      </w:r>
      <w:r w:rsidR="003225C6">
        <w:t> </w:t>
      </w:r>
      <w:r w:rsidR="004060B8">
        <w:t>years</w:t>
      </w:r>
      <w:r w:rsidR="009A5B5E">
        <w:t xml:space="preserve"> </w:t>
      </w:r>
      <w:r w:rsidR="00745062">
        <w:t>with</w:t>
      </w:r>
      <w:r w:rsidR="009A5B5E">
        <w:t xml:space="preserve"> over 2</w:t>
      </w:r>
      <w:r w:rsidR="003225C6">
        <w:t> </w:t>
      </w:r>
      <w:r w:rsidR="009A5B5E">
        <w:t>years in credits at that time</w:t>
      </w:r>
      <w:r w:rsidR="00847481">
        <w:t>.</w:t>
      </w:r>
      <w:r w:rsidR="00C41C45">
        <w:t xml:space="preserve"> </w:t>
      </w:r>
      <w:r w:rsidR="00847481">
        <w:t xml:space="preserve"> </w:t>
      </w:r>
      <w:r w:rsidR="00C41C45">
        <w:t xml:space="preserve">The </w:t>
      </w:r>
      <w:r w:rsidR="00642C76">
        <w:t xml:space="preserve">trial court’s conclusion that </w:t>
      </w:r>
      <w:proofErr w:type="gramStart"/>
      <w:r w:rsidR="00642C76">
        <w:t>Fish</w:t>
      </w:r>
      <w:proofErr w:type="gramEnd"/>
      <w:r w:rsidR="00642C76">
        <w:t xml:space="preserve"> had the ability to pay</w:t>
      </w:r>
      <w:r w:rsidR="003225C6">
        <w:t> </w:t>
      </w:r>
      <w:r w:rsidR="00F33219">
        <w:t>$510 in</w:t>
      </w:r>
      <w:r w:rsidR="00642C76">
        <w:t xml:space="preserve"> f</w:t>
      </w:r>
      <w:r w:rsidR="00E02FAE">
        <w:t>ine</w:t>
      </w:r>
      <w:r w:rsidR="00642C76">
        <w:t xml:space="preserve">s and assessment </w:t>
      </w:r>
      <w:r w:rsidR="000A1D46">
        <w:t>is not arbitrary or irrational.</w:t>
      </w:r>
    </w:p>
    <w:p w14:paraId="11EA785F" w14:textId="36C0DCE6" w:rsidR="002C5793" w:rsidRPr="006617B8" w:rsidRDefault="006617B8" w:rsidP="00F724B8">
      <w:pPr>
        <w:keepNext/>
        <w:spacing w:line="360" w:lineRule="auto"/>
        <w:ind w:firstLine="720"/>
        <w:jc w:val="center"/>
        <w:rPr>
          <w:b/>
          <w:bCs/>
          <w:smallCaps/>
        </w:rPr>
      </w:pPr>
      <w:r w:rsidRPr="006617B8">
        <w:rPr>
          <w:b/>
          <w:bCs/>
          <w:smallCaps/>
        </w:rPr>
        <w:t>Disposition</w:t>
      </w:r>
    </w:p>
    <w:p w14:paraId="021D408B" w14:textId="4E509791" w:rsidR="006617B8" w:rsidRDefault="006617B8" w:rsidP="006617B8">
      <w:pPr>
        <w:spacing w:line="360" w:lineRule="auto"/>
        <w:ind w:firstLine="720"/>
      </w:pPr>
      <w:r w:rsidRPr="006617B8">
        <w:t xml:space="preserve">The judgment is affirmed. </w:t>
      </w:r>
    </w:p>
    <w:p w14:paraId="493E5DF0" w14:textId="77777777" w:rsidR="005C2018" w:rsidRPr="00490764" w:rsidRDefault="005C2018" w:rsidP="00490764">
      <w:pPr>
        <w:spacing w:line="240" w:lineRule="auto"/>
      </w:pPr>
      <w:r w:rsidRPr="00490764">
        <w:tab/>
      </w:r>
      <w:r w:rsidRPr="00490764">
        <w:tab/>
      </w:r>
      <w:r w:rsidRPr="00490764">
        <w:tab/>
      </w:r>
      <w:r w:rsidRPr="00490764">
        <w:tab/>
      </w:r>
      <w:r w:rsidRPr="00490764">
        <w:tab/>
      </w:r>
      <w:r w:rsidRPr="00490764">
        <w:tab/>
      </w:r>
      <w:r w:rsidRPr="00490764">
        <w:tab/>
        <w:t>GOLDMAN, J.</w:t>
      </w:r>
    </w:p>
    <w:p w14:paraId="78A694C7" w14:textId="77777777" w:rsidR="005C2018" w:rsidRPr="00490764" w:rsidRDefault="005C2018" w:rsidP="00490764">
      <w:pPr>
        <w:spacing w:line="240" w:lineRule="auto"/>
      </w:pPr>
    </w:p>
    <w:p w14:paraId="29A69945" w14:textId="77777777" w:rsidR="005C2018" w:rsidRPr="00490764" w:rsidRDefault="005C2018" w:rsidP="00490764">
      <w:pPr>
        <w:spacing w:line="240" w:lineRule="auto"/>
      </w:pPr>
      <w:r w:rsidRPr="00490764">
        <w:t>WE CONCUR:</w:t>
      </w:r>
    </w:p>
    <w:p w14:paraId="7752B305" w14:textId="77777777" w:rsidR="005C2018" w:rsidRPr="00490764" w:rsidRDefault="005C2018" w:rsidP="00490764">
      <w:pPr>
        <w:spacing w:line="240" w:lineRule="auto"/>
      </w:pPr>
    </w:p>
    <w:p w14:paraId="3AAAC78B" w14:textId="77777777" w:rsidR="005C2018" w:rsidRPr="00490764" w:rsidRDefault="005C2018" w:rsidP="00490764">
      <w:pPr>
        <w:spacing w:line="240" w:lineRule="auto"/>
      </w:pPr>
      <w:r w:rsidRPr="00490764">
        <w:t>STREETER, Acting P. J.</w:t>
      </w:r>
    </w:p>
    <w:p w14:paraId="44B5FBBC" w14:textId="2E77E208" w:rsidR="005C2018" w:rsidRPr="00490764" w:rsidRDefault="00367A3C" w:rsidP="00490764">
      <w:pPr>
        <w:spacing w:line="240" w:lineRule="auto"/>
      </w:pPr>
      <w:r>
        <w:t>HITE</w:t>
      </w:r>
      <w:r w:rsidR="005C2018" w:rsidRPr="00490764">
        <w:t>, J.</w:t>
      </w:r>
      <w:r w:rsidR="00035D92" w:rsidRPr="00035D92">
        <w:rPr>
          <w:rFonts w:eastAsia="Calibri" w:cs="Times New Roman"/>
          <w:szCs w:val="26"/>
          <w:vertAlign w:val="superscript"/>
        </w:rPr>
        <w:t xml:space="preserve"> </w:t>
      </w:r>
      <w:r w:rsidR="00035D92" w:rsidRPr="00474F79">
        <w:rPr>
          <w:rFonts w:eastAsia="Calibri" w:cs="Times New Roman"/>
          <w:szCs w:val="26"/>
          <w:vertAlign w:val="superscript"/>
        </w:rPr>
        <w:footnoteReference w:customMarkFollows="1" w:id="6"/>
        <w:t>*</w:t>
      </w:r>
    </w:p>
    <w:p w14:paraId="2321379F" w14:textId="04C9B556" w:rsidR="005C2018" w:rsidRPr="006617B8" w:rsidRDefault="005C2018" w:rsidP="006617B8">
      <w:pPr>
        <w:spacing w:line="360" w:lineRule="auto"/>
        <w:ind w:firstLine="720"/>
      </w:pPr>
      <w:r>
        <w:lastRenderedPageBreak/>
        <w:t xml:space="preserve"> </w:t>
      </w:r>
    </w:p>
    <w:p w14:paraId="6ED264D7" w14:textId="46650584" w:rsidR="00945F7B" w:rsidRPr="00945F7B" w:rsidRDefault="004C6B21" w:rsidP="004C6B21">
      <w:pPr>
        <w:spacing w:line="360" w:lineRule="auto"/>
      </w:pPr>
      <w:r>
        <w:t xml:space="preserve"> </w:t>
      </w:r>
    </w:p>
    <w:p w14:paraId="624BCD90" w14:textId="77777777" w:rsidR="00CE7101" w:rsidRDefault="00CE7101">
      <w:r>
        <w:br w:type="page"/>
      </w:r>
    </w:p>
    <w:tbl>
      <w:tblPr>
        <w:tblStyle w:val="TableGrid1"/>
        <w:tblW w:w="9535" w:type="dxa"/>
        <w:tblLook w:val="04A0" w:firstRow="1" w:lastRow="0" w:firstColumn="1" w:lastColumn="0" w:noHBand="0" w:noVBand="1"/>
      </w:tblPr>
      <w:tblGrid>
        <w:gridCol w:w="4405"/>
        <w:gridCol w:w="5130"/>
      </w:tblGrid>
      <w:tr w:rsidR="00167BF8" w:rsidRPr="00167BF8" w14:paraId="56AF0E3B" w14:textId="77777777" w:rsidTr="00C44B70">
        <w:tc>
          <w:tcPr>
            <w:tcW w:w="4405" w:type="dxa"/>
          </w:tcPr>
          <w:p w14:paraId="4975471C" w14:textId="6686F402" w:rsidR="00167BF8" w:rsidRPr="00167BF8" w:rsidRDefault="00167BF8" w:rsidP="00167BF8">
            <w:pPr>
              <w:suppressAutoHyphens/>
              <w:spacing w:line="240" w:lineRule="auto"/>
              <w:rPr>
                <w:rFonts w:eastAsia="Calibri" w:cs="Times New Roman"/>
              </w:rPr>
            </w:pPr>
            <w:r>
              <w:lastRenderedPageBreak/>
              <w:br w:type="page"/>
            </w:r>
            <w:bookmarkStart w:id="1" w:name="_Hlk138922909"/>
            <w:r w:rsidRPr="00167BF8">
              <w:rPr>
                <w:rFonts w:eastAsia="Calibri" w:cs="Times New Roman"/>
              </w:rPr>
              <w:t>Trial Court:</w:t>
            </w:r>
          </w:p>
        </w:tc>
        <w:tc>
          <w:tcPr>
            <w:tcW w:w="5130" w:type="dxa"/>
          </w:tcPr>
          <w:p w14:paraId="3335DBCF" w14:textId="77777777" w:rsidR="00167BF8" w:rsidRPr="00167BF8" w:rsidRDefault="00167BF8" w:rsidP="00167BF8">
            <w:pPr>
              <w:suppressAutoHyphens/>
              <w:spacing w:line="240" w:lineRule="auto"/>
              <w:rPr>
                <w:rFonts w:eastAsia="Calibri" w:cs="Times New Roman"/>
              </w:rPr>
            </w:pPr>
            <w:r w:rsidRPr="00167BF8">
              <w:rPr>
                <w:rFonts w:eastAsia="Calibri" w:cs="Times New Roman"/>
              </w:rPr>
              <w:t>Superior Court of Lake County</w:t>
            </w:r>
          </w:p>
          <w:p w14:paraId="343E577C" w14:textId="77777777" w:rsidR="00167BF8" w:rsidRPr="00167BF8" w:rsidRDefault="00167BF8" w:rsidP="00167BF8">
            <w:pPr>
              <w:suppressAutoHyphens/>
              <w:spacing w:line="240" w:lineRule="auto"/>
              <w:rPr>
                <w:rFonts w:eastAsia="Calibri" w:cs="Times New Roman"/>
              </w:rPr>
            </w:pPr>
          </w:p>
        </w:tc>
      </w:tr>
      <w:tr w:rsidR="00167BF8" w:rsidRPr="00167BF8" w14:paraId="48868193" w14:textId="77777777" w:rsidTr="00C44B70">
        <w:tc>
          <w:tcPr>
            <w:tcW w:w="4405" w:type="dxa"/>
          </w:tcPr>
          <w:p w14:paraId="14C1D3A4" w14:textId="77777777" w:rsidR="00167BF8" w:rsidRPr="00167BF8" w:rsidRDefault="00167BF8" w:rsidP="00167BF8">
            <w:pPr>
              <w:suppressAutoHyphens/>
              <w:spacing w:line="240" w:lineRule="auto"/>
              <w:rPr>
                <w:rFonts w:eastAsia="Calibri" w:cs="Times New Roman"/>
              </w:rPr>
            </w:pPr>
            <w:r w:rsidRPr="00167BF8">
              <w:rPr>
                <w:rFonts w:eastAsia="Calibri" w:cs="Times New Roman"/>
              </w:rPr>
              <w:t>Trial Judge:</w:t>
            </w:r>
          </w:p>
        </w:tc>
        <w:tc>
          <w:tcPr>
            <w:tcW w:w="5130" w:type="dxa"/>
          </w:tcPr>
          <w:p w14:paraId="6AE0E4C3" w14:textId="77777777" w:rsidR="00167BF8" w:rsidRPr="00167BF8" w:rsidRDefault="00167BF8" w:rsidP="00167BF8">
            <w:pPr>
              <w:suppressAutoHyphens/>
              <w:spacing w:line="240" w:lineRule="auto"/>
              <w:rPr>
                <w:rFonts w:eastAsia="Calibri" w:cs="Times New Roman"/>
              </w:rPr>
            </w:pPr>
            <w:r w:rsidRPr="00167BF8">
              <w:rPr>
                <w:rFonts w:eastAsia="Calibri" w:cs="Times New Roman"/>
              </w:rPr>
              <w:t>Honorable</w:t>
            </w:r>
            <w:r w:rsidRPr="00167BF8">
              <w:rPr>
                <w:rFonts w:eastAsia="Calibri" w:cs="Times New Roman"/>
                <w:szCs w:val="26"/>
              </w:rPr>
              <w:t xml:space="preserve"> J. David Markham</w:t>
            </w:r>
          </w:p>
          <w:p w14:paraId="50B4F0CB" w14:textId="77777777" w:rsidR="00167BF8" w:rsidRPr="00167BF8" w:rsidRDefault="00167BF8" w:rsidP="00167BF8">
            <w:pPr>
              <w:suppressAutoHyphens/>
              <w:spacing w:line="240" w:lineRule="auto"/>
              <w:rPr>
                <w:rFonts w:eastAsia="Calibri" w:cs="Times New Roman"/>
              </w:rPr>
            </w:pPr>
          </w:p>
        </w:tc>
      </w:tr>
      <w:tr w:rsidR="00167BF8" w:rsidRPr="00167BF8" w14:paraId="4EFED80C" w14:textId="77777777" w:rsidTr="00C44B70">
        <w:tc>
          <w:tcPr>
            <w:tcW w:w="4405" w:type="dxa"/>
          </w:tcPr>
          <w:p w14:paraId="6B25B878" w14:textId="77777777" w:rsidR="00167BF8" w:rsidRPr="00167BF8" w:rsidRDefault="00167BF8" w:rsidP="00167BF8">
            <w:pPr>
              <w:suppressAutoHyphens/>
              <w:spacing w:after="120" w:line="240" w:lineRule="auto"/>
              <w:rPr>
                <w:rFonts w:eastAsia="Calibri" w:cs="Times New Roman"/>
              </w:rPr>
            </w:pPr>
            <w:r w:rsidRPr="00167BF8">
              <w:rPr>
                <w:rFonts w:eastAsia="Calibri" w:cs="Times New Roman"/>
              </w:rPr>
              <w:t xml:space="preserve">Counsel for Defendant and Appellant: </w:t>
            </w:r>
          </w:p>
        </w:tc>
        <w:tc>
          <w:tcPr>
            <w:tcW w:w="5130" w:type="dxa"/>
          </w:tcPr>
          <w:p w14:paraId="2122CC28" w14:textId="6F4A2968" w:rsidR="00167BF8" w:rsidRPr="00167BF8" w:rsidRDefault="00167BF8" w:rsidP="00167BF8">
            <w:pPr>
              <w:tabs>
                <w:tab w:val="clear" w:pos="720"/>
              </w:tabs>
              <w:suppressAutoHyphens/>
              <w:autoSpaceDE w:val="0"/>
              <w:autoSpaceDN w:val="0"/>
              <w:adjustRightInd w:val="0"/>
              <w:spacing w:line="240" w:lineRule="auto"/>
              <w:rPr>
                <w:rFonts w:eastAsia="Calibri" w:cs="Times New Roman"/>
              </w:rPr>
            </w:pPr>
            <w:r w:rsidRPr="00167BF8">
              <w:rPr>
                <w:rFonts w:eastAsia="Calibri" w:cs="Times New Roman"/>
              </w:rPr>
              <w:t>Aaron J. Schechter</w:t>
            </w:r>
            <w:r w:rsidR="008042DA">
              <w:rPr>
                <w:rFonts w:eastAsia="Calibri" w:cs="Times New Roman"/>
              </w:rPr>
              <w:t>, under appointment by the Court of Appeal.</w:t>
            </w:r>
          </w:p>
        </w:tc>
      </w:tr>
      <w:tr w:rsidR="00167BF8" w:rsidRPr="00167BF8" w14:paraId="0EBB3A55" w14:textId="77777777" w:rsidTr="00C44B70">
        <w:tc>
          <w:tcPr>
            <w:tcW w:w="4405" w:type="dxa"/>
          </w:tcPr>
          <w:p w14:paraId="21B32312" w14:textId="77777777" w:rsidR="00167BF8" w:rsidRPr="00167BF8" w:rsidRDefault="00167BF8" w:rsidP="00167BF8">
            <w:pPr>
              <w:suppressAutoHyphens/>
              <w:spacing w:line="240" w:lineRule="auto"/>
              <w:rPr>
                <w:rFonts w:eastAsia="Calibri" w:cs="Times New Roman"/>
              </w:rPr>
            </w:pPr>
            <w:r w:rsidRPr="00167BF8">
              <w:rPr>
                <w:rFonts w:eastAsia="Calibri" w:cs="Times New Roman"/>
              </w:rPr>
              <w:t xml:space="preserve">Counsel for Plaintiff and Respondent: </w:t>
            </w:r>
          </w:p>
        </w:tc>
        <w:tc>
          <w:tcPr>
            <w:tcW w:w="5130" w:type="dxa"/>
          </w:tcPr>
          <w:p w14:paraId="705533CA"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Rob Bonta</w:t>
            </w:r>
          </w:p>
          <w:p w14:paraId="0FB0CCD0"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Attorney General of California</w:t>
            </w:r>
          </w:p>
          <w:p w14:paraId="0CAE07EE"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Lance E. Winters</w:t>
            </w:r>
          </w:p>
          <w:p w14:paraId="0B72EA10"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Chief Assistant Attorney General</w:t>
            </w:r>
          </w:p>
          <w:p w14:paraId="528A2EEB"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Jeffrey M. Laurence</w:t>
            </w:r>
          </w:p>
          <w:p w14:paraId="1A36D5AD"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Senior Assistant Attorney General</w:t>
            </w:r>
          </w:p>
          <w:p w14:paraId="44AFFB54"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Catherin A. Rivlin</w:t>
            </w:r>
          </w:p>
          <w:p w14:paraId="2E49A92C"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Supervising Deputy Attorney General</w:t>
            </w:r>
          </w:p>
          <w:p w14:paraId="5AEBC6CA"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 xml:space="preserve">Gregg E. </w:t>
            </w:r>
            <w:proofErr w:type="spellStart"/>
            <w:r w:rsidRPr="00167BF8">
              <w:rPr>
                <w:rFonts w:eastAsia="Calibri" w:cs="Times New Roman"/>
              </w:rPr>
              <w:t>Zywicke</w:t>
            </w:r>
            <w:proofErr w:type="spellEnd"/>
          </w:p>
          <w:p w14:paraId="22360A01"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r w:rsidRPr="00167BF8">
              <w:rPr>
                <w:rFonts w:eastAsia="Calibri" w:cs="Times New Roman"/>
              </w:rPr>
              <w:t>Deputy Attorney General</w:t>
            </w:r>
          </w:p>
          <w:p w14:paraId="0E2A7AF1" w14:textId="77777777" w:rsidR="00167BF8" w:rsidRPr="00167BF8" w:rsidRDefault="00167BF8" w:rsidP="00167BF8">
            <w:pPr>
              <w:tabs>
                <w:tab w:val="clear" w:pos="720"/>
              </w:tabs>
              <w:suppressAutoHyphens/>
              <w:autoSpaceDE w:val="0"/>
              <w:adjustRightInd w:val="0"/>
              <w:spacing w:line="240" w:lineRule="auto"/>
              <w:rPr>
                <w:rFonts w:eastAsia="Calibri" w:cs="Times New Roman"/>
              </w:rPr>
            </w:pPr>
          </w:p>
        </w:tc>
      </w:tr>
      <w:bookmarkEnd w:id="1"/>
    </w:tbl>
    <w:p w14:paraId="664E2673" w14:textId="77777777" w:rsidR="00A52BA5" w:rsidRPr="00A52BA5" w:rsidRDefault="00A52BA5" w:rsidP="00D74B6D">
      <w:pPr>
        <w:spacing w:line="360" w:lineRule="auto"/>
      </w:pPr>
    </w:p>
    <w:sectPr w:rsidR="00A52BA5" w:rsidRPr="00A52BA5" w:rsidSect="003612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2296" w14:textId="77777777" w:rsidR="005F202C" w:rsidRDefault="005F202C" w:rsidP="0073287A">
      <w:pPr>
        <w:spacing w:line="240" w:lineRule="auto"/>
      </w:pPr>
      <w:r>
        <w:separator/>
      </w:r>
    </w:p>
  </w:endnote>
  <w:endnote w:type="continuationSeparator" w:id="0">
    <w:p w14:paraId="49C6FDA0" w14:textId="77777777" w:rsidR="005F202C" w:rsidRDefault="005F202C" w:rsidP="0073287A">
      <w:pPr>
        <w:spacing w:line="240" w:lineRule="auto"/>
      </w:pPr>
      <w:r>
        <w:continuationSeparator/>
      </w:r>
    </w:p>
  </w:endnote>
  <w:endnote w:type="continuationNotice" w:id="1">
    <w:p w14:paraId="05ED584C" w14:textId="77777777" w:rsidR="005F202C" w:rsidRDefault="005F20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7868" w14:textId="77777777" w:rsidR="0073287A" w:rsidRDefault="007328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7322A3" w14:textId="77777777" w:rsidR="0073287A" w:rsidRDefault="007328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5F8227" w14:textId="77777777" w:rsidR="0073287A" w:rsidRDefault="00732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9630" w14:textId="07EE5CCC" w:rsidR="0073287A" w:rsidRDefault="0073287A" w:rsidP="007328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162A1F" w14:textId="77777777" w:rsidR="0073287A" w:rsidRDefault="00732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7662" w14:textId="77777777" w:rsidR="00891D5C" w:rsidRDefault="0089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AF45" w14:textId="77777777" w:rsidR="005F202C" w:rsidRDefault="005F202C" w:rsidP="0073287A">
      <w:pPr>
        <w:spacing w:line="240" w:lineRule="auto"/>
      </w:pPr>
      <w:r>
        <w:separator/>
      </w:r>
    </w:p>
  </w:footnote>
  <w:footnote w:type="continuationSeparator" w:id="0">
    <w:p w14:paraId="23F966A2" w14:textId="77777777" w:rsidR="005F202C" w:rsidRDefault="005F202C" w:rsidP="0073287A">
      <w:pPr>
        <w:spacing w:line="240" w:lineRule="auto"/>
      </w:pPr>
      <w:r>
        <w:continuationSeparator/>
      </w:r>
    </w:p>
  </w:footnote>
  <w:footnote w:type="continuationNotice" w:id="1">
    <w:p w14:paraId="72ED94B2" w14:textId="77777777" w:rsidR="005F202C" w:rsidRDefault="005F202C">
      <w:pPr>
        <w:spacing w:line="240" w:lineRule="auto"/>
      </w:pPr>
    </w:p>
  </w:footnote>
  <w:footnote w:id="2">
    <w:p w14:paraId="04DF3627" w14:textId="529432CF" w:rsidR="008D0DBC" w:rsidRDefault="008D0DBC" w:rsidP="00392189">
      <w:pPr>
        <w:pStyle w:val="FootnoteText"/>
        <w:spacing w:after="120"/>
      </w:pPr>
      <w:r>
        <w:rPr>
          <w:rStyle w:val="FootnoteReference"/>
        </w:rPr>
        <w:t>*</w:t>
      </w:r>
      <w:r>
        <w:t xml:space="preserve"> Pursuant to California Rules of Court, rules 8.1105(b) and 8.1110, this opinion is certified for publication </w:t>
      </w:r>
      <w:proofErr w:type="gramStart"/>
      <w:r>
        <w:t>with the exception of</w:t>
      </w:r>
      <w:proofErr w:type="gramEnd"/>
      <w:r>
        <w:t xml:space="preserve"> part</w:t>
      </w:r>
      <w:r w:rsidR="00777041">
        <w:t xml:space="preserve">s </w:t>
      </w:r>
      <w:r w:rsidR="006D15F2">
        <w:t>I.B, II</w:t>
      </w:r>
      <w:r w:rsidR="00D77307">
        <w:t xml:space="preserve"> and</w:t>
      </w:r>
      <w:r w:rsidR="006D15F2">
        <w:t xml:space="preserve"> </w:t>
      </w:r>
      <w:r w:rsidR="00D77307">
        <w:t xml:space="preserve">III. </w:t>
      </w:r>
    </w:p>
  </w:footnote>
  <w:footnote w:id="3">
    <w:p w14:paraId="49BE8631" w14:textId="5CFE587B" w:rsidR="00A14981" w:rsidRDefault="00A14981" w:rsidP="00333127">
      <w:pPr>
        <w:pStyle w:val="FootnoteText"/>
        <w:ind w:firstLine="720"/>
      </w:pPr>
      <w:r>
        <w:rPr>
          <w:rStyle w:val="FootnoteReference"/>
        </w:rPr>
        <w:footnoteRef/>
      </w:r>
      <w:r>
        <w:t xml:space="preserve"> All </w:t>
      </w:r>
      <w:r w:rsidR="00C52E9E">
        <w:t xml:space="preserve">undesignated </w:t>
      </w:r>
      <w:r>
        <w:t>statutory references are to the Penal Code.</w:t>
      </w:r>
    </w:p>
  </w:footnote>
  <w:footnote w:id="4">
    <w:p w14:paraId="0649DCD4" w14:textId="1C56CEC2" w:rsidR="00F21738" w:rsidRDefault="00F21738" w:rsidP="002B7E10">
      <w:pPr>
        <w:pStyle w:val="FootnoteText"/>
        <w:ind w:firstLine="720"/>
      </w:pPr>
      <w:r>
        <w:rPr>
          <w:rStyle w:val="FootnoteReference"/>
        </w:rPr>
        <w:footnoteRef/>
      </w:r>
      <w:r>
        <w:t xml:space="preserve"> </w:t>
      </w:r>
      <w:r w:rsidR="006A66FB">
        <w:t>C</w:t>
      </w:r>
      <w:r>
        <w:t>ourt reporter</w:t>
      </w:r>
      <w:r w:rsidR="006A66FB">
        <w:t>s</w:t>
      </w:r>
      <w:r w:rsidR="004360DE">
        <w:t xml:space="preserve"> </w:t>
      </w:r>
      <w:r w:rsidR="006A66FB">
        <w:t>have</w:t>
      </w:r>
      <w:r w:rsidR="003D741C">
        <w:t xml:space="preserve"> </w:t>
      </w:r>
      <w:r w:rsidR="001F2693">
        <w:t>a difficult task</w:t>
      </w:r>
      <w:r w:rsidR="00CD3BE1">
        <w:t xml:space="preserve"> </w:t>
      </w:r>
      <w:r w:rsidR="006A66FB">
        <w:t xml:space="preserve">in applying </w:t>
      </w:r>
      <w:r w:rsidR="00BA7758">
        <w:t>punctuation to the speaker’s words</w:t>
      </w:r>
      <w:r w:rsidR="00900D2B">
        <w:t xml:space="preserve">.  </w:t>
      </w:r>
      <w:r w:rsidR="002B7E10">
        <w:t>“Although we rely upon the court reporter to accurately record the words spoken in court, we are not bound by the court reporter</w:t>
      </w:r>
      <w:r w:rsidR="008F2AB9">
        <w:t>’</w:t>
      </w:r>
      <w:r w:rsidR="002B7E10">
        <w:t>s interpretation of the speaker’s intended meaning as shown by the punctuation inserted by the reporter.”  (</w:t>
      </w:r>
      <w:r w:rsidR="002B7E10" w:rsidRPr="002B7E10">
        <w:rPr>
          <w:i/>
          <w:iCs/>
        </w:rPr>
        <w:t>People v. Huggins</w:t>
      </w:r>
      <w:r w:rsidR="002B7E10">
        <w:t xml:space="preserve"> (2006) 38</w:t>
      </w:r>
      <w:r w:rsidR="000B3ACF">
        <w:t> </w:t>
      </w:r>
      <w:r w:rsidR="002B7E10">
        <w:t>Cal.4th 175, 190</w:t>
      </w:r>
      <w:r w:rsidR="008F2AB9">
        <w:t>.</w:t>
      </w:r>
      <w:r w:rsidR="002B7E10">
        <w:t>)</w:t>
      </w:r>
      <w:r w:rsidR="008F2AB9">
        <w:t xml:space="preserve">  </w:t>
      </w:r>
      <w:r w:rsidR="00900D2B">
        <w:t>I</w:t>
      </w:r>
      <w:r w:rsidR="00F67D5D">
        <w:t xml:space="preserve">n our </w:t>
      </w:r>
      <w:r w:rsidR="00E200BA">
        <w:t xml:space="preserve">view, </w:t>
      </w:r>
      <w:r w:rsidR="00E7138D">
        <w:t>given the context and grammar,</w:t>
      </w:r>
      <w:r w:rsidR="00D07750">
        <w:t xml:space="preserve"> </w:t>
      </w:r>
      <w:r w:rsidR="00E200BA">
        <w:t xml:space="preserve">the </w:t>
      </w:r>
      <w:r w:rsidR="006A7C34">
        <w:t>prosecutor’s</w:t>
      </w:r>
      <w:r w:rsidR="00AD72E9">
        <w:t xml:space="preserve"> </w:t>
      </w:r>
      <w:r w:rsidR="00F03B8D">
        <w:t>words</w:t>
      </w:r>
      <w:r w:rsidR="0079432A">
        <w:t xml:space="preserve"> </w:t>
      </w:r>
      <w:r w:rsidR="00E7138D">
        <w:t xml:space="preserve">quoted </w:t>
      </w:r>
      <w:r w:rsidR="008F2AB9">
        <w:t>above</w:t>
      </w:r>
      <w:r w:rsidR="006A7C34">
        <w:t xml:space="preserve"> </w:t>
      </w:r>
      <w:r w:rsidR="000743CE">
        <w:t>would more appropriately have been rendered</w:t>
      </w:r>
      <w:r w:rsidR="00AC7ED1">
        <w:t xml:space="preserve"> as </w:t>
      </w:r>
      <w:r w:rsidR="00E200BA">
        <w:t>one</w:t>
      </w:r>
      <w:r w:rsidR="00AC7ED1">
        <w:t xml:space="preserve"> sentence</w:t>
      </w:r>
      <w:r w:rsidR="00E52BA8">
        <w:t xml:space="preserve"> rather than two</w:t>
      </w:r>
      <w:proofErr w:type="gramStart"/>
      <w:r w:rsidR="0079432A">
        <w:t>:  “</w:t>
      </w:r>
      <w:proofErr w:type="gramEnd"/>
      <w:r w:rsidR="0026669D">
        <w:t>So let’s say</w:t>
      </w:r>
      <w:r w:rsidR="003C7E6A">
        <w:t>,</w:t>
      </w:r>
      <w:r w:rsidR="0026669D">
        <w:t xml:space="preserve"> hypothetically, y</w:t>
      </w:r>
      <w:r w:rsidR="0079432A">
        <w:t>ou guys go back in chambers and everyone agrees, yes, he punched her, or yes, he threw the rod at her, but I don’t think it caused injury.</w:t>
      </w:r>
      <w:r w:rsidR="00D07750">
        <w:t xml:space="preserve">  It is still illegal to punch someone, even if it didn’t cause injury.  It’s still illegal to throw a metal rod at someone, even if it didn’t cause injury.</w:t>
      </w:r>
      <w:r w:rsidR="0079432A">
        <w:t>”</w:t>
      </w:r>
    </w:p>
  </w:footnote>
  <w:footnote w:id="5">
    <w:p w14:paraId="21B13354" w14:textId="681B875F" w:rsidR="006A014A" w:rsidRDefault="006A014A" w:rsidP="007404AD">
      <w:pPr>
        <w:pStyle w:val="FootnoteText"/>
        <w:ind w:firstLine="720"/>
      </w:pPr>
      <w:r>
        <w:rPr>
          <w:rStyle w:val="FootnoteReference"/>
        </w:rPr>
        <w:footnoteRef/>
      </w:r>
      <w:r>
        <w:t xml:space="preserve"> The parties agree</w:t>
      </w:r>
      <w:r w:rsidR="00632311">
        <w:t>,</w:t>
      </w:r>
      <w:r w:rsidR="00933F2E">
        <w:t xml:space="preserve"> and the record reflects</w:t>
      </w:r>
      <w:r w:rsidR="00632311">
        <w:t>,</w:t>
      </w:r>
      <w:r w:rsidR="00933F2E">
        <w:t xml:space="preserve"> </w:t>
      </w:r>
      <w:r>
        <w:t>that the court</w:t>
      </w:r>
      <w:r w:rsidR="00933F2E">
        <w:t xml:space="preserve"> intended to</w:t>
      </w:r>
      <w:r>
        <w:t xml:space="preserve"> impose a total of</w:t>
      </w:r>
      <w:r w:rsidR="003225C6">
        <w:t> </w:t>
      </w:r>
      <w:r>
        <w:t xml:space="preserve">$510 in fees and assessments.  </w:t>
      </w:r>
      <w:r w:rsidR="00A865A2">
        <w:t>While that amount correctly reflects the minimum</w:t>
      </w:r>
      <w:r w:rsidR="00933F2E">
        <w:t>,</w:t>
      </w:r>
      <w:r w:rsidR="00A865A2">
        <w:t xml:space="preserve"> mandatory </w:t>
      </w:r>
      <w:r w:rsidR="007E34C2">
        <w:t>fees and assessment</w:t>
      </w:r>
      <w:r w:rsidR="006041D4">
        <w:t xml:space="preserve">s on </w:t>
      </w:r>
      <w:r w:rsidR="00FA57A9">
        <w:t xml:space="preserve">the case tried to the jury, it does </w:t>
      </w:r>
      <w:r w:rsidR="00746368">
        <w:t xml:space="preserve">not include any fees or assessments for his conviction in the other case. </w:t>
      </w:r>
      <w:r w:rsidR="00605D9E">
        <w:t xml:space="preserve"> </w:t>
      </w:r>
      <w:r w:rsidR="00397193">
        <w:t>Section</w:t>
      </w:r>
      <w:r w:rsidR="003225C6">
        <w:t> </w:t>
      </w:r>
      <w:r w:rsidR="00397193">
        <w:t xml:space="preserve">1202.4 requires a </w:t>
      </w:r>
      <w:r w:rsidR="00A51D61">
        <w:t>restitution</w:t>
      </w:r>
      <w:r w:rsidR="00397193">
        <w:t xml:space="preserve"> fine be imposed on each case </w:t>
      </w:r>
      <w:r w:rsidR="00F71E22" w:rsidRPr="00F71E22">
        <w:t>(</w:t>
      </w:r>
      <w:r w:rsidR="00397193">
        <w:t xml:space="preserve">see </w:t>
      </w:r>
      <w:r w:rsidR="00F71E22" w:rsidRPr="008F76BA">
        <w:rPr>
          <w:i/>
          <w:iCs/>
        </w:rPr>
        <w:t>People v. Soria</w:t>
      </w:r>
      <w:r w:rsidR="00F71E22" w:rsidRPr="00F71E22">
        <w:t xml:space="preserve"> (2010) 48</w:t>
      </w:r>
      <w:r w:rsidR="003225C6">
        <w:t> </w:t>
      </w:r>
      <w:r w:rsidR="00F71E22" w:rsidRPr="00F71E22">
        <w:t xml:space="preserve">Cal.4th 58, 66 [restitution fines are to be imposed in each case resolved by a plea bargain]; </w:t>
      </w:r>
      <w:r w:rsidR="00F71E22" w:rsidRPr="008F76BA">
        <w:rPr>
          <w:i/>
          <w:iCs/>
        </w:rPr>
        <w:t xml:space="preserve">People v. </w:t>
      </w:r>
      <w:proofErr w:type="spellStart"/>
      <w:r w:rsidR="00F71E22" w:rsidRPr="008F76BA">
        <w:rPr>
          <w:i/>
          <w:iCs/>
        </w:rPr>
        <w:t>Sencion</w:t>
      </w:r>
      <w:proofErr w:type="spellEnd"/>
      <w:r w:rsidR="00F71E22" w:rsidRPr="00F71E22">
        <w:t xml:space="preserve"> (2012) 211</w:t>
      </w:r>
      <w:r w:rsidR="003225C6">
        <w:t> </w:t>
      </w:r>
      <w:r w:rsidR="00F71E22" w:rsidRPr="00F71E22">
        <w:t>Cal.App.4th 480, 483 [restitution fund fine may be imposed only once per case])</w:t>
      </w:r>
      <w:r w:rsidR="00397193">
        <w:t xml:space="preserve">, and </w:t>
      </w:r>
      <w:r w:rsidR="00A51D61">
        <w:t>the</w:t>
      </w:r>
      <w:r w:rsidR="00A51D61" w:rsidRPr="00A51D61">
        <w:t xml:space="preserve"> </w:t>
      </w:r>
      <w:r w:rsidR="00A51D61">
        <w:t>court operations and criminal conviction assessments must be imposed on each count</w:t>
      </w:r>
      <w:r w:rsidR="00605D9E">
        <w:t>.</w:t>
      </w:r>
      <w:r w:rsidR="00A51D61">
        <w:t xml:space="preserve"> </w:t>
      </w:r>
      <w:r w:rsidR="00420605">
        <w:t xml:space="preserve"> </w:t>
      </w:r>
      <w:r w:rsidR="00A51D61">
        <w:t>(§ 1465.8; Gov. Code, §</w:t>
      </w:r>
      <w:r w:rsidR="003225C6">
        <w:t> </w:t>
      </w:r>
      <w:r w:rsidR="00A51D61">
        <w:t>70373</w:t>
      </w:r>
      <w:r w:rsidR="00605D9E">
        <w:t>.</w:t>
      </w:r>
      <w:r w:rsidR="00A51D61">
        <w:t>)</w:t>
      </w:r>
      <w:r w:rsidR="00420605">
        <w:t xml:space="preserve"> </w:t>
      </w:r>
      <w:r w:rsidR="00A51D61">
        <w:t xml:space="preserve"> </w:t>
      </w:r>
      <w:r w:rsidR="00246AB1">
        <w:t>The trial court’s order does not cite the authority under which it ordered</w:t>
      </w:r>
      <w:r>
        <w:t xml:space="preserve"> that the fees and assessments imposed in Fish’s plea case run “concurrent” to those imposed in the other case</w:t>
      </w:r>
      <w:r w:rsidR="00246AB1">
        <w:t xml:space="preserve">. </w:t>
      </w:r>
      <w:r w:rsidR="00605D9E">
        <w:t xml:space="preserve"> </w:t>
      </w:r>
      <w:r w:rsidR="00246AB1">
        <w:t xml:space="preserve">However, </w:t>
      </w:r>
      <w:r w:rsidR="009F47DB">
        <w:t>because</w:t>
      </w:r>
      <w:r w:rsidR="00246AB1">
        <w:t xml:space="preserve"> the</w:t>
      </w:r>
      <w:r w:rsidRPr="00473576">
        <w:t xml:space="preserve"> </w:t>
      </w:r>
      <w:r w:rsidR="00246AB1">
        <w:t>People</w:t>
      </w:r>
      <w:r w:rsidRPr="00473576">
        <w:t xml:space="preserve"> did not object</w:t>
      </w:r>
      <w:r w:rsidR="00246AB1">
        <w:t xml:space="preserve"> in the trial court or on appeal, </w:t>
      </w:r>
      <w:r w:rsidRPr="00473576">
        <w:t>any claim as to th</w:t>
      </w:r>
      <w:r>
        <w:t>is</w:t>
      </w:r>
      <w:r w:rsidRPr="00473576">
        <w:t xml:space="preserve"> </w:t>
      </w:r>
      <w:r w:rsidR="00246AB1">
        <w:t xml:space="preserve">potential </w:t>
      </w:r>
      <w:r w:rsidRPr="00473576">
        <w:t xml:space="preserve">error </w:t>
      </w:r>
      <w:r w:rsidR="00246AB1">
        <w:t>has been</w:t>
      </w:r>
      <w:r w:rsidRPr="00473576">
        <w:t xml:space="preserve"> forfeited.</w:t>
      </w:r>
      <w:r w:rsidR="00605D9E">
        <w:t xml:space="preserve"> </w:t>
      </w:r>
      <w:r w:rsidRPr="00473576">
        <w:t xml:space="preserve"> (</w:t>
      </w:r>
      <w:r w:rsidRPr="00756E9A">
        <w:rPr>
          <w:i/>
          <w:iCs/>
        </w:rPr>
        <w:t>People v. Tillman</w:t>
      </w:r>
      <w:r w:rsidRPr="00473576">
        <w:t xml:space="preserve"> (2000) 22</w:t>
      </w:r>
      <w:r w:rsidR="003225C6">
        <w:t> </w:t>
      </w:r>
      <w:r w:rsidRPr="00473576">
        <w:t xml:space="preserve">Cal.4th 300.) </w:t>
      </w:r>
      <w:r>
        <w:t xml:space="preserve">  </w:t>
      </w:r>
    </w:p>
  </w:footnote>
  <w:footnote w:id="6">
    <w:p w14:paraId="33CC484D" w14:textId="77777777" w:rsidR="00035D92" w:rsidRPr="00DB6DF5" w:rsidRDefault="00035D92" w:rsidP="00035D92">
      <w:pPr>
        <w:pStyle w:val="FootnoteText"/>
        <w:spacing w:before="2" w:after="2"/>
        <w:rPr>
          <w:szCs w:val="26"/>
        </w:rPr>
      </w:pPr>
      <w:r w:rsidRPr="00DB6DF5">
        <w:rPr>
          <w:rStyle w:val="FootnoteReference"/>
          <w:szCs w:val="26"/>
        </w:rPr>
        <w:t>*</w:t>
      </w:r>
      <w:r w:rsidRPr="00DB6DF5">
        <w:rPr>
          <w:szCs w:val="26"/>
        </w:rPr>
        <w:t xml:space="preserve"> Judge of the Superior Court of </w:t>
      </w:r>
      <w:r>
        <w:rPr>
          <w:szCs w:val="26"/>
        </w:rPr>
        <w:t>the City and County of San Francisco</w:t>
      </w:r>
      <w:r w:rsidRPr="00DB6DF5">
        <w:rPr>
          <w:szCs w:val="26"/>
        </w:rPr>
        <w: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28B6" w14:textId="77777777" w:rsidR="00891D5C" w:rsidRDefault="00891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E05" w14:textId="77777777" w:rsidR="00891D5C" w:rsidRDefault="00891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DB29" w14:textId="77777777" w:rsidR="00891D5C" w:rsidRDefault="00891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81B"/>
    <w:multiLevelType w:val="hybridMultilevel"/>
    <w:tmpl w:val="426A4CA2"/>
    <w:lvl w:ilvl="0" w:tplc="8FCC142A">
      <w:start w:val="1"/>
      <w:numFmt w:val="upperRoman"/>
      <w:lvlText w:val="%1."/>
      <w:lvlJc w:val="right"/>
      <w:pPr>
        <w:ind w:left="720" w:hanging="576"/>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2A63799"/>
    <w:multiLevelType w:val="multilevel"/>
    <w:tmpl w:val="00BEEA4E"/>
    <w:styleLink w:val="Style1"/>
    <w:lvl w:ilvl="0">
      <w:start w:val="1"/>
      <w:numFmt w:val="upperRoman"/>
      <w:lvlText w:val="%1."/>
      <w:lvlJc w:val="right"/>
      <w:pPr>
        <w:ind w:left="1080" w:hanging="7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807C20"/>
    <w:multiLevelType w:val="multilevel"/>
    <w:tmpl w:val="00BEEA4E"/>
    <w:numStyleLink w:val="Style1"/>
  </w:abstractNum>
  <w:abstractNum w:abstractNumId="3" w15:restartNumberingAfterBreak="0">
    <w:nsid w:val="71341ABB"/>
    <w:multiLevelType w:val="hybridMultilevel"/>
    <w:tmpl w:val="72189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377725">
    <w:abstractNumId w:val="0"/>
  </w:num>
  <w:num w:numId="2" w16cid:durableId="700977547">
    <w:abstractNumId w:val="3"/>
  </w:num>
  <w:num w:numId="3" w16cid:durableId="409621367">
    <w:abstractNumId w:val="1"/>
  </w:num>
  <w:num w:numId="4" w16cid:durableId="133287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1D"/>
    <w:rsid w:val="0000016A"/>
    <w:rsid w:val="000005D1"/>
    <w:rsid w:val="0000074C"/>
    <w:rsid w:val="00000F87"/>
    <w:rsid w:val="00001025"/>
    <w:rsid w:val="00001C03"/>
    <w:rsid w:val="000028CE"/>
    <w:rsid w:val="00003BF7"/>
    <w:rsid w:val="00005364"/>
    <w:rsid w:val="00006CA5"/>
    <w:rsid w:val="00007CAA"/>
    <w:rsid w:val="0001028D"/>
    <w:rsid w:val="000103F1"/>
    <w:rsid w:val="00010D40"/>
    <w:rsid w:val="00014537"/>
    <w:rsid w:val="00024316"/>
    <w:rsid w:val="0002702D"/>
    <w:rsid w:val="00031E39"/>
    <w:rsid w:val="00032003"/>
    <w:rsid w:val="00034BA2"/>
    <w:rsid w:val="00035D92"/>
    <w:rsid w:val="00036607"/>
    <w:rsid w:val="00036EBA"/>
    <w:rsid w:val="000374FF"/>
    <w:rsid w:val="00037F8F"/>
    <w:rsid w:val="000417B4"/>
    <w:rsid w:val="00044C8F"/>
    <w:rsid w:val="00044E52"/>
    <w:rsid w:val="000451E4"/>
    <w:rsid w:val="00045C25"/>
    <w:rsid w:val="000465A9"/>
    <w:rsid w:val="00046818"/>
    <w:rsid w:val="00046FAE"/>
    <w:rsid w:val="000474F9"/>
    <w:rsid w:val="00050B90"/>
    <w:rsid w:val="00053A08"/>
    <w:rsid w:val="00054426"/>
    <w:rsid w:val="00054919"/>
    <w:rsid w:val="00057F8A"/>
    <w:rsid w:val="00060698"/>
    <w:rsid w:val="00061AE6"/>
    <w:rsid w:val="00064F96"/>
    <w:rsid w:val="000663D5"/>
    <w:rsid w:val="000669EC"/>
    <w:rsid w:val="00066B41"/>
    <w:rsid w:val="00066EC9"/>
    <w:rsid w:val="000670F2"/>
    <w:rsid w:val="00072E82"/>
    <w:rsid w:val="000743CE"/>
    <w:rsid w:val="00074C0C"/>
    <w:rsid w:val="00075AF7"/>
    <w:rsid w:val="00081A2A"/>
    <w:rsid w:val="00082FC2"/>
    <w:rsid w:val="00085198"/>
    <w:rsid w:val="000862A5"/>
    <w:rsid w:val="00090C3C"/>
    <w:rsid w:val="00092DF9"/>
    <w:rsid w:val="000938BA"/>
    <w:rsid w:val="000943CF"/>
    <w:rsid w:val="00094F6C"/>
    <w:rsid w:val="00095E92"/>
    <w:rsid w:val="000961CB"/>
    <w:rsid w:val="000A0160"/>
    <w:rsid w:val="000A1C21"/>
    <w:rsid w:val="000A1D46"/>
    <w:rsid w:val="000A48F0"/>
    <w:rsid w:val="000A6FCA"/>
    <w:rsid w:val="000A7D40"/>
    <w:rsid w:val="000B1A2F"/>
    <w:rsid w:val="000B3ACF"/>
    <w:rsid w:val="000B53F3"/>
    <w:rsid w:val="000B72E7"/>
    <w:rsid w:val="000B7FE3"/>
    <w:rsid w:val="000C14D1"/>
    <w:rsid w:val="000C75C9"/>
    <w:rsid w:val="000E0E4D"/>
    <w:rsid w:val="000E348D"/>
    <w:rsid w:val="000E3E05"/>
    <w:rsid w:val="000E50E0"/>
    <w:rsid w:val="000E642A"/>
    <w:rsid w:val="000E66D0"/>
    <w:rsid w:val="000E67FA"/>
    <w:rsid w:val="000E705F"/>
    <w:rsid w:val="000E7163"/>
    <w:rsid w:val="000F179B"/>
    <w:rsid w:val="000F17CA"/>
    <w:rsid w:val="000F32A0"/>
    <w:rsid w:val="000F337D"/>
    <w:rsid w:val="00102A0D"/>
    <w:rsid w:val="00102B60"/>
    <w:rsid w:val="00102F8F"/>
    <w:rsid w:val="00107155"/>
    <w:rsid w:val="00110B7F"/>
    <w:rsid w:val="00112DF7"/>
    <w:rsid w:val="00112E99"/>
    <w:rsid w:val="001144CA"/>
    <w:rsid w:val="00115363"/>
    <w:rsid w:val="00115E7B"/>
    <w:rsid w:val="001172F8"/>
    <w:rsid w:val="00121FCF"/>
    <w:rsid w:val="0012272C"/>
    <w:rsid w:val="001229D7"/>
    <w:rsid w:val="001254E1"/>
    <w:rsid w:val="001266A3"/>
    <w:rsid w:val="00126A21"/>
    <w:rsid w:val="00126B13"/>
    <w:rsid w:val="00127414"/>
    <w:rsid w:val="00130301"/>
    <w:rsid w:val="00130462"/>
    <w:rsid w:val="001329F6"/>
    <w:rsid w:val="0013395B"/>
    <w:rsid w:val="00135AB9"/>
    <w:rsid w:val="001371A8"/>
    <w:rsid w:val="00140892"/>
    <w:rsid w:val="001441BD"/>
    <w:rsid w:val="00147C1F"/>
    <w:rsid w:val="00147D78"/>
    <w:rsid w:val="001508DE"/>
    <w:rsid w:val="00150DEA"/>
    <w:rsid w:val="001515D3"/>
    <w:rsid w:val="00152248"/>
    <w:rsid w:val="001543A1"/>
    <w:rsid w:val="00154D67"/>
    <w:rsid w:val="001561B7"/>
    <w:rsid w:val="001617A4"/>
    <w:rsid w:val="00162125"/>
    <w:rsid w:val="00163718"/>
    <w:rsid w:val="00163D65"/>
    <w:rsid w:val="00164627"/>
    <w:rsid w:val="00167772"/>
    <w:rsid w:val="00167BF8"/>
    <w:rsid w:val="00167EB7"/>
    <w:rsid w:val="00172208"/>
    <w:rsid w:val="001747AC"/>
    <w:rsid w:val="001801A1"/>
    <w:rsid w:val="00180360"/>
    <w:rsid w:val="0018182E"/>
    <w:rsid w:val="00181C42"/>
    <w:rsid w:val="00185CB1"/>
    <w:rsid w:val="00191900"/>
    <w:rsid w:val="0019527C"/>
    <w:rsid w:val="00196034"/>
    <w:rsid w:val="0019731F"/>
    <w:rsid w:val="00197455"/>
    <w:rsid w:val="00197B4B"/>
    <w:rsid w:val="001A07B4"/>
    <w:rsid w:val="001A1F55"/>
    <w:rsid w:val="001A281C"/>
    <w:rsid w:val="001A4A70"/>
    <w:rsid w:val="001A68F4"/>
    <w:rsid w:val="001B088F"/>
    <w:rsid w:val="001B144A"/>
    <w:rsid w:val="001B49D5"/>
    <w:rsid w:val="001B5783"/>
    <w:rsid w:val="001B68F6"/>
    <w:rsid w:val="001B7943"/>
    <w:rsid w:val="001C1227"/>
    <w:rsid w:val="001C187F"/>
    <w:rsid w:val="001C1DF0"/>
    <w:rsid w:val="001C2BAC"/>
    <w:rsid w:val="001C4156"/>
    <w:rsid w:val="001C41E0"/>
    <w:rsid w:val="001C4504"/>
    <w:rsid w:val="001C6A8D"/>
    <w:rsid w:val="001C7488"/>
    <w:rsid w:val="001D0D14"/>
    <w:rsid w:val="001D1A86"/>
    <w:rsid w:val="001D3FDD"/>
    <w:rsid w:val="001D5CF0"/>
    <w:rsid w:val="001E0980"/>
    <w:rsid w:val="001E15D5"/>
    <w:rsid w:val="001E3ECF"/>
    <w:rsid w:val="001E41C5"/>
    <w:rsid w:val="001E51B0"/>
    <w:rsid w:val="001F15D8"/>
    <w:rsid w:val="001F2341"/>
    <w:rsid w:val="001F2344"/>
    <w:rsid w:val="001F2693"/>
    <w:rsid w:val="001F2DC5"/>
    <w:rsid w:val="001F5DEA"/>
    <w:rsid w:val="001F66FF"/>
    <w:rsid w:val="002016DD"/>
    <w:rsid w:val="00205B76"/>
    <w:rsid w:val="00205D09"/>
    <w:rsid w:val="00206C45"/>
    <w:rsid w:val="00210AB8"/>
    <w:rsid w:val="002116F5"/>
    <w:rsid w:val="0021196D"/>
    <w:rsid w:val="002126DB"/>
    <w:rsid w:val="002176C6"/>
    <w:rsid w:val="00221456"/>
    <w:rsid w:val="0022240A"/>
    <w:rsid w:val="002227B6"/>
    <w:rsid w:val="00225EFC"/>
    <w:rsid w:val="002263C2"/>
    <w:rsid w:val="00226E25"/>
    <w:rsid w:val="00226EB6"/>
    <w:rsid w:val="00227DD8"/>
    <w:rsid w:val="00230244"/>
    <w:rsid w:val="002316EA"/>
    <w:rsid w:val="00232E96"/>
    <w:rsid w:val="00232F7B"/>
    <w:rsid w:val="00233E09"/>
    <w:rsid w:val="0023480F"/>
    <w:rsid w:val="00234CB1"/>
    <w:rsid w:val="00234D98"/>
    <w:rsid w:val="00235AD2"/>
    <w:rsid w:val="0024056C"/>
    <w:rsid w:val="002412A3"/>
    <w:rsid w:val="00241E76"/>
    <w:rsid w:val="00242DBB"/>
    <w:rsid w:val="002437A6"/>
    <w:rsid w:val="00245AE0"/>
    <w:rsid w:val="00246421"/>
    <w:rsid w:val="002465AE"/>
    <w:rsid w:val="00246AB1"/>
    <w:rsid w:val="00251063"/>
    <w:rsid w:val="00253778"/>
    <w:rsid w:val="00260941"/>
    <w:rsid w:val="002626EF"/>
    <w:rsid w:val="00263074"/>
    <w:rsid w:val="00264799"/>
    <w:rsid w:val="002647B3"/>
    <w:rsid w:val="002651EC"/>
    <w:rsid w:val="0026669D"/>
    <w:rsid w:val="00270C27"/>
    <w:rsid w:val="00270D03"/>
    <w:rsid w:val="0027212F"/>
    <w:rsid w:val="002724C0"/>
    <w:rsid w:val="002737A3"/>
    <w:rsid w:val="002739F1"/>
    <w:rsid w:val="0027561B"/>
    <w:rsid w:val="00276838"/>
    <w:rsid w:val="00277F4B"/>
    <w:rsid w:val="00277F8F"/>
    <w:rsid w:val="00280481"/>
    <w:rsid w:val="0028050E"/>
    <w:rsid w:val="00280BAF"/>
    <w:rsid w:val="0028119F"/>
    <w:rsid w:val="0028259F"/>
    <w:rsid w:val="00284C3E"/>
    <w:rsid w:val="00286DB9"/>
    <w:rsid w:val="002906AE"/>
    <w:rsid w:val="002913BD"/>
    <w:rsid w:val="00291F08"/>
    <w:rsid w:val="002921C8"/>
    <w:rsid w:val="00295A4A"/>
    <w:rsid w:val="002A5FAB"/>
    <w:rsid w:val="002A6275"/>
    <w:rsid w:val="002A7ABE"/>
    <w:rsid w:val="002B09B5"/>
    <w:rsid w:val="002B1609"/>
    <w:rsid w:val="002B2B82"/>
    <w:rsid w:val="002B523E"/>
    <w:rsid w:val="002B6A59"/>
    <w:rsid w:val="002B76E2"/>
    <w:rsid w:val="002B77D1"/>
    <w:rsid w:val="002B7A2C"/>
    <w:rsid w:val="002B7E10"/>
    <w:rsid w:val="002C0EA6"/>
    <w:rsid w:val="002C221E"/>
    <w:rsid w:val="002C393E"/>
    <w:rsid w:val="002C3FE7"/>
    <w:rsid w:val="002C4C68"/>
    <w:rsid w:val="002C5793"/>
    <w:rsid w:val="002D01F8"/>
    <w:rsid w:val="002D1473"/>
    <w:rsid w:val="002D57B7"/>
    <w:rsid w:val="002E04D2"/>
    <w:rsid w:val="002E1729"/>
    <w:rsid w:val="002E1F7E"/>
    <w:rsid w:val="002F4206"/>
    <w:rsid w:val="002F43A0"/>
    <w:rsid w:val="002F545B"/>
    <w:rsid w:val="002F57CC"/>
    <w:rsid w:val="002F5AF4"/>
    <w:rsid w:val="00301E1F"/>
    <w:rsid w:val="0030259F"/>
    <w:rsid w:val="00302F4B"/>
    <w:rsid w:val="00303F47"/>
    <w:rsid w:val="003043EE"/>
    <w:rsid w:val="00304440"/>
    <w:rsid w:val="00307532"/>
    <w:rsid w:val="00311A0E"/>
    <w:rsid w:val="00312E34"/>
    <w:rsid w:val="00314ABA"/>
    <w:rsid w:val="00317889"/>
    <w:rsid w:val="0032022E"/>
    <w:rsid w:val="003225C6"/>
    <w:rsid w:val="00325FE7"/>
    <w:rsid w:val="00326B97"/>
    <w:rsid w:val="003274C1"/>
    <w:rsid w:val="00330687"/>
    <w:rsid w:val="00331CB5"/>
    <w:rsid w:val="00333127"/>
    <w:rsid w:val="0033463D"/>
    <w:rsid w:val="003346DD"/>
    <w:rsid w:val="00335A65"/>
    <w:rsid w:val="00336E9B"/>
    <w:rsid w:val="00340A00"/>
    <w:rsid w:val="00341105"/>
    <w:rsid w:val="0034446B"/>
    <w:rsid w:val="00345544"/>
    <w:rsid w:val="00347A15"/>
    <w:rsid w:val="00352711"/>
    <w:rsid w:val="003542E2"/>
    <w:rsid w:val="00356C94"/>
    <w:rsid w:val="003600F3"/>
    <w:rsid w:val="0036121F"/>
    <w:rsid w:val="00364078"/>
    <w:rsid w:val="00364435"/>
    <w:rsid w:val="00367A3C"/>
    <w:rsid w:val="00370E31"/>
    <w:rsid w:val="003720D4"/>
    <w:rsid w:val="003725CD"/>
    <w:rsid w:val="00374112"/>
    <w:rsid w:val="0037542E"/>
    <w:rsid w:val="00377159"/>
    <w:rsid w:val="00377C72"/>
    <w:rsid w:val="0038010E"/>
    <w:rsid w:val="0038015D"/>
    <w:rsid w:val="00384C54"/>
    <w:rsid w:val="00385A93"/>
    <w:rsid w:val="00385B79"/>
    <w:rsid w:val="003860F8"/>
    <w:rsid w:val="00392189"/>
    <w:rsid w:val="003943D1"/>
    <w:rsid w:val="003948D7"/>
    <w:rsid w:val="00394CBC"/>
    <w:rsid w:val="00395BAF"/>
    <w:rsid w:val="00397193"/>
    <w:rsid w:val="003974D2"/>
    <w:rsid w:val="003A2780"/>
    <w:rsid w:val="003A4B1F"/>
    <w:rsid w:val="003A6372"/>
    <w:rsid w:val="003A652A"/>
    <w:rsid w:val="003A7177"/>
    <w:rsid w:val="003A796B"/>
    <w:rsid w:val="003B0271"/>
    <w:rsid w:val="003B02CA"/>
    <w:rsid w:val="003B223D"/>
    <w:rsid w:val="003B62C2"/>
    <w:rsid w:val="003B754C"/>
    <w:rsid w:val="003C1BDA"/>
    <w:rsid w:val="003C30CE"/>
    <w:rsid w:val="003C52CC"/>
    <w:rsid w:val="003C6C9F"/>
    <w:rsid w:val="003C7E6A"/>
    <w:rsid w:val="003C7EF6"/>
    <w:rsid w:val="003C7F0F"/>
    <w:rsid w:val="003D2452"/>
    <w:rsid w:val="003D741C"/>
    <w:rsid w:val="003D7637"/>
    <w:rsid w:val="003E1EC7"/>
    <w:rsid w:val="003E1F08"/>
    <w:rsid w:val="003E2F9D"/>
    <w:rsid w:val="003E3275"/>
    <w:rsid w:val="003E3697"/>
    <w:rsid w:val="003E56CC"/>
    <w:rsid w:val="003E726A"/>
    <w:rsid w:val="003E76D8"/>
    <w:rsid w:val="003F05B1"/>
    <w:rsid w:val="003F2564"/>
    <w:rsid w:val="003F31DF"/>
    <w:rsid w:val="003F339A"/>
    <w:rsid w:val="003F4283"/>
    <w:rsid w:val="003F60D7"/>
    <w:rsid w:val="0040379D"/>
    <w:rsid w:val="0040437D"/>
    <w:rsid w:val="00404EFB"/>
    <w:rsid w:val="00405DBA"/>
    <w:rsid w:val="004060B8"/>
    <w:rsid w:val="004062A9"/>
    <w:rsid w:val="00406708"/>
    <w:rsid w:val="00406B3D"/>
    <w:rsid w:val="00406FB7"/>
    <w:rsid w:val="0041128A"/>
    <w:rsid w:val="00413627"/>
    <w:rsid w:val="00414999"/>
    <w:rsid w:val="004159B8"/>
    <w:rsid w:val="00416637"/>
    <w:rsid w:val="004176F5"/>
    <w:rsid w:val="00417DE4"/>
    <w:rsid w:val="00420402"/>
    <w:rsid w:val="00420605"/>
    <w:rsid w:val="004228DB"/>
    <w:rsid w:val="00423EBD"/>
    <w:rsid w:val="00425C85"/>
    <w:rsid w:val="00427816"/>
    <w:rsid w:val="00427E49"/>
    <w:rsid w:val="00430A91"/>
    <w:rsid w:val="00431AE1"/>
    <w:rsid w:val="00432A04"/>
    <w:rsid w:val="00433290"/>
    <w:rsid w:val="00433EF9"/>
    <w:rsid w:val="004356FD"/>
    <w:rsid w:val="00435FDE"/>
    <w:rsid w:val="004360DE"/>
    <w:rsid w:val="004400E0"/>
    <w:rsid w:val="00440E9B"/>
    <w:rsid w:val="00441907"/>
    <w:rsid w:val="00443C8E"/>
    <w:rsid w:val="00446B35"/>
    <w:rsid w:val="00447EC9"/>
    <w:rsid w:val="0045135A"/>
    <w:rsid w:val="00453D27"/>
    <w:rsid w:val="00455FF4"/>
    <w:rsid w:val="00456A5B"/>
    <w:rsid w:val="00457414"/>
    <w:rsid w:val="00461203"/>
    <w:rsid w:val="0046454C"/>
    <w:rsid w:val="004652BD"/>
    <w:rsid w:val="00467466"/>
    <w:rsid w:val="004712D4"/>
    <w:rsid w:val="00472A72"/>
    <w:rsid w:val="00472BE2"/>
    <w:rsid w:val="00473576"/>
    <w:rsid w:val="004739DE"/>
    <w:rsid w:val="00474EA0"/>
    <w:rsid w:val="0047740D"/>
    <w:rsid w:val="00481026"/>
    <w:rsid w:val="0048184C"/>
    <w:rsid w:val="00481D39"/>
    <w:rsid w:val="004835D4"/>
    <w:rsid w:val="00483FD5"/>
    <w:rsid w:val="004842E2"/>
    <w:rsid w:val="004851B3"/>
    <w:rsid w:val="004857B9"/>
    <w:rsid w:val="00485FCD"/>
    <w:rsid w:val="004860F4"/>
    <w:rsid w:val="00490925"/>
    <w:rsid w:val="00490EE5"/>
    <w:rsid w:val="00494FE6"/>
    <w:rsid w:val="00497C4B"/>
    <w:rsid w:val="004A03BA"/>
    <w:rsid w:val="004A1B7E"/>
    <w:rsid w:val="004A2D83"/>
    <w:rsid w:val="004A30E7"/>
    <w:rsid w:val="004A3EDB"/>
    <w:rsid w:val="004A6C8F"/>
    <w:rsid w:val="004B37A0"/>
    <w:rsid w:val="004B3C7A"/>
    <w:rsid w:val="004B4B39"/>
    <w:rsid w:val="004B6DDA"/>
    <w:rsid w:val="004B78D9"/>
    <w:rsid w:val="004C5010"/>
    <w:rsid w:val="004C54A0"/>
    <w:rsid w:val="004C5F3F"/>
    <w:rsid w:val="004C6B21"/>
    <w:rsid w:val="004D230C"/>
    <w:rsid w:val="004D3E9A"/>
    <w:rsid w:val="004D4EF4"/>
    <w:rsid w:val="004D5CAA"/>
    <w:rsid w:val="004D67A4"/>
    <w:rsid w:val="004D6BA2"/>
    <w:rsid w:val="004E1775"/>
    <w:rsid w:val="004E1EB0"/>
    <w:rsid w:val="004E327F"/>
    <w:rsid w:val="004E3AF6"/>
    <w:rsid w:val="004F25AA"/>
    <w:rsid w:val="004F499A"/>
    <w:rsid w:val="004F4E52"/>
    <w:rsid w:val="004F5014"/>
    <w:rsid w:val="004F7842"/>
    <w:rsid w:val="004F7DCA"/>
    <w:rsid w:val="00500A24"/>
    <w:rsid w:val="00500CF8"/>
    <w:rsid w:val="00500FCC"/>
    <w:rsid w:val="00502078"/>
    <w:rsid w:val="005025BD"/>
    <w:rsid w:val="00510A97"/>
    <w:rsid w:val="0051263B"/>
    <w:rsid w:val="005127A6"/>
    <w:rsid w:val="00512AB3"/>
    <w:rsid w:val="00513960"/>
    <w:rsid w:val="00515421"/>
    <w:rsid w:val="005215AC"/>
    <w:rsid w:val="005220C0"/>
    <w:rsid w:val="0052239F"/>
    <w:rsid w:val="0052276E"/>
    <w:rsid w:val="00523CEA"/>
    <w:rsid w:val="005247AE"/>
    <w:rsid w:val="00526A77"/>
    <w:rsid w:val="00530A90"/>
    <w:rsid w:val="00530C80"/>
    <w:rsid w:val="0053273D"/>
    <w:rsid w:val="00533D75"/>
    <w:rsid w:val="00533E96"/>
    <w:rsid w:val="00534EAB"/>
    <w:rsid w:val="00537CB8"/>
    <w:rsid w:val="0054019D"/>
    <w:rsid w:val="00540824"/>
    <w:rsid w:val="00540AD1"/>
    <w:rsid w:val="00540D4B"/>
    <w:rsid w:val="00541CB7"/>
    <w:rsid w:val="005444C9"/>
    <w:rsid w:val="00544858"/>
    <w:rsid w:val="005463B8"/>
    <w:rsid w:val="005503DB"/>
    <w:rsid w:val="00552D23"/>
    <w:rsid w:val="0055603C"/>
    <w:rsid w:val="00557598"/>
    <w:rsid w:val="005628D1"/>
    <w:rsid w:val="00562911"/>
    <w:rsid w:val="00565A7B"/>
    <w:rsid w:val="00573BB1"/>
    <w:rsid w:val="005742E6"/>
    <w:rsid w:val="00575F40"/>
    <w:rsid w:val="00576510"/>
    <w:rsid w:val="00576EB3"/>
    <w:rsid w:val="005828BC"/>
    <w:rsid w:val="0058371E"/>
    <w:rsid w:val="00584114"/>
    <w:rsid w:val="0058519F"/>
    <w:rsid w:val="00585F18"/>
    <w:rsid w:val="00586AE2"/>
    <w:rsid w:val="00586BD1"/>
    <w:rsid w:val="00587333"/>
    <w:rsid w:val="00591CC7"/>
    <w:rsid w:val="00591D71"/>
    <w:rsid w:val="0059335B"/>
    <w:rsid w:val="00593434"/>
    <w:rsid w:val="0059495D"/>
    <w:rsid w:val="00594A43"/>
    <w:rsid w:val="00594BB4"/>
    <w:rsid w:val="0059574F"/>
    <w:rsid w:val="00595AB5"/>
    <w:rsid w:val="005966D6"/>
    <w:rsid w:val="0059750C"/>
    <w:rsid w:val="005A4BE1"/>
    <w:rsid w:val="005A58B4"/>
    <w:rsid w:val="005A58F1"/>
    <w:rsid w:val="005B0474"/>
    <w:rsid w:val="005B05BB"/>
    <w:rsid w:val="005B089A"/>
    <w:rsid w:val="005B0B61"/>
    <w:rsid w:val="005B0EFE"/>
    <w:rsid w:val="005B708F"/>
    <w:rsid w:val="005C0967"/>
    <w:rsid w:val="005C1081"/>
    <w:rsid w:val="005C1521"/>
    <w:rsid w:val="005C1D57"/>
    <w:rsid w:val="005C1EEF"/>
    <w:rsid w:val="005C2018"/>
    <w:rsid w:val="005C6269"/>
    <w:rsid w:val="005C7716"/>
    <w:rsid w:val="005D0E0D"/>
    <w:rsid w:val="005D3DE8"/>
    <w:rsid w:val="005D5CD4"/>
    <w:rsid w:val="005D67BD"/>
    <w:rsid w:val="005D6C97"/>
    <w:rsid w:val="005D6FA8"/>
    <w:rsid w:val="005D7D79"/>
    <w:rsid w:val="005E038B"/>
    <w:rsid w:val="005E09EB"/>
    <w:rsid w:val="005E59E1"/>
    <w:rsid w:val="005E5E44"/>
    <w:rsid w:val="005E62B9"/>
    <w:rsid w:val="005E725C"/>
    <w:rsid w:val="005F078B"/>
    <w:rsid w:val="005F0863"/>
    <w:rsid w:val="005F105E"/>
    <w:rsid w:val="005F16AC"/>
    <w:rsid w:val="005F202C"/>
    <w:rsid w:val="005F330B"/>
    <w:rsid w:val="005F682F"/>
    <w:rsid w:val="005F6C72"/>
    <w:rsid w:val="005F7999"/>
    <w:rsid w:val="00602B4D"/>
    <w:rsid w:val="006038BC"/>
    <w:rsid w:val="006041D4"/>
    <w:rsid w:val="00605D9E"/>
    <w:rsid w:val="00605E1C"/>
    <w:rsid w:val="0060757C"/>
    <w:rsid w:val="006102DE"/>
    <w:rsid w:val="00611CAB"/>
    <w:rsid w:val="00612AF5"/>
    <w:rsid w:val="00613D14"/>
    <w:rsid w:val="0061489A"/>
    <w:rsid w:val="00615F48"/>
    <w:rsid w:val="0061691A"/>
    <w:rsid w:val="00617BAD"/>
    <w:rsid w:val="00620F61"/>
    <w:rsid w:val="006215A1"/>
    <w:rsid w:val="00622146"/>
    <w:rsid w:val="00623756"/>
    <w:rsid w:val="00623B1A"/>
    <w:rsid w:val="00624360"/>
    <w:rsid w:val="00624CA7"/>
    <w:rsid w:val="006306C4"/>
    <w:rsid w:val="00632311"/>
    <w:rsid w:val="00633A1E"/>
    <w:rsid w:val="00642C76"/>
    <w:rsid w:val="0064300D"/>
    <w:rsid w:val="006436A3"/>
    <w:rsid w:val="00643E07"/>
    <w:rsid w:val="00645BDE"/>
    <w:rsid w:val="00650440"/>
    <w:rsid w:val="00651B56"/>
    <w:rsid w:val="00652B7B"/>
    <w:rsid w:val="00653730"/>
    <w:rsid w:val="006563C6"/>
    <w:rsid w:val="006579CA"/>
    <w:rsid w:val="006617B8"/>
    <w:rsid w:val="006636C8"/>
    <w:rsid w:val="006650A8"/>
    <w:rsid w:val="006672B1"/>
    <w:rsid w:val="00671C92"/>
    <w:rsid w:val="00671DDE"/>
    <w:rsid w:val="0067617B"/>
    <w:rsid w:val="00677729"/>
    <w:rsid w:val="00682348"/>
    <w:rsid w:val="00683235"/>
    <w:rsid w:val="00684FD7"/>
    <w:rsid w:val="0068547B"/>
    <w:rsid w:val="006903D7"/>
    <w:rsid w:val="0069046C"/>
    <w:rsid w:val="00691982"/>
    <w:rsid w:val="00691C16"/>
    <w:rsid w:val="00692D82"/>
    <w:rsid w:val="0069379F"/>
    <w:rsid w:val="00693B2B"/>
    <w:rsid w:val="00694903"/>
    <w:rsid w:val="00695DC2"/>
    <w:rsid w:val="006964F7"/>
    <w:rsid w:val="00696990"/>
    <w:rsid w:val="006A014A"/>
    <w:rsid w:val="006A0CC4"/>
    <w:rsid w:val="006A1820"/>
    <w:rsid w:val="006A1FF5"/>
    <w:rsid w:val="006A4019"/>
    <w:rsid w:val="006A66FB"/>
    <w:rsid w:val="006A6B97"/>
    <w:rsid w:val="006A6FF8"/>
    <w:rsid w:val="006A7C34"/>
    <w:rsid w:val="006A7DD7"/>
    <w:rsid w:val="006B0BBC"/>
    <w:rsid w:val="006B36F6"/>
    <w:rsid w:val="006B531D"/>
    <w:rsid w:val="006C38CF"/>
    <w:rsid w:val="006C3C7E"/>
    <w:rsid w:val="006C42C4"/>
    <w:rsid w:val="006C4B8F"/>
    <w:rsid w:val="006C70A7"/>
    <w:rsid w:val="006C73C9"/>
    <w:rsid w:val="006D0FA3"/>
    <w:rsid w:val="006D15F2"/>
    <w:rsid w:val="006D411E"/>
    <w:rsid w:val="006D5A8C"/>
    <w:rsid w:val="006D65EB"/>
    <w:rsid w:val="006F11FE"/>
    <w:rsid w:val="006F1913"/>
    <w:rsid w:val="006F62EE"/>
    <w:rsid w:val="006F768A"/>
    <w:rsid w:val="00701531"/>
    <w:rsid w:val="0070234C"/>
    <w:rsid w:val="00702B84"/>
    <w:rsid w:val="00703975"/>
    <w:rsid w:val="00704B14"/>
    <w:rsid w:val="0070754D"/>
    <w:rsid w:val="00707820"/>
    <w:rsid w:val="00707ED7"/>
    <w:rsid w:val="00712BE5"/>
    <w:rsid w:val="00712C7E"/>
    <w:rsid w:val="00713C03"/>
    <w:rsid w:val="007143AE"/>
    <w:rsid w:val="0071515F"/>
    <w:rsid w:val="00715765"/>
    <w:rsid w:val="007163D1"/>
    <w:rsid w:val="0071758B"/>
    <w:rsid w:val="007175F0"/>
    <w:rsid w:val="00720848"/>
    <w:rsid w:val="00721F38"/>
    <w:rsid w:val="007222B4"/>
    <w:rsid w:val="007228EB"/>
    <w:rsid w:val="00722FAA"/>
    <w:rsid w:val="00723D1E"/>
    <w:rsid w:val="00723D4B"/>
    <w:rsid w:val="00723DBC"/>
    <w:rsid w:val="007241F8"/>
    <w:rsid w:val="00727026"/>
    <w:rsid w:val="00727574"/>
    <w:rsid w:val="0073287A"/>
    <w:rsid w:val="00732FAC"/>
    <w:rsid w:val="00733F66"/>
    <w:rsid w:val="007404AD"/>
    <w:rsid w:val="00744B3F"/>
    <w:rsid w:val="00744F47"/>
    <w:rsid w:val="00745062"/>
    <w:rsid w:val="007458D4"/>
    <w:rsid w:val="007461FD"/>
    <w:rsid w:val="00746368"/>
    <w:rsid w:val="007473B6"/>
    <w:rsid w:val="00753B2B"/>
    <w:rsid w:val="00756E9A"/>
    <w:rsid w:val="007577A1"/>
    <w:rsid w:val="007601D0"/>
    <w:rsid w:val="0076090C"/>
    <w:rsid w:val="007616EB"/>
    <w:rsid w:val="007633ED"/>
    <w:rsid w:val="00763FED"/>
    <w:rsid w:val="00764DD6"/>
    <w:rsid w:val="00765060"/>
    <w:rsid w:val="007660E7"/>
    <w:rsid w:val="00766AED"/>
    <w:rsid w:val="00767EDC"/>
    <w:rsid w:val="0077150E"/>
    <w:rsid w:val="007718CB"/>
    <w:rsid w:val="00771DB2"/>
    <w:rsid w:val="0077296A"/>
    <w:rsid w:val="00775122"/>
    <w:rsid w:val="007751E5"/>
    <w:rsid w:val="007762BC"/>
    <w:rsid w:val="00777041"/>
    <w:rsid w:val="00777EF3"/>
    <w:rsid w:val="00780BBA"/>
    <w:rsid w:val="007811C5"/>
    <w:rsid w:val="00781479"/>
    <w:rsid w:val="00782987"/>
    <w:rsid w:val="00782C42"/>
    <w:rsid w:val="007846DF"/>
    <w:rsid w:val="00785481"/>
    <w:rsid w:val="00786AFC"/>
    <w:rsid w:val="007870D3"/>
    <w:rsid w:val="00787479"/>
    <w:rsid w:val="00790E65"/>
    <w:rsid w:val="0079432A"/>
    <w:rsid w:val="00794583"/>
    <w:rsid w:val="00795A9D"/>
    <w:rsid w:val="00796F8B"/>
    <w:rsid w:val="00797A1F"/>
    <w:rsid w:val="007A47D7"/>
    <w:rsid w:val="007A50C2"/>
    <w:rsid w:val="007A5E08"/>
    <w:rsid w:val="007A6E05"/>
    <w:rsid w:val="007B03F1"/>
    <w:rsid w:val="007B046E"/>
    <w:rsid w:val="007B0706"/>
    <w:rsid w:val="007B293E"/>
    <w:rsid w:val="007B5706"/>
    <w:rsid w:val="007B666B"/>
    <w:rsid w:val="007B6BED"/>
    <w:rsid w:val="007B79B9"/>
    <w:rsid w:val="007C2D3D"/>
    <w:rsid w:val="007C2F53"/>
    <w:rsid w:val="007C423A"/>
    <w:rsid w:val="007C5ACF"/>
    <w:rsid w:val="007C6430"/>
    <w:rsid w:val="007C66B3"/>
    <w:rsid w:val="007C7431"/>
    <w:rsid w:val="007C75A3"/>
    <w:rsid w:val="007D40B0"/>
    <w:rsid w:val="007D4345"/>
    <w:rsid w:val="007D5D9E"/>
    <w:rsid w:val="007D688A"/>
    <w:rsid w:val="007E03E0"/>
    <w:rsid w:val="007E09C1"/>
    <w:rsid w:val="007E34C2"/>
    <w:rsid w:val="007E38AE"/>
    <w:rsid w:val="007E4451"/>
    <w:rsid w:val="007E6A69"/>
    <w:rsid w:val="007F2591"/>
    <w:rsid w:val="007F3B10"/>
    <w:rsid w:val="007F4DA0"/>
    <w:rsid w:val="007F6B8F"/>
    <w:rsid w:val="007F7108"/>
    <w:rsid w:val="00802506"/>
    <w:rsid w:val="00802CBE"/>
    <w:rsid w:val="008041C4"/>
    <w:rsid w:val="008042DA"/>
    <w:rsid w:val="00807B94"/>
    <w:rsid w:val="008106E1"/>
    <w:rsid w:val="008116A8"/>
    <w:rsid w:val="00812670"/>
    <w:rsid w:val="00812EF9"/>
    <w:rsid w:val="0081483D"/>
    <w:rsid w:val="008168EA"/>
    <w:rsid w:val="00817609"/>
    <w:rsid w:val="00821D0E"/>
    <w:rsid w:val="00821D1B"/>
    <w:rsid w:val="00821F93"/>
    <w:rsid w:val="008221D1"/>
    <w:rsid w:val="00822BF0"/>
    <w:rsid w:val="00824F13"/>
    <w:rsid w:val="008257B5"/>
    <w:rsid w:val="00825B07"/>
    <w:rsid w:val="00825C9E"/>
    <w:rsid w:val="0082668B"/>
    <w:rsid w:val="0083269D"/>
    <w:rsid w:val="00833200"/>
    <w:rsid w:val="00834348"/>
    <w:rsid w:val="00834B41"/>
    <w:rsid w:val="00835B7B"/>
    <w:rsid w:val="008379DB"/>
    <w:rsid w:val="008437FF"/>
    <w:rsid w:val="00845817"/>
    <w:rsid w:val="00847481"/>
    <w:rsid w:val="0085443F"/>
    <w:rsid w:val="00854BAC"/>
    <w:rsid w:val="00854CE8"/>
    <w:rsid w:val="00855186"/>
    <w:rsid w:val="008552FC"/>
    <w:rsid w:val="00855630"/>
    <w:rsid w:val="0085581C"/>
    <w:rsid w:val="00856451"/>
    <w:rsid w:val="008603A5"/>
    <w:rsid w:val="00862D9A"/>
    <w:rsid w:val="00863492"/>
    <w:rsid w:val="008637D5"/>
    <w:rsid w:val="00863EDE"/>
    <w:rsid w:val="00865FB8"/>
    <w:rsid w:val="00873467"/>
    <w:rsid w:val="008748B2"/>
    <w:rsid w:val="00875E00"/>
    <w:rsid w:val="00876AC5"/>
    <w:rsid w:val="00880228"/>
    <w:rsid w:val="008867E5"/>
    <w:rsid w:val="00886A4D"/>
    <w:rsid w:val="00890136"/>
    <w:rsid w:val="00890861"/>
    <w:rsid w:val="00891D5C"/>
    <w:rsid w:val="008923E7"/>
    <w:rsid w:val="0089430A"/>
    <w:rsid w:val="008947CE"/>
    <w:rsid w:val="0089619B"/>
    <w:rsid w:val="008A046A"/>
    <w:rsid w:val="008A39E7"/>
    <w:rsid w:val="008A40A7"/>
    <w:rsid w:val="008A63E5"/>
    <w:rsid w:val="008A73A4"/>
    <w:rsid w:val="008A7700"/>
    <w:rsid w:val="008B0FEF"/>
    <w:rsid w:val="008B17D9"/>
    <w:rsid w:val="008B24EF"/>
    <w:rsid w:val="008B6A59"/>
    <w:rsid w:val="008B7820"/>
    <w:rsid w:val="008C1600"/>
    <w:rsid w:val="008C177E"/>
    <w:rsid w:val="008C5775"/>
    <w:rsid w:val="008C5AD8"/>
    <w:rsid w:val="008D0281"/>
    <w:rsid w:val="008D0DBC"/>
    <w:rsid w:val="008D1426"/>
    <w:rsid w:val="008D2120"/>
    <w:rsid w:val="008D21DA"/>
    <w:rsid w:val="008D22FA"/>
    <w:rsid w:val="008D2357"/>
    <w:rsid w:val="008D2747"/>
    <w:rsid w:val="008D3093"/>
    <w:rsid w:val="008D51CF"/>
    <w:rsid w:val="008E063E"/>
    <w:rsid w:val="008E2927"/>
    <w:rsid w:val="008E55EF"/>
    <w:rsid w:val="008E6550"/>
    <w:rsid w:val="008F05B3"/>
    <w:rsid w:val="008F08FD"/>
    <w:rsid w:val="008F1D3A"/>
    <w:rsid w:val="008F2AB9"/>
    <w:rsid w:val="008F40AD"/>
    <w:rsid w:val="008F43BE"/>
    <w:rsid w:val="008F464F"/>
    <w:rsid w:val="008F6966"/>
    <w:rsid w:val="008F74B6"/>
    <w:rsid w:val="008F76BA"/>
    <w:rsid w:val="008F7A1B"/>
    <w:rsid w:val="00900D2B"/>
    <w:rsid w:val="00900F43"/>
    <w:rsid w:val="00901027"/>
    <w:rsid w:val="00901FDC"/>
    <w:rsid w:val="00904EDD"/>
    <w:rsid w:val="00907334"/>
    <w:rsid w:val="00911621"/>
    <w:rsid w:val="009158BE"/>
    <w:rsid w:val="00920F4C"/>
    <w:rsid w:val="0092441F"/>
    <w:rsid w:val="009249D8"/>
    <w:rsid w:val="00924B51"/>
    <w:rsid w:val="009269F9"/>
    <w:rsid w:val="0093149D"/>
    <w:rsid w:val="00931856"/>
    <w:rsid w:val="00932BCB"/>
    <w:rsid w:val="00933F2E"/>
    <w:rsid w:val="0093636B"/>
    <w:rsid w:val="00937253"/>
    <w:rsid w:val="00940492"/>
    <w:rsid w:val="00941627"/>
    <w:rsid w:val="00941C84"/>
    <w:rsid w:val="0094239F"/>
    <w:rsid w:val="009438ED"/>
    <w:rsid w:val="00944ED9"/>
    <w:rsid w:val="009450A5"/>
    <w:rsid w:val="00945F7B"/>
    <w:rsid w:val="00950E93"/>
    <w:rsid w:val="009542EB"/>
    <w:rsid w:val="00955497"/>
    <w:rsid w:val="00956E30"/>
    <w:rsid w:val="00957C43"/>
    <w:rsid w:val="00961A38"/>
    <w:rsid w:val="009640CD"/>
    <w:rsid w:val="00965E6F"/>
    <w:rsid w:val="00973DA1"/>
    <w:rsid w:val="009756E9"/>
    <w:rsid w:val="00976511"/>
    <w:rsid w:val="009769CA"/>
    <w:rsid w:val="0098189E"/>
    <w:rsid w:val="0098192D"/>
    <w:rsid w:val="00982403"/>
    <w:rsid w:val="00982530"/>
    <w:rsid w:val="00983CB5"/>
    <w:rsid w:val="0098452A"/>
    <w:rsid w:val="00984A02"/>
    <w:rsid w:val="00987053"/>
    <w:rsid w:val="009875FE"/>
    <w:rsid w:val="009900BC"/>
    <w:rsid w:val="00990C3F"/>
    <w:rsid w:val="009918FE"/>
    <w:rsid w:val="00991D18"/>
    <w:rsid w:val="00992A63"/>
    <w:rsid w:val="00992CA8"/>
    <w:rsid w:val="00992CFB"/>
    <w:rsid w:val="0099304D"/>
    <w:rsid w:val="009943D7"/>
    <w:rsid w:val="00995FE9"/>
    <w:rsid w:val="00996949"/>
    <w:rsid w:val="009A362E"/>
    <w:rsid w:val="009A3BB3"/>
    <w:rsid w:val="009A4715"/>
    <w:rsid w:val="009A4A35"/>
    <w:rsid w:val="009A5B5E"/>
    <w:rsid w:val="009A6879"/>
    <w:rsid w:val="009A6BEF"/>
    <w:rsid w:val="009A7081"/>
    <w:rsid w:val="009A7175"/>
    <w:rsid w:val="009B084B"/>
    <w:rsid w:val="009B0C24"/>
    <w:rsid w:val="009B1469"/>
    <w:rsid w:val="009B1CAA"/>
    <w:rsid w:val="009B27C4"/>
    <w:rsid w:val="009B3C2A"/>
    <w:rsid w:val="009B4A44"/>
    <w:rsid w:val="009B4A78"/>
    <w:rsid w:val="009B768A"/>
    <w:rsid w:val="009C06A5"/>
    <w:rsid w:val="009C1F20"/>
    <w:rsid w:val="009C3465"/>
    <w:rsid w:val="009C4295"/>
    <w:rsid w:val="009D2244"/>
    <w:rsid w:val="009D34CF"/>
    <w:rsid w:val="009D3C37"/>
    <w:rsid w:val="009D4FD8"/>
    <w:rsid w:val="009D51D5"/>
    <w:rsid w:val="009D5DFA"/>
    <w:rsid w:val="009D6075"/>
    <w:rsid w:val="009D6B73"/>
    <w:rsid w:val="009E1283"/>
    <w:rsid w:val="009E1836"/>
    <w:rsid w:val="009E39BC"/>
    <w:rsid w:val="009E5223"/>
    <w:rsid w:val="009F0D8D"/>
    <w:rsid w:val="009F2A77"/>
    <w:rsid w:val="009F47DB"/>
    <w:rsid w:val="009F7378"/>
    <w:rsid w:val="009F73CD"/>
    <w:rsid w:val="00A001B6"/>
    <w:rsid w:val="00A003B4"/>
    <w:rsid w:val="00A07CFA"/>
    <w:rsid w:val="00A11BDB"/>
    <w:rsid w:val="00A13CF9"/>
    <w:rsid w:val="00A14981"/>
    <w:rsid w:val="00A15064"/>
    <w:rsid w:val="00A172A7"/>
    <w:rsid w:val="00A17C2B"/>
    <w:rsid w:val="00A21777"/>
    <w:rsid w:val="00A23570"/>
    <w:rsid w:val="00A23DB4"/>
    <w:rsid w:val="00A240CE"/>
    <w:rsid w:val="00A25E21"/>
    <w:rsid w:val="00A274D3"/>
    <w:rsid w:val="00A32312"/>
    <w:rsid w:val="00A32C2C"/>
    <w:rsid w:val="00A33385"/>
    <w:rsid w:val="00A35EC0"/>
    <w:rsid w:val="00A4001B"/>
    <w:rsid w:val="00A40044"/>
    <w:rsid w:val="00A413AB"/>
    <w:rsid w:val="00A41456"/>
    <w:rsid w:val="00A43331"/>
    <w:rsid w:val="00A4433C"/>
    <w:rsid w:val="00A50888"/>
    <w:rsid w:val="00A5154C"/>
    <w:rsid w:val="00A51869"/>
    <w:rsid w:val="00A51C79"/>
    <w:rsid w:val="00A51D61"/>
    <w:rsid w:val="00A52BA5"/>
    <w:rsid w:val="00A55590"/>
    <w:rsid w:val="00A56433"/>
    <w:rsid w:val="00A56D37"/>
    <w:rsid w:val="00A572CC"/>
    <w:rsid w:val="00A57A83"/>
    <w:rsid w:val="00A627E2"/>
    <w:rsid w:val="00A63842"/>
    <w:rsid w:val="00A65221"/>
    <w:rsid w:val="00A65C06"/>
    <w:rsid w:val="00A66C4C"/>
    <w:rsid w:val="00A66CFC"/>
    <w:rsid w:val="00A70B1E"/>
    <w:rsid w:val="00A72C06"/>
    <w:rsid w:val="00A744E5"/>
    <w:rsid w:val="00A76E22"/>
    <w:rsid w:val="00A807D9"/>
    <w:rsid w:val="00A80B3A"/>
    <w:rsid w:val="00A82BF2"/>
    <w:rsid w:val="00A84088"/>
    <w:rsid w:val="00A858CD"/>
    <w:rsid w:val="00A865A2"/>
    <w:rsid w:val="00A8769C"/>
    <w:rsid w:val="00A9612A"/>
    <w:rsid w:val="00A96248"/>
    <w:rsid w:val="00A97805"/>
    <w:rsid w:val="00A97FE5"/>
    <w:rsid w:val="00AA15A3"/>
    <w:rsid w:val="00AA187B"/>
    <w:rsid w:val="00AA26C2"/>
    <w:rsid w:val="00AA308F"/>
    <w:rsid w:val="00AA5755"/>
    <w:rsid w:val="00AA753F"/>
    <w:rsid w:val="00AA7FAA"/>
    <w:rsid w:val="00AB2B14"/>
    <w:rsid w:val="00AB3AAF"/>
    <w:rsid w:val="00AB3CFE"/>
    <w:rsid w:val="00AB474F"/>
    <w:rsid w:val="00AB4CAA"/>
    <w:rsid w:val="00AB6148"/>
    <w:rsid w:val="00AB6218"/>
    <w:rsid w:val="00AC347D"/>
    <w:rsid w:val="00AC5756"/>
    <w:rsid w:val="00AC5C33"/>
    <w:rsid w:val="00AC7ED1"/>
    <w:rsid w:val="00AD121C"/>
    <w:rsid w:val="00AD17AC"/>
    <w:rsid w:val="00AD47DA"/>
    <w:rsid w:val="00AD4AD7"/>
    <w:rsid w:val="00AD5212"/>
    <w:rsid w:val="00AD72E9"/>
    <w:rsid w:val="00AE1A37"/>
    <w:rsid w:val="00AE4235"/>
    <w:rsid w:val="00AE486F"/>
    <w:rsid w:val="00AE7A6D"/>
    <w:rsid w:val="00AF03F1"/>
    <w:rsid w:val="00AF307D"/>
    <w:rsid w:val="00AF552B"/>
    <w:rsid w:val="00AF5542"/>
    <w:rsid w:val="00AF7C1A"/>
    <w:rsid w:val="00B023D2"/>
    <w:rsid w:val="00B04514"/>
    <w:rsid w:val="00B04B24"/>
    <w:rsid w:val="00B05A6C"/>
    <w:rsid w:val="00B05A77"/>
    <w:rsid w:val="00B05EBD"/>
    <w:rsid w:val="00B07527"/>
    <w:rsid w:val="00B079D2"/>
    <w:rsid w:val="00B07BDC"/>
    <w:rsid w:val="00B10101"/>
    <w:rsid w:val="00B1210C"/>
    <w:rsid w:val="00B139C9"/>
    <w:rsid w:val="00B14455"/>
    <w:rsid w:val="00B15FE5"/>
    <w:rsid w:val="00B16463"/>
    <w:rsid w:val="00B17EAA"/>
    <w:rsid w:val="00B17EF3"/>
    <w:rsid w:val="00B23138"/>
    <w:rsid w:val="00B23EEF"/>
    <w:rsid w:val="00B24A3B"/>
    <w:rsid w:val="00B27DC7"/>
    <w:rsid w:val="00B31400"/>
    <w:rsid w:val="00B33389"/>
    <w:rsid w:val="00B353DC"/>
    <w:rsid w:val="00B36D5C"/>
    <w:rsid w:val="00B4191F"/>
    <w:rsid w:val="00B4196A"/>
    <w:rsid w:val="00B41B2F"/>
    <w:rsid w:val="00B42CE2"/>
    <w:rsid w:val="00B4311A"/>
    <w:rsid w:val="00B440EB"/>
    <w:rsid w:val="00B459F0"/>
    <w:rsid w:val="00B45D90"/>
    <w:rsid w:val="00B50BA1"/>
    <w:rsid w:val="00B516F3"/>
    <w:rsid w:val="00B51720"/>
    <w:rsid w:val="00B52183"/>
    <w:rsid w:val="00B522E3"/>
    <w:rsid w:val="00B559F2"/>
    <w:rsid w:val="00B55C6D"/>
    <w:rsid w:val="00B56735"/>
    <w:rsid w:val="00B57752"/>
    <w:rsid w:val="00B616DA"/>
    <w:rsid w:val="00B61739"/>
    <w:rsid w:val="00B62759"/>
    <w:rsid w:val="00B6353C"/>
    <w:rsid w:val="00B643E2"/>
    <w:rsid w:val="00B65AC3"/>
    <w:rsid w:val="00B66E54"/>
    <w:rsid w:val="00B70CAE"/>
    <w:rsid w:val="00B7229D"/>
    <w:rsid w:val="00B73003"/>
    <w:rsid w:val="00B73240"/>
    <w:rsid w:val="00B73BC4"/>
    <w:rsid w:val="00B7570B"/>
    <w:rsid w:val="00B766B3"/>
    <w:rsid w:val="00B83945"/>
    <w:rsid w:val="00B83A1F"/>
    <w:rsid w:val="00B85B55"/>
    <w:rsid w:val="00B86300"/>
    <w:rsid w:val="00B87299"/>
    <w:rsid w:val="00B9063A"/>
    <w:rsid w:val="00B951F1"/>
    <w:rsid w:val="00B96174"/>
    <w:rsid w:val="00B97094"/>
    <w:rsid w:val="00B97A48"/>
    <w:rsid w:val="00B97F13"/>
    <w:rsid w:val="00BA055E"/>
    <w:rsid w:val="00BA3C61"/>
    <w:rsid w:val="00BA5267"/>
    <w:rsid w:val="00BA6850"/>
    <w:rsid w:val="00BA7758"/>
    <w:rsid w:val="00BA7FC3"/>
    <w:rsid w:val="00BB0643"/>
    <w:rsid w:val="00BB1764"/>
    <w:rsid w:val="00BB38CA"/>
    <w:rsid w:val="00BB7D05"/>
    <w:rsid w:val="00BB7D1E"/>
    <w:rsid w:val="00BC2328"/>
    <w:rsid w:val="00BC2F4C"/>
    <w:rsid w:val="00BC50F9"/>
    <w:rsid w:val="00BC649B"/>
    <w:rsid w:val="00BC6700"/>
    <w:rsid w:val="00BC6EE8"/>
    <w:rsid w:val="00BC78FB"/>
    <w:rsid w:val="00BD5591"/>
    <w:rsid w:val="00BE1481"/>
    <w:rsid w:val="00BE2A8C"/>
    <w:rsid w:val="00BE2AB2"/>
    <w:rsid w:val="00BE4AC9"/>
    <w:rsid w:val="00BE4CED"/>
    <w:rsid w:val="00BF2124"/>
    <w:rsid w:val="00BF2711"/>
    <w:rsid w:val="00BF3A46"/>
    <w:rsid w:val="00BF477A"/>
    <w:rsid w:val="00BF4B1F"/>
    <w:rsid w:val="00BF5C24"/>
    <w:rsid w:val="00C02782"/>
    <w:rsid w:val="00C032DC"/>
    <w:rsid w:val="00C039A9"/>
    <w:rsid w:val="00C05321"/>
    <w:rsid w:val="00C060DB"/>
    <w:rsid w:val="00C069D2"/>
    <w:rsid w:val="00C07C7B"/>
    <w:rsid w:val="00C116E0"/>
    <w:rsid w:val="00C1251F"/>
    <w:rsid w:val="00C12B1B"/>
    <w:rsid w:val="00C1415D"/>
    <w:rsid w:val="00C17BAD"/>
    <w:rsid w:val="00C22E56"/>
    <w:rsid w:val="00C2377F"/>
    <w:rsid w:val="00C2534C"/>
    <w:rsid w:val="00C25621"/>
    <w:rsid w:val="00C265E2"/>
    <w:rsid w:val="00C27554"/>
    <w:rsid w:val="00C278D0"/>
    <w:rsid w:val="00C31098"/>
    <w:rsid w:val="00C32569"/>
    <w:rsid w:val="00C34A2A"/>
    <w:rsid w:val="00C34CD5"/>
    <w:rsid w:val="00C36DAC"/>
    <w:rsid w:val="00C3749D"/>
    <w:rsid w:val="00C37976"/>
    <w:rsid w:val="00C37F1A"/>
    <w:rsid w:val="00C4142D"/>
    <w:rsid w:val="00C41C45"/>
    <w:rsid w:val="00C431BA"/>
    <w:rsid w:val="00C43454"/>
    <w:rsid w:val="00C43D41"/>
    <w:rsid w:val="00C44CA5"/>
    <w:rsid w:val="00C4731D"/>
    <w:rsid w:val="00C5010E"/>
    <w:rsid w:val="00C51BE6"/>
    <w:rsid w:val="00C51E7C"/>
    <w:rsid w:val="00C52E9E"/>
    <w:rsid w:val="00C536FD"/>
    <w:rsid w:val="00C55904"/>
    <w:rsid w:val="00C6163A"/>
    <w:rsid w:val="00C62BA1"/>
    <w:rsid w:val="00C63C51"/>
    <w:rsid w:val="00C63FF7"/>
    <w:rsid w:val="00C6467D"/>
    <w:rsid w:val="00C66420"/>
    <w:rsid w:val="00C7036D"/>
    <w:rsid w:val="00C720EB"/>
    <w:rsid w:val="00C739CE"/>
    <w:rsid w:val="00C747A6"/>
    <w:rsid w:val="00C7506E"/>
    <w:rsid w:val="00C76613"/>
    <w:rsid w:val="00C84F9E"/>
    <w:rsid w:val="00C86D36"/>
    <w:rsid w:val="00C928E1"/>
    <w:rsid w:val="00C9441A"/>
    <w:rsid w:val="00C95A0C"/>
    <w:rsid w:val="00C960AF"/>
    <w:rsid w:val="00C96271"/>
    <w:rsid w:val="00CA1154"/>
    <w:rsid w:val="00CA2F79"/>
    <w:rsid w:val="00CA378A"/>
    <w:rsid w:val="00CA426D"/>
    <w:rsid w:val="00CA4A65"/>
    <w:rsid w:val="00CA54E8"/>
    <w:rsid w:val="00CA5BD8"/>
    <w:rsid w:val="00CA7E33"/>
    <w:rsid w:val="00CB1219"/>
    <w:rsid w:val="00CB29F3"/>
    <w:rsid w:val="00CB2E08"/>
    <w:rsid w:val="00CB4B75"/>
    <w:rsid w:val="00CB70EB"/>
    <w:rsid w:val="00CC0579"/>
    <w:rsid w:val="00CC228C"/>
    <w:rsid w:val="00CC25A5"/>
    <w:rsid w:val="00CC3292"/>
    <w:rsid w:val="00CC4360"/>
    <w:rsid w:val="00CC4703"/>
    <w:rsid w:val="00CC6454"/>
    <w:rsid w:val="00CD1CFA"/>
    <w:rsid w:val="00CD2B4D"/>
    <w:rsid w:val="00CD3841"/>
    <w:rsid w:val="00CD3BE1"/>
    <w:rsid w:val="00CD597C"/>
    <w:rsid w:val="00CD6F7C"/>
    <w:rsid w:val="00CE0A3E"/>
    <w:rsid w:val="00CE0B0C"/>
    <w:rsid w:val="00CE2AA8"/>
    <w:rsid w:val="00CE2DE8"/>
    <w:rsid w:val="00CE33CF"/>
    <w:rsid w:val="00CE44A3"/>
    <w:rsid w:val="00CE4C35"/>
    <w:rsid w:val="00CE6426"/>
    <w:rsid w:val="00CE683D"/>
    <w:rsid w:val="00CE7101"/>
    <w:rsid w:val="00CE74BC"/>
    <w:rsid w:val="00CE74E9"/>
    <w:rsid w:val="00CF20C9"/>
    <w:rsid w:val="00CF2387"/>
    <w:rsid w:val="00CF2E95"/>
    <w:rsid w:val="00CF41AA"/>
    <w:rsid w:val="00CF7156"/>
    <w:rsid w:val="00D02CA6"/>
    <w:rsid w:val="00D03E4F"/>
    <w:rsid w:val="00D04DE7"/>
    <w:rsid w:val="00D05303"/>
    <w:rsid w:val="00D05667"/>
    <w:rsid w:val="00D06EA9"/>
    <w:rsid w:val="00D07750"/>
    <w:rsid w:val="00D07E94"/>
    <w:rsid w:val="00D10FF4"/>
    <w:rsid w:val="00D12B9B"/>
    <w:rsid w:val="00D14D15"/>
    <w:rsid w:val="00D15188"/>
    <w:rsid w:val="00D159B0"/>
    <w:rsid w:val="00D16DF4"/>
    <w:rsid w:val="00D21245"/>
    <w:rsid w:val="00D24844"/>
    <w:rsid w:val="00D25165"/>
    <w:rsid w:val="00D30152"/>
    <w:rsid w:val="00D31222"/>
    <w:rsid w:val="00D314E3"/>
    <w:rsid w:val="00D333C0"/>
    <w:rsid w:val="00D33BA1"/>
    <w:rsid w:val="00D36F75"/>
    <w:rsid w:val="00D372FD"/>
    <w:rsid w:val="00D40383"/>
    <w:rsid w:val="00D40FCB"/>
    <w:rsid w:val="00D41D62"/>
    <w:rsid w:val="00D43EBC"/>
    <w:rsid w:val="00D443CF"/>
    <w:rsid w:val="00D44DAF"/>
    <w:rsid w:val="00D468D2"/>
    <w:rsid w:val="00D47570"/>
    <w:rsid w:val="00D47D0F"/>
    <w:rsid w:val="00D516CA"/>
    <w:rsid w:val="00D51FCD"/>
    <w:rsid w:val="00D52884"/>
    <w:rsid w:val="00D55FEC"/>
    <w:rsid w:val="00D60B65"/>
    <w:rsid w:val="00D6135B"/>
    <w:rsid w:val="00D62D91"/>
    <w:rsid w:val="00D63F04"/>
    <w:rsid w:val="00D63FD2"/>
    <w:rsid w:val="00D748CB"/>
    <w:rsid w:val="00D74B6D"/>
    <w:rsid w:val="00D74E9B"/>
    <w:rsid w:val="00D74F7B"/>
    <w:rsid w:val="00D7546D"/>
    <w:rsid w:val="00D76E69"/>
    <w:rsid w:val="00D77307"/>
    <w:rsid w:val="00D80159"/>
    <w:rsid w:val="00D85C18"/>
    <w:rsid w:val="00D864AB"/>
    <w:rsid w:val="00D86933"/>
    <w:rsid w:val="00D97FC0"/>
    <w:rsid w:val="00DA28B7"/>
    <w:rsid w:val="00DA2B49"/>
    <w:rsid w:val="00DA2BF0"/>
    <w:rsid w:val="00DA380D"/>
    <w:rsid w:val="00DA3B36"/>
    <w:rsid w:val="00DA3EFB"/>
    <w:rsid w:val="00DA47F3"/>
    <w:rsid w:val="00DA5D1A"/>
    <w:rsid w:val="00DA6948"/>
    <w:rsid w:val="00DA7003"/>
    <w:rsid w:val="00DB3E66"/>
    <w:rsid w:val="00DB54DB"/>
    <w:rsid w:val="00DB560D"/>
    <w:rsid w:val="00DB6BB1"/>
    <w:rsid w:val="00DB78AA"/>
    <w:rsid w:val="00DC1CAF"/>
    <w:rsid w:val="00DC1E21"/>
    <w:rsid w:val="00DC2374"/>
    <w:rsid w:val="00DC2988"/>
    <w:rsid w:val="00DC2F9C"/>
    <w:rsid w:val="00DC5015"/>
    <w:rsid w:val="00DC581E"/>
    <w:rsid w:val="00DC6508"/>
    <w:rsid w:val="00DD270F"/>
    <w:rsid w:val="00DD40E3"/>
    <w:rsid w:val="00DE091C"/>
    <w:rsid w:val="00DE1A5D"/>
    <w:rsid w:val="00DE2D3F"/>
    <w:rsid w:val="00DE43E5"/>
    <w:rsid w:val="00DE7EB7"/>
    <w:rsid w:val="00DF14BC"/>
    <w:rsid w:val="00DF20C6"/>
    <w:rsid w:val="00DF2133"/>
    <w:rsid w:val="00DF5195"/>
    <w:rsid w:val="00DF590F"/>
    <w:rsid w:val="00DF69FC"/>
    <w:rsid w:val="00DF7DB0"/>
    <w:rsid w:val="00E02101"/>
    <w:rsid w:val="00E0262D"/>
    <w:rsid w:val="00E02FAE"/>
    <w:rsid w:val="00E0410B"/>
    <w:rsid w:val="00E0537D"/>
    <w:rsid w:val="00E0675B"/>
    <w:rsid w:val="00E067A3"/>
    <w:rsid w:val="00E07165"/>
    <w:rsid w:val="00E073E7"/>
    <w:rsid w:val="00E112C1"/>
    <w:rsid w:val="00E121E8"/>
    <w:rsid w:val="00E12F6B"/>
    <w:rsid w:val="00E13391"/>
    <w:rsid w:val="00E14045"/>
    <w:rsid w:val="00E141E8"/>
    <w:rsid w:val="00E200BA"/>
    <w:rsid w:val="00E22428"/>
    <w:rsid w:val="00E23BA5"/>
    <w:rsid w:val="00E30CDA"/>
    <w:rsid w:val="00E3432D"/>
    <w:rsid w:val="00E3490A"/>
    <w:rsid w:val="00E40E21"/>
    <w:rsid w:val="00E419B6"/>
    <w:rsid w:val="00E42156"/>
    <w:rsid w:val="00E428EF"/>
    <w:rsid w:val="00E433A8"/>
    <w:rsid w:val="00E44D97"/>
    <w:rsid w:val="00E4638C"/>
    <w:rsid w:val="00E51805"/>
    <w:rsid w:val="00E51AD2"/>
    <w:rsid w:val="00E52BA8"/>
    <w:rsid w:val="00E54706"/>
    <w:rsid w:val="00E559C7"/>
    <w:rsid w:val="00E55DD6"/>
    <w:rsid w:val="00E56829"/>
    <w:rsid w:val="00E57467"/>
    <w:rsid w:val="00E57D04"/>
    <w:rsid w:val="00E57E63"/>
    <w:rsid w:val="00E60907"/>
    <w:rsid w:val="00E651D7"/>
    <w:rsid w:val="00E65ED9"/>
    <w:rsid w:val="00E67B66"/>
    <w:rsid w:val="00E67D2A"/>
    <w:rsid w:val="00E67F2F"/>
    <w:rsid w:val="00E7120F"/>
    <w:rsid w:val="00E7138D"/>
    <w:rsid w:val="00E71B8D"/>
    <w:rsid w:val="00E71E1D"/>
    <w:rsid w:val="00E72105"/>
    <w:rsid w:val="00E73900"/>
    <w:rsid w:val="00E73AB4"/>
    <w:rsid w:val="00E73B4C"/>
    <w:rsid w:val="00E8054B"/>
    <w:rsid w:val="00E81E89"/>
    <w:rsid w:val="00E84787"/>
    <w:rsid w:val="00E84CA8"/>
    <w:rsid w:val="00E85F76"/>
    <w:rsid w:val="00E860CC"/>
    <w:rsid w:val="00E871B9"/>
    <w:rsid w:val="00E873DC"/>
    <w:rsid w:val="00E90602"/>
    <w:rsid w:val="00E90EED"/>
    <w:rsid w:val="00E913ED"/>
    <w:rsid w:val="00E91D5E"/>
    <w:rsid w:val="00E92338"/>
    <w:rsid w:val="00E92688"/>
    <w:rsid w:val="00E942D8"/>
    <w:rsid w:val="00E96107"/>
    <w:rsid w:val="00E969BB"/>
    <w:rsid w:val="00E96FF7"/>
    <w:rsid w:val="00EA0AF4"/>
    <w:rsid w:val="00EA142D"/>
    <w:rsid w:val="00EA1C34"/>
    <w:rsid w:val="00EA256E"/>
    <w:rsid w:val="00EA2DEB"/>
    <w:rsid w:val="00EA6E7F"/>
    <w:rsid w:val="00EB057C"/>
    <w:rsid w:val="00EB1211"/>
    <w:rsid w:val="00EB1619"/>
    <w:rsid w:val="00EB55A2"/>
    <w:rsid w:val="00EB5CCC"/>
    <w:rsid w:val="00EB60C1"/>
    <w:rsid w:val="00EC1658"/>
    <w:rsid w:val="00EC18DE"/>
    <w:rsid w:val="00EC1C07"/>
    <w:rsid w:val="00EC1D9B"/>
    <w:rsid w:val="00EC418A"/>
    <w:rsid w:val="00EC4888"/>
    <w:rsid w:val="00EC693A"/>
    <w:rsid w:val="00EC6E22"/>
    <w:rsid w:val="00EC7000"/>
    <w:rsid w:val="00EC77BB"/>
    <w:rsid w:val="00ED7CB6"/>
    <w:rsid w:val="00ED7ED6"/>
    <w:rsid w:val="00EE0A0D"/>
    <w:rsid w:val="00EE2D98"/>
    <w:rsid w:val="00EE3590"/>
    <w:rsid w:val="00EE3B2B"/>
    <w:rsid w:val="00EE44C9"/>
    <w:rsid w:val="00EF1260"/>
    <w:rsid w:val="00EF4963"/>
    <w:rsid w:val="00EF5459"/>
    <w:rsid w:val="00EF5987"/>
    <w:rsid w:val="00F002F5"/>
    <w:rsid w:val="00F01CF8"/>
    <w:rsid w:val="00F02F42"/>
    <w:rsid w:val="00F03B8D"/>
    <w:rsid w:val="00F05708"/>
    <w:rsid w:val="00F05F59"/>
    <w:rsid w:val="00F065F1"/>
    <w:rsid w:val="00F0789E"/>
    <w:rsid w:val="00F11095"/>
    <w:rsid w:val="00F1559F"/>
    <w:rsid w:val="00F159F3"/>
    <w:rsid w:val="00F1687B"/>
    <w:rsid w:val="00F1721B"/>
    <w:rsid w:val="00F17590"/>
    <w:rsid w:val="00F21738"/>
    <w:rsid w:val="00F21880"/>
    <w:rsid w:val="00F21F10"/>
    <w:rsid w:val="00F235F5"/>
    <w:rsid w:val="00F23944"/>
    <w:rsid w:val="00F24375"/>
    <w:rsid w:val="00F252C8"/>
    <w:rsid w:val="00F27F3A"/>
    <w:rsid w:val="00F305CA"/>
    <w:rsid w:val="00F3072F"/>
    <w:rsid w:val="00F330E7"/>
    <w:rsid w:val="00F33219"/>
    <w:rsid w:val="00F34FEA"/>
    <w:rsid w:val="00F3503E"/>
    <w:rsid w:val="00F35D9E"/>
    <w:rsid w:val="00F40D12"/>
    <w:rsid w:val="00F4121B"/>
    <w:rsid w:val="00F42089"/>
    <w:rsid w:val="00F42B1D"/>
    <w:rsid w:val="00F44D27"/>
    <w:rsid w:val="00F53C1A"/>
    <w:rsid w:val="00F5540A"/>
    <w:rsid w:val="00F602CC"/>
    <w:rsid w:val="00F61545"/>
    <w:rsid w:val="00F635FD"/>
    <w:rsid w:val="00F674FA"/>
    <w:rsid w:val="00F67D5D"/>
    <w:rsid w:val="00F67E58"/>
    <w:rsid w:val="00F701AA"/>
    <w:rsid w:val="00F71450"/>
    <w:rsid w:val="00F71E22"/>
    <w:rsid w:val="00F722D1"/>
    <w:rsid w:val="00F724B8"/>
    <w:rsid w:val="00F72D67"/>
    <w:rsid w:val="00F73D7C"/>
    <w:rsid w:val="00F768EF"/>
    <w:rsid w:val="00F773AF"/>
    <w:rsid w:val="00F77BB3"/>
    <w:rsid w:val="00F805C9"/>
    <w:rsid w:val="00F80A68"/>
    <w:rsid w:val="00F822E8"/>
    <w:rsid w:val="00F82FB3"/>
    <w:rsid w:val="00F9000B"/>
    <w:rsid w:val="00F90761"/>
    <w:rsid w:val="00F946E6"/>
    <w:rsid w:val="00F96689"/>
    <w:rsid w:val="00F9765D"/>
    <w:rsid w:val="00F97BE8"/>
    <w:rsid w:val="00F97CBE"/>
    <w:rsid w:val="00FA02CA"/>
    <w:rsid w:val="00FA0A84"/>
    <w:rsid w:val="00FA230C"/>
    <w:rsid w:val="00FA387F"/>
    <w:rsid w:val="00FA5735"/>
    <w:rsid w:val="00FA57A9"/>
    <w:rsid w:val="00FA6833"/>
    <w:rsid w:val="00FB0812"/>
    <w:rsid w:val="00FB0D7A"/>
    <w:rsid w:val="00FB2445"/>
    <w:rsid w:val="00FB2673"/>
    <w:rsid w:val="00FB3584"/>
    <w:rsid w:val="00FB4248"/>
    <w:rsid w:val="00FB5529"/>
    <w:rsid w:val="00FB618B"/>
    <w:rsid w:val="00FB714C"/>
    <w:rsid w:val="00FC0156"/>
    <w:rsid w:val="00FC1B3F"/>
    <w:rsid w:val="00FC2DE6"/>
    <w:rsid w:val="00FC41B2"/>
    <w:rsid w:val="00FC6D29"/>
    <w:rsid w:val="00FC78A5"/>
    <w:rsid w:val="00FD0397"/>
    <w:rsid w:val="00FD301C"/>
    <w:rsid w:val="00FD4637"/>
    <w:rsid w:val="00FD494B"/>
    <w:rsid w:val="00FD6627"/>
    <w:rsid w:val="00FE04CC"/>
    <w:rsid w:val="00FE3774"/>
    <w:rsid w:val="00FE58D1"/>
    <w:rsid w:val="00FE729B"/>
    <w:rsid w:val="00FF18DC"/>
    <w:rsid w:val="00FF3599"/>
    <w:rsid w:val="00FF3669"/>
    <w:rsid w:val="00FF43D0"/>
    <w:rsid w:val="00FF523A"/>
    <w:rsid w:val="00FF5820"/>
    <w:rsid w:val="7F6FE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353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after="0" w:line="480" w:lineRule="atLeast"/>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87A"/>
    <w:pPr>
      <w:tabs>
        <w:tab w:val="center" w:pos="4680"/>
        <w:tab w:val="right" w:pos="9360"/>
      </w:tabs>
      <w:spacing w:line="240" w:lineRule="auto"/>
    </w:pPr>
  </w:style>
  <w:style w:type="character" w:customStyle="1" w:styleId="HeaderChar">
    <w:name w:val="Header Char"/>
    <w:basedOn w:val="DefaultParagraphFont"/>
    <w:link w:val="Header"/>
    <w:uiPriority w:val="99"/>
    <w:rsid w:val="0073287A"/>
  </w:style>
  <w:style w:type="paragraph" w:styleId="Footer">
    <w:name w:val="footer"/>
    <w:basedOn w:val="Normal"/>
    <w:link w:val="FooterChar"/>
    <w:uiPriority w:val="99"/>
    <w:unhideWhenUsed/>
    <w:rsid w:val="0073287A"/>
    <w:pPr>
      <w:tabs>
        <w:tab w:val="center" w:pos="4680"/>
        <w:tab w:val="right" w:pos="9360"/>
      </w:tabs>
      <w:spacing w:line="240" w:lineRule="auto"/>
    </w:pPr>
  </w:style>
  <w:style w:type="character" w:customStyle="1" w:styleId="FooterChar">
    <w:name w:val="Footer Char"/>
    <w:basedOn w:val="DefaultParagraphFont"/>
    <w:link w:val="Footer"/>
    <w:uiPriority w:val="99"/>
    <w:rsid w:val="0073287A"/>
  </w:style>
  <w:style w:type="character" w:styleId="PageNumber">
    <w:name w:val="page number"/>
    <w:basedOn w:val="DefaultParagraphFont"/>
    <w:uiPriority w:val="99"/>
    <w:semiHidden/>
    <w:unhideWhenUsed/>
    <w:rsid w:val="0073287A"/>
  </w:style>
  <w:style w:type="paragraph" w:styleId="FootnoteText">
    <w:name w:val="footnote text"/>
    <w:link w:val="FootnoteTextChar"/>
    <w:uiPriority w:val="99"/>
    <w:unhideWhenUsed/>
    <w:rsid w:val="0073287A"/>
    <w:pPr>
      <w:spacing w:after="0" w:line="240" w:lineRule="auto"/>
    </w:pPr>
    <w:rPr>
      <w:rFonts w:ascii="Century Schoolbook" w:hAnsi="Century Schoolbook"/>
      <w:sz w:val="26"/>
      <w:szCs w:val="20"/>
    </w:rPr>
  </w:style>
  <w:style w:type="character" w:customStyle="1" w:styleId="FootnoteTextChar">
    <w:name w:val="Footnote Text Char"/>
    <w:basedOn w:val="DefaultParagraphFont"/>
    <w:link w:val="FootnoteText"/>
    <w:uiPriority w:val="99"/>
    <w:rsid w:val="0073287A"/>
    <w:rPr>
      <w:rFonts w:ascii="Century Schoolbook" w:hAnsi="Century Schoolbook"/>
      <w:sz w:val="26"/>
      <w:szCs w:val="20"/>
    </w:rPr>
  </w:style>
  <w:style w:type="character" w:styleId="FootnoteReference">
    <w:name w:val="footnote reference"/>
    <w:basedOn w:val="DefaultParagraphFont"/>
    <w:uiPriority w:val="99"/>
    <w:semiHidden/>
    <w:unhideWhenUsed/>
    <w:rsid w:val="00A14981"/>
    <w:rPr>
      <w:vertAlign w:val="superscript"/>
    </w:rPr>
  </w:style>
  <w:style w:type="paragraph" w:styleId="ListParagraph">
    <w:name w:val="List Paragraph"/>
    <w:basedOn w:val="Normal"/>
    <w:uiPriority w:val="34"/>
    <w:qFormat/>
    <w:rsid w:val="004C6B21"/>
    <w:pPr>
      <w:ind w:left="720"/>
      <w:contextualSpacing/>
    </w:pPr>
  </w:style>
  <w:style w:type="paragraph" w:styleId="Revision">
    <w:name w:val="Revision"/>
    <w:hidden/>
    <w:uiPriority w:val="99"/>
    <w:semiHidden/>
    <w:rsid w:val="003F339A"/>
    <w:pPr>
      <w:spacing w:after="0" w:line="240" w:lineRule="auto"/>
    </w:pPr>
    <w:rPr>
      <w:rFonts w:ascii="Century Schoolbook" w:hAnsi="Century Schoolbook"/>
      <w:sz w:val="26"/>
    </w:rPr>
  </w:style>
  <w:style w:type="numbering" w:customStyle="1" w:styleId="Style1">
    <w:name w:val="Style1"/>
    <w:uiPriority w:val="99"/>
    <w:rsid w:val="00F97CBE"/>
    <w:pPr>
      <w:numPr>
        <w:numId w:val="3"/>
      </w:numPr>
    </w:pPr>
  </w:style>
  <w:style w:type="character" w:styleId="CommentReference">
    <w:name w:val="annotation reference"/>
    <w:basedOn w:val="DefaultParagraphFont"/>
    <w:uiPriority w:val="99"/>
    <w:semiHidden/>
    <w:unhideWhenUsed/>
    <w:rsid w:val="00F97CBE"/>
    <w:rPr>
      <w:sz w:val="16"/>
      <w:szCs w:val="16"/>
    </w:rPr>
  </w:style>
  <w:style w:type="paragraph" w:styleId="CommentText">
    <w:name w:val="annotation text"/>
    <w:basedOn w:val="Normal"/>
    <w:link w:val="CommentTextChar"/>
    <w:uiPriority w:val="99"/>
    <w:unhideWhenUsed/>
    <w:rsid w:val="00F97CBE"/>
    <w:pPr>
      <w:spacing w:line="240" w:lineRule="auto"/>
    </w:pPr>
    <w:rPr>
      <w:sz w:val="20"/>
      <w:szCs w:val="20"/>
    </w:rPr>
  </w:style>
  <w:style w:type="character" w:customStyle="1" w:styleId="CommentTextChar">
    <w:name w:val="Comment Text Char"/>
    <w:basedOn w:val="DefaultParagraphFont"/>
    <w:link w:val="CommentText"/>
    <w:uiPriority w:val="99"/>
    <w:rsid w:val="00F97CB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F97CBE"/>
    <w:rPr>
      <w:b/>
      <w:bCs/>
    </w:rPr>
  </w:style>
  <w:style w:type="character" w:customStyle="1" w:styleId="CommentSubjectChar">
    <w:name w:val="Comment Subject Char"/>
    <w:basedOn w:val="CommentTextChar"/>
    <w:link w:val="CommentSubject"/>
    <w:uiPriority w:val="99"/>
    <w:semiHidden/>
    <w:rsid w:val="00F97CBE"/>
    <w:rPr>
      <w:rFonts w:ascii="Century Schoolbook" w:hAnsi="Century Schoolbook"/>
      <w:b/>
      <w:bCs/>
      <w:sz w:val="20"/>
      <w:szCs w:val="20"/>
    </w:rPr>
  </w:style>
  <w:style w:type="character" w:customStyle="1" w:styleId="ssrfcsection">
    <w:name w:val="ss_rfcsection"/>
    <w:basedOn w:val="DefaultParagraphFont"/>
    <w:rsid w:val="00F97CBE"/>
  </w:style>
  <w:style w:type="table" w:customStyle="1" w:styleId="TableGrid1">
    <w:name w:val="Table Grid1"/>
    <w:basedOn w:val="TableNormal"/>
    <w:next w:val="TableGrid"/>
    <w:uiPriority w:val="39"/>
    <w:rsid w:val="00167BF8"/>
    <w:pPr>
      <w:spacing w:after="0" w:line="240" w:lineRule="auto"/>
    </w:pPr>
    <w:rPr>
      <w:rFonts w:ascii="Times New Roman" w:hAnsi="Times New Roman"/>
      <w:sz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6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36">
      <w:bodyDiv w:val="1"/>
      <w:marLeft w:val="0"/>
      <w:marRight w:val="0"/>
      <w:marTop w:val="0"/>
      <w:marBottom w:val="0"/>
      <w:divBdr>
        <w:top w:val="none" w:sz="0" w:space="0" w:color="auto"/>
        <w:left w:val="none" w:sz="0" w:space="0" w:color="auto"/>
        <w:bottom w:val="none" w:sz="0" w:space="0" w:color="auto"/>
        <w:right w:val="none" w:sz="0" w:space="0" w:color="auto"/>
      </w:divBdr>
      <w:divsChild>
        <w:div w:id="804662315">
          <w:marLeft w:val="0"/>
          <w:marRight w:val="0"/>
          <w:marTop w:val="0"/>
          <w:marBottom w:val="0"/>
          <w:divBdr>
            <w:top w:val="none" w:sz="0" w:space="0" w:color="3D3D3D"/>
            <w:left w:val="none" w:sz="0" w:space="0" w:color="3D3D3D"/>
            <w:bottom w:val="none" w:sz="0" w:space="0" w:color="3D3D3D"/>
            <w:right w:val="none" w:sz="0" w:space="0" w:color="3D3D3D"/>
          </w:divBdr>
          <w:divsChild>
            <w:div w:id="15776717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311859">
      <w:bodyDiv w:val="1"/>
      <w:marLeft w:val="0"/>
      <w:marRight w:val="0"/>
      <w:marTop w:val="0"/>
      <w:marBottom w:val="0"/>
      <w:divBdr>
        <w:top w:val="none" w:sz="0" w:space="0" w:color="auto"/>
        <w:left w:val="none" w:sz="0" w:space="0" w:color="auto"/>
        <w:bottom w:val="none" w:sz="0" w:space="0" w:color="auto"/>
        <w:right w:val="none" w:sz="0" w:space="0" w:color="auto"/>
      </w:divBdr>
      <w:divsChild>
        <w:div w:id="507328442">
          <w:marLeft w:val="0"/>
          <w:marRight w:val="0"/>
          <w:marTop w:val="0"/>
          <w:marBottom w:val="0"/>
          <w:divBdr>
            <w:top w:val="none" w:sz="0" w:space="0" w:color="3D3D3D"/>
            <w:left w:val="none" w:sz="0" w:space="0" w:color="3D3D3D"/>
            <w:bottom w:val="none" w:sz="0" w:space="0" w:color="3D3D3D"/>
            <w:right w:val="none" w:sz="0" w:space="0" w:color="3D3D3D"/>
          </w:divBdr>
          <w:divsChild>
            <w:div w:id="10056695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00501103">
      <w:bodyDiv w:val="1"/>
      <w:marLeft w:val="0"/>
      <w:marRight w:val="0"/>
      <w:marTop w:val="0"/>
      <w:marBottom w:val="0"/>
      <w:divBdr>
        <w:top w:val="none" w:sz="0" w:space="0" w:color="auto"/>
        <w:left w:val="none" w:sz="0" w:space="0" w:color="auto"/>
        <w:bottom w:val="none" w:sz="0" w:space="0" w:color="auto"/>
        <w:right w:val="none" w:sz="0" w:space="0" w:color="auto"/>
      </w:divBdr>
      <w:divsChild>
        <w:div w:id="1338650684">
          <w:marLeft w:val="0"/>
          <w:marRight w:val="0"/>
          <w:marTop w:val="0"/>
          <w:marBottom w:val="0"/>
          <w:divBdr>
            <w:top w:val="none" w:sz="0" w:space="0" w:color="auto"/>
            <w:left w:val="none" w:sz="0" w:space="0" w:color="auto"/>
            <w:bottom w:val="none" w:sz="0" w:space="0" w:color="auto"/>
            <w:right w:val="none" w:sz="0" w:space="0" w:color="auto"/>
          </w:divBdr>
          <w:divsChild>
            <w:div w:id="1951743546">
              <w:marLeft w:val="0"/>
              <w:marRight w:val="0"/>
              <w:marTop w:val="0"/>
              <w:marBottom w:val="0"/>
              <w:divBdr>
                <w:top w:val="none" w:sz="0" w:space="0" w:color="auto"/>
                <w:left w:val="none" w:sz="0" w:space="0" w:color="auto"/>
                <w:bottom w:val="none" w:sz="0" w:space="0" w:color="auto"/>
                <w:right w:val="none" w:sz="0" w:space="0" w:color="auto"/>
              </w:divBdr>
              <w:divsChild>
                <w:div w:id="19160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7321">
      <w:bodyDiv w:val="1"/>
      <w:marLeft w:val="0"/>
      <w:marRight w:val="0"/>
      <w:marTop w:val="0"/>
      <w:marBottom w:val="0"/>
      <w:divBdr>
        <w:top w:val="none" w:sz="0" w:space="0" w:color="auto"/>
        <w:left w:val="none" w:sz="0" w:space="0" w:color="auto"/>
        <w:bottom w:val="none" w:sz="0" w:space="0" w:color="auto"/>
        <w:right w:val="none" w:sz="0" w:space="0" w:color="auto"/>
      </w:divBdr>
      <w:divsChild>
        <w:div w:id="28532617">
          <w:marLeft w:val="0"/>
          <w:marRight w:val="0"/>
          <w:marTop w:val="0"/>
          <w:marBottom w:val="0"/>
          <w:divBdr>
            <w:top w:val="none" w:sz="0" w:space="0" w:color="3D3D3D"/>
            <w:left w:val="none" w:sz="0" w:space="0" w:color="3D3D3D"/>
            <w:bottom w:val="none" w:sz="0" w:space="0" w:color="3D3D3D"/>
            <w:right w:val="none" w:sz="0" w:space="0" w:color="3D3D3D"/>
          </w:divBdr>
          <w:divsChild>
            <w:div w:id="18870661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20054972">
      <w:bodyDiv w:val="1"/>
      <w:marLeft w:val="0"/>
      <w:marRight w:val="0"/>
      <w:marTop w:val="0"/>
      <w:marBottom w:val="0"/>
      <w:divBdr>
        <w:top w:val="none" w:sz="0" w:space="0" w:color="auto"/>
        <w:left w:val="none" w:sz="0" w:space="0" w:color="auto"/>
        <w:bottom w:val="none" w:sz="0" w:space="0" w:color="auto"/>
        <w:right w:val="none" w:sz="0" w:space="0" w:color="auto"/>
      </w:divBdr>
      <w:divsChild>
        <w:div w:id="1374112451">
          <w:marLeft w:val="0"/>
          <w:marRight w:val="0"/>
          <w:marTop w:val="0"/>
          <w:marBottom w:val="0"/>
          <w:divBdr>
            <w:top w:val="none" w:sz="0" w:space="0" w:color="auto"/>
            <w:left w:val="none" w:sz="0" w:space="0" w:color="auto"/>
            <w:bottom w:val="none" w:sz="0" w:space="0" w:color="auto"/>
            <w:right w:val="none" w:sz="0" w:space="0" w:color="auto"/>
          </w:divBdr>
          <w:divsChild>
            <w:div w:id="15166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7125">
      <w:bodyDiv w:val="1"/>
      <w:marLeft w:val="0"/>
      <w:marRight w:val="0"/>
      <w:marTop w:val="0"/>
      <w:marBottom w:val="0"/>
      <w:divBdr>
        <w:top w:val="none" w:sz="0" w:space="0" w:color="auto"/>
        <w:left w:val="none" w:sz="0" w:space="0" w:color="auto"/>
        <w:bottom w:val="none" w:sz="0" w:space="0" w:color="auto"/>
        <w:right w:val="none" w:sz="0" w:space="0" w:color="auto"/>
      </w:divBdr>
      <w:divsChild>
        <w:div w:id="1928152113">
          <w:marLeft w:val="0"/>
          <w:marRight w:val="0"/>
          <w:marTop w:val="0"/>
          <w:marBottom w:val="0"/>
          <w:divBdr>
            <w:top w:val="none" w:sz="0" w:space="0" w:color="3D3D3D"/>
            <w:left w:val="none" w:sz="0" w:space="0" w:color="3D3D3D"/>
            <w:bottom w:val="none" w:sz="0" w:space="0" w:color="3D3D3D"/>
            <w:right w:val="none" w:sz="0" w:space="0" w:color="3D3D3D"/>
          </w:divBdr>
          <w:divsChild>
            <w:div w:id="9560583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5253083">
      <w:bodyDiv w:val="1"/>
      <w:marLeft w:val="0"/>
      <w:marRight w:val="0"/>
      <w:marTop w:val="0"/>
      <w:marBottom w:val="0"/>
      <w:divBdr>
        <w:top w:val="none" w:sz="0" w:space="0" w:color="auto"/>
        <w:left w:val="none" w:sz="0" w:space="0" w:color="auto"/>
        <w:bottom w:val="none" w:sz="0" w:space="0" w:color="auto"/>
        <w:right w:val="none" w:sz="0" w:space="0" w:color="auto"/>
      </w:divBdr>
      <w:divsChild>
        <w:div w:id="2010599144">
          <w:marLeft w:val="0"/>
          <w:marRight w:val="0"/>
          <w:marTop w:val="0"/>
          <w:marBottom w:val="0"/>
          <w:divBdr>
            <w:top w:val="none" w:sz="0" w:space="0" w:color="3D3D3D"/>
            <w:left w:val="none" w:sz="0" w:space="0" w:color="3D3D3D"/>
            <w:bottom w:val="none" w:sz="0" w:space="0" w:color="3D3D3D"/>
            <w:right w:val="none" w:sz="0" w:space="0" w:color="3D3D3D"/>
          </w:divBdr>
          <w:divsChild>
            <w:div w:id="2993093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1521277">
      <w:bodyDiv w:val="1"/>
      <w:marLeft w:val="0"/>
      <w:marRight w:val="0"/>
      <w:marTop w:val="0"/>
      <w:marBottom w:val="0"/>
      <w:divBdr>
        <w:top w:val="none" w:sz="0" w:space="0" w:color="auto"/>
        <w:left w:val="none" w:sz="0" w:space="0" w:color="auto"/>
        <w:bottom w:val="none" w:sz="0" w:space="0" w:color="auto"/>
        <w:right w:val="none" w:sz="0" w:space="0" w:color="auto"/>
      </w:divBdr>
      <w:divsChild>
        <w:div w:id="1989897378">
          <w:marLeft w:val="0"/>
          <w:marRight w:val="0"/>
          <w:marTop w:val="0"/>
          <w:marBottom w:val="0"/>
          <w:divBdr>
            <w:top w:val="none" w:sz="0" w:space="0" w:color="3D3D3D"/>
            <w:left w:val="none" w:sz="0" w:space="0" w:color="3D3D3D"/>
            <w:bottom w:val="none" w:sz="0" w:space="0" w:color="3D3D3D"/>
            <w:right w:val="none" w:sz="0" w:space="0" w:color="3D3D3D"/>
          </w:divBdr>
          <w:divsChild>
            <w:div w:id="14072668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04377743">
      <w:bodyDiv w:val="1"/>
      <w:marLeft w:val="0"/>
      <w:marRight w:val="0"/>
      <w:marTop w:val="0"/>
      <w:marBottom w:val="0"/>
      <w:divBdr>
        <w:top w:val="none" w:sz="0" w:space="0" w:color="auto"/>
        <w:left w:val="none" w:sz="0" w:space="0" w:color="auto"/>
        <w:bottom w:val="none" w:sz="0" w:space="0" w:color="auto"/>
        <w:right w:val="none" w:sz="0" w:space="0" w:color="auto"/>
      </w:divBdr>
      <w:divsChild>
        <w:div w:id="501355850">
          <w:marLeft w:val="0"/>
          <w:marRight w:val="0"/>
          <w:marTop w:val="0"/>
          <w:marBottom w:val="0"/>
          <w:divBdr>
            <w:top w:val="none" w:sz="0" w:space="0" w:color="auto"/>
            <w:left w:val="none" w:sz="0" w:space="0" w:color="auto"/>
            <w:bottom w:val="none" w:sz="0" w:space="0" w:color="auto"/>
            <w:right w:val="none" w:sz="0" w:space="0" w:color="auto"/>
          </w:divBdr>
          <w:divsChild>
            <w:div w:id="18546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5326">
      <w:bodyDiv w:val="1"/>
      <w:marLeft w:val="0"/>
      <w:marRight w:val="0"/>
      <w:marTop w:val="0"/>
      <w:marBottom w:val="0"/>
      <w:divBdr>
        <w:top w:val="none" w:sz="0" w:space="0" w:color="auto"/>
        <w:left w:val="none" w:sz="0" w:space="0" w:color="auto"/>
        <w:bottom w:val="none" w:sz="0" w:space="0" w:color="auto"/>
        <w:right w:val="none" w:sz="0" w:space="0" w:color="auto"/>
      </w:divBdr>
      <w:divsChild>
        <w:div w:id="878081371">
          <w:marLeft w:val="0"/>
          <w:marRight w:val="0"/>
          <w:marTop w:val="0"/>
          <w:marBottom w:val="0"/>
          <w:divBdr>
            <w:top w:val="none" w:sz="0" w:space="0" w:color="auto"/>
            <w:left w:val="none" w:sz="0" w:space="0" w:color="auto"/>
            <w:bottom w:val="none" w:sz="0" w:space="0" w:color="auto"/>
            <w:right w:val="none" w:sz="0" w:space="0" w:color="auto"/>
          </w:divBdr>
          <w:divsChild>
            <w:div w:id="5486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56">
      <w:bodyDiv w:val="1"/>
      <w:marLeft w:val="0"/>
      <w:marRight w:val="0"/>
      <w:marTop w:val="0"/>
      <w:marBottom w:val="0"/>
      <w:divBdr>
        <w:top w:val="none" w:sz="0" w:space="0" w:color="auto"/>
        <w:left w:val="none" w:sz="0" w:space="0" w:color="auto"/>
        <w:bottom w:val="none" w:sz="0" w:space="0" w:color="auto"/>
        <w:right w:val="none" w:sz="0" w:space="0" w:color="auto"/>
      </w:divBdr>
      <w:divsChild>
        <w:div w:id="282731969">
          <w:marLeft w:val="0"/>
          <w:marRight w:val="0"/>
          <w:marTop w:val="0"/>
          <w:marBottom w:val="0"/>
          <w:divBdr>
            <w:top w:val="none" w:sz="0" w:space="0" w:color="auto"/>
            <w:left w:val="none" w:sz="0" w:space="0" w:color="auto"/>
            <w:bottom w:val="none" w:sz="0" w:space="0" w:color="auto"/>
            <w:right w:val="none" w:sz="0" w:space="0" w:color="auto"/>
          </w:divBdr>
          <w:divsChild>
            <w:div w:id="12245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3346">
      <w:bodyDiv w:val="1"/>
      <w:marLeft w:val="0"/>
      <w:marRight w:val="0"/>
      <w:marTop w:val="0"/>
      <w:marBottom w:val="0"/>
      <w:divBdr>
        <w:top w:val="none" w:sz="0" w:space="0" w:color="auto"/>
        <w:left w:val="none" w:sz="0" w:space="0" w:color="auto"/>
        <w:bottom w:val="none" w:sz="0" w:space="0" w:color="auto"/>
        <w:right w:val="none" w:sz="0" w:space="0" w:color="auto"/>
      </w:divBdr>
      <w:divsChild>
        <w:div w:id="1934628184">
          <w:marLeft w:val="0"/>
          <w:marRight w:val="0"/>
          <w:marTop w:val="0"/>
          <w:marBottom w:val="0"/>
          <w:divBdr>
            <w:top w:val="none" w:sz="0" w:space="0" w:color="3D3D3D"/>
            <w:left w:val="none" w:sz="0" w:space="0" w:color="3D3D3D"/>
            <w:bottom w:val="none" w:sz="0" w:space="0" w:color="3D3D3D"/>
            <w:right w:val="none" w:sz="0" w:space="0" w:color="3D3D3D"/>
          </w:divBdr>
          <w:divsChild>
            <w:div w:id="5819140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68051694">
      <w:bodyDiv w:val="1"/>
      <w:marLeft w:val="0"/>
      <w:marRight w:val="0"/>
      <w:marTop w:val="0"/>
      <w:marBottom w:val="0"/>
      <w:divBdr>
        <w:top w:val="none" w:sz="0" w:space="0" w:color="auto"/>
        <w:left w:val="none" w:sz="0" w:space="0" w:color="auto"/>
        <w:bottom w:val="none" w:sz="0" w:space="0" w:color="auto"/>
        <w:right w:val="none" w:sz="0" w:space="0" w:color="auto"/>
      </w:divBdr>
      <w:divsChild>
        <w:div w:id="413935925">
          <w:marLeft w:val="0"/>
          <w:marRight w:val="0"/>
          <w:marTop w:val="0"/>
          <w:marBottom w:val="0"/>
          <w:divBdr>
            <w:top w:val="none" w:sz="0" w:space="0" w:color="3D3D3D"/>
            <w:left w:val="none" w:sz="0" w:space="0" w:color="3D3D3D"/>
            <w:bottom w:val="none" w:sz="0" w:space="0" w:color="3D3D3D"/>
            <w:right w:val="none" w:sz="0" w:space="0" w:color="3D3D3D"/>
          </w:divBdr>
          <w:divsChild>
            <w:div w:id="12296842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C2DD-09DC-4906-A25E-8E32F717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5428</Words>
  <Characters>26969</Characters>
  <Application>Microsoft Office Word</Application>
  <DocSecurity>0</DocSecurity>
  <Lines>496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2024-06-05T22:49:00Z</dcterms:created>
  <dcterms:modified xsi:type="dcterms:W3CDTF">2024-06-05T22:49:00Z</dcterms:modified>
  <cp:category/>
</cp:coreProperties>
</file>