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85D93D" w14:textId="295B0ED3" w:rsidR="00A113D7" w:rsidRPr="004F4885" w:rsidRDefault="00A113D7" w:rsidP="00B17EA9">
      <w:pPr>
        <w:spacing w:line="240" w:lineRule="auto"/>
        <w:rPr>
          <w:sz w:val="20"/>
          <w:szCs w:val="20"/>
        </w:rPr>
      </w:pPr>
      <w:r w:rsidRPr="004F4885">
        <w:rPr>
          <w:sz w:val="20"/>
          <w:szCs w:val="20"/>
        </w:rPr>
        <w:t xml:space="preserve">Filed </w:t>
      </w:r>
      <w:r w:rsidRPr="004F4885">
        <w:rPr>
          <w:sz w:val="20"/>
          <w:szCs w:val="20"/>
        </w:rPr>
        <w:t>6</w:t>
      </w:r>
      <w:r w:rsidR="004F4885">
        <w:rPr>
          <w:sz w:val="20"/>
          <w:szCs w:val="20"/>
        </w:rPr>
        <w:t>/</w:t>
      </w:r>
      <w:r w:rsidRPr="004F4885">
        <w:rPr>
          <w:sz w:val="20"/>
          <w:szCs w:val="20"/>
        </w:rPr>
        <w:t>28</w:t>
      </w:r>
      <w:r w:rsidR="004F4885">
        <w:rPr>
          <w:sz w:val="20"/>
          <w:szCs w:val="20"/>
        </w:rPr>
        <w:t>/</w:t>
      </w:r>
      <w:r w:rsidRPr="004F4885">
        <w:rPr>
          <w:sz w:val="20"/>
          <w:szCs w:val="20"/>
        </w:rPr>
        <w:t>24</w:t>
      </w:r>
    </w:p>
    <w:p w14:paraId="4FEBDE50" w14:textId="77777777" w:rsidR="00A113D7" w:rsidRPr="00F64A1C" w:rsidRDefault="00A113D7" w:rsidP="00B17EA9">
      <w:pPr>
        <w:spacing w:line="240" w:lineRule="auto"/>
        <w:jc w:val="center"/>
        <w:rPr>
          <w:b/>
        </w:rPr>
      </w:pPr>
      <w:r w:rsidRPr="00F64A1C">
        <w:rPr>
          <w:b/>
        </w:rPr>
        <w:t>CERTIFIED FOR PUBLICATION</w:t>
      </w:r>
    </w:p>
    <w:p w14:paraId="26BC8525" w14:textId="77777777" w:rsidR="00A113D7" w:rsidRPr="00F64A1C" w:rsidRDefault="00A113D7" w:rsidP="00B17EA9">
      <w:pPr>
        <w:spacing w:line="240" w:lineRule="auto"/>
        <w:jc w:val="center"/>
      </w:pPr>
    </w:p>
    <w:p w14:paraId="294CAD5E" w14:textId="77777777" w:rsidR="00A113D7" w:rsidRPr="00F64A1C" w:rsidRDefault="00A113D7" w:rsidP="00B17EA9">
      <w:pPr>
        <w:spacing w:line="240" w:lineRule="auto"/>
        <w:jc w:val="center"/>
      </w:pPr>
      <w:r w:rsidRPr="00F64A1C">
        <w:t>IN THE COURT OF APPEAL OF THE STATE OF CALIFORNIA</w:t>
      </w:r>
    </w:p>
    <w:p w14:paraId="7DA3A937" w14:textId="77777777" w:rsidR="00A113D7" w:rsidRPr="00F64A1C" w:rsidRDefault="00A113D7" w:rsidP="00B17EA9">
      <w:pPr>
        <w:spacing w:line="240" w:lineRule="auto"/>
        <w:jc w:val="center"/>
      </w:pPr>
    </w:p>
    <w:p w14:paraId="0A9F9A6B" w14:textId="77777777" w:rsidR="00A113D7" w:rsidRPr="00F64A1C" w:rsidRDefault="00A113D7" w:rsidP="00B17EA9">
      <w:pPr>
        <w:spacing w:line="240" w:lineRule="auto"/>
        <w:jc w:val="center"/>
      </w:pPr>
      <w:r w:rsidRPr="00F64A1C">
        <w:t>FIRST APPELLATE DISTRICT</w:t>
      </w:r>
    </w:p>
    <w:p w14:paraId="27F3C307" w14:textId="77777777" w:rsidR="00A113D7" w:rsidRPr="00F64A1C" w:rsidRDefault="00A113D7" w:rsidP="00B17EA9">
      <w:pPr>
        <w:spacing w:line="240" w:lineRule="auto"/>
        <w:jc w:val="center"/>
      </w:pPr>
    </w:p>
    <w:p w14:paraId="4D8DBA4F" w14:textId="77777777" w:rsidR="00A113D7" w:rsidRPr="00F64A1C" w:rsidRDefault="00A113D7" w:rsidP="00B17EA9">
      <w:pPr>
        <w:spacing w:line="240" w:lineRule="auto"/>
        <w:jc w:val="center"/>
      </w:pPr>
      <w:r w:rsidRPr="00F64A1C">
        <w:t>DIVISION FOUR</w:t>
      </w:r>
    </w:p>
    <w:p w14:paraId="51314F93" w14:textId="77777777" w:rsidR="00A113D7" w:rsidRPr="00F64A1C" w:rsidRDefault="00A113D7" w:rsidP="00B17EA9">
      <w:pPr>
        <w:spacing w:line="240" w:lineRule="auto"/>
        <w:jc w:val="center"/>
      </w:pPr>
    </w:p>
    <w:p w14:paraId="6BC6A34D" w14:textId="77777777" w:rsidR="00A113D7" w:rsidRPr="00F64A1C" w:rsidRDefault="00A113D7" w:rsidP="00B17EA9">
      <w:pPr>
        <w:spacing w:line="240" w:lineRule="auto"/>
        <w:jc w:val="center"/>
      </w:pPr>
    </w:p>
    <w:tbl>
      <w:tblPr>
        <w:tblW w:w="9540" w:type="dxa"/>
        <w:tblLayout w:type="fixed"/>
        <w:tblLook w:val="0000" w:firstRow="0" w:lastRow="0" w:firstColumn="0" w:lastColumn="0" w:noHBand="0" w:noVBand="0"/>
      </w:tblPr>
      <w:tblGrid>
        <w:gridCol w:w="4770"/>
        <w:gridCol w:w="4770"/>
      </w:tblGrid>
      <w:tr w:rsidR="00620847" w14:paraId="51FEF925" w14:textId="77777777" w:rsidTr="00357A1E">
        <w:tc>
          <w:tcPr>
            <w:tcW w:w="4770" w:type="dxa"/>
            <w:tcBorders>
              <w:bottom w:val="single" w:sz="4" w:space="0" w:color="auto"/>
              <w:right w:val="single" w:sz="4" w:space="0" w:color="auto"/>
            </w:tcBorders>
            <w:shd w:val="clear" w:color="auto" w:fill="auto"/>
          </w:tcPr>
          <w:p w14:paraId="3E73A634" w14:textId="77777777" w:rsidR="00A113D7" w:rsidRPr="00F64A1C" w:rsidRDefault="00A113D7" w:rsidP="00B17EA9">
            <w:pPr>
              <w:spacing w:after="120" w:line="240" w:lineRule="auto"/>
            </w:pPr>
            <w:r w:rsidRPr="00F64A1C">
              <w:t>SAN PABLO AVENUE GOLDEN GATE IMPROVEMENT ASSOCIATION, INC.</w:t>
            </w:r>
            <w:r w:rsidRPr="00F64A1C">
              <w:t>, et al</w:t>
            </w:r>
            <w:r w:rsidRPr="00F64A1C">
              <w:t>.</w:t>
            </w:r>
            <w:r w:rsidRPr="00F64A1C">
              <w:t>,</w:t>
            </w:r>
          </w:p>
          <w:p w14:paraId="75BBDBA6" w14:textId="77777777" w:rsidR="00A113D7" w:rsidRPr="00F64A1C" w:rsidRDefault="00A113D7" w:rsidP="00B17EA9">
            <w:pPr>
              <w:spacing w:after="120" w:line="240" w:lineRule="auto"/>
            </w:pPr>
            <w:r w:rsidRPr="00F64A1C">
              <w:tab/>
            </w:r>
            <w:r w:rsidRPr="00F64A1C">
              <w:t>Petitioner</w:t>
            </w:r>
            <w:r w:rsidRPr="00F64A1C">
              <w:t>s</w:t>
            </w:r>
            <w:r w:rsidRPr="00F64A1C">
              <w:t xml:space="preserve"> and Appellant</w:t>
            </w:r>
            <w:r w:rsidRPr="00F64A1C">
              <w:t>s</w:t>
            </w:r>
            <w:r w:rsidRPr="00F64A1C">
              <w:t>,</w:t>
            </w:r>
          </w:p>
          <w:p w14:paraId="42E66970" w14:textId="77777777" w:rsidR="00A113D7" w:rsidRPr="00F64A1C" w:rsidRDefault="00A113D7" w:rsidP="00B17EA9">
            <w:pPr>
              <w:spacing w:after="120" w:line="240" w:lineRule="auto"/>
            </w:pPr>
            <w:r w:rsidRPr="00F64A1C">
              <w:t>v.</w:t>
            </w:r>
          </w:p>
          <w:p w14:paraId="1C67CA87" w14:textId="77777777" w:rsidR="00A113D7" w:rsidRPr="00F64A1C" w:rsidRDefault="00A113D7" w:rsidP="00B17EA9">
            <w:pPr>
              <w:spacing w:after="120" w:line="240" w:lineRule="auto"/>
            </w:pPr>
            <w:r w:rsidRPr="00F64A1C">
              <w:t xml:space="preserve">CITY COUNCIL OF </w:t>
            </w:r>
            <w:r w:rsidRPr="00F64A1C">
              <w:t>THE CITY OF OAKLAND</w:t>
            </w:r>
            <w:r w:rsidRPr="00F64A1C">
              <w:t xml:space="preserve"> et al.,</w:t>
            </w:r>
          </w:p>
          <w:p w14:paraId="54D1528A" w14:textId="77777777" w:rsidR="00A113D7" w:rsidRPr="00F64A1C" w:rsidRDefault="00A113D7" w:rsidP="00B17EA9">
            <w:pPr>
              <w:spacing w:after="120" w:line="240" w:lineRule="auto"/>
            </w:pPr>
            <w:r w:rsidRPr="00F64A1C">
              <w:tab/>
              <w:t>Defendant</w:t>
            </w:r>
            <w:r w:rsidRPr="00F64A1C">
              <w:t>s</w:t>
            </w:r>
            <w:r w:rsidRPr="00F64A1C">
              <w:t xml:space="preserve"> and Respondent</w:t>
            </w:r>
            <w:r w:rsidRPr="00F64A1C">
              <w:t>s</w:t>
            </w:r>
            <w:r w:rsidRPr="00F64A1C">
              <w:t>.</w:t>
            </w:r>
          </w:p>
        </w:tc>
        <w:tc>
          <w:tcPr>
            <w:tcW w:w="4770" w:type="dxa"/>
            <w:tcBorders>
              <w:left w:val="single" w:sz="4" w:space="0" w:color="auto"/>
            </w:tcBorders>
            <w:shd w:val="clear" w:color="auto" w:fill="auto"/>
          </w:tcPr>
          <w:p w14:paraId="7D586C7E" w14:textId="77777777" w:rsidR="00A113D7" w:rsidRPr="00F64A1C" w:rsidRDefault="00A113D7" w:rsidP="00B17EA9">
            <w:pPr>
              <w:spacing w:after="120" w:line="240" w:lineRule="auto"/>
            </w:pPr>
          </w:p>
          <w:p w14:paraId="44472159" w14:textId="77777777" w:rsidR="00A113D7" w:rsidRPr="00F64A1C" w:rsidRDefault="00A113D7" w:rsidP="00B17EA9">
            <w:pPr>
              <w:spacing w:after="120" w:line="240" w:lineRule="auto"/>
            </w:pPr>
            <w:r w:rsidRPr="00F64A1C">
              <w:t xml:space="preserve">      A</w:t>
            </w:r>
            <w:r w:rsidRPr="00F64A1C">
              <w:t>168039</w:t>
            </w:r>
          </w:p>
          <w:p w14:paraId="77D72BAB" w14:textId="77777777" w:rsidR="00A113D7" w:rsidRPr="00F64A1C" w:rsidRDefault="00A113D7" w:rsidP="00B17EA9">
            <w:pPr>
              <w:spacing w:after="120" w:line="240" w:lineRule="auto"/>
            </w:pPr>
          </w:p>
          <w:p w14:paraId="14B3453F" w14:textId="77777777" w:rsidR="00A113D7" w:rsidRPr="00F64A1C" w:rsidRDefault="00A113D7" w:rsidP="00B17EA9">
            <w:pPr>
              <w:spacing w:line="240" w:lineRule="auto"/>
            </w:pPr>
            <w:r w:rsidRPr="00F64A1C">
              <w:t xml:space="preserve">      (</w:t>
            </w:r>
            <w:r w:rsidRPr="00F64A1C">
              <w:t>Alameda</w:t>
            </w:r>
            <w:r w:rsidRPr="00F64A1C">
              <w:t xml:space="preserve"> County</w:t>
            </w:r>
          </w:p>
          <w:p w14:paraId="3C743AC2" w14:textId="77777777" w:rsidR="00A113D7" w:rsidRPr="00F64A1C" w:rsidRDefault="00A113D7" w:rsidP="00B17EA9">
            <w:pPr>
              <w:spacing w:line="240" w:lineRule="auto"/>
            </w:pPr>
            <w:r w:rsidRPr="00F64A1C">
              <w:t xml:space="preserve">      Super. Ct. No. </w:t>
            </w:r>
            <w:r w:rsidRPr="00F64A1C">
              <w:t>22CV005451</w:t>
            </w:r>
            <w:r w:rsidRPr="00F64A1C">
              <w:t>)</w:t>
            </w:r>
          </w:p>
        </w:tc>
      </w:tr>
    </w:tbl>
    <w:p w14:paraId="3DA8E406" w14:textId="77777777" w:rsidR="00A113D7" w:rsidRPr="00F64A1C" w:rsidRDefault="00A113D7" w:rsidP="00B17EA9">
      <w:pPr>
        <w:rPr>
          <w:shd w:val="clear" w:color="auto" w:fill="FFFFFF"/>
        </w:rPr>
      </w:pPr>
    </w:p>
    <w:p w14:paraId="13407D05" w14:textId="77777777" w:rsidR="00A113D7" w:rsidRPr="00F64A1C" w:rsidRDefault="00A113D7" w:rsidP="00B17EA9">
      <w:pPr>
        <w:ind w:firstLine="720"/>
      </w:pPr>
      <w:r w:rsidRPr="00F64A1C">
        <w:t>Petitioners San Pablo Avenue Golden Gate Improvement Association, Inc</w:t>
      </w:r>
      <w:r w:rsidRPr="00F64A1C">
        <w:t>.</w:t>
      </w:r>
      <w:r w:rsidRPr="00F64A1C">
        <w:t xml:space="preserve">, and Oakland Neighborhoods </w:t>
      </w:r>
      <w:proofErr w:type="gramStart"/>
      <w:r w:rsidRPr="00F64A1C">
        <w:t>For</w:t>
      </w:r>
      <w:proofErr w:type="gramEnd"/>
      <w:r w:rsidRPr="00F64A1C">
        <w:t xml:space="preserve"> Equity (Neighbors) appeal </w:t>
      </w:r>
      <w:r w:rsidRPr="00F64A1C">
        <w:t>from</w:t>
      </w:r>
      <w:r w:rsidRPr="00F64A1C">
        <w:t xml:space="preserve"> </w:t>
      </w:r>
      <w:r w:rsidRPr="00F64A1C">
        <w:t xml:space="preserve">the </w:t>
      </w:r>
      <w:r w:rsidRPr="00F64A1C">
        <w:t>trial court’s</w:t>
      </w:r>
      <w:r w:rsidRPr="00F64A1C">
        <w:t xml:space="preserve"> denial of a writ of mandamus </w:t>
      </w:r>
      <w:r w:rsidRPr="00F64A1C">
        <w:t xml:space="preserve">following </w:t>
      </w:r>
      <w:r w:rsidRPr="00F64A1C">
        <w:t xml:space="preserve">the </w:t>
      </w:r>
      <w:r w:rsidRPr="00F64A1C">
        <w:t xml:space="preserve">dismissal of </w:t>
      </w:r>
      <w:r w:rsidRPr="00F64A1C">
        <w:t xml:space="preserve">their </w:t>
      </w:r>
      <w:r w:rsidRPr="00F64A1C">
        <w:t xml:space="preserve">administrative complaint against the </w:t>
      </w:r>
      <w:r w:rsidRPr="00F64A1C">
        <w:t xml:space="preserve">City </w:t>
      </w:r>
      <w:r w:rsidRPr="00F64A1C">
        <w:t xml:space="preserve">Council of the City of Oakland, William Gilchrist, Robert D. </w:t>
      </w:r>
      <w:proofErr w:type="spellStart"/>
      <w:r w:rsidRPr="00F64A1C">
        <w:t>Merkamp</w:t>
      </w:r>
      <w:proofErr w:type="spellEnd"/>
      <w:r w:rsidRPr="00F64A1C">
        <w:t xml:space="preserve">, </w:t>
      </w:r>
      <w:r w:rsidRPr="00F64A1C">
        <w:t>a</w:t>
      </w:r>
      <w:r w:rsidRPr="00F64A1C">
        <w:t>nd Nathaniel L. Dunn</w:t>
      </w:r>
      <w:r w:rsidRPr="00F64A1C">
        <w:t xml:space="preserve"> </w:t>
      </w:r>
      <w:r w:rsidRPr="00F64A1C">
        <w:t xml:space="preserve">(the City) </w:t>
      </w:r>
      <w:r w:rsidRPr="00F64A1C">
        <w:t>brought pursuant to Oakland Municipal Code (OMC) chapter 17.152</w:t>
      </w:r>
      <w:r w:rsidRPr="00F64A1C">
        <w:t>.</w:t>
      </w:r>
      <w:r>
        <w:rPr>
          <w:rStyle w:val="FootnoteReference"/>
        </w:rPr>
        <w:footnoteReference w:id="2"/>
      </w:r>
      <w:r w:rsidRPr="00F64A1C">
        <w:t xml:space="preserve">  We affirm.</w:t>
      </w:r>
    </w:p>
    <w:p w14:paraId="2C08DD31" w14:textId="77777777" w:rsidR="00A113D7" w:rsidRPr="00F64A1C" w:rsidRDefault="00A113D7" w:rsidP="00B17EA9">
      <w:pPr>
        <w:keepNext/>
        <w:jc w:val="center"/>
        <w:textAlignment w:val="baseline"/>
        <w:rPr>
          <w:b/>
        </w:rPr>
      </w:pPr>
      <w:r w:rsidRPr="00F64A1C">
        <w:rPr>
          <w:b/>
        </w:rPr>
        <w:t>BACKGROUND</w:t>
      </w:r>
    </w:p>
    <w:p w14:paraId="6B1A795D" w14:textId="77777777" w:rsidR="00A113D7" w:rsidRPr="00F64A1C" w:rsidRDefault="00A113D7" w:rsidP="00B17EA9">
      <w:pPr>
        <w:keepNext/>
        <w:ind w:left="360"/>
        <w:textAlignment w:val="baseline"/>
        <w:rPr>
          <w:b/>
          <w:bCs/>
        </w:rPr>
      </w:pPr>
      <w:r w:rsidRPr="00F64A1C">
        <w:rPr>
          <w:b/>
          <w:bCs/>
        </w:rPr>
        <w:t xml:space="preserve">I. </w:t>
      </w:r>
      <w:proofErr w:type="spellStart"/>
      <w:r w:rsidRPr="00F64A1C">
        <w:rPr>
          <w:b/>
          <w:bCs/>
        </w:rPr>
        <w:t>CloudKitchens’s</w:t>
      </w:r>
      <w:proofErr w:type="spellEnd"/>
      <w:r w:rsidRPr="00F64A1C">
        <w:rPr>
          <w:b/>
          <w:bCs/>
        </w:rPr>
        <w:t xml:space="preserve"> </w:t>
      </w:r>
      <w:r w:rsidRPr="00F64A1C">
        <w:rPr>
          <w:b/>
          <w:bCs/>
        </w:rPr>
        <w:t xml:space="preserve">Use </w:t>
      </w:r>
      <w:r w:rsidRPr="00F64A1C">
        <w:rPr>
          <w:b/>
          <w:bCs/>
        </w:rPr>
        <w:t xml:space="preserve">Classified </w:t>
      </w:r>
      <w:r w:rsidRPr="00F64A1C">
        <w:rPr>
          <w:b/>
          <w:bCs/>
        </w:rPr>
        <w:t xml:space="preserve">as Light </w:t>
      </w:r>
      <w:r w:rsidRPr="00F64A1C">
        <w:rPr>
          <w:b/>
          <w:bCs/>
        </w:rPr>
        <w:t>Manufacturing</w:t>
      </w:r>
    </w:p>
    <w:p w14:paraId="71AED972" w14:textId="77777777" w:rsidR="00A113D7" w:rsidRPr="00F64A1C" w:rsidRDefault="00A113D7" w:rsidP="00B17EA9">
      <w:pPr>
        <w:ind w:firstLine="720"/>
        <w:textAlignment w:val="baseline"/>
        <w:rPr>
          <w:rFonts w:cs="CenturySchoolbook"/>
          <w:kern w:val="0"/>
        </w:rPr>
      </w:pPr>
      <w:r w:rsidRPr="00F64A1C">
        <w:t xml:space="preserve">In </w:t>
      </w:r>
      <w:r w:rsidRPr="00F64A1C">
        <w:t xml:space="preserve">September 2020, </w:t>
      </w:r>
      <w:proofErr w:type="spellStart"/>
      <w:r w:rsidRPr="00F64A1C">
        <w:t>CloudKitchens</w:t>
      </w:r>
      <w:proofErr w:type="spellEnd"/>
      <w:r w:rsidRPr="00F64A1C">
        <w:t xml:space="preserve"> applied to the </w:t>
      </w:r>
      <w:r w:rsidRPr="00F64A1C">
        <w:t xml:space="preserve">City’s </w:t>
      </w:r>
      <w:r w:rsidRPr="00F64A1C">
        <w:t xml:space="preserve">Planning Department </w:t>
      </w:r>
      <w:r w:rsidRPr="00F64A1C">
        <w:t xml:space="preserve">for </w:t>
      </w:r>
      <w:r w:rsidRPr="00F64A1C">
        <w:t>a zoning clearance</w:t>
      </w:r>
      <w:r w:rsidRPr="00F64A1C">
        <w:t xml:space="preserve"> </w:t>
      </w:r>
      <w:r w:rsidRPr="00F64A1C">
        <w:t xml:space="preserve">to </w:t>
      </w:r>
      <w:r w:rsidRPr="00F64A1C">
        <w:t xml:space="preserve">convert a </w:t>
      </w:r>
      <w:r w:rsidRPr="00F64A1C">
        <w:t xml:space="preserve">wood </w:t>
      </w:r>
      <w:r w:rsidRPr="00F64A1C">
        <w:t>shop</w:t>
      </w:r>
      <w:r w:rsidRPr="00F64A1C">
        <w:t xml:space="preserve"> into</w:t>
      </w:r>
      <w:r w:rsidRPr="00F64A1C">
        <w:t xml:space="preserve"> a commercial kitchen</w:t>
      </w:r>
      <w:r w:rsidRPr="00F64A1C">
        <w:t xml:space="preserve">.  </w:t>
      </w:r>
      <w:proofErr w:type="spellStart"/>
      <w:r w:rsidRPr="00F64A1C">
        <w:rPr>
          <w:rFonts w:cs="Times New Roman"/>
          <w:kern w:val="0"/>
        </w:rPr>
        <w:t>CloudKitchens’s</w:t>
      </w:r>
      <w:proofErr w:type="spellEnd"/>
      <w:r w:rsidRPr="00F64A1C">
        <w:rPr>
          <w:kern w:val="0"/>
        </w:rPr>
        <w:t xml:space="preserve"> </w:t>
      </w:r>
      <w:r w:rsidRPr="00F64A1C">
        <w:rPr>
          <w:kern w:val="0"/>
        </w:rPr>
        <w:t>submission</w:t>
      </w:r>
      <w:r w:rsidRPr="00F64A1C">
        <w:rPr>
          <w:kern w:val="0"/>
        </w:rPr>
        <w:t xml:space="preserve"> </w:t>
      </w:r>
      <w:r w:rsidRPr="00F64A1C">
        <w:t>described</w:t>
      </w:r>
      <w:r w:rsidRPr="00F64A1C">
        <w:t xml:space="preserve"> the </w:t>
      </w:r>
      <w:r w:rsidRPr="00F64A1C">
        <w:t xml:space="preserve">proposed </w:t>
      </w:r>
      <w:r w:rsidRPr="00F64A1C">
        <w:rPr>
          <w:rFonts w:cs="CenturySchoolbook"/>
          <w:kern w:val="0"/>
        </w:rPr>
        <w:t xml:space="preserve">facility </w:t>
      </w:r>
      <w:r w:rsidRPr="00F64A1C">
        <w:rPr>
          <w:rFonts w:cs="CenturySchoolbook"/>
          <w:kern w:val="0"/>
        </w:rPr>
        <w:t xml:space="preserve">as </w:t>
      </w:r>
      <w:r w:rsidRPr="00F64A1C">
        <w:rPr>
          <w:rFonts w:cs="CenturySchoolbook"/>
          <w:kern w:val="0"/>
        </w:rPr>
        <w:lastRenderedPageBreak/>
        <w:t>“[c]</w:t>
      </w:r>
      <w:proofErr w:type="spellStart"/>
      <w:r w:rsidRPr="00F64A1C">
        <w:rPr>
          <w:rFonts w:cs="CenturySchoolbook"/>
          <w:kern w:val="0"/>
        </w:rPr>
        <w:t>ompartmentalized</w:t>
      </w:r>
      <w:proofErr w:type="spellEnd"/>
      <w:r w:rsidRPr="00F64A1C">
        <w:rPr>
          <w:rFonts w:cs="CenturySchoolbook"/>
          <w:kern w:val="0"/>
        </w:rPr>
        <w:t xml:space="preserve"> commercial kitchens for </w:t>
      </w:r>
      <w:r w:rsidRPr="00F64A1C">
        <w:rPr>
          <w:rFonts w:cs="CenturySchoolbook"/>
          <w:kern w:val="0"/>
        </w:rPr>
        <w:t>take-out services only</w:t>
      </w:r>
      <w:r w:rsidRPr="00F64A1C">
        <w:rPr>
          <w:rFonts w:cs="CenturySchoolbook"/>
          <w:kern w:val="0"/>
        </w:rPr>
        <w:t>,</w:t>
      </w:r>
      <w:r w:rsidRPr="00F64A1C">
        <w:rPr>
          <w:rFonts w:cs="CenturySchoolbook"/>
          <w:kern w:val="0"/>
        </w:rPr>
        <w:t>”</w:t>
      </w:r>
      <w:r w:rsidRPr="00F64A1C">
        <w:rPr>
          <w:rFonts w:cs="CenturySchoolbook"/>
          <w:kern w:val="0"/>
        </w:rPr>
        <w:t xml:space="preserve"> measuring roughly 14,000 square feet space.</w:t>
      </w:r>
      <w:r w:rsidRPr="00F64A1C">
        <w:rPr>
          <w:rFonts w:cs="CenturySchoolbook"/>
          <w:kern w:val="0"/>
        </w:rPr>
        <w:t xml:space="preserve"> </w:t>
      </w:r>
    </w:p>
    <w:p w14:paraId="5BD8E392" w14:textId="77777777" w:rsidR="00A113D7" w:rsidRPr="00F64A1C" w:rsidRDefault="00A113D7" w:rsidP="00B17EA9">
      <w:pPr>
        <w:ind w:firstLine="720"/>
        <w:textAlignment w:val="baseline"/>
      </w:pPr>
      <w:r w:rsidRPr="00F64A1C">
        <w:t>As explained on the City-issued application form, “[a]</w:t>
      </w:r>
      <w:r w:rsidRPr="00F64A1C">
        <w:rPr>
          <w:kern w:val="0"/>
        </w:rPr>
        <w:t xml:space="preserve"> Zoning Clearance is required</w:t>
      </w:r>
      <w:r w:rsidRPr="00F64A1C">
        <w:rPr>
          <w:kern w:val="0"/>
        </w:rPr>
        <w:t xml:space="preserve"> for</w:t>
      </w:r>
      <w:r w:rsidRPr="00F64A1C">
        <w:rPr>
          <w:kern w:val="0"/>
        </w:rPr>
        <w:t xml:space="preserve"> all new or relocated businesses</w:t>
      </w:r>
      <w:r w:rsidRPr="00F64A1C">
        <w:rPr>
          <w:b/>
          <w:kern w:val="0"/>
        </w:rPr>
        <w:t xml:space="preserve"> </w:t>
      </w:r>
      <w:r w:rsidRPr="00F64A1C">
        <w:rPr>
          <w:kern w:val="0"/>
        </w:rPr>
        <w:t xml:space="preserve">(including change of ownership) in order to verify that the type of business [being proposed] is permitted by the City’s Zoning Regulations at that location.” </w:t>
      </w:r>
      <w:r w:rsidRPr="00F64A1C">
        <w:rPr>
          <w:rFonts w:cs="Times New Roman"/>
          <w:kern w:val="0"/>
        </w:rPr>
        <w:t xml:space="preserve"> </w:t>
      </w:r>
      <w:proofErr w:type="spellStart"/>
      <w:r w:rsidRPr="00F64A1C">
        <w:rPr>
          <w:rFonts w:cs="CenturySchoolbook"/>
          <w:kern w:val="0"/>
        </w:rPr>
        <w:t>CloudKitchens’s</w:t>
      </w:r>
      <w:proofErr w:type="spellEnd"/>
      <w:r w:rsidRPr="00F64A1C">
        <w:rPr>
          <w:rFonts w:cs="CenturySchoolbook"/>
          <w:kern w:val="0"/>
        </w:rPr>
        <w:t xml:space="preserve"> </w:t>
      </w:r>
      <w:r w:rsidRPr="00F64A1C">
        <w:rPr>
          <w:rFonts w:cs="CenturySchoolbook"/>
          <w:kern w:val="0"/>
        </w:rPr>
        <w:t>facility</w:t>
      </w:r>
      <w:r w:rsidRPr="00F64A1C">
        <w:rPr>
          <w:rFonts w:cs="CenturySchoolbook"/>
          <w:kern w:val="0"/>
        </w:rPr>
        <w:t xml:space="preserve"> is in</w:t>
      </w:r>
      <w:r w:rsidRPr="00F64A1C">
        <w:rPr>
          <w:rFonts w:cs="CenturySchoolbook"/>
          <w:kern w:val="0"/>
        </w:rPr>
        <w:t xml:space="preserve"> a</w:t>
      </w:r>
      <w:r w:rsidRPr="00F64A1C">
        <w:rPr>
          <w:rFonts w:cs="CenturySchoolbook"/>
          <w:kern w:val="0"/>
        </w:rPr>
        <w:t xml:space="preserve"> “Housing and Business Mix-1 Commercial Zone” (HBX-1</w:t>
      </w:r>
      <w:r w:rsidRPr="00F64A1C">
        <w:rPr>
          <w:rFonts w:cs="CenturySchoolbook"/>
          <w:kern w:val="0"/>
        </w:rPr>
        <w:t xml:space="preserve"> zone</w:t>
      </w:r>
      <w:r w:rsidRPr="00F64A1C">
        <w:rPr>
          <w:rFonts w:cs="CenturySchoolbook"/>
          <w:kern w:val="0"/>
        </w:rPr>
        <w:t>)</w:t>
      </w:r>
      <w:r w:rsidRPr="00F64A1C">
        <w:rPr>
          <w:rFonts w:cs="CenturySchoolbook"/>
          <w:kern w:val="0"/>
        </w:rPr>
        <w:t>,</w:t>
      </w:r>
      <w:r w:rsidRPr="00F64A1C">
        <w:rPr>
          <w:rFonts w:cs="CenturySchoolbook"/>
          <w:kern w:val="0"/>
        </w:rPr>
        <w:t xml:space="preserve"> which </w:t>
      </w:r>
      <w:r w:rsidRPr="00F64A1C">
        <w:rPr>
          <w:rFonts w:cs="CenturySchoolbook"/>
          <w:kern w:val="0"/>
        </w:rPr>
        <w:t xml:space="preserve">permits by right </w:t>
      </w:r>
      <w:r w:rsidRPr="00F64A1C">
        <w:rPr>
          <w:rFonts w:cs="CenturySchoolbook"/>
          <w:kern w:val="0"/>
        </w:rPr>
        <w:t xml:space="preserve">certain industrial </w:t>
      </w:r>
      <w:r w:rsidRPr="00F64A1C">
        <w:rPr>
          <w:rFonts w:cs="CenturySchoolbook"/>
          <w:kern w:val="0"/>
        </w:rPr>
        <w:t>activities</w:t>
      </w:r>
      <w:r w:rsidRPr="00F64A1C">
        <w:rPr>
          <w:rFonts w:cs="CenturySchoolbook"/>
          <w:kern w:val="0"/>
        </w:rPr>
        <w:t xml:space="preserve"> classified as </w:t>
      </w:r>
      <w:r w:rsidRPr="00F64A1C">
        <w:rPr>
          <w:rFonts w:cs="CenturySchoolbook"/>
          <w:kern w:val="0"/>
        </w:rPr>
        <w:t>“Light Manufacturing</w:t>
      </w:r>
      <w:r w:rsidRPr="00F64A1C">
        <w:rPr>
          <w:rFonts w:cs="CenturySchoolbook"/>
          <w:kern w:val="0"/>
        </w:rPr>
        <w:t>.</w:t>
      </w:r>
      <w:r w:rsidRPr="00F64A1C">
        <w:rPr>
          <w:rFonts w:cs="CenturySchoolbook"/>
          <w:kern w:val="0"/>
        </w:rPr>
        <w:t>”</w:t>
      </w:r>
      <w:r w:rsidRPr="00F64A1C">
        <w:rPr>
          <w:rFonts w:cs="CenturySchoolbook"/>
          <w:kern w:val="0"/>
        </w:rPr>
        <w:t xml:space="preserve"> </w:t>
      </w:r>
      <w:r w:rsidRPr="00F64A1C">
        <w:rPr>
          <w:rFonts w:cs="CenturySchoolbook"/>
          <w:kern w:val="0"/>
        </w:rPr>
        <w:t xml:space="preserve"> (§</w:t>
      </w:r>
      <w:r w:rsidRPr="00F64A1C">
        <w:rPr>
          <w:rFonts w:cs="CenturySchoolbook"/>
          <w:kern w:val="0"/>
        </w:rPr>
        <w:t> </w:t>
      </w:r>
      <w:r w:rsidRPr="00F64A1C">
        <w:rPr>
          <w:rFonts w:cs="CenturySchoolbook"/>
          <w:kern w:val="0"/>
        </w:rPr>
        <w:t>17.65.0</w:t>
      </w:r>
      <w:r w:rsidRPr="00F64A1C">
        <w:rPr>
          <w:rFonts w:cs="CenturySchoolbook"/>
          <w:kern w:val="0"/>
        </w:rPr>
        <w:t>3</w:t>
      </w:r>
      <w:r w:rsidRPr="00F64A1C">
        <w:rPr>
          <w:rFonts w:cs="CenturySchoolbook"/>
          <w:kern w:val="0"/>
        </w:rPr>
        <w:t>0.)</w:t>
      </w:r>
      <w:r w:rsidRPr="00F64A1C">
        <w:rPr>
          <w:rFonts w:cs="CenturySchoolbook"/>
          <w:kern w:val="0"/>
        </w:rPr>
        <w:t xml:space="preserve"> </w:t>
      </w:r>
      <w:r w:rsidRPr="00F64A1C">
        <w:rPr>
          <w:rFonts w:cs="CenturySchoolbook"/>
          <w:kern w:val="0"/>
        </w:rPr>
        <w:t xml:space="preserve"> </w:t>
      </w:r>
      <w:bookmarkStart w:id="0" w:name="_Hlk168519821"/>
      <w:r w:rsidRPr="00F64A1C">
        <w:rPr>
          <w:rFonts w:cs="CenturySchoolbook"/>
          <w:kern w:val="0"/>
        </w:rPr>
        <w:t xml:space="preserve">One such </w:t>
      </w:r>
      <w:r w:rsidRPr="00F64A1C">
        <w:rPr>
          <w:rFonts w:cs="CenturySchoolbook"/>
          <w:kern w:val="0"/>
        </w:rPr>
        <w:t>light manufacturing use</w:t>
      </w:r>
      <w:r w:rsidRPr="00F64A1C">
        <w:rPr>
          <w:rFonts w:cs="CenturySchoolbook"/>
          <w:kern w:val="0"/>
        </w:rPr>
        <w:t xml:space="preserve"> enumerated in the </w:t>
      </w:r>
      <w:r w:rsidRPr="00F64A1C">
        <w:rPr>
          <w:rFonts w:cs="CenturySchoolbook"/>
          <w:kern w:val="0"/>
        </w:rPr>
        <w:t>OMC</w:t>
      </w:r>
      <w:r w:rsidRPr="00F64A1C">
        <w:rPr>
          <w:rFonts w:cs="CenturySchoolbook"/>
          <w:kern w:val="0"/>
        </w:rPr>
        <w:t xml:space="preserve"> is </w:t>
      </w:r>
      <w:r w:rsidRPr="00F64A1C">
        <w:rPr>
          <w:rFonts w:cs="CenturySchoolbook"/>
          <w:kern w:val="0"/>
        </w:rPr>
        <w:t>“the</w:t>
      </w:r>
      <w:r w:rsidRPr="00F64A1C">
        <w:rPr>
          <w:rFonts w:cs="CenturySchoolbook"/>
          <w:kern w:val="0"/>
        </w:rPr>
        <w:t xml:space="preserve"> </w:t>
      </w:r>
      <w:r w:rsidRPr="00F64A1C">
        <w:rPr>
          <w:rFonts w:cs="CenturySchoolbook"/>
          <w:kern w:val="0"/>
        </w:rPr>
        <w:t>production or assembly of</w:t>
      </w:r>
      <w:proofErr w:type="gramStart"/>
      <w:r w:rsidRPr="00F64A1C">
        <w:rPr>
          <w:rFonts w:cs="CenturySchoolbook"/>
          <w:kern w:val="0"/>
        </w:rPr>
        <w:t>:</w:t>
      </w:r>
      <w:r w:rsidRPr="00F64A1C">
        <w:rPr>
          <w:rFonts w:cs="CenturySchoolbook"/>
          <w:kern w:val="0"/>
        </w:rPr>
        <w:t xml:space="preserve">  [</w:t>
      </w:r>
      <w:proofErr w:type="gramEnd"/>
      <w:r w:rsidRPr="00F64A1C">
        <w:rPr>
          <w:rFonts w:cs="CenturySchoolbook"/>
          <w:kern w:val="0"/>
        </w:rPr>
        <w:t>¶] . . . </w:t>
      </w:r>
      <w:r w:rsidRPr="00F64A1C">
        <w:rPr>
          <w:kern w:val="0"/>
        </w:rPr>
        <w:t>[¶] (D)</w:t>
      </w:r>
      <w:r w:rsidRPr="00F64A1C">
        <w:rPr>
          <w:kern w:val="0"/>
        </w:rPr>
        <w:t> </w:t>
      </w:r>
      <w:r w:rsidRPr="00F64A1C">
        <w:rPr>
          <w:rFonts w:cs="CenturySchoolbook"/>
          <w:kern w:val="0"/>
        </w:rPr>
        <w:t>[b]</w:t>
      </w:r>
      <w:proofErr w:type="spellStart"/>
      <w:r w:rsidRPr="00F64A1C">
        <w:rPr>
          <w:rFonts w:cs="CenturySchoolbook"/>
          <w:kern w:val="0"/>
        </w:rPr>
        <w:t>everages</w:t>
      </w:r>
      <w:proofErr w:type="spellEnd"/>
      <w:r w:rsidRPr="00F64A1C">
        <w:rPr>
          <w:rFonts w:cs="CenturySchoolbook"/>
          <w:kern w:val="0"/>
        </w:rPr>
        <w:t xml:space="preserve"> (including alcoholic) and</w:t>
      </w:r>
      <w:r w:rsidRPr="00F64A1C">
        <w:rPr>
          <w:rFonts w:cs="CenturySchoolbook"/>
          <w:kern w:val="0"/>
        </w:rPr>
        <w:t xml:space="preserve"> </w:t>
      </w:r>
      <w:r w:rsidRPr="00F64A1C">
        <w:rPr>
          <w:rFonts w:cs="CenturySchoolbook"/>
          <w:kern w:val="0"/>
        </w:rPr>
        <w:t>food</w:t>
      </w:r>
      <w:r w:rsidRPr="00F64A1C">
        <w:rPr>
          <w:rFonts w:cs="CenturySchoolbook"/>
          <w:kern w:val="0"/>
        </w:rPr>
        <w:t> </w:t>
      </w:r>
      <w:r w:rsidRPr="00F64A1C">
        <w:rPr>
          <w:rFonts w:cs="CenturySchoolbook"/>
          <w:kern w:val="0"/>
        </w:rPr>
        <w:t>.</w:t>
      </w:r>
      <w:r w:rsidRPr="00F64A1C">
        <w:rPr>
          <w:rFonts w:cs="CenturySchoolbook"/>
          <w:kern w:val="0"/>
        </w:rPr>
        <w:t> </w:t>
      </w:r>
      <w:r w:rsidRPr="00F64A1C">
        <w:rPr>
          <w:rFonts w:cs="CenturySchoolbook"/>
          <w:kern w:val="0"/>
        </w:rPr>
        <w:t>.</w:t>
      </w:r>
      <w:r w:rsidRPr="00F64A1C">
        <w:rPr>
          <w:rFonts w:cs="CenturySchoolbook"/>
          <w:kern w:val="0"/>
        </w:rPr>
        <w:t> </w:t>
      </w:r>
      <w:r w:rsidRPr="00F64A1C">
        <w:rPr>
          <w:rFonts w:cs="CenturySchoolbook"/>
          <w:kern w:val="0"/>
        </w:rPr>
        <w:t>.</w:t>
      </w:r>
      <w:r w:rsidRPr="00F64A1C">
        <w:rPr>
          <w:rFonts w:cs="CenturySchoolbook"/>
          <w:kern w:val="0"/>
        </w:rPr>
        <w:t> </w:t>
      </w:r>
      <w:r w:rsidRPr="00F64A1C">
        <w:rPr>
          <w:rFonts w:cs="CenturySchoolbook"/>
          <w:kern w:val="0"/>
        </w:rPr>
        <w:t xml:space="preserve">with more than ten thousand </w:t>
      </w:r>
      <w:r w:rsidRPr="00F64A1C">
        <w:rPr>
          <w:rFonts w:cs="CenturySchoolbook"/>
          <w:kern w:val="0"/>
        </w:rPr>
        <w:t>(10,000) square feet of floor</w:t>
      </w:r>
      <w:r w:rsidRPr="00F64A1C">
        <w:rPr>
          <w:rFonts w:cs="CenturySchoolbook"/>
          <w:kern w:val="0"/>
        </w:rPr>
        <w:t xml:space="preserve"> </w:t>
      </w:r>
      <w:r w:rsidRPr="00F64A1C">
        <w:rPr>
          <w:rFonts w:cs="CenturySchoolbook"/>
          <w:kern w:val="0"/>
        </w:rPr>
        <w:t>area.”</w:t>
      </w:r>
      <w:r w:rsidRPr="00F64A1C">
        <w:rPr>
          <w:rFonts w:cs="CenturySchoolbook"/>
          <w:kern w:val="0"/>
        </w:rPr>
        <w:t xml:space="preserve"> </w:t>
      </w:r>
      <w:r w:rsidRPr="00F64A1C">
        <w:rPr>
          <w:rFonts w:cs="CenturySchoolbook"/>
          <w:kern w:val="0"/>
        </w:rPr>
        <w:t xml:space="preserve"> (§</w:t>
      </w:r>
      <w:r w:rsidRPr="00F64A1C">
        <w:rPr>
          <w:rFonts w:cs="CenturySchoolbook"/>
          <w:kern w:val="0"/>
        </w:rPr>
        <w:t> </w:t>
      </w:r>
      <w:r w:rsidRPr="00F64A1C">
        <w:rPr>
          <w:rFonts w:cs="CenturySchoolbook"/>
          <w:kern w:val="0"/>
        </w:rPr>
        <w:t>17.10.560</w:t>
      </w:r>
      <w:r w:rsidRPr="00F64A1C">
        <w:rPr>
          <w:rFonts w:cs="CenturySchoolbook"/>
          <w:kern w:val="0"/>
        </w:rPr>
        <w:t>, subd. </w:t>
      </w:r>
      <w:r w:rsidRPr="00F64A1C">
        <w:rPr>
          <w:rFonts w:cs="CenturySchoolbook"/>
          <w:kern w:val="0"/>
        </w:rPr>
        <w:t>(</w:t>
      </w:r>
      <w:r w:rsidRPr="00F64A1C">
        <w:rPr>
          <w:rFonts w:cs="CenturySchoolbook"/>
          <w:kern w:val="0"/>
        </w:rPr>
        <w:t>D</w:t>
      </w:r>
      <w:r w:rsidRPr="00F64A1C">
        <w:rPr>
          <w:rFonts w:cs="CenturySchoolbook"/>
          <w:kern w:val="0"/>
        </w:rPr>
        <w:t>)</w:t>
      </w:r>
      <w:r w:rsidRPr="00F64A1C">
        <w:rPr>
          <w:rFonts w:cs="CenturySchoolbook"/>
          <w:kern w:val="0"/>
        </w:rPr>
        <w:t>.)</w:t>
      </w:r>
    </w:p>
    <w:bookmarkEnd w:id="0"/>
    <w:p w14:paraId="2A9F4D4E" w14:textId="77777777" w:rsidR="00A113D7" w:rsidRPr="00F64A1C" w:rsidRDefault="00A113D7" w:rsidP="00B17EA9">
      <w:pPr>
        <w:ind w:firstLine="720"/>
        <w:textAlignment w:val="baseline"/>
      </w:pPr>
      <w:r w:rsidRPr="00F64A1C">
        <w:t>Later that month</w:t>
      </w:r>
      <w:r w:rsidRPr="00F64A1C">
        <w:t xml:space="preserve">, the </w:t>
      </w:r>
      <w:r w:rsidRPr="00F64A1C">
        <w:t xml:space="preserve">Planning Department </w:t>
      </w:r>
      <w:r w:rsidRPr="00F64A1C">
        <w:t xml:space="preserve">issued </w:t>
      </w:r>
      <w:proofErr w:type="spellStart"/>
      <w:r w:rsidRPr="00F64A1C">
        <w:t>CloudKitchens</w:t>
      </w:r>
      <w:proofErr w:type="spellEnd"/>
      <w:r w:rsidRPr="00F64A1C">
        <w:t xml:space="preserve"> </w:t>
      </w:r>
      <w:r w:rsidRPr="00F64A1C">
        <w:t xml:space="preserve">a </w:t>
      </w:r>
      <w:r w:rsidRPr="00F64A1C">
        <w:t>z</w:t>
      </w:r>
      <w:r w:rsidRPr="00F64A1C">
        <w:t xml:space="preserve">oning </w:t>
      </w:r>
      <w:r w:rsidRPr="00F64A1C">
        <w:t>c</w:t>
      </w:r>
      <w:r w:rsidRPr="00F64A1C">
        <w:t xml:space="preserve">learance. </w:t>
      </w:r>
      <w:r w:rsidRPr="00F64A1C">
        <w:t xml:space="preserve"> </w:t>
      </w:r>
      <w:r w:rsidRPr="00F64A1C">
        <w:t>T</w:t>
      </w:r>
      <w:r w:rsidRPr="00F64A1C">
        <w:t>he</w:t>
      </w:r>
      <w:r w:rsidRPr="00F64A1C">
        <w:t xml:space="preserve"> following March</w:t>
      </w:r>
      <w:r w:rsidRPr="00F64A1C">
        <w:t>, the</w:t>
      </w:r>
      <w:r w:rsidRPr="00F64A1C">
        <w:t xml:space="preserve"> </w:t>
      </w:r>
      <w:r w:rsidRPr="00F64A1C">
        <w:t>Planning Department</w:t>
      </w:r>
      <w:r w:rsidRPr="00F64A1C">
        <w:t xml:space="preserve"> issued </w:t>
      </w:r>
      <w:proofErr w:type="spellStart"/>
      <w:r w:rsidRPr="00F64A1C">
        <w:t>CloudKitchens</w:t>
      </w:r>
      <w:proofErr w:type="spellEnd"/>
      <w:r w:rsidRPr="00F64A1C">
        <w:t xml:space="preserve"> </w:t>
      </w:r>
      <w:r w:rsidRPr="00F64A1C">
        <w:t xml:space="preserve">a building permit allowing </w:t>
      </w:r>
      <w:r w:rsidRPr="00F64A1C">
        <w:t>renovations</w:t>
      </w:r>
      <w:r w:rsidRPr="00F64A1C">
        <w:t>.</w:t>
      </w:r>
      <w:r w:rsidRPr="00F64A1C">
        <w:t xml:space="preserve">  </w:t>
      </w:r>
    </w:p>
    <w:p w14:paraId="3C656714" w14:textId="77777777" w:rsidR="00A113D7" w:rsidRPr="00F64A1C" w:rsidRDefault="00A113D7" w:rsidP="00B17EA9">
      <w:pPr>
        <w:keepNext/>
        <w:ind w:left="360"/>
        <w:textAlignment w:val="baseline"/>
        <w:rPr>
          <w:b/>
          <w:bCs/>
          <w:i/>
          <w:iCs/>
        </w:rPr>
      </w:pPr>
      <w:r w:rsidRPr="00F64A1C">
        <w:rPr>
          <w:b/>
          <w:bCs/>
        </w:rPr>
        <w:t xml:space="preserve">II. </w:t>
      </w:r>
      <w:r w:rsidRPr="00F64A1C">
        <w:rPr>
          <w:b/>
          <w:bCs/>
        </w:rPr>
        <w:t xml:space="preserve">Neighbors Request </w:t>
      </w:r>
      <w:r w:rsidRPr="00F64A1C">
        <w:rPr>
          <w:b/>
          <w:bCs/>
        </w:rPr>
        <w:t>Revocation Review Process</w:t>
      </w:r>
    </w:p>
    <w:p w14:paraId="19303785" w14:textId="77777777" w:rsidR="00A113D7" w:rsidRPr="00F64A1C" w:rsidRDefault="00A113D7" w:rsidP="00B17EA9">
      <w:pPr>
        <w:ind w:firstLine="720"/>
        <w:textAlignment w:val="baseline"/>
      </w:pPr>
      <w:r w:rsidRPr="00F64A1C">
        <w:t>In April 2021</w:t>
      </w:r>
      <w:r w:rsidRPr="00F64A1C">
        <w:t xml:space="preserve">, Neighbors learned of </w:t>
      </w:r>
      <w:proofErr w:type="spellStart"/>
      <w:r w:rsidRPr="00F64A1C">
        <w:t>CloudKitchens’s</w:t>
      </w:r>
      <w:proofErr w:type="spellEnd"/>
      <w:r w:rsidRPr="00F64A1C">
        <w:t xml:space="preserve"> plans. </w:t>
      </w:r>
      <w:r w:rsidRPr="00F64A1C">
        <w:t xml:space="preserve"> Nearly two months later, Neighbors sent a letter to the City Administrator</w:t>
      </w:r>
      <w:r w:rsidRPr="00F64A1C">
        <w:t xml:space="preserve"> </w:t>
      </w:r>
      <w:r w:rsidRPr="00F64A1C">
        <w:t>“</w:t>
      </w:r>
      <w:r w:rsidRPr="00F64A1C">
        <w:t>request</w:t>
      </w:r>
      <w:r w:rsidRPr="00F64A1C">
        <w:t>[</w:t>
      </w:r>
      <w:proofErr w:type="spellStart"/>
      <w:r w:rsidRPr="00F64A1C">
        <w:t>ing</w:t>
      </w:r>
      <w:proofErr w:type="spellEnd"/>
      <w:r w:rsidRPr="00F64A1C">
        <w:t>]</w:t>
      </w:r>
      <w:r w:rsidRPr="00F64A1C">
        <w:t xml:space="preserve"> that the </w:t>
      </w:r>
      <w:r w:rsidRPr="00F64A1C">
        <w:t>City reconsider</w:t>
      </w:r>
      <w:r w:rsidRPr="00F64A1C">
        <w:t xml:space="preserve"> </w:t>
      </w:r>
      <w:r w:rsidRPr="00F64A1C">
        <w:t xml:space="preserve">its approval </w:t>
      </w:r>
      <w:r w:rsidRPr="00F64A1C">
        <w:t>of</w:t>
      </w:r>
      <w:r w:rsidRPr="00F64A1C">
        <w:t xml:space="preserve"> </w:t>
      </w:r>
      <w:proofErr w:type="spellStart"/>
      <w:r w:rsidRPr="00F64A1C">
        <w:t>CloudKitchens</w:t>
      </w:r>
      <w:proofErr w:type="spellEnd"/>
      <w:r w:rsidRPr="00F64A1C">
        <w:t xml:space="preserve"> as qualifying for HBX-1 classification.”</w:t>
      </w:r>
      <w:r w:rsidRPr="00F64A1C">
        <w:t xml:space="preserve">  </w:t>
      </w:r>
      <w:r w:rsidRPr="00F64A1C">
        <w:t>T</w:t>
      </w:r>
      <w:r w:rsidRPr="00F64A1C">
        <w:t xml:space="preserve">he City’s Zoning Manager responded, </w:t>
      </w:r>
      <w:r w:rsidRPr="00F64A1C">
        <w:t>maintaini</w:t>
      </w:r>
      <w:r w:rsidRPr="00F64A1C">
        <w:t>ng</w:t>
      </w:r>
      <w:r w:rsidRPr="00F64A1C">
        <w:t xml:space="preserve"> </w:t>
      </w:r>
      <w:r w:rsidRPr="00F64A1C">
        <w:t>that</w:t>
      </w:r>
      <w:r w:rsidRPr="00F64A1C">
        <w:t xml:space="preserve"> the</w:t>
      </w:r>
      <w:r w:rsidRPr="00F64A1C">
        <w:t xml:space="preserve"> </w:t>
      </w:r>
      <w:r w:rsidRPr="00F64A1C">
        <w:t>decision</w:t>
      </w:r>
      <w:r w:rsidRPr="00F64A1C">
        <w:t xml:space="preserve"> was</w:t>
      </w:r>
      <w:r w:rsidRPr="00F64A1C">
        <w:t xml:space="preserve"> </w:t>
      </w:r>
      <w:r w:rsidRPr="00F64A1C">
        <w:t>proper</w:t>
      </w:r>
      <w:r w:rsidRPr="00F64A1C">
        <w:t>.</w:t>
      </w:r>
      <w:r w:rsidRPr="00F64A1C">
        <w:t xml:space="preserve">  </w:t>
      </w:r>
    </w:p>
    <w:p w14:paraId="69CEA734" w14:textId="77777777" w:rsidR="00A113D7" w:rsidRPr="00F64A1C" w:rsidRDefault="00A113D7" w:rsidP="00B17EA9">
      <w:pPr>
        <w:ind w:firstLine="720"/>
        <w:textAlignment w:val="baseline"/>
        <w:rPr>
          <w:rFonts w:cs="Calibri"/>
          <w:kern w:val="0"/>
        </w:rPr>
      </w:pPr>
      <w:r w:rsidRPr="00F64A1C">
        <w:t>In July</w:t>
      </w:r>
      <w:r w:rsidRPr="00F64A1C">
        <w:t xml:space="preserve">, </w:t>
      </w:r>
      <w:r w:rsidRPr="00F64A1C">
        <w:t>Neighbors</w:t>
      </w:r>
      <w:r w:rsidRPr="00F64A1C">
        <w:t xml:space="preserve"> filed a formal complaint</w:t>
      </w:r>
      <w:r w:rsidRPr="00F64A1C">
        <w:t xml:space="preserve"> </w:t>
      </w:r>
      <w:r w:rsidRPr="00F64A1C">
        <w:t xml:space="preserve">requesting the </w:t>
      </w:r>
      <w:r w:rsidRPr="00F64A1C">
        <w:t xml:space="preserve">Planning </w:t>
      </w:r>
      <w:r w:rsidRPr="00F64A1C">
        <w:t>Department</w:t>
      </w:r>
      <w:r w:rsidRPr="00F64A1C">
        <w:t xml:space="preserve"> </w:t>
      </w:r>
      <w:r w:rsidRPr="00F64A1C">
        <w:t>initiate</w:t>
      </w:r>
      <w:r w:rsidRPr="00F64A1C">
        <w:t xml:space="preserve"> a revocation review process</w:t>
      </w:r>
      <w:r w:rsidRPr="00F64A1C">
        <w:t xml:space="preserve"> pursuant to </w:t>
      </w:r>
      <w:r w:rsidRPr="00F64A1C">
        <w:t>c</w:t>
      </w:r>
      <w:r w:rsidRPr="00F64A1C">
        <w:t>hapter</w:t>
      </w:r>
      <w:r w:rsidRPr="00F64A1C">
        <w:t> </w:t>
      </w:r>
      <w:r w:rsidRPr="00F64A1C">
        <w:t>17.152.</w:t>
      </w:r>
      <w:r w:rsidRPr="00F64A1C">
        <w:t xml:space="preserve">  </w:t>
      </w:r>
      <w:r w:rsidRPr="00F64A1C">
        <w:t>They</w:t>
      </w:r>
      <w:r w:rsidRPr="00F64A1C">
        <w:t xml:space="preserve"> </w:t>
      </w:r>
      <w:r w:rsidRPr="00F64A1C">
        <w:t>alleged “</w:t>
      </w:r>
      <w:proofErr w:type="spellStart"/>
      <w:r w:rsidRPr="00F64A1C">
        <w:t>CloudKitchens</w:t>
      </w:r>
      <w:proofErr w:type="spellEnd"/>
      <w:r w:rsidRPr="00F64A1C">
        <w:t xml:space="preserve"> will [b]</w:t>
      </w:r>
      <w:proofErr w:type="spellStart"/>
      <w:r w:rsidRPr="00F64A1C">
        <w:t>ecome</w:t>
      </w:r>
      <w:proofErr w:type="spellEnd"/>
      <w:r w:rsidRPr="00F64A1C">
        <w:t xml:space="preserve"> a [n]</w:t>
      </w:r>
      <w:proofErr w:type="spellStart"/>
      <w:r w:rsidRPr="00F64A1C">
        <w:t>uisance</w:t>
      </w:r>
      <w:proofErr w:type="spellEnd"/>
      <w:r w:rsidRPr="00F64A1C">
        <w:t>”</w:t>
      </w:r>
      <w:r w:rsidRPr="00F64A1C">
        <w:t xml:space="preserve"> </w:t>
      </w:r>
      <w:r w:rsidRPr="00F64A1C">
        <w:t xml:space="preserve">due to </w:t>
      </w:r>
      <w:r w:rsidRPr="00F64A1C">
        <w:t>increased traffic</w:t>
      </w:r>
      <w:r w:rsidRPr="00F64A1C">
        <w:t>, air pollution, and noise</w:t>
      </w:r>
      <w:r w:rsidRPr="00F64A1C">
        <w:t>,</w:t>
      </w:r>
      <w:r w:rsidRPr="00F64A1C">
        <w:rPr>
          <w:rFonts w:cs="Calibri"/>
          <w:kern w:val="0"/>
        </w:rPr>
        <w:t xml:space="preserve"> and that </w:t>
      </w:r>
      <w:r w:rsidRPr="00F64A1C">
        <w:rPr>
          <w:rFonts w:cs="Calibri"/>
          <w:kern w:val="0"/>
        </w:rPr>
        <w:t>the commercialized kitchen</w:t>
      </w:r>
      <w:r w:rsidRPr="00F64A1C">
        <w:rPr>
          <w:rFonts w:cs="Calibri"/>
          <w:kern w:val="0"/>
        </w:rPr>
        <w:t xml:space="preserve"> “</w:t>
      </w:r>
      <w:r w:rsidRPr="00F64A1C">
        <w:rPr>
          <w:rFonts w:cs="Calibri"/>
          <w:kern w:val="0"/>
        </w:rPr>
        <w:t>is essentially a Fa</w:t>
      </w:r>
      <w:r w:rsidRPr="00F64A1C">
        <w:rPr>
          <w:rFonts w:cs="Calibri"/>
          <w:kern w:val="0"/>
        </w:rPr>
        <w:t>s</w:t>
      </w:r>
      <w:r w:rsidRPr="00F64A1C">
        <w:rPr>
          <w:rFonts w:cs="Calibri"/>
          <w:kern w:val="0"/>
        </w:rPr>
        <w:t xml:space="preserve">t-Food Restaurant” </w:t>
      </w:r>
      <w:r w:rsidRPr="00F64A1C">
        <w:rPr>
          <w:rFonts w:cs="Calibri"/>
          <w:kern w:val="0"/>
        </w:rPr>
        <w:t xml:space="preserve">not permitted in </w:t>
      </w:r>
      <w:r w:rsidRPr="00F64A1C">
        <w:rPr>
          <w:rFonts w:cs="Calibri"/>
          <w:kern w:val="0"/>
        </w:rPr>
        <w:t>an</w:t>
      </w:r>
      <w:r w:rsidRPr="00F64A1C">
        <w:rPr>
          <w:rFonts w:cs="Calibri"/>
          <w:kern w:val="0"/>
        </w:rPr>
        <w:t xml:space="preserve"> HBX-1 zone.</w:t>
      </w:r>
      <w:r w:rsidRPr="00F64A1C">
        <w:rPr>
          <w:rFonts w:cs="Calibri"/>
          <w:kern w:val="0"/>
        </w:rPr>
        <w:t xml:space="preserve">  </w:t>
      </w:r>
      <w:r w:rsidRPr="00F64A1C">
        <w:t xml:space="preserve">Given </w:t>
      </w:r>
      <w:r w:rsidRPr="00F64A1C">
        <w:lastRenderedPageBreak/>
        <w:t>the</w:t>
      </w:r>
      <w:r w:rsidRPr="00F64A1C">
        <w:t xml:space="preserve"> alleged </w:t>
      </w:r>
      <w:r w:rsidRPr="00F64A1C">
        <w:t>impermissible</w:t>
      </w:r>
      <w:r w:rsidRPr="00F64A1C">
        <w:t xml:space="preserve"> </w:t>
      </w:r>
      <w:r w:rsidRPr="00F64A1C">
        <w:t>use</w:t>
      </w:r>
      <w:r w:rsidRPr="00F64A1C">
        <w:t xml:space="preserve"> and anticipated nuisance</w:t>
      </w:r>
      <w:r w:rsidRPr="00F64A1C">
        <w:t>, Neighbors</w:t>
      </w:r>
      <w:r w:rsidRPr="00F64A1C">
        <w:t xml:space="preserve"> contended that the</w:t>
      </w:r>
      <w:r w:rsidRPr="00F64A1C">
        <w:t xml:space="preserve"> zoning clearan</w:t>
      </w:r>
      <w:r w:rsidRPr="00F64A1C">
        <w:t>ce contravened zoning regulations.</w:t>
      </w:r>
      <w:r w:rsidRPr="00F64A1C">
        <w:t xml:space="preserve">  </w:t>
      </w:r>
    </w:p>
    <w:p w14:paraId="37F17771" w14:textId="77777777" w:rsidR="00A113D7" w:rsidRPr="00F64A1C" w:rsidRDefault="00A113D7" w:rsidP="00B17EA9">
      <w:pPr>
        <w:ind w:firstLine="720"/>
        <w:textAlignment w:val="baseline"/>
      </w:pPr>
      <w:r w:rsidRPr="00F64A1C">
        <w:t>T</w:t>
      </w:r>
      <w:r w:rsidRPr="00F64A1C">
        <w:t xml:space="preserve">he </w:t>
      </w:r>
      <w:r w:rsidRPr="00F64A1C">
        <w:t xml:space="preserve">Planning Department </w:t>
      </w:r>
      <w:r w:rsidRPr="00F64A1C">
        <w:t>den</w:t>
      </w:r>
      <w:r w:rsidRPr="00F64A1C">
        <w:t>ied</w:t>
      </w:r>
      <w:r w:rsidRPr="00F64A1C">
        <w:t xml:space="preserve"> </w:t>
      </w:r>
      <w:r w:rsidRPr="00F64A1C">
        <w:t>the</w:t>
      </w:r>
      <w:r w:rsidRPr="00F64A1C">
        <w:t xml:space="preserve"> request</w:t>
      </w:r>
      <w:r w:rsidRPr="00F64A1C">
        <w:t>.</w:t>
      </w:r>
      <w:r w:rsidRPr="00F64A1C">
        <w:t xml:space="preserve"> </w:t>
      </w:r>
      <w:r w:rsidRPr="00F64A1C">
        <w:t xml:space="preserve"> </w:t>
      </w:r>
      <w:r w:rsidRPr="00F64A1C">
        <w:t xml:space="preserve">Echoing </w:t>
      </w:r>
      <w:r w:rsidRPr="00F64A1C">
        <w:t xml:space="preserve">the </w:t>
      </w:r>
      <w:r w:rsidRPr="00F64A1C">
        <w:t>Zoning Manager’s</w:t>
      </w:r>
      <w:r w:rsidRPr="00F64A1C">
        <w:t xml:space="preserve"> earlier </w:t>
      </w:r>
      <w:r w:rsidRPr="00F64A1C">
        <w:t>response</w:t>
      </w:r>
      <w:r w:rsidRPr="00F64A1C">
        <w:t xml:space="preserve">, </w:t>
      </w:r>
      <w:r w:rsidRPr="00F64A1C">
        <w:t xml:space="preserve">it </w:t>
      </w:r>
      <w:r w:rsidRPr="00F64A1C">
        <w:t>reiterated that</w:t>
      </w:r>
      <w:r w:rsidRPr="00F64A1C">
        <w:t xml:space="preserve"> </w:t>
      </w:r>
      <w:proofErr w:type="spellStart"/>
      <w:r w:rsidRPr="00F64A1C">
        <w:t>CloudKitchens’s</w:t>
      </w:r>
      <w:proofErr w:type="spellEnd"/>
      <w:r w:rsidRPr="00F64A1C">
        <w:t xml:space="preserve"> proposed use </w:t>
      </w:r>
      <w:r w:rsidRPr="00F64A1C">
        <w:t>was “considered a Light Manufacturing Industrial Activity since it involves the manufacturing of food in a facility that exceeds 10,000 square feet</w:t>
      </w:r>
      <w:r w:rsidRPr="00F64A1C">
        <w:t xml:space="preserve">,” and thus was “permitted by right in the HBX-1 Zone.”  </w:t>
      </w:r>
      <w:bookmarkStart w:id="1" w:name="_Hlk168653540"/>
      <w:r w:rsidRPr="00F64A1C">
        <w:t>It</w:t>
      </w:r>
      <w:r w:rsidRPr="00F64A1C">
        <w:t xml:space="preserve"> </w:t>
      </w:r>
      <w:r w:rsidRPr="00F64A1C">
        <w:t xml:space="preserve">expounded that </w:t>
      </w:r>
      <w:r w:rsidRPr="00F64A1C">
        <w:t>this determination was consistent with “similar kitchen uses</w:t>
      </w:r>
      <w:r w:rsidRPr="00F64A1C">
        <w:t xml:space="preserve"> . . . including another </w:t>
      </w:r>
      <w:proofErr w:type="spellStart"/>
      <w:r w:rsidRPr="00F64A1C">
        <w:t>CloudKitchen</w:t>
      </w:r>
      <w:proofErr w:type="spellEnd"/>
      <w:r w:rsidRPr="00F64A1C">
        <w:t>[s]</w:t>
      </w:r>
      <w:r w:rsidRPr="00F64A1C">
        <w:t xml:space="preserve"> located in the </w:t>
      </w:r>
      <w:proofErr w:type="gramStart"/>
      <w:r w:rsidRPr="00F64A1C">
        <w:t>City</w:t>
      </w:r>
      <w:proofErr w:type="gramEnd"/>
      <w:r w:rsidRPr="00F64A1C">
        <w:t xml:space="preserve">.”  </w:t>
      </w:r>
      <w:bookmarkEnd w:id="1"/>
    </w:p>
    <w:p w14:paraId="45800610" w14:textId="77777777" w:rsidR="00A113D7" w:rsidRPr="00F64A1C" w:rsidRDefault="00A113D7" w:rsidP="00B17EA9">
      <w:pPr>
        <w:ind w:firstLine="720"/>
        <w:textAlignment w:val="baseline"/>
      </w:pPr>
      <w:r w:rsidRPr="00F64A1C">
        <w:t>T</w:t>
      </w:r>
      <w:r w:rsidRPr="00F64A1C">
        <w:t xml:space="preserve">he </w:t>
      </w:r>
      <w:r w:rsidRPr="00F64A1C">
        <w:t xml:space="preserve">Planning Department </w:t>
      </w:r>
      <w:r w:rsidRPr="00F64A1C">
        <w:t>further</w:t>
      </w:r>
      <w:r w:rsidRPr="00F64A1C">
        <w:t xml:space="preserve"> </w:t>
      </w:r>
      <w:r w:rsidRPr="00F64A1C">
        <w:t xml:space="preserve">stated it was “beyond the scope of O.M.C. </w:t>
      </w:r>
      <w:r w:rsidRPr="00F64A1C">
        <w:t>[c]</w:t>
      </w:r>
      <w:proofErr w:type="spellStart"/>
      <w:r w:rsidRPr="00F64A1C">
        <w:t>hapter</w:t>
      </w:r>
      <w:proofErr w:type="spellEnd"/>
      <w:r w:rsidRPr="00F64A1C">
        <w:t> </w:t>
      </w:r>
      <w:r w:rsidRPr="00F64A1C">
        <w:t xml:space="preserve">17.152 to revisit [the] zoning determination” </w:t>
      </w:r>
      <w:r w:rsidRPr="00F64A1C">
        <w:t xml:space="preserve">because </w:t>
      </w:r>
      <w:r w:rsidRPr="00F64A1C">
        <w:t>it</w:t>
      </w:r>
      <w:r w:rsidRPr="00F64A1C">
        <w:t xml:space="preserve"> </w:t>
      </w:r>
      <w:proofErr w:type="gramStart"/>
      <w:r w:rsidRPr="00F64A1C">
        <w:t>enforces against</w:t>
      </w:r>
      <w:proofErr w:type="gramEnd"/>
      <w:r w:rsidRPr="00F64A1C">
        <w:t xml:space="preserve"> violative uses </w:t>
      </w:r>
      <w:r w:rsidRPr="00F64A1C">
        <w:t xml:space="preserve">and </w:t>
      </w:r>
      <w:r w:rsidRPr="00F64A1C">
        <w:t>existing nuisances</w:t>
      </w:r>
      <w:r w:rsidRPr="00F64A1C">
        <w:t xml:space="preserve"> not zoning decisions</w:t>
      </w:r>
      <w:r w:rsidRPr="00F64A1C">
        <w:t xml:space="preserve">.  </w:t>
      </w:r>
      <w:r w:rsidRPr="00F64A1C">
        <w:t xml:space="preserve">It accordingly </w:t>
      </w:r>
      <w:r w:rsidRPr="00F64A1C">
        <w:t xml:space="preserve">refused to reconsider </w:t>
      </w:r>
      <w:r w:rsidRPr="00F64A1C">
        <w:t>its zoning determination</w:t>
      </w:r>
      <w:r w:rsidRPr="00F64A1C">
        <w:t>,</w:t>
      </w:r>
      <w:r w:rsidRPr="00F64A1C">
        <w:t xml:space="preserve"> but it did </w:t>
      </w:r>
      <w:r w:rsidRPr="00F64A1C">
        <w:t xml:space="preserve">address the merits of Neighbors’ </w:t>
      </w:r>
      <w:r w:rsidRPr="00F64A1C">
        <w:t>complaint</w:t>
      </w:r>
      <w:r w:rsidRPr="00F64A1C">
        <w:t xml:space="preserve"> that </w:t>
      </w:r>
      <w:proofErr w:type="spellStart"/>
      <w:r w:rsidRPr="00F64A1C">
        <w:t>CloudKitchens’s</w:t>
      </w:r>
      <w:proofErr w:type="spellEnd"/>
      <w:r w:rsidRPr="00F64A1C">
        <w:t xml:space="preserve"> activities </w:t>
      </w:r>
      <w:r w:rsidRPr="00F64A1C">
        <w:t>constituted</w:t>
      </w:r>
      <w:r w:rsidRPr="00F64A1C">
        <w:t xml:space="preserve"> a nuisance</w:t>
      </w:r>
      <w:r w:rsidRPr="00F64A1C">
        <w:t>.  Despite sending</w:t>
      </w:r>
      <w:r w:rsidRPr="00F64A1C">
        <w:t xml:space="preserve"> staff “a number of times” to the site to observe</w:t>
      </w:r>
      <w:r w:rsidRPr="00F64A1C">
        <w:t xml:space="preserve"> any violations, </w:t>
      </w:r>
      <w:r w:rsidRPr="00F64A1C">
        <w:t xml:space="preserve">the </w:t>
      </w:r>
      <w:r w:rsidRPr="00F64A1C">
        <w:t xml:space="preserve">Planning Department </w:t>
      </w:r>
      <w:r w:rsidRPr="00F64A1C">
        <w:t>averred</w:t>
      </w:r>
      <w:r w:rsidRPr="00F64A1C">
        <w:t xml:space="preserve"> there was not substantial evidence</w:t>
      </w:r>
      <w:r w:rsidRPr="00F64A1C">
        <w:t xml:space="preserve"> </w:t>
      </w:r>
      <w:r w:rsidRPr="00F64A1C">
        <w:t>to initiate revocation proceedings.</w:t>
      </w:r>
      <w:r>
        <w:rPr>
          <w:rStyle w:val="FootnoteReference"/>
        </w:rPr>
        <w:footnoteReference w:id="3"/>
      </w:r>
      <w:r w:rsidRPr="00F64A1C">
        <w:t xml:space="preserve"> </w:t>
      </w:r>
    </w:p>
    <w:p w14:paraId="5B756FC0" w14:textId="77777777" w:rsidR="00A113D7" w:rsidRPr="00F64A1C" w:rsidRDefault="00A113D7" w:rsidP="00B17EA9">
      <w:pPr>
        <w:ind w:firstLine="720"/>
        <w:textAlignment w:val="baseline"/>
      </w:pPr>
      <w:r w:rsidRPr="00F64A1C">
        <w:t>Neighbors appealed to an independent hearing officer</w:t>
      </w:r>
      <w:r w:rsidRPr="00F64A1C">
        <w:t xml:space="preserve"> pursuant to </w:t>
      </w:r>
      <w:r w:rsidRPr="00F64A1C">
        <w:t>section </w:t>
      </w:r>
      <w:r w:rsidRPr="00F64A1C">
        <w:t>17.152.080</w:t>
      </w:r>
      <w:r w:rsidRPr="00F64A1C">
        <w:t xml:space="preserve">.  </w:t>
      </w:r>
      <w:r w:rsidRPr="00F64A1C">
        <w:t>They expressly limited the appeal to two issues</w:t>
      </w:r>
      <w:proofErr w:type="gramStart"/>
      <w:r w:rsidRPr="00F64A1C">
        <w:t>:  (</w:t>
      </w:r>
      <w:proofErr w:type="gramEnd"/>
      <w:r w:rsidRPr="00F64A1C">
        <w:t xml:space="preserve">1) whether </w:t>
      </w:r>
      <w:r w:rsidRPr="00F64A1C">
        <w:t>c</w:t>
      </w:r>
      <w:r w:rsidRPr="00F64A1C">
        <w:t>hapter</w:t>
      </w:r>
      <w:r w:rsidRPr="00F64A1C">
        <w:t> </w:t>
      </w:r>
      <w:r w:rsidRPr="00F64A1C">
        <w:t xml:space="preserve">17.152 </w:t>
      </w:r>
      <w:r w:rsidRPr="00F64A1C">
        <w:t>“</w:t>
      </w:r>
      <w:r w:rsidRPr="00F64A1C">
        <w:t>provide</w:t>
      </w:r>
      <w:r w:rsidRPr="00F64A1C">
        <w:t>[</w:t>
      </w:r>
      <w:r w:rsidRPr="00F64A1C">
        <w:t>s</w:t>
      </w:r>
      <w:r w:rsidRPr="00F64A1C">
        <w:t>]</w:t>
      </w:r>
      <w:r w:rsidRPr="00F64A1C">
        <w:t xml:space="preserve"> a legal basis </w:t>
      </w:r>
      <w:r w:rsidRPr="00F64A1C">
        <w:t xml:space="preserve">to revoke the prior City approvals”; and (2) </w:t>
      </w:r>
      <w:r w:rsidRPr="00F64A1C">
        <w:t xml:space="preserve">whether </w:t>
      </w:r>
      <w:proofErr w:type="spellStart"/>
      <w:r w:rsidRPr="00F64A1C">
        <w:t>CloudKitchens’s</w:t>
      </w:r>
      <w:proofErr w:type="spellEnd"/>
      <w:r w:rsidRPr="00F64A1C">
        <w:t xml:space="preserve"> proposed use was “correctly classified as Light Manufacturing Industrial.” </w:t>
      </w:r>
    </w:p>
    <w:p w14:paraId="434CEDB8" w14:textId="77777777" w:rsidR="00A113D7" w:rsidRPr="00F64A1C" w:rsidRDefault="00A113D7" w:rsidP="00B17EA9">
      <w:pPr>
        <w:ind w:firstLine="720"/>
        <w:textAlignment w:val="baseline"/>
      </w:pPr>
      <w:r w:rsidRPr="00F64A1C">
        <w:lastRenderedPageBreak/>
        <w:t xml:space="preserve">The </w:t>
      </w:r>
      <w:r w:rsidRPr="00F64A1C">
        <w:t xml:space="preserve">hearing officer affirmed the </w:t>
      </w:r>
      <w:r w:rsidRPr="00F64A1C">
        <w:t>decision</w:t>
      </w:r>
      <w:r w:rsidRPr="00F64A1C">
        <w:t xml:space="preserve">. </w:t>
      </w:r>
      <w:r w:rsidRPr="00F64A1C">
        <w:t xml:space="preserve"> </w:t>
      </w:r>
      <w:r w:rsidRPr="00F64A1C">
        <w:t>He first</w:t>
      </w:r>
      <w:r w:rsidRPr="00F64A1C">
        <w:t xml:space="preserve"> noted chapter</w:t>
      </w:r>
      <w:r w:rsidRPr="00F64A1C">
        <w:t> </w:t>
      </w:r>
      <w:r w:rsidRPr="00F64A1C">
        <w:t>17.15</w:t>
      </w:r>
      <w:r w:rsidRPr="00F64A1C">
        <w:t xml:space="preserve">2 is designed to address “public complaints regarding </w:t>
      </w:r>
      <w:r w:rsidRPr="00F64A1C">
        <w:rPr>
          <w:u w:val="single"/>
        </w:rPr>
        <w:t>existing</w:t>
      </w:r>
      <w:r w:rsidRPr="00F64A1C">
        <w:t xml:space="preserve"> violations</w:t>
      </w:r>
      <w:r w:rsidRPr="00F64A1C">
        <w:t>” not “[p]</w:t>
      </w:r>
      <w:proofErr w:type="spellStart"/>
      <w:r w:rsidRPr="00F64A1C">
        <w:t>revious</w:t>
      </w:r>
      <w:proofErr w:type="spellEnd"/>
      <w:r w:rsidRPr="00F64A1C">
        <w:t xml:space="preserve"> errors by City staff in m</w:t>
      </w:r>
      <w:r w:rsidRPr="00F64A1C">
        <w:t xml:space="preserve">aking zoning determinations.”  </w:t>
      </w:r>
      <w:r w:rsidRPr="00F64A1C">
        <w:t>H</w:t>
      </w:r>
      <w:r w:rsidRPr="00F64A1C">
        <w:t>e</w:t>
      </w:r>
      <w:r w:rsidRPr="00F64A1C">
        <w:t xml:space="preserve"> therefore</w:t>
      </w:r>
      <w:r w:rsidRPr="00F64A1C">
        <w:t xml:space="preserve"> </w:t>
      </w:r>
      <w:r w:rsidRPr="00F64A1C">
        <w:t>found</w:t>
      </w:r>
      <w:r w:rsidRPr="00F64A1C">
        <w:t xml:space="preserve"> the </w:t>
      </w:r>
      <w:r w:rsidRPr="00F64A1C">
        <w:t xml:space="preserve">Planning Department </w:t>
      </w:r>
      <w:r w:rsidRPr="00F64A1C">
        <w:t xml:space="preserve">could not </w:t>
      </w:r>
      <w:r w:rsidRPr="00F64A1C">
        <w:t>revisit</w:t>
      </w:r>
      <w:r w:rsidRPr="00F64A1C">
        <w:t xml:space="preserve"> the initial zoning approval and </w:t>
      </w:r>
      <w:r w:rsidRPr="00F64A1C">
        <w:t xml:space="preserve">was </w:t>
      </w:r>
      <w:r w:rsidRPr="00F64A1C">
        <w:t xml:space="preserve">correct </w:t>
      </w:r>
      <w:r w:rsidRPr="00F64A1C">
        <w:t>to</w:t>
      </w:r>
      <w:r w:rsidRPr="00F64A1C">
        <w:t xml:space="preserve"> den</w:t>
      </w:r>
      <w:r w:rsidRPr="00F64A1C">
        <w:t>y</w:t>
      </w:r>
      <w:r w:rsidRPr="00F64A1C">
        <w:t xml:space="preserve"> </w:t>
      </w:r>
      <w:r w:rsidRPr="00F64A1C">
        <w:t>the</w:t>
      </w:r>
      <w:r w:rsidRPr="00F64A1C">
        <w:t xml:space="preserve"> </w:t>
      </w:r>
      <w:r w:rsidRPr="00F64A1C">
        <w:t xml:space="preserve">revocation request “to the extent the City addressed only the </w:t>
      </w:r>
      <w:r w:rsidRPr="00F64A1C">
        <w:rPr>
          <w:u w:val="single"/>
        </w:rPr>
        <w:t>present</w:t>
      </w:r>
      <w:r w:rsidRPr="00F64A1C">
        <w:t xml:space="preserve"> </w:t>
      </w:r>
      <w:r w:rsidRPr="00F64A1C">
        <w:t>allegations</w:t>
      </w:r>
      <w:r w:rsidRPr="00F64A1C">
        <w:t xml:space="preserve"> regarding </w:t>
      </w:r>
      <w:proofErr w:type="spellStart"/>
      <w:r w:rsidRPr="00F64A1C">
        <w:t>CloudKitchens</w:t>
      </w:r>
      <w:proofErr w:type="spellEnd"/>
      <w:r w:rsidRPr="00F64A1C">
        <w:t>’</w:t>
      </w:r>
      <w:r w:rsidRPr="00F64A1C">
        <w:t>[</w:t>
      </w:r>
      <w:r w:rsidRPr="00F64A1C">
        <w:t>s</w:t>
      </w:r>
      <w:r w:rsidRPr="00F64A1C">
        <w:t>]</w:t>
      </w:r>
      <w:r w:rsidRPr="00F64A1C">
        <w:t xml:space="preserve"> existing/intended use</w:t>
      </w:r>
      <w:r w:rsidRPr="00F64A1C">
        <w:t xml:space="preserve">.”  </w:t>
      </w:r>
      <w:r w:rsidRPr="00F64A1C">
        <w:t>Nonetheless</w:t>
      </w:r>
      <w:r w:rsidRPr="00F64A1C">
        <w:t xml:space="preserve">, the hearing officer found </w:t>
      </w:r>
      <w:r w:rsidRPr="00F64A1C">
        <w:t xml:space="preserve">sufficient evidence </w:t>
      </w:r>
      <w:proofErr w:type="gramStart"/>
      <w:r w:rsidRPr="00F64A1C">
        <w:t>supported</w:t>
      </w:r>
      <w:proofErr w:type="gramEnd"/>
      <w:r w:rsidRPr="00F64A1C">
        <w:t xml:space="preserve"> </w:t>
      </w:r>
      <w:r w:rsidRPr="00F64A1C">
        <w:t xml:space="preserve">the light manufacturing use </w:t>
      </w:r>
      <w:r w:rsidRPr="00F64A1C">
        <w:t>classification</w:t>
      </w:r>
      <w:r w:rsidRPr="00F64A1C">
        <w:t xml:space="preserve">.  </w:t>
      </w:r>
      <w:r w:rsidRPr="00F64A1C">
        <w:t>Despite</w:t>
      </w:r>
      <w:r w:rsidRPr="00F64A1C">
        <w:t xml:space="preserve"> </w:t>
      </w:r>
      <w:r w:rsidRPr="00F64A1C">
        <w:t xml:space="preserve">conceding that </w:t>
      </w:r>
      <w:proofErr w:type="spellStart"/>
      <w:r w:rsidRPr="00F64A1C">
        <w:t>CloudKitchens’s</w:t>
      </w:r>
      <w:proofErr w:type="spellEnd"/>
      <w:r w:rsidRPr="00F64A1C">
        <w:t xml:space="preserve"> </w:t>
      </w:r>
      <w:r w:rsidRPr="00F64A1C">
        <w:t xml:space="preserve">business model </w:t>
      </w:r>
      <w:r w:rsidRPr="00F64A1C">
        <w:t>shared</w:t>
      </w:r>
      <w:r w:rsidRPr="00F64A1C">
        <w:t xml:space="preserve"> “some characteristics of a fast-food restaurant,” he </w:t>
      </w:r>
      <w:r w:rsidRPr="00F64A1C">
        <w:t xml:space="preserve">concluded the </w:t>
      </w:r>
      <w:r w:rsidRPr="00F64A1C">
        <w:t xml:space="preserve">Planning Department’s </w:t>
      </w:r>
      <w:r w:rsidRPr="00F64A1C">
        <w:t>classification was “persuasive</w:t>
      </w:r>
      <w:r w:rsidRPr="00F64A1C">
        <w:t xml:space="preserve">” and found “the </w:t>
      </w:r>
      <w:proofErr w:type="gramStart"/>
      <w:r w:rsidRPr="00F64A1C">
        <w:t>City</w:t>
      </w:r>
      <w:proofErr w:type="gramEnd"/>
      <w:r w:rsidRPr="00F64A1C">
        <w:t xml:space="preserve"> should be afforded deference in interpreting its own zoning </w:t>
      </w:r>
      <w:r w:rsidRPr="00F64A1C">
        <w:t xml:space="preserve">classifications.” </w:t>
      </w:r>
    </w:p>
    <w:p w14:paraId="794884EE" w14:textId="77777777" w:rsidR="00A113D7" w:rsidRPr="00F64A1C" w:rsidRDefault="00A113D7" w:rsidP="00B17EA9">
      <w:pPr>
        <w:ind w:firstLine="720"/>
        <w:textAlignment w:val="baseline"/>
        <w:rPr>
          <w:rFonts w:cs="CenturySchoolbook"/>
          <w:kern w:val="0"/>
        </w:rPr>
      </w:pPr>
      <w:r w:rsidRPr="00F64A1C">
        <w:t xml:space="preserve">Neighbors then petitioned for a writ of mandate </w:t>
      </w:r>
      <w:r w:rsidRPr="00F64A1C">
        <w:t xml:space="preserve">in </w:t>
      </w:r>
      <w:r w:rsidRPr="00F64A1C">
        <w:t xml:space="preserve">the trial court.  Following a hearing, the </w:t>
      </w:r>
      <w:r w:rsidRPr="00F64A1C">
        <w:t>trial</w:t>
      </w:r>
      <w:r w:rsidRPr="00F64A1C">
        <w:t xml:space="preserve"> court affirmed</w:t>
      </w:r>
      <w:r w:rsidRPr="00F64A1C">
        <w:t xml:space="preserve">, </w:t>
      </w:r>
      <w:r w:rsidRPr="00F64A1C">
        <w:rPr>
          <w:rFonts w:cs="CenturySchoolbook"/>
          <w:kern w:val="0"/>
        </w:rPr>
        <w:t xml:space="preserve">holding that </w:t>
      </w:r>
      <w:r w:rsidRPr="00F64A1C">
        <w:rPr>
          <w:rFonts w:cs="CenturySchoolbook"/>
          <w:kern w:val="0"/>
        </w:rPr>
        <w:t>c</w:t>
      </w:r>
      <w:r w:rsidRPr="00F64A1C">
        <w:rPr>
          <w:rFonts w:cs="CenturySchoolbook"/>
          <w:kern w:val="0"/>
        </w:rPr>
        <w:t>hapter</w:t>
      </w:r>
      <w:r w:rsidRPr="00F64A1C">
        <w:rPr>
          <w:rFonts w:cs="CenturySchoolbook"/>
          <w:kern w:val="0"/>
        </w:rPr>
        <w:t> </w:t>
      </w:r>
      <w:r w:rsidRPr="00F64A1C">
        <w:rPr>
          <w:rFonts w:cs="CenturySchoolbook"/>
          <w:kern w:val="0"/>
        </w:rPr>
        <w:t xml:space="preserve">17.152 “does not create a legal basis to challenge a prior zoning determination made by the City.” </w:t>
      </w:r>
      <w:r w:rsidRPr="00F64A1C">
        <w:rPr>
          <w:rFonts w:cs="CenturySchoolbook"/>
          <w:kern w:val="0"/>
        </w:rPr>
        <w:t xml:space="preserve"> </w:t>
      </w:r>
      <w:r w:rsidRPr="00F64A1C">
        <w:rPr>
          <w:rFonts w:cs="CenturySchoolbook"/>
          <w:kern w:val="0"/>
        </w:rPr>
        <w:t>Because</w:t>
      </w:r>
      <w:r w:rsidRPr="00F64A1C">
        <w:rPr>
          <w:rFonts w:cs="CenturySchoolbook"/>
          <w:kern w:val="0"/>
        </w:rPr>
        <w:t xml:space="preserve"> </w:t>
      </w:r>
      <w:r w:rsidRPr="00F64A1C">
        <w:rPr>
          <w:rFonts w:cs="CenturySchoolbook"/>
          <w:kern w:val="0"/>
        </w:rPr>
        <w:t>Neighbors</w:t>
      </w:r>
      <w:r w:rsidRPr="00F64A1C">
        <w:rPr>
          <w:rFonts w:cs="CenturySchoolbook"/>
          <w:kern w:val="0"/>
        </w:rPr>
        <w:t xml:space="preserve"> limited their</w:t>
      </w:r>
      <w:r w:rsidRPr="00F64A1C">
        <w:rPr>
          <w:rFonts w:cs="CenturySchoolbook"/>
          <w:kern w:val="0"/>
        </w:rPr>
        <w:t xml:space="preserve"> </w:t>
      </w:r>
      <w:r w:rsidRPr="00F64A1C">
        <w:rPr>
          <w:rFonts w:cs="CenturySchoolbook"/>
          <w:kern w:val="0"/>
        </w:rPr>
        <w:t xml:space="preserve">administrative </w:t>
      </w:r>
      <w:r w:rsidRPr="00F64A1C">
        <w:rPr>
          <w:rFonts w:cs="CenturySchoolbook"/>
          <w:kern w:val="0"/>
        </w:rPr>
        <w:t xml:space="preserve">appeal </w:t>
      </w:r>
      <w:r w:rsidRPr="00F64A1C">
        <w:rPr>
          <w:rFonts w:cs="CenturySchoolbook"/>
          <w:kern w:val="0"/>
        </w:rPr>
        <w:t xml:space="preserve">to the </w:t>
      </w:r>
      <w:r w:rsidRPr="00F64A1C">
        <w:t xml:space="preserve">Planning Department’s use </w:t>
      </w:r>
      <w:r w:rsidRPr="00F64A1C">
        <w:rPr>
          <w:rFonts w:cs="CenturySchoolbook"/>
          <w:kern w:val="0"/>
        </w:rPr>
        <w:t>classification and</w:t>
      </w:r>
      <w:r w:rsidRPr="00F64A1C">
        <w:rPr>
          <w:rFonts w:cs="CenturySchoolbook"/>
          <w:kern w:val="0"/>
        </w:rPr>
        <w:t xml:space="preserve"> </w:t>
      </w:r>
      <w:r w:rsidRPr="00F64A1C">
        <w:rPr>
          <w:rFonts w:cs="CenturySchoolbook"/>
          <w:kern w:val="0"/>
        </w:rPr>
        <w:t>zoning clearance</w:t>
      </w:r>
      <w:r w:rsidRPr="00F64A1C">
        <w:rPr>
          <w:rFonts w:cs="CenturySchoolbook"/>
          <w:kern w:val="0"/>
        </w:rPr>
        <w:t>,</w:t>
      </w:r>
      <w:r w:rsidRPr="00F64A1C">
        <w:rPr>
          <w:rFonts w:cs="CenturySchoolbook"/>
          <w:kern w:val="0"/>
        </w:rPr>
        <w:t xml:space="preserve"> </w:t>
      </w:r>
      <w:r w:rsidRPr="00F64A1C">
        <w:rPr>
          <w:rFonts w:cs="CenturySchoolbook"/>
          <w:kern w:val="0"/>
        </w:rPr>
        <w:t xml:space="preserve">the </w:t>
      </w:r>
      <w:r w:rsidRPr="00F64A1C">
        <w:rPr>
          <w:rFonts w:cs="CenturySchoolbook"/>
        </w:rPr>
        <w:t xml:space="preserve">trial </w:t>
      </w:r>
      <w:r w:rsidRPr="00F64A1C">
        <w:rPr>
          <w:rFonts w:cs="CenturySchoolbook"/>
          <w:kern w:val="0"/>
        </w:rPr>
        <w:t xml:space="preserve">court held </w:t>
      </w:r>
      <w:r w:rsidRPr="00F64A1C">
        <w:rPr>
          <w:rFonts w:cs="CenturySchoolbook"/>
          <w:kern w:val="0"/>
        </w:rPr>
        <w:t xml:space="preserve">that </w:t>
      </w:r>
      <w:r w:rsidRPr="00F64A1C">
        <w:rPr>
          <w:rFonts w:cs="CenturySchoolbook"/>
          <w:kern w:val="0"/>
        </w:rPr>
        <w:t>the hearing officer lacked jurisdiction to reach the</w:t>
      </w:r>
      <w:r w:rsidRPr="00F64A1C">
        <w:rPr>
          <w:rFonts w:cs="CenturySchoolbook"/>
          <w:kern w:val="0"/>
        </w:rPr>
        <w:t xml:space="preserve"> complaint’s</w:t>
      </w:r>
      <w:r w:rsidRPr="00F64A1C">
        <w:rPr>
          <w:rFonts w:cs="CenturySchoolbook"/>
          <w:kern w:val="0"/>
        </w:rPr>
        <w:t xml:space="preserve"> merits</w:t>
      </w:r>
      <w:r w:rsidRPr="00F64A1C">
        <w:rPr>
          <w:rFonts w:cs="CenturySchoolbook"/>
          <w:kern w:val="0"/>
        </w:rPr>
        <w:t xml:space="preserve"> </w:t>
      </w:r>
      <w:r w:rsidRPr="00F64A1C">
        <w:rPr>
          <w:rFonts w:cs="CenturySchoolbook"/>
          <w:kern w:val="0"/>
        </w:rPr>
        <w:t>and that remand would be futile</w:t>
      </w:r>
      <w:r w:rsidRPr="00F64A1C">
        <w:rPr>
          <w:rFonts w:cs="CenturySchoolbook"/>
          <w:kern w:val="0"/>
        </w:rPr>
        <w:t xml:space="preserve">.  </w:t>
      </w:r>
      <w:r w:rsidRPr="00F64A1C">
        <w:rPr>
          <w:rFonts w:cs="CenturySchoolbook"/>
          <w:kern w:val="0"/>
        </w:rPr>
        <w:t xml:space="preserve">Neighbors appealed. </w:t>
      </w:r>
    </w:p>
    <w:p w14:paraId="6E209D89" w14:textId="77777777" w:rsidR="00A113D7" w:rsidRPr="00F64A1C" w:rsidRDefault="00A113D7" w:rsidP="00B17EA9">
      <w:pPr>
        <w:keepNext/>
        <w:jc w:val="center"/>
        <w:textAlignment w:val="baseline"/>
        <w:rPr>
          <w:b/>
        </w:rPr>
      </w:pPr>
      <w:r w:rsidRPr="00F64A1C">
        <w:rPr>
          <w:b/>
        </w:rPr>
        <w:t>DISCUSSION</w:t>
      </w:r>
    </w:p>
    <w:p w14:paraId="7448935E" w14:textId="77777777" w:rsidR="00A113D7" w:rsidRPr="00F64A1C" w:rsidRDefault="00A113D7" w:rsidP="00B17EA9">
      <w:pPr>
        <w:ind w:firstLine="720"/>
        <w:textAlignment w:val="baseline"/>
      </w:pPr>
      <w:r w:rsidRPr="00F64A1C">
        <w:t xml:space="preserve">Neighbors contend the hearing officer erred as a matter of law by inverting the burden of proof under chapter 17.152.  Specifically, they assert the OMC </w:t>
      </w:r>
      <w:r w:rsidRPr="00F64A1C">
        <w:t>requires</w:t>
      </w:r>
      <w:r w:rsidRPr="00F64A1C">
        <w:t xml:space="preserve"> the hearing officer </w:t>
      </w:r>
      <w:r w:rsidRPr="00F64A1C">
        <w:t xml:space="preserve">to </w:t>
      </w:r>
      <w:r w:rsidRPr="00F64A1C">
        <w:t xml:space="preserve">grant an appeal and set a revocation hearing where </w:t>
      </w:r>
      <w:r w:rsidRPr="00F64A1C">
        <w:t>a</w:t>
      </w:r>
      <w:r w:rsidRPr="00F64A1C">
        <w:t xml:space="preserve"> petitioner presents sufficient evidence of a zoning violation</w:t>
      </w:r>
      <w:r w:rsidRPr="00F64A1C">
        <w:t> </w:t>
      </w:r>
      <w:r w:rsidRPr="00F64A1C">
        <w:t>—</w:t>
      </w:r>
      <w:r w:rsidRPr="00F64A1C">
        <w:t> </w:t>
      </w:r>
      <w:r w:rsidRPr="00F64A1C">
        <w:t xml:space="preserve">as opposed to upholding a decision supported by substantial evidence, as the hearing officer did here.  </w:t>
      </w:r>
      <w:r w:rsidRPr="00F64A1C">
        <w:t>T</w:t>
      </w:r>
      <w:r w:rsidRPr="00F64A1C">
        <w:t>hey</w:t>
      </w:r>
      <w:r w:rsidRPr="00F64A1C">
        <w:t xml:space="preserve"> further </w:t>
      </w:r>
      <w:r w:rsidRPr="00F64A1C">
        <w:t xml:space="preserve">claim </w:t>
      </w:r>
      <w:r w:rsidRPr="00F64A1C">
        <w:t>that the hearing officer</w:t>
      </w:r>
      <w:r w:rsidRPr="00F64A1C">
        <w:t xml:space="preserve"> erred by deferring to the </w:t>
      </w:r>
      <w:r w:rsidRPr="00F64A1C">
        <w:t xml:space="preserve">Planning Department’s </w:t>
      </w:r>
      <w:r w:rsidRPr="00F64A1C">
        <w:t xml:space="preserve">interpretation of the </w:t>
      </w:r>
      <w:r w:rsidRPr="00F64A1C">
        <w:lastRenderedPageBreak/>
        <w:t>use classification</w:t>
      </w:r>
      <w:r w:rsidRPr="00F64A1C">
        <w:t>s</w:t>
      </w:r>
      <w:r w:rsidRPr="00F64A1C">
        <w:t xml:space="preserve"> and that</w:t>
      </w:r>
      <w:r w:rsidRPr="00F64A1C">
        <w:t xml:space="preserve"> </w:t>
      </w:r>
      <w:r w:rsidRPr="00F64A1C">
        <w:t>the</w:t>
      </w:r>
      <w:r w:rsidRPr="00F64A1C">
        <w:t xml:space="preserve"> </w:t>
      </w:r>
      <w:r w:rsidRPr="00F64A1C">
        <w:t xml:space="preserve">evidence contradicted the </w:t>
      </w:r>
      <w:r w:rsidRPr="00F64A1C">
        <w:t xml:space="preserve">department’s </w:t>
      </w:r>
      <w:r w:rsidRPr="00F64A1C">
        <w:t>determination</w:t>
      </w:r>
      <w:r w:rsidRPr="00F64A1C">
        <w:t xml:space="preserve">.  </w:t>
      </w:r>
    </w:p>
    <w:p w14:paraId="1F4A6E11" w14:textId="77777777" w:rsidR="00A113D7" w:rsidRPr="00F64A1C" w:rsidRDefault="00A113D7" w:rsidP="00B17EA9">
      <w:pPr>
        <w:ind w:firstLine="720"/>
        <w:textAlignment w:val="baseline"/>
      </w:pPr>
      <w:r w:rsidRPr="00F64A1C">
        <w:t xml:space="preserve">We need not address these assertions, however, because chapter 17.152 does not provide a legal basis to challenge the </w:t>
      </w:r>
      <w:r w:rsidRPr="00F64A1C">
        <w:t>Planning Department</w:t>
      </w:r>
      <w:r w:rsidRPr="00F64A1C">
        <w:t xml:space="preserve">’s </w:t>
      </w:r>
      <w:r w:rsidRPr="00F64A1C">
        <w:t xml:space="preserve">interpretations and determinations of the zoning regulations, including </w:t>
      </w:r>
      <w:r w:rsidRPr="00F64A1C">
        <w:t xml:space="preserve">use classifications and </w:t>
      </w:r>
      <w:r w:rsidRPr="00F64A1C">
        <w:t xml:space="preserve">zoning </w:t>
      </w:r>
      <w:r w:rsidRPr="00F64A1C">
        <w:t>clearances</w:t>
      </w:r>
      <w:r w:rsidRPr="00F64A1C">
        <w:t>.</w:t>
      </w:r>
    </w:p>
    <w:p w14:paraId="056D51D4" w14:textId="77777777" w:rsidR="00A113D7" w:rsidRPr="00F64A1C" w:rsidRDefault="00A113D7" w:rsidP="00B17EA9">
      <w:pPr>
        <w:keepNext/>
        <w:ind w:left="360"/>
        <w:textAlignment w:val="baseline"/>
        <w:rPr>
          <w:b/>
          <w:bCs/>
        </w:rPr>
      </w:pPr>
      <w:r w:rsidRPr="00F64A1C">
        <w:rPr>
          <w:b/>
          <w:bCs/>
        </w:rPr>
        <w:t xml:space="preserve">I. </w:t>
      </w:r>
      <w:r w:rsidRPr="00F64A1C">
        <w:rPr>
          <w:b/>
          <w:bCs/>
        </w:rPr>
        <w:t>Standard of Review</w:t>
      </w:r>
    </w:p>
    <w:p w14:paraId="4DE8E8B6" w14:textId="77777777" w:rsidR="00A113D7" w:rsidRPr="00F64A1C" w:rsidRDefault="00A113D7" w:rsidP="00B17EA9">
      <w:pPr>
        <w:ind w:firstLine="720"/>
        <w:textAlignment w:val="baseline"/>
        <w:rPr>
          <w:rFonts w:eastAsia="Times New Roman" w:cs="Times New Roman"/>
          <w:kern w:val="0"/>
          <w14:ligatures w14:val="none"/>
        </w:rPr>
      </w:pPr>
      <w:r w:rsidRPr="00F64A1C">
        <w:rPr>
          <w:rFonts w:eastAsia="Times New Roman" w:cs="Times New Roman"/>
          <w:kern w:val="0"/>
          <w14:ligatures w14:val="none"/>
        </w:rPr>
        <w:t>W</w:t>
      </w:r>
      <w:r w:rsidRPr="00F64A1C">
        <w:rPr>
          <w:rFonts w:eastAsia="Times New Roman" w:cs="Times New Roman"/>
          <w:kern w:val="0"/>
          <w14:ligatures w14:val="none"/>
        </w:rPr>
        <w:t>e review</w:t>
      </w:r>
      <w:r w:rsidRPr="00F64A1C">
        <w:t xml:space="preserve"> </w:t>
      </w:r>
      <w:r w:rsidRPr="00F64A1C">
        <w:t xml:space="preserve">the </w:t>
      </w:r>
      <w:r w:rsidRPr="00F64A1C">
        <w:t>denial of a petition for writ of administrative mandamus</w:t>
      </w:r>
      <w:r w:rsidRPr="00F64A1C">
        <w:t xml:space="preserve"> </w:t>
      </w:r>
      <w:r w:rsidRPr="00F64A1C">
        <w:t>de novo</w:t>
      </w:r>
      <w:r w:rsidRPr="00F64A1C">
        <w:t xml:space="preserve"> to</w:t>
      </w:r>
      <w:r w:rsidRPr="00F64A1C">
        <w:t xml:space="preserve"> </w:t>
      </w:r>
      <w:r w:rsidRPr="00F64A1C">
        <w:rPr>
          <w:rFonts w:eastAsia="Times New Roman" w:cs="Times New Roman"/>
          <w:kern w:val="0"/>
          <w14:ligatures w14:val="none"/>
        </w:rPr>
        <w:t xml:space="preserve">determine whether the </w:t>
      </w:r>
      <w:r w:rsidRPr="00F64A1C">
        <w:rPr>
          <w:rFonts w:eastAsia="Times New Roman" w:cs="Times New Roman"/>
          <w:kern w:val="0"/>
          <w14:ligatures w14:val="none"/>
        </w:rPr>
        <w:t>hearing officer</w:t>
      </w:r>
      <w:r w:rsidRPr="00F64A1C">
        <w:rPr>
          <w:rFonts w:eastAsia="Times New Roman" w:cs="Times New Roman"/>
          <w:kern w:val="0"/>
          <w14:ligatures w14:val="none"/>
        </w:rPr>
        <w:t xml:space="preserve"> </w:t>
      </w:r>
      <w:r w:rsidRPr="00F64A1C">
        <w:rPr>
          <w:rFonts w:eastAsia="Times New Roman" w:cs="Times New Roman"/>
          <w:kern w:val="0"/>
          <w14:ligatures w14:val="none"/>
        </w:rPr>
        <w:t xml:space="preserve">“prejudicially </w:t>
      </w:r>
      <w:r w:rsidRPr="00F64A1C">
        <w:rPr>
          <w:rFonts w:eastAsia="Times New Roman" w:cs="Times New Roman"/>
          <w:kern w:val="0"/>
          <w14:ligatures w14:val="none"/>
        </w:rPr>
        <w:t>abused its discretion</w:t>
      </w:r>
      <w:r w:rsidRPr="00F64A1C">
        <w:rPr>
          <w:rFonts w:eastAsia="Times New Roman" w:cs="Times New Roman"/>
          <w:kern w:val="0"/>
          <w14:ligatures w14:val="none"/>
        </w:rPr>
        <w:t xml:space="preserve">.”  </w:t>
      </w:r>
      <w:r w:rsidRPr="00F64A1C">
        <w:rPr>
          <w:rFonts w:eastAsia="Times New Roman" w:cs="Times New Roman"/>
          <w:kern w:val="0"/>
          <w:bdr w:val="none" w:sz="0" w:space="0" w:color="auto" w:frame="1"/>
          <w14:ligatures w14:val="none"/>
        </w:rPr>
        <w:t>(</w:t>
      </w:r>
      <w:r w:rsidRPr="00F64A1C">
        <w:t>Code Civ. Proc., § 1094.5, subd. (b)</w:t>
      </w:r>
      <w:r w:rsidRPr="00F64A1C">
        <w:rPr>
          <w:rFonts w:eastAsia="Times New Roman" w:cs="Times New Roman"/>
          <w:kern w:val="0"/>
          <w14:ligatures w14:val="none"/>
        </w:rPr>
        <w:t xml:space="preserve">; see </w:t>
      </w:r>
      <w:r w:rsidRPr="00F64A1C">
        <w:rPr>
          <w:rFonts w:eastAsia="Times New Roman" w:cs="Times New Roman"/>
          <w:i/>
          <w:iCs/>
          <w:kern w:val="0"/>
          <w:bdr w:val="none" w:sz="0" w:space="0" w:color="auto" w:frame="1"/>
          <w14:ligatures w14:val="none"/>
        </w:rPr>
        <w:t>California Renters Legal Advocacy &amp; Education Fund v. City of San Mateo</w:t>
      </w:r>
      <w:r w:rsidRPr="00F64A1C">
        <w:rPr>
          <w:rFonts w:eastAsia="Times New Roman" w:cs="Times New Roman"/>
          <w:kern w:val="0"/>
          <w14:ligatures w14:val="none"/>
        </w:rPr>
        <w:t xml:space="preserve"> (2021) 68</w:t>
      </w:r>
      <w:r w:rsidRPr="00F64A1C">
        <w:rPr>
          <w:rFonts w:eastAsia="Times New Roman" w:cs="Times New Roman"/>
          <w:kern w:val="0"/>
          <w14:ligatures w14:val="none"/>
        </w:rPr>
        <w:t> </w:t>
      </w:r>
      <w:r w:rsidRPr="00F64A1C">
        <w:rPr>
          <w:rFonts w:eastAsia="Times New Roman" w:cs="Times New Roman"/>
          <w:kern w:val="0"/>
          <w14:ligatures w14:val="none"/>
        </w:rPr>
        <w:t>Cal.App.5th 820, 836–837</w:t>
      </w:r>
      <w:r w:rsidRPr="00F64A1C">
        <w:rPr>
          <w:rFonts w:eastAsia="Times New Roman" w:cs="Times New Roman"/>
          <w:kern w:val="0"/>
          <w14:ligatures w14:val="none"/>
        </w:rPr>
        <w:t>.</w:t>
      </w:r>
      <w:r w:rsidRPr="00F64A1C">
        <w:rPr>
          <w:rFonts w:eastAsia="Times New Roman" w:cs="Times New Roman"/>
          <w:kern w:val="0"/>
          <w14:ligatures w14:val="none"/>
        </w:rPr>
        <w:t>)</w:t>
      </w:r>
      <w:r w:rsidRPr="00F64A1C">
        <w:rPr>
          <w:rFonts w:eastAsia="Times New Roman" w:cs="Times New Roman"/>
          <w:kern w:val="0"/>
          <w14:ligatures w14:val="none"/>
        </w:rPr>
        <w:t xml:space="preserve">  </w:t>
      </w:r>
      <w:r w:rsidRPr="00F64A1C">
        <w:rPr>
          <w:rFonts w:eastAsia="Times New Roman" w:cs="Times New Roman"/>
          <w:kern w:val="0"/>
          <w14:ligatures w14:val="none"/>
        </w:rPr>
        <w:t xml:space="preserve">We independently review </w:t>
      </w:r>
      <w:r w:rsidRPr="00F64A1C">
        <w:t>the</w:t>
      </w:r>
      <w:r w:rsidRPr="00F64A1C">
        <w:t xml:space="preserve"> prop</w:t>
      </w:r>
      <w:r w:rsidRPr="00F64A1C">
        <w:t>er</w:t>
      </w:r>
      <w:r w:rsidRPr="00F64A1C">
        <w:t xml:space="preserve"> interpretation of statute</w:t>
      </w:r>
      <w:r w:rsidRPr="00F64A1C">
        <w:t>s</w:t>
      </w:r>
      <w:r w:rsidRPr="00F64A1C">
        <w:rPr>
          <w:rFonts w:eastAsia="Times New Roman" w:cs="Times New Roman"/>
          <w:kern w:val="0"/>
          <w14:ligatures w14:val="none"/>
        </w:rPr>
        <w:t>, but w</w:t>
      </w:r>
      <w:r w:rsidRPr="00F64A1C">
        <w:rPr>
          <w:rFonts w:eastAsia="Times New Roman" w:cs="Times New Roman"/>
          <w:kern w:val="0"/>
          <w14:ligatures w14:val="none"/>
        </w:rPr>
        <w:t xml:space="preserve">here appropriate </w:t>
      </w:r>
      <w:r w:rsidRPr="00F64A1C">
        <w:rPr>
          <w:rFonts w:eastAsia="Times New Roman" w:cs="Times New Roman"/>
          <w:kern w:val="0"/>
          <w14:ligatures w14:val="none"/>
        </w:rPr>
        <w:t xml:space="preserve">we consider </w:t>
      </w:r>
      <w:r w:rsidRPr="00F64A1C">
        <w:rPr>
          <w:rFonts w:eastAsia="Times New Roman" w:cs="Times New Roman"/>
          <w:kern w:val="0"/>
          <w14:ligatures w14:val="none"/>
        </w:rPr>
        <w:t xml:space="preserve">a municipality’s </w:t>
      </w:r>
      <w:r w:rsidRPr="00F64A1C">
        <w:rPr>
          <w:rFonts w:eastAsia="Times New Roman" w:cs="Times New Roman"/>
          <w:kern w:val="0"/>
          <w14:ligatures w14:val="none"/>
        </w:rPr>
        <w:t xml:space="preserve">interpretation of its own </w:t>
      </w:r>
      <w:r w:rsidRPr="00F64A1C">
        <w:rPr>
          <w:rFonts w:eastAsia="Times New Roman" w:cs="Times New Roman"/>
          <w:kern w:val="0"/>
          <w14:ligatures w14:val="none"/>
        </w:rPr>
        <w:t>ordinances</w:t>
      </w:r>
      <w:r w:rsidRPr="00F64A1C">
        <w:rPr>
          <w:rFonts w:eastAsia="Times New Roman" w:cs="Times New Roman"/>
          <w:kern w:val="0"/>
          <w14:ligatures w14:val="none"/>
        </w:rPr>
        <w:t>.</w:t>
      </w:r>
      <w:r w:rsidRPr="00F64A1C">
        <w:rPr>
          <w:rFonts w:eastAsia="Times New Roman" w:cs="Times New Roman"/>
          <w:kern w:val="0"/>
          <w14:ligatures w14:val="none"/>
        </w:rPr>
        <w:t xml:space="preserve"> </w:t>
      </w:r>
      <w:r w:rsidRPr="00F64A1C">
        <w:rPr>
          <w:rFonts w:eastAsia="Times New Roman" w:cs="Times New Roman"/>
          <w:kern w:val="0"/>
          <w14:ligatures w14:val="none"/>
        </w:rPr>
        <w:t xml:space="preserve"> (</w:t>
      </w:r>
      <w:r w:rsidRPr="00F64A1C">
        <w:rPr>
          <w:rFonts w:eastAsia="Times New Roman" w:cs="Times New Roman"/>
          <w:i/>
          <w:iCs/>
          <w:kern w:val="0"/>
          <w14:ligatures w14:val="none"/>
        </w:rPr>
        <w:t>Cal</w:t>
      </w:r>
      <w:r w:rsidRPr="00F64A1C">
        <w:rPr>
          <w:rFonts w:eastAsia="Times New Roman" w:cs="Times New Roman"/>
          <w:i/>
          <w:iCs/>
          <w:kern w:val="0"/>
          <w14:ligatures w14:val="none"/>
        </w:rPr>
        <w:t>ifornia</w:t>
      </w:r>
      <w:r w:rsidRPr="00F64A1C">
        <w:rPr>
          <w:rFonts w:eastAsia="Times New Roman" w:cs="Times New Roman"/>
          <w:i/>
          <w:iCs/>
          <w:kern w:val="0"/>
          <w14:ligatures w14:val="none"/>
        </w:rPr>
        <w:t xml:space="preserve"> Renters</w:t>
      </w:r>
      <w:r w:rsidRPr="00F64A1C">
        <w:rPr>
          <w:rFonts w:eastAsia="Times New Roman" w:cs="Times New Roman"/>
          <w:i/>
          <w:iCs/>
          <w:kern w:val="0"/>
          <w14:ligatures w14:val="none"/>
        </w:rPr>
        <w:t xml:space="preserve"> </w:t>
      </w:r>
      <w:r w:rsidRPr="00F64A1C">
        <w:rPr>
          <w:rFonts w:eastAsia="Times New Roman" w:cs="Times New Roman"/>
          <w:i/>
          <w:iCs/>
          <w:kern w:val="0"/>
          <w:bdr w:val="none" w:sz="0" w:space="0" w:color="auto" w:frame="1"/>
          <w14:ligatures w14:val="none"/>
        </w:rPr>
        <w:t>Legal Advocacy &amp; Education Fund v. City of San Mateo</w:t>
      </w:r>
      <w:r w:rsidRPr="00F64A1C">
        <w:rPr>
          <w:rFonts w:eastAsia="Times New Roman" w:cs="Times New Roman"/>
          <w:kern w:val="0"/>
          <w14:ligatures w14:val="none"/>
        </w:rPr>
        <w:t xml:space="preserve">, </w:t>
      </w:r>
      <w:r w:rsidRPr="00F64A1C">
        <w:rPr>
          <w:rFonts w:eastAsia="Times New Roman" w:cs="Times New Roman"/>
          <w:i/>
          <w:iCs/>
          <w:kern w:val="0"/>
          <w14:ligatures w14:val="none"/>
        </w:rPr>
        <w:t>supra</w:t>
      </w:r>
      <w:r w:rsidRPr="00F64A1C">
        <w:rPr>
          <w:rFonts w:eastAsia="Times New Roman" w:cs="Times New Roman"/>
          <w:kern w:val="0"/>
          <w14:ligatures w14:val="none"/>
        </w:rPr>
        <w:t xml:space="preserve">, 68 Cal.App.5th </w:t>
      </w:r>
      <w:r w:rsidRPr="00F64A1C">
        <w:rPr>
          <w:rFonts w:eastAsia="Times New Roman" w:cs="Times New Roman"/>
          <w:kern w:val="0"/>
          <w14:ligatures w14:val="none"/>
        </w:rPr>
        <w:t xml:space="preserve">at p. 837; </w:t>
      </w:r>
      <w:r w:rsidRPr="00F64A1C">
        <w:rPr>
          <w:rFonts w:eastAsia="Times New Roman" w:cs="Times New Roman"/>
          <w:i/>
          <w:iCs/>
          <w:kern w:val="0"/>
          <w:bdr w:val="none" w:sz="0" w:space="0" w:color="auto" w:frame="1"/>
          <w14:ligatures w14:val="none"/>
        </w:rPr>
        <w:t xml:space="preserve">Yamaha Corp. of America v. </w:t>
      </w:r>
      <w:r w:rsidRPr="00F64A1C">
        <w:rPr>
          <w:rFonts w:eastAsia="Times New Roman" w:cs="Times New Roman"/>
          <w:i/>
          <w:iCs/>
          <w:kern w:val="0"/>
          <w:bdr w:val="none" w:sz="0" w:space="0" w:color="auto" w:frame="1"/>
          <w14:ligatures w14:val="none"/>
        </w:rPr>
        <w:t>State Bd. of Equalization</w:t>
      </w:r>
      <w:r w:rsidRPr="00F64A1C">
        <w:rPr>
          <w:rFonts w:eastAsia="Times New Roman" w:cs="Times New Roman"/>
          <w:kern w:val="0"/>
          <w14:ligatures w14:val="none"/>
        </w:rPr>
        <w:t xml:space="preserve"> (1998) 19</w:t>
      </w:r>
      <w:r w:rsidRPr="00F64A1C">
        <w:rPr>
          <w:rFonts w:eastAsia="Times New Roman" w:cs="Times New Roman"/>
          <w:kern w:val="0"/>
          <w14:ligatures w14:val="none"/>
        </w:rPr>
        <w:t> </w:t>
      </w:r>
      <w:r w:rsidRPr="00F64A1C">
        <w:rPr>
          <w:rFonts w:eastAsia="Times New Roman" w:cs="Times New Roman"/>
          <w:kern w:val="0"/>
          <w14:ligatures w14:val="none"/>
        </w:rPr>
        <w:t xml:space="preserve">Cal.4th 1, 8.) </w:t>
      </w:r>
    </w:p>
    <w:p w14:paraId="7B347EE2" w14:textId="77777777" w:rsidR="00A113D7" w:rsidRPr="00F64A1C" w:rsidRDefault="00A113D7" w:rsidP="00B17EA9">
      <w:pPr>
        <w:keepNext/>
        <w:spacing w:after="120" w:line="240" w:lineRule="auto"/>
        <w:ind w:left="360"/>
        <w:textAlignment w:val="baseline"/>
        <w:rPr>
          <w:b/>
          <w:bCs/>
        </w:rPr>
      </w:pPr>
      <w:r w:rsidRPr="00F64A1C">
        <w:rPr>
          <w:b/>
          <w:bCs/>
        </w:rPr>
        <w:t xml:space="preserve">II. </w:t>
      </w:r>
      <w:r w:rsidRPr="00F64A1C">
        <w:rPr>
          <w:b/>
          <w:bCs/>
        </w:rPr>
        <w:t xml:space="preserve">Chapter 17.152 </w:t>
      </w:r>
      <w:r w:rsidRPr="00F64A1C">
        <w:rPr>
          <w:b/>
          <w:bCs/>
        </w:rPr>
        <w:t xml:space="preserve">Is </w:t>
      </w:r>
      <w:r w:rsidRPr="00F64A1C">
        <w:rPr>
          <w:b/>
          <w:bCs/>
        </w:rPr>
        <w:t>a</w:t>
      </w:r>
      <w:r w:rsidRPr="00F64A1C">
        <w:rPr>
          <w:b/>
          <w:bCs/>
        </w:rPr>
        <w:t xml:space="preserve">n </w:t>
      </w:r>
      <w:r w:rsidRPr="00F64A1C">
        <w:rPr>
          <w:b/>
          <w:bCs/>
        </w:rPr>
        <w:t>Invalid Basis</w:t>
      </w:r>
      <w:r w:rsidRPr="00F64A1C">
        <w:rPr>
          <w:b/>
          <w:bCs/>
        </w:rPr>
        <w:t xml:space="preserve"> to Challenge Zoning Decisions</w:t>
      </w:r>
    </w:p>
    <w:p w14:paraId="27F48C1B" w14:textId="77777777" w:rsidR="00A113D7" w:rsidRPr="00F64A1C" w:rsidRDefault="00A113D7" w:rsidP="00B17EA9">
      <w:pPr>
        <w:ind w:firstLine="720"/>
        <w:textAlignment w:val="baseline"/>
      </w:pPr>
      <w:r w:rsidRPr="00F64A1C">
        <w:t xml:space="preserve">Neighbors </w:t>
      </w:r>
      <w:r w:rsidRPr="00F64A1C">
        <w:t xml:space="preserve">argue </w:t>
      </w:r>
      <w:r w:rsidRPr="00F64A1C">
        <w:t xml:space="preserve">that </w:t>
      </w:r>
      <w:r w:rsidRPr="00F64A1C">
        <w:t>c</w:t>
      </w:r>
      <w:r w:rsidRPr="00F64A1C">
        <w:t>hapter 17.152</w:t>
      </w:r>
      <w:r w:rsidRPr="00F64A1C">
        <w:t> </w:t>
      </w:r>
      <w:r w:rsidRPr="00F64A1C">
        <w:t>—</w:t>
      </w:r>
      <w:r w:rsidRPr="00F64A1C">
        <w:t> </w:t>
      </w:r>
      <w:r w:rsidRPr="00F64A1C">
        <w:t>known as the Enforcement Regulations (§ 17.152.010)</w:t>
      </w:r>
      <w:r w:rsidRPr="00F64A1C">
        <w:t> </w:t>
      </w:r>
      <w:r w:rsidRPr="00F64A1C">
        <w:t>—</w:t>
      </w:r>
      <w:r w:rsidRPr="00F64A1C">
        <w:t> </w:t>
      </w:r>
      <w:r w:rsidRPr="00F64A1C">
        <w:t xml:space="preserve">authorizes review of use </w:t>
      </w:r>
      <w:r w:rsidRPr="00F64A1C">
        <w:t>classifications</w:t>
      </w:r>
      <w:r w:rsidRPr="00F64A1C">
        <w:t xml:space="preserve"> and </w:t>
      </w:r>
      <w:r w:rsidRPr="00F64A1C">
        <w:t>resultant</w:t>
      </w:r>
      <w:r w:rsidRPr="00F64A1C">
        <w:t xml:space="preserve"> </w:t>
      </w:r>
      <w:r w:rsidRPr="00F64A1C">
        <w:t>zoning clearances</w:t>
      </w:r>
      <w:r w:rsidRPr="00F64A1C">
        <w:t xml:space="preserve">. </w:t>
      </w:r>
      <w:r w:rsidRPr="00F64A1C">
        <w:t xml:space="preserve"> </w:t>
      </w:r>
      <w:r w:rsidRPr="00F64A1C">
        <w:t>We disagree.</w:t>
      </w:r>
    </w:p>
    <w:p w14:paraId="6BAF9FC7" w14:textId="77777777" w:rsidR="00A113D7" w:rsidRPr="00F64A1C" w:rsidRDefault="00A113D7" w:rsidP="00B17EA9">
      <w:pPr>
        <w:ind w:firstLine="720"/>
        <w:textAlignment w:val="baseline"/>
        <w:rPr>
          <w:rFonts w:cs="Open Sans"/>
          <w:spacing w:val="2"/>
          <w:shd w:val="clear" w:color="auto" w:fill="FFFFFF"/>
        </w:rPr>
      </w:pPr>
      <w:bookmarkStart w:id="3" w:name="_Hlk170469304"/>
      <w:r w:rsidRPr="00F64A1C">
        <w:rPr>
          <w:rFonts w:cs="Times New Roman"/>
          <w:kern w:val="0"/>
        </w:rPr>
        <w:t>Section 17.10.090</w:t>
      </w:r>
      <w:r w:rsidRPr="00F64A1C">
        <w:rPr>
          <w:rFonts w:cs="Times New Roman"/>
          <w:kern w:val="0"/>
        </w:rPr>
        <w:t xml:space="preserve"> </w:t>
      </w:r>
      <w:r w:rsidRPr="00F64A1C">
        <w:rPr>
          <w:rFonts w:cs="Times New Roman"/>
          <w:kern w:val="0"/>
        </w:rPr>
        <w:t>specifies</w:t>
      </w:r>
      <w:r w:rsidRPr="00F64A1C">
        <w:rPr>
          <w:rFonts w:cs="Times New Roman"/>
          <w:kern w:val="0"/>
        </w:rPr>
        <w:t xml:space="preserve"> </w:t>
      </w:r>
      <w:r w:rsidRPr="00F64A1C">
        <w:rPr>
          <w:rFonts w:cs="Times New Roman"/>
          <w:kern w:val="0"/>
        </w:rPr>
        <w:t>chapter 17.132</w:t>
      </w:r>
      <w:r w:rsidRPr="00F64A1C">
        <w:rPr>
          <w:rFonts w:cs="Times New Roman"/>
          <w:kern w:val="0"/>
        </w:rPr>
        <w:t xml:space="preserve"> </w:t>
      </w:r>
      <w:r w:rsidRPr="00F64A1C">
        <w:rPr>
          <w:rFonts w:cs="Times New Roman"/>
          <w:kern w:val="0"/>
        </w:rPr>
        <w:t xml:space="preserve">as the appropriate </w:t>
      </w:r>
      <w:r w:rsidRPr="00F64A1C">
        <w:rPr>
          <w:rFonts w:cs="Times New Roman"/>
          <w:kern w:val="0"/>
        </w:rPr>
        <w:t xml:space="preserve">chapter </w:t>
      </w:r>
      <w:r w:rsidRPr="00F64A1C">
        <w:rPr>
          <w:rFonts w:cs="Times New Roman"/>
          <w:kern w:val="0"/>
        </w:rPr>
        <w:t>for</w:t>
      </w:r>
      <w:r w:rsidRPr="00F64A1C">
        <w:rPr>
          <w:rFonts w:cs="Times New Roman"/>
          <w:kern w:val="0"/>
        </w:rPr>
        <w:t xml:space="preserve"> </w:t>
      </w:r>
      <w:r w:rsidRPr="00F64A1C">
        <w:rPr>
          <w:rFonts w:cs="Times New Roman"/>
          <w:kern w:val="0"/>
        </w:rPr>
        <w:t>appealing use classification</w:t>
      </w:r>
      <w:r w:rsidRPr="00F64A1C">
        <w:rPr>
          <w:rFonts w:cs="Times New Roman"/>
          <w:kern w:val="0"/>
        </w:rPr>
        <w:t xml:space="preserve"> determinations</w:t>
      </w:r>
      <w:r w:rsidRPr="00F64A1C">
        <w:rPr>
          <w:rFonts w:cs="Times New Roman"/>
          <w:kern w:val="0"/>
        </w:rPr>
        <w:t xml:space="preserve">.  </w:t>
      </w:r>
      <w:bookmarkEnd w:id="3"/>
      <w:r w:rsidRPr="00F64A1C">
        <w:rPr>
          <w:rFonts w:cs="Times New Roman"/>
          <w:kern w:val="0"/>
        </w:rPr>
        <w:t>Entitled “[c]</w:t>
      </w:r>
      <w:proofErr w:type="spellStart"/>
      <w:r w:rsidRPr="00F64A1C">
        <w:rPr>
          <w:rFonts w:cs="Times New Roman"/>
          <w:kern w:val="0"/>
        </w:rPr>
        <w:t>lassification</w:t>
      </w:r>
      <w:proofErr w:type="spellEnd"/>
      <w:r w:rsidRPr="00F64A1C">
        <w:rPr>
          <w:rFonts w:cs="Times New Roman"/>
          <w:kern w:val="0"/>
        </w:rPr>
        <w:t xml:space="preserve"> of unlisted uses,” it </w:t>
      </w:r>
      <w:r w:rsidRPr="00F64A1C">
        <w:rPr>
          <w:rFonts w:cs="Times New Roman"/>
          <w:kern w:val="0"/>
        </w:rPr>
        <w:t xml:space="preserve">directs the </w:t>
      </w:r>
      <w:r w:rsidRPr="00F64A1C">
        <w:rPr>
          <w:rFonts w:cs="Times New Roman"/>
          <w:kern w:val="0"/>
        </w:rPr>
        <w:t>Planning Department</w:t>
      </w:r>
      <w:r w:rsidRPr="00F64A1C">
        <w:rPr>
          <w:rFonts w:cs="Times New Roman"/>
          <w:kern w:val="0"/>
        </w:rPr>
        <w:t xml:space="preserve"> to classify an activity with the description that “most closely portrays it.”  </w:t>
      </w:r>
      <w:bookmarkStart w:id="4" w:name="_Hlk170456471"/>
      <w:r w:rsidRPr="00F64A1C">
        <w:rPr>
          <w:rFonts w:cs="Open Sans"/>
          <w:spacing w:val="2"/>
          <w:shd w:val="clear" w:color="auto" w:fill="FFFFFF"/>
        </w:rPr>
        <w:t>(</w:t>
      </w:r>
      <w:r w:rsidRPr="00F64A1C">
        <w:t>§ 17.10.090.</w:t>
      </w:r>
      <w:r w:rsidRPr="00F64A1C">
        <w:rPr>
          <w:rFonts w:cs="Open Sans"/>
          <w:spacing w:val="2"/>
          <w:shd w:val="clear" w:color="auto" w:fill="FFFFFF"/>
        </w:rPr>
        <w:t xml:space="preserve">)  </w:t>
      </w:r>
      <w:bookmarkEnd w:id="4"/>
      <w:r w:rsidRPr="00F64A1C">
        <w:rPr>
          <w:rFonts w:cs="Open Sans"/>
          <w:spacing w:val="2"/>
          <w:shd w:val="clear" w:color="auto" w:fill="FFFFFF"/>
        </w:rPr>
        <w:t xml:space="preserve">It expounds that </w:t>
      </w:r>
      <w:r w:rsidRPr="00F64A1C">
        <w:rPr>
          <w:rFonts w:cs="Open Sans"/>
          <w:spacing w:val="2"/>
          <w:shd w:val="clear" w:color="auto" w:fill="FFFFFF"/>
        </w:rPr>
        <w:t>if</w:t>
      </w:r>
      <w:r w:rsidRPr="00F64A1C">
        <w:rPr>
          <w:rFonts w:cs="Open Sans"/>
          <w:spacing w:val="2"/>
          <w:shd w:val="clear" w:color="auto" w:fill="FFFFFF"/>
        </w:rPr>
        <w:t xml:space="preserve"> there is “uncertainty as to the classification of use</w:t>
      </w:r>
      <w:r w:rsidRPr="00F64A1C">
        <w:rPr>
          <w:rFonts w:cs="Open Sans"/>
          <w:spacing w:val="2"/>
          <w:shd w:val="clear" w:color="auto" w:fill="FFFFFF"/>
        </w:rPr>
        <w:t xml:space="preserve">, </w:t>
      </w:r>
      <w:r w:rsidRPr="00F64A1C">
        <w:rPr>
          <w:rFonts w:cs="Open Sans"/>
          <w:spacing w:val="2"/>
          <w:shd w:val="clear" w:color="auto" w:fill="FFFFFF"/>
        </w:rPr>
        <w:t xml:space="preserve">the Director of City Planning shall classify said use, subject to the right of appeal from such determination </w:t>
      </w:r>
      <w:r w:rsidRPr="00F64A1C">
        <w:rPr>
          <w:rFonts w:cs="Open Sans"/>
          <w:i/>
          <w:iCs/>
          <w:spacing w:val="2"/>
          <w:shd w:val="clear" w:color="auto" w:fill="FFFFFF"/>
        </w:rPr>
        <w:t>pursuant to the administrative appeal procedure in</w:t>
      </w:r>
      <w:r w:rsidRPr="00F64A1C">
        <w:rPr>
          <w:rFonts w:cs="Open Sans"/>
          <w:i/>
          <w:iCs/>
          <w:spacing w:val="2"/>
          <w:shd w:val="clear" w:color="auto" w:fill="FFFFFF"/>
        </w:rPr>
        <w:t xml:space="preserve"> </w:t>
      </w:r>
      <w:r w:rsidRPr="00F64A1C">
        <w:rPr>
          <w:rFonts w:cs="Open Sans"/>
          <w:i/>
          <w:iCs/>
          <w:spacing w:val="2"/>
          <w:shd w:val="clear" w:color="auto" w:fill="FFFFFF"/>
        </w:rPr>
        <w:lastRenderedPageBreak/>
        <w:t>[c]</w:t>
      </w:r>
      <w:proofErr w:type="spellStart"/>
      <w:r w:rsidRPr="00F64A1C">
        <w:rPr>
          <w:rFonts w:cs="Open Sans"/>
          <w:i/>
          <w:iCs/>
          <w:spacing w:val="2"/>
          <w:shd w:val="clear" w:color="auto" w:fill="FFFFFF"/>
        </w:rPr>
        <w:t>hapter</w:t>
      </w:r>
      <w:proofErr w:type="spellEnd"/>
      <w:r w:rsidRPr="00F64A1C">
        <w:rPr>
          <w:rFonts w:cs="Open Sans"/>
          <w:i/>
          <w:iCs/>
          <w:spacing w:val="2"/>
          <w:shd w:val="clear" w:color="auto" w:fill="FFFFFF"/>
        </w:rPr>
        <w:t> </w:t>
      </w:r>
      <w:r w:rsidRPr="00F64A1C">
        <w:rPr>
          <w:rFonts w:cs="Open Sans"/>
          <w:i/>
          <w:iCs/>
          <w:spacing w:val="2"/>
          <w:shd w:val="clear" w:color="auto" w:fill="FFFFFF"/>
        </w:rPr>
        <w:t>17.132</w:t>
      </w:r>
      <w:r w:rsidRPr="00F64A1C">
        <w:rPr>
          <w:rFonts w:cs="Open Sans"/>
          <w:spacing w:val="2"/>
          <w:shd w:val="clear" w:color="auto" w:fill="FFFFFF"/>
        </w:rPr>
        <w:t>.</w:t>
      </w:r>
      <w:r w:rsidRPr="00F64A1C">
        <w:rPr>
          <w:rFonts w:cs="Open Sans"/>
          <w:spacing w:val="2"/>
          <w:shd w:val="clear" w:color="auto" w:fill="FFFFFF"/>
        </w:rPr>
        <w:t>”</w:t>
      </w:r>
      <w:r w:rsidRPr="00F64A1C">
        <w:rPr>
          <w:rFonts w:cs="Open Sans"/>
          <w:spacing w:val="2"/>
          <w:shd w:val="clear" w:color="auto" w:fill="FFFFFF"/>
        </w:rPr>
        <w:t xml:space="preserve">  </w:t>
      </w:r>
      <w:r w:rsidRPr="00F64A1C">
        <w:rPr>
          <w:rFonts w:cs="Open Sans"/>
          <w:spacing w:val="2"/>
          <w:shd w:val="clear" w:color="auto" w:fill="FFFFFF"/>
        </w:rPr>
        <w:t>(</w:t>
      </w:r>
      <w:r w:rsidRPr="00F64A1C">
        <w:rPr>
          <w:rFonts w:cs="Open Sans"/>
          <w:i/>
          <w:iCs/>
          <w:spacing w:val="2"/>
          <w:shd w:val="clear" w:color="auto" w:fill="FFFFFF"/>
        </w:rPr>
        <w:t>I</w:t>
      </w:r>
      <w:r w:rsidRPr="00F64A1C">
        <w:rPr>
          <w:rFonts w:cs="Open Sans"/>
          <w:i/>
          <w:iCs/>
          <w:spacing w:val="2"/>
          <w:shd w:val="clear" w:color="auto" w:fill="FFFFFF"/>
        </w:rPr>
        <w:t>bi</w:t>
      </w:r>
      <w:r w:rsidRPr="00F64A1C">
        <w:rPr>
          <w:rFonts w:cs="Open Sans"/>
          <w:i/>
          <w:iCs/>
          <w:spacing w:val="2"/>
          <w:shd w:val="clear" w:color="auto" w:fill="FFFFFF"/>
        </w:rPr>
        <w:t>d.</w:t>
      </w:r>
      <w:r w:rsidRPr="00F64A1C">
        <w:rPr>
          <w:rFonts w:cs="Open Sans"/>
          <w:spacing w:val="2"/>
          <w:shd w:val="clear" w:color="auto" w:fill="FFFFFF"/>
        </w:rPr>
        <w:t>, italics added</w:t>
      </w:r>
      <w:r w:rsidRPr="00F64A1C">
        <w:rPr>
          <w:rFonts w:cs="Open Sans"/>
          <w:spacing w:val="2"/>
          <w:shd w:val="clear" w:color="auto" w:fill="FFFFFF"/>
        </w:rPr>
        <w:t>.</w:t>
      </w:r>
      <w:r w:rsidRPr="00F64A1C">
        <w:rPr>
          <w:rFonts w:cs="Open Sans"/>
          <w:spacing w:val="2"/>
          <w:shd w:val="clear" w:color="auto" w:fill="FFFFFF"/>
        </w:rPr>
        <w:t xml:space="preserve">)  </w:t>
      </w:r>
      <w:r w:rsidRPr="00F64A1C">
        <w:rPr>
          <w:rFonts w:cs="Open Sans"/>
          <w:spacing w:val="2"/>
          <w:shd w:val="clear" w:color="auto" w:fill="FFFFFF"/>
        </w:rPr>
        <w:t>T</w:t>
      </w:r>
      <w:r w:rsidRPr="00F64A1C">
        <w:rPr>
          <w:rFonts w:cs="Open Sans"/>
          <w:spacing w:val="2"/>
          <w:shd w:val="clear" w:color="auto" w:fill="FFFFFF"/>
        </w:rPr>
        <w:t xml:space="preserve">here is no ambiguity </w:t>
      </w:r>
      <w:r w:rsidRPr="00F64A1C">
        <w:rPr>
          <w:rFonts w:cs="Open Sans"/>
        </w:rPr>
        <w:t>over whether</w:t>
      </w:r>
      <w:r w:rsidRPr="00F64A1C">
        <w:rPr>
          <w:rFonts w:cs="Open Sans"/>
          <w:spacing w:val="2"/>
          <w:shd w:val="clear" w:color="auto" w:fill="FFFFFF"/>
        </w:rPr>
        <w:t xml:space="preserve"> chapter 17.152 </w:t>
      </w:r>
      <w:r w:rsidRPr="00F64A1C">
        <w:rPr>
          <w:rFonts w:cs="Open Sans"/>
          <w:spacing w:val="2"/>
          <w:shd w:val="clear" w:color="auto" w:fill="FFFFFF"/>
        </w:rPr>
        <w:t xml:space="preserve">is </w:t>
      </w:r>
      <w:r w:rsidRPr="00F64A1C">
        <w:rPr>
          <w:rFonts w:cs="Open Sans"/>
          <w:spacing w:val="2"/>
          <w:shd w:val="clear" w:color="auto" w:fill="FFFFFF"/>
        </w:rPr>
        <w:t>an</w:t>
      </w:r>
      <w:r w:rsidRPr="00F64A1C">
        <w:rPr>
          <w:rFonts w:cs="Open Sans"/>
          <w:spacing w:val="2"/>
          <w:shd w:val="clear" w:color="auto" w:fill="FFFFFF"/>
        </w:rPr>
        <w:t xml:space="preserve"> improper legal basis </w:t>
      </w:r>
      <w:r w:rsidRPr="00F64A1C">
        <w:rPr>
          <w:rFonts w:cs="Open Sans"/>
          <w:spacing w:val="2"/>
          <w:shd w:val="clear" w:color="auto" w:fill="FFFFFF"/>
        </w:rPr>
        <w:t>to challenge</w:t>
      </w:r>
      <w:r w:rsidRPr="00F64A1C">
        <w:rPr>
          <w:rFonts w:cs="Open Sans"/>
          <w:spacing w:val="2"/>
          <w:shd w:val="clear" w:color="auto" w:fill="FFFFFF"/>
        </w:rPr>
        <w:t xml:space="preserve"> </w:t>
      </w:r>
      <w:r w:rsidRPr="00F64A1C">
        <w:rPr>
          <w:rFonts w:cs="Open Sans"/>
          <w:spacing w:val="2"/>
          <w:shd w:val="clear" w:color="auto" w:fill="FFFFFF"/>
        </w:rPr>
        <w:t xml:space="preserve">a </w:t>
      </w:r>
      <w:r w:rsidRPr="00F64A1C">
        <w:rPr>
          <w:rFonts w:cs="Open Sans"/>
          <w:spacing w:val="2"/>
          <w:shd w:val="clear" w:color="auto" w:fill="FFFFFF"/>
        </w:rPr>
        <w:t>use classification.</w:t>
      </w:r>
      <w:r w:rsidRPr="00F64A1C">
        <w:rPr>
          <w:rFonts w:cs="Open Sans"/>
          <w:spacing w:val="2"/>
          <w:shd w:val="clear" w:color="auto" w:fill="FFFFFF"/>
        </w:rPr>
        <w:t xml:space="preserve">  </w:t>
      </w:r>
    </w:p>
    <w:p w14:paraId="4B91896E" w14:textId="77777777" w:rsidR="00A113D7" w:rsidRPr="00F64A1C" w:rsidRDefault="00A113D7" w:rsidP="00B17EA9">
      <w:pPr>
        <w:ind w:firstLine="720"/>
        <w:textAlignment w:val="baseline"/>
        <w:rPr>
          <w:rFonts w:cs="Open Sans"/>
          <w:spacing w:val="2"/>
          <w:shd w:val="clear" w:color="auto" w:fill="FFFFFF"/>
        </w:rPr>
      </w:pPr>
      <w:r w:rsidRPr="00F64A1C">
        <w:rPr>
          <w:rFonts w:cs="Open Sans"/>
          <w:spacing w:val="2"/>
          <w:shd w:val="clear" w:color="auto" w:fill="FFFFFF"/>
        </w:rPr>
        <w:t xml:space="preserve">Even if </w:t>
      </w:r>
      <w:r w:rsidRPr="00F64A1C">
        <w:rPr>
          <w:rFonts w:cs="Open Sans"/>
          <w:spacing w:val="2"/>
          <w:shd w:val="clear" w:color="auto" w:fill="FFFFFF"/>
        </w:rPr>
        <w:t>section </w:t>
      </w:r>
      <w:r w:rsidRPr="00F64A1C">
        <w:rPr>
          <w:rFonts w:cs="Open Sans"/>
          <w:spacing w:val="2"/>
          <w:shd w:val="clear" w:color="auto" w:fill="FFFFFF"/>
        </w:rPr>
        <w:t xml:space="preserve">17.10.090 did not </w:t>
      </w:r>
      <w:r w:rsidRPr="00F64A1C">
        <w:rPr>
          <w:rFonts w:cs="Open Sans"/>
          <w:spacing w:val="2"/>
          <w:shd w:val="clear" w:color="auto" w:fill="FFFFFF"/>
        </w:rPr>
        <w:t>specify</w:t>
      </w:r>
      <w:r w:rsidRPr="00F64A1C">
        <w:rPr>
          <w:rFonts w:cs="Open Sans"/>
          <w:spacing w:val="2"/>
          <w:shd w:val="clear" w:color="auto" w:fill="FFFFFF"/>
        </w:rPr>
        <w:t xml:space="preserve"> that chapter 17.132 governs appeals of </w:t>
      </w:r>
      <w:r w:rsidRPr="00F64A1C">
        <w:rPr>
          <w:rFonts w:cs="Open Sans"/>
          <w:spacing w:val="2"/>
          <w:shd w:val="clear" w:color="auto" w:fill="FFFFFF"/>
        </w:rPr>
        <w:t xml:space="preserve">uncertain or novel </w:t>
      </w:r>
      <w:r w:rsidRPr="00F64A1C">
        <w:rPr>
          <w:rFonts w:cs="Open Sans"/>
          <w:spacing w:val="2"/>
          <w:shd w:val="clear" w:color="auto" w:fill="FFFFFF"/>
        </w:rPr>
        <w:t xml:space="preserve">use classifications, the plain meaning of chapter 17.132 establishes that it covers </w:t>
      </w:r>
      <w:r w:rsidRPr="00F64A1C">
        <w:rPr>
          <w:rFonts w:cs="Open Sans"/>
          <w:spacing w:val="2"/>
          <w:shd w:val="clear" w:color="auto" w:fill="FFFFFF"/>
        </w:rPr>
        <w:t>Neighbors’</w:t>
      </w:r>
      <w:r w:rsidRPr="00F64A1C">
        <w:rPr>
          <w:rFonts w:cs="Open Sans"/>
          <w:spacing w:val="2"/>
          <w:shd w:val="clear" w:color="auto" w:fill="FFFFFF"/>
        </w:rPr>
        <w:t xml:space="preserve"> complaint.  T</w:t>
      </w:r>
      <w:r w:rsidRPr="00F64A1C">
        <w:t xml:space="preserve">he express purpose of </w:t>
      </w:r>
      <w:r w:rsidRPr="00F64A1C">
        <w:t>c</w:t>
      </w:r>
      <w:r w:rsidRPr="00F64A1C">
        <w:t>hapter 17.132 is to “prescribe the procedure” for appealing “</w:t>
      </w:r>
      <w:r w:rsidRPr="00F64A1C">
        <w:rPr>
          <w:rFonts w:cs="Open Sans"/>
          <w:i/>
          <w:iCs/>
          <w:spacing w:val="2"/>
          <w:shd w:val="clear" w:color="auto" w:fill="FFFFFF"/>
        </w:rPr>
        <w:t>any</w:t>
      </w:r>
      <w:r w:rsidRPr="00F64A1C">
        <w:rPr>
          <w:rFonts w:cs="Open Sans"/>
          <w:spacing w:val="2"/>
          <w:shd w:val="clear" w:color="auto" w:fill="FFFFFF"/>
        </w:rPr>
        <w:t xml:space="preserve"> determination or interpretation made by the Director of City Planning under the zoning regulations.”  (</w:t>
      </w:r>
      <w:r w:rsidRPr="00F64A1C">
        <w:t>§ 17.132.010, italics added.</w:t>
      </w:r>
      <w:r w:rsidRPr="00F64A1C">
        <w:rPr>
          <w:rFonts w:cs="Open Sans"/>
          <w:spacing w:val="2"/>
          <w:shd w:val="clear" w:color="auto" w:fill="FFFFFF"/>
        </w:rPr>
        <w:t>)  Th</w:t>
      </w:r>
      <w:r w:rsidRPr="00F64A1C">
        <w:rPr>
          <w:rFonts w:cs="Open Sans"/>
          <w:spacing w:val="2"/>
          <w:shd w:val="clear" w:color="auto" w:fill="FFFFFF"/>
        </w:rPr>
        <w:t>is</w:t>
      </w:r>
      <w:r w:rsidRPr="00F64A1C">
        <w:rPr>
          <w:rFonts w:cs="Open Sans"/>
          <w:spacing w:val="2"/>
          <w:shd w:val="clear" w:color="auto" w:fill="FFFFFF"/>
        </w:rPr>
        <w:t xml:space="preserve"> broad language </w:t>
      </w:r>
      <w:r w:rsidRPr="00F64A1C">
        <w:rPr>
          <w:rFonts w:cs="Open Sans"/>
          <w:spacing w:val="2"/>
          <w:shd w:val="clear" w:color="auto" w:fill="FFFFFF"/>
        </w:rPr>
        <w:t xml:space="preserve">facially </w:t>
      </w:r>
      <w:r w:rsidRPr="00F64A1C">
        <w:rPr>
          <w:rFonts w:cs="Open Sans"/>
          <w:spacing w:val="2"/>
          <w:shd w:val="clear" w:color="auto" w:fill="FFFFFF"/>
        </w:rPr>
        <w:t xml:space="preserve">applies to use classifications and zoning clearances. </w:t>
      </w:r>
      <w:r w:rsidRPr="00F64A1C">
        <w:t xml:space="preserve"> (</w:t>
      </w:r>
      <w:r w:rsidRPr="00F64A1C">
        <w:rPr>
          <w:i/>
          <w:iCs/>
          <w:bdr w:val="none" w:sz="0" w:space="0" w:color="auto" w:frame="1"/>
        </w:rPr>
        <w:t>Lopez v. Sony Electronics, Inc.</w:t>
      </w:r>
      <w:r w:rsidRPr="00F64A1C">
        <w:t xml:space="preserve"> (2018) 5 Cal.5th 627, 635 [t</w:t>
      </w:r>
      <w:r w:rsidRPr="00F64A1C">
        <w:rPr>
          <w:rFonts w:eastAsia="Cambria" w:cs="TimesNewRomanPSMT"/>
        </w:rPr>
        <w:t xml:space="preserve">he term “any” </w:t>
      </w:r>
      <w:r w:rsidRPr="00F64A1C">
        <w:t>is one of “broad inclus</w:t>
      </w:r>
      <w:r w:rsidRPr="00F64A1C">
        <w:t>ion, meaning ‘without limit and no matter what kind</w:t>
      </w:r>
      <w:proofErr w:type="gramStart"/>
      <w:r w:rsidRPr="00F64A1C">
        <w:t>’ ”</w:t>
      </w:r>
      <w:proofErr w:type="gramEnd"/>
      <w:r w:rsidRPr="00F64A1C">
        <w:t>].)</w:t>
      </w:r>
      <w:r w:rsidRPr="00F64A1C">
        <w:rPr>
          <w:rFonts w:cs="Open Sans"/>
          <w:spacing w:val="2"/>
          <w:shd w:val="clear" w:color="auto" w:fill="FFFFFF"/>
        </w:rPr>
        <w:t xml:space="preserve">  The applicability of chapter 17.132 is fatal to Neighbors’ claim because they filed it after the statute of limitations.</w:t>
      </w:r>
      <w:r w:rsidRPr="00F64A1C">
        <w:rPr>
          <w:rFonts w:eastAsia="Times New Roman" w:cs="Times New Roman"/>
          <w:kern w:val="0"/>
          <w14:ligatures w14:val="none"/>
        </w:rPr>
        <w:t xml:space="preserve"> </w:t>
      </w:r>
      <w:r w:rsidRPr="00F64A1C">
        <w:rPr>
          <w:rFonts w:eastAsia="Times New Roman" w:cs="Times New Roman"/>
          <w:kern w:val="0"/>
          <w14:ligatures w14:val="none"/>
        </w:rPr>
        <w:t xml:space="preserve"> </w:t>
      </w:r>
      <w:r w:rsidRPr="00F64A1C">
        <w:rPr>
          <w:rFonts w:cs="Open Sans"/>
          <w:spacing w:val="2"/>
          <w:shd w:val="clear" w:color="auto" w:fill="FFFFFF"/>
        </w:rPr>
        <w:t>(</w:t>
      </w:r>
      <w:r w:rsidRPr="00F64A1C">
        <w:t>§ 17.132.020 [</w:t>
      </w:r>
      <w:r w:rsidRPr="00F64A1C">
        <w:rPr>
          <w:rFonts w:eastAsia="Times New Roman" w:cs="Times New Roman"/>
          <w:kern w:val="0"/>
          <w14:ligatures w14:val="none"/>
        </w:rPr>
        <w:t xml:space="preserve">requiring an appeal to be brought within ten calendar days of </w:t>
      </w:r>
      <w:r w:rsidRPr="00F64A1C">
        <w:rPr>
          <w:rFonts w:eastAsia="Times New Roman" w:cs="Times New Roman"/>
          <w:kern w:val="0"/>
          <w14:ligatures w14:val="none"/>
        </w:rPr>
        <w:t>a</w:t>
      </w:r>
      <w:r w:rsidRPr="00F64A1C">
        <w:rPr>
          <w:rFonts w:eastAsia="Times New Roman" w:cs="Times New Roman"/>
          <w:kern w:val="0"/>
          <w14:ligatures w14:val="none"/>
        </w:rPr>
        <w:t xml:space="preserve"> </w:t>
      </w:r>
      <w:r w:rsidRPr="00F64A1C">
        <w:t xml:space="preserve">Planning Department </w:t>
      </w:r>
      <w:r w:rsidRPr="00F64A1C">
        <w:rPr>
          <w:rFonts w:eastAsia="Times New Roman" w:cs="Times New Roman"/>
          <w:kern w:val="0"/>
          <w14:ligatures w14:val="none"/>
        </w:rPr>
        <w:t>decision</w:t>
      </w:r>
      <w:r w:rsidRPr="00F64A1C">
        <w:t>].</w:t>
      </w:r>
      <w:r w:rsidRPr="00F64A1C">
        <w:rPr>
          <w:rFonts w:cs="Open Sans"/>
          <w:spacing w:val="2"/>
          <w:shd w:val="clear" w:color="auto" w:fill="FFFFFF"/>
        </w:rPr>
        <w:t>)</w:t>
      </w:r>
      <w:r>
        <w:rPr>
          <w:rStyle w:val="FootnoteReference"/>
          <w:rFonts w:cs="Open Sans"/>
          <w:spacing w:val="2"/>
          <w:shd w:val="clear" w:color="auto" w:fill="FFFFFF"/>
        </w:rPr>
        <w:footnoteReference w:id="4"/>
      </w:r>
      <w:r w:rsidRPr="00F64A1C">
        <w:rPr>
          <w:rStyle w:val="FootnoteReference"/>
        </w:rPr>
        <w:t xml:space="preserve"> </w:t>
      </w:r>
    </w:p>
    <w:p w14:paraId="29522FC8" w14:textId="77777777" w:rsidR="00A113D7" w:rsidRPr="00F64A1C" w:rsidRDefault="00A113D7" w:rsidP="00B17EA9">
      <w:pPr>
        <w:ind w:firstLine="720"/>
        <w:textAlignment w:val="baseline"/>
        <w:rPr>
          <w:rFonts w:cs="Open Sans"/>
          <w:spacing w:val="2"/>
          <w:shd w:val="clear" w:color="auto" w:fill="FFFFFF"/>
        </w:rPr>
      </w:pPr>
      <w:r w:rsidRPr="00F64A1C">
        <w:t xml:space="preserve">Neighbors fail to </w:t>
      </w:r>
      <w:r w:rsidRPr="00F64A1C">
        <w:t>substantiate their contention that</w:t>
      </w:r>
      <w:r w:rsidRPr="00F64A1C">
        <w:t xml:space="preserve"> the </w:t>
      </w:r>
      <w:r w:rsidRPr="00F64A1C">
        <w:t xml:space="preserve">Planning Department </w:t>
      </w:r>
      <w:r w:rsidRPr="00F64A1C">
        <w:t>did not adhere to classification rules outline</w:t>
      </w:r>
      <w:r w:rsidRPr="00F64A1C">
        <w:t>d</w:t>
      </w:r>
      <w:r w:rsidRPr="00F64A1C">
        <w:t xml:space="preserve"> in chapter 17.10.  </w:t>
      </w:r>
      <w:r w:rsidRPr="00F64A1C">
        <w:t>In any event, Neighbors forfeited any</w:t>
      </w:r>
      <w:r w:rsidRPr="00F64A1C">
        <w:t xml:space="preserve"> argument </w:t>
      </w:r>
      <w:r w:rsidRPr="00F64A1C">
        <w:t xml:space="preserve">that the Planning Director was required to issue a “formal” </w:t>
      </w:r>
      <w:r w:rsidRPr="00F64A1C">
        <w:t xml:space="preserve">use classification </w:t>
      </w:r>
      <w:r w:rsidRPr="00F64A1C">
        <w:t>determination by failing to</w:t>
      </w:r>
      <w:r w:rsidRPr="00F64A1C">
        <w:t xml:space="preserve"> raise </w:t>
      </w:r>
      <w:r w:rsidRPr="00F64A1C">
        <w:t>th</w:t>
      </w:r>
      <w:r w:rsidRPr="00F64A1C">
        <w:t>is</w:t>
      </w:r>
      <w:r w:rsidRPr="00F64A1C">
        <w:t xml:space="preserve"> argument</w:t>
      </w:r>
      <w:r w:rsidRPr="00F64A1C">
        <w:t xml:space="preserve"> during the administrative process. </w:t>
      </w:r>
      <w:r w:rsidRPr="00F64A1C">
        <w:t xml:space="preserve"> </w:t>
      </w:r>
      <w:r w:rsidRPr="00F64A1C">
        <w:rPr>
          <w:rFonts w:cs="CenturySchoolbook"/>
          <w:kern w:val="0"/>
        </w:rPr>
        <w:t>(</w:t>
      </w:r>
      <w:r w:rsidRPr="00F64A1C">
        <w:rPr>
          <w:rFonts w:cs="CenturySchoolbook-Italic"/>
          <w:i/>
          <w:iCs/>
          <w:kern w:val="0"/>
        </w:rPr>
        <w:t xml:space="preserve">Hagopian v. State of Cal. </w:t>
      </w:r>
      <w:r w:rsidRPr="00F64A1C">
        <w:rPr>
          <w:rFonts w:cs="CenturySchoolbook"/>
          <w:kern w:val="0"/>
        </w:rPr>
        <w:t>(2014) 223</w:t>
      </w:r>
      <w:r w:rsidRPr="00F64A1C">
        <w:rPr>
          <w:rFonts w:cs="CenturySchoolbook"/>
          <w:kern w:val="0"/>
        </w:rPr>
        <w:t> </w:t>
      </w:r>
      <w:r w:rsidRPr="00F64A1C">
        <w:rPr>
          <w:rFonts w:cs="CenturySchoolbook"/>
          <w:kern w:val="0"/>
        </w:rPr>
        <w:t>Cal.App.4th 349, 371</w:t>
      </w:r>
      <w:r w:rsidRPr="00F64A1C">
        <w:rPr>
          <w:rFonts w:cs="CenturySchoolbook"/>
        </w:rPr>
        <w:t xml:space="preserve"> [“an interested party must present the exact issue to the administrative agency that is later asserted during </w:t>
      </w:r>
      <w:r w:rsidRPr="00F64A1C">
        <w:rPr>
          <w:rFonts w:cs="CenturySchoolbook"/>
        </w:rPr>
        <w:lastRenderedPageBreak/>
        <w:t xml:space="preserve">litigation or on appeal. </w:t>
      </w:r>
      <w:r w:rsidRPr="00F64A1C">
        <w:rPr>
          <w:rFonts w:cs="CenturySchoolbook"/>
        </w:rPr>
        <w:t xml:space="preserve"> </w:t>
      </w:r>
      <w:r w:rsidRPr="00F64A1C">
        <w:rPr>
          <w:rFonts w:cs="CenturySchoolbook"/>
        </w:rPr>
        <w:t>[</w:t>
      </w:r>
      <w:r w:rsidRPr="00F64A1C">
        <w:rPr>
          <w:rFonts w:cs="CenturySchoolbook"/>
        </w:rPr>
        <w:t>C</w:t>
      </w:r>
      <w:r w:rsidRPr="00F64A1C">
        <w:rPr>
          <w:rFonts w:cs="CenturySchoolbook"/>
        </w:rPr>
        <w:t>itation</w:t>
      </w:r>
      <w:r w:rsidRPr="00F64A1C">
        <w:rPr>
          <w:rFonts w:cs="CenturySchoolbook"/>
        </w:rPr>
        <w:t>.</w:t>
      </w:r>
      <w:r w:rsidRPr="00F64A1C">
        <w:rPr>
          <w:rFonts w:cs="CenturySchoolbook"/>
        </w:rPr>
        <w:t>]</w:t>
      </w:r>
      <w:r w:rsidRPr="00F64A1C">
        <w:rPr>
          <w:rFonts w:cs="CenturySchoolbook"/>
        </w:rPr>
        <w:t xml:space="preserve"> </w:t>
      </w:r>
      <w:r w:rsidRPr="00F64A1C">
        <w:rPr>
          <w:rFonts w:cs="CenturySchoolbook"/>
        </w:rPr>
        <w:t xml:space="preserve"> </w:t>
      </w:r>
      <w:r w:rsidRPr="00F64A1C">
        <w:rPr>
          <w:rFonts w:cs="CenturySchoolbook"/>
        </w:rPr>
        <w:t xml:space="preserve">General objections, generalized </w:t>
      </w:r>
      <w:proofErr w:type="gramStart"/>
      <w:r w:rsidRPr="00F64A1C">
        <w:rPr>
          <w:rFonts w:cs="CenturySchoolbook"/>
        </w:rPr>
        <w:t>references</w:t>
      </w:r>
      <w:r w:rsidRPr="00F64A1C">
        <w:rPr>
          <w:rFonts w:cs="CenturySchoolbook"/>
        </w:rPr>
        <w:t>[</w:t>
      </w:r>
      <w:proofErr w:type="gramEnd"/>
      <w:r w:rsidRPr="00F64A1C">
        <w:rPr>
          <w:rFonts w:cs="CenturySchoolbook"/>
        </w:rPr>
        <w:t>,]</w:t>
      </w:r>
      <w:r w:rsidRPr="00F64A1C">
        <w:rPr>
          <w:rFonts w:cs="CenturySchoolbook"/>
        </w:rPr>
        <w:t xml:space="preserve"> or unelaborated comments will not suffice</w:t>
      </w:r>
      <w:r w:rsidRPr="00F64A1C">
        <w:rPr>
          <w:rFonts w:cs="CenturySchoolbook"/>
        </w:rPr>
        <w:t>”]</w:t>
      </w:r>
      <w:r w:rsidRPr="00F64A1C">
        <w:rPr>
          <w:rFonts w:cs="CenturySchoolbook"/>
          <w:kern w:val="0"/>
        </w:rPr>
        <w:t xml:space="preserve">.) </w:t>
      </w:r>
      <w:r w:rsidRPr="00F64A1C">
        <w:t xml:space="preserve"> </w:t>
      </w:r>
      <w:r w:rsidRPr="00F64A1C">
        <w:rPr>
          <w:rFonts w:cs="Times New Roman"/>
          <w:kern w:val="0"/>
        </w:rPr>
        <w:t xml:space="preserve">Neighbors do not cite any ordinance or case law supporting their contention that a zoning clearance issued by </w:t>
      </w:r>
      <w:r w:rsidRPr="00F64A1C">
        <w:t xml:space="preserve">Planning Department </w:t>
      </w:r>
      <w:r w:rsidRPr="00F64A1C">
        <w:rPr>
          <w:rFonts w:cs="Times New Roman"/>
          <w:kern w:val="0"/>
        </w:rPr>
        <w:t>staff does not constitute a determination</w:t>
      </w:r>
      <w:r w:rsidRPr="00F64A1C">
        <w:rPr>
          <w:rFonts w:cs="Times New Roman"/>
          <w:kern w:val="0"/>
        </w:rPr>
        <w:t xml:space="preserve"> </w:t>
      </w:r>
      <w:r w:rsidRPr="00F64A1C">
        <w:rPr>
          <w:rFonts w:cs="Times New Roman"/>
        </w:rPr>
        <w:t>under chapter</w:t>
      </w:r>
      <w:r w:rsidRPr="00F64A1C">
        <w:rPr>
          <w:rFonts w:cs="Times New Roman"/>
        </w:rPr>
        <w:t> </w:t>
      </w:r>
      <w:r w:rsidRPr="00F64A1C">
        <w:rPr>
          <w:rFonts w:cs="Times New Roman"/>
        </w:rPr>
        <w:t>17.10</w:t>
      </w:r>
      <w:r w:rsidRPr="00F64A1C">
        <w:rPr>
          <w:rFonts w:cs="Times New Roman"/>
          <w:kern w:val="0"/>
        </w:rPr>
        <w:t xml:space="preserve">.  </w:t>
      </w:r>
      <w:r w:rsidRPr="00F64A1C">
        <w:rPr>
          <w:rFonts w:eastAsia="Times New Roman" w:cs="Times New Roman"/>
          <w:kern w:val="0"/>
          <w14:ligatures w14:val="none"/>
        </w:rPr>
        <w:t>(</w:t>
      </w:r>
      <w:r w:rsidRPr="00F64A1C">
        <w:rPr>
          <w:rFonts w:eastAsia="Times New Roman" w:cs="Times New Roman"/>
          <w:i/>
          <w:iCs/>
          <w:kern w:val="0"/>
          <w:bdr w:val="none" w:sz="0" w:space="0" w:color="auto" w:frame="1"/>
          <w14:ligatures w14:val="none"/>
        </w:rPr>
        <w:t>Temple of 1001 Buddhas v. City of Fremont</w:t>
      </w:r>
      <w:r w:rsidRPr="00F64A1C">
        <w:rPr>
          <w:rFonts w:eastAsia="Times New Roman" w:cs="Times New Roman"/>
          <w:kern w:val="0"/>
          <w14:ligatures w14:val="none"/>
        </w:rPr>
        <w:t xml:space="preserve"> (2024) 100</w:t>
      </w:r>
      <w:r w:rsidRPr="00F64A1C">
        <w:rPr>
          <w:rFonts w:eastAsia="Times New Roman" w:cs="Times New Roman"/>
          <w:kern w:val="0"/>
          <w14:ligatures w14:val="none"/>
        </w:rPr>
        <w:t> </w:t>
      </w:r>
      <w:r w:rsidRPr="00F64A1C">
        <w:rPr>
          <w:rFonts w:eastAsia="Times New Roman" w:cs="Times New Roman"/>
          <w:kern w:val="0"/>
          <w14:ligatures w14:val="none"/>
        </w:rPr>
        <w:t xml:space="preserve">Cal.App.5th 456, 204 [arguments unsupported by legal authority or cogent analysis are forfeited].)  </w:t>
      </w:r>
      <w:bookmarkStart w:id="5" w:name="_Hlk170376320"/>
      <w:r w:rsidRPr="00F64A1C">
        <w:rPr>
          <w:rFonts w:cs="Open Sans"/>
          <w:spacing w:val="2"/>
          <w:shd w:val="clear" w:color="auto" w:fill="FFFFFF"/>
        </w:rPr>
        <w:t>Nor are we</w:t>
      </w:r>
      <w:r w:rsidRPr="00F64A1C">
        <w:rPr>
          <w:rFonts w:cs="Times New Roman"/>
          <w:kern w:val="0"/>
        </w:rPr>
        <w:t xml:space="preserve"> persuaded </w:t>
      </w:r>
      <w:r w:rsidRPr="00F64A1C">
        <w:rPr>
          <w:rFonts w:cs="Times New Roman"/>
          <w:kern w:val="0"/>
        </w:rPr>
        <w:t>that</w:t>
      </w:r>
      <w:r w:rsidRPr="00F64A1C">
        <w:rPr>
          <w:rFonts w:cs="Times New Roman"/>
          <w:kern w:val="0"/>
        </w:rPr>
        <w:t xml:space="preserve"> a zoning clearance </w:t>
      </w:r>
      <w:r w:rsidRPr="00F64A1C">
        <w:rPr>
          <w:rFonts w:cs="Times New Roman"/>
          <w:kern w:val="0"/>
        </w:rPr>
        <w:t xml:space="preserve">does not </w:t>
      </w:r>
      <w:r w:rsidRPr="00F64A1C">
        <w:rPr>
          <w:rFonts w:cs="Times New Roman"/>
          <w:kern w:val="0"/>
        </w:rPr>
        <w:t>constitute a</w:t>
      </w:r>
      <w:r w:rsidRPr="00F64A1C">
        <w:rPr>
          <w:rFonts w:cs="Times New Roman"/>
          <w:kern w:val="0"/>
        </w:rPr>
        <w:t xml:space="preserve"> </w:t>
      </w:r>
      <w:r w:rsidRPr="00F64A1C">
        <w:rPr>
          <w:rFonts w:cs="Times New Roman"/>
          <w:kern w:val="0"/>
        </w:rPr>
        <w:t>“</w:t>
      </w:r>
      <w:r w:rsidRPr="00F64A1C">
        <w:rPr>
          <w:rFonts w:cs="Times New Roman"/>
          <w:kern w:val="0"/>
        </w:rPr>
        <w:t>determination</w:t>
      </w:r>
      <w:r w:rsidRPr="00F64A1C">
        <w:rPr>
          <w:rFonts w:cs="Times New Roman"/>
          <w:kern w:val="0"/>
        </w:rPr>
        <w:t>”</w:t>
      </w:r>
      <w:r w:rsidRPr="00F64A1C">
        <w:rPr>
          <w:rFonts w:cs="Times New Roman"/>
          <w:kern w:val="0"/>
        </w:rPr>
        <w:t xml:space="preserve"> </w:t>
      </w:r>
      <w:r w:rsidRPr="00F64A1C">
        <w:rPr>
          <w:rFonts w:cs="Times New Roman"/>
          <w:kern w:val="0"/>
        </w:rPr>
        <w:t xml:space="preserve">by the Planning Department </w:t>
      </w:r>
      <w:r w:rsidRPr="00F64A1C">
        <w:rPr>
          <w:rFonts w:cs="Times New Roman"/>
          <w:kern w:val="0"/>
        </w:rPr>
        <w:t xml:space="preserve">merely because </w:t>
      </w:r>
      <w:r w:rsidRPr="00F64A1C">
        <w:rPr>
          <w:rFonts w:cs="Times New Roman"/>
          <w:kern w:val="0"/>
        </w:rPr>
        <w:t>it</w:t>
      </w:r>
      <w:r w:rsidRPr="00F64A1C">
        <w:rPr>
          <w:rFonts w:cs="Times New Roman"/>
          <w:kern w:val="0"/>
        </w:rPr>
        <w:t xml:space="preserve"> is also </w:t>
      </w:r>
      <w:r w:rsidRPr="00F64A1C">
        <w:rPr>
          <w:rFonts w:cs="Times New Roman"/>
          <w:kern w:val="0"/>
        </w:rPr>
        <w:t>required for certain</w:t>
      </w:r>
      <w:r w:rsidRPr="00F64A1C">
        <w:t xml:space="preserve"> business permits</w:t>
      </w:r>
      <w:r w:rsidRPr="00F64A1C">
        <w:t xml:space="preserve"> under </w:t>
      </w:r>
      <w:r w:rsidRPr="00F64A1C">
        <w:t>c</w:t>
      </w:r>
      <w:r w:rsidRPr="00F64A1C">
        <w:t>hapter 5 of the OMC</w:t>
      </w:r>
      <w:r w:rsidRPr="00F64A1C">
        <w:t>.</w:t>
      </w:r>
      <w:r>
        <w:rPr>
          <w:rStyle w:val="FootnoteReference"/>
        </w:rPr>
        <w:footnoteReference w:id="5"/>
      </w:r>
      <w:bookmarkEnd w:id="5"/>
      <w:r w:rsidRPr="00F64A1C">
        <w:t xml:space="preserve">  (</w:t>
      </w:r>
      <w:r w:rsidRPr="00F64A1C">
        <w:t xml:space="preserve">See </w:t>
      </w:r>
      <w:r w:rsidRPr="00F64A1C">
        <w:t>§</w:t>
      </w:r>
      <w:r w:rsidRPr="00F64A1C">
        <w:t>§</w:t>
      </w:r>
      <w:r w:rsidRPr="00F64A1C">
        <w:t> </w:t>
      </w:r>
      <w:r w:rsidRPr="00F64A1C">
        <w:t>5.02.130</w:t>
      </w:r>
      <w:r w:rsidRPr="00F64A1C">
        <w:t>,</w:t>
      </w:r>
      <w:r w:rsidRPr="00F64A1C">
        <w:t xml:space="preserve"> </w:t>
      </w:r>
      <w:r w:rsidRPr="00F64A1C">
        <w:t>5.12.050</w:t>
      </w:r>
      <w:r w:rsidRPr="00F64A1C">
        <w:t>, subd.</w:t>
      </w:r>
      <w:r w:rsidRPr="00F64A1C">
        <w:t> </w:t>
      </w:r>
      <w:r w:rsidRPr="00F64A1C">
        <w:t>(</w:t>
      </w:r>
      <w:r w:rsidRPr="00F64A1C">
        <w:t>A</w:t>
      </w:r>
      <w:r w:rsidRPr="00F64A1C">
        <w:t>)</w:t>
      </w:r>
      <w:r w:rsidRPr="00F64A1C">
        <w:t xml:space="preserve">.) </w:t>
      </w:r>
      <w:r w:rsidRPr="00F64A1C">
        <w:rPr>
          <w:rFonts w:cs="Open Sans"/>
          <w:spacing w:val="2"/>
          <w:shd w:val="clear" w:color="auto" w:fill="FFFFFF"/>
        </w:rPr>
        <w:t xml:space="preserve"> </w:t>
      </w:r>
      <w:r w:rsidRPr="00F64A1C">
        <w:t>Indeed, t</w:t>
      </w:r>
      <w:r w:rsidRPr="00F64A1C">
        <w:t xml:space="preserve">he application form expressly states that </w:t>
      </w:r>
      <w:r w:rsidRPr="00F64A1C">
        <w:t xml:space="preserve">a zoning clearance </w:t>
      </w:r>
      <w:r w:rsidRPr="00F64A1C">
        <w:t>is required “</w:t>
      </w:r>
      <w:r w:rsidRPr="00F64A1C">
        <w:rPr>
          <w:rFonts w:cs="Times New Roman"/>
          <w:kern w:val="0"/>
        </w:rPr>
        <w:t xml:space="preserve">to verify that the type of business [being proposed] is permitted by the City’s Zoning Regulations at that location.”  </w:t>
      </w:r>
    </w:p>
    <w:p w14:paraId="50FFD7EF" w14:textId="77777777" w:rsidR="00A113D7" w:rsidRPr="00F64A1C" w:rsidRDefault="00A113D7" w:rsidP="00B17EA9">
      <w:pPr>
        <w:ind w:firstLine="720"/>
        <w:textAlignment w:val="baseline"/>
      </w:pPr>
      <w:r w:rsidRPr="00F64A1C">
        <w:rPr>
          <w:rFonts w:cs="Open Sans"/>
          <w:spacing w:val="2"/>
          <w:shd w:val="clear" w:color="auto" w:fill="FFFFFF"/>
        </w:rPr>
        <w:t>To avoid</w:t>
      </w:r>
      <w:r w:rsidRPr="00F64A1C">
        <w:rPr>
          <w:rFonts w:cs="Open Sans"/>
          <w:spacing w:val="2"/>
          <w:shd w:val="clear" w:color="auto" w:fill="FFFFFF"/>
        </w:rPr>
        <w:t xml:space="preserve"> </w:t>
      </w:r>
      <w:r w:rsidRPr="00F64A1C">
        <w:rPr>
          <w:rFonts w:cs="Open Sans"/>
          <w:spacing w:val="2"/>
          <w:shd w:val="clear" w:color="auto" w:fill="FFFFFF"/>
        </w:rPr>
        <w:t>being time-barred by chapter 17.132</w:t>
      </w:r>
      <w:r w:rsidRPr="00F64A1C">
        <w:rPr>
          <w:rFonts w:cs="Open Sans"/>
          <w:spacing w:val="2"/>
          <w:shd w:val="clear" w:color="auto" w:fill="FFFFFF"/>
        </w:rPr>
        <w:t>,</w:t>
      </w:r>
      <w:bookmarkStart w:id="6" w:name="_Hlk170218766"/>
      <w:r>
        <w:rPr>
          <w:rStyle w:val="FootnoteReference"/>
          <w:rFonts w:cs="Open Sans"/>
          <w:spacing w:val="2"/>
          <w:shd w:val="clear" w:color="auto" w:fill="FFFFFF"/>
        </w:rPr>
        <w:footnoteReference w:id="6"/>
      </w:r>
      <w:bookmarkEnd w:id="6"/>
      <w:r w:rsidRPr="00F64A1C">
        <w:rPr>
          <w:rFonts w:cs="Open Sans"/>
          <w:spacing w:val="2"/>
          <w:shd w:val="clear" w:color="auto" w:fill="FFFFFF"/>
        </w:rPr>
        <w:t xml:space="preserve"> Neighbors contend </w:t>
      </w:r>
      <w:r w:rsidRPr="00F64A1C">
        <w:rPr>
          <w:rFonts w:cs="Open Sans"/>
          <w:spacing w:val="2"/>
          <w:shd w:val="clear" w:color="auto" w:fill="FFFFFF"/>
        </w:rPr>
        <w:t xml:space="preserve">that </w:t>
      </w:r>
      <w:r w:rsidRPr="00F64A1C">
        <w:rPr>
          <w:rFonts w:cs="Open Sans"/>
          <w:spacing w:val="2"/>
          <w:shd w:val="clear" w:color="auto" w:fill="FFFFFF"/>
        </w:rPr>
        <w:t xml:space="preserve">the Enforcement Regulations control </w:t>
      </w:r>
      <w:r w:rsidRPr="00F64A1C">
        <w:rPr>
          <w:rFonts w:cs="Open Sans"/>
          <w:spacing w:val="2"/>
          <w:shd w:val="clear" w:color="auto" w:fill="FFFFFF"/>
        </w:rPr>
        <w:t xml:space="preserve">because they </w:t>
      </w:r>
      <w:r w:rsidRPr="00F64A1C">
        <w:t xml:space="preserve">empower any </w:t>
      </w:r>
      <w:r w:rsidRPr="00F64A1C">
        <w:lastRenderedPageBreak/>
        <w:t xml:space="preserve">member of the public to file a complaint </w:t>
      </w:r>
      <w:r w:rsidRPr="00F64A1C">
        <w:t>regarding</w:t>
      </w:r>
      <w:r w:rsidRPr="00F64A1C">
        <w:t xml:space="preserve"> “</w:t>
      </w:r>
      <w:r w:rsidRPr="00F64A1C">
        <w:rPr>
          <w:rFonts w:cs="Open Sans"/>
          <w:spacing w:val="2"/>
          <w:shd w:val="clear" w:color="auto" w:fill="FFFFFF"/>
        </w:rPr>
        <w:t>violation</w:t>
      </w:r>
      <w:r w:rsidRPr="00F64A1C">
        <w:rPr>
          <w:rFonts w:cs="Open Sans"/>
          <w:spacing w:val="2"/>
          <w:shd w:val="clear" w:color="auto" w:fill="FFFFFF"/>
        </w:rPr>
        <w:t>s</w:t>
      </w:r>
      <w:r w:rsidRPr="00F64A1C">
        <w:rPr>
          <w:rFonts w:cs="Open Sans"/>
          <w:spacing w:val="2"/>
          <w:shd w:val="clear" w:color="auto" w:fill="FFFFFF"/>
        </w:rPr>
        <w:t xml:space="preserve"> of the zoning regulations</w:t>
      </w:r>
      <w:r w:rsidRPr="00F64A1C">
        <w:rPr>
          <w:rFonts w:cs="Open Sans"/>
          <w:spacing w:val="2"/>
          <w:shd w:val="clear" w:color="auto" w:fill="FFFFFF"/>
        </w:rPr>
        <w:t>.</w:t>
      </w:r>
      <w:r w:rsidRPr="00F64A1C">
        <w:rPr>
          <w:rFonts w:cs="Open Sans"/>
          <w:spacing w:val="2"/>
          <w:shd w:val="clear" w:color="auto" w:fill="FFFFFF"/>
        </w:rPr>
        <w:t xml:space="preserve">” </w:t>
      </w:r>
      <w:r w:rsidRPr="00F64A1C">
        <w:rPr>
          <w:rFonts w:cs="Open Sans"/>
          <w:spacing w:val="2"/>
          <w:shd w:val="clear" w:color="auto" w:fill="FFFFFF"/>
        </w:rPr>
        <w:t xml:space="preserve"> </w:t>
      </w:r>
      <w:r w:rsidRPr="00F64A1C">
        <w:t xml:space="preserve">(§ 17.152.080.)  </w:t>
      </w:r>
      <w:r w:rsidRPr="00F64A1C">
        <w:rPr>
          <w:rFonts w:cs="Open Sans"/>
          <w:spacing w:val="2"/>
          <w:shd w:val="clear" w:color="auto" w:fill="FFFFFF"/>
        </w:rPr>
        <w:t xml:space="preserve">Neighbors broadly interpret </w:t>
      </w:r>
      <w:r w:rsidRPr="00F64A1C">
        <w:rPr>
          <w:rFonts w:cs="Open Sans"/>
          <w:spacing w:val="2"/>
          <w:shd w:val="clear" w:color="auto" w:fill="FFFFFF"/>
        </w:rPr>
        <w:t>this phrase</w:t>
      </w:r>
      <w:r w:rsidRPr="00F64A1C">
        <w:rPr>
          <w:rFonts w:cs="Open Sans"/>
          <w:spacing w:val="2"/>
          <w:shd w:val="clear" w:color="auto" w:fill="FFFFFF"/>
        </w:rPr>
        <w:t xml:space="preserve"> </w:t>
      </w:r>
      <w:r w:rsidRPr="00F64A1C">
        <w:t>to suggest</w:t>
      </w:r>
      <w:r w:rsidRPr="00F64A1C">
        <w:t xml:space="preserve"> that</w:t>
      </w:r>
      <w:r w:rsidRPr="00F64A1C">
        <w:t xml:space="preserve"> the </w:t>
      </w:r>
      <w:r w:rsidRPr="00F64A1C">
        <w:rPr>
          <w:rFonts w:cs="Open Sans"/>
          <w:spacing w:val="2"/>
          <w:shd w:val="clear" w:color="auto" w:fill="FFFFFF"/>
        </w:rPr>
        <w:t xml:space="preserve">Enforcement Regulations </w:t>
      </w:r>
      <w:r w:rsidRPr="00F64A1C">
        <w:rPr>
          <w:rFonts w:cs="Open Sans"/>
          <w:spacing w:val="2"/>
          <w:shd w:val="clear" w:color="auto" w:fill="FFFFFF"/>
        </w:rPr>
        <w:t>purport</w:t>
      </w:r>
      <w:r w:rsidRPr="00F64A1C">
        <w:rPr>
          <w:rFonts w:cs="Open Sans"/>
          <w:spacing w:val="2"/>
          <w:shd w:val="clear" w:color="auto" w:fill="FFFFFF"/>
        </w:rPr>
        <w:t>s</w:t>
      </w:r>
      <w:r w:rsidRPr="00F64A1C">
        <w:rPr>
          <w:rFonts w:cs="Open Sans"/>
          <w:spacing w:val="2"/>
          <w:shd w:val="clear" w:color="auto" w:fill="FFFFFF"/>
        </w:rPr>
        <w:t xml:space="preserve"> </w:t>
      </w:r>
      <w:r w:rsidRPr="00F64A1C">
        <w:t>to “ensure compliance with the zoning regulations” (</w:t>
      </w:r>
      <w:r w:rsidRPr="00F64A1C">
        <w:t>§ 17.152.010</w:t>
      </w:r>
      <w:r w:rsidRPr="00F64A1C">
        <w:t xml:space="preserve">), which encompass </w:t>
      </w:r>
      <w:r w:rsidRPr="00F64A1C">
        <w:rPr>
          <w:rFonts w:cs="Open Sans"/>
          <w:spacing w:val="2"/>
          <w:shd w:val="clear" w:color="auto" w:fill="FFFFFF"/>
        </w:rPr>
        <w:t>section </w:t>
      </w:r>
      <w:r w:rsidRPr="00F64A1C">
        <w:rPr>
          <w:rFonts w:cs="Open Sans"/>
          <w:spacing w:val="2"/>
          <w:shd w:val="clear" w:color="auto" w:fill="FFFFFF"/>
        </w:rPr>
        <w:t xml:space="preserve">17.65.030 concerning permitted uses in HBX-1 </w:t>
      </w:r>
      <w:r w:rsidRPr="00F64A1C">
        <w:rPr>
          <w:rFonts w:cs="Open Sans"/>
          <w:spacing w:val="2"/>
          <w:shd w:val="clear" w:color="auto" w:fill="FFFFFF"/>
        </w:rPr>
        <w:t>z</w:t>
      </w:r>
      <w:r w:rsidRPr="00F64A1C">
        <w:rPr>
          <w:rFonts w:cs="Open Sans"/>
          <w:spacing w:val="2"/>
          <w:shd w:val="clear" w:color="auto" w:fill="FFFFFF"/>
        </w:rPr>
        <w:t xml:space="preserve">ones.  (See </w:t>
      </w:r>
      <w:r w:rsidRPr="00F64A1C">
        <w:t>§ </w:t>
      </w:r>
      <w:r w:rsidRPr="00F64A1C">
        <w:rPr>
          <w:rFonts w:cs="Open Sans"/>
          <w:spacing w:val="2"/>
          <w:shd w:val="clear" w:color="auto" w:fill="FFFFFF"/>
        </w:rPr>
        <w:t>17.07.020 [</w:t>
      </w:r>
      <w:r w:rsidRPr="00F64A1C">
        <w:t xml:space="preserve">defining the zoning regulations as “[t]he </w:t>
      </w:r>
      <w:r w:rsidRPr="00F64A1C">
        <w:rPr>
          <w:rFonts w:cs="Open Sans"/>
          <w:spacing w:val="2"/>
          <w:shd w:val="clear" w:color="auto" w:fill="FFFFFF"/>
        </w:rPr>
        <w:t xml:space="preserve">provisions of </w:t>
      </w:r>
      <w:r w:rsidRPr="00F64A1C">
        <w:rPr>
          <w:rFonts w:cs="Open Sans"/>
          <w:spacing w:val="2"/>
          <w:shd w:val="clear" w:color="auto" w:fill="FFFFFF"/>
        </w:rPr>
        <w:t>[c]</w:t>
      </w:r>
      <w:proofErr w:type="spellStart"/>
      <w:r w:rsidRPr="00F64A1C">
        <w:rPr>
          <w:rFonts w:cs="Open Sans"/>
          <w:spacing w:val="2"/>
          <w:shd w:val="clear" w:color="auto" w:fill="FFFFFF"/>
        </w:rPr>
        <w:t>hapters</w:t>
      </w:r>
      <w:proofErr w:type="spellEnd"/>
      <w:r w:rsidRPr="00F64A1C">
        <w:rPr>
          <w:rFonts w:cs="Open Sans"/>
          <w:spacing w:val="2"/>
          <w:shd w:val="clear" w:color="auto" w:fill="FFFFFF"/>
        </w:rPr>
        <w:t> 17.07 through 17.158”].)</w:t>
      </w:r>
      <w:r w:rsidRPr="00F64A1C">
        <w:t xml:space="preserve">  </w:t>
      </w:r>
      <w:bookmarkStart w:id="7" w:name="_Hlk170402006"/>
      <w:r w:rsidRPr="00F64A1C">
        <w:t>But t</w:t>
      </w:r>
      <w:r w:rsidRPr="00F64A1C">
        <w:t xml:space="preserve">his ignores </w:t>
      </w:r>
      <w:r w:rsidRPr="00F64A1C">
        <w:rPr>
          <w:rFonts w:cs="Times New Roman"/>
        </w:rPr>
        <w:t xml:space="preserve">the </w:t>
      </w:r>
      <w:proofErr w:type="gramStart"/>
      <w:r w:rsidRPr="00F64A1C">
        <w:rPr>
          <w:rFonts w:cs="Times New Roman"/>
        </w:rPr>
        <w:t>dictate</w:t>
      </w:r>
      <w:proofErr w:type="gramEnd"/>
      <w:r w:rsidRPr="00F64A1C">
        <w:rPr>
          <w:rFonts w:cs="Times New Roman"/>
        </w:rPr>
        <w:t xml:space="preserve"> </w:t>
      </w:r>
      <w:r w:rsidRPr="00F64A1C">
        <w:t xml:space="preserve">that the </w:t>
      </w:r>
      <w:r w:rsidRPr="00F64A1C">
        <w:t>Enforcement Regulations</w:t>
      </w:r>
      <w:bookmarkEnd w:id="7"/>
      <w:r w:rsidRPr="00F64A1C">
        <w:t xml:space="preserve"> </w:t>
      </w:r>
      <w:r w:rsidRPr="00F64A1C">
        <w:t xml:space="preserve">“shall not be deemed exclusive” in </w:t>
      </w:r>
      <w:r w:rsidRPr="00F64A1C">
        <w:t>ensuring compliance with the zoning regulations</w:t>
      </w:r>
      <w:r w:rsidRPr="00F64A1C">
        <w:t>.  (§ 17.152.010</w:t>
      </w:r>
      <w:r w:rsidRPr="00F64A1C">
        <w:t>.</w:t>
      </w:r>
      <w:r w:rsidRPr="00F64A1C">
        <w:t xml:space="preserve">)  </w:t>
      </w:r>
      <w:r w:rsidRPr="00F64A1C">
        <w:t xml:space="preserve">Moreover, </w:t>
      </w:r>
      <w:r w:rsidRPr="00F64A1C">
        <w:rPr>
          <w:kern w:val="0"/>
          <w14:ligatures w14:val="none"/>
        </w:rPr>
        <w:t xml:space="preserve">where a </w:t>
      </w:r>
      <w:r w:rsidRPr="00F64A1C">
        <w:rPr>
          <w:kern w:val="0"/>
          <w14:ligatures w14:val="none"/>
        </w:rPr>
        <w:t xml:space="preserve">specific statute </w:t>
      </w:r>
      <w:r w:rsidRPr="00F64A1C">
        <w:rPr>
          <w:kern w:val="0"/>
          <w14:ligatures w14:val="none"/>
        </w:rPr>
        <w:t>covers a</w:t>
      </w:r>
      <w:r w:rsidRPr="00F64A1C">
        <w:rPr>
          <w:kern w:val="0"/>
          <w14:ligatures w14:val="none"/>
        </w:rPr>
        <w:t xml:space="preserve"> particular subject, </w:t>
      </w:r>
      <w:proofErr w:type="gramStart"/>
      <w:r w:rsidRPr="00F64A1C">
        <w:rPr>
          <w:kern w:val="0"/>
          <w14:ligatures w14:val="none"/>
        </w:rPr>
        <w:t>“</w:t>
      </w:r>
      <w:r w:rsidRPr="00F64A1C">
        <w:rPr>
          <w:rFonts w:eastAsia="Times New Roman" w:cs="Times New Roman"/>
          <w:kern w:val="0"/>
          <w14:ligatures w14:val="none"/>
        </w:rPr>
        <w:t> ‘</w:t>
      </w:r>
      <w:proofErr w:type="gramEnd"/>
      <w:r w:rsidRPr="00F64A1C">
        <w:rPr>
          <w:kern w:val="0"/>
          <w14:ligatures w14:val="none"/>
        </w:rPr>
        <w:t xml:space="preserve">the specific statute controls and takes priority over a general statute encompassing the same subject.’ ” </w:t>
      </w:r>
      <w:r w:rsidRPr="00F64A1C">
        <w:rPr>
          <w:rFonts w:eastAsia="Times New Roman" w:cs="Times New Roman"/>
          <w:kern w:val="0"/>
          <w:bdr w:val="none" w:sz="0" w:space="0" w:color="auto" w:frame="1"/>
          <w14:ligatures w14:val="none"/>
        </w:rPr>
        <w:t xml:space="preserve"> (</w:t>
      </w:r>
      <w:r w:rsidRPr="00F64A1C">
        <w:rPr>
          <w:rFonts w:eastAsia="Times New Roman" w:cs="Times New Roman"/>
          <w:i/>
          <w:iCs/>
          <w:kern w:val="0"/>
          <w:bdr w:val="none" w:sz="0" w:space="0" w:color="auto" w:frame="1"/>
          <w14:ligatures w14:val="none"/>
        </w:rPr>
        <w:t>Ross v. California Coastal Com.</w:t>
      </w:r>
      <w:r w:rsidRPr="00F64A1C">
        <w:rPr>
          <w:rFonts w:eastAsia="Times New Roman" w:cs="Times New Roman"/>
          <w:kern w:val="0"/>
          <w14:ligatures w14:val="none"/>
        </w:rPr>
        <w:t xml:space="preserve"> (2011) 199</w:t>
      </w:r>
      <w:r w:rsidRPr="00F64A1C">
        <w:rPr>
          <w:rFonts w:eastAsia="Times New Roman" w:cs="Times New Roman"/>
          <w:kern w:val="0"/>
          <w14:ligatures w14:val="none"/>
        </w:rPr>
        <w:t> </w:t>
      </w:r>
      <w:r w:rsidRPr="00F64A1C">
        <w:rPr>
          <w:rFonts w:eastAsia="Times New Roman" w:cs="Times New Roman"/>
          <w:kern w:val="0"/>
          <w14:ligatures w14:val="none"/>
        </w:rPr>
        <w:t xml:space="preserve">Cal.App.4th 900, 928.)  </w:t>
      </w:r>
      <w:r w:rsidRPr="00F64A1C">
        <w:rPr>
          <w:rFonts w:cs="Open Sans"/>
          <w:spacing w:val="2"/>
          <w:shd w:val="clear" w:color="auto" w:fill="FFFFFF"/>
        </w:rPr>
        <w:t xml:space="preserve">Thus, even if “violations of zoning regulations” under the Enforcement Regulations include </w:t>
      </w:r>
      <w:r w:rsidRPr="00F64A1C">
        <w:rPr>
          <w:rFonts w:cs="Open Sans"/>
          <w:spacing w:val="2"/>
          <w:shd w:val="clear" w:color="auto" w:fill="FFFFFF"/>
        </w:rPr>
        <w:t xml:space="preserve">erroneous </w:t>
      </w:r>
      <w:r w:rsidRPr="00F64A1C">
        <w:rPr>
          <w:rFonts w:cs="Open Sans"/>
          <w:spacing w:val="2"/>
          <w:shd w:val="clear" w:color="auto" w:fill="FFFFFF"/>
        </w:rPr>
        <w:t xml:space="preserve">zoning interpretations and determinations by the </w:t>
      </w:r>
      <w:r w:rsidRPr="00F64A1C">
        <w:rPr>
          <w:rFonts w:cs="Open Sans"/>
          <w:spacing w:val="2"/>
          <w:shd w:val="clear" w:color="auto" w:fill="FFFFFF"/>
        </w:rPr>
        <w:t>Planning Department</w:t>
      </w:r>
      <w:r w:rsidRPr="00F64A1C">
        <w:rPr>
          <w:rFonts w:cs="Open Sans"/>
          <w:spacing w:val="2"/>
          <w:shd w:val="clear" w:color="auto" w:fill="FFFFFF"/>
        </w:rPr>
        <w:t xml:space="preserve">, </w:t>
      </w:r>
      <w:r w:rsidRPr="00F64A1C">
        <w:rPr>
          <w:rFonts w:cs="Open Sans"/>
          <w:spacing w:val="2"/>
          <w:shd w:val="clear" w:color="auto" w:fill="FFFFFF"/>
        </w:rPr>
        <w:t>c</w:t>
      </w:r>
      <w:r w:rsidRPr="00F64A1C">
        <w:rPr>
          <w:rFonts w:cs="Open Sans"/>
          <w:spacing w:val="2"/>
          <w:shd w:val="clear" w:color="auto" w:fill="FFFFFF"/>
        </w:rPr>
        <w:t>hapter 17.132 as the more specific ordinance controls.</w:t>
      </w:r>
      <w:r>
        <w:rPr>
          <w:rStyle w:val="FootnoteReference"/>
          <w:rFonts w:cs="Open Sans"/>
          <w:spacing w:val="2"/>
          <w:shd w:val="clear" w:color="auto" w:fill="FFFFFF"/>
        </w:rPr>
        <w:footnoteReference w:id="7"/>
      </w:r>
      <w:r w:rsidRPr="00F64A1C">
        <w:rPr>
          <w:rFonts w:cs="Open Sans"/>
          <w:spacing w:val="2"/>
          <w:shd w:val="clear" w:color="auto" w:fill="FFFFFF"/>
        </w:rPr>
        <w:t xml:space="preserve"> </w:t>
      </w:r>
      <w:r w:rsidRPr="00F64A1C">
        <w:rPr>
          <w:rFonts w:eastAsia="Times New Roman" w:cs="Times New Roman"/>
          <w:kern w:val="0"/>
          <w14:ligatures w14:val="none"/>
        </w:rPr>
        <w:t xml:space="preserve"> </w:t>
      </w:r>
    </w:p>
    <w:p w14:paraId="020BC238" w14:textId="77777777" w:rsidR="00A113D7" w:rsidRPr="00F64A1C" w:rsidRDefault="00A113D7" w:rsidP="00B17EA9">
      <w:pPr>
        <w:ind w:firstLine="720"/>
        <w:textAlignment w:val="baseline"/>
        <w:rPr>
          <w:rFonts w:eastAsia="Times New Roman" w:cs="Times New Roman"/>
          <w:kern w:val="0"/>
          <w14:ligatures w14:val="none"/>
        </w:rPr>
      </w:pPr>
      <w:r w:rsidRPr="00F64A1C">
        <w:lastRenderedPageBreak/>
        <w:t>Neighbors’ authority for the proposition that staff approvals</w:t>
      </w:r>
      <w:r w:rsidRPr="00F64A1C">
        <w:t xml:space="preserve"> are</w:t>
      </w:r>
      <w:r w:rsidRPr="00F64A1C">
        <w:t xml:space="preserve"> inconsistent with the applicable zoning scheme are </w:t>
      </w:r>
      <w:r w:rsidRPr="00F64A1C">
        <w:rPr>
          <w:i/>
          <w:iCs/>
        </w:rPr>
        <w:t>ultra vires</w:t>
      </w:r>
      <w:r w:rsidRPr="00F64A1C">
        <w:t xml:space="preserve"> are </w:t>
      </w:r>
      <w:r w:rsidRPr="00F64A1C">
        <w:t>unavailing</w:t>
      </w:r>
      <w:r w:rsidRPr="00F64A1C">
        <w:t>.  (</w:t>
      </w:r>
      <w:r w:rsidRPr="00F64A1C">
        <w:t xml:space="preserve">See </w:t>
      </w:r>
      <w:r w:rsidRPr="00F64A1C">
        <w:rPr>
          <w:rFonts w:eastAsia="Times New Roman" w:cs="Times New Roman"/>
          <w:i/>
          <w:iCs/>
          <w:kern w:val="0"/>
          <w:bdr w:val="none" w:sz="0" w:space="0" w:color="auto" w:frame="1"/>
          <w14:ligatures w14:val="none"/>
        </w:rPr>
        <w:t>City and County of San Francisco v. Board of Permit Appeals</w:t>
      </w:r>
      <w:r w:rsidRPr="00F64A1C">
        <w:rPr>
          <w:rFonts w:eastAsia="Times New Roman" w:cs="Times New Roman"/>
          <w:kern w:val="0"/>
          <w14:ligatures w14:val="none"/>
        </w:rPr>
        <w:t xml:space="preserve"> (1989) 207</w:t>
      </w:r>
      <w:r w:rsidRPr="00F64A1C">
        <w:rPr>
          <w:rFonts w:eastAsia="Times New Roman" w:cs="Times New Roman"/>
          <w:kern w:val="0"/>
          <w14:ligatures w14:val="none"/>
        </w:rPr>
        <w:t> </w:t>
      </w:r>
      <w:r w:rsidRPr="00F64A1C">
        <w:rPr>
          <w:rFonts w:eastAsia="Times New Roman" w:cs="Times New Roman"/>
          <w:kern w:val="0"/>
          <w14:ligatures w14:val="none"/>
        </w:rPr>
        <w:t xml:space="preserve">Cal.App.3d 1099, 1106–1110 [appeals board cannot issue permit where density violation was not in dispute and evidence negated prior nonconforming use]; </w:t>
      </w:r>
      <w:r w:rsidRPr="00F64A1C">
        <w:rPr>
          <w:i/>
          <w:iCs/>
        </w:rPr>
        <w:t xml:space="preserve">Johnston v. Board of Supervisors </w:t>
      </w:r>
      <w:r w:rsidRPr="00F64A1C">
        <w:t>(1947) 31</w:t>
      </w:r>
      <w:r w:rsidRPr="00F64A1C">
        <w:t> </w:t>
      </w:r>
      <w:r w:rsidRPr="00F64A1C">
        <w:t xml:space="preserve">Cal.2d 66, 73–74 [Board of Supervisors is bound by terms of ordinance when issuing a use permit], disapproved </w:t>
      </w:r>
      <w:r w:rsidRPr="00F64A1C">
        <w:t xml:space="preserve">on other grounds </w:t>
      </w:r>
      <w:r w:rsidRPr="00F64A1C">
        <w:t xml:space="preserve">by </w:t>
      </w:r>
      <w:r w:rsidRPr="00F64A1C">
        <w:rPr>
          <w:rFonts w:eastAsia="Times New Roman" w:cs="Times New Roman"/>
          <w:i/>
          <w:iCs/>
          <w:kern w:val="0"/>
          <w:bdr w:val="none" w:sz="0" w:space="0" w:color="auto" w:frame="1"/>
          <w14:ligatures w14:val="none"/>
        </w:rPr>
        <w:t>Bailey v. Los Angeles County</w:t>
      </w:r>
      <w:r w:rsidRPr="00F64A1C">
        <w:rPr>
          <w:rFonts w:eastAsia="Times New Roman" w:cs="Times New Roman"/>
          <w:kern w:val="0"/>
          <w14:ligatures w14:val="none"/>
        </w:rPr>
        <w:t xml:space="preserve"> (1956) 46</w:t>
      </w:r>
      <w:r w:rsidRPr="00F64A1C">
        <w:rPr>
          <w:rFonts w:eastAsia="Times New Roman" w:cs="Times New Roman"/>
          <w:kern w:val="0"/>
          <w14:ligatures w14:val="none"/>
        </w:rPr>
        <w:t> </w:t>
      </w:r>
      <w:r w:rsidRPr="00F64A1C">
        <w:rPr>
          <w:rFonts w:eastAsia="Times New Roman" w:cs="Times New Roman"/>
          <w:kern w:val="0"/>
          <w14:ligatures w14:val="none"/>
        </w:rPr>
        <w:t>Cal.2d 132, 139.)  Neighbors did not bring an appeal under the correct</w:t>
      </w:r>
      <w:r w:rsidRPr="00F64A1C">
        <w:rPr>
          <w:rFonts w:eastAsia="Times New Roman" w:cs="Times New Roman"/>
          <w:kern w:val="0"/>
          <w14:ligatures w14:val="none"/>
        </w:rPr>
        <w:t xml:space="preserve"> </w:t>
      </w:r>
      <w:r w:rsidRPr="00F64A1C">
        <w:rPr>
          <w:rFonts w:eastAsia="Times New Roman" w:cs="Times New Roman"/>
          <w:kern w:val="0"/>
          <w14:ligatures w14:val="none"/>
        </w:rPr>
        <w:t xml:space="preserve">chapter </w:t>
      </w:r>
      <w:r w:rsidRPr="00F64A1C">
        <w:rPr>
          <w:rFonts w:eastAsia="Times New Roman" w:cs="Times New Roman"/>
          <w:kern w:val="0"/>
          <w14:ligatures w14:val="none"/>
        </w:rPr>
        <w:t>of the OMC</w:t>
      </w:r>
      <w:r w:rsidRPr="00F64A1C">
        <w:rPr>
          <w:rFonts w:eastAsia="Times New Roman" w:cs="Times New Roman"/>
          <w:kern w:val="0"/>
          <w14:ligatures w14:val="none"/>
        </w:rPr>
        <w:t xml:space="preserve">; and no zoning violation has been found.  </w:t>
      </w:r>
    </w:p>
    <w:p w14:paraId="1826A262" w14:textId="77777777" w:rsidR="00A113D7" w:rsidRPr="00F64A1C" w:rsidRDefault="00A113D7" w:rsidP="00B17EA9">
      <w:pPr>
        <w:ind w:firstLine="720"/>
        <w:textAlignment w:val="baseline"/>
      </w:pPr>
      <w:r w:rsidRPr="00F64A1C">
        <w:rPr>
          <w:rFonts w:cs="Times New Roman"/>
          <w:kern w:val="0"/>
        </w:rPr>
        <w:t xml:space="preserve">Neighbors’ contention that this outcome upends their </w:t>
      </w:r>
      <w:r w:rsidRPr="00F64A1C">
        <w:rPr>
          <w:rFonts w:cs="Times New Roman"/>
          <w:kern w:val="0"/>
        </w:rPr>
        <w:t xml:space="preserve">rights and </w:t>
      </w:r>
      <w:r w:rsidRPr="00F64A1C">
        <w:rPr>
          <w:rFonts w:cs="Times New Roman"/>
          <w:kern w:val="0"/>
        </w:rPr>
        <w:t xml:space="preserve">expectations </w:t>
      </w:r>
      <w:r w:rsidRPr="00F64A1C">
        <w:rPr>
          <w:rFonts w:cs="Times New Roman"/>
          <w:kern w:val="0"/>
        </w:rPr>
        <w:t xml:space="preserve">ignores </w:t>
      </w:r>
      <w:r w:rsidRPr="00F64A1C">
        <w:rPr>
          <w:rFonts w:cs="Times New Roman"/>
          <w:kern w:val="0"/>
        </w:rPr>
        <w:t xml:space="preserve">the City’s admission that chapter 17.152 may be </w:t>
      </w:r>
      <w:r w:rsidRPr="00F64A1C">
        <w:rPr>
          <w:rFonts w:cs="Times New Roman"/>
          <w:kern w:val="0"/>
        </w:rPr>
        <w:t>used to abate</w:t>
      </w:r>
      <w:r w:rsidRPr="00F64A1C">
        <w:rPr>
          <w:rFonts w:cs="Times New Roman"/>
          <w:kern w:val="0"/>
        </w:rPr>
        <w:t xml:space="preserve"> activities that contravene the HBX-1 zone’s permitted uses </w:t>
      </w:r>
      <w:r w:rsidRPr="00F64A1C">
        <w:rPr>
          <w:kern w:val="0"/>
        </w:rPr>
        <w:t xml:space="preserve">or </w:t>
      </w:r>
      <w:r w:rsidRPr="00F64A1C">
        <w:rPr>
          <w:rFonts w:cs="Times New Roman"/>
          <w:kern w:val="0"/>
        </w:rPr>
        <w:t xml:space="preserve">cause a </w:t>
      </w:r>
      <w:r w:rsidRPr="00F64A1C">
        <w:rPr>
          <w:rFonts w:cs="Times New Roman"/>
          <w:kern w:val="0"/>
        </w:rPr>
        <w:lastRenderedPageBreak/>
        <w:t>nuisance.  In other words, the</w:t>
      </w:r>
      <w:r w:rsidRPr="00F64A1C">
        <w:t xml:space="preserve"> </w:t>
      </w:r>
      <w:r w:rsidRPr="00F64A1C">
        <w:t>Planning Department’s</w:t>
      </w:r>
      <w:r w:rsidRPr="00F64A1C">
        <w:t xml:space="preserve"> use classification</w:t>
      </w:r>
      <w:r w:rsidRPr="00F64A1C">
        <w:t xml:space="preserve"> and zoning clearance</w:t>
      </w:r>
      <w:r w:rsidRPr="00F64A1C">
        <w:t xml:space="preserve"> </w:t>
      </w:r>
      <w:r w:rsidRPr="00F64A1C">
        <w:t>wa</w:t>
      </w:r>
      <w:r w:rsidRPr="00F64A1C">
        <w:t xml:space="preserve">s </w:t>
      </w:r>
      <w:r w:rsidRPr="00F64A1C">
        <w:rPr>
          <w:i/>
          <w:iCs/>
        </w:rPr>
        <w:t xml:space="preserve">not </w:t>
      </w:r>
      <w:r w:rsidRPr="00F64A1C">
        <w:t xml:space="preserve">a variance </w:t>
      </w:r>
      <w:r w:rsidRPr="00F64A1C">
        <w:t xml:space="preserve">or rezoning, and the </w:t>
      </w:r>
      <w:r w:rsidRPr="00F64A1C">
        <w:t xml:space="preserve">Enforcement Regulations still permit Neighbors to seek a revocation hearing for any nonconforming uses </w:t>
      </w:r>
      <w:r w:rsidRPr="00F64A1C">
        <w:t>(</w:t>
      </w:r>
      <w:r w:rsidRPr="00F64A1C">
        <w:t>or nuisances</w:t>
      </w:r>
      <w:r w:rsidRPr="00F64A1C">
        <w:t>)</w:t>
      </w:r>
      <w:r w:rsidRPr="00F64A1C">
        <w:t xml:space="preserve"> </w:t>
      </w:r>
      <w:r w:rsidRPr="00F64A1C">
        <w:t>if</w:t>
      </w:r>
      <w:r w:rsidRPr="00F64A1C">
        <w:t xml:space="preserve"> they arise.  What the Enforcement Regulations </w:t>
      </w:r>
      <w:proofErr w:type="gramStart"/>
      <w:r w:rsidRPr="00F64A1C">
        <w:t xml:space="preserve">do not </w:t>
      </w:r>
      <w:r w:rsidRPr="00F64A1C">
        <w:t>do</w:t>
      </w:r>
      <w:proofErr w:type="gramEnd"/>
      <w:r w:rsidRPr="00F64A1C">
        <w:t xml:space="preserve"> is </w:t>
      </w:r>
      <w:r w:rsidRPr="00F64A1C">
        <w:t xml:space="preserve">allow members of the public to challenge </w:t>
      </w:r>
      <w:proofErr w:type="gramStart"/>
      <w:r w:rsidRPr="00F64A1C">
        <w:t>use</w:t>
      </w:r>
      <w:proofErr w:type="gramEnd"/>
      <w:r w:rsidRPr="00F64A1C">
        <w:t xml:space="preserve"> classifications or zoning determinations outside the procedures prescribed in </w:t>
      </w:r>
      <w:r w:rsidRPr="00F64A1C">
        <w:t>c</w:t>
      </w:r>
      <w:r w:rsidRPr="00F64A1C">
        <w:t>hapter 17.132.</w:t>
      </w:r>
    </w:p>
    <w:p w14:paraId="1D303A62" w14:textId="77777777" w:rsidR="00A113D7" w:rsidRPr="00F64A1C" w:rsidRDefault="00A113D7" w:rsidP="00B17EA9">
      <w:pPr>
        <w:ind w:firstLine="720"/>
        <w:textAlignment w:val="baseline"/>
        <w:rPr>
          <w:rFonts w:eastAsia="Times New Roman" w:cs="Times New Roman"/>
          <w:kern w:val="0"/>
          <w14:ligatures w14:val="none"/>
        </w:rPr>
      </w:pPr>
      <w:r w:rsidRPr="00F64A1C">
        <w:rPr>
          <w:rFonts w:cs="CenturySchoolbook"/>
          <w:kern w:val="0"/>
        </w:rPr>
        <w:t xml:space="preserve">Because </w:t>
      </w:r>
      <w:r w:rsidRPr="00F64A1C">
        <w:rPr>
          <w:rFonts w:cs="CenturySchoolbook"/>
          <w:kern w:val="0"/>
        </w:rPr>
        <w:t>we find that</w:t>
      </w:r>
      <w:r w:rsidRPr="00F64A1C">
        <w:rPr>
          <w:rFonts w:cs="CenturySchoolbook"/>
          <w:kern w:val="0"/>
        </w:rPr>
        <w:t xml:space="preserve"> </w:t>
      </w:r>
      <w:r w:rsidRPr="00F64A1C">
        <w:rPr>
          <w:rFonts w:cs="CenturySchoolbook"/>
          <w:kern w:val="0"/>
        </w:rPr>
        <w:t>c</w:t>
      </w:r>
      <w:r w:rsidRPr="00F64A1C">
        <w:rPr>
          <w:rFonts w:cs="CenturySchoolbook"/>
          <w:kern w:val="0"/>
        </w:rPr>
        <w:t>hapter</w:t>
      </w:r>
      <w:r w:rsidRPr="00F64A1C">
        <w:rPr>
          <w:rFonts w:cs="CenturySchoolbook"/>
          <w:kern w:val="0"/>
        </w:rPr>
        <w:t> </w:t>
      </w:r>
      <w:r w:rsidRPr="00F64A1C">
        <w:rPr>
          <w:rFonts w:cs="CenturySchoolbook"/>
          <w:kern w:val="0"/>
        </w:rPr>
        <w:t xml:space="preserve">17.152 </w:t>
      </w:r>
      <w:r w:rsidRPr="00F64A1C">
        <w:rPr>
          <w:rFonts w:cs="CenturySchoolbook"/>
          <w:kern w:val="0"/>
        </w:rPr>
        <w:t xml:space="preserve">does not </w:t>
      </w:r>
      <w:r w:rsidRPr="00F64A1C">
        <w:rPr>
          <w:rFonts w:cs="CenturySchoolbook"/>
          <w:kern w:val="0"/>
        </w:rPr>
        <w:t xml:space="preserve">provide a legal basis for challenging the </w:t>
      </w:r>
      <w:r w:rsidRPr="00F64A1C">
        <w:rPr>
          <w:rFonts w:cs="CenturySchoolbook"/>
          <w:kern w:val="0"/>
        </w:rPr>
        <w:t>Planning Department’s</w:t>
      </w:r>
      <w:r w:rsidRPr="00F64A1C">
        <w:rPr>
          <w:rFonts w:cs="CenturySchoolbook"/>
          <w:kern w:val="0"/>
        </w:rPr>
        <w:t xml:space="preserve"> classification determination</w:t>
      </w:r>
      <w:r w:rsidRPr="00F64A1C">
        <w:rPr>
          <w:rFonts w:cs="CenturySchoolbook"/>
          <w:kern w:val="0"/>
        </w:rPr>
        <w:t xml:space="preserve">, we need not address </w:t>
      </w:r>
      <w:r w:rsidRPr="00F64A1C">
        <w:rPr>
          <w:rFonts w:cs="CenturySchoolbook"/>
          <w:kern w:val="0"/>
        </w:rPr>
        <w:t>Neighbors</w:t>
      </w:r>
      <w:r w:rsidRPr="00F64A1C">
        <w:rPr>
          <w:rFonts w:cs="CenturySchoolbook"/>
          <w:kern w:val="0"/>
        </w:rPr>
        <w:t>’</w:t>
      </w:r>
      <w:r w:rsidRPr="00F64A1C">
        <w:rPr>
          <w:rFonts w:cs="CenturySchoolbook"/>
          <w:kern w:val="0"/>
        </w:rPr>
        <w:t xml:space="preserve"> other argument</w:t>
      </w:r>
      <w:r w:rsidRPr="00F64A1C">
        <w:rPr>
          <w:rFonts w:cs="CenturySchoolbook"/>
          <w:kern w:val="0"/>
        </w:rPr>
        <w:t>s</w:t>
      </w:r>
      <w:r w:rsidRPr="00F64A1C">
        <w:rPr>
          <w:rFonts w:cs="CenturySchoolbook"/>
          <w:kern w:val="0"/>
        </w:rPr>
        <w:t xml:space="preserve"> regarding </w:t>
      </w:r>
      <w:r w:rsidRPr="00F64A1C">
        <w:rPr>
          <w:rFonts w:cs="CenturySchoolbook"/>
          <w:kern w:val="0"/>
        </w:rPr>
        <w:t xml:space="preserve">the </w:t>
      </w:r>
      <w:r w:rsidRPr="00F64A1C">
        <w:rPr>
          <w:rFonts w:cs="CenturySchoolbook"/>
          <w:kern w:val="0"/>
        </w:rPr>
        <w:t xml:space="preserve">merits of the </w:t>
      </w:r>
      <w:r w:rsidRPr="00F64A1C">
        <w:rPr>
          <w:rFonts w:cs="CenturySchoolbook"/>
          <w:kern w:val="0"/>
        </w:rPr>
        <w:t xml:space="preserve">use </w:t>
      </w:r>
      <w:r w:rsidRPr="00F64A1C">
        <w:rPr>
          <w:rFonts w:cs="CenturySchoolbook"/>
          <w:kern w:val="0"/>
        </w:rPr>
        <w:t xml:space="preserve">classification </w:t>
      </w:r>
      <w:r w:rsidRPr="00F64A1C">
        <w:rPr>
          <w:rFonts w:cs="CenturySchoolbook"/>
          <w:kern w:val="0"/>
        </w:rPr>
        <w:t xml:space="preserve">or </w:t>
      </w:r>
      <w:r w:rsidRPr="00F64A1C">
        <w:rPr>
          <w:rFonts w:cs="CenturySchoolbook"/>
          <w:kern w:val="0"/>
        </w:rPr>
        <w:t>nuisance per se</w:t>
      </w:r>
      <w:r w:rsidRPr="00F64A1C">
        <w:rPr>
          <w:rFonts w:cs="CenturySchoolbook"/>
          <w:kern w:val="0"/>
        </w:rPr>
        <w:t>.</w:t>
      </w:r>
      <w:r w:rsidRPr="00F64A1C">
        <w:rPr>
          <w:rFonts w:cs="CenturySchoolbook"/>
          <w:kern w:val="0"/>
        </w:rPr>
        <w:t xml:space="preserve">  </w:t>
      </w:r>
    </w:p>
    <w:p w14:paraId="5E3C9598" w14:textId="77777777" w:rsidR="00A113D7" w:rsidRPr="00F64A1C" w:rsidRDefault="00A113D7" w:rsidP="00B17EA9">
      <w:pPr>
        <w:keepNext/>
        <w:jc w:val="center"/>
        <w:textAlignment w:val="baseline"/>
        <w:rPr>
          <w:b/>
        </w:rPr>
      </w:pPr>
      <w:r w:rsidRPr="00F64A1C">
        <w:rPr>
          <w:b/>
        </w:rPr>
        <w:t>DISPOSITION</w:t>
      </w:r>
    </w:p>
    <w:p w14:paraId="5543D9CF" w14:textId="77777777" w:rsidR="00A113D7" w:rsidRPr="00F64A1C" w:rsidRDefault="00A113D7" w:rsidP="00B17EA9">
      <w:pPr>
        <w:ind w:firstLine="720"/>
        <w:textAlignment w:val="baseline"/>
      </w:pPr>
      <w:r w:rsidRPr="00F64A1C">
        <w:t xml:space="preserve">The order denying </w:t>
      </w:r>
      <w:r w:rsidRPr="00F64A1C">
        <w:t xml:space="preserve">the </w:t>
      </w:r>
      <w:r w:rsidRPr="00F64A1C">
        <w:t>petition for writ of mandate is affirmed.  The City is</w:t>
      </w:r>
      <w:r w:rsidRPr="00F64A1C">
        <w:t xml:space="preserve"> entitled to recover its costs on appeal.  </w:t>
      </w:r>
      <w:r w:rsidRPr="00F64A1C">
        <w:t>(</w:t>
      </w:r>
      <w:r w:rsidRPr="00F64A1C">
        <w:t xml:space="preserve">Cal. Rules of Court, </w:t>
      </w:r>
      <w:r w:rsidRPr="00F64A1C">
        <w:t>r</w:t>
      </w:r>
      <w:r w:rsidRPr="00F64A1C">
        <w:t>ule</w:t>
      </w:r>
      <w:r w:rsidRPr="00F64A1C">
        <w:t> </w:t>
      </w:r>
      <w:r w:rsidRPr="00F64A1C">
        <w:t>8.278(a)</w:t>
      </w:r>
      <w:r w:rsidRPr="00F64A1C">
        <w:t>(2)</w:t>
      </w:r>
      <w:r w:rsidRPr="00F64A1C">
        <w:t>.</w:t>
      </w:r>
      <w:r w:rsidRPr="00F64A1C">
        <w:t>)</w:t>
      </w:r>
    </w:p>
    <w:p w14:paraId="2707C220" w14:textId="77777777" w:rsidR="00A113D7" w:rsidRPr="00F64A1C" w:rsidRDefault="00A113D7" w:rsidP="00B17EA9">
      <w:pPr>
        <w:textAlignment w:val="baseline"/>
      </w:pPr>
    </w:p>
    <w:p w14:paraId="6FAF1CFD" w14:textId="77777777" w:rsidR="00A113D7" w:rsidRPr="00F64A1C" w:rsidRDefault="00A113D7" w:rsidP="00B17EA9">
      <w:pPr>
        <w:textAlignment w:val="baseline"/>
      </w:pPr>
    </w:p>
    <w:p w14:paraId="2BF80E2C" w14:textId="77777777" w:rsidR="00A113D7" w:rsidRPr="00F64A1C" w:rsidRDefault="00A113D7" w:rsidP="00B17EA9">
      <w:pPr>
        <w:spacing w:line="240" w:lineRule="auto"/>
      </w:pPr>
      <w:r w:rsidRPr="00F64A1C">
        <w:tab/>
      </w:r>
      <w:r w:rsidRPr="00F64A1C">
        <w:tab/>
      </w:r>
      <w:r w:rsidRPr="00F64A1C">
        <w:tab/>
      </w:r>
      <w:r w:rsidRPr="00F64A1C">
        <w:tab/>
      </w:r>
      <w:r w:rsidRPr="00F64A1C">
        <w:tab/>
      </w:r>
      <w:r w:rsidRPr="00F64A1C">
        <w:tab/>
      </w:r>
      <w:r w:rsidRPr="00F64A1C">
        <w:tab/>
      </w:r>
      <w:r w:rsidRPr="00F64A1C">
        <w:tab/>
        <w:t>HITE, J.</w:t>
      </w:r>
      <w:r>
        <w:rPr>
          <w:rStyle w:val="FootnoteReference"/>
        </w:rPr>
        <w:footnoteReference w:customMarkFollows="1" w:id="8"/>
        <w:t>*</w:t>
      </w:r>
    </w:p>
    <w:p w14:paraId="664475FD" w14:textId="77777777" w:rsidR="00A113D7" w:rsidRPr="00F64A1C" w:rsidRDefault="00A113D7" w:rsidP="00B17EA9"/>
    <w:p w14:paraId="6B6F5A1A" w14:textId="77777777" w:rsidR="00A113D7" w:rsidRPr="00F64A1C" w:rsidRDefault="00A113D7" w:rsidP="00B17EA9">
      <w:pPr>
        <w:spacing w:line="240" w:lineRule="auto"/>
      </w:pPr>
      <w:r w:rsidRPr="00F64A1C">
        <w:t>We concur:</w:t>
      </w:r>
    </w:p>
    <w:p w14:paraId="29E08691" w14:textId="77777777" w:rsidR="00A113D7" w:rsidRPr="00F64A1C" w:rsidRDefault="00A113D7" w:rsidP="00B17EA9">
      <w:pPr>
        <w:spacing w:line="240" w:lineRule="auto"/>
      </w:pPr>
    </w:p>
    <w:p w14:paraId="25972A8A" w14:textId="77777777" w:rsidR="00A113D7" w:rsidRPr="00F64A1C" w:rsidRDefault="00A113D7" w:rsidP="00B17EA9">
      <w:pPr>
        <w:spacing w:line="240" w:lineRule="auto"/>
      </w:pPr>
    </w:p>
    <w:p w14:paraId="3347BD03" w14:textId="77777777" w:rsidR="00A113D7" w:rsidRPr="00F64A1C" w:rsidRDefault="00A113D7" w:rsidP="00B17EA9">
      <w:pPr>
        <w:spacing w:line="240" w:lineRule="auto"/>
        <w:jc w:val="both"/>
      </w:pPr>
      <w:r w:rsidRPr="00F64A1C">
        <w:t>BROWN, P. J.</w:t>
      </w:r>
    </w:p>
    <w:p w14:paraId="622ADD80" w14:textId="77777777" w:rsidR="00A113D7" w:rsidRPr="00F64A1C" w:rsidRDefault="00A113D7" w:rsidP="00B17EA9">
      <w:pPr>
        <w:spacing w:line="240" w:lineRule="auto"/>
      </w:pPr>
      <w:r w:rsidRPr="00F64A1C">
        <w:t>STREETER, J.</w:t>
      </w:r>
    </w:p>
    <w:p w14:paraId="2180674C" w14:textId="77777777" w:rsidR="00A113D7" w:rsidRPr="00F64A1C" w:rsidRDefault="00A113D7" w:rsidP="00B17EA9">
      <w:pPr>
        <w:spacing w:line="240" w:lineRule="auto"/>
      </w:pPr>
    </w:p>
    <w:p w14:paraId="56078262" w14:textId="77777777" w:rsidR="00A113D7" w:rsidRPr="00352019" w:rsidRDefault="00A113D7" w:rsidP="004C130F">
      <w:pPr>
        <w:rPr>
          <w:sz w:val="20"/>
          <w:szCs w:val="20"/>
        </w:rPr>
      </w:pPr>
      <w:r w:rsidRPr="00F64A1C">
        <w:rPr>
          <w:i/>
          <w:iCs/>
          <w:sz w:val="20"/>
          <w:szCs w:val="20"/>
        </w:rPr>
        <w:t xml:space="preserve">San Pablo Avenue Golden Gate Improvement Association, Inc., et al. v. City Council of the City of Oakland et al. </w:t>
      </w:r>
      <w:r w:rsidRPr="00F64A1C">
        <w:rPr>
          <w:sz w:val="20"/>
          <w:szCs w:val="20"/>
        </w:rPr>
        <w:t>(A168039)</w:t>
      </w:r>
    </w:p>
    <w:p w14:paraId="7921D725" w14:textId="77777777" w:rsidR="00A113D7" w:rsidRDefault="00A113D7" w:rsidP="00E206C3">
      <w:pPr>
        <w:spacing w:line="240" w:lineRule="auto"/>
      </w:pPr>
    </w:p>
    <w:p w14:paraId="224795B6" w14:textId="77777777" w:rsidR="00A113D7" w:rsidRDefault="00A113D7" w:rsidP="00E206C3">
      <w:pPr>
        <w:spacing w:line="240" w:lineRule="auto"/>
      </w:pPr>
    </w:p>
    <w:p w14:paraId="2F4736EB" w14:textId="77777777" w:rsidR="00A113D7" w:rsidRDefault="00A113D7" w:rsidP="00E206C3">
      <w:pPr>
        <w:spacing w:line="240" w:lineRule="auto"/>
      </w:pPr>
    </w:p>
    <w:p w14:paraId="5A129A01" w14:textId="77777777" w:rsidR="00A113D7" w:rsidRDefault="00A113D7" w:rsidP="00E206C3">
      <w:pPr>
        <w:spacing w:line="240" w:lineRule="auto"/>
      </w:pPr>
    </w:p>
    <w:p w14:paraId="16AB00E4" w14:textId="77777777" w:rsidR="00A113D7" w:rsidRDefault="00A113D7" w:rsidP="00E206C3">
      <w:pPr>
        <w:spacing w:line="240" w:lineRule="auto"/>
      </w:pPr>
    </w:p>
    <w:p w14:paraId="394DED37" w14:textId="77777777" w:rsidR="00A113D7" w:rsidRPr="00D018AF" w:rsidRDefault="00A113D7" w:rsidP="00E206C3">
      <w:pPr>
        <w:spacing w:line="240" w:lineRule="auto"/>
      </w:pPr>
      <w:r w:rsidRPr="00D018AF">
        <w:t>Trial Judge:</w:t>
      </w:r>
      <w:r w:rsidRPr="00D018AF">
        <w:tab/>
        <w:t xml:space="preserve">Hon. </w:t>
      </w:r>
      <w:r w:rsidRPr="00D018AF">
        <w:rPr>
          <w:rFonts w:cs="TimesNewRomanPSMT"/>
          <w:kern w:val="0"/>
        </w:rPr>
        <w:t>Frank Roesch</w:t>
      </w:r>
    </w:p>
    <w:p w14:paraId="7D922E45" w14:textId="77777777" w:rsidR="00A113D7" w:rsidRPr="00D018AF" w:rsidRDefault="00A113D7" w:rsidP="00E206C3">
      <w:pPr>
        <w:spacing w:line="240" w:lineRule="auto"/>
      </w:pPr>
    </w:p>
    <w:p w14:paraId="6C05FE5B" w14:textId="77777777" w:rsidR="00A113D7" w:rsidRPr="00D018AF" w:rsidRDefault="00A113D7" w:rsidP="00E206C3">
      <w:pPr>
        <w:spacing w:line="240" w:lineRule="auto"/>
      </w:pPr>
      <w:r w:rsidRPr="00D018AF">
        <w:t xml:space="preserve">Trial Court: </w:t>
      </w:r>
      <w:r w:rsidRPr="00D018AF">
        <w:tab/>
        <w:t>Alameda County Superior Court</w:t>
      </w:r>
    </w:p>
    <w:p w14:paraId="3CFBDB7A" w14:textId="77777777" w:rsidR="00A113D7" w:rsidRPr="00D018AF" w:rsidRDefault="00A113D7" w:rsidP="00E206C3">
      <w:pPr>
        <w:tabs>
          <w:tab w:val="left" w:pos="2160"/>
        </w:tabs>
        <w:spacing w:line="240" w:lineRule="auto"/>
      </w:pPr>
    </w:p>
    <w:p w14:paraId="251F98E2" w14:textId="77777777" w:rsidR="00A113D7" w:rsidRPr="00D018AF" w:rsidRDefault="00A113D7" w:rsidP="00E206C3">
      <w:pPr>
        <w:tabs>
          <w:tab w:val="left" w:pos="2160"/>
        </w:tabs>
        <w:spacing w:line="240" w:lineRule="auto"/>
        <w:ind w:left="2160" w:hanging="2160"/>
      </w:pPr>
      <w:r w:rsidRPr="00D018AF">
        <w:t xml:space="preserve">Attorneys: </w:t>
      </w:r>
      <w:r w:rsidRPr="00D018AF">
        <w:tab/>
      </w:r>
      <w:r>
        <w:t xml:space="preserve">Greenfire Law, PC, Rachel S. </w:t>
      </w:r>
      <w:r>
        <w:t>Doughty, Ariel Strauss, for Petitioners</w:t>
      </w:r>
      <w:r w:rsidRPr="00D018AF">
        <w:t xml:space="preserve"> and Appellants.</w:t>
      </w:r>
    </w:p>
    <w:p w14:paraId="4838ED78" w14:textId="77777777" w:rsidR="00A113D7" w:rsidRPr="00D018AF" w:rsidRDefault="00A113D7" w:rsidP="00E206C3">
      <w:pPr>
        <w:tabs>
          <w:tab w:val="left" w:pos="2160"/>
        </w:tabs>
        <w:spacing w:line="240" w:lineRule="auto"/>
        <w:ind w:left="2160" w:hanging="2160"/>
      </w:pPr>
    </w:p>
    <w:p w14:paraId="4AFAE67D" w14:textId="77777777" w:rsidR="00A113D7" w:rsidRPr="00295685" w:rsidRDefault="00A113D7" w:rsidP="00295685">
      <w:pPr>
        <w:tabs>
          <w:tab w:val="left" w:pos="1440"/>
        </w:tabs>
        <w:spacing w:line="240" w:lineRule="auto"/>
        <w:ind w:left="2160" w:hanging="1440"/>
      </w:pPr>
      <w:r w:rsidRPr="00295685">
        <w:tab/>
      </w:r>
      <w:r w:rsidRPr="00295685">
        <w:tab/>
      </w:r>
      <w:r w:rsidRPr="00295685">
        <w:rPr>
          <w:rFonts w:cs="CenturySchoolbook"/>
          <w:kern w:val="0"/>
        </w:rPr>
        <w:t xml:space="preserve">Barbara J. Parker, City Attorney, Maria Bee, Chief Assistant City Attorney, Montana </w:t>
      </w:r>
      <w:proofErr w:type="gramStart"/>
      <w:r w:rsidRPr="00295685">
        <w:rPr>
          <w:rFonts w:cs="CenturySchoolbook"/>
          <w:kern w:val="0"/>
        </w:rPr>
        <w:t>Baker</w:t>
      </w:r>
      <w:proofErr w:type="gramEnd"/>
      <w:r w:rsidRPr="00295685">
        <w:rPr>
          <w:rFonts w:cs="CenturySchoolbook"/>
          <w:kern w:val="0"/>
        </w:rPr>
        <w:t xml:space="preserve"> and Allison L. Ehlert, Deputy City Attorneys,</w:t>
      </w:r>
      <w:r w:rsidRPr="00295685">
        <w:t xml:space="preserve"> for Defendants and Respondents.</w:t>
      </w:r>
    </w:p>
    <w:p w14:paraId="166937B5" w14:textId="77777777" w:rsidR="00A113D7" w:rsidRPr="00295685" w:rsidRDefault="00A113D7" w:rsidP="00295685">
      <w:pPr>
        <w:tabs>
          <w:tab w:val="left" w:pos="1440"/>
        </w:tabs>
        <w:spacing w:line="240" w:lineRule="auto"/>
        <w:ind w:left="2160" w:hanging="1440"/>
      </w:pPr>
    </w:p>
    <w:p w14:paraId="5D8ADC9D" w14:textId="77777777" w:rsidR="00A113D7" w:rsidRPr="00295685" w:rsidRDefault="00A113D7" w:rsidP="00295685">
      <w:pPr>
        <w:tabs>
          <w:tab w:val="left" w:pos="1440"/>
        </w:tabs>
        <w:spacing w:line="240" w:lineRule="auto"/>
        <w:ind w:left="2160" w:hanging="1440"/>
      </w:pPr>
      <w:r w:rsidRPr="00295685">
        <w:tab/>
      </w:r>
      <w:r w:rsidRPr="00295685">
        <w:tab/>
      </w:r>
      <w:r w:rsidRPr="00295685">
        <w:rPr>
          <w:rFonts w:cs="CenturySchoolbook"/>
          <w:kern w:val="0"/>
        </w:rPr>
        <w:t xml:space="preserve">Hanson Bridgett LLP, Andrew A. </w:t>
      </w:r>
      <w:proofErr w:type="spellStart"/>
      <w:r w:rsidRPr="00295685">
        <w:rPr>
          <w:rFonts w:cs="CenturySchoolbook"/>
          <w:kern w:val="0"/>
        </w:rPr>
        <w:t>Bassak</w:t>
      </w:r>
      <w:proofErr w:type="spellEnd"/>
      <w:r w:rsidRPr="00295685">
        <w:rPr>
          <w:rFonts w:cs="CenturySchoolbook"/>
          <w:kern w:val="0"/>
        </w:rPr>
        <w:t xml:space="preserve">, Niran S. Somasundaram, for Defendants and Respondents. </w:t>
      </w:r>
    </w:p>
    <w:p w14:paraId="333E6647" w14:textId="77777777" w:rsidR="00A113D7" w:rsidRPr="00D018AF" w:rsidRDefault="00A113D7" w:rsidP="00D018AF">
      <w:pPr>
        <w:tabs>
          <w:tab w:val="left" w:pos="1440"/>
        </w:tabs>
        <w:spacing w:line="240" w:lineRule="auto"/>
        <w:ind w:left="2160" w:hanging="1440"/>
      </w:pPr>
    </w:p>
    <w:p w14:paraId="7BE67334" w14:textId="77777777" w:rsidR="00A113D7" w:rsidRPr="00D018AF" w:rsidRDefault="00A113D7" w:rsidP="00B17EA9">
      <w:pPr>
        <w:textAlignment w:val="baseline"/>
      </w:pPr>
    </w:p>
    <w:sectPr w:rsidR="00947372" w:rsidRPr="00D018AF" w:rsidSect="001A10F8">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6D211" w14:textId="77777777" w:rsidR="00A113D7" w:rsidRDefault="00A113D7">
      <w:pPr>
        <w:spacing w:line="240" w:lineRule="auto"/>
      </w:pPr>
      <w:r>
        <w:separator/>
      </w:r>
    </w:p>
  </w:endnote>
  <w:endnote w:type="continuationSeparator" w:id="0">
    <w:p w14:paraId="59350F5F" w14:textId="77777777" w:rsidR="00A113D7" w:rsidRDefault="00A11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Schoolbook-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4544098"/>
      <w:docPartObj>
        <w:docPartGallery w:val="Page Numbers (Bottom of Page)"/>
        <w:docPartUnique/>
      </w:docPartObj>
    </w:sdtPr>
    <w:sdtEndPr>
      <w:rPr>
        <w:noProof/>
      </w:rPr>
    </w:sdtEndPr>
    <w:sdtContent>
      <w:p w14:paraId="632A50C3" w14:textId="77777777" w:rsidR="00A113D7" w:rsidRPr="00E25E4C" w:rsidRDefault="00A113D7">
        <w:pPr>
          <w:pStyle w:val="Footer"/>
          <w:jc w:val="center"/>
        </w:pPr>
        <w:r w:rsidRPr="00E25E4C">
          <w:fldChar w:fldCharType="begin"/>
        </w:r>
        <w:r w:rsidRPr="00E25E4C">
          <w:instrText xml:space="preserve"> PAGE   \* MERGEFORMAT </w:instrText>
        </w:r>
        <w:r w:rsidRPr="00E25E4C">
          <w:fldChar w:fldCharType="separate"/>
        </w:r>
        <w:r w:rsidRPr="00E25E4C">
          <w:rPr>
            <w:noProof/>
          </w:rPr>
          <w:t>11</w:t>
        </w:r>
        <w:r w:rsidRPr="00E25E4C">
          <w:rPr>
            <w:noProof/>
          </w:rPr>
          <w:fldChar w:fldCharType="end"/>
        </w:r>
      </w:p>
    </w:sdtContent>
  </w:sdt>
  <w:p w14:paraId="6969352F" w14:textId="77777777" w:rsidR="00A113D7" w:rsidRPr="00E25E4C" w:rsidRDefault="00A11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5121243"/>
      <w:docPartObj>
        <w:docPartGallery w:val="Page Numbers (Bottom of Page)"/>
        <w:docPartUnique/>
      </w:docPartObj>
    </w:sdtPr>
    <w:sdtEndPr>
      <w:rPr>
        <w:noProof/>
      </w:rPr>
    </w:sdtEndPr>
    <w:sdtContent>
      <w:p w14:paraId="63BD687C" w14:textId="77777777" w:rsidR="00A113D7" w:rsidRDefault="00A113D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45E3B14" w14:textId="77777777" w:rsidR="00A113D7" w:rsidRDefault="00A11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839AB" w14:textId="77777777" w:rsidR="00A113D7" w:rsidRDefault="00A113D7" w:rsidP="00C525B9">
      <w:pPr>
        <w:spacing w:line="240" w:lineRule="auto"/>
      </w:pPr>
      <w:r>
        <w:separator/>
      </w:r>
    </w:p>
  </w:footnote>
  <w:footnote w:type="continuationSeparator" w:id="0">
    <w:p w14:paraId="7D8798B6" w14:textId="77777777" w:rsidR="00A113D7" w:rsidRDefault="00A113D7" w:rsidP="00C525B9">
      <w:pPr>
        <w:spacing w:line="240" w:lineRule="auto"/>
      </w:pPr>
      <w:r>
        <w:continuationSeparator/>
      </w:r>
    </w:p>
  </w:footnote>
  <w:footnote w:type="continuationNotice" w:id="1">
    <w:p w14:paraId="02DEA35E" w14:textId="77777777" w:rsidR="00A113D7" w:rsidRDefault="00A113D7">
      <w:pPr>
        <w:spacing w:line="240" w:lineRule="auto"/>
      </w:pPr>
    </w:p>
  </w:footnote>
  <w:footnote w:id="2">
    <w:p w14:paraId="50B5F121" w14:textId="77777777" w:rsidR="00A113D7" w:rsidRPr="00540180" w:rsidRDefault="00A113D7" w:rsidP="008A6159">
      <w:pPr>
        <w:pStyle w:val="FootnoteText"/>
        <w:ind w:firstLine="720"/>
        <w:rPr>
          <w:rFonts w:ascii="Century Schoolbook" w:hAnsi="Century Schoolbook"/>
          <w:sz w:val="26"/>
          <w:szCs w:val="26"/>
        </w:rPr>
      </w:pPr>
      <w:r w:rsidRPr="00540180">
        <w:rPr>
          <w:rStyle w:val="FootnoteReference"/>
          <w:rFonts w:ascii="Century Schoolbook" w:hAnsi="Century Schoolbook"/>
          <w:sz w:val="26"/>
          <w:szCs w:val="26"/>
        </w:rPr>
        <w:footnoteRef/>
      </w:r>
      <w:r w:rsidRPr="00540180">
        <w:rPr>
          <w:rFonts w:ascii="Century Schoolbook" w:hAnsi="Century Schoolbook"/>
          <w:sz w:val="26"/>
          <w:szCs w:val="26"/>
        </w:rPr>
        <w:t xml:space="preserve"> Undesignated references are to the Oakland Municipal Code</w:t>
      </w:r>
      <w:r w:rsidRPr="00540180">
        <w:rPr>
          <w:rFonts w:ascii="Century Schoolbook" w:hAnsi="Century Schoolbook"/>
          <w:sz w:val="26"/>
          <w:szCs w:val="26"/>
        </w:rPr>
        <w:t xml:space="preserve"> (OMC)</w:t>
      </w:r>
      <w:r w:rsidRPr="00540180">
        <w:rPr>
          <w:rFonts w:ascii="Century Schoolbook" w:hAnsi="Century Schoolbook"/>
          <w:sz w:val="26"/>
          <w:szCs w:val="26"/>
        </w:rPr>
        <w:t>.</w:t>
      </w:r>
    </w:p>
  </w:footnote>
  <w:footnote w:id="3">
    <w:p w14:paraId="6EF06377" w14:textId="77777777" w:rsidR="00A113D7" w:rsidRPr="00540180" w:rsidRDefault="00A113D7" w:rsidP="00831AD5">
      <w:pPr>
        <w:pStyle w:val="FootnoteText"/>
        <w:ind w:firstLine="720"/>
        <w:rPr>
          <w:rFonts w:ascii="Century Schoolbook" w:hAnsi="Century Schoolbook"/>
          <w:sz w:val="26"/>
          <w:szCs w:val="26"/>
        </w:rPr>
      </w:pPr>
      <w:r w:rsidRPr="00540180">
        <w:rPr>
          <w:rStyle w:val="FootnoteReference"/>
          <w:rFonts w:ascii="Century Schoolbook" w:hAnsi="Century Schoolbook"/>
          <w:sz w:val="26"/>
          <w:szCs w:val="26"/>
        </w:rPr>
        <w:footnoteRef/>
      </w:r>
      <w:r w:rsidRPr="00540180">
        <w:rPr>
          <w:rFonts w:ascii="Century Schoolbook" w:hAnsi="Century Schoolbook"/>
          <w:sz w:val="26"/>
          <w:szCs w:val="26"/>
        </w:rPr>
        <w:t xml:space="preserve"> </w:t>
      </w:r>
      <w:bookmarkStart w:id="2" w:name="_Hlk168653566"/>
      <w:r w:rsidRPr="00540180">
        <w:rPr>
          <w:rFonts w:ascii="Century Schoolbook" w:hAnsi="Century Schoolbook"/>
          <w:sz w:val="26"/>
          <w:szCs w:val="26"/>
        </w:rPr>
        <w:t>S</w:t>
      </w:r>
      <w:r w:rsidRPr="00540180">
        <w:rPr>
          <w:rFonts w:ascii="Century Schoolbook" w:hAnsi="Century Schoolbook"/>
          <w:sz w:val="26"/>
          <w:szCs w:val="26"/>
        </w:rPr>
        <w:t xml:space="preserve">taff did observe one right-of-way violation by a </w:t>
      </w:r>
      <w:r w:rsidRPr="00540180">
        <w:rPr>
          <w:rFonts w:ascii="Century Schoolbook" w:hAnsi="Century Schoolbook"/>
          <w:sz w:val="26"/>
          <w:szCs w:val="26"/>
        </w:rPr>
        <w:t xml:space="preserve">double-parked truck.  As the </w:t>
      </w:r>
      <w:r w:rsidRPr="00540180">
        <w:rPr>
          <w:rFonts w:ascii="Century Schoolbook" w:hAnsi="Century Schoolbook"/>
          <w:sz w:val="26"/>
          <w:szCs w:val="26"/>
        </w:rPr>
        <w:t xml:space="preserve">Planning </w:t>
      </w:r>
      <w:r w:rsidRPr="00540180">
        <w:rPr>
          <w:rFonts w:ascii="Century Schoolbook" w:hAnsi="Century Schoolbook"/>
          <w:sz w:val="26"/>
          <w:szCs w:val="26"/>
        </w:rPr>
        <w:t>Department</w:t>
      </w:r>
      <w:r w:rsidRPr="00540180">
        <w:rPr>
          <w:rFonts w:ascii="Century Schoolbook" w:hAnsi="Century Schoolbook"/>
          <w:sz w:val="26"/>
          <w:szCs w:val="26"/>
        </w:rPr>
        <w:t xml:space="preserve"> explained, however, </w:t>
      </w:r>
      <w:r w:rsidRPr="00540180">
        <w:rPr>
          <w:rFonts w:ascii="Century Schoolbook" w:hAnsi="Century Schoolbook"/>
          <w:sz w:val="26"/>
          <w:szCs w:val="26"/>
        </w:rPr>
        <w:t>“[p]</w:t>
      </w:r>
      <w:proofErr w:type="spellStart"/>
      <w:r w:rsidRPr="00540180">
        <w:rPr>
          <w:rFonts w:ascii="Century Schoolbook" w:hAnsi="Century Schoolbook"/>
          <w:sz w:val="26"/>
          <w:szCs w:val="26"/>
        </w:rPr>
        <w:t>ublic</w:t>
      </w:r>
      <w:proofErr w:type="spellEnd"/>
      <w:r w:rsidRPr="00540180">
        <w:rPr>
          <w:rFonts w:ascii="Century Schoolbook" w:hAnsi="Century Schoolbook"/>
          <w:sz w:val="26"/>
          <w:szCs w:val="26"/>
        </w:rPr>
        <w:t xml:space="preserve"> right-of-way violations are outside the purview of zoning regulations” and are “generally addressed through the City’s Code Enforcement process, not through </w:t>
      </w:r>
      <w:r w:rsidRPr="00540180">
        <w:rPr>
          <w:rFonts w:ascii="Century Schoolbook" w:hAnsi="Century Schoolbook"/>
          <w:sz w:val="26"/>
          <w:szCs w:val="26"/>
        </w:rPr>
        <w:t>O.M.C. Section</w:t>
      </w:r>
      <w:r>
        <w:rPr>
          <w:rFonts w:ascii="Century Schoolbook" w:hAnsi="Century Schoolbook"/>
          <w:sz w:val="26"/>
          <w:szCs w:val="26"/>
        </w:rPr>
        <w:t> </w:t>
      </w:r>
      <w:r w:rsidRPr="00540180">
        <w:rPr>
          <w:rFonts w:ascii="Century Schoolbook" w:hAnsi="Century Schoolbook"/>
          <w:sz w:val="26"/>
          <w:szCs w:val="26"/>
        </w:rPr>
        <w:t xml:space="preserve">17.152.”  </w:t>
      </w:r>
      <w:r w:rsidRPr="00540180">
        <w:rPr>
          <w:rFonts w:ascii="Century Schoolbook" w:hAnsi="Century Schoolbook"/>
          <w:sz w:val="26"/>
          <w:szCs w:val="26"/>
        </w:rPr>
        <w:t>It therefore stated it was</w:t>
      </w:r>
      <w:r w:rsidRPr="00540180">
        <w:rPr>
          <w:rFonts w:ascii="Century Schoolbook" w:hAnsi="Century Schoolbook"/>
          <w:sz w:val="26"/>
          <w:szCs w:val="26"/>
        </w:rPr>
        <w:t xml:space="preserve"> “conferring with</w:t>
      </w:r>
      <w:r w:rsidRPr="00540180">
        <w:rPr>
          <w:rFonts w:ascii="Century Schoolbook" w:hAnsi="Century Schoolbook"/>
          <w:sz w:val="26"/>
          <w:szCs w:val="26"/>
        </w:rPr>
        <w:t xml:space="preserve"> the City’s Department of Transportation</w:t>
      </w:r>
      <w:r w:rsidRPr="00540180">
        <w:rPr>
          <w:rFonts w:ascii="Century Schoolbook" w:hAnsi="Century Schoolbook"/>
          <w:sz w:val="26"/>
          <w:szCs w:val="26"/>
        </w:rPr>
        <w:t> . . . </w:t>
      </w:r>
      <w:r w:rsidRPr="00540180">
        <w:rPr>
          <w:rFonts w:ascii="Century Schoolbook" w:hAnsi="Century Schoolbook"/>
          <w:sz w:val="26"/>
          <w:szCs w:val="26"/>
        </w:rPr>
        <w:t xml:space="preserve">on how to appropriately address the </w:t>
      </w:r>
      <w:r w:rsidRPr="00540180">
        <w:rPr>
          <w:rFonts w:ascii="Century Schoolbook" w:hAnsi="Century Schoolbook"/>
          <w:sz w:val="26"/>
          <w:szCs w:val="26"/>
        </w:rPr>
        <w:t xml:space="preserve">issue with </w:t>
      </w:r>
      <w:proofErr w:type="spellStart"/>
      <w:r w:rsidRPr="00540180">
        <w:rPr>
          <w:rFonts w:ascii="Century Schoolbook" w:hAnsi="Century Schoolbook"/>
          <w:sz w:val="26"/>
          <w:szCs w:val="26"/>
        </w:rPr>
        <w:t>CloudKitchen</w:t>
      </w:r>
      <w:proofErr w:type="spellEnd"/>
      <w:r w:rsidRPr="00540180">
        <w:rPr>
          <w:rFonts w:ascii="Century Schoolbook" w:hAnsi="Century Schoolbook"/>
          <w:sz w:val="26"/>
          <w:szCs w:val="26"/>
        </w:rPr>
        <w:t>[s]</w:t>
      </w:r>
      <w:r w:rsidRPr="00540180">
        <w:rPr>
          <w:rFonts w:ascii="Century Schoolbook" w:hAnsi="Century Schoolbook"/>
          <w:sz w:val="26"/>
          <w:szCs w:val="26"/>
        </w:rPr>
        <w:t xml:space="preserve">.”  </w:t>
      </w:r>
      <w:bookmarkEnd w:id="2"/>
    </w:p>
  </w:footnote>
  <w:footnote w:id="4">
    <w:p w14:paraId="1724BC53" w14:textId="77777777" w:rsidR="00A113D7" w:rsidRPr="00540180" w:rsidRDefault="00A113D7">
      <w:pPr>
        <w:pStyle w:val="FootnoteText"/>
        <w:ind w:firstLine="720"/>
        <w:rPr>
          <w:rFonts w:ascii="Century Schoolbook" w:hAnsi="Century Schoolbook" w:cs="TimesNewRomanPSMT"/>
          <w:sz w:val="26"/>
          <w:szCs w:val="26"/>
        </w:rPr>
      </w:pPr>
      <w:r w:rsidRPr="00540180">
        <w:rPr>
          <w:rStyle w:val="FootnoteReference"/>
          <w:rFonts w:ascii="Century Schoolbook" w:hAnsi="Century Schoolbook"/>
          <w:sz w:val="26"/>
          <w:szCs w:val="26"/>
        </w:rPr>
        <w:footnoteRef/>
      </w:r>
      <w:r w:rsidRPr="00540180">
        <w:rPr>
          <w:rFonts w:ascii="Century Schoolbook" w:hAnsi="Century Schoolbook"/>
          <w:sz w:val="26"/>
          <w:szCs w:val="26"/>
        </w:rPr>
        <w:t xml:space="preserve"> Given our independent interpretation that chapter 17.132 controls, we need not consider whether deference is owed to the </w:t>
      </w:r>
      <w:r w:rsidRPr="00540180">
        <w:rPr>
          <w:rFonts w:ascii="Century Schoolbook" w:hAnsi="Century Schoolbook"/>
          <w:sz w:val="26"/>
          <w:szCs w:val="26"/>
        </w:rPr>
        <w:t>Planning Department</w:t>
      </w:r>
      <w:r w:rsidRPr="00540180">
        <w:rPr>
          <w:rFonts w:ascii="Century Schoolbook" w:hAnsi="Century Schoolbook"/>
          <w:sz w:val="26"/>
          <w:szCs w:val="26"/>
        </w:rPr>
        <w:t xml:space="preserve">’s interpretation under the principles articulated in </w:t>
      </w:r>
      <w:r w:rsidRPr="00540180">
        <w:rPr>
          <w:rFonts w:ascii="Century Schoolbook" w:hAnsi="Century Schoolbook"/>
          <w:i/>
          <w:iCs/>
          <w:sz w:val="26"/>
          <w:szCs w:val="26"/>
          <w:bdr w:val="none" w:sz="0" w:space="0" w:color="auto" w:frame="1"/>
        </w:rPr>
        <w:t>Yamaha Corp. of America v. State Bd. of Equalization</w:t>
      </w:r>
      <w:r w:rsidRPr="00540180">
        <w:rPr>
          <w:rFonts w:ascii="Century Schoolbook" w:hAnsi="Century Schoolbook"/>
          <w:sz w:val="26"/>
          <w:szCs w:val="26"/>
        </w:rPr>
        <w:t xml:space="preserve">, </w:t>
      </w:r>
      <w:r w:rsidRPr="00540180">
        <w:rPr>
          <w:rFonts w:ascii="Century Schoolbook" w:hAnsi="Century Schoolbook"/>
          <w:i/>
          <w:iCs/>
          <w:sz w:val="26"/>
          <w:szCs w:val="26"/>
        </w:rPr>
        <w:t>supra</w:t>
      </w:r>
      <w:r w:rsidRPr="00540180">
        <w:rPr>
          <w:rFonts w:ascii="Century Schoolbook" w:hAnsi="Century Schoolbook"/>
          <w:sz w:val="26"/>
          <w:szCs w:val="26"/>
        </w:rPr>
        <w:t>, 19 Cal.4th at p</w:t>
      </w:r>
      <w:r w:rsidRPr="00540180">
        <w:rPr>
          <w:rFonts w:ascii="Century Schoolbook" w:hAnsi="Century Schoolbook"/>
          <w:sz w:val="26"/>
          <w:szCs w:val="26"/>
        </w:rPr>
        <w:t>age</w:t>
      </w:r>
      <w:r w:rsidRPr="00540180">
        <w:rPr>
          <w:rFonts w:ascii="Century Schoolbook" w:hAnsi="Century Schoolbook"/>
          <w:sz w:val="26"/>
          <w:szCs w:val="26"/>
        </w:rPr>
        <w:t xml:space="preserve"> 8.  </w:t>
      </w:r>
      <w:r w:rsidRPr="00540180">
        <w:rPr>
          <w:rFonts w:ascii="Century Schoolbook" w:hAnsi="Century Schoolbook"/>
          <w:sz w:val="26"/>
          <w:szCs w:val="26"/>
        </w:rPr>
        <w:t>For the same reason</w:t>
      </w:r>
      <w:r w:rsidRPr="00540180">
        <w:rPr>
          <w:rFonts w:ascii="Century Schoolbook" w:hAnsi="Century Schoolbook"/>
          <w:sz w:val="26"/>
          <w:szCs w:val="26"/>
        </w:rPr>
        <w:t>, we deny Neighbors</w:t>
      </w:r>
      <w:r w:rsidRPr="00540180">
        <w:rPr>
          <w:rFonts w:ascii="Century Schoolbook" w:hAnsi="Century Schoolbook"/>
          <w:sz w:val="26"/>
          <w:szCs w:val="26"/>
        </w:rPr>
        <w:t>’</w:t>
      </w:r>
      <w:r w:rsidRPr="00540180">
        <w:rPr>
          <w:rFonts w:ascii="Century Schoolbook" w:hAnsi="Century Schoolbook"/>
          <w:sz w:val="26"/>
          <w:szCs w:val="26"/>
        </w:rPr>
        <w:t xml:space="preserve"> request to take judicial notice of exhibits A–F documenting </w:t>
      </w:r>
      <w:r w:rsidRPr="00540180">
        <w:rPr>
          <w:rFonts w:ascii="Century Schoolbook" w:hAnsi="Century Schoolbook" w:cs="TimesNewRomanPSMT"/>
          <w:sz w:val="26"/>
          <w:szCs w:val="26"/>
        </w:rPr>
        <w:t xml:space="preserve">the </w:t>
      </w:r>
      <w:r w:rsidRPr="00540180">
        <w:rPr>
          <w:rFonts w:ascii="Century Schoolbook" w:hAnsi="Century Schoolbook" w:cs="TimesNewRomanPSMT"/>
          <w:sz w:val="26"/>
          <w:szCs w:val="26"/>
        </w:rPr>
        <w:t xml:space="preserve">Planning Department’s </w:t>
      </w:r>
      <w:r w:rsidRPr="00540180">
        <w:rPr>
          <w:rFonts w:ascii="Century Schoolbook" w:hAnsi="Century Schoolbook" w:cs="TimesNewRomanPSMT"/>
          <w:sz w:val="26"/>
          <w:szCs w:val="26"/>
        </w:rPr>
        <w:t xml:space="preserve">past </w:t>
      </w:r>
      <w:r w:rsidRPr="00540180">
        <w:rPr>
          <w:rFonts w:ascii="Century Schoolbook" w:hAnsi="Century Schoolbook" w:cs="TimesNewRomanPSMT"/>
          <w:sz w:val="26"/>
          <w:szCs w:val="26"/>
        </w:rPr>
        <w:t xml:space="preserve">zoning </w:t>
      </w:r>
      <w:r w:rsidRPr="00540180">
        <w:rPr>
          <w:rFonts w:ascii="Century Schoolbook" w:hAnsi="Century Schoolbook" w:cs="TimesNewRomanPSMT"/>
          <w:sz w:val="26"/>
          <w:szCs w:val="26"/>
        </w:rPr>
        <w:t>approvals</w:t>
      </w:r>
      <w:r w:rsidRPr="00540180">
        <w:rPr>
          <w:rFonts w:ascii="Century Schoolbook" w:hAnsi="Century Schoolbook" w:cs="TimesNewRomanPSMT"/>
          <w:sz w:val="26"/>
          <w:szCs w:val="26"/>
        </w:rPr>
        <w:t xml:space="preserve">.  </w:t>
      </w:r>
      <w:r w:rsidRPr="00540180">
        <w:rPr>
          <w:rFonts w:ascii="Century Schoolbook" w:hAnsi="Century Schoolbook" w:cs="TimesNewRomanPSMT"/>
          <w:sz w:val="26"/>
          <w:szCs w:val="26"/>
        </w:rPr>
        <w:t>Conversely, w</w:t>
      </w:r>
      <w:r w:rsidRPr="00540180">
        <w:rPr>
          <w:rFonts w:ascii="Century Schoolbook" w:hAnsi="Century Schoolbook"/>
          <w:sz w:val="26"/>
          <w:szCs w:val="26"/>
        </w:rPr>
        <w:t>e g</w:t>
      </w:r>
      <w:r w:rsidRPr="00540180">
        <w:rPr>
          <w:rFonts w:ascii="Century Schoolbook" w:hAnsi="Century Schoolbook"/>
          <w:sz w:val="26"/>
          <w:szCs w:val="26"/>
          <w:shd w:val="clear" w:color="auto" w:fill="FFFFFF"/>
        </w:rPr>
        <w:t xml:space="preserve">rant Neighbors’ request to take </w:t>
      </w:r>
      <w:r w:rsidRPr="00540180">
        <w:rPr>
          <w:rFonts w:ascii="Century Schoolbook" w:hAnsi="Century Schoolbook"/>
          <w:sz w:val="26"/>
          <w:szCs w:val="26"/>
          <w:shd w:val="clear" w:color="auto" w:fill="FFFFFF"/>
        </w:rPr>
        <w:t>judicial notice of Exhibits G</w:t>
      </w:r>
      <w:r w:rsidRPr="00540180">
        <w:rPr>
          <w:rFonts w:ascii="Century Schoolbook" w:hAnsi="Century Schoolbook"/>
          <w:sz w:val="26"/>
          <w:szCs w:val="26"/>
          <w:shd w:val="clear" w:color="auto" w:fill="FFFFFF"/>
        </w:rPr>
        <w:t>–</w:t>
      </w:r>
      <w:r w:rsidRPr="00540180">
        <w:rPr>
          <w:rFonts w:ascii="Century Schoolbook" w:hAnsi="Century Schoolbook"/>
          <w:sz w:val="26"/>
          <w:szCs w:val="26"/>
          <w:shd w:val="clear" w:color="auto" w:fill="FFFFFF"/>
        </w:rPr>
        <w:t xml:space="preserve">J because they capture </w:t>
      </w:r>
      <w:r w:rsidRPr="00540180">
        <w:rPr>
          <w:rFonts w:ascii="Century Schoolbook" w:hAnsi="Century Schoolbook" w:cs="TimesNewRomanPSMT"/>
          <w:sz w:val="26"/>
          <w:szCs w:val="26"/>
        </w:rPr>
        <w:t>provisions of the OMC that we interpret de novo.</w:t>
      </w:r>
    </w:p>
    <w:p w14:paraId="77598BCC" w14:textId="77777777" w:rsidR="00A113D7" w:rsidRPr="00540180" w:rsidRDefault="00A113D7" w:rsidP="00831AD5">
      <w:pPr>
        <w:pStyle w:val="FootnoteText"/>
        <w:ind w:firstLine="720"/>
        <w:rPr>
          <w:rFonts w:ascii="Century Schoolbook" w:hAnsi="Century Schoolbook"/>
          <w:sz w:val="10"/>
        </w:rPr>
      </w:pPr>
    </w:p>
  </w:footnote>
  <w:footnote w:id="5">
    <w:p w14:paraId="41551489" w14:textId="77777777" w:rsidR="00A113D7" w:rsidRPr="00540180" w:rsidRDefault="00A113D7" w:rsidP="00831AD5">
      <w:pPr>
        <w:pStyle w:val="FootnoteText"/>
        <w:ind w:firstLine="720"/>
        <w:rPr>
          <w:rFonts w:ascii="Century Schoolbook" w:hAnsi="Century Schoolbook"/>
          <w:sz w:val="26"/>
          <w:szCs w:val="26"/>
        </w:rPr>
      </w:pPr>
      <w:r w:rsidRPr="00540180">
        <w:rPr>
          <w:rStyle w:val="FootnoteReference"/>
          <w:rFonts w:ascii="Century Schoolbook" w:hAnsi="Century Schoolbook"/>
          <w:sz w:val="26"/>
          <w:szCs w:val="26"/>
        </w:rPr>
        <w:footnoteRef/>
      </w:r>
      <w:r w:rsidRPr="00540180">
        <w:rPr>
          <w:rFonts w:ascii="Century Schoolbook" w:hAnsi="Century Schoolbook"/>
          <w:sz w:val="26"/>
          <w:szCs w:val="26"/>
        </w:rPr>
        <w:t xml:space="preserve"> We observe this argument </w:t>
      </w:r>
      <w:r w:rsidRPr="00540180">
        <w:rPr>
          <w:rFonts w:ascii="Century Schoolbook" w:hAnsi="Century Schoolbook"/>
          <w:sz w:val="26"/>
          <w:szCs w:val="26"/>
        </w:rPr>
        <w:t>contradicts Neighbors</w:t>
      </w:r>
      <w:r w:rsidRPr="00540180">
        <w:rPr>
          <w:rFonts w:ascii="Century Schoolbook" w:hAnsi="Century Schoolbook"/>
          <w:sz w:val="26"/>
          <w:szCs w:val="26"/>
        </w:rPr>
        <w:t>’</w:t>
      </w:r>
      <w:r w:rsidRPr="00540180">
        <w:rPr>
          <w:rFonts w:ascii="Century Schoolbook" w:hAnsi="Century Schoolbook"/>
          <w:sz w:val="26"/>
          <w:szCs w:val="26"/>
        </w:rPr>
        <w:t xml:space="preserve"> Request for Judicial Notice</w:t>
      </w:r>
      <w:r w:rsidRPr="00540180">
        <w:rPr>
          <w:rFonts w:ascii="Century Schoolbook" w:hAnsi="Century Schoolbook"/>
          <w:sz w:val="26"/>
          <w:szCs w:val="26"/>
        </w:rPr>
        <w:t>, which asserts</w:t>
      </w:r>
      <w:r w:rsidRPr="00540180">
        <w:rPr>
          <w:rFonts w:ascii="Century Schoolbook" w:hAnsi="Century Schoolbook"/>
          <w:sz w:val="26"/>
          <w:szCs w:val="26"/>
        </w:rPr>
        <w:t xml:space="preserve"> “</w:t>
      </w:r>
      <w:r w:rsidRPr="00540180">
        <w:rPr>
          <w:rFonts w:ascii="Century Schoolbook" w:hAnsi="Century Schoolbook" w:cs="TimesNewRomanPSMT"/>
          <w:sz w:val="26"/>
          <w:szCs w:val="26"/>
        </w:rPr>
        <w:t xml:space="preserve">[t]he issuance of staff reports, zoning </w:t>
      </w:r>
      <w:proofErr w:type="gramStart"/>
      <w:r w:rsidRPr="00540180">
        <w:rPr>
          <w:rFonts w:ascii="Century Schoolbook" w:hAnsi="Century Schoolbook" w:cs="TimesNewRomanPSMT"/>
          <w:sz w:val="26"/>
          <w:szCs w:val="26"/>
        </w:rPr>
        <w:t>clearances</w:t>
      </w:r>
      <w:r w:rsidRPr="00540180">
        <w:rPr>
          <w:rFonts w:ascii="Century Schoolbook" w:hAnsi="Century Schoolbook" w:cs="TimesNewRomanPSMT"/>
          <w:sz w:val="26"/>
          <w:szCs w:val="26"/>
        </w:rPr>
        <w:t>[</w:t>
      </w:r>
      <w:proofErr w:type="gramEnd"/>
      <w:r w:rsidRPr="00540180">
        <w:rPr>
          <w:rFonts w:ascii="Century Schoolbook" w:hAnsi="Century Schoolbook" w:cs="TimesNewRomanPSMT"/>
          <w:sz w:val="26"/>
          <w:szCs w:val="26"/>
        </w:rPr>
        <w:t>,]</w:t>
      </w:r>
      <w:r w:rsidRPr="00540180">
        <w:rPr>
          <w:rFonts w:ascii="Century Schoolbook" w:hAnsi="Century Schoolbook" w:cs="TimesNewRomanPSMT"/>
          <w:sz w:val="26"/>
          <w:szCs w:val="26"/>
        </w:rPr>
        <w:t xml:space="preserve"> and approval letters are formal actions</w:t>
      </w:r>
      <w:r w:rsidRPr="00540180">
        <w:rPr>
          <w:rFonts w:ascii="Century Schoolbook" w:hAnsi="Century Schoolbook" w:cs="TimesNewRomanPSMT"/>
          <w:sz w:val="26"/>
          <w:szCs w:val="26"/>
        </w:rPr>
        <w:t>.</w:t>
      </w:r>
      <w:r w:rsidRPr="00540180">
        <w:rPr>
          <w:rFonts w:ascii="Century Schoolbook" w:hAnsi="Century Schoolbook" w:cs="TimesNewRomanPSMT"/>
          <w:sz w:val="26"/>
          <w:szCs w:val="26"/>
        </w:rPr>
        <w:t>”</w:t>
      </w:r>
      <w:r w:rsidRPr="00540180">
        <w:rPr>
          <w:rFonts w:ascii="Century Schoolbook" w:hAnsi="Century Schoolbook" w:cs="TimesNewRomanPSMT"/>
          <w:sz w:val="26"/>
          <w:szCs w:val="26"/>
        </w:rPr>
        <w:t xml:space="preserve">  It is also </w:t>
      </w:r>
      <w:r w:rsidRPr="00540180">
        <w:rPr>
          <w:rFonts w:ascii="Century Schoolbook" w:hAnsi="Century Schoolbook"/>
          <w:sz w:val="26"/>
          <w:szCs w:val="26"/>
        </w:rPr>
        <w:t xml:space="preserve">belied by Neighbors’ </w:t>
      </w:r>
      <w:r w:rsidRPr="00540180">
        <w:rPr>
          <w:rFonts w:ascii="Century Schoolbook" w:hAnsi="Century Schoolbook" w:cs="Open Sans"/>
          <w:spacing w:val="2"/>
          <w:sz w:val="26"/>
          <w:szCs w:val="26"/>
          <w:shd w:val="clear" w:color="auto" w:fill="FFFFFF"/>
        </w:rPr>
        <w:t xml:space="preserve">initial letter to the </w:t>
      </w:r>
      <w:r w:rsidRPr="00540180">
        <w:rPr>
          <w:rFonts w:ascii="Century Schoolbook" w:hAnsi="Century Schoolbook" w:cs="Open Sans"/>
          <w:spacing w:val="2"/>
          <w:sz w:val="26"/>
          <w:szCs w:val="26"/>
          <w:shd w:val="clear" w:color="auto" w:fill="FFFFFF"/>
        </w:rPr>
        <w:t>Planning Department</w:t>
      </w:r>
      <w:r w:rsidRPr="00540180">
        <w:rPr>
          <w:rFonts w:ascii="Century Schoolbook" w:hAnsi="Century Schoolbook" w:cs="Open Sans"/>
          <w:spacing w:val="2"/>
          <w:sz w:val="26"/>
          <w:szCs w:val="26"/>
          <w:shd w:val="clear" w:color="auto" w:fill="FFFFFF"/>
        </w:rPr>
        <w:t xml:space="preserve"> “r</w:t>
      </w:r>
      <w:r w:rsidRPr="00540180">
        <w:rPr>
          <w:rFonts w:ascii="Century Schoolbook" w:hAnsi="Century Schoolbook" w:cs="Calibri"/>
          <w:sz w:val="26"/>
          <w:szCs w:val="26"/>
        </w:rPr>
        <w:t>equest[</w:t>
      </w:r>
      <w:proofErr w:type="spellStart"/>
      <w:r w:rsidRPr="00540180">
        <w:rPr>
          <w:rFonts w:ascii="Century Schoolbook" w:hAnsi="Century Schoolbook" w:cs="Calibri"/>
          <w:sz w:val="26"/>
          <w:szCs w:val="26"/>
        </w:rPr>
        <w:t>ing</w:t>
      </w:r>
      <w:proofErr w:type="spellEnd"/>
      <w:r w:rsidRPr="00540180">
        <w:rPr>
          <w:rFonts w:ascii="Century Schoolbook" w:hAnsi="Century Schoolbook" w:cs="Calibri"/>
          <w:sz w:val="26"/>
          <w:szCs w:val="26"/>
        </w:rPr>
        <w:t xml:space="preserve">] that the City reconsider its approval of </w:t>
      </w:r>
      <w:proofErr w:type="spellStart"/>
      <w:r w:rsidRPr="00540180">
        <w:rPr>
          <w:rFonts w:ascii="Century Schoolbook" w:hAnsi="Century Schoolbook" w:cs="Calibri"/>
          <w:sz w:val="26"/>
          <w:szCs w:val="26"/>
        </w:rPr>
        <w:t>CloudKitchens</w:t>
      </w:r>
      <w:proofErr w:type="spellEnd"/>
      <w:r w:rsidRPr="00540180">
        <w:rPr>
          <w:rFonts w:ascii="Century Schoolbook" w:hAnsi="Century Schoolbook" w:cs="Calibri"/>
          <w:sz w:val="26"/>
          <w:szCs w:val="26"/>
        </w:rPr>
        <w:t xml:space="preserve"> as qualifying for HBX-1 classification” as well as their a</w:t>
      </w:r>
      <w:r w:rsidRPr="00540180">
        <w:rPr>
          <w:rFonts w:ascii="Century Schoolbook" w:hAnsi="Century Schoolbook"/>
          <w:sz w:val="26"/>
          <w:szCs w:val="26"/>
        </w:rPr>
        <w:t xml:space="preserve">dmission that a clearance letter is “the Zoning Department’s interpretation, based on representations by the owner, that the activity is allowed.” </w:t>
      </w:r>
    </w:p>
    <w:p w14:paraId="78019652" w14:textId="77777777" w:rsidR="00A113D7" w:rsidRPr="00540180" w:rsidRDefault="00A113D7" w:rsidP="00831AD5">
      <w:pPr>
        <w:pStyle w:val="FootnoteText"/>
        <w:ind w:firstLine="720"/>
        <w:rPr>
          <w:rFonts w:ascii="Century Schoolbook" w:hAnsi="Century Schoolbook"/>
          <w:sz w:val="10"/>
          <w:szCs w:val="10"/>
        </w:rPr>
      </w:pPr>
    </w:p>
  </w:footnote>
  <w:footnote w:id="6">
    <w:p w14:paraId="6FF0BDB9" w14:textId="77777777" w:rsidR="00A113D7" w:rsidRPr="00540180" w:rsidRDefault="00A113D7" w:rsidP="0002354B">
      <w:pPr>
        <w:pStyle w:val="FootnoteText"/>
        <w:ind w:firstLine="720"/>
        <w:rPr>
          <w:rFonts w:ascii="Century Schoolbook" w:hAnsi="Century Schoolbook" w:cs="Open Sans"/>
          <w:spacing w:val="2"/>
          <w:sz w:val="26"/>
          <w:szCs w:val="26"/>
          <w:shd w:val="clear" w:color="auto" w:fill="FFFFFF"/>
        </w:rPr>
      </w:pPr>
      <w:r w:rsidRPr="00540180">
        <w:rPr>
          <w:rStyle w:val="FootnoteReference"/>
          <w:rFonts w:ascii="Century Schoolbook" w:hAnsi="Century Schoolbook"/>
          <w:sz w:val="26"/>
          <w:szCs w:val="26"/>
        </w:rPr>
        <w:footnoteRef/>
      </w:r>
      <w:r w:rsidRPr="00540180">
        <w:rPr>
          <w:rFonts w:ascii="Century Schoolbook" w:hAnsi="Century Schoolbook"/>
          <w:sz w:val="26"/>
          <w:szCs w:val="26"/>
        </w:rPr>
        <w:t xml:space="preserve"> </w:t>
      </w:r>
      <w:r>
        <w:rPr>
          <w:rFonts w:ascii="Century Schoolbook" w:hAnsi="Century Schoolbook"/>
          <w:sz w:val="26"/>
          <w:szCs w:val="26"/>
        </w:rPr>
        <w:t>Section</w:t>
      </w:r>
      <w:r w:rsidRPr="00540180">
        <w:rPr>
          <w:rFonts w:ascii="Century Schoolbook" w:hAnsi="Century Schoolbook"/>
          <w:sz w:val="26"/>
          <w:szCs w:val="26"/>
        </w:rPr>
        <w:t xml:space="preserve"> </w:t>
      </w:r>
      <w:r w:rsidRPr="00540180">
        <w:rPr>
          <w:rFonts w:ascii="Century Schoolbook" w:hAnsi="Century Schoolbook"/>
          <w:sz w:val="26"/>
          <w:szCs w:val="26"/>
        </w:rPr>
        <w:t xml:space="preserve">17.132.020 requires an appeal “by any interested party” from “any administrative determination or interpretation </w:t>
      </w:r>
      <w:r w:rsidRPr="00540180">
        <w:rPr>
          <w:rFonts w:ascii="Century Schoolbook" w:hAnsi="Century Schoolbook" w:cs="Open Sans"/>
          <w:spacing w:val="2"/>
          <w:sz w:val="26"/>
          <w:szCs w:val="26"/>
          <w:shd w:val="clear" w:color="auto" w:fill="FFFFFF"/>
        </w:rPr>
        <w:t xml:space="preserve">made by the Director of City Planning under the zoning regulations” be taken to the City Planning Commission “within ten (10) calendar days.”  It is unclear on this record whether anyone other than </w:t>
      </w:r>
      <w:proofErr w:type="spellStart"/>
      <w:r w:rsidRPr="00540180">
        <w:rPr>
          <w:rFonts w:ascii="Century Schoolbook" w:hAnsi="Century Schoolbook" w:cs="Open Sans"/>
          <w:spacing w:val="2"/>
          <w:sz w:val="26"/>
          <w:szCs w:val="26"/>
          <w:shd w:val="clear" w:color="auto" w:fill="FFFFFF"/>
        </w:rPr>
        <w:t>Cloudkitchens</w:t>
      </w:r>
      <w:proofErr w:type="spellEnd"/>
      <w:r w:rsidRPr="00540180">
        <w:rPr>
          <w:rFonts w:ascii="Century Schoolbook" w:hAnsi="Century Schoolbook" w:cs="Open Sans"/>
          <w:spacing w:val="2"/>
          <w:sz w:val="26"/>
          <w:szCs w:val="26"/>
          <w:shd w:val="clear" w:color="auto" w:fill="FFFFFF"/>
        </w:rPr>
        <w:t xml:space="preserve"> and the Planning Department knew of </w:t>
      </w:r>
      <w:proofErr w:type="spellStart"/>
      <w:r w:rsidRPr="00540180">
        <w:rPr>
          <w:rFonts w:ascii="Century Schoolbook" w:hAnsi="Century Schoolbook" w:cs="Open Sans"/>
          <w:spacing w:val="2"/>
          <w:sz w:val="26"/>
          <w:szCs w:val="26"/>
          <w:shd w:val="clear" w:color="auto" w:fill="FFFFFF"/>
        </w:rPr>
        <w:t>Cloudkitchens’s</w:t>
      </w:r>
      <w:proofErr w:type="spellEnd"/>
      <w:r w:rsidRPr="00540180">
        <w:rPr>
          <w:rFonts w:ascii="Century Schoolbook" w:hAnsi="Century Schoolbook" w:cs="Open Sans"/>
          <w:spacing w:val="2"/>
          <w:sz w:val="26"/>
          <w:szCs w:val="26"/>
          <w:shd w:val="clear" w:color="auto" w:fill="FFFFFF"/>
        </w:rPr>
        <w:t xml:space="preserve"> zoning clearance at the time it issued, or whether, as a matter of Planning Department practice, the decision on </w:t>
      </w:r>
      <w:proofErr w:type="spellStart"/>
      <w:r w:rsidRPr="00540180">
        <w:rPr>
          <w:rFonts w:ascii="Century Schoolbook" w:hAnsi="Century Schoolbook" w:cs="Open Sans"/>
          <w:spacing w:val="2"/>
          <w:sz w:val="26"/>
          <w:szCs w:val="26"/>
          <w:shd w:val="clear" w:color="auto" w:fill="FFFFFF"/>
        </w:rPr>
        <w:t>Cloudkitchens’s</w:t>
      </w:r>
      <w:proofErr w:type="spellEnd"/>
      <w:r w:rsidRPr="00540180">
        <w:rPr>
          <w:rFonts w:ascii="Century Schoolbook" w:hAnsi="Century Schoolbook" w:cs="Open Sans"/>
          <w:spacing w:val="2"/>
          <w:sz w:val="26"/>
          <w:szCs w:val="26"/>
          <w:shd w:val="clear" w:color="auto" w:fill="FFFFFF"/>
        </w:rPr>
        <w:t xml:space="preserve"> “over </w:t>
      </w:r>
      <w:r w:rsidRPr="00540180">
        <w:rPr>
          <w:rFonts w:ascii="Century Schoolbook" w:hAnsi="Century Schoolbook" w:cs="Open Sans"/>
          <w:spacing w:val="2"/>
          <w:sz w:val="26"/>
          <w:szCs w:val="26"/>
          <w:shd w:val="clear" w:color="auto" w:fill="FFFFFF"/>
        </w:rPr>
        <w:t xml:space="preserve">the counter” zoning clearance application was sufficiently known to the public that notice of it might be said to be chargeable to “any interested party.”  </w:t>
      </w:r>
      <w:r w:rsidRPr="009B6C15">
        <w:rPr>
          <w:rFonts w:ascii="Century Schoolbook" w:hAnsi="Century Schoolbook" w:cs="Open Sans"/>
          <w:spacing w:val="2"/>
          <w:sz w:val="26"/>
          <w:szCs w:val="26"/>
          <w:shd w:val="clear" w:color="auto" w:fill="FFFFFF"/>
        </w:rPr>
        <w:t>(§</w:t>
      </w:r>
      <w:r>
        <w:rPr>
          <w:rFonts w:ascii="Century Schoolbook" w:hAnsi="Century Schoolbook" w:cs="Open Sans"/>
          <w:spacing w:val="2"/>
          <w:sz w:val="26"/>
          <w:szCs w:val="26"/>
          <w:shd w:val="clear" w:color="auto" w:fill="FFFFFF"/>
        </w:rPr>
        <w:t> </w:t>
      </w:r>
      <w:r w:rsidRPr="009B6C15">
        <w:rPr>
          <w:rFonts w:ascii="Century Schoolbook" w:hAnsi="Century Schoolbook" w:cs="Open Sans"/>
          <w:spacing w:val="2"/>
          <w:sz w:val="26"/>
          <w:szCs w:val="26"/>
          <w:shd w:val="clear" w:color="auto" w:fill="FFFFFF"/>
        </w:rPr>
        <w:t>17.1</w:t>
      </w:r>
      <w:r>
        <w:rPr>
          <w:rFonts w:ascii="Century Schoolbook" w:hAnsi="Century Schoolbook" w:cs="Open Sans"/>
          <w:spacing w:val="2"/>
          <w:sz w:val="26"/>
          <w:szCs w:val="26"/>
          <w:shd w:val="clear" w:color="auto" w:fill="FFFFFF"/>
        </w:rPr>
        <w:t>32</w:t>
      </w:r>
      <w:r w:rsidRPr="009B6C15">
        <w:rPr>
          <w:rFonts w:ascii="Century Schoolbook" w:hAnsi="Century Schoolbook" w:cs="Open Sans"/>
          <w:spacing w:val="2"/>
          <w:sz w:val="26"/>
          <w:szCs w:val="26"/>
          <w:shd w:val="clear" w:color="auto" w:fill="FFFFFF"/>
        </w:rPr>
        <w:t>.0</w:t>
      </w:r>
      <w:r>
        <w:rPr>
          <w:rFonts w:ascii="Century Schoolbook" w:hAnsi="Century Schoolbook" w:cs="Open Sans"/>
          <w:spacing w:val="2"/>
          <w:sz w:val="26"/>
          <w:szCs w:val="26"/>
          <w:shd w:val="clear" w:color="auto" w:fill="FFFFFF"/>
        </w:rPr>
        <w:t>2</w:t>
      </w:r>
      <w:r w:rsidRPr="009B6C15">
        <w:rPr>
          <w:rFonts w:ascii="Century Schoolbook" w:hAnsi="Century Schoolbook" w:cs="Open Sans"/>
          <w:spacing w:val="2"/>
          <w:sz w:val="26"/>
          <w:szCs w:val="26"/>
          <w:shd w:val="clear" w:color="auto" w:fill="FFFFFF"/>
        </w:rPr>
        <w:t xml:space="preserve">0.)  </w:t>
      </w:r>
      <w:r w:rsidRPr="00540180">
        <w:rPr>
          <w:rFonts w:ascii="Century Schoolbook" w:hAnsi="Century Schoolbook" w:cs="Open Sans"/>
          <w:spacing w:val="2"/>
          <w:sz w:val="26"/>
          <w:szCs w:val="26"/>
          <w:shd w:val="clear" w:color="auto" w:fill="FFFFFF"/>
        </w:rPr>
        <w:t xml:space="preserve">Arguably, assuming the Planning Department’s administrative decisions on zoning clearance applications such as this one are not published or otherwise widely known to the public, the brief, 10-day window to appeal effectively forecloses facial challenges to zoning determinations by </w:t>
      </w:r>
      <w:r w:rsidRPr="00540180">
        <w:rPr>
          <w:rFonts w:ascii="Century Schoolbook" w:hAnsi="Century Schoolbook" w:cs="Open Sans"/>
          <w:spacing w:val="2"/>
          <w:sz w:val="26"/>
          <w:szCs w:val="26"/>
          <w:shd w:val="clear" w:color="auto" w:fill="FFFFFF"/>
        </w:rPr>
        <w:t>third parties</w:t>
      </w:r>
      <w:r w:rsidRPr="00540180">
        <w:rPr>
          <w:rFonts w:ascii="Century Schoolbook" w:hAnsi="Century Schoolbook" w:cs="Open Sans"/>
          <w:spacing w:val="2"/>
          <w:sz w:val="26"/>
          <w:szCs w:val="26"/>
          <w:shd w:val="clear" w:color="auto" w:fill="FFFFFF"/>
        </w:rPr>
        <w:t xml:space="preserve">.  Although that window remains open for </w:t>
      </w:r>
      <w:r w:rsidRPr="00540180">
        <w:rPr>
          <w:rFonts w:ascii="Century Schoolbook" w:hAnsi="Century Schoolbook" w:cs="Open Sans"/>
          <w:spacing w:val="2"/>
          <w:sz w:val="26"/>
          <w:szCs w:val="26"/>
          <w:shd w:val="clear" w:color="auto" w:fill="FFFFFF"/>
        </w:rPr>
        <w:t>60 days under Government Code section 65009, the 60-day time frame seems meaningless in circumstances where there is no notice of the granting of the clearance.  Since any number of policy considerations concerning the appropriate timing of pre-enforcement challenges to zoning determinations of all kinds may be in play here, it seems equally clear to us that this issue is best addressed legislatively (i.e. by rule, ordinance, or statute) and is beyond our purview in this appeal.</w:t>
      </w:r>
    </w:p>
    <w:p w14:paraId="01AB5ED1" w14:textId="77777777" w:rsidR="00A113D7" w:rsidRPr="00540180" w:rsidRDefault="00A113D7" w:rsidP="0002354B">
      <w:pPr>
        <w:pStyle w:val="FootnoteText"/>
        <w:ind w:firstLine="720"/>
        <w:rPr>
          <w:rFonts w:ascii="Century Schoolbook" w:hAnsi="Century Schoolbook"/>
          <w:sz w:val="10"/>
          <w:szCs w:val="10"/>
        </w:rPr>
      </w:pPr>
    </w:p>
  </w:footnote>
  <w:footnote w:id="7">
    <w:p w14:paraId="26612E1A" w14:textId="77777777" w:rsidR="00A113D7" w:rsidRPr="00540180" w:rsidRDefault="00A113D7" w:rsidP="00831AD5">
      <w:pPr>
        <w:spacing w:line="240" w:lineRule="auto"/>
        <w:ind w:firstLine="720"/>
        <w:textAlignment w:val="baseline"/>
      </w:pPr>
      <w:r w:rsidRPr="00540180">
        <w:rPr>
          <w:rStyle w:val="FootnoteReference"/>
        </w:rPr>
        <w:footnoteRef/>
      </w:r>
      <w:r w:rsidRPr="00540180">
        <w:t xml:space="preserve"> Moreover, “violations” as </w:t>
      </w:r>
      <w:r w:rsidRPr="00540180">
        <w:rPr>
          <w:rFonts w:eastAsia="Times New Roman" w:cs="Times New Roman"/>
          <w:kern w:val="0"/>
          <w14:ligatures w14:val="none"/>
        </w:rPr>
        <w:t xml:space="preserve">used in </w:t>
      </w:r>
      <w:r>
        <w:rPr>
          <w:rFonts w:eastAsia="Times New Roman" w:cs="Times New Roman"/>
          <w:kern w:val="0"/>
          <w14:ligatures w14:val="none"/>
        </w:rPr>
        <w:t>section</w:t>
      </w:r>
      <w:r w:rsidRPr="00540180">
        <w:rPr>
          <w:rFonts w:eastAsia="Times New Roman" w:cs="Times New Roman"/>
          <w:kern w:val="0"/>
          <w14:ligatures w14:val="none"/>
        </w:rPr>
        <w:t> </w:t>
      </w:r>
      <w:r w:rsidRPr="00540180">
        <w:rPr>
          <w:rFonts w:eastAsia="Times New Roman" w:cs="Times New Roman"/>
          <w:kern w:val="0"/>
          <w14:ligatures w14:val="none"/>
        </w:rPr>
        <w:t xml:space="preserve">17.152.080 </w:t>
      </w:r>
      <w:r w:rsidRPr="00540180">
        <w:t xml:space="preserve">is, at most, ambiguous, so we consider other aids of interpretation to discern its meaning.  </w:t>
      </w:r>
      <w:r w:rsidRPr="00540180">
        <w:rPr>
          <w:rFonts w:eastAsia="Times New Roman" w:cs="Times New Roman"/>
          <w:kern w:val="0"/>
          <w14:ligatures w14:val="none"/>
        </w:rPr>
        <w:t>(</w:t>
      </w:r>
      <w:r w:rsidRPr="00540180">
        <w:rPr>
          <w:rFonts w:eastAsia="Times New Roman" w:cs="Times New Roman"/>
          <w:i/>
          <w:iCs/>
          <w:kern w:val="0"/>
          <w:bdr w:val="none" w:sz="0" w:space="0" w:color="auto" w:frame="1"/>
          <w14:ligatures w14:val="none"/>
        </w:rPr>
        <w:t>H.B. v. Superior Court</w:t>
      </w:r>
      <w:r w:rsidRPr="00540180">
        <w:rPr>
          <w:rFonts w:eastAsia="Times New Roman" w:cs="Times New Roman"/>
          <w:i/>
          <w:iCs/>
          <w:kern w:val="0"/>
          <w14:ligatures w14:val="none"/>
        </w:rPr>
        <w:t xml:space="preserve"> </w:t>
      </w:r>
      <w:r w:rsidRPr="00540180">
        <w:rPr>
          <w:rFonts w:eastAsia="Times New Roman" w:cs="Times New Roman"/>
          <w:kern w:val="0"/>
          <w14:ligatures w14:val="none"/>
        </w:rPr>
        <w:t xml:space="preserve">(2023) 97 Cal.App.5th 341, 344.)  We begin by considering the term in the context of associated words.  </w:t>
      </w:r>
      <w:r w:rsidRPr="00540180">
        <w:rPr>
          <w:rFonts w:eastAsia="Times New Roman" w:cs="Times New Roman"/>
          <w:kern w:val="0"/>
          <w:bdr w:val="none" w:sz="0" w:space="0" w:color="auto" w:frame="1"/>
          <w14:ligatures w14:val="none"/>
        </w:rPr>
        <w:t xml:space="preserve">(See </w:t>
      </w:r>
      <w:r w:rsidRPr="00540180">
        <w:rPr>
          <w:rFonts w:eastAsia="Times New Roman" w:cs="Times New Roman"/>
          <w:i/>
          <w:iCs/>
          <w:kern w:val="0"/>
          <w:bdr w:val="none" w:sz="0" w:space="0" w:color="auto" w:frame="1"/>
          <w14:ligatures w14:val="none"/>
        </w:rPr>
        <w:t>290 Division (EAT), LLC v. City and County of San Francisco</w:t>
      </w:r>
      <w:r w:rsidRPr="00540180">
        <w:rPr>
          <w:rFonts w:eastAsia="Times New Roman" w:cs="Times New Roman"/>
          <w:kern w:val="0"/>
          <w14:ligatures w14:val="none"/>
        </w:rPr>
        <w:t xml:space="preserve"> (2022) 86</w:t>
      </w:r>
      <w:r w:rsidRPr="00540180">
        <w:rPr>
          <w:rFonts w:eastAsia="Times New Roman" w:cs="Times New Roman"/>
          <w:kern w:val="0"/>
          <w14:ligatures w14:val="none"/>
        </w:rPr>
        <w:t> </w:t>
      </w:r>
      <w:r w:rsidRPr="00540180">
        <w:rPr>
          <w:rFonts w:eastAsia="Times New Roman" w:cs="Times New Roman"/>
          <w:kern w:val="0"/>
          <w14:ligatures w14:val="none"/>
        </w:rPr>
        <w:t xml:space="preserve">Cal.App.5th 439, 456 [discussing the interpretative canon </w:t>
      </w:r>
      <w:r w:rsidRPr="00540180">
        <w:rPr>
          <w:rFonts w:eastAsia="Times New Roman" w:cs="Times New Roman"/>
          <w:i/>
          <w:iCs/>
          <w:kern w:val="0"/>
          <w14:ligatures w14:val="none"/>
        </w:rPr>
        <w:t>noscitur a sociis</w:t>
      </w:r>
      <w:r w:rsidRPr="00540180">
        <w:rPr>
          <w:rFonts w:eastAsia="Times New Roman" w:cs="Times New Roman"/>
          <w:kern w:val="0"/>
          <w14:ligatures w14:val="none"/>
        </w:rPr>
        <w:t>].)  A</w:t>
      </w:r>
      <w:r w:rsidRPr="00540180">
        <w:t xml:space="preserve"> revocation complaint must be based on substantial evidence of “[1] a </w:t>
      </w:r>
      <w:r w:rsidRPr="00540180">
        <w:rPr>
          <w:rFonts w:cs="Open Sans"/>
          <w:spacing w:val="2"/>
          <w:shd w:val="clear" w:color="auto" w:fill="FFFFFF"/>
        </w:rPr>
        <w:t>violation o</w:t>
      </w:r>
      <w:r w:rsidRPr="00540180">
        <w:rPr>
          <w:rFonts w:cs="Open Sans"/>
          <w:spacing w:val="2"/>
          <w:shd w:val="clear" w:color="auto" w:fill="FFFFFF"/>
        </w:rPr>
        <w:t xml:space="preserve">f the </w:t>
      </w:r>
      <w:r w:rsidRPr="00540180">
        <w:rPr>
          <w:rFonts w:cs="Open Sans"/>
          <w:spacing w:val="2"/>
          <w:shd w:val="clear" w:color="auto" w:fill="FFFFFF"/>
        </w:rPr>
        <w:t>[</w:t>
      </w:r>
      <w:r w:rsidRPr="00540180">
        <w:rPr>
          <w:rFonts w:cs="Open Sans"/>
          <w:spacing w:val="2"/>
        </w:rPr>
        <w:t>z</w:t>
      </w:r>
      <w:r w:rsidRPr="00540180">
        <w:rPr>
          <w:rFonts w:cs="Open Sans"/>
          <w:spacing w:val="2"/>
        </w:rPr>
        <w:t>]</w:t>
      </w:r>
      <w:proofErr w:type="spellStart"/>
      <w:r w:rsidRPr="00540180">
        <w:rPr>
          <w:rFonts w:cs="Open Sans"/>
          <w:spacing w:val="2"/>
        </w:rPr>
        <w:t>oning</w:t>
      </w:r>
      <w:proofErr w:type="spellEnd"/>
      <w:r w:rsidRPr="00540180">
        <w:rPr>
          <w:rFonts w:cs="Open Sans"/>
          <w:spacing w:val="2"/>
          <w:shd w:val="clear" w:color="auto" w:fill="FFFFFF"/>
        </w:rPr>
        <w:t xml:space="preserve"> regulations, [2] [a violation of] any prescribed condition of </w:t>
      </w:r>
      <w:proofErr w:type="gramStart"/>
      <w:r w:rsidRPr="00540180">
        <w:rPr>
          <w:rFonts w:cs="Open Sans"/>
          <w:spacing w:val="2"/>
          <w:shd w:val="clear" w:color="auto" w:fill="FFFFFF"/>
        </w:rPr>
        <w:t>approval</w:t>
      </w:r>
      <w:r w:rsidRPr="00540180">
        <w:rPr>
          <w:rFonts w:cs="Open Sans"/>
          <w:spacing w:val="2"/>
          <w:shd w:val="clear" w:color="auto" w:fill="FFFFFF"/>
        </w:rPr>
        <w:t>[</w:t>
      </w:r>
      <w:proofErr w:type="gramEnd"/>
      <w:r w:rsidRPr="00540180">
        <w:rPr>
          <w:rFonts w:cs="Open Sans"/>
          <w:spacing w:val="2"/>
          <w:shd w:val="clear" w:color="auto" w:fill="FFFFFF"/>
        </w:rPr>
        <w:t>,]</w:t>
      </w:r>
      <w:r w:rsidRPr="00540180">
        <w:rPr>
          <w:rFonts w:cs="Open Sans"/>
          <w:spacing w:val="2"/>
          <w:shd w:val="clear" w:color="auto" w:fill="FFFFFF"/>
        </w:rPr>
        <w:t xml:space="preserve"> or [3] public nuisance [that] exists on . . . any property that is the subject of a zoning permit.”  </w:t>
      </w:r>
      <w:r w:rsidRPr="00540180">
        <w:t>(§ 17.152.080.)  The latter two clauses only proscribe certain behavior by property owners.  This lends credence to the City’s argument that the first clause</w:t>
      </w:r>
      <w:r w:rsidRPr="00540180">
        <w:t> </w:t>
      </w:r>
      <w:r w:rsidRPr="00540180">
        <w:t>—</w:t>
      </w:r>
      <w:r w:rsidRPr="00540180">
        <w:t> </w:t>
      </w:r>
      <w:r w:rsidRPr="00540180">
        <w:t>violations of zoning regulations</w:t>
      </w:r>
      <w:r w:rsidRPr="00540180">
        <w:t> </w:t>
      </w:r>
      <w:r w:rsidRPr="00540180">
        <w:t>—</w:t>
      </w:r>
      <w:r w:rsidRPr="00540180">
        <w:t> </w:t>
      </w:r>
      <w:r w:rsidRPr="00540180">
        <w:t xml:space="preserve">likewise only extends to actions of property owners.  </w:t>
      </w:r>
    </w:p>
    <w:p w14:paraId="79325B6F" w14:textId="77777777" w:rsidR="00A113D7" w:rsidRPr="00540180" w:rsidRDefault="00A113D7" w:rsidP="007F4326">
      <w:pPr>
        <w:spacing w:line="240" w:lineRule="auto"/>
        <w:ind w:firstLine="720"/>
        <w:textAlignment w:val="baseline"/>
      </w:pPr>
      <w:r w:rsidRPr="00540180">
        <w:rPr>
          <w:rFonts w:eastAsia="Times New Roman" w:cs="Times New Roman"/>
          <w:kern w:val="0"/>
          <w14:ligatures w14:val="none"/>
        </w:rPr>
        <w:t>We further “examine that language in the context of the entire statutory framework to discern its scope and purpose.”  (</w:t>
      </w:r>
      <w:proofErr w:type="spellStart"/>
      <w:r w:rsidRPr="00540180">
        <w:rPr>
          <w:rFonts w:eastAsia="Times New Roman" w:cs="Times New Roman"/>
          <w:i/>
          <w:iCs/>
          <w:kern w:val="0"/>
          <w:bdr w:val="none" w:sz="0" w:space="0" w:color="auto" w:frame="1"/>
          <w14:ligatures w14:val="none"/>
        </w:rPr>
        <w:t>Kaanaana</w:t>
      </w:r>
      <w:proofErr w:type="spellEnd"/>
      <w:r w:rsidRPr="00540180">
        <w:rPr>
          <w:rFonts w:eastAsia="Times New Roman" w:cs="Times New Roman"/>
          <w:i/>
          <w:iCs/>
          <w:kern w:val="0"/>
          <w:bdr w:val="none" w:sz="0" w:space="0" w:color="auto" w:frame="1"/>
          <w14:ligatures w14:val="none"/>
        </w:rPr>
        <w:t xml:space="preserve"> v. Barrett Business Services, Inc.</w:t>
      </w:r>
      <w:r w:rsidRPr="00540180">
        <w:rPr>
          <w:rFonts w:eastAsia="Times New Roman" w:cs="Times New Roman"/>
          <w:kern w:val="0"/>
          <w14:ligatures w14:val="none"/>
        </w:rPr>
        <w:t xml:space="preserve"> (2021) 11 Cal.5th 158, 168–169.)  The Enforcement Regulations empower officials to “arrest violators” of the zoning regulations and grant officials right of entry to inspect suspected violations.  (§§ </w:t>
      </w:r>
      <w:r w:rsidRPr="00540180">
        <w:rPr>
          <w:rFonts w:eastAsia="Times New Roman" w:cs="Times New Roman"/>
          <w:kern w:val="0"/>
          <w14:ligatures w14:val="none"/>
        </w:rPr>
        <w:t>17.152.040</w:t>
      </w:r>
      <w:r w:rsidRPr="00540180">
        <w:rPr>
          <w:rFonts w:eastAsia="Times New Roman" w:cs="Times New Roman"/>
          <w:kern w:val="0"/>
          <w14:ligatures w14:val="none"/>
        </w:rPr>
        <w:t>–</w:t>
      </w:r>
      <w:r w:rsidRPr="00540180">
        <w:rPr>
          <w:rFonts w:eastAsia="Times New Roman" w:cs="Times New Roman"/>
          <w:kern w:val="0"/>
          <w14:ligatures w14:val="none"/>
        </w:rPr>
        <w:t>17.152.050.)  Such investigatory and enforcement powers make sense to address acts by property owners who violate zoning rules or create a nuisance, but they are incongruous with correcting the Planning Department’s determinations of use classifications</w:t>
      </w:r>
      <w:r w:rsidRPr="00540180">
        <w:rPr>
          <w:rFonts w:eastAsia="Times New Roman" w:cs="Times New Roman"/>
          <w:kern w:val="0"/>
          <w14:ligatures w14:val="none"/>
        </w:rPr>
        <w:t>.</w:t>
      </w:r>
    </w:p>
  </w:footnote>
  <w:footnote w:id="8">
    <w:p w14:paraId="1BEAA6D0" w14:textId="77777777" w:rsidR="00A113D7" w:rsidRPr="00837F5D" w:rsidRDefault="00A113D7" w:rsidP="00947372">
      <w:pPr>
        <w:pStyle w:val="FootnoteText"/>
        <w:ind w:firstLine="720"/>
        <w:rPr>
          <w:rFonts w:ascii="Century Schoolbook" w:hAnsi="Century Schoolbook"/>
          <w:sz w:val="26"/>
          <w:szCs w:val="26"/>
        </w:rPr>
      </w:pPr>
      <w:r w:rsidRPr="00540180">
        <w:rPr>
          <w:rStyle w:val="FootnoteReference"/>
          <w:rFonts w:ascii="Century Schoolbook" w:eastAsia="Symbol" w:hAnsi="Century Schoolbook" w:cs="Symbol"/>
          <w:sz w:val="26"/>
          <w:szCs w:val="26"/>
        </w:rPr>
        <w:t>*</w:t>
      </w:r>
      <w:r w:rsidRPr="00540180">
        <w:rPr>
          <w:rStyle w:val="FootnoteReference"/>
          <w:rFonts w:ascii="Century Schoolbook" w:eastAsiaTheme="majorEastAsia" w:hAnsi="Century Schoolbook"/>
          <w:sz w:val="26"/>
          <w:szCs w:val="26"/>
        </w:rPr>
        <w:t xml:space="preserve"> </w:t>
      </w:r>
      <w:r w:rsidRPr="00540180">
        <w:rPr>
          <w:rFonts w:ascii="Century Schoolbook" w:hAnsi="Century Schoolbook"/>
          <w:sz w:val="26"/>
          <w:szCs w:val="26"/>
        </w:rPr>
        <w:t>Judge of the Superior Court of California, City and County of San Francisco,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94B6F"/>
    <w:multiLevelType w:val="hybridMultilevel"/>
    <w:tmpl w:val="6BE222F8"/>
    <w:lvl w:ilvl="0" w:tplc="CBB2FE7C">
      <w:start w:val="1"/>
      <w:numFmt w:val="upperLetter"/>
      <w:lvlText w:val="%1."/>
      <w:lvlJc w:val="left"/>
      <w:pPr>
        <w:ind w:left="720" w:hanging="360"/>
      </w:pPr>
      <w:rPr>
        <w:rFonts w:hint="default"/>
        <w:b/>
      </w:rPr>
    </w:lvl>
    <w:lvl w:ilvl="1" w:tplc="73A85CB8" w:tentative="1">
      <w:start w:val="1"/>
      <w:numFmt w:val="lowerLetter"/>
      <w:lvlText w:val="%2."/>
      <w:lvlJc w:val="left"/>
      <w:pPr>
        <w:ind w:left="1440" w:hanging="360"/>
      </w:pPr>
    </w:lvl>
    <w:lvl w:ilvl="2" w:tplc="7A00E734" w:tentative="1">
      <w:start w:val="1"/>
      <w:numFmt w:val="lowerRoman"/>
      <w:lvlText w:val="%3."/>
      <w:lvlJc w:val="right"/>
      <w:pPr>
        <w:ind w:left="2160" w:hanging="180"/>
      </w:pPr>
    </w:lvl>
    <w:lvl w:ilvl="3" w:tplc="3AB0F8B4" w:tentative="1">
      <w:start w:val="1"/>
      <w:numFmt w:val="decimal"/>
      <w:lvlText w:val="%4."/>
      <w:lvlJc w:val="left"/>
      <w:pPr>
        <w:ind w:left="2880" w:hanging="360"/>
      </w:pPr>
    </w:lvl>
    <w:lvl w:ilvl="4" w:tplc="A544AC52" w:tentative="1">
      <w:start w:val="1"/>
      <w:numFmt w:val="lowerLetter"/>
      <w:lvlText w:val="%5."/>
      <w:lvlJc w:val="left"/>
      <w:pPr>
        <w:ind w:left="3600" w:hanging="360"/>
      </w:pPr>
    </w:lvl>
    <w:lvl w:ilvl="5" w:tplc="32C6370E" w:tentative="1">
      <w:start w:val="1"/>
      <w:numFmt w:val="lowerRoman"/>
      <w:lvlText w:val="%6."/>
      <w:lvlJc w:val="right"/>
      <w:pPr>
        <w:ind w:left="4320" w:hanging="180"/>
      </w:pPr>
    </w:lvl>
    <w:lvl w:ilvl="6" w:tplc="A2A06F46" w:tentative="1">
      <w:start w:val="1"/>
      <w:numFmt w:val="decimal"/>
      <w:lvlText w:val="%7."/>
      <w:lvlJc w:val="left"/>
      <w:pPr>
        <w:ind w:left="5040" w:hanging="360"/>
      </w:pPr>
    </w:lvl>
    <w:lvl w:ilvl="7" w:tplc="28E2B47E" w:tentative="1">
      <w:start w:val="1"/>
      <w:numFmt w:val="lowerLetter"/>
      <w:lvlText w:val="%8."/>
      <w:lvlJc w:val="left"/>
      <w:pPr>
        <w:ind w:left="5760" w:hanging="360"/>
      </w:pPr>
    </w:lvl>
    <w:lvl w:ilvl="8" w:tplc="C7D248CA" w:tentative="1">
      <w:start w:val="1"/>
      <w:numFmt w:val="lowerRoman"/>
      <w:lvlText w:val="%9."/>
      <w:lvlJc w:val="right"/>
      <w:pPr>
        <w:ind w:left="6480" w:hanging="180"/>
      </w:pPr>
    </w:lvl>
  </w:abstractNum>
  <w:abstractNum w:abstractNumId="1" w15:restartNumberingAfterBreak="0">
    <w:nsid w:val="13DD31A1"/>
    <w:multiLevelType w:val="hybridMultilevel"/>
    <w:tmpl w:val="0BAE601C"/>
    <w:lvl w:ilvl="0" w:tplc="1BE48002">
      <w:start w:val="1"/>
      <w:numFmt w:val="decimal"/>
      <w:lvlText w:val="%1."/>
      <w:lvlJc w:val="left"/>
      <w:pPr>
        <w:ind w:left="1080" w:hanging="360"/>
      </w:pPr>
      <w:rPr>
        <w:rFonts w:hint="default"/>
        <w:b/>
        <w:bCs/>
        <w:i w:val="0"/>
        <w:iCs w:val="0"/>
      </w:rPr>
    </w:lvl>
    <w:lvl w:ilvl="1" w:tplc="49689006">
      <w:start w:val="1"/>
      <w:numFmt w:val="lowerLetter"/>
      <w:lvlText w:val="%2."/>
      <w:lvlJc w:val="left"/>
      <w:pPr>
        <w:ind w:left="1800" w:hanging="360"/>
      </w:pPr>
    </w:lvl>
    <w:lvl w:ilvl="2" w:tplc="D9A66AA0" w:tentative="1">
      <w:start w:val="1"/>
      <w:numFmt w:val="lowerRoman"/>
      <w:lvlText w:val="%3."/>
      <w:lvlJc w:val="right"/>
      <w:pPr>
        <w:ind w:left="2520" w:hanging="180"/>
      </w:pPr>
    </w:lvl>
    <w:lvl w:ilvl="3" w:tplc="0BCCD9A8" w:tentative="1">
      <w:start w:val="1"/>
      <w:numFmt w:val="decimal"/>
      <w:lvlText w:val="%4."/>
      <w:lvlJc w:val="left"/>
      <w:pPr>
        <w:ind w:left="3240" w:hanging="360"/>
      </w:pPr>
    </w:lvl>
    <w:lvl w:ilvl="4" w:tplc="7E10A256" w:tentative="1">
      <w:start w:val="1"/>
      <w:numFmt w:val="lowerLetter"/>
      <w:lvlText w:val="%5."/>
      <w:lvlJc w:val="left"/>
      <w:pPr>
        <w:ind w:left="3960" w:hanging="360"/>
      </w:pPr>
    </w:lvl>
    <w:lvl w:ilvl="5" w:tplc="2F2CF128" w:tentative="1">
      <w:start w:val="1"/>
      <w:numFmt w:val="lowerRoman"/>
      <w:lvlText w:val="%6."/>
      <w:lvlJc w:val="right"/>
      <w:pPr>
        <w:ind w:left="4680" w:hanging="180"/>
      </w:pPr>
    </w:lvl>
    <w:lvl w:ilvl="6" w:tplc="445E2A68" w:tentative="1">
      <w:start w:val="1"/>
      <w:numFmt w:val="decimal"/>
      <w:lvlText w:val="%7."/>
      <w:lvlJc w:val="left"/>
      <w:pPr>
        <w:ind w:left="5400" w:hanging="360"/>
      </w:pPr>
    </w:lvl>
    <w:lvl w:ilvl="7" w:tplc="462ECBFC" w:tentative="1">
      <w:start w:val="1"/>
      <w:numFmt w:val="lowerLetter"/>
      <w:lvlText w:val="%8."/>
      <w:lvlJc w:val="left"/>
      <w:pPr>
        <w:ind w:left="6120" w:hanging="360"/>
      </w:pPr>
    </w:lvl>
    <w:lvl w:ilvl="8" w:tplc="150EFDB6" w:tentative="1">
      <w:start w:val="1"/>
      <w:numFmt w:val="lowerRoman"/>
      <w:lvlText w:val="%9."/>
      <w:lvlJc w:val="right"/>
      <w:pPr>
        <w:ind w:left="6840" w:hanging="180"/>
      </w:pPr>
    </w:lvl>
  </w:abstractNum>
  <w:abstractNum w:abstractNumId="2" w15:restartNumberingAfterBreak="0">
    <w:nsid w:val="1E276C69"/>
    <w:multiLevelType w:val="hybridMultilevel"/>
    <w:tmpl w:val="C19E8508"/>
    <w:lvl w:ilvl="0" w:tplc="00AAE432">
      <w:start w:val="1"/>
      <w:numFmt w:val="decimal"/>
      <w:lvlText w:val="%1."/>
      <w:lvlJc w:val="left"/>
      <w:pPr>
        <w:ind w:left="1080" w:hanging="360"/>
      </w:pPr>
      <w:rPr>
        <w:rFonts w:hint="default"/>
      </w:rPr>
    </w:lvl>
    <w:lvl w:ilvl="1" w:tplc="CD329FEC" w:tentative="1">
      <w:start w:val="1"/>
      <w:numFmt w:val="lowerLetter"/>
      <w:lvlText w:val="%2."/>
      <w:lvlJc w:val="left"/>
      <w:pPr>
        <w:ind w:left="1800" w:hanging="360"/>
      </w:pPr>
    </w:lvl>
    <w:lvl w:ilvl="2" w:tplc="876CD506" w:tentative="1">
      <w:start w:val="1"/>
      <w:numFmt w:val="lowerRoman"/>
      <w:lvlText w:val="%3."/>
      <w:lvlJc w:val="right"/>
      <w:pPr>
        <w:ind w:left="2520" w:hanging="180"/>
      </w:pPr>
    </w:lvl>
    <w:lvl w:ilvl="3" w:tplc="F0F47406" w:tentative="1">
      <w:start w:val="1"/>
      <w:numFmt w:val="decimal"/>
      <w:lvlText w:val="%4."/>
      <w:lvlJc w:val="left"/>
      <w:pPr>
        <w:ind w:left="3240" w:hanging="360"/>
      </w:pPr>
    </w:lvl>
    <w:lvl w:ilvl="4" w:tplc="6D00F900" w:tentative="1">
      <w:start w:val="1"/>
      <w:numFmt w:val="lowerLetter"/>
      <w:lvlText w:val="%5."/>
      <w:lvlJc w:val="left"/>
      <w:pPr>
        <w:ind w:left="3960" w:hanging="360"/>
      </w:pPr>
    </w:lvl>
    <w:lvl w:ilvl="5" w:tplc="23C80CE6" w:tentative="1">
      <w:start w:val="1"/>
      <w:numFmt w:val="lowerRoman"/>
      <w:lvlText w:val="%6."/>
      <w:lvlJc w:val="right"/>
      <w:pPr>
        <w:ind w:left="4680" w:hanging="180"/>
      </w:pPr>
    </w:lvl>
    <w:lvl w:ilvl="6" w:tplc="328C6ACC" w:tentative="1">
      <w:start w:val="1"/>
      <w:numFmt w:val="decimal"/>
      <w:lvlText w:val="%7."/>
      <w:lvlJc w:val="left"/>
      <w:pPr>
        <w:ind w:left="5400" w:hanging="360"/>
      </w:pPr>
    </w:lvl>
    <w:lvl w:ilvl="7" w:tplc="8570AAEC" w:tentative="1">
      <w:start w:val="1"/>
      <w:numFmt w:val="lowerLetter"/>
      <w:lvlText w:val="%8."/>
      <w:lvlJc w:val="left"/>
      <w:pPr>
        <w:ind w:left="6120" w:hanging="360"/>
      </w:pPr>
    </w:lvl>
    <w:lvl w:ilvl="8" w:tplc="9C32D6C2" w:tentative="1">
      <w:start w:val="1"/>
      <w:numFmt w:val="lowerRoman"/>
      <w:lvlText w:val="%9."/>
      <w:lvlJc w:val="right"/>
      <w:pPr>
        <w:ind w:left="6840" w:hanging="180"/>
      </w:pPr>
    </w:lvl>
  </w:abstractNum>
  <w:abstractNum w:abstractNumId="3" w15:restartNumberingAfterBreak="0">
    <w:nsid w:val="30C36747"/>
    <w:multiLevelType w:val="hybridMultilevel"/>
    <w:tmpl w:val="AB5A489C"/>
    <w:lvl w:ilvl="0" w:tplc="04DE2DB6">
      <w:start w:val="1"/>
      <w:numFmt w:val="upperLetter"/>
      <w:lvlText w:val="%1."/>
      <w:lvlJc w:val="left"/>
      <w:pPr>
        <w:ind w:left="720" w:hanging="360"/>
      </w:pPr>
      <w:rPr>
        <w:rFonts w:hint="default"/>
        <w:b/>
      </w:rPr>
    </w:lvl>
    <w:lvl w:ilvl="1" w:tplc="EEA49F2A" w:tentative="1">
      <w:start w:val="1"/>
      <w:numFmt w:val="lowerLetter"/>
      <w:lvlText w:val="%2."/>
      <w:lvlJc w:val="left"/>
      <w:pPr>
        <w:ind w:left="1440" w:hanging="360"/>
      </w:pPr>
    </w:lvl>
    <w:lvl w:ilvl="2" w:tplc="810AB9B4" w:tentative="1">
      <w:start w:val="1"/>
      <w:numFmt w:val="lowerRoman"/>
      <w:lvlText w:val="%3."/>
      <w:lvlJc w:val="right"/>
      <w:pPr>
        <w:ind w:left="2160" w:hanging="180"/>
      </w:pPr>
    </w:lvl>
    <w:lvl w:ilvl="3" w:tplc="D23CCAF4" w:tentative="1">
      <w:start w:val="1"/>
      <w:numFmt w:val="decimal"/>
      <w:lvlText w:val="%4."/>
      <w:lvlJc w:val="left"/>
      <w:pPr>
        <w:ind w:left="2880" w:hanging="360"/>
      </w:pPr>
    </w:lvl>
    <w:lvl w:ilvl="4" w:tplc="7B12EF66" w:tentative="1">
      <w:start w:val="1"/>
      <w:numFmt w:val="lowerLetter"/>
      <w:lvlText w:val="%5."/>
      <w:lvlJc w:val="left"/>
      <w:pPr>
        <w:ind w:left="3600" w:hanging="360"/>
      </w:pPr>
    </w:lvl>
    <w:lvl w:ilvl="5" w:tplc="A68A90EA" w:tentative="1">
      <w:start w:val="1"/>
      <w:numFmt w:val="lowerRoman"/>
      <w:lvlText w:val="%6."/>
      <w:lvlJc w:val="right"/>
      <w:pPr>
        <w:ind w:left="4320" w:hanging="180"/>
      </w:pPr>
    </w:lvl>
    <w:lvl w:ilvl="6" w:tplc="D13ECB0C" w:tentative="1">
      <w:start w:val="1"/>
      <w:numFmt w:val="decimal"/>
      <w:lvlText w:val="%7."/>
      <w:lvlJc w:val="left"/>
      <w:pPr>
        <w:ind w:left="5040" w:hanging="360"/>
      </w:pPr>
    </w:lvl>
    <w:lvl w:ilvl="7" w:tplc="21BEF872" w:tentative="1">
      <w:start w:val="1"/>
      <w:numFmt w:val="lowerLetter"/>
      <w:lvlText w:val="%8."/>
      <w:lvlJc w:val="left"/>
      <w:pPr>
        <w:ind w:left="5760" w:hanging="360"/>
      </w:pPr>
    </w:lvl>
    <w:lvl w:ilvl="8" w:tplc="CB6EF960" w:tentative="1">
      <w:start w:val="1"/>
      <w:numFmt w:val="lowerRoman"/>
      <w:lvlText w:val="%9."/>
      <w:lvlJc w:val="right"/>
      <w:pPr>
        <w:ind w:left="6480" w:hanging="180"/>
      </w:pPr>
    </w:lvl>
  </w:abstractNum>
  <w:abstractNum w:abstractNumId="4" w15:restartNumberingAfterBreak="0">
    <w:nsid w:val="3AEA5C9F"/>
    <w:multiLevelType w:val="hybridMultilevel"/>
    <w:tmpl w:val="35BE442C"/>
    <w:lvl w:ilvl="0" w:tplc="1206F3A2">
      <w:start w:val="1"/>
      <w:numFmt w:val="upperLetter"/>
      <w:lvlText w:val="%1."/>
      <w:lvlJc w:val="left"/>
      <w:pPr>
        <w:ind w:left="720" w:hanging="360"/>
      </w:pPr>
      <w:rPr>
        <w:rFonts w:hint="default"/>
        <w:b/>
      </w:rPr>
    </w:lvl>
    <w:lvl w:ilvl="1" w:tplc="2A52F9EA" w:tentative="1">
      <w:start w:val="1"/>
      <w:numFmt w:val="lowerLetter"/>
      <w:lvlText w:val="%2."/>
      <w:lvlJc w:val="left"/>
      <w:pPr>
        <w:ind w:left="1440" w:hanging="360"/>
      </w:pPr>
    </w:lvl>
    <w:lvl w:ilvl="2" w:tplc="433EFAF2" w:tentative="1">
      <w:start w:val="1"/>
      <w:numFmt w:val="lowerRoman"/>
      <w:lvlText w:val="%3."/>
      <w:lvlJc w:val="right"/>
      <w:pPr>
        <w:ind w:left="2160" w:hanging="180"/>
      </w:pPr>
    </w:lvl>
    <w:lvl w:ilvl="3" w:tplc="DDFCBDB8" w:tentative="1">
      <w:start w:val="1"/>
      <w:numFmt w:val="decimal"/>
      <w:lvlText w:val="%4."/>
      <w:lvlJc w:val="left"/>
      <w:pPr>
        <w:ind w:left="2880" w:hanging="360"/>
      </w:pPr>
    </w:lvl>
    <w:lvl w:ilvl="4" w:tplc="E2F8EAAE" w:tentative="1">
      <w:start w:val="1"/>
      <w:numFmt w:val="lowerLetter"/>
      <w:lvlText w:val="%5."/>
      <w:lvlJc w:val="left"/>
      <w:pPr>
        <w:ind w:left="3600" w:hanging="360"/>
      </w:pPr>
    </w:lvl>
    <w:lvl w:ilvl="5" w:tplc="C6AE8A5E" w:tentative="1">
      <w:start w:val="1"/>
      <w:numFmt w:val="lowerRoman"/>
      <w:lvlText w:val="%6."/>
      <w:lvlJc w:val="right"/>
      <w:pPr>
        <w:ind w:left="4320" w:hanging="180"/>
      </w:pPr>
    </w:lvl>
    <w:lvl w:ilvl="6" w:tplc="98A6A302" w:tentative="1">
      <w:start w:val="1"/>
      <w:numFmt w:val="decimal"/>
      <w:lvlText w:val="%7."/>
      <w:lvlJc w:val="left"/>
      <w:pPr>
        <w:ind w:left="5040" w:hanging="360"/>
      </w:pPr>
    </w:lvl>
    <w:lvl w:ilvl="7" w:tplc="FBA6BE86" w:tentative="1">
      <w:start w:val="1"/>
      <w:numFmt w:val="lowerLetter"/>
      <w:lvlText w:val="%8."/>
      <w:lvlJc w:val="left"/>
      <w:pPr>
        <w:ind w:left="5760" w:hanging="360"/>
      </w:pPr>
    </w:lvl>
    <w:lvl w:ilvl="8" w:tplc="B0E01EBC" w:tentative="1">
      <w:start w:val="1"/>
      <w:numFmt w:val="lowerRoman"/>
      <w:lvlText w:val="%9."/>
      <w:lvlJc w:val="right"/>
      <w:pPr>
        <w:ind w:left="6480" w:hanging="180"/>
      </w:pPr>
    </w:lvl>
  </w:abstractNum>
  <w:abstractNum w:abstractNumId="5" w15:restartNumberingAfterBreak="0">
    <w:nsid w:val="46E6190D"/>
    <w:multiLevelType w:val="hybridMultilevel"/>
    <w:tmpl w:val="8162F1BA"/>
    <w:lvl w:ilvl="0" w:tplc="AAECAEA4">
      <w:start w:val="1"/>
      <w:numFmt w:val="bullet"/>
      <w:lvlText w:val=""/>
      <w:lvlJc w:val="left"/>
      <w:pPr>
        <w:ind w:left="720" w:hanging="360"/>
      </w:pPr>
      <w:rPr>
        <w:rFonts w:ascii="Symbol" w:hAnsi="Symbol" w:hint="default"/>
      </w:rPr>
    </w:lvl>
    <w:lvl w:ilvl="1" w:tplc="7D20D648">
      <w:start w:val="1"/>
      <w:numFmt w:val="bullet"/>
      <w:lvlText w:val="o"/>
      <w:lvlJc w:val="left"/>
      <w:pPr>
        <w:ind w:left="1440" w:hanging="360"/>
      </w:pPr>
      <w:rPr>
        <w:rFonts w:ascii="Courier New" w:hAnsi="Courier New" w:cs="Courier New" w:hint="default"/>
      </w:rPr>
    </w:lvl>
    <w:lvl w:ilvl="2" w:tplc="3236C2A8">
      <w:start w:val="1"/>
      <w:numFmt w:val="bullet"/>
      <w:lvlText w:val=""/>
      <w:lvlJc w:val="left"/>
      <w:pPr>
        <w:ind w:left="2160" w:hanging="360"/>
      </w:pPr>
      <w:rPr>
        <w:rFonts w:ascii="Wingdings" w:hAnsi="Wingdings" w:hint="default"/>
      </w:rPr>
    </w:lvl>
    <w:lvl w:ilvl="3" w:tplc="2FF4004E" w:tentative="1">
      <w:start w:val="1"/>
      <w:numFmt w:val="bullet"/>
      <w:lvlText w:val=""/>
      <w:lvlJc w:val="left"/>
      <w:pPr>
        <w:ind w:left="2880" w:hanging="360"/>
      </w:pPr>
      <w:rPr>
        <w:rFonts w:ascii="Symbol" w:hAnsi="Symbol" w:hint="default"/>
      </w:rPr>
    </w:lvl>
    <w:lvl w:ilvl="4" w:tplc="1402DFBE" w:tentative="1">
      <w:start w:val="1"/>
      <w:numFmt w:val="bullet"/>
      <w:lvlText w:val="o"/>
      <w:lvlJc w:val="left"/>
      <w:pPr>
        <w:ind w:left="3600" w:hanging="360"/>
      </w:pPr>
      <w:rPr>
        <w:rFonts w:ascii="Courier New" w:hAnsi="Courier New" w:cs="Courier New" w:hint="default"/>
      </w:rPr>
    </w:lvl>
    <w:lvl w:ilvl="5" w:tplc="0DEEB89C" w:tentative="1">
      <w:start w:val="1"/>
      <w:numFmt w:val="bullet"/>
      <w:lvlText w:val=""/>
      <w:lvlJc w:val="left"/>
      <w:pPr>
        <w:ind w:left="4320" w:hanging="360"/>
      </w:pPr>
      <w:rPr>
        <w:rFonts w:ascii="Wingdings" w:hAnsi="Wingdings" w:hint="default"/>
      </w:rPr>
    </w:lvl>
    <w:lvl w:ilvl="6" w:tplc="BC382126" w:tentative="1">
      <w:start w:val="1"/>
      <w:numFmt w:val="bullet"/>
      <w:lvlText w:val=""/>
      <w:lvlJc w:val="left"/>
      <w:pPr>
        <w:ind w:left="5040" w:hanging="360"/>
      </w:pPr>
      <w:rPr>
        <w:rFonts w:ascii="Symbol" w:hAnsi="Symbol" w:hint="default"/>
      </w:rPr>
    </w:lvl>
    <w:lvl w:ilvl="7" w:tplc="3B44EC26" w:tentative="1">
      <w:start w:val="1"/>
      <w:numFmt w:val="bullet"/>
      <w:lvlText w:val="o"/>
      <w:lvlJc w:val="left"/>
      <w:pPr>
        <w:ind w:left="5760" w:hanging="360"/>
      </w:pPr>
      <w:rPr>
        <w:rFonts w:ascii="Courier New" w:hAnsi="Courier New" w:cs="Courier New" w:hint="default"/>
      </w:rPr>
    </w:lvl>
    <w:lvl w:ilvl="8" w:tplc="0A2A471A" w:tentative="1">
      <w:start w:val="1"/>
      <w:numFmt w:val="bullet"/>
      <w:lvlText w:val=""/>
      <w:lvlJc w:val="left"/>
      <w:pPr>
        <w:ind w:left="6480" w:hanging="360"/>
      </w:pPr>
      <w:rPr>
        <w:rFonts w:ascii="Wingdings" w:hAnsi="Wingdings" w:hint="default"/>
      </w:rPr>
    </w:lvl>
  </w:abstractNum>
  <w:abstractNum w:abstractNumId="6" w15:restartNumberingAfterBreak="0">
    <w:nsid w:val="61106883"/>
    <w:multiLevelType w:val="hybridMultilevel"/>
    <w:tmpl w:val="68C0F088"/>
    <w:lvl w:ilvl="0" w:tplc="DEAAAE82">
      <w:start w:val="1"/>
      <w:numFmt w:val="upperLetter"/>
      <w:lvlText w:val="%1."/>
      <w:lvlJc w:val="left"/>
      <w:pPr>
        <w:ind w:left="720" w:hanging="360"/>
      </w:pPr>
      <w:rPr>
        <w:rFonts w:hint="default"/>
        <w:b/>
      </w:rPr>
    </w:lvl>
    <w:lvl w:ilvl="1" w:tplc="320C746E" w:tentative="1">
      <w:start w:val="1"/>
      <w:numFmt w:val="lowerLetter"/>
      <w:lvlText w:val="%2."/>
      <w:lvlJc w:val="left"/>
      <w:pPr>
        <w:ind w:left="1440" w:hanging="360"/>
      </w:pPr>
    </w:lvl>
    <w:lvl w:ilvl="2" w:tplc="0226BED8" w:tentative="1">
      <w:start w:val="1"/>
      <w:numFmt w:val="lowerRoman"/>
      <w:lvlText w:val="%3."/>
      <w:lvlJc w:val="right"/>
      <w:pPr>
        <w:ind w:left="2160" w:hanging="180"/>
      </w:pPr>
    </w:lvl>
    <w:lvl w:ilvl="3" w:tplc="E12AA318" w:tentative="1">
      <w:start w:val="1"/>
      <w:numFmt w:val="decimal"/>
      <w:lvlText w:val="%4."/>
      <w:lvlJc w:val="left"/>
      <w:pPr>
        <w:ind w:left="2880" w:hanging="360"/>
      </w:pPr>
    </w:lvl>
    <w:lvl w:ilvl="4" w:tplc="4306D360" w:tentative="1">
      <w:start w:val="1"/>
      <w:numFmt w:val="lowerLetter"/>
      <w:lvlText w:val="%5."/>
      <w:lvlJc w:val="left"/>
      <w:pPr>
        <w:ind w:left="3600" w:hanging="360"/>
      </w:pPr>
    </w:lvl>
    <w:lvl w:ilvl="5" w:tplc="B3568BC4" w:tentative="1">
      <w:start w:val="1"/>
      <w:numFmt w:val="lowerRoman"/>
      <w:lvlText w:val="%6."/>
      <w:lvlJc w:val="right"/>
      <w:pPr>
        <w:ind w:left="4320" w:hanging="180"/>
      </w:pPr>
    </w:lvl>
    <w:lvl w:ilvl="6" w:tplc="7FAA03BC" w:tentative="1">
      <w:start w:val="1"/>
      <w:numFmt w:val="decimal"/>
      <w:lvlText w:val="%7."/>
      <w:lvlJc w:val="left"/>
      <w:pPr>
        <w:ind w:left="5040" w:hanging="360"/>
      </w:pPr>
    </w:lvl>
    <w:lvl w:ilvl="7" w:tplc="BD5852C8" w:tentative="1">
      <w:start w:val="1"/>
      <w:numFmt w:val="lowerLetter"/>
      <w:lvlText w:val="%8."/>
      <w:lvlJc w:val="left"/>
      <w:pPr>
        <w:ind w:left="5760" w:hanging="360"/>
      </w:pPr>
    </w:lvl>
    <w:lvl w:ilvl="8" w:tplc="3A9CC710" w:tentative="1">
      <w:start w:val="1"/>
      <w:numFmt w:val="lowerRoman"/>
      <w:lvlText w:val="%9."/>
      <w:lvlJc w:val="right"/>
      <w:pPr>
        <w:ind w:left="6480" w:hanging="180"/>
      </w:pPr>
    </w:lvl>
  </w:abstractNum>
  <w:num w:numId="1" w16cid:durableId="278998365">
    <w:abstractNumId w:val="5"/>
  </w:num>
  <w:num w:numId="2" w16cid:durableId="1071344239">
    <w:abstractNumId w:val="1"/>
  </w:num>
  <w:num w:numId="3" w16cid:durableId="1746024043">
    <w:abstractNumId w:val="0"/>
  </w:num>
  <w:num w:numId="4" w16cid:durableId="808131147">
    <w:abstractNumId w:val="6"/>
  </w:num>
  <w:num w:numId="5" w16cid:durableId="1228691076">
    <w:abstractNumId w:val="2"/>
  </w:num>
  <w:num w:numId="6" w16cid:durableId="1481387378">
    <w:abstractNumId w:val="3"/>
  </w:num>
  <w:num w:numId="7" w16cid:durableId="549223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removePersonalInformation/>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47"/>
    <w:rsid w:val="004F4885"/>
    <w:rsid w:val="005F2061"/>
    <w:rsid w:val="00620847"/>
    <w:rsid w:val="00A113D7"/>
    <w:rsid w:val="00E144C6"/>
    <w:rsid w:val="00F1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Theme="minorHAnsi" w:hAnsi="Century Schoolbook"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6054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54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54D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54D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054D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054D1"/>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054D1"/>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054D1"/>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054D1"/>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4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54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54D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54D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054D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054D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054D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054D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054D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054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54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54D1"/>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54D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054D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054D1"/>
    <w:rPr>
      <w:i/>
      <w:iCs/>
      <w:color w:val="404040" w:themeColor="text1" w:themeTint="BF"/>
    </w:rPr>
  </w:style>
  <w:style w:type="paragraph" w:styleId="ListParagraph">
    <w:name w:val="List Paragraph"/>
    <w:basedOn w:val="Normal"/>
    <w:uiPriority w:val="72"/>
    <w:qFormat/>
    <w:rsid w:val="006054D1"/>
    <w:pPr>
      <w:ind w:left="720"/>
      <w:contextualSpacing/>
    </w:pPr>
  </w:style>
  <w:style w:type="character" w:styleId="IntenseEmphasis">
    <w:name w:val="Intense Emphasis"/>
    <w:basedOn w:val="DefaultParagraphFont"/>
    <w:uiPriority w:val="21"/>
    <w:qFormat/>
    <w:rsid w:val="006054D1"/>
    <w:rPr>
      <w:i/>
      <w:iCs/>
      <w:color w:val="0F4761" w:themeColor="accent1" w:themeShade="BF"/>
    </w:rPr>
  </w:style>
  <w:style w:type="paragraph" w:styleId="IntenseQuote">
    <w:name w:val="Intense Quote"/>
    <w:basedOn w:val="Normal"/>
    <w:next w:val="Normal"/>
    <w:link w:val="IntenseQuoteChar"/>
    <w:uiPriority w:val="30"/>
    <w:qFormat/>
    <w:rsid w:val="006054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54D1"/>
    <w:rPr>
      <w:i/>
      <w:iCs/>
      <w:color w:val="0F4761" w:themeColor="accent1" w:themeShade="BF"/>
    </w:rPr>
  </w:style>
  <w:style w:type="character" w:styleId="IntenseReference">
    <w:name w:val="Intense Reference"/>
    <w:basedOn w:val="DefaultParagraphFont"/>
    <w:uiPriority w:val="32"/>
    <w:qFormat/>
    <w:rsid w:val="006054D1"/>
    <w:rPr>
      <w:b/>
      <w:bCs/>
      <w:smallCaps/>
      <w:color w:val="0F4761" w:themeColor="accent1" w:themeShade="BF"/>
      <w:spacing w:val="5"/>
    </w:rPr>
  </w:style>
  <w:style w:type="paragraph" w:styleId="FootnoteText">
    <w:name w:val="footnote text"/>
    <w:basedOn w:val="Normal"/>
    <w:link w:val="FootnoteTextChar"/>
    <w:uiPriority w:val="99"/>
    <w:unhideWhenUsed/>
    <w:rsid w:val="00C525B9"/>
    <w:pPr>
      <w:spacing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uiPriority w:val="99"/>
    <w:rsid w:val="00C525B9"/>
    <w:rPr>
      <w:rFonts w:ascii="Times New Roman" w:eastAsia="Times New Roman" w:hAnsi="Times New Roman" w:cs="Times New Roman"/>
      <w:kern w:val="0"/>
      <w:sz w:val="20"/>
      <w:szCs w:val="20"/>
      <w14:ligatures w14:val="none"/>
    </w:rPr>
  </w:style>
  <w:style w:type="character" w:styleId="FootnoteReference">
    <w:name w:val="footnote reference"/>
    <w:uiPriority w:val="99"/>
    <w:semiHidden/>
    <w:unhideWhenUsed/>
    <w:rsid w:val="00C525B9"/>
    <w:rPr>
      <w:vertAlign w:val="superscript"/>
    </w:rPr>
  </w:style>
  <w:style w:type="paragraph" w:styleId="Header">
    <w:name w:val="header"/>
    <w:basedOn w:val="Normal"/>
    <w:link w:val="HeaderChar"/>
    <w:uiPriority w:val="99"/>
    <w:unhideWhenUsed/>
    <w:rsid w:val="0054092A"/>
    <w:pPr>
      <w:tabs>
        <w:tab w:val="center" w:pos="4680"/>
        <w:tab w:val="right" w:pos="9360"/>
      </w:tabs>
      <w:spacing w:line="240" w:lineRule="auto"/>
    </w:pPr>
  </w:style>
  <w:style w:type="character" w:customStyle="1" w:styleId="HeaderChar">
    <w:name w:val="Header Char"/>
    <w:basedOn w:val="DefaultParagraphFont"/>
    <w:link w:val="Header"/>
    <w:uiPriority w:val="99"/>
    <w:rsid w:val="0054092A"/>
  </w:style>
  <w:style w:type="paragraph" w:styleId="Footer">
    <w:name w:val="footer"/>
    <w:basedOn w:val="Normal"/>
    <w:link w:val="FooterChar"/>
    <w:uiPriority w:val="99"/>
    <w:unhideWhenUsed/>
    <w:rsid w:val="0054092A"/>
    <w:pPr>
      <w:tabs>
        <w:tab w:val="center" w:pos="4680"/>
        <w:tab w:val="right" w:pos="9360"/>
      </w:tabs>
      <w:spacing w:line="240" w:lineRule="auto"/>
    </w:pPr>
  </w:style>
  <w:style w:type="character" w:customStyle="1" w:styleId="FooterChar">
    <w:name w:val="Footer Char"/>
    <w:basedOn w:val="DefaultParagraphFont"/>
    <w:link w:val="Footer"/>
    <w:uiPriority w:val="99"/>
    <w:rsid w:val="0054092A"/>
  </w:style>
  <w:style w:type="paragraph" w:customStyle="1" w:styleId="Default">
    <w:name w:val="Default"/>
    <w:rsid w:val="006B5517"/>
    <w:pPr>
      <w:autoSpaceDE w:val="0"/>
      <w:autoSpaceDN w:val="0"/>
      <w:adjustRightInd w:val="0"/>
      <w:spacing w:line="240" w:lineRule="auto"/>
    </w:pPr>
    <w:rPr>
      <w:rFonts w:ascii="Times New Roman" w:hAnsi="Times New Roman" w:cs="Times New Roman"/>
      <w:color w:val="000000"/>
      <w:kern w:val="0"/>
      <w:sz w:val="24"/>
      <w:szCs w:val="24"/>
    </w:rPr>
  </w:style>
  <w:style w:type="character" w:styleId="Emphasis">
    <w:name w:val="Emphasis"/>
    <w:basedOn w:val="DefaultParagraphFont"/>
    <w:uiPriority w:val="20"/>
    <w:qFormat/>
    <w:rsid w:val="00B7037F"/>
    <w:rPr>
      <w:i/>
      <w:iCs/>
    </w:rPr>
  </w:style>
  <w:style w:type="character" w:styleId="CommentReference">
    <w:name w:val="annotation reference"/>
    <w:basedOn w:val="DefaultParagraphFont"/>
    <w:uiPriority w:val="99"/>
    <w:semiHidden/>
    <w:unhideWhenUsed/>
    <w:rsid w:val="00E42EA7"/>
    <w:rPr>
      <w:sz w:val="16"/>
      <w:szCs w:val="16"/>
    </w:rPr>
  </w:style>
  <w:style w:type="paragraph" w:styleId="CommentText">
    <w:name w:val="annotation text"/>
    <w:basedOn w:val="Normal"/>
    <w:link w:val="CommentTextChar"/>
    <w:uiPriority w:val="99"/>
    <w:unhideWhenUsed/>
    <w:rsid w:val="00E42EA7"/>
    <w:pPr>
      <w:spacing w:line="240" w:lineRule="auto"/>
    </w:pPr>
    <w:rPr>
      <w:sz w:val="20"/>
      <w:szCs w:val="20"/>
    </w:rPr>
  </w:style>
  <w:style w:type="character" w:customStyle="1" w:styleId="CommentTextChar">
    <w:name w:val="Comment Text Char"/>
    <w:basedOn w:val="DefaultParagraphFont"/>
    <w:link w:val="CommentText"/>
    <w:uiPriority w:val="99"/>
    <w:rsid w:val="00E42EA7"/>
    <w:rPr>
      <w:sz w:val="20"/>
      <w:szCs w:val="20"/>
    </w:rPr>
  </w:style>
  <w:style w:type="paragraph" w:styleId="CommentSubject">
    <w:name w:val="annotation subject"/>
    <w:basedOn w:val="CommentText"/>
    <w:next w:val="CommentText"/>
    <w:link w:val="CommentSubjectChar"/>
    <w:uiPriority w:val="99"/>
    <w:semiHidden/>
    <w:unhideWhenUsed/>
    <w:rsid w:val="00E42EA7"/>
    <w:rPr>
      <w:b/>
      <w:bCs/>
    </w:rPr>
  </w:style>
  <w:style w:type="character" w:customStyle="1" w:styleId="CommentSubjectChar">
    <w:name w:val="Comment Subject Char"/>
    <w:basedOn w:val="CommentTextChar"/>
    <w:link w:val="CommentSubject"/>
    <w:uiPriority w:val="99"/>
    <w:semiHidden/>
    <w:rsid w:val="00E42EA7"/>
    <w:rPr>
      <w:b/>
      <w:bCs/>
      <w:sz w:val="20"/>
      <w:szCs w:val="20"/>
    </w:rPr>
  </w:style>
  <w:style w:type="character" w:styleId="Hyperlink">
    <w:name w:val="Hyperlink"/>
    <w:basedOn w:val="DefaultParagraphFont"/>
    <w:uiPriority w:val="99"/>
    <w:unhideWhenUsed/>
    <w:rsid w:val="009F5777"/>
    <w:rPr>
      <w:color w:val="0000FF"/>
      <w:u w:val="single"/>
    </w:rPr>
  </w:style>
  <w:style w:type="character" w:customStyle="1" w:styleId="coconcept3642">
    <w:name w:val="co_concept_36_42"/>
    <w:basedOn w:val="DefaultParagraphFont"/>
    <w:rsid w:val="004F56EC"/>
  </w:style>
  <w:style w:type="character" w:customStyle="1" w:styleId="coconcept3139">
    <w:name w:val="co_concept_31_39"/>
    <w:basedOn w:val="DefaultParagraphFont"/>
    <w:rsid w:val="00871D71"/>
  </w:style>
  <w:style w:type="paragraph" w:styleId="Revision">
    <w:name w:val="Revision"/>
    <w:hidden/>
    <w:uiPriority w:val="99"/>
    <w:semiHidden/>
    <w:rsid w:val="00751CF0"/>
    <w:pPr>
      <w:spacing w:line="240" w:lineRule="auto"/>
    </w:pPr>
  </w:style>
  <w:style w:type="character" w:customStyle="1" w:styleId="UnresolvedMention1">
    <w:name w:val="Unresolved Mention1"/>
    <w:basedOn w:val="DefaultParagraphFont"/>
    <w:uiPriority w:val="99"/>
    <w:semiHidden/>
    <w:unhideWhenUsed/>
    <w:rsid w:val="001F30E9"/>
    <w:rPr>
      <w:color w:val="605E5C"/>
      <w:shd w:val="clear" w:color="auto" w:fill="E1DFDD"/>
    </w:rPr>
  </w:style>
  <w:style w:type="table" w:styleId="TableGrid">
    <w:name w:val="Table Grid"/>
    <w:basedOn w:val="TableNormal"/>
    <w:uiPriority w:val="59"/>
    <w:rsid w:val="009F577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efaultParagraphFont"/>
    <w:rsid w:val="008D38F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2066</Words>
  <Characters>12090</Characters>
  <Application>Microsoft Office Word</Application>
  <DocSecurity>0</DocSecurity>
  <Lines>251</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2024-06-28T22:53:00Z</dcterms:created>
  <dcterms:modified xsi:type="dcterms:W3CDTF">2024-06-28T22:53:00Z</dcterms:modified>
  <cp:category/>
</cp:coreProperties>
</file>