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02CCE" w:rsidP="00E02CCE" w14:paraId="431A9E7B" w14:textId="3BEB985F">
      <w:pPr>
        <w:spacing w:line="240" w:lineRule="auto"/>
        <w:rPr>
          <w:sz w:val="20"/>
        </w:rPr>
      </w:pPr>
      <w:r>
        <w:rPr>
          <w:sz w:val="20"/>
        </w:rPr>
        <w:t>Filed 3/15/24</w:t>
      </w:r>
    </w:p>
    <w:p w:rsidR="00E02CCE" w:rsidP="00E02CCE" w14:paraId="0587B791" w14:textId="77777777">
      <w:pPr>
        <w:spacing w:line="240" w:lineRule="auto"/>
        <w:jc w:val="center"/>
        <w:rPr>
          <w:b/>
        </w:rPr>
      </w:pPr>
      <w:r>
        <w:rPr>
          <w:b/>
        </w:rPr>
        <w:t>CERTIFIED FOR PUBLICATION</w:t>
      </w:r>
    </w:p>
    <w:p w:rsidR="00E02CCE" w:rsidP="00E02CCE" w14:paraId="23E6021D" w14:textId="77777777">
      <w:pPr>
        <w:spacing w:line="240" w:lineRule="auto"/>
        <w:jc w:val="center"/>
      </w:pPr>
    </w:p>
    <w:p w:rsidR="00B54101" w:rsidRPr="00C13BB2" w:rsidP="00E02CCE" w14:paraId="3559453B" w14:textId="4299DDFD">
      <w:pPr>
        <w:spacing w:line="240" w:lineRule="auto"/>
        <w:jc w:val="center"/>
      </w:pPr>
      <w:r w:rsidRPr="00C13BB2">
        <w:t>IN THE COURT OF APPEAL OF THE STATE OF CALIFORNIA</w:t>
      </w:r>
    </w:p>
    <w:p w:rsidR="00B54101" w:rsidRPr="00C13BB2" w:rsidP="00B54101" w14:paraId="3CC1B888" w14:textId="77777777">
      <w:pPr>
        <w:spacing w:line="240" w:lineRule="auto"/>
        <w:jc w:val="center"/>
      </w:pPr>
    </w:p>
    <w:p w:rsidR="00B54101" w:rsidRPr="00C13BB2" w:rsidP="00B54101" w14:paraId="6ED119E9" w14:textId="77777777">
      <w:pPr>
        <w:spacing w:line="240" w:lineRule="auto"/>
        <w:jc w:val="center"/>
      </w:pPr>
      <w:r w:rsidRPr="00C13BB2">
        <w:t>FIRST APPELLATE DISTRICT</w:t>
      </w:r>
    </w:p>
    <w:p w:rsidR="00B54101" w:rsidRPr="00C13BB2" w:rsidP="00B54101" w14:paraId="66DBFE0C" w14:textId="77777777">
      <w:pPr>
        <w:spacing w:line="240" w:lineRule="auto"/>
        <w:jc w:val="center"/>
      </w:pPr>
    </w:p>
    <w:p w:rsidR="00B54101" w:rsidRPr="00C13BB2" w:rsidP="00B54101" w14:paraId="20ADFCAF" w14:textId="77777777">
      <w:pPr>
        <w:spacing w:line="240" w:lineRule="auto"/>
        <w:jc w:val="center"/>
      </w:pPr>
      <w:r w:rsidRPr="00C13BB2">
        <w:t>DIVISION THREE</w:t>
      </w:r>
    </w:p>
    <w:p w:rsidR="00B54101" w:rsidRPr="00C13BB2" w:rsidP="00B54101" w14:paraId="4DC395BF" w14:textId="77777777">
      <w:pPr>
        <w:spacing w:line="240" w:lineRule="auto"/>
        <w:jc w:val="center"/>
      </w:pPr>
    </w:p>
    <w:tbl>
      <w:tblPr>
        <w:tblW w:w="9540" w:type="dxa"/>
        <w:tblInd w:w="0" w:type="dxa"/>
        <w:tblLayout w:type="fixed"/>
        <w:tblCellMar>
          <w:top w:w="0" w:type="dxa"/>
          <w:left w:w="108" w:type="dxa"/>
          <w:bottom w:w="0" w:type="dxa"/>
          <w:right w:w="108" w:type="dxa"/>
        </w:tblCellMar>
        <w:tblLook w:val="0000"/>
      </w:tblPr>
      <w:tblGrid>
        <w:gridCol w:w="4770"/>
        <w:gridCol w:w="4770"/>
      </w:tblGrid>
      <w:tr w14:paraId="10DF7F7B" w14:textId="77777777" w:rsidTr="008E438E">
        <w:tblPrEx>
          <w:tblW w:w="9540" w:type="dxa"/>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B71266" w:rsidRPr="00DE401D" w:rsidP="008E438E" w14:paraId="115E342E" w14:textId="2FFCAF83">
            <w:pPr>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THE PEOPLE,</w:t>
            </w:r>
          </w:p>
          <w:p w:rsidR="00B71266" w:rsidRPr="00DE401D" w:rsidP="008E438E" w14:paraId="66049390" w14:textId="29249905">
            <w:pPr>
              <w:spacing w:after="120" w:line="240" w:lineRule="auto"/>
              <w:rPr>
                <w:rStyle w:val="DefaultParagraphFont"/>
                <w:rFonts w:ascii="Century Schoolbook" w:hAnsi="Century Schoolbook" w:eastAsiaTheme="minorHAnsi" w:cstheme="minorBidi"/>
                <w:sz w:val="26"/>
                <w:szCs w:val="26"/>
                <w:lang w:val="en-US" w:eastAsia="en-US" w:bidi="ar-SA"/>
              </w:rPr>
            </w:pPr>
            <w:r w:rsidRPr="00DE401D">
              <w:rPr>
                <w:rFonts w:ascii="Century Schoolbook" w:hAnsi="Century Schoolbook" w:eastAsiaTheme="minorHAnsi" w:cstheme="minorBidi"/>
                <w:sz w:val="26"/>
                <w:szCs w:val="26"/>
                <w:lang w:val="en-US" w:eastAsia="en-US" w:bidi="ar-SA"/>
              </w:rPr>
              <w:tab/>
              <w:t xml:space="preserve">Plaintiff </w:t>
            </w:r>
            <w:r w:rsidR="00773D5E">
              <w:rPr>
                <w:rFonts w:ascii="Century Schoolbook" w:hAnsi="Century Schoolbook" w:eastAsiaTheme="minorHAnsi" w:cstheme="minorBidi"/>
                <w:sz w:val="26"/>
                <w:szCs w:val="26"/>
                <w:lang w:val="en-US" w:eastAsia="en-US" w:bidi="ar-SA"/>
              </w:rPr>
              <w:t>and Respondent</w:t>
            </w:r>
            <w:r w:rsidRPr="00DE401D">
              <w:rPr>
                <w:rFonts w:ascii="Century Schoolbook" w:hAnsi="Century Schoolbook" w:eastAsiaTheme="minorHAnsi" w:cstheme="minorBidi"/>
                <w:sz w:val="26"/>
                <w:szCs w:val="26"/>
                <w:lang w:val="en-US" w:eastAsia="en-US" w:bidi="ar-SA"/>
              </w:rPr>
              <w:t>,</w:t>
            </w:r>
          </w:p>
          <w:p w:rsidR="00B71266" w:rsidRPr="00DE401D" w:rsidP="008E438E" w14:paraId="589DE6C2" w14:textId="77777777">
            <w:pPr>
              <w:spacing w:after="120" w:line="240" w:lineRule="auto"/>
              <w:rPr>
                <w:rStyle w:val="DefaultParagraphFont"/>
                <w:rFonts w:ascii="Century Schoolbook" w:hAnsi="Century Schoolbook" w:eastAsiaTheme="minorHAnsi" w:cstheme="minorBidi"/>
                <w:sz w:val="26"/>
                <w:szCs w:val="26"/>
                <w:lang w:val="en-US" w:eastAsia="en-US" w:bidi="ar-SA"/>
              </w:rPr>
            </w:pPr>
            <w:r w:rsidRPr="00DE401D">
              <w:rPr>
                <w:rFonts w:ascii="Century Schoolbook" w:hAnsi="Century Schoolbook" w:eastAsiaTheme="minorHAnsi" w:cstheme="minorBidi"/>
                <w:sz w:val="26"/>
                <w:szCs w:val="26"/>
                <w:lang w:val="en-US" w:eastAsia="en-US" w:bidi="ar-SA"/>
              </w:rPr>
              <w:t>v.</w:t>
            </w:r>
          </w:p>
          <w:p w:rsidR="00B71266" w:rsidRPr="00DE401D" w:rsidP="008E438E" w14:paraId="3CAA8C73" w14:textId="7F589403">
            <w:pPr>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STEVEN </w:t>
            </w:r>
            <w:r w:rsidR="00414017">
              <w:rPr>
                <w:rFonts w:ascii="Century Schoolbook" w:hAnsi="Century Schoolbook" w:eastAsiaTheme="minorHAnsi" w:cstheme="minorBidi"/>
                <w:sz w:val="26"/>
                <w:szCs w:val="26"/>
                <w:lang w:val="en-US" w:eastAsia="en-US" w:bidi="ar-SA"/>
              </w:rPr>
              <w:t xml:space="preserve">LAURENT </w:t>
            </w:r>
            <w:r>
              <w:rPr>
                <w:rFonts w:ascii="Century Schoolbook" w:hAnsi="Century Schoolbook" w:eastAsiaTheme="minorHAnsi" w:cstheme="minorBidi"/>
                <w:sz w:val="26"/>
                <w:szCs w:val="26"/>
                <w:lang w:val="en-US" w:eastAsia="en-US" w:bidi="ar-SA"/>
              </w:rPr>
              <w:t>MONTGOMERY</w:t>
            </w:r>
            <w:r w:rsidRPr="00DE401D">
              <w:rPr>
                <w:rFonts w:ascii="Century Schoolbook" w:hAnsi="Century Schoolbook" w:eastAsiaTheme="minorHAnsi" w:cstheme="minorBidi"/>
                <w:sz w:val="26"/>
                <w:szCs w:val="26"/>
                <w:lang w:val="en-US" w:eastAsia="en-US" w:bidi="ar-SA"/>
              </w:rPr>
              <w:t>,</w:t>
            </w:r>
            <w:r w:rsidR="00414017">
              <w:rPr>
                <w:rFonts w:ascii="Century Schoolbook" w:hAnsi="Century Schoolbook" w:eastAsiaTheme="minorHAnsi" w:cstheme="minorBidi"/>
                <w:sz w:val="26"/>
                <w:szCs w:val="26"/>
                <w:lang w:val="en-US" w:eastAsia="en-US" w:bidi="ar-SA"/>
              </w:rPr>
              <w:t xml:space="preserve"> JR.,</w:t>
            </w:r>
          </w:p>
          <w:p w:rsidR="00B71266" w:rsidRPr="00DE401D" w:rsidP="008E438E" w14:paraId="75DAE7CC" w14:textId="6A480C25">
            <w:pPr>
              <w:spacing w:after="120" w:line="240" w:lineRule="auto"/>
              <w:rPr>
                <w:rStyle w:val="DefaultParagraphFont"/>
                <w:rFonts w:ascii="Century Schoolbook" w:hAnsi="Century Schoolbook" w:eastAsiaTheme="minorHAnsi" w:cstheme="minorBidi"/>
                <w:sz w:val="26"/>
                <w:szCs w:val="26"/>
                <w:lang w:val="en-US" w:eastAsia="en-US" w:bidi="ar-SA"/>
              </w:rPr>
            </w:pPr>
            <w:r w:rsidRPr="00DE401D">
              <w:rPr>
                <w:rFonts w:ascii="Century Schoolbook" w:hAnsi="Century Schoolbook" w:eastAsiaTheme="minorHAnsi" w:cstheme="minorBidi"/>
                <w:sz w:val="26"/>
                <w:szCs w:val="26"/>
                <w:lang w:val="en-US" w:eastAsia="en-US" w:bidi="ar-SA"/>
              </w:rPr>
              <w:tab/>
              <w:t xml:space="preserve">Defendant and </w:t>
            </w:r>
            <w:r w:rsidR="00773D5E">
              <w:rPr>
                <w:rFonts w:ascii="Century Schoolbook" w:hAnsi="Century Schoolbook" w:eastAsiaTheme="minorHAnsi" w:cstheme="minorBidi"/>
                <w:sz w:val="26"/>
                <w:szCs w:val="26"/>
                <w:lang w:val="en-US" w:eastAsia="en-US" w:bidi="ar-SA"/>
              </w:rPr>
              <w:t>Appellant</w:t>
            </w:r>
            <w:r w:rsidRPr="00DE401D">
              <w:rPr>
                <w:rFonts w:ascii="Century Schoolbook" w:hAnsi="Century Schoolbook" w:eastAsiaTheme="minorHAnsi" w:cstheme="minorBidi"/>
                <w:sz w:val="26"/>
                <w:szCs w:val="26"/>
                <w:lang w:val="en-US" w:eastAsia="en-US" w:bidi="ar-SA"/>
              </w:rPr>
              <w:t>.</w:t>
            </w:r>
          </w:p>
        </w:tc>
        <w:tc>
          <w:tcPr>
            <w:tcW w:w="4770" w:type="dxa"/>
            <w:tcBorders>
              <w:left w:val="single" w:sz="4" w:space="0" w:color="auto"/>
            </w:tcBorders>
            <w:shd w:val="clear" w:color="auto" w:fill="auto"/>
          </w:tcPr>
          <w:p w:rsidR="000F193F" w:rsidP="008E438E" w14:paraId="0B564D05" w14:textId="632DAF67">
            <w:pPr>
              <w:spacing w:after="120" w:line="240" w:lineRule="auto"/>
              <w:rPr>
                <w:rStyle w:val="DefaultParagraphFont"/>
                <w:rFonts w:ascii="Century Schoolbook" w:hAnsi="Century Schoolbook" w:eastAsiaTheme="minorHAnsi" w:cstheme="minorBidi"/>
                <w:sz w:val="26"/>
                <w:szCs w:val="26"/>
                <w:lang w:val="en-US" w:eastAsia="en-US" w:bidi="ar-SA"/>
              </w:rPr>
            </w:pPr>
          </w:p>
          <w:p w:rsidR="007B173A" w:rsidP="008E438E" w14:paraId="75E07979" w14:textId="77777777">
            <w:pPr>
              <w:spacing w:after="120" w:line="240" w:lineRule="auto"/>
              <w:rPr>
                <w:rStyle w:val="DefaultParagraphFont"/>
                <w:rFonts w:ascii="Century Schoolbook" w:hAnsi="Century Schoolbook" w:eastAsiaTheme="minorHAnsi" w:cstheme="minorBidi"/>
                <w:sz w:val="26"/>
                <w:szCs w:val="26"/>
                <w:lang w:val="en-US" w:eastAsia="en-US" w:bidi="ar-SA"/>
              </w:rPr>
            </w:pPr>
          </w:p>
          <w:p w:rsidR="003C355D" w:rsidP="008E438E" w14:paraId="1CFE20FD" w14:textId="7C730C5C">
            <w:pPr>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w:t>
            </w:r>
            <w:r w:rsidRPr="00DE401D" w:rsidR="0016146A">
              <w:rPr>
                <w:rFonts w:ascii="Century Schoolbook" w:hAnsi="Century Schoolbook" w:eastAsiaTheme="minorHAnsi" w:cstheme="minorBidi"/>
                <w:sz w:val="26"/>
                <w:szCs w:val="26"/>
                <w:lang w:val="en-US" w:eastAsia="en-US" w:bidi="ar-SA"/>
              </w:rPr>
              <w:t>A</w:t>
            </w:r>
            <w:r w:rsidR="0016146A">
              <w:rPr>
                <w:rFonts w:ascii="Century Schoolbook" w:hAnsi="Century Schoolbook" w:eastAsiaTheme="minorHAnsi" w:cstheme="minorBidi"/>
                <w:sz w:val="26"/>
                <w:szCs w:val="26"/>
                <w:lang w:val="en-US" w:eastAsia="en-US" w:bidi="ar-SA"/>
              </w:rPr>
              <w:t>16</w:t>
            </w:r>
            <w:r w:rsidR="00281C14">
              <w:rPr>
                <w:rFonts w:ascii="Century Schoolbook" w:hAnsi="Century Schoolbook" w:eastAsiaTheme="minorHAnsi" w:cstheme="minorBidi"/>
                <w:sz w:val="26"/>
                <w:szCs w:val="26"/>
                <w:lang w:val="en-US" w:eastAsia="en-US" w:bidi="ar-SA"/>
              </w:rPr>
              <w:t>7813</w:t>
            </w:r>
          </w:p>
          <w:p w:rsidR="00536375" w:rsidP="008E438E" w14:paraId="4B66F6BC" w14:textId="3ED43F24">
            <w:pPr>
              <w:spacing w:line="240" w:lineRule="auto"/>
              <w:rPr>
                <w:rStyle w:val="DefaultParagraphFont"/>
                <w:rFonts w:ascii="Century Schoolbook" w:hAnsi="Century Schoolbook" w:eastAsiaTheme="minorHAnsi" w:cstheme="minorBidi"/>
                <w:sz w:val="26"/>
                <w:szCs w:val="26"/>
                <w:lang w:val="en-US" w:eastAsia="en-US" w:bidi="ar-SA"/>
              </w:rPr>
            </w:pPr>
            <w:r w:rsidRPr="00DE401D">
              <w:rPr>
                <w:rFonts w:ascii="Century Schoolbook" w:hAnsi="Century Schoolbook" w:eastAsiaTheme="minorHAnsi" w:cstheme="minorBidi"/>
                <w:sz w:val="26"/>
                <w:szCs w:val="26"/>
                <w:lang w:val="en-US" w:eastAsia="en-US" w:bidi="ar-SA"/>
              </w:rPr>
              <w:t xml:space="preserve">      (</w:t>
            </w:r>
            <w:r w:rsidR="00281C14">
              <w:rPr>
                <w:rFonts w:ascii="Century Schoolbook" w:hAnsi="Century Schoolbook" w:eastAsiaTheme="minorHAnsi" w:cstheme="minorBidi"/>
                <w:sz w:val="26"/>
                <w:szCs w:val="26"/>
                <w:lang w:val="en-US" w:eastAsia="en-US" w:bidi="ar-SA"/>
              </w:rPr>
              <w:t>Solano</w:t>
            </w:r>
            <w:r w:rsidR="001367E3">
              <w:rPr>
                <w:rFonts w:ascii="Century Schoolbook" w:hAnsi="Century Schoolbook" w:eastAsiaTheme="minorHAnsi" w:cstheme="minorBidi"/>
                <w:sz w:val="26"/>
                <w:szCs w:val="26"/>
                <w:lang w:val="en-US" w:eastAsia="en-US" w:bidi="ar-SA"/>
              </w:rPr>
              <w:t xml:space="preserve"> </w:t>
            </w:r>
            <w:r>
              <w:rPr>
                <w:rFonts w:ascii="Century Schoolbook" w:hAnsi="Century Schoolbook" w:eastAsiaTheme="minorHAnsi" w:cstheme="minorBidi"/>
                <w:sz w:val="26"/>
                <w:szCs w:val="26"/>
                <w:lang w:val="en-US" w:eastAsia="en-US" w:bidi="ar-SA"/>
              </w:rPr>
              <w:t xml:space="preserve">County </w:t>
            </w:r>
          </w:p>
          <w:p w:rsidR="00B71266" w:rsidRPr="00DE401D" w:rsidP="00536375" w14:paraId="4C025764" w14:textId="667906CA">
            <w:pPr>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w:t>
            </w:r>
            <w:r w:rsidR="001831BC">
              <w:rPr>
                <w:rFonts w:ascii="Century Schoolbook" w:hAnsi="Century Schoolbook" w:eastAsiaTheme="minorHAnsi" w:cstheme="minorBidi"/>
                <w:sz w:val="26"/>
                <w:szCs w:val="26"/>
                <w:lang w:val="en-US" w:eastAsia="en-US" w:bidi="ar-SA"/>
              </w:rPr>
              <w:t xml:space="preserve">Super. Ct. </w:t>
            </w:r>
            <w:r w:rsidRPr="00DE401D">
              <w:rPr>
                <w:rFonts w:ascii="Century Schoolbook" w:hAnsi="Century Schoolbook" w:eastAsiaTheme="minorHAnsi" w:cstheme="minorBidi"/>
                <w:sz w:val="26"/>
                <w:szCs w:val="26"/>
                <w:lang w:val="en-US" w:eastAsia="en-US" w:bidi="ar-SA"/>
              </w:rPr>
              <w:t>No.</w:t>
            </w:r>
            <w:r w:rsidR="001367E3">
              <w:rPr>
                <w:rFonts w:ascii="Century Schoolbook" w:hAnsi="Century Schoolbook" w:eastAsiaTheme="minorHAnsi" w:cstheme="minorBidi"/>
                <w:sz w:val="26"/>
                <w:szCs w:val="26"/>
                <w:lang w:val="en-US" w:eastAsia="en-US" w:bidi="ar-SA"/>
              </w:rPr>
              <w:t xml:space="preserve"> </w:t>
            </w:r>
            <w:r w:rsidR="00281C14">
              <w:rPr>
                <w:rFonts w:ascii="Century Schoolbook" w:hAnsi="Century Schoolbook" w:eastAsiaTheme="minorHAnsi" w:cstheme="minorBidi"/>
                <w:sz w:val="26"/>
                <w:szCs w:val="26"/>
                <w:lang w:val="en-US" w:eastAsia="en-US" w:bidi="ar-SA"/>
              </w:rPr>
              <w:t>FCR330516</w:t>
            </w:r>
            <w:r w:rsidRPr="00DE401D">
              <w:rPr>
                <w:rFonts w:ascii="Century Schoolbook" w:hAnsi="Century Schoolbook" w:eastAsiaTheme="minorHAnsi" w:cstheme="minorBidi"/>
                <w:sz w:val="26"/>
                <w:szCs w:val="26"/>
                <w:lang w:val="en-US" w:eastAsia="en-US" w:bidi="ar-SA"/>
              </w:rPr>
              <w:t>)</w:t>
            </w:r>
          </w:p>
        </w:tc>
      </w:tr>
    </w:tbl>
    <w:p w:rsidR="008C69C3" w14:paraId="49A37E90" w14:textId="08681748"/>
    <w:p w:rsidR="00281C14" w:rsidP="000F0D46" w14:paraId="7A4BF68B" w14:textId="217EE999">
      <w:pPr>
        <w:ind w:firstLine="720"/>
      </w:pPr>
      <w:r>
        <w:t xml:space="preserve">In 2018, </w:t>
      </w:r>
      <w:r w:rsidR="000F0D46">
        <w:t xml:space="preserve">Steven </w:t>
      </w:r>
      <w:r w:rsidR="005E05F4">
        <w:t xml:space="preserve">Laurent </w:t>
      </w:r>
      <w:r w:rsidR="000F0D46">
        <w:t>Montgomery</w:t>
      </w:r>
      <w:r w:rsidR="005E05F4">
        <w:t>, Jr.</w:t>
      </w:r>
      <w:r w:rsidR="000F0D46">
        <w:t xml:space="preserve"> pled no contest to several violent felonies. </w:t>
      </w:r>
      <w:r w:rsidR="000608E8">
        <w:t xml:space="preserve"> </w:t>
      </w:r>
      <w:r w:rsidR="008E2A43">
        <w:t>Pursuant to a</w:t>
      </w:r>
      <w:r w:rsidR="000F0D46">
        <w:t xml:space="preserve"> plea bargain, </w:t>
      </w:r>
      <w:r w:rsidR="00F972B6">
        <w:t>the trial court</w:t>
      </w:r>
      <w:r w:rsidR="008E2A43">
        <w:t xml:space="preserve"> </w:t>
      </w:r>
      <w:r w:rsidR="00F972B6">
        <w:t>sentenced him to</w:t>
      </w:r>
      <w:r w:rsidR="000F0D46">
        <w:t xml:space="preserve"> 18 years in prison</w:t>
      </w:r>
      <w:r w:rsidR="00D9154E">
        <w:t xml:space="preserve">, </w:t>
      </w:r>
      <w:r w:rsidR="00F972B6">
        <w:t>includ</w:t>
      </w:r>
      <w:r w:rsidR="00D9154E">
        <w:t>ing</w:t>
      </w:r>
      <w:r w:rsidR="00F972B6">
        <w:t xml:space="preserve"> two one-year enhancements </w:t>
      </w:r>
      <w:r w:rsidR="00460E7E">
        <w:t xml:space="preserve">for prior prison sentences within the meaning of former </w:t>
      </w:r>
      <w:r w:rsidR="0061196A">
        <w:t>P</w:t>
      </w:r>
      <w:r w:rsidR="00460E7E">
        <w:t xml:space="preserve">enal </w:t>
      </w:r>
      <w:r w:rsidR="00163A2D">
        <w:t>C</w:t>
      </w:r>
      <w:r w:rsidR="00460E7E">
        <w:t xml:space="preserve">ode </w:t>
      </w:r>
      <w:r w:rsidR="00394732">
        <w:t>s</w:t>
      </w:r>
      <w:r w:rsidR="00163A2D">
        <w:t>ection</w:t>
      </w:r>
      <w:r w:rsidR="00460E7E">
        <w:t xml:space="preserve"> 667.5, subdivision (b) (prison priors).  </w:t>
      </w:r>
      <w:r w:rsidR="0061196A">
        <w:t xml:space="preserve">(Undesignated statutory references are to this code.)  </w:t>
      </w:r>
      <w:r w:rsidR="00D9154E">
        <w:t xml:space="preserve">Later, </w:t>
      </w:r>
      <w:r w:rsidR="00460E7E">
        <w:t>Montgomery</w:t>
      </w:r>
      <w:r w:rsidR="000F0D46">
        <w:t xml:space="preserve"> became eligible </w:t>
      </w:r>
      <w:r w:rsidR="00F972B6">
        <w:t>for resentencing under Senate Bill No.</w:t>
      </w:r>
      <w:r w:rsidR="00DC3E6B">
        <w:t> </w:t>
      </w:r>
      <w:r w:rsidR="00F972B6">
        <w:t>483 (</w:t>
      </w:r>
      <w:r w:rsidR="0061196A">
        <w:t>2021–2022 Reg. Sess.</w:t>
      </w:r>
      <w:r w:rsidR="0071376D">
        <w:t>) (</w:t>
      </w:r>
      <w:r w:rsidR="00F972B6">
        <w:t>Sen</w:t>
      </w:r>
      <w:r w:rsidR="004B08C9">
        <w:t>.</w:t>
      </w:r>
      <w:r w:rsidR="00F972B6">
        <w:t xml:space="preserve"> Bill 483)</w:t>
      </w:r>
      <w:r w:rsidR="00EC082E">
        <w:t xml:space="preserve">, </w:t>
      </w:r>
      <w:r w:rsidR="00D9154E">
        <w:t xml:space="preserve">which </w:t>
      </w:r>
      <w:r w:rsidR="0046343D">
        <w:t>invalidat</w:t>
      </w:r>
      <w:r w:rsidR="00D9154E">
        <w:t>ed</w:t>
      </w:r>
      <w:r w:rsidR="0046343D">
        <w:t xml:space="preserve"> most </w:t>
      </w:r>
      <w:r>
        <w:t>prison priors i</w:t>
      </w:r>
      <w:r w:rsidR="0046343D">
        <w:t xml:space="preserve">mposed before </w:t>
      </w:r>
      <w:r w:rsidR="00163A2D">
        <w:t>January 1, 2020.</w:t>
      </w:r>
      <w:r>
        <w:rPr>
          <w:rStyle w:val="FootnoteReference"/>
        </w:rPr>
        <w:footnoteReference w:id="2"/>
      </w:r>
      <w:r w:rsidR="00F972B6">
        <w:t xml:space="preserve">  </w:t>
      </w:r>
      <w:r w:rsidRPr="0061196A" w:rsidR="0061196A">
        <w:t>(Stats.</w:t>
      </w:r>
      <w:r w:rsidR="00163A2D">
        <w:t> </w:t>
      </w:r>
      <w:r w:rsidRPr="0061196A" w:rsidR="0061196A">
        <w:t>2021, ch.</w:t>
      </w:r>
      <w:r w:rsidR="00163A2D">
        <w:t> </w:t>
      </w:r>
      <w:r w:rsidRPr="0061196A" w:rsidR="0061196A">
        <w:t>728</w:t>
      </w:r>
      <w:r w:rsidR="00163A2D">
        <w:t>, § 3</w:t>
      </w:r>
      <w:r w:rsidR="00A45088">
        <w:t>.</w:t>
      </w:r>
      <w:r w:rsidRPr="0061196A" w:rsidR="0061196A">
        <w:t>)</w:t>
      </w:r>
      <w:r w:rsidR="0061196A">
        <w:t xml:space="preserve">  Although t</w:t>
      </w:r>
      <w:r w:rsidR="00460E7E">
        <w:t xml:space="preserve">he </w:t>
      </w:r>
      <w:r w:rsidR="00F972B6">
        <w:t xml:space="preserve">court </w:t>
      </w:r>
      <w:r w:rsidR="0061196A">
        <w:t xml:space="preserve">struck the prison priors, it </w:t>
      </w:r>
      <w:r w:rsidR="00F972B6">
        <w:t xml:space="preserve">failed to hold a resentencing hearing.  </w:t>
      </w:r>
      <w:r w:rsidR="00D9154E">
        <w:t>Accepting the Attorney General’s concession of error, w</w:t>
      </w:r>
      <w:r w:rsidR="00F972B6">
        <w:t>e reverse and remand with instruction to hold a resentencing hearing</w:t>
      </w:r>
      <w:r w:rsidR="00A54DFA">
        <w:t xml:space="preserve"> </w:t>
      </w:r>
      <w:r w:rsidR="0061196A">
        <w:t>under</w:t>
      </w:r>
      <w:r w:rsidR="00941B67">
        <w:t xml:space="preserve"> </w:t>
      </w:r>
      <w:r w:rsidR="00F972B6">
        <w:t xml:space="preserve">section 1172.75.  </w:t>
      </w:r>
      <w:r w:rsidR="001F37E3">
        <w:t xml:space="preserve">Further, we conclude the Legislature intended to constrain the prosecutor’s </w:t>
      </w:r>
      <w:r w:rsidR="001F37E3">
        <w:t>ability to withdraw from the plea bargain due to sentence reductions a</w:t>
      </w:r>
      <w:r w:rsidR="003A4051">
        <w:t>t</w:t>
      </w:r>
      <w:r w:rsidR="001F37E3">
        <w:t xml:space="preserve"> the resentencing hearing.</w:t>
      </w:r>
    </w:p>
    <w:p w:rsidR="00810FDA" w:rsidP="00A279A8" w14:paraId="1C048BF5" w14:textId="32173E8A">
      <w:pPr>
        <w:keepNext/>
        <w:jc w:val="center"/>
        <w:rPr>
          <w:b/>
          <w:bCs/>
        </w:rPr>
      </w:pPr>
      <w:r>
        <w:rPr>
          <w:b/>
          <w:bCs/>
        </w:rPr>
        <w:t>BACKGROUND</w:t>
      </w:r>
    </w:p>
    <w:p w:rsidR="003F1205" w:rsidP="007E174D" w14:paraId="2FD45020" w14:textId="381ECA42">
      <w:r>
        <w:tab/>
      </w:r>
      <w:r w:rsidR="003E769D">
        <w:t>T</w:t>
      </w:r>
      <w:r>
        <w:t>he prosecutor charged Montgomery with forcible oral copulation (</w:t>
      </w:r>
      <w:r w:rsidR="000D33A9">
        <w:t xml:space="preserve">former </w:t>
      </w:r>
      <w:r>
        <w:t>§ 288a, subd. (c)(2)(A) [ren</w:t>
      </w:r>
      <w:r w:rsidR="000D33A9">
        <w:t>umbered</w:t>
      </w:r>
      <w:r>
        <w:t xml:space="preserve"> § 287, subd. (c)(2)(A), eff. Jan. 1, 2019]</w:t>
      </w:r>
      <w:r w:rsidR="00D9154E">
        <w:t>; count one</w:t>
      </w:r>
      <w:r>
        <w:t>), injuring a domestic partner (§ 2</w:t>
      </w:r>
      <w:r w:rsidR="00893F18">
        <w:t>73</w:t>
      </w:r>
      <w:r>
        <w:t>.5, subd. (f)</w:t>
      </w:r>
      <w:r w:rsidR="00D9154E">
        <w:t>; count two</w:t>
      </w:r>
      <w:r>
        <w:t>), false imprisonment by violence (§ 236</w:t>
      </w:r>
      <w:r w:rsidR="00D9154E">
        <w:t>; count three</w:t>
      </w:r>
      <w:r>
        <w:t>), assault with a deadly weapon (§ 245, subd. (a)(1)</w:t>
      </w:r>
      <w:r w:rsidR="00D9154E">
        <w:t>; count four</w:t>
      </w:r>
      <w:r>
        <w:t>), and assault by means likely to produce great bodily injury (</w:t>
      </w:r>
      <w:r w:rsidRPr="00454668" w:rsidR="00E11DF3">
        <w:rPr>
          <w:i/>
          <w:iCs/>
        </w:rPr>
        <w:t>Id</w:t>
      </w:r>
      <w:r w:rsidR="00E11DF3">
        <w:t>.</w:t>
      </w:r>
      <w:r>
        <w:t>, subd. (a)(4)</w:t>
      </w:r>
      <w:r w:rsidR="00D9154E">
        <w:t>; count five</w:t>
      </w:r>
      <w:r>
        <w:t>)</w:t>
      </w:r>
      <w:r w:rsidR="00D9154E">
        <w:t>.</w:t>
      </w:r>
      <w:r>
        <w:t xml:space="preserve">  </w:t>
      </w:r>
      <w:r w:rsidR="00CC763F">
        <w:t>T</w:t>
      </w:r>
      <w:r w:rsidR="00EF15E7">
        <w:t>he prosecutor alleged Montgomery</w:t>
      </w:r>
      <w:r w:rsidR="0092687C">
        <w:t xml:space="preserve"> personally inflicted</w:t>
      </w:r>
      <w:r w:rsidR="00EF15E7">
        <w:t xml:space="preserve"> great bodily injury</w:t>
      </w:r>
      <w:r w:rsidR="001300D6">
        <w:t xml:space="preserve"> in the commission of a felony sex offense</w:t>
      </w:r>
      <w:r w:rsidR="00CC763F">
        <w:t xml:space="preserve"> on count </w:t>
      </w:r>
      <w:r w:rsidR="00A45088">
        <w:t>one</w:t>
      </w:r>
      <w:r w:rsidR="006A51FE">
        <w:t xml:space="preserve">, and he inflicted great bodily injury under circumstances involving domestic violence on </w:t>
      </w:r>
      <w:r w:rsidR="00A45088">
        <w:t>all counts</w:t>
      </w:r>
      <w:r w:rsidR="006A51FE">
        <w:t>.  (§§ 667.6</w:t>
      </w:r>
      <w:r w:rsidR="008D7DAA">
        <w:t>1</w:t>
      </w:r>
      <w:r w:rsidR="006A51FE">
        <w:t xml:space="preserve">, subds. (a) </w:t>
      </w:r>
      <w:r w:rsidR="001E02D0">
        <w:t>&amp;</w:t>
      </w:r>
      <w:r w:rsidR="006A51FE">
        <w:t xml:space="preserve"> (d)</w:t>
      </w:r>
      <w:r w:rsidR="0055118B">
        <w:t>,</w:t>
      </w:r>
      <w:r w:rsidR="006A51FE">
        <w:t xml:space="preserve"> 12022.7, subd. (e).)</w:t>
      </w:r>
    </w:p>
    <w:p w:rsidR="00127246" w:rsidP="003F1205" w14:paraId="0D818EC6" w14:textId="67A22FB7">
      <w:pPr>
        <w:ind w:firstLine="720"/>
      </w:pPr>
      <w:r>
        <w:t xml:space="preserve">Under the terms of a plea agreement, </w:t>
      </w:r>
      <w:r w:rsidR="007E174D">
        <w:t>Montgomery pled no contes</w:t>
      </w:r>
      <w:r w:rsidR="003F1205">
        <w:t xml:space="preserve">t to </w:t>
      </w:r>
      <w:r>
        <w:t>injuring a domestic partner, false imprisonment, and assault with a deadly weapon, in addition to admitting the great bodily injury enhancement as to those offenses</w:t>
      </w:r>
      <w:r w:rsidR="003F1205">
        <w:t>.</w:t>
      </w:r>
      <w:r w:rsidR="00D86F26">
        <w:t xml:space="preserve"> </w:t>
      </w:r>
      <w:r w:rsidR="004165DD">
        <w:t xml:space="preserve"> </w:t>
      </w:r>
      <w:r>
        <w:t xml:space="preserve">He also pled no contest to forcible oral copulation, </w:t>
      </w:r>
      <w:r w:rsidR="00D9154E">
        <w:t xml:space="preserve">and </w:t>
      </w:r>
      <w:r>
        <w:t>the prosecutor dismiss</w:t>
      </w:r>
      <w:r w:rsidR="00D9154E">
        <w:t>ed</w:t>
      </w:r>
      <w:r>
        <w:t xml:space="preserve"> </w:t>
      </w:r>
      <w:r w:rsidR="00E60EFD">
        <w:t>the sex offense enhancement and</w:t>
      </w:r>
      <w:r w:rsidR="00692409">
        <w:t xml:space="preserve"> assault charge</w:t>
      </w:r>
      <w:r w:rsidR="00686612">
        <w:t xml:space="preserve">.  </w:t>
      </w:r>
      <w:r w:rsidR="00E60EFD">
        <w:t>Montgomery</w:t>
      </w:r>
      <w:r w:rsidR="00686612">
        <w:t xml:space="preserve"> </w:t>
      </w:r>
      <w:r w:rsidR="004165DD">
        <w:t>also admitted</w:t>
      </w:r>
      <w:r w:rsidR="00CC763F">
        <w:t xml:space="preserve"> </w:t>
      </w:r>
      <w:r w:rsidR="004165DD">
        <w:t xml:space="preserve">two </w:t>
      </w:r>
      <w:r w:rsidR="00460E7E">
        <w:t>prison priors</w:t>
      </w:r>
      <w:r w:rsidR="00485E8C">
        <w:t xml:space="preserve"> within the meaning of former section 667.5, subdivision (b)</w:t>
      </w:r>
      <w:r w:rsidR="004165DD">
        <w:t>.</w:t>
      </w:r>
    </w:p>
    <w:p w:rsidR="005F554C" w:rsidP="007E174D" w14:paraId="7F71F647" w14:textId="1BA2EA5D">
      <w:r>
        <w:tab/>
        <w:t xml:space="preserve">The </w:t>
      </w:r>
      <w:r w:rsidR="00BA7FC8">
        <w:t>parties agreed to</w:t>
      </w:r>
      <w:r w:rsidR="00394732">
        <w:t xml:space="preserve"> —</w:t>
      </w:r>
      <w:r w:rsidR="00BA7FC8">
        <w:t xml:space="preserve"> and the trial court imposed</w:t>
      </w:r>
      <w:r w:rsidR="00394732">
        <w:t xml:space="preserve"> —</w:t>
      </w:r>
      <w:r w:rsidR="00BA7FC8">
        <w:t xml:space="preserve"> a </w:t>
      </w:r>
      <w:r w:rsidR="00860F25">
        <w:t xml:space="preserve">sentence </w:t>
      </w:r>
      <w:r w:rsidR="00BA7FC8">
        <w:t>of 18 years</w:t>
      </w:r>
      <w:r w:rsidR="00454306">
        <w:t xml:space="preserve">, which </w:t>
      </w:r>
      <w:r w:rsidR="007724B3">
        <w:t>consisted</w:t>
      </w:r>
      <w:r w:rsidR="00454306">
        <w:t xml:space="preserve"> of the</w:t>
      </w:r>
      <w:r w:rsidR="004C2C00">
        <w:t xml:space="preserve"> upper term of </w:t>
      </w:r>
      <w:r w:rsidR="00A1296B">
        <w:t xml:space="preserve">eight years for </w:t>
      </w:r>
      <w:r w:rsidR="004C2C00">
        <w:t>forcible oral copulation</w:t>
      </w:r>
      <w:r w:rsidR="00C86B1B">
        <w:t>,</w:t>
      </w:r>
      <w:r w:rsidR="004C2C00">
        <w:t xml:space="preserve"> </w:t>
      </w:r>
      <w:r>
        <w:t>one</w:t>
      </w:r>
      <w:r w:rsidR="00C86B1B">
        <w:t xml:space="preserve"> year</w:t>
      </w:r>
      <w:r>
        <w:t xml:space="preserve"> for </w:t>
      </w:r>
      <w:r w:rsidR="00E60EFD">
        <w:t>injuring a domestic partner</w:t>
      </w:r>
      <w:r w:rsidR="00C86B1B">
        <w:t xml:space="preserve"> plus a five-year great bodily injury enhancement</w:t>
      </w:r>
      <w:r w:rsidR="00E60EFD">
        <w:t xml:space="preserve">, </w:t>
      </w:r>
      <w:r w:rsidR="00C86B1B">
        <w:t xml:space="preserve">eight months for </w:t>
      </w:r>
      <w:r w:rsidR="00E60EFD">
        <w:t>false imprisonment</w:t>
      </w:r>
      <w:r w:rsidR="00C86B1B">
        <w:t>,</w:t>
      </w:r>
      <w:r w:rsidR="00E60EFD">
        <w:t xml:space="preserve"> </w:t>
      </w:r>
      <w:r w:rsidR="00C86B1B">
        <w:t xml:space="preserve">one year for </w:t>
      </w:r>
      <w:r w:rsidR="00E60EFD">
        <w:t>assault with a deadly weapon</w:t>
      </w:r>
      <w:r w:rsidR="00454306">
        <w:t>, and</w:t>
      </w:r>
      <w:r w:rsidR="00B61156">
        <w:t xml:space="preserve"> </w:t>
      </w:r>
      <w:r w:rsidR="00F4531A">
        <w:t>one</w:t>
      </w:r>
      <w:r w:rsidR="00B61156">
        <w:t xml:space="preserve"> </w:t>
      </w:r>
      <w:r w:rsidR="00E22134">
        <w:t>consecutive</w:t>
      </w:r>
      <w:r w:rsidR="00B61156">
        <w:t xml:space="preserve"> year</w:t>
      </w:r>
      <w:r w:rsidR="00F4531A">
        <w:t xml:space="preserve"> for each prison prior</w:t>
      </w:r>
      <w:r w:rsidR="00B61156">
        <w:t xml:space="preserve">.  </w:t>
      </w:r>
    </w:p>
    <w:p w:rsidR="00AF6872" w:rsidRPr="007E174D" w:rsidP="007E174D" w14:paraId="348078F0" w14:textId="7CEF1223">
      <w:r>
        <w:tab/>
        <w:t>After the Department of Correction</w:t>
      </w:r>
      <w:r w:rsidR="00192E30">
        <w:t>s</w:t>
      </w:r>
      <w:r>
        <w:t xml:space="preserve"> and Rehabilitation </w:t>
      </w:r>
      <w:r w:rsidR="00196416">
        <w:t xml:space="preserve">(CDCR) </w:t>
      </w:r>
      <w:r>
        <w:t>notified the trial court of various errors in the abstract of judgment, the court</w:t>
      </w:r>
      <w:r w:rsidR="00767F85">
        <w:t> </w:t>
      </w:r>
      <w:r>
        <w:t xml:space="preserve">— with the agreement of the parties — imposed the great bodily injury enhancement on the forcible oral copulation plea and corrected the abstract of judgment to reflect a sentence of 17 years and eight months. </w:t>
      </w:r>
      <w:r w:rsidR="00F0492E">
        <w:t xml:space="preserve"> </w:t>
      </w:r>
      <w:r w:rsidR="005751DA">
        <w:t>A</w:t>
      </w:r>
      <w:r w:rsidR="00EC082E">
        <w:t>nd a</w:t>
      </w:r>
      <w:r w:rsidR="005751DA">
        <w:t>fter the Legislature enacted Sen</w:t>
      </w:r>
      <w:r w:rsidR="004B08C9">
        <w:t>.</w:t>
      </w:r>
      <w:r w:rsidR="005751DA">
        <w:t xml:space="preserve"> Bill 483, the court dismissed </w:t>
      </w:r>
      <w:r w:rsidR="00F0492E">
        <w:t>both one-year prison priors</w:t>
      </w:r>
      <w:r w:rsidR="00096670">
        <w:t>,</w:t>
      </w:r>
      <w:r w:rsidR="00F0492E">
        <w:t xml:space="preserve"> but </w:t>
      </w:r>
      <w:r w:rsidR="00096670">
        <w:t xml:space="preserve">it </w:t>
      </w:r>
      <w:r w:rsidR="00F0492E">
        <w:t xml:space="preserve">did not </w:t>
      </w:r>
      <w:r w:rsidR="00D2204C">
        <w:t xml:space="preserve">conduct </w:t>
      </w:r>
      <w:r w:rsidR="00F0492E">
        <w:t xml:space="preserve">a </w:t>
      </w:r>
      <w:r w:rsidR="00D2204C">
        <w:t xml:space="preserve">resentencing </w:t>
      </w:r>
      <w:r w:rsidR="00F0492E">
        <w:t>hearing</w:t>
      </w:r>
      <w:r w:rsidR="00D2204C">
        <w:t xml:space="preserve"> in Montgomery’s presence</w:t>
      </w:r>
      <w:r w:rsidR="00F0492E">
        <w:t>.</w:t>
      </w:r>
    </w:p>
    <w:p w:rsidR="00414333" w:rsidP="00D4571C" w14:paraId="265EEE11" w14:textId="22DABBFF">
      <w:pPr>
        <w:keepNext/>
        <w:widowControl w:val="0"/>
        <w:jc w:val="center"/>
        <w:rPr>
          <w:b/>
          <w:bCs/>
        </w:rPr>
      </w:pPr>
      <w:r>
        <w:rPr>
          <w:b/>
          <w:bCs/>
        </w:rPr>
        <w:t>DISCUSSION</w:t>
      </w:r>
    </w:p>
    <w:p w:rsidR="00096670" w:rsidP="00C41A12" w14:paraId="73519080" w14:textId="2099AF8D">
      <w:r>
        <w:tab/>
      </w:r>
      <w:r w:rsidR="00F0344C">
        <w:t>The parties agree</w:t>
      </w:r>
      <w:r>
        <w:t xml:space="preserve"> </w:t>
      </w:r>
      <w:r w:rsidR="003B713B">
        <w:t>Sen</w:t>
      </w:r>
      <w:r w:rsidR="004B08C9">
        <w:t>.</w:t>
      </w:r>
      <w:r w:rsidR="003B713B">
        <w:t xml:space="preserve"> Bill 483 </w:t>
      </w:r>
      <w:r w:rsidR="0042273A">
        <w:t xml:space="preserve">not only invalidated </w:t>
      </w:r>
      <w:r w:rsidR="00B16CD8">
        <w:t>Montgomery’s</w:t>
      </w:r>
      <w:r w:rsidR="0042273A">
        <w:t xml:space="preserve"> </w:t>
      </w:r>
      <w:r w:rsidR="00891618">
        <w:t>prison priors</w:t>
      </w:r>
      <w:r>
        <w:t xml:space="preserve">, it </w:t>
      </w:r>
      <w:r w:rsidR="0008783E">
        <w:t xml:space="preserve">mandated </w:t>
      </w:r>
      <w:r w:rsidR="00814187">
        <w:t>a</w:t>
      </w:r>
      <w:r w:rsidR="003B713B">
        <w:t xml:space="preserve"> full</w:t>
      </w:r>
      <w:r w:rsidR="00C9044A">
        <w:t xml:space="preserve"> resentencing hearing</w:t>
      </w:r>
      <w:r>
        <w:t xml:space="preserve"> —</w:t>
      </w:r>
      <w:r w:rsidR="003B713B">
        <w:t xml:space="preserve"> </w:t>
      </w:r>
      <w:r w:rsidR="0008783E">
        <w:t xml:space="preserve">with </w:t>
      </w:r>
      <w:r w:rsidR="00EC082E">
        <w:t xml:space="preserve">a </w:t>
      </w:r>
      <w:r w:rsidR="003B713B">
        <w:t>right to be</w:t>
      </w:r>
      <w:r w:rsidR="000F0D46">
        <w:t xml:space="preserve"> </w:t>
      </w:r>
      <w:r w:rsidR="003B713B">
        <w:t xml:space="preserve">present, </w:t>
      </w:r>
      <w:r w:rsidR="005B06D5">
        <w:t>represented by counsel</w:t>
      </w:r>
      <w:r w:rsidR="003B713B">
        <w:t>, and present evidence</w:t>
      </w:r>
      <w:r w:rsidR="000F0D46">
        <w:t xml:space="preserve"> </w:t>
      </w:r>
      <w:r w:rsidR="00B07C79">
        <w:t xml:space="preserve">at </w:t>
      </w:r>
      <w:r w:rsidR="003B713B">
        <w:t>the hearing</w:t>
      </w:r>
      <w:r>
        <w:t xml:space="preserve">. </w:t>
      </w:r>
      <w:r w:rsidR="00C9044A">
        <w:t xml:space="preserve"> </w:t>
      </w:r>
      <w:r>
        <w:t>We likewise agree, reverse the trial court’s order striking the prison priors, and remand for a resentencing hearing under section 1172.75.</w:t>
      </w:r>
    </w:p>
    <w:p w:rsidR="00635B35" w:rsidP="00454306" w14:paraId="447F875C" w14:textId="42F06BE5">
      <w:pPr>
        <w:ind w:firstLine="720"/>
      </w:pPr>
      <w:r>
        <w:t>But t</w:t>
      </w:r>
      <w:r w:rsidR="007716C4">
        <w:t xml:space="preserve">he </w:t>
      </w:r>
      <w:r w:rsidR="00096670">
        <w:t xml:space="preserve">parties disagree on one remaining point.  The </w:t>
      </w:r>
      <w:r w:rsidR="007716C4">
        <w:t>Attorney General argues that</w:t>
      </w:r>
      <w:r w:rsidR="00096670">
        <w:t>,</w:t>
      </w:r>
      <w:r w:rsidR="007716C4">
        <w:t xml:space="preserve"> if the </w:t>
      </w:r>
      <w:r w:rsidR="00096670">
        <w:t xml:space="preserve">trial </w:t>
      </w:r>
      <w:r w:rsidR="007716C4">
        <w:t>court is inclined to reduce</w:t>
      </w:r>
      <w:r w:rsidR="00197B8A">
        <w:t xml:space="preserve"> </w:t>
      </w:r>
      <w:r w:rsidR="00096670">
        <w:t xml:space="preserve">Montgomery’s </w:t>
      </w:r>
      <w:r w:rsidR="007716C4">
        <w:t>sentence beyond dismissing the prison priors</w:t>
      </w:r>
      <w:r w:rsidR="00891618">
        <w:t>,</w:t>
      </w:r>
      <w:r w:rsidR="007716C4">
        <w:t xml:space="preserve"> the prosecutor must be permitted to amend or withdraw from the plea agreement</w:t>
      </w:r>
      <w:r w:rsidR="006C5014">
        <w:t xml:space="preserve">, </w:t>
      </w:r>
      <w:r w:rsidR="004F2C32">
        <w:t>return</w:t>
      </w:r>
      <w:r w:rsidR="006C5014">
        <w:t>ing the parties</w:t>
      </w:r>
      <w:r w:rsidR="004F2C32">
        <w:t xml:space="preserve"> to the status quo ante</w:t>
      </w:r>
      <w:r w:rsidR="007716C4">
        <w:t xml:space="preserve">.  </w:t>
      </w:r>
      <w:r w:rsidR="00096670">
        <w:t xml:space="preserve">For his part, </w:t>
      </w:r>
      <w:r w:rsidR="007716C4">
        <w:t xml:space="preserve">Montgomery contends the prosecutor </w:t>
      </w:r>
      <w:r w:rsidR="003F7D4E">
        <w:t>cannot</w:t>
      </w:r>
      <w:r w:rsidR="007716C4">
        <w:t xml:space="preserve"> withdraw from the </w:t>
      </w:r>
      <w:r w:rsidR="00096670">
        <w:t xml:space="preserve">plea </w:t>
      </w:r>
      <w:r w:rsidR="007716C4">
        <w:t xml:space="preserve">agreement </w:t>
      </w:r>
      <w:r w:rsidR="00096670">
        <w:t xml:space="preserve">due to </w:t>
      </w:r>
      <w:r w:rsidR="007716C4">
        <w:t>any</w:t>
      </w:r>
      <w:r w:rsidR="006A51FE">
        <w:t xml:space="preserve"> </w:t>
      </w:r>
      <w:r w:rsidR="00A65D9F">
        <w:t xml:space="preserve">sentence </w:t>
      </w:r>
      <w:r w:rsidR="006A51FE">
        <w:t>reduction</w:t>
      </w:r>
      <w:r w:rsidR="007716C4">
        <w:t xml:space="preserve"> </w:t>
      </w:r>
      <w:r w:rsidR="003F7D4E">
        <w:t>at the hearing</w:t>
      </w:r>
      <w:r w:rsidR="00891618">
        <w:t>,</w:t>
      </w:r>
      <w:r w:rsidR="007716C4">
        <w:t xml:space="preserve"> even </w:t>
      </w:r>
      <w:r w:rsidR="00096670">
        <w:t xml:space="preserve">one </w:t>
      </w:r>
      <w:r w:rsidR="00891618">
        <w:t xml:space="preserve">due to </w:t>
      </w:r>
      <w:r w:rsidR="003F7D4E">
        <w:t xml:space="preserve">enactments other </w:t>
      </w:r>
      <w:r w:rsidR="00891618">
        <w:t>than Sen</w:t>
      </w:r>
      <w:r w:rsidR="004B08C9">
        <w:t>.</w:t>
      </w:r>
      <w:r w:rsidR="00891618">
        <w:t xml:space="preserve"> Bill 483</w:t>
      </w:r>
      <w:r w:rsidR="007716C4">
        <w:t xml:space="preserve">. </w:t>
      </w:r>
      <w:r w:rsidR="00C9044A">
        <w:t xml:space="preserve"> We </w:t>
      </w:r>
      <w:r w:rsidR="001A0427">
        <w:t xml:space="preserve">conclude </w:t>
      </w:r>
      <w:r w:rsidR="00C30511">
        <w:t>Montgomery</w:t>
      </w:r>
      <w:r w:rsidR="001A0427">
        <w:t xml:space="preserve"> has the better argument</w:t>
      </w:r>
      <w:r w:rsidR="007716C4">
        <w:t>.</w:t>
      </w:r>
      <w:r w:rsidRPr="007D23D8" w:rsidR="007D23D8">
        <w:rPr>
          <w:rStyle w:val="FootnoteReference"/>
        </w:rPr>
        <w:t xml:space="preserve"> </w:t>
      </w:r>
    </w:p>
    <w:p w:rsidR="006911A8" w:rsidP="00C41A12" w14:paraId="74DB60F3" w14:textId="4F982CF0">
      <w:r>
        <w:tab/>
        <w:t xml:space="preserve">Section 1172.75 provides </w:t>
      </w:r>
      <w:r w:rsidR="00A735C3">
        <w:t>“</w:t>
      </w:r>
      <w:r w:rsidR="00192E30">
        <w:t>[</w:t>
      </w:r>
      <w:r>
        <w:t>a</w:t>
      </w:r>
      <w:r w:rsidR="00192E30">
        <w:t>]</w:t>
      </w:r>
      <w:r>
        <w:t xml:space="preserve">ny sentence enhancement that was imposed </w:t>
      </w:r>
      <w:r w:rsidR="00DF7838">
        <w:t xml:space="preserve">prior </w:t>
      </w:r>
      <w:r>
        <w:t>to January 1, 2020, pursuant to subdivision (b) of Section 667.5</w:t>
      </w:r>
      <w:r w:rsidR="007716C4">
        <w:t xml:space="preserve"> [a prison prior]</w:t>
      </w:r>
      <w:r>
        <w:t>, except for any enhancement imposed for a prior conviction for a sexually violent offense</w:t>
      </w:r>
      <w:r w:rsidR="00BD0635">
        <w:t xml:space="preserve"> . . .</w:t>
      </w:r>
      <w:r>
        <w:t xml:space="preserve"> is legally invalid.”  (</w:t>
      </w:r>
      <w:r w:rsidR="00AA5C3E">
        <w:t>§</w:t>
      </w:r>
      <w:r w:rsidRPr="00A735C3" w:rsidR="00A735C3">
        <w:t xml:space="preserve"> 1172.75</w:t>
      </w:r>
      <w:r w:rsidR="00A735C3">
        <w:t xml:space="preserve">, subd. (a); </w:t>
      </w:r>
      <w:r w:rsidRPr="00A735C3" w:rsidR="00A735C3">
        <w:rPr>
          <w:i/>
          <w:iCs/>
        </w:rPr>
        <w:t>People v. Monroe</w:t>
      </w:r>
      <w:r w:rsidRPr="00A735C3" w:rsidR="00A735C3">
        <w:t xml:space="preserve"> (2022) 85 Cal.App.5th 393, 399</w:t>
      </w:r>
      <w:r w:rsidR="00C8745F">
        <w:t xml:space="preserve"> (</w:t>
      </w:r>
      <w:r w:rsidR="00C8745F">
        <w:rPr>
          <w:i/>
          <w:iCs/>
        </w:rPr>
        <w:t>Monroe</w:t>
      </w:r>
      <w:r w:rsidR="00C8745F">
        <w:t>)</w:t>
      </w:r>
      <w:r w:rsidRPr="00A735C3" w:rsidR="00A735C3">
        <w:t>.</w:t>
      </w:r>
      <w:r>
        <w:t>)  Once the CDCR identifies those persons serving a term which includes a</w:t>
      </w:r>
      <w:r w:rsidR="00196416">
        <w:t xml:space="preserve"> prison prior</w:t>
      </w:r>
      <w:r>
        <w:t xml:space="preserve">, “ ‘the court shall recall the sentence and resentence the defendant.’ ”  </w:t>
      </w:r>
      <w:r w:rsidRPr="001A0427">
        <w:t>(</w:t>
      </w:r>
      <w:r w:rsidR="009203B8">
        <w:rPr>
          <w:i/>
          <w:iCs/>
        </w:rPr>
        <w:t>Monroe</w:t>
      </w:r>
      <w:r w:rsidR="009203B8">
        <w:t>, at p.</w:t>
      </w:r>
      <w:r w:rsidR="004B08C9">
        <w:t> </w:t>
      </w:r>
      <w:r w:rsidR="009203B8">
        <w:t>399</w:t>
      </w:r>
      <w:r w:rsidR="001A0427">
        <w:rPr>
          <w:i/>
          <w:iCs/>
        </w:rPr>
        <w:t>.</w:t>
      </w:r>
      <w:r w:rsidRPr="001A0427">
        <w:t>)</w:t>
      </w:r>
    </w:p>
    <w:p w:rsidR="007716C4" w:rsidP="00C41A12" w14:paraId="2DCB4A97" w14:textId="5A6BF5F6">
      <w:r>
        <w:tab/>
      </w:r>
      <w:r w:rsidR="00CA4B31">
        <w:t>“By its plain terms, section 1172.7</w:t>
      </w:r>
      <w:r w:rsidR="00DF7838">
        <w:t>5</w:t>
      </w:r>
      <w:r w:rsidR="00CA4B31">
        <w:t xml:space="preserve"> requires a full resentencing, not merely that the trial court strike the newly ‘invalid’ enhancements.”  (</w:t>
      </w:r>
      <w:r w:rsidR="00CA4B31">
        <w:rPr>
          <w:i/>
          <w:iCs/>
        </w:rPr>
        <w:t>Monroe</w:t>
      </w:r>
      <w:r w:rsidR="00CA4B31">
        <w:t xml:space="preserve">, </w:t>
      </w:r>
      <w:r w:rsidR="00CA4B31">
        <w:rPr>
          <w:i/>
          <w:iCs/>
        </w:rPr>
        <w:t>supra</w:t>
      </w:r>
      <w:r w:rsidR="00CA4B31">
        <w:t xml:space="preserve">, 85 Cal.App.5th at p. 402.)  </w:t>
      </w:r>
      <w:r w:rsidR="00394F2C">
        <w:t>“The resentencing ‘shall result in a lesser sentence than the one originally imposed</w:t>
      </w:r>
      <w:r w:rsidR="00EE05BF">
        <w:t>’ ”</w:t>
      </w:r>
      <w:r w:rsidR="00394F2C">
        <w:t xml:space="preserve"> unless the court finds </w:t>
      </w:r>
      <w:r w:rsidR="00EE05BF">
        <w:t>“ ‘</w:t>
      </w:r>
      <w:r w:rsidR="00394F2C">
        <w:t>that imposing a lesser sentence would endanger public safety</w:t>
      </w:r>
      <w:r w:rsidR="0068505B">
        <w:t>,</w:t>
      </w:r>
      <w:r w:rsidR="00394F2C">
        <w:t>’ ”</w:t>
      </w:r>
      <w:r w:rsidR="0068505B">
        <w:t xml:space="preserve"> </w:t>
      </w:r>
      <w:r w:rsidR="00CA4B31">
        <w:t>but</w:t>
      </w:r>
      <w:r w:rsidR="0068505B">
        <w:t xml:space="preserve"> it may not </w:t>
      </w:r>
      <w:r w:rsidR="00B71A5D">
        <w:t>impose</w:t>
      </w:r>
      <w:r w:rsidR="0068505B">
        <w:t xml:space="preserve"> a longer sentence.</w:t>
      </w:r>
      <w:r w:rsidR="00C41A12">
        <w:t xml:space="preserve">  </w:t>
      </w:r>
      <w:r w:rsidR="00394F2C">
        <w:t>(</w:t>
      </w:r>
      <w:r w:rsidR="00394732">
        <w:rPr>
          <w:i/>
          <w:iCs/>
        </w:rPr>
        <w:t>Id.</w:t>
      </w:r>
      <w:r w:rsidR="00394732">
        <w:t xml:space="preserve"> at p. 399; </w:t>
      </w:r>
      <w:r w:rsidR="00CA4B31">
        <w:t>§ 1172.75, subd. (d)(1)</w:t>
      </w:r>
      <w:r w:rsidR="00394F2C">
        <w:t xml:space="preserve">.) </w:t>
      </w:r>
      <w:r w:rsidR="00C41A12">
        <w:t xml:space="preserve"> </w:t>
      </w:r>
      <w:r w:rsidR="006F3637">
        <w:t xml:space="preserve">The </w:t>
      </w:r>
      <w:r w:rsidR="00597ACC">
        <w:t>“ ‘</w:t>
      </w:r>
      <w:r w:rsidR="006F3637">
        <w:t xml:space="preserve">court shall apply the sentencing rules of the Judicial Council and apply any other changes in law that reduce sentences or provide for judicial discretion so as to eliminate disparity of sentences and to promote uniformity of sentencing.’ ”  </w:t>
      </w:r>
      <w:r>
        <w:t>(</w:t>
      </w:r>
      <w:r w:rsidR="00394732">
        <w:rPr>
          <w:i/>
          <w:iCs/>
        </w:rPr>
        <w:t>Monroe</w:t>
      </w:r>
      <w:r w:rsidR="00394732">
        <w:t xml:space="preserve">, at p. 399; </w:t>
      </w:r>
      <w:r w:rsidR="00B71A5D">
        <w:t>§ 1172.75, subd. (d)(2)</w:t>
      </w:r>
      <w:r>
        <w:t xml:space="preserve">.)  </w:t>
      </w:r>
      <w:r w:rsidR="006B5B89">
        <w:t xml:space="preserve">The court may consider </w:t>
      </w:r>
      <w:r w:rsidR="0068505B">
        <w:t>postconviction</w:t>
      </w:r>
      <w:r w:rsidR="006B5B89">
        <w:t xml:space="preserve"> factors, including but not limited to the defendant’s disciplinary record, evidence indicating the defendant’s risk for future violence has diminished, or </w:t>
      </w:r>
      <w:r w:rsidR="00D30AD3">
        <w:t xml:space="preserve">evidence </w:t>
      </w:r>
      <w:r w:rsidR="006B5B89">
        <w:t xml:space="preserve">that circumstances have changed since the original sentencing so that continued incarceration is no longer in the interests of justice. </w:t>
      </w:r>
      <w:r w:rsidR="00797DE9">
        <w:t xml:space="preserve"> </w:t>
      </w:r>
      <w:r w:rsidR="006B5B89">
        <w:t>(</w:t>
      </w:r>
      <w:r w:rsidR="006B271B">
        <w:rPr>
          <w:i/>
          <w:iCs/>
        </w:rPr>
        <w:t>Monroe</w:t>
      </w:r>
      <w:r w:rsidR="006B271B">
        <w:t>, at p. 399; § 1172.75, subd. (d)(3).</w:t>
      </w:r>
      <w:r w:rsidR="006B5B89">
        <w:t>)</w:t>
      </w:r>
      <w:r w:rsidR="00797DE9">
        <w:t xml:space="preserve">  </w:t>
      </w:r>
    </w:p>
    <w:p w:rsidR="00767F85" w:rsidP="0043019C" w14:paraId="287FF9AC" w14:textId="77777777">
      <w:r>
        <w:tab/>
      </w:r>
      <w:r w:rsidR="00B540BD">
        <w:t>“[L]ong-standing law limits the court’s unilateral authority to strike an enhancement yet maintain other provision</w:t>
      </w:r>
      <w:r w:rsidR="00CA683C">
        <w:t>s</w:t>
      </w:r>
      <w:r w:rsidR="00B540BD">
        <w:t xml:space="preserve"> of the plea bargain.”  (</w:t>
      </w:r>
      <w:r w:rsidR="00B540BD">
        <w:rPr>
          <w:i/>
          <w:iCs/>
        </w:rPr>
        <w:t>People v. Stamps</w:t>
      </w:r>
      <w:r w:rsidR="00B540BD">
        <w:t xml:space="preserve"> (2020) 9 Cal.5th 685, 701</w:t>
      </w:r>
      <w:r w:rsidR="00641F95">
        <w:t>.</w:t>
      </w:r>
      <w:r w:rsidR="001F214A">
        <w:t>)</w:t>
      </w:r>
      <w:r w:rsidR="00B540BD">
        <w:t xml:space="preserve">  S</w:t>
      </w:r>
      <w:r w:rsidR="00E66B1A">
        <w:t xml:space="preserve">ection 1192.5 constrains </w:t>
      </w:r>
      <w:r w:rsidR="006C5014">
        <w:t xml:space="preserve">a </w:t>
      </w:r>
      <w:r w:rsidR="00E66B1A">
        <w:t>trial court’s actions when the parties have agreed to a plea deal.</w:t>
      </w:r>
      <w:r w:rsidR="001765B4">
        <w:t xml:space="preserve">  (</w:t>
      </w:r>
      <w:r w:rsidR="001765B4">
        <w:rPr>
          <w:i/>
          <w:iCs/>
        </w:rPr>
        <w:t>People v. Prudholme</w:t>
      </w:r>
      <w:r w:rsidR="001765B4">
        <w:t xml:space="preserve"> (2023) 14 Cal.5th 961, 973</w:t>
      </w:r>
      <w:r w:rsidR="00EE05BF">
        <w:t xml:space="preserve"> </w:t>
      </w:r>
      <w:r w:rsidR="00941197">
        <w:t>[</w:t>
      </w:r>
      <w:r w:rsidR="001765B4">
        <w:t>“ ‘</w:t>
      </w:r>
      <w:r w:rsidR="007A7337">
        <w:t xml:space="preserve"> “</w:t>
      </w:r>
      <w:r w:rsidR="001765B4">
        <w:t>judge who has accepted a plea bargain is bound to impose a sentence within the limits of that bargain</w:t>
      </w:r>
      <w:r w:rsidR="007A7337">
        <w:t xml:space="preserve">” </w:t>
      </w:r>
      <w:r w:rsidR="001765B4">
        <w:t>’ ”</w:t>
      </w:r>
      <w:r w:rsidR="00941197">
        <w:t>].)</w:t>
      </w:r>
      <w:r w:rsidR="001765B4">
        <w:t xml:space="preserve">  </w:t>
      </w:r>
      <w:r w:rsidR="00611A38">
        <w:t xml:space="preserve">Once </w:t>
      </w:r>
      <w:r w:rsidR="00630B8F">
        <w:t>the</w:t>
      </w:r>
      <w:r w:rsidR="00611A38">
        <w:t xml:space="preserve"> court approves a plea agreement, </w:t>
      </w:r>
      <w:r w:rsidR="00EE05BF">
        <w:t>“ </w:t>
      </w:r>
      <w:r w:rsidR="001765B4">
        <w:t>‘the court may not proceed as to the plea other than as specified in the plea.’ ”  (</w:t>
      </w:r>
      <w:r w:rsidR="001765B4">
        <w:rPr>
          <w:i/>
          <w:iCs/>
        </w:rPr>
        <w:t>Ibid</w:t>
      </w:r>
      <w:r w:rsidR="006F1C75">
        <w:t>; § 1192.5, subd. (b)</w:t>
      </w:r>
      <w:r w:rsidR="000D5759">
        <w:t>.</w:t>
      </w:r>
      <w:r w:rsidR="001765B4">
        <w:t xml:space="preserve">)  </w:t>
      </w:r>
      <w:r w:rsidR="006C5014">
        <w:t xml:space="preserve">The court thus </w:t>
      </w:r>
      <w:r w:rsidR="001765B4">
        <w:t xml:space="preserve">lacks jurisdiction to alter the terms of </w:t>
      </w:r>
      <w:r w:rsidR="000D5759">
        <w:t>the</w:t>
      </w:r>
      <w:r w:rsidR="001765B4">
        <w:t xml:space="preserve"> plea agreement </w:t>
      </w:r>
      <w:r w:rsidR="00C1753B">
        <w:t xml:space="preserve">so it becomes more favorable to the defendant </w:t>
      </w:r>
      <w:r w:rsidR="001765B4">
        <w:t>unless the parties agree otherwise</w:t>
      </w:r>
      <w:r w:rsidR="005E50F8">
        <w:t>.  (</w:t>
      </w:r>
      <w:r w:rsidR="00A0429C">
        <w:rPr>
          <w:i/>
          <w:iCs/>
        </w:rPr>
        <w:t>Prudholme</w:t>
      </w:r>
      <w:r w:rsidR="00A0429C">
        <w:t>, at p. 973</w:t>
      </w:r>
      <w:r w:rsidR="005E50F8">
        <w:rPr>
          <w:i/>
          <w:iCs/>
        </w:rPr>
        <w:t>.</w:t>
      </w:r>
      <w:r w:rsidR="005E50F8">
        <w:t>)</w:t>
      </w:r>
      <w:r w:rsidR="001F214A">
        <w:t xml:space="preserve">  </w:t>
      </w:r>
      <w:r w:rsidR="005E50F8">
        <w:t>“</w:t>
      </w:r>
      <w:r w:rsidR="00146D01">
        <w:t> ‘</w:t>
      </w:r>
      <w:r w:rsidR="00F6701A">
        <w:t xml:space="preserve"> “</w:t>
      </w:r>
      <w:r w:rsidR="005E50F8">
        <w:t xml:space="preserve">[O]nce a court withdraws its approval of a plea bargain, the court cannot </w:t>
      </w:r>
      <w:r w:rsidR="00F6701A">
        <w:t>‘</w:t>
      </w:r>
      <w:r w:rsidR="005E50F8">
        <w:t>proceed to apply and enforce certain parts of the plea bargain, while ignoring</w:t>
      </w:r>
      <w:r w:rsidR="00F6701A">
        <w:t>’</w:t>
      </w:r>
      <w:r w:rsidR="005E50F8">
        <w:t xml:space="preserve"> others.</w:t>
      </w:r>
      <w:r w:rsidR="00F6701A">
        <w:t xml:space="preserve">” </w:t>
      </w:r>
      <w:r w:rsidR="00146D01">
        <w:t>’ </w:t>
      </w:r>
      <w:r w:rsidR="005E50F8">
        <w:t>”  (</w:t>
      </w:r>
      <w:r w:rsidR="00146D01">
        <w:rPr>
          <w:i/>
          <w:iCs/>
        </w:rPr>
        <w:t>Stamps</w:t>
      </w:r>
      <w:r w:rsidRPr="006173AC" w:rsidR="00146D01">
        <w:t>,</w:t>
      </w:r>
      <w:r w:rsidR="005E50F8">
        <w:t xml:space="preserve"> </w:t>
      </w:r>
      <w:r w:rsidR="00146D01">
        <w:t>at pp. </w:t>
      </w:r>
      <w:r w:rsidR="00233553">
        <w:t>706–707</w:t>
      </w:r>
      <w:r w:rsidR="005E50F8">
        <w:t>.)  “ ‘</w:t>
      </w:r>
      <w:r w:rsidR="00C544D9">
        <w:t> “</w:t>
      </w:r>
      <w:r w:rsidR="005E50F8">
        <w:t>Instead, the court must restore the parties to the status quo ante.</w:t>
      </w:r>
      <w:r w:rsidR="00C544D9">
        <w:t xml:space="preserve">” </w:t>
      </w:r>
      <w:r w:rsidR="005E50F8">
        <w:t xml:space="preserve">’ ”  </w:t>
      </w:r>
    </w:p>
    <w:p w:rsidR="005E50F8" w:rsidP="0043019C" w14:paraId="53F4E58D" w14:textId="7A97B176">
      <w:r>
        <w:t>(</w:t>
      </w:r>
      <w:r w:rsidR="00146D01">
        <w:rPr>
          <w:i/>
          <w:iCs/>
        </w:rPr>
        <w:t>Id</w:t>
      </w:r>
      <w:r>
        <w:rPr>
          <w:i/>
          <w:iCs/>
        </w:rPr>
        <w:t>.</w:t>
      </w:r>
      <w:r w:rsidR="00146D01">
        <w:t xml:space="preserve"> at p. </w:t>
      </w:r>
      <w:r w:rsidR="00233553">
        <w:t>707.</w:t>
      </w:r>
      <w:r>
        <w:t>)</w:t>
      </w:r>
    </w:p>
    <w:p w:rsidR="005E50F8" w:rsidRPr="006173AC" w:rsidP="005E50F8" w14:paraId="7E4AD0DD" w14:textId="1C680876">
      <w:pPr>
        <w:rPr>
          <w:i/>
          <w:iCs/>
        </w:rPr>
      </w:pPr>
      <w:r>
        <w:tab/>
      </w:r>
      <w:r w:rsidR="00375C99">
        <w:t xml:space="preserve">A plea agreement, however, </w:t>
      </w:r>
      <w:r w:rsidR="00344D33">
        <w:t xml:space="preserve">does </w:t>
      </w:r>
      <w:r w:rsidR="00375C99">
        <w:t>incorporate</w:t>
      </w:r>
      <w:r w:rsidR="00344D33">
        <w:t xml:space="preserve"> </w:t>
      </w:r>
      <w:r w:rsidR="006C5014">
        <w:t>“ ‘ “</w:t>
      </w:r>
      <w:r w:rsidR="00375C99">
        <w:t>the reserve power of the state to amend the law.</w:t>
      </w:r>
      <w:r w:rsidR="006C5014">
        <w:t>” ’ ”</w:t>
      </w:r>
      <w:r w:rsidR="00375C99">
        <w:t xml:space="preserve">  (</w:t>
      </w:r>
      <w:r w:rsidR="00375C99">
        <w:rPr>
          <w:i/>
          <w:iCs/>
        </w:rPr>
        <w:t>Doe v. Harris</w:t>
      </w:r>
      <w:r w:rsidR="00375C99">
        <w:t xml:space="preserve"> (2013) 57 Cal.4th 64, 66.)  </w:t>
      </w:r>
      <w:r w:rsidR="001F214A">
        <w:t>A</w:t>
      </w:r>
      <w:r w:rsidR="00375C99">
        <w:t xml:space="preserve"> plea agreement </w:t>
      </w:r>
      <w:r>
        <w:t>“does not have the effect of insulating [the parties] from changes in the law that the Legislature has intended to apply to them.”  (</w:t>
      </w:r>
      <w:r w:rsidR="00375C99">
        <w:rPr>
          <w:i/>
          <w:iCs/>
        </w:rPr>
        <w:t>Ibid</w:t>
      </w:r>
      <w:r w:rsidRPr="00872E8B">
        <w:rPr>
          <w:i/>
          <w:iCs/>
        </w:rPr>
        <w:t>.</w:t>
      </w:r>
      <w:r>
        <w:t xml:space="preserve">)  </w:t>
      </w:r>
      <w:r w:rsidR="00146D01">
        <w:t xml:space="preserve">Thus, the critical inquiry </w:t>
      </w:r>
      <w:r w:rsidR="006C5014">
        <w:t xml:space="preserve">in determining the effect of a change in the law on a plea agreement </w:t>
      </w:r>
      <w:r w:rsidR="00146D01">
        <w:t>is one of legislative intent.  (</w:t>
      </w:r>
      <w:r w:rsidR="00146D01">
        <w:rPr>
          <w:i/>
          <w:iCs/>
        </w:rPr>
        <w:t>Harris v. Superior Court</w:t>
      </w:r>
      <w:r w:rsidR="00146D01">
        <w:t xml:space="preserve"> (2016) 1 Cal.5th 984, 991.)  </w:t>
      </w:r>
      <w:r w:rsidR="0028335E">
        <w:t>Here, in an uncodified s</w:t>
      </w:r>
      <w:r w:rsidR="00797670">
        <w:t>ection of Sen</w:t>
      </w:r>
      <w:r w:rsidR="004B08C9">
        <w:t>.</w:t>
      </w:r>
      <w:r w:rsidR="00797670">
        <w:t xml:space="preserve"> Bill 483</w:t>
      </w:r>
      <w:r w:rsidR="0028335E">
        <w:t xml:space="preserve">, the Legislature </w:t>
      </w:r>
      <w:r w:rsidR="00394732">
        <w:t xml:space="preserve">expressed </w:t>
      </w:r>
      <w:r w:rsidR="006C5014">
        <w:t>that</w:t>
      </w:r>
      <w:r w:rsidR="0028335E">
        <w:t xml:space="preserve"> “any changes to a sentence as a result of the act that added this section shall not be a basis for a prosecutor or court to rescind a plea agreement.”  (Stats. 2021, ch. 728, § 1.)  </w:t>
      </w:r>
    </w:p>
    <w:p w:rsidR="00EC082E" w:rsidP="00480870" w14:paraId="57445DAC" w14:textId="15A2F283">
      <w:pPr>
        <w:ind w:firstLine="720"/>
      </w:pPr>
      <w:r>
        <w:t xml:space="preserve">Two </w:t>
      </w:r>
      <w:r w:rsidR="00663A7C">
        <w:t>courts</w:t>
      </w:r>
      <w:r>
        <w:t xml:space="preserve"> have </w:t>
      </w:r>
      <w:r w:rsidR="00FC0668">
        <w:t>addressed</w:t>
      </w:r>
      <w:r w:rsidR="007724B3">
        <w:t xml:space="preserve"> </w:t>
      </w:r>
      <w:r w:rsidR="00FC0668">
        <w:t>the</w:t>
      </w:r>
      <w:r w:rsidR="007724B3">
        <w:t xml:space="preserve"> ext</w:t>
      </w:r>
      <w:r w:rsidR="00344D33">
        <w:t>e</w:t>
      </w:r>
      <w:r w:rsidR="007724B3">
        <w:t xml:space="preserve">nt </w:t>
      </w:r>
      <w:r w:rsidR="006C5014">
        <w:t xml:space="preserve">to which </w:t>
      </w:r>
      <w:r w:rsidR="007724B3">
        <w:t>the</w:t>
      </w:r>
      <w:r w:rsidR="00FC0668">
        <w:t xml:space="preserve"> </w:t>
      </w:r>
      <w:r w:rsidR="00857E31">
        <w:t>Legislature</w:t>
      </w:r>
      <w:r w:rsidR="000A7EDD">
        <w:t xml:space="preserve"> </w:t>
      </w:r>
      <w:r w:rsidR="00FC0668">
        <w:t xml:space="preserve">has precluded </w:t>
      </w:r>
      <w:r w:rsidR="00622BFD">
        <w:t>prosecutor</w:t>
      </w:r>
      <w:r w:rsidR="00FC0668">
        <w:t>s</w:t>
      </w:r>
      <w:r w:rsidR="00622BFD">
        <w:t xml:space="preserve"> </w:t>
      </w:r>
      <w:r w:rsidR="00FC0668">
        <w:t xml:space="preserve">from </w:t>
      </w:r>
      <w:r w:rsidR="004F2C32">
        <w:t>withdrawing</w:t>
      </w:r>
      <w:r w:rsidR="00622BFD">
        <w:t xml:space="preserve"> from a plea bargain due to </w:t>
      </w:r>
      <w:r w:rsidR="00FC0668">
        <w:t xml:space="preserve">sentence </w:t>
      </w:r>
      <w:r w:rsidR="00622BFD">
        <w:t xml:space="preserve">reductions </w:t>
      </w:r>
      <w:r w:rsidR="00FC0668">
        <w:t>following</w:t>
      </w:r>
      <w:r w:rsidR="000A7EDD">
        <w:t xml:space="preserve"> </w:t>
      </w:r>
      <w:r w:rsidR="00622BFD">
        <w:t>a section 1172.75</w:t>
      </w:r>
      <w:r w:rsidR="00B71A5D">
        <w:t xml:space="preserve"> </w:t>
      </w:r>
      <w:r w:rsidR="00394732">
        <w:t xml:space="preserve">resentencing </w:t>
      </w:r>
      <w:r w:rsidR="00622BFD">
        <w:t>hearin</w:t>
      </w:r>
      <w:r w:rsidR="000A7EDD">
        <w:t>g</w:t>
      </w:r>
      <w:r w:rsidR="00622BFD">
        <w:t xml:space="preserve">.  </w:t>
      </w:r>
      <w:r w:rsidR="00212FCB">
        <w:t xml:space="preserve">In </w:t>
      </w:r>
      <w:r w:rsidR="00212FCB">
        <w:rPr>
          <w:i/>
          <w:iCs/>
        </w:rPr>
        <w:t>People v. Carter</w:t>
      </w:r>
      <w:r w:rsidR="00212FCB">
        <w:t xml:space="preserve"> (2023) 97 Cal.App.5th 960 (</w:t>
      </w:r>
      <w:r w:rsidR="00212FCB">
        <w:rPr>
          <w:i/>
          <w:iCs/>
        </w:rPr>
        <w:t>Carter</w:t>
      </w:r>
      <w:r w:rsidR="00212FCB">
        <w:t xml:space="preserve">), the Fourth District held that the Legislature intended to prohibit the prosecutor from withdrawing from a plea bargain for </w:t>
      </w:r>
      <w:r w:rsidRPr="00872E8B" w:rsidR="00212FCB">
        <w:rPr>
          <w:i/>
          <w:iCs/>
        </w:rPr>
        <w:t>any</w:t>
      </w:r>
      <w:r w:rsidR="00212FCB">
        <w:t xml:space="preserve"> reduction to a sentence, even if the reduction resulted from a code provision other than those enacted by Sen</w:t>
      </w:r>
      <w:r w:rsidR="004B08C9">
        <w:t>.</w:t>
      </w:r>
      <w:r w:rsidR="00212FCB">
        <w:t xml:space="preserve"> Bill 483.  (</w:t>
      </w:r>
      <w:r w:rsidR="009050E8">
        <w:rPr>
          <w:i/>
          <w:iCs/>
        </w:rPr>
        <w:t>Carter</w:t>
      </w:r>
      <w:r w:rsidR="009050E8">
        <w:t>,</w:t>
      </w:r>
      <w:r w:rsidR="00212FCB">
        <w:t xml:space="preserve"> at </w:t>
      </w:r>
      <w:r w:rsidR="007470D6">
        <w:t>p</w:t>
      </w:r>
      <w:r w:rsidR="00212FCB">
        <w:t>p. 964</w:t>
      </w:r>
      <w:r w:rsidR="00071AA1">
        <w:t>, 972–973</w:t>
      </w:r>
      <w:r w:rsidR="00212FCB">
        <w:t xml:space="preserve">.)  </w:t>
      </w:r>
      <w:r w:rsidR="00622BFD">
        <w:t>I</w:t>
      </w:r>
      <w:r w:rsidR="00663A7C">
        <w:t>n</w:t>
      </w:r>
      <w:r w:rsidR="002175D2">
        <w:t xml:space="preserve"> </w:t>
      </w:r>
      <w:r w:rsidR="0011792B">
        <w:rPr>
          <w:i/>
          <w:iCs/>
        </w:rPr>
        <w:t>People v. Coddington</w:t>
      </w:r>
      <w:r w:rsidR="0011792B">
        <w:t xml:space="preserve"> (2023) 96 Cal.App.5th 562</w:t>
      </w:r>
      <w:r w:rsidR="008A31C0">
        <w:t xml:space="preserve"> (</w:t>
      </w:r>
      <w:r w:rsidR="008A31C0">
        <w:rPr>
          <w:i/>
          <w:iCs/>
        </w:rPr>
        <w:t>Coddington</w:t>
      </w:r>
      <w:r w:rsidR="008A31C0">
        <w:t>)</w:t>
      </w:r>
      <w:r w:rsidR="00663A7C">
        <w:t>,</w:t>
      </w:r>
      <w:r w:rsidR="0011792B">
        <w:t xml:space="preserve"> </w:t>
      </w:r>
      <w:r w:rsidR="00212FCB">
        <w:t xml:space="preserve">on the other hand, </w:t>
      </w:r>
      <w:r w:rsidR="00D57902">
        <w:t>D</w:t>
      </w:r>
      <w:r w:rsidR="00622BFD">
        <w:t xml:space="preserve">ivision </w:t>
      </w:r>
      <w:r w:rsidR="00D57902">
        <w:t>O</w:t>
      </w:r>
      <w:r w:rsidR="00622BFD">
        <w:t xml:space="preserve">ne of this court held </w:t>
      </w:r>
      <w:r w:rsidR="00FC0668">
        <w:t xml:space="preserve">that </w:t>
      </w:r>
      <w:r w:rsidR="00622BFD">
        <w:t xml:space="preserve">the Legislature intended to </w:t>
      </w:r>
      <w:r>
        <w:t xml:space="preserve">preclude </w:t>
      </w:r>
      <w:r w:rsidR="007A57CF">
        <w:t>a</w:t>
      </w:r>
      <w:r w:rsidR="00622BFD">
        <w:t xml:space="preserve"> prosecutor</w:t>
      </w:r>
      <w:r w:rsidR="00D30AD3">
        <w:t xml:space="preserve"> </w:t>
      </w:r>
      <w:r w:rsidR="00622BFD">
        <w:t xml:space="preserve">from </w:t>
      </w:r>
      <w:r w:rsidR="00D30AD3">
        <w:t xml:space="preserve">withdrawing from </w:t>
      </w:r>
      <w:r w:rsidR="00622BFD">
        <w:t xml:space="preserve">a plea agreement </w:t>
      </w:r>
      <w:r>
        <w:t xml:space="preserve">when </w:t>
      </w:r>
      <w:r w:rsidR="00B71A5D">
        <w:t>a prison prior</w:t>
      </w:r>
      <w:r>
        <w:t xml:space="preserve"> is struck</w:t>
      </w:r>
      <w:r w:rsidR="007A57CF">
        <w:t xml:space="preserve">, but the prosecutor </w:t>
      </w:r>
      <w:r w:rsidR="007A57CF">
        <w:rPr>
          <w:i/>
          <w:iCs/>
        </w:rPr>
        <w:t xml:space="preserve">can </w:t>
      </w:r>
      <w:r w:rsidR="007A57CF">
        <w:t>withdraw from the agreement if the sentence i</w:t>
      </w:r>
      <w:r w:rsidR="001B140B">
        <w:t>s</w:t>
      </w:r>
      <w:r w:rsidR="007A57CF">
        <w:t xml:space="preserve"> </w:t>
      </w:r>
      <w:r w:rsidR="009050E8">
        <w:t xml:space="preserve">otherwise </w:t>
      </w:r>
      <w:r w:rsidR="007A57CF">
        <w:t>reduced</w:t>
      </w:r>
      <w:r w:rsidR="00622BFD">
        <w:t>.  (</w:t>
      </w:r>
      <w:r w:rsidR="00622BFD">
        <w:rPr>
          <w:i/>
          <w:iCs/>
        </w:rPr>
        <w:t>Id.</w:t>
      </w:r>
      <w:r w:rsidR="00622BFD">
        <w:t xml:space="preserve"> at p. </w:t>
      </w:r>
      <w:r w:rsidR="00252163">
        <w:t>565</w:t>
      </w:r>
      <w:r w:rsidR="00622BFD">
        <w:t xml:space="preserve">.)  </w:t>
      </w:r>
      <w:r w:rsidR="00CA683C">
        <w:t>W</w:t>
      </w:r>
      <w:r w:rsidR="009050E8">
        <w:t xml:space="preserve">e find this to be a rather close issue, </w:t>
      </w:r>
      <w:r w:rsidR="00CA683C">
        <w:t xml:space="preserve">but </w:t>
      </w:r>
      <w:r w:rsidR="009050E8">
        <w:t>w</w:t>
      </w:r>
      <w:r w:rsidR="00DB6B09">
        <w:t xml:space="preserve">e </w:t>
      </w:r>
      <w:r w:rsidR="009050E8">
        <w:t xml:space="preserve">share the views expressed in </w:t>
      </w:r>
      <w:r w:rsidR="009050E8">
        <w:rPr>
          <w:i/>
          <w:iCs/>
        </w:rPr>
        <w:t>Carter</w:t>
      </w:r>
      <w:r w:rsidR="00DB6B09">
        <w:t>.</w:t>
      </w:r>
      <w:r w:rsidR="004E0EF1">
        <w:t xml:space="preserve">  </w:t>
      </w:r>
    </w:p>
    <w:p w:rsidR="00212FCB" w:rsidRPr="00CE5971" w:rsidP="00940779" w14:paraId="5731395D" w14:textId="504983F7">
      <w:pPr>
        <w:ind w:firstLine="720"/>
      </w:pPr>
      <w:r>
        <w:rPr>
          <w:i/>
          <w:iCs/>
        </w:rPr>
        <w:t>Carter</w:t>
      </w:r>
      <w:r>
        <w:t xml:space="preserve"> </w:t>
      </w:r>
      <w:r w:rsidR="009050E8">
        <w:t xml:space="preserve">based its conclusion </w:t>
      </w:r>
      <w:r>
        <w:t xml:space="preserve">on the text </w:t>
      </w:r>
      <w:r w:rsidR="00380F84">
        <w:t xml:space="preserve">and legislative history </w:t>
      </w:r>
      <w:r>
        <w:t xml:space="preserve">of </w:t>
      </w:r>
      <w:r w:rsidR="00C30511">
        <w:t>Sen</w:t>
      </w:r>
      <w:r w:rsidR="004B08C9">
        <w:t>.</w:t>
      </w:r>
      <w:r w:rsidR="00C30511">
        <w:t xml:space="preserve"> Bill 483</w:t>
      </w:r>
      <w:r>
        <w:t xml:space="preserve">.  </w:t>
      </w:r>
      <w:r w:rsidR="004D76F5">
        <w:t>(</w:t>
      </w:r>
      <w:r w:rsidR="004D76F5">
        <w:rPr>
          <w:i/>
          <w:iCs/>
        </w:rPr>
        <w:t>Carter</w:t>
      </w:r>
      <w:r w:rsidR="004D76F5">
        <w:t xml:space="preserve">, </w:t>
      </w:r>
      <w:r w:rsidR="004D76F5">
        <w:rPr>
          <w:i/>
          <w:iCs/>
        </w:rPr>
        <w:t>supra</w:t>
      </w:r>
      <w:r w:rsidR="004D76F5">
        <w:t>, 97 Cal.App.5th at p</w:t>
      </w:r>
      <w:r w:rsidR="009D49C4">
        <w:t>p</w:t>
      </w:r>
      <w:r w:rsidR="004D76F5">
        <w:t>. </w:t>
      </w:r>
      <w:r w:rsidR="009D49C4">
        <w:t>968, 973</w:t>
      </w:r>
      <w:r w:rsidR="00004C1E">
        <w:t>–97</w:t>
      </w:r>
      <w:r w:rsidR="00380F84">
        <w:t>5.</w:t>
      </w:r>
      <w:r>
        <w:t>)  Section 1172.75, subdivision (</w:t>
      </w:r>
      <w:r w:rsidR="009050E8">
        <w:t>d</w:t>
      </w:r>
      <w:r>
        <w:t>)</w:t>
      </w:r>
      <w:r w:rsidR="009050E8">
        <w:t>(2)</w:t>
      </w:r>
      <w:r>
        <w:t xml:space="preserve"> requires </w:t>
      </w:r>
      <w:r w:rsidR="00CA683C">
        <w:t xml:space="preserve">a </w:t>
      </w:r>
      <w:r>
        <w:t>trial court</w:t>
      </w:r>
      <w:r w:rsidR="00CA683C">
        <w:t xml:space="preserve"> </w:t>
      </w:r>
      <w:r w:rsidR="009050E8">
        <w:t>resentencing a defendant</w:t>
      </w:r>
      <w:r>
        <w:t xml:space="preserve"> to “apply the sentencing rules of the Judicial Council and apply any other changes in law that reduce sentences or provide for judicial discretion.”  </w:t>
      </w:r>
      <w:r w:rsidR="009050E8">
        <w:t>Sen</w:t>
      </w:r>
      <w:r w:rsidR="004B08C9">
        <w:t>.</w:t>
      </w:r>
      <w:r w:rsidR="009050E8">
        <w:t xml:space="preserve"> Bill 483’s </w:t>
      </w:r>
      <w:r>
        <w:t xml:space="preserve">uncodified </w:t>
      </w:r>
      <w:r w:rsidR="009050E8">
        <w:t xml:space="preserve">section </w:t>
      </w:r>
      <w:r>
        <w:t xml:space="preserve">expressly </w:t>
      </w:r>
      <w:r w:rsidR="001B140B">
        <w:t>requires</w:t>
      </w:r>
      <w:r>
        <w:t xml:space="preserve"> </w:t>
      </w:r>
      <w:r w:rsidR="009050E8">
        <w:t xml:space="preserve">that </w:t>
      </w:r>
      <w:r>
        <w:t>“</w:t>
      </w:r>
      <w:r w:rsidRPr="00126645">
        <w:rPr>
          <w:i/>
          <w:iCs/>
        </w:rPr>
        <w:t>any changes</w:t>
      </w:r>
      <w:r>
        <w:t xml:space="preserve"> to a sentence as a result of the act that added this section </w:t>
      </w:r>
      <w:r w:rsidRPr="007A7C11">
        <w:rPr>
          <w:i/>
          <w:iCs/>
        </w:rPr>
        <w:t>shall not be a basis for a prosecutor or court to rescind a plea agreement</w:t>
      </w:r>
      <w:r>
        <w:t>.”  (</w:t>
      </w:r>
      <w:r w:rsidR="009050E8">
        <w:t>Stats. 2021, ch. 728, § 1</w:t>
      </w:r>
      <w:r w:rsidR="005F44F2">
        <w:t>, italics added</w:t>
      </w:r>
      <w:r w:rsidR="009050E8">
        <w:t xml:space="preserve">; </w:t>
      </w:r>
      <w:r w:rsidR="006B28BB">
        <w:rPr>
          <w:i/>
          <w:iCs/>
        </w:rPr>
        <w:t>Carter</w:t>
      </w:r>
      <w:r w:rsidR="006B28BB">
        <w:t>, at p. 973</w:t>
      </w:r>
      <w:r w:rsidR="001B140B">
        <w:t>.</w:t>
      </w:r>
      <w:r>
        <w:t xml:space="preserve">)  </w:t>
      </w:r>
      <w:r w:rsidR="009050E8">
        <w:t xml:space="preserve">That language </w:t>
      </w:r>
      <w:r>
        <w:t xml:space="preserve">does not </w:t>
      </w:r>
      <w:r w:rsidR="009050E8">
        <w:t xml:space="preserve">distinguish </w:t>
      </w:r>
      <w:r>
        <w:t>between the striking of prison priors and “</w:t>
      </w:r>
      <w:r w:rsidR="00947755">
        <w:t xml:space="preserve"> ‘</w:t>
      </w:r>
      <w:r>
        <w:t>any other changes in law that reduce sentences or provide for judicial discretion</w:t>
      </w:r>
      <w:r w:rsidR="009050E8">
        <w:t>,</w:t>
      </w:r>
      <w:r w:rsidR="00947755">
        <w:t xml:space="preserve">’ </w:t>
      </w:r>
      <w:r>
        <w:t xml:space="preserve">” </w:t>
      </w:r>
      <w:r w:rsidR="00E64EF7">
        <w:t xml:space="preserve">nor does the </w:t>
      </w:r>
      <w:r w:rsidR="009050E8">
        <w:t xml:space="preserve">bill’s </w:t>
      </w:r>
      <w:r w:rsidR="00E64EF7">
        <w:t>legislative history</w:t>
      </w:r>
      <w:r w:rsidR="002E1461">
        <w:t xml:space="preserve"> make such a distinction</w:t>
      </w:r>
      <w:r w:rsidR="009050E8">
        <w:t>.</w:t>
      </w:r>
      <w:r>
        <w:t xml:space="preserve">  (</w:t>
      </w:r>
      <w:r w:rsidRPr="007A7C11">
        <w:rPr>
          <w:i/>
          <w:iCs/>
        </w:rPr>
        <w:t>Carter</w:t>
      </w:r>
      <w:r w:rsidR="000342A1">
        <w:t>, at p</w:t>
      </w:r>
      <w:r w:rsidR="00F626B9">
        <w:t>p</w:t>
      </w:r>
      <w:r w:rsidR="000342A1">
        <w:t>. </w:t>
      </w:r>
      <w:r w:rsidR="00B159DD">
        <w:t xml:space="preserve">966, </w:t>
      </w:r>
      <w:r w:rsidR="000342A1">
        <w:t>97</w:t>
      </w:r>
      <w:r w:rsidR="00AE4FE6">
        <w:t>2</w:t>
      </w:r>
      <w:r w:rsidR="009050E8">
        <w:t>–</w:t>
      </w:r>
      <w:r w:rsidR="00E64EF7">
        <w:t>975.</w:t>
      </w:r>
      <w:r w:rsidR="000342A1">
        <w:t>)</w:t>
      </w:r>
      <w:r>
        <w:t xml:space="preserve">  </w:t>
      </w:r>
      <w:r w:rsidR="004D76F5">
        <w:t xml:space="preserve">Instead, the uncodified </w:t>
      </w:r>
      <w:r w:rsidR="009050E8">
        <w:t xml:space="preserve">section </w:t>
      </w:r>
      <w:r w:rsidR="004D76F5">
        <w:t>“broadly refers to ‘any changes’ to the sentence.”  (</w:t>
      </w:r>
      <w:r w:rsidR="004D76F5">
        <w:rPr>
          <w:i/>
          <w:iCs/>
        </w:rPr>
        <w:t>I</w:t>
      </w:r>
      <w:r w:rsidR="00E64EF7">
        <w:rPr>
          <w:i/>
          <w:iCs/>
        </w:rPr>
        <w:t>d</w:t>
      </w:r>
      <w:r w:rsidR="000342A1">
        <w:rPr>
          <w:i/>
          <w:iCs/>
        </w:rPr>
        <w:t>.</w:t>
      </w:r>
      <w:r w:rsidR="00E64EF7">
        <w:t xml:space="preserve"> at</w:t>
      </w:r>
      <w:r w:rsidR="002D19AD">
        <w:t> </w:t>
      </w:r>
      <w:r w:rsidR="00E64EF7">
        <w:t>p. 973.</w:t>
      </w:r>
      <w:r w:rsidR="004D76F5">
        <w:t xml:space="preserve">)  </w:t>
      </w:r>
      <w:r w:rsidR="004D76F5">
        <w:rPr>
          <w:i/>
          <w:iCs/>
        </w:rPr>
        <w:t xml:space="preserve">Carter </w:t>
      </w:r>
      <w:r w:rsidRPr="007A57CF" w:rsidR="004D76F5">
        <w:t>concluded</w:t>
      </w:r>
      <w:r w:rsidR="004D76F5">
        <w:t xml:space="preserve"> the Legislature </w:t>
      </w:r>
      <w:r w:rsidR="009050E8">
        <w:t xml:space="preserve">thereby </w:t>
      </w:r>
      <w:r w:rsidR="004D76F5">
        <w:t xml:space="preserve">intended to </w:t>
      </w:r>
      <w:r w:rsidR="009050E8">
        <w:t>preclude a</w:t>
      </w:r>
      <w:r w:rsidR="004D76F5">
        <w:t xml:space="preserve"> prosecutor </w:t>
      </w:r>
      <w:r w:rsidR="009050E8">
        <w:t xml:space="preserve">from rescinding </w:t>
      </w:r>
      <w:r w:rsidR="004D76F5">
        <w:t xml:space="preserve">a plea agreement </w:t>
      </w:r>
      <w:r w:rsidR="009050E8">
        <w:t xml:space="preserve">due to </w:t>
      </w:r>
      <w:r w:rsidRPr="00534D25" w:rsidR="004D76F5">
        <w:rPr>
          <w:i/>
          <w:iCs/>
        </w:rPr>
        <w:t>any</w:t>
      </w:r>
      <w:r w:rsidR="004D76F5">
        <w:t xml:space="preserve"> sentence </w:t>
      </w:r>
      <w:r w:rsidR="009050E8">
        <w:t xml:space="preserve">reduction </w:t>
      </w:r>
      <w:r w:rsidR="004D76F5">
        <w:t>at a section 1172.75 hearing.  (</w:t>
      </w:r>
      <w:r w:rsidR="009050E8">
        <w:rPr>
          <w:i/>
          <w:iCs/>
        </w:rPr>
        <w:t>Carter</w:t>
      </w:r>
      <w:r w:rsidR="009050E8">
        <w:t>,</w:t>
      </w:r>
      <w:r w:rsidR="009050E8">
        <w:rPr>
          <w:i/>
          <w:iCs/>
        </w:rPr>
        <w:t xml:space="preserve"> </w:t>
      </w:r>
      <w:r w:rsidR="004D76F5">
        <w:t xml:space="preserve">at p. 973.)  </w:t>
      </w:r>
      <w:r>
        <w:t xml:space="preserve">We </w:t>
      </w:r>
      <w:r w:rsidR="00DC2B80">
        <w:t>reach the same conclusion</w:t>
      </w:r>
      <w:r>
        <w:t>.  (</w:t>
      </w:r>
      <w:r>
        <w:rPr>
          <w:i/>
          <w:iCs/>
        </w:rPr>
        <w:t>Cornette v. Department of Transportation</w:t>
      </w:r>
      <w:r>
        <w:t xml:space="preserve"> (2001) 26 Cal.4th 63, 73–74 [“A court may not rewrite a statute, either by inserting or omitting language, to make it conform to a presumed intent that is not expressed.”].)</w:t>
      </w:r>
      <w:r w:rsidR="00CE5971">
        <w:t xml:space="preserve"> </w:t>
      </w:r>
    </w:p>
    <w:p w:rsidR="00940779" w:rsidP="00940779" w14:paraId="28BF1608" w14:textId="72EC6F22">
      <w:pPr>
        <w:ind w:firstLine="720"/>
      </w:pPr>
      <w:r>
        <w:t>T</w:t>
      </w:r>
      <w:r w:rsidR="005E6CB4">
        <w:t xml:space="preserve">his interpretation is consistent with other resentencing </w:t>
      </w:r>
      <w:r w:rsidR="00C30511">
        <w:t>provisions</w:t>
      </w:r>
      <w:r w:rsidR="005E6CB4">
        <w:t xml:space="preserve"> </w:t>
      </w:r>
      <w:r w:rsidR="00DC2B80">
        <w:t>in</w:t>
      </w:r>
      <w:r w:rsidR="005E6CB4">
        <w:t xml:space="preserve"> </w:t>
      </w:r>
      <w:r w:rsidR="00DC2B80">
        <w:t>s</w:t>
      </w:r>
      <w:r w:rsidR="00C30511">
        <w:t>ection 1172.75, subdivision (d)</w:t>
      </w:r>
      <w:r w:rsidR="005E6CB4">
        <w:t>.</w:t>
      </w:r>
      <w:r w:rsidR="00C30511">
        <w:t xml:space="preserve">  </w:t>
      </w:r>
      <w:r w:rsidR="001B140B">
        <w:t>(</w:t>
      </w:r>
      <w:r w:rsidR="001B140B">
        <w:rPr>
          <w:i/>
          <w:iCs/>
        </w:rPr>
        <w:t>People v. Prudholme</w:t>
      </w:r>
      <w:r w:rsidR="002E1461">
        <w:t xml:space="preserve">, </w:t>
      </w:r>
      <w:r w:rsidR="002E1461">
        <w:rPr>
          <w:i/>
          <w:iCs/>
        </w:rPr>
        <w:t>supra</w:t>
      </w:r>
      <w:r w:rsidR="002E1461">
        <w:t>,</w:t>
      </w:r>
      <w:r w:rsidR="001B140B">
        <w:t xml:space="preserve"> 14 Cal.5th </w:t>
      </w:r>
      <w:r w:rsidR="002E1461">
        <w:t>at</w:t>
      </w:r>
      <w:r w:rsidR="002D19AD">
        <w:t> </w:t>
      </w:r>
      <w:r w:rsidR="002E1461">
        <w:t>p. </w:t>
      </w:r>
      <w:r w:rsidR="001B140B">
        <w:t>975 [examine the statutory language not in isolation, but in the context of the statutory framework as a whole].)</w:t>
      </w:r>
      <w:r w:rsidR="005E6CB4">
        <w:t xml:space="preserve">  </w:t>
      </w:r>
      <w:r w:rsidR="00DC2B80">
        <w:t xml:space="preserve">A </w:t>
      </w:r>
      <w:r w:rsidR="005E6CB4">
        <w:t xml:space="preserve">trial court </w:t>
      </w:r>
      <w:r w:rsidR="00DC2B80">
        <w:t xml:space="preserve">must </w:t>
      </w:r>
      <w:r w:rsidR="005E6CB4">
        <w:t xml:space="preserve">impose a lesser sentence unless </w:t>
      </w:r>
      <w:r w:rsidR="00DC2B80">
        <w:t xml:space="preserve">it </w:t>
      </w:r>
      <w:r w:rsidR="005E6CB4">
        <w:t>finds by clear and convincing evidence that doing so would endanger public safety.  (§ 1172.75, subd. (</w:t>
      </w:r>
      <w:r w:rsidR="00C30511">
        <w:t>d</w:t>
      </w:r>
      <w:r w:rsidR="005E6CB4">
        <w:t>)</w:t>
      </w:r>
      <w:r w:rsidR="00C30511">
        <w:t>(1)</w:t>
      </w:r>
      <w:r w:rsidR="005E6CB4">
        <w:t xml:space="preserve">.)  </w:t>
      </w:r>
      <w:r w:rsidR="00DC2B80">
        <w:t>And t</w:t>
      </w:r>
      <w:r w:rsidR="005E6CB4">
        <w:t xml:space="preserve">he </w:t>
      </w:r>
      <w:r w:rsidR="00C30511">
        <w:t>c</w:t>
      </w:r>
      <w:r w:rsidR="005E6CB4">
        <w:t>ourt m</w:t>
      </w:r>
      <w:r w:rsidR="00C30511">
        <w:t>ay</w:t>
      </w:r>
      <w:r w:rsidR="005E6CB4">
        <w:t xml:space="preserve"> also consider </w:t>
      </w:r>
      <w:r w:rsidR="00DC2B80">
        <w:t>postconviction factors</w:t>
      </w:r>
      <w:r w:rsidR="005E6CB4">
        <w:t xml:space="preserve">, including disciplinary </w:t>
      </w:r>
      <w:r w:rsidR="00E64EF7">
        <w:t xml:space="preserve">and </w:t>
      </w:r>
      <w:r w:rsidR="005E6CB4">
        <w:t>rehabilitation</w:t>
      </w:r>
      <w:r w:rsidR="00E64EF7">
        <w:t xml:space="preserve"> records</w:t>
      </w:r>
      <w:r w:rsidR="005E6CB4">
        <w:t>, and any evidence reflecting whether age, time served, and diminished physical condition have reduce</w:t>
      </w:r>
      <w:r w:rsidR="00380F84">
        <w:t>d</w:t>
      </w:r>
      <w:r w:rsidR="005E6CB4">
        <w:t xml:space="preserve"> the defendant’s risk for future violence to determine whether “continued incarceration is no longer in the interest of justice.”  (</w:t>
      </w:r>
      <w:r w:rsidR="00DC2B80">
        <w:rPr>
          <w:i/>
          <w:iCs/>
        </w:rPr>
        <w:t>Id.</w:t>
      </w:r>
      <w:r w:rsidR="005E6CB4">
        <w:t>, subd</w:t>
      </w:r>
      <w:r w:rsidR="00DC2B80">
        <w:t>.</w:t>
      </w:r>
      <w:r w:rsidR="001E121E">
        <w:t> (d)</w:t>
      </w:r>
      <w:r w:rsidR="005E6CB4">
        <w:t>(3).)</w:t>
      </w:r>
      <w:r w:rsidR="005F5B76">
        <w:t xml:space="preserve">  </w:t>
      </w:r>
      <w:r w:rsidR="000342A1">
        <w:t>Moreover, t</w:t>
      </w:r>
      <w:r w:rsidR="001E121E">
        <w:t>he resentencing hearing “shall not result in a longer sentence than the one originally imposed.”  (</w:t>
      </w:r>
      <w:r w:rsidR="00DC2B80">
        <w:rPr>
          <w:i/>
          <w:iCs/>
        </w:rPr>
        <w:t>Id.</w:t>
      </w:r>
      <w:r w:rsidR="001E121E">
        <w:t xml:space="preserve">, subd. (d)(1).)  </w:t>
      </w:r>
      <w:r w:rsidR="00DC2B80">
        <w:t>T</w:t>
      </w:r>
      <w:r w:rsidR="005F5B76">
        <w:t xml:space="preserve">aken together with the uncodified </w:t>
      </w:r>
      <w:r w:rsidR="00DC2B80">
        <w:t>section</w:t>
      </w:r>
      <w:r w:rsidR="005F5B76">
        <w:t>,</w:t>
      </w:r>
      <w:r w:rsidR="001E121E">
        <w:t xml:space="preserve"> </w:t>
      </w:r>
      <w:r w:rsidR="00DC2B80">
        <w:t xml:space="preserve">these provisions </w:t>
      </w:r>
      <w:r w:rsidR="001E121E">
        <w:t>indicate the Legislature inten</w:t>
      </w:r>
      <w:r w:rsidR="00DC2B80">
        <w:t>ded</w:t>
      </w:r>
      <w:r w:rsidR="001E121E">
        <w:t xml:space="preserve"> to reduce </w:t>
      </w:r>
      <w:r w:rsidRPr="002D19AD" w:rsidR="0028187C">
        <w:t>or preserve</w:t>
      </w:r>
      <w:r w:rsidR="0028187C">
        <w:t xml:space="preserve"> </w:t>
      </w:r>
      <w:r w:rsidR="001E121E">
        <w:t>sentences</w:t>
      </w:r>
      <w:r w:rsidR="005F5B76">
        <w:t xml:space="preserve"> </w:t>
      </w:r>
      <w:r w:rsidR="00DC2B80">
        <w:t xml:space="preserve">whilst </w:t>
      </w:r>
      <w:r w:rsidR="001E121E">
        <w:t>limit</w:t>
      </w:r>
      <w:r w:rsidR="00DC2B80">
        <w:t>ing</w:t>
      </w:r>
      <w:r w:rsidR="001E121E">
        <w:t xml:space="preserve"> the prosecutor’s ability to </w:t>
      </w:r>
      <w:r w:rsidR="00DC2B80">
        <w:t xml:space="preserve">rescind </w:t>
      </w:r>
      <w:r w:rsidR="001E121E">
        <w:t>plea agreement</w:t>
      </w:r>
      <w:r w:rsidR="00DC2B80">
        <w:t>s</w:t>
      </w:r>
      <w:r w:rsidR="001E121E">
        <w:t xml:space="preserve"> </w:t>
      </w:r>
      <w:r w:rsidR="00DC2B80">
        <w:t>as a result</w:t>
      </w:r>
      <w:r w:rsidR="001E121E">
        <w:t>.</w:t>
      </w:r>
      <w:r>
        <w:rPr>
          <w:rStyle w:val="FootnoteReference"/>
        </w:rPr>
        <w:footnoteReference w:id="3"/>
      </w:r>
      <w:r w:rsidR="001E121E">
        <w:t xml:space="preserve">  </w:t>
      </w:r>
    </w:p>
    <w:p w:rsidR="001E121E" w:rsidP="001E121E" w14:paraId="0A4FCDF7" w14:textId="75D4A57F">
      <w:pPr>
        <w:ind w:firstLine="720"/>
      </w:pPr>
      <w:r>
        <w:t xml:space="preserve">We respectfully disagree with our colleagues in Division One.  </w:t>
      </w:r>
      <w:r w:rsidRPr="00DB6B09">
        <w:rPr>
          <w:i/>
          <w:iCs/>
        </w:rPr>
        <w:t>Coddington</w:t>
      </w:r>
      <w:r w:rsidR="00A11EEC">
        <w:t xml:space="preserve"> — relying on </w:t>
      </w:r>
      <w:r w:rsidR="00A11EEC">
        <w:rPr>
          <w:i/>
          <w:iCs/>
        </w:rPr>
        <w:t>People v. Stamps</w:t>
      </w:r>
      <w:r w:rsidR="00DC2B80">
        <w:rPr>
          <w:i/>
          <w:iCs/>
        </w:rPr>
        <w:t xml:space="preserve"> </w:t>
      </w:r>
      <w:r w:rsidR="00A11EEC">
        <w:t>—</w:t>
      </w:r>
      <w:r>
        <w:rPr>
          <w:i/>
          <w:iCs/>
        </w:rPr>
        <w:t xml:space="preserve"> </w:t>
      </w:r>
      <w:r>
        <w:t xml:space="preserve">rejected the argument that </w:t>
      </w:r>
      <w:r w:rsidR="00450FD3">
        <w:t>Sen</w:t>
      </w:r>
      <w:r w:rsidR="004B08C9">
        <w:t>.</w:t>
      </w:r>
      <w:r w:rsidR="00450FD3">
        <w:t xml:space="preserve"> Bill 483’s </w:t>
      </w:r>
      <w:r>
        <w:t xml:space="preserve">uncodified </w:t>
      </w:r>
      <w:r w:rsidR="00450FD3">
        <w:t xml:space="preserve">section </w:t>
      </w:r>
      <w:r>
        <w:t xml:space="preserve">prohibits a prosecutor from </w:t>
      </w:r>
      <w:r w:rsidR="00450FD3">
        <w:t xml:space="preserve">rescinding </w:t>
      </w:r>
      <w:r>
        <w:t>a plea agreement for sentence reductions beyond the elimination of prison priors.  (</w:t>
      </w:r>
      <w:r>
        <w:rPr>
          <w:i/>
          <w:iCs/>
        </w:rPr>
        <w:t>Coddington</w:t>
      </w:r>
      <w:r>
        <w:t xml:space="preserve">, </w:t>
      </w:r>
      <w:r>
        <w:rPr>
          <w:i/>
          <w:iCs/>
        </w:rPr>
        <w:t>supra</w:t>
      </w:r>
      <w:r>
        <w:t>, 96 Cal.App.5th at p</w:t>
      </w:r>
      <w:r w:rsidR="00450FD3">
        <w:t>p</w:t>
      </w:r>
      <w:r>
        <w:t xml:space="preserve">. 570–571.)  </w:t>
      </w:r>
      <w:r w:rsidR="00450FD3">
        <w:t>T</w:t>
      </w:r>
      <w:r>
        <w:t xml:space="preserve">he </w:t>
      </w:r>
      <w:r w:rsidR="00450FD3">
        <w:t>c</w:t>
      </w:r>
      <w:r>
        <w:t xml:space="preserve">ourt concluded the codified legislative purpose in </w:t>
      </w:r>
      <w:r w:rsidR="00A74063">
        <w:t>s</w:t>
      </w:r>
      <w:r w:rsidR="002F509D">
        <w:t xml:space="preserve">ection 1172.75, </w:t>
      </w:r>
      <w:r>
        <w:t>subdivision (d)(2) was more important</w:t>
      </w:r>
      <w:r w:rsidR="00450FD3">
        <w:t xml:space="preserve"> than the uncodified language</w:t>
      </w:r>
      <w:r>
        <w:t>.  (</w:t>
      </w:r>
      <w:r>
        <w:rPr>
          <w:i/>
          <w:iCs/>
        </w:rPr>
        <w:t>Coddington</w:t>
      </w:r>
      <w:r>
        <w:t xml:space="preserve">, at pp. 570–571.)  </w:t>
      </w:r>
      <w:r w:rsidR="00450FD3">
        <w:t xml:space="preserve">Subdivision (d)(2) </w:t>
      </w:r>
      <w:r>
        <w:t xml:space="preserve">directs the trial court to apply the sentencing rules of the Judicial Council and any other changes in law that reduce sentences or provide for judicial discretion “so as to eliminate disparity of sentences and to promote uniformity of sentencing.”  (§ 1172.75, subd. (d)(2); </w:t>
      </w:r>
      <w:r>
        <w:rPr>
          <w:i/>
          <w:iCs/>
        </w:rPr>
        <w:t>Coddington</w:t>
      </w:r>
      <w:r>
        <w:t>, at</w:t>
      </w:r>
      <w:r w:rsidR="00F56D9B">
        <w:t> </w:t>
      </w:r>
      <w:r>
        <w:t xml:space="preserve">p. 571.)  </w:t>
      </w:r>
      <w:r w:rsidR="00FA688E">
        <w:t xml:space="preserve">The court concluded </w:t>
      </w:r>
      <w:r w:rsidR="002E1461">
        <w:t xml:space="preserve">that </w:t>
      </w:r>
      <w:r>
        <w:t>“</w:t>
      </w:r>
      <w:r w:rsidR="00FA688E">
        <w:t>c</w:t>
      </w:r>
      <w:r>
        <w:t>ategorically preventing prosecutors from withdrawing assent to a plea bargain for other [non-prison prior] changes reducing sentences that were part of a plea bargain” thwarts this intent because prosecutors “would retain such a remedy for defendants being sentenced prospectively.”  (</w:t>
      </w:r>
      <w:r>
        <w:rPr>
          <w:i/>
          <w:iCs/>
        </w:rPr>
        <w:t>Coddington</w:t>
      </w:r>
      <w:r>
        <w:t xml:space="preserve">, at p. 571.)  </w:t>
      </w:r>
      <w:r w:rsidR="00450FD3">
        <w:t>S</w:t>
      </w:r>
      <w:r>
        <w:t>uch a result</w:t>
      </w:r>
      <w:r w:rsidR="00450FD3">
        <w:t xml:space="preserve">, </w:t>
      </w:r>
      <w:r w:rsidR="00450FD3">
        <w:rPr>
          <w:i/>
          <w:iCs/>
        </w:rPr>
        <w:t xml:space="preserve">Coddington </w:t>
      </w:r>
      <w:r w:rsidR="00450FD3">
        <w:t>reasoned,</w:t>
      </w:r>
      <w:r>
        <w:t xml:space="preserve"> “would produce, not eliminate, sentencing disparities.”  (</w:t>
      </w:r>
      <w:r>
        <w:rPr>
          <w:i/>
          <w:iCs/>
        </w:rPr>
        <w:t>Ibid</w:t>
      </w:r>
      <w:r>
        <w:t xml:space="preserve">.)  </w:t>
      </w:r>
      <w:r w:rsidR="00450FD3">
        <w:t xml:space="preserve">With regard to </w:t>
      </w:r>
      <w:r w:rsidR="00255FB7">
        <w:t xml:space="preserve">the legislative history, </w:t>
      </w:r>
      <w:r w:rsidR="00450FD3">
        <w:rPr>
          <w:i/>
          <w:iCs/>
        </w:rPr>
        <w:t xml:space="preserve">Coddington </w:t>
      </w:r>
      <w:r w:rsidR="00255FB7">
        <w:t>concluded the Legislature</w:t>
      </w:r>
      <w:r>
        <w:t xml:space="preserve"> eliminated most prison priors with Senate Bill No. 136</w:t>
      </w:r>
      <w:r w:rsidR="002E1461">
        <w:t xml:space="preserve"> (2019–2020 Reg. Sess.)</w:t>
      </w:r>
      <w:r>
        <w:t>, and</w:t>
      </w:r>
      <w:r w:rsidR="00450FD3">
        <w:t xml:space="preserve"> </w:t>
      </w:r>
      <w:r>
        <w:t>Sen</w:t>
      </w:r>
      <w:r w:rsidR="004B08C9">
        <w:t>.</w:t>
      </w:r>
      <w:r>
        <w:t xml:space="preserve"> Bill 483 </w:t>
      </w:r>
      <w:r w:rsidR="00450FD3">
        <w:t>was enacted “</w:t>
      </w:r>
      <w:r>
        <w:t>to make the change retroactive.”  (</w:t>
      </w:r>
      <w:r>
        <w:rPr>
          <w:i/>
          <w:iCs/>
        </w:rPr>
        <w:t>Coddington</w:t>
      </w:r>
      <w:r>
        <w:t xml:space="preserve">, at p. 571; Stats. 2021, ch. 728, § 1.)  </w:t>
      </w:r>
    </w:p>
    <w:p w:rsidR="00815132" w:rsidP="00380F84" w14:paraId="392DDC81" w14:textId="0FDDFFBF">
      <w:pPr>
        <w:ind w:firstLine="720"/>
      </w:pPr>
      <w:r>
        <w:t xml:space="preserve">Like </w:t>
      </w:r>
      <w:r w:rsidRPr="00F626B9" w:rsidR="00C30511">
        <w:rPr>
          <w:i/>
          <w:iCs/>
        </w:rPr>
        <w:t>Carter</w:t>
      </w:r>
      <w:r w:rsidR="00C30511">
        <w:t xml:space="preserve">, </w:t>
      </w:r>
      <w:r>
        <w:t xml:space="preserve">we think </w:t>
      </w:r>
      <w:r w:rsidR="00C30511">
        <w:t>t</w:t>
      </w:r>
      <w:r w:rsidRPr="00380F84" w:rsidR="00C30511">
        <w:t>he</w:t>
      </w:r>
      <w:r w:rsidR="00C30511">
        <w:t xml:space="preserve"> language here is closer to </w:t>
      </w:r>
      <w:r w:rsidR="00C30511">
        <w:rPr>
          <w:i/>
          <w:iCs/>
        </w:rPr>
        <w:t>Harris v. Superior Court</w:t>
      </w:r>
      <w:r>
        <w:rPr>
          <w:i/>
          <w:iCs/>
        </w:rPr>
        <w:t xml:space="preserve"> </w:t>
      </w:r>
      <w:r w:rsidR="00C30511">
        <w:t xml:space="preserve">than </w:t>
      </w:r>
      <w:r w:rsidR="00C30511">
        <w:rPr>
          <w:i/>
          <w:iCs/>
        </w:rPr>
        <w:t xml:space="preserve">People v. </w:t>
      </w:r>
      <w:r w:rsidRPr="00380F84" w:rsidR="00C30511">
        <w:rPr>
          <w:i/>
          <w:iCs/>
        </w:rPr>
        <w:t>Stamps</w:t>
      </w:r>
      <w:r w:rsidR="00C30511">
        <w:t>.  (</w:t>
      </w:r>
      <w:r w:rsidR="00C30511">
        <w:rPr>
          <w:i/>
          <w:iCs/>
        </w:rPr>
        <w:t>Carter</w:t>
      </w:r>
      <w:r w:rsidR="00C30511">
        <w:t xml:space="preserve">, </w:t>
      </w:r>
      <w:r w:rsidRPr="00EA12EC" w:rsidR="00C30511">
        <w:rPr>
          <w:i/>
          <w:iCs/>
        </w:rPr>
        <w:t>supra</w:t>
      </w:r>
      <w:r w:rsidR="00C30511">
        <w:t xml:space="preserve">, </w:t>
      </w:r>
      <w:r w:rsidRPr="00EA12EC" w:rsidR="00C30511">
        <w:t>97</w:t>
      </w:r>
      <w:r w:rsidR="00C30511">
        <w:t xml:space="preserve"> Cal.App.5th at p. 974.)  </w:t>
      </w:r>
      <w:r w:rsidR="00A827D3">
        <w:rPr>
          <w:i/>
          <w:iCs/>
        </w:rPr>
        <w:t>Stamps</w:t>
      </w:r>
      <w:r w:rsidR="00A827D3">
        <w:t xml:space="preserve"> held that</w:t>
      </w:r>
      <w:r>
        <w:t>,</w:t>
      </w:r>
      <w:r w:rsidR="00A827D3">
        <w:t xml:space="preserve"> for the defendant “ ‘to justify a remand for the court to consider striking his serious felony enhancement while maintaining the remainder of his bargain, defendant must establish not only that </w:t>
      </w:r>
      <w:r w:rsidR="00FA688E">
        <w:t>[the legislative change]</w:t>
      </w:r>
      <w:r w:rsidR="00A827D3">
        <w:t xml:space="preserve"> applies retroactively, but that, in enacting that provision, the </w:t>
      </w:r>
      <w:r w:rsidR="00C55F3A">
        <w:t>Legislature</w:t>
      </w:r>
      <w:r w:rsidR="00A827D3">
        <w:t xml:space="preserve"> intended to </w:t>
      </w:r>
      <w:r w:rsidR="00C55F3A">
        <w:t>overturn</w:t>
      </w:r>
      <w:r w:rsidR="00A827D3">
        <w:t xml:space="preserve"> long-standing law that a court cannot unilaterally modify an agreed-</w:t>
      </w:r>
      <w:r w:rsidR="00C55F3A">
        <w:t>upon</w:t>
      </w:r>
      <w:r w:rsidR="00A827D3">
        <w:t xml:space="preserve"> term.’ ”  </w:t>
      </w:r>
      <w:r w:rsidR="00380F84">
        <w:t>(</w:t>
      </w:r>
      <w:r w:rsidR="00380F84">
        <w:rPr>
          <w:i/>
          <w:iCs/>
        </w:rPr>
        <w:t>Carter</w:t>
      </w:r>
      <w:r w:rsidR="00380F84">
        <w:t xml:space="preserve">, at p. 969.)  </w:t>
      </w:r>
      <w:r w:rsidRPr="007A7C11" w:rsidR="00A827D3">
        <w:rPr>
          <w:i/>
          <w:iCs/>
        </w:rPr>
        <w:t>Stamps</w:t>
      </w:r>
      <w:r w:rsidR="00A827D3">
        <w:t xml:space="preserve"> concluded the </w:t>
      </w:r>
      <w:r>
        <w:t>L</w:t>
      </w:r>
      <w:r w:rsidR="00A827D3">
        <w:t>egislat</w:t>
      </w:r>
      <w:r w:rsidR="00380F84">
        <w:t>ure</w:t>
      </w:r>
      <w:r w:rsidR="00C55F3A">
        <w:t xml:space="preserve"> did not</w:t>
      </w:r>
      <w:r w:rsidR="00A827D3">
        <w:t xml:space="preserve"> intend such a result</w:t>
      </w:r>
      <w:r w:rsidR="00380F84">
        <w:t xml:space="preserve"> because </w:t>
      </w:r>
      <w:r w:rsidR="00E328A4">
        <w:t>none of</w:t>
      </w:r>
      <w:r w:rsidR="00FE3F50">
        <w:t xml:space="preserve"> the legislati</w:t>
      </w:r>
      <w:r w:rsidR="00E328A4">
        <w:t>ve materials</w:t>
      </w:r>
      <w:r w:rsidR="00380F84">
        <w:t xml:space="preserve"> mention</w:t>
      </w:r>
      <w:r w:rsidR="00E328A4">
        <w:t>ed</w:t>
      </w:r>
      <w:r w:rsidR="00380F84">
        <w:t xml:space="preserve"> plea agreements</w:t>
      </w:r>
      <w:r w:rsidR="00A827D3">
        <w:t>.  (</w:t>
      </w:r>
      <w:r w:rsidR="00380F84">
        <w:rPr>
          <w:i/>
          <w:iCs/>
        </w:rPr>
        <w:t>Stamps</w:t>
      </w:r>
      <w:r w:rsidR="00380F84">
        <w:t xml:space="preserve">, </w:t>
      </w:r>
      <w:r>
        <w:rPr>
          <w:i/>
          <w:iCs/>
        </w:rPr>
        <w:t>supra</w:t>
      </w:r>
      <w:r>
        <w:t>, 9 Cal.5th</w:t>
      </w:r>
      <w:r>
        <w:rPr>
          <w:i/>
          <w:iCs/>
        </w:rPr>
        <w:t xml:space="preserve"> </w:t>
      </w:r>
      <w:r w:rsidR="00380F84">
        <w:t>at p</w:t>
      </w:r>
      <w:r w:rsidR="00E328A4">
        <w:t>p</w:t>
      </w:r>
      <w:r w:rsidR="00380F84">
        <w:t>. </w:t>
      </w:r>
      <w:r w:rsidR="00E328A4">
        <w:t>701–</w:t>
      </w:r>
      <w:r w:rsidR="00380F84">
        <w:t>702.</w:t>
      </w:r>
      <w:r w:rsidR="00A827D3">
        <w:t xml:space="preserve">)  </w:t>
      </w:r>
      <w:r w:rsidR="007B0D0A">
        <w:t>In</w:t>
      </w:r>
      <w:r w:rsidR="007F289A">
        <w:t xml:space="preserve"> </w:t>
      </w:r>
      <w:r w:rsidR="007B0D0A">
        <w:rPr>
          <w:i/>
          <w:iCs/>
        </w:rPr>
        <w:t>Harris</w:t>
      </w:r>
      <w:r w:rsidR="007F289A">
        <w:t xml:space="preserve">, </w:t>
      </w:r>
      <w:r w:rsidR="00E64EF7">
        <w:t>by</w:t>
      </w:r>
      <w:r w:rsidR="006A78CB">
        <w:t xml:space="preserve"> contrast, </w:t>
      </w:r>
      <w:r w:rsidR="007F289A">
        <w:t>the Supreme Court concluded that</w:t>
      </w:r>
      <w:r>
        <w:t>,</w:t>
      </w:r>
      <w:r w:rsidR="007F289A">
        <w:t xml:space="preserve"> by “expressly mentioning convictions by plea, Proposition 47 contemplated relief to all eligible defendants.”  (</w:t>
      </w:r>
      <w:r w:rsidRPr="007F289A" w:rsidR="007F289A">
        <w:rPr>
          <w:i/>
          <w:iCs/>
        </w:rPr>
        <w:t>Harris</w:t>
      </w:r>
      <w:r w:rsidR="007F289A">
        <w:t xml:space="preserve">, </w:t>
      </w:r>
      <w:r>
        <w:rPr>
          <w:i/>
          <w:iCs/>
        </w:rPr>
        <w:t>supra</w:t>
      </w:r>
      <w:r>
        <w:t>, 1 Cal.5th</w:t>
      </w:r>
      <w:r>
        <w:rPr>
          <w:i/>
          <w:iCs/>
        </w:rPr>
        <w:t xml:space="preserve"> </w:t>
      </w:r>
      <w:r w:rsidR="007F289A">
        <w:t xml:space="preserve">at pp. 991–993.)  </w:t>
      </w:r>
      <w:r w:rsidR="00571A91">
        <w:t xml:space="preserve">As in </w:t>
      </w:r>
      <w:r w:rsidR="00571A91">
        <w:rPr>
          <w:i/>
          <w:iCs/>
        </w:rPr>
        <w:t>Harris</w:t>
      </w:r>
      <w:r w:rsidR="00571A91">
        <w:t>,</w:t>
      </w:r>
      <w:r w:rsidR="00571A91">
        <w:rPr>
          <w:i/>
          <w:iCs/>
        </w:rPr>
        <w:t xml:space="preserve"> </w:t>
      </w:r>
      <w:r w:rsidR="006A284B">
        <w:t>Sen</w:t>
      </w:r>
      <w:r w:rsidR="004B08C9">
        <w:t>.</w:t>
      </w:r>
      <w:r w:rsidR="006A284B">
        <w:t xml:space="preserve"> Bill 483</w:t>
      </w:r>
      <w:r w:rsidR="00571A91">
        <w:t xml:space="preserve">’s uncodified section </w:t>
      </w:r>
      <w:r w:rsidR="007F289A">
        <w:t>“expressly mentions plea agreements and prohibits both the court and the prosecution from rescinding the plea agreement</w:t>
      </w:r>
      <w:r w:rsidR="006A284B">
        <w:t>.”</w:t>
      </w:r>
      <w:r w:rsidR="007F289A">
        <w:t xml:space="preserve">  </w:t>
      </w:r>
      <w:r>
        <w:t>(</w:t>
      </w:r>
      <w:r>
        <w:rPr>
          <w:i/>
          <w:iCs/>
        </w:rPr>
        <w:t>Carter</w:t>
      </w:r>
      <w:r>
        <w:t xml:space="preserve">, at p. 974.)  </w:t>
      </w:r>
    </w:p>
    <w:p w:rsidR="006744DE" w:rsidRPr="00F11AFD" w:rsidP="00815132" w14:paraId="079A7F3F" w14:textId="51C7C664">
      <w:pPr>
        <w:ind w:firstLine="720"/>
      </w:pPr>
      <w:r>
        <w:t>We also</w:t>
      </w:r>
      <w:r w:rsidR="00904EFF">
        <w:t xml:space="preserve"> </w:t>
      </w:r>
      <w:r w:rsidR="004A1E2E">
        <w:t xml:space="preserve">conclude </w:t>
      </w:r>
      <w:r w:rsidR="00904EFF">
        <w:t>that</w:t>
      </w:r>
      <w:r w:rsidR="004A1E2E">
        <w:t>,</w:t>
      </w:r>
      <w:r w:rsidR="00904EFF">
        <w:t xml:space="preserve"> </w:t>
      </w:r>
      <w:r w:rsidR="00571A91">
        <w:t>by</w:t>
      </w:r>
      <w:r w:rsidR="00904EFF">
        <w:t xml:space="preserve"> enacting Sen</w:t>
      </w:r>
      <w:r w:rsidR="004B08C9">
        <w:t>.</w:t>
      </w:r>
      <w:r w:rsidR="00904EFF">
        <w:t xml:space="preserve"> Bill 483, the Legislature intended to correct </w:t>
      </w:r>
      <w:r w:rsidRPr="007A7C11" w:rsidR="00904EFF">
        <w:rPr>
          <w:i/>
          <w:iCs/>
        </w:rPr>
        <w:t xml:space="preserve">past </w:t>
      </w:r>
      <w:r w:rsidRPr="00AB13B6" w:rsidR="00904EFF">
        <w:t>sentencing disparities</w:t>
      </w:r>
      <w:r w:rsidR="00904EFF">
        <w:t xml:space="preserve"> </w:t>
      </w:r>
      <w:r w:rsidR="00F11AFD">
        <w:t>resulting from “</w:t>
      </w:r>
      <w:r w:rsidR="00F6134E">
        <w:t xml:space="preserve"> ‘</w:t>
      </w:r>
      <w:r w:rsidR="00F11AFD">
        <w:t>racial bias</w:t>
      </w:r>
      <w:r w:rsidR="00F6134E">
        <w:t xml:space="preserve">’ </w:t>
      </w:r>
      <w:r w:rsidR="00F11AFD">
        <w:t>” and</w:t>
      </w:r>
      <w:r w:rsidR="001B140B">
        <w:t xml:space="preserve"> to</w:t>
      </w:r>
      <w:r w:rsidR="00F11AFD">
        <w:t xml:space="preserve"> “</w:t>
      </w:r>
      <w:r w:rsidR="00613E2D">
        <w:t xml:space="preserve"> ‘</w:t>
      </w:r>
      <w:r w:rsidR="00F11AFD">
        <w:t>ensure equal justice,</w:t>
      </w:r>
      <w:r w:rsidR="00613E2D">
        <w:t xml:space="preserve">’ </w:t>
      </w:r>
      <w:r w:rsidR="00F11AFD">
        <w:t xml:space="preserve">” </w:t>
      </w:r>
      <w:r w:rsidR="00904EFF">
        <w:t xml:space="preserve">rather than the potential disparity noted in </w:t>
      </w:r>
      <w:r w:rsidR="00904EFF">
        <w:rPr>
          <w:i/>
          <w:iCs/>
        </w:rPr>
        <w:t>Coddington</w:t>
      </w:r>
      <w:r w:rsidR="00904EFF">
        <w:t xml:space="preserve">.  </w:t>
      </w:r>
      <w:r w:rsidR="004A1E2E">
        <w:t>(</w:t>
      </w:r>
      <w:r w:rsidR="004A1E2E">
        <w:rPr>
          <w:i/>
          <w:iCs/>
        </w:rPr>
        <w:t>Coddington</w:t>
      </w:r>
      <w:r w:rsidR="004A1E2E">
        <w:t xml:space="preserve">, </w:t>
      </w:r>
      <w:r w:rsidR="00571A91">
        <w:rPr>
          <w:i/>
          <w:iCs/>
        </w:rPr>
        <w:t>supra</w:t>
      </w:r>
      <w:r w:rsidR="00571A91">
        <w:t>, 96 Cal.App.5th</w:t>
      </w:r>
      <w:r w:rsidR="00571A91">
        <w:rPr>
          <w:i/>
          <w:iCs/>
        </w:rPr>
        <w:t xml:space="preserve"> </w:t>
      </w:r>
      <w:r w:rsidR="004A1E2E">
        <w:t>at p. 571; Stats. 2021, ch. 728, § 1.)</w:t>
      </w:r>
      <w:r w:rsidR="00F469CC">
        <w:t xml:space="preserve">  </w:t>
      </w:r>
      <w:r w:rsidR="00904EFF">
        <w:t xml:space="preserve">Indeed, the Legislature said as much in the uncodified section, </w:t>
      </w:r>
      <w:r w:rsidR="00F11AFD">
        <w:t xml:space="preserve">explicitly making Senate Bill </w:t>
      </w:r>
      <w:r w:rsidR="002E1461">
        <w:t xml:space="preserve">No. </w:t>
      </w:r>
      <w:r w:rsidR="00F11AFD">
        <w:t xml:space="preserve">136 </w:t>
      </w:r>
      <w:r w:rsidR="002E1461">
        <w:t xml:space="preserve">(2019–2020 Reg. Sess.) </w:t>
      </w:r>
      <w:r w:rsidR="00F11AFD">
        <w:t xml:space="preserve">retroactive “in order to ensure equal justice and address systemic racial bias in sentencing.”  </w:t>
      </w:r>
      <w:r w:rsidR="004A1E2E">
        <w:t>(Stats. 2021, ch. 728, § 1.)</w:t>
      </w:r>
      <w:r w:rsidR="00F469CC">
        <w:t xml:space="preserve">  </w:t>
      </w:r>
      <w:r w:rsidR="004A1E2E">
        <w:t xml:space="preserve">This intent is also evidenced by </w:t>
      </w:r>
      <w:r w:rsidR="002E1461">
        <w:t>Sen</w:t>
      </w:r>
      <w:r w:rsidR="004B08C9">
        <w:t>.</w:t>
      </w:r>
      <w:r w:rsidR="002E1461">
        <w:t xml:space="preserve"> Bill 483</w:t>
      </w:r>
      <w:r w:rsidR="001B140B">
        <w:t>’s</w:t>
      </w:r>
      <w:r w:rsidR="004A1E2E">
        <w:t xml:space="preserve"> express mandate that resentencing under its terms shall result in </w:t>
      </w:r>
      <w:r w:rsidR="006B28BB">
        <w:t xml:space="preserve">a reduced sentence unless there is a finding that a lesser sentence would endanger public safety.  (§ 1172.75, subd. (d)(1).)  </w:t>
      </w:r>
      <w:r w:rsidR="001B140B">
        <w:t>The legislative</w:t>
      </w:r>
      <w:r w:rsidR="00F469CC">
        <w:t xml:space="preserve"> history </w:t>
      </w:r>
      <w:r w:rsidR="00571A91">
        <w:t>is in accord</w:t>
      </w:r>
      <w:r w:rsidR="00F469CC">
        <w:t>.  “The Assembly Committee on Public Safety’s analysis of Senate Bill 483 emphasized the bill author’s statement ‘</w:t>
      </w:r>
      <w:r w:rsidR="002237C9">
        <w:t xml:space="preserve"> “</w:t>
      </w:r>
      <w:r w:rsidR="00F469CC">
        <w:t>that long prison and jail sentences have no positive impact on public safety, but are demonstrably injurious to families and communities — particularly Black, Latino, and Native Americans in the United States and in California.</w:t>
      </w:r>
      <w:r w:rsidR="002237C9">
        <w:t xml:space="preserve">” </w:t>
      </w:r>
      <w:r w:rsidR="00F469CC">
        <w:t>’ ”  (</w:t>
      </w:r>
      <w:r w:rsidR="00F469CC">
        <w:rPr>
          <w:i/>
          <w:iCs/>
        </w:rPr>
        <w:t>Carter</w:t>
      </w:r>
      <w:r w:rsidR="00F469CC">
        <w:t xml:space="preserve">, </w:t>
      </w:r>
      <w:r w:rsidR="00571A91">
        <w:rPr>
          <w:i/>
          <w:iCs/>
        </w:rPr>
        <w:t>supra</w:t>
      </w:r>
      <w:r w:rsidR="00571A91">
        <w:t>, 97</w:t>
      </w:r>
      <w:r w:rsidR="00F56D9B">
        <w:t> </w:t>
      </w:r>
      <w:r w:rsidR="00571A91">
        <w:t>Cal.App.5th</w:t>
      </w:r>
      <w:r w:rsidR="00571A91">
        <w:rPr>
          <w:i/>
          <w:iCs/>
        </w:rPr>
        <w:t xml:space="preserve"> </w:t>
      </w:r>
      <w:r w:rsidR="00F469CC">
        <w:t xml:space="preserve">at p. 974.)  </w:t>
      </w:r>
      <w:r w:rsidR="002E1461">
        <w:t>A</w:t>
      </w:r>
      <w:r w:rsidR="00815132">
        <w:t xml:space="preserve">s in </w:t>
      </w:r>
      <w:r w:rsidR="00815132">
        <w:rPr>
          <w:i/>
          <w:iCs/>
        </w:rPr>
        <w:t>Harris</w:t>
      </w:r>
      <w:r w:rsidR="00815132">
        <w:t>,</w:t>
      </w:r>
      <w:r w:rsidR="00F11AFD">
        <w:t xml:space="preserve"> these</w:t>
      </w:r>
      <w:r w:rsidR="00815132">
        <w:t xml:space="preserve"> goals</w:t>
      </w:r>
      <w:r w:rsidR="00F11AFD">
        <w:t xml:space="preserve"> would be</w:t>
      </w:r>
      <w:r w:rsidR="00815132">
        <w:t xml:space="preserve"> thwarted if </w:t>
      </w:r>
      <w:r w:rsidR="00F469CC">
        <w:t xml:space="preserve">the </w:t>
      </w:r>
      <w:r w:rsidR="00815132">
        <w:t>prosecution c</w:t>
      </w:r>
      <w:r w:rsidR="00F11AFD">
        <w:t>ould</w:t>
      </w:r>
      <w:r w:rsidR="00815132">
        <w:t xml:space="preserve"> withdraw</w:t>
      </w:r>
      <w:r w:rsidR="00F11AFD">
        <w:t xml:space="preserve"> from a plea agreement </w:t>
      </w:r>
      <w:r w:rsidR="00571A91">
        <w:t xml:space="preserve">if a </w:t>
      </w:r>
      <w:r w:rsidR="00F11AFD">
        <w:t>resentencing</w:t>
      </w:r>
      <w:r w:rsidR="00571A91">
        <w:t xml:space="preserve"> hearing resulted in a sentence reduction beyond the elimination of prison priors</w:t>
      </w:r>
      <w:r w:rsidR="00F11AFD">
        <w:t>.  (</w:t>
      </w:r>
      <w:r w:rsidR="006B28BB">
        <w:rPr>
          <w:i/>
          <w:iCs/>
        </w:rPr>
        <w:t>Harris v. Superior Court</w:t>
      </w:r>
      <w:r w:rsidR="006B28BB">
        <w:t xml:space="preserve">, </w:t>
      </w:r>
      <w:r w:rsidR="006B28BB">
        <w:rPr>
          <w:i/>
          <w:iCs/>
        </w:rPr>
        <w:t>supra</w:t>
      </w:r>
      <w:r w:rsidR="006B28BB">
        <w:t>, 1 Cal.5th,</w:t>
      </w:r>
      <w:r w:rsidR="00F11AFD">
        <w:t xml:space="preserve"> at p. 992.)</w:t>
      </w:r>
    </w:p>
    <w:p w:rsidR="00667388" w:rsidP="00667388" w14:paraId="408CB982" w14:textId="1B2470E3">
      <w:pPr>
        <w:keepNext/>
        <w:widowControl w:val="0"/>
        <w:jc w:val="center"/>
        <w:rPr>
          <w:b/>
          <w:bCs/>
        </w:rPr>
      </w:pPr>
      <w:r>
        <w:rPr>
          <w:b/>
          <w:bCs/>
        </w:rPr>
        <w:t>DISPOSITION</w:t>
      </w:r>
    </w:p>
    <w:p w:rsidR="00376A02" w:rsidP="00DC60C4" w14:paraId="3EA6DAA5" w14:textId="7895EB21">
      <w:r>
        <w:tab/>
        <w:t xml:space="preserve">The </w:t>
      </w:r>
      <w:r w:rsidR="00C06085">
        <w:t>trial court’s order striking the prison priors</w:t>
      </w:r>
      <w:r>
        <w:t xml:space="preserve"> is reversed</w:t>
      </w:r>
      <w:r w:rsidR="0011108A">
        <w:t>,</w:t>
      </w:r>
      <w:r>
        <w:t xml:space="preserve"> and </w:t>
      </w:r>
      <w:r w:rsidR="008C708E">
        <w:t xml:space="preserve">the </w:t>
      </w:r>
      <w:r>
        <w:t xml:space="preserve">matter remanded </w:t>
      </w:r>
      <w:r w:rsidR="00C06085">
        <w:t>so the court may</w:t>
      </w:r>
      <w:r>
        <w:t xml:space="preserve"> hold a resentencing hearing </w:t>
      </w:r>
      <w:r w:rsidR="005B06D5">
        <w:t>that complies with section</w:t>
      </w:r>
      <w:r>
        <w:t xml:space="preserve"> 1172.75.</w:t>
      </w:r>
      <w:r>
        <w:rPr>
          <w:rStyle w:val="FootnoteReference"/>
        </w:rPr>
        <w:footnoteReference w:id="4"/>
      </w:r>
      <w:r>
        <w:t xml:space="preserve"> </w:t>
      </w:r>
      <w:r w:rsidR="00B07C79">
        <w:t xml:space="preserve"> </w:t>
      </w:r>
      <w:r w:rsidR="008C708E">
        <w:t xml:space="preserve">At the hearing, </w:t>
      </w:r>
      <w:r>
        <w:t>Montgomery may seek relief under any provision of section 1172.75</w:t>
      </w:r>
      <w:r w:rsidR="00571A91">
        <w:t>, and t</w:t>
      </w:r>
      <w:r>
        <w:t xml:space="preserve">he prosecutor may </w:t>
      </w:r>
      <w:r w:rsidR="000342A1">
        <w:t xml:space="preserve">not </w:t>
      </w:r>
      <w:r w:rsidR="00571A91">
        <w:t xml:space="preserve">rescind </w:t>
      </w:r>
      <w:r>
        <w:t>the plea agreement</w:t>
      </w:r>
      <w:r w:rsidR="00571A91">
        <w:t xml:space="preserve"> due to a resulting sentence reduction</w:t>
      </w:r>
      <w:r>
        <w:t>.</w:t>
      </w:r>
      <w:r w:rsidR="00A94511">
        <w:t xml:space="preserve">  </w:t>
      </w:r>
      <w:r w:rsidR="009C0521">
        <w:t xml:space="preserve">The abstract of judgment filed December 13, 2022, shall be corrected to reflect that Montgomery pled to the great bodily injury enhancements (§ 12022.7, subd. (e)) on counts </w:t>
      </w:r>
      <w:r w:rsidR="005E05F4">
        <w:t>two</w:t>
      </w:r>
      <w:r w:rsidR="009C0521">
        <w:t xml:space="preserve"> and </w:t>
      </w:r>
      <w:r w:rsidR="005E05F4">
        <w:t>three</w:t>
      </w:r>
      <w:r w:rsidR="009C0521">
        <w:t xml:space="preserve">, but the punishments were stayed.  We also note that all abstracts of judgment incorrectly note Montgomery pled to count </w:t>
      </w:r>
      <w:r w:rsidR="005E05F4">
        <w:t>two</w:t>
      </w:r>
      <w:r w:rsidR="009C0521">
        <w:t xml:space="preserve"> as a </w:t>
      </w:r>
      <w:r w:rsidR="00EF3605">
        <w:t xml:space="preserve">violation of </w:t>
      </w:r>
      <w:r w:rsidR="009C0521">
        <w:t>section 237</w:t>
      </w:r>
      <w:r w:rsidR="00E24CC4">
        <w:t>.5</w:t>
      </w:r>
      <w:r w:rsidR="009C0521">
        <w:t>, subdivision (a).  The abstract of judgment issued after the resentencing hearing shall reflect Montgomery pled to a violation of section 237</w:t>
      </w:r>
      <w:r w:rsidR="00617B0F">
        <w:t>.5</w:t>
      </w:r>
      <w:r w:rsidR="009C0521">
        <w:t>, subdivision (f).</w:t>
      </w:r>
    </w:p>
    <w:p w:rsidR="00376A02" w14:paraId="589D3DB0" w14:textId="77777777">
      <w:r>
        <w:br w:type="page"/>
      </w:r>
    </w:p>
    <w:p w:rsidR="00DC60C4" w:rsidP="00376A02" w14:paraId="09164C79" w14:textId="77777777">
      <w:pPr>
        <w:spacing w:line="240" w:lineRule="auto"/>
      </w:pPr>
    </w:p>
    <w:p w:rsidR="00376A02" w:rsidP="00376A02" w14:paraId="7B2CB21F" w14:textId="7CBA3F0D">
      <w:pPr>
        <w:spacing w:line="240" w:lineRule="auto"/>
      </w:pPr>
      <w:r>
        <w:tab/>
      </w:r>
      <w:r>
        <w:tab/>
      </w:r>
      <w:r>
        <w:tab/>
      </w:r>
      <w:r>
        <w:tab/>
      </w:r>
      <w:r>
        <w:tab/>
      </w:r>
      <w:r>
        <w:tab/>
      </w:r>
      <w:r>
        <w:tab/>
        <w:t>_________________________</w:t>
      </w:r>
    </w:p>
    <w:p w:rsidR="00376A02" w:rsidP="00376A02" w14:paraId="17543654" w14:textId="42352540">
      <w:pPr>
        <w:spacing w:line="240" w:lineRule="auto"/>
      </w:pPr>
      <w:r>
        <w:tab/>
      </w:r>
      <w:r>
        <w:tab/>
      </w:r>
      <w:r>
        <w:tab/>
      </w:r>
      <w:r>
        <w:tab/>
      </w:r>
      <w:r>
        <w:tab/>
      </w:r>
      <w:r>
        <w:tab/>
      </w:r>
      <w:r>
        <w:tab/>
        <w:t>Rodríguez, J.</w:t>
      </w:r>
    </w:p>
    <w:p w:rsidR="00376A02" w:rsidP="00376A02" w14:paraId="703BBFFD" w14:textId="77777777">
      <w:pPr>
        <w:spacing w:line="240" w:lineRule="auto"/>
      </w:pPr>
    </w:p>
    <w:p w:rsidR="00376A02" w:rsidP="00376A02" w14:paraId="42F0F4A1" w14:textId="77777777">
      <w:pPr>
        <w:spacing w:line="240" w:lineRule="auto"/>
      </w:pPr>
    </w:p>
    <w:p w:rsidR="00376A02" w:rsidP="00376A02" w14:paraId="7592DBB1" w14:textId="1E030732">
      <w:pPr>
        <w:spacing w:line="240" w:lineRule="auto"/>
      </w:pPr>
      <w:r>
        <w:t>WE CONCUR:</w:t>
      </w:r>
    </w:p>
    <w:p w:rsidR="00376A02" w:rsidP="00376A02" w14:paraId="76D6AB0A" w14:textId="77777777">
      <w:pPr>
        <w:spacing w:line="240" w:lineRule="auto"/>
      </w:pPr>
    </w:p>
    <w:p w:rsidR="00376A02" w:rsidP="00376A02" w14:paraId="7524D459" w14:textId="77777777">
      <w:pPr>
        <w:spacing w:line="240" w:lineRule="auto"/>
      </w:pPr>
    </w:p>
    <w:p w:rsidR="00376A02" w:rsidP="00376A02" w14:paraId="34019ECA" w14:textId="3D357A5C">
      <w:pPr>
        <w:spacing w:line="240" w:lineRule="auto"/>
      </w:pPr>
      <w:r>
        <w:t>_________________________</w:t>
      </w:r>
    </w:p>
    <w:p w:rsidR="00376A02" w:rsidP="00376A02" w14:paraId="74DA417B" w14:textId="59932149">
      <w:pPr>
        <w:spacing w:line="240" w:lineRule="auto"/>
      </w:pPr>
      <w:r>
        <w:t>Tucher, P. J.</w:t>
      </w:r>
    </w:p>
    <w:p w:rsidR="00376A02" w:rsidP="00376A02" w14:paraId="0EA55A33" w14:textId="77777777">
      <w:pPr>
        <w:spacing w:line="240" w:lineRule="auto"/>
      </w:pPr>
    </w:p>
    <w:p w:rsidR="00376A02" w:rsidP="00376A02" w14:paraId="306792CB" w14:textId="77777777">
      <w:pPr>
        <w:spacing w:line="240" w:lineRule="auto"/>
      </w:pPr>
    </w:p>
    <w:p w:rsidR="00376A02" w:rsidP="00376A02" w14:paraId="4C1280B7" w14:textId="7CE0D0F5">
      <w:pPr>
        <w:spacing w:line="240" w:lineRule="auto"/>
      </w:pPr>
      <w:r>
        <w:t>_________________________</w:t>
      </w:r>
    </w:p>
    <w:p w:rsidR="00376A02" w:rsidP="00376A02" w14:paraId="10F789BC" w14:textId="518CE3A2">
      <w:pPr>
        <w:spacing w:line="240" w:lineRule="auto"/>
      </w:pPr>
      <w:r>
        <w:t>Fujisaki, J.</w:t>
      </w:r>
    </w:p>
    <w:p w:rsidR="00376A02" w:rsidP="00376A02" w14:paraId="6345AB36" w14:textId="77777777">
      <w:pPr>
        <w:spacing w:line="240" w:lineRule="auto"/>
      </w:pPr>
    </w:p>
    <w:p w:rsidR="00C04763" w:rsidP="00376A02" w14:paraId="23EE046C" w14:textId="77777777">
      <w:pPr>
        <w:spacing w:line="240" w:lineRule="auto"/>
      </w:pPr>
    </w:p>
    <w:p w:rsidR="00C04763" w:rsidP="00376A02" w14:paraId="29FE8AAB" w14:textId="77777777">
      <w:pPr>
        <w:spacing w:line="240" w:lineRule="auto"/>
      </w:pPr>
    </w:p>
    <w:p w:rsidR="00C04763" w:rsidP="00376A02" w14:paraId="076E0E99" w14:textId="77777777">
      <w:pPr>
        <w:spacing w:line="240" w:lineRule="auto"/>
      </w:pPr>
    </w:p>
    <w:p w:rsidR="00C04763" w:rsidP="00376A02" w14:paraId="47245D73" w14:textId="77777777">
      <w:pPr>
        <w:spacing w:line="240" w:lineRule="auto"/>
      </w:pPr>
    </w:p>
    <w:p w:rsidR="00C04763" w:rsidP="00376A02" w14:paraId="05998BBA" w14:textId="77777777">
      <w:pPr>
        <w:spacing w:line="240" w:lineRule="auto"/>
      </w:pPr>
    </w:p>
    <w:p w:rsidR="00C04763" w:rsidP="00376A02" w14:paraId="74696C6D" w14:textId="77777777">
      <w:pPr>
        <w:spacing w:line="240" w:lineRule="auto"/>
      </w:pPr>
    </w:p>
    <w:p w:rsidR="00C04763" w:rsidP="00376A02" w14:paraId="1CE24F05" w14:textId="77777777">
      <w:pPr>
        <w:spacing w:line="240" w:lineRule="auto"/>
      </w:pPr>
    </w:p>
    <w:p w:rsidR="00C04763" w:rsidP="00376A02" w14:paraId="20B10130" w14:textId="77777777">
      <w:pPr>
        <w:spacing w:line="240" w:lineRule="auto"/>
      </w:pPr>
    </w:p>
    <w:p w:rsidR="00C04763" w:rsidP="00376A02" w14:paraId="00093C61" w14:textId="77777777">
      <w:pPr>
        <w:spacing w:line="240" w:lineRule="auto"/>
      </w:pPr>
    </w:p>
    <w:p w:rsidR="00C04763" w:rsidP="00376A02" w14:paraId="198FDC88" w14:textId="77777777">
      <w:pPr>
        <w:spacing w:line="240" w:lineRule="auto"/>
      </w:pPr>
    </w:p>
    <w:p w:rsidR="00C04763" w:rsidP="00376A02" w14:paraId="4A23346E" w14:textId="77777777">
      <w:pPr>
        <w:spacing w:line="240" w:lineRule="auto"/>
      </w:pPr>
    </w:p>
    <w:p w:rsidR="00C04763" w:rsidP="00376A02" w14:paraId="4DA488B7" w14:textId="77777777">
      <w:pPr>
        <w:spacing w:line="240" w:lineRule="auto"/>
      </w:pPr>
    </w:p>
    <w:p w:rsidR="00C04763" w:rsidP="00376A02" w14:paraId="59595599" w14:textId="77777777">
      <w:pPr>
        <w:spacing w:line="240" w:lineRule="auto"/>
      </w:pPr>
    </w:p>
    <w:p w:rsidR="00C04763" w:rsidP="00376A02" w14:paraId="4EFDACB6" w14:textId="77777777">
      <w:pPr>
        <w:spacing w:line="240" w:lineRule="auto"/>
      </w:pPr>
    </w:p>
    <w:p w:rsidR="00C04763" w:rsidP="00376A02" w14:paraId="11CE31EA" w14:textId="77777777">
      <w:pPr>
        <w:spacing w:line="240" w:lineRule="auto"/>
      </w:pPr>
    </w:p>
    <w:p w:rsidR="00C04763" w:rsidP="00376A02" w14:paraId="5A3AEA55" w14:textId="77777777">
      <w:pPr>
        <w:spacing w:line="240" w:lineRule="auto"/>
      </w:pPr>
    </w:p>
    <w:p w:rsidR="00C04763" w:rsidP="00376A02" w14:paraId="304233E9" w14:textId="77777777">
      <w:pPr>
        <w:spacing w:line="240" w:lineRule="auto"/>
      </w:pPr>
    </w:p>
    <w:p w:rsidR="00C04763" w:rsidP="00376A02" w14:paraId="5EEE56DC" w14:textId="77777777">
      <w:pPr>
        <w:spacing w:line="240" w:lineRule="auto"/>
      </w:pPr>
    </w:p>
    <w:p w:rsidR="00C04763" w:rsidP="00376A02" w14:paraId="752047B6" w14:textId="77777777">
      <w:pPr>
        <w:spacing w:line="240" w:lineRule="auto"/>
      </w:pPr>
    </w:p>
    <w:p w:rsidR="00C04763" w:rsidP="00376A02" w14:paraId="32E1F694" w14:textId="77777777">
      <w:pPr>
        <w:spacing w:line="240" w:lineRule="auto"/>
      </w:pPr>
    </w:p>
    <w:p w:rsidR="00C04763" w:rsidP="00376A02" w14:paraId="769163C6" w14:textId="77777777">
      <w:pPr>
        <w:spacing w:line="240" w:lineRule="auto"/>
      </w:pPr>
    </w:p>
    <w:p w:rsidR="00C04763" w:rsidP="00376A02" w14:paraId="1B9452E0" w14:textId="77777777">
      <w:pPr>
        <w:spacing w:line="240" w:lineRule="auto"/>
      </w:pPr>
    </w:p>
    <w:p w:rsidR="00C04763" w:rsidP="00376A02" w14:paraId="7BEEDA13" w14:textId="48D69F44">
      <w:pPr>
        <w:spacing w:line="240" w:lineRule="auto"/>
      </w:pPr>
      <w:r>
        <w:t>A167813</w:t>
      </w:r>
    </w:p>
    <w:p w:rsidR="00C04763" w14:paraId="6CA8D7A8" w14:textId="77777777">
      <w:r>
        <w:br w:type="page"/>
      </w:r>
    </w:p>
    <w:p w:rsidR="00C04763" w:rsidP="00C04763" w14:paraId="1688872A" w14:textId="77777777">
      <w:pPr>
        <w:spacing w:line="240" w:lineRule="auto"/>
      </w:pPr>
      <w:r>
        <w:t>Trial Court:</w:t>
      </w:r>
      <w:r>
        <w:tab/>
        <w:t xml:space="preserve"> Solano County Superior Court</w:t>
      </w:r>
    </w:p>
    <w:p w:rsidR="00C04763" w:rsidP="00C04763" w14:paraId="0EB60431" w14:textId="77777777">
      <w:pPr>
        <w:spacing w:line="240" w:lineRule="auto"/>
      </w:pPr>
    </w:p>
    <w:p w:rsidR="00C04763" w:rsidP="00C04763" w14:paraId="77CB8C89" w14:textId="77777777">
      <w:pPr>
        <w:spacing w:line="240" w:lineRule="auto"/>
      </w:pPr>
      <w:r>
        <w:t>Trial Judge: Hon. Daniel J. Healy</w:t>
      </w:r>
    </w:p>
    <w:p w:rsidR="00C04763" w:rsidP="00C04763" w14:paraId="56DB6193" w14:textId="77777777">
      <w:pPr>
        <w:spacing w:line="240" w:lineRule="auto"/>
      </w:pPr>
    </w:p>
    <w:p w:rsidR="00C04763" w:rsidP="00C04763" w14:paraId="393B1D58" w14:textId="77777777">
      <w:pPr>
        <w:spacing w:line="240" w:lineRule="auto"/>
      </w:pPr>
      <w:r>
        <w:t xml:space="preserve">Counsel: </w:t>
      </w:r>
    </w:p>
    <w:p w:rsidR="00C04763" w:rsidP="00C04763" w14:paraId="2BE183C0" w14:textId="77777777">
      <w:pPr>
        <w:spacing w:line="240" w:lineRule="auto"/>
        <w:rPr>
          <w:shd w:val="clear" w:color="auto" w:fill="FFFF00"/>
        </w:rPr>
      </w:pPr>
    </w:p>
    <w:p w:rsidR="00C04763" w:rsidP="00C04763" w14:paraId="05881ADF" w14:textId="707F12B5">
      <w:pPr>
        <w:spacing w:line="240" w:lineRule="auto"/>
      </w:pPr>
      <w:r>
        <w:t>Megan Hailey-Dunsheath, under appointment by the Court of Appeal, for Defendant and Appellant.</w:t>
      </w:r>
    </w:p>
    <w:p w:rsidR="00C04763" w:rsidP="00C04763" w14:paraId="517B8061" w14:textId="77777777">
      <w:pPr>
        <w:spacing w:line="240" w:lineRule="auto"/>
        <w:rPr>
          <w:shd w:val="clear" w:color="auto" w:fill="FFFF00"/>
        </w:rPr>
      </w:pPr>
    </w:p>
    <w:p w:rsidR="00C04763" w:rsidRPr="00DC60C4" w:rsidP="00376A02" w14:paraId="2BCA9A27" w14:textId="74367E45">
      <w:pPr>
        <w:spacing w:line="240" w:lineRule="auto"/>
      </w:pPr>
      <w:r>
        <w:t>Rob Bonta, Attorney General, Lance E. Winters, Chief Assistant Attorney General, Susan Sullivan Pithey, Assistant Attorney General, Scott A. Taryle and David A. Voet, Deputy Attorneys General,</w:t>
      </w:r>
      <w:r w:rsidRPr="009B4FA5">
        <w:t xml:space="preserve"> for Plaintiff and Respondent.</w:t>
      </w:r>
    </w:p>
    <w:sectPr w:rsidSect="00756E2E">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4E0" w14:paraId="1EC7F9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9429984"/>
      <w:docPartObj>
        <w:docPartGallery w:val="Page Numbers (Bottom of Page)"/>
        <w:docPartUnique/>
      </w:docPartObj>
    </w:sdtPr>
    <w:sdtEndPr>
      <w:rPr>
        <w:noProof/>
      </w:rPr>
    </w:sdtEndPr>
    <w:sdtContent>
      <w:p w:rsidR="00981C76" w14:paraId="5849C707" w14:textId="4218CE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81C76" w14:paraId="47E8795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4E0" w14:paraId="017BD1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6E2E" w:rsidP="00981C76" w14:paraId="33D3A852" w14:textId="77777777">
      <w:pPr>
        <w:spacing w:line="240" w:lineRule="auto"/>
      </w:pPr>
      <w:r>
        <w:separator/>
      </w:r>
    </w:p>
  </w:footnote>
  <w:footnote w:type="continuationSeparator" w:id="1">
    <w:p w:rsidR="00756E2E" w:rsidP="00981C76" w14:paraId="788D69BB" w14:textId="77777777">
      <w:pPr>
        <w:spacing w:line="240" w:lineRule="auto"/>
      </w:pPr>
      <w:r>
        <w:continuationSeparator/>
      </w:r>
    </w:p>
  </w:footnote>
  <w:footnote w:id="2">
    <w:p w:rsidR="0061196A" w:rsidRPr="00163A2D" w:rsidP="00325586" w14:paraId="684EF0C0" w14:textId="4EDD2F40">
      <w:pPr>
        <w:pStyle w:val="FootnoteText"/>
        <w:ind w:firstLine="720"/>
        <w:rPr>
          <w:sz w:val="26"/>
          <w:szCs w:val="26"/>
        </w:rPr>
      </w:pPr>
      <w:r w:rsidRPr="00163A2D">
        <w:rPr>
          <w:rStyle w:val="FootnoteReference"/>
          <w:sz w:val="26"/>
          <w:szCs w:val="26"/>
        </w:rPr>
        <w:footnoteRef/>
      </w:r>
      <w:r w:rsidRPr="00163A2D">
        <w:rPr>
          <w:sz w:val="26"/>
          <w:szCs w:val="26"/>
        </w:rPr>
        <w:t xml:space="preserve"> This statute was formerly section 1171.1, but </w:t>
      </w:r>
      <w:r w:rsidR="00246AD6">
        <w:rPr>
          <w:sz w:val="26"/>
          <w:szCs w:val="26"/>
        </w:rPr>
        <w:t>the Legislature</w:t>
      </w:r>
      <w:r w:rsidRPr="00163A2D">
        <w:rPr>
          <w:sz w:val="26"/>
          <w:szCs w:val="26"/>
        </w:rPr>
        <w:t xml:space="preserve"> renumbered </w:t>
      </w:r>
      <w:r w:rsidR="00246AD6">
        <w:rPr>
          <w:sz w:val="26"/>
          <w:szCs w:val="26"/>
        </w:rPr>
        <w:t xml:space="preserve">it </w:t>
      </w:r>
      <w:r w:rsidRPr="00163A2D">
        <w:rPr>
          <w:sz w:val="26"/>
          <w:szCs w:val="26"/>
        </w:rPr>
        <w:t xml:space="preserve">to section 1172.75. </w:t>
      </w:r>
      <w:r w:rsidR="000F30E9">
        <w:rPr>
          <w:sz w:val="26"/>
          <w:szCs w:val="26"/>
        </w:rPr>
        <w:t xml:space="preserve"> </w:t>
      </w:r>
      <w:r w:rsidRPr="00163A2D">
        <w:rPr>
          <w:sz w:val="26"/>
          <w:szCs w:val="26"/>
        </w:rPr>
        <w:t>(Assem. Bill No. 200 (2021</w:t>
      </w:r>
      <w:r>
        <w:rPr>
          <w:sz w:val="26"/>
          <w:szCs w:val="26"/>
        </w:rPr>
        <w:t>–</w:t>
      </w:r>
      <w:r w:rsidRPr="00163A2D">
        <w:rPr>
          <w:sz w:val="26"/>
          <w:szCs w:val="26"/>
        </w:rPr>
        <w:t>2022 Reg. Sess.</w:t>
      </w:r>
      <w:r w:rsidR="00D9154E">
        <w:rPr>
          <w:sz w:val="26"/>
          <w:szCs w:val="26"/>
        </w:rPr>
        <w:t>);</w:t>
      </w:r>
      <w:r w:rsidR="000F30E9">
        <w:rPr>
          <w:sz w:val="26"/>
          <w:szCs w:val="26"/>
        </w:rPr>
        <w:t xml:space="preserve"> </w:t>
      </w:r>
      <w:r w:rsidRPr="00163A2D">
        <w:rPr>
          <w:sz w:val="26"/>
          <w:szCs w:val="26"/>
        </w:rPr>
        <w:t>Stats.</w:t>
      </w:r>
      <w:r w:rsidR="00163A2D">
        <w:rPr>
          <w:sz w:val="26"/>
          <w:szCs w:val="26"/>
        </w:rPr>
        <w:t> </w:t>
      </w:r>
      <w:r w:rsidRPr="00163A2D">
        <w:rPr>
          <w:sz w:val="26"/>
          <w:szCs w:val="26"/>
        </w:rPr>
        <w:t>2022, ch.</w:t>
      </w:r>
      <w:r w:rsidR="00163A2D">
        <w:rPr>
          <w:sz w:val="26"/>
          <w:szCs w:val="26"/>
        </w:rPr>
        <w:t> </w:t>
      </w:r>
      <w:r w:rsidRPr="00163A2D">
        <w:rPr>
          <w:sz w:val="26"/>
          <w:szCs w:val="26"/>
        </w:rPr>
        <w:t>58, §</w:t>
      </w:r>
      <w:r>
        <w:rPr>
          <w:sz w:val="26"/>
          <w:szCs w:val="26"/>
        </w:rPr>
        <w:t> </w:t>
      </w:r>
      <w:r w:rsidRPr="00163A2D">
        <w:rPr>
          <w:sz w:val="26"/>
          <w:szCs w:val="26"/>
        </w:rPr>
        <w:t>12.)</w:t>
      </w:r>
    </w:p>
  </w:footnote>
  <w:footnote w:id="3">
    <w:p w:rsidR="004B08C9" w:rsidRPr="00E136AB" w:rsidP="004B08C9" w14:paraId="3873DF5F" w14:textId="6CA890B7">
      <w:pPr>
        <w:pStyle w:val="FootnoteText"/>
        <w:ind w:firstLine="720"/>
        <w:rPr>
          <w:sz w:val="26"/>
          <w:szCs w:val="26"/>
        </w:rPr>
      </w:pPr>
      <w:r w:rsidRPr="00376A02">
        <w:rPr>
          <w:rStyle w:val="FootnoteReference"/>
          <w:sz w:val="26"/>
          <w:szCs w:val="26"/>
        </w:rPr>
        <w:footnoteRef/>
      </w:r>
      <w:r w:rsidRPr="00376A02">
        <w:rPr>
          <w:sz w:val="26"/>
          <w:szCs w:val="26"/>
        </w:rPr>
        <w:t xml:space="preserve"> </w:t>
      </w:r>
      <w:r w:rsidRPr="00376A02" w:rsidR="00E136AB">
        <w:rPr>
          <w:sz w:val="26"/>
          <w:szCs w:val="26"/>
        </w:rPr>
        <w:t xml:space="preserve">Indeed, in </w:t>
      </w:r>
      <w:r w:rsidRPr="00376A02" w:rsidR="00E136AB">
        <w:rPr>
          <w:i/>
          <w:iCs/>
          <w:sz w:val="26"/>
          <w:szCs w:val="26"/>
        </w:rPr>
        <w:t>People v. Prudholme</w:t>
      </w:r>
      <w:r w:rsidRPr="00376A02" w:rsidR="00E136AB">
        <w:rPr>
          <w:sz w:val="26"/>
          <w:szCs w:val="26"/>
        </w:rPr>
        <w:t xml:space="preserve">, </w:t>
      </w:r>
      <w:r w:rsidRPr="00376A02" w:rsidR="00E136AB">
        <w:rPr>
          <w:i/>
          <w:iCs/>
          <w:sz w:val="26"/>
          <w:szCs w:val="26"/>
        </w:rPr>
        <w:t>supra</w:t>
      </w:r>
      <w:r w:rsidRPr="00376A02" w:rsidR="00E136AB">
        <w:rPr>
          <w:sz w:val="26"/>
          <w:szCs w:val="26"/>
        </w:rPr>
        <w:t>, 14 Cal.5th at pages 979 to 980, the Supreme Court cited the uncodified section of Sen. Bill 483 as an “express statement . . . employed effectively” to communicate the Legislature’s intent.</w:t>
      </w:r>
    </w:p>
  </w:footnote>
  <w:footnote w:id="4">
    <w:p w:rsidR="00F56D9B" w:rsidP="00AF3FBB" w14:paraId="6A1D0D7D" w14:textId="77777777">
      <w:pPr>
        <w:pStyle w:val="FootnoteText"/>
        <w:ind w:firstLine="720"/>
        <w:rPr>
          <w:sz w:val="26"/>
          <w:szCs w:val="26"/>
        </w:rPr>
      </w:pPr>
      <w:r w:rsidRPr="003B713B">
        <w:rPr>
          <w:rStyle w:val="FootnoteReference"/>
          <w:sz w:val="26"/>
          <w:szCs w:val="26"/>
        </w:rPr>
        <w:footnoteRef/>
      </w:r>
      <w:r w:rsidRPr="003B713B">
        <w:rPr>
          <w:sz w:val="26"/>
          <w:szCs w:val="26"/>
        </w:rPr>
        <w:t xml:space="preserve"> Since we </w:t>
      </w:r>
      <w:r>
        <w:rPr>
          <w:sz w:val="26"/>
          <w:szCs w:val="26"/>
        </w:rPr>
        <w:t>hold</w:t>
      </w:r>
      <w:r w:rsidRPr="003B713B">
        <w:rPr>
          <w:sz w:val="26"/>
          <w:szCs w:val="26"/>
        </w:rPr>
        <w:t xml:space="preserve"> </w:t>
      </w:r>
      <w:r>
        <w:rPr>
          <w:sz w:val="26"/>
          <w:szCs w:val="26"/>
        </w:rPr>
        <w:t xml:space="preserve">section 1172.75 provides Montgomery the right </w:t>
      </w:r>
      <w:r w:rsidR="00E657A3">
        <w:rPr>
          <w:sz w:val="26"/>
          <w:szCs w:val="26"/>
        </w:rPr>
        <w:t>to be present</w:t>
      </w:r>
      <w:r w:rsidR="00EF2716">
        <w:rPr>
          <w:sz w:val="26"/>
          <w:szCs w:val="26"/>
        </w:rPr>
        <w:t>,</w:t>
      </w:r>
      <w:r w:rsidR="00E657A3">
        <w:rPr>
          <w:sz w:val="26"/>
          <w:szCs w:val="26"/>
        </w:rPr>
        <w:t xml:space="preserve"> represented by counsel</w:t>
      </w:r>
      <w:r w:rsidR="00EF2716">
        <w:rPr>
          <w:sz w:val="26"/>
          <w:szCs w:val="26"/>
        </w:rPr>
        <w:t>, and to present evidence at a full res</w:t>
      </w:r>
      <w:r>
        <w:rPr>
          <w:sz w:val="26"/>
          <w:szCs w:val="26"/>
        </w:rPr>
        <w:t>entencing hearing,</w:t>
      </w:r>
      <w:r w:rsidRPr="003B713B">
        <w:rPr>
          <w:sz w:val="26"/>
          <w:szCs w:val="26"/>
        </w:rPr>
        <w:t xml:space="preserve"> </w:t>
      </w:r>
      <w:r w:rsidR="00EA4D5B">
        <w:rPr>
          <w:sz w:val="26"/>
          <w:szCs w:val="26"/>
        </w:rPr>
        <w:t>we need not reach his constitutional claims</w:t>
      </w:r>
      <w:r w:rsidRPr="003B713B">
        <w:rPr>
          <w:sz w:val="26"/>
          <w:szCs w:val="26"/>
        </w:rPr>
        <w:t>.</w:t>
      </w:r>
      <w:r w:rsidR="00E136AB">
        <w:rPr>
          <w:sz w:val="26"/>
          <w:szCs w:val="26"/>
        </w:rPr>
        <w:t xml:space="preserve">  </w:t>
      </w:r>
      <w:r w:rsidRPr="00376A02" w:rsidR="00E136AB">
        <w:rPr>
          <w:sz w:val="26"/>
          <w:szCs w:val="26"/>
        </w:rPr>
        <w:t xml:space="preserve">Also, we have no occasion to consider </w:t>
      </w:r>
      <w:r w:rsidRPr="00376A02" w:rsidR="00EF3605">
        <w:rPr>
          <w:sz w:val="26"/>
          <w:szCs w:val="26"/>
        </w:rPr>
        <w:t>the interplay of section 1172.75, subdivision (d) and other changes in sentencing law that the Legislature or case</w:t>
      </w:r>
      <w:r w:rsidR="00376A02">
        <w:rPr>
          <w:sz w:val="26"/>
          <w:szCs w:val="26"/>
        </w:rPr>
        <w:t xml:space="preserve"> </w:t>
      </w:r>
      <w:r w:rsidRPr="00376A02" w:rsidR="00EF3605">
        <w:rPr>
          <w:sz w:val="26"/>
          <w:szCs w:val="26"/>
        </w:rPr>
        <w:t>law ha</w:t>
      </w:r>
      <w:r w:rsidRPr="00376A02" w:rsidR="004F584C">
        <w:rPr>
          <w:sz w:val="26"/>
          <w:szCs w:val="26"/>
        </w:rPr>
        <w:t>ve</w:t>
      </w:r>
      <w:r w:rsidRPr="00376A02" w:rsidR="00EF3605">
        <w:rPr>
          <w:sz w:val="26"/>
          <w:szCs w:val="26"/>
        </w:rPr>
        <w:t xml:space="preserve"> determined were not “ ‘intended to overturn long-standing law that a </w:t>
      </w:r>
    </w:p>
    <w:p w:rsidR="00AF3FBB" w:rsidRPr="00EF3605" w:rsidP="00F56D9B" w14:paraId="25637226" w14:textId="6D156DAA">
      <w:pPr>
        <w:pStyle w:val="FootnoteText"/>
        <w:rPr>
          <w:sz w:val="26"/>
          <w:szCs w:val="26"/>
        </w:rPr>
      </w:pPr>
      <w:r w:rsidRPr="00376A02">
        <w:rPr>
          <w:sz w:val="26"/>
          <w:szCs w:val="26"/>
        </w:rPr>
        <w:t>court cannot unilaterally modify an agreed-upon term.’ ”  (</w:t>
      </w:r>
      <w:r w:rsidRPr="00376A02">
        <w:rPr>
          <w:i/>
          <w:iCs/>
          <w:sz w:val="26"/>
          <w:szCs w:val="26"/>
        </w:rPr>
        <w:t>Carter</w:t>
      </w:r>
      <w:r w:rsidRPr="00376A02">
        <w:rPr>
          <w:sz w:val="26"/>
          <w:szCs w:val="26"/>
        </w:rPr>
        <w:t xml:space="preserve">, </w:t>
      </w:r>
      <w:r w:rsidRPr="00376A02">
        <w:rPr>
          <w:i/>
          <w:iCs/>
          <w:sz w:val="26"/>
          <w:szCs w:val="26"/>
        </w:rPr>
        <w:t>supra</w:t>
      </w:r>
      <w:r w:rsidRPr="00376A02">
        <w:rPr>
          <w:sz w:val="26"/>
          <w:szCs w:val="26"/>
        </w:rPr>
        <w:t>, 97</w:t>
      </w:r>
      <w:r w:rsidR="00F56D9B">
        <w:rPr>
          <w:sz w:val="26"/>
          <w:szCs w:val="26"/>
        </w:rPr>
        <w:t> </w:t>
      </w:r>
      <w:r w:rsidRPr="00376A02">
        <w:rPr>
          <w:sz w:val="26"/>
          <w:szCs w:val="26"/>
        </w:rPr>
        <w:t>Cal.App.5th at p. 969</w:t>
      </w:r>
      <w:r w:rsidRPr="00376A02" w:rsidR="004F584C">
        <w:rPr>
          <w:sz w:val="26"/>
          <w:szCs w:val="26"/>
        </w:rPr>
        <w:t xml:space="preserve">; e.g., </w:t>
      </w:r>
      <w:r w:rsidRPr="00376A02" w:rsidR="004F584C">
        <w:rPr>
          <w:i/>
          <w:iCs/>
          <w:sz w:val="26"/>
          <w:szCs w:val="26"/>
        </w:rPr>
        <w:t>People v. Stamps</w:t>
      </w:r>
      <w:r w:rsidRPr="00376A02" w:rsidR="004F584C">
        <w:rPr>
          <w:sz w:val="26"/>
          <w:szCs w:val="26"/>
        </w:rPr>
        <w:t xml:space="preserve">, </w:t>
      </w:r>
      <w:r w:rsidRPr="00376A02" w:rsidR="004F584C">
        <w:rPr>
          <w:i/>
          <w:iCs/>
          <w:sz w:val="26"/>
          <w:szCs w:val="26"/>
        </w:rPr>
        <w:t>supra</w:t>
      </w:r>
      <w:r w:rsidRPr="00376A02" w:rsidR="004F584C">
        <w:rPr>
          <w:sz w:val="26"/>
          <w:szCs w:val="26"/>
        </w:rPr>
        <w:t>,</w:t>
      </w:r>
      <w:r w:rsidRPr="00376A02" w:rsidR="004F584C">
        <w:rPr>
          <w:i/>
          <w:iCs/>
          <w:sz w:val="26"/>
          <w:szCs w:val="26"/>
        </w:rPr>
        <w:t xml:space="preserve"> </w:t>
      </w:r>
      <w:r w:rsidRPr="00376A02" w:rsidR="004F584C">
        <w:rPr>
          <w:sz w:val="26"/>
          <w:szCs w:val="26"/>
        </w:rPr>
        <w:t>9 Cal.5th at p. 707</w:t>
      </w:r>
      <w:r w:rsidRPr="00376A02">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4E0" w14:paraId="060513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4E0" w14:paraId="1B66E35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4E0" w14:paraId="5223BD2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23"/>
    <w:rsid w:val="00001BD0"/>
    <w:rsid w:val="0000355A"/>
    <w:rsid w:val="00003FC0"/>
    <w:rsid w:val="00004326"/>
    <w:rsid w:val="00004C1E"/>
    <w:rsid w:val="00005501"/>
    <w:rsid w:val="00005E5B"/>
    <w:rsid w:val="00006673"/>
    <w:rsid w:val="000106E6"/>
    <w:rsid w:val="00010D88"/>
    <w:rsid w:val="00010EEA"/>
    <w:rsid w:val="00011074"/>
    <w:rsid w:val="0001150D"/>
    <w:rsid w:val="000120EF"/>
    <w:rsid w:val="0001225B"/>
    <w:rsid w:val="00012C53"/>
    <w:rsid w:val="0001322C"/>
    <w:rsid w:val="000150CF"/>
    <w:rsid w:val="00016FE7"/>
    <w:rsid w:val="000207DC"/>
    <w:rsid w:val="00023552"/>
    <w:rsid w:val="00023780"/>
    <w:rsid w:val="00023D47"/>
    <w:rsid w:val="00023F63"/>
    <w:rsid w:val="000246D8"/>
    <w:rsid w:val="00025B11"/>
    <w:rsid w:val="0002657E"/>
    <w:rsid w:val="00027B73"/>
    <w:rsid w:val="00027F7A"/>
    <w:rsid w:val="00030684"/>
    <w:rsid w:val="000308FE"/>
    <w:rsid w:val="00030CF9"/>
    <w:rsid w:val="000314C4"/>
    <w:rsid w:val="0003188F"/>
    <w:rsid w:val="00032A7D"/>
    <w:rsid w:val="00033128"/>
    <w:rsid w:val="000342A1"/>
    <w:rsid w:val="00034735"/>
    <w:rsid w:val="0003498C"/>
    <w:rsid w:val="00035CCA"/>
    <w:rsid w:val="00040B60"/>
    <w:rsid w:val="00041702"/>
    <w:rsid w:val="00041A6F"/>
    <w:rsid w:val="00041CB2"/>
    <w:rsid w:val="00041D4C"/>
    <w:rsid w:val="00043E57"/>
    <w:rsid w:val="00043FE2"/>
    <w:rsid w:val="00044592"/>
    <w:rsid w:val="0004464C"/>
    <w:rsid w:val="00044AB9"/>
    <w:rsid w:val="00045FFB"/>
    <w:rsid w:val="000507D4"/>
    <w:rsid w:val="000519A5"/>
    <w:rsid w:val="00052977"/>
    <w:rsid w:val="0005319F"/>
    <w:rsid w:val="00053CD5"/>
    <w:rsid w:val="00053E29"/>
    <w:rsid w:val="00055FAA"/>
    <w:rsid w:val="00056688"/>
    <w:rsid w:val="00057051"/>
    <w:rsid w:val="000608E8"/>
    <w:rsid w:val="00060BAC"/>
    <w:rsid w:val="00060C67"/>
    <w:rsid w:val="00060E0A"/>
    <w:rsid w:val="00062710"/>
    <w:rsid w:val="00063998"/>
    <w:rsid w:val="00064C07"/>
    <w:rsid w:val="00064E97"/>
    <w:rsid w:val="00066300"/>
    <w:rsid w:val="00067039"/>
    <w:rsid w:val="000678AB"/>
    <w:rsid w:val="00067E35"/>
    <w:rsid w:val="00070A68"/>
    <w:rsid w:val="00070C37"/>
    <w:rsid w:val="00071AA1"/>
    <w:rsid w:val="00072019"/>
    <w:rsid w:val="00072678"/>
    <w:rsid w:val="00073E86"/>
    <w:rsid w:val="00074FB4"/>
    <w:rsid w:val="00075B04"/>
    <w:rsid w:val="00075EA7"/>
    <w:rsid w:val="000766CF"/>
    <w:rsid w:val="00076A61"/>
    <w:rsid w:val="00077067"/>
    <w:rsid w:val="000775BE"/>
    <w:rsid w:val="0008054C"/>
    <w:rsid w:val="00080C17"/>
    <w:rsid w:val="00080E04"/>
    <w:rsid w:val="000812BD"/>
    <w:rsid w:val="00081338"/>
    <w:rsid w:val="00082148"/>
    <w:rsid w:val="0008321B"/>
    <w:rsid w:val="00083564"/>
    <w:rsid w:val="00083C58"/>
    <w:rsid w:val="00084ABF"/>
    <w:rsid w:val="000869F1"/>
    <w:rsid w:val="0008716F"/>
    <w:rsid w:val="0008783E"/>
    <w:rsid w:val="0009007C"/>
    <w:rsid w:val="0009122E"/>
    <w:rsid w:val="00091762"/>
    <w:rsid w:val="00092CFB"/>
    <w:rsid w:val="00092D91"/>
    <w:rsid w:val="00093719"/>
    <w:rsid w:val="00093FEA"/>
    <w:rsid w:val="000961A3"/>
    <w:rsid w:val="00096670"/>
    <w:rsid w:val="00097B1C"/>
    <w:rsid w:val="00097E89"/>
    <w:rsid w:val="000A01D2"/>
    <w:rsid w:val="000A1C2B"/>
    <w:rsid w:val="000A2270"/>
    <w:rsid w:val="000A2424"/>
    <w:rsid w:val="000A2461"/>
    <w:rsid w:val="000A3D2F"/>
    <w:rsid w:val="000A4E5B"/>
    <w:rsid w:val="000A58E7"/>
    <w:rsid w:val="000A6952"/>
    <w:rsid w:val="000A7B06"/>
    <w:rsid w:val="000A7EDD"/>
    <w:rsid w:val="000B015A"/>
    <w:rsid w:val="000B0B15"/>
    <w:rsid w:val="000B0B3E"/>
    <w:rsid w:val="000B13BC"/>
    <w:rsid w:val="000B23F7"/>
    <w:rsid w:val="000B250B"/>
    <w:rsid w:val="000B39D1"/>
    <w:rsid w:val="000B46EE"/>
    <w:rsid w:val="000B5505"/>
    <w:rsid w:val="000B5D6F"/>
    <w:rsid w:val="000B5DAB"/>
    <w:rsid w:val="000B62F0"/>
    <w:rsid w:val="000B76D1"/>
    <w:rsid w:val="000B7711"/>
    <w:rsid w:val="000B7A52"/>
    <w:rsid w:val="000B7A60"/>
    <w:rsid w:val="000C02EC"/>
    <w:rsid w:val="000C2523"/>
    <w:rsid w:val="000C264B"/>
    <w:rsid w:val="000C2E00"/>
    <w:rsid w:val="000C34EA"/>
    <w:rsid w:val="000C3EE3"/>
    <w:rsid w:val="000C3F71"/>
    <w:rsid w:val="000C4F8B"/>
    <w:rsid w:val="000C5274"/>
    <w:rsid w:val="000C5418"/>
    <w:rsid w:val="000C594E"/>
    <w:rsid w:val="000C5A62"/>
    <w:rsid w:val="000C5F18"/>
    <w:rsid w:val="000C676E"/>
    <w:rsid w:val="000C6797"/>
    <w:rsid w:val="000C7DEF"/>
    <w:rsid w:val="000D14E7"/>
    <w:rsid w:val="000D15FF"/>
    <w:rsid w:val="000D33A9"/>
    <w:rsid w:val="000D3D1C"/>
    <w:rsid w:val="000D5759"/>
    <w:rsid w:val="000D6D84"/>
    <w:rsid w:val="000D7273"/>
    <w:rsid w:val="000E015D"/>
    <w:rsid w:val="000E0581"/>
    <w:rsid w:val="000E0599"/>
    <w:rsid w:val="000E1753"/>
    <w:rsid w:val="000E20B4"/>
    <w:rsid w:val="000E2FC3"/>
    <w:rsid w:val="000E30D9"/>
    <w:rsid w:val="000E31CC"/>
    <w:rsid w:val="000E39BE"/>
    <w:rsid w:val="000E4C19"/>
    <w:rsid w:val="000E5E4F"/>
    <w:rsid w:val="000E6787"/>
    <w:rsid w:val="000E6912"/>
    <w:rsid w:val="000F0D46"/>
    <w:rsid w:val="000F1231"/>
    <w:rsid w:val="000F193F"/>
    <w:rsid w:val="000F27AF"/>
    <w:rsid w:val="000F30E9"/>
    <w:rsid w:val="000F406C"/>
    <w:rsid w:val="000F4114"/>
    <w:rsid w:val="000F54DF"/>
    <w:rsid w:val="000F71D4"/>
    <w:rsid w:val="000F778C"/>
    <w:rsid w:val="0010063D"/>
    <w:rsid w:val="00100CEB"/>
    <w:rsid w:val="001011CB"/>
    <w:rsid w:val="001011E7"/>
    <w:rsid w:val="00101498"/>
    <w:rsid w:val="001014D6"/>
    <w:rsid w:val="0010188B"/>
    <w:rsid w:val="00102591"/>
    <w:rsid w:val="001025C7"/>
    <w:rsid w:val="00102F2B"/>
    <w:rsid w:val="00103474"/>
    <w:rsid w:val="0010462F"/>
    <w:rsid w:val="001046A6"/>
    <w:rsid w:val="001060AF"/>
    <w:rsid w:val="00106383"/>
    <w:rsid w:val="00106739"/>
    <w:rsid w:val="001069AE"/>
    <w:rsid w:val="0010765A"/>
    <w:rsid w:val="001108DA"/>
    <w:rsid w:val="0011108A"/>
    <w:rsid w:val="0011792B"/>
    <w:rsid w:val="00117BCD"/>
    <w:rsid w:val="001209F2"/>
    <w:rsid w:val="001211B7"/>
    <w:rsid w:val="00121930"/>
    <w:rsid w:val="00122562"/>
    <w:rsid w:val="00122BB9"/>
    <w:rsid w:val="00123574"/>
    <w:rsid w:val="00124AF7"/>
    <w:rsid w:val="00125987"/>
    <w:rsid w:val="00125E9D"/>
    <w:rsid w:val="00125EF4"/>
    <w:rsid w:val="0012651B"/>
    <w:rsid w:val="00126645"/>
    <w:rsid w:val="001269C1"/>
    <w:rsid w:val="00126A9E"/>
    <w:rsid w:val="00126FD0"/>
    <w:rsid w:val="00127246"/>
    <w:rsid w:val="001300D6"/>
    <w:rsid w:val="0013019A"/>
    <w:rsid w:val="001311F6"/>
    <w:rsid w:val="00131EF9"/>
    <w:rsid w:val="001323F9"/>
    <w:rsid w:val="00132ABE"/>
    <w:rsid w:val="001338CD"/>
    <w:rsid w:val="00134CCD"/>
    <w:rsid w:val="001367E3"/>
    <w:rsid w:val="00137FD5"/>
    <w:rsid w:val="001409E6"/>
    <w:rsid w:val="00140B27"/>
    <w:rsid w:val="00140C78"/>
    <w:rsid w:val="00140DB7"/>
    <w:rsid w:val="0014106D"/>
    <w:rsid w:val="00141891"/>
    <w:rsid w:val="0014190D"/>
    <w:rsid w:val="00141E7D"/>
    <w:rsid w:val="00142403"/>
    <w:rsid w:val="001446D2"/>
    <w:rsid w:val="00144A7E"/>
    <w:rsid w:val="00144EBB"/>
    <w:rsid w:val="0014646E"/>
    <w:rsid w:val="001469AA"/>
    <w:rsid w:val="00146C94"/>
    <w:rsid w:val="00146D01"/>
    <w:rsid w:val="00147629"/>
    <w:rsid w:val="00147CE0"/>
    <w:rsid w:val="00147E17"/>
    <w:rsid w:val="00150867"/>
    <w:rsid w:val="001511CC"/>
    <w:rsid w:val="00152A6D"/>
    <w:rsid w:val="00153241"/>
    <w:rsid w:val="00153EDC"/>
    <w:rsid w:val="00154480"/>
    <w:rsid w:val="00154FD3"/>
    <w:rsid w:val="00155154"/>
    <w:rsid w:val="001557F9"/>
    <w:rsid w:val="001569D0"/>
    <w:rsid w:val="00157249"/>
    <w:rsid w:val="00157389"/>
    <w:rsid w:val="0015741B"/>
    <w:rsid w:val="00160025"/>
    <w:rsid w:val="001613F3"/>
    <w:rsid w:val="0016146A"/>
    <w:rsid w:val="001629ED"/>
    <w:rsid w:val="0016392F"/>
    <w:rsid w:val="00163A2D"/>
    <w:rsid w:val="00163A31"/>
    <w:rsid w:val="00164370"/>
    <w:rsid w:val="00166974"/>
    <w:rsid w:val="001679D0"/>
    <w:rsid w:val="001703C9"/>
    <w:rsid w:val="00171FF8"/>
    <w:rsid w:val="001731FA"/>
    <w:rsid w:val="001742C3"/>
    <w:rsid w:val="00174557"/>
    <w:rsid w:val="00175C76"/>
    <w:rsid w:val="00175E95"/>
    <w:rsid w:val="001761B8"/>
    <w:rsid w:val="00176369"/>
    <w:rsid w:val="001765A7"/>
    <w:rsid w:val="001765B4"/>
    <w:rsid w:val="00181A90"/>
    <w:rsid w:val="00182066"/>
    <w:rsid w:val="0018222F"/>
    <w:rsid w:val="00182446"/>
    <w:rsid w:val="001824CF"/>
    <w:rsid w:val="001831BC"/>
    <w:rsid w:val="00183D0D"/>
    <w:rsid w:val="00185E47"/>
    <w:rsid w:val="00186093"/>
    <w:rsid w:val="00187408"/>
    <w:rsid w:val="001874FF"/>
    <w:rsid w:val="00187ED1"/>
    <w:rsid w:val="00190F74"/>
    <w:rsid w:val="001911E0"/>
    <w:rsid w:val="0019149C"/>
    <w:rsid w:val="00191EAA"/>
    <w:rsid w:val="00191FD0"/>
    <w:rsid w:val="00192E30"/>
    <w:rsid w:val="00193E8C"/>
    <w:rsid w:val="00193FCB"/>
    <w:rsid w:val="00195575"/>
    <w:rsid w:val="00195E4B"/>
    <w:rsid w:val="00196416"/>
    <w:rsid w:val="001971A0"/>
    <w:rsid w:val="00197B8A"/>
    <w:rsid w:val="001A02B8"/>
    <w:rsid w:val="001A0427"/>
    <w:rsid w:val="001A0ADF"/>
    <w:rsid w:val="001A11DA"/>
    <w:rsid w:val="001A253B"/>
    <w:rsid w:val="001A327B"/>
    <w:rsid w:val="001A379F"/>
    <w:rsid w:val="001A3F71"/>
    <w:rsid w:val="001A508B"/>
    <w:rsid w:val="001A6265"/>
    <w:rsid w:val="001A6BCD"/>
    <w:rsid w:val="001A7C1F"/>
    <w:rsid w:val="001A7EAD"/>
    <w:rsid w:val="001B064D"/>
    <w:rsid w:val="001B140B"/>
    <w:rsid w:val="001B16C7"/>
    <w:rsid w:val="001B28FD"/>
    <w:rsid w:val="001B2ADB"/>
    <w:rsid w:val="001B2F84"/>
    <w:rsid w:val="001B3183"/>
    <w:rsid w:val="001B57F3"/>
    <w:rsid w:val="001B5A2D"/>
    <w:rsid w:val="001B6817"/>
    <w:rsid w:val="001C00C3"/>
    <w:rsid w:val="001C02AE"/>
    <w:rsid w:val="001C0688"/>
    <w:rsid w:val="001C1A5C"/>
    <w:rsid w:val="001C1B83"/>
    <w:rsid w:val="001C33CC"/>
    <w:rsid w:val="001C36C5"/>
    <w:rsid w:val="001C4A9B"/>
    <w:rsid w:val="001D2AC7"/>
    <w:rsid w:val="001D41A0"/>
    <w:rsid w:val="001D45A9"/>
    <w:rsid w:val="001D4D5A"/>
    <w:rsid w:val="001D5A96"/>
    <w:rsid w:val="001D727F"/>
    <w:rsid w:val="001D73AA"/>
    <w:rsid w:val="001E02D0"/>
    <w:rsid w:val="001E0356"/>
    <w:rsid w:val="001E0AB0"/>
    <w:rsid w:val="001E0ABC"/>
    <w:rsid w:val="001E121E"/>
    <w:rsid w:val="001E2BEB"/>
    <w:rsid w:val="001E3344"/>
    <w:rsid w:val="001E42A0"/>
    <w:rsid w:val="001E498B"/>
    <w:rsid w:val="001E5B9E"/>
    <w:rsid w:val="001E696E"/>
    <w:rsid w:val="001E75BB"/>
    <w:rsid w:val="001E7611"/>
    <w:rsid w:val="001E7902"/>
    <w:rsid w:val="001F0A9F"/>
    <w:rsid w:val="001F13AE"/>
    <w:rsid w:val="001F176B"/>
    <w:rsid w:val="001F1DC1"/>
    <w:rsid w:val="001F20BA"/>
    <w:rsid w:val="001F214A"/>
    <w:rsid w:val="001F379C"/>
    <w:rsid w:val="001F37E3"/>
    <w:rsid w:val="001F3FB3"/>
    <w:rsid w:val="001F4290"/>
    <w:rsid w:val="001F44AD"/>
    <w:rsid w:val="001F5843"/>
    <w:rsid w:val="001F5CB4"/>
    <w:rsid w:val="001F5DAA"/>
    <w:rsid w:val="001F6258"/>
    <w:rsid w:val="001F6E9F"/>
    <w:rsid w:val="001F70F0"/>
    <w:rsid w:val="001F7178"/>
    <w:rsid w:val="00200AF9"/>
    <w:rsid w:val="00201071"/>
    <w:rsid w:val="002012D3"/>
    <w:rsid w:val="00201EF5"/>
    <w:rsid w:val="0020239F"/>
    <w:rsid w:val="002023F4"/>
    <w:rsid w:val="00202AA2"/>
    <w:rsid w:val="0020336F"/>
    <w:rsid w:val="00203463"/>
    <w:rsid w:val="00203DA6"/>
    <w:rsid w:val="00205961"/>
    <w:rsid w:val="00206F08"/>
    <w:rsid w:val="00207A5C"/>
    <w:rsid w:val="00207F28"/>
    <w:rsid w:val="002101F1"/>
    <w:rsid w:val="00210210"/>
    <w:rsid w:val="002104EE"/>
    <w:rsid w:val="002107CB"/>
    <w:rsid w:val="0021128A"/>
    <w:rsid w:val="002112CD"/>
    <w:rsid w:val="002120BA"/>
    <w:rsid w:val="00212FCB"/>
    <w:rsid w:val="0021335E"/>
    <w:rsid w:val="00213519"/>
    <w:rsid w:val="0021435C"/>
    <w:rsid w:val="00214D5F"/>
    <w:rsid w:val="00214DB2"/>
    <w:rsid w:val="002150E3"/>
    <w:rsid w:val="0021717F"/>
    <w:rsid w:val="00217441"/>
    <w:rsid w:val="002175D2"/>
    <w:rsid w:val="002176CC"/>
    <w:rsid w:val="00220696"/>
    <w:rsid w:val="00222F83"/>
    <w:rsid w:val="00223390"/>
    <w:rsid w:val="002237C9"/>
    <w:rsid w:val="00224245"/>
    <w:rsid w:val="002242C7"/>
    <w:rsid w:val="00224777"/>
    <w:rsid w:val="002253D9"/>
    <w:rsid w:val="00225600"/>
    <w:rsid w:val="0022625A"/>
    <w:rsid w:val="0022790D"/>
    <w:rsid w:val="00227CB4"/>
    <w:rsid w:val="002303E6"/>
    <w:rsid w:val="00231B86"/>
    <w:rsid w:val="00232869"/>
    <w:rsid w:val="00232DAF"/>
    <w:rsid w:val="00232DD9"/>
    <w:rsid w:val="0023328B"/>
    <w:rsid w:val="00233553"/>
    <w:rsid w:val="0023396E"/>
    <w:rsid w:val="00234CE6"/>
    <w:rsid w:val="00234E92"/>
    <w:rsid w:val="00236C25"/>
    <w:rsid w:val="00241F5F"/>
    <w:rsid w:val="002421F5"/>
    <w:rsid w:val="002422E5"/>
    <w:rsid w:val="00242C42"/>
    <w:rsid w:val="0024664A"/>
    <w:rsid w:val="00246AD6"/>
    <w:rsid w:val="00246C4F"/>
    <w:rsid w:val="00246D18"/>
    <w:rsid w:val="002503DA"/>
    <w:rsid w:val="002505C9"/>
    <w:rsid w:val="0025166B"/>
    <w:rsid w:val="00251838"/>
    <w:rsid w:val="00252163"/>
    <w:rsid w:val="00252B6B"/>
    <w:rsid w:val="00253969"/>
    <w:rsid w:val="00253C6A"/>
    <w:rsid w:val="00254272"/>
    <w:rsid w:val="002549EC"/>
    <w:rsid w:val="0025508B"/>
    <w:rsid w:val="002556D5"/>
    <w:rsid w:val="00255FB7"/>
    <w:rsid w:val="00255FC8"/>
    <w:rsid w:val="0025711A"/>
    <w:rsid w:val="00257E76"/>
    <w:rsid w:val="00257FF5"/>
    <w:rsid w:val="002604CA"/>
    <w:rsid w:val="0026066D"/>
    <w:rsid w:val="00260CC0"/>
    <w:rsid w:val="00261BB3"/>
    <w:rsid w:val="00262028"/>
    <w:rsid w:val="00263590"/>
    <w:rsid w:val="002647DD"/>
    <w:rsid w:val="002653D8"/>
    <w:rsid w:val="00270009"/>
    <w:rsid w:val="002720E3"/>
    <w:rsid w:val="002724DA"/>
    <w:rsid w:val="00272545"/>
    <w:rsid w:val="00272629"/>
    <w:rsid w:val="00272721"/>
    <w:rsid w:val="0027325A"/>
    <w:rsid w:val="00273A53"/>
    <w:rsid w:val="00274F01"/>
    <w:rsid w:val="0027550D"/>
    <w:rsid w:val="00275CD9"/>
    <w:rsid w:val="00277B3C"/>
    <w:rsid w:val="00277DC7"/>
    <w:rsid w:val="00280BBC"/>
    <w:rsid w:val="00280BE8"/>
    <w:rsid w:val="0028130E"/>
    <w:rsid w:val="0028187C"/>
    <w:rsid w:val="00281C14"/>
    <w:rsid w:val="00282093"/>
    <w:rsid w:val="002827E3"/>
    <w:rsid w:val="0028335E"/>
    <w:rsid w:val="0028389F"/>
    <w:rsid w:val="002843DB"/>
    <w:rsid w:val="0028502F"/>
    <w:rsid w:val="002858E1"/>
    <w:rsid w:val="0028685B"/>
    <w:rsid w:val="0028726A"/>
    <w:rsid w:val="00287D88"/>
    <w:rsid w:val="00290F14"/>
    <w:rsid w:val="00290FCD"/>
    <w:rsid w:val="00292C04"/>
    <w:rsid w:val="00292ECC"/>
    <w:rsid w:val="002938C4"/>
    <w:rsid w:val="002943E8"/>
    <w:rsid w:val="00295B3F"/>
    <w:rsid w:val="00295F64"/>
    <w:rsid w:val="0029683E"/>
    <w:rsid w:val="002A1102"/>
    <w:rsid w:val="002A24C4"/>
    <w:rsid w:val="002A4F2C"/>
    <w:rsid w:val="002A65A1"/>
    <w:rsid w:val="002A69BB"/>
    <w:rsid w:val="002A6B4F"/>
    <w:rsid w:val="002A7F1D"/>
    <w:rsid w:val="002B0158"/>
    <w:rsid w:val="002B0382"/>
    <w:rsid w:val="002B0D7E"/>
    <w:rsid w:val="002B1896"/>
    <w:rsid w:val="002B1B48"/>
    <w:rsid w:val="002B4899"/>
    <w:rsid w:val="002B50AF"/>
    <w:rsid w:val="002B6243"/>
    <w:rsid w:val="002C0322"/>
    <w:rsid w:val="002C14A0"/>
    <w:rsid w:val="002C15E7"/>
    <w:rsid w:val="002C3241"/>
    <w:rsid w:val="002C339D"/>
    <w:rsid w:val="002C4814"/>
    <w:rsid w:val="002C4DAD"/>
    <w:rsid w:val="002C63AC"/>
    <w:rsid w:val="002C6F3C"/>
    <w:rsid w:val="002D0F0A"/>
    <w:rsid w:val="002D19AD"/>
    <w:rsid w:val="002D230E"/>
    <w:rsid w:val="002D24A2"/>
    <w:rsid w:val="002D4387"/>
    <w:rsid w:val="002D4516"/>
    <w:rsid w:val="002D6166"/>
    <w:rsid w:val="002D61D2"/>
    <w:rsid w:val="002D6579"/>
    <w:rsid w:val="002D6E41"/>
    <w:rsid w:val="002D6EEF"/>
    <w:rsid w:val="002D6FDD"/>
    <w:rsid w:val="002D7549"/>
    <w:rsid w:val="002E1461"/>
    <w:rsid w:val="002E14D8"/>
    <w:rsid w:val="002E2CCC"/>
    <w:rsid w:val="002E3CE7"/>
    <w:rsid w:val="002E3D0E"/>
    <w:rsid w:val="002E54A4"/>
    <w:rsid w:val="002E58BD"/>
    <w:rsid w:val="002E5BE8"/>
    <w:rsid w:val="002E5F73"/>
    <w:rsid w:val="002E6DF1"/>
    <w:rsid w:val="002E6FC1"/>
    <w:rsid w:val="002E7AE4"/>
    <w:rsid w:val="002E7C4B"/>
    <w:rsid w:val="002E7F7C"/>
    <w:rsid w:val="002F0FD8"/>
    <w:rsid w:val="002F11BA"/>
    <w:rsid w:val="002F1F61"/>
    <w:rsid w:val="002F36EF"/>
    <w:rsid w:val="002F4C69"/>
    <w:rsid w:val="002F509D"/>
    <w:rsid w:val="002F5372"/>
    <w:rsid w:val="002F66C4"/>
    <w:rsid w:val="002F6B70"/>
    <w:rsid w:val="002F6F69"/>
    <w:rsid w:val="002F7E9D"/>
    <w:rsid w:val="003020EE"/>
    <w:rsid w:val="00303093"/>
    <w:rsid w:val="00303D39"/>
    <w:rsid w:val="00304B27"/>
    <w:rsid w:val="00304F5A"/>
    <w:rsid w:val="00306226"/>
    <w:rsid w:val="00306CE4"/>
    <w:rsid w:val="00310341"/>
    <w:rsid w:val="003104EF"/>
    <w:rsid w:val="003125AB"/>
    <w:rsid w:val="00312704"/>
    <w:rsid w:val="00312FDE"/>
    <w:rsid w:val="0031320D"/>
    <w:rsid w:val="00313A29"/>
    <w:rsid w:val="0031432F"/>
    <w:rsid w:val="003146CD"/>
    <w:rsid w:val="003164F0"/>
    <w:rsid w:val="00320716"/>
    <w:rsid w:val="00321D9E"/>
    <w:rsid w:val="00321F08"/>
    <w:rsid w:val="00322005"/>
    <w:rsid w:val="00324A4D"/>
    <w:rsid w:val="00325586"/>
    <w:rsid w:val="00326DDC"/>
    <w:rsid w:val="00326FD6"/>
    <w:rsid w:val="003306D2"/>
    <w:rsid w:val="003308B5"/>
    <w:rsid w:val="00331CD0"/>
    <w:rsid w:val="00332487"/>
    <w:rsid w:val="00332D94"/>
    <w:rsid w:val="0033328C"/>
    <w:rsid w:val="003338D5"/>
    <w:rsid w:val="00333D6C"/>
    <w:rsid w:val="00334C61"/>
    <w:rsid w:val="00335324"/>
    <w:rsid w:val="00336369"/>
    <w:rsid w:val="003369CD"/>
    <w:rsid w:val="003372A6"/>
    <w:rsid w:val="00337889"/>
    <w:rsid w:val="00337E83"/>
    <w:rsid w:val="00340EBD"/>
    <w:rsid w:val="0034114F"/>
    <w:rsid w:val="003416E4"/>
    <w:rsid w:val="003428E4"/>
    <w:rsid w:val="00342B09"/>
    <w:rsid w:val="003430BE"/>
    <w:rsid w:val="00344075"/>
    <w:rsid w:val="00344D33"/>
    <w:rsid w:val="00345C28"/>
    <w:rsid w:val="00346B89"/>
    <w:rsid w:val="0034746B"/>
    <w:rsid w:val="00350FDE"/>
    <w:rsid w:val="003511F6"/>
    <w:rsid w:val="003526E6"/>
    <w:rsid w:val="00352A6D"/>
    <w:rsid w:val="00354660"/>
    <w:rsid w:val="00354CEC"/>
    <w:rsid w:val="00354E81"/>
    <w:rsid w:val="00355E53"/>
    <w:rsid w:val="00356882"/>
    <w:rsid w:val="00356F06"/>
    <w:rsid w:val="00357220"/>
    <w:rsid w:val="00357602"/>
    <w:rsid w:val="00357A6E"/>
    <w:rsid w:val="00357C86"/>
    <w:rsid w:val="00360563"/>
    <w:rsid w:val="00362D8A"/>
    <w:rsid w:val="0036450A"/>
    <w:rsid w:val="00366277"/>
    <w:rsid w:val="00366C7B"/>
    <w:rsid w:val="003705F6"/>
    <w:rsid w:val="00370682"/>
    <w:rsid w:val="00370ABF"/>
    <w:rsid w:val="00371999"/>
    <w:rsid w:val="00371CBE"/>
    <w:rsid w:val="00371EED"/>
    <w:rsid w:val="00372A45"/>
    <w:rsid w:val="00372A55"/>
    <w:rsid w:val="003733FC"/>
    <w:rsid w:val="00374AFB"/>
    <w:rsid w:val="00374BAF"/>
    <w:rsid w:val="00375C99"/>
    <w:rsid w:val="00376745"/>
    <w:rsid w:val="00376A02"/>
    <w:rsid w:val="00376F6C"/>
    <w:rsid w:val="00380642"/>
    <w:rsid w:val="00380F84"/>
    <w:rsid w:val="003815E7"/>
    <w:rsid w:val="00382992"/>
    <w:rsid w:val="00382A08"/>
    <w:rsid w:val="00382A2D"/>
    <w:rsid w:val="00382DD7"/>
    <w:rsid w:val="0038341E"/>
    <w:rsid w:val="0038416C"/>
    <w:rsid w:val="00384931"/>
    <w:rsid w:val="00385320"/>
    <w:rsid w:val="00386C41"/>
    <w:rsid w:val="00387170"/>
    <w:rsid w:val="00387805"/>
    <w:rsid w:val="0039035A"/>
    <w:rsid w:val="00390716"/>
    <w:rsid w:val="00390C3E"/>
    <w:rsid w:val="00391788"/>
    <w:rsid w:val="00391F20"/>
    <w:rsid w:val="0039276D"/>
    <w:rsid w:val="0039303B"/>
    <w:rsid w:val="00393377"/>
    <w:rsid w:val="00394732"/>
    <w:rsid w:val="00394D87"/>
    <w:rsid w:val="00394F2C"/>
    <w:rsid w:val="00395CE7"/>
    <w:rsid w:val="00395E7D"/>
    <w:rsid w:val="00396210"/>
    <w:rsid w:val="003966C1"/>
    <w:rsid w:val="00396917"/>
    <w:rsid w:val="003975C8"/>
    <w:rsid w:val="003A14B9"/>
    <w:rsid w:val="003A1B23"/>
    <w:rsid w:val="003A1E1F"/>
    <w:rsid w:val="003A2B9D"/>
    <w:rsid w:val="003A386B"/>
    <w:rsid w:val="003A394F"/>
    <w:rsid w:val="003A4051"/>
    <w:rsid w:val="003A4FA6"/>
    <w:rsid w:val="003A5984"/>
    <w:rsid w:val="003A6500"/>
    <w:rsid w:val="003A7B61"/>
    <w:rsid w:val="003B0207"/>
    <w:rsid w:val="003B1895"/>
    <w:rsid w:val="003B1AF1"/>
    <w:rsid w:val="003B1B53"/>
    <w:rsid w:val="003B1D57"/>
    <w:rsid w:val="003B268C"/>
    <w:rsid w:val="003B2DBB"/>
    <w:rsid w:val="003B342C"/>
    <w:rsid w:val="003B3C73"/>
    <w:rsid w:val="003B6E89"/>
    <w:rsid w:val="003B713B"/>
    <w:rsid w:val="003B7A26"/>
    <w:rsid w:val="003B7A56"/>
    <w:rsid w:val="003C00C3"/>
    <w:rsid w:val="003C02F5"/>
    <w:rsid w:val="003C0ADA"/>
    <w:rsid w:val="003C0CD3"/>
    <w:rsid w:val="003C32F7"/>
    <w:rsid w:val="003C355D"/>
    <w:rsid w:val="003C3800"/>
    <w:rsid w:val="003C41F2"/>
    <w:rsid w:val="003C4447"/>
    <w:rsid w:val="003C4A41"/>
    <w:rsid w:val="003C4B10"/>
    <w:rsid w:val="003C5996"/>
    <w:rsid w:val="003C6E91"/>
    <w:rsid w:val="003C70CC"/>
    <w:rsid w:val="003C774B"/>
    <w:rsid w:val="003C7ED9"/>
    <w:rsid w:val="003D1918"/>
    <w:rsid w:val="003D1E8B"/>
    <w:rsid w:val="003D23F8"/>
    <w:rsid w:val="003D2961"/>
    <w:rsid w:val="003D2EA9"/>
    <w:rsid w:val="003D34D3"/>
    <w:rsid w:val="003D3D0F"/>
    <w:rsid w:val="003D4B18"/>
    <w:rsid w:val="003D568E"/>
    <w:rsid w:val="003D658B"/>
    <w:rsid w:val="003D6CFF"/>
    <w:rsid w:val="003D7690"/>
    <w:rsid w:val="003E0CC1"/>
    <w:rsid w:val="003E1B36"/>
    <w:rsid w:val="003E1FD7"/>
    <w:rsid w:val="003E27CB"/>
    <w:rsid w:val="003E381D"/>
    <w:rsid w:val="003E4051"/>
    <w:rsid w:val="003E4098"/>
    <w:rsid w:val="003E4E14"/>
    <w:rsid w:val="003E4EE3"/>
    <w:rsid w:val="003E637B"/>
    <w:rsid w:val="003E70F5"/>
    <w:rsid w:val="003E756E"/>
    <w:rsid w:val="003E769D"/>
    <w:rsid w:val="003F009B"/>
    <w:rsid w:val="003F08CE"/>
    <w:rsid w:val="003F0AA7"/>
    <w:rsid w:val="003F1205"/>
    <w:rsid w:val="003F1518"/>
    <w:rsid w:val="003F1D16"/>
    <w:rsid w:val="003F3F8A"/>
    <w:rsid w:val="003F51B8"/>
    <w:rsid w:val="003F5A7E"/>
    <w:rsid w:val="003F5C4A"/>
    <w:rsid w:val="003F6B77"/>
    <w:rsid w:val="003F725C"/>
    <w:rsid w:val="003F7D4E"/>
    <w:rsid w:val="00400BF0"/>
    <w:rsid w:val="0040160C"/>
    <w:rsid w:val="0040244C"/>
    <w:rsid w:val="00403BBF"/>
    <w:rsid w:val="00403BFF"/>
    <w:rsid w:val="004041C4"/>
    <w:rsid w:val="004043C7"/>
    <w:rsid w:val="00404D9A"/>
    <w:rsid w:val="004056B7"/>
    <w:rsid w:val="004059DD"/>
    <w:rsid w:val="00405F2E"/>
    <w:rsid w:val="0040705E"/>
    <w:rsid w:val="004071F4"/>
    <w:rsid w:val="0041056C"/>
    <w:rsid w:val="004110CA"/>
    <w:rsid w:val="0041230A"/>
    <w:rsid w:val="004139CA"/>
    <w:rsid w:val="00414017"/>
    <w:rsid w:val="004141DC"/>
    <w:rsid w:val="004141ED"/>
    <w:rsid w:val="00414333"/>
    <w:rsid w:val="004145BB"/>
    <w:rsid w:val="00414D10"/>
    <w:rsid w:val="00414E2B"/>
    <w:rsid w:val="00415D8C"/>
    <w:rsid w:val="0041641F"/>
    <w:rsid w:val="004165DD"/>
    <w:rsid w:val="00417EEB"/>
    <w:rsid w:val="004207FD"/>
    <w:rsid w:val="00420DAE"/>
    <w:rsid w:val="00421A34"/>
    <w:rsid w:val="0042270C"/>
    <w:rsid w:val="0042273A"/>
    <w:rsid w:val="00422BF4"/>
    <w:rsid w:val="0042301D"/>
    <w:rsid w:val="0042321C"/>
    <w:rsid w:val="004239FA"/>
    <w:rsid w:val="00423DBE"/>
    <w:rsid w:val="00424045"/>
    <w:rsid w:val="00425921"/>
    <w:rsid w:val="00425C34"/>
    <w:rsid w:val="00426354"/>
    <w:rsid w:val="0043019C"/>
    <w:rsid w:val="00433479"/>
    <w:rsid w:val="0043365C"/>
    <w:rsid w:val="00435D71"/>
    <w:rsid w:val="004375B9"/>
    <w:rsid w:val="004405BF"/>
    <w:rsid w:val="004408DA"/>
    <w:rsid w:val="00440937"/>
    <w:rsid w:val="00440FF2"/>
    <w:rsid w:val="00441062"/>
    <w:rsid w:val="00441876"/>
    <w:rsid w:val="0044188F"/>
    <w:rsid w:val="00441D63"/>
    <w:rsid w:val="004421BE"/>
    <w:rsid w:val="00443EDB"/>
    <w:rsid w:val="00444173"/>
    <w:rsid w:val="00445589"/>
    <w:rsid w:val="00445D74"/>
    <w:rsid w:val="00446078"/>
    <w:rsid w:val="0044748E"/>
    <w:rsid w:val="004502A1"/>
    <w:rsid w:val="00450FD3"/>
    <w:rsid w:val="00450FFD"/>
    <w:rsid w:val="0045184E"/>
    <w:rsid w:val="00451DD6"/>
    <w:rsid w:val="00451E73"/>
    <w:rsid w:val="00452038"/>
    <w:rsid w:val="004536E9"/>
    <w:rsid w:val="00453758"/>
    <w:rsid w:val="00453D3B"/>
    <w:rsid w:val="00454306"/>
    <w:rsid w:val="0045435B"/>
    <w:rsid w:val="00454668"/>
    <w:rsid w:val="00456527"/>
    <w:rsid w:val="0045756A"/>
    <w:rsid w:val="00457AA4"/>
    <w:rsid w:val="00457C1E"/>
    <w:rsid w:val="004604A2"/>
    <w:rsid w:val="004604B5"/>
    <w:rsid w:val="00460E7E"/>
    <w:rsid w:val="00460E9A"/>
    <w:rsid w:val="00461004"/>
    <w:rsid w:val="0046143B"/>
    <w:rsid w:val="0046175A"/>
    <w:rsid w:val="004618F7"/>
    <w:rsid w:val="00461E3E"/>
    <w:rsid w:val="00462420"/>
    <w:rsid w:val="00463291"/>
    <w:rsid w:val="0046343D"/>
    <w:rsid w:val="0046355F"/>
    <w:rsid w:val="0046374A"/>
    <w:rsid w:val="00464A76"/>
    <w:rsid w:val="00466681"/>
    <w:rsid w:val="00466CBA"/>
    <w:rsid w:val="004673DA"/>
    <w:rsid w:val="004679EE"/>
    <w:rsid w:val="00470BDD"/>
    <w:rsid w:val="00471619"/>
    <w:rsid w:val="00471AD9"/>
    <w:rsid w:val="00471BEE"/>
    <w:rsid w:val="00473B79"/>
    <w:rsid w:val="00475AA4"/>
    <w:rsid w:val="004765AD"/>
    <w:rsid w:val="00477896"/>
    <w:rsid w:val="00480870"/>
    <w:rsid w:val="004836C6"/>
    <w:rsid w:val="00484D4E"/>
    <w:rsid w:val="00484DE3"/>
    <w:rsid w:val="00485E8C"/>
    <w:rsid w:val="0048630F"/>
    <w:rsid w:val="0049005A"/>
    <w:rsid w:val="00490759"/>
    <w:rsid w:val="00490B5F"/>
    <w:rsid w:val="00491FB3"/>
    <w:rsid w:val="004921DB"/>
    <w:rsid w:val="00494635"/>
    <w:rsid w:val="00494F92"/>
    <w:rsid w:val="004952D9"/>
    <w:rsid w:val="00495B59"/>
    <w:rsid w:val="004A0B60"/>
    <w:rsid w:val="004A117D"/>
    <w:rsid w:val="004A1817"/>
    <w:rsid w:val="004A1E2E"/>
    <w:rsid w:val="004A2B96"/>
    <w:rsid w:val="004A35FF"/>
    <w:rsid w:val="004A382A"/>
    <w:rsid w:val="004A3846"/>
    <w:rsid w:val="004A42A1"/>
    <w:rsid w:val="004A53B6"/>
    <w:rsid w:val="004A600E"/>
    <w:rsid w:val="004A6149"/>
    <w:rsid w:val="004A6C31"/>
    <w:rsid w:val="004A75FE"/>
    <w:rsid w:val="004A7C97"/>
    <w:rsid w:val="004A7EDF"/>
    <w:rsid w:val="004B027E"/>
    <w:rsid w:val="004B077F"/>
    <w:rsid w:val="004B08C9"/>
    <w:rsid w:val="004B104F"/>
    <w:rsid w:val="004B117C"/>
    <w:rsid w:val="004B1774"/>
    <w:rsid w:val="004B1EF5"/>
    <w:rsid w:val="004B27C1"/>
    <w:rsid w:val="004B3720"/>
    <w:rsid w:val="004B3CD8"/>
    <w:rsid w:val="004B4076"/>
    <w:rsid w:val="004B414E"/>
    <w:rsid w:val="004B434C"/>
    <w:rsid w:val="004B4992"/>
    <w:rsid w:val="004B4FE9"/>
    <w:rsid w:val="004B6899"/>
    <w:rsid w:val="004B6BB7"/>
    <w:rsid w:val="004B7FE7"/>
    <w:rsid w:val="004C0794"/>
    <w:rsid w:val="004C2C00"/>
    <w:rsid w:val="004C2C0B"/>
    <w:rsid w:val="004C2DBA"/>
    <w:rsid w:val="004C3612"/>
    <w:rsid w:val="004C4060"/>
    <w:rsid w:val="004C425C"/>
    <w:rsid w:val="004C4449"/>
    <w:rsid w:val="004C46B4"/>
    <w:rsid w:val="004C53B2"/>
    <w:rsid w:val="004C6835"/>
    <w:rsid w:val="004C7359"/>
    <w:rsid w:val="004D0273"/>
    <w:rsid w:val="004D03BC"/>
    <w:rsid w:val="004D0D8D"/>
    <w:rsid w:val="004D18DC"/>
    <w:rsid w:val="004D2203"/>
    <w:rsid w:val="004D2492"/>
    <w:rsid w:val="004D25C3"/>
    <w:rsid w:val="004D280A"/>
    <w:rsid w:val="004D2C42"/>
    <w:rsid w:val="004D4083"/>
    <w:rsid w:val="004D4D77"/>
    <w:rsid w:val="004D4E39"/>
    <w:rsid w:val="004D4FC1"/>
    <w:rsid w:val="004D6D5D"/>
    <w:rsid w:val="004D764A"/>
    <w:rsid w:val="004D76F5"/>
    <w:rsid w:val="004E0574"/>
    <w:rsid w:val="004E0B21"/>
    <w:rsid w:val="004E0EF1"/>
    <w:rsid w:val="004E16A3"/>
    <w:rsid w:val="004E1FD4"/>
    <w:rsid w:val="004E23BC"/>
    <w:rsid w:val="004E2EC1"/>
    <w:rsid w:val="004E2F40"/>
    <w:rsid w:val="004E38B6"/>
    <w:rsid w:val="004E39F8"/>
    <w:rsid w:val="004E47DE"/>
    <w:rsid w:val="004E4F1C"/>
    <w:rsid w:val="004E5900"/>
    <w:rsid w:val="004F0320"/>
    <w:rsid w:val="004F0840"/>
    <w:rsid w:val="004F146F"/>
    <w:rsid w:val="004F1497"/>
    <w:rsid w:val="004F2C32"/>
    <w:rsid w:val="004F36B4"/>
    <w:rsid w:val="004F49CA"/>
    <w:rsid w:val="004F584C"/>
    <w:rsid w:val="004F5B99"/>
    <w:rsid w:val="004F72AF"/>
    <w:rsid w:val="004F7FE9"/>
    <w:rsid w:val="00500B30"/>
    <w:rsid w:val="005011EF"/>
    <w:rsid w:val="0050133E"/>
    <w:rsid w:val="005027BB"/>
    <w:rsid w:val="00502CD0"/>
    <w:rsid w:val="00502FEE"/>
    <w:rsid w:val="00503078"/>
    <w:rsid w:val="00503525"/>
    <w:rsid w:val="005040B0"/>
    <w:rsid w:val="0050443E"/>
    <w:rsid w:val="0050489C"/>
    <w:rsid w:val="00505FF9"/>
    <w:rsid w:val="00506040"/>
    <w:rsid w:val="00506B5D"/>
    <w:rsid w:val="00506C4F"/>
    <w:rsid w:val="0050755E"/>
    <w:rsid w:val="0051083A"/>
    <w:rsid w:val="00510DAA"/>
    <w:rsid w:val="005112FD"/>
    <w:rsid w:val="00511BBF"/>
    <w:rsid w:val="0051290F"/>
    <w:rsid w:val="005129D7"/>
    <w:rsid w:val="00513AF4"/>
    <w:rsid w:val="0051428E"/>
    <w:rsid w:val="0051452E"/>
    <w:rsid w:val="00516293"/>
    <w:rsid w:val="005162A9"/>
    <w:rsid w:val="0051653A"/>
    <w:rsid w:val="00516C36"/>
    <w:rsid w:val="00516DC6"/>
    <w:rsid w:val="005179B3"/>
    <w:rsid w:val="00520010"/>
    <w:rsid w:val="005228BD"/>
    <w:rsid w:val="00523D71"/>
    <w:rsid w:val="00525410"/>
    <w:rsid w:val="00525649"/>
    <w:rsid w:val="005257A1"/>
    <w:rsid w:val="0052656C"/>
    <w:rsid w:val="00530228"/>
    <w:rsid w:val="005312F7"/>
    <w:rsid w:val="0053143E"/>
    <w:rsid w:val="00532607"/>
    <w:rsid w:val="00534D25"/>
    <w:rsid w:val="00535CE8"/>
    <w:rsid w:val="00536375"/>
    <w:rsid w:val="00537EDB"/>
    <w:rsid w:val="0054005E"/>
    <w:rsid w:val="00540CB0"/>
    <w:rsid w:val="00541CA4"/>
    <w:rsid w:val="00542B2F"/>
    <w:rsid w:val="00542C26"/>
    <w:rsid w:val="00542E89"/>
    <w:rsid w:val="00543119"/>
    <w:rsid w:val="00543174"/>
    <w:rsid w:val="00543400"/>
    <w:rsid w:val="005448FE"/>
    <w:rsid w:val="00544E7B"/>
    <w:rsid w:val="005451B4"/>
    <w:rsid w:val="00545306"/>
    <w:rsid w:val="00545493"/>
    <w:rsid w:val="00545AD7"/>
    <w:rsid w:val="005467ED"/>
    <w:rsid w:val="0054757C"/>
    <w:rsid w:val="00547FB8"/>
    <w:rsid w:val="0055027D"/>
    <w:rsid w:val="0055118B"/>
    <w:rsid w:val="005518BE"/>
    <w:rsid w:val="005519B9"/>
    <w:rsid w:val="00553613"/>
    <w:rsid w:val="005537E3"/>
    <w:rsid w:val="00553B0E"/>
    <w:rsid w:val="00554182"/>
    <w:rsid w:val="0055613C"/>
    <w:rsid w:val="00556D31"/>
    <w:rsid w:val="00556E48"/>
    <w:rsid w:val="00557FF6"/>
    <w:rsid w:val="0056057E"/>
    <w:rsid w:val="00561C58"/>
    <w:rsid w:val="005643F4"/>
    <w:rsid w:val="00565DD1"/>
    <w:rsid w:val="00566F92"/>
    <w:rsid w:val="005678C2"/>
    <w:rsid w:val="00567D11"/>
    <w:rsid w:val="00571A91"/>
    <w:rsid w:val="00572180"/>
    <w:rsid w:val="005721C0"/>
    <w:rsid w:val="005732FA"/>
    <w:rsid w:val="00574CA5"/>
    <w:rsid w:val="005751DA"/>
    <w:rsid w:val="00575703"/>
    <w:rsid w:val="00576D76"/>
    <w:rsid w:val="00576EBE"/>
    <w:rsid w:val="00580EA2"/>
    <w:rsid w:val="00582105"/>
    <w:rsid w:val="00582226"/>
    <w:rsid w:val="00582B59"/>
    <w:rsid w:val="00583614"/>
    <w:rsid w:val="0058419A"/>
    <w:rsid w:val="0058608E"/>
    <w:rsid w:val="00586162"/>
    <w:rsid w:val="00586A11"/>
    <w:rsid w:val="00587280"/>
    <w:rsid w:val="005905DC"/>
    <w:rsid w:val="005909F7"/>
    <w:rsid w:val="005916A1"/>
    <w:rsid w:val="005918D9"/>
    <w:rsid w:val="00593F03"/>
    <w:rsid w:val="00594C21"/>
    <w:rsid w:val="00594D1A"/>
    <w:rsid w:val="00595550"/>
    <w:rsid w:val="00597ACC"/>
    <w:rsid w:val="005A3A95"/>
    <w:rsid w:val="005A3E6A"/>
    <w:rsid w:val="005A404D"/>
    <w:rsid w:val="005A5FB4"/>
    <w:rsid w:val="005A6303"/>
    <w:rsid w:val="005B06D5"/>
    <w:rsid w:val="005B0B81"/>
    <w:rsid w:val="005B241D"/>
    <w:rsid w:val="005B3BAC"/>
    <w:rsid w:val="005B3E50"/>
    <w:rsid w:val="005B4620"/>
    <w:rsid w:val="005B594F"/>
    <w:rsid w:val="005B5C99"/>
    <w:rsid w:val="005B5F8E"/>
    <w:rsid w:val="005B6E3E"/>
    <w:rsid w:val="005B77FC"/>
    <w:rsid w:val="005B7F05"/>
    <w:rsid w:val="005C0545"/>
    <w:rsid w:val="005C083B"/>
    <w:rsid w:val="005C0996"/>
    <w:rsid w:val="005C0DA3"/>
    <w:rsid w:val="005C0ECA"/>
    <w:rsid w:val="005C18F7"/>
    <w:rsid w:val="005C2BD8"/>
    <w:rsid w:val="005C6006"/>
    <w:rsid w:val="005C642F"/>
    <w:rsid w:val="005C6D65"/>
    <w:rsid w:val="005D05F9"/>
    <w:rsid w:val="005D08D0"/>
    <w:rsid w:val="005D0C2A"/>
    <w:rsid w:val="005D11DA"/>
    <w:rsid w:val="005D1DB2"/>
    <w:rsid w:val="005D2EFD"/>
    <w:rsid w:val="005D4B0B"/>
    <w:rsid w:val="005D50B2"/>
    <w:rsid w:val="005D5939"/>
    <w:rsid w:val="005D5A3F"/>
    <w:rsid w:val="005D5F19"/>
    <w:rsid w:val="005D658B"/>
    <w:rsid w:val="005D71A6"/>
    <w:rsid w:val="005E0416"/>
    <w:rsid w:val="005E05F4"/>
    <w:rsid w:val="005E0FF1"/>
    <w:rsid w:val="005E1F71"/>
    <w:rsid w:val="005E21F6"/>
    <w:rsid w:val="005E4701"/>
    <w:rsid w:val="005E50CE"/>
    <w:rsid w:val="005E50F8"/>
    <w:rsid w:val="005E53F3"/>
    <w:rsid w:val="005E693C"/>
    <w:rsid w:val="005E6CB4"/>
    <w:rsid w:val="005E7684"/>
    <w:rsid w:val="005E785C"/>
    <w:rsid w:val="005E79C7"/>
    <w:rsid w:val="005F0528"/>
    <w:rsid w:val="005F09D4"/>
    <w:rsid w:val="005F107C"/>
    <w:rsid w:val="005F167E"/>
    <w:rsid w:val="005F34E4"/>
    <w:rsid w:val="005F44F2"/>
    <w:rsid w:val="005F48A0"/>
    <w:rsid w:val="005F554C"/>
    <w:rsid w:val="005F5B76"/>
    <w:rsid w:val="005F6B9D"/>
    <w:rsid w:val="005F7817"/>
    <w:rsid w:val="00601CD2"/>
    <w:rsid w:val="006022C7"/>
    <w:rsid w:val="006023B9"/>
    <w:rsid w:val="00602450"/>
    <w:rsid w:val="0060261C"/>
    <w:rsid w:val="00602793"/>
    <w:rsid w:val="0060377F"/>
    <w:rsid w:val="00603D60"/>
    <w:rsid w:val="0060509A"/>
    <w:rsid w:val="00605987"/>
    <w:rsid w:val="0060653F"/>
    <w:rsid w:val="00607741"/>
    <w:rsid w:val="00607C4F"/>
    <w:rsid w:val="0061196A"/>
    <w:rsid w:val="00611A38"/>
    <w:rsid w:val="0061211C"/>
    <w:rsid w:val="00612B5E"/>
    <w:rsid w:val="00613E2D"/>
    <w:rsid w:val="006154F2"/>
    <w:rsid w:val="00615A29"/>
    <w:rsid w:val="006164F9"/>
    <w:rsid w:val="00616D2B"/>
    <w:rsid w:val="006171DC"/>
    <w:rsid w:val="00617304"/>
    <w:rsid w:val="006173AC"/>
    <w:rsid w:val="00617AC6"/>
    <w:rsid w:val="00617B0F"/>
    <w:rsid w:val="00617CA7"/>
    <w:rsid w:val="00620812"/>
    <w:rsid w:val="006208B7"/>
    <w:rsid w:val="006217A8"/>
    <w:rsid w:val="00621B30"/>
    <w:rsid w:val="00621F94"/>
    <w:rsid w:val="00622BFD"/>
    <w:rsid w:val="006232E8"/>
    <w:rsid w:val="00624109"/>
    <w:rsid w:val="00624469"/>
    <w:rsid w:val="00624555"/>
    <w:rsid w:val="00624F49"/>
    <w:rsid w:val="0062509B"/>
    <w:rsid w:val="00625D7E"/>
    <w:rsid w:val="00626FF9"/>
    <w:rsid w:val="00627B2D"/>
    <w:rsid w:val="00630160"/>
    <w:rsid w:val="0063020F"/>
    <w:rsid w:val="00630B70"/>
    <w:rsid w:val="00630B8F"/>
    <w:rsid w:val="006333DE"/>
    <w:rsid w:val="00633832"/>
    <w:rsid w:val="00634315"/>
    <w:rsid w:val="006351C0"/>
    <w:rsid w:val="00635B35"/>
    <w:rsid w:val="00635DD4"/>
    <w:rsid w:val="00636B5F"/>
    <w:rsid w:val="00636C7C"/>
    <w:rsid w:val="006373B2"/>
    <w:rsid w:val="00637458"/>
    <w:rsid w:val="00640E70"/>
    <w:rsid w:val="00641A74"/>
    <w:rsid w:val="00641F95"/>
    <w:rsid w:val="00642504"/>
    <w:rsid w:val="00642E22"/>
    <w:rsid w:val="0064398F"/>
    <w:rsid w:val="006448E5"/>
    <w:rsid w:val="00645358"/>
    <w:rsid w:val="00646046"/>
    <w:rsid w:val="006463D0"/>
    <w:rsid w:val="00646DBB"/>
    <w:rsid w:val="00647137"/>
    <w:rsid w:val="00647AD0"/>
    <w:rsid w:val="00647F76"/>
    <w:rsid w:val="00650706"/>
    <w:rsid w:val="00650BCB"/>
    <w:rsid w:val="006528DB"/>
    <w:rsid w:val="00652A2E"/>
    <w:rsid w:val="0065369E"/>
    <w:rsid w:val="00653D4E"/>
    <w:rsid w:val="00653DDE"/>
    <w:rsid w:val="006548CB"/>
    <w:rsid w:val="00655DDA"/>
    <w:rsid w:val="00656635"/>
    <w:rsid w:val="006566C2"/>
    <w:rsid w:val="006578DC"/>
    <w:rsid w:val="006604F5"/>
    <w:rsid w:val="00662929"/>
    <w:rsid w:val="00662A12"/>
    <w:rsid w:val="00663A7C"/>
    <w:rsid w:val="00664180"/>
    <w:rsid w:val="00665181"/>
    <w:rsid w:val="00665194"/>
    <w:rsid w:val="0066528F"/>
    <w:rsid w:val="006654F8"/>
    <w:rsid w:val="006672CE"/>
    <w:rsid w:val="00667388"/>
    <w:rsid w:val="00670E1A"/>
    <w:rsid w:val="00671CFE"/>
    <w:rsid w:val="00673296"/>
    <w:rsid w:val="00674070"/>
    <w:rsid w:val="006744DE"/>
    <w:rsid w:val="00674A6B"/>
    <w:rsid w:val="006753E1"/>
    <w:rsid w:val="00675F7C"/>
    <w:rsid w:val="0067684B"/>
    <w:rsid w:val="0067722A"/>
    <w:rsid w:val="0068089D"/>
    <w:rsid w:val="00683C64"/>
    <w:rsid w:val="00683FA1"/>
    <w:rsid w:val="00684E68"/>
    <w:rsid w:val="0068505B"/>
    <w:rsid w:val="0068528F"/>
    <w:rsid w:val="00686612"/>
    <w:rsid w:val="00686EAC"/>
    <w:rsid w:val="006870E9"/>
    <w:rsid w:val="00687EEC"/>
    <w:rsid w:val="00690108"/>
    <w:rsid w:val="00691058"/>
    <w:rsid w:val="0069115A"/>
    <w:rsid w:val="006911A8"/>
    <w:rsid w:val="00692409"/>
    <w:rsid w:val="00693885"/>
    <w:rsid w:val="0069446F"/>
    <w:rsid w:val="006946ED"/>
    <w:rsid w:val="006950FE"/>
    <w:rsid w:val="006963B7"/>
    <w:rsid w:val="0069659B"/>
    <w:rsid w:val="00697160"/>
    <w:rsid w:val="0069720C"/>
    <w:rsid w:val="006A1234"/>
    <w:rsid w:val="006A1483"/>
    <w:rsid w:val="006A284B"/>
    <w:rsid w:val="006A37F5"/>
    <w:rsid w:val="006A51FE"/>
    <w:rsid w:val="006A5D7A"/>
    <w:rsid w:val="006A5E8D"/>
    <w:rsid w:val="006A64D5"/>
    <w:rsid w:val="006A6F21"/>
    <w:rsid w:val="006A78CB"/>
    <w:rsid w:val="006A7B29"/>
    <w:rsid w:val="006B06F3"/>
    <w:rsid w:val="006B0BB1"/>
    <w:rsid w:val="006B1719"/>
    <w:rsid w:val="006B2657"/>
    <w:rsid w:val="006B271B"/>
    <w:rsid w:val="006B2871"/>
    <w:rsid w:val="006B28BB"/>
    <w:rsid w:val="006B4ECA"/>
    <w:rsid w:val="006B57CE"/>
    <w:rsid w:val="006B5B89"/>
    <w:rsid w:val="006B60F5"/>
    <w:rsid w:val="006B64AE"/>
    <w:rsid w:val="006B7382"/>
    <w:rsid w:val="006B7640"/>
    <w:rsid w:val="006C1950"/>
    <w:rsid w:val="006C28D1"/>
    <w:rsid w:val="006C3102"/>
    <w:rsid w:val="006C3A98"/>
    <w:rsid w:val="006C3F53"/>
    <w:rsid w:val="006C480C"/>
    <w:rsid w:val="006C4C30"/>
    <w:rsid w:val="006C4E43"/>
    <w:rsid w:val="006C5014"/>
    <w:rsid w:val="006C5169"/>
    <w:rsid w:val="006C528F"/>
    <w:rsid w:val="006C6691"/>
    <w:rsid w:val="006C7CA6"/>
    <w:rsid w:val="006D0D34"/>
    <w:rsid w:val="006D15EA"/>
    <w:rsid w:val="006D286A"/>
    <w:rsid w:val="006D5195"/>
    <w:rsid w:val="006D55FB"/>
    <w:rsid w:val="006D572C"/>
    <w:rsid w:val="006D5E24"/>
    <w:rsid w:val="006E02CA"/>
    <w:rsid w:val="006E2136"/>
    <w:rsid w:val="006E3307"/>
    <w:rsid w:val="006E4B74"/>
    <w:rsid w:val="006E53BB"/>
    <w:rsid w:val="006E58EB"/>
    <w:rsid w:val="006E678A"/>
    <w:rsid w:val="006E68E5"/>
    <w:rsid w:val="006E77C3"/>
    <w:rsid w:val="006F122C"/>
    <w:rsid w:val="006F1C75"/>
    <w:rsid w:val="006F23E1"/>
    <w:rsid w:val="006F3637"/>
    <w:rsid w:val="006F4257"/>
    <w:rsid w:val="006F519C"/>
    <w:rsid w:val="006F6C77"/>
    <w:rsid w:val="00702282"/>
    <w:rsid w:val="007024C0"/>
    <w:rsid w:val="00702A3E"/>
    <w:rsid w:val="00702B3E"/>
    <w:rsid w:val="00703E25"/>
    <w:rsid w:val="00704708"/>
    <w:rsid w:val="0070471E"/>
    <w:rsid w:val="00704B70"/>
    <w:rsid w:val="0070578B"/>
    <w:rsid w:val="007102A9"/>
    <w:rsid w:val="00710C12"/>
    <w:rsid w:val="00711036"/>
    <w:rsid w:val="0071199D"/>
    <w:rsid w:val="00712B2E"/>
    <w:rsid w:val="00713212"/>
    <w:rsid w:val="0071376D"/>
    <w:rsid w:val="00713C32"/>
    <w:rsid w:val="00713FFB"/>
    <w:rsid w:val="00714147"/>
    <w:rsid w:val="00714164"/>
    <w:rsid w:val="00714A8D"/>
    <w:rsid w:val="00714F75"/>
    <w:rsid w:val="00716180"/>
    <w:rsid w:val="00716991"/>
    <w:rsid w:val="00716F89"/>
    <w:rsid w:val="00717F62"/>
    <w:rsid w:val="0072077A"/>
    <w:rsid w:val="0072125E"/>
    <w:rsid w:val="00721AC3"/>
    <w:rsid w:val="00721B99"/>
    <w:rsid w:val="00721D40"/>
    <w:rsid w:val="007220F2"/>
    <w:rsid w:val="00722811"/>
    <w:rsid w:val="00722BBC"/>
    <w:rsid w:val="00722ED6"/>
    <w:rsid w:val="0072334E"/>
    <w:rsid w:val="007237FF"/>
    <w:rsid w:val="007238BD"/>
    <w:rsid w:val="00723CFB"/>
    <w:rsid w:val="00723DC7"/>
    <w:rsid w:val="007247F0"/>
    <w:rsid w:val="00724EF6"/>
    <w:rsid w:val="00725449"/>
    <w:rsid w:val="007261B0"/>
    <w:rsid w:val="00730E40"/>
    <w:rsid w:val="00730EB6"/>
    <w:rsid w:val="00730F29"/>
    <w:rsid w:val="00731656"/>
    <w:rsid w:val="00732624"/>
    <w:rsid w:val="00734399"/>
    <w:rsid w:val="0073575C"/>
    <w:rsid w:val="00735770"/>
    <w:rsid w:val="0073656D"/>
    <w:rsid w:val="00736797"/>
    <w:rsid w:val="00737529"/>
    <w:rsid w:val="00740008"/>
    <w:rsid w:val="00740BF2"/>
    <w:rsid w:val="00740BF4"/>
    <w:rsid w:val="00740C3D"/>
    <w:rsid w:val="0074168F"/>
    <w:rsid w:val="0074177F"/>
    <w:rsid w:val="00741ECD"/>
    <w:rsid w:val="00741EFF"/>
    <w:rsid w:val="00741FBD"/>
    <w:rsid w:val="0074311F"/>
    <w:rsid w:val="00746922"/>
    <w:rsid w:val="00746E4B"/>
    <w:rsid w:val="007470D6"/>
    <w:rsid w:val="00747D43"/>
    <w:rsid w:val="0075041D"/>
    <w:rsid w:val="007518CD"/>
    <w:rsid w:val="00753915"/>
    <w:rsid w:val="00754963"/>
    <w:rsid w:val="00754EBF"/>
    <w:rsid w:val="007555B1"/>
    <w:rsid w:val="00755969"/>
    <w:rsid w:val="00756E2E"/>
    <w:rsid w:val="00757665"/>
    <w:rsid w:val="00757D39"/>
    <w:rsid w:val="007606EF"/>
    <w:rsid w:val="00760C6C"/>
    <w:rsid w:val="00760D0A"/>
    <w:rsid w:val="007610D5"/>
    <w:rsid w:val="00761E6C"/>
    <w:rsid w:val="007620B1"/>
    <w:rsid w:val="00762719"/>
    <w:rsid w:val="00763112"/>
    <w:rsid w:val="007641D0"/>
    <w:rsid w:val="00764C71"/>
    <w:rsid w:val="007650DE"/>
    <w:rsid w:val="00765B72"/>
    <w:rsid w:val="007661A9"/>
    <w:rsid w:val="00766CB5"/>
    <w:rsid w:val="00767BDF"/>
    <w:rsid w:val="00767D07"/>
    <w:rsid w:val="00767F85"/>
    <w:rsid w:val="00770DCC"/>
    <w:rsid w:val="00771279"/>
    <w:rsid w:val="0077147A"/>
    <w:rsid w:val="007716C4"/>
    <w:rsid w:val="00771AB2"/>
    <w:rsid w:val="007721BC"/>
    <w:rsid w:val="007724B3"/>
    <w:rsid w:val="00772F0D"/>
    <w:rsid w:val="0077313A"/>
    <w:rsid w:val="00773A34"/>
    <w:rsid w:val="00773D5E"/>
    <w:rsid w:val="007746D4"/>
    <w:rsid w:val="00774E85"/>
    <w:rsid w:val="007750DC"/>
    <w:rsid w:val="00775AA6"/>
    <w:rsid w:val="007764AB"/>
    <w:rsid w:val="0077673F"/>
    <w:rsid w:val="00777F2E"/>
    <w:rsid w:val="00780CBE"/>
    <w:rsid w:val="0078110F"/>
    <w:rsid w:val="007817BB"/>
    <w:rsid w:val="007819A9"/>
    <w:rsid w:val="00782546"/>
    <w:rsid w:val="00784119"/>
    <w:rsid w:val="007842AD"/>
    <w:rsid w:val="00784965"/>
    <w:rsid w:val="007852FD"/>
    <w:rsid w:val="00785696"/>
    <w:rsid w:val="00787DB0"/>
    <w:rsid w:val="00787E54"/>
    <w:rsid w:val="00790933"/>
    <w:rsid w:val="00790BED"/>
    <w:rsid w:val="0079246D"/>
    <w:rsid w:val="00792C7A"/>
    <w:rsid w:val="00795AFB"/>
    <w:rsid w:val="00795B77"/>
    <w:rsid w:val="00795DCC"/>
    <w:rsid w:val="00795FCE"/>
    <w:rsid w:val="00796A97"/>
    <w:rsid w:val="00797670"/>
    <w:rsid w:val="00797A38"/>
    <w:rsid w:val="00797DE9"/>
    <w:rsid w:val="007A0C06"/>
    <w:rsid w:val="007A1656"/>
    <w:rsid w:val="007A2BE9"/>
    <w:rsid w:val="007A2CBA"/>
    <w:rsid w:val="007A3469"/>
    <w:rsid w:val="007A35D9"/>
    <w:rsid w:val="007A3C7A"/>
    <w:rsid w:val="007A4A47"/>
    <w:rsid w:val="007A57CF"/>
    <w:rsid w:val="007A5A88"/>
    <w:rsid w:val="007A5C8A"/>
    <w:rsid w:val="007A730B"/>
    <w:rsid w:val="007A7337"/>
    <w:rsid w:val="007A7C11"/>
    <w:rsid w:val="007B0BEB"/>
    <w:rsid w:val="007B0D0A"/>
    <w:rsid w:val="007B0DDA"/>
    <w:rsid w:val="007B173A"/>
    <w:rsid w:val="007B21B0"/>
    <w:rsid w:val="007B2A63"/>
    <w:rsid w:val="007B3217"/>
    <w:rsid w:val="007B3987"/>
    <w:rsid w:val="007B4217"/>
    <w:rsid w:val="007B4300"/>
    <w:rsid w:val="007B4739"/>
    <w:rsid w:val="007B4E79"/>
    <w:rsid w:val="007B5A13"/>
    <w:rsid w:val="007B6E12"/>
    <w:rsid w:val="007B7DA6"/>
    <w:rsid w:val="007C0BBA"/>
    <w:rsid w:val="007C0BEA"/>
    <w:rsid w:val="007C0CC5"/>
    <w:rsid w:val="007C0E0C"/>
    <w:rsid w:val="007C10BD"/>
    <w:rsid w:val="007C14ED"/>
    <w:rsid w:val="007C173F"/>
    <w:rsid w:val="007C27ED"/>
    <w:rsid w:val="007C3083"/>
    <w:rsid w:val="007C4A9A"/>
    <w:rsid w:val="007C4CE8"/>
    <w:rsid w:val="007C4DEA"/>
    <w:rsid w:val="007C58D2"/>
    <w:rsid w:val="007C6616"/>
    <w:rsid w:val="007C6D23"/>
    <w:rsid w:val="007D0A86"/>
    <w:rsid w:val="007D23D8"/>
    <w:rsid w:val="007D55E9"/>
    <w:rsid w:val="007D563B"/>
    <w:rsid w:val="007D5D13"/>
    <w:rsid w:val="007D5EF1"/>
    <w:rsid w:val="007D6DDC"/>
    <w:rsid w:val="007D763B"/>
    <w:rsid w:val="007E0AAB"/>
    <w:rsid w:val="007E1366"/>
    <w:rsid w:val="007E174D"/>
    <w:rsid w:val="007E17B3"/>
    <w:rsid w:val="007E247A"/>
    <w:rsid w:val="007E31BF"/>
    <w:rsid w:val="007E387B"/>
    <w:rsid w:val="007E3DB3"/>
    <w:rsid w:val="007E416D"/>
    <w:rsid w:val="007E4EFB"/>
    <w:rsid w:val="007E5909"/>
    <w:rsid w:val="007E6381"/>
    <w:rsid w:val="007E65D9"/>
    <w:rsid w:val="007E69CD"/>
    <w:rsid w:val="007F0201"/>
    <w:rsid w:val="007F07E4"/>
    <w:rsid w:val="007F1CE5"/>
    <w:rsid w:val="007F2853"/>
    <w:rsid w:val="007F289A"/>
    <w:rsid w:val="007F3C1D"/>
    <w:rsid w:val="007F40E0"/>
    <w:rsid w:val="007F4B1C"/>
    <w:rsid w:val="007F60AA"/>
    <w:rsid w:val="007F6127"/>
    <w:rsid w:val="007F62CE"/>
    <w:rsid w:val="007F74A1"/>
    <w:rsid w:val="0080072A"/>
    <w:rsid w:val="00800B23"/>
    <w:rsid w:val="008016F1"/>
    <w:rsid w:val="00801BC1"/>
    <w:rsid w:val="00801E85"/>
    <w:rsid w:val="00802888"/>
    <w:rsid w:val="00802EFE"/>
    <w:rsid w:val="00804CB2"/>
    <w:rsid w:val="008062D2"/>
    <w:rsid w:val="00806D20"/>
    <w:rsid w:val="00810FDA"/>
    <w:rsid w:val="00811036"/>
    <w:rsid w:val="008124BD"/>
    <w:rsid w:val="00812BCA"/>
    <w:rsid w:val="0081302F"/>
    <w:rsid w:val="008133C6"/>
    <w:rsid w:val="00814187"/>
    <w:rsid w:val="00814662"/>
    <w:rsid w:val="00814F58"/>
    <w:rsid w:val="00815132"/>
    <w:rsid w:val="0081539D"/>
    <w:rsid w:val="0081575A"/>
    <w:rsid w:val="00815D64"/>
    <w:rsid w:val="00816FA6"/>
    <w:rsid w:val="00817ED3"/>
    <w:rsid w:val="00824987"/>
    <w:rsid w:val="00825B24"/>
    <w:rsid w:val="008265BE"/>
    <w:rsid w:val="008270BC"/>
    <w:rsid w:val="0082722C"/>
    <w:rsid w:val="008278B0"/>
    <w:rsid w:val="00827B1B"/>
    <w:rsid w:val="0083071A"/>
    <w:rsid w:val="00830A07"/>
    <w:rsid w:val="00830AEA"/>
    <w:rsid w:val="00830AFA"/>
    <w:rsid w:val="00832BD3"/>
    <w:rsid w:val="00832ED5"/>
    <w:rsid w:val="00833ED5"/>
    <w:rsid w:val="008342CD"/>
    <w:rsid w:val="00836152"/>
    <w:rsid w:val="00836E7E"/>
    <w:rsid w:val="008378CF"/>
    <w:rsid w:val="008379B3"/>
    <w:rsid w:val="00841331"/>
    <w:rsid w:val="0084153D"/>
    <w:rsid w:val="00842B29"/>
    <w:rsid w:val="00842F6A"/>
    <w:rsid w:val="00844C28"/>
    <w:rsid w:val="0084550D"/>
    <w:rsid w:val="00846253"/>
    <w:rsid w:val="008463E3"/>
    <w:rsid w:val="00851071"/>
    <w:rsid w:val="00851539"/>
    <w:rsid w:val="00851B54"/>
    <w:rsid w:val="00851E19"/>
    <w:rsid w:val="00853B2D"/>
    <w:rsid w:val="00854DB5"/>
    <w:rsid w:val="00855602"/>
    <w:rsid w:val="00856B3B"/>
    <w:rsid w:val="0085705C"/>
    <w:rsid w:val="00857E31"/>
    <w:rsid w:val="00857E52"/>
    <w:rsid w:val="0086059E"/>
    <w:rsid w:val="00860F25"/>
    <w:rsid w:val="00861135"/>
    <w:rsid w:val="00863BD7"/>
    <w:rsid w:val="00864157"/>
    <w:rsid w:val="00864532"/>
    <w:rsid w:val="008658B9"/>
    <w:rsid w:val="0086784E"/>
    <w:rsid w:val="008709AA"/>
    <w:rsid w:val="00870A36"/>
    <w:rsid w:val="008714A8"/>
    <w:rsid w:val="00871B55"/>
    <w:rsid w:val="00872043"/>
    <w:rsid w:val="008723AE"/>
    <w:rsid w:val="00872E8B"/>
    <w:rsid w:val="0087380E"/>
    <w:rsid w:val="008755A5"/>
    <w:rsid w:val="008819FF"/>
    <w:rsid w:val="00881F5C"/>
    <w:rsid w:val="00882236"/>
    <w:rsid w:val="0088291B"/>
    <w:rsid w:val="00882E15"/>
    <w:rsid w:val="00883321"/>
    <w:rsid w:val="008837F5"/>
    <w:rsid w:val="0088488E"/>
    <w:rsid w:val="00884B9E"/>
    <w:rsid w:val="00885005"/>
    <w:rsid w:val="00885114"/>
    <w:rsid w:val="00885DB2"/>
    <w:rsid w:val="0088620B"/>
    <w:rsid w:val="0088685F"/>
    <w:rsid w:val="008878D4"/>
    <w:rsid w:val="00890457"/>
    <w:rsid w:val="00890633"/>
    <w:rsid w:val="008911B7"/>
    <w:rsid w:val="00891271"/>
    <w:rsid w:val="0089135A"/>
    <w:rsid w:val="00891618"/>
    <w:rsid w:val="00892558"/>
    <w:rsid w:val="008937BA"/>
    <w:rsid w:val="00893F18"/>
    <w:rsid w:val="0089429D"/>
    <w:rsid w:val="008942E0"/>
    <w:rsid w:val="00894C96"/>
    <w:rsid w:val="00894DF4"/>
    <w:rsid w:val="00895625"/>
    <w:rsid w:val="00895932"/>
    <w:rsid w:val="008974A2"/>
    <w:rsid w:val="008978D3"/>
    <w:rsid w:val="008A0356"/>
    <w:rsid w:val="008A04A9"/>
    <w:rsid w:val="008A053B"/>
    <w:rsid w:val="008A128C"/>
    <w:rsid w:val="008A13B3"/>
    <w:rsid w:val="008A1D07"/>
    <w:rsid w:val="008A1E4F"/>
    <w:rsid w:val="008A212A"/>
    <w:rsid w:val="008A31C0"/>
    <w:rsid w:val="008A326C"/>
    <w:rsid w:val="008A3D35"/>
    <w:rsid w:val="008A4107"/>
    <w:rsid w:val="008A43E3"/>
    <w:rsid w:val="008A43F7"/>
    <w:rsid w:val="008A546C"/>
    <w:rsid w:val="008A549B"/>
    <w:rsid w:val="008A6E23"/>
    <w:rsid w:val="008A7559"/>
    <w:rsid w:val="008A7DAA"/>
    <w:rsid w:val="008A7F93"/>
    <w:rsid w:val="008B0F0B"/>
    <w:rsid w:val="008B0F10"/>
    <w:rsid w:val="008B1474"/>
    <w:rsid w:val="008B1F3F"/>
    <w:rsid w:val="008B252A"/>
    <w:rsid w:val="008B2FF1"/>
    <w:rsid w:val="008B3DF1"/>
    <w:rsid w:val="008B6595"/>
    <w:rsid w:val="008B7C74"/>
    <w:rsid w:val="008C01E3"/>
    <w:rsid w:val="008C04F3"/>
    <w:rsid w:val="008C0F5D"/>
    <w:rsid w:val="008C1982"/>
    <w:rsid w:val="008C30AB"/>
    <w:rsid w:val="008C3511"/>
    <w:rsid w:val="008C39DD"/>
    <w:rsid w:val="008C3DAE"/>
    <w:rsid w:val="008C3E1D"/>
    <w:rsid w:val="008C41E8"/>
    <w:rsid w:val="008C509A"/>
    <w:rsid w:val="008C520B"/>
    <w:rsid w:val="008C5CE0"/>
    <w:rsid w:val="008C65E4"/>
    <w:rsid w:val="008C681C"/>
    <w:rsid w:val="008C69C3"/>
    <w:rsid w:val="008C6B01"/>
    <w:rsid w:val="008C6BC9"/>
    <w:rsid w:val="008C6D28"/>
    <w:rsid w:val="008C708E"/>
    <w:rsid w:val="008C73BD"/>
    <w:rsid w:val="008C75D1"/>
    <w:rsid w:val="008C76E4"/>
    <w:rsid w:val="008C7E03"/>
    <w:rsid w:val="008D1E6B"/>
    <w:rsid w:val="008D1F6C"/>
    <w:rsid w:val="008D2048"/>
    <w:rsid w:val="008D2436"/>
    <w:rsid w:val="008D2AE2"/>
    <w:rsid w:val="008D2C6F"/>
    <w:rsid w:val="008D32B2"/>
    <w:rsid w:val="008D32D8"/>
    <w:rsid w:val="008D411D"/>
    <w:rsid w:val="008D486B"/>
    <w:rsid w:val="008D6A5E"/>
    <w:rsid w:val="008D7DAA"/>
    <w:rsid w:val="008D7ED2"/>
    <w:rsid w:val="008E1609"/>
    <w:rsid w:val="008E1D61"/>
    <w:rsid w:val="008E2A43"/>
    <w:rsid w:val="008E3972"/>
    <w:rsid w:val="008E3E13"/>
    <w:rsid w:val="008E3EFB"/>
    <w:rsid w:val="008E438E"/>
    <w:rsid w:val="008E4694"/>
    <w:rsid w:val="008E55F6"/>
    <w:rsid w:val="008E5F2C"/>
    <w:rsid w:val="008E68CB"/>
    <w:rsid w:val="008E6BB7"/>
    <w:rsid w:val="008E71EE"/>
    <w:rsid w:val="008E7934"/>
    <w:rsid w:val="008F117A"/>
    <w:rsid w:val="008F31E2"/>
    <w:rsid w:val="008F35E6"/>
    <w:rsid w:val="008F446E"/>
    <w:rsid w:val="008F48F7"/>
    <w:rsid w:val="008F64BA"/>
    <w:rsid w:val="008F65AE"/>
    <w:rsid w:val="008F78C2"/>
    <w:rsid w:val="00900C89"/>
    <w:rsid w:val="00901492"/>
    <w:rsid w:val="00901D9D"/>
    <w:rsid w:val="00902930"/>
    <w:rsid w:val="00904EFF"/>
    <w:rsid w:val="00904F17"/>
    <w:rsid w:val="00904F93"/>
    <w:rsid w:val="009050E8"/>
    <w:rsid w:val="00905409"/>
    <w:rsid w:val="00906108"/>
    <w:rsid w:val="00906645"/>
    <w:rsid w:val="0090775E"/>
    <w:rsid w:val="00910754"/>
    <w:rsid w:val="00910D85"/>
    <w:rsid w:val="00911809"/>
    <w:rsid w:val="00912598"/>
    <w:rsid w:val="00913DD2"/>
    <w:rsid w:val="00914847"/>
    <w:rsid w:val="00914C9C"/>
    <w:rsid w:val="00914CA4"/>
    <w:rsid w:val="0091534D"/>
    <w:rsid w:val="009156A7"/>
    <w:rsid w:val="00915B8A"/>
    <w:rsid w:val="0091600F"/>
    <w:rsid w:val="009170AF"/>
    <w:rsid w:val="00917AE7"/>
    <w:rsid w:val="009203B8"/>
    <w:rsid w:val="00920FF0"/>
    <w:rsid w:val="009215AE"/>
    <w:rsid w:val="0092179D"/>
    <w:rsid w:val="009220B5"/>
    <w:rsid w:val="009243CC"/>
    <w:rsid w:val="00925B12"/>
    <w:rsid w:val="00926403"/>
    <w:rsid w:val="0092653C"/>
    <w:rsid w:val="0092687C"/>
    <w:rsid w:val="00926C9A"/>
    <w:rsid w:val="009271DE"/>
    <w:rsid w:val="00927513"/>
    <w:rsid w:val="00927630"/>
    <w:rsid w:val="00927810"/>
    <w:rsid w:val="00930037"/>
    <w:rsid w:val="0093013D"/>
    <w:rsid w:val="00930DAA"/>
    <w:rsid w:val="0093156B"/>
    <w:rsid w:val="00931E5D"/>
    <w:rsid w:val="0093246D"/>
    <w:rsid w:val="00933677"/>
    <w:rsid w:val="009338A1"/>
    <w:rsid w:val="00934437"/>
    <w:rsid w:val="0093532A"/>
    <w:rsid w:val="0093544F"/>
    <w:rsid w:val="00935B65"/>
    <w:rsid w:val="0093608D"/>
    <w:rsid w:val="00936F21"/>
    <w:rsid w:val="009378F5"/>
    <w:rsid w:val="00937C24"/>
    <w:rsid w:val="00940779"/>
    <w:rsid w:val="00940B46"/>
    <w:rsid w:val="00940CFC"/>
    <w:rsid w:val="00941197"/>
    <w:rsid w:val="009417A2"/>
    <w:rsid w:val="009418FB"/>
    <w:rsid w:val="00941B67"/>
    <w:rsid w:val="00941D78"/>
    <w:rsid w:val="00942E63"/>
    <w:rsid w:val="00943A7C"/>
    <w:rsid w:val="00944973"/>
    <w:rsid w:val="0094551E"/>
    <w:rsid w:val="00945935"/>
    <w:rsid w:val="00945EC1"/>
    <w:rsid w:val="00947755"/>
    <w:rsid w:val="009517E0"/>
    <w:rsid w:val="0095322E"/>
    <w:rsid w:val="00953968"/>
    <w:rsid w:val="00953CF7"/>
    <w:rsid w:val="00954220"/>
    <w:rsid w:val="00956291"/>
    <w:rsid w:val="0095685E"/>
    <w:rsid w:val="009629C0"/>
    <w:rsid w:val="00962AC2"/>
    <w:rsid w:val="00964078"/>
    <w:rsid w:val="00964535"/>
    <w:rsid w:val="009647F4"/>
    <w:rsid w:val="00964C47"/>
    <w:rsid w:val="00965877"/>
    <w:rsid w:val="009660CA"/>
    <w:rsid w:val="0096709F"/>
    <w:rsid w:val="00967DC7"/>
    <w:rsid w:val="00971FD0"/>
    <w:rsid w:val="00973B8D"/>
    <w:rsid w:val="00974C3D"/>
    <w:rsid w:val="009764D6"/>
    <w:rsid w:val="00977542"/>
    <w:rsid w:val="00977931"/>
    <w:rsid w:val="009814A1"/>
    <w:rsid w:val="00981C76"/>
    <w:rsid w:val="00982950"/>
    <w:rsid w:val="00983A5D"/>
    <w:rsid w:val="00983F96"/>
    <w:rsid w:val="0098403D"/>
    <w:rsid w:val="00984D16"/>
    <w:rsid w:val="0098787F"/>
    <w:rsid w:val="00990AF9"/>
    <w:rsid w:val="00991204"/>
    <w:rsid w:val="00991679"/>
    <w:rsid w:val="00991B0F"/>
    <w:rsid w:val="009923FF"/>
    <w:rsid w:val="009927FA"/>
    <w:rsid w:val="00994D85"/>
    <w:rsid w:val="00994F0A"/>
    <w:rsid w:val="00995FBF"/>
    <w:rsid w:val="0099795B"/>
    <w:rsid w:val="00997A68"/>
    <w:rsid w:val="00997C46"/>
    <w:rsid w:val="009A0F83"/>
    <w:rsid w:val="009A1CE3"/>
    <w:rsid w:val="009A359F"/>
    <w:rsid w:val="009A3F97"/>
    <w:rsid w:val="009A3FFC"/>
    <w:rsid w:val="009A448B"/>
    <w:rsid w:val="009A4901"/>
    <w:rsid w:val="009A4B52"/>
    <w:rsid w:val="009A62E8"/>
    <w:rsid w:val="009A663C"/>
    <w:rsid w:val="009A755E"/>
    <w:rsid w:val="009B219D"/>
    <w:rsid w:val="009B2420"/>
    <w:rsid w:val="009B29C9"/>
    <w:rsid w:val="009B4557"/>
    <w:rsid w:val="009B4568"/>
    <w:rsid w:val="009B4FA5"/>
    <w:rsid w:val="009B532F"/>
    <w:rsid w:val="009B5C40"/>
    <w:rsid w:val="009B5DAD"/>
    <w:rsid w:val="009B5E90"/>
    <w:rsid w:val="009B6C4E"/>
    <w:rsid w:val="009C0262"/>
    <w:rsid w:val="009C031A"/>
    <w:rsid w:val="009C03C2"/>
    <w:rsid w:val="009C0521"/>
    <w:rsid w:val="009C0EBF"/>
    <w:rsid w:val="009C1AE7"/>
    <w:rsid w:val="009C2AF0"/>
    <w:rsid w:val="009C2E07"/>
    <w:rsid w:val="009C2FF4"/>
    <w:rsid w:val="009C338A"/>
    <w:rsid w:val="009C3BE8"/>
    <w:rsid w:val="009C3C43"/>
    <w:rsid w:val="009C4640"/>
    <w:rsid w:val="009C47AD"/>
    <w:rsid w:val="009D1377"/>
    <w:rsid w:val="009D17F8"/>
    <w:rsid w:val="009D230D"/>
    <w:rsid w:val="009D2325"/>
    <w:rsid w:val="009D27AE"/>
    <w:rsid w:val="009D29B0"/>
    <w:rsid w:val="009D2C56"/>
    <w:rsid w:val="009D39DF"/>
    <w:rsid w:val="009D49C4"/>
    <w:rsid w:val="009D590D"/>
    <w:rsid w:val="009D5C31"/>
    <w:rsid w:val="009D6331"/>
    <w:rsid w:val="009D6E41"/>
    <w:rsid w:val="009D7F64"/>
    <w:rsid w:val="009E045A"/>
    <w:rsid w:val="009E04BF"/>
    <w:rsid w:val="009E11C1"/>
    <w:rsid w:val="009E1C8E"/>
    <w:rsid w:val="009E2416"/>
    <w:rsid w:val="009E4000"/>
    <w:rsid w:val="009E452C"/>
    <w:rsid w:val="009E45EE"/>
    <w:rsid w:val="009E49B4"/>
    <w:rsid w:val="009E616B"/>
    <w:rsid w:val="009E6774"/>
    <w:rsid w:val="009E7879"/>
    <w:rsid w:val="009E7968"/>
    <w:rsid w:val="009F1037"/>
    <w:rsid w:val="009F12FF"/>
    <w:rsid w:val="009F17F7"/>
    <w:rsid w:val="009F24F0"/>
    <w:rsid w:val="009F29DF"/>
    <w:rsid w:val="009F3C9D"/>
    <w:rsid w:val="009F3DFE"/>
    <w:rsid w:val="009F4874"/>
    <w:rsid w:val="009F53BC"/>
    <w:rsid w:val="009F56BF"/>
    <w:rsid w:val="00A0008A"/>
    <w:rsid w:val="00A01642"/>
    <w:rsid w:val="00A01A35"/>
    <w:rsid w:val="00A02214"/>
    <w:rsid w:val="00A022AB"/>
    <w:rsid w:val="00A024A6"/>
    <w:rsid w:val="00A02D75"/>
    <w:rsid w:val="00A0429C"/>
    <w:rsid w:val="00A04BB5"/>
    <w:rsid w:val="00A04F85"/>
    <w:rsid w:val="00A05506"/>
    <w:rsid w:val="00A06148"/>
    <w:rsid w:val="00A06231"/>
    <w:rsid w:val="00A067BC"/>
    <w:rsid w:val="00A10AD7"/>
    <w:rsid w:val="00A11E4E"/>
    <w:rsid w:val="00A11EEC"/>
    <w:rsid w:val="00A1204D"/>
    <w:rsid w:val="00A1296B"/>
    <w:rsid w:val="00A1446B"/>
    <w:rsid w:val="00A14B6C"/>
    <w:rsid w:val="00A14FCB"/>
    <w:rsid w:val="00A15309"/>
    <w:rsid w:val="00A15590"/>
    <w:rsid w:val="00A15A08"/>
    <w:rsid w:val="00A16759"/>
    <w:rsid w:val="00A16A81"/>
    <w:rsid w:val="00A174D9"/>
    <w:rsid w:val="00A20A1A"/>
    <w:rsid w:val="00A20CB8"/>
    <w:rsid w:val="00A2199A"/>
    <w:rsid w:val="00A22FE3"/>
    <w:rsid w:val="00A2367B"/>
    <w:rsid w:val="00A24A12"/>
    <w:rsid w:val="00A2559E"/>
    <w:rsid w:val="00A2569E"/>
    <w:rsid w:val="00A257F2"/>
    <w:rsid w:val="00A26100"/>
    <w:rsid w:val="00A26254"/>
    <w:rsid w:val="00A26303"/>
    <w:rsid w:val="00A26490"/>
    <w:rsid w:val="00A267C2"/>
    <w:rsid w:val="00A279A8"/>
    <w:rsid w:val="00A27A37"/>
    <w:rsid w:val="00A27AF0"/>
    <w:rsid w:val="00A27C1F"/>
    <w:rsid w:val="00A27F4D"/>
    <w:rsid w:val="00A313E8"/>
    <w:rsid w:val="00A3156E"/>
    <w:rsid w:val="00A31809"/>
    <w:rsid w:val="00A32A0C"/>
    <w:rsid w:val="00A334BD"/>
    <w:rsid w:val="00A33C4D"/>
    <w:rsid w:val="00A34256"/>
    <w:rsid w:val="00A3707A"/>
    <w:rsid w:val="00A3716B"/>
    <w:rsid w:val="00A404EE"/>
    <w:rsid w:val="00A40600"/>
    <w:rsid w:val="00A4138F"/>
    <w:rsid w:val="00A4158F"/>
    <w:rsid w:val="00A42BBA"/>
    <w:rsid w:val="00A44D71"/>
    <w:rsid w:val="00A45088"/>
    <w:rsid w:val="00A45722"/>
    <w:rsid w:val="00A46D95"/>
    <w:rsid w:val="00A470A1"/>
    <w:rsid w:val="00A5009C"/>
    <w:rsid w:val="00A50D38"/>
    <w:rsid w:val="00A51C66"/>
    <w:rsid w:val="00A51E9C"/>
    <w:rsid w:val="00A52490"/>
    <w:rsid w:val="00A53F3E"/>
    <w:rsid w:val="00A54526"/>
    <w:rsid w:val="00A54770"/>
    <w:rsid w:val="00A54DFA"/>
    <w:rsid w:val="00A55866"/>
    <w:rsid w:val="00A57C21"/>
    <w:rsid w:val="00A57E02"/>
    <w:rsid w:val="00A603E6"/>
    <w:rsid w:val="00A60FEC"/>
    <w:rsid w:val="00A61080"/>
    <w:rsid w:val="00A627D3"/>
    <w:rsid w:val="00A6284D"/>
    <w:rsid w:val="00A63225"/>
    <w:rsid w:val="00A63EC3"/>
    <w:rsid w:val="00A643CF"/>
    <w:rsid w:val="00A6504E"/>
    <w:rsid w:val="00A65791"/>
    <w:rsid w:val="00A65BE6"/>
    <w:rsid w:val="00A65C30"/>
    <w:rsid w:val="00A65D9F"/>
    <w:rsid w:val="00A6686E"/>
    <w:rsid w:val="00A66C9C"/>
    <w:rsid w:val="00A714D1"/>
    <w:rsid w:val="00A71F96"/>
    <w:rsid w:val="00A725F5"/>
    <w:rsid w:val="00A72A13"/>
    <w:rsid w:val="00A735C3"/>
    <w:rsid w:val="00A74063"/>
    <w:rsid w:val="00A746E4"/>
    <w:rsid w:val="00A753FA"/>
    <w:rsid w:val="00A76758"/>
    <w:rsid w:val="00A777AC"/>
    <w:rsid w:val="00A779DA"/>
    <w:rsid w:val="00A8060F"/>
    <w:rsid w:val="00A80CC2"/>
    <w:rsid w:val="00A817EB"/>
    <w:rsid w:val="00A827D3"/>
    <w:rsid w:val="00A82E17"/>
    <w:rsid w:val="00A839C0"/>
    <w:rsid w:val="00A83B38"/>
    <w:rsid w:val="00A83B53"/>
    <w:rsid w:val="00A84900"/>
    <w:rsid w:val="00A84AEC"/>
    <w:rsid w:val="00A85899"/>
    <w:rsid w:val="00A86748"/>
    <w:rsid w:val="00A86916"/>
    <w:rsid w:val="00A87687"/>
    <w:rsid w:val="00A8769F"/>
    <w:rsid w:val="00A8779D"/>
    <w:rsid w:val="00A87B0F"/>
    <w:rsid w:val="00A90AA0"/>
    <w:rsid w:val="00A913FB"/>
    <w:rsid w:val="00A920AD"/>
    <w:rsid w:val="00A9290E"/>
    <w:rsid w:val="00A9445A"/>
    <w:rsid w:val="00A94511"/>
    <w:rsid w:val="00A96131"/>
    <w:rsid w:val="00A965C7"/>
    <w:rsid w:val="00A968D9"/>
    <w:rsid w:val="00A97519"/>
    <w:rsid w:val="00A97691"/>
    <w:rsid w:val="00AA00C5"/>
    <w:rsid w:val="00AA012B"/>
    <w:rsid w:val="00AA08C8"/>
    <w:rsid w:val="00AA25E0"/>
    <w:rsid w:val="00AA3115"/>
    <w:rsid w:val="00AA552B"/>
    <w:rsid w:val="00AA5C3E"/>
    <w:rsid w:val="00AA5CEE"/>
    <w:rsid w:val="00AA655C"/>
    <w:rsid w:val="00AA666A"/>
    <w:rsid w:val="00AA6A75"/>
    <w:rsid w:val="00AA6C59"/>
    <w:rsid w:val="00AA6E5E"/>
    <w:rsid w:val="00AA7872"/>
    <w:rsid w:val="00AB063B"/>
    <w:rsid w:val="00AB0807"/>
    <w:rsid w:val="00AB0881"/>
    <w:rsid w:val="00AB0AF7"/>
    <w:rsid w:val="00AB13A8"/>
    <w:rsid w:val="00AB13B6"/>
    <w:rsid w:val="00AB251B"/>
    <w:rsid w:val="00AB266D"/>
    <w:rsid w:val="00AB2701"/>
    <w:rsid w:val="00AB2C59"/>
    <w:rsid w:val="00AB3826"/>
    <w:rsid w:val="00AB44E0"/>
    <w:rsid w:val="00AB45D5"/>
    <w:rsid w:val="00AB5207"/>
    <w:rsid w:val="00AB58B4"/>
    <w:rsid w:val="00AB78A7"/>
    <w:rsid w:val="00AC1CDA"/>
    <w:rsid w:val="00AC1FEB"/>
    <w:rsid w:val="00AC2176"/>
    <w:rsid w:val="00AC24C7"/>
    <w:rsid w:val="00AC2640"/>
    <w:rsid w:val="00AC266A"/>
    <w:rsid w:val="00AC2716"/>
    <w:rsid w:val="00AC283B"/>
    <w:rsid w:val="00AC2DDF"/>
    <w:rsid w:val="00AC33AC"/>
    <w:rsid w:val="00AC5C27"/>
    <w:rsid w:val="00AC61E5"/>
    <w:rsid w:val="00AD1759"/>
    <w:rsid w:val="00AD1D72"/>
    <w:rsid w:val="00AD2581"/>
    <w:rsid w:val="00AD3660"/>
    <w:rsid w:val="00AD3CBD"/>
    <w:rsid w:val="00AD515C"/>
    <w:rsid w:val="00AD5379"/>
    <w:rsid w:val="00AD6E7B"/>
    <w:rsid w:val="00AD787F"/>
    <w:rsid w:val="00AD7AA3"/>
    <w:rsid w:val="00AD7D33"/>
    <w:rsid w:val="00AE108F"/>
    <w:rsid w:val="00AE10B4"/>
    <w:rsid w:val="00AE2C28"/>
    <w:rsid w:val="00AE467E"/>
    <w:rsid w:val="00AE4FE6"/>
    <w:rsid w:val="00AE58A1"/>
    <w:rsid w:val="00AE7095"/>
    <w:rsid w:val="00AE77E8"/>
    <w:rsid w:val="00AE7C57"/>
    <w:rsid w:val="00AE7CC6"/>
    <w:rsid w:val="00AF000D"/>
    <w:rsid w:val="00AF04F9"/>
    <w:rsid w:val="00AF0A0E"/>
    <w:rsid w:val="00AF27D3"/>
    <w:rsid w:val="00AF39D1"/>
    <w:rsid w:val="00AF3A09"/>
    <w:rsid w:val="00AF3FBB"/>
    <w:rsid w:val="00AF41A7"/>
    <w:rsid w:val="00AF4271"/>
    <w:rsid w:val="00AF4DFD"/>
    <w:rsid w:val="00AF553D"/>
    <w:rsid w:val="00AF5946"/>
    <w:rsid w:val="00AF5A41"/>
    <w:rsid w:val="00AF5BE7"/>
    <w:rsid w:val="00AF63C0"/>
    <w:rsid w:val="00AF67BF"/>
    <w:rsid w:val="00AF6872"/>
    <w:rsid w:val="00B00B7F"/>
    <w:rsid w:val="00B02498"/>
    <w:rsid w:val="00B02EB0"/>
    <w:rsid w:val="00B034CD"/>
    <w:rsid w:val="00B03EC2"/>
    <w:rsid w:val="00B044D5"/>
    <w:rsid w:val="00B05949"/>
    <w:rsid w:val="00B05967"/>
    <w:rsid w:val="00B06AA6"/>
    <w:rsid w:val="00B07C79"/>
    <w:rsid w:val="00B103B5"/>
    <w:rsid w:val="00B119A3"/>
    <w:rsid w:val="00B12AAB"/>
    <w:rsid w:val="00B12E2B"/>
    <w:rsid w:val="00B13176"/>
    <w:rsid w:val="00B134FB"/>
    <w:rsid w:val="00B13BEC"/>
    <w:rsid w:val="00B14103"/>
    <w:rsid w:val="00B159B7"/>
    <w:rsid w:val="00B159DD"/>
    <w:rsid w:val="00B15D77"/>
    <w:rsid w:val="00B16052"/>
    <w:rsid w:val="00B16CD8"/>
    <w:rsid w:val="00B17993"/>
    <w:rsid w:val="00B17A2D"/>
    <w:rsid w:val="00B204DB"/>
    <w:rsid w:val="00B21EB5"/>
    <w:rsid w:val="00B22EB4"/>
    <w:rsid w:val="00B23BC2"/>
    <w:rsid w:val="00B23F85"/>
    <w:rsid w:val="00B24358"/>
    <w:rsid w:val="00B24666"/>
    <w:rsid w:val="00B24F5B"/>
    <w:rsid w:val="00B259DB"/>
    <w:rsid w:val="00B2651D"/>
    <w:rsid w:val="00B26EC9"/>
    <w:rsid w:val="00B27810"/>
    <w:rsid w:val="00B27C32"/>
    <w:rsid w:val="00B3033D"/>
    <w:rsid w:val="00B307FC"/>
    <w:rsid w:val="00B31149"/>
    <w:rsid w:val="00B31B5A"/>
    <w:rsid w:val="00B3283A"/>
    <w:rsid w:val="00B3361F"/>
    <w:rsid w:val="00B33629"/>
    <w:rsid w:val="00B33AC8"/>
    <w:rsid w:val="00B34465"/>
    <w:rsid w:val="00B34474"/>
    <w:rsid w:val="00B3463B"/>
    <w:rsid w:val="00B34745"/>
    <w:rsid w:val="00B3593A"/>
    <w:rsid w:val="00B35973"/>
    <w:rsid w:val="00B35C91"/>
    <w:rsid w:val="00B35D3B"/>
    <w:rsid w:val="00B35E73"/>
    <w:rsid w:val="00B35FE9"/>
    <w:rsid w:val="00B40179"/>
    <w:rsid w:val="00B40B16"/>
    <w:rsid w:val="00B40CA2"/>
    <w:rsid w:val="00B44A04"/>
    <w:rsid w:val="00B45642"/>
    <w:rsid w:val="00B45710"/>
    <w:rsid w:val="00B457A7"/>
    <w:rsid w:val="00B46972"/>
    <w:rsid w:val="00B471FC"/>
    <w:rsid w:val="00B51E8B"/>
    <w:rsid w:val="00B523BE"/>
    <w:rsid w:val="00B53325"/>
    <w:rsid w:val="00B53615"/>
    <w:rsid w:val="00B53910"/>
    <w:rsid w:val="00B540BD"/>
    <w:rsid w:val="00B54101"/>
    <w:rsid w:val="00B54D8F"/>
    <w:rsid w:val="00B56082"/>
    <w:rsid w:val="00B563C1"/>
    <w:rsid w:val="00B566E6"/>
    <w:rsid w:val="00B56E93"/>
    <w:rsid w:val="00B61156"/>
    <w:rsid w:val="00B61BFE"/>
    <w:rsid w:val="00B61DF0"/>
    <w:rsid w:val="00B62A38"/>
    <w:rsid w:val="00B63747"/>
    <w:rsid w:val="00B64DAF"/>
    <w:rsid w:val="00B6551F"/>
    <w:rsid w:val="00B6654B"/>
    <w:rsid w:val="00B66A93"/>
    <w:rsid w:val="00B66D55"/>
    <w:rsid w:val="00B66F1B"/>
    <w:rsid w:val="00B6757F"/>
    <w:rsid w:val="00B70ABC"/>
    <w:rsid w:val="00B70E60"/>
    <w:rsid w:val="00B70EEC"/>
    <w:rsid w:val="00B711F5"/>
    <w:rsid w:val="00B71266"/>
    <w:rsid w:val="00B712E9"/>
    <w:rsid w:val="00B718A5"/>
    <w:rsid w:val="00B71A5D"/>
    <w:rsid w:val="00B7238E"/>
    <w:rsid w:val="00B73927"/>
    <w:rsid w:val="00B74401"/>
    <w:rsid w:val="00B77DC4"/>
    <w:rsid w:val="00B81840"/>
    <w:rsid w:val="00B819E9"/>
    <w:rsid w:val="00B831AE"/>
    <w:rsid w:val="00B83B95"/>
    <w:rsid w:val="00B85870"/>
    <w:rsid w:val="00B85FB9"/>
    <w:rsid w:val="00B86996"/>
    <w:rsid w:val="00B86B55"/>
    <w:rsid w:val="00B8741E"/>
    <w:rsid w:val="00B87F3F"/>
    <w:rsid w:val="00B91D33"/>
    <w:rsid w:val="00B9231F"/>
    <w:rsid w:val="00B92D8D"/>
    <w:rsid w:val="00B92F20"/>
    <w:rsid w:val="00B936B7"/>
    <w:rsid w:val="00B94169"/>
    <w:rsid w:val="00B9485A"/>
    <w:rsid w:val="00B94CF3"/>
    <w:rsid w:val="00B95267"/>
    <w:rsid w:val="00B956BF"/>
    <w:rsid w:val="00B957BD"/>
    <w:rsid w:val="00B95C48"/>
    <w:rsid w:val="00B9600F"/>
    <w:rsid w:val="00BA033E"/>
    <w:rsid w:val="00BA03A5"/>
    <w:rsid w:val="00BA0ADD"/>
    <w:rsid w:val="00BA0D5F"/>
    <w:rsid w:val="00BA1708"/>
    <w:rsid w:val="00BA17E9"/>
    <w:rsid w:val="00BA1D2C"/>
    <w:rsid w:val="00BA3323"/>
    <w:rsid w:val="00BA344D"/>
    <w:rsid w:val="00BA3964"/>
    <w:rsid w:val="00BA4029"/>
    <w:rsid w:val="00BA403C"/>
    <w:rsid w:val="00BA53D3"/>
    <w:rsid w:val="00BA5736"/>
    <w:rsid w:val="00BA6074"/>
    <w:rsid w:val="00BA705E"/>
    <w:rsid w:val="00BA7296"/>
    <w:rsid w:val="00BA7FC8"/>
    <w:rsid w:val="00BB0A03"/>
    <w:rsid w:val="00BB1F95"/>
    <w:rsid w:val="00BB20BD"/>
    <w:rsid w:val="00BB2969"/>
    <w:rsid w:val="00BB2B1F"/>
    <w:rsid w:val="00BB47BE"/>
    <w:rsid w:val="00BB5569"/>
    <w:rsid w:val="00BB5C80"/>
    <w:rsid w:val="00BB7D51"/>
    <w:rsid w:val="00BC31B2"/>
    <w:rsid w:val="00BC342B"/>
    <w:rsid w:val="00BC3EAA"/>
    <w:rsid w:val="00BC4117"/>
    <w:rsid w:val="00BC6BD7"/>
    <w:rsid w:val="00BC7212"/>
    <w:rsid w:val="00BD0087"/>
    <w:rsid w:val="00BD03AD"/>
    <w:rsid w:val="00BD0635"/>
    <w:rsid w:val="00BD1022"/>
    <w:rsid w:val="00BD249E"/>
    <w:rsid w:val="00BD333D"/>
    <w:rsid w:val="00BD34DA"/>
    <w:rsid w:val="00BD3663"/>
    <w:rsid w:val="00BD36FB"/>
    <w:rsid w:val="00BD3F41"/>
    <w:rsid w:val="00BD62AB"/>
    <w:rsid w:val="00BD7EA2"/>
    <w:rsid w:val="00BE0931"/>
    <w:rsid w:val="00BE186E"/>
    <w:rsid w:val="00BE2FC2"/>
    <w:rsid w:val="00BE54A0"/>
    <w:rsid w:val="00BE5CB2"/>
    <w:rsid w:val="00BE5DBB"/>
    <w:rsid w:val="00BE5F4A"/>
    <w:rsid w:val="00BF0B2C"/>
    <w:rsid w:val="00BF1434"/>
    <w:rsid w:val="00BF182B"/>
    <w:rsid w:val="00BF1B11"/>
    <w:rsid w:val="00BF1FC4"/>
    <w:rsid w:val="00BF2507"/>
    <w:rsid w:val="00BF2C14"/>
    <w:rsid w:val="00BF2EA6"/>
    <w:rsid w:val="00BF2EE6"/>
    <w:rsid w:val="00BF2EFD"/>
    <w:rsid w:val="00BF39BF"/>
    <w:rsid w:val="00BF3C4F"/>
    <w:rsid w:val="00BF448C"/>
    <w:rsid w:val="00BF5567"/>
    <w:rsid w:val="00BF5A83"/>
    <w:rsid w:val="00BF64A1"/>
    <w:rsid w:val="00BF667B"/>
    <w:rsid w:val="00BF6E7B"/>
    <w:rsid w:val="00BF7127"/>
    <w:rsid w:val="00BF7BC6"/>
    <w:rsid w:val="00C012D5"/>
    <w:rsid w:val="00C02DA3"/>
    <w:rsid w:val="00C03396"/>
    <w:rsid w:val="00C0430E"/>
    <w:rsid w:val="00C04763"/>
    <w:rsid w:val="00C0486D"/>
    <w:rsid w:val="00C0518D"/>
    <w:rsid w:val="00C05E21"/>
    <w:rsid w:val="00C06085"/>
    <w:rsid w:val="00C06132"/>
    <w:rsid w:val="00C066E5"/>
    <w:rsid w:val="00C10113"/>
    <w:rsid w:val="00C10A85"/>
    <w:rsid w:val="00C10D04"/>
    <w:rsid w:val="00C11274"/>
    <w:rsid w:val="00C11373"/>
    <w:rsid w:val="00C11BF0"/>
    <w:rsid w:val="00C128FA"/>
    <w:rsid w:val="00C1342D"/>
    <w:rsid w:val="00C13701"/>
    <w:rsid w:val="00C13762"/>
    <w:rsid w:val="00C13BB2"/>
    <w:rsid w:val="00C13BC0"/>
    <w:rsid w:val="00C1502B"/>
    <w:rsid w:val="00C16820"/>
    <w:rsid w:val="00C172C7"/>
    <w:rsid w:val="00C1753B"/>
    <w:rsid w:val="00C17AF6"/>
    <w:rsid w:val="00C17C30"/>
    <w:rsid w:val="00C200D8"/>
    <w:rsid w:val="00C20442"/>
    <w:rsid w:val="00C20B9F"/>
    <w:rsid w:val="00C23E47"/>
    <w:rsid w:val="00C241DF"/>
    <w:rsid w:val="00C25A42"/>
    <w:rsid w:val="00C270D9"/>
    <w:rsid w:val="00C27335"/>
    <w:rsid w:val="00C304EF"/>
    <w:rsid w:val="00C30511"/>
    <w:rsid w:val="00C30C30"/>
    <w:rsid w:val="00C31530"/>
    <w:rsid w:val="00C315B9"/>
    <w:rsid w:val="00C32EE1"/>
    <w:rsid w:val="00C33172"/>
    <w:rsid w:val="00C34760"/>
    <w:rsid w:val="00C367B8"/>
    <w:rsid w:val="00C4174F"/>
    <w:rsid w:val="00C41A12"/>
    <w:rsid w:val="00C41B2F"/>
    <w:rsid w:val="00C428B1"/>
    <w:rsid w:val="00C43CBC"/>
    <w:rsid w:val="00C43FA3"/>
    <w:rsid w:val="00C44582"/>
    <w:rsid w:val="00C44DD6"/>
    <w:rsid w:val="00C4601C"/>
    <w:rsid w:val="00C46279"/>
    <w:rsid w:val="00C46370"/>
    <w:rsid w:val="00C46405"/>
    <w:rsid w:val="00C464B8"/>
    <w:rsid w:val="00C47598"/>
    <w:rsid w:val="00C503C9"/>
    <w:rsid w:val="00C51445"/>
    <w:rsid w:val="00C524A2"/>
    <w:rsid w:val="00C5375D"/>
    <w:rsid w:val="00C5382F"/>
    <w:rsid w:val="00C540D1"/>
    <w:rsid w:val="00C544D9"/>
    <w:rsid w:val="00C5555D"/>
    <w:rsid w:val="00C55D42"/>
    <w:rsid w:val="00C55E92"/>
    <w:rsid w:val="00C55F3A"/>
    <w:rsid w:val="00C5639F"/>
    <w:rsid w:val="00C601A7"/>
    <w:rsid w:val="00C60332"/>
    <w:rsid w:val="00C606DE"/>
    <w:rsid w:val="00C61125"/>
    <w:rsid w:val="00C629D0"/>
    <w:rsid w:val="00C63FA9"/>
    <w:rsid w:val="00C65D93"/>
    <w:rsid w:val="00C66A29"/>
    <w:rsid w:val="00C66B9E"/>
    <w:rsid w:val="00C72BB6"/>
    <w:rsid w:val="00C730C5"/>
    <w:rsid w:val="00C73E01"/>
    <w:rsid w:val="00C755D9"/>
    <w:rsid w:val="00C75B0F"/>
    <w:rsid w:val="00C76BE9"/>
    <w:rsid w:val="00C76E5E"/>
    <w:rsid w:val="00C772E1"/>
    <w:rsid w:val="00C77AF6"/>
    <w:rsid w:val="00C80151"/>
    <w:rsid w:val="00C80878"/>
    <w:rsid w:val="00C8158F"/>
    <w:rsid w:val="00C81D4C"/>
    <w:rsid w:val="00C82D40"/>
    <w:rsid w:val="00C84292"/>
    <w:rsid w:val="00C84982"/>
    <w:rsid w:val="00C84BD5"/>
    <w:rsid w:val="00C860C6"/>
    <w:rsid w:val="00C8666A"/>
    <w:rsid w:val="00C86B1B"/>
    <w:rsid w:val="00C8745F"/>
    <w:rsid w:val="00C87D0C"/>
    <w:rsid w:val="00C901D2"/>
    <w:rsid w:val="00C9044A"/>
    <w:rsid w:val="00C90891"/>
    <w:rsid w:val="00C9154C"/>
    <w:rsid w:val="00C923D8"/>
    <w:rsid w:val="00C9275B"/>
    <w:rsid w:val="00C93A9B"/>
    <w:rsid w:val="00C93FF7"/>
    <w:rsid w:val="00C94017"/>
    <w:rsid w:val="00C942EE"/>
    <w:rsid w:val="00C944BF"/>
    <w:rsid w:val="00C95525"/>
    <w:rsid w:val="00C95532"/>
    <w:rsid w:val="00C96791"/>
    <w:rsid w:val="00CA0449"/>
    <w:rsid w:val="00CA0603"/>
    <w:rsid w:val="00CA0CBA"/>
    <w:rsid w:val="00CA0D51"/>
    <w:rsid w:val="00CA1BC1"/>
    <w:rsid w:val="00CA3C9A"/>
    <w:rsid w:val="00CA4B31"/>
    <w:rsid w:val="00CA5007"/>
    <w:rsid w:val="00CA5B28"/>
    <w:rsid w:val="00CA683C"/>
    <w:rsid w:val="00CB05AC"/>
    <w:rsid w:val="00CB0933"/>
    <w:rsid w:val="00CB1D02"/>
    <w:rsid w:val="00CB208A"/>
    <w:rsid w:val="00CB2590"/>
    <w:rsid w:val="00CB35B3"/>
    <w:rsid w:val="00CB39F5"/>
    <w:rsid w:val="00CB4951"/>
    <w:rsid w:val="00CB6D70"/>
    <w:rsid w:val="00CB7814"/>
    <w:rsid w:val="00CB7FB0"/>
    <w:rsid w:val="00CC1233"/>
    <w:rsid w:val="00CC139A"/>
    <w:rsid w:val="00CC17F5"/>
    <w:rsid w:val="00CC1C71"/>
    <w:rsid w:val="00CC2232"/>
    <w:rsid w:val="00CC2B24"/>
    <w:rsid w:val="00CC32AF"/>
    <w:rsid w:val="00CC3D51"/>
    <w:rsid w:val="00CC3FF9"/>
    <w:rsid w:val="00CC5EB7"/>
    <w:rsid w:val="00CC63E9"/>
    <w:rsid w:val="00CC6B10"/>
    <w:rsid w:val="00CC757C"/>
    <w:rsid w:val="00CC763F"/>
    <w:rsid w:val="00CC7E4E"/>
    <w:rsid w:val="00CC7ED7"/>
    <w:rsid w:val="00CD1676"/>
    <w:rsid w:val="00CD29DB"/>
    <w:rsid w:val="00CD2A73"/>
    <w:rsid w:val="00CD379A"/>
    <w:rsid w:val="00CD4CE2"/>
    <w:rsid w:val="00CD5BE3"/>
    <w:rsid w:val="00CD6A56"/>
    <w:rsid w:val="00CE005F"/>
    <w:rsid w:val="00CE1536"/>
    <w:rsid w:val="00CE28AD"/>
    <w:rsid w:val="00CE2CC9"/>
    <w:rsid w:val="00CE3645"/>
    <w:rsid w:val="00CE4136"/>
    <w:rsid w:val="00CE494C"/>
    <w:rsid w:val="00CE4E25"/>
    <w:rsid w:val="00CE5323"/>
    <w:rsid w:val="00CE5971"/>
    <w:rsid w:val="00CE5BB9"/>
    <w:rsid w:val="00CE5D86"/>
    <w:rsid w:val="00CE5E75"/>
    <w:rsid w:val="00CE6B2F"/>
    <w:rsid w:val="00CE74DA"/>
    <w:rsid w:val="00CF0544"/>
    <w:rsid w:val="00CF1867"/>
    <w:rsid w:val="00CF2513"/>
    <w:rsid w:val="00CF301C"/>
    <w:rsid w:val="00CF34E2"/>
    <w:rsid w:val="00CF40D7"/>
    <w:rsid w:val="00CF5700"/>
    <w:rsid w:val="00CF6630"/>
    <w:rsid w:val="00CF7134"/>
    <w:rsid w:val="00D023C3"/>
    <w:rsid w:val="00D026C5"/>
    <w:rsid w:val="00D0393F"/>
    <w:rsid w:val="00D04A14"/>
    <w:rsid w:val="00D052BF"/>
    <w:rsid w:val="00D065A5"/>
    <w:rsid w:val="00D06C51"/>
    <w:rsid w:val="00D06E33"/>
    <w:rsid w:val="00D078CD"/>
    <w:rsid w:val="00D10714"/>
    <w:rsid w:val="00D11443"/>
    <w:rsid w:val="00D118FD"/>
    <w:rsid w:val="00D1291A"/>
    <w:rsid w:val="00D12E22"/>
    <w:rsid w:val="00D13659"/>
    <w:rsid w:val="00D1477C"/>
    <w:rsid w:val="00D15915"/>
    <w:rsid w:val="00D15E51"/>
    <w:rsid w:val="00D16D00"/>
    <w:rsid w:val="00D172F4"/>
    <w:rsid w:val="00D178B1"/>
    <w:rsid w:val="00D205A3"/>
    <w:rsid w:val="00D20979"/>
    <w:rsid w:val="00D20B8F"/>
    <w:rsid w:val="00D21F4C"/>
    <w:rsid w:val="00D2204C"/>
    <w:rsid w:val="00D22052"/>
    <w:rsid w:val="00D2227F"/>
    <w:rsid w:val="00D22C46"/>
    <w:rsid w:val="00D23CD2"/>
    <w:rsid w:val="00D244DC"/>
    <w:rsid w:val="00D24704"/>
    <w:rsid w:val="00D24C36"/>
    <w:rsid w:val="00D25C5C"/>
    <w:rsid w:val="00D26111"/>
    <w:rsid w:val="00D27EAA"/>
    <w:rsid w:val="00D30336"/>
    <w:rsid w:val="00D3066B"/>
    <w:rsid w:val="00D3076D"/>
    <w:rsid w:val="00D30AD3"/>
    <w:rsid w:val="00D30FF9"/>
    <w:rsid w:val="00D31A67"/>
    <w:rsid w:val="00D3329E"/>
    <w:rsid w:val="00D333F5"/>
    <w:rsid w:val="00D33BF4"/>
    <w:rsid w:val="00D35A54"/>
    <w:rsid w:val="00D35D7E"/>
    <w:rsid w:val="00D36D76"/>
    <w:rsid w:val="00D37B8F"/>
    <w:rsid w:val="00D40DC3"/>
    <w:rsid w:val="00D4188A"/>
    <w:rsid w:val="00D42644"/>
    <w:rsid w:val="00D426D5"/>
    <w:rsid w:val="00D435BB"/>
    <w:rsid w:val="00D4458C"/>
    <w:rsid w:val="00D4571C"/>
    <w:rsid w:val="00D46E88"/>
    <w:rsid w:val="00D478A7"/>
    <w:rsid w:val="00D47E16"/>
    <w:rsid w:val="00D508B4"/>
    <w:rsid w:val="00D50F88"/>
    <w:rsid w:val="00D557E8"/>
    <w:rsid w:val="00D559E4"/>
    <w:rsid w:val="00D55C3B"/>
    <w:rsid w:val="00D55EDD"/>
    <w:rsid w:val="00D5628C"/>
    <w:rsid w:val="00D563FC"/>
    <w:rsid w:val="00D5710F"/>
    <w:rsid w:val="00D57902"/>
    <w:rsid w:val="00D57BA5"/>
    <w:rsid w:val="00D62E62"/>
    <w:rsid w:val="00D62F1D"/>
    <w:rsid w:val="00D6302F"/>
    <w:rsid w:val="00D633C7"/>
    <w:rsid w:val="00D63F80"/>
    <w:rsid w:val="00D657F5"/>
    <w:rsid w:val="00D65E2F"/>
    <w:rsid w:val="00D66AF7"/>
    <w:rsid w:val="00D70A76"/>
    <w:rsid w:val="00D7262B"/>
    <w:rsid w:val="00D7396E"/>
    <w:rsid w:val="00D740D0"/>
    <w:rsid w:val="00D76A08"/>
    <w:rsid w:val="00D7718A"/>
    <w:rsid w:val="00D774D5"/>
    <w:rsid w:val="00D77584"/>
    <w:rsid w:val="00D807E2"/>
    <w:rsid w:val="00D82384"/>
    <w:rsid w:val="00D828E5"/>
    <w:rsid w:val="00D829B1"/>
    <w:rsid w:val="00D82B22"/>
    <w:rsid w:val="00D8362F"/>
    <w:rsid w:val="00D844C7"/>
    <w:rsid w:val="00D846E4"/>
    <w:rsid w:val="00D85502"/>
    <w:rsid w:val="00D860AB"/>
    <w:rsid w:val="00D862AD"/>
    <w:rsid w:val="00D86F26"/>
    <w:rsid w:val="00D872A2"/>
    <w:rsid w:val="00D90359"/>
    <w:rsid w:val="00D9154E"/>
    <w:rsid w:val="00D91947"/>
    <w:rsid w:val="00D920AE"/>
    <w:rsid w:val="00D92375"/>
    <w:rsid w:val="00D925EC"/>
    <w:rsid w:val="00D92714"/>
    <w:rsid w:val="00D92BBB"/>
    <w:rsid w:val="00D93783"/>
    <w:rsid w:val="00D94076"/>
    <w:rsid w:val="00D94414"/>
    <w:rsid w:val="00D9453E"/>
    <w:rsid w:val="00D950DE"/>
    <w:rsid w:val="00D962D3"/>
    <w:rsid w:val="00D965CB"/>
    <w:rsid w:val="00D97217"/>
    <w:rsid w:val="00D973F2"/>
    <w:rsid w:val="00DA0A80"/>
    <w:rsid w:val="00DA11C9"/>
    <w:rsid w:val="00DA1AE4"/>
    <w:rsid w:val="00DA308F"/>
    <w:rsid w:val="00DA4A84"/>
    <w:rsid w:val="00DA5F07"/>
    <w:rsid w:val="00DA605A"/>
    <w:rsid w:val="00DA7288"/>
    <w:rsid w:val="00DA7641"/>
    <w:rsid w:val="00DA7B02"/>
    <w:rsid w:val="00DB115A"/>
    <w:rsid w:val="00DB11FA"/>
    <w:rsid w:val="00DB1768"/>
    <w:rsid w:val="00DB3DAB"/>
    <w:rsid w:val="00DB45C2"/>
    <w:rsid w:val="00DB4B49"/>
    <w:rsid w:val="00DB6A05"/>
    <w:rsid w:val="00DB6B09"/>
    <w:rsid w:val="00DB6C9B"/>
    <w:rsid w:val="00DB7042"/>
    <w:rsid w:val="00DB7F88"/>
    <w:rsid w:val="00DC0903"/>
    <w:rsid w:val="00DC0D78"/>
    <w:rsid w:val="00DC111F"/>
    <w:rsid w:val="00DC19CC"/>
    <w:rsid w:val="00DC20AB"/>
    <w:rsid w:val="00DC2472"/>
    <w:rsid w:val="00DC2A3C"/>
    <w:rsid w:val="00DC2B80"/>
    <w:rsid w:val="00DC2EE0"/>
    <w:rsid w:val="00DC3E6B"/>
    <w:rsid w:val="00DC47D3"/>
    <w:rsid w:val="00DC52CD"/>
    <w:rsid w:val="00DC56B6"/>
    <w:rsid w:val="00DC60C4"/>
    <w:rsid w:val="00DC6763"/>
    <w:rsid w:val="00DC6E88"/>
    <w:rsid w:val="00DC6FFB"/>
    <w:rsid w:val="00DC75CE"/>
    <w:rsid w:val="00DC7D1C"/>
    <w:rsid w:val="00DD038A"/>
    <w:rsid w:val="00DD091A"/>
    <w:rsid w:val="00DD1F72"/>
    <w:rsid w:val="00DD2CBE"/>
    <w:rsid w:val="00DD36F7"/>
    <w:rsid w:val="00DD3CBF"/>
    <w:rsid w:val="00DD49CC"/>
    <w:rsid w:val="00DD5392"/>
    <w:rsid w:val="00DD7DB3"/>
    <w:rsid w:val="00DE043E"/>
    <w:rsid w:val="00DE0C0F"/>
    <w:rsid w:val="00DE123C"/>
    <w:rsid w:val="00DE3123"/>
    <w:rsid w:val="00DE401D"/>
    <w:rsid w:val="00DE459F"/>
    <w:rsid w:val="00DE464E"/>
    <w:rsid w:val="00DE4AC9"/>
    <w:rsid w:val="00DE534C"/>
    <w:rsid w:val="00DE5B95"/>
    <w:rsid w:val="00DE6352"/>
    <w:rsid w:val="00DE6D98"/>
    <w:rsid w:val="00DE78C1"/>
    <w:rsid w:val="00DF1249"/>
    <w:rsid w:val="00DF1D28"/>
    <w:rsid w:val="00DF1F54"/>
    <w:rsid w:val="00DF25B5"/>
    <w:rsid w:val="00DF32A6"/>
    <w:rsid w:val="00DF3958"/>
    <w:rsid w:val="00DF5817"/>
    <w:rsid w:val="00DF5BD4"/>
    <w:rsid w:val="00DF6AA3"/>
    <w:rsid w:val="00DF6D2F"/>
    <w:rsid w:val="00DF7838"/>
    <w:rsid w:val="00E00060"/>
    <w:rsid w:val="00E0054E"/>
    <w:rsid w:val="00E02675"/>
    <w:rsid w:val="00E02CCE"/>
    <w:rsid w:val="00E04DB2"/>
    <w:rsid w:val="00E051D6"/>
    <w:rsid w:val="00E05201"/>
    <w:rsid w:val="00E05CFF"/>
    <w:rsid w:val="00E0637A"/>
    <w:rsid w:val="00E10626"/>
    <w:rsid w:val="00E1121F"/>
    <w:rsid w:val="00E11DF3"/>
    <w:rsid w:val="00E13586"/>
    <w:rsid w:val="00E136AB"/>
    <w:rsid w:val="00E13C53"/>
    <w:rsid w:val="00E14E5B"/>
    <w:rsid w:val="00E15BC5"/>
    <w:rsid w:val="00E15D6C"/>
    <w:rsid w:val="00E1636D"/>
    <w:rsid w:val="00E16BC4"/>
    <w:rsid w:val="00E20E21"/>
    <w:rsid w:val="00E22134"/>
    <w:rsid w:val="00E225B5"/>
    <w:rsid w:val="00E230CC"/>
    <w:rsid w:val="00E239C7"/>
    <w:rsid w:val="00E249F7"/>
    <w:rsid w:val="00E24BFC"/>
    <w:rsid w:val="00E24CC4"/>
    <w:rsid w:val="00E251C5"/>
    <w:rsid w:val="00E251F4"/>
    <w:rsid w:val="00E25B0E"/>
    <w:rsid w:val="00E26D55"/>
    <w:rsid w:val="00E30132"/>
    <w:rsid w:val="00E31B25"/>
    <w:rsid w:val="00E328A4"/>
    <w:rsid w:val="00E3299C"/>
    <w:rsid w:val="00E329BE"/>
    <w:rsid w:val="00E359F3"/>
    <w:rsid w:val="00E35BCA"/>
    <w:rsid w:val="00E36128"/>
    <w:rsid w:val="00E36A39"/>
    <w:rsid w:val="00E36BBE"/>
    <w:rsid w:val="00E40462"/>
    <w:rsid w:val="00E40D30"/>
    <w:rsid w:val="00E416D7"/>
    <w:rsid w:val="00E41B4A"/>
    <w:rsid w:val="00E41CA8"/>
    <w:rsid w:val="00E421C8"/>
    <w:rsid w:val="00E422AA"/>
    <w:rsid w:val="00E42343"/>
    <w:rsid w:val="00E42D68"/>
    <w:rsid w:val="00E4480F"/>
    <w:rsid w:val="00E45699"/>
    <w:rsid w:val="00E46581"/>
    <w:rsid w:val="00E4763C"/>
    <w:rsid w:val="00E47761"/>
    <w:rsid w:val="00E50A8C"/>
    <w:rsid w:val="00E52037"/>
    <w:rsid w:val="00E532D8"/>
    <w:rsid w:val="00E53852"/>
    <w:rsid w:val="00E5414D"/>
    <w:rsid w:val="00E545B2"/>
    <w:rsid w:val="00E5474E"/>
    <w:rsid w:val="00E55766"/>
    <w:rsid w:val="00E56CFB"/>
    <w:rsid w:val="00E6036A"/>
    <w:rsid w:val="00E60EFD"/>
    <w:rsid w:val="00E61852"/>
    <w:rsid w:val="00E61A67"/>
    <w:rsid w:val="00E61A78"/>
    <w:rsid w:val="00E61C6A"/>
    <w:rsid w:val="00E6203F"/>
    <w:rsid w:val="00E6302B"/>
    <w:rsid w:val="00E633A8"/>
    <w:rsid w:val="00E639E7"/>
    <w:rsid w:val="00E64EF7"/>
    <w:rsid w:val="00E65261"/>
    <w:rsid w:val="00E6554E"/>
    <w:rsid w:val="00E657A3"/>
    <w:rsid w:val="00E65986"/>
    <w:rsid w:val="00E6649C"/>
    <w:rsid w:val="00E66B1A"/>
    <w:rsid w:val="00E675F2"/>
    <w:rsid w:val="00E67E52"/>
    <w:rsid w:val="00E7048B"/>
    <w:rsid w:val="00E709F8"/>
    <w:rsid w:val="00E71D43"/>
    <w:rsid w:val="00E71E26"/>
    <w:rsid w:val="00E72488"/>
    <w:rsid w:val="00E736AD"/>
    <w:rsid w:val="00E74604"/>
    <w:rsid w:val="00E76772"/>
    <w:rsid w:val="00E771EC"/>
    <w:rsid w:val="00E77436"/>
    <w:rsid w:val="00E775AA"/>
    <w:rsid w:val="00E77F0E"/>
    <w:rsid w:val="00E80605"/>
    <w:rsid w:val="00E8288E"/>
    <w:rsid w:val="00E8529B"/>
    <w:rsid w:val="00E85A09"/>
    <w:rsid w:val="00E86F38"/>
    <w:rsid w:val="00E8709F"/>
    <w:rsid w:val="00E87291"/>
    <w:rsid w:val="00E90C23"/>
    <w:rsid w:val="00E91008"/>
    <w:rsid w:val="00E9169F"/>
    <w:rsid w:val="00E9193D"/>
    <w:rsid w:val="00E91C91"/>
    <w:rsid w:val="00E92D54"/>
    <w:rsid w:val="00E93C3B"/>
    <w:rsid w:val="00E93E9A"/>
    <w:rsid w:val="00E94060"/>
    <w:rsid w:val="00E9417C"/>
    <w:rsid w:val="00E94980"/>
    <w:rsid w:val="00E94B29"/>
    <w:rsid w:val="00E95018"/>
    <w:rsid w:val="00E9515C"/>
    <w:rsid w:val="00E95FFF"/>
    <w:rsid w:val="00E966DC"/>
    <w:rsid w:val="00E97583"/>
    <w:rsid w:val="00EA0158"/>
    <w:rsid w:val="00EA0A5F"/>
    <w:rsid w:val="00EA0E4B"/>
    <w:rsid w:val="00EA0FE9"/>
    <w:rsid w:val="00EA12EC"/>
    <w:rsid w:val="00EA1ECF"/>
    <w:rsid w:val="00EA2C88"/>
    <w:rsid w:val="00EA3095"/>
    <w:rsid w:val="00EA30F3"/>
    <w:rsid w:val="00EA313A"/>
    <w:rsid w:val="00EA4D5B"/>
    <w:rsid w:val="00EA57C5"/>
    <w:rsid w:val="00EA58EF"/>
    <w:rsid w:val="00EA63D4"/>
    <w:rsid w:val="00EA65B7"/>
    <w:rsid w:val="00EB12AE"/>
    <w:rsid w:val="00EB14AA"/>
    <w:rsid w:val="00EB2C32"/>
    <w:rsid w:val="00EB3B79"/>
    <w:rsid w:val="00EB3FB2"/>
    <w:rsid w:val="00EB420C"/>
    <w:rsid w:val="00EB46C0"/>
    <w:rsid w:val="00EB68E8"/>
    <w:rsid w:val="00EB789F"/>
    <w:rsid w:val="00EB79F6"/>
    <w:rsid w:val="00EC00F9"/>
    <w:rsid w:val="00EC0157"/>
    <w:rsid w:val="00EC082E"/>
    <w:rsid w:val="00EC08B1"/>
    <w:rsid w:val="00EC0D43"/>
    <w:rsid w:val="00EC16D3"/>
    <w:rsid w:val="00EC1EA4"/>
    <w:rsid w:val="00EC2C2D"/>
    <w:rsid w:val="00EC2C83"/>
    <w:rsid w:val="00EC31E1"/>
    <w:rsid w:val="00EC3E1E"/>
    <w:rsid w:val="00EC4845"/>
    <w:rsid w:val="00EC4CDF"/>
    <w:rsid w:val="00EC5E86"/>
    <w:rsid w:val="00EC63B0"/>
    <w:rsid w:val="00EC68F4"/>
    <w:rsid w:val="00EC7622"/>
    <w:rsid w:val="00ED0152"/>
    <w:rsid w:val="00ED1FE2"/>
    <w:rsid w:val="00ED24F6"/>
    <w:rsid w:val="00ED42E9"/>
    <w:rsid w:val="00ED4DF6"/>
    <w:rsid w:val="00ED5F11"/>
    <w:rsid w:val="00ED6C4F"/>
    <w:rsid w:val="00ED78AC"/>
    <w:rsid w:val="00ED7D42"/>
    <w:rsid w:val="00EE05BF"/>
    <w:rsid w:val="00EE1F3E"/>
    <w:rsid w:val="00EE2F9B"/>
    <w:rsid w:val="00EE42C2"/>
    <w:rsid w:val="00EE5208"/>
    <w:rsid w:val="00EE6A15"/>
    <w:rsid w:val="00EF00B8"/>
    <w:rsid w:val="00EF0BF1"/>
    <w:rsid w:val="00EF0FC0"/>
    <w:rsid w:val="00EF15E7"/>
    <w:rsid w:val="00EF16B1"/>
    <w:rsid w:val="00EF1837"/>
    <w:rsid w:val="00EF247B"/>
    <w:rsid w:val="00EF25F1"/>
    <w:rsid w:val="00EF2716"/>
    <w:rsid w:val="00EF2778"/>
    <w:rsid w:val="00EF3605"/>
    <w:rsid w:val="00EF3CE8"/>
    <w:rsid w:val="00EF44E2"/>
    <w:rsid w:val="00EF454F"/>
    <w:rsid w:val="00EF71EF"/>
    <w:rsid w:val="00F01257"/>
    <w:rsid w:val="00F01513"/>
    <w:rsid w:val="00F02DD9"/>
    <w:rsid w:val="00F0344C"/>
    <w:rsid w:val="00F0492E"/>
    <w:rsid w:val="00F07A00"/>
    <w:rsid w:val="00F07A23"/>
    <w:rsid w:val="00F10CC4"/>
    <w:rsid w:val="00F113E4"/>
    <w:rsid w:val="00F1196C"/>
    <w:rsid w:val="00F11AFD"/>
    <w:rsid w:val="00F11FD0"/>
    <w:rsid w:val="00F124E8"/>
    <w:rsid w:val="00F12D61"/>
    <w:rsid w:val="00F135D0"/>
    <w:rsid w:val="00F13B3D"/>
    <w:rsid w:val="00F141E0"/>
    <w:rsid w:val="00F14E60"/>
    <w:rsid w:val="00F1656B"/>
    <w:rsid w:val="00F165AA"/>
    <w:rsid w:val="00F16E4B"/>
    <w:rsid w:val="00F2063C"/>
    <w:rsid w:val="00F21482"/>
    <w:rsid w:val="00F21DBE"/>
    <w:rsid w:val="00F21FAF"/>
    <w:rsid w:val="00F22D89"/>
    <w:rsid w:val="00F2403B"/>
    <w:rsid w:val="00F24571"/>
    <w:rsid w:val="00F24A28"/>
    <w:rsid w:val="00F2520E"/>
    <w:rsid w:val="00F25583"/>
    <w:rsid w:val="00F25B27"/>
    <w:rsid w:val="00F25DC9"/>
    <w:rsid w:val="00F26BD7"/>
    <w:rsid w:val="00F27CAE"/>
    <w:rsid w:val="00F27F7E"/>
    <w:rsid w:val="00F30C48"/>
    <w:rsid w:val="00F322D3"/>
    <w:rsid w:val="00F323E4"/>
    <w:rsid w:val="00F32582"/>
    <w:rsid w:val="00F32850"/>
    <w:rsid w:val="00F32F96"/>
    <w:rsid w:val="00F33441"/>
    <w:rsid w:val="00F33EBC"/>
    <w:rsid w:val="00F35A9E"/>
    <w:rsid w:val="00F368E6"/>
    <w:rsid w:val="00F37BDF"/>
    <w:rsid w:val="00F41E34"/>
    <w:rsid w:val="00F4217F"/>
    <w:rsid w:val="00F424AB"/>
    <w:rsid w:val="00F43011"/>
    <w:rsid w:val="00F44458"/>
    <w:rsid w:val="00F4531A"/>
    <w:rsid w:val="00F4572A"/>
    <w:rsid w:val="00F469CC"/>
    <w:rsid w:val="00F47842"/>
    <w:rsid w:val="00F47CEF"/>
    <w:rsid w:val="00F47F38"/>
    <w:rsid w:val="00F50988"/>
    <w:rsid w:val="00F5186F"/>
    <w:rsid w:val="00F51B57"/>
    <w:rsid w:val="00F51E43"/>
    <w:rsid w:val="00F521D5"/>
    <w:rsid w:val="00F525C0"/>
    <w:rsid w:val="00F569A4"/>
    <w:rsid w:val="00F56D9B"/>
    <w:rsid w:val="00F57BEF"/>
    <w:rsid w:val="00F57FA0"/>
    <w:rsid w:val="00F60055"/>
    <w:rsid w:val="00F6134E"/>
    <w:rsid w:val="00F61758"/>
    <w:rsid w:val="00F618AF"/>
    <w:rsid w:val="00F623B7"/>
    <w:rsid w:val="00F62548"/>
    <w:rsid w:val="00F626B9"/>
    <w:rsid w:val="00F62881"/>
    <w:rsid w:val="00F62DF2"/>
    <w:rsid w:val="00F631DA"/>
    <w:rsid w:val="00F66D78"/>
    <w:rsid w:val="00F6701A"/>
    <w:rsid w:val="00F675C9"/>
    <w:rsid w:val="00F7202E"/>
    <w:rsid w:val="00F72525"/>
    <w:rsid w:val="00F73A94"/>
    <w:rsid w:val="00F73CBA"/>
    <w:rsid w:val="00F76A9D"/>
    <w:rsid w:val="00F76C4E"/>
    <w:rsid w:val="00F7748F"/>
    <w:rsid w:val="00F774DA"/>
    <w:rsid w:val="00F776AA"/>
    <w:rsid w:val="00F80449"/>
    <w:rsid w:val="00F8046C"/>
    <w:rsid w:val="00F80E0C"/>
    <w:rsid w:val="00F810DB"/>
    <w:rsid w:val="00F8237F"/>
    <w:rsid w:val="00F83BAC"/>
    <w:rsid w:val="00F83F8D"/>
    <w:rsid w:val="00F84825"/>
    <w:rsid w:val="00F86EA7"/>
    <w:rsid w:val="00F87111"/>
    <w:rsid w:val="00F87C74"/>
    <w:rsid w:val="00F87E33"/>
    <w:rsid w:val="00F904AD"/>
    <w:rsid w:val="00F9095A"/>
    <w:rsid w:val="00F90BAF"/>
    <w:rsid w:val="00F9103B"/>
    <w:rsid w:val="00F92EF1"/>
    <w:rsid w:val="00F940F6"/>
    <w:rsid w:val="00F95B59"/>
    <w:rsid w:val="00F9643E"/>
    <w:rsid w:val="00F96F5D"/>
    <w:rsid w:val="00F972B6"/>
    <w:rsid w:val="00FA06C1"/>
    <w:rsid w:val="00FA0A6E"/>
    <w:rsid w:val="00FA1E85"/>
    <w:rsid w:val="00FA39CC"/>
    <w:rsid w:val="00FA467A"/>
    <w:rsid w:val="00FA63EB"/>
    <w:rsid w:val="00FA688E"/>
    <w:rsid w:val="00FA720D"/>
    <w:rsid w:val="00FB0891"/>
    <w:rsid w:val="00FB1B94"/>
    <w:rsid w:val="00FB209C"/>
    <w:rsid w:val="00FB24AB"/>
    <w:rsid w:val="00FB2E01"/>
    <w:rsid w:val="00FB37A1"/>
    <w:rsid w:val="00FB4CC1"/>
    <w:rsid w:val="00FB52FC"/>
    <w:rsid w:val="00FB6955"/>
    <w:rsid w:val="00FB7575"/>
    <w:rsid w:val="00FB7A8A"/>
    <w:rsid w:val="00FC0668"/>
    <w:rsid w:val="00FC17EE"/>
    <w:rsid w:val="00FC2CA4"/>
    <w:rsid w:val="00FC37D2"/>
    <w:rsid w:val="00FC4242"/>
    <w:rsid w:val="00FC4E98"/>
    <w:rsid w:val="00FC5793"/>
    <w:rsid w:val="00FC59EA"/>
    <w:rsid w:val="00FC6C24"/>
    <w:rsid w:val="00FD017C"/>
    <w:rsid w:val="00FD0D17"/>
    <w:rsid w:val="00FD1159"/>
    <w:rsid w:val="00FD1AF5"/>
    <w:rsid w:val="00FD1E0E"/>
    <w:rsid w:val="00FD4BD5"/>
    <w:rsid w:val="00FD57B2"/>
    <w:rsid w:val="00FD6587"/>
    <w:rsid w:val="00FD69A0"/>
    <w:rsid w:val="00FD6E4C"/>
    <w:rsid w:val="00FD7301"/>
    <w:rsid w:val="00FD73DF"/>
    <w:rsid w:val="00FE07EF"/>
    <w:rsid w:val="00FE0E6C"/>
    <w:rsid w:val="00FE121C"/>
    <w:rsid w:val="00FE121F"/>
    <w:rsid w:val="00FE1E74"/>
    <w:rsid w:val="00FE2EC4"/>
    <w:rsid w:val="00FE343C"/>
    <w:rsid w:val="00FE3AED"/>
    <w:rsid w:val="00FE3D43"/>
    <w:rsid w:val="00FE3F50"/>
    <w:rsid w:val="00FE59BB"/>
    <w:rsid w:val="00FE5FE5"/>
    <w:rsid w:val="00FE71CB"/>
    <w:rsid w:val="00FF0771"/>
    <w:rsid w:val="00FF0DEB"/>
    <w:rsid w:val="00FF10DC"/>
    <w:rsid w:val="00FF1B17"/>
    <w:rsid w:val="00FF2824"/>
    <w:rsid w:val="00FF3497"/>
    <w:rsid w:val="00FF4840"/>
    <w:rsid w:val="00FF5877"/>
    <w:rsid w:val="00FF71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F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93"/>
    <w:rPr>
      <w:rFonts w:ascii="Segoe UI" w:hAnsi="Segoe UI" w:cs="Segoe UI"/>
      <w:sz w:val="18"/>
      <w:szCs w:val="18"/>
    </w:rPr>
  </w:style>
  <w:style w:type="paragraph" w:styleId="Header">
    <w:name w:val="header"/>
    <w:basedOn w:val="Normal"/>
    <w:link w:val="HeaderChar"/>
    <w:uiPriority w:val="99"/>
    <w:unhideWhenUsed/>
    <w:rsid w:val="00981C76"/>
    <w:pPr>
      <w:tabs>
        <w:tab w:val="center" w:pos="4680"/>
        <w:tab w:val="right" w:pos="9360"/>
      </w:tabs>
      <w:spacing w:line="240" w:lineRule="auto"/>
    </w:pPr>
  </w:style>
  <w:style w:type="character" w:customStyle="1" w:styleId="HeaderChar">
    <w:name w:val="Header Char"/>
    <w:basedOn w:val="DefaultParagraphFont"/>
    <w:link w:val="Header"/>
    <w:uiPriority w:val="99"/>
    <w:rsid w:val="00981C76"/>
  </w:style>
  <w:style w:type="paragraph" w:styleId="Footer">
    <w:name w:val="footer"/>
    <w:basedOn w:val="Normal"/>
    <w:link w:val="FooterChar"/>
    <w:uiPriority w:val="99"/>
    <w:unhideWhenUsed/>
    <w:rsid w:val="00981C76"/>
    <w:pPr>
      <w:tabs>
        <w:tab w:val="center" w:pos="4680"/>
        <w:tab w:val="right" w:pos="9360"/>
      </w:tabs>
      <w:spacing w:line="240" w:lineRule="auto"/>
    </w:pPr>
  </w:style>
  <w:style w:type="character" w:customStyle="1" w:styleId="FooterChar">
    <w:name w:val="Footer Char"/>
    <w:basedOn w:val="DefaultParagraphFont"/>
    <w:link w:val="Footer"/>
    <w:uiPriority w:val="99"/>
    <w:rsid w:val="00981C76"/>
  </w:style>
  <w:style w:type="character" w:styleId="Emphasis">
    <w:name w:val="Emphasis"/>
    <w:basedOn w:val="DefaultParagraphFont"/>
    <w:uiPriority w:val="20"/>
    <w:qFormat/>
    <w:rsid w:val="00DA0A80"/>
    <w:rPr>
      <w:i/>
      <w:iCs/>
    </w:rPr>
  </w:style>
  <w:style w:type="paragraph" w:styleId="FootnoteText">
    <w:name w:val="footnote text"/>
    <w:basedOn w:val="Normal"/>
    <w:link w:val="FootnoteTextChar"/>
    <w:uiPriority w:val="99"/>
    <w:unhideWhenUsed/>
    <w:rsid w:val="008755A5"/>
    <w:pPr>
      <w:spacing w:line="240" w:lineRule="auto"/>
    </w:pPr>
    <w:rPr>
      <w:sz w:val="20"/>
      <w:szCs w:val="20"/>
    </w:rPr>
  </w:style>
  <w:style w:type="character" w:customStyle="1" w:styleId="FootnoteTextChar">
    <w:name w:val="Footnote Text Char"/>
    <w:basedOn w:val="DefaultParagraphFont"/>
    <w:link w:val="FootnoteText"/>
    <w:uiPriority w:val="99"/>
    <w:rsid w:val="008755A5"/>
    <w:rPr>
      <w:sz w:val="20"/>
      <w:szCs w:val="20"/>
    </w:rPr>
  </w:style>
  <w:style w:type="character" w:styleId="FootnoteReference">
    <w:name w:val="footnote reference"/>
    <w:basedOn w:val="DefaultParagraphFont"/>
    <w:uiPriority w:val="99"/>
    <w:semiHidden/>
    <w:unhideWhenUsed/>
    <w:rsid w:val="008755A5"/>
    <w:rPr>
      <w:vertAlign w:val="superscript"/>
    </w:rPr>
  </w:style>
  <w:style w:type="character" w:styleId="Hyperlink">
    <w:name w:val="Hyperlink"/>
    <w:basedOn w:val="DefaultParagraphFont"/>
    <w:uiPriority w:val="99"/>
    <w:semiHidden/>
    <w:unhideWhenUsed/>
    <w:rsid w:val="00EB420C"/>
    <w:rPr>
      <w:color w:val="0000FF"/>
      <w:u w:val="single"/>
    </w:rPr>
  </w:style>
  <w:style w:type="paragraph" w:styleId="Revision">
    <w:name w:val="Revision"/>
    <w:hidden/>
    <w:uiPriority w:val="99"/>
    <w:semiHidden/>
    <w:rsid w:val="00D872A2"/>
    <w:pPr>
      <w:spacing w:line="240" w:lineRule="auto"/>
    </w:pPr>
  </w:style>
  <w:style w:type="character" w:styleId="CommentReference">
    <w:name w:val="annotation reference"/>
    <w:basedOn w:val="DefaultParagraphFont"/>
    <w:uiPriority w:val="99"/>
    <w:semiHidden/>
    <w:unhideWhenUsed/>
    <w:rsid w:val="00EC31E1"/>
    <w:rPr>
      <w:sz w:val="16"/>
      <w:szCs w:val="16"/>
    </w:rPr>
  </w:style>
  <w:style w:type="paragraph" w:styleId="CommentText">
    <w:name w:val="annotation text"/>
    <w:basedOn w:val="Normal"/>
    <w:link w:val="CommentTextChar"/>
    <w:uiPriority w:val="99"/>
    <w:unhideWhenUsed/>
    <w:rsid w:val="00EC31E1"/>
    <w:pPr>
      <w:spacing w:line="240" w:lineRule="auto"/>
    </w:pPr>
    <w:rPr>
      <w:sz w:val="20"/>
      <w:szCs w:val="20"/>
    </w:rPr>
  </w:style>
  <w:style w:type="character" w:customStyle="1" w:styleId="CommentTextChar">
    <w:name w:val="Comment Text Char"/>
    <w:basedOn w:val="DefaultParagraphFont"/>
    <w:link w:val="CommentText"/>
    <w:uiPriority w:val="99"/>
    <w:rsid w:val="00EC31E1"/>
    <w:rPr>
      <w:sz w:val="20"/>
      <w:szCs w:val="20"/>
    </w:rPr>
  </w:style>
  <w:style w:type="paragraph" w:styleId="CommentSubject">
    <w:name w:val="annotation subject"/>
    <w:basedOn w:val="CommentText"/>
    <w:next w:val="CommentText"/>
    <w:link w:val="CommentSubjectChar"/>
    <w:uiPriority w:val="99"/>
    <w:semiHidden/>
    <w:unhideWhenUsed/>
    <w:rsid w:val="00EC31E1"/>
    <w:rPr>
      <w:b/>
      <w:bCs/>
    </w:rPr>
  </w:style>
  <w:style w:type="character" w:customStyle="1" w:styleId="CommentSubjectChar">
    <w:name w:val="Comment Subject Char"/>
    <w:basedOn w:val="CommentTextChar"/>
    <w:link w:val="CommentSubject"/>
    <w:uiPriority w:val="99"/>
    <w:semiHidden/>
    <w:rsid w:val="00EC31E1"/>
    <w:rPr>
      <w:b/>
      <w:bCs/>
      <w:sz w:val="20"/>
      <w:szCs w:val="20"/>
    </w:rPr>
  </w:style>
  <w:style w:type="character" w:customStyle="1" w:styleId="cf01">
    <w:name w:val="cf01"/>
    <w:basedOn w:val="DefaultParagraphFont"/>
    <w:rsid w:val="001338CD"/>
    <w:rPr>
      <w:rFonts w:ascii="Segoe UI" w:hAnsi="Segoe UI" w:cs="Segoe UI" w:hint="default"/>
      <w:i/>
      <w:iCs/>
      <w:sz w:val="18"/>
      <w:szCs w:val="18"/>
    </w:rPr>
  </w:style>
  <w:style w:type="character" w:customStyle="1" w:styleId="cf11">
    <w:name w:val="cf11"/>
    <w:basedOn w:val="DefaultParagraphFont"/>
    <w:rsid w:val="001338CD"/>
    <w:rPr>
      <w:rFonts w:ascii="Segoe UI" w:hAnsi="Segoe UI" w:cs="Segoe UI" w:hint="default"/>
      <w:sz w:val="18"/>
      <w:szCs w:val="18"/>
    </w:rPr>
  </w:style>
  <w:style w:type="paragraph" w:customStyle="1" w:styleId="pf0">
    <w:name w:val="pf0"/>
    <w:basedOn w:val="Normal"/>
    <w:rsid w:val="007C17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2024-03-15T19:19:05Z</dcterms:created>
  <dcterms:modified xsi:type="dcterms:W3CDTF">2024-03-15T19:19:05Z</dcterms:modified>
</cp:coreProperties>
</file>