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AA0C27" w14:textId="3ECD926E" w:rsidR="002042CB" w:rsidRPr="0047286C" w:rsidRDefault="002042CB" w:rsidP="001F5C2D">
      <w:pPr>
        <w:tabs>
          <w:tab w:val="clear" w:pos="720"/>
        </w:tabs>
        <w:spacing w:line="240" w:lineRule="auto"/>
        <w:rPr>
          <w:sz w:val="20"/>
        </w:rPr>
      </w:pPr>
      <w:r w:rsidRPr="0047286C">
        <w:rPr>
          <w:sz w:val="20"/>
        </w:rPr>
        <w:t xml:space="preserve">Filed </w:t>
      </w:r>
      <w:r w:rsidRPr="0047286C">
        <w:rPr>
          <w:sz w:val="20"/>
        </w:rPr>
        <w:t>5/</w:t>
      </w:r>
      <w:r w:rsidRPr="0047286C">
        <w:rPr>
          <w:sz w:val="20"/>
        </w:rPr>
        <w:t>3/24</w:t>
      </w:r>
    </w:p>
    <w:p w14:paraId="45A13006" w14:textId="77777777" w:rsidR="002042CB" w:rsidRDefault="002042CB" w:rsidP="001F5C2D">
      <w:pPr>
        <w:tabs>
          <w:tab w:val="clear" w:pos="720"/>
        </w:tabs>
        <w:spacing w:line="240" w:lineRule="auto"/>
        <w:jc w:val="center"/>
        <w:rPr>
          <w:b/>
        </w:rPr>
      </w:pPr>
      <w:r>
        <w:rPr>
          <w:b/>
        </w:rPr>
        <w:t>CERTIFIED FOR PUBLICATION</w:t>
      </w:r>
    </w:p>
    <w:p w14:paraId="53BC39C2" w14:textId="77777777" w:rsidR="002042CB" w:rsidRDefault="002042CB" w:rsidP="001F5C2D">
      <w:pPr>
        <w:tabs>
          <w:tab w:val="clear" w:pos="720"/>
        </w:tabs>
        <w:spacing w:line="240" w:lineRule="auto"/>
        <w:jc w:val="center"/>
      </w:pPr>
    </w:p>
    <w:p w14:paraId="7700B0AC" w14:textId="77777777" w:rsidR="002042CB" w:rsidRPr="007A53F7" w:rsidRDefault="002042CB" w:rsidP="001F5C2D">
      <w:pPr>
        <w:tabs>
          <w:tab w:val="clear" w:pos="720"/>
        </w:tabs>
        <w:spacing w:line="240" w:lineRule="auto"/>
        <w:jc w:val="center"/>
      </w:pPr>
      <w:r w:rsidRPr="007A53F7">
        <w:t>IN THE COURT OF APPEAL OF THE STATE OF CALIFORNIA</w:t>
      </w:r>
    </w:p>
    <w:p w14:paraId="7086B795" w14:textId="77777777" w:rsidR="002042CB" w:rsidRPr="007A53F7" w:rsidRDefault="002042CB" w:rsidP="0063330F">
      <w:pPr>
        <w:tabs>
          <w:tab w:val="clear" w:pos="720"/>
        </w:tabs>
        <w:spacing w:line="240" w:lineRule="auto"/>
        <w:jc w:val="center"/>
      </w:pPr>
    </w:p>
    <w:p w14:paraId="7B3DCE21" w14:textId="77777777" w:rsidR="002042CB" w:rsidRPr="007A53F7" w:rsidRDefault="002042CB" w:rsidP="0063330F">
      <w:pPr>
        <w:tabs>
          <w:tab w:val="clear" w:pos="720"/>
        </w:tabs>
        <w:spacing w:line="240" w:lineRule="auto"/>
        <w:jc w:val="center"/>
      </w:pPr>
      <w:r w:rsidRPr="007A53F7">
        <w:t>FIRST APPELLATE DISTRICT</w:t>
      </w:r>
    </w:p>
    <w:p w14:paraId="0D19C3B3" w14:textId="77777777" w:rsidR="002042CB" w:rsidRPr="007A53F7" w:rsidRDefault="002042CB" w:rsidP="0063330F">
      <w:pPr>
        <w:tabs>
          <w:tab w:val="clear" w:pos="720"/>
        </w:tabs>
        <w:spacing w:line="240" w:lineRule="auto"/>
        <w:jc w:val="center"/>
      </w:pPr>
    </w:p>
    <w:p w14:paraId="3075594F" w14:textId="77777777" w:rsidR="002042CB" w:rsidRPr="007A53F7" w:rsidRDefault="002042CB" w:rsidP="0063330F">
      <w:pPr>
        <w:tabs>
          <w:tab w:val="clear" w:pos="720"/>
        </w:tabs>
        <w:spacing w:line="240" w:lineRule="auto"/>
        <w:jc w:val="center"/>
      </w:pPr>
      <w:r w:rsidRPr="007A53F7">
        <w:t>DIVISION FIVE</w:t>
      </w:r>
    </w:p>
    <w:p w14:paraId="20EFF6C8" w14:textId="77777777" w:rsidR="002042CB" w:rsidRPr="007A53F7" w:rsidRDefault="002042CB" w:rsidP="0063330F">
      <w:pPr>
        <w:tabs>
          <w:tab w:val="clear" w:pos="720"/>
        </w:tabs>
        <w:spacing w:line="240" w:lineRule="auto"/>
        <w:jc w:val="center"/>
      </w:pPr>
    </w:p>
    <w:p w14:paraId="30DB0A48" w14:textId="77777777" w:rsidR="002042CB" w:rsidRPr="007A53F7" w:rsidRDefault="002042CB" w:rsidP="0063330F">
      <w:pPr>
        <w:tabs>
          <w:tab w:val="clear" w:pos="720"/>
        </w:tabs>
        <w:spacing w:line="240" w:lineRule="auto"/>
        <w:jc w:val="center"/>
      </w:pPr>
    </w:p>
    <w:tbl>
      <w:tblPr>
        <w:tblW w:w="9401" w:type="dxa"/>
        <w:tblLayout w:type="fixed"/>
        <w:tblLook w:val="0000" w:firstRow="0" w:lastRow="0" w:firstColumn="0" w:lastColumn="0" w:noHBand="0" w:noVBand="0"/>
      </w:tblPr>
      <w:tblGrid>
        <w:gridCol w:w="4770"/>
        <w:gridCol w:w="4631"/>
      </w:tblGrid>
      <w:tr w:rsidR="000279B7" w14:paraId="62FD9EAB" w14:textId="77777777" w:rsidTr="0063330F">
        <w:trPr>
          <w:trHeight w:val="769"/>
        </w:trPr>
        <w:tc>
          <w:tcPr>
            <w:tcW w:w="4770" w:type="dxa"/>
            <w:tcBorders>
              <w:bottom w:val="single" w:sz="4" w:space="0" w:color="auto"/>
              <w:right w:val="single" w:sz="4" w:space="0" w:color="auto"/>
            </w:tcBorders>
            <w:shd w:val="clear" w:color="auto" w:fill="auto"/>
          </w:tcPr>
          <w:p w14:paraId="5E264BC3" w14:textId="77777777" w:rsidR="002042CB" w:rsidRPr="007A53F7" w:rsidRDefault="002042CB" w:rsidP="0063330F">
            <w:pPr>
              <w:tabs>
                <w:tab w:val="clear" w:pos="720"/>
              </w:tabs>
              <w:spacing w:after="120" w:line="240" w:lineRule="auto"/>
            </w:pPr>
            <w:r w:rsidRPr="007A53F7">
              <w:t xml:space="preserve">In re </w:t>
            </w:r>
            <w:r>
              <w:t>RANDY C.</w:t>
            </w:r>
            <w:r w:rsidRPr="007A53F7">
              <w:t>, a Person Coming Under the Juvenile Court Law.</w:t>
            </w:r>
          </w:p>
        </w:tc>
        <w:tc>
          <w:tcPr>
            <w:tcW w:w="4631" w:type="dxa"/>
            <w:tcBorders>
              <w:left w:val="single" w:sz="4" w:space="0" w:color="auto"/>
            </w:tcBorders>
            <w:shd w:val="clear" w:color="auto" w:fill="auto"/>
          </w:tcPr>
          <w:p w14:paraId="7E356F59" w14:textId="77777777" w:rsidR="002042CB" w:rsidRPr="007A53F7" w:rsidRDefault="002042CB" w:rsidP="0063330F">
            <w:pPr>
              <w:tabs>
                <w:tab w:val="clear" w:pos="720"/>
              </w:tabs>
              <w:spacing w:line="240" w:lineRule="auto"/>
            </w:pPr>
          </w:p>
        </w:tc>
      </w:tr>
      <w:tr w:rsidR="000279B7" w14:paraId="734A524F" w14:textId="77777777" w:rsidTr="00DD202A">
        <w:trPr>
          <w:trHeight w:val="2285"/>
        </w:trPr>
        <w:tc>
          <w:tcPr>
            <w:tcW w:w="4770" w:type="dxa"/>
            <w:tcBorders>
              <w:top w:val="single" w:sz="4" w:space="0" w:color="auto"/>
              <w:bottom w:val="single" w:sz="4" w:space="0" w:color="auto"/>
              <w:right w:val="single" w:sz="4" w:space="0" w:color="auto"/>
            </w:tcBorders>
            <w:shd w:val="clear" w:color="auto" w:fill="auto"/>
          </w:tcPr>
          <w:p w14:paraId="36BCF158" w14:textId="77777777" w:rsidR="002042CB" w:rsidRPr="007A53F7" w:rsidRDefault="002042CB" w:rsidP="0063330F">
            <w:pPr>
              <w:tabs>
                <w:tab w:val="clear" w:pos="720"/>
              </w:tabs>
              <w:spacing w:before="120" w:after="120" w:line="240" w:lineRule="auto"/>
            </w:pPr>
            <w:r w:rsidRPr="007A53F7">
              <w:t>THE PEOPLE,</w:t>
            </w:r>
          </w:p>
          <w:p w14:paraId="0983940A" w14:textId="77777777" w:rsidR="002042CB" w:rsidRPr="007A53F7" w:rsidRDefault="002042CB" w:rsidP="0063330F">
            <w:pPr>
              <w:tabs>
                <w:tab w:val="clear" w:pos="720"/>
              </w:tabs>
              <w:spacing w:after="120" w:line="240" w:lineRule="auto"/>
            </w:pPr>
            <w:r w:rsidRPr="007A53F7">
              <w:tab/>
              <w:t>Plaintiff and Respondent,</w:t>
            </w:r>
          </w:p>
          <w:p w14:paraId="17D2F9A9" w14:textId="77777777" w:rsidR="002042CB" w:rsidRPr="007A53F7" w:rsidRDefault="002042CB" w:rsidP="0063330F">
            <w:pPr>
              <w:tabs>
                <w:tab w:val="clear" w:pos="720"/>
              </w:tabs>
              <w:spacing w:after="120" w:line="240" w:lineRule="auto"/>
            </w:pPr>
            <w:r w:rsidRPr="007A53F7">
              <w:t>v.</w:t>
            </w:r>
          </w:p>
          <w:p w14:paraId="13C07A73" w14:textId="77777777" w:rsidR="002042CB" w:rsidRPr="007A53F7" w:rsidRDefault="002042CB" w:rsidP="0063330F">
            <w:pPr>
              <w:tabs>
                <w:tab w:val="clear" w:pos="720"/>
              </w:tabs>
              <w:spacing w:after="120" w:line="240" w:lineRule="auto"/>
            </w:pPr>
            <w:r>
              <w:t>RANDY C.</w:t>
            </w:r>
            <w:r w:rsidRPr="007A53F7">
              <w:t>,</w:t>
            </w:r>
          </w:p>
          <w:p w14:paraId="5A264E24" w14:textId="77777777" w:rsidR="002042CB" w:rsidRPr="007A53F7" w:rsidRDefault="002042CB" w:rsidP="0063330F">
            <w:pPr>
              <w:tabs>
                <w:tab w:val="clear" w:pos="720"/>
              </w:tabs>
              <w:spacing w:after="120" w:line="240" w:lineRule="auto"/>
            </w:pPr>
            <w:r w:rsidRPr="007A53F7">
              <w:tab/>
              <w:t>Defendant and Appellant.</w:t>
            </w:r>
          </w:p>
        </w:tc>
        <w:tc>
          <w:tcPr>
            <w:tcW w:w="4631" w:type="dxa"/>
            <w:tcBorders>
              <w:left w:val="single" w:sz="4" w:space="0" w:color="auto"/>
            </w:tcBorders>
            <w:shd w:val="clear" w:color="auto" w:fill="auto"/>
          </w:tcPr>
          <w:p w14:paraId="0A90960B" w14:textId="77777777" w:rsidR="002042CB" w:rsidRDefault="002042CB" w:rsidP="0063330F">
            <w:pPr>
              <w:tabs>
                <w:tab w:val="clear" w:pos="720"/>
              </w:tabs>
              <w:spacing w:before="120" w:after="120" w:line="240" w:lineRule="auto"/>
            </w:pPr>
          </w:p>
          <w:p w14:paraId="67D8EB1A" w14:textId="77777777" w:rsidR="002042CB" w:rsidRPr="007A53F7" w:rsidRDefault="002042CB" w:rsidP="0063330F">
            <w:pPr>
              <w:tabs>
                <w:tab w:val="clear" w:pos="720"/>
              </w:tabs>
              <w:spacing w:after="120" w:line="240" w:lineRule="auto"/>
            </w:pPr>
            <w:r w:rsidRPr="007A53F7">
              <w:t xml:space="preserve">      A167331</w:t>
            </w:r>
          </w:p>
          <w:p w14:paraId="07C02CC0" w14:textId="77777777" w:rsidR="002042CB" w:rsidRPr="007A53F7" w:rsidRDefault="002042CB" w:rsidP="0063330F">
            <w:pPr>
              <w:tabs>
                <w:tab w:val="clear" w:pos="720"/>
              </w:tabs>
              <w:spacing w:after="120" w:line="240" w:lineRule="auto"/>
            </w:pPr>
          </w:p>
          <w:p w14:paraId="72816F3B" w14:textId="77777777" w:rsidR="002042CB" w:rsidRPr="007A53F7" w:rsidRDefault="002042CB" w:rsidP="0063330F">
            <w:pPr>
              <w:tabs>
                <w:tab w:val="clear" w:pos="720"/>
              </w:tabs>
              <w:spacing w:line="240" w:lineRule="auto"/>
            </w:pPr>
            <w:r w:rsidRPr="007A53F7">
              <w:t xml:space="preserve">      (Marin County</w:t>
            </w:r>
          </w:p>
          <w:p w14:paraId="6A950E16" w14:textId="77777777" w:rsidR="002042CB" w:rsidRPr="007A53F7" w:rsidRDefault="002042CB" w:rsidP="0063330F">
            <w:pPr>
              <w:tabs>
                <w:tab w:val="clear" w:pos="720"/>
              </w:tabs>
              <w:spacing w:line="240" w:lineRule="auto"/>
            </w:pPr>
            <w:r w:rsidRPr="007A53F7">
              <w:t xml:space="preserve">      Super. Ct. No.</w:t>
            </w:r>
            <w:r w:rsidRPr="007A53F7">
              <w:t xml:space="preserve"> </w:t>
            </w:r>
            <w:r w:rsidRPr="007A53F7">
              <w:t>JV27345</w:t>
            </w:r>
            <w:r w:rsidRPr="007A53F7">
              <w:t>A</w:t>
            </w:r>
            <w:r w:rsidRPr="007A53F7">
              <w:t>)</w:t>
            </w:r>
          </w:p>
        </w:tc>
      </w:tr>
    </w:tbl>
    <w:p w14:paraId="05448542" w14:textId="77777777" w:rsidR="002042CB" w:rsidRPr="007A53F7" w:rsidRDefault="002042CB" w:rsidP="0063330F">
      <w:pPr>
        <w:tabs>
          <w:tab w:val="clear" w:pos="720"/>
        </w:tabs>
        <w:spacing w:line="360" w:lineRule="auto"/>
      </w:pPr>
    </w:p>
    <w:p w14:paraId="30B8DF76" w14:textId="77777777" w:rsidR="002042CB" w:rsidRPr="007A53F7" w:rsidRDefault="002042CB" w:rsidP="0063330F">
      <w:pPr>
        <w:tabs>
          <w:tab w:val="clear" w:pos="720"/>
        </w:tabs>
        <w:spacing w:line="360" w:lineRule="auto"/>
      </w:pPr>
      <w:r w:rsidRPr="007A53F7">
        <w:tab/>
        <w:t>This is an appeal from a</w:t>
      </w:r>
      <w:r w:rsidRPr="007A53F7">
        <w:t xml:space="preserve"> juvenile court</w:t>
      </w:r>
      <w:r w:rsidRPr="007A53F7">
        <w:t xml:space="preserve"> order denying the motion of </w:t>
      </w:r>
      <w:r w:rsidRPr="007A53F7">
        <w:t>defendant</w:t>
      </w:r>
      <w:r w:rsidRPr="007A53F7">
        <w:t xml:space="preserve"> </w:t>
      </w:r>
      <w:r>
        <w:t>Randy C.</w:t>
      </w:r>
      <w:r w:rsidRPr="007A53F7">
        <w:t xml:space="preserve"> </w:t>
      </w:r>
      <w:r w:rsidRPr="007A53F7">
        <w:t>(</w:t>
      </w:r>
      <w:r w:rsidRPr="007A53F7">
        <w:t>minor</w:t>
      </w:r>
      <w:r w:rsidRPr="007A53F7">
        <w:t xml:space="preserve">) </w:t>
      </w:r>
      <w:r w:rsidRPr="007A53F7">
        <w:t xml:space="preserve">to suppress evidence pursuant to </w:t>
      </w:r>
      <w:r w:rsidRPr="007A53F7">
        <w:t>Welfare and Institutions</w:t>
      </w:r>
      <w:r w:rsidRPr="007A53F7">
        <w:t xml:space="preserve"> Code section </w:t>
      </w:r>
      <w:r w:rsidRPr="007A53F7">
        <w:t>700.1</w:t>
      </w:r>
      <w:r w:rsidRPr="007A53F7">
        <w:t xml:space="preserve"> (motion to suppress)</w:t>
      </w:r>
      <w:r w:rsidRPr="007A53F7">
        <w:t>.</w:t>
      </w:r>
      <w:r w:rsidRPr="007A53F7">
        <w:t xml:space="preserve">  </w:t>
      </w:r>
      <w:r w:rsidRPr="007A53F7">
        <w:t>Following</w:t>
      </w:r>
      <w:r w:rsidRPr="007A53F7">
        <w:t xml:space="preserve"> this ruling, </w:t>
      </w:r>
      <w:proofErr w:type="gramStart"/>
      <w:r w:rsidRPr="007A53F7">
        <w:t>minor</w:t>
      </w:r>
      <w:proofErr w:type="gramEnd"/>
      <w:r w:rsidRPr="007A53F7">
        <w:t xml:space="preserve"> admitted multiple f</w:t>
      </w:r>
      <w:r w:rsidRPr="007A53F7">
        <w:t>elony offenses</w:t>
      </w:r>
      <w:r w:rsidRPr="007A53F7">
        <w:t xml:space="preserve"> and the juvenile court issued an order declaring wardship over him.  </w:t>
      </w:r>
      <w:proofErr w:type="gramStart"/>
      <w:r w:rsidRPr="007A53F7">
        <w:t>Minor</w:t>
      </w:r>
      <w:proofErr w:type="gramEnd"/>
      <w:r w:rsidRPr="007A53F7">
        <w:t xml:space="preserve"> asks this court to reverse the denial of his motion to suppress, vacate his admissions, and vacate the wardship order on the </w:t>
      </w:r>
      <w:r>
        <w:t>grounds</w:t>
      </w:r>
      <w:r w:rsidRPr="007A53F7">
        <w:t xml:space="preserve"> that the search and seizure conducted by police </w:t>
      </w:r>
      <w:r>
        <w:t>were</w:t>
      </w:r>
      <w:r w:rsidRPr="007A53F7">
        <w:t xml:space="preserve"> unlawful.  We </w:t>
      </w:r>
      <w:r w:rsidRPr="007A53F7">
        <w:t>affirm</w:t>
      </w:r>
      <w:r w:rsidRPr="007A53F7">
        <w:t>.</w:t>
      </w:r>
    </w:p>
    <w:p w14:paraId="3F618B55" w14:textId="77777777" w:rsidR="002042CB" w:rsidRPr="007A53F7" w:rsidRDefault="002042CB" w:rsidP="0063330F">
      <w:pPr>
        <w:keepNext/>
        <w:tabs>
          <w:tab w:val="clear" w:pos="720"/>
        </w:tabs>
        <w:spacing w:line="360" w:lineRule="auto"/>
        <w:jc w:val="center"/>
        <w:rPr>
          <w:b/>
          <w:bCs/>
        </w:rPr>
      </w:pPr>
      <w:r w:rsidRPr="007A53F7">
        <w:rPr>
          <w:b/>
          <w:bCs/>
        </w:rPr>
        <w:t>FACTUAL AND PROCEDURAL BACKGROUND</w:t>
      </w:r>
    </w:p>
    <w:p w14:paraId="1C2B1113" w14:textId="77777777" w:rsidR="002042CB" w:rsidRPr="007A53F7" w:rsidRDefault="002042CB" w:rsidP="0063330F">
      <w:pPr>
        <w:tabs>
          <w:tab w:val="clear" w:pos="720"/>
        </w:tabs>
        <w:spacing w:line="360" w:lineRule="auto"/>
      </w:pPr>
      <w:r w:rsidRPr="007A53F7">
        <w:tab/>
      </w:r>
      <w:r w:rsidRPr="007A53F7">
        <w:t xml:space="preserve">On </w:t>
      </w:r>
      <w:r>
        <w:t>November 15</w:t>
      </w:r>
      <w:r w:rsidRPr="007A53F7">
        <w:t>, 202</w:t>
      </w:r>
      <w:r w:rsidRPr="007A53F7">
        <w:t>2</w:t>
      </w:r>
      <w:r w:rsidRPr="007A53F7">
        <w:t xml:space="preserve">, a wardship petition was filed pursuant to </w:t>
      </w:r>
      <w:r w:rsidRPr="007A53F7">
        <w:t xml:space="preserve">Welfare and Institutions Code </w:t>
      </w:r>
      <w:r w:rsidRPr="007A53F7">
        <w:t xml:space="preserve">section 602, </w:t>
      </w:r>
      <w:r>
        <w:t>subdivision (a)</w:t>
      </w:r>
      <w:r w:rsidRPr="007A53F7">
        <w:t xml:space="preserve">, alleging </w:t>
      </w:r>
      <w:r w:rsidRPr="007A53F7">
        <w:t xml:space="preserve">that </w:t>
      </w:r>
      <w:r w:rsidRPr="007A53F7">
        <w:t>minor committed</w:t>
      </w:r>
      <w:r w:rsidRPr="007A53F7">
        <w:t xml:space="preserve"> the following offenses</w:t>
      </w:r>
      <w:r w:rsidRPr="007A53F7">
        <w:t xml:space="preserve">: </w:t>
      </w:r>
      <w:r w:rsidRPr="007A53F7">
        <w:t xml:space="preserve"> </w:t>
      </w:r>
      <w:r w:rsidRPr="007A53F7">
        <w:t>possession of an assault weapon by a minor (Pen. Code, § 30605, subd. (a)</w:t>
      </w:r>
      <w:r w:rsidRPr="007A53F7">
        <w:t>;</w:t>
      </w:r>
      <w:r w:rsidRPr="007A53F7">
        <w:t xml:space="preserve"> count </w:t>
      </w:r>
      <w:r>
        <w:t>one</w:t>
      </w:r>
      <w:r w:rsidRPr="007A53F7">
        <w:t xml:space="preserve">); possession of a concealed </w:t>
      </w:r>
      <w:r w:rsidRPr="007A53F7">
        <w:lastRenderedPageBreak/>
        <w:t xml:space="preserve">firearm and ammunition in a vehicle by a minor (Pen. Code, § 25400, </w:t>
      </w:r>
      <w:r>
        <w:t>subds. (a)(1), (c)(6)</w:t>
      </w:r>
      <w:r w:rsidRPr="007A53F7">
        <w:t>;</w:t>
      </w:r>
      <w:r w:rsidRPr="007A53F7">
        <w:t xml:space="preserve"> count </w:t>
      </w:r>
      <w:r>
        <w:t>two</w:t>
      </w:r>
      <w:r w:rsidRPr="007A53F7">
        <w:t>); carrying a loaded firearm, nonregistered owner (Pen. Code, § 25850, subd. (a)</w:t>
      </w:r>
      <w:r w:rsidRPr="007A53F7">
        <w:t>;</w:t>
      </w:r>
      <w:r w:rsidRPr="007A53F7">
        <w:t xml:space="preserve"> count </w:t>
      </w:r>
      <w:r>
        <w:t>three</w:t>
      </w:r>
      <w:r w:rsidRPr="007A53F7">
        <w:t>); possession of a firearm by a minor (Pen. Code, § 29610</w:t>
      </w:r>
      <w:r w:rsidRPr="007A53F7">
        <w:t xml:space="preserve">; </w:t>
      </w:r>
      <w:r w:rsidRPr="007A53F7">
        <w:t xml:space="preserve">count </w:t>
      </w:r>
      <w:r>
        <w:t>four</w:t>
      </w:r>
      <w:r w:rsidRPr="007A53F7">
        <w:t>); possession of ammunition by a minor (Pen. Code, § 29650</w:t>
      </w:r>
      <w:r w:rsidRPr="007A53F7">
        <w:t>;</w:t>
      </w:r>
      <w:r w:rsidRPr="007A53F7">
        <w:t xml:space="preserve"> count </w:t>
      </w:r>
      <w:r>
        <w:t>five</w:t>
      </w:r>
      <w:r w:rsidRPr="007A53F7">
        <w:t>); and resisting an officer (</w:t>
      </w:r>
      <w:r w:rsidRPr="007A53F7">
        <w:t xml:space="preserve">Pen. Code, </w:t>
      </w:r>
      <w:r w:rsidRPr="007A53F7">
        <w:t xml:space="preserve">§ 148, </w:t>
      </w:r>
      <w:r>
        <w:t>subd. (a)(1)</w:t>
      </w:r>
      <w:r w:rsidRPr="007A53F7">
        <w:t>;</w:t>
      </w:r>
      <w:r w:rsidRPr="007A53F7">
        <w:t xml:space="preserve"> count </w:t>
      </w:r>
      <w:r>
        <w:t>six</w:t>
      </w:r>
      <w:r w:rsidRPr="007A53F7">
        <w:t>)</w:t>
      </w:r>
      <w:r w:rsidRPr="007A53F7">
        <w:t>.</w:t>
      </w:r>
    </w:p>
    <w:p w14:paraId="3B3ACD89" w14:textId="77777777" w:rsidR="002042CB" w:rsidRPr="007A53F7" w:rsidRDefault="002042CB" w:rsidP="0063330F">
      <w:pPr>
        <w:tabs>
          <w:tab w:val="clear" w:pos="720"/>
        </w:tabs>
        <w:spacing w:line="360" w:lineRule="auto"/>
      </w:pPr>
      <w:r w:rsidRPr="007A53F7">
        <w:tab/>
      </w:r>
      <w:r w:rsidRPr="007A53F7">
        <w:t xml:space="preserve">On </w:t>
      </w:r>
      <w:r>
        <w:t>November 29</w:t>
      </w:r>
      <w:r w:rsidRPr="007A53F7">
        <w:t>, 202</w:t>
      </w:r>
      <w:r w:rsidRPr="007A53F7">
        <w:t>2</w:t>
      </w:r>
      <w:r w:rsidRPr="007A53F7">
        <w:t xml:space="preserve">, </w:t>
      </w:r>
      <w:proofErr w:type="gramStart"/>
      <w:r w:rsidRPr="007A53F7">
        <w:t>minor</w:t>
      </w:r>
      <w:proofErr w:type="gramEnd"/>
      <w:r w:rsidRPr="007A53F7">
        <w:t xml:space="preserve"> </w:t>
      </w:r>
      <w:r w:rsidRPr="007A53F7">
        <w:t>moved</w:t>
      </w:r>
      <w:r w:rsidRPr="007A53F7">
        <w:t xml:space="preserve"> to suppress evidence</w:t>
      </w:r>
      <w:r w:rsidRPr="007A53F7">
        <w:t>, arguing th</w:t>
      </w:r>
      <w:r w:rsidRPr="007A53F7">
        <w:t>ere was no probable cause to search the vehicle</w:t>
      </w:r>
      <w:r w:rsidRPr="007A53F7">
        <w:t xml:space="preserve"> he was driving</w:t>
      </w:r>
      <w:r w:rsidRPr="007A53F7">
        <w:t xml:space="preserve">. </w:t>
      </w:r>
      <w:r w:rsidRPr="007A53F7">
        <w:t xml:space="preserve"> </w:t>
      </w:r>
      <w:r w:rsidRPr="007A53F7">
        <w:t>Following a contested hearing</w:t>
      </w:r>
      <w:r w:rsidRPr="007A53F7">
        <w:t>, t</w:t>
      </w:r>
      <w:r w:rsidRPr="007A53F7">
        <w:t xml:space="preserve">he juvenile court denied </w:t>
      </w:r>
      <w:r w:rsidRPr="007A53F7">
        <w:t>his mot</w:t>
      </w:r>
      <w:r>
        <w:t>ion</w:t>
      </w:r>
      <w:r w:rsidRPr="007A53F7">
        <w:t>.</w:t>
      </w:r>
    </w:p>
    <w:p w14:paraId="59EBCD1F" w14:textId="77777777" w:rsidR="002042CB" w:rsidRPr="007A53F7" w:rsidRDefault="002042CB" w:rsidP="0063330F">
      <w:pPr>
        <w:tabs>
          <w:tab w:val="clear" w:pos="720"/>
        </w:tabs>
        <w:spacing w:line="360" w:lineRule="auto"/>
      </w:pPr>
      <w:r w:rsidRPr="007A53F7">
        <w:tab/>
      </w:r>
      <w:r w:rsidRPr="007A53F7">
        <w:t xml:space="preserve">On </w:t>
      </w:r>
      <w:r>
        <w:t>December 6</w:t>
      </w:r>
      <w:r w:rsidRPr="007A53F7">
        <w:t xml:space="preserve">, 2022, </w:t>
      </w:r>
      <w:proofErr w:type="gramStart"/>
      <w:r w:rsidRPr="007A53F7">
        <w:t>minor</w:t>
      </w:r>
      <w:proofErr w:type="gramEnd"/>
      <w:r w:rsidRPr="007A53F7">
        <w:t xml:space="preserve"> </w:t>
      </w:r>
      <w:r w:rsidRPr="007A53F7">
        <w:t xml:space="preserve">admitted the felony offenses charged in counts </w:t>
      </w:r>
      <w:r>
        <w:t>one, two, and six</w:t>
      </w:r>
      <w:r w:rsidRPr="007A53F7">
        <w:t>,</w:t>
      </w:r>
      <w:r w:rsidRPr="007A53F7">
        <w:t xml:space="preserve"> and t</w:t>
      </w:r>
      <w:r w:rsidRPr="007A53F7">
        <w:t>he remaining counts were</w:t>
      </w:r>
      <w:r w:rsidRPr="007A53F7">
        <w:t xml:space="preserve"> </w:t>
      </w:r>
      <w:r w:rsidRPr="007A53F7">
        <w:t>dismissed</w:t>
      </w:r>
      <w:r w:rsidRPr="007A53F7">
        <w:t xml:space="preserve"> pursuant to a negotiated </w:t>
      </w:r>
      <w:r w:rsidRPr="007A53F7">
        <w:t>plea deal</w:t>
      </w:r>
      <w:r w:rsidRPr="007A53F7">
        <w:t>.</w:t>
      </w:r>
    </w:p>
    <w:p w14:paraId="4628FB9F" w14:textId="77777777" w:rsidR="002042CB" w:rsidRPr="007A53F7" w:rsidRDefault="002042CB" w:rsidP="0063330F">
      <w:pPr>
        <w:tabs>
          <w:tab w:val="clear" w:pos="720"/>
        </w:tabs>
        <w:spacing w:line="360" w:lineRule="auto"/>
      </w:pPr>
      <w:r w:rsidRPr="007A53F7">
        <w:tab/>
        <w:t xml:space="preserve">On </w:t>
      </w:r>
      <w:r>
        <w:t>January 3</w:t>
      </w:r>
      <w:r w:rsidRPr="007A53F7">
        <w:t xml:space="preserve">, 2023, a dispositional hearing was held.  </w:t>
      </w:r>
      <w:r w:rsidRPr="007A53F7">
        <w:t>T</w:t>
      </w:r>
      <w:r w:rsidRPr="007A53F7">
        <w:t>he juvenile court declared wardship and committed minor to juvenile hall for 274 days with 55 days of credit for time served.  This timely appeal followed.</w:t>
      </w:r>
    </w:p>
    <w:p w14:paraId="2D49E90A" w14:textId="77777777" w:rsidR="002042CB" w:rsidRPr="007A53F7" w:rsidRDefault="002042CB" w:rsidP="0063330F">
      <w:pPr>
        <w:keepNext/>
        <w:tabs>
          <w:tab w:val="clear" w:pos="720"/>
        </w:tabs>
        <w:spacing w:line="360" w:lineRule="auto"/>
        <w:jc w:val="center"/>
        <w:rPr>
          <w:b/>
          <w:bCs/>
        </w:rPr>
      </w:pPr>
      <w:r w:rsidRPr="007A53F7">
        <w:rPr>
          <w:b/>
          <w:bCs/>
        </w:rPr>
        <w:t>DISCUSSION</w:t>
      </w:r>
    </w:p>
    <w:p w14:paraId="077DFC27" w14:textId="77777777" w:rsidR="002042CB" w:rsidRPr="007A53F7" w:rsidRDefault="002042CB" w:rsidP="0063330F">
      <w:pPr>
        <w:tabs>
          <w:tab w:val="clear" w:pos="720"/>
        </w:tabs>
        <w:spacing w:line="360" w:lineRule="auto"/>
      </w:pPr>
      <w:r w:rsidRPr="007A53F7">
        <w:tab/>
      </w:r>
      <w:r w:rsidRPr="007A53F7">
        <w:t>Defendant se</w:t>
      </w:r>
      <w:r w:rsidRPr="007A53F7">
        <w:t>eks reversal of the</w:t>
      </w:r>
      <w:r w:rsidRPr="007A53F7">
        <w:t xml:space="preserve"> order denying his motion to suppress</w:t>
      </w:r>
      <w:r w:rsidRPr="007A53F7">
        <w:t>,</w:t>
      </w:r>
      <w:r w:rsidRPr="007A53F7">
        <w:t xml:space="preserve"> vacation of his admission</w:t>
      </w:r>
      <w:r w:rsidRPr="007A53F7">
        <w:t>s</w:t>
      </w:r>
      <w:r w:rsidRPr="007A53F7">
        <w:t xml:space="preserve"> to the allegations </w:t>
      </w:r>
      <w:r w:rsidRPr="007A53F7">
        <w:t>against him, and vacation of</w:t>
      </w:r>
      <w:r w:rsidRPr="007A53F7">
        <w:t xml:space="preserve"> the wardship petition.  Defendant reasons</w:t>
      </w:r>
      <w:r w:rsidRPr="007A53F7">
        <w:t xml:space="preserve"> </w:t>
      </w:r>
      <w:r w:rsidRPr="007A53F7">
        <w:t xml:space="preserve">the police search of his vehicle was not justified since the marijuana </w:t>
      </w:r>
      <w:r w:rsidRPr="007A53F7">
        <w:t xml:space="preserve">that was discovered </w:t>
      </w:r>
      <w:r w:rsidRPr="007A53F7">
        <w:t>was in the exclusive possession of the adult passenger, there was no substantial evidence that t</w:t>
      </w:r>
      <w:r w:rsidRPr="007A53F7">
        <w:t>he marijuana</w:t>
      </w:r>
      <w:r w:rsidRPr="007A53F7">
        <w:t xml:space="preserve"> was </w:t>
      </w:r>
      <w:r>
        <w:t xml:space="preserve">of </w:t>
      </w:r>
      <w:r w:rsidRPr="007A53F7">
        <w:t>an illegal amoun</w:t>
      </w:r>
      <w:r w:rsidRPr="007A53F7">
        <w:t>t</w:t>
      </w:r>
      <w:r w:rsidRPr="007A53F7">
        <w:t xml:space="preserve"> or in a</w:t>
      </w:r>
      <w:r w:rsidRPr="007A53F7">
        <w:t>n</w:t>
      </w:r>
      <w:r w:rsidRPr="007A53F7">
        <w:t xml:space="preserve"> </w:t>
      </w:r>
      <w:r w:rsidRPr="007A53F7">
        <w:t>open</w:t>
      </w:r>
      <w:r w:rsidRPr="007A53F7">
        <w:t xml:space="preserve"> container</w:t>
      </w:r>
      <w:r w:rsidRPr="007A53F7">
        <w:t>, and the odor of marijuana without evidence of illegal activity does not fur</w:t>
      </w:r>
      <w:r w:rsidRPr="007A53F7">
        <w:t>nish probable cause to searc</w:t>
      </w:r>
      <w:r w:rsidRPr="007A53F7">
        <w:t xml:space="preserve">h a </w:t>
      </w:r>
      <w:r w:rsidRPr="007A53F7">
        <w:t>vehicle for additional marijuana</w:t>
      </w:r>
      <w:r w:rsidRPr="007A53F7">
        <w:t>.</w:t>
      </w:r>
    </w:p>
    <w:p w14:paraId="073F1DA4" w14:textId="77777777" w:rsidR="002042CB" w:rsidRPr="0063330F" w:rsidRDefault="002042CB" w:rsidP="00DF74E4">
      <w:pPr>
        <w:pStyle w:val="ListParagraph"/>
        <w:keepNext/>
        <w:numPr>
          <w:ilvl w:val="0"/>
          <w:numId w:val="2"/>
        </w:numPr>
        <w:tabs>
          <w:tab w:val="clear" w:pos="720"/>
        </w:tabs>
        <w:spacing w:line="360" w:lineRule="auto"/>
        <w:ind w:left="720"/>
        <w:rPr>
          <w:b/>
          <w:bCs/>
          <w:i/>
          <w:iCs/>
        </w:rPr>
      </w:pPr>
      <w:r w:rsidRPr="0063330F">
        <w:rPr>
          <w:b/>
          <w:bCs/>
          <w:i/>
          <w:iCs/>
        </w:rPr>
        <w:t>Legal Framework.</w:t>
      </w:r>
    </w:p>
    <w:p w14:paraId="1B60DC45" w14:textId="77777777" w:rsidR="002042CB" w:rsidRPr="007A53F7" w:rsidRDefault="002042CB" w:rsidP="0063330F">
      <w:pPr>
        <w:tabs>
          <w:tab w:val="clear" w:pos="720"/>
        </w:tabs>
        <w:spacing w:line="360" w:lineRule="auto"/>
        <w:rPr>
          <w:shd w:val="clear" w:color="auto" w:fill="FFFFFF"/>
        </w:rPr>
      </w:pPr>
      <w:r w:rsidRPr="007A53F7">
        <w:tab/>
      </w:r>
      <w:r w:rsidRPr="007A53F7">
        <w:rPr>
          <w:shd w:val="clear" w:color="auto" w:fill="FFFFFF"/>
        </w:rPr>
        <w:t>The</w:t>
      </w:r>
      <w:r w:rsidRPr="007A53F7">
        <w:rPr>
          <w:shd w:val="clear" w:color="auto" w:fill="FFFFFF"/>
        </w:rPr>
        <w:t xml:space="preserve"> </w:t>
      </w:r>
      <w:r w:rsidRPr="007A53F7">
        <w:rPr>
          <w:shd w:val="clear" w:color="auto" w:fill="FFFFFF"/>
        </w:rPr>
        <w:t>Fourth Amendment of the United States Constitution</w:t>
      </w:r>
      <w:r w:rsidRPr="007A53F7">
        <w:rPr>
          <w:shd w:val="clear" w:color="auto" w:fill="FFFFFF"/>
        </w:rPr>
        <w:t xml:space="preserve"> </w:t>
      </w:r>
      <w:r w:rsidRPr="007A53F7">
        <w:rPr>
          <w:shd w:val="clear" w:color="auto" w:fill="FFFFFF"/>
        </w:rPr>
        <w:t>protects against unreasonable searches and seizures</w:t>
      </w:r>
      <w:r w:rsidRPr="007A53F7">
        <w:rPr>
          <w:shd w:val="clear" w:color="auto" w:fill="FFFFFF"/>
        </w:rPr>
        <w:t xml:space="preserve">.  (U.S. Const., </w:t>
      </w:r>
      <w:r w:rsidRPr="007A53F7">
        <w:rPr>
          <w:shd w:val="clear" w:color="auto" w:fill="FFFFFF"/>
        </w:rPr>
        <w:t>4</w:t>
      </w:r>
      <w:r w:rsidRPr="007A53F7">
        <w:rPr>
          <w:shd w:val="clear" w:color="auto" w:fill="FFFFFF"/>
        </w:rPr>
        <w:t>th</w:t>
      </w:r>
      <w:r w:rsidRPr="007A53F7">
        <w:rPr>
          <w:shd w:val="clear" w:color="auto" w:fill="FFFFFF"/>
        </w:rPr>
        <w:t xml:space="preserve"> Amend</w:t>
      </w:r>
      <w:r w:rsidRPr="007A53F7">
        <w:rPr>
          <w:shd w:val="clear" w:color="auto" w:fill="FFFFFF"/>
        </w:rPr>
        <w:t xml:space="preserve">.)  To </w:t>
      </w:r>
      <w:r w:rsidRPr="007A53F7">
        <w:rPr>
          <w:shd w:val="clear" w:color="auto" w:fill="FFFFFF"/>
        </w:rPr>
        <w:lastRenderedPageBreak/>
        <w:t>that end, a</w:t>
      </w:r>
      <w:r w:rsidRPr="007A53F7">
        <w:rPr>
          <w:shd w:val="clear" w:color="auto" w:fill="FFFFFF"/>
        </w:rPr>
        <w:t>n</w:t>
      </w:r>
      <w:r w:rsidRPr="007A53F7">
        <w:rPr>
          <w:shd w:val="clear" w:color="auto" w:fill="FFFFFF"/>
        </w:rPr>
        <w:t xml:space="preserve"> officer generally must secure </w:t>
      </w:r>
      <w:r w:rsidRPr="007A53F7">
        <w:rPr>
          <w:shd w:val="clear" w:color="auto" w:fill="FFFFFF"/>
        </w:rPr>
        <w:t xml:space="preserve">a warrant before </w:t>
      </w:r>
      <w:r w:rsidRPr="007A53F7">
        <w:rPr>
          <w:shd w:val="clear" w:color="auto" w:fill="FFFFFF"/>
        </w:rPr>
        <w:t>conducting</w:t>
      </w:r>
      <w:r w:rsidRPr="007A53F7">
        <w:rPr>
          <w:shd w:val="clear" w:color="auto" w:fill="FFFFFF"/>
        </w:rPr>
        <w:t xml:space="preserve"> a search</w:t>
      </w:r>
      <w:r w:rsidRPr="007A53F7">
        <w:rPr>
          <w:shd w:val="clear" w:color="auto" w:fill="FFFFFF"/>
        </w:rPr>
        <w:t xml:space="preserve"> </w:t>
      </w:r>
      <w:proofErr w:type="gramStart"/>
      <w:r w:rsidRPr="007A53F7">
        <w:rPr>
          <w:shd w:val="clear" w:color="auto" w:fill="FFFFFF"/>
        </w:rPr>
        <w:t>of</w:t>
      </w:r>
      <w:proofErr w:type="gramEnd"/>
      <w:r w:rsidRPr="007A53F7">
        <w:rPr>
          <w:shd w:val="clear" w:color="auto" w:fill="FFFFFF"/>
        </w:rPr>
        <w:t xml:space="preserve"> private property</w:t>
      </w:r>
      <w:r w:rsidRPr="007A53F7">
        <w:rPr>
          <w:shd w:val="clear" w:color="auto" w:fill="FFFFFF"/>
        </w:rPr>
        <w:t xml:space="preserve">. </w:t>
      </w:r>
      <w:r w:rsidRPr="007A53F7">
        <w:rPr>
          <w:shd w:val="clear" w:color="auto" w:fill="FFFFFF"/>
        </w:rPr>
        <w:t xml:space="preserve"> </w:t>
      </w:r>
      <w:r w:rsidRPr="007A53F7">
        <w:rPr>
          <w:shd w:val="clear" w:color="auto" w:fill="FFFFFF"/>
        </w:rPr>
        <w:t>“</w:t>
      </w:r>
      <w:r w:rsidRPr="007A53F7">
        <w:rPr>
          <w:shd w:val="clear" w:color="auto" w:fill="FFFFFF"/>
        </w:rPr>
        <w:t xml:space="preserve">Warrantless searches </w:t>
      </w:r>
      <w:r w:rsidRPr="007A53F7">
        <w:rPr>
          <w:shd w:val="clear" w:color="auto" w:fill="FFFFFF"/>
        </w:rPr>
        <w:t>‘</w:t>
      </w:r>
      <w:r w:rsidRPr="007A53F7">
        <w:rPr>
          <w:shd w:val="clear" w:color="auto" w:fill="FFFFFF"/>
        </w:rPr>
        <w:t xml:space="preserve">are </w:t>
      </w:r>
      <w:r>
        <w:rPr>
          <w:i/>
          <w:iCs/>
          <w:shd w:val="clear" w:color="auto" w:fill="FFFFFF"/>
        </w:rPr>
        <w:t>per se</w:t>
      </w:r>
      <w:r w:rsidRPr="007A53F7">
        <w:rPr>
          <w:shd w:val="clear" w:color="auto" w:fill="FFFFFF"/>
        </w:rPr>
        <w:t xml:space="preserve"> unreasonable under the</w:t>
      </w:r>
      <w:r w:rsidRPr="007A53F7">
        <w:rPr>
          <w:shd w:val="clear" w:color="auto" w:fill="FFFFFF"/>
        </w:rPr>
        <w:t xml:space="preserve"> </w:t>
      </w:r>
      <w:r w:rsidRPr="007A53F7">
        <w:rPr>
          <w:shd w:val="clear" w:color="auto" w:fill="FFFFFF"/>
        </w:rPr>
        <w:t>Fourth Amendment</w:t>
      </w:r>
      <w:r w:rsidRPr="007A53F7">
        <w:rPr>
          <w:shd w:val="clear" w:color="auto" w:fill="FFFFFF"/>
        </w:rPr>
        <w:t>—subject only to a few specifically established and well-delineated exceptions.</w:t>
      </w:r>
      <w:r w:rsidRPr="007A53F7">
        <w:rPr>
          <w:shd w:val="clear" w:color="auto" w:fill="FFFFFF"/>
        </w:rPr>
        <w:t>’</w:t>
      </w:r>
      <w:r w:rsidRPr="007A53F7">
        <w:rPr>
          <w:shd w:val="clear" w:color="auto" w:fill="FFFFFF"/>
        </w:rPr>
        <w:t xml:space="preserve"> </w:t>
      </w:r>
      <w:r w:rsidRPr="007A53F7">
        <w:rPr>
          <w:shd w:val="clear" w:color="auto" w:fill="FFFFFF"/>
        </w:rPr>
        <w:t xml:space="preserve"> </w:t>
      </w:r>
      <w:r w:rsidRPr="007A53F7">
        <w:rPr>
          <w:shd w:val="clear" w:color="auto" w:fill="FFFFFF"/>
        </w:rPr>
        <w:t>(</w:t>
      </w:r>
      <w:r w:rsidRPr="007A53F7">
        <w:rPr>
          <w:i/>
          <w:iCs/>
          <w:shd w:val="clear" w:color="auto" w:fill="FFFFFF"/>
        </w:rPr>
        <w:t xml:space="preserve">Katz v. </w:t>
      </w:r>
      <w:r w:rsidRPr="007A53F7">
        <w:rPr>
          <w:i/>
          <w:iCs/>
          <w:shd w:val="clear" w:color="auto" w:fill="FFFFFF"/>
        </w:rPr>
        <w:t>United States</w:t>
      </w:r>
      <w:r w:rsidRPr="007A53F7">
        <w:rPr>
          <w:shd w:val="clear" w:color="auto" w:fill="FFFFFF"/>
        </w:rPr>
        <w:t xml:space="preserve"> (1967) 389 U.S. 347, 357 [19 L.Ed.2d 576, 88 </w:t>
      </w:r>
      <w:proofErr w:type="spellStart"/>
      <w:r w:rsidRPr="007A53F7">
        <w:rPr>
          <w:shd w:val="clear" w:color="auto" w:fill="FFFFFF"/>
        </w:rPr>
        <w:t>S.Ct</w:t>
      </w:r>
      <w:proofErr w:type="spellEnd"/>
      <w:r w:rsidRPr="007A53F7">
        <w:rPr>
          <w:shd w:val="clear" w:color="auto" w:fill="FFFFFF"/>
        </w:rPr>
        <w:t>. 507]</w:t>
      </w:r>
      <w:r w:rsidRPr="007A53F7">
        <w:rPr>
          <w:shd w:val="clear" w:color="auto" w:fill="FFFFFF"/>
        </w:rPr>
        <w:t xml:space="preserve">, </w:t>
      </w:r>
      <w:proofErr w:type="spellStart"/>
      <w:r w:rsidRPr="007A53F7">
        <w:rPr>
          <w:shd w:val="clear" w:color="auto" w:fill="FFFFFF"/>
        </w:rPr>
        <w:t>fn</w:t>
      </w:r>
      <w:r w:rsidRPr="007A53F7">
        <w:rPr>
          <w:shd w:val="clear" w:color="auto" w:fill="FFFFFF"/>
        </w:rPr>
        <w:t>s</w:t>
      </w:r>
      <w:proofErr w:type="spellEnd"/>
      <w:r w:rsidRPr="007A53F7">
        <w:rPr>
          <w:shd w:val="clear" w:color="auto" w:fill="FFFFFF"/>
        </w:rPr>
        <w:t xml:space="preserve">. </w:t>
      </w:r>
      <w:r w:rsidRPr="007A53F7">
        <w:rPr>
          <w:shd w:val="clear" w:color="auto" w:fill="FFFFFF"/>
        </w:rPr>
        <w:t>o</w:t>
      </w:r>
      <w:r w:rsidRPr="007A53F7">
        <w:rPr>
          <w:shd w:val="clear" w:color="auto" w:fill="FFFFFF"/>
        </w:rPr>
        <w:t>mitted</w:t>
      </w:r>
      <w:r w:rsidRPr="007A53F7">
        <w:rPr>
          <w:shd w:val="clear" w:color="auto" w:fill="FFFFFF"/>
        </w:rPr>
        <w:t>; [citation]</w:t>
      </w:r>
      <w:r w:rsidRPr="007A53F7">
        <w:rPr>
          <w:shd w:val="clear" w:color="auto" w:fill="FFFFFF"/>
        </w:rPr>
        <w:t>.)</w:t>
      </w:r>
      <w:r w:rsidRPr="007A53F7">
        <w:rPr>
          <w:shd w:val="clear" w:color="auto" w:fill="FFFFFF"/>
        </w:rPr>
        <w:t>”</w:t>
      </w:r>
      <w:r w:rsidRPr="007A53F7">
        <w:rPr>
          <w:shd w:val="clear" w:color="auto" w:fill="FFFFFF"/>
        </w:rPr>
        <w:t xml:space="preserve"> </w:t>
      </w:r>
      <w:r w:rsidRPr="007A53F7">
        <w:rPr>
          <w:shd w:val="clear" w:color="auto" w:fill="FFFFFF"/>
        </w:rPr>
        <w:t xml:space="preserve"> (</w:t>
      </w:r>
      <w:r w:rsidRPr="007A53F7">
        <w:rPr>
          <w:i/>
          <w:iCs/>
          <w:shd w:val="clear" w:color="auto" w:fill="FFFFFF"/>
        </w:rPr>
        <w:t>People v. Lopez</w:t>
      </w:r>
      <w:r w:rsidRPr="007A53F7">
        <w:rPr>
          <w:shd w:val="clear" w:color="auto" w:fill="FFFFFF"/>
        </w:rPr>
        <w:t xml:space="preserve"> (2019) 8 Cal.5th</w:t>
      </w:r>
      <w:r w:rsidRPr="0063330F">
        <w:rPr>
          <w:shd w:val="clear" w:color="auto" w:fill="FFFFFF"/>
        </w:rPr>
        <w:t xml:space="preserve"> </w:t>
      </w:r>
      <w:r w:rsidRPr="007A53F7">
        <w:rPr>
          <w:shd w:val="clear" w:color="auto" w:fill="FFFFFF"/>
        </w:rPr>
        <w:t xml:space="preserve">353, 359.)  </w:t>
      </w:r>
      <w:r w:rsidRPr="007A53F7">
        <w:rPr>
          <w:shd w:val="clear" w:color="auto" w:fill="FFFFFF"/>
        </w:rPr>
        <w:t>The prosecution bears the burden of proving the applicability of an exception.  (</w:t>
      </w:r>
      <w:r w:rsidRPr="007A53F7">
        <w:rPr>
          <w:i/>
          <w:iCs/>
          <w:shd w:val="clear" w:color="auto" w:fill="FFFFFF"/>
        </w:rPr>
        <w:t>People v. Castro</w:t>
      </w:r>
      <w:r w:rsidRPr="007A53F7">
        <w:rPr>
          <w:shd w:val="clear" w:color="auto" w:fill="FFFFFF"/>
        </w:rPr>
        <w:t xml:space="preserve"> (2022) 86 Cal.App.5th 314, </w:t>
      </w:r>
      <w:r w:rsidRPr="007A53F7">
        <w:rPr>
          <w:shd w:val="clear" w:color="auto" w:fill="FFFFFF"/>
        </w:rPr>
        <w:t>319</w:t>
      </w:r>
      <w:r w:rsidRPr="007A53F7">
        <w:rPr>
          <w:shd w:val="clear" w:color="auto" w:fill="FFFFFF"/>
        </w:rPr>
        <w:t xml:space="preserve"> (</w:t>
      </w:r>
      <w:r w:rsidRPr="007A53F7">
        <w:rPr>
          <w:i/>
          <w:iCs/>
          <w:shd w:val="clear" w:color="auto" w:fill="FFFFFF"/>
        </w:rPr>
        <w:t>Castro</w:t>
      </w:r>
      <w:r w:rsidRPr="007A53F7">
        <w:rPr>
          <w:shd w:val="clear" w:color="auto" w:fill="FFFFFF"/>
        </w:rPr>
        <w:t>)</w:t>
      </w:r>
      <w:r w:rsidRPr="007A53F7">
        <w:rPr>
          <w:shd w:val="clear" w:color="auto" w:fill="FFFFFF"/>
        </w:rPr>
        <w:t>.)</w:t>
      </w:r>
    </w:p>
    <w:p w14:paraId="6DEF05AD" w14:textId="77777777" w:rsidR="002042CB" w:rsidRPr="007A53F7" w:rsidRDefault="002042CB" w:rsidP="0063330F">
      <w:pPr>
        <w:tabs>
          <w:tab w:val="clear" w:pos="720"/>
        </w:tabs>
        <w:spacing w:line="360" w:lineRule="auto"/>
        <w:rPr>
          <w:shd w:val="clear" w:color="auto" w:fill="FFFFFF"/>
        </w:rPr>
      </w:pPr>
      <w:r w:rsidRPr="007A53F7">
        <w:rPr>
          <w:shd w:val="clear" w:color="auto" w:fill="FFFFFF"/>
        </w:rPr>
        <w:tab/>
        <w:t>“</w:t>
      </w:r>
      <w:r w:rsidRPr="007A53F7">
        <w:rPr>
          <w:rStyle w:val="ssrfcsection"/>
          <w:bdr w:val="none" w:sz="0" w:space="0" w:color="auto" w:frame="1"/>
          <w:shd w:val="clear" w:color="auto" w:fill="FFFFFF"/>
        </w:rPr>
        <w:t>One such exception</w:t>
      </w:r>
      <w:r w:rsidRPr="007A53F7">
        <w:rPr>
          <w:rStyle w:val="ssrfcsection"/>
          <w:bdr w:val="none" w:sz="0" w:space="0" w:color="auto" w:frame="1"/>
          <w:shd w:val="clear" w:color="auto" w:fill="FFFFFF"/>
        </w:rPr>
        <w:t xml:space="preserve"> </w:t>
      </w:r>
      <w:r w:rsidRPr="007A53F7">
        <w:rPr>
          <w:rStyle w:val="ssrfcsection"/>
          <w:bdr w:val="none" w:sz="0" w:space="0" w:color="auto" w:frame="1"/>
          <w:shd w:val="clear" w:color="auto" w:fill="FFFFFF"/>
        </w:rPr>
        <w:t xml:space="preserve">to the warrant requirement is the automobile exception, under which an officer may search a vehicle without a warrant so long as the officer has probable cause to believe the vehicle contains contraband or evidence of a </w:t>
      </w:r>
      <w:r>
        <w:rPr>
          <w:rStyle w:val="ssrfcsection"/>
          <w:bdr w:val="none" w:sz="0" w:space="0" w:color="auto" w:frame="1"/>
          <w:shd w:val="clear" w:color="auto" w:fill="FFFFFF"/>
        </w:rPr>
        <w:t xml:space="preserve">crime.  </w:t>
      </w:r>
      <w:r w:rsidRPr="007A53F7">
        <w:rPr>
          <w:rStyle w:val="ssrfcsection"/>
          <w:bdr w:val="none" w:sz="0" w:space="0" w:color="auto" w:frame="1"/>
          <w:shd w:val="clear" w:color="auto" w:fill="FFFFFF"/>
        </w:rPr>
        <w:t xml:space="preserve">[Citation.] </w:t>
      </w:r>
      <w:r w:rsidRPr="007A53F7">
        <w:rPr>
          <w:rStyle w:val="ssrfcsection"/>
          <w:bdr w:val="none" w:sz="0" w:space="0" w:color="auto" w:frame="1"/>
          <w:shd w:val="clear" w:color="auto" w:fill="FFFFFF"/>
        </w:rPr>
        <w:t xml:space="preserve"> </w:t>
      </w:r>
      <w:r w:rsidRPr="007A53F7">
        <w:rPr>
          <w:rStyle w:val="ssrfcsection"/>
          <w:bdr w:val="none" w:sz="0" w:space="0" w:color="auto" w:frame="1"/>
          <w:shd w:val="clear" w:color="auto" w:fill="FFFFFF"/>
        </w:rPr>
        <w:t xml:space="preserve">‘Probable cause is a more demanding standard than mere reasonable suspicion.’ </w:t>
      </w:r>
      <w:r w:rsidRPr="007A53F7">
        <w:rPr>
          <w:rStyle w:val="ssrfcsection"/>
          <w:bdr w:val="none" w:sz="0" w:space="0" w:color="auto" w:frame="1"/>
          <w:shd w:val="clear" w:color="auto" w:fill="FFFFFF"/>
        </w:rPr>
        <w:t xml:space="preserve"> </w:t>
      </w:r>
      <w:r w:rsidRPr="007A53F7">
        <w:rPr>
          <w:rStyle w:val="ssrfcsection"/>
          <w:bdr w:val="none" w:sz="0" w:space="0" w:color="auto" w:frame="1"/>
          <w:shd w:val="clear" w:color="auto" w:fill="FFFFFF"/>
        </w:rPr>
        <w:t>[Citation.]</w:t>
      </w:r>
      <w:r w:rsidRPr="007A53F7">
        <w:rPr>
          <w:rStyle w:val="ssrfcsection"/>
          <w:bdr w:val="none" w:sz="0" w:space="0" w:color="auto" w:frame="1"/>
          <w:shd w:val="clear" w:color="auto" w:fill="FFFFFF"/>
        </w:rPr>
        <w:t xml:space="preserve">  </w:t>
      </w:r>
      <w:r w:rsidRPr="007A53F7">
        <w:rPr>
          <w:rStyle w:val="ssrfcpassagedeactivated"/>
          <w:bdr w:val="none" w:sz="0" w:space="0" w:color="auto" w:frame="1"/>
          <w:shd w:val="clear" w:color="auto" w:fill="FFFFFF"/>
        </w:rPr>
        <w:t>Probable cause exists when ‘the known facts and circumstances are sufficient to warrant a [person] of reasonable prudence in the belief that contraband or evidence of a crime will</w:t>
      </w:r>
      <w:r w:rsidRPr="007A53F7">
        <w:rPr>
          <w:rStyle w:val="ssrfcpassagedeactivated"/>
          <w:bdr w:val="none" w:sz="0" w:space="0" w:color="auto" w:frame="1"/>
          <w:shd w:val="clear" w:color="auto" w:fill="FFFFFF"/>
        </w:rPr>
        <w:t xml:space="preserve"> be found.</w:t>
      </w:r>
      <w:proofErr w:type="gramStart"/>
      <w:r w:rsidRPr="007A53F7">
        <w:rPr>
          <w:rStyle w:val="ssrfcpassagedeactivated"/>
          <w:bdr w:val="none" w:sz="0" w:space="0" w:color="auto" w:frame="1"/>
          <w:shd w:val="clear" w:color="auto" w:fill="FFFFFF"/>
        </w:rPr>
        <w:t>’</w:t>
      </w:r>
      <w:r w:rsidRPr="007A53F7">
        <w:rPr>
          <w:rStyle w:val="ssrfcpassagedeactivated"/>
          <w:bdr w:val="none" w:sz="0" w:space="0" w:color="auto" w:frame="1"/>
          <w:shd w:val="clear" w:color="auto" w:fill="FFFFFF"/>
        </w:rPr>
        <w:t> </w:t>
      </w:r>
      <w:r w:rsidRPr="007A53F7">
        <w:rPr>
          <w:shd w:val="clear" w:color="auto" w:fill="FFFFFF"/>
        </w:rPr>
        <w:t>”</w:t>
      </w:r>
      <w:proofErr w:type="gramEnd"/>
      <w:r w:rsidRPr="007A53F7">
        <w:rPr>
          <w:shd w:val="clear" w:color="auto" w:fill="FFFFFF"/>
        </w:rPr>
        <w:t xml:space="preserve">  (</w:t>
      </w:r>
      <w:r w:rsidRPr="007A53F7">
        <w:rPr>
          <w:i/>
          <w:iCs/>
          <w:shd w:val="clear" w:color="auto" w:fill="FFFFFF"/>
        </w:rPr>
        <w:t>People v. Hall</w:t>
      </w:r>
      <w:r w:rsidRPr="007A53F7">
        <w:rPr>
          <w:shd w:val="clear" w:color="auto" w:fill="FFFFFF"/>
        </w:rPr>
        <w:t xml:space="preserve"> (2020) 57 Cal.App.5th 946</w:t>
      </w:r>
      <w:r w:rsidRPr="007A53F7">
        <w:rPr>
          <w:rFonts w:cstheme="majorHAnsi"/>
          <w:shd w:val="clear" w:color="auto" w:fill="FFFFFF"/>
        </w:rPr>
        <w:t>, 951 (</w:t>
      </w:r>
      <w:r w:rsidRPr="007A53F7">
        <w:rPr>
          <w:rFonts w:cstheme="majorHAnsi"/>
          <w:i/>
          <w:iCs/>
          <w:shd w:val="clear" w:color="auto" w:fill="FFFFFF"/>
        </w:rPr>
        <w:t>Hall</w:t>
      </w:r>
      <w:r w:rsidRPr="007A53F7">
        <w:rPr>
          <w:rFonts w:cstheme="majorHAnsi"/>
          <w:shd w:val="clear" w:color="auto" w:fill="FFFFFF"/>
        </w:rPr>
        <w:t xml:space="preserve">).) </w:t>
      </w:r>
      <w:r w:rsidRPr="007A53F7">
        <w:rPr>
          <w:rFonts w:cstheme="majorHAnsi"/>
          <w:shd w:val="clear" w:color="auto" w:fill="FFFFFF"/>
        </w:rPr>
        <w:t xml:space="preserve"> “[W]here probable cause to search a vehicle under the automobile exception exists, </w:t>
      </w:r>
      <w:proofErr w:type="gramStart"/>
      <w:r>
        <w:rPr>
          <w:rFonts w:cstheme="majorHAnsi"/>
          <w:shd w:val="clear" w:color="auto" w:fill="FFFFFF"/>
        </w:rPr>
        <w:t>‘ “</w:t>
      </w:r>
      <w:proofErr w:type="gramEnd"/>
      <w:r>
        <w:rPr>
          <w:rFonts w:cstheme="majorHAnsi"/>
          <w:shd w:val="clear" w:color="auto" w:fill="FFFFFF"/>
        </w:rPr>
        <w:t>a</w:t>
      </w:r>
      <w:r w:rsidRPr="007A53F7">
        <w:rPr>
          <w:rFonts w:cstheme="majorHAnsi"/>
          <w:shd w:val="clear" w:color="auto" w:fill="FFFFFF"/>
        </w:rPr>
        <w:t xml:space="preserve"> law enforcement officer may search the vehicle ‘irrespective of whether [the offense] is an infraction and not an arrestable </w:t>
      </w:r>
      <w:r>
        <w:rPr>
          <w:shd w:val="clear" w:color="auto" w:fill="FFFFFF"/>
        </w:rPr>
        <w:t>offense.’ ” ’ ”</w:t>
      </w:r>
      <w:r w:rsidRPr="007A53F7">
        <w:rPr>
          <w:shd w:val="clear" w:color="auto" w:fill="FFFFFF"/>
        </w:rPr>
        <w:t xml:space="preserve">  (</w:t>
      </w:r>
      <w:r w:rsidRPr="007A53F7">
        <w:rPr>
          <w:i/>
          <w:iCs/>
          <w:shd w:val="clear" w:color="auto" w:fill="FFFFFF"/>
        </w:rPr>
        <w:t>Castro, supra</w:t>
      </w:r>
      <w:r w:rsidRPr="007A53F7">
        <w:rPr>
          <w:shd w:val="clear" w:color="auto" w:fill="FFFFFF"/>
        </w:rPr>
        <w:t>, 86 Cal.App.5th at p. 321.)</w:t>
      </w:r>
      <w:r w:rsidRPr="007A53F7">
        <w:rPr>
          <w:shd w:val="clear" w:color="auto" w:fill="FFFFFF"/>
        </w:rPr>
        <w:t xml:space="preserve">  Moreover, “[w]here the court finds that officers have probable cause to</w:t>
      </w:r>
      <w:r w:rsidRPr="007A53F7">
        <w:rPr>
          <w:shd w:val="clear" w:color="auto" w:fill="FFFFFF"/>
        </w:rPr>
        <w:t xml:space="preserve"> </w:t>
      </w:r>
      <w:r w:rsidRPr="007A53F7">
        <w:rPr>
          <w:shd w:val="clear" w:color="auto" w:fill="FFFFFF"/>
        </w:rPr>
        <w:t>search, the officer’s subjective</w:t>
      </w:r>
      <w:r w:rsidRPr="007A53F7">
        <w:rPr>
          <w:shd w:val="clear" w:color="auto" w:fill="FFFFFF"/>
        </w:rPr>
        <w:t xml:space="preserve"> </w:t>
      </w:r>
      <w:r w:rsidRPr="007A53F7">
        <w:rPr>
          <w:shd w:val="clear" w:color="auto" w:fill="FFFFFF"/>
        </w:rPr>
        <w:t>intent in performing the</w:t>
      </w:r>
      <w:r w:rsidRPr="007A53F7">
        <w:rPr>
          <w:shd w:val="clear" w:color="auto" w:fill="FFFFFF"/>
        </w:rPr>
        <w:t xml:space="preserve"> </w:t>
      </w:r>
      <w:r w:rsidRPr="007A53F7">
        <w:rPr>
          <w:shd w:val="clear" w:color="auto" w:fill="FFFFFF"/>
        </w:rPr>
        <w:t>search</w:t>
      </w:r>
      <w:r w:rsidRPr="007A53F7">
        <w:rPr>
          <w:shd w:val="clear" w:color="auto" w:fill="FFFFFF"/>
        </w:rPr>
        <w:t xml:space="preserve"> </w:t>
      </w:r>
      <w:r w:rsidRPr="007A53F7">
        <w:rPr>
          <w:shd w:val="clear" w:color="auto" w:fill="FFFFFF"/>
        </w:rPr>
        <w:t>is irrelevant.”  (</w:t>
      </w:r>
      <w:r w:rsidRPr="007A53F7">
        <w:rPr>
          <w:i/>
          <w:iCs/>
          <w:shd w:val="clear" w:color="auto" w:fill="FFFFFF"/>
        </w:rPr>
        <w:t>People v. McGee</w:t>
      </w:r>
      <w:r w:rsidRPr="007A53F7">
        <w:rPr>
          <w:shd w:val="clear" w:color="auto" w:fill="FFFFFF"/>
        </w:rPr>
        <w:t xml:space="preserve"> (2020) </w:t>
      </w:r>
      <w:r w:rsidRPr="007A53F7">
        <w:rPr>
          <w:shd w:val="clear" w:color="auto" w:fill="FFFFFF"/>
        </w:rPr>
        <w:t>53</w:t>
      </w:r>
      <w:r w:rsidRPr="007A53F7">
        <w:rPr>
          <w:shd w:val="clear" w:color="auto" w:fill="FFFFFF"/>
        </w:rPr>
        <w:t xml:space="preserve"> Cal.App.5th 796, 80</w:t>
      </w:r>
      <w:r w:rsidRPr="007A53F7">
        <w:rPr>
          <w:shd w:val="clear" w:color="auto" w:fill="FFFFFF"/>
        </w:rPr>
        <w:t>5</w:t>
      </w:r>
      <w:r w:rsidRPr="007A53F7">
        <w:rPr>
          <w:shd w:val="clear" w:color="auto" w:fill="FFFFFF"/>
        </w:rPr>
        <w:t>,</w:t>
      </w:r>
      <w:r w:rsidRPr="007A53F7">
        <w:rPr>
          <w:shd w:val="clear" w:color="auto" w:fill="FFFFFF"/>
        </w:rPr>
        <w:t xml:space="preserve"> fn. 3</w:t>
      </w:r>
      <w:r w:rsidRPr="007A53F7">
        <w:rPr>
          <w:shd w:val="clear" w:color="auto" w:fill="FFFFFF"/>
        </w:rPr>
        <w:t xml:space="preserve"> (</w:t>
      </w:r>
      <w:r w:rsidRPr="007A53F7">
        <w:rPr>
          <w:i/>
          <w:iCs/>
          <w:shd w:val="clear" w:color="auto" w:fill="FFFFFF"/>
        </w:rPr>
        <w:t>McGee</w:t>
      </w:r>
      <w:r w:rsidRPr="007A53F7">
        <w:rPr>
          <w:shd w:val="clear" w:color="auto" w:fill="FFFFFF"/>
        </w:rPr>
        <w:t>)</w:t>
      </w:r>
      <w:r w:rsidRPr="007A53F7">
        <w:rPr>
          <w:shd w:val="clear" w:color="auto" w:fill="FFFFFF"/>
        </w:rPr>
        <w:t>.)</w:t>
      </w:r>
    </w:p>
    <w:p w14:paraId="05B9AA0C" w14:textId="77777777" w:rsidR="002042CB" w:rsidRPr="007A53F7" w:rsidRDefault="002042CB" w:rsidP="0063330F">
      <w:pPr>
        <w:tabs>
          <w:tab w:val="clear" w:pos="720"/>
        </w:tabs>
        <w:spacing w:line="360" w:lineRule="auto"/>
      </w:pPr>
      <w:r w:rsidRPr="007A53F7">
        <w:rPr>
          <w:shd w:val="clear" w:color="auto" w:fill="FFFFFF"/>
        </w:rPr>
        <w:tab/>
      </w:r>
      <w:proofErr w:type="gramStart"/>
      <w:r>
        <w:rPr>
          <w:rStyle w:val="ssrfcpassagedeactivated"/>
          <w:bdr w:val="none" w:sz="0" w:space="0" w:color="auto" w:frame="1"/>
          <w:shd w:val="clear" w:color="auto" w:fill="FFFFFF"/>
        </w:rPr>
        <w:t>“ ‘</w:t>
      </w:r>
      <w:proofErr w:type="gramEnd"/>
      <w:r>
        <w:rPr>
          <w:rStyle w:val="ssrfcpassagedeactivated"/>
          <w:bdr w:val="none" w:sz="0" w:space="0" w:color="auto" w:frame="1"/>
          <w:shd w:val="clear" w:color="auto" w:fill="FFFFFF"/>
        </w:rPr>
        <w:t>In</w:t>
      </w:r>
      <w:r w:rsidRPr="007A53F7">
        <w:rPr>
          <w:rStyle w:val="ssrfcpassagedeactivated"/>
          <w:bdr w:val="none" w:sz="0" w:space="0" w:color="auto" w:frame="1"/>
          <w:shd w:val="clear" w:color="auto" w:fill="FFFFFF"/>
        </w:rPr>
        <w:t xml:space="preserve"> reviewing a trial court’s ruling on a motion to suppress evidence, we defer to that court’s factual findings, express or implied, if they are supported by substantial evidence.</w:t>
      </w:r>
      <w:r w:rsidRPr="007A53F7">
        <w:rPr>
          <w:rStyle w:val="ssrfcpassagedeactivated"/>
          <w:bdr w:val="none" w:sz="0" w:space="0" w:color="auto" w:frame="1"/>
          <w:shd w:val="clear" w:color="auto" w:fill="FFFFFF"/>
        </w:rPr>
        <w:t xml:space="preserve"> </w:t>
      </w:r>
      <w:r w:rsidRPr="007A53F7">
        <w:rPr>
          <w:rStyle w:val="ssrfcpassagedeactivated"/>
          <w:bdr w:val="none" w:sz="0" w:space="0" w:color="auto" w:frame="1"/>
          <w:shd w:val="clear" w:color="auto" w:fill="FFFFFF"/>
        </w:rPr>
        <w:t xml:space="preserve"> </w:t>
      </w:r>
      <w:r w:rsidRPr="007A53F7">
        <w:rPr>
          <w:rStyle w:val="ssrfcsection"/>
          <w:bdr w:val="none" w:sz="0" w:space="0" w:color="auto" w:frame="1"/>
          <w:shd w:val="clear" w:color="auto" w:fill="FFFFFF"/>
        </w:rPr>
        <w:t xml:space="preserve">[Citation.] </w:t>
      </w:r>
      <w:r w:rsidRPr="007A53F7">
        <w:rPr>
          <w:rStyle w:val="ssrfcsection"/>
          <w:bdr w:val="none" w:sz="0" w:space="0" w:color="auto" w:frame="1"/>
          <w:shd w:val="clear" w:color="auto" w:fill="FFFFFF"/>
        </w:rPr>
        <w:t xml:space="preserve"> </w:t>
      </w:r>
      <w:r w:rsidRPr="007A53F7">
        <w:rPr>
          <w:rStyle w:val="ssrfcsection"/>
          <w:bdr w:val="none" w:sz="0" w:space="0" w:color="auto" w:frame="1"/>
          <w:shd w:val="clear" w:color="auto" w:fill="FFFFFF"/>
        </w:rPr>
        <w:t xml:space="preserve">We exercise our independent judgment in determining whether, on the facts presented, the search or </w:t>
      </w:r>
      <w:r w:rsidRPr="007A53F7">
        <w:rPr>
          <w:rStyle w:val="ssrfcsection"/>
          <w:bdr w:val="none" w:sz="0" w:space="0" w:color="auto" w:frame="1"/>
          <w:shd w:val="clear" w:color="auto" w:fill="FFFFFF"/>
        </w:rPr>
        <w:lastRenderedPageBreak/>
        <w:t xml:space="preserve">seizure was reasonable under the Fourth </w:t>
      </w:r>
      <w:r>
        <w:rPr>
          <w:rStyle w:val="ssrfcsection"/>
          <w:bdr w:val="none" w:sz="0" w:space="0" w:color="auto" w:frame="1"/>
          <w:shd w:val="clear" w:color="auto" w:fill="FFFFFF"/>
        </w:rPr>
        <w:t>Amendment.</w:t>
      </w:r>
      <w:proofErr w:type="gramStart"/>
      <w:r>
        <w:rPr>
          <w:rStyle w:val="ssrfcsection"/>
          <w:bdr w:val="none" w:sz="0" w:space="0" w:color="auto" w:frame="1"/>
          <w:shd w:val="clear" w:color="auto" w:fill="FFFFFF"/>
        </w:rPr>
        <w:t>’ ”</w:t>
      </w:r>
      <w:proofErr w:type="gramEnd"/>
      <w:r w:rsidRPr="007A53F7">
        <w:rPr>
          <w:rStyle w:val="ssrfcsection"/>
          <w:bdr w:val="none" w:sz="0" w:space="0" w:color="auto" w:frame="1"/>
          <w:shd w:val="clear" w:color="auto" w:fill="FFFFFF"/>
        </w:rPr>
        <w:t xml:space="preserve">  (</w:t>
      </w:r>
      <w:r w:rsidRPr="007A53F7">
        <w:rPr>
          <w:rStyle w:val="ssrfcsection"/>
          <w:i/>
          <w:iCs/>
          <w:bdr w:val="none" w:sz="0" w:space="0" w:color="auto" w:frame="1"/>
          <w:shd w:val="clear" w:color="auto" w:fill="FFFFFF"/>
        </w:rPr>
        <w:t>People v. Silveria and Travis</w:t>
      </w:r>
      <w:r w:rsidRPr="007A53F7">
        <w:rPr>
          <w:rStyle w:val="ssrfcsection"/>
          <w:bdr w:val="none" w:sz="0" w:space="0" w:color="auto" w:frame="1"/>
          <w:shd w:val="clear" w:color="auto" w:fill="FFFFFF"/>
        </w:rPr>
        <w:t xml:space="preserve"> (2020) 10 Cal.5th</w:t>
      </w:r>
      <w:r w:rsidRPr="0063330F">
        <w:rPr>
          <w:rStyle w:val="ssrfcsection"/>
          <w:bdr w:val="none" w:sz="0" w:space="0" w:color="auto" w:frame="1"/>
          <w:shd w:val="clear" w:color="auto" w:fill="FFFFFF"/>
        </w:rPr>
        <w:t xml:space="preserve"> </w:t>
      </w:r>
      <w:r w:rsidRPr="007A53F7">
        <w:rPr>
          <w:rStyle w:val="ssrfcsection"/>
          <w:bdr w:val="none" w:sz="0" w:space="0" w:color="auto" w:frame="1"/>
          <w:shd w:val="clear" w:color="auto" w:fill="FFFFFF"/>
        </w:rPr>
        <w:t xml:space="preserve">195, 232.) </w:t>
      </w:r>
      <w:r w:rsidRPr="007A53F7">
        <w:rPr>
          <w:rStyle w:val="ssrfcsection"/>
          <w:bdr w:val="none" w:sz="0" w:space="0" w:color="auto" w:frame="1"/>
          <w:shd w:val="clear" w:color="auto" w:fill="FFFFFF"/>
        </w:rPr>
        <w:t xml:space="preserve"> </w:t>
      </w:r>
      <w:r w:rsidRPr="007A53F7">
        <w:rPr>
          <w:rStyle w:val="ssrfcsection"/>
          <w:bdr w:val="none" w:sz="0" w:space="0" w:color="auto" w:frame="1"/>
          <w:shd w:val="clear" w:color="auto" w:fill="FFFFFF"/>
        </w:rPr>
        <w:t>As such, we affirm so long as t</w:t>
      </w:r>
      <w:r w:rsidRPr="007A53F7">
        <w:rPr>
          <w:rStyle w:val="ssrfcsection"/>
          <w:bdr w:val="none" w:sz="0" w:space="0" w:color="auto" w:frame="1"/>
          <w:shd w:val="clear" w:color="auto" w:fill="FFFFFF"/>
        </w:rPr>
        <w:t>he ruling</w:t>
      </w:r>
      <w:r w:rsidRPr="007A53F7">
        <w:rPr>
          <w:rStyle w:val="ssrfcsection"/>
          <w:bdr w:val="none" w:sz="0" w:space="0" w:color="auto" w:frame="1"/>
          <w:shd w:val="clear" w:color="auto" w:fill="FFFFFF"/>
        </w:rPr>
        <w:t xml:space="preserve"> is correct </w:t>
      </w:r>
      <w:r w:rsidRPr="007A53F7">
        <w:rPr>
          <w:rStyle w:val="ssrfcsection"/>
          <w:bdr w:val="none" w:sz="0" w:space="0" w:color="auto" w:frame="1"/>
          <w:shd w:val="clear" w:color="auto" w:fill="FFFFFF"/>
        </w:rPr>
        <w:t xml:space="preserve">no matter </w:t>
      </w:r>
      <w:r w:rsidRPr="007A53F7">
        <w:rPr>
          <w:rStyle w:val="ssrfcsection"/>
          <w:bdr w:val="none" w:sz="0" w:space="0" w:color="auto" w:frame="1"/>
          <w:shd w:val="clear" w:color="auto" w:fill="FFFFFF"/>
        </w:rPr>
        <w:t xml:space="preserve">the lower court’s </w:t>
      </w:r>
      <w:r w:rsidRPr="007A53F7">
        <w:rPr>
          <w:rStyle w:val="ssrfcpassagedeactivated"/>
          <w:bdr w:val="none" w:sz="0" w:space="0" w:color="auto" w:frame="1"/>
          <w:shd w:val="clear" w:color="auto" w:fill="FFFFFF"/>
        </w:rPr>
        <w:t>reasoning.  (</w:t>
      </w:r>
      <w:r w:rsidRPr="007A53F7">
        <w:rPr>
          <w:rStyle w:val="ssrfcpassagedeactivated"/>
          <w:i/>
          <w:iCs/>
          <w:bdr w:val="none" w:sz="0" w:space="0" w:color="auto" w:frame="1"/>
          <w:shd w:val="clear" w:color="auto" w:fill="FFFFFF"/>
        </w:rPr>
        <w:t xml:space="preserve">People v. </w:t>
      </w:r>
      <w:r w:rsidRPr="007A53F7">
        <w:rPr>
          <w:rStyle w:val="ssrfcpassagedeactivated"/>
          <w:i/>
          <w:iCs/>
          <w:bdr w:val="none" w:sz="0" w:space="0" w:color="auto" w:frame="1"/>
          <w:shd w:val="clear" w:color="auto" w:fill="FFFFFF"/>
        </w:rPr>
        <w:t>Session</w:t>
      </w:r>
      <w:r w:rsidRPr="007A53F7">
        <w:rPr>
          <w:rStyle w:val="ssrfcpassagedeactivated"/>
          <w:bdr w:val="none" w:sz="0" w:space="0" w:color="auto" w:frame="1"/>
          <w:shd w:val="clear" w:color="auto" w:fill="FFFFFF"/>
        </w:rPr>
        <w:t xml:space="preserve"> (2023) 93 Cal.App.5th 723, </w:t>
      </w:r>
      <w:r w:rsidRPr="007A53F7">
        <w:rPr>
          <w:rStyle w:val="ssrfcpassagedeactivated"/>
          <w:bdr w:val="none" w:sz="0" w:space="0" w:color="auto" w:frame="1"/>
          <w:shd w:val="clear" w:color="auto" w:fill="FFFFFF"/>
        </w:rPr>
        <w:t>730</w:t>
      </w:r>
      <w:bookmarkStart w:id="0" w:name="_Hlk150940964"/>
      <w:r w:rsidRPr="007A53F7">
        <w:t>–</w:t>
      </w:r>
      <w:bookmarkEnd w:id="0"/>
      <w:r w:rsidRPr="007A53F7">
        <w:rPr>
          <w:rStyle w:val="ssrfcpassagedeactivated"/>
          <w:bdr w:val="none" w:sz="0" w:space="0" w:color="auto" w:frame="1"/>
          <w:shd w:val="clear" w:color="auto" w:fill="FFFFFF"/>
        </w:rPr>
        <w:t>731</w:t>
      </w:r>
      <w:r w:rsidRPr="007A53F7">
        <w:rPr>
          <w:rStyle w:val="ssrfcpassagedeactivated"/>
          <w:bdr w:val="none" w:sz="0" w:space="0" w:color="auto" w:frame="1"/>
          <w:shd w:val="clear" w:color="auto" w:fill="FFFFFF"/>
        </w:rPr>
        <w:t>.)</w:t>
      </w:r>
    </w:p>
    <w:p w14:paraId="3EBD4CED" w14:textId="77777777" w:rsidR="002042CB" w:rsidRPr="0063330F" w:rsidRDefault="002042CB" w:rsidP="00DF74E4">
      <w:pPr>
        <w:pStyle w:val="ListParagraph"/>
        <w:keepNext/>
        <w:numPr>
          <w:ilvl w:val="0"/>
          <w:numId w:val="2"/>
        </w:numPr>
        <w:tabs>
          <w:tab w:val="clear" w:pos="720"/>
        </w:tabs>
        <w:spacing w:line="360" w:lineRule="auto"/>
        <w:ind w:left="720"/>
        <w:rPr>
          <w:b/>
          <w:bCs/>
          <w:i/>
          <w:iCs/>
        </w:rPr>
      </w:pPr>
      <w:r w:rsidRPr="0063330F">
        <w:rPr>
          <w:b/>
          <w:bCs/>
          <w:i/>
          <w:iCs/>
        </w:rPr>
        <w:t>Fact</w:t>
      </w:r>
      <w:r w:rsidRPr="0063330F">
        <w:rPr>
          <w:b/>
          <w:bCs/>
          <w:i/>
          <w:iCs/>
        </w:rPr>
        <w:t>ual Record</w:t>
      </w:r>
      <w:r w:rsidRPr="0063330F">
        <w:rPr>
          <w:b/>
          <w:bCs/>
          <w:i/>
          <w:iCs/>
        </w:rPr>
        <w:t>.</w:t>
      </w:r>
    </w:p>
    <w:p w14:paraId="7F3CED45" w14:textId="77777777" w:rsidR="002042CB" w:rsidRPr="007A53F7" w:rsidRDefault="002042CB" w:rsidP="0063330F">
      <w:pPr>
        <w:tabs>
          <w:tab w:val="clear" w:pos="720"/>
        </w:tabs>
        <w:spacing w:line="360" w:lineRule="auto"/>
      </w:pPr>
      <w:r w:rsidRPr="007A53F7">
        <w:tab/>
        <w:t xml:space="preserve">The relevant factual record comes from the testimony of San Pablo Police Officer </w:t>
      </w:r>
      <w:proofErr w:type="spellStart"/>
      <w:r w:rsidRPr="007A53F7">
        <w:t>Dugonjic</w:t>
      </w:r>
      <w:proofErr w:type="spellEnd"/>
      <w:r w:rsidRPr="007A53F7">
        <w:t xml:space="preserve"> at the hearing on minor’s motion to suppress.  Officer </w:t>
      </w:r>
      <w:proofErr w:type="spellStart"/>
      <w:r w:rsidRPr="007A53F7">
        <w:t>Dugonjic</w:t>
      </w:r>
      <w:proofErr w:type="spellEnd"/>
      <w:r w:rsidRPr="007A53F7">
        <w:t xml:space="preserve"> was</w:t>
      </w:r>
      <w:r w:rsidRPr="007A53F7">
        <w:t xml:space="preserve"> an 11-year veteran of the department</w:t>
      </w:r>
      <w:r>
        <w:t>,</w:t>
      </w:r>
      <w:r w:rsidRPr="007A53F7">
        <w:t xml:space="preserve"> with</w:t>
      </w:r>
      <w:r w:rsidRPr="007A53F7">
        <w:t xml:space="preserve"> train</w:t>
      </w:r>
      <w:r w:rsidRPr="007A53F7">
        <w:t>ing</w:t>
      </w:r>
      <w:r w:rsidRPr="007A53F7">
        <w:t xml:space="preserve"> and </w:t>
      </w:r>
      <w:r w:rsidRPr="007A53F7">
        <w:t>e</w:t>
      </w:r>
      <w:r w:rsidRPr="007A53F7">
        <w:t xml:space="preserve">xperience in marijuana </w:t>
      </w:r>
      <w:r w:rsidRPr="007A53F7">
        <w:t>identification</w:t>
      </w:r>
      <w:r w:rsidRPr="007A53F7">
        <w:t>, marijuana consumption, and the legality of</w:t>
      </w:r>
      <w:r w:rsidRPr="007A53F7">
        <w:t xml:space="preserve"> tinted windows.</w:t>
      </w:r>
    </w:p>
    <w:p w14:paraId="5F6773B7" w14:textId="77777777" w:rsidR="002042CB" w:rsidRPr="007A53F7" w:rsidRDefault="002042CB" w:rsidP="0063330F">
      <w:pPr>
        <w:tabs>
          <w:tab w:val="clear" w:pos="720"/>
        </w:tabs>
        <w:spacing w:line="360" w:lineRule="auto"/>
      </w:pPr>
      <w:r w:rsidRPr="007A53F7">
        <w:tab/>
      </w:r>
      <w:r w:rsidRPr="007A53F7">
        <w:t>A</w:t>
      </w:r>
      <w:r w:rsidRPr="007A53F7">
        <w:t xml:space="preserve">round </w:t>
      </w:r>
      <w:r>
        <w:t>11:00 p.m.</w:t>
      </w:r>
      <w:r w:rsidRPr="007A53F7">
        <w:t xml:space="preserve"> o</w:t>
      </w:r>
      <w:r w:rsidRPr="007A53F7">
        <w:t xml:space="preserve">n </w:t>
      </w:r>
      <w:r>
        <w:t>November 10</w:t>
      </w:r>
      <w:r w:rsidRPr="007A53F7">
        <w:t xml:space="preserve">, </w:t>
      </w:r>
      <w:r w:rsidRPr="007A53F7">
        <w:t>2022</w:t>
      </w:r>
      <w:r w:rsidRPr="007A53F7">
        <w:t xml:space="preserve">, Officer </w:t>
      </w:r>
      <w:proofErr w:type="spellStart"/>
      <w:r w:rsidRPr="007A53F7">
        <w:t>Dugonjic</w:t>
      </w:r>
      <w:proofErr w:type="spellEnd"/>
      <w:r w:rsidRPr="007A53F7">
        <w:t xml:space="preserve"> conducted a traffic stop on a black BMW with tinted windows </w:t>
      </w:r>
      <w:r w:rsidRPr="007A53F7">
        <w:t>th</w:t>
      </w:r>
      <w:r w:rsidRPr="007A53F7">
        <w:t xml:space="preserve">at appeared </w:t>
      </w:r>
      <w:r w:rsidRPr="007A53F7">
        <w:t xml:space="preserve">to </w:t>
      </w:r>
      <w:r w:rsidRPr="007A53F7">
        <w:t>b</w:t>
      </w:r>
      <w:r w:rsidRPr="007A53F7">
        <w:t xml:space="preserve">e in </w:t>
      </w:r>
      <w:r w:rsidRPr="007A53F7">
        <w:t xml:space="preserve">violation of </w:t>
      </w:r>
      <w:r w:rsidRPr="007A53F7">
        <w:t>Vehicle Code section 26708</w:t>
      </w:r>
      <w:r w:rsidRPr="007A53F7">
        <w:t xml:space="preserve">, </w:t>
      </w:r>
      <w:r>
        <w:t>subdivision (a)</w:t>
      </w:r>
      <w:r w:rsidRPr="007A53F7">
        <w:t xml:space="preserve">.  Officer </w:t>
      </w:r>
      <w:proofErr w:type="spellStart"/>
      <w:r w:rsidRPr="007A53F7">
        <w:t>Dugonjic</w:t>
      </w:r>
      <w:proofErr w:type="spellEnd"/>
      <w:r w:rsidRPr="007A53F7">
        <w:t xml:space="preserve"> contacted minor, the driver of the BMW, who </w:t>
      </w:r>
      <w:r w:rsidRPr="007A53F7">
        <w:t xml:space="preserve">stated that he was 17 years old, </w:t>
      </w:r>
      <w:r w:rsidRPr="007A53F7">
        <w:t xml:space="preserve">the car </w:t>
      </w:r>
      <w:r w:rsidRPr="007A53F7">
        <w:t>belonged to</w:t>
      </w:r>
      <w:r w:rsidRPr="007A53F7">
        <w:t xml:space="preserve"> </w:t>
      </w:r>
      <w:r w:rsidRPr="007A53F7">
        <w:t xml:space="preserve">his </w:t>
      </w:r>
      <w:r w:rsidRPr="007A53F7">
        <w:t xml:space="preserve">girlfriend, </w:t>
      </w:r>
      <w:r w:rsidRPr="007A53F7">
        <w:t xml:space="preserve">and he did not have a driver’s license.  Officer </w:t>
      </w:r>
      <w:proofErr w:type="spellStart"/>
      <w:r w:rsidRPr="007A53F7">
        <w:t>Dugonjic</w:t>
      </w:r>
      <w:proofErr w:type="spellEnd"/>
      <w:r w:rsidRPr="007A53F7">
        <w:t xml:space="preserve"> </w:t>
      </w:r>
      <w:r w:rsidRPr="007A53F7">
        <w:t>noticed the smell of unburn</w:t>
      </w:r>
      <w:r w:rsidRPr="007A53F7">
        <w:t>t</w:t>
      </w:r>
      <w:r w:rsidRPr="007A53F7">
        <w:t xml:space="preserve"> marijuana coming from </w:t>
      </w:r>
      <w:r w:rsidRPr="007A53F7">
        <w:t xml:space="preserve">inside </w:t>
      </w:r>
      <w:r w:rsidRPr="007A53F7">
        <w:t xml:space="preserve">the vehicle.  He </w:t>
      </w:r>
      <w:r w:rsidRPr="007A53F7">
        <w:t xml:space="preserve">asked </w:t>
      </w:r>
      <w:proofErr w:type="gramStart"/>
      <w:r w:rsidRPr="007A53F7">
        <w:t>minor</w:t>
      </w:r>
      <w:proofErr w:type="gramEnd"/>
      <w:r w:rsidRPr="007A53F7">
        <w:t xml:space="preserve"> for identification, but minor was unab</w:t>
      </w:r>
      <w:r w:rsidRPr="007A53F7">
        <w:t xml:space="preserve">le to produce a government-issued </w:t>
      </w:r>
      <w:r w:rsidRPr="007A53F7">
        <w:t>identification card</w:t>
      </w:r>
      <w:r w:rsidRPr="007A53F7">
        <w:t>.</w:t>
      </w:r>
    </w:p>
    <w:p w14:paraId="1ECF12DE" w14:textId="77777777" w:rsidR="002042CB" w:rsidRPr="007A53F7" w:rsidRDefault="002042CB" w:rsidP="0063330F">
      <w:pPr>
        <w:tabs>
          <w:tab w:val="clear" w:pos="720"/>
        </w:tabs>
        <w:spacing w:line="360" w:lineRule="auto"/>
      </w:pPr>
      <w:r w:rsidRPr="007A53F7">
        <w:tab/>
        <w:t xml:space="preserve">Officer </w:t>
      </w:r>
      <w:proofErr w:type="spellStart"/>
      <w:r w:rsidRPr="007A53F7">
        <w:t>Dugonjic</w:t>
      </w:r>
      <w:proofErr w:type="spellEnd"/>
      <w:r w:rsidRPr="007A53F7">
        <w:t xml:space="preserve"> </w:t>
      </w:r>
      <w:r w:rsidRPr="007A53F7">
        <w:t xml:space="preserve">observed </w:t>
      </w:r>
      <w:r w:rsidRPr="007A53F7">
        <w:t xml:space="preserve">a passenger in the </w:t>
      </w:r>
      <w:r w:rsidRPr="007A53F7">
        <w:t>BMW</w:t>
      </w:r>
      <w:r w:rsidRPr="007A53F7">
        <w:t xml:space="preserve"> who appeared to have a “marijuana blunt”</w:t>
      </w:r>
      <w:r>
        <w:rPr>
          <w:rStyle w:val="FootnoteReference"/>
        </w:rPr>
        <w:footnoteReference w:id="1"/>
      </w:r>
      <w:r w:rsidRPr="007A53F7">
        <w:t xml:space="preserve"> on his lap.  </w:t>
      </w:r>
      <w:r w:rsidRPr="007A53F7">
        <w:t xml:space="preserve">The marijuana appeared to be a usable amount and was not in </w:t>
      </w:r>
      <w:r w:rsidRPr="007A53F7">
        <w:t xml:space="preserve">a </w:t>
      </w:r>
      <w:r w:rsidRPr="007A53F7">
        <w:t xml:space="preserve">closed container.  Minor denied smoking any of the marijuana and offered to take a test, but there is no evidence that one was conducted.  Officer </w:t>
      </w:r>
      <w:proofErr w:type="spellStart"/>
      <w:r w:rsidRPr="007A53F7">
        <w:t>Dugonjic</w:t>
      </w:r>
      <w:proofErr w:type="spellEnd"/>
      <w:r w:rsidRPr="007A53F7">
        <w:t xml:space="preserve"> acknowledged the marijuana blunt was not </w:t>
      </w:r>
      <w:r w:rsidRPr="007A53F7">
        <w:lastRenderedPageBreak/>
        <w:t xml:space="preserve">burned or smoked. </w:t>
      </w:r>
      <w:r w:rsidRPr="007A53F7">
        <w:t xml:space="preserve"> A photograph of the blunt</w:t>
      </w:r>
      <w:r w:rsidRPr="007A53F7">
        <w:t xml:space="preserve">, showing “a </w:t>
      </w:r>
      <w:r w:rsidRPr="007A53F7">
        <w:t xml:space="preserve">little </w:t>
      </w:r>
      <w:r w:rsidRPr="007A53F7">
        <w:t>bit of green at [its] tip,”</w:t>
      </w:r>
      <w:r w:rsidRPr="007A53F7">
        <w:t xml:space="preserve"> was admitted into evidence after Officer </w:t>
      </w:r>
      <w:proofErr w:type="spellStart"/>
      <w:r w:rsidRPr="007A53F7">
        <w:t>Dugonjic</w:t>
      </w:r>
      <w:proofErr w:type="spellEnd"/>
      <w:r w:rsidRPr="007A53F7">
        <w:t xml:space="preserve"> testified </w:t>
      </w:r>
      <w:r w:rsidRPr="007A53F7">
        <w:t xml:space="preserve">that </w:t>
      </w:r>
      <w:r w:rsidRPr="007A53F7">
        <w:t>it fairly and accurately depicted his observation of the blunt in the vehicle.</w:t>
      </w:r>
    </w:p>
    <w:p w14:paraId="09138AE5" w14:textId="77777777" w:rsidR="002042CB" w:rsidRPr="007A53F7" w:rsidRDefault="002042CB" w:rsidP="0063330F">
      <w:pPr>
        <w:tabs>
          <w:tab w:val="clear" w:pos="720"/>
        </w:tabs>
        <w:spacing w:line="360" w:lineRule="auto"/>
      </w:pPr>
      <w:r w:rsidRPr="007A53F7">
        <w:tab/>
        <w:t>Another officer at the scene</w:t>
      </w:r>
      <w:r w:rsidRPr="007A53F7">
        <w:t xml:space="preserve"> </w:t>
      </w:r>
      <w:r w:rsidRPr="007A53F7">
        <w:t>talked to the BMW’s passenger and d</w:t>
      </w:r>
      <w:r w:rsidRPr="007A53F7">
        <w:t>e</w:t>
      </w:r>
      <w:r w:rsidRPr="007A53F7">
        <w:t>termined he was</w:t>
      </w:r>
      <w:r w:rsidRPr="007A53F7">
        <w:t xml:space="preserve"> 22 year</w:t>
      </w:r>
      <w:r w:rsidRPr="007A53F7">
        <w:t xml:space="preserve">s </w:t>
      </w:r>
      <w:r w:rsidRPr="007A53F7">
        <w:t>old</w:t>
      </w:r>
      <w:r w:rsidRPr="007A53F7">
        <w:t xml:space="preserve"> and in possession of the blunt</w:t>
      </w:r>
      <w:r w:rsidRPr="007A53F7">
        <w:t>.</w:t>
      </w:r>
    </w:p>
    <w:p w14:paraId="4DC4282A" w14:textId="77777777" w:rsidR="002042CB" w:rsidRPr="007A53F7" w:rsidRDefault="002042CB" w:rsidP="0063330F">
      <w:pPr>
        <w:tabs>
          <w:tab w:val="clear" w:pos="720"/>
        </w:tabs>
        <w:spacing w:line="360" w:lineRule="auto"/>
      </w:pPr>
      <w:r w:rsidRPr="007A53F7">
        <w:tab/>
      </w:r>
      <w:r w:rsidRPr="007A53F7">
        <w:t xml:space="preserve">Officer </w:t>
      </w:r>
      <w:proofErr w:type="spellStart"/>
      <w:r w:rsidRPr="007A53F7">
        <w:t>Dugonjic</w:t>
      </w:r>
      <w:proofErr w:type="spellEnd"/>
      <w:r w:rsidRPr="007A53F7">
        <w:t xml:space="preserve"> conducted a </w:t>
      </w:r>
      <w:proofErr w:type="spellStart"/>
      <w:r>
        <w:t>patdown</w:t>
      </w:r>
      <w:proofErr w:type="spellEnd"/>
      <w:r w:rsidRPr="007A53F7">
        <w:t xml:space="preserve"> of minor </w:t>
      </w:r>
      <w:r w:rsidRPr="007A53F7">
        <w:t xml:space="preserve">outside the BMW </w:t>
      </w:r>
      <w:r w:rsidRPr="007A53F7">
        <w:t>and found no contraband</w:t>
      </w:r>
      <w:r w:rsidRPr="007A53F7">
        <w:t xml:space="preserve"> or identification</w:t>
      </w:r>
      <w:r w:rsidRPr="007A53F7">
        <w:t xml:space="preserve">.  </w:t>
      </w:r>
      <w:r w:rsidRPr="007A53F7">
        <w:t xml:space="preserve">He also “ran” minor’s name and did not find a match.  </w:t>
      </w:r>
      <w:r w:rsidRPr="007A53F7">
        <w:t xml:space="preserve">According </w:t>
      </w:r>
      <w:r w:rsidRPr="007A53F7">
        <w:t xml:space="preserve">to </w:t>
      </w:r>
      <w:r w:rsidRPr="007A53F7">
        <w:t>the police report</w:t>
      </w:r>
      <w:r w:rsidRPr="007A53F7">
        <w:t xml:space="preserve">, Officer </w:t>
      </w:r>
      <w:proofErr w:type="spellStart"/>
      <w:r w:rsidRPr="007A53F7">
        <w:t>Dugonjic</w:t>
      </w:r>
      <w:proofErr w:type="spellEnd"/>
      <w:r w:rsidRPr="007A53F7">
        <w:t xml:space="preserve"> searched the car’s front passenger compartment to try to find identification for minor or the passenger.</w:t>
      </w:r>
      <w:r>
        <w:rPr>
          <w:rStyle w:val="FootnoteReference"/>
        </w:rPr>
        <w:footnoteReference w:id="2"/>
      </w:r>
      <w:r w:rsidRPr="007A53F7">
        <w:t xml:space="preserve">  In doing so, Officer </w:t>
      </w:r>
      <w:proofErr w:type="spellStart"/>
      <w:r w:rsidRPr="007A53F7">
        <w:t>Dugonjic</w:t>
      </w:r>
      <w:proofErr w:type="spellEnd"/>
      <w:r w:rsidRPr="007A53F7">
        <w:t xml:space="preserve"> found a handgun in the glove compartment and an airsoft rifle </w:t>
      </w:r>
      <w:r>
        <w:t xml:space="preserve">which was </w:t>
      </w:r>
      <w:r w:rsidRPr="007A53F7">
        <w:t>visible behind the driver’s seat.</w:t>
      </w:r>
    </w:p>
    <w:p w14:paraId="7945BD34" w14:textId="77777777" w:rsidR="002042CB" w:rsidRPr="007A53F7" w:rsidRDefault="002042CB" w:rsidP="0063330F">
      <w:pPr>
        <w:tabs>
          <w:tab w:val="clear" w:pos="720"/>
        </w:tabs>
        <w:spacing w:line="360" w:lineRule="auto"/>
      </w:pPr>
      <w:r w:rsidRPr="007A53F7">
        <w:tab/>
        <w:t xml:space="preserve">When Officer </w:t>
      </w:r>
      <w:proofErr w:type="spellStart"/>
      <w:r w:rsidRPr="007A53F7">
        <w:t>Dugonjic</w:t>
      </w:r>
      <w:proofErr w:type="spellEnd"/>
      <w:r w:rsidRPr="007A53F7">
        <w:t xml:space="preserve"> went to handcuff </w:t>
      </w:r>
      <w:proofErr w:type="gramStart"/>
      <w:r w:rsidRPr="007A53F7">
        <w:t>minor</w:t>
      </w:r>
      <w:proofErr w:type="gramEnd"/>
      <w:r w:rsidRPr="007A53F7">
        <w:t xml:space="preserve">, minor attempted to flee on foot but was apprehended.  Officer </w:t>
      </w:r>
      <w:proofErr w:type="spellStart"/>
      <w:r w:rsidRPr="007A53F7">
        <w:t>Dugonjic</w:t>
      </w:r>
      <w:proofErr w:type="spellEnd"/>
      <w:r w:rsidRPr="007A53F7">
        <w:t xml:space="preserve"> then searched the entire vehicle, including the trunk, where he found an AR-15 </w:t>
      </w:r>
      <w:r w:rsidRPr="007A53F7">
        <w:t xml:space="preserve">firearm </w:t>
      </w:r>
      <w:r w:rsidRPr="007A53F7">
        <w:t>with no serial number</w:t>
      </w:r>
      <w:r w:rsidRPr="007A53F7">
        <w:t>.</w:t>
      </w:r>
    </w:p>
    <w:p w14:paraId="03786DF4" w14:textId="77777777" w:rsidR="002042CB" w:rsidRPr="007A53F7" w:rsidRDefault="002042CB" w:rsidP="0063330F">
      <w:pPr>
        <w:tabs>
          <w:tab w:val="clear" w:pos="720"/>
        </w:tabs>
        <w:spacing w:line="360" w:lineRule="auto"/>
      </w:pPr>
      <w:r w:rsidRPr="007A53F7">
        <w:tab/>
      </w:r>
      <w:r w:rsidRPr="007A53F7">
        <w:t>After this testimony, th</w:t>
      </w:r>
      <w:r w:rsidRPr="007A53F7">
        <w:t xml:space="preserve">e juvenile court </w:t>
      </w:r>
      <w:r w:rsidRPr="007A53F7">
        <w:t>found</w:t>
      </w:r>
      <w:r w:rsidRPr="007A53F7">
        <w:t xml:space="preserve"> that the total elapsed time from the traffic stop to when Officer </w:t>
      </w:r>
      <w:proofErr w:type="spellStart"/>
      <w:r w:rsidRPr="007A53F7">
        <w:t>Dugonjic</w:t>
      </w:r>
      <w:proofErr w:type="spellEnd"/>
      <w:r w:rsidRPr="007A53F7">
        <w:t xml:space="preserve"> asked minor to exit the car was several minutes, and from when minor exited the car to when Officer </w:t>
      </w:r>
      <w:proofErr w:type="spellStart"/>
      <w:r w:rsidRPr="007A53F7">
        <w:t>Dugonjic</w:t>
      </w:r>
      <w:proofErr w:type="spellEnd"/>
      <w:r w:rsidRPr="007A53F7">
        <w:t xml:space="preserve"> found the gun in the glove compartment was about two minutes.  </w:t>
      </w:r>
      <w:r w:rsidRPr="007A53F7">
        <w:t xml:space="preserve">Further, the court </w:t>
      </w:r>
      <w:r w:rsidRPr="007A53F7">
        <w:t xml:space="preserve">found </w:t>
      </w:r>
      <w:r w:rsidRPr="007A53F7">
        <w:t xml:space="preserve">based on </w:t>
      </w:r>
      <w:r w:rsidRPr="007A53F7">
        <w:t xml:space="preserve">Officer </w:t>
      </w:r>
      <w:proofErr w:type="spellStart"/>
      <w:r w:rsidRPr="007A53F7">
        <w:t>Dugonjic</w:t>
      </w:r>
      <w:r w:rsidRPr="007A53F7">
        <w:t>’s</w:t>
      </w:r>
      <w:proofErr w:type="spellEnd"/>
      <w:r w:rsidRPr="007A53F7">
        <w:t xml:space="preserve"> </w:t>
      </w:r>
      <w:r w:rsidRPr="007A53F7">
        <w:t xml:space="preserve">credible </w:t>
      </w:r>
      <w:r w:rsidRPr="007A53F7">
        <w:t>testimony that he</w:t>
      </w:r>
      <w:r w:rsidRPr="007A53F7">
        <w:t xml:space="preserve"> had reasonable suspicion to effectuate a traffic stop based on his belief that </w:t>
      </w:r>
      <w:r w:rsidRPr="007A53F7">
        <w:t>th</w:t>
      </w:r>
      <w:r w:rsidRPr="007A53F7">
        <w:t>e BMW’s tinted windows were in viola</w:t>
      </w:r>
      <w:r w:rsidRPr="007A53F7">
        <w:t>t</w:t>
      </w:r>
      <w:r w:rsidRPr="007A53F7">
        <w:t>ion of the law</w:t>
      </w:r>
      <w:r w:rsidRPr="007A53F7">
        <w:t>.</w:t>
      </w:r>
      <w:r w:rsidRPr="007A53F7">
        <w:t xml:space="preserve">  Officer </w:t>
      </w:r>
      <w:proofErr w:type="spellStart"/>
      <w:r w:rsidRPr="007A53F7">
        <w:t>Dugonjic</w:t>
      </w:r>
      <w:proofErr w:type="spellEnd"/>
      <w:r w:rsidRPr="007A53F7">
        <w:t xml:space="preserve"> </w:t>
      </w:r>
      <w:r w:rsidRPr="007A53F7">
        <w:t xml:space="preserve">also </w:t>
      </w:r>
      <w:r w:rsidRPr="007A53F7">
        <w:t xml:space="preserve">had probable cause to </w:t>
      </w:r>
      <w:r w:rsidRPr="007A53F7">
        <w:t>then</w:t>
      </w:r>
      <w:r w:rsidRPr="007A53F7">
        <w:t xml:space="preserve"> </w:t>
      </w:r>
      <w:r w:rsidRPr="007A53F7">
        <w:t>search the BMW</w:t>
      </w:r>
      <w:r w:rsidRPr="007A53F7">
        <w:t xml:space="preserve">’s passenger compartment </w:t>
      </w:r>
      <w:r w:rsidRPr="007A53F7">
        <w:t xml:space="preserve">based on </w:t>
      </w:r>
      <w:r w:rsidRPr="007A53F7">
        <w:t xml:space="preserve">the </w:t>
      </w:r>
      <w:r w:rsidRPr="007A53F7">
        <w:t xml:space="preserve">unburnt </w:t>
      </w:r>
      <w:r w:rsidRPr="007A53F7">
        <w:t xml:space="preserve">marijuana smell emanating from the BMW and </w:t>
      </w:r>
      <w:r w:rsidRPr="007A53F7">
        <w:t xml:space="preserve">his </w:t>
      </w:r>
      <w:r w:rsidRPr="007A53F7">
        <w:lastRenderedPageBreak/>
        <w:t xml:space="preserve">observation of an “open-ended blunt” in the passenger’s lap that appeared to be a usable amount in an open container in violation of Health and Safety Code section 11362.3, </w:t>
      </w:r>
      <w:r>
        <w:t>subdivision (a)(4)</w:t>
      </w:r>
      <w:r w:rsidRPr="007A53F7">
        <w:t>.</w:t>
      </w:r>
      <w:r>
        <w:rPr>
          <w:rStyle w:val="FootnoteReference"/>
        </w:rPr>
        <w:footnoteReference w:id="3"/>
      </w:r>
    </w:p>
    <w:p w14:paraId="3E1ED912" w14:textId="77777777" w:rsidR="002042CB" w:rsidRPr="00DF74E4" w:rsidRDefault="002042CB" w:rsidP="00DF74E4">
      <w:pPr>
        <w:pStyle w:val="ListParagraph"/>
        <w:keepNext/>
        <w:numPr>
          <w:ilvl w:val="0"/>
          <w:numId w:val="2"/>
        </w:numPr>
        <w:tabs>
          <w:tab w:val="clear" w:pos="720"/>
        </w:tabs>
        <w:spacing w:line="360" w:lineRule="auto"/>
        <w:ind w:left="720"/>
        <w:rPr>
          <w:b/>
          <w:bCs/>
          <w:i/>
          <w:iCs/>
        </w:rPr>
      </w:pPr>
      <w:r w:rsidRPr="00DF74E4">
        <w:rPr>
          <w:b/>
          <w:bCs/>
          <w:i/>
          <w:iCs/>
        </w:rPr>
        <w:t>Analysis.</w:t>
      </w:r>
    </w:p>
    <w:p w14:paraId="407A608E" w14:textId="77777777" w:rsidR="002042CB" w:rsidRPr="007A53F7" w:rsidRDefault="002042CB" w:rsidP="00DF74E4">
      <w:pPr>
        <w:tabs>
          <w:tab w:val="clear" w:pos="720"/>
        </w:tabs>
        <w:spacing w:line="360" w:lineRule="auto"/>
      </w:pPr>
      <w:r w:rsidRPr="007A53F7">
        <w:tab/>
      </w:r>
      <w:r w:rsidRPr="007A53F7">
        <w:t xml:space="preserve">Minor does not challenge the </w:t>
      </w:r>
      <w:r w:rsidRPr="007A53F7">
        <w:t>juvenile</w:t>
      </w:r>
      <w:r w:rsidRPr="007A53F7">
        <w:t xml:space="preserve"> court’s finding that he was legally stopped for driving a car with illegally tinted windows.  </w:t>
      </w:r>
      <w:r w:rsidRPr="007A53F7">
        <w:t xml:space="preserve">Rather, minor challenges the court’s finding that the marijuana blunt on his passenger’s lap </w:t>
      </w:r>
      <w:r w:rsidRPr="007A53F7">
        <w:t>was</w:t>
      </w:r>
      <w:r w:rsidRPr="007A53F7">
        <w:t xml:space="preserve"> an </w:t>
      </w:r>
      <w:r w:rsidRPr="007A53F7">
        <w:t>“</w:t>
      </w:r>
      <w:r w:rsidRPr="007A53F7">
        <w:t>open container</w:t>
      </w:r>
      <w:r w:rsidRPr="007A53F7">
        <w:t xml:space="preserve">” within the meaning of section 11362.3, </w:t>
      </w:r>
      <w:r>
        <w:t>subdivision (a)(4), which</w:t>
      </w:r>
      <w:r w:rsidRPr="007A53F7">
        <w:t xml:space="preserve"> provided probable cause for</w:t>
      </w:r>
      <w:r w:rsidRPr="007A53F7">
        <w:t xml:space="preserve"> Officer </w:t>
      </w:r>
      <w:proofErr w:type="spellStart"/>
      <w:r w:rsidRPr="007A53F7">
        <w:t>Dugonjic</w:t>
      </w:r>
      <w:proofErr w:type="spellEnd"/>
      <w:r w:rsidRPr="007A53F7">
        <w:t xml:space="preserve"> to</w:t>
      </w:r>
      <w:r w:rsidRPr="007A53F7">
        <w:t xml:space="preserve"> search </w:t>
      </w:r>
      <w:r w:rsidRPr="007A53F7">
        <w:t xml:space="preserve">the </w:t>
      </w:r>
      <w:r w:rsidRPr="007A53F7">
        <w:t xml:space="preserve">BMW’s </w:t>
      </w:r>
      <w:r w:rsidRPr="007A53F7">
        <w:t>passenger compartment</w:t>
      </w:r>
      <w:r w:rsidRPr="007A53F7">
        <w:t xml:space="preserve">.  </w:t>
      </w:r>
      <w:r w:rsidRPr="007A53F7">
        <w:t>H</w:t>
      </w:r>
      <w:r w:rsidRPr="007A53F7">
        <w:t>is challenge fails.</w:t>
      </w:r>
    </w:p>
    <w:p w14:paraId="31D6F955" w14:textId="77777777" w:rsidR="002042CB" w:rsidRPr="007A53F7" w:rsidRDefault="002042CB" w:rsidP="00DF74E4">
      <w:pPr>
        <w:tabs>
          <w:tab w:val="clear" w:pos="720"/>
        </w:tabs>
        <w:spacing w:line="360" w:lineRule="auto"/>
      </w:pPr>
      <w:r w:rsidRPr="007A53F7">
        <w:tab/>
        <w:t xml:space="preserve">To begin, the law is settled that </w:t>
      </w:r>
      <w:r w:rsidRPr="007A53F7">
        <w:rPr>
          <w:shd w:val="clear" w:color="auto" w:fill="FFFFFF"/>
        </w:rPr>
        <w:t>the</w:t>
      </w:r>
      <w:r w:rsidRPr="007A53F7">
        <w:rPr>
          <w:shd w:val="clear" w:color="auto" w:fill="FFFFFF"/>
        </w:rPr>
        <w:t xml:space="preserve"> </w:t>
      </w:r>
      <w:r w:rsidRPr="007A53F7">
        <w:rPr>
          <w:shd w:val="clear" w:color="auto" w:fill="FFFFFF"/>
        </w:rPr>
        <w:t>lawful possession of marijuana</w:t>
      </w:r>
      <w:r w:rsidRPr="007A53F7">
        <w:t xml:space="preserve"> </w:t>
      </w:r>
      <w:r w:rsidRPr="007A53F7">
        <w:rPr>
          <w:shd w:val="clear" w:color="auto" w:fill="FFFFFF"/>
        </w:rPr>
        <w:t xml:space="preserve">in a vehicle does not provide probable cause to search the vehicle.  (E.g., </w:t>
      </w:r>
      <w:r w:rsidRPr="007A53F7">
        <w:rPr>
          <w:i/>
          <w:iCs/>
          <w:shd w:val="clear" w:color="auto" w:fill="FFFFFF"/>
        </w:rPr>
        <w:t>People v. Lee</w:t>
      </w:r>
      <w:r w:rsidRPr="007A53F7">
        <w:rPr>
          <w:shd w:val="clear" w:color="auto" w:fill="FFFFFF"/>
        </w:rPr>
        <w:t xml:space="preserve"> (2019) 40 Cal.App.5th 853, 865</w:t>
      </w:r>
      <w:r w:rsidRPr="007A53F7">
        <w:t>–</w:t>
      </w:r>
      <w:r w:rsidRPr="007A53F7">
        <w:rPr>
          <w:shd w:val="clear" w:color="auto" w:fill="FFFFFF"/>
        </w:rPr>
        <w:t xml:space="preserve">867; </w:t>
      </w:r>
      <w:r w:rsidRPr="00DF74E4">
        <w:rPr>
          <w:i/>
          <w:iCs/>
        </w:rPr>
        <w:t>Hall</w:t>
      </w:r>
      <w:r w:rsidRPr="00DF74E4">
        <w:rPr>
          <w:i/>
          <w:iCs/>
        </w:rPr>
        <w:t>,</w:t>
      </w:r>
      <w:r w:rsidRPr="00DF74E4">
        <w:rPr>
          <w:i/>
          <w:iCs/>
        </w:rPr>
        <w:t xml:space="preserve"> </w:t>
      </w:r>
      <w:r w:rsidRPr="00DF74E4">
        <w:rPr>
          <w:i/>
          <w:iCs/>
        </w:rPr>
        <w:t>supra</w:t>
      </w:r>
      <w:r w:rsidRPr="007A53F7">
        <w:t xml:space="preserve">, </w:t>
      </w:r>
      <w:r w:rsidRPr="007A53F7">
        <w:t xml:space="preserve">57 Cal.App.5th </w:t>
      </w:r>
      <w:r w:rsidRPr="007A53F7">
        <w:t>at p.</w:t>
      </w:r>
      <w:r>
        <w:t> </w:t>
      </w:r>
      <w:r w:rsidRPr="007A53F7">
        <w:t xml:space="preserve">948.)  The question raised here, however, is whether the </w:t>
      </w:r>
      <w:r w:rsidRPr="007A53F7">
        <w:rPr>
          <w:i/>
          <w:iCs/>
        </w:rPr>
        <w:t>unlawful</w:t>
      </w:r>
      <w:r w:rsidRPr="007A53F7">
        <w:t xml:space="preserve"> possession of marijuana provided probable cause to search the BMW driven by minor.</w:t>
      </w:r>
    </w:p>
    <w:p w14:paraId="1F28123D" w14:textId="77777777" w:rsidR="002042CB" w:rsidRPr="007A53F7" w:rsidRDefault="002042CB" w:rsidP="00DF74E4">
      <w:pPr>
        <w:tabs>
          <w:tab w:val="clear" w:pos="720"/>
        </w:tabs>
        <w:spacing w:line="360" w:lineRule="auto"/>
        <w:rPr>
          <w:shd w:val="clear" w:color="auto" w:fill="FFFFFF"/>
        </w:rPr>
      </w:pPr>
      <w:r w:rsidRPr="007A53F7">
        <w:tab/>
      </w:r>
      <w:r w:rsidRPr="007A53F7">
        <w:t xml:space="preserve">Section 11362.3, </w:t>
      </w:r>
      <w:r>
        <w:t>subdivision (a)(4)</w:t>
      </w:r>
      <w:r w:rsidRPr="007A53F7">
        <w:t xml:space="preserve"> </w:t>
      </w:r>
      <w:r w:rsidRPr="007A53F7">
        <w:t>clearly states</w:t>
      </w:r>
      <w:r w:rsidRPr="007A53F7">
        <w:t xml:space="preserve"> </w:t>
      </w:r>
      <w:r w:rsidRPr="007A53F7">
        <w:t xml:space="preserve">that no one </w:t>
      </w:r>
      <w:r w:rsidRPr="007A53F7">
        <w:rPr>
          <w:shd w:val="clear" w:color="auto" w:fill="FFFFFF"/>
        </w:rPr>
        <w:t>is permitted to “[p]</w:t>
      </w:r>
      <w:proofErr w:type="spellStart"/>
      <w:r w:rsidRPr="007A53F7">
        <w:rPr>
          <w:shd w:val="clear" w:color="auto" w:fill="FFFFFF"/>
        </w:rPr>
        <w:t>ossess</w:t>
      </w:r>
      <w:proofErr w:type="spellEnd"/>
      <w:r w:rsidRPr="007A53F7">
        <w:rPr>
          <w:shd w:val="clear" w:color="auto" w:fill="FFFFFF"/>
        </w:rPr>
        <w:t xml:space="preserve"> an open container or open package of cannabis or cannabis products while driving, operating, or riding in the passenger seat or compartment of a motor </w:t>
      </w:r>
      <w:r>
        <w:rPr>
          <w:shd w:val="clear" w:color="auto" w:fill="FFFFFF"/>
        </w:rPr>
        <w:t>vehicle </w:t>
      </w:r>
      <w:proofErr w:type="gramStart"/>
      <w:r>
        <w:rPr>
          <w:shd w:val="clear" w:color="auto" w:fill="FFFFFF"/>
        </w:rPr>
        <w:t>. . . .</w:t>
      </w:r>
      <w:proofErr w:type="gramEnd"/>
      <w:r w:rsidRPr="007A53F7">
        <w:rPr>
          <w:shd w:val="clear" w:color="auto" w:fill="FFFFFF"/>
        </w:rPr>
        <w:t xml:space="preserve">” </w:t>
      </w:r>
      <w:r w:rsidRPr="007A53F7">
        <w:rPr>
          <w:shd w:val="clear" w:color="auto" w:fill="FFFFFF"/>
        </w:rPr>
        <w:t xml:space="preserve"> </w:t>
      </w:r>
      <w:r w:rsidRPr="007A53F7">
        <w:rPr>
          <w:shd w:val="clear" w:color="auto" w:fill="FFFFFF"/>
        </w:rPr>
        <w:t>(§ 11362.3, subd. (a)(4).)</w:t>
      </w:r>
      <w:r w:rsidRPr="007A53F7">
        <w:t xml:space="preserve">  </w:t>
      </w:r>
      <w:r w:rsidRPr="007A53F7">
        <w:t xml:space="preserve">In addition, section 11357 makes it </w:t>
      </w:r>
      <w:r w:rsidRPr="007A53F7">
        <w:rPr>
          <w:shd w:val="clear" w:color="auto" w:fill="FFFFFF"/>
        </w:rPr>
        <w:t xml:space="preserve">unlawful for a person under 21 </w:t>
      </w:r>
      <w:r w:rsidRPr="007A53F7">
        <w:rPr>
          <w:shd w:val="clear" w:color="auto" w:fill="FFFFFF"/>
        </w:rPr>
        <w:t>years of age, such as minor, to possess any amount of recreational marijuana.  (§ 11357.)</w:t>
      </w:r>
    </w:p>
    <w:p w14:paraId="5F507843" w14:textId="77777777" w:rsidR="002042CB" w:rsidRPr="007A53F7" w:rsidRDefault="002042CB" w:rsidP="00DF74E4">
      <w:pPr>
        <w:tabs>
          <w:tab w:val="clear" w:pos="720"/>
        </w:tabs>
        <w:spacing w:line="360" w:lineRule="auto"/>
        <w:rPr>
          <w:shd w:val="clear" w:color="auto" w:fill="FFFFFF"/>
        </w:rPr>
      </w:pPr>
      <w:r w:rsidRPr="007A53F7">
        <w:rPr>
          <w:shd w:val="clear" w:color="auto" w:fill="FFFFFF"/>
        </w:rPr>
        <w:tab/>
        <w:t xml:space="preserve">As recently explained by our appellate colleagues in the Second Appellate District, </w:t>
      </w:r>
      <w:r w:rsidRPr="007A53F7">
        <w:rPr>
          <w:shd w:val="clear" w:color="auto" w:fill="FFFFFF"/>
        </w:rPr>
        <w:t>“</w:t>
      </w:r>
      <w:r w:rsidRPr="007A53F7">
        <w:rPr>
          <w:shd w:val="clear" w:color="auto" w:fill="FFFFFF"/>
        </w:rPr>
        <w:t>s</w:t>
      </w:r>
      <w:r w:rsidRPr="007A53F7">
        <w:rPr>
          <w:shd w:val="clear" w:color="auto" w:fill="FFFFFF"/>
        </w:rPr>
        <w:t>ection 11362.1</w:t>
      </w:r>
      <w:r w:rsidRPr="007A53F7">
        <w:rPr>
          <w:rStyle w:val="ssrfcsection"/>
          <w:bdr w:val="none" w:sz="0" w:space="0" w:color="auto" w:frame="1"/>
          <w:shd w:val="clear" w:color="auto" w:fill="FFFFFF"/>
        </w:rPr>
        <w:t xml:space="preserve">, added by </w:t>
      </w:r>
      <w:r>
        <w:rPr>
          <w:rStyle w:val="ssrfcsection"/>
          <w:bdr w:val="none" w:sz="0" w:space="0" w:color="auto" w:frame="1"/>
          <w:shd w:val="clear" w:color="auto" w:fill="FFFFFF"/>
        </w:rPr>
        <w:t>Proposition 64</w:t>
      </w:r>
      <w:r w:rsidRPr="007A53F7">
        <w:rPr>
          <w:rStyle w:val="ssrfcsection"/>
          <w:bdr w:val="none" w:sz="0" w:space="0" w:color="auto" w:frame="1"/>
          <w:shd w:val="clear" w:color="auto" w:fill="FFFFFF"/>
        </w:rPr>
        <w:t xml:space="preserve">, </w:t>
      </w:r>
      <w:proofErr w:type="gramStart"/>
      <w:r w:rsidRPr="007A53F7">
        <w:rPr>
          <w:rStyle w:val="ssrfcsection"/>
          <w:bdr w:val="none" w:sz="0" w:space="0" w:color="auto" w:frame="1"/>
          <w:shd w:val="clear" w:color="auto" w:fill="FFFFFF"/>
        </w:rPr>
        <w:t>‘</w:t>
      </w:r>
      <w:r w:rsidRPr="007A53F7">
        <w:rPr>
          <w:rStyle w:val="ssrfcsection"/>
          <w:bdr w:val="none" w:sz="0" w:space="0" w:color="auto" w:frame="1"/>
          <w:shd w:val="clear" w:color="auto" w:fill="FFFFFF"/>
        </w:rPr>
        <w:t> </w:t>
      </w:r>
      <w:r w:rsidRPr="007A53F7">
        <w:rPr>
          <w:rStyle w:val="ssrfcsection"/>
          <w:bdr w:val="none" w:sz="0" w:space="0" w:color="auto" w:frame="1"/>
          <w:shd w:val="clear" w:color="auto" w:fill="FFFFFF"/>
        </w:rPr>
        <w:t>“</w:t>
      </w:r>
      <w:proofErr w:type="gramEnd"/>
      <w:r w:rsidRPr="007A53F7">
        <w:rPr>
          <w:rStyle w:val="ssrfcsection"/>
          <w:bdr w:val="none" w:sz="0" w:space="0" w:color="auto" w:frame="1"/>
          <w:shd w:val="clear" w:color="auto" w:fill="FFFFFF"/>
        </w:rPr>
        <w:t>fundamentally changed the probable</w:t>
      </w:r>
      <w:r w:rsidRPr="007A53F7">
        <w:rPr>
          <w:rStyle w:val="ssrfcsection"/>
          <w:bdr w:val="none" w:sz="0" w:space="0" w:color="auto" w:frame="1"/>
          <w:shd w:val="clear" w:color="auto" w:fill="FFFFFF"/>
        </w:rPr>
        <w:t xml:space="preserve"> </w:t>
      </w:r>
      <w:r w:rsidRPr="007A53F7">
        <w:rPr>
          <w:rStyle w:val="ssrfcsection"/>
          <w:bdr w:val="none" w:sz="0" w:space="0" w:color="auto" w:frame="1"/>
          <w:shd w:val="clear" w:color="auto" w:fill="FFFFFF"/>
        </w:rPr>
        <w:t>cause determination by specifying</w:t>
      </w:r>
      <w:r w:rsidRPr="007A53F7">
        <w:rPr>
          <w:rStyle w:val="ssrfcsection"/>
          <w:bdr w:val="none" w:sz="0" w:space="0" w:color="auto" w:frame="1"/>
          <w:shd w:val="clear" w:color="auto" w:fill="FFFFFF"/>
        </w:rPr>
        <w:t xml:space="preserve"> </w:t>
      </w:r>
      <w:r w:rsidRPr="007A53F7">
        <w:rPr>
          <w:rStyle w:val="ssit"/>
          <w:i/>
          <w:iCs/>
          <w:bdr w:val="none" w:sz="0" w:space="0" w:color="auto" w:frame="1"/>
          <w:shd w:val="clear" w:color="auto" w:fill="FFFFFF"/>
        </w:rPr>
        <w:lastRenderedPageBreak/>
        <w:t>lawfully possessed cannabis</w:t>
      </w:r>
      <w:r w:rsidRPr="007A53F7">
        <w:rPr>
          <w:rStyle w:val="ssrfcsection"/>
          <w:bdr w:val="none" w:sz="0" w:space="0" w:color="auto" w:frame="1"/>
          <w:shd w:val="clear" w:color="auto" w:fill="FFFFFF"/>
        </w:rPr>
        <w:t xml:space="preserve"> </w:t>
      </w:r>
      <w:r w:rsidRPr="007A53F7">
        <w:rPr>
          <w:rStyle w:val="ssrfcsection"/>
          <w:bdr w:val="none" w:sz="0" w:space="0" w:color="auto" w:frame="1"/>
          <w:shd w:val="clear" w:color="auto" w:fill="FFFFFF"/>
        </w:rPr>
        <w:t>is ‘not contraband’ and</w:t>
      </w:r>
      <w:r w:rsidRPr="007A53F7">
        <w:rPr>
          <w:rStyle w:val="ssrfcsection"/>
          <w:bdr w:val="none" w:sz="0" w:space="0" w:color="auto" w:frame="1"/>
          <w:shd w:val="clear" w:color="auto" w:fill="FFFFFF"/>
        </w:rPr>
        <w:t xml:space="preserve"> </w:t>
      </w:r>
      <w:r w:rsidRPr="007A53F7">
        <w:rPr>
          <w:rStyle w:val="ssit"/>
          <w:i/>
          <w:iCs/>
          <w:bdr w:val="none" w:sz="0" w:space="0" w:color="auto" w:frame="1"/>
          <w:shd w:val="clear" w:color="auto" w:fill="FFFFFF"/>
        </w:rPr>
        <w:t>lawful conduct</w:t>
      </w:r>
      <w:r w:rsidRPr="007A53F7">
        <w:rPr>
          <w:rStyle w:val="ssrfcsection"/>
          <w:bdr w:val="none" w:sz="0" w:space="0" w:color="auto" w:frame="1"/>
          <w:shd w:val="clear" w:color="auto" w:fill="FFFFFF"/>
        </w:rPr>
        <w:t xml:space="preserve"> </w:t>
      </w:r>
      <w:r w:rsidRPr="007A53F7">
        <w:rPr>
          <w:rStyle w:val="ssrfcsection"/>
          <w:bdr w:val="none" w:sz="0" w:space="0" w:color="auto" w:frame="1"/>
          <w:shd w:val="clear" w:color="auto" w:fill="FFFFFF"/>
        </w:rPr>
        <w:t xml:space="preserve">under the statute may not ‘constitute the basis for detention, search or arrest.’ </w:t>
      </w:r>
      <w:r w:rsidRPr="007A53F7">
        <w:rPr>
          <w:rStyle w:val="ssrfcsection"/>
          <w:bdr w:val="none" w:sz="0" w:space="0" w:color="auto" w:frame="1"/>
          <w:shd w:val="clear" w:color="auto" w:fill="FFFFFF"/>
        </w:rPr>
        <w:t xml:space="preserve"> </w:t>
      </w:r>
      <w:r w:rsidRPr="007A53F7">
        <w:rPr>
          <w:rStyle w:val="ssrfcsection"/>
          <w:bdr w:val="none" w:sz="0" w:space="0" w:color="auto" w:frame="1"/>
          <w:shd w:val="clear" w:color="auto" w:fill="FFFFFF"/>
        </w:rPr>
        <w:t xml:space="preserve">[Citations.]” </w:t>
      </w:r>
      <w:r w:rsidRPr="007A53F7">
        <w:rPr>
          <w:rStyle w:val="ssrfcsection"/>
          <w:bdr w:val="none" w:sz="0" w:space="0" w:color="auto" w:frame="1"/>
          <w:shd w:val="clear" w:color="auto" w:fill="FFFFFF"/>
        </w:rPr>
        <w:t xml:space="preserve"> </w:t>
      </w:r>
      <w:r w:rsidRPr="007A53F7">
        <w:rPr>
          <w:rStyle w:val="ssrfcsection"/>
          <w:bdr w:val="none" w:sz="0" w:space="0" w:color="auto" w:frame="1"/>
          <w:shd w:val="clear" w:color="auto" w:fill="FFFFFF"/>
        </w:rPr>
        <w:t>[Citation.]</w:t>
      </w:r>
      <w:r w:rsidRPr="007A53F7">
        <w:rPr>
          <w:rStyle w:val="ssrfcsection"/>
          <w:bdr w:val="none" w:sz="0" w:space="0" w:color="auto" w:frame="1"/>
          <w:shd w:val="clear" w:color="auto" w:fill="FFFFFF"/>
        </w:rPr>
        <w:t xml:space="preserve">  </w:t>
      </w:r>
      <w:r w:rsidRPr="007A53F7">
        <w:rPr>
          <w:rStyle w:val="ssrfcpassagedeactivated"/>
          <w:bdr w:val="none" w:sz="0" w:space="0" w:color="auto" w:frame="1"/>
          <w:shd w:val="clear" w:color="auto" w:fill="FFFFFF"/>
        </w:rPr>
        <w:t>But this applies only to activities “deemed lawful” by</w:t>
      </w:r>
      <w:r w:rsidRPr="007A53F7">
        <w:rPr>
          <w:rStyle w:val="ssrfcpassagedeactivated"/>
          <w:bdr w:val="none" w:sz="0" w:space="0" w:color="auto" w:frame="1"/>
          <w:shd w:val="clear" w:color="auto" w:fill="FFFFFF"/>
        </w:rPr>
        <w:t xml:space="preserve"> </w:t>
      </w:r>
      <w:r w:rsidRPr="007A53F7">
        <w:rPr>
          <w:rStyle w:val="ssrfcpassagedeactivated"/>
          <w:bdr w:val="none" w:sz="0" w:space="0" w:color="auto" w:frame="1"/>
          <w:shd w:val="clear" w:color="auto" w:fill="FFFFFF"/>
        </w:rPr>
        <w:t>Proposition 64.</w:t>
      </w:r>
      <w:proofErr w:type="gramStart"/>
      <w:r w:rsidRPr="007A53F7">
        <w:rPr>
          <w:rStyle w:val="ssrfcpassagedeactivated"/>
          <w:bdr w:val="none" w:sz="0" w:space="0" w:color="auto" w:frame="1"/>
          <w:shd w:val="clear" w:color="auto" w:fill="FFFFFF"/>
        </w:rPr>
        <w:t>’</w:t>
      </w:r>
      <w:r w:rsidRPr="007A53F7">
        <w:rPr>
          <w:rStyle w:val="ssrfcpassagedeactivated"/>
          <w:bdr w:val="none" w:sz="0" w:space="0" w:color="auto" w:frame="1"/>
          <w:shd w:val="clear" w:color="auto" w:fill="FFFFFF"/>
        </w:rPr>
        <w:t> </w:t>
      </w:r>
      <w:r w:rsidRPr="007A53F7">
        <w:rPr>
          <w:rStyle w:val="ssrfcpassagedeactivated"/>
          <w:bdr w:val="none" w:sz="0" w:space="0" w:color="auto" w:frame="1"/>
          <w:shd w:val="clear" w:color="auto" w:fill="FFFFFF"/>
        </w:rPr>
        <w:t>”</w:t>
      </w:r>
      <w:proofErr w:type="gramEnd"/>
      <w:r w:rsidRPr="007A53F7">
        <w:rPr>
          <w:rStyle w:val="ssrfcpassagedeactivated"/>
          <w:bdr w:val="none" w:sz="0" w:space="0" w:color="auto" w:frame="1"/>
          <w:shd w:val="clear" w:color="auto" w:fill="FFFFFF"/>
        </w:rPr>
        <w:t xml:space="preserve">  </w:t>
      </w:r>
      <w:r w:rsidRPr="007A53F7">
        <w:rPr>
          <w:shd w:val="clear" w:color="auto" w:fill="FFFFFF"/>
        </w:rPr>
        <w:t>(</w:t>
      </w:r>
      <w:r w:rsidRPr="007A53F7">
        <w:rPr>
          <w:i/>
          <w:iCs/>
          <w:shd w:val="clear" w:color="auto" w:fill="FFFFFF"/>
        </w:rPr>
        <w:t>Castro, supra</w:t>
      </w:r>
      <w:r w:rsidRPr="007A53F7">
        <w:rPr>
          <w:shd w:val="clear" w:color="auto" w:fill="FFFFFF"/>
        </w:rPr>
        <w:t>, 86 Cal.App.5th at pp. 320</w:t>
      </w:r>
      <w:r w:rsidRPr="007A53F7">
        <w:t>–</w:t>
      </w:r>
      <w:r w:rsidRPr="007A53F7">
        <w:rPr>
          <w:shd w:val="clear" w:color="auto" w:fill="FFFFFF"/>
        </w:rPr>
        <w:t xml:space="preserve">321.) </w:t>
      </w:r>
      <w:r w:rsidRPr="007A53F7">
        <w:rPr>
          <w:shd w:val="clear" w:color="auto" w:fill="FFFFFF"/>
        </w:rPr>
        <w:t xml:space="preserve"> </w:t>
      </w:r>
      <w:r w:rsidRPr="007A53F7">
        <w:rPr>
          <w:shd w:val="clear" w:color="auto" w:fill="FFFFFF"/>
        </w:rPr>
        <w:t>I</w:t>
      </w:r>
      <w:r w:rsidRPr="007A53F7">
        <w:rPr>
          <w:shd w:val="clear" w:color="auto" w:fill="FFFFFF"/>
        </w:rPr>
        <w:t xml:space="preserve">n </w:t>
      </w:r>
      <w:r w:rsidRPr="007A53F7">
        <w:rPr>
          <w:i/>
          <w:iCs/>
          <w:shd w:val="clear" w:color="auto" w:fill="FFFFFF"/>
        </w:rPr>
        <w:t>Castro</w:t>
      </w:r>
      <w:r w:rsidRPr="007A53F7">
        <w:rPr>
          <w:shd w:val="clear" w:color="auto" w:fill="FFFFFF"/>
        </w:rPr>
        <w:t>, i</w:t>
      </w:r>
      <w:r w:rsidRPr="007A53F7">
        <w:rPr>
          <w:shd w:val="clear" w:color="auto" w:fill="FFFFFF"/>
        </w:rPr>
        <w:t>t was</w:t>
      </w:r>
      <w:r w:rsidRPr="007A53F7">
        <w:rPr>
          <w:shd w:val="clear" w:color="auto" w:fill="FFFFFF"/>
        </w:rPr>
        <w:t xml:space="preserve"> </w:t>
      </w:r>
      <w:r w:rsidRPr="007A53F7">
        <w:rPr>
          <w:shd w:val="clear" w:color="auto" w:fill="FFFFFF"/>
        </w:rPr>
        <w:t>unlawful for the defendant, a minor,</w:t>
      </w:r>
      <w:r w:rsidRPr="007A53F7">
        <w:rPr>
          <w:shd w:val="clear" w:color="auto" w:fill="FFFFFF"/>
        </w:rPr>
        <w:t xml:space="preserve"> and his minor passengers to </w:t>
      </w:r>
      <w:r w:rsidRPr="007A53F7">
        <w:rPr>
          <w:shd w:val="clear" w:color="auto" w:fill="FFFFFF"/>
        </w:rPr>
        <w:t>“</w:t>
      </w:r>
      <w:r w:rsidRPr="007A53F7">
        <w:rPr>
          <w:shd w:val="clear" w:color="auto" w:fill="FFFFFF"/>
        </w:rPr>
        <w:t xml:space="preserve">possess any amount of recreational marijuana due to their age.”  </w:t>
      </w:r>
      <w:r w:rsidRPr="007A53F7">
        <w:rPr>
          <w:shd w:val="clear" w:color="auto" w:fill="FFFFFF"/>
        </w:rPr>
        <w:t>(</w:t>
      </w:r>
      <w:r w:rsidRPr="007A53F7">
        <w:rPr>
          <w:i/>
          <w:iCs/>
          <w:shd w:val="clear" w:color="auto" w:fill="FFFFFF"/>
        </w:rPr>
        <w:t>Id</w:t>
      </w:r>
      <w:r w:rsidRPr="007A53F7">
        <w:rPr>
          <w:shd w:val="clear" w:color="auto" w:fill="FFFFFF"/>
        </w:rPr>
        <w:t>. at p.</w:t>
      </w:r>
      <w:r>
        <w:rPr>
          <w:shd w:val="clear" w:color="auto" w:fill="FFFFFF"/>
        </w:rPr>
        <w:t> </w:t>
      </w:r>
      <w:r w:rsidRPr="007A53F7">
        <w:rPr>
          <w:shd w:val="clear" w:color="auto" w:fill="FFFFFF"/>
        </w:rPr>
        <w:t xml:space="preserve">321.)  The </w:t>
      </w:r>
      <w:r w:rsidRPr="007A53F7">
        <w:rPr>
          <w:shd w:val="clear" w:color="auto" w:fill="FFFFFF"/>
        </w:rPr>
        <w:t xml:space="preserve">officer </w:t>
      </w:r>
      <w:r w:rsidRPr="007A53F7">
        <w:rPr>
          <w:shd w:val="clear" w:color="auto" w:fill="FFFFFF"/>
        </w:rPr>
        <w:t xml:space="preserve">thus </w:t>
      </w:r>
      <w:r w:rsidRPr="007A53F7">
        <w:rPr>
          <w:shd w:val="clear" w:color="auto" w:fill="FFFFFF"/>
        </w:rPr>
        <w:t xml:space="preserve">had probable cause to search the </w:t>
      </w:r>
      <w:r w:rsidRPr="007A53F7">
        <w:rPr>
          <w:shd w:val="clear" w:color="auto" w:fill="FFFFFF"/>
        </w:rPr>
        <w:t xml:space="preserve">defendant/minor’s car </w:t>
      </w:r>
      <w:r w:rsidRPr="007A53F7">
        <w:rPr>
          <w:shd w:val="clear" w:color="auto" w:fill="FFFFFF"/>
        </w:rPr>
        <w:t>for “contraband or evidence of a crime (e.g., marijuana)” based on the smell of marijuana coming from inside the car and defendant’s admission he had</w:t>
      </w:r>
      <w:r w:rsidRPr="007A53F7">
        <w:rPr>
          <w:shd w:val="clear" w:color="auto" w:fill="FFFFFF"/>
        </w:rPr>
        <w:t xml:space="preserve"> </w:t>
      </w:r>
      <w:r w:rsidRPr="007A53F7">
        <w:rPr>
          <w:shd w:val="clear" w:color="auto" w:fill="FFFFFF"/>
        </w:rPr>
        <w:t>smoked marijuana.</w:t>
      </w:r>
      <w:r w:rsidRPr="007A53F7">
        <w:rPr>
          <w:shd w:val="clear" w:color="auto" w:fill="FFFFFF"/>
        </w:rPr>
        <w:t xml:space="preserve">  (</w:t>
      </w:r>
      <w:r w:rsidRPr="007A53F7">
        <w:rPr>
          <w:i/>
          <w:iCs/>
          <w:shd w:val="clear" w:color="auto" w:fill="FFFFFF"/>
        </w:rPr>
        <w:t>Id</w:t>
      </w:r>
      <w:r w:rsidRPr="007A53F7">
        <w:rPr>
          <w:shd w:val="clear" w:color="auto" w:fill="FFFFFF"/>
        </w:rPr>
        <w:t>. at pp. 320</w:t>
      </w:r>
      <w:r w:rsidRPr="007A53F7">
        <w:t>–</w:t>
      </w:r>
      <w:r w:rsidRPr="007A53F7">
        <w:rPr>
          <w:shd w:val="clear" w:color="auto" w:fill="FFFFFF"/>
        </w:rPr>
        <w:t>321</w:t>
      </w:r>
      <w:r w:rsidRPr="007A53F7">
        <w:rPr>
          <w:shd w:val="clear" w:color="auto" w:fill="FFFFFF"/>
        </w:rPr>
        <w:t>.)</w:t>
      </w:r>
    </w:p>
    <w:p w14:paraId="2D2294D5" w14:textId="77777777" w:rsidR="002042CB" w:rsidRPr="007A53F7" w:rsidRDefault="002042CB" w:rsidP="00DF74E4">
      <w:pPr>
        <w:tabs>
          <w:tab w:val="clear" w:pos="720"/>
        </w:tabs>
        <w:spacing w:line="360" w:lineRule="auto"/>
        <w:rPr>
          <w:shd w:val="clear" w:color="auto" w:fill="FFFFFF"/>
        </w:rPr>
      </w:pPr>
      <w:r w:rsidRPr="007A53F7">
        <w:rPr>
          <w:shd w:val="clear" w:color="auto" w:fill="FFFFFF"/>
        </w:rPr>
        <w:tab/>
        <w:t>Similarly, in</w:t>
      </w:r>
      <w:r w:rsidRPr="007A53F7">
        <w:rPr>
          <w:shd w:val="clear" w:color="auto" w:fill="FFFFFF"/>
        </w:rPr>
        <w:t xml:space="preserve"> </w:t>
      </w:r>
      <w:r w:rsidRPr="00DF74E4">
        <w:rPr>
          <w:i/>
          <w:iCs/>
          <w:shd w:val="clear" w:color="auto" w:fill="FFFFFF"/>
        </w:rPr>
        <w:t>McGee</w:t>
      </w:r>
      <w:r w:rsidRPr="00DF74E4">
        <w:rPr>
          <w:i/>
          <w:iCs/>
          <w:shd w:val="clear" w:color="auto" w:fill="FFFFFF"/>
        </w:rPr>
        <w:t>, supra</w:t>
      </w:r>
      <w:r w:rsidRPr="007A53F7">
        <w:rPr>
          <w:shd w:val="clear" w:color="auto" w:fill="FFFFFF"/>
        </w:rPr>
        <w:t xml:space="preserve">, </w:t>
      </w:r>
      <w:r w:rsidRPr="007A53F7">
        <w:rPr>
          <w:shd w:val="clear" w:color="auto" w:fill="FFFFFF"/>
        </w:rPr>
        <w:t xml:space="preserve">53 Cal.App.5th </w:t>
      </w:r>
      <w:r w:rsidRPr="007A53F7">
        <w:rPr>
          <w:shd w:val="clear" w:color="auto" w:fill="FFFFFF"/>
        </w:rPr>
        <w:t xml:space="preserve">at </w:t>
      </w:r>
      <w:r>
        <w:rPr>
          <w:shd w:val="clear" w:color="auto" w:fill="FFFFFF"/>
        </w:rPr>
        <w:t>page 804</w:t>
      </w:r>
      <w:r w:rsidRPr="007A53F7">
        <w:rPr>
          <w:shd w:val="clear" w:color="auto" w:fill="FFFFFF"/>
        </w:rPr>
        <w:t>, the officer had probable cause to search the passenger’s purse, “as a ‘</w:t>
      </w:r>
      <w:proofErr w:type="gramStart"/>
      <w:r w:rsidRPr="007A53F7">
        <w:rPr>
          <w:shd w:val="clear" w:color="auto" w:fill="FFFFFF"/>
        </w:rPr>
        <w:t>compartment[</w:t>
      </w:r>
      <w:proofErr w:type="gramEnd"/>
      <w:r w:rsidRPr="007A53F7">
        <w:rPr>
          <w:shd w:val="clear" w:color="auto" w:fill="FFFFFF"/>
        </w:rPr>
        <w:t xml:space="preserve">] [or] container[] within the vehicle whose contents [were] not in plain </w:t>
      </w:r>
      <w:r>
        <w:rPr>
          <w:shd w:val="clear" w:color="auto" w:fill="FFFFFF"/>
        </w:rPr>
        <w:t>view,’ ”</w:t>
      </w:r>
      <w:r w:rsidRPr="007A53F7">
        <w:rPr>
          <w:shd w:val="clear" w:color="auto" w:fill="FFFFFF"/>
        </w:rPr>
        <w:t xml:space="preserve"> after witnessing the passenger in possession of an unsealed container of marijuana in violation of</w:t>
      </w:r>
      <w:r w:rsidRPr="007A53F7">
        <w:rPr>
          <w:shd w:val="clear" w:color="auto" w:fill="FFFFFF"/>
        </w:rPr>
        <w:t xml:space="preserve"> </w:t>
      </w:r>
      <w:r w:rsidRPr="007A53F7">
        <w:rPr>
          <w:shd w:val="clear" w:color="auto" w:fill="FFFFFF"/>
        </w:rPr>
        <w:t xml:space="preserve">section 11362.3, </w:t>
      </w:r>
      <w:r>
        <w:rPr>
          <w:shd w:val="clear" w:color="auto" w:fill="FFFFFF"/>
        </w:rPr>
        <w:t>subdivision (a)(4)</w:t>
      </w:r>
      <w:r w:rsidRPr="007A53F7">
        <w:rPr>
          <w:shd w:val="clear" w:color="auto" w:fill="FFFFFF"/>
        </w:rPr>
        <w:t>.  According to the court, “[t]</w:t>
      </w:r>
      <w:proofErr w:type="gramStart"/>
      <w:r w:rsidRPr="007A53F7">
        <w:rPr>
          <w:shd w:val="clear" w:color="auto" w:fill="FFFFFF"/>
        </w:rPr>
        <w:t>he</w:t>
      </w:r>
      <w:proofErr w:type="gramEnd"/>
      <w:r w:rsidRPr="007A53F7">
        <w:rPr>
          <w:shd w:val="clear" w:color="auto" w:fill="FFFFFF"/>
        </w:rPr>
        <w:t xml:space="preserve"> presence of this contraband provided probable cause to believe the passenger possessed other open containers,” thereby justifying the officer’s search under the automobile excep</w:t>
      </w:r>
      <w:r w:rsidRPr="007A53F7">
        <w:rPr>
          <w:shd w:val="clear" w:color="auto" w:fill="FFFFFF"/>
        </w:rPr>
        <w:t>tion.</w:t>
      </w:r>
      <w:r w:rsidRPr="007A53F7">
        <w:rPr>
          <w:shd w:val="clear" w:color="auto" w:fill="FFFFFF"/>
        </w:rPr>
        <w:t xml:space="preserve"> </w:t>
      </w:r>
      <w:r w:rsidRPr="007A53F7">
        <w:rPr>
          <w:shd w:val="clear" w:color="auto" w:fill="FFFFFF"/>
        </w:rPr>
        <w:t xml:space="preserve"> (</w:t>
      </w:r>
      <w:r w:rsidRPr="007A53F7">
        <w:rPr>
          <w:i/>
          <w:iCs/>
          <w:shd w:val="clear" w:color="auto" w:fill="FFFFFF"/>
        </w:rPr>
        <w:t>McGee</w:t>
      </w:r>
      <w:r w:rsidRPr="007A53F7">
        <w:rPr>
          <w:shd w:val="clear" w:color="auto" w:fill="FFFFFF"/>
        </w:rPr>
        <w:t xml:space="preserve">, at </w:t>
      </w:r>
      <w:r w:rsidRPr="007A53F7">
        <w:rPr>
          <w:shd w:val="clear" w:color="auto" w:fill="FFFFFF"/>
        </w:rPr>
        <w:t>p. 804</w:t>
      </w:r>
      <w:r w:rsidRPr="007A53F7">
        <w:rPr>
          <w:i/>
          <w:iCs/>
          <w:shd w:val="clear" w:color="auto" w:fill="FFFFFF"/>
        </w:rPr>
        <w:t>.</w:t>
      </w:r>
      <w:r w:rsidRPr="007A53F7">
        <w:rPr>
          <w:shd w:val="clear" w:color="auto" w:fill="FFFFFF"/>
        </w:rPr>
        <w:t>)</w:t>
      </w:r>
    </w:p>
    <w:p w14:paraId="22B477D6" w14:textId="77777777" w:rsidR="002042CB" w:rsidRPr="007A53F7" w:rsidRDefault="002042CB" w:rsidP="00DF74E4">
      <w:pPr>
        <w:tabs>
          <w:tab w:val="clear" w:pos="720"/>
        </w:tabs>
        <w:spacing w:line="360" w:lineRule="auto"/>
        <w:rPr>
          <w:shd w:val="clear" w:color="auto" w:fill="FFFFFF"/>
        </w:rPr>
      </w:pPr>
      <w:r w:rsidRPr="007A53F7">
        <w:rPr>
          <w:shd w:val="clear" w:color="auto" w:fill="FFFFFF"/>
        </w:rPr>
        <w:tab/>
      </w:r>
      <w:r w:rsidRPr="007A53F7">
        <w:rPr>
          <w:shd w:val="clear" w:color="auto" w:fill="FFFFFF"/>
        </w:rPr>
        <w:t>Following this authority</w:t>
      </w:r>
      <w:r w:rsidRPr="007A53F7">
        <w:rPr>
          <w:shd w:val="clear" w:color="auto" w:fill="FFFFFF"/>
        </w:rPr>
        <w:t xml:space="preserve">, </w:t>
      </w:r>
      <w:r w:rsidRPr="007A53F7">
        <w:rPr>
          <w:shd w:val="clear" w:color="auto" w:fill="FFFFFF"/>
        </w:rPr>
        <w:t xml:space="preserve">we conclude Officer </w:t>
      </w:r>
      <w:proofErr w:type="spellStart"/>
      <w:r w:rsidRPr="007A53F7">
        <w:rPr>
          <w:shd w:val="clear" w:color="auto" w:fill="FFFFFF"/>
        </w:rPr>
        <w:t>Dugonjic</w:t>
      </w:r>
      <w:proofErr w:type="spellEnd"/>
      <w:r w:rsidRPr="007A53F7">
        <w:rPr>
          <w:shd w:val="clear" w:color="auto" w:fill="FFFFFF"/>
        </w:rPr>
        <w:t xml:space="preserve"> had probable cause to search the BMW that minor was driving based on the officer’s observation of the unburned marijuana blunt</w:t>
      </w:r>
      <w:bookmarkStart w:id="1" w:name="_Hlk152842465"/>
      <w:r w:rsidRPr="007A53F7">
        <w:t>—</w:t>
      </w:r>
      <w:bookmarkEnd w:id="1"/>
      <w:r w:rsidRPr="007A53F7">
        <w:rPr>
          <w:shd w:val="clear" w:color="auto" w:fill="FFFFFF"/>
        </w:rPr>
        <w:t>a</w:t>
      </w:r>
      <w:r w:rsidRPr="007A53F7">
        <w:rPr>
          <w:shd w:val="clear" w:color="auto" w:fill="FFFFFF"/>
        </w:rPr>
        <w:t xml:space="preserve"> usable amount of marijuana i</w:t>
      </w:r>
      <w:r w:rsidRPr="007A53F7">
        <w:rPr>
          <w:shd w:val="clear" w:color="auto" w:fill="FFFFFF"/>
        </w:rPr>
        <w:t xml:space="preserve">n </w:t>
      </w:r>
      <w:r w:rsidRPr="007A53F7">
        <w:rPr>
          <w:shd w:val="clear" w:color="auto" w:fill="FFFFFF"/>
        </w:rPr>
        <w:t xml:space="preserve">an </w:t>
      </w:r>
      <w:r w:rsidRPr="007A53F7">
        <w:rPr>
          <w:shd w:val="clear" w:color="auto" w:fill="FFFFFF"/>
        </w:rPr>
        <w:t>open container in violation of section 11362.3, subdivision</w:t>
      </w:r>
      <w:r w:rsidRPr="007A53F7">
        <w:rPr>
          <w:shd w:val="clear" w:color="auto" w:fill="FFFFFF"/>
        </w:rPr>
        <w:t> </w:t>
      </w:r>
      <w:r w:rsidRPr="007A53F7">
        <w:rPr>
          <w:shd w:val="clear" w:color="auto" w:fill="FFFFFF"/>
        </w:rPr>
        <w:t>(a)(4)</w:t>
      </w:r>
      <w:r w:rsidRPr="007A53F7">
        <w:t>—</w:t>
      </w:r>
      <w:r w:rsidRPr="007A53F7">
        <w:rPr>
          <w:shd w:val="clear" w:color="auto" w:fill="FFFFFF"/>
        </w:rPr>
        <w:t>in his passenger’s possession.</w:t>
      </w:r>
      <w:r w:rsidRPr="007A53F7">
        <w:rPr>
          <w:shd w:val="clear" w:color="auto" w:fill="FFFFFF"/>
        </w:rPr>
        <w:t xml:space="preserve">  This open container of marijuana was contraband that</w:t>
      </w:r>
      <w:r w:rsidRPr="007A53F7">
        <w:rPr>
          <w:shd w:val="clear" w:color="auto" w:fill="FFFFFF"/>
        </w:rPr>
        <w:t>, along with the smell of unburn</w:t>
      </w:r>
      <w:r w:rsidRPr="007A53F7">
        <w:rPr>
          <w:shd w:val="clear" w:color="auto" w:fill="FFFFFF"/>
        </w:rPr>
        <w:t>t</w:t>
      </w:r>
      <w:r w:rsidRPr="007A53F7">
        <w:rPr>
          <w:shd w:val="clear" w:color="auto" w:fill="FFFFFF"/>
        </w:rPr>
        <w:t xml:space="preserve"> marijuana emanating from the vehicle,</w:t>
      </w:r>
      <w:r w:rsidRPr="007A53F7">
        <w:rPr>
          <w:shd w:val="clear" w:color="auto" w:fill="FFFFFF"/>
        </w:rPr>
        <w:t xml:space="preserve"> provided probable cause to believe minor </w:t>
      </w:r>
      <w:r w:rsidRPr="007A53F7">
        <w:rPr>
          <w:shd w:val="clear" w:color="auto" w:fill="FFFFFF"/>
        </w:rPr>
        <w:t xml:space="preserve">or his passenger </w:t>
      </w:r>
      <w:r w:rsidRPr="007A53F7">
        <w:rPr>
          <w:shd w:val="clear" w:color="auto" w:fill="FFFFFF"/>
        </w:rPr>
        <w:t xml:space="preserve">may also have possessed </w:t>
      </w:r>
      <w:r w:rsidRPr="007A53F7">
        <w:rPr>
          <w:shd w:val="clear" w:color="auto" w:fill="FFFFFF"/>
        </w:rPr>
        <w:t xml:space="preserve">additional </w:t>
      </w:r>
      <w:r w:rsidRPr="007A53F7">
        <w:rPr>
          <w:shd w:val="clear" w:color="auto" w:fill="FFFFFF"/>
        </w:rPr>
        <w:t xml:space="preserve">marijuana in violation of section 11357 and/or section </w:t>
      </w:r>
      <w:r w:rsidRPr="007A53F7">
        <w:rPr>
          <w:shd w:val="clear" w:color="auto" w:fill="FFFFFF"/>
        </w:rPr>
        <w:lastRenderedPageBreak/>
        <w:t xml:space="preserve">11362.3, </w:t>
      </w:r>
      <w:r>
        <w:rPr>
          <w:shd w:val="clear" w:color="auto" w:fill="FFFFFF"/>
        </w:rPr>
        <w:t>subdivision (a)(4)</w:t>
      </w:r>
      <w:r w:rsidRPr="007A53F7">
        <w:rPr>
          <w:shd w:val="clear" w:color="auto" w:fill="FFFFFF"/>
        </w:rPr>
        <w:t>.  (</w:t>
      </w:r>
      <w:r w:rsidRPr="007A53F7">
        <w:rPr>
          <w:i/>
          <w:iCs/>
          <w:shd w:val="clear" w:color="auto" w:fill="FFFFFF"/>
        </w:rPr>
        <w:t>McGee, supra</w:t>
      </w:r>
      <w:r w:rsidRPr="007A53F7">
        <w:rPr>
          <w:shd w:val="clear" w:color="auto" w:fill="FFFFFF"/>
        </w:rPr>
        <w:t xml:space="preserve">, 53 Cal.App.5th at p. 804; </w:t>
      </w:r>
      <w:r w:rsidRPr="007A53F7">
        <w:rPr>
          <w:i/>
          <w:iCs/>
          <w:shd w:val="clear" w:color="auto" w:fill="FFFFFF"/>
        </w:rPr>
        <w:t>Castro, supra</w:t>
      </w:r>
      <w:r w:rsidRPr="007A53F7">
        <w:rPr>
          <w:shd w:val="clear" w:color="auto" w:fill="FFFFFF"/>
        </w:rPr>
        <w:t xml:space="preserve">, 86 </w:t>
      </w:r>
      <w:r w:rsidRPr="007A53F7">
        <w:rPr>
          <w:shd w:val="clear" w:color="auto" w:fill="FFFFFF"/>
        </w:rPr>
        <w:t>Cal.App.5th at pp. 320</w:t>
      </w:r>
      <w:r w:rsidRPr="007A53F7">
        <w:t>–</w:t>
      </w:r>
      <w:r w:rsidRPr="007A53F7">
        <w:rPr>
          <w:shd w:val="clear" w:color="auto" w:fill="FFFFFF"/>
        </w:rPr>
        <w:t>321.)</w:t>
      </w:r>
    </w:p>
    <w:p w14:paraId="00661906" w14:textId="77777777" w:rsidR="002042CB" w:rsidRPr="007A53F7" w:rsidRDefault="002042CB" w:rsidP="00DF74E4">
      <w:pPr>
        <w:tabs>
          <w:tab w:val="clear" w:pos="720"/>
        </w:tabs>
        <w:spacing w:line="360" w:lineRule="auto"/>
        <w:rPr>
          <w:shd w:val="clear" w:color="auto" w:fill="FFFFFF"/>
        </w:rPr>
      </w:pPr>
      <w:r w:rsidRPr="007A53F7">
        <w:rPr>
          <w:shd w:val="clear" w:color="auto" w:fill="FFFFFF"/>
        </w:rPr>
        <w:tab/>
      </w:r>
      <w:r w:rsidRPr="007A53F7">
        <w:rPr>
          <w:shd w:val="clear" w:color="auto" w:fill="FFFFFF"/>
        </w:rPr>
        <w:t>M</w:t>
      </w:r>
      <w:r w:rsidRPr="007A53F7">
        <w:rPr>
          <w:shd w:val="clear" w:color="auto" w:fill="FFFFFF"/>
        </w:rPr>
        <w:t>inor</w:t>
      </w:r>
      <w:r w:rsidRPr="007A53F7">
        <w:rPr>
          <w:shd w:val="clear" w:color="auto" w:fill="FFFFFF"/>
        </w:rPr>
        <w:t xml:space="preserve"> i</w:t>
      </w:r>
      <w:r w:rsidRPr="007A53F7">
        <w:rPr>
          <w:shd w:val="clear" w:color="auto" w:fill="FFFFFF"/>
        </w:rPr>
        <w:t xml:space="preserve">s </w:t>
      </w:r>
      <w:r w:rsidRPr="007A53F7">
        <w:rPr>
          <w:shd w:val="clear" w:color="auto" w:fill="FFFFFF"/>
        </w:rPr>
        <w:t>mistaken</w:t>
      </w:r>
      <w:r w:rsidRPr="007A53F7">
        <w:rPr>
          <w:shd w:val="clear" w:color="auto" w:fill="FFFFFF"/>
        </w:rPr>
        <w:t xml:space="preserve"> that a marijuana blunt, wrapped in paper but for a “speck of marijuana” on the flattened end, was not an “open container” of marijuana within the meaning of section </w:t>
      </w:r>
      <w:r w:rsidRPr="007A53F7">
        <w:t>11362.3</w:t>
      </w:r>
      <w:r w:rsidRPr="007A53F7">
        <w:rPr>
          <w:shd w:val="clear" w:color="auto" w:fill="FFFFFF"/>
        </w:rPr>
        <w:t xml:space="preserve">. </w:t>
      </w:r>
      <w:r w:rsidRPr="007A53F7">
        <w:rPr>
          <w:shd w:val="clear" w:color="auto" w:fill="FFFFFF"/>
        </w:rPr>
        <w:t xml:space="preserve"> </w:t>
      </w:r>
      <w:r w:rsidRPr="007A53F7">
        <w:rPr>
          <w:shd w:val="clear" w:color="auto" w:fill="FFFFFF"/>
        </w:rPr>
        <w:t>“</w:t>
      </w:r>
      <w:r>
        <w:rPr>
          <w:shd w:val="clear" w:color="auto" w:fill="FFFFFF"/>
        </w:rPr>
        <w:t>Section 11362.3 does not define</w:t>
      </w:r>
      <w:r w:rsidRPr="007A53F7">
        <w:rPr>
          <w:shd w:val="clear" w:color="auto" w:fill="FFFFFF"/>
        </w:rPr>
        <w:t xml:space="preserve"> the phrase ‘open container or open package.’ </w:t>
      </w:r>
      <w:r w:rsidRPr="007A53F7">
        <w:rPr>
          <w:shd w:val="clear" w:color="auto" w:fill="FFFFFF"/>
        </w:rPr>
        <w:t xml:space="preserve"> </w:t>
      </w:r>
      <w:r w:rsidRPr="007A53F7">
        <w:rPr>
          <w:shd w:val="clear" w:color="auto" w:fill="FFFFFF"/>
        </w:rPr>
        <w:t>In the absence of a specifically defined meaning, we look to the plain meaning of a word or phrase as understood by the ordinary person, which would typically be a dictionary definition.”</w:t>
      </w:r>
      <w:r w:rsidRPr="007A53F7">
        <w:rPr>
          <w:shd w:val="clear" w:color="auto" w:fill="FFFFFF"/>
        </w:rPr>
        <w:t xml:space="preserve"> </w:t>
      </w:r>
      <w:r w:rsidRPr="007A53F7">
        <w:rPr>
          <w:shd w:val="clear" w:color="auto" w:fill="FFFFFF"/>
        </w:rPr>
        <w:t xml:space="preserve"> </w:t>
      </w:r>
      <w:r w:rsidRPr="007A53F7">
        <w:rPr>
          <w:shd w:val="clear" w:color="auto" w:fill="FFFFFF"/>
        </w:rPr>
        <w:t>(</w:t>
      </w:r>
      <w:r w:rsidRPr="007A53F7">
        <w:rPr>
          <w:i/>
          <w:iCs/>
          <w:shd w:val="clear" w:color="auto" w:fill="FFFFFF"/>
        </w:rPr>
        <w:t>People v. Johnson</w:t>
      </w:r>
      <w:r w:rsidRPr="007A53F7">
        <w:rPr>
          <w:shd w:val="clear" w:color="auto" w:fill="FFFFFF"/>
        </w:rPr>
        <w:t xml:space="preserve"> (2020) 50 Cal.App.5th 620, 632</w:t>
      </w:r>
      <w:r w:rsidRPr="007A53F7">
        <w:t>–</w:t>
      </w:r>
      <w:r w:rsidRPr="007A53F7">
        <w:rPr>
          <w:shd w:val="clear" w:color="auto" w:fill="FFFFFF"/>
        </w:rPr>
        <w:t>6</w:t>
      </w:r>
      <w:r w:rsidRPr="007A53F7">
        <w:rPr>
          <w:shd w:val="clear" w:color="auto" w:fill="FFFFFF"/>
        </w:rPr>
        <w:t xml:space="preserve">33.)  </w:t>
      </w:r>
      <w:r w:rsidRPr="007A53F7">
        <w:rPr>
          <w:shd w:val="clear" w:color="auto" w:fill="FFFFFF"/>
        </w:rPr>
        <w:t xml:space="preserve">The plain and commonsense meaning of an </w:t>
      </w:r>
      <w:r w:rsidRPr="007A53F7">
        <w:rPr>
          <w:shd w:val="clear" w:color="auto" w:fill="FFFFFF"/>
        </w:rPr>
        <w:t>“</w:t>
      </w:r>
      <w:r w:rsidRPr="007A53F7">
        <w:rPr>
          <w:shd w:val="clear" w:color="auto" w:fill="FFFFFF"/>
        </w:rPr>
        <w:t>open container</w:t>
      </w:r>
      <w:r w:rsidRPr="007A53F7">
        <w:rPr>
          <w:shd w:val="clear" w:color="auto" w:fill="FFFFFF"/>
        </w:rPr>
        <w:t>”</w:t>
      </w:r>
      <w:r w:rsidRPr="007A53F7">
        <w:rPr>
          <w:shd w:val="clear" w:color="auto" w:fill="FFFFFF"/>
        </w:rPr>
        <w:t xml:space="preserve"> is one in which there is no barrier to accessing the marijuana </w:t>
      </w:r>
      <w:r w:rsidRPr="007A53F7">
        <w:rPr>
          <w:shd w:val="clear" w:color="auto" w:fill="FFFFFF"/>
        </w:rPr>
        <w:t>contained inside.  (</w:t>
      </w:r>
      <w:r w:rsidRPr="007A53F7">
        <w:rPr>
          <w:i/>
          <w:iCs/>
          <w:shd w:val="clear" w:color="auto" w:fill="FFFFFF"/>
        </w:rPr>
        <w:t>Id</w:t>
      </w:r>
      <w:r w:rsidRPr="007A53F7">
        <w:rPr>
          <w:shd w:val="clear" w:color="auto" w:fill="FFFFFF"/>
        </w:rPr>
        <w:t>. at p.</w:t>
      </w:r>
      <w:r>
        <w:rPr>
          <w:shd w:val="clear" w:color="auto" w:fill="FFFFFF"/>
        </w:rPr>
        <w:t> </w:t>
      </w:r>
      <w:r w:rsidRPr="007A53F7">
        <w:rPr>
          <w:shd w:val="clear" w:color="auto" w:fill="FFFFFF"/>
        </w:rPr>
        <w:t xml:space="preserve">633 [concluding a knotted plastic baggie is not “open” because the knot “presents a barrier to accessing the content”].)  In this case, the paper wrapping enclosing the marijuana presented no barrier to accessing the marijuana.  </w:t>
      </w:r>
      <w:r>
        <w:rPr>
          <w:shd w:val="clear" w:color="auto" w:fill="FFFFFF"/>
        </w:rPr>
        <w:t>On</w:t>
      </w:r>
      <w:r w:rsidRPr="007A53F7">
        <w:rPr>
          <w:shd w:val="clear" w:color="auto" w:fill="FFFFFF"/>
        </w:rPr>
        <w:t xml:space="preserve"> the contrary, </w:t>
      </w:r>
      <w:r w:rsidRPr="007A53F7">
        <w:rPr>
          <w:shd w:val="clear" w:color="auto" w:fill="FFFFFF"/>
        </w:rPr>
        <w:t xml:space="preserve">as Officer </w:t>
      </w:r>
      <w:proofErr w:type="spellStart"/>
      <w:r w:rsidRPr="007A53F7">
        <w:rPr>
          <w:shd w:val="clear" w:color="auto" w:fill="FFFFFF"/>
        </w:rPr>
        <w:t>Dugonjic</w:t>
      </w:r>
      <w:proofErr w:type="spellEnd"/>
      <w:r w:rsidRPr="007A53F7">
        <w:rPr>
          <w:shd w:val="clear" w:color="auto" w:fill="FFFFFF"/>
        </w:rPr>
        <w:t xml:space="preserve"> explained, </w:t>
      </w:r>
      <w:r w:rsidRPr="007A53F7">
        <w:rPr>
          <w:shd w:val="clear" w:color="auto" w:fill="FFFFFF"/>
        </w:rPr>
        <w:t>paper wrapping</w:t>
      </w:r>
      <w:r w:rsidRPr="007A53F7">
        <w:rPr>
          <w:shd w:val="clear" w:color="auto" w:fill="FFFFFF"/>
        </w:rPr>
        <w:t xml:space="preserve"> holds the marijuana </w:t>
      </w:r>
      <w:r w:rsidRPr="007A53F7">
        <w:rPr>
          <w:shd w:val="clear" w:color="auto" w:fill="FFFFFF"/>
        </w:rPr>
        <w:t xml:space="preserve">so that it can </w:t>
      </w:r>
      <w:r w:rsidRPr="007A53F7">
        <w:rPr>
          <w:shd w:val="clear" w:color="auto" w:fill="FFFFFF"/>
        </w:rPr>
        <w:t>be smoked</w:t>
      </w:r>
      <w:r w:rsidRPr="007A53F7">
        <w:rPr>
          <w:shd w:val="clear" w:color="auto" w:fill="FFFFFF"/>
        </w:rPr>
        <w:t xml:space="preserve">, </w:t>
      </w:r>
      <w:r w:rsidRPr="007A53F7">
        <w:rPr>
          <w:shd w:val="clear" w:color="auto" w:fill="FFFFFF"/>
        </w:rPr>
        <w:t xml:space="preserve">thereby </w:t>
      </w:r>
      <w:r w:rsidRPr="007A53F7">
        <w:rPr>
          <w:shd w:val="clear" w:color="auto" w:fill="FFFFFF"/>
        </w:rPr>
        <w:t>facilitat</w:t>
      </w:r>
      <w:r w:rsidRPr="007A53F7">
        <w:rPr>
          <w:shd w:val="clear" w:color="auto" w:fill="FFFFFF"/>
        </w:rPr>
        <w:t>ing</w:t>
      </w:r>
      <w:r w:rsidRPr="007A53F7">
        <w:rPr>
          <w:shd w:val="clear" w:color="auto" w:fill="FFFFFF"/>
        </w:rPr>
        <w:t xml:space="preserve"> its consumption</w:t>
      </w:r>
      <w:r w:rsidRPr="007A53F7">
        <w:rPr>
          <w:shd w:val="clear" w:color="auto" w:fill="FFFFFF"/>
        </w:rPr>
        <w:t xml:space="preserve">.  </w:t>
      </w:r>
      <w:r w:rsidRPr="007A53F7">
        <w:rPr>
          <w:shd w:val="clear" w:color="auto" w:fill="FFFFFF"/>
        </w:rPr>
        <w:t>(C</w:t>
      </w:r>
      <w:r w:rsidRPr="007A53F7">
        <w:rPr>
          <w:shd w:val="clear" w:color="auto" w:fill="FFFFFF"/>
        </w:rPr>
        <w:t xml:space="preserve">f. </w:t>
      </w:r>
      <w:r w:rsidRPr="007A53F7">
        <w:rPr>
          <w:i/>
          <w:iCs/>
          <w:shd w:val="clear" w:color="auto" w:fill="FFFFFF"/>
        </w:rPr>
        <w:t>Hall, supra</w:t>
      </w:r>
      <w:r w:rsidRPr="007A53F7">
        <w:rPr>
          <w:shd w:val="clear" w:color="auto" w:fill="FFFFFF"/>
        </w:rPr>
        <w:t>, 57 Cal.App.5th at p</w:t>
      </w:r>
      <w:r w:rsidRPr="007A53F7">
        <w:rPr>
          <w:shd w:val="clear" w:color="auto" w:fill="FFFFFF"/>
        </w:rPr>
        <w:t>p</w:t>
      </w:r>
      <w:r w:rsidRPr="007A53F7">
        <w:rPr>
          <w:shd w:val="clear" w:color="auto" w:fill="FFFFFF"/>
        </w:rPr>
        <w:t>. 958</w:t>
      </w:r>
      <w:r w:rsidRPr="007A53F7">
        <w:t>–</w:t>
      </w:r>
      <w:r w:rsidRPr="007A53F7">
        <w:rPr>
          <w:shd w:val="clear" w:color="auto" w:fill="FFFFFF"/>
        </w:rPr>
        <w:t>959 [officer lacked probable cause to search vehicle where there was no evidence the plasti</w:t>
      </w:r>
      <w:r w:rsidRPr="007A53F7">
        <w:rPr>
          <w:shd w:val="clear" w:color="auto" w:fill="FFFFFF"/>
        </w:rPr>
        <w:t>c bag containing marijuana in the center console was open and not sealed or that the loose marijuana on the driver’s lap was a usable amount]</w:t>
      </w:r>
      <w:r w:rsidRPr="007A53F7">
        <w:rPr>
          <w:shd w:val="clear" w:color="auto" w:fill="FFFFFF"/>
        </w:rPr>
        <w:t>.</w:t>
      </w:r>
      <w:r w:rsidRPr="007A53F7">
        <w:rPr>
          <w:shd w:val="clear" w:color="auto" w:fill="FFFFFF"/>
        </w:rPr>
        <w:t>)</w:t>
      </w:r>
    </w:p>
    <w:p w14:paraId="67DAAB35" w14:textId="77777777" w:rsidR="002042CB" w:rsidRPr="007A53F7" w:rsidRDefault="002042CB" w:rsidP="00DF74E4">
      <w:pPr>
        <w:tabs>
          <w:tab w:val="clear" w:pos="720"/>
        </w:tabs>
        <w:spacing w:line="360" w:lineRule="auto"/>
      </w:pPr>
      <w:r w:rsidRPr="007A53F7">
        <w:rPr>
          <w:shd w:val="clear" w:color="auto" w:fill="FFFFFF"/>
        </w:rPr>
        <w:tab/>
      </w:r>
      <w:r w:rsidRPr="007A53F7">
        <w:rPr>
          <w:shd w:val="clear" w:color="auto" w:fill="FFFFFF"/>
        </w:rPr>
        <w:t xml:space="preserve">Accordingly, the </w:t>
      </w:r>
      <w:r w:rsidRPr="007A53F7">
        <w:rPr>
          <w:shd w:val="clear" w:color="auto" w:fill="FFFFFF"/>
        </w:rPr>
        <w:t xml:space="preserve">juvenile court order </w:t>
      </w:r>
      <w:r w:rsidRPr="007A53F7">
        <w:rPr>
          <w:shd w:val="clear" w:color="auto" w:fill="FFFFFF"/>
        </w:rPr>
        <w:t>stands</w:t>
      </w:r>
      <w:r w:rsidRPr="007A53F7">
        <w:rPr>
          <w:shd w:val="clear" w:color="auto" w:fill="FFFFFF"/>
        </w:rPr>
        <w:t>.</w:t>
      </w:r>
    </w:p>
    <w:p w14:paraId="4AE6FAA7" w14:textId="77777777" w:rsidR="002042CB" w:rsidRPr="007A53F7" w:rsidRDefault="002042CB" w:rsidP="00DF74E4">
      <w:pPr>
        <w:keepNext/>
        <w:tabs>
          <w:tab w:val="clear" w:pos="720"/>
        </w:tabs>
        <w:spacing w:line="360" w:lineRule="auto"/>
        <w:jc w:val="center"/>
        <w:rPr>
          <w:b/>
          <w:bCs/>
        </w:rPr>
      </w:pPr>
      <w:r w:rsidRPr="007A53F7">
        <w:rPr>
          <w:b/>
          <w:bCs/>
        </w:rPr>
        <w:t>DISPOSITION</w:t>
      </w:r>
    </w:p>
    <w:p w14:paraId="1A2ABE33" w14:textId="77777777" w:rsidR="002042CB" w:rsidRPr="007A53F7" w:rsidRDefault="002042CB" w:rsidP="00DF74E4">
      <w:pPr>
        <w:tabs>
          <w:tab w:val="clear" w:pos="720"/>
        </w:tabs>
        <w:spacing w:line="360" w:lineRule="auto"/>
      </w:pPr>
      <w:r w:rsidRPr="007A53F7">
        <w:tab/>
        <w:t xml:space="preserve">The </w:t>
      </w:r>
      <w:r w:rsidRPr="007A53F7">
        <w:t>denial of minor’s motion to suppress</w:t>
      </w:r>
      <w:r w:rsidRPr="007A53F7">
        <w:t xml:space="preserve"> is </w:t>
      </w:r>
      <w:r w:rsidRPr="007A53F7">
        <w:t>affirmed</w:t>
      </w:r>
      <w:r w:rsidRPr="007A53F7">
        <w:t>.</w:t>
      </w:r>
    </w:p>
    <w:p w14:paraId="74CF62B8" w14:textId="77777777" w:rsidR="002042CB" w:rsidRDefault="002042CB" w:rsidP="00101FD7">
      <w:pPr>
        <w:tabs>
          <w:tab w:val="clear" w:pos="720"/>
        </w:tabs>
        <w:spacing w:line="240" w:lineRule="auto"/>
      </w:pPr>
    </w:p>
    <w:p w14:paraId="530B35E3" w14:textId="77777777" w:rsidR="002042CB" w:rsidRDefault="002042CB" w:rsidP="00101FD7">
      <w:pPr>
        <w:tabs>
          <w:tab w:val="clear" w:pos="720"/>
        </w:tabs>
        <w:spacing w:line="240" w:lineRule="auto"/>
      </w:pPr>
      <w:r>
        <w:tab/>
      </w:r>
      <w:r>
        <w:tab/>
      </w:r>
      <w:r>
        <w:tab/>
      </w:r>
      <w:r>
        <w:tab/>
      </w:r>
      <w:r>
        <w:tab/>
      </w:r>
      <w:r>
        <w:tab/>
      </w:r>
      <w:r>
        <w:tab/>
        <w:t>Jackson, P. J.</w:t>
      </w:r>
    </w:p>
    <w:p w14:paraId="701F27D8" w14:textId="77777777" w:rsidR="002042CB" w:rsidRDefault="002042CB" w:rsidP="00101FD7">
      <w:pPr>
        <w:tabs>
          <w:tab w:val="clear" w:pos="720"/>
        </w:tabs>
        <w:spacing w:line="240" w:lineRule="auto"/>
      </w:pPr>
      <w:r>
        <w:t>WE CONCUR:</w:t>
      </w:r>
    </w:p>
    <w:p w14:paraId="76487643" w14:textId="77777777" w:rsidR="002042CB" w:rsidRDefault="002042CB" w:rsidP="00101FD7">
      <w:pPr>
        <w:tabs>
          <w:tab w:val="clear" w:pos="720"/>
        </w:tabs>
        <w:spacing w:line="240" w:lineRule="auto"/>
      </w:pPr>
    </w:p>
    <w:p w14:paraId="54EDDEA7" w14:textId="77777777" w:rsidR="002042CB" w:rsidRDefault="002042CB" w:rsidP="00101FD7">
      <w:pPr>
        <w:tabs>
          <w:tab w:val="clear" w:pos="720"/>
        </w:tabs>
        <w:spacing w:line="240" w:lineRule="auto"/>
      </w:pPr>
      <w:r>
        <w:t>Burns, J.</w:t>
      </w:r>
    </w:p>
    <w:p w14:paraId="44837F50" w14:textId="77777777" w:rsidR="002042CB" w:rsidRPr="00925941" w:rsidRDefault="002042CB" w:rsidP="00925941">
      <w:pPr>
        <w:tabs>
          <w:tab w:val="clear" w:pos="720"/>
          <w:tab w:val="right" w:pos="9360"/>
        </w:tabs>
        <w:spacing w:line="240" w:lineRule="auto"/>
        <w:rPr>
          <w:i/>
          <w:iCs/>
          <w:sz w:val="20"/>
          <w:szCs w:val="20"/>
        </w:rPr>
      </w:pPr>
      <w:r>
        <w:t>Chou, J.</w:t>
      </w:r>
      <w:r>
        <w:tab/>
      </w:r>
      <w:r>
        <w:rPr>
          <w:sz w:val="20"/>
          <w:szCs w:val="20"/>
        </w:rPr>
        <w:t>A167331/</w:t>
      </w:r>
      <w:r>
        <w:rPr>
          <w:i/>
          <w:iCs/>
          <w:sz w:val="20"/>
          <w:szCs w:val="20"/>
        </w:rPr>
        <w:t>People v. Randy C.</w:t>
      </w:r>
    </w:p>
    <w:p w14:paraId="03B80751" w14:textId="77777777" w:rsidR="002042CB" w:rsidRPr="007766D9" w:rsidRDefault="002042CB" w:rsidP="00984FA2">
      <w:pPr>
        <w:tabs>
          <w:tab w:val="clear" w:pos="720"/>
        </w:tabs>
        <w:spacing w:line="240" w:lineRule="auto"/>
        <w:rPr>
          <w:u w:val="single"/>
        </w:rPr>
      </w:pPr>
      <w:r w:rsidRPr="007766D9">
        <w:rPr>
          <w:u w:val="single"/>
        </w:rPr>
        <w:lastRenderedPageBreak/>
        <w:t>A16</w:t>
      </w:r>
      <w:r w:rsidRPr="007766D9">
        <w:rPr>
          <w:u w:val="single"/>
        </w:rPr>
        <w:t>7331</w:t>
      </w:r>
      <w:r w:rsidRPr="007766D9">
        <w:rPr>
          <w:u w:val="single"/>
        </w:rPr>
        <w:t xml:space="preserve">/People v. </w:t>
      </w:r>
      <w:r w:rsidRPr="007766D9">
        <w:rPr>
          <w:u w:val="single"/>
        </w:rPr>
        <w:t>Randy C.</w:t>
      </w:r>
    </w:p>
    <w:p w14:paraId="45FD6D71" w14:textId="77777777" w:rsidR="002042CB" w:rsidRDefault="002042CB" w:rsidP="00101FD7">
      <w:pPr>
        <w:tabs>
          <w:tab w:val="clear" w:pos="720"/>
        </w:tabs>
        <w:spacing w:line="240" w:lineRule="auto"/>
      </w:pPr>
    </w:p>
    <w:tbl>
      <w:tblPr>
        <w:tblW w:w="9450" w:type="dxa"/>
        <w:tblLayout w:type="fixed"/>
        <w:tblLook w:val="06A0" w:firstRow="1" w:lastRow="0" w:firstColumn="1" w:lastColumn="0" w:noHBand="1" w:noVBand="1"/>
      </w:tblPr>
      <w:tblGrid>
        <w:gridCol w:w="2250"/>
        <w:gridCol w:w="7200"/>
      </w:tblGrid>
      <w:tr w:rsidR="000279B7" w14:paraId="29E9DC57" w14:textId="77777777" w:rsidTr="00B80AF4">
        <w:tc>
          <w:tcPr>
            <w:tcW w:w="2250" w:type="dxa"/>
            <w:shd w:val="clear" w:color="auto" w:fill="auto"/>
          </w:tcPr>
          <w:p w14:paraId="265C58AD" w14:textId="77777777" w:rsidR="002042CB" w:rsidRPr="006D25AC" w:rsidRDefault="002042CB" w:rsidP="00B80AF4">
            <w:pPr>
              <w:tabs>
                <w:tab w:val="clear" w:pos="720"/>
              </w:tabs>
              <w:spacing w:line="240" w:lineRule="auto"/>
              <w:ind w:left="-106"/>
              <w:rPr>
                <w:rFonts w:eastAsia="Century Schoolbook" w:cs="Century Schoolbook"/>
              </w:rPr>
            </w:pPr>
            <w:r w:rsidRPr="006D25AC">
              <w:rPr>
                <w:rFonts w:eastAsia="Century Schoolbook" w:cs="Century Schoolbook"/>
              </w:rPr>
              <w:t>Trial Court:</w:t>
            </w:r>
          </w:p>
        </w:tc>
        <w:tc>
          <w:tcPr>
            <w:tcW w:w="7200" w:type="dxa"/>
            <w:shd w:val="clear" w:color="auto" w:fill="auto"/>
          </w:tcPr>
          <w:p w14:paraId="3FC2A968" w14:textId="77777777" w:rsidR="002042CB" w:rsidRPr="006D25AC" w:rsidRDefault="002042CB" w:rsidP="00B80AF4">
            <w:pPr>
              <w:tabs>
                <w:tab w:val="clear" w:pos="720"/>
              </w:tabs>
              <w:spacing w:line="240" w:lineRule="auto"/>
              <w:rPr>
                <w:rFonts w:eastAsia="Century Schoolbook" w:cs="Century Schoolbook"/>
              </w:rPr>
            </w:pPr>
            <w:r w:rsidRPr="006D25AC">
              <w:rPr>
                <w:rFonts w:eastAsia="Century Schoolbook" w:cs="Century Schoolbook"/>
              </w:rPr>
              <w:t xml:space="preserve">Superior Court </w:t>
            </w:r>
            <w:r>
              <w:rPr>
                <w:rFonts w:eastAsia="Century Schoolbook" w:cs="Century Schoolbook"/>
              </w:rPr>
              <w:t xml:space="preserve">of the County of </w:t>
            </w:r>
            <w:r>
              <w:rPr>
                <w:rFonts w:eastAsia="Century Schoolbook" w:cs="Century Schoolbook"/>
              </w:rPr>
              <w:t>Marin</w:t>
            </w:r>
          </w:p>
        </w:tc>
      </w:tr>
      <w:tr w:rsidR="000279B7" w14:paraId="5C9BDF97" w14:textId="77777777" w:rsidTr="00B80AF4">
        <w:tc>
          <w:tcPr>
            <w:tcW w:w="2250" w:type="dxa"/>
            <w:shd w:val="clear" w:color="auto" w:fill="auto"/>
          </w:tcPr>
          <w:p w14:paraId="0BB6BC1E" w14:textId="77777777" w:rsidR="002042CB" w:rsidRPr="006D25AC" w:rsidRDefault="002042CB" w:rsidP="00B80AF4">
            <w:pPr>
              <w:tabs>
                <w:tab w:val="clear" w:pos="720"/>
              </w:tabs>
              <w:spacing w:line="240" w:lineRule="auto"/>
              <w:ind w:left="-106"/>
              <w:rPr>
                <w:rFonts w:eastAsia="Century Schoolbook" w:cs="Century Schoolbook"/>
              </w:rPr>
            </w:pPr>
          </w:p>
        </w:tc>
        <w:tc>
          <w:tcPr>
            <w:tcW w:w="7200" w:type="dxa"/>
            <w:shd w:val="clear" w:color="auto" w:fill="auto"/>
          </w:tcPr>
          <w:p w14:paraId="7C5B7B73" w14:textId="77777777" w:rsidR="002042CB" w:rsidRPr="006D25AC" w:rsidRDefault="002042CB" w:rsidP="00B80AF4">
            <w:pPr>
              <w:tabs>
                <w:tab w:val="clear" w:pos="720"/>
              </w:tabs>
              <w:spacing w:line="240" w:lineRule="auto"/>
              <w:rPr>
                <w:rFonts w:eastAsia="Century Schoolbook" w:cs="Century Schoolbook"/>
              </w:rPr>
            </w:pPr>
          </w:p>
        </w:tc>
      </w:tr>
      <w:tr w:rsidR="000279B7" w14:paraId="5EA4B592" w14:textId="77777777" w:rsidTr="00B80AF4">
        <w:tc>
          <w:tcPr>
            <w:tcW w:w="2250" w:type="dxa"/>
            <w:shd w:val="clear" w:color="auto" w:fill="auto"/>
          </w:tcPr>
          <w:p w14:paraId="62DD8496" w14:textId="77777777" w:rsidR="002042CB" w:rsidRPr="006D25AC" w:rsidRDefault="002042CB" w:rsidP="00B80AF4">
            <w:pPr>
              <w:tabs>
                <w:tab w:val="clear" w:pos="720"/>
              </w:tabs>
              <w:spacing w:line="240" w:lineRule="auto"/>
              <w:ind w:left="-106"/>
              <w:rPr>
                <w:rFonts w:eastAsia="Century Schoolbook" w:cs="Century Schoolbook"/>
              </w:rPr>
            </w:pPr>
            <w:r w:rsidRPr="006D25AC">
              <w:rPr>
                <w:rFonts w:eastAsia="Century Schoolbook" w:cs="Century Schoolbook"/>
              </w:rPr>
              <w:t>Trial Judge:</w:t>
            </w:r>
          </w:p>
        </w:tc>
        <w:tc>
          <w:tcPr>
            <w:tcW w:w="7200" w:type="dxa"/>
            <w:shd w:val="clear" w:color="auto" w:fill="auto"/>
          </w:tcPr>
          <w:p w14:paraId="67345B70" w14:textId="77777777" w:rsidR="002042CB" w:rsidRPr="006D25AC" w:rsidRDefault="002042CB" w:rsidP="00B80AF4">
            <w:pPr>
              <w:tabs>
                <w:tab w:val="clear" w:pos="720"/>
              </w:tabs>
              <w:spacing w:line="240" w:lineRule="auto"/>
              <w:rPr>
                <w:rFonts w:eastAsia="Century Schoolbook" w:cs="Century Schoolbook"/>
              </w:rPr>
            </w:pPr>
            <w:r>
              <w:rPr>
                <w:rFonts w:eastAsia="Century Schoolbook" w:cs="Century Schoolbook"/>
              </w:rPr>
              <w:t>Beverly Wood</w:t>
            </w:r>
          </w:p>
        </w:tc>
      </w:tr>
      <w:tr w:rsidR="000279B7" w14:paraId="32741643" w14:textId="77777777" w:rsidTr="00B80AF4">
        <w:tc>
          <w:tcPr>
            <w:tcW w:w="2250" w:type="dxa"/>
            <w:shd w:val="clear" w:color="auto" w:fill="auto"/>
          </w:tcPr>
          <w:p w14:paraId="6FD692BB" w14:textId="77777777" w:rsidR="002042CB" w:rsidRPr="006D25AC" w:rsidRDefault="002042CB" w:rsidP="00B80AF4">
            <w:pPr>
              <w:tabs>
                <w:tab w:val="clear" w:pos="720"/>
              </w:tabs>
              <w:spacing w:line="240" w:lineRule="auto"/>
              <w:ind w:left="-106"/>
              <w:rPr>
                <w:rFonts w:eastAsia="Century Schoolbook" w:cs="Century Schoolbook"/>
              </w:rPr>
            </w:pPr>
          </w:p>
        </w:tc>
        <w:tc>
          <w:tcPr>
            <w:tcW w:w="7200" w:type="dxa"/>
            <w:shd w:val="clear" w:color="auto" w:fill="auto"/>
          </w:tcPr>
          <w:p w14:paraId="15C7F0F8" w14:textId="77777777" w:rsidR="002042CB" w:rsidRPr="006D25AC" w:rsidRDefault="002042CB" w:rsidP="00B80AF4">
            <w:pPr>
              <w:tabs>
                <w:tab w:val="clear" w:pos="720"/>
              </w:tabs>
              <w:spacing w:line="240" w:lineRule="auto"/>
              <w:rPr>
                <w:rFonts w:eastAsia="Century Schoolbook" w:cs="Century Schoolbook"/>
              </w:rPr>
            </w:pPr>
          </w:p>
        </w:tc>
      </w:tr>
      <w:tr w:rsidR="000279B7" w14:paraId="2EAAB7B3" w14:textId="77777777" w:rsidTr="00B80AF4">
        <w:tc>
          <w:tcPr>
            <w:tcW w:w="2250" w:type="dxa"/>
            <w:shd w:val="clear" w:color="auto" w:fill="auto"/>
          </w:tcPr>
          <w:p w14:paraId="2A86DCB6" w14:textId="77777777" w:rsidR="002042CB" w:rsidRPr="006D25AC" w:rsidRDefault="002042CB" w:rsidP="00B80AF4">
            <w:pPr>
              <w:tabs>
                <w:tab w:val="clear" w:pos="720"/>
              </w:tabs>
              <w:spacing w:line="240" w:lineRule="auto"/>
              <w:ind w:left="-106"/>
              <w:rPr>
                <w:rFonts w:eastAsia="Century Schoolbook" w:cs="Century Schoolbook"/>
              </w:rPr>
            </w:pPr>
            <w:r w:rsidRPr="006D25AC">
              <w:rPr>
                <w:rFonts w:eastAsia="Century Schoolbook" w:cs="Century Schoolbook"/>
              </w:rPr>
              <w:t>Counsel:</w:t>
            </w:r>
          </w:p>
        </w:tc>
        <w:tc>
          <w:tcPr>
            <w:tcW w:w="7200" w:type="dxa"/>
            <w:shd w:val="clear" w:color="auto" w:fill="auto"/>
          </w:tcPr>
          <w:p w14:paraId="12CDF9D4" w14:textId="77777777" w:rsidR="002042CB" w:rsidRDefault="002042CB" w:rsidP="00B80AF4">
            <w:pPr>
              <w:tabs>
                <w:tab w:val="clear" w:pos="720"/>
              </w:tabs>
              <w:spacing w:line="240" w:lineRule="auto"/>
              <w:ind w:left="615" w:hanging="615"/>
              <w:rPr>
                <w:rFonts w:eastAsia="Century Schoolbook" w:cs="Century Schoolbook"/>
              </w:rPr>
            </w:pPr>
            <w:r>
              <w:rPr>
                <w:rFonts w:eastAsia="Century Schoolbook" w:cs="Century Schoolbook"/>
              </w:rPr>
              <w:t xml:space="preserve">Laura </w:t>
            </w:r>
            <w:proofErr w:type="spellStart"/>
            <w:r>
              <w:rPr>
                <w:rFonts w:eastAsia="Century Schoolbook" w:cs="Century Schoolbook"/>
              </w:rPr>
              <w:t>Vavakin</w:t>
            </w:r>
            <w:proofErr w:type="spellEnd"/>
            <w:r>
              <w:rPr>
                <w:rFonts w:eastAsia="Century Schoolbook" w:cs="Century Schoolbook"/>
              </w:rPr>
              <w:t xml:space="preserve">, under appointment by the </w:t>
            </w:r>
            <w:r>
              <w:rPr>
                <w:rFonts w:eastAsia="Century Schoolbook" w:cs="Century Schoolbook"/>
              </w:rPr>
              <w:t>Court of Appeal,</w:t>
            </w:r>
            <w:r w:rsidRPr="006D25AC">
              <w:rPr>
                <w:rFonts w:eastAsia="Century Schoolbook" w:cs="Century Schoolbook"/>
              </w:rPr>
              <w:t xml:space="preserve"> for </w:t>
            </w:r>
            <w:r>
              <w:rPr>
                <w:rFonts w:eastAsia="Century Schoolbook" w:cs="Century Schoolbook"/>
              </w:rPr>
              <w:t>Defendant and Appellant.</w:t>
            </w:r>
          </w:p>
          <w:p w14:paraId="02F5E6FA" w14:textId="77777777" w:rsidR="002042CB" w:rsidRPr="006D25AC" w:rsidRDefault="002042CB" w:rsidP="00B80AF4">
            <w:pPr>
              <w:tabs>
                <w:tab w:val="clear" w:pos="720"/>
              </w:tabs>
              <w:spacing w:line="240" w:lineRule="auto"/>
              <w:rPr>
                <w:rFonts w:eastAsia="Century Schoolbook" w:cs="Century Schoolbook"/>
              </w:rPr>
            </w:pPr>
          </w:p>
        </w:tc>
      </w:tr>
      <w:tr w:rsidR="000279B7" w14:paraId="42C59A3A" w14:textId="77777777" w:rsidTr="00B80AF4">
        <w:tc>
          <w:tcPr>
            <w:tcW w:w="2250" w:type="dxa"/>
            <w:shd w:val="clear" w:color="auto" w:fill="auto"/>
          </w:tcPr>
          <w:p w14:paraId="66560E51" w14:textId="77777777" w:rsidR="002042CB" w:rsidRPr="006D25AC" w:rsidRDefault="002042CB" w:rsidP="00B80AF4">
            <w:pPr>
              <w:tabs>
                <w:tab w:val="clear" w:pos="720"/>
              </w:tabs>
              <w:spacing w:line="240" w:lineRule="auto"/>
              <w:ind w:left="-106"/>
              <w:rPr>
                <w:rFonts w:eastAsia="Century Schoolbook" w:cs="Century Schoolbook"/>
              </w:rPr>
            </w:pPr>
          </w:p>
        </w:tc>
        <w:tc>
          <w:tcPr>
            <w:tcW w:w="7200" w:type="dxa"/>
            <w:shd w:val="clear" w:color="auto" w:fill="auto"/>
          </w:tcPr>
          <w:p w14:paraId="0E70246D" w14:textId="77777777" w:rsidR="002042CB" w:rsidRDefault="002042CB" w:rsidP="00B80AF4">
            <w:pPr>
              <w:tabs>
                <w:tab w:val="clear" w:pos="720"/>
              </w:tabs>
              <w:spacing w:line="240" w:lineRule="auto"/>
              <w:ind w:left="615" w:hanging="615"/>
              <w:rPr>
                <w:rFonts w:eastAsia="Century Schoolbook" w:cs="Century Schoolbook"/>
              </w:rPr>
            </w:pPr>
            <w:r>
              <w:rPr>
                <w:rFonts w:eastAsia="Century Schoolbook" w:cs="Century Schoolbook"/>
              </w:rPr>
              <w:t xml:space="preserve">Rob Bonta, Attorney General, Lance E. Winters and </w:t>
            </w:r>
            <w:r>
              <w:rPr>
                <w:rFonts w:eastAsia="Century Schoolbook" w:cs="Century Schoolbook"/>
              </w:rPr>
              <w:t xml:space="preserve">Susan Sullivan </w:t>
            </w:r>
            <w:proofErr w:type="spellStart"/>
            <w:r>
              <w:rPr>
                <w:rFonts w:eastAsia="Century Schoolbook" w:cs="Century Schoolbook"/>
              </w:rPr>
              <w:t>Pithey</w:t>
            </w:r>
            <w:proofErr w:type="spellEnd"/>
            <w:r>
              <w:rPr>
                <w:rFonts w:eastAsia="Century Schoolbook" w:cs="Century Schoolbook"/>
              </w:rPr>
              <w:t xml:space="preserve">, Assistant Attorneys General, </w:t>
            </w:r>
            <w:r>
              <w:rPr>
                <w:rFonts w:eastAsia="Century Schoolbook" w:cs="Century Schoolbook"/>
              </w:rPr>
              <w:t>Steven D. Matthews</w:t>
            </w:r>
            <w:r>
              <w:rPr>
                <w:rFonts w:eastAsia="Century Schoolbook" w:cs="Century Schoolbook"/>
              </w:rPr>
              <w:t xml:space="preserve"> and A</w:t>
            </w:r>
            <w:r>
              <w:rPr>
                <w:rFonts w:eastAsia="Century Schoolbook" w:cs="Century Schoolbook"/>
              </w:rPr>
              <w:t>nalee J. Brodie</w:t>
            </w:r>
            <w:r>
              <w:rPr>
                <w:rFonts w:eastAsia="Century Schoolbook" w:cs="Century Schoolbook"/>
              </w:rPr>
              <w:t>, Deputy Attorneys General, for Plaintiff and Respondent.</w:t>
            </w:r>
          </w:p>
          <w:p w14:paraId="7F322BC1" w14:textId="77777777" w:rsidR="002042CB" w:rsidRPr="006D25AC" w:rsidRDefault="002042CB" w:rsidP="00B80AF4">
            <w:pPr>
              <w:tabs>
                <w:tab w:val="clear" w:pos="720"/>
              </w:tabs>
              <w:spacing w:line="240" w:lineRule="auto"/>
              <w:ind w:left="720" w:hanging="720"/>
              <w:rPr>
                <w:rFonts w:eastAsia="Century Schoolbook" w:cs="Century Schoolbook"/>
              </w:rPr>
            </w:pPr>
          </w:p>
        </w:tc>
      </w:tr>
    </w:tbl>
    <w:p w14:paraId="31BA7A83" w14:textId="77777777" w:rsidR="002042CB" w:rsidRPr="007A53F7" w:rsidRDefault="002042CB" w:rsidP="00101FD7">
      <w:pPr>
        <w:tabs>
          <w:tab w:val="clear" w:pos="720"/>
        </w:tabs>
        <w:spacing w:line="240" w:lineRule="auto"/>
      </w:pPr>
    </w:p>
    <w:sectPr w:rsidR="00984FA2" w:rsidRPr="007A53F7" w:rsidSect="001F5C2D">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6881A2" w14:textId="77777777" w:rsidR="002042CB" w:rsidRDefault="002042CB">
      <w:pPr>
        <w:spacing w:line="240" w:lineRule="auto"/>
      </w:pPr>
      <w:r>
        <w:separator/>
      </w:r>
    </w:p>
  </w:endnote>
  <w:endnote w:type="continuationSeparator" w:id="0">
    <w:p w14:paraId="6204D41C" w14:textId="77777777" w:rsidR="002042CB" w:rsidRDefault="00204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11FB8" w14:textId="77777777" w:rsidR="002042CB" w:rsidRDefault="002042CB" w:rsidP="00D002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5A87AD" w14:textId="77777777" w:rsidR="002042CB" w:rsidRDefault="002042CB" w:rsidP="00D002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13A34E" w14:textId="77777777" w:rsidR="002042CB" w:rsidRDefault="00204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12CBE" w14:textId="77777777" w:rsidR="002042CB" w:rsidRPr="001F5C2D" w:rsidRDefault="002042CB" w:rsidP="001F5C2D">
    <w:pPr>
      <w:pStyle w:val="Footer"/>
      <w:framePr w:wrap="around" w:vAnchor="text" w:hAnchor="margin" w:xAlign="center" w:y="1"/>
      <w:tabs>
        <w:tab w:val="clear" w:pos="720"/>
        <w:tab w:val="clear" w:pos="4680"/>
        <w:tab w:val="clear" w:pos="9360"/>
      </w:tabs>
      <w:rPr>
        <w:rStyle w:val="PageNumber"/>
      </w:rPr>
    </w:pPr>
    <w:r w:rsidRPr="001F5C2D">
      <w:rPr>
        <w:rStyle w:val="PageNumber"/>
      </w:rPr>
      <w:fldChar w:fldCharType="begin"/>
    </w:r>
    <w:r w:rsidRPr="001F5C2D">
      <w:rPr>
        <w:rStyle w:val="PageNumber"/>
      </w:rPr>
      <w:instrText xml:space="preserve"> PAGE </w:instrText>
    </w:r>
    <w:r w:rsidRPr="001F5C2D">
      <w:rPr>
        <w:rStyle w:val="PageNumber"/>
      </w:rPr>
      <w:fldChar w:fldCharType="separate"/>
    </w:r>
    <w:r w:rsidRPr="001F5C2D">
      <w:rPr>
        <w:rStyle w:val="PageNumber"/>
        <w:noProof/>
      </w:rPr>
      <w:t>1</w:t>
    </w:r>
    <w:r w:rsidRPr="001F5C2D">
      <w:rPr>
        <w:rStyle w:val="PageNumber"/>
      </w:rPr>
      <w:fldChar w:fldCharType="end"/>
    </w:r>
  </w:p>
  <w:p w14:paraId="6E5E5ED2" w14:textId="77777777" w:rsidR="002042CB" w:rsidRPr="001F5C2D" w:rsidRDefault="002042CB" w:rsidP="001F5C2D">
    <w:pPr>
      <w:pStyle w:val="Footer"/>
      <w:tabs>
        <w:tab w:val="clear" w:pos="720"/>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B1C1D" w14:textId="77777777" w:rsidR="002042CB" w:rsidRDefault="002042CB" w:rsidP="00452D05">
      <w:pPr>
        <w:spacing w:line="240" w:lineRule="auto"/>
      </w:pPr>
      <w:r>
        <w:separator/>
      </w:r>
    </w:p>
  </w:footnote>
  <w:footnote w:type="continuationSeparator" w:id="0">
    <w:p w14:paraId="3AFE65EE" w14:textId="77777777" w:rsidR="002042CB" w:rsidRDefault="002042CB" w:rsidP="00452D05">
      <w:pPr>
        <w:spacing w:line="240" w:lineRule="auto"/>
      </w:pPr>
      <w:r>
        <w:continuationSeparator/>
      </w:r>
    </w:p>
  </w:footnote>
  <w:footnote w:id="1">
    <w:p w14:paraId="442D3EE1" w14:textId="77777777" w:rsidR="002042CB" w:rsidRPr="00E541F7" w:rsidRDefault="002042CB" w:rsidP="00DF74E4">
      <w:pPr>
        <w:pStyle w:val="FootnoteText"/>
        <w:spacing w:after="120"/>
        <w:ind w:firstLine="720"/>
        <w:rPr>
          <w:szCs w:val="26"/>
        </w:rPr>
      </w:pPr>
      <w:r w:rsidRPr="00E541F7">
        <w:rPr>
          <w:rStyle w:val="FootnoteReference"/>
          <w:szCs w:val="26"/>
        </w:rPr>
        <w:footnoteRef/>
      </w:r>
      <w:r w:rsidRPr="00E541F7">
        <w:rPr>
          <w:szCs w:val="26"/>
        </w:rPr>
        <w:t xml:space="preserve"> Officer </w:t>
      </w:r>
      <w:proofErr w:type="spellStart"/>
      <w:r w:rsidRPr="00E541F7">
        <w:rPr>
          <w:szCs w:val="26"/>
        </w:rPr>
        <w:t>Dugonjic</w:t>
      </w:r>
      <w:proofErr w:type="spellEnd"/>
      <w:r w:rsidRPr="00E541F7">
        <w:rPr>
          <w:szCs w:val="26"/>
        </w:rPr>
        <w:t xml:space="preserve"> </w:t>
      </w:r>
      <w:r w:rsidRPr="00E541F7">
        <w:rPr>
          <w:szCs w:val="26"/>
        </w:rPr>
        <w:t xml:space="preserve">knew from </w:t>
      </w:r>
      <w:r w:rsidRPr="00E541F7">
        <w:rPr>
          <w:szCs w:val="26"/>
        </w:rPr>
        <w:t xml:space="preserve">his training </w:t>
      </w:r>
      <w:r w:rsidRPr="00E541F7">
        <w:rPr>
          <w:szCs w:val="26"/>
        </w:rPr>
        <w:t xml:space="preserve">and experience </w:t>
      </w:r>
      <w:r w:rsidRPr="00E541F7">
        <w:rPr>
          <w:szCs w:val="26"/>
        </w:rPr>
        <w:t>that marijuana is often smoked in paper taken from tobacco products</w:t>
      </w:r>
      <w:r w:rsidRPr="00E541F7">
        <w:rPr>
          <w:szCs w:val="26"/>
        </w:rPr>
        <w:t>.  T</w:t>
      </w:r>
      <w:r w:rsidRPr="00E541F7">
        <w:rPr>
          <w:szCs w:val="26"/>
        </w:rPr>
        <w:t xml:space="preserve">he tobacco is </w:t>
      </w:r>
      <w:r w:rsidRPr="00E541F7">
        <w:rPr>
          <w:szCs w:val="26"/>
        </w:rPr>
        <w:t xml:space="preserve">then </w:t>
      </w:r>
      <w:r w:rsidRPr="00E541F7">
        <w:rPr>
          <w:szCs w:val="26"/>
        </w:rPr>
        <w:t xml:space="preserve">removed </w:t>
      </w:r>
      <w:r w:rsidRPr="00E541F7">
        <w:rPr>
          <w:szCs w:val="26"/>
        </w:rPr>
        <w:t xml:space="preserve">from the product </w:t>
      </w:r>
      <w:r w:rsidRPr="00E541F7">
        <w:rPr>
          <w:szCs w:val="26"/>
        </w:rPr>
        <w:t xml:space="preserve">and replaced with marijuana. </w:t>
      </w:r>
      <w:r w:rsidRPr="00E541F7">
        <w:rPr>
          <w:szCs w:val="26"/>
        </w:rPr>
        <w:t xml:space="preserve"> According to Officer </w:t>
      </w:r>
      <w:proofErr w:type="spellStart"/>
      <w:r w:rsidRPr="00E541F7">
        <w:rPr>
          <w:szCs w:val="26"/>
        </w:rPr>
        <w:t>Dugonjic</w:t>
      </w:r>
      <w:proofErr w:type="spellEnd"/>
      <w:r w:rsidRPr="00E541F7">
        <w:rPr>
          <w:szCs w:val="26"/>
        </w:rPr>
        <w:t xml:space="preserve">, </w:t>
      </w:r>
      <w:r w:rsidRPr="00E541F7">
        <w:rPr>
          <w:szCs w:val="26"/>
        </w:rPr>
        <w:t xml:space="preserve">if </w:t>
      </w:r>
      <w:r w:rsidRPr="00E541F7">
        <w:rPr>
          <w:szCs w:val="26"/>
        </w:rPr>
        <w:t>the amount of marijuana is enough to be manipulated, it is useabl</w:t>
      </w:r>
      <w:r w:rsidRPr="00E541F7">
        <w:rPr>
          <w:szCs w:val="26"/>
        </w:rPr>
        <w:t>e</w:t>
      </w:r>
      <w:r w:rsidRPr="00E541F7">
        <w:rPr>
          <w:szCs w:val="26"/>
        </w:rPr>
        <w:t>.</w:t>
      </w:r>
    </w:p>
  </w:footnote>
  <w:footnote w:id="2">
    <w:p w14:paraId="16D20419" w14:textId="77777777" w:rsidR="002042CB" w:rsidRPr="00E541F7" w:rsidRDefault="002042CB" w:rsidP="00DF74E4">
      <w:pPr>
        <w:pStyle w:val="FootnoteText"/>
        <w:spacing w:after="120"/>
        <w:ind w:firstLine="720"/>
        <w:rPr>
          <w:szCs w:val="26"/>
        </w:rPr>
      </w:pPr>
      <w:r w:rsidRPr="00E541F7">
        <w:rPr>
          <w:rStyle w:val="FootnoteReference"/>
          <w:szCs w:val="26"/>
        </w:rPr>
        <w:footnoteRef/>
      </w:r>
      <w:r w:rsidRPr="00E541F7">
        <w:rPr>
          <w:szCs w:val="26"/>
        </w:rPr>
        <w:t xml:space="preserve"> On cross-examination, Officer </w:t>
      </w:r>
      <w:proofErr w:type="spellStart"/>
      <w:r w:rsidRPr="00E541F7">
        <w:rPr>
          <w:szCs w:val="26"/>
        </w:rPr>
        <w:t>Dugonjic</w:t>
      </w:r>
      <w:proofErr w:type="spellEnd"/>
      <w:r w:rsidRPr="00E541F7">
        <w:rPr>
          <w:szCs w:val="26"/>
        </w:rPr>
        <w:t xml:space="preserve"> clarified that trying to find identification was one of the reasons why he searched the vehicle.  Another reason was the visible marijuana blunt on the passenger’s lap, which he could smell from outside the vehicle.</w:t>
      </w:r>
    </w:p>
  </w:footnote>
  <w:footnote w:id="3">
    <w:p w14:paraId="11F3FC11" w14:textId="77777777" w:rsidR="002042CB" w:rsidRPr="00E541F7" w:rsidRDefault="002042CB" w:rsidP="004C2B3E">
      <w:pPr>
        <w:pStyle w:val="FootnoteText"/>
        <w:spacing w:after="120"/>
        <w:ind w:firstLine="720"/>
        <w:rPr>
          <w:szCs w:val="26"/>
        </w:rPr>
      </w:pPr>
      <w:r w:rsidRPr="00E541F7">
        <w:rPr>
          <w:rStyle w:val="FootnoteReference"/>
          <w:szCs w:val="26"/>
        </w:rPr>
        <w:footnoteRef/>
      </w:r>
      <w:r w:rsidRPr="00E541F7">
        <w:rPr>
          <w:szCs w:val="26"/>
        </w:rPr>
        <w:t xml:space="preserve"> Unless otherwise stated, all statutory citations herein are to the Health and Safety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E1A0D" w14:textId="77777777" w:rsidR="002042CB" w:rsidRPr="001F5C2D" w:rsidRDefault="002042CB" w:rsidP="001F5C2D">
    <w:pPr>
      <w:pStyle w:val="Header"/>
      <w:tabs>
        <w:tab w:val="clear" w:pos="720"/>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2BC2F" w14:textId="77777777" w:rsidR="002042CB" w:rsidRDefault="002042CB" w:rsidP="009B0A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B9122E"/>
    <w:multiLevelType w:val="hybridMultilevel"/>
    <w:tmpl w:val="214CEC94"/>
    <w:lvl w:ilvl="0" w:tplc="5680BE2A">
      <w:start w:val="1"/>
      <w:numFmt w:val="decimal"/>
      <w:lvlText w:val="%1."/>
      <w:lvlJc w:val="left"/>
      <w:pPr>
        <w:ind w:left="720" w:hanging="360"/>
      </w:pPr>
    </w:lvl>
    <w:lvl w:ilvl="1" w:tplc="038215B4" w:tentative="1">
      <w:start w:val="1"/>
      <w:numFmt w:val="lowerLetter"/>
      <w:lvlText w:val="%2."/>
      <w:lvlJc w:val="left"/>
      <w:pPr>
        <w:ind w:left="1440" w:hanging="360"/>
      </w:pPr>
    </w:lvl>
    <w:lvl w:ilvl="2" w:tplc="E04426BA" w:tentative="1">
      <w:start w:val="1"/>
      <w:numFmt w:val="lowerRoman"/>
      <w:lvlText w:val="%3."/>
      <w:lvlJc w:val="right"/>
      <w:pPr>
        <w:ind w:left="2160" w:hanging="180"/>
      </w:pPr>
    </w:lvl>
    <w:lvl w:ilvl="3" w:tplc="14685D86" w:tentative="1">
      <w:start w:val="1"/>
      <w:numFmt w:val="decimal"/>
      <w:lvlText w:val="%4."/>
      <w:lvlJc w:val="left"/>
      <w:pPr>
        <w:ind w:left="2880" w:hanging="360"/>
      </w:pPr>
    </w:lvl>
    <w:lvl w:ilvl="4" w:tplc="68BC94AA" w:tentative="1">
      <w:start w:val="1"/>
      <w:numFmt w:val="lowerLetter"/>
      <w:lvlText w:val="%5."/>
      <w:lvlJc w:val="left"/>
      <w:pPr>
        <w:ind w:left="3600" w:hanging="360"/>
      </w:pPr>
    </w:lvl>
    <w:lvl w:ilvl="5" w:tplc="E6DE7518" w:tentative="1">
      <w:start w:val="1"/>
      <w:numFmt w:val="lowerRoman"/>
      <w:lvlText w:val="%6."/>
      <w:lvlJc w:val="right"/>
      <w:pPr>
        <w:ind w:left="4320" w:hanging="180"/>
      </w:pPr>
    </w:lvl>
    <w:lvl w:ilvl="6" w:tplc="B36E240C" w:tentative="1">
      <w:start w:val="1"/>
      <w:numFmt w:val="decimal"/>
      <w:lvlText w:val="%7."/>
      <w:lvlJc w:val="left"/>
      <w:pPr>
        <w:ind w:left="5040" w:hanging="360"/>
      </w:pPr>
    </w:lvl>
    <w:lvl w:ilvl="7" w:tplc="513611E4" w:tentative="1">
      <w:start w:val="1"/>
      <w:numFmt w:val="lowerLetter"/>
      <w:lvlText w:val="%8."/>
      <w:lvlJc w:val="left"/>
      <w:pPr>
        <w:ind w:left="5760" w:hanging="360"/>
      </w:pPr>
    </w:lvl>
    <w:lvl w:ilvl="8" w:tplc="D4463DC0" w:tentative="1">
      <w:start w:val="1"/>
      <w:numFmt w:val="lowerRoman"/>
      <w:lvlText w:val="%9."/>
      <w:lvlJc w:val="right"/>
      <w:pPr>
        <w:ind w:left="6480" w:hanging="180"/>
      </w:pPr>
    </w:lvl>
  </w:abstractNum>
  <w:abstractNum w:abstractNumId="1" w15:restartNumberingAfterBreak="0">
    <w:nsid w:val="799C3741"/>
    <w:multiLevelType w:val="hybridMultilevel"/>
    <w:tmpl w:val="58540CB2"/>
    <w:lvl w:ilvl="0" w:tplc="A1CA74A2">
      <w:start w:val="1"/>
      <w:numFmt w:val="upperRoman"/>
      <w:lvlText w:val="%1."/>
      <w:lvlJc w:val="left"/>
      <w:pPr>
        <w:ind w:left="1080" w:hanging="720"/>
      </w:pPr>
      <w:rPr>
        <w:rFonts w:hint="default"/>
        <w:i w:val="0"/>
        <w:iCs w:val="0"/>
      </w:rPr>
    </w:lvl>
    <w:lvl w:ilvl="1" w:tplc="07AEFB76" w:tentative="1">
      <w:start w:val="1"/>
      <w:numFmt w:val="lowerLetter"/>
      <w:lvlText w:val="%2."/>
      <w:lvlJc w:val="left"/>
      <w:pPr>
        <w:ind w:left="1440" w:hanging="360"/>
      </w:pPr>
    </w:lvl>
    <w:lvl w:ilvl="2" w:tplc="7374BF4E" w:tentative="1">
      <w:start w:val="1"/>
      <w:numFmt w:val="lowerRoman"/>
      <w:lvlText w:val="%3."/>
      <w:lvlJc w:val="right"/>
      <w:pPr>
        <w:ind w:left="2160" w:hanging="180"/>
      </w:pPr>
    </w:lvl>
    <w:lvl w:ilvl="3" w:tplc="CCC6634A" w:tentative="1">
      <w:start w:val="1"/>
      <w:numFmt w:val="decimal"/>
      <w:lvlText w:val="%4."/>
      <w:lvlJc w:val="left"/>
      <w:pPr>
        <w:ind w:left="2880" w:hanging="360"/>
      </w:pPr>
    </w:lvl>
    <w:lvl w:ilvl="4" w:tplc="7DBAC6AC" w:tentative="1">
      <w:start w:val="1"/>
      <w:numFmt w:val="lowerLetter"/>
      <w:lvlText w:val="%5."/>
      <w:lvlJc w:val="left"/>
      <w:pPr>
        <w:ind w:left="3600" w:hanging="360"/>
      </w:pPr>
    </w:lvl>
    <w:lvl w:ilvl="5" w:tplc="3A1E179E" w:tentative="1">
      <w:start w:val="1"/>
      <w:numFmt w:val="lowerRoman"/>
      <w:lvlText w:val="%6."/>
      <w:lvlJc w:val="right"/>
      <w:pPr>
        <w:ind w:left="4320" w:hanging="180"/>
      </w:pPr>
    </w:lvl>
    <w:lvl w:ilvl="6" w:tplc="7B40EBA0" w:tentative="1">
      <w:start w:val="1"/>
      <w:numFmt w:val="decimal"/>
      <w:lvlText w:val="%7."/>
      <w:lvlJc w:val="left"/>
      <w:pPr>
        <w:ind w:left="5040" w:hanging="360"/>
      </w:pPr>
    </w:lvl>
    <w:lvl w:ilvl="7" w:tplc="E7100FE6" w:tentative="1">
      <w:start w:val="1"/>
      <w:numFmt w:val="lowerLetter"/>
      <w:lvlText w:val="%8."/>
      <w:lvlJc w:val="left"/>
      <w:pPr>
        <w:ind w:left="5760" w:hanging="360"/>
      </w:pPr>
    </w:lvl>
    <w:lvl w:ilvl="8" w:tplc="37063E42" w:tentative="1">
      <w:start w:val="1"/>
      <w:numFmt w:val="lowerRoman"/>
      <w:lvlText w:val="%9."/>
      <w:lvlJc w:val="right"/>
      <w:pPr>
        <w:ind w:left="6480" w:hanging="180"/>
      </w:pPr>
    </w:lvl>
  </w:abstractNum>
  <w:num w:numId="1" w16cid:durableId="387192833">
    <w:abstractNumId w:val="0"/>
  </w:num>
  <w:num w:numId="2" w16cid:durableId="1830949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B7"/>
    <w:rsid w:val="000279B7"/>
    <w:rsid w:val="002042CB"/>
    <w:rsid w:val="0047286C"/>
    <w:rsid w:val="008B5CD2"/>
    <w:rsid w:val="009E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Schoolbook" w:eastAsiaTheme="minorHAnsi" w:hAnsi="Century Schoolbook"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D05"/>
    <w:pPr>
      <w:tabs>
        <w:tab w:val="center" w:pos="4680"/>
        <w:tab w:val="right" w:pos="9360"/>
      </w:tabs>
      <w:spacing w:line="240" w:lineRule="auto"/>
    </w:pPr>
  </w:style>
  <w:style w:type="character" w:customStyle="1" w:styleId="HeaderChar">
    <w:name w:val="Header Char"/>
    <w:basedOn w:val="DefaultParagraphFont"/>
    <w:link w:val="Header"/>
    <w:uiPriority w:val="99"/>
    <w:rsid w:val="00452D05"/>
  </w:style>
  <w:style w:type="paragraph" w:styleId="Footer">
    <w:name w:val="footer"/>
    <w:basedOn w:val="Normal"/>
    <w:link w:val="FooterChar"/>
    <w:uiPriority w:val="99"/>
    <w:unhideWhenUsed/>
    <w:rsid w:val="00452D05"/>
    <w:pPr>
      <w:tabs>
        <w:tab w:val="center" w:pos="4680"/>
        <w:tab w:val="right" w:pos="9360"/>
      </w:tabs>
      <w:spacing w:line="240" w:lineRule="auto"/>
    </w:pPr>
  </w:style>
  <w:style w:type="character" w:customStyle="1" w:styleId="FooterChar">
    <w:name w:val="Footer Char"/>
    <w:basedOn w:val="DefaultParagraphFont"/>
    <w:link w:val="Footer"/>
    <w:uiPriority w:val="99"/>
    <w:rsid w:val="00452D05"/>
  </w:style>
  <w:style w:type="character" w:styleId="PageNumber">
    <w:name w:val="page number"/>
    <w:basedOn w:val="DefaultParagraphFont"/>
    <w:uiPriority w:val="99"/>
    <w:semiHidden/>
    <w:unhideWhenUsed/>
    <w:rsid w:val="00452D05"/>
  </w:style>
  <w:style w:type="paragraph" w:styleId="FootnoteText">
    <w:name w:val="footnote text"/>
    <w:link w:val="FootnoteTextChar"/>
    <w:uiPriority w:val="99"/>
    <w:unhideWhenUsed/>
    <w:rsid w:val="00452D05"/>
    <w:pPr>
      <w:spacing w:line="240" w:lineRule="auto"/>
    </w:pPr>
    <w:rPr>
      <w:szCs w:val="20"/>
    </w:rPr>
  </w:style>
  <w:style w:type="character" w:customStyle="1" w:styleId="FootnoteTextChar">
    <w:name w:val="Footnote Text Char"/>
    <w:basedOn w:val="DefaultParagraphFont"/>
    <w:link w:val="FootnoteText"/>
    <w:uiPriority w:val="99"/>
    <w:rsid w:val="00452D05"/>
    <w:rPr>
      <w:szCs w:val="20"/>
    </w:rPr>
  </w:style>
  <w:style w:type="character" w:styleId="FootnoteReference">
    <w:name w:val="footnote reference"/>
    <w:basedOn w:val="DefaultParagraphFont"/>
    <w:uiPriority w:val="99"/>
    <w:semiHidden/>
    <w:unhideWhenUsed/>
    <w:rsid w:val="00452D05"/>
    <w:rPr>
      <w:vertAlign w:val="superscript"/>
    </w:rPr>
  </w:style>
  <w:style w:type="character" w:customStyle="1" w:styleId="ssheadnotelink">
    <w:name w:val="ss_headnotelink"/>
    <w:basedOn w:val="DefaultParagraphFont"/>
    <w:rsid w:val="005A7A5A"/>
  </w:style>
  <w:style w:type="character" w:styleId="Hyperlink">
    <w:name w:val="Hyperlink"/>
    <w:basedOn w:val="DefaultParagraphFont"/>
    <w:uiPriority w:val="99"/>
    <w:semiHidden/>
    <w:unhideWhenUsed/>
    <w:rsid w:val="005A7A5A"/>
    <w:rPr>
      <w:color w:val="0000FF"/>
      <w:u w:val="single"/>
    </w:rPr>
  </w:style>
  <w:style w:type="character" w:customStyle="1" w:styleId="ssit">
    <w:name w:val="ss_it"/>
    <w:basedOn w:val="DefaultParagraphFont"/>
    <w:rsid w:val="005A7A5A"/>
  </w:style>
  <w:style w:type="character" w:customStyle="1" w:styleId="ssrfcpassagedeactivated">
    <w:name w:val="ss_rfcpassage_deactivated"/>
    <w:basedOn w:val="DefaultParagraphFont"/>
    <w:rsid w:val="00FA675B"/>
  </w:style>
  <w:style w:type="character" w:customStyle="1" w:styleId="ssrfcsection">
    <w:name w:val="ss_rfcsection"/>
    <w:basedOn w:val="DefaultParagraphFont"/>
    <w:rsid w:val="00FA675B"/>
  </w:style>
  <w:style w:type="character" w:customStyle="1" w:styleId="sssh">
    <w:name w:val="ss_sh"/>
    <w:basedOn w:val="DefaultParagraphFont"/>
    <w:rsid w:val="00032626"/>
  </w:style>
  <w:style w:type="paragraph" w:styleId="Revision">
    <w:name w:val="Revision"/>
    <w:hidden/>
    <w:uiPriority w:val="99"/>
    <w:semiHidden/>
    <w:rsid w:val="00F06C72"/>
    <w:pPr>
      <w:spacing w:line="240" w:lineRule="auto"/>
    </w:pPr>
  </w:style>
  <w:style w:type="character" w:styleId="CommentReference">
    <w:name w:val="annotation reference"/>
    <w:basedOn w:val="DefaultParagraphFont"/>
    <w:uiPriority w:val="99"/>
    <w:semiHidden/>
    <w:unhideWhenUsed/>
    <w:rsid w:val="00C42292"/>
    <w:rPr>
      <w:sz w:val="16"/>
      <w:szCs w:val="16"/>
    </w:rPr>
  </w:style>
  <w:style w:type="paragraph" w:styleId="CommentText">
    <w:name w:val="annotation text"/>
    <w:basedOn w:val="Normal"/>
    <w:link w:val="CommentTextChar"/>
    <w:uiPriority w:val="99"/>
    <w:unhideWhenUsed/>
    <w:rsid w:val="00C42292"/>
    <w:pPr>
      <w:spacing w:line="240" w:lineRule="auto"/>
    </w:pPr>
    <w:rPr>
      <w:sz w:val="20"/>
      <w:szCs w:val="20"/>
    </w:rPr>
  </w:style>
  <w:style w:type="character" w:customStyle="1" w:styleId="CommentTextChar">
    <w:name w:val="Comment Text Char"/>
    <w:basedOn w:val="DefaultParagraphFont"/>
    <w:link w:val="CommentText"/>
    <w:uiPriority w:val="99"/>
    <w:rsid w:val="00C42292"/>
    <w:rPr>
      <w:sz w:val="20"/>
      <w:szCs w:val="20"/>
    </w:rPr>
  </w:style>
  <w:style w:type="paragraph" w:styleId="CommentSubject">
    <w:name w:val="annotation subject"/>
    <w:basedOn w:val="CommentText"/>
    <w:next w:val="CommentText"/>
    <w:link w:val="CommentSubjectChar"/>
    <w:uiPriority w:val="99"/>
    <w:semiHidden/>
    <w:unhideWhenUsed/>
    <w:rsid w:val="00C42292"/>
    <w:rPr>
      <w:b/>
      <w:bCs/>
    </w:rPr>
  </w:style>
  <w:style w:type="character" w:customStyle="1" w:styleId="CommentSubjectChar">
    <w:name w:val="Comment Subject Char"/>
    <w:basedOn w:val="CommentTextChar"/>
    <w:link w:val="CommentSubject"/>
    <w:uiPriority w:val="99"/>
    <w:semiHidden/>
    <w:rsid w:val="00C42292"/>
    <w:rPr>
      <w:b/>
      <w:bCs/>
      <w:sz w:val="20"/>
      <w:szCs w:val="20"/>
    </w:rPr>
  </w:style>
  <w:style w:type="paragraph" w:styleId="ListParagraph">
    <w:name w:val="List Paragraph"/>
    <w:basedOn w:val="Normal"/>
    <w:uiPriority w:val="34"/>
    <w:qFormat/>
    <w:rsid w:val="00C71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911D0-9591-423C-9DCC-657966E1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2171</Words>
  <Characters>11452</Characters>
  <Application>Microsoft Office Word</Application>
  <DocSecurity>0</DocSecurity>
  <Lines>238</Lines>
  <Paragraphs>57</Paragraphs>
  <ScaleCrop>false</ScaleCrop>
  <Manager/>
  <Company/>
  <LinksUpToDate>false</LinksUpToDate>
  <CharactersWithSpaces>13678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2024-05-03T15:33:00Z</dcterms:created>
  <dcterms:modified xsi:type="dcterms:W3CDTF">2024-05-03T15:33:00Z</dcterms:modified>
  <cp:category/>
</cp:coreProperties>
</file>