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4196E" w14:textId="77777777" w:rsidR="00AD3A06" w:rsidRPr="00341F06" w:rsidRDefault="00AD3A06" w:rsidP="007B6094">
      <w:pPr>
        <w:spacing w:line="240" w:lineRule="auto"/>
        <w:ind w:firstLine="0"/>
        <w:rPr>
          <w:sz w:val="20"/>
        </w:rPr>
      </w:pPr>
      <w:r w:rsidRPr="00341F06">
        <w:rPr>
          <w:sz w:val="20"/>
        </w:rPr>
        <w:t>Filed 6/28/24</w:t>
      </w:r>
    </w:p>
    <w:p w14:paraId="324073B8" w14:textId="77777777" w:rsidR="00AD3A06" w:rsidRPr="00F0138C" w:rsidRDefault="00AD3A06" w:rsidP="00F0138C">
      <w:pPr>
        <w:spacing w:line="480" w:lineRule="auto"/>
        <w:ind w:firstLine="0"/>
        <w:jc w:val="center"/>
        <w:rPr>
          <w:b/>
        </w:rPr>
      </w:pPr>
      <w:r>
        <w:rPr>
          <w:b/>
        </w:rPr>
        <w:t>CERTIFIED FOR PUBLICATION</w:t>
      </w:r>
    </w:p>
    <w:p w14:paraId="6DA41CC1" w14:textId="77777777" w:rsidR="00AD3A06" w:rsidRPr="00944C2C" w:rsidRDefault="00AD3A06" w:rsidP="00F0138C">
      <w:pPr>
        <w:spacing w:line="480" w:lineRule="auto"/>
        <w:ind w:firstLine="0"/>
        <w:jc w:val="center"/>
      </w:pPr>
      <w:r w:rsidRPr="00944C2C">
        <w:t>IN THE COURT OF APPEAL OF THE STATE OF CALIFORNIA</w:t>
      </w:r>
    </w:p>
    <w:p w14:paraId="4BEFF9D2" w14:textId="77777777" w:rsidR="00AD3A06" w:rsidRDefault="00AD3A06" w:rsidP="00F85CE6">
      <w:pPr>
        <w:spacing w:line="480" w:lineRule="auto"/>
        <w:ind w:firstLine="0"/>
        <w:jc w:val="center"/>
      </w:pPr>
      <w:r>
        <w:t>FIRST APPELLATE DISTRICT</w:t>
      </w:r>
    </w:p>
    <w:p w14:paraId="504FC1BC" w14:textId="77777777" w:rsidR="00AD3A06" w:rsidRDefault="00AD3A06" w:rsidP="00F85CE6">
      <w:pPr>
        <w:spacing w:line="480" w:lineRule="auto"/>
        <w:ind w:firstLine="0"/>
        <w:jc w:val="center"/>
      </w:pPr>
      <w:r>
        <w:t>DIVISION FOUR</w:t>
      </w:r>
    </w:p>
    <w:p w14:paraId="1EC817F9" w14:textId="77777777" w:rsidR="00AD3A06" w:rsidRDefault="00AD3A06" w:rsidP="00F85CE6">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BA0D25" w14:paraId="578DC294" w14:textId="77777777" w:rsidTr="00C50E5A">
        <w:tc>
          <w:tcPr>
            <w:tcW w:w="4680" w:type="dxa"/>
            <w:tcBorders>
              <w:bottom w:val="single" w:sz="4" w:space="0" w:color="auto"/>
              <w:right w:val="single" w:sz="4" w:space="0" w:color="auto"/>
            </w:tcBorders>
            <w:shd w:val="clear" w:color="auto" w:fill="auto"/>
          </w:tcPr>
          <w:p w14:paraId="7D4C7AA7" w14:textId="77777777" w:rsidR="00AD3A06" w:rsidRPr="005D3D64" w:rsidRDefault="00AD3A06" w:rsidP="00F239EC">
            <w:pPr>
              <w:spacing w:after="120" w:line="240" w:lineRule="auto"/>
              <w:ind w:firstLine="0"/>
            </w:pPr>
            <w:r w:rsidRPr="005D3D64">
              <w:t>THE PEOPLE,</w:t>
            </w:r>
          </w:p>
          <w:p w14:paraId="7A0A58A4" w14:textId="77777777" w:rsidR="00AD3A06" w:rsidRPr="005D3D64" w:rsidRDefault="00AD3A06" w:rsidP="00F239EC">
            <w:pPr>
              <w:tabs>
                <w:tab w:val="left" w:pos="610"/>
              </w:tabs>
              <w:spacing w:after="120" w:line="240" w:lineRule="auto"/>
              <w:ind w:firstLine="0"/>
            </w:pPr>
            <w:r w:rsidRPr="005D3D64">
              <w:tab/>
              <w:t xml:space="preserve">Plaintiff and </w:t>
            </w:r>
            <w:r w:rsidRPr="005D3D64">
              <w:t>Respondent</w:t>
            </w:r>
            <w:r w:rsidRPr="005D3D64">
              <w:t>,</w:t>
            </w:r>
          </w:p>
          <w:p w14:paraId="79F79511" w14:textId="77777777" w:rsidR="00AD3A06" w:rsidRPr="005D3D64" w:rsidRDefault="00AD3A06" w:rsidP="00F239EC">
            <w:pPr>
              <w:tabs>
                <w:tab w:val="left" w:pos="1870"/>
              </w:tabs>
              <w:spacing w:after="120" w:line="240" w:lineRule="auto"/>
              <w:ind w:firstLine="0"/>
            </w:pPr>
            <w:r w:rsidRPr="005D3D64">
              <w:tab/>
              <w:t>v.</w:t>
            </w:r>
          </w:p>
          <w:p w14:paraId="2A1EB95E" w14:textId="77777777" w:rsidR="00AD3A06" w:rsidRPr="005D3D64" w:rsidRDefault="00AD3A06" w:rsidP="00F239EC">
            <w:pPr>
              <w:tabs>
                <w:tab w:val="left" w:pos="610"/>
              </w:tabs>
              <w:spacing w:line="240" w:lineRule="auto"/>
              <w:ind w:firstLine="0"/>
            </w:pPr>
            <w:r>
              <w:t>HAADI BOLOURCHI</w:t>
            </w:r>
            <w:r w:rsidRPr="005D3D64">
              <w:t>,</w:t>
            </w:r>
          </w:p>
          <w:p w14:paraId="77BA1F4A" w14:textId="77777777" w:rsidR="00AD3A06" w:rsidRPr="005D3D64" w:rsidRDefault="00AD3A06" w:rsidP="00F239EC">
            <w:pPr>
              <w:tabs>
                <w:tab w:val="left" w:pos="610"/>
              </w:tabs>
              <w:spacing w:before="120" w:after="240" w:line="240" w:lineRule="auto"/>
              <w:ind w:firstLine="0"/>
            </w:pPr>
            <w:r w:rsidRPr="005D3D64">
              <w:tab/>
              <w:t xml:space="preserve">Defendant and </w:t>
            </w:r>
            <w:r w:rsidRPr="005D3D64">
              <w:t>Appellant</w:t>
            </w:r>
            <w:r w:rsidRPr="005D3D64">
              <w:t>.</w:t>
            </w:r>
          </w:p>
        </w:tc>
        <w:tc>
          <w:tcPr>
            <w:tcW w:w="4680" w:type="dxa"/>
            <w:tcBorders>
              <w:left w:val="single" w:sz="4" w:space="0" w:color="auto"/>
            </w:tcBorders>
            <w:shd w:val="clear" w:color="auto" w:fill="auto"/>
          </w:tcPr>
          <w:p w14:paraId="3A4F5969" w14:textId="77777777" w:rsidR="00AD3A06" w:rsidRPr="005D3D64" w:rsidRDefault="00AD3A06" w:rsidP="00E7127E">
            <w:pPr>
              <w:spacing w:after="120" w:line="240" w:lineRule="auto"/>
              <w:ind w:firstLine="0"/>
            </w:pPr>
          </w:p>
          <w:p w14:paraId="1125F0FB" w14:textId="77777777" w:rsidR="00AD3A06" w:rsidRPr="005D3D64" w:rsidRDefault="00AD3A06" w:rsidP="00AF290D">
            <w:pPr>
              <w:tabs>
                <w:tab w:val="left" w:pos="346"/>
              </w:tabs>
              <w:spacing w:after="240" w:line="240" w:lineRule="auto"/>
              <w:ind w:firstLine="0"/>
            </w:pPr>
            <w:r w:rsidRPr="005D3D64">
              <w:tab/>
            </w:r>
            <w:r w:rsidRPr="005D3D64">
              <w:t>A</w:t>
            </w:r>
            <w:r w:rsidRPr="005D3D64">
              <w:t>1</w:t>
            </w:r>
            <w:r>
              <w:t>67289</w:t>
            </w:r>
          </w:p>
          <w:p w14:paraId="779A8CDF" w14:textId="77777777" w:rsidR="00AD3A06" w:rsidRPr="005D3D64" w:rsidRDefault="00AD3A06" w:rsidP="00AF290D">
            <w:pPr>
              <w:tabs>
                <w:tab w:val="left" w:pos="346"/>
              </w:tabs>
              <w:spacing w:line="240" w:lineRule="auto"/>
              <w:ind w:firstLine="0"/>
            </w:pPr>
            <w:r w:rsidRPr="005D3D64">
              <w:tab/>
              <w:t>(</w:t>
            </w:r>
            <w:r>
              <w:t>Marin</w:t>
            </w:r>
            <w:r w:rsidRPr="005D3D64">
              <w:t xml:space="preserve"> </w:t>
            </w:r>
            <w:r w:rsidRPr="005D3D64">
              <w:t xml:space="preserve">County </w:t>
            </w:r>
          </w:p>
          <w:p w14:paraId="7F1B2FFC" w14:textId="77777777" w:rsidR="00AD3A06" w:rsidRPr="005D3D64" w:rsidRDefault="00AD3A06" w:rsidP="00AF290D">
            <w:pPr>
              <w:tabs>
                <w:tab w:val="left" w:pos="346"/>
              </w:tabs>
              <w:spacing w:line="240" w:lineRule="auto"/>
              <w:ind w:firstLine="0"/>
            </w:pPr>
            <w:r w:rsidRPr="005D3D64">
              <w:tab/>
            </w:r>
            <w:r w:rsidRPr="005D3D64">
              <w:t xml:space="preserve">Super. </w:t>
            </w:r>
            <w:r w:rsidRPr="005D3D64">
              <w:t>Ct.</w:t>
            </w:r>
            <w:r>
              <w:t xml:space="preserve"> </w:t>
            </w:r>
            <w:r w:rsidRPr="005D3D64">
              <w:t>No.</w:t>
            </w:r>
            <w:r w:rsidRPr="005D3D64">
              <w:t> </w:t>
            </w:r>
            <w:r>
              <w:t>SC</w:t>
            </w:r>
            <w:r>
              <w:t>207297</w:t>
            </w:r>
            <w:r>
              <w:t>A</w:t>
            </w:r>
            <w:r w:rsidRPr="005D3D64">
              <w:t>)</w:t>
            </w:r>
          </w:p>
          <w:p w14:paraId="510CC2D1" w14:textId="77777777" w:rsidR="00AD3A06" w:rsidRPr="005D3D64" w:rsidRDefault="00AD3A06" w:rsidP="00E7127E">
            <w:pPr>
              <w:tabs>
                <w:tab w:val="left" w:pos="346"/>
              </w:tabs>
              <w:spacing w:line="240" w:lineRule="auto"/>
              <w:ind w:firstLine="0"/>
            </w:pPr>
          </w:p>
          <w:p w14:paraId="719AB7E5" w14:textId="77777777" w:rsidR="00AD3A06" w:rsidRPr="005D3D64" w:rsidRDefault="00AD3A06" w:rsidP="00E7127E">
            <w:pPr>
              <w:tabs>
                <w:tab w:val="left" w:pos="346"/>
              </w:tabs>
              <w:spacing w:line="240" w:lineRule="auto"/>
              <w:ind w:firstLine="0"/>
            </w:pPr>
            <w:r w:rsidRPr="005D3D64">
              <w:tab/>
            </w:r>
          </w:p>
        </w:tc>
      </w:tr>
    </w:tbl>
    <w:p w14:paraId="746E814D" w14:textId="77777777" w:rsidR="00AD3A06" w:rsidRDefault="00AD3A06" w:rsidP="00C50E5A">
      <w:pPr>
        <w:spacing w:line="240" w:lineRule="auto"/>
      </w:pPr>
    </w:p>
    <w:p w14:paraId="4E63697F" w14:textId="77777777" w:rsidR="00AD3A06" w:rsidRDefault="00AD3A06">
      <w:pPr>
        <w:spacing w:line="240" w:lineRule="auto"/>
      </w:pPr>
    </w:p>
    <w:p w14:paraId="56D31729" w14:textId="77777777" w:rsidR="00AD3A06" w:rsidRDefault="00AD3A06" w:rsidP="005F2CB5">
      <w:pPr>
        <w:shd w:val="clear" w:color="auto" w:fill="FFFFFF"/>
        <w:rPr>
          <w:rFonts w:eastAsia="Times New Roman" w:cs="Times New Roman"/>
          <w:color w:val="000000"/>
        </w:rPr>
      </w:pPr>
      <w:r>
        <w:rPr>
          <w:rFonts w:eastAsia="Times New Roman" w:cs="Times New Roman"/>
          <w:color w:val="000000"/>
        </w:rPr>
        <w:t>Under Vehicle Code</w:t>
      </w:r>
      <w:r>
        <w:rPr>
          <w:rStyle w:val="FootnoteReference"/>
          <w:rFonts w:eastAsia="Times New Roman" w:cs="Times New Roman"/>
          <w:color w:val="000000"/>
        </w:rPr>
        <w:footnoteReference w:id="2"/>
      </w:r>
      <w:r>
        <w:rPr>
          <w:rFonts w:eastAsia="Times New Roman" w:cs="Times New Roman"/>
          <w:color w:val="000000"/>
        </w:rPr>
        <w:t xml:space="preserve"> section </w:t>
      </w:r>
      <w:r>
        <w:rPr>
          <w:rFonts w:eastAsia="Times New Roman" w:cs="Times New Roman"/>
          <w:color w:val="000000"/>
        </w:rPr>
        <w:t>23612, subdivision (a)(1)(</w:t>
      </w:r>
      <w:r>
        <w:rPr>
          <w:rFonts w:eastAsia="Times New Roman" w:cs="Times New Roman"/>
          <w:color w:val="000000"/>
        </w:rPr>
        <w:t>B</w:t>
      </w:r>
      <w:r>
        <w:rPr>
          <w:rFonts w:eastAsia="Times New Roman" w:cs="Times New Roman"/>
          <w:color w:val="000000"/>
        </w:rPr>
        <w:t xml:space="preserve">), </w:t>
      </w:r>
      <w:r w:rsidRPr="005A14FB">
        <w:rPr>
          <w:rFonts w:eastAsia="Times New Roman" w:cs="Times New Roman"/>
          <w:color w:val="000000"/>
        </w:rPr>
        <w:t>“</w:t>
      </w:r>
      <w:r w:rsidRPr="00583104">
        <w:rPr>
          <w:rFonts w:eastAsia="Times New Roman" w:cs="Times New Roman"/>
          <w:color w:val="000000"/>
        </w:rPr>
        <w:t xml:space="preserve">A person who drives a motor vehicle is deemed to have given his or her consent to chemical testing of his or her blood for the purpose of determining the drug </w:t>
      </w:r>
      <w:r w:rsidRPr="00583104">
        <w:rPr>
          <w:rFonts w:eastAsia="Times New Roman" w:cs="Times New Roman"/>
          <w:color w:val="000000"/>
        </w:rPr>
        <w:t>content of his or her blood, if lawfully arrested for</w:t>
      </w:r>
      <w:r>
        <w:rPr>
          <w:rFonts w:eastAsia="Times New Roman" w:cs="Times New Roman"/>
          <w:color w:val="000000"/>
        </w:rPr>
        <w:t xml:space="preserve">” </w:t>
      </w:r>
      <w:r w:rsidRPr="005A14FB">
        <w:rPr>
          <w:rFonts w:eastAsia="Times New Roman" w:cs="Times New Roman"/>
          <w:color w:val="000000"/>
        </w:rPr>
        <w:t>driving while under the influence of a drug</w:t>
      </w:r>
      <w:r>
        <w:rPr>
          <w:rFonts w:eastAsia="Times New Roman" w:cs="Times New Roman"/>
          <w:color w:val="000000"/>
        </w:rPr>
        <w:t xml:space="preserve"> in violation of section 2315</w:t>
      </w:r>
      <w:r>
        <w:rPr>
          <w:rFonts w:eastAsia="Times New Roman" w:cs="Times New Roman"/>
          <w:color w:val="000000"/>
        </w:rPr>
        <w:t>2</w:t>
      </w:r>
      <w:r>
        <w:rPr>
          <w:rFonts w:eastAsia="Times New Roman" w:cs="Times New Roman"/>
          <w:color w:val="000000"/>
        </w:rPr>
        <w:t>, subdivision (f).</w:t>
      </w:r>
      <w:r>
        <w:rPr>
          <w:rStyle w:val="FootnoteReference"/>
        </w:rPr>
        <w:footnoteReference w:id="3"/>
      </w:r>
      <w:r w:rsidRPr="005A14FB">
        <w:rPr>
          <w:rFonts w:eastAsia="Times New Roman" w:cs="Times New Roman"/>
          <w:color w:val="000000"/>
        </w:rPr>
        <w:t xml:space="preserve"> </w:t>
      </w:r>
      <w:r>
        <w:rPr>
          <w:rFonts w:eastAsia="Times New Roman" w:cs="Times New Roman"/>
          <w:color w:val="000000"/>
        </w:rPr>
        <w:t xml:space="preserve"> The question presented here is this:  </w:t>
      </w:r>
      <w:r w:rsidRPr="005A14FB">
        <w:rPr>
          <w:rFonts w:eastAsia="Times New Roman" w:cs="Times New Roman"/>
          <w:color w:val="000000"/>
        </w:rPr>
        <w:t xml:space="preserve">If, following a valid arrest for </w:t>
      </w:r>
      <w:r>
        <w:rPr>
          <w:rFonts w:eastAsia="Times New Roman" w:cs="Times New Roman"/>
          <w:color w:val="000000"/>
        </w:rPr>
        <w:t xml:space="preserve">such an offense, </w:t>
      </w:r>
      <w:r w:rsidRPr="005A14FB">
        <w:rPr>
          <w:rFonts w:eastAsia="Times New Roman" w:cs="Times New Roman"/>
          <w:color w:val="000000"/>
        </w:rPr>
        <w:t>a</w:t>
      </w:r>
      <w:r w:rsidRPr="005A14FB">
        <w:rPr>
          <w:rFonts w:eastAsia="Times New Roman" w:cs="Times New Roman"/>
          <w:color w:val="000000"/>
        </w:rPr>
        <w:t xml:space="preserve"> motorist</w:t>
      </w:r>
      <w:r w:rsidRPr="005A14FB">
        <w:rPr>
          <w:rFonts w:eastAsia="Times New Roman" w:cs="Times New Roman"/>
          <w:color w:val="000000"/>
        </w:rPr>
        <w:t xml:space="preserve"> refuses to cooperate</w:t>
      </w:r>
      <w:r w:rsidRPr="005A14FB">
        <w:rPr>
          <w:rFonts w:eastAsia="Times New Roman" w:cs="Times New Roman"/>
          <w:color w:val="000000"/>
        </w:rPr>
        <w:t xml:space="preserve"> in </w:t>
      </w:r>
      <w:r w:rsidRPr="005A14FB">
        <w:rPr>
          <w:rFonts w:eastAsia="Times New Roman" w:cs="Times New Roman"/>
          <w:color w:val="000000"/>
        </w:rPr>
        <w:t xml:space="preserve">the </w:t>
      </w:r>
      <w:r w:rsidRPr="005A14FB">
        <w:rPr>
          <w:rFonts w:eastAsia="Times New Roman" w:cs="Times New Roman"/>
          <w:color w:val="000000"/>
        </w:rPr>
        <w:t>taking of a blood test</w:t>
      </w:r>
      <w:r>
        <w:rPr>
          <w:rFonts w:eastAsia="Times New Roman" w:cs="Times New Roman"/>
          <w:color w:val="000000"/>
        </w:rPr>
        <w:t xml:space="preserve"> unless a warrant is </w:t>
      </w:r>
      <w:r>
        <w:rPr>
          <w:rFonts w:eastAsia="Times New Roman" w:cs="Times New Roman"/>
          <w:color w:val="000000"/>
        </w:rPr>
        <w:t xml:space="preserve">first </w:t>
      </w:r>
      <w:r>
        <w:rPr>
          <w:rFonts w:eastAsia="Times New Roman" w:cs="Times New Roman"/>
          <w:color w:val="000000"/>
        </w:rPr>
        <w:t>obtained</w:t>
      </w:r>
      <w:r>
        <w:rPr>
          <w:rFonts w:eastAsia="Times New Roman" w:cs="Times New Roman"/>
          <w:color w:val="000000"/>
        </w:rPr>
        <w:t xml:space="preserve">, </w:t>
      </w:r>
      <w:r>
        <w:rPr>
          <w:rFonts w:eastAsia="Times New Roman" w:cs="Times New Roman"/>
          <w:color w:val="000000"/>
        </w:rPr>
        <w:t xml:space="preserve">may </w:t>
      </w:r>
      <w:r w:rsidRPr="005A14FB">
        <w:rPr>
          <w:rFonts w:eastAsia="Times New Roman" w:cs="Times New Roman"/>
          <w:color w:val="000000"/>
        </w:rPr>
        <w:t xml:space="preserve">the jury </w:t>
      </w:r>
      <w:r>
        <w:rPr>
          <w:rFonts w:eastAsia="Times New Roman" w:cs="Times New Roman"/>
          <w:color w:val="000000"/>
        </w:rPr>
        <w:t xml:space="preserve">at </w:t>
      </w:r>
      <w:r>
        <w:rPr>
          <w:rFonts w:eastAsia="Times New Roman" w:cs="Times New Roman"/>
          <w:color w:val="000000"/>
        </w:rPr>
        <w:t xml:space="preserve">the </w:t>
      </w:r>
      <w:r>
        <w:rPr>
          <w:rFonts w:eastAsia="Times New Roman" w:cs="Times New Roman"/>
          <w:color w:val="000000"/>
        </w:rPr>
        <w:t xml:space="preserve">motorist’s </w:t>
      </w:r>
      <w:r>
        <w:rPr>
          <w:rFonts w:eastAsia="Times New Roman" w:cs="Times New Roman"/>
          <w:color w:val="000000"/>
        </w:rPr>
        <w:t xml:space="preserve">ensuing </w:t>
      </w:r>
      <w:r>
        <w:rPr>
          <w:rFonts w:eastAsia="Times New Roman" w:cs="Times New Roman"/>
          <w:color w:val="000000"/>
        </w:rPr>
        <w:t xml:space="preserve">DUI trial </w:t>
      </w:r>
      <w:r w:rsidRPr="005A14FB">
        <w:rPr>
          <w:rFonts w:eastAsia="Times New Roman" w:cs="Times New Roman"/>
          <w:color w:val="000000"/>
        </w:rPr>
        <w:t xml:space="preserve">draw </w:t>
      </w:r>
      <w:r w:rsidRPr="005A14FB">
        <w:rPr>
          <w:rFonts w:eastAsia="Times New Roman" w:cs="Times New Roman"/>
          <w:color w:val="000000"/>
        </w:rPr>
        <w:t xml:space="preserve">an adverse inference </w:t>
      </w:r>
      <w:r w:rsidRPr="005A14FB">
        <w:rPr>
          <w:rFonts w:eastAsia="Times New Roman" w:cs="Times New Roman"/>
          <w:color w:val="000000"/>
        </w:rPr>
        <w:t>of consciousness of guilt</w:t>
      </w:r>
      <w:r>
        <w:rPr>
          <w:rFonts w:eastAsia="Times New Roman" w:cs="Times New Roman"/>
          <w:color w:val="000000"/>
        </w:rPr>
        <w:t xml:space="preserve"> based on that refusal</w:t>
      </w:r>
      <w:r>
        <w:rPr>
          <w:rFonts w:eastAsia="Times New Roman" w:cs="Times New Roman"/>
          <w:color w:val="000000"/>
        </w:rPr>
        <w:t xml:space="preserve">? </w:t>
      </w:r>
      <w:r>
        <w:rPr>
          <w:rFonts w:eastAsia="Times New Roman" w:cs="Times New Roman"/>
          <w:color w:val="000000"/>
        </w:rPr>
        <w:t xml:space="preserve">  </w:t>
      </w:r>
    </w:p>
    <w:p w14:paraId="7B2C5A8E" w14:textId="77777777" w:rsidR="00AD3A06" w:rsidRDefault="00AD3A06" w:rsidP="005F2CB5">
      <w:pPr>
        <w:shd w:val="clear" w:color="auto" w:fill="FFFFFF"/>
      </w:pPr>
      <w:r w:rsidRPr="005A14FB">
        <w:rPr>
          <w:rFonts w:eastAsia="Times New Roman" w:cs="Times New Roman"/>
          <w:color w:val="000000"/>
        </w:rPr>
        <w:t>Our answer is yes.</w:t>
      </w:r>
      <w:r>
        <w:rPr>
          <w:rFonts w:eastAsia="Times New Roman" w:cs="Times New Roman"/>
          <w:color w:val="000000"/>
        </w:rPr>
        <w:t xml:space="preserve">  </w:t>
      </w:r>
      <w:r>
        <w:rPr>
          <w:rFonts w:eastAsia="Times New Roman" w:cs="Times New Roman"/>
          <w:color w:val="000000"/>
        </w:rPr>
        <w:t xml:space="preserve">In this </w:t>
      </w:r>
      <w:r>
        <w:rPr>
          <w:rFonts w:eastAsia="Times New Roman" w:cs="Times New Roman"/>
          <w:color w:val="000000"/>
        </w:rPr>
        <w:t>case, a</w:t>
      </w:r>
      <w:r>
        <w:t xml:space="preserve"> jury convicted defendant Haadi </w:t>
      </w:r>
      <w:proofErr w:type="spellStart"/>
      <w:r>
        <w:t>Bolourchi</w:t>
      </w:r>
      <w:proofErr w:type="spellEnd"/>
      <w:r>
        <w:t xml:space="preserve"> of </w:t>
      </w:r>
      <w:r>
        <w:t xml:space="preserve">a DUI offense in violation of </w:t>
      </w:r>
      <w:r>
        <w:t>section </w:t>
      </w:r>
      <w:r>
        <w:t>2315</w:t>
      </w:r>
      <w:r>
        <w:t>2</w:t>
      </w:r>
      <w:r>
        <w:t>, sub</w:t>
      </w:r>
      <w:r w:rsidRPr="005A14FB">
        <w:t>d</w:t>
      </w:r>
      <w:r>
        <w:t>ivision (</w:t>
      </w:r>
      <w:r>
        <w:t>f),</w:t>
      </w:r>
      <w:r>
        <w:t xml:space="preserve"> </w:t>
      </w:r>
      <w:r>
        <w:t xml:space="preserve">and </w:t>
      </w:r>
      <w:r>
        <w:lastRenderedPageBreak/>
        <w:t>brib</w:t>
      </w:r>
      <w:r>
        <w:t>ing</w:t>
      </w:r>
      <w:r>
        <w:t xml:space="preserve"> an executive officer.  The trial court suspended imposition of sentence</w:t>
      </w:r>
      <w:r>
        <w:t>,</w:t>
      </w:r>
      <w:r>
        <w:t xml:space="preserve"> placed </w:t>
      </w:r>
      <w:proofErr w:type="spellStart"/>
      <w:r>
        <w:t>Bolourchi</w:t>
      </w:r>
      <w:proofErr w:type="spellEnd"/>
      <w:r>
        <w:t xml:space="preserve"> on three years’ probation</w:t>
      </w:r>
      <w:r>
        <w:t xml:space="preserve">, </w:t>
      </w:r>
      <w:r>
        <w:t xml:space="preserve">and ordered </w:t>
      </w:r>
      <w:r>
        <w:t xml:space="preserve">a jail term of </w:t>
      </w:r>
      <w:r>
        <w:t>180 days</w:t>
      </w:r>
      <w:r>
        <w:t xml:space="preserve">. </w:t>
      </w:r>
      <w:r>
        <w:t xml:space="preserve"> On appeal, </w:t>
      </w:r>
      <w:proofErr w:type="spellStart"/>
      <w:r>
        <w:t>Bolourchi</w:t>
      </w:r>
      <w:proofErr w:type="spellEnd"/>
      <w:r>
        <w:t xml:space="preserve"> contend</w:t>
      </w:r>
      <w:r>
        <w:t xml:space="preserve">s the DUI conviction should be reversed.  He argues </w:t>
      </w:r>
      <w:r>
        <w:t xml:space="preserve">the court erred by instructing the jury with CALCRIM No. 2130, </w:t>
      </w:r>
      <w:r>
        <w:t xml:space="preserve">an instruction that </w:t>
      </w:r>
      <w:r>
        <w:t xml:space="preserve">states a defendant’s refusal to submit to a chemical test </w:t>
      </w:r>
      <w:r>
        <w:t>as require</w:t>
      </w:r>
      <w:r>
        <w:t xml:space="preserve">d by </w:t>
      </w:r>
      <w:r>
        <w:t xml:space="preserve">California’s </w:t>
      </w:r>
      <w:r>
        <w:t xml:space="preserve">implied consent statute </w:t>
      </w:r>
      <w:r>
        <w:t xml:space="preserve">(§ 23612) </w:t>
      </w:r>
      <w:r>
        <w:t xml:space="preserve">may show </w:t>
      </w:r>
      <w:r>
        <w:t>consciousness of guilt.</w:t>
      </w:r>
      <w:r>
        <w:t xml:space="preserve">  </w:t>
      </w:r>
    </w:p>
    <w:p w14:paraId="6F9AF18B" w14:textId="77777777" w:rsidR="00AD3A06" w:rsidRDefault="00AD3A06" w:rsidP="00FF0C1B">
      <w:r>
        <w:t xml:space="preserve">Seeing no </w:t>
      </w:r>
      <w:r>
        <w:t>instruction</w:t>
      </w:r>
      <w:r>
        <w:t>al error</w:t>
      </w:r>
      <w:r>
        <w:t xml:space="preserve">, we </w:t>
      </w:r>
      <w:r>
        <w:t>affirm.</w:t>
      </w:r>
      <w:r>
        <w:rPr>
          <w:rStyle w:val="FootnoteReference"/>
        </w:rPr>
        <w:footnoteReference w:id="4"/>
      </w:r>
      <w:r>
        <w:t xml:space="preserve">  </w:t>
      </w:r>
    </w:p>
    <w:p w14:paraId="26315A5B" w14:textId="77777777" w:rsidR="00AD3A06" w:rsidRDefault="00AD3A06" w:rsidP="00394626">
      <w:pPr>
        <w:pStyle w:val="Heading1"/>
        <w:numPr>
          <w:ilvl w:val="0"/>
          <w:numId w:val="17"/>
        </w:numPr>
      </w:pPr>
      <w:r w:rsidRPr="00D92215">
        <w:t>BACKGROUND</w:t>
      </w:r>
    </w:p>
    <w:p w14:paraId="4E642E73" w14:textId="77777777" w:rsidR="00AD3A06" w:rsidRDefault="00AD3A06" w:rsidP="005B2C2C">
      <w:pPr>
        <w:pStyle w:val="Heading2"/>
      </w:pPr>
      <w:r>
        <w:t>The Charges</w:t>
      </w:r>
    </w:p>
    <w:p w14:paraId="7456C000" w14:textId="77777777" w:rsidR="00AD3A06" w:rsidRPr="005B2C2C" w:rsidRDefault="00AD3A06" w:rsidP="005B2C2C">
      <w:r>
        <w:t xml:space="preserve">An information charged </w:t>
      </w:r>
      <w:proofErr w:type="spellStart"/>
      <w:r>
        <w:t>Bolourchi</w:t>
      </w:r>
      <w:proofErr w:type="spellEnd"/>
      <w:r>
        <w:t xml:space="preserve"> </w:t>
      </w:r>
      <w:r w:rsidRPr="00710E96">
        <w:t>with driving under the influence of a drug with priors (§§</w:t>
      </w:r>
      <w:r>
        <w:t> </w:t>
      </w:r>
      <w:r w:rsidRPr="00710E96">
        <w:t>23152, subd.</w:t>
      </w:r>
      <w:r>
        <w:t> </w:t>
      </w:r>
      <w:r w:rsidRPr="00710E96">
        <w:t>(f), 23550, subd.</w:t>
      </w:r>
      <w:r>
        <w:t> </w:t>
      </w:r>
      <w:r w:rsidRPr="00710E96">
        <w:t>(a); count 1) and bribing an executive officer (Pen. Code, §</w:t>
      </w:r>
      <w:r>
        <w:t> </w:t>
      </w:r>
      <w:r w:rsidRPr="00710E96">
        <w:t xml:space="preserve">67; count 2). </w:t>
      </w:r>
      <w:r>
        <w:t xml:space="preserve"> A</w:t>
      </w:r>
      <w:r>
        <w:t>mong the sentencing enhancement allegation</w:t>
      </w:r>
      <w:r>
        <w:t>s</w:t>
      </w:r>
      <w:r>
        <w:t xml:space="preserve"> for </w:t>
      </w:r>
      <w:r>
        <w:t>count 1</w:t>
      </w:r>
      <w:r>
        <w:t xml:space="preserve"> was a charge that </w:t>
      </w:r>
      <w:proofErr w:type="spellStart"/>
      <w:r>
        <w:t>Bolourchi</w:t>
      </w:r>
      <w:proofErr w:type="spellEnd"/>
      <w:r w:rsidRPr="00F751C2">
        <w:t xml:space="preserve"> willfully refused a peace officer’s request to submit to</w:t>
      </w:r>
      <w:r>
        <w:t xml:space="preserve"> a chemical test </w:t>
      </w:r>
      <w:r w:rsidRPr="00F751C2">
        <w:t>and willfully failed to complete</w:t>
      </w:r>
      <w:r>
        <w:t xml:space="preserve"> that </w:t>
      </w:r>
      <w:r w:rsidRPr="00F751C2">
        <w:t>test</w:t>
      </w:r>
      <w:r>
        <w:t xml:space="preserve">. </w:t>
      </w:r>
      <w:r w:rsidRPr="00F751C2">
        <w:t xml:space="preserve"> (§§</w:t>
      </w:r>
      <w:r>
        <w:t xml:space="preserve"> 23612, </w:t>
      </w:r>
      <w:r w:rsidRPr="00F751C2">
        <w:t xml:space="preserve">23577, </w:t>
      </w:r>
      <w:r>
        <w:t>23578</w:t>
      </w:r>
      <w:r>
        <w:t>.</w:t>
      </w:r>
      <w:r w:rsidRPr="00F751C2">
        <w:t xml:space="preserve">) </w:t>
      </w:r>
    </w:p>
    <w:p w14:paraId="3F10B21E" w14:textId="77777777" w:rsidR="00AD3A06" w:rsidRDefault="00AD3A06" w:rsidP="001D6E97">
      <w:pPr>
        <w:pStyle w:val="Heading2"/>
      </w:pPr>
      <w:r>
        <w:t>The Evidence Presented at Trial</w:t>
      </w:r>
    </w:p>
    <w:p w14:paraId="7E8DF4F2" w14:textId="77777777" w:rsidR="00AD3A06" w:rsidRDefault="00AD3A06" w:rsidP="00394626">
      <w:r>
        <w:t>Officer Kevin Finerty testified as follows.</w:t>
      </w:r>
    </w:p>
    <w:p w14:paraId="26FAF621" w14:textId="77777777" w:rsidR="00AD3A06" w:rsidRDefault="00AD3A06" w:rsidP="00394626">
      <w:r>
        <w:t xml:space="preserve">In the early morning hours of September </w:t>
      </w:r>
      <w:r>
        <w:t>22</w:t>
      </w:r>
      <w:r>
        <w:t xml:space="preserve">, 2018, </w:t>
      </w:r>
      <w:r>
        <w:t xml:space="preserve">while on patrol </w:t>
      </w:r>
      <w:r>
        <w:t>i</w:t>
      </w:r>
      <w:r>
        <w:t>n San Rafael,</w:t>
      </w:r>
      <w:r>
        <w:t xml:space="preserve"> </w:t>
      </w:r>
      <w:r>
        <w:t xml:space="preserve">Officer Finerty </w:t>
      </w:r>
      <w:r>
        <w:t>noticed</w:t>
      </w:r>
      <w:r>
        <w:t xml:space="preserve"> a </w:t>
      </w:r>
      <w:r>
        <w:t xml:space="preserve">black </w:t>
      </w:r>
      <w:r>
        <w:t xml:space="preserve">Dodge Challenger </w:t>
      </w:r>
      <w:r>
        <w:t xml:space="preserve">with </w:t>
      </w:r>
      <w:r>
        <w:t>tinted f</w:t>
      </w:r>
      <w:r>
        <w:t>ront windows</w:t>
      </w:r>
      <w:r>
        <w:t>, obs</w:t>
      </w:r>
      <w:r>
        <w:t xml:space="preserve">curing </w:t>
      </w:r>
      <w:r>
        <w:t>the</w:t>
      </w:r>
      <w:r>
        <w:t xml:space="preserve"> driver</w:t>
      </w:r>
      <w:r>
        <w:t>.  L</w:t>
      </w:r>
      <w:r>
        <w:t xml:space="preserve">oud </w:t>
      </w:r>
      <w:r>
        <w:t>noises</w:t>
      </w:r>
      <w:r>
        <w:t xml:space="preserve"> were e</w:t>
      </w:r>
      <w:r>
        <w:t xml:space="preserve">mitting from the </w:t>
      </w:r>
      <w:r>
        <w:t>car’s re</w:t>
      </w:r>
      <w:r>
        <w:t xml:space="preserve">ar </w:t>
      </w:r>
      <w:r>
        <w:t>exhaust</w:t>
      </w:r>
      <w:r>
        <w:t xml:space="preserve">. </w:t>
      </w:r>
      <w:r>
        <w:t xml:space="preserve"> </w:t>
      </w:r>
      <w:r>
        <w:t xml:space="preserve">Both </w:t>
      </w:r>
      <w:r>
        <w:t xml:space="preserve">conditions </w:t>
      </w:r>
      <w:r>
        <w:t xml:space="preserve">violate the Vehicle Code. </w:t>
      </w:r>
      <w:r>
        <w:t xml:space="preserve"> </w:t>
      </w:r>
      <w:r>
        <w:t xml:space="preserve">After the </w:t>
      </w:r>
      <w:r>
        <w:t xml:space="preserve">car rolled </w:t>
      </w:r>
      <w:r>
        <w:t xml:space="preserve">slowly </w:t>
      </w:r>
      <w:r>
        <w:t xml:space="preserve">over the crosswalk and into </w:t>
      </w:r>
      <w:r>
        <w:t xml:space="preserve">the middle of </w:t>
      </w:r>
      <w:r>
        <w:t xml:space="preserve">an </w:t>
      </w:r>
      <w:r>
        <w:t>inter</w:t>
      </w:r>
      <w:r>
        <w:t>s</w:t>
      </w:r>
      <w:r>
        <w:t xml:space="preserve">ection </w:t>
      </w:r>
      <w:r>
        <w:t xml:space="preserve">against a red light, </w:t>
      </w:r>
      <w:r>
        <w:t xml:space="preserve">Officer Finerty </w:t>
      </w:r>
      <w:r>
        <w:t xml:space="preserve">pulled behind </w:t>
      </w:r>
      <w:r>
        <w:t>it</w:t>
      </w:r>
      <w:r>
        <w:t xml:space="preserve"> and </w:t>
      </w:r>
      <w:r>
        <w:t>activated his</w:t>
      </w:r>
      <w:r>
        <w:t xml:space="preserve"> </w:t>
      </w:r>
      <w:r>
        <w:t>emergency lights</w:t>
      </w:r>
      <w:r>
        <w:t xml:space="preserve">. </w:t>
      </w:r>
      <w:r w:rsidRPr="009C016E">
        <w:t xml:space="preserve"> </w:t>
      </w:r>
      <w:r>
        <w:t>When the car failed to stop, h</w:t>
      </w:r>
      <w:r>
        <w:t xml:space="preserve">e </w:t>
      </w:r>
      <w:r>
        <w:t xml:space="preserve">activated </w:t>
      </w:r>
      <w:r>
        <w:t>his siren</w:t>
      </w:r>
      <w:r>
        <w:t>.</w:t>
      </w:r>
      <w:r>
        <w:t xml:space="preserve"> </w:t>
      </w:r>
      <w:r w:rsidRPr="009C016E">
        <w:t xml:space="preserve"> </w:t>
      </w:r>
    </w:p>
    <w:p w14:paraId="04C1208A" w14:textId="77777777" w:rsidR="00AD3A06" w:rsidRDefault="00AD3A06" w:rsidP="00394626">
      <w:r>
        <w:lastRenderedPageBreak/>
        <w:t>With</w:t>
      </w:r>
      <w:r>
        <w:t xml:space="preserve"> Officer Finerty trailing close behind, t</w:t>
      </w:r>
      <w:r>
        <w:t xml:space="preserve">he car proceeded </w:t>
      </w:r>
      <w:r>
        <w:t xml:space="preserve">500 </w:t>
      </w:r>
      <w:r>
        <w:t xml:space="preserve">feet </w:t>
      </w:r>
      <w:r>
        <w:t xml:space="preserve">before pulling into the parking lot of a </w:t>
      </w:r>
      <w:r>
        <w:t>7-</w:t>
      </w:r>
      <w:r>
        <w:t>Eleven store</w:t>
      </w:r>
      <w:r>
        <w:t>.</w:t>
      </w:r>
      <w:r>
        <w:t xml:space="preserve"> </w:t>
      </w:r>
      <w:r>
        <w:t xml:space="preserve"> </w:t>
      </w:r>
      <w:r>
        <w:t>T</w:t>
      </w:r>
      <w:r>
        <w:t>he driver</w:t>
      </w:r>
      <w:r>
        <w:t xml:space="preserve">, </w:t>
      </w:r>
      <w:r>
        <w:t xml:space="preserve">Haadi </w:t>
      </w:r>
      <w:proofErr w:type="spellStart"/>
      <w:r>
        <w:t>Bolourchi</w:t>
      </w:r>
      <w:proofErr w:type="spellEnd"/>
      <w:r>
        <w:t>,</w:t>
      </w:r>
      <w:r>
        <w:t xml:space="preserve"> got out and began walking into the store</w:t>
      </w:r>
      <w:r>
        <w:t>, seemingly oblivious</w:t>
      </w:r>
      <w:r>
        <w:t xml:space="preserve"> to the </w:t>
      </w:r>
      <w:r>
        <w:t xml:space="preserve">fact </w:t>
      </w:r>
      <w:r>
        <w:t>a pat</w:t>
      </w:r>
      <w:r>
        <w:t xml:space="preserve">rol car with </w:t>
      </w:r>
      <w:r>
        <w:t xml:space="preserve">lights and siren </w:t>
      </w:r>
      <w:r>
        <w:t xml:space="preserve">activated </w:t>
      </w:r>
      <w:r>
        <w:t xml:space="preserve">had </w:t>
      </w:r>
      <w:r>
        <w:t xml:space="preserve">been behind </w:t>
      </w:r>
      <w:r>
        <w:t xml:space="preserve">him </w:t>
      </w:r>
      <w:r>
        <w:t xml:space="preserve">before </w:t>
      </w:r>
      <w:r>
        <w:t xml:space="preserve">he stopped. </w:t>
      </w:r>
      <w:r w:rsidRPr="009C016E">
        <w:t xml:space="preserve"> </w:t>
      </w:r>
      <w:r>
        <w:t xml:space="preserve">Officer Finerty directed </w:t>
      </w:r>
      <w:proofErr w:type="spellStart"/>
      <w:r>
        <w:t>Bolourchi</w:t>
      </w:r>
      <w:proofErr w:type="spellEnd"/>
      <w:r>
        <w:t xml:space="preserve"> </w:t>
      </w:r>
      <w:r>
        <w:t>to</w:t>
      </w:r>
      <w:r>
        <w:t xml:space="preserve"> </w:t>
      </w:r>
      <w:r>
        <w:t xml:space="preserve">get back into </w:t>
      </w:r>
      <w:r>
        <w:t>his car</w:t>
      </w:r>
      <w:r>
        <w:t xml:space="preserve">, which </w:t>
      </w:r>
      <w:proofErr w:type="spellStart"/>
      <w:r>
        <w:t>Bolourchi</w:t>
      </w:r>
      <w:proofErr w:type="spellEnd"/>
      <w:r>
        <w:t xml:space="preserve"> </w:t>
      </w:r>
      <w:r>
        <w:t xml:space="preserve">refused to do, stating he did not consent to a search of </w:t>
      </w:r>
      <w:r>
        <w:t>the</w:t>
      </w:r>
      <w:r>
        <w:t xml:space="preserve"> car. </w:t>
      </w:r>
      <w:r>
        <w:t xml:space="preserve"> </w:t>
      </w:r>
      <w:r>
        <w:t>The officer found that odd, since he had not</w:t>
      </w:r>
      <w:r>
        <w:t xml:space="preserve"> asked permission </w:t>
      </w:r>
      <w:r>
        <w:t>to</w:t>
      </w:r>
      <w:r>
        <w:t xml:space="preserve"> </w:t>
      </w:r>
      <w:proofErr w:type="gramStart"/>
      <w:r>
        <w:t>search</w:t>
      </w:r>
      <w:proofErr w:type="gramEnd"/>
      <w:r>
        <w:t xml:space="preserve"> </w:t>
      </w:r>
      <w:r>
        <w:t>anything</w:t>
      </w:r>
      <w:r>
        <w:t>.</w:t>
      </w:r>
      <w:r>
        <w:t xml:space="preserve">  </w:t>
      </w:r>
    </w:p>
    <w:p w14:paraId="000A0BBA" w14:textId="77777777" w:rsidR="00AD3A06" w:rsidRDefault="00AD3A06" w:rsidP="00394626">
      <w:r>
        <w:t>During the ensuing</w:t>
      </w:r>
      <w:r>
        <w:t xml:space="preserve"> interactions between Officer Finerty and </w:t>
      </w:r>
      <w:proofErr w:type="spellStart"/>
      <w:r>
        <w:t>Bolourchi</w:t>
      </w:r>
      <w:proofErr w:type="spellEnd"/>
      <w:r>
        <w:t xml:space="preserve">, </w:t>
      </w:r>
      <w:proofErr w:type="spellStart"/>
      <w:r>
        <w:t>Bolourchi</w:t>
      </w:r>
      <w:proofErr w:type="spellEnd"/>
      <w:r>
        <w:t xml:space="preserve"> exhibited </w:t>
      </w:r>
      <w:proofErr w:type="gramStart"/>
      <w:r>
        <w:t>a number of</w:t>
      </w:r>
      <w:proofErr w:type="gramEnd"/>
      <w:r>
        <w:t xml:space="preserve"> suspicious </w:t>
      </w:r>
      <w:r>
        <w:t xml:space="preserve">traits and </w:t>
      </w:r>
      <w:r>
        <w:t xml:space="preserve">behaviors suggesting </w:t>
      </w:r>
      <w:r>
        <w:t xml:space="preserve">paranoia and other indications of </w:t>
      </w:r>
      <w:r>
        <w:t>intoxicat</w:t>
      </w:r>
      <w:r>
        <w:t>ion</w:t>
      </w:r>
      <w:r>
        <w:t xml:space="preserve">. </w:t>
      </w:r>
      <w:r>
        <w:t xml:space="preserve"> </w:t>
      </w:r>
      <w:r>
        <w:t xml:space="preserve">His eyes were red and watery.  </w:t>
      </w:r>
      <w:r>
        <w:t xml:space="preserve">His speaking tone was </w:t>
      </w:r>
      <w:proofErr w:type="gramStart"/>
      <w:r>
        <w:t>low</w:t>
      </w:r>
      <w:proofErr w:type="gramEnd"/>
      <w:r>
        <w:t xml:space="preserve"> and his speech was slow. </w:t>
      </w:r>
      <w:r>
        <w:t xml:space="preserve"> </w:t>
      </w:r>
      <w:r>
        <w:t>And h</w:t>
      </w:r>
      <w:r>
        <w:t>e said he was unaware Officer Finerty had pulled behind him, despite the lights and sirens</w:t>
      </w:r>
      <w:r>
        <w:t xml:space="preserve"> immediately behind him</w:t>
      </w:r>
      <w:r>
        <w:t xml:space="preserve"> before </w:t>
      </w:r>
      <w:r>
        <w:t xml:space="preserve">he </w:t>
      </w:r>
      <w:r>
        <w:t>pull</w:t>
      </w:r>
      <w:r>
        <w:t>ed</w:t>
      </w:r>
      <w:r>
        <w:t xml:space="preserve"> into the 7-Eleven lot</w:t>
      </w:r>
      <w:r>
        <w:t>.</w:t>
      </w:r>
      <w:r>
        <w:t xml:space="preserve"> </w:t>
      </w:r>
    </w:p>
    <w:p w14:paraId="1C709DE3" w14:textId="77777777" w:rsidR="00AD3A06" w:rsidRDefault="00AD3A06" w:rsidP="00394626">
      <w:proofErr w:type="spellStart"/>
      <w:r>
        <w:t>Bolourchi</w:t>
      </w:r>
      <w:proofErr w:type="spellEnd"/>
      <w:r>
        <w:t xml:space="preserve"> </w:t>
      </w:r>
      <w:r>
        <w:t xml:space="preserve">gave </w:t>
      </w:r>
      <w:r>
        <w:t xml:space="preserve">a </w:t>
      </w:r>
      <w:r>
        <w:t xml:space="preserve">confused response to </w:t>
      </w:r>
      <w:r>
        <w:t xml:space="preserve">a </w:t>
      </w:r>
      <w:r>
        <w:t>simple question</w:t>
      </w:r>
      <w:r>
        <w:t xml:space="preserve"> about where he was driving from and where he was going. </w:t>
      </w:r>
      <w:r>
        <w:t xml:space="preserve"> </w:t>
      </w:r>
      <w:r>
        <w:t>He was unsteady on his feet</w:t>
      </w:r>
      <w:r>
        <w:t xml:space="preserve">.  He failed to comply with </w:t>
      </w:r>
      <w:r>
        <w:t xml:space="preserve">multiple </w:t>
      </w:r>
      <w:r>
        <w:t>direction</w:t>
      </w:r>
      <w:r>
        <w:t>s</w:t>
      </w:r>
      <w:r>
        <w:t xml:space="preserve"> to sit on the </w:t>
      </w:r>
      <w:proofErr w:type="gramStart"/>
      <w:r>
        <w:t>ground</w:t>
      </w:r>
      <w:r>
        <w:t>,</w:t>
      </w:r>
      <w:r>
        <w:t xml:space="preserve"> </w:t>
      </w:r>
      <w:r>
        <w:t>and</w:t>
      </w:r>
      <w:proofErr w:type="gramEnd"/>
      <w:r>
        <w:t xml:space="preserve"> </w:t>
      </w:r>
      <w:r>
        <w:t xml:space="preserve">had to be </w:t>
      </w:r>
      <w:r>
        <w:t>physically guided</w:t>
      </w:r>
      <w:r>
        <w:t xml:space="preserve"> into </w:t>
      </w:r>
      <w:r>
        <w:t xml:space="preserve">a </w:t>
      </w:r>
      <w:r>
        <w:t>sitting position</w:t>
      </w:r>
      <w:r>
        <w:t xml:space="preserve">.  He repeatedly asked the same questions about why he </w:t>
      </w:r>
      <w:r>
        <w:t xml:space="preserve">had been </w:t>
      </w:r>
      <w:r>
        <w:t>stopped</w:t>
      </w:r>
      <w:r>
        <w:t xml:space="preserve"> even after being told he</w:t>
      </w:r>
      <w:r>
        <w:t xml:space="preserve"> was suspected of </w:t>
      </w:r>
      <w:r>
        <w:t>V</w:t>
      </w:r>
      <w:r>
        <w:t xml:space="preserve">ehicle </w:t>
      </w:r>
      <w:r>
        <w:t>C</w:t>
      </w:r>
      <w:r>
        <w:t>ode violations.</w:t>
      </w:r>
      <w:r>
        <w:t xml:space="preserve">  </w:t>
      </w:r>
    </w:p>
    <w:p w14:paraId="2765D39A" w14:textId="77777777" w:rsidR="00AD3A06" w:rsidRDefault="00AD3A06" w:rsidP="00ED2FEE">
      <w:r>
        <w:t>Faced with th</w:t>
      </w:r>
      <w:r>
        <w:t xml:space="preserve">ese various indications </w:t>
      </w:r>
      <w:r>
        <w:t xml:space="preserve">of </w:t>
      </w:r>
      <w:r>
        <w:t xml:space="preserve">intoxication, </w:t>
      </w:r>
      <w:r w:rsidRPr="006634B5">
        <w:t>Officer Finerty conducted several field sobriety tests</w:t>
      </w:r>
      <w:r>
        <w:t xml:space="preserve">, including the </w:t>
      </w:r>
      <w:r w:rsidRPr="006634B5">
        <w:t>horizontal gaze nystagmus</w:t>
      </w:r>
      <w:r>
        <w:t xml:space="preserve"> test, the walk and turn test, the one-leg stand test, and the </w:t>
      </w:r>
      <w:r w:rsidRPr="006634B5">
        <w:t>finger</w:t>
      </w:r>
      <w:r>
        <w:t xml:space="preserve"> </w:t>
      </w:r>
      <w:r w:rsidRPr="006634B5">
        <w:t>to</w:t>
      </w:r>
      <w:r>
        <w:t xml:space="preserve"> </w:t>
      </w:r>
      <w:r w:rsidRPr="006634B5">
        <w:t>nose</w:t>
      </w:r>
      <w:r>
        <w:t xml:space="preserve"> test</w:t>
      </w:r>
      <w:r w:rsidRPr="006634B5">
        <w:t xml:space="preserve">.  </w:t>
      </w:r>
      <w:proofErr w:type="spellStart"/>
      <w:r>
        <w:t>Bolourchi</w:t>
      </w:r>
      <w:r w:rsidRPr="006634B5">
        <w:t>’s</w:t>
      </w:r>
      <w:proofErr w:type="spellEnd"/>
      <w:r w:rsidRPr="006634B5">
        <w:t xml:space="preserve"> </w:t>
      </w:r>
      <w:r>
        <w:t xml:space="preserve">poor </w:t>
      </w:r>
      <w:r w:rsidRPr="006634B5">
        <w:t xml:space="preserve">performance on </w:t>
      </w:r>
      <w:r>
        <w:t xml:space="preserve">a number of </w:t>
      </w:r>
      <w:r w:rsidRPr="006634B5">
        <w:t>the</w:t>
      </w:r>
      <w:r>
        <w:t>se</w:t>
      </w:r>
      <w:r w:rsidRPr="006634B5">
        <w:t xml:space="preserve"> tests </w:t>
      </w:r>
      <w:r>
        <w:lastRenderedPageBreak/>
        <w:t>suggested that</w:t>
      </w:r>
      <w:r>
        <w:t xml:space="preserve"> he </w:t>
      </w:r>
      <w:r w:rsidRPr="006634B5">
        <w:t>was under the influence of drug</w:t>
      </w:r>
      <w:r>
        <w:t>s</w:t>
      </w:r>
      <w:r w:rsidRPr="006634B5">
        <w:t xml:space="preserve"> or alcohol</w:t>
      </w:r>
      <w:r>
        <w:t xml:space="preserve">, so Officer Finerty administered a </w:t>
      </w:r>
      <w:r>
        <w:t>preliminary alcohol</w:t>
      </w:r>
      <w:r>
        <w:t xml:space="preserve"> screening </w:t>
      </w:r>
      <w:r>
        <w:t>(PAS)</w:t>
      </w:r>
      <w:r>
        <w:t xml:space="preserve"> test.</w:t>
      </w:r>
      <w:r>
        <w:rPr>
          <w:rStyle w:val="FootnoteReference"/>
        </w:rPr>
        <w:footnoteReference w:id="5"/>
      </w:r>
      <w:r>
        <w:t xml:space="preserve"> </w:t>
      </w:r>
      <w:r>
        <w:t xml:space="preserve"> </w:t>
      </w:r>
    </w:p>
    <w:p w14:paraId="08737CA9" w14:textId="77777777" w:rsidR="00AD3A06" w:rsidRDefault="00AD3A06" w:rsidP="00ED2FEE">
      <w:r>
        <w:t>W</w:t>
      </w:r>
      <w:r>
        <w:t xml:space="preserve">hen </w:t>
      </w:r>
      <w:r>
        <w:t xml:space="preserve">the </w:t>
      </w:r>
      <w:r>
        <w:t>PAS</w:t>
      </w:r>
      <w:r>
        <w:t xml:space="preserve"> </w:t>
      </w:r>
      <w:r>
        <w:t>results s</w:t>
      </w:r>
      <w:r>
        <w:t>howed no evidence of</w:t>
      </w:r>
      <w:r>
        <w:t xml:space="preserve"> </w:t>
      </w:r>
      <w:r>
        <w:t xml:space="preserve">alcohol </w:t>
      </w:r>
      <w:r>
        <w:t>use</w:t>
      </w:r>
      <w:r>
        <w:t xml:space="preserve">, </w:t>
      </w:r>
      <w:r w:rsidRPr="006634B5">
        <w:t>Officer Finerty</w:t>
      </w:r>
      <w:r>
        <w:t xml:space="preserve"> began to </w:t>
      </w:r>
      <w:r>
        <w:t xml:space="preserve">focus on </w:t>
      </w:r>
      <w:r>
        <w:t xml:space="preserve">possible </w:t>
      </w:r>
      <w:r>
        <w:t>d</w:t>
      </w:r>
      <w:r>
        <w:t>rug</w:t>
      </w:r>
      <w:r>
        <w:t xml:space="preserve"> </w:t>
      </w:r>
      <w:r>
        <w:t>intoxication</w:t>
      </w:r>
      <w:r>
        <w:t xml:space="preserve">.  </w:t>
      </w:r>
      <w:proofErr w:type="spellStart"/>
      <w:r>
        <w:t>Bolourchi</w:t>
      </w:r>
      <w:proofErr w:type="spellEnd"/>
      <w:r>
        <w:t xml:space="preserve"> admitted to </w:t>
      </w:r>
      <w:r>
        <w:t>smoking</w:t>
      </w:r>
      <w:r>
        <w:t xml:space="preserve"> cannabis the day before</w:t>
      </w:r>
      <w:r>
        <w:t xml:space="preserve">, and </w:t>
      </w:r>
      <w:r>
        <w:t xml:space="preserve">indicated </w:t>
      </w:r>
      <w:r>
        <w:t xml:space="preserve">he normally kept his cannabis in the trunk </w:t>
      </w:r>
      <w:r>
        <w:t xml:space="preserve">of </w:t>
      </w:r>
      <w:r>
        <w:t xml:space="preserve">his car.  </w:t>
      </w:r>
      <w:r>
        <w:t xml:space="preserve">Officer Finerty </w:t>
      </w:r>
      <w:r>
        <w:t>re</w:t>
      </w:r>
      <w:r>
        <w:t xml:space="preserve">plied </w:t>
      </w:r>
      <w:r>
        <w:t xml:space="preserve">that </w:t>
      </w:r>
      <w:r>
        <w:t xml:space="preserve">he was concerned </w:t>
      </w:r>
      <w:r>
        <w:t xml:space="preserve">whether </w:t>
      </w:r>
      <w:proofErr w:type="spellStart"/>
      <w:r>
        <w:t>Bolourchi</w:t>
      </w:r>
      <w:proofErr w:type="spellEnd"/>
      <w:r>
        <w:t xml:space="preserve"> </w:t>
      </w:r>
      <w:r>
        <w:t xml:space="preserve">had been driving while under the influence of </w:t>
      </w:r>
      <w:r>
        <w:t>cannabis, not where he normally stored it</w:t>
      </w:r>
      <w:r>
        <w:t>.</w:t>
      </w:r>
      <w:r>
        <w:t xml:space="preserve">  </w:t>
      </w:r>
      <w:proofErr w:type="gramStart"/>
      <w:r w:rsidRPr="0047549C">
        <w:t>“</w:t>
      </w:r>
      <w:r>
        <w:t> ‘</w:t>
      </w:r>
      <w:proofErr w:type="gramEnd"/>
      <w:r w:rsidRPr="0047549C">
        <w:t>Yeah</w:t>
      </w:r>
      <w:r>
        <w:t>,’ </w:t>
      </w:r>
      <w:r w:rsidRPr="0047549C">
        <w:t>”</w:t>
      </w:r>
      <w:r>
        <w:t xml:space="preserve"> </w:t>
      </w:r>
      <w:r>
        <w:t xml:space="preserve">said </w:t>
      </w:r>
      <w:proofErr w:type="spellStart"/>
      <w:r>
        <w:t>Bolourchi</w:t>
      </w:r>
      <w:proofErr w:type="spellEnd"/>
      <w:r>
        <w:t xml:space="preserve">, </w:t>
      </w:r>
      <w:r>
        <w:t>seemingly in agreement with the officer’s state</w:t>
      </w:r>
      <w:r>
        <w:t xml:space="preserve">d concern. </w:t>
      </w:r>
      <w:r w:rsidRPr="0047549C">
        <w:t xml:space="preserve"> </w:t>
      </w:r>
      <w:r>
        <w:t xml:space="preserve"> </w:t>
      </w:r>
    </w:p>
    <w:p w14:paraId="51821E55" w14:textId="77777777" w:rsidR="00AD3A06" w:rsidRDefault="00AD3A06" w:rsidP="00394626">
      <w:r>
        <w:t xml:space="preserve">At that point, Officer Finerty </w:t>
      </w:r>
      <w:r w:rsidRPr="0047549C">
        <w:t>arrest</w:t>
      </w:r>
      <w:r>
        <w:t xml:space="preserve">ed </w:t>
      </w:r>
      <w:proofErr w:type="spellStart"/>
      <w:r>
        <w:t>Bolourchi</w:t>
      </w:r>
      <w:proofErr w:type="spellEnd"/>
      <w:r>
        <w:t xml:space="preserve"> </w:t>
      </w:r>
      <w:r>
        <w:t xml:space="preserve">and placed him </w:t>
      </w:r>
      <w:r>
        <w:t xml:space="preserve">in </w:t>
      </w:r>
      <w:r>
        <w:t xml:space="preserve">the back of </w:t>
      </w:r>
      <w:r>
        <w:t xml:space="preserve">his </w:t>
      </w:r>
      <w:r>
        <w:t>patrol car</w:t>
      </w:r>
      <w:r w:rsidRPr="0047549C">
        <w:t xml:space="preserve">.  </w:t>
      </w:r>
      <w:r>
        <w:t xml:space="preserve">The officer then </w:t>
      </w:r>
      <w:r w:rsidRPr="00346A02">
        <w:t xml:space="preserve">conducted an inventory search of </w:t>
      </w:r>
      <w:proofErr w:type="spellStart"/>
      <w:r>
        <w:t>Bolourchi’s</w:t>
      </w:r>
      <w:proofErr w:type="spellEnd"/>
      <w:r w:rsidRPr="00346A02">
        <w:t xml:space="preserve"> </w:t>
      </w:r>
      <w:r>
        <w:t>car</w:t>
      </w:r>
      <w:r>
        <w:t xml:space="preserve">. </w:t>
      </w:r>
      <w:r w:rsidRPr="00346A02">
        <w:t xml:space="preserve"> The</w:t>
      </w:r>
      <w:r>
        <w:t>re were</w:t>
      </w:r>
      <w:r w:rsidRPr="00346A02">
        <w:t xml:space="preserve"> multiple packets of Swisher Sweets tobacco cigars in the </w:t>
      </w:r>
      <w:r>
        <w:t>car.</w:t>
      </w:r>
      <w:r w:rsidRPr="00346A02">
        <w:t xml:space="preserve">  </w:t>
      </w:r>
      <w:r>
        <w:t>According to Officer Finerty</w:t>
      </w:r>
      <w:r>
        <w:t xml:space="preserve">, </w:t>
      </w:r>
      <w:r>
        <w:t>people</w:t>
      </w:r>
      <w:r w:rsidRPr="00346A02">
        <w:t xml:space="preserve"> often replace the tobacco </w:t>
      </w:r>
      <w:r>
        <w:t xml:space="preserve">in these cigars </w:t>
      </w:r>
      <w:r w:rsidRPr="00346A02">
        <w:t xml:space="preserve">with cannabis and smoke them.  </w:t>
      </w:r>
      <w:r>
        <w:t xml:space="preserve">Also in the car was </w:t>
      </w:r>
      <w:r w:rsidRPr="00346A02">
        <w:t xml:space="preserve">an empty pill container for the prescription drug Alprazolam. </w:t>
      </w:r>
      <w:r>
        <w:t xml:space="preserve"> No </w:t>
      </w:r>
      <w:r>
        <w:t>cannabis</w:t>
      </w:r>
      <w:r>
        <w:t xml:space="preserve"> was found on </w:t>
      </w:r>
      <w:proofErr w:type="spellStart"/>
      <w:r>
        <w:t>Bolourchi</w:t>
      </w:r>
      <w:proofErr w:type="spellEnd"/>
      <w:r>
        <w:t xml:space="preserve"> or in </w:t>
      </w:r>
      <w:r>
        <w:t>his</w:t>
      </w:r>
      <w:r>
        <w:t xml:space="preserve"> car. </w:t>
      </w:r>
      <w:r>
        <w:t xml:space="preserve"> </w:t>
      </w:r>
    </w:p>
    <w:p w14:paraId="07D292E7" w14:textId="77777777" w:rsidR="00AD3A06" w:rsidRDefault="00AD3A06" w:rsidP="00394626">
      <w:r>
        <w:t xml:space="preserve">After </w:t>
      </w:r>
      <w:r>
        <w:t xml:space="preserve">driving </w:t>
      </w:r>
      <w:proofErr w:type="spellStart"/>
      <w:r>
        <w:t>Bolourchi</w:t>
      </w:r>
      <w:proofErr w:type="spellEnd"/>
      <w:r>
        <w:t xml:space="preserve"> to the police station, </w:t>
      </w:r>
      <w:r>
        <w:t xml:space="preserve">Officer Finerty </w:t>
      </w:r>
      <w:r>
        <w:t xml:space="preserve">told </w:t>
      </w:r>
      <w:proofErr w:type="spellStart"/>
      <w:r>
        <w:t>Bolourchi</w:t>
      </w:r>
      <w:proofErr w:type="spellEnd"/>
      <w:r>
        <w:t xml:space="preserve"> he was going to </w:t>
      </w:r>
      <w:r>
        <w:t xml:space="preserve">conduct a </w:t>
      </w:r>
      <w:r w:rsidRPr="0025294A">
        <w:t xml:space="preserve">drug recognition evaluation (DRE).  </w:t>
      </w:r>
      <w:proofErr w:type="spellStart"/>
      <w:r>
        <w:t>Bolourchi</w:t>
      </w:r>
      <w:proofErr w:type="spellEnd"/>
      <w:r w:rsidRPr="0025294A">
        <w:t xml:space="preserve"> was still confused as to why he was there.  The officer </w:t>
      </w:r>
      <w:r>
        <w:t xml:space="preserve">told </w:t>
      </w:r>
      <w:proofErr w:type="spellStart"/>
      <w:r>
        <w:t>Bolourchi</w:t>
      </w:r>
      <w:proofErr w:type="spellEnd"/>
      <w:r>
        <w:t xml:space="preserve"> </w:t>
      </w:r>
      <w:r w:rsidRPr="0025294A">
        <w:t xml:space="preserve">that he believed </w:t>
      </w:r>
      <w:r>
        <w:t>he</w:t>
      </w:r>
      <w:r w:rsidRPr="0025294A">
        <w:t xml:space="preserve"> was under the influence of drugs, either prescription or nonprescription. </w:t>
      </w:r>
      <w:r>
        <w:t xml:space="preserve"> Although</w:t>
      </w:r>
      <w:r w:rsidRPr="0025294A">
        <w:t xml:space="preserve"> </w:t>
      </w:r>
      <w:proofErr w:type="spellStart"/>
      <w:r>
        <w:t>Bolourchi</w:t>
      </w:r>
      <w:proofErr w:type="spellEnd"/>
      <w:r w:rsidRPr="0025294A">
        <w:t xml:space="preserve"> adamantly denied </w:t>
      </w:r>
      <w:r>
        <w:t xml:space="preserve">that he was </w:t>
      </w:r>
      <w:r w:rsidRPr="0025294A">
        <w:t xml:space="preserve">under the influence of </w:t>
      </w:r>
      <w:r>
        <w:t xml:space="preserve">prescription </w:t>
      </w:r>
      <w:r w:rsidRPr="0025294A">
        <w:t>drugs</w:t>
      </w:r>
      <w:r>
        <w:t>,</w:t>
      </w:r>
      <w:r>
        <w:t xml:space="preserve"> </w:t>
      </w:r>
      <w:r>
        <w:t>h</w:t>
      </w:r>
      <w:r w:rsidRPr="0025294A">
        <w:t xml:space="preserve">e did not deny driving under the influence of cannabis. </w:t>
      </w:r>
    </w:p>
    <w:p w14:paraId="345A4A3C" w14:textId="77777777" w:rsidR="00AD3A06" w:rsidRDefault="00AD3A06" w:rsidP="0025294A">
      <w:r>
        <w:lastRenderedPageBreak/>
        <w:t>In conducting the DRE, Officer Finer</w:t>
      </w:r>
      <w:r>
        <w:t>t</w:t>
      </w:r>
      <w:r>
        <w:t xml:space="preserve">y </w:t>
      </w:r>
      <w:r>
        <w:t>checked</w:t>
      </w:r>
      <w:r>
        <w:t xml:space="preserve"> </w:t>
      </w:r>
      <w:proofErr w:type="spellStart"/>
      <w:r>
        <w:t>Bolourchi’s</w:t>
      </w:r>
      <w:proofErr w:type="spellEnd"/>
      <w:r>
        <w:t xml:space="preserve"> </w:t>
      </w:r>
      <w:r>
        <w:t xml:space="preserve">vital signs.  </w:t>
      </w:r>
      <w:proofErr w:type="spellStart"/>
      <w:r>
        <w:t>Bolourchi’s</w:t>
      </w:r>
      <w:proofErr w:type="spellEnd"/>
      <w:r>
        <w:t xml:space="preserve"> </w:t>
      </w:r>
      <w:r>
        <w:t>blood pressure and body temperature were normal</w:t>
      </w:r>
      <w:r>
        <w:t xml:space="preserve">.  His </w:t>
      </w:r>
      <w:r>
        <w:t xml:space="preserve">pulse </w:t>
      </w:r>
      <w:r>
        <w:t>was elevated, which i</w:t>
      </w:r>
      <w:r>
        <w:t xml:space="preserve">s consistent with cannabis use.  </w:t>
      </w:r>
      <w:proofErr w:type="spellStart"/>
      <w:r>
        <w:t>Bolourchi’s</w:t>
      </w:r>
      <w:proofErr w:type="spellEnd"/>
      <w:r>
        <w:t xml:space="preserve"> pupils were normal in varying light.  Officer Finerty testified it is possible for an individual to be under the influence of marijuana and still have normal blood pressure, body temperature, and pupil size. </w:t>
      </w:r>
      <w:r>
        <w:t xml:space="preserve"> </w:t>
      </w:r>
    </w:p>
    <w:p w14:paraId="06DEC0FC" w14:textId="77777777" w:rsidR="00AD3A06" w:rsidRDefault="00AD3A06" w:rsidP="00394626">
      <w:r>
        <w:t xml:space="preserve">Officer Finerty also administered the Modified Romberg Test to test </w:t>
      </w:r>
      <w:proofErr w:type="spellStart"/>
      <w:r>
        <w:t>Bolourchi</w:t>
      </w:r>
      <w:r>
        <w:t>’s</w:t>
      </w:r>
      <w:proofErr w:type="spellEnd"/>
      <w:r>
        <w:t xml:space="preserve"> internal clock</w:t>
      </w:r>
      <w:r>
        <w:t>.</w:t>
      </w:r>
      <w:r>
        <w:t xml:space="preserve"> </w:t>
      </w:r>
      <w:r>
        <w:t xml:space="preserve"> During an elapsed period of 35 seconds, </w:t>
      </w:r>
      <w:proofErr w:type="spellStart"/>
      <w:r>
        <w:t>Bolourchi</w:t>
      </w:r>
      <w:proofErr w:type="spellEnd"/>
      <w:r>
        <w:t xml:space="preserve"> estimate</w:t>
      </w:r>
      <w:r>
        <w:t>d 30 seconds had passed</w:t>
      </w:r>
      <w:r>
        <w:t xml:space="preserve">. </w:t>
      </w:r>
      <w:r>
        <w:t xml:space="preserve"> </w:t>
      </w:r>
      <w:r>
        <w:t xml:space="preserve">The officer observed that </w:t>
      </w:r>
      <w:r>
        <w:t xml:space="preserve">the condition of </w:t>
      </w:r>
      <w:proofErr w:type="spellStart"/>
      <w:r>
        <w:t>Bolourchi</w:t>
      </w:r>
      <w:r>
        <w:t>’s</w:t>
      </w:r>
      <w:proofErr w:type="spellEnd"/>
      <w:r>
        <w:t xml:space="preserve"> tongue was consistent with dry mouth and cannabis use </w:t>
      </w:r>
      <w:r>
        <w:t xml:space="preserve">and </w:t>
      </w:r>
      <w:r>
        <w:t xml:space="preserve">with smoking a cigar or a glass pipe.  </w:t>
      </w:r>
      <w:proofErr w:type="spellStart"/>
      <w:r>
        <w:t>Bolourchi</w:t>
      </w:r>
      <w:proofErr w:type="spellEnd"/>
      <w:r>
        <w:t xml:space="preserve"> </w:t>
      </w:r>
      <w:r>
        <w:t>told</w:t>
      </w:r>
      <w:r>
        <w:t xml:space="preserve"> Officer Finerty that on September 21, he had smoked approximately one gram of cannabis at 8:00 a.m. and </w:t>
      </w:r>
      <w:r>
        <w:t xml:space="preserve">again at </w:t>
      </w:r>
      <w:r>
        <w:t xml:space="preserve">10:00 a.m., and </w:t>
      </w:r>
      <w:r>
        <w:t xml:space="preserve">he </w:t>
      </w:r>
      <w:r>
        <w:t xml:space="preserve">had taken some Alprazolam at 3:00 p.m. </w:t>
      </w:r>
      <w:r>
        <w:t xml:space="preserve"> </w:t>
      </w:r>
    </w:p>
    <w:p w14:paraId="2A9E2737" w14:textId="77777777" w:rsidR="00AD3A06" w:rsidRDefault="00AD3A06" w:rsidP="00394626">
      <w:r>
        <w:t xml:space="preserve">Based on </w:t>
      </w:r>
      <w:proofErr w:type="spellStart"/>
      <w:r>
        <w:t>Bolourchi’s</w:t>
      </w:r>
      <w:proofErr w:type="spellEnd"/>
      <w:r>
        <w:t xml:space="preserve"> physical condition, behavior, and performance on the field sobriety tests, </w:t>
      </w:r>
      <w:r>
        <w:t xml:space="preserve">Officer Finerty formed the opinion that </w:t>
      </w:r>
      <w:proofErr w:type="spellStart"/>
      <w:r>
        <w:t>Bolourchi</w:t>
      </w:r>
      <w:proofErr w:type="spellEnd"/>
      <w:r>
        <w:t xml:space="preserve"> </w:t>
      </w:r>
      <w:r>
        <w:t xml:space="preserve">was under </w:t>
      </w:r>
      <w:r w:rsidRPr="0025294A">
        <w:t>the influence of cannabis</w:t>
      </w:r>
      <w:r>
        <w:t xml:space="preserve"> and </w:t>
      </w:r>
      <w:r>
        <w:t xml:space="preserve">asked </w:t>
      </w:r>
      <w:proofErr w:type="spellStart"/>
      <w:r>
        <w:t>Bolourchi</w:t>
      </w:r>
      <w:proofErr w:type="spellEnd"/>
      <w:r>
        <w:t xml:space="preserve"> if he would consent to a blood test. </w:t>
      </w:r>
      <w:r>
        <w:t xml:space="preserve"> </w:t>
      </w:r>
      <w:proofErr w:type="spellStart"/>
      <w:r>
        <w:t>Bolourchi</w:t>
      </w:r>
      <w:proofErr w:type="spellEnd"/>
      <w:r>
        <w:t xml:space="preserve"> agreed to have a </w:t>
      </w:r>
      <w:r w:rsidRPr="00033D6D">
        <w:t xml:space="preserve">blood sample taken but wanted it done at the jail and not at the police department.  </w:t>
      </w:r>
    </w:p>
    <w:p w14:paraId="10532E24" w14:textId="77777777" w:rsidR="00AD3A06" w:rsidRDefault="00AD3A06" w:rsidP="00C215FE">
      <w:r>
        <w:t xml:space="preserve">Officer Finerty </w:t>
      </w:r>
      <w:r w:rsidRPr="00033D6D">
        <w:t xml:space="preserve">then drove </w:t>
      </w:r>
      <w:proofErr w:type="spellStart"/>
      <w:r>
        <w:t>Bolourchi</w:t>
      </w:r>
      <w:proofErr w:type="spellEnd"/>
      <w:r w:rsidRPr="00033D6D">
        <w:t xml:space="preserve"> to the county jail.  </w:t>
      </w:r>
      <w:r>
        <w:t>But at the jail</w:t>
      </w:r>
      <w:r w:rsidRPr="00033D6D">
        <w:t xml:space="preserve">, </w:t>
      </w:r>
      <w:proofErr w:type="spellStart"/>
      <w:r>
        <w:t>Bolourchi</w:t>
      </w:r>
      <w:proofErr w:type="spellEnd"/>
      <w:r w:rsidRPr="00033D6D">
        <w:t xml:space="preserve"> </w:t>
      </w:r>
      <w:r>
        <w:t>stated</w:t>
      </w:r>
      <w:r w:rsidRPr="00033D6D">
        <w:t xml:space="preserve"> that he did not want to have his blood drawn and wanted the officer to get a warrant for the blood test.  </w:t>
      </w:r>
      <w:proofErr w:type="spellStart"/>
      <w:r>
        <w:t>Bolourchi</w:t>
      </w:r>
      <w:proofErr w:type="spellEnd"/>
      <w:r w:rsidRPr="00033D6D">
        <w:t xml:space="preserve"> </w:t>
      </w:r>
      <w:r>
        <w:t xml:space="preserve">also </w:t>
      </w:r>
      <w:r w:rsidRPr="00033D6D">
        <w:t xml:space="preserve">made statements to the effect that he wanted the officer to “work for </w:t>
      </w:r>
      <w:r>
        <w:t>[</w:t>
      </w:r>
      <w:r w:rsidRPr="00033D6D">
        <w:t>his</w:t>
      </w:r>
      <w:r>
        <w:t>]</w:t>
      </w:r>
      <w:r w:rsidRPr="00033D6D">
        <w:t xml:space="preserve"> money.”  </w:t>
      </w:r>
      <w:r>
        <w:t xml:space="preserve">At this point, </w:t>
      </w:r>
      <w:r w:rsidRPr="00033D6D">
        <w:t>Officer Finerty</w:t>
      </w:r>
      <w:r w:rsidRPr="00033D6D">
        <w:t xml:space="preserve"> drove </w:t>
      </w:r>
      <w:proofErr w:type="spellStart"/>
      <w:r>
        <w:t>Bolourchi</w:t>
      </w:r>
      <w:proofErr w:type="spellEnd"/>
      <w:r w:rsidRPr="00033D6D">
        <w:t xml:space="preserve"> back to the police department to obtain a warrant.  </w:t>
      </w:r>
    </w:p>
    <w:p w14:paraId="621DE7A7" w14:textId="77777777" w:rsidR="00AD3A06" w:rsidRDefault="00AD3A06" w:rsidP="00C215FE">
      <w:r w:rsidRPr="00033D6D">
        <w:t>During the drive</w:t>
      </w:r>
      <w:r>
        <w:t xml:space="preserve"> back to the police department</w:t>
      </w:r>
      <w:r w:rsidRPr="00033D6D">
        <w:t xml:space="preserve">, </w:t>
      </w:r>
      <w:proofErr w:type="spellStart"/>
      <w:r>
        <w:t>Bolourchi</w:t>
      </w:r>
      <w:proofErr w:type="spellEnd"/>
      <w:r w:rsidRPr="00033D6D">
        <w:t xml:space="preserve"> made a statement to the effect of </w:t>
      </w:r>
      <w:proofErr w:type="gramStart"/>
      <w:r w:rsidRPr="00033D6D">
        <w:t>“</w:t>
      </w:r>
      <w:r>
        <w:t> ‘</w:t>
      </w:r>
      <w:proofErr w:type="gramEnd"/>
      <w:r w:rsidRPr="00033D6D">
        <w:t>You can’t get any tips?</w:t>
      </w:r>
      <w:r>
        <w:t>’ </w:t>
      </w:r>
      <w:r w:rsidRPr="00033D6D">
        <w:t xml:space="preserve">”  The officer was confused by </w:t>
      </w:r>
      <w:proofErr w:type="spellStart"/>
      <w:r>
        <w:t>Bolourchi</w:t>
      </w:r>
      <w:r w:rsidRPr="00033D6D">
        <w:t>’s</w:t>
      </w:r>
      <w:proofErr w:type="spellEnd"/>
      <w:r w:rsidRPr="00033D6D">
        <w:t xml:space="preserve"> remark.  </w:t>
      </w:r>
      <w:proofErr w:type="spellStart"/>
      <w:r>
        <w:t>Bolourchi</w:t>
      </w:r>
      <w:proofErr w:type="spellEnd"/>
      <w:r w:rsidRPr="00033D6D">
        <w:t xml:space="preserve"> then told the officer that he would pay him </w:t>
      </w:r>
      <w:r w:rsidRPr="00033D6D">
        <w:lastRenderedPageBreak/>
        <w:t xml:space="preserve">$1,000 if he let him go.  When Officer Finerty asked </w:t>
      </w:r>
      <w:proofErr w:type="spellStart"/>
      <w:r>
        <w:t>Bolourchi</w:t>
      </w:r>
      <w:proofErr w:type="spellEnd"/>
      <w:r w:rsidRPr="00033D6D">
        <w:t xml:space="preserve"> to confirm what </w:t>
      </w:r>
      <w:r>
        <w:t>he</w:t>
      </w:r>
      <w:r w:rsidRPr="00033D6D">
        <w:t xml:space="preserve"> was saying, </w:t>
      </w:r>
      <w:proofErr w:type="spellStart"/>
      <w:r>
        <w:t>Bolourchi</w:t>
      </w:r>
      <w:proofErr w:type="spellEnd"/>
      <w:r w:rsidRPr="00033D6D">
        <w:t xml:space="preserve"> repeated that he would give the officer $1,000 if he let him go. </w:t>
      </w:r>
    </w:p>
    <w:p w14:paraId="304CE3EF" w14:textId="77777777" w:rsidR="00AD3A06" w:rsidRDefault="00AD3A06" w:rsidP="00C215FE">
      <w:proofErr w:type="spellStart"/>
      <w:r>
        <w:t>Bolourchi</w:t>
      </w:r>
      <w:proofErr w:type="spellEnd"/>
      <w:r>
        <w:t xml:space="preserve"> </w:t>
      </w:r>
      <w:r>
        <w:t xml:space="preserve">explained </w:t>
      </w:r>
      <w:r w:rsidRPr="00033D6D">
        <w:t xml:space="preserve">that the tow of his vehicle was only going to be $100 and that he would be paying the officer </w:t>
      </w:r>
      <w:r>
        <w:t>10</w:t>
      </w:r>
      <w:r w:rsidRPr="00033D6D">
        <w:t xml:space="preserve"> times</w:t>
      </w:r>
      <w:r>
        <w:t xml:space="preserve"> that amount.  Officer Finerty did not </w:t>
      </w:r>
      <w:r>
        <w:t>think</w:t>
      </w:r>
      <w:r>
        <w:t xml:space="preserve"> </w:t>
      </w:r>
      <w:proofErr w:type="spellStart"/>
      <w:r>
        <w:t>Bolourchi</w:t>
      </w:r>
      <w:proofErr w:type="spellEnd"/>
      <w:r>
        <w:t xml:space="preserve"> was joking</w:t>
      </w:r>
      <w:r>
        <w:t>, because “[</w:t>
      </w:r>
      <w:proofErr w:type="gramStart"/>
      <w:r>
        <w:t>h]e</w:t>
      </w:r>
      <w:proofErr w:type="gramEnd"/>
      <w:r>
        <w:t xml:space="preserve"> wasn’t laughing.  He and I weren’t laughing back and forth or anything</w:t>
      </w:r>
      <w:r>
        <w:t>.</w:t>
      </w:r>
      <w:r>
        <w:t>”</w:t>
      </w:r>
      <w:r>
        <w:t xml:space="preserve">  Although </w:t>
      </w:r>
      <w:proofErr w:type="spellStart"/>
      <w:r>
        <w:t>Bolourchi</w:t>
      </w:r>
      <w:proofErr w:type="spellEnd"/>
      <w:r>
        <w:t xml:space="preserve"> did not have </w:t>
      </w:r>
      <w:r>
        <w:t>cash</w:t>
      </w:r>
      <w:r>
        <w:t xml:space="preserve"> on his person, the officer believed that he was making a serious attempt to bribe him with $1,000. </w:t>
      </w:r>
      <w:r>
        <w:t xml:space="preserve"> </w:t>
      </w:r>
    </w:p>
    <w:p w14:paraId="10D121BE" w14:textId="77777777" w:rsidR="00AD3A06" w:rsidRDefault="00AD3A06" w:rsidP="00AA5E27">
      <w:r>
        <w:t xml:space="preserve">Officer Finerty obtained a warrant for the blood test.  The blood draw was performed at 5:57 a.m.  The sample was sent to the Department of Justice for testing. </w:t>
      </w:r>
      <w:r>
        <w:t xml:space="preserve"> </w:t>
      </w:r>
      <w:r w:rsidRPr="0022019E">
        <w:t xml:space="preserve">Criminalist </w:t>
      </w:r>
      <w:proofErr w:type="spellStart"/>
      <w:r w:rsidRPr="0022019E">
        <w:t>Cathralynn</w:t>
      </w:r>
      <w:proofErr w:type="spellEnd"/>
      <w:r w:rsidRPr="0022019E">
        <w:t xml:space="preserve"> Cook testified </w:t>
      </w:r>
      <w:r>
        <w:t>about the results of that testing.  Cook</w:t>
      </w:r>
      <w:r>
        <w:t xml:space="preserve"> testified as </w:t>
      </w:r>
      <w:r w:rsidRPr="0022019E">
        <w:t xml:space="preserve">an expert </w:t>
      </w:r>
      <w:r>
        <w:t>o</w:t>
      </w:r>
      <w:r w:rsidRPr="0022019E">
        <w:t>n the procedures and operations of the Department of Justice laboratory</w:t>
      </w:r>
      <w:r>
        <w:t>,</w:t>
      </w:r>
      <w:r w:rsidRPr="0022019E">
        <w:t xml:space="preserve"> blood analysis for the presence of drugs, and the effect of drugs on the human body and a person’s ability to operate a vehicle.  </w:t>
      </w:r>
    </w:p>
    <w:p w14:paraId="4208284D" w14:textId="77777777" w:rsidR="00AD3A06" w:rsidRDefault="00AD3A06" w:rsidP="00FE3B7C">
      <w:r>
        <w:t xml:space="preserve">According to Cook, </w:t>
      </w:r>
      <w:r>
        <w:t>Alprazolam is a central nervous system depressant</w:t>
      </w:r>
      <w:r>
        <w:t xml:space="preserve"> and can cause impairment by </w:t>
      </w:r>
      <w:r>
        <w:t xml:space="preserve">slowing </w:t>
      </w:r>
      <w:r>
        <w:t xml:space="preserve">that system </w:t>
      </w:r>
      <w:r>
        <w:t>down.  Common symptoms include lowered</w:t>
      </w:r>
      <w:r w:rsidRPr="00B27BDE">
        <w:t xml:space="preserve"> heart rate, pulse rate, and body temperature.  It can </w:t>
      </w:r>
      <w:r>
        <w:t xml:space="preserve">also </w:t>
      </w:r>
      <w:r w:rsidRPr="00B27BDE">
        <w:t xml:space="preserve">cause sleepiness, confusion, muscle relaxation, a slowed perception of time, and difficulties with spatial awareness.  </w:t>
      </w:r>
      <w:r>
        <w:t xml:space="preserve">Both Alprazolam and </w:t>
      </w:r>
      <w:r>
        <w:t xml:space="preserve">THC </w:t>
      </w:r>
      <w:r>
        <w:t>(the active ingredient in marijuana)</w:t>
      </w:r>
      <w:r>
        <w:t xml:space="preserve"> </w:t>
      </w:r>
      <w:r>
        <w:t xml:space="preserve">can </w:t>
      </w:r>
      <w:r>
        <w:t>affect a person’s ability to do more than one task at a time, disrupting the divided</w:t>
      </w:r>
      <w:r>
        <w:t>-</w:t>
      </w:r>
      <w:r>
        <w:t xml:space="preserve">attention processing in the brain. </w:t>
      </w:r>
      <w:r>
        <w:t xml:space="preserve"> </w:t>
      </w:r>
      <w:r>
        <w:t xml:space="preserve">Driving is </w:t>
      </w:r>
      <w:r>
        <w:t>a complex divided</w:t>
      </w:r>
      <w:r>
        <w:t>-</w:t>
      </w:r>
      <w:r>
        <w:t xml:space="preserve">attention task. </w:t>
      </w:r>
      <w:r>
        <w:t xml:space="preserve"> </w:t>
      </w:r>
      <w:r>
        <w:t xml:space="preserve">The test of </w:t>
      </w:r>
      <w:proofErr w:type="spellStart"/>
      <w:r>
        <w:t>Bolourchi’s</w:t>
      </w:r>
      <w:proofErr w:type="spellEnd"/>
      <w:r>
        <w:t xml:space="preserve"> blood sample showed “[t]he presence of </w:t>
      </w:r>
      <w:r>
        <w:t>Alprazolam,</w:t>
      </w:r>
      <w:r>
        <w:t>”</w:t>
      </w:r>
      <w:r>
        <w:t xml:space="preserve"> and </w:t>
      </w:r>
      <w:r>
        <w:t>“</w:t>
      </w:r>
      <w:r>
        <w:t>2.2</w:t>
      </w:r>
      <w:r>
        <w:t>-</w:t>
      </w:r>
      <w:r>
        <w:t>nanograms per milli</w:t>
      </w:r>
      <w:r>
        <w:t>li</w:t>
      </w:r>
      <w:r>
        <w:t xml:space="preserve">ter of Delta </w:t>
      </w:r>
      <w:r>
        <w:t>9-THC</w:t>
      </w:r>
      <w:r>
        <w:t xml:space="preserve"> as well as</w:t>
      </w:r>
      <w:r>
        <w:t xml:space="preserve"> Hydroxy-THC and Carboxy-THC.</w:t>
      </w:r>
      <w:r>
        <w:t>”</w:t>
      </w:r>
      <w:r>
        <w:t xml:space="preserve"> </w:t>
      </w:r>
      <w:r>
        <w:t xml:space="preserve"> </w:t>
      </w:r>
      <w:r w:rsidRPr="002572A1">
        <w:t xml:space="preserve">Cook was confident that the test results were reliable and trustworthy. </w:t>
      </w:r>
      <w:r>
        <w:t xml:space="preserve"> </w:t>
      </w:r>
    </w:p>
    <w:p w14:paraId="4DFEE73E" w14:textId="77777777" w:rsidR="00AD3A06" w:rsidRDefault="00AD3A06" w:rsidP="00FE3B7C">
      <w:r>
        <w:lastRenderedPageBreak/>
        <w:t xml:space="preserve">Cook described the additive effects when a person takes </w:t>
      </w:r>
      <w:r>
        <w:t xml:space="preserve">both </w:t>
      </w:r>
      <w:r>
        <w:t xml:space="preserve">THC and Alprazolam.  Both substances can cause physical coordination issues, lowered heart rate, lowered blood pressure, sleepiness, relaxation, and confusion.  </w:t>
      </w:r>
      <w:r>
        <w:t xml:space="preserve">The symptoms may be </w:t>
      </w:r>
      <w:r>
        <w:t>more pronounced</w:t>
      </w:r>
      <w:r>
        <w:t xml:space="preserve"> if a person is using both substances. </w:t>
      </w:r>
      <w:r>
        <w:t xml:space="preserve"> </w:t>
      </w:r>
      <w:r>
        <w:t>A person d</w:t>
      </w:r>
      <w:r>
        <w:t xml:space="preserve">riving under the influence of THC </w:t>
      </w:r>
      <w:r>
        <w:t xml:space="preserve">may have difficulty </w:t>
      </w:r>
      <w:r>
        <w:t>modulat</w:t>
      </w:r>
      <w:r>
        <w:t>ing</w:t>
      </w:r>
      <w:r>
        <w:t xml:space="preserve"> speed in relation to other objects, difficulty with lane positioning, weaving, not turning appropriately, </w:t>
      </w:r>
      <w:r>
        <w:t xml:space="preserve">and slowed </w:t>
      </w:r>
      <w:r>
        <w:t>reaction time.  A person using Alprazolam may drive more slowly and have weavin</w:t>
      </w:r>
      <w:r>
        <w:t xml:space="preserve">g and coordination issues. </w:t>
      </w:r>
    </w:p>
    <w:p w14:paraId="46FA0420" w14:textId="77777777" w:rsidR="00AD3A06" w:rsidRDefault="00AD3A06" w:rsidP="00F46325">
      <w:r>
        <w:t xml:space="preserve">The prosecutor posed a hypothetical involving a person whose performance on field sobriety tests paralleled </w:t>
      </w:r>
      <w:proofErr w:type="spellStart"/>
      <w:r>
        <w:t>Bolourchi’s</w:t>
      </w:r>
      <w:proofErr w:type="spellEnd"/>
      <w:r>
        <w:t xml:space="preserve"> performance.  Cook opined that the person was too impaired to </w:t>
      </w:r>
      <w:r>
        <w:t>drive</w:t>
      </w:r>
      <w:r>
        <w:t xml:space="preserve"> safely.  The prosecutor later added facts to the hypothetical paralleling </w:t>
      </w:r>
      <w:proofErr w:type="spellStart"/>
      <w:r>
        <w:t>Bolourchi</w:t>
      </w:r>
      <w:r>
        <w:t>’s</w:t>
      </w:r>
      <w:proofErr w:type="spellEnd"/>
      <w:r>
        <w:t xml:space="preserve"> driving behavior, his actions prior to being contacted by Officer Finerty, his admissions of having taken Alprazolam and smoked marijuana, and the results of the DRE.  Cook </w:t>
      </w:r>
      <w:r>
        <w:t xml:space="preserve">again </w:t>
      </w:r>
      <w:r>
        <w:t xml:space="preserve">opined the person was too impaired to </w:t>
      </w:r>
      <w:r>
        <w:t>drive</w:t>
      </w:r>
      <w:r>
        <w:t xml:space="preserve"> safely.  </w:t>
      </w:r>
    </w:p>
    <w:p w14:paraId="007D07DC" w14:textId="77777777" w:rsidR="00AD3A06" w:rsidRDefault="00AD3A06" w:rsidP="00155FA6">
      <w:r>
        <w:t xml:space="preserve">On cross-examination, </w:t>
      </w:r>
      <w:proofErr w:type="gramStart"/>
      <w:r>
        <w:t>Cook</w:t>
      </w:r>
      <w:proofErr w:type="gramEnd"/>
      <w:r>
        <w:t xml:space="preserve"> confirmed that for the Alprazolam detected in </w:t>
      </w:r>
      <w:proofErr w:type="spellStart"/>
      <w:r>
        <w:t>Bolourchi</w:t>
      </w:r>
      <w:r>
        <w:t>’s</w:t>
      </w:r>
      <w:proofErr w:type="spellEnd"/>
      <w:r>
        <w:t xml:space="preserve"> system, no concentration was determined.  </w:t>
      </w:r>
      <w:r>
        <w:t>But she stated that her</w:t>
      </w:r>
      <w:r>
        <w:t xml:space="preserve"> opinion </w:t>
      </w:r>
      <w:r>
        <w:t xml:space="preserve">about </w:t>
      </w:r>
      <w:r>
        <w:t xml:space="preserve">impairment was based on </w:t>
      </w:r>
      <w:r>
        <w:t xml:space="preserve">the </w:t>
      </w:r>
      <w:r>
        <w:t xml:space="preserve">totality of the circumstances and not solely on the level of the drug in the system. </w:t>
      </w:r>
      <w:r>
        <w:t xml:space="preserve"> </w:t>
      </w:r>
      <w:r>
        <w:t xml:space="preserve">Cook </w:t>
      </w:r>
      <w:r>
        <w:t xml:space="preserve">also stated </w:t>
      </w:r>
      <w:r>
        <w:t>that the level of a drug in a person’s system do</w:t>
      </w:r>
      <w:r>
        <w:t>es</w:t>
      </w:r>
      <w:r>
        <w:t xml:space="preserve"> not </w:t>
      </w:r>
      <w:r>
        <w:t xml:space="preserve">decrease </w:t>
      </w:r>
      <w:r>
        <w:t xml:space="preserve">consistently over time like alcohol. </w:t>
      </w:r>
      <w:r>
        <w:t xml:space="preserve"> </w:t>
      </w:r>
      <w:r>
        <w:t>Cook agreed that a person who regularly used marijuana or Alprazolam might not be as impaired as a new user</w:t>
      </w:r>
      <w:r>
        <w:t xml:space="preserve">, but </w:t>
      </w:r>
      <w:r>
        <w:t xml:space="preserve">stated </w:t>
      </w:r>
      <w:r>
        <w:t>she would expect</w:t>
      </w:r>
      <w:r>
        <w:t xml:space="preserve"> the tolerant user to perform normally </w:t>
      </w:r>
      <w:r>
        <w:t>o</w:t>
      </w:r>
      <w:r>
        <w:t xml:space="preserve">n field sobriety tests, have an ordinary driving pattern, and have no symptoms of impairment. </w:t>
      </w:r>
    </w:p>
    <w:p w14:paraId="57A33A4B" w14:textId="77777777" w:rsidR="00AD3A06" w:rsidRDefault="00AD3A06" w:rsidP="00155FA6">
      <w:proofErr w:type="spellStart"/>
      <w:r>
        <w:t>Bolourchi</w:t>
      </w:r>
      <w:proofErr w:type="spellEnd"/>
      <w:r>
        <w:t xml:space="preserve"> </w:t>
      </w:r>
      <w:r>
        <w:t>did not testify</w:t>
      </w:r>
      <w:r>
        <w:t>,</w:t>
      </w:r>
      <w:r>
        <w:t xml:space="preserve"> but </w:t>
      </w:r>
      <w:r>
        <w:t xml:space="preserve">he did </w:t>
      </w:r>
      <w:r>
        <w:t>call</w:t>
      </w:r>
      <w:r>
        <w:t xml:space="preserve"> </w:t>
      </w:r>
      <w:r>
        <w:t xml:space="preserve">his own </w:t>
      </w:r>
      <w:r>
        <w:t>expert, Dr. Eugene Schoe</w:t>
      </w:r>
      <w:r>
        <w:t>n</w:t>
      </w:r>
      <w:r>
        <w:t xml:space="preserve">feld.  </w:t>
      </w:r>
      <w:r>
        <w:t>Schoe</w:t>
      </w:r>
      <w:r>
        <w:t>n</w:t>
      </w:r>
      <w:r>
        <w:t>fe</w:t>
      </w:r>
      <w:r>
        <w:t>l</w:t>
      </w:r>
      <w:r>
        <w:t xml:space="preserve">d </w:t>
      </w:r>
      <w:r>
        <w:t>pointed out that</w:t>
      </w:r>
      <w:r>
        <w:t xml:space="preserve">, for Alprazolam, </w:t>
      </w:r>
      <w:r>
        <w:t>the</w:t>
      </w:r>
      <w:r>
        <w:t xml:space="preserve"> blood test </w:t>
      </w:r>
      <w:r>
        <w:lastRenderedPageBreak/>
        <w:t>result</w:t>
      </w:r>
      <w:r>
        <w:t>s</w:t>
      </w:r>
      <w:r>
        <w:t xml:space="preserve"> </w:t>
      </w:r>
      <w:r>
        <w:t>showed “detected</w:t>
      </w:r>
      <w:r>
        <w:t>,</w:t>
      </w:r>
      <w:r>
        <w:t xml:space="preserve">” </w:t>
      </w:r>
      <w:r>
        <w:t xml:space="preserve">with no </w:t>
      </w:r>
      <w:r>
        <w:t>measured level shown</w:t>
      </w:r>
      <w:r>
        <w:t xml:space="preserve">, and that </w:t>
      </w:r>
      <w:r>
        <w:t>the detected level of THC simply indicate</w:t>
      </w:r>
      <w:r>
        <w:t>d</w:t>
      </w:r>
      <w:r>
        <w:t xml:space="preserve"> </w:t>
      </w:r>
      <w:proofErr w:type="spellStart"/>
      <w:r>
        <w:t>Bolourchi</w:t>
      </w:r>
      <w:proofErr w:type="spellEnd"/>
      <w:r>
        <w:t xml:space="preserve"> had smoked marijuana sometime </w:t>
      </w:r>
      <w:r>
        <w:t xml:space="preserve">in </w:t>
      </w:r>
      <w:r>
        <w:t>the past</w:t>
      </w:r>
      <w:r>
        <w:t xml:space="preserve">.  According to Dr. </w:t>
      </w:r>
      <w:r>
        <w:t>S</w:t>
      </w:r>
      <w:r>
        <w:t>c</w:t>
      </w:r>
      <w:r>
        <w:t xml:space="preserve">hoenfeld, these results were consistent with </w:t>
      </w:r>
      <w:proofErr w:type="spellStart"/>
      <w:r>
        <w:t>Bolourchi’s</w:t>
      </w:r>
      <w:proofErr w:type="spellEnd"/>
      <w:r>
        <w:t xml:space="preserve"> statements to Officer Finerty that he </w:t>
      </w:r>
      <w:r>
        <w:t>took Alprazolam and consumed mari</w:t>
      </w:r>
      <w:r>
        <w:t>j</w:t>
      </w:r>
      <w:r>
        <w:t>uana the previous day</w:t>
      </w:r>
      <w:r>
        <w:t>, not that he was impaired when Officer Finerty encountered him</w:t>
      </w:r>
      <w:r>
        <w:t>.</w:t>
      </w:r>
    </w:p>
    <w:p w14:paraId="2C003201" w14:textId="77777777" w:rsidR="00AD3A06" w:rsidRDefault="00AD3A06" w:rsidP="00155FA6">
      <w:r>
        <w:t>Dr. Schoenf</w:t>
      </w:r>
      <w:r>
        <w:t>el</w:t>
      </w:r>
      <w:r>
        <w:t>d saw nothing</w:t>
      </w:r>
      <w:r>
        <w:t xml:space="preserve"> </w:t>
      </w:r>
      <w:r>
        <w:t xml:space="preserve">in </w:t>
      </w:r>
      <w:r>
        <w:t>Officer Finerty’s</w:t>
      </w:r>
      <w:r>
        <w:t xml:space="preserve"> reported observations of </w:t>
      </w:r>
      <w:proofErr w:type="spellStart"/>
      <w:r>
        <w:t>Bolourchi</w:t>
      </w:r>
      <w:proofErr w:type="spellEnd"/>
      <w:r>
        <w:t xml:space="preserve"> </w:t>
      </w:r>
      <w:r>
        <w:t xml:space="preserve">or </w:t>
      </w:r>
      <w:r>
        <w:t xml:space="preserve">in </w:t>
      </w:r>
      <w:r>
        <w:t>the</w:t>
      </w:r>
      <w:r>
        <w:t xml:space="preserve"> test</w:t>
      </w:r>
      <w:r>
        <w:t xml:space="preserve">ing </w:t>
      </w:r>
      <w:r>
        <w:t xml:space="preserve">results to indicate </w:t>
      </w:r>
      <w:r>
        <w:t>impairment</w:t>
      </w:r>
      <w:r>
        <w:t xml:space="preserve">.  </w:t>
      </w:r>
      <w:r>
        <w:t xml:space="preserve">He did not specifically address </w:t>
      </w:r>
      <w:proofErr w:type="spellStart"/>
      <w:r>
        <w:t>Bolourchi’s</w:t>
      </w:r>
      <w:proofErr w:type="spellEnd"/>
      <w:r>
        <w:t xml:space="preserve"> </w:t>
      </w:r>
      <w:r>
        <w:t xml:space="preserve">bad driving or </w:t>
      </w:r>
      <w:r>
        <w:t xml:space="preserve">his evident </w:t>
      </w:r>
      <w:r>
        <w:t>confusion and disorientation</w:t>
      </w:r>
      <w:r>
        <w:t xml:space="preserve"> in the 7-Eleven parking lot</w:t>
      </w:r>
      <w:r>
        <w:t>.  A</w:t>
      </w:r>
      <w:r>
        <w:t xml:space="preserve">s for </w:t>
      </w:r>
      <w:proofErr w:type="spellStart"/>
      <w:r>
        <w:t>Bolourchi’s</w:t>
      </w:r>
      <w:proofErr w:type="spellEnd"/>
      <w:r>
        <w:t xml:space="preserve"> </w:t>
      </w:r>
      <w:r>
        <w:t>poor performance on the field sobriety tests</w:t>
      </w:r>
      <w:r>
        <w:t xml:space="preserve">, Dr. Schoenfeld said that may be </w:t>
      </w:r>
      <w:r>
        <w:t xml:space="preserve">explained </w:t>
      </w:r>
      <w:r>
        <w:t xml:space="preserve">by </w:t>
      </w:r>
      <w:r>
        <w:t>simple nervousness</w:t>
      </w:r>
      <w:r>
        <w:t>, not impa</w:t>
      </w:r>
      <w:r>
        <w:t>i</w:t>
      </w:r>
      <w:r>
        <w:t>rment</w:t>
      </w:r>
      <w:r>
        <w:t>.</w:t>
      </w:r>
    </w:p>
    <w:p w14:paraId="1E8B1EBE" w14:textId="77777777" w:rsidR="00AD3A06" w:rsidRDefault="00AD3A06" w:rsidP="00155FA6">
      <w:r>
        <w:t xml:space="preserve">In closing argument, </w:t>
      </w:r>
      <w:r>
        <w:t xml:space="preserve">defense counsel </w:t>
      </w:r>
      <w:r>
        <w:t xml:space="preserve">denied that </w:t>
      </w:r>
      <w:proofErr w:type="spellStart"/>
      <w:r>
        <w:t>Bolourchi</w:t>
      </w:r>
      <w:proofErr w:type="spellEnd"/>
      <w:r>
        <w:t xml:space="preserve"> had any corrupt intent </w:t>
      </w:r>
      <w:r>
        <w:t xml:space="preserve">in </w:t>
      </w:r>
      <w:r>
        <w:t>offering m</w:t>
      </w:r>
      <w:r>
        <w:t>o</w:t>
      </w:r>
      <w:r>
        <w:t xml:space="preserve">ney to Officer Finerty and said </w:t>
      </w:r>
      <w:r>
        <w:t xml:space="preserve">his </w:t>
      </w:r>
      <w:r>
        <w:t>statement</w:t>
      </w:r>
      <w:r>
        <w:t>s about that</w:t>
      </w:r>
      <w:r>
        <w:t>, if true, w</w:t>
      </w:r>
      <w:r>
        <w:t xml:space="preserve">ere </w:t>
      </w:r>
      <w:r>
        <w:t xml:space="preserve">nothing more than </w:t>
      </w:r>
      <w:r>
        <w:t>“</w:t>
      </w:r>
      <w:r>
        <w:t xml:space="preserve">circumstantial evidence that </w:t>
      </w:r>
      <w:r>
        <w:t xml:space="preserve">Haadi </w:t>
      </w:r>
      <w:proofErr w:type="spellStart"/>
      <w:r>
        <w:t>Bolourchi</w:t>
      </w:r>
      <w:proofErr w:type="spellEnd"/>
      <w:r>
        <w:t xml:space="preserve"> is a jackass.” </w:t>
      </w:r>
      <w:r>
        <w:t xml:space="preserve"> </w:t>
      </w:r>
      <w:r>
        <w:t xml:space="preserve">  </w:t>
      </w:r>
      <w:r>
        <w:t xml:space="preserve"> </w:t>
      </w:r>
    </w:p>
    <w:p w14:paraId="5A271259" w14:textId="77777777" w:rsidR="00AD3A06" w:rsidRDefault="00AD3A06" w:rsidP="001D6E97">
      <w:pPr>
        <w:pStyle w:val="Heading2"/>
      </w:pPr>
      <w:r>
        <w:t xml:space="preserve">The </w:t>
      </w:r>
      <w:r>
        <w:t xml:space="preserve">CALCRIM No. 2130 </w:t>
      </w:r>
      <w:r>
        <w:t>Instruction</w:t>
      </w:r>
      <w:r>
        <w:t xml:space="preserve"> and Dismissal of </w:t>
      </w:r>
      <w:r>
        <w:t xml:space="preserve">the </w:t>
      </w:r>
      <w:r>
        <w:t>Section 23577 Allegation</w:t>
      </w:r>
    </w:p>
    <w:p w14:paraId="27F7CA6F" w14:textId="77777777" w:rsidR="00AD3A06" w:rsidRDefault="00AD3A06" w:rsidP="005B287B">
      <w:r>
        <w:t xml:space="preserve">Prior to trial, the prosecutor moved in </w:t>
      </w:r>
      <w:proofErr w:type="spellStart"/>
      <w:r>
        <w:t>limine</w:t>
      </w:r>
      <w:proofErr w:type="spellEnd"/>
      <w:r>
        <w:t xml:space="preserve"> to </w:t>
      </w:r>
      <w:r>
        <w:t xml:space="preserve">give </w:t>
      </w:r>
      <w:r>
        <w:t xml:space="preserve">a </w:t>
      </w:r>
      <w:r>
        <w:t xml:space="preserve">proposed jury instruction under </w:t>
      </w:r>
      <w:r>
        <w:t xml:space="preserve">CALCRIM No. 2130 </w:t>
      </w:r>
      <w:r>
        <w:t xml:space="preserve">that </w:t>
      </w:r>
      <w:r>
        <w:t xml:space="preserve">read as </w:t>
      </w:r>
      <w:r>
        <w:t>follows:</w:t>
      </w:r>
    </w:p>
    <w:p w14:paraId="681DBF97" w14:textId="77777777" w:rsidR="00AD3A06" w:rsidRDefault="00AD3A06" w:rsidP="00BC708B">
      <w:r>
        <w:t xml:space="preserve">“The law requires that any driver who has been lawfully arrested submit to a chemical test at the request of a peace officer who has reasonable cause to believe that the person arrested was </w:t>
      </w:r>
      <w:r>
        <w:t xml:space="preserve">driving </w:t>
      </w:r>
      <w:r>
        <w:t>under the influence.</w:t>
      </w:r>
      <w:r>
        <w:t xml:space="preserve"> </w:t>
      </w:r>
      <w:r>
        <w:t xml:space="preserve"> [¶] If the defendant refused to submit to such a test after a peace officer asked him to do so and explained the test’s nature to the defendant, then the defendant’s conduct may show that he was aware of his guilt.  If you conclude that the defendant refused to submit to such a test, it is up to you to decide </w:t>
      </w:r>
      <w:r>
        <w:lastRenderedPageBreak/>
        <w:t>the meaning and importance of the refusal.  However, evidence that the defendant refused to submit to a chemical test cannot prove guilt by itself.</w:t>
      </w:r>
      <w:r>
        <w:t xml:space="preserve">”  </w:t>
      </w:r>
    </w:p>
    <w:p w14:paraId="584BF7B2" w14:textId="77777777" w:rsidR="00AD3A06" w:rsidRDefault="00AD3A06" w:rsidP="005B287B">
      <w:r>
        <w:t xml:space="preserve">Defense counsel </w:t>
      </w:r>
      <w:r>
        <w:t>objected</w:t>
      </w:r>
      <w:r>
        <w:t xml:space="preserve"> to this instruction</w:t>
      </w:r>
      <w:r>
        <w:t xml:space="preserve">, </w:t>
      </w:r>
      <w:r>
        <w:t>argu</w:t>
      </w:r>
      <w:r>
        <w:t xml:space="preserve">ing </w:t>
      </w:r>
      <w:r>
        <w:t xml:space="preserve">there was no “refusal” because “[t]hey have a blood test.”  The prosecutor argued </w:t>
      </w:r>
      <w:proofErr w:type="spellStart"/>
      <w:r>
        <w:t>Bolourchi</w:t>
      </w:r>
      <w:proofErr w:type="spellEnd"/>
      <w:r>
        <w:t xml:space="preserve"> was “stringing it out”—first by insisting that the test occur at the jail and then declining to test without a warrant—which “could be indicative of a guilty state of mind.”  Noting </w:t>
      </w:r>
      <w:proofErr w:type="spellStart"/>
      <w:r>
        <w:t>Bolourchi</w:t>
      </w:r>
      <w:proofErr w:type="spellEnd"/>
      <w:r>
        <w:t xml:space="preserve"> did not submit to the test without a warrant, the court granted the prosecutor’s motion and stated it would give the instruction.  </w:t>
      </w:r>
    </w:p>
    <w:p w14:paraId="756A3A75" w14:textId="77777777" w:rsidR="00AD3A06" w:rsidRDefault="00AD3A06" w:rsidP="005B287B">
      <w:r>
        <w:t xml:space="preserve">In a mid-trial conference </w:t>
      </w:r>
      <w:r>
        <w:t xml:space="preserve">to discuss </w:t>
      </w:r>
      <w:r>
        <w:t xml:space="preserve">jury instructions, defense counsel stated he did not agree with the inclusion of CALCRIM No. 2130.  Counsel stated </w:t>
      </w:r>
      <w:proofErr w:type="spellStart"/>
      <w:r>
        <w:t>Bolourchi</w:t>
      </w:r>
      <w:proofErr w:type="spellEnd"/>
      <w:r>
        <w:t xml:space="preserve"> “did, to his knowledge and ability, submit.  He gave a </w:t>
      </w:r>
      <w:r>
        <w:t>[breath</w:t>
      </w:r>
      <w:r>
        <w:t>a</w:t>
      </w:r>
      <w:r>
        <w:t>lyzer]</w:t>
      </w:r>
      <w:r>
        <w:t xml:space="preserve"> test.  He went back and forth and eventually did submit to a blood test.”  The prosecutor responded that </w:t>
      </w:r>
      <w:proofErr w:type="spellStart"/>
      <w:r>
        <w:t>Bolourchi</w:t>
      </w:r>
      <w:proofErr w:type="spellEnd"/>
      <w:r>
        <w:t xml:space="preserve"> had </w:t>
      </w:r>
      <w:proofErr w:type="gramStart"/>
      <w:r>
        <w:t>refused</w:t>
      </w:r>
      <w:proofErr w:type="gramEnd"/>
      <w:r>
        <w:t xml:space="preserve"> and it was necessary to get a warrant.  The </w:t>
      </w:r>
      <w:r w:rsidRPr="003751B1">
        <w:t>court concluded that it would give the instruction and the parties could make their arguments to the jury.  Defense counsel did not obj</w:t>
      </w:r>
      <w:r w:rsidRPr="003751B1">
        <w:t xml:space="preserve">ect to the wording of the instruction or request any modification to the instruction. </w:t>
      </w:r>
      <w:r>
        <w:t xml:space="preserve"> </w:t>
      </w:r>
    </w:p>
    <w:p w14:paraId="07518FB2" w14:textId="77777777" w:rsidR="00AD3A06" w:rsidRDefault="00AD3A06" w:rsidP="005B287B">
      <w:r>
        <w:t xml:space="preserve">In a later discussion just before the court instructed the jury, defense counsel argued </w:t>
      </w:r>
      <w:proofErr w:type="spellStart"/>
      <w:r>
        <w:t>Bolourchi</w:t>
      </w:r>
      <w:proofErr w:type="spellEnd"/>
      <w:r>
        <w:t xml:space="preserve"> had not received a proper explanation about the blood test, so his conduct did not amount to a refusal that would indicate consciousness of guilt.  After hearing argument, the court stated it was satisfied that the “nature of the test was explained,” and it would give the instruction, with counsel free to make their respective arguments to the jury.  </w:t>
      </w:r>
    </w:p>
    <w:p w14:paraId="5F02566F" w14:textId="77777777" w:rsidR="00AD3A06" w:rsidRDefault="00AD3A06" w:rsidP="005B287B">
      <w:r>
        <w:t>The prosecutor</w:t>
      </w:r>
      <w:r>
        <w:t xml:space="preserve"> relied on the CALCRIM No</w:t>
      </w:r>
      <w:r>
        <w:t>.</w:t>
      </w:r>
      <w:r>
        <w:t xml:space="preserve"> 2130 instruction in closing argument as one of </w:t>
      </w:r>
      <w:proofErr w:type="gramStart"/>
      <w:r>
        <w:t>a number of</w:t>
      </w:r>
      <w:proofErr w:type="gramEnd"/>
      <w:r>
        <w:t xml:space="preserve"> factors the jury could use to find</w:t>
      </w:r>
      <w:r>
        <w:t xml:space="preserve"> </w:t>
      </w:r>
      <w:proofErr w:type="spellStart"/>
      <w:r>
        <w:t>Bolourchi</w:t>
      </w:r>
      <w:proofErr w:type="spellEnd"/>
      <w:r>
        <w:t xml:space="preserve"> was driving while under the influence of a drug</w:t>
      </w:r>
      <w:r>
        <w:t xml:space="preserve">. </w:t>
      </w:r>
      <w:r>
        <w:t xml:space="preserve"> “</w:t>
      </w:r>
      <w:r w:rsidRPr="00B44D67">
        <w:t>The defendant didn</w:t>
      </w:r>
      <w:r>
        <w:t>’</w:t>
      </w:r>
      <w:r w:rsidRPr="00B44D67">
        <w:t xml:space="preserve">t want </w:t>
      </w:r>
      <w:r w:rsidRPr="00B44D67">
        <w:lastRenderedPageBreak/>
        <w:t>to take</w:t>
      </w:r>
      <w:r>
        <w:t xml:space="preserve"> </w:t>
      </w:r>
      <w:r>
        <w:t>[a blood]</w:t>
      </w:r>
      <w:r w:rsidRPr="00B44D67">
        <w:t xml:space="preserve"> test because he knew that it would show he was intoxicated.  You can use that as a factor in deciding </w:t>
      </w:r>
      <w:proofErr w:type="gramStart"/>
      <w:r w:rsidRPr="00B44D67">
        <w:t>whether or not</w:t>
      </w:r>
      <w:proofErr w:type="gramEnd"/>
      <w:r w:rsidRPr="00B44D67">
        <w:t xml:space="preserve"> the defendant was intoxicated.  He refused to take the test.  </w:t>
      </w:r>
      <w:r>
        <w:t>[You c]</w:t>
      </w:r>
      <w:proofErr w:type="gramStart"/>
      <w:r w:rsidRPr="00B44D67">
        <w:t>an</w:t>
      </w:r>
      <w:proofErr w:type="gramEnd"/>
      <w:r w:rsidRPr="00B44D67">
        <w:t xml:space="preserve"> use that as evidence of the fact that he knew he was intoxicated.</w:t>
      </w:r>
      <w:r>
        <w:t xml:space="preserve">”  </w:t>
      </w:r>
      <w:r w:rsidRPr="00B44D67">
        <w:t xml:space="preserve">  </w:t>
      </w:r>
    </w:p>
    <w:p w14:paraId="77BAD80E" w14:textId="77777777" w:rsidR="00AD3A06" w:rsidRDefault="00AD3A06" w:rsidP="005B287B">
      <w:r>
        <w:t xml:space="preserve">During trial, the court granted the prosecution’s motion to dismiss the enhancement allegation under section 23577 that </w:t>
      </w:r>
      <w:proofErr w:type="spellStart"/>
      <w:r>
        <w:t>Bolourchi</w:t>
      </w:r>
      <w:proofErr w:type="spellEnd"/>
      <w:r>
        <w:t xml:space="preserve"> refused a chemical test. </w:t>
      </w:r>
    </w:p>
    <w:p w14:paraId="55FF9B54" w14:textId="77777777" w:rsidR="00AD3A06" w:rsidRDefault="00AD3A06" w:rsidP="00E927C2">
      <w:pPr>
        <w:pStyle w:val="Heading2"/>
      </w:pPr>
      <w:r>
        <w:t xml:space="preserve">Guilt </w:t>
      </w:r>
      <w:r>
        <w:t>Verdict</w:t>
      </w:r>
      <w:r>
        <w:t>,</w:t>
      </w:r>
      <w:r>
        <w:t xml:space="preserve"> </w:t>
      </w:r>
      <w:r>
        <w:t>Sentence</w:t>
      </w:r>
      <w:r>
        <w:t xml:space="preserve"> and Appeal</w:t>
      </w:r>
    </w:p>
    <w:p w14:paraId="49F6C44D" w14:textId="77777777" w:rsidR="00AD3A06" w:rsidRDefault="00AD3A06" w:rsidP="00394626">
      <w:r>
        <w:t>T</w:t>
      </w:r>
      <w:r>
        <w:t xml:space="preserve">he jury found </w:t>
      </w:r>
      <w:proofErr w:type="spellStart"/>
      <w:r>
        <w:t>Bolourchi</w:t>
      </w:r>
      <w:proofErr w:type="spellEnd"/>
      <w:r>
        <w:t xml:space="preserve"> guilty on both counts 1 and 2</w:t>
      </w:r>
      <w:r>
        <w:t xml:space="preserve"> and at a subsequent bifurcated trial the court found</w:t>
      </w:r>
      <w:r>
        <w:t xml:space="preserve"> </w:t>
      </w:r>
      <w:r>
        <w:t xml:space="preserve">sentencing </w:t>
      </w:r>
      <w:r>
        <w:t xml:space="preserve">allegations </w:t>
      </w:r>
      <w:r>
        <w:t xml:space="preserve">that </w:t>
      </w:r>
      <w:proofErr w:type="spellStart"/>
      <w:r>
        <w:t>Bolourchi</w:t>
      </w:r>
      <w:proofErr w:type="spellEnd"/>
      <w:r>
        <w:t xml:space="preserve"> suffered three prior DUI convictions </w:t>
      </w:r>
      <w:r>
        <w:t xml:space="preserve">to be true. </w:t>
      </w:r>
      <w:r>
        <w:t xml:space="preserve"> </w:t>
      </w:r>
      <w:r>
        <w:t xml:space="preserve">At sentencing, </w:t>
      </w:r>
      <w:r>
        <w:t xml:space="preserve">the court suspended imposition of sentence, placed </w:t>
      </w:r>
      <w:proofErr w:type="spellStart"/>
      <w:r>
        <w:t>Bolourchi</w:t>
      </w:r>
      <w:proofErr w:type="spellEnd"/>
      <w:r>
        <w:t xml:space="preserve"> on three years’ probation, and ordered that he serve 180 days in county jail. </w:t>
      </w:r>
      <w:r>
        <w:t xml:space="preserve"> </w:t>
      </w:r>
    </w:p>
    <w:p w14:paraId="1AD58F33" w14:textId="77777777" w:rsidR="00AD3A06" w:rsidRPr="00D92215" w:rsidRDefault="00AD3A06" w:rsidP="0097140F">
      <w:proofErr w:type="spellStart"/>
      <w:r>
        <w:t>Bolourchi</w:t>
      </w:r>
      <w:proofErr w:type="spellEnd"/>
      <w:r>
        <w:t xml:space="preserve"> </w:t>
      </w:r>
      <w:r>
        <w:t xml:space="preserve">timely </w:t>
      </w:r>
      <w:r>
        <w:t xml:space="preserve">appealed. </w:t>
      </w:r>
      <w:r>
        <w:t xml:space="preserve"> </w:t>
      </w:r>
    </w:p>
    <w:p w14:paraId="0DE3471C" w14:textId="77777777" w:rsidR="00AD3A06" w:rsidRDefault="00AD3A06" w:rsidP="00394626">
      <w:pPr>
        <w:pStyle w:val="Heading1"/>
      </w:pPr>
      <w:r>
        <w:t>DISCUSSION</w:t>
      </w:r>
    </w:p>
    <w:p w14:paraId="632BBDC2" w14:textId="77777777" w:rsidR="00AD3A06" w:rsidRDefault="00AD3A06" w:rsidP="00E645A2">
      <w:r>
        <w:t xml:space="preserve">At the outset, it is important to be clear about exactly what </w:t>
      </w:r>
      <w:proofErr w:type="spellStart"/>
      <w:r>
        <w:t>Bolourchi</w:t>
      </w:r>
      <w:proofErr w:type="spellEnd"/>
      <w:r>
        <w:t xml:space="preserve"> is now arguing.  In the trial court, he took the position that his lack of cooperation in submitting to a blood test, </w:t>
      </w:r>
      <w:r w:rsidRPr="00205440">
        <w:rPr>
          <w:i/>
        </w:rPr>
        <w:t>factually</w:t>
      </w:r>
      <w:r>
        <w:t xml:space="preserve">, was not a refusal to test because he ultimately allowed his blood to be taken.  But that position is unsustainable.  It is well established that, to comply with the consent law, a </w:t>
      </w:r>
      <w:proofErr w:type="gramStart"/>
      <w:r>
        <w:t>“ ‘</w:t>
      </w:r>
      <w:proofErr w:type="gramEnd"/>
      <w:r>
        <w:t>driver should clearly and unambiguously manifest the consent required by the law.  Consent which is not clear and unambiguous may be deemed a refusal.</w:t>
      </w:r>
      <w:proofErr w:type="gramStart"/>
      <w:r>
        <w:t>’ ”</w:t>
      </w:r>
      <w:proofErr w:type="gramEnd"/>
      <w:r>
        <w:t xml:space="preserve">  (</w:t>
      </w:r>
      <w:r>
        <w:rPr>
          <w:i/>
          <w:iCs/>
        </w:rPr>
        <w:t>Garcia v. Department of Motor Vehi</w:t>
      </w:r>
      <w:r>
        <w:rPr>
          <w:i/>
          <w:iCs/>
        </w:rPr>
        <w:t>cles</w:t>
      </w:r>
      <w:r>
        <w:t xml:space="preserve"> (2010) 185 Cal.App.4th 73, 82.) </w:t>
      </w:r>
    </w:p>
    <w:p w14:paraId="201BAB59" w14:textId="77777777" w:rsidR="00AD3A06" w:rsidRDefault="00AD3A06" w:rsidP="00394626">
      <w:r>
        <w:t>On appeal</w:t>
      </w:r>
      <w:r>
        <w:t>,</w:t>
      </w:r>
      <w:r>
        <w:t xml:space="preserve"> </w:t>
      </w:r>
      <w:proofErr w:type="spellStart"/>
      <w:r>
        <w:t>Bolourchi</w:t>
      </w:r>
      <w:proofErr w:type="spellEnd"/>
      <w:r>
        <w:t xml:space="preserve"> </w:t>
      </w:r>
      <w:r>
        <w:t xml:space="preserve">continues to claim </w:t>
      </w:r>
      <w:r>
        <w:t xml:space="preserve">that </w:t>
      </w:r>
      <w:r>
        <w:t xml:space="preserve">consent is a question of fact, but the focus of his argument has shifted.  He now </w:t>
      </w:r>
      <w:r>
        <w:t xml:space="preserve">argues </w:t>
      </w:r>
      <w:r>
        <w:t xml:space="preserve">that, </w:t>
      </w:r>
      <w:r w:rsidRPr="005220EB">
        <w:rPr>
          <w:i/>
        </w:rPr>
        <w:t>legally</w:t>
      </w:r>
      <w:r>
        <w:t xml:space="preserve">, his lack of cooperation </w:t>
      </w:r>
      <w:r>
        <w:t xml:space="preserve">in a blood draw </w:t>
      </w:r>
      <w:r>
        <w:t>cannot amount to a refusal</w:t>
      </w:r>
      <w:r>
        <w:t xml:space="preserve"> under the implied consent law</w:t>
      </w:r>
      <w:r>
        <w:t>, at least not a refusal for which any adverse</w:t>
      </w:r>
      <w:r>
        <w:t xml:space="preserve"> </w:t>
      </w:r>
      <w:r>
        <w:lastRenderedPageBreak/>
        <w:t xml:space="preserve">consequences may attach </w:t>
      </w:r>
      <w:r>
        <w:t>under CALCRIM No. 2130.</w:t>
      </w:r>
      <w:r>
        <w:t xml:space="preserve"> </w:t>
      </w:r>
      <w:r>
        <w:t xml:space="preserve"> Spec</w:t>
      </w:r>
      <w:r>
        <w:t xml:space="preserve">ifically, </w:t>
      </w:r>
      <w:proofErr w:type="spellStart"/>
      <w:r>
        <w:t>Bolourchi</w:t>
      </w:r>
      <w:proofErr w:type="spellEnd"/>
      <w:r>
        <w:t xml:space="preserve"> </w:t>
      </w:r>
      <w:r>
        <w:t>con</w:t>
      </w:r>
      <w:r>
        <w:t xml:space="preserve">tends </w:t>
      </w:r>
      <w:r>
        <w:t>he had a constitutional right</w:t>
      </w:r>
      <w:r>
        <w:t xml:space="preserve"> </w:t>
      </w:r>
      <w:r>
        <w:t xml:space="preserve">under </w:t>
      </w:r>
      <w:r w:rsidRPr="0043072E">
        <w:rPr>
          <w:i/>
          <w:iCs/>
        </w:rPr>
        <w:t>Missouri v. McNeely</w:t>
      </w:r>
      <w:r>
        <w:t xml:space="preserve"> (2013) 569</w:t>
      </w:r>
      <w:r>
        <w:t> </w:t>
      </w:r>
      <w:r>
        <w:t>U.S. 141 (</w:t>
      </w:r>
      <w:r w:rsidRPr="0043072E">
        <w:rPr>
          <w:i/>
          <w:iCs/>
        </w:rPr>
        <w:t>McNeely</w:t>
      </w:r>
      <w:r>
        <w:t>)</w:t>
      </w:r>
      <w:r>
        <w:t xml:space="preserve"> </w:t>
      </w:r>
      <w:r>
        <w:t xml:space="preserve">to demand that police obtain a warrant before he submitted to a blood draw, so his assertion of that right should not be </w:t>
      </w:r>
      <w:r>
        <w:t>deemed a refusal</w:t>
      </w:r>
      <w:r>
        <w:t xml:space="preserve"> </w:t>
      </w:r>
      <w:r>
        <w:t>to test</w:t>
      </w:r>
      <w:r>
        <w:t xml:space="preserve">. </w:t>
      </w:r>
      <w:r>
        <w:t xml:space="preserve"> </w:t>
      </w:r>
    </w:p>
    <w:p w14:paraId="60893013" w14:textId="77777777" w:rsidR="00AD3A06" w:rsidRDefault="00AD3A06" w:rsidP="00394626">
      <w:r>
        <w:t xml:space="preserve">As an initial matter, the Attorney General argues </w:t>
      </w:r>
      <w:proofErr w:type="spellStart"/>
      <w:r>
        <w:t>Bolourchi</w:t>
      </w:r>
      <w:proofErr w:type="spellEnd"/>
      <w:r>
        <w:t xml:space="preserve"> forfeited </w:t>
      </w:r>
      <w:r>
        <w:t>t</w:t>
      </w:r>
      <w:r>
        <w:t xml:space="preserve">his </w:t>
      </w:r>
      <w:r>
        <w:t>leg</w:t>
      </w:r>
      <w:r>
        <w:t>al</w:t>
      </w:r>
      <w:r>
        <w:t xml:space="preserve"> attack on the CALCRIM No. 2130 instruction by failing to object to it on </w:t>
      </w:r>
      <w:r>
        <w:t xml:space="preserve">precisely </w:t>
      </w:r>
      <w:r>
        <w:t xml:space="preserve">the same grounds he now urges on appeal.  </w:t>
      </w:r>
      <w:r>
        <w:t>In the trial court</w:t>
      </w:r>
      <w:r>
        <w:t xml:space="preserve">, </w:t>
      </w:r>
      <w:proofErr w:type="spellStart"/>
      <w:r>
        <w:t>Bolourchi</w:t>
      </w:r>
      <w:proofErr w:type="spellEnd"/>
      <w:r>
        <w:t xml:space="preserve"> contended there was no refusal because </w:t>
      </w:r>
      <w:r>
        <w:t>he eventually submitted to a blood draw</w:t>
      </w:r>
      <w:r>
        <w:t xml:space="preserve">, while here he </w:t>
      </w:r>
      <w:r>
        <w:t xml:space="preserve">argues </w:t>
      </w:r>
      <w:r>
        <w:t xml:space="preserve">there can be no refusal </w:t>
      </w:r>
      <w:r>
        <w:t xml:space="preserve">when an arrestee </w:t>
      </w:r>
      <w:r>
        <w:t>claims he has a</w:t>
      </w:r>
      <w:r>
        <w:t xml:space="preserve"> Fourth Amendment </w:t>
      </w:r>
      <w:r>
        <w:t xml:space="preserve">right to </w:t>
      </w:r>
      <w:r>
        <w:t xml:space="preserve">be free from </w:t>
      </w:r>
      <w:r>
        <w:t xml:space="preserve">a </w:t>
      </w:r>
      <w:r>
        <w:t xml:space="preserve">coerced blood </w:t>
      </w:r>
      <w:r>
        <w:t xml:space="preserve">draw absent a warrant.  </w:t>
      </w:r>
    </w:p>
    <w:p w14:paraId="0A063254" w14:textId="77777777" w:rsidR="00AD3A06" w:rsidRDefault="00AD3A06" w:rsidP="00394626">
      <w:r>
        <w:t xml:space="preserve">The issue </w:t>
      </w:r>
      <w:proofErr w:type="spellStart"/>
      <w:r>
        <w:t>Bolourchi</w:t>
      </w:r>
      <w:proofErr w:type="spellEnd"/>
      <w:r>
        <w:t xml:space="preserve"> raises </w:t>
      </w:r>
      <w:r>
        <w:t xml:space="preserve">is a matter of first impression in California.  </w:t>
      </w:r>
      <w:r>
        <w:t xml:space="preserve">Without determining whether </w:t>
      </w:r>
      <w:r>
        <w:t>his</w:t>
      </w:r>
      <w:r>
        <w:t xml:space="preserve"> </w:t>
      </w:r>
      <w:r>
        <w:t>objection</w:t>
      </w:r>
      <w:r>
        <w:t xml:space="preserve"> below was sufficient</w:t>
      </w:r>
      <w:r>
        <w:t xml:space="preserve"> to avoid forfeiture</w:t>
      </w:r>
      <w:r>
        <w:t xml:space="preserve">, we will review </w:t>
      </w:r>
      <w:r>
        <w:t>t</w:t>
      </w:r>
      <w:r>
        <w:t xml:space="preserve">he merits of his claim </w:t>
      </w:r>
      <w:r>
        <w:t xml:space="preserve">and address </w:t>
      </w:r>
      <w:r>
        <w:t>whether the instruction affected his substantial rights.  (Pen. Code, § 1259;</w:t>
      </w:r>
      <w:r w:rsidRPr="006E515F">
        <w:t xml:space="preserve"> </w:t>
      </w:r>
      <w:r w:rsidRPr="006E515F">
        <w:rPr>
          <w:i/>
          <w:iCs/>
        </w:rPr>
        <w:t>People v. Jimenez</w:t>
      </w:r>
      <w:r>
        <w:t xml:space="preserve"> (2016) 246</w:t>
      </w:r>
      <w:r>
        <w:t> </w:t>
      </w:r>
      <w:r>
        <w:t>Cal.App.4th 726, 730</w:t>
      </w:r>
      <w:r>
        <w:t>.)</w:t>
      </w:r>
      <w:r>
        <w:t xml:space="preserve">  </w:t>
      </w:r>
      <w:r>
        <w:t>For the reasons discussed below, w</w:t>
      </w:r>
      <w:r>
        <w:t xml:space="preserve">e </w:t>
      </w:r>
      <w:r>
        <w:t xml:space="preserve">conclude the court </w:t>
      </w:r>
      <w:r>
        <w:t>did not err by giving the challenged instruction</w:t>
      </w:r>
      <w:r>
        <w:t>.</w:t>
      </w:r>
      <w:r>
        <w:t xml:space="preserve"> </w:t>
      </w:r>
      <w:r>
        <w:t xml:space="preserve"> </w:t>
      </w:r>
    </w:p>
    <w:p w14:paraId="2AC589CC" w14:textId="77777777" w:rsidR="00AD3A06" w:rsidRDefault="00AD3A06" w:rsidP="008F3486">
      <w:pPr>
        <w:pStyle w:val="Heading2"/>
        <w:numPr>
          <w:ilvl w:val="0"/>
          <w:numId w:val="31"/>
        </w:numPr>
      </w:pPr>
      <w:r>
        <w:t>The Implied Consent Law</w:t>
      </w:r>
    </w:p>
    <w:p w14:paraId="7744234F" w14:textId="77777777" w:rsidR="00AD3A06" w:rsidRDefault="00AD3A06" w:rsidP="00D33382">
      <w:r>
        <w:t>The</w:t>
      </w:r>
      <w:r>
        <w:t xml:space="preserve"> implied consent law</w:t>
      </w:r>
      <w:r>
        <w:t xml:space="preserve"> </w:t>
      </w:r>
      <w:r>
        <w:t xml:space="preserve">states </w:t>
      </w:r>
      <w:r>
        <w:t>that a driver of a motor vehicle is “deemed to have given his or her consent” to blood or breath testing for alcohol</w:t>
      </w:r>
      <w:r>
        <w:t>,</w:t>
      </w:r>
      <w:r>
        <w:t xml:space="preserve"> </w:t>
      </w:r>
      <w:r>
        <w:t>and</w:t>
      </w:r>
      <w:r>
        <w:t xml:space="preserve"> </w:t>
      </w:r>
      <w:r>
        <w:t xml:space="preserve">to blood testing for </w:t>
      </w:r>
      <w:r>
        <w:t>drugs</w:t>
      </w:r>
      <w:r>
        <w:t>,</w:t>
      </w:r>
      <w:r>
        <w:t xml:space="preserve"> </w:t>
      </w:r>
      <w:r>
        <w:t xml:space="preserve">upon a lawful arrest for </w:t>
      </w:r>
      <w:r>
        <w:t>DUI</w:t>
      </w:r>
      <w:r>
        <w:t xml:space="preserve">.  </w:t>
      </w:r>
      <w:bookmarkStart w:id="0" w:name="_Hlk167782368"/>
      <w:r>
        <w:t xml:space="preserve">(§ 23612, </w:t>
      </w:r>
      <w:bookmarkEnd w:id="0"/>
      <w:r>
        <w:t>subd. (a)(1)(A) &amp; (B).)</w:t>
      </w:r>
      <w:r>
        <w:t xml:space="preserve">  </w:t>
      </w:r>
      <w:r>
        <w:t>Specifically, when a person is lawfully arrested for driving under the influence of alcohol, the arresting officer is to give the person the choice of whether to take a blood test or a breath test.  (§ 23612, subd. (a)(2)(A).)  If the arrest is for driving under the i</w:t>
      </w:r>
      <w:r>
        <w:t>nfluence of a drug or the combined influence of alcohol and a drug, the officer initially is to offer the person the choice of a blood or breath test (</w:t>
      </w:r>
      <w:r w:rsidRPr="00D33382">
        <w:rPr>
          <w:i/>
          <w:iCs/>
        </w:rPr>
        <w:t>id.</w:t>
      </w:r>
      <w:r>
        <w:t xml:space="preserve">, subd. (a)(2)(B)), but a </w:t>
      </w:r>
      <w:r>
        <w:lastRenderedPageBreak/>
        <w:t>person who chooses a breath test may also be asked to take a blood test “if the officer has reasonable cause to believe that the person was driving under the influence of a drug or the combined influence of an alcoholic beverage and a drug and if the officer has reasonable cause to believe that a blood test will reveal evidence of</w:t>
      </w:r>
      <w:r>
        <w:t xml:space="preserve"> the person being under the influence” (</w:t>
      </w:r>
      <w:r w:rsidRPr="00D33382">
        <w:rPr>
          <w:i/>
          <w:iCs/>
        </w:rPr>
        <w:t>id.</w:t>
      </w:r>
      <w:r>
        <w:t>, subd. (a)(2)(C)).</w:t>
      </w:r>
      <w:r>
        <w:rPr>
          <w:rStyle w:val="FootnoteReference"/>
        </w:rPr>
        <w:footnoteReference w:id="6"/>
      </w:r>
      <w:r>
        <w:t xml:space="preserve">  In addition to blood and breath testing, a driver is i</w:t>
      </w:r>
      <w:r>
        <w:t xml:space="preserve">n some circumstances deemed to have consented to urine testing.  </w:t>
      </w:r>
      <w:r>
        <w:t>(</w:t>
      </w:r>
      <w:r w:rsidRPr="00C16EED">
        <w:rPr>
          <w:i/>
          <w:iCs/>
        </w:rPr>
        <w:t>Id.</w:t>
      </w:r>
      <w:r>
        <w:t>, subds.</w:t>
      </w:r>
      <w:r>
        <w:t> </w:t>
      </w:r>
      <w:r>
        <w:t xml:space="preserve">(a)(1)(B), </w:t>
      </w:r>
      <w:r>
        <w:t xml:space="preserve">(a)(2)(C), </w:t>
      </w:r>
      <w:r>
        <w:t>(d)(2).)</w:t>
      </w:r>
      <w:r>
        <w:t xml:space="preserve">  </w:t>
      </w:r>
    </w:p>
    <w:p w14:paraId="0C0B837D" w14:textId="77777777" w:rsidR="00AD3A06" w:rsidRDefault="00AD3A06" w:rsidP="00433DB5">
      <w:r>
        <w:t>A</w:t>
      </w:r>
      <w:r>
        <w:t xml:space="preserve">n arresting </w:t>
      </w:r>
      <w:r>
        <w:t xml:space="preserve">officer must advise the driver that failure to submit to </w:t>
      </w:r>
      <w:r>
        <w:t>the required “</w:t>
      </w:r>
      <w:r w:rsidRPr="00D65459">
        <w:t>breath or urine</w:t>
      </w:r>
      <w:r>
        <w:t xml:space="preserve"> testing” will result in a fine and mandatory imprisonment if the person is convicted of </w:t>
      </w:r>
      <w:r>
        <w:t>DUI</w:t>
      </w:r>
      <w:r>
        <w:t xml:space="preserve"> </w:t>
      </w:r>
      <w:r>
        <w:t>(§ 23612,</w:t>
      </w:r>
      <w:r>
        <w:t xml:space="preserve"> subd. (a)(1)(D)),</w:t>
      </w:r>
      <w:r>
        <w:rPr>
          <w:rStyle w:val="FootnoteReference"/>
        </w:rPr>
        <w:footnoteReference w:id="7"/>
      </w:r>
      <w:r>
        <w:t xml:space="preserve"> and that failure to submit to </w:t>
      </w:r>
      <w:r>
        <w:t xml:space="preserve">the required </w:t>
      </w:r>
      <w:r>
        <w:t xml:space="preserve">“breath, blood, or urine </w:t>
      </w:r>
      <w:r>
        <w:t>test</w:t>
      </w:r>
      <w:r>
        <w:t>s”</w:t>
      </w:r>
      <w:r>
        <w:t xml:space="preserve"> will result </w:t>
      </w:r>
      <w:r>
        <w:lastRenderedPageBreak/>
        <w:t xml:space="preserve">in </w:t>
      </w:r>
      <w:r>
        <w:t xml:space="preserve">the </w:t>
      </w:r>
      <w:r>
        <w:t>administrative suspension or revocation of driving privileges</w:t>
      </w:r>
      <w:r>
        <w:t xml:space="preserve"> (</w:t>
      </w:r>
      <w:r>
        <w:rPr>
          <w:i/>
        </w:rPr>
        <w:t>ibid.</w:t>
      </w:r>
      <w:r>
        <w:t>)</w:t>
      </w:r>
      <w:r>
        <w:t xml:space="preserve">. </w:t>
      </w:r>
      <w:r>
        <w:t xml:space="preserve"> </w:t>
      </w:r>
      <w:r>
        <w:t>In addition, t</w:t>
      </w:r>
      <w:r>
        <w:t xml:space="preserve">he officer must advise the person “that, in the event of refusal to submit to a test or tests, the refusal may be used against him or her in a court of law.” </w:t>
      </w:r>
      <w:r>
        <w:t xml:space="preserve"> </w:t>
      </w:r>
      <w:r>
        <w:t>(</w:t>
      </w:r>
      <w:r w:rsidRPr="00D65459">
        <w:rPr>
          <w:i/>
          <w:iCs/>
        </w:rPr>
        <w:t>Id.</w:t>
      </w:r>
      <w:r>
        <w:t>, subd.</w:t>
      </w:r>
      <w:r>
        <w:t> </w:t>
      </w:r>
      <w:r>
        <w:t>(a)(4)</w:t>
      </w:r>
      <w:r>
        <w:t xml:space="preserve">; </w:t>
      </w:r>
      <w:r>
        <w:t xml:space="preserve">see </w:t>
      </w:r>
      <w:r w:rsidRPr="00D65459">
        <w:rPr>
          <w:i/>
          <w:iCs/>
        </w:rPr>
        <w:t>People v. Alvarez</w:t>
      </w:r>
      <w:r>
        <w:t xml:space="preserve"> (2023) 98</w:t>
      </w:r>
      <w:r>
        <w:t> </w:t>
      </w:r>
      <w:r>
        <w:t>Cal.App.5th 531, 547 (</w:t>
      </w:r>
      <w:r w:rsidRPr="00694CCB">
        <w:rPr>
          <w:i/>
          <w:iCs/>
        </w:rPr>
        <w:t>Alvarez</w:t>
      </w:r>
      <w:r>
        <w:t>) [</w:t>
      </w:r>
      <w:r>
        <w:t>“</w:t>
      </w:r>
      <w:r>
        <w:t>I</w:t>
      </w:r>
      <w:r>
        <w:t>n a subsequent prosecution for driving under the influence, the court may</w:t>
      </w:r>
      <w:r>
        <w:t xml:space="preserve"> . . . </w:t>
      </w:r>
      <w:r>
        <w:t xml:space="preserve">admit </w:t>
      </w:r>
      <w:r>
        <w:t>into evidence a driver</w:t>
      </w:r>
      <w:r>
        <w:t>’</w:t>
      </w:r>
      <w:r>
        <w:t>s refusal to submit to such a test to show consciousness of guilt.</w:t>
      </w:r>
      <w:r>
        <w:t>”]</w:t>
      </w:r>
      <w:r>
        <w:t>; CALCRIM No. 2130</w:t>
      </w:r>
      <w:r>
        <w:t xml:space="preserve">.)  </w:t>
      </w:r>
    </w:p>
    <w:p w14:paraId="30C01A91" w14:textId="77777777" w:rsidR="00AD3A06" w:rsidRDefault="00AD3A06" w:rsidP="00633265">
      <w:pPr>
        <w:pStyle w:val="Heading2"/>
        <w:spacing w:after="0" w:line="360" w:lineRule="auto"/>
      </w:pPr>
      <w:r>
        <w:t>Fourth Amendment Limits on Blood Tests</w:t>
      </w:r>
    </w:p>
    <w:p w14:paraId="54C80371" w14:textId="77777777" w:rsidR="00AD3A06" w:rsidRPr="008A7678" w:rsidRDefault="00AD3A06" w:rsidP="009B6CFA">
      <w:pPr>
        <w:rPr>
          <w:rFonts w:eastAsia="Times New Roman" w:cs="Times New Roman"/>
        </w:rPr>
      </w:pPr>
      <w:r>
        <w:t xml:space="preserve">CALCRIM No. 2130—the instruction challenged here—states a defendant’s refusal to submit to a test required under the implied consent law “may show” the defendant “was aware of [his] guilt.” </w:t>
      </w:r>
      <w:r>
        <w:t xml:space="preserve"> </w:t>
      </w:r>
      <w:r>
        <w:t xml:space="preserve">As noted above, </w:t>
      </w:r>
      <w:proofErr w:type="spellStart"/>
      <w:r>
        <w:t>Bolourchi</w:t>
      </w:r>
      <w:proofErr w:type="spellEnd"/>
      <w:r>
        <w:t xml:space="preserve"> contends the use of this instruction was </w:t>
      </w:r>
      <w:r w:rsidRPr="00BB5796">
        <w:t xml:space="preserve">improper because </w:t>
      </w:r>
      <w:r w:rsidRPr="00BB5796">
        <w:t xml:space="preserve">he had a constitutional right under </w:t>
      </w:r>
      <w:r w:rsidRPr="00BB5796">
        <w:rPr>
          <w:i/>
          <w:iCs/>
        </w:rPr>
        <w:t>McNeely</w:t>
      </w:r>
      <w:r w:rsidRPr="00BB5796">
        <w:t xml:space="preserve">, </w:t>
      </w:r>
      <w:r w:rsidRPr="00BB5796">
        <w:rPr>
          <w:i/>
          <w:iCs/>
        </w:rPr>
        <w:t>supra</w:t>
      </w:r>
      <w:r w:rsidRPr="00BB5796">
        <w:t>, 569</w:t>
      </w:r>
      <w:r>
        <w:t> </w:t>
      </w:r>
      <w:r w:rsidRPr="00BB5796">
        <w:t>U.S. 141 to demand that police obtain a warrant before he submitted to a blood draw</w:t>
      </w:r>
      <w:r w:rsidRPr="00BB5796">
        <w:t xml:space="preserve">.  </w:t>
      </w:r>
      <w:r w:rsidRPr="008A7678">
        <w:t xml:space="preserve">To evaluate this contention, we </w:t>
      </w:r>
      <w:r w:rsidRPr="008A7678">
        <w:t>be</w:t>
      </w:r>
      <w:r>
        <w:t xml:space="preserve">gin </w:t>
      </w:r>
      <w:r>
        <w:t xml:space="preserve">with a background </w:t>
      </w:r>
      <w:r>
        <w:t>discussi</w:t>
      </w:r>
      <w:r>
        <w:t xml:space="preserve">on of </w:t>
      </w:r>
      <w:r w:rsidRPr="00633265">
        <w:t>a series of</w:t>
      </w:r>
      <w:r>
        <w:t xml:space="preserve"> </w:t>
      </w:r>
      <w:r w:rsidRPr="008A7678">
        <w:t xml:space="preserve">Fourth Amendment </w:t>
      </w:r>
      <w:r>
        <w:t>case</w:t>
      </w:r>
      <w:r>
        <w:t>s</w:t>
      </w:r>
      <w:r>
        <w:t xml:space="preserve"> </w:t>
      </w:r>
      <w:r>
        <w:t xml:space="preserve">from the United States Supreme Court </w:t>
      </w:r>
      <w:r>
        <w:t xml:space="preserve">that, together, </w:t>
      </w:r>
      <w:r w:rsidRPr="00633265">
        <w:t>enunciate</w:t>
      </w:r>
      <w:r>
        <w:t xml:space="preserve"> the applicable law. </w:t>
      </w:r>
      <w:r w:rsidRPr="008A7678">
        <w:rPr>
          <w:rFonts w:eastAsia="Times New Roman" w:cs="Times New Roman"/>
        </w:rPr>
        <w:t xml:space="preserve">  </w:t>
      </w:r>
    </w:p>
    <w:p w14:paraId="1838ECEE" w14:textId="77777777" w:rsidR="00AD3A06" w:rsidRPr="008A7678" w:rsidRDefault="00AD3A06" w:rsidP="000D6C5E">
      <w:pPr>
        <w:shd w:val="clear" w:color="auto" w:fill="FFFFFF"/>
        <w:rPr>
          <w:rFonts w:eastAsia="Times New Roman" w:cs="Times New Roman"/>
          <w:color w:val="000000"/>
        </w:rPr>
      </w:pPr>
      <w:r>
        <w:rPr>
          <w:rFonts w:eastAsia="Times New Roman" w:cs="Times New Roman"/>
        </w:rPr>
        <w:t xml:space="preserve">We start </w:t>
      </w:r>
      <w:r>
        <w:rPr>
          <w:rFonts w:eastAsia="Times New Roman" w:cs="Times New Roman"/>
        </w:rPr>
        <w:t xml:space="preserve">in the mid-1960s </w:t>
      </w:r>
      <w:r>
        <w:rPr>
          <w:rFonts w:eastAsia="Times New Roman" w:cs="Times New Roman"/>
        </w:rPr>
        <w:t xml:space="preserve">with </w:t>
      </w:r>
      <w:r w:rsidRPr="008A7678">
        <w:rPr>
          <w:rFonts w:eastAsia="Times New Roman" w:cs="Times New Roman"/>
          <w:i/>
          <w:iCs/>
          <w:bdr w:val="none" w:sz="0" w:space="0" w:color="auto" w:frame="1"/>
        </w:rPr>
        <w:t>Schmerber v. California</w:t>
      </w:r>
      <w:r w:rsidRPr="008A7678">
        <w:rPr>
          <w:rFonts w:eastAsia="Times New Roman" w:cs="Times New Roman"/>
        </w:rPr>
        <w:t xml:space="preserve"> (1966) 384</w:t>
      </w:r>
      <w:r>
        <w:rPr>
          <w:rFonts w:eastAsia="Times New Roman" w:cs="Times New Roman"/>
        </w:rPr>
        <w:t> </w:t>
      </w:r>
      <w:r w:rsidRPr="008A7678">
        <w:rPr>
          <w:rFonts w:eastAsia="Times New Roman" w:cs="Times New Roman"/>
        </w:rPr>
        <w:t>U.S. 757 (</w:t>
      </w:r>
      <w:r w:rsidRPr="008A7678">
        <w:rPr>
          <w:rFonts w:eastAsia="Times New Roman" w:cs="Times New Roman"/>
          <w:i/>
          <w:iCs/>
        </w:rPr>
        <w:t>Schmerber</w:t>
      </w:r>
      <w:r w:rsidRPr="008A7678">
        <w:rPr>
          <w:rFonts w:eastAsia="Times New Roman" w:cs="Times New Roman"/>
        </w:rPr>
        <w:t>)</w:t>
      </w:r>
      <w:r>
        <w:rPr>
          <w:rFonts w:eastAsia="Times New Roman" w:cs="Times New Roman"/>
        </w:rPr>
        <w:t xml:space="preserve">.  </w:t>
      </w:r>
      <w:r w:rsidRPr="008A7678">
        <w:rPr>
          <w:rFonts w:eastAsia="Times New Roman" w:cs="Times New Roman"/>
          <w:color w:val="000000"/>
        </w:rPr>
        <w:t xml:space="preserve">The case involved a forced blood draw from a DUI arrestee who lay hospitalized following an auto accident.  </w:t>
      </w:r>
      <w:r>
        <w:rPr>
          <w:rFonts w:eastAsia="Times New Roman" w:cs="Times New Roman"/>
          <w:color w:val="000000"/>
        </w:rPr>
        <w:t>(</w:t>
      </w:r>
      <w:r w:rsidRPr="00173A2A">
        <w:rPr>
          <w:rFonts w:eastAsia="Times New Roman" w:cs="Times New Roman"/>
          <w:i/>
          <w:iCs/>
          <w:color w:val="000000"/>
        </w:rPr>
        <w:t>Id.</w:t>
      </w:r>
      <w:r>
        <w:rPr>
          <w:rFonts w:eastAsia="Times New Roman" w:cs="Times New Roman"/>
          <w:color w:val="000000"/>
        </w:rPr>
        <w:t xml:space="preserve"> at p.</w:t>
      </w:r>
      <w:r>
        <w:rPr>
          <w:rFonts w:eastAsia="Times New Roman" w:cs="Times New Roman"/>
          <w:color w:val="000000"/>
        </w:rPr>
        <w:t xml:space="preserve"> 758.)  </w:t>
      </w:r>
      <w:proofErr w:type="gramStart"/>
      <w:r>
        <w:rPr>
          <w:rFonts w:eastAsia="Times New Roman" w:cs="Times New Roman"/>
          <w:color w:val="000000"/>
        </w:rPr>
        <w:t>In light of</w:t>
      </w:r>
      <w:proofErr w:type="gramEnd"/>
      <w:r>
        <w:rPr>
          <w:rFonts w:eastAsia="Times New Roman" w:cs="Times New Roman"/>
          <w:color w:val="000000"/>
        </w:rPr>
        <w:t xml:space="preserve"> </w:t>
      </w:r>
      <w:proofErr w:type="gramStart"/>
      <w:r>
        <w:rPr>
          <w:rFonts w:eastAsia="Times New Roman" w:cs="Times New Roman"/>
          <w:color w:val="000000"/>
        </w:rPr>
        <w:t>delay</w:t>
      </w:r>
      <w:proofErr w:type="gramEnd"/>
      <w:r>
        <w:rPr>
          <w:rFonts w:eastAsia="Times New Roman" w:cs="Times New Roman"/>
          <w:color w:val="000000"/>
        </w:rPr>
        <w:t xml:space="preserve"> caused by the need to investigate the accident</w:t>
      </w:r>
      <w:r>
        <w:rPr>
          <w:rFonts w:eastAsia="Times New Roman" w:cs="Times New Roman"/>
          <w:color w:val="000000"/>
        </w:rPr>
        <w:t>, the police did not have time to procure a warrant</w:t>
      </w:r>
      <w:r>
        <w:rPr>
          <w:rFonts w:eastAsia="Times New Roman" w:cs="Times New Roman"/>
          <w:color w:val="000000"/>
        </w:rPr>
        <w:t xml:space="preserve"> and risked </w:t>
      </w:r>
      <w:r>
        <w:rPr>
          <w:rFonts w:eastAsia="Times New Roman" w:cs="Times New Roman"/>
          <w:color w:val="000000"/>
        </w:rPr>
        <w:t xml:space="preserve">losing an accurate blood sample due to the gradual </w:t>
      </w:r>
      <w:r>
        <w:rPr>
          <w:rFonts w:eastAsia="Times New Roman" w:cs="Times New Roman"/>
          <w:color w:val="000000"/>
        </w:rPr>
        <w:t>metabolization of any alcohol in the defendant’s blood.</w:t>
      </w:r>
      <w:r>
        <w:rPr>
          <w:rFonts w:eastAsia="Times New Roman" w:cs="Times New Roman"/>
          <w:color w:val="000000"/>
        </w:rPr>
        <w:t xml:space="preserve"> </w:t>
      </w:r>
      <w:r>
        <w:rPr>
          <w:rFonts w:eastAsia="Times New Roman" w:cs="Times New Roman"/>
          <w:color w:val="000000"/>
        </w:rPr>
        <w:t xml:space="preserve"> </w:t>
      </w:r>
      <w:r w:rsidRPr="00E52C01">
        <w:rPr>
          <w:rFonts w:eastAsia="Times New Roman" w:cs="Times New Roman"/>
          <w:color w:val="000000"/>
        </w:rPr>
        <w:t>(</w:t>
      </w:r>
      <w:r w:rsidRPr="00E52C01">
        <w:rPr>
          <w:rFonts w:eastAsia="Times New Roman" w:cs="Times New Roman"/>
          <w:i/>
          <w:color w:val="000000"/>
        </w:rPr>
        <w:t>Id.</w:t>
      </w:r>
      <w:r w:rsidRPr="00E52C01">
        <w:rPr>
          <w:rFonts w:eastAsia="Times New Roman" w:cs="Times New Roman"/>
          <w:color w:val="000000"/>
        </w:rPr>
        <w:t xml:space="preserve"> at pp. </w:t>
      </w:r>
      <w:r>
        <w:rPr>
          <w:rFonts w:eastAsia="Times New Roman" w:cs="Times New Roman"/>
          <w:color w:val="000000"/>
        </w:rPr>
        <w:t>770</w:t>
      </w:r>
      <w:r>
        <w:rPr>
          <w:rFonts w:eastAsia="Times New Roman" w:cs="Times New Roman"/>
          <w:color w:val="000000"/>
        </w:rPr>
        <w:t>–</w:t>
      </w:r>
      <w:r>
        <w:rPr>
          <w:rFonts w:eastAsia="Times New Roman" w:cs="Times New Roman"/>
          <w:color w:val="000000"/>
        </w:rPr>
        <w:t>771.)</w:t>
      </w:r>
      <w:r>
        <w:rPr>
          <w:rFonts w:eastAsia="Times New Roman" w:cs="Times New Roman"/>
          <w:color w:val="000000"/>
        </w:rPr>
        <w:t xml:space="preserve"> </w:t>
      </w:r>
      <w:r>
        <w:rPr>
          <w:rFonts w:eastAsia="Times New Roman" w:cs="Times New Roman"/>
          <w:color w:val="000000"/>
        </w:rPr>
        <w:t xml:space="preserve"> </w:t>
      </w:r>
      <w:r w:rsidRPr="008A7678">
        <w:rPr>
          <w:rFonts w:eastAsia="Times New Roman" w:cs="Times New Roman"/>
          <w:color w:val="000000"/>
        </w:rPr>
        <w:t xml:space="preserve">The high court </w:t>
      </w:r>
      <w:r>
        <w:rPr>
          <w:rFonts w:eastAsia="Times New Roman" w:cs="Times New Roman"/>
          <w:color w:val="000000"/>
        </w:rPr>
        <w:t xml:space="preserve">recognized the </w:t>
      </w:r>
      <w:r>
        <w:rPr>
          <w:rFonts w:eastAsia="Times New Roman" w:cs="Times New Roman"/>
          <w:color w:val="000000"/>
        </w:rPr>
        <w:t>dignity and privacy interests at stake w</w:t>
      </w:r>
      <w:r>
        <w:rPr>
          <w:rFonts w:eastAsia="Times New Roman" w:cs="Times New Roman"/>
          <w:color w:val="000000"/>
        </w:rPr>
        <w:t xml:space="preserve">ith </w:t>
      </w:r>
      <w:r>
        <w:rPr>
          <w:rFonts w:eastAsia="Times New Roman" w:cs="Times New Roman"/>
          <w:color w:val="000000"/>
        </w:rPr>
        <w:t xml:space="preserve">any forced </w:t>
      </w:r>
      <w:r>
        <w:rPr>
          <w:rFonts w:eastAsia="Times New Roman" w:cs="Times New Roman"/>
          <w:color w:val="000000"/>
        </w:rPr>
        <w:t>intrusion beyond the body’s surface</w:t>
      </w:r>
      <w:r>
        <w:rPr>
          <w:rFonts w:eastAsia="Times New Roman" w:cs="Times New Roman"/>
          <w:color w:val="000000"/>
        </w:rPr>
        <w:t xml:space="preserve">, but </w:t>
      </w:r>
      <w:r w:rsidRPr="008A7678">
        <w:rPr>
          <w:rFonts w:eastAsia="Times New Roman" w:cs="Times New Roman"/>
          <w:color w:val="000000"/>
        </w:rPr>
        <w:t xml:space="preserve">affirmed </w:t>
      </w:r>
      <w:r>
        <w:rPr>
          <w:rFonts w:eastAsia="Times New Roman" w:cs="Times New Roman"/>
          <w:color w:val="000000"/>
        </w:rPr>
        <w:t xml:space="preserve">the resulting conviction </w:t>
      </w:r>
      <w:r w:rsidRPr="008A7678">
        <w:rPr>
          <w:rFonts w:eastAsia="Times New Roman" w:cs="Times New Roman"/>
          <w:color w:val="000000"/>
        </w:rPr>
        <w:t xml:space="preserve">on the ground </w:t>
      </w:r>
      <w:r w:rsidRPr="008A7678">
        <w:t xml:space="preserve">the arresting officer “might reasonably have believed that he was confronted with an emergency, in which the delay </w:t>
      </w:r>
      <w:r w:rsidRPr="008A7678">
        <w:lastRenderedPageBreak/>
        <w:t xml:space="preserve">necessary to obtain a warrant, under the </w:t>
      </w:r>
      <w:r w:rsidRPr="0096492D">
        <w:t>circumstances, threatened ‘the destruction of evidence.</w:t>
      </w:r>
      <w:proofErr w:type="gramStart"/>
      <w:r w:rsidRPr="0096492D">
        <w:t>’ ”</w:t>
      </w:r>
      <w:proofErr w:type="gramEnd"/>
      <w:r w:rsidRPr="0096492D">
        <w:t xml:space="preserve">  (</w:t>
      </w:r>
      <w:r w:rsidRPr="0096492D">
        <w:rPr>
          <w:i/>
        </w:rPr>
        <w:t>Id.</w:t>
      </w:r>
      <w:r w:rsidRPr="0096492D">
        <w:t xml:space="preserve"> at p. 770.)  </w:t>
      </w:r>
    </w:p>
    <w:p w14:paraId="5AE628FF" w14:textId="77777777" w:rsidR="00AD3A06" w:rsidRPr="0096492D" w:rsidRDefault="00AD3A06" w:rsidP="0096492D">
      <w:pPr>
        <w:shd w:val="clear" w:color="auto" w:fill="FFFFFF"/>
      </w:pPr>
      <w:r w:rsidRPr="0096492D">
        <w:t xml:space="preserve">There the law </w:t>
      </w:r>
      <w:r>
        <w:t xml:space="preserve">of this state </w:t>
      </w:r>
      <w:r w:rsidRPr="0096492D">
        <w:t xml:space="preserve">stood for </w:t>
      </w:r>
      <w:r w:rsidRPr="0096492D">
        <w:t>decades</w:t>
      </w:r>
      <w:r w:rsidRPr="0096492D">
        <w:t xml:space="preserve">, </w:t>
      </w:r>
      <w:r w:rsidRPr="0096492D">
        <w:t xml:space="preserve">with California courts uniformly holding </w:t>
      </w:r>
      <w:r w:rsidRPr="0096492D">
        <w:t>the Fourth Amendment permit</w:t>
      </w:r>
      <w:r w:rsidRPr="0096492D">
        <w:t>s</w:t>
      </w:r>
      <w:r w:rsidRPr="0096492D">
        <w:t xml:space="preserve"> unconsented,</w:t>
      </w:r>
      <w:r w:rsidRPr="0096492D">
        <w:t xml:space="preserve"> </w:t>
      </w:r>
      <w:r w:rsidRPr="0096492D">
        <w:t xml:space="preserve">warrantless blood draws </w:t>
      </w:r>
      <w:r w:rsidRPr="0096492D">
        <w:t xml:space="preserve">in DUI investigations under the exigent </w:t>
      </w:r>
      <w:proofErr w:type="gramStart"/>
      <w:r w:rsidRPr="0096492D">
        <w:t>circumstances</w:t>
      </w:r>
      <w:proofErr w:type="gramEnd"/>
      <w:r w:rsidRPr="0096492D">
        <w:t xml:space="preserve"> exception recognized in </w:t>
      </w:r>
      <w:r w:rsidRPr="0096492D">
        <w:rPr>
          <w:i/>
          <w:iCs/>
        </w:rPr>
        <w:t>Schmerber</w:t>
      </w:r>
      <w:r w:rsidRPr="0096492D">
        <w:t xml:space="preserve">. </w:t>
      </w:r>
      <w:r w:rsidRPr="0096492D">
        <w:t xml:space="preserve"> (</w:t>
      </w:r>
      <w:r>
        <w:t xml:space="preserve">See </w:t>
      </w:r>
      <w:r w:rsidRPr="0096492D">
        <w:rPr>
          <w:rFonts w:eastAsia="Times New Roman" w:cs="Times New Roman"/>
          <w:i/>
          <w:iCs/>
          <w:color w:val="3D3D3D"/>
          <w:bdr w:val="none" w:sz="0" w:space="0" w:color="auto" w:frame="1"/>
        </w:rPr>
        <w:t>People v. Harris</w:t>
      </w:r>
      <w:r w:rsidRPr="0096492D">
        <w:rPr>
          <w:rFonts w:eastAsia="Times New Roman" w:cs="Times New Roman"/>
          <w:color w:val="000000"/>
        </w:rPr>
        <w:t xml:space="preserve"> (2015) 234</w:t>
      </w:r>
      <w:r>
        <w:rPr>
          <w:rFonts w:eastAsia="Times New Roman" w:cs="Times New Roman"/>
          <w:color w:val="000000"/>
        </w:rPr>
        <w:t> </w:t>
      </w:r>
      <w:r w:rsidRPr="0096492D">
        <w:rPr>
          <w:rFonts w:eastAsia="Times New Roman" w:cs="Times New Roman"/>
          <w:color w:val="000000"/>
        </w:rPr>
        <w:t xml:space="preserve">Cal.App.4th 671, 702.) </w:t>
      </w:r>
      <w:r w:rsidRPr="00633265">
        <w:rPr>
          <w:rFonts w:eastAsia="Times New Roman" w:cs="Times New Roman"/>
          <w:color w:val="000000"/>
        </w:rPr>
        <w:t xml:space="preserve"> </w:t>
      </w:r>
      <w:r w:rsidRPr="00633265">
        <w:rPr>
          <w:rFonts w:eastAsia="Times New Roman" w:cs="Times New Roman"/>
          <w:color w:val="000000"/>
        </w:rPr>
        <w:t>But</w:t>
      </w:r>
      <w:r w:rsidRPr="00633265">
        <w:rPr>
          <w:rFonts w:eastAsia="Times New Roman" w:cs="Times New Roman"/>
          <w:color w:val="000000"/>
        </w:rPr>
        <w:t xml:space="preserve"> </w:t>
      </w:r>
      <w:r w:rsidRPr="0096492D">
        <w:rPr>
          <w:i/>
          <w:iCs/>
        </w:rPr>
        <w:t>McNeely</w:t>
      </w:r>
      <w:r w:rsidRPr="00633265">
        <w:t>,</w:t>
      </w:r>
      <w:r w:rsidRPr="0096492D">
        <w:t xml:space="preserve"> decided</w:t>
      </w:r>
      <w:r w:rsidRPr="00633265">
        <w:t xml:space="preserve"> in 2013</w:t>
      </w:r>
      <w:r w:rsidRPr="00633265">
        <w:t>,</w:t>
      </w:r>
      <w:r>
        <w:t xml:space="preserve"> </w:t>
      </w:r>
      <w:r w:rsidRPr="0096492D">
        <w:t xml:space="preserve">was a gamechanger. </w:t>
      </w:r>
      <w:r>
        <w:t xml:space="preserve"> There, the </w:t>
      </w:r>
      <w:r>
        <w:t xml:space="preserve">high court </w:t>
      </w:r>
      <w:r w:rsidRPr="0096492D">
        <w:t xml:space="preserve">held </w:t>
      </w:r>
      <w:r w:rsidRPr="0096492D">
        <w:t xml:space="preserve">that </w:t>
      </w:r>
      <w:r w:rsidRPr="0096492D">
        <w:t xml:space="preserve">the natural </w:t>
      </w:r>
      <w:r w:rsidRPr="0096492D">
        <w:t>metabolization of alcohol in the bloodstream d</w:t>
      </w:r>
      <w:r w:rsidRPr="0096492D">
        <w:t xml:space="preserve">oes </w:t>
      </w:r>
      <w:r w:rsidRPr="0096492D">
        <w:rPr>
          <w:i/>
          <w:iCs/>
        </w:rPr>
        <w:t>not</w:t>
      </w:r>
      <w:r w:rsidRPr="0096492D">
        <w:t xml:space="preserve"> establish “a </w:t>
      </w:r>
      <w:r w:rsidRPr="0096492D">
        <w:rPr>
          <w:i/>
          <w:iCs/>
        </w:rPr>
        <w:t>per se</w:t>
      </w:r>
      <w:r w:rsidRPr="0096492D">
        <w:t xml:space="preserve"> exigency” justifying an exception to the Fourth Amendment’s warrant requirement in all drunk-driving cases.  (</w:t>
      </w:r>
      <w:r w:rsidRPr="0096492D">
        <w:rPr>
          <w:i/>
          <w:iCs/>
        </w:rPr>
        <w:t>McNeely</w:t>
      </w:r>
      <w:r w:rsidRPr="0096492D">
        <w:t xml:space="preserve">, </w:t>
      </w:r>
      <w:r w:rsidRPr="0096492D">
        <w:rPr>
          <w:i/>
          <w:iCs/>
        </w:rPr>
        <w:t>supra</w:t>
      </w:r>
      <w:r w:rsidRPr="0096492D">
        <w:t>, 569</w:t>
      </w:r>
      <w:r>
        <w:t> </w:t>
      </w:r>
      <w:r w:rsidRPr="0096492D">
        <w:t>U.S. at p. 145.)  Instead, the court held, “exigency in this context must be determined case by case based on the totality of the circumstances.”</w:t>
      </w:r>
      <w:r w:rsidRPr="0096492D">
        <w:t xml:space="preserve">  (</w:t>
      </w:r>
      <w:r w:rsidRPr="0096492D">
        <w:rPr>
          <w:i/>
        </w:rPr>
        <w:t>Ibid.</w:t>
      </w:r>
      <w:r w:rsidRPr="0096492D">
        <w:t>)</w:t>
      </w:r>
    </w:p>
    <w:p w14:paraId="4ABFA3DD" w14:textId="77777777" w:rsidR="00AD3A06" w:rsidRPr="00633265" w:rsidRDefault="00AD3A06" w:rsidP="00633265">
      <w:pPr>
        <w:shd w:val="clear" w:color="auto" w:fill="FFFFFF"/>
      </w:pPr>
      <w:r w:rsidRPr="00557094">
        <w:rPr>
          <w:i/>
          <w:iCs/>
        </w:rPr>
        <w:t>McNeely</w:t>
      </w:r>
      <w:r w:rsidRPr="00633265">
        <w:t xml:space="preserve"> is just as important for what it does decide as it is for what it does not decide.</w:t>
      </w:r>
      <w:r w:rsidRPr="00633265">
        <w:t xml:space="preserve">  </w:t>
      </w:r>
      <w:r w:rsidRPr="00633265">
        <w:t>Exigency is only one of several recognized exceptions to the Fourth Amendment warrant requirement, and</w:t>
      </w:r>
      <w:r w:rsidRPr="00633265">
        <w:t xml:space="preserve"> </w:t>
      </w:r>
      <w:r w:rsidRPr="00557094">
        <w:rPr>
          <w:i/>
          <w:iCs/>
        </w:rPr>
        <w:t>McNeely</w:t>
      </w:r>
      <w:r w:rsidRPr="00633265">
        <w:t xml:space="preserve"> addresses only one of them—the exigency exception for emergency circumstances. </w:t>
      </w:r>
      <w:r w:rsidRPr="00633265">
        <w:t xml:space="preserve"> </w:t>
      </w:r>
      <w:r w:rsidRPr="0096492D">
        <w:t>(</w:t>
      </w:r>
      <w:r w:rsidRPr="0096492D">
        <w:rPr>
          <w:i/>
          <w:iCs/>
        </w:rPr>
        <w:t>McNeely</w:t>
      </w:r>
      <w:r w:rsidRPr="0096492D">
        <w:t xml:space="preserve">, </w:t>
      </w:r>
      <w:r w:rsidRPr="0096492D">
        <w:rPr>
          <w:i/>
          <w:iCs/>
        </w:rPr>
        <w:t>supra</w:t>
      </w:r>
      <w:r w:rsidRPr="0096492D">
        <w:t>, 569</w:t>
      </w:r>
      <w:r>
        <w:t> </w:t>
      </w:r>
      <w:r w:rsidRPr="0096492D">
        <w:t>U.S. at p</w:t>
      </w:r>
      <w:r>
        <w:t>p</w:t>
      </w:r>
      <w:r w:rsidRPr="0096492D">
        <w:t>. 14</w:t>
      </w:r>
      <w:r>
        <w:t>8</w:t>
      </w:r>
      <w:r>
        <w:t>–</w:t>
      </w:r>
      <w:r>
        <w:t>149</w:t>
      </w:r>
      <w:r w:rsidRPr="0096492D">
        <w:t>.)</w:t>
      </w:r>
      <w:r>
        <w:t xml:space="preserve">  </w:t>
      </w:r>
      <w:r w:rsidRPr="00633265">
        <w:t xml:space="preserve">In addition, while </w:t>
      </w:r>
      <w:r w:rsidRPr="00633265">
        <w:t>Justice Sot</w:t>
      </w:r>
      <w:r w:rsidRPr="00633265">
        <w:t>o</w:t>
      </w:r>
      <w:r w:rsidRPr="00633265">
        <w:t xml:space="preserve">mayor’s opinion </w:t>
      </w:r>
      <w:r w:rsidRPr="00633265">
        <w:t xml:space="preserve">for </w:t>
      </w:r>
      <w:r w:rsidRPr="00633265">
        <w:t>the f</w:t>
      </w:r>
      <w:r w:rsidRPr="00633265">
        <w:t xml:space="preserve">ive justice </w:t>
      </w:r>
      <w:r w:rsidRPr="00557094">
        <w:rPr>
          <w:i/>
          <w:iCs/>
        </w:rPr>
        <w:t>McNeely</w:t>
      </w:r>
      <w:r w:rsidRPr="00633265">
        <w:t xml:space="preserve"> </w:t>
      </w:r>
      <w:r w:rsidRPr="00633265">
        <w:t xml:space="preserve">majority </w:t>
      </w:r>
      <w:r w:rsidRPr="00633265">
        <w:t>re</w:t>
      </w:r>
      <w:r w:rsidRPr="00633265">
        <w:t>jects the idea of per se exigency</w:t>
      </w:r>
      <w:r w:rsidRPr="00633265">
        <w:t xml:space="preserve">, she failed to garner a fifth vote for </w:t>
      </w:r>
      <w:r w:rsidRPr="00633265">
        <w:t xml:space="preserve">section </w:t>
      </w:r>
      <w:r>
        <w:t>III</w:t>
      </w:r>
      <w:r w:rsidRPr="00633265">
        <w:t xml:space="preserve"> of </w:t>
      </w:r>
      <w:r w:rsidRPr="00633265">
        <w:t xml:space="preserve">the </w:t>
      </w:r>
      <w:r w:rsidRPr="00633265">
        <w:t>opinion</w:t>
      </w:r>
      <w:r w:rsidRPr="00633265">
        <w:t xml:space="preserve"> discussing a</w:t>
      </w:r>
      <w:r w:rsidRPr="00633265">
        <w:t>n</w:t>
      </w:r>
      <w:r w:rsidRPr="00633265">
        <w:t xml:space="preserve"> </w:t>
      </w:r>
      <w:r w:rsidRPr="00633265">
        <w:t>issue relevant to this case</w:t>
      </w:r>
      <w:r w:rsidRPr="00633265">
        <w:t xml:space="preserve">—the </w:t>
      </w:r>
      <w:r w:rsidRPr="00633265">
        <w:t xml:space="preserve">power of the states to use implied consent laws to </w:t>
      </w:r>
      <w:r w:rsidRPr="00633265">
        <w:t>enforce their DUI laws consonant with the Fourth Amendment</w:t>
      </w:r>
      <w:r w:rsidRPr="00633265">
        <w:t>.</w:t>
      </w:r>
    </w:p>
    <w:p w14:paraId="34FE3E56" w14:textId="77777777" w:rsidR="00AD3A06" w:rsidRPr="00633265" w:rsidRDefault="00AD3A06" w:rsidP="00633265">
      <w:pPr>
        <w:shd w:val="clear" w:color="auto" w:fill="FFFFFF"/>
      </w:pPr>
      <w:r w:rsidRPr="00633265">
        <w:t xml:space="preserve">In Section </w:t>
      </w:r>
      <w:r>
        <w:t>III</w:t>
      </w:r>
      <w:r w:rsidRPr="00633265">
        <w:t xml:space="preserve">, the </w:t>
      </w:r>
      <w:r w:rsidRPr="00633265">
        <w:rPr>
          <w:i/>
          <w:iCs/>
        </w:rPr>
        <w:t>McNeely</w:t>
      </w:r>
      <w:r w:rsidRPr="00633265">
        <w:t xml:space="preserve"> plurality state</w:t>
      </w:r>
      <w:r w:rsidRPr="00633265">
        <w:t>s</w:t>
      </w:r>
      <w:proofErr w:type="gramStart"/>
      <w:r>
        <w:t>:</w:t>
      </w:r>
      <w:r w:rsidRPr="00633265">
        <w:t xml:space="preserve"> </w:t>
      </w:r>
      <w:r>
        <w:t xml:space="preserve"> </w:t>
      </w:r>
      <w:r w:rsidRPr="00633265">
        <w:t>“</w:t>
      </w:r>
      <w:proofErr w:type="gramEnd"/>
      <w:r w:rsidRPr="00633265">
        <w:rPr>
          <w:rFonts w:eastAsia="Times New Roman" w:cs="Times New Roman"/>
          <w:color w:val="000000"/>
        </w:rPr>
        <w:t xml:space="preserve">States have a broad range of legal tools to enforce their drunk-driving laws and to secure BAC evidence without undertaking warrantless nonconsensual blood draws. </w:t>
      </w:r>
      <w:r>
        <w:rPr>
          <w:rFonts w:eastAsia="Times New Roman" w:cs="Times New Roman"/>
          <w:color w:val="000000"/>
        </w:rPr>
        <w:t xml:space="preserve"> </w:t>
      </w:r>
      <w:r w:rsidRPr="00633265">
        <w:rPr>
          <w:rFonts w:eastAsia="Times New Roman" w:cs="Times New Roman"/>
          <w:color w:val="000000"/>
        </w:rPr>
        <w:t xml:space="preserve">For example, all 50 States </w:t>
      </w:r>
      <w:r w:rsidRPr="00633265">
        <w:rPr>
          <w:rFonts w:eastAsia="Times New Roman" w:cs="Times New Roman"/>
          <w:color w:val="000000"/>
        </w:rPr>
        <w:t xml:space="preserve">have adopted implied consent laws that require motorists, as a </w:t>
      </w:r>
      <w:r w:rsidRPr="00633265">
        <w:rPr>
          <w:rFonts w:eastAsia="Times New Roman" w:cs="Times New Roman"/>
          <w:color w:val="000000"/>
        </w:rPr>
        <w:lastRenderedPageBreak/>
        <w:t>condition of operating a motor vehicle within the State, to consent to BAC testing if they are arrested or otherwise detained on suspicion of a drunk-driving offense.</w:t>
      </w:r>
      <w:r>
        <w:rPr>
          <w:rFonts w:eastAsia="Times New Roman" w:cs="Times New Roman"/>
          <w:color w:val="000000"/>
        </w:rPr>
        <w:t xml:space="preserve">  </w:t>
      </w:r>
      <w:r>
        <w:rPr>
          <w:rFonts w:eastAsia="Times New Roman" w:cs="Times New Roman"/>
          <w:color w:val="000000"/>
        </w:rPr>
        <w:t>[Citation.]</w:t>
      </w:r>
      <w:r w:rsidRPr="00633265">
        <w:rPr>
          <w:color w:val="000000"/>
        </w:rPr>
        <w:t xml:space="preserve">  </w:t>
      </w:r>
      <w:r w:rsidRPr="00633265">
        <w:rPr>
          <w:rFonts w:eastAsia="Times New Roman" w:cs="Times New Roman"/>
          <w:color w:val="000000"/>
        </w:rPr>
        <w:t xml:space="preserve">Such laws impose significant consequences when a motorist withdraws consent; </w:t>
      </w:r>
      <w:proofErr w:type="gramStart"/>
      <w:r w:rsidRPr="00633265">
        <w:rPr>
          <w:rFonts w:eastAsia="Times New Roman" w:cs="Times New Roman"/>
          <w:color w:val="000000"/>
        </w:rPr>
        <w:t>typically</w:t>
      </w:r>
      <w:proofErr w:type="gramEnd"/>
      <w:r w:rsidRPr="00633265">
        <w:rPr>
          <w:rFonts w:eastAsia="Times New Roman" w:cs="Times New Roman"/>
          <w:color w:val="000000"/>
        </w:rPr>
        <w:t xml:space="preserve"> the motorist</w:t>
      </w:r>
      <w:r>
        <w:rPr>
          <w:rFonts w:eastAsia="Times New Roman" w:cs="Times New Roman"/>
          <w:color w:val="000000"/>
        </w:rPr>
        <w:t>’</w:t>
      </w:r>
      <w:r w:rsidRPr="00633265">
        <w:rPr>
          <w:rFonts w:eastAsia="Times New Roman" w:cs="Times New Roman"/>
          <w:color w:val="000000"/>
        </w:rPr>
        <w:t>s driver</w:t>
      </w:r>
      <w:r>
        <w:rPr>
          <w:rFonts w:eastAsia="Times New Roman" w:cs="Times New Roman"/>
          <w:color w:val="000000"/>
        </w:rPr>
        <w:t>’</w:t>
      </w:r>
      <w:r w:rsidRPr="00633265">
        <w:rPr>
          <w:rFonts w:eastAsia="Times New Roman" w:cs="Times New Roman"/>
          <w:color w:val="000000"/>
        </w:rPr>
        <w:t>s license is immediately suspended or revoked, and most States allow the motorist</w:t>
      </w:r>
      <w:r>
        <w:rPr>
          <w:rFonts w:eastAsia="Times New Roman" w:cs="Times New Roman"/>
          <w:color w:val="000000"/>
        </w:rPr>
        <w:t>’</w:t>
      </w:r>
      <w:r w:rsidRPr="00633265">
        <w:rPr>
          <w:rFonts w:eastAsia="Times New Roman" w:cs="Times New Roman"/>
          <w:color w:val="000000"/>
        </w:rPr>
        <w:t>s refusal to take a BAC test to be used as evidence against him in a subseque</w:t>
      </w:r>
      <w:r w:rsidRPr="00633265">
        <w:rPr>
          <w:rFonts w:eastAsia="Times New Roman" w:cs="Times New Roman"/>
          <w:color w:val="000000"/>
        </w:rPr>
        <w:t>nt criminal prosecution.</w:t>
      </w:r>
      <w:r w:rsidRPr="00633265">
        <w:rPr>
          <w:rFonts w:eastAsia="Times New Roman" w:cs="Times New Roman"/>
          <w:color w:val="000000"/>
        </w:rPr>
        <w:t>”</w:t>
      </w:r>
      <w:r>
        <w:rPr>
          <w:rStyle w:val="FootnoteReference"/>
          <w:rFonts w:eastAsia="Times New Roman" w:cs="Times New Roman"/>
          <w:color w:val="000000"/>
        </w:rPr>
        <w:footnoteReference w:id="8"/>
      </w:r>
      <w:r w:rsidRPr="00633265">
        <w:rPr>
          <w:rFonts w:eastAsia="Times New Roman" w:cs="Times New Roman"/>
          <w:color w:val="000000"/>
        </w:rPr>
        <w:t xml:space="preserve"> </w:t>
      </w:r>
      <w:r w:rsidRPr="00633265">
        <w:rPr>
          <w:rFonts w:eastAsia="Times New Roman" w:cs="Times New Roman"/>
          <w:color w:val="000000"/>
        </w:rPr>
        <w:t xml:space="preserve"> </w:t>
      </w:r>
      <w:r w:rsidRPr="0096492D">
        <w:t>(</w:t>
      </w:r>
      <w:r w:rsidRPr="0096492D">
        <w:rPr>
          <w:i/>
          <w:iCs/>
        </w:rPr>
        <w:t>McNeely</w:t>
      </w:r>
      <w:r w:rsidRPr="0096492D">
        <w:t xml:space="preserve">, </w:t>
      </w:r>
      <w:r w:rsidRPr="0096492D">
        <w:rPr>
          <w:i/>
          <w:iCs/>
        </w:rPr>
        <w:t>supra</w:t>
      </w:r>
      <w:r w:rsidRPr="0096492D">
        <w:t>, 569</w:t>
      </w:r>
      <w:r>
        <w:t> </w:t>
      </w:r>
      <w:r w:rsidRPr="0096492D">
        <w:t>U.S. at p</w:t>
      </w:r>
      <w:r>
        <w:t>p</w:t>
      </w:r>
      <w:r w:rsidRPr="0096492D">
        <w:t>. 1</w:t>
      </w:r>
      <w:r>
        <w:t>60</w:t>
      </w:r>
      <w:r>
        <w:t>–</w:t>
      </w:r>
      <w:r>
        <w:t>1</w:t>
      </w:r>
      <w:r>
        <w:t>61 (</w:t>
      </w:r>
      <w:proofErr w:type="spellStart"/>
      <w:r>
        <w:t>plur</w:t>
      </w:r>
      <w:proofErr w:type="spellEnd"/>
      <w:r>
        <w:t xml:space="preserve">. </w:t>
      </w:r>
      <w:proofErr w:type="spellStart"/>
      <w:r>
        <w:t>opn</w:t>
      </w:r>
      <w:proofErr w:type="spellEnd"/>
      <w:r>
        <w:t>. of Sotomayor, J.)</w:t>
      </w:r>
      <w:r w:rsidRPr="0096492D">
        <w:t>.)</w:t>
      </w:r>
      <w:r w:rsidRPr="00633265">
        <w:rPr>
          <w:rFonts w:eastAsia="Times New Roman" w:cs="Times New Roman"/>
          <w:color w:val="000000"/>
        </w:rPr>
        <w:t xml:space="preserve"> </w:t>
      </w:r>
      <w:r w:rsidRPr="00633265">
        <w:rPr>
          <w:rFonts w:eastAsia="Times New Roman" w:cs="Times New Roman"/>
          <w:color w:val="000000"/>
        </w:rPr>
        <w:t xml:space="preserve"> </w:t>
      </w:r>
    </w:p>
    <w:p w14:paraId="18AA360C" w14:textId="77777777" w:rsidR="00AD3A06" w:rsidRDefault="00AD3A06" w:rsidP="00D64EB5">
      <w:r>
        <w:t xml:space="preserve">Three years after </w:t>
      </w:r>
      <w:r w:rsidRPr="007523B7">
        <w:rPr>
          <w:i/>
          <w:iCs/>
        </w:rPr>
        <w:t>McNeely</w:t>
      </w:r>
      <w:r>
        <w:t xml:space="preserve"> </w:t>
      </w:r>
      <w:r>
        <w:t xml:space="preserve">clarified </w:t>
      </w:r>
      <w:r w:rsidRPr="009C50A5">
        <w:rPr>
          <w:i/>
          <w:iCs/>
        </w:rPr>
        <w:t>Schmerber</w:t>
      </w:r>
      <w:r>
        <w:t xml:space="preserve">’s application of the </w:t>
      </w:r>
      <w:r w:rsidRPr="00633265">
        <w:t xml:space="preserve">exigent </w:t>
      </w:r>
      <w:proofErr w:type="gramStart"/>
      <w:r w:rsidRPr="00633265">
        <w:t>circumstances</w:t>
      </w:r>
      <w:proofErr w:type="gramEnd"/>
      <w:r w:rsidRPr="00633265">
        <w:t xml:space="preserve"> </w:t>
      </w:r>
      <w:r w:rsidRPr="00633265">
        <w:t>exception</w:t>
      </w:r>
      <w:r w:rsidRPr="00633265">
        <w:t xml:space="preserve"> for warrantless searches in DUI cases</w:t>
      </w:r>
      <w:r>
        <w:t xml:space="preserve">, </w:t>
      </w:r>
      <w:r>
        <w:t xml:space="preserve">the </w:t>
      </w:r>
      <w:r w:rsidRPr="00A164FE">
        <w:rPr>
          <w:i/>
          <w:iCs/>
        </w:rPr>
        <w:t>Birchfield</w:t>
      </w:r>
      <w:r>
        <w:t xml:space="preserve"> </w:t>
      </w:r>
      <w:r>
        <w:t xml:space="preserve">court </w:t>
      </w:r>
      <w:r>
        <w:t xml:space="preserve">added another new element to </w:t>
      </w:r>
      <w:r>
        <w:t xml:space="preserve">Fourth Amendment law </w:t>
      </w:r>
      <w:r>
        <w:t xml:space="preserve">governing </w:t>
      </w:r>
      <w:r w:rsidRPr="00633265">
        <w:t>those searches</w:t>
      </w:r>
      <w:r w:rsidRPr="00633265">
        <w:t>.</w:t>
      </w:r>
      <w:r>
        <w:t xml:space="preserve">  </w:t>
      </w:r>
      <w:r>
        <w:t xml:space="preserve">Some of the other </w:t>
      </w:r>
      <w:r>
        <w:t xml:space="preserve">exceptions to the warrant requirement, unlike the exigent </w:t>
      </w:r>
      <w:proofErr w:type="gramStart"/>
      <w:r>
        <w:t>circumstances</w:t>
      </w:r>
      <w:proofErr w:type="gramEnd"/>
      <w:r>
        <w:t xml:space="preserve"> exc</w:t>
      </w:r>
      <w:r>
        <w:t>eption</w:t>
      </w:r>
      <w:r>
        <w:t xml:space="preserve"> addressed in </w:t>
      </w:r>
      <w:r w:rsidRPr="00061EEB">
        <w:rPr>
          <w:i/>
          <w:iCs/>
        </w:rPr>
        <w:t>Schmerber</w:t>
      </w:r>
      <w:r>
        <w:t xml:space="preserve"> and </w:t>
      </w:r>
      <w:r w:rsidRPr="00061EEB">
        <w:rPr>
          <w:i/>
          <w:iCs/>
        </w:rPr>
        <w:t>McNeely</w:t>
      </w:r>
      <w:r>
        <w:t xml:space="preserve">, apply categorically rather than on a totality of the circumstances, </w:t>
      </w:r>
      <w:proofErr w:type="gramStart"/>
      <w:r>
        <w:t>case</w:t>
      </w:r>
      <w:proofErr w:type="gramEnd"/>
      <w:r>
        <w:t xml:space="preserve">-by-case basis. </w:t>
      </w:r>
      <w:r>
        <w:t xml:space="preserve"> </w:t>
      </w:r>
      <w:r w:rsidRPr="00682A2F">
        <w:rPr>
          <w:i/>
          <w:iCs/>
        </w:rPr>
        <w:t>Birchfield</w:t>
      </w:r>
      <w:r>
        <w:t xml:space="preserve"> </w:t>
      </w:r>
      <w:r w:rsidRPr="00633265">
        <w:t xml:space="preserve">not only </w:t>
      </w:r>
      <w:r>
        <w:t xml:space="preserve">involved </w:t>
      </w:r>
      <w:r w:rsidRPr="00633265">
        <w:t>one</w:t>
      </w:r>
      <w:r>
        <w:t xml:space="preserve"> of these categorical exceptions—</w:t>
      </w:r>
      <w:r>
        <w:t xml:space="preserve">the </w:t>
      </w:r>
      <w:r>
        <w:t>search</w:t>
      </w:r>
      <w:r>
        <w:t>-</w:t>
      </w:r>
      <w:r>
        <w:t>incident</w:t>
      </w:r>
      <w:r>
        <w:t>-</w:t>
      </w:r>
      <w:r>
        <w:t>to</w:t>
      </w:r>
      <w:r>
        <w:t>-</w:t>
      </w:r>
      <w:r>
        <w:t>arrest</w:t>
      </w:r>
      <w:r>
        <w:t xml:space="preserve"> exception</w:t>
      </w:r>
      <w:r w:rsidRPr="00633265">
        <w:t xml:space="preserve">—but directly </w:t>
      </w:r>
      <w:r w:rsidRPr="00633265">
        <w:t xml:space="preserve">addressed implied </w:t>
      </w:r>
      <w:r w:rsidRPr="00633265">
        <w:t>consent laws</w:t>
      </w:r>
      <w:r>
        <w:t xml:space="preserve"> as well</w:t>
      </w:r>
      <w:r w:rsidRPr="00633265">
        <w:t xml:space="preserve">. </w:t>
      </w:r>
      <w:r>
        <w:t xml:space="preserve">  </w:t>
      </w:r>
    </w:p>
    <w:p w14:paraId="54E824CD" w14:textId="77777777" w:rsidR="00AD3A06" w:rsidRDefault="00AD3A06" w:rsidP="008D1308">
      <w:r w:rsidRPr="00633265">
        <w:t>The main issue in</w:t>
      </w:r>
      <w:r w:rsidRPr="00633265">
        <w:rPr>
          <w:i/>
          <w:iCs/>
        </w:rPr>
        <w:t xml:space="preserve"> </w:t>
      </w:r>
      <w:r w:rsidRPr="00633265">
        <w:rPr>
          <w:i/>
          <w:iCs/>
        </w:rPr>
        <w:t>Birchfield</w:t>
      </w:r>
      <w:r w:rsidRPr="00633265">
        <w:t xml:space="preserve"> </w:t>
      </w:r>
      <w:r w:rsidRPr="00633265">
        <w:t>was</w:t>
      </w:r>
      <w:r>
        <w:t xml:space="preserve"> </w:t>
      </w:r>
      <w:r>
        <w:t xml:space="preserve">whether the Fourth Amendment limits the operation of state laws that impose penalties on drivers who refuse to undergo </w:t>
      </w:r>
      <w:r>
        <w:t xml:space="preserve">chemical </w:t>
      </w:r>
      <w:r>
        <w:t xml:space="preserve">testing required </w:t>
      </w:r>
      <w:r>
        <w:t xml:space="preserve">by </w:t>
      </w:r>
      <w:r>
        <w:t>implied consent</w:t>
      </w:r>
      <w:r>
        <w:t xml:space="preserve"> laws. </w:t>
      </w:r>
      <w:r>
        <w:t xml:space="preserve"> (</w:t>
      </w:r>
      <w:r w:rsidRPr="00844AA8">
        <w:rPr>
          <w:i/>
          <w:iCs/>
        </w:rPr>
        <w:t>Birchfield</w:t>
      </w:r>
      <w:r>
        <w:rPr>
          <w:i/>
          <w:iCs/>
        </w:rPr>
        <w:t xml:space="preserve">, </w:t>
      </w:r>
      <w:r>
        <w:rPr>
          <w:i/>
          <w:iCs/>
        </w:rPr>
        <w:lastRenderedPageBreak/>
        <w:t>supra,</w:t>
      </w:r>
      <w:r w:rsidRPr="00844AA8">
        <w:rPr>
          <w:i/>
          <w:iCs/>
        </w:rPr>
        <w:t xml:space="preserve"> </w:t>
      </w:r>
      <w:r>
        <w:t>579</w:t>
      </w:r>
      <w:r>
        <w:t> </w:t>
      </w:r>
      <w:r>
        <w:t>U.S. at p</w:t>
      </w:r>
      <w:r>
        <w:t>p</w:t>
      </w:r>
      <w:r>
        <w:t>. 443</w:t>
      </w:r>
      <w:r>
        <w:t>–</w:t>
      </w:r>
      <w:r>
        <w:t>444</w:t>
      </w:r>
      <w:r>
        <w:t>.)</w:t>
      </w:r>
      <w:r>
        <w:t xml:space="preserve">  While the “typical penalty for noncompliance” </w:t>
      </w:r>
      <w:r>
        <w:t>“[</w:t>
      </w:r>
      <w:proofErr w:type="spellStart"/>
      <w:r>
        <w:t>i</w:t>
      </w:r>
      <w:proofErr w:type="spellEnd"/>
      <w:r>
        <w:t>]</w:t>
      </w:r>
      <w:r>
        <w:t>n the past</w:t>
      </w:r>
      <w:r>
        <w:t>”</w:t>
      </w:r>
      <w:r>
        <w:t xml:space="preserve"> was “suspension or revocation of the motorist’s license,” the </w:t>
      </w:r>
      <w:r>
        <w:t xml:space="preserve">North Dakota and Minnesota </w:t>
      </w:r>
      <w:r>
        <w:t xml:space="preserve">laws at </w:t>
      </w:r>
      <w:r>
        <w:t>issue in</w:t>
      </w:r>
      <w:r>
        <w:t xml:space="preserve"> </w:t>
      </w:r>
      <w:r w:rsidRPr="008D1308">
        <w:rPr>
          <w:i/>
          <w:iCs/>
        </w:rPr>
        <w:t>Birchfield</w:t>
      </w:r>
      <w:r>
        <w:t xml:space="preserve"> </w:t>
      </w:r>
      <w:r>
        <w:t xml:space="preserve">went </w:t>
      </w:r>
      <w:r>
        <w:t xml:space="preserve">“beyond that and </w:t>
      </w:r>
      <w:r>
        <w:t>[made]</w:t>
      </w:r>
      <w:r>
        <w:t xml:space="preserve"> it a crime for a motorist to refuse to be tested after being lawfully arrested for driving while impaired.”  (</w:t>
      </w:r>
      <w:r>
        <w:rPr>
          <w:i/>
        </w:rPr>
        <w:t>Id.</w:t>
      </w:r>
      <w:r>
        <w:t xml:space="preserve"> at p. 444</w:t>
      </w:r>
      <w:r>
        <w:t xml:space="preserve">; see </w:t>
      </w:r>
      <w:r w:rsidRPr="00BD6F17">
        <w:rPr>
          <w:i/>
          <w:iCs/>
        </w:rPr>
        <w:t>id.</w:t>
      </w:r>
      <w:r>
        <w:t xml:space="preserve"> at pp.</w:t>
      </w:r>
      <w:r>
        <w:t> </w:t>
      </w:r>
      <w:r>
        <w:t>449</w:t>
      </w:r>
      <w:r>
        <w:t>–</w:t>
      </w:r>
      <w:r>
        <w:t>450</w:t>
      </w:r>
      <w:r>
        <w:t>.)</w:t>
      </w:r>
      <w:r>
        <w:t xml:space="preserve">  </w:t>
      </w:r>
      <w:r>
        <w:t>The court considered “whether such laws violate the Fourth Amendment’s prohibition against unreasonable searches.”  (</w:t>
      </w:r>
      <w:r>
        <w:rPr>
          <w:i/>
        </w:rPr>
        <w:t>Id.</w:t>
      </w:r>
      <w:r>
        <w:rPr>
          <w:iCs/>
        </w:rPr>
        <w:t xml:space="preserve"> at p. 444</w:t>
      </w:r>
      <w:r>
        <w:rPr>
          <w:iCs/>
        </w:rPr>
        <w:t>.</w:t>
      </w:r>
      <w:r>
        <w:t xml:space="preserve">)  </w:t>
      </w:r>
    </w:p>
    <w:p w14:paraId="68D8C062" w14:textId="77777777" w:rsidR="00AD3A06" w:rsidRDefault="00AD3A06" w:rsidP="007A54DC">
      <w:r>
        <w:t xml:space="preserve">Before the court in </w:t>
      </w:r>
      <w:r w:rsidRPr="00145C3A">
        <w:rPr>
          <w:i/>
          <w:iCs/>
        </w:rPr>
        <w:t xml:space="preserve">Birchfield </w:t>
      </w:r>
      <w:r>
        <w:t xml:space="preserve">were three defendants in </w:t>
      </w:r>
      <w:r>
        <w:t xml:space="preserve">three separate cases.  </w:t>
      </w:r>
      <w:r>
        <w:t>I</w:t>
      </w:r>
      <w:r>
        <w:t>n</w:t>
      </w:r>
      <w:r>
        <w:t xml:space="preserve"> on</w:t>
      </w:r>
      <w:r>
        <w:t>e</w:t>
      </w:r>
      <w:r>
        <w:t>,</w:t>
      </w:r>
      <w:r>
        <w:t xml:space="preserve"> </w:t>
      </w:r>
      <w:r w:rsidRPr="00C841CF">
        <w:t>Birchfield</w:t>
      </w:r>
      <w:r>
        <w:t xml:space="preserve"> </w:t>
      </w:r>
      <w:r>
        <w:t>was convicted of a crime for refusing to take a blood test</w:t>
      </w:r>
      <w:r>
        <w:t xml:space="preserve"> </w:t>
      </w:r>
      <w:r>
        <w:t>(</w:t>
      </w:r>
      <w:r w:rsidRPr="00844AA8">
        <w:rPr>
          <w:i/>
          <w:iCs/>
        </w:rPr>
        <w:t>Birchfield</w:t>
      </w:r>
      <w:r>
        <w:rPr>
          <w:i/>
          <w:iCs/>
        </w:rPr>
        <w:t>, supra,</w:t>
      </w:r>
      <w:r w:rsidRPr="00844AA8">
        <w:rPr>
          <w:i/>
          <w:iCs/>
        </w:rPr>
        <w:t xml:space="preserve"> </w:t>
      </w:r>
      <w:r>
        <w:t>579</w:t>
      </w:r>
      <w:r>
        <w:t> </w:t>
      </w:r>
      <w:r>
        <w:t xml:space="preserve">U.S. at pp. 454, </w:t>
      </w:r>
      <w:r>
        <w:t xml:space="preserve">451); </w:t>
      </w:r>
      <w:r>
        <w:t xml:space="preserve">in </w:t>
      </w:r>
      <w:r>
        <w:t>a</w:t>
      </w:r>
      <w:r>
        <w:t>n</w:t>
      </w:r>
      <w:r>
        <w:t>other</w:t>
      </w:r>
      <w:r>
        <w:t xml:space="preserve">, </w:t>
      </w:r>
      <w:r>
        <w:t xml:space="preserve">Bernard </w:t>
      </w:r>
      <w:r>
        <w:t>was convicted of criminal refusal to take a breath test (</w:t>
      </w:r>
      <w:r w:rsidRPr="0093052B">
        <w:rPr>
          <w:i/>
          <w:iCs/>
        </w:rPr>
        <w:t>id.</w:t>
      </w:r>
      <w:r>
        <w:t xml:space="preserve"> at pp. 452</w:t>
      </w:r>
      <w:r>
        <w:t>–</w:t>
      </w:r>
      <w:r>
        <w:t xml:space="preserve">453); and </w:t>
      </w:r>
      <w:r>
        <w:t xml:space="preserve">in </w:t>
      </w:r>
      <w:r>
        <w:t>the third</w:t>
      </w:r>
      <w:r>
        <w:t>,</w:t>
      </w:r>
      <w:r>
        <w:t xml:space="preserve"> </w:t>
      </w:r>
      <w:proofErr w:type="spellStart"/>
      <w:r>
        <w:t>Beylund</w:t>
      </w:r>
      <w:proofErr w:type="spellEnd"/>
      <w:r>
        <w:t xml:space="preserve"> </w:t>
      </w:r>
      <w:r>
        <w:t xml:space="preserve">submitted to a blood test, but when his driver’s license was subsequently suspended in an administrative hearing, he argued his consent to the blood </w:t>
      </w:r>
      <w:r>
        <w:t>test was coerced because the arresting officer had warned him that refusing to consent would itself be a crime (</w:t>
      </w:r>
      <w:r w:rsidRPr="00403637">
        <w:rPr>
          <w:i/>
          <w:iCs/>
        </w:rPr>
        <w:t>id.</w:t>
      </w:r>
      <w:r>
        <w:t xml:space="preserve"> at pp. 453</w:t>
      </w:r>
      <w:r>
        <w:t>–</w:t>
      </w:r>
      <w:r>
        <w:t>454).</w:t>
      </w:r>
      <w:r>
        <w:t xml:space="preserve">  T</w:t>
      </w:r>
      <w:r>
        <w:t xml:space="preserve">he Supreme Court granted certiorari </w:t>
      </w:r>
      <w:r>
        <w:t xml:space="preserve">in all three </w:t>
      </w:r>
      <w:r>
        <w:t>“to decide whether motorists lawfully arrested for drunk driving may be convicted of a crime or otherwise penalized for refusing to take a warrantless test measuring the alcohol in their bloodstream.”  (</w:t>
      </w:r>
      <w:r>
        <w:rPr>
          <w:i/>
        </w:rPr>
        <w:t>Id.</w:t>
      </w:r>
      <w:r>
        <w:t xml:space="preserve"> at p. 454.)  </w:t>
      </w:r>
    </w:p>
    <w:p w14:paraId="5E596FBA" w14:textId="77777777" w:rsidR="00AD3A06" w:rsidRDefault="00AD3A06" w:rsidP="00CB6382">
      <w:r>
        <w:t>After concluding that the search</w:t>
      </w:r>
      <w:r>
        <w:t>-</w:t>
      </w:r>
      <w:r>
        <w:t>incident</w:t>
      </w:r>
      <w:r>
        <w:t>-</w:t>
      </w:r>
      <w:r>
        <w:t>to</w:t>
      </w:r>
      <w:r>
        <w:t>-</w:t>
      </w:r>
      <w:r>
        <w:t xml:space="preserve">arrest doctrine does not justify </w:t>
      </w:r>
      <w:r w:rsidRPr="008A7678">
        <w:t xml:space="preserve">the warrantless taking of a blood sample, the </w:t>
      </w:r>
      <w:r w:rsidRPr="008A7678">
        <w:rPr>
          <w:i/>
          <w:iCs/>
        </w:rPr>
        <w:t>Birchfield</w:t>
      </w:r>
      <w:r w:rsidRPr="008A7678">
        <w:t xml:space="preserve"> </w:t>
      </w:r>
      <w:r w:rsidRPr="008A7678">
        <w:t xml:space="preserve">court </w:t>
      </w:r>
      <w:r w:rsidRPr="008A7678">
        <w:t xml:space="preserve">rejected the </w:t>
      </w:r>
      <w:r w:rsidRPr="008A7678">
        <w:t xml:space="preserve">states’ </w:t>
      </w:r>
      <w:r>
        <w:t xml:space="preserve">alternative </w:t>
      </w:r>
      <w:r w:rsidRPr="008A7678">
        <w:t xml:space="preserve">argument that </w:t>
      </w:r>
      <w:r w:rsidRPr="008A7678">
        <w:t>a DUI arrestee may be “</w:t>
      </w:r>
      <w:r w:rsidRPr="008A7678">
        <w:rPr>
          <w:rFonts w:eastAsia="Times New Roman" w:cs="Times New Roman"/>
          <w:color w:val="000000"/>
        </w:rPr>
        <w:t>deemed to have consented to submit to a blood test</w:t>
      </w:r>
      <w:r>
        <w:rPr>
          <w:rFonts w:eastAsia="Times New Roman" w:cs="Times New Roman"/>
          <w:color w:val="000000"/>
        </w:rPr>
        <w:t xml:space="preserve">” in the face of threatened criminal penalties. </w:t>
      </w:r>
      <w:r w:rsidRPr="008A7678">
        <w:rPr>
          <w:rFonts w:eastAsia="Times New Roman" w:cs="Times New Roman"/>
          <w:color w:val="000000"/>
        </w:rPr>
        <w:t xml:space="preserve"> </w:t>
      </w:r>
      <w:r w:rsidRPr="008A7678">
        <w:t>(</w:t>
      </w:r>
      <w:r w:rsidRPr="008A7678">
        <w:rPr>
          <w:i/>
          <w:iCs/>
        </w:rPr>
        <w:t>Birchfield</w:t>
      </w:r>
      <w:r w:rsidRPr="008A7678">
        <w:t xml:space="preserve">, </w:t>
      </w:r>
      <w:r w:rsidRPr="008A7678">
        <w:rPr>
          <w:i/>
          <w:iCs/>
        </w:rPr>
        <w:t>supra</w:t>
      </w:r>
      <w:r w:rsidRPr="008A7678">
        <w:t>, 579</w:t>
      </w:r>
      <w:r>
        <w:t> </w:t>
      </w:r>
      <w:r w:rsidRPr="008A7678">
        <w:t xml:space="preserve">U.S. at p. 477.) </w:t>
      </w:r>
      <w:r w:rsidRPr="008A7678">
        <w:t xml:space="preserve"> “It is well established that a search is reasonable when the subject consents [citation], and that sometimes</w:t>
      </w:r>
      <w:r>
        <w:t xml:space="preserve"> consent to a search need not be express but may be fairly inferred from context</w:t>
      </w:r>
      <w:r>
        <w:t>.”  (</w:t>
      </w:r>
      <w:r w:rsidRPr="00A87597">
        <w:rPr>
          <w:i/>
          <w:iCs/>
        </w:rPr>
        <w:t>Id.</w:t>
      </w:r>
      <w:r>
        <w:t xml:space="preserve"> at p. 476.</w:t>
      </w:r>
      <w:r>
        <w:t xml:space="preserve">) </w:t>
      </w:r>
      <w:r>
        <w:t xml:space="preserve"> </w:t>
      </w:r>
      <w:r>
        <w:t>“</w:t>
      </w:r>
      <w:r>
        <w:t>Our prior opinions</w:t>
      </w:r>
      <w:r>
        <w:t>,” said the court,</w:t>
      </w:r>
      <w:r>
        <w:t xml:space="preserve"> </w:t>
      </w:r>
      <w:r>
        <w:t>“</w:t>
      </w:r>
      <w:r>
        <w:t xml:space="preserve">have </w:t>
      </w:r>
      <w:r>
        <w:lastRenderedPageBreak/>
        <w:t>referred approvingly to the general concept of implied-consent laws that impose civil penalties and evidentiary consequences on motorists who refuse to comply</w:t>
      </w:r>
      <w:r>
        <w:t xml:space="preserve">.  </w:t>
      </w:r>
      <w:r w:rsidRPr="00953DE1">
        <w:rPr>
          <w:rFonts w:eastAsia="Times New Roman" w:cs="Times New Roman"/>
          <w:color w:val="000000"/>
        </w:rPr>
        <w:t xml:space="preserve">See, </w:t>
      </w:r>
      <w:r w:rsidRPr="00953DE1">
        <w:rPr>
          <w:rFonts w:eastAsia="Times New Roman" w:cs="Times New Roman"/>
          <w:i/>
          <w:iCs/>
          <w:color w:val="3D3D3D"/>
          <w:bdr w:val="none" w:sz="0" w:space="0" w:color="auto" w:frame="1"/>
        </w:rPr>
        <w:t>e.g.,</w:t>
      </w:r>
      <w:r w:rsidRPr="00953DE1">
        <w:rPr>
          <w:rFonts w:eastAsia="Times New Roman" w:cs="Times New Roman"/>
          <w:color w:val="000000"/>
        </w:rPr>
        <w:t xml:space="preserve"> </w:t>
      </w:r>
      <w:r w:rsidRPr="00953DE1">
        <w:rPr>
          <w:rFonts w:eastAsia="Times New Roman" w:cs="Times New Roman"/>
          <w:i/>
          <w:iCs/>
          <w:color w:val="3D3D3D"/>
          <w:bdr w:val="none" w:sz="0" w:space="0" w:color="auto" w:frame="1"/>
        </w:rPr>
        <w:t>McNeely, supra,</w:t>
      </w:r>
      <w:r w:rsidRPr="00953DE1">
        <w:rPr>
          <w:rFonts w:eastAsia="Times New Roman" w:cs="Times New Roman"/>
          <w:color w:val="000000"/>
        </w:rPr>
        <w:t xml:space="preserve"> at 160</w:t>
      </w:r>
      <w:r>
        <w:rPr>
          <w:rFonts w:eastAsia="Times New Roman" w:cs="Times New Roman"/>
          <w:color w:val="000000"/>
        </w:rPr>
        <w:t>–</w:t>
      </w:r>
      <w:r w:rsidRPr="00953DE1">
        <w:rPr>
          <w:rFonts w:eastAsia="Times New Roman" w:cs="Times New Roman"/>
          <w:color w:val="000000"/>
        </w:rPr>
        <w:t xml:space="preserve">161 (plurality opinion); </w:t>
      </w:r>
      <w:r w:rsidRPr="00953DE1">
        <w:rPr>
          <w:rFonts w:eastAsia="Times New Roman" w:cs="Times New Roman"/>
          <w:i/>
          <w:iCs/>
          <w:color w:val="3D3D3D"/>
          <w:bdr w:val="none" w:sz="0" w:space="0" w:color="auto" w:frame="1"/>
        </w:rPr>
        <w:t>Neville, supra,</w:t>
      </w:r>
      <w:r w:rsidRPr="00953DE1">
        <w:rPr>
          <w:rFonts w:eastAsia="Times New Roman" w:cs="Times New Roman"/>
          <w:color w:val="000000"/>
        </w:rPr>
        <w:t xml:space="preserve"> at 5</w:t>
      </w:r>
      <w:r w:rsidRPr="00953DE1">
        <w:rPr>
          <w:rFonts w:eastAsia="Times New Roman" w:cs="Times New Roman"/>
          <w:color w:val="000000"/>
        </w:rPr>
        <w:t>60</w:t>
      </w:r>
      <w:r>
        <w:rPr>
          <w:rFonts w:eastAsia="Times New Roman" w:cs="Times New Roman"/>
          <w:color w:val="000000"/>
        </w:rPr>
        <w:t xml:space="preserve">. </w:t>
      </w:r>
      <w:r>
        <w:t xml:space="preserve"> </w:t>
      </w:r>
      <w:r>
        <w:t xml:space="preserve">Petitioners do not question the constitutionality of those laws, and nothing we say here should be read to cast doubt on them.  [¶] It is another matter, however, for a State not only to insist upon an intrusive blood test, but also to impose criminal penalties on the refusal to submit to such a test.  There must be a limit to the consequences to which motorists may be deemed to have consented by virtue of a decision to drive on public roads.”  </w:t>
      </w:r>
      <w:r>
        <w:t>(</w:t>
      </w:r>
      <w:r>
        <w:rPr>
          <w:i/>
        </w:rPr>
        <w:t>Birchfield,</w:t>
      </w:r>
      <w:r>
        <w:t xml:space="preserve"> at p</w:t>
      </w:r>
      <w:r>
        <w:t>p</w:t>
      </w:r>
      <w:r>
        <w:t>. </w:t>
      </w:r>
      <w:r>
        <w:t>4</w:t>
      </w:r>
      <w:r w:rsidRPr="00633265">
        <w:t>76</w:t>
      </w:r>
      <w:r>
        <w:t>–</w:t>
      </w:r>
      <w:r>
        <w:t xml:space="preserve">477.)  </w:t>
      </w:r>
    </w:p>
    <w:p w14:paraId="282023A4" w14:textId="77777777" w:rsidR="00AD3A06" w:rsidRPr="00633265" w:rsidRDefault="00AD3A06" w:rsidP="003E1DFB">
      <w:pPr>
        <w:rPr>
          <w:rFonts w:eastAsia="Times New Roman" w:cs="Times New Roman"/>
          <w:color w:val="000000"/>
        </w:rPr>
      </w:pPr>
      <w:r w:rsidRPr="00633265">
        <w:t>T</w:t>
      </w:r>
      <w:r w:rsidRPr="00633265">
        <w:t>he</w:t>
      </w:r>
      <w:r>
        <w:t xml:space="preserve"> Supreme Court </w:t>
      </w:r>
      <w:r w:rsidRPr="00633265">
        <w:t>then</w:t>
      </w:r>
      <w:r>
        <w:t xml:space="preserve"> </w:t>
      </w:r>
      <w:r>
        <w:t>a</w:t>
      </w:r>
      <w:r>
        <w:t>ppl</w:t>
      </w:r>
      <w:r>
        <w:t xml:space="preserve">ied </w:t>
      </w:r>
      <w:r>
        <w:t xml:space="preserve">these </w:t>
      </w:r>
      <w:r>
        <w:t>legal conclusions to the three cases before it</w:t>
      </w:r>
      <w:r>
        <w:t>.  (</w:t>
      </w:r>
      <w:r w:rsidRPr="00EB3FE1">
        <w:rPr>
          <w:i/>
          <w:iCs/>
        </w:rPr>
        <w:t>Birchfield</w:t>
      </w:r>
      <w:r>
        <w:t xml:space="preserve">, </w:t>
      </w:r>
      <w:r w:rsidRPr="00EB3FE1">
        <w:rPr>
          <w:i/>
          <w:iCs/>
        </w:rPr>
        <w:t>supra</w:t>
      </w:r>
      <w:r>
        <w:t>, 579</w:t>
      </w:r>
      <w:r>
        <w:t> </w:t>
      </w:r>
      <w:r>
        <w:t>U.S. at pp. 477</w:t>
      </w:r>
      <w:r>
        <w:t>–</w:t>
      </w:r>
      <w:r>
        <w:t xml:space="preserve">478.)  </w:t>
      </w:r>
      <w:r>
        <w:t>The c</w:t>
      </w:r>
      <w:r>
        <w:t xml:space="preserve">ourt </w:t>
      </w:r>
      <w:r>
        <w:t xml:space="preserve">held </w:t>
      </w:r>
      <w:r>
        <w:t>Birchfield could not be forced to submit to a warrantless blood test incident to his arrest.</w:t>
      </w:r>
      <w:r>
        <w:t xml:space="preserve">  (</w:t>
      </w:r>
      <w:r>
        <w:rPr>
          <w:i/>
        </w:rPr>
        <w:t>Ibid.</w:t>
      </w:r>
      <w:r>
        <w:t>)</w:t>
      </w:r>
      <w:r>
        <w:t xml:space="preserve"> </w:t>
      </w:r>
      <w:r>
        <w:t xml:space="preserve"> </w:t>
      </w:r>
      <w:r>
        <w:t>Because the</w:t>
      </w:r>
      <w:r>
        <w:t>re were no exigent circumstances or other bas</w:t>
      </w:r>
      <w:r>
        <w:t>e</w:t>
      </w:r>
      <w:r>
        <w:t xml:space="preserve">s to justify a warrantless blood test, </w:t>
      </w:r>
      <w:r>
        <w:t xml:space="preserve">the court held Birchfield was threatened with an unlawful search and reversed his conviction for refusing to submit to a blood test. </w:t>
      </w:r>
      <w:r>
        <w:t xml:space="preserve"> (</w:t>
      </w:r>
      <w:r>
        <w:rPr>
          <w:i/>
        </w:rPr>
        <w:t>Id.</w:t>
      </w:r>
      <w:r>
        <w:t xml:space="preserve"> at p. 478.)  </w:t>
      </w:r>
      <w:r>
        <w:t>In contrast, a w</w:t>
      </w:r>
      <w:r>
        <w:t>arrantless breath test was a permissible search incident to Bernard</w:t>
      </w:r>
      <w:r>
        <w:t>’</w:t>
      </w:r>
      <w:r>
        <w:t xml:space="preserve">s arrest. </w:t>
      </w:r>
      <w:r>
        <w:t xml:space="preserve"> </w:t>
      </w:r>
      <w:r>
        <w:t xml:space="preserve">“[T]he Fourth Amendment did not require officers to obtain a warrant prior to demanding the [breath] test, and Bernard had no right to refuse it.” </w:t>
      </w:r>
      <w:r>
        <w:t xml:space="preserve"> (</w:t>
      </w:r>
      <w:r>
        <w:rPr>
          <w:i/>
        </w:rPr>
        <w:t>Ibid.</w:t>
      </w:r>
      <w:r>
        <w:t xml:space="preserve">)  </w:t>
      </w:r>
      <w:r>
        <w:t xml:space="preserve">Lastly, the court vacated </w:t>
      </w:r>
      <w:proofErr w:type="spellStart"/>
      <w:r>
        <w:t>Beylund</w:t>
      </w:r>
      <w:r>
        <w:t>’</w:t>
      </w:r>
      <w:r>
        <w:t>s</w:t>
      </w:r>
      <w:proofErr w:type="spellEnd"/>
      <w:r>
        <w:t xml:space="preserve"> license suspension because the North Dakota Supreme Court had erroneously concluded the state could compel both blood tests and breath tests incident to arrest. </w:t>
      </w:r>
      <w:r>
        <w:t xml:space="preserve"> </w:t>
      </w:r>
      <w:r>
        <w:t>(</w:t>
      </w:r>
      <w:r w:rsidRPr="00D20019">
        <w:rPr>
          <w:i/>
          <w:iCs/>
        </w:rPr>
        <w:t>Ibid.</w:t>
      </w:r>
      <w:r>
        <w:t xml:space="preserve">) </w:t>
      </w:r>
      <w:r>
        <w:t xml:space="preserve"> </w:t>
      </w:r>
      <w:r>
        <w:t xml:space="preserve">The </w:t>
      </w:r>
      <w:r>
        <w:t>high court</w:t>
      </w:r>
      <w:r>
        <w:t xml:space="preserve"> remanded the case for a determination of whether </w:t>
      </w:r>
      <w:proofErr w:type="spellStart"/>
      <w:r>
        <w:t>Beylu</w:t>
      </w:r>
      <w:r>
        <w:t>nd</w:t>
      </w:r>
      <w:r>
        <w:t>’</w:t>
      </w:r>
      <w:r>
        <w:t>s</w:t>
      </w:r>
      <w:proofErr w:type="spellEnd"/>
      <w:r>
        <w:t xml:space="preserve"> consent to the blood test was freely and voluntarily given </w:t>
      </w:r>
      <w:proofErr w:type="gramStart"/>
      <w:r>
        <w:t>in light of</w:t>
      </w:r>
      <w:proofErr w:type="gramEnd"/>
      <w:r>
        <w:t xml:space="preserve"> the inaccuracy of the officer</w:t>
      </w:r>
      <w:r>
        <w:t>’</w:t>
      </w:r>
      <w:r>
        <w:t xml:space="preserve">s advisement. </w:t>
      </w:r>
      <w:r>
        <w:t xml:space="preserve"> </w:t>
      </w:r>
      <w:r>
        <w:t>(</w:t>
      </w:r>
      <w:r w:rsidRPr="00D20019">
        <w:rPr>
          <w:i/>
          <w:iCs/>
        </w:rPr>
        <w:t>Ibid.</w:t>
      </w:r>
      <w:r>
        <w:t xml:space="preserve"> &amp; fn. 9.)</w:t>
      </w:r>
      <w:r w:rsidRPr="00953DE1">
        <w:rPr>
          <w:rFonts w:eastAsia="Times New Roman" w:cs="Times New Roman"/>
          <w:color w:val="000000"/>
        </w:rPr>
        <w:t xml:space="preserve"> </w:t>
      </w:r>
    </w:p>
    <w:p w14:paraId="740401B9" w14:textId="77777777" w:rsidR="00AD3A06" w:rsidRDefault="00AD3A06" w:rsidP="00633265">
      <w:pPr>
        <w:shd w:val="clear" w:color="auto" w:fill="FFFFFF"/>
        <w:rPr>
          <w:rFonts w:eastAsia="Times New Roman" w:cs="Times New Roman"/>
          <w:color w:val="000000"/>
        </w:rPr>
      </w:pPr>
      <w:r w:rsidRPr="00633265">
        <w:lastRenderedPageBreak/>
        <w:t xml:space="preserve">The most </w:t>
      </w:r>
      <w:r w:rsidRPr="00633265">
        <w:rPr>
          <w:rFonts w:eastAsia="Times New Roman" w:cs="Times New Roman"/>
          <w:color w:val="000000"/>
        </w:rPr>
        <w:t xml:space="preserve">recent United States Supreme Court </w:t>
      </w:r>
      <w:r>
        <w:rPr>
          <w:rFonts w:eastAsia="Times New Roman" w:cs="Times New Roman"/>
          <w:color w:val="000000"/>
        </w:rPr>
        <w:t xml:space="preserve">case </w:t>
      </w:r>
      <w:r w:rsidRPr="00633265">
        <w:rPr>
          <w:rFonts w:eastAsia="Times New Roman" w:cs="Times New Roman"/>
          <w:color w:val="000000"/>
        </w:rPr>
        <w:t xml:space="preserve">involving implied consent laws, </w:t>
      </w:r>
      <w:r w:rsidRPr="00A62691">
        <w:rPr>
          <w:rFonts w:eastAsia="Times New Roman" w:cs="Times New Roman"/>
          <w:i/>
          <w:iCs/>
          <w:color w:val="3D3D3D"/>
          <w:bdr w:val="none" w:sz="0" w:space="0" w:color="auto" w:frame="1"/>
        </w:rPr>
        <w:t>Mitchell v. Wisconsin</w:t>
      </w:r>
      <w:r w:rsidRPr="00A62691">
        <w:rPr>
          <w:rFonts w:eastAsia="Times New Roman" w:cs="Times New Roman"/>
          <w:color w:val="000000"/>
        </w:rPr>
        <w:t xml:space="preserve"> (2019) 588</w:t>
      </w:r>
      <w:r>
        <w:rPr>
          <w:rFonts w:eastAsia="Times New Roman" w:cs="Times New Roman"/>
          <w:color w:val="000000"/>
        </w:rPr>
        <w:t> </w:t>
      </w:r>
      <w:r w:rsidRPr="00A62691">
        <w:rPr>
          <w:rFonts w:eastAsia="Times New Roman" w:cs="Times New Roman"/>
          <w:color w:val="000000"/>
        </w:rPr>
        <w:t>U.S. 840</w:t>
      </w:r>
      <w:r>
        <w:rPr>
          <w:rFonts w:eastAsia="Times New Roman" w:cs="Times New Roman"/>
          <w:color w:val="000000"/>
        </w:rPr>
        <w:t xml:space="preserve"> (</w:t>
      </w:r>
      <w:r w:rsidRPr="00E33249">
        <w:rPr>
          <w:rFonts w:eastAsia="Times New Roman" w:cs="Times New Roman"/>
          <w:i/>
          <w:iCs/>
          <w:color w:val="000000"/>
        </w:rPr>
        <w:t>Mitchell</w:t>
      </w:r>
      <w:r>
        <w:rPr>
          <w:rFonts w:eastAsia="Times New Roman" w:cs="Times New Roman"/>
          <w:color w:val="000000"/>
        </w:rPr>
        <w:t>)</w:t>
      </w:r>
      <w:r w:rsidRPr="00633265">
        <w:rPr>
          <w:rFonts w:eastAsia="Times New Roman" w:cs="Times New Roman"/>
          <w:color w:val="000000"/>
        </w:rPr>
        <w:t xml:space="preserve">, </w:t>
      </w:r>
      <w:r>
        <w:rPr>
          <w:rFonts w:eastAsia="Times New Roman" w:cs="Times New Roman"/>
          <w:color w:val="000000"/>
        </w:rPr>
        <w:t xml:space="preserve">applies </w:t>
      </w:r>
      <w:r w:rsidRPr="002B02C4">
        <w:rPr>
          <w:rFonts w:eastAsia="Times New Roman" w:cs="Times New Roman"/>
          <w:i/>
          <w:iCs/>
          <w:color w:val="000000"/>
        </w:rPr>
        <w:t>Birchfield</w:t>
      </w:r>
      <w:r>
        <w:rPr>
          <w:rFonts w:eastAsia="Times New Roman" w:cs="Times New Roman"/>
          <w:color w:val="000000"/>
        </w:rPr>
        <w:t xml:space="preserve"> and </w:t>
      </w:r>
      <w:r w:rsidRPr="002B02C4">
        <w:rPr>
          <w:rFonts w:eastAsia="Times New Roman" w:cs="Times New Roman"/>
          <w:i/>
          <w:iCs/>
          <w:color w:val="000000"/>
        </w:rPr>
        <w:t>McNeely</w:t>
      </w:r>
      <w:r w:rsidRPr="00633265">
        <w:rPr>
          <w:rFonts w:eastAsia="Times New Roman" w:cs="Times New Roman"/>
          <w:color w:val="000000"/>
        </w:rPr>
        <w:t xml:space="preserve"> </w:t>
      </w:r>
      <w:r>
        <w:rPr>
          <w:rFonts w:eastAsia="Times New Roman" w:cs="Times New Roman"/>
          <w:color w:val="000000"/>
        </w:rPr>
        <w:t xml:space="preserve">to a category of cases </w:t>
      </w:r>
      <w:r>
        <w:rPr>
          <w:rFonts w:eastAsia="Times New Roman" w:cs="Times New Roman"/>
          <w:color w:val="000000"/>
        </w:rPr>
        <w:t xml:space="preserve">involving </w:t>
      </w:r>
      <w:r w:rsidRPr="00633265">
        <w:rPr>
          <w:rFonts w:eastAsia="Times New Roman" w:cs="Times New Roman"/>
          <w:color w:val="000000"/>
        </w:rPr>
        <w:t>unconscious DUI arrestee</w:t>
      </w:r>
      <w:r>
        <w:rPr>
          <w:rFonts w:eastAsia="Times New Roman" w:cs="Times New Roman"/>
          <w:color w:val="000000"/>
        </w:rPr>
        <w:t>s</w:t>
      </w:r>
      <w:r>
        <w:rPr>
          <w:rFonts w:eastAsia="Times New Roman" w:cs="Times New Roman"/>
          <w:color w:val="000000"/>
        </w:rPr>
        <w:t xml:space="preserve">. </w:t>
      </w:r>
      <w:r>
        <w:rPr>
          <w:rFonts w:eastAsia="Times New Roman" w:cs="Times New Roman"/>
          <w:color w:val="000000"/>
        </w:rPr>
        <w:t xml:space="preserve"> The holding</w:t>
      </w:r>
      <w:r>
        <w:rPr>
          <w:rFonts w:eastAsia="Times New Roman" w:cs="Times New Roman"/>
          <w:color w:val="000000"/>
        </w:rPr>
        <w:t xml:space="preserve"> in </w:t>
      </w:r>
      <w:r w:rsidRPr="00E86701">
        <w:rPr>
          <w:rFonts w:eastAsia="Times New Roman" w:cs="Times New Roman"/>
          <w:i/>
          <w:iCs/>
          <w:color w:val="000000"/>
        </w:rPr>
        <w:t>Mitchell</w:t>
      </w:r>
      <w:r>
        <w:rPr>
          <w:rFonts w:eastAsia="Times New Roman" w:cs="Times New Roman"/>
          <w:color w:val="000000"/>
        </w:rPr>
        <w:t>—</w:t>
      </w:r>
      <w:r w:rsidRPr="00633265">
        <w:rPr>
          <w:rFonts w:eastAsia="Times New Roman" w:cs="Times New Roman"/>
          <w:color w:val="000000"/>
        </w:rPr>
        <w:t xml:space="preserve">that a warrantless blood draw </w:t>
      </w:r>
      <w:r>
        <w:rPr>
          <w:rFonts w:eastAsia="Times New Roman" w:cs="Times New Roman"/>
          <w:color w:val="000000"/>
        </w:rPr>
        <w:t xml:space="preserve">generally </w:t>
      </w:r>
      <w:r>
        <w:rPr>
          <w:rFonts w:eastAsia="Times New Roman" w:cs="Times New Roman"/>
          <w:color w:val="000000"/>
        </w:rPr>
        <w:t>i</w:t>
      </w:r>
      <w:r>
        <w:rPr>
          <w:rFonts w:eastAsia="Times New Roman" w:cs="Times New Roman"/>
          <w:color w:val="000000"/>
        </w:rPr>
        <w:t xml:space="preserve">s </w:t>
      </w:r>
      <w:r>
        <w:rPr>
          <w:rFonts w:eastAsia="Times New Roman" w:cs="Times New Roman"/>
          <w:color w:val="000000"/>
        </w:rPr>
        <w:t>permissible</w:t>
      </w:r>
      <w:r w:rsidRPr="00633265">
        <w:rPr>
          <w:rFonts w:eastAsia="Times New Roman" w:cs="Times New Roman"/>
          <w:color w:val="000000"/>
        </w:rPr>
        <w:t xml:space="preserve"> where the arrestee’s condition requires that he be taken to a hospital before the</w:t>
      </w:r>
      <w:r>
        <w:rPr>
          <w:rFonts w:eastAsia="Times New Roman" w:cs="Times New Roman"/>
          <w:color w:val="000000"/>
        </w:rPr>
        <w:t xml:space="preserve"> police </w:t>
      </w:r>
      <w:r w:rsidRPr="00633265">
        <w:rPr>
          <w:rFonts w:eastAsia="Times New Roman" w:cs="Times New Roman"/>
          <w:color w:val="000000"/>
        </w:rPr>
        <w:t xml:space="preserve">have an opportunity to obtain a </w:t>
      </w:r>
      <w:r>
        <w:rPr>
          <w:rFonts w:eastAsia="Times New Roman" w:cs="Times New Roman"/>
          <w:color w:val="000000"/>
        </w:rPr>
        <w:t>standard evidentiary</w:t>
      </w:r>
      <w:r>
        <w:rPr>
          <w:rFonts w:eastAsia="Times New Roman" w:cs="Times New Roman"/>
          <w:color w:val="000000"/>
        </w:rPr>
        <w:t xml:space="preserve"> </w:t>
      </w:r>
      <w:r w:rsidRPr="00633265">
        <w:rPr>
          <w:rFonts w:eastAsia="Times New Roman" w:cs="Times New Roman"/>
          <w:color w:val="000000"/>
        </w:rPr>
        <w:t>breath test</w:t>
      </w:r>
      <w:r>
        <w:rPr>
          <w:rFonts w:eastAsia="Times New Roman" w:cs="Times New Roman"/>
          <w:color w:val="000000"/>
        </w:rPr>
        <w:t xml:space="preserve"> (</w:t>
      </w:r>
      <w:r w:rsidRPr="00DF7DE4">
        <w:rPr>
          <w:rFonts w:eastAsia="Times New Roman" w:cs="Times New Roman"/>
          <w:i/>
          <w:iCs/>
          <w:color w:val="000000"/>
        </w:rPr>
        <w:t>Mitchell</w:t>
      </w:r>
      <w:r>
        <w:rPr>
          <w:rFonts w:eastAsia="Times New Roman" w:cs="Times New Roman"/>
          <w:color w:val="000000"/>
        </w:rPr>
        <w:t>, at p. </w:t>
      </w:r>
      <w:r>
        <w:rPr>
          <w:rFonts w:eastAsia="Times New Roman" w:cs="Times New Roman"/>
          <w:color w:val="000000"/>
        </w:rPr>
        <w:t>857</w:t>
      </w:r>
      <w:r>
        <w:rPr>
          <w:rFonts w:eastAsia="Times New Roman" w:cs="Times New Roman"/>
          <w:color w:val="000000"/>
        </w:rPr>
        <w:t xml:space="preserve"> (</w:t>
      </w:r>
      <w:proofErr w:type="spellStart"/>
      <w:r>
        <w:rPr>
          <w:rFonts w:eastAsia="Times New Roman" w:cs="Times New Roman"/>
          <w:color w:val="000000"/>
        </w:rPr>
        <w:t>plur</w:t>
      </w:r>
      <w:proofErr w:type="spellEnd"/>
      <w:r>
        <w:rPr>
          <w:rFonts w:eastAsia="Times New Roman" w:cs="Times New Roman"/>
          <w:color w:val="000000"/>
        </w:rPr>
        <w:t xml:space="preserve">. </w:t>
      </w:r>
      <w:proofErr w:type="spellStart"/>
      <w:r>
        <w:rPr>
          <w:rFonts w:eastAsia="Times New Roman" w:cs="Times New Roman"/>
          <w:color w:val="000000"/>
        </w:rPr>
        <w:t>opn</w:t>
      </w:r>
      <w:proofErr w:type="spellEnd"/>
      <w:r>
        <w:rPr>
          <w:rFonts w:eastAsia="Times New Roman" w:cs="Times New Roman"/>
          <w:color w:val="000000"/>
        </w:rPr>
        <w:t>. of Alito, J.)</w:t>
      </w:r>
      <w:r>
        <w:rPr>
          <w:rFonts w:eastAsia="Times New Roman" w:cs="Times New Roman"/>
          <w:color w:val="000000"/>
        </w:rPr>
        <w:t>)</w:t>
      </w:r>
      <w:r>
        <w:rPr>
          <w:rFonts w:eastAsia="Times New Roman" w:cs="Times New Roman"/>
          <w:color w:val="000000"/>
        </w:rPr>
        <w:t>—is less pertinent here than its</w:t>
      </w:r>
      <w:r>
        <w:rPr>
          <w:rFonts w:eastAsia="Times New Roman" w:cs="Times New Roman"/>
          <w:color w:val="000000"/>
        </w:rPr>
        <w:t xml:space="preserve"> back</w:t>
      </w:r>
      <w:r>
        <w:rPr>
          <w:rFonts w:eastAsia="Times New Roman" w:cs="Times New Roman"/>
          <w:color w:val="000000"/>
        </w:rPr>
        <w:t>g</w:t>
      </w:r>
      <w:r>
        <w:rPr>
          <w:rFonts w:eastAsia="Times New Roman" w:cs="Times New Roman"/>
          <w:color w:val="000000"/>
        </w:rPr>
        <w:t xml:space="preserve">round </w:t>
      </w:r>
      <w:r>
        <w:rPr>
          <w:rFonts w:eastAsia="Times New Roman" w:cs="Times New Roman"/>
          <w:color w:val="000000"/>
        </w:rPr>
        <w:t>statement</w:t>
      </w:r>
      <w:r>
        <w:rPr>
          <w:rFonts w:eastAsia="Times New Roman" w:cs="Times New Roman"/>
          <w:color w:val="000000"/>
        </w:rPr>
        <w:t xml:space="preserve"> of applicable </w:t>
      </w:r>
      <w:r>
        <w:rPr>
          <w:rFonts w:eastAsia="Times New Roman" w:cs="Times New Roman"/>
          <w:color w:val="000000"/>
        </w:rPr>
        <w:t>constitutional</w:t>
      </w:r>
      <w:r>
        <w:rPr>
          <w:rFonts w:eastAsia="Times New Roman" w:cs="Times New Roman"/>
          <w:color w:val="000000"/>
        </w:rPr>
        <w:t xml:space="preserve"> principles.</w:t>
      </w:r>
      <w:r w:rsidRPr="00633265">
        <w:rPr>
          <w:rFonts w:eastAsia="Times New Roman" w:cs="Times New Roman"/>
          <w:color w:val="000000"/>
        </w:rPr>
        <w:t xml:space="preserve">  Echoing </w:t>
      </w:r>
      <w:r w:rsidRPr="00A35E17">
        <w:rPr>
          <w:rFonts w:eastAsia="Times New Roman" w:cs="Times New Roman"/>
          <w:i/>
          <w:iCs/>
          <w:color w:val="000000"/>
        </w:rPr>
        <w:t>Birchfield</w:t>
      </w:r>
      <w:r w:rsidRPr="00633265">
        <w:rPr>
          <w:rFonts w:eastAsia="Times New Roman" w:cs="Times New Roman"/>
          <w:color w:val="000000"/>
        </w:rPr>
        <w:t xml:space="preserve"> and the </w:t>
      </w:r>
      <w:r w:rsidRPr="00A35E17">
        <w:rPr>
          <w:rFonts w:eastAsia="Times New Roman" w:cs="Times New Roman"/>
          <w:i/>
          <w:iCs/>
          <w:color w:val="000000"/>
        </w:rPr>
        <w:t>McNeely</w:t>
      </w:r>
      <w:r w:rsidRPr="00633265">
        <w:rPr>
          <w:rFonts w:eastAsia="Times New Roman" w:cs="Times New Roman"/>
          <w:color w:val="000000"/>
        </w:rPr>
        <w:t xml:space="preserve"> plurality, </w:t>
      </w:r>
      <w:r w:rsidRPr="00A35E17">
        <w:rPr>
          <w:rFonts w:eastAsia="Times New Roman" w:cs="Times New Roman"/>
          <w:i/>
          <w:iCs/>
          <w:color w:val="000000"/>
        </w:rPr>
        <w:t>Mitchell</w:t>
      </w:r>
      <w:r w:rsidRPr="00633265">
        <w:rPr>
          <w:rFonts w:eastAsia="Times New Roman" w:cs="Times New Roman"/>
          <w:color w:val="000000"/>
        </w:rPr>
        <w:t xml:space="preserve"> acknowledge</w:t>
      </w:r>
      <w:r>
        <w:rPr>
          <w:rFonts w:eastAsia="Times New Roman" w:cs="Times New Roman"/>
          <w:color w:val="000000"/>
        </w:rPr>
        <w:t>s</w:t>
      </w:r>
      <w:r w:rsidRPr="00633265">
        <w:rPr>
          <w:rFonts w:eastAsia="Times New Roman" w:cs="Times New Roman"/>
          <w:color w:val="000000"/>
        </w:rPr>
        <w:t xml:space="preserve"> the constitutional validity of imposing adverse consequences for blood testing refusals under implied consent laws.  (</w:t>
      </w:r>
      <w:r w:rsidRPr="00A62691">
        <w:rPr>
          <w:rFonts w:eastAsia="Times New Roman" w:cs="Times New Roman"/>
          <w:i/>
          <w:iCs/>
          <w:color w:val="3D3D3D"/>
          <w:bdr w:val="none" w:sz="0" w:space="0" w:color="auto" w:frame="1"/>
        </w:rPr>
        <w:t>Mitchell</w:t>
      </w:r>
      <w:r>
        <w:rPr>
          <w:rFonts w:eastAsia="Times New Roman" w:cs="Times New Roman"/>
          <w:i/>
          <w:iCs/>
          <w:color w:val="3D3D3D"/>
          <w:bdr w:val="none" w:sz="0" w:space="0" w:color="auto" w:frame="1"/>
        </w:rPr>
        <w:t>,</w:t>
      </w:r>
      <w:r w:rsidRPr="00A62691">
        <w:rPr>
          <w:rFonts w:eastAsia="Times New Roman" w:cs="Times New Roman"/>
          <w:i/>
          <w:iCs/>
          <w:color w:val="3D3D3D"/>
          <w:bdr w:val="none" w:sz="0" w:space="0" w:color="auto" w:frame="1"/>
        </w:rPr>
        <w:t xml:space="preserve"> </w:t>
      </w:r>
      <w:r>
        <w:rPr>
          <w:rFonts w:eastAsia="Times New Roman" w:cs="Times New Roman"/>
          <w:color w:val="3D3D3D"/>
          <w:bdr w:val="none" w:sz="0" w:space="0" w:color="auto" w:frame="1"/>
        </w:rPr>
        <w:t>at p.</w:t>
      </w:r>
      <w:r>
        <w:rPr>
          <w:rFonts w:eastAsia="Times New Roman" w:cs="Times New Roman"/>
          <w:color w:val="000000"/>
        </w:rPr>
        <w:t> </w:t>
      </w:r>
      <w:r w:rsidRPr="00A62691">
        <w:rPr>
          <w:rFonts w:eastAsia="Times New Roman" w:cs="Times New Roman"/>
          <w:color w:val="000000"/>
        </w:rPr>
        <w:t>847</w:t>
      </w:r>
      <w:r>
        <w:rPr>
          <w:rFonts w:eastAsia="Times New Roman" w:cs="Times New Roman"/>
          <w:color w:val="000000"/>
        </w:rPr>
        <w:t xml:space="preserve"> </w:t>
      </w:r>
      <w:r>
        <w:rPr>
          <w:rFonts w:eastAsia="Times New Roman" w:cs="Times New Roman"/>
          <w:color w:val="000000"/>
        </w:rPr>
        <w:t>(</w:t>
      </w:r>
      <w:proofErr w:type="spellStart"/>
      <w:r>
        <w:rPr>
          <w:rFonts w:eastAsia="Times New Roman" w:cs="Times New Roman"/>
          <w:color w:val="000000"/>
        </w:rPr>
        <w:t>plur</w:t>
      </w:r>
      <w:proofErr w:type="spellEnd"/>
      <w:r>
        <w:rPr>
          <w:rFonts w:eastAsia="Times New Roman" w:cs="Times New Roman"/>
          <w:color w:val="000000"/>
        </w:rPr>
        <w:t xml:space="preserve">. </w:t>
      </w:r>
      <w:proofErr w:type="spellStart"/>
      <w:r>
        <w:rPr>
          <w:rFonts w:eastAsia="Times New Roman" w:cs="Times New Roman"/>
          <w:color w:val="000000"/>
        </w:rPr>
        <w:t>opn</w:t>
      </w:r>
      <w:proofErr w:type="spellEnd"/>
      <w:r>
        <w:rPr>
          <w:rFonts w:eastAsia="Times New Roman" w:cs="Times New Roman"/>
          <w:color w:val="000000"/>
        </w:rPr>
        <w:t>. of Alito, J.)</w:t>
      </w:r>
      <w:r>
        <w:rPr>
          <w:rFonts w:eastAsia="Times New Roman" w:cs="Times New Roman"/>
          <w:color w:val="000000"/>
        </w:rPr>
        <w:t>.)</w:t>
      </w:r>
      <w:r w:rsidRPr="00633265">
        <w:rPr>
          <w:rFonts w:eastAsia="Times New Roman" w:cs="Times New Roman"/>
          <w:color w:val="000000"/>
        </w:rPr>
        <w:t xml:space="preserve"> </w:t>
      </w:r>
      <w:r>
        <w:rPr>
          <w:rFonts w:eastAsia="Times New Roman" w:cs="Times New Roman"/>
          <w:color w:val="000000"/>
        </w:rPr>
        <w:t xml:space="preserve"> </w:t>
      </w:r>
    </w:p>
    <w:p w14:paraId="58C30A6B" w14:textId="77777777" w:rsidR="00AD3A06" w:rsidRPr="00633265" w:rsidRDefault="00AD3A06" w:rsidP="00633265">
      <w:pPr>
        <w:shd w:val="clear" w:color="auto" w:fill="FFFFFF"/>
        <w:rPr>
          <w:rFonts w:eastAsia="Times New Roman" w:cs="Times New Roman"/>
          <w:color w:val="000000"/>
        </w:rPr>
      </w:pPr>
      <w:r>
        <w:rPr>
          <w:rFonts w:eastAsia="Times New Roman" w:cs="Times New Roman"/>
          <w:color w:val="000000"/>
        </w:rPr>
        <w:t>S</w:t>
      </w:r>
      <w:r>
        <w:rPr>
          <w:rFonts w:eastAsia="Times New Roman" w:cs="Times New Roman"/>
          <w:color w:val="000000"/>
        </w:rPr>
        <w:t>peaking for a plurality</w:t>
      </w:r>
      <w:r>
        <w:rPr>
          <w:rFonts w:eastAsia="Times New Roman" w:cs="Times New Roman"/>
          <w:color w:val="000000"/>
        </w:rPr>
        <w:t xml:space="preserve"> </w:t>
      </w:r>
      <w:r>
        <w:rPr>
          <w:rFonts w:eastAsia="Times New Roman" w:cs="Times New Roman"/>
          <w:color w:val="000000"/>
        </w:rPr>
        <w:t xml:space="preserve">of four </w:t>
      </w:r>
      <w:r>
        <w:rPr>
          <w:rFonts w:eastAsia="Times New Roman" w:cs="Times New Roman"/>
          <w:color w:val="000000"/>
        </w:rPr>
        <w:t>j</w:t>
      </w:r>
      <w:r>
        <w:rPr>
          <w:rFonts w:eastAsia="Times New Roman" w:cs="Times New Roman"/>
          <w:color w:val="000000"/>
        </w:rPr>
        <w:t>ustices</w:t>
      </w:r>
      <w:r>
        <w:rPr>
          <w:rFonts w:eastAsia="Times New Roman" w:cs="Times New Roman"/>
          <w:color w:val="000000"/>
        </w:rPr>
        <w:t xml:space="preserve"> in </w:t>
      </w:r>
      <w:r w:rsidRPr="003A1AAA">
        <w:rPr>
          <w:rFonts w:eastAsia="Times New Roman" w:cs="Times New Roman"/>
          <w:i/>
          <w:iCs/>
          <w:color w:val="000000"/>
        </w:rPr>
        <w:t>Mitchell</w:t>
      </w:r>
      <w:r>
        <w:rPr>
          <w:rFonts w:eastAsia="Times New Roman" w:cs="Times New Roman"/>
          <w:color w:val="000000"/>
        </w:rPr>
        <w:t xml:space="preserve">, </w:t>
      </w:r>
      <w:r>
        <w:rPr>
          <w:rFonts w:eastAsia="Times New Roman" w:cs="Times New Roman"/>
          <w:color w:val="000000"/>
        </w:rPr>
        <w:t>Justice Alito</w:t>
      </w:r>
      <w:r>
        <w:rPr>
          <w:rFonts w:eastAsia="Times New Roman" w:cs="Times New Roman"/>
          <w:color w:val="000000"/>
        </w:rPr>
        <w:t xml:space="preserve"> summarized the state of the law as follows</w:t>
      </w:r>
      <w:proofErr w:type="gramStart"/>
      <w:r>
        <w:rPr>
          <w:rFonts w:eastAsia="Times New Roman" w:cs="Times New Roman"/>
          <w:color w:val="000000"/>
        </w:rPr>
        <w:t xml:space="preserve">: </w:t>
      </w:r>
      <w:r>
        <w:rPr>
          <w:rFonts w:eastAsia="Times New Roman" w:cs="Times New Roman"/>
          <w:color w:val="000000"/>
        </w:rPr>
        <w:t xml:space="preserve"> </w:t>
      </w:r>
      <w:r w:rsidRPr="00633265">
        <w:rPr>
          <w:rFonts w:eastAsia="Times New Roman" w:cs="Times New Roman"/>
          <w:color w:val="000000"/>
        </w:rPr>
        <w:t>“</w:t>
      </w:r>
      <w:proofErr w:type="gramEnd"/>
      <w:r w:rsidRPr="00A62691">
        <w:rPr>
          <w:rFonts w:eastAsia="Times New Roman" w:cs="Times New Roman"/>
          <w:color w:val="000000"/>
        </w:rPr>
        <w:t>We have held that forcing drunk-driving suspects to undergo a blood test does not violate their constitutional right against self-incrimination.</w:t>
      </w:r>
      <w:r w:rsidRPr="00633265">
        <w:rPr>
          <w:rFonts w:eastAsia="Times New Roman" w:cs="Times New Roman"/>
          <w:color w:val="000000"/>
        </w:rPr>
        <w:t xml:space="preserve">  [Citation.]  </w:t>
      </w:r>
      <w:r w:rsidRPr="00A62691">
        <w:rPr>
          <w:rFonts w:eastAsia="Times New Roman" w:cs="Times New Roman"/>
          <w:color w:val="000000"/>
        </w:rPr>
        <w:t>Nor does using their refusal against them in court.</w:t>
      </w:r>
      <w:r w:rsidRPr="00633265">
        <w:rPr>
          <w:rFonts w:eastAsia="Times New Roman" w:cs="Times New Roman"/>
          <w:color w:val="000000"/>
        </w:rPr>
        <w:t xml:space="preserve"> </w:t>
      </w:r>
      <w:r>
        <w:rPr>
          <w:rFonts w:eastAsia="Times New Roman" w:cs="Times New Roman"/>
          <w:color w:val="000000"/>
        </w:rPr>
        <w:t xml:space="preserve"> </w:t>
      </w:r>
      <w:r w:rsidRPr="00633265">
        <w:rPr>
          <w:rFonts w:eastAsia="Times New Roman" w:cs="Times New Roman"/>
          <w:color w:val="000000"/>
        </w:rPr>
        <w:t xml:space="preserve">[Citation.]  </w:t>
      </w:r>
      <w:r w:rsidRPr="00A62691">
        <w:rPr>
          <w:rFonts w:eastAsia="Times New Roman" w:cs="Times New Roman"/>
          <w:color w:val="000000"/>
        </w:rPr>
        <w:t>And punishing that refusal with automatic license revocation does not violate drivers</w:t>
      </w:r>
      <w:r>
        <w:rPr>
          <w:rFonts w:eastAsia="Times New Roman" w:cs="Times New Roman"/>
          <w:color w:val="000000"/>
        </w:rPr>
        <w:t>’</w:t>
      </w:r>
      <w:r w:rsidRPr="00A62691">
        <w:rPr>
          <w:rFonts w:eastAsia="Times New Roman" w:cs="Times New Roman"/>
          <w:color w:val="000000"/>
        </w:rPr>
        <w:t xml:space="preserve"> due process rights if they have been arrested upon probable cause</w:t>
      </w:r>
      <w:r w:rsidRPr="00633265">
        <w:rPr>
          <w:rFonts w:eastAsia="Times New Roman" w:cs="Times New Roman"/>
          <w:color w:val="000000"/>
        </w:rPr>
        <w:t>, [citation]</w:t>
      </w:r>
      <w:r w:rsidRPr="00A62691">
        <w:rPr>
          <w:rFonts w:eastAsia="Times New Roman" w:cs="Times New Roman"/>
          <w:color w:val="000000"/>
        </w:rPr>
        <w:t xml:space="preserve">; on the contrary, </w:t>
      </w:r>
      <w:r w:rsidRPr="003A1AAA">
        <w:rPr>
          <w:rFonts w:eastAsia="Times New Roman" w:cs="Times New Roman"/>
          <w:color w:val="000000"/>
        </w:rPr>
        <w:t xml:space="preserve">this kind of summary penalty is </w:t>
      </w:r>
      <w:r w:rsidRPr="003A1AAA">
        <w:rPr>
          <w:rFonts w:eastAsia="Times New Roman" w:cs="Times New Roman"/>
          <w:color w:val="000000"/>
        </w:rPr>
        <w:t>‘</w:t>
      </w:r>
      <w:r w:rsidRPr="003A1AAA">
        <w:rPr>
          <w:rFonts w:eastAsia="Times New Roman" w:cs="Times New Roman"/>
          <w:color w:val="000000"/>
        </w:rPr>
        <w:t>unquestionably legitimate.</w:t>
      </w:r>
      <w:proofErr w:type="gramStart"/>
      <w:r w:rsidRPr="003A1AAA">
        <w:rPr>
          <w:rFonts w:eastAsia="Times New Roman" w:cs="Times New Roman"/>
          <w:color w:val="000000"/>
        </w:rPr>
        <w:t>’ </w:t>
      </w:r>
      <w:r w:rsidRPr="003A1AAA">
        <w:rPr>
          <w:rFonts w:eastAsia="Times New Roman" w:cs="Times New Roman"/>
          <w:color w:val="000000"/>
        </w:rPr>
        <w:t>”</w:t>
      </w:r>
      <w:proofErr w:type="gramEnd"/>
      <w:r w:rsidRPr="003A1AAA">
        <w:rPr>
          <w:rFonts w:eastAsia="Times New Roman" w:cs="Times New Roman"/>
          <w:color w:val="000000"/>
        </w:rPr>
        <w:t xml:space="preserve">  (</w:t>
      </w:r>
      <w:r w:rsidRPr="00A62691">
        <w:rPr>
          <w:rFonts w:eastAsia="Times New Roman" w:cs="Times New Roman"/>
          <w:i/>
          <w:iCs/>
          <w:color w:val="3D3D3D"/>
          <w:bdr w:val="none" w:sz="0" w:space="0" w:color="auto" w:frame="1"/>
        </w:rPr>
        <w:t>Mitchell</w:t>
      </w:r>
      <w:r>
        <w:rPr>
          <w:rFonts w:eastAsia="Times New Roman" w:cs="Times New Roman"/>
          <w:i/>
          <w:iCs/>
          <w:color w:val="3D3D3D"/>
          <w:bdr w:val="none" w:sz="0" w:space="0" w:color="auto" w:frame="1"/>
        </w:rPr>
        <w:t>, supra,</w:t>
      </w:r>
      <w:r w:rsidRPr="00A62691">
        <w:rPr>
          <w:rFonts w:eastAsia="Times New Roman" w:cs="Times New Roman"/>
          <w:color w:val="000000"/>
        </w:rPr>
        <w:t xml:space="preserve"> 588</w:t>
      </w:r>
      <w:r>
        <w:rPr>
          <w:rFonts w:eastAsia="Times New Roman" w:cs="Times New Roman"/>
          <w:color w:val="000000"/>
        </w:rPr>
        <w:t> </w:t>
      </w:r>
      <w:r w:rsidRPr="00A62691">
        <w:rPr>
          <w:rFonts w:eastAsia="Times New Roman" w:cs="Times New Roman"/>
          <w:color w:val="000000"/>
        </w:rPr>
        <w:t xml:space="preserve">U.S. </w:t>
      </w:r>
      <w:r>
        <w:rPr>
          <w:rFonts w:eastAsia="Times New Roman" w:cs="Times New Roman"/>
          <w:color w:val="000000"/>
        </w:rPr>
        <w:t>at p. </w:t>
      </w:r>
      <w:r w:rsidRPr="00A62691">
        <w:rPr>
          <w:rFonts w:eastAsia="Times New Roman" w:cs="Times New Roman"/>
          <w:color w:val="000000"/>
        </w:rPr>
        <w:t>84</w:t>
      </w:r>
      <w:r>
        <w:rPr>
          <w:rFonts w:eastAsia="Times New Roman" w:cs="Times New Roman"/>
          <w:color w:val="000000"/>
        </w:rPr>
        <w:t>7</w:t>
      </w:r>
      <w:r>
        <w:rPr>
          <w:rFonts w:eastAsia="Times New Roman" w:cs="Times New Roman"/>
          <w:color w:val="000000"/>
        </w:rPr>
        <w:t xml:space="preserve"> (</w:t>
      </w:r>
      <w:proofErr w:type="spellStart"/>
      <w:r>
        <w:rPr>
          <w:rFonts w:eastAsia="Times New Roman" w:cs="Times New Roman"/>
          <w:color w:val="000000"/>
        </w:rPr>
        <w:t>plur</w:t>
      </w:r>
      <w:proofErr w:type="spellEnd"/>
      <w:r>
        <w:rPr>
          <w:rFonts w:eastAsia="Times New Roman" w:cs="Times New Roman"/>
          <w:color w:val="000000"/>
        </w:rPr>
        <w:t xml:space="preserve">. </w:t>
      </w:r>
      <w:proofErr w:type="spellStart"/>
      <w:r>
        <w:rPr>
          <w:rFonts w:eastAsia="Times New Roman" w:cs="Times New Roman"/>
          <w:color w:val="000000"/>
        </w:rPr>
        <w:t>opn</w:t>
      </w:r>
      <w:proofErr w:type="spellEnd"/>
      <w:r>
        <w:rPr>
          <w:rFonts w:eastAsia="Times New Roman" w:cs="Times New Roman"/>
          <w:color w:val="000000"/>
        </w:rPr>
        <w:t>. of Alito, J.)</w:t>
      </w:r>
      <w:r w:rsidRPr="003A1AAA">
        <w:rPr>
          <w:rFonts w:eastAsia="Times New Roman" w:cs="Times New Roman"/>
          <w:color w:val="000000"/>
        </w:rPr>
        <w:t>.</w:t>
      </w:r>
      <w:r w:rsidRPr="003A1AAA">
        <w:rPr>
          <w:rFonts w:eastAsia="Times New Roman" w:cs="Times New Roman"/>
          <w:color w:val="000000"/>
        </w:rPr>
        <w:t>)</w:t>
      </w:r>
      <w:r w:rsidRPr="003A1AAA">
        <w:rPr>
          <w:rFonts w:eastAsia="Times New Roman" w:cs="Times New Roman"/>
          <w:color w:val="000000"/>
        </w:rPr>
        <w:t xml:space="preserve"> </w:t>
      </w:r>
      <w:r w:rsidRPr="003A1AAA">
        <w:rPr>
          <w:rFonts w:eastAsia="Times New Roman" w:cs="Times New Roman"/>
          <w:color w:val="000000"/>
        </w:rPr>
        <w:t xml:space="preserve"> When the </w:t>
      </w:r>
      <w:r w:rsidRPr="003A1AAA">
        <w:rPr>
          <w:rFonts w:eastAsia="Times New Roman" w:cs="Times New Roman"/>
          <w:i/>
          <w:color w:val="000000"/>
        </w:rPr>
        <w:t>Mitchell</w:t>
      </w:r>
      <w:r w:rsidRPr="003A1AAA">
        <w:rPr>
          <w:rFonts w:eastAsia="Times New Roman" w:cs="Times New Roman"/>
          <w:color w:val="000000"/>
        </w:rPr>
        <w:t xml:space="preserve"> and </w:t>
      </w:r>
      <w:r w:rsidRPr="003A1AAA">
        <w:rPr>
          <w:rFonts w:eastAsia="Times New Roman" w:cs="Times New Roman"/>
          <w:i/>
          <w:color w:val="000000"/>
        </w:rPr>
        <w:t>McNeely</w:t>
      </w:r>
      <w:r w:rsidRPr="003A1AAA">
        <w:rPr>
          <w:rFonts w:eastAsia="Times New Roman" w:cs="Times New Roman"/>
          <w:color w:val="000000"/>
        </w:rPr>
        <w:t xml:space="preserve"> pluralities </w:t>
      </w:r>
      <w:r>
        <w:rPr>
          <w:rFonts w:eastAsia="Times New Roman" w:cs="Times New Roman"/>
          <w:color w:val="000000"/>
        </w:rPr>
        <w:t xml:space="preserve">and the </w:t>
      </w:r>
      <w:r w:rsidRPr="003A1AAA">
        <w:rPr>
          <w:rFonts w:eastAsia="Times New Roman" w:cs="Times New Roman"/>
          <w:i/>
          <w:iCs/>
          <w:color w:val="000000"/>
        </w:rPr>
        <w:t>Birchfield</w:t>
      </w:r>
      <w:r>
        <w:rPr>
          <w:rFonts w:eastAsia="Times New Roman" w:cs="Times New Roman"/>
          <w:color w:val="000000"/>
        </w:rPr>
        <w:t xml:space="preserve"> majority opinion </w:t>
      </w:r>
      <w:r w:rsidRPr="003A1AAA">
        <w:rPr>
          <w:rFonts w:eastAsia="Times New Roman" w:cs="Times New Roman"/>
          <w:color w:val="000000"/>
        </w:rPr>
        <w:t xml:space="preserve">are read together, five </w:t>
      </w:r>
      <w:r>
        <w:rPr>
          <w:rFonts w:eastAsia="Times New Roman" w:cs="Times New Roman"/>
          <w:color w:val="000000"/>
        </w:rPr>
        <w:t>current j</w:t>
      </w:r>
      <w:r>
        <w:rPr>
          <w:rFonts w:eastAsia="Times New Roman" w:cs="Times New Roman"/>
          <w:color w:val="000000"/>
        </w:rPr>
        <w:t>ustices</w:t>
      </w:r>
      <w:r w:rsidRPr="003A1AAA">
        <w:rPr>
          <w:rFonts w:eastAsia="Times New Roman" w:cs="Times New Roman"/>
          <w:color w:val="000000"/>
        </w:rPr>
        <w:t xml:space="preserve"> on the United States Supreme Court have joined an opinion </w:t>
      </w:r>
      <w:r w:rsidRPr="003A1AAA">
        <w:rPr>
          <w:rFonts w:eastAsia="Times New Roman" w:cs="Times New Roman"/>
          <w:color w:val="000000"/>
        </w:rPr>
        <w:t>acknowledging that</w:t>
      </w:r>
      <w:r w:rsidRPr="003A1AAA">
        <w:rPr>
          <w:rFonts w:eastAsia="Times New Roman" w:cs="Times New Roman"/>
          <w:color w:val="000000"/>
        </w:rPr>
        <w:t>—</w:t>
      </w:r>
      <w:r w:rsidRPr="003A1AAA">
        <w:rPr>
          <w:rFonts w:eastAsia="Times New Roman" w:cs="Times New Roman"/>
          <w:color w:val="000000"/>
        </w:rPr>
        <w:t>short of cri</w:t>
      </w:r>
      <w:r w:rsidRPr="003A1AAA">
        <w:rPr>
          <w:rFonts w:eastAsia="Times New Roman" w:cs="Times New Roman"/>
          <w:color w:val="000000"/>
        </w:rPr>
        <w:t>minal conviction—states may</w:t>
      </w:r>
      <w:r w:rsidRPr="003A1AAA">
        <w:rPr>
          <w:rFonts w:eastAsia="Times New Roman" w:cs="Times New Roman"/>
          <w:color w:val="000000"/>
        </w:rPr>
        <w:t xml:space="preserve"> use </w:t>
      </w:r>
      <w:r w:rsidRPr="003A1AAA">
        <w:rPr>
          <w:rFonts w:eastAsia="Times New Roman" w:cs="Times New Roman"/>
          <w:color w:val="000000"/>
        </w:rPr>
        <w:t xml:space="preserve">implied consent </w:t>
      </w:r>
      <w:r w:rsidRPr="003A1AAA">
        <w:rPr>
          <w:rFonts w:eastAsia="Times New Roman" w:cs="Times New Roman"/>
          <w:color w:val="000000"/>
        </w:rPr>
        <w:t xml:space="preserve">laws to impose a variety of adverse consequences on </w:t>
      </w:r>
      <w:r w:rsidRPr="003A1AAA">
        <w:rPr>
          <w:rFonts w:eastAsia="Times New Roman" w:cs="Times New Roman"/>
          <w:color w:val="000000"/>
        </w:rPr>
        <w:t>DUI arrestees who refuse b</w:t>
      </w:r>
      <w:r w:rsidRPr="003A1AAA">
        <w:rPr>
          <w:rFonts w:eastAsia="Times New Roman" w:cs="Times New Roman"/>
          <w:color w:val="000000"/>
        </w:rPr>
        <w:t>lood testing.</w:t>
      </w:r>
      <w:r>
        <w:rPr>
          <w:rFonts w:eastAsia="Times New Roman" w:cs="Times New Roman"/>
          <w:color w:val="000000"/>
        </w:rPr>
        <w:t xml:space="preserve"> </w:t>
      </w:r>
      <w:r>
        <w:rPr>
          <w:rFonts w:eastAsia="Times New Roman" w:cs="Times New Roman"/>
          <w:color w:val="000000"/>
        </w:rPr>
        <w:t xml:space="preserve"> </w:t>
      </w:r>
    </w:p>
    <w:p w14:paraId="4D73A095" w14:textId="77777777" w:rsidR="00AD3A06" w:rsidRDefault="00AD3A06" w:rsidP="008F3486">
      <w:pPr>
        <w:pStyle w:val="Heading2"/>
      </w:pPr>
      <w:r>
        <w:lastRenderedPageBreak/>
        <w:t xml:space="preserve">The Trial Court Did Not Err </w:t>
      </w:r>
      <w:r>
        <w:t>b</w:t>
      </w:r>
      <w:r>
        <w:t xml:space="preserve">y Instructing </w:t>
      </w:r>
      <w:r>
        <w:t>w</w:t>
      </w:r>
      <w:r>
        <w:t xml:space="preserve">ith CALCRIM No. 2130 That </w:t>
      </w:r>
      <w:r>
        <w:t xml:space="preserve">Jurors Could Consider </w:t>
      </w:r>
      <w:proofErr w:type="spellStart"/>
      <w:r>
        <w:t>Bolourchi’s</w:t>
      </w:r>
      <w:proofErr w:type="spellEnd"/>
      <w:r>
        <w:t xml:space="preserve"> Refusal as Evidence of Consciousness of Guilt</w:t>
      </w:r>
      <w:r>
        <w:t xml:space="preserve">  </w:t>
      </w:r>
    </w:p>
    <w:p w14:paraId="67E45BAD" w14:textId="77777777" w:rsidR="00AD3A06" w:rsidRDefault="00AD3A06" w:rsidP="00DF53A3">
      <w:r>
        <w:t xml:space="preserve">Following </w:t>
      </w:r>
      <w:r w:rsidRPr="00AD29A0">
        <w:rPr>
          <w:i/>
          <w:iCs/>
        </w:rPr>
        <w:t>McNeely</w:t>
      </w:r>
      <w:r>
        <w:t xml:space="preserve"> and </w:t>
      </w:r>
      <w:r w:rsidRPr="00AD29A0">
        <w:rPr>
          <w:i/>
          <w:iCs/>
        </w:rPr>
        <w:t>Birchfield</w:t>
      </w:r>
      <w:r>
        <w:t xml:space="preserve">, </w:t>
      </w:r>
      <w:r>
        <w:t xml:space="preserve">a warrantless blood test </w:t>
      </w:r>
      <w:r>
        <w:t>incident to</w:t>
      </w:r>
      <w:r>
        <w:t xml:space="preserve"> a DUI arrest may not be justified under the Fourth Amendment based on the implied consent law alone.  </w:t>
      </w:r>
      <w:r w:rsidRPr="00AD29A0">
        <w:t>(</w:t>
      </w:r>
      <w:r w:rsidRPr="00284875">
        <w:rPr>
          <w:i/>
          <w:iCs/>
        </w:rPr>
        <w:t>Alvarez</w:t>
      </w:r>
      <w:r w:rsidRPr="00AD29A0">
        <w:t xml:space="preserve">, </w:t>
      </w:r>
      <w:r w:rsidRPr="00284875">
        <w:rPr>
          <w:i/>
          <w:iCs/>
        </w:rPr>
        <w:t>supra</w:t>
      </w:r>
      <w:r w:rsidRPr="00AD29A0">
        <w:t>, 98</w:t>
      </w:r>
      <w:r>
        <w:t> </w:t>
      </w:r>
      <w:r w:rsidRPr="00AD29A0">
        <w:t>Cal.App.5th at p</w:t>
      </w:r>
      <w:r>
        <w:t>p</w:t>
      </w:r>
      <w:r w:rsidRPr="00AD29A0">
        <w:t>.</w:t>
      </w:r>
      <w:r>
        <w:t> 548</w:t>
      </w:r>
      <w:r>
        <w:t>–</w:t>
      </w:r>
      <w:r>
        <w:t>549</w:t>
      </w:r>
      <w:r>
        <w:t xml:space="preserve"> [actual consent, but not implied consent, justifies a warrantless blood draw]</w:t>
      </w:r>
      <w:r w:rsidRPr="00AD29A0">
        <w:t xml:space="preserve">.) </w:t>
      </w:r>
      <w:r>
        <w:t xml:space="preserve"> </w:t>
      </w:r>
      <w:r w:rsidRPr="00AD29A0">
        <w:t xml:space="preserve">“Taken together, ‘the reasoning and analysis in </w:t>
      </w:r>
      <w:r w:rsidRPr="00284875">
        <w:rPr>
          <w:i/>
          <w:iCs/>
        </w:rPr>
        <w:t>Birchfield</w:t>
      </w:r>
      <w:r w:rsidRPr="00AD29A0">
        <w:t xml:space="preserve"> and </w:t>
      </w:r>
      <w:r w:rsidRPr="00284875">
        <w:rPr>
          <w:i/>
          <w:iCs/>
        </w:rPr>
        <w:t>McNeely</w:t>
      </w:r>
      <w:r w:rsidRPr="00AD29A0">
        <w:t xml:space="preserve">, as well as other Fourth Amendment precedent, suggest that blood draws may only be performed after either obtaining a warrant, obtaining valid </w:t>
      </w:r>
      <w:r w:rsidRPr="00AD29A0">
        <w:t>consent from the defendant, or under exigent circumstances with probable cause.</w:t>
      </w:r>
      <w:proofErr w:type="gramStart"/>
      <w:r w:rsidRPr="00AD29A0">
        <w:t>’</w:t>
      </w:r>
      <w:r>
        <w:t> </w:t>
      </w:r>
      <w:r w:rsidRPr="00AD29A0">
        <w:t>”</w:t>
      </w:r>
      <w:proofErr w:type="gramEnd"/>
      <w:r w:rsidRPr="00AD29A0">
        <w:t xml:space="preserve">  (</w:t>
      </w:r>
      <w:r w:rsidRPr="00284875">
        <w:rPr>
          <w:i/>
          <w:iCs/>
        </w:rPr>
        <w:t>Alvarez</w:t>
      </w:r>
      <w:r w:rsidRPr="00AD29A0">
        <w:t>, at p.</w:t>
      </w:r>
      <w:r>
        <w:t> </w:t>
      </w:r>
      <w:r w:rsidRPr="00AD29A0">
        <w:t>550.)</w:t>
      </w:r>
      <w:r>
        <w:t xml:space="preserve">  In the present case, of course, </w:t>
      </w:r>
      <w:proofErr w:type="spellStart"/>
      <w:r>
        <w:t>Bolourchi’s</w:t>
      </w:r>
      <w:proofErr w:type="spellEnd"/>
      <w:r>
        <w:t xml:space="preserve"> blood was not drawn until after the police obtained a warrant</w:t>
      </w:r>
      <w:r>
        <w:t>,</w:t>
      </w:r>
      <w:r>
        <w:t xml:space="preserve"> so the Fourth Amendment d</w:t>
      </w:r>
      <w:r>
        <w:t>id</w:t>
      </w:r>
      <w:r>
        <w:t xml:space="preserve"> not limit the introduction of the blood test results into evidence</w:t>
      </w:r>
      <w:r>
        <w:t xml:space="preserve">, and </w:t>
      </w:r>
      <w:proofErr w:type="spellStart"/>
      <w:r>
        <w:t>Bolourchi</w:t>
      </w:r>
      <w:proofErr w:type="spellEnd"/>
      <w:r>
        <w:t xml:space="preserve"> makes no argument that the results were improperly admitted</w:t>
      </w:r>
      <w:r>
        <w:t xml:space="preserve">. </w:t>
      </w:r>
      <w:r>
        <w:t xml:space="preserve"> </w:t>
      </w:r>
    </w:p>
    <w:p w14:paraId="3E9DFD19" w14:textId="77777777" w:rsidR="00AD3A06" w:rsidRDefault="00AD3A06" w:rsidP="00F26FFF">
      <w:r>
        <w:t>W</w:t>
      </w:r>
      <w:r>
        <w:t>hile</w:t>
      </w:r>
      <w:r>
        <w:t xml:space="preserve"> the blood test ultimately performed </w:t>
      </w:r>
      <w:r>
        <w:t xml:space="preserve">here </w:t>
      </w:r>
      <w:r>
        <w:t xml:space="preserve">was permissible under the Fourth Amendment, the question </w:t>
      </w:r>
      <w:r>
        <w:t xml:space="preserve">presented in this case is </w:t>
      </w:r>
      <w:r>
        <w:t>what penalties or consequences</w:t>
      </w:r>
      <w:r>
        <w:t xml:space="preserve"> may be imposed on</w:t>
      </w:r>
      <w:r>
        <w:t xml:space="preserve"> </w:t>
      </w:r>
      <w:proofErr w:type="spellStart"/>
      <w:r>
        <w:t>Bolourchi</w:t>
      </w:r>
      <w:proofErr w:type="spellEnd"/>
      <w:r>
        <w:t xml:space="preserve"> for his refusal to submit to the test</w:t>
      </w:r>
      <w:r>
        <w:t xml:space="preserve"> </w:t>
      </w:r>
      <w:r>
        <w:t>when no warrant had yet been obtained</w:t>
      </w:r>
      <w:r>
        <w:t>.</w:t>
      </w:r>
      <w:r>
        <w:t xml:space="preserve">  </w:t>
      </w:r>
      <w:proofErr w:type="spellStart"/>
      <w:r>
        <w:t>Bolourchi</w:t>
      </w:r>
      <w:proofErr w:type="spellEnd"/>
      <w:r>
        <w:t xml:space="preserve"> contends he had a Fourth Amendment “right to demand a warrant before submitting to </w:t>
      </w:r>
      <w:r>
        <w:t>the</w:t>
      </w:r>
      <w:r>
        <w:t xml:space="preserve"> blood draw,” so his </w:t>
      </w:r>
      <w:r>
        <w:t>assertion o</w:t>
      </w:r>
      <w:r>
        <w:t xml:space="preserve">f that right “cannot </w:t>
      </w:r>
      <w:r>
        <w:t xml:space="preserve">constitute a </w:t>
      </w:r>
      <w:r>
        <w:t>refusal</w:t>
      </w:r>
      <w:r>
        <w:t xml:space="preserve"> under the law and, thus, cannot be used against him as evidence of his consc</w:t>
      </w:r>
      <w:r>
        <w:t xml:space="preserve">iousness of guilt.” </w:t>
      </w:r>
      <w:r>
        <w:t xml:space="preserve"> He argues</w:t>
      </w:r>
      <w:proofErr w:type="gramStart"/>
      <w:r>
        <w:t>:  “</w:t>
      </w:r>
      <w:proofErr w:type="gramEnd"/>
      <w:r w:rsidRPr="00C1033B">
        <w:t xml:space="preserve">Since the instruction </w:t>
      </w:r>
      <w:r>
        <w:t xml:space="preserve">[CALCRIM No. 2130] </w:t>
      </w:r>
      <w:r w:rsidRPr="00C1033B">
        <w:t xml:space="preserve">improperly invited the jury to penalize </w:t>
      </w:r>
      <w:r>
        <w:t>[</w:t>
      </w:r>
      <w:proofErr w:type="spellStart"/>
      <w:r>
        <w:t>Bolourchi</w:t>
      </w:r>
      <w:proofErr w:type="spellEnd"/>
      <w:r>
        <w:t>]</w:t>
      </w:r>
      <w:r w:rsidRPr="00C1033B">
        <w:t xml:space="preserve"> for lawfully asserting his constitutional right, the giving of the instruction was error.</w:t>
      </w:r>
      <w:r>
        <w:t xml:space="preserve">” </w:t>
      </w:r>
      <w:r>
        <w:t xml:space="preserve"> </w:t>
      </w:r>
    </w:p>
    <w:p w14:paraId="4E038E95" w14:textId="77777777" w:rsidR="00AD3A06" w:rsidRDefault="00AD3A06" w:rsidP="00FB2840">
      <w:r>
        <w:t>But a</w:t>
      </w:r>
      <w:r>
        <w:t xml:space="preserve">s the Attorney General points out, the </w:t>
      </w:r>
      <w:r w:rsidRPr="00CA19D4">
        <w:rPr>
          <w:i/>
          <w:iCs/>
        </w:rPr>
        <w:t>Birchfield</w:t>
      </w:r>
      <w:r>
        <w:t xml:space="preserve"> court did not hold that the Fourth Amendment prohibits all penalties or consequences for a driver who refuses to submit to a blood test after a DUI arrest.  Instead, </w:t>
      </w:r>
      <w:r w:rsidRPr="00E53061">
        <w:rPr>
          <w:i/>
          <w:iCs/>
        </w:rPr>
        <w:lastRenderedPageBreak/>
        <w:t>Birchfield</w:t>
      </w:r>
      <w:r>
        <w:t xml:space="preserve"> </w:t>
      </w:r>
      <w:r>
        <w:t>h</w:t>
      </w:r>
      <w:r>
        <w:t>e</w:t>
      </w:r>
      <w:r>
        <w:t>ld</w:t>
      </w:r>
      <w:r>
        <w:t xml:space="preserve"> </w:t>
      </w:r>
      <w:r>
        <w:t xml:space="preserve">specifically that </w:t>
      </w:r>
      <w:r>
        <w:t xml:space="preserve">the imposition of </w:t>
      </w:r>
      <w:r w:rsidRPr="00C44C6D">
        <w:t>criminal penalties</w:t>
      </w:r>
      <w:r>
        <w:t xml:space="preserve"> for a refusal </w:t>
      </w:r>
      <w:r>
        <w:t xml:space="preserve">to submit to a blood test </w:t>
      </w:r>
      <w:r>
        <w:t>is not permitted</w:t>
      </w:r>
      <w:r>
        <w:t xml:space="preserve">.  </w:t>
      </w:r>
      <w:r>
        <w:t>(</w:t>
      </w:r>
      <w:r w:rsidRPr="00EB3FE1">
        <w:rPr>
          <w:i/>
          <w:iCs/>
        </w:rPr>
        <w:t>Birchfield</w:t>
      </w:r>
      <w:r>
        <w:t xml:space="preserve">, </w:t>
      </w:r>
      <w:r w:rsidRPr="00EB3FE1">
        <w:rPr>
          <w:i/>
          <w:iCs/>
        </w:rPr>
        <w:t>supra</w:t>
      </w:r>
      <w:r>
        <w:t>, 579</w:t>
      </w:r>
      <w:r>
        <w:t> </w:t>
      </w:r>
      <w:r>
        <w:t>U.S. at pp. 476</w:t>
      </w:r>
      <w:r>
        <w:t>–</w:t>
      </w:r>
      <w:r>
        <w:t xml:space="preserve">477; see </w:t>
      </w:r>
      <w:r w:rsidRPr="00D45765">
        <w:rPr>
          <w:i/>
          <w:iCs/>
        </w:rPr>
        <w:t>id.</w:t>
      </w:r>
      <w:r>
        <w:t xml:space="preserve"> at p. 444.)</w:t>
      </w:r>
      <w:r>
        <w:t xml:space="preserve">  Applying the “reasonableness” standard that is “always the touchstone of Fourth Amendment analysis,” the </w:t>
      </w:r>
      <w:r w:rsidRPr="007E6D93">
        <w:rPr>
          <w:i/>
          <w:iCs/>
        </w:rPr>
        <w:t>Birchfield</w:t>
      </w:r>
      <w:r>
        <w:t xml:space="preserve"> court held that a driver “cannot be deemed to have consented to submit to a blood test on pain of committing a criminal offense.”  (</w:t>
      </w:r>
      <w:r>
        <w:rPr>
          <w:i/>
        </w:rPr>
        <w:t>Id.</w:t>
      </w:r>
      <w:r>
        <w:t xml:space="preserve"> at p. 477.)</w:t>
      </w:r>
      <w:r>
        <w:t xml:space="preserve">  </w:t>
      </w:r>
      <w:r>
        <w:t>B</w:t>
      </w:r>
      <w:r>
        <w:t xml:space="preserve">efore stating this conclusion, </w:t>
      </w:r>
      <w:r>
        <w:t xml:space="preserve">however, </w:t>
      </w:r>
      <w:r>
        <w:t xml:space="preserve">the court </w:t>
      </w:r>
      <w:r>
        <w:t xml:space="preserve">emphasized </w:t>
      </w:r>
      <w:r>
        <w:t xml:space="preserve">it was not </w:t>
      </w:r>
      <w:r>
        <w:t xml:space="preserve">prohibiting </w:t>
      </w:r>
      <w:r>
        <w:t xml:space="preserve">states </w:t>
      </w:r>
      <w:r>
        <w:t xml:space="preserve">from </w:t>
      </w:r>
      <w:r>
        <w:t>impos</w:t>
      </w:r>
      <w:r>
        <w:t>ing</w:t>
      </w:r>
      <w:r>
        <w:t xml:space="preserve"> other consequences—specifically, “civil penalties and </w:t>
      </w:r>
      <w:r w:rsidRPr="005528EF">
        <w:rPr>
          <w:i/>
          <w:iCs/>
        </w:rPr>
        <w:t>evidentiary consequences</w:t>
      </w:r>
      <w:r>
        <w:t>”—for a refusal to submit to a blood test.  (</w:t>
      </w:r>
      <w:r>
        <w:rPr>
          <w:i/>
        </w:rPr>
        <w:t>Id.</w:t>
      </w:r>
      <w:r>
        <w:t xml:space="preserve"> </w:t>
      </w:r>
      <w:r>
        <w:t>at pp. 476</w:t>
      </w:r>
      <w:r>
        <w:t>–</w:t>
      </w:r>
      <w:r>
        <w:t xml:space="preserve">477, italics added.)  The court stated its </w:t>
      </w:r>
      <w:r>
        <w:t>“prior opinions have referred approvingly to the general concept of implied-consent laws that impose civil penalties and evidentiary consequences on motorists who refuse to comply,” and “nothing we say here should be read to cast doubt on them.”  (</w:t>
      </w:r>
      <w:r>
        <w:rPr>
          <w:i/>
        </w:rPr>
        <w:t>Ibid</w:t>
      </w:r>
      <w:r>
        <w:rPr>
          <w:iCs/>
        </w:rPr>
        <w:t>.)</w:t>
      </w:r>
      <w:r>
        <w:t xml:space="preserve">  </w:t>
      </w:r>
      <w:proofErr w:type="spellStart"/>
      <w:r>
        <w:t>Bolourchi</w:t>
      </w:r>
      <w:proofErr w:type="spellEnd"/>
      <w:r>
        <w:t xml:space="preserve"> does not mention or address this portion of </w:t>
      </w:r>
      <w:r w:rsidRPr="00497502">
        <w:rPr>
          <w:i/>
          <w:iCs/>
        </w:rPr>
        <w:t>Birchfield</w:t>
      </w:r>
      <w:r>
        <w:t xml:space="preserve"> in his appellate briefs. </w:t>
      </w:r>
    </w:p>
    <w:p w14:paraId="7981D68C" w14:textId="77777777" w:rsidR="00AD3A06" w:rsidRDefault="00AD3A06" w:rsidP="00C8124A">
      <w:r>
        <w:t xml:space="preserve">Here, </w:t>
      </w:r>
      <w:proofErr w:type="spellStart"/>
      <w:r>
        <w:t>Bolourchi</w:t>
      </w:r>
      <w:proofErr w:type="spellEnd"/>
      <w:r>
        <w:t xml:space="preserve"> was </w:t>
      </w:r>
      <w:r w:rsidRPr="0025017F">
        <w:t>not</w:t>
      </w:r>
      <w:r>
        <w:t xml:space="preserve"> punished criminally for his refusal to submit to a warrantless blood test.  Unlike the states whose laws were at issue in </w:t>
      </w:r>
      <w:r w:rsidRPr="00F26FFF">
        <w:rPr>
          <w:i/>
          <w:iCs/>
        </w:rPr>
        <w:t>Birchfield</w:t>
      </w:r>
      <w:r>
        <w:t xml:space="preserve">, California has never </w:t>
      </w:r>
      <w:proofErr w:type="gramStart"/>
      <w:r>
        <w:t>“ ‘</w:t>
      </w:r>
      <w:proofErr w:type="gramEnd"/>
      <w:r>
        <w:t xml:space="preserve">made it a stand-alone criminal offense for a DUI arrestee to refuse to submit to a chemical test.’ ”  </w:t>
      </w:r>
      <w:r>
        <w:t>(</w:t>
      </w:r>
      <w:r w:rsidRPr="001A31A2">
        <w:rPr>
          <w:i/>
          <w:iCs/>
        </w:rPr>
        <w:t xml:space="preserve">Espinoza v. </w:t>
      </w:r>
      <w:proofErr w:type="spellStart"/>
      <w:r w:rsidRPr="001A31A2">
        <w:rPr>
          <w:i/>
          <w:iCs/>
        </w:rPr>
        <w:t>Shiomoto</w:t>
      </w:r>
      <w:proofErr w:type="spellEnd"/>
      <w:r>
        <w:t xml:space="preserve"> (2017) 10 Cal.App.5th 85, 1</w:t>
      </w:r>
      <w:r>
        <w:t>1</w:t>
      </w:r>
      <w:r>
        <w:t>3</w:t>
      </w:r>
      <w:r>
        <w:t>,</w:t>
      </w:r>
      <w:r>
        <w:t xml:space="preserve"> fn.</w:t>
      </w:r>
      <w:r>
        <w:t> </w:t>
      </w:r>
      <w:r>
        <w:t xml:space="preserve">10 </w:t>
      </w:r>
      <w:r>
        <w:t>(</w:t>
      </w:r>
      <w:r w:rsidRPr="006305E7">
        <w:rPr>
          <w:i/>
          <w:iCs/>
        </w:rPr>
        <w:t>Espinoza</w:t>
      </w:r>
      <w:r>
        <w:t>).)</w:t>
      </w:r>
      <w:r>
        <w:t xml:space="preserve">  </w:t>
      </w:r>
      <w:r>
        <w:t xml:space="preserve">In some circumstances, </w:t>
      </w:r>
      <w:r>
        <w:t xml:space="preserve">however, </w:t>
      </w:r>
      <w:r>
        <w:t>a</w:t>
      </w:r>
      <w:r>
        <w:t xml:space="preserve"> refusal c</w:t>
      </w:r>
      <w:r>
        <w:t>an</w:t>
      </w:r>
      <w:r>
        <w:t xml:space="preserve"> result in </w:t>
      </w:r>
      <w:r w:rsidRPr="00401F19">
        <w:t>increased</w:t>
      </w:r>
      <w:r>
        <w:t xml:space="preserve"> criminal penaltie</w:t>
      </w:r>
      <w:r>
        <w:t xml:space="preserve">s for a driver convicted of DUI.  </w:t>
      </w:r>
      <w:r>
        <w:t>A</w:t>
      </w:r>
      <w:r>
        <w:t xml:space="preserve">s the </w:t>
      </w:r>
      <w:r w:rsidRPr="00F23663">
        <w:rPr>
          <w:i/>
          <w:iCs/>
        </w:rPr>
        <w:t>Espinoza</w:t>
      </w:r>
      <w:r>
        <w:t xml:space="preserve"> court noted in 2017, </w:t>
      </w:r>
      <w:r>
        <w:t>“a motorist’s refusal t</w:t>
      </w:r>
      <w:r>
        <w:t>o submit to or failure to complete a chemical test, if pleaded and proven by the prosecutor, result</w:t>
      </w:r>
      <w:r>
        <w:t>s</w:t>
      </w:r>
      <w:r>
        <w:t xml:space="preserve"> in increased criminal penalties if the motorist is convicted of DUI in violation of section 23152 or 23153. </w:t>
      </w:r>
      <w:r>
        <w:t xml:space="preserve"> </w:t>
      </w:r>
      <w:r>
        <w:t>(§§ 23577, 23578.)”  (</w:t>
      </w:r>
      <w:r w:rsidRPr="003C6D83">
        <w:rPr>
          <w:i/>
          <w:iCs/>
        </w:rPr>
        <w:t>Espinoza</w:t>
      </w:r>
      <w:r>
        <w:t>, at p. 11</w:t>
      </w:r>
      <w:r>
        <w:t>3</w:t>
      </w:r>
      <w:r>
        <w:t>, fn. 10.</w:t>
      </w:r>
      <w:r>
        <w:t>)</w:t>
      </w:r>
      <w:r>
        <w:t xml:space="preserve">  </w:t>
      </w:r>
      <w:r>
        <w:t xml:space="preserve">But in </w:t>
      </w:r>
      <w:r>
        <w:t xml:space="preserve">2018, </w:t>
      </w:r>
      <w:r>
        <w:t xml:space="preserve">to comply with </w:t>
      </w:r>
      <w:r w:rsidRPr="00FC0494">
        <w:rPr>
          <w:i/>
          <w:iCs/>
        </w:rPr>
        <w:t>Birchfield</w:t>
      </w:r>
      <w:r>
        <w:t xml:space="preserve">, </w:t>
      </w:r>
      <w:r>
        <w:t xml:space="preserve">the Legislature amended the relevant statutes to eliminate the increased </w:t>
      </w:r>
      <w:r>
        <w:lastRenderedPageBreak/>
        <w:t xml:space="preserve">criminal penalties where a driver refuses to submit to a blood test, while leaving them in place for a refusal to submit to a </w:t>
      </w:r>
      <w:r>
        <w:t>breath or urine test.</w:t>
      </w:r>
      <w:r>
        <w:t xml:space="preserve">  (</w:t>
      </w:r>
      <w:r>
        <w:t>§§ 23577, subds. (a), (</w:t>
      </w:r>
      <w:r>
        <w:t>c</w:t>
      </w:r>
      <w:r>
        <w:t>)</w:t>
      </w:r>
      <w:r>
        <w:t>, 23578, 23612, subd.</w:t>
      </w:r>
      <w:r>
        <w:t> </w:t>
      </w:r>
      <w:r>
        <w:t>(a)(1)(D)</w:t>
      </w:r>
      <w:r>
        <w:t xml:space="preserve">; </w:t>
      </w:r>
      <w:r>
        <w:t xml:space="preserve">Assem. Bill No. 2717, Stats. 2018, </w:t>
      </w:r>
      <w:proofErr w:type="spellStart"/>
      <w:r>
        <w:t>ch.</w:t>
      </w:r>
      <w:proofErr w:type="spellEnd"/>
      <w:r>
        <w:t> 177, §§ 1</w:t>
      </w:r>
      <w:r>
        <w:t>–</w:t>
      </w:r>
      <w:r>
        <w:t>3, amending §§ 23577, 23578, 23612</w:t>
      </w:r>
      <w:r>
        <w:t>; see Legis. Counsel’s Dig</w:t>
      </w:r>
      <w:r>
        <w:t>.</w:t>
      </w:r>
      <w:r>
        <w:t xml:space="preserve">, Assem. Bill </w:t>
      </w:r>
      <w:r>
        <w:t>No. </w:t>
      </w:r>
      <w:r>
        <w:t>2717</w:t>
      </w:r>
      <w:r>
        <w:t xml:space="preserve"> </w:t>
      </w:r>
      <w:r>
        <w:t xml:space="preserve">[stating </w:t>
      </w:r>
      <w:r w:rsidRPr="00C8124A">
        <w:rPr>
          <w:i/>
          <w:iCs/>
        </w:rPr>
        <w:t>Birchfield</w:t>
      </w:r>
      <w:r>
        <w:t xml:space="preserve"> “held that a motorist cannot be punished criminally for his or her refusal to submit to a blood </w:t>
      </w:r>
      <w:proofErr w:type="gramStart"/>
      <w:r>
        <w:t>test</w:t>
      </w:r>
      <w:r>
        <w:t>[</w:t>
      </w:r>
      <w:proofErr w:type="gramEnd"/>
      <w:r>
        <w:t>,</w:t>
      </w:r>
      <w:r>
        <w:t>]</w:t>
      </w:r>
      <w:r>
        <w:t xml:space="preserve">” but </w:t>
      </w:r>
      <w:r>
        <w:t xml:space="preserve">stating that </w:t>
      </w:r>
      <w:r>
        <w:t>“</w:t>
      </w:r>
      <w:r>
        <w:t xml:space="preserve">[t]he </w:t>
      </w:r>
      <w:r>
        <w:t>[</w:t>
      </w:r>
      <w:r w:rsidRPr="007721F1">
        <w:rPr>
          <w:i/>
          <w:iCs/>
        </w:rPr>
        <w:t>Birchfield</w:t>
      </w:r>
      <w:r>
        <w:t xml:space="preserve">] </w:t>
      </w:r>
      <w:r>
        <w:t xml:space="preserve">court </w:t>
      </w:r>
      <w:r>
        <w:t xml:space="preserve">held that administrative penalties could be imposed for a refusal to submit to a blood test for those purposes”].)  </w:t>
      </w:r>
    </w:p>
    <w:p w14:paraId="0510B2B2" w14:textId="77777777" w:rsidR="00AD3A06" w:rsidRDefault="00AD3A06" w:rsidP="00C8124A">
      <w:r>
        <w:t xml:space="preserve">In </w:t>
      </w:r>
      <w:r>
        <w:t>th</w:t>
      </w:r>
      <w:r>
        <w:t xml:space="preserve">is </w:t>
      </w:r>
      <w:r>
        <w:t>c</w:t>
      </w:r>
      <w:r>
        <w:t xml:space="preserve">ase, the information </w:t>
      </w:r>
      <w:r>
        <w:t>charg</w:t>
      </w:r>
      <w:r>
        <w:t>ing</w:t>
      </w:r>
      <w:r>
        <w:t xml:space="preserve"> </w:t>
      </w:r>
      <w:proofErr w:type="spellStart"/>
      <w:r>
        <w:t>Bolourchi</w:t>
      </w:r>
      <w:proofErr w:type="spellEnd"/>
      <w:r>
        <w:t xml:space="preserve"> with DUI </w:t>
      </w:r>
      <w:r>
        <w:t xml:space="preserve">included allegations </w:t>
      </w:r>
      <w:r>
        <w:t xml:space="preserve">that he </w:t>
      </w:r>
      <w:r>
        <w:t>refused to submit to a chemical test</w:t>
      </w:r>
      <w:r>
        <w:t xml:space="preserve"> within the meaning of sections </w:t>
      </w:r>
      <w:r>
        <w:t>23577</w:t>
      </w:r>
      <w:r>
        <w:t xml:space="preserve"> and</w:t>
      </w:r>
      <w:r>
        <w:t xml:space="preserve"> 23578. </w:t>
      </w:r>
      <w:r w:rsidRPr="00681AD0">
        <w:t xml:space="preserve"> </w:t>
      </w:r>
      <w:r>
        <w:t xml:space="preserve">Under the </w:t>
      </w:r>
      <w:r>
        <w:t xml:space="preserve">versions of the </w:t>
      </w:r>
      <w:r>
        <w:t xml:space="preserve">relevant statutes </w:t>
      </w:r>
      <w:r>
        <w:t xml:space="preserve">that were </w:t>
      </w:r>
      <w:r>
        <w:t xml:space="preserve">in effect when the </w:t>
      </w:r>
      <w:r>
        <w:t>information was filed</w:t>
      </w:r>
      <w:r>
        <w:t xml:space="preserve"> </w:t>
      </w:r>
      <w:r>
        <w:t xml:space="preserve">in 2020 </w:t>
      </w:r>
      <w:r>
        <w:t>(i.e., after the 2018 amendments discussed above)</w:t>
      </w:r>
      <w:r>
        <w:t xml:space="preserve">, </w:t>
      </w:r>
      <w:r>
        <w:t xml:space="preserve">the increased penalties authorized by sections 23577 and 23578 already did not apply to a </w:t>
      </w:r>
      <w:r>
        <w:t xml:space="preserve">refusal to take a blood test.  </w:t>
      </w:r>
      <w:r>
        <w:t>(§§ 23577, subds. (a), (c), 23578, 23612, subd.</w:t>
      </w:r>
      <w:r>
        <w:t> </w:t>
      </w:r>
      <w:r>
        <w:t>(a)(1)(D).)</w:t>
      </w:r>
      <w:r>
        <w:t xml:space="preserve">  But in any event, the </w:t>
      </w:r>
      <w:r>
        <w:t xml:space="preserve">trial </w:t>
      </w:r>
      <w:r>
        <w:t xml:space="preserve">court later granted the prosecutor’s motion to dismiss the </w:t>
      </w:r>
      <w:r>
        <w:t xml:space="preserve">enhancement </w:t>
      </w:r>
      <w:r>
        <w:t>allegations</w:t>
      </w:r>
      <w:r>
        <w:t xml:space="preserve"> for unrelated reasons</w:t>
      </w:r>
      <w:r>
        <w:t>,</w:t>
      </w:r>
      <w:r>
        <w:rPr>
          <w:rStyle w:val="FootnoteReference"/>
        </w:rPr>
        <w:footnoteReference w:id="9"/>
      </w:r>
      <w:r>
        <w:t xml:space="preserve"> </w:t>
      </w:r>
      <w:r>
        <w:t xml:space="preserve">and the allegations were not </w:t>
      </w:r>
      <w:r>
        <w:lastRenderedPageBreak/>
        <w:t>submitted to the jury</w:t>
      </w:r>
      <w:r>
        <w:t>.  T</w:t>
      </w:r>
      <w:r>
        <w:t>hus, th</w:t>
      </w:r>
      <w:r>
        <w:t>is case does not involve the imposition of criminal penalties for a refusal to submit to a blood test.</w:t>
      </w:r>
      <w:r>
        <w:t xml:space="preserve">  </w:t>
      </w:r>
    </w:p>
    <w:p w14:paraId="6CA417A0" w14:textId="77777777" w:rsidR="00AD3A06" w:rsidRDefault="00AD3A06" w:rsidP="00C8124A">
      <w:r>
        <w:t xml:space="preserve">We are not persuaded by </w:t>
      </w:r>
      <w:proofErr w:type="spellStart"/>
      <w:r>
        <w:t>Bolourchi’s</w:t>
      </w:r>
      <w:proofErr w:type="spellEnd"/>
      <w:r>
        <w:t xml:space="preserve"> suggestion that he should face </w:t>
      </w:r>
      <w:r w:rsidRPr="00B419E4">
        <w:rPr>
          <w:i/>
          <w:iCs/>
        </w:rPr>
        <w:t>no</w:t>
      </w:r>
      <w:r>
        <w:t xml:space="preserve"> consequences for his </w:t>
      </w:r>
      <w:r>
        <w:t>lack of cooperation in submitting</w:t>
      </w:r>
      <w:r>
        <w:t xml:space="preserve"> to a blood test, such as the court’s instruction to jurors that, if they found a refusal occurred, the</w:t>
      </w:r>
      <w:r>
        <w:t xml:space="preserve"> refusal “may show” </w:t>
      </w:r>
      <w:proofErr w:type="spellStart"/>
      <w:r>
        <w:t>Bolourchi</w:t>
      </w:r>
      <w:proofErr w:type="spellEnd"/>
      <w:r>
        <w:t xml:space="preserve"> was</w:t>
      </w:r>
      <w:r>
        <w:t xml:space="preserve"> aware of his guilt of the DUI charge.  </w:t>
      </w:r>
      <w:r>
        <w:t xml:space="preserve">As noted, </w:t>
      </w:r>
      <w:r w:rsidRPr="002A60F3">
        <w:rPr>
          <w:i/>
          <w:iCs/>
        </w:rPr>
        <w:t>Birchfield</w:t>
      </w:r>
      <w:r>
        <w:t xml:space="preserve"> emphasized it was not holding that the Fourth Amendment prohibits such “evidentiary consequences” of a refusal.  </w:t>
      </w:r>
      <w:r>
        <w:t>(</w:t>
      </w:r>
      <w:r w:rsidRPr="00EB3FE1">
        <w:rPr>
          <w:i/>
          <w:iCs/>
        </w:rPr>
        <w:t>Birchfield</w:t>
      </w:r>
      <w:r>
        <w:t xml:space="preserve">, </w:t>
      </w:r>
      <w:r w:rsidRPr="00EB3FE1">
        <w:rPr>
          <w:i/>
          <w:iCs/>
        </w:rPr>
        <w:t>supra</w:t>
      </w:r>
      <w:r>
        <w:t>, 579</w:t>
      </w:r>
      <w:r>
        <w:t> </w:t>
      </w:r>
      <w:r>
        <w:t>U.S. at pp. 476</w:t>
      </w:r>
      <w:r>
        <w:t>–</w:t>
      </w:r>
      <w:r>
        <w:t xml:space="preserve">477.)  </w:t>
      </w:r>
    </w:p>
    <w:p w14:paraId="6E2B4178" w14:textId="77777777" w:rsidR="00AD3A06" w:rsidRDefault="00AD3A06" w:rsidP="00C8124A">
      <w:proofErr w:type="spellStart"/>
      <w:r>
        <w:t>Bolourchi</w:t>
      </w:r>
      <w:proofErr w:type="spellEnd"/>
      <w:r>
        <w:t xml:space="preserve"> contends that, because the Fourth Amendment required police to obtain a warrant to conduct a blood draw, his </w:t>
      </w:r>
      <w:r>
        <w:t xml:space="preserve">lack of cooperation </w:t>
      </w:r>
      <w:r>
        <w:t xml:space="preserve">in </w:t>
      </w:r>
      <w:r>
        <w:t>submit</w:t>
      </w:r>
      <w:r>
        <w:t>ting</w:t>
      </w:r>
      <w:r>
        <w:t xml:space="preserve"> to the test before the warrant was obtained “cannot constitute a refusal </w:t>
      </w:r>
      <w:r w:rsidRPr="007355FB">
        <w:rPr>
          <w:i/>
          <w:iCs/>
        </w:rPr>
        <w:t>under the law</w:t>
      </w:r>
      <w:r>
        <w:t xml:space="preserve"> and, thus, cannot be used against him as evidence of his consciousness of guilt.” </w:t>
      </w:r>
      <w:r>
        <w:t xml:space="preserve"> (Italics added.) </w:t>
      </w:r>
      <w:r>
        <w:t xml:space="preserve"> </w:t>
      </w:r>
      <w:r>
        <w:t>We disagree.  First, t</w:t>
      </w:r>
      <w:r>
        <w:t xml:space="preserve">o the extent </w:t>
      </w:r>
      <w:proofErr w:type="spellStart"/>
      <w:r>
        <w:t>Bolourchi</w:t>
      </w:r>
      <w:proofErr w:type="spellEnd"/>
      <w:r>
        <w:t xml:space="preserve"> suggests </w:t>
      </w:r>
      <w:r>
        <w:t xml:space="preserve">(by his reference to his rights “under the law”) </w:t>
      </w:r>
      <w:r>
        <w:t>that</w:t>
      </w:r>
      <w:r>
        <w:t xml:space="preserve">, </w:t>
      </w:r>
      <w:r w:rsidRPr="002B1446">
        <w:rPr>
          <w:i/>
          <w:iCs/>
        </w:rPr>
        <w:t xml:space="preserve">under </w:t>
      </w:r>
      <w:r w:rsidRPr="002B1446">
        <w:rPr>
          <w:i/>
          <w:iCs/>
        </w:rPr>
        <w:t>the implied consent statute</w:t>
      </w:r>
      <w:r>
        <w:t xml:space="preserve">, </w:t>
      </w:r>
      <w:r>
        <w:t>his conduct could not constitute a refusal or carry any adverse consequences, he is incorrect.</w:t>
      </w:r>
      <w:r>
        <w:t xml:space="preserve"> </w:t>
      </w:r>
    </w:p>
    <w:p w14:paraId="0C7B8B9D" w14:textId="77777777" w:rsidR="00AD3A06" w:rsidRDefault="00AD3A06" w:rsidP="00C8124A">
      <w:r>
        <w:t>I</w:t>
      </w:r>
      <w:r>
        <w:t xml:space="preserve">n response to </w:t>
      </w:r>
      <w:r w:rsidRPr="0021688F">
        <w:rPr>
          <w:i/>
          <w:iCs/>
        </w:rPr>
        <w:t>Birchfield</w:t>
      </w:r>
      <w:r>
        <w:t xml:space="preserve">, </w:t>
      </w:r>
      <w:r>
        <w:t>as noted</w:t>
      </w:r>
      <w:r>
        <w:t xml:space="preserve"> above</w:t>
      </w:r>
      <w:r>
        <w:t xml:space="preserve">, </w:t>
      </w:r>
      <w:r>
        <w:t xml:space="preserve">see </w:t>
      </w:r>
      <w:r>
        <w:t>foot</w:t>
      </w:r>
      <w:r>
        <w:t xml:space="preserve">note </w:t>
      </w:r>
      <w:r w:rsidRPr="0025761B">
        <w:t>6</w:t>
      </w:r>
      <w:r>
        <w:t>,</w:t>
      </w:r>
      <w:r>
        <w:t xml:space="preserve"> </w:t>
      </w:r>
      <w:r>
        <w:t>p</w:t>
      </w:r>
      <w:r>
        <w:t>age</w:t>
      </w:r>
      <w:r>
        <w:t xml:space="preserve"> </w:t>
      </w:r>
      <w:r w:rsidRPr="0025761B">
        <w:t>1</w:t>
      </w:r>
      <w:r>
        <w:t>2</w:t>
      </w:r>
      <w:r>
        <w:t xml:space="preserve"> </w:t>
      </w:r>
      <w:r w:rsidRPr="001726C8">
        <w:rPr>
          <w:i/>
          <w:iCs/>
        </w:rPr>
        <w:t>ante</w:t>
      </w:r>
      <w:r>
        <w:t xml:space="preserve">, </w:t>
      </w:r>
      <w:r>
        <w:t>ou</w:t>
      </w:r>
      <w:r>
        <w:t xml:space="preserve">r Legislature </w:t>
      </w:r>
      <w:r>
        <w:t xml:space="preserve">in 2018 </w:t>
      </w:r>
      <w:r>
        <w:t>amended sections 23577, 23578</w:t>
      </w:r>
      <w:r>
        <w:t>, and 23612</w:t>
      </w:r>
      <w:r>
        <w:t xml:space="preserve"> to eliminate the increased </w:t>
      </w:r>
      <w:r w:rsidRPr="0021688F">
        <w:rPr>
          <w:i/>
          <w:iCs/>
        </w:rPr>
        <w:t>criminal penalties</w:t>
      </w:r>
      <w:r>
        <w:t xml:space="preserve"> that previously applied in a DUI prosecution when the driver refused to take a blood test (while leaving those increased penalties in place for a refusal to take a breath or urine test).  </w:t>
      </w:r>
      <w:r>
        <w:t xml:space="preserve">(§§ 23577, subds. (a), (c), 23578, 23612, subd. (a)(1)(D); Assem. Bill No. 2717, Stats. 2018, </w:t>
      </w:r>
      <w:proofErr w:type="spellStart"/>
      <w:r>
        <w:t>ch.</w:t>
      </w:r>
      <w:proofErr w:type="spellEnd"/>
      <w:r>
        <w:t> 177, §§ 1</w:t>
      </w:r>
      <w:r>
        <w:t>–</w:t>
      </w:r>
      <w:r>
        <w:t>3</w:t>
      </w:r>
      <w:r>
        <w:t>.)</w:t>
      </w:r>
      <w:r>
        <w:t xml:space="preserve">  But the Legislature </w:t>
      </w:r>
      <w:r>
        <w:t xml:space="preserve">did not </w:t>
      </w:r>
      <w:r>
        <w:t xml:space="preserve">change the underlying rule in the implied consent law that, in some circumstances, </w:t>
      </w:r>
      <w:r>
        <w:t xml:space="preserve">a </w:t>
      </w:r>
      <w:r>
        <w:lastRenderedPageBreak/>
        <w:t xml:space="preserve">driver who is lawfully arrested for DUI </w:t>
      </w:r>
      <w:r>
        <w:t>is deemed to have consented to, and must submit to, a blood test.  (§ 23612, subd. (a)(1)(B), (2)(C).)  T</w:t>
      </w:r>
      <w:r>
        <w:t xml:space="preserve">here is no </w:t>
      </w:r>
      <w:r w:rsidRPr="00ED2E8F">
        <w:t xml:space="preserve">statutory </w:t>
      </w:r>
      <w:r>
        <w:t>right not to submit to a blood test</w:t>
      </w:r>
      <w:r>
        <w:t xml:space="preserve"> in this circumstance</w:t>
      </w:r>
      <w:r>
        <w:t xml:space="preserve">.  </w:t>
      </w:r>
    </w:p>
    <w:p w14:paraId="7AA7B29D" w14:textId="77777777" w:rsidR="00AD3A06" w:rsidRDefault="00AD3A06" w:rsidP="00934F89">
      <w:r>
        <w:t xml:space="preserve">And the implied consent law continues to contemplate that a </w:t>
      </w:r>
      <w:r>
        <w:t>driver</w:t>
      </w:r>
      <w:r>
        <w:t xml:space="preserve"> who refuses to submit to a statutorily required blood test </w:t>
      </w:r>
      <w:r>
        <w:t>may</w:t>
      </w:r>
      <w:r>
        <w:t xml:space="preserve"> face consequences (other than criminal penalties) for the refusal</w:t>
      </w:r>
      <w:r>
        <w:t xml:space="preserve">.  </w:t>
      </w:r>
      <w:r>
        <w:t xml:space="preserve">An arrested person is to be told that his or her </w:t>
      </w:r>
      <w:r>
        <w:t>driving privileges may be administratively suspended or revoked.  (§ 23612, subd. (a)(1)(D) [consequences of failure to submit to “the required breath, blood, or urine tests”]</w:t>
      </w:r>
      <w:r>
        <w:t>; see § 13353, subd. (a)(1)</w:t>
      </w:r>
      <w:proofErr w:type="gramStart"/>
      <w:r>
        <w:t>–</w:t>
      </w:r>
      <w:r>
        <w:t>(</w:t>
      </w:r>
      <w:proofErr w:type="gramEnd"/>
      <w:r>
        <w:t>3)</w:t>
      </w:r>
      <w:r>
        <w:t xml:space="preserve">.)  </w:t>
      </w:r>
      <w:r>
        <w:t xml:space="preserve">The arrested driver is also to be advised that a </w:t>
      </w:r>
      <w:r>
        <w:t>“refusal to submit to a test or tests” “may be used against him or</w:t>
      </w:r>
      <w:r>
        <w:t xml:space="preserve"> her in a court of law.”  </w:t>
      </w:r>
      <w:r>
        <w:t>(</w:t>
      </w:r>
      <w:r>
        <w:t>§</w:t>
      </w:r>
      <w:r>
        <w:t> 23612</w:t>
      </w:r>
      <w:r>
        <w:t>, subd. (a)(4).)</w:t>
      </w:r>
      <w:r>
        <w:t xml:space="preserve">  </w:t>
      </w:r>
    </w:p>
    <w:p w14:paraId="0E7C342A" w14:textId="77777777" w:rsidR="00AD3A06" w:rsidRDefault="00AD3A06" w:rsidP="00934F89">
      <w:r>
        <w:t xml:space="preserve">As the Attorney General notes, where there </w:t>
      </w:r>
      <w:r w:rsidRPr="003D44A5">
        <w:t>is</w:t>
      </w:r>
      <w:r w:rsidRPr="00954D3F">
        <w:rPr>
          <w:i/>
          <w:iCs/>
        </w:rPr>
        <w:t xml:space="preserve"> </w:t>
      </w:r>
      <w:r>
        <w:t xml:space="preserve">a </w:t>
      </w:r>
      <w:r w:rsidRPr="003D44A5">
        <w:rPr>
          <w:i/>
          <w:iCs/>
        </w:rPr>
        <w:t>statutory right</w:t>
      </w:r>
      <w:r>
        <w:t xml:space="preserve"> to refuse a particular test, it is </w:t>
      </w:r>
      <w:proofErr w:type="gramStart"/>
      <w:r>
        <w:t>error</w:t>
      </w:r>
      <w:proofErr w:type="gramEnd"/>
      <w:r>
        <w:t xml:space="preserve"> to admit evidence of the refusal.  (</w:t>
      </w:r>
      <w:r w:rsidRPr="00954D3F">
        <w:rPr>
          <w:i/>
          <w:iCs/>
        </w:rPr>
        <w:t>People v. Jackson</w:t>
      </w:r>
      <w:r>
        <w:t xml:space="preserve"> (2010) 189</w:t>
      </w:r>
      <w:r>
        <w:t> </w:t>
      </w:r>
      <w:r>
        <w:t>Cal.App.4th 1461, 1466 [error to admit evidence of defendant’s refusal to take</w:t>
      </w:r>
      <w:r>
        <w:t xml:space="preserve"> </w:t>
      </w:r>
      <w:r>
        <w:t xml:space="preserve">PAS test, </w:t>
      </w:r>
      <w:r>
        <w:t>because</w:t>
      </w:r>
      <w:r>
        <w:t xml:space="preserve"> § 23612 granted the right to refuse].)  But </w:t>
      </w:r>
      <w:proofErr w:type="spellStart"/>
      <w:r>
        <w:t>Bolourchi</w:t>
      </w:r>
      <w:proofErr w:type="spellEnd"/>
      <w:r>
        <w:t xml:space="preserve"> had no statutory right to refuse to take a post-arrest blood test, and the implied consent statute does not prohibit instruction or comment on his refusal.  </w:t>
      </w:r>
      <w:r>
        <w:t xml:space="preserve">As a statutory matter, </w:t>
      </w:r>
      <w:r>
        <w:t xml:space="preserve">he </w:t>
      </w:r>
      <w:r>
        <w:t xml:space="preserve">is simply incorrect that a refusal to take a blood </w:t>
      </w:r>
      <w:r>
        <w:t>test</w:t>
      </w:r>
      <w:r>
        <w:t xml:space="preserve"> “cannot constitute a refusal </w:t>
      </w:r>
      <w:r w:rsidRPr="00934F89">
        <w:t>under the law</w:t>
      </w:r>
      <w:r>
        <w:t xml:space="preserve"> and, thus, cannot be used against him as evidence of his consciousness of guilt.” </w:t>
      </w:r>
      <w:r>
        <w:t xml:space="preserve">  </w:t>
      </w:r>
      <w:r>
        <w:t xml:space="preserve"> </w:t>
      </w:r>
    </w:p>
    <w:p w14:paraId="4DE9DDF0" w14:textId="77777777" w:rsidR="00AD3A06" w:rsidRDefault="00AD3A06" w:rsidP="005005D7">
      <w:r>
        <w:t xml:space="preserve">Apart from the statute, we also find no constitutional error.  </w:t>
      </w:r>
      <w:r>
        <w:t>Notably, a</w:t>
      </w:r>
      <w:r>
        <w:t xml:space="preserve">n instruction </w:t>
      </w:r>
      <w:proofErr w:type="gramStart"/>
      <w:r>
        <w:t>similar to</w:t>
      </w:r>
      <w:proofErr w:type="gramEnd"/>
      <w:r>
        <w:t xml:space="preserve"> CALCRIM No. 2130 was </w:t>
      </w:r>
      <w:r>
        <w:t xml:space="preserve">considered </w:t>
      </w:r>
      <w:r>
        <w:t xml:space="preserve">and upheld against a constitutional challenge </w:t>
      </w:r>
      <w:r>
        <w:t xml:space="preserve">in </w:t>
      </w:r>
      <w:r w:rsidRPr="00577A5B">
        <w:rPr>
          <w:i/>
          <w:iCs/>
        </w:rPr>
        <w:t>Sudduth</w:t>
      </w:r>
      <w:r>
        <w:t xml:space="preserve">, </w:t>
      </w:r>
      <w:r w:rsidRPr="00C33FBF">
        <w:rPr>
          <w:i/>
          <w:iCs/>
        </w:rPr>
        <w:t>supra</w:t>
      </w:r>
      <w:r>
        <w:t>,</w:t>
      </w:r>
      <w:r>
        <w:t xml:space="preserve"> 65</w:t>
      </w:r>
      <w:r>
        <w:t> </w:t>
      </w:r>
      <w:r>
        <w:t xml:space="preserve">Cal.2d </w:t>
      </w:r>
      <w:r>
        <w:t>at page</w:t>
      </w:r>
      <w:r>
        <w:t xml:space="preserve"> 547 </w:t>
      </w:r>
      <w:r>
        <w:t>and footnote</w:t>
      </w:r>
      <w:r>
        <w:t> 5</w:t>
      </w:r>
      <w:r>
        <w:t xml:space="preserve">. </w:t>
      </w:r>
      <w:r>
        <w:t xml:space="preserve"> </w:t>
      </w:r>
      <w:r w:rsidRPr="001476E4">
        <w:rPr>
          <w:i/>
          <w:iCs/>
        </w:rPr>
        <w:t>Sudduth</w:t>
      </w:r>
      <w:r>
        <w:t xml:space="preserve">, a DUI case, </w:t>
      </w:r>
      <w:r>
        <w:t>did not involve a blood draw</w:t>
      </w:r>
      <w:r>
        <w:t>—it involved a breath test—</w:t>
      </w:r>
      <w:r>
        <w:t xml:space="preserve">but </w:t>
      </w:r>
      <w:r>
        <w:t xml:space="preserve">it drew upon the reasoning in </w:t>
      </w:r>
      <w:r w:rsidRPr="00482E7B">
        <w:rPr>
          <w:i/>
          <w:iCs/>
        </w:rPr>
        <w:t>Schmerber</w:t>
      </w:r>
      <w:r>
        <w:t xml:space="preserve"> </w:t>
      </w:r>
      <w:r>
        <w:t>(</w:t>
      </w:r>
      <w:r w:rsidRPr="00325F71">
        <w:rPr>
          <w:i/>
          <w:iCs/>
        </w:rPr>
        <w:t>id</w:t>
      </w:r>
      <w:r>
        <w:t>. a</w:t>
      </w:r>
      <w:r>
        <w:t xml:space="preserve">t p. 546) </w:t>
      </w:r>
      <w:r>
        <w:t xml:space="preserve">and thus </w:t>
      </w:r>
      <w:r>
        <w:t>i</w:t>
      </w:r>
      <w:r>
        <w:t xml:space="preserve">s instructive </w:t>
      </w:r>
      <w:r>
        <w:t>here.</w:t>
      </w:r>
      <w:r>
        <w:t xml:space="preserve"> </w:t>
      </w:r>
      <w:r>
        <w:t xml:space="preserve"> </w:t>
      </w:r>
      <w:r w:rsidRPr="00EC3DC2">
        <w:t xml:space="preserve">The defendant in </w:t>
      </w:r>
      <w:r w:rsidRPr="00EC3DC2">
        <w:rPr>
          <w:i/>
          <w:iCs/>
        </w:rPr>
        <w:t>Sudduth</w:t>
      </w:r>
      <w:r w:rsidRPr="00EC3DC2">
        <w:t xml:space="preserve"> </w:t>
      </w:r>
      <w:r>
        <w:t xml:space="preserve">also </w:t>
      </w:r>
      <w:r w:rsidRPr="00EC3DC2">
        <w:t>relied on</w:t>
      </w:r>
      <w:r w:rsidRPr="00EC3DC2">
        <w:t xml:space="preserve"> </w:t>
      </w:r>
      <w:r w:rsidRPr="00EC3DC2">
        <w:rPr>
          <w:i/>
          <w:iCs/>
        </w:rPr>
        <w:lastRenderedPageBreak/>
        <w:t>Griffin v. California</w:t>
      </w:r>
      <w:r w:rsidRPr="00EC3DC2">
        <w:t xml:space="preserve"> (1965) 380 U.S. 609, the </w:t>
      </w:r>
      <w:r>
        <w:t xml:space="preserve">United States Supreme Court’s </w:t>
      </w:r>
      <w:r>
        <w:t xml:space="preserve">landmark </w:t>
      </w:r>
      <w:r>
        <w:t xml:space="preserve">case </w:t>
      </w:r>
      <w:r w:rsidRPr="00EC3DC2">
        <w:t xml:space="preserve">prohibiting comment on a criminal defendant’s failure to testify.  </w:t>
      </w:r>
    </w:p>
    <w:p w14:paraId="1FF4203F" w14:textId="77777777" w:rsidR="00AD3A06" w:rsidRPr="00EC3DC2" w:rsidRDefault="00AD3A06" w:rsidP="005005D7">
      <w:pPr>
        <w:rPr>
          <w:rFonts w:eastAsia="Times New Roman" w:cs="Times New Roman"/>
          <w:color w:val="000000"/>
        </w:rPr>
      </w:pPr>
      <w:r w:rsidRPr="00EC3DC2">
        <w:t>The challenged</w:t>
      </w:r>
      <w:r w:rsidRPr="00EC3DC2">
        <w:t xml:space="preserve"> ins</w:t>
      </w:r>
      <w:r w:rsidRPr="00EC3DC2">
        <w:t>t</w:t>
      </w:r>
      <w:r w:rsidRPr="00EC3DC2">
        <w:t xml:space="preserve">ruction in </w:t>
      </w:r>
      <w:r w:rsidRPr="00EC3DC2">
        <w:rPr>
          <w:i/>
          <w:iCs/>
        </w:rPr>
        <w:t>Sudduth</w:t>
      </w:r>
      <w:r w:rsidRPr="00EC3DC2">
        <w:t xml:space="preserve"> read </w:t>
      </w:r>
      <w:r>
        <w:t xml:space="preserve">in part </w:t>
      </w:r>
      <w:r w:rsidRPr="00EC3DC2">
        <w:t>as follows</w:t>
      </w:r>
      <w:proofErr w:type="gramStart"/>
      <w:r>
        <w:t xml:space="preserve">: </w:t>
      </w:r>
      <w:r w:rsidRPr="00EC3DC2">
        <w:t xml:space="preserve"> </w:t>
      </w:r>
      <w:r w:rsidRPr="00EC3DC2">
        <w:t>“</w:t>
      </w:r>
      <w:proofErr w:type="gramEnd"/>
      <w:r>
        <w:t> ‘</w:t>
      </w:r>
      <w:r w:rsidRPr="00195721">
        <w:rPr>
          <w:rFonts w:eastAsia="Times New Roman" w:cs="Times New Roman"/>
          <w:color w:val="000000"/>
        </w:rPr>
        <w:t xml:space="preserve">The fact that such test is refused under such circumstances is not sufficient standing alone and by itself to establish the guilt of a defendant but is a fact which if proven may be considered by you in the light of all other proven facts in deciding the question of guilt or innocence. </w:t>
      </w:r>
      <w:r>
        <w:rPr>
          <w:rFonts w:eastAsia="Times New Roman" w:cs="Times New Roman"/>
          <w:color w:val="000000"/>
        </w:rPr>
        <w:t xml:space="preserve"> </w:t>
      </w:r>
      <w:r w:rsidRPr="00195721">
        <w:rPr>
          <w:rFonts w:eastAsia="Times New Roman" w:cs="Times New Roman"/>
          <w:color w:val="000000"/>
        </w:rPr>
        <w:t>Whether or not such conduct shows a consciousness of guilt and the significance to be attached to such a circumstance are matters for your determination.</w:t>
      </w:r>
      <w:proofErr w:type="gramStart"/>
      <w:r>
        <w:rPr>
          <w:rFonts w:eastAsia="Times New Roman" w:cs="Times New Roman"/>
          <w:color w:val="000000"/>
        </w:rPr>
        <w:t>’</w:t>
      </w:r>
      <w:r>
        <w:rPr>
          <w:rFonts w:eastAsia="Times New Roman" w:cs="Times New Roman"/>
          <w:color w:val="000000"/>
        </w:rPr>
        <w:t> </w:t>
      </w:r>
      <w:r w:rsidRPr="00EC3DC2">
        <w:rPr>
          <w:rFonts w:eastAsia="Times New Roman" w:cs="Times New Roman"/>
          <w:color w:val="000000"/>
        </w:rPr>
        <w:t>”</w:t>
      </w:r>
      <w:proofErr w:type="gramEnd"/>
      <w:r>
        <w:rPr>
          <w:rFonts w:eastAsia="Times New Roman" w:cs="Times New Roman"/>
          <w:color w:val="000000"/>
        </w:rPr>
        <w:t xml:space="preserve">  (</w:t>
      </w:r>
      <w:r w:rsidRPr="00490E19">
        <w:rPr>
          <w:rFonts w:eastAsia="Times New Roman" w:cs="Times New Roman"/>
          <w:i/>
          <w:iCs/>
          <w:color w:val="000000"/>
        </w:rPr>
        <w:t>Sudduth</w:t>
      </w:r>
      <w:r>
        <w:rPr>
          <w:rFonts w:eastAsia="Times New Roman" w:cs="Times New Roman"/>
          <w:color w:val="000000"/>
        </w:rPr>
        <w:t xml:space="preserve">, </w:t>
      </w:r>
      <w:r w:rsidRPr="00490E19">
        <w:rPr>
          <w:rFonts w:eastAsia="Times New Roman" w:cs="Times New Roman"/>
          <w:i/>
          <w:iCs/>
          <w:color w:val="000000"/>
        </w:rPr>
        <w:t>sup</w:t>
      </w:r>
      <w:r w:rsidRPr="00490E19">
        <w:rPr>
          <w:rFonts w:eastAsia="Times New Roman" w:cs="Times New Roman"/>
          <w:i/>
          <w:iCs/>
          <w:color w:val="000000"/>
        </w:rPr>
        <w:t>ra</w:t>
      </w:r>
      <w:r>
        <w:rPr>
          <w:rFonts w:eastAsia="Times New Roman" w:cs="Times New Roman"/>
          <w:color w:val="000000"/>
        </w:rPr>
        <w:t xml:space="preserve">, </w:t>
      </w:r>
      <w:r>
        <w:t>65</w:t>
      </w:r>
      <w:r>
        <w:t> </w:t>
      </w:r>
      <w:r>
        <w:t>Cal.2d at p. </w:t>
      </w:r>
      <w:r>
        <w:t xml:space="preserve">547, fn. 5.)  </w:t>
      </w:r>
      <w:r w:rsidRPr="00EC3DC2">
        <w:rPr>
          <w:rFonts w:eastAsia="Times New Roman" w:cs="Times New Roman"/>
          <w:color w:val="000000"/>
        </w:rPr>
        <w:t xml:space="preserve"> </w:t>
      </w:r>
      <w:r w:rsidRPr="00EC3DC2">
        <w:rPr>
          <w:rFonts w:eastAsia="Times New Roman" w:cs="Times New Roman"/>
          <w:color w:val="000000"/>
        </w:rPr>
        <w:t xml:space="preserve">  </w:t>
      </w:r>
    </w:p>
    <w:p w14:paraId="7385E57A" w14:textId="77777777" w:rsidR="00AD3A06" w:rsidRDefault="00AD3A06" w:rsidP="005005D7">
      <w:r w:rsidRPr="00F43C79">
        <w:t>Chief Justice Traynor</w:t>
      </w:r>
      <w:r>
        <w:t>’s</w:t>
      </w:r>
      <w:r w:rsidRPr="00F43C79">
        <w:t xml:space="preserve"> </w:t>
      </w:r>
      <w:r w:rsidRPr="00F43C79">
        <w:t>opinion for the court in</w:t>
      </w:r>
      <w:r>
        <w:rPr>
          <w:i/>
          <w:iCs/>
        </w:rPr>
        <w:t xml:space="preserve"> </w:t>
      </w:r>
      <w:r w:rsidRPr="00524741">
        <w:rPr>
          <w:i/>
          <w:iCs/>
        </w:rPr>
        <w:t>Sudduth</w:t>
      </w:r>
      <w:r>
        <w:t xml:space="preserve"> </w:t>
      </w:r>
      <w:r>
        <w:t>explained</w:t>
      </w:r>
      <w:proofErr w:type="gramStart"/>
      <w:r>
        <w:t>:</w:t>
      </w:r>
      <w:r>
        <w:t xml:space="preserve">  </w:t>
      </w:r>
      <w:r>
        <w:t>“</w:t>
      </w:r>
      <w:proofErr w:type="gramEnd"/>
      <w:r>
        <w:t xml:space="preserve">The sole rationale for the rule against comment on a failure to testify is that such a rule is a necessary protection for the exercise of the underlying privilege of remaining silent </w:t>
      </w:r>
      <w:r>
        <w:t>[citation].</w:t>
      </w:r>
      <w:r>
        <w:t xml:space="preserve"> </w:t>
      </w:r>
      <w:r>
        <w:t xml:space="preserve"> </w:t>
      </w:r>
      <w:r>
        <w:t xml:space="preserve">A wrongful refusal to cooperate with law enforcement officers does not qualify for such protection. </w:t>
      </w:r>
      <w:r>
        <w:t xml:space="preserve"> </w:t>
      </w:r>
      <w:r>
        <w:t xml:space="preserve">A refusal that might operate to suppress evidence of intoxication, which disappears rapidly with the passage of time </w:t>
      </w:r>
      <w:r>
        <w:t>[citation]</w:t>
      </w:r>
      <w:r>
        <w:t>, should not be encouraged as a device to escape prosecution.</w:t>
      </w:r>
      <w:r>
        <w:t>”  (</w:t>
      </w:r>
      <w:r w:rsidRPr="00891E96">
        <w:rPr>
          <w:i/>
          <w:iCs/>
        </w:rPr>
        <w:t>Sudduth</w:t>
      </w:r>
      <w:r>
        <w:t xml:space="preserve">, </w:t>
      </w:r>
      <w:r w:rsidRPr="00891E96">
        <w:rPr>
          <w:i/>
          <w:iCs/>
        </w:rPr>
        <w:t>supra</w:t>
      </w:r>
      <w:r>
        <w:t xml:space="preserve">, </w:t>
      </w:r>
      <w:r>
        <w:t>65</w:t>
      </w:r>
      <w:r>
        <w:t> </w:t>
      </w:r>
      <w:r>
        <w:t xml:space="preserve">Cal.2d </w:t>
      </w:r>
      <w:r>
        <w:t>at p. </w:t>
      </w:r>
      <w:r>
        <w:t>546</w:t>
      </w:r>
      <w:r>
        <w:t>.</w:t>
      </w:r>
      <w:r>
        <w:t>)</w:t>
      </w:r>
      <w:r>
        <w:t xml:space="preserve">  </w:t>
      </w:r>
    </w:p>
    <w:p w14:paraId="72C17C4B" w14:textId="77777777" w:rsidR="00AD3A06" w:rsidRDefault="00AD3A06" w:rsidP="005005D7">
      <w:r w:rsidRPr="00FB4678">
        <w:t xml:space="preserve">Citing </w:t>
      </w:r>
      <w:r w:rsidRPr="005855E8">
        <w:rPr>
          <w:i/>
          <w:iCs/>
        </w:rPr>
        <w:t>Sudduth</w:t>
      </w:r>
      <w:r w:rsidRPr="00FB4678">
        <w:t xml:space="preserve"> as a leading precedent</w:t>
      </w:r>
      <w:r w:rsidRPr="00FB4678">
        <w:t>, t</w:t>
      </w:r>
      <w:r w:rsidRPr="00FB4678">
        <w:t xml:space="preserve">he United States Supreme Court reached </w:t>
      </w:r>
      <w:r>
        <w:t xml:space="preserve">a similar </w:t>
      </w:r>
      <w:r w:rsidRPr="00FB4678">
        <w:t xml:space="preserve">conclusion in </w:t>
      </w:r>
      <w:r w:rsidRPr="00FB4678">
        <w:rPr>
          <w:i/>
          <w:iCs/>
        </w:rPr>
        <w:t>Neville</w:t>
      </w:r>
      <w:r>
        <w:t xml:space="preserve">, </w:t>
      </w:r>
      <w:r w:rsidRPr="00C33FBF">
        <w:rPr>
          <w:i/>
          <w:iCs/>
        </w:rPr>
        <w:t>supra</w:t>
      </w:r>
      <w:r>
        <w:t>,</w:t>
      </w:r>
      <w:r w:rsidRPr="00FB4678">
        <w:t xml:space="preserve"> </w:t>
      </w:r>
      <w:r w:rsidRPr="00FB4678">
        <w:t>459</w:t>
      </w:r>
      <w:r>
        <w:t> </w:t>
      </w:r>
      <w:r w:rsidRPr="00FB4678">
        <w:t xml:space="preserve">U.S. </w:t>
      </w:r>
      <w:r>
        <w:t>at p</w:t>
      </w:r>
      <w:r>
        <w:t>ages</w:t>
      </w:r>
      <w:r w:rsidRPr="00FB4678">
        <w:t xml:space="preserve"> </w:t>
      </w:r>
      <w:r w:rsidRPr="00FB4678">
        <w:t xml:space="preserve">554, </w:t>
      </w:r>
      <w:r>
        <w:t xml:space="preserve">560, </w:t>
      </w:r>
      <w:r w:rsidRPr="00FB4678">
        <w:t>564</w:t>
      </w:r>
      <w:r w:rsidRPr="00FB4678">
        <w:t>.  “</w:t>
      </w:r>
      <w:r>
        <w:t>[</w:t>
      </w:r>
      <w:r w:rsidRPr="00FB4678">
        <w:t>T</w:t>
      </w:r>
      <w:r>
        <w:t>]</w:t>
      </w:r>
      <w:proofErr w:type="gramStart"/>
      <w:r w:rsidRPr="00FB4678">
        <w:rPr>
          <w:rFonts w:eastAsia="Times New Roman" w:cs="Times New Roman"/>
          <w:color w:val="000000"/>
        </w:rPr>
        <w:t>he</w:t>
      </w:r>
      <w:proofErr w:type="gramEnd"/>
      <w:r w:rsidRPr="00FB4678">
        <w:rPr>
          <w:rFonts w:eastAsia="Times New Roman" w:cs="Times New Roman"/>
          <w:color w:val="000000"/>
        </w:rPr>
        <w:t xml:space="preserve"> values behind the Fifth Amendment are not hindered when the </w:t>
      </w:r>
      <w:r>
        <w:rPr>
          <w:rFonts w:eastAsia="Times New Roman" w:cs="Times New Roman"/>
          <w:color w:val="000000"/>
        </w:rPr>
        <w:t>S</w:t>
      </w:r>
      <w:r w:rsidRPr="00FB4678">
        <w:rPr>
          <w:rFonts w:eastAsia="Times New Roman" w:cs="Times New Roman"/>
          <w:color w:val="000000"/>
        </w:rPr>
        <w:t xml:space="preserve">tate </w:t>
      </w:r>
      <w:r w:rsidRPr="00FB4678">
        <w:rPr>
          <w:rFonts w:eastAsia="Times New Roman" w:cs="Times New Roman"/>
          <w:color w:val="000000"/>
        </w:rPr>
        <w:t>offers a suspect the choice of submitting to the blood-alcohol test or having his refusal used against him. The simple blood-alcohol test is so safe, painless, and commonplace</w:t>
      </w:r>
      <w:r>
        <w:rPr>
          <w:rFonts w:eastAsia="Times New Roman" w:cs="Times New Roman"/>
          <w:color w:val="000000"/>
        </w:rPr>
        <w:t>, [citation</w:t>
      </w:r>
      <w:r>
        <w:rPr>
          <w:rFonts w:eastAsia="Times New Roman" w:cs="Times New Roman"/>
          <w:color w:val="000000"/>
        </w:rPr>
        <w:t>],</w:t>
      </w:r>
      <w:r>
        <w:rPr>
          <w:rFonts w:eastAsia="Times New Roman" w:cs="Times New Roman"/>
          <w:color w:val="000000"/>
        </w:rPr>
        <w:t xml:space="preserve"> </w:t>
      </w:r>
      <w:r w:rsidRPr="00FB4678">
        <w:rPr>
          <w:rFonts w:eastAsia="Times New Roman" w:cs="Times New Roman"/>
          <w:color w:val="000000"/>
        </w:rPr>
        <w:t>that respondent concedes</w:t>
      </w:r>
      <w:r>
        <w:rPr>
          <w:rFonts w:eastAsia="Times New Roman" w:cs="Times New Roman"/>
          <w:color w:val="000000"/>
        </w:rPr>
        <w:t xml:space="preserve"> </w:t>
      </w:r>
      <w:r w:rsidRPr="003A5238">
        <w:rPr>
          <w:rFonts w:eastAsia="Times New Roman" w:cs="Times New Roman"/>
          <w:color w:val="000000"/>
        </w:rPr>
        <w:t>. . .</w:t>
      </w:r>
      <w:r>
        <w:rPr>
          <w:rFonts w:eastAsia="Times New Roman" w:cs="Times New Roman"/>
          <w:color w:val="000000"/>
        </w:rPr>
        <w:t xml:space="preserve"> </w:t>
      </w:r>
      <w:r w:rsidRPr="00FB4678">
        <w:rPr>
          <w:rFonts w:eastAsia="Times New Roman" w:cs="Times New Roman"/>
          <w:color w:val="000000"/>
        </w:rPr>
        <w:t xml:space="preserve">the </w:t>
      </w:r>
      <w:r>
        <w:rPr>
          <w:rFonts w:eastAsia="Times New Roman" w:cs="Times New Roman"/>
          <w:color w:val="000000"/>
        </w:rPr>
        <w:t>S</w:t>
      </w:r>
      <w:r w:rsidRPr="00FB4678">
        <w:rPr>
          <w:rFonts w:eastAsia="Times New Roman" w:cs="Times New Roman"/>
          <w:color w:val="000000"/>
        </w:rPr>
        <w:t xml:space="preserve">tate could legitimately compel the suspect, against his will, to accede to the test. </w:t>
      </w:r>
      <w:r>
        <w:rPr>
          <w:rFonts w:eastAsia="Times New Roman" w:cs="Times New Roman"/>
          <w:color w:val="000000"/>
        </w:rPr>
        <w:t xml:space="preserve"> </w:t>
      </w:r>
      <w:r w:rsidRPr="00FB4678">
        <w:rPr>
          <w:rFonts w:eastAsia="Times New Roman" w:cs="Times New Roman"/>
          <w:color w:val="000000"/>
        </w:rPr>
        <w:t xml:space="preserve">Given, then, that the offer of taking a blood-alcohol test is clearly legitimate, </w:t>
      </w:r>
      <w:r w:rsidRPr="00FB4678">
        <w:rPr>
          <w:rFonts w:eastAsia="Times New Roman" w:cs="Times New Roman"/>
          <w:color w:val="000000"/>
        </w:rPr>
        <w:lastRenderedPageBreak/>
        <w:t xml:space="preserve">the action becomes no </w:t>
      </w:r>
      <w:r w:rsidRPr="00FB4678">
        <w:rPr>
          <w:rFonts w:eastAsia="Times New Roman" w:cs="Times New Roman"/>
          <w:i/>
          <w:iCs/>
          <w:color w:val="3D3D3D"/>
          <w:bdr w:val="none" w:sz="0" w:space="0" w:color="auto" w:frame="1"/>
        </w:rPr>
        <w:t>less</w:t>
      </w:r>
      <w:r w:rsidRPr="00FB4678">
        <w:rPr>
          <w:rFonts w:eastAsia="Times New Roman" w:cs="Times New Roman"/>
          <w:color w:val="000000"/>
        </w:rPr>
        <w:t xml:space="preserve"> legitimate when the State offers a second option of refusing the test, with the attendant pe</w:t>
      </w:r>
      <w:r w:rsidRPr="00FB4678">
        <w:rPr>
          <w:rFonts w:eastAsia="Times New Roman" w:cs="Times New Roman"/>
          <w:color w:val="000000"/>
        </w:rPr>
        <w:t>nalties for making that choice.</w:t>
      </w:r>
      <w:r w:rsidRPr="00FB4678">
        <w:rPr>
          <w:rFonts w:eastAsia="Times New Roman" w:cs="Times New Roman"/>
          <w:color w:val="000000"/>
        </w:rPr>
        <w:t>”</w:t>
      </w:r>
      <w:r>
        <w:rPr>
          <w:rFonts w:eastAsia="Times New Roman" w:cs="Times New Roman"/>
          <w:color w:val="000000"/>
        </w:rPr>
        <w:t xml:space="preserve">  (</w:t>
      </w:r>
      <w:r w:rsidRPr="00E73C55">
        <w:rPr>
          <w:rFonts w:eastAsia="Times New Roman" w:cs="Times New Roman"/>
          <w:i/>
          <w:iCs/>
          <w:color w:val="000000"/>
        </w:rPr>
        <w:t>Neville</w:t>
      </w:r>
      <w:r>
        <w:rPr>
          <w:rFonts w:eastAsia="Times New Roman" w:cs="Times New Roman"/>
          <w:color w:val="000000"/>
        </w:rPr>
        <w:t>,</w:t>
      </w:r>
      <w:r>
        <w:rPr>
          <w:rFonts w:eastAsia="Times New Roman" w:cs="Times New Roman"/>
          <w:color w:val="000000"/>
        </w:rPr>
        <w:t xml:space="preserve"> at p.</w:t>
      </w:r>
      <w:r>
        <w:rPr>
          <w:rFonts w:eastAsia="Times New Roman" w:cs="Times New Roman"/>
          <w:color w:val="000000"/>
        </w:rPr>
        <w:t> </w:t>
      </w:r>
      <w:r>
        <w:rPr>
          <w:rFonts w:eastAsia="Times New Roman" w:cs="Times New Roman"/>
          <w:color w:val="000000"/>
        </w:rPr>
        <w:t>563.)</w:t>
      </w:r>
    </w:p>
    <w:p w14:paraId="03CA3692" w14:textId="77777777" w:rsidR="00AD3A06" w:rsidRDefault="00AD3A06" w:rsidP="00C8124A">
      <w:r>
        <w:t>I</w:t>
      </w:r>
      <w:r>
        <w:t xml:space="preserve">n holding it was proper to instruct on consciousness of guilt or admit evidence of the defendant’s refusal to test, </w:t>
      </w:r>
      <w:r w:rsidRPr="00E930F1">
        <w:rPr>
          <w:i/>
          <w:iCs/>
        </w:rPr>
        <w:t>Sudduth</w:t>
      </w:r>
      <w:r>
        <w:t xml:space="preserve"> and </w:t>
      </w:r>
      <w:r w:rsidRPr="00E930F1">
        <w:rPr>
          <w:i/>
          <w:iCs/>
        </w:rPr>
        <w:t>Neville</w:t>
      </w:r>
      <w:r>
        <w:t xml:space="preserve"> both </w:t>
      </w:r>
      <w:r>
        <w:t xml:space="preserve">focused </w:t>
      </w:r>
      <w:r>
        <w:t xml:space="preserve">on the </w:t>
      </w:r>
      <w:r>
        <w:t xml:space="preserve">fact the </w:t>
      </w:r>
      <w:r>
        <w:t xml:space="preserve">defendant had </w:t>
      </w:r>
      <w:r>
        <w:t xml:space="preserve">no </w:t>
      </w:r>
      <w:r>
        <w:t xml:space="preserve">underlying </w:t>
      </w:r>
      <w:r w:rsidRPr="002E2039">
        <w:t>Fifth Amendment</w:t>
      </w:r>
      <w:r>
        <w:t xml:space="preserve"> right to refuse a chemical test.</w:t>
      </w:r>
      <w:r>
        <w:t xml:space="preserve">  (</w:t>
      </w:r>
      <w:r w:rsidRPr="002E2039">
        <w:rPr>
          <w:i/>
          <w:iCs/>
        </w:rPr>
        <w:t>Neville</w:t>
      </w:r>
      <w:r>
        <w:t xml:space="preserve">, </w:t>
      </w:r>
      <w:r w:rsidRPr="002E2039">
        <w:rPr>
          <w:i/>
          <w:iCs/>
        </w:rPr>
        <w:t>supra</w:t>
      </w:r>
      <w:r>
        <w:t>, 459</w:t>
      </w:r>
      <w:r>
        <w:t> </w:t>
      </w:r>
      <w:r>
        <w:t xml:space="preserve">U.S. at pp. 560, fn. 10, 563; </w:t>
      </w:r>
      <w:r>
        <w:t xml:space="preserve">see </w:t>
      </w:r>
      <w:r w:rsidRPr="002E2039">
        <w:rPr>
          <w:i/>
          <w:iCs/>
        </w:rPr>
        <w:t>Sudduth</w:t>
      </w:r>
      <w:r>
        <w:t xml:space="preserve">, </w:t>
      </w:r>
      <w:r w:rsidRPr="002E2039">
        <w:rPr>
          <w:i/>
          <w:iCs/>
        </w:rPr>
        <w:t>supra</w:t>
      </w:r>
      <w:r>
        <w:t>, 65</w:t>
      </w:r>
      <w:r>
        <w:t> </w:t>
      </w:r>
      <w:r>
        <w:t xml:space="preserve">Cal.2d at </w:t>
      </w:r>
      <w:r>
        <w:t>p. 547</w:t>
      </w:r>
      <w:r>
        <w:t>.)</w:t>
      </w:r>
      <w:r>
        <w:t xml:space="preserve">  </w:t>
      </w:r>
      <w:r>
        <w:t xml:space="preserve">Presumably recognizing </w:t>
      </w:r>
      <w:r>
        <w:t xml:space="preserve">it has long been settled that a </w:t>
      </w:r>
      <w:r>
        <w:t xml:space="preserve">refusal to submit to </w:t>
      </w:r>
      <w:r>
        <w:t xml:space="preserve">chemical examination does not fall within the purview of the </w:t>
      </w:r>
      <w:r>
        <w:t>Fifth Amendment</w:t>
      </w:r>
      <w:r>
        <w:t xml:space="preserve">, </w:t>
      </w:r>
      <w:proofErr w:type="spellStart"/>
      <w:r>
        <w:t>Bolourchi’s</w:t>
      </w:r>
      <w:proofErr w:type="spellEnd"/>
      <w:r>
        <w:t xml:space="preserve"> contention</w:t>
      </w:r>
      <w:r>
        <w:t xml:space="preserve"> </w:t>
      </w:r>
      <w:r>
        <w:t xml:space="preserve">here </w:t>
      </w:r>
      <w:r>
        <w:t xml:space="preserve">is that, under </w:t>
      </w:r>
      <w:r w:rsidRPr="00D5647B">
        <w:rPr>
          <w:i/>
          <w:iCs/>
        </w:rPr>
        <w:t>McNeely</w:t>
      </w:r>
      <w:r>
        <w:t xml:space="preserve">, he </w:t>
      </w:r>
      <w:r>
        <w:t xml:space="preserve">had </w:t>
      </w:r>
      <w:r>
        <w:t xml:space="preserve">an underlying </w:t>
      </w:r>
      <w:r w:rsidRPr="009E0A9D">
        <w:t>Fourth Amendment</w:t>
      </w:r>
      <w:r>
        <w:t xml:space="preserve"> right to refuse to submit to a warrantless blood test, so an instruction allowing </w:t>
      </w:r>
      <w:r>
        <w:t xml:space="preserve">an inference of guilt based on </w:t>
      </w:r>
      <w:r>
        <w:t>the refusal should be found to be improper</w:t>
      </w:r>
      <w:r>
        <w:t>.</w:t>
      </w:r>
      <w:r>
        <w:t xml:space="preserve">  </w:t>
      </w:r>
    </w:p>
    <w:p w14:paraId="7F9C331C" w14:textId="77777777" w:rsidR="00AD3A06" w:rsidRDefault="00AD3A06" w:rsidP="00483A10">
      <w:proofErr w:type="spellStart"/>
      <w:r>
        <w:t>Bolourchi</w:t>
      </w:r>
      <w:proofErr w:type="spellEnd"/>
      <w:r>
        <w:t xml:space="preserve"> draws our attention to </w:t>
      </w:r>
      <w:r w:rsidRPr="00864DAD">
        <w:rPr>
          <w:i/>
          <w:iCs/>
        </w:rPr>
        <w:t>Espinoza</w:t>
      </w:r>
      <w:r>
        <w:t xml:space="preserve">, </w:t>
      </w:r>
      <w:r w:rsidRPr="000232EB">
        <w:rPr>
          <w:i/>
          <w:iCs/>
        </w:rPr>
        <w:t>supra</w:t>
      </w:r>
      <w:r>
        <w:t xml:space="preserve">, </w:t>
      </w:r>
      <w:r>
        <w:t>10</w:t>
      </w:r>
      <w:r>
        <w:t> </w:t>
      </w:r>
      <w:r>
        <w:t xml:space="preserve">Cal.App.5th </w:t>
      </w:r>
      <w:r>
        <w:t>85</w:t>
      </w:r>
      <w:r>
        <w:t>,</w:t>
      </w:r>
      <w:r>
        <w:t xml:space="preserve"> </w:t>
      </w:r>
      <w:r>
        <w:t xml:space="preserve">where </w:t>
      </w:r>
      <w:r>
        <w:t xml:space="preserve">a </w:t>
      </w:r>
      <w:r>
        <w:t xml:space="preserve">Fourth District, Division Two panel </w:t>
      </w:r>
      <w:r>
        <w:t xml:space="preserve">noted </w:t>
      </w:r>
      <w:r>
        <w:t xml:space="preserve">some </w:t>
      </w:r>
      <w:r>
        <w:t>uncertain</w:t>
      </w:r>
      <w:r>
        <w:t xml:space="preserve">ty </w:t>
      </w:r>
      <w:r>
        <w:t>about</w:t>
      </w:r>
      <w:r>
        <w:t xml:space="preserve"> whether civil consequences for refusal to take a blood test (there, the administrative suspension of </w:t>
      </w:r>
      <w:r>
        <w:t>a</w:t>
      </w:r>
      <w:r>
        <w:t xml:space="preserve"> driver’s license) were still permitted </w:t>
      </w:r>
      <w:r>
        <w:t>after</w:t>
      </w:r>
      <w:r>
        <w:t xml:space="preserve"> </w:t>
      </w:r>
      <w:r w:rsidRPr="00477B8A">
        <w:rPr>
          <w:i/>
          <w:iCs/>
        </w:rPr>
        <w:t>McNeely</w:t>
      </w:r>
      <w:r>
        <w:t xml:space="preserve"> and </w:t>
      </w:r>
      <w:r w:rsidRPr="00864DAD">
        <w:rPr>
          <w:i/>
          <w:iCs/>
        </w:rPr>
        <w:t>Birchfield</w:t>
      </w:r>
      <w:r>
        <w:t>.</w:t>
      </w:r>
      <w:r>
        <w:t xml:space="preserve"> </w:t>
      </w:r>
      <w:r>
        <w:t xml:space="preserve"> (</w:t>
      </w:r>
      <w:r w:rsidRPr="007734EB">
        <w:rPr>
          <w:i/>
          <w:iCs/>
        </w:rPr>
        <w:t>Espinoza</w:t>
      </w:r>
      <w:r>
        <w:t>, at pp. 113</w:t>
      </w:r>
      <w:r>
        <w:t>–</w:t>
      </w:r>
      <w:r>
        <w:t xml:space="preserve">114.) </w:t>
      </w:r>
      <w:r>
        <w:t xml:space="preserve"> </w:t>
      </w:r>
      <w:r>
        <w:t>In</w:t>
      </w:r>
      <w:r>
        <w:t xml:space="preserve"> that case, </w:t>
      </w:r>
      <w:r>
        <w:t>a California Highway Patrol (CHP) officer</w:t>
      </w:r>
      <w:r>
        <w:t xml:space="preserve"> arrested a driver (Espinoza) </w:t>
      </w:r>
      <w:r>
        <w:t xml:space="preserve">for DUI </w:t>
      </w:r>
      <w:r>
        <w:t>and informed her that</w:t>
      </w:r>
      <w:r>
        <w:t>,</w:t>
      </w:r>
      <w:r>
        <w:t xml:space="preserve"> pursuant to the implied consent law, she had to submit to a blood or breath test.  (</w:t>
      </w:r>
      <w:r w:rsidRPr="009C0FEE">
        <w:rPr>
          <w:i/>
          <w:iCs/>
        </w:rPr>
        <w:t>Espinoza</w:t>
      </w:r>
      <w:r>
        <w:t>, at p. 94.)</w:t>
      </w:r>
      <w:r>
        <w:t xml:space="preserve">  Espinoza</w:t>
      </w:r>
      <w:r>
        <w:t>, after</w:t>
      </w:r>
      <w:r>
        <w:t xml:space="preserve"> stat</w:t>
      </w:r>
      <w:r>
        <w:t>ing</w:t>
      </w:r>
      <w:r>
        <w:t xml:space="preserve"> she was a public defender, referred to </w:t>
      </w:r>
      <w:r w:rsidRPr="00483A10">
        <w:rPr>
          <w:i/>
          <w:iCs/>
        </w:rPr>
        <w:t>McNeely</w:t>
      </w:r>
      <w:r>
        <w:t xml:space="preserve"> and made statements to the effect that she would submit to a blood test, but only if police obtained a warrant.  (</w:t>
      </w:r>
      <w:r w:rsidRPr="009C0FEE">
        <w:rPr>
          <w:i/>
          <w:iCs/>
        </w:rPr>
        <w:t>Espinoza</w:t>
      </w:r>
      <w:r>
        <w:t>, at pp. 93</w:t>
      </w:r>
      <w:r>
        <w:t>–</w:t>
      </w:r>
      <w:r>
        <w:t xml:space="preserve">94.)  The arresting officer told Espinoza that </w:t>
      </w:r>
      <w:r>
        <w:t>her willingness to submit to a blood test with a warrant would be treated as a refusal.  (</w:t>
      </w:r>
      <w:r>
        <w:rPr>
          <w:i/>
        </w:rPr>
        <w:t>Id.</w:t>
      </w:r>
      <w:r>
        <w:t xml:space="preserve"> at p. 94.)  The officer also stated </w:t>
      </w:r>
      <w:r>
        <w:t xml:space="preserve">the CHP’s policy was to obtain warrants for forced blood draws only in felony DUI cases, and that no </w:t>
      </w:r>
      <w:r>
        <w:lastRenderedPageBreak/>
        <w:t>warrant would be requested in Espinoza’s case.  (</w:t>
      </w:r>
      <w:r>
        <w:rPr>
          <w:i/>
        </w:rPr>
        <w:t>I</w:t>
      </w:r>
      <w:r>
        <w:rPr>
          <w:i/>
        </w:rPr>
        <w:t>bi</w:t>
      </w:r>
      <w:r>
        <w:rPr>
          <w:i/>
        </w:rPr>
        <w:t>d.</w:t>
      </w:r>
      <w:r>
        <w:t xml:space="preserve">)  No warrant was obtained, so no blood test </w:t>
      </w:r>
      <w:r>
        <w:t>was taken.  (</w:t>
      </w:r>
      <w:r>
        <w:rPr>
          <w:i/>
        </w:rPr>
        <w:t>Ibid.</w:t>
      </w:r>
      <w:r>
        <w:t>)  In addition, Espinoza did not submit to a breath test.  (</w:t>
      </w:r>
      <w:r>
        <w:rPr>
          <w:i/>
        </w:rPr>
        <w:t>Ibid.</w:t>
      </w:r>
      <w:r>
        <w:t>)</w:t>
      </w:r>
    </w:p>
    <w:p w14:paraId="2661C298" w14:textId="77777777" w:rsidR="00AD3A06" w:rsidRDefault="00AD3A06" w:rsidP="008C5205">
      <w:r>
        <w:t>Following administrative proceedings, Espinoza’s driver’s license was suspended for one year</w:t>
      </w:r>
      <w:r>
        <w:t xml:space="preserve"> for refusal to submit to a chemical test as required by the implied consent law</w:t>
      </w:r>
      <w:r>
        <w:t>.  (</w:t>
      </w:r>
      <w:r w:rsidRPr="00864DAD">
        <w:rPr>
          <w:i/>
          <w:iCs/>
        </w:rPr>
        <w:t>Espinoza</w:t>
      </w:r>
      <w:r>
        <w:t xml:space="preserve">, </w:t>
      </w:r>
      <w:r w:rsidRPr="00E85FEC">
        <w:rPr>
          <w:i/>
          <w:iCs/>
        </w:rPr>
        <w:t>supra</w:t>
      </w:r>
      <w:r>
        <w:t>, 10</w:t>
      </w:r>
      <w:r>
        <w:t> </w:t>
      </w:r>
      <w:r>
        <w:t>Cal.App.5th at p. 96.)</w:t>
      </w:r>
      <w:r>
        <w:t xml:space="preserve">  The superior court denied Espinoza’s petition for writ relief (</w:t>
      </w:r>
      <w:r>
        <w:rPr>
          <w:i/>
        </w:rPr>
        <w:t>id.</w:t>
      </w:r>
      <w:r>
        <w:t xml:space="preserve"> at pp. 96</w:t>
      </w:r>
      <w:r>
        <w:t>–</w:t>
      </w:r>
      <w:r>
        <w:t xml:space="preserve">97), </w:t>
      </w:r>
      <w:r>
        <w:t>and Espinoza appealed (</w:t>
      </w:r>
      <w:r>
        <w:rPr>
          <w:i/>
        </w:rPr>
        <w:t>id.</w:t>
      </w:r>
      <w:r>
        <w:t xml:space="preserve"> at p. 97).  </w:t>
      </w:r>
      <w:r>
        <w:t>Espinoza argued</w:t>
      </w:r>
      <w:r>
        <w:t xml:space="preserve"> she did not refuse to submit to a chemical test</w:t>
      </w:r>
      <w:r>
        <w:t>.  (</w:t>
      </w:r>
      <w:r>
        <w:rPr>
          <w:i/>
        </w:rPr>
        <w:t>Id.</w:t>
      </w:r>
      <w:r>
        <w:t xml:space="preserve"> at p. 103.)  She contended “she had a right under </w:t>
      </w:r>
      <w:r w:rsidRPr="00BB11A3">
        <w:rPr>
          <w:i/>
          <w:iCs/>
        </w:rPr>
        <w:t>McNeely</w:t>
      </w:r>
      <w:r>
        <w:t xml:space="preserve"> to force the police to obtain a warrant before they could seize her blood for testing and, therefore, her standing on her rights did n</w:t>
      </w:r>
      <w:r>
        <w:t>ot constitute a refusal to submit to a chemical test” under the implied consent law.  (</w:t>
      </w:r>
      <w:r>
        <w:rPr>
          <w:i/>
        </w:rPr>
        <w:t>Id.</w:t>
      </w:r>
      <w:r>
        <w:t xml:space="preserve"> at pp. 103</w:t>
      </w:r>
      <w:r>
        <w:t>–</w:t>
      </w:r>
      <w:r>
        <w:t>104.)</w:t>
      </w:r>
      <w:r>
        <w:t xml:space="preserve">  </w:t>
      </w:r>
    </w:p>
    <w:p w14:paraId="0F72F9CB" w14:textId="77777777" w:rsidR="00AD3A06" w:rsidRDefault="00AD3A06" w:rsidP="008C5205">
      <w:r>
        <w:t>The appellate court rejected Espinoza’s argument</w:t>
      </w:r>
      <w:r>
        <w:t>,</w:t>
      </w:r>
      <w:r>
        <w:t xml:space="preserve"> stating</w:t>
      </w:r>
      <w:proofErr w:type="gramStart"/>
      <w:r>
        <w:t>:  “</w:t>
      </w:r>
      <w:proofErr w:type="gramEnd"/>
      <w:r>
        <w:t xml:space="preserve">Although Espinoza had a constitutional right to be free from a warrantless, </w:t>
      </w:r>
      <w:r w:rsidRPr="008C5205">
        <w:rPr>
          <w:i/>
          <w:iCs/>
        </w:rPr>
        <w:t>coerced</w:t>
      </w:r>
      <w:r>
        <w:t xml:space="preserve"> search of her blood incident to her lawful arrest, she had no such right with respect to a breath test.  When Espinoza was told the policy of the CHP was to obtain warrants for forced blood draws only in felony DUI cases, and that a warrant would not be obtained in her case, Espinoza was required to choose a breath test.  Espinoza’s purported consent to a blood draw, to the exclusion of a breath test, constituted refusal to submit to a chemical test.”  (</w:t>
      </w:r>
      <w:r w:rsidRPr="00864DAD">
        <w:rPr>
          <w:i/>
          <w:iCs/>
        </w:rPr>
        <w:t>Espinoza</w:t>
      </w:r>
      <w:r>
        <w:t xml:space="preserve">, </w:t>
      </w:r>
      <w:r w:rsidRPr="00E85FEC">
        <w:rPr>
          <w:i/>
          <w:iCs/>
        </w:rPr>
        <w:t>supra</w:t>
      </w:r>
      <w:r>
        <w:t>, 10</w:t>
      </w:r>
      <w:r>
        <w:t> </w:t>
      </w:r>
      <w:r>
        <w:t>Cal.App.5th</w:t>
      </w:r>
      <w:r>
        <w:t xml:space="preserve"> at p. 104.)  </w:t>
      </w:r>
    </w:p>
    <w:p w14:paraId="48E5998B" w14:textId="77777777" w:rsidR="00AD3A06" w:rsidRDefault="00AD3A06" w:rsidP="00C277F8">
      <w:r>
        <w:t xml:space="preserve">The </w:t>
      </w:r>
      <w:r w:rsidRPr="00574DB5">
        <w:rPr>
          <w:i/>
          <w:iCs/>
        </w:rPr>
        <w:t>Espinoza</w:t>
      </w:r>
      <w:r>
        <w:t xml:space="preserve"> court explained that, under the implied consent law, a driver who provides only conditional, or purported, consent when requested to submit to a chemical test is deemed to have refused the test.  </w:t>
      </w:r>
      <w:r>
        <w:t>(</w:t>
      </w:r>
      <w:r w:rsidRPr="00864DAD">
        <w:rPr>
          <w:i/>
          <w:iCs/>
        </w:rPr>
        <w:t>Espinoza</w:t>
      </w:r>
      <w:r>
        <w:t xml:space="preserve">, </w:t>
      </w:r>
      <w:r w:rsidRPr="008A55CB">
        <w:rPr>
          <w:i/>
          <w:iCs/>
        </w:rPr>
        <w:t>supra</w:t>
      </w:r>
      <w:r>
        <w:t>, 10</w:t>
      </w:r>
      <w:r>
        <w:t> </w:t>
      </w:r>
      <w:r>
        <w:t xml:space="preserve">Cal.App.5th </w:t>
      </w:r>
      <w:r>
        <w:t>at pp. 104</w:t>
      </w:r>
      <w:r>
        <w:t>–</w:t>
      </w:r>
      <w:r>
        <w:t>105.)</w:t>
      </w:r>
      <w:r>
        <w:t xml:space="preserve">  Espinoza’s position that she would consent to a blood test only if the officer obtained a warrant “did not </w:t>
      </w:r>
      <w:r>
        <w:lastRenderedPageBreak/>
        <w:t>constitute clear and unequivocal consent to a chemical test and, therefore, was not actual consent.”  (</w:t>
      </w:r>
      <w:r>
        <w:rPr>
          <w:i/>
        </w:rPr>
        <w:t>Id.</w:t>
      </w:r>
      <w:r>
        <w:t xml:space="preserve"> at p. 105.)  </w:t>
      </w:r>
      <w:r>
        <w:t>Relying in part on the fact E</w:t>
      </w:r>
      <w:r>
        <w:t xml:space="preserve">spinoza </w:t>
      </w:r>
      <w:r>
        <w:t xml:space="preserve">also </w:t>
      </w:r>
      <w:r>
        <w:t xml:space="preserve">did not submit to a </w:t>
      </w:r>
      <w:r w:rsidRPr="000A285C">
        <w:rPr>
          <w:i/>
          <w:iCs/>
        </w:rPr>
        <w:t>breath</w:t>
      </w:r>
      <w:r>
        <w:t xml:space="preserve"> test, t</w:t>
      </w:r>
      <w:r>
        <w:t xml:space="preserve">he </w:t>
      </w:r>
      <w:r>
        <w:t xml:space="preserve">appellate </w:t>
      </w:r>
      <w:r>
        <w:t xml:space="preserve">court concluded that “Espinoza’s purported consent to a blood test, </w:t>
      </w:r>
      <w:r w:rsidRPr="00EB2211">
        <w:t>and</w:t>
      </w:r>
      <w:r>
        <w:t xml:space="preserve"> her failure to submit to and complete a breath test, constituted refusal to submit to a chemical test.”  (</w:t>
      </w:r>
      <w:r>
        <w:rPr>
          <w:i/>
        </w:rPr>
        <w:t>Id.</w:t>
      </w:r>
      <w:r>
        <w:t xml:space="preserve"> at p. 112.)  </w:t>
      </w:r>
    </w:p>
    <w:p w14:paraId="2B403733" w14:textId="77777777" w:rsidR="00AD3A06" w:rsidRDefault="00AD3A06" w:rsidP="00EA364F">
      <w:r>
        <w:t xml:space="preserve">In </w:t>
      </w:r>
      <w:r w:rsidRPr="00AC3148">
        <w:rPr>
          <w:i/>
          <w:iCs/>
        </w:rPr>
        <w:t>Espinoza</w:t>
      </w:r>
      <w:r>
        <w:t xml:space="preserve">, the Department of Motor Vehicles (Department) argued </w:t>
      </w:r>
      <w:r>
        <w:t xml:space="preserve">Espinoza’s refusal to submit to a blood test </w:t>
      </w:r>
      <w:r>
        <w:t xml:space="preserve">was a sufficient basis for the license suspension, and there was no need to address breath tests.  </w:t>
      </w:r>
      <w:r>
        <w:t>(</w:t>
      </w:r>
      <w:r w:rsidRPr="00864DAD">
        <w:rPr>
          <w:i/>
          <w:iCs/>
        </w:rPr>
        <w:t>Espinoza</w:t>
      </w:r>
      <w:r>
        <w:t xml:space="preserve">, </w:t>
      </w:r>
      <w:r w:rsidRPr="00E85FEC">
        <w:rPr>
          <w:i/>
          <w:iCs/>
        </w:rPr>
        <w:t>supra</w:t>
      </w:r>
      <w:r>
        <w:t>, 10</w:t>
      </w:r>
      <w:r>
        <w:t> </w:t>
      </w:r>
      <w:r>
        <w:t xml:space="preserve">Cal.App.5th at p. 112.)  </w:t>
      </w:r>
      <w:r>
        <w:t>T</w:t>
      </w:r>
      <w:r>
        <w:t xml:space="preserve">he </w:t>
      </w:r>
      <w:r w:rsidRPr="00BF1949">
        <w:rPr>
          <w:i/>
          <w:iCs/>
        </w:rPr>
        <w:t>Espinoza</w:t>
      </w:r>
      <w:r>
        <w:t xml:space="preserve"> court </w:t>
      </w:r>
      <w:r>
        <w:t xml:space="preserve">stated it would have agreed with this position prior to </w:t>
      </w:r>
      <w:r w:rsidRPr="00385CD9">
        <w:rPr>
          <w:i/>
          <w:iCs/>
        </w:rPr>
        <w:t>Birchfield</w:t>
      </w:r>
      <w:r>
        <w:t>.  (</w:t>
      </w:r>
      <w:r w:rsidRPr="00385CD9">
        <w:rPr>
          <w:i/>
          <w:iCs/>
        </w:rPr>
        <w:t>Espinoza</w:t>
      </w:r>
      <w:r>
        <w:t xml:space="preserve">, at p. 113.)  </w:t>
      </w:r>
      <w:r>
        <w:t xml:space="preserve">The </w:t>
      </w:r>
      <w:r w:rsidRPr="00EA364F">
        <w:rPr>
          <w:i/>
          <w:iCs/>
        </w:rPr>
        <w:t>Espinoza</w:t>
      </w:r>
      <w:r>
        <w:t xml:space="preserve"> court </w:t>
      </w:r>
      <w:r>
        <w:t xml:space="preserve">went on to </w:t>
      </w:r>
      <w:r>
        <w:t>state, however, “it is unclear whether the high court would approve of a civil license suspension based solely on a motorist</w:t>
      </w:r>
      <w:r>
        <w:t>’</w:t>
      </w:r>
      <w:r>
        <w:t>s refusal to submit to a warrantless blood test.</w:t>
      </w:r>
      <w:r>
        <w:t xml:space="preserve">” </w:t>
      </w:r>
      <w:r>
        <w:t xml:space="preserve"> (</w:t>
      </w:r>
      <w:r>
        <w:rPr>
          <w:i/>
        </w:rPr>
        <w:t>Ibid.</w:t>
      </w:r>
      <w:r>
        <w:t xml:space="preserve">)  </w:t>
      </w:r>
    </w:p>
    <w:p w14:paraId="599260DD" w14:textId="77777777" w:rsidR="00AD3A06" w:rsidRDefault="00AD3A06" w:rsidP="00060D3E">
      <w:r>
        <w:t xml:space="preserve">Elaborating on this point, the </w:t>
      </w:r>
      <w:r w:rsidRPr="00EC0714">
        <w:rPr>
          <w:i/>
          <w:iCs/>
        </w:rPr>
        <w:t>Espinoza</w:t>
      </w:r>
      <w:r>
        <w:t xml:space="preserve"> court noted that, under </w:t>
      </w:r>
      <w:r w:rsidRPr="00EC0714">
        <w:rPr>
          <w:i/>
          <w:iCs/>
        </w:rPr>
        <w:t>Birchfield</w:t>
      </w:r>
      <w:r>
        <w:t xml:space="preserve"> and </w:t>
      </w:r>
      <w:r w:rsidRPr="00EC0714">
        <w:rPr>
          <w:i/>
          <w:iCs/>
        </w:rPr>
        <w:t>McNeely</w:t>
      </w:r>
      <w:r>
        <w:t xml:space="preserve">, </w:t>
      </w:r>
      <w:r>
        <w:t>“[</w:t>
      </w:r>
      <w:r>
        <w:t>t</w:t>
      </w:r>
      <w:r>
        <w:t>]</w:t>
      </w:r>
      <w:r>
        <w:t>he police could</w:t>
      </w:r>
      <w:r>
        <w:t xml:space="preserve"> not force Espinoza to submit to a blood test against her will unless they obtained a warrant or showed there were exigent circumstances that justified a warrantless search.”  (</w:t>
      </w:r>
      <w:r w:rsidRPr="00864DAD">
        <w:rPr>
          <w:i/>
          <w:iCs/>
        </w:rPr>
        <w:t>Espinoza</w:t>
      </w:r>
      <w:r>
        <w:t xml:space="preserve">, </w:t>
      </w:r>
      <w:r w:rsidRPr="00977E74">
        <w:rPr>
          <w:i/>
          <w:iCs/>
        </w:rPr>
        <w:t>supra</w:t>
      </w:r>
      <w:r>
        <w:t>, 10</w:t>
      </w:r>
      <w:r>
        <w:t> </w:t>
      </w:r>
      <w:r>
        <w:t xml:space="preserve">Cal.App.5th at p. 113.)  The </w:t>
      </w:r>
      <w:r w:rsidRPr="0056521F">
        <w:rPr>
          <w:i/>
          <w:iCs/>
        </w:rPr>
        <w:t>Espinoza</w:t>
      </w:r>
      <w:r>
        <w:t xml:space="preserve"> court stated</w:t>
      </w:r>
      <w:proofErr w:type="gramStart"/>
      <w:r>
        <w:t>:  “</w:t>
      </w:r>
      <w:proofErr w:type="gramEnd"/>
      <w:r>
        <w:t>Consequently, we assume without deciding, that Espinoza could refuse to submit to a warrantless blood test unless the police obtained a warrant, and that, without more, her refusal to d</w:t>
      </w:r>
      <w:r>
        <w:t>o so could not result in her license being suspended.”  (</w:t>
      </w:r>
      <w:r>
        <w:rPr>
          <w:i/>
        </w:rPr>
        <w:t>Ibid.</w:t>
      </w:r>
      <w:r>
        <w:t xml:space="preserve">)  </w:t>
      </w:r>
    </w:p>
    <w:p w14:paraId="5F9AE71C" w14:textId="77777777" w:rsidR="00AD3A06" w:rsidRDefault="00AD3A06" w:rsidP="00060D3E">
      <w:r>
        <w:t xml:space="preserve">But </w:t>
      </w:r>
      <w:r>
        <w:t xml:space="preserve">Espinoza’s failure to submit to a </w:t>
      </w:r>
      <w:r w:rsidRPr="00060D3E">
        <w:rPr>
          <w:i/>
          <w:iCs/>
        </w:rPr>
        <w:t>breath</w:t>
      </w:r>
      <w:r>
        <w:t xml:space="preserve"> test provided a valid basis to suspend her license.  The </w:t>
      </w:r>
      <w:r w:rsidRPr="00060D3E">
        <w:rPr>
          <w:i/>
          <w:iCs/>
        </w:rPr>
        <w:t>Espinoza</w:t>
      </w:r>
      <w:r>
        <w:t xml:space="preserve"> court stated that, under </w:t>
      </w:r>
      <w:r w:rsidRPr="00060D3E">
        <w:rPr>
          <w:i/>
          <w:iCs/>
        </w:rPr>
        <w:t>Birchfield</w:t>
      </w:r>
      <w:r>
        <w:t xml:space="preserve">, “the Fourth Amendment does not prohibit the police from forcing a motorist to submit to a warrantless </w:t>
      </w:r>
      <w:r w:rsidRPr="00060D3E">
        <w:rPr>
          <w:i/>
          <w:iCs/>
        </w:rPr>
        <w:t>breath</w:t>
      </w:r>
      <w:r>
        <w:t xml:space="preserve"> test incident to his or her arrest, the motorist </w:t>
      </w:r>
      <w:r>
        <w:lastRenderedPageBreak/>
        <w:t xml:space="preserve">has no right to refuse to submit to a breath test or to condition his or her submission on the police obtaining a warrant, and the motorist’s refusal to submit to the breath test may be the basis of criminal penalties.  [Citation.]  </w:t>
      </w:r>
      <w:proofErr w:type="gramStart"/>
      <w:r>
        <w:t>In light of</w:t>
      </w:r>
      <w:proofErr w:type="gramEnd"/>
      <w:r>
        <w:t xml:space="preserve"> that </w:t>
      </w:r>
      <w:r>
        <w:t>clear holding, we conclude refusal to submit to a breath test incident to arrest may also be the basis of imposing civil penalties under the implied consent law, including suspension or revocation of the motorist’s driver’s license.”  (</w:t>
      </w:r>
      <w:r w:rsidRPr="00060D3E">
        <w:rPr>
          <w:i/>
          <w:iCs/>
        </w:rPr>
        <w:t>Espinoza</w:t>
      </w:r>
      <w:r>
        <w:t xml:space="preserve">, </w:t>
      </w:r>
      <w:r w:rsidRPr="00060D3E">
        <w:rPr>
          <w:i/>
          <w:iCs/>
        </w:rPr>
        <w:t>supra</w:t>
      </w:r>
      <w:r>
        <w:t>, 10</w:t>
      </w:r>
      <w:r>
        <w:t> </w:t>
      </w:r>
      <w:r>
        <w:t xml:space="preserve">Cal.App.5th at p. 113.)  </w:t>
      </w:r>
    </w:p>
    <w:p w14:paraId="54A0FB6E" w14:textId="77777777" w:rsidR="00AD3A06" w:rsidRDefault="00AD3A06" w:rsidP="009F7F29">
      <w:r>
        <w:t>In so holding</w:t>
      </w:r>
      <w:r>
        <w:t xml:space="preserve">, the </w:t>
      </w:r>
      <w:r w:rsidRPr="00F40DC8">
        <w:rPr>
          <w:i/>
          <w:iCs/>
        </w:rPr>
        <w:t>Espinoza</w:t>
      </w:r>
      <w:r>
        <w:t xml:space="preserve"> court</w:t>
      </w:r>
      <w:r>
        <w:t xml:space="preserve"> </w:t>
      </w:r>
      <w:r>
        <w:t xml:space="preserve">addressed an argument by the Department that </w:t>
      </w:r>
      <w:r w:rsidRPr="00F40DC8">
        <w:rPr>
          <w:i/>
          <w:iCs/>
        </w:rPr>
        <w:t>Birchfield</w:t>
      </w:r>
      <w:r>
        <w:t xml:space="preserve"> did not apply to the civil penalties in Espinoza’s case, because </w:t>
      </w:r>
      <w:r w:rsidRPr="00F40DC8">
        <w:rPr>
          <w:i/>
          <w:iCs/>
        </w:rPr>
        <w:t>Birchfield</w:t>
      </w:r>
      <w:r>
        <w:t xml:space="preserve"> only addressed criminal liability for refusing to submit to a chemical test.  </w:t>
      </w:r>
      <w:r>
        <w:t>(</w:t>
      </w:r>
      <w:r w:rsidRPr="00060D3E">
        <w:rPr>
          <w:i/>
          <w:iCs/>
        </w:rPr>
        <w:t>Espinoza</w:t>
      </w:r>
      <w:r>
        <w:t xml:space="preserve">, </w:t>
      </w:r>
      <w:r w:rsidRPr="00060D3E">
        <w:rPr>
          <w:i/>
          <w:iCs/>
        </w:rPr>
        <w:t>supra</w:t>
      </w:r>
      <w:r>
        <w:t>, 10</w:t>
      </w:r>
      <w:r>
        <w:t> </w:t>
      </w:r>
      <w:r>
        <w:t>Cal.App.5th at p. 113.)</w:t>
      </w:r>
      <w:r>
        <w:t xml:space="preserve">  </w:t>
      </w:r>
      <w:r>
        <w:t xml:space="preserve">We acknowledge that </w:t>
      </w:r>
      <w:r>
        <w:t>the discussion on this point</w:t>
      </w:r>
      <w:r>
        <w:t xml:space="preserve"> in </w:t>
      </w:r>
      <w:r w:rsidRPr="0029114F">
        <w:rPr>
          <w:i/>
          <w:iCs/>
        </w:rPr>
        <w:t>Espinoza</w:t>
      </w:r>
      <w:r>
        <w:t xml:space="preserve"> </w:t>
      </w:r>
      <w:r>
        <w:t xml:space="preserve">gestures toward the analysis </w:t>
      </w:r>
      <w:proofErr w:type="spellStart"/>
      <w:r>
        <w:t>Bolourchi</w:t>
      </w:r>
      <w:proofErr w:type="spellEnd"/>
      <w:r>
        <w:t xml:space="preserve"> urges us to adopt in this case.  </w:t>
      </w:r>
      <w:r>
        <w:t>According to t</w:t>
      </w:r>
      <w:r>
        <w:t xml:space="preserve">he </w:t>
      </w:r>
      <w:r w:rsidRPr="00317B32">
        <w:rPr>
          <w:i/>
          <w:iCs/>
        </w:rPr>
        <w:t>Espinoza</w:t>
      </w:r>
      <w:r>
        <w:t xml:space="preserve"> court</w:t>
      </w:r>
      <w:r>
        <w:t xml:space="preserve">, </w:t>
      </w:r>
      <w:r>
        <w:t xml:space="preserve">“the </w:t>
      </w:r>
      <w:r>
        <w:t xml:space="preserve">Department contends the high court in </w:t>
      </w:r>
      <w:r w:rsidRPr="00317B32">
        <w:rPr>
          <w:i/>
          <w:iCs/>
        </w:rPr>
        <w:t>Birchfield</w:t>
      </w:r>
      <w:r>
        <w:t xml:space="preserve"> expressly state</w:t>
      </w:r>
      <w:r>
        <w:t xml:space="preserve">d it was not holding that </w:t>
      </w:r>
      <w:r w:rsidRPr="00D3104E">
        <w:rPr>
          <w:i/>
        </w:rPr>
        <w:t xml:space="preserve">civil </w:t>
      </w:r>
      <w:r>
        <w:t>penalties could not be imposed if a motorist refuses to submit to a chemical test.”  (</w:t>
      </w:r>
      <w:r>
        <w:rPr>
          <w:i/>
        </w:rPr>
        <w:t>Id.</w:t>
      </w:r>
      <w:r>
        <w:t xml:space="preserve"> at pp. 113</w:t>
      </w:r>
      <w:r>
        <w:t>–</w:t>
      </w:r>
      <w:r>
        <w:t xml:space="preserve">114.)  </w:t>
      </w:r>
      <w:r>
        <w:t>T</w:t>
      </w:r>
      <w:r>
        <w:t xml:space="preserve">he </w:t>
      </w:r>
      <w:r w:rsidRPr="009A5C8A">
        <w:rPr>
          <w:i/>
          <w:iCs/>
        </w:rPr>
        <w:t>Espinoza</w:t>
      </w:r>
      <w:r>
        <w:t xml:space="preserve"> court was not persuaded that the passage on this point in </w:t>
      </w:r>
      <w:r w:rsidRPr="009A5C8A">
        <w:rPr>
          <w:i/>
          <w:iCs/>
        </w:rPr>
        <w:t>Birchfield</w:t>
      </w:r>
      <w:r>
        <w:t xml:space="preserve"> (a passage we have discussed above) established the propriety of imposing civil penalties for a refusal to submit to a warrantless blood test</w:t>
      </w:r>
      <w:r>
        <w:t xml:space="preserve">, so the </w:t>
      </w:r>
      <w:r w:rsidRPr="00260570">
        <w:rPr>
          <w:i/>
          <w:iCs/>
        </w:rPr>
        <w:t>Espinoza</w:t>
      </w:r>
      <w:r>
        <w:t xml:space="preserve"> court </w:t>
      </w:r>
      <w:r>
        <w:t xml:space="preserve">instead </w:t>
      </w:r>
      <w:r>
        <w:t>ground</w:t>
      </w:r>
      <w:r>
        <w:t>ed</w:t>
      </w:r>
      <w:r>
        <w:t xml:space="preserve"> its </w:t>
      </w:r>
      <w:r>
        <w:t xml:space="preserve">decision </w:t>
      </w:r>
      <w:r>
        <w:t>on Espinoza’s refusal to submit to a breath test</w:t>
      </w:r>
      <w:r>
        <w:t>.  (</w:t>
      </w:r>
      <w:r w:rsidRPr="009F7F29">
        <w:rPr>
          <w:i/>
          <w:iCs/>
        </w:rPr>
        <w:t>Espinoza</w:t>
      </w:r>
      <w:r>
        <w:t xml:space="preserve">, </w:t>
      </w:r>
      <w:r>
        <w:t>at p. 114.)</w:t>
      </w:r>
      <w:r>
        <w:t xml:space="preserve">  </w:t>
      </w:r>
    </w:p>
    <w:p w14:paraId="3EDA9822" w14:textId="77777777" w:rsidR="00AD3A06" w:rsidRDefault="00AD3A06" w:rsidP="005052D4">
      <w:r>
        <w:t xml:space="preserve">The </w:t>
      </w:r>
      <w:r w:rsidRPr="009F7F29">
        <w:rPr>
          <w:i/>
          <w:iCs/>
        </w:rPr>
        <w:t>Espinoza</w:t>
      </w:r>
      <w:r>
        <w:t xml:space="preserve"> court </w:t>
      </w:r>
      <w:r>
        <w:t>explained its reasoning as follows</w:t>
      </w:r>
      <w:proofErr w:type="gramStart"/>
      <w:r>
        <w:t>:  “</w:t>
      </w:r>
      <w:proofErr w:type="gramEnd"/>
      <w:r>
        <w:t xml:space="preserve">True, the court in </w:t>
      </w:r>
      <w:r w:rsidRPr="009F7F29">
        <w:rPr>
          <w:i/>
          <w:iCs/>
        </w:rPr>
        <w:t>Birchfield</w:t>
      </w:r>
      <w:r>
        <w:t xml:space="preserve"> stated its ‘prior opinions have referred approvingly to the </w:t>
      </w:r>
      <w:r w:rsidRPr="009F7F29">
        <w:rPr>
          <w:i/>
          <w:iCs/>
        </w:rPr>
        <w:t>general</w:t>
      </w:r>
      <w:r>
        <w:t xml:space="preserve"> concept of implied-consent laws that impose civil penalties and evidentiary consequences on motorists who refuse to comply,’ and that ‘nothing we say here should be read to cast doubt on them.’  </w:t>
      </w:r>
      <w:r>
        <w:t xml:space="preserve">[Citations.]  </w:t>
      </w:r>
      <w:r>
        <w:t xml:space="preserve">But the legality of </w:t>
      </w:r>
      <w:r w:rsidRPr="00954009">
        <w:rPr>
          <w:i/>
        </w:rPr>
        <w:t>civil</w:t>
      </w:r>
      <w:r>
        <w:t xml:space="preserve"> penalties for refusing to submit to a warrantless blood test </w:t>
      </w:r>
      <w:r>
        <w:lastRenderedPageBreak/>
        <w:t xml:space="preserve">was not squarely presented in </w:t>
      </w:r>
      <w:r w:rsidRPr="00260570">
        <w:rPr>
          <w:i/>
          <w:iCs/>
        </w:rPr>
        <w:t>Birchfield</w:t>
      </w:r>
      <w:r>
        <w:t xml:space="preserve">. </w:t>
      </w:r>
      <w:r>
        <w:t xml:space="preserve"> </w:t>
      </w:r>
      <w:r>
        <w:t xml:space="preserve">(See </w:t>
      </w:r>
      <w:r>
        <w:t>[</w:t>
      </w:r>
      <w:r w:rsidRPr="005052D4">
        <w:rPr>
          <w:i/>
          <w:iCs/>
        </w:rPr>
        <w:t>People v. Harris</w:t>
      </w:r>
      <w:r>
        <w:rPr>
          <w:i/>
          <w:iCs/>
        </w:rPr>
        <w:t>, supra,</w:t>
      </w:r>
      <w:r>
        <w:t xml:space="preserve"> 234</w:t>
      </w:r>
      <w:r>
        <w:t> </w:t>
      </w:r>
      <w:r>
        <w:t xml:space="preserve">Cal.App.4th </w:t>
      </w:r>
      <w:r>
        <w:t>at p. </w:t>
      </w:r>
      <w:r>
        <w:t xml:space="preserve">684] </w:t>
      </w:r>
      <w:proofErr w:type="gramStart"/>
      <w:r>
        <w:t>[</w:t>
      </w:r>
      <w:r>
        <w:t>‘ </w:t>
      </w:r>
      <w:r>
        <w:t>“</w:t>
      </w:r>
      <w:proofErr w:type="gramEnd"/>
      <w:r>
        <w:t> </w:t>
      </w:r>
      <w:r>
        <w:t>‘</w:t>
      </w:r>
      <w:r>
        <w:t> </w:t>
      </w:r>
      <w:r>
        <w:t xml:space="preserve">“It is axiomatic that language in a judicial opinion is to be understood in accordance with the facts and issues before the court. </w:t>
      </w:r>
      <w:r>
        <w:t xml:space="preserve"> </w:t>
      </w:r>
      <w:r>
        <w:t>An opinion is not authority for propositions not considered.</w:t>
      </w:r>
      <w:proofErr w:type="gramStart"/>
      <w:r>
        <w:t>” </w:t>
      </w:r>
      <w:r>
        <w:t>’</w:t>
      </w:r>
      <w:proofErr w:type="gramEnd"/>
      <w:r>
        <w:t> </w:t>
      </w:r>
      <w:r>
        <w:t>”</w:t>
      </w:r>
      <w:r>
        <w:t> </w:t>
      </w:r>
      <w:r>
        <w:t>’].)</w:t>
      </w:r>
      <w:r>
        <w:t xml:space="preserve">  </w:t>
      </w:r>
      <w:r>
        <w:t>We remain somewhat doubtful whether the high court would approve of a civil license suspension predicated solely on a motorist</w:t>
      </w:r>
      <w:r>
        <w:t>’</w:t>
      </w:r>
      <w:r>
        <w:t xml:space="preserve">s refusal to submit to a warrantless </w:t>
      </w:r>
      <w:r w:rsidRPr="00260570">
        <w:rPr>
          <w:i/>
          <w:iCs/>
        </w:rPr>
        <w:t>blood</w:t>
      </w:r>
      <w:r>
        <w:t xml:space="preserve"> test. </w:t>
      </w:r>
      <w:r>
        <w:t xml:space="preserve"> </w:t>
      </w:r>
      <w:r>
        <w:t>Rather than decide whether Espinoza</w:t>
      </w:r>
      <w:r>
        <w:t>’</w:t>
      </w:r>
      <w:r>
        <w:t>s license could be lawfully suspended based solely on her refusal to submit to a warrantless blood test, we conclude her license was lawfully suspended because she did not submit to a warrantless breath test.</w:t>
      </w:r>
      <w:r>
        <w:t>”  (</w:t>
      </w:r>
      <w:r w:rsidRPr="00060D3E">
        <w:rPr>
          <w:i/>
          <w:iCs/>
        </w:rPr>
        <w:t>Espinoza</w:t>
      </w:r>
      <w:r>
        <w:t xml:space="preserve">, </w:t>
      </w:r>
      <w:r w:rsidRPr="00060D3E">
        <w:rPr>
          <w:i/>
          <w:iCs/>
        </w:rPr>
        <w:t>supra</w:t>
      </w:r>
      <w:r>
        <w:t>, 10</w:t>
      </w:r>
      <w:r>
        <w:t> </w:t>
      </w:r>
      <w:r>
        <w:t xml:space="preserve">Cal.App.5th at p. 114.)  </w:t>
      </w:r>
    </w:p>
    <w:p w14:paraId="630B1CC7" w14:textId="77777777" w:rsidR="00AD3A06" w:rsidRDefault="00AD3A06" w:rsidP="00475072">
      <w:r>
        <w:t xml:space="preserve">Here, </w:t>
      </w:r>
      <w:r>
        <w:t xml:space="preserve">of course, the facts differ from those in </w:t>
      </w:r>
      <w:r w:rsidRPr="00D80C68">
        <w:rPr>
          <w:i/>
          <w:iCs/>
        </w:rPr>
        <w:t>Espinoza</w:t>
      </w:r>
      <w:r>
        <w:t xml:space="preserve">.  </w:t>
      </w:r>
      <w:r>
        <w:t>B</w:t>
      </w:r>
      <w:r>
        <w:t xml:space="preserve">y the time </w:t>
      </w:r>
      <w:proofErr w:type="spellStart"/>
      <w:r>
        <w:t>Bolourchi</w:t>
      </w:r>
      <w:proofErr w:type="spellEnd"/>
      <w:r>
        <w:t xml:space="preserve"> was arrested, he was suspected of driving under the influence of a drug rather than alcohol, and the only test he </w:t>
      </w:r>
      <w:r>
        <w:t xml:space="preserve">was offered and </w:t>
      </w:r>
      <w:r>
        <w:t xml:space="preserve">refused to take was a warrantless blood test.  </w:t>
      </w:r>
      <w:r w:rsidRPr="00940DE4">
        <w:rPr>
          <w:i/>
          <w:iCs/>
        </w:rPr>
        <w:t>Espinoza</w:t>
      </w:r>
      <w:r>
        <w:t xml:space="preserve"> assumed, without deciding, that </w:t>
      </w:r>
      <w:r>
        <w:t xml:space="preserve">under </w:t>
      </w:r>
      <w:r w:rsidRPr="007667FB">
        <w:rPr>
          <w:i/>
          <w:iCs/>
        </w:rPr>
        <w:t>Birchfield</w:t>
      </w:r>
      <w:r>
        <w:t xml:space="preserve"> </w:t>
      </w:r>
      <w:r>
        <w:t>(</w:t>
      </w:r>
      <w:r>
        <w:t xml:space="preserve">and </w:t>
      </w:r>
      <w:r>
        <w:t xml:space="preserve">despite the </w:t>
      </w:r>
      <w:r>
        <w:t xml:space="preserve">qualifying </w:t>
      </w:r>
      <w:r>
        <w:t xml:space="preserve">language </w:t>
      </w:r>
      <w:r>
        <w:t xml:space="preserve">used </w:t>
      </w:r>
      <w:r>
        <w:t>in</w:t>
      </w:r>
      <w:r>
        <w:t xml:space="preserve"> that case</w:t>
      </w:r>
      <w:r>
        <w:t>)</w:t>
      </w:r>
      <w:r>
        <w:t>,</w:t>
      </w:r>
      <w:r>
        <w:t xml:space="preserve"> </w:t>
      </w:r>
      <w:r>
        <w:t>“</w:t>
      </w:r>
      <w:r>
        <w:t>civil penalties</w:t>
      </w:r>
      <w:r>
        <w:t>”</w:t>
      </w:r>
      <w:r>
        <w:t xml:space="preserve"> (such as a license suspension) could not be imposed in this circumstance.  (</w:t>
      </w:r>
      <w:r w:rsidRPr="00060D3E">
        <w:rPr>
          <w:i/>
          <w:iCs/>
        </w:rPr>
        <w:t>Espinoza</w:t>
      </w:r>
      <w:r>
        <w:t xml:space="preserve">, </w:t>
      </w:r>
      <w:r w:rsidRPr="00060D3E">
        <w:rPr>
          <w:i/>
          <w:iCs/>
        </w:rPr>
        <w:t>supra</w:t>
      </w:r>
      <w:r>
        <w:t>, 10</w:t>
      </w:r>
      <w:r>
        <w:t> </w:t>
      </w:r>
      <w:r>
        <w:t>Cal.App.5th at pp. 113</w:t>
      </w:r>
      <w:r>
        <w:t>–</w:t>
      </w:r>
      <w:r>
        <w:t xml:space="preserve">114.)  </w:t>
      </w:r>
      <w:r>
        <w:t>T</w:t>
      </w:r>
      <w:r>
        <w:t xml:space="preserve">he present case raises a similar issue, </w:t>
      </w:r>
      <w:r>
        <w:t>th</w:t>
      </w:r>
      <w:r>
        <w:t xml:space="preserve">ough here we are dealing with </w:t>
      </w:r>
      <w:r>
        <w:t>the imposition of “evidentiary consequences” (</w:t>
      </w:r>
      <w:r w:rsidRPr="00873BB1">
        <w:rPr>
          <w:i/>
        </w:rPr>
        <w:t>Birchfield</w:t>
      </w:r>
      <w:r>
        <w:t xml:space="preserve">, </w:t>
      </w:r>
      <w:r w:rsidRPr="00873BB1">
        <w:rPr>
          <w:i/>
        </w:rPr>
        <w:t>supra</w:t>
      </w:r>
      <w:r>
        <w:t xml:space="preserve">, </w:t>
      </w:r>
      <w:r>
        <w:t>579 U.S. at p.</w:t>
      </w:r>
      <w:r>
        <w:t xml:space="preserve"> 477) </w:t>
      </w:r>
      <w:r>
        <w:t xml:space="preserve">(i.e., the instruction allowing an inference of consciousness of guilt) </w:t>
      </w:r>
      <w:r>
        <w:t xml:space="preserve">attending </w:t>
      </w:r>
      <w:proofErr w:type="spellStart"/>
      <w:r>
        <w:t>Bolourchi’s</w:t>
      </w:r>
      <w:proofErr w:type="spellEnd"/>
      <w:r>
        <w:t xml:space="preserve"> refusal to submit to a warrantless blood test</w:t>
      </w:r>
      <w:r>
        <w:t xml:space="preserve"> in a criminal trial</w:t>
      </w:r>
      <w:r>
        <w:t xml:space="preserve">. </w:t>
      </w:r>
      <w:r>
        <w:t xml:space="preserve"> </w:t>
      </w:r>
      <w:r>
        <w:t xml:space="preserve">Whatever may be the case for the civil penalty of license </w:t>
      </w:r>
      <w:r>
        <w:t>suspension</w:t>
      </w:r>
      <w:r>
        <w:t xml:space="preserve">, </w:t>
      </w:r>
      <w:r>
        <w:t xml:space="preserve">we </w:t>
      </w:r>
      <w:r>
        <w:t xml:space="preserve">believe </w:t>
      </w:r>
      <w:r>
        <w:t xml:space="preserve">a </w:t>
      </w:r>
      <w:r>
        <w:t xml:space="preserve">DUI arrestee may be constitutionally </w:t>
      </w:r>
      <w:r>
        <w:t xml:space="preserve">required </w:t>
      </w:r>
      <w:r>
        <w:t xml:space="preserve">to </w:t>
      </w:r>
      <w:r>
        <w:t xml:space="preserve">face </w:t>
      </w:r>
      <w:r>
        <w:t xml:space="preserve">an adverse inference at </w:t>
      </w:r>
      <w:r>
        <w:t xml:space="preserve">his </w:t>
      </w:r>
      <w:r>
        <w:t xml:space="preserve">trial </w:t>
      </w:r>
      <w:r>
        <w:t xml:space="preserve">on a DUI charge </w:t>
      </w:r>
      <w:r>
        <w:t>as a cost of</w:t>
      </w:r>
      <w:r>
        <w:t xml:space="preserve"> refusing a blood test. </w:t>
      </w:r>
      <w:r>
        <w:t xml:space="preserve"> </w:t>
      </w:r>
    </w:p>
    <w:p w14:paraId="3C5BE29F" w14:textId="77777777" w:rsidR="00AD3A06" w:rsidRDefault="00AD3A06" w:rsidP="00E32A7E">
      <w:r>
        <w:lastRenderedPageBreak/>
        <w:t>A</w:t>
      </w:r>
      <w:r>
        <w:t xml:space="preserve">s we read </w:t>
      </w:r>
      <w:r w:rsidRPr="003D3E8C">
        <w:rPr>
          <w:i/>
          <w:iCs/>
        </w:rPr>
        <w:t>Birchfield</w:t>
      </w:r>
      <w:r>
        <w:t xml:space="preserve">, </w:t>
      </w:r>
      <w:r>
        <w:t xml:space="preserve">that case </w:t>
      </w:r>
      <w:r>
        <w:t xml:space="preserve">does not prohibit the </w:t>
      </w:r>
      <w:r>
        <w:t xml:space="preserve">imposition of </w:t>
      </w:r>
      <w:r>
        <w:t xml:space="preserve">such </w:t>
      </w:r>
      <w:r>
        <w:t>evidentiary consequences</w:t>
      </w:r>
      <w:r>
        <w:t xml:space="preserve">—here </w:t>
      </w:r>
      <w:r>
        <w:t xml:space="preserve">in the form of </w:t>
      </w:r>
      <w:r>
        <w:t xml:space="preserve">the </w:t>
      </w:r>
      <w:r>
        <w:t>CALCRIM No. 2130</w:t>
      </w:r>
      <w:r>
        <w:t xml:space="preserve"> instruction </w:t>
      </w:r>
      <w:proofErr w:type="spellStart"/>
      <w:r>
        <w:t>Bolourchi’s</w:t>
      </w:r>
      <w:proofErr w:type="spellEnd"/>
      <w:r>
        <w:t xml:space="preserve"> </w:t>
      </w:r>
      <w:r>
        <w:t xml:space="preserve">jury was given. </w:t>
      </w:r>
      <w:r>
        <w:t xml:space="preserve"> As noted, </w:t>
      </w:r>
      <w:r>
        <w:t xml:space="preserve">the </w:t>
      </w:r>
      <w:r w:rsidRPr="0017561E">
        <w:rPr>
          <w:i/>
          <w:iCs/>
        </w:rPr>
        <w:t>Birchfield</w:t>
      </w:r>
      <w:r>
        <w:t xml:space="preserve"> </w:t>
      </w:r>
      <w:r>
        <w:t xml:space="preserve">court </w:t>
      </w:r>
      <w:r>
        <w:t xml:space="preserve">did not lump together all potential consequences of a refusal and </w:t>
      </w:r>
      <w:proofErr w:type="gramStart"/>
      <w:r>
        <w:t>hold</w:t>
      </w:r>
      <w:proofErr w:type="gramEnd"/>
      <w:r>
        <w:t xml:space="preserve"> </w:t>
      </w:r>
      <w:r>
        <w:t xml:space="preserve">the Fourth Amendment </w:t>
      </w:r>
      <w:r>
        <w:t xml:space="preserve">prohibits </w:t>
      </w:r>
      <w:r>
        <w:t xml:space="preserve">all of </w:t>
      </w:r>
      <w:r>
        <w:t>them</w:t>
      </w:r>
      <w:r>
        <w:t>.</w:t>
      </w:r>
      <w:r>
        <w:t xml:space="preserve">  (</w:t>
      </w:r>
      <w:r w:rsidRPr="00EB3FE1">
        <w:rPr>
          <w:i/>
          <w:iCs/>
        </w:rPr>
        <w:t>Birchfield</w:t>
      </w:r>
      <w:r>
        <w:t xml:space="preserve">, </w:t>
      </w:r>
      <w:r w:rsidRPr="00EB3FE1">
        <w:rPr>
          <w:i/>
          <w:iCs/>
        </w:rPr>
        <w:t>supra</w:t>
      </w:r>
      <w:r>
        <w:t>, 579</w:t>
      </w:r>
      <w:r>
        <w:t> </w:t>
      </w:r>
      <w:r>
        <w:t xml:space="preserve">U.S. </w:t>
      </w:r>
      <w:r>
        <w:t>at pp. 476</w:t>
      </w:r>
      <w:r>
        <w:t>–</w:t>
      </w:r>
      <w:r>
        <w:t xml:space="preserve">477.)  </w:t>
      </w:r>
      <w:r>
        <w:t>Instead</w:t>
      </w:r>
      <w:r>
        <w:t xml:space="preserve">, the court </w:t>
      </w:r>
      <w:r>
        <w:t>prohibited only “criminal penalties</w:t>
      </w:r>
      <w:r>
        <w:t>”</w:t>
      </w:r>
      <w:r>
        <w:t xml:space="preserve"> </w:t>
      </w:r>
      <w:r>
        <w:t>(</w:t>
      </w:r>
      <w:r w:rsidRPr="000211EB">
        <w:rPr>
          <w:i/>
          <w:iCs/>
        </w:rPr>
        <w:t>id.</w:t>
      </w:r>
      <w:r>
        <w:t xml:space="preserve"> at p. 477),</w:t>
      </w:r>
      <w:r>
        <w:t xml:space="preserve"> </w:t>
      </w:r>
      <w:r>
        <w:t>and</w:t>
      </w:r>
      <w:r>
        <w:t xml:space="preserve">, </w:t>
      </w:r>
      <w:r>
        <w:t>while</w:t>
      </w:r>
      <w:r>
        <w:t xml:space="preserve"> the court did not expressly </w:t>
      </w:r>
      <w:r w:rsidRPr="005F2DD6">
        <w:t>hold</w:t>
      </w:r>
      <w:r>
        <w:t xml:space="preserve"> that other consequences are permissible, it</w:t>
      </w:r>
      <w:r>
        <w:t xml:space="preserve"> </w:t>
      </w:r>
      <w:r>
        <w:t>stated</w:t>
      </w:r>
      <w:r>
        <w:t xml:space="preserve"> that</w:t>
      </w:r>
      <w:r>
        <w:t xml:space="preserve"> its opinion should </w:t>
      </w:r>
      <w:r w:rsidRPr="004F678F">
        <w:t>not</w:t>
      </w:r>
      <w:r>
        <w:t xml:space="preserve"> “be read to cast doubt on” “implied-consent laws that impose civil penalties and evidentiary consequences on motorists who refuse to comply.”  (</w:t>
      </w:r>
      <w:r>
        <w:rPr>
          <w:i/>
        </w:rPr>
        <w:t>Id.</w:t>
      </w:r>
      <w:r>
        <w:rPr>
          <w:iCs/>
        </w:rPr>
        <w:t xml:space="preserve"> at pp. 476</w:t>
      </w:r>
      <w:r>
        <w:rPr>
          <w:iCs/>
        </w:rPr>
        <w:t>–</w:t>
      </w:r>
      <w:r>
        <w:rPr>
          <w:iCs/>
        </w:rPr>
        <w:t>477</w:t>
      </w:r>
      <w:r>
        <w:rPr>
          <w:iCs/>
        </w:rPr>
        <w:t>.</w:t>
      </w:r>
      <w:r>
        <w:t>)</w:t>
      </w:r>
      <w:r>
        <w:t xml:space="preserve"> </w:t>
      </w:r>
      <w:r>
        <w:t xml:space="preserve"> Bear in mind that here the </w:t>
      </w:r>
      <w:r>
        <w:t xml:space="preserve">only criminal </w:t>
      </w:r>
      <w:r>
        <w:t xml:space="preserve">penalty </w:t>
      </w:r>
      <w:r>
        <w:t xml:space="preserve">sought for </w:t>
      </w:r>
      <w:proofErr w:type="spellStart"/>
      <w:r>
        <w:t>Bolourchi’s</w:t>
      </w:r>
      <w:proofErr w:type="spellEnd"/>
      <w:r>
        <w:t xml:space="preserve"> refusal</w:t>
      </w:r>
      <w:r>
        <w:t xml:space="preserve">, </w:t>
      </w:r>
      <w:proofErr w:type="gramStart"/>
      <w:r>
        <w:t xml:space="preserve">the </w:t>
      </w:r>
      <w:r>
        <w:t>section</w:t>
      </w:r>
      <w:proofErr w:type="gramEnd"/>
      <w:r>
        <w:t xml:space="preserve"> 2</w:t>
      </w:r>
      <w:r>
        <w:t>3</w:t>
      </w:r>
      <w:r>
        <w:t>5</w:t>
      </w:r>
      <w:r>
        <w:t>77</w:t>
      </w:r>
      <w:r>
        <w:t xml:space="preserve"> sentencing enhancement allegation, was dismissed before </w:t>
      </w:r>
      <w:r>
        <w:t xml:space="preserve">his </w:t>
      </w:r>
      <w:r>
        <w:t>case went to the jury.</w:t>
      </w:r>
      <w:r>
        <w:t xml:space="preserve"> </w:t>
      </w:r>
    </w:p>
    <w:p w14:paraId="2C11CFEB" w14:textId="77777777" w:rsidR="00AD3A06" w:rsidRDefault="00AD3A06" w:rsidP="00407C43">
      <w:r>
        <w:t>Th</w:t>
      </w:r>
      <w:r>
        <w:t xml:space="preserve">e </w:t>
      </w:r>
      <w:r w:rsidRPr="00EB3FE1">
        <w:rPr>
          <w:i/>
          <w:iCs/>
        </w:rPr>
        <w:t>Birchfield</w:t>
      </w:r>
      <w:r>
        <w:t xml:space="preserve"> </w:t>
      </w:r>
      <w:r>
        <w:t xml:space="preserve">court’s language suggests it viewed the different consequences as part of a continuum, with the most severe consequence (criminal penalties) violating the Fourth Amendment because “[t]here must be </w:t>
      </w:r>
      <w:r w:rsidRPr="00E32A7E">
        <w:t>a limit to the consequences</w:t>
      </w:r>
      <w:r>
        <w:t xml:space="preserve"> to which motorists may be deemed to have consented by virtue of a decision to drive on public roads.”  (</w:t>
      </w:r>
      <w:r w:rsidRPr="00EB3FE1">
        <w:rPr>
          <w:i/>
          <w:iCs/>
        </w:rPr>
        <w:t>Birchfield</w:t>
      </w:r>
      <w:r>
        <w:t xml:space="preserve">, </w:t>
      </w:r>
      <w:r w:rsidRPr="00EB3FE1">
        <w:rPr>
          <w:i/>
          <w:iCs/>
        </w:rPr>
        <w:t>supra</w:t>
      </w:r>
      <w:r>
        <w:t>, 579</w:t>
      </w:r>
      <w:r>
        <w:t> </w:t>
      </w:r>
      <w:r>
        <w:t xml:space="preserve">U.S. </w:t>
      </w:r>
      <w:r>
        <w:t>at p. 477.)</w:t>
      </w:r>
      <w:r>
        <w:t xml:space="preserve">  </w:t>
      </w:r>
      <w:r>
        <w:t>A</w:t>
      </w:r>
      <w:r>
        <w:t xml:space="preserve">pplying a Fourth Amendment reasonableness standard, </w:t>
      </w:r>
      <w:r>
        <w:t xml:space="preserve">the court concluded that </w:t>
      </w:r>
      <w:r>
        <w:t>“motorists cannot be deemed to have consented to su</w:t>
      </w:r>
      <w:r>
        <w:t>bmit to a blood test on pain of committing a criminal offense.”</w:t>
      </w:r>
      <w:r w:rsidRPr="007520A0">
        <w:t xml:space="preserve"> </w:t>
      </w:r>
      <w:r>
        <w:t xml:space="preserve"> (</w:t>
      </w:r>
      <w:r w:rsidRPr="00EB3FE1">
        <w:rPr>
          <w:i/>
          <w:iCs/>
        </w:rPr>
        <w:t>Birchfield</w:t>
      </w:r>
      <w:r>
        <w:t>, at p. 477.)</w:t>
      </w:r>
      <w:r>
        <w:t xml:space="preserve">  </w:t>
      </w:r>
    </w:p>
    <w:p w14:paraId="42624243" w14:textId="77777777" w:rsidR="00AD3A06" w:rsidRDefault="00AD3A06" w:rsidP="00407C43">
      <w:r>
        <w:t>In our view, t</w:t>
      </w:r>
      <w:r>
        <w:t xml:space="preserve">hat does not mean the imposition of </w:t>
      </w:r>
      <w:r w:rsidRPr="00094693">
        <w:rPr>
          <w:i/>
          <w:iCs/>
        </w:rPr>
        <w:t>lesser</w:t>
      </w:r>
      <w:r>
        <w:t xml:space="preserve"> consequences is unreasonable.  </w:t>
      </w:r>
      <w:r>
        <w:t xml:space="preserve">In a different portion of its opinion, the </w:t>
      </w:r>
      <w:r w:rsidRPr="0046061D">
        <w:rPr>
          <w:i/>
          <w:iCs/>
        </w:rPr>
        <w:t>Birchfield</w:t>
      </w:r>
      <w:r>
        <w:t xml:space="preserve"> court stressed that</w:t>
      </w:r>
      <w:r>
        <w:t>,</w:t>
      </w:r>
      <w:r>
        <w:t xml:space="preserve"> </w:t>
      </w:r>
      <w:r>
        <w:t>“The States and the Federal Government have a ‘paramount interest . . . in preserving the safety of . . . public highways.</w:t>
      </w:r>
      <w:proofErr w:type="gramStart"/>
      <w:r>
        <w:t>’ ”</w:t>
      </w:r>
      <w:proofErr w:type="gramEnd"/>
      <w:r>
        <w:t xml:space="preserve">  (</w:t>
      </w:r>
      <w:r w:rsidRPr="00EB3FE1">
        <w:rPr>
          <w:i/>
          <w:iCs/>
        </w:rPr>
        <w:t>Birchfield</w:t>
      </w:r>
      <w:r>
        <w:t>,</w:t>
      </w:r>
      <w:r w:rsidRPr="0078639E">
        <w:rPr>
          <w:i/>
          <w:iCs/>
        </w:rPr>
        <w:t xml:space="preserve"> </w:t>
      </w:r>
      <w:r w:rsidRPr="00EB3FE1">
        <w:rPr>
          <w:i/>
          <w:iCs/>
        </w:rPr>
        <w:t>supra</w:t>
      </w:r>
      <w:r>
        <w:t>, 579</w:t>
      </w:r>
      <w:r>
        <w:t> </w:t>
      </w:r>
      <w:r>
        <w:t xml:space="preserve">U.S. </w:t>
      </w:r>
      <w:r>
        <w:t xml:space="preserve">at p. 464.)  </w:t>
      </w:r>
      <w:r>
        <w:t>Implied consent laws</w:t>
      </w:r>
      <w:r>
        <w:t xml:space="preserve">, which are designed to </w:t>
      </w:r>
      <w:r>
        <w:lastRenderedPageBreak/>
        <w:t xml:space="preserve">discourage drivers from driving while impaired (and to encourage cooperation with testing that aims to determine if a driver </w:t>
      </w:r>
      <w:r w:rsidRPr="00F86DFA">
        <w:rPr>
          <w:i/>
          <w:iCs/>
        </w:rPr>
        <w:t>is</w:t>
      </w:r>
      <w:r>
        <w:t xml:space="preserve"> impaired)</w:t>
      </w:r>
      <w:r>
        <w:t>,</w:t>
      </w:r>
      <w:r>
        <w:t xml:space="preserve"> </w:t>
      </w:r>
      <w:r>
        <w:t>“serve a very important function.”  (</w:t>
      </w:r>
      <w:r>
        <w:rPr>
          <w:i/>
        </w:rPr>
        <w:t>Id.</w:t>
      </w:r>
      <w:r>
        <w:t xml:space="preserve"> at p. 466.)</w:t>
      </w:r>
      <w:r>
        <w:t xml:space="preserve">  </w:t>
      </w:r>
      <w:proofErr w:type="gramStart"/>
      <w:r>
        <w:t>In light of</w:t>
      </w:r>
      <w:proofErr w:type="gramEnd"/>
      <w:r>
        <w:t xml:space="preserve"> the important government interests involved, we decline to extend </w:t>
      </w:r>
      <w:r w:rsidRPr="003A153D">
        <w:rPr>
          <w:i/>
          <w:iCs/>
        </w:rPr>
        <w:t>Birchfield</w:t>
      </w:r>
      <w:r>
        <w:t xml:space="preserve"> to prohibit the imposition of an evidentiary consequence for </w:t>
      </w:r>
      <w:proofErr w:type="spellStart"/>
      <w:r>
        <w:t>Bolourchi’s</w:t>
      </w:r>
      <w:proofErr w:type="spellEnd"/>
      <w:r>
        <w:t xml:space="preserve"> refusal to submit to a blood test.  </w:t>
      </w:r>
      <w:r>
        <w:t xml:space="preserve">To the extent </w:t>
      </w:r>
      <w:r w:rsidRPr="00783B59">
        <w:rPr>
          <w:i/>
          <w:iCs/>
        </w:rPr>
        <w:t>Espinoza</w:t>
      </w:r>
      <w:r>
        <w:t xml:space="preserve"> can be read to </w:t>
      </w:r>
      <w:r>
        <w:t>support a contrary analysi</w:t>
      </w:r>
      <w:r>
        <w:t xml:space="preserve">s, we respectfully disagree with it. </w:t>
      </w:r>
    </w:p>
    <w:p w14:paraId="4E94E0A7" w14:textId="77777777" w:rsidR="00AD3A06" w:rsidRDefault="00AD3A06" w:rsidP="00144968">
      <w:r>
        <w:t>Finally, we note that, a</w:t>
      </w:r>
      <w:r>
        <w:t xml:space="preserve">lthough </w:t>
      </w:r>
      <w:r w:rsidRPr="000A0A18">
        <w:rPr>
          <w:i/>
          <w:iCs/>
        </w:rPr>
        <w:t>Espinoza</w:t>
      </w:r>
      <w:r>
        <w:t xml:space="preserve"> expressed uncertainty in 2017 about the reach of</w:t>
      </w:r>
      <w:r>
        <w:t xml:space="preserve"> the 2016</w:t>
      </w:r>
      <w:r>
        <w:t xml:space="preserve"> </w:t>
      </w:r>
      <w:r w:rsidRPr="000A0A18">
        <w:rPr>
          <w:i/>
          <w:iCs/>
        </w:rPr>
        <w:t>Birchfield</w:t>
      </w:r>
      <w:r>
        <w:t xml:space="preserve"> decision</w:t>
      </w:r>
      <w:r>
        <w:t xml:space="preserve">, the Legislature </w:t>
      </w:r>
      <w:r>
        <w:t>in 2018</w:t>
      </w:r>
      <w:r>
        <w:t xml:space="preserve"> </w:t>
      </w:r>
      <w:r>
        <w:t xml:space="preserve">enacted statutory amendments reflecting an </w:t>
      </w:r>
      <w:r>
        <w:t xml:space="preserve">understanding that, while </w:t>
      </w:r>
      <w:r w:rsidRPr="000A0A18">
        <w:rPr>
          <w:i/>
          <w:iCs/>
        </w:rPr>
        <w:t>Birchfield</w:t>
      </w:r>
      <w:r>
        <w:t xml:space="preserve"> prohibits criminal penalties for a refusal to submit to a blood test, there is no constitutional requirement that such a refusal must have no consequences at all.</w:t>
      </w:r>
      <w:r>
        <w:t xml:space="preserve">  (Assem. Bill No. 2717, Stats. 2018, </w:t>
      </w:r>
      <w:proofErr w:type="spellStart"/>
      <w:r>
        <w:t>ch.</w:t>
      </w:r>
      <w:proofErr w:type="spellEnd"/>
      <w:r>
        <w:t> 177, §§ 1</w:t>
      </w:r>
      <w:r>
        <w:t>–</w:t>
      </w:r>
      <w:r>
        <w:t>3; see Legis. Counsel’s Dig., Assem. Bill No. 2717 [</w:t>
      </w:r>
      <w:r w:rsidRPr="00943A57">
        <w:rPr>
          <w:i/>
          <w:iCs/>
        </w:rPr>
        <w:t>Birchfield</w:t>
      </w:r>
      <w:r>
        <w:t xml:space="preserve"> prohibits criminal penalties, but not administrative penalties, for refusal to submit to a blood test]; § 23577, subd. (c) [“The penalties in this section [increased criminal penalties for refusal to submit to a breath or urine test] do not apply to a person who refused to submit to or complete a blood test pursuant to Section 23612.  This section does not prohibit imposition of administrative </w:t>
      </w:r>
      <w:r>
        <w:t>actions involving driving privileges.”].)</w:t>
      </w:r>
      <w:r>
        <w:t xml:space="preserve">  </w:t>
      </w:r>
      <w:r>
        <w:t>Thus, the Legislature does not appear to share</w:t>
      </w:r>
      <w:r>
        <w:t xml:space="preserve"> </w:t>
      </w:r>
      <w:proofErr w:type="spellStart"/>
      <w:r>
        <w:t>Bolourchi’s</w:t>
      </w:r>
      <w:proofErr w:type="spellEnd"/>
      <w:r>
        <w:t xml:space="preserve"> view </w:t>
      </w:r>
      <w:r>
        <w:t xml:space="preserve">that </w:t>
      </w:r>
      <w:r>
        <w:t xml:space="preserve">DUI arrestees </w:t>
      </w:r>
      <w:r>
        <w:t xml:space="preserve">may freely </w:t>
      </w:r>
      <w:r>
        <w:t xml:space="preserve">refuse to </w:t>
      </w:r>
      <w:r>
        <w:t xml:space="preserve">submit to </w:t>
      </w:r>
      <w:r>
        <w:t xml:space="preserve">blood draws </w:t>
      </w:r>
      <w:r>
        <w:t xml:space="preserve">and expect to avoid not only criminal conviction </w:t>
      </w:r>
      <w:r>
        <w:t xml:space="preserve">but all other adverse consequences </w:t>
      </w:r>
      <w:r>
        <w:t>for the refusal</w:t>
      </w:r>
      <w:r>
        <w:t xml:space="preserve">. </w:t>
      </w:r>
      <w:r>
        <w:t xml:space="preserve"> </w:t>
      </w:r>
    </w:p>
    <w:p w14:paraId="407B381E" w14:textId="77777777" w:rsidR="00AD3A06" w:rsidRDefault="00AD3A06" w:rsidP="00F078B1">
      <w:pPr>
        <w:tabs>
          <w:tab w:val="left" w:pos="2862"/>
          <w:tab w:val="center" w:pos="5040"/>
        </w:tabs>
        <w:ind w:firstLine="0"/>
        <w:jc w:val="center"/>
      </w:pPr>
      <w:r>
        <w:t xml:space="preserve">*     *     *     </w:t>
      </w:r>
    </w:p>
    <w:p w14:paraId="52249B62" w14:textId="77777777" w:rsidR="00AD3A06" w:rsidRDefault="00AD3A06" w:rsidP="00043AC2">
      <w:r>
        <w:t>In sum,</w:t>
      </w:r>
      <w:r w:rsidRPr="006C467E">
        <w:t xml:space="preserve"> </w:t>
      </w:r>
      <w:r>
        <w:t xml:space="preserve">we reject </w:t>
      </w:r>
      <w:proofErr w:type="spellStart"/>
      <w:r>
        <w:t>Bolourchi</w:t>
      </w:r>
      <w:r>
        <w:t>’s</w:t>
      </w:r>
      <w:proofErr w:type="spellEnd"/>
      <w:r>
        <w:t xml:space="preserve"> </w:t>
      </w:r>
      <w:r>
        <w:t xml:space="preserve">argument that the CALCRIM No. </w:t>
      </w:r>
      <w:r>
        <w:t>213</w:t>
      </w:r>
      <w:r>
        <w:t>0</w:t>
      </w:r>
      <w:r>
        <w:t xml:space="preserve"> instruction</w:t>
      </w:r>
      <w:r>
        <w:t xml:space="preserve"> given in this case</w:t>
      </w:r>
      <w:r>
        <w:t xml:space="preserve"> “</w:t>
      </w:r>
      <w:r w:rsidRPr="0042372B">
        <w:t xml:space="preserve">improperly invited the jury to penalize </w:t>
      </w:r>
      <w:r>
        <w:t xml:space="preserve">[him] </w:t>
      </w:r>
      <w:r w:rsidRPr="0042372B">
        <w:t xml:space="preserve">for lawfully asserting </w:t>
      </w:r>
      <w:r>
        <w:t>[a]</w:t>
      </w:r>
      <w:r w:rsidRPr="0042372B">
        <w:t xml:space="preserve"> constitutional right</w:t>
      </w:r>
      <w:r>
        <w:t xml:space="preserve">” to </w:t>
      </w:r>
      <w:r>
        <w:t xml:space="preserve">refuse consent to a </w:t>
      </w:r>
      <w:r>
        <w:lastRenderedPageBreak/>
        <w:t xml:space="preserve">warrantless blood draw.  The </w:t>
      </w:r>
      <w:r w:rsidRPr="00A950F0">
        <w:rPr>
          <w:i/>
          <w:iCs/>
        </w:rPr>
        <w:t>Birchfield</w:t>
      </w:r>
      <w:r>
        <w:t xml:space="preserve"> court made clear it was not recognizing an unqualified Fourth Amendment right (1) to refuse to take a blood test, and (2) to be free of any consequences flowing from the refusal.  (</w:t>
      </w:r>
      <w:r w:rsidRPr="00EB3FE1">
        <w:rPr>
          <w:i/>
          <w:iCs/>
        </w:rPr>
        <w:t>Birchfield</w:t>
      </w:r>
      <w:r>
        <w:t xml:space="preserve">, </w:t>
      </w:r>
      <w:r w:rsidRPr="00EB3FE1">
        <w:rPr>
          <w:i/>
          <w:iCs/>
        </w:rPr>
        <w:t>supra</w:t>
      </w:r>
      <w:r>
        <w:t>, 579</w:t>
      </w:r>
      <w:r>
        <w:t> </w:t>
      </w:r>
      <w:r>
        <w:t xml:space="preserve">U.S. at pp. 476–477.)  Instead, the </w:t>
      </w:r>
      <w:r w:rsidRPr="004B772F">
        <w:rPr>
          <w:i/>
          <w:iCs/>
        </w:rPr>
        <w:t>Birchfield</w:t>
      </w:r>
      <w:r>
        <w:t xml:space="preserve"> court concluded only that, applying a Fourth Amendment reasonableness standard, “motorists cannot be deemed to have consented to submit to a blood test </w:t>
      </w:r>
      <w:r w:rsidRPr="001C5346">
        <w:rPr>
          <w:i/>
          <w:iCs/>
        </w:rPr>
        <w:t>on pain of committing a criminal offense</w:t>
      </w:r>
      <w:r>
        <w:t>.”  (</w:t>
      </w:r>
      <w:r w:rsidRPr="00EB3FE1">
        <w:rPr>
          <w:i/>
          <w:iCs/>
        </w:rPr>
        <w:t>Birchfield</w:t>
      </w:r>
      <w:r>
        <w:t xml:space="preserve">, at p. 477, italics added.)  </w:t>
      </w:r>
    </w:p>
    <w:p w14:paraId="6169D930" w14:textId="77777777" w:rsidR="00AD3A06" w:rsidRPr="00D92215" w:rsidRDefault="00AD3A06" w:rsidP="00043AC2">
      <w:r w:rsidRPr="000218DC">
        <w:rPr>
          <w:i/>
        </w:rPr>
        <w:t xml:space="preserve">Birchfield </w:t>
      </w:r>
      <w:r>
        <w:t>did not prohibit (and stressed it did not intend to “cast doubt” on) implied consent laws that impose civil penalties and evidentiary consequences.  (</w:t>
      </w:r>
      <w:r w:rsidRPr="00EB3FE1">
        <w:rPr>
          <w:i/>
          <w:iCs/>
        </w:rPr>
        <w:t>Birchfield</w:t>
      </w:r>
      <w:r>
        <w:t xml:space="preserve">, </w:t>
      </w:r>
      <w:r w:rsidRPr="00EB3FE1">
        <w:rPr>
          <w:i/>
          <w:iCs/>
        </w:rPr>
        <w:t>supra</w:t>
      </w:r>
      <w:r>
        <w:t>, 579</w:t>
      </w:r>
      <w:r>
        <w:t> </w:t>
      </w:r>
      <w:r>
        <w:t>U.S.</w:t>
      </w:r>
      <w:r>
        <w:t xml:space="preserve"> at pp. 476–477.) </w:t>
      </w:r>
      <w:r>
        <w:t xml:space="preserve"> </w:t>
      </w:r>
      <w:r>
        <w:t xml:space="preserve">There is a throughline here.  </w:t>
      </w:r>
      <w:r w:rsidRPr="00975D54">
        <w:t xml:space="preserve">The </w:t>
      </w:r>
      <w:r w:rsidRPr="00975D54">
        <w:t>acknowledge</w:t>
      </w:r>
      <w:r w:rsidRPr="00975D54">
        <w:t xml:space="preserve">d </w:t>
      </w:r>
      <w:r w:rsidRPr="00975D54">
        <w:t xml:space="preserve">validity of </w:t>
      </w:r>
      <w:r w:rsidRPr="00975D54">
        <w:t xml:space="preserve">imposing </w:t>
      </w:r>
      <w:r w:rsidRPr="00975D54">
        <w:t>adverse consequences on DUI testing refusers</w:t>
      </w:r>
      <w:r w:rsidRPr="00975D54">
        <w:t xml:space="preserve"> we see in </w:t>
      </w:r>
      <w:proofErr w:type="gramStart"/>
      <w:r w:rsidRPr="00975D54">
        <w:t>all of</w:t>
      </w:r>
      <w:proofErr w:type="gramEnd"/>
      <w:r w:rsidRPr="00975D54">
        <w:t xml:space="preserve"> the United</w:t>
      </w:r>
      <w:r w:rsidRPr="00975D54">
        <w:t xml:space="preserve"> States Supreme Court</w:t>
      </w:r>
      <w:r w:rsidRPr="00975D54">
        <w:t>’s Fou</w:t>
      </w:r>
      <w:r w:rsidRPr="00975D54">
        <w:t xml:space="preserve">rth Amendment </w:t>
      </w:r>
      <w:r w:rsidRPr="00975D54">
        <w:t xml:space="preserve">opinions addressing implied consent laws, first in the </w:t>
      </w:r>
      <w:r w:rsidRPr="00975D54">
        <w:rPr>
          <w:i/>
        </w:rPr>
        <w:t>McNeely</w:t>
      </w:r>
      <w:r w:rsidRPr="00975D54">
        <w:t xml:space="preserve"> plurality </w:t>
      </w:r>
      <w:r w:rsidRPr="00975D54">
        <w:t>opinion</w:t>
      </w:r>
      <w:r w:rsidRPr="00975D54">
        <w:t xml:space="preserve">, </w:t>
      </w:r>
      <w:r w:rsidRPr="00975D54">
        <w:t xml:space="preserve">again in </w:t>
      </w:r>
      <w:r w:rsidRPr="00975D54">
        <w:rPr>
          <w:i/>
        </w:rPr>
        <w:t>Birchfield</w:t>
      </w:r>
      <w:r w:rsidRPr="00975D54">
        <w:t xml:space="preserve">, </w:t>
      </w:r>
      <w:r w:rsidRPr="00975D54">
        <w:t xml:space="preserve">and again in </w:t>
      </w:r>
      <w:r w:rsidRPr="00975D54">
        <w:t>the</w:t>
      </w:r>
      <w:r w:rsidRPr="00975D54">
        <w:t xml:space="preserve"> </w:t>
      </w:r>
      <w:r w:rsidRPr="00975D54">
        <w:rPr>
          <w:i/>
        </w:rPr>
        <w:t>Mitchell</w:t>
      </w:r>
      <w:r w:rsidRPr="00975D54">
        <w:t xml:space="preserve"> plural</w:t>
      </w:r>
      <w:r w:rsidRPr="00975D54">
        <w:t>ity opinion</w:t>
      </w:r>
      <w:r w:rsidRPr="00975D54">
        <w:t>—so long as the consequence is not a criminal conviction</w:t>
      </w:r>
      <w:r w:rsidRPr="00975D54">
        <w:t>—</w:t>
      </w:r>
      <w:r w:rsidRPr="00975D54">
        <w:t>supports this conclusion.</w:t>
      </w:r>
      <w:r>
        <w:rPr>
          <w:iCs/>
        </w:rPr>
        <w:t xml:space="preserve">  </w:t>
      </w:r>
      <w:r>
        <w:rPr>
          <w:iCs/>
        </w:rPr>
        <w:t xml:space="preserve"> </w:t>
      </w:r>
    </w:p>
    <w:p w14:paraId="34BDF76E" w14:textId="77777777" w:rsidR="00AD3A06" w:rsidRDefault="00AD3A06" w:rsidP="00864C48">
      <w:pPr>
        <w:pStyle w:val="Heading1"/>
      </w:pPr>
      <w:r>
        <w:t>DISPOSITION</w:t>
      </w:r>
    </w:p>
    <w:p w14:paraId="76CA0D80" w14:textId="77777777" w:rsidR="00AD3A06" w:rsidRPr="00D92215" w:rsidRDefault="00AD3A06" w:rsidP="00394626">
      <w:r>
        <w:t xml:space="preserve">The judgment is affirmed.  </w:t>
      </w:r>
    </w:p>
    <w:p w14:paraId="4074DFD6" w14:textId="77777777" w:rsidR="00AD3A06" w:rsidRDefault="00AD3A06">
      <w:pPr>
        <w:tabs>
          <w:tab w:val="left" w:pos="6120"/>
        </w:tabs>
        <w:spacing w:before="240" w:line="240" w:lineRule="auto"/>
      </w:pPr>
      <w:r>
        <w:tab/>
        <w:t xml:space="preserve">STREETER, J. </w:t>
      </w:r>
    </w:p>
    <w:p w14:paraId="5EBBE3CA" w14:textId="77777777" w:rsidR="00AD3A06" w:rsidRDefault="00AD3A06" w:rsidP="00835CB8">
      <w:pPr>
        <w:tabs>
          <w:tab w:val="left" w:pos="1620"/>
        </w:tabs>
        <w:spacing w:before="240" w:after="240" w:line="240" w:lineRule="auto"/>
        <w:ind w:firstLine="0"/>
      </w:pPr>
      <w:r>
        <w:t>WE CONCUR:</w:t>
      </w:r>
    </w:p>
    <w:p w14:paraId="691EAE6C" w14:textId="77777777" w:rsidR="00AD3A06" w:rsidRDefault="00AD3A06" w:rsidP="00835CB8">
      <w:pPr>
        <w:tabs>
          <w:tab w:val="left" w:pos="1620"/>
        </w:tabs>
        <w:spacing w:line="240" w:lineRule="auto"/>
        <w:ind w:firstLine="0"/>
      </w:pPr>
      <w:r>
        <w:t>BROWN, P. J.</w:t>
      </w:r>
    </w:p>
    <w:p w14:paraId="5916509B" w14:textId="77777777" w:rsidR="00AD3A06" w:rsidRDefault="00AD3A06" w:rsidP="00835CB8">
      <w:pPr>
        <w:tabs>
          <w:tab w:val="left" w:pos="1620"/>
        </w:tabs>
        <w:spacing w:line="240" w:lineRule="auto"/>
        <w:ind w:firstLine="0"/>
      </w:pPr>
      <w:r>
        <w:t>HITE, J.</w:t>
      </w:r>
      <w:r>
        <w:rPr>
          <w:rStyle w:val="FootnoteReference"/>
        </w:rPr>
        <w:footnoteReference w:customMarkFollows="1" w:id="10"/>
        <w:t>*</w:t>
      </w:r>
    </w:p>
    <w:p w14:paraId="481F2F50" w14:textId="77777777" w:rsidR="00AD3A06" w:rsidRDefault="00AD3A06" w:rsidP="00394626">
      <w:pPr>
        <w:ind w:firstLine="0"/>
        <w:rPr>
          <w:rFonts w:cs="Times New Roman"/>
        </w:rPr>
        <w:sectPr w:rsidR="00CF0224" w:rsidSect="00C75198">
          <w:headerReference w:type="default" r:id="rId7"/>
          <w:footerReference w:type="default" r:id="rId8"/>
          <w:footerReference w:type="first" r:id="rId9"/>
          <w:pgSz w:w="12240" w:h="15840"/>
          <w:pgMar w:top="1440" w:right="1440" w:bottom="1440" w:left="1440" w:header="720" w:footer="720" w:gutter="0"/>
          <w:cols w:space="720"/>
          <w:docGrid w:linePitch="360"/>
        </w:sectPr>
      </w:pPr>
    </w:p>
    <w:p w14:paraId="6F66E434" w14:textId="77777777" w:rsidR="00AD3A06" w:rsidRDefault="00AD3A06" w:rsidP="00D620D3">
      <w:pPr>
        <w:spacing w:line="480" w:lineRule="auto"/>
        <w:ind w:right="720" w:firstLine="0"/>
      </w:pPr>
      <w:r>
        <w:lastRenderedPageBreak/>
        <w:t>Trial Court:</w:t>
      </w:r>
      <w:r>
        <w:tab/>
      </w:r>
      <w:r>
        <w:tab/>
        <w:t xml:space="preserve">Superior Court of California, County of </w:t>
      </w:r>
      <w:r>
        <w:t>Marin</w:t>
      </w:r>
      <w:r>
        <w:t xml:space="preserve"> </w:t>
      </w:r>
    </w:p>
    <w:p w14:paraId="594D9E6B" w14:textId="77777777" w:rsidR="00AD3A06" w:rsidRDefault="00AD3A06" w:rsidP="00D620D3">
      <w:pPr>
        <w:spacing w:line="480" w:lineRule="auto"/>
        <w:ind w:firstLine="0"/>
      </w:pPr>
      <w:r>
        <w:t xml:space="preserve">Trial Judge: </w:t>
      </w:r>
      <w:r>
        <w:tab/>
        <w:t xml:space="preserve">Hon. </w:t>
      </w:r>
      <w:r>
        <w:t>Beth</w:t>
      </w:r>
      <w:r>
        <w:t> </w:t>
      </w:r>
      <w:r>
        <w:t>S. Jordan</w:t>
      </w:r>
      <w:r>
        <w:t xml:space="preserve"> </w:t>
      </w:r>
    </w:p>
    <w:p w14:paraId="11C34EB5" w14:textId="77777777" w:rsidR="00AD3A06" w:rsidRDefault="00AD3A06" w:rsidP="00ED22B7">
      <w:pPr>
        <w:spacing w:line="240" w:lineRule="auto"/>
        <w:ind w:left="2160" w:hanging="2160"/>
      </w:pPr>
      <w:r>
        <w:t xml:space="preserve">Counsel: </w:t>
      </w:r>
      <w:r>
        <w:tab/>
      </w:r>
      <w:r>
        <w:t>Heather</w:t>
      </w:r>
      <w:r>
        <w:t> </w:t>
      </w:r>
      <w:r>
        <w:t>E. Shallenberger</w:t>
      </w:r>
      <w:r>
        <w:t>,</w:t>
      </w:r>
      <w:r>
        <w:t xml:space="preserve"> under appointment by the Court of Appeal</w:t>
      </w:r>
      <w:r>
        <w:t>,</w:t>
      </w:r>
      <w:r>
        <w:t xml:space="preserve"> for</w:t>
      </w:r>
      <w:r>
        <w:t xml:space="preserve"> Defendant and</w:t>
      </w:r>
      <w:r>
        <w:t xml:space="preserve"> Appellant</w:t>
      </w:r>
      <w:r>
        <w:t>.</w:t>
      </w:r>
      <w:r>
        <w:t xml:space="preserve"> </w:t>
      </w:r>
    </w:p>
    <w:p w14:paraId="0CAF3572" w14:textId="77777777" w:rsidR="00AD3A06" w:rsidRDefault="00AD3A06" w:rsidP="00ED22B7">
      <w:pPr>
        <w:spacing w:line="240" w:lineRule="auto"/>
        <w:ind w:left="1440"/>
      </w:pPr>
    </w:p>
    <w:p w14:paraId="38A21907" w14:textId="77777777" w:rsidR="00AD3A06" w:rsidRDefault="00AD3A06" w:rsidP="009D18C8">
      <w:pPr>
        <w:spacing w:line="240" w:lineRule="auto"/>
        <w:ind w:left="2160" w:firstLine="0"/>
      </w:pPr>
      <w:r>
        <w:t>Rob Bonta</w:t>
      </w:r>
      <w:r>
        <w:t>, Attorney General, Lance</w:t>
      </w:r>
      <w:r>
        <w:t> </w:t>
      </w:r>
      <w:r>
        <w:t>E. Winters</w:t>
      </w:r>
      <w:r>
        <w:t>, Chief Assistant Attorney General, Jeffrey</w:t>
      </w:r>
      <w:r>
        <w:t> </w:t>
      </w:r>
      <w:r>
        <w:t xml:space="preserve">M. Laurence, Senior Assistant Attorney General, Bridget Billeter, Supervising Deputy Attorney General, </w:t>
      </w:r>
      <w:r>
        <w:t>and Julia</w:t>
      </w:r>
      <w:r>
        <w:t> </w:t>
      </w:r>
      <w:r>
        <w:t>Y. Je, Deputy Attorney General</w:t>
      </w:r>
      <w:r>
        <w:t>, for</w:t>
      </w:r>
      <w:r>
        <w:t xml:space="preserve"> Plaintiff and</w:t>
      </w:r>
      <w:r>
        <w:t xml:space="preserve"> Respondent</w:t>
      </w:r>
      <w:r>
        <w:t>.</w:t>
      </w:r>
    </w:p>
    <w:p w14:paraId="3DA6E760" w14:textId="77777777" w:rsidR="00AD3A06" w:rsidRDefault="00AD3A06" w:rsidP="00394626">
      <w:pPr>
        <w:ind w:firstLine="0"/>
        <w:rPr>
          <w:rFonts w:cs="Times New Roman"/>
        </w:rPr>
      </w:pPr>
    </w:p>
    <w:sectPr w:rsidR="00CB0FE2" w:rsidSect="00EC1CA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5578D" w14:textId="77777777" w:rsidR="00AD3A06" w:rsidRDefault="00AD3A06">
      <w:pPr>
        <w:spacing w:line="240" w:lineRule="auto"/>
      </w:pPr>
      <w:r>
        <w:separator/>
      </w:r>
    </w:p>
  </w:endnote>
  <w:endnote w:type="continuationSeparator" w:id="0">
    <w:p w14:paraId="28B07E6D" w14:textId="77777777" w:rsidR="00AD3A06" w:rsidRDefault="00AD3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4891619"/>
      <w:docPartObj>
        <w:docPartGallery w:val="Page Numbers (Bottom of Page)"/>
        <w:docPartUnique/>
      </w:docPartObj>
    </w:sdtPr>
    <w:sdtEndPr>
      <w:rPr>
        <w:noProof/>
      </w:rPr>
    </w:sdtEndPr>
    <w:sdtContent>
      <w:p w14:paraId="2FEB3A96" w14:textId="77777777" w:rsidR="00AD3A06" w:rsidRDefault="00AD3A06" w:rsidP="00E2772A">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E7417" w14:textId="77777777" w:rsidR="00AD3A06" w:rsidRPr="0032742B" w:rsidRDefault="00AD3A06" w:rsidP="00FC6CAD">
    <w:pPr>
      <w:pStyle w:val="Footer"/>
      <w:ind w:firstLine="0"/>
      <w:rPr>
        <w:sz w:val="20"/>
        <w:szCs w:val="20"/>
      </w:rPr>
    </w:pPr>
    <w:r w:rsidRPr="0032742B">
      <w:rPr>
        <w:i/>
        <w:iCs/>
        <w:sz w:val="20"/>
        <w:szCs w:val="20"/>
      </w:rPr>
      <w:t xml:space="preserve">People v. </w:t>
    </w:r>
    <w:proofErr w:type="spellStart"/>
    <w:r w:rsidRPr="0032742B">
      <w:rPr>
        <w:i/>
        <w:iCs/>
        <w:sz w:val="20"/>
        <w:szCs w:val="20"/>
      </w:rPr>
      <w:t>Bolourchi</w:t>
    </w:r>
    <w:proofErr w:type="spellEnd"/>
    <w:r w:rsidRPr="0032742B">
      <w:rPr>
        <w:sz w:val="20"/>
        <w:szCs w:val="20"/>
      </w:rPr>
      <w:t xml:space="preserve"> </w:t>
    </w:r>
    <w:r w:rsidRPr="0032742B">
      <w:rPr>
        <w:sz w:val="20"/>
        <w:szCs w:val="20"/>
      </w:rPr>
      <w:t>–</w:t>
    </w:r>
    <w:r w:rsidRPr="0032742B">
      <w:rPr>
        <w:sz w:val="20"/>
        <w:szCs w:val="20"/>
      </w:rPr>
      <w:t xml:space="preserve"> A</w:t>
    </w:r>
    <w:r w:rsidRPr="0032742B">
      <w:rPr>
        <w:sz w:val="20"/>
        <w:szCs w:val="20"/>
      </w:rPr>
      <w:t>167289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B5843" w14:textId="77777777" w:rsidR="00AD3A06" w:rsidRDefault="00AD3A06" w:rsidP="003B2BC2">
      <w:pPr>
        <w:spacing w:line="240" w:lineRule="auto"/>
        <w:ind w:firstLine="0"/>
      </w:pPr>
      <w:r>
        <w:separator/>
      </w:r>
    </w:p>
  </w:footnote>
  <w:footnote w:type="continuationSeparator" w:id="0">
    <w:p w14:paraId="1EED3578" w14:textId="77777777" w:rsidR="00AD3A06" w:rsidRDefault="00AD3A06" w:rsidP="003B2BC2">
      <w:pPr>
        <w:spacing w:line="240" w:lineRule="auto"/>
        <w:ind w:firstLine="0"/>
      </w:pPr>
      <w:r>
        <w:continuationSeparator/>
      </w:r>
    </w:p>
  </w:footnote>
  <w:footnote w:type="continuationNotice" w:id="1">
    <w:p w14:paraId="78F8B867" w14:textId="77777777" w:rsidR="00AD3A06" w:rsidRDefault="00AD3A06">
      <w:pPr>
        <w:spacing w:line="240" w:lineRule="auto"/>
      </w:pPr>
    </w:p>
  </w:footnote>
  <w:footnote w:id="2">
    <w:p w14:paraId="7D3DF015" w14:textId="77777777" w:rsidR="00AD3A06" w:rsidRDefault="00AD3A06">
      <w:pPr>
        <w:pStyle w:val="FootnoteText"/>
      </w:pPr>
      <w:r>
        <w:rPr>
          <w:rStyle w:val="FootnoteReference"/>
        </w:rPr>
        <w:footnoteRef/>
      </w:r>
      <w:r>
        <w:t xml:space="preserve"> Undesignated statutory references are to the Vehicle Code.</w:t>
      </w:r>
    </w:p>
  </w:footnote>
  <w:footnote w:id="3">
    <w:p w14:paraId="4C304C77" w14:textId="77777777" w:rsidR="00AD3A06" w:rsidRDefault="00AD3A06" w:rsidP="000B3F85">
      <w:pPr>
        <w:pStyle w:val="FootnoteText"/>
      </w:pPr>
      <w:r>
        <w:rPr>
          <w:rStyle w:val="FootnoteReference"/>
        </w:rPr>
        <w:footnoteRef/>
      </w:r>
      <w:r>
        <w:t xml:space="preserve"> We will sometimes use “DUI” to refer to driving under the influence of alcohol, a drug, or a combination.  </w:t>
      </w:r>
    </w:p>
  </w:footnote>
  <w:footnote w:id="4">
    <w:p w14:paraId="73F24E5D" w14:textId="77777777" w:rsidR="00AD3A06" w:rsidRDefault="00AD3A06" w:rsidP="00FF0C1B">
      <w:pPr>
        <w:pStyle w:val="FootnoteText"/>
      </w:pPr>
      <w:r>
        <w:rPr>
          <w:rStyle w:val="FootnoteReference"/>
        </w:rPr>
        <w:footnoteRef/>
      </w:r>
      <w:r>
        <w:t xml:space="preserve"> Because we find no instructional error, we need not address the parties’ arguments as to whether the claimed error was prejudicial.  </w:t>
      </w:r>
    </w:p>
  </w:footnote>
  <w:footnote w:id="5">
    <w:p w14:paraId="31B53D86" w14:textId="77777777" w:rsidR="00AD3A06" w:rsidRPr="00B62369" w:rsidRDefault="00AD3A06" w:rsidP="006562CB">
      <w:pPr>
        <w:shd w:val="clear" w:color="auto" w:fill="FFFFFF"/>
        <w:spacing w:line="320" w:lineRule="atLeast"/>
      </w:pPr>
      <w:r w:rsidRPr="00B62369">
        <w:rPr>
          <w:rStyle w:val="FootnoteReference"/>
        </w:rPr>
        <w:footnoteRef/>
      </w:r>
      <w:r w:rsidRPr="00B62369">
        <w:t xml:space="preserve"> </w:t>
      </w:r>
      <w:r w:rsidRPr="00B62369">
        <w:t>“</w:t>
      </w:r>
      <w:r w:rsidRPr="001F4249">
        <w:rPr>
          <w:rFonts w:eastAsia="Times New Roman" w:cs="Times New Roman"/>
          <w:color w:val="000000"/>
        </w:rPr>
        <w:t xml:space="preserve">A </w:t>
      </w:r>
      <w:r w:rsidRPr="001F4249">
        <w:rPr>
          <w:rFonts w:eastAsia="Times New Roman" w:cs="Times New Roman"/>
          <w:color w:val="000000"/>
        </w:rPr>
        <w:t>preliminary alcohol screening test that indicates the presence or concentration of alcohol based on a breath sample in order to establish reasonable cause to believe the person was driving a vehicle in violation of Section 23140, 23152, or 23153 is a field sobriety test and may be used by an officer as a further investigative tool.</w:t>
      </w:r>
      <w:r w:rsidRPr="00B62369">
        <w:rPr>
          <w:rFonts w:eastAsia="Times New Roman" w:cs="Times New Roman"/>
          <w:color w:val="000000"/>
        </w:rPr>
        <w:t>”</w:t>
      </w:r>
      <w:r>
        <w:rPr>
          <w:rFonts w:eastAsia="Times New Roman" w:cs="Times New Roman"/>
          <w:color w:val="000000"/>
        </w:rPr>
        <w:t xml:space="preserve">  </w:t>
      </w:r>
      <w:r>
        <w:rPr>
          <w:rFonts w:eastAsia="Times New Roman" w:cs="Times New Roman"/>
          <w:color w:val="000000"/>
        </w:rPr>
        <w:t>(</w:t>
      </w:r>
      <w:r w:rsidRPr="00F8749D">
        <w:rPr>
          <w:rFonts w:eastAsia="Times New Roman" w:cs="Times New Roman"/>
          <w:color w:val="000000"/>
        </w:rPr>
        <w:t>§ </w:t>
      </w:r>
      <w:r w:rsidRPr="00B62369">
        <w:t>2</w:t>
      </w:r>
      <w:r>
        <w:t>3</w:t>
      </w:r>
      <w:r w:rsidRPr="00B62369">
        <w:t>612, subd</w:t>
      </w:r>
      <w:r>
        <w:t>.</w:t>
      </w:r>
      <w:r>
        <w:t> </w:t>
      </w:r>
      <w:r w:rsidRPr="00B62369">
        <w:t>(h)</w:t>
      </w:r>
      <w:r>
        <w:rPr>
          <w:rFonts w:eastAsia="Times New Roman" w:cs="Times New Roman"/>
          <w:color w:val="000000"/>
        </w:rPr>
        <w:t>.</w:t>
      </w:r>
      <w:r>
        <w:rPr>
          <w:rFonts w:eastAsia="Times New Roman" w:cs="Times New Roman"/>
          <w:color w:val="000000"/>
        </w:rPr>
        <w:t>)</w:t>
      </w:r>
      <w:r w:rsidRPr="00B62369">
        <w:rPr>
          <w:rFonts w:eastAsia="Times New Roman" w:cs="Times New Roman"/>
          <w:color w:val="000000"/>
        </w:rPr>
        <w:t xml:space="preserve"> </w:t>
      </w:r>
    </w:p>
  </w:footnote>
  <w:footnote w:id="6">
    <w:p w14:paraId="1105FB59" w14:textId="77777777" w:rsidR="00AD3A06" w:rsidRDefault="00AD3A06" w:rsidP="008328FC">
      <w:pPr>
        <w:shd w:val="clear" w:color="auto" w:fill="FFFFFF"/>
        <w:spacing w:line="320" w:lineRule="atLeast"/>
      </w:pPr>
      <w:r>
        <w:rPr>
          <w:rStyle w:val="FootnoteReference"/>
        </w:rPr>
        <w:footnoteRef/>
      </w:r>
      <w:r>
        <w:t xml:space="preserve"> Here, </w:t>
      </w:r>
      <w:r>
        <w:t xml:space="preserve">as noted, </w:t>
      </w:r>
      <w:r>
        <w:t xml:space="preserve">after the </w:t>
      </w:r>
      <w:r>
        <w:t>PAS</w:t>
      </w:r>
      <w:r>
        <w:t xml:space="preserve"> </w:t>
      </w:r>
      <w:r>
        <w:t xml:space="preserve">test result </w:t>
      </w:r>
      <w:r>
        <w:t xml:space="preserve">showed </w:t>
      </w:r>
      <w:proofErr w:type="spellStart"/>
      <w:r>
        <w:t>Bolourchi</w:t>
      </w:r>
      <w:proofErr w:type="spellEnd"/>
      <w:r>
        <w:t xml:space="preserve"> had no alcohol in his blood, Officer Finerty suspected </w:t>
      </w:r>
      <w:r w:rsidRPr="004B1A48">
        <w:t xml:space="preserve">he </w:t>
      </w:r>
      <w:r>
        <w:t xml:space="preserve">had been driving while under the influence of </w:t>
      </w:r>
      <w:r>
        <w:t>a drug</w:t>
      </w:r>
      <w:r>
        <w:t xml:space="preserve">.  </w:t>
      </w:r>
      <w:r>
        <w:t xml:space="preserve">After the officer arrested </w:t>
      </w:r>
      <w:r w:rsidRPr="004B1A48">
        <w:t>him</w:t>
      </w:r>
      <w:r>
        <w:t xml:space="preserve">, </w:t>
      </w:r>
      <w:r>
        <w:t xml:space="preserve">the record </w:t>
      </w:r>
      <w:r>
        <w:t xml:space="preserve">only shows the officer asked </w:t>
      </w:r>
      <w:r>
        <w:t>him</w:t>
      </w:r>
      <w:r>
        <w:t xml:space="preserve"> to take a blood test, even though arguably he should have offered the alternative of a </w:t>
      </w:r>
      <w:r>
        <w:t xml:space="preserve">post-arrest </w:t>
      </w:r>
      <w:r>
        <w:t>breath test (§ 23612, subd.</w:t>
      </w:r>
      <w:r>
        <w:t> </w:t>
      </w:r>
      <w:r>
        <w:t xml:space="preserve">(a)(2)(B)) before </w:t>
      </w:r>
      <w:r w:rsidRPr="0042296E">
        <w:t>asking for a blood test</w:t>
      </w:r>
      <w:r>
        <w:t xml:space="preserve"> if </w:t>
      </w:r>
      <w:proofErr w:type="spellStart"/>
      <w:r>
        <w:t>Bolourchi</w:t>
      </w:r>
      <w:proofErr w:type="spellEnd"/>
      <w:r>
        <w:t xml:space="preserve"> </w:t>
      </w:r>
      <w:r w:rsidRPr="0042296E">
        <w:t>chose breath</w:t>
      </w:r>
      <w:r w:rsidRPr="0042296E">
        <w:t xml:space="preserve"> testing</w:t>
      </w:r>
      <w:r w:rsidRPr="0042296E">
        <w:t xml:space="preserve">.  </w:t>
      </w:r>
      <w:r w:rsidRPr="0042296E">
        <w:t>(</w:t>
      </w:r>
      <w:r w:rsidRPr="0042296E">
        <w:rPr>
          <w:i/>
          <w:iCs/>
        </w:rPr>
        <w:t>I</w:t>
      </w:r>
      <w:r w:rsidRPr="0042296E">
        <w:rPr>
          <w:i/>
          <w:iCs/>
        </w:rPr>
        <w:t>d</w:t>
      </w:r>
      <w:r w:rsidRPr="000F46B2">
        <w:rPr>
          <w:i/>
          <w:iCs/>
        </w:rPr>
        <w:t>.</w:t>
      </w:r>
      <w:r>
        <w:t>, subd. (a)(2)(C</w:t>
      </w:r>
      <w:r w:rsidRPr="004B1A48">
        <w:t>)</w:t>
      </w:r>
      <w:r w:rsidRPr="004B1A48">
        <w:t xml:space="preserve"> </w:t>
      </w:r>
      <w:r>
        <w:t>[</w:t>
      </w:r>
      <w:r w:rsidRPr="004B1A48">
        <w:t>“</w:t>
      </w:r>
      <w:r w:rsidRPr="004A6FEA">
        <w:rPr>
          <w:rFonts w:eastAsia="Times New Roman" w:cs="Times New Roman"/>
          <w:color w:val="000000"/>
        </w:rPr>
        <w:t>A person who chooses to submit to a breath test may also be requested to submit to a blood te</w:t>
      </w:r>
      <w:r w:rsidRPr="004A6FEA">
        <w:rPr>
          <w:rFonts w:eastAsia="Times New Roman" w:cs="Times New Roman"/>
          <w:color w:val="000000"/>
        </w:rPr>
        <w:t>st if the officer has reasonable cause to believe that the person was driving under the influence of a drug</w:t>
      </w:r>
      <w:r>
        <w:rPr>
          <w:rFonts w:eastAsia="Times New Roman" w:cs="Times New Roman"/>
          <w:color w:val="000000"/>
        </w:rPr>
        <w:t xml:space="preserve"> </w:t>
      </w:r>
      <w:r w:rsidRPr="00314B2A">
        <w:rPr>
          <w:rFonts w:eastAsia="Times New Roman" w:cs="Times New Roman"/>
          <w:color w:val="000000"/>
        </w:rPr>
        <w:t>. . .</w:t>
      </w:r>
      <w:r>
        <w:rPr>
          <w:rFonts w:eastAsia="Times New Roman" w:cs="Times New Roman"/>
          <w:color w:val="000000"/>
        </w:rPr>
        <w:t xml:space="preserve"> </w:t>
      </w:r>
      <w:r w:rsidRPr="004B1A48">
        <w:rPr>
          <w:rFonts w:eastAsia="Times New Roman" w:cs="Times New Roman"/>
          <w:color w:val="000000"/>
        </w:rPr>
        <w:t xml:space="preserve">and if the officer has </w:t>
      </w:r>
      <w:r w:rsidRPr="004B1A48">
        <w:rPr>
          <w:rFonts w:eastAsia="Times New Roman" w:cs="Times New Roman"/>
          <w:color w:val="3D3D3D"/>
          <w:bdr w:val="none" w:sz="0" w:space="0" w:color="auto" w:frame="1"/>
          <w:shd w:val="clear" w:color="auto" w:fill="FFFFFF"/>
        </w:rPr>
        <w:t>reasonable cause to believe</w:t>
      </w:r>
      <w:r w:rsidRPr="004B1A48">
        <w:rPr>
          <w:rFonts w:eastAsia="Times New Roman" w:cs="Times New Roman"/>
          <w:color w:val="000000"/>
        </w:rPr>
        <w:t xml:space="preserve"> that a blood test will reveal evidence of the person being under the influence.”</w:t>
      </w:r>
      <w:r>
        <w:rPr>
          <w:rFonts w:eastAsia="Times New Roman" w:cs="Times New Roman"/>
          <w:color w:val="000000"/>
        </w:rPr>
        <w:t>]</w:t>
      </w:r>
      <w:r>
        <w:rPr>
          <w:rFonts w:eastAsia="Times New Roman" w:cs="Times New Roman"/>
          <w:color w:val="000000"/>
        </w:rPr>
        <w:t>.)</w:t>
      </w:r>
      <w:r w:rsidRPr="004B1A48">
        <w:rPr>
          <w:rFonts w:eastAsia="Times New Roman" w:cs="Times New Roman"/>
          <w:color w:val="000000"/>
        </w:rPr>
        <w:t xml:space="preserve"> </w:t>
      </w:r>
      <w:r w:rsidRPr="004B1A48">
        <w:rPr>
          <w:rFonts w:eastAsia="Times New Roman" w:cs="Times New Roman"/>
          <w:color w:val="000000"/>
        </w:rPr>
        <w:t xml:space="preserve"> </w:t>
      </w:r>
      <w:r>
        <w:t>O</w:t>
      </w:r>
      <w:r>
        <w:t>n appeal,</w:t>
      </w:r>
      <w:r>
        <w:t xml:space="preserve"> </w:t>
      </w:r>
      <w:proofErr w:type="spellStart"/>
      <w:r>
        <w:t>Bolourchi</w:t>
      </w:r>
      <w:proofErr w:type="spellEnd"/>
      <w:r>
        <w:t xml:space="preserve"> does not argue that this possibly skipped step provides a basis for reversal; he challenges only the court’s instruction about his refusal when the officer asked him to take the blood test. </w:t>
      </w:r>
    </w:p>
    <w:p w14:paraId="2D884B9E" w14:textId="77777777" w:rsidR="00AD3A06" w:rsidRDefault="00AD3A06" w:rsidP="008328FC">
      <w:pPr>
        <w:shd w:val="clear" w:color="auto" w:fill="FFFFFF"/>
        <w:spacing w:line="320" w:lineRule="atLeast"/>
      </w:pPr>
      <w:r>
        <w:t xml:space="preserve"> </w:t>
      </w:r>
    </w:p>
  </w:footnote>
  <w:footnote w:id="7">
    <w:p w14:paraId="60C9AE69" w14:textId="77777777" w:rsidR="00AD3A06" w:rsidRDefault="00AD3A06">
      <w:pPr>
        <w:pStyle w:val="FootnoteText"/>
      </w:pPr>
      <w:r>
        <w:rPr>
          <w:rStyle w:val="FootnoteReference"/>
        </w:rPr>
        <w:footnoteRef/>
      </w:r>
      <w:r>
        <w:t xml:space="preserve"> </w:t>
      </w:r>
      <w:r>
        <w:t xml:space="preserve">Following </w:t>
      </w:r>
      <w:r>
        <w:t xml:space="preserve">the United States Supreme Court’s decision in </w:t>
      </w:r>
      <w:r w:rsidRPr="00844AA8">
        <w:rPr>
          <w:i/>
          <w:iCs/>
        </w:rPr>
        <w:t>Birchfield v. North Dakota</w:t>
      </w:r>
      <w:r>
        <w:t xml:space="preserve"> (2016) 579 U.S. 438</w:t>
      </w:r>
      <w:r>
        <w:t xml:space="preserve"> (</w:t>
      </w:r>
      <w:r w:rsidRPr="00850475">
        <w:rPr>
          <w:i/>
          <w:iCs/>
        </w:rPr>
        <w:t>Birchfield</w:t>
      </w:r>
      <w:r>
        <w:t>)</w:t>
      </w:r>
      <w:r>
        <w:t xml:space="preserve"> (a case we discuss below)</w:t>
      </w:r>
      <w:r>
        <w:t xml:space="preserve">, </w:t>
      </w:r>
      <w:r>
        <w:t>the</w:t>
      </w:r>
      <w:r>
        <w:t xml:space="preserve"> </w:t>
      </w:r>
      <w:r>
        <w:t xml:space="preserve">Legislature amended section 23612 and related statutes </w:t>
      </w:r>
      <w:r>
        <w:t xml:space="preserve">in 2018 </w:t>
      </w:r>
      <w:r>
        <w:t xml:space="preserve">to eliminate </w:t>
      </w:r>
      <w:r w:rsidRPr="001F53B9">
        <w:t>criminal</w:t>
      </w:r>
      <w:r>
        <w:t xml:space="preserve"> penalties for a refusal to submit to a blood test.  </w:t>
      </w:r>
      <w:r>
        <w:t>(Assem. Bill No. 2717 (2017</w:t>
      </w:r>
      <w:r>
        <w:t>–</w:t>
      </w:r>
      <w:r>
        <w:t>2018 Reg. Sess.)</w:t>
      </w:r>
      <w:r>
        <w:t xml:space="preserve"> </w:t>
      </w:r>
      <w:r>
        <w:t>(Assem. Bill No. 2717)</w:t>
      </w:r>
      <w:r>
        <w:t>,</w:t>
      </w:r>
      <w:r>
        <w:t xml:space="preserve"> </w:t>
      </w:r>
      <w:r>
        <w:t xml:space="preserve">Stats. 2018, </w:t>
      </w:r>
      <w:proofErr w:type="spellStart"/>
      <w:r>
        <w:t>ch.</w:t>
      </w:r>
      <w:proofErr w:type="spellEnd"/>
      <w:r>
        <w:t> 177, §§ </w:t>
      </w:r>
      <w:r>
        <w:t>1</w:t>
      </w:r>
      <w:r>
        <w:t>–</w:t>
      </w:r>
      <w:r>
        <w:t>3</w:t>
      </w:r>
      <w:r>
        <w:t>; see §§ 23577</w:t>
      </w:r>
      <w:r>
        <w:t>–</w:t>
      </w:r>
      <w:r>
        <w:t>23578</w:t>
      </w:r>
      <w:r>
        <w:t>.)</w:t>
      </w:r>
      <w:r>
        <w:t xml:space="preserve"> </w:t>
      </w:r>
      <w:r>
        <w:t xml:space="preserve"> </w:t>
      </w:r>
    </w:p>
  </w:footnote>
  <w:footnote w:id="8">
    <w:p w14:paraId="3434CCF5" w14:textId="77777777" w:rsidR="00AD3A06" w:rsidRDefault="00AD3A06">
      <w:pPr>
        <w:pStyle w:val="FootnoteText"/>
      </w:pPr>
      <w:r>
        <w:rPr>
          <w:rStyle w:val="FootnoteReference"/>
        </w:rPr>
        <w:footnoteRef/>
      </w:r>
      <w:r>
        <w:t xml:space="preserve"> </w:t>
      </w:r>
      <w:r>
        <w:t>Both t</w:t>
      </w:r>
      <w:r>
        <w:t>he</w:t>
      </w:r>
      <w:r>
        <w:t xml:space="preserve"> </w:t>
      </w:r>
      <w:r>
        <w:t xml:space="preserve">California Supreme Court and the United States Supreme Court </w:t>
      </w:r>
      <w:r>
        <w:t xml:space="preserve">have rejected Fifth Amendment challenges </w:t>
      </w:r>
      <w:r>
        <w:t xml:space="preserve">to the admission of evidence or the giving of </w:t>
      </w:r>
      <w:r>
        <w:t xml:space="preserve">jury instructions </w:t>
      </w:r>
      <w:r>
        <w:t>permitting juries to draw adverse inferences against DUI defendants for their refusal to</w:t>
      </w:r>
      <w:r>
        <w:t xml:space="preserve"> consent to </w:t>
      </w:r>
      <w:r>
        <w:t>blood-alcohol</w:t>
      </w:r>
      <w:r>
        <w:t xml:space="preserve"> tests. </w:t>
      </w:r>
      <w:r>
        <w:t xml:space="preserve"> (</w:t>
      </w:r>
      <w:r>
        <w:t>See</w:t>
      </w:r>
      <w:r>
        <w:t xml:space="preserve"> </w:t>
      </w:r>
      <w:r w:rsidRPr="00577A5B">
        <w:rPr>
          <w:i/>
          <w:iCs/>
        </w:rPr>
        <w:t>People v. Sudduth</w:t>
      </w:r>
      <w:r>
        <w:t xml:space="preserve"> (1966) 65</w:t>
      </w:r>
      <w:r>
        <w:t> </w:t>
      </w:r>
      <w:r>
        <w:t xml:space="preserve">Cal.2d 543, </w:t>
      </w:r>
      <w:r>
        <w:t>546</w:t>
      </w:r>
      <w:r>
        <w:t>–</w:t>
      </w:r>
      <w:r>
        <w:t>547 (</w:t>
      </w:r>
      <w:r w:rsidRPr="006216F1">
        <w:rPr>
          <w:i/>
          <w:iCs/>
        </w:rPr>
        <w:t>Sudduth</w:t>
      </w:r>
      <w:r>
        <w:t xml:space="preserve">); </w:t>
      </w:r>
      <w:r w:rsidRPr="00FB4678">
        <w:rPr>
          <w:i/>
          <w:iCs/>
        </w:rPr>
        <w:t>South Dakota v. Neville</w:t>
      </w:r>
      <w:r w:rsidRPr="00FB4678">
        <w:t xml:space="preserve"> (1983) 459</w:t>
      </w:r>
      <w:r>
        <w:t> </w:t>
      </w:r>
      <w:r w:rsidRPr="00FB4678">
        <w:t>U.S. 553, 554, 564 (</w:t>
      </w:r>
      <w:r w:rsidRPr="00FB4678">
        <w:rPr>
          <w:i/>
          <w:iCs/>
        </w:rPr>
        <w:t>Neville</w:t>
      </w:r>
      <w:r w:rsidRPr="00FB4678">
        <w:t>)</w:t>
      </w:r>
      <w:r>
        <w:t>.</w:t>
      </w:r>
      <w:r>
        <w:t>)</w:t>
      </w:r>
      <w:r>
        <w:t xml:space="preserve"> </w:t>
      </w:r>
      <w:r>
        <w:t xml:space="preserve"> </w:t>
      </w:r>
      <w:r>
        <w:t xml:space="preserve">Although we have no Fifth Amendment challenge in this case, </w:t>
      </w:r>
      <w:r>
        <w:t xml:space="preserve">we take these </w:t>
      </w:r>
      <w:r>
        <w:t>high court</w:t>
      </w:r>
      <w:r>
        <w:t xml:space="preserve"> precedents a</w:t>
      </w:r>
      <w:r>
        <w:t>s highly instructive</w:t>
      </w:r>
      <w:r>
        <w:t xml:space="preserve"> in </w:t>
      </w:r>
      <w:r>
        <w:t>piecing together the applicable Fourth Amendment principles at issue here</w:t>
      </w:r>
      <w:r>
        <w:t xml:space="preserve"> based on </w:t>
      </w:r>
      <w:r w:rsidRPr="006216F1">
        <w:rPr>
          <w:i/>
          <w:iCs/>
        </w:rPr>
        <w:t>McNeely</w:t>
      </w:r>
      <w:r>
        <w:t xml:space="preserve"> and </w:t>
      </w:r>
      <w:r w:rsidRPr="006216F1">
        <w:rPr>
          <w:i/>
          <w:iCs/>
        </w:rPr>
        <w:t>Birchfield</w:t>
      </w:r>
      <w:r>
        <w:t xml:space="preserve">. </w:t>
      </w:r>
      <w:r>
        <w:t xml:space="preserve">  </w:t>
      </w:r>
    </w:p>
  </w:footnote>
  <w:footnote w:id="9">
    <w:p w14:paraId="68A7B289" w14:textId="77777777" w:rsidR="00AD3A06" w:rsidRDefault="00AD3A06">
      <w:pPr>
        <w:pStyle w:val="FootnoteText"/>
      </w:pPr>
      <w:r>
        <w:rPr>
          <w:rStyle w:val="FootnoteReference"/>
        </w:rPr>
        <w:footnoteRef/>
      </w:r>
      <w:r>
        <w:t xml:space="preserve"> The prosecutor requested (and the court granted) the dismissal because the prosecutor had not introduced evidence as to whether Officer Finerty provided certain advisements </w:t>
      </w:r>
      <w:r>
        <w:t xml:space="preserve">to </w:t>
      </w:r>
      <w:proofErr w:type="spellStart"/>
      <w:r>
        <w:t>Bolourchi</w:t>
      </w:r>
      <w:proofErr w:type="spellEnd"/>
      <w:r>
        <w:t xml:space="preserve"> </w:t>
      </w:r>
      <w:r>
        <w:t xml:space="preserve">about the requested test and the implied consent law </w:t>
      </w:r>
      <w:r>
        <w:t xml:space="preserve">before </w:t>
      </w:r>
      <w:proofErr w:type="spellStart"/>
      <w:r>
        <w:t>Bolourchi</w:t>
      </w:r>
      <w:proofErr w:type="spellEnd"/>
      <w:r>
        <w:t xml:space="preserve"> refused to take the test.  The court noted those advisements are required by the standard jury instruction governing </w:t>
      </w:r>
      <w:r w:rsidRPr="009B15D3">
        <w:rPr>
          <w:i/>
          <w:iCs/>
        </w:rPr>
        <w:t>the refusal enhancement</w:t>
      </w:r>
      <w:r w:rsidRPr="00457E27">
        <w:t xml:space="preserve"> </w:t>
      </w:r>
      <w:r>
        <w:t xml:space="preserve">(see CALCRIM No. 2131). </w:t>
      </w:r>
      <w:r>
        <w:t xml:space="preserve"> </w:t>
      </w:r>
    </w:p>
    <w:p w14:paraId="04792251" w14:textId="77777777" w:rsidR="00AD3A06" w:rsidRDefault="00AD3A06">
      <w:pPr>
        <w:pStyle w:val="FootnoteText"/>
      </w:pPr>
      <w:r>
        <w:t xml:space="preserve">In contrast, </w:t>
      </w:r>
      <w:r>
        <w:t xml:space="preserve">detailed advisements are not a prerequisite to admission of </w:t>
      </w:r>
      <w:r w:rsidRPr="008817FA">
        <w:rPr>
          <w:i/>
          <w:iCs/>
        </w:rPr>
        <w:t>evidence of a refusal</w:t>
      </w:r>
      <w:r>
        <w:t xml:space="preserve"> </w:t>
      </w:r>
      <w:r>
        <w:t xml:space="preserve">to show consciousness of guilt </w:t>
      </w:r>
      <w:r>
        <w:t>in a prosecution for DUI</w:t>
      </w:r>
      <w:r>
        <w:t xml:space="preserve">. </w:t>
      </w:r>
      <w:r>
        <w:t xml:space="preserve"> (</w:t>
      </w:r>
      <w:r w:rsidRPr="00B11741">
        <w:rPr>
          <w:i/>
          <w:iCs/>
        </w:rPr>
        <w:t>People v. Municipal Court (Gonzales)</w:t>
      </w:r>
      <w:r>
        <w:t xml:space="preserve"> (1982) 137</w:t>
      </w:r>
      <w:r>
        <w:t> </w:t>
      </w:r>
      <w:r>
        <w:t>Cal.App.3d 114, 118; see CALCRIM No. 2130</w:t>
      </w:r>
      <w:r>
        <w:t>.</w:t>
      </w:r>
      <w:r>
        <w:t>)</w:t>
      </w:r>
      <w:r>
        <w:t xml:space="preserve"> </w:t>
      </w:r>
      <w:r>
        <w:t xml:space="preserve"> </w:t>
      </w:r>
      <w:r>
        <w:t>A</w:t>
      </w:r>
      <w:r>
        <w:t xml:space="preserve">nd as noted, the trial court later concluded the officer had sufficiently advised </w:t>
      </w:r>
      <w:proofErr w:type="spellStart"/>
      <w:r>
        <w:t>Bolourchi</w:t>
      </w:r>
      <w:proofErr w:type="spellEnd"/>
      <w:r>
        <w:t xml:space="preserve"> of “the nature of the test” to warrant giving </w:t>
      </w:r>
      <w:r>
        <w:t>CALCRIM No. 2130 (entitled “Refusal—Consciousness of Guilt”) but not CALCRIM No. 2131 (entitled “Refusal—Enhancement”)</w:t>
      </w:r>
      <w:r>
        <w:t>.</w:t>
      </w:r>
      <w:r>
        <w:t xml:space="preserve"> </w:t>
      </w:r>
      <w:r>
        <w:t xml:space="preserve"> </w:t>
      </w:r>
    </w:p>
  </w:footnote>
  <w:footnote w:id="10">
    <w:p w14:paraId="36262A29" w14:textId="77777777" w:rsidR="00AD3A06" w:rsidRDefault="00AD3A06">
      <w:pPr>
        <w:pStyle w:val="FootnoteText"/>
      </w:pPr>
      <w:r>
        <w:rPr>
          <w:rStyle w:val="FootnoteReference"/>
        </w:rPr>
        <w:t>*</w:t>
      </w:r>
      <w:r>
        <w:t xml:space="preserve"> </w:t>
      </w:r>
      <w:r>
        <w:t>Judge of the Superior Court of California, City and County of San Francisco</w:t>
      </w:r>
      <w:r>
        <w:t>, assigned by the Chief Justice</w:t>
      </w:r>
      <w:r>
        <w:t xml:space="preserv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7F78E" w14:textId="77777777" w:rsidR="00AD3A06" w:rsidRPr="004A74FB" w:rsidRDefault="00AD3A06" w:rsidP="00C50E5A">
    <w:pPr>
      <w:pStyle w:val="Header"/>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E4B0B"/>
    <w:multiLevelType w:val="hybridMultilevel"/>
    <w:tmpl w:val="C51EC574"/>
    <w:lvl w:ilvl="0" w:tplc="60283BD2">
      <w:start w:val="1"/>
      <w:numFmt w:val="bullet"/>
      <w:lvlText w:val=""/>
      <w:lvlJc w:val="left"/>
      <w:pPr>
        <w:ind w:left="1440" w:hanging="360"/>
      </w:pPr>
      <w:rPr>
        <w:rFonts w:ascii="Symbol" w:eastAsiaTheme="minorHAnsi" w:hAnsi="Symbol" w:cstheme="minorBidi" w:hint="default"/>
      </w:rPr>
    </w:lvl>
    <w:lvl w:ilvl="1" w:tplc="5FE8D586" w:tentative="1">
      <w:start w:val="1"/>
      <w:numFmt w:val="bullet"/>
      <w:lvlText w:val="o"/>
      <w:lvlJc w:val="left"/>
      <w:pPr>
        <w:ind w:left="2160" w:hanging="360"/>
      </w:pPr>
      <w:rPr>
        <w:rFonts w:ascii="Courier New" w:hAnsi="Courier New" w:cs="Courier New" w:hint="default"/>
      </w:rPr>
    </w:lvl>
    <w:lvl w:ilvl="2" w:tplc="0C22B548" w:tentative="1">
      <w:start w:val="1"/>
      <w:numFmt w:val="bullet"/>
      <w:lvlText w:val=""/>
      <w:lvlJc w:val="left"/>
      <w:pPr>
        <w:ind w:left="2880" w:hanging="360"/>
      </w:pPr>
      <w:rPr>
        <w:rFonts w:ascii="Wingdings" w:hAnsi="Wingdings" w:hint="default"/>
      </w:rPr>
    </w:lvl>
    <w:lvl w:ilvl="3" w:tplc="1AF6A180" w:tentative="1">
      <w:start w:val="1"/>
      <w:numFmt w:val="bullet"/>
      <w:lvlText w:val=""/>
      <w:lvlJc w:val="left"/>
      <w:pPr>
        <w:ind w:left="3600" w:hanging="360"/>
      </w:pPr>
      <w:rPr>
        <w:rFonts w:ascii="Symbol" w:hAnsi="Symbol" w:hint="default"/>
      </w:rPr>
    </w:lvl>
    <w:lvl w:ilvl="4" w:tplc="1988BE6A" w:tentative="1">
      <w:start w:val="1"/>
      <w:numFmt w:val="bullet"/>
      <w:lvlText w:val="o"/>
      <w:lvlJc w:val="left"/>
      <w:pPr>
        <w:ind w:left="4320" w:hanging="360"/>
      </w:pPr>
      <w:rPr>
        <w:rFonts w:ascii="Courier New" w:hAnsi="Courier New" w:cs="Courier New" w:hint="default"/>
      </w:rPr>
    </w:lvl>
    <w:lvl w:ilvl="5" w:tplc="797AC6D8" w:tentative="1">
      <w:start w:val="1"/>
      <w:numFmt w:val="bullet"/>
      <w:lvlText w:val=""/>
      <w:lvlJc w:val="left"/>
      <w:pPr>
        <w:ind w:left="5040" w:hanging="360"/>
      </w:pPr>
      <w:rPr>
        <w:rFonts w:ascii="Wingdings" w:hAnsi="Wingdings" w:hint="default"/>
      </w:rPr>
    </w:lvl>
    <w:lvl w:ilvl="6" w:tplc="C0AE6C18" w:tentative="1">
      <w:start w:val="1"/>
      <w:numFmt w:val="bullet"/>
      <w:lvlText w:val=""/>
      <w:lvlJc w:val="left"/>
      <w:pPr>
        <w:ind w:left="5760" w:hanging="360"/>
      </w:pPr>
      <w:rPr>
        <w:rFonts w:ascii="Symbol" w:hAnsi="Symbol" w:hint="default"/>
      </w:rPr>
    </w:lvl>
    <w:lvl w:ilvl="7" w:tplc="3912F112" w:tentative="1">
      <w:start w:val="1"/>
      <w:numFmt w:val="bullet"/>
      <w:lvlText w:val="o"/>
      <w:lvlJc w:val="left"/>
      <w:pPr>
        <w:ind w:left="6480" w:hanging="360"/>
      </w:pPr>
      <w:rPr>
        <w:rFonts w:ascii="Courier New" w:hAnsi="Courier New" w:cs="Courier New" w:hint="default"/>
      </w:rPr>
    </w:lvl>
    <w:lvl w:ilvl="8" w:tplc="E6500812" w:tentative="1">
      <w:start w:val="1"/>
      <w:numFmt w:val="bullet"/>
      <w:lvlText w:val=""/>
      <w:lvlJc w:val="left"/>
      <w:pPr>
        <w:ind w:left="7200" w:hanging="360"/>
      </w:pPr>
      <w:rPr>
        <w:rFonts w:ascii="Wingdings" w:hAnsi="Wingdings" w:hint="default"/>
      </w:rPr>
    </w:lvl>
  </w:abstractNum>
  <w:abstractNum w:abstractNumId="1" w15:restartNumberingAfterBreak="0">
    <w:nsid w:val="0CCE6158"/>
    <w:multiLevelType w:val="hybridMultilevel"/>
    <w:tmpl w:val="75386794"/>
    <w:lvl w:ilvl="0" w:tplc="2A7EAFEC">
      <w:start w:val="1"/>
      <w:numFmt w:val="bullet"/>
      <w:lvlText w:val=""/>
      <w:lvlJc w:val="left"/>
      <w:pPr>
        <w:ind w:left="1800" w:hanging="360"/>
      </w:pPr>
      <w:rPr>
        <w:rFonts w:ascii="Symbol" w:hAnsi="Symbol" w:hint="default"/>
      </w:rPr>
    </w:lvl>
    <w:lvl w:ilvl="1" w:tplc="9086CA90" w:tentative="1">
      <w:start w:val="1"/>
      <w:numFmt w:val="bullet"/>
      <w:lvlText w:val="o"/>
      <w:lvlJc w:val="left"/>
      <w:pPr>
        <w:ind w:left="2520" w:hanging="360"/>
      </w:pPr>
      <w:rPr>
        <w:rFonts w:ascii="Courier New" w:hAnsi="Courier New" w:cs="Courier New" w:hint="default"/>
      </w:rPr>
    </w:lvl>
    <w:lvl w:ilvl="2" w:tplc="97AE8528" w:tentative="1">
      <w:start w:val="1"/>
      <w:numFmt w:val="bullet"/>
      <w:lvlText w:val=""/>
      <w:lvlJc w:val="left"/>
      <w:pPr>
        <w:ind w:left="3240" w:hanging="360"/>
      </w:pPr>
      <w:rPr>
        <w:rFonts w:ascii="Wingdings" w:hAnsi="Wingdings" w:hint="default"/>
      </w:rPr>
    </w:lvl>
    <w:lvl w:ilvl="3" w:tplc="F0884F4E" w:tentative="1">
      <w:start w:val="1"/>
      <w:numFmt w:val="bullet"/>
      <w:lvlText w:val=""/>
      <w:lvlJc w:val="left"/>
      <w:pPr>
        <w:ind w:left="3960" w:hanging="360"/>
      </w:pPr>
      <w:rPr>
        <w:rFonts w:ascii="Symbol" w:hAnsi="Symbol" w:hint="default"/>
      </w:rPr>
    </w:lvl>
    <w:lvl w:ilvl="4" w:tplc="B748E9D0" w:tentative="1">
      <w:start w:val="1"/>
      <w:numFmt w:val="bullet"/>
      <w:lvlText w:val="o"/>
      <w:lvlJc w:val="left"/>
      <w:pPr>
        <w:ind w:left="4680" w:hanging="360"/>
      </w:pPr>
      <w:rPr>
        <w:rFonts w:ascii="Courier New" w:hAnsi="Courier New" w:cs="Courier New" w:hint="default"/>
      </w:rPr>
    </w:lvl>
    <w:lvl w:ilvl="5" w:tplc="5908107E" w:tentative="1">
      <w:start w:val="1"/>
      <w:numFmt w:val="bullet"/>
      <w:lvlText w:val=""/>
      <w:lvlJc w:val="left"/>
      <w:pPr>
        <w:ind w:left="5400" w:hanging="360"/>
      </w:pPr>
      <w:rPr>
        <w:rFonts w:ascii="Wingdings" w:hAnsi="Wingdings" w:hint="default"/>
      </w:rPr>
    </w:lvl>
    <w:lvl w:ilvl="6" w:tplc="150E3FD0" w:tentative="1">
      <w:start w:val="1"/>
      <w:numFmt w:val="bullet"/>
      <w:lvlText w:val=""/>
      <w:lvlJc w:val="left"/>
      <w:pPr>
        <w:ind w:left="6120" w:hanging="360"/>
      </w:pPr>
      <w:rPr>
        <w:rFonts w:ascii="Symbol" w:hAnsi="Symbol" w:hint="default"/>
      </w:rPr>
    </w:lvl>
    <w:lvl w:ilvl="7" w:tplc="6C3A5364" w:tentative="1">
      <w:start w:val="1"/>
      <w:numFmt w:val="bullet"/>
      <w:lvlText w:val="o"/>
      <w:lvlJc w:val="left"/>
      <w:pPr>
        <w:ind w:left="6840" w:hanging="360"/>
      </w:pPr>
      <w:rPr>
        <w:rFonts w:ascii="Courier New" w:hAnsi="Courier New" w:cs="Courier New" w:hint="default"/>
      </w:rPr>
    </w:lvl>
    <w:lvl w:ilvl="8" w:tplc="A34AD8FE" w:tentative="1">
      <w:start w:val="1"/>
      <w:numFmt w:val="bullet"/>
      <w:lvlText w:val=""/>
      <w:lvlJc w:val="left"/>
      <w:pPr>
        <w:ind w:left="7560" w:hanging="360"/>
      </w:pPr>
      <w:rPr>
        <w:rFonts w:ascii="Wingdings" w:hAnsi="Wingdings" w:hint="default"/>
      </w:rPr>
    </w:lvl>
  </w:abstractNum>
  <w:abstractNum w:abstractNumId="2" w15:restartNumberingAfterBreak="0">
    <w:nsid w:val="0E162396"/>
    <w:multiLevelType w:val="hybridMultilevel"/>
    <w:tmpl w:val="F212563A"/>
    <w:lvl w:ilvl="0" w:tplc="E5A0C514">
      <w:start w:val="1"/>
      <w:numFmt w:val="bullet"/>
      <w:lvlText w:val=""/>
      <w:lvlJc w:val="left"/>
      <w:pPr>
        <w:ind w:left="1440" w:hanging="360"/>
      </w:pPr>
      <w:rPr>
        <w:rFonts w:ascii="Symbol" w:hAnsi="Symbol" w:hint="default"/>
      </w:rPr>
    </w:lvl>
    <w:lvl w:ilvl="1" w:tplc="319C8A7A" w:tentative="1">
      <w:start w:val="1"/>
      <w:numFmt w:val="bullet"/>
      <w:lvlText w:val="o"/>
      <w:lvlJc w:val="left"/>
      <w:pPr>
        <w:ind w:left="2160" w:hanging="360"/>
      </w:pPr>
      <w:rPr>
        <w:rFonts w:ascii="Courier New" w:hAnsi="Courier New" w:cs="Courier New" w:hint="default"/>
      </w:rPr>
    </w:lvl>
    <w:lvl w:ilvl="2" w:tplc="DA4C207C" w:tentative="1">
      <w:start w:val="1"/>
      <w:numFmt w:val="bullet"/>
      <w:lvlText w:val=""/>
      <w:lvlJc w:val="left"/>
      <w:pPr>
        <w:ind w:left="2880" w:hanging="360"/>
      </w:pPr>
      <w:rPr>
        <w:rFonts w:ascii="Wingdings" w:hAnsi="Wingdings" w:hint="default"/>
      </w:rPr>
    </w:lvl>
    <w:lvl w:ilvl="3" w:tplc="BA5A9F6E" w:tentative="1">
      <w:start w:val="1"/>
      <w:numFmt w:val="bullet"/>
      <w:lvlText w:val=""/>
      <w:lvlJc w:val="left"/>
      <w:pPr>
        <w:ind w:left="3600" w:hanging="360"/>
      </w:pPr>
      <w:rPr>
        <w:rFonts w:ascii="Symbol" w:hAnsi="Symbol" w:hint="default"/>
      </w:rPr>
    </w:lvl>
    <w:lvl w:ilvl="4" w:tplc="E30605C8" w:tentative="1">
      <w:start w:val="1"/>
      <w:numFmt w:val="bullet"/>
      <w:lvlText w:val="o"/>
      <w:lvlJc w:val="left"/>
      <w:pPr>
        <w:ind w:left="4320" w:hanging="360"/>
      </w:pPr>
      <w:rPr>
        <w:rFonts w:ascii="Courier New" w:hAnsi="Courier New" w:cs="Courier New" w:hint="default"/>
      </w:rPr>
    </w:lvl>
    <w:lvl w:ilvl="5" w:tplc="1EAC375C" w:tentative="1">
      <w:start w:val="1"/>
      <w:numFmt w:val="bullet"/>
      <w:lvlText w:val=""/>
      <w:lvlJc w:val="left"/>
      <w:pPr>
        <w:ind w:left="5040" w:hanging="360"/>
      </w:pPr>
      <w:rPr>
        <w:rFonts w:ascii="Wingdings" w:hAnsi="Wingdings" w:hint="default"/>
      </w:rPr>
    </w:lvl>
    <w:lvl w:ilvl="6" w:tplc="1C762726" w:tentative="1">
      <w:start w:val="1"/>
      <w:numFmt w:val="bullet"/>
      <w:lvlText w:val=""/>
      <w:lvlJc w:val="left"/>
      <w:pPr>
        <w:ind w:left="5760" w:hanging="360"/>
      </w:pPr>
      <w:rPr>
        <w:rFonts w:ascii="Symbol" w:hAnsi="Symbol" w:hint="default"/>
      </w:rPr>
    </w:lvl>
    <w:lvl w:ilvl="7" w:tplc="2740493E" w:tentative="1">
      <w:start w:val="1"/>
      <w:numFmt w:val="bullet"/>
      <w:lvlText w:val="o"/>
      <w:lvlJc w:val="left"/>
      <w:pPr>
        <w:ind w:left="6480" w:hanging="360"/>
      </w:pPr>
      <w:rPr>
        <w:rFonts w:ascii="Courier New" w:hAnsi="Courier New" w:cs="Courier New" w:hint="default"/>
      </w:rPr>
    </w:lvl>
    <w:lvl w:ilvl="8" w:tplc="4CB07014" w:tentative="1">
      <w:start w:val="1"/>
      <w:numFmt w:val="bullet"/>
      <w:lvlText w:val=""/>
      <w:lvlJc w:val="left"/>
      <w:pPr>
        <w:ind w:left="7200" w:hanging="360"/>
      </w:pPr>
      <w:rPr>
        <w:rFonts w:ascii="Wingdings" w:hAnsi="Wingdings" w:hint="default"/>
      </w:rPr>
    </w:lvl>
  </w:abstractNum>
  <w:abstractNum w:abstractNumId="3" w15:restartNumberingAfterBreak="0">
    <w:nsid w:val="1B1E7D42"/>
    <w:multiLevelType w:val="hybridMultilevel"/>
    <w:tmpl w:val="A8CC11C4"/>
    <w:lvl w:ilvl="0" w:tplc="1BF6F20A">
      <w:start w:val="1"/>
      <w:numFmt w:val="upperRoman"/>
      <w:pStyle w:val="Heading1"/>
      <w:lvlText w:val="%1."/>
      <w:lvlJc w:val="right"/>
      <w:pPr>
        <w:ind w:left="72" w:hanging="72"/>
      </w:pPr>
      <w:rPr>
        <w:rFonts w:hint="default"/>
        <w:b/>
        <w:i w:val="0"/>
        <w:sz w:val="26"/>
      </w:rPr>
    </w:lvl>
    <w:lvl w:ilvl="1" w:tplc="2A40294C" w:tentative="1">
      <w:start w:val="1"/>
      <w:numFmt w:val="lowerLetter"/>
      <w:lvlText w:val="%2."/>
      <w:lvlJc w:val="left"/>
      <w:pPr>
        <w:ind w:left="8010" w:hanging="360"/>
      </w:pPr>
    </w:lvl>
    <w:lvl w:ilvl="2" w:tplc="A59E311C" w:tentative="1">
      <w:start w:val="1"/>
      <w:numFmt w:val="lowerRoman"/>
      <w:lvlText w:val="%3."/>
      <w:lvlJc w:val="right"/>
      <w:pPr>
        <w:ind w:left="8730" w:hanging="180"/>
      </w:pPr>
    </w:lvl>
    <w:lvl w:ilvl="3" w:tplc="44747830" w:tentative="1">
      <w:start w:val="1"/>
      <w:numFmt w:val="decimal"/>
      <w:lvlText w:val="%4."/>
      <w:lvlJc w:val="left"/>
      <w:pPr>
        <w:ind w:left="9450" w:hanging="360"/>
      </w:pPr>
    </w:lvl>
    <w:lvl w:ilvl="4" w:tplc="43D806A0" w:tentative="1">
      <w:start w:val="1"/>
      <w:numFmt w:val="lowerLetter"/>
      <w:lvlText w:val="%5."/>
      <w:lvlJc w:val="left"/>
      <w:pPr>
        <w:ind w:left="10170" w:hanging="360"/>
      </w:pPr>
    </w:lvl>
    <w:lvl w:ilvl="5" w:tplc="719261F6" w:tentative="1">
      <w:start w:val="1"/>
      <w:numFmt w:val="lowerRoman"/>
      <w:lvlText w:val="%6."/>
      <w:lvlJc w:val="right"/>
      <w:pPr>
        <w:ind w:left="10890" w:hanging="180"/>
      </w:pPr>
    </w:lvl>
    <w:lvl w:ilvl="6" w:tplc="9FB0D54A" w:tentative="1">
      <w:start w:val="1"/>
      <w:numFmt w:val="decimal"/>
      <w:lvlText w:val="%7."/>
      <w:lvlJc w:val="left"/>
      <w:pPr>
        <w:ind w:left="11610" w:hanging="360"/>
      </w:pPr>
    </w:lvl>
    <w:lvl w:ilvl="7" w:tplc="F8CC32B4" w:tentative="1">
      <w:start w:val="1"/>
      <w:numFmt w:val="lowerLetter"/>
      <w:lvlText w:val="%8."/>
      <w:lvlJc w:val="left"/>
      <w:pPr>
        <w:ind w:left="12330" w:hanging="360"/>
      </w:pPr>
    </w:lvl>
    <w:lvl w:ilvl="8" w:tplc="AFDE5B4A" w:tentative="1">
      <w:start w:val="1"/>
      <w:numFmt w:val="lowerRoman"/>
      <w:lvlText w:val="%9."/>
      <w:lvlJc w:val="right"/>
      <w:pPr>
        <w:ind w:left="13050" w:hanging="180"/>
      </w:pPr>
    </w:lvl>
  </w:abstractNum>
  <w:abstractNum w:abstractNumId="4" w15:restartNumberingAfterBreak="0">
    <w:nsid w:val="26665EE8"/>
    <w:multiLevelType w:val="hybridMultilevel"/>
    <w:tmpl w:val="5670571A"/>
    <w:lvl w:ilvl="0" w:tplc="517C951C">
      <w:start w:val="1"/>
      <w:numFmt w:val="bullet"/>
      <w:lvlText w:val=""/>
      <w:lvlJc w:val="left"/>
      <w:pPr>
        <w:ind w:left="1440" w:hanging="360"/>
      </w:pPr>
      <w:rPr>
        <w:rFonts w:ascii="Symbol" w:hAnsi="Symbol" w:hint="default"/>
      </w:rPr>
    </w:lvl>
    <w:lvl w:ilvl="1" w:tplc="FF9216D8" w:tentative="1">
      <w:start w:val="1"/>
      <w:numFmt w:val="bullet"/>
      <w:lvlText w:val="o"/>
      <w:lvlJc w:val="left"/>
      <w:pPr>
        <w:ind w:left="2160" w:hanging="360"/>
      </w:pPr>
      <w:rPr>
        <w:rFonts w:ascii="Courier New" w:hAnsi="Courier New" w:cs="Courier New" w:hint="default"/>
      </w:rPr>
    </w:lvl>
    <w:lvl w:ilvl="2" w:tplc="B96883A0" w:tentative="1">
      <w:start w:val="1"/>
      <w:numFmt w:val="bullet"/>
      <w:lvlText w:val=""/>
      <w:lvlJc w:val="left"/>
      <w:pPr>
        <w:ind w:left="2880" w:hanging="360"/>
      </w:pPr>
      <w:rPr>
        <w:rFonts w:ascii="Wingdings" w:hAnsi="Wingdings" w:hint="default"/>
      </w:rPr>
    </w:lvl>
    <w:lvl w:ilvl="3" w:tplc="270A315A" w:tentative="1">
      <w:start w:val="1"/>
      <w:numFmt w:val="bullet"/>
      <w:lvlText w:val=""/>
      <w:lvlJc w:val="left"/>
      <w:pPr>
        <w:ind w:left="3600" w:hanging="360"/>
      </w:pPr>
      <w:rPr>
        <w:rFonts w:ascii="Symbol" w:hAnsi="Symbol" w:hint="default"/>
      </w:rPr>
    </w:lvl>
    <w:lvl w:ilvl="4" w:tplc="A1C21FF6" w:tentative="1">
      <w:start w:val="1"/>
      <w:numFmt w:val="bullet"/>
      <w:lvlText w:val="o"/>
      <w:lvlJc w:val="left"/>
      <w:pPr>
        <w:ind w:left="4320" w:hanging="360"/>
      </w:pPr>
      <w:rPr>
        <w:rFonts w:ascii="Courier New" w:hAnsi="Courier New" w:cs="Courier New" w:hint="default"/>
      </w:rPr>
    </w:lvl>
    <w:lvl w:ilvl="5" w:tplc="8A7AEF48" w:tentative="1">
      <w:start w:val="1"/>
      <w:numFmt w:val="bullet"/>
      <w:lvlText w:val=""/>
      <w:lvlJc w:val="left"/>
      <w:pPr>
        <w:ind w:left="5040" w:hanging="360"/>
      </w:pPr>
      <w:rPr>
        <w:rFonts w:ascii="Wingdings" w:hAnsi="Wingdings" w:hint="default"/>
      </w:rPr>
    </w:lvl>
    <w:lvl w:ilvl="6" w:tplc="50EAA116" w:tentative="1">
      <w:start w:val="1"/>
      <w:numFmt w:val="bullet"/>
      <w:lvlText w:val=""/>
      <w:lvlJc w:val="left"/>
      <w:pPr>
        <w:ind w:left="5760" w:hanging="360"/>
      </w:pPr>
      <w:rPr>
        <w:rFonts w:ascii="Symbol" w:hAnsi="Symbol" w:hint="default"/>
      </w:rPr>
    </w:lvl>
    <w:lvl w:ilvl="7" w:tplc="7542C1D0" w:tentative="1">
      <w:start w:val="1"/>
      <w:numFmt w:val="bullet"/>
      <w:lvlText w:val="o"/>
      <w:lvlJc w:val="left"/>
      <w:pPr>
        <w:ind w:left="6480" w:hanging="360"/>
      </w:pPr>
      <w:rPr>
        <w:rFonts w:ascii="Courier New" w:hAnsi="Courier New" w:cs="Courier New" w:hint="default"/>
      </w:rPr>
    </w:lvl>
    <w:lvl w:ilvl="8" w:tplc="001A65AC" w:tentative="1">
      <w:start w:val="1"/>
      <w:numFmt w:val="bullet"/>
      <w:lvlText w:val=""/>
      <w:lvlJc w:val="left"/>
      <w:pPr>
        <w:ind w:left="7200" w:hanging="360"/>
      </w:pPr>
      <w:rPr>
        <w:rFonts w:ascii="Wingdings" w:hAnsi="Wingdings" w:hint="default"/>
      </w:rPr>
    </w:lvl>
  </w:abstractNum>
  <w:abstractNum w:abstractNumId="5" w15:restartNumberingAfterBreak="0">
    <w:nsid w:val="2C3B0985"/>
    <w:multiLevelType w:val="hybridMultilevel"/>
    <w:tmpl w:val="4550632C"/>
    <w:lvl w:ilvl="0" w:tplc="0A8AB4F0">
      <w:start w:val="1"/>
      <w:numFmt w:val="bullet"/>
      <w:lvlText w:val=""/>
      <w:lvlJc w:val="left"/>
      <w:pPr>
        <w:ind w:left="1080" w:hanging="360"/>
      </w:pPr>
      <w:rPr>
        <w:rFonts w:ascii="Symbol" w:eastAsiaTheme="minorHAnsi" w:hAnsi="Symbol" w:cstheme="minorBidi" w:hint="default"/>
      </w:rPr>
    </w:lvl>
    <w:lvl w:ilvl="1" w:tplc="D01C544E" w:tentative="1">
      <w:start w:val="1"/>
      <w:numFmt w:val="bullet"/>
      <w:lvlText w:val="o"/>
      <w:lvlJc w:val="left"/>
      <w:pPr>
        <w:ind w:left="1800" w:hanging="360"/>
      </w:pPr>
      <w:rPr>
        <w:rFonts w:ascii="Courier New" w:hAnsi="Courier New" w:cs="Courier New" w:hint="default"/>
      </w:rPr>
    </w:lvl>
    <w:lvl w:ilvl="2" w:tplc="8C20479A" w:tentative="1">
      <w:start w:val="1"/>
      <w:numFmt w:val="bullet"/>
      <w:lvlText w:val=""/>
      <w:lvlJc w:val="left"/>
      <w:pPr>
        <w:ind w:left="2520" w:hanging="360"/>
      </w:pPr>
      <w:rPr>
        <w:rFonts w:ascii="Wingdings" w:hAnsi="Wingdings" w:hint="default"/>
      </w:rPr>
    </w:lvl>
    <w:lvl w:ilvl="3" w:tplc="6A883FF6" w:tentative="1">
      <w:start w:val="1"/>
      <w:numFmt w:val="bullet"/>
      <w:lvlText w:val=""/>
      <w:lvlJc w:val="left"/>
      <w:pPr>
        <w:ind w:left="3240" w:hanging="360"/>
      </w:pPr>
      <w:rPr>
        <w:rFonts w:ascii="Symbol" w:hAnsi="Symbol" w:hint="default"/>
      </w:rPr>
    </w:lvl>
    <w:lvl w:ilvl="4" w:tplc="45A412E6" w:tentative="1">
      <w:start w:val="1"/>
      <w:numFmt w:val="bullet"/>
      <w:lvlText w:val="o"/>
      <w:lvlJc w:val="left"/>
      <w:pPr>
        <w:ind w:left="3960" w:hanging="360"/>
      </w:pPr>
      <w:rPr>
        <w:rFonts w:ascii="Courier New" w:hAnsi="Courier New" w:cs="Courier New" w:hint="default"/>
      </w:rPr>
    </w:lvl>
    <w:lvl w:ilvl="5" w:tplc="83582EC6" w:tentative="1">
      <w:start w:val="1"/>
      <w:numFmt w:val="bullet"/>
      <w:lvlText w:val=""/>
      <w:lvlJc w:val="left"/>
      <w:pPr>
        <w:ind w:left="4680" w:hanging="360"/>
      </w:pPr>
      <w:rPr>
        <w:rFonts w:ascii="Wingdings" w:hAnsi="Wingdings" w:hint="default"/>
      </w:rPr>
    </w:lvl>
    <w:lvl w:ilvl="6" w:tplc="CBF88B88" w:tentative="1">
      <w:start w:val="1"/>
      <w:numFmt w:val="bullet"/>
      <w:lvlText w:val=""/>
      <w:lvlJc w:val="left"/>
      <w:pPr>
        <w:ind w:left="5400" w:hanging="360"/>
      </w:pPr>
      <w:rPr>
        <w:rFonts w:ascii="Symbol" w:hAnsi="Symbol" w:hint="default"/>
      </w:rPr>
    </w:lvl>
    <w:lvl w:ilvl="7" w:tplc="6D7EECA2" w:tentative="1">
      <w:start w:val="1"/>
      <w:numFmt w:val="bullet"/>
      <w:lvlText w:val="o"/>
      <w:lvlJc w:val="left"/>
      <w:pPr>
        <w:ind w:left="6120" w:hanging="360"/>
      </w:pPr>
      <w:rPr>
        <w:rFonts w:ascii="Courier New" w:hAnsi="Courier New" w:cs="Courier New" w:hint="default"/>
      </w:rPr>
    </w:lvl>
    <w:lvl w:ilvl="8" w:tplc="921229DE" w:tentative="1">
      <w:start w:val="1"/>
      <w:numFmt w:val="bullet"/>
      <w:lvlText w:val=""/>
      <w:lvlJc w:val="left"/>
      <w:pPr>
        <w:ind w:left="6840" w:hanging="360"/>
      </w:pPr>
      <w:rPr>
        <w:rFonts w:ascii="Wingdings" w:hAnsi="Wingdings" w:hint="default"/>
      </w:rPr>
    </w:lvl>
  </w:abstractNum>
  <w:abstractNum w:abstractNumId="6" w15:restartNumberingAfterBreak="0">
    <w:nsid w:val="2C64317D"/>
    <w:multiLevelType w:val="hybridMultilevel"/>
    <w:tmpl w:val="A822B2D2"/>
    <w:lvl w:ilvl="0" w:tplc="D4762F08">
      <w:start w:val="1"/>
      <w:numFmt w:val="bullet"/>
      <w:lvlText w:val=""/>
      <w:lvlJc w:val="left"/>
      <w:pPr>
        <w:ind w:left="1440" w:hanging="360"/>
      </w:pPr>
      <w:rPr>
        <w:rFonts w:ascii="Symbol" w:hAnsi="Symbol" w:hint="default"/>
      </w:rPr>
    </w:lvl>
    <w:lvl w:ilvl="1" w:tplc="C9CE8452" w:tentative="1">
      <w:start w:val="1"/>
      <w:numFmt w:val="bullet"/>
      <w:lvlText w:val="o"/>
      <w:lvlJc w:val="left"/>
      <w:pPr>
        <w:ind w:left="2160" w:hanging="360"/>
      </w:pPr>
      <w:rPr>
        <w:rFonts w:ascii="Courier New" w:hAnsi="Courier New" w:cs="Courier New" w:hint="default"/>
      </w:rPr>
    </w:lvl>
    <w:lvl w:ilvl="2" w:tplc="A47843A4" w:tentative="1">
      <w:start w:val="1"/>
      <w:numFmt w:val="bullet"/>
      <w:lvlText w:val=""/>
      <w:lvlJc w:val="left"/>
      <w:pPr>
        <w:ind w:left="2880" w:hanging="360"/>
      </w:pPr>
      <w:rPr>
        <w:rFonts w:ascii="Wingdings" w:hAnsi="Wingdings" w:hint="default"/>
      </w:rPr>
    </w:lvl>
    <w:lvl w:ilvl="3" w:tplc="7A1CE6CE" w:tentative="1">
      <w:start w:val="1"/>
      <w:numFmt w:val="bullet"/>
      <w:lvlText w:val=""/>
      <w:lvlJc w:val="left"/>
      <w:pPr>
        <w:ind w:left="3600" w:hanging="360"/>
      </w:pPr>
      <w:rPr>
        <w:rFonts w:ascii="Symbol" w:hAnsi="Symbol" w:hint="default"/>
      </w:rPr>
    </w:lvl>
    <w:lvl w:ilvl="4" w:tplc="175EBFD2" w:tentative="1">
      <w:start w:val="1"/>
      <w:numFmt w:val="bullet"/>
      <w:lvlText w:val="o"/>
      <w:lvlJc w:val="left"/>
      <w:pPr>
        <w:ind w:left="4320" w:hanging="360"/>
      </w:pPr>
      <w:rPr>
        <w:rFonts w:ascii="Courier New" w:hAnsi="Courier New" w:cs="Courier New" w:hint="default"/>
      </w:rPr>
    </w:lvl>
    <w:lvl w:ilvl="5" w:tplc="921262DC" w:tentative="1">
      <w:start w:val="1"/>
      <w:numFmt w:val="bullet"/>
      <w:lvlText w:val=""/>
      <w:lvlJc w:val="left"/>
      <w:pPr>
        <w:ind w:left="5040" w:hanging="360"/>
      </w:pPr>
      <w:rPr>
        <w:rFonts w:ascii="Wingdings" w:hAnsi="Wingdings" w:hint="default"/>
      </w:rPr>
    </w:lvl>
    <w:lvl w:ilvl="6" w:tplc="08D08006" w:tentative="1">
      <w:start w:val="1"/>
      <w:numFmt w:val="bullet"/>
      <w:lvlText w:val=""/>
      <w:lvlJc w:val="left"/>
      <w:pPr>
        <w:ind w:left="5760" w:hanging="360"/>
      </w:pPr>
      <w:rPr>
        <w:rFonts w:ascii="Symbol" w:hAnsi="Symbol" w:hint="default"/>
      </w:rPr>
    </w:lvl>
    <w:lvl w:ilvl="7" w:tplc="EF927172" w:tentative="1">
      <w:start w:val="1"/>
      <w:numFmt w:val="bullet"/>
      <w:lvlText w:val="o"/>
      <w:lvlJc w:val="left"/>
      <w:pPr>
        <w:ind w:left="6480" w:hanging="360"/>
      </w:pPr>
      <w:rPr>
        <w:rFonts w:ascii="Courier New" w:hAnsi="Courier New" w:cs="Courier New" w:hint="default"/>
      </w:rPr>
    </w:lvl>
    <w:lvl w:ilvl="8" w:tplc="9A564E0E" w:tentative="1">
      <w:start w:val="1"/>
      <w:numFmt w:val="bullet"/>
      <w:lvlText w:val=""/>
      <w:lvlJc w:val="left"/>
      <w:pPr>
        <w:ind w:left="7200" w:hanging="360"/>
      </w:pPr>
      <w:rPr>
        <w:rFonts w:ascii="Wingdings" w:hAnsi="Wingdings" w:hint="default"/>
      </w:rPr>
    </w:lvl>
  </w:abstractNum>
  <w:abstractNum w:abstractNumId="7" w15:restartNumberingAfterBreak="0">
    <w:nsid w:val="38555485"/>
    <w:multiLevelType w:val="hybridMultilevel"/>
    <w:tmpl w:val="95B0E46E"/>
    <w:lvl w:ilvl="0" w:tplc="FF10CF22">
      <w:start w:val="1"/>
      <w:numFmt w:val="decimal"/>
      <w:pStyle w:val="Heading3"/>
      <w:lvlText w:val="%1."/>
      <w:lvlJc w:val="left"/>
      <w:pPr>
        <w:ind w:left="1080" w:hanging="360"/>
      </w:pPr>
      <w:rPr>
        <w:rFonts w:hint="default"/>
      </w:rPr>
    </w:lvl>
    <w:lvl w:ilvl="1" w:tplc="D2E66D3C" w:tentative="1">
      <w:start w:val="1"/>
      <w:numFmt w:val="lowerLetter"/>
      <w:lvlText w:val="%2."/>
      <w:lvlJc w:val="left"/>
      <w:pPr>
        <w:ind w:left="1800" w:hanging="360"/>
      </w:pPr>
    </w:lvl>
    <w:lvl w:ilvl="2" w:tplc="170EEAA2" w:tentative="1">
      <w:start w:val="1"/>
      <w:numFmt w:val="lowerRoman"/>
      <w:lvlText w:val="%3."/>
      <w:lvlJc w:val="right"/>
      <w:pPr>
        <w:ind w:left="2520" w:hanging="180"/>
      </w:pPr>
    </w:lvl>
    <w:lvl w:ilvl="3" w:tplc="E0084158" w:tentative="1">
      <w:start w:val="1"/>
      <w:numFmt w:val="decimal"/>
      <w:lvlText w:val="%4."/>
      <w:lvlJc w:val="left"/>
      <w:pPr>
        <w:ind w:left="3240" w:hanging="360"/>
      </w:pPr>
    </w:lvl>
    <w:lvl w:ilvl="4" w:tplc="37E0E2A6" w:tentative="1">
      <w:start w:val="1"/>
      <w:numFmt w:val="lowerLetter"/>
      <w:lvlText w:val="%5."/>
      <w:lvlJc w:val="left"/>
      <w:pPr>
        <w:ind w:left="3960" w:hanging="360"/>
      </w:pPr>
    </w:lvl>
    <w:lvl w:ilvl="5" w:tplc="746E274C" w:tentative="1">
      <w:start w:val="1"/>
      <w:numFmt w:val="lowerRoman"/>
      <w:lvlText w:val="%6."/>
      <w:lvlJc w:val="right"/>
      <w:pPr>
        <w:ind w:left="4680" w:hanging="180"/>
      </w:pPr>
    </w:lvl>
    <w:lvl w:ilvl="6" w:tplc="DB4C985C" w:tentative="1">
      <w:start w:val="1"/>
      <w:numFmt w:val="decimal"/>
      <w:lvlText w:val="%7."/>
      <w:lvlJc w:val="left"/>
      <w:pPr>
        <w:ind w:left="5400" w:hanging="360"/>
      </w:pPr>
    </w:lvl>
    <w:lvl w:ilvl="7" w:tplc="8DBABFD0" w:tentative="1">
      <w:start w:val="1"/>
      <w:numFmt w:val="lowerLetter"/>
      <w:lvlText w:val="%8."/>
      <w:lvlJc w:val="left"/>
      <w:pPr>
        <w:ind w:left="6120" w:hanging="360"/>
      </w:pPr>
    </w:lvl>
    <w:lvl w:ilvl="8" w:tplc="0C6CD53C" w:tentative="1">
      <w:start w:val="1"/>
      <w:numFmt w:val="lowerRoman"/>
      <w:lvlText w:val="%9."/>
      <w:lvlJc w:val="right"/>
      <w:pPr>
        <w:ind w:left="6840" w:hanging="180"/>
      </w:pPr>
    </w:lvl>
  </w:abstractNum>
  <w:abstractNum w:abstractNumId="8" w15:restartNumberingAfterBreak="0">
    <w:nsid w:val="3BC53C32"/>
    <w:multiLevelType w:val="hybridMultilevel"/>
    <w:tmpl w:val="FFF6061C"/>
    <w:lvl w:ilvl="0" w:tplc="42123804">
      <w:start w:val="1"/>
      <w:numFmt w:val="upperLetter"/>
      <w:pStyle w:val="Heading2"/>
      <w:lvlText w:val="%1."/>
      <w:lvlJc w:val="left"/>
      <w:pPr>
        <w:ind w:left="720" w:hanging="360"/>
      </w:pPr>
      <w:rPr>
        <w:rFonts w:hint="default"/>
        <w:i w:val="0"/>
        <w:iCs/>
      </w:rPr>
    </w:lvl>
    <w:lvl w:ilvl="1" w:tplc="4850AD8E" w:tentative="1">
      <w:start w:val="1"/>
      <w:numFmt w:val="lowerLetter"/>
      <w:lvlText w:val="%2."/>
      <w:lvlJc w:val="left"/>
      <w:pPr>
        <w:ind w:left="1440" w:hanging="360"/>
      </w:pPr>
    </w:lvl>
    <w:lvl w:ilvl="2" w:tplc="D61C74E4" w:tentative="1">
      <w:start w:val="1"/>
      <w:numFmt w:val="lowerRoman"/>
      <w:lvlText w:val="%3."/>
      <w:lvlJc w:val="right"/>
      <w:pPr>
        <w:ind w:left="2160" w:hanging="180"/>
      </w:pPr>
    </w:lvl>
    <w:lvl w:ilvl="3" w:tplc="B3C64866" w:tentative="1">
      <w:start w:val="1"/>
      <w:numFmt w:val="decimal"/>
      <w:lvlText w:val="%4."/>
      <w:lvlJc w:val="left"/>
      <w:pPr>
        <w:ind w:left="2880" w:hanging="360"/>
      </w:pPr>
    </w:lvl>
    <w:lvl w:ilvl="4" w:tplc="EC2A870C" w:tentative="1">
      <w:start w:val="1"/>
      <w:numFmt w:val="lowerLetter"/>
      <w:lvlText w:val="%5."/>
      <w:lvlJc w:val="left"/>
      <w:pPr>
        <w:ind w:left="3600" w:hanging="360"/>
      </w:pPr>
    </w:lvl>
    <w:lvl w:ilvl="5" w:tplc="7FA69F88" w:tentative="1">
      <w:start w:val="1"/>
      <w:numFmt w:val="lowerRoman"/>
      <w:lvlText w:val="%6."/>
      <w:lvlJc w:val="right"/>
      <w:pPr>
        <w:ind w:left="4320" w:hanging="180"/>
      </w:pPr>
    </w:lvl>
    <w:lvl w:ilvl="6" w:tplc="B41ACD26" w:tentative="1">
      <w:start w:val="1"/>
      <w:numFmt w:val="decimal"/>
      <w:lvlText w:val="%7."/>
      <w:lvlJc w:val="left"/>
      <w:pPr>
        <w:ind w:left="5040" w:hanging="360"/>
      </w:pPr>
    </w:lvl>
    <w:lvl w:ilvl="7" w:tplc="A62A2528" w:tentative="1">
      <w:start w:val="1"/>
      <w:numFmt w:val="lowerLetter"/>
      <w:lvlText w:val="%8."/>
      <w:lvlJc w:val="left"/>
      <w:pPr>
        <w:ind w:left="5760" w:hanging="360"/>
      </w:pPr>
    </w:lvl>
    <w:lvl w:ilvl="8" w:tplc="B79A3484" w:tentative="1">
      <w:start w:val="1"/>
      <w:numFmt w:val="lowerRoman"/>
      <w:lvlText w:val="%9."/>
      <w:lvlJc w:val="right"/>
      <w:pPr>
        <w:ind w:left="6480" w:hanging="180"/>
      </w:pPr>
    </w:lvl>
  </w:abstractNum>
  <w:abstractNum w:abstractNumId="9" w15:restartNumberingAfterBreak="0">
    <w:nsid w:val="4A7C30E2"/>
    <w:multiLevelType w:val="hybridMultilevel"/>
    <w:tmpl w:val="1FC2E096"/>
    <w:lvl w:ilvl="0" w:tplc="A4EC7590">
      <w:start w:val="1"/>
      <w:numFmt w:val="lowerLetter"/>
      <w:pStyle w:val="Heading4"/>
      <w:lvlText w:val="%1."/>
      <w:lvlJc w:val="left"/>
      <w:pPr>
        <w:ind w:left="1440" w:hanging="360"/>
      </w:pPr>
      <w:rPr>
        <w:rFonts w:hint="default"/>
        <w:i w:val="0"/>
        <w:iCs w:val="0"/>
      </w:rPr>
    </w:lvl>
    <w:lvl w:ilvl="1" w:tplc="ABFC964E" w:tentative="1">
      <w:start w:val="1"/>
      <w:numFmt w:val="lowerLetter"/>
      <w:lvlText w:val="%2."/>
      <w:lvlJc w:val="left"/>
      <w:pPr>
        <w:ind w:left="2160" w:hanging="360"/>
      </w:pPr>
    </w:lvl>
    <w:lvl w:ilvl="2" w:tplc="B1C422B8" w:tentative="1">
      <w:start w:val="1"/>
      <w:numFmt w:val="lowerRoman"/>
      <w:lvlText w:val="%3."/>
      <w:lvlJc w:val="right"/>
      <w:pPr>
        <w:ind w:left="2880" w:hanging="180"/>
      </w:pPr>
    </w:lvl>
    <w:lvl w:ilvl="3" w:tplc="370E9360" w:tentative="1">
      <w:start w:val="1"/>
      <w:numFmt w:val="decimal"/>
      <w:lvlText w:val="%4."/>
      <w:lvlJc w:val="left"/>
      <w:pPr>
        <w:ind w:left="3600" w:hanging="360"/>
      </w:pPr>
    </w:lvl>
    <w:lvl w:ilvl="4" w:tplc="4D08B8B6" w:tentative="1">
      <w:start w:val="1"/>
      <w:numFmt w:val="lowerLetter"/>
      <w:lvlText w:val="%5."/>
      <w:lvlJc w:val="left"/>
      <w:pPr>
        <w:ind w:left="4320" w:hanging="360"/>
      </w:pPr>
    </w:lvl>
    <w:lvl w:ilvl="5" w:tplc="D45ED730" w:tentative="1">
      <w:start w:val="1"/>
      <w:numFmt w:val="lowerRoman"/>
      <w:lvlText w:val="%6."/>
      <w:lvlJc w:val="right"/>
      <w:pPr>
        <w:ind w:left="5040" w:hanging="180"/>
      </w:pPr>
    </w:lvl>
    <w:lvl w:ilvl="6" w:tplc="E8443988" w:tentative="1">
      <w:start w:val="1"/>
      <w:numFmt w:val="decimal"/>
      <w:lvlText w:val="%7."/>
      <w:lvlJc w:val="left"/>
      <w:pPr>
        <w:ind w:left="5760" w:hanging="360"/>
      </w:pPr>
    </w:lvl>
    <w:lvl w:ilvl="7" w:tplc="6416293E" w:tentative="1">
      <w:start w:val="1"/>
      <w:numFmt w:val="lowerLetter"/>
      <w:lvlText w:val="%8."/>
      <w:lvlJc w:val="left"/>
      <w:pPr>
        <w:ind w:left="6480" w:hanging="360"/>
      </w:pPr>
    </w:lvl>
    <w:lvl w:ilvl="8" w:tplc="9A70531C" w:tentative="1">
      <w:start w:val="1"/>
      <w:numFmt w:val="lowerRoman"/>
      <w:lvlText w:val="%9."/>
      <w:lvlJc w:val="right"/>
      <w:pPr>
        <w:ind w:left="7200" w:hanging="180"/>
      </w:pPr>
    </w:lvl>
  </w:abstractNum>
  <w:abstractNum w:abstractNumId="10" w15:restartNumberingAfterBreak="0">
    <w:nsid w:val="4BA12AA8"/>
    <w:multiLevelType w:val="hybridMultilevel"/>
    <w:tmpl w:val="3DC4D0D6"/>
    <w:lvl w:ilvl="0" w:tplc="0A663DE0">
      <w:start w:val="1"/>
      <w:numFmt w:val="bullet"/>
      <w:lvlText w:val=""/>
      <w:lvlJc w:val="left"/>
      <w:pPr>
        <w:ind w:left="1440" w:hanging="360"/>
      </w:pPr>
      <w:rPr>
        <w:rFonts w:ascii="Symbol" w:hAnsi="Symbol" w:hint="default"/>
      </w:rPr>
    </w:lvl>
    <w:lvl w:ilvl="1" w:tplc="36D2A45A" w:tentative="1">
      <w:start w:val="1"/>
      <w:numFmt w:val="bullet"/>
      <w:lvlText w:val="o"/>
      <w:lvlJc w:val="left"/>
      <w:pPr>
        <w:ind w:left="2160" w:hanging="360"/>
      </w:pPr>
      <w:rPr>
        <w:rFonts w:ascii="Courier New" w:hAnsi="Courier New" w:cs="Courier New" w:hint="default"/>
      </w:rPr>
    </w:lvl>
    <w:lvl w:ilvl="2" w:tplc="820A369C" w:tentative="1">
      <w:start w:val="1"/>
      <w:numFmt w:val="bullet"/>
      <w:lvlText w:val=""/>
      <w:lvlJc w:val="left"/>
      <w:pPr>
        <w:ind w:left="2880" w:hanging="360"/>
      </w:pPr>
      <w:rPr>
        <w:rFonts w:ascii="Wingdings" w:hAnsi="Wingdings" w:hint="default"/>
      </w:rPr>
    </w:lvl>
    <w:lvl w:ilvl="3" w:tplc="5EA8C7BC" w:tentative="1">
      <w:start w:val="1"/>
      <w:numFmt w:val="bullet"/>
      <w:lvlText w:val=""/>
      <w:lvlJc w:val="left"/>
      <w:pPr>
        <w:ind w:left="3600" w:hanging="360"/>
      </w:pPr>
      <w:rPr>
        <w:rFonts w:ascii="Symbol" w:hAnsi="Symbol" w:hint="default"/>
      </w:rPr>
    </w:lvl>
    <w:lvl w:ilvl="4" w:tplc="2B7EDD4A" w:tentative="1">
      <w:start w:val="1"/>
      <w:numFmt w:val="bullet"/>
      <w:lvlText w:val="o"/>
      <w:lvlJc w:val="left"/>
      <w:pPr>
        <w:ind w:left="4320" w:hanging="360"/>
      </w:pPr>
      <w:rPr>
        <w:rFonts w:ascii="Courier New" w:hAnsi="Courier New" w:cs="Courier New" w:hint="default"/>
      </w:rPr>
    </w:lvl>
    <w:lvl w:ilvl="5" w:tplc="04045A14" w:tentative="1">
      <w:start w:val="1"/>
      <w:numFmt w:val="bullet"/>
      <w:lvlText w:val=""/>
      <w:lvlJc w:val="left"/>
      <w:pPr>
        <w:ind w:left="5040" w:hanging="360"/>
      </w:pPr>
      <w:rPr>
        <w:rFonts w:ascii="Wingdings" w:hAnsi="Wingdings" w:hint="default"/>
      </w:rPr>
    </w:lvl>
    <w:lvl w:ilvl="6" w:tplc="4288DF90" w:tentative="1">
      <w:start w:val="1"/>
      <w:numFmt w:val="bullet"/>
      <w:lvlText w:val=""/>
      <w:lvlJc w:val="left"/>
      <w:pPr>
        <w:ind w:left="5760" w:hanging="360"/>
      </w:pPr>
      <w:rPr>
        <w:rFonts w:ascii="Symbol" w:hAnsi="Symbol" w:hint="default"/>
      </w:rPr>
    </w:lvl>
    <w:lvl w:ilvl="7" w:tplc="3B4E8334" w:tentative="1">
      <w:start w:val="1"/>
      <w:numFmt w:val="bullet"/>
      <w:lvlText w:val="o"/>
      <w:lvlJc w:val="left"/>
      <w:pPr>
        <w:ind w:left="6480" w:hanging="360"/>
      </w:pPr>
      <w:rPr>
        <w:rFonts w:ascii="Courier New" w:hAnsi="Courier New" w:cs="Courier New" w:hint="default"/>
      </w:rPr>
    </w:lvl>
    <w:lvl w:ilvl="8" w:tplc="D042F438" w:tentative="1">
      <w:start w:val="1"/>
      <w:numFmt w:val="bullet"/>
      <w:lvlText w:val=""/>
      <w:lvlJc w:val="left"/>
      <w:pPr>
        <w:ind w:left="7200" w:hanging="360"/>
      </w:pPr>
      <w:rPr>
        <w:rFonts w:ascii="Wingdings" w:hAnsi="Wingdings" w:hint="default"/>
      </w:rPr>
    </w:lvl>
  </w:abstractNum>
  <w:abstractNum w:abstractNumId="11" w15:restartNumberingAfterBreak="0">
    <w:nsid w:val="5B6E6416"/>
    <w:multiLevelType w:val="hybridMultilevel"/>
    <w:tmpl w:val="9BEC32E6"/>
    <w:lvl w:ilvl="0" w:tplc="439AD9B4">
      <w:start w:val="1"/>
      <w:numFmt w:val="bullet"/>
      <w:lvlText w:val=""/>
      <w:lvlJc w:val="left"/>
      <w:pPr>
        <w:ind w:left="1440" w:hanging="360"/>
      </w:pPr>
      <w:rPr>
        <w:rFonts w:ascii="Symbol" w:hAnsi="Symbol" w:hint="default"/>
      </w:rPr>
    </w:lvl>
    <w:lvl w:ilvl="1" w:tplc="753E3422">
      <w:start w:val="1"/>
      <w:numFmt w:val="bullet"/>
      <w:lvlText w:val="o"/>
      <w:lvlJc w:val="left"/>
      <w:pPr>
        <w:ind w:left="2160" w:hanging="360"/>
      </w:pPr>
      <w:rPr>
        <w:rFonts w:ascii="Courier New" w:hAnsi="Courier New" w:cs="Courier New" w:hint="default"/>
      </w:rPr>
    </w:lvl>
    <w:lvl w:ilvl="2" w:tplc="821036BE" w:tentative="1">
      <w:start w:val="1"/>
      <w:numFmt w:val="bullet"/>
      <w:lvlText w:val=""/>
      <w:lvlJc w:val="left"/>
      <w:pPr>
        <w:ind w:left="2880" w:hanging="360"/>
      </w:pPr>
      <w:rPr>
        <w:rFonts w:ascii="Wingdings" w:hAnsi="Wingdings" w:hint="default"/>
      </w:rPr>
    </w:lvl>
    <w:lvl w:ilvl="3" w:tplc="A6ACB31A" w:tentative="1">
      <w:start w:val="1"/>
      <w:numFmt w:val="bullet"/>
      <w:lvlText w:val=""/>
      <w:lvlJc w:val="left"/>
      <w:pPr>
        <w:ind w:left="3600" w:hanging="360"/>
      </w:pPr>
      <w:rPr>
        <w:rFonts w:ascii="Symbol" w:hAnsi="Symbol" w:hint="default"/>
      </w:rPr>
    </w:lvl>
    <w:lvl w:ilvl="4" w:tplc="849E0108" w:tentative="1">
      <w:start w:val="1"/>
      <w:numFmt w:val="bullet"/>
      <w:lvlText w:val="o"/>
      <w:lvlJc w:val="left"/>
      <w:pPr>
        <w:ind w:left="4320" w:hanging="360"/>
      </w:pPr>
      <w:rPr>
        <w:rFonts w:ascii="Courier New" w:hAnsi="Courier New" w:cs="Courier New" w:hint="default"/>
      </w:rPr>
    </w:lvl>
    <w:lvl w:ilvl="5" w:tplc="E37CCCE4" w:tentative="1">
      <w:start w:val="1"/>
      <w:numFmt w:val="bullet"/>
      <w:lvlText w:val=""/>
      <w:lvlJc w:val="left"/>
      <w:pPr>
        <w:ind w:left="5040" w:hanging="360"/>
      </w:pPr>
      <w:rPr>
        <w:rFonts w:ascii="Wingdings" w:hAnsi="Wingdings" w:hint="default"/>
      </w:rPr>
    </w:lvl>
    <w:lvl w:ilvl="6" w:tplc="D7F0C7A4" w:tentative="1">
      <w:start w:val="1"/>
      <w:numFmt w:val="bullet"/>
      <w:lvlText w:val=""/>
      <w:lvlJc w:val="left"/>
      <w:pPr>
        <w:ind w:left="5760" w:hanging="360"/>
      </w:pPr>
      <w:rPr>
        <w:rFonts w:ascii="Symbol" w:hAnsi="Symbol" w:hint="default"/>
      </w:rPr>
    </w:lvl>
    <w:lvl w:ilvl="7" w:tplc="5814556A" w:tentative="1">
      <w:start w:val="1"/>
      <w:numFmt w:val="bullet"/>
      <w:lvlText w:val="o"/>
      <w:lvlJc w:val="left"/>
      <w:pPr>
        <w:ind w:left="6480" w:hanging="360"/>
      </w:pPr>
      <w:rPr>
        <w:rFonts w:ascii="Courier New" w:hAnsi="Courier New" w:cs="Courier New" w:hint="default"/>
      </w:rPr>
    </w:lvl>
    <w:lvl w:ilvl="8" w:tplc="23D4F240" w:tentative="1">
      <w:start w:val="1"/>
      <w:numFmt w:val="bullet"/>
      <w:lvlText w:val=""/>
      <w:lvlJc w:val="left"/>
      <w:pPr>
        <w:ind w:left="7200" w:hanging="360"/>
      </w:pPr>
      <w:rPr>
        <w:rFonts w:ascii="Wingdings" w:hAnsi="Wingdings" w:hint="default"/>
      </w:rPr>
    </w:lvl>
  </w:abstractNum>
  <w:abstractNum w:abstractNumId="12" w15:restartNumberingAfterBreak="0">
    <w:nsid w:val="665473C7"/>
    <w:multiLevelType w:val="hybridMultilevel"/>
    <w:tmpl w:val="B0D2F1C2"/>
    <w:lvl w:ilvl="0" w:tplc="F9DAD3EE">
      <w:start w:val="1"/>
      <w:numFmt w:val="bullet"/>
      <w:lvlText w:val=""/>
      <w:lvlJc w:val="left"/>
      <w:pPr>
        <w:ind w:left="1440" w:hanging="360"/>
      </w:pPr>
      <w:rPr>
        <w:rFonts w:ascii="Symbol" w:hAnsi="Symbol" w:hint="default"/>
      </w:rPr>
    </w:lvl>
    <w:lvl w:ilvl="1" w:tplc="EB4669F0" w:tentative="1">
      <w:start w:val="1"/>
      <w:numFmt w:val="bullet"/>
      <w:lvlText w:val="o"/>
      <w:lvlJc w:val="left"/>
      <w:pPr>
        <w:ind w:left="2160" w:hanging="360"/>
      </w:pPr>
      <w:rPr>
        <w:rFonts w:ascii="Courier New" w:hAnsi="Courier New" w:cs="Courier New" w:hint="default"/>
      </w:rPr>
    </w:lvl>
    <w:lvl w:ilvl="2" w:tplc="8D3A917A" w:tentative="1">
      <w:start w:val="1"/>
      <w:numFmt w:val="bullet"/>
      <w:lvlText w:val=""/>
      <w:lvlJc w:val="left"/>
      <w:pPr>
        <w:ind w:left="2880" w:hanging="360"/>
      </w:pPr>
      <w:rPr>
        <w:rFonts w:ascii="Wingdings" w:hAnsi="Wingdings" w:hint="default"/>
      </w:rPr>
    </w:lvl>
    <w:lvl w:ilvl="3" w:tplc="5DB2D1E0" w:tentative="1">
      <w:start w:val="1"/>
      <w:numFmt w:val="bullet"/>
      <w:lvlText w:val=""/>
      <w:lvlJc w:val="left"/>
      <w:pPr>
        <w:ind w:left="3600" w:hanging="360"/>
      </w:pPr>
      <w:rPr>
        <w:rFonts w:ascii="Symbol" w:hAnsi="Symbol" w:hint="default"/>
      </w:rPr>
    </w:lvl>
    <w:lvl w:ilvl="4" w:tplc="128038D4" w:tentative="1">
      <w:start w:val="1"/>
      <w:numFmt w:val="bullet"/>
      <w:lvlText w:val="o"/>
      <w:lvlJc w:val="left"/>
      <w:pPr>
        <w:ind w:left="4320" w:hanging="360"/>
      </w:pPr>
      <w:rPr>
        <w:rFonts w:ascii="Courier New" w:hAnsi="Courier New" w:cs="Courier New" w:hint="default"/>
      </w:rPr>
    </w:lvl>
    <w:lvl w:ilvl="5" w:tplc="8056C2B2" w:tentative="1">
      <w:start w:val="1"/>
      <w:numFmt w:val="bullet"/>
      <w:lvlText w:val=""/>
      <w:lvlJc w:val="left"/>
      <w:pPr>
        <w:ind w:left="5040" w:hanging="360"/>
      </w:pPr>
      <w:rPr>
        <w:rFonts w:ascii="Wingdings" w:hAnsi="Wingdings" w:hint="default"/>
      </w:rPr>
    </w:lvl>
    <w:lvl w:ilvl="6" w:tplc="C5FE1E86" w:tentative="1">
      <w:start w:val="1"/>
      <w:numFmt w:val="bullet"/>
      <w:lvlText w:val=""/>
      <w:lvlJc w:val="left"/>
      <w:pPr>
        <w:ind w:left="5760" w:hanging="360"/>
      </w:pPr>
      <w:rPr>
        <w:rFonts w:ascii="Symbol" w:hAnsi="Symbol" w:hint="default"/>
      </w:rPr>
    </w:lvl>
    <w:lvl w:ilvl="7" w:tplc="83BC57F0" w:tentative="1">
      <w:start w:val="1"/>
      <w:numFmt w:val="bullet"/>
      <w:lvlText w:val="o"/>
      <w:lvlJc w:val="left"/>
      <w:pPr>
        <w:ind w:left="6480" w:hanging="360"/>
      </w:pPr>
      <w:rPr>
        <w:rFonts w:ascii="Courier New" w:hAnsi="Courier New" w:cs="Courier New" w:hint="default"/>
      </w:rPr>
    </w:lvl>
    <w:lvl w:ilvl="8" w:tplc="1E0CFEA6" w:tentative="1">
      <w:start w:val="1"/>
      <w:numFmt w:val="bullet"/>
      <w:lvlText w:val=""/>
      <w:lvlJc w:val="left"/>
      <w:pPr>
        <w:ind w:left="7200" w:hanging="360"/>
      </w:pPr>
      <w:rPr>
        <w:rFonts w:ascii="Wingdings" w:hAnsi="Wingdings" w:hint="default"/>
      </w:rPr>
    </w:lvl>
  </w:abstractNum>
  <w:abstractNum w:abstractNumId="13" w15:restartNumberingAfterBreak="0">
    <w:nsid w:val="69273F61"/>
    <w:multiLevelType w:val="hybridMultilevel"/>
    <w:tmpl w:val="79729EEE"/>
    <w:lvl w:ilvl="0" w:tplc="FA901742">
      <w:start w:val="1"/>
      <w:numFmt w:val="bullet"/>
      <w:lvlText w:val=""/>
      <w:lvlJc w:val="left"/>
      <w:pPr>
        <w:ind w:left="1440" w:hanging="360"/>
      </w:pPr>
      <w:rPr>
        <w:rFonts w:ascii="Symbol" w:hAnsi="Symbol" w:hint="default"/>
      </w:rPr>
    </w:lvl>
    <w:lvl w:ilvl="1" w:tplc="BB88017E" w:tentative="1">
      <w:start w:val="1"/>
      <w:numFmt w:val="bullet"/>
      <w:lvlText w:val="o"/>
      <w:lvlJc w:val="left"/>
      <w:pPr>
        <w:ind w:left="2160" w:hanging="360"/>
      </w:pPr>
      <w:rPr>
        <w:rFonts w:ascii="Courier New" w:hAnsi="Courier New" w:cs="Courier New" w:hint="default"/>
      </w:rPr>
    </w:lvl>
    <w:lvl w:ilvl="2" w:tplc="B3D0C500" w:tentative="1">
      <w:start w:val="1"/>
      <w:numFmt w:val="bullet"/>
      <w:lvlText w:val=""/>
      <w:lvlJc w:val="left"/>
      <w:pPr>
        <w:ind w:left="2880" w:hanging="360"/>
      </w:pPr>
      <w:rPr>
        <w:rFonts w:ascii="Wingdings" w:hAnsi="Wingdings" w:hint="default"/>
      </w:rPr>
    </w:lvl>
    <w:lvl w:ilvl="3" w:tplc="4704C9D8" w:tentative="1">
      <w:start w:val="1"/>
      <w:numFmt w:val="bullet"/>
      <w:lvlText w:val=""/>
      <w:lvlJc w:val="left"/>
      <w:pPr>
        <w:ind w:left="3600" w:hanging="360"/>
      </w:pPr>
      <w:rPr>
        <w:rFonts w:ascii="Symbol" w:hAnsi="Symbol" w:hint="default"/>
      </w:rPr>
    </w:lvl>
    <w:lvl w:ilvl="4" w:tplc="F5D475EC" w:tentative="1">
      <w:start w:val="1"/>
      <w:numFmt w:val="bullet"/>
      <w:lvlText w:val="o"/>
      <w:lvlJc w:val="left"/>
      <w:pPr>
        <w:ind w:left="4320" w:hanging="360"/>
      </w:pPr>
      <w:rPr>
        <w:rFonts w:ascii="Courier New" w:hAnsi="Courier New" w:cs="Courier New" w:hint="default"/>
      </w:rPr>
    </w:lvl>
    <w:lvl w:ilvl="5" w:tplc="4C000260" w:tentative="1">
      <w:start w:val="1"/>
      <w:numFmt w:val="bullet"/>
      <w:lvlText w:val=""/>
      <w:lvlJc w:val="left"/>
      <w:pPr>
        <w:ind w:left="5040" w:hanging="360"/>
      </w:pPr>
      <w:rPr>
        <w:rFonts w:ascii="Wingdings" w:hAnsi="Wingdings" w:hint="default"/>
      </w:rPr>
    </w:lvl>
    <w:lvl w:ilvl="6" w:tplc="54D03406" w:tentative="1">
      <w:start w:val="1"/>
      <w:numFmt w:val="bullet"/>
      <w:lvlText w:val=""/>
      <w:lvlJc w:val="left"/>
      <w:pPr>
        <w:ind w:left="5760" w:hanging="360"/>
      </w:pPr>
      <w:rPr>
        <w:rFonts w:ascii="Symbol" w:hAnsi="Symbol" w:hint="default"/>
      </w:rPr>
    </w:lvl>
    <w:lvl w:ilvl="7" w:tplc="39248B4C" w:tentative="1">
      <w:start w:val="1"/>
      <w:numFmt w:val="bullet"/>
      <w:lvlText w:val="o"/>
      <w:lvlJc w:val="left"/>
      <w:pPr>
        <w:ind w:left="6480" w:hanging="360"/>
      </w:pPr>
      <w:rPr>
        <w:rFonts w:ascii="Courier New" w:hAnsi="Courier New" w:cs="Courier New" w:hint="default"/>
      </w:rPr>
    </w:lvl>
    <w:lvl w:ilvl="8" w:tplc="6960149A" w:tentative="1">
      <w:start w:val="1"/>
      <w:numFmt w:val="bullet"/>
      <w:lvlText w:val=""/>
      <w:lvlJc w:val="left"/>
      <w:pPr>
        <w:ind w:left="7200" w:hanging="360"/>
      </w:pPr>
      <w:rPr>
        <w:rFonts w:ascii="Wingdings" w:hAnsi="Wingdings" w:hint="default"/>
      </w:rPr>
    </w:lvl>
  </w:abstractNum>
  <w:abstractNum w:abstractNumId="14" w15:restartNumberingAfterBreak="0">
    <w:nsid w:val="7DF50498"/>
    <w:multiLevelType w:val="hybridMultilevel"/>
    <w:tmpl w:val="CE065D7A"/>
    <w:lvl w:ilvl="0" w:tplc="1B528E76">
      <w:start w:val="1"/>
      <w:numFmt w:val="bullet"/>
      <w:lvlText w:val=""/>
      <w:lvlJc w:val="left"/>
      <w:pPr>
        <w:ind w:left="1440" w:hanging="360"/>
      </w:pPr>
      <w:rPr>
        <w:rFonts w:ascii="Symbol" w:hAnsi="Symbol" w:hint="default"/>
      </w:rPr>
    </w:lvl>
    <w:lvl w:ilvl="1" w:tplc="F03E1E02" w:tentative="1">
      <w:start w:val="1"/>
      <w:numFmt w:val="bullet"/>
      <w:lvlText w:val="o"/>
      <w:lvlJc w:val="left"/>
      <w:pPr>
        <w:ind w:left="2160" w:hanging="360"/>
      </w:pPr>
      <w:rPr>
        <w:rFonts w:ascii="Courier New" w:hAnsi="Courier New" w:cs="Courier New" w:hint="default"/>
      </w:rPr>
    </w:lvl>
    <w:lvl w:ilvl="2" w:tplc="7AF80BF2" w:tentative="1">
      <w:start w:val="1"/>
      <w:numFmt w:val="bullet"/>
      <w:lvlText w:val=""/>
      <w:lvlJc w:val="left"/>
      <w:pPr>
        <w:ind w:left="2880" w:hanging="360"/>
      </w:pPr>
      <w:rPr>
        <w:rFonts w:ascii="Wingdings" w:hAnsi="Wingdings" w:hint="default"/>
      </w:rPr>
    </w:lvl>
    <w:lvl w:ilvl="3" w:tplc="928A358A" w:tentative="1">
      <w:start w:val="1"/>
      <w:numFmt w:val="bullet"/>
      <w:lvlText w:val=""/>
      <w:lvlJc w:val="left"/>
      <w:pPr>
        <w:ind w:left="3600" w:hanging="360"/>
      </w:pPr>
      <w:rPr>
        <w:rFonts w:ascii="Symbol" w:hAnsi="Symbol" w:hint="default"/>
      </w:rPr>
    </w:lvl>
    <w:lvl w:ilvl="4" w:tplc="4662806A" w:tentative="1">
      <w:start w:val="1"/>
      <w:numFmt w:val="bullet"/>
      <w:lvlText w:val="o"/>
      <w:lvlJc w:val="left"/>
      <w:pPr>
        <w:ind w:left="4320" w:hanging="360"/>
      </w:pPr>
      <w:rPr>
        <w:rFonts w:ascii="Courier New" w:hAnsi="Courier New" w:cs="Courier New" w:hint="default"/>
      </w:rPr>
    </w:lvl>
    <w:lvl w:ilvl="5" w:tplc="F558C94C" w:tentative="1">
      <w:start w:val="1"/>
      <w:numFmt w:val="bullet"/>
      <w:lvlText w:val=""/>
      <w:lvlJc w:val="left"/>
      <w:pPr>
        <w:ind w:left="5040" w:hanging="360"/>
      </w:pPr>
      <w:rPr>
        <w:rFonts w:ascii="Wingdings" w:hAnsi="Wingdings" w:hint="default"/>
      </w:rPr>
    </w:lvl>
    <w:lvl w:ilvl="6" w:tplc="1898CCDC" w:tentative="1">
      <w:start w:val="1"/>
      <w:numFmt w:val="bullet"/>
      <w:lvlText w:val=""/>
      <w:lvlJc w:val="left"/>
      <w:pPr>
        <w:ind w:left="5760" w:hanging="360"/>
      </w:pPr>
      <w:rPr>
        <w:rFonts w:ascii="Symbol" w:hAnsi="Symbol" w:hint="default"/>
      </w:rPr>
    </w:lvl>
    <w:lvl w:ilvl="7" w:tplc="B0147378" w:tentative="1">
      <w:start w:val="1"/>
      <w:numFmt w:val="bullet"/>
      <w:lvlText w:val="o"/>
      <w:lvlJc w:val="left"/>
      <w:pPr>
        <w:ind w:left="6480" w:hanging="360"/>
      </w:pPr>
      <w:rPr>
        <w:rFonts w:ascii="Courier New" w:hAnsi="Courier New" w:cs="Courier New" w:hint="default"/>
      </w:rPr>
    </w:lvl>
    <w:lvl w:ilvl="8" w:tplc="6652ED84" w:tentative="1">
      <w:start w:val="1"/>
      <w:numFmt w:val="bullet"/>
      <w:lvlText w:val=""/>
      <w:lvlJc w:val="left"/>
      <w:pPr>
        <w:ind w:left="7200" w:hanging="360"/>
      </w:pPr>
      <w:rPr>
        <w:rFonts w:ascii="Wingdings" w:hAnsi="Wingdings" w:hint="default"/>
      </w:rPr>
    </w:lvl>
  </w:abstractNum>
  <w:abstractNum w:abstractNumId="15" w15:restartNumberingAfterBreak="0">
    <w:nsid w:val="7EAF54DF"/>
    <w:multiLevelType w:val="hybridMultilevel"/>
    <w:tmpl w:val="8FB223CC"/>
    <w:lvl w:ilvl="0" w:tplc="3EC8ED1A">
      <w:start w:val="1"/>
      <w:numFmt w:val="bullet"/>
      <w:lvlText w:val=""/>
      <w:lvlJc w:val="left"/>
      <w:pPr>
        <w:ind w:left="1440" w:hanging="360"/>
      </w:pPr>
      <w:rPr>
        <w:rFonts w:ascii="Symbol" w:hAnsi="Symbol" w:hint="default"/>
      </w:rPr>
    </w:lvl>
    <w:lvl w:ilvl="1" w:tplc="AE3CA336" w:tentative="1">
      <w:start w:val="1"/>
      <w:numFmt w:val="bullet"/>
      <w:lvlText w:val="o"/>
      <w:lvlJc w:val="left"/>
      <w:pPr>
        <w:ind w:left="2160" w:hanging="360"/>
      </w:pPr>
      <w:rPr>
        <w:rFonts w:ascii="Courier New" w:hAnsi="Courier New" w:cs="Courier New" w:hint="default"/>
      </w:rPr>
    </w:lvl>
    <w:lvl w:ilvl="2" w:tplc="FF1C7B1E" w:tentative="1">
      <w:start w:val="1"/>
      <w:numFmt w:val="bullet"/>
      <w:lvlText w:val=""/>
      <w:lvlJc w:val="left"/>
      <w:pPr>
        <w:ind w:left="2880" w:hanging="360"/>
      </w:pPr>
      <w:rPr>
        <w:rFonts w:ascii="Wingdings" w:hAnsi="Wingdings" w:hint="default"/>
      </w:rPr>
    </w:lvl>
    <w:lvl w:ilvl="3" w:tplc="9FC6FEBE" w:tentative="1">
      <w:start w:val="1"/>
      <w:numFmt w:val="bullet"/>
      <w:lvlText w:val=""/>
      <w:lvlJc w:val="left"/>
      <w:pPr>
        <w:ind w:left="3600" w:hanging="360"/>
      </w:pPr>
      <w:rPr>
        <w:rFonts w:ascii="Symbol" w:hAnsi="Symbol" w:hint="default"/>
      </w:rPr>
    </w:lvl>
    <w:lvl w:ilvl="4" w:tplc="7BB8DFF4" w:tentative="1">
      <w:start w:val="1"/>
      <w:numFmt w:val="bullet"/>
      <w:lvlText w:val="o"/>
      <w:lvlJc w:val="left"/>
      <w:pPr>
        <w:ind w:left="4320" w:hanging="360"/>
      </w:pPr>
      <w:rPr>
        <w:rFonts w:ascii="Courier New" w:hAnsi="Courier New" w:cs="Courier New" w:hint="default"/>
      </w:rPr>
    </w:lvl>
    <w:lvl w:ilvl="5" w:tplc="2F789CD2" w:tentative="1">
      <w:start w:val="1"/>
      <w:numFmt w:val="bullet"/>
      <w:lvlText w:val=""/>
      <w:lvlJc w:val="left"/>
      <w:pPr>
        <w:ind w:left="5040" w:hanging="360"/>
      </w:pPr>
      <w:rPr>
        <w:rFonts w:ascii="Wingdings" w:hAnsi="Wingdings" w:hint="default"/>
      </w:rPr>
    </w:lvl>
    <w:lvl w:ilvl="6" w:tplc="AC8CFC8C" w:tentative="1">
      <w:start w:val="1"/>
      <w:numFmt w:val="bullet"/>
      <w:lvlText w:val=""/>
      <w:lvlJc w:val="left"/>
      <w:pPr>
        <w:ind w:left="5760" w:hanging="360"/>
      </w:pPr>
      <w:rPr>
        <w:rFonts w:ascii="Symbol" w:hAnsi="Symbol" w:hint="default"/>
      </w:rPr>
    </w:lvl>
    <w:lvl w:ilvl="7" w:tplc="26E21CF4" w:tentative="1">
      <w:start w:val="1"/>
      <w:numFmt w:val="bullet"/>
      <w:lvlText w:val="o"/>
      <w:lvlJc w:val="left"/>
      <w:pPr>
        <w:ind w:left="6480" w:hanging="360"/>
      </w:pPr>
      <w:rPr>
        <w:rFonts w:ascii="Courier New" w:hAnsi="Courier New" w:cs="Courier New" w:hint="default"/>
      </w:rPr>
    </w:lvl>
    <w:lvl w:ilvl="8" w:tplc="FC1207CC" w:tentative="1">
      <w:start w:val="1"/>
      <w:numFmt w:val="bullet"/>
      <w:lvlText w:val=""/>
      <w:lvlJc w:val="left"/>
      <w:pPr>
        <w:ind w:left="7200" w:hanging="360"/>
      </w:pPr>
      <w:rPr>
        <w:rFonts w:ascii="Wingdings" w:hAnsi="Wingdings" w:hint="default"/>
      </w:rPr>
    </w:lvl>
  </w:abstractNum>
  <w:num w:numId="1" w16cid:durableId="1211654292">
    <w:abstractNumId w:val="3"/>
  </w:num>
  <w:num w:numId="2" w16cid:durableId="1864631257">
    <w:abstractNumId w:val="8"/>
  </w:num>
  <w:num w:numId="3" w16cid:durableId="1505702623">
    <w:abstractNumId w:val="7"/>
  </w:num>
  <w:num w:numId="4" w16cid:durableId="1665814996">
    <w:abstractNumId w:val="9"/>
  </w:num>
  <w:num w:numId="5" w16cid:durableId="2015572857">
    <w:abstractNumId w:val="3"/>
    <w:lvlOverride w:ilvl="0">
      <w:startOverride w:val="1"/>
    </w:lvlOverride>
  </w:num>
  <w:num w:numId="6" w16cid:durableId="1993411169">
    <w:abstractNumId w:val="3"/>
    <w:lvlOverride w:ilvl="0">
      <w:startOverride w:val="1"/>
    </w:lvlOverride>
  </w:num>
  <w:num w:numId="7" w16cid:durableId="1854876214">
    <w:abstractNumId w:val="3"/>
    <w:lvlOverride w:ilvl="0">
      <w:startOverride w:val="1"/>
    </w:lvlOverride>
  </w:num>
  <w:num w:numId="8" w16cid:durableId="201944307">
    <w:abstractNumId w:val="3"/>
    <w:lvlOverride w:ilvl="0">
      <w:startOverride w:val="1"/>
    </w:lvlOverride>
  </w:num>
  <w:num w:numId="9" w16cid:durableId="1094011653">
    <w:abstractNumId w:val="3"/>
    <w:lvlOverride w:ilvl="0">
      <w:startOverride w:val="1"/>
    </w:lvlOverride>
  </w:num>
  <w:num w:numId="10" w16cid:durableId="1576431508">
    <w:abstractNumId w:val="3"/>
    <w:lvlOverride w:ilvl="0">
      <w:startOverride w:val="1"/>
    </w:lvlOverride>
  </w:num>
  <w:num w:numId="11" w16cid:durableId="1109542922">
    <w:abstractNumId w:val="3"/>
    <w:lvlOverride w:ilvl="0">
      <w:startOverride w:val="1"/>
    </w:lvlOverride>
  </w:num>
  <w:num w:numId="12" w16cid:durableId="1462654237">
    <w:abstractNumId w:val="3"/>
    <w:lvlOverride w:ilvl="0">
      <w:startOverride w:val="1"/>
    </w:lvlOverride>
  </w:num>
  <w:num w:numId="13" w16cid:durableId="1060984002">
    <w:abstractNumId w:val="3"/>
    <w:lvlOverride w:ilvl="0">
      <w:startOverride w:val="1"/>
    </w:lvlOverride>
  </w:num>
  <w:num w:numId="14" w16cid:durableId="877469449">
    <w:abstractNumId w:val="3"/>
    <w:lvlOverride w:ilvl="0">
      <w:startOverride w:val="1"/>
    </w:lvlOverride>
  </w:num>
  <w:num w:numId="15" w16cid:durableId="182091304">
    <w:abstractNumId w:val="3"/>
    <w:lvlOverride w:ilvl="0">
      <w:startOverride w:val="1"/>
    </w:lvlOverride>
  </w:num>
  <w:num w:numId="16" w16cid:durableId="1618023891">
    <w:abstractNumId w:val="3"/>
    <w:lvlOverride w:ilvl="0">
      <w:startOverride w:val="1"/>
    </w:lvlOverride>
  </w:num>
  <w:num w:numId="17" w16cid:durableId="1504318154">
    <w:abstractNumId w:val="3"/>
    <w:lvlOverride w:ilvl="0">
      <w:startOverride w:val="1"/>
    </w:lvlOverride>
  </w:num>
  <w:num w:numId="18" w16cid:durableId="1574201697">
    <w:abstractNumId w:val="2"/>
  </w:num>
  <w:num w:numId="19" w16cid:durableId="367606939">
    <w:abstractNumId w:val="10"/>
  </w:num>
  <w:num w:numId="20" w16cid:durableId="1730377772">
    <w:abstractNumId w:val="11"/>
  </w:num>
  <w:num w:numId="21" w16cid:durableId="1184979644">
    <w:abstractNumId w:val="8"/>
    <w:lvlOverride w:ilvl="0">
      <w:startOverride w:val="1"/>
    </w:lvlOverride>
  </w:num>
  <w:num w:numId="22" w16cid:durableId="729427565">
    <w:abstractNumId w:val="15"/>
  </w:num>
  <w:num w:numId="23" w16cid:durableId="1445347012">
    <w:abstractNumId w:val="7"/>
    <w:lvlOverride w:ilvl="0">
      <w:startOverride w:val="1"/>
    </w:lvlOverride>
  </w:num>
  <w:num w:numId="24" w16cid:durableId="398942712">
    <w:abstractNumId w:val="13"/>
  </w:num>
  <w:num w:numId="25" w16cid:durableId="1926064605">
    <w:abstractNumId w:val="7"/>
    <w:lvlOverride w:ilvl="0">
      <w:startOverride w:val="1"/>
    </w:lvlOverride>
  </w:num>
  <w:num w:numId="26" w16cid:durableId="1951817568">
    <w:abstractNumId w:val="4"/>
  </w:num>
  <w:num w:numId="27" w16cid:durableId="1479683886">
    <w:abstractNumId w:val="14"/>
  </w:num>
  <w:num w:numId="28" w16cid:durableId="705714102">
    <w:abstractNumId w:val="6"/>
  </w:num>
  <w:num w:numId="29" w16cid:durableId="955021993">
    <w:abstractNumId w:val="1"/>
  </w:num>
  <w:num w:numId="30" w16cid:durableId="558173105">
    <w:abstractNumId w:val="12"/>
  </w:num>
  <w:num w:numId="31" w16cid:durableId="516509364">
    <w:abstractNumId w:val="8"/>
    <w:lvlOverride w:ilvl="0">
      <w:startOverride w:val="1"/>
    </w:lvlOverride>
  </w:num>
  <w:num w:numId="32" w16cid:durableId="747653676">
    <w:abstractNumId w:val="5"/>
  </w:num>
  <w:num w:numId="33" w16cid:durableId="1265378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removePersonalInformation/>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25"/>
    <w:rsid w:val="00341F06"/>
    <w:rsid w:val="005F2061"/>
    <w:rsid w:val="009005AF"/>
    <w:rsid w:val="00A94ACE"/>
    <w:rsid w:val="00AD3A06"/>
    <w:rsid w:val="00BA0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813BB"/>
    <w:pPr>
      <w:ind w:firstLine="720"/>
    </w:pPr>
  </w:style>
  <w:style w:type="paragraph" w:styleId="Heading1">
    <w:name w:val="heading 1"/>
    <w:basedOn w:val="Normal"/>
    <w:next w:val="Normal"/>
    <w:link w:val="Heading1Char"/>
    <w:uiPriority w:val="1"/>
    <w:qFormat/>
    <w:rsid w:val="00D92215"/>
    <w:pPr>
      <w:keepNext/>
      <w:numPr>
        <w:numId w:val="1"/>
      </w:numPr>
      <w:jc w:val="center"/>
      <w:outlineLvl w:val="0"/>
    </w:pPr>
    <w:rPr>
      <w:rFonts w:cs="Times New Roman"/>
      <w:b/>
      <w:bCs/>
      <w:caps/>
    </w:rPr>
  </w:style>
  <w:style w:type="paragraph" w:styleId="Heading2">
    <w:name w:val="heading 2"/>
    <w:basedOn w:val="ListParagraph"/>
    <w:next w:val="Normal"/>
    <w:link w:val="Heading2Char"/>
    <w:uiPriority w:val="2"/>
    <w:qFormat/>
    <w:rsid w:val="007B005C"/>
    <w:pPr>
      <w:keepNext/>
      <w:numPr>
        <w:numId w:val="2"/>
      </w:numPr>
      <w:tabs>
        <w:tab w:val="left" w:pos="360"/>
      </w:tabs>
      <w:spacing w:after="120" w:line="240" w:lineRule="auto"/>
      <w:outlineLvl w:val="1"/>
    </w:pPr>
    <w:rPr>
      <w:rFonts w:cs="Times New Roman"/>
      <w:b/>
      <w:i/>
    </w:rPr>
  </w:style>
  <w:style w:type="paragraph" w:styleId="Heading3">
    <w:name w:val="heading 3"/>
    <w:basedOn w:val="ListParagraph"/>
    <w:next w:val="Normal"/>
    <w:link w:val="Heading3Char"/>
    <w:uiPriority w:val="3"/>
    <w:qFormat/>
    <w:rsid w:val="000775C3"/>
    <w:pPr>
      <w:keepNext/>
      <w:numPr>
        <w:numId w:val="3"/>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0775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215"/>
    <w:rPr>
      <w:rFonts w:cs="Times New Roman"/>
      <w:b/>
      <w:bCs/>
      <w:cap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7B005C"/>
    <w:rPr>
      <w:rFonts w:cs="Times New Roman"/>
      <w:b/>
      <w:i/>
    </w:rPr>
  </w:style>
  <w:style w:type="character" w:customStyle="1" w:styleId="Heading3Char">
    <w:name w:val="Heading 3 Char"/>
    <w:basedOn w:val="DefaultParagraphFont"/>
    <w:link w:val="Heading3"/>
    <w:uiPriority w:val="3"/>
    <w:rsid w:val="00944C2C"/>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DB0E83"/>
    <w:pPr>
      <w:spacing w:after="120" w:line="240" w:lineRule="auto"/>
    </w:pPr>
    <w:rPr>
      <w:szCs w:val="20"/>
    </w:rPr>
  </w:style>
  <w:style w:type="character" w:customStyle="1" w:styleId="FootnoteTextChar">
    <w:name w:val="Footnote Text Char"/>
    <w:basedOn w:val="DefaultParagraphFont"/>
    <w:link w:val="FootnoteText"/>
    <w:uiPriority w:val="99"/>
    <w:rsid w:val="00DB0E83"/>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34"/>
    <w:rsid w:val="000775C3"/>
    <w:pPr>
      <w:ind w:left="720"/>
      <w:contextualSpacing/>
    </w:pPr>
  </w:style>
  <w:style w:type="paragraph" w:customStyle="1" w:styleId="Footnote">
    <w:name w:val="Footnote"/>
    <w:basedOn w:val="FootnoteText"/>
    <w:link w:val="FootnoteChar"/>
    <w:uiPriority w:val="9"/>
    <w:qFormat/>
    <w:rsid w:val="00750DF6"/>
    <w:rPr>
      <w:szCs w:val="26"/>
    </w:rPr>
  </w:style>
  <w:style w:type="character" w:customStyle="1" w:styleId="Heading5Char">
    <w:name w:val="Heading 5 Char"/>
    <w:basedOn w:val="DefaultParagraphFont"/>
    <w:link w:val="Heading5"/>
    <w:uiPriority w:val="9"/>
    <w:rsid w:val="000775C3"/>
    <w:rPr>
      <w:rFonts w:asciiTheme="majorHAnsi" w:eastAsiaTheme="majorEastAsia" w:hAnsiTheme="majorHAnsi" w:cstheme="majorBidi"/>
      <w:color w:val="2F5496" w:themeColor="accent1" w:themeShade="BF"/>
    </w:rPr>
  </w:style>
  <w:style w:type="character" w:customStyle="1" w:styleId="FootnoteChar">
    <w:name w:val="Footnote Char"/>
    <w:basedOn w:val="FootnoteTextChar"/>
    <w:link w:val="Footnote"/>
    <w:uiPriority w:val="9"/>
    <w:rsid w:val="00750DF6"/>
    <w:rPr>
      <w:szCs w:val="20"/>
    </w:rPr>
  </w:style>
  <w:style w:type="paragraph" w:customStyle="1" w:styleId="FootnoteText0">
    <w:name w:val="FootnoteText"/>
    <w:basedOn w:val="ListParagraph"/>
    <w:uiPriority w:val="99"/>
    <w:semiHidden/>
    <w:rsid w:val="00146202"/>
  </w:style>
  <w:style w:type="character" w:customStyle="1" w:styleId="costarpage">
    <w:name w:val="co_starpage"/>
    <w:basedOn w:val="DefaultParagraphFont"/>
    <w:rsid w:val="005E3587"/>
  </w:style>
  <w:style w:type="character" w:styleId="Emphasis">
    <w:name w:val="Emphasis"/>
    <w:basedOn w:val="DefaultParagraphFont"/>
    <w:uiPriority w:val="20"/>
    <w:qFormat/>
    <w:rsid w:val="00874245"/>
    <w:rPr>
      <w:i/>
      <w:iCs/>
    </w:rPr>
  </w:style>
  <w:style w:type="paragraph" w:styleId="Revision">
    <w:name w:val="Revision"/>
    <w:hidden/>
    <w:uiPriority w:val="99"/>
    <w:semiHidden/>
    <w:rsid w:val="007F277B"/>
    <w:pPr>
      <w:spacing w:line="240" w:lineRule="auto"/>
    </w:pPr>
  </w:style>
  <w:style w:type="character" w:styleId="CommentReference">
    <w:name w:val="annotation reference"/>
    <w:basedOn w:val="DefaultParagraphFont"/>
    <w:uiPriority w:val="99"/>
    <w:semiHidden/>
    <w:unhideWhenUsed/>
    <w:rsid w:val="00091691"/>
    <w:rPr>
      <w:sz w:val="16"/>
      <w:szCs w:val="16"/>
    </w:rPr>
  </w:style>
  <w:style w:type="paragraph" w:styleId="CommentText">
    <w:name w:val="annotation text"/>
    <w:basedOn w:val="Normal"/>
    <w:link w:val="CommentTextChar"/>
    <w:uiPriority w:val="99"/>
    <w:unhideWhenUsed/>
    <w:rsid w:val="00091691"/>
    <w:pPr>
      <w:spacing w:line="240" w:lineRule="auto"/>
    </w:pPr>
    <w:rPr>
      <w:sz w:val="20"/>
      <w:szCs w:val="20"/>
    </w:rPr>
  </w:style>
  <w:style w:type="character" w:customStyle="1" w:styleId="CommentTextChar">
    <w:name w:val="Comment Text Char"/>
    <w:basedOn w:val="DefaultParagraphFont"/>
    <w:link w:val="CommentText"/>
    <w:uiPriority w:val="99"/>
    <w:rsid w:val="00091691"/>
    <w:rPr>
      <w:sz w:val="20"/>
      <w:szCs w:val="20"/>
    </w:rPr>
  </w:style>
  <w:style w:type="paragraph" w:styleId="CommentSubject">
    <w:name w:val="annotation subject"/>
    <w:basedOn w:val="CommentText"/>
    <w:next w:val="CommentText"/>
    <w:link w:val="CommentSubjectChar"/>
    <w:uiPriority w:val="99"/>
    <w:semiHidden/>
    <w:unhideWhenUsed/>
    <w:rsid w:val="00091691"/>
    <w:rPr>
      <w:b/>
      <w:bCs/>
    </w:rPr>
  </w:style>
  <w:style w:type="character" w:customStyle="1" w:styleId="CommentSubjectChar">
    <w:name w:val="Comment Subject Char"/>
    <w:basedOn w:val="CommentTextChar"/>
    <w:link w:val="CommentSubject"/>
    <w:uiPriority w:val="99"/>
    <w:semiHidden/>
    <w:rsid w:val="00091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9254</Words>
  <Characters>47347</Characters>
  <Application>Microsoft Office Word</Application>
  <DocSecurity>0</DocSecurity>
  <Lines>831</Lines>
  <Paragraphs>118</Paragraphs>
  <ScaleCrop>false</ScaleCrop>
  <Manager/>
  <Company/>
  <LinksUpToDate>false</LinksUpToDate>
  <CharactersWithSpaces>56939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2024-06-28T22:50:00Z</dcterms:created>
  <dcterms:modified xsi:type="dcterms:W3CDTF">2024-06-28T22:50:00Z</dcterms:modified>
  <cp:category/>
</cp:coreProperties>
</file>