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254DA" w:rsidP="006254DA">
      <w:pPr>
        <w:spacing w:line="240" w:lineRule="auto"/>
        <w:rPr>
          <w:rFonts w:ascii="Century Schoolbook" w:hAnsi="Century Schoolbook"/>
          <w:sz w:val="20"/>
          <w:szCs w:val="26"/>
        </w:rPr>
      </w:pPr>
      <w:r>
        <w:rPr>
          <w:rFonts w:ascii="Century Schoolbook" w:hAnsi="Century Schoolbook"/>
          <w:sz w:val="20"/>
          <w:szCs w:val="26"/>
        </w:rPr>
        <w:t xml:space="preserve">Filed </w:t>
      </w:r>
      <w:r w:rsidR="00642639">
        <w:rPr>
          <w:rFonts w:ascii="Century Schoolbook" w:hAnsi="Century Schoolbook"/>
          <w:sz w:val="20"/>
          <w:szCs w:val="26"/>
        </w:rPr>
        <w:t>5/14/24</w:t>
      </w:r>
    </w:p>
    <w:p w:rsidR="006254DA" w:rsidP="006254DA">
      <w:pPr>
        <w:spacing w:line="240" w:lineRule="auto"/>
        <w:jc w:val="center"/>
        <w:rPr>
          <w:rFonts w:ascii="Century Schoolbook" w:hAnsi="Century Schoolbook"/>
          <w:b/>
          <w:szCs w:val="26"/>
        </w:rPr>
      </w:pPr>
      <w:r>
        <w:rPr>
          <w:rFonts w:ascii="Century Schoolbook" w:hAnsi="Century Schoolbook"/>
          <w:b/>
          <w:szCs w:val="26"/>
        </w:rPr>
        <w:t>CERTIFIED FOR PUBLICATION</w:t>
      </w:r>
    </w:p>
    <w:p w:rsidR="006254DA" w:rsidP="006254DA">
      <w:pPr>
        <w:spacing w:line="240" w:lineRule="auto"/>
        <w:jc w:val="center"/>
        <w:rPr>
          <w:rFonts w:ascii="Century Schoolbook" w:hAnsi="Century Schoolbook"/>
          <w:szCs w:val="26"/>
        </w:rPr>
      </w:pPr>
    </w:p>
    <w:p w:rsidR="00F94B28" w:rsidRPr="003C38B8" w:rsidP="006254DA">
      <w:pPr>
        <w:spacing w:line="240" w:lineRule="auto"/>
        <w:jc w:val="center"/>
        <w:rPr>
          <w:rFonts w:ascii="Century Schoolbook" w:hAnsi="Century Schoolbook"/>
          <w:szCs w:val="26"/>
        </w:rPr>
      </w:pPr>
      <w:r w:rsidRPr="003C38B8">
        <w:rPr>
          <w:rFonts w:ascii="Century Schoolbook" w:hAnsi="Century Schoolbook"/>
          <w:szCs w:val="26"/>
        </w:rPr>
        <w:t>IN THE COURT OF APPEAL OF THE STATE OF CALIFORNIA</w:t>
      </w:r>
    </w:p>
    <w:p w:rsidR="00C0565C" w:rsidRPr="003C38B8" w:rsidP="00C0565C">
      <w:pPr>
        <w:spacing w:line="240" w:lineRule="auto"/>
        <w:jc w:val="center"/>
        <w:rPr>
          <w:rFonts w:ascii="Century Schoolbook" w:hAnsi="Century Schoolbook"/>
          <w:szCs w:val="26"/>
        </w:rPr>
      </w:pPr>
    </w:p>
    <w:p w:rsidR="00C0565C" w:rsidRPr="003C38B8" w:rsidP="00C0565C">
      <w:pPr>
        <w:spacing w:line="240" w:lineRule="auto"/>
        <w:jc w:val="center"/>
        <w:rPr>
          <w:rFonts w:ascii="Century Schoolbook" w:hAnsi="Century Schoolbook"/>
          <w:szCs w:val="26"/>
        </w:rPr>
      </w:pPr>
      <w:r w:rsidRPr="003C38B8">
        <w:rPr>
          <w:rFonts w:ascii="Century Schoolbook" w:hAnsi="Century Schoolbook"/>
          <w:szCs w:val="26"/>
        </w:rPr>
        <w:t>FIRST APPELLATE DISTRICT</w:t>
      </w:r>
    </w:p>
    <w:p w:rsidR="00C0565C" w:rsidRPr="003C38B8" w:rsidP="00C0565C">
      <w:pPr>
        <w:spacing w:line="240" w:lineRule="auto"/>
        <w:jc w:val="center"/>
        <w:rPr>
          <w:rFonts w:ascii="Century Schoolbook" w:hAnsi="Century Schoolbook"/>
          <w:szCs w:val="26"/>
        </w:rPr>
      </w:pPr>
    </w:p>
    <w:p w:rsidR="00C0565C" w:rsidRPr="003C38B8" w:rsidP="00C0565C">
      <w:pPr>
        <w:spacing w:line="240" w:lineRule="auto"/>
        <w:jc w:val="center"/>
        <w:rPr>
          <w:rFonts w:ascii="Century Schoolbook" w:hAnsi="Century Schoolbook"/>
          <w:szCs w:val="26"/>
        </w:rPr>
      </w:pPr>
      <w:r w:rsidRPr="003C38B8">
        <w:rPr>
          <w:rFonts w:ascii="Century Schoolbook" w:hAnsi="Century Schoolbook"/>
          <w:szCs w:val="26"/>
        </w:rPr>
        <w:t xml:space="preserve">DIVISION </w:t>
      </w:r>
      <w:r w:rsidR="00741002">
        <w:rPr>
          <w:rFonts w:ascii="Century Schoolbook" w:hAnsi="Century Schoolbook"/>
          <w:szCs w:val="26"/>
        </w:rPr>
        <w:t>THREE</w:t>
      </w:r>
    </w:p>
    <w:p w:rsidR="00C0565C" w:rsidRPr="003C38B8" w:rsidP="00C0565C">
      <w:pPr>
        <w:spacing w:line="240" w:lineRule="auto"/>
        <w:jc w:val="center"/>
        <w:rPr>
          <w:rFonts w:ascii="Century Schoolbook" w:hAnsi="Century Schoolbook"/>
          <w:szCs w:val="26"/>
        </w:rPr>
      </w:pPr>
    </w:p>
    <w:p w:rsidR="00C0565C" w:rsidRPr="003C38B8" w:rsidP="00C0565C">
      <w:pPr>
        <w:spacing w:line="240" w:lineRule="auto"/>
        <w:jc w:val="center"/>
        <w:rPr>
          <w:rFonts w:ascii="Century Schoolbook" w:hAnsi="Century Schoolbook"/>
          <w:szCs w:val="26"/>
        </w:rPr>
      </w:pPr>
    </w:p>
    <w:tbl>
      <w:tblPr>
        <w:tblW w:w="0" w:type="auto"/>
        <w:tblInd w:w="0" w:type="dxa"/>
        <w:tblLayout w:type="fixed"/>
        <w:tblCellMar>
          <w:top w:w="0" w:type="dxa"/>
          <w:left w:w="108" w:type="dxa"/>
          <w:bottom w:w="0" w:type="dxa"/>
          <w:right w:w="108" w:type="dxa"/>
        </w:tblCellMar>
        <w:tblLook w:val="0000"/>
      </w:tblPr>
      <w:tblGrid>
        <w:gridCol w:w="4770"/>
        <w:gridCol w:w="4590"/>
      </w:tblGrid>
      <w:tr w:rsidTr="00602F1A">
        <w:tblPrEx>
          <w:tblW w:w="0" w:type="auto"/>
          <w:tblInd w:w="0" w:type="dxa"/>
          <w:tblLayout w:type="fixed"/>
          <w:tblCellMar>
            <w:top w:w="0" w:type="dxa"/>
            <w:left w:w="108" w:type="dxa"/>
            <w:bottom w:w="0" w:type="dxa"/>
            <w:right w:w="108" w:type="dxa"/>
          </w:tblCellMar>
          <w:tblLook w:val="0000"/>
        </w:tblPrEx>
        <w:tc>
          <w:tcPr>
            <w:tcW w:w="4770" w:type="dxa"/>
            <w:tcBorders>
              <w:bottom w:val="single" w:sz="4" w:space="0" w:color="auto"/>
              <w:right w:val="single" w:sz="4" w:space="0" w:color="auto"/>
            </w:tcBorders>
            <w:shd w:val="clear" w:color="auto" w:fill="auto"/>
          </w:tcPr>
          <w:p w:rsidR="00C0565C" w:rsidRPr="00814E6A" w:rsidP="00C0565C">
            <w:pPr>
              <w:tabs>
                <w:tab w:val="left" w:pos="720"/>
              </w:tabs>
              <w:spacing w:after="120" w:line="240" w:lineRule="auto"/>
              <w:rPr>
                <w:rStyle w:val="DefaultParagraphFont"/>
                <w:rFonts w:ascii="Century Schoolbook" w:hAnsi="Century Schoolbook" w:eastAsiaTheme="minorHAnsi" w:cs="Times New Roman"/>
                <w:sz w:val="26"/>
                <w:szCs w:val="26"/>
                <w:lang w:val="en-US" w:eastAsia="en-US" w:bidi="ar-SA"/>
              </w:rPr>
            </w:pPr>
            <w:r>
              <w:rPr>
                <w:rFonts w:ascii="Century Schoolbook" w:hAnsi="Century Schoolbook" w:eastAsiaTheme="minorHAnsi" w:cs="Times New Roman"/>
                <w:sz w:val="26"/>
                <w:szCs w:val="26"/>
                <w:lang w:val="en-US" w:eastAsia="en-US" w:bidi="ar-SA"/>
              </w:rPr>
              <w:t>D.K.</w:t>
            </w:r>
            <w:r w:rsidR="00E34E20">
              <w:rPr>
                <w:rFonts w:ascii="Century Schoolbook" w:hAnsi="Century Schoolbook" w:eastAsiaTheme="minorHAnsi" w:cs="Times New Roman"/>
                <w:sz w:val="26"/>
                <w:szCs w:val="26"/>
                <w:lang w:val="en-US" w:eastAsia="en-US" w:bidi="ar-SA"/>
              </w:rPr>
              <w:t>,</w:t>
            </w:r>
          </w:p>
          <w:p w:rsidR="00C0565C" w:rsidRPr="00814E6A" w:rsidP="00C0565C">
            <w:pPr>
              <w:tabs>
                <w:tab w:val="left" w:pos="720"/>
              </w:tabs>
              <w:spacing w:after="120" w:line="240" w:lineRule="auto"/>
              <w:rPr>
                <w:rStyle w:val="DefaultParagraphFont"/>
                <w:rFonts w:ascii="Century Schoolbook" w:hAnsi="Century Schoolbook" w:eastAsiaTheme="minorHAnsi" w:cs="Times New Roman"/>
                <w:sz w:val="26"/>
                <w:szCs w:val="26"/>
                <w:lang w:val="en-US" w:eastAsia="en-US" w:bidi="ar-SA"/>
              </w:rPr>
            </w:pPr>
            <w:r w:rsidRPr="00814E6A">
              <w:rPr>
                <w:rFonts w:ascii="Century Schoolbook" w:hAnsi="Century Schoolbook" w:eastAsiaTheme="minorHAnsi" w:cs="Times New Roman"/>
                <w:sz w:val="26"/>
                <w:szCs w:val="26"/>
                <w:lang w:val="en-US" w:eastAsia="en-US" w:bidi="ar-SA"/>
              </w:rPr>
              <w:tab/>
            </w:r>
            <w:r w:rsidR="005B6CD5">
              <w:rPr>
                <w:rFonts w:ascii="Century Schoolbook" w:hAnsi="Century Schoolbook" w:eastAsiaTheme="minorHAnsi" w:cs="Times New Roman"/>
                <w:sz w:val="26"/>
                <w:szCs w:val="26"/>
                <w:lang w:val="en-US" w:eastAsia="en-US" w:bidi="ar-SA"/>
              </w:rPr>
              <w:t>P</w:t>
            </w:r>
            <w:r w:rsidR="0001215A">
              <w:rPr>
                <w:rFonts w:ascii="Century Schoolbook" w:hAnsi="Century Schoolbook" w:eastAsiaTheme="minorHAnsi" w:cs="Times New Roman"/>
                <w:sz w:val="26"/>
                <w:szCs w:val="26"/>
                <w:lang w:val="en-US" w:eastAsia="en-US" w:bidi="ar-SA"/>
              </w:rPr>
              <w:t>laintiff</w:t>
            </w:r>
            <w:r w:rsidR="005B6CD5">
              <w:rPr>
                <w:rFonts w:ascii="Century Schoolbook" w:hAnsi="Century Schoolbook" w:eastAsiaTheme="minorHAnsi" w:cs="Times New Roman"/>
                <w:sz w:val="26"/>
                <w:szCs w:val="26"/>
                <w:lang w:val="en-US" w:eastAsia="en-US" w:bidi="ar-SA"/>
              </w:rPr>
              <w:t xml:space="preserve"> </w:t>
            </w:r>
            <w:r w:rsidR="00AE3AC3">
              <w:rPr>
                <w:rFonts w:ascii="Century Schoolbook" w:hAnsi="Century Schoolbook" w:eastAsiaTheme="minorHAnsi" w:cs="Times New Roman"/>
                <w:sz w:val="26"/>
                <w:szCs w:val="26"/>
                <w:lang w:val="en-US" w:eastAsia="en-US" w:bidi="ar-SA"/>
              </w:rPr>
              <w:t xml:space="preserve">and </w:t>
            </w:r>
            <w:r w:rsidR="00602F1A">
              <w:rPr>
                <w:rFonts w:ascii="Century Schoolbook" w:hAnsi="Century Schoolbook" w:eastAsiaTheme="minorHAnsi" w:cs="Times New Roman"/>
                <w:sz w:val="26"/>
                <w:szCs w:val="26"/>
                <w:lang w:val="en-US" w:eastAsia="en-US" w:bidi="ar-SA"/>
              </w:rPr>
              <w:t>Appellant</w:t>
            </w:r>
            <w:r w:rsidRPr="00814E6A">
              <w:rPr>
                <w:rFonts w:ascii="Century Schoolbook" w:hAnsi="Century Schoolbook" w:eastAsiaTheme="minorHAnsi" w:cs="Times New Roman"/>
                <w:sz w:val="26"/>
                <w:szCs w:val="26"/>
                <w:lang w:val="en-US" w:eastAsia="en-US" w:bidi="ar-SA"/>
              </w:rPr>
              <w:t>,</w:t>
            </w:r>
          </w:p>
          <w:p w:rsidR="00C0565C" w:rsidP="00C0565C">
            <w:pPr>
              <w:tabs>
                <w:tab w:val="left" w:pos="720"/>
              </w:tabs>
              <w:spacing w:after="120" w:line="240" w:lineRule="auto"/>
              <w:rPr>
                <w:rStyle w:val="DefaultParagraphFont"/>
                <w:rFonts w:ascii="Century Schoolbook" w:hAnsi="Century Schoolbook" w:eastAsiaTheme="minorHAnsi" w:cs="Times New Roman"/>
                <w:sz w:val="26"/>
                <w:szCs w:val="26"/>
                <w:lang w:val="en-US" w:eastAsia="en-US" w:bidi="ar-SA"/>
              </w:rPr>
            </w:pPr>
            <w:r w:rsidRPr="00814E6A">
              <w:rPr>
                <w:rFonts w:ascii="Century Schoolbook" w:hAnsi="Century Schoolbook" w:eastAsiaTheme="minorHAnsi" w:cs="Times New Roman"/>
                <w:sz w:val="26"/>
                <w:szCs w:val="26"/>
                <w:lang w:val="en-US" w:eastAsia="en-US" w:bidi="ar-SA"/>
              </w:rPr>
              <w:t>v.</w:t>
            </w:r>
          </w:p>
          <w:p w:rsidR="00AE3AC3" w:rsidP="00C0565C">
            <w:pPr>
              <w:tabs>
                <w:tab w:val="left" w:pos="720"/>
              </w:tabs>
              <w:spacing w:after="120" w:line="240" w:lineRule="auto"/>
              <w:rPr>
                <w:rStyle w:val="DefaultParagraphFont"/>
                <w:rFonts w:ascii="Century Schoolbook" w:hAnsi="Century Schoolbook" w:eastAsiaTheme="minorHAnsi" w:cs="Times New Roman"/>
                <w:sz w:val="26"/>
                <w:szCs w:val="26"/>
                <w:lang w:val="en-US" w:eastAsia="en-US" w:bidi="ar-SA"/>
              </w:rPr>
            </w:pPr>
            <w:r>
              <w:rPr>
                <w:rFonts w:ascii="Century Schoolbook" w:hAnsi="Century Schoolbook" w:eastAsiaTheme="minorHAnsi" w:cs="Times New Roman"/>
                <w:sz w:val="26"/>
                <w:szCs w:val="26"/>
                <w:lang w:val="en-US" w:eastAsia="en-US" w:bidi="ar-SA"/>
              </w:rPr>
              <w:t>Office of Administrative Hearings</w:t>
            </w:r>
            <w:r>
              <w:rPr>
                <w:rFonts w:ascii="Century Schoolbook" w:hAnsi="Century Schoolbook" w:eastAsiaTheme="minorHAnsi" w:cs="Times New Roman"/>
                <w:sz w:val="26"/>
                <w:szCs w:val="26"/>
                <w:lang w:val="en-US" w:eastAsia="en-US" w:bidi="ar-SA"/>
              </w:rPr>
              <w:t>,</w:t>
            </w:r>
          </w:p>
          <w:p w:rsidR="00C0565C" w:rsidRPr="00814E6A" w:rsidP="004D3427">
            <w:pPr>
              <w:tabs>
                <w:tab w:val="left" w:pos="720"/>
              </w:tabs>
              <w:spacing w:after="120" w:line="240" w:lineRule="auto"/>
              <w:rPr>
                <w:rStyle w:val="DefaultParagraphFont"/>
                <w:rFonts w:ascii="Century Schoolbook" w:hAnsi="Century Schoolbook" w:eastAsiaTheme="minorHAnsi" w:cs="Times New Roman"/>
                <w:sz w:val="26"/>
                <w:szCs w:val="26"/>
                <w:lang w:val="en-US" w:eastAsia="en-US" w:bidi="ar-SA"/>
              </w:rPr>
            </w:pPr>
            <w:r>
              <w:rPr>
                <w:rFonts w:ascii="Century Schoolbook" w:hAnsi="Century Schoolbook" w:eastAsiaTheme="minorHAnsi" w:cs="Times New Roman"/>
                <w:sz w:val="26"/>
                <w:szCs w:val="26"/>
                <w:lang w:val="en-US" w:eastAsia="en-US" w:bidi="ar-SA"/>
              </w:rPr>
              <w:tab/>
              <w:t>Defendant</w:t>
            </w:r>
            <w:r w:rsidR="00E34E20">
              <w:rPr>
                <w:rFonts w:ascii="Century Schoolbook" w:hAnsi="Century Schoolbook" w:eastAsiaTheme="minorHAnsi" w:cs="Times New Roman"/>
                <w:sz w:val="26"/>
                <w:szCs w:val="26"/>
                <w:lang w:val="en-US" w:eastAsia="en-US" w:bidi="ar-SA"/>
              </w:rPr>
              <w:t xml:space="preserve"> and </w:t>
            </w:r>
            <w:r w:rsidR="00602F1A">
              <w:rPr>
                <w:rFonts w:ascii="Century Schoolbook" w:hAnsi="Century Schoolbook" w:eastAsiaTheme="minorHAnsi" w:cs="Times New Roman"/>
                <w:sz w:val="26"/>
                <w:szCs w:val="26"/>
                <w:lang w:val="en-US" w:eastAsia="en-US" w:bidi="ar-SA"/>
              </w:rPr>
              <w:t>Respondent</w:t>
            </w:r>
            <w:r w:rsidR="00D94BC6">
              <w:rPr>
                <w:rFonts w:ascii="Century Schoolbook" w:hAnsi="Century Schoolbook" w:eastAsiaTheme="minorHAnsi" w:cs="Times New Roman"/>
                <w:sz w:val="26"/>
                <w:szCs w:val="26"/>
                <w:lang w:val="en-US" w:eastAsia="en-US" w:bidi="ar-SA"/>
              </w:rPr>
              <w:t>;</w:t>
            </w:r>
          </w:p>
        </w:tc>
        <w:tc>
          <w:tcPr>
            <w:tcW w:w="4590" w:type="dxa"/>
            <w:tcBorders>
              <w:left w:val="single" w:sz="4" w:space="0" w:color="auto"/>
            </w:tcBorders>
            <w:shd w:val="clear" w:color="auto" w:fill="auto"/>
          </w:tcPr>
          <w:p w:rsidR="00C0565C" w:rsidRPr="00814E6A" w:rsidP="00C0565C">
            <w:pPr>
              <w:tabs>
                <w:tab w:val="left" w:pos="720"/>
              </w:tabs>
              <w:spacing w:after="0" w:line="240" w:lineRule="auto"/>
              <w:rPr>
                <w:rStyle w:val="DefaultParagraphFont"/>
                <w:rFonts w:ascii="Century Schoolbook" w:hAnsi="Century Schoolbook" w:eastAsiaTheme="minorHAnsi" w:cs="Times New Roman"/>
                <w:sz w:val="26"/>
                <w:szCs w:val="26"/>
                <w:lang w:val="en-US" w:eastAsia="en-US" w:bidi="ar-SA"/>
              </w:rPr>
            </w:pPr>
          </w:p>
          <w:p w:rsidR="00C0565C" w:rsidRPr="00814E6A" w:rsidP="00C0565C">
            <w:pPr>
              <w:tabs>
                <w:tab w:val="left" w:pos="720"/>
              </w:tabs>
              <w:spacing w:after="0" w:line="240" w:lineRule="auto"/>
              <w:rPr>
                <w:rStyle w:val="DefaultParagraphFont"/>
                <w:rFonts w:ascii="Century Schoolbook" w:hAnsi="Century Schoolbook" w:eastAsiaTheme="minorHAnsi" w:cs="Times New Roman"/>
                <w:sz w:val="26"/>
                <w:szCs w:val="26"/>
                <w:lang w:val="en-US" w:eastAsia="en-US" w:bidi="ar-SA"/>
              </w:rPr>
            </w:pPr>
          </w:p>
          <w:p w:rsidR="00C0565C" w:rsidRPr="00814E6A" w:rsidP="00C0565C">
            <w:pPr>
              <w:tabs>
                <w:tab w:val="left" w:pos="720"/>
              </w:tabs>
              <w:spacing w:after="0" w:line="240" w:lineRule="auto"/>
              <w:rPr>
                <w:rStyle w:val="DefaultParagraphFont"/>
                <w:rFonts w:ascii="Century Schoolbook" w:hAnsi="Century Schoolbook" w:eastAsiaTheme="minorHAnsi" w:cs="Times New Roman"/>
                <w:sz w:val="26"/>
                <w:szCs w:val="26"/>
                <w:lang w:val="en-US" w:eastAsia="en-US" w:bidi="ar-SA"/>
              </w:rPr>
            </w:pPr>
            <w:r w:rsidRPr="00814E6A">
              <w:rPr>
                <w:rFonts w:ascii="Century Schoolbook" w:hAnsi="Century Schoolbook" w:eastAsiaTheme="minorHAnsi" w:cs="Times New Roman"/>
                <w:sz w:val="26"/>
                <w:szCs w:val="26"/>
                <w:lang w:val="en-US" w:eastAsia="en-US" w:bidi="ar-SA"/>
              </w:rPr>
              <w:t xml:space="preserve">      </w:t>
            </w:r>
            <w:r w:rsidR="007C4676">
              <w:rPr>
                <w:rFonts w:ascii="Century Schoolbook" w:hAnsi="Century Schoolbook" w:eastAsiaTheme="minorHAnsi" w:cs="Times New Roman"/>
                <w:sz w:val="26"/>
                <w:szCs w:val="26"/>
                <w:lang w:val="en-US" w:eastAsia="en-US" w:bidi="ar-SA"/>
              </w:rPr>
              <w:t>A16</w:t>
            </w:r>
            <w:r w:rsidR="00602F1A">
              <w:rPr>
                <w:rFonts w:ascii="Century Schoolbook" w:hAnsi="Century Schoolbook" w:eastAsiaTheme="minorHAnsi" w:cs="Times New Roman"/>
                <w:sz w:val="26"/>
                <w:szCs w:val="26"/>
                <w:lang w:val="en-US" w:eastAsia="en-US" w:bidi="ar-SA"/>
              </w:rPr>
              <w:t>7272</w:t>
            </w:r>
          </w:p>
          <w:p w:rsidR="00C0565C" w:rsidRPr="00814E6A" w:rsidP="00C0565C">
            <w:pPr>
              <w:tabs>
                <w:tab w:val="left" w:pos="720"/>
              </w:tabs>
              <w:spacing w:after="0" w:line="240" w:lineRule="auto"/>
              <w:rPr>
                <w:rStyle w:val="DefaultParagraphFont"/>
                <w:rFonts w:ascii="Century Schoolbook" w:hAnsi="Century Schoolbook" w:eastAsiaTheme="minorHAnsi" w:cs="Times New Roman"/>
                <w:sz w:val="26"/>
                <w:szCs w:val="26"/>
                <w:lang w:val="en-US" w:eastAsia="en-US" w:bidi="ar-SA"/>
              </w:rPr>
            </w:pPr>
          </w:p>
          <w:p w:rsidR="00C0565C" w:rsidRPr="00814E6A" w:rsidP="00377B49">
            <w:pPr>
              <w:tabs>
                <w:tab w:val="left" w:pos="720"/>
              </w:tabs>
              <w:spacing w:after="0" w:line="240" w:lineRule="auto"/>
              <w:ind w:left="521" w:hanging="521"/>
              <w:rPr>
                <w:rStyle w:val="DefaultParagraphFont"/>
                <w:rFonts w:ascii="Century Schoolbook" w:hAnsi="Century Schoolbook" w:eastAsiaTheme="minorHAnsi" w:cs="Times New Roman"/>
                <w:sz w:val="26"/>
                <w:szCs w:val="26"/>
                <w:lang w:val="en-US" w:eastAsia="en-US" w:bidi="ar-SA"/>
              </w:rPr>
            </w:pPr>
            <w:r w:rsidRPr="00814E6A">
              <w:rPr>
                <w:rFonts w:ascii="Century Schoolbook" w:hAnsi="Century Schoolbook" w:eastAsiaTheme="minorHAnsi" w:cs="Times New Roman"/>
                <w:sz w:val="26"/>
                <w:szCs w:val="26"/>
                <w:lang w:val="en-US" w:eastAsia="en-US" w:bidi="ar-SA"/>
              </w:rPr>
              <w:t xml:space="preserve">      (</w:t>
            </w:r>
            <w:r w:rsidR="007C4676">
              <w:rPr>
                <w:rFonts w:ascii="Century Schoolbook" w:hAnsi="Century Schoolbook" w:eastAsiaTheme="minorHAnsi" w:cs="Times New Roman"/>
                <w:sz w:val="26"/>
                <w:szCs w:val="26"/>
                <w:lang w:val="en-US" w:eastAsia="en-US" w:bidi="ar-SA"/>
              </w:rPr>
              <w:t>Napa</w:t>
            </w:r>
            <w:r w:rsidR="004D3427">
              <w:rPr>
                <w:rFonts w:ascii="Century Schoolbook" w:hAnsi="Century Schoolbook" w:eastAsiaTheme="minorHAnsi" w:cs="Times New Roman"/>
                <w:sz w:val="26"/>
                <w:szCs w:val="26"/>
                <w:lang w:val="en-US" w:eastAsia="en-US" w:bidi="ar-SA"/>
              </w:rPr>
              <w:t xml:space="preserve"> County</w:t>
            </w:r>
            <w:r w:rsidR="00202C0D">
              <w:rPr>
                <w:rFonts w:ascii="Century Schoolbook" w:hAnsi="Century Schoolbook" w:eastAsiaTheme="minorHAnsi" w:cs="Times New Roman"/>
                <w:sz w:val="26"/>
                <w:szCs w:val="26"/>
                <w:lang w:val="en-US" w:eastAsia="en-US" w:bidi="ar-SA"/>
              </w:rPr>
              <w:t xml:space="preserve"> Super. Ct.</w:t>
            </w:r>
            <w:r w:rsidRPr="00814E6A" w:rsidR="00814E6A">
              <w:rPr>
                <w:rFonts w:ascii="Century Schoolbook" w:hAnsi="Century Schoolbook" w:eastAsiaTheme="minorHAnsi" w:cs="Times New Roman"/>
                <w:sz w:val="26"/>
                <w:szCs w:val="26"/>
                <w:lang w:val="en-US" w:eastAsia="en-US" w:bidi="ar-SA"/>
              </w:rPr>
              <w:br/>
            </w:r>
            <w:r w:rsidRPr="00814E6A">
              <w:rPr>
                <w:rFonts w:ascii="Century Schoolbook" w:hAnsi="Century Schoolbook" w:eastAsiaTheme="minorHAnsi" w:cs="Times New Roman"/>
                <w:sz w:val="26"/>
                <w:szCs w:val="26"/>
                <w:lang w:val="en-US" w:eastAsia="en-US" w:bidi="ar-SA"/>
              </w:rPr>
              <w:t xml:space="preserve">No. </w:t>
            </w:r>
            <w:r w:rsidR="00602F1A">
              <w:rPr>
                <w:rFonts w:ascii="Century Schoolbook" w:hAnsi="Century Schoolbook" w:eastAsiaTheme="minorHAnsi" w:cs="Times New Roman"/>
                <w:sz w:val="26"/>
                <w:szCs w:val="26"/>
                <w:lang w:val="en-US" w:eastAsia="en-US" w:bidi="ar-SA"/>
              </w:rPr>
              <w:t>23</w:t>
            </w:r>
            <w:r w:rsidR="007C4676">
              <w:rPr>
                <w:rFonts w:ascii="Century Schoolbook" w:hAnsi="Century Schoolbook" w:eastAsiaTheme="minorHAnsi" w:cs="Times New Roman"/>
                <w:sz w:val="26"/>
                <w:szCs w:val="26"/>
                <w:lang w:val="en-US" w:eastAsia="en-US" w:bidi="ar-SA"/>
              </w:rPr>
              <w:t>-C</w:t>
            </w:r>
            <w:r w:rsidR="00602F1A">
              <w:rPr>
                <w:rFonts w:ascii="Century Schoolbook" w:hAnsi="Century Schoolbook" w:eastAsiaTheme="minorHAnsi" w:cs="Times New Roman"/>
                <w:sz w:val="26"/>
                <w:szCs w:val="26"/>
                <w:lang w:val="en-US" w:eastAsia="en-US" w:bidi="ar-SA"/>
              </w:rPr>
              <w:t>V</w:t>
            </w:r>
            <w:r w:rsidR="007C4676">
              <w:rPr>
                <w:rFonts w:ascii="Century Schoolbook" w:hAnsi="Century Schoolbook" w:eastAsiaTheme="minorHAnsi" w:cs="Times New Roman"/>
                <w:sz w:val="26"/>
                <w:szCs w:val="26"/>
                <w:lang w:val="en-US" w:eastAsia="en-US" w:bidi="ar-SA"/>
              </w:rPr>
              <w:t>-00</w:t>
            </w:r>
            <w:r w:rsidR="00602F1A">
              <w:rPr>
                <w:rFonts w:ascii="Century Schoolbook" w:hAnsi="Century Schoolbook" w:eastAsiaTheme="minorHAnsi" w:cs="Times New Roman"/>
                <w:sz w:val="26"/>
                <w:szCs w:val="26"/>
                <w:lang w:val="en-US" w:eastAsia="en-US" w:bidi="ar-SA"/>
              </w:rPr>
              <w:t>0110</w:t>
            </w:r>
            <w:r w:rsidRPr="00814E6A">
              <w:rPr>
                <w:rFonts w:ascii="Century Schoolbook" w:hAnsi="Century Schoolbook" w:eastAsiaTheme="minorHAnsi" w:cs="Times New Roman"/>
                <w:sz w:val="26"/>
                <w:szCs w:val="26"/>
                <w:lang w:val="en-US" w:eastAsia="en-US" w:bidi="ar-SA"/>
              </w:rPr>
              <w:t>)</w:t>
            </w:r>
          </w:p>
          <w:p w:rsidR="00202C0D" w:rsidRPr="00814E6A" w:rsidP="00C0565C">
            <w:pPr>
              <w:tabs>
                <w:tab w:val="left" w:pos="720"/>
              </w:tabs>
              <w:spacing w:after="0" w:line="240" w:lineRule="auto"/>
              <w:rPr>
                <w:rStyle w:val="DefaultParagraphFont"/>
                <w:rFonts w:ascii="Century Schoolbook" w:hAnsi="Century Schoolbook" w:eastAsiaTheme="minorHAnsi" w:cs="Times New Roman"/>
                <w:sz w:val="26"/>
                <w:szCs w:val="26"/>
                <w:lang w:val="en-US" w:eastAsia="en-US" w:bidi="ar-SA"/>
              </w:rPr>
            </w:pPr>
          </w:p>
        </w:tc>
      </w:tr>
      <w:tr w:rsidTr="00602F1A">
        <w:tblPrEx>
          <w:tblW w:w="0" w:type="auto"/>
          <w:tblInd w:w="0" w:type="dxa"/>
          <w:tblLayout w:type="fixed"/>
          <w:tblCellMar>
            <w:top w:w="0" w:type="dxa"/>
            <w:left w:w="108" w:type="dxa"/>
            <w:bottom w:w="0" w:type="dxa"/>
            <w:right w:w="108" w:type="dxa"/>
          </w:tblCellMar>
          <w:tblLook w:val="0000"/>
        </w:tblPrEx>
        <w:tc>
          <w:tcPr>
            <w:tcW w:w="4770" w:type="dxa"/>
            <w:tcBorders>
              <w:bottom w:val="single" w:sz="4" w:space="0" w:color="auto"/>
              <w:right w:val="single" w:sz="4" w:space="0" w:color="auto"/>
            </w:tcBorders>
            <w:shd w:val="clear" w:color="auto" w:fill="auto"/>
          </w:tcPr>
          <w:p w:rsidR="00602F1A" w:rsidRPr="00814E6A" w:rsidP="009A3450">
            <w:pPr>
              <w:tabs>
                <w:tab w:val="left" w:pos="720"/>
              </w:tabs>
              <w:spacing w:after="120" w:line="240" w:lineRule="auto"/>
              <w:rPr>
                <w:rStyle w:val="DefaultParagraphFont"/>
                <w:rFonts w:ascii="Century Schoolbook" w:hAnsi="Century Schoolbook" w:eastAsiaTheme="minorHAnsi" w:cs="Times New Roman"/>
                <w:sz w:val="26"/>
                <w:szCs w:val="26"/>
                <w:lang w:val="en-US" w:eastAsia="en-US" w:bidi="ar-SA"/>
              </w:rPr>
            </w:pPr>
            <w:r>
              <w:rPr>
                <w:rFonts w:ascii="Century Schoolbook" w:hAnsi="Century Schoolbook" w:eastAsiaTheme="minorHAnsi" w:cs="Times New Roman"/>
                <w:sz w:val="26"/>
                <w:szCs w:val="26"/>
                <w:lang w:val="en-US" w:eastAsia="en-US" w:bidi="ar-SA"/>
              </w:rPr>
              <w:t>State</w:t>
            </w:r>
            <w:r>
              <w:rPr>
                <w:rFonts w:ascii="Century Schoolbook" w:hAnsi="Century Schoolbook" w:eastAsiaTheme="minorHAnsi" w:cs="Times New Roman"/>
                <w:sz w:val="26"/>
                <w:szCs w:val="26"/>
                <w:lang w:val="en-US" w:eastAsia="en-US" w:bidi="ar-SA"/>
              </w:rPr>
              <w:t xml:space="preserve"> Department of State Hospitals,</w:t>
            </w:r>
          </w:p>
          <w:p w:rsidR="00602F1A" w:rsidP="009A3450">
            <w:pPr>
              <w:tabs>
                <w:tab w:val="left" w:pos="720"/>
              </w:tabs>
              <w:spacing w:after="120" w:line="240" w:lineRule="auto"/>
              <w:rPr>
                <w:rStyle w:val="DefaultParagraphFont"/>
                <w:rFonts w:ascii="Century Schoolbook" w:hAnsi="Century Schoolbook" w:eastAsiaTheme="minorHAnsi" w:cs="Times New Roman"/>
                <w:sz w:val="26"/>
                <w:szCs w:val="26"/>
                <w:lang w:val="en-US" w:eastAsia="en-US" w:bidi="ar-SA"/>
              </w:rPr>
            </w:pPr>
            <w:r w:rsidRPr="00814E6A">
              <w:rPr>
                <w:rFonts w:ascii="Century Schoolbook" w:hAnsi="Century Schoolbook" w:eastAsiaTheme="minorHAnsi" w:cs="Times New Roman"/>
                <w:sz w:val="26"/>
                <w:szCs w:val="26"/>
                <w:lang w:val="en-US" w:eastAsia="en-US" w:bidi="ar-SA"/>
              </w:rPr>
              <w:tab/>
            </w:r>
            <w:r>
              <w:rPr>
                <w:rFonts w:ascii="Century Schoolbook" w:hAnsi="Century Schoolbook" w:eastAsiaTheme="minorHAnsi" w:cs="Times New Roman"/>
                <w:sz w:val="26"/>
                <w:szCs w:val="26"/>
                <w:lang w:val="en-US" w:eastAsia="en-US" w:bidi="ar-SA"/>
              </w:rPr>
              <w:t>Real Party in Interest.</w:t>
            </w:r>
          </w:p>
          <w:p w:rsidR="0001215A" w:rsidRPr="00814E6A" w:rsidP="009A3450">
            <w:pPr>
              <w:tabs>
                <w:tab w:val="left" w:pos="720"/>
              </w:tabs>
              <w:spacing w:after="120" w:line="240" w:lineRule="auto"/>
              <w:rPr>
                <w:rStyle w:val="DefaultParagraphFont"/>
                <w:rFonts w:ascii="Century Schoolbook" w:hAnsi="Century Schoolbook" w:eastAsiaTheme="minorHAnsi" w:cs="Times New Roman"/>
                <w:sz w:val="26"/>
                <w:szCs w:val="26"/>
                <w:lang w:val="en-US" w:eastAsia="en-US" w:bidi="ar-SA"/>
              </w:rPr>
            </w:pPr>
          </w:p>
        </w:tc>
        <w:tc>
          <w:tcPr>
            <w:tcW w:w="4590" w:type="dxa"/>
            <w:tcBorders>
              <w:left w:val="single" w:sz="4" w:space="0" w:color="auto"/>
            </w:tcBorders>
            <w:shd w:val="clear" w:color="auto" w:fill="auto"/>
          </w:tcPr>
          <w:p w:rsidR="00602F1A" w:rsidRPr="00814E6A" w:rsidP="009A3450">
            <w:pPr>
              <w:tabs>
                <w:tab w:val="left" w:pos="720"/>
              </w:tabs>
              <w:spacing w:after="0" w:line="240" w:lineRule="auto"/>
              <w:rPr>
                <w:rStyle w:val="DefaultParagraphFont"/>
                <w:rFonts w:ascii="Century Schoolbook" w:hAnsi="Century Schoolbook" w:eastAsiaTheme="minorHAnsi" w:cs="Times New Roman"/>
                <w:sz w:val="26"/>
                <w:szCs w:val="26"/>
                <w:lang w:val="en-US" w:eastAsia="en-US" w:bidi="ar-SA"/>
              </w:rPr>
            </w:pPr>
          </w:p>
          <w:p w:rsidR="00602F1A" w:rsidRPr="00814E6A" w:rsidP="00602F1A">
            <w:pPr>
              <w:tabs>
                <w:tab w:val="left" w:pos="720"/>
              </w:tabs>
              <w:spacing w:after="0" w:line="240" w:lineRule="auto"/>
              <w:rPr>
                <w:rStyle w:val="DefaultParagraphFont"/>
                <w:rFonts w:ascii="Century Schoolbook" w:hAnsi="Century Schoolbook" w:eastAsiaTheme="minorHAnsi" w:cs="Times New Roman"/>
                <w:sz w:val="26"/>
                <w:szCs w:val="26"/>
                <w:lang w:val="en-US" w:eastAsia="en-US" w:bidi="ar-SA"/>
              </w:rPr>
            </w:pPr>
          </w:p>
        </w:tc>
      </w:tr>
    </w:tbl>
    <w:p w:rsidR="00C0565C" w:rsidRPr="003C38B8" w:rsidP="00C0565C">
      <w:pPr>
        <w:spacing w:line="360" w:lineRule="auto"/>
        <w:rPr>
          <w:rFonts w:ascii="Century Schoolbook" w:hAnsi="Century Schoolbook"/>
          <w:szCs w:val="26"/>
        </w:rPr>
      </w:pPr>
    </w:p>
    <w:p w:rsidR="00B2284C" w:rsidP="007C4676">
      <w:pPr>
        <w:spacing w:line="360" w:lineRule="auto"/>
        <w:rPr>
          <w:rFonts w:ascii="Century Schoolbook" w:hAnsi="Century Schoolbook"/>
          <w:szCs w:val="26"/>
        </w:rPr>
      </w:pPr>
      <w:r w:rsidRPr="003C38B8">
        <w:rPr>
          <w:rFonts w:ascii="Century Schoolbook" w:hAnsi="Century Schoolbook"/>
          <w:szCs w:val="26"/>
        </w:rPr>
        <w:tab/>
      </w:r>
      <w:r w:rsidR="005B6CD5">
        <w:rPr>
          <w:rFonts w:ascii="Century Schoolbook" w:hAnsi="Century Schoolbook"/>
          <w:szCs w:val="26"/>
        </w:rPr>
        <w:t xml:space="preserve">Petitioner </w:t>
      </w:r>
      <w:r w:rsidR="00602F1A">
        <w:rPr>
          <w:rFonts w:ascii="Century Schoolbook" w:hAnsi="Century Schoolbook"/>
          <w:szCs w:val="26"/>
        </w:rPr>
        <w:t xml:space="preserve">D.K. appeals from a </w:t>
      </w:r>
      <w:r w:rsidR="00FC26DB">
        <w:rPr>
          <w:rFonts w:ascii="Century Schoolbook" w:hAnsi="Century Schoolbook"/>
          <w:szCs w:val="26"/>
        </w:rPr>
        <w:t>short-term</w:t>
      </w:r>
      <w:r w:rsidR="00602F1A">
        <w:rPr>
          <w:rFonts w:ascii="Century Schoolbook" w:hAnsi="Century Schoolbook"/>
          <w:szCs w:val="26"/>
        </w:rPr>
        <w:t xml:space="preserve"> order </w:t>
      </w:r>
      <w:r w:rsidR="00C92C40">
        <w:rPr>
          <w:rFonts w:ascii="Century Schoolbook" w:hAnsi="Century Schoolbook"/>
          <w:szCs w:val="26"/>
        </w:rPr>
        <w:t xml:space="preserve">authorizing </w:t>
      </w:r>
      <w:r w:rsidR="0033044E">
        <w:rPr>
          <w:rFonts w:ascii="Century Schoolbook" w:hAnsi="Century Schoolbook"/>
          <w:szCs w:val="26"/>
        </w:rPr>
        <w:t xml:space="preserve">that she be </w:t>
      </w:r>
      <w:r w:rsidR="00C92C40">
        <w:rPr>
          <w:rFonts w:ascii="Century Schoolbook" w:hAnsi="Century Schoolbook"/>
          <w:szCs w:val="26"/>
        </w:rPr>
        <w:t>involuntar</w:t>
      </w:r>
      <w:r w:rsidR="0033044E">
        <w:rPr>
          <w:rFonts w:ascii="Century Schoolbook" w:hAnsi="Century Schoolbook"/>
          <w:szCs w:val="26"/>
        </w:rPr>
        <w:t>il</w:t>
      </w:r>
      <w:r w:rsidR="00C92C40">
        <w:rPr>
          <w:rFonts w:ascii="Century Schoolbook" w:hAnsi="Century Schoolbook"/>
          <w:szCs w:val="26"/>
        </w:rPr>
        <w:t xml:space="preserve">y </w:t>
      </w:r>
      <w:r w:rsidR="0033044E">
        <w:rPr>
          <w:rFonts w:ascii="Century Schoolbook" w:hAnsi="Century Schoolbook"/>
          <w:szCs w:val="26"/>
        </w:rPr>
        <w:t xml:space="preserve">medicated </w:t>
      </w:r>
      <w:r w:rsidR="00C92C40">
        <w:rPr>
          <w:rFonts w:ascii="Century Schoolbook" w:hAnsi="Century Schoolbook"/>
          <w:szCs w:val="26"/>
        </w:rPr>
        <w:t>under Penal Code</w:t>
      </w:r>
      <w:r>
        <w:rPr>
          <w:rStyle w:val="FootnoteReference"/>
          <w:szCs w:val="26"/>
        </w:rPr>
        <w:footnoteReference w:id="2"/>
      </w:r>
      <w:r w:rsidR="00C92C40">
        <w:rPr>
          <w:rFonts w:ascii="Century Schoolbook" w:hAnsi="Century Schoolbook"/>
          <w:szCs w:val="26"/>
        </w:rPr>
        <w:t xml:space="preserve"> section 1370</w:t>
      </w:r>
      <w:r w:rsidR="00602F1A">
        <w:rPr>
          <w:rFonts w:ascii="Century Schoolbook" w:hAnsi="Century Schoolbook"/>
          <w:szCs w:val="26"/>
        </w:rPr>
        <w:t xml:space="preserve">.  We conclude D.K.’s appeal </w:t>
      </w:r>
      <w:r w:rsidR="00C92C40">
        <w:rPr>
          <w:rFonts w:ascii="Century Schoolbook" w:hAnsi="Century Schoolbook"/>
          <w:szCs w:val="26"/>
        </w:rPr>
        <w:t>is</w:t>
      </w:r>
      <w:r w:rsidR="00602F1A">
        <w:rPr>
          <w:rFonts w:ascii="Century Schoolbook" w:hAnsi="Century Schoolbook"/>
          <w:szCs w:val="26"/>
        </w:rPr>
        <w:t xml:space="preserve"> moot</w:t>
      </w:r>
      <w:r w:rsidR="00C92C40">
        <w:rPr>
          <w:rFonts w:ascii="Century Schoolbook" w:hAnsi="Century Schoolbook"/>
          <w:szCs w:val="26"/>
        </w:rPr>
        <w:t xml:space="preserve"> because the order has </w:t>
      </w:r>
      <w:r w:rsidR="00FC26DB">
        <w:rPr>
          <w:rFonts w:ascii="Century Schoolbook" w:hAnsi="Century Schoolbook"/>
          <w:szCs w:val="26"/>
        </w:rPr>
        <w:t>expired</w:t>
      </w:r>
      <w:r w:rsidR="00C92C40">
        <w:rPr>
          <w:rFonts w:ascii="Century Schoolbook" w:hAnsi="Century Schoolbook"/>
          <w:szCs w:val="26"/>
        </w:rPr>
        <w:t xml:space="preserve"> </w:t>
      </w:r>
      <w:r w:rsidR="00FC26DB">
        <w:rPr>
          <w:rFonts w:ascii="Century Schoolbook" w:hAnsi="Century Schoolbook"/>
          <w:szCs w:val="26"/>
        </w:rPr>
        <w:t>and no meaningful relief can be effectuated through review of that order</w:t>
      </w:r>
      <w:r w:rsidR="00602F1A">
        <w:rPr>
          <w:rFonts w:ascii="Century Schoolbook" w:hAnsi="Century Schoolbook"/>
          <w:szCs w:val="26"/>
        </w:rPr>
        <w:t>.</w:t>
      </w:r>
      <w:r w:rsidR="00C92C40">
        <w:rPr>
          <w:rFonts w:ascii="Century Schoolbook" w:hAnsi="Century Schoolbook"/>
          <w:szCs w:val="26"/>
        </w:rPr>
        <w:t xml:space="preserve">  However, we exercise our discretion to address </w:t>
      </w:r>
      <w:r w:rsidR="00FC26DB">
        <w:rPr>
          <w:rFonts w:ascii="Century Schoolbook" w:hAnsi="Century Schoolbook"/>
          <w:szCs w:val="26"/>
        </w:rPr>
        <w:t>D.K.’s appeal</w:t>
      </w:r>
      <w:r w:rsidR="00C92C40">
        <w:rPr>
          <w:rFonts w:ascii="Century Schoolbook" w:hAnsi="Century Schoolbook"/>
          <w:szCs w:val="26"/>
        </w:rPr>
        <w:t xml:space="preserve"> </w:t>
      </w:r>
      <w:r w:rsidR="00FC26DB">
        <w:rPr>
          <w:rFonts w:ascii="Century Schoolbook" w:hAnsi="Century Schoolbook"/>
          <w:szCs w:val="26"/>
        </w:rPr>
        <w:t xml:space="preserve">of </w:t>
      </w:r>
      <w:r w:rsidR="00C92C40">
        <w:rPr>
          <w:rFonts w:ascii="Century Schoolbook" w:hAnsi="Century Schoolbook"/>
          <w:szCs w:val="26"/>
        </w:rPr>
        <w:t>the superior court</w:t>
      </w:r>
      <w:r w:rsidR="00FC26DB">
        <w:rPr>
          <w:rFonts w:ascii="Century Schoolbook" w:hAnsi="Century Schoolbook"/>
          <w:szCs w:val="26"/>
        </w:rPr>
        <w:t>’s finding that the statutory scheme of section 1370 precluded</w:t>
      </w:r>
      <w:r w:rsidR="00C92C40">
        <w:rPr>
          <w:rFonts w:ascii="Century Schoolbook" w:hAnsi="Century Schoolbook"/>
          <w:szCs w:val="26"/>
        </w:rPr>
        <w:t xml:space="preserve"> </w:t>
      </w:r>
      <w:r w:rsidR="00FC26DB">
        <w:rPr>
          <w:rFonts w:ascii="Century Schoolbook" w:hAnsi="Century Schoolbook"/>
          <w:szCs w:val="26"/>
        </w:rPr>
        <w:t>her from filing a</w:t>
      </w:r>
      <w:r w:rsidR="00C92C40">
        <w:rPr>
          <w:rFonts w:ascii="Century Schoolbook" w:hAnsi="Century Schoolbook"/>
          <w:szCs w:val="26"/>
        </w:rPr>
        <w:t xml:space="preserve"> writ of administrative mandamus to challenge that medication order.</w:t>
      </w:r>
      <w:r w:rsidR="00FC26DB">
        <w:rPr>
          <w:rFonts w:ascii="Century Schoolbook" w:hAnsi="Century Schoolbook"/>
          <w:szCs w:val="26"/>
        </w:rPr>
        <w:t xml:space="preserve">  We conclude both the significant liberty interests at issue and the language of section 1370 support D.K.’s right to seek writ review.</w:t>
      </w:r>
      <w:r>
        <w:rPr>
          <w:rStyle w:val="FootnoteReference"/>
          <w:szCs w:val="26"/>
        </w:rPr>
        <w:footnoteReference w:id="3"/>
      </w:r>
    </w:p>
    <w:p w:rsidR="00602F1A" w:rsidRPr="00187BEB" w:rsidP="00C86FBC">
      <w:pPr>
        <w:keepNext/>
        <w:spacing w:line="360" w:lineRule="auto"/>
        <w:jc w:val="center"/>
        <w:rPr>
          <w:rFonts w:ascii="Century Schoolbook" w:hAnsi="Century Schoolbook"/>
          <w:b/>
          <w:bCs/>
        </w:rPr>
      </w:pPr>
      <w:r>
        <w:rPr>
          <w:rFonts w:ascii="Century Schoolbook" w:hAnsi="Century Schoolbook"/>
          <w:b/>
          <w:bCs/>
          <w:smallCaps/>
        </w:rPr>
        <w:t>Background</w:t>
      </w:r>
    </w:p>
    <w:p w:rsidR="001B29F2" w:rsidP="000D07E6">
      <w:pPr>
        <w:spacing w:line="360" w:lineRule="auto"/>
        <w:rPr>
          <w:rFonts w:ascii="Century Schoolbook" w:hAnsi="Century Schoolbook"/>
          <w:szCs w:val="26"/>
        </w:rPr>
      </w:pPr>
      <w:r>
        <w:rPr>
          <w:rFonts w:ascii="Century Schoolbook" w:hAnsi="Century Schoolbook"/>
          <w:szCs w:val="26"/>
        </w:rPr>
        <w:tab/>
      </w:r>
      <w:r w:rsidR="001500A2">
        <w:rPr>
          <w:rFonts w:ascii="Century Schoolbook" w:hAnsi="Century Schoolbook"/>
          <w:szCs w:val="26"/>
        </w:rPr>
        <w:t>D.K.</w:t>
      </w:r>
      <w:r w:rsidRPr="000D07E6" w:rsidR="000D07E6">
        <w:rPr>
          <w:rFonts w:ascii="Century Schoolbook" w:hAnsi="Century Schoolbook"/>
          <w:szCs w:val="26"/>
        </w:rPr>
        <w:t xml:space="preserve"> was found incompetent to stand</w:t>
      </w:r>
      <w:r w:rsidR="000D07E6">
        <w:rPr>
          <w:rFonts w:ascii="Century Schoolbook" w:hAnsi="Century Schoolbook"/>
          <w:szCs w:val="26"/>
        </w:rPr>
        <w:t xml:space="preserve"> </w:t>
      </w:r>
      <w:r w:rsidRPr="000D07E6" w:rsidR="000D07E6">
        <w:rPr>
          <w:rFonts w:ascii="Century Schoolbook" w:hAnsi="Century Schoolbook"/>
          <w:szCs w:val="26"/>
        </w:rPr>
        <w:t>trial</w:t>
      </w:r>
      <w:r w:rsidR="00FC26DB">
        <w:rPr>
          <w:rFonts w:ascii="Century Schoolbook" w:hAnsi="Century Schoolbook"/>
          <w:szCs w:val="26"/>
        </w:rPr>
        <w:t xml:space="preserve"> (IST)</w:t>
      </w:r>
      <w:r w:rsidRPr="000D07E6" w:rsidR="000D07E6">
        <w:rPr>
          <w:rFonts w:ascii="Century Schoolbook" w:hAnsi="Century Schoolbook"/>
          <w:szCs w:val="26"/>
        </w:rPr>
        <w:t xml:space="preserve"> and committed to </w:t>
      </w:r>
      <w:r w:rsidR="001500A2">
        <w:rPr>
          <w:rFonts w:ascii="Century Schoolbook" w:hAnsi="Century Schoolbook"/>
          <w:szCs w:val="26"/>
        </w:rPr>
        <w:t>the Department of State Hospitals (</w:t>
      </w:r>
      <w:r w:rsidRPr="000D07E6" w:rsidR="000D07E6">
        <w:rPr>
          <w:rFonts w:ascii="Century Schoolbook" w:hAnsi="Century Schoolbook"/>
          <w:szCs w:val="26"/>
        </w:rPr>
        <w:t>DSH</w:t>
      </w:r>
      <w:r w:rsidR="001500A2">
        <w:rPr>
          <w:rFonts w:ascii="Century Schoolbook" w:hAnsi="Century Schoolbook"/>
          <w:szCs w:val="26"/>
        </w:rPr>
        <w:t>)</w:t>
      </w:r>
      <w:r w:rsidRPr="000D07E6" w:rsidR="000D07E6">
        <w:rPr>
          <w:rFonts w:ascii="Century Schoolbook" w:hAnsi="Century Schoolbook"/>
          <w:szCs w:val="26"/>
        </w:rPr>
        <w:t xml:space="preserve"> </w:t>
      </w:r>
      <w:r w:rsidR="001500A2">
        <w:rPr>
          <w:rFonts w:ascii="Century Schoolbook" w:hAnsi="Century Schoolbook"/>
          <w:szCs w:val="26"/>
        </w:rPr>
        <w:t>by the Orange County Superior Court</w:t>
      </w:r>
      <w:r w:rsidRPr="000D07E6" w:rsidR="000D07E6">
        <w:rPr>
          <w:rFonts w:ascii="Century Schoolbook" w:hAnsi="Century Schoolbook"/>
          <w:szCs w:val="26"/>
        </w:rPr>
        <w:t>.</w:t>
      </w:r>
      <w:r w:rsidR="00DB743C">
        <w:rPr>
          <w:rFonts w:ascii="Century Schoolbook" w:hAnsi="Century Schoolbook"/>
          <w:szCs w:val="26"/>
        </w:rPr>
        <w:t xml:space="preserve"> </w:t>
      </w:r>
      <w:r w:rsidRPr="000D07E6" w:rsidR="000D07E6">
        <w:rPr>
          <w:rFonts w:ascii="Century Schoolbook" w:hAnsi="Century Schoolbook"/>
          <w:szCs w:val="26"/>
        </w:rPr>
        <w:t xml:space="preserve"> </w:t>
      </w:r>
      <w:r w:rsidR="006E7E4E">
        <w:rPr>
          <w:rFonts w:ascii="Century Schoolbook" w:hAnsi="Century Schoolbook"/>
          <w:szCs w:val="26"/>
        </w:rPr>
        <w:t>D.K.</w:t>
      </w:r>
      <w:r w:rsidR="001500A2">
        <w:rPr>
          <w:rFonts w:ascii="Century Schoolbook" w:hAnsi="Century Schoolbook"/>
          <w:szCs w:val="26"/>
        </w:rPr>
        <w:t xml:space="preserve"> </w:t>
      </w:r>
      <w:r w:rsidR="00C9412C">
        <w:rPr>
          <w:rFonts w:ascii="Century Schoolbook" w:hAnsi="Century Schoolbook"/>
          <w:szCs w:val="26"/>
        </w:rPr>
        <w:t>is a patient at Napa State Hospital (NSH) and has been</w:t>
      </w:r>
      <w:r w:rsidR="001500A2">
        <w:rPr>
          <w:rFonts w:ascii="Century Schoolbook" w:hAnsi="Century Schoolbook"/>
          <w:szCs w:val="26"/>
        </w:rPr>
        <w:t xml:space="preserve"> diagnosed with “</w:t>
      </w:r>
      <w:r w:rsidR="007936DA">
        <w:rPr>
          <w:rFonts w:ascii="Century Schoolbook" w:hAnsi="Century Schoolbook"/>
          <w:szCs w:val="26"/>
        </w:rPr>
        <w:t>[</w:t>
      </w:r>
      <w:r w:rsidR="001500A2">
        <w:rPr>
          <w:rFonts w:ascii="Century Schoolbook" w:hAnsi="Century Schoolbook"/>
          <w:szCs w:val="26"/>
        </w:rPr>
        <w:t>u</w:t>
      </w:r>
      <w:r w:rsidR="007936DA">
        <w:rPr>
          <w:rFonts w:ascii="Century Schoolbook" w:hAnsi="Century Schoolbook"/>
          <w:szCs w:val="26"/>
        </w:rPr>
        <w:t>]</w:t>
      </w:r>
      <w:r w:rsidR="001500A2">
        <w:rPr>
          <w:rFonts w:ascii="Century Schoolbook" w:hAnsi="Century Schoolbook"/>
          <w:szCs w:val="26"/>
        </w:rPr>
        <w:t xml:space="preserve">nspecified schizophrenia spectrum and other psychotic disorder.”  </w:t>
      </w:r>
    </w:p>
    <w:p w:rsidR="000D07E6" w:rsidP="000D07E6">
      <w:pPr>
        <w:spacing w:line="360" w:lineRule="auto"/>
        <w:rPr>
          <w:rFonts w:ascii="Century Schoolbook" w:hAnsi="Century Schoolbook"/>
          <w:szCs w:val="26"/>
        </w:rPr>
      </w:pPr>
      <w:r>
        <w:rPr>
          <w:rFonts w:ascii="Century Schoolbook" w:hAnsi="Century Schoolbook"/>
          <w:szCs w:val="26"/>
        </w:rPr>
        <w:tab/>
      </w:r>
      <w:r w:rsidR="006E7E4E">
        <w:rPr>
          <w:rFonts w:ascii="Century Schoolbook" w:hAnsi="Century Schoolbook"/>
          <w:szCs w:val="26"/>
        </w:rPr>
        <w:t xml:space="preserve">After D.K.’s transfer to NSH, </w:t>
      </w:r>
      <w:r>
        <w:rPr>
          <w:rFonts w:ascii="Century Schoolbook" w:hAnsi="Century Schoolbook"/>
          <w:szCs w:val="26"/>
        </w:rPr>
        <w:t xml:space="preserve">DSH </w:t>
      </w:r>
      <w:r w:rsidR="001500A2">
        <w:rPr>
          <w:rFonts w:ascii="Century Schoolbook" w:hAnsi="Century Schoolbook"/>
          <w:szCs w:val="26"/>
        </w:rPr>
        <w:t>filed a petition</w:t>
      </w:r>
      <w:r>
        <w:rPr>
          <w:rFonts w:ascii="Century Schoolbook" w:hAnsi="Century Schoolbook"/>
          <w:szCs w:val="26"/>
        </w:rPr>
        <w:t xml:space="preserve"> </w:t>
      </w:r>
      <w:r w:rsidR="001500A2">
        <w:rPr>
          <w:rFonts w:ascii="Century Schoolbook" w:hAnsi="Century Schoolbook"/>
          <w:szCs w:val="26"/>
        </w:rPr>
        <w:t>with the Office of Administrative Hearings (OAH</w:t>
      </w:r>
      <w:r>
        <w:rPr>
          <w:rFonts w:ascii="Century Schoolbook" w:hAnsi="Century Schoolbook"/>
          <w:szCs w:val="26"/>
        </w:rPr>
        <w:t>) for</w:t>
      </w:r>
      <w:r w:rsidR="001500A2">
        <w:rPr>
          <w:rFonts w:ascii="Century Schoolbook" w:hAnsi="Century Schoolbook"/>
          <w:szCs w:val="26"/>
        </w:rPr>
        <w:t xml:space="preserve"> </w:t>
      </w:r>
      <w:r>
        <w:rPr>
          <w:rFonts w:ascii="Century Schoolbook" w:hAnsi="Century Schoolbook"/>
          <w:szCs w:val="26"/>
        </w:rPr>
        <w:t xml:space="preserve">an interim order to compel involuntary medication of D.K. with antipsychotic medication. </w:t>
      </w:r>
      <w:r w:rsidR="00DB743C">
        <w:rPr>
          <w:rFonts w:ascii="Century Schoolbook" w:hAnsi="Century Schoolbook"/>
          <w:szCs w:val="26"/>
        </w:rPr>
        <w:t xml:space="preserve"> </w:t>
      </w:r>
      <w:r w:rsidR="001500A2">
        <w:rPr>
          <w:rFonts w:ascii="Century Schoolbook" w:hAnsi="Century Schoolbook"/>
          <w:szCs w:val="26"/>
        </w:rPr>
        <w:t>DSH</w:t>
      </w:r>
      <w:r>
        <w:rPr>
          <w:rFonts w:ascii="Century Schoolbook" w:hAnsi="Century Schoolbook"/>
          <w:szCs w:val="26"/>
        </w:rPr>
        <w:t xml:space="preserve"> asserted D.K. lacked </w:t>
      </w:r>
      <w:r w:rsidR="00FE6CE3">
        <w:rPr>
          <w:rFonts w:ascii="Century Schoolbook" w:hAnsi="Century Schoolbook"/>
          <w:szCs w:val="26"/>
        </w:rPr>
        <w:t xml:space="preserve">the </w:t>
      </w:r>
      <w:r>
        <w:rPr>
          <w:rFonts w:ascii="Century Schoolbook" w:hAnsi="Century Schoolbook"/>
          <w:szCs w:val="26"/>
        </w:rPr>
        <w:t xml:space="preserve">capacity to make decisions regarding antipsychotic medication, her mental disorder required such treatment, and “it is probable that serious harm to </w:t>
      </w:r>
      <w:r w:rsidR="007936DA">
        <w:rPr>
          <w:rFonts w:ascii="Century Schoolbook" w:hAnsi="Century Schoolbook"/>
          <w:szCs w:val="26"/>
        </w:rPr>
        <w:t>[</w:t>
      </w:r>
      <w:r>
        <w:rPr>
          <w:rFonts w:ascii="Century Schoolbook" w:hAnsi="Century Schoolbook"/>
          <w:szCs w:val="26"/>
        </w:rPr>
        <w:t>her</w:t>
      </w:r>
      <w:r w:rsidR="007936DA">
        <w:rPr>
          <w:rFonts w:ascii="Century Schoolbook" w:hAnsi="Century Schoolbook"/>
          <w:szCs w:val="26"/>
        </w:rPr>
        <w:t>]</w:t>
      </w:r>
      <w:r>
        <w:rPr>
          <w:rFonts w:ascii="Century Schoolbook" w:hAnsi="Century Schoolbook"/>
          <w:szCs w:val="26"/>
        </w:rPr>
        <w:t xml:space="preserve"> physical or mental health” would result </w:t>
      </w:r>
      <w:r>
        <w:rPr>
          <w:rFonts w:ascii="Century Schoolbook" w:hAnsi="Century Schoolbook"/>
          <w:szCs w:val="26"/>
        </w:rPr>
        <w:t>absent</w:t>
      </w:r>
      <w:r>
        <w:rPr>
          <w:rFonts w:ascii="Century Schoolbook" w:hAnsi="Century Schoolbook"/>
          <w:szCs w:val="26"/>
        </w:rPr>
        <w:t xml:space="preserve"> such treatment. </w:t>
      </w:r>
      <w:r w:rsidR="00DB743C">
        <w:rPr>
          <w:rFonts w:ascii="Century Schoolbook" w:hAnsi="Century Schoolbook"/>
          <w:szCs w:val="26"/>
        </w:rPr>
        <w:t xml:space="preserve"> </w:t>
      </w:r>
      <w:r w:rsidR="001500A2">
        <w:rPr>
          <w:rFonts w:ascii="Century Schoolbook" w:hAnsi="Century Schoolbook"/>
          <w:szCs w:val="26"/>
        </w:rPr>
        <w:t xml:space="preserve">Alternatively, DSH argued D.K. posed a danger of inflicting substantial physical harm </w:t>
      </w:r>
      <w:r>
        <w:rPr>
          <w:rFonts w:ascii="Century Schoolbook" w:hAnsi="Century Schoolbook"/>
          <w:szCs w:val="26"/>
        </w:rPr>
        <w:t>on</w:t>
      </w:r>
      <w:r w:rsidR="001500A2">
        <w:rPr>
          <w:rFonts w:ascii="Century Schoolbook" w:hAnsi="Century Schoolbook"/>
          <w:szCs w:val="26"/>
        </w:rPr>
        <w:t xml:space="preserve"> others </w:t>
      </w:r>
      <w:r>
        <w:rPr>
          <w:rFonts w:ascii="Century Schoolbook" w:hAnsi="Century Schoolbook"/>
          <w:szCs w:val="26"/>
        </w:rPr>
        <w:t>because of</w:t>
      </w:r>
      <w:r w:rsidR="001500A2">
        <w:rPr>
          <w:rFonts w:ascii="Century Schoolbook" w:hAnsi="Century Schoolbook"/>
          <w:szCs w:val="26"/>
        </w:rPr>
        <w:t xml:space="preserve"> her mental disorder. </w:t>
      </w:r>
      <w:r w:rsidR="00DB743C">
        <w:rPr>
          <w:rFonts w:ascii="Century Schoolbook" w:hAnsi="Century Schoolbook"/>
          <w:szCs w:val="26"/>
        </w:rPr>
        <w:t xml:space="preserve"> </w:t>
      </w:r>
    </w:p>
    <w:p w:rsidR="000D07E6" w:rsidP="000D07E6">
      <w:pPr>
        <w:spacing w:line="360" w:lineRule="auto"/>
        <w:rPr>
          <w:rFonts w:ascii="Century Schoolbook" w:hAnsi="Century Schoolbook"/>
          <w:szCs w:val="26"/>
        </w:rPr>
      </w:pPr>
      <w:r>
        <w:rPr>
          <w:rFonts w:ascii="Century Schoolbook" w:hAnsi="Century Schoolbook"/>
          <w:szCs w:val="26"/>
        </w:rPr>
        <w:tab/>
        <w:t>Pursuant to section 1370, subdivision (a)(2)(D)(i), an administrative law judge</w:t>
      </w:r>
      <w:r w:rsidR="001B29F2">
        <w:rPr>
          <w:rFonts w:ascii="Century Schoolbook" w:hAnsi="Century Schoolbook"/>
          <w:szCs w:val="26"/>
        </w:rPr>
        <w:t xml:space="preserve"> (ALJ) </w:t>
      </w:r>
      <w:r>
        <w:rPr>
          <w:rFonts w:ascii="Century Schoolbook" w:hAnsi="Century Schoolbook"/>
          <w:szCs w:val="26"/>
        </w:rPr>
        <w:t xml:space="preserve">conducted an evidentiary hearing on January 20, 2023. </w:t>
      </w:r>
      <w:r w:rsidR="00DB743C">
        <w:rPr>
          <w:rFonts w:ascii="Century Schoolbook" w:hAnsi="Century Schoolbook"/>
          <w:szCs w:val="26"/>
        </w:rPr>
        <w:t xml:space="preserve"> </w:t>
      </w:r>
      <w:r w:rsidR="00C7175E">
        <w:rPr>
          <w:rFonts w:ascii="Century Schoolbook" w:hAnsi="Century Schoolbook"/>
          <w:szCs w:val="26"/>
        </w:rPr>
        <w:t>The</w:t>
      </w:r>
      <w:r w:rsidR="001B29F2">
        <w:rPr>
          <w:rFonts w:ascii="Century Schoolbook" w:hAnsi="Century Schoolbook"/>
          <w:szCs w:val="26"/>
        </w:rPr>
        <w:t xml:space="preserve"> ALJ</w:t>
      </w:r>
      <w:r>
        <w:rPr>
          <w:rFonts w:ascii="Century Schoolbook" w:hAnsi="Century Schoolbook"/>
          <w:szCs w:val="26"/>
        </w:rPr>
        <w:t xml:space="preserve"> found </w:t>
      </w:r>
      <w:r w:rsidR="005B6CD5">
        <w:rPr>
          <w:rFonts w:ascii="Century Schoolbook" w:hAnsi="Century Schoolbook"/>
          <w:szCs w:val="26"/>
        </w:rPr>
        <w:t xml:space="preserve">by clear and convincing evidence </w:t>
      </w:r>
      <w:r>
        <w:rPr>
          <w:rFonts w:ascii="Century Schoolbook" w:hAnsi="Century Schoolbook"/>
          <w:szCs w:val="26"/>
        </w:rPr>
        <w:t xml:space="preserve">that </w:t>
      </w:r>
      <w:r w:rsidR="00B37F3F">
        <w:rPr>
          <w:rFonts w:ascii="Century Schoolbook" w:hAnsi="Century Schoolbook"/>
          <w:szCs w:val="26"/>
        </w:rPr>
        <w:t xml:space="preserve">D.K. </w:t>
      </w:r>
      <w:r w:rsidR="00C7175E">
        <w:rPr>
          <w:rFonts w:ascii="Century Schoolbook" w:hAnsi="Century Schoolbook"/>
          <w:szCs w:val="26"/>
        </w:rPr>
        <w:t>“</w:t>
      </w:r>
      <w:r w:rsidR="00B37F3F">
        <w:rPr>
          <w:rFonts w:ascii="Century Schoolbook" w:hAnsi="Century Schoolbook"/>
          <w:szCs w:val="26"/>
        </w:rPr>
        <w:t>lacks capacity to make decisions regarding antipsychotic medication, [her] mental disorder requires treatment with antipsychotic medication</w:t>
      </w:r>
      <w:r w:rsidR="005B6CD5">
        <w:rPr>
          <w:rFonts w:ascii="Century Schoolbook" w:hAnsi="Century Schoolbook"/>
          <w:szCs w:val="26"/>
        </w:rPr>
        <w:t>[,]</w:t>
      </w:r>
      <w:r w:rsidR="00B37F3F">
        <w:rPr>
          <w:rFonts w:ascii="Century Schoolbook" w:hAnsi="Century Schoolbook"/>
          <w:szCs w:val="26"/>
        </w:rPr>
        <w:t xml:space="preserve"> and without treatment with antipsychotic medication it is probable that serious harm to [her] physical or mental health will result</w:t>
      </w:r>
      <w:r w:rsidR="005B6CD5">
        <w:rPr>
          <w:rFonts w:ascii="Century Schoolbook" w:hAnsi="Century Schoolbook"/>
          <w:szCs w:val="26"/>
        </w:rPr>
        <w:t>.</w:t>
      </w:r>
      <w:r w:rsidR="00B37F3F">
        <w:rPr>
          <w:rFonts w:ascii="Century Schoolbook" w:hAnsi="Century Schoolbook"/>
          <w:szCs w:val="26"/>
        </w:rPr>
        <w:t>”</w:t>
      </w:r>
      <w:r>
        <w:rPr>
          <w:rFonts w:ascii="Century Schoolbook" w:hAnsi="Century Schoolbook"/>
          <w:szCs w:val="26"/>
        </w:rPr>
        <w:t xml:space="preserve"> </w:t>
      </w:r>
      <w:r w:rsidR="00DB743C">
        <w:rPr>
          <w:rFonts w:ascii="Century Schoolbook" w:hAnsi="Century Schoolbook"/>
          <w:szCs w:val="26"/>
        </w:rPr>
        <w:t xml:space="preserve"> </w:t>
      </w:r>
      <w:r w:rsidR="001B29F2">
        <w:rPr>
          <w:rFonts w:ascii="Century Schoolbook" w:hAnsi="Century Schoolbook"/>
          <w:szCs w:val="26"/>
        </w:rPr>
        <w:t>The ALJ</w:t>
      </w:r>
      <w:r>
        <w:rPr>
          <w:rFonts w:ascii="Century Schoolbook" w:hAnsi="Century Schoolbook"/>
          <w:szCs w:val="26"/>
        </w:rPr>
        <w:t xml:space="preserve"> </w:t>
      </w:r>
      <w:r w:rsidR="00B37F3F">
        <w:rPr>
          <w:rFonts w:ascii="Century Schoolbook" w:hAnsi="Century Schoolbook"/>
          <w:szCs w:val="26"/>
        </w:rPr>
        <w:t>ordered D.K.</w:t>
      </w:r>
      <w:r w:rsidR="00695AAD">
        <w:rPr>
          <w:rFonts w:ascii="Century Schoolbook" w:hAnsi="Century Schoolbook"/>
          <w:szCs w:val="26"/>
        </w:rPr>
        <w:t xml:space="preserve"> </w:t>
      </w:r>
      <w:r w:rsidRPr="00695AAD" w:rsidR="00695AAD">
        <w:rPr>
          <w:rFonts w:ascii="Century Schoolbook" w:hAnsi="Century Schoolbook"/>
          <w:szCs w:val="26"/>
        </w:rPr>
        <w:t>involuntar</w:t>
      </w:r>
      <w:r w:rsidR="00B37F3F">
        <w:rPr>
          <w:rFonts w:ascii="Century Schoolbook" w:hAnsi="Century Schoolbook"/>
          <w:szCs w:val="26"/>
        </w:rPr>
        <w:t>il</w:t>
      </w:r>
      <w:r w:rsidRPr="00695AAD" w:rsidR="00695AAD">
        <w:rPr>
          <w:rFonts w:ascii="Century Schoolbook" w:hAnsi="Century Schoolbook"/>
          <w:szCs w:val="26"/>
        </w:rPr>
        <w:t>y medicat</w:t>
      </w:r>
      <w:r w:rsidR="00B37F3F">
        <w:rPr>
          <w:rFonts w:ascii="Century Schoolbook" w:hAnsi="Century Schoolbook"/>
          <w:szCs w:val="26"/>
        </w:rPr>
        <w:t>ed from January 17, 2023 to February 7, 2023.</w:t>
      </w:r>
      <w:r w:rsidR="00695AAD">
        <w:rPr>
          <w:rFonts w:ascii="Century Schoolbook" w:hAnsi="Century Schoolbook"/>
          <w:szCs w:val="26"/>
        </w:rPr>
        <w:t xml:space="preserve"> </w:t>
      </w:r>
    </w:p>
    <w:p w:rsidR="00575FB6" w:rsidP="000D07E6">
      <w:pPr>
        <w:spacing w:line="360" w:lineRule="auto"/>
        <w:rPr>
          <w:rFonts w:ascii="Century Schoolbook" w:hAnsi="Century Schoolbook"/>
          <w:szCs w:val="26"/>
        </w:rPr>
      </w:pPr>
      <w:r>
        <w:rPr>
          <w:rFonts w:ascii="Century Schoolbook" w:hAnsi="Century Schoolbook"/>
          <w:szCs w:val="26"/>
        </w:rPr>
        <w:tab/>
        <w:t>On January 27, 2023, D.K. filed a petition for a writ of administrative mandate</w:t>
      </w:r>
      <w:r w:rsidR="00C9412C">
        <w:rPr>
          <w:rFonts w:ascii="Century Schoolbook" w:hAnsi="Century Schoolbook"/>
          <w:szCs w:val="26"/>
        </w:rPr>
        <w:t xml:space="preserve"> with the Napa County Superior Court</w:t>
      </w:r>
      <w:r>
        <w:rPr>
          <w:rFonts w:ascii="Century Schoolbook" w:hAnsi="Century Schoolbook"/>
          <w:szCs w:val="26"/>
        </w:rPr>
        <w:t xml:space="preserve">, </w:t>
      </w:r>
      <w:r w:rsidR="00B81384">
        <w:rPr>
          <w:rFonts w:ascii="Century Schoolbook" w:hAnsi="Century Schoolbook"/>
          <w:szCs w:val="26"/>
        </w:rPr>
        <w:t>asking</w:t>
      </w:r>
      <w:r>
        <w:rPr>
          <w:rFonts w:ascii="Century Schoolbook" w:hAnsi="Century Schoolbook"/>
          <w:szCs w:val="26"/>
        </w:rPr>
        <w:t xml:space="preserve"> the court </w:t>
      </w:r>
      <w:r w:rsidR="00E51761">
        <w:rPr>
          <w:rFonts w:ascii="Century Schoolbook" w:hAnsi="Century Schoolbook"/>
          <w:szCs w:val="26"/>
        </w:rPr>
        <w:t xml:space="preserve">to </w:t>
      </w:r>
      <w:r>
        <w:rPr>
          <w:rFonts w:ascii="Century Schoolbook" w:hAnsi="Century Schoolbook"/>
          <w:szCs w:val="26"/>
        </w:rPr>
        <w:t xml:space="preserve">order </w:t>
      </w:r>
      <w:r>
        <w:rPr>
          <w:rFonts w:ascii="Century Schoolbook" w:hAnsi="Century Schoolbook"/>
          <w:szCs w:val="26"/>
        </w:rPr>
        <w:t xml:space="preserve">OAH </w:t>
      </w:r>
      <w:r>
        <w:rPr>
          <w:rFonts w:ascii="Century Schoolbook" w:hAnsi="Century Schoolbook"/>
          <w:szCs w:val="26"/>
        </w:rPr>
        <w:t xml:space="preserve">to </w:t>
      </w:r>
      <w:r>
        <w:rPr>
          <w:rFonts w:ascii="Century Schoolbook" w:hAnsi="Century Schoolbook"/>
          <w:szCs w:val="26"/>
        </w:rPr>
        <w:t xml:space="preserve">vacate </w:t>
      </w:r>
      <w:r>
        <w:rPr>
          <w:rFonts w:ascii="Century Schoolbook" w:hAnsi="Century Schoolbook"/>
          <w:szCs w:val="26"/>
        </w:rPr>
        <w:t xml:space="preserve">its medication </w:t>
      </w:r>
      <w:r>
        <w:rPr>
          <w:rFonts w:ascii="Century Schoolbook" w:hAnsi="Century Schoolbook"/>
          <w:szCs w:val="26"/>
        </w:rPr>
        <w:t xml:space="preserve">order because insufficient evidence supported the finding of probable harm. </w:t>
      </w:r>
      <w:r w:rsidR="00DB743C">
        <w:rPr>
          <w:rFonts w:ascii="Century Schoolbook" w:hAnsi="Century Schoolbook"/>
          <w:szCs w:val="26"/>
        </w:rPr>
        <w:t xml:space="preserve"> </w:t>
      </w:r>
      <w:r w:rsidR="00B37F3F">
        <w:rPr>
          <w:rFonts w:ascii="Century Schoolbook" w:hAnsi="Century Schoolbook"/>
          <w:szCs w:val="26"/>
        </w:rPr>
        <w:t>D.K. further asserted the</w:t>
      </w:r>
      <w:r>
        <w:rPr>
          <w:rFonts w:ascii="Century Schoolbook" w:hAnsi="Century Schoolbook"/>
          <w:szCs w:val="26"/>
        </w:rPr>
        <w:t xml:space="preserve"> medication</w:t>
      </w:r>
      <w:r w:rsidR="00B37F3F">
        <w:rPr>
          <w:rFonts w:ascii="Century Schoolbook" w:hAnsi="Century Schoolbook"/>
          <w:szCs w:val="26"/>
        </w:rPr>
        <w:t xml:space="preserve"> order </w:t>
      </w:r>
      <w:r w:rsidR="00B37F3F">
        <w:rPr>
          <w:rFonts w:ascii="Century Schoolbook" w:hAnsi="Century Schoolbook"/>
          <w:szCs w:val="26"/>
        </w:rPr>
        <w:t xml:space="preserve">violated her federal and state due process rights. </w:t>
      </w:r>
      <w:r w:rsidR="00DB743C">
        <w:rPr>
          <w:rFonts w:ascii="Century Schoolbook" w:hAnsi="Century Schoolbook"/>
          <w:szCs w:val="26"/>
        </w:rPr>
        <w:t xml:space="preserve"> </w:t>
      </w:r>
      <w:r>
        <w:rPr>
          <w:rFonts w:ascii="Century Schoolbook" w:hAnsi="Century Schoolbook"/>
          <w:szCs w:val="26"/>
        </w:rPr>
        <w:t>D.K. requested an expedited hearing</w:t>
      </w:r>
      <w:r w:rsidR="00B81384">
        <w:rPr>
          <w:rFonts w:ascii="Century Schoolbook" w:hAnsi="Century Schoolbook"/>
          <w:szCs w:val="26"/>
        </w:rPr>
        <w:t xml:space="preserve"> on the basis that if</w:t>
      </w:r>
      <w:r>
        <w:rPr>
          <w:rFonts w:ascii="Century Schoolbook" w:hAnsi="Century Schoolbook"/>
          <w:szCs w:val="26"/>
        </w:rPr>
        <w:t xml:space="preserve"> the </w:t>
      </w:r>
      <w:r w:rsidR="00B81384">
        <w:rPr>
          <w:rFonts w:ascii="Century Schoolbook" w:hAnsi="Century Schoolbook"/>
          <w:szCs w:val="26"/>
        </w:rPr>
        <w:t>petition</w:t>
      </w:r>
      <w:r>
        <w:rPr>
          <w:rFonts w:ascii="Century Schoolbook" w:hAnsi="Century Schoolbook"/>
          <w:szCs w:val="26"/>
        </w:rPr>
        <w:t xml:space="preserve"> </w:t>
      </w:r>
      <w:r w:rsidR="00987F44">
        <w:rPr>
          <w:rFonts w:ascii="Century Schoolbook" w:hAnsi="Century Schoolbook"/>
          <w:szCs w:val="26"/>
        </w:rPr>
        <w:t>were</w:t>
      </w:r>
      <w:r w:rsidR="00B81384">
        <w:rPr>
          <w:rFonts w:ascii="Century Schoolbook" w:hAnsi="Century Schoolbook"/>
          <w:szCs w:val="26"/>
        </w:rPr>
        <w:t xml:space="preserve"> not heard </w:t>
      </w:r>
      <w:r>
        <w:rPr>
          <w:rFonts w:ascii="Century Schoolbook" w:hAnsi="Century Schoolbook"/>
          <w:szCs w:val="26"/>
        </w:rPr>
        <w:t xml:space="preserve">prior to February 7, 2023—when the medication order expired—she would be denied any effective relief. </w:t>
      </w:r>
    </w:p>
    <w:p w:rsidR="00BA22A6" w:rsidP="000D07E6">
      <w:pPr>
        <w:spacing w:line="360" w:lineRule="auto"/>
        <w:rPr>
          <w:rFonts w:ascii="Century Schoolbook" w:hAnsi="Century Schoolbook"/>
          <w:szCs w:val="26"/>
        </w:rPr>
      </w:pPr>
      <w:r>
        <w:rPr>
          <w:rFonts w:ascii="Century Schoolbook" w:hAnsi="Century Schoolbook"/>
          <w:szCs w:val="26"/>
        </w:rPr>
        <w:tab/>
      </w:r>
      <w:r w:rsidR="00CB5AC6">
        <w:rPr>
          <w:rFonts w:ascii="Century Schoolbook" w:hAnsi="Century Schoolbook"/>
          <w:szCs w:val="26"/>
        </w:rPr>
        <w:t xml:space="preserve">The </w:t>
      </w:r>
      <w:r>
        <w:rPr>
          <w:rFonts w:ascii="Century Schoolbook" w:hAnsi="Century Schoolbook"/>
          <w:szCs w:val="26"/>
        </w:rPr>
        <w:t xml:space="preserve">superior </w:t>
      </w:r>
      <w:r w:rsidR="00CB5AC6">
        <w:rPr>
          <w:rFonts w:ascii="Century Schoolbook" w:hAnsi="Century Schoolbook"/>
          <w:szCs w:val="26"/>
        </w:rPr>
        <w:t xml:space="preserve">court denied </w:t>
      </w:r>
      <w:r>
        <w:rPr>
          <w:rFonts w:ascii="Century Schoolbook" w:hAnsi="Century Schoolbook"/>
          <w:szCs w:val="26"/>
        </w:rPr>
        <w:t>her</w:t>
      </w:r>
      <w:r w:rsidR="00CB5AC6">
        <w:rPr>
          <w:rFonts w:ascii="Century Schoolbook" w:hAnsi="Century Schoolbook"/>
          <w:szCs w:val="26"/>
        </w:rPr>
        <w:t xml:space="preserve"> petition. </w:t>
      </w:r>
      <w:r w:rsidR="00DB743C">
        <w:rPr>
          <w:rFonts w:ascii="Century Schoolbook" w:hAnsi="Century Schoolbook"/>
          <w:szCs w:val="26"/>
        </w:rPr>
        <w:t xml:space="preserve"> </w:t>
      </w:r>
      <w:r w:rsidR="00987F44">
        <w:rPr>
          <w:rFonts w:ascii="Century Schoolbook" w:hAnsi="Century Schoolbook"/>
          <w:szCs w:val="26"/>
        </w:rPr>
        <w:t>The court</w:t>
      </w:r>
      <w:r>
        <w:rPr>
          <w:rFonts w:ascii="Century Schoolbook" w:hAnsi="Century Schoolbook"/>
          <w:szCs w:val="26"/>
        </w:rPr>
        <w:t xml:space="preserve"> concluded D.K. was not entitled to writ review because </w:t>
      </w:r>
      <w:r>
        <w:rPr>
          <w:rFonts w:ascii="Century Schoolbook" w:hAnsi="Century Schoolbook"/>
          <w:szCs w:val="26"/>
        </w:rPr>
        <w:t xml:space="preserve">section 1370 </w:t>
      </w:r>
      <w:r>
        <w:rPr>
          <w:rFonts w:ascii="Century Schoolbook" w:hAnsi="Century Schoolbook"/>
          <w:szCs w:val="26"/>
        </w:rPr>
        <w:t xml:space="preserve">provided for a “plain, adequate, </w:t>
      </w:r>
      <w:r w:rsidR="007936DA">
        <w:rPr>
          <w:rFonts w:ascii="Century Schoolbook" w:hAnsi="Century Schoolbook"/>
          <w:szCs w:val="26"/>
        </w:rPr>
        <w:t xml:space="preserve">[] </w:t>
      </w:r>
      <w:r>
        <w:rPr>
          <w:rFonts w:ascii="Century Schoolbook" w:hAnsi="Century Schoolbook"/>
          <w:szCs w:val="26"/>
        </w:rPr>
        <w:t xml:space="preserve">speedy remedy” which, in this instance, was </w:t>
      </w:r>
      <w:r>
        <w:rPr>
          <w:rFonts w:ascii="Century Schoolbook" w:hAnsi="Century Schoolbook"/>
          <w:szCs w:val="26"/>
        </w:rPr>
        <w:t>an</w:t>
      </w:r>
      <w:r>
        <w:rPr>
          <w:rFonts w:ascii="Century Schoolbook" w:hAnsi="Century Schoolbook"/>
          <w:szCs w:val="26"/>
        </w:rPr>
        <w:t xml:space="preserve"> upcoming February 7, 2023 involuntary medication hearing before the Orange County Superior Court. </w:t>
      </w:r>
      <w:r w:rsidR="00DB743C">
        <w:rPr>
          <w:rFonts w:ascii="Century Schoolbook" w:hAnsi="Century Schoolbook"/>
          <w:szCs w:val="26"/>
        </w:rPr>
        <w:t xml:space="preserve"> </w:t>
      </w:r>
      <w:r w:rsidR="0024659E">
        <w:rPr>
          <w:rFonts w:ascii="Century Schoolbook" w:hAnsi="Century Schoolbook"/>
          <w:szCs w:val="26"/>
        </w:rPr>
        <w:t xml:space="preserve">The court reached this conclusion despite acknowledging that the upcoming hearing “is not a true review of the underlying temporary [involuntary medication] order.”  </w:t>
      </w:r>
    </w:p>
    <w:p w:rsidR="000D07E6" w:rsidP="000D07E6">
      <w:pPr>
        <w:spacing w:line="360" w:lineRule="auto"/>
        <w:rPr>
          <w:rFonts w:ascii="Century Schoolbook" w:hAnsi="Century Schoolbook"/>
          <w:szCs w:val="26"/>
        </w:rPr>
      </w:pPr>
      <w:r>
        <w:rPr>
          <w:rFonts w:ascii="Century Schoolbook" w:hAnsi="Century Schoolbook"/>
          <w:szCs w:val="26"/>
        </w:rPr>
        <w:tab/>
        <w:t xml:space="preserve">Despite finding D.K. not entitled to writ review, </w:t>
      </w:r>
      <w:r w:rsidR="0024659E">
        <w:rPr>
          <w:rFonts w:ascii="Century Schoolbook" w:hAnsi="Century Schoolbook"/>
          <w:szCs w:val="26"/>
        </w:rPr>
        <w:t xml:space="preserve">the court proceeded to address </w:t>
      </w:r>
      <w:r>
        <w:rPr>
          <w:rFonts w:ascii="Century Schoolbook" w:hAnsi="Century Schoolbook"/>
          <w:szCs w:val="26"/>
        </w:rPr>
        <w:t>her</w:t>
      </w:r>
      <w:r w:rsidR="0024659E">
        <w:rPr>
          <w:rFonts w:ascii="Century Schoolbook" w:hAnsi="Century Schoolbook"/>
          <w:szCs w:val="26"/>
        </w:rPr>
        <w:t xml:space="preserve"> petition on the merits</w:t>
      </w:r>
      <w:r>
        <w:rPr>
          <w:rFonts w:ascii="Century Schoolbook" w:hAnsi="Century Schoolbook"/>
          <w:szCs w:val="26"/>
        </w:rPr>
        <w:t>.  The court</w:t>
      </w:r>
      <w:r w:rsidR="0024659E">
        <w:rPr>
          <w:rFonts w:ascii="Century Schoolbook" w:hAnsi="Century Schoolbook"/>
          <w:szCs w:val="26"/>
        </w:rPr>
        <w:t xml:space="preserve"> </w:t>
      </w:r>
      <w:r w:rsidR="00987F44">
        <w:rPr>
          <w:rFonts w:ascii="Century Schoolbook" w:hAnsi="Century Schoolbook"/>
          <w:szCs w:val="26"/>
        </w:rPr>
        <w:t>found</w:t>
      </w:r>
      <w:r w:rsidR="0024659E">
        <w:rPr>
          <w:rFonts w:ascii="Century Schoolbook" w:hAnsi="Century Schoolbook"/>
          <w:szCs w:val="26"/>
        </w:rPr>
        <w:t xml:space="preserve"> “more than substantial evidence in the record to meet” the first two elements—i.e., “whether [D.K.] lacked capacity to make decisions regarding antipsychotic medication and that her mental disorder required medical treatment with antipsychotic medication.” </w:t>
      </w:r>
      <w:r w:rsidR="00DB743C">
        <w:rPr>
          <w:rFonts w:ascii="Century Schoolbook" w:hAnsi="Century Schoolbook"/>
          <w:szCs w:val="26"/>
        </w:rPr>
        <w:t xml:space="preserve"> </w:t>
      </w:r>
      <w:r w:rsidR="0024659E">
        <w:rPr>
          <w:rFonts w:ascii="Century Schoolbook" w:hAnsi="Century Schoolbook"/>
          <w:szCs w:val="26"/>
        </w:rPr>
        <w:t xml:space="preserve">As to the third element, the court </w:t>
      </w:r>
      <w:r>
        <w:rPr>
          <w:rFonts w:ascii="Century Schoolbook" w:hAnsi="Century Schoolbook"/>
          <w:szCs w:val="26"/>
        </w:rPr>
        <w:t>acknowledged</w:t>
      </w:r>
      <w:r w:rsidR="0024659E">
        <w:rPr>
          <w:rFonts w:ascii="Century Schoolbook" w:hAnsi="Century Schoolbook"/>
          <w:szCs w:val="26"/>
        </w:rPr>
        <w:t xml:space="preserve"> “there wasn’t any evidence in the [treating psychiatrist’s] report that [D.K.’s] condition was substantially deteriorating,” but </w:t>
      </w:r>
      <w:r>
        <w:rPr>
          <w:rFonts w:ascii="Century Schoolbook" w:hAnsi="Century Schoolbook"/>
          <w:szCs w:val="26"/>
        </w:rPr>
        <w:t xml:space="preserve">concluded that </w:t>
      </w:r>
      <w:r w:rsidR="0024659E">
        <w:rPr>
          <w:rFonts w:ascii="Century Schoolbook" w:hAnsi="Century Schoolbook"/>
          <w:szCs w:val="26"/>
        </w:rPr>
        <w:t xml:space="preserve">the psychiatrist’s </w:t>
      </w:r>
      <w:r>
        <w:rPr>
          <w:rFonts w:ascii="Century Schoolbook" w:hAnsi="Century Schoolbook"/>
          <w:szCs w:val="26"/>
        </w:rPr>
        <w:t xml:space="preserve">hearing </w:t>
      </w:r>
      <w:r w:rsidR="0024659E">
        <w:rPr>
          <w:rFonts w:ascii="Century Schoolbook" w:hAnsi="Century Schoolbook"/>
          <w:szCs w:val="26"/>
        </w:rPr>
        <w:t xml:space="preserve">testimony provided substantial evidence to meet this element. </w:t>
      </w:r>
      <w:r w:rsidR="00DB743C">
        <w:rPr>
          <w:rFonts w:ascii="Century Schoolbook" w:hAnsi="Century Schoolbook"/>
          <w:szCs w:val="26"/>
        </w:rPr>
        <w:t xml:space="preserve"> </w:t>
      </w:r>
      <w:r w:rsidR="0024659E">
        <w:rPr>
          <w:rFonts w:ascii="Century Schoolbook" w:hAnsi="Century Schoolbook"/>
          <w:szCs w:val="26"/>
        </w:rPr>
        <w:t>The court noted the psychiatrist</w:t>
      </w:r>
      <w:r w:rsidR="00FE6CE3">
        <w:rPr>
          <w:rFonts w:ascii="Century Schoolbook" w:hAnsi="Century Schoolbook"/>
          <w:szCs w:val="26"/>
        </w:rPr>
        <w:t>’s</w:t>
      </w:r>
      <w:r w:rsidR="0024659E">
        <w:rPr>
          <w:rFonts w:ascii="Century Schoolbook" w:hAnsi="Century Schoolbook"/>
          <w:szCs w:val="26"/>
        </w:rPr>
        <w:t xml:space="preserve"> </w:t>
      </w:r>
      <w:r w:rsidR="00FE6CE3">
        <w:rPr>
          <w:rFonts w:ascii="Century Schoolbook" w:hAnsi="Century Schoolbook"/>
          <w:szCs w:val="26"/>
        </w:rPr>
        <w:t>testimony</w:t>
      </w:r>
      <w:r>
        <w:rPr>
          <w:rFonts w:ascii="Century Schoolbook" w:hAnsi="Century Schoolbook"/>
          <w:szCs w:val="26"/>
        </w:rPr>
        <w:t xml:space="preserve"> that</w:t>
      </w:r>
      <w:r w:rsidR="0024659E">
        <w:rPr>
          <w:rFonts w:ascii="Century Schoolbook" w:hAnsi="Century Schoolbook"/>
          <w:szCs w:val="26"/>
        </w:rPr>
        <w:t xml:space="preserve"> D.K. was currently suffering adverse effects to her physical or mental health</w:t>
      </w:r>
      <w:r w:rsidR="002A4900">
        <w:rPr>
          <w:rFonts w:ascii="Century Schoolbook" w:hAnsi="Century Schoolbook"/>
          <w:szCs w:val="26"/>
        </w:rPr>
        <w:t>, including</w:t>
      </w:r>
      <w:r w:rsidR="0024659E">
        <w:rPr>
          <w:rFonts w:ascii="Century Schoolbook" w:hAnsi="Century Schoolbook"/>
          <w:szCs w:val="26"/>
        </w:rPr>
        <w:t xml:space="preserve"> </w:t>
      </w:r>
      <w:r w:rsidR="002A4900">
        <w:rPr>
          <w:rFonts w:ascii="Century Schoolbook" w:hAnsi="Century Schoolbook"/>
          <w:szCs w:val="26"/>
        </w:rPr>
        <w:t>heightened</w:t>
      </w:r>
      <w:r w:rsidR="0024659E">
        <w:rPr>
          <w:rFonts w:ascii="Century Schoolbook" w:hAnsi="Century Schoolbook"/>
          <w:szCs w:val="26"/>
        </w:rPr>
        <w:t xml:space="preserve"> resistan</w:t>
      </w:r>
      <w:r w:rsidR="002A4900">
        <w:rPr>
          <w:rFonts w:ascii="Century Schoolbook" w:hAnsi="Century Schoolbook"/>
          <w:szCs w:val="26"/>
        </w:rPr>
        <w:t>ce</w:t>
      </w:r>
      <w:r w:rsidR="0024659E">
        <w:rPr>
          <w:rFonts w:ascii="Century Schoolbook" w:hAnsi="Century Schoolbook"/>
          <w:szCs w:val="26"/>
        </w:rPr>
        <w:t xml:space="preserve"> to treatment, poor hygiene that place</w:t>
      </w:r>
      <w:r>
        <w:rPr>
          <w:rFonts w:ascii="Century Schoolbook" w:hAnsi="Century Schoolbook"/>
          <w:szCs w:val="26"/>
        </w:rPr>
        <w:t>d</w:t>
      </w:r>
      <w:r w:rsidR="0024659E">
        <w:rPr>
          <w:rFonts w:ascii="Century Schoolbook" w:hAnsi="Century Schoolbook"/>
          <w:szCs w:val="26"/>
        </w:rPr>
        <w:t xml:space="preserve"> her at risk for physical illness and infections, a pattern of being easily agitated and angry that place</w:t>
      </w:r>
      <w:r>
        <w:rPr>
          <w:rFonts w:ascii="Century Schoolbook" w:hAnsi="Century Schoolbook"/>
          <w:szCs w:val="26"/>
        </w:rPr>
        <w:t>d</w:t>
      </w:r>
      <w:r w:rsidR="0024659E">
        <w:rPr>
          <w:rFonts w:ascii="Century Schoolbook" w:hAnsi="Century Schoolbook"/>
          <w:szCs w:val="26"/>
        </w:rPr>
        <w:t xml:space="preserve"> her at risk for victimization, and—most importantly—a history of refusing treatment for her other medical conditions, including diabetes and hypertension, when her mental disorder </w:t>
      </w:r>
      <w:r>
        <w:rPr>
          <w:rFonts w:ascii="Century Schoolbook" w:hAnsi="Century Schoolbook"/>
          <w:szCs w:val="26"/>
        </w:rPr>
        <w:t>was</w:t>
      </w:r>
      <w:r w:rsidR="0024659E">
        <w:rPr>
          <w:rFonts w:ascii="Century Schoolbook" w:hAnsi="Century Schoolbook"/>
          <w:szCs w:val="26"/>
        </w:rPr>
        <w:t xml:space="preserve"> not treated. </w:t>
      </w:r>
      <w:r w:rsidR="00DB743C">
        <w:rPr>
          <w:rFonts w:ascii="Century Schoolbook" w:hAnsi="Century Schoolbook"/>
          <w:szCs w:val="26"/>
        </w:rPr>
        <w:t xml:space="preserve"> </w:t>
      </w:r>
      <w:r w:rsidR="0024659E">
        <w:rPr>
          <w:rFonts w:ascii="Century Schoolbook" w:hAnsi="Century Schoolbook"/>
          <w:szCs w:val="26"/>
        </w:rPr>
        <w:t xml:space="preserve">Based on those factors, the court concluded </w:t>
      </w:r>
      <w:r w:rsidR="00987F44">
        <w:rPr>
          <w:rFonts w:ascii="Century Schoolbook" w:hAnsi="Century Schoolbook"/>
          <w:szCs w:val="26"/>
        </w:rPr>
        <w:t xml:space="preserve">that </w:t>
      </w:r>
      <w:r w:rsidR="0024659E">
        <w:rPr>
          <w:rFonts w:ascii="Century Schoolbook" w:hAnsi="Century Schoolbook"/>
          <w:szCs w:val="26"/>
        </w:rPr>
        <w:t xml:space="preserve">“if her mental disorder was not treated by the antipsychotic medications sought it is probable that serious harm to her physical or mental health would result.” </w:t>
      </w:r>
      <w:r w:rsidR="00DB743C">
        <w:rPr>
          <w:rFonts w:ascii="Century Schoolbook" w:hAnsi="Century Schoolbook"/>
          <w:szCs w:val="26"/>
        </w:rPr>
        <w:t xml:space="preserve"> </w:t>
      </w:r>
      <w:r w:rsidR="00CB5AC6">
        <w:rPr>
          <w:rFonts w:ascii="Century Schoolbook" w:hAnsi="Century Schoolbook"/>
          <w:szCs w:val="26"/>
        </w:rPr>
        <w:t xml:space="preserve">D.K. appealed. </w:t>
      </w:r>
    </w:p>
    <w:p w:rsidR="003A3725" w:rsidP="000D07E6">
      <w:pPr>
        <w:spacing w:line="360" w:lineRule="auto"/>
        <w:rPr>
          <w:rFonts w:ascii="Century Schoolbook" w:hAnsi="Century Schoolbook"/>
          <w:szCs w:val="26"/>
        </w:rPr>
      </w:pPr>
      <w:r>
        <w:rPr>
          <w:rFonts w:ascii="Century Schoolbook" w:hAnsi="Century Schoolbook"/>
          <w:szCs w:val="26"/>
        </w:rPr>
        <w:tab/>
        <w:t xml:space="preserve">On February 7, 2023, the Orange County Superior Court conducted a hearing on DSH’s petition for a one-year order authorizing the involuntary administration of antipsychotic medication. </w:t>
      </w:r>
      <w:r w:rsidR="00DB743C">
        <w:rPr>
          <w:rFonts w:ascii="Century Schoolbook" w:hAnsi="Century Schoolbook"/>
          <w:szCs w:val="26"/>
        </w:rPr>
        <w:t xml:space="preserve"> </w:t>
      </w:r>
      <w:r>
        <w:rPr>
          <w:rFonts w:ascii="Century Schoolbook" w:hAnsi="Century Schoolbook"/>
          <w:szCs w:val="26"/>
        </w:rPr>
        <w:t xml:space="preserve">D.K. submitted on the request. </w:t>
      </w:r>
      <w:r w:rsidR="00DB743C">
        <w:rPr>
          <w:rFonts w:ascii="Century Schoolbook" w:hAnsi="Century Schoolbook"/>
          <w:szCs w:val="26"/>
        </w:rPr>
        <w:t xml:space="preserve"> </w:t>
      </w:r>
      <w:r>
        <w:rPr>
          <w:rFonts w:ascii="Century Schoolbook" w:hAnsi="Century Schoolbook"/>
          <w:szCs w:val="26"/>
        </w:rPr>
        <w:t xml:space="preserve">The court subsequently found D.K. “lack[ed] </w:t>
      </w:r>
      <w:r w:rsidR="007936DA">
        <w:rPr>
          <w:rFonts w:ascii="Century Schoolbook" w:hAnsi="Century Schoolbook"/>
          <w:szCs w:val="26"/>
        </w:rPr>
        <w:t xml:space="preserve">the </w:t>
      </w:r>
      <w:r>
        <w:rPr>
          <w:rFonts w:ascii="Century Schoolbook" w:hAnsi="Century Schoolbook"/>
          <w:szCs w:val="26"/>
        </w:rPr>
        <w:t xml:space="preserve">capacity to make decisions regarding antipsychotic medication and if [her] mental disorder is not treated, serious harm to [her] physical or mental health is the probable result.” </w:t>
      </w:r>
      <w:r w:rsidR="00DB743C">
        <w:rPr>
          <w:rFonts w:ascii="Century Schoolbook" w:hAnsi="Century Schoolbook"/>
          <w:szCs w:val="26"/>
        </w:rPr>
        <w:t xml:space="preserve"> </w:t>
      </w:r>
      <w:r>
        <w:rPr>
          <w:rFonts w:ascii="Century Schoolbook" w:hAnsi="Century Schoolbook"/>
          <w:szCs w:val="26"/>
        </w:rPr>
        <w:t xml:space="preserve">The court thus granted the petition. </w:t>
      </w:r>
    </w:p>
    <w:p w:rsidR="00F47C4D" w:rsidRPr="00F47C4D" w:rsidP="00F47C4D">
      <w:pPr>
        <w:spacing w:line="360" w:lineRule="auto"/>
        <w:jc w:val="center"/>
        <w:rPr>
          <w:rFonts w:ascii="Century Schoolbook" w:hAnsi="Century Schoolbook"/>
          <w:b/>
          <w:bCs/>
          <w:smallCaps/>
          <w:szCs w:val="26"/>
        </w:rPr>
      </w:pPr>
      <w:r w:rsidRPr="00F47C4D">
        <w:rPr>
          <w:rFonts w:ascii="Century Schoolbook" w:hAnsi="Century Schoolbook"/>
          <w:b/>
          <w:bCs/>
          <w:smallCaps/>
          <w:szCs w:val="26"/>
        </w:rPr>
        <w:t>Discussion</w:t>
      </w:r>
    </w:p>
    <w:p w:rsidR="00F47C4D" w:rsidRPr="00F47C4D" w:rsidP="000D07E6">
      <w:pPr>
        <w:spacing w:line="360" w:lineRule="auto"/>
        <w:rPr>
          <w:rFonts w:ascii="Century Schoolbook" w:hAnsi="Century Schoolbook"/>
          <w:b/>
          <w:bCs/>
          <w:szCs w:val="26"/>
        </w:rPr>
      </w:pPr>
      <w:r w:rsidRPr="00F47C4D">
        <w:rPr>
          <w:rFonts w:ascii="Century Schoolbook" w:hAnsi="Century Schoolbook"/>
          <w:b/>
          <w:bCs/>
          <w:szCs w:val="26"/>
        </w:rPr>
        <w:t>I.  Mootness</w:t>
      </w:r>
    </w:p>
    <w:p w:rsidR="00602F1A" w:rsidP="00B77110">
      <w:pPr>
        <w:spacing w:line="360" w:lineRule="auto"/>
        <w:rPr>
          <w:rFonts w:ascii="Century Schoolbook" w:hAnsi="Century Schoolbook"/>
          <w:szCs w:val="26"/>
        </w:rPr>
      </w:pPr>
      <w:r>
        <w:rPr>
          <w:rFonts w:ascii="Century Schoolbook" w:hAnsi="Century Schoolbook"/>
          <w:szCs w:val="26"/>
        </w:rPr>
        <w:tab/>
      </w:r>
      <w:r w:rsidR="00695AAD">
        <w:rPr>
          <w:rFonts w:ascii="Century Schoolbook" w:hAnsi="Century Schoolbook"/>
          <w:szCs w:val="26"/>
        </w:rPr>
        <w:t xml:space="preserve">The Attorney General contends the appeal is moot because </w:t>
      </w:r>
      <w:r>
        <w:rPr>
          <w:rFonts w:ascii="Century Schoolbook" w:hAnsi="Century Schoolbook"/>
          <w:szCs w:val="26"/>
        </w:rPr>
        <w:t xml:space="preserve">the interim </w:t>
      </w:r>
      <w:r w:rsidRPr="00695AAD">
        <w:rPr>
          <w:rFonts w:ascii="Century Schoolbook" w:hAnsi="Century Schoolbook"/>
          <w:szCs w:val="26"/>
        </w:rPr>
        <w:t xml:space="preserve">involuntary medication order </w:t>
      </w:r>
      <w:r>
        <w:rPr>
          <w:rFonts w:ascii="Century Schoolbook" w:hAnsi="Century Schoolbook"/>
          <w:szCs w:val="26"/>
        </w:rPr>
        <w:t>is no longer in effect</w:t>
      </w:r>
      <w:r w:rsidR="007C11CD">
        <w:rPr>
          <w:rFonts w:ascii="Century Schoolbook" w:hAnsi="Century Schoolbook"/>
          <w:szCs w:val="26"/>
        </w:rPr>
        <w:t>,</w:t>
      </w:r>
      <w:r>
        <w:rPr>
          <w:rFonts w:ascii="Century Schoolbook" w:hAnsi="Century Schoolbook"/>
          <w:szCs w:val="26"/>
        </w:rPr>
        <w:t xml:space="preserve"> and </w:t>
      </w:r>
      <w:r w:rsidR="00695AAD">
        <w:rPr>
          <w:rFonts w:ascii="Century Schoolbook" w:hAnsi="Century Schoolbook"/>
          <w:szCs w:val="26"/>
        </w:rPr>
        <w:t xml:space="preserve">D.K. did not </w:t>
      </w:r>
      <w:r>
        <w:rPr>
          <w:rFonts w:ascii="Century Schoolbook" w:hAnsi="Century Schoolbook"/>
          <w:szCs w:val="26"/>
        </w:rPr>
        <w:t>appeal from the subsequent involuntary medi</w:t>
      </w:r>
      <w:r w:rsidR="00987F44">
        <w:rPr>
          <w:rFonts w:ascii="Century Schoolbook" w:hAnsi="Century Schoolbook"/>
          <w:szCs w:val="26"/>
        </w:rPr>
        <w:t>c</w:t>
      </w:r>
      <w:r>
        <w:rPr>
          <w:rFonts w:ascii="Century Schoolbook" w:hAnsi="Century Schoolbook"/>
          <w:szCs w:val="26"/>
        </w:rPr>
        <w:t>ation order</w:t>
      </w:r>
      <w:r w:rsidR="00F47C4D">
        <w:rPr>
          <w:rFonts w:ascii="Century Schoolbook" w:hAnsi="Century Schoolbook"/>
          <w:szCs w:val="26"/>
        </w:rPr>
        <w:t xml:space="preserve"> entered by the Orange County Superior Court</w:t>
      </w:r>
      <w:r>
        <w:rPr>
          <w:rFonts w:ascii="Century Schoolbook" w:hAnsi="Century Schoolbook"/>
          <w:szCs w:val="26"/>
        </w:rPr>
        <w:t xml:space="preserve">. </w:t>
      </w:r>
      <w:r w:rsidR="00DB743C">
        <w:rPr>
          <w:rFonts w:ascii="Century Schoolbook" w:hAnsi="Century Schoolbook"/>
          <w:szCs w:val="26"/>
        </w:rPr>
        <w:t xml:space="preserve"> </w:t>
      </w:r>
      <w:r>
        <w:rPr>
          <w:rFonts w:ascii="Century Schoolbook" w:hAnsi="Century Schoolbook"/>
          <w:szCs w:val="26"/>
        </w:rPr>
        <w:t xml:space="preserve">D.K. </w:t>
      </w:r>
      <w:r w:rsidRPr="003A3725">
        <w:rPr>
          <w:rFonts w:ascii="Century Schoolbook" w:hAnsi="Century Schoolbook"/>
          <w:szCs w:val="26"/>
        </w:rPr>
        <w:t>contends the appeal is not moot because</w:t>
      </w:r>
      <w:r>
        <w:rPr>
          <w:rFonts w:ascii="Century Schoolbook" w:hAnsi="Century Schoolbook"/>
          <w:szCs w:val="26"/>
        </w:rPr>
        <w:t xml:space="preserve"> </w:t>
      </w:r>
      <w:r w:rsidR="00B77110">
        <w:rPr>
          <w:rFonts w:ascii="Century Schoolbook" w:hAnsi="Century Schoolbook"/>
          <w:szCs w:val="26"/>
        </w:rPr>
        <w:t xml:space="preserve">the brevity of the </w:t>
      </w:r>
      <w:r w:rsidRPr="00B77110" w:rsidR="00B77110">
        <w:rPr>
          <w:rFonts w:ascii="Century Schoolbook" w:hAnsi="Century Schoolbook"/>
          <w:szCs w:val="26"/>
        </w:rPr>
        <w:t>involuntary antipsychotic medication</w:t>
      </w:r>
      <w:r w:rsidR="00B77110">
        <w:rPr>
          <w:rFonts w:ascii="Century Schoolbook" w:hAnsi="Century Schoolbook"/>
          <w:szCs w:val="26"/>
        </w:rPr>
        <w:t xml:space="preserve"> </w:t>
      </w:r>
      <w:r w:rsidRPr="00B77110" w:rsidR="00B77110">
        <w:rPr>
          <w:rFonts w:ascii="Century Schoolbook" w:hAnsi="Century Schoolbook"/>
          <w:szCs w:val="26"/>
        </w:rPr>
        <w:t xml:space="preserve">order </w:t>
      </w:r>
      <w:r w:rsidR="0033044E">
        <w:rPr>
          <w:rFonts w:ascii="Century Schoolbook" w:hAnsi="Century Schoolbook"/>
          <w:szCs w:val="26"/>
        </w:rPr>
        <w:t>does not allow for appellate review and</w:t>
      </w:r>
      <w:r w:rsidR="00B77110">
        <w:rPr>
          <w:rFonts w:ascii="Century Schoolbook" w:hAnsi="Century Schoolbook"/>
          <w:szCs w:val="26"/>
        </w:rPr>
        <w:t xml:space="preserve"> “[m]eaningful review as to this proceeding is a substantial state-created right.” </w:t>
      </w:r>
      <w:r w:rsidR="00DB743C">
        <w:rPr>
          <w:rFonts w:ascii="Century Schoolbook" w:hAnsi="Century Schoolbook"/>
          <w:szCs w:val="26"/>
        </w:rPr>
        <w:t xml:space="preserve"> </w:t>
      </w:r>
    </w:p>
    <w:p w:rsidR="00602F1A" w:rsidP="00602F1A">
      <w:pPr>
        <w:spacing w:line="360" w:lineRule="auto"/>
        <w:rPr>
          <w:rFonts w:ascii="Century Schoolbook" w:hAnsi="Century Schoolbook"/>
          <w:szCs w:val="26"/>
        </w:rPr>
      </w:pPr>
      <w:r>
        <w:rPr>
          <w:rFonts w:ascii="Century Schoolbook" w:hAnsi="Century Schoolbook"/>
          <w:szCs w:val="26"/>
        </w:rPr>
        <w:tab/>
      </w:r>
      <w:r w:rsidR="007C11CD">
        <w:rPr>
          <w:rFonts w:ascii="Century Schoolbook" w:hAnsi="Century Schoolbook"/>
          <w:szCs w:val="26"/>
        </w:rPr>
        <w:t xml:space="preserve">Our role as an appellate court is to decide actual controversies, and not to opine </w:t>
      </w:r>
      <w:r w:rsidRPr="00153344" w:rsidR="00153344">
        <w:rPr>
          <w:rFonts w:ascii="Century Schoolbook" w:hAnsi="Century Schoolbook"/>
          <w:szCs w:val="26"/>
        </w:rPr>
        <w:t>‘</w:t>
      </w:r>
      <w:r w:rsidR="00153344">
        <w:rPr>
          <w:rFonts w:ascii="Century Schoolbook" w:hAnsi="Century Schoolbook"/>
          <w:szCs w:val="26"/>
        </w:rPr>
        <w:t> </w:t>
      </w:r>
      <w:r w:rsidRPr="00153344" w:rsidR="00153344">
        <w:rPr>
          <w:rFonts w:ascii="Century Schoolbook" w:hAnsi="Century Schoolbook"/>
          <w:szCs w:val="26"/>
        </w:rPr>
        <w:t>“</w:t>
      </w:r>
      <w:r w:rsidR="00153344">
        <w:rPr>
          <w:rFonts w:ascii="Century Schoolbook" w:hAnsi="Century Schoolbook"/>
          <w:szCs w:val="26"/>
        </w:rPr>
        <w:t> </w:t>
      </w:r>
      <w:r w:rsidRPr="00153344" w:rsidR="00153344">
        <w:rPr>
          <w:rFonts w:ascii="Century Schoolbook" w:hAnsi="Century Schoolbook"/>
          <w:szCs w:val="26"/>
        </w:rPr>
        <w:t>‘</w:t>
      </w:r>
      <w:r w:rsidR="00153344">
        <w:rPr>
          <w:rFonts w:ascii="Century Schoolbook" w:hAnsi="Century Schoolbook"/>
          <w:szCs w:val="26"/>
        </w:rPr>
        <w:t> </w:t>
      </w:r>
      <w:r w:rsidRPr="00153344" w:rsidR="00153344">
        <w:rPr>
          <w:rFonts w:ascii="Century Schoolbook" w:hAnsi="Century Schoolbook"/>
          <w:szCs w:val="26"/>
        </w:rPr>
        <w:t>“upon moot questions or abstract propositions, or .</w:t>
      </w:r>
      <w:r w:rsidR="00153344">
        <w:rPr>
          <w:rFonts w:ascii="Century Schoolbook" w:hAnsi="Century Schoolbook"/>
          <w:szCs w:val="26"/>
        </w:rPr>
        <w:t> </w:t>
      </w:r>
      <w:r w:rsidRPr="00153344" w:rsidR="00153344">
        <w:rPr>
          <w:rFonts w:ascii="Century Schoolbook" w:hAnsi="Century Schoolbook"/>
          <w:szCs w:val="26"/>
        </w:rPr>
        <w:t>.</w:t>
      </w:r>
      <w:r w:rsidR="00153344">
        <w:rPr>
          <w:rFonts w:ascii="Century Schoolbook" w:hAnsi="Century Schoolbook"/>
          <w:szCs w:val="26"/>
        </w:rPr>
        <w:t> </w:t>
      </w:r>
      <w:r w:rsidRPr="00153344" w:rsidR="00153344">
        <w:rPr>
          <w:rFonts w:ascii="Century Schoolbook" w:hAnsi="Century Schoolbook"/>
          <w:szCs w:val="26"/>
        </w:rPr>
        <w:t>. declare principles or rules of law which cannot affect the matter in issue in the case before it.’</w:t>
      </w:r>
      <w:r w:rsidR="00153344">
        <w:rPr>
          <w:rFonts w:ascii="Century Schoolbook" w:hAnsi="Century Schoolbook"/>
          <w:szCs w:val="26"/>
        </w:rPr>
        <w:t> </w:t>
      </w:r>
      <w:r w:rsidRPr="00153344" w:rsidR="00153344">
        <w:rPr>
          <w:rFonts w:ascii="Century Schoolbook" w:hAnsi="Century Schoolbook"/>
          <w:szCs w:val="26"/>
        </w:rPr>
        <w:t>”</w:t>
      </w:r>
      <w:r w:rsidR="00153344">
        <w:rPr>
          <w:rFonts w:ascii="Century Schoolbook" w:hAnsi="Century Schoolbook"/>
          <w:szCs w:val="26"/>
        </w:rPr>
        <w:t> </w:t>
      </w:r>
      <w:r w:rsidRPr="00153344" w:rsidR="00153344">
        <w:rPr>
          <w:rFonts w:ascii="Century Schoolbook" w:hAnsi="Century Schoolbook"/>
          <w:szCs w:val="26"/>
        </w:rPr>
        <w:t>’</w:t>
      </w:r>
      <w:r w:rsidR="00153344">
        <w:rPr>
          <w:rFonts w:ascii="Century Schoolbook" w:hAnsi="Century Schoolbook"/>
          <w:szCs w:val="26"/>
        </w:rPr>
        <w:t> </w:t>
      </w:r>
      <w:r w:rsidRPr="00153344" w:rsidR="00153344">
        <w:rPr>
          <w:rFonts w:ascii="Century Schoolbook" w:hAnsi="Century Schoolbook"/>
          <w:szCs w:val="26"/>
        </w:rPr>
        <w:t>”</w:t>
      </w:r>
      <w:r w:rsidR="00153344">
        <w:rPr>
          <w:rFonts w:ascii="Century Schoolbook" w:hAnsi="Century Schoolbook"/>
          <w:szCs w:val="26"/>
        </w:rPr>
        <w:t xml:space="preserve"> </w:t>
      </w:r>
      <w:r w:rsidRPr="00153344" w:rsidR="00153344">
        <w:rPr>
          <w:rFonts w:ascii="Century Schoolbook" w:hAnsi="Century Schoolbook"/>
          <w:szCs w:val="26"/>
        </w:rPr>
        <w:t xml:space="preserve"> [Citation.] </w:t>
      </w:r>
      <w:r w:rsidR="00153344">
        <w:rPr>
          <w:rFonts w:ascii="Century Schoolbook" w:hAnsi="Century Schoolbook"/>
          <w:szCs w:val="26"/>
        </w:rPr>
        <w:t xml:space="preserve"> </w:t>
      </w:r>
      <w:r w:rsidRPr="00153344" w:rsidR="00153344">
        <w:rPr>
          <w:rFonts w:ascii="Century Schoolbook" w:hAnsi="Century Schoolbook"/>
          <w:szCs w:val="26"/>
        </w:rPr>
        <w:t>‘[A] case becomes moot when a court ruling can have no practical effect or cannot provide the parties with effective relief</w:t>
      </w:r>
      <w:r w:rsidR="00153344">
        <w:rPr>
          <w:rFonts w:ascii="Century Schoolbook" w:hAnsi="Century Schoolbook"/>
          <w:szCs w:val="26"/>
        </w:rPr>
        <w:t>.’ </w:t>
      </w:r>
      <w:r w:rsidRPr="00153344" w:rsidR="00153344">
        <w:rPr>
          <w:rFonts w:ascii="Century Schoolbook" w:hAnsi="Century Schoolbook"/>
          <w:szCs w:val="26"/>
        </w:rPr>
        <w:t xml:space="preserve">” </w:t>
      </w:r>
      <w:r w:rsidR="00153344">
        <w:rPr>
          <w:rFonts w:ascii="Century Schoolbook" w:hAnsi="Century Schoolbook"/>
          <w:szCs w:val="26"/>
        </w:rPr>
        <w:t xml:space="preserve"> </w:t>
      </w:r>
      <w:r w:rsidRPr="00153344" w:rsidR="00153344">
        <w:rPr>
          <w:rFonts w:ascii="Century Schoolbook" w:hAnsi="Century Schoolbook"/>
          <w:szCs w:val="26"/>
        </w:rPr>
        <w:t>(</w:t>
      </w:r>
      <w:r w:rsidRPr="00153344" w:rsidR="00153344">
        <w:rPr>
          <w:rFonts w:ascii="Century Schoolbook" w:hAnsi="Century Schoolbook"/>
          <w:i/>
          <w:iCs/>
          <w:szCs w:val="26"/>
        </w:rPr>
        <w:t>People v. Rish</w:t>
      </w:r>
      <w:r w:rsidRPr="00153344" w:rsidR="00153344">
        <w:rPr>
          <w:rFonts w:ascii="Century Schoolbook" w:hAnsi="Century Schoolbook"/>
          <w:szCs w:val="26"/>
        </w:rPr>
        <w:t xml:space="preserve"> (2008) 163 Cal.App.4th 1370, 1380.)</w:t>
      </w:r>
      <w:r w:rsidR="00153344">
        <w:rPr>
          <w:rFonts w:ascii="Century Schoolbook" w:hAnsi="Century Schoolbook"/>
          <w:szCs w:val="26"/>
        </w:rPr>
        <w:t xml:space="preserve"> </w:t>
      </w:r>
      <w:r w:rsidRPr="00153344" w:rsidR="00153344">
        <w:rPr>
          <w:rFonts w:ascii="Century Schoolbook" w:hAnsi="Century Schoolbook"/>
          <w:szCs w:val="26"/>
        </w:rPr>
        <w:t xml:space="preserve"> Thus, “</w:t>
      </w:r>
      <w:r w:rsidR="00153344">
        <w:rPr>
          <w:rFonts w:ascii="Century Schoolbook" w:hAnsi="Century Schoolbook"/>
          <w:szCs w:val="26"/>
        </w:rPr>
        <w:t> </w:t>
      </w:r>
      <w:r w:rsidRPr="00153344" w:rsidR="00153344">
        <w:rPr>
          <w:rFonts w:ascii="Century Schoolbook" w:hAnsi="Century Schoolbook"/>
          <w:szCs w:val="26"/>
        </w:rPr>
        <w:t>‘</w:t>
      </w:r>
      <w:r w:rsidR="00153344">
        <w:rPr>
          <w:rFonts w:ascii="Century Schoolbook" w:hAnsi="Century Schoolbook"/>
          <w:szCs w:val="26"/>
        </w:rPr>
        <w:t> </w:t>
      </w:r>
      <w:r w:rsidRPr="00153344" w:rsidR="00153344">
        <w:rPr>
          <w:rFonts w:ascii="Century Schoolbook" w:hAnsi="Century Schoolbook"/>
          <w:szCs w:val="26"/>
        </w:rPr>
        <w:t xml:space="preserve">“[a]n action that originally was based on a justiciable controversy cannot be maintained on appeal if all the questions have become moot by subsequent acts or events. </w:t>
      </w:r>
      <w:r w:rsidR="00153344">
        <w:rPr>
          <w:rFonts w:ascii="Century Schoolbook" w:hAnsi="Century Schoolbook"/>
          <w:szCs w:val="26"/>
        </w:rPr>
        <w:t xml:space="preserve"> </w:t>
      </w:r>
      <w:r w:rsidRPr="00153344" w:rsidR="00153344">
        <w:rPr>
          <w:rFonts w:ascii="Century Schoolbook" w:hAnsi="Century Schoolbook"/>
          <w:szCs w:val="26"/>
        </w:rPr>
        <w:t>A reversal in such a case would be without practical effect, and the appeal will therefore be dismissed.”</w:t>
      </w:r>
      <w:r w:rsidR="00153344">
        <w:rPr>
          <w:rFonts w:ascii="Century Schoolbook" w:hAnsi="Century Schoolbook"/>
          <w:szCs w:val="26"/>
        </w:rPr>
        <w:t> </w:t>
      </w:r>
      <w:r w:rsidRPr="00153344" w:rsidR="00153344">
        <w:rPr>
          <w:rFonts w:ascii="Century Schoolbook" w:hAnsi="Century Schoolbook"/>
          <w:szCs w:val="26"/>
        </w:rPr>
        <w:t>’</w:t>
      </w:r>
      <w:r w:rsidR="00153344">
        <w:rPr>
          <w:rFonts w:ascii="Century Schoolbook" w:hAnsi="Century Schoolbook"/>
          <w:szCs w:val="26"/>
        </w:rPr>
        <w:t> </w:t>
      </w:r>
      <w:r w:rsidRPr="00153344" w:rsidR="00153344">
        <w:rPr>
          <w:rFonts w:ascii="Century Schoolbook" w:hAnsi="Century Schoolbook"/>
          <w:szCs w:val="26"/>
        </w:rPr>
        <w:t>”</w:t>
      </w:r>
      <w:r w:rsidR="00153344">
        <w:rPr>
          <w:rFonts w:ascii="Century Schoolbook" w:hAnsi="Century Schoolbook"/>
          <w:szCs w:val="26"/>
        </w:rPr>
        <w:t xml:space="preserve"> </w:t>
      </w:r>
      <w:r w:rsidRPr="00153344" w:rsidR="00153344">
        <w:rPr>
          <w:rFonts w:ascii="Century Schoolbook" w:hAnsi="Century Schoolbook"/>
          <w:szCs w:val="26"/>
        </w:rPr>
        <w:t xml:space="preserve"> (</w:t>
      </w:r>
      <w:r w:rsidRPr="00153344" w:rsidR="00153344">
        <w:rPr>
          <w:rFonts w:ascii="Century Schoolbook" w:hAnsi="Century Schoolbook"/>
          <w:i/>
          <w:iCs/>
          <w:szCs w:val="26"/>
        </w:rPr>
        <w:t>People v. Delong</w:t>
      </w:r>
      <w:r w:rsidRPr="00153344" w:rsidR="00153344">
        <w:rPr>
          <w:rFonts w:ascii="Century Schoolbook" w:hAnsi="Century Schoolbook"/>
          <w:szCs w:val="26"/>
        </w:rPr>
        <w:t xml:space="preserve"> (2002) 101 Cal.App.4th 482, 486.)</w:t>
      </w:r>
      <w:r w:rsidR="007C11CD">
        <w:rPr>
          <w:rFonts w:ascii="Century Schoolbook" w:hAnsi="Century Schoolbook"/>
          <w:szCs w:val="26"/>
        </w:rPr>
        <w:t xml:space="preserve">  </w:t>
      </w:r>
      <w:r w:rsidR="00884144">
        <w:rPr>
          <w:rFonts w:ascii="Century Schoolbook" w:hAnsi="Century Schoolbook"/>
          <w:szCs w:val="26"/>
        </w:rPr>
        <w:t>However, even in the event of a moot controversy</w:t>
      </w:r>
      <w:r w:rsidR="00F47C4D">
        <w:rPr>
          <w:rFonts w:ascii="Century Schoolbook" w:hAnsi="Century Schoolbook"/>
          <w:szCs w:val="26"/>
        </w:rPr>
        <w:t>, courts</w:t>
      </w:r>
      <w:r w:rsidRPr="00602F1A">
        <w:rPr>
          <w:rFonts w:ascii="Century Schoolbook" w:hAnsi="Century Schoolbook"/>
          <w:szCs w:val="26"/>
        </w:rPr>
        <w:t xml:space="preserve"> may exercise </w:t>
      </w:r>
      <w:r w:rsidR="00F47C4D">
        <w:rPr>
          <w:rFonts w:ascii="Century Schoolbook" w:hAnsi="Century Schoolbook"/>
          <w:szCs w:val="26"/>
        </w:rPr>
        <w:t>their</w:t>
      </w:r>
      <w:r w:rsidRPr="00602F1A">
        <w:rPr>
          <w:rFonts w:ascii="Century Schoolbook" w:hAnsi="Century Schoolbook"/>
          <w:szCs w:val="26"/>
        </w:rPr>
        <w:t xml:space="preserve"> discretion to decide issues raised </w:t>
      </w:r>
      <w:r w:rsidR="00F47C4D">
        <w:rPr>
          <w:rFonts w:ascii="Century Schoolbook" w:hAnsi="Century Schoolbook"/>
          <w:szCs w:val="26"/>
        </w:rPr>
        <w:t>on</w:t>
      </w:r>
      <w:r w:rsidRPr="00602F1A">
        <w:rPr>
          <w:rFonts w:ascii="Century Schoolbook" w:hAnsi="Century Schoolbook"/>
          <w:szCs w:val="26"/>
        </w:rPr>
        <w:t xml:space="preserve"> appeal if they </w:t>
      </w:r>
      <w:bookmarkStart w:id="0" w:name="_Hlk164430669"/>
      <w:r w:rsidRPr="00602F1A">
        <w:rPr>
          <w:rFonts w:ascii="Century Schoolbook" w:hAnsi="Century Schoolbook"/>
          <w:szCs w:val="26"/>
        </w:rPr>
        <w:t xml:space="preserve">involve important issues of public interest that are capable of repetition yet evade review. </w:t>
      </w:r>
      <w:r>
        <w:rPr>
          <w:rFonts w:ascii="Century Schoolbook" w:hAnsi="Century Schoolbook"/>
          <w:szCs w:val="26"/>
        </w:rPr>
        <w:t xml:space="preserve"> </w:t>
      </w:r>
      <w:r w:rsidRPr="00602F1A">
        <w:rPr>
          <w:rFonts w:ascii="Century Schoolbook" w:hAnsi="Century Schoolbook"/>
          <w:szCs w:val="26"/>
        </w:rPr>
        <w:t xml:space="preserve">(See, e.g., </w:t>
      </w:r>
      <w:r w:rsidRPr="00602F1A">
        <w:rPr>
          <w:rFonts w:ascii="Century Schoolbook" w:hAnsi="Century Schoolbook"/>
          <w:i/>
          <w:iCs/>
          <w:szCs w:val="26"/>
        </w:rPr>
        <w:t>People v. Cheek</w:t>
      </w:r>
      <w:r w:rsidRPr="00602F1A">
        <w:rPr>
          <w:rFonts w:ascii="Century Schoolbook" w:hAnsi="Century Schoolbook"/>
          <w:szCs w:val="26"/>
        </w:rPr>
        <w:t xml:space="preserve"> (2001) 25 Cal.4th 894, 897–898</w:t>
      </w:r>
      <w:bookmarkEnd w:id="0"/>
      <w:r w:rsidRPr="00602F1A">
        <w:rPr>
          <w:rFonts w:ascii="Century Schoolbook" w:hAnsi="Century Schoolbook"/>
          <w:szCs w:val="26"/>
        </w:rPr>
        <w:t xml:space="preserve">; </w:t>
      </w:r>
      <w:r w:rsidRPr="00602F1A">
        <w:rPr>
          <w:rFonts w:ascii="Century Schoolbook" w:hAnsi="Century Schoolbook"/>
          <w:i/>
          <w:iCs/>
          <w:szCs w:val="26"/>
        </w:rPr>
        <w:t>Conservatorship of Wendland</w:t>
      </w:r>
      <w:r w:rsidRPr="00602F1A">
        <w:rPr>
          <w:rFonts w:ascii="Century Schoolbook" w:hAnsi="Century Schoolbook"/>
          <w:szCs w:val="26"/>
        </w:rPr>
        <w:t xml:space="preserve"> (2001) 26 Cal.4th 519, 524, fn. 1.)</w:t>
      </w:r>
    </w:p>
    <w:p w:rsidR="00F47C4D" w:rsidP="00602F1A">
      <w:pPr>
        <w:spacing w:line="360" w:lineRule="auto"/>
        <w:rPr>
          <w:rFonts w:ascii="Century Schoolbook" w:hAnsi="Century Schoolbook"/>
          <w:szCs w:val="26"/>
        </w:rPr>
      </w:pPr>
      <w:r>
        <w:rPr>
          <w:rFonts w:ascii="Century Schoolbook" w:hAnsi="Century Schoolbook"/>
          <w:szCs w:val="26"/>
        </w:rPr>
        <w:tab/>
        <w:t xml:space="preserve">D.K. raises two </w:t>
      </w:r>
      <w:r w:rsidR="00B77110">
        <w:rPr>
          <w:rFonts w:ascii="Century Schoolbook" w:hAnsi="Century Schoolbook"/>
          <w:szCs w:val="26"/>
        </w:rPr>
        <w:t xml:space="preserve">main </w:t>
      </w:r>
      <w:r>
        <w:rPr>
          <w:rFonts w:ascii="Century Schoolbook" w:hAnsi="Century Schoolbook"/>
          <w:szCs w:val="26"/>
        </w:rPr>
        <w:t xml:space="preserve">arguments on appeal.  First, she contends substantial evidence did not support the temporary involuntary medication order.  </w:t>
      </w:r>
      <w:r w:rsidR="003424E9">
        <w:rPr>
          <w:rFonts w:ascii="Century Schoolbook" w:hAnsi="Century Schoolbook"/>
          <w:szCs w:val="26"/>
        </w:rPr>
        <w:t>This</w:t>
      </w:r>
      <w:r w:rsidR="004F651E">
        <w:rPr>
          <w:rFonts w:ascii="Century Schoolbook" w:hAnsi="Century Schoolbook"/>
          <w:szCs w:val="26"/>
        </w:rPr>
        <w:t xml:space="preserve"> argument is </w:t>
      </w:r>
      <w:r w:rsidRPr="004F651E" w:rsidR="004F651E">
        <w:rPr>
          <w:rFonts w:ascii="Century Schoolbook" w:hAnsi="Century Schoolbook"/>
          <w:szCs w:val="26"/>
        </w:rPr>
        <w:t>grounded in case-specific evidence not likely to recur in the same manner at future proceedings</w:t>
      </w:r>
      <w:r w:rsidR="003424E9">
        <w:rPr>
          <w:rFonts w:ascii="Century Schoolbook" w:hAnsi="Century Schoolbook"/>
          <w:szCs w:val="26"/>
        </w:rPr>
        <w:t xml:space="preserve">, specifically </w:t>
      </w:r>
      <w:r w:rsidR="00A953E9">
        <w:rPr>
          <w:rFonts w:ascii="Century Schoolbook" w:hAnsi="Century Schoolbook"/>
          <w:szCs w:val="26"/>
        </w:rPr>
        <w:t>the</w:t>
      </w:r>
      <w:r w:rsidR="00227140">
        <w:rPr>
          <w:rFonts w:ascii="Century Schoolbook" w:hAnsi="Century Schoolbook"/>
          <w:szCs w:val="26"/>
        </w:rPr>
        <w:t xml:space="preserve"> </w:t>
      </w:r>
      <w:r w:rsidR="00C86FBC">
        <w:rPr>
          <w:rFonts w:ascii="Century Schoolbook" w:hAnsi="Century Schoolbook"/>
          <w:szCs w:val="26"/>
        </w:rPr>
        <w:t xml:space="preserve">treating </w:t>
      </w:r>
      <w:r w:rsidR="00227140">
        <w:rPr>
          <w:rFonts w:ascii="Century Schoolbook" w:hAnsi="Century Schoolbook"/>
          <w:szCs w:val="26"/>
        </w:rPr>
        <w:t xml:space="preserve">psychiatrist’s testimony of D.K.’s then-current mental state.  </w:t>
      </w:r>
      <w:r w:rsidR="002C2261">
        <w:rPr>
          <w:rFonts w:ascii="Century Schoolbook" w:hAnsi="Century Schoolbook"/>
          <w:szCs w:val="26"/>
        </w:rPr>
        <w:t>And f</w:t>
      </w:r>
      <w:r w:rsidR="00227140">
        <w:rPr>
          <w:rFonts w:ascii="Century Schoolbook" w:hAnsi="Century Schoolbook"/>
          <w:szCs w:val="26"/>
        </w:rPr>
        <w:t>uture proceedings</w:t>
      </w:r>
      <w:r w:rsidR="003424E9">
        <w:rPr>
          <w:rFonts w:ascii="Century Schoolbook" w:hAnsi="Century Schoolbook"/>
          <w:szCs w:val="26"/>
        </w:rPr>
        <w:t xml:space="preserve"> </w:t>
      </w:r>
      <w:r w:rsidR="00227140">
        <w:rPr>
          <w:rFonts w:ascii="Century Schoolbook" w:hAnsi="Century Schoolbook"/>
          <w:szCs w:val="26"/>
        </w:rPr>
        <w:t xml:space="preserve">would </w:t>
      </w:r>
      <w:r w:rsidR="00C86FBC">
        <w:rPr>
          <w:rFonts w:ascii="Century Schoolbook" w:hAnsi="Century Schoolbook"/>
          <w:szCs w:val="26"/>
        </w:rPr>
        <w:t xml:space="preserve">presumably </w:t>
      </w:r>
      <w:r w:rsidR="00227140">
        <w:rPr>
          <w:rFonts w:ascii="Century Schoolbook" w:hAnsi="Century Schoolbook"/>
          <w:szCs w:val="26"/>
        </w:rPr>
        <w:t xml:space="preserve">be based on updated medical reports and testimony.  </w:t>
      </w:r>
      <w:r w:rsidR="003424E9">
        <w:rPr>
          <w:rFonts w:ascii="Century Schoolbook" w:hAnsi="Century Schoolbook"/>
          <w:szCs w:val="26"/>
        </w:rPr>
        <w:t>We therefore do not exercise our discretion to decide this issue</w:t>
      </w:r>
      <w:r w:rsidR="001B2462">
        <w:rPr>
          <w:rFonts w:ascii="Century Schoolbook" w:hAnsi="Century Schoolbook"/>
          <w:szCs w:val="26"/>
        </w:rPr>
        <w:t xml:space="preserve"> as it is unlikely</w:t>
      </w:r>
      <w:r w:rsidRPr="00227140" w:rsidR="001B2462">
        <w:rPr>
          <w:rFonts w:ascii="Century Schoolbook" w:hAnsi="Century Schoolbook"/>
          <w:szCs w:val="26"/>
        </w:rPr>
        <w:t xml:space="preserve"> to recur in the same manner at future proceedings</w:t>
      </w:r>
      <w:r w:rsidR="001B2462">
        <w:rPr>
          <w:rFonts w:ascii="Century Schoolbook" w:hAnsi="Century Schoolbook"/>
          <w:szCs w:val="26"/>
        </w:rPr>
        <w:t xml:space="preserve"> and does not qualify as an important issue of public interest that is capable of repetition</w:t>
      </w:r>
      <w:r w:rsidRPr="00227140" w:rsidR="001B2462">
        <w:rPr>
          <w:rFonts w:ascii="Century Schoolbook" w:hAnsi="Century Schoolbook"/>
          <w:szCs w:val="26"/>
        </w:rPr>
        <w:t>.</w:t>
      </w:r>
      <w:r w:rsidR="001B2462">
        <w:rPr>
          <w:rFonts w:ascii="Century Schoolbook" w:hAnsi="Century Schoolbook"/>
          <w:szCs w:val="26"/>
        </w:rPr>
        <w:t xml:space="preserve"> </w:t>
      </w:r>
      <w:r w:rsidRPr="00227140" w:rsidR="001B2462">
        <w:rPr>
          <w:rFonts w:ascii="Century Schoolbook" w:hAnsi="Century Schoolbook"/>
          <w:szCs w:val="26"/>
        </w:rPr>
        <w:t xml:space="preserve"> (See </w:t>
      </w:r>
      <w:r w:rsidRPr="00227140" w:rsidR="001B2462">
        <w:rPr>
          <w:rFonts w:ascii="Century Schoolbook" w:hAnsi="Century Schoolbook"/>
          <w:i/>
          <w:iCs/>
          <w:szCs w:val="26"/>
        </w:rPr>
        <w:t>People v. McCray</w:t>
      </w:r>
      <w:r w:rsidRPr="004F651E" w:rsidR="001B2462">
        <w:rPr>
          <w:rFonts w:ascii="Century Schoolbook" w:hAnsi="Century Schoolbook"/>
          <w:szCs w:val="26"/>
        </w:rPr>
        <w:t xml:space="preserve"> (2023) 98 Cal.App.5th 260,</w:t>
      </w:r>
      <w:r w:rsidR="001B2462">
        <w:rPr>
          <w:rFonts w:ascii="Century Schoolbook" w:hAnsi="Century Schoolbook"/>
          <w:szCs w:val="26"/>
        </w:rPr>
        <w:t xml:space="preserve"> </w:t>
      </w:r>
      <w:r w:rsidRPr="00227140" w:rsidR="001B2462">
        <w:rPr>
          <w:rFonts w:ascii="Century Schoolbook" w:hAnsi="Century Schoolbook"/>
          <w:szCs w:val="26"/>
        </w:rPr>
        <w:t>268 [declining to address moot questions that are fact-specific].)</w:t>
      </w:r>
      <w:r w:rsidR="001B2462">
        <w:rPr>
          <w:rFonts w:ascii="Century Schoolbook" w:hAnsi="Century Schoolbook"/>
          <w:szCs w:val="26"/>
        </w:rPr>
        <w:t xml:space="preserve">  </w:t>
      </w:r>
    </w:p>
    <w:p w:rsidR="00A953E9" w:rsidP="00602F1A">
      <w:pPr>
        <w:spacing w:line="360" w:lineRule="auto"/>
        <w:rPr>
          <w:rFonts w:ascii="Century Schoolbook" w:hAnsi="Century Schoolbook"/>
          <w:szCs w:val="26"/>
        </w:rPr>
      </w:pPr>
      <w:r>
        <w:rPr>
          <w:rFonts w:ascii="Century Schoolbook" w:hAnsi="Century Schoolbook"/>
          <w:szCs w:val="26"/>
        </w:rPr>
        <w:tab/>
        <w:t xml:space="preserve">D.K.’s second argument </w:t>
      </w:r>
      <w:r w:rsidR="003424E9">
        <w:rPr>
          <w:rFonts w:ascii="Century Schoolbook" w:hAnsi="Century Schoolbook"/>
          <w:szCs w:val="26"/>
        </w:rPr>
        <w:t>is that</w:t>
      </w:r>
      <w:r>
        <w:rPr>
          <w:rFonts w:ascii="Century Schoolbook" w:hAnsi="Century Schoolbook"/>
          <w:szCs w:val="26"/>
        </w:rPr>
        <w:t xml:space="preserve"> she </w:t>
      </w:r>
      <w:r w:rsidR="003424E9">
        <w:rPr>
          <w:rFonts w:ascii="Century Schoolbook" w:hAnsi="Century Schoolbook"/>
          <w:szCs w:val="26"/>
        </w:rPr>
        <w:t>wa</w:t>
      </w:r>
      <w:r>
        <w:rPr>
          <w:rFonts w:ascii="Century Schoolbook" w:hAnsi="Century Schoolbook"/>
          <w:szCs w:val="26"/>
        </w:rPr>
        <w:t>s entitled to</w:t>
      </w:r>
      <w:r w:rsidR="00C86FBC">
        <w:rPr>
          <w:rFonts w:ascii="Century Schoolbook" w:hAnsi="Century Schoolbook"/>
          <w:szCs w:val="26"/>
        </w:rPr>
        <w:t xml:space="preserve"> file a writ petition</w:t>
      </w:r>
      <w:r>
        <w:rPr>
          <w:rFonts w:ascii="Century Schoolbook" w:hAnsi="Century Schoolbook"/>
          <w:szCs w:val="26"/>
        </w:rPr>
        <w:t xml:space="preserve"> </w:t>
      </w:r>
      <w:r w:rsidR="00C86FBC">
        <w:rPr>
          <w:rFonts w:ascii="Century Schoolbook" w:hAnsi="Century Schoolbook"/>
          <w:szCs w:val="26"/>
        </w:rPr>
        <w:t xml:space="preserve">contesting </w:t>
      </w:r>
      <w:r>
        <w:rPr>
          <w:rFonts w:ascii="Century Schoolbook" w:hAnsi="Century Schoolbook"/>
          <w:szCs w:val="26"/>
        </w:rPr>
        <w:t xml:space="preserve">the </w:t>
      </w:r>
      <w:r w:rsidR="003424E9">
        <w:rPr>
          <w:rFonts w:ascii="Century Schoolbook" w:hAnsi="Century Schoolbook"/>
          <w:szCs w:val="26"/>
        </w:rPr>
        <w:t>ALJ’s</w:t>
      </w:r>
      <w:r>
        <w:rPr>
          <w:rFonts w:ascii="Century Schoolbook" w:hAnsi="Century Schoolbook"/>
          <w:szCs w:val="26"/>
        </w:rPr>
        <w:t xml:space="preserve"> temporary involuntary medication</w:t>
      </w:r>
      <w:r w:rsidR="00C86FBC">
        <w:rPr>
          <w:rFonts w:ascii="Century Schoolbook" w:hAnsi="Century Schoolbook"/>
          <w:szCs w:val="26"/>
        </w:rPr>
        <w:t xml:space="preserve"> order</w:t>
      </w:r>
      <w:r w:rsidR="003935B1">
        <w:rPr>
          <w:rFonts w:ascii="Century Schoolbook" w:hAnsi="Century Schoolbook"/>
          <w:szCs w:val="26"/>
        </w:rPr>
        <w:t xml:space="preserve">, an important </w:t>
      </w:r>
      <w:r w:rsidR="007D4DB1">
        <w:rPr>
          <w:rFonts w:ascii="Century Schoolbook" w:hAnsi="Century Schoolbook"/>
          <w:szCs w:val="26"/>
        </w:rPr>
        <w:t xml:space="preserve">issue </w:t>
      </w:r>
      <w:r w:rsidR="003935B1">
        <w:rPr>
          <w:rFonts w:ascii="Century Schoolbook" w:hAnsi="Century Schoolbook"/>
          <w:szCs w:val="26"/>
        </w:rPr>
        <w:t>of public interest given the “ </w:t>
      </w:r>
      <w:r w:rsidRPr="00A70840" w:rsidR="003935B1">
        <w:rPr>
          <w:rFonts w:ascii="Century Schoolbook" w:hAnsi="Century Schoolbook"/>
          <w:szCs w:val="26"/>
        </w:rPr>
        <w:t>‘significant’ constitutionally protected ‘liberty interest’ in ‘avoiding the unwanted administration of antipsychotic drugs</w:t>
      </w:r>
      <w:r w:rsidR="003935B1">
        <w:rPr>
          <w:rFonts w:ascii="Century Schoolbook" w:hAnsi="Century Schoolbook"/>
          <w:szCs w:val="26"/>
        </w:rPr>
        <w:t>.</w:t>
      </w:r>
      <w:r w:rsidRPr="00A70840" w:rsidR="003935B1">
        <w:rPr>
          <w:rFonts w:ascii="Century Schoolbook" w:hAnsi="Century Schoolbook"/>
          <w:szCs w:val="26"/>
        </w:rPr>
        <w:t>’</w:t>
      </w:r>
      <w:r w:rsidR="003935B1">
        <w:rPr>
          <w:rFonts w:ascii="Century Schoolbook" w:hAnsi="Century Schoolbook"/>
          <w:szCs w:val="26"/>
        </w:rPr>
        <w:t> </w:t>
      </w:r>
      <w:r w:rsidRPr="00A70840" w:rsidR="003935B1">
        <w:rPr>
          <w:rFonts w:ascii="Century Schoolbook" w:hAnsi="Century Schoolbook"/>
          <w:szCs w:val="26"/>
        </w:rPr>
        <w:t>”</w:t>
      </w:r>
      <w:r w:rsidR="003935B1">
        <w:rPr>
          <w:rFonts w:ascii="Century Schoolbook" w:hAnsi="Century Schoolbook"/>
          <w:szCs w:val="26"/>
        </w:rPr>
        <w:t xml:space="preserve">  (</w:t>
      </w:r>
      <w:r w:rsidRPr="00A70840" w:rsidR="003935B1">
        <w:rPr>
          <w:rFonts w:ascii="Century Schoolbook" w:hAnsi="Century Schoolbook"/>
          <w:i/>
          <w:iCs/>
          <w:szCs w:val="26"/>
        </w:rPr>
        <w:t>Sell v. United States</w:t>
      </w:r>
      <w:r w:rsidRPr="00A70840" w:rsidR="003935B1">
        <w:rPr>
          <w:rFonts w:ascii="Century Schoolbook" w:hAnsi="Century Schoolbook"/>
          <w:szCs w:val="26"/>
        </w:rPr>
        <w:t xml:space="preserve"> (2003) 539 U.S. 166, 178</w:t>
      </w:r>
      <w:r w:rsidR="003935B1">
        <w:rPr>
          <w:rFonts w:ascii="Century Schoolbook" w:hAnsi="Century Schoolbook"/>
          <w:szCs w:val="26"/>
        </w:rPr>
        <w:t>.)  And it is an issue both capable of repetition and likely to evade appellate review d</w:t>
      </w:r>
      <w:r w:rsidR="003424E9">
        <w:rPr>
          <w:rFonts w:ascii="Century Schoolbook" w:hAnsi="Century Schoolbook"/>
          <w:szCs w:val="26"/>
        </w:rPr>
        <w:t>ue to</w:t>
      </w:r>
      <w:r w:rsidR="00A70840">
        <w:rPr>
          <w:rFonts w:ascii="Century Schoolbook" w:hAnsi="Century Schoolbook"/>
          <w:szCs w:val="26"/>
        </w:rPr>
        <w:t xml:space="preserve"> the short</w:t>
      </w:r>
      <w:r w:rsidR="00C86FBC">
        <w:rPr>
          <w:rFonts w:ascii="Century Schoolbook" w:hAnsi="Century Schoolbook"/>
          <w:szCs w:val="26"/>
        </w:rPr>
        <w:t>, 21-day</w:t>
      </w:r>
      <w:r w:rsidR="00A70840">
        <w:rPr>
          <w:rFonts w:ascii="Century Schoolbook" w:hAnsi="Century Schoolbook"/>
          <w:szCs w:val="26"/>
        </w:rPr>
        <w:t xml:space="preserve"> time frame of these temporary involuntary medication orders.  Accordingly, we </w:t>
      </w:r>
      <w:r w:rsidR="003424E9">
        <w:rPr>
          <w:rFonts w:ascii="Century Schoolbook" w:hAnsi="Century Schoolbook"/>
          <w:szCs w:val="26"/>
        </w:rPr>
        <w:t>a</w:t>
      </w:r>
      <w:r w:rsidR="00A70840">
        <w:rPr>
          <w:rFonts w:ascii="Century Schoolbook" w:hAnsi="Century Schoolbook"/>
          <w:szCs w:val="26"/>
        </w:rPr>
        <w:t>ddress the merits of D.K.’s argument that she is entitled to writ review of the temporary involuntary medication order under section 1370.</w:t>
      </w:r>
    </w:p>
    <w:p w:rsidR="00C523FB" w:rsidRPr="00A70840" w:rsidP="00C7175E">
      <w:pPr>
        <w:spacing w:line="360" w:lineRule="auto"/>
        <w:ind w:left="450" w:hanging="450"/>
        <w:rPr>
          <w:rFonts w:ascii="Century Schoolbook" w:hAnsi="Century Schoolbook"/>
          <w:b/>
          <w:bCs/>
          <w:szCs w:val="26"/>
        </w:rPr>
      </w:pPr>
      <w:r w:rsidRPr="00A70840">
        <w:rPr>
          <w:rFonts w:ascii="Century Schoolbook" w:hAnsi="Century Schoolbook"/>
          <w:b/>
          <w:bCs/>
          <w:szCs w:val="26"/>
        </w:rPr>
        <w:t xml:space="preserve">II.  </w:t>
      </w:r>
      <w:r>
        <w:rPr>
          <w:rFonts w:ascii="Century Schoolbook" w:hAnsi="Century Schoolbook"/>
          <w:b/>
          <w:bCs/>
          <w:szCs w:val="26"/>
        </w:rPr>
        <w:t xml:space="preserve">D.K. Was </w:t>
      </w:r>
      <w:r w:rsidRPr="00A70840">
        <w:rPr>
          <w:rFonts w:ascii="Century Schoolbook" w:hAnsi="Century Schoolbook"/>
          <w:b/>
          <w:bCs/>
          <w:szCs w:val="26"/>
        </w:rPr>
        <w:t>Entitle</w:t>
      </w:r>
      <w:r>
        <w:rPr>
          <w:rFonts w:ascii="Century Schoolbook" w:hAnsi="Century Schoolbook"/>
          <w:b/>
          <w:bCs/>
          <w:szCs w:val="26"/>
        </w:rPr>
        <w:t>d</w:t>
      </w:r>
      <w:r w:rsidRPr="00A70840">
        <w:rPr>
          <w:rFonts w:ascii="Century Schoolbook" w:hAnsi="Century Schoolbook"/>
          <w:b/>
          <w:bCs/>
          <w:szCs w:val="26"/>
        </w:rPr>
        <w:t xml:space="preserve"> to Writ Review</w:t>
      </w:r>
      <w:r>
        <w:rPr>
          <w:rFonts w:ascii="Century Schoolbook" w:hAnsi="Century Schoolbook"/>
          <w:b/>
          <w:bCs/>
          <w:szCs w:val="26"/>
        </w:rPr>
        <w:t xml:space="preserve"> of the Temporary Involuntary Medication Order </w:t>
      </w:r>
    </w:p>
    <w:p w:rsidR="00B94F2E" w:rsidP="00C523FB">
      <w:pPr>
        <w:spacing w:line="360" w:lineRule="auto"/>
        <w:rPr>
          <w:rFonts w:ascii="Century Schoolbook" w:hAnsi="Century Schoolbook"/>
          <w:szCs w:val="26"/>
        </w:rPr>
      </w:pPr>
      <w:r>
        <w:rPr>
          <w:rFonts w:ascii="Century Schoolbook" w:hAnsi="Century Schoolbook"/>
          <w:szCs w:val="26"/>
        </w:rPr>
        <w:tab/>
        <w:t xml:space="preserve">D.K. argues she is entitled to writ review of the temporary involuntary medication order because section 1370 does not otherwise </w:t>
      </w:r>
      <w:r w:rsidR="0051197B">
        <w:rPr>
          <w:rFonts w:ascii="Century Schoolbook" w:hAnsi="Century Schoolbook"/>
          <w:szCs w:val="26"/>
        </w:rPr>
        <w:t>supply</w:t>
      </w:r>
      <w:r>
        <w:rPr>
          <w:rFonts w:ascii="Century Schoolbook" w:hAnsi="Century Schoolbook"/>
          <w:szCs w:val="26"/>
        </w:rPr>
        <w:t xml:space="preserve"> a plain, speedy, and adequate remedy to contest such </w:t>
      </w:r>
      <w:r w:rsidR="00C86FBC">
        <w:rPr>
          <w:rFonts w:ascii="Century Schoolbook" w:hAnsi="Century Schoolbook"/>
          <w:szCs w:val="26"/>
        </w:rPr>
        <w:t xml:space="preserve">an </w:t>
      </w:r>
      <w:r>
        <w:rPr>
          <w:rFonts w:ascii="Century Schoolbook" w:hAnsi="Century Schoolbook"/>
          <w:szCs w:val="26"/>
        </w:rPr>
        <w:t xml:space="preserve">order. </w:t>
      </w:r>
      <w:r w:rsidR="00DB743C">
        <w:rPr>
          <w:rFonts w:ascii="Century Schoolbook" w:hAnsi="Century Schoolbook"/>
          <w:szCs w:val="26"/>
        </w:rPr>
        <w:t xml:space="preserve"> </w:t>
      </w:r>
      <w:r w:rsidR="006422C9">
        <w:rPr>
          <w:rFonts w:ascii="Century Schoolbook" w:hAnsi="Century Schoolbook"/>
          <w:szCs w:val="26"/>
        </w:rPr>
        <w:t xml:space="preserve">(See </w:t>
      </w:r>
      <w:r w:rsidRPr="006422C9" w:rsidR="006422C9">
        <w:rPr>
          <w:rFonts w:ascii="Century Schoolbook" w:hAnsi="Century Schoolbook"/>
          <w:i/>
          <w:iCs/>
          <w:szCs w:val="26"/>
        </w:rPr>
        <w:t>County of Sacramento v. Assessment Appeals Bd. No. 2</w:t>
      </w:r>
      <w:r w:rsidRPr="006422C9" w:rsidR="006422C9">
        <w:rPr>
          <w:rFonts w:ascii="Century Schoolbook" w:hAnsi="Century Schoolbook"/>
          <w:szCs w:val="26"/>
        </w:rPr>
        <w:t xml:space="preserve"> (1973) 32 Cal.App.3d 654, 672</w:t>
      </w:r>
      <w:r w:rsidR="006422C9">
        <w:rPr>
          <w:rFonts w:ascii="Century Schoolbook" w:hAnsi="Century Schoolbook"/>
          <w:szCs w:val="26"/>
        </w:rPr>
        <w:t xml:space="preserve"> </w:t>
      </w:r>
      <w:r w:rsidRPr="006422C9" w:rsidR="006422C9">
        <w:rPr>
          <w:rFonts w:ascii="Century Schoolbook" w:hAnsi="Century Schoolbook"/>
          <w:szCs w:val="26"/>
        </w:rPr>
        <w:t>“A writ of mandamus .</w:t>
      </w:r>
      <w:r w:rsidR="006422C9">
        <w:rPr>
          <w:rFonts w:ascii="Century Schoolbook" w:hAnsi="Century Schoolbook"/>
          <w:szCs w:val="26"/>
        </w:rPr>
        <w:t> </w:t>
      </w:r>
      <w:r w:rsidRPr="006422C9" w:rsidR="006422C9">
        <w:rPr>
          <w:rFonts w:ascii="Century Schoolbook" w:hAnsi="Century Schoolbook"/>
          <w:szCs w:val="26"/>
        </w:rPr>
        <w:t>.</w:t>
      </w:r>
      <w:r w:rsidR="006422C9">
        <w:rPr>
          <w:rFonts w:ascii="Century Schoolbook" w:hAnsi="Century Schoolbook"/>
          <w:szCs w:val="26"/>
        </w:rPr>
        <w:t> </w:t>
      </w:r>
      <w:r w:rsidRPr="006422C9" w:rsidR="006422C9">
        <w:rPr>
          <w:rFonts w:ascii="Century Schoolbook" w:hAnsi="Century Schoolbook"/>
          <w:szCs w:val="26"/>
        </w:rPr>
        <w:t>. only issues when there otherwise is no speedy and adequate remedy at law.”</w:t>
      </w:r>
      <w:r w:rsidR="006422C9">
        <w:rPr>
          <w:rFonts w:ascii="Century Schoolbook" w:hAnsi="Century Schoolbook"/>
          <w:szCs w:val="26"/>
        </w:rPr>
        <w:t xml:space="preserve">].)  </w:t>
      </w:r>
      <w:r>
        <w:rPr>
          <w:rFonts w:ascii="Century Schoolbook" w:hAnsi="Century Schoolbook"/>
          <w:szCs w:val="26"/>
        </w:rPr>
        <w:t>The</w:t>
      </w:r>
      <w:r w:rsidR="006422C9">
        <w:rPr>
          <w:rFonts w:ascii="Century Schoolbook" w:hAnsi="Century Schoolbook"/>
          <w:szCs w:val="26"/>
        </w:rPr>
        <w:t xml:space="preserve"> Attorney General </w:t>
      </w:r>
      <w:r w:rsidR="002A6CDC">
        <w:rPr>
          <w:rFonts w:ascii="Century Schoolbook" w:hAnsi="Century Schoolbook"/>
          <w:szCs w:val="26"/>
        </w:rPr>
        <w:t>highlights that</w:t>
      </w:r>
      <w:r w:rsidR="006422C9">
        <w:rPr>
          <w:rFonts w:ascii="Century Schoolbook" w:hAnsi="Century Schoolbook"/>
          <w:szCs w:val="26"/>
        </w:rPr>
        <w:t xml:space="preserve"> </w:t>
      </w:r>
      <w:r w:rsidR="004C1330">
        <w:rPr>
          <w:rFonts w:ascii="Century Schoolbook" w:hAnsi="Century Schoolbook"/>
          <w:szCs w:val="26"/>
        </w:rPr>
        <w:t>section 1370 provides for a superior court hearing</w:t>
      </w:r>
      <w:r>
        <w:rPr>
          <w:rFonts w:ascii="Century Schoolbook" w:hAnsi="Century Schoolbook"/>
          <w:szCs w:val="26"/>
        </w:rPr>
        <w:t>—</w:t>
      </w:r>
      <w:r w:rsidR="006422C9">
        <w:rPr>
          <w:rFonts w:ascii="Century Schoolbook" w:hAnsi="Century Schoolbook"/>
          <w:szCs w:val="26"/>
        </w:rPr>
        <w:t>which must be conducted within 18 days from the initial date of involuntary medication</w:t>
      </w:r>
      <w:r>
        <w:rPr>
          <w:rFonts w:ascii="Century Schoolbook" w:hAnsi="Century Schoolbook"/>
          <w:szCs w:val="26"/>
        </w:rPr>
        <w:t>—</w:t>
      </w:r>
      <w:r w:rsidR="002A6CDC">
        <w:rPr>
          <w:rFonts w:ascii="Century Schoolbook" w:hAnsi="Century Schoolbook"/>
          <w:szCs w:val="26"/>
        </w:rPr>
        <w:t xml:space="preserve">and </w:t>
      </w:r>
      <w:r w:rsidR="004C1330">
        <w:rPr>
          <w:rFonts w:ascii="Century Schoolbook" w:hAnsi="Century Schoolbook"/>
          <w:szCs w:val="26"/>
        </w:rPr>
        <w:t xml:space="preserve">contends this </w:t>
      </w:r>
      <w:r>
        <w:rPr>
          <w:rFonts w:ascii="Century Schoolbook" w:hAnsi="Century Schoolbook"/>
          <w:szCs w:val="26"/>
        </w:rPr>
        <w:t xml:space="preserve">hearing </w:t>
      </w:r>
      <w:r w:rsidR="006422C9">
        <w:rPr>
          <w:rFonts w:ascii="Century Schoolbook" w:hAnsi="Century Schoolbook"/>
          <w:szCs w:val="26"/>
        </w:rPr>
        <w:t>provides a</w:t>
      </w:r>
      <w:r w:rsidR="002A6CDC">
        <w:rPr>
          <w:rFonts w:ascii="Century Schoolbook" w:hAnsi="Century Schoolbook"/>
          <w:szCs w:val="26"/>
        </w:rPr>
        <w:t>n adequate</w:t>
      </w:r>
      <w:r w:rsidR="006422C9">
        <w:rPr>
          <w:rFonts w:ascii="Century Schoolbook" w:hAnsi="Century Schoolbook"/>
          <w:szCs w:val="26"/>
        </w:rPr>
        <w:t xml:space="preserve"> remedy</w:t>
      </w:r>
      <w:r w:rsidR="004C1330">
        <w:rPr>
          <w:rFonts w:ascii="Century Schoolbook" w:hAnsi="Century Schoolbook"/>
          <w:szCs w:val="26"/>
        </w:rPr>
        <w:t xml:space="preserve"> at law</w:t>
      </w:r>
      <w:r w:rsidR="006422C9">
        <w:rPr>
          <w:rFonts w:ascii="Century Schoolbook" w:hAnsi="Century Schoolbook"/>
          <w:szCs w:val="26"/>
        </w:rPr>
        <w:t xml:space="preserve">. </w:t>
      </w:r>
      <w:r w:rsidR="00DB743C">
        <w:rPr>
          <w:rFonts w:ascii="Century Schoolbook" w:hAnsi="Century Schoolbook"/>
          <w:szCs w:val="26"/>
        </w:rPr>
        <w:t xml:space="preserve"> </w:t>
      </w:r>
      <w:r w:rsidR="004C1330">
        <w:rPr>
          <w:rFonts w:ascii="Century Schoolbook" w:hAnsi="Century Schoolbook"/>
          <w:szCs w:val="26"/>
        </w:rPr>
        <w:t xml:space="preserve">Alternatively, the Attorney General argues D.K. could have sought a temporary restraining order or a preliminary injunction. </w:t>
      </w:r>
      <w:r w:rsidR="00DB743C">
        <w:rPr>
          <w:rFonts w:ascii="Century Schoolbook" w:hAnsi="Century Schoolbook"/>
          <w:szCs w:val="26"/>
        </w:rPr>
        <w:t xml:space="preserve"> </w:t>
      </w:r>
    </w:p>
    <w:p w:rsidR="004F651E" w:rsidP="00C523FB">
      <w:pPr>
        <w:spacing w:line="360" w:lineRule="auto"/>
        <w:rPr>
          <w:rFonts w:ascii="Century Schoolbook" w:hAnsi="Century Schoolbook"/>
          <w:szCs w:val="26"/>
        </w:rPr>
      </w:pPr>
      <w:r>
        <w:rPr>
          <w:rFonts w:ascii="Century Schoolbook" w:hAnsi="Century Schoolbook"/>
          <w:szCs w:val="26"/>
        </w:rPr>
        <w:tab/>
      </w:r>
      <w:r w:rsidR="006422C9">
        <w:rPr>
          <w:rFonts w:ascii="Century Schoolbook" w:hAnsi="Century Schoolbook"/>
          <w:szCs w:val="26"/>
        </w:rPr>
        <w:t xml:space="preserve">We conclude </w:t>
      </w:r>
      <w:r w:rsidR="00CC433F">
        <w:rPr>
          <w:rFonts w:ascii="Century Schoolbook" w:hAnsi="Century Schoolbook"/>
          <w:szCs w:val="26"/>
        </w:rPr>
        <w:t>D.K.</w:t>
      </w:r>
      <w:r w:rsidR="006422C9">
        <w:rPr>
          <w:rFonts w:ascii="Century Schoolbook" w:hAnsi="Century Schoolbook"/>
          <w:szCs w:val="26"/>
        </w:rPr>
        <w:t xml:space="preserve"> was entitled to </w:t>
      </w:r>
      <w:r w:rsidR="00416EF2">
        <w:rPr>
          <w:rFonts w:ascii="Century Schoolbook" w:hAnsi="Century Schoolbook"/>
          <w:szCs w:val="26"/>
        </w:rPr>
        <w:t xml:space="preserve">seek </w:t>
      </w:r>
      <w:r w:rsidR="006422C9">
        <w:rPr>
          <w:rFonts w:ascii="Century Schoolbook" w:hAnsi="Century Schoolbook"/>
          <w:szCs w:val="26"/>
        </w:rPr>
        <w:t>interim judicial review.</w:t>
      </w:r>
    </w:p>
    <w:p w:rsidR="00A70840" w:rsidRPr="00A70840" w:rsidP="00E60178">
      <w:pPr>
        <w:keepNext/>
        <w:spacing w:line="360" w:lineRule="auto"/>
        <w:rPr>
          <w:rFonts w:ascii="Century Schoolbook" w:hAnsi="Century Schoolbook"/>
          <w:b/>
          <w:bCs/>
          <w:szCs w:val="26"/>
        </w:rPr>
      </w:pPr>
      <w:r w:rsidRPr="00A70840">
        <w:rPr>
          <w:rFonts w:ascii="Century Schoolbook" w:hAnsi="Century Schoolbook"/>
          <w:b/>
          <w:bCs/>
          <w:szCs w:val="26"/>
        </w:rPr>
        <w:tab/>
        <w:t>A.  Statutory Scheme</w:t>
      </w:r>
    </w:p>
    <w:p w:rsidR="00A70840" w:rsidP="00602F1A">
      <w:pPr>
        <w:spacing w:line="360" w:lineRule="auto"/>
        <w:rPr>
          <w:rFonts w:ascii="Century Schoolbook" w:hAnsi="Century Schoolbook"/>
          <w:szCs w:val="26"/>
        </w:rPr>
      </w:pPr>
      <w:r>
        <w:rPr>
          <w:rFonts w:ascii="Century Schoolbook" w:hAnsi="Century Schoolbook"/>
          <w:szCs w:val="26"/>
        </w:rPr>
        <w:tab/>
        <w:t>“</w:t>
      </w:r>
      <w:r w:rsidRPr="002E03D1">
        <w:rPr>
          <w:rFonts w:ascii="Century Schoolbook" w:hAnsi="Century Schoolbook"/>
          <w:szCs w:val="26"/>
        </w:rPr>
        <w:t xml:space="preserve">A court may not try a criminal defendant who is mentally incompetent. </w:t>
      </w:r>
      <w:r>
        <w:rPr>
          <w:rFonts w:ascii="Century Schoolbook" w:hAnsi="Century Schoolbook"/>
          <w:szCs w:val="26"/>
        </w:rPr>
        <w:t xml:space="preserve"> </w:t>
      </w:r>
      <w:r w:rsidR="00E60178">
        <w:rPr>
          <w:rFonts w:ascii="Century Schoolbook" w:hAnsi="Century Schoolbook"/>
          <w:szCs w:val="26"/>
        </w:rPr>
        <w:t>[Citation.]</w:t>
      </w:r>
      <w:r>
        <w:rPr>
          <w:rFonts w:ascii="Century Schoolbook" w:hAnsi="Century Schoolbook"/>
          <w:szCs w:val="26"/>
        </w:rPr>
        <w:t xml:space="preserve"> </w:t>
      </w:r>
      <w:r w:rsidRPr="002E03D1">
        <w:rPr>
          <w:rFonts w:ascii="Century Schoolbook" w:hAnsi="Century Schoolbook"/>
          <w:szCs w:val="26"/>
        </w:rPr>
        <w:t xml:space="preserve"> </w:t>
      </w:r>
      <w:r w:rsidR="00E60178">
        <w:rPr>
          <w:rFonts w:ascii="Century Schoolbook" w:hAnsi="Century Schoolbook"/>
          <w:szCs w:val="26"/>
        </w:rPr>
        <w:t>. . .</w:t>
      </w:r>
      <w:r>
        <w:rPr>
          <w:rFonts w:ascii="Century Schoolbook" w:hAnsi="Century Schoolbook"/>
          <w:szCs w:val="26"/>
        </w:rPr>
        <w:t xml:space="preserve"> </w:t>
      </w:r>
      <w:r w:rsidRPr="002E03D1">
        <w:rPr>
          <w:rFonts w:ascii="Century Schoolbook" w:hAnsi="Century Schoolbook"/>
          <w:szCs w:val="26"/>
        </w:rPr>
        <w:t xml:space="preserve"> If a defendant is found IST by the court, </w:t>
      </w:r>
      <w:r w:rsidR="00E60178">
        <w:rPr>
          <w:rFonts w:ascii="Century Schoolbook" w:hAnsi="Century Schoolbook"/>
          <w:szCs w:val="26"/>
        </w:rPr>
        <w:t>. . .</w:t>
      </w:r>
      <w:r w:rsidRPr="002E03D1">
        <w:rPr>
          <w:rFonts w:ascii="Century Schoolbook" w:hAnsi="Century Schoolbook"/>
          <w:szCs w:val="26"/>
        </w:rPr>
        <w:t xml:space="preserve"> section 1370 provides that criminal proceedings </w:t>
      </w:r>
      <w:r>
        <w:rPr>
          <w:rFonts w:ascii="Century Schoolbook" w:hAnsi="Century Schoolbook"/>
          <w:szCs w:val="26"/>
        </w:rPr>
        <w:t>‘</w:t>
      </w:r>
      <w:r w:rsidRPr="002E03D1">
        <w:rPr>
          <w:rFonts w:ascii="Century Schoolbook" w:hAnsi="Century Schoolbook"/>
          <w:szCs w:val="26"/>
        </w:rPr>
        <w:t>shall be suspended until the person becomes mentally competent.</w:t>
      </w:r>
      <w:r>
        <w:rPr>
          <w:rFonts w:ascii="Century Schoolbook" w:hAnsi="Century Schoolbook"/>
          <w:szCs w:val="26"/>
        </w:rPr>
        <w:t xml:space="preserve">’ </w:t>
      </w:r>
      <w:r w:rsidRPr="002E03D1">
        <w:rPr>
          <w:rFonts w:ascii="Century Schoolbook" w:hAnsi="Century Schoolbook"/>
          <w:szCs w:val="26"/>
        </w:rPr>
        <w:t xml:space="preserve"> </w:t>
      </w:r>
      <w:r w:rsidR="00E60178">
        <w:rPr>
          <w:rFonts w:ascii="Century Schoolbook" w:hAnsi="Century Schoolbook"/>
          <w:szCs w:val="26"/>
        </w:rPr>
        <w:t>[Citation.]</w:t>
      </w:r>
      <w:r w:rsidRPr="002E03D1">
        <w:rPr>
          <w:rFonts w:ascii="Century Schoolbook" w:hAnsi="Century Schoolbook"/>
          <w:szCs w:val="26"/>
        </w:rPr>
        <w:t xml:space="preserve"> </w:t>
      </w:r>
      <w:r>
        <w:rPr>
          <w:rFonts w:ascii="Century Schoolbook" w:hAnsi="Century Schoolbook"/>
          <w:szCs w:val="26"/>
        </w:rPr>
        <w:t xml:space="preserve"> </w:t>
      </w:r>
      <w:r w:rsidRPr="002E03D1">
        <w:rPr>
          <w:rFonts w:ascii="Century Schoolbook" w:hAnsi="Century Schoolbook"/>
          <w:szCs w:val="26"/>
        </w:rPr>
        <w:t xml:space="preserve">In order to </w:t>
      </w:r>
      <w:r>
        <w:rPr>
          <w:rFonts w:ascii="Century Schoolbook" w:hAnsi="Century Schoolbook"/>
          <w:szCs w:val="26"/>
        </w:rPr>
        <w:t>‘</w:t>
      </w:r>
      <w:r w:rsidRPr="002E03D1">
        <w:rPr>
          <w:rFonts w:ascii="Century Schoolbook" w:hAnsi="Century Schoolbook"/>
          <w:szCs w:val="26"/>
        </w:rPr>
        <w:t>promote the defendant</w:t>
      </w:r>
      <w:r>
        <w:rPr>
          <w:rFonts w:ascii="Century Schoolbook" w:hAnsi="Century Schoolbook"/>
          <w:szCs w:val="26"/>
        </w:rPr>
        <w:t>’</w:t>
      </w:r>
      <w:r w:rsidRPr="002E03D1">
        <w:rPr>
          <w:rFonts w:ascii="Century Schoolbook" w:hAnsi="Century Schoolbook"/>
          <w:szCs w:val="26"/>
        </w:rPr>
        <w:t>s speedy restoration to mental competence,</w:t>
      </w:r>
      <w:r>
        <w:rPr>
          <w:rFonts w:ascii="Century Schoolbook" w:hAnsi="Century Schoolbook"/>
          <w:szCs w:val="26"/>
        </w:rPr>
        <w:t>’</w:t>
      </w:r>
      <w:r w:rsidRPr="002E03D1">
        <w:rPr>
          <w:rFonts w:ascii="Century Schoolbook" w:hAnsi="Century Schoolbook"/>
          <w:szCs w:val="26"/>
        </w:rPr>
        <w:t xml:space="preserve"> the court shall commit the defendant to a DSH facility for treatment.</w:t>
      </w:r>
      <w:r>
        <w:rPr>
          <w:rFonts w:ascii="Century Schoolbook" w:hAnsi="Century Schoolbook"/>
          <w:szCs w:val="26"/>
        </w:rPr>
        <w:t>”  (</w:t>
      </w:r>
      <w:r>
        <w:rPr>
          <w:rFonts w:ascii="Century Schoolbook" w:hAnsi="Century Schoolbook"/>
          <w:i/>
          <w:iCs/>
          <w:szCs w:val="26"/>
        </w:rPr>
        <w:t xml:space="preserve">People v. Edwards </w:t>
      </w:r>
      <w:r>
        <w:rPr>
          <w:rFonts w:ascii="Century Schoolbook" w:hAnsi="Century Schoolbook"/>
          <w:szCs w:val="26"/>
        </w:rPr>
        <w:t xml:space="preserve">(2023) 88 Cal.App.5th 1259, 1263.)  </w:t>
      </w:r>
    </w:p>
    <w:p w:rsidR="002E03D1" w:rsidP="00602F1A">
      <w:pPr>
        <w:spacing w:line="360" w:lineRule="auto"/>
        <w:rPr>
          <w:rFonts w:ascii="Century Schoolbook" w:hAnsi="Century Schoolbook"/>
          <w:szCs w:val="26"/>
        </w:rPr>
      </w:pPr>
      <w:r>
        <w:rPr>
          <w:rFonts w:ascii="Century Schoolbook" w:hAnsi="Century Schoolbook"/>
          <w:szCs w:val="26"/>
        </w:rPr>
        <w:tab/>
      </w:r>
      <w:r w:rsidR="00E60178">
        <w:rPr>
          <w:rFonts w:ascii="Century Schoolbook" w:hAnsi="Century Schoolbook"/>
          <w:szCs w:val="26"/>
        </w:rPr>
        <w:t>If</w:t>
      </w:r>
      <w:r>
        <w:rPr>
          <w:rFonts w:ascii="Century Schoolbook" w:hAnsi="Century Schoolbook"/>
          <w:szCs w:val="26"/>
        </w:rPr>
        <w:t xml:space="preserve"> </w:t>
      </w:r>
      <w:r w:rsidR="00C523FB">
        <w:rPr>
          <w:rFonts w:ascii="Century Schoolbook" w:hAnsi="Century Schoolbook"/>
          <w:szCs w:val="26"/>
        </w:rPr>
        <w:t xml:space="preserve">an </w:t>
      </w:r>
      <w:r>
        <w:rPr>
          <w:rFonts w:ascii="Century Schoolbook" w:hAnsi="Century Schoolbook"/>
          <w:szCs w:val="26"/>
        </w:rPr>
        <w:t>involuntary antipsychotic medication</w:t>
      </w:r>
      <w:r w:rsidR="00416EF2">
        <w:rPr>
          <w:rFonts w:ascii="Century Schoolbook" w:hAnsi="Century Schoolbook"/>
          <w:szCs w:val="26"/>
        </w:rPr>
        <w:t xml:space="preserve"> order</w:t>
      </w:r>
      <w:r>
        <w:rPr>
          <w:rFonts w:ascii="Century Schoolbook" w:hAnsi="Century Schoolbook"/>
          <w:szCs w:val="26"/>
        </w:rPr>
        <w:t xml:space="preserve"> </w:t>
      </w:r>
      <w:r w:rsidR="00C523FB">
        <w:rPr>
          <w:rFonts w:ascii="Century Schoolbook" w:hAnsi="Century Schoolbook"/>
          <w:szCs w:val="26"/>
        </w:rPr>
        <w:t>is not already in place</w:t>
      </w:r>
      <w:r>
        <w:rPr>
          <w:rFonts w:ascii="Century Schoolbook" w:hAnsi="Century Schoolbook"/>
          <w:szCs w:val="26"/>
        </w:rPr>
        <w:t xml:space="preserve"> and the defendant lacks capacity to consent, the treating psychiatrist </w:t>
      </w:r>
      <w:r w:rsidR="002C2261">
        <w:rPr>
          <w:rFonts w:ascii="Century Schoolbook" w:hAnsi="Century Schoolbook"/>
          <w:szCs w:val="26"/>
        </w:rPr>
        <w:t xml:space="preserve">may </w:t>
      </w:r>
      <w:r>
        <w:rPr>
          <w:rFonts w:ascii="Century Schoolbook" w:hAnsi="Century Schoolbook"/>
          <w:szCs w:val="26"/>
        </w:rPr>
        <w:t xml:space="preserve">provide a certification assessing the defendant’s current mental status “and the opinion of the treating psychiatrist that involuntary antipsychotic medication has become medically necessary and appropriate.”  </w:t>
      </w:r>
      <w:r w:rsidRPr="002E03D1">
        <w:rPr>
          <w:rFonts w:ascii="Century Schoolbook" w:hAnsi="Century Schoolbook"/>
          <w:szCs w:val="26"/>
        </w:rPr>
        <w:t>(§</w:t>
      </w:r>
      <w:r w:rsidR="002E4FB2">
        <w:rPr>
          <w:rFonts w:ascii="Century Schoolbook" w:hAnsi="Century Schoolbook"/>
          <w:szCs w:val="26"/>
        </w:rPr>
        <w:t> </w:t>
      </w:r>
      <w:r w:rsidRPr="002E03D1">
        <w:rPr>
          <w:rFonts w:ascii="Century Schoolbook" w:hAnsi="Century Schoolbook"/>
          <w:szCs w:val="26"/>
        </w:rPr>
        <w:t>1370, subd.</w:t>
      </w:r>
      <w:r>
        <w:rPr>
          <w:rFonts w:ascii="Century Schoolbook" w:hAnsi="Century Schoolbook"/>
          <w:szCs w:val="26"/>
        </w:rPr>
        <w:t xml:space="preserve"> </w:t>
      </w:r>
      <w:r w:rsidR="002E4FB2">
        <w:rPr>
          <w:rFonts w:ascii="Century Schoolbook" w:hAnsi="Century Schoolbook"/>
          <w:szCs w:val="26"/>
        </w:rPr>
        <w:t>(a)</w:t>
      </w:r>
      <w:r>
        <w:rPr>
          <w:rFonts w:ascii="Century Schoolbook" w:hAnsi="Century Schoolbook"/>
          <w:szCs w:val="26"/>
        </w:rPr>
        <w:t>(2)(C)</w:t>
      </w:r>
      <w:r w:rsidR="002E4FB2">
        <w:rPr>
          <w:rFonts w:ascii="Century Schoolbook" w:hAnsi="Century Schoolbook"/>
          <w:szCs w:val="26"/>
        </w:rPr>
        <w:t xml:space="preserve">.)  </w:t>
      </w:r>
      <w:r w:rsidR="00E60178">
        <w:rPr>
          <w:rFonts w:ascii="Century Schoolbook" w:hAnsi="Century Schoolbook"/>
          <w:szCs w:val="26"/>
        </w:rPr>
        <w:t>The</w:t>
      </w:r>
      <w:r w:rsidR="002E4FB2">
        <w:rPr>
          <w:rFonts w:ascii="Century Schoolbook" w:hAnsi="Century Schoolbook"/>
          <w:szCs w:val="26"/>
        </w:rPr>
        <w:t xml:space="preserve"> defendant may </w:t>
      </w:r>
      <w:r w:rsidR="00E60178">
        <w:rPr>
          <w:rFonts w:ascii="Century Schoolbook" w:hAnsi="Century Schoolbook"/>
          <w:szCs w:val="26"/>
        </w:rPr>
        <w:t xml:space="preserve">then </w:t>
      </w:r>
      <w:r w:rsidR="002E4FB2">
        <w:rPr>
          <w:rFonts w:ascii="Century Schoolbook" w:hAnsi="Century Schoolbook"/>
          <w:szCs w:val="26"/>
        </w:rPr>
        <w:t xml:space="preserve">be </w:t>
      </w:r>
      <w:r w:rsidR="00E60178">
        <w:rPr>
          <w:rFonts w:ascii="Century Schoolbook" w:hAnsi="Century Schoolbook"/>
          <w:szCs w:val="26"/>
        </w:rPr>
        <w:t xml:space="preserve">involuntarily </w:t>
      </w:r>
      <w:r w:rsidR="002E4FB2">
        <w:rPr>
          <w:rFonts w:ascii="Century Schoolbook" w:hAnsi="Century Schoolbook"/>
          <w:szCs w:val="26"/>
        </w:rPr>
        <w:t xml:space="preserve">administered antipsychotic medication for </w:t>
      </w:r>
      <w:r w:rsidR="00E60178">
        <w:rPr>
          <w:rFonts w:ascii="Century Schoolbook" w:hAnsi="Century Schoolbook"/>
          <w:szCs w:val="26"/>
        </w:rPr>
        <w:t>up to</w:t>
      </w:r>
      <w:r w:rsidR="002E4FB2">
        <w:rPr>
          <w:rFonts w:ascii="Century Schoolbook" w:hAnsi="Century Schoolbook"/>
          <w:szCs w:val="26"/>
        </w:rPr>
        <w:t xml:space="preserve"> 21 days following such a certification.  </w:t>
      </w:r>
      <w:r w:rsidRPr="002E03D1" w:rsidR="002E4FB2">
        <w:rPr>
          <w:rFonts w:ascii="Century Schoolbook" w:hAnsi="Century Schoolbook"/>
          <w:szCs w:val="26"/>
        </w:rPr>
        <w:t>(§</w:t>
      </w:r>
      <w:r w:rsidR="002E4FB2">
        <w:rPr>
          <w:rFonts w:ascii="Century Schoolbook" w:hAnsi="Century Schoolbook"/>
          <w:szCs w:val="26"/>
        </w:rPr>
        <w:t> </w:t>
      </w:r>
      <w:r w:rsidRPr="002E03D1" w:rsidR="002E4FB2">
        <w:rPr>
          <w:rFonts w:ascii="Century Schoolbook" w:hAnsi="Century Schoolbook"/>
          <w:szCs w:val="26"/>
        </w:rPr>
        <w:t>1370, subd.</w:t>
      </w:r>
      <w:r w:rsidR="002E4FB2">
        <w:rPr>
          <w:rFonts w:ascii="Century Schoolbook" w:hAnsi="Century Schoolbook"/>
          <w:szCs w:val="26"/>
        </w:rPr>
        <w:t xml:space="preserve"> (a)(2)(D)</w:t>
      </w:r>
      <w:r w:rsidR="000B0EBE">
        <w:rPr>
          <w:rFonts w:ascii="Century Schoolbook" w:hAnsi="Century Schoolbook"/>
          <w:szCs w:val="26"/>
        </w:rPr>
        <w:t>(i)</w:t>
      </w:r>
      <w:r w:rsidR="002E4FB2">
        <w:rPr>
          <w:rFonts w:ascii="Century Schoolbook" w:hAnsi="Century Schoolbook"/>
          <w:szCs w:val="26"/>
        </w:rPr>
        <w:t xml:space="preserve">.)  However, within 72 hours </w:t>
      </w:r>
      <w:r w:rsidR="0051197B">
        <w:rPr>
          <w:rFonts w:ascii="Century Schoolbook" w:hAnsi="Century Schoolbook"/>
          <w:szCs w:val="26"/>
        </w:rPr>
        <w:t>of</w:t>
      </w:r>
      <w:r w:rsidR="002E4FB2">
        <w:rPr>
          <w:rFonts w:ascii="Century Schoolbook" w:hAnsi="Century Schoolbook"/>
          <w:szCs w:val="26"/>
        </w:rPr>
        <w:t xml:space="preserve"> the certification, </w:t>
      </w:r>
      <w:r w:rsidR="00E60178">
        <w:rPr>
          <w:rFonts w:ascii="Century Schoolbook" w:hAnsi="Century Schoolbook"/>
          <w:szCs w:val="26"/>
        </w:rPr>
        <w:t xml:space="preserve">the </w:t>
      </w:r>
      <w:r w:rsidR="002E4FB2">
        <w:rPr>
          <w:rFonts w:ascii="Century Schoolbook" w:hAnsi="Century Schoolbook"/>
          <w:szCs w:val="26"/>
        </w:rPr>
        <w:t xml:space="preserve">defendant is entitled to a medication review hearing before an </w:t>
      </w:r>
      <w:r w:rsidR="00F43B96">
        <w:rPr>
          <w:rFonts w:ascii="Century Schoolbook" w:hAnsi="Century Schoolbook"/>
          <w:szCs w:val="26"/>
        </w:rPr>
        <w:t>ALJ</w:t>
      </w:r>
      <w:r w:rsidR="002E4FB2">
        <w:rPr>
          <w:rFonts w:ascii="Century Schoolbook" w:hAnsi="Century Schoolbook"/>
          <w:szCs w:val="26"/>
        </w:rPr>
        <w:t xml:space="preserve">.  </w:t>
      </w:r>
      <w:r w:rsidRPr="002E03D1" w:rsidR="002E4FB2">
        <w:rPr>
          <w:rFonts w:ascii="Century Schoolbook" w:hAnsi="Century Schoolbook"/>
          <w:szCs w:val="26"/>
        </w:rPr>
        <w:t>(§</w:t>
      </w:r>
      <w:r w:rsidR="002E4FB2">
        <w:rPr>
          <w:rFonts w:ascii="Century Schoolbook" w:hAnsi="Century Schoolbook"/>
          <w:szCs w:val="26"/>
        </w:rPr>
        <w:t> </w:t>
      </w:r>
      <w:r w:rsidRPr="002E03D1" w:rsidR="002E4FB2">
        <w:rPr>
          <w:rFonts w:ascii="Century Schoolbook" w:hAnsi="Century Schoolbook"/>
          <w:szCs w:val="26"/>
        </w:rPr>
        <w:t>1370, subd.</w:t>
      </w:r>
      <w:r w:rsidR="002E4FB2">
        <w:rPr>
          <w:rFonts w:ascii="Century Schoolbook" w:hAnsi="Century Schoolbook"/>
          <w:szCs w:val="26"/>
        </w:rPr>
        <w:t xml:space="preserve"> (a)(2)(D).)  </w:t>
      </w:r>
      <w:r w:rsidR="000B0EBE">
        <w:rPr>
          <w:rFonts w:ascii="Century Schoolbook" w:hAnsi="Century Schoolbook"/>
          <w:szCs w:val="26"/>
        </w:rPr>
        <w:t>The defendant is entitled to appointment of an attorney or patient’s right advocate</w:t>
      </w:r>
      <w:r w:rsidR="002C2261">
        <w:rPr>
          <w:rFonts w:ascii="Century Schoolbook" w:hAnsi="Century Schoolbook"/>
          <w:szCs w:val="26"/>
        </w:rPr>
        <w:t xml:space="preserve"> to</w:t>
      </w:r>
      <w:r w:rsidR="000B0EBE">
        <w:rPr>
          <w:rFonts w:ascii="Century Schoolbook" w:hAnsi="Century Schoolbook"/>
          <w:szCs w:val="26"/>
        </w:rPr>
        <w:t xml:space="preserve"> assist in preparing for the hearing, represent the defendant at the hearing, review the panel’s final determination following the hearing, and advise the defendant of the right to judicial review of the panel’s decision.  </w:t>
      </w:r>
      <w:r w:rsidRPr="002E03D1" w:rsidR="000B0EBE">
        <w:rPr>
          <w:rFonts w:ascii="Century Schoolbook" w:hAnsi="Century Schoolbook"/>
          <w:szCs w:val="26"/>
        </w:rPr>
        <w:t>(§</w:t>
      </w:r>
      <w:r w:rsidR="000B0EBE">
        <w:rPr>
          <w:rFonts w:ascii="Century Schoolbook" w:hAnsi="Century Schoolbook"/>
          <w:szCs w:val="26"/>
        </w:rPr>
        <w:t> </w:t>
      </w:r>
      <w:r w:rsidRPr="002E03D1" w:rsidR="000B0EBE">
        <w:rPr>
          <w:rFonts w:ascii="Century Schoolbook" w:hAnsi="Century Schoolbook"/>
          <w:szCs w:val="26"/>
        </w:rPr>
        <w:t>1370, subd.</w:t>
      </w:r>
      <w:r w:rsidR="000B0EBE">
        <w:rPr>
          <w:rFonts w:ascii="Century Schoolbook" w:hAnsi="Century Schoolbook"/>
          <w:szCs w:val="26"/>
        </w:rPr>
        <w:t xml:space="preserve"> (a)(2)(D)(i).)  </w:t>
      </w:r>
    </w:p>
    <w:p w:rsidR="000B0EBE" w:rsidP="00602F1A">
      <w:pPr>
        <w:spacing w:line="360" w:lineRule="auto"/>
        <w:rPr>
          <w:rFonts w:ascii="Century Schoolbook" w:hAnsi="Century Schoolbook"/>
          <w:szCs w:val="26"/>
        </w:rPr>
      </w:pPr>
      <w:r>
        <w:rPr>
          <w:rFonts w:ascii="Century Schoolbook" w:hAnsi="Century Schoolbook"/>
          <w:szCs w:val="26"/>
        </w:rPr>
        <w:tab/>
        <w:t xml:space="preserve">If </w:t>
      </w:r>
      <w:r w:rsidR="00D12B25">
        <w:rPr>
          <w:rFonts w:ascii="Century Schoolbook" w:hAnsi="Century Schoolbook"/>
          <w:szCs w:val="26"/>
        </w:rPr>
        <w:t>an</w:t>
      </w:r>
      <w:r>
        <w:rPr>
          <w:rFonts w:ascii="Century Schoolbook" w:hAnsi="Century Schoolbook"/>
          <w:szCs w:val="26"/>
        </w:rPr>
        <w:t xml:space="preserve"> </w:t>
      </w:r>
      <w:r w:rsidR="00F43B96">
        <w:rPr>
          <w:rFonts w:ascii="Century Schoolbook" w:hAnsi="Century Schoolbook"/>
          <w:szCs w:val="26"/>
        </w:rPr>
        <w:t>ALJ</w:t>
      </w:r>
      <w:r>
        <w:rPr>
          <w:rFonts w:ascii="Century Schoolbook" w:hAnsi="Century Schoolbook"/>
          <w:szCs w:val="26"/>
        </w:rPr>
        <w:t xml:space="preserve"> determines the defendant meets the criteria for the involuntary administration of antipsychotic medication, such medication may continue for the </w:t>
      </w:r>
      <w:r w:rsidR="00E60178">
        <w:rPr>
          <w:rFonts w:ascii="Century Schoolbook" w:hAnsi="Century Schoolbook"/>
          <w:szCs w:val="26"/>
        </w:rPr>
        <w:t xml:space="preserve">entire </w:t>
      </w:r>
      <w:r>
        <w:rPr>
          <w:rFonts w:ascii="Century Schoolbook" w:hAnsi="Century Schoolbook"/>
          <w:szCs w:val="26"/>
        </w:rPr>
        <w:t xml:space="preserve">21-day certification period.  </w:t>
      </w:r>
      <w:r w:rsidRPr="002E03D1">
        <w:rPr>
          <w:rFonts w:ascii="Century Schoolbook" w:hAnsi="Century Schoolbook"/>
          <w:szCs w:val="26"/>
        </w:rPr>
        <w:t>(§</w:t>
      </w:r>
      <w:r>
        <w:rPr>
          <w:rFonts w:ascii="Century Schoolbook" w:hAnsi="Century Schoolbook"/>
          <w:szCs w:val="26"/>
        </w:rPr>
        <w:t> </w:t>
      </w:r>
      <w:r w:rsidRPr="002E03D1">
        <w:rPr>
          <w:rFonts w:ascii="Century Schoolbook" w:hAnsi="Century Schoolbook"/>
          <w:szCs w:val="26"/>
        </w:rPr>
        <w:t>1370, subd.</w:t>
      </w:r>
      <w:r>
        <w:rPr>
          <w:rFonts w:ascii="Century Schoolbook" w:hAnsi="Century Schoolbook"/>
          <w:szCs w:val="26"/>
        </w:rPr>
        <w:t xml:space="preserve"> (a)(2)(D)(ii).)  The treating psychiatrist must also file a copy of the certification and a petition with the appropriate superior court “for issuance of an order to administer antipsychotic medication beyond the 21-day certification period.”  </w:t>
      </w:r>
      <w:r w:rsidRPr="002E03D1">
        <w:rPr>
          <w:rFonts w:ascii="Century Schoolbook" w:hAnsi="Century Schoolbook"/>
          <w:szCs w:val="26"/>
        </w:rPr>
        <w:t>(§</w:t>
      </w:r>
      <w:r>
        <w:rPr>
          <w:rFonts w:ascii="Century Schoolbook" w:hAnsi="Century Schoolbook"/>
          <w:szCs w:val="26"/>
        </w:rPr>
        <w:t> </w:t>
      </w:r>
      <w:r w:rsidRPr="002E03D1">
        <w:rPr>
          <w:rFonts w:ascii="Century Schoolbook" w:hAnsi="Century Schoolbook"/>
          <w:szCs w:val="26"/>
        </w:rPr>
        <w:t>1370, subd.</w:t>
      </w:r>
      <w:r>
        <w:rPr>
          <w:rFonts w:ascii="Century Schoolbook" w:hAnsi="Century Schoolbook"/>
          <w:szCs w:val="26"/>
        </w:rPr>
        <w:t xml:space="preserve"> (a)(2)(D)(ii).)  </w:t>
      </w:r>
    </w:p>
    <w:p w:rsidR="00A70840" w:rsidRPr="00CF31B0" w:rsidP="00602F1A">
      <w:pPr>
        <w:spacing w:line="360" w:lineRule="auto"/>
      </w:pPr>
      <w:r>
        <w:rPr>
          <w:rFonts w:ascii="Century Schoolbook" w:hAnsi="Century Schoolbook"/>
          <w:szCs w:val="26"/>
        </w:rPr>
        <w:tab/>
        <w:t xml:space="preserve">The superior court must then “hold a hearing, no later than 18 days from the date of certification, to determine whether antipsychotic medication should be ordered beyond the </w:t>
      </w:r>
      <w:r w:rsidR="00E60178">
        <w:rPr>
          <w:rFonts w:ascii="Century Schoolbook" w:hAnsi="Century Schoolbook"/>
          <w:szCs w:val="26"/>
        </w:rPr>
        <w:t xml:space="preserve">[21-day] </w:t>
      </w:r>
      <w:r>
        <w:rPr>
          <w:rFonts w:ascii="Century Schoolbook" w:hAnsi="Century Schoolbook"/>
          <w:szCs w:val="26"/>
        </w:rPr>
        <w:t xml:space="preserve">certification period.”  </w:t>
      </w:r>
      <w:r w:rsidRPr="002E03D1">
        <w:rPr>
          <w:rFonts w:ascii="Century Schoolbook" w:hAnsi="Century Schoolbook"/>
          <w:szCs w:val="26"/>
        </w:rPr>
        <w:t>(§</w:t>
      </w:r>
      <w:r>
        <w:rPr>
          <w:rFonts w:ascii="Century Schoolbook" w:hAnsi="Century Schoolbook"/>
          <w:szCs w:val="26"/>
        </w:rPr>
        <w:t> </w:t>
      </w:r>
      <w:r w:rsidRPr="002E03D1">
        <w:rPr>
          <w:rFonts w:ascii="Century Schoolbook" w:hAnsi="Century Schoolbook"/>
          <w:szCs w:val="26"/>
        </w:rPr>
        <w:t>1370, subd.</w:t>
      </w:r>
      <w:r>
        <w:rPr>
          <w:rFonts w:ascii="Century Schoolbook" w:hAnsi="Century Schoolbook"/>
          <w:szCs w:val="26"/>
        </w:rPr>
        <w:t xml:space="preserve"> (a)(2)(D)(iv).)  However, the court may continue the hearing and extend the certification period for up to 14 additional days upon stipulation or a finding of good cause. </w:t>
      </w:r>
      <w:r w:rsidRPr="002E03D1">
        <w:rPr>
          <w:rFonts w:ascii="Century Schoolbook" w:hAnsi="Century Schoolbook"/>
          <w:szCs w:val="26"/>
        </w:rPr>
        <w:t>(§</w:t>
      </w:r>
      <w:r>
        <w:rPr>
          <w:rFonts w:ascii="Century Schoolbook" w:hAnsi="Century Schoolbook"/>
          <w:szCs w:val="26"/>
        </w:rPr>
        <w:t> </w:t>
      </w:r>
      <w:r w:rsidRPr="002E03D1">
        <w:rPr>
          <w:rFonts w:ascii="Century Schoolbook" w:hAnsi="Century Schoolbook"/>
          <w:szCs w:val="26"/>
        </w:rPr>
        <w:t>1370, subd.</w:t>
      </w:r>
      <w:r>
        <w:rPr>
          <w:rFonts w:ascii="Century Schoolbook" w:hAnsi="Century Schoolbook"/>
          <w:szCs w:val="26"/>
        </w:rPr>
        <w:t xml:space="preserve"> (a)(2)(D)(vii).)  </w:t>
      </w:r>
      <w:r w:rsidR="00E60178">
        <w:rPr>
          <w:rFonts w:ascii="Century Schoolbook" w:hAnsi="Century Schoolbook"/>
          <w:szCs w:val="26"/>
        </w:rPr>
        <w:t>Following the hearing, the</w:t>
      </w:r>
      <w:r w:rsidR="00CF31B0">
        <w:rPr>
          <w:rFonts w:ascii="Century Schoolbook" w:hAnsi="Century Schoolbook"/>
          <w:szCs w:val="26"/>
        </w:rPr>
        <w:t xml:space="preserve"> superior court may, upon</w:t>
      </w:r>
      <w:r w:rsidR="00E60178">
        <w:rPr>
          <w:rFonts w:ascii="Century Schoolbook" w:hAnsi="Century Schoolbook"/>
          <w:szCs w:val="26"/>
        </w:rPr>
        <w:t xml:space="preserve"> making</w:t>
      </w:r>
      <w:r w:rsidR="00CF31B0">
        <w:rPr>
          <w:rFonts w:ascii="Century Schoolbook" w:hAnsi="Century Schoolbook"/>
          <w:szCs w:val="26"/>
        </w:rPr>
        <w:t xml:space="preserve"> the </w:t>
      </w:r>
      <w:r w:rsidR="00E60178">
        <w:rPr>
          <w:rFonts w:ascii="Century Schoolbook" w:hAnsi="Century Schoolbook"/>
          <w:szCs w:val="26"/>
        </w:rPr>
        <w:t>necessary</w:t>
      </w:r>
      <w:r w:rsidR="00CF31B0">
        <w:rPr>
          <w:rFonts w:ascii="Century Schoolbook" w:hAnsi="Century Schoolbook"/>
          <w:szCs w:val="26"/>
        </w:rPr>
        <w:t xml:space="preserve"> findings, authorize involuntary medication of the defendant for up to one</w:t>
      </w:r>
      <w:r w:rsidR="00E60178">
        <w:rPr>
          <w:rFonts w:ascii="Century Schoolbook" w:hAnsi="Century Schoolbook"/>
          <w:szCs w:val="26"/>
        </w:rPr>
        <w:t xml:space="preserve"> </w:t>
      </w:r>
      <w:r w:rsidR="00CF31B0">
        <w:rPr>
          <w:rFonts w:ascii="Century Schoolbook" w:hAnsi="Century Schoolbook"/>
          <w:szCs w:val="26"/>
        </w:rPr>
        <w:t xml:space="preserve">year.  </w:t>
      </w:r>
      <w:r w:rsidRPr="002E03D1" w:rsidR="00CF31B0">
        <w:rPr>
          <w:rFonts w:ascii="Century Schoolbook" w:hAnsi="Century Schoolbook"/>
          <w:szCs w:val="26"/>
        </w:rPr>
        <w:t>(§</w:t>
      </w:r>
      <w:r w:rsidR="00CF31B0">
        <w:rPr>
          <w:rFonts w:ascii="Century Schoolbook" w:hAnsi="Century Schoolbook"/>
          <w:szCs w:val="26"/>
        </w:rPr>
        <w:t> </w:t>
      </w:r>
      <w:r w:rsidRPr="002E03D1" w:rsidR="00CF31B0">
        <w:rPr>
          <w:rFonts w:ascii="Century Schoolbook" w:hAnsi="Century Schoolbook"/>
          <w:szCs w:val="26"/>
        </w:rPr>
        <w:t>1370, subd</w:t>
      </w:r>
      <w:r w:rsidR="00CF31B0">
        <w:rPr>
          <w:rFonts w:ascii="Century Schoolbook" w:hAnsi="Century Schoolbook"/>
          <w:szCs w:val="26"/>
        </w:rPr>
        <w:t>s</w:t>
      </w:r>
      <w:r w:rsidRPr="002E03D1" w:rsidR="00CF31B0">
        <w:rPr>
          <w:rFonts w:ascii="Century Schoolbook" w:hAnsi="Century Schoolbook"/>
          <w:szCs w:val="26"/>
        </w:rPr>
        <w:t>.</w:t>
      </w:r>
      <w:r w:rsidR="00CF31B0">
        <w:rPr>
          <w:rFonts w:ascii="Century Schoolbook" w:hAnsi="Century Schoolbook"/>
          <w:szCs w:val="26"/>
        </w:rPr>
        <w:t xml:space="preserve"> (a)(2)(D)(viii), (a)(7)(A).)  The district attorney, county counsel, or representative of the facility holding the defendant </w:t>
      </w:r>
      <w:r w:rsidR="00E60178">
        <w:rPr>
          <w:rFonts w:ascii="Century Schoolbook" w:hAnsi="Century Schoolbook"/>
          <w:szCs w:val="26"/>
        </w:rPr>
        <w:t>can</w:t>
      </w:r>
      <w:r w:rsidR="00CF31B0">
        <w:rPr>
          <w:rFonts w:ascii="Century Schoolbook" w:hAnsi="Century Schoolbook"/>
          <w:szCs w:val="26"/>
        </w:rPr>
        <w:t xml:space="preserve"> petition the court for a renewal of the medication order</w:t>
      </w:r>
      <w:r w:rsidR="00E60178">
        <w:rPr>
          <w:rFonts w:ascii="Century Schoolbook" w:hAnsi="Century Schoolbook"/>
          <w:szCs w:val="26"/>
        </w:rPr>
        <w:t xml:space="preserve"> prior to the expiration of this one-year period</w:t>
      </w:r>
      <w:r w:rsidR="00CF31B0">
        <w:rPr>
          <w:rFonts w:ascii="Century Schoolbook" w:hAnsi="Century Schoolbook"/>
          <w:szCs w:val="26"/>
        </w:rPr>
        <w:t xml:space="preserve">.  </w:t>
      </w:r>
      <w:r w:rsidRPr="002E03D1" w:rsidR="00CF31B0">
        <w:rPr>
          <w:rFonts w:ascii="Century Schoolbook" w:hAnsi="Century Schoolbook"/>
          <w:szCs w:val="26"/>
        </w:rPr>
        <w:t>(§</w:t>
      </w:r>
      <w:r w:rsidR="00CF31B0">
        <w:rPr>
          <w:rFonts w:ascii="Century Schoolbook" w:hAnsi="Century Schoolbook"/>
          <w:szCs w:val="26"/>
        </w:rPr>
        <w:t> </w:t>
      </w:r>
      <w:r w:rsidRPr="002E03D1" w:rsidR="00CF31B0">
        <w:rPr>
          <w:rFonts w:ascii="Century Schoolbook" w:hAnsi="Century Schoolbook"/>
          <w:szCs w:val="26"/>
        </w:rPr>
        <w:t>1370, subd.</w:t>
      </w:r>
      <w:r w:rsidR="00CF31B0">
        <w:rPr>
          <w:rFonts w:ascii="Century Schoolbook" w:hAnsi="Century Schoolbook"/>
          <w:szCs w:val="26"/>
        </w:rPr>
        <w:t xml:space="preserve"> (a)(7)(B).)  </w:t>
      </w:r>
    </w:p>
    <w:p w:rsidR="00C523FB" w:rsidRPr="00A70840" w:rsidP="000F52E8">
      <w:pPr>
        <w:tabs>
          <w:tab w:val="clear" w:pos="720"/>
          <w:tab w:val="left" w:pos="1170"/>
        </w:tabs>
        <w:spacing w:line="360" w:lineRule="auto"/>
        <w:ind w:left="1170" w:hanging="450"/>
        <w:rPr>
          <w:rFonts w:ascii="Century Schoolbook" w:hAnsi="Century Schoolbook"/>
          <w:b/>
          <w:bCs/>
          <w:szCs w:val="26"/>
        </w:rPr>
      </w:pPr>
      <w:r>
        <w:rPr>
          <w:rFonts w:ascii="Century Schoolbook" w:hAnsi="Century Schoolbook"/>
          <w:b/>
          <w:bCs/>
          <w:szCs w:val="26"/>
        </w:rPr>
        <w:t>B</w:t>
      </w:r>
      <w:r w:rsidRPr="00087BF2" w:rsidR="00087BF2">
        <w:rPr>
          <w:rFonts w:ascii="Century Schoolbook" w:hAnsi="Century Schoolbook"/>
          <w:b/>
          <w:bCs/>
          <w:szCs w:val="26"/>
        </w:rPr>
        <w:t xml:space="preserve">.  </w:t>
      </w:r>
      <w:r w:rsidRPr="00C523FB">
        <w:rPr>
          <w:rFonts w:ascii="Century Schoolbook" w:hAnsi="Century Schoolbook"/>
          <w:b/>
          <w:bCs/>
          <w:szCs w:val="26"/>
        </w:rPr>
        <w:t xml:space="preserve">Section 1370 </w:t>
      </w:r>
      <w:r>
        <w:rPr>
          <w:rFonts w:ascii="Century Schoolbook" w:hAnsi="Century Schoolbook"/>
          <w:b/>
          <w:bCs/>
          <w:szCs w:val="26"/>
        </w:rPr>
        <w:t>P</w:t>
      </w:r>
      <w:r w:rsidRPr="00C523FB">
        <w:rPr>
          <w:rFonts w:ascii="Century Schoolbook" w:hAnsi="Century Schoolbook"/>
          <w:b/>
          <w:bCs/>
          <w:szCs w:val="26"/>
        </w:rPr>
        <w:t xml:space="preserve">rovides for </w:t>
      </w:r>
      <w:r>
        <w:rPr>
          <w:rFonts w:ascii="Century Schoolbook" w:hAnsi="Century Schoolbook"/>
          <w:b/>
          <w:bCs/>
          <w:szCs w:val="26"/>
        </w:rPr>
        <w:t>J</w:t>
      </w:r>
      <w:r w:rsidRPr="00C523FB">
        <w:rPr>
          <w:rFonts w:ascii="Century Schoolbook" w:hAnsi="Century Schoolbook"/>
          <w:b/>
          <w:bCs/>
          <w:szCs w:val="26"/>
        </w:rPr>
        <w:t xml:space="preserve">udicial </w:t>
      </w:r>
      <w:r>
        <w:rPr>
          <w:rFonts w:ascii="Century Schoolbook" w:hAnsi="Century Schoolbook"/>
          <w:b/>
          <w:bCs/>
          <w:szCs w:val="26"/>
        </w:rPr>
        <w:t>R</w:t>
      </w:r>
      <w:r w:rsidRPr="00C523FB">
        <w:rPr>
          <w:rFonts w:ascii="Century Schoolbook" w:hAnsi="Century Schoolbook"/>
          <w:b/>
          <w:bCs/>
          <w:szCs w:val="26"/>
        </w:rPr>
        <w:t>eview of a Temporary Involuntary Medication Order</w:t>
      </w:r>
      <w:r>
        <w:rPr>
          <w:rFonts w:ascii="Century Schoolbook" w:hAnsi="Century Schoolbook"/>
          <w:b/>
          <w:bCs/>
          <w:szCs w:val="26"/>
        </w:rPr>
        <w:t xml:space="preserve"> </w:t>
      </w:r>
    </w:p>
    <w:p w:rsidR="00D12B25" w:rsidP="00AC3432">
      <w:pPr>
        <w:spacing w:line="360" w:lineRule="auto"/>
        <w:rPr>
          <w:rFonts w:ascii="Century Schoolbook" w:eastAsia="Times New Roman" w:hAnsi="Century Schoolbook"/>
          <w:szCs w:val="26"/>
        </w:rPr>
      </w:pPr>
      <w:r>
        <w:rPr>
          <w:rFonts w:ascii="Century Schoolbook" w:hAnsi="Century Schoolbook"/>
          <w:szCs w:val="26"/>
        </w:rPr>
        <w:tab/>
      </w:r>
      <w:r w:rsidRPr="00752E83" w:rsidR="00752E83">
        <w:rPr>
          <w:rStyle w:val="cf01"/>
          <w:rFonts w:ascii="Century Schoolbook" w:hAnsi="Century Schoolbook"/>
          <w:sz w:val="26"/>
          <w:szCs w:val="26"/>
        </w:rPr>
        <w:t>We review issues of statutory interpretation de novo.  (</w:t>
      </w:r>
      <w:r w:rsidRPr="00752E83" w:rsidR="00752E83">
        <w:rPr>
          <w:rFonts w:ascii="Century Schoolbook" w:hAnsi="Century Schoolbook"/>
          <w:i/>
          <w:iCs/>
        </w:rPr>
        <w:t>Cal</w:t>
      </w:r>
      <w:r w:rsidR="000F52E8">
        <w:rPr>
          <w:rFonts w:ascii="Century Schoolbook" w:hAnsi="Century Schoolbook"/>
          <w:i/>
          <w:iCs/>
        </w:rPr>
        <w:t>.</w:t>
      </w:r>
      <w:r w:rsidRPr="00752E83" w:rsidR="00752E83">
        <w:rPr>
          <w:rFonts w:ascii="Century Schoolbook" w:hAnsi="Century Schoolbook"/>
          <w:i/>
          <w:iCs/>
        </w:rPr>
        <w:t xml:space="preserve"> Advoc</w:t>
      </w:r>
      <w:r w:rsidR="000F52E8">
        <w:rPr>
          <w:rFonts w:ascii="Century Schoolbook" w:hAnsi="Century Schoolbook"/>
          <w:i/>
          <w:iCs/>
        </w:rPr>
        <w:t>ates</w:t>
      </w:r>
      <w:r w:rsidRPr="00752E83" w:rsidR="00752E83">
        <w:rPr>
          <w:rFonts w:ascii="Century Schoolbook" w:hAnsi="Century Schoolbook"/>
          <w:i/>
          <w:iCs/>
        </w:rPr>
        <w:t xml:space="preserve"> for Nursing Home Reform v. Ar</w:t>
      </w:r>
      <w:r w:rsidRPr="007936DA" w:rsidR="007936DA">
        <w:rPr>
          <w:rFonts w:ascii="Century Schoolbook" w:hAnsi="Century Schoolbook"/>
          <w:i/>
          <w:iCs/>
        </w:rPr>
        <w:t>á</w:t>
      </w:r>
      <w:r w:rsidRPr="00752E83" w:rsidR="00752E83">
        <w:rPr>
          <w:rFonts w:ascii="Century Schoolbook" w:hAnsi="Century Schoolbook"/>
          <w:i/>
          <w:iCs/>
        </w:rPr>
        <w:t>gon</w:t>
      </w:r>
      <w:r w:rsidRPr="00752E83" w:rsidR="00752E83">
        <w:rPr>
          <w:rFonts w:ascii="Century Schoolbook" w:hAnsi="Century Schoolbook"/>
        </w:rPr>
        <w:t xml:space="preserve"> (2021) 60 Cal.App.5th 500, 507</w:t>
      </w:r>
      <w:r w:rsidRPr="00752E83" w:rsidR="00752E83">
        <w:rPr>
          <w:rFonts w:ascii="Century Schoolbook" w:eastAsia="Times New Roman" w:hAnsi="Century Schoolbook"/>
          <w:szCs w:val="26"/>
        </w:rPr>
        <w:t>.)</w:t>
      </w:r>
      <w:r>
        <w:rPr>
          <w:rStyle w:val="FootnoteReference"/>
          <w:szCs w:val="26"/>
        </w:rPr>
        <w:footnoteReference w:id="4"/>
      </w:r>
      <w:r w:rsidRPr="00752E83" w:rsidR="00752E83">
        <w:rPr>
          <w:rFonts w:ascii="Century Schoolbook" w:eastAsia="Times New Roman" w:hAnsi="Century Schoolbook"/>
          <w:szCs w:val="26"/>
        </w:rPr>
        <w:t xml:space="preserve">  </w:t>
      </w:r>
    </w:p>
    <w:p w:rsidR="00752E83" w:rsidP="00AC3432">
      <w:pPr>
        <w:spacing w:line="360" w:lineRule="auto"/>
        <w:rPr>
          <w:rFonts w:ascii="Century Schoolbook" w:hAnsi="Century Schoolbook"/>
          <w:szCs w:val="26"/>
        </w:rPr>
      </w:pPr>
      <w:r>
        <w:rPr>
          <w:rFonts w:ascii="Century Schoolbook" w:eastAsia="Times New Roman" w:hAnsi="Century Schoolbook"/>
          <w:szCs w:val="26"/>
        </w:rPr>
        <w:tab/>
      </w:r>
      <w:r w:rsidRPr="00752E83" w:rsidR="00AC3432">
        <w:rPr>
          <w:rFonts w:ascii="Century Schoolbook" w:hAnsi="Century Schoolbook"/>
          <w:szCs w:val="26"/>
        </w:rPr>
        <w:t>“ ‘Our fundamental task in interpreting a statute is to determine the Legislature’s intent so as to effectuate the law’s</w:t>
      </w:r>
      <w:r w:rsidRPr="00AC3432" w:rsidR="00AC3432">
        <w:rPr>
          <w:rFonts w:ascii="Century Schoolbook" w:hAnsi="Century Schoolbook"/>
          <w:szCs w:val="26"/>
        </w:rPr>
        <w:t xml:space="preserve"> purpose.</w:t>
      </w:r>
      <w:r w:rsidR="00AC3432">
        <w:rPr>
          <w:rFonts w:ascii="Century Schoolbook" w:hAnsi="Century Schoolbook"/>
          <w:szCs w:val="26"/>
        </w:rPr>
        <w:t xml:space="preserve">’ </w:t>
      </w:r>
      <w:r w:rsidRPr="00AC3432" w:rsidR="00AC3432">
        <w:rPr>
          <w:rFonts w:ascii="Century Schoolbook" w:hAnsi="Century Schoolbook"/>
          <w:szCs w:val="26"/>
        </w:rPr>
        <w:t xml:space="preserve"> </w:t>
      </w:r>
      <w:r w:rsidR="00AC3432">
        <w:rPr>
          <w:rFonts w:ascii="Century Schoolbook" w:hAnsi="Century Schoolbook"/>
          <w:szCs w:val="26"/>
        </w:rPr>
        <w:t xml:space="preserve">[Citation.] </w:t>
      </w:r>
      <w:r w:rsidRPr="00AC3432" w:rsidR="00AC3432">
        <w:rPr>
          <w:rFonts w:ascii="Century Schoolbook" w:hAnsi="Century Schoolbook"/>
          <w:szCs w:val="26"/>
        </w:rPr>
        <w:t xml:space="preserve"> </w:t>
      </w:r>
      <w:r w:rsidR="00AC3432">
        <w:rPr>
          <w:rFonts w:ascii="Century Schoolbook" w:hAnsi="Century Schoolbook"/>
          <w:szCs w:val="26"/>
        </w:rPr>
        <w:t>‘</w:t>
      </w:r>
      <w:r w:rsidRPr="00AC3432" w:rsidR="00AC3432">
        <w:rPr>
          <w:rFonts w:ascii="Century Schoolbook" w:hAnsi="Century Schoolbook"/>
          <w:szCs w:val="26"/>
        </w:rPr>
        <w:t>We first examine the statutory language, giving it a plain and commonsense meaning.</w:t>
      </w:r>
      <w:r w:rsidR="00AC3432">
        <w:rPr>
          <w:rFonts w:ascii="Century Schoolbook" w:hAnsi="Century Schoolbook"/>
          <w:szCs w:val="26"/>
        </w:rPr>
        <w:t>’</w:t>
      </w:r>
      <w:r w:rsidRPr="00AC3432" w:rsidR="00AC3432">
        <w:rPr>
          <w:rFonts w:ascii="Century Schoolbook" w:hAnsi="Century Schoolbook"/>
          <w:szCs w:val="26"/>
        </w:rPr>
        <w:t xml:space="preserve"> </w:t>
      </w:r>
      <w:r w:rsidR="00AC3432">
        <w:rPr>
          <w:rFonts w:ascii="Century Schoolbook" w:hAnsi="Century Schoolbook"/>
          <w:szCs w:val="26"/>
        </w:rPr>
        <w:t xml:space="preserve"> [Citation.]  ‘</w:t>
      </w:r>
      <w:r w:rsidRPr="00AC3432" w:rsidR="00AC3432">
        <w:rPr>
          <w:rFonts w:ascii="Century Schoolbook" w:hAnsi="Century Schoolbook"/>
          <w:szCs w:val="26"/>
        </w:rPr>
        <w:t xml:space="preserve">If the language is clear, courts must generally follow its plain meaning unless a literal interpretation would result in absurd consequences the Legislature did not intend. </w:t>
      </w:r>
      <w:r w:rsidR="00AC3432">
        <w:rPr>
          <w:rFonts w:ascii="Century Schoolbook" w:hAnsi="Century Schoolbook"/>
          <w:szCs w:val="26"/>
        </w:rPr>
        <w:t xml:space="preserve"> </w:t>
      </w:r>
      <w:r w:rsidRPr="00AC3432" w:rsidR="00AC3432">
        <w:rPr>
          <w:rFonts w:ascii="Century Schoolbook" w:hAnsi="Century Schoolbook"/>
          <w:szCs w:val="26"/>
        </w:rPr>
        <w:t>If the statutory language permits more than one reasonable interpretation, courts may consider other aids, such as the statute</w:t>
      </w:r>
      <w:r w:rsidR="00AC3432">
        <w:rPr>
          <w:rFonts w:ascii="Century Schoolbook" w:hAnsi="Century Schoolbook"/>
          <w:szCs w:val="26"/>
        </w:rPr>
        <w:t>’</w:t>
      </w:r>
      <w:r w:rsidRPr="00AC3432" w:rsidR="00AC3432">
        <w:rPr>
          <w:rFonts w:ascii="Century Schoolbook" w:hAnsi="Century Schoolbook"/>
          <w:szCs w:val="26"/>
        </w:rPr>
        <w:t>s purpose, legislative history, and public policy.</w:t>
      </w:r>
      <w:r w:rsidR="00AC3432">
        <w:rPr>
          <w:rFonts w:ascii="Century Schoolbook" w:hAnsi="Century Schoolbook"/>
          <w:szCs w:val="26"/>
        </w:rPr>
        <w:t>’ </w:t>
      </w:r>
      <w:r w:rsidRPr="00AC3432" w:rsidR="00AC3432">
        <w:rPr>
          <w:rFonts w:ascii="Century Schoolbook" w:hAnsi="Century Schoolbook"/>
          <w:szCs w:val="26"/>
        </w:rPr>
        <w:t>”</w:t>
      </w:r>
      <w:r w:rsidR="00AC3432">
        <w:rPr>
          <w:rFonts w:ascii="Century Schoolbook" w:hAnsi="Century Schoolbook"/>
          <w:szCs w:val="26"/>
        </w:rPr>
        <w:t xml:space="preserve">  (</w:t>
      </w:r>
      <w:r w:rsidRPr="00752E83" w:rsidR="000F52E8">
        <w:rPr>
          <w:rFonts w:ascii="Century Schoolbook" w:hAnsi="Century Schoolbook"/>
          <w:i/>
          <w:iCs/>
        </w:rPr>
        <w:t>Cal</w:t>
      </w:r>
      <w:r w:rsidR="000F52E8">
        <w:rPr>
          <w:rFonts w:ascii="Century Schoolbook" w:hAnsi="Century Schoolbook"/>
          <w:i/>
          <w:iCs/>
        </w:rPr>
        <w:t>.</w:t>
      </w:r>
      <w:r w:rsidRPr="00752E83" w:rsidR="000F52E8">
        <w:rPr>
          <w:rFonts w:ascii="Century Schoolbook" w:hAnsi="Century Schoolbook"/>
          <w:i/>
          <w:iCs/>
        </w:rPr>
        <w:t xml:space="preserve"> Advoc</w:t>
      </w:r>
      <w:r w:rsidR="000F52E8">
        <w:rPr>
          <w:rFonts w:ascii="Century Schoolbook" w:hAnsi="Century Schoolbook"/>
          <w:i/>
          <w:iCs/>
        </w:rPr>
        <w:t>ates</w:t>
      </w:r>
      <w:r w:rsidRPr="00752E83" w:rsidR="000F52E8">
        <w:rPr>
          <w:rFonts w:ascii="Century Schoolbook" w:hAnsi="Century Schoolbook"/>
          <w:i/>
          <w:iCs/>
        </w:rPr>
        <w:t xml:space="preserve"> </w:t>
      </w:r>
      <w:r w:rsidRPr="00AC3432" w:rsidR="00AC3432">
        <w:rPr>
          <w:rFonts w:ascii="Century Schoolbook" w:hAnsi="Century Schoolbook"/>
          <w:i/>
          <w:iCs/>
          <w:szCs w:val="26"/>
        </w:rPr>
        <w:t>for Nursing Home Reform</w:t>
      </w:r>
      <w:r w:rsidR="005B6CD5">
        <w:rPr>
          <w:rFonts w:ascii="Century Schoolbook" w:hAnsi="Century Schoolbook"/>
          <w:szCs w:val="26"/>
        </w:rPr>
        <w:t>,</w:t>
      </w:r>
      <w:r w:rsidRPr="00AC3432" w:rsidR="00AC3432">
        <w:rPr>
          <w:rFonts w:ascii="Century Schoolbook" w:hAnsi="Century Schoolbook"/>
          <w:i/>
          <w:iCs/>
          <w:szCs w:val="26"/>
        </w:rPr>
        <w:t xml:space="preserve"> </w:t>
      </w:r>
      <w:r w:rsidRPr="00416EF2" w:rsidR="005B6CD5">
        <w:rPr>
          <w:rFonts w:ascii="Century Schoolbook" w:hAnsi="Century Schoolbook"/>
          <w:szCs w:val="26"/>
        </w:rPr>
        <w:t>at p.</w:t>
      </w:r>
      <w:r w:rsidR="005B6CD5">
        <w:rPr>
          <w:rFonts w:ascii="Century Schoolbook" w:hAnsi="Century Schoolbook"/>
          <w:i/>
          <w:iCs/>
          <w:szCs w:val="26"/>
        </w:rPr>
        <w:t> </w:t>
      </w:r>
      <w:r w:rsidRPr="00AC3432" w:rsidR="00AC3432">
        <w:rPr>
          <w:rFonts w:ascii="Century Schoolbook" w:hAnsi="Century Schoolbook"/>
          <w:szCs w:val="26"/>
        </w:rPr>
        <w:t>507</w:t>
      </w:r>
      <w:r w:rsidR="00AC3432">
        <w:rPr>
          <w:rFonts w:ascii="Century Schoolbook" w:hAnsi="Century Schoolbook"/>
          <w:szCs w:val="26"/>
        </w:rPr>
        <w:t>.</w:t>
      </w:r>
      <w:r w:rsidRPr="00AC3432" w:rsidR="00AC3432">
        <w:rPr>
          <w:rFonts w:ascii="Century Schoolbook" w:hAnsi="Century Schoolbook"/>
          <w:szCs w:val="26"/>
        </w:rPr>
        <w:t>)</w:t>
      </w:r>
      <w:r w:rsidR="00AC3432">
        <w:rPr>
          <w:rFonts w:ascii="Century Schoolbook" w:hAnsi="Century Schoolbook"/>
          <w:szCs w:val="26"/>
        </w:rPr>
        <w:t xml:space="preserve"> </w:t>
      </w:r>
    </w:p>
    <w:p w:rsidR="00D12B25" w:rsidP="00AC3432">
      <w:pPr>
        <w:spacing w:line="360" w:lineRule="auto"/>
        <w:rPr>
          <w:rFonts w:ascii="Century Schoolbook" w:hAnsi="Century Schoolbook"/>
          <w:szCs w:val="26"/>
        </w:rPr>
      </w:pPr>
      <w:r>
        <w:rPr>
          <w:rFonts w:ascii="Century Schoolbook" w:hAnsi="Century Schoolbook"/>
          <w:szCs w:val="26"/>
        </w:rPr>
        <w:tab/>
      </w:r>
      <w:r>
        <w:rPr>
          <w:rFonts w:ascii="Century Schoolbook" w:hAnsi="Century Schoolbook"/>
          <w:szCs w:val="26"/>
        </w:rPr>
        <w:t>We therefore begin with</w:t>
      </w:r>
      <w:r w:rsidR="00832054">
        <w:rPr>
          <w:rFonts w:ascii="Century Schoolbook" w:hAnsi="Century Schoolbook"/>
          <w:szCs w:val="26"/>
        </w:rPr>
        <w:t xml:space="preserve"> </w:t>
      </w:r>
      <w:r w:rsidRPr="00752E83">
        <w:rPr>
          <w:rFonts w:ascii="Century Schoolbook" w:hAnsi="Century Schoolbook"/>
          <w:szCs w:val="26"/>
        </w:rPr>
        <w:t>the plain language of section 1370</w:t>
      </w:r>
      <w:r w:rsidR="002C2261">
        <w:rPr>
          <w:rFonts w:ascii="Century Schoolbook" w:hAnsi="Century Schoolbook"/>
          <w:szCs w:val="26"/>
        </w:rPr>
        <w:t xml:space="preserve">.  Contrary to </w:t>
      </w:r>
      <w:r w:rsidRPr="00752E83">
        <w:rPr>
          <w:rFonts w:ascii="Century Schoolbook" w:hAnsi="Century Schoolbook"/>
          <w:szCs w:val="26"/>
        </w:rPr>
        <w:t>the Attorney General’s argument</w:t>
      </w:r>
      <w:r w:rsidR="00832054">
        <w:rPr>
          <w:rFonts w:ascii="Century Schoolbook" w:hAnsi="Century Schoolbook"/>
          <w:szCs w:val="26"/>
        </w:rPr>
        <w:t xml:space="preserve"> that </w:t>
      </w:r>
      <w:r w:rsidRPr="00752E83" w:rsidR="00832054">
        <w:rPr>
          <w:rFonts w:ascii="Century Schoolbook" w:hAnsi="Century Schoolbook"/>
          <w:szCs w:val="26"/>
        </w:rPr>
        <w:t xml:space="preserve">section 1370 </w:t>
      </w:r>
      <w:r w:rsidR="00832054">
        <w:rPr>
          <w:rFonts w:ascii="Century Schoolbook" w:hAnsi="Century Schoolbook"/>
          <w:szCs w:val="26"/>
        </w:rPr>
        <w:t>provides “a clear judicial review procedure” via a hearing with the superior court “no later than 18 days from the date of certification</w:t>
      </w:r>
      <w:r w:rsidR="002C2261">
        <w:rPr>
          <w:rFonts w:ascii="Century Schoolbook" w:hAnsi="Century Schoolbook"/>
          <w:szCs w:val="26"/>
        </w:rPr>
        <w:t>,</w:t>
      </w:r>
      <w:r w:rsidR="00832054">
        <w:rPr>
          <w:rFonts w:ascii="Century Schoolbook" w:hAnsi="Century Schoolbook"/>
          <w:szCs w:val="26"/>
        </w:rPr>
        <w:t xml:space="preserve">” </w:t>
      </w:r>
      <w:r w:rsidR="0051197B">
        <w:rPr>
          <w:rFonts w:ascii="Century Schoolbook" w:hAnsi="Century Schoolbook"/>
          <w:szCs w:val="26"/>
        </w:rPr>
        <w:t xml:space="preserve">nothing in section 1370 specifies </w:t>
      </w:r>
      <w:r w:rsidR="00A719AF">
        <w:rPr>
          <w:rFonts w:ascii="Century Schoolbook" w:hAnsi="Century Schoolbook"/>
          <w:szCs w:val="26"/>
        </w:rPr>
        <w:t>a review process</w:t>
      </w:r>
      <w:r>
        <w:rPr>
          <w:rFonts w:ascii="Century Schoolbook" w:hAnsi="Century Schoolbook"/>
          <w:szCs w:val="26"/>
        </w:rPr>
        <w:t xml:space="preserve"> in the event an ALJ authorizes a 21-day medication order</w:t>
      </w:r>
      <w:r w:rsidR="00A719AF">
        <w:rPr>
          <w:rFonts w:ascii="Century Schoolbook" w:hAnsi="Century Schoolbook"/>
          <w:szCs w:val="26"/>
        </w:rPr>
        <w:t xml:space="preserve">.  </w:t>
      </w:r>
    </w:p>
    <w:p w:rsidR="00A719AF" w:rsidRPr="00832054" w:rsidP="00AC3432">
      <w:pPr>
        <w:spacing w:line="360" w:lineRule="auto"/>
        <w:rPr>
          <w:rFonts w:ascii="Century Schoolbook" w:hAnsi="Century Schoolbook"/>
          <w:szCs w:val="26"/>
        </w:rPr>
      </w:pPr>
      <w:r>
        <w:rPr>
          <w:rFonts w:ascii="Century Schoolbook" w:hAnsi="Century Schoolbook"/>
          <w:szCs w:val="26"/>
        </w:rPr>
        <w:tab/>
      </w:r>
      <w:r>
        <w:rPr>
          <w:rFonts w:ascii="Century Schoolbook" w:hAnsi="Century Schoolbook"/>
          <w:szCs w:val="26"/>
        </w:rPr>
        <w:t xml:space="preserve">The subdivision relied upon by the Attorney General—namely </w:t>
      </w:r>
      <w:r w:rsidR="005E0D80">
        <w:rPr>
          <w:rFonts w:ascii="Century Schoolbook" w:hAnsi="Century Schoolbook"/>
          <w:szCs w:val="26"/>
        </w:rPr>
        <w:t>s</w:t>
      </w:r>
      <w:r w:rsidR="00AC3432">
        <w:rPr>
          <w:rFonts w:ascii="Century Schoolbook" w:hAnsi="Century Schoolbook"/>
          <w:szCs w:val="26"/>
        </w:rPr>
        <w:t>ubdivision (a)(2)(D)(ii)</w:t>
      </w:r>
      <w:r>
        <w:rPr>
          <w:rFonts w:ascii="Century Schoolbook" w:hAnsi="Century Schoolbook"/>
          <w:szCs w:val="26"/>
        </w:rPr>
        <w:t xml:space="preserve">—is not designed to review the adequacy of </w:t>
      </w:r>
      <w:r w:rsidR="00031999">
        <w:rPr>
          <w:rFonts w:ascii="Century Schoolbook" w:hAnsi="Century Schoolbook"/>
          <w:szCs w:val="26"/>
        </w:rPr>
        <w:t>the</w:t>
      </w:r>
      <w:r>
        <w:rPr>
          <w:rFonts w:ascii="Century Schoolbook" w:hAnsi="Century Schoolbook"/>
          <w:szCs w:val="26"/>
        </w:rPr>
        <w:t xml:space="preserve"> </w:t>
      </w:r>
      <w:r w:rsidR="00F43B96">
        <w:rPr>
          <w:rFonts w:ascii="Century Schoolbook" w:hAnsi="Century Schoolbook"/>
          <w:szCs w:val="26"/>
        </w:rPr>
        <w:t>ALJ’s</w:t>
      </w:r>
      <w:r>
        <w:rPr>
          <w:rFonts w:ascii="Century Schoolbook" w:hAnsi="Century Schoolbook"/>
          <w:szCs w:val="26"/>
        </w:rPr>
        <w:t xml:space="preserve"> order.  Rather, that provision requires the treating psychiatrist to file a separate petition </w:t>
      </w:r>
      <w:r w:rsidR="005E0D80">
        <w:rPr>
          <w:rFonts w:ascii="Century Schoolbook" w:hAnsi="Century Schoolbook"/>
          <w:szCs w:val="26"/>
        </w:rPr>
        <w:t xml:space="preserve">for the purpose of obtaining “an order to administer antipsychotic medication beyond the 21-day certification period.”  Subdivision (a)(2)(D)(iv) likewise </w:t>
      </w:r>
      <w:r>
        <w:rPr>
          <w:rFonts w:ascii="Century Schoolbook" w:hAnsi="Century Schoolbook"/>
          <w:szCs w:val="26"/>
        </w:rPr>
        <w:t>explains the purpose of the subsequent superior court hearing:</w:t>
      </w:r>
      <w:r w:rsidR="005E0D80">
        <w:rPr>
          <w:rFonts w:ascii="Century Schoolbook" w:hAnsi="Century Schoolbook"/>
          <w:szCs w:val="26"/>
        </w:rPr>
        <w:t xml:space="preserve"> “to determine whether antipsychotic medication should be ordered beyond the certification period.”  This statutory language expressly states that the superior court is </w:t>
      </w:r>
      <w:r w:rsidRPr="00832054" w:rsidR="005E0D80">
        <w:rPr>
          <w:rFonts w:ascii="Century Schoolbook" w:hAnsi="Century Schoolbook"/>
          <w:i/>
          <w:iCs/>
          <w:szCs w:val="26"/>
        </w:rPr>
        <w:t>not</w:t>
      </w:r>
      <w:r w:rsidR="005E0D80">
        <w:rPr>
          <w:rFonts w:ascii="Century Schoolbook" w:hAnsi="Century Schoolbook"/>
          <w:szCs w:val="26"/>
        </w:rPr>
        <w:t xml:space="preserve"> reviewing the adequacy of the temporary medication order, but rather conducting a separate proceeding to assess whether an additional one-year involuntary medication order</w:t>
      </w:r>
      <w:r>
        <w:rPr>
          <w:rFonts w:ascii="Century Schoolbook" w:hAnsi="Century Schoolbook"/>
          <w:szCs w:val="26"/>
        </w:rPr>
        <w:t xml:space="preserve"> is appropriate</w:t>
      </w:r>
      <w:r w:rsidR="005E0D80">
        <w:rPr>
          <w:rFonts w:ascii="Century Schoolbook" w:hAnsi="Century Schoolbook"/>
          <w:szCs w:val="26"/>
        </w:rPr>
        <w:t xml:space="preserve">.  </w:t>
      </w:r>
      <w:r>
        <w:rPr>
          <w:rFonts w:ascii="Century Schoolbook" w:hAnsi="Century Schoolbook"/>
          <w:szCs w:val="26"/>
        </w:rPr>
        <w:t>Accordingly, the plain language of the statute indicates the Legislature did not intend the superior court hearing to constitute the review mechanism for any temporary involuntary medication orders.</w:t>
      </w:r>
    </w:p>
    <w:p w:rsidR="00A719AF" w:rsidP="00AC3432">
      <w:pPr>
        <w:spacing w:line="360" w:lineRule="auto"/>
        <w:rPr>
          <w:rFonts w:ascii="Century Schoolbook" w:hAnsi="Century Schoolbook"/>
          <w:szCs w:val="26"/>
        </w:rPr>
      </w:pPr>
      <w:r>
        <w:rPr>
          <w:rFonts w:ascii="Century Schoolbook" w:hAnsi="Century Schoolbook"/>
          <w:szCs w:val="26"/>
        </w:rPr>
        <w:tab/>
        <w:t xml:space="preserve">Moreover, subdivision (a)(2)(D)(i) expressly indicates the Legislature intended to allow </w:t>
      </w:r>
      <w:r w:rsidR="002C2261">
        <w:rPr>
          <w:rFonts w:ascii="Century Schoolbook" w:hAnsi="Century Schoolbook"/>
          <w:szCs w:val="26"/>
        </w:rPr>
        <w:t xml:space="preserve">for </w:t>
      </w:r>
      <w:r>
        <w:rPr>
          <w:rFonts w:ascii="Century Schoolbook" w:hAnsi="Century Schoolbook"/>
          <w:szCs w:val="26"/>
        </w:rPr>
        <w:t xml:space="preserve">judicial review.  That provision mandates appointment of </w:t>
      </w:r>
      <w:r w:rsidRPr="00A70840">
        <w:rPr>
          <w:rFonts w:ascii="Century Schoolbook" w:hAnsi="Century Schoolbook"/>
          <w:szCs w:val="26"/>
        </w:rPr>
        <w:t xml:space="preserve">an attorney or patients’ right advocate </w:t>
      </w:r>
      <w:r>
        <w:rPr>
          <w:rFonts w:ascii="Century Schoolbook" w:hAnsi="Century Schoolbook"/>
          <w:szCs w:val="26"/>
        </w:rPr>
        <w:t xml:space="preserve">and sets forth their general duties.  In listing those duties, the statute states the attorney or patient advocate must </w:t>
      </w:r>
      <w:r w:rsidRPr="00A70840">
        <w:rPr>
          <w:rFonts w:ascii="Century Schoolbook" w:hAnsi="Century Schoolbook"/>
          <w:szCs w:val="26"/>
        </w:rPr>
        <w:t>“advis</w:t>
      </w:r>
      <w:r>
        <w:rPr>
          <w:rFonts w:ascii="Century Schoolbook" w:hAnsi="Century Schoolbook"/>
          <w:szCs w:val="26"/>
        </w:rPr>
        <w:t>e</w:t>
      </w:r>
      <w:r w:rsidRPr="00A70840">
        <w:rPr>
          <w:rFonts w:ascii="Century Schoolbook" w:hAnsi="Century Schoolbook"/>
          <w:szCs w:val="26"/>
        </w:rPr>
        <w:t xml:space="preserve"> the defendant of their right to judicial review of the panel’s </w:t>
      </w:r>
      <w:r w:rsidRPr="00A70840" w:rsidR="00F43B96">
        <w:rPr>
          <w:rFonts w:ascii="Century Schoolbook" w:hAnsi="Century Schoolbook"/>
          <w:szCs w:val="26"/>
        </w:rPr>
        <w:t>decision</w:t>
      </w:r>
      <w:r w:rsidR="007936DA">
        <w:rPr>
          <w:rFonts w:ascii="Century Schoolbook" w:hAnsi="Century Schoolbook"/>
          <w:szCs w:val="26"/>
        </w:rPr>
        <w:t>,</w:t>
      </w:r>
      <w:r w:rsidRPr="00A70840" w:rsidR="00F43B96">
        <w:rPr>
          <w:rFonts w:ascii="Century Schoolbook" w:hAnsi="Century Schoolbook"/>
          <w:szCs w:val="26"/>
        </w:rPr>
        <w:t xml:space="preserve"> and</w:t>
      </w:r>
      <w:r w:rsidRPr="00A70840">
        <w:rPr>
          <w:rFonts w:ascii="Century Schoolbook" w:hAnsi="Century Schoolbook"/>
          <w:szCs w:val="26"/>
        </w:rPr>
        <w:t xml:space="preserve"> provide the defendant with referral information for legal advice on the subject.”  </w:t>
      </w:r>
      <w:r>
        <w:rPr>
          <w:rFonts w:ascii="Century Schoolbook" w:hAnsi="Century Schoolbook"/>
          <w:szCs w:val="26"/>
        </w:rPr>
        <w:t xml:space="preserve">(§ 1370, subd. (a)(2)(D)(i).)  </w:t>
      </w:r>
      <w:r w:rsidR="004414DD">
        <w:rPr>
          <w:rFonts w:ascii="Century Schoolbook" w:hAnsi="Century Schoolbook"/>
          <w:szCs w:val="26"/>
        </w:rPr>
        <w:t xml:space="preserve">Unless the Legislature intended judicial review to be available, it would make no sense for it </w:t>
      </w:r>
      <w:r w:rsidR="00EB321F">
        <w:rPr>
          <w:rFonts w:ascii="Century Schoolbook" w:hAnsi="Century Schoolbook"/>
          <w:szCs w:val="26"/>
        </w:rPr>
        <w:t xml:space="preserve">to </w:t>
      </w:r>
      <w:r w:rsidR="004414DD">
        <w:rPr>
          <w:rFonts w:ascii="Century Schoolbook" w:hAnsi="Century Schoolbook"/>
          <w:szCs w:val="26"/>
        </w:rPr>
        <w:t xml:space="preserve">require the </w:t>
      </w:r>
      <w:r w:rsidR="00EB321F">
        <w:rPr>
          <w:rFonts w:ascii="Century Schoolbook" w:hAnsi="Century Schoolbook"/>
          <w:szCs w:val="26"/>
        </w:rPr>
        <w:t xml:space="preserve">appointed </w:t>
      </w:r>
      <w:r>
        <w:rPr>
          <w:rFonts w:ascii="Century Schoolbook" w:hAnsi="Century Schoolbook"/>
          <w:szCs w:val="26"/>
        </w:rPr>
        <w:t>attorney and/or patient advocate to advise the defendant of their right to judicial review.</w:t>
      </w:r>
    </w:p>
    <w:p w:rsidR="00A719AF" w:rsidP="00AC3432">
      <w:pPr>
        <w:spacing w:line="360" w:lineRule="auto"/>
        <w:rPr>
          <w:rFonts w:ascii="Century Schoolbook" w:hAnsi="Century Schoolbook"/>
          <w:szCs w:val="26"/>
        </w:rPr>
      </w:pPr>
      <w:r>
        <w:rPr>
          <w:rFonts w:ascii="Century Schoolbook" w:hAnsi="Century Schoolbook"/>
          <w:szCs w:val="26"/>
        </w:rPr>
        <w:tab/>
      </w:r>
      <w:r w:rsidR="004414DD">
        <w:rPr>
          <w:rFonts w:ascii="Century Schoolbook" w:hAnsi="Century Schoolbook"/>
          <w:szCs w:val="26"/>
        </w:rPr>
        <w:t xml:space="preserve">This scheme </w:t>
      </w:r>
      <w:r w:rsidR="002C2261">
        <w:rPr>
          <w:rFonts w:ascii="Century Schoolbook" w:hAnsi="Century Schoolbook"/>
          <w:szCs w:val="26"/>
        </w:rPr>
        <w:t>largely tracks</w:t>
      </w:r>
      <w:r w:rsidR="004414DD">
        <w:rPr>
          <w:rFonts w:ascii="Century Schoolbook" w:hAnsi="Century Schoolbook"/>
          <w:szCs w:val="26"/>
        </w:rPr>
        <w:t xml:space="preserve"> </w:t>
      </w:r>
      <w:r>
        <w:rPr>
          <w:rFonts w:ascii="Century Schoolbook" w:hAnsi="Century Schoolbook"/>
          <w:szCs w:val="26"/>
        </w:rPr>
        <w:t>analogous statutes</w:t>
      </w:r>
      <w:r w:rsidR="004414DD">
        <w:rPr>
          <w:rFonts w:ascii="Century Schoolbook" w:hAnsi="Century Schoolbook"/>
          <w:szCs w:val="26"/>
        </w:rPr>
        <w:t xml:space="preserve">, sections 2602 and 2603, </w:t>
      </w:r>
      <w:r w:rsidR="002C2261">
        <w:rPr>
          <w:rFonts w:ascii="Century Schoolbook" w:hAnsi="Century Schoolbook"/>
          <w:szCs w:val="26"/>
        </w:rPr>
        <w:t xml:space="preserve">that </w:t>
      </w:r>
      <w:r>
        <w:rPr>
          <w:rFonts w:ascii="Century Schoolbook" w:hAnsi="Century Schoolbook"/>
          <w:szCs w:val="26"/>
        </w:rPr>
        <w:t>addres</w:t>
      </w:r>
      <w:r w:rsidR="002C2261">
        <w:rPr>
          <w:rFonts w:ascii="Century Schoolbook" w:hAnsi="Century Schoolbook"/>
          <w:szCs w:val="26"/>
        </w:rPr>
        <w:t>s</w:t>
      </w:r>
      <w:r>
        <w:rPr>
          <w:rFonts w:ascii="Century Schoolbook" w:hAnsi="Century Schoolbook"/>
          <w:szCs w:val="26"/>
        </w:rPr>
        <w:t xml:space="preserve"> involuntary medication orders for state </w:t>
      </w:r>
      <w:r w:rsidR="00416EF2">
        <w:rPr>
          <w:rFonts w:ascii="Century Schoolbook" w:hAnsi="Century Schoolbook"/>
          <w:szCs w:val="26"/>
        </w:rPr>
        <w:t xml:space="preserve">prison </w:t>
      </w:r>
      <w:r>
        <w:rPr>
          <w:rFonts w:ascii="Century Schoolbook" w:hAnsi="Century Schoolbook"/>
          <w:szCs w:val="26"/>
        </w:rPr>
        <w:t>and county jail inmates</w:t>
      </w:r>
      <w:r w:rsidR="00981AF9">
        <w:rPr>
          <w:rFonts w:ascii="Century Schoolbook" w:hAnsi="Century Schoolbook"/>
          <w:szCs w:val="26"/>
        </w:rPr>
        <w:t>.  (</w:t>
      </w:r>
      <w:r w:rsidR="004414DD">
        <w:rPr>
          <w:rFonts w:ascii="Century Schoolbook" w:hAnsi="Century Schoolbook"/>
          <w:szCs w:val="26"/>
        </w:rPr>
        <w:t>S</w:t>
      </w:r>
      <w:r w:rsidR="00981AF9">
        <w:rPr>
          <w:rFonts w:ascii="Century Schoolbook" w:hAnsi="Century Schoolbook"/>
          <w:szCs w:val="26"/>
        </w:rPr>
        <w:t xml:space="preserve">ee, e.g., </w:t>
      </w:r>
      <w:r w:rsidRPr="008E6518" w:rsidR="00981AF9">
        <w:rPr>
          <w:rFonts w:ascii="Century Schoolbook" w:hAnsi="Century Schoolbook"/>
          <w:i/>
          <w:iCs/>
          <w:szCs w:val="26"/>
        </w:rPr>
        <w:t>In re Qawi</w:t>
      </w:r>
      <w:r w:rsidRPr="008E6518" w:rsidR="00981AF9">
        <w:rPr>
          <w:rFonts w:ascii="Century Schoolbook" w:hAnsi="Century Schoolbook"/>
          <w:szCs w:val="26"/>
        </w:rPr>
        <w:t xml:space="preserve"> </w:t>
      </w:r>
      <w:r w:rsidR="00981AF9">
        <w:rPr>
          <w:rFonts w:ascii="Century Schoolbook" w:hAnsi="Century Schoolbook"/>
          <w:szCs w:val="26"/>
        </w:rPr>
        <w:t xml:space="preserve">(2004) </w:t>
      </w:r>
      <w:r w:rsidRPr="008E6518" w:rsidR="00981AF9">
        <w:rPr>
          <w:rFonts w:ascii="Century Schoolbook" w:hAnsi="Century Schoolbook"/>
          <w:szCs w:val="26"/>
        </w:rPr>
        <w:t>32 Cal.4th 1, 22</w:t>
      </w:r>
      <w:r w:rsidR="00981AF9">
        <w:rPr>
          <w:rFonts w:ascii="Century Schoolbook" w:hAnsi="Century Schoolbook"/>
          <w:szCs w:val="26"/>
        </w:rPr>
        <w:t xml:space="preserve"> [initial medication period, which “</w:t>
      </w:r>
      <w:r w:rsidRPr="008E6518" w:rsidR="00981AF9">
        <w:rPr>
          <w:rFonts w:ascii="Century Schoolbook" w:hAnsi="Century Schoolbook"/>
          <w:szCs w:val="26"/>
        </w:rPr>
        <w:t>may be certified for additional involuntary medication up to 21 days</w:t>
      </w:r>
      <w:r w:rsidR="00981AF9">
        <w:rPr>
          <w:rFonts w:ascii="Century Schoolbook" w:hAnsi="Century Schoolbook"/>
          <w:szCs w:val="26"/>
        </w:rPr>
        <w:t>,” a right to “contest [the] certification”</w:t>
      </w:r>
      <w:r w:rsidRPr="008E6518" w:rsidR="00981AF9">
        <w:rPr>
          <w:rFonts w:ascii="Century Schoolbook" w:hAnsi="Century Schoolbook"/>
          <w:szCs w:val="26"/>
        </w:rPr>
        <w:t xml:space="preserve"> </w:t>
      </w:r>
      <w:r w:rsidR="00981AF9">
        <w:rPr>
          <w:rFonts w:ascii="Century Schoolbook" w:hAnsi="Century Schoolbook"/>
          <w:szCs w:val="26"/>
        </w:rPr>
        <w:t>“</w:t>
      </w:r>
      <w:r w:rsidRPr="008E6518" w:rsidR="00981AF9">
        <w:rPr>
          <w:rFonts w:ascii="Century Schoolbook" w:hAnsi="Century Schoolbook"/>
          <w:szCs w:val="26"/>
        </w:rPr>
        <w:t>with the assistance of an attorney or advocate,</w:t>
      </w:r>
      <w:r w:rsidR="00981AF9">
        <w:rPr>
          <w:rFonts w:ascii="Century Schoolbook" w:hAnsi="Century Schoolbook"/>
          <w:szCs w:val="26"/>
        </w:rPr>
        <w:t>”</w:t>
      </w:r>
      <w:r w:rsidRPr="008E6518" w:rsidR="00981AF9">
        <w:rPr>
          <w:rFonts w:ascii="Century Schoolbook" w:hAnsi="Century Schoolbook"/>
          <w:szCs w:val="26"/>
        </w:rPr>
        <w:t xml:space="preserve"> </w:t>
      </w:r>
      <w:r w:rsidR="00981AF9">
        <w:rPr>
          <w:rFonts w:ascii="Century Schoolbook" w:hAnsi="Century Schoolbook"/>
          <w:szCs w:val="26"/>
        </w:rPr>
        <w:t>a</w:t>
      </w:r>
      <w:r w:rsidR="00416EF2">
        <w:rPr>
          <w:rFonts w:ascii="Century Schoolbook" w:hAnsi="Century Schoolbook"/>
          <w:szCs w:val="26"/>
        </w:rPr>
        <w:t>t a</w:t>
      </w:r>
      <w:r w:rsidRPr="008E6518" w:rsidR="00981AF9">
        <w:rPr>
          <w:rFonts w:ascii="Century Schoolbook" w:hAnsi="Century Schoolbook"/>
          <w:szCs w:val="26"/>
        </w:rPr>
        <w:t xml:space="preserve"> </w:t>
      </w:r>
      <w:r w:rsidR="00981AF9">
        <w:rPr>
          <w:rFonts w:ascii="Century Schoolbook" w:hAnsi="Century Schoolbook"/>
          <w:szCs w:val="26"/>
        </w:rPr>
        <w:t>“</w:t>
      </w:r>
      <w:r w:rsidRPr="008E6518" w:rsidR="00981AF9">
        <w:rPr>
          <w:rFonts w:ascii="Century Schoolbook" w:hAnsi="Century Schoolbook"/>
          <w:szCs w:val="26"/>
        </w:rPr>
        <w:t xml:space="preserve">certification review hearing </w:t>
      </w:r>
      <w:r w:rsidR="00981AF9">
        <w:rPr>
          <w:rFonts w:ascii="Century Schoolbook" w:hAnsi="Century Schoolbook"/>
          <w:szCs w:val="26"/>
        </w:rPr>
        <w:t>[ ]</w:t>
      </w:r>
      <w:r w:rsidRPr="008E6518" w:rsidR="00981AF9">
        <w:rPr>
          <w:rFonts w:ascii="Century Schoolbook" w:hAnsi="Century Schoolbook"/>
          <w:szCs w:val="26"/>
        </w:rPr>
        <w:t xml:space="preserve"> conducted by the court-appointed hearing officer</w:t>
      </w:r>
      <w:r w:rsidR="00981AF9">
        <w:rPr>
          <w:rFonts w:ascii="Century Schoolbook" w:hAnsi="Century Schoolbook"/>
          <w:szCs w:val="26"/>
        </w:rPr>
        <w:t>,” and a 24-day limit on the involuntary medication “</w:t>
      </w:r>
      <w:r w:rsidRPr="008E6518" w:rsidR="00981AF9">
        <w:rPr>
          <w:rFonts w:ascii="Century Schoolbook" w:hAnsi="Century Schoolbook"/>
          <w:szCs w:val="26"/>
        </w:rPr>
        <w:t>without an order from the superior court.</w:t>
      </w:r>
      <w:r w:rsidR="00981AF9">
        <w:rPr>
          <w:rFonts w:ascii="Century Schoolbook" w:hAnsi="Century Schoolbook"/>
          <w:szCs w:val="26"/>
        </w:rPr>
        <w:t xml:space="preserve">”]; </w:t>
      </w:r>
      <w:r w:rsidRPr="007C18F0" w:rsidR="00981AF9">
        <w:rPr>
          <w:rFonts w:ascii="Century Schoolbook" w:hAnsi="Century Schoolbook"/>
          <w:i/>
          <w:iCs/>
          <w:szCs w:val="26"/>
        </w:rPr>
        <w:t>People v. Thomas</w:t>
      </w:r>
      <w:r w:rsidRPr="007C18F0" w:rsidR="00981AF9">
        <w:rPr>
          <w:rFonts w:ascii="Century Schoolbook" w:hAnsi="Century Schoolbook"/>
          <w:szCs w:val="26"/>
        </w:rPr>
        <w:t xml:space="preserve"> </w:t>
      </w:r>
      <w:r w:rsidR="00981AF9">
        <w:rPr>
          <w:rFonts w:ascii="Century Schoolbook" w:hAnsi="Century Schoolbook"/>
          <w:szCs w:val="26"/>
        </w:rPr>
        <w:t xml:space="preserve">(1990) </w:t>
      </w:r>
      <w:r w:rsidRPr="007C18F0" w:rsidR="00981AF9">
        <w:rPr>
          <w:rFonts w:ascii="Century Schoolbook" w:hAnsi="Century Schoolbook"/>
          <w:szCs w:val="26"/>
        </w:rPr>
        <w:t>217 Cal.App.3d 1034, 1037</w:t>
      </w:r>
      <w:r w:rsidR="00981AF9">
        <w:rPr>
          <w:rFonts w:ascii="Century Schoolbook" w:hAnsi="Century Schoolbook"/>
          <w:szCs w:val="26"/>
        </w:rPr>
        <w:t xml:space="preserve"> [“</w:t>
      </w:r>
      <w:r w:rsidRPr="007C18F0" w:rsidR="00981AF9">
        <w:rPr>
          <w:rFonts w:ascii="Century Schoolbook" w:hAnsi="Century Schoolbook"/>
          <w:szCs w:val="26"/>
        </w:rPr>
        <w:t>By court order the period of involuntary medication can extend for an additional period of one year.</w:t>
      </w:r>
      <w:r w:rsidR="00981AF9">
        <w:rPr>
          <w:rFonts w:ascii="Century Schoolbook" w:hAnsi="Century Schoolbook"/>
          <w:szCs w:val="26"/>
        </w:rPr>
        <w:t>”].</w:t>
      </w:r>
      <w:r w:rsidRPr="007C18F0" w:rsidR="00981AF9">
        <w:rPr>
          <w:rFonts w:ascii="Century Schoolbook" w:hAnsi="Century Schoolbook"/>
          <w:szCs w:val="26"/>
        </w:rPr>
        <w:t>)</w:t>
      </w:r>
      <w:r w:rsidR="00981AF9">
        <w:rPr>
          <w:rFonts w:ascii="Century Schoolbook" w:hAnsi="Century Schoolbook"/>
          <w:szCs w:val="26"/>
        </w:rPr>
        <w:t xml:space="preserve">  </w:t>
      </w:r>
      <w:r w:rsidR="00D12B25">
        <w:rPr>
          <w:rFonts w:ascii="Century Schoolbook" w:hAnsi="Century Schoolbook"/>
          <w:szCs w:val="26"/>
        </w:rPr>
        <w:t>S</w:t>
      </w:r>
      <w:r w:rsidR="00981AF9">
        <w:rPr>
          <w:rFonts w:ascii="Century Schoolbook" w:hAnsi="Century Schoolbook"/>
          <w:szCs w:val="26"/>
        </w:rPr>
        <w:t xml:space="preserve">ections 2602 and 2603, like section 1370, require inmates be appointed representation and notified of the right to seek judicial review of the temporary involuntary medication orders.  (See § 2602, subds. (c)(7)(C), (d)(3) [duty to notify inmate of right to contest findings of </w:t>
      </w:r>
      <w:r w:rsidR="00F43B96">
        <w:rPr>
          <w:rFonts w:ascii="Century Schoolbook" w:hAnsi="Century Schoolbook"/>
          <w:szCs w:val="26"/>
        </w:rPr>
        <w:t>ALJ</w:t>
      </w:r>
      <w:r w:rsidR="00981AF9">
        <w:rPr>
          <w:rFonts w:ascii="Century Schoolbook" w:hAnsi="Century Schoolbook"/>
          <w:szCs w:val="26"/>
        </w:rPr>
        <w:t xml:space="preserve"> authorizing involuntary medication via a petition for administrative mandamus or file a writ of habeas corpus]; § 2603, subds. (c)(8)(B)(iii), (d)(5) [duty to inform inmate of right to appeal or file writ of habeas corpus as to “any decision . . . to continue treatment with involuntary medication” after order authorizing involuntary medication].)  While sections 2602 and 2603 identify specific forms of judicial review—i.e., a petition for administrative mandamus, a writ of habeas corpus, an appeal—the more generalized “judicial review” language in section 1370 presumably encompasses all such options depending on the circumstances from which a defendant seeks such review.</w:t>
      </w:r>
    </w:p>
    <w:p w:rsidR="00981AF9" w:rsidP="00AC3432">
      <w:pPr>
        <w:spacing w:line="360" w:lineRule="auto"/>
        <w:rPr>
          <w:rFonts w:ascii="Century Schoolbook" w:hAnsi="Century Schoolbook"/>
          <w:szCs w:val="26"/>
        </w:rPr>
      </w:pPr>
      <w:r>
        <w:rPr>
          <w:rFonts w:ascii="Century Schoolbook" w:hAnsi="Century Schoolbook"/>
          <w:szCs w:val="26"/>
        </w:rPr>
        <w:tab/>
      </w:r>
      <w:r w:rsidR="00EB321F">
        <w:rPr>
          <w:rFonts w:ascii="Century Schoolbook" w:hAnsi="Century Schoolbook"/>
          <w:szCs w:val="26"/>
        </w:rPr>
        <w:t xml:space="preserve">We further conclude the subsequent superior court medication hearing cannot constitute adequate judicial review because courts have uniformly concluded IST defendants have a right to appeal from involuntary medication orders.  </w:t>
      </w:r>
      <w:r w:rsidRPr="00686FEB" w:rsidR="00EB321F">
        <w:rPr>
          <w:rFonts w:ascii="Century Schoolbook" w:hAnsi="Century Schoolbook"/>
          <w:szCs w:val="26"/>
        </w:rPr>
        <w:t>(</w:t>
      </w:r>
      <w:r w:rsidRPr="00686FEB" w:rsidR="00EB321F">
        <w:rPr>
          <w:rFonts w:ascii="Century Schoolbook" w:hAnsi="Century Schoolbook"/>
          <w:i/>
          <w:iCs/>
          <w:szCs w:val="26"/>
        </w:rPr>
        <w:t>People v. Christiana</w:t>
      </w:r>
      <w:r w:rsidRPr="00686FEB" w:rsidR="00EB321F">
        <w:rPr>
          <w:rFonts w:ascii="Century Schoolbook" w:hAnsi="Century Schoolbook"/>
          <w:szCs w:val="26"/>
        </w:rPr>
        <w:t xml:space="preserve"> (2010) 190 Cal.App.4th 1040, 104</w:t>
      </w:r>
      <w:r w:rsidR="00EB321F">
        <w:rPr>
          <w:rFonts w:ascii="Century Schoolbook" w:hAnsi="Century Schoolbook"/>
          <w:szCs w:val="26"/>
        </w:rPr>
        <w:t>6 [</w:t>
      </w:r>
      <w:r w:rsidRPr="00686FEB" w:rsidR="00EB321F">
        <w:rPr>
          <w:rFonts w:ascii="Century Schoolbook" w:hAnsi="Century Schoolbook"/>
          <w:szCs w:val="26"/>
        </w:rPr>
        <w:t xml:space="preserve">order </w:t>
      </w:r>
      <w:r w:rsidR="00EB321F">
        <w:rPr>
          <w:rFonts w:ascii="Century Schoolbook" w:hAnsi="Century Schoolbook"/>
          <w:szCs w:val="26"/>
        </w:rPr>
        <w:t>“</w:t>
      </w:r>
      <w:r w:rsidRPr="00FF0E40" w:rsidR="00EB321F">
        <w:rPr>
          <w:rFonts w:ascii="Century Schoolbook" w:hAnsi="Century Schoolbook"/>
          <w:szCs w:val="26"/>
        </w:rPr>
        <w:t xml:space="preserve">authorizing involuntary administration of antipsychotic drugs under section 1370 </w:t>
      </w:r>
      <w:r w:rsidR="00EB321F">
        <w:rPr>
          <w:rFonts w:ascii="Century Schoolbook" w:hAnsi="Century Schoolbook"/>
          <w:szCs w:val="26"/>
        </w:rPr>
        <w:t>[is]</w:t>
      </w:r>
      <w:r w:rsidRPr="00FF0E40" w:rsidR="00EB321F">
        <w:rPr>
          <w:rFonts w:ascii="Century Schoolbook" w:hAnsi="Century Schoolbook"/>
          <w:szCs w:val="26"/>
        </w:rPr>
        <w:t xml:space="preserve"> an order made after judgment in a special proceeding</w:t>
      </w:r>
      <w:r w:rsidRPr="00686FEB" w:rsidR="00EB321F">
        <w:rPr>
          <w:rFonts w:ascii="Century Schoolbook" w:hAnsi="Century Schoolbook"/>
          <w:szCs w:val="26"/>
        </w:rPr>
        <w:t>”</w:t>
      </w:r>
      <w:r w:rsidR="00EB321F">
        <w:rPr>
          <w:rFonts w:ascii="Century Schoolbook" w:hAnsi="Century Schoolbook"/>
          <w:szCs w:val="26"/>
        </w:rPr>
        <w:t xml:space="preserve"> and thus appealable]; see also, e.g., </w:t>
      </w:r>
      <w:r w:rsidR="00EB321F">
        <w:rPr>
          <w:rFonts w:ascii="Century Schoolbook" w:hAnsi="Century Schoolbook"/>
          <w:i/>
          <w:iCs/>
          <w:szCs w:val="26"/>
        </w:rPr>
        <w:t xml:space="preserve">People v. Coleman </w:t>
      </w:r>
      <w:r w:rsidR="00EB321F">
        <w:rPr>
          <w:rFonts w:ascii="Century Schoolbook" w:hAnsi="Century Schoolbook"/>
          <w:szCs w:val="26"/>
        </w:rPr>
        <w:t>(2012) 208 Cal.App.4th 627, 633 [</w:t>
      </w:r>
      <w:r w:rsidRPr="00F863C8" w:rsidR="00EB321F">
        <w:rPr>
          <w:rFonts w:ascii="Century Schoolbook" w:hAnsi="Century Schoolbook"/>
          <w:szCs w:val="26"/>
        </w:rPr>
        <w:t>review</w:t>
      </w:r>
      <w:r w:rsidR="00EB321F">
        <w:rPr>
          <w:rFonts w:ascii="Century Schoolbook" w:hAnsi="Century Schoolbook"/>
          <w:szCs w:val="26"/>
        </w:rPr>
        <w:t>ing</w:t>
      </w:r>
      <w:r w:rsidRPr="00F863C8" w:rsidR="00EB321F">
        <w:rPr>
          <w:rFonts w:ascii="Century Schoolbook" w:hAnsi="Century Schoolbook"/>
          <w:szCs w:val="26"/>
        </w:rPr>
        <w:t xml:space="preserve"> order authorizing involuntary treatment under section 1370</w:t>
      </w:r>
      <w:r w:rsidR="00EB321F">
        <w:rPr>
          <w:rFonts w:ascii="Century Schoolbook" w:hAnsi="Century Schoolbook"/>
          <w:szCs w:val="26"/>
        </w:rPr>
        <w:t xml:space="preserve">]; </w:t>
      </w:r>
      <w:r w:rsidRPr="00FB5A17" w:rsidR="00EB321F">
        <w:rPr>
          <w:rFonts w:ascii="Century Schoolbook" w:hAnsi="Century Schoolbook"/>
          <w:i/>
          <w:iCs/>
          <w:szCs w:val="26"/>
        </w:rPr>
        <w:t>People v. Lameed</w:t>
      </w:r>
      <w:r w:rsidRPr="00FB5A17" w:rsidR="00EB321F">
        <w:rPr>
          <w:rFonts w:ascii="Century Schoolbook" w:hAnsi="Century Schoolbook"/>
          <w:szCs w:val="26"/>
        </w:rPr>
        <w:t xml:space="preserve"> (2016) 247 Cal.App.4th 381</w:t>
      </w:r>
      <w:r w:rsidR="00EB321F">
        <w:rPr>
          <w:rFonts w:ascii="Century Schoolbook" w:hAnsi="Century Schoolbook"/>
          <w:szCs w:val="26"/>
        </w:rPr>
        <w:t xml:space="preserve">, 397 [same].)  </w:t>
      </w:r>
      <w:r>
        <w:rPr>
          <w:rFonts w:ascii="Century Schoolbook" w:hAnsi="Century Schoolbook"/>
          <w:szCs w:val="26"/>
        </w:rPr>
        <w:t xml:space="preserve">While these cases considered the issue in connection with one-year involuntary medication orders, we see no basis for distinguishing the appealability of a temporary involuntary medication order.  As explained in </w:t>
      </w:r>
      <w:r>
        <w:rPr>
          <w:rFonts w:ascii="Century Schoolbook" w:hAnsi="Century Schoolbook"/>
          <w:i/>
          <w:iCs/>
          <w:szCs w:val="26"/>
        </w:rPr>
        <w:t>Ch</w:t>
      </w:r>
      <w:r w:rsidR="00E51761">
        <w:rPr>
          <w:rFonts w:ascii="Century Schoolbook" w:hAnsi="Century Schoolbook"/>
          <w:i/>
          <w:iCs/>
          <w:szCs w:val="26"/>
        </w:rPr>
        <w:t>r</w:t>
      </w:r>
      <w:r>
        <w:rPr>
          <w:rFonts w:ascii="Century Schoolbook" w:hAnsi="Century Schoolbook"/>
          <w:i/>
          <w:iCs/>
          <w:szCs w:val="26"/>
        </w:rPr>
        <w:t>istiana</w:t>
      </w:r>
      <w:r>
        <w:rPr>
          <w:rFonts w:ascii="Century Schoolbook" w:hAnsi="Century Schoolbook"/>
          <w:szCs w:val="26"/>
        </w:rPr>
        <w:t>, “</w:t>
      </w:r>
      <w:r w:rsidRPr="0041070E">
        <w:rPr>
          <w:rFonts w:ascii="Century Schoolbook" w:hAnsi="Century Schoolbook"/>
          <w:szCs w:val="26"/>
        </w:rPr>
        <w:t xml:space="preserve">section 1237 authorizes a defendant to take an appeal </w:t>
      </w:r>
      <w:r>
        <w:rPr>
          <w:rFonts w:ascii="Century Schoolbook" w:hAnsi="Century Schoolbook"/>
          <w:szCs w:val="26"/>
        </w:rPr>
        <w:t>‘</w:t>
      </w:r>
      <w:r w:rsidRPr="0041070E">
        <w:rPr>
          <w:rFonts w:ascii="Century Schoolbook" w:hAnsi="Century Schoolbook"/>
          <w:szCs w:val="26"/>
        </w:rPr>
        <w:t>[f]rom any order made after judgment, affecting the substantial rights of the party.</w:t>
      </w:r>
      <w:r>
        <w:rPr>
          <w:rFonts w:ascii="Century Schoolbook" w:hAnsi="Century Schoolbook"/>
          <w:szCs w:val="26"/>
        </w:rPr>
        <w:t>’ </w:t>
      </w:r>
      <w:r w:rsidRPr="0041070E">
        <w:rPr>
          <w:rFonts w:ascii="Century Schoolbook" w:hAnsi="Century Schoolbook"/>
          <w:szCs w:val="26"/>
        </w:rPr>
        <w:t>”</w:t>
      </w:r>
      <w:r>
        <w:rPr>
          <w:rStyle w:val="FootnoteReference"/>
          <w:szCs w:val="26"/>
        </w:rPr>
        <w:footnoteReference w:id="5"/>
      </w:r>
      <w:r>
        <w:rPr>
          <w:rFonts w:ascii="Century Schoolbook" w:hAnsi="Century Schoolbook"/>
          <w:szCs w:val="26"/>
        </w:rPr>
        <w:t xml:space="preserve">  (</w:t>
      </w:r>
      <w:r>
        <w:rPr>
          <w:rFonts w:ascii="Century Schoolbook" w:hAnsi="Century Schoolbook"/>
          <w:i/>
          <w:iCs/>
          <w:szCs w:val="26"/>
        </w:rPr>
        <w:t>Ch</w:t>
      </w:r>
      <w:r w:rsidR="00E51761">
        <w:rPr>
          <w:rFonts w:ascii="Century Schoolbook" w:hAnsi="Century Schoolbook"/>
          <w:i/>
          <w:iCs/>
          <w:szCs w:val="26"/>
        </w:rPr>
        <w:t>r</w:t>
      </w:r>
      <w:r>
        <w:rPr>
          <w:rFonts w:ascii="Century Schoolbook" w:hAnsi="Century Schoolbook"/>
          <w:i/>
          <w:iCs/>
          <w:szCs w:val="26"/>
        </w:rPr>
        <w:t>istiana</w:t>
      </w:r>
      <w:r>
        <w:rPr>
          <w:rFonts w:ascii="Century Schoolbook" w:hAnsi="Century Schoolbook"/>
          <w:szCs w:val="26"/>
        </w:rPr>
        <w:t>, at p. 1046.)  A temporary medication order, as with one-year orders, implicates significant liberty interests.  Specifically, the United States Supreme Court has held that “an individual has a ‘significant’ constitutionally protected ‘liberty interest’ in ‘avoiding the unwanted administration of antipsychotic drugs.’ ”  (</w:t>
      </w:r>
      <w:r>
        <w:rPr>
          <w:rFonts w:ascii="Century Schoolbook" w:hAnsi="Century Schoolbook"/>
          <w:i/>
          <w:iCs/>
          <w:szCs w:val="26"/>
        </w:rPr>
        <w:t>Sell v. United States</w:t>
      </w:r>
      <w:r>
        <w:rPr>
          <w:rFonts w:ascii="Century Schoolbook" w:hAnsi="Century Schoolbook"/>
          <w:szCs w:val="26"/>
        </w:rPr>
        <w:t xml:space="preserve">, </w:t>
      </w:r>
      <w:r w:rsidRPr="00981AF9">
        <w:rPr>
          <w:rFonts w:ascii="Century Schoolbook" w:hAnsi="Century Schoolbook"/>
          <w:i/>
          <w:iCs/>
          <w:szCs w:val="26"/>
        </w:rPr>
        <w:t>supra</w:t>
      </w:r>
      <w:r>
        <w:rPr>
          <w:rFonts w:ascii="Century Schoolbook" w:hAnsi="Century Schoolbook"/>
          <w:szCs w:val="26"/>
        </w:rPr>
        <w:t>, 539 U.S. at p. 178.)  This interest also is protected under California’s right to privacy, which “clearly extends to the right to refuse antipsychotic drugs.”  (</w:t>
      </w:r>
      <w:r>
        <w:rPr>
          <w:rFonts w:ascii="Century Schoolbook" w:hAnsi="Century Schoolbook"/>
          <w:i/>
          <w:iCs/>
          <w:szCs w:val="26"/>
        </w:rPr>
        <w:t xml:space="preserve">In re </w:t>
      </w:r>
      <w:r w:rsidRPr="00981AF9">
        <w:rPr>
          <w:rFonts w:ascii="Century Schoolbook" w:hAnsi="Century Schoolbook"/>
          <w:i/>
          <w:iCs/>
          <w:szCs w:val="26"/>
        </w:rPr>
        <w:t>Qawi</w:t>
      </w:r>
      <w:r>
        <w:rPr>
          <w:rFonts w:ascii="Century Schoolbook" w:hAnsi="Century Schoolbook"/>
          <w:szCs w:val="26"/>
        </w:rPr>
        <w:t xml:space="preserve">, </w:t>
      </w:r>
      <w:r w:rsidRPr="00981AF9">
        <w:rPr>
          <w:rFonts w:ascii="Century Schoolbook" w:hAnsi="Century Schoolbook"/>
          <w:i/>
          <w:iCs/>
          <w:szCs w:val="26"/>
        </w:rPr>
        <w:t>supra</w:t>
      </w:r>
      <w:r>
        <w:rPr>
          <w:rFonts w:ascii="Century Schoolbook" w:hAnsi="Century Schoolbook"/>
          <w:szCs w:val="26"/>
        </w:rPr>
        <w:t xml:space="preserve">, </w:t>
      </w:r>
      <w:r w:rsidRPr="00981AF9">
        <w:rPr>
          <w:rFonts w:ascii="Century Schoolbook" w:hAnsi="Century Schoolbook"/>
          <w:szCs w:val="26"/>
        </w:rPr>
        <w:t>32</w:t>
      </w:r>
      <w:r>
        <w:rPr>
          <w:rFonts w:ascii="Century Schoolbook" w:hAnsi="Century Schoolbook"/>
          <w:szCs w:val="26"/>
        </w:rPr>
        <w:t xml:space="preserve"> Cal.4th at p. 14.)  </w:t>
      </w:r>
      <w:r w:rsidR="00405EE8">
        <w:rPr>
          <w:rFonts w:ascii="Century Schoolbook" w:hAnsi="Century Schoolbook"/>
          <w:szCs w:val="26"/>
        </w:rPr>
        <w:t>Considering</w:t>
      </w:r>
      <w:r>
        <w:rPr>
          <w:rFonts w:ascii="Century Schoolbook" w:hAnsi="Century Schoolbook"/>
          <w:szCs w:val="26"/>
        </w:rPr>
        <w:t xml:space="preserve"> these significant interests, IST defendants subjected to involuntary medication—even over a relatively short 18 day period—must be able to seek judicial review of their involuntary medication orders.</w:t>
      </w:r>
    </w:p>
    <w:p w:rsidR="00755740" w:rsidP="00AC3432">
      <w:pPr>
        <w:spacing w:line="360" w:lineRule="auto"/>
        <w:rPr>
          <w:rFonts w:ascii="Century Schoolbook" w:hAnsi="Century Schoolbook"/>
          <w:szCs w:val="26"/>
        </w:rPr>
      </w:pPr>
      <w:r>
        <w:rPr>
          <w:rFonts w:ascii="Century Schoolbook" w:hAnsi="Century Schoolbook"/>
          <w:szCs w:val="26"/>
        </w:rPr>
        <w:tab/>
        <w:t xml:space="preserve">Finally, we reject </w:t>
      </w:r>
      <w:r w:rsidR="00962520">
        <w:rPr>
          <w:rFonts w:ascii="Century Schoolbook" w:hAnsi="Century Schoolbook"/>
          <w:szCs w:val="26"/>
        </w:rPr>
        <w:t xml:space="preserve">the Attorney General’s argument that temporary restraining orders and/or preliminary injunctions could provide </w:t>
      </w:r>
      <w:r>
        <w:rPr>
          <w:rFonts w:ascii="Century Schoolbook" w:hAnsi="Century Schoolbook"/>
          <w:szCs w:val="26"/>
        </w:rPr>
        <w:t xml:space="preserve">adequate </w:t>
      </w:r>
      <w:r w:rsidR="00962520">
        <w:rPr>
          <w:rFonts w:ascii="Century Schoolbook" w:hAnsi="Century Schoolbook"/>
          <w:szCs w:val="26"/>
        </w:rPr>
        <w:t xml:space="preserve">relief from temporary involuntary medication orders.  </w:t>
      </w:r>
      <w:r w:rsidR="00405EE8">
        <w:rPr>
          <w:rFonts w:ascii="Century Schoolbook" w:hAnsi="Century Schoolbook"/>
          <w:szCs w:val="26"/>
        </w:rPr>
        <w:t>The</w:t>
      </w:r>
      <w:r w:rsidR="00962520">
        <w:rPr>
          <w:rFonts w:ascii="Century Schoolbook" w:hAnsi="Century Schoolbook"/>
          <w:szCs w:val="26"/>
        </w:rPr>
        <w:t xml:space="preserve"> Attorney General </w:t>
      </w:r>
      <w:r w:rsidR="00405EE8">
        <w:rPr>
          <w:rFonts w:ascii="Century Schoolbook" w:hAnsi="Century Schoolbook"/>
          <w:szCs w:val="26"/>
        </w:rPr>
        <w:t xml:space="preserve">makes this argument </w:t>
      </w:r>
      <w:r w:rsidR="00DD39EA">
        <w:rPr>
          <w:rFonts w:ascii="Century Schoolbook" w:hAnsi="Century Schoolbook"/>
          <w:szCs w:val="26"/>
        </w:rPr>
        <w:t xml:space="preserve">without citation to </w:t>
      </w:r>
      <w:r w:rsidR="00962520">
        <w:rPr>
          <w:rFonts w:ascii="Century Schoolbook" w:hAnsi="Century Schoolbook"/>
          <w:szCs w:val="26"/>
        </w:rPr>
        <w:t>any authority to suggest such procedures</w:t>
      </w:r>
      <w:r>
        <w:rPr>
          <w:rFonts w:ascii="Century Schoolbook" w:hAnsi="Century Schoolbook"/>
          <w:szCs w:val="26"/>
        </w:rPr>
        <w:t xml:space="preserve"> have been used or</w:t>
      </w:r>
      <w:r w:rsidR="00962520">
        <w:rPr>
          <w:rFonts w:ascii="Century Schoolbook" w:hAnsi="Century Schoolbook"/>
          <w:szCs w:val="26"/>
        </w:rPr>
        <w:t xml:space="preserve"> are appropriate in </w:t>
      </w:r>
      <w:r w:rsidR="00DF371F">
        <w:rPr>
          <w:rFonts w:ascii="Century Schoolbook" w:hAnsi="Century Schoolbook"/>
          <w:szCs w:val="26"/>
        </w:rPr>
        <w:t>these</w:t>
      </w:r>
      <w:r w:rsidR="00962520">
        <w:rPr>
          <w:rFonts w:ascii="Century Schoolbook" w:hAnsi="Century Schoolbook"/>
          <w:szCs w:val="26"/>
        </w:rPr>
        <w:t xml:space="preserve"> </w:t>
      </w:r>
      <w:r w:rsidR="00DF371F">
        <w:rPr>
          <w:rFonts w:ascii="Century Schoolbook" w:hAnsi="Century Schoolbook"/>
          <w:szCs w:val="26"/>
        </w:rPr>
        <w:t xml:space="preserve">situations.  </w:t>
      </w:r>
      <w:r w:rsidR="00DD39EA">
        <w:rPr>
          <w:rFonts w:ascii="Century Schoolbook" w:hAnsi="Century Schoolbook"/>
          <w:szCs w:val="26"/>
        </w:rPr>
        <w:t>And the</w:t>
      </w:r>
      <w:r w:rsidR="00DF371F">
        <w:rPr>
          <w:rFonts w:ascii="Century Schoolbook" w:hAnsi="Century Schoolbook"/>
          <w:szCs w:val="26"/>
        </w:rPr>
        <w:t xml:space="preserve"> Attorney General does not explain how a defendant, who has been deemed incompetent to stand trial and thus has no pending litigation, could reasonably be expected to initiate litigation to pursue such relief</w:t>
      </w:r>
      <w:r>
        <w:rPr>
          <w:rFonts w:ascii="Century Schoolbook" w:hAnsi="Century Schoolbook"/>
          <w:szCs w:val="26"/>
        </w:rPr>
        <w:t xml:space="preserve"> in a sufficiently timely manner</w:t>
      </w:r>
      <w:r w:rsidR="006A0BD5">
        <w:rPr>
          <w:rFonts w:ascii="Century Schoolbook" w:hAnsi="Century Schoolbook"/>
          <w:szCs w:val="26"/>
        </w:rPr>
        <w:t>.</w:t>
      </w:r>
      <w:r w:rsidR="00DD39EA">
        <w:rPr>
          <w:rFonts w:ascii="Century Schoolbook" w:hAnsi="Century Schoolbook"/>
          <w:szCs w:val="26"/>
        </w:rPr>
        <w:t xml:space="preserve">  </w:t>
      </w:r>
    </w:p>
    <w:p w:rsidR="007C4D1B" w:rsidP="00602F1A">
      <w:pPr>
        <w:spacing w:line="360" w:lineRule="auto"/>
        <w:rPr>
          <w:rFonts w:ascii="Century Schoolbook" w:hAnsi="Century Schoolbook"/>
          <w:szCs w:val="26"/>
        </w:rPr>
      </w:pPr>
      <w:r>
        <w:rPr>
          <w:rFonts w:ascii="Century Schoolbook" w:hAnsi="Century Schoolbook"/>
          <w:szCs w:val="26"/>
        </w:rPr>
        <w:tab/>
      </w:r>
      <w:r w:rsidR="0057005D">
        <w:rPr>
          <w:rFonts w:ascii="Century Schoolbook" w:hAnsi="Century Schoolbook"/>
          <w:szCs w:val="26"/>
        </w:rPr>
        <w:t xml:space="preserve">In light of </w:t>
      </w:r>
      <w:r w:rsidR="00DD39EA">
        <w:rPr>
          <w:rFonts w:ascii="Century Schoolbook" w:hAnsi="Century Schoolbook"/>
          <w:szCs w:val="26"/>
        </w:rPr>
        <w:t>the</w:t>
      </w:r>
      <w:r w:rsidR="0057005D">
        <w:rPr>
          <w:rFonts w:ascii="Century Schoolbook" w:hAnsi="Century Schoolbook"/>
          <w:szCs w:val="26"/>
        </w:rPr>
        <w:t xml:space="preserve"> compelling liberty interest against involuntary medication, </w:t>
      </w:r>
      <w:r w:rsidR="00DD39EA">
        <w:rPr>
          <w:rFonts w:ascii="Century Schoolbook" w:hAnsi="Century Schoolbook"/>
          <w:szCs w:val="26"/>
        </w:rPr>
        <w:t xml:space="preserve">and the failure to identify any alternative form of relief reasonably available to D.K., the </w:t>
      </w:r>
      <w:r w:rsidR="0057005D">
        <w:rPr>
          <w:rFonts w:ascii="Century Schoolbook" w:hAnsi="Century Schoolbook"/>
          <w:szCs w:val="26"/>
        </w:rPr>
        <w:t xml:space="preserve">superior court erred in concluding writ relief was </w:t>
      </w:r>
      <w:r w:rsidR="00416EF2">
        <w:rPr>
          <w:rFonts w:ascii="Century Schoolbook" w:hAnsi="Century Schoolbook"/>
          <w:szCs w:val="26"/>
        </w:rPr>
        <w:t xml:space="preserve">categorically </w:t>
      </w:r>
      <w:r w:rsidR="0057005D">
        <w:rPr>
          <w:rFonts w:ascii="Century Schoolbook" w:hAnsi="Century Schoolbook"/>
          <w:szCs w:val="26"/>
        </w:rPr>
        <w:t xml:space="preserve">unavailable.  However, because the superior court subsequently decided D.K.’s petition on its merits, she did not suffer any prejudicial harm from the court’s error.  </w:t>
      </w:r>
      <w:r w:rsidR="001203F5">
        <w:rPr>
          <w:rFonts w:ascii="Century Schoolbook" w:hAnsi="Century Schoolbook"/>
          <w:szCs w:val="26"/>
        </w:rPr>
        <w:t>And</w:t>
      </w:r>
      <w:r w:rsidR="0057005D">
        <w:rPr>
          <w:rFonts w:ascii="Century Schoolbook" w:hAnsi="Century Schoolbook"/>
          <w:szCs w:val="26"/>
        </w:rPr>
        <w:t xml:space="preserve"> because D.K.’s challenge to the sufficiency of evidence supporting the medication order is moot (see Part I, </w:t>
      </w:r>
      <w:r w:rsidR="0057005D">
        <w:rPr>
          <w:rFonts w:ascii="Century Schoolbook" w:hAnsi="Century Schoolbook"/>
          <w:i/>
          <w:iCs/>
          <w:szCs w:val="26"/>
        </w:rPr>
        <w:t>ante</w:t>
      </w:r>
      <w:r w:rsidR="0057005D">
        <w:rPr>
          <w:rFonts w:ascii="Century Schoolbook" w:hAnsi="Century Schoolbook"/>
          <w:szCs w:val="26"/>
        </w:rPr>
        <w:t>), we need not remand the matter</w:t>
      </w:r>
      <w:r w:rsidR="001203F5">
        <w:rPr>
          <w:rFonts w:ascii="Century Schoolbook" w:hAnsi="Century Schoolbook"/>
          <w:szCs w:val="26"/>
        </w:rPr>
        <w:t xml:space="preserve"> for further proceedings</w:t>
      </w:r>
      <w:r w:rsidR="0057005D">
        <w:rPr>
          <w:rFonts w:ascii="Century Schoolbook" w:hAnsi="Century Schoolbook"/>
          <w:szCs w:val="26"/>
        </w:rPr>
        <w:t>.</w:t>
      </w:r>
    </w:p>
    <w:p w:rsidR="00F04CDB" w:rsidRPr="00AA4435" w:rsidP="00602F1A">
      <w:pPr>
        <w:spacing w:line="360" w:lineRule="auto"/>
        <w:jc w:val="center"/>
        <w:rPr>
          <w:rFonts w:ascii="Century Schoolbook" w:hAnsi="Century Schoolbook"/>
          <w:b/>
          <w:bCs/>
          <w:smallCaps/>
          <w:szCs w:val="26"/>
        </w:rPr>
      </w:pPr>
      <w:r w:rsidRPr="00AA4435">
        <w:rPr>
          <w:rFonts w:ascii="Century Schoolbook" w:hAnsi="Century Schoolbook"/>
          <w:b/>
          <w:bCs/>
          <w:smallCaps/>
          <w:szCs w:val="26"/>
        </w:rPr>
        <w:t>D</w:t>
      </w:r>
      <w:r w:rsidRPr="00AA4435" w:rsidR="00AA4435">
        <w:rPr>
          <w:rFonts w:ascii="Century Schoolbook" w:hAnsi="Century Schoolbook"/>
          <w:b/>
          <w:bCs/>
          <w:smallCaps/>
          <w:szCs w:val="26"/>
        </w:rPr>
        <w:t>isposition</w:t>
      </w:r>
    </w:p>
    <w:p w:rsidR="009D4346" w:rsidP="00287F78">
      <w:pPr>
        <w:spacing w:line="360" w:lineRule="auto"/>
        <w:rPr>
          <w:rFonts w:ascii="Century Schoolbook" w:hAnsi="Century Schoolbook"/>
          <w:szCs w:val="26"/>
        </w:rPr>
      </w:pPr>
      <w:r w:rsidRPr="003C38B8">
        <w:rPr>
          <w:rFonts w:ascii="Century Schoolbook" w:hAnsi="Century Schoolbook"/>
          <w:b/>
          <w:bCs/>
          <w:szCs w:val="26"/>
        </w:rPr>
        <w:tab/>
      </w:r>
      <w:r w:rsidR="008B291F">
        <w:rPr>
          <w:rFonts w:ascii="Century Schoolbook" w:hAnsi="Century Schoolbook"/>
          <w:szCs w:val="26"/>
        </w:rPr>
        <w:t>The superior court’s holding that defendant was not entitled to writ review is reversed.  Because we dismiss as moot defendant’s challenge to the</w:t>
      </w:r>
      <w:r w:rsidR="00075E45">
        <w:rPr>
          <w:rFonts w:ascii="Century Schoolbook" w:hAnsi="Century Schoolbook"/>
          <w:szCs w:val="26"/>
        </w:rPr>
        <w:t xml:space="preserve"> court’s finding that substantial evidence supported the involuntary medication order</w:t>
      </w:r>
      <w:r w:rsidR="008B291F">
        <w:rPr>
          <w:rFonts w:ascii="Century Schoolbook" w:hAnsi="Century Schoolbook"/>
          <w:szCs w:val="26"/>
        </w:rPr>
        <w:t>, we need not remand</w:t>
      </w:r>
      <w:r w:rsidRPr="00602F1A" w:rsidR="00602F1A">
        <w:rPr>
          <w:rFonts w:ascii="Century Schoolbook" w:hAnsi="Century Schoolbook"/>
          <w:szCs w:val="26"/>
        </w:rPr>
        <w:t>.</w:t>
      </w:r>
      <w:r w:rsidR="00075E45">
        <w:rPr>
          <w:rFonts w:ascii="Century Schoolbook" w:hAnsi="Century Schoolbook"/>
          <w:szCs w:val="26"/>
        </w:rPr>
        <w:t xml:space="preserve">  </w:t>
      </w:r>
    </w:p>
    <w:p w:rsidR="006254DA">
      <w:pPr>
        <w:tabs>
          <w:tab w:val="clear" w:pos="720"/>
        </w:tabs>
        <w:spacing w:after="160" w:line="259" w:lineRule="auto"/>
        <w:rPr>
          <w:rFonts w:ascii="Century Schoolbook" w:hAnsi="Century Schoolbook"/>
          <w:szCs w:val="26"/>
        </w:rPr>
      </w:pPr>
      <w:r>
        <w:rPr>
          <w:rFonts w:ascii="Century Schoolbook" w:hAnsi="Century Schoolbook"/>
          <w:szCs w:val="26"/>
        </w:rPr>
        <w:br w:type="page"/>
      </w: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t>_________________________</w:t>
      </w:r>
    </w:p>
    <w:p w:rsidR="006254DA" w:rsidP="006254DA">
      <w:pPr>
        <w:spacing w:line="240" w:lineRule="auto"/>
        <w:rPr>
          <w:rFonts w:ascii="Century Schoolbook" w:hAnsi="Century Schoolbook"/>
          <w:szCs w:val="26"/>
        </w:rPr>
      </w:pP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t>Petrou, J.</w:t>
      </w: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r>
        <w:rPr>
          <w:rFonts w:ascii="Century Schoolbook" w:hAnsi="Century Schoolbook"/>
          <w:szCs w:val="26"/>
        </w:rPr>
        <w:t>WE CONCUR:</w:t>
      </w: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r>
        <w:rPr>
          <w:rFonts w:ascii="Century Schoolbook" w:hAnsi="Century Schoolbook"/>
          <w:szCs w:val="26"/>
        </w:rPr>
        <w:t>_________________________</w:t>
      </w:r>
    </w:p>
    <w:p w:rsidR="006254DA" w:rsidP="006254DA">
      <w:pPr>
        <w:spacing w:line="240" w:lineRule="auto"/>
        <w:rPr>
          <w:rFonts w:ascii="Century Schoolbook" w:hAnsi="Century Schoolbook"/>
          <w:szCs w:val="26"/>
        </w:rPr>
      </w:pPr>
      <w:r>
        <w:rPr>
          <w:rFonts w:ascii="Century Schoolbook" w:hAnsi="Century Schoolbook"/>
          <w:szCs w:val="26"/>
        </w:rPr>
        <w:t>Tucher, P.J.</w:t>
      </w: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r>
        <w:rPr>
          <w:rFonts w:ascii="Century Schoolbook" w:hAnsi="Century Schoolbook"/>
          <w:szCs w:val="26"/>
        </w:rPr>
        <w:t>_________________________</w:t>
      </w:r>
    </w:p>
    <w:p w:rsidR="006254DA" w:rsidP="006254DA">
      <w:pPr>
        <w:spacing w:line="240" w:lineRule="auto"/>
        <w:rPr>
          <w:rFonts w:ascii="Century Schoolbook" w:hAnsi="Century Schoolbook"/>
          <w:szCs w:val="26"/>
        </w:rPr>
      </w:pPr>
      <w:r>
        <w:rPr>
          <w:rFonts w:ascii="Century Schoolbook" w:hAnsi="Century Schoolbook"/>
          <w:szCs w:val="26"/>
        </w:rPr>
        <w:t>Rodr</w:t>
      </w:r>
      <w:r w:rsidRPr="006254DA">
        <w:rPr>
          <w:rFonts w:ascii="Century Schoolbook" w:hAnsi="Century Schoolbook"/>
          <w:szCs w:val="26"/>
        </w:rPr>
        <w:t>í</w:t>
      </w:r>
      <w:r>
        <w:rPr>
          <w:rFonts w:ascii="Century Schoolbook" w:hAnsi="Century Schoolbook"/>
          <w:szCs w:val="26"/>
        </w:rPr>
        <w:t>guez, J.</w:t>
      </w: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szCs w:val="26"/>
        </w:rPr>
      </w:pPr>
    </w:p>
    <w:p w:rsidR="006254DA" w:rsidP="006254DA">
      <w:pPr>
        <w:spacing w:line="240" w:lineRule="auto"/>
        <w:rPr>
          <w:rFonts w:ascii="Century Schoolbook" w:hAnsi="Century Schoolbook"/>
          <w:i/>
          <w:iCs/>
          <w:szCs w:val="26"/>
        </w:rPr>
      </w:pPr>
      <w:r>
        <w:rPr>
          <w:rFonts w:ascii="Century Schoolbook" w:hAnsi="Century Schoolbook"/>
          <w:szCs w:val="26"/>
        </w:rPr>
        <w:t>A167272/</w:t>
      </w:r>
      <w:r>
        <w:rPr>
          <w:rFonts w:ascii="Century Schoolbook" w:hAnsi="Century Schoolbook"/>
          <w:i/>
          <w:iCs/>
          <w:szCs w:val="26"/>
        </w:rPr>
        <w:t>D.K. v. Office of Administrative Hearings</w:t>
      </w:r>
    </w:p>
    <w:p w:rsidR="00C3136F" w:rsidRPr="00427F63" w:rsidP="00C3136F">
      <w:pPr>
        <w:tabs>
          <w:tab w:val="clear" w:pos="720"/>
          <w:tab w:val="left" w:pos="1440"/>
        </w:tabs>
        <w:spacing w:line="240" w:lineRule="auto"/>
        <w:rPr>
          <w:rFonts w:ascii="Century Schoolbook" w:hAnsi="Century Schoolbook"/>
          <w:szCs w:val="26"/>
        </w:rPr>
      </w:pPr>
      <w:r w:rsidRPr="00427F63">
        <w:rPr>
          <w:rFonts w:ascii="Century Schoolbook" w:hAnsi="Century Schoolbook"/>
          <w:szCs w:val="26"/>
        </w:rPr>
        <w:t>Trial Court:</w:t>
      </w:r>
      <w:r w:rsidRPr="00427F63">
        <w:rPr>
          <w:rFonts w:ascii="Century Schoolbook" w:hAnsi="Century Schoolbook"/>
          <w:szCs w:val="26"/>
        </w:rPr>
        <w:tab/>
      </w:r>
      <w:r w:rsidRPr="00427F63">
        <w:rPr>
          <w:rFonts w:ascii="Century Schoolbook" w:hAnsi="Century Schoolbook"/>
          <w:szCs w:val="26"/>
        </w:rPr>
        <w:tab/>
        <w:t>Napa County Superior Court</w:t>
      </w:r>
    </w:p>
    <w:p w:rsidR="00C3136F" w:rsidRPr="00427F63" w:rsidP="00C3136F">
      <w:pPr>
        <w:tabs>
          <w:tab w:val="clear" w:pos="720"/>
          <w:tab w:val="left" w:pos="1440"/>
        </w:tabs>
        <w:spacing w:line="240" w:lineRule="auto"/>
        <w:rPr>
          <w:rFonts w:ascii="Century Schoolbook" w:hAnsi="Century Schoolbook"/>
          <w:szCs w:val="26"/>
        </w:rPr>
      </w:pPr>
    </w:p>
    <w:p w:rsidR="00C3136F" w:rsidRPr="00427F63" w:rsidP="00C3136F">
      <w:pPr>
        <w:tabs>
          <w:tab w:val="clear" w:pos="720"/>
          <w:tab w:val="left" w:pos="1440"/>
        </w:tabs>
        <w:spacing w:line="240" w:lineRule="auto"/>
        <w:rPr>
          <w:rFonts w:ascii="Century Schoolbook" w:hAnsi="Century Schoolbook"/>
          <w:szCs w:val="26"/>
        </w:rPr>
      </w:pPr>
      <w:r w:rsidRPr="00427F63">
        <w:rPr>
          <w:rFonts w:ascii="Century Schoolbook" w:hAnsi="Century Schoolbook"/>
          <w:szCs w:val="26"/>
        </w:rPr>
        <w:t>Trial Judge:</w:t>
      </w:r>
      <w:r w:rsidRPr="00427F63">
        <w:rPr>
          <w:rFonts w:ascii="Century Schoolbook" w:hAnsi="Century Schoolbook"/>
          <w:szCs w:val="26"/>
        </w:rPr>
        <w:tab/>
        <w:t>Hon. Cynthia P. Smith</w:t>
      </w:r>
    </w:p>
    <w:p w:rsidR="00C3136F" w:rsidRPr="00427F63" w:rsidP="00C3136F">
      <w:pPr>
        <w:tabs>
          <w:tab w:val="clear" w:pos="720"/>
          <w:tab w:val="left" w:pos="1440"/>
        </w:tabs>
        <w:spacing w:line="240" w:lineRule="auto"/>
        <w:rPr>
          <w:rFonts w:ascii="Century Schoolbook" w:hAnsi="Century Schoolbook"/>
          <w:szCs w:val="26"/>
        </w:rPr>
      </w:pPr>
    </w:p>
    <w:p w:rsidR="00C3136F" w:rsidRPr="00427F63" w:rsidP="00C3136F">
      <w:pPr>
        <w:tabs>
          <w:tab w:val="clear" w:pos="720"/>
          <w:tab w:val="left" w:pos="1440"/>
        </w:tabs>
        <w:spacing w:line="240" w:lineRule="auto"/>
        <w:ind w:left="2160" w:hanging="2160"/>
        <w:rPr>
          <w:rFonts w:ascii="Century Schoolbook" w:hAnsi="Century Schoolbook"/>
          <w:szCs w:val="26"/>
        </w:rPr>
      </w:pPr>
      <w:r w:rsidRPr="00427F63">
        <w:rPr>
          <w:rFonts w:ascii="Century Schoolbook" w:hAnsi="Century Schoolbook"/>
          <w:szCs w:val="26"/>
        </w:rPr>
        <w:t>Counsel:</w:t>
      </w:r>
      <w:r w:rsidRPr="00427F63">
        <w:rPr>
          <w:rFonts w:ascii="Century Schoolbook" w:hAnsi="Century Schoolbook"/>
          <w:szCs w:val="26"/>
        </w:rPr>
        <w:tab/>
      </w:r>
      <w:r w:rsidRPr="00427F63">
        <w:rPr>
          <w:rFonts w:ascii="Century Schoolbook" w:hAnsi="Century Schoolbook"/>
          <w:szCs w:val="26"/>
        </w:rPr>
        <w:tab/>
        <w:t>Paul R. Kraus Attorney at Law, Paul Kraus, for Petitioner and Appellant.</w:t>
      </w:r>
    </w:p>
    <w:p w:rsidR="00C3136F" w:rsidRPr="00427F63" w:rsidP="00C3136F">
      <w:pPr>
        <w:tabs>
          <w:tab w:val="clear" w:pos="720"/>
          <w:tab w:val="left" w:pos="1440"/>
        </w:tabs>
        <w:spacing w:line="240" w:lineRule="auto"/>
        <w:ind w:left="2160" w:hanging="2160"/>
        <w:rPr>
          <w:rFonts w:ascii="Century Schoolbook" w:hAnsi="Century Schoolbook"/>
          <w:szCs w:val="26"/>
        </w:rPr>
      </w:pPr>
    </w:p>
    <w:p w:rsidR="00C3136F" w:rsidRPr="00427F63" w:rsidP="00C3136F">
      <w:pPr>
        <w:tabs>
          <w:tab w:val="clear" w:pos="720"/>
          <w:tab w:val="left" w:pos="1440"/>
        </w:tabs>
        <w:spacing w:line="240" w:lineRule="auto"/>
        <w:ind w:left="2160" w:hanging="2160"/>
        <w:rPr>
          <w:rFonts w:ascii="Century Schoolbook" w:hAnsi="Century Schoolbook"/>
          <w:szCs w:val="26"/>
        </w:rPr>
      </w:pPr>
      <w:r w:rsidRPr="00427F63">
        <w:rPr>
          <w:rFonts w:ascii="Century Schoolbook" w:hAnsi="Century Schoolbook"/>
          <w:szCs w:val="26"/>
        </w:rPr>
        <w:tab/>
      </w:r>
      <w:r w:rsidRPr="00427F63">
        <w:rPr>
          <w:rFonts w:ascii="Century Schoolbook" w:hAnsi="Century Schoolbook"/>
          <w:szCs w:val="26"/>
        </w:rPr>
        <w:tab/>
        <w:t xml:space="preserve">Rob Bonta, Attorney General, </w:t>
      </w:r>
      <w:r>
        <w:rPr>
          <w:rFonts w:ascii="Century Schoolbook" w:hAnsi="Century Schoolbook"/>
        </w:rPr>
        <w:t>Cheryl L. Feiner</w:t>
      </w:r>
      <w:r w:rsidRPr="00427F63">
        <w:rPr>
          <w:rFonts w:ascii="Century Schoolbook" w:hAnsi="Century Schoolbook"/>
          <w:szCs w:val="26"/>
        </w:rPr>
        <w:t xml:space="preserve">, </w:t>
      </w:r>
      <w:r>
        <w:rPr>
          <w:rFonts w:ascii="Century Schoolbook" w:hAnsi="Century Schoolbook"/>
        </w:rPr>
        <w:t>Senior</w:t>
      </w:r>
      <w:r w:rsidRPr="00427F63">
        <w:rPr>
          <w:rFonts w:ascii="Century Schoolbook" w:hAnsi="Century Schoolbook"/>
          <w:szCs w:val="26"/>
        </w:rPr>
        <w:t xml:space="preserve"> Assistant Attorney General, </w:t>
      </w:r>
      <w:r>
        <w:rPr>
          <w:rFonts w:ascii="Century Schoolbook" w:hAnsi="Century Schoolbook"/>
        </w:rPr>
        <w:t>Gregory D. Brown</w:t>
      </w:r>
      <w:r w:rsidRPr="00427F63">
        <w:rPr>
          <w:rFonts w:ascii="Century Schoolbook" w:hAnsi="Century Schoolbook"/>
          <w:szCs w:val="26"/>
        </w:rPr>
        <w:t xml:space="preserve">, </w:t>
      </w:r>
      <w:r>
        <w:rPr>
          <w:rFonts w:ascii="Century Schoolbook" w:hAnsi="Century Schoolbook"/>
        </w:rPr>
        <w:t>Supervising</w:t>
      </w:r>
      <w:r w:rsidRPr="00427F63">
        <w:rPr>
          <w:rFonts w:ascii="Century Schoolbook" w:hAnsi="Century Schoolbook"/>
          <w:szCs w:val="26"/>
        </w:rPr>
        <w:t xml:space="preserve"> </w:t>
      </w:r>
      <w:r>
        <w:rPr>
          <w:rFonts w:ascii="Century Schoolbook" w:hAnsi="Century Schoolbook"/>
        </w:rPr>
        <w:t>Deputy</w:t>
      </w:r>
      <w:r w:rsidRPr="00427F63">
        <w:rPr>
          <w:rFonts w:ascii="Century Schoolbook" w:hAnsi="Century Schoolbook"/>
          <w:szCs w:val="26"/>
        </w:rPr>
        <w:t xml:space="preserve"> Attorney General, </w:t>
      </w:r>
      <w:r>
        <w:rPr>
          <w:rFonts w:ascii="Century Schoolbook" w:hAnsi="Century Schoolbook"/>
        </w:rPr>
        <w:t>and Samona L. Taylor</w:t>
      </w:r>
      <w:r w:rsidRPr="00427F63">
        <w:rPr>
          <w:rFonts w:ascii="Century Schoolbook" w:hAnsi="Century Schoolbook"/>
          <w:szCs w:val="26"/>
        </w:rPr>
        <w:t xml:space="preserve">, Deputy Attorney General, for Respondent. </w:t>
      </w:r>
    </w:p>
    <w:p w:rsidR="00C3136F" w:rsidRPr="00C3136F" w:rsidP="006254DA">
      <w:pPr>
        <w:spacing w:line="240" w:lineRule="auto"/>
        <w:rPr>
          <w:rFonts w:ascii="Century Schoolbook" w:hAnsi="Century Schoolbook"/>
          <w:szCs w:val="26"/>
        </w:rPr>
      </w:pPr>
    </w:p>
    <w:sectPr w:rsidSect="00910014">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16B1" w:rsidP="00B442F1">
    <w:pPr>
      <w:pStyle w:val="Footer"/>
      <w:framePr w:wrap="around" w:vAnchor="text" w:hAnchor="margin" w:xAlign="center" w:y="1"/>
      <w:rPr>
        <w:rStyle w:val="PageNumber"/>
      </w:rPr>
    </w:pPr>
  </w:p>
  <w:p w:rsidR="006F16B1" w:rsidP="00B442F1">
    <w:pPr>
      <w:pStyle w:val="Footer"/>
      <w:framePr w:wrap="around" w:vAnchor="text" w:hAnchor="margin" w:xAlign="center" w:y="1"/>
      <w:rPr>
        <w:rStyle w:val="PageNumber"/>
      </w:rPr>
    </w:pPr>
  </w:p>
  <w:p w:rsidR="006F1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1841706"/>
      <w:docPartObj>
        <w:docPartGallery w:val="Page Numbers (Bottom of Page)"/>
        <w:docPartUnique/>
      </w:docPartObj>
    </w:sdtPr>
    <w:sdtEndPr>
      <w:rPr>
        <w:noProof/>
      </w:rPr>
    </w:sdtEndPr>
    <w:sdtContent>
      <w:p w:rsidR="006F16B1">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6F16B1" w:rsidRPr="008A7AA0" w:rsidP="008A7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572A" w:rsidP="00C0565C">
      <w:pPr>
        <w:spacing w:line="240" w:lineRule="auto"/>
      </w:pPr>
      <w:r>
        <w:separator/>
      </w:r>
    </w:p>
  </w:footnote>
  <w:footnote w:type="continuationSeparator" w:id="1">
    <w:p w:rsidR="0033572A" w:rsidP="00C0565C">
      <w:pPr>
        <w:spacing w:line="240" w:lineRule="auto"/>
      </w:pPr>
      <w:r>
        <w:continuationSeparator/>
      </w:r>
    </w:p>
  </w:footnote>
  <w:footnote w:id="2">
    <w:p w:rsidR="00C92C40">
      <w:pPr>
        <w:pStyle w:val="FootnoteText"/>
      </w:pPr>
      <w:r>
        <w:rPr>
          <w:rStyle w:val="FootnoteReference"/>
        </w:rPr>
        <w:footnoteRef/>
      </w:r>
      <w:r>
        <w:t xml:space="preserve"> </w:t>
      </w:r>
      <w:r w:rsidRPr="00C92C40">
        <w:t xml:space="preserve">All further </w:t>
      </w:r>
      <w:r w:rsidR="00C86FBC">
        <w:t xml:space="preserve">undesignated </w:t>
      </w:r>
      <w:r w:rsidRPr="00C92C40">
        <w:t xml:space="preserve">statutory references are to the </w:t>
      </w:r>
      <w:r>
        <w:t>Penal</w:t>
      </w:r>
      <w:r w:rsidRPr="00C92C40">
        <w:t xml:space="preserve"> Code.</w:t>
      </w:r>
    </w:p>
  </w:footnote>
  <w:footnote w:id="3">
    <w:p w:rsidR="00B77110">
      <w:pPr>
        <w:pStyle w:val="FootnoteText"/>
      </w:pPr>
      <w:r>
        <w:rPr>
          <w:rStyle w:val="FootnoteReference"/>
        </w:rPr>
        <w:footnoteRef/>
      </w:r>
      <w:r>
        <w:t xml:space="preserve"> We grant respondent’s unopposed </w:t>
      </w:r>
      <w:r w:rsidR="00C86FBC">
        <w:t xml:space="preserve">request that this court take </w:t>
      </w:r>
      <w:r w:rsidRPr="00B77110">
        <w:t xml:space="preserve">judicial notice of a </w:t>
      </w:r>
      <w:r w:rsidR="00C86FBC">
        <w:t xml:space="preserve">February 7, 2023 involuntary medication order </w:t>
      </w:r>
      <w:r w:rsidRPr="00C86FBC" w:rsidR="00C86FBC">
        <w:t xml:space="preserve">entered </w:t>
      </w:r>
      <w:r w:rsidRPr="00C86FBC" w:rsidR="00C86FBC">
        <w:rPr>
          <w:szCs w:val="26"/>
        </w:rPr>
        <w:t xml:space="preserve">in </w:t>
      </w:r>
      <w:r w:rsidRPr="00C86FBC" w:rsidR="00C86FBC">
        <w:rPr>
          <w:i/>
          <w:iCs/>
          <w:szCs w:val="26"/>
        </w:rPr>
        <w:t xml:space="preserve">People v. </w:t>
      </w:r>
      <w:r w:rsidR="007936DA">
        <w:rPr>
          <w:i/>
          <w:iCs/>
          <w:szCs w:val="26"/>
        </w:rPr>
        <w:t>D.K.</w:t>
      </w:r>
      <w:r w:rsidRPr="007936DA" w:rsidR="007936DA">
        <w:rPr>
          <w:szCs w:val="26"/>
        </w:rPr>
        <w:t>,</w:t>
      </w:r>
      <w:r w:rsidRPr="00C86FBC" w:rsidR="00C86FBC">
        <w:rPr>
          <w:szCs w:val="26"/>
        </w:rPr>
        <w:t xml:space="preserve"> Orange County Superior Court, case No. 22HF0015 F A</w:t>
      </w:r>
      <w:r w:rsidRPr="00C86FBC">
        <w:t xml:space="preserve">. </w:t>
      </w:r>
      <w:r w:rsidRPr="00C86FBC" w:rsidR="00C86FBC">
        <w:t xml:space="preserve"> </w:t>
      </w:r>
      <w:r w:rsidRPr="00B77110">
        <w:t>(Evid. Code, §§ 452, subd. (d), 459.)</w:t>
      </w:r>
    </w:p>
  </w:footnote>
  <w:footnote w:id="4">
    <w:p w:rsidR="00752E83" w:rsidRPr="0001631D" w:rsidP="00752E83">
      <w:pPr>
        <w:pStyle w:val="FootnoteText"/>
      </w:pPr>
      <w:r>
        <w:rPr>
          <w:rStyle w:val="FootnoteReference"/>
        </w:rPr>
        <w:footnoteRef/>
      </w:r>
      <w:r>
        <w:t xml:space="preserve"> The parties question the appropriate standard of review. </w:t>
      </w:r>
      <w:r w:rsidR="00DB743C">
        <w:t xml:space="preserve"> </w:t>
      </w:r>
      <w:r>
        <w:t xml:space="preserve">Here, the issue is whether the statutory scheme provides an adequate alternative remedy apart from writ review.  Because “[t]he legal foundation for the alternative remedy does not vary with the circumstances of a particular case,” this appeal raises an issue of law subject to independent review on appeal.  (See </w:t>
      </w:r>
      <w:r>
        <w:rPr>
          <w:i/>
          <w:iCs/>
        </w:rPr>
        <w:t xml:space="preserve">Villery v. Dept. of Corrections &amp; Rehabilitation </w:t>
      </w:r>
      <w:r>
        <w:t>(2016) 246 Cal.App.4th 407, 415.)</w:t>
      </w:r>
    </w:p>
  </w:footnote>
  <w:footnote w:id="5">
    <w:p w:rsidR="00E51761" w:rsidRPr="00E51761">
      <w:pPr>
        <w:pStyle w:val="FootnoteText"/>
      </w:pPr>
      <w:r>
        <w:rPr>
          <w:rStyle w:val="FootnoteReference"/>
        </w:rPr>
        <w:footnoteRef/>
      </w:r>
      <w:r>
        <w:t xml:space="preserve"> </w:t>
      </w:r>
      <w:r w:rsidR="0082040A">
        <w:t xml:space="preserve">We recognize </w:t>
      </w:r>
      <w:r>
        <w:rPr>
          <w:i/>
          <w:iCs/>
        </w:rPr>
        <w:t>Christiana</w:t>
      </w:r>
      <w:r>
        <w:t xml:space="preserve"> involved the right to appeal</w:t>
      </w:r>
      <w:r w:rsidR="0082040A">
        <w:t xml:space="preserve">.  However, due to the short timeframe of temporary </w:t>
      </w:r>
      <w:r w:rsidR="00F26250">
        <w:t xml:space="preserve">involuntary </w:t>
      </w:r>
      <w:r w:rsidR="0082040A">
        <w:t>medication orders, an appeal likely would not provide a sufficiently speedy remedy at law and, instead,</w:t>
      </w:r>
      <w:r>
        <w:t xml:space="preserve"> writ relief would </w:t>
      </w:r>
      <w:r w:rsidR="00EB321F">
        <w:t>be appropriate</w:t>
      </w:r>
      <w:r w:rsidR="0082040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4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46C7"/>
    <w:multiLevelType w:val="hybridMultilevel"/>
    <w:tmpl w:val="633EC7A6"/>
    <w:lvl w:ilvl="0">
      <w:start w:val="2"/>
      <w:numFmt w:val="bullet"/>
      <w:lvlText w:val="-"/>
      <w:lvlJc w:val="left"/>
      <w:pPr>
        <w:ind w:left="1080" w:hanging="360"/>
      </w:pPr>
      <w:rPr>
        <w:rFonts w:ascii="Century Schoolbook" w:hAnsi="Century Schoolbook"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3197A32"/>
    <w:multiLevelType w:val="hybridMultilevel"/>
    <w:tmpl w:val="23AAB6C6"/>
    <w:lvl w:ilvl="0">
      <w:start w:val="3"/>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B916941"/>
    <w:multiLevelType w:val="hybridMultilevel"/>
    <w:tmpl w:val="539886FA"/>
    <w:lvl w:ilvl="0">
      <w:start w:val="1"/>
      <w:numFmt w:val="bullet"/>
      <w:lvlText w:val="-"/>
      <w:lvlJc w:val="left"/>
      <w:pPr>
        <w:ind w:left="1080" w:hanging="360"/>
      </w:pPr>
      <w:rPr>
        <w:rFonts w:ascii="Century Schoolbook" w:hAnsi="Century Schoolbook"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DDD10A5"/>
    <w:multiLevelType w:val="hybridMultilevel"/>
    <w:tmpl w:val="468605DE"/>
    <w:lvl w:ilvl="0">
      <w:start w:val="4"/>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E153051"/>
    <w:multiLevelType w:val="hybridMultilevel"/>
    <w:tmpl w:val="CABC0D90"/>
    <w:lvl w:ilvl="0">
      <w:start w:val="1"/>
      <w:numFmt w:val="bullet"/>
      <w:lvlText w:val="-"/>
      <w:lvlJc w:val="left"/>
      <w:pPr>
        <w:ind w:left="1080" w:hanging="360"/>
      </w:pPr>
      <w:rPr>
        <w:rFonts w:ascii="Century Schoolbook" w:hAnsi="Century Schoolbook"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3CB6CA6"/>
    <w:multiLevelType w:val="hybridMultilevel"/>
    <w:tmpl w:val="AD703D2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48D7F3D"/>
    <w:multiLevelType w:val="hybridMultilevel"/>
    <w:tmpl w:val="0ED43A94"/>
    <w:lvl w:ilvl="0">
      <w:start w:val="3"/>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41A0468"/>
    <w:multiLevelType w:val="hybridMultilevel"/>
    <w:tmpl w:val="A888E776"/>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69677F"/>
    <w:multiLevelType w:val="hybridMultilevel"/>
    <w:tmpl w:val="9B04658E"/>
    <w:lvl w:ilvl="0">
      <w:start w:val="4"/>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A434D1A"/>
    <w:multiLevelType w:val="hybridMultilevel"/>
    <w:tmpl w:val="EC24B92A"/>
    <w:lvl w:ilvl="0">
      <w:start w:val="2"/>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C7468B3"/>
    <w:multiLevelType w:val="hybridMultilevel"/>
    <w:tmpl w:val="97B0E3F6"/>
    <w:lvl w:ilvl="0">
      <w:start w:val="2"/>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473F6C64"/>
    <w:multiLevelType w:val="hybridMultilevel"/>
    <w:tmpl w:val="01021E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76F4143"/>
    <w:multiLevelType w:val="hybridMultilevel"/>
    <w:tmpl w:val="3CA2A48E"/>
    <w:lvl w:ilvl="0">
      <w:start w:val="3"/>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8D95E29"/>
    <w:multiLevelType w:val="hybridMultilevel"/>
    <w:tmpl w:val="12D4B822"/>
    <w:lvl w:ilvl="0">
      <w:start w:val="2"/>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D125E70"/>
    <w:multiLevelType w:val="hybridMultilevel"/>
    <w:tmpl w:val="27AE973C"/>
    <w:lvl w:ilvl="0">
      <w:start w:val="1"/>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709444C"/>
    <w:multiLevelType w:val="hybridMultilevel"/>
    <w:tmpl w:val="A9F6ECC2"/>
    <w:lvl w:ilvl="0">
      <w:start w:val="1"/>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58E50569"/>
    <w:multiLevelType w:val="hybridMultilevel"/>
    <w:tmpl w:val="441A10F4"/>
    <w:lvl w:ilvl="0">
      <w:start w:val="2"/>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B2C0042"/>
    <w:multiLevelType w:val="hybridMultilevel"/>
    <w:tmpl w:val="F0FA6AD8"/>
    <w:lvl w:ilvl="0">
      <w:start w:val="1"/>
      <w:numFmt w:val="bullet"/>
      <w:lvlText w:val="-"/>
      <w:lvlJc w:val="left"/>
      <w:pPr>
        <w:ind w:left="720" w:hanging="360"/>
      </w:pPr>
      <w:rPr>
        <w:rFonts w:ascii="Century Schoolbook" w:hAnsi="Century Schoolbook"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3B448BC"/>
    <w:multiLevelType w:val="hybridMultilevel"/>
    <w:tmpl w:val="EB5010D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7D74662"/>
    <w:multiLevelType w:val="hybridMultilevel"/>
    <w:tmpl w:val="5A5041EE"/>
    <w:lvl w:ilvl="0">
      <w:start w:val="2"/>
      <w:numFmt w:val="bullet"/>
      <w:lvlText w:val="-"/>
      <w:lvlJc w:val="left"/>
      <w:pPr>
        <w:ind w:left="1080" w:hanging="360"/>
      </w:pPr>
      <w:rPr>
        <w:rFonts w:ascii="Century Schoolbook" w:hAnsi="Century Schoolbook"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7B861A0D"/>
    <w:multiLevelType w:val="hybridMultilevel"/>
    <w:tmpl w:val="E69C8EF4"/>
    <w:lvl w:ilvl="0">
      <w:start w:val="2"/>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CA463CF"/>
    <w:multiLevelType w:val="hybridMultilevel"/>
    <w:tmpl w:val="9830F976"/>
    <w:lvl w:ilvl="0">
      <w:start w:val="2"/>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7CB877BA"/>
    <w:multiLevelType w:val="hybridMultilevel"/>
    <w:tmpl w:val="56F8BCB0"/>
    <w:lvl w:ilvl="0">
      <w:start w:val="2"/>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5"/>
  </w:num>
  <w:num w:numId="4">
    <w:abstractNumId w:val="21"/>
  </w:num>
  <w:num w:numId="5">
    <w:abstractNumId w:val="11"/>
  </w:num>
  <w:num w:numId="6">
    <w:abstractNumId w:val="22"/>
  </w:num>
  <w:num w:numId="7">
    <w:abstractNumId w:val="0"/>
  </w:num>
  <w:num w:numId="8">
    <w:abstractNumId w:val="1"/>
  </w:num>
  <w:num w:numId="9">
    <w:abstractNumId w:val="16"/>
  </w:num>
  <w:num w:numId="10">
    <w:abstractNumId w:val="14"/>
  </w:num>
  <w:num w:numId="11">
    <w:abstractNumId w:val="15"/>
  </w:num>
  <w:num w:numId="12">
    <w:abstractNumId w:val="19"/>
  </w:num>
  <w:num w:numId="13">
    <w:abstractNumId w:val="12"/>
  </w:num>
  <w:num w:numId="14">
    <w:abstractNumId w:val="17"/>
  </w:num>
  <w:num w:numId="15">
    <w:abstractNumId w:val="4"/>
  </w:num>
  <w:num w:numId="16">
    <w:abstractNumId w:val="9"/>
  </w:num>
  <w:num w:numId="17">
    <w:abstractNumId w:val="2"/>
  </w:num>
  <w:num w:numId="18">
    <w:abstractNumId w:val="6"/>
  </w:num>
  <w:num w:numId="19">
    <w:abstractNumId w:val="13"/>
  </w:num>
  <w:num w:numId="20">
    <w:abstractNumId w:val="20"/>
  </w:num>
  <w:num w:numId="21">
    <w:abstractNumId w:val="3"/>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65C"/>
    <w:pPr>
      <w:tabs>
        <w:tab w:val="center" w:pos="4680"/>
        <w:tab w:val="right" w:pos="9360"/>
      </w:tabs>
      <w:spacing w:line="240" w:lineRule="auto"/>
    </w:pPr>
  </w:style>
  <w:style w:type="character" w:customStyle="1" w:styleId="HeaderChar">
    <w:name w:val="Header Char"/>
    <w:basedOn w:val="DefaultParagraphFont"/>
    <w:link w:val="Header"/>
    <w:uiPriority w:val="99"/>
    <w:rsid w:val="00C0565C"/>
  </w:style>
  <w:style w:type="paragraph" w:styleId="Footer">
    <w:name w:val="footer"/>
    <w:basedOn w:val="Normal"/>
    <w:link w:val="FooterChar"/>
    <w:uiPriority w:val="99"/>
    <w:unhideWhenUsed/>
    <w:rsid w:val="00C0565C"/>
    <w:pPr>
      <w:tabs>
        <w:tab w:val="center" w:pos="4680"/>
        <w:tab w:val="right" w:pos="9360"/>
      </w:tabs>
      <w:spacing w:line="240" w:lineRule="auto"/>
    </w:pPr>
  </w:style>
  <w:style w:type="character" w:customStyle="1" w:styleId="FooterChar">
    <w:name w:val="Footer Char"/>
    <w:basedOn w:val="DefaultParagraphFont"/>
    <w:link w:val="Footer"/>
    <w:uiPriority w:val="99"/>
    <w:rsid w:val="00C0565C"/>
  </w:style>
  <w:style w:type="character" w:styleId="PageNumber">
    <w:name w:val="page number"/>
    <w:basedOn w:val="DefaultParagraphFont"/>
    <w:uiPriority w:val="99"/>
    <w:semiHidden/>
    <w:unhideWhenUsed/>
    <w:rsid w:val="00C0565C"/>
  </w:style>
  <w:style w:type="paragraph" w:styleId="FootnoteText">
    <w:name w:val="footnote text"/>
    <w:link w:val="FootnoteTextChar"/>
    <w:uiPriority w:val="99"/>
    <w:unhideWhenUsed/>
    <w:rsid w:val="00387DAB"/>
    <w:pPr>
      <w:spacing w:after="120" w:line="240" w:lineRule="auto"/>
      <w:ind w:firstLine="720"/>
    </w:pPr>
    <w:rPr>
      <w:rFonts w:ascii="Century Schoolbook" w:hAnsi="Century Schoolbook" w:cs="Times New Roman"/>
      <w:sz w:val="26"/>
      <w:szCs w:val="20"/>
    </w:rPr>
  </w:style>
  <w:style w:type="character" w:customStyle="1" w:styleId="FootnoteTextChar">
    <w:name w:val="Footnote Text Char"/>
    <w:basedOn w:val="DefaultParagraphFont"/>
    <w:link w:val="FootnoteText"/>
    <w:uiPriority w:val="99"/>
    <w:rsid w:val="00387DAB"/>
    <w:rPr>
      <w:rFonts w:ascii="Century Schoolbook" w:hAnsi="Century Schoolbook" w:cs="Times New Roman"/>
      <w:sz w:val="26"/>
      <w:szCs w:val="20"/>
    </w:rPr>
  </w:style>
  <w:style w:type="character" w:styleId="FootnoteReference">
    <w:name w:val="footnote reference"/>
    <w:basedOn w:val="DefaultParagraphFont"/>
    <w:uiPriority w:val="99"/>
    <w:unhideWhenUsed/>
    <w:rsid w:val="003C38B8"/>
    <w:rPr>
      <w:rFonts w:ascii="Century Schoolbook" w:hAnsi="Century Schoolbook"/>
      <w:vertAlign w:val="superscript"/>
    </w:rPr>
  </w:style>
  <w:style w:type="paragraph" w:styleId="ListParagraph">
    <w:name w:val="List Paragraph"/>
    <w:basedOn w:val="Normal"/>
    <w:uiPriority w:val="34"/>
    <w:qFormat/>
    <w:rsid w:val="00BE0B5D"/>
    <w:pPr>
      <w:ind w:left="720"/>
      <w:contextualSpacing/>
    </w:pPr>
  </w:style>
  <w:style w:type="paragraph" w:styleId="BalloonText">
    <w:name w:val="Balloon Text"/>
    <w:basedOn w:val="Normal"/>
    <w:link w:val="BalloonTextChar"/>
    <w:uiPriority w:val="99"/>
    <w:semiHidden/>
    <w:unhideWhenUsed/>
    <w:rsid w:val="001112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70"/>
    <w:rPr>
      <w:rFonts w:ascii="Segoe UI" w:hAnsi="Segoe UI" w:cs="Segoe UI"/>
      <w:sz w:val="18"/>
      <w:szCs w:val="18"/>
    </w:rPr>
  </w:style>
  <w:style w:type="character" w:styleId="CommentReference">
    <w:name w:val="annotation reference"/>
    <w:basedOn w:val="DefaultParagraphFont"/>
    <w:uiPriority w:val="99"/>
    <w:semiHidden/>
    <w:unhideWhenUsed/>
    <w:rsid w:val="00E33F7E"/>
    <w:rPr>
      <w:sz w:val="16"/>
      <w:szCs w:val="16"/>
    </w:rPr>
  </w:style>
  <w:style w:type="paragraph" w:styleId="CommentText">
    <w:name w:val="annotation text"/>
    <w:basedOn w:val="Normal"/>
    <w:link w:val="CommentTextChar"/>
    <w:uiPriority w:val="99"/>
    <w:unhideWhenUsed/>
    <w:rsid w:val="00E33F7E"/>
    <w:pPr>
      <w:spacing w:line="240" w:lineRule="auto"/>
    </w:pPr>
    <w:rPr>
      <w:sz w:val="20"/>
      <w:szCs w:val="20"/>
    </w:rPr>
  </w:style>
  <w:style w:type="character" w:customStyle="1" w:styleId="CommentTextChar">
    <w:name w:val="Comment Text Char"/>
    <w:basedOn w:val="DefaultParagraphFont"/>
    <w:link w:val="CommentText"/>
    <w:uiPriority w:val="99"/>
    <w:rsid w:val="00E33F7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3F7E"/>
    <w:rPr>
      <w:b/>
      <w:bCs/>
    </w:rPr>
  </w:style>
  <w:style w:type="character" w:customStyle="1" w:styleId="CommentSubjectChar">
    <w:name w:val="Comment Subject Char"/>
    <w:basedOn w:val="CommentTextChar"/>
    <w:link w:val="CommentSubject"/>
    <w:uiPriority w:val="99"/>
    <w:semiHidden/>
    <w:rsid w:val="00E33F7E"/>
    <w:rPr>
      <w:rFonts w:ascii="Times New Roman" w:hAnsi="Times New Roman" w:cs="Times New Roman"/>
      <w:b/>
      <w:bCs/>
      <w:sz w:val="20"/>
      <w:szCs w:val="20"/>
    </w:rPr>
  </w:style>
  <w:style w:type="character" w:styleId="Emphasis">
    <w:name w:val="Emphasis"/>
    <w:basedOn w:val="DefaultParagraphFont"/>
    <w:uiPriority w:val="20"/>
    <w:qFormat/>
    <w:rsid w:val="003952B9"/>
    <w:rPr>
      <w:i/>
      <w:iCs/>
    </w:rPr>
  </w:style>
  <w:style w:type="character" w:styleId="Hyperlink">
    <w:name w:val="Hyperlink"/>
    <w:basedOn w:val="DefaultParagraphFont"/>
    <w:uiPriority w:val="99"/>
    <w:semiHidden/>
    <w:unhideWhenUsed/>
    <w:rsid w:val="003952B9"/>
    <w:rPr>
      <w:color w:val="0000FF"/>
      <w:u w:val="single"/>
    </w:rPr>
  </w:style>
  <w:style w:type="paragraph" w:styleId="Revision">
    <w:name w:val="Revision"/>
    <w:hidden/>
    <w:uiPriority w:val="99"/>
    <w:semiHidden/>
    <w:rsid w:val="002D3E8E"/>
    <w:pPr>
      <w:spacing w:after="0" w:line="240" w:lineRule="auto"/>
    </w:pPr>
    <w:rPr>
      <w:rFonts w:ascii="Times New Roman" w:hAnsi="Times New Roman" w:cs="Times New Roman"/>
      <w:sz w:val="26"/>
    </w:rPr>
  </w:style>
  <w:style w:type="character" w:customStyle="1" w:styleId="cf01">
    <w:name w:val="cf01"/>
    <w:basedOn w:val="DefaultParagraphFont"/>
    <w:rsid w:val="00752E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3100</Words>
  <Characters>17675</Characters>
  <Application>Microsoft Office Word</Application>
  <DocSecurity>0</DocSecurity>
  <Lines>147</Lines>
  <Paragraphs>41</Paragraphs>
  <ScaleCrop>false</ScaleCrop>
  <Company/>
  <LinksUpToDate>false</LinksUpToDate>
  <CharactersWithSpaces>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2024-05-14T18:09:27Z</dcterms:created>
  <dcterms:modified xsi:type="dcterms:W3CDTF">2024-05-14T18:09:27Z</dcterms:modified>
</cp:coreProperties>
</file>