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706E1E" w14:textId="1F9D0633" w:rsidR="00E16081" w:rsidRDefault="00E16081" w:rsidP="00E16081">
      <w:pPr>
        <w:spacing w:line="240" w:lineRule="auto"/>
        <w:rPr>
          <w:sz w:val="20"/>
        </w:rPr>
      </w:pPr>
      <w:r>
        <w:rPr>
          <w:sz w:val="20"/>
        </w:rPr>
        <w:t>Filed</w:t>
      </w:r>
      <w:r w:rsidR="00121854">
        <w:rPr>
          <w:sz w:val="20"/>
        </w:rPr>
        <w:t xml:space="preserve"> 4/10/24</w:t>
      </w:r>
    </w:p>
    <w:p w14:paraId="4B85CE1C" w14:textId="71F14EFF" w:rsidR="00E16081" w:rsidRDefault="00E16081" w:rsidP="00E16081">
      <w:pPr>
        <w:spacing w:line="240" w:lineRule="auto"/>
        <w:rPr>
          <w:sz w:val="20"/>
        </w:rPr>
      </w:pPr>
      <w:r>
        <w:rPr>
          <w:sz w:val="20"/>
        </w:rPr>
        <w:t xml:space="preserve"> </w:t>
      </w:r>
    </w:p>
    <w:p w14:paraId="3B431C59" w14:textId="77777777" w:rsidR="00E16081" w:rsidRDefault="00E16081" w:rsidP="00E16081">
      <w:pPr>
        <w:spacing w:line="240" w:lineRule="auto"/>
        <w:jc w:val="center"/>
        <w:rPr>
          <w:b/>
        </w:rPr>
      </w:pPr>
      <w:r>
        <w:rPr>
          <w:b/>
        </w:rPr>
        <w:t>CERTIFIED FOR PUBLICATION</w:t>
      </w:r>
    </w:p>
    <w:p w14:paraId="4D813C40" w14:textId="77777777" w:rsidR="00E16081" w:rsidRDefault="00E16081" w:rsidP="00E16081">
      <w:pPr>
        <w:spacing w:line="240" w:lineRule="auto"/>
        <w:jc w:val="center"/>
      </w:pPr>
    </w:p>
    <w:p w14:paraId="24014F55" w14:textId="18A3585A" w:rsidR="000B1558" w:rsidRDefault="00895145" w:rsidP="00E16081">
      <w:pPr>
        <w:spacing w:line="240" w:lineRule="auto"/>
        <w:jc w:val="center"/>
      </w:pPr>
      <w:r>
        <w:t>IN THE COURT OF APPEAL OF THE STATE OF CALIFORNIA</w:t>
      </w:r>
    </w:p>
    <w:p w14:paraId="614D443F" w14:textId="77777777" w:rsidR="00895145" w:rsidRDefault="00895145" w:rsidP="00895145">
      <w:pPr>
        <w:spacing w:line="240" w:lineRule="auto"/>
        <w:jc w:val="center"/>
      </w:pPr>
    </w:p>
    <w:p w14:paraId="6C4012F4" w14:textId="77777777" w:rsidR="00895145" w:rsidRDefault="00895145" w:rsidP="00895145">
      <w:pPr>
        <w:spacing w:line="240" w:lineRule="auto"/>
        <w:jc w:val="center"/>
      </w:pPr>
      <w:r>
        <w:t>FIRST APPELLATE DISTRICT</w:t>
      </w:r>
    </w:p>
    <w:p w14:paraId="71241452" w14:textId="77777777" w:rsidR="00895145" w:rsidRDefault="00895145" w:rsidP="00895145">
      <w:pPr>
        <w:spacing w:line="240" w:lineRule="auto"/>
        <w:jc w:val="center"/>
      </w:pPr>
    </w:p>
    <w:p w14:paraId="102C8D65" w14:textId="33682F90" w:rsidR="00895145" w:rsidRDefault="00895145" w:rsidP="00895145">
      <w:pPr>
        <w:spacing w:line="240" w:lineRule="auto"/>
        <w:jc w:val="center"/>
      </w:pPr>
      <w:r>
        <w:t xml:space="preserve">DIVISION </w:t>
      </w:r>
      <w:r w:rsidR="005613E8">
        <w:t>THREE</w:t>
      </w:r>
    </w:p>
    <w:p w14:paraId="61F6200C" w14:textId="77777777" w:rsidR="00895145" w:rsidRDefault="00895145" w:rsidP="00895145">
      <w:pPr>
        <w:spacing w:line="240" w:lineRule="auto"/>
        <w:jc w:val="center"/>
      </w:pPr>
    </w:p>
    <w:tbl>
      <w:tblPr>
        <w:tblW w:w="0" w:type="auto"/>
        <w:tblLayout w:type="fixed"/>
        <w:tblLook w:val="0000" w:firstRow="0" w:lastRow="0" w:firstColumn="0" w:lastColumn="0" w:noHBand="0" w:noVBand="0"/>
      </w:tblPr>
      <w:tblGrid>
        <w:gridCol w:w="4680"/>
        <w:gridCol w:w="4680"/>
      </w:tblGrid>
      <w:tr w:rsidR="00895145" w14:paraId="594C313C" w14:textId="77777777" w:rsidTr="00895145">
        <w:tc>
          <w:tcPr>
            <w:tcW w:w="4680" w:type="dxa"/>
            <w:tcBorders>
              <w:bottom w:val="single" w:sz="4" w:space="0" w:color="auto"/>
              <w:right w:val="single" w:sz="4" w:space="0" w:color="auto"/>
            </w:tcBorders>
            <w:shd w:val="clear" w:color="auto" w:fill="auto"/>
          </w:tcPr>
          <w:p w14:paraId="3A3859D5" w14:textId="77777777" w:rsidR="00895145" w:rsidRDefault="00895145" w:rsidP="00895145">
            <w:pPr>
              <w:spacing w:after="120" w:line="240" w:lineRule="auto"/>
            </w:pPr>
            <w:r>
              <w:t>THE PEOPLE,</w:t>
            </w:r>
          </w:p>
          <w:p w14:paraId="1EDB0251" w14:textId="77777777" w:rsidR="00895145" w:rsidRDefault="00895145" w:rsidP="00895145">
            <w:pPr>
              <w:spacing w:after="120" w:line="240" w:lineRule="auto"/>
            </w:pPr>
            <w:r>
              <w:tab/>
              <w:t>Plaintiff and Respondent,</w:t>
            </w:r>
          </w:p>
          <w:p w14:paraId="52F4B145" w14:textId="77777777" w:rsidR="00895145" w:rsidRDefault="00895145" w:rsidP="00895145">
            <w:pPr>
              <w:spacing w:after="120" w:line="240" w:lineRule="auto"/>
            </w:pPr>
            <w:r>
              <w:t>v.</w:t>
            </w:r>
          </w:p>
          <w:p w14:paraId="104187B9" w14:textId="29DC23F3" w:rsidR="00895145" w:rsidRDefault="00503691" w:rsidP="00895145">
            <w:pPr>
              <w:spacing w:after="120" w:line="240" w:lineRule="auto"/>
            </w:pPr>
            <w:r>
              <w:t>RAFAEL B</w:t>
            </w:r>
            <w:r w:rsidR="006578FA">
              <w:t>.</w:t>
            </w:r>
            <w:r>
              <w:t>D</w:t>
            </w:r>
            <w:r w:rsidR="006578FA">
              <w:t>.</w:t>
            </w:r>
            <w:r>
              <w:t>R</w:t>
            </w:r>
            <w:r w:rsidR="006578FA">
              <w:t>.</w:t>
            </w:r>
            <w:r w:rsidR="00895145">
              <w:t>,</w:t>
            </w:r>
          </w:p>
          <w:p w14:paraId="3D008E03" w14:textId="77777777" w:rsidR="00895145" w:rsidRDefault="00895145" w:rsidP="00895145">
            <w:pPr>
              <w:spacing w:after="120" w:line="240" w:lineRule="auto"/>
            </w:pPr>
            <w:r>
              <w:tab/>
              <w:t>Defendant and Appellant.</w:t>
            </w:r>
          </w:p>
        </w:tc>
        <w:tc>
          <w:tcPr>
            <w:tcW w:w="4680" w:type="dxa"/>
            <w:tcBorders>
              <w:left w:val="single" w:sz="4" w:space="0" w:color="auto"/>
            </w:tcBorders>
            <w:shd w:val="clear" w:color="auto" w:fill="auto"/>
          </w:tcPr>
          <w:p w14:paraId="5954DFB5" w14:textId="77777777" w:rsidR="00895145" w:rsidRDefault="00895145" w:rsidP="00895145">
            <w:pPr>
              <w:spacing w:line="240" w:lineRule="auto"/>
            </w:pPr>
          </w:p>
          <w:p w14:paraId="2816FBB2" w14:textId="77777777" w:rsidR="00895145" w:rsidRDefault="00895145" w:rsidP="00895145">
            <w:pPr>
              <w:spacing w:line="240" w:lineRule="auto"/>
            </w:pPr>
          </w:p>
          <w:p w14:paraId="14C2A672" w14:textId="3ADCA2F7" w:rsidR="00895145" w:rsidRDefault="00895145" w:rsidP="00895145">
            <w:pPr>
              <w:spacing w:line="240" w:lineRule="auto"/>
            </w:pPr>
            <w:r>
              <w:t xml:space="preserve">      A1</w:t>
            </w:r>
            <w:r w:rsidR="00017450">
              <w:t>6</w:t>
            </w:r>
            <w:r w:rsidR="00503691">
              <w:t>7246</w:t>
            </w:r>
          </w:p>
          <w:p w14:paraId="0A782189" w14:textId="77777777" w:rsidR="00895145" w:rsidRDefault="00895145" w:rsidP="00895145">
            <w:pPr>
              <w:spacing w:line="240" w:lineRule="auto"/>
            </w:pPr>
          </w:p>
          <w:p w14:paraId="3DAB2823" w14:textId="77FA6D90" w:rsidR="00895145" w:rsidRDefault="00895145" w:rsidP="00895145">
            <w:pPr>
              <w:spacing w:line="240" w:lineRule="auto"/>
            </w:pPr>
            <w:r>
              <w:t xml:space="preserve">      (</w:t>
            </w:r>
            <w:r w:rsidR="00503691">
              <w:t>Alameda</w:t>
            </w:r>
            <w:r w:rsidR="00241EDF">
              <w:t xml:space="preserve"> County</w:t>
            </w:r>
          </w:p>
          <w:p w14:paraId="6A2F965D" w14:textId="3493A605" w:rsidR="00895145" w:rsidRDefault="00895145" w:rsidP="00895145">
            <w:pPr>
              <w:spacing w:line="240" w:lineRule="auto"/>
            </w:pPr>
            <w:r>
              <w:t xml:space="preserve">      Super. Ct. No. </w:t>
            </w:r>
            <w:r w:rsidR="00503691">
              <w:t>19CR011497</w:t>
            </w:r>
            <w:r>
              <w:t>)</w:t>
            </w:r>
          </w:p>
          <w:p w14:paraId="3EA84AD9" w14:textId="77777777" w:rsidR="00895145" w:rsidRDefault="00895145" w:rsidP="00895145">
            <w:pPr>
              <w:spacing w:line="240" w:lineRule="auto"/>
            </w:pPr>
          </w:p>
        </w:tc>
      </w:tr>
    </w:tbl>
    <w:p w14:paraId="0A7E0DB9" w14:textId="77777777" w:rsidR="00822DC3" w:rsidRDefault="00822DC3" w:rsidP="00C803CD">
      <w:pPr>
        <w:spacing w:line="360" w:lineRule="auto"/>
        <w:contextualSpacing/>
      </w:pPr>
    </w:p>
    <w:p w14:paraId="4DD1DD49" w14:textId="5A576948" w:rsidR="00BD0CC4" w:rsidRPr="000F5735" w:rsidRDefault="00503691" w:rsidP="00AC354B">
      <w:pPr>
        <w:spacing w:line="360" w:lineRule="auto"/>
        <w:rPr>
          <w:rFonts w:ascii="Calibri" w:hAnsi="Calibri"/>
        </w:rPr>
      </w:pPr>
      <w:r>
        <w:tab/>
      </w:r>
      <w:r w:rsidR="005D24E8">
        <w:t xml:space="preserve">Defendant </w:t>
      </w:r>
      <w:r>
        <w:t xml:space="preserve">Rafael </w:t>
      </w:r>
      <w:r w:rsidR="006578FA">
        <w:t>B.D.R.</w:t>
      </w:r>
      <w:r>
        <w:t xml:space="preserve"> </w:t>
      </w:r>
      <w:r w:rsidR="00635E53">
        <w:t>was sentenced to a six</w:t>
      </w:r>
      <w:r w:rsidR="00F05B4B">
        <w:t>-</w:t>
      </w:r>
      <w:r w:rsidR="00635E53">
        <w:t xml:space="preserve">year prison term for </w:t>
      </w:r>
      <w:r w:rsidR="00875572">
        <w:t xml:space="preserve">committing a lewd act upon a child </w:t>
      </w:r>
      <w:r w:rsidR="005D24E8">
        <w:t xml:space="preserve">under the age of 14 </w:t>
      </w:r>
      <w:r w:rsidR="00875572">
        <w:t>(Pen. Code, § 288, subd. (a))</w:t>
      </w:r>
      <w:r w:rsidR="00635E53">
        <w:t>,</w:t>
      </w:r>
      <w:r w:rsidR="00875572">
        <w:t xml:space="preserve"> and sending </w:t>
      </w:r>
      <w:r w:rsidR="002A7077">
        <w:t xml:space="preserve">or exhibiting </w:t>
      </w:r>
      <w:r w:rsidR="00875572">
        <w:t>harmful matter to a minor (§ 288.</w:t>
      </w:r>
      <w:r w:rsidR="002A7077">
        <w:t>2</w:t>
      </w:r>
      <w:r w:rsidR="00875572">
        <w:t>, subd. (a)(2)).</w:t>
      </w:r>
      <w:r w:rsidR="00875572">
        <w:rPr>
          <w:rStyle w:val="FootnoteReference"/>
        </w:rPr>
        <w:footnoteReference w:id="2"/>
      </w:r>
      <w:r w:rsidR="00875572">
        <w:t xml:space="preserve"> </w:t>
      </w:r>
      <w:r w:rsidR="00ED7EC4">
        <w:t xml:space="preserve"> </w:t>
      </w:r>
      <w:r w:rsidR="00635E53">
        <w:t xml:space="preserve">He was convicted of committing these crimes against Jane Doe </w:t>
      </w:r>
      <w:r w:rsidR="002A7077">
        <w:t>w</w:t>
      </w:r>
      <w:r w:rsidR="00BD0CC4">
        <w:t>hen</w:t>
      </w:r>
      <w:r w:rsidR="00635E53">
        <w:t xml:space="preserve"> </w:t>
      </w:r>
      <w:r w:rsidR="002A7077">
        <w:t xml:space="preserve">she was </w:t>
      </w:r>
      <w:r w:rsidR="00635E53">
        <w:t xml:space="preserve">11 years old. </w:t>
      </w:r>
      <w:r w:rsidR="00CA6E57">
        <w:t xml:space="preserve"> </w:t>
      </w:r>
      <w:r w:rsidR="006E387E">
        <w:t>Jane</w:t>
      </w:r>
      <w:r w:rsidR="00635E53">
        <w:t xml:space="preserve"> is </w:t>
      </w:r>
      <w:r w:rsidR="00BD0CC4">
        <w:t xml:space="preserve">defendant’s </w:t>
      </w:r>
      <w:r w:rsidR="00635E53">
        <w:t xml:space="preserve">niece; </w:t>
      </w:r>
      <w:r w:rsidR="00562F20">
        <w:t>her</w:t>
      </w:r>
      <w:r w:rsidR="006E387E">
        <w:t xml:space="preserve"> mother Janeth is the sister of </w:t>
      </w:r>
      <w:r w:rsidR="00BD0CC4">
        <w:t xml:space="preserve">defendant’s </w:t>
      </w:r>
      <w:r w:rsidR="006E387E">
        <w:t xml:space="preserve">ex-wife, Elizabeth.  </w:t>
      </w:r>
    </w:p>
    <w:p w14:paraId="7A0710FF" w14:textId="6B1E8F27" w:rsidR="00503691" w:rsidRDefault="00BD0CC4" w:rsidP="00AC354B">
      <w:pPr>
        <w:spacing w:line="360" w:lineRule="auto"/>
        <w:contextualSpacing/>
      </w:pPr>
      <w:r>
        <w:tab/>
      </w:r>
      <w:r w:rsidR="00875572">
        <w:t xml:space="preserve">On appeal, </w:t>
      </w:r>
      <w:r w:rsidR="005D24E8">
        <w:t xml:space="preserve">defendant </w:t>
      </w:r>
      <w:r w:rsidR="00201396">
        <w:t xml:space="preserve">contends that the trial court erred by denying his motion for </w:t>
      </w:r>
      <w:r>
        <w:t xml:space="preserve">a </w:t>
      </w:r>
      <w:r w:rsidR="00201396">
        <w:t>new trial based on newly discovered evidence</w:t>
      </w:r>
      <w:r w:rsidR="00FC0541">
        <w:t xml:space="preserve"> that Elizabeth </w:t>
      </w:r>
      <w:r w:rsidR="006E387E">
        <w:t>and</w:t>
      </w:r>
      <w:r w:rsidR="00FC0541">
        <w:t xml:space="preserve"> Janeth</w:t>
      </w:r>
      <w:r w:rsidR="006E387E">
        <w:t xml:space="preserve"> devised a plan for Jane to</w:t>
      </w:r>
      <w:r w:rsidR="00FC0541">
        <w:t xml:space="preserve"> falsely accuse </w:t>
      </w:r>
      <w:r w:rsidR="005D24E8">
        <w:t>defendant</w:t>
      </w:r>
      <w:r w:rsidR="00FC0541">
        <w:t xml:space="preserve"> of abusing </w:t>
      </w:r>
      <w:r w:rsidR="006E387E">
        <w:t>her</w:t>
      </w:r>
      <w:r w:rsidR="00201396">
        <w:t xml:space="preserve">.  </w:t>
      </w:r>
      <w:r w:rsidR="00635E53">
        <w:t xml:space="preserve">Because we find the trial court prejudicially </w:t>
      </w:r>
      <w:r>
        <w:t xml:space="preserve">erred </w:t>
      </w:r>
      <w:r w:rsidR="00635E53">
        <w:t>when ruling on the new trial motion, we</w:t>
      </w:r>
      <w:r w:rsidR="00FC0541">
        <w:t xml:space="preserve"> </w:t>
      </w:r>
      <w:r w:rsidR="00A32108">
        <w:t xml:space="preserve">vacate </w:t>
      </w:r>
      <w:r w:rsidR="00201396">
        <w:t>the judgment</w:t>
      </w:r>
      <w:r w:rsidR="00FC0541">
        <w:t xml:space="preserve"> and remand for further proceedings.</w:t>
      </w:r>
    </w:p>
    <w:p w14:paraId="54042640" w14:textId="5054B23A" w:rsidR="00201396" w:rsidRPr="00201396" w:rsidRDefault="00F51AE8" w:rsidP="00AC354B">
      <w:pPr>
        <w:keepNext/>
        <w:spacing w:line="360" w:lineRule="auto"/>
        <w:contextualSpacing/>
        <w:jc w:val="center"/>
        <w:rPr>
          <w:b/>
          <w:bCs/>
        </w:rPr>
      </w:pPr>
      <w:r>
        <w:rPr>
          <w:b/>
          <w:bCs/>
        </w:rPr>
        <w:lastRenderedPageBreak/>
        <w:t xml:space="preserve">FACTUAL AND PROCEDURAL </w:t>
      </w:r>
      <w:r w:rsidR="00201396" w:rsidRPr="00201396">
        <w:rPr>
          <w:b/>
          <w:bCs/>
        </w:rPr>
        <w:t>BACKGROUND</w:t>
      </w:r>
    </w:p>
    <w:p w14:paraId="4FFACDA0" w14:textId="574CF5A0" w:rsidR="001F7EA3" w:rsidRDefault="001F7EA3" w:rsidP="00AC354B">
      <w:pPr>
        <w:spacing w:line="360" w:lineRule="auto"/>
        <w:contextualSpacing/>
      </w:pPr>
      <w:r>
        <w:tab/>
      </w:r>
      <w:r w:rsidR="00ED7EC4">
        <w:t xml:space="preserve">The incident that gave rise to </w:t>
      </w:r>
      <w:r w:rsidR="00F51AE8">
        <w:t xml:space="preserve">this case </w:t>
      </w:r>
      <w:r w:rsidR="00ED7EC4">
        <w:t>occurred on September 8, 2018</w:t>
      </w:r>
      <w:r w:rsidR="008661E1">
        <w:t xml:space="preserve"> and was first reported to </w:t>
      </w:r>
      <w:r w:rsidR="00F51AE8">
        <w:t xml:space="preserve">the police on July 23, 2019.  Within a week of the report, a complaint was filed against </w:t>
      </w:r>
      <w:r w:rsidR="005D24E8">
        <w:t>defendant</w:t>
      </w:r>
      <w:r w:rsidR="008661E1">
        <w:t>,</w:t>
      </w:r>
      <w:r w:rsidR="00F51AE8">
        <w:t xml:space="preserve"> </w:t>
      </w:r>
      <w:r w:rsidR="00BD0CC4">
        <w:t xml:space="preserve">he was arrested </w:t>
      </w:r>
      <w:r w:rsidR="00F51AE8">
        <w:t xml:space="preserve">and </w:t>
      </w:r>
      <w:r w:rsidR="00BD0CC4">
        <w:t>t</w:t>
      </w:r>
      <w:r w:rsidR="00F51AE8">
        <w:t>he</w:t>
      </w:r>
      <w:r w:rsidR="00BD0CC4">
        <w:t>n</w:t>
      </w:r>
      <w:r w:rsidR="00F51AE8">
        <w:t xml:space="preserve"> released on bail.  Following the filing of an amended information, a jury trial was held in November and December 2022. </w:t>
      </w:r>
      <w:r w:rsidR="00A11986">
        <w:t xml:space="preserve"> </w:t>
      </w:r>
      <w:r w:rsidR="005C0D50">
        <w:t xml:space="preserve">The People called two witnesses, Jane Doe and her older sister Melissa.  </w:t>
      </w:r>
      <w:r w:rsidR="005D24E8">
        <w:t>Defendant</w:t>
      </w:r>
      <w:r w:rsidR="005C0D50">
        <w:t xml:space="preserve"> call</w:t>
      </w:r>
      <w:r w:rsidR="002A7077">
        <w:t>ed</w:t>
      </w:r>
      <w:r w:rsidR="005C0D50">
        <w:t xml:space="preserve"> </w:t>
      </w:r>
      <w:r w:rsidR="002A7077">
        <w:t xml:space="preserve">no </w:t>
      </w:r>
      <w:r w:rsidR="005C0D50">
        <w:t>witness</w:t>
      </w:r>
      <w:r w:rsidR="002A7077">
        <w:t>es</w:t>
      </w:r>
      <w:r w:rsidR="008661E1">
        <w:t>.</w:t>
      </w:r>
    </w:p>
    <w:p w14:paraId="224DE289" w14:textId="2FD1DAF2" w:rsidR="00EE70E9" w:rsidRDefault="008C1BA6" w:rsidP="00AC354B">
      <w:pPr>
        <w:keepNext/>
        <w:spacing w:line="360" w:lineRule="auto"/>
        <w:contextualSpacing/>
        <w:rPr>
          <w:b/>
          <w:bCs/>
          <w:i/>
          <w:iCs/>
        </w:rPr>
      </w:pPr>
      <w:r w:rsidRPr="007D637A">
        <w:rPr>
          <w:b/>
          <w:bCs/>
          <w:i/>
          <w:iCs/>
        </w:rPr>
        <w:t>Excluded Witnesses</w:t>
      </w:r>
    </w:p>
    <w:p w14:paraId="5BF3084A" w14:textId="000C15FD" w:rsidR="007D637A" w:rsidRPr="007D637A" w:rsidRDefault="007D637A" w:rsidP="00AC354B">
      <w:pPr>
        <w:spacing w:line="360" w:lineRule="auto"/>
        <w:contextualSpacing/>
      </w:pPr>
      <w:r>
        <w:rPr>
          <w:b/>
          <w:bCs/>
          <w:i/>
          <w:iCs/>
        </w:rPr>
        <w:tab/>
      </w:r>
      <w:r w:rsidR="008661E1">
        <w:t>The trial court granted the</w:t>
      </w:r>
      <w:r w:rsidR="005C0D50">
        <w:t xml:space="preserve"> People’s motions in limine</w:t>
      </w:r>
      <w:r w:rsidR="008661E1">
        <w:t xml:space="preserve"> to</w:t>
      </w:r>
      <w:r w:rsidR="005C0D50">
        <w:t xml:space="preserve"> exclude </w:t>
      </w:r>
      <w:r w:rsidR="00E02C55">
        <w:t xml:space="preserve">testimony </w:t>
      </w:r>
      <w:r w:rsidR="00A10FCF">
        <w:t>by</w:t>
      </w:r>
      <w:r w:rsidR="00E02C55">
        <w:t xml:space="preserve"> two </w:t>
      </w:r>
      <w:r w:rsidR="00F05B4B">
        <w:t xml:space="preserve">defense </w:t>
      </w:r>
      <w:r w:rsidR="00E02C55">
        <w:t xml:space="preserve">witnesses:  </w:t>
      </w:r>
      <w:r w:rsidR="005D24E8">
        <w:t>defendant</w:t>
      </w:r>
      <w:r w:rsidR="00E02C55">
        <w:t>’s 12 year-old son</w:t>
      </w:r>
      <w:r w:rsidR="005C0D50">
        <w:t>, John Doe</w:t>
      </w:r>
      <w:r w:rsidR="00E02C55">
        <w:t>; and</w:t>
      </w:r>
      <w:r w:rsidR="00A10FCF">
        <w:t xml:space="preserve"> Victoria, the maternal grandmother of </w:t>
      </w:r>
      <w:r w:rsidR="00F6073F">
        <w:t xml:space="preserve">both </w:t>
      </w:r>
      <w:r w:rsidR="00CA6E57">
        <w:t xml:space="preserve">John </w:t>
      </w:r>
      <w:r w:rsidR="00B66CC9">
        <w:t xml:space="preserve">Doe </w:t>
      </w:r>
      <w:r w:rsidR="00CA6E57">
        <w:t xml:space="preserve">and </w:t>
      </w:r>
      <w:r w:rsidR="00A10FCF">
        <w:t xml:space="preserve">Jane Doe.  </w:t>
      </w:r>
    </w:p>
    <w:p w14:paraId="073780F7" w14:textId="6585725E" w:rsidR="00680450" w:rsidRDefault="00EE70E9" w:rsidP="00AC354B">
      <w:pPr>
        <w:spacing w:line="360" w:lineRule="auto"/>
        <w:contextualSpacing/>
      </w:pPr>
      <w:r>
        <w:tab/>
        <w:t xml:space="preserve">The defense </w:t>
      </w:r>
      <w:r w:rsidR="008B54A7">
        <w:t xml:space="preserve">had </w:t>
      </w:r>
      <w:r>
        <w:t>proposed to elicit testimony</w:t>
      </w:r>
      <w:r w:rsidR="00E704A5">
        <w:t xml:space="preserve"> from these </w:t>
      </w:r>
      <w:r w:rsidR="00B66CC9">
        <w:t xml:space="preserve">other family members </w:t>
      </w:r>
      <w:r w:rsidR="00E704A5">
        <w:t>that</w:t>
      </w:r>
      <w:r w:rsidR="00A10FCF">
        <w:t xml:space="preserve"> </w:t>
      </w:r>
      <w:r w:rsidR="00E704A5">
        <w:t xml:space="preserve">Jane’s </w:t>
      </w:r>
      <w:r w:rsidR="00A10FCF">
        <w:t xml:space="preserve">mother, Janeth, had asked </w:t>
      </w:r>
      <w:r w:rsidR="00B66CC9">
        <w:t xml:space="preserve">them </w:t>
      </w:r>
      <w:r w:rsidR="00A10FCF">
        <w:t xml:space="preserve">to lie about </w:t>
      </w:r>
      <w:r w:rsidR="005D24E8">
        <w:t>defendant</w:t>
      </w:r>
      <w:r w:rsidR="00556CC3">
        <w:t xml:space="preserve"> in order to “falsely implicate” him. </w:t>
      </w:r>
      <w:r w:rsidR="00A10FCF">
        <w:t xml:space="preserve"> </w:t>
      </w:r>
      <w:r w:rsidR="005C0D50">
        <w:t xml:space="preserve">As an offer of proof, the defense stated that </w:t>
      </w:r>
      <w:r>
        <w:t xml:space="preserve">John </w:t>
      </w:r>
      <w:r w:rsidR="00A10FCF">
        <w:t>would testify that Janeth asked him</w:t>
      </w:r>
      <w:r>
        <w:t xml:space="preserve"> to tell the police that </w:t>
      </w:r>
      <w:r w:rsidR="005D24E8">
        <w:t>defendant</w:t>
      </w:r>
      <w:r>
        <w:t xml:space="preserve"> touched him in “inappropriate places</w:t>
      </w:r>
      <w:r w:rsidR="00B66CC9">
        <w:t>,</w:t>
      </w:r>
      <w:r>
        <w:t>” even though that had not happened</w:t>
      </w:r>
      <w:r w:rsidR="00A10FCF">
        <w:t xml:space="preserve">. </w:t>
      </w:r>
      <w:r w:rsidR="003D2F99">
        <w:t xml:space="preserve"> </w:t>
      </w:r>
      <w:r w:rsidR="00A10FCF">
        <w:t xml:space="preserve">Defense counsel proposed to show that this conversation occurred </w:t>
      </w:r>
      <w:r w:rsidR="003D2F99">
        <w:t xml:space="preserve">before </w:t>
      </w:r>
      <w:r w:rsidR="00A10FCF">
        <w:t xml:space="preserve">Janeth reported to the police that </w:t>
      </w:r>
      <w:r w:rsidR="005D24E8">
        <w:t>defendant</w:t>
      </w:r>
      <w:r w:rsidR="00A10FCF">
        <w:t xml:space="preserve"> had </w:t>
      </w:r>
      <w:r w:rsidR="003D2F99">
        <w:t xml:space="preserve">abused Jane. </w:t>
      </w:r>
      <w:r>
        <w:t xml:space="preserve"> </w:t>
      </w:r>
      <w:r w:rsidR="00556CC3">
        <w:t xml:space="preserve">Victoria would testify that </w:t>
      </w:r>
      <w:r w:rsidR="008661E1">
        <w:t xml:space="preserve">on the same day the police were contacted, </w:t>
      </w:r>
      <w:r w:rsidR="00556CC3">
        <w:t xml:space="preserve">Janeth asked her to lie to the police </w:t>
      </w:r>
      <w:r w:rsidR="008661E1">
        <w:t xml:space="preserve">by stating that </w:t>
      </w:r>
      <w:r w:rsidR="00556CC3">
        <w:t>Jane</w:t>
      </w:r>
      <w:r w:rsidR="00F05B4B">
        <w:t xml:space="preserve"> Doe</w:t>
      </w:r>
      <w:r w:rsidR="008661E1">
        <w:t>’s</w:t>
      </w:r>
      <w:r w:rsidR="00556CC3">
        <w:t xml:space="preserve"> behavior </w:t>
      </w:r>
      <w:r w:rsidR="008661E1">
        <w:t xml:space="preserve">toward </w:t>
      </w:r>
      <w:r w:rsidR="005D24E8">
        <w:t>defendant</w:t>
      </w:r>
      <w:r w:rsidR="00556CC3">
        <w:t xml:space="preserve"> </w:t>
      </w:r>
      <w:r w:rsidR="008661E1">
        <w:t xml:space="preserve">changed </w:t>
      </w:r>
      <w:r w:rsidR="00556CC3">
        <w:t xml:space="preserve">after September 2018.  </w:t>
      </w:r>
    </w:p>
    <w:p w14:paraId="72D11936" w14:textId="6A8A64CD" w:rsidR="00EE70E9" w:rsidRDefault="000726D8" w:rsidP="00AC354B">
      <w:pPr>
        <w:spacing w:line="360" w:lineRule="auto"/>
        <w:contextualSpacing/>
      </w:pPr>
      <w:r>
        <w:tab/>
        <w:t xml:space="preserve">The trial court </w:t>
      </w:r>
      <w:r w:rsidR="005C0D50">
        <w:t xml:space="preserve">found that John Doe’s testimony was </w:t>
      </w:r>
      <w:r w:rsidR="00E83ACC">
        <w:t xml:space="preserve">potentially </w:t>
      </w:r>
      <w:r w:rsidR="005C0D50">
        <w:t xml:space="preserve">relevant to the defense theory that Jane Doe made up a story about </w:t>
      </w:r>
      <w:r w:rsidR="005D24E8">
        <w:t>defendant</w:t>
      </w:r>
      <w:r w:rsidR="005C0D50">
        <w:t xml:space="preserve"> at the behest of Janeth, who harbored personal animus toward </w:t>
      </w:r>
      <w:r w:rsidR="005D24E8">
        <w:t>defendant</w:t>
      </w:r>
      <w:r w:rsidR="005C0D50">
        <w:t xml:space="preserve">. </w:t>
      </w:r>
      <w:r w:rsidR="00E83ACC">
        <w:t xml:space="preserve"> </w:t>
      </w:r>
      <w:r w:rsidR="005C0D50">
        <w:t xml:space="preserve">However, the court </w:t>
      </w:r>
      <w:r>
        <w:t>excluded John Doe’s testimony under Evidence Code section 352</w:t>
      </w:r>
      <w:r w:rsidR="00F05B4B">
        <w:t>, finding</w:t>
      </w:r>
      <w:r>
        <w:t xml:space="preserve"> “no clear nexus</w:t>
      </w:r>
      <w:r w:rsidR="00CA6E57">
        <w:t>”</w:t>
      </w:r>
      <w:r>
        <w:t xml:space="preserve"> between </w:t>
      </w:r>
      <w:r w:rsidR="00CA6E57">
        <w:t xml:space="preserve">“the complaining witness” and </w:t>
      </w:r>
      <w:r>
        <w:t>conversations Janeth had with John Doe</w:t>
      </w:r>
      <w:r w:rsidR="00CA6E57">
        <w:t xml:space="preserve">. </w:t>
      </w:r>
      <w:r w:rsidR="00E83ACC">
        <w:t xml:space="preserve"> </w:t>
      </w:r>
      <w:r>
        <w:t xml:space="preserve">The </w:t>
      </w:r>
      <w:r>
        <w:lastRenderedPageBreak/>
        <w:t>court reasoned there was no evidence Jane Doe even knew about the conversation</w:t>
      </w:r>
      <w:r w:rsidR="00B66CC9">
        <w:t xml:space="preserve"> between her mother and her cousin</w:t>
      </w:r>
      <w:r w:rsidR="00E83ACC">
        <w:t>,</w:t>
      </w:r>
      <w:r w:rsidR="007A0ED6">
        <w:t xml:space="preserve"> and since Jane Doe was the complaining witness, it was her credibility that was at stake, not the credibility of her mother.  Moreover, Janeth was not expected to testify, and allowing testimony about her lack of credibility would be unduly time-consuming and potentially prejudicial to Jane Doe.  For the same reasons, the court excluded testimony</w:t>
      </w:r>
      <w:r w:rsidR="00E83ACC">
        <w:t xml:space="preserve"> regarding</w:t>
      </w:r>
      <w:r w:rsidR="007A0ED6">
        <w:t xml:space="preserve"> Victoria</w:t>
      </w:r>
      <w:r w:rsidR="00E83ACC">
        <w:t>’s</w:t>
      </w:r>
      <w:r w:rsidR="007A0ED6">
        <w:t xml:space="preserve"> conversations with Janeth.  </w:t>
      </w:r>
    </w:p>
    <w:p w14:paraId="3C662E21" w14:textId="4268C271" w:rsidR="00EE70E9" w:rsidRPr="00E704A5" w:rsidRDefault="00E704A5" w:rsidP="00AC354B">
      <w:pPr>
        <w:keepNext/>
        <w:spacing w:line="360" w:lineRule="auto"/>
        <w:contextualSpacing/>
        <w:rPr>
          <w:b/>
          <w:bCs/>
          <w:i/>
          <w:iCs/>
        </w:rPr>
      </w:pPr>
      <w:r w:rsidRPr="00E704A5">
        <w:rPr>
          <w:b/>
          <w:bCs/>
          <w:i/>
          <w:iCs/>
        </w:rPr>
        <w:t>The Prosecution Case</w:t>
      </w:r>
    </w:p>
    <w:p w14:paraId="2010B0BE" w14:textId="64254EC9" w:rsidR="00630F9E" w:rsidRDefault="00E704A5" w:rsidP="00AC354B">
      <w:pPr>
        <w:spacing w:line="360" w:lineRule="auto"/>
        <w:contextualSpacing/>
      </w:pPr>
      <w:r>
        <w:tab/>
      </w:r>
      <w:r w:rsidR="00CE2645">
        <w:t>T</w:t>
      </w:r>
      <w:r w:rsidR="001F7EA3">
        <w:t>he People called Melissa</w:t>
      </w:r>
      <w:r w:rsidR="005C0D50">
        <w:t xml:space="preserve"> as their first witness, and then Jane</w:t>
      </w:r>
      <w:r>
        <w:t>.</w:t>
      </w:r>
      <w:r w:rsidR="00851139">
        <w:t xml:space="preserve"> </w:t>
      </w:r>
      <w:r w:rsidR="00630F9E">
        <w:t xml:space="preserve"> </w:t>
      </w:r>
      <w:r w:rsidR="00CE2645">
        <w:t xml:space="preserve">At the time of trial </w:t>
      </w:r>
      <w:r w:rsidR="00851139">
        <w:t>Melissa was 19</w:t>
      </w:r>
      <w:r w:rsidR="00630F9E">
        <w:t>, and Jane was 15.</w:t>
      </w:r>
      <w:r w:rsidR="004C7AA9">
        <w:t xml:space="preserve"> </w:t>
      </w:r>
      <w:r w:rsidR="00851139">
        <w:t xml:space="preserve"> </w:t>
      </w:r>
      <w:r w:rsidR="002C2C16">
        <w:t xml:space="preserve">In September 2018, they lived with their parents in an apartment complex in Oakland.  Their aunt Elizabeth lived one floor up in the same complex, in an apartment with </w:t>
      </w:r>
      <w:r w:rsidR="005D24E8">
        <w:t>defendant</w:t>
      </w:r>
      <w:r w:rsidR="002C2C16">
        <w:t xml:space="preserve"> and the couple’s three children. </w:t>
      </w:r>
      <w:r>
        <w:t xml:space="preserve"> </w:t>
      </w:r>
      <w:r w:rsidR="002C2C16">
        <w:t>The two families “saw each other very often</w:t>
      </w:r>
      <w:r w:rsidR="000F5735">
        <w:t>”</w:t>
      </w:r>
      <w:r w:rsidR="002C2C16">
        <w:t xml:space="preserve"> and </w:t>
      </w:r>
      <w:r w:rsidR="000F5735">
        <w:t>“</w:t>
      </w:r>
      <w:r w:rsidR="002C2C16">
        <w:t xml:space="preserve">were very close.” </w:t>
      </w:r>
    </w:p>
    <w:p w14:paraId="79AF06EC" w14:textId="2BB14545" w:rsidR="00630F9E" w:rsidRPr="00630F9E" w:rsidRDefault="00630F9E" w:rsidP="00AC354B">
      <w:pPr>
        <w:keepNext/>
        <w:spacing w:line="360" w:lineRule="auto"/>
        <w:contextualSpacing/>
        <w:rPr>
          <w:b/>
          <w:bCs/>
          <w:i/>
          <w:iCs/>
        </w:rPr>
      </w:pPr>
      <w:r>
        <w:tab/>
      </w:r>
      <w:r w:rsidRPr="00630F9E">
        <w:rPr>
          <w:b/>
          <w:bCs/>
          <w:i/>
          <w:iCs/>
        </w:rPr>
        <w:t>Mel</w:t>
      </w:r>
      <w:r w:rsidR="0012393B">
        <w:rPr>
          <w:b/>
          <w:bCs/>
          <w:i/>
          <w:iCs/>
        </w:rPr>
        <w:t>issa</w:t>
      </w:r>
    </w:p>
    <w:p w14:paraId="55F38D44" w14:textId="305B4CD2" w:rsidR="001F7EA3" w:rsidRDefault="00630F9E" w:rsidP="00AC354B">
      <w:pPr>
        <w:spacing w:line="360" w:lineRule="auto"/>
        <w:contextualSpacing/>
      </w:pPr>
      <w:r>
        <w:tab/>
      </w:r>
      <w:r w:rsidR="004A30F2">
        <w:t>Melissa testified that on</w:t>
      </w:r>
      <w:r>
        <w:t xml:space="preserve"> September 9, 2018, Jane asked to speak with </w:t>
      </w:r>
      <w:r w:rsidR="004A30F2">
        <w:t>her</w:t>
      </w:r>
      <w:r>
        <w:t xml:space="preserve"> about something. </w:t>
      </w:r>
      <w:r w:rsidR="00372BE6">
        <w:t xml:space="preserve"> </w:t>
      </w:r>
      <w:r w:rsidR="004A30F2">
        <w:t>Jane</w:t>
      </w:r>
      <w:r>
        <w:t xml:space="preserve"> was nervous and upset, holding back tears</w:t>
      </w:r>
      <w:r w:rsidR="00814906">
        <w:t xml:space="preserve">. </w:t>
      </w:r>
      <w:r>
        <w:t xml:space="preserve"> Melissa took her into the bathroom where she </w:t>
      </w:r>
      <w:r w:rsidR="0004606F">
        <w:t xml:space="preserve">started crying and kept asking Melissa not to tell anybody about their conversation. </w:t>
      </w:r>
      <w:r w:rsidR="008B54A7">
        <w:t xml:space="preserve"> </w:t>
      </w:r>
      <w:r w:rsidR="0004606F">
        <w:t>On</w:t>
      </w:r>
      <w:r w:rsidR="00814906">
        <w:t>c</w:t>
      </w:r>
      <w:r w:rsidR="0004606F">
        <w:t xml:space="preserve">e Melissa calmed her down, Jane </w:t>
      </w:r>
      <w:r w:rsidR="00A62C65">
        <w:t xml:space="preserve">told her </w:t>
      </w:r>
      <w:r w:rsidR="005D24E8">
        <w:t>defendant</w:t>
      </w:r>
      <w:r w:rsidR="00372BE6">
        <w:t xml:space="preserve"> had made her “uncomfortable” the previous night</w:t>
      </w:r>
      <w:r w:rsidR="00D833E0">
        <w:t xml:space="preserve"> when she was at his apartment</w:t>
      </w:r>
      <w:r w:rsidR="00A62C65">
        <w:t>,</w:t>
      </w:r>
      <w:r w:rsidR="00D833E0">
        <w:t xml:space="preserve"> helping to take care of his kids while their</w:t>
      </w:r>
      <w:r w:rsidR="002C3D1F">
        <w:t xml:space="preserve"> aunt Elizabet</w:t>
      </w:r>
      <w:r w:rsidR="00A11986">
        <w:t>h</w:t>
      </w:r>
      <w:r w:rsidR="002C3D1F">
        <w:t xml:space="preserve"> </w:t>
      </w:r>
      <w:r w:rsidR="00D833E0">
        <w:t xml:space="preserve">was </w:t>
      </w:r>
      <w:r w:rsidR="002C3D1F">
        <w:t>out with other family members</w:t>
      </w:r>
      <w:r w:rsidR="00372BE6">
        <w:t xml:space="preserve">.  </w:t>
      </w:r>
    </w:p>
    <w:p w14:paraId="0B32CE4C" w14:textId="316F5188" w:rsidR="0004606F" w:rsidRDefault="0004606F" w:rsidP="00AC354B">
      <w:pPr>
        <w:spacing w:line="360" w:lineRule="auto"/>
        <w:contextualSpacing/>
      </w:pPr>
      <w:r>
        <w:tab/>
      </w:r>
      <w:r w:rsidR="00814906">
        <w:t xml:space="preserve">Melissa </w:t>
      </w:r>
      <w:r w:rsidR="00D833E0">
        <w:t>told</w:t>
      </w:r>
      <w:r w:rsidR="005357F2">
        <w:t xml:space="preserve"> the jury what she recalled Jane telling her about the incident with </w:t>
      </w:r>
      <w:r w:rsidR="005D24E8">
        <w:t>defendant</w:t>
      </w:r>
      <w:r w:rsidR="005357F2">
        <w:t xml:space="preserve">:  </w:t>
      </w:r>
      <w:r>
        <w:t>Jane had gone to sleep in her aunt and uncle’s bed</w:t>
      </w:r>
      <w:r w:rsidR="00814906">
        <w:t>,</w:t>
      </w:r>
      <w:r>
        <w:t xml:space="preserve"> </w:t>
      </w:r>
      <w:r w:rsidR="00E83ACC">
        <w:t xml:space="preserve">while </w:t>
      </w:r>
      <w:r w:rsidR="005D24E8">
        <w:t>defendant</w:t>
      </w:r>
      <w:r w:rsidR="00E83ACC">
        <w:t xml:space="preserve"> went to take a shower.  </w:t>
      </w:r>
      <w:r w:rsidR="00452596">
        <w:t xml:space="preserve">After he came out of the shower and </w:t>
      </w:r>
      <w:r>
        <w:t xml:space="preserve">“clothed himself,” </w:t>
      </w:r>
      <w:r w:rsidR="005D24E8">
        <w:t>defendant</w:t>
      </w:r>
      <w:r w:rsidR="00452596">
        <w:t xml:space="preserve"> laid in the bed with Jane. </w:t>
      </w:r>
      <w:r>
        <w:t xml:space="preserve"> </w:t>
      </w:r>
      <w:r w:rsidR="00452596">
        <w:t xml:space="preserve">They were talking and </w:t>
      </w:r>
      <w:r w:rsidR="00814906">
        <w:t xml:space="preserve">Jane was trying to </w:t>
      </w:r>
      <w:r w:rsidR="00452596">
        <w:t xml:space="preserve">go to </w:t>
      </w:r>
      <w:r w:rsidR="00814906">
        <w:t xml:space="preserve">sleep when </w:t>
      </w:r>
      <w:r w:rsidR="005D24E8">
        <w:t>defendant</w:t>
      </w:r>
      <w:r w:rsidR="00814906">
        <w:t xml:space="preserve"> showed her an </w:t>
      </w:r>
      <w:r w:rsidR="00814906">
        <w:lastRenderedPageBreak/>
        <w:t>“inappropriate video” that “might have involved people kissing</w:t>
      </w:r>
      <w:r w:rsidR="002C2C16">
        <w:t>,”</w:t>
      </w:r>
      <w:r w:rsidR="00814906">
        <w:t xml:space="preserve"> or Jane</w:t>
      </w:r>
      <w:r w:rsidR="002C2C16">
        <w:t xml:space="preserve"> may have</w:t>
      </w:r>
      <w:r w:rsidR="00814906">
        <w:t xml:space="preserve"> just </w:t>
      </w:r>
      <w:r w:rsidR="002C2C16">
        <w:t>told Melissa that</w:t>
      </w:r>
      <w:r w:rsidR="00814906">
        <w:t xml:space="preserve"> it was </w:t>
      </w:r>
      <w:r w:rsidR="002C2C16">
        <w:t>“</w:t>
      </w:r>
      <w:r w:rsidR="00814906">
        <w:t xml:space="preserve">inappropriate and she felt uncomfortable.”  </w:t>
      </w:r>
      <w:r w:rsidR="004A30F2">
        <w:t xml:space="preserve">Jane </w:t>
      </w:r>
      <w:r w:rsidR="002C2C16">
        <w:t>told Melissa</w:t>
      </w:r>
      <w:r w:rsidR="004A30F2">
        <w:t xml:space="preserve"> that </w:t>
      </w:r>
      <w:r w:rsidR="005D24E8">
        <w:t>defendant</w:t>
      </w:r>
      <w:r w:rsidR="00814906">
        <w:t xml:space="preserve"> </w:t>
      </w:r>
      <w:r w:rsidR="008B6550">
        <w:t xml:space="preserve">asked </w:t>
      </w:r>
      <w:r w:rsidR="004A30F2">
        <w:t>her if she</w:t>
      </w:r>
      <w:r w:rsidR="008B6550">
        <w:t xml:space="preserve"> knew w</w:t>
      </w:r>
      <w:r w:rsidR="004A30F2">
        <w:t xml:space="preserve">hat </w:t>
      </w:r>
      <w:r w:rsidR="008B6550">
        <w:t>“sex” was</w:t>
      </w:r>
      <w:r w:rsidR="004A30F2">
        <w:t>,</w:t>
      </w:r>
      <w:r w:rsidR="008B6550">
        <w:t xml:space="preserve"> and when she said </w:t>
      </w:r>
      <w:r w:rsidR="004A30F2">
        <w:t>“</w:t>
      </w:r>
      <w:r w:rsidR="00705469">
        <w:t> ‘</w:t>
      </w:r>
      <w:r w:rsidR="008B6550">
        <w:t>no</w:t>
      </w:r>
      <w:r w:rsidR="00705469">
        <w:t>’ </w:t>
      </w:r>
      <w:r w:rsidR="004A30F2">
        <w:t>”</w:t>
      </w:r>
      <w:r w:rsidR="008B6550">
        <w:t xml:space="preserve"> he “pointed out where it happened on her body.”  </w:t>
      </w:r>
      <w:r w:rsidR="005E0FAC">
        <w:t>D</w:t>
      </w:r>
      <w:r w:rsidR="005D24E8">
        <w:t>efendant</w:t>
      </w:r>
      <w:r w:rsidR="008B6550">
        <w:t xml:space="preserve"> also touched </w:t>
      </w:r>
      <w:r w:rsidR="004A30F2">
        <w:t>Jane’s</w:t>
      </w:r>
      <w:r w:rsidR="008B6550">
        <w:t xml:space="preserve"> leg and asked if she wanted to “cuddle.”  After Jane </w:t>
      </w:r>
      <w:r w:rsidR="005E0FAC">
        <w:t>turned him down</w:t>
      </w:r>
      <w:r w:rsidR="008B6550">
        <w:t xml:space="preserve">, </w:t>
      </w:r>
      <w:r w:rsidR="005D24E8">
        <w:t>defendant</w:t>
      </w:r>
      <w:r w:rsidR="008B6550">
        <w:t xml:space="preserve"> went to sleep on the couch. </w:t>
      </w:r>
    </w:p>
    <w:p w14:paraId="3C804D35" w14:textId="1DEA9839" w:rsidR="002C2C16" w:rsidRDefault="008B6550" w:rsidP="00AC354B">
      <w:pPr>
        <w:spacing w:line="360" w:lineRule="auto"/>
        <w:contextualSpacing/>
      </w:pPr>
      <w:r>
        <w:tab/>
      </w:r>
      <w:r w:rsidR="00ED3B17">
        <w:t xml:space="preserve">Melissa testified that she recorded a portion of her conversation with Jane on her phone. </w:t>
      </w:r>
      <w:r w:rsidR="00276B2A">
        <w:t xml:space="preserve"> S</w:t>
      </w:r>
      <w:r w:rsidR="00ED3B17">
        <w:t>he</w:t>
      </w:r>
      <w:r w:rsidR="00157E72" w:rsidRPr="00157E72">
        <w:t xml:space="preserve"> </w:t>
      </w:r>
      <w:r w:rsidR="00157E72">
        <w:t>explained that she recorded only part of the conversation because she wanted to “listen to her first.”  She</w:t>
      </w:r>
      <w:r w:rsidR="0012393B">
        <w:t xml:space="preserve"> s</w:t>
      </w:r>
      <w:r>
        <w:t xml:space="preserve">tarted recording once she realized she was going to have to tell someone about </w:t>
      </w:r>
      <w:r w:rsidR="008B54A7">
        <w:t>the incident</w:t>
      </w:r>
      <w:r>
        <w:t xml:space="preserve"> </w:t>
      </w:r>
      <w:r w:rsidR="002C2C16">
        <w:t xml:space="preserve">because </w:t>
      </w:r>
      <w:r>
        <w:t xml:space="preserve">having the video would make it more likely people would believe Jane. </w:t>
      </w:r>
      <w:r w:rsidR="00276B2A">
        <w:t xml:space="preserve"> </w:t>
      </w:r>
      <w:r w:rsidR="002C2C16">
        <w:t xml:space="preserve">Melissa acknowledged that Jane </w:t>
      </w:r>
      <w:r w:rsidR="00276B2A">
        <w:t xml:space="preserve">had lied to the family before. </w:t>
      </w:r>
      <w:r w:rsidR="00ED3B17" w:rsidRPr="00ED3B17">
        <w:t xml:space="preserve"> </w:t>
      </w:r>
      <w:r w:rsidR="00ED3B17">
        <w:t xml:space="preserve">The </w:t>
      </w:r>
      <w:r w:rsidR="00276B2A">
        <w:t xml:space="preserve">audio </w:t>
      </w:r>
      <w:r w:rsidR="00ED3B17">
        <w:t>recording, which was played for the jury, did not describe abusive conduct</w:t>
      </w:r>
      <w:r w:rsidR="00276B2A">
        <w:t>,</w:t>
      </w:r>
      <w:r w:rsidR="00ED3B17">
        <w:t xml:space="preserve"> but </w:t>
      </w:r>
      <w:r w:rsidR="00276B2A">
        <w:t xml:space="preserve">it </w:t>
      </w:r>
      <w:r w:rsidR="00ED3B17">
        <w:t xml:space="preserve">captured Jane crying and sounding very upset </w:t>
      </w:r>
      <w:r w:rsidR="00F35BD2">
        <w:t>as she made statements such as</w:t>
      </w:r>
      <w:r w:rsidR="00ED3B17">
        <w:t>:  “</w:t>
      </w:r>
      <w:r w:rsidR="00736BBF">
        <w:t> ‘</w:t>
      </w:r>
      <w:r w:rsidR="00F35BD2">
        <w:t xml:space="preserve">I am </w:t>
      </w:r>
      <w:r w:rsidR="00ED3B17">
        <w:t xml:space="preserve">so scared.  I don’t </w:t>
      </w:r>
      <w:r w:rsidR="00F35BD2">
        <w:t xml:space="preserve">know what </w:t>
      </w:r>
      <w:r w:rsidR="00ED3B17">
        <w:t xml:space="preserve">to </w:t>
      </w:r>
      <w:r w:rsidR="00F35BD2">
        <w:t xml:space="preserve">do.  I don’t want to </w:t>
      </w:r>
      <w:r w:rsidR="00ED3B17">
        <w:t xml:space="preserve">see him.  I </w:t>
      </w:r>
      <w:r w:rsidR="00F35BD2">
        <w:t>am so upset</w:t>
      </w:r>
      <w:r w:rsidR="00ED3B17">
        <w:t>.’ ”</w:t>
      </w:r>
      <w:r w:rsidR="00ED3B17">
        <w:rPr>
          <w:rStyle w:val="FootnoteReference"/>
        </w:rPr>
        <w:footnoteReference w:id="3"/>
      </w:r>
      <w:r w:rsidR="00ED3B17">
        <w:t xml:space="preserve">  </w:t>
      </w:r>
    </w:p>
    <w:p w14:paraId="4C96542D" w14:textId="16B67069" w:rsidR="005907A5" w:rsidRDefault="002C2C16" w:rsidP="00AC354B">
      <w:pPr>
        <w:spacing w:line="360" w:lineRule="auto"/>
        <w:contextualSpacing/>
      </w:pPr>
      <w:r>
        <w:tab/>
        <w:t xml:space="preserve">Melissa testified that eventually she </w:t>
      </w:r>
      <w:r w:rsidR="005264FD">
        <w:t>did tell</w:t>
      </w:r>
      <w:r w:rsidR="0012393B">
        <w:t xml:space="preserve"> her mom about the incident with </w:t>
      </w:r>
      <w:r w:rsidR="005D24E8">
        <w:t>defendant</w:t>
      </w:r>
      <w:r w:rsidR="00276B2A">
        <w:t>, during a</w:t>
      </w:r>
      <w:r w:rsidR="004E0ECE">
        <w:t xml:space="preserve"> conversation </w:t>
      </w:r>
      <w:r w:rsidR="00276B2A">
        <w:t>that</w:t>
      </w:r>
      <w:r w:rsidR="004E0ECE">
        <w:t xml:space="preserve"> occurred about two months before they called the police in July 2019. </w:t>
      </w:r>
      <w:r w:rsidR="004E0ECE" w:rsidRPr="005907A5">
        <w:t xml:space="preserve"> </w:t>
      </w:r>
      <w:r w:rsidR="004E0ECE">
        <w:t>At the time, Janeth was questioning</w:t>
      </w:r>
      <w:r w:rsidR="00CC5235">
        <w:t xml:space="preserve"> Jane about why she was not doing her chores or going out and doing things.  Melissa interjected that maybe Jane was experiencing mental health problems and not doing well in school because of personal </w:t>
      </w:r>
      <w:r w:rsidR="00452596">
        <w:t>issues</w:t>
      </w:r>
      <w:r w:rsidR="00CC5235">
        <w:t xml:space="preserve"> she was dealing with, and then decided to tell</w:t>
      </w:r>
      <w:r w:rsidR="005C12CD">
        <w:t xml:space="preserve"> Janeth</w:t>
      </w:r>
      <w:r w:rsidR="00CC5235">
        <w:t xml:space="preserve"> about what happened with </w:t>
      </w:r>
      <w:r w:rsidR="005D24E8">
        <w:lastRenderedPageBreak/>
        <w:t>defendant</w:t>
      </w:r>
      <w:r w:rsidR="00CC5235">
        <w:t>.</w:t>
      </w:r>
      <w:r w:rsidR="00CC6EB4">
        <w:t xml:space="preserve"> </w:t>
      </w:r>
      <w:r w:rsidR="00FB6572">
        <w:t xml:space="preserve"> </w:t>
      </w:r>
      <w:r w:rsidR="00157E72">
        <w:t xml:space="preserve">When the defense questioned Melissa about Jane’s personal problems, Melissa acknowledged she had read Jane’s diary, which talked about how Jane </w:t>
      </w:r>
      <w:r w:rsidR="00452596">
        <w:t>was “</w:t>
      </w:r>
      <w:r w:rsidR="005C12CD">
        <w:t xml:space="preserve">suicidal” and felt unloved by her family, </w:t>
      </w:r>
      <w:r w:rsidR="00157E72">
        <w:t xml:space="preserve">but did not mention </w:t>
      </w:r>
      <w:r w:rsidR="005D24E8">
        <w:t>defendant</w:t>
      </w:r>
      <w:r w:rsidR="00562F20">
        <w:t xml:space="preserve"> or the incident</w:t>
      </w:r>
      <w:r w:rsidR="00157E72">
        <w:t xml:space="preserve">. </w:t>
      </w:r>
    </w:p>
    <w:p w14:paraId="7EDD9677" w14:textId="62B809E0" w:rsidR="00572F05" w:rsidRPr="00572F05" w:rsidRDefault="00572F05" w:rsidP="00AC354B">
      <w:pPr>
        <w:keepNext/>
        <w:spacing w:line="360" w:lineRule="auto"/>
        <w:contextualSpacing/>
        <w:rPr>
          <w:b/>
          <w:bCs/>
          <w:i/>
          <w:iCs/>
        </w:rPr>
      </w:pPr>
      <w:r>
        <w:tab/>
      </w:r>
      <w:r w:rsidRPr="00572F05">
        <w:rPr>
          <w:b/>
          <w:bCs/>
          <w:i/>
          <w:iCs/>
        </w:rPr>
        <w:t>Jane Doe</w:t>
      </w:r>
    </w:p>
    <w:p w14:paraId="37FCA5B9" w14:textId="17441AED" w:rsidR="00283CC8" w:rsidRDefault="00572F05" w:rsidP="00AC354B">
      <w:pPr>
        <w:spacing w:line="360" w:lineRule="auto"/>
        <w:contextualSpacing/>
      </w:pPr>
      <w:r>
        <w:tab/>
        <w:t xml:space="preserve">Jane testified that in September 2018 she often spent time with her aunt and uncle’s family. </w:t>
      </w:r>
      <w:r w:rsidR="00D76928">
        <w:t xml:space="preserve"> </w:t>
      </w:r>
      <w:r w:rsidR="00091B3D">
        <w:t>She used to be close to her cousins, who are</w:t>
      </w:r>
      <w:r>
        <w:t xml:space="preserve"> younger than </w:t>
      </w:r>
      <w:r w:rsidR="00F6073F">
        <w:t>she is</w:t>
      </w:r>
      <w:r w:rsidR="00091B3D">
        <w:t xml:space="preserve">, but at the time of trial she was unsure of their ages.  She was not sure or did not remember how old she was or what grade she was in </w:t>
      </w:r>
      <w:r>
        <w:t xml:space="preserve">back in September 2018.  </w:t>
      </w:r>
      <w:r w:rsidR="0000186C">
        <w:t xml:space="preserve">She did recall being alone with </w:t>
      </w:r>
      <w:r w:rsidR="005D24E8">
        <w:t>defendant</w:t>
      </w:r>
      <w:r w:rsidR="0000186C">
        <w:t xml:space="preserve"> in his apartment and feeling scared.  </w:t>
      </w:r>
    </w:p>
    <w:p w14:paraId="46D8D964" w14:textId="0BE70379" w:rsidR="00054296" w:rsidRDefault="00283CC8" w:rsidP="00AC354B">
      <w:pPr>
        <w:spacing w:line="360" w:lineRule="auto"/>
        <w:contextualSpacing/>
      </w:pPr>
      <w:r>
        <w:tab/>
      </w:r>
      <w:r w:rsidR="00054296">
        <w:t>Jane</w:t>
      </w:r>
      <w:r w:rsidR="0000186C">
        <w:t xml:space="preserve"> </w:t>
      </w:r>
      <w:r w:rsidR="001A7464">
        <w:t xml:space="preserve">testified that the incident occurred on an evening when she </w:t>
      </w:r>
      <w:r w:rsidR="0000186C">
        <w:t xml:space="preserve">had gone to </w:t>
      </w:r>
      <w:r w:rsidR="005D24E8">
        <w:t>defendant</w:t>
      </w:r>
      <w:r w:rsidR="001A7464">
        <w:t>’s</w:t>
      </w:r>
      <w:r w:rsidR="0000186C">
        <w:t xml:space="preserve"> apartment to </w:t>
      </w:r>
      <w:r w:rsidR="00A62C65">
        <w:t xml:space="preserve">help </w:t>
      </w:r>
      <w:r w:rsidR="0000186C">
        <w:t>take care of her cousins</w:t>
      </w:r>
      <w:r w:rsidR="001A7464">
        <w:t xml:space="preserve"> while her aunt </w:t>
      </w:r>
      <w:r w:rsidR="00091B3D">
        <w:t>and parents went out to a casino</w:t>
      </w:r>
      <w:r w:rsidR="001A7464">
        <w:t xml:space="preserve"> for the evening.</w:t>
      </w:r>
      <w:r w:rsidR="0000186C">
        <w:t xml:space="preserve"> </w:t>
      </w:r>
      <w:r w:rsidR="008B54A7">
        <w:t xml:space="preserve"> </w:t>
      </w:r>
      <w:r w:rsidR="00DD0802">
        <w:t>When Jane arrived at the apartment, her grandfather was there.  At around 10:00 p.m., d</w:t>
      </w:r>
      <w:r w:rsidR="00DC61F8">
        <w:t xml:space="preserve">efendant </w:t>
      </w:r>
      <w:r w:rsidR="0000186C">
        <w:t>arrived home</w:t>
      </w:r>
      <w:r w:rsidR="00A62C65">
        <w:t xml:space="preserve">, and </w:t>
      </w:r>
      <w:r w:rsidR="00DD0802">
        <w:t xml:space="preserve">Jane’s </w:t>
      </w:r>
      <w:r w:rsidR="00A62C65">
        <w:t xml:space="preserve">grandfather </w:t>
      </w:r>
      <w:r w:rsidR="001D7894">
        <w:t>left</w:t>
      </w:r>
      <w:r w:rsidR="00DD0802">
        <w:t xml:space="preserve">. </w:t>
      </w:r>
      <w:r w:rsidR="00D25AE6">
        <w:t xml:space="preserve"> </w:t>
      </w:r>
      <w:r w:rsidR="00091B3D">
        <w:t xml:space="preserve">Jane planned to sleep at the apartment until her aunt got home so that she could help </w:t>
      </w:r>
      <w:r w:rsidR="005D24E8">
        <w:t>defendant</w:t>
      </w:r>
      <w:r w:rsidR="00091B3D">
        <w:t xml:space="preserve"> with the children.  She </w:t>
      </w:r>
      <w:r w:rsidR="00101029">
        <w:t xml:space="preserve">remembered that she </w:t>
      </w:r>
      <w:r w:rsidR="00091B3D">
        <w:t>went to lie down on</w:t>
      </w:r>
      <w:r w:rsidR="00D25AE6">
        <w:t xml:space="preserve"> her aunt and uncle’s bed</w:t>
      </w:r>
      <w:r w:rsidR="00091B3D">
        <w:t xml:space="preserve">, </w:t>
      </w:r>
      <w:r w:rsidR="00101029">
        <w:t>but she did not recall what she was wearing or if she got under the covers</w:t>
      </w:r>
      <w:r w:rsidR="00091B3D">
        <w:t xml:space="preserve">.  </w:t>
      </w:r>
      <w:r w:rsidR="00101029">
        <w:t>She remembered that when</w:t>
      </w:r>
      <w:r w:rsidR="00D25AE6">
        <w:t xml:space="preserve"> </w:t>
      </w:r>
      <w:r w:rsidR="005D24E8">
        <w:t>defendant</w:t>
      </w:r>
      <w:r w:rsidR="00D25AE6">
        <w:t xml:space="preserve"> came into the room</w:t>
      </w:r>
      <w:r w:rsidR="00101029">
        <w:t>, he was</w:t>
      </w:r>
      <w:r>
        <w:t xml:space="preserve"> wearing</w:t>
      </w:r>
      <w:r w:rsidR="00D25AE6">
        <w:t xml:space="preserve"> underwear</w:t>
      </w:r>
      <w:r w:rsidR="00101029">
        <w:t>,</w:t>
      </w:r>
      <w:r w:rsidR="00D25AE6">
        <w:t xml:space="preserve"> </w:t>
      </w:r>
      <w:r>
        <w:t>but she could not remember</w:t>
      </w:r>
      <w:r w:rsidR="00D25AE6">
        <w:t xml:space="preserve"> if he was wearing anything else.  He laid next to her on the bed, “getting comfortable,” and started asking her questions</w:t>
      </w:r>
      <w:r>
        <w:t xml:space="preserve"> and telling her about his life in high school.  He asked if Jane </w:t>
      </w:r>
      <w:r w:rsidR="00D25AE6">
        <w:t xml:space="preserve">had a boyfriend and if she wanted to cuddle.  Jane answered </w:t>
      </w:r>
      <w:r w:rsidR="00F742DE">
        <w:t>“ ‘</w:t>
      </w:r>
      <w:r w:rsidR="00D25AE6">
        <w:t>no</w:t>
      </w:r>
      <w:r w:rsidR="00F742DE">
        <w:t>’ ”</w:t>
      </w:r>
      <w:r w:rsidR="00D25AE6">
        <w:t xml:space="preserve"> to both questions.</w:t>
      </w:r>
      <w:r w:rsidR="00CC6EB4">
        <w:t xml:space="preserve"> </w:t>
      </w:r>
    </w:p>
    <w:p w14:paraId="0A4B841E" w14:textId="4802F997" w:rsidR="00054296" w:rsidRDefault="00283CC8" w:rsidP="00AC354B">
      <w:pPr>
        <w:spacing w:line="360" w:lineRule="auto"/>
        <w:contextualSpacing/>
      </w:pPr>
      <w:r>
        <w:tab/>
        <w:t>Jane</w:t>
      </w:r>
      <w:r w:rsidR="00054296">
        <w:t xml:space="preserve"> </w:t>
      </w:r>
      <w:r w:rsidR="00101029">
        <w:t>recalled that she and</w:t>
      </w:r>
      <w:r w:rsidR="00054296">
        <w:t xml:space="preserve"> </w:t>
      </w:r>
      <w:r w:rsidR="005D24E8">
        <w:t>defendant</w:t>
      </w:r>
      <w:r w:rsidR="00054296">
        <w:t xml:space="preserve"> were both using</w:t>
      </w:r>
      <w:r w:rsidR="00D25AE6">
        <w:t xml:space="preserve"> the</w:t>
      </w:r>
      <w:r w:rsidR="00054296">
        <w:t>ir</w:t>
      </w:r>
      <w:r w:rsidR="00D25AE6">
        <w:t xml:space="preserve"> phones</w:t>
      </w:r>
      <w:r w:rsidR="00D5669C">
        <w:t xml:space="preserve"> when</w:t>
      </w:r>
      <w:r w:rsidR="00D25AE6">
        <w:t xml:space="preserve"> </w:t>
      </w:r>
      <w:r w:rsidR="00054296">
        <w:t>he</w:t>
      </w:r>
      <w:r w:rsidR="00D25AE6">
        <w:t xml:space="preserve"> asked if she wanted to see a video his friend had sent him that was </w:t>
      </w:r>
      <w:r w:rsidR="00D25AE6">
        <w:lastRenderedPageBreak/>
        <w:t>“nasty and weird.”</w:t>
      </w:r>
      <w:r w:rsidR="00CC6EB4">
        <w:t xml:space="preserve"> </w:t>
      </w:r>
      <w:r w:rsidR="00054296">
        <w:t xml:space="preserve"> </w:t>
      </w:r>
      <w:r w:rsidR="00D25AE6">
        <w:t>Jane said “ ‘okay</w:t>
      </w:r>
      <w:r w:rsidR="00101029">
        <w:t>,</w:t>
      </w:r>
      <w:r w:rsidR="00D25AE6">
        <w:t>’</w:t>
      </w:r>
      <w:r>
        <w:t xml:space="preserve"> ” and </w:t>
      </w:r>
      <w:r w:rsidR="005D24E8">
        <w:t>defendant</w:t>
      </w:r>
      <w:r>
        <w:t xml:space="preserve"> </w:t>
      </w:r>
      <w:r w:rsidR="00D25AE6">
        <w:t>played the video</w:t>
      </w:r>
      <w:r>
        <w:t xml:space="preserve">, which showed a car and two naked people. </w:t>
      </w:r>
      <w:r w:rsidR="00054296">
        <w:t xml:space="preserve"> </w:t>
      </w:r>
      <w:r>
        <w:t>Jane did not understand what the people were doing when s</w:t>
      </w:r>
      <w:r w:rsidR="00054296">
        <w:t>h</w:t>
      </w:r>
      <w:r>
        <w:t>e saw the video</w:t>
      </w:r>
      <w:r w:rsidR="00054296">
        <w:t>,</w:t>
      </w:r>
      <w:r>
        <w:t xml:space="preserve"> but she later came to </w:t>
      </w:r>
      <w:r w:rsidR="00F742DE">
        <w:t xml:space="preserve">understand </w:t>
      </w:r>
      <w:r>
        <w:t xml:space="preserve">that the people </w:t>
      </w:r>
      <w:r w:rsidR="001A7464">
        <w:t xml:space="preserve">in the video </w:t>
      </w:r>
      <w:r>
        <w:t xml:space="preserve">were having sex.  </w:t>
      </w:r>
      <w:r w:rsidR="00054296">
        <w:t xml:space="preserve">Jane recalled that </w:t>
      </w:r>
      <w:r w:rsidR="005D24E8">
        <w:t>defendant</w:t>
      </w:r>
      <w:r w:rsidR="00054296">
        <w:t xml:space="preserve"> </w:t>
      </w:r>
      <w:r w:rsidR="00D80083">
        <w:t>asked her</w:t>
      </w:r>
      <w:r w:rsidR="00054296">
        <w:t xml:space="preserve"> not to tell </w:t>
      </w:r>
      <w:r w:rsidR="00C25A96">
        <w:t>anyone</w:t>
      </w:r>
      <w:r w:rsidR="00054296">
        <w:t>.</w:t>
      </w:r>
      <w:r w:rsidR="00D80083">
        <w:t xml:space="preserve"> </w:t>
      </w:r>
    </w:p>
    <w:p w14:paraId="15CE03F9" w14:textId="1782C93B" w:rsidR="00602505" w:rsidRDefault="00054296" w:rsidP="00AC354B">
      <w:pPr>
        <w:spacing w:line="360" w:lineRule="auto"/>
        <w:contextualSpacing/>
      </w:pPr>
      <w:r>
        <w:tab/>
      </w:r>
      <w:r w:rsidR="00D5669C">
        <w:t>Jane testified that after</w:t>
      </w:r>
      <w:r>
        <w:t xml:space="preserve"> the video, </w:t>
      </w:r>
      <w:r w:rsidR="005D24E8">
        <w:t>defendant</w:t>
      </w:r>
      <w:r>
        <w:t xml:space="preserve"> asked if she “ever wanted to try that on top of the clothes only,” and Jane told him “ ‘no.’ ”  Jane </w:t>
      </w:r>
      <w:r w:rsidR="00C25A96">
        <w:t>remembered feeling his hand</w:t>
      </w:r>
      <w:r w:rsidR="00D5669C">
        <w:t xml:space="preserve"> </w:t>
      </w:r>
      <w:r w:rsidR="00C25A96">
        <w:t xml:space="preserve">below her stomach, and that he was making a tapping motion.  He also touched her leg.  She did not remember if he touched the inside or outside of her leg but he did not “ever touch anywhere in between [her] legs.”  Then he said he was going to sleep on the couch.  Jane was really scared and did not move for a long time.  </w:t>
      </w:r>
      <w:r w:rsidR="00101029">
        <w:t>W</w:t>
      </w:r>
      <w:r w:rsidR="00C25A96">
        <w:t xml:space="preserve">hen her aunt Elizabeth got home, Jane did not tell her what had happened because she felt </w:t>
      </w:r>
      <w:r w:rsidR="003E7689">
        <w:t>s</w:t>
      </w:r>
      <w:r w:rsidR="00C25A96">
        <w:t>cared</w:t>
      </w:r>
      <w:r w:rsidR="003E7689">
        <w:t>.  The next day, she told her sister because she felt comfortable with her</w:t>
      </w:r>
      <w:r w:rsidR="001A7464">
        <w:t xml:space="preserve"> sister</w:t>
      </w:r>
      <w:r w:rsidR="003E7689">
        <w:t xml:space="preserve">.  Eventually she told her mom what happened, which “felt good,” because her mom believed her. </w:t>
      </w:r>
    </w:p>
    <w:p w14:paraId="06F94F74" w14:textId="1F153502" w:rsidR="002F58D0" w:rsidRDefault="00602505" w:rsidP="00AC354B">
      <w:pPr>
        <w:spacing w:line="360" w:lineRule="auto"/>
        <w:contextualSpacing/>
      </w:pPr>
      <w:r>
        <w:tab/>
        <w:t xml:space="preserve">Under cross-examination, Jane acknowledged that on </w:t>
      </w:r>
      <w:r w:rsidR="00CE2645">
        <w:t xml:space="preserve">the night of the </w:t>
      </w:r>
      <w:r>
        <w:t>September 8</w:t>
      </w:r>
      <w:r w:rsidR="00CE2645">
        <w:t xml:space="preserve"> incident</w:t>
      </w:r>
      <w:r>
        <w:t>, she texted back and forth with her mother about how the children were doing</w:t>
      </w:r>
      <w:r w:rsidR="00157E72">
        <w:t>, and she</w:t>
      </w:r>
      <w:r>
        <w:t xml:space="preserve"> did not </w:t>
      </w:r>
      <w:r w:rsidR="00CE2645">
        <w:t>text</w:t>
      </w:r>
      <w:r>
        <w:t xml:space="preserve"> anything about want</w:t>
      </w:r>
      <w:r w:rsidR="00E02403">
        <w:t>ing</w:t>
      </w:r>
      <w:r>
        <w:t xml:space="preserve"> to </w:t>
      </w:r>
      <w:r w:rsidR="00E02403">
        <w:t>leave</w:t>
      </w:r>
      <w:r>
        <w:t xml:space="preserve">.  She did not text her sister, who was one floor away, and she did not attempt to leave the apartment before her aunt got home.  Jane identified a photograph of </w:t>
      </w:r>
      <w:r w:rsidR="005D24E8">
        <w:t>defendant</w:t>
      </w:r>
      <w:r>
        <w:t>’s one</w:t>
      </w:r>
      <w:r w:rsidR="00705ED3">
        <w:t>-</w:t>
      </w:r>
      <w:r>
        <w:t xml:space="preserve">bedroom apartment, which showed that his children’s beds were </w:t>
      </w:r>
      <w:r w:rsidR="002F58D0">
        <w:t xml:space="preserve">in the same room and </w:t>
      </w:r>
      <w:r>
        <w:t>within a foot or two of the adult bed</w:t>
      </w:r>
      <w:r w:rsidR="00E02403">
        <w:t>,</w:t>
      </w:r>
      <w:r>
        <w:t xml:space="preserve"> </w:t>
      </w:r>
      <w:r w:rsidR="002F58D0">
        <w:t xml:space="preserve">where </w:t>
      </w:r>
      <w:r w:rsidR="00D80083">
        <w:t xml:space="preserve">Jane testified </w:t>
      </w:r>
      <w:r w:rsidR="002F58D0">
        <w:t xml:space="preserve">the incident </w:t>
      </w:r>
      <w:r w:rsidR="00DC61F8">
        <w:t xml:space="preserve">with </w:t>
      </w:r>
      <w:r w:rsidR="005D24E8">
        <w:t>defendant</w:t>
      </w:r>
      <w:r w:rsidR="00DC61F8">
        <w:t xml:space="preserve"> </w:t>
      </w:r>
      <w:r w:rsidR="002F58D0">
        <w:t xml:space="preserve">occurred. </w:t>
      </w:r>
    </w:p>
    <w:p w14:paraId="56553CBB" w14:textId="7EC9600A" w:rsidR="00514866" w:rsidRDefault="002F58D0" w:rsidP="00AC354B">
      <w:pPr>
        <w:spacing w:line="360" w:lineRule="auto"/>
        <w:contextualSpacing/>
      </w:pPr>
      <w:r>
        <w:tab/>
      </w:r>
      <w:r w:rsidR="00D5669C">
        <w:t xml:space="preserve">Jane testified she </w:t>
      </w:r>
      <w:r w:rsidR="00E02403">
        <w:t xml:space="preserve">was </w:t>
      </w:r>
      <w:r w:rsidR="00BA1F02">
        <w:t>sure</w:t>
      </w:r>
      <w:r w:rsidR="00E02403">
        <w:t xml:space="preserve"> that the first time she </w:t>
      </w:r>
      <w:r w:rsidR="00D5669C">
        <w:t>told her mother about the incident</w:t>
      </w:r>
      <w:r w:rsidR="00E02403">
        <w:t xml:space="preserve"> with </w:t>
      </w:r>
      <w:r w:rsidR="005D24E8">
        <w:t>defendant</w:t>
      </w:r>
      <w:r w:rsidR="00E02403">
        <w:t xml:space="preserve"> was July 23, 2019, </w:t>
      </w:r>
      <w:r w:rsidR="00D5669C">
        <w:t>the same day they called the police.</w:t>
      </w:r>
      <w:r>
        <w:t xml:space="preserve"> </w:t>
      </w:r>
      <w:r w:rsidR="0032736D">
        <w:t xml:space="preserve"> </w:t>
      </w:r>
      <w:r>
        <w:t xml:space="preserve">The next day, </w:t>
      </w:r>
      <w:r w:rsidR="00BA1F02">
        <w:t xml:space="preserve">she </w:t>
      </w:r>
      <w:r>
        <w:t xml:space="preserve">participated in a videotaped interview.  </w:t>
      </w:r>
      <w:r w:rsidR="00E02403">
        <w:lastRenderedPageBreak/>
        <w:t>During</w:t>
      </w:r>
      <w:r>
        <w:t xml:space="preserve"> that </w:t>
      </w:r>
      <w:r w:rsidR="00E02403">
        <w:t xml:space="preserve">interview, Jane said </w:t>
      </w:r>
      <w:r w:rsidR="00276B2A">
        <w:t xml:space="preserve">she had to tell </w:t>
      </w:r>
      <w:r w:rsidR="00D5669C">
        <w:t>her</w:t>
      </w:r>
      <w:r>
        <w:t xml:space="preserve"> mother about the incident because she could not lie to her anymore.  </w:t>
      </w:r>
      <w:r w:rsidR="005D1870">
        <w:t xml:space="preserve">When asked </w:t>
      </w:r>
      <w:r w:rsidR="00276B2A">
        <w:t xml:space="preserve">at trial </w:t>
      </w:r>
      <w:r w:rsidR="005D1870">
        <w:t xml:space="preserve">if she believed </w:t>
      </w:r>
      <w:r w:rsidR="005D24E8">
        <w:t>defendant</w:t>
      </w:r>
      <w:r w:rsidR="005D1870">
        <w:t xml:space="preserve"> mistreated his wife Elizabeth, Jane </w:t>
      </w:r>
      <w:r w:rsidR="00BA1F02">
        <w:t>said</w:t>
      </w:r>
      <w:r w:rsidR="005D1870">
        <w:t xml:space="preserve"> that she did not know. </w:t>
      </w:r>
      <w:r w:rsidR="00314FE7">
        <w:t xml:space="preserve"> She confirmed, however, that she “felt good” because she was helping to take “away a really bad guy” from her aunt. </w:t>
      </w:r>
      <w:r w:rsidR="00514866">
        <w:t xml:space="preserve"> </w:t>
      </w:r>
    </w:p>
    <w:p w14:paraId="203A51C4" w14:textId="52B4CF5F" w:rsidR="004A30F2" w:rsidRPr="00CE2645" w:rsidRDefault="005A5A91" w:rsidP="00AC354B">
      <w:pPr>
        <w:keepNext/>
        <w:spacing w:line="360" w:lineRule="auto"/>
        <w:contextualSpacing/>
        <w:rPr>
          <w:b/>
          <w:bCs/>
          <w:i/>
          <w:iCs/>
        </w:rPr>
      </w:pPr>
      <w:r>
        <w:rPr>
          <w:b/>
          <w:bCs/>
          <w:i/>
          <w:iCs/>
        </w:rPr>
        <w:tab/>
      </w:r>
      <w:r w:rsidR="004A30F2" w:rsidRPr="00CE2645">
        <w:rPr>
          <w:b/>
          <w:bCs/>
          <w:i/>
          <w:iCs/>
        </w:rPr>
        <w:t>Closing Arguments</w:t>
      </w:r>
      <w:r w:rsidR="00144816">
        <w:rPr>
          <w:b/>
          <w:bCs/>
          <w:i/>
          <w:iCs/>
        </w:rPr>
        <w:t xml:space="preserve"> and Verdicts</w:t>
      </w:r>
    </w:p>
    <w:p w14:paraId="38E16156" w14:textId="7378BC39" w:rsidR="00605EE8" w:rsidRDefault="004A30F2" w:rsidP="00AC354B">
      <w:pPr>
        <w:spacing w:line="360" w:lineRule="auto"/>
        <w:contextualSpacing/>
      </w:pPr>
      <w:r>
        <w:tab/>
      </w:r>
      <w:r w:rsidR="00705ED3">
        <w:t>The prosecutor argued in closing that</w:t>
      </w:r>
      <w:r w:rsidR="005C12CD">
        <w:t xml:space="preserve"> </w:t>
      </w:r>
      <w:r w:rsidR="005D24E8">
        <w:t>defendant</w:t>
      </w:r>
      <w:r w:rsidR="005C12CD">
        <w:t xml:space="preserve"> </w:t>
      </w:r>
      <w:r w:rsidR="00705ED3">
        <w:t>had</w:t>
      </w:r>
      <w:r w:rsidR="005C12CD">
        <w:t xml:space="preserve"> committ</w:t>
      </w:r>
      <w:r w:rsidR="00705ED3">
        <w:t xml:space="preserve">ed </w:t>
      </w:r>
      <w:r w:rsidR="005C12CD">
        <w:t xml:space="preserve">a lewd act on a child </w:t>
      </w:r>
      <w:r w:rsidR="000920F1">
        <w:t xml:space="preserve">under the age of 14 </w:t>
      </w:r>
      <w:r w:rsidR="005C12CD">
        <w:t xml:space="preserve">and </w:t>
      </w:r>
      <w:r w:rsidR="00705ED3">
        <w:t xml:space="preserve">exhibited </w:t>
      </w:r>
      <w:r w:rsidR="005C12CD">
        <w:t xml:space="preserve">harmful matter to a minor.  </w:t>
      </w:r>
      <w:r w:rsidR="00F742DE">
        <w:t>D</w:t>
      </w:r>
      <w:r w:rsidR="005D24E8">
        <w:t>efendant</w:t>
      </w:r>
      <w:r w:rsidR="00705ED3">
        <w:t xml:space="preserve"> was guilty of these charges, she </w:t>
      </w:r>
      <w:r w:rsidR="00514866">
        <w:t>argued</w:t>
      </w:r>
      <w:r w:rsidR="00705ED3">
        <w:t>,</w:t>
      </w:r>
      <w:r w:rsidR="00514866">
        <w:t xml:space="preserve"> </w:t>
      </w:r>
      <w:r w:rsidR="00705ED3">
        <w:t>because both</w:t>
      </w:r>
      <w:r w:rsidR="00514866">
        <w:t xml:space="preserve"> Jane and Melissa were credible</w:t>
      </w:r>
      <w:r w:rsidR="00705ED3">
        <w:t xml:space="preserve"> witnesses</w:t>
      </w:r>
      <w:r w:rsidR="00514866">
        <w:t xml:space="preserve">. </w:t>
      </w:r>
      <w:r>
        <w:t xml:space="preserve"> </w:t>
      </w:r>
      <w:r w:rsidR="00514866">
        <w:t>The</w:t>
      </w:r>
      <w:r w:rsidR="00480962">
        <w:t xml:space="preserve"> girls</w:t>
      </w:r>
      <w:r w:rsidR="00514866">
        <w:t xml:space="preserve"> were obviously emotional</w:t>
      </w:r>
      <w:r w:rsidR="00CE2645">
        <w:t>,</w:t>
      </w:r>
      <w:r w:rsidR="00514866">
        <w:t xml:space="preserve"> nervous and afraid.  But, the prosecutor emphasized, there was no “evidence in this case” of “any motivation on the part of Jane Doe to lie,” no evidence “to suggest that she had any reason to lie about what happened.”  </w:t>
      </w:r>
      <w:r w:rsidR="00605EE8">
        <w:t xml:space="preserve">The prosecutor also argued that inconsistent testimony about </w:t>
      </w:r>
      <w:r w:rsidR="005D1870">
        <w:t xml:space="preserve">the time that </w:t>
      </w:r>
      <w:r w:rsidR="00A62C65">
        <w:t xml:space="preserve">had </w:t>
      </w:r>
      <w:r w:rsidR="00B30B3D">
        <w:t>e</w:t>
      </w:r>
      <w:r w:rsidR="005D1870">
        <w:t>lapsed before Jane Doe’s mother reported</w:t>
      </w:r>
      <w:r w:rsidR="00605EE8">
        <w:t xml:space="preserve"> the incident to police was a “red herring” because there was no evidence to suggest that “any delay </w:t>
      </w:r>
      <w:r w:rsidR="005D1870">
        <w:t>. . .</w:t>
      </w:r>
      <w:r w:rsidR="00605EE8">
        <w:t xml:space="preserve"> resulted in any change of story, or any collusion or anything between Miss Doe and her mother.”  </w:t>
      </w:r>
    </w:p>
    <w:p w14:paraId="35F8CAA3" w14:textId="0E765D71" w:rsidR="0022636B" w:rsidRDefault="0022636B" w:rsidP="00AC354B">
      <w:pPr>
        <w:spacing w:line="360" w:lineRule="auto"/>
        <w:contextualSpacing/>
      </w:pPr>
      <w:r>
        <w:tab/>
        <w:t xml:space="preserve">The defense argued </w:t>
      </w:r>
      <w:r w:rsidR="005D24E8">
        <w:t>defendant</w:t>
      </w:r>
      <w:r>
        <w:t xml:space="preserve"> did not molest Jane Doe or show her pornography</w:t>
      </w:r>
      <w:r w:rsidR="005A5A91">
        <w:t>,</w:t>
      </w:r>
      <w:r>
        <w:t xml:space="preserve"> and that Jane was not honest about what happened</w:t>
      </w:r>
      <w:r w:rsidR="00CE2645">
        <w:t xml:space="preserve"> between them</w:t>
      </w:r>
      <w:r>
        <w:t xml:space="preserve">. </w:t>
      </w:r>
      <w:r w:rsidR="0032736D">
        <w:t xml:space="preserve"> </w:t>
      </w:r>
      <w:r w:rsidR="00DF311E">
        <w:t>Defense counsel</w:t>
      </w:r>
      <w:r>
        <w:t xml:space="preserve"> argued that the prosecution’s case depended on the credibility of the</w:t>
      </w:r>
      <w:r w:rsidR="00DF311E">
        <w:t>ir</w:t>
      </w:r>
      <w:r>
        <w:t xml:space="preserve"> two witnesses because Jane Doe’s diary from that time period showed the absence of a crime; her text messages showed the absence of a crime; and the audio recording from Melissa’s phone contained no reference to </w:t>
      </w:r>
      <w:r w:rsidR="005D24E8">
        <w:t>defendant</w:t>
      </w:r>
      <w:r>
        <w:t xml:space="preserve"> or any incident involving him. </w:t>
      </w:r>
      <w:r w:rsidR="00DF311E">
        <w:t xml:space="preserve"> Developing this theme, defense counsel highlighted </w:t>
      </w:r>
      <w:r w:rsidR="00E57360">
        <w:t xml:space="preserve">perceived </w:t>
      </w:r>
      <w:r w:rsidR="00DF311E">
        <w:t xml:space="preserve">discrepancies in </w:t>
      </w:r>
      <w:r w:rsidR="00BA1F02">
        <w:t>the prosecution evidence</w:t>
      </w:r>
      <w:r w:rsidR="00DF311E">
        <w:t xml:space="preserve">. </w:t>
      </w:r>
    </w:p>
    <w:p w14:paraId="1B9FC8BA" w14:textId="116CDE08" w:rsidR="00144816" w:rsidRDefault="00144816" w:rsidP="00AC354B">
      <w:pPr>
        <w:spacing w:line="360" w:lineRule="auto"/>
        <w:contextualSpacing/>
      </w:pPr>
      <w:r>
        <w:lastRenderedPageBreak/>
        <w:tab/>
        <w:t xml:space="preserve">On December 8, 2022, the jury found </w:t>
      </w:r>
      <w:r w:rsidR="005D24E8">
        <w:t>defendant</w:t>
      </w:r>
      <w:r>
        <w:t xml:space="preserve"> guilty of both charges after deliberating f</w:t>
      </w:r>
      <w:r w:rsidR="00BA1F02">
        <w:t>or</w:t>
      </w:r>
      <w:r>
        <w:t xml:space="preserve"> approximately one court day.  </w:t>
      </w:r>
      <w:r w:rsidR="005C12CD">
        <w:t>After discharging the jury</w:t>
      </w:r>
      <w:r>
        <w:t xml:space="preserve">, the court </w:t>
      </w:r>
      <w:r w:rsidR="00BC5A47">
        <w:t xml:space="preserve">found true allegations that Jane Doe was a vulnerable </w:t>
      </w:r>
      <w:r w:rsidR="00570A3C">
        <w:t>victim,</w:t>
      </w:r>
      <w:r w:rsidR="00BC5A47">
        <w:t xml:space="preserve"> and that </w:t>
      </w:r>
      <w:r w:rsidR="005D24E8">
        <w:t>defendant</w:t>
      </w:r>
      <w:r w:rsidR="00BC5A47">
        <w:t xml:space="preserve"> took advantage of a position of trust. </w:t>
      </w:r>
      <w:r w:rsidR="00581326">
        <w:t xml:space="preserve"> (§ 1170, subd. (b); Cal. Rules of Court, rule 4.421(a)(3) and (a)(11).) </w:t>
      </w:r>
      <w:r w:rsidR="00BC5A47">
        <w:t xml:space="preserve"> </w:t>
      </w:r>
      <w:r w:rsidR="00BA1F02">
        <w:t>A</w:t>
      </w:r>
      <w:r w:rsidR="009F083D">
        <w:t xml:space="preserve"> sentencing hearing was s</w:t>
      </w:r>
      <w:r w:rsidR="00BA1F02">
        <w:t>et</w:t>
      </w:r>
      <w:r w:rsidR="009F083D">
        <w:t xml:space="preserve"> for January 24, 2023.  </w:t>
      </w:r>
      <w:r w:rsidR="00BA1F02">
        <w:t>At</w:t>
      </w:r>
      <w:r w:rsidR="00BC5A47">
        <w:t xml:space="preserve"> the People’s request</w:t>
      </w:r>
      <w:r w:rsidR="00BA1F02">
        <w:t xml:space="preserve">, </w:t>
      </w:r>
      <w:r w:rsidR="005D24E8">
        <w:t>defendant</w:t>
      </w:r>
      <w:r w:rsidR="00BA1F02">
        <w:t xml:space="preserve"> was ordered</w:t>
      </w:r>
      <w:r w:rsidR="00BC5A47">
        <w:t xml:space="preserve"> </w:t>
      </w:r>
      <w:r>
        <w:t>to surrender his passport</w:t>
      </w:r>
      <w:r w:rsidR="00BC5A47">
        <w:t xml:space="preserve"> pending sentencing. </w:t>
      </w:r>
    </w:p>
    <w:p w14:paraId="7A47F378" w14:textId="1961BD0A" w:rsidR="004A30F2" w:rsidRPr="00CE2645" w:rsidRDefault="00E704A5" w:rsidP="00AC354B">
      <w:pPr>
        <w:keepNext/>
        <w:spacing w:line="360" w:lineRule="auto"/>
        <w:contextualSpacing/>
        <w:rPr>
          <w:b/>
          <w:bCs/>
          <w:i/>
          <w:iCs/>
        </w:rPr>
      </w:pPr>
      <w:r>
        <w:rPr>
          <w:b/>
          <w:bCs/>
          <w:i/>
          <w:iCs/>
        </w:rPr>
        <w:t>The New Trial Motion</w:t>
      </w:r>
    </w:p>
    <w:p w14:paraId="0C23CC1D" w14:textId="3F0D3830" w:rsidR="00E704A5" w:rsidRDefault="00E704A5" w:rsidP="00AC354B">
      <w:pPr>
        <w:spacing w:line="360" w:lineRule="auto"/>
        <w:contextualSpacing/>
      </w:pPr>
      <w:r>
        <w:tab/>
      </w:r>
      <w:r w:rsidR="0064513E">
        <w:t>Prior to sentencing</w:t>
      </w:r>
      <w:r w:rsidR="00CB51A5">
        <w:t xml:space="preserve">, </w:t>
      </w:r>
      <w:r w:rsidR="005D24E8">
        <w:t>defendant</w:t>
      </w:r>
      <w:r w:rsidR="00CB51A5">
        <w:t xml:space="preserve"> filed a motion for new trial based on newly discovered evidence. </w:t>
      </w:r>
      <w:r w:rsidR="00E55073">
        <w:t xml:space="preserve"> </w:t>
      </w:r>
      <w:r w:rsidR="00CB51A5">
        <w:t>(§ 1181</w:t>
      </w:r>
      <w:r w:rsidR="00705469">
        <w:t xml:space="preserve">, subd. </w:t>
      </w:r>
      <w:r w:rsidR="00CB51A5">
        <w:t xml:space="preserve">(8).) </w:t>
      </w:r>
      <w:r w:rsidR="00144816">
        <w:t xml:space="preserve"> </w:t>
      </w:r>
      <w:r w:rsidR="003F6915">
        <w:t xml:space="preserve">According to the motion, on January 4, </w:t>
      </w:r>
      <w:r w:rsidR="005D24E8">
        <w:t>defendant</w:t>
      </w:r>
      <w:r w:rsidR="00CB51A5">
        <w:t xml:space="preserve">’s ex-wife Elizabeth sent defense counsel </w:t>
      </w:r>
      <w:r w:rsidR="003F6915">
        <w:t xml:space="preserve">an unsolicited email, </w:t>
      </w:r>
      <w:r w:rsidR="00886242">
        <w:t>disclosing</w:t>
      </w:r>
      <w:r w:rsidR="003F6915">
        <w:t xml:space="preserve"> </w:t>
      </w:r>
      <w:r w:rsidR="00A62C65">
        <w:t xml:space="preserve">critical </w:t>
      </w:r>
      <w:r w:rsidR="003F6915">
        <w:t>new facts.  In response to th</w:t>
      </w:r>
      <w:r w:rsidR="0064513E">
        <w:t>is</w:t>
      </w:r>
      <w:r w:rsidR="003F6915">
        <w:t xml:space="preserve"> email, defense counsel obtained a declaration from Elizabeth, which was attached to the motion to dismiss. </w:t>
      </w:r>
      <w:r w:rsidR="00886242">
        <w:t xml:space="preserve"> </w:t>
      </w:r>
    </w:p>
    <w:p w14:paraId="12254C4B" w14:textId="78B455B3" w:rsidR="00965586" w:rsidRDefault="00E55073" w:rsidP="00AC354B">
      <w:pPr>
        <w:spacing w:line="360" w:lineRule="auto"/>
        <w:contextualSpacing/>
      </w:pPr>
      <w:r>
        <w:tab/>
        <w:t xml:space="preserve">In her declaration, Elizabeth </w:t>
      </w:r>
      <w:r w:rsidR="00965586">
        <w:t xml:space="preserve">stated that </w:t>
      </w:r>
      <w:r w:rsidR="005D24E8">
        <w:t>defendant</w:t>
      </w:r>
      <w:r>
        <w:t xml:space="preserve"> was “always an upset person,” and was “always yelling” at her, her kids, and her nieces and nephews. </w:t>
      </w:r>
      <w:r w:rsidR="00C37E69">
        <w:t xml:space="preserve"> </w:t>
      </w:r>
      <w:r w:rsidR="00261FD7">
        <w:t xml:space="preserve">This </w:t>
      </w:r>
      <w:r w:rsidR="00BA1F02">
        <w:t xml:space="preserve">mistreatment </w:t>
      </w:r>
      <w:r w:rsidR="00261FD7">
        <w:t xml:space="preserve">made Elizabeth and </w:t>
      </w:r>
      <w:r>
        <w:t xml:space="preserve">Janeth angry at </w:t>
      </w:r>
      <w:r w:rsidR="005D24E8">
        <w:t>defendant</w:t>
      </w:r>
      <w:r w:rsidR="00965586">
        <w:t xml:space="preserve">.  </w:t>
      </w:r>
      <w:r w:rsidR="00261FD7">
        <w:t>One</w:t>
      </w:r>
      <w:r w:rsidR="00965586">
        <w:t xml:space="preserve"> day, Janeth found Elizabeth crying because </w:t>
      </w:r>
      <w:r w:rsidR="005D24E8">
        <w:t>defendant</w:t>
      </w:r>
      <w:r w:rsidR="00965586">
        <w:t xml:space="preserve"> had mistreated her again</w:t>
      </w:r>
      <w:r w:rsidR="00A62C65">
        <w:t>,</w:t>
      </w:r>
      <w:r w:rsidR="00965586">
        <w:t xml:space="preserve"> and </w:t>
      </w:r>
      <w:r w:rsidR="00A62C65">
        <w:t xml:space="preserve">Janeth </w:t>
      </w:r>
      <w:r w:rsidR="00261FD7">
        <w:t>told</w:t>
      </w:r>
      <w:r w:rsidR="00965586">
        <w:t xml:space="preserve"> Elizabeth </w:t>
      </w:r>
      <w:r w:rsidR="00261FD7">
        <w:t xml:space="preserve">she </w:t>
      </w:r>
      <w:r w:rsidR="00965586">
        <w:t xml:space="preserve">had to get a divorce.  Elizabeth agreed, but said she would not do it because she was afraid.  Then, </w:t>
      </w:r>
      <w:r w:rsidR="00261FD7">
        <w:t xml:space="preserve">the sisters had an idea: </w:t>
      </w:r>
      <w:r w:rsidR="00965586">
        <w:t xml:space="preserve"> “Janeth and I though</w:t>
      </w:r>
      <w:r w:rsidR="00D76928">
        <w:t>t</w:t>
      </w:r>
      <w:r w:rsidR="00965586">
        <w:t xml:space="preserve"> we’re going to say that he committed a crime so that he would go to jail and be deported.  That way I wouldn’t care about getting divorced and I wouldn’t be with him anymore.  He would be far away where he wouldn’t bother or yell at me anymore.” </w:t>
      </w:r>
    </w:p>
    <w:p w14:paraId="040154C7" w14:textId="35B5877E" w:rsidR="00C37E69" w:rsidRDefault="00965586" w:rsidP="00AC354B">
      <w:pPr>
        <w:spacing w:line="360" w:lineRule="auto"/>
        <w:contextualSpacing/>
      </w:pPr>
      <w:r>
        <w:tab/>
      </w:r>
      <w:r w:rsidR="00276B2A">
        <w:t xml:space="preserve">According to the declaration, </w:t>
      </w:r>
      <w:r>
        <w:t xml:space="preserve">Elizabeth and Janeth decided that the crime had to be that </w:t>
      </w:r>
      <w:r w:rsidR="005D24E8">
        <w:t>defendant</w:t>
      </w:r>
      <w:r>
        <w:t xml:space="preserve"> molested the children.  </w:t>
      </w:r>
      <w:r w:rsidR="00261FD7">
        <w:t>They</w:t>
      </w:r>
      <w:r>
        <w:t xml:space="preserve"> considered saying that Elizabeth’s children were the victims, but </w:t>
      </w:r>
      <w:r w:rsidR="00261FD7">
        <w:t>her children</w:t>
      </w:r>
      <w:r>
        <w:t xml:space="preserve"> were </w:t>
      </w:r>
      <w:r w:rsidR="003E5AA2">
        <w:t xml:space="preserve">very </w:t>
      </w:r>
      <w:r w:rsidR="003E5AA2">
        <w:lastRenderedPageBreak/>
        <w:t xml:space="preserve">young and were not going to lie.  Then they decided Melissa would be the victim because she was older and “would know how to tell the police what we wanted.” </w:t>
      </w:r>
      <w:r w:rsidR="00C37E69">
        <w:t xml:space="preserve"> </w:t>
      </w:r>
      <w:r w:rsidR="003E5AA2">
        <w:t xml:space="preserve">Elizabeth and Janeth spent two months “training” Melissa to say that </w:t>
      </w:r>
      <w:r w:rsidR="005D24E8">
        <w:t>defendant</w:t>
      </w:r>
      <w:r w:rsidR="003E5AA2">
        <w:t xml:space="preserve"> molested her and showed her porn because he wanted to have sex with her, but they felt that would not be “enough” to get him deported.  Then Janeth suggested using Jane Doe as the victim because they had a recording they could use of an incident when </w:t>
      </w:r>
      <w:r w:rsidR="005D24E8">
        <w:t>defendant</w:t>
      </w:r>
      <w:r w:rsidR="003E5AA2">
        <w:t xml:space="preserve"> yelled at Jane Doe and “she ran out of the house,” which Janeth said could be used as “proof he molested her.” </w:t>
      </w:r>
    </w:p>
    <w:p w14:paraId="5EECF9D0" w14:textId="7904844D" w:rsidR="00313AE4" w:rsidRDefault="00261FD7" w:rsidP="00AC354B">
      <w:pPr>
        <w:spacing w:line="360" w:lineRule="auto"/>
        <w:contextualSpacing/>
      </w:pPr>
      <w:r>
        <w:tab/>
        <w:t>Elizabeth stated that for t</w:t>
      </w:r>
      <w:r w:rsidR="003E5AA2">
        <w:t>wo weeks before calling the police</w:t>
      </w:r>
      <w:r>
        <w:t>,</w:t>
      </w:r>
      <w:r w:rsidR="003E5AA2">
        <w:t xml:space="preserve"> </w:t>
      </w:r>
      <w:r>
        <w:t>she and Janeth</w:t>
      </w:r>
      <w:r w:rsidR="003E5AA2">
        <w:t xml:space="preserve"> trained Jane Doe to say that </w:t>
      </w:r>
      <w:r w:rsidR="005D24E8">
        <w:t>defendant</w:t>
      </w:r>
      <w:r w:rsidR="003E5AA2">
        <w:t xml:space="preserve"> showed her porn and masturbated on her.  </w:t>
      </w:r>
      <w:r>
        <w:t>But</w:t>
      </w:r>
      <w:r w:rsidR="003E5AA2">
        <w:t xml:space="preserve"> when Jane gave her report she did not </w:t>
      </w:r>
      <w:r w:rsidR="00461790">
        <w:t>say</w:t>
      </w:r>
      <w:r w:rsidR="003E5AA2">
        <w:t xml:space="preserve"> that </w:t>
      </w:r>
      <w:r w:rsidR="005D24E8">
        <w:t>defendant</w:t>
      </w:r>
      <w:r w:rsidR="003E5AA2">
        <w:t xml:space="preserve"> masturbated.  </w:t>
      </w:r>
      <w:r w:rsidR="00DC61F8">
        <w:t xml:space="preserve">Defendant </w:t>
      </w:r>
      <w:r w:rsidR="003E5AA2">
        <w:t>was arrested but released the next day and Elizabeth became concerned the plan was not going to work</w:t>
      </w:r>
      <w:r w:rsidR="00A62C65">
        <w:t xml:space="preserve">. </w:t>
      </w:r>
      <w:r w:rsidR="003E5AA2">
        <w:t xml:space="preserve"> </w:t>
      </w:r>
      <w:r w:rsidR="00A62C65">
        <w:t>S</w:t>
      </w:r>
      <w:r w:rsidR="003E5AA2">
        <w:t xml:space="preserve">he distanced herself from Janeth </w:t>
      </w:r>
      <w:r w:rsidR="00313AE4">
        <w:t xml:space="preserve">so </w:t>
      </w:r>
      <w:r w:rsidR="005D24E8">
        <w:t>defendant</w:t>
      </w:r>
      <w:r w:rsidR="00313AE4">
        <w:t xml:space="preserve"> would think she was on his side and would not find out she was “involved.”  </w:t>
      </w:r>
      <w:r>
        <w:t>At</w:t>
      </w:r>
      <w:r w:rsidR="00313AE4">
        <w:t xml:space="preserve"> some point, </w:t>
      </w:r>
      <w:r w:rsidR="005D24E8">
        <w:t>defendant</w:t>
      </w:r>
      <w:r w:rsidR="00313AE4">
        <w:t xml:space="preserve"> told her that his lawyer had learned that Melissa told the police that Janeth had a plan to try to use </w:t>
      </w:r>
      <w:r w:rsidR="005D24E8">
        <w:t>defendant</w:t>
      </w:r>
      <w:r w:rsidR="00313AE4">
        <w:t xml:space="preserve">’s children against him.  </w:t>
      </w:r>
      <w:r w:rsidR="00461790">
        <w:t xml:space="preserve">Then </w:t>
      </w:r>
      <w:r w:rsidR="00313AE4">
        <w:t xml:space="preserve">Elizabeth completely distanced herself from Janeth because she was very afraid </w:t>
      </w:r>
      <w:r w:rsidR="005D24E8">
        <w:t>defendant</w:t>
      </w:r>
      <w:r w:rsidR="00313AE4">
        <w:t xml:space="preserve"> would find out that Elizabeth was “part of that plan.” </w:t>
      </w:r>
    </w:p>
    <w:p w14:paraId="4BB78995" w14:textId="3D547AE1" w:rsidR="00E55073" w:rsidRDefault="00313AE4" w:rsidP="00AC354B">
      <w:pPr>
        <w:spacing w:line="360" w:lineRule="auto"/>
        <w:contextualSpacing/>
      </w:pPr>
      <w:r>
        <w:tab/>
      </w:r>
      <w:r w:rsidR="00261FD7">
        <w:t xml:space="preserve">In explaining her reasons for coming forward, Elizabeth stated that she did not care about the outcome of </w:t>
      </w:r>
      <w:r w:rsidR="005D24E8">
        <w:t>defendant</w:t>
      </w:r>
      <w:r w:rsidR="00261FD7">
        <w:t xml:space="preserve">’s case after obtaining a divorce, but she could not live with the “burden of guilt” on her conscience, that she needed to “tell the truth,” and that she could not “overcome the fault” she had “in planning this case” with Janeth. </w:t>
      </w:r>
    </w:p>
    <w:p w14:paraId="2EC71FD2" w14:textId="0104C870" w:rsidR="009F083D" w:rsidRPr="009F083D" w:rsidRDefault="009F083D" w:rsidP="00AC354B">
      <w:pPr>
        <w:keepNext/>
        <w:spacing w:line="360" w:lineRule="auto"/>
        <w:contextualSpacing/>
        <w:rPr>
          <w:b/>
          <w:bCs/>
        </w:rPr>
      </w:pPr>
      <w:r w:rsidRPr="009F083D">
        <w:rPr>
          <w:b/>
          <w:bCs/>
        </w:rPr>
        <w:lastRenderedPageBreak/>
        <w:t xml:space="preserve">Denial of New Trial Motion </w:t>
      </w:r>
    </w:p>
    <w:p w14:paraId="65EC1E57" w14:textId="6CFADBC8" w:rsidR="00DE60CF" w:rsidRDefault="003F6915" w:rsidP="00AC354B">
      <w:pPr>
        <w:spacing w:line="360" w:lineRule="auto"/>
        <w:contextualSpacing/>
      </w:pPr>
      <w:r>
        <w:tab/>
      </w:r>
      <w:r w:rsidR="00BA1F02">
        <w:t>On January 24, 2023, prior to conducting the sentencing hearing</w:t>
      </w:r>
      <w:r w:rsidR="00DE60CF">
        <w:t xml:space="preserve">, the court heard argument and ruled on </w:t>
      </w:r>
      <w:r w:rsidR="005D24E8">
        <w:t>defendant</w:t>
      </w:r>
      <w:r w:rsidR="00BA1F02">
        <w:t>’s</w:t>
      </w:r>
      <w:r w:rsidR="00DE60CF">
        <w:t xml:space="preserve"> new trial motion</w:t>
      </w:r>
      <w:r w:rsidR="00144816">
        <w:t xml:space="preserve">.  </w:t>
      </w:r>
    </w:p>
    <w:p w14:paraId="13D7D986" w14:textId="46045C80" w:rsidR="006341EE" w:rsidRDefault="00DE60CF" w:rsidP="00AC354B">
      <w:pPr>
        <w:spacing w:line="360" w:lineRule="auto"/>
        <w:contextualSpacing/>
      </w:pPr>
      <w:r>
        <w:tab/>
        <w:t>The defense argued that Elizabeth’s declaration constitute</w:t>
      </w:r>
      <w:r w:rsidR="00461790">
        <w:t xml:space="preserve">s </w:t>
      </w:r>
      <w:r>
        <w:t xml:space="preserve">significant </w:t>
      </w:r>
      <w:r w:rsidR="009F083D">
        <w:t xml:space="preserve">new </w:t>
      </w:r>
      <w:r w:rsidR="00461790">
        <w:t>evidence,</w:t>
      </w:r>
      <w:r w:rsidR="009F083D">
        <w:t xml:space="preserve"> as it show</w:t>
      </w:r>
      <w:r w:rsidR="00461790">
        <w:t>s</w:t>
      </w:r>
      <w:r w:rsidR="009F083D">
        <w:t xml:space="preserve"> that </w:t>
      </w:r>
      <w:r w:rsidR="00BA1F02">
        <w:t>she</w:t>
      </w:r>
      <w:r w:rsidR="009F083D">
        <w:t xml:space="preserve"> orchestrated a fraud in order to have </w:t>
      </w:r>
      <w:r w:rsidR="005D24E8">
        <w:t>defendant</w:t>
      </w:r>
      <w:r w:rsidR="009F083D">
        <w:t xml:space="preserve"> wrongfully arrested so that he would be deported </w:t>
      </w:r>
      <w:r w:rsidR="00CC4FFC">
        <w:t xml:space="preserve">rather than Elizabeth having to go through a divorce.  </w:t>
      </w:r>
      <w:r>
        <w:t xml:space="preserve">Defense counsel argued </w:t>
      </w:r>
      <w:r w:rsidR="00CC4FFC">
        <w:t xml:space="preserve">further, that </w:t>
      </w:r>
      <w:r w:rsidR="00461790">
        <w:t xml:space="preserve">when </w:t>
      </w:r>
      <w:r w:rsidR="00CC4FFC">
        <w:t>they investigated whether Jane Doe was lying about the event in question</w:t>
      </w:r>
      <w:r w:rsidR="00461790">
        <w:t>, they</w:t>
      </w:r>
      <w:r>
        <w:t xml:space="preserve"> found nothing to suggest that </w:t>
      </w:r>
      <w:r w:rsidR="00461790">
        <w:t>Elizabeth</w:t>
      </w:r>
      <w:r>
        <w:t xml:space="preserve"> was against their client.  She had </w:t>
      </w:r>
      <w:r w:rsidR="00CC4FFC">
        <w:t xml:space="preserve">facilitated </w:t>
      </w:r>
      <w:r w:rsidR="005D24E8">
        <w:t>defendant</w:t>
      </w:r>
      <w:r>
        <w:t>’s</w:t>
      </w:r>
      <w:r w:rsidR="00CC4FFC">
        <w:t xml:space="preserve"> arrest by telling the police w</w:t>
      </w:r>
      <w:r>
        <w:t>h</w:t>
      </w:r>
      <w:r w:rsidR="00CC4FFC">
        <w:t>ere to find him</w:t>
      </w:r>
      <w:r>
        <w:t>, but her explanation for calling the police was that</w:t>
      </w:r>
      <w:r w:rsidR="00CC4FFC">
        <w:t xml:space="preserve"> she did not want </w:t>
      </w:r>
      <w:r w:rsidR="005D24E8">
        <w:t>defendant</w:t>
      </w:r>
      <w:r w:rsidR="00CC4FFC">
        <w:t xml:space="preserve"> arrested in front of </w:t>
      </w:r>
      <w:r>
        <w:t>the</w:t>
      </w:r>
      <w:r w:rsidR="00CC4FFC">
        <w:t xml:space="preserve"> children. </w:t>
      </w:r>
      <w:r w:rsidR="00897865">
        <w:t xml:space="preserve"> They asked her “if she thought there were any reasons why [Jane Doe] would lie and she said, ‘no.’ ”</w:t>
      </w:r>
      <w:r w:rsidR="008F3962">
        <w:t xml:space="preserve"> </w:t>
      </w:r>
      <w:r w:rsidR="00897865">
        <w:t xml:space="preserve"> </w:t>
      </w:r>
      <w:r w:rsidR="00CC4FFC">
        <w:t xml:space="preserve">During their investigation, the defense did discover evidence that Janeth had attempted to get other family members to lie, but the court excluded that evidence from trial. </w:t>
      </w:r>
      <w:r w:rsidR="008F3962">
        <w:t xml:space="preserve"> </w:t>
      </w:r>
      <w:r w:rsidR="00CC4FFC">
        <w:t xml:space="preserve">Defense counsel argued </w:t>
      </w:r>
      <w:r w:rsidR="00897865">
        <w:t xml:space="preserve">that although </w:t>
      </w:r>
      <w:r w:rsidR="00CC4FFC">
        <w:t>the court’s ruling was arguably correct when made</w:t>
      </w:r>
      <w:r w:rsidR="00897865">
        <w:t>—</w:t>
      </w:r>
      <w:r w:rsidR="00131C24">
        <w:t>because at that time there</w:t>
      </w:r>
      <w:r w:rsidR="00CC4FFC">
        <w:t xml:space="preserve"> was no link between the misconduct and Jane Doe’s credibility</w:t>
      </w:r>
      <w:r w:rsidR="00897865">
        <w:t>—</w:t>
      </w:r>
      <w:r w:rsidR="00CC4FFC">
        <w:t>Elizabeth’s revelation now provided that link</w:t>
      </w:r>
      <w:r w:rsidR="006341EE">
        <w:t xml:space="preserve"> and </w:t>
      </w:r>
      <w:r w:rsidR="00461790">
        <w:t>constituted</w:t>
      </w:r>
      <w:r w:rsidR="006341EE">
        <w:t xml:space="preserve"> new evidence that </w:t>
      </w:r>
      <w:r w:rsidR="005D24E8">
        <w:t>defendant</w:t>
      </w:r>
      <w:r w:rsidR="006341EE">
        <w:t xml:space="preserve"> was falsely accused. </w:t>
      </w:r>
    </w:p>
    <w:p w14:paraId="66CDEB64" w14:textId="3E0CB948" w:rsidR="006341EE" w:rsidRDefault="006341EE" w:rsidP="00AC354B">
      <w:pPr>
        <w:spacing w:line="360" w:lineRule="auto"/>
        <w:contextualSpacing/>
      </w:pPr>
      <w:r>
        <w:tab/>
        <w:t xml:space="preserve">The prosecution argued </w:t>
      </w:r>
      <w:r w:rsidR="0008472A">
        <w:t>the defense had not been</w:t>
      </w:r>
      <w:r>
        <w:t xml:space="preserve"> </w:t>
      </w:r>
      <w:r w:rsidR="0008472A">
        <w:t xml:space="preserve">diligent </w:t>
      </w:r>
      <w:r>
        <w:t xml:space="preserve">in investigating the matter, which was relevant but not dispositive, as the ultimate question was whether the new evidence was significant.  The prosecutor urged the court to exercise its wide discretion to deny the new trial motion on the ground that Elizabeth’s declaration was not significant because it was “simply just not credible.” </w:t>
      </w:r>
      <w:r w:rsidR="00FE05FC">
        <w:t xml:space="preserve"> </w:t>
      </w:r>
    </w:p>
    <w:p w14:paraId="3FEDCB4B" w14:textId="192B349F" w:rsidR="00FE05FC" w:rsidRDefault="00144816" w:rsidP="00AC354B">
      <w:pPr>
        <w:spacing w:line="360" w:lineRule="auto"/>
        <w:contextualSpacing/>
      </w:pPr>
      <w:r>
        <w:lastRenderedPageBreak/>
        <w:tab/>
      </w:r>
      <w:r w:rsidR="00FE05FC">
        <w:t xml:space="preserve">After the matter was submitted, the court made an initial ruling </w:t>
      </w:r>
      <w:r w:rsidR="004455A0">
        <w:t xml:space="preserve">not </w:t>
      </w:r>
      <w:r w:rsidR="00BA1F02">
        <w:t>to conduct</w:t>
      </w:r>
      <w:r w:rsidR="004455A0">
        <w:t xml:space="preserve"> an</w:t>
      </w:r>
      <w:r w:rsidR="00FE05FC">
        <w:t xml:space="preserve"> evidentiary hearing, stating:  “I assume for purposes of your motion that if [Elizabeth] was brought to Court that she would testify consistently </w:t>
      </w:r>
      <w:r w:rsidR="004455A0">
        <w:t xml:space="preserve">[with] </w:t>
      </w:r>
      <w:r w:rsidR="00FE05FC">
        <w:t xml:space="preserve">what she put in that declaration. . . .  So I am not in need of witness testimony and a motion for new trial doesn’t require an evidentiary hearing.  So I am confident that I have the information I need to make a ruling here.” </w:t>
      </w:r>
    </w:p>
    <w:p w14:paraId="058A7E08" w14:textId="57FCB199" w:rsidR="003F6915" w:rsidRDefault="00FE05FC" w:rsidP="00AC354B">
      <w:pPr>
        <w:spacing w:line="360" w:lineRule="auto"/>
        <w:contextualSpacing/>
      </w:pPr>
      <w:r>
        <w:tab/>
      </w:r>
      <w:r w:rsidR="00570A3C">
        <w:t>As</w:t>
      </w:r>
      <w:r>
        <w:t xml:space="preserve"> to the merits, the court </w:t>
      </w:r>
      <w:r w:rsidR="00F97C5D">
        <w:t>denied the new trial motion</w:t>
      </w:r>
      <w:r w:rsidR="00897865">
        <w:t xml:space="preserve"> for</w:t>
      </w:r>
      <w:r w:rsidR="00BA1F02">
        <w:t xml:space="preserve"> three reasons</w:t>
      </w:r>
      <w:r w:rsidR="00F97C5D">
        <w:t xml:space="preserve">.  First, </w:t>
      </w:r>
      <w:r w:rsidR="00164422">
        <w:t xml:space="preserve">it concluded </w:t>
      </w:r>
      <w:r w:rsidR="004455A0">
        <w:t xml:space="preserve">Elizabeth’s declaration </w:t>
      </w:r>
      <w:r w:rsidR="00A37C99">
        <w:t>did not</w:t>
      </w:r>
      <w:r w:rsidR="0008472A">
        <w:t xml:space="preserve"> </w:t>
      </w:r>
      <w:r w:rsidR="00A37C99">
        <w:t>constitute</w:t>
      </w:r>
      <w:r w:rsidR="004455A0">
        <w:t xml:space="preserve"> new</w:t>
      </w:r>
      <w:r w:rsidR="00705469">
        <w:t xml:space="preserve"> </w:t>
      </w:r>
      <w:r w:rsidR="004455A0">
        <w:t>evidence.  The court reasoned that when the trial started, the defense sought to introduce evidence that Jane Doe and her sister were “somehow falsifying evidence</w:t>
      </w:r>
      <w:r w:rsidR="00236A59">
        <w:t>”</w:t>
      </w:r>
      <w:r w:rsidR="004455A0">
        <w:t xml:space="preserve"> due to</w:t>
      </w:r>
      <w:r w:rsidR="00705469">
        <w:t xml:space="preserve"> </w:t>
      </w:r>
      <w:r w:rsidR="00236A59">
        <w:t>“</w:t>
      </w:r>
      <w:r w:rsidR="004455A0">
        <w:t>some family disputes</w:t>
      </w:r>
      <w:r w:rsidR="00A37C99">
        <w:t>,</w:t>
      </w:r>
      <w:r w:rsidR="004455A0">
        <w:t xml:space="preserve">” </w:t>
      </w:r>
      <w:r w:rsidR="00A37C99">
        <w:t>so t</w:t>
      </w:r>
      <w:r w:rsidR="004455A0">
        <w:t xml:space="preserve">he fact that Elizabeth was now putting “in writing what had </w:t>
      </w:r>
      <w:r w:rsidR="00705469">
        <w:t xml:space="preserve">been </w:t>
      </w:r>
      <w:r w:rsidR="004455A0">
        <w:t xml:space="preserve">already suggested by the defense” did not “necessarily” constitute new evidence. </w:t>
      </w:r>
    </w:p>
    <w:p w14:paraId="2B5D8281" w14:textId="1436200A" w:rsidR="00A37C99" w:rsidRDefault="00F97C5D" w:rsidP="00AC354B">
      <w:pPr>
        <w:spacing w:line="360" w:lineRule="auto"/>
        <w:contextualSpacing/>
      </w:pPr>
      <w:r>
        <w:tab/>
        <w:t>Next, the court found that if the evidence was presented at a retrial, a different outcome was n</w:t>
      </w:r>
      <w:r w:rsidR="0008472A">
        <w:t>ot</w:t>
      </w:r>
      <w:r>
        <w:t xml:space="preserve"> </w:t>
      </w:r>
      <w:r w:rsidR="00A37C99">
        <w:t>“probable</w:t>
      </w:r>
      <w:r w:rsidR="0008472A">
        <w:t>.</w:t>
      </w:r>
      <w:r w:rsidR="00A37C99">
        <w:t>”</w:t>
      </w:r>
      <w:r w:rsidR="00BA1F02">
        <w:t xml:space="preserve"> </w:t>
      </w:r>
      <w:r w:rsidR="00A37C99">
        <w:t xml:space="preserve"> </w:t>
      </w:r>
      <w:r>
        <w:t>The</w:t>
      </w:r>
      <w:r w:rsidR="00A37C99">
        <w:t xml:space="preserve"> court reasoned that the People’s witnesses were compelling, </w:t>
      </w:r>
      <w:r w:rsidR="00FD0831">
        <w:t xml:space="preserve">and </w:t>
      </w:r>
      <w:r w:rsidR="00A37C99">
        <w:t>the audio record</w:t>
      </w:r>
      <w:r w:rsidR="00FD0831">
        <w:t>ing</w:t>
      </w:r>
      <w:r w:rsidR="00A37C99">
        <w:t xml:space="preserve"> also likely had an impact.  Given the fact that Jane Doe’s “testimony is the key,” the court concluded that whether or not Elizabeth and Janeth “had some animus and were trying to have [</w:t>
      </w:r>
      <w:r w:rsidR="005D24E8">
        <w:t>defendant</w:t>
      </w:r>
      <w:r w:rsidR="00A37C99">
        <w:t xml:space="preserve">] deported . . . would not be sufficient to overcome the People’s evidence and would not likely lead to a different outcome.” </w:t>
      </w:r>
    </w:p>
    <w:p w14:paraId="4E9C52E7" w14:textId="7B77D0DB" w:rsidR="004455A0" w:rsidRDefault="00A37C99" w:rsidP="00AC354B">
      <w:pPr>
        <w:spacing w:line="360" w:lineRule="auto"/>
        <w:contextualSpacing/>
      </w:pPr>
      <w:r>
        <w:tab/>
      </w:r>
      <w:r w:rsidR="00F97C5D">
        <w:t>Finally, the court found that this</w:t>
      </w:r>
      <w:r w:rsidR="00A57178">
        <w:t xml:space="preserve"> evidence could have been discovered sooner.  Taking defense counsel at </w:t>
      </w:r>
      <w:r w:rsidR="00480962">
        <w:t xml:space="preserve">his </w:t>
      </w:r>
      <w:r w:rsidR="00A57178">
        <w:t xml:space="preserve">word that </w:t>
      </w:r>
      <w:r w:rsidR="00480962">
        <w:t xml:space="preserve">his office </w:t>
      </w:r>
      <w:r w:rsidR="00897865">
        <w:t>ha</w:t>
      </w:r>
      <w:r w:rsidR="00A57178">
        <w:t>d not previously know</w:t>
      </w:r>
      <w:r w:rsidR="00897865">
        <w:t>n</w:t>
      </w:r>
      <w:r w:rsidR="00A57178">
        <w:t xml:space="preserve"> about Elizabeth’s involvement, the court </w:t>
      </w:r>
      <w:r w:rsidR="00D758A9">
        <w:t xml:space="preserve">nevertheless </w:t>
      </w:r>
      <w:r w:rsidR="00F97C5D">
        <w:t>believed</w:t>
      </w:r>
      <w:r w:rsidR="00A57178">
        <w:t xml:space="preserve"> that </w:t>
      </w:r>
      <w:r w:rsidR="00480962">
        <w:t>“</w:t>
      </w:r>
      <w:r w:rsidR="00A57178">
        <w:t xml:space="preserve">if her statement </w:t>
      </w:r>
      <w:r w:rsidR="00480962">
        <w:t xml:space="preserve">were </w:t>
      </w:r>
      <w:r w:rsidR="00724E19">
        <w:t>true,</w:t>
      </w:r>
      <w:r w:rsidR="00480962">
        <w:t>”</w:t>
      </w:r>
      <w:r w:rsidR="00A57178">
        <w:t xml:space="preserve"> it would have come out sooner, </w:t>
      </w:r>
      <w:r w:rsidR="00D758A9">
        <w:t>given that Elizabeth had been present in court</w:t>
      </w:r>
      <w:r w:rsidR="00480962">
        <w:t>, had been identified as a potential witness,</w:t>
      </w:r>
      <w:r w:rsidR="00D758A9">
        <w:t xml:space="preserve"> and </w:t>
      </w:r>
      <w:r w:rsidR="00480962">
        <w:t>wa</w:t>
      </w:r>
      <w:r w:rsidR="00D758A9">
        <w:t>s married</w:t>
      </w:r>
      <w:r w:rsidR="00480962">
        <w:t xml:space="preserve"> to</w:t>
      </w:r>
      <w:r w:rsidR="00D758A9">
        <w:t xml:space="preserve"> </w:t>
      </w:r>
      <w:r w:rsidR="005D24E8">
        <w:t>defendant</w:t>
      </w:r>
      <w:r w:rsidR="00D758A9">
        <w:t xml:space="preserve">. </w:t>
      </w:r>
    </w:p>
    <w:p w14:paraId="351F3A5F" w14:textId="3B57903C" w:rsidR="0012393B" w:rsidRDefault="0008472A" w:rsidP="00AC354B">
      <w:pPr>
        <w:keepNext/>
        <w:spacing w:line="360" w:lineRule="auto"/>
        <w:contextualSpacing/>
        <w:jc w:val="center"/>
        <w:rPr>
          <w:b/>
          <w:bCs/>
        </w:rPr>
      </w:pPr>
      <w:r w:rsidRPr="0008472A">
        <w:rPr>
          <w:b/>
          <w:bCs/>
        </w:rPr>
        <w:lastRenderedPageBreak/>
        <w:t>DISCUSSION</w:t>
      </w:r>
    </w:p>
    <w:p w14:paraId="1C38B94B" w14:textId="74AE1A3B" w:rsidR="00570A3C" w:rsidRPr="00AC354B" w:rsidRDefault="00595C39" w:rsidP="00862CB8">
      <w:pPr>
        <w:spacing w:line="360" w:lineRule="auto"/>
        <w:contextualSpacing/>
      </w:pPr>
      <w:r>
        <w:tab/>
      </w:r>
      <w:r w:rsidRPr="00AC354B">
        <w:t>The trial court may grant a new trial motion “[w]hen new evidence is discovered material to the defendant, and which he [or she] could not, with reasonable diligence, have discovered and produced at the trial.”  (</w:t>
      </w:r>
      <w:r w:rsidR="00131C24" w:rsidRPr="00AC354B">
        <w:t>§ </w:t>
      </w:r>
      <w:r w:rsidRPr="00AC354B">
        <w:t xml:space="preserve">1181, subd. (8).)  </w:t>
      </w:r>
      <w:r w:rsidR="00862CB8" w:rsidRPr="00AC354B">
        <w:t>“The central question in the determination of whether a new trial should be granted on the ground of ‘newly discovered evidence’ is whether that evidence would probably result in a different verdict upon retrial.  [Citation.]  That is a question which normally can best be answered by the trial judge, who has been witness to the presentation of all the evidence at trial.  Consequently, the trial court’s determination that a new trial should not be granted may be disturbed only where it is shown that there had been an abuse of discretion</w:t>
      </w:r>
      <w:r w:rsidR="00AC354B" w:rsidRPr="00AC354B">
        <w:rPr>
          <w:rFonts w:cs="Times New Roman"/>
        </w:rPr>
        <w:t>—</w:t>
      </w:r>
      <w:r w:rsidR="00862CB8" w:rsidRPr="00AC354B">
        <w:t>as, for example, where the ‘newly discovered evidence’ contradicts the strongest evidence introduced against the defendant.”  (</w:t>
      </w:r>
      <w:r w:rsidR="00862CB8" w:rsidRPr="00AC354B">
        <w:rPr>
          <w:i/>
          <w:iCs/>
        </w:rPr>
        <w:t>People v. Cooper</w:t>
      </w:r>
      <w:r w:rsidR="00862CB8" w:rsidRPr="00AC354B">
        <w:t xml:space="preserve"> (1979) 95 Cal.App.3d 844, 852</w:t>
      </w:r>
      <w:r w:rsidR="00374680" w:rsidRPr="00AC354B">
        <w:t xml:space="preserve"> (</w:t>
      </w:r>
      <w:r w:rsidR="00374680" w:rsidRPr="00AC354B">
        <w:rPr>
          <w:i/>
          <w:iCs/>
        </w:rPr>
        <w:t>Cooper</w:t>
      </w:r>
      <w:r w:rsidR="00374680" w:rsidRPr="00AC354B">
        <w:t>)</w:t>
      </w:r>
      <w:r w:rsidR="00862CB8" w:rsidRPr="00AC354B">
        <w:t xml:space="preserve">.) </w:t>
      </w:r>
    </w:p>
    <w:p w14:paraId="5B569DAC" w14:textId="6B553704" w:rsidR="0008472A" w:rsidRPr="00AC354B" w:rsidRDefault="00570A3C" w:rsidP="00862CB8">
      <w:pPr>
        <w:spacing w:line="360" w:lineRule="auto"/>
        <w:contextualSpacing/>
      </w:pPr>
      <w:r w:rsidRPr="00AC354B">
        <w:tab/>
        <w:t>In ruling on a motion for new trial based on newly discovered evidence, courts consider the following factors:  (1) whether the evidence, not just its materiality, is “ ‘ “newly discovered</w:t>
      </w:r>
      <w:r w:rsidR="00AC354B" w:rsidRPr="00AC354B">
        <w:t>”</w:t>
      </w:r>
      <w:r w:rsidRPr="00AC354B">
        <w:t xml:space="preserve"> ’ ”; (2) whether the evidence is “</w:t>
      </w:r>
      <w:r w:rsidR="00705469" w:rsidRPr="00AC354B">
        <w:t> </w:t>
      </w:r>
      <w:r w:rsidRPr="00AC354B">
        <w:t>‘</w:t>
      </w:r>
      <w:r w:rsidR="00705469" w:rsidRPr="00AC354B">
        <w:t> </w:t>
      </w:r>
      <w:r w:rsidRPr="00AC354B">
        <w:t>“cumulative” ’ ” as to the factual issue; (3) if admitting the evidence at a retrial would “ ‘ “render a different result probable” ’ ”; (4) if the moving party, with “ ‘ “reasonable diligence,” ’ ” could have discovered and produced the evidence at trial; and (5) whether the facts are “ ‘ “shown by the best evidence of which the case admits.” ’ ”  (</w:t>
      </w:r>
      <w:r w:rsidRPr="00AC354B">
        <w:rPr>
          <w:i/>
          <w:iCs/>
        </w:rPr>
        <w:t>People v. Delgado</w:t>
      </w:r>
      <w:r w:rsidRPr="00AC354B">
        <w:t xml:space="preserve"> (1993) 5 Cal.4th 312, 328 (</w:t>
      </w:r>
      <w:r w:rsidRPr="00AC354B">
        <w:rPr>
          <w:i/>
          <w:iCs/>
        </w:rPr>
        <w:t>Delgado</w:t>
      </w:r>
      <w:r w:rsidRPr="00AC354B">
        <w:t xml:space="preserve">).)  </w:t>
      </w:r>
    </w:p>
    <w:p w14:paraId="3BEC98ED" w14:textId="4F8AFCEC" w:rsidR="009E649E" w:rsidRDefault="00982A2B" w:rsidP="00862CB8">
      <w:pPr>
        <w:spacing w:line="360" w:lineRule="auto"/>
        <w:contextualSpacing/>
      </w:pPr>
      <w:r>
        <w:tab/>
        <w:t xml:space="preserve">In the present case, the trial court </w:t>
      </w:r>
      <w:r w:rsidR="009E649E">
        <w:t>addressed each of these</w:t>
      </w:r>
      <w:r>
        <w:t xml:space="preserve"> factors in denying the new trial motion</w:t>
      </w:r>
      <w:r w:rsidR="00461790">
        <w:t xml:space="preserve">. </w:t>
      </w:r>
      <w:r>
        <w:t xml:space="preserve"> However, the court’s analysis was short on facts </w:t>
      </w:r>
      <w:r w:rsidR="00164422">
        <w:t>and in some places</w:t>
      </w:r>
      <w:r>
        <w:t xml:space="preserve"> inconsistent with the record.  </w:t>
      </w:r>
      <w:r w:rsidR="009E649E">
        <w:t>For example, i</w:t>
      </w:r>
      <w:r>
        <w:t xml:space="preserve">n concluding that Elizabeth’s declaration does not constitute new evidence, </w:t>
      </w:r>
      <w:r w:rsidR="002D79F5">
        <w:t xml:space="preserve">the </w:t>
      </w:r>
      <w:r w:rsidR="002D79F5">
        <w:lastRenderedPageBreak/>
        <w:t xml:space="preserve">court emphasized that the defense theory </w:t>
      </w:r>
      <w:r w:rsidR="00164422">
        <w:t xml:space="preserve">had </w:t>
      </w:r>
      <w:r w:rsidR="00570A3C">
        <w:t>always been</w:t>
      </w:r>
      <w:r w:rsidR="002D79F5">
        <w:t xml:space="preserve"> that Jane Doe was lying</w:t>
      </w:r>
      <w:r w:rsidR="002E217F">
        <w:t xml:space="preserve"> because of a family dispute.  </w:t>
      </w:r>
      <w:r w:rsidR="00570A3C">
        <w:t>But the pertinent question is whether the evidence is new, not whether it supports a new theory</w:t>
      </w:r>
      <w:r w:rsidR="002E217F">
        <w:t>.</w:t>
      </w:r>
      <w:r w:rsidR="002D79F5">
        <w:t xml:space="preserve">  </w:t>
      </w:r>
      <w:r w:rsidR="004227A8" w:rsidRPr="004227A8">
        <w:t xml:space="preserve">(See § 1181, subd. (8) [requiring “new evidence” to be material merely “to the defendant”].) </w:t>
      </w:r>
      <w:r w:rsidR="004227A8">
        <w:t xml:space="preserve"> </w:t>
      </w:r>
      <w:r w:rsidR="002E217F">
        <w:t xml:space="preserve">The trial court </w:t>
      </w:r>
      <w:r w:rsidR="009E649E">
        <w:t>did not address</w:t>
      </w:r>
      <w:r>
        <w:t xml:space="preserve"> that Elizabeth</w:t>
      </w:r>
      <w:r w:rsidR="009E649E">
        <w:t>’s declaration</w:t>
      </w:r>
      <w:r>
        <w:t xml:space="preserve"> stated</w:t>
      </w:r>
      <w:r w:rsidR="00164422">
        <w:t>,</w:t>
      </w:r>
      <w:r>
        <w:t xml:space="preserve"> unequivocally </w:t>
      </w:r>
      <w:r w:rsidR="009E649E">
        <w:t>and for the first time</w:t>
      </w:r>
      <w:r w:rsidR="00164422">
        <w:t>,</w:t>
      </w:r>
      <w:r w:rsidR="009E649E">
        <w:t xml:space="preserve"> </w:t>
      </w:r>
      <w:r>
        <w:t xml:space="preserve">that she and Janeth made up a story about </w:t>
      </w:r>
      <w:r w:rsidR="005D24E8">
        <w:t>defendant</w:t>
      </w:r>
      <w:r>
        <w:t xml:space="preserve"> molesting Jane</w:t>
      </w:r>
      <w:r w:rsidR="0074071B">
        <w:t xml:space="preserve"> Doe</w:t>
      </w:r>
      <w:r>
        <w:t xml:space="preserve"> and coached Jane</w:t>
      </w:r>
      <w:r w:rsidR="0074071B">
        <w:t xml:space="preserve"> </w:t>
      </w:r>
      <w:r>
        <w:t>to tell that false story to the police</w:t>
      </w:r>
      <w:r w:rsidR="00AF0A40">
        <w:t xml:space="preserve"> for the purpose of getting </w:t>
      </w:r>
      <w:r w:rsidR="005D24E8">
        <w:t>defendant</w:t>
      </w:r>
      <w:r w:rsidR="00AF0A40">
        <w:t xml:space="preserve"> deported.</w:t>
      </w:r>
      <w:r>
        <w:t xml:space="preserve">  </w:t>
      </w:r>
      <w:r w:rsidR="00EA5B6F">
        <w:t xml:space="preserve">This was undeniably </w:t>
      </w:r>
      <w:r w:rsidR="002D79F5">
        <w:t>new evidence of different facts than those presented at trial</w:t>
      </w:r>
      <w:r w:rsidR="00F82AD5">
        <w:t xml:space="preserve">, and the trial court took defense counsel at his word that this evidence was not known to the defense at the time of trial. </w:t>
      </w:r>
    </w:p>
    <w:p w14:paraId="6A6EB6DC" w14:textId="356C5316" w:rsidR="00CC6F43" w:rsidRDefault="009E649E" w:rsidP="00862CB8">
      <w:pPr>
        <w:spacing w:line="360" w:lineRule="auto"/>
        <w:contextualSpacing/>
      </w:pPr>
      <w:r>
        <w:tab/>
        <w:t>T</w:t>
      </w:r>
      <w:r w:rsidR="00EA5B6F">
        <w:t>he</w:t>
      </w:r>
      <w:r w:rsidR="00982A2B">
        <w:t xml:space="preserve"> </w:t>
      </w:r>
      <w:r>
        <w:t xml:space="preserve">trial </w:t>
      </w:r>
      <w:r w:rsidR="00EA5B6F">
        <w:t xml:space="preserve">court’s </w:t>
      </w:r>
      <w:r>
        <w:t xml:space="preserve">finding </w:t>
      </w:r>
      <w:r w:rsidR="00982A2B">
        <w:t xml:space="preserve">that </w:t>
      </w:r>
      <w:r w:rsidR="00EA5B6F">
        <w:t xml:space="preserve">this evidence </w:t>
      </w:r>
      <w:r>
        <w:t xml:space="preserve">could </w:t>
      </w:r>
      <w:r w:rsidR="00EA5B6F">
        <w:t>have been discovered sooner</w:t>
      </w:r>
      <w:r>
        <w:t xml:space="preserve"> is</w:t>
      </w:r>
      <w:r w:rsidR="00DC101C">
        <w:t>,</w:t>
      </w:r>
      <w:r>
        <w:t xml:space="preserve"> for similar reasons</w:t>
      </w:r>
      <w:r w:rsidR="00DC101C">
        <w:t>,</w:t>
      </w:r>
      <w:r>
        <w:t xml:space="preserve"> </w:t>
      </w:r>
      <w:r w:rsidR="00E60A71">
        <w:t>un</w:t>
      </w:r>
      <w:r>
        <w:t xml:space="preserve">supported by the </w:t>
      </w:r>
      <w:r w:rsidR="00B516A0">
        <w:t>record, as it</w:t>
      </w:r>
      <w:r w:rsidR="00EA5B6F">
        <w:t xml:space="preserve"> ignores Elizabeth’s statement under penalty of perjury that she pretended to be on </w:t>
      </w:r>
      <w:r w:rsidR="005D24E8">
        <w:t>defendant</w:t>
      </w:r>
      <w:r w:rsidR="00EA5B6F">
        <w:t xml:space="preserve">’s side during the court proceedings. </w:t>
      </w:r>
      <w:r w:rsidR="00DC101C">
        <w:t xml:space="preserve"> </w:t>
      </w:r>
      <w:r w:rsidR="00CC6F43">
        <w:t xml:space="preserve">In light of </w:t>
      </w:r>
      <w:r w:rsidR="00E60A71">
        <w:t xml:space="preserve">this ruse, which is consistent with </w:t>
      </w:r>
      <w:r w:rsidR="00B516A0">
        <w:t xml:space="preserve">defense </w:t>
      </w:r>
      <w:r w:rsidR="00E60A71">
        <w:t>counsel’s account of what Elizabeth told them during their pretrial investigation</w:t>
      </w:r>
      <w:r w:rsidR="00CC6F43">
        <w:t xml:space="preserve">, we </w:t>
      </w:r>
      <w:r w:rsidR="00E60A71">
        <w:t>fail to</w:t>
      </w:r>
      <w:r w:rsidR="00CC6F43">
        <w:t xml:space="preserve"> see how any lack of diligence on counsel’s part </w:t>
      </w:r>
      <w:r w:rsidR="00E60A71">
        <w:t>can</w:t>
      </w:r>
      <w:r w:rsidR="00CC6F43">
        <w:t xml:space="preserve"> be blamed for </w:t>
      </w:r>
      <w:r w:rsidR="00E60A71">
        <w:t>not</w:t>
      </w:r>
      <w:r w:rsidR="00CC6F43">
        <w:t xml:space="preserve"> prompt</w:t>
      </w:r>
      <w:r w:rsidR="00E60A71">
        <w:t>ing</w:t>
      </w:r>
      <w:r w:rsidR="00CC6F43">
        <w:t xml:space="preserve"> Elizabeth to confess that she and her sister caused defendant to face false allegations of felony conduct. </w:t>
      </w:r>
      <w:r w:rsidR="00B516A0">
        <w:t xml:space="preserve"> </w:t>
      </w:r>
    </w:p>
    <w:p w14:paraId="408EA6D2" w14:textId="6DEB6AA0" w:rsidR="006D5D5F" w:rsidRDefault="00982A2B" w:rsidP="004C685A">
      <w:pPr>
        <w:spacing w:line="360" w:lineRule="auto"/>
        <w:contextualSpacing/>
      </w:pPr>
      <w:r>
        <w:tab/>
      </w:r>
      <w:r w:rsidR="002D79F5">
        <w:t xml:space="preserve">The trial court’s determination that this evidence would likely </w:t>
      </w:r>
      <w:r w:rsidR="00164422">
        <w:t xml:space="preserve">not </w:t>
      </w:r>
      <w:r w:rsidR="002D79F5">
        <w:t xml:space="preserve">have rendered a different result </w:t>
      </w:r>
      <w:r w:rsidR="007C54A2">
        <w:t>raises additional concern</w:t>
      </w:r>
      <w:r w:rsidR="00570A3C">
        <w:t>s</w:t>
      </w:r>
      <w:r w:rsidR="002D79F5">
        <w:t xml:space="preserve">.  </w:t>
      </w:r>
      <w:r w:rsidR="00AF0A40">
        <w:t>The court viewed the prosecution</w:t>
      </w:r>
      <w:r w:rsidR="00E60A71">
        <w:t>’s</w:t>
      </w:r>
      <w:r w:rsidR="00AF0A40">
        <w:t xml:space="preserve"> evidence as compelling and </w:t>
      </w:r>
      <w:r w:rsidR="00E60A71">
        <w:t xml:space="preserve">dismissed </w:t>
      </w:r>
      <w:r w:rsidR="00AF0A40">
        <w:t xml:space="preserve">Elizabeth’s declaration as </w:t>
      </w:r>
      <w:r w:rsidR="00371630">
        <w:t xml:space="preserve">an expression of animus toward </w:t>
      </w:r>
      <w:r w:rsidR="005D24E8">
        <w:t>defendant</w:t>
      </w:r>
      <w:r w:rsidR="002E217F">
        <w:t xml:space="preserve">, again failing to </w:t>
      </w:r>
      <w:r w:rsidR="0074071B">
        <w:t xml:space="preserve">recognize the </w:t>
      </w:r>
      <w:r w:rsidR="00E60A71">
        <w:t>ways in which</w:t>
      </w:r>
      <w:r w:rsidR="00371630">
        <w:t xml:space="preserve"> </w:t>
      </w:r>
      <w:r w:rsidR="00292E52">
        <w:t>Elizabeth’s declaration</w:t>
      </w:r>
      <w:r w:rsidR="002D79F5">
        <w:t xml:space="preserve"> </w:t>
      </w:r>
      <w:r w:rsidR="00374680">
        <w:t xml:space="preserve">contradicts </w:t>
      </w:r>
      <w:r w:rsidR="00DB5605">
        <w:t xml:space="preserve">the prosecution’s case </w:t>
      </w:r>
      <w:r w:rsidR="00374680">
        <w:t xml:space="preserve">and potentially </w:t>
      </w:r>
      <w:r w:rsidR="00E60A71">
        <w:t>undermines the credibility of both</w:t>
      </w:r>
      <w:r w:rsidR="00292E52">
        <w:t xml:space="preserve"> Jane Doe </w:t>
      </w:r>
      <w:r w:rsidR="00E60A71">
        <w:t>and Melissa</w:t>
      </w:r>
      <w:r w:rsidR="00292E52">
        <w:t xml:space="preserve">.  </w:t>
      </w:r>
      <w:r w:rsidR="006C6AB6">
        <w:t>Under the trial court’s view</w:t>
      </w:r>
      <w:r w:rsidR="00292E52">
        <w:t xml:space="preserve">, </w:t>
      </w:r>
      <w:r w:rsidR="004C685A">
        <w:t xml:space="preserve">the fact that </w:t>
      </w:r>
      <w:r w:rsidR="005D24E8">
        <w:t>defendant</w:t>
      </w:r>
      <w:r w:rsidR="004C685A">
        <w:t xml:space="preserve"> presented </w:t>
      </w:r>
      <w:r w:rsidR="00570A3C">
        <w:t xml:space="preserve">to the jury </w:t>
      </w:r>
      <w:r w:rsidR="00D12D30">
        <w:t xml:space="preserve">a defense that the witnesses were lying </w:t>
      </w:r>
      <w:r w:rsidR="00570A3C">
        <w:t>somehow</w:t>
      </w:r>
      <w:r w:rsidR="00292E52">
        <w:t xml:space="preserve"> weigh</w:t>
      </w:r>
      <w:r w:rsidR="00570A3C">
        <w:t>s</w:t>
      </w:r>
      <w:r w:rsidR="00292E52">
        <w:t xml:space="preserve"> against </w:t>
      </w:r>
      <w:r w:rsidR="004C685A">
        <w:t xml:space="preserve">granting him a new </w:t>
      </w:r>
      <w:r w:rsidR="004C685A">
        <w:lastRenderedPageBreak/>
        <w:t>trial</w:t>
      </w:r>
      <w:r w:rsidR="00292E52">
        <w:t xml:space="preserve">, but the opposite is true. </w:t>
      </w:r>
      <w:r w:rsidR="0032736D">
        <w:t xml:space="preserve"> </w:t>
      </w:r>
      <w:r w:rsidR="00292E52">
        <w:t>“Numerous cases hold that a motion for a new trial should be granted when the newly discovered evidence contradicts the strongest evidence introduced against the defendant.”  (</w:t>
      </w:r>
      <w:r w:rsidR="00292E52" w:rsidRPr="004C685A">
        <w:rPr>
          <w:i/>
          <w:iCs/>
        </w:rPr>
        <w:t>People v. Martinez</w:t>
      </w:r>
      <w:r w:rsidR="00292E52">
        <w:t xml:space="preserve"> (1984) 36 Cal.3d 816, 823; </w:t>
      </w:r>
      <w:r w:rsidR="004C685A">
        <w:t>see</w:t>
      </w:r>
      <w:r w:rsidR="00292E52">
        <w:t xml:space="preserve"> </w:t>
      </w:r>
      <w:r w:rsidR="002A58ED">
        <w:t xml:space="preserve">e.g. </w:t>
      </w:r>
      <w:r w:rsidR="00292E52" w:rsidRPr="004C685A">
        <w:rPr>
          <w:i/>
          <w:iCs/>
        </w:rPr>
        <w:t>People v. Gilbert</w:t>
      </w:r>
      <w:r w:rsidR="00292E52">
        <w:t xml:space="preserve"> (1944) 62 Cal.App.2d 933, 938; </w:t>
      </w:r>
      <w:r w:rsidR="00292E52" w:rsidRPr="004C685A">
        <w:rPr>
          <w:i/>
          <w:iCs/>
        </w:rPr>
        <w:t>People v. Randle</w:t>
      </w:r>
      <w:r w:rsidR="00292E52">
        <w:t xml:space="preserve"> (1982) 130 Cal.App.3d 286, 293</w:t>
      </w:r>
      <w:r w:rsidR="00AC354B">
        <w:t>–</w:t>
      </w:r>
      <w:r w:rsidR="00292E52">
        <w:t xml:space="preserve">294.) </w:t>
      </w:r>
      <w:r w:rsidR="004C685A">
        <w:t xml:space="preserve"> </w:t>
      </w:r>
      <w:r w:rsidR="00DB5605">
        <w:t xml:space="preserve">On its face, </w:t>
      </w:r>
      <w:r w:rsidR="006D5D5F">
        <w:t xml:space="preserve">Elizabeth’s declaration contradicts the strongest evidence against </w:t>
      </w:r>
      <w:r w:rsidR="005D24E8">
        <w:t>defendant</w:t>
      </w:r>
      <w:r w:rsidR="006D5D5F">
        <w:t>, the testimony of Jane Doe</w:t>
      </w:r>
      <w:r w:rsidR="00D12D30">
        <w:t>, as well as the ostensibly corroborating testimony of her older sister</w:t>
      </w:r>
      <w:r w:rsidR="006D5D5F">
        <w:t xml:space="preserve">.  </w:t>
      </w:r>
      <w:r w:rsidR="00D12D30">
        <w:t xml:space="preserve">The declaration </w:t>
      </w:r>
      <w:r w:rsidR="007C54A2">
        <w:t xml:space="preserve">also provides an explanation for the audio recording that is inconsistent with the prosecution’s case.  </w:t>
      </w:r>
      <w:r w:rsidR="006D5D5F">
        <w:t xml:space="preserve">Moreover, defense evidence that Janeth attempted to get family members to lie about </w:t>
      </w:r>
      <w:r w:rsidR="005D24E8">
        <w:t>defendant</w:t>
      </w:r>
      <w:r w:rsidR="006D5D5F">
        <w:t xml:space="preserve"> was </w:t>
      </w:r>
      <w:r w:rsidR="00724E19">
        <w:t>excluded at trial precisely because of the</w:t>
      </w:r>
      <w:r w:rsidR="006D5D5F">
        <w:t xml:space="preserve"> absence of evidence linking Janeth’s animus to Jane Doe, and Elizabeth’s testimony could potentially provide that link.</w:t>
      </w:r>
      <w:r w:rsidR="002D79F5">
        <w:t xml:space="preserve"> </w:t>
      </w:r>
    </w:p>
    <w:p w14:paraId="5BDA37C5" w14:textId="237AAE55" w:rsidR="008C27FA" w:rsidRDefault="008C27FA" w:rsidP="004C685A">
      <w:pPr>
        <w:spacing w:line="360" w:lineRule="auto"/>
        <w:contextualSpacing/>
      </w:pPr>
      <w:r>
        <w:tab/>
      </w:r>
      <w:r w:rsidR="00371630">
        <w:t xml:space="preserve">On appeal, the People discount Elizabeth’s declaration </w:t>
      </w:r>
      <w:r>
        <w:t>as impeachment evidence, invok</w:t>
      </w:r>
      <w:r w:rsidR="00371630">
        <w:t>ing</w:t>
      </w:r>
      <w:r>
        <w:t xml:space="preserve"> the </w:t>
      </w:r>
      <w:r w:rsidR="006C6AB6">
        <w:t xml:space="preserve">general </w:t>
      </w:r>
      <w:r>
        <w:t xml:space="preserve">rule that a new trial should not be granted </w:t>
      </w:r>
      <w:r w:rsidR="00236A59">
        <w:t>“</w:t>
      </w:r>
      <w:r>
        <w:t>where the only value of the newly discovered testimony is as impeaching evidence or to contradict a witness of the opposing party.”  (</w:t>
      </w:r>
      <w:r w:rsidRPr="008C27FA">
        <w:rPr>
          <w:i/>
          <w:iCs/>
        </w:rPr>
        <w:t>People v. Hall</w:t>
      </w:r>
      <w:r>
        <w:t xml:space="preserve"> (2010) 187 Cal.App.4th 282, 299.)  In </w:t>
      </w:r>
      <w:r w:rsidRPr="00D044EB">
        <w:rPr>
          <w:i/>
          <w:iCs/>
        </w:rPr>
        <w:t>Hall</w:t>
      </w:r>
      <w:r>
        <w:t xml:space="preserve">, the </w:t>
      </w:r>
      <w:r w:rsidR="00D044EB">
        <w:t xml:space="preserve">defendant moved for a new trial based on </w:t>
      </w:r>
      <w:r w:rsidR="006C6AB6">
        <w:t>newly discovered</w:t>
      </w:r>
      <w:r w:rsidR="00D044EB">
        <w:t xml:space="preserve"> evidence offered to impeach the credibility of a medical expert who testified at the defendant’s murder trial.  Finding no legal basis to grant the motion, the trial court </w:t>
      </w:r>
      <w:r w:rsidR="006C6AB6">
        <w:t xml:space="preserve">reasoned </w:t>
      </w:r>
      <w:r w:rsidR="00D044EB">
        <w:t>that the issue was “</w:t>
      </w:r>
      <w:r w:rsidR="0032736D">
        <w:t> </w:t>
      </w:r>
      <w:r w:rsidR="00D044EB">
        <w:t>‘not a big part of this case’ ” and that the proffered evidence contradicted the defendant’s own testimony.  (</w:t>
      </w:r>
      <w:r w:rsidR="00D044EB" w:rsidRPr="00D044EB">
        <w:rPr>
          <w:i/>
          <w:iCs/>
        </w:rPr>
        <w:t>Id</w:t>
      </w:r>
      <w:r w:rsidR="00D044EB">
        <w:t xml:space="preserve">. at p. 298.)  The ruling was affirmed on multiple grounds, including that its primary value was to impeach </w:t>
      </w:r>
      <w:r w:rsidR="000E7B94">
        <w:t>a prosecution expert</w:t>
      </w:r>
      <w:r w:rsidR="00DB5605">
        <w:t>,</w:t>
      </w:r>
      <w:r w:rsidR="000E7B94">
        <w:t xml:space="preserve"> and that the </w:t>
      </w:r>
      <w:r w:rsidR="006C6AB6">
        <w:t>expert</w:t>
      </w:r>
      <w:r w:rsidR="000E7B94">
        <w:t xml:space="preserve">’s testimony was “not the strongest evidence” against the defendant. </w:t>
      </w:r>
      <w:r w:rsidR="006C6AB6">
        <w:t xml:space="preserve"> </w:t>
      </w:r>
      <w:r w:rsidR="000E7B94">
        <w:t>(</w:t>
      </w:r>
      <w:r w:rsidR="000E7B94" w:rsidRPr="00B11EEC">
        <w:rPr>
          <w:i/>
          <w:iCs/>
        </w:rPr>
        <w:t>Id</w:t>
      </w:r>
      <w:r w:rsidR="000E7B94">
        <w:t>. at pp. 298</w:t>
      </w:r>
      <w:r w:rsidR="00AC354B">
        <w:t>–</w:t>
      </w:r>
      <w:r w:rsidR="000E7B94">
        <w:t xml:space="preserve">299.)  </w:t>
      </w:r>
      <w:r w:rsidR="00DB5605">
        <w:t>By contrast, i</w:t>
      </w:r>
      <w:r w:rsidR="000E7B94">
        <w:t xml:space="preserve">n the present case Elizabeth’s declaration does contradict the strongest evidence </w:t>
      </w:r>
      <w:r w:rsidR="000E7B94">
        <w:lastRenderedPageBreak/>
        <w:t xml:space="preserve">against </w:t>
      </w:r>
      <w:r w:rsidR="005D24E8">
        <w:t>defendant</w:t>
      </w:r>
      <w:r w:rsidR="000E7B94">
        <w:t xml:space="preserve">.  </w:t>
      </w:r>
      <w:r w:rsidR="00DB5605">
        <w:t>A</w:t>
      </w:r>
      <w:r w:rsidR="000E7B94">
        <w:t>t a retrial</w:t>
      </w:r>
      <w:r w:rsidR="00DB5605">
        <w:t>, Elizabeth’s testimony</w:t>
      </w:r>
      <w:r w:rsidR="000E7B94">
        <w:t xml:space="preserve"> could potentially </w:t>
      </w:r>
      <w:r w:rsidR="00DB5605">
        <w:t xml:space="preserve">raise </w:t>
      </w:r>
      <w:r w:rsidR="000E7B94">
        <w:t xml:space="preserve">grave doubts about the veracity and credibility </w:t>
      </w:r>
      <w:r w:rsidR="006C6AB6">
        <w:t xml:space="preserve">of the only witnesses who testified </w:t>
      </w:r>
      <w:r w:rsidR="0074071B">
        <w:t xml:space="preserve">against </w:t>
      </w:r>
      <w:r w:rsidR="005D24E8">
        <w:t>defendant</w:t>
      </w:r>
      <w:r w:rsidR="00D12D30">
        <w:t>, while providing an innocent explanation for the recorded statement the prosecution relied upon to corroborate their testimony</w:t>
      </w:r>
      <w:r w:rsidR="000E7B94">
        <w:t xml:space="preserve">.  (See </w:t>
      </w:r>
      <w:r w:rsidR="000E7B94" w:rsidRPr="000E7B94">
        <w:rPr>
          <w:i/>
          <w:iCs/>
        </w:rPr>
        <w:t>People v. Huskins</w:t>
      </w:r>
      <w:r w:rsidR="000E7B94">
        <w:t xml:space="preserve"> (1966) 245 Cal.App.2d 859, 862</w:t>
      </w:r>
      <w:r w:rsidR="00AC354B">
        <w:t>–</w:t>
      </w:r>
      <w:r w:rsidR="000E7B94">
        <w:t xml:space="preserve">863.) </w:t>
      </w:r>
    </w:p>
    <w:p w14:paraId="262D44FD" w14:textId="4CCD7BA2" w:rsidR="000A4BC5" w:rsidRDefault="006D5D5F" w:rsidP="00862CB8">
      <w:pPr>
        <w:spacing w:line="360" w:lineRule="auto"/>
        <w:contextualSpacing/>
      </w:pPr>
      <w:r>
        <w:tab/>
      </w:r>
      <w:r w:rsidR="00663EC7">
        <w:t>T</w:t>
      </w:r>
      <w:r w:rsidR="00DB5605">
        <w:t>o its credit, t</w:t>
      </w:r>
      <w:r w:rsidR="00663EC7">
        <w:t xml:space="preserve">he trial court found that </w:t>
      </w:r>
      <w:r>
        <w:t xml:space="preserve">Elizabeth’s </w:t>
      </w:r>
      <w:r w:rsidR="00663EC7">
        <w:t xml:space="preserve">declaration </w:t>
      </w:r>
      <w:r>
        <w:t>was not cumulative</w:t>
      </w:r>
      <w:r w:rsidR="00663EC7">
        <w:t xml:space="preserve">, and that if </w:t>
      </w:r>
      <w:r w:rsidR="00DC6D0E">
        <w:t xml:space="preserve">she </w:t>
      </w:r>
      <w:r w:rsidR="00371630">
        <w:t>testified at a</w:t>
      </w:r>
      <w:r>
        <w:t xml:space="preserve"> retrial</w:t>
      </w:r>
      <w:r w:rsidR="00AE60C6">
        <w:t>,</w:t>
      </w:r>
      <w:r>
        <w:t xml:space="preserve"> </w:t>
      </w:r>
      <w:r w:rsidR="00371630">
        <w:t>her</w:t>
      </w:r>
      <w:r>
        <w:t xml:space="preserve"> </w:t>
      </w:r>
      <w:r w:rsidR="00371630">
        <w:t>testimony</w:t>
      </w:r>
      <w:r>
        <w:t xml:space="preserve"> would be the best evidence </w:t>
      </w:r>
      <w:r w:rsidR="00590744">
        <w:t>of her version of events</w:t>
      </w:r>
      <w:r>
        <w:t xml:space="preserve">.  </w:t>
      </w:r>
      <w:r w:rsidR="00590744">
        <w:t xml:space="preserve">The court acknowledged these </w:t>
      </w:r>
      <w:r w:rsidR="0062709A">
        <w:t>a</w:t>
      </w:r>
      <w:r w:rsidR="00DB5605">
        <w:t>s</w:t>
      </w:r>
      <w:r w:rsidR="0062709A">
        <w:t xml:space="preserve"> relevant </w:t>
      </w:r>
      <w:r w:rsidR="00590744">
        <w:t>factors.  (</w:t>
      </w:r>
      <w:r w:rsidR="006C6AB6">
        <w:t xml:space="preserve">See </w:t>
      </w:r>
      <w:r w:rsidR="007C54A2" w:rsidRPr="007C54A2">
        <w:rPr>
          <w:i/>
          <w:iCs/>
        </w:rPr>
        <w:t>Delgado</w:t>
      </w:r>
      <w:r w:rsidR="007C54A2">
        <w:t xml:space="preserve">, </w:t>
      </w:r>
      <w:r w:rsidR="007C54A2" w:rsidRPr="007C54A2">
        <w:rPr>
          <w:i/>
          <w:iCs/>
        </w:rPr>
        <w:t>supra</w:t>
      </w:r>
      <w:r w:rsidR="007C54A2">
        <w:t>, 5 Cal.4th at p.</w:t>
      </w:r>
      <w:r w:rsidR="00705469">
        <w:t> </w:t>
      </w:r>
      <w:r w:rsidR="007C54A2">
        <w:t xml:space="preserve">328.)  </w:t>
      </w:r>
      <w:r w:rsidR="00492F9C">
        <w:t>Y</w:t>
      </w:r>
      <w:r w:rsidR="007C54A2">
        <w:t xml:space="preserve">et </w:t>
      </w:r>
      <w:r w:rsidR="00663EC7">
        <w:t>it</w:t>
      </w:r>
      <w:r w:rsidR="007C54A2">
        <w:t xml:space="preserve"> </w:t>
      </w:r>
      <w:r w:rsidR="00746A28">
        <w:t>did not conduct an evidentiary hearing</w:t>
      </w:r>
      <w:r w:rsidR="007C54A2">
        <w:t xml:space="preserve">, taking the </w:t>
      </w:r>
      <w:r w:rsidR="00AE60C6">
        <w:t xml:space="preserve">view </w:t>
      </w:r>
      <w:r w:rsidR="007C54A2">
        <w:t>that it did not need to consider Elizabeth’s actual testimony to reach a fair disposition of the motion</w:t>
      </w:r>
      <w:r w:rsidR="00DB5605">
        <w:t>,</w:t>
      </w:r>
      <w:r w:rsidR="00855220">
        <w:t xml:space="preserve"> instead </w:t>
      </w:r>
      <w:r w:rsidR="00492F9C">
        <w:t>“</w:t>
      </w:r>
      <w:r w:rsidR="000A4BC5">
        <w:t>assum</w:t>
      </w:r>
      <w:r w:rsidR="00DB5605">
        <w:t>[ing]</w:t>
      </w:r>
      <w:r w:rsidR="00492F9C">
        <w:t>”</w:t>
      </w:r>
      <w:r w:rsidR="000A4BC5">
        <w:t xml:space="preserve"> </w:t>
      </w:r>
      <w:r w:rsidR="00855220">
        <w:t xml:space="preserve">any testimony from </w:t>
      </w:r>
      <w:r w:rsidR="000A4BC5">
        <w:t>Elizabeth</w:t>
      </w:r>
      <w:r w:rsidR="00855220">
        <w:t xml:space="preserve"> would be consistent wit</w:t>
      </w:r>
      <w:r w:rsidR="000A4BC5">
        <w:t xml:space="preserve">h her declaration.  </w:t>
      </w:r>
      <w:r w:rsidR="00855220">
        <w:t xml:space="preserve">In another case, where the proffered testimony </w:t>
      </w:r>
      <w:r w:rsidR="00805A47">
        <w:t>i</w:t>
      </w:r>
      <w:r w:rsidR="00855220">
        <w:t xml:space="preserve">s less damaging to the prosecution’s trial evidence, such an approach might be proper.  But here, testimony consistent with Elizabeth’s declaration, </w:t>
      </w:r>
      <w:r w:rsidR="00855220" w:rsidRPr="005E325A">
        <w:rPr>
          <w:i/>
          <w:iCs/>
        </w:rPr>
        <w:t xml:space="preserve">if </w:t>
      </w:r>
      <w:r w:rsidR="00492F9C">
        <w:rPr>
          <w:i/>
          <w:iCs/>
        </w:rPr>
        <w:t>at all credible</w:t>
      </w:r>
      <w:r w:rsidR="00855220">
        <w:t xml:space="preserve">, would </w:t>
      </w:r>
      <w:r w:rsidR="001E3079">
        <w:t>have</w:t>
      </w:r>
      <w:r w:rsidR="00855220">
        <w:t xml:space="preserve"> require</w:t>
      </w:r>
      <w:r w:rsidR="001E3079">
        <w:t>d</w:t>
      </w:r>
      <w:r w:rsidR="00855220">
        <w:t xml:space="preserve"> the trial court to grant defendant</w:t>
      </w:r>
      <w:r w:rsidR="001E3079">
        <w:t xml:space="preserve"> a</w:t>
      </w:r>
      <w:r w:rsidR="00855220">
        <w:t xml:space="preserve"> new trial because it would </w:t>
      </w:r>
      <w:r w:rsidR="001E3079">
        <w:t xml:space="preserve">have </w:t>
      </w:r>
      <w:r w:rsidR="00855220">
        <w:t>render</w:t>
      </w:r>
      <w:r w:rsidR="001E3079">
        <w:t>ed</w:t>
      </w:r>
      <w:r w:rsidR="00855220">
        <w:t xml:space="preserve"> probable a different result at trial. </w:t>
      </w:r>
      <w:r w:rsidR="00805A47">
        <w:t xml:space="preserve"> (See </w:t>
      </w:r>
      <w:r w:rsidR="00805A47" w:rsidRPr="005E325A">
        <w:rPr>
          <w:i/>
          <w:iCs/>
        </w:rPr>
        <w:t>Cooper</w:t>
      </w:r>
      <w:r w:rsidR="00805A47" w:rsidRPr="00805A47">
        <w:t xml:space="preserve">, </w:t>
      </w:r>
      <w:r w:rsidR="00805A47" w:rsidRPr="005E325A">
        <w:rPr>
          <w:i/>
          <w:iCs/>
        </w:rPr>
        <w:t>supra</w:t>
      </w:r>
      <w:r w:rsidR="00805A47">
        <w:t xml:space="preserve">, 95 Cal.App.3d at p. 852.) </w:t>
      </w:r>
      <w:r w:rsidR="00855220">
        <w:t xml:space="preserve"> </w:t>
      </w:r>
      <w:r w:rsidR="00805A47">
        <w:t xml:space="preserve">Our reading of the transcript suggests that </w:t>
      </w:r>
      <w:r w:rsidR="001E3079">
        <w:t>the trial court denied the motion here because it did not</w:t>
      </w:r>
      <w:r w:rsidR="00492F9C">
        <w:t>, in fact,</w:t>
      </w:r>
      <w:r w:rsidR="001E3079">
        <w:t xml:space="preserve"> </w:t>
      </w:r>
      <w:r w:rsidR="00805A47">
        <w:t>find</w:t>
      </w:r>
      <w:r w:rsidR="001E3079">
        <w:t xml:space="preserve"> Elizabeth’s sworn declaration</w:t>
      </w:r>
      <w:r w:rsidR="00805A47">
        <w:t xml:space="preserve"> credible</w:t>
      </w:r>
      <w:r w:rsidR="001E3079">
        <w:t xml:space="preserve">. </w:t>
      </w:r>
      <w:r w:rsidR="00805A47">
        <w:t xml:space="preserve"> “[I]t is difficult for the Court to believe that if her statement were true, it would not have come” to light earlier, the court explained.  </w:t>
      </w:r>
    </w:p>
    <w:p w14:paraId="477560A8" w14:textId="7B1F21AF" w:rsidR="00982A2B" w:rsidRDefault="006645D2" w:rsidP="001E3079">
      <w:pPr>
        <w:spacing w:line="360" w:lineRule="auto"/>
        <w:contextualSpacing/>
      </w:pPr>
      <w:r>
        <w:tab/>
      </w:r>
      <w:r w:rsidR="00D4460D">
        <w:t xml:space="preserve">Although </w:t>
      </w:r>
      <w:r>
        <w:t xml:space="preserve">a </w:t>
      </w:r>
      <w:r w:rsidR="005D24E8">
        <w:t>defendant</w:t>
      </w:r>
      <w:r w:rsidR="00D4460D">
        <w:t xml:space="preserve"> </w:t>
      </w:r>
      <w:r>
        <w:t>does not have a</w:t>
      </w:r>
      <w:r w:rsidR="00D4460D">
        <w:t xml:space="preserve"> right to an evidentiary hearing</w:t>
      </w:r>
      <w:r w:rsidR="001E3079">
        <w:t xml:space="preserve"> on a new trial motion</w:t>
      </w:r>
      <w:r w:rsidR="00D4460D">
        <w:t xml:space="preserve">, the court </w:t>
      </w:r>
      <w:r>
        <w:t xml:space="preserve">has </w:t>
      </w:r>
      <w:r w:rsidR="00371630">
        <w:t>authority</w:t>
      </w:r>
      <w:r w:rsidR="00D4460D">
        <w:t xml:space="preserve"> to order one</w:t>
      </w:r>
      <w:r w:rsidR="000D4F98">
        <w:t>.  (</w:t>
      </w:r>
      <w:r w:rsidR="000D4F98" w:rsidRPr="009B0AB2">
        <w:rPr>
          <w:i/>
          <w:iCs/>
        </w:rPr>
        <w:t>People v. Hedgecock</w:t>
      </w:r>
      <w:r w:rsidR="00D4460D">
        <w:t xml:space="preserve"> </w:t>
      </w:r>
      <w:r w:rsidR="000D4F98">
        <w:t>(1990) 51 Cal</w:t>
      </w:r>
      <w:r w:rsidR="009B0AB2">
        <w:t>.</w:t>
      </w:r>
      <w:r w:rsidR="000D4F98">
        <w:t>3d 395, 415</w:t>
      </w:r>
      <w:r w:rsidR="009B0AB2">
        <w:t xml:space="preserve">, 417, 419; </w:t>
      </w:r>
      <w:r w:rsidR="009B0AB2" w:rsidRPr="009B0AB2">
        <w:rPr>
          <w:i/>
          <w:iCs/>
        </w:rPr>
        <w:t>People v. Hayes</w:t>
      </w:r>
      <w:r w:rsidR="009B0AB2">
        <w:t xml:space="preserve"> (1999) 21 Cal.4th 1211, 1255.)  </w:t>
      </w:r>
      <w:r w:rsidR="006C6AB6">
        <w:t>Indeed</w:t>
      </w:r>
      <w:r w:rsidR="009B0AB2">
        <w:t xml:space="preserve">, our Supreme Court has </w:t>
      </w:r>
      <w:r w:rsidR="00C80FFB">
        <w:t>acknowledged</w:t>
      </w:r>
      <w:r w:rsidR="009B0AB2">
        <w:t xml:space="preserve"> the value of </w:t>
      </w:r>
      <w:r w:rsidR="00724E19">
        <w:t>an evidentiary</w:t>
      </w:r>
      <w:r w:rsidR="009B0AB2">
        <w:t xml:space="preserve"> hearing when material facts </w:t>
      </w:r>
      <w:r w:rsidR="007C54A2">
        <w:t xml:space="preserve">are in dispute.  </w:t>
      </w:r>
      <w:r w:rsidR="009B0AB2">
        <w:t>(</w:t>
      </w:r>
      <w:r w:rsidR="009B0AB2" w:rsidRPr="007C54A2">
        <w:rPr>
          <w:i/>
          <w:iCs/>
        </w:rPr>
        <w:t>Ibid</w:t>
      </w:r>
      <w:r w:rsidR="009B0AB2">
        <w:t>.)</w:t>
      </w:r>
      <w:r w:rsidR="001E3079">
        <w:t xml:space="preserve">  Here, </w:t>
      </w:r>
      <w:r w:rsidR="001E3079">
        <w:lastRenderedPageBreak/>
        <w:t>h</w:t>
      </w:r>
      <w:r w:rsidR="00B11EEC">
        <w:t xml:space="preserve">ad </w:t>
      </w:r>
      <w:r w:rsidR="00746A28">
        <w:t xml:space="preserve">Elizabeth </w:t>
      </w:r>
      <w:r w:rsidR="00B11EEC">
        <w:t>been</w:t>
      </w:r>
      <w:r w:rsidR="00746A28">
        <w:t xml:space="preserve"> examined about her statement, the parties could </w:t>
      </w:r>
      <w:r w:rsidR="001E3079">
        <w:t xml:space="preserve">have </w:t>
      </w:r>
      <w:r w:rsidR="00746A28">
        <w:t>probe</w:t>
      </w:r>
      <w:r w:rsidR="001E3079">
        <w:t>d</w:t>
      </w:r>
      <w:r w:rsidR="00746A28">
        <w:t xml:space="preserve"> her account for strengths and weaknesses, </w:t>
      </w:r>
      <w:r w:rsidR="00D762F4">
        <w:t>which might have clarified</w:t>
      </w:r>
      <w:r w:rsidR="00746A28">
        <w:t xml:space="preserve"> whether </w:t>
      </w:r>
      <w:r w:rsidR="001E3079">
        <w:t xml:space="preserve">the </w:t>
      </w:r>
      <w:r w:rsidR="00B11EEC">
        <w:t xml:space="preserve">new evidence was </w:t>
      </w:r>
      <w:r w:rsidR="006C6AB6">
        <w:t xml:space="preserve">sufficiently </w:t>
      </w:r>
      <w:r w:rsidR="00492F9C">
        <w:t xml:space="preserve">credible </w:t>
      </w:r>
      <w:r w:rsidR="006C6AB6">
        <w:t>to warrant a new trial</w:t>
      </w:r>
      <w:r w:rsidR="00D4460D">
        <w:t>.</w:t>
      </w:r>
      <w:r w:rsidR="00746A28">
        <w:t xml:space="preserve">  </w:t>
      </w:r>
      <w:r w:rsidR="009B0AB2">
        <w:t xml:space="preserve">(See </w:t>
      </w:r>
      <w:r w:rsidR="009B0AB2" w:rsidRPr="00DD0761">
        <w:rPr>
          <w:i/>
          <w:iCs/>
        </w:rPr>
        <w:t>Hedgecock</w:t>
      </w:r>
      <w:r w:rsidR="00AC354B" w:rsidRPr="00AC354B">
        <w:t>,</w:t>
      </w:r>
      <w:r w:rsidR="009B0AB2" w:rsidRPr="00DD0761">
        <w:rPr>
          <w:i/>
          <w:iCs/>
        </w:rPr>
        <w:t xml:space="preserve"> </w:t>
      </w:r>
      <w:r w:rsidR="009B0AB2">
        <w:t xml:space="preserve">at p. 417 [“when compared to the use of affidavits, a hearing at which witnesses testify and are subject </w:t>
      </w:r>
      <w:r w:rsidR="00DD0761">
        <w:t>to cross-examination is a more reliable means of determining whether misconduct occurred”</w:t>
      </w:r>
      <w:r w:rsidR="009C0AA9">
        <w:t>]</w:t>
      </w:r>
      <w:r w:rsidR="00DD0761">
        <w:t xml:space="preserve">.)  </w:t>
      </w:r>
      <w:r w:rsidR="001E3079">
        <w:t>A</w:t>
      </w:r>
      <w:r w:rsidR="00DD0761">
        <w:t>t a</w:t>
      </w:r>
      <w:r w:rsidR="009C0AA9">
        <w:t>n evidentiary</w:t>
      </w:r>
      <w:r w:rsidR="00DD0761">
        <w:t xml:space="preserve"> hearing, the trial </w:t>
      </w:r>
      <w:r w:rsidR="00746A28">
        <w:t xml:space="preserve">court could </w:t>
      </w:r>
      <w:r w:rsidR="00DD0761">
        <w:t xml:space="preserve">have </w:t>
      </w:r>
      <w:r w:rsidR="00492F9C">
        <w:t xml:space="preserve">assessed whether Elizabeth was indeed willing to testify consistently with her declaration, and it could have </w:t>
      </w:r>
      <w:r w:rsidR="00DD0761">
        <w:t xml:space="preserve">observed </w:t>
      </w:r>
      <w:r w:rsidR="00492F9C">
        <w:t xml:space="preserve">her </w:t>
      </w:r>
      <w:r w:rsidR="00DD0761">
        <w:t xml:space="preserve">demeanor </w:t>
      </w:r>
      <w:r w:rsidR="00492F9C">
        <w:t>in</w:t>
      </w:r>
      <w:r w:rsidR="00DD0761">
        <w:t xml:space="preserve"> </w:t>
      </w:r>
      <w:r w:rsidR="00492F9C">
        <w:t xml:space="preserve">evaluating whether a jury could find </w:t>
      </w:r>
      <w:r w:rsidR="00DD0761">
        <w:t xml:space="preserve">her </w:t>
      </w:r>
      <w:r w:rsidR="00746A28">
        <w:t>credib</w:t>
      </w:r>
      <w:r w:rsidR="00492F9C">
        <w:t>le</w:t>
      </w:r>
      <w:r w:rsidR="00746A28">
        <w:t xml:space="preserve">.  </w:t>
      </w:r>
    </w:p>
    <w:p w14:paraId="048F289C" w14:textId="63401C2C" w:rsidR="00831E82" w:rsidRDefault="00DD0761" w:rsidP="00C60B7D">
      <w:pPr>
        <w:spacing w:line="360" w:lineRule="auto"/>
        <w:contextualSpacing/>
      </w:pPr>
      <w:r>
        <w:tab/>
      </w:r>
      <w:r w:rsidR="00866B5F">
        <w:t>The People analogize Elizabeth to a w</w:t>
      </w:r>
      <w:r w:rsidR="00831E82">
        <w:t xml:space="preserve">itness who gave testimony and then retracted it, positing that </w:t>
      </w:r>
      <w:r w:rsidR="003219EF">
        <w:t>her declaration</w:t>
      </w:r>
      <w:r w:rsidR="00831E82">
        <w:t xml:space="preserve"> must be “</w:t>
      </w:r>
      <w:r w:rsidR="00705469">
        <w:t> ‘</w:t>
      </w:r>
      <w:r w:rsidR="00831E82">
        <w:t>viewed with suspicion.</w:t>
      </w:r>
      <w:r w:rsidR="00705469">
        <w:t>’ </w:t>
      </w:r>
      <w:r w:rsidR="00831E82">
        <w:t xml:space="preserve">”  (Quoting </w:t>
      </w:r>
      <w:r w:rsidR="00831E82" w:rsidRPr="00831E82">
        <w:rPr>
          <w:i/>
          <w:iCs/>
        </w:rPr>
        <w:t>In re Weber</w:t>
      </w:r>
      <w:r w:rsidR="00831E82">
        <w:t xml:space="preserve"> (1974) 11 Cal.3d 703, 704.)  The </w:t>
      </w:r>
      <w:r w:rsidR="003219EF">
        <w:t xml:space="preserve">People’s </w:t>
      </w:r>
      <w:r w:rsidR="00831E82">
        <w:t xml:space="preserve">analogy does not hold, as the jury heard </w:t>
      </w:r>
      <w:r w:rsidR="001B300F">
        <w:t xml:space="preserve">nothing from Elizabeth; they only heard </w:t>
      </w:r>
      <w:r w:rsidR="00831E82">
        <w:t>from Jane Doe and Melissa.  In any event, even when a new trial is based on a witness’s recantation, the role of the trial court “</w:t>
      </w:r>
      <w:r w:rsidR="00C60B7D">
        <w:t xml:space="preserve">is to determine whether the new evidence is credible, i.e., worthy of belief by the jury.  That determination is made after a consideration of </w:t>
      </w:r>
      <w:r w:rsidR="00C60B7D" w:rsidRPr="009F4BD6">
        <w:rPr>
          <w:i/>
          <w:iCs/>
        </w:rPr>
        <w:t>all the facts</w:t>
      </w:r>
      <w:r w:rsidR="00C60B7D">
        <w:t xml:space="preserve"> pertinent to the particular issue.  The trial court is not the final arbiter of the truth or falsity of the new evidence.”  (</w:t>
      </w:r>
      <w:r w:rsidR="00C60B7D" w:rsidRPr="00C60B7D">
        <w:rPr>
          <w:i/>
          <w:iCs/>
        </w:rPr>
        <w:t>People v. Minnick</w:t>
      </w:r>
      <w:r w:rsidR="00C60B7D">
        <w:t xml:space="preserve"> (1989) 214 Cal.App.</w:t>
      </w:r>
      <w:r w:rsidR="00292E52">
        <w:t>3</w:t>
      </w:r>
      <w:r w:rsidR="00C60B7D">
        <w:t>d 1478, 1482</w:t>
      </w:r>
      <w:r w:rsidR="00705469">
        <w:t>,</w:t>
      </w:r>
      <w:r w:rsidR="009F4BD6">
        <w:t xml:space="preserve"> </w:t>
      </w:r>
      <w:r w:rsidR="00705469">
        <w:t xml:space="preserve">italics </w:t>
      </w:r>
      <w:r w:rsidR="009F4BD6">
        <w:t>added</w:t>
      </w:r>
      <w:r w:rsidR="00C60B7D">
        <w:t xml:space="preserve">.)  </w:t>
      </w:r>
    </w:p>
    <w:p w14:paraId="0B3A237A" w14:textId="4F852456" w:rsidR="003219EF" w:rsidRDefault="003219EF" w:rsidP="00C60B7D">
      <w:pPr>
        <w:spacing w:line="360" w:lineRule="auto"/>
        <w:contextualSpacing/>
      </w:pPr>
      <w:r>
        <w:tab/>
        <w:t xml:space="preserve">In </w:t>
      </w:r>
      <w:r w:rsidR="00DC6D0E">
        <w:t>the</w:t>
      </w:r>
      <w:r>
        <w:t xml:space="preserve"> similar though not </w:t>
      </w:r>
      <w:r w:rsidR="00CB26E2">
        <w:t xml:space="preserve">identical </w:t>
      </w:r>
      <w:r>
        <w:t xml:space="preserve">situation of a witness who comes forward to confess to a crime for which the defendant was convicted, </w:t>
      </w:r>
      <w:r w:rsidR="005C0287">
        <w:t xml:space="preserve">it has been held that </w:t>
      </w:r>
      <w:r w:rsidR="00CB26E2">
        <w:t xml:space="preserve">a </w:t>
      </w:r>
      <w:r w:rsidR="005C0287">
        <w:t xml:space="preserve">trial court ruling on a new trial motion should take </w:t>
      </w:r>
      <w:r w:rsidR="00DE463B">
        <w:t>“</w:t>
      </w:r>
      <w:r w:rsidR="005C0287">
        <w:t xml:space="preserve">advantage of what purport[s] to be critical new evidence” by taking “affirmative action” to call the declarant as a witness and examine him or her under oath, thus allowing the witness to be questioned fully about the </w:t>
      </w:r>
      <w:r w:rsidR="005C0287">
        <w:lastRenderedPageBreak/>
        <w:t>contents of the declaration.  (</w:t>
      </w:r>
      <w:r w:rsidR="005C0287" w:rsidRPr="00A74E7B">
        <w:rPr>
          <w:i/>
          <w:iCs/>
        </w:rPr>
        <w:t>People v. Hairgrove</w:t>
      </w:r>
      <w:r w:rsidR="005C0287">
        <w:t xml:space="preserve"> </w:t>
      </w:r>
      <w:r w:rsidR="00A74E7B">
        <w:t xml:space="preserve">(1971) 18 Cal.App.3d 606, 610.)  </w:t>
      </w:r>
      <w:r w:rsidR="001B300F">
        <w:t xml:space="preserve">If the court had followed that course here, </w:t>
      </w:r>
      <w:r w:rsidR="00A74E7B">
        <w:t>Elizabeth</w:t>
      </w:r>
      <w:r w:rsidR="001B300F">
        <w:t>’s testimony</w:t>
      </w:r>
      <w:r w:rsidR="00A74E7B">
        <w:t xml:space="preserve"> could potentially have established that there was substantial merit to the new trial motion or</w:t>
      </w:r>
      <w:r w:rsidR="00D762F4">
        <w:t>, alternatively,</w:t>
      </w:r>
      <w:r w:rsidR="00A74E7B">
        <w:t xml:space="preserve"> that Elizabeth </w:t>
      </w:r>
      <w:r w:rsidR="00D762F4">
        <w:t xml:space="preserve">had </w:t>
      </w:r>
      <w:r w:rsidR="00492F9C">
        <w:t xml:space="preserve">clearly </w:t>
      </w:r>
      <w:r w:rsidR="00A74E7B">
        <w:t xml:space="preserve">perjured herself to help </w:t>
      </w:r>
      <w:r w:rsidR="005D24E8">
        <w:t>defendant</w:t>
      </w:r>
      <w:r w:rsidR="00A74E7B">
        <w:t xml:space="preserve">.  “Either outcome would have contributed positively to the administration of justice,” and even if Elizabeth’s testimony turned out to be inconclusive, “at least the court would have had all available information before it in ruling on the motion for </w:t>
      </w:r>
      <w:r w:rsidR="00705469">
        <w:t xml:space="preserve">a </w:t>
      </w:r>
      <w:r w:rsidR="00A74E7B">
        <w:t>new trial.”  (</w:t>
      </w:r>
      <w:r w:rsidR="001B300F">
        <w:rPr>
          <w:i/>
          <w:iCs/>
        </w:rPr>
        <w:t>Hairgrove</w:t>
      </w:r>
      <w:r w:rsidR="001B300F">
        <w:t>,</w:t>
      </w:r>
      <w:r w:rsidR="00A74E7B">
        <w:t xml:space="preserve"> at </w:t>
      </w:r>
      <w:r w:rsidR="001B300F">
        <w:t>p</w:t>
      </w:r>
      <w:r w:rsidR="00A74E7B">
        <w:t>p. 610</w:t>
      </w:r>
      <w:r w:rsidR="00AC354B">
        <w:t>–</w:t>
      </w:r>
      <w:r w:rsidR="00A74E7B">
        <w:t>611.)</w:t>
      </w:r>
    </w:p>
    <w:p w14:paraId="22FFCD3E" w14:textId="347ECA9F" w:rsidR="00A74E7B" w:rsidRDefault="00A74E7B" w:rsidP="00A74E7B">
      <w:pPr>
        <w:spacing w:line="360" w:lineRule="auto"/>
        <w:contextualSpacing/>
      </w:pPr>
      <w:r>
        <w:tab/>
        <w:t>Our Supreme Court has held that a ruling on a new trial motion will not be disturbed on appeal “ ‘</w:t>
      </w:r>
      <w:r w:rsidR="00705469">
        <w:t> “</w:t>
      </w:r>
      <w:r>
        <w:t>unless a manifest and unmistakable abuse of discretion clearly appears.</w:t>
      </w:r>
      <w:r w:rsidR="00705469">
        <w:t>” </w:t>
      </w:r>
      <w:r>
        <w:t>’ ”  (</w:t>
      </w:r>
      <w:r w:rsidR="00C4277D">
        <w:rPr>
          <w:i/>
          <w:iCs/>
        </w:rPr>
        <w:t xml:space="preserve">People v. Carter </w:t>
      </w:r>
      <w:r w:rsidR="00C4277D" w:rsidRPr="00C4277D">
        <w:t>(2005) 36 Cal.4th 1114, 1210</w:t>
      </w:r>
      <w:r>
        <w:t xml:space="preserve">.) </w:t>
      </w:r>
      <w:r w:rsidR="0032736D">
        <w:t xml:space="preserve"> </w:t>
      </w:r>
      <w:r w:rsidRPr="00660CCF">
        <w:t xml:space="preserve">However, the Court has also </w:t>
      </w:r>
      <w:r w:rsidR="00660CCF" w:rsidRPr="00660CCF">
        <w:t xml:space="preserve">recognized that such an abuse can occur where affidavits produced by the moving party constitute </w:t>
      </w:r>
      <w:r w:rsidR="00C83566">
        <w:t>material</w:t>
      </w:r>
      <w:r w:rsidR="00660CCF" w:rsidRPr="00660CCF">
        <w:t xml:space="preserve"> evidence that the defendant may have been falsely convicted.  (</w:t>
      </w:r>
      <w:r w:rsidR="00660CCF" w:rsidRPr="00660CCF">
        <w:rPr>
          <w:i/>
          <w:iCs/>
        </w:rPr>
        <w:t>People v. Williams</w:t>
      </w:r>
      <w:r w:rsidR="00660CCF" w:rsidRPr="00660CCF">
        <w:t xml:space="preserve"> (1962) 57 Cal.2d 263, 275.)  </w:t>
      </w:r>
      <w:r w:rsidR="00E73A29" w:rsidRPr="00660CCF">
        <w:t xml:space="preserve">To be sure, </w:t>
      </w:r>
      <w:r w:rsidR="003C2F86" w:rsidRPr="00660CCF">
        <w:rPr>
          <w:i/>
          <w:iCs/>
        </w:rPr>
        <w:t>Williams</w:t>
      </w:r>
      <w:r w:rsidR="00FB5A71" w:rsidRPr="00660CCF">
        <w:t xml:space="preserve"> involved</w:t>
      </w:r>
      <w:r w:rsidR="003C2F86" w:rsidRPr="00660CCF">
        <w:t xml:space="preserve"> </w:t>
      </w:r>
      <w:r w:rsidR="00E73A29" w:rsidRPr="00660CCF">
        <w:t xml:space="preserve">unique facts; </w:t>
      </w:r>
      <w:r w:rsidR="003C2F86" w:rsidRPr="00660CCF">
        <w:t xml:space="preserve">unbiased affiants </w:t>
      </w:r>
      <w:r w:rsidR="00334876" w:rsidRPr="00660CCF">
        <w:t xml:space="preserve">who </w:t>
      </w:r>
      <w:r w:rsidR="00FB5A71" w:rsidRPr="00660CCF">
        <w:t>came forward with</w:t>
      </w:r>
      <w:r w:rsidR="00334876" w:rsidRPr="00660CCF">
        <w:t xml:space="preserve"> new</w:t>
      </w:r>
      <w:r w:rsidR="003C2F86" w:rsidRPr="00660CCF">
        <w:t xml:space="preserve"> evidence that </w:t>
      </w:r>
      <w:r w:rsidR="00FB5A71" w:rsidRPr="00660CCF">
        <w:t>undermined the uncorroborated testimony of a single prosecution witness and provided the defendant with a complete defense.  (</w:t>
      </w:r>
      <w:r w:rsidR="00FB5A71" w:rsidRPr="00660CCF">
        <w:rPr>
          <w:i/>
          <w:iCs/>
        </w:rPr>
        <w:t>Id</w:t>
      </w:r>
      <w:r w:rsidR="00FB5A71" w:rsidRPr="00660CCF">
        <w:t>. at p</w:t>
      </w:r>
      <w:r w:rsidR="00660CCF">
        <w:t>p</w:t>
      </w:r>
      <w:r w:rsidR="00FB5A71" w:rsidRPr="00660CCF">
        <w:t>. 27</w:t>
      </w:r>
      <w:r w:rsidR="00E73A29" w:rsidRPr="00660CCF">
        <w:t>0</w:t>
      </w:r>
      <w:r w:rsidR="00AC354B">
        <w:t>–</w:t>
      </w:r>
      <w:r w:rsidR="00E73A29" w:rsidRPr="00660CCF">
        <w:t>271</w:t>
      </w:r>
      <w:r w:rsidR="00334876" w:rsidRPr="00660CCF">
        <w:t xml:space="preserve">.)  </w:t>
      </w:r>
      <w:r w:rsidR="00E73A29" w:rsidRPr="00660CCF">
        <w:t xml:space="preserve">Nevertheless, in concluding that </w:t>
      </w:r>
      <w:r w:rsidR="00334876" w:rsidRPr="00660CCF">
        <w:t xml:space="preserve">it was </w:t>
      </w:r>
      <w:r w:rsidR="004B3CB1" w:rsidRPr="00660CCF">
        <w:t>“an abuse of discretion for the trial court not to have granted defendant’s motion for a new trial</w:t>
      </w:r>
      <w:r w:rsidR="00C83566">
        <w:t>,</w:t>
      </w:r>
      <w:r w:rsidR="004B3CB1" w:rsidRPr="00660CCF">
        <w:t>”</w:t>
      </w:r>
      <w:r w:rsidR="00E73A29" w:rsidRPr="00660CCF">
        <w:t xml:space="preserve"> </w:t>
      </w:r>
      <w:r w:rsidR="00660CCF" w:rsidRPr="00660CCF">
        <w:t>t</w:t>
      </w:r>
      <w:r w:rsidR="00E73A29" w:rsidRPr="00660CCF">
        <w:t xml:space="preserve">he Court </w:t>
      </w:r>
      <w:r w:rsidR="00660CCF" w:rsidRPr="00660CCF">
        <w:t xml:space="preserve">emphasized that where “affidavits . . . disclose a deliberate scheme to produce false evidence and to abuse and subvert the process of the court for the purpose of bringing about the conviction of an innocent man,” courts “must be particularly sensitive to prevent such a criminal perversion of their proper functions.”  </w:t>
      </w:r>
      <w:r w:rsidR="004B3CB1" w:rsidRPr="00660CCF">
        <w:t>(</w:t>
      </w:r>
      <w:r w:rsidR="004B3CB1" w:rsidRPr="00660CCF">
        <w:rPr>
          <w:i/>
          <w:iCs/>
        </w:rPr>
        <w:t>Id</w:t>
      </w:r>
      <w:r w:rsidR="004B3CB1" w:rsidRPr="00660CCF">
        <w:t>.</w:t>
      </w:r>
      <w:r w:rsidR="00705469">
        <w:t xml:space="preserve"> at p. 275</w:t>
      </w:r>
      <w:r w:rsidR="004B3CB1" w:rsidRPr="00660CCF">
        <w:t>;</w:t>
      </w:r>
      <w:r w:rsidR="004B3CB1">
        <w:t xml:space="preserve"> see also </w:t>
      </w:r>
      <w:r w:rsidR="004B3CB1" w:rsidRPr="00A44E26">
        <w:rPr>
          <w:i/>
          <w:iCs/>
        </w:rPr>
        <w:t>In re Sagin</w:t>
      </w:r>
      <w:r w:rsidR="004B3CB1">
        <w:t xml:space="preserve"> (2019) 39 Cal.App.5</w:t>
      </w:r>
      <w:r w:rsidR="004B3CB1" w:rsidRPr="004B3CB1">
        <w:t>th</w:t>
      </w:r>
      <w:r w:rsidR="004B3CB1">
        <w:t xml:space="preserve"> 570 [vacating conviction on petition for habeas corpus in light of newly discovered </w:t>
      </w:r>
      <w:r w:rsidR="00C83566">
        <w:t xml:space="preserve">DNA </w:t>
      </w:r>
      <w:r w:rsidR="004B3CB1">
        <w:t>evidence].</w:t>
      </w:r>
      <w:r>
        <w:t xml:space="preserve">)  </w:t>
      </w:r>
    </w:p>
    <w:p w14:paraId="0E74054F" w14:textId="66C59D66" w:rsidR="00CB26E2" w:rsidRDefault="001B300F" w:rsidP="00C60B7D">
      <w:pPr>
        <w:spacing w:line="360" w:lineRule="auto"/>
        <w:contextualSpacing/>
      </w:pPr>
      <w:r>
        <w:lastRenderedPageBreak/>
        <w:tab/>
      </w:r>
      <w:r w:rsidR="00866B5F">
        <w:t>On the record presented to us, we conclude Elizabeth’s declaration does constitute new evidence, and the trial court</w:t>
      </w:r>
      <w:r w:rsidR="00C83566">
        <w:t>’s first error was in concluding otherwise.  It also</w:t>
      </w:r>
      <w:r w:rsidR="00866B5F">
        <w:t xml:space="preserve"> failed </w:t>
      </w:r>
      <w:r w:rsidR="004B3CB1">
        <w:t xml:space="preserve">properly </w:t>
      </w:r>
      <w:r w:rsidR="00866B5F">
        <w:t xml:space="preserve">to evaluate the credibility </w:t>
      </w:r>
      <w:r w:rsidR="00BD0CC4">
        <w:t xml:space="preserve">and force </w:t>
      </w:r>
      <w:r w:rsidR="00866B5F">
        <w:t xml:space="preserve">of </w:t>
      </w:r>
      <w:r w:rsidR="00C83566">
        <w:t xml:space="preserve">this </w:t>
      </w:r>
      <w:r w:rsidR="00866B5F">
        <w:t xml:space="preserve">evidence.  </w:t>
      </w:r>
      <w:r w:rsidR="00DC6D0E">
        <w:t>The</w:t>
      </w:r>
      <w:r w:rsidR="00C07592">
        <w:t xml:space="preserve"> </w:t>
      </w:r>
      <w:r w:rsidR="0062709A">
        <w:t xml:space="preserve">court </w:t>
      </w:r>
      <w:r w:rsidR="00A82B8E">
        <w:t xml:space="preserve">appears to have </w:t>
      </w:r>
      <w:r w:rsidR="0062709A">
        <w:t xml:space="preserve">surmised </w:t>
      </w:r>
      <w:r w:rsidR="00C07592">
        <w:t>that Elizabeth’s</w:t>
      </w:r>
      <w:r w:rsidR="00A74E7B">
        <w:t xml:space="preserve"> account</w:t>
      </w:r>
      <w:r w:rsidR="0062709A">
        <w:t xml:space="preserve"> was not true based</w:t>
      </w:r>
      <w:r w:rsidR="00C07592">
        <w:t xml:space="preserve"> primarily, if not </w:t>
      </w:r>
      <w:r w:rsidR="0062709A">
        <w:t>solely</w:t>
      </w:r>
      <w:r w:rsidR="009F4BD6">
        <w:t>,</w:t>
      </w:r>
      <w:r w:rsidR="0062709A">
        <w:t xml:space="preserve"> on</w:t>
      </w:r>
      <w:r w:rsidR="00AF0A40">
        <w:t xml:space="preserve"> the timing of</w:t>
      </w:r>
      <w:r w:rsidR="00C07592">
        <w:t xml:space="preserve"> her disclosure.  And </w:t>
      </w:r>
      <w:r w:rsidR="009F4BD6">
        <w:t>the court’s ultimate conclusion</w:t>
      </w:r>
      <w:r w:rsidR="00C07592">
        <w:t xml:space="preserve"> that granting </w:t>
      </w:r>
      <w:r w:rsidR="004B3CB1">
        <w:t xml:space="preserve">the </w:t>
      </w:r>
      <w:r w:rsidR="00C07592">
        <w:t xml:space="preserve">new trial motion would not likely change the outcome </w:t>
      </w:r>
      <w:r w:rsidR="009F4BD6">
        <w:t xml:space="preserve">of this case was </w:t>
      </w:r>
      <w:r w:rsidR="00C07592">
        <w:t xml:space="preserve">based on its </w:t>
      </w:r>
      <w:r w:rsidR="004B3CB1">
        <w:t xml:space="preserve">determination </w:t>
      </w:r>
      <w:r w:rsidR="00C07592">
        <w:t xml:space="preserve">that the </w:t>
      </w:r>
      <w:r w:rsidR="00CB26E2">
        <w:t xml:space="preserve">two </w:t>
      </w:r>
      <w:r w:rsidR="00C07592">
        <w:t xml:space="preserve">witnesses who were allowed to testify were compelling, without considering </w:t>
      </w:r>
      <w:r w:rsidR="00DD1AD7">
        <w:t xml:space="preserve">how the jury might have evaluated their testimony differently if </w:t>
      </w:r>
      <w:r w:rsidR="00CB26E2">
        <w:t>Elizabeth’s</w:t>
      </w:r>
      <w:r w:rsidR="009F4BD6">
        <w:t xml:space="preserve"> testimony </w:t>
      </w:r>
      <w:r w:rsidR="00A82B8E">
        <w:t xml:space="preserve">also </w:t>
      </w:r>
      <w:r w:rsidR="00DD1AD7">
        <w:t>proved to be compelling in its own right</w:t>
      </w:r>
      <w:r w:rsidR="00CB26E2">
        <w:t xml:space="preserve"> and if, as a result of Elizabeth’s testimony, the jury had heard from John Doe and his grandmother</w:t>
      </w:r>
      <w:r w:rsidR="009F4BD6">
        <w:t xml:space="preserve">.  </w:t>
      </w:r>
    </w:p>
    <w:p w14:paraId="1F27793C" w14:textId="15A4614D" w:rsidR="00C60B7D" w:rsidRPr="0008472A" w:rsidRDefault="00CB26E2" w:rsidP="00C60B7D">
      <w:pPr>
        <w:spacing w:line="360" w:lineRule="auto"/>
        <w:contextualSpacing/>
      </w:pPr>
      <w:r>
        <w:tab/>
      </w:r>
      <w:r w:rsidR="00DD1AD7">
        <w:t>W</w:t>
      </w:r>
      <w:r w:rsidR="009C0AA9">
        <w:t xml:space="preserve">e </w:t>
      </w:r>
      <w:r>
        <w:t>will not attempt to</w:t>
      </w:r>
      <w:r w:rsidR="00DD1AD7">
        <w:t xml:space="preserve"> assess Elizabeth’s credibility based on her sworn declaration alone, and for that reason </w:t>
      </w:r>
      <w:r w:rsidR="009C0AA9">
        <w:t xml:space="preserve">do not decide whether </w:t>
      </w:r>
      <w:r w:rsidR="005D24E8">
        <w:t>defendant</w:t>
      </w:r>
      <w:r w:rsidR="009C0AA9">
        <w:t xml:space="preserve"> is actually entitled to a new trial</w:t>
      </w:r>
      <w:r w:rsidR="00DD1AD7">
        <w:t xml:space="preserve">.  </w:t>
      </w:r>
      <w:r>
        <w:t>W</w:t>
      </w:r>
      <w:r w:rsidR="00DD1AD7">
        <w:t>e</w:t>
      </w:r>
      <w:r>
        <w:t xml:space="preserve"> do, however, conclude that </w:t>
      </w:r>
      <w:r w:rsidR="00DD1AD7">
        <w:t xml:space="preserve">the trial court </w:t>
      </w:r>
      <w:r>
        <w:t xml:space="preserve">clearly </w:t>
      </w:r>
      <w:r w:rsidR="00DD1AD7">
        <w:t xml:space="preserve">abused its discretion in denying </w:t>
      </w:r>
      <w:r>
        <w:t>defendant’s</w:t>
      </w:r>
      <w:r w:rsidR="00DD1AD7">
        <w:t xml:space="preserve"> new trial motion </w:t>
      </w:r>
      <w:r>
        <w:t xml:space="preserve">without first holding an evidentiary hearing that would enable it more clearly to assess the new evidence.  </w:t>
      </w:r>
    </w:p>
    <w:p w14:paraId="0B966258" w14:textId="49DA8FCB" w:rsidR="00996F7B" w:rsidRPr="00292E52" w:rsidRDefault="00292E52" w:rsidP="00292E52">
      <w:pPr>
        <w:keepNext/>
        <w:spacing w:line="360" w:lineRule="auto"/>
        <w:contextualSpacing/>
        <w:jc w:val="center"/>
        <w:rPr>
          <w:b/>
          <w:bCs/>
        </w:rPr>
      </w:pPr>
      <w:r w:rsidRPr="00292E52">
        <w:rPr>
          <w:b/>
          <w:bCs/>
        </w:rPr>
        <w:t>DISPOS</w:t>
      </w:r>
      <w:r w:rsidR="00CE0779">
        <w:rPr>
          <w:b/>
          <w:bCs/>
        </w:rPr>
        <w:t>I</w:t>
      </w:r>
      <w:r w:rsidRPr="00292E52">
        <w:rPr>
          <w:b/>
          <w:bCs/>
        </w:rPr>
        <w:t>TION</w:t>
      </w:r>
    </w:p>
    <w:p w14:paraId="60D7E377" w14:textId="613D5AE0" w:rsidR="00E16081" w:rsidRDefault="00292E52" w:rsidP="00E16081">
      <w:pPr>
        <w:spacing w:line="360" w:lineRule="auto"/>
        <w:contextualSpacing/>
      </w:pPr>
      <w:r>
        <w:tab/>
        <w:t xml:space="preserve">The judgment </w:t>
      </w:r>
      <w:r w:rsidR="00A82B8E">
        <w:t xml:space="preserve">and </w:t>
      </w:r>
      <w:r w:rsidR="00CB26E2">
        <w:t xml:space="preserve">the order denying the new trial motion </w:t>
      </w:r>
      <w:r w:rsidR="00A82B8E">
        <w:t xml:space="preserve">are </w:t>
      </w:r>
      <w:r w:rsidR="00CB26E2">
        <w:t xml:space="preserve">vacated, </w:t>
      </w:r>
      <w:r>
        <w:t xml:space="preserve">and the matter is remanded </w:t>
      </w:r>
      <w:r w:rsidR="00A82B8E">
        <w:t>to the trial court with directions to rehear the motion for a new trial</w:t>
      </w:r>
      <w:r>
        <w:t>.</w:t>
      </w:r>
    </w:p>
    <w:p w14:paraId="4C5B714E" w14:textId="09D42563" w:rsidR="00E16081" w:rsidRPr="00F03F30" w:rsidRDefault="00E16081" w:rsidP="00E16081">
      <w:pPr>
        <w:spacing w:line="240" w:lineRule="auto"/>
      </w:pPr>
      <w:r w:rsidRPr="00F03F30">
        <w:tab/>
      </w:r>
      <w:r w:rsidRPr="00F03F30">
        <w:tab/>
      </w:r>
      <w:r w:rsidRPr="00F03F30">
        <w:tab/>
      </w:r>
      <w:r w:rsidRPr="00F03F30">
        <w:tab/>
      </w:r>
      <w:r w:rsidRPr="00F03F30">
        <w:tab/>
      </w:r>
      <w:r w:rsidRPr="00F03F30">
        <w:tab/>
      </w:r>
      <w:r w:rsidRPr="00F03F30">
        <w:tab/>
        <w:t xml:space="preserve">TUCHER, </w:t>
      </w:r>
      <w:r>
        <w:t>P.</w:t>
      </w:r>
      <w:r w:rsidRPr="00F03F30">
        <w:t>J.</w:t>
      </w:r>
    </w:p>
    <w:p w14:paraId="6B16A03D" w14:textId="77777777" w:rsidR="00E16081" w:rsidRPr="00F03F30" w:rsidRDefault="00E16081" w:rsidP="00E16081">
      <w:pPr>
        <w:spacing w:line="240" w:lineRule="auto"/>
      </w:pPr>
    </w:p>
    <w:p w14:paraId="5E0E3B5F" w14:textId="77777777" w:rsidR="00E16081" w:rsidRPr="00F03F30" w:rsidRDefault="00E16081" w:rsidP="00E16081">
      <w:pPr>
        <w:spacing w:line="240" w:lineRule="auto"/>
      </w:pPr>
      <w:r w:rsidRPr="00F03F30">
        <w:t>WE CONCUR:</w:t>
      </w:r>
    </w:p>
    <w:p w14:paraId="6308850D" w14:textId="77777777" w:rsidR="00E16081" w:rsidRPr="00F03F30" w:rsidRDefault="00E16081" w:rsidP="00E16081">
      <w:pPr>
        <w:spacing w:line="240" w:lineRule="auto"/>
      </w:pPr>
    </w:p>
    <w:p w14:paraId="58E51FE2" w14:textId="77777777" w:rsidR="00E16081" w:rsidRPr="00F03F30" w:rsidRDefault="00E16081" w:rsidP="00E16081">
      <w:pPr>
        <w:spacing w:line="240" w:lineRule="auto"/>
      </w:pPr>
      <w:r>
        <w:t>FUJISAKI, J.</w:t>
      </w:r>
    </w:p>
    <w:p w14:paraId="66F97903" w14:textId="00D37CBE" w:rsidR="00E16081" w:rsidRDefault="00E16081" w:rsidP="00E16081">
      <w:pPr>
        <w:spacing w:line="240" w:lineRule="auto"/>
        <w:rPr>
          <w:i/>
          <w:sz w:val="16"/>
          <w:szCs w:val="16"/>
        </w:rPr>
      </w:pPr>
      <w:r>
        <w:t>RODR</w:t>
      </w:r>
      <w:r w:rsidRPr="00DC3180">
        <w:t>Í</w:t>
      </w:r>
      <w:r>
        <w:t>GUEZ</w:t>
      </w:r>
      <w:r w:rsidRPr="00F03F30">
        <w:t>, J</w:t>
      </w:r>
      <w:r>
        <w:t>.</w:t>
      </w:r>
    </w:p>
    <w:p w14:paraId="0BA456EA" w14:textId="77777777" w:rsidR="00E16081" w:rsidRDefault="00E16081" w:rsidP="00E16081">
      <w:pPr>
        <w:spacing w:line="240" w:lineRule="auto"/>
        <w:rPr>
          <w:i/>
          <w:sz w:val="16"/>
          <w:szCs w:val="16"/>
        </w:rPr>
      </w:pPr>
    </w:p>
    <w:p w14:paraId="3AA6F4EC" w14:textId="77777777" w:rsidR="00E16081" w:rsidRDefault="00E16081" w:rsidP="00E16081">
      <w:pPr>
        <w:spacing w:line="240" w:lineRule="auto"/>
        <w:rPr>
          <w:i/>
          <w:sz w:val="16"/>
          <w:szCs w:val="16"/>
        </w:rPr>
      </w:pPr>
    </w:p>
    <w:p w14:paraId="1FB5481D" w14:textId="21EEDCD2" w:rsidR="00E16081" w:rsidRDefault="00E16081" w:rsidP="00E16081">
      <w:pPr>
        <w:spacing w:line="240" w:lineRule="auto"/>
        <w:rPr>
          <w:sz w:val="16"/>
          <w:szCs w:val="16"/>
        </w:rPr>
      </w:pPr>
      <w:r w:rsidRPr="00F03F30">
        <w:rPr>
          <w:i/>
          <w:sz w:val="16"/>
          <w:szCs w:val="16"/>
        </w:rPr>
        <w:t xml:space="preserve">People v. </w:t>
      </w:r>
      <w:r w:rsidR="006578FA">
        <w:rPr>
          <w:i/>
          <w:sz w:val="16"/>
          <w:szCs w:val="16"/>
        </w:rPr>
        <w:t>Raphael B.D.R.</w:t>
      </w:r>
      <w:r w:rsidRPr="00F03F30">
        <w:rPr>
          <w:i/>
          <w:sz w:val="16"/>
          <w:szCs w:val="16"/>
        </w:rPr>
        <w:t xml:space="preserve"> </w:t>
      </w:r>
      <w:r w:rsidRPr="00F03F30">
        <w:rPr>
          <w:sz w:val="16"/>
          <w:szCs w:val="16"/>
        </w:rPr>
        <w:t>(A1</w:t>
      </w:r>
      <w:r>
        <w:rPr>
          <w:sz w:val="16"/>
          <w:szCs w:val="16"/>
        </w:rPr>
        <w:t>67246</w:t>
      </w:r>
      <w:r w:rsidRPr="00F03F30">
        <w:rPr>
          <w:sz w:val="16"/>
          <w:szCs w:val="16"/>
        </w:rPr>
        <w:t>)</w:t>
      </w:r>
    </w:p>
    <w:p w14:paraId="6CA8307D" w14:textId="77777777" w:rsidR="00E16081" w:rsidRDefault="00E16081">
      <w:pPr>
        <w:tabs>
          <w:tab w:val="clear" w:pos="720"/>
        </w:tabs>
        <w:spacing w:after="160" w:line="259" w:lineRule="auto"/>
        <w:rPr>
          <w:sz w:val="16"/>
          <w:szCs w:val="16"/>
        </w:rPr>
      </w:pPr>
      <w:r>
        <w:rPr>
          <w:sz w:val="16"/>
          <w:szCs w:val="16"/>
        </w:rPr>
        <w:br w:type="page"/>
      </w:r>
    </w:p>
    <w:p w14:paraId="2D8E476D" w14:textId="77777777" w:rsidR="00E16081" w:rsidRDefault="00E16081" w:rsidP="00E16081">
      <w:pPr>
        <w:spacing w:line="240" w:lineRule="auto"/>
      </w:pPr>
      <w:r>
        <w:lastRenderedPageBreak/>
        <w:t>Trial Court:</w:t>
      </w:r>
      <w:r>
        <w:tab/>
      </w:r>
      <w:r>
        <w:tab/>
        <w:t>Alameda County Superior Court</w:t>
      </w:r>
    </w:p>
    <w:p w14:paraId="4656EE26" w14:textId="77777777" w:rsidR="00E16081" w:rsidRDefault="00E16081" w:rsidP="00E16081">
      <w:pPr>
        <w:spacing w:line="240" w:lineRule="auto"/>
      </w:pPr>
    </w:p>
    <w:p w14:paraId="0FFB0192" w14:textId="2EFCD5F6" w:rsidR="00E16081" w:rsidRDefault="00E16081" w:rsidP="00E16081">
      <w:pPr>
        <w:spacing w:line="240" w:lineRule="auto"/>
      </w:pPr>
      <w:r>
        <w:t>Trial Judge:</w:t>
      </w:r>
      <w:r>
        <w:tab/>
        <w:t>Hon. Delia Trevino</w:t>
      </w:r>
    </w:p>
    <w:p w14:paraId="2B7808BF" w14:textId="77777777" w:rsidR="00E16081" w:rsidRDefault="00E16081" w:rsidP="00E16081">
      <w:pPr>
        <w:spacing w:line="240" w:lineRule="auto"/>
      </w:pPr>
    </w:p>
    <w:p w14:paraId="36F43E89" w14:textId="3722E72D" w:rsidR="00E16081" w:rsidRPr="003D2125" w:rsidRDefault="00E16081" w:rsidP="00E16081">
      <w:pPr>
        <w:tabs>
          <w:tab w:val="left" w:pos="1440"/>
          <w:tab w:val="left" w:pos="2160"/>
        </w:tabs>
        <w:spacing w:line="240" w:lineRule="auto"/>
        <w:ind w:left="2520" w:hanging="2520"/>
        <w:rPr>
          <w:rFonts w:eastAsia="Calibri" w:cs="Calibri"/>
        </w:rPr>
      </w:pPr>
      <w:r w:rsidRPr="003D2125">
        <w:rPr>
          <w:rFonts w:eastAsia="Calibri" w:cs="Calibri"/>
        </w:rPr>
        <w:t>Counsel:</w:t>
      </w:r>
      <w:r w:rsidRPr="003D2125">
        <w:rPr>
          <w:rFonts w:eastAsia="Calibri" w:cs="Calibri"/>
        </w:rPr>
        <w:tab/>
      </w:r>
      <w:r>
        <w:rPr>
          <w:rFonts w:eastAsia="Calibri" w:cs="Calibri"/>
        </w:rPr>
        <w:tab/>
        <w:t>Beles &amp; Beles, Robert J. Beles</w:t>
      </w:r>
      <w:r w:rsidRPr="004A4C58">
        <w:rPr>
          <w:rFonts w:eastAsia="Calibri" w:cs="Calibri"/>
        </w:rPr>
        <w:t xml:space="preserve">, </w:t>
      </w:r>
      <w:r>
        <w:rPr>
          <w:rFonts w:eastAsia="Calibri" w:cs="Calibri"/>
        </w:rPr>
        <w:t>and Micah Reyner,</w:t>
      </w:r>
      <w:r w:rsidRPr="004A4C58">
        <w:rPr>
          <w:rFonts w:eastAsia="Calibri" w:cs="Calibri"/>
        </w:rPr>
        <w:t xml:space="preserve"> </w:t>
      </w:r>
      <w:r w:rsidRPr="003D2125">
        <w:rPr>
          <w:rFonts w:eastAsia="Calibri" w:cs="Calibri"/>
        </w:rPr>
        <w:t xml:space="preserve">for </w:t>
      </w:r>
      <w:r>
        <w:rPr>
          <w:rFonts w:eastAsia="Calibri" w:cs="Calibri"/>
        </w:rPr>
        <w:t>Defendant</w:t>
      </w:r>
      <w:r w:rsidRPr="003D2125">
        <w:rPr>
          <w:rFonts w:eastAsia="Calibri" w:cs="Calibri"/>
        </w:rPr>
        <w:t xml:space="preserve"> and Appellant</w:t>
      </w:r>
    </w:p>
    <w:p w14:paraId="530FDB9F" w14:textId="77777777" w:rsidR="00E16081" w:rsidRPr="003D2125" w:rsidRDefault="00E16081" w:rsidP="00E16081">
      <w:pPr>
        <w:tabs>
          <w:tab w:val="left" w:pos="1620"/>
        </w:tabs>
        <w:spacing w:line="240" w:lineRule="auto"/>
        <w:ind w:left="1980" w:hanging="1980"/>
        <w:rPr>
          <w:rFonts w:eastAsia="Calibri" w:cs="Calibri"/>
        </w:rPr>
      </w:pPr>
    </w:p>
    <w:p w14:paraId="2269320A" w14:textId="78511E7B" w:rsidR="00E16081" w:rsidRPr="003D2125" w:rsidRDefault="00E16081" w:rsidP="00E16081">
      <w:pPr>
        <w:tabs>
          <w:tab w:val="left" w:pos="1440"/>
          <w:tab w:val="left" w:pos="2160"/>
        </w:tabs>
        <w:spacing w:line="240" w:lineRule="auto"/>
        <w:ind w:left="2610" w:hanging="2610"/>
        <w:rPr>
          <w:rFonts w:eastAsia="Calibri" w:cs="Calibri"/>
        </w:rPr>
      </w:pPr>
      <w:r w:rsidRPr="003D2125">
        <w:rPr>
          <w:rFonts w:eastAsia="Calibri" w:cs="Calibri"/>
        </w:rPr>
        <w:tab/>
      </w:r>
      <w:r w:rsidRPr="003D2125">
        <w:rPr>
          <w:rFonts w:eastAsia="Calibri" w:cs="Calibri"/>
        </w:rPr>
        <w:tab/>
      </w:r>
      <w:r>
        <w:rPr>
          <w:rFonts w:eastAsia="Calibri" w:cs="Calibri"/>
        </w:rPr>
        <w:tab/>
        <w:t>Rob Bonta</w:t>
      </w:r>
      <w:r w:rsidRPr="003D2125">
        <w:rPr>
          <w:rFonts w:eastAsia="Calibri" w:cs="Calibri"/>
        </w:rPr>
        <w:t xml:space="preserve">, Attorney General of California, </w:t>
      </w:r>
      <w:r>
        <w:rPr>
          <w:rFonts w:eastAsia="Calibri" w:cs="Calibri"/>
        </w:rPr>
        <w:t>Lance E. Winters, Chief Assistant Attorney General, Susan Sullivan Pithey</w:t>
      </w:r>
      <w:r w:rsidRPr="003D2125">
        <w:rPr>
          <w:rFonts w:eastAsia="Calibri" w:cs="Calibri"/>
        </w:rPr>
        <w:t xml:space="preserve">, Senior Assistant Attorney General, </w:t>
      </w:r>
      <w:r>
        <w:rPr>
          <w:rFonts w:eastAsia="Calibri" w:cs="Calibri"/>
        </w:rPr>
        <w:t>Wyatt E. Bloomfield</w:t>
      </w:r>
      <w:r w:rsidRPr="003D2125">
        <w:rPr>
          <w:rFonts w:eastAsia="Calibri" w:cs="Calibri"/>
        </w:rPr>
        <w:t xml:space="preserve">, Supervising Deputy Attorney General, </w:t>
      </w:r>
      <w:r>
        <w:rPr>
          <w:rFonts w:eastAsia="Calibri" w:cs="Calibri"/>
        </w:rPr>
        <w:t>and Lindsay Boyd</w:t>
      </w:r>
      <w:r w:rsidRPr="003D2125">
        <w:rPr>
          <w:rFonts w:eastAsia="Calibri" w:cs="Calibri"/>
        </w:rPr>
        <w:t xml:space="preserve">, Deputy Attorney General for </w:t>
      </w:r>
      <w:r>
        <w:rPr>
          <w:rFonts w:eastAsia="Calibri" w:cs="Calibri"/>
        </w:rPr>
        <w:t>Plaintiff</w:t>
      </w:r>
      <w:r w:rsidRPr="003D2125">
        <w:rPr>
          <w:rFonts w:eastAsia="Calibri" w:cs="Calibri"/>
        </w:rPr>
        <w:t xml:space="preserve"> and Respondent</w:t>
      </w:r>
    </w:p>
    <w:p w14:paraId="11F82CB0" w14:textId="77777777" w:rsidR="00736BBF" w:rsidRPr="0008472A" w:rsidRDefault="00736BBF" w:rsidP="00E16081">
      <w:pPr>
        <w:spacing w:line="240" w:lineRule="auto"/>
      </w:pPr>
    </w:p>
    <w:sectPr w:rsidR="00736BBF" w:rsidRPr="0008472A" w:rsidSect="00CE2A3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E26A07" w14:textId="77777777" w:rsidR="00CE2A37" w:rsidRDefault="00CE2A37" w:rsidP="00895145">
      <w:pPr>
        <w:spacing w:line="240" w:lineRule="auto"/>
      </w:pPr>
      <w:r>
        <w:separator/>
      </w:r>
    </w:p>
  </w:endnote>
  <w:endnote w:type="continuationSeparator" w:id="0">
    <w:p w14:paraId="2137389C" w14:textId="77777777" w:rsidR="00CE2A37" w:rsidRDefault="00CE2A37" w:rsidP="00895145">
      <w:pPr>
        <w:spacing w:line="240" w:lineRule="auto"/>
      </w:pPr>
      <w:r>
        <w:continuationSeparator/>
      </w:r>
    </w:p>
  </w:endnote>
  <w:endnote w:type="continuationNotice" w:id="1">
    <w:p w14:paraId="74992B4C" w14:textId="77777777" w:rsidR="00CE2A37" w:rsidRDefault="00CE2A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7E143" w14:textId="12CA9E2A" w:rsidR="00895145" w:rsidRDefault="00895145" w:rsidP="00E862E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16081">
      <w:rPr>
        <w:rStyle w:val="PageNumber"/>
        <w:noProof/>
      </w:rPr>
      <w:t>2</w:t>
    </w:r>
    <w:r>
      <w:rPr>
        <w:rStyle w:val="PageNumber"/>
      </w:rPr>
      <w:fldChar w:fldCharType="end"/>
    </w:r>
  </w:p>
  <w:p w14:paraId="4CF97F9C" w14:textId="7F876F0C" w:rsidR="00895145" w:rsidRDefault="00895145" w:rsidP="00E862E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16081">
      <w:rPr>
        <w:rStyle w:val="PageNumber"/>
        <w:noProof/>
      </w:rPr>
      <w:t>2</w:t>
    </w:r>
    <w:r>
      <w:rPr>
        <w:rStyle w:val="PageNumber"/>
      </w:rPr>
      <w:fldChar w:fldCharType="end"/>
    </w:r>
  </w:p>
  <w:p w14:paraId="1AA16D53" w14:textId="77777777" w:rsidR="00895145" w:rsidRDefault="008951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6F6A9" w14:textId="77777777" w:rsidR="00895145" w:rsidRDefault="00895145" w:rsidP="0089514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26A89">
      <w:rPr>
        <w:rStyle w:val="PageNumber"/>
        <w:noProof/>
      </w:rPr>
      <w:t>4</w:t>
    </w:r>
    <w:r>
      <w:rPr>
        <w:rStyle w:val="PageNumber"/>
      </w:rPr>
      <w:fldChar w:fldCharType="end"/>
    </w:r>
  </w:p>
  <w:p w14:paraId="5B4181F1" w14:textId="77777777" w:rsidR="00895145" w:rsidRDefault="008951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4CD685" w14:textId="77777777" w:rsidR="00D065DE" w:rsidRDefault="00D06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FBC71E" w14:textId="77777777" w:rsidR="00CE2A37" w:rsidRDefault="00CE2A37" w:rsidP="00895145">
      <w:pPr>
        <w:spacing w:line="240" w:lineRule="auto"/>
      </w:pPr>
      <w:r>
        <w:separator/>
      </w:r>
    </w:p>
  </w:footnote>
  <w:footnote w:type="continuationSeparator" w:id="0">
    <w:p w14:paraId="774EB048" w14:textId="77777777" w:rsidR="00CE2A37" w:rsidRDefault="00CE2A37" w:rsidP="00895145">
      <w:pPr>
        <w:spacing w:line="240" w:lineRule="auto"/>
      </w:pPr>
      <w:r>
        <w:continuationSeparator/>
      </w:r>
    </w:p>
  </w:footnote>
  <w:footnote w:type="continuationNotice" w:id="1">
    <w:p w14:paraId="0BF25586" w14:textId="77777777" w:rsidR="00CE2A37" w:rsidRDefault="00CE2A37">
      <w:pPr>
        <w:spacing w:line="240" w:lineRule="auto"/>
      </w:pPr>
    </w:p>
  </w:footnote>
  <w:footnote w:id="2">
    <w:p w14:paraId="5ED367DA" w14:textId="6371F7D4" w:rsidR="00875572" w:rsidRDefault="00875572" w:rsidP="00875572">
      <w:pPr>
        <w:pStyle w:val="FootnoteText"/>
      </w:pPr>
      <w:r>
        <w:tab/>
      </w:r>
      <w:r>
        <w:rPr>
          <w:rStyle w:val="FootnoteReference"/>
        </w:rPr>
        <w:footnoteRef/>
      </w:r>
      <w:r>
        <w:t xml:space="preserve">  Statutory references are to the Penal Code, unless otherwise indicated.</w:t>
      </w:r>
      <w:r w:rsidR="00BD0CC4">
        <w:t xml:space="preserve">  </w:t>
      </w:r>
      <w:r w:rsidR="005D24E8">
        <w:t>Intending no disrespect, w</w:t>
      </w:r>
      <w:r w:rsidR="00BD0CC4" w:rsidRPr="00BD0CC4">
        <w:t>e use given names to refer to many individuals involved</w:t>
      </w:r>
      <w:r w:rsidR="00B66CC9">
        <w:t>, both</w:t>
      </w:r>
      <w:r w:rsidR="00BD0CC4" w:rsidRPr="00BD0CC4">
        <w:t xml:space="preserve"> </w:t>
      </w:r>
      <w:r w:rsidR="005D24E8">
        <w:t xml:space="preserve">for clarity and </w:t>
      </w:r>
      <w:r w:rsidR="00BD0CC4">
        <w:t>t</w:t>
      </w:r>
      <w:r w:rsidR="00BD0CC4" w:rsidRPr="00BD0CC4">
        <w:t xml:space="preserve">o protect </w:t>
      </w:r>
      <w:r w:rsidR="00BD0CC4">
        <w:t xml:space="preserve">their </w:t>
      </w:r>
      <w:r w:rsidR="00BD0CC4" w:rsidRPr="00BD0CC4">
        <w:t>privacy</w:t>
      </w:r>
      <w:r w:rsidR="00B66CC9">
        <w:t>.</w:t>
      </w:r>
      <w:r w:rsidR="00BD0CC4" w:rsidRPr="00BD0CC4">
        <w:t xml:space="preserve"> </w:t>
      </w:r>
    </w:p>
  </w:footnote>
  <w:footnote w:id="3">
    <w:p w14:paraId="1BBEB5C2" w14:textId="60ACA032" w:rsidR="00ED3B17" w:rsidRDefault="00ED3B17" w:rsidP="00ED3B17">
      <w:pPr>
        <w:pStyle w:val="FootnoteText"/>
      </w:pPr>
      <w:r>
        <w:tab/>
      </w:r>
      <w:r>
        <w:rPr>
          <w:rStyle w:val="FootnoteReference"/>
        </w:rPr>
        <w:footnoteRef/>
      </w:r>
      <w:r>
        <w:t xml:space="preserve">  Prior to trial, the court overruled a defense objection to this audio evidence, admitting it as a spontaneous statement pursuant to Evidence Code section 1240.  </w:t>
      </w:r>
      <w:r w:rsidR="00F35BD2">
        <w:t xml:space="preserve">This evidence is not included in the appellate record, but the prosecutor recounted Jane’s statements during the hearing on in limine motions.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E136C4" w14:textId="77777777" w:rsidR="00D065DE" w:rsidRDefault="00D06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11A645" w14:textId="77777777" w:rsidR="00D065DE" w:rsidRDefault="00D065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4805EA" w14:textId="77777777" w:rsidR="00D065DE" w:rsidRDefault="00D065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145"/>
    <w:rsid w:val="0000186C"/>
    <w:rsid w:val="000053B2"/>
    <w:rsid w:val="00006335"/>
    <w:rsid w:val="000071F3"/>
    <w:rsid w:val="00013312"/>
    <w:rsid w:val="00013AB6"/>
    <w:rsid w:val="00017450"/>
    <w:rsid w:val="000236C9"/>
    <w:rsid w:val="00036F61"/>
    <w:rsid w:val="000414AF"/>
    <w:rsid w:val="000440FD"/>
    <w:rsid w:val="00044322"/>
    <w:rsid w:val="0004606F"/>
    <w:rsid w:val="00047BA9"/>
    <w:rsid w:val="00052605"/>
    <w:rsid w:val="00052EB7"/>
    <w:rsid w:val="000536FA"/>
    <w:rsid w:val="00054296"/>
    <w:rsid w:val="000552A5"/>
    <w:rsid w:val="00060FB0"/>
    <w:rsid w:val="00063FE9"/>
    <w:rsid w:val="00065ABE"/>
    <w:rsid w:val="00070888"/>
    <w:rsid w:val="0007265A"/>
    <w:rsid w:val="000726D8"/>
    <w:rsid w:val="00081812"/>
    <w:rsid w:val="0008357C"/>
    <w:rsid w:val="00083D42"/>
    <w:rsid w:val="0008472A"/>
    <w:rsid w:val="00084EE1"/>
    <w:rsid w:val="00087020"/>
    <w:rsid w:val="00091B3D"/>
    <w:rsid w:val="000920F1"/>
    <w:rsid w:val="00093086"/>
    <w:rsid w:val="00095A75"/>
    <w:rsid w:val="0009650C"/>
    <w:rsid w:val="000A04BD"/>
    <w:rsid w:val="000A2078"/>
    <w:rsid w:val="000A39D7"/>
    <w:rsid w:val="000A3FFF"/>
    <w:rsid w:val="000A4BC5"/>
    <w:rsid w:val="000A6A70"/>
    <w:rsid w:val="000B1558"/>
    <w:rsid w:val="000B5785"/>
    <w:rsid w:val="000B6D88"/>
    <w:rsid w:val="000C1860"/>
    <w:rsid w:val="000C61E8"/>
    <w:rsid w:val="000C637A"/>
    <w:rsid w:val="000C6FFE"/>
    <w:rsid w:val="000C7EB3"/>
    <w:rsid w:val="000D0460"/>
    <w:rsid w:val="000D0CEB"/>
    <w:rsid w:val="000D361E"/>
    <w:rsid w:val="000D4F98"/>
    <w:rsid w:val="000D550A"/>
    <w:rsid w:val="000E3E45"/>
    <w:rsid w:val="000E49C7"/>
    <w:rsid w:val="000E7B94"/>
    <w:rsid w:val="000F304F"/>
    <w:rsid w:val="000F5735"/>
    <w:rsid w:val="001001AA"/>
    <w:rsid w:val="0010074D"/>
    <w:rsid w:val="00100C92"/>
    <w:rsid w:val="00101029"/>
    <w:rsid w:val="001027AC"/>
    <w:rsid w:val="001040B6"/>
    <w:rsid w:val="0010528C"/>
    <w:rsid w:val="00107052"/>
    <w:rsid w:val="00107C90"/>
    <w:rsid w:val="00110864"/>
    <w:rsid w:val="0011320A"/>
    <w:rsid w:val="00114FE9"/>
    <w:rsid w:val="0011534C"/>
    <w:rsid w:val="00115D51"/>
    <w:rsid w:val="00121854"/>
    <w:rsid w:val="0012393B"/>
    <w:rsid w:val="0012430A"/>
    <w:rsid w:val="00124CEC"/>
    <w:rsid w:val="0012536C"/>
    <w:rsid w:val="001259E9"/>
    <w:rsid w:val="00125FB9"/>
    <w:rsid w:val="0012697B"/>
    <w:rsid w:val="00127054"/>
    <w:rsid w:val="00131C24"/>
    <w:rsid w:val="001355A3"/>
    <w:rsid w:val="0014264F"/>
    <w:rsid w:val="00144191"/>
    <w:rsid w:val="00144816"/>
    <w:rsid w:val="001508B1"/>
    <w:rsid w:val="00152130"/>
    <w:rsid w:val="00155D93"/>
    <w:rsid w:val="0015799A"/>
    <w:rsid w:val="00157E72"/>
    <w:rsid w:val="0016036E"/>
    <w:rsid w:val="0016115A"/>
    <w:rsid w:val="001638D2"/>
    <w:rsid w:val="00164422"/>
    <w:rsid w:val="001730F4"/>
    <w:rsid w:val="00173457"/>
    <w:rsid w:val="00182F2E"/>
    <w:rsid w:val="0018747C"/>
    <w:rsid w:val="0018758C"/>
    <w:rsid w:val="001900E6"/>
    <w:rsid w:val="001917A7"/>
    <w:rsid w:val="00193A0E"/>
    <w:rsid w:val="0019404F"/>
    <w:rsid w:val="001954A7"/>
    <w:rsid w:val="00195926"/>
    <w:rsid w:val="00196AE1"/>
    <w:rsid w:val="001A1F90"/>
    <w:rsid w:val="001A2DFD"/>
    <w:rsid w:val="001A34E6"/>
    <w:rsid w:val="001A3C96"/>
    <w:rsid w:val="001A7464"/>
    <w:rsid w:val="001B300F"/>
    <w:rsid w:val="001B35F5"/>
    <w:rsid w:val="001B36DD"/>
    <w:rsid w:val="001B46E4"/>
    <w:rsid w:val="001B479D"/>
    <w:rsid w:val="001C2160"/>
    <w:rsid w:val="001C3266"/>
    <w:rsid w:val="001C5D98"/>
    <w:rsid w:val="001C5E14"/>
    <w:rsid w:val="001C61C7"/>
    <w:rsid w:val="001D17E9"/>
    <w:rsid w:val="001D7894"/>
    <w:rsid w:val="001E3079"/>
    <w:rsid w:val="001F1167"/>
    <w:rsid w:val="001F1A27"/>
    <w:rsid w:val="001F3495"/>
    <w:rsid w:val="001F6879"/>
    <w:rsid w:val="001F7821"/>
    <w:rsid w:val="001F7C01"/>
    <w:rsid w:val="001F7EA3"/>
    <w:rsid w:val="00201396"/>
    <w:rsid w:val="00203225"/>
    <w:rsid w:val="00203AC3"/>
    <w:rsid w:val="002053C2"/>
    <w:rsid w:val="002079E9"/>
    <w:rsid w:val="00207FFE"/>
    <w:rsid w:val="0021143D"/>
    <w:rsid w:val="00211B32"/>
    <w:rsid w:val="00214EA0"/>
    <w:rsid w:val="00216374"/>
    <w:rsid w:val="00217033"/>
    <w:rsid w:val="0022552D"/>
    <w:rsid w:val="0022636B"/>
    <w:rsid w:val="002279CE"/>
    <w:rsid w:val="002306D8"/>
    <w:rsid w:val="00230922"/>
    <w:rsid w:val="002314BA"/>
    <w:rsid w:val="002340F1"/>
    <w:rsid w:val="002350A8"/>
    <w:rsid w:val="00236A59"/>
    <w:rsid w:val="002411B3"/>
    <w:rsid w:val="00241C4A"/>
    <w:rsid w:val="00241CB3"/>
    <w:rsid w:val="00241EDF"/>
    <w:rsid w:val="0025020B"/>
    <w:rsid w:val="00251409"/>
    <w:rsid w:val="00252B6C"/>
    <w:rsid w:val="00255BFD"/>
    <w:rsid w:val="00260113"/>
    <w:rsid w:val="00260E92"/>
    <w:rsid w:val="002611A1"/>
    <w:rsid w:val="00261FD7"/>
    <w:rsid w:val="002652D3"/>
    <w:rsid w:val="00266798"/>
    <w:rsid w:val="002701FB"/>
    <w:rsid w:val="00272A63"/>
    <w:rsid w:val="00272E6C"/>
    <w:rsid w:val="00275566"/>
    <w:rsid w:val="00275FE1"/>
    <w:rsid w:val="00276B2A"/>
    <w:rsid w:val="002834E8"/>
    <w:rsid w:val="00283CC8"/>
    <w:rsid w:val="002904E8"/>
    <w:rsid w:val="00290975"/>
    <w:rsid w:val="0029163C"/>
    <w:rsid w:val="002919EC"/>
    <w:rsid w:val="00292E52"/>
    <w:rsid w:val="002949DB"/>
    <w:rsid w:val="002961FE"/>
    <w:rsid w:val="002A03E6"/>
    <w:rsid w:val="002A2079"/>
    <w:rsid w:val="002A2DB2"/>
    <w:rsid w:val="002A58ED"/>
    <w:rsid w:val="002A7077"/>
    <w:rsid w:val="002B00E8"/>
    <w:rsid w:val="002B0532"/>
    <w:rsid w:val="002B21EA"/>
    <w:rsid w:val="002B2D1B"/>
    <w:rsid w:val="002B3038"/>
    <w:rsid w:val="002C11A7"/>
    <w:rsid w:val="002C17FC"/>
    <w:rsid w:val="002C2C16"/>
    <w:rsid w:val="002C3D1F"/>
    <w:rsid w:val="002C434F"/>
    <w:rsid w:val="002D53BC"/>
    <w:rsid w:val="002D65F3"/>
    <w:rsid w:val="002D6D4B"/>
    <w:rsid w:val="002D79F5"/>
    <w:rsid w:val="002E217F"/>
    <w:rsid w:val="002E46C4"/>
    <w:rsid w:val="002F1617"/>
    <w:rsid w:val="002F44C4"/>
    <w:rsid w:val="002F58D0"/>
    <w:rsid w:val="002F5C64"/>
    <w:rsid w:val="00301503"/>
    <w:rsid w:val="0030661A"/>
    <w:rsid w:val="0030663E"/>
    <w:rsid w:val="00313AE4"/>
    <w:rsid w:val="00314500"/>
    <w:rsid w:val="00314FE7"/>
    <w:rsid w:val="00317FBD"/>
    <w:rsid w:val="003219EF"/>
    <w:rsid w:val="0032225A"/>
    <w:rsid w:val="0032461F"/>
    <w:rsid w:val="00324D84"/>
    <w:rsid w:val="00324F75"/>
    <w:rsid w:val="0032579D"/>
    <w:rsid w:val="00327076"/>
    <w:rsid w:val="0032736D"/>
    <w:rsid w:val="00330409"/>
    <w:rsid w:val="00334876"/>
    <w:rsid w:val="00340FC9"/>
    <w:rsid w:val="0034574C"/>
    <w:rsid w:val="00345782"/>
    <w:rsid w:val="003460BC"/>
    <w:rsid w:val="00354485"/>
    <w:rsid w:val="00354524"/>
    <w:rsid w:val="00354A6D"/>
    <w:rsid w:val="003556BF"/>
    <w:rsid w:val="00360E61"/>
    <w:rsid w:val="00362CE8"/>
    <w:rsid w:val="00362EDF"/>
    <w:rsid w:val="00363E96"/>
    <w:rsid w:val="0036450A"/>
    <w:rsid w:val="0036582A"/>
    <w:rsid w:val="00365EDA"/>
    <w:rsid w:val="00371630"/>
    <w:rsid w:val="00372BE6"/>
    <w:rsid w:val="00374680"/>
    <w:rsid w:val="00380A55"/>
    <w:rsid w:val="00380AF8"/>
    <w:rsid w:val="003836C4"/>
    <w:rsid w:val="003865EF"/>
    <w:rsid w:val="00387B51"/>
    <w:rsid w:val="003921E6"/>
    <w:rsid w:val="0039322A"/>
    <w:rsid w:val="003934A9"/>
    <w:rsid w:val="00394D15"/>
    <w:rsid w:val="00397C75"/>
    <w:rsid w:val="003A2A77"/>
    <w:rsid w:val="003A2AEB"/>
    <w:rsid w:val="003A2C10"/>
    <w:rsid w:val="003A2F43"/>
    <w:rsid w:val="003A42D4"/>
    <w:rsid w:val="003A7C26"/>
    <w:rsid w:val="003B143B"/>
    <w:rsid w:val="003B172D"/>
    <w:rsid w:val="003C139A"/>
    <w:rsid w:val="003C1A10"/>
    <w:rsid w:val="003C2F86"/>
    <w:rsid w:val="003C4185"/>
    <w:rsid w:val="003D0B0A"/>
    <w:rsid w:val="003D1C59"/>
    <w:rsid w:val="003D2E3D"/>
    <w:rsid w:val="003D2EB5"/>
    <w:rsid w:val="003D2F99"/>
    <w:rsid w:val="003D6165"/>
    <w:rsid w:val="003D66B3"/>
    <w:rsid w:val="003E02AC"/>
    <w:rsid w:val="003E5AA2"/>
    <w:rsid w:val="003E5B26"/>
    <w:rsid w:val="003E6CB0"/>
    <w:rsid w:val="003E7689"/>
    <w:rsid w:val="003F0DCE"/>
    <w:rsid w:val="003F6915"/>
    <w:rsid w:val="0040123D"/>
    <w:rsid w:val="00403C1E"/>
    <w:rsid w:val="004052D0"/>
    <w:rsid w:val="004118A6"/>
    <w:rsid w:val="00412507"/>
    <w:rsid w:val="00414E1C"/>
    <w:rsid w:val="00415C41"/>
    <w:rsid w:val="0041670C"/>
    <w:rsid w:val="004227A8"/>
    <w:rsid w:val="00422CC3"/>
    <w:rsid w:val="004233D4"/>
    <w:rsid w:val="004235B7"/>
    <w:rsid w:val="0042476D"/>
    <w:rsid w:val="00425256"/>
    <w:rsid w:val="00426D20"/>
    <w:rsid w:val="00430360"/>
    <w:rsid w:val="00435BEA"/>
    <w:rsid w:val="004372B3"/>
    <w:rsid w:val="00437BBD"/>
    <w:rsid w:val="0044044E"/>
    <w:rsid w:val="0044156D"/>
    <w:rsid w:val="00443BDB"/>
    <w:rsid w:val="004455A0"/>
    <w:rsid w:val="004477A7"/>
    <w:rsid w:val="00450B65"/>
    <w:rsid w:val="00452596"/>
    <w:rsid w:val="004530DB"/>
    <w:rsid w:val="004569F4"/>
    <w:rsid w:val="004569FA"/>
    <w:rsid w:val="00461790"/>
    <w:rsid w:val="004636A5"/>
    <w:rsid w:val="004644D2"/>
    <w:rsid w:val="00464C91"/>
    <w:rsid w:val="00470DC2"/>
    <w:rsid w:val="00470FB6"/>
    <w:rsid w:val="00471B57"/>
    <w:rsid w:val="00477F75"/>
    <w:rsid w:val="00480962"/>
    <w:rsid w:val="00484A98"/>
    <w:rsid w:val="00486622"/>
    <w:rsid w:val="00490EF2"/>
    <w:rsid w:val="00492F9C"/>
    <w:rsid w:val="00494BE0"/>
    <w:rsid w:val="004953C3"/>
    <w:rsid w:val="004A1CBF"/>
    <w:rsid w:val="004A244C"/>
    <w:rsid w:val="004A2754"/>
    <w:rsid w:val="004A30F2"/>
    <w:rsid w:val="004A35E7"/>
    <w:rsid w:val="004A6951"/>
    <w:rsid w:val="004A7909"/>
    <w:rsid w:val="004B123E"/>
    <w:rsid w:val="004B3CB1"/>
    <w:rsid w:val="004B4235"/>
    <w:rsid w:val="004B4900"/>
    <w:rsid w:val="004B64F1"/>
    <w:rsid w:val="004B79E3"/>
    <w:rsid w:val="004C035C"/>
    <w:rsid w:val="004C128D"/>
    <w:rsid w:val="004C2DAE"/>
    <w:rsid w:val="004C685A"/>
    <w:rsid w:val="004C7238"/>
    <w:rsid w:val="004C7AA9"/>
    <w:rsid w:val="004D148F"/>
    <w:rsid w:val="004D1AEF"/>
    <w:rsid w:val="004D252E"/>
    <w:rsid w:val="004D341E"/>
    <w:rsid w:val="004D478E"/>
    <w:rsid w:val="004D71A6"/>
    <w:rsid w:val="004E0ECE"/>
    <w:rsid w:val="004E48F2"/>
    <w:rsid w:val="004E4930"/>
    <w:rsid w:val="004E4C94"/>
    <w:rsid w:val="004E6195"/>
    <w:rsid w:val="004F050D"/>
    <w:rsid w:val="004F66C8"/>
    <w:rsid w:val="00501986"/>
    <w:rsid w:val="005020FB"/>
    <w:rsid w:val="00502B1E"/>
    <w:rsid w:val="00503691"/>
    <w:rsid w:val="0050395A"/>
    <w:rsid w:val="0051111D"/>
    <w:rsid w:val="00514866"/>
    <w:rsid w:val="00515CC4"/>
    <w:rsid w:val="00525251"/>
    <w:rsid w:val="005264FD"/>
    <w:rsid w:val="00533A5F"/>
    <w:rsid w:val="005357F2"/>
    <w:rsid w:val="00540951"/>
    <w:rsid w:val="0054257D"/>
    <w:rsid w:val="00542A09"/>
    <w:rsid w:val="00543526"/>
    <w:rsid w:val="0055181E"/>
    <w:rsid w:val="0055191E"/>
    <w:rsid w:val="0055353F"/>
    <w:rsid w:val="0055642B"/>
    <w:rsid w:val="00556CC3"/>
    <w:rsid w:val="00557CDE"/>
    <w:rsid w:val="00560BE0"/>
    <w:rsid w:val="005613E8"/>
    <w:rsid w:val="00562F20"/>
    <w:rsid w:val="005644E8"/>
    <w:rsid w:val="005647E2"/>
    <w:rsid w:val="005664BC"/>
    <w:rsid w:val="005676D8"/>
    <w:rsid w:val="00567BCB"/>
    <w:rsid w:val="00570457"/>
    <w:rsid w:val="00570A3C"/>
    <w:rsid w:val="00572F05"/>
    <w:rsid w:val="005732F7"/>
    <w:rsid w:val="00574179"/>
    <w:rsid w:val="00574497"/>
    <w:rsid w:val="0057453B"/>
    <w:rsid w:val="00581326"/>
    <w:rsid w:val="00581336"/>
    <w:rsid w:val="00581D9B"/>
    <w:rsid w:val="0058344E"/>
    <w:rsid w:val="005859EA"/>
    <w:rsid w:val="00586064"/>
    <w:rsid w:val="005901FC"/>
    <w:rsid w:val="00590744"/>
    <w:rsid w:val="005907A5"/>
    <w:rsid w:val="00592255"/>
    <w:rsid w:val="00593AA6"/>
    <w:rsid w:val="00595B14"/>
    <w:rsid w:val="00595C39"/>
    <w:rsid w:val="00597CF4"/>
    <w:rsid w:val="005A078D"/>
    <w:rsid w:val="005A5A91"/>
    <w:rsid w:val="005A7014"/>
    <w:rsid w:val="005B0FE9"/>
    <w:rsid w:val="005B1210"/>
    <w:rsid w:val="005B1E82"/>
    <w:rsid w:val="005B4035"/>
    <w:rsid w:val="005B4ACA"/>
    <w:rsid w:val="005B72A9"/>
    <w:rsid w:val="005B7884"/>
    <w:rsid w:val="005C0287"/>
    <w:rsid w:val="005C0D50"/>
    <w:rsid w:val="005C115D"/>
    <w:rsid w:val="005C12CD"/>
    <w:rsid w:val="005C5652"/>
    <w:rsid w:val="005C747B"/>
    <w:rsid w:val="005C7F01"/>
    <w:rsid w:val="005D1870"/>
    <w:rsid w:val="005D24E8"/>
    <w:rsid w:val="005D7331"/>
    <w:rsid w:val="005E00FA"/>
    <w:rsid w:val="005E0FAC"/>
    <w:rsid w:val="005E0FE3"/>
    <w:rsid w:val="005E1ED3"/>
    <w:rsid w:val="005E325A"/>
    <w:rsid w:val="005E4136"/>
    <w:rsid w:val="005E46C3"/>
    <w:rsid w:val="005E58CC"/>
    <w:rsid w:val="005F1226"/>
    <w:rsid w:val="005F30DC"/>
    <w:rsid w:val="00602505"/>
    <w:rsid w:val="00602F3E"/>
    <w:rsid w:val="00603064"/>
    <w:rsid w:val="00603BE2"/>
    <w:rsid w:val="00605EE8"/>
    <w:rsid w:val="00607BF2"/>
    <w:rsid w:val="006146D4"/>
    <w:rsid w:val="006172D9"/>
    <w:rsid w:val="00617D3F"/>
    <w:rsid w:val="00617FD8"/>
    <w:rsid w:val="00621C8A"/>
    <w:rsid w:val="006265BE"/>
    <w:rsid w:val="0062709A"/>
    <w:rsid w:val="00630F9E"/>
    <w:rsid w:val="00632F86"/>
    <w:rsid w:val="006341EE"/>
    <w:rsid w:val="00634543"/>
    <w:rsid w:val="00635BFD"/>
    <w:rsid w:val="00635E53"/>
    <w:rsid w:val="00640E0D"/>
    <w:rsid w:val="00640FC9"/>
    <w:rsid w:val="00643442"/>
    <w:rsid w:val="00643977"/>
    <w:rsid w:val="0064513E"/>
    <w:rsid w:val="00647F24"/>
    <w:rsid w:val="006509E1"/>
    <w:rsid w:val="00652238"/>
    <w:rsid w:val="0065254D"/>
    <w:rsid w:val="006578FA"/>
    <w:rsid w:val="00660CCF"/>
    <w:rsid w:val="00661E8C"/>
    <w:rsid w:val="006624C2"/>
    <w:rsid w:val="0066261E"/>
    <w:rsid w:val="00663EC7"/>
    <w:rsid w:val="006644F9"/>
    <w:rsid w:val="006645D2"/>
    <w:rsid w:val="0066585C"/>
    <w:rsid w:val="00665899"/>
    <w:rsid w:val="00672BCD"/>
    <w:rsid w:val="006748DF"/>
    <w:rsid w:val="00675F7E"/>
    <w:rsid w:val="0067705F"/>
    <w:rsid w:val="00677AE7"/>
    <w:rsid w:val="00680450"/>
    <w:rsid w:val="00680E40"/>
    <w:rsid w:val="00687B2F"/>
    <w:rsid w:val="00687D87"/>
    <w:rsid w:val="00691FFB"/>
    <w:rsid w:val="00694525"/>
    <w:rsid w:val="006949FE"/>
    <w:rsid w:val="00695A7A"/>
    <w:rsid w:val="006A2F12"/>
    <w:rsid w:val="006B3F10"/>
    <w:rsid w:val="006B4C90"/>
    <w:rsid w:val="006C1290"/>
    <w:rsid w:val="006C1907"/>
    <w:rsid w:val="006C42F9"/>
    <w:rsid w:val="006C6AB6"/>
    <w:rsid w:val="006D0EBD"/>
    <w:rsid w:val="006D208C"/>
    <w:rsid w:val="006D28D9"/>
    <w:rsid w:val="006D4D3E"/>
    <w:rsid w:val="006D5D5F"/>
    <w:rsid w:val="006E071F"/>
    <w:rsid w:val="006E1B11"/>
    <w:rsid w:val="006E387E"/>
    <w:rsid w:val="006E4CF8"/>
    <w:rsid w:val="006E7A2F"/>
    <w:rsid w:val="006F2FC1"/>
    <w:rsid w:val="006F662F"/>
    <w:rsid w:val="00700838"/>
    <w:rsid w:val="00704F7D"/>
    <w:rsid w:val="00705469"/>
    <w:rsid w:val="00705ED3"/>
    <w:rsid w:val="007074EC"/>
    <w:rsid w:val="0071025C"/>
    <w:rsid w:val="00710328"/>
    <w:rsid w:val="00710FB4"/>
    <w:rsid w:val="007118F1"/>
    <w:rsid w:val="007152EC"/>
    <w:rsid w:val="0071777A"/>
    <w:rsid w:val="00721281"/>
    <w:rsid w:val="00722B2A"/>
    <w:rsid w:val="00723593"/>
    <w:rsid w:val="0072464F"/>
    <w:rsid w:val="00724E19"/>
    <w:rsid w:val="007268E9"/>
    <w:rsid w:val="00726A89"/>
    <w:rsid w:val="00730789"/>
    <w:rsid w:val="00735422"/>
    <w:rsid w:val="007362B2"/>
    <w:rsid w:val="00736BBF"/>
    <w:rsid w:val="00736D01"/>
    <w:rsid w:val="00740368"/>
    <w:rsid w:val="0074071B"/>
    <w:rsid w:val="00740D86"/>
    <w:rsid w:val="00743117"/>
    <w:rsid w:val="00743F30"/>
    <w:rsid w:val="00744591"/>
    <w:rsid w:val="00746A28"/>
    <w:rsid w:val="00757EC1"/>
    <w:rsid w:val="007757DA"/>
    <w:rsid w:val="00776049"/>
    <w:rsid w:val="0078022E"/>
    <w:rsid w:val="00780797"/>
    <w:rsid w:val="00780879"/>
    <w:rsid w:val="00781922"/>
    <w:rsid w:val="007828C3"/>
    <w:rsid w:val="00784F98"/>
    <w:rsid w:val="007900CA"/>
    <w:rsid w:val="00791364"/>
    <w:rsid w:val="00795EB2"/>
    <w:rsid w:val="00797A27"/>
    <w:rsid w:val="00797F73"/>
    <w:rsid w:val="007A0201"/>
    <w:rsid w:val="007A0ED6"/>
    <w:rsid w:val="007A1E0D"/>
    <w:rsid w:val="007A5300"/>
    <w:rsid w:val="007B0255"/>
    <w:rsid w:val="007B0F2B"/>
    <w:rsid w:val="007B10E8"/>
    <w:rsid w:val="007B2ACD"/>
    <w:rsid w:val="007B6BCC"/>
    <w:rsid w:val="007C14AC"/>
    <w:rsid w:val="007C54A2"/>
    <w:rsid w:val="007D046C"/>
    <w:rsid w:val="007D17DD"/>
    <w:rsid w:val="007D637A"/>
    <w:rsid w:val="007E0A70"/>
    <w:rsid w:val="007E711C"/>
    <w:rsid w:val="007E7329"/>
    <w:rsid w:val="007F11D4"/>
    <w:rsid w:val="007F5467"/>
    <w:rsid w:val="00805A11"/>
    <w:rsid w:val="00805A47"/>
    <w:rsid w:val="00810377"/>
    <w:rsid w:val="0081061F"/>
    <w:rsid w:val="00814906"/>
    <w:rsid w:val="00815527"/>
    <w:rsid w:val="008163FC"/>
    <w:rsid w:val="00821C24"/>
    <w:rsid w:val="00822DC3"/>
    <w:rsid w:val="00823888"/>
    <w:rsid w:val="00823E81"/>
    <w:rsid w:val="00831282"/>
    <w:rsid w:val="00831E82"/>
    <w:rsid w:val="00833618"/>
    <w:rsid w:val="0083378D"/>
    <w:rsid w:val="0083580F"/>
    <w:rsid w:val="008358A1"/>
    <w:rsid w:val="0083604B"/>
    <w:rsid w:val="00841EFF"/>
    <w:rsid w:val="00846E88"/>
    <w:rsid w:val="00851139"/>
    <w:rsid w:val="008527AE"/>
    <w:rsid w:val="00855220"/>
    <w:rsid w:val="00861178"/>
    <w:rsid w:val="00862694"/>
    <w:rsid w:val="00862CB8"/>
    <w:rsid w:val="008643E1"/>
    <w:rsid w:val="008661E1"/>
    <w:rsid w:val="00866B5F"/>
    <w:rsid w:val="00867E58"/>
    <w:rsid w:val="0087017B"/>
    <w:rsid w:val="008751B6"/>
    <w:rsid w:val="00875572"/>
    <w:rsid w:val="00877577"/>
    <w:rsid w:val="0088238C"/>
    <w:rsid w:val="00886242"/>
    <w:rsid w:val="00894367"/>
    <w:rsid w:val="00895145"/>
    <w:rsid w:val="0089696C"/>
    <w:rsid w:val="00896A50"/>
    <w:rsid w:val="008976BF"/>
    <w:rsid w:val="00897865"/>
    <w:rsid w:val="008A0D4B"/>
    <w:rsid w:val="008A406C"/>
    <w:rsid w:val="008A49F2"/>
    <w:rsid w:val="008A69C3"/>
    <w:rsid w:val="008B147F"/>
    <w:rsid w:val="008B2FA6"/>
    <w:rsid w:val="008B44EE"/>
    <w:rsid w:val="008B54A7"/>
    <w:rsid w:val="008B591A"/>
    <w:rsid w:val="008B6550"/>
    <w:rsid w:val="008B6AA0"/>
    <w:rsid w:val="008B7225"/>
    <w:rsid w:val="008C1BA6"/>
    <w:rsid w:val="008C27FA"/>
    <w:rsid w:val="008C395D"/>
    <w:rsid w:val="008D0DF3"/>
    <w:rsid w:val="008D38EF"/>
    <w:rsid w:val="008D3D4C"/>
    <w:rsid w:val="008E232A"/>
    <w:rsid w:val="008E5860"/>
    <w:rsid w:val="008E6303"/>
    <w:rsid w:val="008F1263"/>
    <w:rsid w:val="008F3962"/>
    <w:rsid w:val="008F4BD6"/>
    <w:rsid w:val="009012BF"/>
    <w:rsid w:val="009013C1"/>
    <w:rsid w:val="00905719"/>
    <w:rsid w:val="00907272"/>
    <w:rsid w:val="0090727E"/>
    <w:rsid w:val="009126DD"/>
    <w:rsid w:val="00912993"/>
    <w:rsid w:val="00916FA5"/>
    <w:rsid w:val="0092057D"/>
    <w:rsid w:val="00923D99"/>
    <w:rsid w:val="0092501E"/>
    <w:rsid w:val="009318E3"/>
    <w:rsid w:val="00935CFC"/>
    <w:rsid w:val="00935FC7"/>
    <w:rsid w:val="00937D57"/>
    <w:rsid w:val="0094268C"/>
    <w:rsid w:val="009459C9"/>
    <w:rsid w:val="00947CC3"/>
    <w:rsid w:val="00952368"/>
    <w:rsid w:val="009538D0"/>
    <w:rsid w:val="009575A8"/>
    <w:rsid w:val="009601B7"/>
    <w:rsid w:val="009606FB"/>
    <w:rsid w:val="00965586"/>
    <w:rsid w:val="0096579F"/>
    <w:rsid w:val="009668E6"/>
    <w:rsid w:val="00967C50"/>
    <w:rsid w:val="009732E8"/>
    <w:rsid w:val="00980BEC"/>
    <w:rsid w:val="009814DA"/>
    <w:rsid w:val="00982A2B"/>
    <w:rsid w:val="00991475"/>
    <w:rsid w:val="00994CB8"/>
    <w:rsid w:val="009960E6"/>
    <w:rsid w:val="00996F7B"/>
    <w:rsid w:val="009A1982"/>
    <w:rsid w:val="009A39CC"/>
    <w:rsid w:val="009A3C58"/>
    <w:rsid w:val="009A4E5B"/>
    <w:rsid w:val="009A53AB"/>
    <w:rsid w:val="009A79AF"/>
    <w:rsid w:val="009B0AB2"/>
    <w:rsid w:val="009B12C7"/>
    <w:rsid w:val="009B191A"/>
    <w:rsid w:val="009B44CF"/>
    <w:rsid w:val="009B7B13"/>
    <w:rsid w:val="009C0AA9"/>
    <w:rsid w:val="009C4222"/>
    <w:rsid w:val="009C583C"/>
    <w:rsid w:val="009C6315"/>
    <w:rsid w:val="009D34C3"/>
    <w:rsid w:val="009D6DC9"/>
    <w:rsid w:val="009E02B0"/>
    <w:rsid w:val="009E5220"/>
    <w:rsid w:val="009E649E"/>
    <w:rsid w:val="009E6C60"/>
    <w:rsid w:val="009F083D"/>
    <w:rsid w:val="009F0870"/>
    <w:rsid w:val="009F0D0E"/>
    <w:rsid w:val="009F1CF8"/>
    <w:rsid w:val="009F2290"/>
    <w:rsid w:val="009F2C32"/>
    <w:rsid w:val="009F2F73"/>
    <w:rsid w:val="009F4BD6"/>
    <w:rsid w:val="009F6905"/>
    <w:rsid w:val="009F6E40"/>
    <w:rsid w:val="00A01EAF"/>
    <w:rsid w:val="00A06CC6"/>
    <w:rsid w:val="00A07DAD"/>
    <w:rsid w:val="00A10FCF"/>
    <w:rsid w:val="00A11986"/>
    <w:rsid w:val="00A11D60"/>
    <w:rsid w:val="00A12F97"/>
    <w:rsid w:val="00A15257"/>
    <w:rsid w:val="00A17531"/>
    <w:rsid w:val="00A22370"/>
    <w:rsid w:val="00A23306"/>
    <w:rsid w:val="00A256E0"/>
    <w:rsid w:val="00A25F90"/>
    <w:rsid w:val="00A31B43"/>
    <w:rsid w:val="00A32108"/>
    <w:rsid w:val="00A3431E"/>
    <w:rsid w:val="00A37C99"/>
    <w:rsid w:val="00A44E26"/>
    <w:rsid w:val="00A44F04"/>
    <w:rsid w:val="00A456C7"/>
    <w:rsid w:val="00A50F08"/>
    <w:rsid w:val="00A526ED"/>
    <w:rsid w:val="00A54D1A"/>
    <w:rsid w:val="00A5522D"/>
    <w:rsid w:val="00A57178"/>
    <w:rsid w:val="00A62C65"/>
    <w:rsid w:val="00A631E4"/>
    <w:rsid w:val="00A66C09"/>
    <w:rsid w:val="00A66D7A"/>
    <w:rsid w:val="00A67799"/>
    <w:rsid w:val="00A70808"/>
    <w:rsid w:val="00A72A58"/>
    <w:rsid w:val="00A72DD6"/>
    <w:rsid w:val="00A74E7B"/>
    <w:rsid w:val="00A75F3F"/>
    <w:rsid w:val="00A76C41"/>
    <w:rsid w:val="00A81720"/>
    <w:rsid w:val="00A82742"/>
    <w:rsid w:val="00A82B8E"/>
    <w:rsid w:val="00A83780"/>
    <w:rsid w:val="00A852CA"/>
    <w:rsid w:val="00A93E94"/>
    <w:rsid w:val="00A94292"/>
    <w:rsid w:val="00A94509"/>
    <w:rsid w:val="00AA1DA5"/>
    <w:rsid w:val="00AA24B0"/>
    <w:rsid w:val="00AA25E5"/>
    <w:rsid w:val="00AA2978"/>
    <w:rsid w:val="00AB4126"/>
    <w:rsid w:val="00AB4FF9"/>
    <w:rsid w:val="00AC354B"/>
    <w:rsid w:val="00AC50C9"/>
    <w:rsid w:val="00AD0291"/>
    <w:rsid w:val="00AD06BE"/>
    <w:rsid w:val="00AD549B"/>
    <w:rsid w:val="00AE3021"/>
    <w:rsid w:val="00AE3218"/>
    <w:rsid w:val="00AE5F25"/>
    <w:rsid w:val="00AE60C6"/>
    <w:rsid w:val="00AE6DA3"/>
    <w:rsid w:val="00AE7F63"/>
    <w:rsid w:val="00AF0A40"/>
    <w:rsid w:val="00AF0F52"/>
    <w:rsid w:val="00AF1BB4"/>
    <w:rsid w:val="00AF1BDB"/>
    <w:rsid w:val="00AF487F"/>
    <w:rsid w:val="00AF50F6"/>
    <w:rsid w:val="00AF68E1"/>
    <w:rsid w:val="00B01CB2"/>
    <w:rsid w:val="00B03038"/>
    <w:rsid w:val="00B05428"/>
    <w:rsid w:val="00B06046"/>
    <w:rsid w:val="00B10E41"/>
    <w:rsid w:val="00B117C6"/>
    <w:rsid w:val="00B11EEC"/>
    <w:rsid w:val="00B124F5"/>
    <w:rsid w:val="00B16C53"/>
    <w:rsid w:val="00B27F84"/>
    <w:rsid w:val="00B30B3D"/>
    <w:rsid w:val="00B36144"/>
    <w:rsid w:val="00B40555"/>
    <w:rsid w:val="00B40F14"/>
    <w:rsid w:val="00B41008"/>
    <w:rsid w:val="00B42C76"/>
    <w:rsid w:val="00B46F3F"/>
    <w:rsid w:val="00B500AE"/>
    <w:rsid w:val="00B50CFD"/>
    <w:rsid w:val="00B510B0"/>
    <w:rsid w:val="00B516A0"/>
    <w:rsid w:val="00B52131"/>
    <w:rsid w:val="00B52F5E"/>
    <w:rsid w:val="00B600F7"/>
    <w:rsid w:val="00B625B1"/>
    <w:rsid w:val="00B63D42"/>
    <w:rsid w:val="00B6433D"/>
    <w:rsid w:val="00B66CC9"/>
    <w:rsid w:val="00B66FDF"/>
    <w:rsid w:val="00B67134"/>
    <w:rsid w:val="00B676FE"/>
    <w:rsid w:val="00B71A01"/>
    <w:rsid w:val="00B728A9"/>
    <w:rsid w:val="00B74909"/>
    <w:rsid w:val="00B83093"/>
    <w:rsid w:val="00B83710"/>
    <w:rsid w:val="00B843DE"/>
    <w:rsid w:val="00B86518"/>
    <w:rsid w:val="00B871CA"/>
    <w:rsid w:val="00B90342"/>
    <w:rsid w:val="00B90B39"/>
    <w:rsid w:val="00B91395"/>
    <w:rsid w:val="00BA1F02"/>
    <w:rsid w:val="00BA292E"/>
    <w:rsid w:val="00BA5EE8"/>
    <w:rsid w:val="00BB3E77"/>
    <w:rsid w:val="00BB7C0F"/>
    <w:rsid w:val="00BC1AA2"/>
    <w:rsid w:val="00BC1ECA"/>
    <w:rsid w:val="00BC2B34"/>
    <w:rsid w:val="00BC5A47"/>
    <w:rsid w:val="00BD0CC4"/>
    <w:rsid w:val="00BD5077"/>
    <w:rsid w:val="00BE0D1E"/>
    <w:rsid w:val="00BE3FB7"/>
    <w:rsid w:val="00BE6E6A"/>
    <w:rsid w:val="00BE7212"/>
    <w:rsid w:val="00BF04AD"/>
    <w:rsid w:val="00BF5EFE"/>
    <w:rsid w:val="00BF78EF"/>
    <w:rsid w:val="00BF798B"/>
    <w:rsid w:val="00C00383"/>
    <w:rsid w:val="00C016F8"/>
    <w:rsid w:val="00C02A37"/>
    <w:rsid w:val="00C0387F"/>
    <w:rsid w:val="00C07592"/>
    <w:rsid w:val="00C107A5"/>
    <w:rsid w:val="00C158B0"/>
    <w:rsid w:val="00C15D48"/>
    <w:rsid w:val="00C177F7"/>
    <w:rsid w:val="00C21ECB"/>
    <w:rsid w:val="00C25A96"/>
    <w:rsid w:val="00C279F1"/>
    <w:rsid w:val="00C35EE3"/>
    <w:rsid w:val="00C37E69"/>
    <w:rsid w:val="00C40BC0"/>
    <w:rsid w:val="00C4277D"/>
    <w:rsid w:val="00C42BF6"/>
    <w:rsid w:val="00C45D24"/>
    <w:rsid w:val="00C4602D"/>
    <w:rsid w:val="00C47F02"/>
    <w:rsid w:val="00C50E86"/>
    <w:rsid w:val="00C520D5"/>
    <w:rsid w:val="00C52830"/>
    <w:rsid w:val="00C57130"/>
    <w:rsid w:val="00C60B7D"/>
    <w:rsid w:val="00C63DF6"/>
    <w:rsid w:val="00C65C13"/>
    <w:rsid w:val="00C6684F"/>
    <w:rsid w:val="00C6729F"/>
    <w:rsid w:val="00C70F8B"/>
    <w:rsid w:val="00C70FE5"/>
    <w:rsid w:val="00C7506E"/>
    <w:rsid w:val="00C77A5A"/>
    <w:rsid w:val="00C77EAD"/>
    <w:rsid w:val="00C803CD"/>
    <w:rsid w:val="00C80DFF"/>
    <w:rsid w:val="00C80FFB"/>
    <w:rsid w:val="00C81C5A"/>
    <w:rsid w:val="00C8340B"/>
    <w:rsid w:val="00C83566"/>
    <w:rsid w:val="00C84F35"/>
    <w:rsid w:val="00C87E9C"/>
    <w:rsid w:val="00CA0E84"/>
    <w:rsid w:val="00CA206B"/>
    <w:rsid w:val="00CA4AC1"/>
    <w:rsid w:val="00CA58D1"/>
    <w:rsid w:val="00CA6110"/>
    <w:rsid w:val="00CA6E57"/>
    <w:rsid w:val="00CB26E2"/>
    <w:rsid w:val="00CB51A5"/>
    <w:rsid w:val="00CB543C"/>
    <w:rsid w:val="00CC10DA"/>
    <w:rsid w:val="00CC4FFC"/>
    <w:rsid w:val="00CC5235"/>
    <w:rsid w:val="00CC6EB4"/>
    <w:rsid w:val="00CC6F43"/>
    <w:rsid w:val="00CD445A"/>
    <w:rsid w:val="00CD5A25"/>
    <w:rsid w:val="00CD5C92"/>
    <w:rsid w:val="00CD7766"/>
    <w:rsid w:val="00CE0779"/>
    <w:rsid w:val="00CE117C"/>
    <w:rsid w:val="00CE2645"/>
    <w:rsid w:val="00CE2700"/>
    <w:rsid w:val="00CE2A37"/>
    <w:rsid w:val="00CE67A9"/>
    <w:rsid w:val="00CF43AC"/>
    <w:rsid w:val="00CF458D"/>
    <w:rsid w:val="00CF683D"/>
    <w:rsid w:val="00CF782A"/>
    <w:rsid w:val="00D02AFA"/>
    <w:rsid w:val="00D0352B"/>
    <w:rsid w:val="00D044EB"/>
    <w:rsid w:val="00D065DE"/>
    <w:rsid w:val="00D12D30"/>
    <w:rsid w:val="00D12E5D"/>
    <w:rsid w:val="00D159FF"/>
    <w:rsid w:val="00D238FE"/>
    <w:rsid w:val="00D25AE6"/>
    <w:rsid w:val="00D33053"/>
    <w:rsid w:val="00D33D04"/>
    <w:rsid w:val="00D37249"/>
    <w:rsid w:val="00D415AA"/>
    <w:rsid w:val="00D41E09"/>
    <w:rsid w:val="00D4460D"/>
    <w:rsid w:val="00D456B6"/>
    <w:rsid w:val="00D46267"/>
    <w:rsid w:val="00D50BC7"/>
    <w:rsid w:val="00D51988"/>
    <w:rsid w:val="00D51BB9"/>
    <w:rsid w:val="00D53D46"/>
    <w:rsid w:val="00D5618C"/>
    <w:rsid w:val="00D5669C"/>
    <w:rsid w:val="00D713BD"/>
    <w:rsid w:val="00D758A9"/>
    <w:rsid w:val="00D75994"/>
    <w:rsid w:val="00D762F4"/>
    <w:rsid w:val="00D76928"/>
    <w:rsid w:val="00D7784E"/>
    <w:rsid w:val="00D80083"/>
    <w:rsid w:val="00D8238C"/>
    <w:rsid w:val="00D82706"/>
    <w:rsid w:val="00D833E0"/>
    <w:rsid w:val="00D87DBC"/>
    <w:rsid w:val="00D92414"/>
    <w:rsid w:val="00D934A6"/>
    <w:rsid w:val="00D94F13"/>
    <w:rsid w:val="00D9516F"/>
    <w:rsid w:val="00D9546B"/>
    <w:rsid w:val="00D95861"/>
    <w:rsid w:val="00D96D03"/>
    <w:rsid w:val="00DA2D1F"/>
    <w:rsid w:val="00DA2D9D"/>
    <w:rsid w:val="00DA6D6A"/>
    <w:rsid w:val="00DB0379"/>
    <w:rsid w:val="00DB3E1D"/>
    <w:rsid w:val="00DB458A"/>
    <w:rsid w:val="00DB500E"/>
    <w:rsid w:val="00DB5605"/>
    <w:rsid w:val="00DC101C"/>
    <w:rsid w:val="00DC15C2"/>
    <w:rsid w:val="00DC18EF"/>
    <w:rsid w:val="00DC4A67"/>
    <w:rsid w:val="00DC539F"/>
    <w:rsid w:val="00DC5BFC"/>
    <w:rsid w:val="00DC61F8"/>
    <w:rsid w:val="00DC6D0E"/>
    <w:rsid w:val="00DD05A6"/>
    <w:rsid w:val="00DD0761"/>
    <w:rsid w:val="00DD0802"/>
    <w:rsid w:val="00DD17C7"/>
    <w:rsid w:val="00DD1AD7"/>
    <w:rsid w:val="00DD3F37"/>
    <w:rsid w:val="00DD79A4"/>
    <w:rsid w:val="00DE1178"/>
    <w:rsid w:val="00DE463B"/>
    <w:rsid w:val="00DE4D49"/>
    <w:rsid w:val="00DE4FD7"/>
    <w:rsid w:val="00DE5371"/>
    <w:rsid w:val="00DE60CF"/>
    <w:rsid w:val="00DE67E3"/>
    <w:rsid w:val="00DF1B48"/>
    <w:rsid w:val="00DF1BFD"/>
    <w:rsid w:val="00DF311E"/>
    <w:rsid w:val="00DF6B3A"/>
    <w:rsid w:val="00E02403"/>
    <w:rsid w:val="00E02C55"/>
    <w:rsid w:val="00E04230"/>
    <w:rsid w:val="00E051F2"/>
    <w:rsid w:val="00E072EE"/>
    <w:rsid w:val="00E07973"/>
    <w:rsid w:val="00E12B0E"/>
    <w:rsid w:val="00E13C9F"/>
    <w:rsid w:val="00E14A87"/>
    <w:rsid w:val="00E16081"/>
    <w:rsid w:val="00E21B1D"/>
    <w:rsid w:val="00E24149"/>
    <w:rsid w:val="00E26986"/>
    <w:rsid w:val="00E27619"/>
    <w:rsid w:val="00E32642"/>
    <w:rsid w:val="00E32FEB"/>
    <w:rsid w:val="00E4050A"/>
    <w:rsid w:val="00E4098E"/>
    <w:rsid w:val="00E41281"/>
    <w:rsid w:val="00E419F0"/>
    <w:rsid w:val="00E44905"/>
    <w:rsid w:val="00E5128A"/>
    <w:rsid w:val="00E52F53"/>
    <w:rsid w:val="00E53FB5"/>
    <w:rsid w:val="00E55073"/>
    <w:rsid w:val="00E57360"/>
    <w:rsid w:val="00E57A1A"/>
    <w:rsid w:val="00E60A71"/>
    <w:rsid w:val="00E643E3"/>
    <w:rsid w:val="00E6519F"/>
    <w:rsid w:val="00E65309"/>
    <w:rsid w:val="00E704A5"/>
    <w:rsid w:val="00E712F2"/>
    <w:rsid w:val="00E73A29"/>
    <w:rsid w:val="00E7715A"/>
    <w:rsid w:val="00E83A98"/>
    <w:rsid w:val="00E83ACC"/>
    <w:rsid w:val="00E841A6"/>
    <w:rsid w:val="00E9045A"/>
    <w:rsid w:val="00E924D2"/>
    <w:rsid w:val="00E951C5"/>
    <w:rsid w:val="00E95C94"/>
    <w:rsid w:val="00E95D62"/>
    <w:rsid w:val="00E9754E"/>
    <w:rsid w:val="00E9784F"/>
    <w:rsid w:val="00E9785C"/>
    <w:rsid w:val="00EA3BF0"/>
    <w:rsid w:val="00EA5B6F"/>
    <w:rsid w:val="00EA6227"/>
    <w:rsid w:val="00EB18ED"/>
    <w:rsid w:val="00EB48B1"/>
    <w:rsid w:val="00EB509F"/>
    <w:rsid w:val="00EB6DD6"/>
    <w:rsid w:val="00EC219A"/>
    <w:rsid w:val="00EC2EF5"/>
    <w:rsid w:val="00EC607D"/>
    <w:rsid w:val="00ED14C3"/>
    <w:rsid w:val="00ED3B17"/>
    <w:rsid w:val="00ED3B4F"/>
    <w:rsid w:val="00ED4B3C"/>
    <w:rsid w:val="00ED6A4E"/>
    <w:rsid w:val="00ED7EC4"/>
    <w:rsid w:val="00EE0966"/>
    <w:rsid w:val="00EE16D1"/>
    <w:rsid w:val="00EE254F"/>
    <w:rsid w:val="00EE70E9"/>
    <w:rsid w:val="00EE7D8D"/>
    <w:rsid w:val="00EF15BB"/>
    <w:rsid w:val="00EF357A"/>
    <w:rsid w:val="00EF3721"/>
    <w:rsid w:val="00EF646A"/>
    <w:rsid w:val="00EF69E8"/>
    <w:rsid w:val="00F002F8"/>
    <w:rsid w:val="00F018BF"/>
    <w:rsid w:val="00F0333A"/>
    <w:rsid w:val="00F038D3"/>
    <w:rsid w:val="00F05B4B"/>
    <w:rsid w:val="00F11E1D"/>
    <w:rsid w:val="00F15FA0"/>
    <w:rsid w:val="00F2042F"/>
    <w:rsid w:val="00F20E44"/>
    <w:rsid w:val="00F241FB"/>
    <w:rsid w:val="00F25100"/>
    <w:rsid w:val="00F26661"/>
    <w:rsid w:val="00F35BD2"/>
    <w:rsid w:val="00F41161"/>
    <w:rsid w:val="00F429AC"/>
    <w:rsid w:val="00F42C56"/>
    <w:rsid w:val="00F43F46"/>
    <w:rsid w:val="00F47398"/>
    <w:rsid w:val="00F51AE8"/>
    <w:rsid w:val="00F52322"/>
    <w:rsid w:val="00F53C90"/>
    <w:rsid w:val="00F56781"/>
    <w:rsid w:val="00F6073F"/>
    <w:rsid w:val="00F6183F"/>
    <w:rsid w:val="00F63794"/>
    <w:rsid w:val="00F65124"/>
    <w:rsid w:val="00F6691F"/>
    <w:rsid w:val="00F708A8"/>
    <w:rsid w:val="00F70BEA"/>
    <w:rsid w:val="00F71BF2"/>
    <w:rsid w:val="00F742DE"/>
    <w:rsid w:val="00F76923"/>
    <w:rsid w:val="00F769CD"/>
    <w:rsid w:val="00F77C12"/>
    <w:rsid w:val="00F81B8C"/>
    <w:rsid w:val="00F82AD5"/>
    <w:rsid w:val="00F84864"/>
    <w:rsid w:val="00F8554A"/>
    <w:rsid w:val="00F87B6B"/>
    <w:rsid w:val="00F87E09"/>
    <w:rsid w:val="00F92463"/>
    <w:rsid w:val="00F94663"/>
    <w:rsid w:val="00F97C5D"/>
    <w:rsid w:val="00FA5764"/>
    <w:rsid w:val="00FA7B69"/>
    <w:rsid w:val="00FB5A71"/>
    <w:rsid w:val="00FB6572"/>
    <w:rsid w:val="00FB6C0A"/>
    <w:rsid w:val="00FC0541"/>
    <w:rsid w:val="00FC21B3"/>
    <w:rsid w:val="00FC3F7D"/>
    <w:rsid w:val="00FC6169"/>
    <w:rsid w:val="00FC7E68"/>
    <w:rsid w:val="00FD0831"/>
    <w:rsid w:val="00FD1878"/>
    <w:rsid w:val="00FD34C1"/>
    <w:rsid w:val="00FD439A"/>
    <w:rsid w:val="00FD5BD4"/>
    <w:rsid w:val="00FD647A"/>
    <w:rsid w:val="00FE05FC"/>
    <w:rsid w:val="00FE1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6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20"/>
      </w:tabs>
      <w:spacing w:after="0" w:line="480" w:lineRule="atLeast"/>
    </w:pPr>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145"/>
    <w:pPr>
      <w:tabs>
        <w:tab w:val="center" w:pos="4680"/>
        <w:tab w:val="right" w:pos="9360"/>
      </w:tabs>
      <w:spacing w:line="240" w:lineRule="auto"/>
    </w:pPr>
  </w:style>
  <w:style w:type="character" w:customStyle="1" w:styleId="HeaderChar">
    <w:name w:val="Header Char"/>
    <w:basedOn w:val="DefaultParagraphFont"/>
    <w:link w:val="Header"/>
    <w:uiPriority w:val="99"/>
    <w:rsid w:val="00895145"/>
  </w:style>
  <w:style w:type="paragraph" w:styleId="Footer">
    <w:name w:val="footer"/>
    <w:basedOn w:val="Normal"/>
    <w:link w:val="FooterChar"/>
    <w:uiPriority w:val="99"/>
    <w:unhideWhenUsed/>
    <w:rsid w:val="00895145"/>
    <w:pPr>
      <w:tabs>
        <w:tab w:val="center" w:pos="4680"/>
        <w:tab w:val="right" w:pos="9360"/>
      </w:tabs>
      <w:spacing w:line="240" w:lineRule="auto"/>
    </w:pPr>
  </w:style>
  <w:style w:type="character" w:customStyle="1" w:styleId="FooterChar">
    <w:name w:val="Footer Char"/>
    <w:basedOn w:val="DefaultParagraphFont"/>
    <w:link w:val="Footer"/>
    <w:uiPriority w:val="99"/>
    <w:rsid w:val="00895145"/>
  </w:style>
  <w:style w:type="character" w:styleId="PageNumber">
    <w:name w:val="page number"/>
    <w:basedOn w:val="DefaultParagraphFont"/>
    <w:uiPriority w:val="99"/>
    <w:semiHidden/>
    <w:unhideWhenUsed/>
    <w:rsid w:val="00895145"/>
  </w:style>
  <w:style w:type="paragraph" w:styleId="FootnoteText">
    <w:name w:val="footnote text"/>
    <w:link w:val="FootnoteTextChar"/>
    <w:uiPriority w:val="99"/>
    <w:unhideWhenUsed/>
    <w:rsid w:val="00895145"/>
    <w:pPr>
      <w:spacing w:after="0" w:line="240" w:lineRule="auto"/>
    </w:pPr>
    <w:rPr>
      <w:rFonts w:ascii="Century Schoolbook" w:hAnsi="Century Schoolbook"/>
      <w:szCs w:val="20"/>
    </w:rPr>
  </w:style>
  <w:style w:type="character" w:customStyle="1" w:styleId="FootnoteTextChar">
    <w:name w:val="Footnote Text Char"/>
    <w:basedOn w:val="DefaultParagraphFont"/>
    <w:link w:val="FootnoteText"/>
    <w:uiPriority w:val="99"/>
    <w:rsid w:val="00895145"/>
    <w:rPr>
      <w:rFonts w:ascii="Century Schoolbook" w:hAnsi="Century Schoolbook"/>
      <w:szCs w:val="20"/>
    </w:rPr>
  </w:style>
  <w:style w:type="character" w:styleId="FootnoteReference">
    <w:name w:val="footnote reference"/>
    <w:basedOn w:val="DefaultParagraphFont"/>
    <w:uiPriority w:val="99"/>
    <w:semiHidden/>
    <w:unhideWhenUsed/>
    <w:rsid w:val="00155D93"/>
    <w:rPr>
      <w:vertAlign w:val="superscript"/>
    </w:rPr>
  </w:style>
  <w:style w:type="paragraph" w:styleId="BalloonText">
    <w:name w:val="Balloon Text"/>
    <w:basedOn w:val="Normal"/>
    <w:link w:val="BalloonTextChar"/>
    <w:uiPriority w:val="99"/>
    <w:semiHidden/>
    <w:unhideWhenUsed/>
    <w:rsid w:val="000835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57C"/>
    <w:rPr>
      <w:rFonts w:ascii="Segoe UI" w:hAnsi="Segoe UI" w:cs="Segoe UI"/>
      <w:sz w:val="18"/>
      <w:szCs w:val="18"/>
    </w:rPr>
  </w:style>
  <w:style w:type="character" w:styleId="CommentReference">
    <w:name w:val="annotation reference"/>
    <w:basedOn w:val="DefaultParagraphFont"/>
    <w:uiPriority w:val="99"/>
    <w:semiHidden/>
    <w:unhideWhenUsed/>
    <w:rsid w:val="00640FC9"/>
    <w:rPr>
      <w:sz w:val="16"/>
      <w:szCs w:val="16"/>
    </w:rPr>
  </w:style>
  <w:style w:type="paragraph" w:styleId="CommentText">
    <w:name w:val="annotation text"/>
    <w:basedOn w:val="Normal"/>
    <w:link w:val="CommentTextChar"/>
    <w:uiPriority w:val="99"/>
    <w:unhideWhenUsed/>
    <w:rsid w:val="00640FC9"/>
    <w:pPr>
      <w:spacing w:line="240" w:lineRule="auto"/>
    </w:pPr>
    <w:rPr>
      <w:sz w:val="20"/>
      <w:szCs w:val="20"/>
    </w:rPr>
  </w:style>
  <w:style w:type="character" w:customStyle="1" w:styleId="CommentTextChar">
    <w:name w:val="Comment Text Char"/>
    <w:basedOn w:val="DefaultParagraphFont"/>
    <w:link w:val="CommentText"/>
    <w:uiPriority w:val="99"/>
    <w:rsid w:val="00640FC9"/>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640FC9"/>
    <w:rPr>
      <w:b/>
      <w:bCs/>
    </w:rPr>
  </w:style>
  <w:style w:type="character" w:customStyle="1" w:styleId="CommentSubjectChar">
    <w:name w:val="Comment Subject Char"/>
    <w:basedOn w:val="CommentTextChar"/>
    <w:link w:val="CommentSubject"/>
    <w:uiPriority w:val="99"/>
    <w:semiHidden/>
    <w:rsid w:val="00640FC9"/>
    <w:rPr>
      <w:rFonts w:ascii="Century Schoolbook" w:hAnsi="Century Schoolbook"/>
      <w:b/>
      <w:bCs/>
      <w:sz w:val="20"/>
      <w:szCs w:val="20"/>
    </w:rPr>
  </w:style>
  <w:style w:type="paragraph" w:styleId="Revision">
    <w:name w:val="Revision"/>
    <w:hidden/>
    <w:uiPriority w:val="99"/>
    <w:semiHidden/>
    <w:rsid w:val="00D46267"/>
    <w:pPr>
      <w:spacing w:after="0" w:line="240" w:lineRule="auto"/>
    </w:pPr>
    <w:rPr>
      <w:rFonts w:ascii="Century Schoolbook" w:hAnsi="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829922">
      <w:bodyDiv w:val="1"/>
      <w:marLeft w:val="0"/>
      <w:marRight w:val="0"/>
      <w:marTop w:val="0"/>
      <w:marBottom w:val="0"/>
      <w:divBdr>
        <w:top w:val="none" w:sz="0" w:space="0" w:color="auto"/>
        <w:left w:val="none" w:sz="0" w:space="0" w:color="auto"/>
        <w:bottom w:val="none" w:sz="0" w:space="0" w:color="auto"/>
        <w:right w:val="none" w:sz="0" w:space="0" w:color="auto"/>
      </w:divBdr>
      <w:divsChild>
        <w:div w:id="1306734823">
          <w:marLeft w:val="0"/>
          <w:marRight w:val="0"/>
          <w:marTop w:val="0"/>
          <w:marBottom w:val="0"/>
          <w:divBdr>
            <w:top w:val="none" w:sz="0" w:space="0" w:color="auto"/>
            <w:left w:val="none" w:sz="0" w:space="0" w:color="auto"/>
            <w:bottom w:val="none" w:sz="0" w:space="0" w:color="auto"/>
            <w:right w:val="none" w:sz="0" w:space="0" w:color="auto"/>
          </w:divBdr>
        </w:div>
      </w:divsChild>
    </w:div>
    <w:div w:id="487474808">
      <w:bodyDiv w:val="1"/>
      <w:marLeft w:val="0"/>
      <w:marRight w:val="0"/>
      <w:marTop w:val="0"/>
      <w:marBottom w:val="0"/>
      <w:divBdr>
        <w:top w:val="none" w:sz="0" w:space="0" w:color="auto"/>
        <w:left w:val="none" w:sz="0" w:space="0" w:color="auto"/>
        <w:bottom w:val="none" w:sz="0" w:space="0" w:color="auto"/>
        <w:right w:val="none" w:sz="0" w:space="0" w:color="auto"/>
      </w:divBdr>
    </w:div>
    <w:div w:id="786968097">
      <w:bodyDiv w:val="1"/>
      <w:marLeft w:val="0"/>
      <w:marRight w:val="0"/>
      <w:marTop w:val="0"/>
      <w:marBottom w:val="0"/>
      <w:divBdr>
        <w:top w:val="none" w:sz="0" w:space="0" w:color="auto"/>
        <w:left w:val="none" w:sz="0" w:space="0" w:color="auto"/>
        <w:bottom w:val="none" w:sz="0" w:space="0" w:color="auto"/>
        <w:right w:val="none" w:sz="0" w:space="0" w:color="auto"/>
      </w:divBdr>
    </w:div>
    <w:div w:id="1005088079">
      <w:bodyDiv w:val="1"/>
      <w:marLeft w:val="0"/>
      <w:marRight w:val="0"/>
      <w:marTop w:val="0"/>
      <w:marBottom w:val="0"/>
      <w:divBdr>
        <w:top w:val="none" w:sz="0" w:space="0" w:color="auto"/>
        <w:left w:val="none" w:sz="0" w:space="0" w:color="auto"/>
        <w:bottom w:val="none" w:sz="0" w:space="0" w:color="auto"/>
        <w:right w:val="none" w:sz="0" w:space="0" w:color="auto"/>
      </w:divBdr>
    </w:div>
    <w:div w:id="1146627277">
      <w:bodyDiv w:val="1"/>
      <w:marLeft w:val="0"/>
      <w:marRight w:val="0"/>
      <w:marTop w:val="0"/>
      <w:marBottom w:val="0"/>
      <w:divBdr>
        <w:top w:val="none" w:sz="0" w:space="0" w:color="auto"/>
        <w:left w:val="none" w:sz="0" w:space="0" w:color="auto"/>
        <w:bottom w:val="none" w:sz="0" w:space="0" w:color="auto"/>
        <w:right w:val="none" w:sz="0" w:space="0" w:color="auto"/>
      </w:divBdr>
    </w:div>
    <w:div w:id="1150367178">
      <w:bodyDiv w:val="1"/>
      <w:marLeft w:val="0"/>
      <w:marRight w:val="0"/>
      <w:marTop w:val="0"/>
      <w:marBottom w:val="0"/>
      <w:divBdr>
        <w:top w:val="none" w:sz="0" w:space="0" w:color="auto"/>
        <w:left w:val="none" w:sz="0" w:space="0" w:color="auto"/>
        <w:bottom w:val="none" w:sz="0" w:space="0" w:color="auto"/>
        <w:right w:val="none" w:sz="0" w:space="0" w:color="auto"/>
      </w:divBdr>
    </w:div>
    <w:div w:id="1415004920">
      <w:bodyDiv w:val="1"/>
      <w:marLeft w:val="0"/>
      <w:marRight w:val="0"/>
      <w:marTop w:val="0"/>
      <w:marBottom w:val="0"/>
      <w:divBdr>
        <w:top w:val="none" w:sz="0" w:space="0" w:color="auto"/>
        <w:left w:val="none" w:sz="0" w:space="0" w:color="auto"/>
        <w:bottom w:val="none" w:sz="0" w:space="0" w:color="auto"/>
        <w:right w:val="none" w:sz="0" w:space="0" w:color="auto"/>
      </w:divBdr>
      <w:divsChild>
        <w:div w:id="1203786209">
          <w:marLeft w:val="0"/>
          <w:marRight w:val="0"/>
          <w:marTop w:val="0"/>
          <w:marBottom w:val="0"/>
          <w:divBdr>
            <w:top w:val="none" w:sz="0" w:space="0" w:color="auto"/>
            <w:left w:val="none" w:sz="0" w:space="0" w:color="auto"/>
            <w:bottom w:val="none" w:sz="0" w:space="0" w:color="auto"/>
            <w:right w:val="none" w:sz="0" w:space="0" w:color="auto"/>
          </w:divBdr>
        </w:div>
      </w:divsChild>
    </w:div>
    <w:div w:id="209010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5423</Words>
  <Characters>27165</Characters>
  <Application>Microsoft Office Word</Application>
  <DocSecurity>0</DocSecurity>
  <Lines>504</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32823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2024-04-10T22:04:00Z</dcterms:created>
  <dcterms:modified xsi:type="dcterms:W3CDTF">2024-04-10T22:04:00Z</dcterms:modified>
  <cp:category/>
</cp:coreProperties>
</file>