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36CFB" w:rsidRPr="00903EDF" w:rsidP="00336CFB" w14:paraId="3369B092" w14:textId="5218E8C5">
      <w:pPr>
        <w:spacing w:line="240" w:lineRule="auto"/>
        <w:rPr>
          <w:rFonts w:ascii="Century Schoolbook" w:hAnsi="Century Schoolbook"/>
          <w:sz w:val="20"/>
          <w:szCs w:val="20"/>
        </w:rPr>
      </w:pPr>
      <w:r w:rsidRPr="00903EDF">
        <w:rPr>
          <w:rFonts w:ascii="Century Schoolbook" w:hAnsi="Century Schoolbook"/>
          <w:sz w:val="20"/>
          <w:szCs w:val="20"/>
        </w:rPr>
        <w:t xml:space="preserve">Filed </w:t>
      </w:r>
      <w:r w:rsidRPr="00903EDF" w:rsidR="00B77692">
        <w:rPr>
          <w:rFonts w:ascii="Century Schoolbook" w:hAnsi="Century Schoolbook"/>
          <w:sz w:val="20"/>
          <w:szCs w:val="20"/>
        </w:rPr>
        <w:t>4/22/24</w:t>
      </w:r>
    </w:p>
    <w:p w:rsidR="00BA0673" w:rsidRPr="00903EDF" w:rsidP="00336CFB" w14:paraId="397DBE81" w14:textId="77777777">
      <w:pPr>
        <w:spacing w:line="240" w:lineRule="auto"/>
        <w:jc w:val="center"/>
        <w:rPr>
          <w:rFonts w:ascii="Century Schoolbook" w:hAnsi="Century Schoolbook"/>
          <w:b/>
        </w:rPr>
      </w:pPr>
    </w:p>
    <w:p w:rsidR="00047E11" w:rsidRPr="00903EDF" w:rsidP="00336CFB" w14:paraId="3D0D6000" w14:textId="77777777">
      <w:pPr>
        <w:spacing w:line="240" w:lineRule="auto"/>
        <w:jc w:val="center"/>
        <w:rPr>
          <w:rFonts w:ascii="Century Schoolbook" w:hAnsi="Century Schoolbook"/>
          <w:b/>
        </w:rPr>
      </w:pPr>
    </w:p>
    <w:p w:rsidR="00336CFB" w:rsidRPr="00903EDF" w:rsidP="00336CFB" w14:paraId="2F8AD69B" w14:textId="69FA117C">
      <w:pPr>
        <w:spacing w:line="240" w:lineRule="auto"/>
        <w:jc w:val="center"/>
        <w:rPr>
          <w:rFonts w:ascii="Century Schoolbook" w:hAnsi="Century Schoolbook"/>
          <w:b/>
        </w:rPr>
      </w:pPr>
      <w:r w:rsidRPr="00903EDF">
        <w:rPr>
          <w:rFonts w:ascii="Century Schoolbook" w:hAnsi="Century Schoolbook"/>
          <w:b/>
        </w:rPr>
        <w:t>CERTIFIED FOR PUBLICATION</w:t>
      </w:r>
    </w:p>
    <w:p w:rsidR="00336CFB" w:rsidRPr="00903EDF" w:rsidP="00336CFB" w14:paraId="4D6ED03D" w14:textId="77777777">
      <w:pPr>
        <w:spacing w:line="240" w:lineRule="auto"/>
        <w:jc w:val="center"/>
        <w:rPr>
          <w:rFonts w:ascii="Century Schoolbook" w:hAnsi="Century Schoolbook"/>
        </w:rPr>
      </w:pPr>
    </w:p>
    <w:p w:rsidR="00336CFB" w:rsidRPr="00903EDF" w:rsidP="00013A87" w14:paraId="5489BD71" w14:textId="77777777">
      <w:pPr>
        <w:spacing w:line="240" w:lineRule="auto"/>
        <w:jc w:val="center"/>
        <w:rPr>
          <w:rFonts w:ascii="Century Schoolbook" w:hAnsi="Century Schoolbook"/>
        </w:rPr>
      </w:pPr>
    </w:p>
    <w:p w:rsidR="000B1558" w:rsidRPr="00903EDF" w:rsidP="005A236B" w14:paraId="0E5F65EB" w14:textId="78A7B2F8">
      <w:pPr>
        <w:spacing w:line="240" w:lineRule="auto"/>
        <w:jc w:val="center"/>
        <w:rPr>
          <w:rFonts w:ascii="Century Schoolbook" w:hAnsi="Century Schoolbook"/>
        </w:rPr>
      </w:pPr>
      <w:r w:rsidRPr="00903EDF">
        <w:rPr>
          <w:rFonts w:ascii="Century Schoolbook" w:hAnsi="Century Schoolbook"/>
        </w:rPr>
        <w:t>IN THE COURT OF APPEAL OF THE STATE OF CALIFORNIA</w:t>
      </w:r>
    </w:p>
    <w:p w:rsidR="005A236B" w:rsidRPr="00903EDF" w:rsidP="005A236B" w14:paraId="7CD5AB5B" w14:textId="77777777">
      <w:pPr>
        <w:spacing w:line="240" w:lineRule="auto"/>
        <w:jc w:val="center"/>
        <w:rPr>
          <w:rFonts w:ascii="Century Schoolbook" w:hAnsi="Century Schoolbook"/>
        </w:rPr>
      </w:pPr>
    </w:p>
    <w:p w:rsidR="005A236B" w:rsidRPr="00903EDF" w:rsidP="005A236B" w14:paraId="2C1BAABC" w14:textId="77777777">
      <w:pPr>
        <w:spacing w:line="240" w:lineRule="auto"/>
        <w:jc w:val="center"/>
        <w:rPr>
          <w:rFonts w:ascii="Century Schoolbook" w:hAnsi="Century Schoolbook"/>
        </w:rPr>
      </w:pPr>
      <w:r w:rsidRPr="00903EDF">
        <w:rPr>
          <w:rFonts w:ascii="Century Schoolbook" w:hAnsi="Century Schoolbook"/>
        </w:rPr>
        <w:t>FIRST APPELLATE DISTRICT</w:t>
      </w:r>
    </w:p>
    <w:p w:rsidR="005A236B" w:rsidRPr="00903EDF" w:rsidP="005A236B" w14:paraId="3C71BEB2" w14:textId="77777777">
      <w:pPr>
        <w:spacing w:line="240" w:lineRule="auto"/>
        <w:jc w:val="center"/>
        <w:rPr>
          <w:rFonts w:ascii="Century Schoolbook" w:hAnsi="Century Schoolbook"/>
        </w:rPr>
      </w:pPr>
    </w:p>
    <w:p w:rsidR="005A236B" w:rsidRPr="00903EDF" w:rsidP="005A236B" w14:paraId="72AD88AE" w14:textId="5C94B47B">
      <w:pPr>
        <w:spacing w:line="240" w:lineRule="auto"/>
        <w:jc w:val="center"/>
        <w:rPr>
          <w:rFonts w:ascii="Century Schoolbook" w:hAnsi="Century Schoolbook"/>
        </w:rPr>
      </w:pPr>
      <w:r w:rsidRPr="00903EDF">
        <w:rPr>
          <w:rFonts w:ascii="Century Schoolbook" w:hAnsi="Century Schoolbook"/>
        </w:rPr>
        <w:t xml:space="preserve">DIVISION </w:t>
      </w:r>
      <w:r w:rsidRPr="00903EDF" w:rsidR="00063E57">
        <w:rPr>
          <w:rFonts w:ascii="Century Schoolbook" w:hAnsi="Century Schoolbook"/>
        </w:rPr>
        <w:t>FOUR</w:t>
      </w:r>
    </w:p>
    <w:p w:rsidR="005A236B" w:rsidRPr="00903EDF" w:rsidP="005A236B" w14:paraId="06616922" w14:textId="77777777">
      <w:pPr>
        <w:spacing w:line="240" w:lineRule="auto"/>
        <w:jc w:val="center"/>
        <w:rPr>
          <w:rFonts w:ascii="Century Schoolbook" w:hAnsi="Century Schoolbook"/>
        </w:rPr>
      </w:pPr>
    </w:p>
    <w:p w:rsidR="005A236B" w:rsidRPr="00903EDF" w:rsidP="005A236B" w14:paraId="620B02CF"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090C1929" w14:textId="77777777" w:rsidTr="005A236B">
        <w:tblPrEx>
          <w:tblW w:w="0" w:type="auto"/>
          <w:tblLayout w:type="fixed"/>
          <w:tblLook w:val="0000"/>
        </w:tblPrEx>
        <w:tc>
          <w:tcPr>
            <w:tcW w:w="4680" w:type="dxa"/>
            <w:tcBorders>
              <w:bottom w:val="single" w:sz="4" w:space="0" w:color="auto"/>
              <w:right w:val="single" w:sz="4" w:space="0" w:color="auto"/>
            </w:tcBorders>
            <w:shd w:val="clear" w:color="auto" w:fill="auto"/>
          </w:tcPr>
          <w:p w:rsidR="005A236B" w:rsidRPr="00903EDF" w:rsidP="00322B31" w14:paraId="18676D17" w14:textId="3D51A556">
            <w:pPr>
              <w:spacing w:after="120" w:line="360" w:lineRule="auto"/>
              <w:rPr>
                <w:rFonts w:ascii="Century Schoolbook" w:hAnsi="Century Schoolbook"/>
              </w:rPr>
            </w:pPr>
            <w:r w:rsidRPr="00903EDF">
              <w:rPr>
                <w:rFonts w:ascii="Century Schoolbook" w:hAnsi="Century Schoolbook"/>
              </w:rPr>
              <w:t xml:space="preserve">THE </w:t>
            </w:r>
            <w:r w:rsidRPr="00903EDF" w:rsidR="00322B31">
              <w:rPr>
                <w:rFonts w:ascii="Century Schoolbook" w:hAnsi="Century Schoolbook"/>
              </w:rPr>
              <w:t>PEOPLE</w:t>
            </w:r>
            <w:r w:rsidRPr="00903EDF">
              <w:rPr>
                <w:rFonts w:ascii="Century Schoolbook" w:hAnsi="Century Schoolbook"/>
              </w:rPr>
              <w:t>,</w:t>
            </w:r>
          </w:p>
          <w:p w:rsidR="005A236B" w:rsidRPr="00903EDF" w:rsidP="005A236B" w14:paraId="52D0C067" w14:textId="7289E479">
            <w:pPr>
              <w:spacing w:after="120" w:line="240" w:lineRule="auto"/>
              <w:rPr>
                <w:rFonts w:ascii="Century Schoolbook" w:hAnsi="Century Schoolbook"/>
              </w:rPr>
            </w:pPr>
            <w:r w:rsidRPr="00903EDF">
              <w:rPr>
                <w:rFonts w:ascii="Century Schoolbook" w:hAnsi="Century Schoolbook"/>
              </w:rPr>
              <w:tab/>
            </w:r>
            <w:r w:rsidRPr="00903EDF" w:rsidR="0027309C">
              <w:rPr>
                <w:rFonts w:ascii="Century Schoolbook" w:hAnsi="Century Schoolbook"/>
              </w:rPr>
              <w:t>Plaintiff and Respondent</w:t>
            </w:r>
            <w:r w:rsidRPr="00903EDF">
              <w:rPr>
                <w:rFonts w:ascii="Century Schoolbook" w:hAnsi="Century Schoolbook"/>
              </w:rPr>
              <w:t>,</w:t>
            </w:r>
          </w:p>
          <w:p w:rsidR="005A236B" w:rsidRPr="00903EDF" w:rsidP="005A236B" w14:paraId="2D722056" w14:textId="77777777">
            <w:pPr>
              <w:spacing w:after="120" w:line="240" w:lineRule="auto"/>
              <w:rPr>
                <w:rFonts w:ascii="Century Schoolbook" w:hAnsi="Century Schoolbook"/>
              </w:rPr>
            </w:pPr>
            <w:r w:rsidRPr="00903EDF">
              <w:rPr>
                <w:rFonts w:ascii="Century Schoolbook" w:hAnsi="Century Schoolbook"/>
              </w:rPr>
              <w:t>v.</w:t>
            </w:r>
          </w:p>
          <w:p w:rsidR="005A236B" w:rsidRPr="00903EDF" w:rsidP="005A236B" w14:paraId="0E4F52D2" w14:textId="52D501FA">
            <w:pPr>
              <w:spacing w:after="120" w:line="240" w:lineRule="auto"/>
              <w:rPr>
                <w:rFonts w:ascii="Century Schoolbook" w:hAnsi="Century Schoolbook"/>
              </w:rPr>
            </w:pPr>
            <w:r w:rsidRPr="00903EDF">
              <w:rPr>
                <w:rFonts w:ascii="Century Schoolbook" w:hAnsi="Century Schoolbook"/>
              </w:rPr>
              <w:t>FLORIAN BASICA,</w:t>
            </w:r>
          </w:p>
          <w:p w:rsidR="005A236B" w:rsidRPr="00903EDF" w:rsidP="00504B25" w14:paraId="281F9206" w14:textId="77777777">
            <w:pPr>
              <w:spacing w:after="120" w:line="360" w:lineRule="auto"/>
              <w:rPr>
                <w:rFonts w:ascii="Century Schoolbook" w:hAnsi="Century Schoolbook"/>
              </w:rPr>
            </w:pPr>
            <w:r w:rsidRPr="00903EDF">
              <w:rPr>
                <w:rFonts w:ascii="Century Schoolbook" w:hAnsi="Century Schoolbook"/>
              </w:rPr>
              <w:tab/>
            </w:r>
            <w:r w:rsidRPr="00903EDF" w:rsidR="0027309C">
              <w:rPr>
                <w:rFonts w:ascii="Century Schoolbook" w:hAnsi="Century Schoolbook"/>
              </w:rPr>
              <w:t>Defendant</w:t>
            </w:r>
            <w:r w:rsidRPr="00903EDF" w:rsidR="00504B25">
              <w:rPr>
                <w:rFonts w:ascii="Century Schoolbook" w:hAnsi="Century Schoolbook"/>
              </w:rPr>
              <w:t>;</w:t>
            </w:r>
          </w:p>
          <w:p w:rsidR="00504B25" w:rsidRPr="00903EDF" w:rsidP="00504B25" w14:paraId="62A91DD6" w14:textId="4E78BC74">
            <w:pPr>
              <w:spacing w:after="120" w:line="240" w:lineRule="auto"/>
              <w:rPr>
                <w:rFonts w:ascii="Century Schoolbook" w:hAnsi="Century Schoolbook"/>
              </w:rPr>
            </w:pPr>
            <w:r w:rsidRPr="00903EDF">
              <w:rPr>
                <w:rFonts w:ascii="Century Schoolbook" w:hAnsi="Century Schoolbook"/>
              </w:rPr>
              <w:t>THE NORTH RIVER INS</w:t>
            </w:r>
            <w:r w:rsidRPr="00903EDF" w:rsidR="00642C63">
              <w:rPr>
                <w:rFonts w:ascii="Century Schoolbook" w:hAnsi="Century Schoolbook"/>
              </w:rPr>
              <w:t>URANCE</w:t>
            </w:r>
            <w:r w:rsidRPr="00903EDF">
              <w:rPr>
                <w:rFonts w:ascii="Century Schoolbook" w:hAnsi="Century Schoolbook"/>
              </w:rPr>
              <w:t xml:space="preserve"> </w:t>
            </w:r>
            <w:r w:rsidRPr="00903EDF" w:rsidR="00642C63">
              <w:rPr>
                <w:rFonts w:ascii="Century Schoolbook" w:hAnsi="Century Schoolbook"/>
              </w:rPr>
              <w:t xml:space="preserve">CO. </w:t>
            </w:r>
            <w:r w:rsidR="00A30ED4">
              <w:rPr>
                <w:rFonts w:ascii="Century Schoolbook" w:hAnsi="Century Schoolbook"/>
              </w:rPr>
              <w:t>et al.</w:t>
            </w:r>
            <w:r w:rsidRPr="00903EDF">
              <w:rPr>
                <w:rFonts w:ascii="Century Schoolbook" w:hAnsi="Century Schoolbook"/>
              </w:rPr>
              <w:t>,</w:t>
            </w:r>
          </w:p>
          <w:p w:rsidR="00E115C3" w:rsidRPr="00903EDF" w:rsidP="00E115C3" w14:paraId="566F5CD1" w14:textId="77777777">
            <w:pPr>
              <w:spacing w:after="120" w:line="240" w:lineRule="auto"/>
              <w:rPr>
                <w:rFonts w:ascii="Century Schoolbook" w:hAnsi="Century Schoolbook"/>
              </w:rPr>
            </w:pPr>
            <w:r w:rsidRPr="00903EDF">
              <w:rPr>
                <w:rFonts w:ascii="Century Schoolbook" w:hAnsi="Century Schoolbook"/>
              </w:rPr>
              <w:tab/>
              <w:t>Real Parties in Interest and</w:t>
            </w:r>
          </w:p>
          <w:p w:rsidR="00504B25" w:rsidRPr="00903EDF" w:rsidP="00E115C3" w14:paraId="1428F205" w14:textId="4027859E">
            <w:pPr>
              <w:spacing w:after="120" w:line="240" w:lineRule="auto"/>
              <w:rPr>
                <w:rFonts w:ascii="Century Schoolbook" w:hAnsi="Century Schoolbook"/>
              </w:rPr>
            </w:pPr>
            <w:r w:rsidRPr="00903EDF">
              <w:rPr>
                <w:rFonts w:ascii="Century Schoolbook" w:hAnsi="Century Schoolbook"/>
              </w:rPr>
              <w:tab/>
              <w:t>Appellants.</w:t>
            </w:r>
          </w:p>
        </w:tc>
        <w:tc>
          <w:tcPr>
            <w:tcW w:w="4680" w:type="dxa"/>
            <w:tcBorders>
              <w:left w:val="single" w:sz="4" w:space="0" w:color="auto"/>
            </w:tcBorders>
            <w:shd w:val="clear" w:color="auto" w:fill="auto"/>
          </w:tcPr>
          <w:p w:rsidR="005A236B" w:rsidRPr="00903EDF" w:rsidP="005A236B" w14:paraId="01D97858" w14:textId="77777777">
            <w:pPr>
              <w:spacing w:line="240" w:lineRule="auto"/>
              <w:rPr>
                <w:rFonts w:ascii="Century Schoolbook" w:hAnsi="Century Schoolbook"/>
              </w:rPr>
            </w:pPr>
          </w:p>
          <w:p w:rsidR="005A236B" w:rsidRPr="00903EDF" w:rsidP="005A236B" w14:paraId="0EEA893C" w14:textId="77777777">
            <w:pPr>
              <w:spacing w:line="240" w:lineRule="auto"/>
              <w:rPr>
                <w:rFonts w:ascii="Century Schoolbook" w:hAnsi="Century Schoolbook"/>
              </w:rPr>
            </w:pPr>
          </w:p>
          <w:p w:rsidR="005A236B" w:rsidRPr="00903EDF" w:rsidP="005A236B" w14:paraId="569F7E4B" w14:textId="16BF6CD6">
            <w:pPr>
              <w:spacing w:line="240" w:lineRule="auto"/>
              <w:rPr>
                <w:rFonts w:ascii="Century Schoolbook" w:hAnsi="Century Schoolbook"/>
              </w:rPr>
            </w:pPr>
            <w:r w:rsidRPr="00903EDF">
              <w:rPr>
                <w:rFonts w:ascii="Century Schoolbook" w:hAnsi="Century Schoolbook"/>
              </w:rPr>
              <w:t xml:space="preserve">      A1</w:t>
            </w:r>
            <w:r w:rsidRPr="00903EDF" w:rsidR="00D677B5">
              <w:rPr>
                <w:rFonts w:ascii="Century Schoolbook" w:hAnsi="Century Schoolbook"/>
              </w:rPr>
              <w:t>6</w:t>
            </w:r>
            <w:r w:rsidRPr="00903EDF" w:rsidR="00504B25">
              <w:rPr>
                <w:rFonts w:ascii="Century Schoolbook" w:hAnsi="Century Schoolbook"/>
              </w:rPr>
              <w:t>6580</w:t>
            </w:r>
          </w:p>
          <w:p w:rsidR="005A236B" w:rsidRPr="00903EDF" w:rsidP="005A236B" w14:paraId="3FBCD644" w14:textId="77777777">
            <w:pPr>
              <w:spacing w:line="240" w:lineRule="auto"/>
              <w:rPr>
                <w:rFonts w:ascii="Century Schoolbook" w:hAnsi="Century Schoolbook"/>
              </w:rPr>
            </w:pPr>
          </w:p>
          <w:p w:rsidR="005A236B" w:rsidRPr="00903EDF" w:rsidP="005A236B" w14:paraId="4A74D26F" w14:textId="1FE1B2EC">
            <w:pPr>
              <w:spacing w:line="240" w:lineRule="auto"/>
              <w:rPr>
                <w:rFonts w:ascii="Century Schoolbook" w:hAnsi="Century Schoolbook"/>
              </w:rPr>
            </w:pPr>
            <w:r w:rsidRPr="00903EDF">
              <w:rPr>
                <w:rFonts w:ascii="Century Schoolbook" w:hAnsi="Century Schoolbook"/>
              </w:rPr>
              <w:t xml:space="preserve">      (</w:t>
            </w:r>
            <w:r w:rsidRPr="00903EDF" w:rsidR="00504B25">
              <w:rPr>
                <w:rFonts w:ascii="Century Schoolbook" w:hAnsi="Century Schoolbook"/>
              </w:rPr>
              <w:t>Alameda</w:t>
            </w:r>
            <w:r w:rsidRPr="00903EDF">
              <w:rPr>
                <w:rFonts w:ascii="Century Schoolbook" w:hAnsi="Century Schoolbook"/>
              </w:rPr>
              <w:t xml:space="preserve"> County</w:t>
            </w:r>
            <w:r w:rsidRPr="00903EDF" w:rsidR="000843B5">
              <w:rPr>
                <w:rFonts w:ascii="Century Schoolbook" w:hAnsi="Century Schoolbook"/>
              </w:rPr>
              <w:t xml:space="preserve"> Super.</w:t>
            </w:r>
            <w:r w:rsidRPr="00903EDF" w:rsidR="00056107">
              <w:rPr>
                <w:rFonts w:ascii="Century Schoolbook" w:hAnsi="Century Schoolbook"/>
              </w:rPr>
              <w:t xml:space="preserve"> Ct. No.</w:t>
            </w:r>
          </w:p>
          <w:p w:rsidR="005A236B" w:rsidRPr="00903EDF" w:rsidP="005A236B" w14:paraId="7EB9BD18" w14:textId="0B3AB010">
            <w:pPr>
              <w:spacing w:line="240" w:lineRule="auto"/>
              <w:rPr>
                <w:rFonts w:ascii="Century Schoolbook" w:hAnsi="Century Schoolbook"/>
              </w:rPr>
            </w:pPr>
            <w:r w:rsidRPr="00903EDF">
              <w:rPr>
                <w:rFonts w:ascii="Century Schoolbook" w:hAnsi="Century Schoolbook"/>
              </w:rPr>
              <w:t xml:space="preserve">      </w:t>
            </w:r>
            <w:r w:rsidRPr="00903EDF" w:rsidR="00504B25">
              <w:rPr>
                <w:rFonts w:ascii="Century Schoolbook" w:hAnsi="Century Schoolbook"/>
              </w:rPr>
              <w:t>20-CR-013581</w:t>
            </w:r>
            <w:r w:rsidRPr="00903EDF">
              <w:rPr>
                <w:rFonts w:ascii="Century Schoolbook" w:hAnsi="Century Schoolbook"/>
              </w:rPr>
              <w:t>)</w:t>
            </w:r>
          </w:p>
          <w:p w:rsidR="005A236B" w:rsidRPr="00903EDF" w:rsidP="005A236B" w14:paraId="36983A94" w14:textId="77777777">
            <w:pPr>
              <w:spacing w:line="240" w:lineRule="auto"/>
              <w:rPr>
                <w:rFonts w:ascii="Century Schoolbook" w:hAnsi="Century Schoolbook"/>
              </w:rPr>
            </w:pPr>
          </w:p>
        </w:tc>
      </w:tr>
    </w:tbl>
    <w:p w:rsidR="00BA0673" w:rsidRPr="00903EDF" w:rsidP="005A236B" w14:paraId="2659DF1C" w14:textId="77777777">
      <w:pPr>
        <w:spacing w:line="360" w:lineRule="auto"/>
        <w:rPr>
          <w:rFonts w:ascii="Century Schoolbook" w:hAnsi="Century Schoolbook"/>
        </w:rPr>
      </w:pPr>
    </w:p>
    <w:p w:rsidR="003A0D52" w:rsidRPr="00903EDF" w:rsidP="00505C51" w14:paraId="52EE0D31" w14:textId="449C1E7C">
      <w:pPr>
        <w:spacing w:line="360" w:lineRule="auto"/>
        <w:rPr>
          <w:rFonts w:ascii="Century Schoolbook" w:hAnsi="Century Schoolbook"/>
        </w:rPr>
      </w:pPr>
      <w:r w:rsidRPr="00903EDF">
        <w:rPr>
          <w:rFonts w:ascii="Century Schoolbook" w:hAnsi="Century Schoolbook"/>
        </w:rPr>
        <w:tab/>
        <w:t xml:space="preserve">North River Insurance Company </w:t>
      </w:r>
      <w:r w:rsidRPr="00903EDF" w:rsidR="00E0639C">
        <w:rPr>
          <w:rFonts w:ascii="Century Schoolbook" w:hAnsi="Century Schoolbook"/>
        </w:rPr>
        <w:t xml:space="preserve">(the surety) </w:t>
      </w:r>
      <w:r w:rsidRPr="00903EDF">
        <w:rPr>
          <w:rFonts w:ascii="Century Schoolbook" w:hAnsi="Century Schoolbook"/>
        </w:rPr>
        <w:t>and Bad Boys Bail Bonds (</w:t>
      </w:r>
      <w:r w:rsidRPr="00903EDF" w:rsidR="00E0639C">
        <w:rPr>
          <w:rFonts w:ascii="Century Schoolbook" w:hAnsi="Century Schoolbook"/>
        </w:rPr>
        <w:t>the b</w:t>
      </w:r>
      <w:r w:rsidRPr="00903EDF" w:rsidR="00393549">
        <w:rPr>
          <w:rFonts w:ascii="Century Schoolbook" w:hAnsi="Century Schoolbook"/>
        </w:rPr>
        <w:t>ail agent</w:t>
      </w:r>
      <w:r w:rsidRPr="00903EDF">
        <w:rPr>
          <w:rFonts w:ascii="Century Schoolbook" w:hAnsi="Century Schoolbook"/>
        </w:rPr>
        <w:t xml:space="preserve">) </w:t>
      </w:r>
      <w:r w:rsidRPr="00903EDF" w:rsidR="00D96627">
        <w:rPr>
          <w:rFonts w:ascii="Century Schoolbook" w:hAnsi="Century Schoolbook"/>
        </w:rPr>
        <w:t>appeal from</w:t>
      </w:r>
      <w:r w:rsidRPr="00903EDF">
        <w:rPr>
          <w:rFonts w:ascii="Century Schoolbook" w:hAnsi="Century Schoolbook"/>
        </w:rPr>
        <w:t xml:space="preserve"> summary judgment </w:t>
      </w:r>
      <w:r w:rsidRPr="00903EDF" w:rsidR="007C107E">
        <w:rPr>
          <w:rFonts w:ascii="Century Schoolbook" w:hAnsi="Century Schoolbook"/>
        </w:rPr>
        <w:t xml:space="preserve">entered </w:t>
      </w:r>
      <w:r w:rsidRPr="00903EDF">
        <w:rPr>
          <w:rFonts w:ascii="Century Schoolbook" w:hAnsi="Century Schoolbook"/>
        </w:rPr>
        <w:t xml:space="preserve">against the surety on the same day </w:t>
      </w:r>
      <w:r w:rsidRPr="00903EDF" w:rsidR="00D96627">
        <w:rPr>
          <w:rFonts w:ascii="Century Schoolbook" w:hAnsi="Century Schoolbook"/>
        </w:rPr>
        <w:t>the trial court</w:t>
      </w:r>
      <w:r w:rsidRPr="00903EDF">
        <w:rPr>
          <w:rFonts w:ascii="Century Schoolbook" w:hAnsi="Century Schoolbook"/>
        </w:rPr>
        <w:t xml:space="preserve"> denied </w:t>
      </w:r>
      <w:r w:rsidRPr="00903EDF" w:rsidR="001044B6">
        <w:rPr>
          <w:rFonts w:ascii="Century Schoolbook" w:hAnsi="Century Schoolbook"/>
        </w:rPr>
        <w:t>appellants’</w:t>
      </w:r>
      <w:r w:rsidRPr="00903EDF">
        <w:rPr>
          <w:rFonts w:ascii="Century Schoolbook" w:hAnsi="Century Schoolbook"/>
        </w:rPr>
        <w:t xml:space="preserve"> motion to vacate the bail forfeiture and exonerate the bail bond.  </w:t>
      </w:r>
      <w:r w:rsidRPr="00903EDF" w:rsidR="00642C63">
        <w:rPr>
          <w:rFonts w:ascii="Century Schoolbook" w:hAnsi="Century Schoolbook"/>
        </w:rPr>
        <w:t>Citing</w:t>
      </w:r>
      <w:r w:rsidRPr="00903EDF" w:rsidR="00755260">
        <w:rPr>
          <w:rFonts w:ascii="Century Schoolbook" w:hAnsi="Century Schoolbook"/>
        </w:rPr>
        <w:t xml:space="preserve"> dicta from</w:t>
      </w:r>
      <w:r w:rsidRPr="00903EDF" w:rsidR="00642C63">
        <w:rPr>
          <w:rFonts w:ascii="Century Schoolbook" w:hAnsi="Century Schoolbook"/>
        </w:rPr>
        <w:t xml:space="preserve"> </w:t>
      </w:r>
      <w:r w:rsidRPr="00903EDF" w:rsidR="00642C63">
        <w:rPr>
          <w:rFonts w:ascii="Century Schoolbook" w:hAnsi="Century Schoolbook"/>
          <w:i/>
          <w:iCs/>
        </w:rPr>
        <w:t>People v. Granite State Insurance Co.</w:t>
      </w:r>
      <w:r w:rsidRPr="00903EDF" w:rsidR="00642C63">
        <w:rPr>
          <w:rFonts w:ascii="Century Schoolbook" w:hAnsi="Century Schoolbook"/>
        </w:rPr>
        <w:t xml:space="preserve"> (2003) 114 Cal.App.4th 758, 7</w:t>
      </w:r>
      <w:r w:rsidRPr="00903EDF" w:rsidR="00195D82">
        <w:rPr>
          <w:rFonts w:ascii="Century Schoolbook" w:hAnsi="Century Schoolbook"/>
        </w:rPr>
        <w:t>70</w:t>
      </w:r>
      <w:r w:rsidRPr="00903EDF" w:rsidR="00642C63">
        <w:rPr>
          <w:rFonts w:ascii="Century Schoolbook" w:hAnsi="Century Schoolbook"/>
        </w:rPr>
        <w:t xml:space="preserve"> (</w:t>
      </w:r>
      <w:r w:rsidRPr="00903EDF" w:rsidR="00642C63">
        <w:rPr>
          <w:rFonts w:ascii="Century Schoolbook" w:hAnsi="Century Schoolbook"/>
          <w:i/>
          <w:iCs/>
        </w:rPr>
        <w:t>Granite State</w:t>
      </w:r>
      <w:r w:rsidRPr="00903EDF" w:rsidR="00642C63">
        <w:rPr>
          <w:rFonts w:ascii="Century Schoolbook" w:hAnsi="Century Schoolbook"/>
        </w:rPr>
        <w:t>), appellants argue</w:t>
      </w:r>
      <w:r w:rsidRPr="00903EDF" w:rsidR="00950064">
        <w:rPr>
          <w:rFonts w:ascii="Century Schoolbook" w:hAnsi="Century Schoolbook"/>
        </w:rPr>
        <w:t xml:space="preserve"> that entering summary judgment was an act in excess of jurisdiction because</w:t>
      </w:r>
      <w:r w:rsidRPr="00903EDF" w:rsidR="00642C63">
        <w:rPr>
          <w:rFonts w:ascii="Century Schoolbook" w:hAnsi="Century Schoolbook"/>
        </w:rPr>
        <w:t xml:space="preserve"> “the court’s power to enter summary judgment begins on the day </w:t>
      </w:r>
      <w:r w:rsidRPr="00903EDF" w:rsidR="00642C63">
        <w:rPr>
          <w:rFonts w:ascii="Century Schoolbook" w:hAnsi="Century Schoolbook"/>
          <w:i/>
          <w:iCs/>
        </w:rPr>
        <w:t>following</w:t>
      </w:r>
      <w:r w:rsidRPr="00903EDF" w:rsidR="00642C63">
        <w:rPr>
          <w:rFonts w:ascii="Century Schoolbook" w:hAnsi="Century Schoolbook"/>
        </w:rPr>
        <w:t xml:space="preserve"> denial of</w:t>
      </w:r>
      <w:r w:rsidRPr="00903EDF" w:rsidR="00950064">
        <w:rPr>
          <w:rFonts w:ascii="Century Schoolbook" w:hAnsi="Century Schoolbook"/>
        </w:rPr>
        <w:t xml:space="preserve"> the motion.”</w:t>
      </w:r>
      <w:r w:rsidRPr="00903EDF" w:rsidR="00642C63">
        <w:rPr>
          <w:rFonts w:ascii="Century Schoolbook" w:hAnsi="Century Schoolbook"/>
        </w:rPr>
        <w:t xml:space="preserve"> </w:t>
      </w:r>
      <w:r w:rsidRPr="00903EDF" w:rsidR="00950064">
        <w:rPr>
          <w:rFonts w:ascii="Century Schoolbook" w:hAnsi="Century Schoolbook"/>
        </w:rPr>
        <w:t xml:space="preserve"> </w:t>
      </w:r>
      <w:r w:rsidRPr="00903EDF" w:rsidR="008C6E3E">
        <w:rPr>
          <w:rFonts w:ascii="Century Schoolbook" w:hAnsi="Century Schoolbook"/>
        </w:rPr>
        <w:t xml:space="preserve">(Italics added.)  We </w:t>
      </w:r>
      <w:r w:rsidRPr="00903EDF" w:rsidR="007010BE">
        <w:rPr>
          <w:rFonts w:ascii="Century Schoolbook" w:hAnsi="Century Schoolbook"/>
        </w:rPr>
        <w:t>disagree and affirm the judgment accordingly</w:t>
      </w:r>
      <w:r w:rsidRPr="00903EDF" w:rsidR="00574CE3">
        <w:rPr>
          <w:rFonts w:ascii="Century Schoolbook" w:hAnsi="Century Schoolbook"/>
        </w:rPr>
        <w:t>.</w:t>
      </w:r>
    </w:p>
    <w:p w:rsidR="003A0D52" w:rsidRPr="00903EDF" w:rsidP="003A0D52" w14:paraId="4E6FC215" w14:textId="6C05E1C8">
      <w:pPr>
        <w:spacing w:line="360" w:lineRule="auto"/>
        <w:jc w:val="center"/>
        <w:rPr>
          <w:rFonts w:ascii="Century Schoolbook" w:hAnsi="Century Schoolbook"/>
          <w:b/>
        </w:rPr>
      </w:pPr>
      <w:r w:rsidRPr="00903EDF">
        <w:rPr>
          <w:rFonts w:ascii="Century Schoolbook" w:hAnsi="Century Schoolbook"/>
          <w:b/>
        </w:rPr>
        <w:t>BACKGROUND</w:t>
      </w:r>
    </w:p>
    <w:p w:rsidR="00FE4867" w:rsidRPr="00903EDF" w:rsidP="00713FA3" w14:paraId="6BD6E36D" w14:textId="0EDA733F">
      <w:pPr>
        <w:spacing w:line="360" w:lineRule="auto"/>
        <w:rPr>
          <w:rFonts w:ascii="Century Schoolbook" w:hAnsi="Century Schoolbook"/>
          <w:bCs/>
        </w:rPr>
      </w:pPr>
      <w:r w:rsidRPr="00903EDF">
        <w:rPr>
          <w:rFonts w:ascii="Century Schoolbook" w:hAnsi="Century Schoolbook"/>
          <w:b/>
        </w:rPr>
        <w:tab/>
      </w:r>
      <w:r w:rsidRPr="00903EDF" w:rsidR="00B6787A">
        <w:rPr>
          <w:rFonts w:ascii="Century Schoolbook" w:hAnsi="Century Schoolbook"/>
          <w:bCs/>
        </w:rPr>
        <w:t>After the Alameda County District Attorney filed a felony complaint charging defendant Florian Basica with second degree robbery under Penal Code section 211,</w:t>
      </w:r>
      <w:r>
        <w:rPr>
          <w:rStyle w:val="FootnoteReference"/>
          <w:rFonts w:ascii="Century Schoolbook" w:hAnsi="Century Schoolbook"/>
          <w:bCs/>
        </w:rPr>
        <w:footnoteReference w:id="3"/>
      </w:r>
      <w:r w:rsidRPr="00903EDF" w:rsidR="00B6787A">
        <w:rPr>
          <w:rFonts w:ascii="Century Schoolbook" w:hAnsi="Century Schoolbook"/>
          <w:bCs/>
        </w:rPr>
        <w:t xml:space="preserve"> the surety posted a $60,000 bond for Basica’s release from custody.  Months later, Basica failed to appear for his preliminary hearing</w:t>
      </w:r>
      <w:r w:rsidRPr="00903EDF" w:rsidR="00A34B12">
        <w:rPr>
          <w:rFonts w:ascii="Century Schoolbook" w:hAnsi="Century Schoolbook"/>
          <w:bCs/>
        </w:rPr>
        <w:t>,</w:t>
      </w:r>
      <w:r w:rsidRPr="00903EDF" w:rsidR="00B6787A">
        <w:rPr>
          <w:rFonts w:ascii="Century Schoolbook" w:hAnsi="Century Schoolbook"/>
          <w:bCs/>
        </w:rPr>
        <w:t xml:space="preserve"> </w:t>
      </w:r>
      <w:r w:rsidRPr="00903EDF" w:rsidR="00713FA3">
        <w:rPr>
          <w:rFonts w:ascii="Century Schoolbook" w:hAnsi="Century Schoolbook"/>
          <w:bCs/>
        </w:rPr>
        <w:t xml:space="preserve">and the trial court declared the bond forfeited pursuant to section 1305. </w:t>
      </w:r>
    </w:p>
    <w:p w:rsidR="00713FA3" w:rsidRPr="00903EDF" w:rsidP="00713FA3" w14:paraId="4A1158D5" w14:textId="079FF117">
      <w:pPr>
        <w:spacing w:line="360" w:lineRule="auto"/>
        <w:rPr>
          <w:rFonts w:ascii="Century Schoolbook" w:hAnsi="Century Schoolbook"/>
          <w:bCs/>
        </w:rPr>
      </w:pPr>
      <w:r w:rsidRPr="00903EDF">
        <w:rPr>
          <w:rFonts w:ascii="Century Schoolbook" w:hAnsi="Century Schoolbook"/>
          <w:bCs/>
        </w:rPr>
        <w:tab/>
        <w:t>Under the same statute, if Basica were to appear “either voluntarily or in custody after surrender or arrest in court within</w:t>
      </w:r>
      <w:r w:rsidRPr="00903EDF" w:rsidR="003B42FC">
        <w:rPr>
          <w:rFonts w:ascii="Century Schoolbook" w:hAnsi="Century Schoolbook"/>
          <w:bCs/>
        </w:rPr>
        <w:t>”</w:t>
      </w:r>
      <w:r w:rsidRPr="00903EDF">
        <w:rPr>
          <w:rFonts w:ascii="Century Schoolbook" w:hAnsi="Century Schoolbook"/>
          <w:bCs/>
        </w:rPr>
        <w:t xml:space="preserve"> 18</w:t>
      </w:r>
      <w:r w:rsidRPr="00903EDF" w:rsidR="003B42FC">
        <w:rPr>
          <w:rFonts w:ascii="Century Schoolbook" w:hAnsi="Century Schoolbook"/>
          <w:bCs/>
        </w:rPr>
        <w:t>5</w:t>
      </w:r>
      <w:r w:rsidRPr="00903EDF">
        <w:rPr>
          <w:rFonts w:ascii="Century Schoolbook" w:hAnsi="Century Schoolbook"/>
          <w:bCs/>
        </w:rPr>
        <w:t xml:space="preserve"> </w:t>
      </w:r>
      <w:r w:rsidRPr="00903EDF" w:rsidR="003B42FC">
        <w:rPr>
          <w:rFonts w:ascii="Century Schoolbook" w:hAnsi="Century Schoolbook"/>
          <w:bCs/>
        </w:rPr>
        <w:t>“</w:t>
      </w:r>
      <w:r w:rsidRPr="00903EDF">
        <w:rPr>
          <w:rFonts w:ascii="Century Schoolbook" w:hAnsi="Century Schoolbook"/>
          <w:bCs/>
        </w:rPr>
        <w:t>days of the date of mailing of the notice” informing the surety that the bond was declared forfeited, the court would, “on its own motion</w:t>
      </w:r>
      <w:r w:rsidRPr="00903EDF" w:rsidR="009B005D">
        <w:rPr>
          <w:rFonts w:ascii="Century Schoolbook" w:hAnsi="Century Schoolbook"/>
          <w:bCs/>
        </w:rPr>
        <w:t> . . . </w:t>
      </w:r>
      <w:r w:rsidRPr="00903EDF">
        <w:rPr>
          <w:rFonts w:ascii="Century Schoolbook" w:hAnsi="Century Schoolbook"/>
          <w:bCs/>
        </w:rPr>
        <w:t>, direct the order of forfeiture to be vacated and the bond exonerated.”  (§ 1305, subd</w:t>
      </w:r>
      <w:r w:rsidRPr="00903EDF" w:rsidR="00C04A11">
        <w:rPr>
          <w:rFonts w:ascii="Century Schoolbook" w:hAnsi="Century Schoolbook"/>
          <w:bCs/>
        </w:rPr>
        <w:t>s</w:t>
      </w:r>
      <w:r w:rsidRPr="00903EDF">
        <w:rPr>
          <w:rFonts w:ascii="Century Schoolbook" w:hAnsi="Century Schoolbook"/>
          <w:bCs/>
        </w:rPr>
        <w:t>. (b</w:t>
      </w:r>
      <w:r w:rsidRPr="00903EDF" w:rsidR="003B42FC">
        <w:rPr>
          <w:rFonts w:ascii="Century Schoolbook" w:hAnsi="Century Schoolbook"/>
          <w:bCs/>
        </w:rPr>
        <w:t>)</w:t>
      </w:r>
      <w:r w:rsidRPr="00903EDF" w:rsidR="00C04A11">
        <w:rPr>
          <w:rFonts w:ascii="Century Schoolbook" w:hAnsi="Century Schoolbook"/>
          <w:bCs/>
        </w:rPr>
        <w:t>(1) &amp; (c)(1)</w:t>
      </w:r>
      <w:r w:rsidRPr="00903EDF">
        <w:rPr>
          <w:rFonts w:ascii="Century Schoolbook" w:hAnsi="Century Schoolbook"/>
          <w:bCs/>
        </w:rPr>
        <w:t>.)</w:t>
      </w:r>
      <w:r>
        <w:rPr>
          <w:rStyle w:val="FootnoteReference"/>
          <w:rFonts w:ascii="Century Schoolbook" w:hAnsi="Century Schoolbook"/>
          <w:bCs/>
        </w:rPr>
        <w:footnoteReference w:id="4"/>
      </w:r>
      <w:r w:rsidRPr="00903EDF">
        <w:rPr>
          <w:rFonts w:ascii="Century Schoolbook" w:hAnsi="Century Schoolbook"/>
          <w:bCs/>
        </w:rPr>
        <w:t xml:space="preserve">  The</w:t>
      </w:r>
      <w:r w:rsidRPr="00903EDF" w:rsidR="00493E6C">
        <w:rPr>
          <w:rFonts w:ascii="Century Schoolbook" w:hAnsi="Century Schoolbook"/>
          <w:bCs/>
        </w:rPr>
        <w:t xml:space="preserve"> </w:t>
      </w:r>
      <w:r w:rsidRPr="00903EDF" w:rsidR="00393549">
        <w:rPr>
          <w:rFonts w:ascii="Century Schoolbook" w:hAnsi="Century Schoolbook"/>
          <w:bCs/>
        </w:rPr>
        <w:t>bail agent</w:t>
      </w:r>
      <w:r w:rsidRPr="00903EDF">
        <w:rPr>
          <w:rFonts w:ascii="Century Schoolbook" w:hAnsi="Century Schoolbook"/>
          <w:bCs/>
        </w:rPr>
        <w:t xml:space="preserve"> moved under section 1305.4 for an extension of th</w:t>
      </w:r>
      <w:r w:rsidRPr="00903EDF" w:rsidR="007010BE">
        <w:rPr>
          <w:rFonts w:ascii="Century Schoolbook" w:hAnsi="Century Schoolbook"/>
          <w:bCs/>
        </w:rPr>
        <w:t>is</w:t>
      </w:r>
      <w:r w:rsidRPr="00903EDF">
        <w:rPr>
          <w:rFonts w:ascii="Century Schoolbook" w:hAnsi="Century Schoolbook"/>
          <w:bCs/>
        </w:rPr>
        <w:t xml:space="preserve"> </w:t>
      </w:r>
      <w:r w:rsidRPr="00903EDF" w:rsidR="007010BE">
        <w:rPr>
          <w:rFonts w:ascii="Century Schoolbook" w:hAnsi="Century Schoolbook"/>
          <w:bCs/>
        </w:rPr>
        <w:t>exoneration</w:t>
      </w:r>
      <w:r w:rsidRPr="00903EDF">
        <w:rPr>
          <w:rFonts w:ascii="Century Schoolbook" w:hAnsi="Century Schoolbook"/>
          <w:bCs/>
        </w:rPr>
        <w:t xml:space="preserve"> period.  At the hearing on the motion, the trial court granted </w:t>
      </w:r>
      <w:r w:rsidRPr="00903EDF" w:rsidR="00424345">
        <w:rPr>
          <w:rFonts w:ascii="Century Schoolbook" w:hAnsi="Century Schoolbook"/>
          <w:bCs/>
        </w:rPr>
        <w:t>the</w:t>
      </w:r>
      <w:r w:rsidRPr="00903EDF">
        <w:rPr>
          <w:rFonts w:ascii="Century Schoolbook" w:hAnsi="Century Schoolbook"/>
          <w:bCs/>
        </w:rPr>
        <w:t xml:space="preserve"> extension</w:t>
      </w:r>
      <w:r w:rsidRPr="00903EDF" w:rsidR="00424345">
        <w:rPr>
          <w:rFonts w:ascii="Century Schoolbook" w:hAnsi="Century Schoolbook"/>
          <w:bCs/>
        </w:rPr>
        <w:t xml:space="preserve"> in accordance with the stipulation of the parties. </w:t>
      </w:r>
      <w:r w:rsidRPr="00903EDF">
        <w:rPr>
          <w:rFonts w:ascii="Century Schoolbook" w:hAnsi="Century Schoolbook"/>
          <w:bCs/>
        </w:rPr>
        <w:t xml:space="preserve"> </w:t>
      </w:r>
      <w:r w:rsidRPr="00903EDF" w:rsidR="00424345">
        <w:rPr>
          <w:rFonts w:ascii="Century Schoolbook" w:hAnsi="Century Schoolbook"/>
          <w:bCs/>
        </w:rPr>
        <w:t xml:space="preserve">Before that extension expired, the trial court granted a second motion under section 1305.4, further extending the </w:t>
      </w:r>
      <w:r w:rsidRPr="00903EDF" w:rsidR="007010BE">
        <w:rPr>
          <w:rFonts w:ascii="Century Schoolbook" w:hAnsi="Century Schoolbook"/>
          <w:bCs/>
        </w:rPr>
        <w:t>exoneration</w:t>
      </w:r>
      <w:r w:rsidRPr="00903EDF" w:rsidR="00424345">
        <w:rPr>
          <w:rFonts w:ascii="Century Schoolbook" w:hAnsi="Century Schoolbook"/>
          <w:bCs/>
        </w:rPr>
        <w:t xml:space="preserve"> period to July 3</w:t>
      </w:r>
      <w:r w:rsidRPr="00903EDF" w:rsidR="00493E6C">
        <w:rPr>
          <w:rFonts w:ascii="Century Schoolbook" w:hAnsi="Century Schoolbook"/>
          <w:bCs/>
        </w:rPr>
        <w:t>, 2022</w:t>
      </w:r>
      <w:r w:rsidRPr="00903EDF" w:rsidR="00424345">
        <w:rPr>
          <w:rFonts w:ascii="Century Schoolbook" w:hAnsi="Century Schoolbook"/>
          <w:bCs/>
        </w:rPr>
        <w:t xml:space="preserve">. </w:t>
      </w:r>
    </w:p>
    <w:p w:rsidR="007A3D38" w:rsidP="009E1935" w14:paraId="36AEEBCC" w14:textId="7DC28B4D">
      <w:pPr>
        <w:spacing w:line="360" w:lineRule="auto"/>
        <w:rPr>
          <w:rFonts w:ascii="Century Schoolbook" w:hAnsi="Century Schoolbook"/>
          <w:bCs/>
        </w:rPr>
      </w:pPr>
      <w:r w:rsidRPr="00903EDF">
        <w:rPr>
          <w:rFonts w:ascii="Century Schoolbook" w:hAnsi="Century Schoolbook"/>
          <w:bCs/>
        </w:rPr>
        <w:tab/>
        <w:t xml:space="preserve">On June 22, </w:t>
      </w:r>
      <w:r w:rsidRPr="00903EDF" w:rsidR="000225F1">
        <w:rPr>
          <w:rFonts w:ascii="Century Schoolbook" w:hAnsi="Century Schoolbook"/>
          <w:bCs/>
        </w:rPr>
        <w:t xml:space="preserve">2022, </w:t>
      </w:r>
      <w:r w:rsidRPr="00903EDF">
        <w:rPr>
          <w:rFonts w:ascii="Century Schoolbook" w:hAnsi="Century Schoolbook"/>
          <w:bCs/>
        </w:rPr>
        <w:t>appellants filed a motion to vacate the forfeiture and exonerate the bail bond</w:t>
      </w:r>
      <w:r w:rsidRPr="00903EDF" w:rsidR="002B1CE4">
        <w:rPr>
          <w:rFonts w:ascii="Century Schoolbook" w:hAnsi="Century Schoolbook"/>
          <w:bCs/>
        </w:rPr>
        <w:t xml:space="preserve"> on the ground that the trial court did not timely declare forfeiture</w:t>
      </w:r>
      <w:r w:rsidRPr="00903EDF">
        <w:rPr>
          <w:rFonts w:ascii="Century Schoolbook" w:hAnsi="Century Schoolbook"/>
          <w:bCs/>
        </w:rPr>
        <w:t xml:space="preserve">.  (§ 1305, subd. (a).)  After two continuances, a contested hearing </w:t>
      </w:r>
      <w:r w:rsidRPr="00903EDF" w:rsidR="00784614">
        <w:rPr>
          <w:rFonts w:ascii="Century Schoolbook" w:hAnsi="Century Schoolbook"/>
          <w:bCs/>
        </w:rPr>
        <w:t xml:space="preserve">on the motion </w:t>
      </w:r>
      <w:r w:rsidRPr="00903EDF">
        <w:rPr>
          <w:rFonts w:ascii="Century Schoolbook" w:hAnsi="Century Schoolbook"/>
          <w:bCs/>
        </w:rPr>
        <w:t>was held on October 14</w:t>
      </w:r>
      <w:r w:rsidRPr="00903EDF" w:rsidR="000225F1">
        <w:rPr>
          <w:rFonts w:ascii="Century Schoolbook" w:hAnsi="Century Schoolbook"/>
          <w:bCs/>
        </w:rPr>
        <w:t>, 2022</w:t>
      </w:r>
      <w:r w:rsidRPr="00903EDF">
        <w:rPr>
          <w:rFonts w:ascii="Century Schoolbook" w:hAnsi="Century Schoolbook"/>
          <w:bCs/>
        </w:rPr>
        <w:t xml:space="preserve">. </w:t>
      </w:r>
      <w:r w:rsidRPr="00903EDF" w:rsidR="00801BE1">
        <w:rPr>
          <w:rFonts w:ascii="Century Schoolbook" w:hAnsi="Century Schoolbook"/>
          <w:bCs/>
        </w:rPr>
        <w:t xml:space="preserve"> At the </w:t>
      </w:r>
      <w:r w:rsidRPr="00903EDF" w:rsidR="00E25B12">
        <w:rPr>
          <w:rFonts w:ascii="Century Schoolbook" w:hAnsi="Century Schoolbook"/>
          <w:bCs/>
        </w:rPr>
        <w:t xml:space="preserve">hearing’s </w:t>
      </w:r>
      <w:r w:rsidRPr="00903EDF" w:rsidR="00801BE1">
        <w:rPr>
          <w:rFonts w:ascii="Century Schoolbook" w:hAnsi="Century Schoolbook"/>
          <w:bCs/>
        </w:rPr>
        <w:t>conclusion, the trial court denied appellants’ motion and then entered summary judgment against the surety.  (§</w:t>
      </w:r>
      <w:r w:rsidRPr="00903EDF" w:rsidR="00D9000A">
        <w:rPr>
          <w:rFonts w:ascii="Century Schoolbook" w:hAnsi="Century Schoolbook"/>
          <w:bCs/>
        </w:rPr>
        <w:t> </w:t>
      </w:r>
      <w:r w:rsidRPr="00903EDF" w:rsidR="00801BE1">
        <w:rPr>
          <w:rFonts w:ascii="Century Schoolbook" w:hAnsi="Century Schoolbook"/>
          <w:bCs/>
        </w:rPr>
        <w:t>1306, subd.</w:t>
      </w:r>
      <w:r w:rsidRPr="00903EDF" w:rsidR="00D9000A">
        <w:rPr>
          <w:rFonts w:ascii="Century Schoolbook" w:hAnsi="Century Schoolbook"/>
          <w:bCs/>
        </w:rPr>
        <w:t> </w:t>
      </w:r>
      <w:r w:rsidRPr="00903EDF" w:rsidR="00801BE1">
        <w:rPr>
          <w:rFonts w:ascii="Century Schoolbook" w:hAnsi="Century Schoolbook"/>
          <w:bCs/>
        </w:rPr>
        <w:t>(a).)</w:t>
      </w:r>
    </w:p>
    <w:p w:rsidR="005A5FF7" w:rsidP="009E1935" w14:paraId="3AF650A0" w14:textId="77777777">
      <w:pPr>
        <w:spacing w:line="360" w:lineRule="auto"/>
        <w:rPr>
          <w:rFonts w:ascii="Century Schoolbook" w:hAnsi="Century Schoolbook"/>
          <w:bCs/>
        </w:rPr>
      </w:pPr>
    </w:p>
    <w:p w:rsidR="005A5FF7" w:rsidRPr="00903EDF" w:rsidP="009E1935" w14:paraId="442E02D5" w14:textId="77777777">
      <w:pPr>
        <w:spacing w:line="360" w:lineRule="auto"/>
        <w:rPr>
          <w:rFonts w:ascii="Century Schoolbook" w:hAnsi="Century Schoolbook"/>
          <w:bCs/>
        </w:rPr>
      </w:pPr>
    </w:p>
    <w:p w:rsidR="00C21EB8" w:rsidRPr="00903EDF" w:rsidP="000B06C7" w14:paraId="2630F28D" w14:textId="50D730F3">
      <w:pPr>
        <w:spacing w:line="360" w:lineRule="auto"/>
        <w:jc w:val="center"/>
        <w:rPr>
          <w:rFonts w:ascii="Century Schoolbook" w:hAnsi="Century Schoolbook"/>
          <w:b/>
          <w:bCs/>
          <w:i/>
          <w:iCs/>
        </w:rPr>
      </w:pPr>
      <w:r w:rsidRPr="00903EDF">
        <w:rPr>
          <w:rFonts w:ascii="Century Schoolbook" w:hAnsi="Century Schoolbook"/>
          <w:b/>
          <w:bCs/>
        </w:rPr>
        <w:t>DISCUSSION</w:t>
      </w:r>
    </w:p>
    <w:p w:rsidR="00E27511" w:rsidRPr="00903EDF" w:rsidP="00DD221E" w14:paraId="3D32098F" w14:textId="6B0137A0">
      <w:pPr>
        <w:spacing w:line="360" w:lineRule="auto"/>
        <w:rPr>
          <w:rFonts w:ascii="Century Schoolbook" w:hAnsi="Century Schoolbook"/>
        </w:rPr>
      </w:pPr>
      <w:r w:rsidRPr="00903EDF">
        <w:rPr>
          <w:rFonts w:ascii="Century Schoolbook" w:hAnsi="Century Schoolbook"/>
        </w:rPr>
        <w:tab/>
        <w:t>Appellants argue that under section 1306, subdivision (a), the trial court’s entry of summary judgment was premature and</w:t>
      </w:r>
      <w:r w:rsidRPr="00903EDF" w:rsidR="00A34B12">
        <w:rPr>
          <w:rFonts w:ascii="Century Schoolbook" w:hAnsi="Century Schoolbook"/>
        </w:rPr>
        <w:t>,</w:t>
      </w:r>
      <w:r w:rsidRPr="00903EDF">
        <w:rPr>
          <w:rFonts w:ascii="Century Schoolbook" w:hAnsi="Century Schoolbook"/>
        </w:rPr>
        <w:t xml:space="preserve"> thus, an act in excess of jurisdiction.  We </w:t>
      </w:r>
      <w:r w:rsidRPr="00903EDF" w:rsidR="007010BE">
        <w:rPr>
          <w:rFonts w:ascii="Century Schoolbook" w:hAnsi="Century Schoolbook"/>
        </w:rPr>
        <w:t>dis</w:t>
      </w:r>
      <w:r w:rsidRPr="00903EDF">
        <w:rPr>
          <w:rFonts w:ascii="Century Schoolbook" w:hAnsi="Century Schoolbook"/>
        </w:rPr>
        <w:t>agree.</w:t>
      </w:r>
    </w:p>
    <w:p w:rsidR="00236E3A" w:rsidRPr="00903EDF" w:rsidP="00DD221E" w14:paraId="1DD32483" w14:textId="5CEFE5D9">
      <w:pPr>
        <w:spacing w:line="360" w:lineRule="auto"/>
        <w:rPr>
          <w:rFonts w:ascii="Century Schoolbook" w:hAnsi="Century Schoolbook"/>
        </w:rPr>
      </w:pPr>
      <w:r w:rsidRPr="00903EDF">
        <w:rPr>
          <w:rFonts w:ascii="Century Schoolbook" w:hAnsi="Century Schoolbook"/>
        </w:rPr>
        <w:tab/>
      </w:r>
      <w:r w:rsidRPr="00903EDF" w:rsidR="008912AB">
        <w:rPr>
          <w:rFonts w:ascii="Century Schoolbook" w:hAnsi="Century Schoolbook"/>
        </w:rPr>
        <w:t>S</w:t>
      </w:r>
      <w:r w:rsidRPr="00903EDF">
        <w:rPr>
          <w:rFonts w:ascii="Century Schoolbook" w:hAnsi="Century Schoolbook"/>
        </w:rPr>
        <w:t xml:space="preserve">ection 1306, subdivision (a), </w:t>
      </w:r>
      <w:r w:rsidRPr="00903EDF" w:rsidR="009D64F8">
        <w:rPr>
          <w:rFonts w:ascii="Century Schoolbook" w:hAnsi="Century Schoolbook"/>
        </w:rPr>
        <w:t>vests the trial court with authority to enter summary judgment when both of the following conditions are met</w:t>
      </w:r>
      <w:r w:rsidRPr="00903EDF">
        <w:rPr>
          <w:rFonts w:ascii="Century Schoolbook" w:hAnsi="Century Schoolbook"/>
        </w:rPr>
        <w:t xml:space="preserve">: </w:t>
      </w:r>
      <w:r w:rsidRPr="00903EDF" w:rsidR="00C92DB5">
        <w:rPr>
          <w:rFonts w:ascii="Century Schoolbook" w:hAnsi="Century Schoolbook"/>
        </w:rPr>
        <w:t xml:space="preserve"> </w:t>
      </w:r>
      <w:r w:rsidRPr="00903EDF" w:rsidR="009D64F8">
        <w:rPr>
          <w:rFonts w:ascii="Century Schoolbook" w:hAnsi="Century Schoolbook"/>
        </w:rPr>
        <w:t xml:space="preserve">(1) </w:t>
      </w:r>
      <w:r w:rsidRPr="00903EDF" w:rsidR="00C4028B">
        <w:rPr>
          <w:rFonts w:ascii="Century Schoolbook" w:hAnsi="Century Schoolbook"/>
        </w:rPr>
        <w:t>t</w:t>
      </w:r>
      <w:r w:rsidRPr="00903EDF" w:rsidR="009D64F8">
        <w:rPr>
          <w:rFonts w:ascii="Century Schoolbook" w:hAnsi="Century Schoolbook"/>
        </w:rPr>
        <w:t>he</w:t>
      </w:r>
      <w:r w:rsidRPr="00903EDF">
        <w:rPr>
          <w:rFonts w:ascii="Century Schoolbook" w:hAnsi="Century Schoolbook"/>
        </w:rPr>
        <w:t xml:space="preserve"> </w:t>
      </w:r>
      <w:r w:rsidRPr="00903EDF" w:rsidR="009D64F8">
        <w:rPr>
          <w:rFonts w:ascii="Century Schoolbook" w:hAnsi="Century Schoolbook"/>
        </w:rPr>
        <w:t>“</w:t>
      </w:r>
      <w:r w:rsidRPr="00903EDF">
        <w:rPr>
          <w:rFonts w:ascii="Century Schoolbook" w:hAnsi="Century Schoolbook"/>
        </w:rPr>
        <w:t>bond is forfeited</w:t>
      </w:r>
      <w:r w:rsidRPr="00903EDF" w:rsidR="009D64F8">
        <w:rPr>
          <w:rFonts w:ascii="Century Schoolbook" w:hAnsi="Century Schoolbook"/>
        </w:rPr>
        <w:t>,”</w:t>
      </w:r>
      <w:r w:rsidRPr="00903EDF">
        <w:rPr>
          <w:rFonts w:ascii="Century Schoolbook" w:hAnsi="Century Schoolbook"/>
        </w:rPr>
        <w:t xml:space="preserve"> and </w:t>
      </w:r>
      <w:r w:rsidRPr="00903EDF" w:rsidR="009D64F8">
        <w:rPr>
          <w:rFonts w:ascii="Century Schoolbook" w:hAnsi="Century Schoolbook"/>
        </w:rPr>
        <w:t>(2) “</w:t>
      </w:r>
      <w:r w:rsidRPr="00903EDF">
        <w:rPr>
          <w:rFonts w:ascii="Century Schoolbook" w:hAnsi="Century Schoolbook"/>
        </w:rPr>
        <w:t xml:space="preserve">the period of time specified in </w:t>
      </w:r>
      <w:r w:rsidRPr="00903EDF" w:rsidR="002C3373">
        <w:rPr>
          <w:rFonts w:ascii="Century Schoolbook" w:hAnsi="Century Schoolbook"/>
        </w:rPr>
        <w:t>[s]</w:t>
      </w:r>
      <w:r w:rsidRPr="00903EDF">
        <w:rPr>
          <w:rFonts w:ascii="Century Schoolbook" w:hAnsi="Century Schoolbook"/>
        </w:rPr>
        <w:t>ection 1305 has elapsed without the forfeiture having</w:t>
      </w:r>
      <w:r w:rsidRPr="00903EDF" w:rsidR="00C4028B">
        <w:rPr>
          <w:rFonts w:ascii="Century Schoolbook" w:hAnsi="Century Schoolbook"/>
        </w:rPr>
        <w:t xml:space="preserve"> been set aside.”  </w:t>
      </w:r>
      <w:r w:rsidRPr="00903EDF" w:rsidR="00F06DE8">
        <w:rPr>
          <w:rFonts w:ascii="Century Schoolbook" w:hAnsi="Century Schoolbook"/>
        </w:rPr>
        <w:t xml:space="preserve">Here, the parties disagree on whether the second condition was satisfied, but there is no material dispute as to the facts.  </w:t>
      </w:r>
      <w:r w:rsidRPr="00903EDF" w:rsidR="000C4235">
        <w:rPr>
          <w:rFonts w:ascii="Century Schoolbook" w:hAnsi="Century Schoolbook"/>
        </w:rPr>
        <w:t>According</w:t>
      </w:r>
      <w:r w:rsidRPr="00903EDF" w:rsidR="00F06DE8">
        <w:rPr>
          <w:rFonts w:ascii="Century Schoolbook" w:hAnsi="Century Schoolbook"/>
        </w:rPr>
        <w:t>ly, we conduct an independent review.  (</w:t>
      </w:r>
      <w:r w:rsidRPr="00903EDF" w:rsidR="00F06DE8">
        <w:rPr>
          <w:rFonts w:ascii="Century Schoolbook" w:hAnsi="Century Schoolbook"/>
          <w:i/>
          <w:iCs/>
        </w:rPr>
        <w:t>People v. International Fidelity Ins</w:t>
      </w:r>
      <w:r w:rsidRPr="00903EDF" w:rsidR="002E76E8">
        <w:rPr>
          <w:rFonts w:ascii="Century Schoolbook" w:hAnsi="Century Schoolbook"/>
          <w:i/>
          <w:iCs/>
        </w:rPr>
        <w:t>.</w:t>
      </w:r>
      <w:r w:rsidRPr="00903EDF" w:rsidR="00F06DE8">
        <w:rPr>
          <w:rFonts w:ascii="Century Schoolbook" w:hAnsi="Century Schoolbook"/>
          <w:i/>
          <w:iCs/>
        </w:rPr>
        <w:t xml:space="preserve"> Co.</w:t>
      </w:r>
      <w:r w:rsidRPr="00903EDF" w:rsidR="00F06DE8">
        <w:rPr>
          <w:rFonts w:ascii="Century Schoolbook" w:hAnsi="Century Schoolbook"/>
        </w:rPr>
        <w:t xml:space="preserve"> (2012) 204</w:t>
      </w:r>
      <w:r w:rsidRPr="00903EDF" w:rsidR="00792162">
        <w:rPr>
          <w:rFonts w:ascii="Century Schoolbook" w:hAnsi="Century Schoolbook"/>
        </w:rPr>
        <w:t> </w:t>
      </w:r>
      <w:r w:rsidRPr="00903EDF" w:rsidR="00F06DE8">
        <w:rPr>
          <w:rFonts w:ascii="Century Schoolbook" w:hAnsi="Century Schoolbook"/>
        </w:rPr>
        <w:t>Cal.App.4th 588, 592.)</w:t>
      </w:r>
    </w:p>
    <w:p w:rsidR="0027039D" w:rsidRPr="00903EDF" w:rsidP="00393549" w14:paraId="72DDC13E" w14:textId="0C0F50A4">
      <w:pPr>
        <w:spacing w:line="360" w:lineRule="auto"/>
        <w:rPr>
          <w:rFonts w:ascii="Century Schoolbook" w:hAnsi="Century Schoolbook"/>
        </w:rPr>
      </w:pPr>
      <w:r w:rsidRPr="00903EDF">
        <w:rPr>
          <w:rFonts w:ascii="Century Schoolbook" w:hAnsi="Century Schoolbook"/>
        </w:rPr>
        <w:tab/>
        <w:t xml:space="preserve">Under section 1305, subdivision (c)(1), the trial court must </w:t>
      </w:r>
      <w:r w:rsidRPr="00903EDF" w:rsidR="00393549">
        <w:rPr>
          <w:rFonts w:ascii="Century Schoolbook" w:hAnsi="Century Schoolbook"/>
        </w:rPr>
        <w:t>vacate the forfeiture and exonerate the bail if “the defendant appears either voluntarily or in custody after surrender or arrest in court within 180 days of the date of forfeiture or within 180 days of the date of mailing of the notice [of forfeiture] if the notice is required</w:t>
      </w:r>
      <w:r w:rsidRPr="00903EDF" w:rsidR="00A16A80">
        <w:rPr>
          <w:rFonts w:ascii="Century Schoolbook" w:hAnsi="Century Schoolbook"/>
        </w:rPr>
        <w:t> </w:t>
      </w:r>
      <w:r w:rsidRPr="00903EDF" w:rsidR="00393549">
        <w:rPr>
          <w:rFonts w:ascii="Century Schoolbook" w:hAnsi="Century Schoolbook"/>
        </w:rPr>
        <w:t>.</w:t>
      </w:r>
      <w:r w:rsidRPr="00903EDF" w:rsidR="00A16A80">
        <w:rPr>
          <w:rFonts w:ascii="Century Schoolbook" w:hAnsi="Century Schoolbook"/>
        </w:rPr>
        <w:t> </w:t>
      </w:r>
      <w:r w:rsidRPr="00903EDF" w:rsidR="00393549">
        <w:rPr>
          <w:rFonts w:ascii="Century Schoolbook" w:hAnsi="Century Schoolbook"/>
        </w:rPr>
        <w:t>.</w:t>
      </w:r>
      <w:r w:rsidRPr="00903EDF" w:rsidR="00A16A80">
        <w:rPr>
          <w:rFonts w:ascii="Century Schoolbook" w:hAnsi="Century Schoolbook"/>
        </w:rPr>
        <w:t> </w:t>
      </w:r>
      <w:r w:rsidRPr="00903EDF" w:rsidR="00393549">
        <w:rPr>
          <w:rFonts w:ascii="Century Schoolbook" w:hAnsi="Century Schoolbook"/>
        </w:rPr>
        <w:t>.</w:t>
      </w:r>
      <w:r w:rsidRPr="00903EDF" w:rsidR="00A16A80">
        <w:rPr>
          <w:rFonts w:ascii="Century Schoolbook" w:hAnsi="Century Schoolbook"/>
        </w:rPr>
        <w:t> </w:t>
      </w:r>
      <w:r w:rsidRPr="00903EDF" w:rsidR="00393549">
        <w:rPr>
          <w:rFonts w:ascii="Century Schoolbook" w:hAnsi="Century Schoolbook"/>
        </w:rPr>
        <w:t xml:space="preserve">.”  Additionally, if “the notice of forfeiture is required to be mailed,” the 180-day exoneration period “shall be extended by a period of five days to allow for the mailing.”  (§ 1305, subd. (b)(1).)  </w:t>
      </w:r>
      <w:r w:rsidRPr="00903EDF" w:rsidR="00530BC9">
        <w:rPr>
          <w:rFonts w:ascii="Century Schoolbook" w:hAnsi="Century Schoolbook"/>
        </w:rPr>
        <w:t>“N</w:t>
      </w:r>
      <w:r w:rsidRPr="00903EDF" w:rsidR="00393549">
        <w:rPr>
          <w:rFonts w:ascii="Century Schoolbook" w:hAnsi="Century Schoolbook"/>
        </w:rPr>
        <w:t>otwithstanding section 1305, the surety insurer, the bail agent, the surety, or the depositor may file a motion, based upon good cause, for an order extending the 180-day period provided in that section.”  (§</w:t>
      </w:r>
      <w:r w:rsidRPr="00903EDF" w:rsidR="0029662E">
        <w:rPr>
          <w:rFonts w:ascii="Century Schoolbook" w:hAnsi="Century Schoolbook"/>
        </w:rPr>
        <w:t> </w:t>
      </w:r>
      <w:r w:rsidRPr="00903EDF" w:rsidR="00393549">
        <w:rPr>
          <w:rFonts w:ascii="Century Schoolbook" w:hAnsi="Century Schoolbook"/>
        </w:rPr>
        <w:t>1305.4.)</w:t>
      </w:r>
    </w:p>
    <w:p w:rsidR="00393549" w:rsidRPr="00903EDF" w:rsidP="00393549" w14:paraId="46E02654" w14:textId="7073F534">
      <w:pPr>
        <w:spacing w:line="360" w:lineRule="auto"/>
        <w:rPr>
          <w:rFonts w:ascii="Century Schoolbook" w:hAnsi="Century Schoolbook"/>
        </w:rPr>
      </w:pPr>
      <w:r w:rsidRPr="00903EDF">
        <w:rPr>
          <w:rFonts w:ascii="Century Schoolbook" w:hAnsi="Century Schoolbook"/>
        </w:rPr>
        <w:tab/>
      </w:r>
      <w:r w:rsidRPr="00903EDF" w:rsidR="00530BC9">
        <w:rPr>
          <w:rFonts w:ascii="Century Schoolbook" w:hAnsi="Century Schoolbook"/>
        </w:rPr>
        <w:t xml:space="preserve">Here, </w:t>
      </w:r>
      <w:r w:rsidRPr="00903EDF" w:rsidR="00597B0E">
        <w:rPr>
          <w:rFonts w:ascii="Century Schoolbook" w:hAnsi="Century Schoolbook"/>
        </w:rPr>
        <w:t>the exoneration period began when the clerk mailed notice of the forfeiture on June 28, 2021.  Because notice of forfeiture was required to be mailed, the standard 180-day exoneration period was extended by five days under section</w:t>
      </w:r>
      <w:r w:rsidRPr="00903EDF" w:rsidR="000C22FD">
        <w:rPr>
          <w:rFonts w:ascii="Century Schoolbook" w:hAnsi="Century Schoolbook"/>
        </w:rPr>
        <w:t xml:space="preserve"> 1305,</w:t>
      </w:r>
      <w:r w:rsidRPr="00903EDF" w:rsidR="00597B0E">
        <w:rPr>
          <w:rFonts w:ascii="Century Schoolbook" w:hAnsi="Century Schoolbook"/>
        </w:rPr>
        <w:t xml:space="preserve"> subdivision (b)(1)</w:t>
      </w:r>
      <w:r w:rsidRPr="00903EDF" w:rsidR="00D24627">
        <w:rPr>
          <w:rFonts w:ascii="Century Schoolbook" w:hAnsi="Century Schoolbook"/>
        </w:rPr>
        <w:t>, and</w:t>
      </w:r>
      <w:r w:rsidRPr="00903EDF" w:rsidR="00597B0E">
        <w:rPr>
          <w:rFonts w:ascii="Century Schoolbook" w:hAnsi="Century Schoolbook"/>
        </w:rPr>
        <w:t xml:space="preserve"> </w:t>
      </w:r>
      <w:r w:rsidRPr="00903EDF" w:rsidR="00D24627">
        <w:rPr>
          <w:rFonts w:ascii="Century Schoolbook" w:hAnsi="Century Schoolbook"/>
        </w:rPr>
        <w:t>the last day of this</w:t>
      </w:r>
      <w:r w:rsidRPr="00903EDF" w:rsidR="00597B0E">
        <w:rPr>
          <w:rFonts w:ascii="Century Schoolbook" w:hAnsi="Century Schoolbook"/>
        </w:rPr>
        <w:t xml:space="preserve"> initial 185-day exoneration period </w:t>
      </w:r>
      <w:r w:rsidRPr="00903EDF" w:rsidR="00D24627">
        <w:rPr>
          <w:rFonts w:ascii="Century Schoolbook" w:hAnsi="Century Schoolbook"/>
        </w:rPr>
        <w:t xml:space="preserve">was </w:t>
      </w:r>
      <w:r w:rsidRPr="00903EDF" w:rsidR="00597B0E">
        <w:rPr>
          <w:rFonts w:ascii="Century Schoolbook" w:hAnsi="Century Schoolbook"/>
        </w:rPr>
        <w:t xml:space="preserve">December 30, 2021.  Before that date, </w:t>
      </w:r>
      <w:r w:rsidRPr="00903EDF" w:rsidR="00D24627">
        <w:rPr>
          <w:rFonts w:ascii="Century Schoolbook" w:hAnsi="Century Schoolbook"/>
        </w:rPr>
        <w:t xml:space="preserve">the trial court </w:t>
      </w:r>
      <w:r w:rsidRPr="00903EDF" w:rsidR="00597B0E">
        <w:rPr>
          <w:rFonts w:ascii="Century Schoolbook" w:hAnsi="Century Schoolbook"/>
        </w:rPr>
        <w:t xml:space="preserve">granted </w:t>
      </w:r>
      <w:r w:rsidRPr="00903EDF" w:rsidR="00D24627">
        <w:rPr>
          <w:rFonts w:ascii="Century Schoolbook" w:hAnsi="Century Schoolbook"/>
        </w:rPr>
        <w:t xml:space="preserve">two </w:t>
      </w:r>
      <w:r w:rsidRPr="00903EDF" w:rsidR="00597B0E">
        <w:rPr>
          <w:rFonts w:ascii="Century Schoolbook" w:hAnsi="Century Schoolbook"/>
        </w:rPr>
        <w:t xml:space="preserve">extensions </w:t>
      </w:r>
      <w:r w:rsidRPr="00903EDF" w:rsidR="00D24627">
        <w:rPr>
          <w:rFonts w:ascii="Century Schoolbook" w:hAnsi="Century Schoolbook"/>
        </w:rPr>
        <w:t>under section 130</w:t>
      </w:r>
      <w:r w:rsidRPr="00903EDF" w:rsidR="000C22FD">
        <w:rPr>
          <w:rFonts w:ascii="Century Schoolbook" w:hAnsi="Century Schoolbook"/>
        </w:rPr>
        <w:t>5</w:t>
      </w:r>
      <w:r w:rsidRPr="00903EDF" w:rsidR="00D24627">
        <w:rPr>
          <w:rFonts w:ascii="Century Schoolbook" w:hAnsi="Century Schoolbook"/>
        </w:rPr>
        <w:t>.</w:t>
      </w:r>
      <w:r w:rsidRPr="00903EDF" w:rsidR="000C22FD">
        <w:rPr>
          <w:rFonts w:ascii="Century Schoolbook" w:hAnsi="Century Schoolbook"/>
        </w:rPr>
        <w:t>4</w:t>
      </w:r>
      <w:r w:rsidRPr="00903EDF" w:rsidR="00D24627">
        <w:rPr>
          <w:rFonts w:ascii="Century Schoolbook" w:hAnsi="Century Schoolbook"/>
        </w:rPr>
        <w:t xml:space="preserve">, resulting in a longer exoneration period whose last day was July 3, 2022. </w:t>
      </w:r>
      <w:r w:rsidRPr="00903EDF" w:rsidR="00D24627">
        <w:rPr>
          <w:rFonts w:ascii="Century Schoolbook" w:hAnsi="Century Schoolbook"/>
          <w:bCs/>
        </w:rPr>
        <w:t xml:space="preserve"> No further extension of the exoneration period was granted.  Consequently, by the time the trial court entered summary judgment on October 14, 2022, the bond had been forfeited</w:t>
      </w:r>
      <w:r w:rsidRPr="00903EDF" w:rsidR="00A34B12">
        <w:rPr>
          <w:rFonts w:ascii="Century Schoolbook" w:hAnsi="Century Schoolbook"/>
          <w:bCs/>
        </w:rPr>
        <w:t>,</w:t>
      </w:r>
      <w:r w:rsidRPr="00903EDF" w:rsidR="00D24627">
        <w:rPr>
          <w:rFonts w:ascii="Century Schoolbook" w:hAnsi="Century Schoolbook"/>
          <w:bCs/>
        </w:rPr>
        <w:t xml:space="preserve"> and </w:t>
      </w:r>
      <w:r w:rsidRPr="00903EDF" w:rsidR="00D24627">
        <w:rPr>
          <w:rFonts w:ascii="Century Schoolbook" w:hAnsi="Century Schoolbook"/>
        </w:rPr>
        <w:t xml:space="preserve">“the period of time specified in </w:t>
      </w:r>
      <w:r w:rsidRPr="00903EDF" w:rsidR="00FE707F">
        <w:rPr>
          <w:rFonts w:ascii="Century Schoolbook" w:hAnsi="Century Schoolbook"/>
        </w:rPr>
        <w:t>[s]</w:t>
      </w:r>
      <w:r w:rsidRPr="00903EDF" w:rsidR="00D24627">
        <w:rPr>
          <w:rFonts w:ascii="Century Schoolbook" w:hAnsi="Century Schoolbook"/>
        </w:rPr>
        <w:t>ection 1305 ha[d] elapsed without the forfeiture having been set aside.”</w:t>
      </w:r>
      <w:r w:rsidRPr="00903EDF" w:rsidR="000417F6">
        <w:rPr>
          <w:rFonts w:ascii="Century Schoolbook" w:hAnsi="Century Schoolbook"/>
        </w:rPr>
        <w:t xml:space="preserve">  (§ 1306, subd. (a).)  </w:t>
      </w:r>
      <w:r w:rsidRPr="00903EDF" w:rsidR="006F445A">
        <w:rPr>
          <w:rFonts w:ascii="Century Schoolbook" w:hAnsi="Century Schoolbook"/>
        </w:rPr>
        <w:t>T</w:t>
      </w:r>
      <w:r w:rsidRPr="00903EDF" w:rsidR="000417F6">
        <w:rPr>
          <w:rFonts w:ascii="Century Schoolbook" w:hAnsi="Century Schoolbook"/>
        </w:rPr>
        <w:t xml:space="preserve">he requirements </w:t>
      </w:r>
      <w:r w:rsidRPr="00903EDF" w:rsidR="004725E6">
        <w:rPr>
          <w:rFonts w:ascii="Century Schoolbook" w:hAnsi="Century Schoolbook"/>
        </w:rPr>
        <w:t xml:space="preserve">of section 1306 </w:t>
      </w:r>
      <w:r w:rsidRPr="00903EDF" w:rsidR="000417F6">
        <w:rPr>
          <w:rFonts w:ascii="Century Schoolbook" w:hAnsi="Century Schoolbook"/>
        </w:rPr>
        <w:t xml:space="preserve">were </w:t>
      </w:r>
      <w:r w:rsidRPr="00903EDF" w:rsidR="006F445A">
        <w:rPr>
          <w:rFonts w:ascii="Century Schoolbook" w:hAnsi="Century Schoolbook"/>
        </w:rPr>
        <w:t xml:space="preserve">therefore </w:t>
      </w:r>
      <w:r w:rsidRPr="00903EDF" w:rsidR="000417F6">
        <w:rPr>
          <w:rFonts w:ascii="Century Schoolbook" w:hAnsi="Century Schoolbook"/>
        </w:rPr>
        <w:t>satisfied</w:t>
      </w:r>
      <w:r w:rsidRPr="00903EDF" w:rsidR="00A34B12">
        <w:rPr>
          <w:rFonts w:ascii="Century Schoolbook" w:hAnsi="Century Schoolbook"/>
        </w:rPr>
        <w:t>,</w:t>
      </w:r>
      <w:r w:rsidRPr="00903EDF" w:rsidR="000417F6">
        <w:rPr>
          <w:rFonts w:ascii="Century Schoolbook" w:hAnsi="Century Schoolbook"/>
        </w:rPr>
        <w:t xml:space="preserve"> and the court acted within its jurisdiction</w:t>
      </w:r>
      <w:r w:rsidRPr="00903EDF" w:rsidR="00220F51">
        <w:rPr>
          <w:rFonts w:ascii="Century Schoolbook" w:hAnsi="Century Schoolbook"/>
        </w:rPr>
        <w:t xml:space="preserve"> </w:t>
      </w:r>
      <w:r w:rsidRPr="00903EDF" w:rsidR="00220F9F">
        <w:rPr>
          <w:rFonts w:ascii="Century Schoolbook" w:hAnsi="Century Schoolbook"/>
        </w:rPr>
        <w:t>in</w:t>
      </w:r>
      <w:r w:rsidRPr="00903EDF" w:rsidR="00220F51">
        <w:rPr>
          <w:rFonts w:ascii="Century Schoolbook" w:hAnsi="Century Schoolbook"/>
        </w:rPr>
        <w:t xml:space="preserve"> entering summary judgment.</w:t>
      </w:r>
    </w:p>
    <w:p w:rsidR="00533FA5" w:rsidRPr="00903EDF" w:rsidP="00533FA5" w14:paraId="6B969930" w14:textId="40E5F000">
      <w:pPr>
        <w:spacing w:line="360" w:lineRule="auto"/>
        <w:rPr>
          <w:rFonts w:ascii="Century Schoolbook" w:hAnsi="Century Schoolbook"/>
        </w:rPr>
      </w:pPr>
      <w:r w:rsidRPr="00903EDF">
        <w:rPr>
          <w:rFonts w:ascii="Century Schoolbook" w:hAnsi="Century Schoolbook"/>
        </w:rPr>
        <w:tab/>
        <w:t xml:space="preserve">In arguing against this conclusion, surety relies on </w:t>
      </w:r>
      <w:r w:rsidRPr="00903EDF">
        <w:rPr>
          <w:rFonts w:ascii="Century Schoolbook" w:hAnsi="Century Schoolbook"/>
          <w:i/>
          <w:iCs/>
        </w:rPr>
        <w:t>Granite State</w:t>
      </w:r>
      <w:r w:rsidRPr="00903EDF">
        <w:rPr>
          <w:rFonts w:ascii="Century Schoolbook" w:hAnsi="Century Schoolbook"/>
        </w:rPr>
        <w:t xml:space="preserve">, </w:t>
      </w:r>
      <w:r w:rsidRPr="00903EDF">
        <w:rPr>
          <w:rFonts w:ascii="Century Schoolbook" w:hAnsi="Century Schoolbook"/>
          <w:i/>
          <w:iCs/>
        </w:rPr>
        <w:t>supra</w:t>
      </w:r>
      <w:r w:rsidRPr="00903EDF">
        <w:rPr>
          <w:rFonts w:ascii="Century Schoolbook" w:hAnsi="Century Schoolbook"/>
        </w:rPr>
        <w:t>, 114 Cal.App.4th</w:t>
      </w:r>
      <w:r w:rsidRPr="00903EDF" w:rsidR="009F3014">
        <w:rPr>
          <w:rFonts w:ascii="Century Schoolbook" w:hAnsi="Century Schoolbook"/>
        </w:rPr>
        <w:t xml:space="preserve"> 758</w:t>
      </w:r>
      <w:r w:rsidRPr="00903EDF">
        <w:rPr>
          <w:rFonts w:ascii="Century Schoolbook" w:hAnsi="Century Schoolbook"/>
        </w:rPr>
        <w:t>.  There, before the exoneration period expired, the appellant filed a timely motion to vacate the forfeiture and exonerate bail under former subdivision (i)</w:t>
      </w:r>
      <w:r>
        <w:rPr>
          <w:rStyle w:val="FootnoteReference"/>
          <w:rFonts w:ascii="Century Schoolbook" w:hAnsi="Century Schoolbook"/>
        </w:rPr>
        <w:footnoteReference w:id="5"/>
      </w:r>
      <w:r w:rsidRPr="00903EDF">
        <w:rPr>
          <w:rFonts w:ascii="Century Schoolbook" w:hAnsi="Century Schoolbook"/>
        </w:rPr>
        <w:t xml:space="preserve"> of section 1305.  (</w:t>
      </w:r>
      <w:r w:rsidRPr="00903EDF" w:rsidR="00F40E95">
        <w:rPr>
          <w:rFonts w:ascii="Century Schoolbook" w:hAnsi="Century Schoolbook"/>
          <w:i/>
          <w:iCs/>
        </w:rPr>
        <w:t>Granite State,</w:t>
      </w:r>
      <w:r w:rsidRPr="00903EDF">
        <w:rPr>
          <w:rFonts w:ascii="Century Schoolbook" w:hAnsi="Century Schoolbook"/>
        </w:rPr>
        <w:t xml:space="preserve"> at p.</w:t>
      </w:r>
      <w:r w:rsidRPr="00903EDF" w:rsidR="00F40E95">
        <w:rPr>
          <w:rFonts w:ascii="Century Schoolbook" w:hAnsi="Century Schoolbook"/>
        </w:rPr>
        <w:t> </w:t>
      </w:r>
      <w:r w:rsidRPr="00903EDF">
        <w:rPr>
          <w:rFonts w:ascii="Century Schoolbook" w:hAnsi="Century Schoolbook"/>
        </w:rPr>
        <w:t xml:space="preserve">760.) </w:t>
      </w:r>
      <w:r w:rsidRPr="00903EDF" w:rsidR="00944B2A">
        <w:rPr>
          <w:rFonts w:ascii="Century Schoolbook" w:hAnsi="Century Schoolbook"/>
        </w:rPr>
        <w:t xml:space="preserve"> </w:t>
      </w:r>
      <w:r w:rsidRPr="00903EDF" w:rsidR="00111243">
        <w:rPr>
          <w:rFonts w:ascii="Century Schoolbook" w:hAnsi="Century Schoolbook"/>
        </w:rPr>
        <w:t>Under the same subdivision,</w:t>
      </w:r>
      <w:r w:rsidRPr="00903EDF" w:rsidR="00944B2A">
        <w:rPr>
          <w:rFonts w:ascii="Century Schoolbook" w:hAnsi="Century Schoolbook"/>
        </w:rPr>
        <w:t xml:space="preserve"> the </w:t>
      </w:r>
      <w:r w:rsidRPr="00903EDF" w:rsidR="00111243">
        <w:rPr>
          <w:rFonts w:ascii="Century Schoolbook" w:hAnsi="Century Schoolbook"/>
        </w:rPr>
        <w:t xml:space="preserve">trial </w:t>
      </w:r>
      <w:r w:rsidRPr="00903EDF" w:rsidR="00944B2A">
        <w:rPr>
          <w:rFonts w:ascii="Century Schoolbook" w:hAnsi="Century Schoolbook"/>
        </w:rPr>
        <w:t xml:space="preserve">court </w:t>
      </w:r>
      <w:r w:rsidRPr="00903EDF" w:rsidR="00781C49">
        <w:rPr>
          <w:rFonts w:ascii="Century Schoolbook" w:hAnsi="Century Schoolbook"/>
        </w:rPr>
        <w:t xml:space="preserve">granted good-cause extensions of the period in which the motion </w:t>
      </w:r>
      <w:r w:rsidRPr="00903EDF" w:rsidR="00111243">
        <w:rPr>
          <w:rFonts w:ascii="Century Schoolbook" w:hAnsi="Century Schoolbook"/>
        </w:rPr>
        <w:t>could</w:t>
      </w:r>
      <w:r w:rsidRPr="00903EDF" w:rsidR="00781C49">
        <w:rPr>
          <w:rFonts w:ascii="Century Schoolbook" w:hAnsi="Century Schoolbook"/>
        </w:rPr>
        <w:t xml:space="preserve"> be heard</w:t>
      </w:r>
      <w:r w:rsidRPr="00903EDF" w:rsidR="00111243">
        <w:rPr>
          <w:rFonts w:ascii="Century Schoolbook" w:hAnsi="Century Schoolbook"/>
        </w:rPr>
        <w:t>.</w:t>
      </w:r>
      <w:r w:rsidRPr="00903EDF" w:rsidR="00781C49">
        <w:rPr>
          <w:rFonts w:ascii="Century Schoolbook" w:hAnsi="Century Schoolbook"/>
        </w:rPr>
        <w:t xml:space="preserve"> </w:t>
      </w:r>
      <w:r w:rsidRPr="00903EDF" w:rsidR="00111243">
        <w:rPr>
          <w:rFonts w:ascii="Century Schoolbook" w:hAnsi="Century Schoolbook"/>
        </w:rPr>
        <w:t xml:space="preserve"> </w:t>
      </w:r>
      <w:r w:rsidRPr="00903EDF" w:rsidR="00C92DB5">
        <w:rPr>
          <w:rFonts w:ascii="Century Schoolbook" w:hAnsi="Century Schoolbook"/>
        </w:rPr>
        <w:t>(</w:t>
      </w:r>
      <w:r w:rsidRPr="00903EDF" w:rsidR="00C92DB5">
        <w:rPr>
          <w:rFonts w:ascii="Century Schoolbook" w:hAnsi="Century Schoolbook"/>
          <w:i/>
          <w:iCs/>
        </w:rPr>
        <w:t>Ibid</w:t>
      </w:r>
      <w:r w:rsidRPr="00903EDF" w:rsidR="00C92DB5">
        <w:rPr>
          <w:rFonts w:ascii="Century Schoolbook" w:hAnsi="Century Schoolbook"/>
        </w:rPr>
        <w:t>.)</w:t>
      </w:r>
      <w:r w:rsidRPr="00903EDF" w:rsidR="004950BE">
        <w:rPr>
          <w:rFonts w:ascii="Century Schoolbook" w:hAnsi="Century Schoolbook"/>
        </w:rPr>
        <w:t xml:space="preserve">  </w:t>
      </w:r>
      <w:r w:rsidRPr="00903EDF" w:rsidR="00111243">
        <w:rPr>
          <w:rFonts w:ascii="Century Schoolbook" w:hAnsi="Century Schoolbook"/>
        </w:rPr>
        <w:t xml:space="preserve">For that reason, </w:t>
      </w:r>
      <w:r w:rsidRPr="00903EDF" w:rsidR="00944B2A">
        <w:rPr>
          <w:rFonts w:ascii="Century Schoolbook" w:hAnsi="Century Schoolbook"/>
        </w:rPr>
        <w:t>the hearing was not held until five months after the exoneration period had expired, and the trial court did not enter summary judgment until a month after the hearing.  (</w:t>
      </w:r>
      <w:r w:rsidRPr="00903EDF" w:rsidR="00944B2A">
        <w:rPr>
          <w:rFonts w:ascii="Century Schoolbook" w:hAnsi="Century Schoolbook"/>
          <w:i/>
          <w:iCs/>
        </w:rPr>
        <w:t>Id</w:t>
      </w:r>
      <w:r w:rsidRPr="00903EDF" w:rsidR="00944B2A">
        <w:rPr>
          <w:rFonts w:ascii="Century Schoolbook" w:hAnsi="Century Schoolbook"/>
        </w:rPr>
        <w:t xml:space="preserve">. at p. 762.)  </w:t>
      </w:r>
      <w:r w:rsidRPr="00903EDF" w:rsidR="00D17FC7">
        <w:rPr>
          <w:rFonts w:ascii="Century Schoolbook" w:hAnsi="Century Schoolbook"/>
        </w:rPr>
        <w:t>Citing s</w:t>
      </w:r>
      <w:r w:rsidRPr="00903EDF" w:rsidR="00944B2A">
        <w:rPr>
          <w:rFonts w:ascii="Century Schoolbook" w:hAnsi="Century Schoolbook"/>
        </w:rPr>
        <w:t>ection 1306</w:t>
      </w:r>
      <w:r w:rsidRPr="00903EDF" w:rsidR="00D17FC7">
        <w:rPr>
          <w:rFonts w:ascii="Century Schoolbook" w:hAnsi="Century Schoolbook"/>
        </w:rPr>
        <w:t>’s</w:t>
      </w:r>
      <w:r w:rsidRPr="00903EDF" w:rsidR="00944B2A">
        <w:rPr>
          <w:rFonts w:ascii="Century Schoolbook" w:hAnsi="Century Schoolbook"/>
        </w:rPr>
        <w:t xml:space="preserve"> </w:t>
      </w:r>
      <w:r w:rsidRPr="00903EDF" w:rsidR="00111243">
        <w:rPr>
          <w:rFonts w:ascii="Century Schoolbook" w:hAnsi="Century Schoolbook"/>
        </w:rPr>
        <w:t>requirement</w:t>
      </w:r>
      <w:r w:rsidRPr="00903EDF" w:rsidR="00944B2A">
        <w:rPr>
          <w:rFonts w:ascii="Century Schoolbook" w:hAnsi="Century Schoolbook"/>
        </w:rPr>
        <w:t xml:space="preserve"> that a court enter summary judgment “</w:t>
      </w:r>
      <w:r w:rsidRPr="00903EDF" w:rsidR="00C900B3">
        <w:rPr>
          <w:rFonts w:ascii="Century Schoolbook" w:hAnsi="Century Schoolbook"/>
        </w:rPr>
        <w:t> ‘</w:t>
      </w:r>
      <w:r w:rsidRPr="00903EDF" w:rsidR="00111243">
        <w:rPr>
          <w:rFonts w:ascii="Century Schoolbook" w:hAnsi="Century Schoolbook"/>
        </w:rPr>
        <w:t xml:space="preserve">within </w:t>
      </w:r>
      <w:r w:rsidRPr="00903EDF" w:rsidR="00944B2A">
        <w:rPr>
          <w:rFonts w:ascii="Century Schoolbook" w:hAnsi="Century Schoolbook"/>
        </w:rPr>
        <w:t>90 days after the date upon which it may first be entered,</w:t>
      </w:r>
      <w:r w:rsidRPr="00903EDF" w:rsidR="00C900B3">
        <w:rPr>
          <w:rFonts w:ascii="Century Schoolbook" w:hAnsi="Century Schoolbook"/>
        </w:rPr>
        <w:t>’ </w:t>
      </w:r>
      <w:r w:rsidRPr="00903EDF" w:rsidR="00944B2A">
        <w:rPr>
          <w:rFonts w:ascii="Century Schoolbook" w:hAnsi="Century Schoolbook"/>
        </w:rPr>
        <w:t>” the appellant argued that the trial court acted in excess of jurisdiction by entering summary judgment more than 90 days after the end of the exoneration period.  (</w:t>
      </w:r>
      <w:r w:rsidRPr="00903EDF" w:rsidR="00944B2A">
        <w:rPr>
          <w:rFonts w:ascii="Century Schoolbook" w:hAnsi="Century Schoolbook"/>
          <w:i/>
          <w:iCs/>
        </w:rPr>
        <w:t>Id</w:t>
      </w:r>
      <w:r w:rsidRPr="00903EDF" w:rsidR="00944B2A">
        <w:rPr>
          <w:rFonts w:ascii="Century Schoolbook" w:hAnsi="Century Schoolbook"/>
        </w:rPr>
        <w:t>. at p. 763.)</w:t>
      </w:r>
    </w:p>
    <w:p w:rsidR="00533FA5" w:rsidRPr="00903EDF" w:rsidP="00533FA5" w14:paraId="0DEFF39A" w14:textId="2C239697">
      <w:pPr>
        <w:spacing w:line="360" w:lineRule="auto"/>
        <w:rPr>
          <w:rFonts w:ascii="Century Schoolbook" w:hAnsi="Century Schoolbook"/>
        </w:rPr>
      </w:pPr>
      <w:r w:rsidRPr="00903EDF">
        <w:rPr>
          <w:rFonts w:ascii="Century Schoolbook" w:hAnsi="Century Schoolbook"/>
        </w:rPr>
        <w:tab/>
        <w:t>The Fifth District disagreed</w:t>
      </w:r>
      <w:r w:rsidRPr="00903EDF" w:rsidR="00071C32">
        <w:rPr>
          <w:rFonts w:ascii="Century Schoolbook" w:hAnsi="Century Schoolbook"/>
        </w:rPr>
        <w:t xml:space="preserve">.  </w:t>
      </w:r>
      <w:r w:rsidRPr="00903EDF" w:rsidR="0024718B">
        <w:rPr>
          <w:rFonts w:ascii="Century Schoolbook" w:hAnsi="Century Schoolbook"/>
        </w:rPr>
        <w:t>Because the court may first enter summary judgment when the exoneration period “has elapsed without the forfeiture being set aside” (§ 1306, subd. (a)), and the forfeiture m</w:t>
      </w:r>
      <w:r w:rsidRPr="00903EDF">
        <w:rPr>
          <w:rFonts w:ascii="Century Schoolbook" w:hAnsi="Century Schoolbook"/>
        </w:rPr>
        <w:t>ay</w:t>
      </w:r>
      <w:r w:rsidRPr="00903EDF" w:rsidR="0024718B">
        <w:rPr>
          <w:rFonts w:ascii="Century Schoolbook" w:hAnsi="Century Schoolbook"/>
        </w:rPr>
        <w:t xml:space="preserve"> still be set aside when </w:t>
      </w:r>
      <w:r w:rsidRPr="00903EDF">
        <w:rPr>
          <w:rFonts w:ascii="Century Schoolbook" w:hAnsi="Century Schoolbook"/>
        </w:rPr>
        <w:t>the court hears a</w:t>
      </w:r>
      <w:r w:rsidRPr="00903EDF" w:rsidR="0024718B">
        <w:rPr>
          <w:rFonts w:ascii="Century Schoolbook" w:hAnsi="Century Schoolbook"/>
        </w:rPr>
        <w:t xml:space="preserve"> motion to vacate forfeiture after the expiration of the exoneration period</w:t>
      </w:r>
      <w:r w:rsidRPr="00903EDF">
        <w:rPr>
          <w:rFonts w:ascii="Century Schoolbook" w:hAnsi="Century Schoolbook"/>
        </w:rPr>
        <w:t xml:space="preserve">, the </w:t>
      </w:r>
      <w:r w:rsidRPr="00903EDF">
        <w:rPr>
          <w:rFonts w:ascii="Century Schoolbook" w:hAnsi="Century Schoolbook"/>
          <w:i/>
          <w:iCs/>
        </w:rPr>
        <w:t xml:space="preserve">Granite State </w:t>
      </w:r>
      <w:r w:rsidRPr="00903EDF">
        <w:rPr>
          <w:rFonts w:ascii="Century Schoolbook" w:hAnsi="Century Schoolbook"/>
        </w:rPr>
        <w:t>court concluded that “in cases where a motion to vacate forfeiture is timely filed prior to the expiration of the exoneration period, but not decided until after that period, the 90</w:t>
      </w:r>
      <w:r w:rsidRPr="00903EDF" w:rsidR="00DC308C">
        <w:rPr>
          <w:rFonts w:ascii="Century Schoolbook" w:hAnsi="Century Schoolbook"/>
        </w:rPr>
        <w:t>-</w:t>
      </w:r>
      <w:r w:rsidRPr="00903EDF">
        <w:rPr>
          <w:rFonts w:ascii="Century Schoolbook" w:hAnsi="Century Schoolbook"/>
        </w:rPr>
        <w:t>day period to enter summary judgment begins to run when the motion is denied.”  (</w:t>
      </w:r>
      <w:r w:rsidRPr="00903EDF">
        <w:rPr>
          <w:rFonts w:ascii="Century Schoolbook" w:hAnsi="Century Schoolbook"/>
          <w:i/>
          <w:iCs/>
        </w:rPr>
        <w:t>Granite State</w:t>
      </w:r>
      <w:r w:rsidRPr="00903EDF">
        <w:rPr>
          <w:rFonts w:ascii="Century Schoolbook" w:hAnsi="Century Schoolbook"/>
        </w:rPr>
        <w:t xml:space="preserve">, </w:t>
      </w:r>
      <w:r w:rsidRPr="00903EDF" w:rsidR="00895761">
        <w:rPr>
          <w:rFonts w:ascii="Century Schoolbook" w:hAnsi="Century Schoolbook"/>
          <w:i/>
          <w:iCs/>
        </w:rPr>
        <w:t>supra</w:t>
      </w:r>
      <w:r w:rsidRPr="00903EDF" w:rsidR="00895761">
        <w:rPr>
          <w:rFonts w:ascii="Century Schoolbook" w:hAnsi="Century Schoolbook"/>
        </w:rPr>
        <w:t>, 114</w:t>
      </w:r>
      <w:r w:rsidRPr="00903EDF" w:rsidR="00C341CA">
        <w:rPr>
          <w:rFonts w:ascii="Century Schoolbook" w:hAnsi="Century Schoolbook"/>
        </w:rPr>
        <w:t> </w:t>
      </w:r>
      <w:r w:rsidRPr="00903EDF" w:rsidR="00895761">
        <w:rPr>
          <w:rFonts w:ascii="Century Schoolbook" w:hAnsi="Century Schoolbook"/>
        </w:rPr>
        <w:t xml:space="preserve">Cal.App.4th </w:t>
      </w:r>
      <w:r w:rsidRPr="00903EDF">
        <w:rPr>
          <w:rFonts w:ascii="Century Schoolbook" w:hAnsi="Century Schoolbook"/>
        </w:rPr>
        <w:t>at p.</w:t>
      </w:r>
      <w:r w:rsidRPr="00903EDF" w:rsidR="001C4118">
        <w:rPr>
          <w:rFonts w:ascii="Century Schoolbook" w:hAnsi="Century Schoolbook"/>
        </w:rPr>
        <w:t> </w:t>
      </w:r>
      <w:r w:rsidRPr="00903EDF">
        <w:rPr>
          <w:rFonts w:ascii="Century Schoolbook" w:hAnsi="Century Schoolbook"/>
        </w:rPr>
        <w:t>767.)</w:t>
      </w:r>
      <w:r w:rsidRPr="00903EDF" w:rsidR="00071C32">
        <w:rPr>
          <w:rFonts w:ascii="Century Schoolbook" w:hAnsi="Century Schoolbook"/>
        </w:rPr>
        <w:t xml:space="preserve">  Later in the opinion, the court summarized that conclusion as follows:  “[W]here a surety timely files a motion to vacate forfeiture prior to the expiration of the exoneration period, and the motion is decided after expiration of that period as provided under section 1305, subdivision (i), the court’s power to enter summary judgment </w:t>
      </w:r>
      <w:r w:rsidRPr="00903EDF" w:rsidR="00071C32">
        <w:rPr>
          <w:rFonts w:ascii="Century Schoolbook" w:hAnsi="Century Schoolbook"/>
          <w:i/>
          <w:iCs/>
        </w:rPr>
        <w:t>begins on the day following denial of the motion</w:t>
      </w:r>
      <w:r w:rsidRPr="00903EDF" w:rsidR="00071C32">
        <w:rPr>
          <w:rFonts w:ascii="Century Schoolbook" w:hAnsi="Century Schoolbook"/>
        </w:rPr>
        <w:t xml:space="preserve"> and expires 90 days later.”  (</w:t>
      </w:r>
      <w:r w:rsidRPr="00903EDF" w:rsidR="00071C32">
        <w:rPr>
          <w:rFonts w:ascii="Century Schoolbook" w:hAnsi="Century Schoolbook"/>
          <w:i/>
          <w:iCs/>
        </w:rPr>
        <w:t>Id</w:t>
      </w:r>
      <w:r w:rsidRPr="00903EDF" w:rsidR="00071C32">
        <w:rPr>
          <w:rFonts w:ascii="Century Schoolbook" w:hAnsi="Century Schoolbook"/>
        </w:rPr>
        <w:t>. at p. 770</w:t>
      </w:r>
      <w:r w:rsidRPr="00903EDF" w:rsidR="00B037B6">
        <w:rPr>
          <w:rFonts w:ascii="Century Schoolbook" w:hAnsi="Century Schoolbook"/>
        </w:rPr>
        <w:t>, italics added</w:t>
      </w:r>
      <w:r w:rsidRPr="00903EDF" w:rsidR="00071C32">
        <w:rPr>
          <w:rFonts w:ascii="Century Schoolbook" w:hAnsi="Century Schoolbook"/>
        </w:rPr>
        <w:t>.)</w:t>
      </w:r>
    </w:p>
    <w:p w:rsidR="00421655" w:rsidRPr="00903EDF" w:rsidP="00533FA5" w14:paraId="5C4BEF74" w14:textId="7581C0FF">
      <w:pPr>
        <w:spacing w:line="360" w:lineRule="auto"/>
        <w:rPr>
          <w:rFonts w:ascii="Century Schoolbook" w:hAnsi="Century Schoolbook"/>
        </w:rPr>
      </w:pPr>
      <w:r w:rsidRPr="00903EDF">
        <w:rPr>
          <w:rFonts w:ascii="Century Schoolbook" w:hAnsi="Century Schoolbook"/>
        </w:rPr>
        <w:tab/>
        <w:t xml:space="preserve">As the People persuasively argue, this summary of the appellate court’s conclusion is dicta.  </w:t>
      </w:r>
      <w:r w:rsidRPr="00903EDF" w:rsidR="009C7DDE">
        <w:rPr>
          <w:rFonts w:ascii="Century Schoolbook" w:hAnsi="Century Schoolbook"/>
        </w:rPr>
        <w:t>“It is axiomatic that cases are not authority for propositions not considered.”  (</w:t>
      </w:r>
      <w:r w:rsidRPr="00903EDF" w:rsidR="009C7DDE">
        <w:rPr>
          <w:rFonts w:ascii="Century Schoolbook" w:hAnsi="Century Schoolbook"/>
          <w:i/>
          <w:iCs/>
        </w:rPr>
        <w:t>People v. Ault</w:t>
      </w:r>
      <w:r w:rsidRPr="00903EDF" w:rsidR="009C7DDE">
        <w:rPr>
          <w:rFonts w:ascii="Century Schoolbook" w:hAnsi="Century Schoolbook"/>
        </w:rPr>
        <w:t xml:space="preserve"> (2004) 33 Cal.4th 1250, 1268, fn.</w:t>
      </w:r>
      <w:r w:rsidRPr="00903EDF" w:rsidR="00EB74B9">
        <w:rPr>
          <w:rFonts w:ascii="Century Schoolbook" w:hAnsi="Century Schoolbook"/>
        </w:rPr>
        <w:t> </w:t>
      </w:r>
      <w:r w:rsidRPr="00903EDF" w:rsidR="009C7DDE">
        <w:rPr>
          <w:rFonts w:ascii="Century Schoolbook" w:hAnsi="Century Schoolbook"/>
        </w:rPr>
        <w:t xml:space="preserve">10.)  And the resolution of the issue presented in </w:t>
      </w:r>
      <w:r w:rsidRPr="00903EDF" w:rsidR="009C7DDE">
        <w:rPr>
          <w:rFonts w:ascii="Century Schoolbook" w:hAnsi="Century Schoolbook"/>
          <w:i/>
          <w:iCs/>
        </w:rPr>
        <w:t>Granite State</w:t>
      </w:r>
      <w:r w:rsidRPr="00903EDF" w:rsidR="009C7DDE">
        <w:rPr>
          <w:rFonts w:ascii="Century Schoolbook" w:hAnsi="Century Schoolbook"/>
        </w:rPr>
        <w:t xml:space="preserve"> did not turn on whether the court’s jurisdiction to enter summary judgment began immediately after the denial of the surety’s motion or on the next calendar day; in either case, the trial court’s jurisdiction would not have expired</w:t>
      </w:r>
      <w:r w:rsidRPr="00903EDF" w:rsidR="00684B38">
        <w:rPr>
          <w:rFonts w:ascii="Century Schoolbook" w:hAnsi="Century Schoolbook"/>
        </w:rPr>
        <w:t xml:space="preserve"> until 90 days after the hearing</w:t>
      </w:r>
      <w:r w:rsidRPr="00903EDF" w:rsidR="009C7DDE">
        <w:rPr>
          <w:rFonts w:ascii="Century Schoolbook" w:hAnsi="Century Schoolbook"/>
        </w:rPr>
        <w:t>.</w:t>
      </w:r>
      <w:r>
        <w:rPr>
          <w:rStyle w:val="FootnoteReference"/>
          <w:rFonts w:ascii="Century Schoolbook" w:hAnsi="Century Schoolbook"/>
        </w:rPr>
        <w:footnoteReference w:id="6"/>
      </w:r>
    </w:p>
    <w:p w:rsidR="00533FA5" w:rsidRPr="00903EDF" w:rsidP="00533FA5" w14:paraId="4961176A" w14:textId="503518AD">
      <w:pPr>
        <w:spacing w:line="360" w:lineRule="auto"/>
        <w:rPr>
          <w:rFonts w:ascii="Century Schoolbook" w:hAnsi="Century Schoolbook"/>
        </w:rPr>
      </w:pPr>
      <w:r w:rsidRPr="00903EDF">
        <w:rPr>
          <w:rFonts w:ascii="Century Schoolbook" w:hAnsi="Century Schoolbook"/>
        </w:rPr>
        <w:tab/>
        <w:t xml:space="preserve">We read </w:t>
      </w:r>
      <w:r w:rsidRPr="00903EDF">
        <w:rPr>
          <w:rFonts w:ascii="Century Schoolbook" w:hAnsi="Century Schoolbook"/>
          <w:i/>
          <w:iCs/>
        </w:rPr>
        <w:t>Granite State</w:t>
      </w:r>
      <w:r w:rsidRPr="00903EDF">
        <w:rPr>
          <w:rFonts w:ascii="Century Schoolbook" w:hAnsi="Century Schoolbook"/>
        </w:rPr>
        <w:t>’s dictum that “the court’s power to enter summary judgment begins on the day following denial of the motion” as a general reference to how the 90-day period of section 1306, subd</w:t>
      </w:r>
      <w:r w:rsidRPr="00903EDF" w:rsidR="00E0644C">
        <w:rPr>
          <w:rFonts w:ascii="Century Schoolbook" w:hAnsi="Century Schoolbook"/>
        </w:rPr>
        <w:t>ivision</w:t>
      </w:r>
      <w:r w:rsidRPr="00903EDF">
        <w:rPr>
          <w:rFonts w:ascii="Century Schoolbook" w:hAnsi="Century Schoolbook"/>
        </w:rPr>
        <w:t xml:space="preserve"> (c)</w:t>
      </w:r>
      <w:r w:rsidRPr="00903EDF" w:rsidR="008D0E43">
        <w:rPr>
          <w:rFonts w:ascii="Century Schoolbook" w:hAnsi="Century Schoolbook"/>
        </w:rPr>
        <w:t>,</w:t>
      </w:r>
      <w:r w:rsidRPr="00903EDF">
        <w:rPr>
          <w:rFonts w:ascii="Century Schoolbook" w:hAnsi="Century Schoolbook"/>
        </w:rPr>
        <w:t xml:space="preserve"> is calculated.  </w:t>
      </w:r>
      <w:r w:rsidRPr="00903EDF" w:rsidR="00FE2890">
        <w:rPr>
          <w:rFonts w:ascii="Century Schoolbook" w:hAnsi="Century Schoolbook"/>
        </w:rPr>
        <w:t>(</w:t>
      </w:r>
      <w:r w:rsidRPr="00903EDF" w:rsidR="00E0644C">
        <w:rPr>
          <w:rFonts w:ascii="Century Schoolbook" w:hAnsi="Century Schoolbook"/>
          <w:i/>
          <w:iCs/>
        </w:rPr>
        <w:t>Granite State</w:t>
      </w:r>
      <w:r w:rsidRPr="00903EDF" w:rsidR="00E0644C">
        <w:rPr>
          <w:rFonts w:ascii="Century Schoolbook" w:hAnsi="Century Schoolbook"/>
        </w:rPr>
        <w:t xml:space="preserve">, </w:t>
      </w:r>
      <w:r w:rsidRPr="00903EDF" w:rsidR="00E0644C">
        <w:rPr>
          <w:rFonts w:ascii="Century Schoolbook" w:hAnsi="Century Schoolbook"/>
          <w:i/>
          <w:iCs/>
        </w:rPr>
        <w:t>supra</w:t>
      </w:r>
      <w:r w:rsidRPr="00903EDF" w:rsidR="00E0644C">
        <w:rPr>
          <w:rFonts w:ascii="Century Schoolbook" w:hAnsi="Century Schoolbook"/>
        </w:rPr>
        <w:t>, 114</w:t>
      </w:r>
      <w:r w:rsidRPr="00903EDF" w:rsidR="00B70975">
        <w:rPr>
          <w:rFonts w:ascii="Century Schoolbook" w:hAnsi="Century Schoolbook"/>
        </w:rPr>
        <w:t> </w:t>
      </w:r>
      <w:r w:rsidRPr="00903EDF" w:rsidR="00E0644C">
        <w:rPr>
          <w:rFonts w:ascii="Century Schoolbook" w:hAnsi="Century Schoolbook"/>
        </w:rPr>
        <w:t>Cal.App.4th</w:t>
      </w:r>
      <w:r w:rsidRPr="00903EDF" w:rsidR="00FE2890">
        <w:rPr>
          <w:rFonts w:ascii="Century Schoolbook" w:hAnsi="Century Schoolbook"/>
        </w:rPr>
        <w:t xml:space="preserve"> at p.</w:t>
      </w:r>
      <w:r w:rsidRPr="00903EDF" w:rsidR="00B70975">
        <w:rPr>
          <w:rFonts w:ascii="Century Schoolbook" w:hAnsi="Century Schoolbook"/>
        </w:rPr>
        <w:t> </w:t>
      </w:r>
      <w:r w:rsidRPr="00903EDF" w:rsidR="00FE2890">
        <w:rPr>
          <w:rFonts w:ascii="Century Schoolbook" w:hAnsi="Century Schoolbook"/>
        </w:rPr>
        <w:t xml:space="preserve">770.)  </w:t>
      </w:r>
      <w:r w:rsidRPr="00903EDF">
        <w:rPr>
          <w:rFonts w:ascii="Century Schoolbook" w:hAnsi="Century Schoolbook"/>
          <w:i/>
          <w:iCs/>
        </w:rPr>
        <w:t>People v. Bankers</w:t>
      </w:r>
      <w:r w:rsidRPr="00903EDF">
        <w:rPr>
          <w:rFonts w:ascii="Century Schoolbook" w:hAnsi="Century Schoolbook"/>
        </w:rPr>
        <w:t xml:space="preserve"> (2021) 65</w:t>
      </w:r>
      <w:r w:rsidRPr="00903EDF" w:rsidR="004B21B2">
        <w:rPr>
          <w:rFonts w:ascii="Century Schoolbook" w:hAnsi="Century Schoolbook"/>
        </w:rPr>
        <w:t> </w:t>
      </w:r>
      <w:r w:rsidRPr="00903EDF">
        <w:rPr>
          <w:rFonts w:ascii="Century Schoolbook" w:hAnsi="Century Schoolbook"/>
        </w:rPr>
        <w:t xml:space="preserve">Cal.App.5th 350 supports this conclusion. </w:t>
      </w:r>
      <w:r w:rsidRPr="00903EDF" w:rsidR="00AE19B9">
        <w:rPr>
          <w:rFonts w:ascii="Century Schoolbook" w:hAnsi="Century Schoolbook"/>
        </w:rPr>
        <w:t xml:space="preserve"> </w:t>
      </w:r>
      <w:r w:rsidRPr="00903EDF">
        <w:rPr>
          <w:rFonts w:ascii="Century Schoolbook" w:hAnsi="Century Schoolbook"/>
        </w:rPr>
        <w:t xml:space="preserve">In that case, Division Two of this court acknowledged </w:t>
      </w:r>
      <w:r w:rsidRPr="00903EDF">
        <w:rPr>
          <w:rFonts w:ascii="Century Schoolbook" w:hAnsi="Century Schoolbook"/>
          <w:i/>
          <w:iCs/>
        </w:rPr>
        <w:t>Granite State</w:t>
      </w:r>
      <w:r w:rsidRPr="00903EDF">
        <w:rPr>
          <w:rFonts w:ascii="Century Schoolbook" w:hAnsi="Century Schoolbook"/>
        </w:rPr>
        <w:t xml:space="preserve"> for the proposition that “in cases where a motion to vacate forfeiture is timely filed prior to the expiration of the [appearance] period, but not decided until after that period, the 90-day period to enter summary judgment begins to run </w:t>
      </w:r>
      <w:r w:rsidRPr="00903EDF">
        <w:rPr>
          <w:rFonts w:ascii="Century Schoolbook" w:hAnsi="Century Schoolbook"/>
          <w:i/>
          <w:iCs/>
        </w:rPr>
        <w:t>when the motion is denied</w:t>
      </w:r>
      <w:r w:rsidRPr="00903EDF">
        <w:rPr>
          <w:rFonts w:ascii="Century Schoolbook" w:hAnsi="Century Schoolbook"/>
        </w:rPr>
        <w:t>.”</w:t>
      </w:r>
      <w:r w:rsidRPr="00903EDF" w:rsidR="00AE19B9">
        <w:rPr>
          <w:rFonts w:ascii="Century Schoolbook" w:hAnsi="Century Schoolbook"/>
        </w:rPr>
        <w:t xml:space="preserve"> </w:t>
      </w:r>
      <w:r w:rsidRPr="00903EDF">
        <w:rPr>
          <w:rFonts w:ascii="Century Schoolbook" w:hAnsi="Century Schoolbook"/>
        </w:rPr>
        <w:t xml:space="preserve"> (</w:t>
      </w:r>
      <w:r w:rsidRPr="00903EDF">
        <w:rPr>
          <w:rFonts w:ascii="Century Schoolbook" w:hAnsi="Century Schoolbook"/>
          <w:i/>
          <w:iCs/>
        </w:rPr>
        <w:t>Id</w:t>
      </w:r>
      <w:r w:rsidRPr="00903EDF">
        <w:rPr>
          <w:rFonts w:ascii="Century Schoolbook" w:hAnsi="Century Schoolbook"/>
        </w:rPr>
        <w:t>. at p.</w:t>
      </w:r>
      <w:r w:rsidRPr="00903EDF" w:rsidR="004B21B2">
        <w:rPr>
          <w:rFonts w:ascii="Century Schoolbook" w:hAnsi="Century Schoolbook"/>
        </w:rPr>
        <w:t> </w:t>
      </w:r>
      <w:r w:rsidRPr="00903EDF">
        <w:rPr>
          <w:rFonts w:ascii="Century Schoolbook" w:hAnsi="Century Schoolbook"/>
        </w:rPr>
        <w:t xml:space="preserve">357, italics added.)  </w:t>
      </w:r>
      <w:r w:rsidRPr="00903EDF">
        <w:rPr>
          <w:rFonts w:ascii="Century Schoolbook" w:hAnsi="Century Schoolbook"/>
          <w:i/>
          <w:iCs/>
        </w:rPr>
        <w:t>Bankers</w:t>
      </w:r>
      <w:r w:rsidRPr="00903EDF">
        <w:rPr>
          <w:rFonts w:ascii="Century Schoolbook" w:hAnsi="Century Schoolbook"/>
        </w:rPr>
        <w:t xml:space="preserve"> then applied this rule to its facts, stating “under </w:t>
      </w:r>
      <w:r w:rsidRPr="00903EDF">
        <w:rPr>
          <w:rFonts w:ascii="Century Schoolbook" w:hAnsi="Century Schoolbook"/>
          <w:i/>
          <w:iCs/>
        </w:rPr>
        <w:t>Granite State</w:t>
      </w:r>
      <w:r w:rsidRPr="00903EDF">
        <w:rPr>
          <w:rFonts w:ascii="Century Schoolbook" w:hAnsi="Century Schoolbook"/>
        </w:rPr>
        <w:t>, the trial court’s 90</w:t>
      </w:r>
      <w:r w:rsidRPr="00903EDF" w:rsidR="00E36526">
        <w:rPr>
          <w:rFonts w:ascii="Century Schoolbook" w:hAnsi="Century Schoolbook"/>
        </w:rPr>
        <w:t>-</w:t>
      </w:r>
      <w:r w:rsidRPr="00903EDF">
        <w:rPr>
          <w:rFonts w:ascii="Century Schoolbook" w:hAnsi="Century Schoolbook"/>
        </w:rPr>
        <w:t>day period to enter summary judgment began after the court denied the Surety</w:t>
      </w:r>
      <w:r w:rsidRPr="00903EDF" w:rsidR="00562F8C">
        <w:rPr>
          <w:rFonts w:ascii="Century Schoolbook" w:hAnsi="Century Schoolbook"/>
        </w:rPr>
        <w:t>’</w:t>
      </w:r>
      <w:r w:rsidRPr="00903EDF">
        <w:rPr>
          <w:rFonts w:ascii="Century Schoolbook" w:hAnsi="Century Schoolbook"/>
        </w:rPr>
        <w:t xml:space="preserve">s motion on April 15, 2019. </w:t>
      </w:r>
      <w:r w:rsidRPr="00903EDF" w:rsidR="00E36526">
        <w:rPr>
          <w:rFonts w:ascii="Century Schoolbook" w:hAnsi="Century Schoolbook"/>
        </w:rPr>
        <w:t xml:space="preserve"> </w:t>
      </w:r>
      <w:r w:rsidRPr="00903EDF">
        <w:rPr>
          <w:rFonts w:ascii="Century Schoolbook" w:hAnsi="Century Schoolbook"/>
        </w:rPr>
        <w:t xml:space="preserve">That period expired July 15, 2019.”  </w:t>
      </w:r>
      <w:r w:rsidRPr="00903EDF" w:rsidR="006C4EDF">
        <w:rPr>
          <w:rFonts w:ascii="Century Schoolbook" w:hAnsi="Century Schoolbook"/>
        </w:rPr>
        <w:t>(</w:t>
      </w:r>
      <w:r w:rsidRPr="00903EDF" w:rsidR="006C4EDF">
        <w:rPr>
          <w:rFonts w:ascii="Century Schoolbook" w:hAnsi="Century Schoolbook"/>
          <w:i/>
          <w:iCs/>
        </w:rPr>
        <w:t>Id</w:t>
      </w:r>
      <w:r w:rsidRPr="00903EDF" w:rsidR="006C4EDF">
        <w:rPr>
          <w:rFonts w:ascii="Century Schoolbook" w:hAnsi="Century Schoolbook"/>
        </w:rPr>
        <w:t>. at p.</w:t>
      </w:r>
      <w:r w:rsidRPr="00903EDF" w:rsidR="003F74E4">
        <w:rPr>
          <w:rFonts w:ascii="Century Schoolbook" w:hAnsi="Century Schoolbook"/>
        </w:rPr>
        <w:t> </w:t>
      </w:r>
      <w:r w:rsidRPr="00903EDF" w:rsidR="006C4EDF">
        <w:rPr>
          <w:rFonts w:ascii="Century Schoolbook" w:hAnsi="Century Schoolbook"/>
        </w:rPr>
        <w:t xml:space="preserve">358.) </w:t>
      </w:r>
      <w:r w:rsidRPr="00903EDF" w:rsidR="002D00CB">
        <w:rPr>
          <w:rFonts w:ascii="Century Schoolbook" w:hAnsi="Century Schoolbook"/>
        </w:rPr>
        <w:t xml:space="preserve"> </w:t>
      </w:r>
      <w:r w:rsidRPr="00903EDF">
        <w:rPr>
          <w:rFonts w:ascii="Century Schoolbook" w:hAnsi="Century Schoolbook"/>
        </w:rPr>
        <w:t xml:space="preserve">In light of </w:t>
      </w:r>
      <w:r w:rsidRPr="00903EDF" w:rsidR="00A9177A">
        <w:rPr>
          <w:rFonts w:ascii="Century Schoolbook" w:hAnsi="Century Schoolbook"/>
        </w:rPr>
        <w:t xml:space="preserve">the conclusion we reach </w:t>
      </w:r>
      <w:r w:rsidRPr="00903EDF" w:rsidR="001F2AD8">
        <w:rPr>
          <w:rFonts w:ascii="Century Schoolbook" w:hAnsi="Century Schoolbook"/>
        </w:rPr>
        <w:t>in the present case</w:t>
      </w:r>
      <w:r w:rsidRPr="00903EDF" w:rsidR="00332E0E">
        <w:rPr>
          <w:rFonts w:ascii="Century Schoolbook" w:hAnsi="Century Schoolbook"/>
        </w:rPr>
        <w:t>,</w:t>
      </w:r>
      <w:r w:rsidRPr="00903EDF" w:rsidR="00A9177A">
        <w:rPr>
          <w:rFonts w:ascii="Century Schoolbook" w:hAnsi="Century Schoolbook"/>
        </w:rPr>
        <w:t xml:space="preserve"> a more precise way of articulating the rule encountered in both </w:t>
      </w:r>
      <w:r w:rsidRPr="00903EDF" w:rsidR="00A9177A">
        <w:rPr>
          <w:rFonts w:ascii="Century Schoolbook" w:hAnsi="Century Schoolbook"/>
          <w:i/>
          <w:iCs/>
        </w:rPr>
        <w:t>Granite State</w:t>
      </w:r>
      <w:r w:rsidRPr="00903EDF" w:rsidR="00A9177A">
        <w:rPr>
          <w:rFonts w:ascii="Century Schoolbook" w:hAnsi="Century Schoolbook"/>
        </w:rPr>
        <w:t xml:space="preserve"> and </w:t>
      </w:r>
      <w:r w:rsidRPr="00903EDF" w:rsidR="00A9177A">
        <w:rPr>
          <w:rFonts w:ascii="Century Schoolbook" w:hAnsi="Century Schoolbook"/>
          <w:i/>
          <w:iCs/>
        </w:rPr>
        <w:t>Bankers</w:t>
      </w:r>
      <w:r w:rsidRPr="00903EDF" w:rsidR="00A9177A">
        <w:rPr>
          <w:rFonts w:ascii="Century Schoolbook" w:hAnsi="Century Schoolbook"/>
        </w:rPr>
        <w:t xml:space="preserve"> is that, under circumstances like the ones presented in those cases, the day after the denial of the motion to vacate forfeiture is the first day of the 90-day period after which summary judgment cannot be entered.  In short</w:t>
      </w:r>
      <w:r w:rsidRPr="00903EDF" w:rsidR="009C7DDE">
        <w:rPr>
          <w:rFonts w:ascii="Century Schoolbook" w:hAnsi="Century Schoolbook"/>
        </w:rPr>
        <w:t xml:space="preserve">, there is no reason to imagine that </w:t>
      </w:r>
      <w:r w:rsidRPr="00903EDF" w:rsidR="009C7DDE">
        <w:rPr>
          <w:rFonts w:ascii="Century Schoolbook" w:hAnsi="Century Schoolbook"/>
          <w:i/>
          <w:iCs/>
        </w:rPr>
        <w:t>Granite State</w:t>
      </w:r>
      <w:r w:rsidRPr="00903EDF" w:rsidR="009C7DDE">
        <w:rPr>
          <w:rFonts w:ascii="Century Schoolbook" w:hAnsi="Century Schoolbook"/>
        </w:rPr>
        <w:t xml:space="preserve"> considered </w:t>
      </w:r>
      <w:r w:rsidRPr="00903EDF" w:rsidR="00A9177A">
        <w:rPr>
          <w:rFonts w:ascii="Century Schoolbook" w:hAnsi="Century Schoolbook"/>
        </w:rPr>
        <w:t xml:space="preserve">the </w:t>
      </w:r>
      <w:r w:rsidRPr="00903EDF" w:rsidR="009C7DDE">
        <w:rPr>
          <w:rFonts w:ascii="Century Schoolbook" w:hAnsi="Century Schoolbook"/>
        </w:rPr>
        <w:t>question</w:t>
      </w:r>
      <w:r w:rsidRPr="00903EDF" w:rsidR="00A9177A">
        <w:rPr>
          <w:rFonts w:ascii="Century Schoolbook" w:hAnsi="Century Schoolbook"/>
        </w:rPr>
        <w:t xml:space="preserve"> posed </w:t>
      </w:r>
      <w:r w:rsidRPr="00903EDF" w:rsidR="00AE19B9">
        <w:rPr>
          <w:rFonts w:ascii="Century Schoolbook" w:hAnsi="Century Schoolbook"/>
        </w:rPr>
        <w:t>by</w:t>
      </w:r>
      <w:r w:rsidRPr="00903EDF" w:rsidR="006237D8">
        <w:rPr>
          <w:rFonts w:ascii="Century Schoolbook" w:hAnsi="Century Schoolbook"/>
        </w:rPr>
        <w:t xml:space="preserve"> this</w:t>
      </w:r>
      <w:r w:rsidRPr="00903EDF" w:rsidR="00A9177A">
        <w:rPr>
          <w:rFonts w:ascii="Century Schoolbook" w:hAnsi="Century Schoolbook"/>
        </w:rPr>
        <w:t xml:space="preserve"> appeal</w:t>
      </w:r>
      <w:r w:rsidRPr="00903EDF" w:rsidR="009C7DDE">
        <w:rPr>
          <w:rFonts w:ascii="Century Schoolbook" w:hAnsi="Century Schoolbook"/>
        </w:rPr>
        <w:t>.</w:t>
      </w:r>
    </w:p>
    <w:p w:rsidR="00D52ADA" w:rsidRPr="00903EDF" w:rsidP="0024718B" w14:paraId="0143F85F" w14:textId="4C9BE809">
      <w:pPr>
        <w:spacing w:line="360" w:lineRule="auto"/>
        <w:rPr>
          <w:rFonts w:ascii="Century Schoolbook" w:hAnsi="Century Schoolbook"/>
        </w:rPr>
      </w:pPr>
      <w:r w:rsidRPr="00903EDF">
        <w:rPr>
          <w:rFonts w:ascii="Century Schoolbook" w:hAnsi="Century Schoolbook"/>
        </w:rPr>
        <w:tab/>
        <w:t xml:space="preserve">Nor was the question before us </w:t>
      </w:r>
      <w:r w:rsidRPr="00903EDF" w:rsidR="006860C7">
        <w:rPr>
          <w:rFonts w:ascii="Century Schoolbook" w:hAnsi="Century Schoolbook"/>
        </w:rPr>
        <w:t xml:space="preserve">addressed in </w:t>
      </w:r>
      <w:r w:rsidRPr="00903EDF" w:rsidR="006860C7">
        <w:rPr>
          <w:rFonts w:ascii="Century Schoolbook" w:hAnsi="Century Schoolbook"/>
          <w:i/>
          <w:iCs/>
        </w:rPr>
        <w:t>People v. United States Fire Ins</w:t>
      </w:r>
      <w:r w:rsidRPr="00903EDF" w:rsidR="00562F8C">
        <w:rPr>
          <w:rFonts w:ascii="Century Schoolbook" w:hAnsi="Century Schoolbook"/>
          <w:i/>
          <w:iCs/>
        </w:rPr>
        <w:t>.</w:t>
      </w:r>
      <w:r w:rsidRPr="00903EDF" w:rsidR="006860C7">
        <w:rPr>
          <w:rFonts w:ascii="Century Schoolbook" w:hAnsi="Century Schoolbook"/>
          <w:i/>
          <w:iCs/>
        </w:rPr>
        <w:t xml:space="preserve"> Co.</w:t>
      </w:r>
      <w:r w:rsidRPr="00903EDF" w:rsidR="006860C7">
        <w:rPr>
          <w:rFonts w:ascii="Century Schoolbook" w:hAnsi="Century Schoolbook"/>
        </w:rPr>
        <w:t xml:space="preserve"> (2015) 242 Cal.App.4th 991, or </w:t>
      </w:r>
      <w:r w:rsidRPr="00903EDF" w:rsidR="006860C7">
        <w:rPr>
          <w:rFonts w:ascii="Century Schoolbook" w:hAnsi="Century Schoolbook"/>
          <w:i/>
          <w:iCs/>
        </w:rPr>
        <w:t>People v. Aegis Security Ins</w:t>
      </w:r>
      <w:r w:rsidRPr="00903EDF" w:rsidR="00562F8C">
        <w:rPr>
          <w:rFonts w:ascii="Century Schoolbook" w:hAnsi="Century Schoolbook"/>
          <w:i/>
          <w:iCs/>
        </w:rPr>
        <w:t>.</w:t>
      </w:r>
      <w:r w:rsidRPr="00903EDF" w:rsidR="006860C7">
        <w:rPr>
          <w:rFonts w:ascii="Century Schoolbook" w:hAnsi="Century Schoolbook"/>
          <w:i/>
          <w:iCs/>
        </w:rPr>
        <w:t xml:space="preserve"> Co.</w:t>
      </w:r>
      <w:r w:rsidRPr="00903EDF" w:rsidR="006860C7">
        <w:rPr>
          <w:rFonts w:ascii="Century Schoolbook" w:hAnsi="Century Schoolbook"/>
        </w:rPr>
        <w:t xml:space="preserve"> (2005) 130 Cal.App.4th 1071, cited in appellants’ reply.</w:t>
      </w:r>
      <w:r w:rsidRPr="00903EDF" w:rsidR="00380F56">
        <w:rPr>
          <w:rFonts w:ascii="Century Schoolbook" w:hAnsi="Century Schoolbook"/>
        </w:rPr>
        <w:t xml:space="preserve">  In those cases, the </w:t>
      </w:r>
      <w:r w:rsidRPr="00903EDF" w:rsidR="0058241B">
        <w:rPr>
          <w:rFonts w:ascii="Century Schoolbook" w:hAnsi="Century Schoolbook"/>
        </w:rPr>
        <w:t>post-exoneration-period act</w:t>
      </w:r>
      <w:r w:rsidRPr="00903EDF" w:rsidR="00380F56">
        <w:rPr>
          <w:rFonts w:ascii="Century Schoolbook" w:hAnsi="Century Schoolbook"/>
        </w:rPr>
        <w:t xml:space="preserve">s of </w:t>
      </w:r>
      <w:r w:rsidRPr="00903EDF" w:rsidR="0058241B">
        <w:rPr>
          <w:rFonts w:ascii="Century Schoolbook" w:hAnsi="Century Schoolbook"/>
        </w:rPr>
        <w:t xml:space="preserve">entering </w:t>
      </w:r>
      <w:r w:rsidRPr="00903EDF" w:rsidR="00380F56">
        <w:rPr>
          <w:rFonts w:ascii="Century Schoolbook" w:hAnsi="Century Schoolbook"/>
        </w:rPr>
        <w:t>summary judgment were premature because they occurred before the appellants’ timely motions to vacate forfeiture were heard.  (</w:t>
      </w:r>
      <w:r w:rsidRPr="00903EDF" w:rsidR="00D14DEA">
        <w:rPr>
          <w:rFonts w:ascii="Century Schoolbook" w:hAnsi="Century Schoolbook"/>
          <w:i/>
          <w:iCs/>
        </w:rPr>
        <w:t>U.S. Fire</w:t>
      </w:r>
      <w:r w:rsidRPr="00903EDF" w:rsidR="00380F56">
        <w:rPr>
          <w:rFonts w:ascii="Century Schoolbook" w:hAnsi="Century Schoolbook"/>
        </w:rPr>
        <w:t>, at p.</w:t>
      </w:r>
      <w:r w:rsidRPr="00903EDF" w:rsidR="00562F8C">
        <w:rPr>
          <w:rFonts w:ascii="Century Schoolbook" w:hAnsi="Century Schoolbook"/>
        </w:rPr>
        <w:t> </w:t>
      </w:r>
      <w:r w:rsidRPr="00903EDF" w:rsidR="00380F56">
        <w:rPr>
          <w:rFonts w:ascii="Century Schoolbook" w:hAnsi="Century Schoolbook"/>
        </w:rPr>
        <w:t>997</w:t>
      </w:r>
      <w:r w:rsidRPr="00903EDF" w:rsidR="00FC0898">
        <w:rPr>
          <w:rFonts w:ascii="Century Schoolbook" w:hAnsi="Century Schoolbook"/>
        </w:rPr>
        <w:t>;</w:t>
      </w:r>
      <w:r w:rsidRPr="00903EDF" w:rsidR="00380F56">
        <w:rPr>
          <w:rFonts w:ascii="Century Schoolbook" w:hAnsi="Century Schoolbook"/>
        </w:rPr>
        <w:t xml:space="preserve"> </w:t>
      </w:r>
      <w:r w:rsidRPr="00903EDF" w:rsidR="00380F56">
        <w:rPr>
          <w:rFonts w:ascii="Century Schoolbook" w:hAnsi="Century Schoolbook"/>
          <w:i/>
          <w:iCs/>
        </w:rPr>
        <w:t>Aegis</w:t>
      </w:r>
      <w:r w:rsidRPr="00903EDF" w:rsidR="00D14DEA">
        <w:rPr>
          <w:rFonts w:ascii="Century Schoolbook" w:hAnsi="Century Schoolbook"/>
        </w:rPr>
        <w:t xml:space="preserve">, </w:t>
      </w:r>
      <w:r w:rsidRPr="00903EDF" w:rsidR="00380F56">
        <w:rPr>
          <w:rFonts w:ascii="Century Schoolbook" w:hAnsi="Century Schoolbook"/>
        </w:rPr>
        <w:t>at p.</w:t>
      </w:r>
      <w:r w:rsidRPr="00903EDF" w:rsidR="00562F8C">
        <w:rPr>
          <w:rFonts w:ascii="Century Schoolbook" w:hAnsi="Century Schoolbook"/>
        </w:rPr>
        <w:t> </w:t>
      </w:r>
      <w:r w:rsidRPr="00903EDF" w:rsidR="00380F56">
        <w:rPr>
          <w:rFonts w:ascii="Century Schoolbook" w:hAnsi="Century Schoolbook"/>
        </w:rPr>
        <w:t>1074.)</w:t>
      </w:r>
      <w:r w:rsidRPr="00903EDF" w:rsidR="0058241B">
        <w:rPr>
          <w:rFonts w:ascii="Century Schoolbook" w:hAnsi="Century Schoolbook"/>
        </w:rPr>
        <w:t xml:space="preserve">  “Holding the hearing after the exoneration period has expired does not extend that period, which is the period of time for filing a motion to vacate and establishing the grounds for relief, but does extend the time to actually set aside the forfeiture.”  (</w:t>
      </w:r>
      <w:r w:rsidRPr="00903EDF" w:rsidR="0058241B">
        <w:rPr>
          <w:rFonts w:ascii="Century Schoolbook" w:hAnsi="Century Schoolbook"/>
          <w:i/>
          <w:iCs/>
        </w:rPr>
        <w:t>Granite State</w:t>
      </w:r>
      <w:r w:rsidRPr="00903EDF" w:rsidR="0058241B">
        <w:rPr>
          <w:rFonts w:ascii="Century Schoolbook" w:hAnsi="Century Schoolbook"/>
        </w:rPr>
        <w:t xml:space="preserve">, </w:t>
      </w:r>
      <w:r w:rsidRPr="00903EDF" w:rsidR="0058241B">
        <w:rPr>
          <w:rFonts w:ascii="Century Schoolbook" w:hAnsi="Century Schoolbook"/>
          <w:i/>
          <w:iCs/>
        </w:rPr>
        <w:t>supra</w:t>
      </w:r>
      <w:r w:rsidRPr="00903EDF" w:rsidR="0058241B">
        <w:rPr>
          <w:rFonts w:ascii="Century Schoolbook" w:hAnsi="Century Schoolbook"/>
        </w:rPr>
        <w:t xml:space="preserve">, </w:t>
      </w:r>
      <w:r w:rsidRPr="00903EDF" w:rsidR="001612DD">
        <w:rPr>
          <w:rFonts w:ascii="Century Schoolbook" w:hAnsi="Century Schoolbook"/>
        </w:rPr>
        <w:t xml:space="preserve">114 Cal.App.4th </w:t>
      </w:r>
      <w:r w:rsidRPr="00903EDF" w:rsidR="0058241B">
        <w:rPr>
          <w:rFonts w:ascii="Century Schoolbook" w:hAnsi="Century Schoolbook"/>
        </w:rPr>
        <w:t>at p.</w:t>
      </w:r>
      <w:r w:rsidRPr="00903EDF" w:rsidR="00156DC6">
        <w:rPr>
          <w:rFonts w:ascii="Century Schoolbook" w:hAnsi="Century Schoolbook"/>
        </w:rPr>
        <w:t> </w:t>
      </w:r>
      <w:r w:rsidRPr="00903EDF" w:rsidR="0058241B">
        <w:rPr>
          <w:rFonts w:ascii="Century Schoolbook" w:hAnsi="Century Schoolbook"/>
        </w:rPr>
        <w:t xml:space="preserve">768.)  </w:t>
      </w:r>
      <w:r w:rsidRPr="00903EDF" w:rsidR="00D14DEA">
        <w:rPr>
          <w:rFonts w:ascii="Century Schoolbook" w:hAnsi="Century Schoolbook"/>
        </w:rPr>
        <w:t>As a result</w:t>
      </w:r>
      <w:r w:rsidRPr="00903EDF" w:rsidR="0058241B">
        <w:rPr>
          <w:rFonts w:ascii="Century Schoolbook" w:hAnsi="Century Schoolbook"/>
        </w:rPr>
        <w:t xml:space="preserve">, </w:t>
      </w:r>
      <w:r w:rsidRPr="00903EDF" w:rsidR="00073494">
        <w:rPr>
          <w:rFonts w:ascii="Century Schoolbook" w:hAnsi="Century Schoolbook"/>
        </w:rPr>
        <w:t xml:space="preserve">when the trial courts in </w:t>
      </w:r>
      <w:r w:rsidRPr="00903EDF" w:rsidR="00073494">
        <w:rPr>
          <w:rFonts w:ascii="Century Schoolbook" w:hAnsi="Century Schoolbook"/>
          <w:i/>
          <w:iCs/>
        </w:rPr>
        <w:t>U</w:t>
      </w:r>
      <w:r w:rsidRPr="00903EDF" w:rsidR="00D14DEA">
        <w:rPr>
          <w:rFonts w:ascii="Century Schoolbook" w:hAnsi="Century Schoolbook"/>
          <w:i/>
          <w:iCs/>
        </w:rPr>
        <w:t>.S.</w:t>
      </w:r>
      <w:r w:rsidRPr="00903EDF" w:rsidR="00073494">
        <w:rPr>
          <w:rFonts w:ascii="Century Schoolbook" w:hAnsi="Century Schoolbook"/>
          <w:i/>
          <w:iCs/>
        </w:rPr>
        <w:t xml:space="preserve"> Fire</w:t>
      </w:r>
      <w:r w:rsidRPr="00903EDF" w:rsidR="00073494">
        <w:rPr>
          <w:rFonts w:ascii="Century Schoolbook" w:hAnsi="Century Schoolbook"/>
        </w:rPr>
        <w:t xml:space="preserve"> and </w:t>
      </w:r>
      <w:r w:rsidRPr="00903EDF" w:rsidR="00073494">
        <w:rPr>
          <w:rFonts w:ascii="Century Schoolbook" w:hAnsi="Century Schoolbook"/>
          <w:i/>
          <w:iCs/>
        </w:rPr>
        <w:t>Aegis</w:t>
      </w:r>
      <w:r w:rsidRPr="00903EDF" w:rsidR="00073494">
        <w:rPr>
          <w:rFonts w:ascii="Century Schoolbook" w:hAnsi="Century Schoolbook"/>
        </w:rPr>
        <w:t xml:space="preserve"> entered summary judgment, th</w:t>
      </w:r>
      <w:r w:rsidRPr="00903EDF" w:rsidR="0058241B">
        <w:rPr>
          <w:rFonts w:ascii="Century Schoolbook" w:hAnsi="Century Schoolbook"/>
        </w:rPr>
        <w:t>e</w:t>
      </w:r>
      <w:r w:rsidRPr="00903EDF" w:rsidR="00073494">
        <w:rPr>
          <w:rFonts w:ascii="Century Schoolbook" w:hAnsi="Century Schoolbook"/>
        </w:rPr>
        <w:t>re was still time to set aside the forfeitures</w:t>
      </w:r>
      <w:r w:rsidRPr="00903EDF">
        <w:rPr>
          <w:rFonts w:ascii="Century Schoolbook" w:hAnsi="Century Schoolbook"/>
        </w:rPr>
        <w:t xml:space="preserve">.  By contrast, the trial court here denied appellants’ motion to vacate the forfeiture and exonerate bail before it entered summary judgment; </w:t>
      </w:r>
      <w:r w:rsidRPr="00903EDF" w:rsidR="00D14DEA">
        <w:rPr>
          <w:rFonts w:ascii="Century Schoolbook" w:hAnsi="Century Schoolbook"/>
        </w:rPr>
        <w:t xml:space="preserve">in other words, </w:t>
      </w:r>
      <w:r w:rsidRPr="00903EDF">
        <w:rPr>
          <w:rFonts w:ascii="Century Schoolbook" w:hAnsi="Century Schoolbook"/>
        </w:rPr>
        <w:t xml:space="preserve">the “time to actually set aside the forfeiture” had </w:t>
      </w:r>
      <w:r w:rsidRPr="00903EDF" w:rsidR="00EB25F7">
        <w:rPr>
          <w:rFonts w:ascii="Century Schoolbook" w:hAnsi="Century Schoolbook"/>
        </w:rPr>
        <w:t xml:space="preserve">already </w:t>
      </w:r>
      <w:r w:rsidRPr="00903EDF">
        <w:rPr>
          <w:rFonts w:ascii="Century Schoolbook" w:hAnsi="Century Schoolbook"/>
        </w:rPr>
        <w:t>ended.  (</w:t>
      </w:r>
      <w:r w:rsidRPr="00903EDF" w:rsidR="0072111E">
        <w:rPr>
          <w:rFonts w:ascii="Century Schoolbook" w:hAnsi="Century Schoolbook"/>
          <w:i/>
          <w:iCs/>
        </w:rPr>
        <w:t>Ibid</w:t>
      </w:r>
      <w:r w:rsidRPr="00903EDF">
        <w:rPr>
          <w:rFonts w:ascii="Century Schoolbook" w:hAnsi="Century Schoolbook"/>
        </w:rPr>
        <w:t>.)</w:t>
      </w:r>
      <w:r w:rsidRPr="00903EDF" w:rsidR="00D14DEA">
        <w:rPr>
          <w:rFonts w:ascii="Century Schoolbook" w:hAnsi="Century Schoolbook"/>
        </w:rPr>
        <w:t xml:space="preserve">  Thus, at the time summary judgment was entered, the exoneration period here had certainly elapsed “without the forfeiture having been set aside” </w:t>
      </w:r>
      <w:r w:rsidRPr="00903EDF" w:rsidR="006A4405">
        <w:rPr>
          <w:rFonts w:ascii="Century Schoolbook" w:hAnsi="Century Schoolbook"/>
        </w:rPr>
        <w:t>(§ 1306, subd.</w:t>
      </w:r>
      <w:r w:rsidRPr="00903EDF" w:rsidR="00F111BC">
        <w:rPr>
          <w:rFonts w:ascii="Century Schoolbook" w:hAnsi="Century Schoolbook"/>
        </w:rPr>
        <w:t> </w:t>
      </w:r>
      <w:r w:rsidRPr="00903EDF" w:rsidR="006A4405">
        <w:rPr>
          <w:rFonts w:ascii="Century Schoolbook" w:hAnsi="Century Schoolbook"/>
        </w:rPr>
        <w:t xml:space="preserve">(a)), </w:t>
      </w:r>
      <w:r w:rsidRPr="00903EDF" w:rsidR="00D14DEA">
        <w:rPr>
          <w:rFonts w:ascii="Century Schoolbook" w:hAnsi="Century Schoolbook"/>
        </w:rPr>
        <w:t xml:space="preserve">whereas in </w:t>
      </w:r>
      <w:r w:rsidRPr="00903EDF" w:rsidR="00D14DEA">
        <w:rPr>
          <w:rFonts w:ascii="Century Schoolbook" w:hAnsi="Century Schoolbook"/>
          <w:i/>
          <w:iCs/>
        </w:rPr>
        <w:t>U.S. Fire</w:t>
      </w:r>
      <w:r w:rsidRPr="00903EDF" w:rsidR="00D14DEA">
        <w:rPr>
          <w:rFonts w:ascii="Century Schoolbook" w:hAnsi="Century Schoolbook"/>
        </w:rPr>
        <w:t xml:space="preserve"> and </w:t>
      </w:r>
      <w:r w:rsidRPr="00903EDF" w:rsidR="00D14DEA">
        <w:rPr>
          <w:rFonts w:ascii="Century Schoolbook" w:hAnsi="Century Schoolbook"/>
          <w:i/>
          <w:iCs/>
        </w:rPr>
        <w:t>Aegis</w:t>
      </w:r>
      <w:r w:rsidRPr="00903EDF" w:rsidR="00D14DEA">
        <w:rPr>
          <w:rFonts w:ascii="Century Schoolbook" w:hAnsi="Century Schoolbook"/>
        </w:rPr>
        <w:t xml:space="preserve">, that determination </w:t>
      </w:r>
      <w:r w:rsidRPr="00903EDF" w:rsidR="006D1351">
        <w:rPr>
          <w:rFonts w:ascii="Century Schoolbook" w:hAnsi="Century Schoolbook"/>
        </w:rPr>
        <w:t>remained</w:t>
      </w:r>
      <w:r w:rsidRPr="00903EDF" w:rsidR="00D14DEA">
        <w:rPr>
          <w:rFonts w:ascii="Century Schoolbook" w:hAnsi="Century Schoolbook"/>
        </w:rPr>
        <w:t xml:space="preserve"> to be made.</w:t>
      </w:r>
      <w:r w:rsidRPr="00903EDF" w:rsidR="006C4EDF">
        <w:rPr>
          <w:rFonts w:ascii="Century Schoolbook" w:hAnsi="Century Schoolbook"/>
        </w:rPr>
        <w:t xml:space="preserve">  </w:t>
      </w:r>
    </w:p>
    <w:p w:rsidR="00E60E66" w:rsidRPr="00903EDF" w:rsidP="0024718B" w14:paraId="69DB175C" w14:textId="0046A936">
      <w:pPr>
        <w:spacing w:line="360" w:lineRule="auto"/>
        <w:rPr>
          <w:rFonts w:ascii="Century Schoolbook" w:hAnsi="Century Schoolbook"/>
        </w:rPr>
      </w:pPr>
      <w:r w:rsidRPr="00903EDF">
        <w:rPr>
          <w:rFonts w:ascii="Century Schoolbook" w:hAnsi="Century Schoolbook"/>
        </w:rPr>
        <w:tab/>
        <w:t xml:space="preserve">Finally, we reject appellants’ argument that our construction of </w:t>
      </w:r>
      <w:r w:rsidRPr="00903EDF" w:rsidR="00EE53B0">
        <w:rPr>
          <w:rFonts w:ascii="Century Schoolbook" w:hAnsi="Century Schoolbook"/>
        </w:rPr>
        <w:t xml:space="preserve">“the period of time specified in </w:t>
      </w:r>
      <w:r w:rsidRPr="00903EDF" w:rsidR="00562F8C">
        <w:rPr>
          <w:rFonts w:ascii="Century Schoolbook" w:hAnsi="Century Schoolbook"/>
        </w:rPr>
        <w:t>[s]</w:t>
      </w:r>
      <w:r w:rsidRPr="00903EDF" w:rsidR="00EE53B0">
        <w:rPr>
          <w:rFonts w:ascii="Century Schoolbook" w:hAnsi="Century Schoolbook"/>
        </w:rPr>
        <w:t>ection 1305” fails to account for</w:t>
      </w:r>
      <w:r w:rsidRPr="00903EDF" w:rsidR="00E06EA7">
        <w:rPr>
          <w:rFonts w:ascii="Century Schoolbook" w:hAnsi="Century Schoolbook"/>
        </w:rPr>
        <w:t xml:space="preserve"> section 1305, subdivision (j).</w:t>
      </w:r>
      <w:r w:rsidRPr="00903EDF" w:rsidR="00EE53B0">
        <w:rPr>
          <w:rFonts w:ascii="Century Schoolbook" w:hAnsi="Century Schoolbook"/>
        </w:rPr>
        <w:t xml:space="preserve">  (§ 1306, subd. (a).)  </w:t>
      </w:r>
      <w:r w:rsidRPr="00903EDF" w:rsidR="00562F8C">
        <w:rPr>
          <w:rFonts w:ascii="Century Schoolbook" w:hAnsi="Century Schoolbook"/>
        </w:rPr>
        <w:t>“</w:t>
      </w:r>
      <w:r w:rsidRPr="00903EDF" w:rsidR="007C3989">
        <w:rPr>
          <w:rFonts w:ascii="Century Schoolbook" w:hAnsi="Century Schoolbook"/>
        </w:rPr>
        <w:t> ‘</w:t>
      </w:r>
      <w:r w:rsidRPr="00903EDF" w:rsidR="00562F8C">
        <w:rPr>
          <w:rFonts w:ascii="Century Schoolbook" w:hAnsi="Century Schoolbook"/>
        </w:rPr>
        <w:t>[</w:t>
      </w:r>
      <w:r w:rsidRPr="00903EDF" w:rsidR="00EE53B0">
        <w:rPr>
          <w:rFonts w:ascii="Century Schoolbook" w:hAnsi="Century Schoolbook"/>
        </w:rPr>
        <w:t>T</w:t>
      </w:r>
      <w:r w:rsidRPr="00903EDF" w:rsidR="00562F8C">
        <w:rPr>
          <w:rFonts w:ascii="Century Schoolbook" w:hAnsi="Century Schoolbook"/>
        </w:rPr>
        <w:t>]</w:t>
      </w:r>
      <w:r w:rsidRPr="00903EDF" w:rsidR="00EE53B0">
        <w:rPr>
          <w:rFonts w:ascii="Century Schoolbook" w:hAnsi="Century Schoolbook"/>
        </w:rPr>
        <w:t>he period of time specified in section 1305</w:t>
      </w:r>
      <w:r w:rsidRPr="00903EDF" w:rsidR="007C3989">
        <w:rPr>
          <w:rFonts w:ascii="Century Schoolbook" w:hAnsi="Century Schoolbook"/>
        </w:rPr>
        <w:t>’ </w:t>
      </w:r>
      <w:r w:rsidRPr="00903EDF" w:rsidR="00EE53B0">
        <w:rPr>
          <w:rFonts w:ascii="Century Schoolbook" w:hAnsi="Century Schoolbook"/>
        </w:rPr>
        <w:t>” is the exoneration period</w:t>
      </w:r>
      <w:r w:rsidRPr="00903EDF" w:rsidR="00562F8C">
        <w:rPr>
          <w:rFonts w:ascii="Century Schoolbook" w:hAnsi="Century Schoolbook"/>
        </w:rPr>
        <w:t> </w:t>
      </w:r>
      <w:r w:rsidRPr="00903EDF" w:rsidR="00EE53B0">
        <w:rPr>
          <w:rFonts w:ascii="Century Schoolbook" w:hAnsi="Century Schoolbook"/>
        </w:rPr>
        <w:t>—</w:t>
      </w:r>
      <w:r w:rsidRPr="00903EDF" w:rsidR="00562F8C">
        <w:rPr>
          <w:rFonts w:ascii="Century Schoolbook" w:hAnsi="Century Schoolbook"/>
        </w:rPr>
        <w:t> </w:t>
      </w:r>
      <w:r w:rsidRPr="00903EDF" w:rsidR="00EE53B0">
        <w:rPr>
          <w:rFonts w:ascii="Century Schoolbook" w:hAnsi="Century Schoolbook"/>
        </w:rPr>
        <w:t>the time during which the facts supporting a motion to exonerate “must be in existence.”  (</w:t>
      </w:r>
      <w:r w:rsidRPr="00903EDF" w:rsidR="00EE53B0">
        <w:rPr>
          <w:rFonts w:ascii="Century Schoolbook" w:hAnsi="Century Schoolbook"/>
          <w:i/>
          <w:iCs/>
        </w:rPr>
        <w:t>Granite State</w:t>
      </w:r>
      <w:r w:rsidRPr="00903EDF" w:rsidR="00EE53B0">
        <w:rPr>
          <w:rFonts w:ascii="Century Schoolbook" w:hAnsi="Century Schoolbook"/>
        </w:rPr>
        <w:t xml:space="preserve">, </w:t>
      </w:r>
      <w:r w:rsidRPr="00903EDF" w:rsidR="009164B6">
        <w:rPr>
          <w:rFonts w:ascii="Century Schoolbook" w:hAnsi="Century Schoolbook"/>
          <w:i/>
          <w:iCs/>
        </w:rPr>
        <w:t>supra</w:t>
      </w:r>
      <w:r w:rsidRPr="00903EDF" w:rsidR="009164B6">
        <w:rPr>
          <w:rFonts w:ascii="Century Schoolbook" w:hAnsi="Century Schoolbook"/>
        </w:rPr>
        <w:t xml:space="preserve">, 114 Cal.App.4th </w:t>
      </w:r>
      <w:r w:rsidRPr="00903EDF" w:rsidR="00EE53B0">
        <w:rPr>
          <w:rFonts w:ascii="Century Schoolbook" w:hAnsi="Century Schoolbook"/>
        </w:rPr>
        <w:t>at p.</w:t>
      </w:r>
      <w:r w:rsidRPr="00903EDF" w:rsidR="005520A8">
        <w:rPr>
          <w:rFonts w:ascii="Century Schoolbook" w:hAnsi="Century Schoolbook"/>
        </w:rPr>
        <w:t> </w:t>
      </w:r>
      <w:r w:rsidRPr="00903EDF" w:rsidR="00EE53B0">
        <w:rPr>
          <w:rFonts w:ascii="Century Schoolbook" w:hAnsi="Century Schoolbook"/>
        </w:rPr>
        <w:t>768.)  On the other hand, section</w:t>
      </w:r>
      <w:r w:rsidRPr="00903EDF" w:rsidR="005520A8">
        <w:rPr>
          <w:rFonts w:ascii="Century Schoolbook" w:hAnsi="Century Schoolbook"/>
        </w:rPr>
        <w:t> </w:t>
      </w:r>
      <w:r w:rsidRPr="00903EDF" w:rsidR="00EE53B0">
        <w:rPr>
          <w:rFonts w:ascii="Century Schoolbook" w:hAnsi="Century Schoolbook"/>
        </w:rPr>
        <w:t>1305,</w:t>
      </w:r>
      <w:r w:rsidRPr="00903EDF" w:rsidR="00562F8C">
        <w:rPr>
          <w:rFonts w:ascii="Century Schoolbook" w:hAnsi="Century Schoolbook"/>
        </w:rPr>
        <w:t xml:space="preserve"> </w:t>
      </w:r>
      <w:r w:rsidRPr="00903EDF" w:rsidR="00EE53B0">
        <w:rPr>
          <w:rFonts w:ascii="Century Schoolbook" w:hAnsi="Century Schoolbook"/>
        </w:rPr>
        <w:t>subdivision</w:t>
      </w:r>
      <w:r w:rsidRPr="00903EDF" w:rsidR="00562F8C">
        <w:rPr>
          <w:rFonts w:ascii="Century Schoolbook" w:hAnsi="Century Schoolbook"/>
        </w:rPr>
        <w:t> </w:t>
      </w:r>
      <w:r w:rsidRPr="00903EDF" w:rsidR="00EE53B0">
        <w:rPr>
          <w:rFonts w:ascii="Century Schoolbook" w:hAnsi="Century Schoolbook"/>
        </w:rPr>
        <w:t>(j), refers to the time during which such a motion may be heard.</w:t>
      </w:r>
      <w:r w:rsidRPr="00903EDF" w:rsidR="001717FC">
        <w:rPr>
          <w:rFonts w:ascii="Century Schoolbook" w:hAnsi="Century Schoolbook"/>
        </w:rPr>
        <w:t xml:space="preserve">  As </w:t>
      </w:r>
      <w:r w:rsidRPr="00903EDF" w:rsidR="001717FC">
        <w:rPr>
          <w:rFonts w:ascii="Century Schoolbook" w:hAnsi="Century Schoolbook"/>
          <w:i/>
          <w:iCs/>
        </w:rPr>
        <w:t xml:space="preserve">Granite State </w:t>
      </w:r>
      <w:r w:rsidRPr="00903EDF" w:rsidR="001717FC">
        <w:rPr>
          <w:rFonts w:ascii="Century Schoolbook" w:hAnsi="Century Schoolbook"/>
        </w:rPr>
        <w:t>established, these are two distinct periods of time.  (</w:t>
      </w:r>
      <w:r w:rsidRPr="00903EDF" w:rsidR="008075D1">
        <w:rPr>
          <w:rFonts w:ascii="Century Schoolbook" w:hAnsi="Century Schoolbook"/>
          <w:i/>
          <w:iCs/>
        </w:rPr>
        <w:t>Granite State</w:t>
      </w:r>
      <w:r w:rsidRPr="00903EDF" w:rsidR="008075D1">
        <w:rPr>
          <w:rFonts w:ascii="Century Schoolbook" w:hAnsi="Century Schoolbook"/>
        </w:rPr>
        <w:t>, at p. 768</w:t>
      </w:r>
      <w:r w:rsidRPr="00903EDF" w:rsidR="001717FC">
        <w:rPr>
          <w:rFonts w:ascii="Century Schoolbook" w:hAnsi="Century Schoolbook"/>
        </w:rPr>
        <w:t xml:space="preserve">.)  </w:t>
      </w:r>
      <w:r w:rsidRPr="00903EDF" w:rsidR="00EC114B">
        <w:rPr>
          <w:rFonts w:ascii="Century Schoolbook" w:hAnsi="Century Schoolbook"/>
        </w:rPr>
        <w:t>I</w:t>
      </w:r>
      <w:r w:rsidRPr="00903EDF" w:rsidR="001717FC">
        <w:rPr>
          <w:rFonts w:ascii="Century Schoolbook" w:hAnsi="Century Schoolbook"/>
        </w:rPr>
        <w:t>t makes little sense for the singular “period of time” contemplated by section</w:t>
      </w:r>
      <w:r w:rsidRPr="00903EDF" w:rsidR="00120774">
        <w:rPr>
          <w:rFonts w:ascii="Century Schoolbook" w:hAnsi="Century Schoolbook"/>
        </w:rPr>
        <w:t> </w:t>
      </w:r>
      <w:r w:rsidRPr="00903EDF" w:rsidR="001717FC">
        <w:rPr>
          <w:rFonts w:ascii="Century Schoolbook" w:hAnsi="Century Schoolbook"/>
        </w:rPr>
        <w:t>1306, subdivision</w:t>
      </w:r>
      <w:r w:rsidRPr="00903EDF" w:rsidR="00120774">
        <w:rPr>
          <w:rFonts w:ascii="Century Schoolbook" w:hAnsi="Century Schoolbook"/>
        </w:rPr>
        <w:t> </w:t>
      </w:r>
      <w:r w:rsidRPr="00903EDF" w:rsidR="001717FC">
        <w:rPr>
          <w:rFonts w:ascii="Century Schoolbook" w:hAnsi="Century Schoolbook"/>
        </w:rPr>
        <w:t xml:space="preserve">(a), to refer to two different periods: </w:t>
      </w:r>
      <w:r w:rsidRPr="00903EDF" w:rsidR="009F3014">
        <w:rPr>
          <w:rFonts w:ascii="Century Schoolbook" w:hAnsi="Century Schoolbook"/>
        </w:rPr>
        <w:t xml:space="preserve"> </w:t>
      </w:r>
      <w:r w:rsidRPr="00903EDF" w:rsidR="001717FC">
        <w:rPr>
          <w:rFonts w:ascii="Century Schoolbook" w:hAnsi="Century Schoolbook"/>
        </w:rPr>
        <w:t>the hearing period in cases where a motion to exonerate is heard after the exoneration period, and the exoneration period in others.</w:t>
      </w:r>
    </w:p>
    <w:p w:rsidR="001751AF" w:rsidP="00C41F75" w14:paraId="441F8AB5" w14:textId="267510EB">
      <w:pPr>
        <w:spacing w:line="360" w:lineRule="auto"/>
        <w:rPr>
          <w:rFonts w:ascii="Century Schoolbook" w:hAnsi="Century Schoolbook"/>
        </w:rPr>
      </w:pPr>
      <w:r w:rsidRPr="00903EDF">
        <w:rPr>
          <w:rFonts w:ascii="Century Schoolbook" w:hAnsi="Century Schoolbook"/>
        </w:rPr>
        <w:tab/>
        <w:t>Section 1306, subdivision (a), authorizes the trial court to enter summary judgment when the bond has been forfeited and the exoneration period has elapsed without the forfeiture having been set aside.  Here, the bond was forfeited</w:t>
      </w:r>
      <w:r w:rsidRPr="00903EDF" w:rsidR="00CF36AB">
        <w:rPr>
          <w:rFonts w:ascii="Century Schoolbook" w:hAnsi="Century Schoolbook"/>
        </w:rPr>
        <w:t>,</w:t>
      </w:r>
      <w:r w:rsidRPr="00903EDF">
        <w:rPr>
          <w:rFonts w:ascii="Century Schoolbook" w:hAnsi="Century Schoolbook"/>
        </w:rPr>
        <w:t xml:space="preserve"> and the denial of appellants’ motion to exonerate established that the exoneration period had elapsed without the forfeiture having been set aside.  Entering summary judgment was</w:t>
      </w:r>
      <w:r w:rsidRPr="00903EDF" w:rsidR="00CF36AB">
        <w:rPr>
          <w:rFonts w:ascii="Century Schoolbook" w:hAnsi="Century Schoolbook"/>
        </w:rPr>
        <w:t>,</w:t>
      </w:r>
      <w:r w:rsidRPr="00903EDF">
        <w:rPr>
          <w:rFonts w:ascii="Century Schoolbook" w:hAnsi="Century Schoolbook"/>
        </w:rPr>
        <w:t xml:space="preserve"> therefore</w:t>
      </w:r>
      <w:r w:rsidRPr="00903EDF" w:rsidR="00CF36AB">
        <w:rPr>
          <w:rFonts w:ascii="Century Schoolbook" w:hAnsi="Century Schoolbook"/>
        </w:rPr>
        <w:t>,</w:t>
      </w:r>
      <w:r w:rsidRPr="00903EDF">
        <w:rPr>
          <w:rFonts w:ascii="Century Schoolbook" w:hAnsi="Century Schoolbook"/>
        </w:rPr>
        <w:t xml:space="preserve"> an act within the trial court’s jurisdiction.</w:t>
      </w:r>
    </w:p>
    <w:p w:rsidR="005A5FF7" w:rsidRPr="00903EDF" w:rsidP="00C41F75" w14:paraId="1D69D66E" w14:textId="77777777">
      <w:pPr>
        <w:spacing w:line="360" w:lineRule="auto"/>
        <w:rPr>
          <w:rFonts w:ascii="Century Schoolbook" w:hAnsi="Century Schoolbook"/>
        </w:rPr>
      </w:pPr>
    </w:p>
    <w:p w:rsidR="003D48FB" w:rsidRPr="00903EDF" w:rsidP="003B7C0F" w14:paraId="607E4CCD" w14:textId="386E7AF4">
      <w:pPr>
        <w:keepNext/>
        <w:spacing w:line="360" w:lineRule="auto"/>
        <w:jc w:val="center"/>
        <w:rPr>
          <w:rFonts w:ascii="Century Schoolbook" w:hAnsi="Century Schoolbook"/>
          <w:b/>
        </w:rPr>
      </w:pPr>
      <w:r w:rsidRPr="00903EDF">
        <w:rPr>
          <w:rFonts w:ascii="Century Schoolbook" w:hAnsi="Century Schoolbook"/>
          <w:b/>
        </w:rPr>
        <w:t>D</w:t>
      </w:r>
      <w:r w:rsidRPr="00903EDF" w:rsidR="00A72F6B">
        <w:rPr>
          <w:rFonts w:ascii="Century Schoolbook" w:hAnsi="Century Schoolbook"/>
          <w:b/>
        </w:rPr>
        <w:t>ISPOSITION</w:t>
      </w:r>
    </w:p>
    <w:p w:rsidR="00582E81" w:rsidRPr="00903EDF" w:rsidP="00185587" w14:paraId="5A529F29" w14:textId="42216091">
      <w:pPr>
        <w:spacing w:line="360" w:lineRule="auto"/>
        <w:rPr>
          <w:rFonts w:ascii="Century Schoolbook" w:hAnsi="Century Schoolbook"/>
        </w:rPr>
      </w:pPr>
      <w:r w:rsidRPr="00903EDF">
        <w:rPr>
          <w:rFonts w:ascii="Century Schoolbook" w:hAnsi="Century Schoolbook"/>
        </w:rPr>
        <w:tab/>
      </w:r>
      <w:r w:rsidRPr="00903EDF" w:rsidR="00EC114B">
        <w:rPr>
          <w:rFonts w:ascii="Century Schoolbook" w:hAnsi="Century Schoolbook"/>
        </w:rPr>
        <w:t>We affirm</w:t>
      </w:r>
      <w:r w:rsidRPr="00903EDF" w:rsidR="00636C78">
        <w:rPr>
          <w:rFonts w:ascii="Century Schoolbook" w:hAnsi="Century Schoolbook"/>
        </w:rPr>
        <w:t>.</w:t>
      </w:r>
    </w:p>
    <w:p w:rsidR="002C0109" w:rsidRPr="00903EDF" w:rsidP="00185587" w14:paraId="2CD7CA23" w14:textId="77777777">
      <w:pPr>
        <w:spacing w:line="360" w:lineRule="auto"/>
        <w:rPr>
          <w:rFonts w:ascii="Century Schoolbook" w:hAnsi="Century Schoolbook"/>
        </w:rPr>
      </w:pPr>
    </w:p>
    <w:p w:rsidR="003D48FB" w:rsidRPr="00903EDF" w:rsidP="003B11CD" w14:paraId="0E12E136" w14:textId="769D147F">
      <w:pPr>
        <w:spacing w:line="240" w:lineRule="auto"/>
        <w:rPr>
          <w:rFonts w:ascii="Century Schoolbook" w:hAnsi="Century Schoolbook"/>
        </w:rPr>
      </w:pPr>
    </w:p>
    <w:p w:rsidR="003D48FB" w:rsidRPr="00903EDF" w:rsidP="003B11CD" w14:paraId="0556956F" w14:textId="5FB8AD17">
      <w:pPr>
        <w:spacing w:line="240" w:lineRule="auto"/>
        <w:rPr>
          <w:rFonts w:ascii="Century Schoolbook" w:hAnsi="Century Schoolbook"/>
        </w:rPr>
      </w:pPr>
      <w:r w:rsidRPr="00903EDF">
        <w:rPr>
          <w:rFonts w:ascii="Century Schoolbook" w:hAnsi="Century Schoolbook"/>
        </w:rPr>
        <w:tab/>
      </w:r>
      <w:r w:rsidRPr="00903EDF">
        <w:rPr>
          <w:rFonts w:ascii="Century Schoolbook" w:hAnsi="Century Schoolbook"/>
        </w:rPr>
        <w:tab/>
      </w:r>
      <w:r w:rsidRPr="00903EDF">
        <w:rPr>
          <w:rFonts w:ascii="Century Schoolbook" w:hAnsi="Century Schoolbook"/>
        </w:rPr>
        <w:tab/>
      </w:r>
      <w:r w:rsidRPr="00903EDF">
        <w:rPr>
          <w:rFonts w:ascii="Century Schoolbook" w:hAnsi="Century Schoolbook"/>
        </w:rPr>
        <w:tab/>
      </w:r>
      <w:r w:rsidRPr="00903EDF">
        <w:rPr>
          <w:rFonts w:ascii="Century Schoolbook" w:hAnsi="Century Schoolbook"/>
        </w:rPr>
        <w:tab/>
      </w:r>
      <w:r w:rsidRPr="00903EDF">
        <w:rPr>
          <w:rFonts w:ascii="Century Schoolbook" w:hAnsi="Century Schoolbook"/>
        </w:rPr>
        <w:tab/>
      </w:r>
      <w:r w:rsidRPr="00903EDF">
        <w:rPr>
          <w:rFonts w:ascii="Century Schoolbook" w:hAnsi="Century Schoolbook"/>
        </w:rPr>
        <w:tab/>
      </w:r>
      <w:r w:rsidRPr="00903EDF" w:rsidR="00A933EC">
        <w:rPr>
          <w:rFonts w:ascii="Century Schoolbook" w:hAnsi="Century Schoolbook"/>
        </w:rPr>
        <w:t>SMILEY</w:t>
      </w:r>
      <w:r w:rsidRPr="00903EDF">
        <w:rPr>
          <w:rFonts w:ascii="Century Schoolbook" w:hAnsi="Century Schoolbook"/>
        </w:rPr>
        <w:t>, J.</w:t>
      </w:r>
      <w:r w:rsidRPr="00903EDF" w:rsidR="009E7000">
        <w:rPr>
          <w:rFonts w:ascii="Century Schoolbook" w:hAnsi="Century Schoolbook"/>
        </w:rPr>
        <w:t xml:space="preserve"> </w:t>
      </w:r>
      <w:r>
        <w:rPr>
          <w:rStyle w:val="FootnoteReference"/>
          <w:rFonts w:ascii="Century Schoolbook" w:hAnsi="Century Schoolbook"/>
        </w:rPr>
        <w:footnoteReference w:customMarkFollows="1" w:id="7"/>
        <w:t xml:space="preserve">*</w:t>
      </w:r>
    </w:p>
    <w:p w:rsidR="003D48FB" w:rsidRPr="00903EDF" w:rsidP="007E5593" w14:paraId="181CC042" w14:textId="77777777">
      <w:pPr>
        <w:spacing w:line="360" w:lineRule="auto"/>
        <w:rPr>
          <w:rFonts w:ascii="Century Schoolbook" w:hAnsi="Century Schoolbook"/>
        </w:rPr>
      </w:pPr>
    </w:p>
    <w:p w:rsidR="003D48FB" w:rsidRPr="00903EDF" w:rsidP="007E5593" w14:paraId="2208682A" w14:textId="77777777">
      <w:pPr>
        <w:spacing w:line="360" w:lineRule="auto"/>
        <w:rPr>
          <w:rFonts w:ascii="Century Schoolbook" w:hAnsi="Century Schoolbook"/>
        </w:rPr>
      </w:pPr>
      <w:r w:rsidRPr="00903EDF">
        <w:rPr>
          <w:rFonts w:ascii="Century Schoolbook" w:hAnsi="Century Schoolbook"/>
        </w:rPr>
        <w:t>We concur:</w:t>
      </w:r>
    </w:p>
    <w:p w:rsidR="003D48FB" w:rsidRPr="00903EDF" w:rsidP="003D48FB" w14:paraId="3790D1F9" w14:textId="77777777">
      <w:pPr>
        <w:spacing w:line="240" w:lineRule="auto"/>
        <w:rPr>
          <w:rFonts w:ascii="Century Schoolbook" w:hAnsi="Century Schoolbook"/>
        </w:rPr>
      </w:pPr>
    </w:p>
    <w:p w:rsidR="003D48FB" w:rsidRPr="00903EDF" w:rsidP="003D48FB" w14:paraId="12EEFBB1" w14:textId="4DE882A2">
      <w:pPr>
        <w:spacing w:line="240" w:lineRule="auto"/>
        <w:rPr>
          <w:rFonts w:ascii="Century Schoolbook" w:hAnsi="Century Schoolbook"/>
        </w:rPr>
      </w:pPr>
      <w:r w:rsidRPr="00903EDF">
        <w:rPr>
          <w:rFonts w:ascii="Century Schoolbook" w:hAnsi="Century Schoolbook"/>
        </w:rPr>
        <w:t>STREETER</w:t>
      </w:r>
      <w:r w:rsidRPr="00903EDF" w:rsidR="00582E81">
        <w:rPr>
          <w:rFonts w:ascii="Century Schoolbook" w:hAnsi="Century Schoolbook"/>
        </w:rPr>
        <w:t xml:space="preserve">, </w:t>
      </w:r>
      <w:r w:rsidRPr="00903EDF">
        <w:rPr>
          <w:rFonts w:ascii="Century Schoolbook" w:hAnsi="Century Schoolbook"/>
        </w:rPr>
        <w:t>Acting P.J.</w:t>
      </w:r>
    </w:p>
    <w:p w:rsidR="00582E81" w:rsidRPr="00903EDF" w:rsidP="00564924" w14:paraId="506B4AAD" w14:textId="249C2296">
      <w:pPr>
        <w:spacing w:line="240" w:lineRule="auto"/>
        <w:rPr>
          <w:rFonts w:ascii="Century Schoolbook" w:hAnsi="Century Schoolbook"/>
        </w:rPr>
      </w:pPr>
      <w:r w:rsidRPr="00903EDF">
        <w:rPr>
          <w:rFonts w:ascii="Century Schoolbook" w:hAnsi="Century Schoolbook"/>
        </w:rPr>
        <w:t>GOLDMAN</w:t>
      </w:r>
      <w:r w:rsidRPr="00903EDF" w:rsidR="003D48FB">
        <w:rPr>
          <w:rFonts w:ascii="Century Schoolbook" w:hAnsi="Century Schoolbook"/>
        </w:rPr>
        <w:t>, J.</w:t>
      </w:r>
    </w:p>
    <w:p w:rsidR="008075D1" w:rsidRPr="00903EDF" w:rsidP="00A74EC0" w14:paraId="428610BE" w14:textId="77777777">
      <w:pPr>
        <w:rPr>
          <w:rFonts w:ascii="Century Schoolbook" w:hAnsi="Century Schoolbook"/>
          <w:sz w:val="20"/>
          <w:szCs w:val="20"/>
        </w:rPr>
        <w:sectPr w:rsidSect="00180A80">
          <w:footerReference w:type="even" r:id="rId5"/>
          <w:footerReference w:type="default" r:id="rId6"/>
          <w:pgSz w:w="12240" w:h="15840"/>
          <w:pgMar w:top="1440" w:right="1440" w:bottom="1440" w:left="1440" w:header="720" w:footer="720" w:gutter="0"/>
          <w:cols w:space="720"/>
          <w:docGrid w:linePitch="360"/>
        </w:sectPr>
      </w:pPr>
      <w:r w:rsidRPr="00903EDF">
        <w:rPr>
          <w:rFonts w:ascii="Century Schoolbook" w:hAnsi="Century Schoolbook"/>
          <w:i/>
          <w:sz w:val="20"/>
          <w:szCs w:val="20"/>
        </w:rPr>
        <w:t xml:space="preserve">People v. </w:t>
      </w:r>
      <w:r w:rsidRPr="00903EDF" w:rsidR="00100813">
        <w:rPr>
          <w:rFonts w:ascii="Century Schoolbook" w:hAnsi="Century Schoolbook"/>
          <w:i/>
          <w:sz w:val="20"/>
          <w:szCs w:val="20"/>
        </w:rPr>
        <w:t>Basica</w:t>
      </w:r>
      <w:r w:rsidRPr="00903EDF" w:rsidR="004F3AB0">
        <w:rPr>
          <w:rFonts w:ascii="Century Schoolbook" w:hAnsi="Century Schoolbook"/>
          <w:i/>
          <w:sz w:val="20"/>
          <w:szCs w:val="20"/>
        </w:rPr>
        <w:t xml:space="preserve"> </w:t>
      </w:r>
      <w:r w:rsidRPr="00903EDF" w:rsidR="004F3AB0">
        <w:rPr>
          <w:rFonts w:ascii="Century Schoolbook" w:hAnsi="Century Schoolbook"/>
          <w:sz w:val="20"/>
          <w:szCs w:val="20"/>
        </w:rPr>
        <w:t>(A1</w:t>
      </w:r>
      <w:r w:rsidRPr="00903EDF" w:rsidR="00100813">
        <w:rPr>
          <w:rFonts w:ascii="Century Schoolbook" w:hAnsi="Century Schoolbook"/>
          <w:sz w:val="20"/>
          <w:szCs w:val="20"/>
        </w:rPr>
        <w:t>66580</w:t>
      </w:r>
      <w:r w:rsidRPr="00903EDF" w:rsidR="004F3AB0">
        <w:rPr>
          <w:rFonts w:ascii="Century Schoolbook" w:hAnsi="Century Schoolbook"/>
          <w:sz w:val="20"/>
          <w:szCs w:val="20"/>
        </w:rPr>
        <w:t>)</w:t>
      </w:r>
    </w:p>
    <w:p w:rsidR="006B4F97" w:rsidRPr="00903EDF" w:rsidP="008075D1" w14:paraId="05B76FD2" w14:textId="30757A16">
      <w:pPr>
        <w:tabs>
          <w:tab w:val="clear" w:pos="720"/>
        </w:tabs>
        <w:spacing w:after="160" w:line="259" w:lineRule="auto"/>
        <w:rPr>
          <w:rFonts w:ascii="Century Schoolbook" w:hAnsi="Century Schoolbook"/>
          <w:sz w:val="20"/>
          <w:szCs w:val="20"/>
        </w:rPr>
      </w:pPr>
      <w:r w:rsidRPr="00903EDF">
        <w:rPr>
          <w:rFonts w:ascii="Century Schoolbook" w:hAnsi="Century Schoolbook"/>
        </w:rPr>
        <w:t>Trial Judge:</w:t>
      </w:r>
      <w:r w:rsidRPr="00903EDF">
        <w:rPr>
          <w:rFonts w:ascii="Century Schoolbook" w:hAnsi="Century Schoolbook"/>
        </w:rPr>
        <w:tab/>
        <w:t>Hon. Thomas Reardon</w:t>
      </w:r>
    </w:p>
    <w:p w:rsidR="006B4F97" w:rsidRPr="00903EDF" w:rsidP="006B4F97" w14:paraId="69496D9B" w14:textId="77777777">
      <w:pPr>
        <w:spacing w:line="360" w:lineRule="auto"/>
        <w:rPr>
          <w:rFonts w:ascii="Century Schoolbook" w:hAnsi="Century Schoolbook"/>
        </w:rPr>
      </w:pPr>
    </w:p>
    <w:p w:rsidR="006B4F97" w:rsidRPr="00903EDF" w:rsidP="006B4F97" w14:paraId="40FEB47E" w14:textId="77777777">
      <w:pPr>
        <w:spacing w:line="360" w:lineRule="auto"/>
        <w:rPr>
          <w:rFonts w:ascii="Century Schoolbook" w:hAnsi="Century Schoolbook"/>
        </w:rPr>
      </w:pPr>
      <w:r w:rsidRPr="00903EDF">
        <w:rPr>
          <w:rFonts w:ascii="Century Schoolbook" w:hAnsi="Century Schoolbook"/>
        </w:rPr>
        <w:t xml:space="preserve">Trial Court: </w:t>
      </w:r>
      <w:r w:rsidRPr="00903EDF">
        <w:rPr>
          <w:rFonts w:ascii="Century Schoolbook" w:hAnsi="Century Schoolbook"/>
        </w:rPr>
        <w:tab/>
        <w:t>Alameda County Superior Court</w:t>
      </w:r>
    </w:p>
    <w:p w:rsidR="006B4F97" w:rsidRPr="00903EDF" w:rsidP="006B4F97" w14:paraId="065F0FCE" w14:textId="77777777">
      <w:pPr>
        <w:tabs>
          <w:tab w:val="left" w:pos="2160"/>
        </w:tabs>
        <w:spacing w:line="360" w:lineRule="auto"/>
        <w:rPr>
          <w:rFonts w:ascii="Century Schoolbook" w:hAnsi="Century Schoolbook"/>
        </w:rPr>
      </w:pPr>
    </w:p>
    <w:p w:rsidR="006B4F97" w:rsidRPr="00903EDF" w:rsidP="002F23A2" w14:paraId="53F50136" w14:textId="4E1E67C7">
      <w:pPr>
        <w:tabs>
          <w:tab w:val="left" w:pos="2160"/>
        </w:tabs>
        <w:spacing w:line="360" w:lineRule="auto"/>
        <w:ind w:left="2160" w:hanging="2160"/>
        <w:rPr>
          <w:rFonts w:ascii="Century Schoolbook" w:hAnsi="Century Schoolbook"/>
        </w:rPr>
      </w:pPr>
      <w:r w:rsidRPr="00903EDF">
        <w:rPr>
          <w:rFonts w:ascii="Century Schoolbook" w:hAnsi="Century Schoolbook"/>
        </w:rPr>
        <w:t xml:space="preserve">Attorneys: </w:t>
      </w:r>
      <w:r w:rsidRPr="00903EDF">
        <w:rPr>
          <w:rFonts w:ascii="Century Schoolbook" w:hAnsi="Century Schoolbook"/>
        </w:rPr>
        <w:tab/>
        <w:t>Jefferson T. Stamp</w:t>
      </w:r>
      <w:r w:rsidRPr="00903EDF" w:rsidR="008075D1">
        <w:rPr>
          <w:rFonts w:ascii="Century Schoolbook" w:hAnsi="Century Schoolbook"/>
        </w:rPr>
        <w:t xml:space="preserve"> </w:t>
      </w:r>
      <w:r w:rsidRPr="00903EDF">
        <w:rPr>
          <w:rFonts w:ascii="Century Schoolbook" w:hAnsi="Century Schoolbook"/>
        </w:rPr>
        <w:t>for Real Parties in Interest and Appellant</w:t>
      </w:r>
      <w:r w:rsidRPr="00903EDF" w:rsidR="00232989">
        <w:rPr>
          <w:rFonts w:ascii="Century Schoolbook" w:hAnsi="Century Schoolbook"/>
        </w:rPr>
        <w:t>s</w:t>
      </w:r>
      <w:r w:rsidRPr="00903EDF">
        <w:rPr>
          <w:rFonts w:ascii="Century Schoolbook" w:hAnsi="Century Schoolbook"/>
        </w:rPr>
        <w:t>.</w:t>
      </w:r>
    </w:p>
    <w:p w:rsidR="006B4F97" w:rsidRPr="00903EDF" w:rsidP="006B4F97" w14:paraId="793C66E1" w14:textId="77777777">
      <w:pPr>
        <w:tabs>
          <w:tab w:val="left" w:pos="2160"/>
        </w:tabs>
        <w:spacing w:line="240" w:lineRule="auto"/>
        <w:ind w:left="2160" w:hanging="2160"/>
        <w:rPr>
          <w:rFonts w:ascii="Century Schoolbook" w:hAnsi="Century Schoolbook"/>
        </w:rPr>
      </w:pPr>
    </w:p>
    <w:p w:rsidR="006B4F97" w:rsidRPr="00903EDF" w:rsidP="00031C4E" w14:paraId="1D43C605" w14:textId="7600D3DA">
      <w:pPr>
        <w:tabs>
          <w:tab w:val="clear" w:pos="720"/>
          <w:tab w:val="left" w:pos="1440"/>
        </w:tabs>
        <w:spacing w:line="240" w:lineRule="auto"/>
        <w:ind w:left="2160" w:hanging="1440"/>
        <w:rPr>
          <w:rFonts w:ascii="Century Schoolbook" w:hAnsi="Century Schoolbook"/>
        </w:rPr>
      </w:pPr>
      <w:r w:rsidRPr="00903EDF">
        <w:rPr>
          <w:rFonts w:ascii="Century Schoolbook" w:hAnsi="Century Schoolbook"/>
        </w:rPr>
        <w:tab/>
      </w:r>
      <w:r w:rsidRPr="00903EDF">
        <w:rPr>
          <w:rFonts w:ascii="Century Schoolbook" w:hAnsi="Century Schoolbook"/>
        </w:rPr>
        <w:tab/>
        <w:t>Donna R. Ziegler, County Counsel, John A. Melis, Deputy County Counsel, for Plaintiff and Respondent.</w:t>
      </w:r>
    </w:p>
    <w:p w:rsidR="006B4F97" w:rsidRPr="00903EDF" w:rsidP="006B4F97" w14:paraId="4C106018" w14:textId="77777777">
      <w:pPr>
        <w:spacing w:line="240" w:lineRule="auto"/>
        <w:rPr>
          <w:rFonts w:ascii="Century Schoolbook" w:hAnsi="Century Schoolbook"/>
        </w:rPr>
      </w:pPr>
    </w:p>
    <w:p w:rsidR="003E36B0" w:rsidRPr="00903EDF" w:rsidP="00A74EC0" w14:paraId="30D73D9E" w14:textId="77777777">
      <w:pPr>
        <w:rPr>
          <w:rFonts w:ascii="Century Schoolbook" w:hAnsi="Century Schoolbook"/>
          <w:sz w:val="20"/>
          <w:szCs w:val="20"/>
        </w:rPr>
      </w:pPr>
    </w:p>
    <w:sectPr w:rsidSect="00180A80">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593" w:rsidP="00894FD6" w14:paraId="49E6C3B0" w14:textId="1BF9985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31FC3">
      <w:rPr>
        <w:rStyle w:val="PageNumber"/>
        <w:noProof/>
      </w:rPr>
      <w:t>1</w:t>
    </w:r>
    <w:r>
      <w:rPr>
        <w:rStyle w:val="PageNumber"/>
      </w:rPr>
      <w:fldChar w:fldCharType="end"/>
    </w:r>
  </w:p>
  <w:p w:rsidR="007E5593" w:rsidP="00894FD6" w14:paraId="34EE0CBB" w14:textId="75C2AC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31FC3">
      <w:rPr>
        <w:rStyle w:val="PageNumber"/>
        <w:noProof/>
      </w:rPr>
      <w:t>1</w:t>
    </w:r>
    <w:r>
      <w:rPr>
        <w:rStyle w:val="PageNumber"/>
      </w:rPr>
      <w:fldChar w:fldCharType="end"/>
    </w:r>
  </w:p>
  <w:p w:rsidR="007E5593" w14:paraId="2B6B3A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593" w:rsidRPr="00903EDF" w:rsidP="005A236B" w14:paraId="51DB1C89" w14:textId="76A351FA">
    <w:pPr>
      <w:pStyle w:val="Footer"/>
      <w:framePr w:wrap="around" w:vAnchor="text" w:hAnchor="margin" w:xAlign="center" w:y="1"/>
      <w:rPr>
        <w:rStyle w:val="PageNumber"/>
        <w:rFonts w:ascii="Century Schoolbook" w:hAnsi="Century Schoolbook"/>
      </w:rPr>
    </w:pPr>
    <w:r w:rsidRPr="00903EDF">
      <w:rPr>
        <w:rStyle w:val="PageNumber"/>
        <w:rFonts w:ascii="Century Schoolbook" w:hAnsi="Century Schoolbook"/>
      </w:rPr>
      <w:fldChar w:fldCharType="begin"/>
    </w:r>
    <w:r w:rsidRPr="00903EDF">
      <w:rPr>
        <w:rStyle w:val="PageNumber"/>
        <w:rFonts w:ascii="Century Schoolbook" w:hAnsi="Century Schoolbook"/>
      </w:rPr>
      <w:instrText xml:space="preserve"> PAGE </w:instrText>
    </w:r>
    <w:r w:rsidRPr="00903EDF">
      <w:rPr>
        <w:rStyle w:val="PageNumber"/>
        <w:rFonts w:ascii="Century Schoolbook" w:hAnsi="Century Schoolbook"/>
      </w:rPr>
      <w:fldChar w:fldCharType="separate"/>
    </w:r>
    <w:r w:rsidRPr="00903EDF">
      <w:rPr>
        <w:rStyle w:val="PageNumber"/>
        <w:rFonts w:ascii="Century Schoolbook" w:hAnsi="Century Schoolbook"/>
        <w:noProof/>
      </w:rPr>
      <w:t>10</w:t>
    </w:r>
    <w:r w:rsidRPr="00903EDF">
      <w:rPr>
        <w:rStyle w:val="PageNumber"/>
        <w:rFonts w:ascii="Century Schoolbook" w:hAnsi="Century Schoolbook"/>
      </w:rPr>
      <w:fldChar w:fldCharType="end"/>
    </w:r>
  </w:p>
  <w:p w:rsidR="007E5593" w:rsidRPr="00903EDF" w14:paraId="5DE2A4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782" w:rsidRPr="00A243CE" w:rsidP="005A236B" w14:paraId="5704EBD4" w14:textId="0BBF2F5A">
    <w:pPr>
      <w:pStyle w:val="Footer"/>
      <w:framePr w:wrap="around" w:vAnchor="text" w:hAnchor="margin" w:xAlign="center" w:y="1"/>
      <w:rPr>
        <w:rStyle w:val="PageNumber"/>
        <w:rFonts w:ascii="Century Schoolbook" w:hAnsi="Century Schoolbook"/>
      </w:rPr>
    </w:pPr>
  </w:p>
  <w:p w:rsidR="00AE1782" w14:paraId="72D7FB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A80" w:rsidP="005A236B" w14:paraId="7677A0E5" w14:textId="77777777">
      <w:pPr>
        <w:spacing w:line="240" w:lineRule="auto"/>
      </w:pPr>
      <w:r>
        <w:separator/>
      </w:r>
    </w:p>
  </w:footnote>
  <w:footnote w:type="continuationSeparator" w:id="1">
    <w:p w:rsidR="00180A80" w:rsidP="005A236B" w14:paraId="32B30BA7" w14:textId="77777777">
      <w:pPr>
        <w:spacing w:line="240" w:lineRule="auto"/>
      </w:pPr>
      <w:r>
        <w:continuationSeparator/>
      </w:r>
    </w:p>
  </w:footnote>
  <w:footnote w:type="continuationNotice" w:id="2">
    <w:p w:rsidR="00180A80" w14:paraId="4A7EE845" w14:textId="77777777">
      <w:pPr>
        <w:spacing w:line="240" w:lineRule="auto"/>
      </w:pPr>
    </w:p>
  </w:footnote>
  <w:footnote w:id="3">
    <w:p w:rsidR="00B6787A" w:rsidRPr="007C4B7A" w:rsidP="00B6787A" w14:paraId="5EBE8F69" w14:textId="77777777">
      <w:pPr>
        <w:pStyle w:val="FootnoteText"/>
        <w:ind w:firstLine="720"/>
        <w:rPr>
          <w:rFonts w:ascii="Century Schoolbook" w:hAnsi="Century Schoolbook"/>
          <w:szCs w:val="26"/>
        </w:rPr>
      </w:pPr>
      <w:r w:rsidRPr="007C4B7A">
        <w:rPr>
          <w:rStyle w:val="FootnoteReference"/>
          <w:rFonts w:ascii="Century Schoolbook" w:hAnsi="Century Schoolbook"/>
          <w:szCs w:val="26"/>
        </w:rPr>
        <w:footnoteRef/>
      </w:r>
      <w:r w:rsidRPr="007C4B7A">
        <w:rPr>
          <w:rFonts w:ascii="Century Schoolbook" w:hAnsi="Century Schoolbook"/>
          <w:szCs w:val="26"/>
        </w:rPr>
        <w:t xml:space="preserve"> All subsequent statutory references are to the Penal Code.</w:t>
      </w:r>
    </w:p>
    <w:p w:rsidR="004914BB" w:rsidRPr="00013A87" w:rsidP="00B6787A" w14:paraId="66843083" w14:textId="77777777">
      <w:pPr>
        <w:pStyle w:val="FootnoteText"/>
        <w:ind w:firstLine="720"/>
        <w:rPr>
          <w:rFonts w:ascii="Century Schoolbook" w:hAnsi="Century Schoolbook"/>
          <w:sz w:val="10"/>
          <w:szCs w:val="10"/>
        </w:rPr>
      </w:pPr>
    </w:p>
  </w:footnote>
  <w:footnote w:id="4">
    <w:p w:rsidR="001F2AD8" w:rsidRPr="007C4B7A" w:rsidP="00013A87" w14:paraId="42D714D6" w14:textId="36401A09">
      <w:pPr>
        <w:pStyle w:val="FootnoteText"/>
        <w:ind w:firstLine="720"/>
        <w:rPr>
          <w:rFonts w:ascii="Century Schoolbook" w:hAnsi="Century Schoolbook"/>
          <w:szCs w:val="26"/>
        </w:rPr>
      </w:pPr>
      <w:r w:rsidRPr="007C4B7A">
        <w:rPr>
          <w:rStyle w:val="FootnoteReference"/>
          <w:rFonts w:ascii="Century Schoolbook" w:hAnsi="Century Schoolbook"/>
          <w:szCs w:val="26"/>
        </w:rPr>
        <w:footnoteRef/>
      </w:r>
      <w:r w:rsidRPr="007C4B7A">
        <w:rPr>
          <w:rFonts w:ascii="Century Schoolbook" w:hAnsi="Century Schoolbook"/>
          <w:szCs w:val="26"/>
        </w:rPr>
        <w:t xml:space="preserve"> </w:t>
      </w:r>
      <w:r w:rsidRPr="007C4B7A" w:rsidR="007108AA">
        <w:rPr>
          <w:rFonts w:ascii="Century Schoolbook" w:hAnsi="Century Schoolbook"/>
          <w:szCs w:val="26"/>
        </w:rPr>
        <w:t xml:space="preserve">See </w:t>
      </w:r>
      <w:r w:rsidRPr="007C4B7A" w:rsidR="007108AA">
        <w:rPr>
          <w:rFonts w:ascii="Century Schoolbook" w:hAnsi="Century Schoolbook"/>
          <w:bCs/>
        </w:rPr>
        <w:t>§ 1305, subd. (b)(1) [“If the notice of forfeiture is required to be mailed pursuant to this section, the 180-day period provided for in this section shall be extended by a period of five days to allow for the mailing”].</w:t>
      </w:r>
    </w:p>
  </w:footnote>
  <w:footnote w:id="5">
    <w:p w:rsidR="00F40E95" w:rsidRPr="00013A87" w:rsidP="00013A87" w14:paraId="037D590F" w14:textId="29734C05">
      <w:pPr>
        <w:pStyle w:val="FootnoteText"/>
        <w:ind w:firstLine="720"/>
        <w:rPr>
          <w:rFonts w:ascii="Century Schoolbook" w:hAnsi="Century Schoolbook"/>
        </w:rPr>
      </w:pPr>
      <w:r w:rsidRPr="00013A87">
        <w:rPr>
          <w:rStyle w:val="FootnoteReference"/>
          <w:rFonts w:ascii="Century Schoolbook" w:hAnsi="Century Schoolbook"/>
        </w:rPr>
        <w:footnoteRef/>
      </w:r>
      <w:r w:rsidRPr="00013A87">
        <w:rPr>
          <w:rFonts w:ascii="Century Schoolbook" w:hAnsi="Century Schoolbook"/>
        </w:rPr>
        <w:t xml:space="preserve"> The 1999 amendments to section 1305 incorporated this </w:t>
      </w:r>
      <w:r w:rsidR="00013A87">
        <w:rPr>
          <w:rFonts w:ascii="Century Schoolbook" w:hAnsi="Century Schoolbook"/>
        </w:rPr>
        <w:t>provision</w:t>
      </w:r>
      <w:r w:rsidRPr="00013A87">
        <w:rPr>
          <w:rFonts w:ascii="Century Schoolbook" w:hAnsi="Century Schoolbook"/>
        </w:rPr>
        <w:t xml:space="preserve"> into newly added subdivision (i).  (§ 1305, subd. (i), as amended by Stats.</w:t>
      </w:r>
      <w:r w:rsidR="0059372C">
        <w:rPr>
          <w:rFonts w:ascii="Century Schoolbook" w:hAnsi="Century Schoolbook"/>
        </w:rPr>
        <w:t> </w:t>
      </w:r>
      <w:r w:rsidRPr="00013A87">
        <w:rPr>
          <w:rFonts w:ascii="Century Schoolbook" w:hAnsi="Century Schoolbook"/>
        </w:rPr>
        <w:t>1999, ch.</w:t>
      </w:r>
      <w:r w:rsidR="0059372C">
        <w:rPr>
          <w:rFonts w:ascii="Century Schoolbook" w:hAnsi="Century Schoolbook"/>
        </w:rPr>
        <w:t> </w:t>
      </w:r>
      <w:r w:rsidRPr="00013A87">
        <w:rPr>
          <w:rFonts w:ascii="Century Schoolbook" w:hAnsi="Century Schoolbook"/>
        </w:rPr>
        <w:t>570, § 2.)</w:t>
      </w:r>
    </w:p>
  </w:footnote>
  <w:footnote w:id="6">
    <w:p w:rsidR="00684B38" w:rsidRPr="007C4B7A" w:rsidP="00684B38" w14:paraId="3547DEF6" w14:textId="699BC5EC">
      <w:pPr>
        <w:pStyle w:val="FootnoteText"/>
        <w:ind w:firstLine="720"/>
        <w:rPr>
          <w:rFonts w:ascii="Century Schoolbook" w:hAnsi="Century Schoolbook"/>
          <w:szCs w:val="26"/>
        </w:rPr>
      </w:pPr>
      <w:r w:rsidRPr="007C4B7A">
        <w:rPr>
          <w:rStyle w:val="FootnoteReference"/>
          <w:rFonts w:ascii="Century Schoolbook" w:hAnsi="Century Schoolbook"/>
          <w:szCs w:val="26"/>
        </w:rPr>
        <w:footnoteRef/>
      </w:r>
      <w:r w:rsidRPr="007C4B7A">
        <w:rPr>
          <w:rFonts w:ascii="Century Schoolbook" w:hAnsi="Century Schoolbook"/>
          <w:szCs w:val="26"/>
        </w:rPr>
        <w:t xml:space="preserve"> </w:t>
      </w:r>
      <w:r w:rsidRPr="007C4B7A" w:rsidR="00DF798F">
        <w:rPr>
          <w:rFonts w:ascii="Century Schoolbook" w:hAnsi="Century Schoolbook"/>
          <w:szCs w:val="26"/>
        </w:rPr>
        <w:t>That the court must enter summary judgment “within 90 days after the date upon which it may first be entered” establishes only</w:t>
      </w:r>
      <w:r w:rsidRPr="007C4B7A">
        <w:rPr>
          <w:rFonts w:ascii="Century Schoolbook" w:hAnsi="Century Schoolbook"/>
          <w:szCs w:val="26"/>
        </w:rPr>
        <w:t xml:space="preserve"> when the trial court’s jurisdiction to enter summary judgment </w:t>
      </w:r>
      <w:r w:rsidRPr="007C4B7A">
        <w:rPr>
          <w:rFonts w:ascii="Century Schoolbook" w:hAnsi="Century Schoolbook"/>
          <w:i/>
          <w:iCs/>
          <w:szCs w:val="26"/>
        </w:rPr>
        <w:t>ends</w:t>
      </w:r>
      <w:r w:rsidRPr="007C4B7A" w:rsidR="00DF798F">
        <w:rPr>
          <w:rFonts w:ascii="Century Schoolbook" w:hAnsi="Century Schoolbook"/>
          <w:szCs w:val="26"/>
        </w:rPr>
        <w:t xml:space="preserve">.  (§ 1306, subd. (c).)  </w:t>
      </w:r>
      <w:r w:rsidRPr="007C4B7A" w:rsidR="006860C7">
        <w:rPr>
          <w:rFonts w:ascii="Century Schoolbook" w:hAnsi="Century Schoolbook"/>
          <w:szCs w:val="26"/>
        </w:rPr>
        <w:t>It says nothing about w</w:t>
      </w:r>
      <w:r w:rsidRPr="007C4B7A" w:rsidR="00DF798F">
        <w:rPr>
          <w:rFonts w:ascii="Century Schoolbook" w:hAnsi="Century Schoolbook"/>
          <w:szCs w:val="26"/>
        </w:rPr>
        <w:t>hen that jurisdiction begins</w:t>
      </w:r>
      <w:r w:rsidRPr="007C4B7A" w:rsidR="009A70D8">
        <w:rPr>
          <w:rFonts w:ascii="Century Schoolbook" w:hAnsi="Century Schoolbook"/>
          <w:szCs w:val="26"/>
        </w:rPr>
        <w:t xml:space="preserve">, which is </w:t>
      </w:r>
      <w:r w:rsidRPr="007C4B7A" w:rsidR="006860C7">
        <w:rPr>
          <w:rFonts w:ascii="Century Schoolbook" w:hAnsi="Century Schoolbook"/>
          <w:szCs w:val="26"/>
        </w:rPr>
        <w:t xml:space="preserve">a </w:t>
      </w:r>
      <w:r w:rsidRPr="007C4B7A" w:rsidR="009A70D8">
        <w:rPr>
          <w:rFonts w:ascii="Century Schoolbook" w:hAnsi="Century Schoolbook"/>
          <w:szCs w:val="26"/>
        </w:rPr>
        <w:t>question</w:t>
      </w:r>
      <w:r w:rsidRPr="007C4B7A" w:rsidR="00DF798F">
        <w:rPr>
          <w:rFonts w:ascii="Century Schoolbook" w:hAnsi="Century Schoolbook"/>
          <w:szCs w:val="26"/>
        </w:rPr>
        <w:t xml:space="preserve"> governed by</w:t>
      </w:r>
      <w:r w:rsidRPr="007C4B7A" w:rsidR="006860C7">
        <w:rPr>
          <w:rFonts w:ascii="Century Schoolbook" w:hAnsi="Century Schoolbook"/>
          <w:szCs w:val="26"/>
        </w:rPr>
        <w:t xml:space="preserve"> </w:t>
      </w:r>
      <w:r w:rsidRPr="007C4B7A" w:rsidR="00DF798F">
        <w:rPr>
          <w:rFonts w:ascii="Century Schoolbook" w:hAnsi="Century Schoolbook"/>
          <w:szCs w:val="26"/>
        </w:rPr>
        <w:t>section 1306, subdivision (a).</w:t>
      </w:r>
    </w:p>
  </w:footnote>
  <w:footnote w:id="7">
    <w:p w:rsidR="009E7000" w:rsidRPr="007C4B7A" w:rsidP="009E7000" w14:paraId="4AD53228" w14:textId="77777777">
      <w:pPr>
        <w:pStyle w:val="FootnoteText"/>
        <w:ind w:firstLine="720"/>
        <w:rPr>
          <w:rFonts w:ascii="Century Schoolbook" w:hAnsi="Century Schoolbook"/>
          <w:szCs w:val="26"/>
        </w:rPr>
      </w:pPr>
      <w:r w:rsidRPr="007C4B7A">
        <w:rPr>
          <w:rStyle w:val="FootnoteReference"/>
          <w:rFonts w:ascii="Century Schoolbook" w:eastAsia="Symbol" w:hAnsi="Century Schoolbook" w:cs="Symbol"/>
          <w:szCs w:val="26"/>
        </w:rPr>
        <w:t>*</w:t>
      </w:r>
      <w:r w:rsidRPr="007C4B7A">
        <w:rPr>
          <w:rStyle w:val="FootnoteReference"/>
          <w:rFonts w:ascii="Century Schoolbook" w:hAnsi="Century Schoolbook"/>
          <w:szCs w:val="26"/>
        </w:rPr>
        <w:t xml:space="preserve"> </w:t>
      </w:r>
      <w:r w:rsidRPr="007C4B7A">
        <w:rPr>
          <w:rFonts w:ascii="Century Schoolbook" w:hAnsi="Century Schoolbook"/>
          <w:szCs w:val="26"/>
        </w:rPr>
        <w:t>Judge of the Superior Court of California, County of Alameda,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EA3116"/>
    <w:multiLevelType w:val="hybridMultilevel"/>
    <w:tmpl w:val="EADEF0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430F36"/>
    <w:multiLevelType w:val="hybridMultilevel"/>
    <w:tmpl w:val="28CCA0A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154AE5"/>
    <w:multiLevelType w:val="hybridMultilevel"/>
    <w:tmpl w:val="C1AA4A8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3E3B0C"/>
    <w:multiLevelType w:val="hybridMultilevel"/>
    <w:tmpl w:val="406007B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74534F"/>
    <w:multiLevelType w:val="hybridMultilevel"/>
    <w:tmpl w:val="B2A6F7B0"/>
    <w:lvl w:ilvl="0">
      <w:start w:val="1"/>
      <w:numFmt w:val="upperRoman"/>
      <w:lvlText w:val="%1."/>
      <w:lvlJc w:val="lef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A24459"/>
    <w:multiLevelType w:val="hybridMultilevel"/>
    <w:tmpl w:val="99DADC4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6">
    <w:nsid w:val="1FF772C7"/>
    <w:multiLevelType w:val="hybridMultilevel"/>
    <w:tmpl w:val="22E8A64C"/>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7">
    <w:nsid w:val="21E034F2"/>
    <w:multiLevelType w:val="hybridMultilevel"/>
    <w:tmpl w:val="C93C87F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D24F70"/>
    <w:multiLevelType w:val="hybridMultilevel"/>
    <w:tmpl w:val="1AD606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F8225D"/>
    <w:multiLevelType w:val="hybridMultilevel"/>
    <w:tmpl w:val="9C12F2D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947142F"/>
    <w:multiLevelType w:val="hybridMultilevel"/>
    <w:tmpl w:val="E7A0A44A"/>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1">
    <w:nsid w:val="44A646B6"/>
    <w:multiLevelType w:val="hybridMultilevel"/>
    <w:tmpl w:val="4A400BD4"/>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38E41DB"/>
    <w:multiLevelType w:val="hybridMultilevel"/>
    <w:tmpl w:val="9DDEB80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4BA3478"/>
    <w:multiLevelType w:val="hybridMultilevel"/>
    <w:tmpl w:val="249A6DA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4">
    <w:nsid w:val="58E75F42"/>
    <w:multiLevelType w:val="hybridMultilevel"/>
    <w:tmpl w:val="3EB62D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7F61CF6"/>
    <w:multiLevelType w:val="hybridMultilevel"/>
    <w:tmpl w:val="7CE2678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6">
    <w:nsid w:val="68C21A97"/>
    <w:multiLevelType w:val="hybridMultilevel"/>
    <w:tmpl w:val="12C2FB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23726C"/>
    <w:multiLevelType w:val="hybridMultilevel"/>
    <w:tmpl w:val="37CE3676"/>
    <w:lvl w:ilvl="0">
      <w:start w:val="1"/>
      <w:numFmt w:val="upperLetter"/>
      <w:lvlText w:val="%1."/>
      <w:lvlJc w:val="left"/>
      <w:pPr>
        <w:ind w:left="720" w:hanging="360"/>
      </w:pPr>
      <w:rPr>
        <w:rFonts w:eastAsiaTheme="minorHAns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80323E"/>
    <w:multiLevelType w:val="hybridMultilevel"/>
    <w:tmpl w:val="E12CE53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
  </w:num>
  <w:num w:numId="3">
    <w:abstractNumId w:val="18"/>
  </w:num>
  <w:num w:numId="4">
    <w:abstractNumId w:val="12"/>
  </w:num>
  <w:num w:numId="5">
    <w:abstractNumId w:val="14"/>
  </w:num>
  <w:num w:numId="6">
    <w:abstractNumId w:val="16"/>
  </w:num>
  <w:num w:numId="7">
    <w:abstractNumId w:val="7"/>
  </w:num>
  <w:num w:numId="8">
    <w:abstractNumId w:val="9"/>
  </w:num>
  <w:num w:numId="9">
    <w:abstractNumId w:val="3"/>
  </w:num>
  <w:num w:numId="10">
    <w:abstractNumId w:val="17"/>
  </w:num>
  <w:num w:numId="11">
    <w:abstractNumId w:val="8"/>
  </w:num>
  <w:num w:numId="12">
    <w:abstractNumId w:val="2"/>
  </w:num>
  <w:num w:numId="13">
    <w:abstractNumId w:val="0"/>
  </w:num>
  <w:num w:numId="14">
    <w:abstractNumId w:val="4"/>
  </w:num>
  <w:num w:numId="15">
    <w:abstractNumId w:val="6"/>
  </w:num>
  <w:num w:numId="16">
    <w:abstractNumId w:val="10"/>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6B"/>
    <w:rsid w:val="00000DF5"/>
    <w:rsid w:val="000012EE"/>
    <w:rsid w:val="00002D96"/>
    <w:rsid w:val="000031D0"/>
    <w:rsid w:val="0000411F"/>
    <w:rsid w:val="00005FC8"/>
    <w:rsid w:val="0001112A"/>
    <w:rsid w:val="00011669"/>
    <w:rsid w:val="00013A87"/>
    <w:rsid w:val="00014242"/>
    <w:rsid w:val="00015257"/>
    <w:rsid w:val="00015759"/>
    <w:rsid w:val="000211B3"/>
    <w:rsid w:val="00021374"/>
    <w:rsid w:val="00021D94"/>
    <w:rsid w:val="000225F1"/>
    <w:rsid w:val="00022FF2"/>
    <w:rsid w:val="0002439C"/>
    <w:rsid w:val="000243F9"/>
    <w:rsid w:val="00024EA9"/>
    <w:rsid w:val="00025330"/>
    <w:rsid w:val="00025415"/>
    <w:rsid w:val="000270FD"/>
    <w:rsid w:val="00031303"/>
    <w:rsid w:val="000313A0"/>
    <w:rsid w:val="00031C4E"/>
    <w:rsid w:val="00033872"/>
    <w:rsid w:val="00034B93"/>
    <w:rsid w:val="0003540D"/>
    <w:rsid w:val="00036911"/>
    <w:rsid w:val="00036B33"/>
    <w:rsid w:val="00036E2B"/>
    <w:rsid w:val="0004028D"/>
    <w:rsid w:val="000417F6"/>
    <w:rsid w:val="00041E40"/>
    <w:rsid w:val="00042A54"/>
    <w:rsid w:val="0004532A"/>
    <w:rsid w:val="00045A43"/>
    <w:rsid w:val="00045AA6"/>
    <w:rsid w:val="00045D68"/>
    <w:rsid w:val="000461BF"/>
    <w:rsid w:val="000465CE"/>
    <w:rsid w:val="00046F94"/>
    <w:rsid w:val="00047E11"/>
    <w:rsid w:val="0005209F"/>
    <w:rsid w:val="00052AAA"/>
    <w:rsid w:val="00054A16"/>
    <w:rsid w:val="00056107"/>
    <w:rsid w:val="0005631B"/>
    <w:rsid w:val="0006141A"/>
    <w:rsid w:val="00061B84"/>
    <w:rsid w:val="00062188"/>
    <w:rsid w:val="0006327C"/>
    <w:rsid w:val="00063699"/>
    <w:rsid w:val="00063E57"/>
    <w:rsid w:val="00065F3C"/>
    <w:rsid w:val="00067275"/>
    <w:rsid w:val="000674AC"/>
    <w:rsid w:val="00067B14"/>
    <w:rsid w:val="00071C32"/>
    <w:rsid w:val="00071D5C"/>
    <w:rsid w:val="00072070"/>
    <w:rsid w:val="00072237"/>
    <w:rsid w:val="0007248D"/>
    <w:rsid w:val="000732EC"/>
    <w:rsid w:val="00073494"/>
    <w:rsid w:val="00076D66"/>
    <w:rsid w:val="00077212"/>
    <w:rsid w:val="00077876"/>
    <w:rsid w:val="00077B49"/>
    <w:rsid w:val="00077CE4"/>
    <w:rsid w:val="00081989"/>
    <w:rsid w:val="000819B7"/>
    <w:rsid w:val="00081A24"/>
    <w:rsid w:val="0008388B"/>
    <w:rsid w:val="00083D30"/>
    <w:rsid w:val="00084208"/>
    <w:rsid w:val="000843B5"/>
    <w:rsid w:val="00085D21"/>
    <w:rsid w:val="0009131C"/>
    <w:rsid w:val="00091FD4"/>
    <w:rsid w:val="00093ACE"/>
    <w:rsid w:val="00093B08"/>
    <w:rsid w:val="00094361"/>
    <w:rsid w:val="00094B80"/>
    <w:rsid w:val="00096B73"/>
    <w:rsid w:val="00096E0D"/>
    <w:rsid w:val="000977CA"/>
    <w:rsid w:val="000A0665"/>
    <w:rsid w:val="000A29D9"/>
    <w:rsid w:val="000A5285"/>
    <w:rsid w:val="000A5A5D"/>
    <w:rsid w:val="000B006A"/>
    <w:rsid w:val="000B06C7"/>
    <w:rsid w:val="000B1558"/>
    <w:rsid w:val="000B29BB"/>
    <w:rsid w:val="000B2A97"/>
    <w:rsid w:val="000B4FBE"/>
    <w:rsid w:val="000B799C"/>
    <w:rsid w:val="000C09EC"/>
    <w:rsid w:val="000C1484"/>
    <w:rsid w:val="000C1B8A"/>
    <w:rsid w:val="000C1C58"/>
    <w:rsid w:val="000C22FD"/>
    <w:rsid w:val="000C3B90"/>
    <w:rsid w:val="000C4235"/>
    <w:rsid w:val="000C4E3B"/>
    <w:rsid w:val="000C564F"/>
    <w:rsid w:val="000D0029"/>
    <w:rsid w:val="000D049B"/>
    <w:rsid w:val="000D05BE"/>
    <w:rsid w:val="000D0A1E"/>
    <w:rsid w:val="000D1B42"/>
    <w:rsid w:val="000D3E27"/>
    <w:rsid w:val="000D4286"/>
    <w:rsid w:val="000D470E"/>
    <w:rsid w:val="000D5032"/>
    <w:rsid w:val="000D63A1"/>
    <w:rsid w:val="000D732A"/>
    <w:rsid w:val="000D7B51"/>
    <w:rsid w:val="000E1378"/>
    <w:rsid w:val="000E2343"/>
    <w:rsid w:val="000E2F5B"/>
    <w:rsid w:val="000E3B05"/>
    <w:rsid w:val="000E3CB1"/>
    <w:rsid w:val="000E4FAB"/>
    <w:rsid w:val="000F0176"/>
    <w:rsid w:val="000F109C"/>
    <w:rsid w:val="000F25C4"/>
    <w:rsid w:val="000F3341"/>
    <w:rsid w:val="000F3F2E"/>
    <w:rsid w:val="000F4F5C"/>
    <w:rsid w:val="000F5B78"/>
    <w:rsid w:val="000F6405"/>
    <w:rsid w:val="00100813"/>
    <w:rsid w:val="001013C6"/>
    <w:rsid w:val="001018F8"/>
    <w:rsid w:val="00102E8D"/>
    <w:rsid w:val="0010320E"/>
    <w:rsid w:val="001044B6"/>
    <w:rsid w:val="001052EA"/>
    <w:rsid w:val="00105DEF"/>
    <w:rsid w:val="00106638"/>
    <w:rsid w:val="00111243"/>
    <w:rsid w:val="00112340"/>
    <w:rsid w:val="00116612"/>
    <w:rsid w:val="00117795"/>
    <w:rsid w:val="001178FE"/>
    <w:rsid w:val="00120574"/>
    <w:rsid w:val="00120774"/>
    <w:rsid w:val="00121956"/>
    <w:rsid w:val="00122882"/>
    <w:rsid w:val="00126608"/>
    <w:rsid w:val="00126F8C"/>
    <w:rsid w:val="00127E0D"/>
    <w:rsid w:val="00131565"/>
    <w:rsid w:val="00131BD3"/>
    <w:rsid w:val="00132FF6"/>
    <w:rsid w:val="0013417F"/>
    <w:rsid w:val="00134973"/>
    <w:rsid w:val="0013584B"/>
    <w:rsid w:val="00135B36"/>
    <w:rsid w:val="0013619D"/>
    <w:rsid w:val="00136999"/>
    <w:rsid w:val="00136BDE"/>
    <w:rsid w:val="00141358"/>
    <w:rsid w:val="00141CDE"/>
    <w:rsid w:val="00145D9B"/>
    <w:rsid w:val="00145DBC"/>
    <w:rsid w:val="0015169E"/>
    <w:rsid w:val="001516E5"/>
    <w:rsid w:val="00151D3A"/>
    <w:rsid w:val="00153FC1"/>
    <w:rsid w:val="0015428A"/>
    <w:rsid w:val="00154B89"/>
    <w:rsid w:val="00156DC6"/>
    <w:rsid w:val="001579EA"/>
    <w:rsid w:val="001610FF"/>
    <w:rsid w:val="001612DD"/>
    <w:rsid w:val="00163531"/>
    <w:rsid w:val="00163DA8"/>
    <w:rsid w:val="0016472C"/>
    <w:rsid w:val="00164941"/>
    <w:rsid w:val="0017082A"/>
    <w:rsid w:val="00170DEE"/>
    <w:rsid w:val="001717FC"/>
    <w:rsid w:val="00171B8F"/>
    <w:rsid w:val="001729FB"/>
    <w:rsid w:val="00172C78"/>
    <w:rsid w:val="00173368"/>
    <w:rsid w:val="00173D11"/>
    <w:rsid w:val="001751AF"/>
    <w:rsid w:val="00177696"/>
    <w:rsid w:val="00177B81"/>
    <w:rsid w:val="001806D4"/>
    <w:rsid w:val="00180A80"/>
    <w:rsid w:val="00180B74"/>
    <w:rsid w:val="00180D95"/>
    <w:rsid w:val="00181223"/>
    <w:rsid w:val="001816CE"/>
    <w:rsid w:val="00181FCF"/>
    <w:rsid w:val="00182A56"/>
    <w:rsid w:val="0018362D"/>
    <w:rsid w:val="00184EC1"/>
    <w:rsid w:val="00185587"/>
    <w:rsid w:val="001861A4"/>
    <w:rsid w:val="00186582"/>
    <w:rsid w:val="00187AE2"/>
    <w:rsid w:val="00190CAE"/>
    <w:rsid w:val="00191C30"/>
    <w:rsid w:val="00192273"/>
    <w:rsid w:val="00192418"/>
    <w:rsid w:val="0019275A"/>
    <w:rsid w:val="00192B53"/>
    <w:rsid w:val="0019464A"/>
    <w:rsid w:val="00194E89"/>
    <w:rsid w:val="00195D82"/>
    <w:rsid w:val="00196F37"/>
    <w:rsid w:val="00197B90"/>
    <w:rsid w:val="00197E49"/>
    <w:rsid w:val="00197FD8"/>
    <w:rsid w:val="001A1FEF"/>
    <w:rsid w:val="001A2BF9"/>
    <w:rsid w:val="001A3F41"/>
    <w:rsid w:val="001A72F4"/>
    <w:rsid w:val="001A7324"/>
    <w:rsid w:val="001B01DA"/>
    <w:rsid w:val="001B0D21"/>
    <w:rsid w:val="001B109E"/>
    <w:rsid w:val="001B2F89"/>
    <w:rsid w:val="001B49E2"/>
    <w:rsid w:val="001B571C"/>
    <w:rsid w:val="001B6C0A"/>
    <w:rsid w:val="001C110E"/>
    <w:rsid w:val="001C1242"/>
    <w:rsid w:val="001C1252"/>
    <w:rsid w:val="001C1640"/>
    <w:rsid w:val="001C19D3"/>
    <w:rsid w:val="001C1A66"/>
    <w:rsid w:val="001C2ABA"/>
    <w:rsid w:val="001C3EDE"/>
    <w:rsid w:val="001C4118"/>
    <w:rsid w:val="001C5F32"/>
    <w:rsid w:val="001C6CBA"/>
    <w:rsid w:val="001C6D27"/>
    <w:rsid w:val="001C742F"/>
    <w:rsid w:val="001C7792"/>
    <w:rsid w:val="001D00BB"/>
    <w:rsid w:val="001D04F5"/>
    <w:rsid w:val="001D1322"/>
    <w:rsid w:val="001D135C"/>
    <w:rsid w:val="001D15FC"/>
    <w:rsid w:val="001D2726"/>
    <w:rsid w:val="001D35A1"/>
    <w:rsid w:val="001D3873"/>
    <w:rsid w:val="001D69D6"/>
    <w:rsid w:val="001D7C13"/>
    <w:rsid w:val="001E0C4D"/>
    <w:rsid w:val="001E1443"/>
    <w:rsid w:val="001E16AE"/>
    <w:rsid w:val="001E18E6"/>
    <w:rsid w:val="001E2E35"/>
    <w:rsid w:val="001E31D2"/>
    <w:rsid w:val="001E7892"/>
    <w:rsid w:val="001F0618"/>
    <w:rsid w:val="001F07CE"/>
    <w:rsid w:val="001F135E"/>
    <w:rsid w:val="001F1DBE"/>
    <w:rsid w:val="001F2AD8"/>
    <w:rsid w:val="001F4645"/>
    <w:rsid w:val="001F4B71"/>
    <w:rsid w:val="001F5083"/>
    <w:rsid w:val="001F6086"/>
    <w:rsid w:val="001F6893"/>
    <w:rsid w:val="002003C7"/>
    <w:rsid w:val="00201ECC"/>
    <w:rsid w:val="00203574"/>
    <w:rsid w:val="0020384A"/>
    <w:rsid w:val="00205DEF"/>
    <w:rsid w:val="00207DB7"/>
    <w:rsid w:val="0021058E"/>
    <w:rsid w:val="0021309E"/>
    <w:rsid w:val="00213531"/>
    <w:rsid w:val="00213AB9"/>
    <w:rsid w:val="002159C3"/>
    <w:rsid w:val="00220F51"/>
    <w:rsid w:val="00220F9F"/>
    <w:rsid w:val="00221D0B"/>
    <w:rsid w:val="00223320"/>
    <w:rsid w:val="00223D0B"/>
    <w:rsid w:val="002248A2"/>
    <w:rsid w:val="00224C23"/>
    <w:rsid w:val="0022611C"/>
    <w:rsid w:val="00227079"/>
    <w:rsid w:val="002275C3"/>
    <w:rsid w:val="00227682"/>
    <w:rsid w:val="002276B5"/>
    <w:rsid w:val="002277C5"/>
    <w:rsid w:val="00230202"/>
    <w:rsid w:val="00230315"/>
    <w:rsid w:val="0023089C"/>
    <w:rsid w:val="00231386"/>
    <w:rsid w:val="0023239B"/>
    <w:rsid w:val="00232989"/>
    <w:rsid w:val="0023299F"/>
    <w:rsid w:val="00233D9E"/>
    <w:rsid w:val="00234E6B"/>
    <w:rsid w:val="002354AB"/>
    <w:rsid w:val="00235B5D"/>
    <w:rsid w:val="00236019"/>
    <w:rsid w:val="00236E3A"/>
    <w:rsid w:val="002374B0"/>
    <w:rsid w:val="002409F2"/>
    <w:rsid w:val="00241D62"/>
    <w:rsid w:val="00242493"/>
    <w:rsid w:val="00243474"/>
    <w:rsid w:val="002448D4"/>
    <w:rsid w:val="00245E00"/>
    <w:rsid w:val="00245F22"/>
    <w:rsid w:val="00245FE1"/>
    <w:rsid w:val="0024718B"/>
    <w:rsid w:val="00250CBA"/>
    <w:rsid w:val="00252011"/>
    <w:rsid w:val="002528F8"/>
    <w:rsid w:val="00252C3C"/>
    <w:rsid w:val="00252D92"/>
    <w:rsid w:val="002536E1"/>
    <w:rsid w:val="00253C3E"/>
    <w:rsid w:val="00254D14"/>
    <w:rsid w:val="00256949"/>
    <w:rsid w:val="00261F84"/>
    <w:rsid w:val="00265319"/>
    <w:rsid w:val="002656CC"/>
    <w:rsid w:val="002670B0"/>
    <w:rsid w:val="0027002F"/>
    <w:rsid w:val="0027039D"/>
    <w:rsid w:val="00270CC7"/>
    <w:rsid w:val="002715F9"/>
    <w:rsid w:val="0027309C"/>
    <w:rsid w:val="00273542"/>
    <w:rsid w:val="00273BE5"/>
    <w:rsid w:val="002749C3"/>
    <w:rsid w:val="002750C8"/>
    <w:rsid w:val="00276C87"/>
    <w:rsid w:val="00281F1E"/>
    <w:rsid w:val="00282BEF"/>
    <w:rsid w:val="00282F21"/>
    <w:rsid w:val="002848DA"/>
    <w:rsid w:val="00286076"/>
    <w:rsid w:val="002871FA"/>
    <w:rsid w:val="00287F08"/>
    <w:rsid w:val="00290FB3"/>
    <w:rsid w:val="002914BE"/>
    <w:rsid w:val="002940C0"/>
    <w:rsid w:val="0029417E"/>
    <w:rsid w:val="002949F2"/>
    <w:rsid w:val="00295655"/>
    <w:rsid w:val="00295FE7"/>
    <w:rsid w:val="0029611E"/>
    <w:rsid w:val="0029662E"/>
    <w:rsid w:val="002A05E6"/>
    <w:rsid w:val="002A3A6A"/>
    <w:rsid w:val="002A5C66"/>
    <w:rsid w:val="002A6680"/>
    <w:rsid w:val="002A6939"/>
    <w:rsid w:val="002A6CA0"/>
    <w:rsid w:val="002A7504"/>
    <w:rsid w:val="002B059D"/>
    <w:rsid w:val="002B1AD1"/>
    <w:rsid w:val="002B1CE4"/>
    <w:rsid w:val="002B2D6E"/>
    <w:rsid w:val="002B494A"/>
    <w:rsid w:val="002B7A96"/>
    <w:rsid w:val="002C0109"/>
    <w:rsid w:val="002C01ED"/>
    <w:rsid w:val="002C0F44"/>
    <w:rsid w:val="002C15C1"/>
    <w:rsid w:val="002C1E96"/>
    <w:rsid w:val="002C305B"/>
    <w:rsid w:val="002C3373"/>
    <w:rsid w:val="002C42F2"/>
    <w:rsid w:val="002C6BAE"/>
    <w:rsid w:val="002C7B7B"/>
    <w:rsid w:val="002D00CB"/>
    <w:rsid w:val="002D2CC6"/>
    <w:rsid w:val="002D34DE"/>
    <w:rsid w:val="002D454C"/>
    <w:rsid w:val="002D50F0"/>
    <w:rsid w:val="002D5693"/>
    <w:rsid w:val="002D6B7E"/>
    <w:rsid w:val="002E19FC"/>
    <w:rsid w:val="002E263C"/>
    <w:rsid w:val="002E4120"/>
    <w:rsid w:val="002E5027"/>
    <w:rsid w:val="002E576B"/>
    <w:rsid w:val="002E76E8"/>
    <w:rsid w:val="002F129B"/>
    <w:rsid w:val="002F2307"/>
    <w:rsid w:val="002F23A2"/>
    <w:rsid w:val="002F4251"/>
    <w:rsid w:val="002F498A"/>
    <w:rsid w:val="002F5025"/>
    <w:rsid w:val="002F530E"/>
    <w:rsid w:val="002F6261"/>
    <w:rsid w:val="002F7BA6"/>
    <w:rsid w:val="00301777"/>
    <w:rsid w:val="00301E98"/>
    <w:rsid w:val="00303190"/>
    <w:rsid w:val="003039E1"/>
    <w:rsid w:val="00303CD7"/>
    <w:rsid w:val="00305956"/>
    <w:rsid w:val="00305A50"/>
    <w:rsid w:val="0030611A"/>
    <w:rsid w:val="00310082"/>
    <w:rsid w:val="00310281"/>
    <w:rsid w:val="0031064C"/>
    <w:rsid w:val="0031085B"/>
    <w:rsid w:val="00311963"/>
    <w:rsid w:val="00315133"/>
    <w:rsid w:val="0031543D"/>
    <w:rsid w:val="00315E80"/>
    <w:rsid w:val="00316F4D"/>
    <w:rsid w:val="0031719B"/>
    <w:rsid w:val="00320129"/>
    <w:rsid w:val="003207A5"/>
    <w:rsid w:val="00322463"/>
    <w:rsid w:val="00322B31"/>
    <w:rsid w:val="00322E3E"/>
    <w:rsid w:val="003230AD"/>
    <w:rsid w:val="00323121"/>
    <w:rsid w:val="00325648"/>
    <w:rsid w:val="00325B73"/>
    <w:rsid w:val="00327963"/>
    <w:rsid w:val="003316EA"/>
    <w:rsid w:val="00332E0E"/>
    <w:rsid w:val="003338E0"/>
    <w:rsid w:val="00335279"/>
    <w:rsid w:val="00336CFB"/>
    <w:rsid w:val="00340900"/>
    <w:rsid w:val="00341FA5"/>
    <w:rsid w:val="00342805"/>
    <w:rsid w:val="00343465"/>
    <w:rsid w:val="0034469C"/>
    <w:rsid w:val="003462B7"/>
    <w:rsid w:val="0034687E"/>
    <w:rsid w:val="00350CC5"/>
    <w:rsid w:val="00350CD8"/>
    <w:rsid w:val="00351AD9"/>
    <w:rsid w:val="003538F0"/>
    <w:rsid w:val="003550A4"/>
    <w:rsid w:val="003557FC"/>
    <w:rsid w:val="00355968"/>
    <w:rsid w:val="00357645"/>
    <w:rsid w:val="00360E85"/>
    <w:rsid w:val="00361240"/>
    <w:rsid w:val="003621F7"/>
    <w:rsid w:val="00364170"/>
    <w:rsid w:val="003654A7"/>
    <w:rsid w:val="003668BE"/>
    <w:rsid w:val="003669C3"/>
    <w:rsid w:val="00366AB4"/>
    <w:rsid w:val="0036729D"/>
    <w:rsid w:val="00370872"/>
    <w:rsid w:val="00372233"/>
    <w:rsid w:val="0037475B"/>
    <w:rsid w:val="00375FFF"/>
    <w:rsid w:val="00376CDF"/>
    <w:rsid w:val="003779FA"/>
    <w:rsid w:val="003807AE"/>
    <w:rsid w:val="00380F56"/>
    <w:rsid w:val="00381BAE"/>
    <w:rsid w:val="00381E6B"/>
    <w:rsid w:val="003833CA"/>
    <w:rsid w:val="00383E49"/>
    <w:rsid w:val="00384774"/>
    <w:rsid w:val="00386378"/>
    <w:rsid w:val="00387519"/>
    <w:rsid w:val="0038763B"/>
    <w:rsid w:val="00390838"/>
    <w:rsid w:val="00391F0F"/>
    <w:rsid w:val="00391F89"/>
    <w:rsid w:val="00392AD4"/>
    <w:rsid w:val="00392C29"/>
    <w:rsid w:val="00393549"/>
    <w:rsid w:val="0039518E"/>
    <w:rsid w:val="0039621B"/>
    <w:rsid w:val="00397E01"/>
    <w:rsid w:val="003A0D52"/>
    <w:rsid w:val="003A0E63"/>
    <w:rsid w:val="003A13CC"/>
    <w:rsid w:val="003A171A"/>
    <w:rsid w:val="003A2238"/>
    <w:rsid w:val="003A58FD"/>
    <w:rsid w:val="003A624B"/>
    <w:rsid w:val="003A7DA9"/>
    <w:rsid w:val="003B0E06"/>
    <w:rsid w:val="003B0E97"/>
    <w:rsid w:val="003B11CD"/>
    <w:rsid w:val="003B39FE"/>
    <w:rsid w:val="003B42FC"/>
    <w:rsid w:val="003B4B98"/>
    <w:rsid w:val="003B4BB4"/>
    <w:rsid w:val="003B4FAA"/>
    <w:rsid w:val="003B5875"/>
    <w:rsid w:val="003B602D"/>
    <w:rsid w:val="003B7C0F"/>
    <w:rsid w:val="003C12EF"/>
    <w:rsid w:val="003C29BA"/>
    <w:rsid w:val="003C4915"/>
    <w:rsid w:val="003C5258"/>
    <w:rsid w:val="003C77B7"/>
    <w:rsid w:val="003D1AFA"/>
    <w:rsid w:val="003D3394"/>
    <w:rsid w:val="003D3CA8"/>
    <w:rsid w:val="003D48FB"/>
    <w:rsid w:val="003D63E5"/>
    <w:rsid w:val="003D657E"/>
    <w:rsid w:val="003D6981"/>
    <w:rsid w:val="003D6991"/>
    <w:rsid w:val="003D720E"/>
    <w:rsid w:val="003D7415"/>
    <w:rsid w:val="003D7F34"/>
    <w:rsid w:val="003E14EF"/>
    <w:rsid w:val="003E1826"/>
    <w:rsid w:val="003E23C1"/>
    <w:rsid w:val="003E36B0"/>
    <w:rsid w:val="003E3E7F"/>
    <w:rsid w:val="003E6491"/>
    <w:rsid w:val="003E7804"/>
    <w:rsid w:val="003E7C87"/>
    <w:rsid w:val="003F3485"/>
    <w:rsid w:val="003F4AF9"/>
    <w:rsid w:val="003F5B3D"/>
    <w:rsid w:val="003F70D7"/>
    <w:rsid w:val="003F74E4"/>
    <w:rsid w:val="004011E8"/>
    <w:rsid w:val="00402688"/>
    <w:rsid w:val="0040330F"/>
    <w:rsid w:val="00403F43"/>
    <w:rsid w:val="00404011"/>
    <w:rsid w:val="00404808"/>
    <w:rsid w:val="00406BC7"/>
    <w:rsid w:val="00406CE2"/>
    <w:rsid w:val="00410FF7"/>
    <w:rsid w:val="00411BEE"/>
    <w:rsid w:val="00412E2F"/>
    <w:rsid w:val="00413AA1"/>
    <w:rsid w:val="0041433D"/>
    <w:rsid w:val="004147B0"/>
    <w:rsid w:val="00415586"/>
    <w:rsid w:val="00415C6F"/>
    <w:rsid w:val="00417A5F"/>
    <w:rsid w:val="004201D9"/>
    <w:rsid w:val="00421655"/>
    <w:rsid w:val="00422F27"/>
    <w:rsid w:val="0042368C"/>
    <w:rsid w:val="00423A04"/>
    <w:rsid w:val="00424345"/>
    <w:rsid w:val="00424908"/>
    <w:rsid w:val="00424E7F"/>
    <w:rsid w:val="00425849"/>
    <w:rsid w:val="00426F9F"/>
    <w:rsid w:val="00427F80"/>
    <w:rsid w:val="00430083"/>
    <w:rsid w:val="0043180A"/>
    <w:rsid w:val="00431982"/>
    <w:rsid w:val="00431E91"/>
    <w:rsid w:val="004329EB"/>
    <w:rsid w:val="004341D1"/>
    <w:rsid w:val="00434F76"/>
    <w:rsid w:val="00436EB1"/>
    <w:rsid w:val="00437090"/>
    <w:rsid w:val="00437CA2"/>
    <w:rsid w:val="00440422"/>
    <w:rsid w:val="004405A0"/>
    <w:rsid w:val="00441583"/>
    <w:rsid w:val="004419AF"/>
    <w:rsid w:val="004421BE"/>
    <w:rsid w:val="00443EB4"/>
    <w:rsid w:val="0044404C"/>
    <w:rsid w:val="0044501C"/>
    <w:rsid w:val="004454B0"/>
    <w:rsid w:val="004465D3"/>
    <w:rsid w:val="004471BD"/>
    <w:rsid w:val="00447B86"/>
    <w:rsid w:val="0045068E"/>
    <w:rsid w:val="00451374"/>
    <w:rsid w:val="00451475"/>
    <w:rsid w:val="0045445A"/>
    <w:rsid w:val="0045531B"/>
    <w:rsid w:val="00455AC3"/>
    <w:rsid w:val="004563DA"/>
    <w:rsid w:val="00456A68"/>
    <w:rsid w:val="00460034"/>
    <w:rsid w:val="00461BEB"/>
    <w:rsid w:val="004624F9"/>
    <w:rsid w:val="004634A0"/>
    <w:rsid w:val="004635DA"/>
    <w:rsid w:val="00463C4E"/>
    <w:rsid w:val="00464364"/>
    <w:rsid w:val="00464A36"/>
    <w:rsid w:val="00464DDB"/>
    <w:rsid w:val="00466D78"/>
    <w:rsid w:val="00467839"/>
    <w:rsid w:val="00467CFD"/>
    <w:rsid w:val="00470112"/>
    <w:rsid w:val="004725E6"/>
    <w:rsid w:val="00473A06"/>
    <w:rsid w:val="004741E7"/>
    <w:rsid w:val="004754B5"/>
    <w:rsid w:val="00475DAA"/>
    <w:rsid w:val="004762E7"/>
    <w:rsid w:val="004769B6"/>
    <w:rsid w:val="00480B91"/>
    <w:rsid w:val="00480EFB"/>
    <w:rsid w:val="00481DAC"/>
    <w:rsid w:val="00482F32"/>
    <w:rsid w:val="004848DB"/>
    <w:rsid w:val="0048658C"/>
    <w:rsid w:val="00486AC8"/>
    <w:rsid w:val="00490F09"/>
    <w:rsid w:val="004914BB"/>
    <w:rsid w:val="004915E8"/>
    <w:rsid w:val="00491A79"/>
    <w:rsid w:val="00492176"/>
    <w:rsid w:val="004922B5"/>
    <w:rsid w:val="00493B47"/>
    <w:rsid w:val="00493BE1"/>
    <w:rsid w:val="00493E6C"/>
    <w:rsid w:val="00494EF0"/>
    <w:rsid w:val="004950BE"/>
    <w:rsid w:val="004A0530"/>
    <w:rsid w:val="004A07C1"/>
    <w:rsid w:val="004A0CC8"/>
    <w:rsid w:val="004A1853"/>
    <w:rsid w:val="004A2804"/>
    <w:rsid w:val="004A335F"/>
    <w:rsid w:val="004A4EEB"/>
    <w:rsid w:val="004A5BAE"/>
    <w:rsid w:val="004A64A9"/>
    <w:rsid w:val="004A7310"/>
    <w:rsid w:val="004B1A44"/>
    <w:rsid w:val="004B21B2"/>
    <w:rsid w:val="004B26B0"/>
    <w:rsid w:val="004B3157"/>
    <w:rsid w:val="004B66DE"/>
    <w:rsid w:val="004C0274"/>
    <w:rsid w:val="004C05C1"/>
    <w:rsid w:val="004C0995"/>
    <w:rsid w:val="004C2112"/>
    <w:rsid w:val="004C2EF7"/>
    <w:rsid w:val="004C3547"/>
    <w:rsid w:val="004C4ED1"/>
    <w:rsid w:val="004C79D6"/>
    <w:rsid w:val="004D19FD"/>
    <w:rsid w:val="004D1C77"/>
    <w:rsid w:val="004D48D4"/>
    <w:rsid w:val="004D4B4D"/>
    <w:rsid w:val="004D5AA3"/>
    <w:rsid w:val="004D67EB"/>
    <w:rsid w:val="004D7058"/>
    <w:rsid w:val="004E0A78"/>
    <w:rsid w:val="004E4635"/>
    <w:rsid w:val="004E5E2F"/>
    <w:rsid w:val="004E6A24"/>
    <w:rsid w:val="004E6C2D"/>
    <w:rsid w:val="004E7207"/>
    <w:rsid w:val="004F03FC"/>
    <w:rsid w:val="004F0B2A"/>
    <w:rsid w:val="004F2B42"/>
    <w:rsid w:val="004F3677"/>
    <w:rsid w:val="004F3AB0"/>
    <w:rsid w:val="004F3F7C"/>
    <w:rsid w:val="004F4B7B"/>
    <w:rsid w:val="004F525F"/>
    <w:rsid w:val="004F5750"/>
    <w:rsid w:val="004F5F97"/>
    <w:rsid w:val="004F6281"/>
    <w:rsid w:val="004F7F25"/>
    <w:rsid w:val="005021FE"/>
    <w:rsid w:val="0050467D"/>
    <w:rsid w:val="00504B25"/>
    <w:rsid w:val="00505C51"/>
    <w:rsid w:val="00505E2F"/>
    <w:rsid w:val="00511A60"/>
    <w:rsid w:val="00513953"/>
    <w:rsid w:val="0051473C"/>
    <w:rsid w:val="00515807"/>
    <w:rsid w:val="005162B0"/>
    <w:rsid w:val="005177D8"/>
    <w:rsid w:val="005179CE"/>
    <w:rsid w:val="005203DD"/>
    <w:rsid w:val="00522169"/>
    <w:rsid w:val="00522193"/>
    <w:rsid w:val="00523C49"/>
    <w:rsid w:val="00524B82"/>
    <w:rsid w:val="00524F19"/>
    <w:rsid w:val="00525B34"/>
    <w:rsid w:val="00526451"/>
    <w:rsid w:val="005278EF"/>
    <w:rsid w:val="00527C9A"/>
    <w:rsid w:val="00527CA4"/>
    <w:rsid w:val="005300DE"/>
    <w:rsid w:val="00530BC9"/>
    <w:rsid w:val="00531311"/>
    <w:rsid w:val="00533B77"/>
    <w:rsid w:val="00533FA5"/>
    <w:rsid w:val="00535408"/>
    <w:rsid w:val="00537575"/>
    <w:rsid w:val="005400A4"/>
    <w:rsid w:val="00540103"/>
    <w:rsid w:val="0054264B"/>
    <w:rsid w:val="005431EF"/>
    <w:rsid w:val="0054359C"/>
    <w:rsid w:val="005461C9"/>
    <w:rsid w:val="00546A3C"/>
    <w:rsid w:val="0054767E"/>
    <w:rsid w:val="005478E3"/>
    <w:rsid w:val="0055019F"/>
    <w:rsid w:val="00551475"/>
    <w:rsid w:val="005520A8"/>
    <w:rsid w:val="00552140"/>
    <w:rsid w:val="0055312D"/>
    <w:rsid w:val="0055427B"/>
    <w:rsid w:val="00555644"/>
    <w:rsid w:val="00555F16"/>
    <w:rsid w:val="00556295"/>
    <w:rsid w:val="00557BE5"/>
    <w:rsid w:val="00561936"/>
    <w:rsid w:val="00561E24"/>
    <w:rsid w:val="00562F8C"/>
    <w:rsid w:val="00564284"/>
    <w:rsid w:val="005644F1"/>
    <w:rsid w:val="00564924"/>
    <w:rsid w:val="00564AE7"/>
    <w:rsid w:val="00566563"/>
    <w:rsid w:val="0056700E"/>
    <w:rsid w:val="00567F61"/>
    <w:rsid w:val="0057043D"/>
    <w:rsid w:val="005716E9"/>
    <w:rsid w:val="00571B58"/>
    <w:rsid w:val="0057218C"/>
    <w:rsid w:val="005725C3"/>
    <w:rsid w:val="00572F71"/>
    <w:rsid w:val="005737D6"/>
    <w:rsid w:val="005744E7"/>
    <w:rsid w:val="00574CE3"/>
    <w:rsid w:val="00575EC4"/>
    <w:rsid w:val="0057722E"/>
    <w:rsid w:val="005817D8"/>
    <w:rsid w:val="0058241B"/>
    <w:rsid w:val="005825FB"/>
    <w:rsid w:val="00582E81"/>
    <w:rsid w:val="00583D33"/>
    <w:rsid w:val="00586149"/>
    <w:rsid w:val="00587CDC"/>
    <w:rsid w:val="00590639"/>
    <w:rsid w:val="005909B4"/>
    <w:rsid w:val="00591547"/>
    <w:rsid w:val="0059372C"/>
    <w:rsid w:val="00593C2B"/>
    <w:rsid w:val="0059427E"/>
    <w:rsid w:val="0059565C"/>
    <w:rsid w:val="00596260"/>
    <w:rsid w:val="00596A4A"/>
    <w:rsid w:val="0059715F"/>
    <w:rsid w:val="00597B0E"/>
    <w:rsid w:val="00597B8B"/>
    <w:rsid w:val="00597F95"/>
    <w:rsid w:val="005A1FD8"/>
    <w:rsid w:val="005A236B"/>
    <w:rsid w:val="005A28B4"/>
    <w:rsid w:val="005A295F"/>
    <w:rsid w:val="005A3666"/>
    <w:rsid w:val="005A394F"/>
    <w:rsid w:val="005A3EEA"/>
    <w:rsid w:val="005A4B44"/>
    <w:rsid w:val="005A5689"/>
    <w:rsid w:val="005A5E64"/>
    <w:rsid w:val="005A5FF7"/>
    <w:rsid w:val="005A7C1D"/>
    <w:rsid w:val="005B1FE9"/>
    <w:rsid w:val="005B26AB"/>
    <w:rsid w:val="005B3255"/>
    <w:rsid w:val="005B4C81"/>
    <w:rsid w:val="005B4F48"/>
    <w:rsid w:val="005B57BF"/>
    <w:rsid w:val="005B5D84"/>
    <w:rsid w:val="005B5E2F"/>
    <w:rsid w:val="005B75DB"/>
    <w:rsid w:val="005B7AF3"/>
    <w:rsid w:val="005B7EED"/>
    <w:rsid w:val="005C17F6"/>
    <w:rsid w:val="005C183B"/>
    <w:rsid w:val="005C2C5A"/>
    <w:rsid w:val="005C4F2F"/>
    <w:rsid w:val="005C7D3F"/>
    <w:rsid w:val="005D0D36"/>
    <w:rsid w:val="005D153B"/>
    <w:rsid w:val="005D1790"/>
    <w:rsid w:val="005D235B"/>
    <w:rsid w:val="005D3158"/>
    <w:rsid w:val="005D3C24"/>
    <w:rsid w:val="005D4256"/>
    <w:rsid w:val="005D4605"/>
    <w:rsid w:val="005D4FE6"/>
    <w:rsid w:val="005D56EF"/>
    <w:rsid w:val="005D6B04"/>
    <w:rsid w:val="005D6C98"/>
    <w:rsid w:val="005D70F1"/>
    <w:rsid w:val="005D7F2D"/>
    <w:rsid w:val="005E17A9"/>
    <w:rsid w:val="005E27E8"/>
    <w:rsid w:val="005E290C"/>
    <w:rsid w:val="005E2EAD"/>
    <w:rsid w:val="005E3D2A"/>
    <w:rsid w:val="005E41C9"/>
    <w:rsid w:val="005E525A"/>
    <w:rsid w:val="005E56DF"/>
    <w:rsid w:val="005E5A31"/>
    <w:rsid w:val="005E6BD5"/>
    <w:rsid w:val="005E7DDF"/>
    <w:rsid w:val="005F1908"/>
    <w:rsid w:val="005F4C0A"/>
    <w:rsid w:val="005F58E1"/>
    <w:rsid w:val="005F6936"/>
    <w:rsid w:val="005F6FB7"/>
    <w:rsid w:val="00601556"/>
    <w:rsid w:val="00601DC0"/>
    <w:rsid w:val="00605E0C"/>
    <w:rsid w:val="00606B39"/>
    <w:rsid w:val="0061195C"/>
    <w:rsid w:val="0061227B"/>
    <w:rsid w:val="00612E3C"/>
    <w:rsid w:val="006135D3"/>
    <w:rsid w:val="006160F8"/>
    <w:rsid w:val="0062039D"/>
    <w:rsid w:val="00620CD4"/>
    <w:rsid w:val="00621FD5"/>
    <w:rsid w:val="006237D8"/>
    <w:rsid w:val="00624225"/>
    <w:rsid w:val="0062559A"/>
    <w:rsid w:val="0062580E"/>
    <w:rsid w:val="00626548"/>
    <w:rsid w:val="00626596"/>
    <w:rsid w:val="006273D9"/>
    <w:rsid w:val="006275B4"/>
    <w:rsid w:val="00627E2F"/>
    <w:rsid w:val="00630569"/>
    <w:rsid w:val="00631E07"/>
    <w:rsid w:val="00632FAB"/>
    <w:rsid w:val="00633637"/>
    <w:rsid w:val="006340C0"/>
    <w:rsid w:val="006340EE"/>
    <w:rsid w:val="00634696"/>
    <w:rsid w:val="006353F3"/>
    <w:rsid w:val="00635662"/>
    <w:rsid w:val="00635A05"/>
    <w:rsid w:val="006366B6"/>
    <w:rsid w:val="00636C78"/>
    <w:rsid w:val="0064154F"/>
    <w:rsid w:val="00642591"/>
    <w:rsid w:val="0064292B"/>
    <w:rsid w:val="00642C63"/>
    <w:rsid w:val="00650291"/>
    <w:rsid w:val="00650464"/>
    <w:rsid w:val="006508AE"/>
    <w:rsid w:val="0065251C"/>
    <w:rsid w:val="0065398B"/>
    <w:rsid w:val="00653F9B"/>
    <w:rsid w:val="00654413"/>
    <w:rsid w:val="006544FE"/>
    <w:rsid w:val="00654FB1"/>
    <w:rsid w:val="00655489"/>
    <w:rsid w:val="00656FBB"/>
    <w:rsid w:val="00660DA7"/>
    <w:rsid w:val="006630B9"/>
    <w:rsid w:val="00663920"/>
    <w:rsid w:val="00663A85"/>
    <w:rsid w:val="00665291"/>
    <w:rsid w:val="00667205"/>
    <w:rsid w:val="006712A0"/>
    <w:rsid w:val="00671AAE"/>
    <w:rsid w:val="006723FB"/>
    <w:rsid w:val="0067242B"/>
    <w:rsid w:val="00672462"/>
    <w:rsid w:val="00673EFC"/>
    <w:rsid w:val="0067404A"/>
    <w:rsid w:val="00674C10"/>
    <w:rsid w:val="00674FE2"/>
    <w:rsid w:val="00676001"/>
    <w:rsid w:val="0067645E"/>
    <w:rsid w:val="00677B25"/>
    <w:rsid w:val="0068073B"/>
    <w:rsid w:val="00680AA5"/>
    <w:rsid w:val="00681173"/>
    <w:rsid w:val="00683966"/>
    <w:rsid w:val="00684B38"/>
    <w:rsid w:val="00684D18"/>
    <w:rsid w:val="0068562E"/>
    <w:rsid w:val="006860C7"/>
    <w:rsid w:val="00687A9D"/>
    <w:rsid w:val="00691050"/>
    <w:rsid w:val="0069157D"/>
    <w:rsid w:val="00691799"/>
    <w:rsid w:val="0069351A"/>
    <w:rsid w:val="006950C2"/>
    <w:rsid w:val="00695426"/>
    <w:rsid w:val="0069633E"/>
    <w:rsid w:val="00696915"/>
    <w:rsid w:val="00696A12"/>
    <w:rsid w:val="006970C3"/>
    <w:rsid w:val="006A136C"/>
    <w:rsid w:val="006A2BA1"/>
    <w:rsid w:val="006A32D5"/>
    <w:rsid w:val="006A4405"/>
    <w:rsid w:val="006A443F"/>
    <w:rsid w:val="006A5777"/>
    <w:rsid w:val="006A6437"/>
    <w:rsid w:val="006B02B6"/>
    <w:rsid w:val="006B1B80"/>
    <w:rsid w:val="006B2AE8"/>
    <w:rsid w:val="006B2B28"/>
    <w:rsid w:val="006B30FB"/>
    <w:rsid w:val="006B3C7C"/>
    <w:rsid w:val="006B4F97"/>
    <w:rsid w:val="006B6A91"/>
    <w:rsid w:val="006C001E"/>
    <w:rsid w:val="006C00FA"/>
    <w:rsid w:val="006C2D82"/>
    <w:rsid w:val="006C36F2"/>
    <w:rsid w:val="006C4EDF"/>
    <w:rsid w:val="006C5F87"/>
    <w:rsid w:val="006C66F2"/>
    <w:rsid w:val="006C7010"/>
    <w:rsid w:val="006D0BCD"/>
    <w:rsid w:val="006D1095"/>
    <w:rsid w:val="006D1351"/>
    <w:rsid w:val="006D15B1"/>
    <w:rsid w:val="006D2100"/>
    <w:rsid w:val="006D2387"/>
    <w:rsid w:val="006D248A"/>
    <w:rsid w:val="006D6795"/>
    <w:rsid w:val="006E4642"/>
    <w:rsid w:val="006E4D77"/>
    <w:rsid w:val="006E64C8"/>
    <w:rsid w:val="006E7DFA"/>
    <w:rsid w:val="006F137A"/>
    <w:rsid w:val="006F2721"/>
    <w:rsid w:val="006F28CA"/>
    <w:rsid w:val="006F406C"/>
    <w:rsid w:val="006F445A"/>
    <w:rsid w:val="006F5026"/>
    <w:rsid w:val="006F5FFB"/>
    <w:rsid w:val="006F6952"/>
    <w:rsid w:val="006F6EFB"/>
    <w:rsid w:val="006F75A8"/>
    <w:rsid w:val="007010BE"/>
    <w:rsid w:val="00701D79"/>
    <w:rsid w:val="007064B0"/>
    <w:rsid w:val="0070665D"/>
    <w:rsid w:val="00707651"/>
    <w:rsid w:val="00707BF7"/>
    <w:rsid w:val="00710066"/>
    <w:rsid w:val="007108AA"/>
    <w:rsid w:val="0071112C"/>
    <w:rsid w:val="00711491"/>
    <w:rsid w:val="00711BF5"/>
    <w:rsid w:val="00711C45"/>
    <w:rsid w:val="0071204A"/>
    <w:rsid w:val="007124AF"/>
    <w:rsid w:val="00712A83"/>
    <w:rsid w:val="00713E60"/>
    <w:rsid w:val="00713FA3"/>
    <w:rsid w:val="00715B17"/>
    <w:rsid w:val="007165AB"/>
    <w:rsid w:val="007169CA"/>
    <w:rsid w:val="00716E0D"/>
    <w:rsid w:val="00717BAA"/>
    <w:rsid w:val="00720C7D"/>
    <w:rsid w:val="0072111E"/>
    <w:rsid w:val="007234E0"/>
    <w:rsid w:val="007242D7"/>
    <w:rsid w:val="00724CA2"/>
    <w:rsid w:val="00724E94"/>
    <w:rsid w:val="00726D06"/>
    <w:rsid w:val="00727776"/>
    <w:rsid w:val="00730A10"/>
    <w:rsid w:val="007314E3"/>
    <w:rsid w:val="007329CC"/>
    <w:rsid w:val="00732CBD"/>
    <w:rsid w:val="00735904"/>
    <w:rsid w:val="00735DA3"/>
    <w:rsid w:val="0073604F"/>
    <w:rsid w:val="007379EF"/>
    <w:rsid w:val="0074249B"/>
    <w:rsid w:val="0074327C"/>
    <w:rsid w:val="00744DB2"/>
    <w:rsid w:val="00746401"/>
    <w:rsid w:val="007503CA"/>
    <w:rsid w:val="00750CC0"/>
    <w:rsid w:val="00750DBC"/>
    <w:rsid w:val="00751686"/>
    <w:rsid w:val="00751ACD"/>
    <w:rsid w:val="00751D57"/>
    <w:rsid w:val="00753367"/>
    <w:rsid w:val="007534FD"/>
    <w:rsid w:val="007541AC"/>
    <w:rsid w:val="00755260"/>
    <w:rsid w:val="0075615A"/>
    <w:rsid w:val="0075622E"/>
    <w:rsid w:val="00760A75"/>
    <w:rsid w:val="00763577"/>
    <w:rsid w:val="0076511A"/>
    <w:rsid w:val="00765D1E"/>
    <w:rsid w:val="00766193"/>
    <w:rsid w:val="00766EBE"/>
    <w:rsid w:val="00770175"/>
    <w:rsid w:val="00770535"/>
    <w:rsid w:val="0077062B"/>
    <w:rsid w:val="007708FE"/>
    <w:rsid w:val="00771F3A"/>
    <w:rsid w:val="007720BD"/>
    <w:rsid w:val="00773E0A"/>
    <w:rsid w:val="0077453A"/>
    <w:rsid w:val="00774A89"/>
    <w:rsid w:val="00775266"/>
    <w:rsid w:val="00775885"/>
    <w:rsid w:val="00781C49"/>
    <w:rsid w:val="00781CD6"/>
    <w:rsid w:val="00784601"/>
    <w:rsid w:val="00784614"/>
    <w:rsid w:val="007849B1"/>
    <w:rsid w:val="00785143"/>
    <w:rsid w:val="00786A1C"/>
    <w:rsid w:val="00787882"/>
    <w:rsid w:val="00787C10"/>
    <w:rsid w:val="00790F96"/>
    <w:rsid w:val="00792162"/>
    <w:rsid w:val="00792EA3"/>
    <w:rsid w:val="007932C4"/>
    <w:rsid w:val="007946B2"/>
    <w:rsid w:val="00796A1C"/>
    <w:rsid w:val="007A02BE"/>
    <w:rsid w:val="007A07D8"/>
    <w:rsid w:val="007A0C79"/>
    <w:rsid w:val="007A1712"/>
    <w:rsid w:val="007A3BA5"/>
    <w:rsid w:val="007A3D38"/>
    <w:rsid w:val="007A41F1"/>
    <w:rsid w:val="007A4928"/>
    <w:rsid w:val="007A5875"/>
    <w:rsid w:val="007A7158"/>
    <w:rsid w:val="007A7AB0"/>
    <w:rsid w:val="007B067B"/>
    <w:rsid w:val="007B0694"/>
    <w:rsid w:val="007B0764"/>
    <w:rsid w:val="007B0E4B"/>
    <w:rsid w:val="007B341D"/>
    <w:rsid w:val="007B3680"/>
    <w:rsid w:val="007B3E2D"/>
    <w:rsid w:val="007B4274"/>
    <w:rsid w:val="007B5586"/>
    <w:rsid w:val="007B78D9"/>
    <w:rsid w:val="007C035B"/>
    <w:rsid w:val="007C107E"/>
    <w:rsid w:val="007C234E"/>
    <w:rsid w:val="007C3989"/>
    <w:rsid w:val="007C410A"/>
    <w:rsid w:val="007C46BD"/>
    <w:rsid w:val="007C48E1"/>
    <w:rsid w:val="007C4B7A"/>
    <w:rsid w:val="007C569C"/>
    <w:rsid w:val="007C5F79"/>
    <w:rsid w:val="007D050D"/>
    <w:rsid w:val="007D0C43"/>
    <w:rsid w:val="007D1D7E"/>
    <w:rsid w:val="007D206B"/>
    <w:rsid w:val="007D27B7"/>
    <w:rsid w:val="007D3260"/>
    <w:rsid w:val="007D3A8F"/>
    <w:rsid w:val="007D40AB"/>
    <w:rsid w:val="007D50E5"/>
    <w:rsid w:val="007D5AD0"/>
    <w:rsid w:val="007D5CE0"/>
    <w:rsid w:val="007D7BCA"/>
    <w:rsid w:val="007D7C50"/>
    <w:rsid w:val="007E3830"/>
    <w:rsid w:val="007E450D"/>
    <w:rsid w:val="007E5026"/>
    <w:rsid w:val="007E5593"/>
    <w:rsid w:val="007E58DB"/>
    <w:rsid w:val="007E5A9B"/>
    <w:rsid w:val="007E6C5C"/>
    <w:rsid w:val="007E76A1"/>
    <w:rsid w:val="007E7A55"/>
    <w:rsid w:val="007E7C60"/>
    <w:rsid w:val="007F046D"/>
    <w:rsid w:val="007F0AA8"/>
    <w:rsid w:val="007F0F6A"/>
    <w:rsid w:val="007F17C1"/>
    <w:rsid w:val="007F1B7B"/>
    <w:rsid w:val="007F238B"/>
    <w:rsid w:val="007F3445"/>
    <w:rsid w:val="007F6248"/>
    <w:rsid w:val="00800F6D"/>
    <w:rsid w:val="00801BE1"/>
    <w:rsid w:val="00801CD6"/>
    <w:rsid w:val="00802C31"/>
    <w:rsid w:val="00803313"/>
    <w:rsid w:val="00804499"/>
    <w:rsid w:val="008054BF"/>
    <w:rsid w:val="0080638A"/>
    <w:rsid w:val="008075D1"/>
    <w:rsid w:val="00807D7A"/>
    <w:rsid w:val="00810521"/>
    <w:rsid w:val="00812221"/>
    <w:rsid w:val="00812F23"/>
    <w:rsid w:val="00813181"/>
    <w:rsid w:val="008141C7"/>
    <w:rsid w:val="00814461"/>
    <w:rsid w:val="00814CE3"/>
    <w:rsid w:val="00815D37"/>
    <w:rsid w:val="00815FD5"/>
    <w:rsid w:val="008171B2"/>
    <w:rsid w:val="00817615"/>
    <w:rsid w:val="0081792C"/>
    <w:rsid w:val="00823815"/>
    <w:rsid w:val="00823C75"/>
    <w:rsid w:val="008255B9"/>
    <w:rsid w:val="008268A7"/>
    <w:rsid w:val="00830D5E"/>
    <w:rsid w:val="00831553"/>
    <w:rsid w:val="008317E1"/>
    <w:rsid w:val="008326B8"/>
    <w:rsid w:val="00832B49"/>
    <w:rsid w:val="00833A77"/>
    <w:rsid w:val="00835A88"/>
    <w:rsid w:val="00835F17"/>
    <w:rsid w:val="00836130"/>
    <w:rsid w:val="0083632D"/>
    <w:rsid w:val="0084092A"/>
    <w:rsid w:val="00840A3A"/>
    <w:rsid w:val="008445B9"/>
    <w:rsid w:val="00845F34"/>
    <w:rsid w:val="0084654F"/>
    <w:rsid w:val="00846CB8"/>
    <w:rsid w:val="00847A05"/>
    <w:rsid w:val="0085226E"/>
    <w:rsid w:val="008523E9"/>
    <w:rsid w:val="00852876"/>
    <w:rsid w:val="00852DA6"/>
    <w:rsid w:val="008530E4"/>
    <w:rsid w:val="00854324"/>
    <w:rsid w:val="00860154"/>
    <w:rsid w:val="00860B0E"/>
    <w:rsid w:val="00860C49"/>
    <w:rsid w:val="0086110C"/>
    <w:rsid w:val="00861C9C"/>
    <w:rsid w:val="0086271F"/>
    <w:rsid w:val="00862DD3"/>
    <w:rsid w:val="00865AB1"/>
    <w:rsid w:val="0087449C"/>
    <w:rsid w:val="00876C69"/>
    <w:rsid w:val="00877219"/>
    <w:rsid w:val="0087787E"/>
    <w:rsid w:val="0088179C"/>
    <w:rsid w:val="00882AB6"/>
    <w:rsid w:val="00882E1B"/>
    <w:rsid w:val="0088305B"/>
    <w:rsid w:val="008843B7"/>
    <w:rsid w:val="00884EC6"/>
    <w:rsid w:val="00884FF3"/>
    <w:rsid w:val="00886718"/>
    <w:rsid w:val="0088679D"/>
    <w:rsid w:val="00886AC2"/>
    <w:rsid w:val="00887552"/>
    <w:rsid w:val="0088782E"/>
    <w:rsid w:val="00887D4F"/>
    <w:rsid w:val="00887E1F"/>
    <w:rsid w:val="00890788"/>
    <w:rsid w:val="00890E95"/>
    <w:rsid w:val="008910CD"/>
    <w:rsid w:val="008912AB"/>
    <w:rsid w:val="008915B4"/>
    <w:rsid w:val="008926F2"/>
    <w:rsid w:val="00893C44"/>
    <w:rsid w:val="0089400B"/>
    <w:rsid w:val="00894A5E"/>
    <w:rsid w:val="00894FD6"/>
    <w:rsid w:val="00895761"/>
    <w:rsid w:val="008959F4"/>
    <w:rsid w:val="00895AE7"/>
    <w:rsid w:val="00896093"/>
    <w:rsid w:val="00897C54"/>
    <w:rsid w:val="008A1357"/>
    <w:rsid w:val="008A1F92"/>
    <w:rsid w:val="008A2A4E"/>
    <w:rsid w:val="008A5E64"/>
    <w:rsid w:val="008A6537"/>
    <w:rsid w:val="008A6B01"/>
    <w:rsid w:val="008A702D"/>
    <w:rsid w:val="008A7E71"/>
    <w:rsid w:val="008B3640"/>
    <w:rsid w:val="008B38BD"/>
    <w:rsid w:val="008B3C88"/>
    <w:rsid w:val="008B4268"/>
    <w:rsid w:val="008B568F"/>
    <w:rsid w:val="008B669B"/>
    <w:rsid w:val="008B78B0"/>
    <w:rsid w:val="008C0EB6"/>
    <w:rsid w:val="008C222D"/>
    <w:rsid w:val="008C268F"/>
    <w:rsid w:val="008C2ADC"/>
    <w:rsid w:val="008C3922"/>
    <w:rsid w:val="008C4863"/>
    <w:rsid w:val="008C6E3E"/>
    <w:rsid w:val="008C77C9"/>
    <w:rsid w:val="008C7815"/>
    <w:rsid w:val="008D034A"/>
    <w:rsid w:val="008D0E43"/>
    <w:rsid w:val="008D24B6"/>
    <w:rsid w:val="008D2A0A"/>
    <w:rsid w:val="008D5911"/>
    <w:rsid w:val="008D78D4"/>
    <w:rsid w:val="008E06D5"/>
    <w:rsid w:val="008E09B0"/>
    <w:rsid w:val="008E0A84"/>
    <w:rsid w:val="008E342E"/>
    <w:rsid w:val="008E3A35"/>
    <w:rsid w:val="008E3B9B"/>
    <w:rsid w:val="008E4FF1"/>
    <w:rsid w:val="008E5F77"/>
    <w:rsid w:val="008E60E3"/>
    <w:rsid w:val="008F0023"/>
    <w:rsid w:val="008F054C"/>
    <w:rsid w:val="008F0830"/>
    <w:rsid w:val="008F3452"/>
    <w:rsid w:val="008F56DE"/>
    <w:rsid w:val="008F5CCE"/>
    <w:rsid w:val="009011CD"/>
    <w:rsid w:val="009028FB"/>
    <w:rsid w:val="00903BF9"/>
    <w:rsid w:val="00903E02"/>
    <w:rsid w:val="00903EDF"/>
    <w:rsid w:val="00904412"/>
    <w:rsid w:val="009044E3"/>
    <w:rsid w:val="00905443"/>
    <w:rsid w:val="00906409"/>
    <w:rsid w:val="0091014C"/>
    <w:rsid w:val="00910742"/>
    <w:rsid w:val="009119FB"/>
    <w:rsid w:val="009125AC"/>
    <w:rsid w:val="0091374D"/>
    <w:rsid w:val="0091422C"/>
    <w:rsid w:val="009146C5"/>
    <w:rsid w:val="00914B22"/>
    <w:rsid w:val="00914BD6"/>
    <w:rsid w:val="00915617"/>
    <w:rsid w:val="0091576C"/>
    <w:rsid w:val="00915BF5"/>
    <w:rsid w:val="009164B6"/>
    <w:rsid w:val="00920202"/>
    <w:rsid w:val="0092073C"/>
    <w:rsid w:val="009210C1"/>
    <w:rsid w:val="00921900"/>
    <w:rsid w:val="00921AE0"/>
    <w:rsid w:val="00922953"/>
    <w:rsid w:val="0092366B"/>
    <w:rsid w:val="009237F6"/>
    <w:rsid w:val="009238B6"/>
    <w:rsid w:val="00924BC8"/>
    <w:rsid w:val="009260D0"/>
    <w:rsid w:val="00930655"/>
    <w:rsid w:val="00930891"/>
    <w:rsid w:val="00931C7F"/>
    <w:rsid w:val="0093292D"/>
    <w:rsid w:val="009415BB"/>
    <w:rsid w:val="00944B2A"/>
    <w:rsid w:val="00945973"/>
    <w:rsid w:val="00950064"/>
    <w:rsid w:val="009501ED"/>
    <w:rsid w:val="0095023A"/>
    <w:rsid w:val="00950717"/>
    <w:rsid w:val="00951073"/>
    <w:rsid w:val="009518F7"/>
    <w:rsid w:val="00953DE8"/>
    <w:rsid w:val="00954530"/>
    <w:rsid w:val="009551ED"/>
    <w:rsid w:val="00957028"/>
    <w:rsid w:val="009619CA"/>
    <w:rsid w:val="00961DEB"/>
    <w:rsid w:val="00962410"/>
    <w:rsid w:val="00966A37"/>
    <w:rsid w:val="009707A1"/>
    <w:rsid w:val="0097396B"/>
    <w:rsid w:val="009740A4"/>
    <w:rsid w:val="009742E2"/>
    <w:rsid w:val="009753BD"/>
    <w:rsid w:val="00975A9D"/>
    <w:rsid w:val="00976B3B"/>
    <w:rsid w:val="00977BF3"/>
    <w:rsid w:val="00977D98"/>
    <w:rsid w:val="00980DC6"/>
    <w:rsid w:val="00980DF2"/>
    <w:rsid w:val="00981B4E"/>
    <w:rsid w:val="0098308A"/>
    <w:rsid w:val="00983FF5"/>
    <w:rsid w:val="009855A2"/>
    <w:rsid w:val="00987AA2"/>
    <w:rsid w:val="0099259F"/>
    <w:rsid w:val="00992705"/>
    <w:rsid w:val="009934FE"/>
    <w:rsid w:val="009940C1"/>
    <w:rsid w:val="00995DDF"/>
    <w:rsid w:val="00996A45"/>
    <w:rsid w:val="0099749B"/>
    <w:rsid w:val="00997530"/>
    <w:rsid w:val="0099779F"/>
    <w:rsid w:val="009A0538"/>
    <w:rsid w:val="009A10B4"/>
    <w:rsid w:val="009A17F5"/>
    <w:rsid w:val="009A19E6"/>
    <w:rsid w:val="009A1DEB"/>
    <w:rsid w:val="009A4F02"/>
    <w:rsid w:val="009A5F83"/>
    <w:rsid w:val="009A5F85"/>
    <w:rsid w:val="009A70D8"/>
    <w:rsid w:val="009B005D"/>
    <w:rsid w:val="009B2B8A"/>
    <w:rsid w:val="009C0A04"/>
    <w:rsid w:val="009C324D"/>
    <w:rsid w:val="009C387F"/>
    <w:rsid w:val="009C71A5"/>
    <w:rsid w:val="009C7DDE"/>
    <w:rsid w:val="009D09FF"/>
    <w:rsid w:val="009D0B7B"/>
    <w:rsid w:val="009D14E5"/>
    <w:rsid w:val="009D21C5"/>
    <w:rsid w:val="009D2658"/>
    <w:rsid w:val="009D2CE3"/>
    <w:rsid w:val="009D3C3A"/>
    <w:rsid w:val="009D4F2B"/>
    <w:rsid w:val="009D64F8"/>
    <w:rsid w:val="009D69C9"/>
    <w:rsid w:val="009D7525"/>
    <w:rsid w:val="009E11E4"/>
    <w:rsid w:val="009E1935"/>
    <w:rsid w:val="009E1CDE"/>
    <w:rsid w:val="009E1F4B"/>
    <w:rsid w:val="009E2644"/>
    <w:rsid w:val="009E2BEC"/>
    <w:rsid w:val="009E6D36"/>
    <w:rsid w:val="009E7000"/>
    <w:rsid w:val="009E7197"/>
    <w:rsid w:val="009F027A"/>
    <w:rsid w:val="009F3014"/>
    <w:rsid w:val="009F35EF"/>
    <w:rsid w:val="009F4019"/>
    <w:rsid w:val="009F5E34"/>
    <w:rsid w:val="009F5F8B"/>
    <w:rsid w:val="009F645D"/>
    <w:rsid w:val="009F6E25"/>
    <w:rsid w:val="009F75C3"/>
    <w:rsid w:val="009F7714"/>
    <w:rsid w:val="00A015C7"/>
    <w:rsid w:val="00A03822"/>
    <w:rsid w:val="00A04549"/>
    <w:rsid w:val="00A06D1E"/>
    <w:rsid w:val="00A12848"/>
    <w:rsid w:val="00A135A1"/>
    <w:rsid w:val="00A141FC"/>
    <w:rsid w:val="00A15FF0"/>
    <w:rsid w:val="00A16111"/>
    <w:rsid w:val="00A1688D"/>
    <w:rsid w:val="00A16A80"/>
    <w:rsid w:val="00A173F4"/>
    <w:rsid w:val="00A243CE"/>
    <w:rsid w:val="00A2556D"/>
    <w:rsid w:val="00A26851"/>
    <w:rsid w:val="00A26C63"/>
    <w:rsid w:val="00A30B9C"/>
    <w:rsid w:val="00A30C58"/>
    <w:rsid w:val="00A30DDC"/>
    <w:rsid w:val="00A30ED4"/>
    <w:rsid w:val="00A316BE"/>
    <w:rsid w:val="00A327DF"/>
    <w:rsid w:val="00A32C27"/>
    <w:rsid w:val="00A3326A"/>
    <w:rsid w:val="00A33D0D"/>
    <w:rsid w:val="00A349A0"/>
    <w:rsid w:val="00A34B12"/>
    <w:rsid w:val="00A34E36"/>
    <w:rsid w:val="00A3605A"/>
    <w:rsid w:val="00A363A7"/>
    <w:rsid w:val="00A37788"/>
    <w:rsid w:val="00A40650"/>
    <w:rsid w:val="00A40749"/>
    <w:rsid w:val="00A40EAD"/>
    <w:rsid w:val="00A425AF"/>
    <w:rsid w:val="00A435DF"/>
    <w:rsid w:val="00A436B6"/>
    <w:rsid w:val="00A43AB9"/>
    <w:rsid w:val="00A444B1"/>
    <w:rsid w:val="00A46367"/>
    <w:rsid w:val="00A464B1"/>
    <w:rsid w:val="00A510AC"/>
    <w:rsid w:val="00A51B2B"/>
    <w:rsid w:val="00A5271B"/>
    <w:rsid w:val="00A53905"/>
    <w:rsid w:val="00A53965"/>
    <w:rsid w:val="00A552D7"/>
    <w:rsid w:val="00A56AD3"/>
    <w:rsid w:val="00A62F5E"/>
    <w:rsid w:val="00A639C4"/>
    <w:rsid w:val="00A63C52"/>
    <w:rsid w:val="00A64311"/>
    <w:rsid w:val="00A66FF1"/>
    <w:rsid w:val="00A6711B"/>
    <w:rsid w:val="00A70033"/>
    <w:rsid w:val="00A71466"/>
    <w:rsid w:val="00A72F6B"/>
    <w:rsid w:val="00A731F5"/>
    <w:rsid w:val="00A74414"/>
    <w:rsid w:val="00A746EB"/>
    <w:rsid w:val="00A74A69"/>
    <w:rsid w:val="00A74EC0"/>
    <w:rsid w:val="00A75189"/>
    <w:rsid w:val="00A7782F"/>
    <w:rsid w:val="00A77C8B"/>
    <w:rsid w:val="00A80635"/>
    <w:rsid w:val="00A813FA"/>
    <w:rsid w:val="00A82960"/>
    <w:rsid w:val="00A8596C"/>
    <w:rsid w:val="00A879FC"/>
    <w:rsid w:val="00A901EE"/>
    <w:rsid w:val="00A9177A"/>
    <w:rsid w:val="00A923B2"/>
    <w:rsid w:val="00A92E9E"/>
    <w:rsid w:val="00A933EC"/>
    <w:rsid w:val="00A94F3E"/>
    <w:rsid w:val="00A96404"/>
    <w:rsid w:val="00A96A0D"/>
    <w:rsid w:val="00A970B4"/>
    <w:rsid w:val="00A97D5D"/>
    <w:rsid w:val="00AA0451"/>
    <w:rsid w:val="00AA0ADF"/>
    <w:rsid w:val="00AA2458"/>
    <w:rsid w:val="00AA2D37"/>
    <w:rsid w:val="00AA32B7"/>
    <w:rsid w:val="00AA412E"/>
    <w:rsid w:val="00AA5B40"/>
    <w:rsid w:val="00AA5D54"/>
    <w:rsid w:val="00AA64FA"/>
    <w:rsid w:val="00AB0D00"/>
    <w:rsid w:val="00AB138E"/>
    <w:rsid w:val="00AB212A"/>
    <w:rsid w:val="00AB33DF"/>
    <w:rsid w:val="00AB43D9"/>
    <w:rsid w:val="00AB4F82"/>
    <w:rsid w:val="00AB4FC0"/>
    <w:rsid w:val="00AB5530"/>
    <w:rsid w:val="00AB5588"/>
    <w:rsid w:val="00AB56F8"/>
    <w:rsid w:val="00AB7723"/>
    <w:rsid w:val="00AB7806"/>
    <w:rsid w:val="00AC1CB4"/>
    <w:rsid w:val="00AC28C3"/>
    <w:rsid w:val="00AC4407"/>
    <w:rsid w:val="00AC5E30"/>
    <w:rsid w:val="00AC6401"/>
    <w:rsid w:val="00AC7F19"/>
    <w:rsid w:val="00AD0248"/>
    <w:rsid w:val="00AD0C06"/>
    <w:rsid w:val="00AD142C"/>
    <w:rsid w:val="00AD1A23"/>
    <w:rsid w:val="00AD45C0"/>
    <w:rsid w:val="00AD4B23"/>
    <w:rsid w:val="00AE0FE2"/>
    <w:rsid w:val="00AE1782"/>
    <w:rsid w:val="00AE19B9"/>
    <w:rsid w:val="00AE2D17"/>
    <w:rsid w:val="00AE3A05"/>
    <w:rsid w:val="00AE45A9"/>
    <w:rsid w:val="00AE493D"/>
    <w:rsid w:val="00AF0D08"/>
    <w:rsid w:val="00AF13EF"/>
    <w:rsid w:val="00AF1AC7"/>
    <w:rsid w:val="00AF326E"/>
    <w:rsid w:val="00AF57B6"/>
    <w:rsid w:val="00AF5BB1"/>
    <w:rsid w:val="00AF6693"/>
    <w:rsid w:val="00AF7CB7"/>
    <w:rsid w:val="00AF7E60"/>
    <w:rsid w:val="00B00081"/>
    <w:rsid w:val="00B00409"/>
    <w:rsid w:val="00B0086C"/>
    <w:rsid w:val="00B00D04"/>
    <w:rsid w:val="00B01B58"/>
    <w:rsid w:val="00B01BE3"/>
    <w:rsid w:val="00B0251F"/>
    <w:rsid w:val="00B025A8"/>
    <w:rsid w:val="00B033C6"/>
    <w:rsid w:val="00B037B6"/>
    <w:rsid w:val="00B05689"/>
    <w:rsid w:val="00B05C6A"/>
    <w:rsid w:val="00B05DD3"/>
    <w:rsid w:val="00B0753F"/>
    <w:rsid w:val="00B07A11"/>
    <w:rsid w:val="00B103BC"/>
    <w:rsid w:val="00B10851"/>
    <w:rsid w:val="00B11C31"/>
    <w:rsid w:val="00B13097"/>
    <w:rsid w:val="00B130B4"/>
    <w:rsid w:val="00B1372C"/>
    <w:rsid w:val="00B13B48"/>
    <w:rsid w:val="00B1504F"/>
    <w:rsid w:val="00B1533F"/>
    <w:rsid w:val="00B15E75"/>
    <w:rsid w:val="00B160A4"/>
    <w:rsid w:val="00B20C2C"/>
    <w:rsid w:val="00B21D4B"/>
    <w:rsid w:val="00B23EAC"/>
    <w:rsid w:val="00B24C40"/>
    <w:rsid w:val="00B24E8C"/>
    <w:rsid w:val="00B2590E"/>
    <w:rsid w:val="00B26B8A"/>
    <w:rsid w:val="00B306F6"/>
    <w:rsid w:val="00B311E0"/>
    <w:rsid w:val="00B3159A"/>
    <w:rsid w:val="00B3267F"/>
    <w:rsid w:val="00B32A7F"/>
    <w:rsid w:val="00B35C99"/>
    <w:rsid w:val="00B36D66"/>
    <w:rsid w:val="00B373A3"/>
    <w:rsid w:val="00B377EA"/>
    <w:rsid w:val="00B40B97"/>
    <w:rsid w:val="00B41DCE"/>
    <w:rsid w:val="00B43431"/>
    <w:rsid w:val="00B43A6B"/>
    <w:rsid w:val="00B43C70"/>
    <w:rsid w:val="00B43DE9"/>
    <w:rsid w:val="00B44EBA"/>
    <w:rsid w:val="00B45BF8"/>
    <w:rsid w:val="00B47131"/>
    <w:rsid w:val="00B50DF4"/>
    <w:rsid w:val="00B51000"/>
    <w:rsid w:val="00B51C53"/>
    <w:rsid w:val="00B54354"/>
    <w:rsid w:val="00B5485B"/>
    <w:rsid w:val="00B57A1C"/>
    <w:rsid w:val="00B617B3"/>
    <w:rsid w:val="00B62364"/>
    <w:rsid w:val="00B627CA"/>
    <w:rsid w:val="00B63E5D"/>
    <w:rsid w:val="00B6653C"/>
    <w:rsid w:val="00B6653E"/>
    <w:rsid w:val="00B6787A"/>
    <w:rsid w:val="00B67DD6"/>
    <w:rsid w:val="00B67DFA"/>
    <w:rsid w:val="00B67E37"/>
    <w:rsid w:val="00B70092"/>
    <w:rsid w:val="00B70118"/>
    <w:rsid w:val="00B70975"/>
    <w:rsid w:val="00B70C96"/>
    <w:rsid w:val="00B70D79"/>
    <w:rsid w:val="00B71643"/>
    <w:rsid w:val="00B71A2C"/>
    <w:rsid w:val="00B71B97"/>
    <w:rsid w:val="00B728E3"/>
    <w:rsid w:val="00B72CE5"/>
    <w:rsid w:val="00B74C25"/>
    <w:rsid w:val="00B77692"/>
    <w:rsid w:val="00B77E12"/>
    <w:rsid w:val="00B806A7"/>
    <w:rsid w:val="00B80D68"/>
    <w:rsid w:val="00B8335F"/>
    <w:rsid w:val="00B84611"/>
    <w:rsid w:val="00B8491F"/>
    <w:rsid w:val="00B84E97"/>
    <w:rsid w:val="00B85E93"/>
    <w:rsid w:val="00B86028"/>
    <w:rsid w:val="00B86FB1"/>
    <w:rsid w:val="00B8731C"/>
    <w:rsid w:val="00B92071"/>
    <w:rsid w:val="00B93284"/>
    <w:rsid w:val="00B93C66"/>
    <w:rsid w:val="00B93EB8"/>
    <w:rsid w:val="00B94FC4"/>
    <w:rsid w:val="00B9516A"/>
    <w:rsid w:val="00B95914"/>
    <w:rsid w:val="00B9693A"/>
    <w:rsid w:val="00B96B66"/>
    <w:rsid w:val="00B97011"/>
    <w:rsid w:val="00B977CC"/>
    <w:rsid w:val="00BA0673"/>
    <w:rsid w:val="00BA0902"/>
    <w:rsid w:val="00BA1A58"/>
    <w:rsid w:val="00BA2E6F"/>
    <w:rsid w:val="00BA389A"/>
    <w:rsid w:val="00BA5219"/>
    <w:rsid w:val="00BA55F4"/>
    <w:rsid w:val="00BA5728"/>
    <w:rsid w:val="00BA5B1F"/>
    <w:rsid w:val="00BA7480"/>
    <w:rsid w:val="00BB00B5"/>
    <w:rsid w:val="00BB07F3"/>
    <w:rsid w:val="00BB51CF"/>
    <w:rsid w:val="00BB5E75"/>
    <w:rsid w:val="00BB747A"/>
    <w:rsid w:val="00BB7F23"/>
    <w:rsid w:val="00BC1F51"/>
    <w:rsid w:val="00BC2790"/>
    <w:rsid w:val="00BC27BB"/>
    <w:rsid w:val="00BC3314"/>
    <w:rsid w:val="00BC408C"/>
    <w:rsid w:val="00BC46C1"/>
    <w:rsid w:val="00BC512D"/>
    <w:rsid w:val="00BC5F0A"/>
    <w:rsid w:val="00BC6824"/>
    <w:rsid w:val="00BD122E"/>
    <w:rsid w:val="00BD220A"/>
    <w:rsid w:val="00BD29AE"/>
    <w:rsid w:val="00BD3AF2"/>
    <w:rsid w:val="00BD4D05"/>
    <w:rsid w:val="00BD50BD"/>
    <w:rsid w:val="00BD74CB"/>
    <w:rsid w:val="00BE027D"/>
    <w:rsid w:val="00BE2C27"/>
    <w:rsid w:val="00BE2F66"/>
    <w:rsid w:val="00BE357C"/>
    <w:rsid w:val="00BE3D2D"/>
    <w:rsid w:val="00BE4249"/>
    <w:rsid w:val="00BE4E9C"/>
    <w:rsid w:val="00BE5160"/>
    <w:rsid w:val="00BE6E9A"/>
    <w:rsid w:val="00BE7D7C"/>
    <w:rsid w:val="00BE7DE2"/>
    <w:rsid w:val="00BE7F68"/>
    <w:rsid w:val="00BF231E"/>
    <w:rsid w:val="00BF26EF"/>
    <w:rsid w:val="00BF3461"/>
    <w:rsid w:val="00BF3701"/>
    <w:rsid w:val="00BF3CB5"/>
    <w:rsid w:val="00BF42FC"/>
    <w:rsid w:val="00BF4771"/>
    <w:rsid w:val="00BF6E10"/>
    <w:rsid w:val="00C0180F"/>
    <w:rsid w:val="00C0232C"/>
    <w:rsid w:val="00C029FC"/>
    <w:rsid w:val="00C03514"/>
    <w:rsid w:val="00C04A11"/>
    <w:rsid w:val="00C06665"/>
    <w:rsid w:val="00C06CA8"/>
    <w:rsid w:val="00C06CDF"/>
    <w:rsid w:val="00C07716"/>
    <w:rsid w:val="00C1002B"/>
    <w:rsid w:val="00C106E5"/>
    <w:rsid w:val="00C12015"/>
    <w:rsid w:val="00C12F37"/>
    <w:rsid w:val="00C13254"/>
    <w:rsid w:val="00C13A8D"/>
    <w:rsid w:val="00C156D2"/>
    <w:rsid w:val="00C16C38"/>
    <w:rsid w:val="00C1723E"/>
    <w:rsid w:val="00C201EF"/>
    <w:rsid w:val="00C20365"/>
    <w:rsid w:val="00C210B8"/>
    <w:rsid w:val="00C2111B"/>
    <w:rsid w:val="00C21EB8"/>
    <w:rsid w:val="00C22F40"/>
    <w:rsid w:val="00C2346B"/>
    <w:rsid w:val="00C23896"/>
    <w:rsid w:val="00C240FB"/>
    <w:rsid w:val="00C24C7E"/>
    <w:rsid w:val="00C2567E"/>
    <w:rsid w:val="00C260A6"/>
    <w:rsid w:val="00C267A5"/>
    <w:rsid w:val="00C26E14"/>
    <w:rsid w:val="00C27A7F"/>
    <w:rsid w:val="00C30C13"/>
    <w:rsid w:val="00C31486"/>
    <w:rsid w:val="00C31B67"/>
    <w:rsid w:val="00C31E10"/>
    <w:rsid w:val="00C325E1"/>
    <w:rsid w:val="00C330F0"/>
    <w:rsid w:val="00C33205"/>
    <w:rsid w:val="00C33A6F"/>
    <w:rsid w:val="00C33C5C"/>
    <w:rsid w:val="00C341CA"/>
    <w:rsid w:val="00C34A6E"/>
    <w:rsid w:val="00C3524B"/>
    <w:rsid w:val="00C355BF"/>
    <w:rsid w:val="00C35E8C"/>
    <w:rsid w:val="00C375E6"/>
    <w:rsid w:val="00C377C0"/>
    <w:rsid w:val="00C400D3"/>
    <w:rsid w:val="00C4028B"/>
    <w:rsid w:val="00C414F8"/>
    <w:rsid w:val="00C41706"/>
    <w:rsid w:val="00C41F75"/>
    <w:rsid w:val="00C442E7"/>
    <w:rsid w:val="00C4543C"/>
    <w:rsid w:val="00C46587"/>
    <w:rsid w:val="00C46E21"/>
    <w:rsid w:val="00C51165"/>
    <w:rsid w:val="00C53970"/>
    <w:rsid w:val="00C54709"/>
    <w:rsid w:val="00C57E21"/>
    <w:rsid w:val="00C61AAC"/>
    <w:rsid w:val="00C61CA8"/>
    <w:rsid w:val="00C62E92"/>
    <w:rsid w:val="00C6350A"/>
    <w:rsid w:val="00C64CBB"/>
    <w:rsid w:val="00C66538"/>
    <w:rsid w:val="00C6734D"/>
    <w:rsid w:val="00C70FC8"/>
    <w:rsid w:val="00C7227A"/>
    <w:rsid w:val="00C727F7"/>
    <w:rsid w:val="00C817C9"/>
    <w:rsid w:val="00C83C59"/>
    <w:rsid w:val="00C84491"/>
    <w:rsid w:val="00C846F9"/>
    <w:rsid w:val="00C900B3"/>
    <w:rsid w:val="00C91128"/>
    <w:rsid w:val="00C91762"/>
    <w:rsid w:val="00C92DB5"/>
    <w:rsid w:val="00C9352E"/>
    <w:rsid w:val="00C9509B"/>
    <w:rsid w:val="00C95F26"/>
    <w:rsid w:val="00C96985"/>
    <w:rsid w:val="00C9736C"/>
    <w:rsid w:val="00C9758B"/>
    <w:rsid w:val="00CA0533"/>
    <w:rsid w:val="00CA110E"/>
    <w:rsid w:val="00CA2BE2"/>
    <w:rsid w:val="00CA2E8A"/>
    <w:rsid w:val="00CB1038"/>
    <w:rsid w:val="00CB2568"/>
    <w:rsid w:val="00CB3352"/>
    <w:rsid w:val="00CB426E"/>
    <w:rsid w:val="00CB4B67"/>
    <w:rsid w:val="00CB5357"/>
    <w:rsid w:val="00CB5419"/>
    <w:rsid w:val="00CB59E6"/>
    <w:rsid w:val="00CB60D3"/>
    <w:rsid w:val="00CB619D"/>
    <w:rsid w:val="00CB621F"/>
    <w:rsid w:val="00CB7368"/>
    <w:rsid w:val="00CC5DB0"/>
    <w:rsid w:val="00CC7045"/>
    <w:rsid w:val="00CC714A"/>
    <w:rsid w:val="00CC73BD"/>
    <w:rsid w:val="00CD43C8"/>
    <w:rsid w:val="00CD5408"/>
    <w:rsid w:val="00CD553E"/>
    <w:rsid w:val="00CD738D"/>
    <w:rsid w:val="00CD789E"/>
    <w:rsid w:val="00CD7985"/>
    <w:rsid w:val="00CE2CC4"/>
    <w:rsid w:val="00CE6024"/>
    <w:rsid w:val="00CE63A8"/>
    <w:rsid w:val="00CF176B"/>
    <w:rsid w:val="00CF190A"/>
    <w:rsid w:val="00CF1DB2"/>
    <w:rsid w:val="00CF1ECE"/>
    <w:rsid w:val="00CF22C3"/>
    <w:rsid w:val="00CF2976"/>
    <w:rsid w:val="00CF36AB"/>
    <w:rsid w:val="00CF3C6E"/>
    <w:rsid w:val="00CF4365"/>
    <w:rsid w:val="00CF5157"/>
    <w:rsid w:val="00CF5799"/>
    <w:rsid w:val="00CF59AC"/>
    <w:rsid w:val="00CF6E37"/>
    <w:rsid w:val="00D01A96"/>
    <w:rsid w:val="00D03138"/>
    <w:rsid w:val="00D033DA"/>
    <w:rsid w:val="00D03605"/>
    <w:rsid w:val="00D03F71"/>
    <w:rsid w:val="00D04D84"/>
    <w:rsid w:val="00D06698"/>
    <w:rsid w:val="00D07790"/>
    <w:rsid w:val="00D1071A"/>
    <w:rsid w:val="00D124FD"/>
    <w:rsid w:val="00D12D8D"/>
    <w:rsid w:val="00D134A2"/>
    <w:rsid w:val="00D14DEA"/>
    <w:rsid w:val="00D14EBE"/>
    <w:rsid w:val="00D14F52"/>
    <w:rsid w:val="00D1514C"/>
    <w:rsid w:val="00D16FC9"/>
    <w:rsid w:val="00D1779C"/>
    <w:rsid w:val="00D17FC7"/>
    <w:rsid w:val="00D20075"/>
    <w:rsid w:val="00D202F2"/>
    <w:rsid w:val="00D20F69"/>
    <w:rsid w:val="00D20F9D"/>
    <w:rsid w:val="00D225A2"/>
    <w:rsid w:val="00D22888"/>
    <w:rsid w:val="00D22D09"/>
    <w:rsid w:val="00D24627"/>
    <w:rsid w:val="00D24789"/>
    <w:rsid w:val="00D256CF"/>
    <w:rsid w:val="00D26087"/>
    <w:rsid w:val="00D273C8"/>
    <w:rsid w:val="00D30F98"/>
    <w:rsid w:val="00D31FC3"/>
    <w:rsid w:val="00D3260D"/>
    <w:rsid w:val="00D33448"/>
    <w:rsid w:val="00D3373C"/>
    <w:rsid w:val="00D344E1"/>
    <w:rsid w:val="00D348E5"/>
    <w:rsid w:val="00D34B6C"/>
    <w:rsid w:val="00D34F87"/>
    <w:rsid w:val="00D375D9"/>
    <w:rsid w:val="00D37EC4"/>
    <w:rsid w:val="00D40B5A"/>
    <w:rsid w:val="00D41B13"/>
    <w:rsid w:val="00D45783"/>
    <w:rsid w:val="00D46DDB"/>
    <w:rsid w:val="00D5084A"/>
    <w:rsid w:val="00D52984"/>
    <w:rsid w:val="00D52A43"/>
    <w:rsid w:val="00D52ADA"/>
    <w:rsid w:val="00D54036"/>
    <w:rsid w:val="00D54945"/>
    <w:rsid w:val="00D558A3"/>
    <w:rsid w:val="00D5673C"/>
    <w:rsid w:val="00D57D59"/>
    <w:rsid w:val="00D60DAF"/>
    <w:rsid w:val="00D618EE"/>
    <w:rsid w:val="00D61A67"/>
    <w:rsid w:val="00D626D9"/>
    <w:rsid w:val="00D63D42"/>
    <w:rsid w:val="00D6406B"/>
    <w:rsid w:val="00D6432D"/>
    <w:rsid w:val="00D64E79"/>
    <w:rsid w:val="00D64FB3"/>
    <w:rsid w:val="00D662C1"/>
    <w:rsid w:val="00D664F3"/>
    <w:rsid w:val="00D6771C"/>
    <w:rsid w:val="00D677B5"/>
    <w:rsid w:val="00D67EE1"/>
    <w:rsid w:val="00D7264C"/>
    <w:rsid w:val="00D726C7"/>
    <w:rsid w:val="00D72D28"/>
    <w:rsid w:val="00D735CF"/>
    <w:rsid w:val="00D766F2"/>
    <w:rsid w:val="00D77241"/>
    <w:rsid w:val="00D77253"/>
    <w:rsid w:val="00D77526"/>
    <w:rsid w:val="00D80A83"/>
    <w:rsid w:val="00D80AC6"/>
    <w:rsid w:val="00D82597"/>
    <w:rsid w:val="00D83CF5"/>
    <w:rsid w:val="00D83FAF"/>
    <w:rsid w:val="00D85F07"/>
    <w:rsid w:val="00D86B5B"/>
    <w:rsid w:val="00D9000A"/>
    <w:rsid w:val="00D90D52"/>
    <w:rsid w:val="00D9195B"/>
    <w:rsid w:val="00D92368"/>
    <w:rsid w:val="00D93F01"/>
    <w:rsid w:val="00D94024"/>
    <w:rsid w:val="00D9456A"/>
    <w:rsid w:val="00D95148"/>
    <w:rsid w:val="00D96627"/>
    <w:rsid w:val="00D97EEB"/>
    <w:rsid w:val="00DA1871"/>
    <w:rsid w:val="00DA1943"/>
    <w:rsid w:val="00DA2384"/>
    <w:rsid w:val="00DA28CD"/>
    <w:rsid w:val="00DA50A6"/>
    <w:rsid w:val="00DA5BE6"/>
    <w:rsid w:val="00DA7449"/>
    <w:rsid w:val="00DB0509"/>
    <w:rsid w:val="00DB3D11"/>
    <w:rsid w:val="00DB500B"/>
    <w:rsid w:val="00DB6031"/>
    <w:rsid w:val="00DB6920"/>
    <w:rsid w:val="00DB69C3"/>
    <w:rsid w:val="00DB6A19"/>
    <w:rsid w:val="00DB6EB8"/>
    <w:rsid w:val="00DB755B"/>
    <w:rsid w:val="00DC0367"/>
    <w:rsid w:val="00DC0588"/>
    <w:rsid w:val="00DC20BF"/>
    <w:rsid w:val="00DC308C"/>
    <w:rsid w:val="00DC5DF6"/>
    <w:rsid w:val="00DC661C"/>
    <w:rsid w:val="00DC77A6"/>
    <w:rsid w:val="00DD00D0"/>
    <w:rsid w:val="00DD06A1"/>
    <w:rsid w:val="00DD1A2D"/>
    <w:rsid w:val="00DD221E"/>
    <w:rsid w:val="00DD2E93"/>
    <w:rsid w:val="00DD3A25"/>
    <w:rsid w:val="00DD4E31"/>
    <w:rsid w:val="00DD6433"/>
    <w:rsid w:val="00DD6658"/>
    <w:rsid w:val="00DE0FED"/>
    <w:rsid w:val="00DE1383"/>
    <w:rsid w:val="00DE21BD"/>
    <w:rsid w:val="00DE440F"/>
    <w:rsid w:val="00DE54A0"/>
    <w:rsid w:val="00DF15FC"/>
    <w:rsid w:val="00DF2CE6"/>
    <w:rsid w:val="00DF3768"/>
    <w:rsid w:val="00DF4D03"/>
    <w:rsid w:val="00DF5CAF"/>
    <w:rsid w:val="00DF6645"/>
    <w:rsid w:val="00DF798F"/>
    <w:rsid w:val="00E01308"/>
    <w:rsid w:val="00E039E9"/>
    <w:rsid w:val="00E0435D"/>
    <w:rsid w:val="00E04732"/>
    <w:rsid w:val="00E05B6C"/>
    <w:rsid w:val="00E0617F"/>
    <w:rsid w:val="00E0639C"/>
    <w:rsid w:val="00E0644C"/>
    <w:rsid w:val="00E06973"/>
    <w:rsid w:val="00E06EA7"/>
    <w:rsid w:val="00E0717B"/>
    <w:rsid w:val="00E07C8A"/>
    <w:rsid w:val="00E115C3"/>
    <w:rsid w:val="00E1250E"/>
    <w:rsid w:val="00E14D44"/>
    <w:rsid w:val="00E15D6B"/>
    <w:rsid w:val="00E160F7"/>
    <w:rsid w:val="00E16FA0"/>
    <w:rsid w:val="00E17756"/>
    <w:rsid w:val="00E178D1"/>
    <w:rsid w:val="00E211C2"/>
    <w:rsid w:val="00E21260"/>
    <w:rsid w:val="00E21E4A"/>
    <w:rsid w:val="00E23522"/>
    <w:rsid w:val="00E2354D"/>
    <w:rsid w:val="00E236FA"/>
    <w:rsid w:val="00E23C81"/>
    <w:rsid w:val="00E24C0E"/>
    <w:rsid w:val="00E24C65"/>
    <w:rsid w:val="00E25B12"/>
    <w:rsid w:val="00E266A2"/>
    <w:rsid w:val="00E26C05"/>
    <w:rsid w:val="00E27511"/>
    <w:rsid w:val="00E275A8"/>
    <w:rsid w:val="00E27725"/>
    <w:rsid w:val="00E27B18"/>
    <w:rsid w:val="00E27B1F"/>
    <w:rsid w:val="00E308C1"/>
    <w:rsid w:val="00E310B9"/>
    <w:rsid w:val="00E3124B"/>
    <w:rsid w:val="00E340E0"/>
    <w:rsid w:val="00E34D1B"/>
    <w:rsid w:val="00E36526"/>
    <w:rsid w:val="00E36902"/>
    <w:rsid w:val="00E36D99"/>
    <w:rsid w:val="00E3742F"/>
    <w:rsid w:val="00E378D1"/>
    <w:rsid w:val="00E37F27"/>
    <w:rsid w:val="00E44268"/>
    <w:rsid w:val="00E443B3"/>
    <w:rsid w:val="00E444B6"/>
    <w:rsid w:val="00E46408"/>
    <w:rsid w:val="00E47C69"/>
    <w:rsid w:val="00E47C6B"/>
    <w:rsid w:val="00E47E3C"/>
    <w:rsid w:val="00E47E83"/>
    <w:rsid w:val="00E51DFD"/>
    <w:rsid w:val="00E52204"/>
    <w:rsid w:val="00E52B02"/>
    <w:rsid w:val="00E52C9A"/>
    <w:rsid w:val="00E533C6"/>
    <w:rsid w:val="00E5385B"/>
    <w:rsid w:val="00E539DA"/>
    <w:rsid w:val="00E54BEE"/>
    <w:rsid w:val="00E56145"/>
    <w:rsid w:val="00E575BE"/>
    <w:rsid w:val="00E577D5"/>
    <w:rsid w:val="00E60620"/>
    <w:rsid w:val="00E60D4D"/>
    <w:rsid w:val="00E60E66"/>
    <w:rsid w:val="00E6350F"/>
    <w:rsid w:val="00E6453B"/>
    <w:rsid w:val="00E64650"/>
    <w:rsid w:val="00E64BA4"/>
    <w:rsid w:val="00E654DE"/>
    <w:rsid w:val="00E706C9"/>
    <w:rsid w:val="00E70747"/>
    <w:rsid w:val="00E71ED3"/>
    <w:rsid w:val="00E72E99"/>
    <w:rsid w:val="00E74237"/>
    <w:rsid w:val="00E80414"/>
    <w:rsid w:val="00E81D8D"/>
    <w:rsid w:val="00E8744B"/>
    <w:rsid w:val="00E91B54"/>
    <w:rsid w:val="00E91F6C"/>
    <w:rsid w:val="00E92C85"/>
    <w:rsid w:val="00E94456"/>
    <w:rsid w:val="00E946A5"/>
    <w:rsid w:val="00E94D02"/>
    <w:rsid w:val="00E95B36"/>
    <w:rsid w:val="00E95D1D"/>
    <w:rsid w:val="00EA0FDE"/>
    <w:rsid w:val="00EA1A08"/>
    <w:rsid w:val="00EA267D"/>
    <w:rsid w:val="00EA3625"/>
    <w:rsid w:val="00EA38D3"/>
    <w:rsid w:val="00EA39BE"/>
    <w:rsid w:val="00EA46F6"/>
    <w:rsid w:val="00EA54BA"/>
    <w:rsid w:val="00EA54F4"/>
    <w:rsid w:val="00EA643E"/>
    <w:rsid w:val="00EB0655"/>
    <w:rsid w:val="00EB0801"/>
    <w:rsid w:val="00EB249F"/>
    <w:rsid w:val="00EB25F7"/>
    <w:rsid w:val="00EB2A9D"/>
    <w:rsid w:val="00EB36E2"/>
    <w:rsid w:val="00EB4C67"/>
    <w:rsid w:val="00EB5B43"/>
    <w:rsid w:val="00EB6157"/>
    <w:rsid w:val="00EB7000"/>
    <w:rsid w:val="00EB74B9"/>
    <w:rsid w:val="00EC0B54"/>
    <w:rsid w:val="00EC114B"/>
    <w:rsid w:val="00EC1AA7"/>
    <w:rsid w:val="00EC2CBE"/>
    <w:rsid w:val="00EC2E2A"/>
    <w:rsid w:val="00EC3C3F"/>
    <w:rsid w:val="00EC3C84"/>
    <w:rsid w:val="00EC3CC6"/>
    <w:rsid w:val="00EC4964"/>
    <w:rsid w:val="00EC4DE4"/>
    <w:rsid w:val="00EC5135"/>
    <w:rsid w:val="00EC538B"/>
    <w:rsid w:val="00EC6749"/>
    <w:rsid w:val="00ED298D"/>
    <w:rsid w:val="00ED4AED"/>
    <w:rsid w:val="00ED5E5A"/>
    <w:rsid w:val="00EE21A0"/>
    <w:rsid w:val="00EE235E"/>
    <w:rsid w:val="00EE3D7F"/>
    <w:rsid w:val="00EE471D"/>
    <w:rsid w:val="00EE53B0"/>
    <w:rsid w:val="00EE7051"/>
    <w:rsid w:val="00EE7C15"/>
    <w:rsid w:val="00EF0471"/>
    <w:rsid w:val="00EF0B5E"/>
    <w:rsid w:val="00EF3558"/>
    <w:rsid w:val="00EF46AC"/>
    <w:rsid w:val="00EF4924"/>
    <w:rsid w:val="00EF6415"/>
    <w:rsid w:val="00EF7576"/>
    <w:rsid w:val="00F01A1F"/>
    <w:rsid w:val="00F02072"/>
    <w:rsid w:val="00F03DCF"/>
    <w:rsid w:val="00F05021"/>
    <w:rsid w:val="00F061C9"/>
    <w:rsid w:val="00F06DE8"/>
    <w:rsid w:val="00F105B4"/>
    <w:rsid w:val="00F111BC"/>
    <w:rsid w:val="00F13151"/>
    <w:rsid w:val="00F13902"/>
    <w:rsid w:val="00F13E29"/>
    <w:rsid w:val="00F1447E"/>
    <w:rsid w:val="00F14516"/>
    <w:rsid w:val="00F149E7"/>
    <w:rsid w:val="00F15656"/>
    <w:rsid w:val="00F158C9"/>
    <w:rsid w:val="00F17673"/>
    <w:rsid w:val="00F177E5"/>
    <w:rsid w:val="00F17917"/>
    <w:rsid w:val="00F2060C"/>
    <w:rsid w:val="00F21383"/>
    <w:rsid w:val="00F21797"/>
    <w:rsid w:val="00F23A1E"/>
    <w:rsid w:val="00F23BEA"/>
    <w:rsid w:val="00F23F98"/>
    <w:rsid w:val="00F26B91"/>
    <w:rsid w:val="00F27646"/>
    <w:rsid w:val="00F30702"/>
    <w:rsid w:val="00F31010"/>
    <w:rsid w:val="00F31EAC"/>
    <w:rsid w:val="00F3285F"/>
    <w:rsid w:val="00F32CD3"/>
    <w:rsid w:val="00F34299"/>
    <w:rsid w:val="00F35C86"/>
    <w:rsid w:val="00F36F35"/>
    <w:rsid w:val="00F40CFC"/>
    <w:rsid w:val="00F40E95"/>
    <w:rsid w:val="00F44C49"/>
    <w:rsid w:val="00F45D53"/>
    <w:rsid w:val="00F47FD2"/>
    <w:rsid w:val="00F50054"/>
    <w:rsid w:val="00F53530"/>
    <w:rsid w:val="00F5402A"/>
    <w:rsid w:val="00F54925"/>
    <w:rsid w:val="00F57ACE"/>
    <w:rsid w:val="00F57BB0"/>
    <w:rsid w:val="00F60AA0"/>
    <w:rsid w:val="00F62AEE"/>
    <w:rsid w:val="00F634AC"/>
    <w:rsid w:val="00F63816"/>
    <w:rsid w:val="00F70191"/>
    <w:rsid w:val="00F7047D"/>
    <w:rsid w:val="00F706BD"/>
    <w:rsid w:val="00F71464"/>
    <w:rsid w:val="00F72BDA"/>
    <w:rsid w:val="00F735D6"/>
    <w:rsid w:val="00F736D3"/>
    <w:rsid w:val="00F80220"/>
    <w:rsid w:val="00F808AC"/>
    <w:rsid w:val="00F817F4"/>
    <w:rsid w:val="00F8241B"/>
    <w:rsid w:val="00F83B66"/>
    <w:rsid w:val="00F83C11"/>
    <w:rsid w:val="00F84570"/>
    <w:rsid w:val="00F84915"/>
    <w:rsid w:val="00F85923"/>
    <w:rsid w:val="00F86949"/>
    <w:rsid w:val="00F91B5B"/>
    <w:rsid w:val="00F91BC7"/>
    <w:rsid w:val="00F91F26"/>
    <w:rsid w:val="00F92331"/>
    <w:rsid w:val="00F92C37"/>
    <w:rsid w:val="00F9597B"/>
    <w:rsid w:val="00F95A92"/>
    <w:rsid w:val="00F96372"/>
    <w:rsid w:val="00F969BF"/>
    <w:rsid w:val="00F978FB"/>
    <w:rsid w:val="00F97B0B"/>
    <w:rsid w:val="00FA08F4"/>
    <w:rsid w:val="00FA0A5F"/>
    <w:rsid w:val="00FA16B9"/>
    <w:rsid w:val="00FA2997"/>
    <w:rsid w:val="00FA3314"/>
    <w:rsid w:val="00FA45CF"/>
    <w:rsid w:val="00FA511D"/>
    <w:rsid w:val="00FA59F3"/>
    <w:rsid w:val="00FA5FBB"/>
    <w:rsid w:val="00FA7F49"/>
    <w:rsid w:val="00FB0734"/>
    <w:rsid w:val="00FB0797"/>
    <w:rsid w:val="00FB1544"/>
    <w:rsid w:val="00FB1F6D"/>
    <w:rsid w:val="00FB46B4"/>
    <w:rsid w:val="00FB4E4F"/>
    <w:rsid w:val="00FB5444"/>
    <w:rsid w:val="00FB586E"/>
    <w:rsid w:val="00FB5E00"/>
    <w:rsid w:val="00FB5FCF"/>
    <w:rsid w:val="00FB7178"/>
    <w:rsid w:val="00FC0898"/>
    <w:rsid w:val="00FC4113"/>
    <w:rsid w:val="00FC4A2D"/>
    <w:rsid w:val="00FD265A"/>
    <w:rsid w:val="00FD2F6D"/>
    <w:rsid w:val="00FD3617"/>
    <w:rsid w:val="00FD3A83"/>
    <w:rsid w:val="00FD4127"/>
    <w:rsid w:val="00FD57CF"/>
    <w:rsid w:val="00FD6169"/>
    <w:rsid w:val="00FD738E"/>
    <w:rsid w:val="00FD7537"/>
    <w:rsid w:val="00FE0862"/>
    <w:rsid w:val="00FE2890"/>
    <w:rsid w:val="00FE2FA2"/>
    <w:rsid w:val="00FE3121"/>
    <w:rsid w:val="00FE3A12"/>
    <w:rsid w:val="00FE3DB2"/>
    <w:rsid w:val="00FE4029"/>
    <w:rsid w:val="00FE4867"/>
    <w:rsid w:val="00FE55D7"/>
    <w:rsid w:val="00FE5B38"/>
    <w:rsid w:val="00FE6992"/>
    <w:rsid w:val="00FE707F"/>
    <w:rsid w:val="00FE76EA"/>
    <w:rsid w:val="00FE7ED4"/>
    <w:rsid w:val="00FF0234"/>
    <w:rsid w:val="00FF06DD"/>
    <w:rsid w:val="00FF442E"/>
    <w:rsid w:val="00FF45A7"/>
    <w:rsid w:val="00FF64E5"/>
    <w:rsid w:val="00FF77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6B"/>
    <w:pPr>
      <w:tabs>
        <w:tab w:val="center" w:pos="4680"/>
        <w:tab w:val="right" w:pos="9360"/>
      </w:tabs>
      <w:spacing w:line="240" w:lineRule="auto"/>
    </w:pPr>
  </w:style>
  <w:style w:type="character" w:customStyle="1" w:styleId="HeaderChar">
    <w:name w:val="Header Char"/>
    <w:basedOn w:val="DefaultParagraphFont"/>
    <w:link w:val="Header"/>
    <w:uiPriority w:val="99"/>
    <w:rsid w:val="005A236B"/>
  </w:style>
  <w:style w:type="paragraph" w:styleId="Footer">
    <w:name w:val="footer"/>
    <w:basedOn w:val="Normal"/>
    <w:link w:val="FooterChar"/>
    <w:uiPriority w:val="99"/>
    <w:unhideWhenUsed/>
    <w:rsid w:val="005A236B"/>
    <w:pPr>
      <w:tabs>
        <w:tab w:val="center" w:pos="4680"/>
        <w:tab w:val="right" w:pos="9360"/>
      </w:tabs>
      <w:spacing w:line="240" w:lineRule="auto"/>
    </w:pPr>
  </w:style>
  <w:style w:type="character" w:customStyle="1" w:styleId="FooterChar">
    <w:name w:val="Footer Char"/>
    <w:basedOn w:val="DefaultParagraphFont"/>
    <w:link w:val="Footer"/>
    <w:uiPriority w:val="99"/>
    <w:rsid w:val="005A236B"/>
  </w:style>
  <w:style w:type="character" w:styleId="PageNumber">
    <w:name w:val="page number"/>
    <w:basedOn w:val="DefaultParagraphFont"/>
    <w:uiPriority w:val="99"/>
    <w:semiHidden/>
    <w:unhideWhenUsed/>
    <w:rsid w:val="005A236B"/>
  </w:style>
  <w:style w:type="paragraph" w:styleId="FootnoteText">
    <w:name w:val="footnote text"/>
    <w:link w:val="FootnoteTextChar"/>
    <w:uiPriority w:val="99"/>
    <w:unhideWhenUsed/>
    <w:rsid w:val="005A236B"/>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A236B"/>
    <w:rPr>
      <w:rFonts w:cs="Times New Roman"/>
      <w:szCs w:val="20"/>
    </w:rPr>
  </w:style>
  <w:style w:type="character" w:styleId="FootnoteReference">
    <w:name w:val="footnote reference"/>
    <w:basedOn w:val="DefaultParagraphFont"/>
    <w:uiPriority w:val="99"/>
    <w:semiHidden/>
    <w:unhideWhenUsed/>
    <w:rsid w:val="00BF3701"/>
    <w:rPr>
      <w:vertAlign w:val="superscript"/>
    </w:rPr>
  </w:style>
  <w:style w:type="paragraph" w:styleId="BalloonText">
    <w:name w:val="Balloon Text"/>
    <w:basedOn w:val="Normal"/>
    <w:link w:val="BalloonTextChar"/>
    <w:uiPriority w:val="99"/>
    <w:semiHidden/>
    <w:unhideWhenUsed/>
    <w:rsid w:val="007169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CA"/>
    <w:rPr>
      <w:rFonts w:ascii="Segoe UI" w:hAnsi="Segoe UI" w:cs="Segoe UI"/>
      <w:sz w:val="18"/>
      <w:szCs w:val="18"/>
    </w:rPr>
  </w:style>
  <w:style w:type="character" w:styleId="CommentReference">
    <w:name w:val="annotation reference"/>
    <w:basedOn w:val="DefaultParagraphFont"/>
    <w:uiPriority w:val="99"/>
    <w:semiHidden/>
    <w:unhideWhenUsed/>
    <w:rsid w:val="00523C49"/>
    <w:rPr>
      <w:sz w:val="16"/>
      <w:szCs w:val="16"/>
    </w:rPr>
  </w:style>
  <w:style w:type="paragraph" w:styleId="CommentText">
    <w:name w:val="annotation text"/>
    <w:basedOn w:val="Normal"/>
    <w:link w:val="CommentTextChar"/>
    <w:uiPriority w:val="99"/>
    <w:unhideWhenUsed/>
    <w:rsid w:val="00523C49"/>
    <w:pPr>
      <w:spacing w:line="240" w:lineRule="auto"/>
    </w:pPr>
    <w:rPr>
      <w:sz w:val="20"/>
      <w:szCs w:val="20"/>
    </w:rPr>
  </w:style>
  <w:style w:type="character" w:customStyle="1" w:styleId="CommentTextChar">
    <w:name w:val="Comment Text Char"/>
    <w:basedOn w:val="DefaultParagraphFont"/>
    <w:link w:val="CommentText"/>
    <w:uiPriority w:val="99"/>
    <w:rsid w:val="00523C4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3C49"/>
    <w:rPr>
      <w:b/>
      <w:bCs/>
    </w:rPr>
  </w:style>
  <w:style w:type="character" w:customStyle="1" w:styleId="CommentSubjectChar">
    <w:name w:val="Comment Subject Char"/>
    <w:basedOn w:val="CommentTextChar"/>
    <w:link w:val="CommentSubject"/>
    <w:uiPriority w:val="99"/>
    <w:semiHidden/>
    <w:rsid w:val="00523C49"/>
    <w:rPr>
      <w:rFonts w:cs="Times New Roman"/>
      <w:b/>
      <w:bCs/>
      <w:sz w:val="20"/>
      <w:szCs w:val="20"/>
    </w:rPr>
  </w:style>
  <w:style w:type="paragraph" w:styleId="ListParagraph">
    <w:name w:val="List Paragraph"/>
    <w:basedOn w:val="Normal"/>
    <w:uiPriority w:val="34"/>
    <w:qFormat/>
    <w:rsid w:val="00800F6D"/>
    <w:pPr>
      <w:ind w:left="720"/>
      <w:contextualSpacing/>
    </w:pPr>
  </w:style>
  <w:style w:type="character" w:styleId="Emphasis">
    <w:name w:val="Emphasis"/>
    <w:basedOn w:val="DefaultParagraphFont"/>
    <w:uiPriority w:val="20"/>
    <w:qFormat/>
    <w:rsid w:val="001C3EDE"/>
    <w:rPr>
      <w:i/>
      <w:iCs/>
    </w:rPr>
  </w:style>
  <w:style w:type="character" w:customStyle="1" w:styleId="costarpage">
    <w:name w:val="co_starpage"/>
    <w:basedOn w:val="DefaultParagraphFont"/>
    <w:rsid w:val="00EF0471"/>
  </w:style>
  <w:style w:type="paragraph" w:styleId="Revision">
    <w:name w:val="Revision"/>
    <w:hidden/>
    <w:uiPriority w:val="99"/>
    <w:semiHidden/>
    <w:rsid w:val="0064292B"/>
    <w:pPr>
      <w:spacing w:after="0" w:line="240" w:lineRule="auto"/>
    </w:pPr>
    <w:rPr>
      <w:rFonts w:cs="Times New Roman"/>
    </w:rPr>
  </w:style>
  <w:style w:type="character" w:styleId="Hyperlink">
    <w:name w:val="Hyperlink"/>
    <w:basedOn w:val="DefaultParagraphFont"/>
    <w:uiPriority w:val="99"/>
    <w:unhideWhenUsed/>
    <w:rsid w:val="009F027A"/>
    <w:rPr>
      <w:color w:val="0563C1" w:themeColor="hyperlink"/>
      <w:u w:val="single"/>
    </w:rPr>
  </w:style>
  <w:style w:type="character" w:customStyle="1" w:styleId="UnresolvedMention1">
    <w:name w:val="Unresolved Mention1"/>
    <w:basedOn w:val="DefaultParagraphFont"/>
    <w:uiPriority w:val="99"/>
    <w:semiHidden/>
    <w:unhideWhenUsed/>
    <w:rsid w:val="009F027A"/>
    <w:rPr>
      <w:color w:val="605E5C"/>
      <w:shd w:val="clear" w:color="auto" w:fill="E1DFDD"/>
    </w:rPr>
  </w:style>
  <w:style w:type="character" w:customStyle="1" w:styleId="cf01">
    <w:name w:val="cf01"/>
    <w:basedOn w:val="DefaultParagraphFont"/>
    <w:rsid w:val="001F2AD8"/>
    <w:rPr>
      <w:rFonts w:ascii="Segoe UI" w:hAnsi="Segoe UI" w:cs="Segoe UI" w:hint="default"/>
      <w:sz w:val="18"/>
      <w:szCs w:val="18"/>
      <w:shd w:val="clear" w:color="auto" w:fill="FFFF00"/>
    </w:rPr>
  </w:style>
  <w:style w:type="character" w:customStyle="1" w:styleId="cf11">
    <w:name w:val="cf11"/>
    <w:basedOn w:val="DefaultParagraphFont"/>
    <w:rsid w:val="001F2AD8"/>
    <w:rPr>
      <w:rFonts w:ascii="Segoe UI" w:hAnsi="Segoe UI" w:cs="Segoe UI" w:hint="default"/>
      <w:i/>
      <w:iCs/>
      <w:sz w:val="18"/>
      <w:szCs w:val="18"/>
      <w:shd w:val="clear" w:color="auto" w:fill="FFFF00"/>
    </w:rPr>
  </w:style>
  <w:style w:type="character" w:customStyle="1" w:styleId="cf21">
    <w:name w:val="cf21"/>
    <w:basedOn w:val="DefaultParagraphFont"/>
    <w:rsid w:val="001F2AD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2024-04-22T18:28:25Z</dcterms:created>
  <dcterms:modified xsi:type="dcterms:W3CDTF">2024-04-22T18:28:25Z</dcterms:modified>
</cp:coreProperties>
</file>