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B829BA" w:rsidP="004C1BCA" w14:paraId="654703C0" w14:textId="3084958B">
      <w:pPr>
        <w:outlineLvl w:val="0"/>
        <w:rPr>
          <w:sz w:val="20"/>
          <w:szCs w:val="20"/>
        </w:rPr>
      </w:pPr>
      <w:r>
        <w:rPr>
          <w:sz w:val="20"/>
          <w:szCs w:val="20"/>
        </w:rPr>
        <w:t xml:space="preserve">Filed </w:t>
      </w:r>
      <w:r w:rsidR="001E4080">
        <w:rPr>
          <w:sz w:val="20"/>
          <w:szCs w:val="20"/>
        </w:rPr>
        <w:t>6</w:t>
      </w:r>
      <w:r>
        <w:rPr>
          <w:sz w:val="20"/>
          <w:szCs w:val="20"/>
        </w:rPr>
        <w:t>/</w:t>
      </w:r>
      <w:r w:rsidR="001E4080">
        <w:rPr>
          <w:sz w:val="20"/>
          <w:szCs w:val="20"/>
        </w:rPr>
        <w:t>3</w:t>
      </w:r>
      <w:r>
        <w:rPr>
          <w:sz w:val="20"/>
          <w:szCs w:val="20"/>
        </w:rPr>
        <w:t>/24</w:t>
      </w:r>
    </w:p>
    <w:p w:rsidR="004C1BCA" w:rsidRPr="004C1BCA" w:rsidP="004C1BCA" w14:paraId="31C293ED" w14:textId="1C0BF40A">
      <w:pPr>
        <w:spacing w:after="0" w:line="360" w:lineRule="auto"/>
        <w:jc w:val="center"/>
        <w:outlineLvl w:val="0"/>
        <w:rPr>
          <w:b/>
          <w:sz w:val="26"/>
          <w:szCs w:val="20"/>
        </w:rPr>
      </w:pPr>
      <w:r>
        <w:rPr>
          <w:b/>
          <w:sz w:val="26"/>
          <w:szCs w:val="20"/>
        </w:rPr>
        <w:t>CERTIFIED FOR PUBLICATION</w:t>
      </w:r>
    </w:p>
    <w:p w:rsidR="00B829BA" w14:paraId="7067D42F" w14:textId="77777777">
      <w:pPr>
        <w:spacing w:line="360" w:lineRule="auto"/>
        <w:jc w:val="center"/>
        <w:outlineLvl w:val="0"/>
        <w:rPr>
          <w:sz w:val="26"/>
          <w:szCs w:val="26"/>
        </w:rPr>
      </w:pPr>
      <w:r>
        <w:rPr>
          <w:sz w:val="26"/>
          <w:szCs w:val="26"/>
        </w:rPr>
        <w:t>IN THE COURT OF APPEAL OF THE STATE OF CALIFORNIA</w:t>
      </w:r>
    </w:p>
    <w:p w:rsidR="00B829BA" w14:paraId="5A43FD71" w14:textId="77777777">
      <w:pPr>
        <w:spacing w:line="360" w:lineRule="auto"/>
        <w:jc w:val="center"/>
        <w:outlineLvl w:val="0"/>
        <w:rPr>
          <w:sz w:val="26"/>
          <w:szCs w:val="26"/>
        </w:rPr>
      </w:pPr>
      <w:r>
        <w:rPr>
          <w:sz w:val="26"/>
          <w:szCs w:val="26"/>
        </w:rPr>
        <w:t>FIRST APPELLATE DISTRICT</w:t>
      </w:r>
    </w:p>
    <w:p w:rsidR="00B829BA" w14:paraId="7D5EC751" w14:textId="77777777">
      <w:pPr>
        <w:spacing w:line="360" w:lineRule="auto"/>
        <w:jc w:val="center"/>
        <w:outlineLvl w:val="0"/>
        <w:rPr>
          <w:sz w:val="26"/>
          <w:szCs w:val="26"/>
        </w:rPr>
      </w:pPr>
      <w:r>
        <w:rPr>
          <w:sz w:val="26"/>
          <w:szCs w:val="26"/>
        </w:rPr>
        <w:t>DIVISION FIVE</w:t>
      </w:r>
    </w:p>
    <w:tbl>
      <w:tblPr>
        <w:tblW w:w="9576" w:type="dxa"/>
        <w:tblLayout w:type="fixed"/>
        <w:tblCellMar>
          <w:left w:w="10" w:type="dxa"/>
          <w:right w:w="10" w:type="dxa"/>
        </w:tblCellMar>
        <w:tblLook w:val="0000"/>
      </w:tblPr>
      <w:tblGrid>
        <w:gridCol w:w="4788"/>
        <w:gridCol w:w="4788"/>
      </w:tblGrid>
      <w:tr w14:paraId="6E9FF0E3" w14:textId="77777777">
        <w:tblPrEx>
          <w:tblW w:w="9576" w:type="dxa"/>
          <w:tblLayout w:type="fixed"/>
          <w:tblCellMar>
            <w:left w:w="10" w:type="dxa"/>
            <w:right w:w="10" w:type="dxa"/>
          </w:tblCellMar>
          <w:tblLook w:val="0000"/>
        </w:tblPrEx>
        <w:tc>
          <w:tcPr>
            <w:tcW w:w="4788" w:type="dxa"/>
            <w:tcBorders>
              <w:bottom w:val="single" w:sz="4" w:space="0" w:color="000000"/>
              <w:right w:val="single" w:sz="4" w:space="0" w:color="000000"/>
            </w:tcBorders>
            <w:shd w:val="clear" w:color="auto" w:fill="auto"/>
            <w:tcMar>
              <w:top w:w="0" w:type="dxa"/>
              <w:left w:w="108" w:type="dxa"/>
              <w:bottom w:w="0" w:type="dxa"/>
              <w:right w:w="108" w:type="dxa"/>
            </w:tcMar>
          </w:tcPr>
          <w:p w:rsidR="00B829BA" w14:paraId="38116483" w14:textId="301D339D">
            <w:pPr>
              <w:spacing w:after="120"/>
              <w:rPr>
                <w:sz w:val="26"/>
                <w:szCs w:val="26"/>
              </w:rPr>
            </w:pPr>
            <w:r>
              <w:rPr>
                <w:sz w:val="26"/>
                <w:szCs w:val="26"/>
              </w:rPr>
              <w:t>LING MUELLER</w:t>
            </w:r>
            <w:r w:rsidR="00444E49">
              <w:rPr>
                <w:sz w:val="26"/>
                <w:szCs w:val="26"/>
              </w:rPr>
              <w:t>,</w:t>
            </w:r>
          </w:p>
          <w:p w:rsidR="00B829BA" w14:paraId="0E49D99F" w14:textId="750DCE2F">
            <w:pPr>
              <w:spacing w:after="120"/>
              <w:rPr>
                <w:sz w:val="26"/>
                <w:szCs w:val="26"/>
              </w:rPr>
            </w:pPr>
            <w:r>
              <w:rPr>
                <w:sz w:val="26"/>
                <w:szCs w:val="26"/>
              </w:rPr>
              <w:tab/>
              <w:t>P</w:t>
            </w:r>
            <w:r w:rsidR="00315C53">
              <w:rPr>
                <w:sz w:val="26"/>
                <w:szCs w:val="26"/>
              </w:rPr>
              <w:t>etitioner and Appellant</w:t>
            </w:r>
            <w:r>
              <w:rPr>
                <w:sz w:val="26"/>
                <w:szCs w:val="26"/>
              </w:rPr>
              <w:t>,</w:t>
            </w:r>
          </w:p>
          <w:p w:rsidR="00B829BA" w14:paraId="422E6F0B" w14:textId="77777777">
            <w:pPr>
              <w:spacing w:after="120"/>
              <w:rPr>
                <w:sz w:val="26"/>
                <w:szCs w:val="26"/>
              </w:rPr>
            </w:pPr>
            <w:r>
              <w:rPr>
                <w:sz w:val="26"/>
                <w:szCs w:val="26"/>
              </w:rPr>
              <w:t>v.</w:t>
            </w:r>
          </w:p>
          <w:p w:rsidR="00B829BA" w14:paraId="0A66E160" w14:textId="12707317">
            <w:pPr>
              <w:spacing w:after="120"/>
              <w:rPr>
                <w:sz w:val="26"/>
                <w:szCs w:val="26"/>
              </w:rPr>
            </w:pPr>
            <w:r>
              <w:rPr>
                <w:sz w:val="26"/>
                <w:szCs w:val="26"/>
              </w:rPr>
              <w:t>PAUL MUELLER</w:t>
            </w:r>
            <w:r w:rsidR="00444E49">
              <w:rPr>
                <w:sz w:val="26"/>
                <w:szCs w:val="26"/>
              </w:rPr>
              <w:t>,</w:t>
            </w:r>
          </w:p>
          <w:p w:rsidR="00B829BA" w14:paraId="27E0D454" w14:textId="45E31DB1">
            <w:pPr>
              <w:spacing w:after="120"/>
              <w:rPr>
                <w:sz w:val="26"/>
                <w:szCs w:val="26"/>
              </w:rPr>
            </w:pPr>
            <w:r>
              <w:rPr>
                <w:sz w:val="26"/>
                <w:szCs w:val="26"/>
              </w:rPr>
              <w:tab/>
            </w:r>
            <w:r w:rsidR="00063D4A">
              <w:rPr>
                <w:sz w:val="26"/>
                <w:szCs w:val="26"/>
              </w:rPr>
              <w:t xml:space="preserve">Defendant and </w:t>
            </w:r>
            <w:r w:rsidR="00315C53">
              <w:rPr>
                <w:sz w:val="26"/>
                <w:szCs w:val="26"/>
              </w:rPr>
              <w:t>Respondent</w:t>
            </w:r>
            <w:r>
              <w:rPr>
                <w:sz w:val="26"/>
                <w:szCs w:val="26"/>
              </w:rPr>
              <w:t>.</w:t>
            </w:r>
          </w:p>
        </w:tc>
        <w:tc>
          <w:tcPr>
            <w:tcW w:w="4788" w:type="dxa"/>
            <w:tcBorders>
              <w:left w:val="single" w:sz="4" w:space="0" w:color="000000"/>
            </w:tcBorders>
            <w:shd w:val="clear" w:color="auto" w:fill="auto"/>
            <w:tcMar>
              <w:top w:w="0" w:type="dxa"/>
              <w:left w:w="108" w:type="dxa"/>
              <w:bottom w:w="0" w:type="dxa"/>
              <w:right w:w="108" w:type="dxa"/>
            </w:tcMar>
          </w:tcPr>
          <w:p w:rsidR="00B829BA" w14:paraId="773E53AF" w14:textId="7511FB95">
            <w:pPr>
              <w:ind w:left="230"/>
              <w:rPr>
                <w:sz w:val="26"/>
                <w:szCs w:val="26"/>
              </w:rPr>
            </w:pPr>
          </w:p>
          <w:p w:rsidR="00B829BA" w14:paraId="2D1D511E" w14:textId="0E0C83B8">
            <w:pPr>
              <w:rPr>
                <w:sz w:val="26"/>
                <w:szCs w:val="26"/>
              </w:rPr>
            </w:pPr>
            <w:r>
              <w:rPr>
                <w:sz w:val="26"/>
                <w:szCs w:val="26"/>
              </w:rPr>
              <w:t xml:space="preserve">      </w:t>
            </w:r>
            <w:bookmarkStart w:id="0" w:name="_Hlk168306250"/>
            <w:r>
              <w:rPr>
                <w:sz w:val="26"/>
                <w:szCs w:val="26"/>
              </w:rPr>
              <w:t>A16</w:t>
            </w:r>
            <w:r w:rsidR="00315C53">
              <w:rPr>
                <w:sz w:val="26"/>
                <w:szCs w:val="26"/>
              </w:rPr>
              <w:t>6577</w:t>
            </w:r>
            <w:bookmarkEnd w:id="0"/>
          </w:p>
          <w:p w:rsidR="00B829BA" w14:paraId="58BDBF25" w14:textId="77777777">
            <w:pPr>
              <w:rPr>
                <w:sz w:val="26"/>
                <w:szCs w:val="26"/>
              </w:rPr>
            </w:pPr>
          </w:p>
          <w:p w:rsidR="00B829BA" w14:paraId="025AC0B7" w14:textId="56DE2A0E">
            <w:pPr>
              <w:spacing w:after="0"/>
              <w:ind w:left="432" w:hanging="432"/>
              <w:rPr>
                <w:sz w:val="26"/>
                <w:szCs w:val="26"/>
              </w:rPr>
            </w:pPr>
            <w:r>
              <w:rPr>
                <w:sz w:val="26"/>
                <w:szCs w:val="26"/>
              </w:rPr>
              <w:t xml:space="preserve">      (</w:t>
            </w:r>
            <w:r w:rsidR="00315C53">
              <w:rPr>
                <w:sz w:val="26"/>
                <w:szCs w:val="26"/>
              </w:rPr>
              <w:t>Mendocino</w:t>
            </w:r>
            <w:r>
              <w:rPr>
                <w:sz w:val="26"/>
                <w:szCs w:val="26"/>
              </w:rPr>
              <w:t xml:space="preserve"> County Super. Ct. No. </w:t>
            </w:r>
            <w:r w:rsidR="00315C53">
              <w:rPr>
                <w:sz w:val="26"/>
                <w:szCs w:val="26"/>
              </w:rPr>
              <w:t>SCUKCVFL202073826</w:t>
            </w:r>
            <w:r>
              <w:rPr>
                <w:sz w:val="26"/>
                <w:szCs w:val="26"/>
              </w:rPr>
              <w:t>)</w:t>
            </w:r>
          </w:p>
        </w:tc>
      </w:tr>
    </w:tbl>
    <w:p w:rsidR="00B829BA" w14:paraId="08E92E74" w14:textId="77777777">
      <w:pPr>
        <w:spacing w:after="0" w:line="288" w:lineRule="auto"/>
        <w:textAlignment w:val="auto"/>
        <w:rPr>
          <w:color w:val="000000"/>
          <w:sz w:val="26"/>
          <w:szCs w:val="26"/>
        </w:rPr>
      </w:pPr>
    </w:p>
    <w:p w:rsidR="00BE2CC0" w:rsidP="00315C53" w14:paraId="1EF4CB81" w14:textId="67F74286">
      <w:pPr>
        <w:spacing w:line="288" w:lineRule="auto"/>
        <w:rPr>
          <w:sz w:val="26"/>
          <w:szCs w:val="26"/>
        </w:rPr>
      </w:pPr>
      <w:r w:rsidRPr="00315C53">
        <w:rPr>
          <w:sz w:val="26"/>
          <w:szCs w:val="26"/>
        </w:rPr>
        <w:tab/>
      </w:r>
      <w:r w:rsidR="00C31B83">
        <w:rPr>
          <w:sz w:val="26"/>
          <w:szCs w:val="26"/>
        </w:rPr>
        <w:t xml:space="preserve">Ling Mueller </w:t>
      </w:r>
      <w:r w:rsidR="002905A7">
        <w:rPr>
          <w:sz w:val="26"/>
          <w:szCs w:val="26"/>
        </w:rPr>
        <w:t xml:space="preserve">asks us to enforce a </w:t>
      </w:r>
      <w:r w:rsidR="002932B3">
        <w:rPr>
          <w:sz w:val="26"/>
          <w:szCs w:val="26"/>
        </w:rPr>
        <w:t>confidentiality clause</w:t>
      </w:r>
      <w:r w:rsidR="002905A7">
        <w:rPr>
          <w:sz w:val="26"/>
          <w:szCs w:val="26"/>
        </w:rPr>
        <w:t xml:space="preserve"> in an agreement that </w:t>
      </w:r>
      <w:r w:rsidR="00FF069F">
        <w:rPr>
          <w:sz w:val="26"/>
          <w:szCs w:val="26"/>
        </w:rPr>
        <w:t xml:space="preserve">explicitly states that </w:t>
      </w:r>
      <w:r w:rsidR="00417141">
        <w:rPr>
          <w:sz w:val="26"/>
          <w:szCs w:val="26"/>
        </w:rPr>
        <w:t>the entire agreement</w:t>
      </w:r>
      <w:r w:rsidR="00FF069F">
        <w:rPr>
          <w:sz w:val="26"/>
          <w:szCs w:val="26"/>
        </w:rPr>
        <w:t xml:space="preserve"> is legally </w:t>
      </w:r>
      <w:r w:rsidRPr="0051707D" w:rsidR="00FF069F">
        <w:rPr>
          <w:i/>
          <w:iCs/>
          <w:sz w:val="26"/>
          <w:szCs w:val="26"/>
        </w:rPr>
        <w:t>un</w:t>
      </w:r>
      <w:r w:rsidR="005A577D">
        <w:rPr>
          <w:sz w:val="26"/>
          <w:szCs w:val="26"/>
        </w:rPr>
        <w:t xml:space="preserve">enforceable.  </w:t>
      </w:r>
      <w:r w:rsidR="00DF2346">
        <w:rPr>
          <w:sz w:val="26"/>
          <w:szCs w:val="26"/>
        </w:rPr>
        <w:t xml:space="preserve">We agree with the family court that the </w:t>
      </w:r>
      <w:r w:rsidR="00354CAC">
        <w:rPr>
          <w:sz w:val="26"/>
          <w:szCs w:val="26"/>
        </w:rPr>
        <w:t>confidentiality clause is unenforceable</w:t>
      </w:r>
      <w:r w:rsidR="00AE354C">
        <w:rPr>
          <w:sz w:val="26"/>
          <w:szCs w:val="26"/>
        </w:rPr>
        <w:t>.  T</w:t>
      </w:r>
      <w:r w:rsidR="00354CAC">
        <w:rPr>
          <w:sz w:val="26"/>
          <w:szCs w:val="26"/>
        </w:rPr>
        <w:t>he court therefore</w:t>
      </w:r>
      <w:r w:rsidRPr="00315C53">
        <w:rPr>
          <w:sz w:val="26"/>
          <w:szCs w:val="26"/>
        </w:rPr>
        <w:t xml:space="preserve"> properly admitted testimony about </w:t>
      </w:r>
      <w:r w:rsidR="00B13F42">
        <w:rPr>
          <w:sz w:val="26"/>
          <w:szCs w:val="26"/>
        </w:rPr>
        <w:t xml:space="preserve">statements </w:t>
      </w:r>
      <w:r w:rsidR="00CE67DF">
        <w:rPr>
          <w:sz w:val="26"/>
          <w:szCs w:val="26"/>
        </w:rPr>
        <w:t>she</w:t>
      </w:r>
      <w:r w:rsidR="00B13F42">
        <w:rPr>
          <w:sz w:val="26"/>
          <w:szCs w:val="26"/>
        </w:rPr>
        <w:t xml:space="preserve"> made in</w:t>
      </w:r>
      <w:r w:rsidR="00455484">
        <w:rPr>
          <w:sz w:val="26"/>
          <w:szCs w:val="26"/>
        </w:rPr>
        <w:t xml:space="preserve"> a</w:t>
      </w:r>
      <w:r w:rsidR="00B13F42">
        <w:rPr>
          <w:sz w:val="26"/>
          <w:szCs w:val="26"/>
        </w:rPr>
        <w:t xml:space="preserve"> </w:t>
      </w:r>
      <w:r w:rsidRPr="00315C53">
        <w:rPr>
          <w:sz w:val="26"/>
          <w:szCs w:val="26"/>
        </w:rPr>
        <w:t xml:space="preserve">collaborative </w:t>
      </w:r>
      <w:r w:rsidR="00EA17E5">
        <w:rPr>
          <w:sz w:val="26"/>
          <w:szCs w:val="26"/>
        </w:rPr>
        <w:t>law</w:t>
      </w:r>
      <w:r w:rsidRPr="00315C53">
        <w:rPr>
          <w:sz w:val="26"/>
          <w:szCs w:val="26"/>
        </w:rPr>
        <w:t xml:space="preserve"> </w:t>
      </w:r>
      <w:r w:rsidR="00455484">
        <w:rPr>
          <w:sz w:val="26"/>
          <w:szCs w:val="26"/>
        </w:rPr>
        <w:t>negotiation</w:t>
      </w:r>
      <w:r w:rsidR="006B1992">
        <w:rPr>
          <w:sz w:val="26"/>
          <w:szCs w:val="26"/>
        </w:rPr>
        <w:t xml:space="preserve"> initiated by the agreement</w:t>
      </w:r>
      <w:r w:rsidR="00EA17E5">
        <w:rPr>
          <w:sz w:val="26"/>
          <w:szCs w:val="26"/>
        </w:rPr>
        <w:t xml:space="preserve"> to </w:t>
      </w:r>
      <w:r w:rsidR="00373A13">
        <w:rPr>
          <w:sz w:val="26"/>
          <w:szCs w:val="26"/>
        </w:rPr>
        <w:t xml:space="preserve">dissolve </w:t>
      </w:r>
      <w:r w:rsidR="00F81042">
        <w:rPr>
          <w:sz w:val="26"/>
          <w:szCs w:val="26"/>
        </w:rPr>
        <w:t>her</w:t>
      </w:r>
      <w:r w:rsidR="00373A13">
        <w:rPr>
          <w:sz w:val="26"/>
          <w:szCs w:val="26"/>
        </w:rPr>
        <w:t xml:space="preserve"> marriage</w:t>
      </w:r>
      <w:r w:rsidRPr="00315C53">
        <w:rPr>
          <w:sz w:val="26"/>
          <w:szCs w:val="26"/>
        </w:rPr>
        <w:t xml:space="preserve">. </w:t>
      </w:r>
      <w:r w:rsidR="00FC6ED2">
        <w:rPr>
          <w:sz w:val="26"/>
          <w:szCs w:val="26"/>
        </w:rPr>
        <w:t xml:space="preserve"> </w:t>
      </w:r>
    </w:p>
    <w:p w:rsidR="0029239B" w:rsidRPr="00315C53" w:rsidP="00BE2CC0" w14:paraId="10C11C1E" w14:textId="164F1E3C">
      <w:pPr>
        <w:spacing w:line="288" w:lineRule="auto"/>
        <w:ind w:firstLine="720"/>
        <w:rPr>
          <w:sz w:val="26"/>
          <w:szCs w:val="26"/>
        </w:rPr>
      </w:pPr>
      <w:r w:rsidRPr="00315C53">
        <w:rPr>
          <w:sz w:val="26"/>
          <w:szCs w:val="26"/>
        </w:rPr>
        <w:t xml:space="preserve">We </w:t>
      </w:r>
      <w:r w:rsidR="00BE2CC0">
        <w:rPr>
          <w:sz w:val="26"/>
          <w:szCs w:val="26"/>
        </w:rPr>
        <w:t xml:space="preserve">publish this case to highlight the importance of </w:t>
      </w:r>
      <w:r w:rsidR="00550812">
        <w:rPr>
          <w:sz w:val="26"/>
          <w:szCs w:val="26"/>
        </w:rPr>
        <w:t xml:space="preserve">carefully drafting collaborative </w:t>
      </w:r>
      <w:r w:rsidR="00373A13">
        <w:rPr>
          <w:sz w:val="26"/>
          <w:szCs w:val="26"/>
        </w:rPr>
        <w:t>law</w:t>
      </w:r>
      <w:r w:rsidR="00550812">
        <w:rPr>
          <w:sz w:val="26"/>
          <w:szCs w:val="26"/>
        </w:rPr>
        <w:t xml:space="preserve"> agreements.  </w:t>
      </w:r>
      <w:r w:rsidR="00500B3E">
        <w:rPr>
          <w:sz w:val="26"/>
          <w:szCs w:val="26"/>
        </w:rPr>
        <w:t>Unlike mediation</w:t>
      </w:r>
      <w:r w:rsidR="008D04CA">
        <w:rPr>
          <w:sz w:val="26"/>
          <w:szCs w:val="26"/>
        </w:rPr>
        <w:t>s</w:t>
      </w:r>
      <w:r w:rsidR="00500B3E">
        <w:rPr>
          <w:sz w:val="26"/>
          <w:szCs w:val="26"/>
        </w:rPr>
        <w:t xml:space="preserve">, </w:t>
      </w:r>
      <w:r w:rsidR="008D04CA">
        <w:rPr>
          <w:sz w:val="26"/>
          <w:szCs w:val="26"/>
        </w:rPr>
        <w:t>our Legislature has not created a</w:t>
      </w:r>
      <w:r w:rsidR="00EE1C8F">
        <w:rPr>
          <w:sz w:val="26"/>
          <w:szCs w:val="26"/>
        </w:rPr>
        <w:t xml:space="preserve">n evidentiary privilege </w:t>
      </w:r>
      <w:r w:rsidR="005D47C3">
        <w:rPr>
          <w:sz w:val="26"/>
          <w:szCs w:val="26"/>
        </w:rPr>
        <w:t xml:space="preserve">for </w:t>
      </w:r>
      <w:r w:rsidR="00F608AB">
        <w:rPr>
          <w:sz w:val="26"/>
          <w:szCs w:val="26"/>
        </w:rPr>
        <w:t xml:space="preserve">collaborative </w:t>
      </w:r>
      <w:r w:rsidR="00BD595C">
        <w:rPr>
          <w:sz w:val="26"/>
          <w:szCs w:val="26"/>
        </w:rPr>
        <w:t>law</w:t>
      </w:r>
      <w:r w:rsidR="00EF49C8">
        <w:rPr>
          <w:sz w:val="26"/>
          <w:szCs w:val="26"/>
        </w:rPr>
        <w:t xml:space="preserve"> </w:t>
      </w:r>
      <w:r w:rsidR="00CC2995">
        <w:rPr>
          <w:sz w:val="26"/>
          <w:szCs w:val="26"/>
        </w:rPr>
        <w:t>processes</w:t>
      </w:r>
      <w:r w:rsidR="00FB1A49">
        <w:rPr>
          <w:sz w:val="26"/>
          <w:szCs w:val="26"/>
        </w:rPr>
        <w:t>.</w:t>
      </w:r>
      <w:r w:rsidR="00CC2995">
        <w:rPr>
          <w:sz w:val="26"/>
          <w:szCs w:val="26"/>
        </w:rPr>
        <w:t xml:space="preserve">  </w:t>
      </w:r>
      <w:r w:rsidR="001D083D">
        <w:rPr>
          <w:sz w:val="26"/>
          <w:szCs w:val="26"/>
        </w:rPr>
        <w:t>(</w:t>
      </w:r>
      <w:r w:rsidRPr="00126963" w:rsidR="00542E24">
        <w:rPr>
          <w:sz w:val="26"/>
          <w:szCs w:val="26"/>
        </w:rPr>
        <w:t>Compare</w:t>
      </w:r>
      <w:r w:rsidR="00542E24">
        <w:rPr>
          <w:sz w:val="26"/>
          <w:szCs w:val="26"/>
        </w:rPr>
        <w:t xml:space="preserve"> Ev</w:t>
      </w:r>
      <w:r w:rsidR="001F63F4">
        <w:rPr>
          <w:sz w:val="26"/>
          <w:szCs w:val="26"/>
        </w:rPr>
        <w:t>id</w:t>
      </w:r>
      <w:r w:rsidR="00542E24">
        <w:rPr>
          <w:sz w:val="26"/>
          <w:szCs w:val="26"/>
        </w:rPr>
        <w:t>. Code, §</w:t>
      </w:r>
      <w:r w:rsidR="00407EA6">
        <w:rPr>
          <w:sz w:val="26"/>
          <w:szCs w:val="26"/>
        </w:rPr>
        <w:t> </w:t>
      </w:r>
      <w:r w:rsidR="00542E24">
        <w:rPr>
          <w:sz w:val="26"/>
          <w:szCs w:val="26"/>
        </w:rPr>
        <w:t>1119</w:t>
      </w:r>
      <w:r w:rsidR="00C73F53">
        <w:rPr>
          <w:sz w:val="26"/>
          <w:szCs w:val="26"/>
        </w:rPr>
        <w:t xml:space="preserve"> </w:t>
      </w:r>
      <w:r w:rsidRPr="00126963" w:rsidR="00B613ED">
        <w:rPr>
          <w:sz w:val="26"/>
          <w:szCs w:val="26"/>
        </w:rPr>
        <w:t>with</w:t>
      </w:r>
      <w:r w:rsidR="001D083D">
        <w:rPr>
          <w:sz w:val="26"/>
          <w:szCs w:val="26"/>
        </w:rPr>
        <w:t xml:space="preserve"> Fam. Code, § 2013.)  </w:t>
      </w:r>
      <w:r w:rsidR="00D61533">
        <w:rPr>
          <w:sz w:val="26"/>
          <w:szCs w:val="26"/>
        </w:rPr>
        <w:t xml:space="preserve">If parties </w:t>
      </w:r>
      <w:r w:rsidR="00D06EB9">
        <w:rPr>
          <w:sz w:val="26"/>
          <w:szCs w:val="26"/>
        </w:rPr>
        <w:t xml:space="preserve">intend to </w:t>
      </w:r>
      <w:r w:rsidR="00145B40">
        <w:rPr>
          <w:sz w:val="26"/>
          <w:szCs w:val="26"/>
        </w:rPr>
        <w:t>keep the</w:t>
      </w:r>
      <w:r w:rsidR="00D06EB9">
        <w:rPr>
          <w:sz w:val="26"/>
          <w:szCs w:val="26"/>
        </w:rPr>
        <w:t xml:space="preserve"> process confidential, they </w:t>
      </w:r>
      <w:r w:rsidR="00CC2995">
        <w:rPr>
          <w:sz w:val="26"/>
          <w:szCs w:val="26"/>
        </w:rPr>
        <w:t xml:space="preserve">are responsible for </w:t>
      </w:r>
      <w:r w:rsidR="00DB714D">
        <w:rPr>
          <w:sz w:val="26"/>
          <w:szCs w:val="26"/>
        </w:rPr>
        <w:t>drafting a</w:t>
      </w:r>
      <w:r w:rsidR="00145B40">
        <w:rPr>
          <w:sz w:val="26"/>
          <w:szCs w:val="26"/>
        </w:rPr>
        <w:t>n</w:t>
      </w:r>
      <w:r w:rsidR="00DB714D">
        <w:rPr>
          <w:sz w:val="26"/>
          <w:szCs w:val="26"/>
        </w:rPr>
        <w:t xml:space="preserve"> </w:t>
      </w:r>
      <w:r w:rsidR="00182350">
        <w:rPr>
          <w:sz w:val="26"/>
          <w:szCs w:val="26"/>
        </w:rPr>
        <w:t xml:space="preserve">enforceable </w:t>
      </w:r>
      <w:r w:rsidR="00DB714D">
        <w:rPr>
          <w:sz w:val="26"/>
          <w:szCs w:val="26"/>
        </w:rPr>
        <w:t>contract that</w:t>
      </w:r>
      <w:r w:rsidR="00182350">
        <w:rPr>
          <w:sz w:val="26"/>
          <w:szCs w:val="26"/>
        </w:rPr>
        <w:t xml:space="preserve"> so provides</w:t>
      </w:r>
      <w:r w:rsidR="000C0213">
        <w:rPr>
          <w:sz w:val="26"/>
          <w:szCs w:val="26"/>
        </w:rPr>
        <w:t xml:space="preserve">. </w:t>
      </w:r>
    </w:p>
    <w:p w:rsidR="00315C53" w:rsidRPr="00315C53" w:rsidP="00315C53" w14:paraId="540B7E9C" w14:textId="77777777">
      <w:pPr>
        <w:spacing w:line="288" w:lineRule="auto"/>
        <w:jc w:val="center"/>
        <w:rPr>
          <w:b/>
          <w:bCs/>
          <w:sz w:val="26"/>
          <w:szCs w:val="26"/>
        </w:rPr>
      </w:pPr>
      <w:r w:rsidRPr="00315C53">
        <w:rPr>
          <w:b/>
          <w:bCs/>
          <w:sz w:val="26"/>
          <w:szCs w:val="26"/>
        </w:rPr>
        <w:t>BACKGROUND</w:t>
      </w:r>
    </w:p>
    <w:p w:rsidR="00BA0320" w:rsidRPr="002D5A67" w:rsidP="002D5A67" w14:paraId="394CC195" w14:textId="5B587CCB">
      <w:pPr>
        <w:spacing w:line="288" w:lineRule="auto"/>
        <w:jc w:val="center"/>
        <w:rPr>
          <w:b/>
          <w:bCs/>
          <w:sz w:val="26"/>
          <w:szCs w:val="26"/>
        </w:rPr>
      </w:pPr>
      <w:r w:rsidRPr="002D5A67">
        <w:rPr>
          <w:b/>
          <w:bCs/>
          <w:sz w:val="26"/>
          <w:szCs w:val="26"/>
        </w:rPr>
        <w:t>A.</w:t>
      </w:r>
    </w:p>
    <w:p w:rsidR="00CD5872" w:rsidP="002D5A67" w14:paraId="3FFE27F2" w14:textId="2BF7550F">
      <w:pPr>
        <w:spacing w:line="288" w:lineRule="auto"/>
        <w:ind w:firstLine="720"/>
        <w:rPr>
          <w:sz w:val="26"/>
          <w:szCs w:val="26"/>
        </w:rPr>
      </w:pPr>
      <w:r>
        <w:rPr>
          <w:sz w:val="26"/>
          <w:szCs w:val="26"/>
        </w:rPr>
        <w:t xml:space="preserve">Collaborative law is a </w:t>
      </w:r>
      <w:r w:rsidR="00417A5F">
        <w:rPr>
          <w:sz w:val="26"/>
          <w:szCs w:val="26"/>
        </w:rPr>
        <w:t xml:space="preserve">non-judicial alternative dispute resolution process commonly used for marriage dissolutions.  </w:t>
      </w:r>
      <w:r w:rsidRPr="00315C53" w:rsidR="00173BA2">
        <w:rPr>
          <w:sz w:val="26"/>
          <w:szCs w:val="26"/>
        </w:rPr>
        <w:t>(Se</w:t>
      </w:r>
      <w:r w:rsidR="006D1FFB">
        <w:rPr>
          <w:sz w:val="26"/>
          <w:szCs w:val="26"/>
        </w:rPr>
        <w:t xml:space="preserve">e </w:t>
      </w:r>
      <w:r w:rsidRPr="00315C53" w:rsidR="00173BA2">
        <w:rPr>
          <w:sz w:val="26"/>
          <w:szCs w:val="26"/>
        </w:rPr>
        <w:t>Knight et al., Cal. Pract</w:t>
      </w:r>
      <w:r w:rsidR="00173BA2">
        <w:rPr>
          <w:sz w:val="26"/>
          <w:szCs w:val="26"/>
        </w:rPr>
        <w:t>ice</w:t>
      </w:r>
      <w:r w:rsidRPr="00315C53" w:rsidR="00173BA2">
        <w:rPr>
          <w:sz w:val="26"/>
          <w:szCs w:val="26"/>
        </w:rPr>
        <w:t xml:space="preserve"> Guide: Alternative Dispute Resolution (The Rutter Group</w:t>
      </w:r>
      <w:r w:rsidR="00173BA2">
        <w:rPr>
          <w:sz w:val="26"/>
          <w:szCs w:val="26"/>
        </w:rPr>
        <w:t xml:space="preserve"> 2023</w:t>
      </w:r>
      <w:r w:rsidRPr="00315C53" w:rsidR="00173BA2">
        <w:rPr>
          <w:sz w:val="26"/>
          <w:szCs w:val="26"/>
        </w:rPr>
        <w:t>), ¶</w:t>
      </w:r>
      <w:r w:rsidRPr="00315C53" w:rsidR="001F63F4">
        <w:rPr>
          <w:sz w:val="26"/>
          <w:szCs w:val="26"/>
        </w:rPr>
        <w:t>¶</w:t>
      </w:r>
      <w:r w:rsidR="00173BA2">
        <w:rPr>
          <w:sz w:val="26"/>
          <w:szCs w:val="26"/>
        </w:rPr>
        <w:t xml:space="preserve"> </w:t>
      </w:r>
      <w:r w:rsidRPr="00315C53" w:rsidR="00173BA2">
        <w:rPr>
          <w:sz w:val="26"/>
          <w:szCs w:val="26"/>
        </w:rPr>
        <w:t xml:space="preserve">1:72.20, 3:511.) </w:t>
      </w:r>
      <w:r w:rsidR="00173BA2">
        <w:rPr>
          <w:sz w:val="26"/>
          <w:szCs w:val="26"/>
        </w:rPr>
        <w:t xml:space="preserve"> </w:t>
      </w:r>
    </w:p>
    <w:p w:rsidR="00BA0320" w:rsidP="002D5A67" w14:paraId="5387A2DC" w14:textId="02DD9D2E">
      <w:pPr>
        <w:spacing w:line="288" w:lineRule="auto"/>
        <w:ind w:firstLine="720"/>
        <w:rPr>
          <w:sz w:val="26"/>
          <w:szCs w:val="26"/>
        </w:rPr>
      </w:pPr>
      <w:r w:rsidRPr="00315C53">
        <w:rPr>
          <w:sz w:val="26"/>
          <w:szCs w:val="26"/>
        </w:rPr>
        <w:t xml:space="preserve">Family Code section 2013 is California’s collaborative </w:t>
      </w:r>
      <w:r w:rsidR="007300AC">
        <w:rPr>
          <w:sz w:val="26"/>
          <w:szCs w:val="26"/>
        </w:rPr>
        <w:t>law</w:t>
      </w:r>
      <w:r w:rsidRPr="00315C53">
        <w:rPr>
          <w:sz w:val="26"/>
          <w:szCs w:val="26"/>
        </w:rPr>
        <w:t xml:space="preserve"> statute. </w:t>
      </w:r>
      <w:r w:rsidR="00DA4F03">
        <w:rPr>
          <w:sz w:val="26"/>
          <w:szCs w:val="26"/>
        </w:rPr>
        <w:t xml:space="preserve"> </w:t>
      </w:r>
      <w:r w:rsidRPr="00315C53">
        <w:rPr>
          <w:sz w:val="26"/>
          <w:szCs w:val="26"/>
        </w:rPr>
        <w:t xml:space="preserve">It provides only that “(a) If a written agreement is entered into by the parties, the parties may utilize a collaborative law process to resolve any matter governed by this code over which the court is granted jurisdiction pursuant to Section 2000. [¶] (b) </w:t>
      </w:r>
      <w:r>
        <w:rPr>
          <w:sz w:val="26"/>
          <w:szCs w:val="26"/>
        </w:rPr>
        <w:t>‘</w:t>
      </w:r>
      <w:r w:rsidRPr="00315C53">
        <w:rPr>
          <w:sz w:val="26"/>
          <w:szCs w:val="26"/>
        </w:rPr>
        <w:t>Collaborative law process</w:t>
      </w:r>
      <w:r>
        <w:rPr>
          <w:sz w:val="26"/>
          <w:szCs w:val="26"/>
        </w:rPr>
        <w:t>’</w:t>
      </w:r>
      <w:r w:rsidRPr="00315C53">
        <w:rPr>
          <w:sz w:val="26"/>
          <w:szCs w:val="26"/>
        </w:rPr>
        <w:t xml:space="preserve"> means the process in which the parties and any professionals engaged by the parties to assist them agree in writing to use their best efforts and to make a good faith attempt to resolve disputes related to the family law matters as referenced in subdivision (a) on an agreed basis without resorting to adversary judicial intervention.”</w:t>
      </w:r>
      <w:r w:rsidR="00A43914">
        <w:rPr>
          <w:sz w:val="26"/>
          <w:szCs w:val="26"/>
        </w:rPr>
        <w:t xml:space="preserve">  </w:t>
      </w:r>
    </w:p>
    <w:p w:rsidR="00B466B9" w:rsidP="005529A1" w14:paraId="6001D99C" w14:textId="6E721913">
      <w:pPr>
        <w:spacing w:line="288" w:lineRule="auto"/>
        <w:ind w:firstLine="720"/>
        <w:rPr>
          <w:sz w:val="26"/>
          <w:szCs w:val="26"/>
        </w:rPr>
      </w:pPr>
      <w:r>
        <w:rPr>
          <w:sz w:val="26"/>
          <w:szCs w:val="26"/>
        </w:rPr>
        <w:t xml:space="preserve">The statute includes no </w:t>
      </w:r>
      <w:r w:rsidR="008C4640">
        <w:rPr>
          <w:sz w:val="26"/>
          <w:szCs w:val="26"/>
        </w:rPr>
        <w:t>confidentiality protection</w:t>
      </w:r>
      <w:r>
        <w:rPr>
          <w:sz w:val="26"/>
          <w:szCs w:val="26"/>
        </w:rPr>
        <w:t xml:space="preserve">.  </w:t>
      </w:r>
      <w:r w:rsidR="001A17AA">
        <w:rPr>
          <w:sz w:val="26"/>
          <w:szCs w:val="26"/>
        </w:rPr>
        <w:t xml:space="preserve">While the Legislature </w:t>
      </w:r>
      <w:r w:rsidR="00EF504E">
        <w:rPr>
          <w:sz w:val="26"/>
          <w:szCs w:val="26"/>
        </w:rPr>
        <w:t>has enacted</w:t>
      </w:r>
      <w:r w:rsidR="001A17AA">
        <w:rPr>
          <w:sz w:val="26"/>
          <w:szCs w:val="26"/>
        </w:rPr>
        <w:t xml:space="preserve"> </w:t>
      </w:r>
      <w:r w:rsidR="00C20CA5">
        <w:rPr>
          <w:sz w:val="26"/>
          <w:szCs w:val="26"/>
        </w:rPr>
        <w:t xml:space="preserve">an evidentiary privilege </w:t>
      </w:r>
      <w:r w:rsidR="00CE2EE4">
        <w:rPr>
          <w:sz w:val="26"/>
          <w:szCs w:val="26"/>
        </w:rPr>
        <w:t>for</w:t>
      </w:r>
      <w:r w:rsidR="00C20CA5">
        <w:rPr>
          <w:sz w:val="26"/>
          <w:szCs w:val="26"/>
        </w:rPr>
        <w:t xml:space="preserve"> mediations </w:t>
      </w:r>
      <w:r w:rsidR="007474D1">
        <w:rPr>
          <w:sz w:val="26"/>
          <w:szCs w:val="26"/>
        </w:rPr>
        <w:t>(Ev</w:t>
      </w:r>
      <w:r w:rsidR="001F63F4">
        <w:rPr>
          <w:sz w:val="26"/>
          <w:szCs w:val="26"/>
        </w:rPr>
        <w:t>id</w:t>
      </w:r>
      <w:r w:rsidR="007474D1">
        <w:rPr>
          <w:sz w:val="26"/>
          <w:szCs w:val="26"/>
        </w:rPr>
        <w:t>. Code, § 1119, subd. (b))</w:t>
      </w:r>
      <w:r>
        <w:rPr>
          <w:sz w:val="26"/>
          <w:szCs w:val="26"/>
        </w:rPr>
        <w:t xml:space="preserve">, </w:t>
      </w:r>
      <w:r w:rsidR="000B39EA">
        <w:rPr>
          <w:sz w:val="26"/>
          <w:szCs w:val="26"/>
        </w:rPr>
        <w:t>Ling</w:t>
      </w:r>
      <w:r>
        <w:rPr>
          <w:rStyle w:val="FootnoteReference"/>
          <w:sz w:val="26"/>
          <w:szCs w:val="26"/>
        </w:rPr>
        <w:footnoteReference w:id="2"/>
      </w:r>
      <w:r w:rsidR="00B9103C">
        <w:rPr>
          <w:sz w:val="26"/>
          <w:szCs w:val="26"/>
        </w:rPr>
        <w:t xml:space="preserve"> </w:t>
      </w:r>
      <w:r w:rsidR="000B39EA">
        <w:rPr>
          <w:sz w:val="26"/>
          <w:szCs w:val="26"/>
        </w:rPr>
        <w:t>concedes that</w:t>
      </w:r>
      <w:r w:rsidR="004408E9">
        <w:rPr>
          <w:sz w:val="26"/>
          <w:szCs w:val="26"/>
        </w:rPr>
        <w:t xml:space="preserve"> </w:t>
      </w:r>
      <w:r w:rsidR="008E52C5">
        <w:rPr>
          <w:sz w:val="26"/>
          <w:szCs w:val="26"/>
        </w:rPr>
        <w:t xml:space="preserve">the collaborative law process </w:t>
      </w:r>
      <w:r w:rsidR="003274CE">
        <w:rPr>
          <w:sz w:val="26"/>
          <w:szCs w:val="26"/>
        </w:rPr>
        <w:t>typically doe</w:t>
      </w:r>
      <w:r w:rsidR="00E8324C">
        <w:rPr>
          <w:sz w:val="26"/>
          <w:szCs w:val="26"/>
        </w:rPr>
        <w:t>s</w:t>
      </w:r>
      <w:r w:rsidR="003274CE">
        <w:rPr>
          <w:sz w:val="26"/>
          <w:szCs w:val="26"/>
        </w:rPr>
        <w:t xml:space="preserve"> not qualify as a mediation because, as was the case here, no neutral person conducts the process.  </w:t>
      </w:r>
      <w:r w:rsidR="00396B88">
        <w:rPr>
          <w:sz w:val="26"/>
          <w:szCs w:val="26"/>
        </w:rPr>
        <w:t>(See Ev</w:t>
      </w:r>
      <w:r w:rsidR="001F63F4">
        <w:rPr>
          <w:sz w:val="26"/>
          <w:szCs w:val="26"/>
        </w:rPr>
        <w:t>id</w:t>
      </w:r>
      <w:r w:rsidR="00396B88">
        <w:rPr>
          <w:sz w:val="26"/>
          <w:szCs w:val="26"/>
        </w:rPr>
        <w:t>. Code</w:t>
      </w:r>
      <w:r w:rsidR="00C95D07">
        <w:rPr>
          <w:sz w:val="26"/>
          <w:szCs w:val="26"/>
        </w:rPr>
        <w:t>, §§</w:t>
      </w:r>
      <w:r w:rsidR="00396B88">
        <w:rPr>
          <w:sz w:val="26"/>
          <w:szCs w:val="26"/>
        </w:rPr>
        <w:t xml:space="preserve"> 1115, subd. </w:t>
      </w:r>
      <w:r w:rsidR="00644A8B">
        <w:rPr>
          <w:sz w:val="26"/>
          <w:szCs w:val="26"/>
        </w:rPr>
        <w:t>(a)</w:t>
      </w:r>
      <w:r w:rsidR="00882214">
        <w:rPr>
          <w:sz w:val="26"/>
          <w:szCs w:val="26"/>
        </w:rPr>
        <w:t xml:space="preserve">, </w:t>
      </w:r>
      <w:r w:rsidR="00C95D07">
        <w:rPr>
          <w:sz w:val="26"/>
          <w:szCs w:val="26"/>
        </w:rPr>
        <w:t xml:space="preserve">1117, subd. (a).)  </w:t>
      </w:r>
      <w:r w:rsidR="00C071B2">
        <w:rPr>
          <w:sz w:val="26"/>
          <w:szCs w:val="26"/>
        </w:rPr>
        <w:t xml:space="preserve">Confidentiality </w:t>
      </w:r>
      <w:r w:rsidR="00E8324C">
        <w:rPr>
          <w:sz w:val="26"/>
          <w:szCs w:val="26"/>
        </w:rPr>
        <w:t>i</w:t>
      </w:r>
      <w:r w:rsidR="00C071B2">
        <w:rPr>
          <w:sz w:val="26"/>
          <w:szCs w:val="26"/>
        </w:rPr>
        <w:t xml:space="preserve">s </w:t>
      </w:r>
      <w:r w:rsidR="003913F3">
        <w:rPr>
          <w:sz w:val="26"/>
          <w:szCs w:val="26"/>
        </w:rPr>
        <w:t>left to the parties</w:t>
      </w:r>
      <w:r w:rsidR="00986746">
        <w:rPr>
          <w:sz w:val="26"/>
          <w:szCs w:val="26"/>
        </w:rPr>
        <w:t xml:space="preserve"> to negotiate.</w:t>
      </w:r>
    </w:p>
    <w:p w:rsidR="002C1CA9" w:rsidRPr="00986746" w:rsidP="00986746" w14:paraId="2391B4A6" w14:textId="04475F0C">
      <w:pPr>
        <w:spacing w:line="288" w:lineRule="auto"/>
        <w:jc w:val="center"/>
        <w:rPr>
          <w:b/>
          <w:bCs/>
          <w:sz w:val="26"/>
          <w:szCs w:val="26"/>
        </w:rPr>
      </w:pPr>
      <w:r>
        <w:rPr>
          <w:b/>
          <w:bCs/>
          <w:sz w:val="26"/>
          <w:szCs w:val="26"/>
        </w:rPr>
        <w:t>B.</w:t>
      </w:r>
    </w:p>
    <w:p w:rsidR="00315C53" w:rsidRPr="00315C53" w:rsidP="00BA0320" w14:paraId="5804F81E" w14:textId="20897B92">
      <w:pPr>
        <w:spacing w:line="288" w:lineRule="auto"/>
        <w:ind w:firstLine="720"/>
        <w:rPr>
          <w:sz w:val="26"/>
          <w:szCs w:val="26"/>
        </w:rPr>
      </w:pPr>
      <w:r w:rsidRPr="00315C53">
        <w:rPr>
          <w:sz w:val="26"/>
          <w:szCs w:val="26"/>
        </w:rPr>
        <w:t>Ling and Paul</w:t>
      </w:r>
      <w:r w:rsidR="006F28F0">
        <w:rPr>
          <w:sz w:val="26"/>
          <w:szCs w:val="26"/>
        </w:rPr>
        <w:t xml:space="preserve"> Mueller</w:t>
      </w:r>
      <w:r w:rsidRPr="00315C53">
        <w:rPr>
          <w:sz w:val="26"/>
          <w:szCs w:val="26"/>
        </w:rPr>
        <w:t xml:space="preserve"> married in 2009 and separated in 2017.  During their marriage</w:t>
      </w:r>
      <w:r w:rsidR="00FC6ED2">
        <w:rPr>
          <w:sz w:val="26"/>
          <w:szCs w:val="26"/>
        </w:rPr>
        <w:t>,</w:t>
      </w:r>
      <w:r w:rsidRPr="00315C53">
        <w:rPr>
          <w:sz w:val="26"/>
          <w:szCs w:val="26"/>
        </w:rPr>
        <w:t xml:space="preserve"> they cultivated cannabis and buried the proceeds </w:t>
      </w:r>
      <w:r w:rsidR="005960F6">
        <w:rPr>
          <w:sz w:val="26"/>
          <w:szCs w:val="26"/>
        </w:rPr>
        <w:t>o</w:t>
      </w:r>
      <w:r w:rsidRPr="00315C53">
        <w:rPr>
          <w:sz w:val="26"/>
          <w:szCs w:val="26"/>
        </w:rPr>
        <w:t xml:space="preserve">n </w:t>
      </w:r>
      <w:r w:rsidR="004A2787">
        <w:rPr>
          <w:sz w:val="26"/>
          <w:szCs w:val="26"/>
        </w:rPr>
        <w:t xml:space="preserve">their </w:t>
      </w:r>
      <w:r w:rsidR="005960F6">
        <w:rPr>
          <w:sz w:val="26"/>
          <w:szCs w:val="26"/>
        </w:rPr>
        <w:t>property</w:t>
      </w:r>
      <w:r w:rsidRPr="00315C53">
        <w:rPr>
          <w:sz w:val="26"/>
          <w:szCs w:val="26"/>
        </w:rPr>
        <w:t xml:space="preserve">.  </w:t>
      </w:r>
    </w:p>
    <w:p w:rsidR="00315C53" w:rsidRPr="00315C53" w:rsidP="00315C53" w14:paraId="51AF81BF" w14:textId="4C18A6C6">
      <w:pPr>
        <w:spacing w:line="288" w:lineRule="auto"/>
        <w:rPr>
          <w:sz w:val="26"/>
          <w:szCs w:val="26"/>
        </w:rPr>
      </w:pPr>
      <w:r w:rsidRPr="00315C53">
        <w:rPr>
          <w:sz w:val="26"/>
          <w:szCs w:val="26"/>
        </w:rPr>
        <w:tab/>
        <w:t xml:space="preserve">The couple initially attempted to use collaborative </w:t>
      </w:r>
      <w:r w:rsidR="005B618C">
        <w:rPr>
          <w:sz w:val="26"/>
          <w:szCs w:val="26"/>
        </w:rPr>
        <w:t>law</w:t>
      </w:r>
      <w:r w:rsidRPr="00315C53">
        <w:rPr>
          <w:sz w:val="26"/>
          <w:szCs w:val="26"/>
        </w:rPr>
        <w:t xml:space="preserve"> to wind down their marriage.  </w:t>
      </w:r>
      <w:r w:rsidR="00E86D40">
        <w:rPr>
          <w:sz w:val="26"/>
          <w:szCs w:val="26"/>
        </w:rPr>
        <w:t>A</w:t>
      </w:r>
      <w:r w:rsidRPr="00315C53">
        <w:rPr>
          <w:sz w:val="26"/>
          <w:szCs w:val="26"/>
        </w:rPr>
        <w:t>t the first of two collaborative sessions</w:t>
      </w:r>
      <w:r w:rsidR="00B9103C">
        <w:rPr>
          <w:sz w:val="26"/>
          <w:szCs w:val="26"/>
        </w:rPr>
        <w:t>,</w:t>
      </w:r>
      <w:r w:rsidRPr="00315C53">
        <w:rPr>
          <w:sz w:val="26"/>
          <w:szCs w:val="26"/>
        </w:rPr>
        <w:t xml:space="preserve"> their attorneys explained the process and its differences from litigation</w:t>
      </w:r>
      <w:r w:rsidR="00E86D40">
        <w:rPr>
          <w:sz w:val="26"/>
          <w:szCs w:val="26"/>
        </w:rPr>
        <w:t xml:space="preserve">, </w:t>
      </w:r>
      <w:r w:rsidR="00B9103C">
        <w:rPr>
          <w:sz w:val="26"/>
          <w:szCs w:val="26"/>
        </w:rPr>
        <w:t xml:space="preserve">and </w:t>
      </w:r>
      <w:r w:rsidR="00A000D7">
        <w:rPr>
          <w:sz w:val="26"/>
          <w:szCs w:val="26"/>
        </w:rPr>
        <w:t>t</w:t>
      </w:r>
      <w:r w:rsidRPr="00315C53" w:rsidR="00E86D40">
        <w:rPr>
          <w:sz w:val="26"/>
          <w:szCs w:val="26"/>
        </w:rPr>
        <w:t xml:space="preserve">hey executed the </w:t>
      </w:r>
      <w:r w:rsidR="00E86D40">
        <w:rPr>
          <w:sz w:val="26"/>
          <w:szCs w:val="26"/>
        </w:rPr>
        <w:t>a</w:t>
      </w:r>
      <w:r w:rsidRPr="00315C53" w:rsidR="00E86D40">
        <w:rPr>
          <w:sz w:val="26"/>
          <w:szCs w:val="26"/>
        </w:rPr>
        <w:t>greement</w:t>
      </w:r>
      <w:r w:rsidR="00A000D7">
        <w:rPr>
          <w:sz w:val="26"/>
          <w:szCs w:val="26"/>
        </w:rPr>
        <w:t xml:space="preserve"> that is the focus of this appeal</w:t>
      </w:r>
      <w:r w:rsidRPr="00315C53">
        <w:rPr>
          <w:sz w:val="26"/>
          <w:szCs w:val="26"/>
        </w:rPr>
        <w:t xml:space="preserve">.  </w:t>
      </w:r>
    </w:p>
    <w:p w:rsidR="00315C53" w:rsidRPr="00315C53" w:rsidP="00315C53" w14:paraId="551156F9" w14:textId="55AE44CD">
      <w:pPr>
        <w:spacing w:line="288" w:lineRule="auto"/>
        <w:ind w:firstLine="720"/>
        <w:rPr>
          <w:sz w:val="26"/>
          <w:szCs w:val="26"/>
        </w:rPr>
      </w:pPr>
      <w:r w:rsidRPr="00315C53">
        <w:rPr>
          <w:sz w:val="26"/>
          <w:szCs w:val="26"/>
        </w:rPr>
        <w:t xml:space="preserve">On its first page, the </w:t>
      </w:r>
      <w:r w:rsidR="00C76167">
        <w:rPr>
          <w:sz w:val="26"/>
          <w:szCs w:val="26"/>
        </w:rPr>
        <w:t>a</w:t>
      </w:r>
      <w:r w:rsidRPr="00315C53">
        <w:rPr>
          <w:sz w:val="26"/>
          <w:szCs w:val="26"/>
        </w:rPr>
        <w:t xml:space="preserve">greement </w:t>
      </w:r>
      <w:r w:rsidR="00217979">
        <w:rPr>
          <w:sz w:val="26"/>
          <w:szCs w:val="26"/>
        </w:rPr>
        <w:t>states</w:t>
      </w:r>
      <w:r w:rsidR="001760AB">
        <w:rPr>
          <w:sz w:val="26"/>
          <w:szCs w:val="26"/>
        </w:rPr>
        <w:t>,</w:t>
      </w:r>
      <w:r w:rsidR="00217979">
        <w:rPr>
          <w:sz w:val="26"/>
          <w:szCs w:val="26"/>
        </w:rPr>
        <w:t xml:space="preserve"> in </w:t>
      </w:r>
      <w:r w:rsidR="001760AB">
        <w:rPr>
          <w:sz w:val="26"/>
          <w:szCs w:val="26"/>
        </w:rPr>
        <w:t>p</w:t>
      </w:r>
      <w:r w:rsidR="00217979">
        <w:rPr>
          <w:sz w:val="26"/>
          <w:szCs w:val="26"/>
        </w:rPr>
        <w:t>lain language</w:t>
      </w:r>
      <w:r w:rsidR="001760AB">
        <w:rPr>
          <w:sz w:val="26"/>
          <w:szCs w:val="26"/>
        </w:rPr>
        <w:t>,</w:t>
      </w:r>
      <w:r w:rsidR="00217979">
        <w:rPr>
          <w:sz w:val="26"/>
          <w:szCs w:val="26"/>
        </w:rPr>
        <w:t xml:space="preserve"> that it creates no en</w:t>
      </w:r>
      <w:r w:rsidR="001760AB">
        <w:rPr>
          <w:sz w:val="26"/>
          <w:szCs w:val="26"/>
        </w:rPr>
        <w:t>forceable legal rights</w:t>
      </w:r>
      <w:r w:rsidR="00587DB1">
        <w:rPr>
          <w:sz w:val="26"/>
          <w:szCs w:val="26"/>
        </w:rPr>
        <w:t xml:space="preserve"> or contractual obligations</w:t>
      </w:r>
      <w:r w:rsidRPr="00315C53">
        <w:rPr>
          <w:sz w:val="26"/>
          <w:szCs w:val="26"/>
        </w:rPr>
        <w:t xml:space="preserve">:  “Each of us understands that this document does not give either of us enforceable legal rights that we did not already have.  We both understand that these good faith undertakings set out in this document are not legally enforceable contractual obligations.  We also understand that other documents will be signed in the Collaborative Divorce process that </w:t>
      </w:r>
      <w:r w:rsidRPr="00201A8F" w:rsidR="00201A8F">
        <w:rPr>
          <w:sz w:val="26"/>
          <w:szCs w:val="26"/>
          <w:u w:val="single"/>
        </w:rPr>
        <w:t>are</w:t>
      </w:r>
      <w:r w:rsidR="00201A8F">
        <w:rPr>
          <w:sz w:val="26"/>
          <w:szCs w:val="26"/>
        </w:rPr>
        <w:t xml:space="preserve"> </w:t>
      </w:r>
      <w:r w:rsidRPr="00201A8F">
        <w:rPr>
          <w:sz w:val="26"/>
          <w:szCs w:val="26"/>
        </w:rPr>
        <w:t>legally</w:t>
      </w:r>
      <w:r w:rsidRPr="00315C53">
        <w:rPr>
          <w:sz w:val="26"/>
          <w:szCs w:val="26"/>
        </w:rPr>
        <w:t xml:space="preserve"> enforceable contracts, including the Stipulation and Order re: Collaborative Matter, and the retainer agreements we sign with our lawyers and other nonparty participants, if any.  We are not relying on this Agreement to create legally enforceable rights.  However, we both commit to abide by the letter and spirit [of] this Agreement and we each expect that the professionals involved will do the same.”  </w:t>
      </w:r>
    </w:p>
    <w:p w:rsidR="00315C53" w:rsidRPr="00315C53" w:rsidP="00315C53" w14:paraId="15427F74" w14:textId="39A5B115">
      <w:pPr>
        <w:spacing w:line="288" w:lineRule="auto"/>
        <w:rPr>
          <w:sz w:val="26"/>
          <w:szCs w:val="26"/>
        </w:rPr>
      </w:pPr>
      <w:r w:rsidRPr="00315C53">
        <w:rPr>
          <w:sz w:val="26"/>
          <w:szCs w:val="26"/>
        </w:rPr>
        <w:tab/>
        <w:t xml:space="preserve">The </w:t>
      </w:r>
      <w:r w:rsidR="001911EC">
        <w:rPr>
          <w:sz w:val="26"/>
          <w:szCs w:val="26"/>
        </w:rPr>
        <w:t>agreement</w:t>
      </w:r>
      <w:r w:rsidRPr="00315C53">
        <w:rPr>
          <w:sz w:val="26"/>
          <w:szCs w:val="26"/>
        </w:rPr>
        <w:t xml:space="preserve"> proceed</w:t>
      </w:r>
      <w:r w:rsidR="00C1448E">
        <w:rPr>
          <w:sz w:val="26"/>
          <w:szCs w:val="26"/>
        </w:rPr>
        <w:t>s</w:t>
      </w:r>
      <w:r w:rsidRPr="00315C53">
        <w:rPr>
          <w:sz w:val="26"/>
          <w:szCs w:val="26"/>
        </w:rPr>
        <w:t xml:space="preserve"> to </w:t>
      </w:r>
      <w:r w:rsidR="005125BB">
        <w:rPr>
          <w:sz w:val="26"/>
          <w:szCs w:val="26"/>
        </w:rPr>
        <w:t>explain</w:t>
      </w:r>
      <w:r w:rsidRPr="00315C53" w:rsidR="005125BB">
        <w:rPr>
          <w:sz w:val="26"/>
          <w:szCs w:val="26"/>
        </w:rPr>
        <w:t xml:space="preserve"> </w:t>
      </w:r>
      <w:r w:rsidRPr="00315C53">
        <w:rPr>
          <w:sz w:val="26"/>
          <w:szCs w:val="26"/>
        </w:rPr>
        <w:t>various aspects of the collaborative process.  One clause addresse</w:t>
      </w:r>
      <w:r w:rsidR="0089346E">
        <w:rPr>
          <w:sz w:val="26"/>
          <w:szCs w:val="26"/>
        </w:rPr>
        <w:t>s</w:t>
      </w:r>
      <w:r w:rsidRPr="00315C53">
        <w:rPr>
          <w:sz w:val="26"/>
          <w:szCs w:val="26"/>
        </w:rPr>
        <w:t xml:space="preserve"> the confidentiality of the collaborative proceedings:  “Communications related to collaborative matters made during the collaborative process are confidential and may not be disclosed to third parties.  The parties agree that in any court or other proceeding, they will not request, subpoena or summons a collaborative lawyer, a collaborative party, or a nonparty participant in the collaborative process to make disclosure or testify as a witness regarding a communication made during the collaborative process, unless during the proceeding the agreement under this paragraph is expressly waived by all parties in writing.”  Confidentiality </w:t>
      </w:r>
      <w:r w:rsidR="006667FE">
        <w:rPr>
          <w:sz w:val="26"/>
          <w:szCs w:val="26"/>
        </w:rPr>
        <w:t>i</w:t>
      </w:r>
      <w:r w:rsidRPr="00315C53" w:rsidR="006667FE">
        <w:rPr>
          <w:sz w:val="26"/>
          <w:szCs w:val="26"/>
        </w:rPr>
        <w:t xml:space="preserve">s </w:t>
      </w:r>
      <w:r w:rsidRPr="00315C53">
        <w:rPr>
          <w:sz w:val="26"/>
          <w:szCs w:val="26"/>
        </w:rPr>
        <w:t>also subject to waiver if one of the parties “expresse</w:t>
      </w:r>
      <w:r w:rsidR="00537FBB">
        <w:rPr>
          <w:sz w:val="26"/>
          <w:szCs w:val="26"/>
        </w:rPr>
        <w:t>s</w:t>
      </w:r>
      <w:r w:rsidRPr="00315C53">
        <w:rPr>
          <w:sz w:val="26"/>
          <w:szCs w:val="26"/>
        </w:rPr>
        <w:t xml:space="preserve"> an intention to commit irreparable economic damage to joint property or property of either party.”  </w:t>
      </w:r>
    </w:p>
    <w:p w:rsidR="00315C53" w:rsidRPr="00315C53" w:rsidP="00315C53" w14:paraId="33203552" w14:textId="20114BB7">
      <w:pPr>
        <w:spacing w:line="288" w:lineRule="auto"/>
        <w:rPr>
          <w:sz w:val="26"/>
          <w:szCs w:val="26"/>
        </w:rPr>
      </w:pPr>
      <w:r w:rsidRPr="00315C53">
        <w:rPr>
          <w:sz w:val="26"/>
          <w:szCs w:val="26"/>
        </w:rPr>
        <w:tab/>
        <w:t>The second collaborative session focused on the community’s assets.  However, Ling became angry and left the meeting abruptly when she was asked about investments she had made using proceeds from the couple’s marijuana operation</w:t>
      </w:r>
      <w:r w:rsidR="0018491E">
        <w:rPr>
          <w:sz w:val="26"/>
          <w:szCs w:val="26"/>
        </w:rPr>
        <w:t xml:space="preserve"> that she had </w:t>
      </w:r>
      <w:r w:rsidR="00B82CEE">
        <w:rPr>
          <w:sz w:val="26"/>
          <w:szCs w:val="26"/>
        </w:rPr>
        <w:t>excavated</w:t>
      </w:r>
      <w:r w:rsidRPr="00315C53">
        <w:rPr>
          <w:sz w:val="26"/>
          <w:szCs w:val="26"/>
        </w:rPr>
        <w:t>.  Two weeks later</w:t>
      </w:r>
      <w:r w:rsidR="008179FE">
        <w:rPr>
          <w:sz w:val="26"/>
          <w:szCs w:val="26"/>
        </w:rPr>
        <w:t>,</w:t>
      </w:r>
      <w:r w:rsidRPr="00315C53">
        <w:rPr>
          <w:sz w:val="26"/>
          <w:szCs w:val="26"/>
        </w:rPr>
        <w:t xml:space="preserve"> she initiated divorce proceedings in family court.  Both parties retained new counsel. </w:t>
      </w:r>
    </w:p>
    <w:p w:rsidR="00315C53" w:rsidRPr="00315C53" w:rsidP="00315C53" w14:paraId="75AA5CC2" w14:textId="13FEC270">
      <w:pPr>
        <w:spacing w:line="288" w:lineRule="auto"/>
        <w:rPr>
          <w:sz w:val="26"/>
          <w:szCs w:val="26"/>
        </w:rPr>
      </w:pPr>
      <w:r w:rsidRPr="00315C53">
        <w:rPr>
          <w:sz w:val="26"/>
          <w:szCs w:val="26"/>
        </w:rPr>
        <w:tab/>
        <w:t xml:space="preserve">At a subsequent hearing on support and other issues, Paul subpoenaed both parties’ collaborative attorneys to testify about statements Ling made at the second collaborative session.  In opposition, Ling argued the confidentiality clause shielded her statements from disclosure.  Paul contended the clause was merely advisory and “in the spirit of collaboration,” conferring no legal rights or obligations.  Further, he maintained, even were it enforceable, Ling had waived confidentiality by “taking, concealing, spending, or hiding” cash she had purportedly dug up on the couple’s property.  </w:t>
      </w:r>
    </w:p>
    <w:p w:rsidR="00315C53" w:rsidRPr="00315C53" w:rsidP="00315C53" w14:paraId="23B573BE" w14:textId="52672B89">
      <w:pPr>
        <w:spacing w:line="288" w:lineRule="auto"/>
        <w:rPr>
          <w:sz w:val="26"/>
          <w:szCs w:val="26"/>
        </w:rPr>
      </w:pPr>
      <w:r w:rsidRPr="00315C53">
        <w:rPr>
          <w:sz w:val="26"/>
          <w:szCs w:val="26"/>
        </w:rPr>
        <w:tab/>
        <w:t xml:space="preserve">The court found the </w:t>
      </w:r>
      <w:r w:rsidR="001911EC">
        <w:rPr>
          <w:sz w:val="26"/>
          <w:szCs w:val="26"/>
        </w:rPr>
        <w:t>agreement</w:t>
      </w:r>
      <w:r w:rsidRPr="00315C53">
        <w:rPr>
          <w:sz w:val="26"/>
          <w:szCs w:val="26"/>
        </w:rPr>
        <w:t xml:space="preserve">, including the confidentiality clause, was unenforceable.  “It is not a contract.  It doesn’t give [the Muellers] any other duties other tha[n] what is provided in law. [¶] I think they went in knowing that while confidentiality is an important part in establishing trust and participating in collaboration, they also knew it was not enforceable that this confidentiality could be maintained.”  The court also found that, in any event, Ling had waived the confidentiality provision.  Accordingly, it allowed the parties’ collaborative attorneys to testify about the second collaborative session.  </w:t>
      </w:r>
    </w:p>
    <w:p w:rsidR="00315C53" w:rsidRPr="00315C53" w:rsidP="00315C53" w14:paraId="0325FDD8" w14:textId="28D0B790">
      <w:pPr>
        <w:spacing w:line="288" w:lineRule="auto"/>
        <w:rPr>
          <w:sz w:val="26"/>
          <w:szCs w:val="26"/>
        </w:rPr>
      </w:pPr>
      <w:r w:rsidRPr="00315C53">
        <w:rPr>
          <w:sz w:val="26"/>
          <w:szCs w:val="26"/>
        </w:rPr>
        <w:tab/>
        <w:t xml:space="preserve">Paul’s collaborative counsel testified Ling had “reluctantly” admitted she dug up and took cash the couple had buried, viewing it “as her savings from growing weed that she had received and retained.”  According to counsel, Ling said she had excavated at least $400,000, sent $100,000 to China to invest in real property, and invested another $200,000 in antiques. </w:t>
      </w:r>
      <w:r w:rsidR="00B3679F">
        <w:rPr>
          <w:sz w:val="26"/>
          <w:szCs w:val="26"/>
        </w:rPr>
        <w:t xml:space="preserve"> </w:t>
      </w:r>
      <w:r w:rsidRPr="00315C53">
        <w:rPr>
          <w:sz w:val="26"/>
          <w:szCs w:val="26"/>
        </w:rPr>
        <w:t xml:space="preserve">By her account, she had less than $100,000 left.  </w:t>
      </w:r>
    </w:p>
    <w:p w:rsidR="00315C53" w:rsidRPr="00315C53" w:rsidP="00315C53" w14:paraId="6387F553" w14:textId="02D1DB6A">
      <w:pPr>
        <w:spacing w:line="288" w:lineRule="auto"/>
        <w:ind w:firstLine="720"/>
        <w:rPr>
          <w:sz w:val="26"/>
          <w:szCs w:val="26"/>
        </w:rPr>
      </w:pPr>
      <w:r w:rsidRPr="00315C53">
        <w:rPr>
          <w:sz w:val="26"/>
          <w:szCs w:val="26"/>
        </w:rPr>
        <w:t xml:space="preserve">When Paul’s collaborative counsel started to question Ling about her investments during the session, he testified, she “just blew up. </w:t>
      </w:r>
      <w:r w:rsidR="00784008">
        <w:rPr>
          <w:sz w:val="26"/>
          <w:szCs w:val="26"/>
        </w:rPr>
        <w:t xml:space="preserve">[¶] </w:t>
      </w:r>
      <w:r w:rsidRPr="00315C53">
        <w:rPr>
          <w:sz w:val="26"/>
          <w:szCs w:val="26"/>
        </w:rPr>
        <w:t xml:space="preserve">To say she was emotional wouldn’t describe it.  She was very angry.  She jumped up, and I think hollered something like, ‘We’re going to court.’ ”  It was clear to counsel that Ling “considered this her money, and these were her assets, and </w:t>
      </w:r>
      <w:r w:rsidR="00AE678A">
        <w:rPr>
          <w:sz w:val="26"/>
          <w:szCs w:val="26"/>
        </w:rPr>
        <w:t xml:space="preserve">. . . </w:t>
      </w:r>
      <w:r w:rsidRPr="00315C53">
        <w:rPr>
          <w:sz w:val="26"/>
          <w:szCs w:val="26"/>
        </w:rPr>
        <w:t xml:space="preserve"> she wasn’t interested in hearing that it had to be considered in a division of the community property.”  Her </w:t>
      </w:r>
      <w:r w:rsidRPr="00315C53" w:rsidR="00974D16">
        <w:rPr>
          <w:sz w:val="26"/>
          <w:szCs w:val="26"/>
        </w:rPr>
        <w:t>sudden</w:t>
      </w:r>
      <w:r w:rsidRPr="00315C53">
        <w:rPr>
          <w:sz w:val="26"/>
          <w:szCs w:val="26"/>
        </w:rPr>
        <w:t xml:space="preserve"> departure from the meeting ended the collaborative process.  </w:t>
      </w:r>
    </w:p>
    <w:p w:rsidR="00315C53" w:rsidRPr="00315C53" w:rsidP="00315C53" w14:paraId="71DB5149" w14:textId="316BE712">
      <w:pPr>
        <w:spacing w:line="288" w:lineRule="auto"/>
        <w:ind w:firstLine="720"/>
        <w:rPr>
          <w:sz w:val="26"/>
          <w:szCs w:val="26"/>
        </w:rPr>
      </w:pPr>
      <w:r w:rsidRPr="00315C53">
        <w:rPr>
          <w:sz w:val="26"/>
          <w:szCs w:val="26"/>
        </w:rPr>
        <w:t xml:space="preserve">Ling’s collaborative counsel recalled the session differently.  To his recollection, Ling insisted she had taken only $300,000 from the couple’s $600,000 in buried cash, leaving “very little” after her $300,000 investment in </w:t>
      </w:r>
      <w:r w:rsidR="00974D16">
        <w:rPr>
          <w:sz w:val="26"/>
          <w:szCs w:val="26"/>
        </w:rPr>
        <w:t xml:space="preserve">antiques and </w:t>
      </w:r>
      <w:r w:rsidRPr="00315C53">
        <w:rPr>
          <w:sz w:val="26"/>
          <w:szCs w:val="26"/>
        </w:rPr>
        <w:t xml:space="preserve">Chinese real estate.  </w:t>
      </w:r>
    </w:p>
    <w:p w:rsidR="00315C53" w:rsidRPr="00315C53" w:rsidP="00315C53" w14:paraId="05CA5017" w14:textId="6A12EC67">
      <w:pPr>
        <w:spacing w:line="288" w:lineRule="auto"/>
        <w:ind w:firstLine="720"/>
        <w:rPr>
          <w:sz w:val="26"/>
          <w:szCs w:val="26"/>
        </w:rPr>
      </w:pPr>
      <w:r w:rsidRPr="00315C53">
        <w:rPr>
          <w:sz w:val="26"/>
          <w:szCs w:val="26"/>
        </w:rPr>
        <w:t xml:space="preserve">Paul testified consistently with his former counsel.  Ling testified the couple had equally divided $400,000, not $600,000, in cannabis proceeds when they separated; that she never invested in property in China; and that she invested (and lost) around $140,000 in fake antiques.  </w:t>
      </w:r>
    </w:p>
    <w:p w:rsidR="00315C53" w:rsidRPr="00315C53" w:rsidP="00315C53" w14:paraId="3D6F2B7E" w14:textId="57AB4E9C">
      <w:pPr>
        <w:spacing w:line="288" w:lineRule="auto"/>
        <w:ind w:firstLine="720"/>
        <w:rPr>
          <w:sz w:val="26"/>
          <w:szCs w:val="26"/>
        </w:rPr>
      </w:pPr>
      <w:r w:rsidRPr="00315C53">
        <w:rPr>
          <w:sz w:val="26"/>
          <w:szCs w:val="26"/>
        </w:rPr>
        <w:t xml:space="preserve">The court found both parties had “significant credibility gaps” but that Paul’s “testimony and differences in credibility on different days pales in connection to [Ling], whom I could not believe most of what she said.”  </w:t>
      </w:r>
    </w:p>
    <w:p w:rsidR="00315C53" w:rsidRPr="00315C53" w:rsidP="00315C53" w14:paraId="6CE44FE5" w14:textId="7A7DA379">
      <w:pPr>
        <w:spacing w:line="288" w:lineRule="auto"/>
        <w:ind w:firstLine="720"/>
        <w:rPr>
          <w:sz w:val="26"/>
          <w:szCs w:val="26"/>
        </w:rPr>
      </w:pPr>
      <w:r>
        <w:rPr>
          <w:sz w:val="26"/>
          <w:szCs w:val="26"/>
        </w:rPr>
        <w:t xml:space="preserve">At trial, </w:t>
      </w:r>
      <w:r w:rsidRPr="00315C53">
        <w:rPr>
          <w:sz w:val="26"/>
          <w:szCs w:val="26"/>
        </w:rPr>
        <w:t xml:space="preserve">Ling moved to exclude testimony about the couple’s collaborative session, again asserting it was barred by the </w:t>
      </w:r>
      <w:r w:rsidR="001911EC">
        <w:rPr>
          <w:sz w:val="26"/>
          <w:szCs w:val="26"/>
        </w:rPr>
        <w:t>agreement</w:t>
      </w:r>
      <w:r w:rsidRPr="00315C53">
        <w:rPr>
          <w:sz w:val="26"/>
          <w:szCs w:val="26"/>
        </w:rPr>
        <w:t>’s confidentiality clause.  The court denied the motion, allowed Paul to testify to Ling’s statements at the session, and took judicial notice of the collaborative attorneys’ prior testimony.  Finding Ling was not credible, it concluded she took more than her share of the community funds and ordered her to make a $161,077 equalizing payment.</w:t>
      </w:r>
    </w:p>
    <w:p w:rsidR="00647AEC" w:rsidRPr="00B04C6B" w:rsidP="00B04C6B" w14:paraId="22AB4A1D" w14:textId="44C21264">
      <w:pPr>
        <w:spacing w:line="288" w:lineRule="auto"/>
        <w:jc w:val="center"/>
        <w:rPr>
          <w:b/>
          <w:bCs/>
          <w:sz w:val="26"/>
          <w:szCs w:val="26"/>
        </w:rPr>
      </w:pPr>
      <w:r w:rsidRPr="00315C53">
        <w:rPr>
          <w:b/>
          <w:bCs/>
          <w:sz w:val="26"/>
          <w:szCs w:val="26"/>
        </w:rPr>
        <w:t>DISCUSSION</w:t>
      </w:r>
    </w:p>
    <w:p w:rsidR="00315C53" w:rsidRPr="003C0B66" w:rsidP="003C0B66" w14:paraId="1136BB8B" w14:textId="2CE1231A">
      <w:pPr>
        <w:spacing w:line="288" w:lineRule="auto"/>
        <w:ind w:firstLine="720"/>
        <w:rPr>
          <w:sz w:val="26"/>
          <w:szCs w:val="26"/>
        </w:rPr>
      </w:pPr>
      <w:r w:rsidRPr="00315C53">
        <w:rPr>
          <w:sz w:val="26"/>
          <w:szCs w:val="26"/>
        </w:rPr>
        <w:t xml:space="preserve">The sole issue on appeal, the admissibility of testimony about the second collaborative session, turns on </w:t>
      </w:r>
      <w:r w:rsidR="005E39FE">
        <w:rPr>
          <w:sz w:val="26"/>
          <w:szCs w:val="26"/>
        </w:rPr>
        <w:t xml:space="preserve">whether the </w:t>
      </w:r>
      <w:r w:rsidRPr="00315C53">
        <w:rPr>
          <w:sz w:val="26"/>
          <w:szCs w:val="26"/>
        </w:rPr>
        <w:t>confidentiality clause</w:t>
      </w:r>
      <w:r w:rsidR="005E39FE">
        <w:rPr>
          <w:sz w:val="26"/>
          <w:szCs w:val="26"/>
        </w:rPr>
        <w:t xml:space="preserve"> is enforceable</w:t>
      </w:r>
      <w:r w:rsidR="00042998">
        <w:rPr>
          <w:sz w:val="26"/>
          <w:szCs w:val="26"/>
        </w:rPr>
        <w:t xml:space="preserve"> despite </w:t>
      </w:r>
      <w:r w:rsidR="00012BB0">
        <w:rPr>
          <w:sz w:val="26"/>
          <w:szCs w:val="26"/>
        </w:rPr>
        <w:t xml:space="preserve">the agreement’s </w:t>
      </w:r>
      <w:r w:rsidR="001E4215">
        <w:rPr>
          <w:sz w:val="26"/>
          <w:szCs w:val="26"/>
        </w:rPr>
        <w:t>multiple statements</w:t>
      </w:r>
      <w:r w:rsidR="00012BB0">
        <w:rPr>
          <w:sz w:val="26"/>
          <w:szCs w:val="26"/>
        </w:rPr>
        <w:t xml:space="preserve"> that it creates no enforceable rights or obligations</w:t>
      </w:r>
      <w:r w:rsidRPr="00315C53">
        <w:rPr>
          <w:sz w:val="26"/>
          <w:szCs w:val="26"/>
        </w:rPr>
        <w:t xml:space="preserve">. </w:t>
      </w:r>
      <w:r w:rsidR="005202B1">
        <w:rPr>
          <w:sz w:val="26"/>
          <w:szCs w:val="26"/>
        </w:rPr>
        <w:t xml:space="preserve"> </w:t>
      </w:r>
      <w:r w:rsidRPr="00315C53">
        <w:rPr>
          <w:sz w:val="26"/>
          <w:szCs w:val="26"/>
        </w:rPr>
        <w:t>Ling contends the court erred in finding the confidentiality clause ha</w:t>
      </w:r>
      <w:r w:rsidR="004C6E30">
        <w:rPr>
          <w:sz w:val="26"/>
          <w:szCs w:val="26"/>
        </w:rPr>
        <w:t>s</w:t>
      </w:r>
      <w:r w:rsidRPr="00315C53">
        <w:rPr>
          <w:sz w:val="26"/>
          <w:szCs w:val="26"/>
        </w:rPr>
        <w:t xml:space="preserve"> no legal force, maintaining its interpretation was unreasonable and violated multiple canons of contract interpretation.  Alternatively, she contends principles of estoppel preclude Paul from claiming the confidentiality provision </w:t>
      </w:r>
      <w:r w:rsidR="00D71B0B">
        <w:rPr>
          <w:sz w:val="26"/>
          <w:szCs w:val="26"/>
        </w:rPr>
        <w:t>i</w:t>
      </w:r>
      <w:r w:rsidRPr="00315C53">
        <w:rPr>
          <w:sz w:val="26"/>
          <w:szCs w:val="26"/>
        </w:rPr>
        <w:t>s unenforceable.  Neither contention has merit.</w:t>
      </w:r>
    </w:p>
    <w:p w:rsidR="00315C53" w:rsidRPr="00315C53" w:rsidP="00315C53" w14:paraId="7BC59025" w14:textId="540C6F64">
      <w:pPr>
        <w:spacing w:line="288" w:lineRule="auto"/>
        <w:rPr>
          <w:sz w:val="26"/>
          <w:szCs w:val="26"/>
        </w:rPr>
      </w:pPr>
      <w:r w:rsidRPr="00315C53">
        <w:rPr>
          <w:sz w:val="26"/>
          <w:szCs w:val="26"/>
        </w:rPr>
        <w:tab/>
        <w:t xml:space="preserve">Our review is de novo because interpretation of the </w:t>
      </w:r>
      <w:r w:rsidR="001911EC">
        <w:rPr>
          <w:sz w:val="26"/>
          <w:szCs w:val="26"/>
        </w:rPr>
        <w:t>agreement</w:t>
      </w:r>
      <w:r w:rsidRPr="00315C53">
        <w:rPr>
          <w:sz w:val="26"/>
          <w:szCs w:val="26"/>
        </w:rPr>
        <w:t xml:space="preserve"> does not turn on the credibility of extrinsic evidence. </w:t>
      </w:r>
      <w:r w:rsidR="00AE2978">
        <w:rPr>
          <w:sz w:val="26"/>
          <w:szCs w:val="26"/>
        </w:rPr>
        <w:t xml:space="preserve"> </w:t>
      </w:r>
      <w:r w:rsidRPr="00315C53">
        <w:rPr>
          <w:sz w:val="26"/>
          <w:szCs w:val="26"/>
        </w:rPr>
        <w:t>(</w:t>
      </w:r>
      <w:r w:rsidRPr="00315C53">
        <w:rPr>
          <w:i/>
          <w:iCs/>
          <w:sz w:val="26"/>
          <w:szCs w:val="26"/>
        </w:rPr>
        <w:t xml:space="preserve">Saeta v. Superior Court </w:t>
      </w:r>
      <w:r w:rsidRPr="00315C53">
        <w:rPr>
          <w:sz w:val="26"/>
          <w:szCs w:val="26"/>
        </w:rPr>
        <w:t>(2004) 117 Cal.App.4th 261, 267.)  In conducting that review, we must first determine whether the contract language is reasonably susceptible to Ling’s interpretation.  If it is not, there is nothing more for us to decide.  (Civ. Code, §</w:t>
      </w:r>
      <w:r w:rsidR="005164D6">
        <w:rPr>
          <w:sz w:val="26"/>
          <w:szCs w:val="26"/>
        </w:rPr>
        <w:t xml:space="preserve"> </w:t>
      </w:r>
      <w:r w:rsidRPr="00315C53">
        <w:rPr>
          <w:sz w:val="26"/>
          <w:szCs w:val="26"/>
        </w:rPr>
        <w:t xml:space="preserve">1638; </w:t>
      </w:r>
      <w:r w:rsidRPr="00315C53">
        <w:rPr>
          <w:i/>
          <w:iCs/>
          <w:sz w:val="26"/>
          <w:szCs w:val="26"/>
        </w:rPr>
        <w:t xml:space="preserve">People ex rel. Lockyer v. R.J. Reynolds Tobacco Co. </w:t>
      </w:r>
      <w:r w:rsidRPr="00315C53">
        <w:rPr>
          <w:sz w:val="26"/>
          <w:szCs w:val="26"/>
        </w:rPr>
        <w:t>(2003) 107 Cal.App.4th 516, 524 (</w:t>
      </w:r>
      <w:r w:rsidRPr="00315C53">
        <w:rPr>
          <w:i/>
          <w:iCs/>
          <w:sz w:val="26"/>
          <w:szCs w:val="26"/>
        </w:rPr>
        <w:t>R.J. Reynolds</w:t>
      </w:r>
      <w:r w:rsidRPr="00315C53">
        <w:rPr>
          <w:sz w:val="26"/>
          <w:szCs w:val="26"/>
        </w:rPr>
        <w:t xml:space="preserve">).) </w:t>
      </w:r>
    </w:p>
    <w:p w:rsidR="00315C53" w:rsidRPr="00315C53" w:rsidP="00315C53" w14:paraId="6537D4AC" w14:textId="4315FB2E">
      <w:pPr>
        <w:spacing w:line="288" w:lineRule="auto"/>
        <w:rPr>
          <w:sz w:val="26"/>
          <w:szCs w:val="26"/>
        </w:rPr>
      </w:pPr>
      <w:r w:rsidRPr="00315C53">
        <w:rPr>
          <w:sz w:val="26"/>
          <w:szCs w:val="26"/>
        </w:rPr>
        <w:tab/>
        <w:t xml:space="preserve">It is not.  At its outset, the </w:t>
      </w:r>
      <w:r w:rsidR="001911EC">
        <w:rPr>
          <w:sz w:val="26"/>
          <w:szCs w:val="26"/>
        </w:rPr>
        <w:t>agreement</w:t>
      </w:r>
      <w:r w:rsidRPr="00315C53">
        <w:rPr>
          <w:sz w:val="26"/>
          <w:szCs w:val="26"/>
        </w:rPr>
        <w:t xml:space="preserve"> unequivocally state</w:t>
      </w:r>
      <w:r w:rsidR="001911EC">
        <w:rPr>
          <w:sz w:val="26"/>
          <w:szCs w:val="26"/>
        </w:rPr>
        <w:t>s</w:t>
      </w:r>
      <w:r w:rsidRPr="00315C53">
        <w:rPr>
          <w:sz w:val="26"/>
          <w:szCs w:val="26"/>
        </w:rPr>
        <w:t xml:space="preserve"> the parties</w:t>
      </w:r>
      <w:r w:rsidR="001911EC">
        <w:rPr>
          <w:sz w:val="26"/>
          <w:szCs w:val="26"/>
        </w:rPr>
        <w:t>’</w:t>
      </w:r>
      <w:r w:rsidRPr="00315C53">
        <w:rPr>
          <w:sz w:val="26"/>
          <w:szCs w:val="26"/>
        </w:rPr>
        <w:t xml:space="preserve"> </w:t>
      </w:r>
      <w:r w:rsidRPr="00315C53" w:rsidR="001911EC">
        <w:rPr>
          <w:sz w:val="26"/>
          <w:szCs w:val="26"/>
        </w:rPr>
        <w:t>underst</w:t>
      </w:r>
      <w:r w:rsidR="004C141C">
        <w:rPr>
          <w:sz w:val="26"/>
          <w:szCs w:val="26"/>
        </w:rPr>
        <w:t>and</w:t>
      </w:r>
      <w:r w:rsidR="001911EC">
        <w:rPr>
          <w:sz w:val="26"/>
          <w:szCs w:val="26"/>
        </w:rPr>
        <w:t>ing that</w:t>
      </w:r>
      <w:r w:rsidRPr="00315C53" w:rsidR="001911EC">
        <w:rPr>
          <w:sz w:val="26"/>
          <w:szCs w:val="26"/>
        </w:rPr>
        <w:t xml:space="preserve"> </w:t>
      </w:r>
      <w:r w:rsidRPr="00315C53">
        <w:rPr>
          <w:sz w:val="26"/>
          <w:szCs w:val="26"/>
        </w:rPr>
        <w:t xml:space="preserve">it </w:t>
      </w:r>
      <w:r w:rsidRPr="00315C53" w:rsidR="001911EC">
        <w:rPr>
          <w:sz w:val="26"/>
          <w:szCs w:val="26"/>
        </w:rPr>
        <w:t>d</w:t>
      </w:r>
      <w:r w:rsidR="001911EC">
        <w:rPr>
          <w:sz w:val="26"/>
          <w:szCs w:val="26"/>
        </w:rPr>
        <w:t>oes</w:t>
      </w:r>
      <w:r w:rsidRPr="00315C53" w:rsidR="001911EC">
        <w:rPr>
          <w:sz w:val="26"/>
          <w:szCs w:val="26"/>
        </w:rPr>
        <w:t xml:space="preserve"> </w:t>
      </w:r>
      <w:r w:rsidRPr="00315C53">
        <w:rPr>
          <w:sz w:val="26"/>
          <w:szCs w:val="26"/>
        </w:rPr>
        <w:t>not “give either of us enforceable legal rights that we did not already have</w:t>
      </w:r>
      <w:r w:rsidR="001F63F4">
        <w:rPr>
          <w:sz w:val="26"/>
          <w:szCs w:val="26"/>
        </w:rPr>
        <w:t>;</w:t>
      </w:r>
      <w:r w:rsidRPr="00315C53">
        <w:rPr>
          <w:sz w:val="26"/>
          <w:szCs w:val="26"/>
        </w:rPr>
        <w:t xml:space="preserve">” that “these good </w:t>
      </w:r>
      <w:r w:rsidR="005164D6">
        <w:rPr>
          <w:sz w:val="26"/>
          <w:szCs w:val="26"/>
        </w:rPr>
        <w:t>faith</w:t>
      </w:r>
      <w:r w:rsidRPr="00315C53">
        <w:rPr>
          <w:sz w:val="26"/>
          <w:szCs w:val="26"/>
        </w:rPr>
        <w:t xml:space="preserve"> undertakings set out in this document are not legally enforceable contractual obligations;” and that, while the parties commit to “resolve their differences fairly and equitably” and abide by </w:t>
      </w:r>
      <w:r w:rsidR="001F63F4">
        <w:rPr>
          <w:sz w:val="26"/>
          <w:szCs w:val="26"/>
        </w:rPr>
        <w:t>the agreement’s</w:t>
      </w:r>
      <w:r w:rsidRPr="00315C53">
        <w:rPr>
          <w:sz w:val="26"/>
          <w:szCs w:val="26"/>
        </w:rPr>
        <w:t xml:space="preserve"> “letter and spirit,” they “</w:t>
      </w:r>
      <w:r w:rsidR="001911EC">
        <w:rPr>
          <w:sz w:val="26"/>
          <w:szCs w:val="26"/>
        </w:rPr>
        <w:t xml:space="preserve">are </w:t>
      </w:r>
      <w:r w:rsidRPr="00315C53">
        <w:rPr>
          <w:sz w:val="26"/>
          <w:szCs w:val="26"/>
        </w:rPr>
        <w:t>not relying on this Agreement to create legally enforceable rights.</w:t>
      </w:r>
      <w:r w:rsidR="00421CCE">
        <w:rPr>
          <w:sz w:val="26"/>
          <w:szCs w:val="26"/>
        </w:rPr>
        <w:t>”</w:t>
      </w:r>
      <w:r w:rsidRPr="00315C53">
        <w:rPr>
          <w:sz w:val="26"/>
          <w:szCs w:val="26"/>
        </w:rPr>
        <w:t xml:space="preserve">  There is no ambiguity here</w:t>
      </w:r>
      <w:r w:rsidR="00B9103C">
        <w:rPr>
          <w:sz w:val="26"/>
          <w:szCs w:val="26"/>
        </w:rPr>
        <w:t>.</w:t>
      </w:r>
      <w:r w:rsidR="001911EC">
        <w:rPr>
          <w:sz w:val="26"/>
          <w:szCs w:val="26"/>
        </w:rPr>
        <w:t xml:space="preserve">  </w:t>
      </w:r>
      <w:r w:rsidR="004C141C">
        <w:rPr>
          <w:sz w:val="26"/>
          <w:szCs w:val="26"/>
        </w:rPr>
        <w:t xml:space="preserve">While </w:t>
      </w:r>
      <w:r w:rsidR="00B9103C">
        <w:rPr>
          <w:sz w:val="26"/>
          <w:szCs w:val="26"/>
        </w:rPr>
        <w:t xml:space="preserve">the agreement </w:t>
      </w:r>
      <w:r w:rsidR="001911EC">
        <w:rPr>
          <w:sz w:val="26"/>
          <w:szCs w:val="26"/>
        </w:rPr>
        <w:t xml:space="preserve">sets </w:t>
      </w:r>
      <w:r w:rsidR="00B9103C">
        <w:rPr>
          <w:sz w:val="26"/>
          <w:szCs w:val="26"/>
        </w:rPr>
        <w:t>ground rules</w:t>
      </w:r>
      <w:r w:rsidR="00411771">
        <w:rPr>
          <w:sz w:val="26"/>
          <w:szCs w:val="26"/>
        </w:rPr>
        <w:t xml:space="preserve"> for how the </w:t>
      </w:r>
      <w:r w:rsidR="00042998">
        <w:rPr>
          <w:sz w:val="26"/>
          <w:szCs w:val="26"/>
        </w:rPr>
        <w:t xml:space="preserve">parties </w:t>
      </w:r>
      <w:r w:rsidR="00B9103C">
        <w:rPr>
          <w:sz w:val="26"/>
          <w:szCs w:val="26"/>
        </w:rPr>
        <w:t>intend</w:t>
      </w:r>
      <w:r w:rsidR="00F15A15">
        <w:rPr>
          <w:sz w:val="26"/>
          <w:szCs w:val="26"/>
        </w:rPr>
        <w:t>ed</w:t>
      </w:r>
      <w:r w:rsidR="00B9103C">
        <w:rPr>
          <w:sz w:val="26"/>
          <w:szCs w:val="26"/>
        </w:rPr>
        <w:t xml:space="preserve"> to proceed</w:t>
      </w:r>
      <w:r w:rsidRPr="00315C53">
        <w:rPr>
          <w:sz w:val="26"/>
          <w:szCs w:val="26"/>
        </w:rPr>
        <w:t xml:space="preserve">, </w:t>
      </w:r>
      <w:r w:rsidR="00B9103C">
        <w:rPr>
          <w:sz w:val="26"/>
          <w:szCs w:val="26"/>
        </w:rPr>
        <w:t>the parties agreed that the agreement</w:t>
      </w:r>
      <w:r w:rsidR="004C141C">
        <w:rPr>
          <w:sz w:val="26"/>
          <w:szCs w:val="26"/>
        </w:rPr>
        <w:t xml:space="preserve"> </w:t>
      </w:r>
      <w:r w:rsidRPr="00315C53">
        <w:rPr>
          <w:sz w:val="26"/>
          <w:szCs w:val="26"/>
        </w:rPr>
        <w:t>ha</w:t>
      </w:r>
      <w:r w:rsidR="00411771">
        <w:rPr>
          <w:sz w:val="26"/>
          <w:szCs w:val="26"/>
        </w:rPr>
        <w:t>s</w:t>
      </w:r>
      <w:r w:rsidRPr="00315C53">
        <w:rPr>
          <w:sz w:val="26"/>
          <w:szCs w:val="26"/>
        </w:rPr>
        <w:t xml:space="preserve"> no legal force.  We must give effect to its explicit language.  (</w:t>
      </w:r>
      <w:r w:rsidRPr="00315C53">
        <w:rPr>
          <w:i/>
          <w:iCs/>
          <w:sz w:val="26"/>
          <w:szCs w:val="26"/>
        </w:rPr>
        <w:t xml:space="preserve">R.J. Reynolds, supra, </w:t>
      </w:r>
      <w:r w:rsidRPr="00315C53">
        <w:rPr>
          <w:sz w:val="26"/>
          <w:szCs w:val="26"/>
        </w:rPr>
        <w:t>107 Cal.App.4th at p. 524.)</w:t>
      </w:r>
    </w:p>
    <w:p w:rsidR="00315C53" w:rsidRPr="00315C53" w:rsidP="00315C53" w14:paraId="29E6C6CB" w14:textId="33F70AB9">
      <w:pPr>
        <w:spacing w:line="288" w:lineRule="auto"/>
        <w:ind w:firstLine="720"/>
        <w:rPr>
          <w:sz w:val="26"/>
          <w:szCs w:val="26"/>
        </w:rPr>
      </w:pPr>
      <w:r>
        <w:rPr>
          <w:sz w:val="26"/>
          <w:szCs w:val="26"/>
        </w:rPr>
        <w:t xml:space="preserve">It is </w:t>
      </w:r>
      <w:r w:rsidR="00B82B0C">
        <w:rPr>
          <w:sz w:val="26"/>
          <w:szCs w:val="26"/>
        </w:rPr>
        <w:t xml:space="preserve">an unusual </w:t>
      </w:r>
      <w:r w:rsidR="001118F0">
        <w:rPr>
          <w:sz w:val="26"/>
          <w:szCs w:val="26"/>
        </w:rPr>
        <w:t>agreement</w:t>
      </w:r>
      <w:r w:rsidR="00B82B0C">
        <w:rPr>
          <w:sz w:val="26"/>
          <w:szCs w:val="26"/>
        </w:rPr>
        <w:t xml:space="preserve">, to be sure.  </w:t>
      </w:r>
      <w:r w:rsidR="00FD40B2">
        <w:rPr>
          <w:sz w:val="26"/>
          <w:szCs w:val="26"/>
        </w:rPr>
        <w:t>But a</w:t>
      </w:r>
      <w:r w:rsidRPr="00315C53">
        <w:rPr>
          <w:sz w:val="26"/>
          <w:szCs w:val="26"/>
        </w:rPr>
        <w:t xml:space="preserve">s Professor Witkin </w:t>
      </w:r>
      <w:r w:rsidR="00B9103C">
        <w:rPr>
          <w:sz w:val="26"/>
          <w:szCs w:val="26"/>
        </w:rPr>
        <w:t>explains</w:t>
      </w:r>
      <w:r w:rsidRPr="00315C53">
        <w:rPr>
          <w:sz w:val="26"/>
          <w:szCs w:val="26"/>
        </w:rPr>
        <w:t xml:space="preserve">, “[t]he word ‘contract’ is often used with different meanings, e.g., as </w:t>
      </w:r>
      <w:r w:rsidR="003A15C5">
        <w:rPr>
          <w:sz w:val="26"/>
          <w:szCs w:val="26"/>
        </w:rPr>
        <w:t xml:space="preserve">a </w:t>
      </w:r>
      <w:r w:rsidRPr="00315C53">
        <w:rPr>
          <w:sz w:val="26"/>
          <w:szCs w:val="26"/>
        </w:rPr>
        <w:t xml:space="preserve">synonym for ‘agreement’ or ‘bargain.’  </w:t>
      </w:r>
      <w:r w:rsidRPr="00315C53">
        <w:rPr>
          <w:i/>
          <w:iCs/>
          <w:sz w:val="26"/>
          <w:szCs w:val="26"/>
        </w:rPr>
        <w:t>It may refer to legally ineffective agreements</w:t>
      </w:r>
      <w:r w:rsidRPr="00315C53">
        <w:rPr>
          <w:sz w:val="26"/>
          <w:szCs w:val="26"/>
        </w:rPr>
        <w:t>, or wholly executed transactions; to acts of parties, to a document that evidences them, or to resulting legal relations.</w:t>
      </w:r>
      <w:r w:rsidR="003A15C5">
        <w:rPr>
          <w:sz w:val="26"/>
          <w:szCs w:val="26"/>
        </w:rPr>
        <w:t>”</w:t>
      </w:r>
      <w:r w:rsidRPr="00315C53">
        <w:rPr>
          <w:sz w:val="26"/>
          <w:szCs w:val="26"/>
        </w:rPr>
        <w:t xml:space="preserve">  (1 Witkin, Summary of Cal. Law (11th ed., May 2023) Contracts</w:t>
      </w:r>
      <w:r w:rsidR="006E30A3">
        <w:rPr>
          <w:sz w:val="26"/>
          <w:szCs w:val="26"/>
        </w:rPr>
        <w:t>,</w:t>
      </w:r>
      <w:r w:rsidRPr="00315C53">
        <w:rPr>
          <w:sz w:val="26"/>
          <w:szCs w:val="26"/>
        </w:rPr>
        <w:t xml:space="preserve"> §</w:t>
      </w:r>
      <w:r w:rsidR="00463E51">
        <w:rPr>
          <w:sz w:val="26"/>
          <w:szCs w:val="26"/>
        </w:rPr>
        <w:t xml:space="preserve"> </w:t>
      </w:r>
      <w:r w:rsidRPr="00315C53">
        <w:rPr>
          <w:sz w:val="26"/>
          <w:szCs w:val="26"/>
        </w:rPr>
        <w:t xml:space="preserve">1, </w:t>
      </w:r>
      <w:r w:rsidR="005164D6">
        <w:rPr>
          <w:sz w:val="26"/>
          <w:szCs w:val="26"/>
        </w:rPr>
        <w:t>italics</w:t>
      </w:r>
      <w:r w:rsidRPr="00315C53">
        <w:rPr>
          <w:sz w:val="26"/>
          <w:szCs w:val="26"/>
        </w:rPr>
        <w:t xml:space="preserve"> added.)  Here, the </w:t>
      </w:r>
      <w:r w:rsidR="001911EC">
        <w:rPr>
          <w:sz w:val="26"/>
          <w:szCs w:val="26"/>
        </w:rPr>
        <w:t>agreement</w:t>
      </w:r>
      <w:r w:rsidRPr="00315C53">
        <w:rPr>
          <w:sz w:val="26"/>
          <w:szCs w:val="26"/>
        </w:rPr>
        <w:t xml:space="preserve"> </w:t>
      </w:r>
      <w:r>
        <w:rPr>
          <w:sz w:val="26"/>
          <w:szCs w:val="26"/>
        </w:rPr>
        <w:t>sets out a mutual understanding of the collaborative process</w:t>
      </w:r>
      <w:r w:rsidR="0025016C">
        <w:rPr>
          <w:sz w:val="26"/>
          <w:szCs w:val="26"/>
        </w:rPr>
        <w:t xml:space="preserve"> that the parties </w:t>
      </w:r>
      <w:r w:rsidR="004C141C">
        <w:rPr>
          <w:sz w:val="26"/>
          <w:szCs w:val="26"/>
        </w:rPr>
        <w:t>agreed</w:t>
      </w:r>
      <w:r w:rsidR="0025016C">
        <w:rPr>
          <w:sz w:val="26"/>
          <w:szCs w:val="26"/>
        </w:rPr>
        <w:t xml:space="preserve"> to follow</w:t>
      </w:r>
      <w:r>
        <w:rPr>
          <w:sz w:val="26"/>
          <w:szCs w:val="26"/>
        </w:rPr>
        <w:t xml:space="preserve">.  </w:t>
      </w:r>
      <w:r w:rsidR="00CC4EA1">
        <w:rPr>
          <w:sz w:val="26"/>
          <w:szCs w:val="26"/>
        </w:rPr>
        <w:t>I</w:t>
      </w:r>
      <w:r w:rsidRPr="00315C53">
        <w:rPr>
          <w:sz w:val="26"/>
          <w:szCs w:val="26"/>
        </w:rPr>
        <w:t xml:space="preserve">t is </w:t>
      </w:r>
      <w:r w:rsidRPr="0051707D">
        <w:rPr>
          <w:sz w:val="26"/>
          <w:szCs w:val="26"/>
        </w:rPr>
        <w:t>not</w:t>
      </w:r>
      <w:r w:rsidRPr="00315C53">
        <w:rPr>
          <w:i/>
          <w:iCs/>
          <w:sz w:val="26"/>
          <w:szCs w:val="26"/>
        </w:rPr>
        <w:t xml:space="preserve"> </w:t>
      </w:r>
      <w:r w:rsidRPr="00315C53">
        <w:rPr>
          <w:sz w:val="26"/>
          <w:szCs w:val="26"/>
        </w:rPr>
        <w:t xml:space="preserve">a “contract” in the traditional sense of an agreement that, once entered, gives rise to a legally enforceable obligation. </w:t>
      </w:r>
      <w:r w:rsidR="003A15C5">
        <w:rPr>
          <w:sz w:val="26"/>
          <w:szCs w:val="26"/>
        </w:rPr>
        <w:t xml:space="preserve"> </w:t>
      </w:r>
      <w:r w:rsidRPr="00315C53">
        <w:rPr>
          <w:sz w:val="26"/>
          <w:szCs w:val="26"/>
        </w:rPr>
        <w:t xml:space="preserve">(See </w:t>
      </w:r>
      <w:r w:rsidR="001F63F4">
        <w:rPr>
          <w:sz w:val="26"/>
          <w:szCs w:val="26"/>
        </w:rPr>
        <w:t xml:space="preserve">1 Witkin, </w:t>
      </w:r>
      <w:r w:rsidR="001F63F4">
        <w:rPr>
          <w:i/>
          <w:iCs/>
          <w:sz w:val="26"/>
          <w:szCs w:val="26"/>
        </w:rPr>
        <w:t xml:space="preserve">supra, </w:t>
      </w:r>
      <w:r w:rsidRPr="00315C53" w:rsidR="001F63F4">
        <w:rPr>
          <w:sz w:val="26"/>
          <w:szCs w:val="26"/>
        </w:rPr>
        <w:t>§</w:t>
      </w:r>
      <w:r w:rsidR="001F63F4">
        <w:rPr>
          <w:sz w:val="26"/>
          <w:szCs w:val="26"/>
        </w:rPr>
        <w:t xml:space="preserve"> </w:t>
      </w:r>
      <w:r w:rsidRPr="00315C53" w:rsidR="001F63F4">
        <w:rPr>
          <w:sz w:val="26"/>
          <w:szCs w:val="26"/>
        </w:rPr>
        <w:t>1</w:t>
      </w:r>
      <w:r w:rsidRPr="00315C53">
        <w:rPr>
          <w:sz w:val="26"/>
          <w:szCs w:val="26"/>
        </w:rPr>
        <w:t>.)  By its terms, rather, it provided an aspirational and nonbinding framework of a process for, ideally, achieving a mutually agreed-upon marital dissolution without resorting to litigation.</w:t>
      </w:r>
    </w:p>
    <w:p w:rsidR="00315C53" w:rsidRPr="00315C53" w:rsidP="00315C53" w14:paraId="15651A56" w14:textId="131A4341">
      <w:pPr>
        <w:spacing w:line="288" w:lineRule="auto"/>
        <w:rPr>
          <w:i/>
          <w:iCs/>
          <w:sz w:val="26"/>
          <w:szCs w:val="26"/>
        </w:rPr>
      </w:pPr>
      <w:r w:rsidRPr="00315C53">
        <w:rPr>
          <w:sz w:val="26"/>
          <w:szCs w:val="26"/>
        </w:rPr>
        <w:tab/>
        <w:t xml:space="preserve">Ling disagrees.  She maintains the more (or only) reasonable interpretation of the </w:t>
      </w:r>
      <w:r w:rsidR="0025016C">
        <w:rPr>
          <w:sz w:val="26"/>
          <w:szCs w:val="26"/>
        </w:rPr>
        <w:t>unenforceability language</w:t>
      </w:r>
      <w:r w:rsidRPr="00315C53">
        <w:rPr>
          <w:sz w:val="26"/>
          <w:szCs w:val="26"/>
        </w:rPr>
        <w:t xml:space="preserve"> is that “a party cannot be forced to continue with collaborative dissolution.” </w:t>
      </w:r>
      <w:r w:rsidR="0025016C">
        <w:rPr>
          <w:sz w:val="26"/>
          <w:szCs w:val="26"/>
        </w:rPr>
        <w:t xml:space="preserve">Well, yes, it does do that.  </w:t>
      </w:r>
      <w:r w:rsidRPr="00315C53">
        <w:rPr>
          <w:sz w:val="26"/>
          <w:szCs w:val="26"/>
        </w:rPr>
        <w:t xml:space="preserve">But </w:t>
      </w:r>
      <w:r w:rsidR="00411771">
        <w:rPr>
          <w:sz w:val="26"/>
          <w:szCs w:val="26"/>
        </w:rPr>
        <w:t xml:space="preserve">Ling does not </w:t>
      </w:r>
      <w:r w:rsidR="0025016C">
        <w:rPr>
          <w:sz w:val="26"/>
          <w:szCs w:val="26"/>
        </w:rPr>
        <w:t xml:space="preserve">grapple with the </w:t>
      </w:r>
      <w:r w:rsidR="0023042F">
        <w:rPr>
          <w:sz w:val="26"/>
          <w:szCs w:val="26"/>
        </w:rPr>
        <w:t xml:space="preserve">sweeping language that the parties used.  If the agreement creates </w:t>
      </w:r>
      <w:r w:rsidR="00411771">
        <w:rPr>
          <w:sz w:val="26"/>
          <w:szCs w:val="26"/>
        </w:rPr>
        <w:t xml:space="preserve">no “legally enforceable </w:t>
      </w:r>
      <w:r w:rsidR="0023042F">
        <w:rPr>
          <w:sz w:val="26"/>
          <w:szCs w:val="26"/>
        </w:rPr>
        <w:t>right</w:t>
      </w:r>
      <w:r w:rsidR="00411771">
        <w:rPr>
          <w:sz w:val="26"/>
          <w:szCs w:val="26"/>
        </w:rPr>
        <w:t>s</w:t>
      </w:r>
      <w:r w:rsidR="00F44450">
        <w:rPr>
          <w:sz w:val="26"/>
          <w:szCs w:val="26"/>
        </w:rPr>
        <w:t>,</w:t>
      </w:r>
      <w:r w:rsidR="00411771">
        <w:rPr>
          <w:sz w:val="26"/>
          <w:szCs w:val="26"/>
        </w:rPr>
        <w:t xml:space="preserve">” </w:t>
      </w:r>
      <w:r w:rsidR="0023042F">
        <w:rPr>
          <w:sz w:val="26"/>
          <w:szCs w:val="26"/>
        </w:rPr>
        <w:t xml:space="preserve">but also </w:t>
      </w:r>
      <w:r w:rsidR="00B102D7">
        <w:rPr>
          <w:sz w:val="26"/>
          <w:szCs w:val="26"/>
        </w:rPr>
        <w:t xml:space="preserve">creates a </w:t>
      </w:r>
      <w:r w:rsidR="0023042F">
        <w:rPr>
          <w:sz w:val="26"/>
          <w:szCs w:val="26"/>
        </w:rPr>
        <w:t>legally enforceable</w:t>
      </w:r>
      <w:r w:rsidR="00B102D7">
        <w:rPr>
          <w:sz w:val="26"/>
          <w:szCs w:val="26"/>
        </w:rPr>
        <w:t xml:space="preserve"> right to </w:t>
      </w:r>
      <w:r w:rsidR="0023042F">
        <w:rPr>
          <w:sz w:val="26"/>
          <w:szCs w:val="26"/>
        </w:rPr>
        <w:t>confidentially, it would be</w:t>
      </w:r>
      <w:r w:rsidR="00411771">
        <w:rPr>
          <w:sz w:val="26"/>
          <w:szCs w:val="26"/>
        </w:rPr>
        <w:t xml:space="preserve"> </w:t>
      </w:r>
      <w:r w:rsidR="00E90AD1">
        <w:rPr>
          <w:sz w:val="26"/>
          <w:szCs w:val="26"/>
        </w:rPr>
        <w:t>a</w:t>
      </w:r>
      <w:r w:rsidR="00411771">
        <w:rPr>
          <w:sz w:val="26"/>
          <w:szCs w:val="26"/>
        </w:rPr>
        <w:t xml:space="preserve"> </w:t>
      </w:r>
      <w:r w:rsidR="0023042F">
        <w:rPr>
          <w:sz w:val="26"/>
          <w:szCs w:val="26"/>
        </w:rPr>
        <w:t>contractual</w:t>
      </w:r>
      <w:r w:rsidR="00411771">
        <w:rPr>
          <w:sz w:val="26"/>
          <w:szCs w:val="26"/>
        </w:rPr>
        <w:t xml:space="preserve"> </w:t>
      </w:r>
      <w:r w:rsidR="00295873">
        <w:rPr>
          <w:sz w:val="26"/>
          <w:szCs w:val="26"/>
        </w:rPr>
        <w:t>version of</w:t>
      </w:r>
      <w:r w:rsidR="00411771">
        <w:rPr>
          <w:sz w:val="26"/>
          <w:szCs w:val="26"/>
        </w:rPr>
        <w:t xml:space="preserve"> </w:t>
      </w:r>
      <w:r w:rsidR="0025016C">
        <w:rPr>
          <w:sz w:val="26"/>
          <w:szCs w:val="26"/>
        </w:rPr>
        <w:t>Schrödinger’s</w:t>
      </w:r>
      <w:r w:rsidR="00411771">
        <w:rPr>
          <w:sz w:val="26"/>
          <w:szCs w:val="26"/>
        </w:rPr>
        <w:t xml:space="preserve"> cat—simultaneously enforceable and unenforceable.  The </w:t>
      </w:r>
      <w:r w:rsidR="0025016C">
        <w:rPr>
          <w:sz w:val="26"/>
          <w:szCs w:val="26"/>
        </w:rPr>
        <w:t>agreement</w:t>
      </w:r>
      <w:r w:rsidR="00411771">
        <w:rPr>
          <w:sz w:val="26"/>
          <w:szCs w:val="26"/>
        </w:rPr>
        <w:t xml:space="preserve"> </w:t>
      </w:r>
      <w:r w:rsidRPr="00315C53">
        <w:rPr>
          <w:sz w:val="26"/>
          <w:szCs w:val="26"/>
        </w:rPr>
        <w:t>is not reasonably susceptible to that interpretation.  (</w:t>
      </w:r>
      <w:r w:rsidRPr="00315C53">
        <w:rPr>
          <w:i/>
          <w:iCs/>
          <w:sz w:val="26"/>
          <w:szCs w:val="26"/>
        </w:rPr>
        <w:t xml:space="preserve">See R.J. Reynolds, supra, </w:t>
      </w:r>
      <w:r w:rsidRPr="00315C53">
        <w:rPr>
          <w:sz w:val="26"/>
          <w:szCs w:val="26"/>
        </w:rPr>
        <w:t>107 Cal.App.4th at p. 524.)</w:t>
      </w:r>
      <w:r w:rsidR="00B102D7">
        <w:rPr>
          <w:sz w:val="26"/>
          <w:szCs w:val="26"/>
        </w:rPr>
        <w:t xml:space="preserve">  </w:t>
      </w:r>
    </w:p>
    <w:p w:rsidR="00315C53" w:rsidRPr="00315C53" w:rsidP="00315C53" w14:paraId="62B01EBF" w14:textId="1EEEB121">
      <w:pPr>
        <w:spacing w:line="288" w:lineRule="auto"/>
        <w:ind w:firstLine="720"/>
        <w:rPr>
          <w:sz w:val="26"/>
          <w:szCs w:val="26"/>
        </w:rPr>
      </w:pPr>
      <w:r w:rsidRPr="00315C53">
        <w:rPr>
          <w:sz w:val="26"/>
          <w:szCs w:val="26"/>
        </w:rPr>
        <w:t>Citing the canon that contracts are interpreted to avoid surplusage and give effect to every part where reasonably practicable (see Civ. Code, §</w:t>
      </w:r>
      <w:r w:rsidR="00C615E4">
        <w:rPr>
          <w:sz w:val="26"/>
          <w:szCs w:val="26"/>
        </w:rPr>
        <w:t xml:space="preserve"> </w:t>
      </w:r>
      <w:r w:rsidRPr="00315C53">
        <w:rPr>
          <w:sz w:val="26"/>
          <w:szCs w:val="26"/>
        </w:rPr>
        <w:t xml:space="preserve">1641; </w:t>
      </w:r>
      <w:r w:rsidRPr="00315C53">
        <w:rPr>
          <w:i/>
          <w:iCs/>
          <w:sz w:val="26"/>
          <w:szCs w:val="26"/>
        </w:rPr>
        <w:t xml:space="preserve">Lueras v. BAC Home Loans Servicing, LP </w:t>
      </w:r>
      <w:r w:rsidRPr="00315C53">
        <w:rPr>
          <w:sz w:val="26"/>
          <w:szCs w:val="26"/>
        </w:rPr>
        <w:t xml:space="preserve">(2013) 221 Cal.App.4th 49, 71), Ling asserts the confidentiality provision </w:t>
      </w:r>
      <w:r w:rsidR="00E06B0F">
        <w:rPr>
          <w:sz w:val="26"/>
          <w:szCs w:val="26"/>
        </w:rPr>
        <w:t>i</w:t>
      </w:r>
      <w:r w:rsidRPr="00315C53" w:rsidR="00E06B0F">
        <w:rPr>
          <w:sz w:val="26"/>
          <w:szCs w:val="26"/>
        </w:rPr>
        <w:t xml:space="preserve">s </w:t>
      </w:r>
      <w:r w:rsidRPr="00315C53">
        <w:rPr>
          <w:sz w:val="26"/>
          <w:szCs w:val="26"/>
        </w:rPr>
        <w:t xml:space="preserve">enforceable because, in her view, it would otherwise be a nullity.  We are unpersuaded.  </w:t>
      </w:r>
      <w:r w:rsidR="006F65DE">
        <w:rPr>
          <w:sz w:val="26"/>
          <w:szCs w:val="26"/>
        </w:rPr>
        <w:t>H</w:t>
      </w:r>
      <w:r w:rsidR="00A7230D">
        <w:rPr>
          <w:sz w:val="26"/>
          <w:szCs w:val="26"/>
        </w:rPr>
        <w:t xml:space="preserve">er approach would leave the </w:t>
      </w:r>
      <w:r w:rsidRPr="0051707D" w:rsidR="00A7230D">
        <w:rPr>
          <w:i/>
          <w:iCs/>
          <w:sz w:val="26"/>
          <w:szCs w:val="26"/>
        </w:rPr>
        <w:t>unenforceability</w:t>
      </w:r>
      <w:r w:rsidR="00A7230D">
        <w:rPr>
          <w:sz w:val="26"/>
          <w:szCs w:val="26"/>
        </w:rPr>
        <w:t xml:space="preserve"> language </w:t>
      </w:r>
      <w:r w:rsidRPr="00315C53">
        <w:rPr>
          <w:sz w:val="26"/>
          <w:szCs w:val="26"/>
        </w:rPr>
        <w:t xml:space="preserve">a nullity.  Ling does not acknowledge, much less resolve, this paradox, and she cannot: if the confidentiality clause is interpreted as a binding obligation, it is impossible to give legal effect to both provisions.  In contrast, the two are harmonized if, as the </w:t>
      </w:r>
      <w:r w:rsidR="001911EC">
        <w:rPr>
          <w:sz w:val="26"/>
          <w:szCs w:val="26"/>
        </w:rPr>
        <w:t>agreement</w:t>
      </w:r>
      <w:r w:rsidRPr="00315C53">
        <w:rPr>
          <w:sz w:val="26"/>
          <w:szCs w:val="26"/>
        </w:rPr>
        <w:t xml:space="preserve"> directs, the confidentiality clause is construed consistently with the </w:t>
      </w:r>
      <w:r w:rsidR="0023042F">
        <w:rPr>
          <w:sz w:val="26"/>
          <w:szCs w:val="26"/>
        </w:rPr>
        <w:t xml:space="preserve">overarching provision that the parties intend to abide by the agreement’s terms although they are not </w:t>
      </w:r>
      <w:r w:rsidRPr="00315C53">
        <w:rPr>
          <w:sz w:val="26"/>
          <w:szCs w:val="26"/>
        </w:rPr>
        <w:t xml:space="preserve">legally binding.  The </w:t>
      </w:r>
      <w:r w:rsidR="00030A66">
        <w:rPr>
          <w:sz w:val="26"/>
          <w:szCs w:val="26"/>
        </w:rPr>
        <w:t>family court</w:t>
      </w:r>
      <w:r w:rsidRPr="00315C53">
        <w:rPr>
          <w:sz w:val="26"/>
          <w:szCs w:val="26"/>
        </w:rPr>
        <w:t xml:space="preserve"> properly took that view.</w:t>
      </w:r>
      <w:r>
        <w:rPr>
          <w:rStyle w:val="FootnoteReference"/>
          <w:sz w:val="26"/>
          <w:szCs w:val="26"/>
        </w:rPr>
        <w:footnoteReference w:id="3"/>
      </w:r>
      <w:r w:rsidRPr="00315C53">
        <w:rPr>
          <w:sz w:val="26"/>
          <w:szCs w:val="26"/>
        </w:rPr>
        <w:t xml:space="preserve">  </w:t>
      </w:r>
    </w:p>
    <w:p w:rsidR="00315C53" w:rsidRPr="00315C53" w:rsidP="00315C53" w14:paraId="1998667F" w14:textId="0BC10C3A">
      <w:pPr>
        <w:spacing w:line="288" w:lineRule="auto"/>
        <w:ind w:firstLine="720"/>
        <w:rPr>
          <w:sz w:val="26"/>
          <w:szCs w:val="26"/>
        </w:rPr>
      </w:pPr>
      <w:r w:rsidRPr="00315C53">
        <w:rPr>
          <w:sz w:val="26"/>
          <w:szCs w:val="26"/>
        </w:rPr>
        <w:t>Ling’s remaining arguments are for the most part premised on various other canons of contract interpretation.  We agree with Paul that they shed no light on the correct interpretation of an agreement that, by its plain language, create</w:t>
      </w:r>
      <w:r w:rsidR="00A7230D">
        <w:rPr>
          <w:sz w:val="26"/>
          <w:szCs w:val="26"/>
        </w:rPr>
        <w:t>s</w:t>
      </w:r>
      <w:r w:rsidRPr="00315C53">
        <w:rPr>
          <w:sz w:val="26"/>
          <w:szCs w:val="26"/>
        </w:rPr>
        <w:t xml:space="preserve"> no legally enforceable rights.  In any event, assuming some ambiguity and to the extent these points do not merely reiterate Ling’s surplusage argument,</w:t>
      </w:r>
      <w:r w:rsidR="00847279">
        <w:rPr>
          <w:sz w:val="26"/>
          <w:szCs w:val="26"/>
        </w:rPr>
        <w:t xml:space="preserve"> </w:t>
      </w:r>
      <w:r w:rsidRPr="00315C53">
        <w:rPr>
          <w:sz w:val="26"/>
          <w:szCs w:val="26"/>
        </w:rPr>
        <w:t>they are meritless.</w:t>
      </w:r>
    </w:p>
    <w:p w:rsidR="00180063" w:rsidP="00315C53" w14:paraId="5B0463BA" w14:textId="58297382">
      <w:pPr>
        <w:spacing w:line="288" w:lineRule="auto"/>
        <w:ind w:firstLine="720"/>
        <w:rPr>
          <w:sz w:val="26"/>
          <w:szCs w:val="26"/>
        </w:rPr>
      </w:pPr>
      <w:r w:rsidRPr="00315C53">
        <w:rPr>
          <w:sz w:val="26"/>
          <w:szCs w:val="26"/>
        </w:rPr>
        <w:t xml:space="preserve">Ling maintains her interpretation conforms with local custom and usage because the </w:t>
      </w:r>
      <w:r w:rsidR="001911EC">
        <w:rPr>
          <w:sz w:val="26"/>
          <w:szCs w:val="26"/>
        </w:rPr>
        <w:t>agreement</w:t>
      </w:r>
      <w:r w:rsidRPr="00315C53">
        <w:rPr>
          <w:sz w:val="26"/>
          <w:szCs w:val="26"/>
        </w:rPr>
        <w:t xml:space="preserve"> is “</w:t>
      </w:r>
      <w:r w:rsidR="00C615E4">
        <w:rPr>
          <w:sz w:val="26"/>
          <w:szCs w:val="26"/>
        </w:rPr>
        <w:t xml:space="preserve"> ‘</w:t>
      </w:r>
      <w:r w:rsidRPr="00315C53">
        <w:rPr>
          <w:sz w:val="26"/>
          <w:szCs w:val="26"/>
        </w:rPr>
        <w:t>the standard</w:t>
      </w:r>
      <w:r w:rsidR="00C615E4">
        <w:rPr>
          <w:sz w:val="26"/>
          <w:szCs w:val="26"/>
        </w:rPr>
        <w:t xml:space="preserve">’ </w:t>
      </w:r>
      <w:r w:rsidRPr="00315C53">
        <w:rPr>
          <w:sz w:val="26"/>
          <w:szCs w:val="26"/>
        </w:rPr>
        <w:t xml:space="preserve">” form used in Mendocino County.  (See </w:t>
      </w:r>
      <w:r w:rsidRPr="00315C53">
        <w:rPr>
          <w:i/>
          <w:iCs/>
          <w:sz w:val="26"/>
          <w:szCs w:val="26"/>
        </w:rPr>
        <w:t xml:space="preserve">Penn Sec. Life Ins. Co. v. Rising </w:t>
      </w:r>
      <w:r w:rsidRPr="00315C53">
        <w:rPr>
          <w:sz w:val="26"/>
          <w:szCs w:val="26"/>
        </w:rPr>
        <w:t>(</w:t>
      </w:r>
      <w:r w:rsidR="00C615E4">
        <w:rPr>
          <w:sz w:val="26"/>
          <w:szCs w:val="26"/>
        </w:rPr>
        <w:t xml:space="preserve">1976) </w:t>
      </w:r>
      <w:r w:rsidRPr="00315C53">
        <w:rPr>
          <w:sz w:val="26"/>
          <w:szCs w:val="26"/>
        </w:rPr>
        <w:t xml:space="preserve">62 Cal.App.3d 302, 308 [general custom or usage must be considered in determining the intent of the parties unless the contract manifests a contrary intention].)  But there is no evidence the confidentiality clause has ever, let alone customarily, been accorded legal force in the county, even assuming common usage.  </w:t>
      </w:r>
    </w:p>
    <w:p w:rsidR="00315C53" w:rsidRPr="00315C53" w:rsidP="00315C53" w14:paraId="06A0D934" w14:textId="3462E6E3">
      <w:pPr>
        <w:spacing w:line="288" w:lineRule="auto"/>
        <w:ind w:firstLine="720"/>
        <w:rPr>
          <w:sz w:val="26"/>
          <w:szCs w:val="26"/>
        </w:rPr>
      </w:pPr>
      <w:r w:rsidRPr="001F63F4">
        <w:rPr>
          <w:sz w:val="26"/>
          <w:szCs w:val="26"/>
        </w:rPr>
        <w:t xml:space="preserve">Ling also </w:t>
      </w:r>
      <w:r w:rsidRPr="001F63F4" w:rsidR="00AD6C77">
        <w:rPr>
          <w:sz w:val="26"/>
          <w:szCs w:val="26"/>
        </w:rPr>
        <w:t>argues</w:t>
      </w:r>
      <w:r w:rsidRPr="001F63F4">
        <w:rPr>
          <w:sz w:val="26"/>
          <w:szCs w:val="26"/>
        </w:rPr>
        <w:t xml:space="preserve"> public policy compels her interpretation</w:t>
      </w:r>
      <w:r w:rsidRPr="001F63F4" w:rsidR="00AD6C77">
        <w:rPr>
          <w:sz w:val="26"/>
          <w:szCs w:val="26"/>
        </w:rPr>
        <w:t>.</w:t>
      </w:r>
      <w:r w:rsidRPr="001F63F4">
        <w:rPr>
          <w:sz w:val="26"/>
          <w:szCs w:val="26"/>
        </w:rPr>
        <w:t xml:space="preserve">  </w:t>
      </w:r>
      <w:r w:rsidRPr="001F63F4" w:rsidR="007F2817">
        <w:rPr>
          <w:sz w:val="26"/>
          <w:szCs w:val="26"/>
        </w:rPr>
        <w:t>I</w:t>
      </w:r>
      <w:r w:rsidRPr="001F63F4" w:rsidR="00B94F96">
        <w:rPr>
          <w:sz w:val="26"/>
          <w:szCs w:val="26"/>
        </w:rPr>
        <w:t>t may well be true</w:t>
      </w:r>
      <w:r w:rsidRPr="001F63F4" w:rsidR="001E72DA">
        <w:rPr>
          <w:sz w:val="26"/>
          <w:szCs w:val="26"/>
        </w:rPr>
        <w:t xml:space="preserve"> that</w:t>
      </w:r>
      <w:r w:rsidRPr="001F63F4" w:rsidR="0035338F">
        <w:rPr>
          <w:sz w:val="26"/>
          <w:szCs w:val="26"/>
        </w:rPr>
        <w:t xml:space="preserve"> </w:t>
      </w:r>
      <w:r w:rsidRPr="001F63F4" w:rsidR="001E72DA">
        <w:rPr>
          <w:sz w:val="26"/>
          <w:szCs w:val="26"/>
        </w:rPr>
        <w:t xml:space="preserve">confidentiality </w:t>
      </w:r>
      <w:r w:rsidRPr="001F63F4" w:rsidR="006F2386">
        <w:rPr>
          <w:sz w:val="26"/>
          <w:szCs w:val="26"/>
        </w:rPr>
        <w:t xml:space="preserve">would make most </w:t>
      </w:r>
      <w:r w:rsidRPr="001F63F4" w:rsidR="001E72DA">
        <w:rPr>
          <w:sz w:val="26"/>
          <w:szCs w:val="26"/>
        </w:rPr>
        <w:t xml:space="preserve">collaborative law </w:t>
      </w:r>
      <w:r w:rsidRPr="001F63F4" w:rsidR="006F2386">
        <w:rPr>
          <w:sz w:val="26"/>
          <w:szCs w:val="26"/>
        </w:rPr>
        <w:t>negotiations more effective</w:t>
      </w:r>
      <w:r w:rsidRPr="001F63F4" w:rsidR="0074142E">
        <w:rPr>
          <w:sz w:val="26"/>
          <w:szCs w:val="26"/>
        </w:rPr>
        <w:t xml:space="preserve">.  </w:t>
      </w:r>
      <w:r w:rsidR="00E06B0F">
        <w:rPr>
          <w:sz w:val="26"/>
          <w:szCs w:val="26"/>
        </w:rPr>
        <w:t xml:space="preserve">(Cf. </w:t>
      </w:r>
      <w:r w:rsidRPr="001F63F4" w:rsidR="00E06B0F">
        <w:rPr>
          <w:i/>
          <w:iCs/>
          <w:sz w:val="26"/>
          <w:szCs w:val="26"/>
        </w:rPr>
        <w:t>Foxgate Homeowners</w:t>
      </w:r>
      <w:r w:rsidR="00E06B0F">
        <w:rPr>
          <w:i/>
          <w:iCs/>
          <w:sz w:val="26"/>
          <w:szCs w:val="26"/>
        </w:rPr>
        <w:t>’</w:t>
      </w:r>
      <w:r w:rsidRPr="001F63F4" w:rsidR="00E06B0F">
        <w:rPr>
          <w:i/>
          <w:iCs/>
          <w:sz w:val="26"/>
          <w:szCs w:val="26"/>
        </w:rPr>
        <w:t xml:space="preserve"> Ass</w:t>
      </w:r>
      <w:r w:rsidR="00E06B0F">
        <w:rPr>
          <w:i/>
          <w:iCs/>
          <w:sz w:val="26"/>
          <w:szCs w:val="26"/>
        </w:rPr>
        <w:t>n</w:t>
      </w:r>
      <w:r w:rsidRPr="001F63F4" w:rsidR="00E06B0F">
        <w:rPr>
          <w:i/>
          <w:iCs/>
          <w:sz w:val="26"/>
          <w:szCs w:val="26"/>
        </w:rPr>
        <w:t xml:space="preserve">. v. Bramalea California, Inc. </w:t>
      </w:r>
      <w:r w:rsidRPr="001F63F4" w:rsidR="00E06B0F">
        <w:rPr>
          <w:sz w:val="26"/>
          <w:szCs w:val="26"/>
        </w:rPr>
        <w:t>(2001) 26 Cal.</w:t>
      </w:r>
      <w:r w:rsidR="00E06B0F">
        <w:rPr>
          <w:sz w:val="26"/>
          <w:szCs w:val="26"/>
        </w:rPr>
        <w:t>4</w:t>
      </w:r>
      <w:r w:rsidRPr="00042998" w:rsidR="00E06B0F">
        <w:rPr>
          <w:sz w:val="26"/>
          <w:szCs w:val="26"/>
        </w:rPr>
        <w:t>th</w:t>
      </w:r>
      <w:r w:rsidRPr="001F63F4" w:rsidR="00E06B0F">
        <w:rPr>
          <w:sz w:val="26"/>
          <w:szCs w:val="26"/>
        </w:rPr>
        <w:t xml:space="preserve"> 1</w:t>
      </w:r>
      <w:r w:rsidR="00E06B0F">
        <w:rPr>
          <w:sz w:val="26"/>
          <w:szCs w:val="26"/>
        </w:rPr>
        <w:t xml:space="preserve">, 14 </w:t>
      </w:r>
      <w:r w:rsidR="00042998">
        <w:rPr>
          <w:sz w:val="26"/>
          <w:szCs w:val="26"/>
        </w:rPr>
        <w:t>[</w:t>
      </w:r>
      <w:r w:rsidR="00E06B0F">
        <w:rPr>
          <w:sz w:val="26"/>
          <w:szCs w:val="26"/>
        </w:rPr>
        <w:t>“confidentiality is essential to effective mediation”</w:t>
      </w:r>
      <w:r w:rsidR="00042998">
        <w:rPr>
          <w:sz w:val="26"/>
          <w:szCs w:val="26"/>
        </w:rPr>
        <w:t>]</w:t>
      </w:r>
      <w:r w:rsidR="00E06B0F">
        <w:rPr>
          <w:sz w:val="26"/>
          <w:szCs w:val="26"/>
        </w:rPr>
        <w:t xml:space="preserve"> (</w:t>
      </w:r>
      <w:r w:rsidRPr="00E06B0F" w:rsidR="00E06B0F">
        <w:rPr>
          <w:i/>
          <w:iCs/>
          <w:sz w:val="26"/>
          <w:szCs w:val="26"/>
        </w:rPr>
        <w:t>Foxgate</w:t>
      </w:r>
      <w:r w:rsidR="00E06B0F">
        <w:rPr>
          <w:sz w:val="26"/>
          <w:szCs w:val="26"/>
        </w:rPr>
        <w:t xml:space="preserve">).)  </w:t>
      </w:r>
      <w:r w:rsidRPr="00E06B0F" w:rsidR="0074142E">
        <w:rPr>
          <w:sz w:val="26"/>
          <w:szCs w:val="26"/>
        </w:rPr>
        <w:t>But</w:t>
      </w:r>
      <w:r w:rsidRPr="001F63F4" w:rsidR="0074142E">
        <w:rPr>
          <w:sz w:val="26"/>
          <w:szCs w:val="26"/>
        </w:rPr>
        <w:t xml:space="preserve"> </w:t>
      </w:r>
      <w:r w:rsidRPr="001F63F4" w:rsidR="004937D6">
        <w:rPr>
          <w:sz w:val="26"/>
          <w:szCs w:val="26"/>
        </w:rPr>
        <w:t xml:space="preserve">Ling cites no authority </w:t>
      </w:r>
      <w:r w:rsidRPr="001F63F4" w:rsidR="00C57BDA">
        <w:rPr>
          <w:sz w:val="26"/>
          <w:szCs w:val="26"/>
        </w:rPr>
        <w:t xml:space="preserve">that permits us to </w:t>
      </w:r>
      <w:r w:rsidRPr="001F63F4" w:rsidR="00DB0EFE">
        <w:rPr>
          <w:sz w:val="26"/>
          <w:szCs w:val="26"/>
        </w:rPr>
        <w:t xml:space="preserve">invoke public policy to make a contract term enforceable when the parties expressly agreed that it is unenforceable.  </w:t>
      </w:r>
      <w:r w:rsidRPr="001F63F4" w:rsidR="007F2817">
        <w:rPr>
          <w:sz w:val="26"/>
          <w:szCs w:val="26"/>
        </w:rPr>
        <w:t>In any case</w:t>
      </w:r>
      <w:r w:rsidRPr="001F63F4" w:rsidR="00592FCA">
        <w:rPr>
          <w:sz w:val="26"/>
          <w:szCs w:val="26"/>
        </w:rPr>
        <w:t>,</w:t>
      </w:r>
      <w:r w:rsidRPr="001F63F4" w:rsidR="0075178E">
        <w:rPr>
          <w:sz w:val="26"/>
          <w:szCs w:val="26"/>
        </w:rPr>
        <w:t xml:space="preserve"> the public policy considerations </w:t>
      </w:r>
      <w:r w:rsidRPr="001F63F4" w:rsidR="00DB56D5">
        <w:rPr>
          <w:sz w:val="26"/>
          <w:szCs w:val="26"/>
        </w:rPr>
        <w:t xml:space="preserve">here </w:t>
      </w:r>
      <w:r w:rsidRPr="001F63F4" w:rsidR="0075178E">
        <w:rPr>
          <w:sz w:val="26"/>
          <w:szCs w:val="26"/>
        </w:rPr>
        <w:t>are not one-sided.  L</w:t>
      </w:r>
      <w:r w:rsidRPr="001F63F4" w:rsidR="00647604">
        <w:rPr>
          <w:sz w:val="26"/>
          <w:szCs w:val="26"/>
        </w:rPr>
        <w:t xml:space="preserve">ing is essentially asking us to create an evidentiary privilege that would </w:t>
      </w:r>
      <w:r w:rsidRPr="001F63F4" w:rsidR="00BE56B3">
        <w:rPr>
          <w:sz w:val="26"/>
          <w:szCs w:val="26"/>
        </w:rPr>
        <w:t xml:space="preserve">bar </w:t>
      </w:r>
      <w:r w:rsidRPr="001F63F4" w:rsidR="00482D4C">
        <w:rPr>
          <w:sz w:val="26"/>
          <w:szCs w:val="26"/>
        </w:rPr>
        <w:t>the admission of</w:t>
      </w:r>
      <w:r w:rsidRPr="001F63F4" w:rsidR="0089517A">
        <w:rPr>
          <w:sz w:val="26"/>
          <w:szCs w:val="26"/>
        </w:rPr>
        <w:t xml:space="preserve"> </w:t>
      </w:r>
      <w:r w:rsidRPr="001F63F4" w:rsidR="00482D4C">
        <w:rPr>
          <w:sz w:val="26"/>
          <w:szCs w:val="26"/>
        </w:rPr>
        <w:t xml:space="preserve">highly relevant evidence.  </w:t>
      </w:r>
      <w:r w:rsidRPr="001F63F4" w:rsidR="009B7B62">
        <w:rPr>
          <w:sz w:val="26"/>
          <w:szCs w:val="26"/>
        </w:rPr>
        <w:t>T</w:t>
      </w:r>
      <w:r w:rsidRPr="001F63F4" w:rsidR="001E72DA">
        <w:rPr>
          <w:sz w:val="26"/>
          <w:szCs w:val="26"/>
        </w:rPr>
        <w:t xml:space="preserve">he Legislature </w:t>
      </w:r>
      <w:r w:rsidRPr="001F63F4" w:rsidR="00632D57">
        <w:rPr>
          <w:sz w:val="26"/>
          <w:szCs w:val="26"/>
        </w:rPr>
        <w:t xml:space="preserve">reserves to itself the </w:t>
      </w:r>
      <w:r w:rsidRPr="001F63F4" w:rsidR="00A73D7D">
        <w:rPr>
          <w:sz w:val="26"/>
          <w:szCs w:val="26"/>
        </w:rPr>
        <w:t xml:space="preserve">power to </w:t>
      </w:r>
      <w:r w:rsidRPr="001F63F4" w:rsidR="00912B50">
        <w:rPr>
          <w:sz w:val="26"/>
          <w:szCs w:val="26"/>
        </w:rPr>
        <w:t xml:space="preserve">balance the public policies </w:t>
      </w:r>
      <w:r w:rsidRPr="001F63F4" w:rsidR="00813467">
        <w:rPr>
          <w:sz w:val="26"/>
          <w:szCs w:val="26"/>
        </w:rPr>
        <w:t>inherent in</w:t>
      </w:r>
      <w:r w:rsidRPr="001F63F4" w:rsidR="001E72DA">
        <w:rPr>
          <w:sz w:val="26"/>
          <w:szCs w:val="26"/>
        </w:rPr>
        <w:t xml:space="preserve"> evidentiary privileges</w:t>
      </w:r>
      <w:r w:rsidRPr="001F63F4" w:rsidR="009A2F7F">
        <w:rPr>
          <w:sz w:val="26"/>
          <w:szCs w:val="26"/>
        </w:rPr>
        <w:t xml:space="preserve">. </w:t>
      </w:r>
      <w:r w:rsidRPr="001F63F4" w:rsidR="006239F0">
        <w:rPr>
          <w:sz w:val="26"/>
          <w:szCs w:val="26"/>
        </w:rPr>
        <w:t xml:space="preserve"> </w:t>
      </w:r>
      <w:r w:rsidRPr="001F63F4" w:rsidR="001E72DA">
        <w:rPr>
          <w:sz w:val="26"/>
          <w:szCs w:val="26"/>
        </w:rPr>
        <w:t>(</w:t>
      </w:r>
      <w:r w:rsidRPr="001F63F4" w:rsidR="0089259D">
        <w:rPr>
          <w:sz w:val="26"/>
          <w:szCs w:val="26"/>
        </w:rPr>
        <w:t xml:space="preserve">See </w:t>
      </w:r>
      <w:r w:rsidRPr="001F63F4" w:rsidR="001E72DA">
        <w:rPr>
          <w:sz w:val="26"/>
          <w:szCs w:val="26"/>
        </w:rPr>
        <w:t>Ev</w:t>
      </w:r>
      <w:r w:rsidR="001F63F4">
        <w:rPr>
          <w:sz w:val="26"/>
          <w:szCs w:val="26"/>
        </w:rPr>
        <w:t>id</w:t>
      </w:r>
      <w:r w:rsidRPr="001F63F4" w:rsidR="001E72DA">
        <w:rPr>
          <w:sz w:val="26"/>
          <w:szCs w:val="26"/>
        </w:rPr>
        <w:t xml:space="preserve">. Code, </w:t>
      </w:r>
      <w:r w:rsidRPr="00315C53" w:rsidR="001F63F4">
        <w:rPr>
          <w:sz w:val="26"/>
          <w:szCs w:val="26"/>
        </w:rPr>
        <w:t>§</w:t>
      </w:r>
      <w:r w:rsidR="008C6A57">
        <w:rPr>
          <w:sz w:val="26"/>
          <w:szCs w:val="26"/>
        </w:rPr>
        <w:t> </w:t>
      </w:r>
      <w:r w:rsidRPr="001F63F4" w:rsidR="001E72DA">
        <w:rPr>
          <w:sz w:val="26"/>
          <w:szCs w:val="26"/>
        </w:rPr>
        <w:t>911</w:t>
      </w:r>
      <w:r w:rsidRPr="001F63F4" w:rsidR="006E5AE5">
        <w:rPr>
          <w:sz w:val="26"/>
          <w:szCs w:val="26"/>
        </w:rPr>
        <w:t xml:space="preserve">; </w:t>
      </w:r>
      <w:r w:rsidRPr="001F63F4" w:rsidR="00063926">
        <w:rPr>
          <w:i/>
          <w:iCs/>
          <w:sz w:val="26"/>
          <w:szCs w:val="26"/>
        </w:rPr>
        <w:t>Foxgate</w:t>
      </w:r>
      <w:r w:rsidR="00E06B0F">
        <w:rPr>
          <w:sz w:val="26"/>
          <w:szCs w:val="26"/>
        </w:rPr>
        <w:t xml:space="preserve">, </w:t>
      </w:r>
      <w:r w:rsidR="00E06B0F">
        <w:rPr>
          <w:i/>
          <w:iCs/>
          <w:sz w:val="26"/>
          <w:szCs w:val="26"/>
        </w:rPr>
        <w:t>supra</w:t>
      </w:r>
      <w:r w:rsidR="00E06B0F">
        <w:rPr>
          <w:sz w:val="26"/>
          <w:szCs w:val="26"/>
        </w:rPr>
        <w:t xml:space="preserve">, </w:t>
      </w:r>
      <w:r w:rsidRPr="001F63F4" w:rsidR="00616546">
        <w:rPr>
          <w:sz w:val="26"/>
          <w:szCs w:val="26"/>
        </w:rPr>
        <w:t>26 Cal.</w:t>
      </w:r>
      <w:r w:rsidR="001F63F4">
        <w:rPr>
          <w:sz w:val="26"/>
          <w:szCs w:val="26"/>
        </w:rPr>
        <w:t>4th</w:t>
      </w:r>
      <w:r w:rsidRPr="001F63F4" w:rsidR="00616546">
        <w:rPr>
          <w:sz w:val="26"/>
          <w:szCs w:val="26"/>
        </w:rPr>
        <w:t xml:space="preserve"> </w:t>
      </w:r>
      <w:r w:rsidR="00E06B0F">
        <w:rPr>
          <w:sz w:val="26"/>
          <w:szCs w:val="26"/>
        </w:rPr>
        <w:t>at p.</w:t>
      </w:r>
      <w:r w:rsidRPr="001F63F4" w:rsidR="00616546">
        <w:rPr>
          <w:sz w:val="26"/>
          <w:szCs w:val="26"/>
        </w:rPr>
        <w:t xml:space="preserve"> 17</w:t>
      </w:r>
      <w:r w:rsidRPr="001F63F4" w:rsidR="00CD7F06">
        <w:rPr>
          <w:sz w:val="26"/>
          <w:szCs w:val="26"/>
        </w:rPr>
        <w:t>.</w:t>
      </w:r>
      <w:r w:rsidRPr="001F63F4" w:rsidR="00EA362D">
        <w:rPr>
          <w:sz w:val="26"/>
          <w:szCs w:val="26"/>
        </w:rPr>
        <w:t xml:space="preserve">)  Courts may not </w:t>
      </w:r>
      <w:r w:rsidRPr="001F63F4" w:rsidR="00E177C8">
        <w:rPr>
          <w:sz w:val="26"/>
          <w:szCs w:val="26"/>
        </w:rPr>
        <w:t xml:space="preserve">create new </w:t>
      </w:r>
      <w:r w:rsidR="00E06B0F">
        <w:rPr>
          <w:sz w:val="26"/>
          <w:szCs w:val="26"/>
        </w:rPr>
        <w:t>privileges</w:t>
      </w:r>
      <w:r w:rsidRPr="001F63F4" w:rsidR="00E06B0F">
        <w:rPr>
          <w:sz w:val="26"/>
          <w:szCs w:val="26"/>
        </w:rPr>
        <w:t xml:space="preserve"> </w:t>
      </w:r>
      <w:r w:rsidRPr="001F63F4" w:rsidR="007476D4">
        <w:rPr>
          <w:sz w:val="26"/>
          <w:szCs w:val="26"/>
        </w:rPr>
        <w:t>unless required by constitutional law</w:t>
      </w:r>
      <w:r w:rsidRPr="001F63F4" w:rsidR="00E177C8">
        <w:rPr>
          <w:sz w:val="26"/>
          <w:szCs w:val="26"/>
        </w:rPr>
        <w:t xml:space="preserve"> (</w:t>
      </w:r>
      <w:r w:rsidRPr="001F63F4" w:rsidR="00E177C8">
        <w:rPr>
          <w:i/>
          <w:iCs/>
          <w:sz w:val="26"/>
          <w:szCs w:val="26"/>
        </w:rPr>
        <w:t xml:space="preserve">Roberts v. City of Palmdale </w:t>
      </w:r>
      <w:r w:rsidRPr="001F63F4" w:rsidR="00E177C8">
        <w:rPr>
          <w:sz w:val="26"/>
          <w:szCs w:val="26"/>
        </w:rPr>
        <w:t xml:space="preserve">(1993) </w:t>
      </w:r>
      <w:r w:rsidRPr="001F63F4" w:rsidR="00A03B12">
        <w:rPr>
          <w:sz w:val="26"/>
          <w:szCs w:val="26"/>
        </w:rPr>
        <w:t>5 Cal.</w:t>
      </w:r>
      <w:r w:rsidR="00126963">
        <w:rPr>
          <w:sz w:val="26"/>
          <w:szCs w:val="26"/>
        </w:rPr>
        <w:t>4th</w:t>
      </w:r>
      <w:r w:rsidRPr="001F63F4" w:rsidR="00A03B12">
        <w:rPr>
          <w:sz w:val="26"/>
          <w:szCs w:val="26"/>
        </w:rPr>
        <w:t xml:space="preserve"> 363, 373)</w:t>
      </w:r>
      <w:r w:rsidR="00E06B0F">
        <w:rPr>
          <w:sz w:val="26"/>
          <w:szCs w:val="26"/>
        </w:rPr>
        <w:t xml:space="preserve"> and must enforce existing statutory privileges strictly, even when the results are inequitable.  (</w:t>
      </w:r>
      <w:r w:rsidR="00E06B0F">
        <w:rPr>
          <w:i/>
          <w:iCs/>
          <w:sz w:val="26"/>
          <w:szCs w:val="26"/>
        </w:rPr>
        <w:t>Wims</w:t>
      </w:r>
      <w:r w:rsidR="001D5F3B">
        <w:rPr>
          <w:i/>
          <w:iCs/>
          <w:sz w:val="26"/>
          <w:szCs w:val="26"/>
        </w:rPr>
        <w:t>a</w:t>
      </w:r>
      <w:r w:rsidR="00E06B0F">
        <w:rPr>
          <w:i/>
          <w:iCs/>
          <w:sz w:val="26"/>
          <w:szCs w:val="26"/>
        </w:rPr>
        <w:t xml:space="preserve">tt v. Superior Court </w:t>
      </w:r>
      <w:r w:rsidR="00E06B0F">
        <w:rPr>
          <w:sz w:val="26"/>
          <w:szCs w:val="26"/>
        </w:rPr>
        <w:t>(2007) 152 Cal.App.4</w:t>
      </w:r>
      <w:r w:rsidRPr="00E06B0F" w:rsidR="00E06B0F">
        <w:rPr>
          <w:sz w:val="26"/>
          <w:szCs w:val="26"/>
        </w:rPr>
        <w:t>th</w:t>
      </w:r>
      <w:r w:rsidR="00E06B0F">
        <w:rPr>
          <w:sz w:val="26"/>
          <w:szCs w:val="26"/>
        </w:rPr>
        <w:t xml:space="preserve"> 137, 152-156, 162-164.)</w:t>
      </w:r>
      <w:r w:rsidRPr="001F63F4" w:rsidR="00DA7118">
        <w:rPr>
          <w:sz w:val="26"/>
          <w:szCs w:val="26"/>
        </w:rPr>
        <w:t xml:space="preserve">  </w:t>
      </w:r>
      <w:r w:rsidRPr="001F63F4" w:rsidR="00501BC6">
        <w:rPr>
          <w:sz w:val="26"/>
          <w:szCs w:val="26"/>
        </w:rPr>
        <w:t xml:space="preserve">Ling’s policy argument </w:t>
      </w:r>
      <w:r w:rsidR="002512BF">
        <w:rPr>
          <w:sz w:val="26"/>
          <w:szCs w:val="26"/>
        </w:rPr>
        <w:t>should be addressed to</w:t>
      </w:r>
      <w:r w:rsidRPr="001F63F4" w:rsidR="00063EE7">
        <w:rPr>
          <w:sz w:val="26"/>
          <w:szCs w:val="26"/>
        </w:rPr>
        <w:t xml:space="preserve"> the Legislature.</w:t>
      </w:r>
      <w:r w:rsidR="00F92F8E">
        <w:rPr>
          <w:sz w:val="26"/>
          <w:szCs w:val="26"/>
        </w:rPr>
        <w:t xml:space="preserve">  </w:t>
      </w:r>
    </w:p>
    <w:p w:rsidR="00315C53" w:rsidP="00315C53" w14:paraId="63B942CE" w14:textId="65F7BAA4">
      <w:pPr>
        <w:spacing w:line="288" w:lineRule="auto"/>
        <w:ind w:firstLine="720"/>
        <w:rPr>
          <w:sz w:val="26"/>
          <w:szCs w:val="26"/>
        </w:rPr>
      </w:pPr>
      <w:r w:rsidRPr="00315C53">
        <w:rPr>
          <w:sz w:val="26"/>
          <w:szCs w:val="26"/>
        </w:rPr>
        <w:t xml:space="preserve">Ling’s remaining contentions warrant only brief discussion.  </w:t>
      </w:r>
      <w:r w:rsidR="002E2DAE">
        <w:rPr>
          <w:sz w:val="26"/>
          <w:szCs w:val="26"/>
        </w:rPr>
        <w:t>She has forfeited her estoppel argument, which relies on factual issues that the parties did not address in the family court because Ling did not raise the issue</w:t>
      </w:r>
      <w:r w:rsidRPr="00315C53">
        <w:rPr>
          <w:sz w:val="26"/>
          <w:szCs w:val="26"/>
        </w:rPr>
        <w:t xml:space="preserve">.  (See </w:t>
      </w:r>
      <w:r w:rsidRPr="00315C53">
        <w:rPr>
          <w:i/>
          <w:iCs/>
          <w:sz w:val="26"/>
          <w:szCs w:val="26"/>
        </w:rPr>
        <w:t xml:space="preserve">Doe v. Marten </w:t>
      </w:r>
      <w:r w:rsidRPr="00315C53">
        <w:rPr>
          <w:sz w:val="26"/>
          <w:szCs w:val="26"/>
        </w:rPr>
        <w:t xml:space="preserve">(2020) 49 Cal.App.5th 1022, 1029 [estoppel is generally a question of fact unless reasonable minds could reach only one conclusion]; </w:t>
      </w:r>
      <w:r w:rsidRPr="00315C53">
        <w:rPr>
          <w:i/>
          <w:iCs/>
          <w:sz w:val="26"/>
          <w:szCs w:val="26"/>
        </w:rPr>
        <w:t xml:space="preserve">Colony Ins. Co. v. Crusader Ins. Co. </w:t>
      </w:r>
      <w:r w:rsidRPr="00315C53">
        <w:rPr>
          <w:sz w:val="26"/>
          <w:szCs w:val="26"/>
        </w:rPr>
        <w:t xml:space="preserve">(2010) 188 Cal.App.4th 743, 751 [estoppel claim not raised at trial forfeited for appeal].)  </w:t>
      </w:r>
      <w:r w:rsidR="002E2DAE">
        <w:rPr>
          <w:sz w:val="26"/>
          <w:szCs w:val="26"/>
        </w:rPr>
        <w:t xml:space="preserve">She </w:t>
      </w:r>
      <w:r w:rsidRPr="00315C53" w:rsidR="002E2DAE">
        <w:rPr>
          <w:sz w:val="26"/>
          <w:szCs w:val="26"/>
        </w:rPr>
        <w:t>conten</w:t>
      </w:r>
      <w:r w:rsidR="002E2DAE">
        <w:rPr>
          <w:sz w:val="26"/>
          <w:szCs w:val="26"/>
        </w:rPr>
        <w:t>ds that</w:t>
      </w:r>
      <w:r w:rsidRPr="00315C53" w:rsidR="002E2DAE">
        <w:rPr>
          <w:sz w:val="26"/>
          <w:szCs w:val="26"/>
        </w:rPr>
        <w:t xml:space="preserve"> </w:t>
      </w:r>
      <w:r w:rsidRPr="00315C53">
        <w:rPr>
          <w:sz w:val="26"/>
          <w:szCs w:val="26"/>
        </w:rPr>
        <w:t xml:space="preserve">there was insufficient evidence for the court to find the parties understood the </w:t>
      </w:r>
      <w:r w:rsidR="001911EC">
        <w:rPr>
          <w:sz w:val="26"/>
          <w:szCs w:val="26"/>
        </w:rPr>
        <w:t>agreement</w:t>
      </w:r>
      <w:r w:rsidRPr="00315C53">
        <w:rPr>
          <w:sz w:val="26"/>
          <w:szCs w:val="26"/>
        </w:rPr>
        <w:t xml:space="preserve"> was unenforceable</w:t>
      </w:r>
      <w:r w:rsidR="002E2DAE">
        <w:rPr>
          <w:sz w:val="26"/>
          <w:szCs w:val="26"/>
        </w:rPr>
        <w:t>, but th</w:t>
      </w:r>
      <w:r w:rsidR="007E08DE">
        <w:rPr>
          <w:sz w:val="26"/>
          <w:szCs w:val="26"/>
        </w:rPr>
        <w:t>at</w:t>
      </w:r>
      <w:r w:rsidR="002E2DAE">
        <w:rPr>
          <w:sz w:val="26"/>
          <w:szCs w:val="26"/>
        </w:rPr>
        <w:t xml:space="preserve"> </w:t>
      </w:r>
      <w:r w:rsidR="001D5F3B">
        <w:rPr>
          <w:sz w:val="26"/>
          <w:szCs w:val="26"/>
        </w:rPr>
        <w:t xml:space="preserve">argument </w:t>
      </w:r>
      <w:r w:rsidRPr="00315C53">
        <w:rPr>
          <w:sz w:val="26"/>
          <w:szCs w:val="26"/>
        </w:rPr>
        <w:t>is legally irrelevant.  (</w:t>
      </w:r>
      <w:r w:rsidR="007E08DE">
        <w:rPr>
          <w:sz w:val="26"/>
          <w:szCs w:val="26"/>
        </w:rPr>
        <w:t>S</w:t>
      </w:r>
      <w:r w:rsidRPr="00315C53">
        <w:rPr>
          <w:sz w:val="26"/>
          <w:szCs w:val="26"/>
        </w:rPr>
        <w:t xml:space="preserve">ee </w:t>
      </w:r>
      <w:r w:rsidRPr="00315C53">
        <w:rPr>
          <w:i/>
          <w:iCs/>
          <w:sz w:val="26"/>
          <w:szCs w:val="26"/>
        </w:rPr>
        <w:t xml:space="preserve">Founding Members of the Newport Beach Country Club v. Newport Beach Country Club, Inc. </w:t>
      </w:r>
      <w:r w:rsidRPr="00315C53">
        <w:rPr>
          <w:sz w:val="26"/>
          <w:szCs w:val="26"/>
        </w:rPr>
        <w:t>(2003) 109 Cal.App.4th 944, 956 [</w:t>
      </w:r>
      <w:r w:rsidR="002E2DAE">
        <w:rPr>
          <w:sz w:val="26"/>
          <w:szCs w:val="26"/>
        </w:rPr>
        <w:t>contract</w:t>
      </w:r>
      <w:r w:rsidR="007E08DE">
        <w:rPr>
          <w:sz w:val="26"/>
          <w:szCs w:val="26"/>
        </w:rPr>
        <w:t xml:space="preserve"> interpretation is controlled by</w:t>
      </w:r>
      <w:r w:rsidR="002E2DAE">
        <w:rPr>
          <w:sz w:val="26"/>
          <w:szCs w:val="26"/>
        </w:rPr>
        <w:t xml:space="preserve"> the </w:t>
      </w:r>
      <w:r w:rsidRPr="00A7230D">
        <w:rPr>
          <w:sz w:val="26"/>
          <w:szCs w:val="26"/>
        </w:rPr>
        <w:t>objective intent evidenced by the contract language, not the parties’ subjective intent</w:t>
      </w:r>
      <w:r w:rsidRPr="00315C53">
        <w:rPr>
          <w:sz w:val="26"/>
          <w:szCs w:val="26"/>
        </w:rPr>
        <w:t>].)</w:t>
      </w:r>
    </w:p>
    <w:p w:rsidR="004D04CC" w:rsidRPr="00823C0E" w:rsidP="00823C0E" w14:paraId="408E8C81" w14:textId="698F9C37">
      <w:pPr>
        <w:spacing w:line="288" w:lineRule="auto"/>
        <w:ind w:firstLine="720"/>
        <w:rPr>
          <w:sz w:val="26"/>
          <w:szCs w:val="26"/>
        </w:rPr>
      </w:pPr>
      <w:r w:rsidRPr="00315C53">
        <w:rPr>
          <w:sz w:val="26"/>
          <w:szCs w:val="26"/>
        </w:rPr>
        <w:t xml:space="preserve">In sum, the </w:t>
      </w:r>
      <w:r w:rsidR="004C141C">
        <w:rPr>
          <w:sz w:val="26"/>
          <w:szCs w:val="26"/>
        </w:rPr>
        <w:t xml:space="preserve">family </w:t>
      </w:r>
      <w:r w:rsidRPr="00315C53">
        <w:rPr>
          <w:sz w:val="26"/>
          <w:szCs w:val="26"/>
        </w:rPr>
        <w:t xml:space="preserve">court correctly declined to enforce the confidentiality provision.  We therefore do not address Ling’s additional argument that the exception to it for irreparable economic harm was inapplicable.  We also deny as unnecessary to resolution of this appeal (see </w:t>
      </w:r>
      <w:r w:rsidRPr="00315C53">
        <w:rPr>
          <w:i/>
          <w:iCs/>
          <w:sz w:val="26"/>
          <w:szCs w:val="26"/>
        </w:rPr>
        <w:t xml:space="preserve">Mangini v. R.J. Reynolds Tobacco Co. </w:t>
      </w:r>
      <w:r w:rsidRPr="00315C53">
        <w:rPr>
          <w:sz w:val="26"/>
          <w:szCs w:val="26"/>
        </w:rPr>
        <w:t>(1994) 7 Cal.4th 1057, 1063</w:t>
      </w:r>
      <w:r w:rsidR="00F17794">
        <w:rPr>
          <w:sz w:val="26"/>
          <w:szCs w:val="26"/>
        </w:rPr>
        <w:t>,</w:t>
      </w:r>
      <w:r w:rsidRPr="00F17794" w:rsidR="00F17794">
        <w:rPr>
          <w:sz w:val="26"/>
          <w:szCs w:val="26"/>
        </w:rPr>
        <w:t xml:space="preserve"> overruled on other grounds in </w:t>
      </w:r>
      <w:r w:rsidRPr="002A5C96" w:rsidR="00F17794">
        <w:rPr>
          <w:i/>
          <w:iCs/>
          <w:sz w:val="26"/>
          <w:szCs w:val="26"/>
        </w:rPr>
        <w:t>In re Tobacco Cases II</w:t>
      </w:r>
      <w:r w:rsidRPr="00F17794" w:rsidR="00F17794">
        <w:rPr>
          <w:sz w:val="26"/>
          <w:szCs w:val="26"/>
        </w:rPr>
        <w:t xml:space="preserve"> (2007) 41 Cal.4th 1257, 1276</w:t>
      </w:r>
      <w:r w:rsidRPr="00315C53">
        <w:rPr>
          <w:sz w:val="26"/>
          <w:szCs w:val="26"/>
        </w:rPr>
        <w:t>) her request for judicial notice of Family Code section 2013’s legislative history and a judicial branch website concerning alternative dispute resolution in family law matters.</w:t>
      </w:r>
    </w:p>
    <w:p w:rsidR="00315C53" w:rsidRPr="00315C53" w:rsidP="00315C53" w14:paraId="4B3BFDD7" w14:textId="62C527A3">
      <w:pPr>
        <w:spacing w:line="288" w:lineRule="auto"/>
        <w:jc w:val="center"/>
        <w:rPr>
          <w:b/>
          <w:bCs/>
          <w:sz w:val="26"/>
          <w:szCs w:val="26"/>
        </w:rPr>
      </w:pPr>
      <w:r w:rsidRPr="00315C53">
        <w:rPr>
          <w:b/>
          <w:bCs/>
          <w:sz w:val="26"/>
          <w:szCs w:val="26"/>
        </w:rPr>
        <w:t>DISPOSITION</w:t>
      </w:r>
    </w:p>
    <w:p w:rsidR="00B829BA" w:rsidP="00315C53" w14:paraId="3E6EE74A" w14:textId="4B437059">
      <w:pPr>
        <w:spacing w:line="288" w:lineRule="auto"/>
        <w:rPr>
          <w:sz w:val="26"/>
          <w:szCs w:val="26"/>
        </w:rPr>
      </w:pPr>
      <w:r w:rsidRPr="00315C53">
        <w:rPr>
          <w:b/>
          <w:bCs/>
          <w:sz w:val="26"/>
          <w:szCs w:val="26"/>
        </w:rPr>
        <w:tab/>
      </w:r>
      <w:r w:rsidRPr="00315C53">
        <w:rPr>
          <w:sz w:val="26"/>
          <w:szCs w:val="26"/>
        </w:rPr>
        <w:t xml:space="preserve">The judgment is affirmed.  Paul is entitled to costs on appeal. </w:t>
      </w:r>
      <w:r w:rsidR="00823C0E">
        <w:rPr>
          <w:sz w:val="26"/>
          <w:szCs w:val="26"/>
        </w:rPr>
        <w:t xml:space="preserve"> </w:t>
      </w:r>
      <w:r w:rsidRPr="00315C53">
        <w:rPr>
          <w:sz w:val="26"/>
          <w:szCs w:val="26"/>
        </w:rPr>
        <w:t>(Cal.</w:t>
      </w:r>
      <w:r w:rsidR="00583ABE">
        <w:rPr>
          <w:sz w:val="26"/>
          <w:szCs w:val="26"/>
        </w:rPr>
        <w:t xml:space="preserve"> </w:t>
      </w:r>
      <w:r w:rsidRPr="00315C53">
        <w:rPr>
          <w:sz w:val="26"/>
          <w:szCs w:val="26"/>
        </w:rPr>
        <w:t>Rules of Court, rule 8.278(a)(1), (a)(2).)</w:t>
      </w:r>
    </w:p>
    <w:p w:rsidR="00847279" w:rsidP="00315C53" w14:paraId="3618E849" w14:textId="77777777">
      <w:pPr>
        <w:spacing w:line="288" w:lineRule="auto"/>
        <w:rPr>
          <w:sz w:val="26"/>
          <w:szCs w:val="26"/>
        </w:rPr>
      </w:pPr>
    </w:p>
    <w:p w:rsidR="00847279" w:rsidRPr="00000008" w:rsidP="00847279" w14:paraId="092D0D31" w14:textId="77777777">
      <w:pPr>
        <w:jc w:val="right"/>
        <w:rPr>
          <w:sz w:val="26"/>
          <w:szCs w:val="26"/>
        </w:rPr>
      </w:pPr>
      <w:r w:rsidRPr="00000008">
        <w:rPr>
          <w:sz w:val="26"/>
          <w:szCs w:val="26"/>
        </w:rPr>
        <w:t xml:space="preserve">BURNS, J. </w:t>
      </w:r>
    </w:p>
    <w:p w:rsidR="00847279" w:rsidRPr="00000008" w:rsidP="00847279" w14:paraId="205FD5F6" w14:textId="77777777">
      <w:pPr>
        <w:rPr>
          <w:sz w:val="26"/>
          <w:szCs w:val="26"/>
        </w:rPr>
      </w:pPr>
      <w:r w:rsidRPr="00000008">
        <w:rPr>
          <w:sz w:val="26"/>
          <w:szCs w:val="26"/>
        </w:rPr>
        <w:t>WE CONCUR:</w:t>
      </w:r>
    </w:p>
    <w:p w:rsidR="00847279" w:rsidRPr="00000008" w:rsidP="00847279" w14:paraId="17A00AF2" w14:textId="77777777">
      <w:pPr>
        <w:rPr>
          <w:sz w:val="26"/>
          <w:szCs w:val="26"/>
        </w:rPr>
      </w:pPr>
    </w:p>
    <w:p w:rsidR="00847279" w:rsidRPr="00000008" w:rsidP="00847279" w14:paraId="71D0B1D0" w14:textId="77777777">
      <w:pPr>
        <w:rPr>
          <w:sz w:val="26"/>
          <w:szCs w:val="26"/>
        </w:rPr>
      </w:pPr>
    </w:p>
    <w:p w:rsidR="00847279" w:rsidRPr="00000008" w:rsidP="00847279" w14:paraId="6E4278D6" w14:textId="546FAA81">
      <w:pPr>
        <w:spacing w:after="0"/>
        <w:rPr>
          <w:sz w:val="26"/>
          <w:szCs w:val="26"/>
        </w:rPr>
      </w:pPr>
      <w:r>
        <w:rPr>
          <w:sz w:val="26"/>
          <w:szCs w:val="26"/>
        </w:rPr>
        <w:t xml:space="preserve">JACKSON, </w:t>
      </w:r>
      <w:r w:rsidRPr="00000008">
        <w:rPr>
          <w:sz w:val="26"/>
          <w:szCs w:val="26"/>
        </w:rPr>
        <w:t>P.J.</w:t>
      </w:r>
    </w:p>
    <w:p w:rsidR="00847279" w:rsidRPr="00000008" w:rsidP="00847279" w14:paraId="0722A8C0" w14:textId="589F2A00">
      <w:pPr>
        <w:spacing w:after="0"/>
        <w:rPr>
          <w:sz w:val="26"/>
          <w:szCs w:val="26"/>
        </w:rPr>
      </w:pPr>
      <w:r>
        <w:rPr>
          <w:sz w:val="26"/>
          <w:szCs w:val="26"/>
        </w:rPr>
        <w:t>SIMONS</w:t>
      </w:r>
      <w:r w:rsidRPr="00000008">
        <w:rPr>
          <w:sz w:val="26"/>
          <w:szCs w:val="26"/>
        </w:rPr>
        <w:t>, J.</w:t>
      </w:r>
    </w:p>
    <w:p w:rsidR="00847279" w:rsidRPr="00000008" w:rsidP="00847279" w14:paraId="57B07CBB" w14:textId="77777777">
      <w:pPr>
        <w:rPr>
          <w:sz w:val="26"/>
          <w:szCs w:val="26"/>
        </w:rPr>
      </w:pPr>
    </w:p>
    <w:p w:rsidR="00E76BC0" w:rsidP="00847279" w14:paraId="28ADE781" w14:textId="138C6267">
      <w:pPr>
        <w:rPr>
          <w:i/>
          <w:sz w:val="20"/>
          <w:szCs w:val="20"/>
        </w:rPr>
      </w:pPr>
      <w:r>
        <w:rPr>
          <w:i/>
          <w:sz w:val="20"/>
          <w:szCs w:val="20"/>
        </w:rPr>
        <w:t xml:space="preserve"> Mueller v. Mueller </w:t>
      </w:r>
      <w:r w:rsidRPr="00000008">
        <w:rPr>
          <w:i/>
          <w:sz w:val="20"/>
          <w:szCs w:val="20"/>
        </w:rPr>
        <w:t>(A1</w:t>
      </w:r>
      <w:r>
        <w:rPr>
          <w:i/>
          <w:sz w:val="20"/>
          <w:szCs w:val="20"/>
        </w:rPr>
        <w:t>66577</w:t>
      </w:r>
      <w:r w:rsidRPr="00000008">
        <w:rPr>
          <w:i/>
          <w:sz w:val="20"/>
          <w:szCs w:val="20"/>
        </w:rPr>
        <w:t>)</w:t>
      </w:r>
    </w:p>
    <w:p w:rsidR="00E76BC0" w14:paraId="07620BB0" w14:textId="77777777">
      <w:pPr>
        <w:suppressAutoHyphens w:val="0"/>
        <w:rPr>
          <w:i/>
          <w:sz w:val="20"/>
          <w:szCs w:val="20"/>
        </w:rPr>
      </w:pPr>
      <w:r>
        <w:rPr>
          <w:i/>
          <w:sz w:val="20"/>
          <w:szCs w:val="20"/>
        </w:rPr>
        <w:br w:type="page"/>
      </w:r>
    </w:p>
    <w:p w:rsidR="00E76BC0" w:rsidP="00E76BC0" w14:paraId="003B77E7" w14:textId="1C0E621F">
      <w:pPr>
        <w:spacing w:after="0"/>
        <w:rPr>
          <w:sz w:val="26"/>
          <w:szCs w:val="26"/>
        </w:rPr>
      </w:pPr>
      <w:r>
        <w:rPr>
          <w:sz w:val="26"/>
          <w:szCs w:val="26"/>
        </w:rPr>
        <w:t xml:space="preserve">Mendocino County Superior Court, No. SCUKCVFL202073826, Hon. Patrick Michael Pekin. </w:t>
      </w:r>
    </w:p>
    <w:p w:rsidR="00E76BC0" w:rsidP="00E76BC0" w14:paraId="7F504474" w14:textId="550FFB2F">
      <w:pPr>
        <w:spacing w:after="0"/>
        <w:rPr>
          <w:sz w:val="26"/>
          <w:szCs w:val="26"/>
        </w:rPr>
      </w:pPr>
    </w:p>
    <w:p w:rsidR="00E76BC0" w:rsidP="00E76BC0" w14:paraId="412DDD65" w14:textId="2A666FD5">
      <w:pPr>
        <w:spacing w:after="0"/>
        <w:rPr>
          <w:sz w:val="26"/>
          <w:szCs w:val="26"/>
        </w:rPr>
      </w:pPr>
      <w:r>
        <w:rPr>
          <w:sz w:val="26"/>
          <w:szCs w:val="26"/>
        </w:rPr>
        <w:t>John L. Dodd &amp; Associates and John L. Dodd</w:t>
      </w:r>
      <w:r w:rsidR="00FA0892">
        <w:rPr>
          <w:sz w:val="26"/>
          <w:szCs w:val="26"/>
        </w:rPr>
        <w:t xml:space="preserve"> for Petitioner and Appellant. </w:t>
      </w:r>
    </w:p>
    <w:p w:rsidR="00FA0892" w:rsidP="00E76BC0" w14:paraId="56AFBF4A" w14:textId="77777777">
      <w:pPr>
        <w:spacing w:after="0"/>
        <w:rPr>
          <w:sz w:val="26"/>
          <w:szCs w:val="26"/>
        </w:rPr>
      </w:pPr>
    </w:p>
    <w:p w:rsidR="00FA0892" w:rsidP="00E76BC0" w14:paraId="50FF1770" w14:textId="1088C8E3">
      <w:pPr>
        <w:spacing w:after="0"/>
        <w:rPr>
          <w:sz w:val="26"/>
          <w:szCs w:val="26"/>
        </w:rPr>
      </w:pPr>
      <w:r>
        <w:rPr>
          <w:sz w:val="26"/>
          <w:szCs w:val="26"/>
        </w:rPr>
        <w:t xml:space="preserve">Vannucci Momsen Morrow and Colin W. Morrow for Defendant and Respondent.  </w:t>
      </w:r>
    </w:p>
    <w:p w:rsidR="00E76BC0" w:rsidP="00E76BC0" w14:paraId="455F216F" w14:textId="77777777">
      <w:pPr>
        <w:spacing w:after="0"/>
        <w:rPr>
          <w:sz w:val="26"/>
          <w:szCs w:val="26"/>
        </w:rPr>
      </w:pPr>
    </w:p>
    <w:p w:rsidR="00847279" w:rsidRPr="00000008" w:rsidP="00847279" w14:paraId="00CE4CB5" w14:textId="77777777">
      <w:pPr>
        <w:rPr>
          <w:sz w:val="20"/>
          <w:szCs w:val="20"/>
        </w:rPr>
      </w:pPr>
    </w:p>
    <w:p w:rsidR="00847279" w:rsidRPr="009C0F09" w:rsidP="00847279" w14:paraId="329703F9" w14:textId="77777777">
      <w:pPr>
        <w:spacing w:line="288" w:lineRule="auto"/>
        <w:textAlignment w:val="auto"/>
        <w:rPr>
          <w:sz w:val="26"/>
          <w:szCs w:val="26"/>
        </w:rPr>
      </w:pPr>
    </w:p>
    <w:p w:rsidR="00847279" w:rsidRPr="00EB55FE" w:rsidP="00847279" w14:paraId="66804591" w14:textId="77777777">
      <w:pPr>
        <w:spacing w:line="288" w:lineRule="auto"/>
        <w:mirrorIndents/>
        <w:rPr>
          <w:b/>
          <w:bCs/>
          <w:sz w:val="26"/>
          <w:szCs w:val="26"/>
        </w:rPr>
      </w:pPr>
    </w:p>
    <w:p w:rsidR="00847279" w:rsidRPr="00315C53" w:rsidP="00315C53" w14:paraId="6DB9BA4D" w14:textId="77777777">
      <w:pPr>
        <w:spacing w:line="288" w:lineRule="auto"/>
        <w:rPr>
          <w:sz w:val="26"/>
          <w:szCs w:val="26"/>
        </w:rPr>
      </w:pPr>
    </w:p>
    <w:sectPr>
      <w:footerReference w:type="default" r:id="rId6"/>
      <w:pgSz w:w="12240" w:h="15840"/>
      <w:pgMar w:top="144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9BA" w14:paraId="76A01E8B" w14:textId="77777777">
    <w:pPr>
      <w:pStyle w:val="Footer"/>
      <w:jc w:val="center"/>
      <w:rPr>
        <w:sz w:val="26"/>
        <w:szCs w:val="26"/>
      </w:rPr>
    </w:pPr>
    <w:r>
      <w:rPr>
        <w:sz w:val="26"/>
        <w:szCs w:val="26"/>
      </w:rPr>
      <w:fldChar w:fldCharType="begin"/>
    </w:r>
    <w:r>
      <w:rPr>
        <w:sz w:val="26"/>
        <w:szCs w:val="26"/>
      </w:rPr>
      <w:instrText xml:space="preserve"> PAGE </w:instrText>
    </w:r>
    <w:r>
      <w:rPr>
        <w:sz w:val="26"/>
        <w:szCs w:val="26"/>
      </w:rPr>
      <w:fldChar w:fldCharType="separate"/>
    </w:r>
    <w:r>
      <w:rPr>
        <w:sz w:val="26"/>
        <w:szCs w:val="26"/>
      </w:rPr>
      <w:t>11</w:t>
    </w:r>
    <w:r>
      <w:rPr>
        <w:sz w:val="26"/>
        <w:szCs w:val="26"/>
      </w:rPr>
      <w:fldChar w:fldCharType="end"/>
    </w:r>
  </w:p>
  <w:p w:rsidR="00B829BA" w14:paraId="77C0A2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6DC3" w14:paraId="1EF19824" w14:textId="77777777">
      <w:pPr>
        <w:spacing w:after="0"/>
      </w:pPr>
      <w:r>
        <w:rPr>
          <w:color w:val="000000"/>
        </w:rPr>
        <w:separator/>
      </w:r>
    </w:p>
  </w:footnote>
  <w:footnote w:type="continuationSeparator" w:id="1">
    <w:p w:rsidR="00A16DC3" w14:paraId="34D07F5B" w14:textId="77777777">
      <w:pPr>
        <w:spacing w:after="0"/>
      </w:pPr>
      <w:r>
        <w:continuationSeparator/>
      </w:r>
    </w:p>
  </w:footnote>
  <w:footnote w:id="2">
    <w:p w:rsidR="00B9103C" w:rsidRPr="00941D24" w:rsidP="00B9103C" w14:paraId="0E5FF489" w14:textId="77777777">
      <w:pPr>
        <w:pStyle w:val="FootnoteText"/>
        <w:ind w:firstLine="720"/>
        <w:rPr>
          <w:sz w:val="26"/>
          <w:szCs w:val="26"/>
        </w:rPr>
      </w:pPr>
      <w:r w:rsidRPr="00941D24">
        <w:rPr>
          <w:rStyle w:val="FootnoteReference"/>
          <w:sz w:val="26"/>
          <w:szCs w:val="26"/>
        </w:rPr>
        <w:footnoteRef/>
      </w:r>
      <w:r w:rsidRPr="00941D24">
        <w:rPr>
          <w:sz w:val="26"/>
          <w:szCs w:val="26"/>
        </w:rPr>
        <w:t xml:space="preserve"> We use the parties’ first names for clarity.</w:t>
      </w:r>
    </w:p>
  </w:footnote>
  <w:footnote w:id="3">
    <w:p w:rsidR="00315C53" w:rsidRPr="00315C53" w:rsidP="00315C53" w14:paraId="67867075" w14:textId="07FEC14D">
      <w:pPr>
        <w:pStyle w:val="FootnoteText"/>
        <w:ind w:firstLine="720"/>
        <w:rPr>
          <w:sz w:val="26"/>
          <w:szCs w:val="26"/>
        </w:rPr>
      </w:pPr>
      <w:r w:rsidRPr="00315C53">
        <w:rPr>
          <w:rStyle w:val="FootnoteReference"/>
          <w:sz w:val="26"/>
          <w:szCs w:val="26"/>
        </w:rPr>
        <w:footnoteRef/>
      </w:r>
      <w:r w:rsidRPr="00315C53">
        <w:rPr>
          <w:sz w:val="26"/>
          <w:szCs w:val="26"/>
        </w:rPr>
        <w:t xml:space="preserve"> To the extent Ling seems to argue extrinsic evidence supported her position, she is mistaken.  “Parol evidence is admissible only to prove a meaning to which the contractual language is ‘reasonably susceptible’</w:t>
      </w:r>
      <w:r w:rsidR="0085186C">
        <w:rPr>
          <w:sz w:val="26"/>
          <w:szCs w:val="26"/>
        </w:rPr>
        <w:t>;</w:t>
      </w:r>
      <w:r w:rsidRPr="00315C53">
        <w:rPr>
          <w:sz w:val="26"/>
          <w:szCs w:val="26"/>
        </w:rPr>
        <w:t xml:space="preserve"> not to flatly contradict the express terms of the agreement.</w:t>
      </w:r>
      <w:r w:rsidR="004D2C66">
        <w:rPr>
          <w:sz w:val="26"/>
          <w:szCs w:val="26"/>
        </w:rPr>
        <w:t xml:space="preserve">  [Citation.]</w:t>
      </w:r>
      <w:r w:rsidRPr="00315C53">
        <w:rPr>
          <w:sz w:val="26"/>
          <w:szCs w:val="26"/>
        </w:rPr>
        <w:t xml:space="preserve">  Thus if the contract calls for the plaintiff to deliver to defendant 100 pencils by July 21, 1992, parol evidence is not admissible to show that when the parties said ‘pencils’ they really meant ‘car batteries’ or that whey they said ‘July 21, 1992’ they really meant ‘May 13, 2001.’ ”  (</w:t>
      </w:r>
      <w:r w:rsidRPr="00315C53">
        <w:rPr>
          <w:i/>
          <w:iCs/>
          <w:sz w:val="26"/>
          <w:szCs w:val="26"/>
        </w:rPr>
        <w:t xml:space="preserve">Consolidated World Investments, Inc. v. Lido Preferred Ltd. </w:t>
      </w:r>
      <w:r w:rsidRPr="00315C53">
        <w:rPr>
          <w:sz w:val="26"/>
          <w:szCs w:val="26"/>
        </w:rPr>
        <w:t>(1992) 9 Cal.App.4th 373, 379.)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23E84A4"/>
    <w:lvl w:ilvl="0">
      <w:start w:val="1"/>
      <w:numFmt w:val="decimal"/>
      <w:lvlText w:val="%1."/>
      <w:lvlJc w:val="left"/>
      <w:pPr>
        <w:tabs>
          <w:tab w:val="num" w:pos="1800"/>
        </w:tabs>
        <w:ind w:left="1800" w:hanging="360"/>
      </w:pPr>
    </w:lvl>
  </w:abstractNum>
  <w:abstractNum w:abstractNumId="1">
    <w:nsid w:val="FFFFFF7D"/>
    <w:multiLevelType w:val="singleLevel"/>
    <w:tmpl w:val="912CB3CA"/>
    <w:lvl w:ilvl="0">
      <w:start w:val="1"/>
      <w:numFmt w:val="decimal"/>
      <w:lvlText w:val="%1."/>
      <w:lvlJc w:val="left"/>
      <w:pPr>
        <w:tabs>
          <w:tab w:val="num" w:pos="1440"/>
        </w:tabs>
        <w:ind w:left="1440" w:hanging="360"/>
      </w:pPr>
    </w:lvl>
  </w:abstractNum>
  <w:abstractNum w:abstractNumId="2">
    <w:nsid w:val="FFFFFF7E"/>
    <w:multiLevelType w:val="singleLevel"/>
    <w:tmpl w:val="E23A67F4"/>
    <w:lvl w:ilvl="0">
      <w:start w:val="1"/>
      <w:numFmt w:val="decimal"/>
      <w:lvlText w:val="%1."/>
      <w:lvlJc w:val="left"/>
      <w:pPr>
        <w:tabs>
          <w:tab w:val="num" w:pos="1080"/>
        </w:tabs>
        <w:ind w:left="1080" w:hanging="360"/>
      </w:pPr>
    </w:lvl>
  </w:abstractNum>
  <w:abstractNum w:abstractNumId="3">
    <w:nsid w:val="FFFFFF7F"/>
    <w:multiLevelType w:val="singleLevel"/>
    <w:tmpl w:val="6C0ED1B0"/>
    <w:lvl w:ilvl="0">
      <w:start w:val="1"/>
      <w:numFmt w:val="decimal"/>
      <w:lvlText w:val="%1."/>
      <w:lvlJc w:val="left"/>
      <w:pPr>
        <w:tabs>
          <w:tab w:val="num" w:pos="720"/>
        </w:tabs>
        <w:ind w:left="720" w:hanging="360"/>
      </w:pPr>
    </w:lvl>
  </w:abstractNum>
  <w:abstractNum w:abstractNumId="4">
    <w:nsid w:val="FFFFFF80"/>
    <w:multiLevelType w:val="singleLevel"/>
    <w:tmpl w:val="A9DCEE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BC4A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5897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A45B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B065F2"/>
    <w:lvl w:ilvl="0">
      <w:start w:val="1"/>
      <w:numFmt w:val="decimal"/>
      <w:lvlText w:val="%1."/>
      <w:lvlJc w:val="left"/>
      <w:pPr>
        <w:tabs>
          <w:tab w:val="num" w:pos="360"/>
        </w:tabs>
        <w:ind w:left="360" w:hanging="360"/>
      </w:pPr>
    </w:lvl>
  </w:abstractNum>
  <w:abstractNum w:abstractNumId="9">
    <w:nsid w:val="FFFFFF89"/>
    <w:multiLevelType w:val="singleLevel"/>
    <w:tmpl w:val="0088ACF0"/>
    <w:lvl w:ilvl="0">
      <w:start w:val="1"/>
      <w:numFmt w:val="bullet"/>
      <w:lvlText w:val=""/>
      <w:lvlJc w:val="left"/>
      <w:pPr>
        <w:tabs>
          <w:tab w:val="num" w:pos="360"/>
        </w:tabs>
        <w:ind w:left="360" w:hanging="360"/>
      </w:pPr>
      <w:rPr>
        <w:rFonts w:ascii="Symbol" w:hAnsi="Symbol" w:hint="default"/>
      </w:rPr>
    </w:lvl>
  </w:abstractNum>
  <w:abstractNum w:abstractNumId="10">
    <w:nsid w:val="0B75292A"/>
    <w:multiLevelType w:val="hybridMultilevel"/>
    <w:tmpl w:val="A000BF0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C0C20BE"/>
    <w:multiLevelType w:val="hybridMultilevel"/>
    <w:tmpl w:val="3B488F2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DD4117A"/>
    <w:multiLevelType w:val="hybridMultilevel"/>
    <w:tmpl w:val="C748CA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38834E4"/>
    <w:multiLevelType w:val="hybridMultilevel"/>
    <w:tmpl w:val="97A29CB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A395B90"/>
    <w:multiLevelType w:val="hybridMultilevel"/>
    <w:tmpl w:val="3CEC8B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11E6BEF"/>
    <w:multiLevelType w:val="hybridMultilevel"/>
    <w:tmpl w:val="A3DCC15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E1361E4"/>
    <w:multiLevelType w:val="hybridMultilevel"/>
    <w:tmpl w:val="0D585A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4"/>
  </w:num>
  <w:num w:numId="14">
    <w:abstractNumId w:val="10"/>
  </w:num>
  <w:num w:numId="15">
    <w:abstractNumId w:val="11"/>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autoHyphenation/>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BA"/>
    <w:rsid w:val="00000008"/>
    <w:rsid w:val="00001E86"/>
    <w:rsid w:val="00003A42"/>
    <w:rsid w:val="00011D8C"/>
    <w:rsid w:val="00012BB0"/>
    <w:rsid w:val="00017E03"/>
    <w:rsid w:val="00030A66"/>
    <w:rsid w:val="00042998"/>
    <w:rsid w:val="0004594B"/>
    <w:rsid w:val="000478B4"/>
    <w:rsid w:val="00063926"/>
    <w:rsid w:val="00063D4A"/>
    <w:rsid w:val="00063EE7"/>
    <w:rsid w:val="00071F5C"/>
    <w:rsid w:val="0007509A"/>
    <w:rsid w:val="0009705F"/>
    <w:rsid w:val="000B1C45"/>
    <w:rsid w:val="000B39EA"/>
    <w:rsid w:val="000C0213"/>
    <w:rsid w:val="001118F0"/>
    <w:rsid w:val="001133A2"/>
    <w:rsid w:val="0011370C"/>
    <w:rsid w:val="001169EC"/>
    <w:rsid w:val="00126963"/>
    <w:rsid w:val="00131788"/>
    <w:rsid w:val="00131DF7"/>
    <w:rsid w:val="00145B40"/>
    <w:rsid w:val="00152D41"/>
    <w:rsid w:val="001535DF"/>
    <w:rsid w:val="00153A1D"/>
    <w:rsid w:val="00156701"/>
    <w:rsid w:val="00164E0F"/>
    <w:rsid w:val="00165A9E"/>
    <w:rsid w:val="001674F4"/>
    <w:rsid w:val="00173BA2"/>
    <w:rsid w:val="001754AB"/>
    <w:rsid w:val="001760AB"/>
    <w:rsid w:val="00180063"/>
    <w:rsid w:val="00182350"/>
    <w:rsid w:val="0018491E"/>
    <w:rsid w:val="00185EA2"/>
    <w:rsid w:val="001911EC"/>
    <w:rsid w:val="001975C0"/>
    <w:rsid w:val="001A17AA"/>
    <w:rsid w:val="001A34C8"/>
    <w:rsid w:val="001A401E"/>
    <w:rsid w:val="001B1824"/>
    <w:rsid w:val="001C3AE5"/>
    <w:rsid w:val="001D083D"/>
    <w:rsid w:val="001D0CD3"/>
    <w:rsid w:val="001D3789"/>
    <w:rsid w:val="001D5F3B"/>
    <w:rsid w:val="001E1FBE"/>
    <w:rsid w:val="001E2AB9"/>
    <w:rsid w:val="001E4080"/>
    <w:rsid w:val="001E4215"/>
    <w:rsid w:val="001E72DA"/>
    <w:rsid w:val="001F63F4"/>
    <w:rsid w:val="001F6A79"/>
    <w:rsid w:val="001F75F4"/>
    <w:rsid w:val="00201A8F"/>
    <w:rsid w:val="00205600"/>
    <w:rsid w:val="00210EC4"/>
    <w:rsid w:val="00211173"/>
    <w:rsid w:val="00214989"/>
    <w:rsid w:val="00214CC8"/>
    <w:rsid w:val="00217979"/>
    <w:rsid w:val="0023042F"/>
    <w:rsid w:val="0025016C"/>
    <w:rsid w:val="002512BF"/>
    <w:rsid w:val="00262C9B"/>
    <w:rsid w:val="00265E6D"/>
    <w:rsid w:val="00266C3E"/>
    <w:rsid w:val="002905A7"/>
    <w:rsid w:val="0029239B"/>
    <w:rsid w:val="002932B3"/>
    <w:rsid w:val="00295873"/>
    <w:rsid w:val="0029758E"/>
    <w:rsid w:val="002A38F2"/>
    <w:rsid w:val="002A5C96"/>
    <w:rsid w:val="002B5378"/>
    <w:rsid w:val="002C1CA9"/>
    <w:rsid w:val="002D5A67"/>
    <w:rsid w:val="002E238F"/>
    <w:rsid w:val="002E246F"/>
    <w:rsid w:val="002E2DAE"/>
    <w:rsid w:val="002E382A"/>
    <w:rsid w:val="003116B9"/>
    <w:rsid w:val="00315C53"/>
    <w:rsid w:val="003247D7"/>
    <w:rsid w:val="00324D1D"/>
    <w:rsid w:val="003274CE"/>
    <w:rsid w:val="003374E2"/>
    <w:rsid w:val="003406E2"/>
    <w:rsid w:val="00345D87"/>
    <w:rsid w:val="0035338F"/>
    <w:rsid w:val="003546AD"/>
    <w:rsid w:val="00354CAC"/>
    <w:rsid w:val="00373A13"/>
    <w:rsid w:val="00376C80"/>
    <w:rsid w:val="00384A96"/>
    <w:rsid w:val="003860F4"/>
    <w:rsid w:val="003913F3"/>
    <w:rsid w:val="0039216F"/>
    <w:rsid w:val="00396B88"/>
    <w:rsid w:val="003A15C5"/>
    <w:rsid w:val="003C0B66"/>
    <w:rsid w:val="003D73EB"/>
    <w:rsid w:val="004028A4"/>
    <w:rsid w:val="00406E6F"/>
    <w:rsid w:val="00407EA6"/>
    <w:rsid w:val="00411771"/>
    <w:rsid w:val="004132C1"/>
    <w:rsid w:val="00417141"/>
    <w:rsid w:val="00417A5F"/>
    <w:rsid w:val="00421CCE"/>
    <w:rsid w:val="0042716D"/>
    <w:rsid w:val="00427213"/>
    <w:rsid w:val="00430CC4"/>
    <w:rsid w:val="004334FE"/>
    <w:rsid w:val="004408E9"/>
    <w:rsid w:val="00444E49"/>
    <w:rsid w:val="004516A8"/>
    <w:rsid w:val="00455484"/>
    <w:rsid w:val="004623A6"/>
    <w:rsid w:val="00463E51"/>
    <w:rsid w:val="004746D6"/>
    <w:rsid w:val="0047558B"/>
    <w:rsid w:val="00482D4C"/>
    <w:rsid w:val="00483719"/>
    <w:rsid w:val="00483E09"/>
    <w:rsid w:val="0048458F"/>
    <w:rsid w:val="00492A18"/>
    <w:rsid w:val="004937D6"/>
    <w:rsid w:val="004A2787"/>
    <w:rsid w:val="004A50B7"/>
    <w:rsid w:val="004A5E43"/>
    <w:rsid w:val="004A6FED"/>
    <w:rsid w:val="004B0F1A"/>
    <w:rsid w:val="004B22A4"/>
    <w:rsid w:val="004C141C"/>
    <w:rsid w:val="004C1BCA"/>
    <w:rsid w:val="004C354D"/>
    <w:rsid w:val="004C69FF"/>
    <w:rsid w:val="004C6E30"/>
    <w:rsid w:val="004D03EC"/>
    <w:rsid w:val="004D04CC"/>
    <w:rsid w:val="004D2C66"/>
    <w:rsid w:val="004E0363"/>
    <w:rsid w:val="00500B3E"/>
    <w:rsid w:val="00501BC6"/>
    <w:rsid w:val="00505818"/>
    <w:rsid w:val="005125BB"/>
    <w:rsid w:val="005164D6"/>
    <w:rsid w:val="0051707D"/>
    <w:rsid w:val="005202B1"/>
    <w:rsid w:val="00537FBB"/>
    <w:rsid w:val="00542E24"/>
    <w:rsid w:val="00543492"/>
    <w:rsid w:val="00550812"/>
    <w:rsid w:val="005529A1"/>
    <w:rsid w:val="005539A8"/>
    <w:rsid w:val="005655EF"/>
    <w:rsid w:val="00572449"/>
    <w:rsid w:val="00583ABE"/>
    <w:rsid w:val="00583F34"/>
    <w:rsid w:val="00587DB1"/>
    <w:rsid w:val="00592FCA"/>
    <w:rsid w:val="005960F6"/>
    <w:rsid w:val="005A2C96"/>
    <w:rsid w:val="005A38DF"/>
    <w:rsid w:val="005A577D"/>
    <w:rsid w:val="005B618C"/>
    <w:rsid w:val="005C047C"/>
    <w:rsid w:val="005D47C3"/>
    <w:rsid w:val="005E39FE"/>
    <w:rsid w:val="005E3FFE"/>
    <w:rsid w:val="005E4C09"/>
    <w:rsid w:val="005F1D65"/>
    <w:rsid w:val="005F613C"/>
    <w:rsid w:val="00616546"/>
    <w:rsid w:val="006239F0"/>
    <w:rsid w:val="006248BF"/>
    <w:rsid w:val="00632D57"/>
    <w:rsid w:val="00640371"/>
    <w:rsid w:val="00641AC1"/>
    <w:rsid w:val="00644A8B"/>
    <w:rsid w:val="00647604"/>
    <w:rsid w:val="00647AEC"/>
    <w:rsid w:val="00655B60"/>
    <w:rsid w:val="006667FE"/>
    <w:rsid w:val="00670D76"/>
    <w:rsid w:val="00674C05"/>
    <w:rsid w:val="00676A11"/>
    <w:rsid w:val="0067765C"/>
    <w:rsid w:val="00683DBA"/>
    <w:rsid w:val="0068745B"/>
    <w:rsid w:val="006A033A"/>
    <w:rsid w:val="006A0642"/>
    <w:rsid w:val="006B1992"/>
    <w:rsid w:val="006B33A5"/>
    <w:rsid w:val="006C6EAA"/>
    <w:rsid w:val="006D1FFB"/>
    <w:rsid w:val="006E30A3"/>
    <w:rsid w:val="006E5AE5"/>
    <w:rsid w:val="006E6398"/>
    <w:rsid w:val="006F2386"/>
    <w:rsid w:val="006F28F0"/>
    <w:rsid w:val="006F4B64"/>
    <w:rsid w:val="006F65DE"/>
    <w:rsid w:val="007063B3"/>
    <w:rsid w:val="00715415"/>
    <w:rsid w:val="0072642E"/>
    <w:rsid w:val="007300AC"/>
    <w:rsid w:val="0074142E"/>
    <w:rsid w:val="007414E7"/>
    <w:rsid w:val="007433CB"/>
    <w:rsid w:val="007474D1"/>
    <w:rsid w:val="007476D4"/>
    <w:rsid w:val="00750F07"/>
    <w:rsid w:val="0075178E"/>
    <w:rsid w:val="00751DDB"/>
    <w:rsid w:val="00766E73"/>
    <w:rsid w:val="00784008"/>
    <w:rsid w:val="007B0B24"/>
    <w:rsid w:val="007B1CAA"/>
    <w:rsid w:val="007B3E0C"/>
    <w:rsid w:val="007C025B"/>
    <w:rsid w:val="007C048D"/>
    <w:rsid w:val="007D113D"/>
    <w:rsid w:val="007D7977"/>
    <w:rsid w:val="007E08DE"/>
    <w:rsid w:val="007E0F96"/>
    <w:rsid w:val="007E4BF7"/>
    <w:rsid w:val="007E7B1A"/>
    <w:rsid w:val="007F2817"/>
    <w:rsid w:val="007F720D"/>
    <w:rsid w:val="00804E04"/>
    <w:rsid w:val="00813467"/>
    <w:rsid w:val="008145A3"/>
    <w:rsid w:val="008179FE"/>
    <w:rsid w:val="00823C0E"/>
    <w:rsid w:val="00835931"/>
    <w:rsid w:val="0084172A"/>
    <w:rsid w:val="00847279"/>
    <w:rsid w:val="008501CD"/>
    <w:rsid w:val="0085186C"/>
    <w:rsid w:val="00852111"/>
    <w:rsid w:val="00855C08"/>
    <w:rsid w:val="00855F10"/>
    <w:rsid w:val="008670F4"/>
    <w:rsid w:val="00882214"/>
    <w:rsid w:val="00883819"/>
    <w:rsid w:val="00885F12"/>
    <w:rsid w:val="0089259D"/>
    <w:rsid w:val="0089346E"/>
    <w:rsid w:val="008937E0"/>
    <w:rsid w:val="0089517A"/>
    <w:rsid w:val="00897931"/>
    <w:rsid w:val="008A1389"/>
    <w:rsid w:val="008A47FA"/>
    <w:rsid w:val="008B4A41"/>
    <w:rsid w:val="008C0E91"/>
    <w:rsid w:val="008C4640"/>
    <w:rsid w:val="008C6A57"/>
    <w:rsid w:val="008C7B2D"/>
    <w:rsid w:val="008D04CA"/>
    <w:rsid w:val="008D2C08"/>
    <w:rsid w:val="008E52C5"/>
    <w:rsid w:val="008F01E1"/>
    <w:rsid w:val="008F49C6"/>
    <w:rsid w:val="008F59B6"/>
    <w:rsid w:val="00901E19"/>
    <w:rsid w:val="00912B50"/>
    <w:rsid w:val="009217BF"/>
    <w:rsid w:val="00927D7E"/>
    <w:rsid w:val="009309FB"/>
    <w:rsid w:val="00937D22"/>
    <w:rsid w:val="00941D24"/>
    <w:rsid w:val="0094410A"/>
    <w:rsid w:val="00945F04"/>
    <w:rsid w:val="0095064B"/>
    <w:rsid w:val="0095246D"/>
    <w:rsid w:val="009544A3"/>
    <w:rsid w:val="009568BA"/>
    <w:rsid w:val="0095729E"/>
    <w:rsid w:val="00966B52"/>
    <w:rsid w:val="009743FD"/>
    <w:rsid w:val="00974550"/>
    <w:rsid w:val="00974D16"/>
    <w:rsid w:val="00986746"/>
    <w:rsid w:val="009874D3"/>
    <w:rsid w:val="009A0B78"/>
    <w:rsid w:val="009A2F7F"/>
    <w:rsid w:val="009B7B62"/>
    <w:rsid w:val="009C0F09"/>
    <w:rsid w:val="009C4D44"/>
    <w:rsid w:val="009E283C"/>
    <w:rsid w:val="009F3785"/>
    <w:rsid w:val="009F4CCD"/>
    <w:rsid w:val="00A000D7"/>
    <w:rsid w:val="00A03271"/>
    <w:rsid w:val="00A03B12"/>
    <w:rsid w:val="00A16DC3"/>
    <w:rsid w:val="00A329FB"/>
    <w:rsid w:val="00A43914"/>
    <w:rsid w:val="00A526C4"/>
    <w:rsid w:val="00A562E8"/>
    <w:rsid w:val="00A5792A"/>
    <w:rsid w:val="00A6312A"/>
    <w:rsid w:val="00A6440B"/>
    <w:rsid w:val="00A7230D"/>
    <w:rsid w:val="00A73D7D"/>
    <w:rsid w:val="00AC0499"/>
    <w:rsid w:val="00AC428C"/>
    <w:rsid w:val="00AD083A"/>
    <w:rsid w:val="00AD3707"/>
    <w:rsid w:val="00AD4AF9"/>
    <w:rsid w:val="00AD5CCB"/>
    <w:rsid w:val="00AD6C77"/>
    <w:rsid w:val="00AE2978"/>
    <w:rsid w:val="00AE354C"/>
    <w:rsid w:val="00AE678A"/>
    <w:rsid w:val="00AF45E9"/>
    <w:rsid w:val="00B00EEF"/>
    <w:rsid w:val="00B01EEC"/>
    <w:rsid w:val="00B04C6B"/>
    <w:rsid w:val="00B102D7"/>
    <w:rsid w:val="00B12E5C"/>
    <w:rsid w:val="00B13D7F"/>
    <w:rsid w:val="00B13F42"/>
    <w:rsid w:val="00B16EF9"/>
    <w:rsid w:val="00B2797A"/>
    <w:rsid w:val="00B3679F"/>
    <w:rsid w:val="00B4152C"/>
    <w:rsid w:val="00B42982"/>
    <w:rsid w:val="00B466B9"/>
    <w:rsid w:val="00B46890"/>
    <w:rsid w:val="00B613ED"/>
    <w:rsid w:val="00B65DCB"/>
    <w:rsid w:val="00B8075D"/>
    <w:rsid w:val="00B829BA"/>
    <w:rsid w:val="00B82B0C"/>
    <w:rsid w:val="00B82CEE"/>
    <w:rsid w:val="00B8422F"/>
    <w:rsid w:val="00B85003"/>
    <w:rsid w:val="00B8573E"/>
    <w:rsid w:val="00B9103C"/>
    <w:rsid w:val="00B94F96"/>
    <w:rsid w:val="00BA0320"/>
    <w:rsid w:val="00BB462D"/>
    <w:rsid w:val="00BB603C"/>
    <w:rsid w:val="00BD595C"/>
    <w:rsid w:val="00BE157E"/>
    <w:rsid w:val="00BE2CC0"/>
    <w:rsid w:val="00BE56B3"/>
    <w:rsid w:val="00BF224A"/>
    <w:rsid w:val="00BF3951"/>
    <w:rsid w:val="00C00DF2"/>
    <w:rsid w:val="00C071B2"/>
    <w:rsid w:val="00C1448E"/>
    <w:rsid w:val="00C17AB6"/>
    <w:rsid w:val="00C20CA5"/>
    <w:rsid w:val="00C23097"/>
    <w:rsid w:val="00C31B83"/>
    <w:rsid w:val="00C40A8D"/>
    <w:rsid w:val="00C44B8D"/>
    <w:rsid w:val="00C47AD4"/>
    <w:rsid w:val="00C5311C"/>
    <w:rsid w:val="00C575E3"/>
    <w:rsid w:val="00C57BDA"/>
    <w:rsid w:val="00C615E4"/>
    <w:rsid w:val="00C70C06"/>
    <w:rsid w:val="00C73699"/>
    <w:rsid w:val="00C73F53"/>
    <w:rsid w:val="00C75785"/>
    <w:rsid w:val="00C76167"/>
    <w:rsid w:val="00C830E3"/>
    <w:rsid w:val="00C83A0F"/>
    <w:rsid w:val="00C86341"/>
    <w:rsid w:val="00C87D8B"/>
    <w:rsid w:val="00C95D07"/>
    <w:rsid w:val="00CB4DEF"/>
    <w:rsid w:val="00CC2995"/>
    <w:rsid w:val="00CC4EA1"/>
    <w:rsid w:val="00CC7535"/>
    <w:rsid w:val="00CD2DA1"/>
    <w:rsid w:val="00CD5872"/>
    <w:rsid w:val="00CD6876"/>
    <w:rsid w:val="00CD7F06"/>
    <w:rsid w:val="00CE2EE4"/>
    <w:rsid w:val="00CE67DF"/>
    <w:rsid w:val="00D06EB9"/>
    <w:rsid w:val="00D2107C"/>
    <w:rsid w:val="00D33801"/>
    <w:rsid w:val="00D51A29"/>
    <w:rsid w:val="00D52133"/>
    <w:rsid w:val="00D5793C"/>
    <w:rsid w:val="00D61533"/>
    <w:rsid w:val="00D71127"/>
    <w:rsid w:val="00D71B0B"/>
    <w:rsid w:val="00D80CC6"/>
    <w:rsid w:val="00D90427"/>
    <w:rsid w:val="00D92098"/>
    <w:rsid w:val="00DA4F03"/>
    <w:rsid w:val="00DA5407"/>
    <w:rsid w:val="00DA6FDF"/>
    <w:rsid w:val="00DA7118"/>
    <w:rsid w:val="00DB0EFE"/>
    <w:rsid w:val="00DB3182"/>
    <w:rsid w:val="00DB56D5"/>
    <w:rsid w:val="00DB714D"/>
    <w:rsid w:val="00DB7909"/>
    <w:rsid w:val="00DC066D"/>
    <w:rsid w:val="00DC5351"/>
    <w:rsid w:val="00DD5AE3"/>
    <w:rsid w:val="00DE4D4B"/>
    <w:rsid w:val="00DF2346"/>
    <w:rsid w:val="00E06B0F"/>
    <w:rsid w:val="00E07378"/>
    <w:rsid w:val="00E177C8"/>
    <w:rsid w:val="00E25D50"/>
    <w:rsid w:val="00E26C06"/>
    <w:rsid w:val="00E322BB"/>
    <w:rsid w:val="00E5167A"/>
    <w:rsid w:val="00E62AD8"/>
    <w:rsid w:val="00E76BC0"/>
    <w:rsid w:val="00E8324C"/>
    <w:rsid w:val="00E86D40"/>
    <w:rsid w:val="00E9025B"/>
    <w:rsid w:val="00E90AD1"/>
    <w:rsid w:val="00EA01C4"/>
    <w:rsid w:val="00EA17E5"/>
    <w:rsid w:val="00EA362D"/>
    <w:rsid w:val="00EB1407"/>
    <w:rsid w:val="00EB55FE"/>
    <w:rsid w:val="00EB7EE5"/>
    <w:rsid w:val="00EC12A4"/>
    <w:rsid w:val="00EE1C8F"/>
    <w:rsid w:val="00EF33A0"/>
    <w:rsid w:val="00EF49C8"/>
    <w:rsid w:val="00EF504E"/>
    <w:rsid w:val="00F05756"/>
    <w:rsid w:val="00F077CF"/>
    <w:rsid w:val="00F07BC6"/>
    <w:rsid w:val="00F15A15"/>
    <w:rsid w:val="00F170DD"/>
    <w:rsid w:val="00F17794"/>
    <w:rsid w:val="00F22352"/>
    <w:rsid w:val="00F37B43"/>
    <w:rsid w:val="00F44450"/>
    <w:rsid w:val="00F4607E"/>
    <w:rsid w:val="00F464B3"/>
    <w:rsid w:val="00F51CAF"/>
    <w:rsid w:val="00F52C43"/>
    <w:rsid w:val="00F56CA0"/>
    <w:rsid w:val="00F605F1"/>
    <w:rsid w:val="00F608AB"/>
    <w:rsid w:val="00F62177"/>
    <w:rsid w:val="00F6418A"/>
    <w:rsid w:val="00F81042"/>
    <w:rsid w:val="00F85D84"/>
    <w:rsid w:val="00F908F1"/>
    <w:rsid w:val="00F92F8E"/>
    <w:rsid w:val="00FA0892"/>
    <w:rsid w:val="00FA75B4"/>
    <w:rsid w:val="00FB1A49"/>
    <w:rsid w:val="00FB3F2B"/>
    <w:rsid w:val="00FB44AD"/>
    <w:rsid w:val="00FC6ED2"/>
    <w:rsid w:val="00FD13B6"/>
    <w:rsid w:val="00FD40B2"/>
    <w:rsid w:val="00FD5F7C"/>
    <w:rsid w:val="00FE5C66"/>
    <w:rsid w:val="00FF069F"/>
    <w:rsid w:val="00FF18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alibri" w:hAnsi="Century Schoolbook"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99"/>
    <w:pPr>
      <w:spacing w:after="0"/>
    </w:pPr>
    <w:rPr>
      <w:sz w:val="20"/>
      <w:szCs w:val="20"/>
    </w:rPr>
  </w:style>
  <w:style w:type="character" w:customStyle="1" w:styleId="FootnoteTextChar">
    <w:name w:val="Footnote Text Char"/>
    <w:basedOn w:val="DefaultParagraphFont"/>
    <w:uiPriority w:val="99"/>
    <w:rPr>
      <w:rFonts w:cs="Times New Roman"/>
      <w:sz w:val="20"/>
      <w:szCs w:val="20"/>
    </w:rPr>
  </w:style>
  <w:style w:type="character" w:styleId="FootnoteReference">
    <w:name w:val="footnote reference"/>
    <w:basedOn w:val="DefaultParagraphFont"/>
    <w:uiPriority w:val="99"/>
    <w:rPr>
      <w:position w:val="0"/>
      <w:vertAlign w:val="superscript"/>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6"/>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costarpage">
    <w:name w:val="co_starpage"/>
    <w:basedOn w:val="DefaultParagraphFont"/>
  </w:style>
  <w:style w:type="character" w:styleId="Emphasis">
    <w:name w:val="Emphasis"/>
    <w:basedOn w:val="DefaultParagraphFont"/>
    <w:rPr>
      <w:i/>
      <w:iCs/>
    </w:rPr>
  </w:style>
  <w:style w:type="paragraph" w:styleId="BalloonText">
    <w:name w:val="Balloon Text"/>
    <w:basedOn w:val="Normal"/>
    <w:link w:val="BalloonTextChar"/>
    <w:uiPriority w:val="99"/>
    <w:semiHidden/>
    <w:unhideWhenUsed/>
    <w:pPr>
      <w:spacing w:after="0"/>
    </w:pPr>
    <w:rPr>
      <w:rFonts w:cs="Segoe UI"/>
      <w:sz w:val="26"/>
      <w:szCs w:val="18"/>
    </w:rPr>
  </w:style>
  <w:style w:type="character" w:customStyle="1" w:styleId="BalloonTextChar">
    <w:name w:val="Balloon Text Char"/>
    <w:basedOn w:val="DefaultParagraphFont"/>
    <w:link w:val="BalloonText"/>
    <w:uiPriority w:val="99"/>
    <w:semiHidden/>
    <w:rPr>
      <w:rFonts w:cs="Segoe UI"/>
      <w:sz w:val="26"/>
      <w:szCs w:val="18"/>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autoSpaceDN/>
      <w:spacing w:after="0"/>
      <w:textAlignment w:val="auto"/>
    </w:pPr>
  </w:style>
  <w:style w:type="character" w:customStyle="1" w:styleId="normaltextrun">
    <w:name w:val="normaltextrun"/>
    <w:basedOn w:val="DefaultParagraphFont"/>
  </w:style>
  <w:style w:type="paragraph" w:customStyle="1" w:styleId="paragraph">
    <w:name w:val="paragraph"/>
    <w:basedOn w:val="Normal"/>
    <w:pPr>
      <w:suppressAutoHyphens w:val="0"/>
      <w:autoSpaceDN/>
      <w:spacing w:before="100" w:beforeAutospacing="1" w:after="100" w:afterAutospacing="1"/>
      <w:textAlignment w:val="auto"/>
    </w:pPr>
    <w:rPr>
      <w:rFonts w:ascii="Times New Roman" w:eastAsia="Times New Roman" w:hAnsi="Times New Roman"/>
      <w:sz w:val="24"/>
      <w:szCs w:val="24"/>
    </w:rPr>
  </w:style>
  <w:style w:type="character" w:customStyle="1" w:styleId="eop">
    <w:name w:val="eop"/>
    <w:basedOn w:val="DefaultParagraphFont"/>
  </w:style>
  <w:style w:type="paragraph" w:customStyle="1" w:styleId="Default">
    <w:name w:val="Default"/>
    <w:pPr>
      <w:autoSpaceDE w:val="0"/>
      <w:adjustRightInd w:val="0"/>
      <w:spacing w:after="0"/>
      <w:textAlignment w:val="auto"/>
    </w:pPr>
    <w:rPr>
      <w:rFonts w:cs="Century Schoolbook"/>
      <w:color w:val="000000"/>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F674-FFC4-485B-9C30-B1360962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2538</Words>
  <Characters>14468</Characters>
  <Application>Microsoft Office Word</Application>
  <DocSecurity>0</DocSecurity>
  <Lines>120</Lines>
  <Paragraphs>33</Paragraphs>
  <ScaleCrop>false</ScaleCrop>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2024-06-03T18:27:32Z</dcterms:created>
  <dcterms:modified xsi:type="dcterms:W3CDTF">2024-06-03T18:27:32Z</dcterms:modified>
</cp:coreProperties>
</file>