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96D99" w:rsidRPr="005E619C" w:rsidP="005E619C" w14:paraId="33540140" w14:textId="00C680BE">
      <w:pPr>
        <w:spacing w:line="240" w:lineRule="auto"/>
        <w:rPr>
          <w:rFonts w:ascii="Century Schoolbook" w:hAnsi="Century Schoolbook"/>
          <w:sz w:val="20"/>
          <w:szCs w:val="20"/>
        </w:rPr>
      </w:pPr>
      <w:r w:rsidRPr="005E619C">
        <w:rPr>
          <w:rFonts w:ascii="Century Schoolbook" w:hAnsi="Century Schoolbook"/>
          <w:sz w:val="20"/>
          <w:szCs w:val="20"/>
        </w:rPr>
        <w:t>Filed</w:t>
      </w:r>
      <w:r>
        <w:rPr>
          <w:rFonts w:ascii="Century Schoolbook" w:hAnsi="Century Schoolbook"/>
          <w:sz w:val="20"/>
          <w:szCs w:val="20"/>
        </w:rPr>
        <w:t xml:space="preserve"> 5/20/24</w:t>
      </w:r>
    </w:p>
    <w:p w:rsidR="00814F4E" w:rsidRPr="005A144C" w:rsidP="002E22D7" w14:paraId="01255C06" w14:textId="5FCF6B4B">
      <w:pPr>
        <w:spacing w:line="240" w:lineRule="auto"/>
        <w:jc w:val="center"/>
        <w:rPr>
          <w:rFonts w:ascii="Century Schoolbook" w:hAnsi="Century Schoolbook"/>
          <w:b/>
          <w:bCs/>
        </w:rPr>
      </w:pPr>
      <w:r w:rsidRPr="005A144C">
        <w:rPr>
          <w:rFonts w:ascii="Century Schoolbook" w:hAnsi="Century Schoolbook"/>
          <w:b/>
          <w:bCs/>
        </w:rPr>
        <w:t>CERTIFIED FOR PARTIAL PUBLICATION</w:t>
      </w:r>
      <w:r>
        <w:rPr>
          <w:rStyle w:val="FootnoteReference"/>
          <w:rFonts w:ascii="Century Schoolbook" w:hAnsi="Century Schoolbook"/>
          <w:b/>
          <w:bCs/>
        </w:rPr>
        <w:footnoteReference w:customMarkFollows="1" w:id="2"/>
        <w:t xml:space="preserve">*</w:t>
      </w:r>
    </w:p>
    <w:p w:rsidR="00814F4E" w:rsidRPr="005A144C" w:rsidP="002E22D7" w14:paraId="357E7E60" w14:textId="77777777">
      <w:pPr>
        <w:spacing w:line="240" w:lineRule="auto"/>
        <w:jc w:val="center"/>
        <w:rPr>
          <w:rFonts w:ascii="Century Schoolbook" w:hAnsi="Century Schoolbook"/>
        </w:rPr>
      </w:pPr>
    </w:p>
    <w:p w:rsidR="00FB60B1" w:rsidRPr="005A144C" w:rsidP="002E22D7" w14:paraId="5759D99F" w14:textId="19E30689">
      <w:pPr>
        <w:spacing w:line="240" w:lineRule="auto"/>
        <w:jc w:val="center"/>
        <w:rPr>
          <w:rFonts w:ascii="Century Schoolbook" w:hAnsi="Century Schoolbook"/>
        </w:rPr>
      </w:pPr>
      <w:r w:rsidRPr="005A144C">
        <w:rPr>
          <w:rFonts w:ascii="Century Schoolbook" w:hAnsi="Century Schoolbook"/>
        </w:rPr>
        <w:t>IN THE COURT OF APPEAL OF THE STATE OF CALIFORNIA</w:t>
      </w:r>
    </w:p>
    <w:p w:rsidR="008B04BA" w:rsidRPr="005A144C" w:rsidP="002E22D7" w14:paraId="2CFE7FD4" w14:textId="77777777">
      <w:pPr>
        <w:spacing w:line="240" w:lineRule="auto"/>
        <w:jc w:val="center"/>
        <w:rPr>
          <w:rFonts w:ascii="Century Schoolbook" w:hAnsi="Century Schoolbook"/>
        </w:rPr>
      </w:pPr>
    </w:p>
    <w:p w:rsidR="008B04BA" w:rsidRPr="005A144C" w:rsidP="002E22D7" w14:paraId="3A7AC467" w14:textId="77777777">
      <w:pPr>
        <w:spacing w:line="240" w:lineRule="auto"/>
        <w:jc w:val="center"/>
        <w:rPr>
          <w:rFonts w:ascii="Century Schoolbook" w:hAnsi="Century Schoolbook"/>
        </w:rPr>
      </w:pPr>
      <w:r w:rsidRPr="005A144C">
        <w:rPr>
          <w:rFonts w:ascii="Century Schoolbook" w:hAnsi="Century Schoolbook"/>
        </w:rPr>
        <w:t>FIRST APPELLATE DISTRICT</w:t>
      </w:r>
    </w:p>
    <w:p w:rsidR="008B04BA" w:rsidRPr="005A144C" w:rsidP="002E22D7" w14:paraId="12CD7BD6" w14:textId="77777777">
      <w:pPr>
        <w:spacing w:line="240" w:lineRule="auto"/>
        <w:jc w:val="center"/>
        <w:rPr>
          <w:rFonts w:ascii="Century Schoolbook" w:hAnsi="Century Schoolbook"/>
        </w:rPr>
      </w:pPr>
    </w:p>
    <w:p w:rsidR="008B04BA" w:rsidRPr="005A144C" w:rsidP="002E22D7" w14:paraId="7014811A" w14:textId="77777777">
      <w:pPr>
        <w:spacing w:line="240" w:lineRule="auto"/>
        <w:jc w:val="center"/>
        <w:rPr>
          <w:rFonts w:ascii="Century Schoolbook" w:hAnsi="Century Schoolbook"/>
        </w:rPr>
      </w:pPr>
      <w:r w:rsidRPr="005A144C">
        <w:rPr>
          <w:rFonts w:ascii="Century Schoolbook" w:hAnsi="Century Schoolbook"/>
        </w:rPr>
        <w:t>DIVISION ONE</w:t>
      </w:r>
    </w:p>
    <w:p w:rsidR="008B04BA" w:rsidRPr="005A144C" w:rsidP="002E22D7" w14:paraId="5DA9C3C5" w14:textId="77777777">
      <w:pPr>
        <w:spacing w:line="240" w:lineRule="auto"/>
        <w:jc w:val="center"/>
        <w:rPr>
          <w:rFonts w:ascii="Century Schoolbook" w:hAnsi="Century Schoolbook"/>
        </w:rPr>
      </w:pPr>
    </w:p>
    <w:p w:rsidR="008B04BA" w:rsidRPr="005A144C" w:rsidP="002E22D7" w14:paraId="54C84A30"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3461CC77" w14:textId="77777777" w:rsidTr="00CC13D4">
        <w:tblPrEx>
          <w:tblW w:w="0" w:type="auto"/>
          <w:tblLayout w:type="fixed"/>
          <w:tblLook w:val="0000"/>
        </w:tblPrEx>
        <w:tc>
          <w:tcPr>
            <w:tcW w:w="4680" w:type="dxa"/>
            <w:tcBorders>
              <w:bottom w:val="single" w:sz="4" w:space="0" w:color="auto"/>
              <w:right w:val="single" w:sz="4" w:space="0" w:color="auto"/>
            </w:tcBorders>
            <w:shd w:val="clear" w:color="auto" w:fill="auto"/>
          </w:tcPr>
          <w:p w:rsidR="00861729" w:rsidRPr="005A144C" w:rsidP="002E22D7" w14:paraId="62E038EE" w14:textId="3A164EF2">
            <w:pPr>
              <w:spacing w:after="120" w:line="240" w:lineRule="auto"/>
              <w:rPr>
                <w:rFonts w:ascii="Century Schoolbook" w:hAnsi="Century Schoolbook"/>
              </w:rPr>
            </w:pPr>
            <w:r w:rsidRPr="005A144C">
              <w:rPr>
                <w:rFonts w:ascii="Century Schoolbook" w:hAnsi="Century Schoolbook"/>
              </w:rPr>
              <w:t>TERESA DOSKOCZ</w:t>
            </w:r>
            <w:r w:rsidRPr="005A144C" w:rsidR="007C3CD1">
              <w:rPr>
                <w:rFonts w:ascii="Century Schoolbook" w:hAnsi="Century Schoolbook"/>
              </w:rPr>
              <w:t xml:space="preserve"> et al.</w:t>
            </w:r>
            <w:r w:rsidRPr="005A144C">
              <w:rPr>
                <w:rFonts w:ascii="Century Schoolbook" w:hAnsi="Century Schoolbook"/>
              </w:rPr>
              <w:t>,</w:t>
            </w:r>
          </w:p>
          <w:p w:rsidR="00861729" w:rsidRPr="005A144C" w:rsidP="002E22D7" w14:paraId="4EF4DFE5" w14:textId="5B6E1671">
            <w:pPr>
              <w:spacing w:after="120" w:line="240" w:lineRule="auto"/>
              <w:rPr>
                <w:rFonts w:ascii="Century Schoolbook" w:hAnsi="Century Schoolbook"/>
              </w:rPr>
            </w:pPr>
            <w:r w:rsidRPr="005A144C">
              <w:rPr>
                <w:rFonts w:ascii="Century Schoolbook" w:hAnsi="Century Schoolbook"/>
              </w:rPr>
              <w:tab/>
            </w:r>
            <w:r w:rsidRPr="005A144C" w:rsidR="007D4005">
              <w:rPr>
                <w:rFonts w:ascii="Century Schoolbook" w:hAnsi="Century Schoolbook"/>
              </w:rPr>
              <w:t>Plaintiff</w:t>
            </w:r>
            <w:r w:rsidRPr="005A144C" w:rsidR="007C3CD1">
              <w:rPr>
                <w:rFonts w:ascii="Century Schoolbook" w:hAnsi="Century Schoolbook"/>
              </w:rPr>
              <w:t>s</w:t>
            </w:r>
            <w:r w:rsidRPr="005A144C">
              <w:rPr>
                <w:rFonts w:ascii="Century Schoolbook" w:hAnsi="Century Schoolbook"/>
              </w:rPr>
              <w:t xml:space="preserve"> and </w:t>
            </w:r>
            <w:r w:rsidRPr="005A144C" w:rsidR="007D4005">
              <w:rPr>
                <w:rFonts w:ascii="Century Schoolbook" w:hAnsi="Century Schoolbook"/>
              </w:rPr>
              <w:t>Respondent</w:t>
            </w:r>
            <w:r w:rsidRPr="005A144C" w:rsidR="007C3CD1">
              <w:rPr>
                <w:rFonts w:ascii="Century Schoolbook" w:hAnsi="Century Schoolbook"/>
              </w:rPr>
              <w:t>s</w:t>
            </w:r>
            <w:r w:rsidRPr="005A144C">
              <w:rPr>
                <w:rFonts w:ascii="Century Schoolbook" w:hAnsi="Century Schoolbook"/>
              </w:rPr>
              <w:t>,</w:t>
            </w:r>
          </w:p>
          <w:p w:rsidR="00861729" w:rsidRPr="005A144C" w:rsidP="002E22D7" w14:paraId="233E4170" w14:textId="77777777">
            <w:pPr>
              <w:spacing w:after="120" w:line="240" w:lineRule="auto"/>
              <w:rPr>
                <w:rFonts w:ascii="Century Schoolbook" w:hAnsi="Century Schoolbook"/>
              </w:rPr>
            </w:pPr>
            <w:r w:rsidRPr="005A144C">
              <w:rPr>
                <w:rFonts w:ascii="Century Schoolbook" w:hAnsi="Century Schoolbook"/>
              </w:rPr>
              <w:t>v.</w:t>
            </w:r>
          </w:p>
          <w:p w:rsidR="00861729" w:rsidRPr="005A144C" w:rsidP="002E22D7" w14:paraId="26613916" w14:textId="7540818D">
            <w:pPr>
              <w:spacing w:after="120" w:line="240" w:lineRule="auto"/>
              <w:rPr>
                <w:rFonts w:ascii="Century Schoolbook" w:hAnsi="Century Schoolbook"/>
              </w:rPr>
            </w:pPr>
            <w:r w:rsidRPr="005A144C">
              <w:rPr>
                <w:rFonts w:ascii="Century Schoolbook" w:hAnsi="Century Schoolbook"/>
              </w:rPr>
              <w:t xml:space="preserve">ALS LIEN SERVICES </w:t>
            </w:r>
            <w:r w:rsidRPr="005A144C" w:rsidR="002A4DAE">
              <w:rPr>
                <w:rFonts w:ascii="Century Schoolbook" w:hAnsi="Century Schoolbook"/>
              </w:rPr>
              <w:t>et al</w:t>
            </w:r>
            <w:r w:rsidRPr="005A144C">
              <w:rPr>
                <w:rFonts w:ascii="Century Schoolbook" w:hAnsi="Century Schoolbook"/>
              </w:rPr>
              <w:t>.,</w:t>
            </w:r>
          </w:p>
          <w:p w:rsidR="00861729" w:rsidRPr="005A144C" w:rsidP="002E22D7" w14:paraId="7AD7BAD5" w14:textId="3AB96066">
            <w:pPr>
              <w:spacing w:after="120" w:line="240" w:lineRule="auto"/>
              <w:rPr>
                <w:rFonts w:ascii="Century Schoolbook" w:hAnsi="Century Schoolbook"/>
              </w:rPr>
            </w:pPr>
            <w:r w:rsidRPr="005A144C">
              <w:rPr>
                <w:rFonts w:ascii="Century Schoolbook" w:hAnsi="Century Schoolbook"/>
              </w:rPr>
              <w:tab/>
            </w:r>
            <w:r w:rsidRPr="005A144C" w:rsidR="007D4005">
              <w:rPr>
                <w:rFonts w:ascii="Century Schoolbook" w:hAnsi="Century Schoolbook"/>
              </w:rPr>
              <w:t>Defendants</w:t>
            </w:r>
            <w:r w:rsidRPr="005A144C">
              <w:rPr>
                <w:rFonts w:ascii="Century Schoolbook" w:hAnsi="Century Schoolbook"/>
              </w:rPr>
              <w:t xml:space="preserve"> and </w:t>
            </w:r>
            <w:r w:rsidRPr="005A144C" w:rsidR="007D4005">
              <w:rPr>
                <w:rFonts w:ascii="Century Schoolbook" w:hAnsi="Century Schoolbook"/>
              </w:rPr>
              <w:t>Appellants</w:t>
            </w:r>
            <w:r w:rsidRPr="005A144C">
              <w:rPr>
                <w:rFonts w:ascii="Century Schoolbook" w:hAnsi="Century Schoolbook"/>
              </w:rPr>
              <w:t>.</w:t>
            </w:r>
          </w:p>
        </w:tc>
        <w:tc>
          <w:tcPr>
            <w:tcW w:w="4680" w:type="dxa"/>
            <w:tcBorders>
              <w:left w:val="single" w:sz="4" w:space="0" w:color="auto"/>
            </w:tcBorders>
            <w:shd w:val="clear" w:color="auto" w:fill="auto"/>
          </w:tcPr>
          <w:p w:rsidR="00861729" w:rsidRPr="005A144C" w:rsidP="002E22D7" w14:paraId="41278646" w14:textId="77777777">
            <w:pPr>
              <w:spacing w:line="240" w:lineRule="auto"/>
              <w:rPr>
                <w:rFonts w:ascii="Century Schoolbook" w:hAnsi="Century Schoolbook"/>
              </w:rPr>
            </w:pPr>
          </w:p>
          <w:p w:rsidR="00861729" w:rsidRPr="005A144C" w:rsidP="002E22D7" w14:paraId="2456FFE0" w14:textId="79C23CF8">
            <w:pPr>
              <w:spacing w:line="240" w:lineRule="auto"/>
              <w:rPr>
                <w:rFonts w:ascii="Century Schoolbook" w:hAnsi="Century Schoolbook"/>
              </w:rPr>
            </w:pPr>
            <w:r w:rsidRPr="005A144C">
              <w:rPr>
                <w:rFonts w:ascii="Century Schoolbook" w:hAnsi="Century Schoolbook"/>
              </w:rPr>
              <w:t xml:space="preserve">      A16</w:t>
            </w:r>
            <w:r w:rsidRPr="005A144C" w:rsidR="005C15A9">
              <w:rPr>
                <w:rFonts w:ascii="Century Schoolbook" w:hAnsi="Century Schoolbook"/>
              </w:rPr>
              <w:t>6299</w:t>
            </w:r>
          </w:p>
          <w:p w:rsidR="00861729" w:rsidRPr="005A144C" w:rsidP="002E22D7" w14:paraId="38A3030D" w14:textId="77777777">
            <w:pPr>
              <w:spacing w:line="240" w:lineRule="auto"/>
              <w:rPr>
                <w:rFonts w:ascii="Century Schoolbook" w:hAnsi="Century Schoolbook"/>
              </w:rPr>
            </w:pPr>
          </w:p>
          <w:p w:rsidR="00861729" w:rsidRPr="005A144C" w:rsidP="002E22D7" w14:paraId="60B8D8EC" w14:textId="04DF7242">
            <w:pPr>
              <w:spacing w:line="240" w:lineRule="auto"/>
              <w:rPr>
                <w:rFonts w:ascii="Century Schoolbook" w:hAnsi="Century Schoolbook"/>
              </w:rPr>
            </w:pPr>
            <w:r w:rsidRPr="005A144C">
              <w:rPr>
                <w:rFonts w:ascii="Century Schoolbook" w:hAnsi="Century Schoolbook"/>
              </w:rPr>
              <w:t xml:space="preserve">      (</w:t>
            </w:r>
            <w:r w:rsidRPr="005A144C" w:rsidR="00CB3272">
              <w:rPr>
                <w:rFonts w:ascii="Century Schoolbook" w:hAnsi="Century Schoolbook"/>
              </w:rPr>
              <w:t>Contra</w:t>
            </w:r>
            <w:r w:rsidRPr="005A144C">
              <w:rPr>
                <w:rFonts w:ascii="Century Schoolbook" w:hAnsi="Century Schoolbook"/>
              </w:rPr>
              <w:t xml:space="preserve"> </w:t>
            </w:r>
            <w:r w:rsidRPr="005A144C" w:rsidR="00523E8C">
              <w:rPr>
                <w:rFonts w:ascii="Century Schoolbook" w:hAnsi="Century Schoolbook"/>
              </w:rPr>
              <w:t>Costa County</w:t>
            </w:r>
            <w:r w:rsidRPr="005A144C">
              <w:rPr>
                <w:rFonts w:ascii="Century Schoolbook" w:hAnsi="Century Schoolbook"/>
              </w:rPr>
              <w:t xml:space="preserve"> </w:t>
            </w:r>
          </w:p>
          <w:p w:rsidR="00861729" w:rsidRPr="005A144C" w:rsidP="002E22D7" w14:paraId="2E66AF5A" w14:textId="4C04B882">
            <w:pPr>
              <w:spacing w:line="240" w:lineRule="auto"/>
              <w:rPr>
                <w:rFonts w:ascii="Century Schoolbook" w:hAnsi="Century Schoolbook"/>
              </w:rPr>
            </w:pPr>
            <w:r w:rsidRPr="005A144C">
              <w:rPr>
                <w:rFonts w:ascii="Century Schoolbook" w:hAnsi="Century Schoolbook"/>
              </w:rPr>
              <w:t xml:space="preserve">      </w:t>
            </w:r>
            <w:r w:rsidRPr="005A144C" w:rsidR="00AF6492">
              <w:rPr>
                <w:rFonts w:ascii="Century Schoolbook" w:hAnsi="Century Schoolbook"/>
              </w:rPr>
              <w:t>Super. Ct.</w:t>
            </w:r>
            <w:r w:rsidRPr="005A144C">
              <w:rPr>
                <w:rFonts w:ascii="Century Schoolbook" w:hAnsi="Century Schoolbook"/>
              </w:rPr>
              <w:t xml:space="preserve"> No. </w:t>
            </w:r>
            <w:r w:rsidRPr="005A144C" w:rsidR="007640D0">
              <w:rPr>
                <w:rFonts w:ascii="Century Schoolbook" w:hAnsi="Century Schoolbook"/>
              </w:rPr>
              <w:t>MS</w:t>
            </w:r>
            <w:r w:rsidRPr="005A144C" w:rsidR="002A4DAE">
              <w:rPr>
                <w:rFonts w:ascii="Century Schoolbook" w:hAnsi="Century Schoolbook"/>
              </w:rPr>
              <w:t>C17–01486</w:t>
            </w:r>
            <w:r w:rsidRPr="005A144C">
              <w:rPr>
                <w:rFonts w:ascii="Century Schoolbook" w:hAnsi="Century Schoolbook"/>
              </w:rPr>
              <w:t xml:space="preserve">) </w:t>
            </w:r>
          </w:p>
        </w:tc>
      </w:tr>
    </w:tbl>
    <w:p w:rsidR="00861729" w:rsidRPr="005A144C" w:rsidP="002E22D7" w14:paraId="0B13AB61" w14:textId="77777777">
      <w:pPr>
        <w:rPr>
          <w:rFonts w:ascii="Century Schoolbook" w:hAnsi="Century Schoolbook"/>
        </w:rPr>
      </w:pPr>
    </w:p>
    <w:p w:rsidR="004C0446" w:rsidRPr="005A144C" w:rsidP="002E22D7" w14:paraId="208A4EDD" w14:textId="380E1B25">
      <w:pPr>
        <w:spacing w:line="360" w:lineRule="auto"/>
        <w:rPr>
          <w:rFonts w:ascii="Century Schoolbook" w:hAnsi="Century Schoolbook"/>
        </w:rPr>
      </w:pPr>
      <w:r w:rsidRPr="005A144C">
        <w:rPr>
          <w:rFonts w:ascii="Century Schoolbook" w:hAnsi="Century Schoolbook"/>
        </w:rPr>
        <w:tab/>
        <w:t xml:space="preserve">Plaintiff Teresa Doskocz </w:t>
      </w:r>
      <w:r w:rsidRPr="005A144C" w:rsidR="00981479">
        <w:rPr>
          <w:rFonts w:ascii="Century Schoolbook" w:hAnsi="Century Schoolbook"/>
        </w:rPr>
        <w:t xml:space="preserve">originally </w:t>
      </w:r>
      <w:r w:rsidRPr="005A144C">
        <w:rPr>
          <w:rFonts w:ascii="Century Schoolbook" w:hAnsi="Century Schoolbook"/>
        </w:rPr>
        <w:t>filed a class action in federal court</w:t>
      </w:r>
      <w:r w:rsidRPr="005A144C" w:rsidR="0055536E">
        <w:rPr>
          <w:rFonts w:ascii="Century Schoolbook" w:hAnsi="Century Schoolbook"/>
        </w:rPr>
        <w:t xml:space="preserve"> against defendant ALS Lien Services (ALS)</w:t>
      </w:r>
      <w:r w:rsidRPr="005A144C" w:rsidR="00620FC2">
        <w:rPr>
          <w:rFonts w:ascii="Century Schoolbook" w:hAnsi="Century Schoolbook"/>
        </w:rPr>
        <w:t xml:space="preserve"> alleging violations of the F</w:t>
      </w:r>
      <w:r w:rsidRPr="005A144C" w:rsidR="00AE6A02">
        <w:rPr>
          <w:rFonts w:ascii="Century Schoolbook" w:hAnsi="Century Schoolbook"/>
        </w:rPr>
        <w:t>air Debt Collection Practices Act</w:t>
      </w:r>
      <w:r w:rsidRPr="005A144C" w:rsidR="00E150EA">
        <w:rPr>
          <w:rFonts w:ascii="Century Schoolbook" w:hAnsi="Century Schoolbook"/>
        </w:rPr>
        <w:t xml:space="preserve"> (</w:t>
      </w:r>
      <w:r w:rsidRPr="005A144C" w:rsidR="009D5224">
        <w:rPr>
          <w:rFonts w:ascii="Century Schoolbook" w:hAnsi="Century Schoolbook"/>
        </w:rPr>
        <w:t xml:space="preserve">15 U.S.C. </w:t>
      </w:r>
      <w:r w:rsidRPr="005A144C" w:rsidR="00E577D7">
        <w:rPr>
          <w:rFonts w:ascii="Century Schoolbook" w:hAnsi="Century Schoolbook"/>
        </w:rPr>
        <w:t>§</w:t>
      </w:r>
      <w:r w:rsidRPr="005A144C" w:rsidR="009D5224">
        <w:rPr>
          <w:rFonts w:ascii="Century Schoolbook" w:hAnsi="Century Schoolbook"/>
        </w:rPr>
        <w:t xml:space="preserve"> 1692 et seq.</w:t>
      </w:r>
      <w:r w:rsidRPr="005A144C" w:rsidR="00947344">
        <w:rPr>
          <w:rFonts w:ascii="Century Schoolbook" w:hAnsi="Century Schoolbook"/>
        </w:rPr>
        <w:t>; FDCPA</w:t>
      </w:r>
      <w:r w:rsidRPr="005A144C" w:rsidR="0065445B">
        <w:rPr>
          <w:rFonts w:ascii="Century Schoolbook" w:hAnsi="Century Schoolbook"/>
        </w:rPr>
        <w:t>)</w:t>
      </w:r>
      <w:r w:rsidRPr="005A144C" w:rsidR="00DC3819">
        <w:rPr>
          <w:rFonts w:ascii="Century Schoolbook" w:hAnsi="Century Schoolbook"/>
        </w:rPr>
        <w:t xml:space="preserve"> and</w:t>
      </w:r>
      <w:r w:rsidRPr="005A144C" w:rsidR="00157260">
        <w:rPr>
          <w:rFonts w:ascii="Century Schoolbook" w:hAnsi="Century Schoolbook"/>
        </w:rPr>
        <w:t xml:space="preserve"> California’s </w:t>
      </w:r>
      <w:r w:rsidRPr="005A144C" w:rsidR="00FC5A25">
        <w:rPr>
          <w:rFonts w:ascii="Century Schoolbook" w:hAnsi="Century Schoolbook"/>
        </w:rPr>
        <w:t>unfair c</w:t>
      </w:r>
      <w:r w:rsidRPr="005A144C" w:rsidR="00157260">
        <w:rPr>
          <w:rFonts w:ascii="Century Schoolbook" w:hAnsi="Century Schoolbook"/>
        </w:rPr>
        <w:t xml:space="preserve">ompetition </w:t>
      </w:r>
      <w:r w:rsidRPr="005A144C" w:rsidR="00FC5A25">
        <w:rPr>
          <w:rFonts w:ascii="Century Schoolbook" w:hAnsi="Century Schoolbook"/>
        </w:rPr>
        <w:t>l</w:t>
      </w:r>
      <w:r w:rsidRPr="005A144C" w:rsidR="00157260">
        <w:rPr>
          <w:rFonts w:ascii="Century Schoolbook" w:hAnsi="Century Schoolbook"/>
        </w:rPr>
        <w:t>aw</w:t>
      </w:r>
      <w:r w:rsidRPr="005A144C" w:rsidR="00DC3819">
        <w:rPr>
          <w:rFonts w:ascii="Century Schoolbook" w:hAnsi="Century Schoolbook"/>
        </w:rPr>
        <w:t xml:space="preserve"> (</w:t>
      </w:r>
      <w:r w:rsidRPr="005A144C" w:rsidR="009D5224">
        <w:rPr>
          <w:rFonts w:ascii="Century Schoolbook" w:hAnsi="Century Schoolbook"/>
        </w:rPr>
        <w:t xml:space="preserve">Bus. &amp; Prof. Code </w:t>
      </w:r>
      <w:r w:rsidRPr="005A144C" w:rsidR="00E577D7">
        <w:rPr>
          <w:rFonts w:ascii="Century Schoolbook" w:hAnsi="Century Schoolbook"/>
        </w:rPr>
        <w:t>§ </w:t>
      </w:r>
      <w:r w:rsidRPr="005A144C" w:rsidR="004273FB">
        <w:rPr>
          <w:rFonts w:ascii="Century Schoolbook" w:hAnsi="Century Schoolbook"/>
        </w:rPr>
        <w:t>17200 et seq.</w:t>
      </w:r>
      <w:r w:rsidRPr="005A144C" w:rsidR="00947344">
        <w:rPr>
          <w:rFonts w:ascii="Century Schoolbook" w:hAnsi="Century Schoolbook"/>
        </w:rPr>
        <w:t>; UCL</w:t>
      </w:r>
      <w:r w:rsidRPr="005A144C" w:rsidR="004273FB">
        <w:rPr>
          <w:rFonts w:ascii="Century Schoolbook" w:hAnsi="Century Schoolbook"/>
        </w:rPr>
        <w:t>)</w:t>
      </w:r>
      <w:r w:rsidRPr="005A144C" w:rsidR="00362B5C">
        <w:rPr>
          <w:rFonts w:ascii="Century Schoolbook" w:hAnsi="Century Schoolbook"/>
        </w:rPr>
        <w:t xml:space="preserve"> related to </w:t>
      </w:r>
      <w:r w:rsidRPr="005A144C" w:rsidR="00480151">
        <w:rPr>
          <w:rFonts w:ascii="Century Schoolbook" w:hAnsi="Century Schoolbook"/>
        </w:rPr>
        <w:t>ALS’s</w:t>
      </w:r>
      <w:r w:rsidRPr="005A144C" w:rsidR="00362B5C">
        <w:rPr>
          <w:rFonts w:ascii="Century Schoolbook" w:hAnsi="Century Schoolbook"/>
        </w:rPr>
        <w:t xml:space="preserve"> collection of unpaid assessments</w:t>
      </w:r>
      <w:r w:rsidRPr="005A144C" w:rsidR="00F677C9">
        <w:rPr>
          <w:rFonts w:ascii="Century Schoolbook" w:hAnsi="Century Schoolbook"/>
        </w:rPr>
        <w:t xml:space="preserve"> </w:t>
      </w:r>
      <w:r w:rsidRPr="005A144C" w:rsidR="00362B5C">
        <w:rPr>
          <w:rFonts w:ascii="Century Schoolbook" w:hAnsi="Century Schoolbook"/>
        </w:rPr>
        <w:t>on behalf of homeowner associations</w:t>
      </w:r>
      <w:r w:rsidRPr="005A144C" w:rsidR="00C15469">
        <w:rPr>
          <w:rFonts w:ascii="Century Schoolbook" w:hAnsi="Century Schoolbook"/>
        </w:rPr>
        <w:t xml:space="preserve"> (HOAs)</w:t>
      </w:r>
      <w:r w:rsidRPr="005A144C" w:rsidR="0055536E">
        <w:rPr>
          <w:rFonts w:ascii="Century Schoolbook" w:hAnsi="Century Schoolbook"/>
        </w:rPr>
        <w:t>.</w:t>
      </w:r>
    </w:p>
    <w:p w:rsidR="00AF6F25" w:rsidRPr="005A144C" w:rsidP="002E22D7" w14:paraId="0D52DFFF" w14:textId="4608AFF1">
      <w:pPr>
        <w:spacing w:line="360" w:lineRule="auto"/>
        <w:rPr>
          <w:rFonts w:ascii="Century Schoolbook" w:hAnsi="Century Schoolbook"/>
        </w:rPr>
      </w:pPr>
      <w:r w:rsidRPr="005A144C">
        <w:rPr>
          <w:rFonts w:ascii="Century Schoolbook" w:hAnsi="Century Schoolbook"/>
        </w:rPr>
        <w:tab/>
        <w:t>After t</w:t>
      </w:r>
      <w:r w:rsidRPr="005A144C" w:rsidR="00FF2B7B">
        <w:rPr>
          <w:rFonts w:ascii="Century Schoolbook" w:hAnsi="Century Schoolbook"/>
        </w:rPr>
        <w:t xml:space="preserve">he parties stipulated </w:t>
      </w:r>
      <w:r w:rsidRPr="005A144C" w:rsidR="006F7F74">
        <w:rPr>
          <w:rFonts w:ascii="Century Schoolbook" w:hAnsi="Century Schoolbook"/>
        </w:rPr>
        <w:t>that the federal case would be dismissed</w:t>
      </w:r>
      <w:r w:rsidRPr="005A144C" w:rsidR="002A4EE8">
        <w:rPr>
          <w:rFonts w:ascii="Century Schoolbook" w:hAnsi="Century Schoolbook"/>
        </w:rPr>
        <w:t xml:space="preserve"> and refile</w:t>
      </w:r>
      <w:r w:rsidRPr="005A144C" w:rsidR="006F7F74">
        <w:rPr>
          <w:rFonts w:ascii="Century Schoolbook" w:hAnsi="Century Schoolbook"/>
        </w:rPr>
        <w:t>d</w:t>
      </w:r>
      <w:r w:rsidRPr="005A144C" w:rsidR="002A4EE8">
        <w:rPr>
          <w:rFonts w:ascii="Century Schoolbook" w:hAnsi="Century Schoolbook"/>
        </w:rPr>
        <w:t xml:space="preserve"> in state court</w:t>
      </w:r>
      <w:r w:rsidRPr="005A144C">
        <w:rPr>
          <w:rFonts w:ascii="Century Schoolbook" w:hAnsi="Century Schoolbook"/>
        </w:rPr>
        <w:t>,</w:t>
      </w:r>
      <w:r w:rsidRPr="005A144C" w:rsidR="00067006">
        <w:rPr>
          <w:rFonts w:ascii="Century Schoolbook" w:hAnsi="Century Schoolbook"/>
        </w:rPr>
        <w:t xml:space="preserve"> </w:t>
      </w:r>
      <w:r w:rsidRPr="005A144C" w:rsidR="00375CBA">
        <w:rPr>
          <w:rFonts w:ascii="Century Schoolbook" w:hAnsi="Century Schoolbook"/>
        </w:rPr>
        <w:t xml:space="preserve">Doskocz </w:t>
      </w:r>
      <w:r w:rsidRPr="005A144C">
        <w:rPr>
          <w:rFonts w:ascii="Century Schoolbook" w:hAnsi="Century Schoolbook"/>
        </w:rPr>
        <w:t xml:space="preserve">was granted </w:t>
      </w:r>
      <w:r w:rsidRPr="005A144C" w:rsidR="001D25A1">
        <w:rPr>
          <w:rFonts w:ascii="Century Schoolbook" w:hAnsi="Century Schoolbook"/>
        </w:rPr>
        <w:t xml:space="preserve">leave </w:t>
      </w:r>
      <w:r w:rsidRPr="005A144C" w:rsidR="001D1027">
        <w:rPr>
          <w:rFonts w:ascii="Century Schoolbook" w:hAnsi="Century Schoolbook"/>
        </w:rPr>
        <w:t>to amend her</w:t>
      </w:r>
      <w:r w:rsidRPr="005A144C">
        <w:rPr>
          <w:rFonts w:ascii="Century Schoolbook" w:hAnsi="Century Schoolbook"/>
        </w:rPr>
        <w:t xml:space="preserve"> </w:t>
      </w:r>
      <w:r w:rsidRPr="005A144C" w:rsidR="001D1027">
        <w:rPr>
          <w:rFonts w:ascii="Century Schoolbook" w:hAnsi="Century Schoolbook"/>
        </w:rPr>
        <w:t>complaint</w:t>
      </w:r>
      <w:r w:rsidRPr="005A144C" w:rsidR="00071C22">
        <w:rPr>
          <w:rFonts w:ascii="Century Schoolbook" w:hAnsi="Century Schoolbook"/>
        </w:rPr>
        <w:t xml:space="preserve"> to </w:t>
      </w:r>
      <w:r w:rsidRPr="005A144C" w:rsidR="001D1027">
        <w:rPr>
          <w:rFonts w:ascii="Century Schoolbook" w:hAnsi="Century Schoolbook"/>
        </w:rPr>
        <w:t>add</w:t>
      </w:r>
      <w:r w:rsidRPr="005A144C" w:rsidR="00DC6E01">
        <w:rPr>
          <w:rFonts w:ascii="Century Schoolbook" w:hAnsi="Century Schoolbook"/>
        </w:rPr>
        <w:t xml:space="preserve"> allegations that law firm SwedelsonGottlieb and individuals Sandra Gottlieb and David Swedelson (collectively</w:t>
      </w:r>
      <w:r w:rsidRPr="005A144C" w:rsidR="00712673">
        <w:rPr>
          <w:rFonts w:ascii="Century Schoolbook" w:hAnsi="Century Schoolbook"/>
        </w:rPr>
        <w:t xml:space="preserve">, </w:t>
      </w:r>
      <w:r w:rsidRPr="005A144C" w:rsidR="00DC6E01">
        <w:rPr>
          <w:rFonts w:ascii="Century Schoolbook" w:hAnsi="Century Schoolbook"/>
        </w:rPr>
        <w:t>SG</w:t>
      </w:r>
      <w:r w:rsidRPr="005A144C" w:rsidR="003B4870">
        <w:rPr>
          <w:rFonts w:ascii="Century Schoolbook" w:hAnsi="Century Schoolbook"/>
        </w:rPr>
        <w:t xml:space="preserve"> </w:t>
      </w:r>
      <w:r w:rsidRPr="005A144C" w:rsidR="00A16EAF">
        <w:rPr>
          <w:rFonts w:ascii="Century Schoolbook" w:hAnsi="Century Schoolbook"/>
        </w:rPr>
        <w:t>d</w:t>
      </w:r>
      <w:r w:rsidRPr="005A144C" w:rsidR="003B4870">
        <w:rPr>
          <w:rFonts w:ascii="Century Schoolbook" w:hAnsi="Century Schoolbook"/>
        </w:rPr>
        <w:t>efendants</w:t>
      </w:r>
      <w:r w:rsidRPr="005A144C" w:rsidR="00DC6E01">
        <w:rPr>
          <w:rFonts w:ascii="Century Schoolbook" w:hAnsi="Century Schoolbook"/>
        </w:rPr>
        <w:t>)</w:t>
      </w:r>
      <w:r w:rsidRPr="005A144C" w:rsidR="00F677C9">
        <w:rPr>
          <w:rFonts w:ascii="Century Schoolbook" w:hAnsi="Century Schoolbook"/>
        </w:rPr>
        <w:t xml:space="preserve"> were alter egos of ALS</w:t>
      </w:r>
      <w:r w:rsidRPr="005A144C" w:rsidR="001D1027">
        <w:rPr>
          <w:rFonts w:ascii="Century Schoolbook" w:hAnsi="Century Schoolbook"/>
        </w:rPr>
        <w:t>.</w:t>
      </w:r>
      <w:r w:rsidRPr="005A144C" w:rsidR="00DC6E01">
        <w:rPr>
          <w:rFonts w:ascii="Century Schoolbook" w:hAnsi="Century Schoolbook"/>
        </w:rPr>
        <w:t xml:space="preserve"> </w:t>
      </w:r>
      <w:r w:rsidRPr="005A144C" w:rsidR="005C21BA">
        <w:rPr>
          <w:rFonts w:ascii="Century Schoolbook" w:hAnsi="Century Schoolbook"/>
        </w:rPr>
        <w:t xml:space="preserve"> </w:t>
      </w:r>
      <w:r w:rsidRPr="005A144C" w:rsidR="00822799">
        <w:rPr>
          <w:rFonts w:ascii="Century Schoolbook" w:hAnsi="Century Schoolbook"/>
        </w:rPr>
        <w:t>The state court</w:t>
      </w:r>
      <w:r w:rsidRPr="005A144C" w:rsidR="001D1027">
        <w:rPr>
          <w:rFonts w:ascii="Century Schoolbook" w:hAnsi="Century Schoolbook"/>
        </w:rPr>
        <w:t xml:space="preserve"> also</w:t>
      </w:r>
      <w:r w:rsidRPr="005A144C" w:rsidR="00FD6AA0">
        <w:rPr>
          <w:rFonts w:ascii="Century Schoolbook" w:hAnsi="Century Schoolbook"/>
        </w:rPr>
        <w:t xml:space="preserve"> granted Doskocz’s motion to bifurcate trial and proceed </w:t>
      </w:r>
      <w:r w:rsidRPr="005A144C" w:rsidR="005C21BA">
        <w:rPr>
          <w:rFonts w:ascii="Century Schoolbook" w:hAnsi="Century Schoolbook"/>
        </w:rPr>
        <w:t xml:space="preserve">first </w:t>
      </w:r>
      <w:r w:rsidRPr="005A144C" w:rsidR="00FD6AA0">
        <w:rPr>
          <w:rFonts w:ascii="Century Schoolbook" w:hAnsi="Century Schoolbook"/>
        </w:rPr>
        <w:t xml:space="preserve">on her </w:t>
      </w:r>
      <w:r w:rsidRPr="005A144C" w:rsidR="00E87EAE">
        <w:rPr>
          <w:rFonts w:ascii="Century Schoolbook" w:hAnsi="Century Schoolbook"/>
        </w:rPr>
        <w:t>equitable</w:t>
      </w:r>
      <w:r w:rsidRPr="005A144C" w:rsidR="00382AA3">
        <w:rPr>
          <w:rFonts w:ascii="Century Schoolbook" w:hAnsi="Century Schoolbook"/>
        </w:rPr>
        <w:t xml:space="preserve"> </w:t>
      </w:r>
      <w:r w:rsidRPr="005A144C" w:rsidR="00FD6AA0">
        <w:rPr>
          <w:rFonts w:ascii="Century Schoolbook" w:hAnsi="Century Schoolbook"/>
        </w:rPr>
        <w:t>UCL cause of action.</w:t>
      </w:r>
      <w:r w:rsidRPr="005A144C" w:rsidR="002D6360">
        <w:rPr>
          <w:rFonts w:ascii="Century Schoolbook" w:hAnsi="Century Schoolbook"/>
        </w:rPr>
        <w:t xml:space="preserve">  At the conclusion of the </w:t>
      </w:r>
      <w:r w:rsidRPr="005A144C" w:rsidR="002D6360">
        <w:rPr>
          <w:rFonts w:ascii="Century Schoolbook" w:hAnsi="Century Schoolbook"/>
        </w:rPr>
        <w:t xml:space="preserve">bench trial, the court found that </w:t>
      </w:r>
      <w:r w:rsidRPr="005A144C" w:rsidR="00ED6839">
        <w:rPr>
          <w:rFonts w:ascii="Century Schoolbook" w:hAnsi="Century Schoolbook"/>
        </w:rPr>
        <w:t>ALS had violated the FDCPA</w:t>
      </w:r>
      <w:r w:rsidRPr="005A144C" w:rsidR="00382AA3">
        <w:rPr>
          <w:rFonts w:ascii="Century Schoolbook" w:hAnsi="Century Schoolbook"/>
        </w:rPr>
        <w:t xml:space="preserve"> and </w:t>
      </w:r>
      <w:r w:rsidRPr="005A144C" w:rsidR="00E87EAE">
        <w:rPr>
          <w:rFonts w:ascii="Century Schoolbook" w:hAnsi="Century Schoolbook"/>
        </w:rPr>
        <w:t>entered judgment in favor of Doskocz on her UCL cause of action</w:t>
      </w:r>
      <w:r w:rsidRPr="005A144C" w:rsidR="00ED6839">
        <w:rPr>
          <w:rFonts w:ascii="Century Schoolbook" w:hAnsi="Century Schoolbook"/>
        </w:rPr>
        <w:t xml:space="preserve">. </w:t>
      </w:r>
      <w:r w:rsidRPr="005A144C" w:rsidR="00E87EAE">
        <w:rPr>
          <w:rFonts w:ascii="Century Schoolbook" w:hAnsi="Century Schoolbook"/>
        </w:rPr>
        <w:t xml:space="preserve"> </w:t>
      </w:r>
      <w:r w:rsidRPr="005A144C" w:rsidR="00822799">
        <w:rPr>
          <w:rFonts w:ascii="Century Schoolbook" w:hAnsi="Century Schoolbook"/>
        </w:rPr>
        <w:t>It</w:t>
      </w:r>
      <w:r w:rsidRPr="005A144C" w:rsidR="00E87EAE">
        <w:rPr>
          <w:rFonts w:ascii="Century Schoolbook" w:hAnsi="Century Schoolbook"/>
        </w:rPr>
        <w:t xml:space="preserve"> </w:t>
      </w:r>
      <w:r w:rsidRPr="005A144C" w:rsidR="003A3CA1">
        <w:rPr>
          <w:rFonts w:ascii="Century Schoolbook" w:hAnsi="Century Schoolbook"/>
        </w:rPr>
        <w:t xml:space="preserve">also </w:t>
      </w:r>
      <w:r w:rsidRPr="005A144C" w:rsidR="00E87EAE">
        <w:rPr>
          <w:rFonts w:ascii="Century Schoolbook" w:hAnsi="Century Schoolbook"/>
        </w:rPr>
        <w:t xml:space="preserve">found the SG </w:t>
      </w:r>
      <w:r w:rsidRPr="005A144C" w:rsidR="00A16EAF">
        <w:rPr>
          <w:rFonts w:ascii="Century Schoolbook" w:hAnsi="Century Schoolbook"/>
        </w:rPr>
        <w:t>d</w:t>
      </w:r>
      <w:r w:rsidRPr="005A144C" w:rsidR="00E87EAE">
        <w:rPr>
          <w:rFonts w:ascii="Century Schoolbook" w:hAnsi="Century Schoolbook"/>
        </w:rPr>
        <w:t xml:space="preserve">efendants jointly and severally liable </w:t>
      </w:r>
      <w:r w:rsidRPr="005A144C" w:rsidR="006132AE">
        <w:rPr>
          <w:rFonts w:ascii="Century Schoolbook" w:hAnsi="Century Schoolbook"/>
        </w:rPr>
        <w:t xml:space="preserve">for restitution </w:t>
      </w:r>
      <w:r w:rsidRPr="005A144C" w:rsidR="00F82E56">
        <w:rPr>
          <w:rFonts w:ascii="Century Schoolbook" w:hAnsi="Century Schoolbook"/>
        </w:rPr>
        <w:t>and</w:t>
      </w:r>
      <w:r w:rsidRPr="005A144C" w:rsidR="009720DC">
        <w:rPr>
          <w:rFonts w:ascii="Century Schoolbook" w:hAnsi="Century Schoolbook"/>
        </w:rPr>
        <w:t xml:space="preserve"> class counsel</w:t>
      </w:r>
      <w:r w:rsidRPr="005A144C" w:rsidR="00F82E56">
        <w:rPr>
          <w:rFonts w:ascii="Century Schoolbook" w:hAnsi="Century Schoolbook"/>
        </w:rPr>
        <w:t xml:space="preserve"> fees </w:t>
      </w:r>
      <w:r w:rsidRPr="005A144C" w:rsidR="00E87EAE">
        <w:rPr>
          <w:rFonts w:ascii="Century Schoolbook" w:hAnsi="Century Schoolbook"/>
        </w:rPr>
        <w:t>as alter egos of ALS.</w:t>
      </w:r>
    </w:p>
    <w:p w:rsidR="003A3CA1" w:rsidRPr="005A144C" w:rsidP="002E22D7" w14:paraId="15BE3044" w14:textId="2A4BC695">
      <w:pPr>
        <w:spacing w:line="360" w:lineRule="auto"/>
        <w:rPr>
          <w:rFonts w:ascii="Century Schoolbook" w:hAnsi="Century Schoolbook"/>
        </w:rPr>
      </w:pPr>
      <w:r w:rsidRPr="005A144C">
        <w:rPr>
          <w:rFonts w:ascii="Century Schoolbook" w:hAnsi="Century Schoolbook"/>
        </w:rPr>
        <w:tab/>
        <w:t xml:space="preserve">ALS now </w:t>
      </w:r>
      <w:r w:rsidRPr="005A144C" w:rsidR="00B81871">
        <w:rPr>
          <w:rFonts w:ascii="Century Schoolbook" w:hAnsi="Century Schoolbook"/>
        </w:rPr>
        <w:t xml:space="preserve">seeks </w:t>
      </w:r>
      <w:r w:rsidRPr="005A144C" w:rsidR="00D107E6">
        <w:rPr>
          <w:rFonts w:ascii="Century Schoolbook" w:hAnsi="Century Schoolbook"/>
        </w:rPr>
        <w:t>revers</w:t>
      </w:r>
      <w:r w:rsidRPr="005A144C" w:rsidR="00B40E7E">
        <w:rPr>
          <w:rFonts w:ascii="Century Schoolbook" w:hAnsi="Century Schoolbook"/>
        </w:rPr>
        <w:t>al of</w:t>
      </w:r>
      <w:r w:rsidRPr="005A144C" w:rsidR="00D107E6">
        <w:rPr>
          <w:rFonts w:ascii="Century Schoolbook" w:hAnsi="Century Schoolbook"/>
        </w:rPr>
        <w:t xml:space="preserve"> the judgment </w:t>
      </w:r>
      <w:r w:rsidRPr="005A144C" w:rsidR="00B81871">
        <w:rPr>
          <w:rFonts w:ascii="Century Schoolbook" w:hAnsi="Century Schoolbook"/>
        </w:rPr>
        <w:t xml:space="preserve">by arguing that </w:t>
      </w:r>
      <w:r w:rsidRPr="005A144C" w:rsidR="00D107E6">
        <w:rPr>
          <w:rFonts w:ascii="Century Schoolbook" w:hAnsi="Century Schoolbook"/>
        </w:rPr>
        <w:t xml:space="preserve">the trial court </w:t>
      </w:r>
      <w:r w:rsidRPr="005A144C" w:rsidR="00B81871">
        <w:rPr>
          <w:rFonts w:ascii="Century Schoolbook" w:hAnsi="Century Schoolbook"/>
        </w:rPr>
        <w:t xml:space="preserve">(1) </w:t>
      </w:r>
      <w:r w:rsidRPr="005A144C" w:rsidR="003A2665">
        <w:rPr>
          <w:rFonts w:ascii="Century Schoolbook" w:hAnsi="Century Schoolbook"/>
        </w:rPr>
        <w:t>erred</w:t>
      </w:r>
      <w:r w:rsidRPr="005A144C" w:rsidR="00B81871">
        <w:rPr>
          <w:rFonts w:ascii="Century Schoolbook" w:hAnsi="Century Schoolbook"/>
        </w:rPr>
        <w:t xml:space="preserve"> in adopting </w:t>
      </w:r>
      <w:r w:rsidRPr="005A144C" w:rsidR="00E1194B">
        <w:rPr>
          <w:rFonts w:ascii="Century Schoolbook" w:hAnsi="Century Schoolbook"/>
        </w:rPr>
        <w:t>a ruling by the</w:t>
      </w:r>
      <w:r w:rsidRPr="005A144C" w:rsidR="007C33E4">
        <w:rPr>
          <w:rFonts w:ascii="Century Schoolbook" w:hAnsi="Century Schoolbook"/>
        </w:rPr>
        <w:t xml:space="preserve"> federal </w:t>
      </w:r>
      <w:r w:rsidRPr="005A144C" w:rsidR="00657670">
        <w:rPr>
          <w:rFonts w:ascii="Century Schoolbook" w:hAnsi="Century Schoolbook"/>
        </w:rPr>
        <w:t>judge</w:t>
      </w:r>
      <w:r w:rsidRPr="005A144C" w:rsidR="00E2480C">
        <w:rPr>
          <w:rFonts w:ascii="Century Schoolbook" w:hAnsi="Century Schoolbook"/>
        </w:rPr>
        <w:t xml:space="preserve"> in the original action</w:t>
      </w:r>
      <w:r w:rsidRPr="005A144C" w:rsidR="00B10FC1">
        <w:rPr>
          <w:rFonts w:ascii="Century Schoolbook" w:hAnsi="Century Schoolbook"/>
        </w:rPr>
        <w:t>,</w:t>
      </w:r>
      <w:r w:rsidRPr="005A144C" w:rsidR="00B81871">
        <w:rPr>
          <w:rFonts w:ascii="Century Schoolbook" w:hAnsi="Century Schoolbook"/>
        </w:rPr>
        <w:t xml:space="preserve"> (2) </w:t>
      </w:r>
      <w:r w:rsidRPr="005A144C" w:rsidR="00D107E6">
        <w:rPr>
          <w:rFonts w:ascii="Century Schoolbook" w:hAnsi="Century Schoolbook"/>
        </w:rPr>
        <w:t>erred in</w:t>
      </w:r>
      <w:r w:rsidRPr="005A144C" w:rsidR="00BA1BE8">
        <w:rPr>
          <w:rFonts w:ascii="Century Schoolbook" w:hAnsi="Century Schoolbook"/>
        </w:rPr>
        <w:t xml:space="preserve"> </w:t>
      </w:r>
      <w:r w:rsidRPr="005A144C" w:rsidR="00FD55CE">
        <w:rPr>
          <w:rFonts w:ascii="Century Schoolbook" w:hAnsi="Century Schoolbook"/>
        </w:rPr>
        <w:t>ruling that ALS violated the FDCPA</w:t>
      </w:r>
      <w:r w:rsidRPr="005A144C" w:rsidR="00B10FC1">
        <w:rPr>
          <w:rFonts w:ascii="Century Schoolbook" w:hAnsi="Century Schoolbook"/>
        </w:rPr>
        <w:t>,</w:t>
      </w:r>
      <w:r w:rsidRPr="005A144C" w:rsidR="00D107E6">
        <w:rPr>
          <w:rFonts w:ascii="Century Schoolbook" w:hAnsi="Century Schoolbook"/>
        </w:rPr>
        <w:t xml:space="preserve"> and (</w:t>
      </w:r>
      <w:r w:rsidRPr="005A144C" w:rsidR="00FD55CE">
        <w:rPr>
          <w:rFonts w:ascii="Century Schoolbook" w:hAnsi="Century Schoolbook"/>
        </w:rPr>
        <w:t>3) abused its discretion in granting Doskocz’s motion to bifurcate.</w:t>
      </w:r>
      <w:r w:rsidRPr="005A144C" w:rsidR="005834E5">
        <w:rPr>
          <w:rFonts w:ascii="Century Schoolbook" w:hAnsi="Century Schoolbook"/>
        </w:rPr>
        <w:t xml:space="preserve">  The SG </w:t>
      </w:r>
      <w:r w:rsidRPr="005A144C" w:rsidR="00A16EAF">
        <w:rPr>
          <w:rFonts w:ascii="Century Schoolbook" w:hAnsi="Century Schoolbook"/>
        </w:rPr>
        <w:t>d</w:t>
      </w:r>
      <w:r w:rsidRPr="005A144C" w:rsidR="005834E5">
        <w:rPr>
          <w:rFonts w:ascii="Century Schoolbook" w:hAnsi="Century Schoolbook"/>
        </w:rPr>
        <w:t xml:space="preserve">efendants also </w:t>
      </w:r>
      <w:r w:rsidRPr="005A144C" w:rsidR="002C5AF6">
        <w:rPr>
          <w:rFonts w:ascii="Century Schoolbook" w:hAnsi="Century Schoolbook"/>
        </w:rPr>
        <w:t>challenge the judgment</w:t>
      </w:r>
      <w:r w:rsidRPr="005A144C" w:rsidR="005B5610">
        <w:rPr>
          <w:rFonts w:ascii="Century Schoolbook" w:hAnsi="Century Schoolbook"/>
        </w:rPr>
        <w:t>, arguing that</w:t>
      </w:r>
      <w:r w:rsidRPr="005A144C" w:rsidR="00AA0FB6">
        <w:rPr>
          <w:rFonts w:ascii="Century Schoolbook" w:hAnsi="Century Schoolbook"/>
        </w:rPr>
        <w:t xml:space="preserve"> the trial court</w:t>
      </w:r>
      <w:r w:rsidRPr="005A144C" w:rsidR="005B5610">
        <w:rPr>
          <w:rFonts w:ascii="Century Schoolbook" w:hAnsi="Century Schoolbook"/>
        </w:rPr>
        <w:t xml:space="preserve"> (1)</w:t>
      </w:r>
      <w:r w:rsidRPr="005A144C" w:rsidR="00AA0FB6">
        <w:rPr>
          <w:rFonts w:ascii="Century Schoolbook" w:hAnsi="Century Schoolbook"/>
        </w:rPr>
        <w:t> lacked substantial evidence</w:t>
      </w:r>
      <w:r w:rsidRPr="005A144C" w:rsidR="004D6F62">
        <w:rPr>
          <w:rFonts w:ascii="Century Schoolbook" w:hAnsi="Century Schoolbook"/>
        </w:rPr>
        <w:t xml:space="preserve"> </w:t>
      </w:r>
      <w:r w:rsidRPr="005A144C" w:rsidR="00843E90">
        <w:rPr>
          <w:rFonts w:ascii="Century Schoolbook" w:hAnsi="Century Schoolbook"/>
        </w:rPr>
        <w:t>on its alter ego findings</w:t>
      </w:r>
      <w:r w:rsidRPr="005A144C" w:rsidR="00575BA6">
        <w:rPr>
          <w:rFonts w:ascii="Century Schoolbook" w:hAnsi="Century Schoolbook"/>
        </w:rPr>
        <w:t>,</w:t>
      </w:r>
      <w:r w:rsidRPr="005A144C" w:rsidR="00AA0FB6">
        <w:rPr>
          <w:rFonts w:ascii="Century Schoolbook" w:hAnsi="Century Schoolbook"/>
        </w:rPr>
        <w:t xml:space="preserve"> (2) abused its discretion in granting Doskocz leave to amend her complaint</w:t>
      </w:r>
      <w:r w:rsidRPr="005A144C" w:rsidR="00575BA6">
        <w:rPr>
          <w:rFonts w:ascii="Century Schoolbook" w:hAnsi="Century Schoolbook"/>
        </w:rPr>
        <w:t>,</w:t>
      </w:r>
      <w:r w:rsidRPr="005A144C" w:rsidR="00AA0FB6">
        <w:rPr>
          <w:rFonts w:ascii="Century Schoolbook" w:hAnsi="Century Schoolbook"/>
        </w:rPr>
        <w:t xml:space="preserve"> and (3) abused its discretion in awarding attorney fees</w:t>
      </w:r>
      <w:r w:rsidRPr="005A144C" w:rsidR="0065169D">
        <w:rPr>
          <w:rFonts w:ascii="Century Schoolbook" w:hAnsi="Century Schoolbook"/>
        </w:rPr>
        <w:t xml:space="preserve"> to class counsel</w:t>
      </w:r>
      <w:r w:rsidRPr="005A144C" w:rsidR="00C44470">
        <w:rPr>
          <w:rFonts w:ascii="Century Schoolbook" w:hAnsi="Century Schoolbook"/>
        </w:rPr>
        <w:t>.</w:t>
      </w:r>
    </w:p>
    <w:p w:rsidR="008B04BA" w:rsidRPr="005A144C" w:rsidP="002E22D7" w14:paraId="57A1FF6B" w14:textId="2819E57D">
      <w:pPr>
        <w:spacing w:line="360" w:lineRule="auto"/>
        <w:rPr>
          <w:rFonts w:ascii="Century Schoolbook" w:hAnsi="Century Schoolbook"/>
        </w:rPr>
      </w:pPr>
      <w:r w:rsidRPr="005A144C">
        <w:rPr>
          <w:rFonts w:ascii="Century Schoolbook" w:hAnsi="Century Schoolbook"/>
        </w:rPr>
        <w:tab/>
      </w:r>
      <w:r w:rsidRPr="005A144C" w:rsidR="00C44470">
        <w:rPr>
          <w:rFonts w:ascii="Century Schoolbook" w:hAnsi="Century Schoolbook"/>
        </w:rPr>
        <w:t xml:space="preserve">We </w:t>
      </w:r>
      <w:r w:rsidRPr="005A144C" w:rsidR="00E2285F">
        <w:rPr>
          <w:rFonts w:ascii="Century Schoolbook" w:hAnsi="Century Schoolbook"/>
        </w:rPr>
        <w:t xml:space="preserve">disagree and </w:t>
      </w:r>
      <w:r w:rsidRPr="005A144C" w:rsidR="00C44470">
        <w:rPr>
          <w:rFonts w:ascii="Century Schoolbook" w:hAnsi="Century Schoolbook"/>
        </w:rPr>
        <w:t>affirm.</w:t>
      </w:r>
      <w:r w:rsidRPr="005A144C" w:rsidR="006358B9">
        <w:rPr>
          <w:rFonts w:ascii="Century Schoolbook" w:hAnsi="Century Schoolbook"/>
        </w:rPr>
        <w:t xml:space="preserve"> </w:t>
      </w:r>
    </w:p>
    <w:p w:rsidR="008B04BA" w:rsidRPr="005A144C" w:rsidP="002E22D7" w14:paraId="7CD0A254" w14:textId="6C4789E9">
      <w:pPr>
        <w:spacing w:line="360" w:lineRule="auto"/>
        <w:jc w:val="center"/>
        <w:rPr>
          <w:rFonts w:ascii="Century Schoolbook" w:hAnsi="Century Schoolbook"/>
          <w:b/>
          <w:bCs/>
        </w:rPr>
      </w:pPr>
      <w:r w:rsidRPr="005A144C">
        <w:rPr>
          <w:rFonts w:ascii="Century Schoolbook" w:hAnsi="Century Schoolbook"/>
          <w:b/>
          <w:bCs/>
        </w:rPr>
        <w:t>I.</w:t>
      </w:r>
      <w:r w:rsidRPr="005A144C" w:rsidR="00257D9B">
        <w:rPr>
          <w:rFonts w:ascii="Century Schoolbook" w:hAnsi="Century Schoolbook"/>
          <w:b/>
          <w:bCs/>
        </w:rPr>
        <w:t xml:space="preserve">  </w:t>
      </w:r>
      <w:r w:rsidRPr="005A144C">
        <w:rPr>
          <w:rFonts w:ascii="Century Schoolbook" w:hAnsi="Century Schoolbook"/>
          <w:b/>
          <w:bCs/>
        </w:rPr>
        <w:t>BACKGROUND</w:t>
      </w:r>
    </w:p>
    <w:p w:rsidR="00544730" w:rsidRPr="005A144C" w:rsidP="002E22D7" w14:paraId="7D41F18F" w14:textId="5BD18E0C">
      <w:pPr>
        <w:spacing w:line="360" w:lineRule="auto"/>
        <w:rPr>
          <w:rFonts w:ascii="Century Schoolbook" w:hAnsi="Century Schoolbook"/>
          <w:b/>
          <w:bCs/>
          <w:i/>
          <w:iCs/>
        </w:rPr>
      </w:pPr>
      <w:bookmarkStart w:id="0" w:name="_Hlk153718977"/>
      <w:r w:rsidRPr="005A144C">
        <w:rPr>
          <w:rFonts w:ascii="Century Schoolbook" w:hAnsi="Century Schoolbook"/>
          <w:b/>
          <w:bCs/>
          <w:i/>
          <w:iCs/>
        </w:rPr>
        <w:t xml:space="preserve">A. </w:t>
      </w:r>
      <w:r w:rsidRPr="005A144C" w:rsidR="00F82987">
        <w:rPr>
          <w:rFonts w:ascii="Century Schoolbook" w:hAnsi="Century Schoolbook"/>
          <w:b/>
          <w:bCs/>
          <w:i/>
          <w:iCs/>
        </w:rPr>
        <w:t xml:space="preserve"> </w:t>
      </w:r>
      <w:r w:rsidRPr="005A144C" w:rsidR="000F53B8">
        <w:rPr>
          <w:rFonts w:ascii="Century Schoolbook" w:hAnsi="Century Schoolbook"/>
          <w:b/>
          <w:bCs/>
          <w:i/>
          <w:iCs/>
        </w:rPr>
        <w:t>ALS Collection</w:t>
      </w:r>
      <w:r w:rsidRPr="005A144C" w:rsidR="00AB131F">
        <w:rPr>
          <w:rFonts w:ascii="Century Schoolbook" w:hAnsi="Century Schoolbook"/>
        </w:rPr>
        <w:t xml:space="preserve"> </w:t>
      </w:r>
      <w:r w:rsidRPr="005A144C" w:rsidR="00AB131F">
        <w:rPr>
          <w:rFonts w:ascii="Century Schoolbook" w:hAnsi="Century Schoolbook"/>
          <w:b/>
          <w:bCs/>
          <w:i/>
          <w:iCs/>
        </w:rPr>
        <w:t>from Doskocz</w:t>
      </w:r>
    </w:p>
    <w:p w:rsidR="00851744" w:rsidRPr="005A144C" w:rsidP="002E22D7" w14:paraId="43FDA087" w14:textId="79C4C41F">
      <w:pPr>
        <w:spacing w:line="360" w:lineRule="auto"/>
        <w:rPr>
          <w:rFonts w:ascii="Century Schoolbook" w:hAnsi="Century Schoolbook"/>
        </w:rPr>
      </w:pPr>
      <w:r w:rsidRPr="005A144C">
        <w:rPr>
          <w:rFonts w:ascii="Century Schoolbook" w:hAnsi="Century Schoolbook"/>
        </w:rPr>
        <w:tab/>
      </w:r>
      <w:r w:rsidRPr="005A144C" w:rsidR="00CD79DB">
        <w:rPr>
          <w:rFonts w:ascii="Century Schoolbook" w:hAnsi="Century Schoolbook"/>
        </w:rPr>
        <w:t xml:space="preserve">Doskocz owns a </w:t>
      </w:r>
      <w:r w:rsidRPr="005A144C" w:rsidR="00E75AF8">
        <w:rPr>
          <w:rFonts w:ascii="Century Schoolbook" w:hAnsi="Century Schoolbook"/>
        </w:rPr>
        <w:t>townhouse</w:t>
      </w:r>
      <w:r w:rsidRPr="005A144C" w:rsidR="005E3C7A">
        <w:rPr>
          <w:rFonts w:ascii="Century Schoolbook" w:hAnsi="Century Schoolbook"/>
        </w:rPr>
        <w:t xml:space="preserve"> </w:t>
      </w:r>
      <w:r w:rsidRPr="005A144C" w:rsidR="00CD79DB">
        <w:rPr>
          <w:rFonts w:ascii="Century Schoolbook" w:hAnsi="Century Schoolbook"/>
        </w:rPr>
        <w:t>in Danville, California</w:t>
      </w:r>
      <w:r w:rsidRPr="005A144C" w:rsidR="002365F5">
        <w:rPr>
          <w:rFonts w:ascii="Century Schoolbook" w:hAnsi="Century Schoolbook"/>
        </w:rPr>
        <w:t xml:space="preserve"> that is part of Danville Green </w:t>
      </w:r>
      <w:r w:rsidRPr="005A144C" w:rsidR="0025174A">
        <w:rPr>
          <w:rFonts w:ascii="Century Schoolbook" w:hAnsi="Century Schoolbook"/>
        </w:rPr>
        <w:t>Homeowners Association</w:t>
      </w:r>
      <w:r w:rsidRPr="005A144C" w:rsidR="0066436C">
        <w:rPr>
          <w:rFonts w:ascii="Century Schoolbook" w:hAnsi="Century Schoolbook"/>
        </w:rPr>
        <w:t>, Inc.</w:t>
      </w:r>
      <w:r w:rsidRPr="005A144C" w:rsidR="0025174A">
        <w:rPr>
          <w:rFonts w:ascii="Century Schoolbook" w:hAnsi="Century Schoolbook"/>
        </w:rPr>
        <w:t xml:space="preserve"> (Danville Green)</w:t>
      </w:r>
      <w:r w:rsidRPr="005A144C" w:rsidR="00CD79DB">
        <w:rPr>
          <w:rFonts w:ascii="Century Schoolbook" w:hAnsi="Century Schoolbook"/>
        </w:rPr>
        <w:t xml:space="preserve">. </w:t>
      </w:r>
      <w:r w:rsidRPr="005A144C" w:rsidR="009F022C">
        <w:rPr>
          <w:rFonts w:ascii="Century Schoolbook" w:hAnsi="Century Schoolbook"/>
        </w:rPr>
        <w:t xml:space="preserve"> </w:t>
      </w:r>
      <w:r w:rsidRPr="005A144C" w:rsidR="00CD79DB">
        <w:rPr>
          <w:rFonts w:ascii="Century Schoolbook" w:hAnsi="Century Schoolbook"/>
        </w:rPr>
        <w:t>Danville</w:t>
      </w:r>
      <w:r w:rsidRPr="005A144C" w:rsidR="004967BE">
        <w:rPr>
          <w:rFonts w:ascii="Century Schoolbook" w:hAnsi="Century Schoolbook"/>
        </w:rPr>
        <w:t xml:space="preserve"> </w:t>
      </w:r>
      <w:r w:rsidRPr="005A144C" w:rsidR="00CD79DB">
        <w:rPr>
          <w:rFonts w:ascii="Century Schoolbook" w:hAnsi="Century Schoolbook"/>
        </w:rPr>
        <w:t xml:space="preserve">Green hired ALS to collect unpaid HOA assessments from Doskocz. </w:t>
      </w:r>
      <w:r w:rsidRPr="005A144C" w:rsidR="00643FAF">
        <w:rPr>
          <w:rFonts w:ascii="Century Schoolbook" w:hAnsi="Century Schoolbook"/>
        </w:rPr>
        <w:t xml:space="preserve"> </w:t>
      </w:r>
      <w:r w:rsidRPr="005A144C" w:rsidR="005163E1">
        <w:rPr>
          <w:rFonts w:ascii="Century Schoolbook" w:hAnsi="Century Schoolbook"/>
        </w:rPr>
        <w:t>At the time of trial, ALS was working with approximately 100 HOAs throughout the state.</w:t>
      </w:r>
    </w:p>
    <w:p w:rsidR="00643FAF" w:rsidRPr="005A144C" w:rsidP="002E22D7" w14:paraId="483DB637" w14:textId="01E4BAED">
      <w:pPr>
        <w:spacing w:line="360" w:lineRule="auto"/>
        <w:rPr>
          <w:rFonts w:ascii="Century Schoolbook" w:hAnsi="Century Schoolbook"/>
        </w:rPr>
      </w:pPr>
      <w:r w:rsidRPr="005A144C">
        <w:rPr>
          <w:rFonts w:ascii="Century Schoolbook" w:hAnsi="Century Schoolbook"/>
        </w:rPr>
        <w:tab/>
      </w:r>
      <w:r w:rsidRPr="005A144C" w:rsidR="00C91AF3">
        <w:rPr>
          <w:rFonts w:ascii="Century Schoolbook" w:hAnsi="Century Schoolbook"/>
        </w:rPr>
        <w:t xml:space="preserve">ALS uses the nonjudicial foreclosure process to collect assessments and other charges. </w:t>
      </w:r>
      <w:r w:rsidRPr="005A144C">
        <w:rPr>
          <w:rFonts w:ascii="Century Schoolbook" w:hAnsi="Century Schoolbook"/>
        </w:rPr>
        <w:t xml:space="preserve"> </w:t>
      </w:r>
      <w:r w:rsidRPr="005A144C" w:rsidR="003C304C">
        <w:rPr>
          <w:rFonts w:ascii="Century Schoolbook" w:hAnsi="Century Schoolbook"/>
        </w:rPr>
        <w:t xml:space="preserve">In November 2013, ALS sent Doskocz </w:t>
      </w:r>
      <w:r w:rsidRPr="005A144C" w:rsidR="00C32F2A">
        <w:rPr>
          <w:rFonts w:ascii="Century Schoolbook" w:hAnsi="Century Schoolbook"/>
        </w:rPr>
        <w:t>its</w:t>
      </w:r>
      <w:r w:rsidRPr="005A144C" w:rsidR="003C304C">
        <w:rPr>
          <w:rFonts w:ascii="Century Schoolbook" w:hAnsi="Century Schoolbook"/>
        </w:rPr>
        <w:t xml:space="preserve"> standardized “pre-lien letter</w:t>
      </w:r>
      <w:r w:rsidRPr="005A144C" w:rsidR="003A3CA1">
        <w:rPr>
          <w:rFonts w:ascii="Century Schoolbook" w:hAnsi="Century Schoolbook"/>
        </w:rPr>
        <w:t>,</w:t>
      </w:r>
      <w:r w:rsidRPr="005A144C" w:rsidR="006E1D39">
        <w:rPr>
          <w:rFonts w:ascii="Century Schoolbook" w:hAnsi="Century Schoolbook"/>
        </w:rPr>
        <w:t>”</w:t>
      </w:r>
      <w:r w:rsidRPr="005A144C" w:rsidR="00EE140E">
        <w:rPr>
          <w:rFonts w:ascii="Century Schoolbook" w:hAnsi="Century Schoolbook"/>
        </w:rPr>
        <w:t xml:space="preserve"> </w:t>
      </w:r>
      <w:r w:rsidRPr="005A144C" w:rsidR="003A3CA1">
        <w:rPr>
          <w:rFonts w:ascii="Century Schoolbook" w:hAnsi="Century Schoolbook"/>
        </w:rPr>
        <w:t>which</w:t>
      </w:r>
      <w:r w:rsidRPr="005A144C" w:rsidR="00EE140E">
        <w:rPr>
          <w:rFonts w:ascii="Century Schoolbook" w:hAnsi="Century Schoolbook"/>
        </w:rPr>
        <w:t xml:space="preserve"> stated that Doskocz was delinquent in the payment of assessments </w:t>
      </w:r>
      <w:r w:rsidRPr="005A144C" w:rsidR="000A6DAE">
        <w:rPr>
          <w:rFonts w:ascii="Century Schoolbook" w:hAnsi="Century Schoolbook"/>
        </w:rPr>
        <w:t xml:space="preserve">and owed </w:t>
      </w:r>
      <w:r w:rsidRPr="005A144C" w:rsidR="00867658">
        <w:rPr>
          <w:rFonts w:ascii="Century Schoolbook" w:hAnsi="Century Schoolbook"/>
        </w:rPr>
        <w:t>Danville</w:t>
      </w:r>
      <w:r w:rsidRPr="005A144C" w:rsidR="00155CE0">
        <w:rPr>
          <w:rFonts w:ascii="Century Schoolbook" w:hAnsi="Century Schoolbook"/>
        </w:rPr>
        <w:t xml:space="preserve"> Green</w:t>
      </w:r>
      <w:r w:rsidRPr="005A144C" w:rsidR="00EE140E">
        <w:rPr>
          <w:rFonts w:ascii="Century Schoolbook" w:hAnsi="Century Schoolbook"/>
        </w:rPr>
        <w:t xml:space="preserve"> $1,239.08. </w:t>
      </w:r>
      <w:r w:rsidRPr="005A144C" w:rsidR="00561E48">
        <w:rPr>
          <w:rFonts w:ascii="Century Schoolbook" w:hAnsi="Century Schoolbook"/>
        </w:rPr>
        <w:t xml:space="preserve"> It also stated that Doskocz could request a payment plan for the debt. </w:t>
      </w:r>
      <w:r w:rsidRPr="005A144C" w:rsidR="00AE3B95">
        <w:rPr>
          <w:rFonts w:ascii="Century Schoolbook" w:hAnsi="Century Schoolbook"/>
        </w:rPr>
        <w:t xml:space="preserve"> </w:t>
      </w:r>
      <w:r w:rsidRPr="005A144C" w:rsidR="00F57E9C">
        <w:rPr>
          <w:rFonts w:ascii="Century Schoolbook" w:hAnsi="Century Schoolbook"/>
        </w:rPr>
        <w:t>The next month</w:t>
      </w:r>
      <w:r w:rsidRPr="005A144C" w:rsidR="00AE3B95">
        <w:rPr>
          <w:rFonts w:ascii="Century Schoolbook" w:hAnsi="Century Schoolbook"/>
        </w:rPr>
        <w:t>, ALS recorded a delinquent assessment lien against Doskocz</w:t>
      </w:r>
      <w:r w:rsidRPr="005A144C" w:rsidR="00481667">
        <w:rPr>
          <w:rFonts w:ascii="Century Schoolbook" w:hAnsi="Century Schoolbook"/>
        </w:rPr>
        <w:t xml:space="preserve">’s </w:t>
      </w:r>
      <w:r w:rsidRPr="005A144C" w:rsidR="00E75AF8">
        <w:rPr>
          <w:rFonts w:ascii="Century Schoolbook" w:hAnsi="Century Schoolbook"/>
        </w:rPr>
        <w:t>townhouse.</w:t>
      </w:r>
    </w:p>
    <w:p w:rsidR="003C304C" w:rsidRPr="005A144C" w:rsidP="002E22D7" w14:paraId="6DDF8041" w14:textId="28A921B3">
      <w:pPr>
        <w:spacing w:line="360" w:lineRule="auto"/>
        <w:rPr>
          <w:rFonts w:ascii="Century Schoolbook" w:hAnsi="Century Schoolbook"/>
        </w:rPr>
      </w:pPr>
      <w:r w:rsidRPr="005A144C">
        <w:rPr>
          <w:rFonts w:ascii="Century Schoolbook" w:hAnsi="Century Schoolbook"/>
        </w:rPr>
        <w:tab/>
      </w:r>
      <w:r w:rsidRPr="005A144C" w:rsidR="00AE3B95">
        <w:rPr>
          <w:rFonts w:ascii="Century Schoolbook" w:hAnsi="Century Schoolbook"/>
        </w:rPr>
        <w:t xml:space="preserve">Doskocz </w:t>
      </w:r>
      <w:r w:rsidRPr="005A144C" w:rsidR="00362C9E">
        <w:rPr>
          <w:rFonts w:ascii="Century Schoolbook" w:hAnsi="Century Schoolbook"/>
        </w:rPr>
        <w:t>agreed to</w:t>
      </w:r>
      <w:r w:rsidRPr="005A144C" w:rsidR="00AE3B95">
        <w:rPr>
          <w:rFonts w:ascii="Century Schoolbook" w:hAnsi="Century Schoolbook"/>
        </w:rPr>
        <w:t xml:space="preserve"> a payment plan. </w:t>
      </w:r>
      <w:r w:rsidRPr="005A144C" w:rsidR="00BB7DC2">
        <w:rPr>
          <w:rFonts w:ascii="Century Schoolbook" w:hAnsi="Century Schoolbook"/>
        </w:rPr>
        <w:t xml:space="preserve"> The plan included a </w:t>
      </w:r>
      <w:r w:rsidRPr="005A144C" w:rsidR="00101203">
        <w:rPr>
          <w:rFonts w:ascii="Century Schoolbook" w:hAnsi="Century Schoolbook"/>
        </w:rPr>
        <w:t>waiver</w:t>
      </w:r>
      <w:r w:rsidRPr="005A144C" w:rsidR="00BB7DC2">
        <w:rPr>
          <w:rFonts w:ascii="Century Schoolbook" w:hAnsi="Century Schoolbook"/>
        </w:rPr>
        <w:t xml:space="preserve"> </w:t>
      </w:r>
      <w:r w:rsidRPr="005A144C" w:rsidR="00101203">
        <w:rPr>
          <w:rFonts w:ascii="Century Schoolbook" w:hAnsi="Century Schoolbook"/>
        </w:rPr>
        <w:t>of</w:t>
      </w:r>
      <w:r w:rsidRPr="005A144C" w:rsidR="00BB7DC2">
        <w:rPr>
          <w:rFonts w:ascii="Century Schoolbook" w:hAnsi="Century Schoolbook"/>
        </w:rPr>
        <w:t xml:space="preserve"> Civil Code section 5655</w:t>
      </w:r>
      <w:r w:rsidRPr="005A144C" w:rsidR="00C16B82">
        <w:rPr>
          <w:rFonts w:ascii="Century Schoolbook" w:hAnsi="Century Schoolbook"/>
        </w:rPr>
        <w:t>, subdivision (a)</w:t>
      </w:r>
      <w:r w:rsidRPr="005A144C" w:rsidR="004B379C">
        <w:rPr>
          <w:rFonts w:ascii="Century Schoolbook" w:hAnsi="Century Schoolbook"/>
        </w:rPr>
        <w:t xml:space="preserve"> (section</w:t>
      </w:r>
      <w:r w:rsidRPr="005A144C" w:rsidR="009F562E">
        <w:rPr>
          <w:rFonts w:ascii="Century Schoolbook" w:hAnsi="Century Schoolbook"/>
        </w:rPr>
        <w:t> </w:t>
      </w:r>
      <w:r w:rsidRPr="005A144C" w:rsidR="004B379C">
        <w:rPr>
          <w:rFonts w:ascii="Century Schoolbook" w:hAnsi="Century Schoolbook"/>
        </w:rPr>
        <w:t>5655(a))</w:t>
      </w:r>
      <w:r w:rsidRPr="005A144C" w:rsidR="00BB7DC2">
        <w:rPr>
          <w:rFonts w:ascii="Century Schoolbook" w:hAnsi="Century Schoolbook"/>
        </w:rPr>
        <w:t>,</w:t>
      </w:r>
      <w:r>
        <w:rPr>
          <w:rStyle w:val="FootnoteReference"/>
          <w:rFonts w:ascii="Century Schoolbook" w:hAnsi="Century Schoolbook"/>
        </w:rPr>
        <w:footnoteReference w:id="3"/>
      </w:r>
      <w:r w:rsidRPr="005A144C" w:rsidR="00BB7DC2">
        <w:rPr>
          <w:rFonts w:ascii="Century Schoolbook" w:hAnsi="Century Schoolbook"/>
        </w:rPr>
        <w:t xml:space="preserve"> </w:t>
      </w:r>
      <w:r w:rsidRPr="005A144C" w:rsidR="003A3CA1">
        <w:rPr>
          <w:rFonts w:ascii="Century Schoolbook" w:hAnsi="Century Schoolbook"/>
        </w:rPr>
        <w:t>which</w:t>
      </w:r>
      <w:r w:rsidRPr="005A144C" w:rsidR="00C530CE">
        <w:rPr>
          <w:rFonts w:ascii="Century Schoolbook" w:hAnsi="Century Schoolbook"/>
        </w:rPr>
        <w:t xml:space="preserve"> </w:t>
      </w:r>
      <w:r w:rsidRPr="005A144C" w:rsidR="00441708">
        <w:rPr>
          <w:rFonts w:ascii="Century Schoolbook" w:hAnsi="Century Schoolbook"/>
        </w:rPr>
        <w:t>requires payments</w:t>
      </w:r>
      <w:r w:rsidRPr="005A144C" w:rsidR="0028131F">
        <w:rPr>
          <w:rFonts w:ascii="Century Schoolbook" w:hAnsi="Century Schoolbook"/>
        </w:rPr>
        <w:t xml:space="preserve"> </w:t>
      </w:r>
      <w:r w:rsidRPr="005A144C" w:rsidR="00441708">
        <w:rPr>
          <w:rFonts w:ascii="Century Schoolbook" w:hAnsi="Century Schoolbook"/>
        </w:rPr>
        <w:t>“</w:t>
      </w:r>
      <w:r w:rsidRPr="005A144C" w:rsidR="00C530CE">
        <w:rPr>
          <w:rFonts w:ascii="Century Schoolbook" w:hAnsi="Century Schoolbook"/>
        </w:rPr>
        <w:t>first be applied to the assessments owed, and, only after the assessments owed are paid in full shall the payments be applied to the fees and costs of collection, attorney’s fees, late charges, or inter</w:t>
      </w:r>
      <w:r w:rsidRPr="005A144C" w:rsidR="0028131F">
        <w:rPr>
          <w:rFonts w:ascii="Century Schoolbook" w:hAnsi="Century Schoolbook"/>
        </w:rPr>
        <w:t>est</w:t>
      </w:r>
      <w:r w:rsidRPr="005A144C" w:rsidR="00BB7DC2">
        <w:rPr>
          <w:rFonts w:ascii="Century Schoolbook" w:hAnsi="Century Schoolbook"/>
        </w:rPr>
        <w:t>.</w:t>
      </w:r>
      <w:r w:rsidRPr="005A144C" w:rsidR="0028131F">
        <w:rPr>
          <w:rFonts w:ascii="Century Schoolbook" w:hAnsi="Century Schoolbook"/>
        </w:rPr>
        <w:t>”</w:t>
      </w:r>
      <w:r w:rsidRPr="005A144C" w:rsidR="00DA7EDD">
        <w:rPr>
          <w:rFonts w:ascii="Century Schoolbook" w:hAnsi="Century Schoolbook"/>
        </w:rPr>
        <w:t xml:space="preserve">  ALS’s standard payment plan include</w:t>
      </w:r>
      <w:r w:rsidRPr="005A144C" w:rsidR="00032D7A">
        <w:rPr>
          <w:rFonts w:ascii="Century Schoolbook" w:hAnsi="Century Schoolbook"/>
        </w:rPr>
        <w:t>s</w:t>
      </w:r>
      <w:r w:rsidRPr="005A144C" w:rsidR="00DA7EDD">
        <w:rPr>
          <w:rFonts w:ascii="Century Schoolbook" w:hAnsi="Century Schoolbook"/>
        </w:rPr>
        <w:t xml:space="preserve"> this waiver, and its </w:t>
      </w:r>
      <w:r w:rsidRPr="005A144C" w:rsidR="00291E18">
        <w:rPr>
          <w:rFonts w:ascii="Century Schoolbook" w:hAnsi="Century Schoolbook"/>
        </w:rPr>
        <w:t xml:space="preserve">standard </w:t>
      </w:r>
      <w:r w:rsidRPr="005A144C" w:rsidR="00DA7EDD">
        <w:rPr>
          <w:rFonts w:ascii="Century Schoolbook" w:hAnsi="Century Schoolbook"/>
        </w:rPr>
        <w:t xml:space="preserve">collection contract </w:t>
      </w:r>
      <w:r w:rsidRPr="005A144C" w:rsidR="00812E2D">
        <w:rPr>
          <w:rFonts w:ascii="Century Schoolbook" w:hAnsi="Century Schoolbook"/>
        </w:rPr>
        <w:t xml:space="preserve">terms </w:t>
      </w:r>
      <w:r w:rsidRPr="005A144C" w:rsidR="00DA7EDD">
        <w:rPr>
          <w:rFonts w:ascii="Century Schoolbook" w:hAnsi="Century Schoolbook"/>
        </w:rPr>
        <w:t xml:space="preserve">require HOAs to agree to payment plans with this waiver. </w:t>
      </w:r>
      <w:r w:rsidRPr="005A144C" w:rsidR="008465FC">
        <w:rPr>
          <w:rFonts w:ascii="Century Schoolbook" w:hAnsi="Century Schoolbook"/>
        </w:rPr>
        <w:t xml:space="preserve"> </w:t>
      </w:r>
      <w:r w:rsidRPr="005A144C" w:rsidR="00C64755">
        <w:rPr>
          <w:rFonts w:ascii="Century Schoolbook" w:hAnsi="Century Schoolbook"/>
        </w:rPr>
        <w:t xml:space="preserve">During </w:t>
      </w:r>
      <w:r w:rsidRPr="005A144C" w:rsidR="00B7435E">
        <w:rPr>
          <w:rFonts w:ascii="Century Schoolbook" w:hAnsi="Century Schoolbook"/>
        </w:rPr>
        <w:t xml:space="preserve">Doskocz’s </w:t>
      </w:r>
      <w:r w:rsidRPr="005A144C" w:rsidR="00C64755">
        <w:rPr>
          <w:rFonts w:ascii="Century Schoolbook" w:hAnsi="Century Schoolbook"/>
        </w:rPr>
        <w:t xml:space="preserve">payment plan period, ALS applied only a portion of </w:t>
      </w:r>
      <w:r w:rsidRPr="005A144C" w:rsidR="00B7435E">
        <w:rPr>
          <w:rFonts w:ascii="Century Schoolbook" w:hAnsi="Century Schoolbook"/>
        </w:rPr>
        <w:t>her</w:t>
      </w:r>
      <w:r w:rsidRPr="005A144C" w:rsidR="00C64755">
        <w:rPr>
          <w:rFonts w:ascii="Century Schoolbook" w:hAnsi="Century Schoolbook"/>
        </w:rPr>
        <w:t xml:space="preserve"> payment towards </w:t>
      </w:r>
      <w:r w:rsidRPr="005A144C" w:rsidR="00B7435E">
        <w:rPr>
          <w:rFonts w:ascii="Century Schoolbook" w:hAnsi="Century Schoolbook"/>
        </w:rPr>
        <w:t xml:space="preserve">unpaid </w:t>
      </w:r>
      <w:r w:rsidRPr="005A144C" w:rsidR="00C64755">
        <w:rPr>
          <w:rFonts w:ascii="Century Schoolbook" w:hAnsi="Century Schoolbook"/>
        </w:rPr>
        <w:t>assessments, applying the rest to ALS’s collection fees and costs.</w:t>
      </w:r>
    </w:p>
    <w:p w:rsidR="0027088F" w:rsidRPr="005A144C" w:rsidP="002E22D7" w14:paraId="312F61DA" w14:textId="7B7E890B">
      <w:pPr>
        <w:spacing w:line="360" w:lineRule="auto"/>
        <w:rPr>
          <w:rFonts w:ascii="Century Schoolbook" w:hAnsi="Century Schoolbook"/>
        </w:rPr>
      </w:pPr>
      <w:r w:rsidRPr="005A144C">
        <w:rPr>
          <w:rFonts w:ascii="Century Schoolbook" w:hAnsi="Century Schoolbook"/>
        </w:rPr>
        <w:tab/>
        <w:t>Doskocz made five of the six payments</w:t>
      </w:r>
      <w:r w:rsidRPr="005A144C" w:rsidR="00FC4E98">
        <w:rPr>
          <w:rFonts w:ascii="Century Schoolbook" w:hAnsi="Century Schoolbook"/>
        </w:rPr>
        <w:t xml:space="preserve"> in the plan</w:t>
      </w:r>
      <w:r w:rsidRPr="005A144C">
        <w:rPr>
          <w:rFonts w:ascii="Century Schoolbook" w:hAnsi="Century Schoolbook"/>
        </w:rPr>
        <w:t>,</w:t>
      </w:r>
      <w:r w:rsidRPr="005A144C" w:rsidR="008B0B41">
        <w:rPr>
          <w:rFonts w:ascii="Century Schoolbook" w:hAnsi="Century Schoolbook"/>
        </w:rPr>
        <w:t xml:space="preserve"> </w:t>
      </w:r>
      <w:r w:rsidRPr="005A144C">
        <w:rPr>
          <w:rFonts w:ascii="Century Schoolbook" w:hAnsi="Century Schoolbook"/>
        </w:rPr>
        <w:t xml:space="preserve">but was unable to make the final payment.  Doskocz </w:t>
      </w:r>
      <w:r w:rsidRPr="005A144C" w:rsidR="00333F96">
        <w:rPr>
          <w:rFonts w:ascii="Century Schoolbook" w:hAnsi="Century Schoolbook"/>
        </w:rPr>
        <w:t>requested</w:t>
      </w:r>
      <w:r w:rsidRPr="005A144C">
        <w:rPr>
          <w:rFonts w:ascii="Century Schoolbook" w:hAnsi="Century Schoolbook"/>
        </w:rPr>
        <w:t xml:space="preserve"> a second payment plan.  ALS </w:t>
      </w:r>
      <w:r w:rsidRPr="005A144C" w:rsidR="00DD5FB2">
        <w:rPr>
          <w:rFonts w:ascii="Century Schoolbook" w:hAnsi="Century Schoolbook"/>
        </w:rPr>
        <w:t>responded</w:t>
      </w:r>
      <w:r w:rsidRPr="005A144C">
        <w:rPr>
          <w:rFonts w:ascii="Century Schoolbook" w:hAnsi="Century Schoolbook"/>
        </w:rPr>
        <w:t xml:space="preserve"> that her </w:t>
      </w:r>
      <w:r w:rsidRPr="005A144C" w:rsidR="008008BD">
        <w:rPr>
          <w:rFonts w:ascii="Century Schoolbook" w:hAnsi="Century Schoolbook"/>
        </w:rPr>
        <w:t xml:space="preserve">total balance </w:t>
      </w:r>
      <w:r w:rsidRPr="005A144C">
        <w:rPr>
          <w:rFonts w:ascii="Century Schoolbook" w:hAnsi="Century Schoolbook"/>
        </w:rPr>
        <w:t>was $1,074.90</w:t>
      </w:r>
      <w:r w:rsidRPr="005A144C" w:rsidR="00E84B8D">
        <w:rPr>
          <w:rFonts w:ascii="Century Schoolbook" w:hAnsi="Century Schoolbook"/>
        </w:rPr>
        <w:t>,</w:t>
      </w:r>
      <w:r w:rsidRPr="005A144C" w:rsidR="008F2BE6">
        <w:rPr>
          <w:rFonts w:ascii="Century Schoolbook" w:hAnsi="Century Schoolbook"/>
        </w:rPr>
        <w:t xml:space="preserve"> but propos</w:t>
      </w:r>
      <w:r w:rsidRPr="005A144C" w:rsidR="004722E6">
        <w:rPr>
          <w:rFonts w:ascii="Century Schoolbook" w:hAnsi="Century Schoolbook"/>
        </w:rPr>
        <w:t>ed</w:t>
      </w:r>
      <w:r w:rsidRPr="005A144C" w:rsidR="008F2BE6">
        <w:rPr>
          <w:rFonts w:ascii="Century Schoolbook" w:hAnsi="Century Schoolbook"/>
        </w:rPr>
        <w:t xml:space="preserve"> a plan for three monthly payments totaling $2,033.19</w:t>
      </w:r>
      <w:r w:rsidRPr="005A144C">
        <w:rPr>
          <w:rFonts w:ascii="Century Schoolbook" w:hAnsi="Century Schoolbook"/>
        </w:rPr>
        <w:t xml:space="preserve">. </w:t>
      </w:r>
      <w:r w:rsidRPr="005A144C" w:rsidR="008F2BE6">
        <w:rPr>
          <w:rFonts w:ascii="Century Schoolbook" w:hAnsi="Century Schoolbook"/>
        </w:rPr>
        <w:t xml:space="preserve"> Instead of accepting th</w:t>
      </w:r>
      <w:r w:rsidRPr="005A144C" w:rsidR="00E84B8D">
        <w:rPr>
          <w:rFonts w:ascii="Century Schoolbook" w:hAnsi="Century Schoolbook"/>
        </w:rPr>
        <w:t>is</w:t>
      </w:r>
      <w:r w:rsidRPr="005A144C" w:rsidR="008F2BE6">
        <w:rPr>
          <w:rFonts w:ascii="Century Schoolbook" w:hAnsi="Century Schoolbook"/>
        </w:rPr>
        <w:t xml:space="preserve"> </w:t>
      </w:r>
      <w:r w:rsidRPr="005A144C" w:rsidR="002D433C">
        <w:rPr>
          <w:rFonts w:ascii="Century Schoolbook" w:hAnsi="Century Schoolbook"/>
        </w:rPr>
        <w:t>proposal</w:t>
      </w:r>
      <w:r w:rsidRPr="005A144C" w:rsidR="008F2BE6">
        <w:rPr>
          <w:rFonts w:ascii="Century Schoolbook" w:hAnsi="Century Schoolbook"/>
        </w:rPr>
        <w:t xml:space="preserve">, Doskocz sent in two monthly payments of $537.45, intended to satisfy the </w:t>
      </w:r>
      <w:r w:rsidRPr="005A144C" w:rsidR="003A3CA1">
        <w:rPr>
          <w:rFonts w:ascii="Century Schoolbook" w:hAnsi="Century Schoolbook"/>
        </w:rPr>
        <w:t xml:space="preserve">total </w:t>
      </w:r>
      <w:r w:rsidRPr="005A144C" w:rsidR="008F2BE6">
        <w:rPr>
          <w:rFonts w:ascii="Century Schoolbook" w:hAnsi="Century Schoolbook"/>
        </w:rPr>
        <w:t>balance.</w:t>
      </w:r>
    </w:p>
    <w:p w:rsidR="00C64755" w:rsidRPr="005A144C" w:rsidP="002E22D7" w14:paraId="1C15AE0D" w14:textId="405C73F7">
      <w:pPr>
        <w:spacing w:line="360" w:lineRule="auto"/>
        <w:rPr>
          <w:rFonts w:ascii="Century Schoolbook" w:hAnsi="Century Schoolbook"/>
        </w:rPr>
      </w:pPr>
      <w:r w:rsidRPr="005A144C">
        <w:rPr>
          <w:rFonts w:ascii="Century Schoolbook" w:hAnsi="Century Schoolbook"/>
        </w:rPr>
        <w:tab/>
      </w:r>
      <w:r w:rsidRPr="005A144C" w:rsidR="00F57E9C">
        <w:rPr>
          <w:rFonts w:ascii="Century Schoolbook" w:hAnsi="Century Schoolbook"/>
        </w:rPr>
        <w:t>The next month, i</w:t>
      </w:r>
      <w:r w:rsidRPr="005A144C" w:rsidR="00C32F2A">
        <w:rPr>
          <w:rFonts w:ascii="Century Schoolbook" w:hAnsi="Century Schoolbook"/>
        </w:rPr>
        <w:t>n October 2014, ALS sent Doskocz its standardized pre-</w:t>
      </w:r>
      <w:r w:rsidRPr="005A144C" w:rsidR="00C175A3">
        <w:rPr>
          <w:rFonts w:ascii="Century Schoolbook" w:hAnsi="Century Schoolbook"/>
        </w:rPr>
        <w:t xml:space="preserve">notice of default </w:t>
      </w:r>
      <w:r w:rsidRPr="005A144C" w:rsidR="00C31731">
        <w:rPr>
          <w:rFonts w:ascii="Century Schoolbook" w:hAnsi="Century Schoolbook"/>
        </w:rPr>
        <w:t xml:space="preserve">letter </w:t>
      </w:r>
      <w:r w:rsidRPr="005A144C" w:rsidR="00C175A3">
        <w:rPr>
          <w:rFonts w:ascii="Century Schoolbook" w:hAnsi="Century Schoolbook"/>
        </w:rPr>
        <w:t>(pre-NOD</w:t>
      </w:r>
      <w:r w:rsidRPr="005A144C" w:rsidR="00C32F2A">
        <w:rPr>
          <w:rFonts w:ascii="Century Schoolbook" w:hAnsi="Century Schoolbook"/>
        </w:rPr>
        <w:t xml:space="preserve"> letter</w:t>
      </w:r>
      <w:r w:rsidRPr="005A144C" w:rsidR="00C31731">
        <w:rPr>
          <w:rFonts w:ascii="Century Schoolbook" w:hAnsi="Century Schoolbook"/>
        </w:rPr>
        <w:t>)</w:t>
      </w:r>
      <w:r w:rsidRPr="005A144C" w:rsidR="00C32F2A">
        <w:rPr>
          <w:rFonts w:ascii="Century Schoolbook" w:hAnsi="Century Schoolbook"/>
        </w:rPr>
        <w:t xml:space="preserve">. </w:t>
      </w:r>
      <w:r w:rsidRPr="005A144C" w:rsidR="00CA249F">
        <w:rPr>
          <w:rFonts w:ascii="Century Schoolbook" w:hAnsi="Century Schoolbook"/>
        </w:rPr>
        <w:t xml:space="preserve"> </w:t>
      </w:r>
      <w:r w:rsidRPr="005A144C" w:rsidR="00B12EB5">
        <w:rPr>
          <w:rFonts w:ascii="Century Schoolbook" w:hAnsi="Century Schoolbook"/>
        </w:rPr>
        <w:t>The letter</w:t>
      </w:r>
      <w:r w:rsidRPr="005A144C" w:rsidR="00CA249F">
        <w:rPr>
          <w:rFonts w:ascii="Century Schoolbook" w:hAnsi="Century Schoolbook"/>
        </w:rPr>
        <w:t xml:space="preserve"> stated that Doskocz owed $830.73</w:t>
      </w:r>
      <w:r w:rsidRPr="005A144C" w:rsidR="0000101A">
        <w:rPr>
          <w:rFonts w:ascii="Century Schoolbook" w:hAnsi="Century Schoolbook"/>
        </w:rPr>
        <w:t>,</w:t>
      </w:r>
      <w:r w:rsidRPr="005A144C" w:rsidR="00CA249F">
        <w:rPr>
          <w:rFonts w:ascii="Century Schoolbook" w:hAnsi="Century Schoolbook"/>
        </w:rPr>
        <w:t xml:space="preserve"> and that if payment was not received, ALS “will record a Notice of Default.” </w:t>
      </w:r>
      <w:r w:rsidRPr="005A144C" w:rsidR="00556D8A">
        <w:rPr>
          <w:rFonts w:ascii="Century Schoolbook" w:hAnsi="Century Schoolbook"/>
        </w:rPr>
        <w:t xml:space="preserve"> ALS eventually closed the collection account and billed Danville Green for $425 in collection fees and costs</w:t>
      </w:r>
      <w:r w:rsidRPr="005A144C" w:rsidR="00E84B8D">
        <w:rPr>
          <w:rFonts w:ascii="Century Schoolbook" w:hAnsi="Century Schoolbook"/>
        </w:rPr>
        <w:t>, which Danville Green paid</w:t>
      </w:r>
      <w:r w:rsidRPr="005A144C" w:rsidR="00556D8A">
        <w:rPr>
          <w:rFonts w:ascii="Century Schoolbook" w:hAnsi="Century Schoolbook"/>
        </w:rPr>
        <w:t>.</w:t>
      </w:r>
    </w:p>
    <w:p w:rsidR="002909F5" w:rsidRPr="005A144C" w:rsidP="002E22D7" w14:paraId="53063A25" w14:textId="4CCFC129">
      <w:pPr>
        <w:spacing w:line="360" w:lineRule="auto"/>
        <w:rPr>
          <w:rFonts w:ascii="Century Schoolbook" w:hAnsi="Century Schoolbook"/>
          <w:b/>
          <w:bCs/>
          <w:i/>
          <w:iCs/>
        </w:rPr>
      </w:pPr>
      <w:r w:rsidRPr="005A144C">
        <w:rPr>
          <w:rFonts w:ascii="Century Schoolbook" w:hAnsi="Century Schoolbook"/>
          <w:b/>
          <w:bCs/>
          <w:i/>
          <w:iCs/>
        </w:rPr>
        <w:t xml:space="preserve">B.  </w:t>
      </w:r>
      <w:r w:rsidRPr="005A144C" w:rsidR="00382B43">
        <w:rPr>
          <w:rFonts w:ascii="Century Schoolbook" w:hAnsi="Century Schoolbook"/>
          <w:b/>
          <w:bCs/>
          <w:i/>
          <w:iCs/>
        </w:rPr>
        <w:t xml:space="preserve">Filing </w:t>
      </w:r>
      <w:r w:rsidRPr="005A144C" w:rsidR="004D2847">
        <w:rPr>
          <w:rFonts w:ascii="Century Schoolbook" w:hAnsi="Century Schoolbook"/>
          <w:b/>
          <w:bCs/>
          <w:i/>
          <w:iCs/>
        </w:rPr>
        <w:t>in</w:t>
      </w:r>
      <w:r w:rsidRPr="005A144C">
        <w:rPr>
          <w:rFonts w:ascii="Century Schoolbook" w:hAnsi="Century Schoolbook"/>
          <w:b/>
          <w:bCs/>
          <w:i/>
          <w:iCs/>
        </w:rPr>
        <w:t xml:space="preserve"> Federal </w:t>
      </w:r>
      <w:r w:rsidRPr="005A144C" w:rsidR="00382B43">
        <w:rPr>
          <w:rFonts w:ascii="Century Schoolbook" w:hAnsi="Century Schoolbook"/>
          <w:b/>
          <w:bCs/>
          <w:i/>
          <w:iCs/>
        </w:rPr>
        <w:t>Court</w:t>
      </w:r>
    </w:p>
    <w:p w:rsidR="00620689" w:rsidRPr="005A144C" w:rsidP="002E22D7" w14:paraId="221A022C" w14:textId="10342C31">
      <w:pPr>
        <w:spacing w:line="360" w:lineRule="auto"/>
        <w:rPr>
          <w:rFonts w:ascii="Century Schoolbook" w:hAnsi="Century Schoolbook"/>
        </w:rPr>
      </w:pPr>
      <w:r w:rsidRPr="005A144C">
        <w:rPr>
          <w:rFonts w:ascii="Century Schoolbook" w:hAnsi="Century Schoolbook"/>
        </w:rPr>
        <w:tab/>
      </w:r>
      <w:r w:rsidRPr="005A144C" w:rsidR="00F71C2B">
        <w:rPr>
          <w:rFonts w:ascii="Century Schoolbook" w:hAnsi="Century Schoolbook"/>
        </w:rPr>
        <w:t xml:space="preserve">Doskocz </w:t>
      </w:r>
      <w:r w:rsidRPr="005A144C" w:rsidR="00F07BCC">
        <w:rPr>
          <w:rFonts w:ascii="Century Schoolbook" w:hAnsi="Century Schoolbook"/>
        </w:rPr>
        <w:t>filed a class action in federal court against ALS</w:t>
      </w:r>
      <w:r w:rsidRPr="005A144C" w:rsidR="00ED52A3">
        <w:rPr>
          <w:rFonts w:ascii="Century Schoolbook" w:hAnsi="Century Schoolbook"/>
        </w:rPr>
        <w:t xml:space="preserve"> in 2015</w:t>
      </w:r>
      <w:r w:rsidRPr="005A144C" w:rsidR="00CE5530">
        <w:rPr>
          <w:rFonts w:ascii="Century Schoolbook" w:hAnsi="Century Schoolbook"/>
        </w:rPr>
        <w:t xml:space="preserve">, alleging </w:t>
      </w:r>
      <w:r w:rsidRPr="005A144C" w:rsidR="00095192">
        <w:rPr>
          <w:rFonts w:ascii="Century Schoolbook" w:hAnsi="Century Schoolbook"/>
        </w:rPr>
        <w:t>its</w:t>
      </w:r>
      <w:r w:rsidRPr="005A144C" w:rsidR="00CE5530">
        <w:rPr>
          <w:rFonts w:ascii="Century Schoolbook" w:hAnsi="Century Schoolbook"/>
        </w:rPr>
        <w:t xml:space="preserve"> collection practices violate the FDCPA and thus </w:t>
      </w:r>
      <w:r w:rsidRPr="005A144C" w:rsidR="001B515F">
        <w:rPr>
          <w:rFonts w:ascii="Century Schoolbook" w:hAnsi="Century Schoolbook"/>
        </w:rPr>
        <w:t>constitute</w:t>
      </w:r>
      <w:r w:rsidRPr="005A144C" w:rsidR="00CE5530">
        <w:rPr>
          <w:rFonts w:ascii="Century Schoolbook" w:hAnsi="Century Schoolbook"/>
        </w:rPr>
        <w:t xml:space="preserve"> unlawful business practices under the UCL</w:t>
      </w:r>
      <w:r w:rsidRPr="005A144C" w:rsidR="00F07BCC">
        <w:rPr>
          <w:rFonts w:ascii="Century Schoolbook" w:hAnsi="Century Schoolbook"/>
        </w:rPr>
        <w:t xml:space="preserve">. </w:t>
      </w:r>
      <w:r w:rsidRPr="005A144C" w:rsidR="007B4BBE">
        <w:rPr>
          <w:rFonts w:ascii="Century Schoolbook" w:hAnsi="Century Schoolbook"/>
        </w:rPr>
        <w:t xml:space="preserve"> </w:t>
      </w:r>
      <w:r w:rsidRPr="005A144C" w:rsidR="00B25861">
        <w:rPr>
          <w:rFonts w:ascii="Century Schoolbook" w:hAnsi="Century Schoolbook"/>
        </w:rPr>
        <w:t xml:space="preserve">ALS moved for summary judgment on </w:t>
      </w:r>
      <w:r w:rsidRPr="005A144C" w:rsidR="00D934C2">
        <w:rPr>
          <w:rFonts w:ascii="Century Schoolbook" w:hAnsi="Century Schoolbook"/>
        </w:rPr>
        <w:t>various grounds</w:t>
      </w:r>
      <w:r w:rsidRPr="005A144C" w:rsidR="00B25861">
        <w:rPr>
          <w:rFonts w:ascii="Century Schoolbook" w:hAnsi="Century Schoolbook"/>
        </w:rPr>
        <w:t xml:space="preserve">, including </w:t>
      </w:r>
      <w:r w:rsidRPr="005A144C" w:rsidR="00D934C2">
        <w:rPr>
          <w:rFonts w:ascii="Century Schoolbook" w:hAnsi="Century Schoolbook"/>
        </w:rPr>
        <w:t xml:space="preserve">that it </w:t>
      </w:r>
      <w:r w:rsidRPr="005A144C" w:rsidR="009B030D">
        <w:rPr>
          <w:rFonts w:ascii="Century Schoolbook" w:hAnsi="Century Schoolbook"/>
        </w:rPr>
        <w:t>had complied with the FDCPA because</w:t>
      </w:r>
      <w:r w:rsidRPr="005A144C" w:rsidR="00D934C2">
        <w:rPr>
          <w:rFonts w:ascii="Century Schoolbook" w:hAnsi="Century Schoolbook"/>
        </w:rPr>
        <w:t xml:space="preserve"> Doskocz waive</w:t>
      </w:r>
      <w:r w:rsidRPr="005A144C" w:rsidR="009B030D">
        <w:rPr>
          <w:rFonts w:ascii="Century Schoolbook" w:hAnsi="Century Schoolbook"/>
        </w:rPr>
        <w:t>d section 5655(a)</w:t>
      </w:r>
      <w:r w:rsidRPr="005A144C" w:rsidR="00B25861">
        <w:rPr>
          <w:rFonts w:ascii="Century Schoolbook" w:hAnsi="Century Schoolbook"/>
        </w:rPr>
        <w:t xml:space="preserve">. </w:t>
      </w:r>
      <w:r w:rsidRPr="005A144C" w:rsidR="00A5275E">
        <w:rPr>
          <w:rFonts w:ascii="Century Schoolbook" w:hAnsi="Century Schoolbook"/>
        </w:rPr>
        <w:t xml:space="preserve"> </w:t>
      </w:r>
      <w:r w:rsidRPr="005A144C" w:rsidR="00B04B8F">
        <w:rPr>
          <w:rFonts w:ascii="Century Schoolbook" w:hAnsi="Century Schoolbook"/>
        </w:rPr>
        <w:t xml:space="preserve">The federal court </w:t>
      </w:r>
      <w:r w:rsidRPr="005A144C" w:rsidR="006D2C6A">
        <w:rPr>
          <w:rFonts w:ascii="Century Schoolbook" w:hAnsi="Century Schoolbook"/>
        </w:rPr>
        <w:t>rejected that argument,</w:t>
      </w:r>
      <w:r w:rsidRPr="005A144C" w:rsidR="00E045D1">
        <w:rPr>
          <w:rFonts w:ascii="Century Schoolbook" w:hAnsi="Century Schoolbook"/>
        </w:rPr>
        <w:t xml:space="preserve"> </w:t>
      </w:r>
      <w:r w:rsidRPr="005A144C" w:rsidR="00A66F15">
        <w:rPr>
          <w:rFonts w:ascii="Century Schoolbook" w:hAnsi="Century Schoolbook"/>
        </w:rPr>
        <w:t>concluding</w:t>
      </w:r>
      <w:r w:rsidRPr="005A144C" w:rsidR="00B04B8F">
        <w:rPr>
          <w:rFonts w:ascii="Century Schoolbook" w:hAnsi="Century Schoolbook"/>
        </w:rPr>
        <w:t xml:space="preserve"> the waiver</w:t>
      </w:r>
      <w:r w:rsidRPr="005A144C" w:rsidR="00374CB9">
        <w:rPr>
          <w:rFonts w:ascii="Century Schoolbook" w:hAnsi="Century Schoolbook"/>
        </w:rPr>
        <w:t xml:space="preserve"> was void as a matter of public policy</w:t>
      </w:r>
      <w:r w:rsidRPr="005A144C" w:rsidR="00A5275E">
        <w:rPr>
          <w:rFonts w:ascii="Century Schoolbook" w:hAnsi="Century Schoolbook"/>
        </w:rPr>
        <w:t xml:space="preserve">. </w:t>
      </w:r>
      <w:r w:rsidRPr="005A144C" w:rsidR="009B030D">
        <w:rPr>
          <w:rFonts w:ascii="Century Schoolbook" w:hAnsi="Century Schoolbook"/>
        </w:rPr>
        <w:t xml:space="preserve"> </w:t>
      </w:r>
      <w:r w:rsidRPr="005A144C" w:rsidR="007C3CE5">
        <w:rPr>
          <w:rFonts w:ascii="Century Schoolbook" w:hAnsi="Century Schoolbook"/>
        </w:rPr>
        <w:t>Several months after that ruling</w:t>
      </w:r>
      <w:r w:rsidRPr="005A144C" w:rsidR="004D191F">
        <w:rPr>
          <w:rFonts w:ascii="Century Schoolbook" w:hAnsi="Century Schoolbook"/>
        </w:rPr>
        <w:t>, t</w:t>
      </w:r>
      <w:r w:rsidRPr="005A144C" w:rsidR="00146566">
        <w:rPr>
          <w:rFonts w:ascii="Century Schoolbook" w:hAnsi="Century Schoolbook"/>
        </w:rPr>
        <w:t>he parties stipulated that the federal case would be dismissed and refiled in state court</w:t>
      </w:r>
      <w:r w:rsidRPr="005A144C" w:rsidR="003A3CA1">
        <w:rPr>
          <w:rFonts w:ascii="Century Schoolbook" w:hAnsi="Century Schoolbook"/>
        </w:rPr>
        <w:t>,</w:t>
      </w:r>
      <w:r w:rsidRPr="005A144C" w:rsidR="005224CC">
        <w:rPr>
          <w:rFonts w:ascii="Century Schoolbook" w:hAnsi="Century Schoolbook"/>
        </w:rPr>
        <w:t xml:space="preserve"> but subject to the federal </w:t>
      </w:r>
      <w:r w:rsidRPr="005A144C" w:rsidR="006C6A7B">
        <w:rPr>
          <w:rFonts w:ascii="Century Schoolbook" w:hAnsi="Century Schoolbook"/>
        </w:rPr>
        <w:t>judge’s</w:t>
      </w:r>
      <w:r w:rsidRPr="005A144C" w:rsidR="005224CC">
        <w:rPr>
          <w:rFonts w:ascii="Century Schoolbook" w:hAnsi="Century Schoolbook"/>
        </w:rPr>
        <w:t xml:space="preserve"> summary judgment ruling</w:t>
      </w:r>
      <w:r w:rsidRPr="005A144C" w:rsidR="00146566">
        <w:rPr>
          <w:rFonts w:ascii="Century Schoolbook" w:hAnsi="Century Schoolbook"/>
        </w:rPr>
        <w:t>.</w:t>
      </w:r>
    </w:p>
    <w:p w:rsidR="002909F5" w:rsidRPr="005A144C" w:rsidP="002E22D7" w14:paraId="35D1B645" w14:textId="127D5C48">
      <w:pPr>
        <w:spacing w:line="360" w:lineRule="auto"/>
        <w:rPr>
          <w:rFonts w:ascii="Century Schoolbook" w:hAnsi="Century Schoolbook"/>
          <w:b/>
          <w:bCs/>
          <w:i/>
          <w:iCs/>
        </w:rPr>
      </w:pPr>
      <w:r w:rsidRPr="005A144C">
        <w:rPr>
          <w:rFonts w:ascii="Century Schoolbook" w:hAnsi="Century Schoolbook"/>
          <w:b/>
          <w:bCs/>
          <w:i/>
          <w:iCs/>
        </w:rPr>
        <w:t xml:space="preserve">C.  </w:t>
      </w:r>
      <w:r w:rsidRPr="005A144C" w:rsidR="004A20A8">
        <w:rPr>
          <w:rFonts w:ascii="Century Schoolbook" w:hAnsi="Century Schoolbook"/>
          <w:b/>
          <w:bCs/>
          <w:i/>
          <w:iCs/>
        </w:rPr>
        <w:t>Re</w:t>
      </w:r>
      <w:r w:rsidRPr="005A144C" w:rsidR="00F97817">
        <w:rPr>
          <w:rFonts w:ascii="Century Schoolbook" w:hAnsi="Century Schoolbook"/>
          <w:b/>
          <w:bCs/>
          <w:i/>
          <w:iCs/>
        </w:rPr>
        <w:t>f</w:t>
      </w:r>
      <w:r w:rsidRPr="005A144C" w:rsidR="00382B43">
        <w:rPr>
          <w:rFonts w:ascii="Century Schoolbook" w:hAnsi="Century Schoolbook"/>
          <w:b/>
          <w:bCs/>
          <w:i/>
          <w:iCs/>
        </w:rPr>
        <w:t xml:space="preserve">iling </w:t>
      </w:r>
      <w:r w:rsidRPr="005A144C" w:rsidR="004A20A8">
        <w:rPr>
          <w:rFonts w:ascii="Century Schoolbook" w:hAnsi="Century Schoolbook"/>
          <w:b/>
          <w:bCs/>
          <w:i/>
          <w:iCs/>
        </w:rPr>
        <w:t>in</w:t>
      </w:r>
      <w:r w:rsidRPr="005A144C" w:rsidR="00382B43">
        <w:rPr>
          <w:rFonts w:ascii="Century Schoolbook" w:hAnsi="Century Schoolbook"/>
          <w:b/>
          <w:bCs/>
          <w:i/>
          <w:iCs/>
        </w:rPr>
        <w:t xml:space="preserve"> </w:t>
      </w:r>
      <w:r w:rsidRPr="005A144C">
        <w:rPr>
          <w:rFonts w:ascii="Century Schoolbook" w:hAnsi="Century Schoolbook"/>
          <w:b/>
          <w:bCs/>
          <w:i/>
          <w:iCs/>
        </w:rPr>
        <w:t>State Court</w:t>
      </w:r>
    </w:p>
    <w:p w:rsidR="00775404" w:rsidRPr="005A144C" w:rsidP="002E22D7" w14:paraId="63BDE477" w14:textId="3C900DCC">
      <w:pPr>
        <w:spacing w:line="360" w:lineRule="auto"/>
        <w:rPr>
          <w:rFonts w:ascii="Century Schoolbook" w:hAnsi="Century Schoolbook"/>
        </w:rPr>
      </w:pPr>
      <w:r w:rsidRPr="005A144C">
        <w:rPr>
          <w:rFonts w:ascii="Century Schoolbook" w:hAnsi="Century Schoolbook"/>
        </w:rPr>
        <w:tab/>
        <w:t xml:space="preserve">Doskocz filed </w:t>
      </w:r>
      <w:r w:rsidRPr="005A144C" w:rsidR="007634A8">
        <w:rPr>
          <w:rFonts w:ascii="Century Schoolbook" w:hAnsi="Century Schoolbook"/>
        </w:rPr>
        <w:t>her</w:t>
      </w:r>
      <w:r w:rsidRPr="005A144C">
        <w:rPr>
          <w:rFonts w:ascii="Century Schoolbook" w:hAnsi="Century Schoolbook"/>
        </w:rPr>
        <w:t xml:space="preserve"> state court</w:t>
      </w:r>
      <w:r w:rsidRPr="005A144C" w:rsidR="0026177E">
        <w:rPr>
          <w:rFonts w:ascii="Century Schoolbook" w:hAnsi="Century Schoolbook"/>
        </w:rPr>
        <w:t xml:space="preserve"> complaint</w:t>
      </w:r>
      <w:r w:rsidRPr="005A144C" w:rsidR="005E4F2C">
        <w:rPr>
          <w:rFonts w:ascii="Century Schoolbook" w:hAnsi="Century Schoolbook"/>
        </w:rPr>
        <w:t xml:space="preserve"> in 2017</w:t>
      </w:r>
      <w:r w:rsidRPr="005A144C" w:rsidR="001E1452">
        <w:rPr>
          <w:rFonts w:ascii="Century Schoolbook" w:hAnsi="Century Schoolbook"/>
        </w:rPr>
        <w:t>,</w:t>
      </w:r>
      <w:r w:rsidRPr="005A144C" w:rsidR="00B6364D">
        <w:rPr>
          <w:rFonts w:ascii="Century Schoolbook" w:hAnsi="Century Schoolbook"/>
        </w:rPr>
        <w:t xml:space="preserve"> </w:t>
      </w:r>
      <w:r w:rsidRPr="005A144C" w:rsidR="003A3CA1">
        <w:rPr>
          <w:rFonts w:ascii="Century Schoolbook" w:hAnsi="Century Schoolbook"/>
        </w:rPr>
        <w:t>and t</w:t>
      </w:r>
      <w:r w:rsidRPr="005A144C" w:rsidR="005E4F2C">
        <w:rPr>
          <w:rFonts w:ascii="Century Schoolbook" w:hAnsi="Century Schoolbook"/>
        </w:rPr>
        <w:t>he court granted h</w:t>
      </w:r>
      <w:r w:rsidRPr="005A144C" w:rsidR="00E84B8D">
        <w:rPr>
          <w:rFonts w:ascii="Century Schoolbook" w:hAnsi="Century Schoolbook"/>
        </w:rPr>
        <w:t xml:space="preserve">er motion </w:t>
      </w:r>
      <w:r w:rsidRPr="005A144C" w:rsidR="0015326C">
        <w:rPr>
          <w:rFonts w:ascii="Century Schoolbook" w:hAnsi="Century Schoolbook"/>
        </w:rPr>
        <w:t>for class certification</w:t>
      </w:r>
      <w:r w:rsidRPr="005A144C" w:rsidR="005E4F2C">
        <w:rPr>
          <w:rFonts w:ascii="Century Schoolbook" w:hAnsi="Century Schoolbook"/>
        </w:rPr>
        <w:t xml:space="preserve"> in 2018</w:t>
      </w:r>
      <w:r w:rsidRPr="005A144C" w:rsidR="00E84B8D">
        <w:rPr>
          <w:rFonts w:ascii="Century Schoolbook" w:hAnsi="Century Schoolbook"/>
        </w:rPr>
        <w:t xml:space="preserve">. </w:t>
      </w:r>
      <w:r w:rsidRPr="005A144C" w:rsidR="00B6364D">
        <w:rPr>
          <w:rFonts w:ascii="Century Schoolbook" w:hAnsi="Century Schoolbook"/>
        </w:rPr>
        <w:t xml:space="preserve"> </w:t>
      </w:r>
      <w:r w:rsidRPr="005A144C" w:rsidR="00FF5B3E">
        <w:rPr>
          <w:rFonts w:ascii="Century Schoolbook" w:hAnsi="Century Schoolbook"/>
        </w:rPr>
        <w:t xml:space="preserve">Then, in 2020, the court </w:t>
      </w:r>
      <w:r w:rsidRPr="005A144C" w:rsidR="005E4F2C">
        <w:rPr>
          <w:rFonts w:ascii="Century Schoolbook" w:hAnsi="Century Schoolbook"/>
        </w:rPr>
        <w:t xml:space="preserve">granted </w:t>
      </w:r>
      <w:r w:rsidRPr="005A144C" w:rsidR="00BC4DB4">
        <w:rPr>
          <w:rFonts w:ascii="Century Schoolbook" w:hAnsi="Century Schoolbook"/>
        </w:rPr>
        <w:t xml:space="preserve">Doskocz’s </w:t>
      </w:r>
      <w:r w:rsidRPr="005A144C">
        <w:rPr>
          <w:rFonts w:ascii="Century Schoolbook" w:hAnsi="Century Schoolbook"/>
        </w:rPr>
        <w:t>request</w:t>
      </w:r>
      <w:r w:rsidRPr="005A144C" w:rsidR="00BC4DB4">
        <w:rPr>
          <w:rFonts w:ascii="Century Schoolbook" w:hAnsi="Century Schoolbook"/>
        </w:rPr>
        <w:t xml:space="preserve"> for</w:t>
      </w:r>
      <w:r w:rsidRPr="005A144C">
        <w:rPr>
          <w:rFonts w:ascii="Century Schoolbook" w:hAnsi="Century Schoolbook"/>
        </w:rPr>
        <w:t xml:space="preserve"> leave to file a first amended complaint</w:t>
      </w:r>
      <w:r w:rsidRPr="005A144C" w:rsidR="00A96E0B">
        <w:rPr>
          <w:rFonts w:ascii="Century Schoolbook" w:hAnsi="Century Schoolbook"/>
        </w:rPr>
        <w:t xml:space="preserve"> </w:t>
      </w:r>
      <w:r w:rsidRPr="005A144C" w:rsidR="000039B0">
        <w:rPr>
          <w:rFonts w:ascii="Century Schoolbook" w:hAnsi="Century Schoolbook"/>
        </w:rPr>
        <w:t>to add</w:t>
      </w:r>
      <w:r w:rsidRPr="005A144C" w:rsidR="00A96E0B">
        <w:rPr>
          <w:rFonts w:ascii="Century Schoolbook" w:hAnsi="Century Schoolbook"/>
        </w:rPr>
        <w:t xml:space="preserve"> </w:t>
      </w:r>
      <w:r w:rsidRPr="005A144C" w:rsidR="007E4832">
        <w:rPr>
          <w:rFonts w:ascii="Century Schoolbook" w:hAnsi="Century Schoolbook"/>
        </w:rPr>
        <w:t>alter ego allegations against the SG defendants</w:t>
      </w:r>
      <w:r w:rsidRPr="005A144C">
        <w:rPr>
          <w:rFonts w:ascii="Century Schoolbook" w:hAnsi="Century Schoolbook"/>
        </w:rPr>
        <w:t xml:space="preserve">. </w:t>
      </w:r>
      <w:r w:rsidRPr="005A144C" w:rsidR="00286D90">
        <w:rPr>
          <w:rFonts w:ascii="Century Schoolbook" w:hAnsi="Century Schoolbook"/>
        </w:rPr>
        <w:t xml:space="preserve"> ALS </w:t>
      </w:r>
      <w:r w:rsidRPr="005A144C" w:rsidR="004041ED">
        <w:rPr>
          <w:rFonts w:ascii="Century Schoolbook" w:hAnsi="Century Schoolbook"/>
        </w:rPr>
        <w:t>moved for summary judgment</w:t>
      </w:r>
      <w:r w:rsidRPr="005A144C" w:rsidR="003C731C">
        <w:rPr>
          <w:rFonts w:ascii="Century Schoolbook" w:hAnsi="Century Schoolbook"/>
        </w:rPr>
        <w:t xml:space="preserve"> shortly thereafter</w:t>
      </w:r>
      <w:r w:rsidRPr="005A144C" w:rsidR="004041ED">
        <w:rPr>
          <w:rFonts w:ascii="Century Schoolbook" w:hAnsi="Century Schoolbook"/>
        </w:rPr>
        <w:t xml:space="preserve">, </w:t>
      </w:r>
      <w:r w:rsidRPr="005A144C" w:rsidR="008A02AF">
        <w:rPr>
          <w:rFonts w:ascii="Century Schoolbook" w:hAnsi="Century Schoolbook"/>
        </w:rPr>
        <w:t xml:space="preserve">renewing its argument that </w:t>
      </w:r>
      <w:r w:rsidRPr="005A144C" w:rsidR="00D4116A">
        <w:rPr>
          <w:rFonts w:ascii="Century Schoolbook" w:hAnsi="Century Schoolbook"/>
        </w:rPr>
        <w:t>Doskocz</w:t>
      </w:r>
      <w:r w:rsidRPr="005A144C" w:rsidR="00BF7264">
        <w:rPr>
          <w:rFonts w:ascii="Century Schoolbook" w:hAnsi="Century Schoolbook"/>
        </w:rPr>
        <w:t xml:space="preserve"> had</w:t>
      </w:r>
      <w:r w:rsidRPr="005A144C" w:rsidR="00D4116A">
        <w:rPr>
          <w:rFonts w:ascii="Century Schoolbook" w:hAnsi="Century Schoolbook"/>
        </w:rPr>
        <w:t xml:space="preserve"> waived </w:t>
      </w:r>
      <w:r w:rsidRPr="005A144C" w:rsidR="008A02AF">
        <w:rPr>
          <w:rFonts w:ascii="Century Schoolbook" w:hAnsi="Century Schoolbook"/>
        </w:rPr>
        <w:t>section</w:t>
      </w:r>
      <w:r w:rsidRPr="005A144C" w:rsidR="00097D63">
        <w:rPr>
          <w:rFonts w:ascii="Century Schoolbook" w:hAnsi="Century Schoolbook"/>
        </w:rPr>
        <w:t> </w:t>
      </w:r>
      <w:r w:rsidRPr="005A144C" w:rsidR="008A02AF">
        <w:rPr>
          <w:rFonts w:ascii="Century Schoolbook" w:hAnsi="Century Schoolbook"/>
        </w:rPr>
        <w:t>5655(a)</w:t>
      </w:r>
      <w:r w:rsidRPr="005A144C" w:rsidR="0094462C">
        <w:rPr>
          <w:rFonts w:ascii="Century Schoolbook" w:hAnsi="Century Schoolbook"/>
        </w:rPr>
        <w:t>.</w:t>
      </w:r>
      <w:r w:rsidRPr="005A144C" w:rsidR="00286D90">
        <w:rPr>
          <w:rFonts w:ascii="Century Schoolbook" w:hAnsi="Century Schoolbook"/>
        </w:rPr>
        <w:t xml:space="preserve"> </w:t>
      </w:r>
      <w:r w:rsidRPr="005A144C" w:rsidR="0096776D">
        <w:rPr>
          <w:rFonts w:ascii="Century Schoolbook" w:hAnsi="Century Schoolbook"/>
        </w:rPr>
        <w:t xml:space="preserve"> The court </w:t>
      </w:r>
      <w:r w:rsidRPr="005A144C" w:rsidR="00825794">
        <w:rPr>
          <w:rFonts w:ascii="Century Schoolbook" w:hAnsi="Century Schoolbook"/>
        </w:rPr>
        <w:t xml:space="preserve">declined to reconsider the </w:t>
      </w:r>
      <w:r w:rsidRPr="005A144C" w:rsidR="00745271">
        <w:rPr>
          <w:rFonts w:ascii="Century Schoolbook" w:hAnsi="Century Schoolbook"/>
        </w:rPr>
        <w:t xml:space="preserve">federal </w:t>
      </w:r>
      <w:r w:rsidRPr="005A144C" w:rsidR="00A57BD8">
        <w:rPr>
          <w:rFonts w:ascii="Century Schoolbook" w:hAnsi="Century Schoolbook"/>
        </w:rPr>
        <w:t>judge’s</w:t>
      </w:r>
      <w:r w:rsidRPr="005A144C" w:rsidR="00745271">
        <w:rPr>
          <w:rFonts w:ascii="Century Schoolbook" w:hAnsi="Century Schoolbook"/>
        </w:rPr>
        <w:t xml:space="preserve"> ruling</w:t>
      </w:r>
      <w:r w:rsidRPr="005A144C" w:rsidR="00825794">
        <w:rPr>
          <w:rFonts w:ascii="Century Schoolbook" w:hAnsi="Century Schoolbook"/>
        </w:rPr>
        <w:t xml:space="preserve"> and </w:t>
      </w:r>
      <w:r w:rsidRPr="005A144C" w:rsidR="0096776D">
        <w:rPr>
          <w:rFonts w:ascii="Century Schoolbook" w:hAnsi="Century Schoolbook"/>
        </w:rPr>
        <w:t>denied the motion.</w:t>
      </w:r>
    </w:p>
    <w:p w:rsidR="00900DF3" w:rsidRPr="005A144C" w:rsidP="002E22D7" w14:paraId="54638CBF" w14:textId="1BD9B026">
      <w:pPr>
        <w:spacing w:line="360" w:lineRule="auto"/>
        <w:rPr>
          <w:rFonts w:ascii="Century Schoolbook" w:hAnsi="Century Schoolbook"/>
          <w:b/>
          <w:bCs/>
          <w:i/>
          <w:iCs/>
        </w:rPr>
      </w:pPr>
      <w:r w:rsidRPr="005A144C">
        <w:rPr>
          <w:rFonts w:ascii="Century Schoolbook" w:hAnsi="Century Schoolbook"/>
          <w:b/>
          <w:bCs/>
          <w:i/>
          <w:iCs/>
        </w:rPr>
        <w:t>D.  Bench Trial</w:t>
      </w:r>
    </w:p>
    <w:p w:rsidR="006A15EF" w:rsidRPr="005A144C" w:rsidP="002E22D7" w14:paraId="46AFB14E" w14:textId="7D6E1536">
      <w:pPr>
        <w:spacing w:line="360" w:lineRule="auto"/>
        <w:rPr>
          <w:rFonts w:ascii="Century Schoolbook" w:hAnsi="Century Schoolbook"/>
        </w:rPr>
      </w:pPr>
      <w:r w:rsidRPr="005A144C">
        <w:rPr>
          <w:rFonts w:ascii="Century Schoolbook" w:hAnsi="Century Schoolbook"/>
        </w:rPr>
        <w:tab/>
        <w:t>In 2022, t</w:t>
      </w:r>
      <w:r w:rsidRPr="005A144C" w:rsidR="007C3BDA">
        <w:rPr>
          <w:rFonts w:ascii="Century Schoolbook" w:hAnsi="Century Schoolbook"/>
        </w:rPr>
        <w:t xml:space="preserve">he court granted Doskocz’s motion to bifurcate and proceed first </w:t>
      </w:r>
      <w:r w:rsidRPr="005A144C" w:rsidR="003A3CA1">
        <w:rPr>
          <w:rFonts w:ascii="Century Schoolbook" w:hAnsi="Century Schoolbook"/>
        </w:rPr>
        <w:t xml:space="preserve">by bench trial </w:t>
      </w:r>
      <w:r w:rsidRPr="005A144C" w:rsidR="007C3BDA">
        <w:rPr>
          <w:rFonts w:ascii="Century Schoolbook" w:hAnsi="Century Schoolbook"/>
        </w:rPr>
        <w:t xml:space="preserve">on her equitable UCL cause of action.  </w:t>
      </w:r>
      <w:r w:rsidRPr="005A144C" w:rsidR="00271368">
        <w:rPr>
          <w:rFonts w:ascii="Century Schoolbook" w:hAnsi="Century Schoolbook"/>
        </w:rPr>
        <w:t>At</w:t>
      </w:r>
      <w:r w:rsidRPr="005A144C" w:rsidR="00654D77">
        <w:rPr>
          <w:rFonts w:ascii="Century Schoolbook" w:hAnsi="Century Schoolbook"/>
        </w:rPr>
        <w:t xml:space="preserve"> trial, </w:t>
      </w:r>
      <w:r w:rsidRPr="005A144C">
        <w:rPr>
          <w:rFonts w:ascii="Century Schoolbook" w:hAnsi="Century Schoolbook"/>
        </w:rPr>
        <w:t xml:space="preserve">Doskocz </w:t>
      </w:r>
      <w:r w:rsidRPr="005A144C" w:rsidR="004B379C">
        <w:rPr>
          <w:rFonts w:ascii="Century Schoolbook" w:hAnsi="Century Schoolbook"/>
        </w:rPr>
        <w:t>presented</w:t>
      </w:r>
      <w:r w:rsidRPr="005A144C" w:rsidR="008728F3">
        <w:rPr>
          <w:rFonts w:ascii="Century Schoolbook" w:hAnsi="Century Schoolbook"/>
        </w:rPr>
        <w:t xml:space="preserve"> two underlying violations of the FDCPA to support her UCL cause of action</w:t>
      </w:r>
      <w:r w:rsidRPr="005A144C">
        <w:rPr>
          <w:rFonts w:ascii="Century Schoolbook" w:hAnsi="Century Schoolbook"/>
        </w:rPr>
        <w:t xml:space="preserve">:  (1) </w:t>
      </w:r>
      <w:r w:rsidRPr="005A144C" w:rsidR="004B379C">
        <w:rPr>
          <w:rFonts w:ascii="Century Schoolbook" w:hAnsi="Century Schoolbook"/>
        </w:rPr>
        <w:t>ALS’s application of homeowner payments</w:t>
      </w:r>
      <w:r w:rsidRPr="005A144C" w:rsidR="00087FE0">
        <w:rPr>
          <w:rFonts w:ascii="Century Schoolbook" w:hAnsi="Century Schoolbook"/>
        </w:rPr>
        <w:t xml:space="preserve"> </w:t>
      </w:r>
      <w:r w:rsidRPr="005A144C" w:rsidR="004B379C">
        <w:rPr>
          <w:rFonts w:ascii="Century Schoolbook" w:hAnsi="Century Schoolbook"/>
        </w:rPr>
        <w:t>contrary to section</w:t>
      </w:r>
      <w:r w:rsidRPr="005A144C" w:rsidR="00097D63">
        <w:rPr>
          <w:rFonts w:ascii="Century Schoolbook" w:hAnsi="Century Schoolbook"/>
        </w:rPr>
        <w:t> </w:t>
      </w:r>
      <w:r w:rsidRPr="005A144C" w:rsidR="004B379C">
        <w:rPr>
          <w:rFonts w:ascii="Century Schoolbook" w:hAnsi="Century Schoolbook"/>
        </w:rPr>
        <w:t>5655(a); and (2)</w:t>
      </w:r>
      <w:r w:rsidRPr="005A144C" w:rsidR="00781C7B">
        <w:rPr>
          <w:rFonts w:ascii="Century Schoolbook" w:hAnsi="Century Schoolbook"/>
        </w:rPr>
        <w:t xml:space="preserve"> ALS’s </w:t>
      </w:r>
      <w:r w:rsidRPr="005A144C" w:rsidR="00135FC3">
        <w:rPr>
          <w:rFonts w:ascii="Century Schoolbook" w:hAnsi="Century Schoolbook"/>
        </w:rPr>
        <w:t xml:space="preserve">pre-lien and pre-NOD letters </w:t>
      </w:r>
      <w:r w:rsidRPr="005A144C" w:rsidR="00A8568F">
        <w:rPr>
          <w:rFonts w:ascii="Century Schoolbook" w:hAnsi="Century Schoolbook"/>
        </w:rPr>
        <w:t xml:space="preserve">as </w:t>
      </w:r>
      <w:r w:rsidRPr="005A144C" w:rsidR="00A4706B">
        <w:rPr>
          <w:rFonts w:ascii="Century Schoolbook" w:hAnsi="Century Schoolbook"/>
        </w:rPr>
        <w:t xml:space="preserve">improper </w:t>
      </w:r>
      <w:r w:rsidRPr="005A144C" w:rsidR="00A8568F">
        <w:rPr>
          <w:rFonts w:ascii="Century Schoolbook" w:hAnsi="Century Schoolbook"/>
        </w:rPr>
        <w:t xml:space="preserve">threats of foreclosure </w:t>
      </w:r>
      <w:r w:rsidRPr="005A144C" w:rsidR="0028162F">
        <w:rPr>
          <w:rFonts w:ascii="Century Schoolbook" w:hAnsi="Century Schoolbook"/>
        </w:rPr>
        <w:t xml:space="preserve">contrary to </w:t>
      </w:r>
      <w:r w:rsidRPr="005A144C" w:rsidR="003544EA">
        <w:rPr>
          <w:rFonts w:ascii="Century Schoolbook" w:hAnsi="Century Schoolbook"/>
        </w:rPr>
        <w:t>Civil Code</w:t>
      </w:r>
      <w:r>
        <w:rPr>
          <w:rStyle w:val="FootnoteReference"/>
          <w:rFonts w:ascii="Century Schoolbook" w:hAnsi="Century Schoolbook"/>
        </w:rPr>
        <w:footnoteReference w:id="4"/>
      </w:r>
      <w:r w:rsidRPr="005A144C" w:rsidR="003544EA">
        <w:rPr>
          <w:rFonts w:ascii="Century Schoolbook" w:hAnsi="Century Schoolbook"/>
        </w:rPr>
        <w:t xml:space="preserve"> </w:t>
      </w:r>
      <w:r w:rsidRPr="005A144C" w:rsidR="0028162F">
        <w:rPr>
          <w:rFonts w:ascii="Century Schoolbook" w:hAnsi="Century Schoolbook"/>
        </w:rPr>
        <w:t xml:space="preserve">section </w:t>
      </w:r>
      <w:r w:rsidRPr="005A144C" w:rsidR="00FB19EE">
        <w:rPr>
          <w:rFonts w:ascii="Century Schoolbook" w:hAnsi="Century Schoolbook"/>
        </w:rPr>
        <w:t>5720</w:t>
      </w:r>
      <w:r w:rsidRPr="005A144C" w:rsidR="00A8568F">
        <w:rPr>
          <w:rFonts w:ascii="Century Schoolbook" w:hAnsi="Century Schoolbook"/>
        </w:rPr>
        <w:t>, which limits collection</w:t>
      </w:r>
      <w:r w:rsidRPr="005A144C" w:rsidR="00EE6F2B">
        <w:rPr>
          <w:rFonts w:ascii="Century Schoolbook" w:hAnsi="Century Schoolbook"/>
        </w:rPr>
        <w:t xml:space="preserve"> of delinquent assessments</w:t>
      </w:r>
      <w:r w:rsidRPr="005A144C" w:rsidR="00A8568F">
        <w:rPr>
          <w:rFonts w:ascii="Century Schoolbook" w:hAnsi="Century Schoolbook"/>
        </w:rPr>
        <w:t xml:space="preserve"> through foreclosure until </w:t>
      </w:r>
      <w:r w:rsidRPr="005A144C" w:rsidR="00E929B7">
        <w:rPr>
          <w:rFonts w:ascii="Century Schoolbook" w:hAnsi="Century Schoolbook"/>
        </w:rPr>
        <w:t>the amount owed</w:t>
      </w:r>
      <w:r w:rsidRPr="005A144C" w:rsidR="00A8568F">
        <w:rPr>
          <w:rFonts w:ascii="Century Schoolbook" w:hAnsi="Century Schoolbook"/>
        </w:rPr>
        <w:t xml:space="preserve"> is at least $1,800 or </w:t>
      </w:r>
      <w:r w:rsidRPr="005A144C" w:rsidR="0000101A">
        <w:rPr>
          <w:rFonts w:ascii="Century Schoolbook" w:hAnsi="Century Schoolbook"/>
        </w:rPr>
        <w:t xml:space="preserve">more than </w:t>
      </w:r>
      <w:r w:rsidRPr="005A144C" w:rsidR="00A8568F">
        <w:rPr>
          <w:rFonts w:ascii="Century Schoolbook" w:hAnsi="Century Schoolbook"/>
        </w:rPr>
        <w:t>12</w:t>
      </w:r>
      <w:r w:rsidRPr="005A144C" w:rsidR="00E31E46">
        <w:rPr>
          <w:rFonts w:ascii="Century Schoolbook" w:hAnsi="Century Schoolbook"/>
        </w:rPr>
        <w:t xml:space="preserve"> </w:t>
      </w:r>
      <w:r w:rsidRPr="005A144C" w:rsidR="00A8568F">
        <w:rPr>
          <w:rFonts w:ascii="Century Schoolbook" w:hAnsi="Century Schoolbook"/>
        </w:rPr>
        <w:t>months delinquent</w:t>
      </w:r>
      <w:r w:rsidRPr="005A144C" w:rsidR="00054315">
        <w:rPr>
          <w:rFonts w:ascii="Century Schoolbook" w:hAnsi="Century Schoolbook"/>
        </w:rPr>
        <w:t>.</w:t>
      </w:r>
    </w:p>
    <w:p w:rsidR="00402D1B" w:rsidRPr="005A144C" w:rsidP="002E22D7" w14:paraId="49B43BA8" w14:textId="5348D82F">
      <w:pPr>
        <w:spacing w:line="360" w:lineRule="auto"/>
        <w:rPr>
          <w:rFonts w:ascii="Century Schoolbook" w:hAnsi="Century Schoolbook"/>
          <w:b/>
          <w:bCs/>
          <w:i/>
          <w:iCs/>
        </w:rPr>
      </w:pPr>
      <w:r w:rsidRPr="005A144C">
        <w:rPr>
          <w:rFonts w:ascii="Century Schoolbook" w:hAnsi="Century Schoolbook"/>
          <w:b/>
          <w:bCs/>
          <w:i/>
          <w:iCs/>
        </w:rPr>
        <w:t>E.  Judgment</w:t>
      </w:r>
    </w:p>
    <w:p w:rsidR="00714029" w:rsidRPr="005A144C" w:rsidP="002E22D7" w14:paraId="03A1D029" w14:textId="0330AB1D">
      <w:pPr>
        <w:spacing w:line="360" w:lineRule="auto"/>
        <w:rPr>
          <w:rFonts w:ascii="Century Schoolbook" w:hAnsi="Century Schoolbook"/>
        </w:rPr>
      </w:pPr>
      <w:r w:rsidRPr="005A144C">
        <w:rPr>
          <w:rFonts w:ascii="Century Schoolbook" w:hAnsi="Century Schoolbook"/>
        </w:rPr>
        <w:tab/>
        <w:t>In its statement of decision, t</w:t>
      </w:r>
      <w:r w:rsidRPr="005A144C" w:rsidR="007C3BDA">
        <w:rPr>
          <w:rFonts w:ascii="Century Schoolbook" w:hAnsi="Century Schoolbook"/>
        </w:rPr>
        <w:t xml:space="preserve">he court </w:t>
      </w:r>
      <w:r w:rsidRPr="005A144C" w:rsidR="00CD1D2E">
        <w:rPr>
          <w:rFonts w:ascii="Century Schoolbook" w:hAnsi="Century Schoolbook"/>
        </w:rPr>
        <w:t>concluded</w:t>
      </w:r>
      <w:r w:rsidRPr="005A144C" w:rsidR="007C3BDA">
        <w:rPr>
          <w:rFonts w:ascii="Century Schoolbook" w:hAnsi="Century Schoolbook"/>
        </w:rPr>
        <w:t xml:space="preserve"> that ALS had violated the FDCPA</w:t>
      </w:r>
      <w:r w:rsidRPr="005A144C">
        <w:rPr>
          <w:rFonts w:ascii="Century Schoolbook" w:hAnsi="Century Schoolbook"/>
        </w:rPr>
        <w:t xml:space="preserve"> in </w:t>
      </w:r>
      <w:r w:rsidRPr="005A144C" w:rsidR="003A3CA1">
        <w:rPr>
          <w:rFonts w:ascii="Century Schoolbook" w:hAnsi="Century Schoolbook"/>
        </w:rPr>
        <w:t>both</w:t>
      </w:r>
      <w:r w:rsidRPr="005A144C">
        <w:rPr>
          <w:rFonts w:ascii="Century Schoolbook" w:hAnsi="Century Schoolbook"/>
        </w:rPr>
        <w:t xml:space="preserve"> respects</w:t>
      </w:r>
      <w:r w:rsidRPr="005A144C" w:rsidR="007C3BDA">
        <w:rPr>
          <w:rFonts w:ascii="Century Schoolbook" w:hAnsi="Century Schoolbook"/>
        </w:rPr>
        <w:t xml:space="preserve"> </w:t>
      </w:r>
      <w:r w:rsidRPr="005A144C" w:rsidR="003A3CA1">
        <w:rPr>
          <w:rFonts w:ascii="Century Schoolbook" w:hAnsi="Century Schoolbook"/>
        </w:rPr>
        <w:t>and</w:t>
      </w:r>
      <w:r w:rsidRPr="005A144C" w:rsidR="00AA2A47">
        <w:rPr>
          <w:rFonts w:ascii="Century Schoolbook" w:hAnsi="Century Schoolbook"/>
        </w:rPr>
        <w:t xml:space="preserve"> </w:t>
      </w:r>
      <w:r w:rsidRPr="005A144C" w:rsidR="007C3BDA">
        <w:rPr>
          <w:rFonts w:ascii="Century Schoolbook" w:hAnsi="Century Schoolbook"/>
        </w:rPr>
        <w:t xml:space="preserve">found the SG defendants </w:t>
      </w:r>
      <w:r w:rsidRPr="005A144C" w:rsidR="00925F38">
        <w:rPr>
          <w:rFonts w:ascii="Century Schoolbook" w:hAnsi="Century Schoolbook"/>
        </w:rPr>
        <w:t>were</w:t>
      </w:r>
      <w:r w:rsidRPr="005A144C" w:rsidR="007C3BDA">
        <w:rPr>
          <w:rFonts w:ascii="Century Schoolbook" w:hAnsi="Century Schoolbook"/>
        </w:rPr>
        <w:t xml:space="preserve"> alter egos of ALS. </w:t>
      </w:r>
      <w:r w:rsidRPr="005A144C" w:rsidR="00AE022D">
        <w:rPr>
          <w:rFonts w:ascii="Century Schoolbook" w:hAnsi="Century Schoolbook"/>
        </w:rPr>
        <w:t xml:space="preserve"> </w:t>
      </w:r>
      <w:r w:rsidRPr="005A144C">
        <w:rPr>
          <w:rFonts w:ascii="Century Schoolbook" w:hAnsi="Century Schoolbook"/>
        </w:rPr>
        <w:t>After the court entered its statement of decision, Doskocz elected not to proceed with the scheduled jury trial on her FDCPA cause of action and that cause of action was dismissed.</w:t>
      </w:r>
    </w:p>
    <w:p w:rsidR="00624539" w:rsidRPr="005A144C" w:rsidP="002E22D7" w14:paraId="2CBC1CB0" w14:textId="591B40D4">
      <w:pPr>
        <w:spacing w:line="360" w:lineRule="auto"/>
        <w:rPr>
          <w:rFonts w:ascii="Century Schoolbook" w:hAnsi="Century Schoolbook"/>
        </w:rPr>
      </w:pPr>
      <w:r w:rsidRPr="005A144C">
        <w:rPr>
          <w:rFonts w:ascii="Century Schoolbook" w:hAnsi="Century Schoolbook"/>
        </w:rPr>
        <w:tab/>
        <w:t>Judgment was entered in favor of Doskocz on her UCL cause of action.</w:t>
      </w:r>
      <w:r w:rsidRPr="005A144C" w:rsidR="00A5267C">
        <w:rPr>
          <w:rFonts w:ascii="Century Schoolbook" w:hAnsi="Century Schoolbook"/>
        </w:rPr>
        <w:t xml:space="preserve"> </w:t>
      </w:r>
      <w:r w:rsidRPr="005A144C" w:rsidR="00DF66F6">
        <w:rPr>
          <w:rFonts w:ascii="Century Schoolbook" w:hAnsi="Century Schoolbook"/>
        </w:rPr>
        <w:t xml:space="preserve"> ALS and the SG defendants were jointly and severally liable for</w:t>
      </w:r>
      <w:r w:rsidRPr="005A144C" w:rsidR="00A5267C">
        <w:rPr>
          <w:rFonts w:ascii="Century Schoolbook" w:hAnsi="Century Schoolbook"/>
        </w:rPr>
        <w:t xml:space="preserve"> $156,753 </w:t>
      </w:r>
      <w:r w:rsidRPr="005A144C" w:rsidR="00DF66F6">
        <w:rPr>
          <w:rFonts w:ascii="Century Schoolbook" w:hAnsi="Century Schoolbook"/>
        </w:rPr>
        <w:t xml:space="preserve">in </w:t>
      </w:r>
      <w:r w:rsidRPr="005A144C" w:rsidR="00A5267C">
        <w:rPr>
          <w:rFonts w:ascii="Century Schoolbook" w:hAnsi="Century Schoolbook"/>
        </w:rPr>
        <w:t>restitution</w:t>
      </w:r>
      <w:r w:rsidRPr="005A144C" w:rsidR="00501349">
        <w:rPr>
          <w:rFonts w:ascii="Century Schoolbook" w:hAnsi="Century Schoolbook"/>
        </w:rPr>
        <w:t xml:space="preserve"> to the class</w:t>
      </w:r>
      <w:r w:rsidRPr="005A144C" w:rsidR="00693B8C">
        <w:rPr>
          <w:rFonts w:ascii="Century Schoolbook" w:hAnsi="Century Schoolbook"/>
        </w:rPr>
        <w:t xml:space="preserve"> (calculated as fees and costs charged by ALS after </w:t>
      </w:r>
      <w:r w:rsidRPr="005A144C" w:rsidR="00675B9A">
        <w:rPr>
          <w:rFonts w:ascii="Century Schoolbook" w:hAnsi="Century Schoolbook"/>
        </w:rPr>
        <w:t xml:space="preserve">homeowner </w:t>
      </w:r>
      <w:r w:rsidRPr="005A144C" w:rsidR="00693B8C">
        <w:rPr>
          <w:rFonts w:ascii="Century Schoolbook" w:hAnsi="Century Schoolbook"/>
        </w:rPr>
        <w:t xml:space="preserve">account balances would have </w:t>
      </w:r>
      <w:r w:rsidRPr="005A144C" w:rsidR="001914F0">
        <w:rPr>
          <w:rFonts w:ascii="Century Schoolbook" w:hAnsi="Century Schoolbook"/>
        </w:rPr>
        <w:t>bee</w:t>
      </w:r>
      <w:r w:rsidRPr="005A144C" w:rsidR="003D759E">
        <w:rPr>
          <w:rFonts w:ascii="Century Schoolbook" w:hAnsi="Century Schoolbook"/>
        </w:rPr>
        <w:t>n zero</w:t>
      </w:r>
      <w:r w:rsidRPr="005A144C" w:rsidR="00693B8C">
        <w:rPr>
          <w:rFonts w:ascii="Century Schoolbook" w:hAnsi="Century Schoolbook"/>
        </w:rPr>
        <w:t xml:space="preserve"> if </w:t>
      </w:r>
      <w:r w:rsidRPr="005A144C" w:rsidR="00675B9A">
        <w:rPr>
          <w:rFonts w:ascii="Century Schoolbook" w:hAnsi="Century Schoolbook"/>
        </w:rPr>
        <w:t xml:space="preserve">their </w:t>
      </w:r>
      <w:r w:rsidRPr="005A144C" w:rsidR="00693B8C">
        <w:rPr>
          <w:rFonts w:ascii="Century Schoolbook" w:hAnsi="Century Schoolbook"/>
        </w:rPr>
        <w:t xml:space="preserve">payments had been applied to </w:t>
      </w:r>
      <w:r w:rsidRPr="005A144C" w:rsidR="00FA680B">
        <w:rPr>
          <w:rFonts w:ascii="Century Schoolbook" w:hAnsi="Century Schoolbook"/>
        </w:rPr>
        <w:t>unpaid</w:t>
      </w:r>
      <w:r w:rsidRPr="005A144C" w:rsidR="00693B8C">
        <w:rPr>
          <w:rFonts w:ascii="Century Schoolbook" w:hAnsi="Century Schoolbook"/>
        </w:rPr>
        <w:t xml:space="preserve"> assessments instead of other charges)</w:t>
      </w:r>
      <w:r w:rsidRPr="005A144C" w:rsidR="00DF66F6">
        <w:rPr>
          <w:rFonts w:ascii="Century Schoolbook" w:hAnsi="Century Schoolbook"/>
        </w:rPr>
        <w:t xml:space="preserve">. </w:t>
      </w:r>
      <w:r w:rsidRPr="005A144C" w:rsidR="00DF303C">
        <w:rPr>
          <w:rFonts w:ascii="Century Schoolbook" w:hAnsi="Century Schoolbook"/>
        </w:rPr>
        <w:t xml:space="preserve"> The judgment also included injunctive relief against ALS related to application of homeowner payments, recalculation of class member accounts, communication with homeowners, and charging of late fees and interest.</w:t>
      </w:r>
    </w:p>
    <w:p w:rsidR="00612458" w:rsidRPr="005A144C" w:rsidP="002E22D7" w14:paraId="23A9BA3A" w14:textId="480DA9AC">
      <w:pPr>
        <w:spacing w:line="360" w:lineRule="auto"/>
        <w:rPr>
          <w:rFonts w:ascii="Century Schoolbook" w:hAnsi="Century Schoolbook"/>
        </w:rPr>
      </w:pPr>
      <w:r w:rsidRPr="005A144C">
        <w:rPr>
          <w:rFonts w:ascii="Century Schoolbook" w:hAnsi="Century Schoolbook"/>
        </w:rPr>
        <w:tab/>
      </w:r>
      <w:r w:rsidRPr="005A144C" w:rsidR="00C778EB">
        <w:rPr>
          <w:rFonts w:ascii="Century Schoolbook" w:hAnsi="Century Schoolbook"/>
        </w:rPr>
        <w:t xml:space="preserve">ALS and the SG defendants </w:t>
      </w:r>
      <w:r w:rsidRPr="005A144C" w:rsidR="00310E30">
        <w:rPr>
          <w:rFonts w:ascii="Century Schoolbook" w:hAnsi="Century Schoolbook"/>
        </w:rPr>
        <w:t xml:space="preserve">each </w:t>
      </w:r>
      <w:r w:rsidRPr="005A144C" w:rsidR="00C778EB">
        <w:rPr>
          <w:rFonts w:ascii="Century Schoolbook" w:hAnsi="Century Schoolbook"/>
        </w:rPr>
        <w:t>filed</w:t>
      </w:r>
      <w:r w:rsidRPr="005A144C" w:rsidR="004D2847">
        <w:rPr>
          <w:rFonts w:ascii="Century Schoolbook" w:hAnsi="Century Schoolbook"/>
        </w:rPr>
        <w:t xml:space="preserve"> timely</w:t>
      </w:r>
      <w:r w:rsidRPr="005A144C" w:rsidR="00C778EB">
        <w:rPr>
          <w:rFonts w:ascii="Century Schoolbook" w:hAnsi="Century Schoolbook"/>
        </w:rPr>
        <w:t xml:space="preserve"> notices of appeal.</w:t>
      </w:r>
    </w:p>
    <w:bookmarkEnd w:id="0"/>
    <w:p w:rsidR="008B04BA" w:rsidRPr="005A144C" w:rsidP="002E22D7" w14:paraId="65DC1DDA" w14:textId="04322186">
      <w:pPr>
        <w:keepNext/>
        <w:spacing w:line="360" w:lineRule="auto"/>
        <w:jc w:val="center"/>
        <w:rPr>
          <w:rFonts w:ascii="Century Schoolbook" w:hAnsi="Century Schoolbook"/>
          <w:b/>
          <w:bCs/>
        </w:rPr>
      </w:pPr>
      <w:r w:rsidRPr="005A144C">
        <w:rPr>
          <w:rFonts w:ascii="Century Schoolbook" w:hAnsi="Century Schoolbook"/>
          <w:b/>
          <w:bCs/>
        </w:rPr>
        <w:t>II.</w:t>
      </w:r>
      <w:r w:rsidRPr="005A144C">
        <w:rPr>
          <w:rFonts w:ascii="Century Schoolbook" w:hAnsi="Century Schoolbook"/>
        </w:rPr>
        <w:t xml:space="preserve">  </w:t>
      </w:r>
      <w:r w:rsidRPr="005A144C">
        <w:rPr>
          <w:rFonts w:ascii="Century Schoolbook" w:hAnsi="Century Schoolbook"/>
          <w:b/>
          <w:bCs/>
        </w:rPr>
        <w:t>DISCUSSION</w:t>
      </w:r>
    </w:p>
    <w:p w:rsidR="00F84C89" w:rsidRPr="005A144C" w:rsidP="002E22D7" w14:paraId="30874061" w14:textId="5708A3BB">
      <w:pPr>
        <w:spacing w:line="360" w:lineRule="auto"/>
        <w:rPr>
          <w:rFonts w:ascii="Century Schoolbook" w:hAnsi="Century Schoolbook"/>
        </w:rPr>
      </w:pPr>
      <w:r w:rsidRPr="005A144C">
        <w:rPr>
          <w:rFonts w:ascii="Century Schoolbook" w:hAnsi="Century Schoolbook"/>
        </w:rPr>
        <w:tab/>
      </w:r>
      <w:r w:rsidRPr="005A144C" w:rsidR="00D82CC8">
        <w:rPr>
          <w:rFonts w:ascii="Century Schoolbook" w:hAnsi="Century Schoolbook"/>
        </w:rPr>
        <w:t>ALS raises three issues on appeal.</w:t>
      </w:r>
      <w:r w:rsidRPr="005A144C" w:rsidR="00A82A36">
        <w:rPr>
          <w:rFonts w:ascii="Century Schoolbook" w:hAnsi="Century Schoolbook"/>
        </w:rPr>
        <w:t xml:space="preserve">  First, </w:t>
      </w:r>
      <w:r w:rsidRPr="005A144C" w:rsidR="00DE3996">
        <w:rPr>
          <w:rFonts w:ascii="Century Schoolbook" w:hAnsi="Century Schoolbook"/>
        </w:rPr>
        <w:t xml:space="preserve">it argues that the trial court </w:t>
      </w:r>
      <w:r w:rsidRPr="005A144C" w:rsidR="00012ADC">
        <w:rPr>
          <w:rFonts w:ascii="Century Schoolbook" w:hAnsi="Century Schoolbook"/>
        </w:rPr>
        <w:t xml:space="preserve">erred in adopting </w:t>
      </w:r>
      <w:r w:rsidRPr="005A144C" w:rsidR="00DE3996">
        <w:rPr>
          <w:rFonts w:ascii="Century Schoolbook" w:hAnsi="Century Schoolbook"/>
        </w:rPr>
        <w:t>the</w:t>
      </w:r>
      <w:r w:rsidRPr="005A144C" w:rsidR="00012ADC">
        <w:rPr>
          <w:rFonts w:ascii="Century Schoolbook" w:hAnsi="Century Schoolbook"/>
        </w:rPr>
        <w:t xml:space="preserve"> federal </w:t>
      </w:r>
      <w:r w:rsidRPr="005A144C" w:rsidR="009C6DA2">
        <w:rPr>
          <w:rFonts w:ascii="Century Schoolbook" w:hAnsi="Century Schoolbook"/>
        </w:rPr>
        <w:t>judge’s</w:t>
      </w:r>
      <w:r w:rsidRPr="005A144C" w:rsidR="00DE3996">
        <w:rPr>
          <w:rFonts w:ascii="Century Schoolbook" w:hAnsi="Century Schoolbook"/>
        </w:rPr>
        <w:t xml:space="preserve"> ruling that </w:t>
      </w:r>
      <w:r w:rsidRPr="005A144C" w:rsidR="008E44E8">
        <w:rPr>
          <w:rFonts w:ascii="Century Schoolbook" w:hAnsi="Century Schoolbook"/>
        </w:rPr>
        <w:t>the</w:t>
      </w:r>
      <w:r w:rsidRPr="005A144C" w:rsidR="002F30C9">
        <w:rPr>
          <w:rFonts w:ascii="Century Schoolbook" w:hAnsi="Century Schoolbook"/>
        </w:rPr>
        <w:t xml:space="preserve"> </w:t>
      </w:r>
      <w:r w:rsidRPr="005A144C" w:rsidR="00A03674">
        <w:rPr>
          <w:rFonts w:ascii="Century Schoolbook" w:hAnsi="Century Schoolbook"/>
        </w:rPr>
        <w:t>section 5655(a)</w:t>
      </w:r>
      <w:r w:rsidRPr="005A144C" w:rsidR="00DE3996">
        <w:rPr>
          <w:rFonts w:ascii="Century Schoolbook" w:hAnsi="Century Schoolbook"/>
        </w:rPr>
        <w:t xml:space="preserve"> waiver</w:t>
      </w:r>
      <w:r w:rsidRPr="005A144C" w:rsidR="00A03674">
        <w:rPr>
          <w:rFonts w:ascii="Century Schoolbook" w:hAnsi="Century Schoolbook"/>
        </w:rPr>
        <w:t xml:space="preserve"> was void as a matter of public policy</w:t>
      </w:r>
      <w:r w:rsidRPr="005A144C" w:rsidR="00DE3996">
        <w:rPr>
          <w:rFonts w:ascii="Century Schoolbook" w:hAnsi="Century Schoolbook"/>
        </w:rPr>
        <w:t>.  Second,</w:t>
      </w:r>
      <w:r w:rsidRPr="005A144C" w:rsidR="00012ADC">
        <w:rPr>
          <w:rFonts w:ascii="Century Schoolbook" w:hAnsi="Century Schoolbook"/>
        </w:rPr>
        <w:t xml:space="preserve"> </w:t>
      </w:r>
      <w:r w:rsidRPr="005A144C" w:rsidR="00F1279A">
        <w:rPr>
          <w:rFonts w:ascii="Century Schoolbook" w:hAnsi="Century Schoolbook"/>
        </w:rPr>
        <w:t xml:space="preserve">it argues that the court </w:t>
      </w:r>
      <w:r w:rsidRPr="005A144C" w:rsidR="00012ADC">
        <w:rPr>
          <w:rFonts w:ascii="Century Schoolbook" w:hAnsi="Century Schoolbook"/>
        </w:rPr>
        <w:t>erred in ruling that ALS violated the FDCPA</w:t>
      </w:r>
      <w:r w:rsidRPr="005A144C" w:rsidR="00F1279A">
        <w:rPr>
          <w:rFonts w:ascii="Century Schoolbook" w:hAnsi="Century Schoolbook"/>
        </w:rPr>
        <w:t xml:space="preserve"> through its pre-lien and pre-NOD letters.  Third, </w:t>
      </w:r>
      <w:r w:rsidRPr="005A144C">
        <w:rPr>
          <w:rFonts w:ascii="Century Schoolbook" w:hAnsi="Century Schoolbook"/>
        </w:rPr>
        <w:t>ALS argues that the court</w:t>
      </w:r>
      <w:r w:rsidRPr="005A144C" w:rsidR="00012ADC">
        <w:rPr>
          <w:rFonts w:ascii="Century Schoolbook" w:hAnsi="Century Schoolbook"/>
        </w:rPr>
        <w:t xml:space="preserve"> abused its discretion in granting Doskocz’s motion to bifurcate</w:t>
      </w:r>
      <w:r w:rsidRPr="005A144C" w:rsidR="00525011">
        <w:rPr>
          <w:rFonts w:ascii="Century Schoolbook" w:hAnsi="Century Schoolbook"/>
        </w:rPr>
        <w:t xml:space="preserve"> and proceed </w:t>
      </w:r>
      <w:r w:rsidRPr="005A144C" w:rsidR="005A762D">
        <w:rPr>
          <w:rFonts w:ascii="Century Schoolbook" w:hAnsi="Century Schoolbook"/>
        </w:rPr>
        <w:t xml:space="preserve">first </w:t>
      </w:r>
      <w:r w:rsidRPr="005A144C" w:rsidR="004C6929">
        <w:rPr>
          <w:rFonts w:ascii="Century Schoolbook" w:hAnsi="Century Schoolbook"/>
        </w:rPr>
        <w:t xml:space="preserve">with a bench trial on her </w:t>
      </w:r>
      <w:r w:rsidRPr="005A144C" w:rsidR="00525011">
        <w:rPr>
          <w:rFonts w:ascii="Century Schoolbook" w:hAnsi="Century Schoolbook"/>
        </w:rPr>
        <w:t>UCL cause of action</w:t>
      </w:r>
      <w:r w:rsidRPr="005A144C" w:rsidR="00012ADC">
        <w:rPr>
          <w:rFonts w:ascii="Century Schoolbook" w:hAnsi="Century Schoolbook"/>
        </w:rPr>
        <w:t>.</w:t>
      </w:r>
    </w:p>
    <w:p w:rsidR="003A3CA1" w:rsidRPr="005A144C" w:rsidP="002E22D7" w14:paraId="73671CF2" w14:textId="0D46EB99">
      <w:pPr>
        <w:spacing w:line="360" w:lineRule="auto"/>
        <w:rPr>
          <w:rFonts w:ascii="Century Schoolbook" w:hAnsi="Century Schoolbook"/>
        </w:rPr>
      </w:pPr>
      <w:r w:rsidRPr="005A144C">
        <w:rPr>
          <w:rFonts w:ascii="Century Schoolbook" w:hAnsi="Century Schoolbook"/>
        </w:rPr>
        <w:tab/>
      </w:r>
      <w:r w:rsidRPr="005A144C" w:rsidR="00012ADC">
        <w:rPr>
          <w:rFonts w:ascii="Century Schoolbook" w:hAnsi="Century Schoolbook"/>
        </w:rPr>
        <w:t xml:space="preserve">The SG defendants also </w:t>
      </w:r>
      <w:r w:rsidRPr="005A144C" w:rsidR="009D4AA9">
        <w:rPr>
          <w:rFonts w:ascii="Century Schoolbook" w:hAnsi="Century Schoolbook"/>
        </w:rPr>
        <w:t xml:space="preserve">raise three issues on appeal.  </w:t>
      </w:r>
      <w:r w:rsidRPr="005A144C" w:rsidR="00437409">
        <w:rPr>
          <w:rFonts w:ascii="Century Schoolbook" w:hAnsi="Century Schoolbook"/>
        </w:rPr>
        <w:t>First</w:t>
      </w:r>
      <w:r w:rsidRPr="005A144C" w:rsidR="00012ADC">
        <w:rPr>
          <w:rFonts w:ascii="Century Schoolbook" w:hAnsi="Century Schoolbook"/>
        </w:rPr>
        <w:t xml:space="preserve">, </w:t>
      </w:r>
      <w:r w:rsidRPr="005A144C" w:rsidR="00437409">
        <w:rPr>
          <w:rFonts w:ascii="Century Schoolbook" w:hAnsi="Century Schoolbook"/>
        </w:rPr>
        <w:t xml:space="preserve">they </w:t>
      </w:r>
      <w:r w:rsidRPr="005A144C" w:rsidR="00012ADC">
        <w:rPr>
          <w:rFonts w:ascii="Century Schoolbook" w:hAnsi="Century Schoolbook"/>
        </w:rPr>
        <w:t>argu</w:t>
      </w:r>
      <w:r w:rsidRPr="005A144C" w:rsidR="004D2847">
        <w:rPr>
          <w:rFonts w:ascii="Century Schoolbook" w:hAnsi="Century Schoolbook"/>
        </w:rPr>
        <w:t>e</w:t>
      </w:r>
      <w:r w:rsidRPr="005A144C" w:rsidR="00012ADC">
        <w:rPr>
          <w:rFonts w:ascii="Century Schoolbook" w:hAnsi="Century Schoolbook"/>
        </w:rPr>
        <w:t xml:space="preserve"> that the trial court lacked substantial evidence on its</w:t>
      </w:r>
      <w:r w:rsidRPr="005A144C" w:rsidR="004D2847">
        <w:rPr>
          <w:rFonts w:ascii="Century Schoolbook" w:hAnsi="Century Schoolbook"/>
        </w:rPr>
        <w:t xml:space="preserve"> alter</w:t>
      </w:r>
      <w:r w:rsidRPr="005A144C" w:rsidR="0025160B">
        <w:rPr>
          <w:rFonts w:ascii="Century Schoolbook" w:hAnsi="Century Schoolbook"/>
        </w:rPr>
        <w:t xml:space="preserve"> ego findings</w:t>
      </w:r>
      <w:r w:rsidRPr="005A144C" w:rsidR="004D2847">
        <w:rPr>
          <w:rFonts w:ascii="Century Schoolbook" w:hAnsi="Century Schoolbook"/>
        </w:rPr>
        <w:t xml:space="preserve">. </w:t>
      </w:r>
      <w:r w:rsidRPr="005A144C" w:rsidR="00012ADC">
        <w:rPr>
          <w:rFonts w:ascii="Century Schoolbook" w:hAnsi="Century Schoolbook"/>
        </w:rPr>
        <w:t xml:space="preserve"> </w:t>
      </w:r>
      <w:r w:rsidRPr="005A144C" w:rsidR="00DE381A">
        <w:rPr>
          <w:rFonts w:ascii="Century Schoolbook" w:hAnsi="Century Schoolbook"/>
        </w:rPr>
        <w:t>Second, they argue that the court</w:t>
      </w:r>
      <w:r w:rsidRPr="005A144C" w:rsidR="00012ADC">
        <w:rPr>
          <w:rFonts w:ascii="Century Schoolbook" w:hAnsi="Century Schoolbook"/>
        </w:rPr>
        <w:t xml:space="preserve"> abused its discretion in granting Doskocz leave to amend her </w:t>
      </w:r>
      <w:r w:rsidRPr="005A144C" w:rsidR="003271CA">
        <w:rPr>
          <w:rFonts w:ascii="Century Schoolbook" w:hAnsi="Century Schoolbook"/>
        </w:rPr>
        <w:t xml:space="preserve">state court </w:t>
      </w:r>
      <w:r w:rsidRPr="005A144C" w:rsidR="00012ADC">
        <w:rPr>
          <w:rFonts w:ascii="Century Schoolbook" w:hAnsi="Century Schoolbook"/>
        </w:rPr>
        <w:t>complaint</w:t>
      </w:r>
      <w:r w:rsidRPr="005A144C" w:rsidR="003271CA">
        <w:rPr>
          <w:rFonts w:ascii="Century Schoolbook" w:hAnsi="Century Schoolbook"/>
        </w:rPr>
        <w:t>.</w:t>
      </w:r>
      <w:r w:rsidRPr="005A144C" w:rsidR="00012ADC">
        <w:rPr>
          <w:rFonts w:ascii="Century Schoolbook" w:hAnsi="Century Schoolbook"/>
        </w:rPr>
        <w:t xml:space="preserve"> </w:t>
      </w:r>
      <w:r w:rsidRPr="005A144C" w:rsidR="0006051F">
        <w:rPr>
          <w:rFonts w:ascii="Century Schoolbook" w:hAnsi="Century Schoolbook"/>
        </w:rPr>
        <w:t xml:space="preserve"> Third, the SG defendants argue that the court</w:t>
      </w:r>
      <w:r w:rsidRPr="005A144C" w:rsidR="00012ADC">
        <w:rPr>
          <w:rFonts w:ascii="Century Schoolbook" w:hAnsi="Century Schoolbook"/>
        </w:rPr>
        <w:t> abused its discretion in awarding attorney fees</w:t>
      </w:r>
      <w:r w:rsidRPr="005A144C" w:rsidR="009967B4">
        <w:rPr>
          <w:rFonts w:ascii="Century Schoolbook" w:hAnsi="Century Schoolbook"/>
        </w:rPr>
        <w:t xml:space="preserve"> to class counsel</w:t>
      </w:r>
      <w:r w:rsidRPr="005A144C" w:rsidR="00012ADC">
        <w:rPr>
          <w:rFonts w:ascii="Century Schoolbook" w:hAnsi="Century Schoolbook"/>
        </w:rPr>
        <w:t>.</w:t>
      </w:r>
    </w:p>
    <w:p w:rsidR="000652B3" w:rsidRPr="005A144C" w:rsidP="002E22D7" w14:paraId="6E7ACB8B" w14:textId="10FB7259">
      <w:pPr>
        <w:spacing w:line="360" w:lineRule="auto"/>
        <w:rPr>
          <w:rFonts w:ascii="Century Schoolbook" w:hAnsi="Century Schoolbook"/>
        </w:rPr>
      </w:pPr>
      <w:r w:rsidRPr="005A144C">
        <w:rPr>
          <w:rFonts w:ascii="Century Schoolbook" w:hAnsi="Century Schoolbook"/>
        </w:rPr>
        <w:tab/>
      </w:r>
      <w:r w:rsidRPr="005A144C" w:rsidR="00012ADC">
        <w:rPr>
          <w:rFonts w:ascii="Century Schoolbook" w:hAnsi="Century Schoolbook"/>
        </w:rPr>
        <w:t xml:space="preserve">We </w:t>
      </w:r>
      <w:r w:rsidRPr="005A144C" w:rsidR="00BB7C37">
        <w:rPr>
          <w:rFonts w:ascii="Century Schoolbook" w:hAnsi="Century Schoolbook"/>
        </w:rPr>
        <w:t>address, and reject, each argument in turn</w:t>
      </w:r>
      <w:r w:rsidRPr="005A144C" w:rsidR="00012ADC">
        <w:rPr>
          <w:rFonts w:ascii="Century Schoolbook" w:hAnsi="Century Schoolbook"/>
        </w:rPr>
        <w:t>.</w:t>
      </w:r>
      <w:r w:rsidRPr="005A144C" w:rsidR="00A16EAF">
        <w:rPr>
          <w:rFonts w:ascii="Century Schoolbook" w:hAnsi="Century Schoolbook"/>
        </w:rPr>
        <w:t xml:space="preserve"> </w:t>
      </w:r>
    </w:p>
    <w:p w:rsidR="005C5EE2" w:rsidRPr="005A144C" w:rsidP="002E22D7" w14:paraId="5C0D66F9" w14:textId="5355DB8B">
      <w:pPr>
        <w:keepNext/>
        <w:spacing w:line="360" w:lineRule="auto"/>
        <w:rPr>
          <w:rFonts w:ascii="Century Schoolbook" w:hAnsi="Century Schoolbook"/>
          <w:b/>
          <w:bCs/>
          <w:i/>
          <w:iCs/>
        </w:rPr>
      </w:pPr>
      <w:r w:rsidRPr="005A144C">
        <w:rPr>
          <w:rFonts w:ascii="Century Schoolbook" w:hAnsi="Century Schoolbook"/>
          <w:b/>
          <w:bCs/>
          <w:i/>
          <w:iCs/>
        </w:rPr>
        <w:t xml:space="preserve">A.  </w:t>
      </w:r>
      <w:r w:rsidRPr="005A144C" w:rsidR="002C1D63">
        <w:rPr>
          <w:rFonts w:ascii="Century Schoolbook" w:hAnsi="Century Schoolbook"/>
          <w:b/>
          <w:bCs/>
          <w:i/>
          <w:iCs/>
        </w:rPr>
        <w:t xml:space="preserve">No Error on </w:t>
      </w:r>
      <w:r w:rsidRPr="005A144C" w:rsidR="006604F3">
        <w:rPr>
          <w:rFonts w:ascii="Century Schoolbook" w:eastAsia="Times New Roman" w:hAnsi="Century Schoolbook" w:cs="Calibri"/>
          <w:b/>
          <w:bCs/>
          <w:i/>
          <w:iCs/>
          <w:color w:val="212121"/>
        </w:rPr>
        <w:t>Section </w:t>
      </w:r>
      <w:r w:rsidRPr="005A144C" w:rsidR="005963BF">
        <w:rPr>
          <w:rFonts w:ascii="Century Schoolbook" w:eastAsia="Times New Roman" w:hAnsi="Century Schoolbook" w:cs="Calibri"/>
          <w:b/>
          <w:bCs/>
          <w:i/>
          <w:iCs/>
          <w:color w:val="212121"/>
        </w:rPr>
        <w:t>5655 Waiver</w:t>
      </w:r>
      <w:r w:rsidRPr="005A144C" w:rsidR="0037195F">
        <w:rPr>
          <w:rFonts w:ascii="Century Schoolbook" w:eastAsia="Times New Roman" w:hAnsi="Century Schoolbook" w:cs="Calibri"/>
          <w:b/>
          <w:bCs/>
          <w:i/>
          <w:iCs/>
          <w:color w:val="212121"/>
        </w:rPr>
        <w:t xml:space="preserve"> </w:t>
      </w:r>
      <w:r w:rsidRPr="005A144C" w:rsidR="002C1D63">
        <w:rPr>
          <w:rFonts w:ascii="Century Schoolbook" w:eastAsia="Times New Roman" w:hAnsi="Century Schoolbook" w:cs="Calibri"/>
          <w:b/>
          <w:bCs/>
          <w:i/>
          <w:iCs/>
          <w:color w:val="212121"/>
        </w:rPr>
        <w:t>Rulings</w:t>
      </w:r>
      <w:r w:rsidRPr="005A144C" w:rsidR="0037195F">
        <w:rPr>
          <w:rFonts w:ascii="Century Schoolbook" w:eastAsia="Times New Roman" w:hAnsi="Century Schoolbook" w:cs="Calibri"/>
          <w:b/>
          <w:bCs/>
          <w:i/>
          <w:iCs/>
          <w:color w:val="212121"/>
        </w:rPr>
        <w:t xml:space="preserve"> </w:t>
      </w:r>
    </w:p>
    <w:p w:rsidR="00FE56DC" w:rsidRPr="005A144C" w:rsidP="002E22D7" w14:paraId="54C9C331" w14:textId="032A7F45">
      <w:pPr>
        <w:keepNext/>
        <w:spacing w:line="360" w:lineRule="auto"/>
        <w:rPr>
          <w:rFonts w:ascii="Century Schoolbook" w:hAnsi="Century Schoolbook"/>
          <w:b/>
          <w:bCs/>
        </w:rPr>
      </w:pPr>
      <w:r w:rsidRPr="005A144C">
        <w:rPr>
          <w:rFonts w:ascii="Century Schoolbook" w:hAnsi="Century Schoolbook"/>
        </w:rPr>
        <w:tab/>
      </w:r>
      <w:r w:rsidRPr="005A144C" w:rsidR="00665DAF">
        <w:rPr>
          <w:rFonts w:ascii="Century Schoolbook" w:hAnsi="Century Schoolbook"/>
          <w:b/>
          <w:bCs/>
        </w:rPr>
        <w:t xml:space="preserve">1. </w:t>
      </w:r>
      <w:r w:rsidRPr="005A144C" w:rsidR="006604F3">
        <w:rPr>
          <w:rFonts w:ascii="Century Schoolbook" w:hAnsi="Century Schoolbook"/>
          <w:b/>
          <w:bCs/>
        </w:rPr>
        <w:t xml:space="preserve"> </w:t>
      </w:r>
      <w:r w:rsidRPr="005A144C" w:rsidR="00665DAF">
        <w:rPr>
          <w:rFonts w:ascii="Century Schoolbook" w:hAnsi="Century Schoolbook"/>
          <w:b/>
          <w:bCs/>
        </w:rPr>
        <w:t>Additional Background</w:t>
      </w:r>
    </w:p>
    <w:p w:rsidR="0038491C" w:rsidRPr="005A144C" w:rsidP="002E22D7" w14:paraId="6DDC042C" w14:textId="5D8CF733">
      <w:pPr>
        <w:spacing w:line="360" w:lineRule="auto"/>
        <w:rPr>
          <w:rFonts w:ascii="Century Schoolbook" w:hAnsi="Century Schoolbook"/>
        </w:rPr>
      </w:pPr>
      <w:r w:rsidRPr="005A144C">
        <w:rPr>
          <w:rFonts w:ascii="Century Schoolbook" w:hAnsi="Century Schoolbook"/>
        </w:rPr>
        <w:tab/>
      </w:r>
      <w:r w:rsidRPr="005A144C" w:rsidR="00E8646B">
        <w:rPr>
          <w:rFonts w:ascii="Century Schoolbook" w:hAnsi="Century Schoolbook"/>
        </w:rPr>
        <w:t>When ALS moved</w:t>
      </w:r>
      <w:r w:rsidRPr="005A144C" w:rsidR="00F645BE">
        <w:rPr>
          <w:rFonts w:ascii="Century Schoolbook" w:hAnsi="Century Schoolbook"/>
        </w:rPr>
        <w:t xml:space="preserve"> </w:t>
      </w:r>
      <w:r w:rsidRPr="005A144C">
        <w:rPr>
          <w:rFonts w:ascii="Century Schoolbook" w:hAnsi="Century Schoolbook"/>
        </w:rPr>
        <w:t xml:space="preserve">for summary judgment </w:t>
      </w:r>
      <w:r w:rsidRPr="005A144C" w:rsidR="00F645BE">
        <w:rPr>
          <w:rFonts w:ascii="Century Schoolbook" w:hAnsi="Century Schoolbook"/>
        </w:rPr>
        <w:t>in the federal action</w:t>
      </w:r>
      <w:r w:rsidRPr="005A144C">
        <w:rPr>
          <w:rFonts w:ascii="Century Schoolbook" w:hAnsi="Century Schoolbook"/>
        </w:rPr>
        <w:t xml:space="preserve">, </w:t>
      </w:r>
      <w:r w:rsidRPr="005A144C" w:rsidR="00E8646B">
        <w:rPr>
          <w:rFonts w:ascii="Century Schoolbook" w:hAnsi="Century Schoolbook"/>
        </w:rPr>
        <w:t>it</w:t>
      </w:r>
      <w:r w:rsidRPr="005A144C" w:rsidR="00F645BE">
        <w:rPr>
          <w:rFonts w:ascii="Century Schoolbook" w:hAnsi="Century Schoolbook"/>
        </w:rPr>
        <w:t xml:space="preserve"> argued </w:t>
      </w:r>
      <w:r w:rsidRPr="005A144C" w:rsidR="00BA0933">
        <w:rPr>
          <w:rFonts w:ascii="Century Schoolbook" w:hAnsi="Century Schoolbook"/>
        </w:rPr>
        <w:t xml:space="preserve">that </w:t>
      </w:r>
      <w:r w:rsidRPr="005A144C" w:rsidR="00877781">
        <w:rPr>
          <w:rFonts w:ascii="Century Schoolbook" w:hAnsi="Century Schoolbook"/>
        </w:rPr>
        <w:t xml:space="preserve">it had complied with the FDCPA </w:t>
      </w:r>
      <w:r w:rsidRPr="005A144C" w:rsidR="00CD0156">
        <w:rPr>
          <w:rFonts w:ascii="Century Schoolbook" w:hAnsi="Century Schoolbook"/>
        </w:rPr>
        <w:t>because</w:t>
      </w:r>
      <w:r w:rsidRPr="005A144C" w:rsidR="00877781">
        <w:rPr>
          <w:rFonts w:ascii="Century Schoolbook" w:hAnsi="Century Schoolbook"/>
        </w:rPr>
        <w:t xml:space="preserve"> Doskocz </w:t>
      </w:r>
      <w:r w:rsidRPr="005A144C" w:rsidR="00CD0156">
        <w:rPr>
          <w:rFonts w:ascii="Century Schoolbook" w:hAnsi="Century Schoolbook"/>
        </w:rPr>
        <w:t xml:space="preserve">had </w:t>
      </w:r>
      <w:r w:rsidRPr="005A144C" w:rsidR="00877781">
        <w:rPr>
          <w:rFonts w:ascii="Century Schoolbook" w:hAnsi="Century Schoolbook"/>
        </w:rPr>
        <w:t xml:space="preserve">waived </w:t>
      </w:r>
      <w:r w:rsidRPr="005A144C" w:rsidR="00330FF7">
        <w:rPr>
          <w:rFonts w:ascii="Century Schoolbook" w:hAnsi="Century Schoolbook"/>
        </w:rPr>
        <w:t xml:space="preserve">her rights under </w:t>
      </w:r>
      <w:r w:rsidRPr="005A144C" w:rsidR="00877781">
        <w:rPr>
          <w:rFonts w:ascii="Century Schoolbook" w:hAnsi="Century Schoolbook"/>
        </w:rPr>
        <w:t>section 5655(a)</w:t>
      </w:r>
      <w:r w:rsidRPr="005A144C" w:rsidR="00FF0E97">
        <w:rPr>
          <w:rFonts w:ascii="Century Schoolbook" w:hAnsi="Century Schoolbook"/>
        </w:rPr>
        <w:t xml:space="preserve"> to prioritize application of </w:t>
      </w:r>
      <w:r w:rsidRPr="005A144C">
        <w:rPr>
          <w:rFonts w:ascii="Century Schoolbook" w:hAnsi="Century Schoolbook"/>
        </w:rPr>
        <w:t xml:space="preserve">her </w:t>
      </w:r>
      <w:r w:rsidRPr="005A144C" w:rsidR="00FF0E97">
        <w:rPr>
          <w:rFonts w:ascii="Century Schoolbook" w:hAnsi="Century Schoolbook"/>
        </w:rPr>
        <w:t>payments to unpaid assessments first</w:t>
      </w:r>
      <w:r w:rsidRPr="005A144C" w:rsidR="003A3CA1">
        <w:rPr>
          <w:rFonts w:ascii="Century Schoolbook" w:hAnsi="Century Schoolbook"/>
        </w:rPr>
        <w:t>,</w:t>
      </w:r>
      <w:r w:rsidRPr="005A144C" w:rsidR="00FF0E97">
        <w:rPr>
          <w:rFonts w:ascii="Century Schoolbook" w:hAnsi="Century Schoolbook"/>
        </w:rPr>
        <w:t xml:space="preserve"> before</w:t>
      </w:r>
      <w:r w:rsidRPr="005A144C">
        <w:rPr>
          <w:rFonts w:ascii="Century Schoolbook" w:hAnsi="Century Schoolbook"/>
        </w:rPr>
        <w:t xml:space="preserve"> ALS’s</w:t>
      </w:r>
      <w:r w:rsidRPr="005A144C" w:rsidR="00FF0E97">
        <w:rPr>
          <w:rFonts w:ascii="Century Schoolbook" w:hAnsi="Century Schoolbook"/>
        </w:rPr>
        <w:t xml:space="preserve"> collection</w:t>
      </w:r>
      <w:r w:rsidRPr="005A144C">
        <w:rPr>
          <w:rFonts w:ascii="Century Schoolbook" w:hAnsi="Century Schoolbook"/>
        </w:rPr>
        <w:t xml:space="preserve"> fees and costs.  </w:t>
      </w:r>
      <w:r w:rsidRPr="005A144C" w:rsidR="006E2D5B">
        <w:rPr>
          <w:rFonts w:ascii="Century Schoolbook" w:hAnsi="Century Schoolbook"/>
        </w:rPr>
        <w:t xml:space="preserve">Doskocz opposed the motion, arguing that </w:t>
      </w:r>
      <w:r w:rsidRPr="005A144C">
        <w:rPr>
          <w:rFonts w:ascii="Century Schoolbook" w:hAnsi="Century Schoolbook"/>
        </w:rPr>
        <w:t>the waiver was void as a matter of public policy</w:t>
      </w:r>
      <w:r w:rsidRPr="005A144C" w:rsidR="00412016">
        <w:rPr>
          <w:rFonts w:ascii="Century Schoolbook" w:hAnsi="Century Schoolbook"/>
        </w:rPr>
        <w:t xml:space="preserve"> </w:t>
      </w:r>
      <w:r w:rsidRPr="005A144C" w:rsidR="003A3CA1">
        <w:rPr>
          <w:rFonts w:ascii="Century Schoolbook" w:hAnsi="Century Schoolbook"/>
        </w:rPr>
        <w:t>under</w:t>
      </w:r>
      <w:r w:rsidRPr="005A144C" w:rsidR="00412016">
        <w:rPr>
          <w:rFonts w:ascii="Century Schoolbook" w:hAnsi="Century Schoolbook"/>
        </w:rPr>
        <w:t xml:space="preserve"> section 351</w:t>
      </w:r>
      <w:r w:rsidRPr="005A144C" w:rsidR="00C843D2">
        <w:rPr>
          <w:rFonts w:ascii="Century Schoolbook" w:hAnsi="Century Schoolbook"/>
        </w:rPr>
        <w:t>3</w:t>
      </w:r>
      <w:r w:rsidRPr="005A144C">
        <w:rPr>
          <w:rFonts w:ascii="Century Schoolbook" w:hAnsi="Century Schoolbook"/>
        </w:rPr>
        <w:t>.</w:t>
      </w:r>
      <w:r>
        <w:rPr>
          <w:rStyle w:val="FootnoteReference"/>
          <w:rFonts w:ascii="Century Schoolbook" w:hAnsi="Century Schoolbook"/>
        </w:rPr>
        <w:footnoteReference w:id="5"/>
      </w:r>
    </w:p>
    <w:p w:rsidR="00267C25" w:rsidRPr="005A144C" w:rsidP="002E22D7" w14:paraId="7A04D451" w14:textId="2292561E">
      <w:pPr>
        <w:spacing w:line="360" w:lineRule="auto"/>
        <w:rPr>
          <w:rFonts w:ascii="Century Schoolbook" w:hAnsi="Century Schoolbook"/>
        </w:rPr>
      </w:pPr>
      <w:r w:rsidRPr="005A144C">
        <w:rPr>
          <w:rFonts w:ascii="Century Schoolbook" w:hAnsi="Century Schoolbook"/>
        </w:rPr>
        <w:tab/>
      </w:r>
      <w:r w:rsidRPr="005A144C" w:rsidR="00F210B2">
        <w:rPr>
          <w:rFonts w:ascii="Century Schoolbook" w:hAnsi="Century Schoolbook"/>
        </w:rPr>
        <w:t xml:space="preserve">The federal </w:t>
      </w:r>
      <w:r w:rsidRPr="005A144C" w:rsidR="00043D66">
        <w:rPr>
          <w:rFonts w:ascii="Century Schoolbook" w:hAnsi="Century Schoolbook"/>
        </w:rPr>
        <w:t>court</w:t>
      </w:r>
      <w:r w:rsidRPr="005A144C" w:rsidR="00F210B2">
        <w:rPr>
          <w:rFonts w:ascii="Century Schoolbook" w:hAnsi="Century Schoolbook"/>
        </w:rPr>
        <w:t xml:space="preserve"> </w:t>
      </w:r>
      <w:r w:rsidRPr="005A144C" w:rsidR="004D176E">
        <w:rPr>
          <w:rFonts w:ascii="Century Schoolbook" w:hAnsi="Century Schoolbook"/>
        </w:rPr>
        <w:t>recognized</w:t>
      </w:r>
      <w:r w:rsidRPr="005A144C" w:rsidR="00CD1467">
        <w:rPr>
          <w:rFonts w:ascii="Century Schoolbook" w:hAnsi="Century Schoolbook"/>
        </w:rPr>
        <w:t xml:space="preserve"> that “[t]</w:t>
      </w:r>
      <w:r w:rsidRPr="005A144C" w:rsidR="004D176E">
        <w:rPr>
          <w:rFonts w:ascii="Century Schoolbook" w:hAnsi="Century Schoolbook"/>
        </w:rPr>
        <w:t>he California Supreme Court does not appear to have addressed this issue, and neither party has identified a case directly on point</w:t>
      </w:r>
      <w:r w:rsidRPr="005A144C" w:rsidR="00B8034E">
        <w:rPr>
          <w:rFonts w:ascii="Century Schoolbook" w:hAnsi="Century Schoolbook"/>
        </w:rPr>
        <w:t>.</w:t>
      </w:r>
      <w:r w:rsidRPr="005A144C" w:rsidR="005F07C1">
        <w:rPr>
          <w:rFonts w:ascii="Century Schoolbook" w:hAnsi="Century Schoolbook"/>
        </w:rPr>
        <w:t>”</w:t>
      </w:r>
      <w:r w:rsidRPr="005A144C" w:rsidR="00B8034E">
        <w:rPr>
          <w:rFonts w:ascii="Century Schoolbook" w:hAnsi="Century Schoolbook"/>
        </w:rPr>
        <w:t xml:space="preserve"> </w:t>
      </w:r>
      <w:r w:rsidRPr="005A144C" w:rsidR="00E66F13">
        <w:rPr>
          <w:rFonts w:ascii="Century Schoolbook" w:hAnsi="Century Schoolbook"/>
        </w:rPr>
        <w:t xml:space="preserve"> </w:t>
      </w:r>
      <w:r w:rsidRPr="005A144C" w:rsidR="00FB14E6">
        <w:rPr>
          <w:rFonts w:ascii="Century Schoolbook" w:hAnsi="Century Schoolbook"/>
        </w:rPr>
        <w:t xml:space="preserve">Citing </w:t>
      </w:r>
      <w:r w:rsidRPr="005A144C" w:rsidR="00FB14E6">
        <w:rPr>
          <w:rFonts w:ascii="Century Schoolbook" w:hAnsi="Century Schoolbook"/>
          <w:i/>
          <w:iCs/>
        </w:rPr>
        <w:t xml:space="preserve">DeBerard </w:t>
      </w:r>
      <w:r w:rsidRPr="005A144C" w:rsidR="005D2231">
        <w:rPr>
          <w:rFonts w:ascii="Century Schoolbook" w:hAnsi="Century Schoolbook"/>
          <w:i/>
          <w:iCs/>
        </w:rPr>
        <w:t>Properties</w:t>
      </w:r>
      <w:r w:rsidRPr="005A144C" w:rsidR="00FB14E6">
        <w:rPr>
          <w:rFonts w:ascii="Century Schoolbook" w:hAnsi="Century Schoolbook"/>
          <w:i/>
          <w:iCs/>
        </w:rPr>
        <w:t>, Ltd. v. Lim</w:t>
      </w:r>
      <w:r w:rsidRPr="005A144C" w:rsidR="00FB14E6">
        <w:rPr>
          <w:rFonts w:ascii="Century Schoolbook" w:hAnsi="Century Schoolbook"/>
        </w:rPr>
        <w:t xml:space="preserve"> (1999) 20</w:t>
      </w:r>
      <w:r w:rsidRPr="005A144C" w:rsidR="00EB6B89">
        <w:rPr>
          <w:rFonts w:ascii="Century Schoolbook" w:hAnsi="Century Schoolbook"/>
        </w:rPr>
        <w:t> </w:t>
      </w:r>
      <w:r w:rsidRPr="005A144C" w:rsidR="00FB14E6">
        <w:rPr>
          <w:rFonts w:ascii="Century Schoolbook" w:hAnsi="Century Schoolbook"/>
        </w:rPr>
        <w:t>Cal.4th 659</w:t>
      </w:r>
      <w:r w:rsidRPr="005A144C" w:rsidR="00856CFE">
        <w:rPr>
          <w:rFonts w:ascii="Century Schoolbook" w:hAnsi="Century Schoolbook"/>
        </w:rPr>
        <w:t>, it explained that</w:t>
      </w:r>
      <w:r w:rsidRPr="005A144C" w:rsidR="00F834F1">
        <w:rPr>
          <w:rFonts w:ascii="Century Schoolbook" w:hAnsi="Century Schoolbook"/>
        </w:rPr>
        <w:t xml:space="preserve"> section 3513 bars the waiver of a statutory right when the </w:t>
      </w:r>
      <w:r w:rsidRPr="005A144C" w:rsidR="007B180D">
        <w:rPr>
          <w:rFonts w:ascii="Century Schoolbook" w:hAnsi="Century Schoolbook"/>
        </w:rPr>
        <w:t>“</w:t>
      </w:r>
      <w:r w:rsidRPr="005A144C" w:rsidR="00F97777">
        <w:rPr>
          <w:rFonts w:ascii="Century Schoolbook" w:hAnsi="Century Schoolbook"/>
        </w:rPr>
        <w:t> ‘ “</w:t>
      </w:r>
      <w:r w:rsidRPr="005A144C" w:rsidR="00F834F1">
        <w:rPr>
          <w:rFonts w:ascii="Century Schoolbook" w:hAnsi="Century Schoolbook"/>
        </w:rPr>
        <w:t xml:space="preserve">public benefit [of the statute] is one of </w:t>
      </w:r>
      <w:r w:rsidRPr="005A144C" w:rsidR="00F97777">
        <w:rPr>
          <w:rFonts w:ascii="Century Schoolbook" w:hAnsi="Century Schoolbook"/>
        </w:rPr>
        <w:t xml:space="preserve">the </w:t>
      </w:r>
      <w:r w:rsidRPr="005A144C" w:rsidR="00F834F1">
        <w:rPr>
          <w:rFonts w:ascii="Century Schoolbook" w:hAnsi="Century Schoolbook"/>
        </w:rPr>
        <w:t>primary purposes.”</w:t>
      </w:r>
      <w:r w:rsidRPr="005A144C" w:rsidR="00F97777">
        <w:rPr>
          <w:rFonts w:ascii="Century Schoolbook" w:hAnsi="Century Schoolbook"/>
        </w:rPr>
        <w:t> ’ ”</w:t>
      </w:r>
      <w:r w:rsidRPr="005A144C" w:rsidR="008C5339">
        <w:rPr>
          <w:rFonts w:ascii="Century Schoolbook" w:hAnsi="Century Schoolbook"/>
        </w:rPr>
        <w:t xml:space="preserve"> </w:t>
      </w:r>
      <w:r w:rsidRPr="005A144C" w:rsidR="0068069B">
        <w:rPr>
          <w:rFonts w:ascii="Century Schoolbook" w:hAnsi="Century Schoolbook"/>
        </w:rPr>
        <w:t xml:space="preserve"> </w:t>
      </w:r>
      <w:r w:rsidRPr="005A144C" w:rsidR="00EB6B89">
        <w:rPr>
          <w:rFonts w:ascii="Century Schoolbook" w:hAnsi="Century Schoolbook"/>
        </w:rPr>
        <w:t>(</w:t>
      </w:r>
      <w:r w:rsidRPr="005A144C" w:rsidR="00EB6B89">
        <w:rPr>
          <w:rFonts w:ascii="Century Schoolbook" w:hAnsi="Century Schoolbook"/>
          <w:i/>
          <w:iCs/>
        </w:rPr>
        <w:t>DeBerard</w:t>
      </w:r>
      <w:r w:rsidRPr="005A144C" w:rsidR="00EB6B89">
        <w:rPr>
          <w:rFonts w:ascii="Century Schoolbook" w:hAnsi="Century Schoolbook"/>
        </w:rPr>
        <w:t xml:space="preserve">, </w:t>
      </w:r>
      <w:r w:rsidRPr="005A144C" w:rsidR="00AB3C7A">
        <w:rPr>
          <w:rFonts w:ascii="Century Schoolbook" w:hAnsi="Century Schoolbook"/>
        </w:rPr>
        <w:t>at p. 669.)</w:t>
      </w:r>
    </w:p>
    <w:p w:rsidR="00837DD7" w:rsidRPr="005A144C" w:rsidP="002E22D7" w14:paraId="3BD9A3EA" w14:textId="6E85CDEA">
      <w:pPr>
        <w:spacing w:line="360" w:lineRule="auto"/>
        <w:rPr>
          <w:rFonts w:ascii="Century Schoolbook" w:hAnsi="Century Schoolbook"/>
        </w:rPr>
      </w:pPr>
      <w:r w:rsidRPr="005A144C">
        <w:rPr>
          <w:rFonts w:ascii="Century Schoolbook" w:hAnsi="Century Schoolbook"/>
        </w:rPr>
        <w:tab/>
      </w:r>
      <w:r w:rsidRPr="005A144C" w:rsidR="008E676F">
        <w:rPr>
          <w:rFonts w:ascii="Century Schoolbook" w:hAnsi="Century Schoolbook"/>
        </w:rPr>
        <w:t xml:space="preserve">The </w:t>
      </w:r>
      <w:r w:rsidRPr="005A144C" w:rsidR="00EE19A5">
        <w:rPr>
          <w:rFonts w:ascii="Century Schoolbook" w:hAnsi="Century Schoolbook"/>
        </w:rPr>
        <w:t xml:space="preserve">federal </w:t>
      </w:r>
      <w:r w:rsidRPr="005A144C" w:rsidR="008E676F">
        <w:rPr>
          <w:rFonts w:ascii="Century Schoolbook" w:hAnsi="Century Schoolbook"/>
        </w:rPr>
        <w:t>court determined that</w:t>
      </w:r>
      <w:r w:rsidRPr="005A144C" w:rsidR="00BA296C">
        <w:rPr>
          <w:rFonts w:ascii="Century Schoolbook" w:hAnsi="Century Schoolbook"/>
        </w:rPr>
        <w:t xml:space="preserve"> </w:t>
      </w:r>
      <w:r w:rsidRPr="005A144C" w:rsidR="00EE19A5">
        <w:rPr>
          <w:rFonts w:ascii="Century Schoolbook" w:hAnsi="Century Schoolbook"/>
        </w:rPr>
        <w:t xml:space="preserve">the </w:t>
      </w:r>
      <w:r w:rsidRPr="005A144C" w:rsidR="00C067ED">
        <w:rPr>
          <w:rFonts w:ascii="Century Schoolbook" w:hAnsi="Century Schoolbook"/>
        </w:rPr>
        <w:t>“</w:t>
      </w:r>
      <w:r w:rsidRPr="005A144C" w:rsidR="00BA296C">
        <w:rPr>
          <w:rFonts w:ascii="Century Schoolbook" w:hAnsi="Century Schoolbook"/>
        </w:rPr>
        <w:t>public purpose and benefit inherent in the Davis-Stirling</w:t>
      </w:r>
      <w:r w:rsidRPr="005A144C" w:rsidR="00C067ED">
        <w:rPr>
          <w:rFonts w:ascii="Century Schoolbook" w:hAnsi="Century Schoolbook"/>
        </w:rPr>
        <w:t xml:space="preserve"> Act and section 5655(a)” had been established</w:t>
      </w:r>
      <w:r w:rsidRPr="005A144C" w:rsidR="00321948">
        <w:rPr>
          <w:rFonts w:ascii="Century Schoolbook" w:hAnsi="Century Schoolbook"/>
        </w:rPr>
        <w:t>,</w:t>
      </w:r>
      <w:r w:rsidRPr="005A144C" w:rsidR="003F447A">
        <w:rPr>
          <w:rFonts w:ascii="Century Schoolbook" w:hAnsi="Century Schoolbook"/>
        </w:rPr>
        <w:t xml:space="preserve"> and there “</w:t>
      </w:r>
      <w:r w:rsidRPr="005A144C" w:rsidR="00DA2D89">
        <w:rPr>
          <w:rFonts w:ascii="Century Schoolbook" w:hAnsi="Century Schoolbook"/>
        </w:rPr>
        <w:t>can be no serious doubt that the Legislature adopted the Act for the primary purpose of protecting homeowner rights</w:t>
      </w:r>
      <w:r w:rsidRPr="005A144C" w:rsidR="00775561">
        <w:rPr>
          <w:rFonts w:ascii="Century Schoolbook" w:hAnsi="Century Schoolbook"/>
        </w:rPr>
        <w:t>—</w:t>
      </w:r>
      <w:r w:rsidRPr="005A144C" w:rsidR="00DA2D89">
        <w:rPr>
          <w:rFonts w:ascii="Century Schoolbook" w:hAnsi="Century Schoolbook"/>
        </w:rPr>
        <w:t>a quintessential public benefit.</w:t>
      </w:r>
      <w:r w:rsidRPr="005A144C" w:rsidR="003F447A">
        <w:rPr>
          <w:rFonts w:ascii="Century Schoolbook" w:hAnsi="Century Schoolbook"/>
        </w:rPr>
        <w:t>”</w:t>
      </w:r>
      <w:r w:rsidRPr="005A144C" w:rsidR="00353E92">
        <w:rPr>
          <w:rFonts w:ascii="Century Schoolbook" w:hAnsi="Century Schoolbook"/>
        </w:rPr>
        <w:t xml:space="preserve"> </w:t>
      </w:r>
      <w:r w:rsidRPr="005A144C" w:rsidR="00465AB4">
        <w:rPr>
          <w:rFonts w:ascii="Century Schoolbook" w:hAnsi="Century Schoolbook"/>
        </w:rPr>
        <w:t xml:space="preserve"> It </w:t>
      </w:r>
      <w:r w:rsidRPr="005A144C" w:rsidR="00A53358">
        <w:rPr>
          <w:rFonts w:ascii="Century Schoolbook" w:hAnsi="Century Schoolbook"/>
        </w:rPr>
        <w:t>pointed to</w:t>
      </w:r>
      <w:r w:rsidRPr="005A144C" w:rsidR="00465AB4">
        <w:rPr>
          <w:rFonts w:ascii="Century Schoolbook" w:hAnsi="Century Schoolbook"/>
        </w:rPr>
        <w:t xml:space="preserve"> legislative history</w:t>
      </w:r>
      <w:r w:rsidRPr="005A144C" w:rsidR="00A53358">
        <w:rPr>
          <w:rFonts w:ascii="Century Schoolbook" w:hAnsi="Century Schoolbook"/>
        </w:rPr>
        <w:t xml:space="preserve"> material </w:t>
      </w:r>
      <w:r w:rsidRPr="005A144C" w:rsidR="00B327BC">
        <w:rPr>
          <w:rFonts w:ascii="Century Schoolbook" w:hAnsi="Century Schoolbook"/>
        </w:rPr>
        <w:t xml:space="preserve">that </w:t>
      </w:r>
      <w:r w:rsidRPr="005A144C" w:rsidR="00F454DB">
        <w:rPr>
          <w:rFonts w:ascii="Century Schoolbook" w:hAnsi="Century Schoolbook"/>
        </w:rPr>
        <w:t xml:space="preserve">the provision </w:t>
      </w:r>
      <w:r w:rsidRPr="005A144C" w:rsidR="006771BD">
        <w:rPr>
          <w:rFonts w:ascii="Century Schoolbook" w:hAnsi="Century Schoolbook"/>
        </w:rPr>
        <w:t xml:space="preserve">now found </w:t>
      </w:r>
      <w:r w:rsidRPr="005A144C" w:rsidR="00F454DB">
        <w:rPr>
          <w:rFonts w:ascii="Century Schoolbook" w:hAnsi="Century Schoolbook"/>
        </w:rPr>
        <w:t xml:space="preserve">in section 5655(a) </w:t>
      </w:r>
      <w:r w:rsidRPr="005A144C" w:rsidR="0005358E">
        <w:rPr>
          <w:rFonts w:ascii="Century Schoolbook" w:hAnsi="Century Schoolbook"/>
        </w:rPr>
        <w:t>“</w:t>
      </w:r>
      <w:r w:rsidRPr="005A144C" w:rsidR="00F4193B">
        <w:rPr>
          <w:rFonts w:ascii="Century Schoolbook" w:hAnsi="Century Schoolbook"/>
        </w:rPr>
        <w:t> ‘</w:t>
      </w:r>
      <w:r w:rsidRPr="005A144C" w:rsidR="0005358E">
        <w:rPr>
          <w:rFonts w:ascii="Century Schoolbook" w:hAnsi="Century Schoolbook"/>
        </w:rPr>
        <w:t xml:space="preserve">goes to the heart of home owner rights, </w:t>
      </w:r>
      <w:r w:rsidRPr="005A144C" w:rsidR="00F67070">
        <w:rPr>
          <w:rFonts w:ascii="Century Schoolbook" w:hAnsi="Century Schoolbook"/>
        </w:rPr>
        <w:t>touching upon the key issue of when</w:t>
      </w:r>
      <w:r w:rsidRPr="005A144C" w:rsidR="00F4193B">
        <w:rPr>
          <w:rFonts w:ascii="Century Schoolbook" w:hAnsi="Century Schoolbook"/>
        </w:rPr>
        <w:t>, if ever, a homeowners’ association should have the right to force the sale of a member’s home when the home owner falls behind on paying overdue assessments or dues</w:t>
      </w:r>
      <w:r w:rsidRPr="005A144C" w:rsidR="00775561">
        <w:rPr>
          <w:rFonts w:ascii="Century Schoolbook" w:hAnsi="Century Schoolbook"/>
        </w:rPr>
        <w:t>.</w:t>
      </w:r>
      <w:r w:rsidRPr="005A144C" w:rsidR="00F4193B">
        <w:rPr>
          <w:rFonts w:ascii="Century Schoolbook" w:hAnsi="Century Schoolbook"/>
        </w:rPr>
        <w:t>’ ”</w:t>
      </w:r>
    </w:p>
    <w:p w:rsidR="005446AE" w:rsidRPr="005A144C" w:rsidP="002E22D7" w14:paraId="45F58502" w14:textId="1F4E8AB0">
      <w:pPr>
        <w:spacing w:line="360" w:lineRule="auto"/>
        <w:rPr>
          <w:rFonts w:ascii="Century Schoolbook" w:hAnsi="Century Schoolbook"/>
        </w:rPr>
      </w:pPr>
      <w:r w:rsidRPr="005A144C">
        <w:rPr>
          <w:rFonts w:ascii="Century Schoolbook" w:hAnsi="Century Schoolbook"/>
        </w:rPr>
        <w:tab/>
      </w:r>
      <w:r w:rsidRPr="005A144C" w:rsidR="00321948">
        <w:rPr>
          <w:rFonts w:ascii="Century Schoolbook" w:hAnsi="Century Schoolbook"/>
        </w:rPr>
        <w:t>The federal court</w:t>
      </w:r>
      <w:r w:rsidRPr="005A144C">
        <w:rPr>
          <w:rFonts w:ascii="Century Schoolbook" w:hAnsi="Century Schoolbook"/>
        </w:rPr>
        <w:t xml:space="preserve"> </w:t>
      </w:r>
      <w:r w:rsidRPr="005A144C" w:rsidR="005D2860">
        <w:rPr>
          <w:rFonts w:ascii="Century Schoolbook" w:hAnsi="Century Schoolbook"/>
        </w:rPr>
        <w:t xml:space="preserve">thus </w:t>
      </w:r>
      <w:r w:rsidRPr="005A144C">
        <w:rPr>
          <w:rFonts w:ascii="Century Schoolbook" w:hAnsi="Century Schoolbook"/>
        </w:rPr>
        <w:t>concluded that</w:t>
      </w:r>
      <w:r w:rsidRPr="005A144C" w:rsidR="00064B38">
        <w:rPr>
          <w:rFonts w:ascii="Century Schoolbook" w:hAnsi="Century Schoolbook"/>
        </w:rPr>
        <w:t xml:space="preserve"> section 5655(a)</w:t>
      </w:r>
      <w:r w:rsidRPr="005A144C" w:rsidR="00837DD7">
        <w:rPr>
          <w:rFonts w:ascii="Century Schoolbook" w:hAnsi="Century Schoolbook"/>
        </w:rPr>
        <w:t xml:space="preserve"> </w:t>
      </w:r>
      <w:r w:rsidRPr="005A144C">
        <w:rPr>
          <w:rFonts w:ascii="Century Schoolbook" w:hAnsi="Century Schoolbook"/>
        </w:rPr>
        <w:t>“</w:t>
      </w:r>
      <w:r w:rsidRPr="005A144C" w:rsidR="00837DD7">
        <w:rPr>
          <w:rFonts w:ascii="Century Schoolbook" w:hAnsi="Century Schoolbook"/>
        </w:rPr>
        <w:t>serves the important public purpose of protecting homeowner equity and rights by ensuring that a delinquent assessment, which is the original debt that opens the door to collection costs and ultimately foreclosure, is paid down as a first priority.  This allocation clearly serves the legislative goal of preventing foreclosure over small delinquencies, and operates to cut off a cascade of late fees and collection costs likely to lead to defaults and foreclosures.</w:t>
      </w:r>
      <w:r w:rsidRPr="005A144C" w:rsidR="009957D0">
        <w:rPr>
          <w:rFonts w:ascii="Century Schoolbook" w:hAnsi="Century Schoolbook"/>
        </w:rPr>
        <w:t xml:space="preserve"> </w:t>
      </w:r>
      <w:r w:rsidRPr="005A144C" w:rsidR="00837DD7">
        <w:rPr>
          <w:rFonts w:ascii="Century Schoolbook" w:hAnsi="Century Schoolbook"/>
        </w:rPr>
        <w:t xml:space="preserve"> To allow a waiver of this provision by contract would flout the very purpose of the section and the Davis-Stirling Act generally, and so the contract clause must be voided as against public policy.</w:t>
      </w:r>
      <w:r w:rsidRPr="005A144C" w:rsidR="009957D0">
        <w:rPr>
          <w:rFonts w:ascii="Century Schoolbook" w:hAnsi="Century Schoolbook"/>
        </w:rPr>
        <w:t xml:space="preserve">” </w:t>
      </w:r>
      <w:r w:rsidRPr="005A144C" w:rsidR="003164C2">
        <w:rPr>
          <w:rFonts w:ascii="Century Schoolbook" w:hAnsi="Century Schoolbook"/>
        </w:rPr>
        <w:t xml:space="preserve"> </w:t>
      </w:r>
      <w:r w:rsidRPr="005A144C" w:rsidR="00215687">
        <w:rPr>
          <w:rFonts w:ascii="Century Schoolbook" w:hAnsi="Century Schoolbook"/>
        </w:rPr>
        <w:t xml:space="preserve">The parties’ </w:t>
      </w:r>
      <w:r w:rsidRPr="005A144C" w:rsidR="000763E1">
        <w:rPr>
          <w:rFonts w:ascii="Century Schoolbook" w:hAnsi="Century Schoolbook"/>
        </w:rPr>
        <w:t xml:space="preserve">subsequent </w:t>
      </w:r>
      <w:r w:rsidRPr="005A144C" w:rsidR="00215687">
        <w:rPr>
          <w:rFonts w:ascii="Century Schoolbook" w:hAnsi="Century Schoolbook"/>
        </w:rPr>
        <w:t xml:space="preserve">stipulation for dismissal of the federal case </w:t>
      </w:r>
      <w:r w:rsidRPr="005A144C" w:rsidR="00284F2A">
        <w:rPr>
          <w:rFonts w:ascii="Century Schoolbook" w:hAnsi="Century Schoolbook"/>
        </w:rPr>
        <w:t>and refiling in state</w:t>
      </w:r>
      <w:r w:rsidRPr="005A144C" w:rsidR="00C23528">
        <w:rPr>
          <w:rFonts w:ascii="Century Schoolbook" w:hAnsi="Century Schoolbook"/>
        </w:rPr>
        <w:t xml:space="preserve"> court</w:t>
      </w:r>
      <w:r w:rsidRPr="005A144C" w:rsidR="00284F2A">
        <w:rPr>
          <w:rFonts w:ascii="Century Schoolbook" w:hAnsi="Century Schoolbook"/>
        </w:rPr>
        <w:t xml:space="preserve"> </w:t>
      </w:r>
      <w:r w:rsidRPr="005A144C" w:rsidR="0038491C">
        <w:rPr>
          <w:rFonts w:ascii="Century Schoolbook" w:hAnsi="Century Schoolbook"/>
        </w:rPr>
        <w:t>provided</w:t>
      </w:r>
      <w:r w:rsidRPr="005A144C" w:rsidR="00B9789F">
        <w:rPr>
          <w:rFonts w:ascii="Century Schoolbook" w:hAnsi="Century Schoolbook"/>
        </w:rPr>
        <w:t xml:space="preserve"> that the “new state court action will be subject to this Court’s Order Re Summary Judgment.” </w:t>
      </w:r>
    </w:p>
    <w:p w:rsidR="00142972" w:rsidRPr="005A144C" w:rsidP="002E22D7" w14:paraId="740F7281" w14:textId="79E61D79">
      <w:pPr>
        <w:spacing w:line="360" w:lineRule="auto"/>
        <w:rPr>
          <w:rFonts w:ascii="Century Schoolbook" w:hAnsi="Century Schoolbook"/>
        </w:rPr>
      </w:pPr>
      <w:r w:rsidRPr="005A144C">
        <w:rPr>
          <w:rFonts w:ascii="Century Schoolbook" w:hAnsi="Century Schoolbook"/>
        </w:rPr>
        <w:tab/>
        <w:t xml:space="preserve">When ALS moved for summary judgment in </w:t>
      </w:r>
      <w:r w:rsidRPr="005A144C" w:rsidR="00B9398A">
        <w:rPr>
          <w:rFonts w:ascii="Century Schoolbook" w:hAnsi="Century Schoolbook"/>
        </w:rPr>
        <w:t>the</w:t>
      </w:r>
      <w:r w:rsidRPr="005A144C" w:rsidR="00DF73AC">
        <w:rPr>
          <w:rFonts w:ascii="Century Schoolbook" w:hAnsi="Century Schoolbook"/>
        </w:rPr>
        <w:t xml:space="preserve"> state court </w:t>
      </w:r>
      <w:r w:rsidRPr="005A144C">
        <w:rPr>
          <w:rFonts w:ascii="Century Schoolbook" w:hAnsi="Century Schoolbook"/>
        </w:rPr>
        <w:t>action, it</w:t>
      </w:r>
      <w:r w:rsidRPr="005A144C" w:rsidR="0038337E">
        <w:rPr>
          <w:rFonts w:ascii="Century Schoolbook" w:hAnsi="Century Schoolbook"/>
        </w:rPr>
        <w:t xml:space="preserve"> </w:t>
      </w:r>
      <w:r w:rsidRPr="005A144C" w:rsidR="00265692">
        <w:rPr>
          <w:rFonts w:ascii="Century Schoolbook" w:hAnsi="Century Schoolbook"/>
        </w:rPr>
        <w:t>renewed its argument that Doskocz</w:t>
      </w:r>
      <w:r w:rsidRPr="005A144C" w:rsidR="00EE670A">
        <w:rPr>
          <w:rFonts w:ascii="Century Schoolbook" w:hAnsi="Century Schoolbook"/>
        </w:rPr>
        <w:t>’s claims failed as a matter of law because she</w:t>
      </w:r>
      <w:r w:rsidRPr="005A144C" w:rsidR="00265692">
        <w:rPr>
          <w:rFonts w:ascii="Century Schoolbook" w:hAnsi="Century Schoolbook"/>
        </w:rPr>
        <w:t xml:space="preserve"> had waived section 5655(a). </w:t>
      </w:r>
      <w:r w:rsidRPr="005A144C" w:rsidR="004B3E2A">
        <w:rPr>
          <w:rFonts w:ascii="Century Schoolbook" w:hAnsi="Century Schoolbook"/>
        </w:rPr>
        <w:t xml:space="preserve"> </w:t>
      </w:r>
      <w:r w:rsidRPr="005A144C" w:rsidR="007347BB">
        <w:rPr>
          <w:rFonts w:ascii="Century Schoolbook" w:hAnsi="Century Schoolbook"/>
        </w:rPr>
        <w:t>The state court</w:t>
      </w:r>
      <w:r w:rsidRPr="005A144C" w:rsidR="00CA070F">
        <w:rPr>
          <w:rFonts w:ascii="Century Schoolbook" w:hAnsi="Century Schoolbook"/>
        </w:rPr>
        <w:t xml:space="preserve"> </w:t>
      </w:r>
      <w:r w:rsidRPr="005A144C" w:rsidR="00412F42">
        <w:rPr>
          <w:rFonts w:ascii="Century Schoolbook" w:hAnsi="Century Schoolbook"/>
        </w:rPr>
        <w:t xml:space="preserve">rejected </w:t>
      </w:r>
      <w:r w:rsidRPr="005A144C" w:rsidR="004955D4">
        <w:rPr>
          <w:rFonts w:ascii="Century Schoolbook" w:hAnsi="Century Schoolbook"/>
        </w:rPr>
        <w:t>this</w:t>
      </w:r>
      <w:r w:rsidRPr="005A144C" w:rsidR="00412F42">
        <w:rPr>
          <w:rFonts w:ascii="Century Schoolbook" w:hAnsi="Century Schoolbook"/>
        </w:rPr>
        <w:t xml:space="preserve"> argument</w:t>
      </w:r>
      <w:r w:rsidRPr="005A144C" w:rsidR="00860E6F">
        <w:rPr>
          <w:rFonts w:ascii="Century Schoolbook" w:hAnsi="Century Schoolbook"/>
        </w:rPr>
        <w:t xml:space="preserve"> and denied the motion</w:t>
      </w:r>
      <w:r w:rsidRPr="005A144C" w:rsidR="00412F42">
        <w:rPr>
          <w:rFonts w:ascii="Century Schoolbook" w:hAnsi="Century Schoolbook"/>
        </w:rPr>
        <w:t xml:space="preserve">.  It </w:t>
      </w:r>
      <w:r w:rsidRPr="005A144C" w:rsidR="00CA070F">
        <w:rPr>
          <w:rFonts w:ascii="Century Schoolbook" w:hAnsi="Century Schoolbook"/>
        </w:rPr>
        <w:t>explained</w:t>
      </w:r>
      <w:r w:rsidRPr="005A144C" w:rsidR="00FF2B3D">
        <w:rPr>
          <w:rFonts w:ascii="Century Schoolbook" w:hAnsi="Century Schoolbook"/>
        </w:rPr>
        <w:t>:  “</w:t>
      </w:r>
      <w:r w:rsidRPr="005A144C" w:rsidR="007347BB">
        <w:rPr>
          <w:rFonts w:ascii="Century Schoolbook" w:hAnsi="Century Schoolbook"/>
        </w:rPr>
        <w:t>ALS’</w:t>
      </w:r>
      <w:r w:rsidRPr="005A144C" w:rsidR="00E244E0">
        <w:rPr>
          <w:rFonts w:ascii="Century Schoolbook" w:hAnsi="Century Schoolbook"/>
        </w:rPr>
        <w:t>[s]</w:t>
      </w:r>
      <w:r w:rsidRPr="005A144C" w:rsidR="007347BB">
        <w:rPr>
          <w:rFonts w:ascii="Century Schoolbook" w:hAnsi="Century Schoolbook"/>
        </w:rPr>
        <w:t xml:space="preserve"> motion for summary judgment is either a motion</w:t>
      </w:r>
      <w:r w:rsidRPr="005A144C" w:rsidR="006043D7">
        <w:rPr>
          <w:rFonts w:ascii="Century Schoolbook" w:hAnsi="Century Schoolbook"/>
        </w:rPr>
        <w:t xml:space="preserve"> for reconsideration or a motion for summary judgment on an issue already decided against the moving party. .</w:t>
      </w:r>
      <w:r w:rsidRPr="005A144C" w:rsidR="00E244E0">
        <w:rPr>
          <w:rFonts w:ascii="Century Schoolbook" w:hAnsi="Century Schoolbook"/>
        </w:rPr>
        <w:t> </w:t>
      </w:r>
      <w:r w:rsidRPr="005A144C" w:rsidR="006043D7">
        <w:rPr>
          <w:rFonts w:ascii="Century Schoolbook" w:hAnsi="Century Schoolbook"/>
        </w:rPr>
        <w:t>.</w:t>
      </w:r>
      <w:r w:rsidRPr="005A144C" w:rsidR="00E244E0">
        <w:rPr>
          <w:rFonts w:ascii="Century Schoolbook" w:hAnsi="Century Schoolbook"/>
        </w:rPr>
        <w:t> </w:t>
      </w:r>
      <w:r w:rsidRPr="005A144C" w:rsidR="006043D7">
        <w:rPr>
          <w:rFonts w:ascii="Century Schoolbook" w:hAnsi="Century Schoolbook"/>
        </w:rPr>
        <w:t>. ALS has made no showing of new facts or law and it appears that the majority of ALS’</w:t>
      </w:r>
      <w:r w:rsidRPr="005A144C" w:rsidR="00052243">
        <w:rPr>
          <w:rFonts w:ascii="Century Schoolbook" w:hAnsi="Century Schoolbook"/>
        </w:rPr>
        <w:t>[s]</w:t>
      </w:r>
      <w:r w:rsidRPr="005A144C" w:rsidR="006043D7">
        <w:rPr>
          <w:rFonts w:ascii="Century Schoolbook" w:hAnsi="Century Schoolbook"/>
        </w:rPr>
        <w:t xml:space="preserve"> waiver argument</w:t>
      </w:r>
      <w:r w:rsidRPr="005A144C" w:rsidR="00DE7A35">
        <w:rPr>
          <w:rFonts w:ascii="Century Schoolbook" w:hAnsi="Century Schoolbook"/>
        </w:rPr>
        <w:t xml:space="preserve"> is identical to the argument it made in federal court.”</w:t>
      </w:r>
      <w:r w:rsidRPr="005A144C" w:rsidR="007347BB">
        <w:rPr>
          <w:rFonts w:ascii="Century Schoolbook" w:hAnsi="Century Schoolbook"/>
        </w:rPr>
        <w:t xml:space="preserve"> </w:t>
      </w:r>
      <w:r w:rsidRPr="005A144C" w:rsidR="00AE65AF">
        <w:rPr>
          <w:rFonts w:ascii="Century Schoolbook" w:hAnsi="Century Schoolbook"/>
        </w:rPr>
        <w:t xml:space="preserve"> The state court declined to reconsider ALS’s waiver argument.  It found that the federal court ruling “stands and thus, the waiver of Civil Code section 5655(a) is invalid.”  </w:t>
      </w:r>
    </w:p>
    <w:p w:rsidR="00D77561" w:rsidRPr="005A144C" w:rsidP="002E22D7" w14:paraId="15961637" w14:textId="5A4201FB">
      <w:pPr>
        <w:keepNext/>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 xml:space="preserve">2. </w:t>
      </w:r>
      <w:r w:rsidRPr="005A144C" w:rsidR="00052243">
        <w:rPr>
          <w:rFonts w:ascii="Century Schoolbook" w:hAnsi="Century Schoolbook"/>
          <w:b/>
          <w:bCs/>
        </w:rPr>
        <w:t xml:space="preserve"> </w:t>
      </w:r>
      <w:r w:rsidRPr="005A144C">
        <w:rPr>
          <w:rFonts w:ascii="Century Schoolbook" w:hAnsi="Century Schoolbook"/>
          <w:b/>
          <w:bCs/>
        </w:rPr>
        <w:t>Analysis</w:t>
      </w:r>
    </w:p>
    <w:p w:rsidR="00140C4E" w:rsidRPr="005A144C" w:rsidP="002E22D7" w14:paraId="69E8F9C0" w14:textId="5A290BA2">
      <w:pPr>
        <w:spacing w:line="360" w:lineRule="auto"/>
        <w:rPr>
          <w:rFonts w:ascii="Century Schoolbook" w:hAnsi="Century Schoolbook"/>
        </w:rPr>
      </w:pPr>
      <w:r w:rsidRPr="005A144C">
        <w:rPr>
          <w:rFonts w:ascii="Century Schoolbook" w:hAnsi="Century Schoolbook"/>
        </w:rPr>
        <w:tab/>
        <w:t>ALS</w:t>
      </w:r>
      <w:r w:rsidRPr="005A144C" w:rsidR="00D8665C">
        <w:rPr>
          <w:rFonts w:ascii="Century Schoolbook" w:hAnsi="Century Schoolbook"/>
        </w:rPr>
        <w:t xml:space="preserve"> appears to challenge the section 5655(a) waiver ruling in two respects</w:t>
      </w:r>
      <w:r w:rsidRPr="005A144C" w:rsidR="009C517F">
        <w:rPr>
          <w:rFonts w:ascii="Century Schoolbook" w:hAnsi="Century Schoolbook"/>
        </w:rPr>
        <w:t>, arguing that</w:t>
      </w:r>
      <w:r w:rsidRPr="005A144C" w:rsidR="00CB3F78">
        <w:rPr>
          <w:rFonts w:ascii="Century Schoolbook" w:hAnsi="Century Schoolbook"/>
        </w:rPr>
        <w:t xml:space="preserve"> </w:t>
      </w:r>
      <w:r w:rsidRPr="005A144C" w:rsidR="009C517F">
        <w:rPr>
          <w:rFonts w:ascii="Century Schoolbook" w:hAnsi="Century Schoolbook"/>
        </w:rPr>
        <w:t xml:space="preserve">(1) </w:t>
      </w:r>
      <w:r w:rsidRPr="005A144C" w:rsidR="005B68A6">
        <w:rPr>
          <w:rFonts w:ascii="Century Schoolbook" w:hAnsi="Century Schoolbook"/>
        </w:rPr>
        <w:t xml:space="preserve">the federal </w:t>
      </w:r>
      <w:r w:rsidRPr="005A144C" w:rsidR="003271AB">
        <w:rPr>
          <w:rFonts w:ascii="Century Schoolbook" w:hAnsi="Century Schoolbook"/>
        </w:rPr>
        <w:t>judge</w:t>
      </w:r>
      <w:r w:rsidRPr="005A144C" w:rsidR="005B68A6">
        <w:rPr>
          <w:rFonts w:ascii="Century Schoolbook" w:hAnsi="Century Schoolbook"/>
        </w:rPr>
        <w:t xml:space="preserve"> was “wrong” in finding</w:t>
      </w:r>
      <w:r w:rsidRPr="005A144C" w:rsidR="009C517F">
        <w:rPr>
          <w:rFonts w:ascii="Century Schoolbook" w:hAnsi="Century Schoolbook"/>
        </w:rPr>
        <w:t xml:space="preserve"> the waiver void as a matter of public policy, and (2) </w:t>
      </w:r>
      <w:r w:rsidRPr="005A144C" w:rsidR="008C5CAE">
        <w:rPr>
          <w:rFonts w:ascii="Century Schoolbook" w:hAnsi="Century Schoolbook"/>
        </w:rPr>
        <w:t xml:space="preserve">the </w:t>
      </w:r>
      <w:r w:rsidRPr="005A144C" w:rsidR="009C517F">
        <w:rPr>
          <w:rFonts w:ascii="Century Schoolbook" w:hAnsi="Century Schoolbook"/>
        </w:rPr>
        <w:t>state</w:t>
      </w:r>
      <w:r w:rsidRPr="005A144C" w:rsidR="008C5CAE">
        <w:rPr>
          <w:rFonts w:ascii="Century Schoolbook" w:hAnsi="Century Schoolbook"/>
        </w:rPr>
        <w:t xml:space="preserve"> court erred in </w:t>
      </w:r>
      <w:r w:rsidRPr="005A144C" w:rsidR="005554AC">
        <w:rPr>
          <w:rFonts w:ascii="Century Schoolbook" w:hAnsi="Century Schoolbook"/>
        </w:rPr>
        <w:t>“</w:t>
      </w:r>
      <w:r w:rsidRPr="005A144C" w:rsidR="008C5CAE">
        <w:rPr>
          <w:rFonts w:ascii="Century Schoolbook" w:hAnsi="Century Schoolbook"/>
        </w:rPr>
        <w:t>adopting</w:t>
      </w:r>
      <w:r w:rsidRPr="005A144C" w:rsidR="005554AC">
        <w:rPr>
          <w:rFonts w:ascii="Century Schoolbook" w:hAnsi="Century Schoolbook"/>
        </w:rPr>
        <w:t>”</w:t>
      </w:r>
      <w:r w:rsidRPr="005A144C" w:rsidR="008C5CAE">
        <w:rPr>
          <w:rFonts w:ascii="Century Schoolbook" w:hAnsi="Century Schoolbook"/>
        </w:rPr>
        <w:t xml:space="preserve"> the federal </w:t>
      </w:r>
      <w:r w:rsidRPr="005A144C" w:rsidR="009C517F">
        <w:rPr>
          <w:rFonts w:ascii="Century Schoolbook" w:hAnsi="Century Schoolbook"/>
        </w:rPr>
        <w:t xml:space="preserve">court’s </w:t>
      </w:r>
      <w:r w:rsidRPr="005A144C" w:rsidR="008C5CAE">
        <w:rPr>
          <w:rFonts w:ascii="Century Schoolbook" w:hAnsi="Century Schoolbook"/>
        </w:rPr>
        <w:t xml:space="preserve">ruling. </w:t>
      </w:r>
      <w:r w:rsidRPr="005A144C" w:rsidR="00846F84">
        <w:rPr>
          <w:rFonts w:ascii="Century Schoolbook" w:hAnsi="Century Schoolbook"/>
        </w:rPr>
        <w:t xml:space="preserve"> </w:t>
      </w:r>
    </w:p>
    <w:p w:rsidR="00E53642" w:rsidRPr="005A144C" w:rsidP="002E22D7" w14:paraId="47E498B0" w14:textId="4CC2670C">
      <w:pPr>
        <w:spacing w:line="360" w:lineRule="auto"/>
        <w:rPr>
          <w:rFonts w:ascii="Century Schoolbook" w:hAnsi="Century Schoolbook"/>
        </w:rPr>
      </w:pPr>
      <w:r w:rsidRPr="005A144C">
        <w:rPr>
          <w:rFonts w:ascii="Century Schoolbook" w:hAnsi="Century Schoolbook"/>
        </w:rPr>
        <w:tab/>
      </w:r>
      <w:r w:rsidRPr="005A144C" w:rsidR="003271AB">
        <w:rPr>
          <w:rFonts w:ascii="Century Schoolbook" w:hAnsi="Century Schoolbook"/>
        </w:rPr>
        <w:t xml:space="preserve">As for the federal judge’s </w:t>
      </w:r>
      <w:r w:rsidRPr="005A144C" w:rsidR="00D55E07">
        <w:rPr>
          <w:rFonts w:ascii="Century Schoolbook" w:hAnsi="Century Schoolbook"/>
        </w:rPr>
        <w:t>interpretation of section 5655, our review is de novo.  (</w:t>
      </w:r>
      <w:r w:rsidRPr="005A144C" w:rsidR="00D55E07">
        <w:rPr>
          <w:rFonts w:ascii="Century Schoolbook" w:hAnsi="Century Schoolbook"/>
          <w:i/>
          <w:iCs/>
        </w:rPr>
        <w:t>Reid v. Google, Inc.</w:t>
      </w:r>
      <w:r w:rsidRPr="005A144C" w:rsidR="00D55E07">
        <w:rPr>
          <w:rFonts w:ascii="Century Schoolbook" w:hAnsi="Century Schoolbook"/>
        </w:rPr>
        <w:t xml:space="preserve"> (2010) 50 Cal.4th 512, 527.)</w:t>
      </w:r>
      <w:r w:rsidRPr="005A144C" w:rsidR="003271AB">
        <w:rPr>
          <w:rFonts w:ascii="Century Schoolbook" w:hAnsi="Century Schoolbook"/>
        </w:rPr>
        <w:t xml:space="preserve"> </w:t>
      </w:r>
      <w:r w:rsidRPr="005A144C" w:rsidR="00D55E07">
        <w:rPr>
          <w:rFonts w:ascii="Century Schoolbook" w:hAnsi="Century Schoolbook"/>
        </w:rPr>
        <w:t xml:space="preserve"> </w:t>
      </w:r>
      <w:r w:rsidRPr="005A144C">
        <w:rPr>
          <w:rFonts w:ascii="Century Schoolbook" w:hAnsi="Century Schoolbook"/>
        </w:rPr>
        <w:t>“</w:t>
      </w:r>
      <w:r w:rsidRPr="005A144C" w:rsidR="000225AA">
        <w:rPr>
          <w:rFonts w:ascii="Century Schoolbook" w:hAnsi="Century Schoolbook"/>
        </w:rPr>
        <w:t> </w:t>
      </w:r>
      <w:r w:rsidRPr="005A144C">
        <w:rPr>
          <w:rFonts w:ascii="Century Schoolbook" w:hAnsi="Century Schoolbook"/>
        </w:rPr>
        <w:t>‘</w:t>
      </w:r>
      <w:r w:rsidRPr="005A144C" w:rsidR="00DC015D">
        <w:rPr>
          <w:rFonts w:ascii="Century Schoolbook" w:hAnsi="Century Schoolbook"/>
        </w:rPr>
        <w:t> “</w:t>
      </w:r>
      <w:r w:rsidRPr="005A144C">
        <w:rPr>
          <w:rFonts w:ascii="Century Schoolbook" w:hAnsi="Century Schoolbook"/>
        </w:rPr>
        <w:t>The fundamental rule of statutory construction is that a court should ascertain the intent of the Legislature so as to effectuate the purpose of the law.</w:t>
      </w:r>
      <w:r w:rsidRPr="005A144C" w:rsidR="00DC015D">
        <w:rPr>
          <w:rFonts w:ascii="Century Schoolbook" w:hAnsi="Century Schoolbook"/>
        </w:rPr>
        <w:t>” </w:t>
      </w:r>
      <w:r w:rsidRPr="005A144C">
        <w:rPr>
          <w:rFonts w:ascii="Century Schoolbook" w:hAnsi="Century Schoolbook"/>
        </w:rPr>
        <w:t>’</w:t>
      </w:r>
      <w:r w:rsidRPr="005A144C" w:rsidR="000225AA">
        <w:rPr>
          <w:rFonts w:ascii="Century Schoolbook" w:hAnsi="Century Schoolbook"/>
        </w:rPr>
        <w:t> </w:t>
      </w:r>
      <w:r w:rsidRPr="005A144C">
        <w:rPr>
          <w:rFonts w:ascii="Century Schoolbook" w:hAnsi="Century Schoolbook"/>
        </w:rPr>
        <w:t>”  (</w:t>
      </w:r>
      <w:r w:rsidRPr="005A144C">
        <w:rPr>
          <w:rFonts w:ascii="Century Schoolbook" w:hAnsi="Century Schoolbook"/>
          <w:i/>
          <w:iCs/>
        </w:rPr>
        <w:t>Pacific Fertility Cases</w:t>
      </w:r>
      <w:r w:rsidRPr="005A144C">
        <w:rPr>
          <w:rFonts w:ascii="Century Schoolbook" w:hAnsi="Century Schoolbook"/>
        </w:rPr>
        <w:t xml:space="preserve"> (2022) 78 Cal.App.5th 568, 575.)  “ ‘</w:t>
      </w:r>
      <w:r w:rsidRPr="005A144C" w:rsidR="0056779B">
        <w:rPr>
          <w:rFonts w:ascii="Century Schoolbook" w:hAnsi="Century Schoolbook"/>
        </w:rPr>
        <w:t>[W]</w:t>
      </w:r>
      <w:r w:rsidRPr="005A144C">
        <w:rPr>
          <w:rFonts w:ascii="Century Schoolbook" w:hAnsi="Century Schoolbook"/>
        </w:rPr>
        <w:t>e first examine the words themselves, giving them their usual and ordinary meaning and construing them in context.’ ”  (</w:t>
      </w:r>
      <w:r w:rsidRPr="005A144C">
        <w:rPr>
          <w:rFonts w:ascii="Century Schoolbook" w:hAnsi="Century Schoolbook"/>
          <w:i/>
          <w:iCs/>
        </w:rPr>
        <w:t>Id.</w:t>
      </w:r>
      <w:r w:rsidRPr="005A144C">
        <w:rPr>
          <w:rFonts w:ascii="Century Schoolbook" w:hAnsi="Century Schoolbook"/>
        </w:rPr>
        <w:t xml:space="preserve"> at p</w:t>
      </w:r>
      <w:r w:rsidRPr="005A144C" w:rsidR="007C2E03">
        <w:rPr>
          <w:rFonts w:ascii="Century Schoolbook" w:hAnsi="Century Schoolbook"/>
        </w:rPr>
        <w:t>. </w:t>
      </w:r>
      <w:r w:rsidRPr="005A144C">
        <w:rPr>
          <w:rFonts w:ascii="Century Schoolbook" w:hAnsi="Century Schoolbook"/>
        </w:rPr>
        <w:t>576.)  “</w:t>
      </w:r>
      <w:r w:rsidRPr="005A144C" w:rsidR="00954BDD">
        <w:rPr>
          <w:rFonts w:ascii="Century Schoolbook" w:hAnsi="Century Schoolbook"/>
        </w:rPr>
        <w:t> ‘</w:t>
      </w:r>
      <w:r w:rsidRPr="005A144C">
        <w:rPr>
          <w:rFonts w:ascii="Century Schoolbook" w:hAnsi="Century Schoolbook"/>
        </w:rPr>
        <w:t>If the words in the statute do not, by themselves, provide a reliable indicator of legislative intent,</w:t>
      </w:r>
      <w:r w:rsidRPr="005A144C" w:rsidR="00DC015D">
        <w:rPr>
          <w:rFonts w:ascii="Century Schoolbook" w:hAnsi="Century Schoolbook"/>
        </w:rPr>
        <w:t>’ </w:t>
      </w:r>
      <w:r w:rsidRPr="005A144C" w:rsidR="00954BDD">
        <w:rPr>
          <w:rFonts w:ascii="Century Schoolbook" w:hAnsi="Century Schoolbook"/>
        </w:rPr>
        <w:t>” we look “</w:t>
      </w:r>
      <w:r w:rsidRPr="005A144C" w:rsidR="007C2E03">
        <w:rPr>
          <w:rFonts w:ascii="Century Schoolbook" w:hAnsi="Century Schoolbook"/>
        </w:rPr>
        <w:t> ‘</w:t>
      </w:r>
      <w:r w:rsidRPr="005A144C" w:rsidR="00B63193">
        <w:rPr>
          <w:rFonts w:ascii="Century Schoolbook" w:hAnsi="Century Schoolbook"/>
        </w:rPr>
        <w:t> “ ‘</w:t>
      </w:r>
      <w:r w:rsidRPr="005A144C" w:rsidR="00A84488">
        <w:rPr>
          <w:rFonts w:ascii="Century Schoolbook" w:hAnsi="Century Schoolbook"/>
        </w:rPr>
        <w:t xml:space="preserve">to </w:t>
      </w:r>
      <w:r w:rsidRPr="005A144C" w:rsidR="00954BDD">
        <w:rPr>
          <w:rFonts w:ascii="Century Schoolbook" w:hAnsi="Century Schoolbook"/>
        </w:rPr>
        <w:t>a variety of extrinsic aids, including the ostensible objects to be achieved, the evils to be remedied, the legislative history, public policy, contemporaneous administrative construction, and the statutory scheme of which the statute is a part.</w:t>
      </w:r>
      <w:r w:rsidRPr="005A144C" w:rsidR="00B63193">
        <w:rPr>
          <w:rFonts w:ascii="Century Schoolbook" w:hAnsi="Century Schoolbook"/>
        </w:rPr>
        <w:t>’ ” </w:t>
      </w:r>
      <w:r w:rsidRPr="005A144C" w:rsidR="007C2E03">
        <w:rPr>
          <w:rFonts w:ascii="Century Schoolbook" w:hAnsi="Century Schoolbook"/>
        </w:rPr>
        <w:t>’ </w:t>
      </w:r>
      <w:r w:rsidRPr="005A144C" w:rsidR="00954BDD">
        <w:rPr>
          <w:rFonts w:ascii="Century Schoolbook" w:hAnsi="Century Schoolbook"/>
        </w:rPr>
        <w:t>”</w:t>
      </w:r>
      <w:r w:rsidRPr="005A144C" w:rsidR="002E73E9">
        <w:rPr>
          <w:rFonts w:ascii="Century Schoolbook" w:hAnsi="Century Schoolbook"/>
        </w:rPr>
        <w:t xml:space="preserve">  (</w:t>
      </w:r>
      <w:r w:rsidRPr="005A144C" w:rsidR="002E73E9">
        <w:rPr>
          <w:rFonts w:ascii="Century Schoolbook" w:hAnsi="Century Schoolbook"/>
          <w:i/>
          <w:iCs/>
        </w:rPr>
        <w:t>I</w:t>
      </w:r>
      <w:r w:rsidRPr="005A144C" w:rsidR="007C2E03">
        <w:rPr>
          <w:rFonts w:ascii="Century Schoolbook" w:hAnsi="Century Schoolbook"/>
          <w:i/>
          <w:iCs/>
        </w:rPr>
        <w:t>bi</w:t>
      </w:r>
      <w:r w:rsidRPr="005A144C" w:rsidR="002E73E9">
        <w:rPr>
          <w:rFonts w:ascii="Century Schoolbook" w:hAnsi="Century Schoolbook"/>
          <w:i/>
          <w:iCs/>
        </w:rPr>
        <w:t>d</w:t>
      </w:r>
      <w:r w:rsidRPr="005A144C" w:rsidR="002E73E9">
        <w:rPr>
          <w:rFonts w:ascii="Century Schoolbook" w:hAnsi="Century Schoolbook"/>
        </w:rPr>
        <w:t xml:space="preserve">.)  </w:t>
      </w:r>
      <w:r w:rsidRPr="005A144C">
        <w:rPr>
          <w:rFonts w:ascii="Century Schoolbook" w:hAnsi="Century Schoolbook"/>
        </w:rPr>
        <w:t xml:space="preserve">If the meaning </w:t>
      </w:r>
      <w:r w:rsidRPr="005A144C" w:rsidR="003360AA">
        <w:rPr>
          <w:rFonts w:ascii="Century Schoolbook" w:hAnsi="Century Schoolbook"/>
        </w:rPr>
        <w:t>is still</w:t>
      </w:r>
      <w:r w:rsidRPr="005A144C">
        <w:rPr>
          <w:rFonts w:ascii="Century Schoolbook" w:hAnsi="Century Schoolbook"/>
        </w:rPr>
        <w:t xml:space="preserve"> unclear</w:t>
      </w:r>
      <w:r w:rsidRPr="005A144C" w:rsidR="00A81C6C">
        <w:rPr>
          <w:rFonts w:ascii="Century Schoolbook" w:hAnsi="Century Schoolbook"/>
        </w:rPr>
        <w:t>,</w:t>
      </w:r>
      <w:r w:rsidRPr="005A144C">
        <w:rPr>
          <w:rFonts w:ascii="Century Schoolbook" w:hAnsi="Century Schoolbook"/>
        </w:rPr>
        <w:t xml:space="preserve"> we </w:t>
      </w:r>
      <w:r w:rsidRPr="005A144C" w:rsidR="003360AA">
        <w:rPr>
          <w:rFonts w:ascii="Century Schoolbook" w:hAnsi="Century Schoolbook"/>
        </w:rPr>
        <w:t>follow the “ ‘ “</w:t>
      </w:r>
      <w:r w:rsidRPr="005A144C" w:rsidR="003360AA">
        <w:rPr>
          <w:rFonts w:ascii="Century Schoolbook" w:hAnsi="Century Schoolbook"/>
          <w:i/>
          <w:iCs/>
        </w:rPr>
        <w:t>more</w:t>
      </w:r>
      <w:r w:rsidRPr="005A144C" w:rsidR="003360AA">
        <w:rPr>
          <w:rFonts w:ascii="Century Schoolbook" w:hAnsi="Century Schoolbook"/>
        </w:rPr>
        <w:t xml:space="preserve"> reasonable result.” ’ ”</w:t>
      </w:r>
      <w:r w:rsidRPr="005A144C" w:rsidR="007C2E03">
        <w:rPr>
          <w:rFonts w:ascii="Century Schoolbook" w:hAnsi="Century Schoolbook"/>
        </w:rPr>
        <w:t xml:space="preserve"> </w:t>
      </w:r>
      <w:r w:rsidRPr="005A144C" w:rsidR="001C4F6C">
        <w:rPr>
          <w:rFonts w:ascii="Century Schoolbook" w:hAnsi="Century Schoolbook"/>
        </w:rPr>
        <w:t xml:space="preserve"> </w:t>
      </w:r>
      <w:r w:rsidRPr="005A144C" w:rsidR="007C2E03">
        <w:rPr>
          <w:rFonts w:ascii="Century Schoolbook" w:hAnsi="Century Schoolbook"/>
        </w:rPr>
        <w:t>(</w:t>
      </w:r>
      <w:r w:rsidRPr="005A144C" w:rsidR="007C2E03">
        <w:rPr>
          <w:rFonts w:ascii="Century Schoolbook" w:hAnsi="Century Schoolbook"/>
          <w:i/>
          <w:iCs/>
        </w:rPr>
        <w:t>Ibid</w:t>
      </w:r>
      <w:r w:rsidRPr="005A144C" w:rsidR="007C2E03">
        <w:rPr>
          <w:rFonts w:ascii="Century Schoolbook" w:hAnsi="Century Schoolbook"/>
        </w:rPr>
        <w:t>.</w:t>
      </w:r>
      <w:r w:rsidRPr="005A144C" w:rsidR="00325B51">
        <w:rPr>
          <w:rFonts w:ascii="Century Schoolbook" w:hAnsi="Century Schoolbook"/>
        </w:rPr>
        <w:t xml:space="preserve">, italics added by </w:t>
      </w:r>
      <w:r w:rsidRPr="005A144C" w:rsidR="00325B51">
        <w:rPr>
          <w:rFonts w:ascii="Century Schoolbook" w:hAnsi="Century Schoolbook"/>
          <w:i/>
          <w:iCs/>
        </w:rPr>
        <w:t>Pacific Fertility Cases.</w:t>
      </w:r>
      <w:r w:rsidRPr="005A144C" w:rsidR="007C2E03">
        <w:rPr>
          <w:rFonts w:ascii="Century Schoolbook" w:hAnsi="Century Schoolbook"/>
        </w:rPr>
        <w:t xml:space="preserve">)  </w:t>
      </w:r>
    </w:p>
    <w:p w:rsidR="00F81E4A" w:rsidRPr="005A144C" w:rsidP="002E22D7" w14:paraId="6C70DDA5" w14:textId="31C01DC0">
      <w:pPr>
        <w:spacing w:line="360" w:lineRule="auto"/>
        <w:rPr>
          <w:rFonts w:ascii="Century Schoolbook" w:hAnsi="Century Schoolbook"/>
        </w:rPr>
      </w:pPr>
      <w:r w:rsidRPr="005A144C">
        <w:rPr>
          <w:rFonts w:ascii="Century Schoolbook" w:hAnsi="Century Schoolbook"/>
        </w:rPr>
        <w:tab/>
        <w:t>Section 3513 bars waiver of a statutory right when the “</w:t>
      </w:r>
      <w:r w:rsidRPr="005A144C" w:rsidR="008037FA">
        <w:rPr>
          <w:rFonts w:ascii="Century Schoolbook" w:hAnsi="Century Schoolbook"/>
        </w:rPr>
        <w:t> ‘</w:t>
      </w:r>
      <w:r w:rsidRPr="005A144C">
        <w:rPr>
          <w:rFonts w:ascii="Century Schoolbook" w:hAnsi="Century Schoolbook"/>
        </w:rPr>
        <w:t>public benefit</w:t>
      </w:r>
      <w:r w:rsidRPr="005A144C" w:rsidR="008037FA">
        <w:rPr>
          <w:rFonts w:ascii="Century Schoolbook" w:hAnsi="Century Schoolbook"/>
        </w:rPr>
        <w:t>’ </w:t>
      </w:r>
      <w:r w:rsidRPr="005A144C">
        <w:rPr>
          <w:rFonts w:ascii="Century Schoolbook" w:hAnsi="Century Schoolbook"/>
        </w:rPr>
        <w:t>” of a statute is “</w:t>
      </w:r>
      <w:r w:rsidRPr="005A144C" w:rsidR="008037FA">
        <w:rPr>
          <w:rFonts w:ascii="Century Schoolbook" w:hAnsi="Century Schoolbook"/>
        </w:rPr>
        <w:t> ‘</w:t>
      </w:r>
      <w:r w:rsidRPr="005A144C">
        <w:rPr>
          <w:rFonts w:ascii="Century Schoolbook" w:hAnsi="Century Schoolbook"/>
        </w:rPr>
        <w:t>one of its primary purposes.</w:t>
      </w:r>
      <w:r w:rsidRPr="005A144C" w:rsidR="008037FA">
        <w:rPr>
          <w:rFonts w:ascii="Century Schoolbook" w:hAnsi="Century Schoolbook"/>
        </w:rPr>
        <w:t>’ </w:t>
      </w:r>
      <w:r w:rsidRPr="005A144C">
        <w:rPr>
          <w:rFonts w:ascii="Century Schoolbook" w:hAnsi="Century Schoolbook"/>
        </w:rPr>
        <w:t xml:space="preserve">”  </w:t>
      </w:r>
      <w:r w:rsidRPr="005A144C" w:rsidR="00866465">
        <w:rPr>
          <w:rFonts w:ascii="Century Schoolbook" w:hAnsi="Century Schoolbook"/>
        </w:rPr>
        <w:t>(</w:t>
      </w:r>
      <w:r w:rsidRPr="005A144C" w:rsidR="00866465">
        <w:rPr>
          <w:rFonts w:ascii="Century Schoolbook" w:hAnsi="Century Schoolbook"/>
          <w:i/>
          <w:iCs/>
        </w:rPr>
        <w:t xml:space="preserve">Azteca Construction, Inc. v. ADR Consulting, Inc. </w:t>
      </w:r>
      <w:r w:rsidRPr="005A144C" w:rsidR="00866465">
        <w:rPr>
          <w:rFonts w:ascii="Century Schoolbook" w:hAnsi="Century Schoolbook"/>
        </w:rPr>
        <w:t xml:space="preserve">(2004) 121 Cal.App.4th 1156, 1166.)  </w:t>
      </w:r>
      <w:r w:rsidRPr="005A144C" w:rsidR="00DF3B6A">
        <w:rPr>
          <w:rFonts w:ascii="Century Schoolbook" w:hAnsi="Century Schoolbook"/>
        </w:rPr>
        <w:t>Such</w:t>
      </w:r>
      <w:r w:rsidRPr="005A144C" w:rsidR="001931FF">
        <w:rPr>
          <w:rFonts w:ascii="Century Schoolbook" w:hAnsi="Century Schoolbook"/>
        </w:rPr>
        <w:t xml:space="preserve"> p</w:t>
      </w:r>
      <w:r w:rsidRPr="005A144C" w:rsidR="00DF3B6A">
        <w:rPr>
          <w:rFonts w:ascii="Century Schoolbook" w:hAnsi="Century Schoolbook"/>
        </w:rPr>
        <w:t>rohibitions on waiver can be express or implied</w:t>
      </w:r>
      <w:r w:rsidRPr="005A144C">
        <w:rPr>
          <w:rFonts w:ascii="Century Schoolbook" w:hAnsi="Century Schoolbook"/>
        </w:rPr>
        <w:t>.  (</w:t>
      </w:r>
      <w:r w:rsidRPr="005A144C" w:rsidR="00DF3B6A">
        <w:rPr>
          <w:rFonts w:ascii="Century Schoolbook" w:hAnsi="Century Schoolbook"/>
        </w:rPr>
        <w:t>Compare</w:t>
      </w:r>
      <w:r w:rsidRPr="005A144C">
        <w:rPr>
          <w:rFonts w:ascii="Century Schoolbook" w:hAnsi="Century Schoolbook"/>
        </w:rPr>
        <w:t xml:space="preserve"> § 1751 [“Any waiver by a consumer of the provisions of this title is contrary to public policy and shall be unenforceable and void</w:t>
      </w:r>
      <w:r w:rsidRPr="005A144C" w:rsidR="00D84C2F">
        <w:rPr>
          <w:rFonts w:ascii="Century Schoolbook" w:hAnsi="Century Schoolbook"/>
        </w:rPr>
        <w:t>.</w:t>
      </w:r>
      <w:r w:rsidRPr="005A144C">
        <w:rPr>
          <w:rFonts w:ascii="Century Schoolbook" w:hAnsi="Century Schoolbook"/>
        </w:rPr>
        <w:t>”</w:t>
      </w:r>
      <w:r w:rsidRPr="005A144C" w:rsidR="00DF3B6A">
        <w:rPr>
          <w:rFonts w:ascii="Century Schoolbook" w:hAnsi="Century Schoolbook"/>
        </w:rPr>
        <w:t xml:space="preserve">] with </w:t>
      </w:r>
      <w:r w:rsidRPr="005A144C" w:rsidR="00DF3B6A">
        <w:rPr>
          <w:rFonts w:ascii="Century Schoolbook" w:hAnsi="Century Schoolbook"/>
          <w:i/>
          <w:iCs/>
        </w:rPr>
        <w:t>Armendariz v. Foundation Health Psychcare Services, Inc.</w:t>
      </w:r>
      <w:r w:rsidRPr="005A144C" w:rsidR="00DF3B6A">
        <w:rPr>
          <w:rFonts w:ascii="Century Schoolbook" w:hAnsi="Century Schoolbook"/>
        </w:rPr>
        <w:t xml:space="preserve"> (2000) 24 Cal.4th 83, 100 </w:t>
      </w:r>
      <w:r w:rsidRPr="005A144C" w:rsidR="0038491C">
        <w:rPr>
          <w:rFonts w:ascii="Century Schoolbook" w:hAnsi="Century Schoolbook"/>
        </w:rPr>
        <w:t xml:space="preserve">[concluding </w:t>
      </w:r>
      <w:r w:rsidRPr="005A144C" w:rsidR="00A903D0">
        <w:rPr>
          <w:rFonts w:ascii="Century Schoolbook" w:hAnsi="Century Schoolbook"/>
        </w:rPr>
        <w:t>waiver of</w:t>
      </w:r>
      <w:r w:rsidRPr="005A144C" w:rsidR="00DF3B6A">
        <w:rPr>
          <w:rFonts w:ascii="Century Schoolbook" w:hAnsi="Century Schoolbook"/>
        </w:rPr>
        <w:t xml:space="preserve"> rights</w:t>
      </w:r>
      <w:r w:rsidRPr="005A144C" w:rsidR="001A6522">
        <w:rPr>
          <w:rFonts w:ascii="Century Schoolbook" w:hAnsi="Century Schoolbook"/>
        </w:rPr>
        <w:t xml:space="preserve"> </w:t>
      </w:r>
      <w:r w:rsidRPr="005A144C" w:rsidR="001931FF">
        <w:rPr>
          <w:rFonts w:ascii="Century Schoolbook" w:hAnsi="Century Schoolbook"/>
        </w:rPr>
        <w:t>under</w:t>
      </w:r>
      <w:r w:rsidRPr="005A144C" w:rsidR="003362D7">
        <w:rPr>
          <w:rFonts w:ascii="Century Schoolbook" w:hAnsi="Century Schoolbook"/>
        </w:rPr>
        <w:t xml:space="preserve"> </w:t>
      </w:r>
      <w:r w:rsidRPr="005A144C" w:rsidR="001A6522">
        <w:rPr>
          <w:rFonts w:ascii="Century Schoolbook" w:hAnsi="Century Schoolbook"/>
        </w:rPr>
        <w:t>Fair Employment and Housing Act</w:t>
      </w:r>
      <w:r w:rsidRPr="005A144C" w:rsidR="00DF3B6A">
        <w:rPr>
          <w:rFonts w:ascii="Century Schoolbook" w:hAnsi="Century Schoolbook"/>
        </w:rPr>
        <w:t xml:space="preserve"> </w:t>
      </w:r>
      <w:r w:rsidRPr="005A144C" w:rsidR="00A903D0">
        <w:rPr>
          <w:rFonts w:ascii="Century Schoolbook" w:hAnsi="Century Schoolbook"/>
        </w:rPr>
        <w:t xml:space="preserve">contrary to public policy </w:t>
      </w:r>
      <w:r w:rsidRPr="005A144C" w:rsidR="001A6522">
        <w:rPr>
          <w:rFonts w:ascii="Century Schoolbook" w:hAnsi="Century Schoolbook"/>
        </w:rPr>
        <w:t>based on</w:t>
      </w:r>
      <w:r w:rsidRPr="005A144C" w:rsidR="00A903D0">
        <w:rPr>
          <w:rFonts w:ascii="Century Schoolbook" w:hAnsi="Century Schoolbook"/>
        </w:rPr>
        <w:t xml:space="preserve"> broad goal </w:t>
      </w:r>
      <w:r w:rsidRPr="005A144C" w:rsidR="003362D7">
        <w:rPr>
          <w:rFonts w:ascii="Century Schoolbook" w:hAnsi="Century Schoolbook"/>
        </w:rPr>
        <w:t>of statutory scheme to protect employees from discrimination and harassment].)</w:t>
      </w:r>
      <w:r w:rsidRPr="005A144C" w:rsidR="001A6522">
        <w:rPr>
          <w:rFonts w:ascii="Century Schoolbook" w:hAnsi="Century Schoolbook"/>
        </w:rPr>
        <w:t xml:space="preserve"> </w:t>
      </w:r>
    </w:p>
    <w:p w:rsidR="00D6537B" w:rsidRPr="005A144C" w:rsidP="002E22D7" w14:paraId="08F0EDDA" w14:textId="09B97781">
      <w:pPr>
        <w:spacing w:line="360" w:lineRule="auto"/>
        <w:rPr>
          <w:rFonts w:ascii="Century Schoolbook" w:hAnsi="Century Schoolbook"/>
        </w:rPr>
      </w:pPr>
      <w:r w:rsidRPr="005A144C">
        <w:rPr>
          <w:rFonts w:ascii="Century Schoolbook" w:hAnsi="Century Schoolbook"/>
        </w:rPr>
        <w:tab/>
      </w:r>
      <w:r w:rsidRPr="005A144C" w:rsidR="00C85029">
        <w:rPr>
          <w:rFonts w:ascii="Century Schoolbook" w:hAnsi="Century Schoolbook"/>
        </w:rPr>
        <w:t xml:space="preserve">ALS </w:t>
      </w:r>
      <w:r w:rsidRPr="005A144C" w:rsidR="00F7249F">
        <w:rPr>
          <w:rFonts w:ascii="Century Schoolbook" w:hAnsi="Century Schoolbook"/>
        </w:rPr>
        <w:t>contend</w:t>
      </w:r>
      <w:r w:rsidRPr="005A144C" w:rsidR="00D23794">
        <w:rPr>
          <w:rFonts w:ascii="Century Schoolbook" w:hAnsi="Century Schoolbook"/>
        </w:rPr>
        <w:t>s</w:t>
      </w:r>
      <w:r w:rsidRPr="005A144C" w:rsidR="00C85029">
        <w:rPr>
          <w:rFonts w:ascii="Century Schoolbook" w:hAnsi="Century Schoolbook"/>
        </w:rPr>
        <w:t xml:space="preserve"> that section 5655</w:t>
      </w:r>
      <w:r w:rsidRPr="005A144C" w:rsidR="00CA199E">
        <w:rPr>
          <w:rFonts w:ascii="Century Schoolbook" w:hAnsi="Century Schoolbook"/>
        </w:rPr>
        <w:t xml:space="preserve"> </w:t>
      </w:r>
      <w:r w:rsidRPr="005A144C" w:rsidR="00E60FFB">
        <w:rPr>
          <w:rFonts w:ascii="Century Schoolbook" w:hAnsi="Century Schoolbook"/>
        </w:rPr>
        <w:t>cannot be interpreted to contain an</w:t>
      </w:r>
      <w:r w:rsidRPr="005A144C">
        <w:rPr>
          <w:rFonts w:ascii="Century Schoolbook" w:hAnsi="Century Schoolbook"/>
        </w:rPr>
        <w:t xml:space="preserve"> implied </w:t>
      </w:r>
      <w:r w:rsidRPr="005A144C" w:rsidR="001931FF">
        <w:rPr>
          <w:rFonts w:ascii="Century Schoolbook" w:hAnsi="Century Schoolbook"/>
        </w:rPr>
        <w:t>prohibition on waiver</w:t>
      </w:r>
      <w:r w:rsidRPr="005A144C" w:rsidR="00CA199E">
        <w:rPr>
          <w:rFonts w:ascii="Century Schoolbook" w:hAnsi="Century Schoolbook"/>
        </w:rPr>
        <w:t xml:space="preserve"> because it was adopted </w:t>
      </w:r>
      <w:r w:rsidRPr="005A144C" w:rsidR="00893359">
        <w:rPr>
          <w:rFonts w:ascii="Century Schoolbook" w:hAnsi="Century Schoolbook"/>
        </w:rPr>
        <w:t xml:space="preserve">for </w:t>
      </w:r>
      <w:r w:rsidRPr="005A144C" w:rsidR="00CA199E">
        <w:rPr>
          <w:rFonts w:ascii="Century Schoolbook" w:hAnsi="Century Schoolbook"/>
        </w:rPr>
        <w:t>a</w:t>
      </w:r>
      <w:r w:rsidRPr="005A144C" w:rsidR="00893359">
        <w:rPr>
          <w:rFonts w:ascii="Century Schoolbook" w:hAnsi="Century Schoolbook"/>
        </w:rPr>
        <w:t xml:space="preserve"> “narrow, very private interest</w:t>
      </w:r>
      <w:r w:rsidRPr="005A144C" w:rsidR="00CA199E">
        <w:rPr>
          <w:rFonts w:ascii="Century Schoolbook" w:hAnsi="Century Schoolbook"/>
        </w:rPr>
        <w:t>.</w:t>
      </w:r>
      <w:r w:rsidRPr="005A144C" w:rsidR="00893359">
        <w:rPr>
          <w:rFonts w:ascii="Century Schoolbook" w:hAnsi="Century Schoolbook"/>
        </w:rPr>
        <w:t xml:space="preserve">” </w:t>
      </w:r>
      <w:r w:rsidRPr="005A144C" w:rsidR="00CA199E">
        <w:rPr>
          <w:rFonts w:ascii="Century Schoolbook" w:hAnsi="Century Schoolbook"/>
        </w:rPr>
        <w:t xml:space="preserve"> </w:t>
      </w:r>
      <w:r w:rsidRPr="005A144C" w:rsidR="00A5665B">
        <w:rPr>
          <w:rFonts w:ascii="Century Schoolbook" w:hAnsi="Century Schoolbook"/>
        </w:rPr>
        <w:t>We disagree</w:t>
      </w:r>
      <w:r w:rsidRPr="005A144C" w:rsidR="00CA199E">
        <w:rPr>
          <w:rFonts w:ascii="Century Schoolbook" w:hAnsi="Century Schoolbook"/>
        </w:rPr>
        <w:t>.</w:t>
      </w:r>
      <w:r w:rsidRPr="005A144C" w:rsidR="00E12DD6">
        <w:rPr>
          <w:rFonts w:ascii="Century Schoolbook" w:hAnsi="Century Schoolbook"/>
        </w:rPr>
        <w:t xml:space="preserve">  </w:t>
      </w:r>
      <w:r w:rsidRPr="005A144C" w:rsidR="00B13CF5">
        <w:rPr>
          <w:rFonts w:ascii="Century Schoolbook" w:hAnsi="Century Schoolbook"/>
        </w:rPr>
        <w:t>In 1996, t</w:t>
      </w:r>
      <w:r w:rsidRPr="005A144C" w:rsidR="00CE0141">
        <w:rPr>
          <w:rFonts w:ascii="Century Schoolbook" w:hAnsi="Century Schoolbook"/>
        </w:rPr>
        <w:t>he</w:t>
      </w:r>
      <w:r w:rsidRPr="005A144C" w:rsidR="00A621B3">
        <w:rPr>
          <w:rFonts w:ascii="Century Schoolbook" w:hAnsi="Century Schoolbook"/>
        </w:rPr>
        <w:t xml:space="preserve"> concept of</w:t>
      </w:r>
      <w:r w:rsidRPr="005A144C" w:rsidR="00CE0141">
        <w:rPr>
          <w:rFonts w:ascii="Century Schoolbook" w:hAnsi="Century Schoolbook"/>
        </w:rPr>
        <w:t xml:space="preserve"> </w:t>
      </w:r>
      <w:r w:rsidRPr="005A144C" w:rsidR="0076589E">
        <w:rPr>
          <w:rFonts w:ascii="Century Schoolbook" w:hAnsi="Century Schoolbook"/>
        </w:rPr>
        <w:t>prioritizing application of</w:t>
      </w:r>
      <w:r w:rsidRPr="005A144C" w:rsidR="00DE06E5">
        <w:rPr>
          <w:rFonts w:ascii="Century Schoolbook" w:hAnsi="Century Schoolbook"/>
        </w:rPr>
        <w:t xml:space="preserve"> payments </w:t>
      </w:r>
      <w:r w:rsidRPr="005A144C" w:rsidR="00CE0141">
        <w:rPr>
          <w:rFonts w:ascii="Century Schoolbook" w:hAnsi="Century Schoolbook"/>
        </w:rPr>
        <w:t xml:space="preserve">to </w:t>
      </w:r>
      <w:r w:rsidRPr="005A144C" w:rsidR="00B17B53">
        <w:rPr>
          <w:rFonts w:ascii="Century Schoolbook" w:hAnsi="Century Schoolbook"/>
        </w:rPr>
        <w:t xml:space="preserve">unpaid </w:t>
      </w:r>
      <w:r w:rsidRPr="005A144C" w:rsidR="00CE0141">
        <w:rPr>
          <w:rFonts w:ascii="Century Schoolbook" w:hAnsi="Century Schoolbook"/>
        </w:rPr>
        <w:t>assessments</w:t>
      </w:r>
      <w:r w:rsidRPr="005A144C" w:rsidR="00AC4B75">
        <w:rPr>
          <w:rFonts w:ascii="Century Schoolbook" w:hAnsi="Century Schoolbook"/>
        </w:rPr>
        <w:t xml:space="preserve"> </w:t>
      </w:r>
      <w:r w:rsidRPr="005A144C" w:rsidR="003C67CF">
        <w:rPr>
          <w:rFonts w:ascii="Century Schoolbook" w:hAnsi="Century Schoolbook"/>
        </w:rPr>
        <w:t xml:space="preserve">was </w:t>
      </w:r>
      <w:r w:rsidRPr="005A144C" w:rsidR="00CE44B0">
        <w:rPr>
          <w:rFonts w:ascii="Century Schoolbook" w:hAnsi="Century Schoolbook"/>
        </w:rPr>
        <w:t>codified</w:t>
      </w:r>
      <w:r w:rsidRPr="005A144C" w:rsidR="00601B53">
        <w:rPr>
          <w:rFonts w:ascii="Century Schoolbook" w:hAnsi="Century Schoolbook"/>
        </w:rPr>
        <w:t xml:space="preserve"> in</w:t>
      </w:r>
      <w:r w:rsidRPr="005A144C" w:rsidR="00385EB2">
        <w:rPr>
          <w:rFonts w:ascii="Century Schoolbook" w:hAnsi="Century Schoolbook"/>
        </w:rPr>
        <w:t xml:space="preserve"> </w:t>
      </w:r>
      <w:r w:rsidRPr="005A144C" w:rsidR="00B364DF">
        <w:rPr>
          <w:rFonts w:ascii="Century Schoolbook" w:hAnsi="Century Schoolbook"/>
        </w:rPr>
        <w:t xml:space="preserve">section 1367, </w:t>
      </w:r>
      <w:r w:rsidRPr="005A144C" w:rsidR="005D40F4">
        <w:rPr>
          <w:rFonts w:ascii="Century Schoolbook" w:hAnsi="Century Schoolbook"/>
        </w:rPr>
        <w:t>requiring that</w:t>
      </w:r>
      <w:r w:rsidRPr="005A144C" w:rsidR="00C14C5F">
        <w:rPr>
          <w:rFonts w:ascii="Century Schoolbook" w:hAnsi="Century Schoolbook"/>
        </w:rPr>
        <w:t xml:space="preserve"> </w:t>
      </w:r>
      <w:r w:rsidRPr="005A144C" w:rsidR="005D40F4">
        <w:rPr>
          <w:rFonts w:ascii="Century Schoolbook" w:hAnsi="Century Schoolbook"/>
        </w:rPr>
        <w:t>“</w:t>
      </w:r>
      <w:r w:rsidRPr="005A144C" w:rsidR="00C14C5F">
        <w:rPr>
          <w:rFonts w:ascii="Century Schoolbook" w:hAnsi="Century Schoolbook"/>
        </w:rPr>
        <w:t xml:space="preserve">any </w:t>
      </w:r>
      <w:r w:rsidRPr="005A144C" w:rsidR="005F0714">
        <w:rPr>
          <w:rFonts w:ascii="Century Schoolbook" w:hAnsi="Century Schoolbook"/>
        </w:rPr>
        <w:t xml:space="preserve">payments toward such a debt shall first be applied to the principal owed, and only after the principal owed is paid in full </w:t>
      </w:r>
      <w:r w:rsidRPr="005A144C" w:rsidR="001D44D4">
        <w:rPr>
          <w:rFonts w:ascii="Century Schoolbook" w:hAnsi="Century Schoolbook"/>
        </w:rPr>
        <w:t>shall</w:t>
      </w:r>
      <w:r w:rsidRPr="005A144C" w:rsidR="005F0714">
        <w:rPr>
          <w:rFonts w:ascii="Century Schoolbook" w:hAnsi="Century Schoolbook"/>
        </w:rPr>
        <w:t xml:space="preserve"> such payments be applied to interest or collection expenses</w:t>
      </w:r>
      <w:r w:rsidRPr="005A144C" w:rsidR="00C14C5F">
        <w:rPr>
          <w:rFonts w:ascii="Century Schoolbook" w:hAnsi="Century Schoolbook"/>
        </w:rPr>
        <w:t>.</w:t>
      </w:r>
      <w:r w:rsidRPr="005A144C" w:rsidR="0056555F">
        <w:rPr>
          <w:rFonts w:ascii="Century Schoolbook" w:hAnsi="Century Schoolbook"/>
        </w:rPr>
        <w:t>”  (</w:t>
      </w:r>
      <w:r w:rsidRPr="005A144C" w:rsidR="003E4CC0">
        <w:rPr>
          <w:rFonts w:ascii="Century Schoolbook" w:hAnsi="Century Schoolbook"/>
        </w:rPr>
        <w:t>Stats.</w:t>
      </w:r>
      <w:r w:rsidRPr="005A144C" w:rsidR="003A7534">
        <w:rPr>
          <w:rFonts w:ascii="Century Schoolbook" w:hAnsi="Century Schoolbook"/>
        </w:rPr>
        <w:t> </w:t>
      </w:r>
      <w:r w:rsidRPr="005A144C" w:rsidR="003E4CC0">
        <w:rPr>
          <w:rFonts w:ascii="Century Schoolbook" w:hAnsi="Century Schoolbook"/>
        </w:rPr>
        <w:t>1996, ch.</w:t>
      </w:r>
      <w:r w:rsidRPr="005A144C" w:rsidR="00783962">
        <w:rPr>
          <w:rFonts w:ascii="Century Schoolbook" w:hAnsi="Century Schoolbook"/>
        </w:rPr>
        <w:t> </w:t>
      </w:r>
      <w:r w:rsidRPr="005A144C" w:rsidR="005F0714">
        <w:rPr>
          <w:rFonts w:ascii="Century Schoolbook" w:hAnsi="Century Schoolbook"/>
        </w:rPr>
        <w:t>1101</w:t>
      </w:r>
      <w:r w:rsidRPr="005A144C" w:rsidR="003E4CC0">
        <w:rPr>
          <w:rFonts w:ascii="Century Schoolbook" w:hAnsi="Century Schoolbook"/>
        </w:rPr>
        <w:t xml:space="preserve">, </w:t>
      </w:r>
      <w:r w:rsidRPr="005A144C" w:rsidR="005F0714">
        <w:rPr>
          <w:rFonts w:ascii="Century Schoolbook" w:hAnsi="Century Schoolbook"/>
        </w:rPr>
        <w:t>§ 4</w:t>
      </w:r>
      <w:r w:rsidRPr="005A144C" w:rsidR="005B3039">
        <w:rPr>
          <w:rFonts w:ascii="Century Schoolbook" w:hAnsi="Century Schoolbook"/>
        </w:rPr>
        <w:t>, capitalization omitted</w:t>
      </w:r>
      <w:r w:rsidRPr="005A144C" w:rsidR="003E4CC0">
        <w:rPr>
          <w:rFonts w:ascii="Century Schoolbook" w:hAnsi="Century Schoolbook"/>
        </w:rPr>
        <w:t xml:space="preserve">.)  </w:t>
      </w:r>
      <w:r w:rsidRPr="005A144C" w:rsidR="00E60FFB">
        <w:rPr>
          <w:rFonts w:ascii="Century Schoolbook" w:hAnsi="Century Schoolbook"/>
        </w:rPr>
        <w:t>In 2002,</w:t>
      </w:r>
      <w:r w:rsidRPr="005A144C" w:rsidR="00C17A9E">
        <w:rPr>
          <w:rFonts w:ascii="Century Schoolbook" w:hAnsi="Century Schoolbook"/>
        </w:rPr>
        <w:t xml:space="preserve"> </w:t>
      </w:r>
      <w:r w:rsidRPr="005A144C" w:rsidR="00161E97">
        <w:rPr>
          <w:rFonts w:ascii="Century Schoolbook" w:hAnsi="Century Schoolbook"/>
        </w:rPr>
        <w:t>section 1367.1</w:t>
      </w:r>
      <w:r w:rsidRPr="005A144C" w:rsidR="00127895">
        <w:rPr>
          <w:rFonts w:ascii="Century Schoolbook" w:hAnsi="Century Schoolbook"/>
        </w:rPr>
        <w:t xml:space="preserve"> was added to the statutory scheme</w:t>
      </w:r>
      <w:r w:rsidRPr="005A144C" w:rsidR="006561B1">
        <w:rPr>
          <w:rFonts w:ascii="Century Schoolbook" w:hAnsi="Century Schoolbook"/>
        </w:rPr>
        <w:t xml:space="preserve"> </w:t>
      </w:r>
      <w:r w:rsidRPr="005A144C" w:rsidR="00386752">
        <w:rPr>
          <w:rFonts w:ascii="Century Schoolbook" w:hAnsi="Century Schoolbook"/>
        </w:rPr>
        <w:t xml:space="preserve">to clarify </w:t>
      </w:r>
      <w:r w:rsidRPr="005A144C" w:rsidR="00F022CF">
        <w:rPr>
          <w:rFonts w:ascii="Century Schoolbook" w:hAnsi="Century Schoolbook"/>
        </w:rPr>
        <w:t xml:space="preserve">and </w:t>
      </w:r>
      <w:r w:rsidRPr="005A144C" w:rsidR="006A3767">
        <w:rPr>
          <w:rFonts w:ascii="Century Schoolbook" w:hAnsi="Century Schoolbook"/>
        </w:rPr>
        <w:t xml:space="preserve">expand </w:t>
      </w:r>
      <w:r w:rsidRPr="005A144C" w:rsidR="00386752">
        <w:rPr>
          <w:rFonts w:ascii="Century Schoolbook" w:hAnsi="Century Schoolbook"/>
        </w:rPr>
        <w:t>pre-lien notice requirements</w:t>
      </w:r>
      <w:r w:rsidRPr="005A144C" w:rsidR="006561B1">
        <w:rPr>
          <w:rFonts w:ascii="Century Schoolbook" w:hAnsi="Century Schoolbook"/>
        </w:rPr>
        <w:t xml:space="preserve">.  </w:t>
      </w:r>
      <w:r w:rsidRPr="005A144C" w:rsidR="00950165">
        <w:rPr>
          <w:rFonts w:ascii="Century Schoolbook" w:hAnsi="Century Schoolbook"/>
        </w:rPr>
        <w:t>(Stats. 2002, ch.</w:t>
      </w:r>
      <w:r w:rsidRPr="005A144C" w:rsidR="00265AB6">
        <w:rPr>
          <w:rFonts w:ascii="Century Schoolbook" w:hAnsi="Century Schoolbook"/>
        </w:rPr>
        <w:t> </w:t>
      </w:r>
      <w:r w:rsidRPr="005A144C" w:rsidR="00950165">
        <w:rPr>
          <w:rFonts w:ascii="Century Schoolbook" w:hAnsi="Century Schoolbook"/>
        </w:rPr>
        <w:t xml:space="preserve">1111, § 8.)  </w:t>
      </w:r>
      <w:r w:rsidRPr="005A144C" w:rsidR="006561B1">
        <w:rPr>
          <w:rFonts w:ascii="Century Schoolbook" w:hAnsi="Century Schoolbook"/>
        </w:rPr>
        <w:t>Section 1367.1, subdivision (b) included</w:t>
      </w:r>
      <w:r w:rsidRPr="005A144C" w:rsidR="00161E97">
        <w:rPr>
          <w:rFonts w:ascii="Century Schoolbook" w:hAnsi="Century Schoolbook"/>
        </w:rPr>
        <w:t xml:space="preserve"> </w:t>
      </w:r>
      <w:r w:rsidRPr="005A144C" w:rsidR="000A595B">
        <w:rPr>
          <w:rFonts w:ascii="Century Schoolbook" w:hAnsi="Century Schoolbook"/>
        </w:rPr>
        <w:t xml:space="preserve">a similar sentence with </w:t>
      </w:r>
      <w:r w:rsidRPr="005A144C" w:rsidR="00337843">
        <w:rPr>
          <w:rFonts w:ascii="Century Schoolbook" w:hAnsi="Century Schoolbook"/>
        </w:rPr>
        <w:t>broader</w:t>
      </w:r>
      <w:r w:rsidRPr="005A144C" w:rsidR="00161E97">
        <w:rPr>
          <w:rFonts w:ascii="Century Schoolbook" w:hAnsi="Century Schoolbook"/>
        </w:rPr>
        <w:t xml:space="preserve"> language </w:t>
      </w:r>
      <w:r w:rsidRPr="005A144C" w:rsidR="006E5547">
        <w:rPr>
          <w:rFonts w:ascii="Century Schoolbook" w:hAnsi="Century Schoolbook"/>
        </w:rPr>
        <w:t xml:space="preserve">regarding </w:t>
      </w:r>
      <w:r w:rsidRPr="005A144C" w:rsidR="00156B81">
        <w:rPr>
          <w:rFonts w:ascii="Century Schoolbook" w:hAnsi="Century Schoolbook"/>
        </w:rPr>
        <w:t xml:space="preserve">the </w:t>
      </w:r>
      <w:r w:rsidRPr="005A144C" w:rsidR="00887B9D">
        <w:rPr>
          <w:rFonts w:ascii="Century Schoolbook" w:hAnsi="Century Schoolbook"/>
        </w:rPr>
        <w:t xml:space="preserve">priority </w:t>
      </w:r>
      <w:r w:rsidRPr="005A144C" w:rsidR="004815DF">
        <w:rPr>
          <w:rFonts w:ascii="Century Schoolbook" w:hAnsi="Century Schoolbook"/>
        </w:rPr>
        <w:t xml:space="preserve">of </w:t>
      </w:r>
      <w:r w:rsidRPr="005A144C" w:rsidR="00156B81">
        <w:rPr>
          <w:rFonts w:ascii="Century Schoolbook" w:hAnsi="Century Schoolbook"/>
        </w:rPr>
        <w:t>applying payments to</w:t>
      </w:r>
      <w:r w:rsidRPr="005A144C" w:rsidR="004815DF">
        <w:rPr>
          <w:rFonts w:ascii="Century Schoolbook" w:hAnsi="Century Schoolbook"/>
        </w:rPr>
        <w:t xml:space="preserve"> assessments</w:t>
      </w:r>
      <w:r w:rsidRPr="005A144C" w:rsidR="00BE4AD3">
        <w:rPr>
          <w:rFonts w:ascii="Century Schoolbook" w:hAnsi="Century Schoolbook"/>
        </w:rPr>
        <w:t xml:space="preserve"> owed</w:t>
      </w:r>
      <w:r w:rsidRPr="005A144C" w:rsidR="004815DF">
        <w:rPr>
          <w:rFonts w:ascii="Century Schoolbook" w:hAnsi="Century Schoolbook"/>
        </w:rPr>
        <w:t xml:space="preserve"> </w:t>
      </w:r>
      <w:r w:rsidRPr="005A144C" w:rsidR="00BE4AD3">
        <w:rPr>
          <w:rFonts w:ascii="Century Schoolbook" w:hAnsi="Century Schoolbook"/>
        </w:rPr>
        <w:t>before</w:t>
      </w:r>
      <w:r w:rsidRPr="005A144C" w:rsidR="00887B9D">
        <w:rPr>
          <w:rFonts w:ascii="Century Schoolbook" w:hAnsi="Century Schoolbook"/>
        </w:rPr>
        <w:t xml:space="preserve"> “</w:t>
      </w:r>
      <w:r w:rsidRPr="005A144C" w:rsidR="00DC0898">
        <w:rPr>
          <w:rFonts w:ascii="Century Schoolbook" w:hAnsi="Century Schoolbook"/>
        </w:rPr>
        <w:t>fees and costs of collection, attorney’s fees, late charges, or interest</w:t>
      </w:r>
      <w:r w:rsidRPr="005A144C" w:rsidR="00161E97">
        <w:rPr>
          <w:rFonts w:ascii="Century Schoolbook" w:hAnsi="Century Schoolbook"/>
        </w:rPr>
        <w:t>.</w:t>
      </w:r>
      <w:r w:rsidRPr="005A144C" w:rsidR="00DC0898">
        <w:rPr>
          <w:rFonts w:ascii="Century Schoolbook" w:hAnsi="Century Schoolbook"/>
        </w:rPr>
        <w:t>”</w:t>
      </w:r>
      <w:r w:rsidRPr="005A144C" w:rsidR="00161E97">
        <w:rPr>
          <w:rFonts w:ascii="Century Schoolbook" w:hAnsi="Century Schoolbook"/>
        </w:rPr>
        <w:t xml:space="preserve">  </w:t>
      </w:r>
      <w:r w:rsidRPr="005A144C" w:rsidR="00E42844">
        <w:rPr>
          <w:rFonts w:ascii="Century Schoolbook" w:hAnsi="Century Schoolbook"/>
        </w:rPr>
        <w:t>Ten years later,</w:t>
      </w:r>
      <w:r w:rsidRPr="005A144C" w:rsidR="00D06E03">
        <w:rPr>
          <w:rFonts w:ascii="Century Schoolbook" w:hAnsi="Century Schoolbook"/>
        </w:rPr>
        <w:t xml:space="preserve"> sections 1367 and 1367.1 were repealed and</w:t>
      </w:r>
      <w:r w:rsidRPr="005A144C" w:rsidR="00E42844">
        <w:rPr>
          <w:rFonts w:ascii="Century Schoolbook" w:hAnsi="Century Schoolbook"/>
        </w:rPr>
        <w:t xml:space="preserve"> t</w:t>
      </w:r>
      <w:r w:rsidRPr="005A144C" w:rsidR="00501331">
        <w:rPr>
          <w:rFonts w:ascii="Century Schoolbook" w:hAnsi="Century Schoolbook"/>
        </w:rPr>
        <w:t>hat</w:t>
      </w:r>
      <w:r w:rsidRPr="005A144C" w:rsidR="00D6638E">
        <w:rPr>
          <w:rFonts w:ascii="Century Schoolbook" w:hAnsi="Century Schoolbook"/>
        </w:rPr>
        <w:t xml:space="preserve"> sentence </w:t>
      </w:r>
      <w:r w:rsidRPr="005A144C" w:rsidR="00D06E03">
        <w:rPr>
          <w:rFonts w:ascii="Century Schoolbook" w:hAnsi="Century Schoolbook"/>
        </w:rPr>
        <w:t xml:space="preserve">from section 1367.1, subdivision (b) </w:t>
      </w:r>
      <w:r w:rsidRPr="005A144C" w:rsidR="00D6638E">
        <w:rPr>
          <w:rFonts w:ascii="Century Schoolbook" w:hAnsi="Century Schoolbook"/>
        </w:rPr>
        <w:t xml:space="preserve">was </w:t>
      </w:r>
      <w:r w:rsidRPr="005A144C" w:rsidR="00EA7CD9">
        <w:rPr>
          <w:rFonts w:ascii="Century Schoolbook" w:hAnsi="Century Schoolbook"/>
        </w:rPr>
        <w:t>recodified</w:t>
      </w:r>
      <w:r w:rsidRPr="005A144C" w:rsidR="00D6638E">
        <w:rPr>
          <w:rFonts w:ascii="Century Schoolbook" w:hAnsi="Century Schoolbook"/>
        </w:rPr>
        <w:t xml:space="preserve"> </w:t>
      </w:r>
      <w:r w:rsidRPr="005A144C" w:rsidR="00EF62B7">
        <w:rPr>
          <w:rFonts w:ascii="Century Schoolbook" w:hAnsi="Century Schoolbook"/>
        </w:rPr>
        <w:t>in</w:t>
      </w:r>
      <w:r w:rsidRPr="005A144C" w:rsidR="00D6638E">
        <w:rPr>
          <w:rFonts w:ascii="Century Schoolbook" w:hAnsi="Century Schoolbook"/>
        </w:rPr>
        <w:t xml:space="preserve"> section 5655</w:t>
      </w:r>
      <w:r w:rsidRPr="005A144C" w:rsidR="00CD78B1">
        <w:rPr>
          <w:rFonts w:ascii="Century Schoolbook" w:hAnsi="Century Schoolbook"/>
        </w:rPr>
        <w:t>(a)</w:t>
      </w:r>
      <w:r w:rsidRPr="005A144C" w:rsidR="00D6638E">
        <w:rPr>
          <w:rFonts w:ascii="Century Schoolbook" w:hAnsi="Century Schoolbook"/>
        </w:rPr>
        <w:t xml:space="preserve">. </w:t>
      </w:r>
      <w:r w:rsidRPr="005A144C" w:rsidR="00501331">
        <w:rPr>
          <w:rFonts w:ascii="Century Schoolbook" w:hAnsi="Century Schoolbook"/>
        </w:rPr>
        <w:t xml:space="preserve"> (Stats.</w:t>
      </w:r>
      <w:r w:rsidRPr="005A144C" w:rsidR="00681953">
        <w:rPr>
          <w:rFonts w:ascii="Century Schoolbook" w:hAnsi="Century Schoolbook"/>
        </w:rPr>
        <w:t xml:space="preserve"> </w:t>
      </w:r>
      <w:r w:rsidRPr="005A144C" w:rsidR="00501331">
        <w:rPr>
          <w:rFonts w:ascii="Century Schoolbook" w:hAnsi="Century Schoolbook"/>
        </w:rPr>
        <w:t>2012, ch. 180, § 2.)</w:t>
      </w:r>
      <w:r w:rsidRPr="005A144C" w:rsidR="0084539E">
        <w:rPr>
          <w:rFonts w:ascii="Century Schoolbook" w:hAnsi="Century Schoolbook"/>
        </w:rPr>
        <w:t xml:space="preserve">  In every formulation, the requirement </w:t>
      </w:r>
      <w:r w:rsidRPr="005A144C" w:rsidR="00D4667C">
        <w:rPr>
          <w:rFonts w:ascii="Century Schoolbook" w:hAnsi="Century Schoolbook"/>
        </w:rPr>
        <w:t>has been</w:t>
      </w:r>
      <w:r w:rsidRPr="005A144C" w:rsidR="0084539E">
        <w:rPr>
          <w:rFonts w:ascii="Century Schoolbook" w:hAnsi="Century Schoolbook"/>
        </w:rPr>
        <w:t xml:space="preserve"> </w:t>
      </w:r>
      <w:r w:rsidRPr="005A144C" w:rsidR="0084539E">
        <w:rPr>
          <w:rFonts w:ascii="Century Schoolbook" w:hAnsi="Century Schoolbook"/>
          <w:i/>
          <w:iCs/>
        </w:rPr>
        <w:t>mandatory</w:t>
      </w:r>
      <w:r w:rsidRPr="005A144C" w:rsidR="00AC44E9">
        <w:rPr>
          <w:rFonts w:ascii="Century Schoolbook" w:hAnsi="Century Schoolbook"/>
        </w:rPr>
        <w:t>—</w:t>
      </w:r>
      <w:r w:rsidRPr="005A144C" w:rsidR="00762102">
        <w:rPr>
          <w:rFonts w:ascii="Century Schoolbook" w:hAnsi="Century Schoolbook"/>
        </w:rPr>
        <w:t>i</w:t>
      </w:r>
      <w:r w:rsidRPr="005A144C" w:rsidR="00012949">
        <w:rPr>
          <w:rFonts w:ascii="Century Schoolbook" w:hAnsi="Century Schoolbook"/>
        </w:rPr>
        <w:t xml:space="preserve">t affords no discretion to HOAs to </w:t>
      </w:r>
      <w:r w:rsidRPr="005A144C" w:rsidR="00B66FEF">
        <w:rPr>
          <w:rFonts w:ascii="Century Schoolbook" w:hAnsi="Century Schoolbook"/>
        </w:rPr>
        <w:t>decline prioritization</w:t>
      </w:r>
      <w:r w:rsidRPr="005A144C" w:rsidR="0084539E">
        <w:rPr>
          <w:rFonts w:ascii="Century Schoolbook" w:hAnsi="Century Schoolbook"/>
        </w:rPr>
        <w:t>.</w:t>
      </w:r>
      <w:r w:rsidRPr="005A144C" w:rsidR="006E6F07">
        <w:rPr>
          <w:rFonts w:ascii="Century Schoolbook" w:hAnsi="Century Schoolbook"/>
        </w:rPr>
        <w:t xml:space="preserve">  (</w:t>
      </w:r>
      <w:r w:rsidRPr="005A144C" w:rsidR="00712DF1">
        <w:rPr>
          <w:rFonts w:ascii="Century Schoolbook" w:hAnsi="Century Schoolbook"/>
          <w:i/>
          <w:iCs/>
        </w:rPr>
        <w:t>California Correctional Peace Officers Assn. v. State Personnel Bd</w:t>
      </w:r>
      <w:r w:rsidRPr="005A144C" w:rsidR="00712DF1">
        <w:rPr>
          <w:rFonts w:ascii="Century Schoolbook" w:hAnsi="Century Schoolbook"/>
        </w:rPr>
        <w:t>. (1995) 10 Cal.4th 1133, 1143</w:t>
      </w:r>
      <w:r w:rsidRPr="005A144C" w:rsidR="00712DF1">
        <w:rPr>
          <w:rFonts w:ascii="Century Schoolbook" w:hAnsi="Century Schoolbook"/>
          <w:i/>
          <w:iCs/>
        </w:rPr>
        <w:t xml:space="preserve"> </w:t>
      </w:r>
      <w:r w:rsidRPr="005A144C" w:rsidR="00712DF1">
        <w:rPr>
          <w:rFonts w:ascii="Century Schoolbook" w:hAnsi="Century Schoolbook"/>
        </w:rPr>
        <w:t>[recognizing “presumption that the word ‘shall’ in a statute is ordinarily deemed mandatory</w:t>
      </w:r>
      <w:r w:rsidRPr="005A144C" w:rsidR="006E6F07">
        <w:rPr>
          <w:rFonts w:ascii="Century Schoolbook" w:hAnsi="Century Schoolbook"/>
        </w:rPr>
        <w:t>”]</w:t>
      </w:r>
      <w:r w:rsidRPr="005A144C" w:rsidR="00712DF1">
        <w:rPr>
          <w:rFonts w:ascii="Century Schoolbook" w:hAnsi="Century Schoolbook"/>
        </w:rPr>
        <w:t>.)</w:t>
      </w:r>
    </w:p>
    <w:p w:rsidR="002A4AAC" w:rsidRPr="005A144C" w:rsidP="002E22D7" w14:paraId="7380CB91" w14:textId="6B19D69E">
      <w:pPr>
        <w:spacing w:line="360" w:lineRule="auto"/>
        <w:rPr>
          <w:rFonts w:ascii="Century Schoolbook" w:hAnsi="Century Schoolbook"/>
        </w:rPr>
      </w:pPr>
      <w:r w:rsidRPr="005A144C">
        <w:rPr>
          <w:rFonts w:ascii="Century Schoolbook" w:hAnsi="Century Schoolbook"/>
        </w:rPr>
        <w:tab/>
      </w:r>
      <w:r w:rsidRPr="005A144C" w:rsidR="00A26370">
        <w:rPr>
          <w:rFonts w:ascii="Century Schoolbook" w:hAnsi="Century Schoolbook"/>
        </w:rPr>
        <w:t xml:space="preserve">But as the </w:t>
      </w:r>
      <w:r w:rsidRPr="005A144C" w:rsidR="00750DA8">
        <w:rPr>
          <w:rFonts w:ascii="Century Schoolbook" w:hAnsi="Century Schoolbook"/>
        </w:rPr>
        <w:t>purpose of the requirement is not evident from the statutory text alone</w:t>
      </w:r>
      <w:r w:rsidRPr="005A144C" w:rsidR="00D22CA4">
        <w:rPr>
          <w:rFonts w:ascii="Century Schoolbook" w:hAnsi="Century Schoolbook"/>
        </w:rPr>
        <w:t>, w</w:t>
      </w:r>
      <w:r w:rsidRPr="005A144C" w:rsidR="003930E5">
        <w:rPr>
          <w:rFonts w:ascii="Century Schoolbook" w:hAnsi="Century Schoolbook"/>
        </w:rPr>
        <w:t>e find</w:t>
      </w:r>
      <w:r w:rsidRPr="005A144C" w:rsidR="004E519E">
        <w:rPr>
          <w:rFonts w:ascii="Century Schoolbook" w:hAnsi="Century Schoolbook"/>
        </w:rPr>
        <w:t xml:space="preserve"> the</w:t>
      </w:r>
      <w:r w:rsidRPr="005A144C" w:rsidR="003930E5">
        <w:rPr>
          <w:rFonts w:ascii="Century Schoolbook" w:hAnsi="Century Schoolbook"/>
        </w:rPr>
        <w:t xml:space="preserve"> </w:t>
      </w:r>
      <w:r w:rsidRPr="005A144C" w:rsidR="005F0714">
        <w:rPr>
          <w:rFonts w:ascii="Century Schoolbook" w:hAnsi="Century Schoolbook"/>
        </w:rPr>
        <w:t xml:space="preserve">legislative history </w:t>
      </w:r>
      <w:r w:rsidRPr="005A144C" w:rsidR="00EF6392">
        <w:rPr>
          <w:rFonts w:ascii="Century Schoolbook" w:hAnsi="Century Schoolbook"/>
        </w:rPr>
        <w:t xml:space="preserve">from </w:t>
      </w:r>
      <w:r w:rsidRPr="005A144C" w:rsidR="00654872">
        <w:rPr>
          <w:rFonts w:ascii="Century Schoolbook" w:hAnsi="Century Schoolbook"/>
        </w:rPr>
        <w:t>both</w:t>
      </w:r>
      <w:r w:rsidRPr="005A144C" w:rsidR="0032236C">
        <w:rPr>
          <w:rFonts w:ascii="Century Schoolbook" w:hAnsi="Century Schoolbook"/>
        </w:rPr>
        <w:t xml:space="preserve"> </w:t>
      </w:r>
      <w:r w:rsidRPr="005A144C" w:rsidR="00EF6392">
        <w:rPr>
          <w:rFonts w:ascii="Century Schoolbook" w:hAnsi="Century Schoolbook"/>
        </w:rPr>
        <w:t>section</w:t>
      </w:r>
      <w:r w:rsidRPr="005A144C" w:rsidR="003A3CA1">
        <w:rPr>
          <w:rFonts w:ascii="Century Schoolbook" w:hAnsi="Century Schoolbook"/>
        </w:rPr>
        <w:t>s</w:t>
      </w:r>
      <w:r w:rsidRPr="005A144C" w:rsidR="00EF6392">
        <w:rPr>
          <w:rFonts w:ascii="Century Schoolbook" w:hAnsi="Century Schoolbook"/>
        </w:rPr>
        <w:t xml:space="preserve"> 1367 </w:t>
      </w:r>
      <w:r w:rsidRPr="005A144C" w:rsidR="00284318">
        <w:rPr>
          <w:rFonts w:ascii="Century Schoolbook" w:hAnsi="Century Schoolbook"/>
        </w:rPr>
        <w:t xml:space="preserve">and 1367.1 </w:t>
      </w:r>
      <w:r w:rsidRPr="005A144C" w:rsidR="003930E5">
        <w:rPr>
          <w:rFonts w:ascii="Century Schoolbook" w:hAnsi="Century Schoolbook"/>
        </w:rPr>
        <w:t>instructive</w:t>
      </w:r>
      <w:r w:rsidRPr="005A144C" w:rsidR="00E1111C">
        <w:rPr>
          <w:rFonts w:ascii="Century Schoolbook" w:hAnsi="Century Schoolbook"/>
        </w:rPr>
        <w:t>.</w:t>
      </w:r>
      <w:r>
        <w:rPr>
          <w:rStyle w:val="FootnoteReference"/>
          <w:rFonts w:ascii="Century Schoolbook" w:hAnsi="Century Schoolbook"/>
        </w:rPr>
        <w:footnoteReference w:id="6"/>
      </w:r>
      <w:r w:rsidRPr="005A144C" w:rsidR="008155F3">
        <w:rPr>
          <w:rFonts w:ascii="Century Schoolbook" w:hAnsi="Century Schoolbook"/>
        </w:rPr>
        <w:t xml:space="preserve">  </w:t>
      </w:r>
      <w:r w:rsidRPr="005A144C" w:rsidR="00361D91">
        <w:rPr>
          <w:rFonts w:ascii="Century Schoolbook" w:hAnsi="Century Schoolbook"/>
        </w:rPr>
        <w:t xml:space="preserve">The materials from section 1367 </w:t>
      </w:r>
      <w:r w:rsidRPr="005A144C" w:rsidR="00570652">
        <w:rPr>
          <w:rFonts w:ascii="Century Schoolbook" w:hAnsi="Century Schoolbook"/>
        </w:rPr>
        <w:t>show</w:t>
      </w:r>
      <w:r w:rsidRPr="005A144C" w:rsidR="00361D91">
        <w:rPr>
          <w:rFonts w:ascii="Century Schoolbook" w:hAnsi="Century Schoolbook"/>
        </w:rPr>
        <w:t xml:space="preserve"> that </w:t>
      </w:r>
      <w:r w:rsidRPr="005A144C" w:rsidR="003363B1">
        <w:rPr>
          <w:rFonts w:ascii="Century Schoolbook" w:hAnsi="Century Schoolbook"/>
        </w:rPr>
        <w:t xml:space="preserve">the Legislature viewed this prioritization requirement as an important public </w:t>
      </w:r>
      <w:r w:rsidRPr="005A144C" w:rsidR="00FC6345">
        <w:rPr>
          <w:rFonts w:ascii="Century Schoolbook" w:hAnsi="Century Schoolbook"/>
        </w:rPr>
        <w:t>benefit</w:t>
      </w:r>
      <w:r w:rsidRPr="005A144C" w:rsidR="0059513C">
        <w:rPr>
          <w:rFonts w:ascii="Century Schoolbook" w:hAnsi="Century Schoolbook"/>
        </w:rPr>
        <w:t xml:space="preserve">.  Under existing law, HOAs had the power to impose </w:t>
      </w:r>
      <w:r w:rsidRPr="005A144C" w:rsidR="00751F63">
        <w:rPr>
          <w:rFonts w:ascii="Century Schoolbook" w:hAnsi="Century Schoolbook"/>
        </w:rPr>
        <w:t>interest, charges,</w:t>
      </w:r>
      <w:r w:rsidRPr="005A144C" w:rsidR="0059513C">
        <w:rPr>
          <w:rFonts w:ascii="Century Schoolbook" w:hAnsi="Century Schoolbook"/>
        </w:rPr>
        <w:t xml:space="preserve"> and </w:t>
      </w:r>
      <w:r w:rsidRPr="005A144C" w:rsidR="00751F63">
        <w:rPr>
          <w:rFonts w:ascii="Century Schoolbook" w:hAnsi="Century Schoolbook"/>
        </w:rPr>
        <w:t>costs</w:t>
      </w:r>
      <w:r w:rsidRPr="005A144C" w:rsidR="0059513C">
        <w:rPr>
          <w:rFonts w:ascii="Century Schoolbook" w:hAnsi="Century Schoolbook"/>
        </w:rPr>
        <w:t xml:space="preserve"> related to </w:t>
      </w:r>
      <w:r w:rsidRPr="005A144C" w:rsidR="00390B8A">
        <w:rPr>
          <w:rFonts w:ascii="Century Schoolbook" w:hAnsi="Century Schoolbook"/>
        </w:rPr>
        <w:t xml:space="preserve">the </w:t>
      </w:r>
      <w:r w:rsidRPr="005A144C" w:rsidR="0059513C">
        <w:rPr>
          <w:rFonts w:ascii="Century Schoolbook" w:hAnsi="Century Schoolbook"/>
        </w:rPr>
        <w:t>collection</w:t>
      </w:r>
      <w:r w:rsidRPr="005A144C" w:rsidR="000B26D2">
        <w:rPr>
          <w:rFonts w:ascii="Century Schoolbook" w:hAnsi="Century Schoolbook"/>
        </w:rPr>
        <w:t xml:space="preserve"> of unpaid assessments</w:t>
      </w:r>
      <w:r w:rsidRPr="005A144C" w:rsidR="0059513C">
        <w:rPr>
          <w:rFonts w:ascii="Century Schoolbook" w:hAnsi="Century Schoolbook"/>
        </w:rPr>
        <w:t xml:space="preserve">, </w:t>
      </w:r>
      <w:r w:rsidRPr="005A144C" w:rsidR="00EF2CBC">
        <w:rPr>
          <w:rFonts w:ascii="Century Schoolbook" w:hAnsi="Century Schoolbook"/>
        </w:rPr>
        <w:t xml:space="preserve">all of which </w:t>
      </w:r>
      <w:r w:rsidRPr="005A144C" w:rsidR="00C575F2">
        <w:rPr>
          <w:rFonts w:ascii="Century Schoolbook" w:hAnsi="Century Schoolbook"/>
        </w:rPr>
        <w:t>created</w:t>
      </w:r>
      <w:r w:rsidRPr="005A144C" w:rsidR="00EF2CBC">
        <w:rPr>
          <w:rFonts w:ascii="Century Schoolbook" w:hAnsi="Century Schoolbook"/>
        </w:rPr>
        <w:t xml:space="preserve"> a lien</w:t>
      </w:r>
      <w:r w:rsidRPr="005A144C" w:rsidR="00390B8A">
        <w:rPr>
          <w:rFonts w:ascii="Century Schoolbook" w:hAnsi="Century Schoolbook"/>
        </w:rPr>
        <w:t xml:space="preserve"> </w:t>
      </w:r>
      <w:r w:rsidRPr="005A144C" w:rsidR="00EF2CBC">
        <w:rPr>
          <w:rFonts w:ascii="Century Schoolbook" w:hAnsi="Century Schoolbook"/>
        </w:rPr>
        <w:t>enforceable by nonjudicial foreclosure.  (Sen. Rules Com., Off. of Sen. Floor Analyses, Analysis of Assem. Bill No. 1317 (1995–1996 Reg. Sess.) as amended Sept. 6, 1995</w:t>
      </w:r>
      <w:r w:rsidRPr="005A144C" w:rsidR="00F93D28">
        <w:rPr>
          <w:rFonts w:ascii="Century Schoolbook" w:hAnsi="Century Schoolbook"/>
        </w:rPr>
        <w:t>, p. 3</w:t>
      </w:r>
      <w:r w:rsidRPr="005A144C" w:rsidR="00F41DB9">
        <w:rPr>
          <w:rFonts w:ascii="Century Schoolbook" w:hAnsi="Century Schoolbook"/>
        </w:rPr>
        <w:t>.</w:t>
      </w:r>
      <w:r w:rsidRPr="005A144C" w:rsidR="00F93D28">
        <w:rPr>
          <w:rFonts w:ascii="Century Schoolbook" w:hAnsi="Century Schoolbook"/>
        </w:rPr>
        <w:t>)</w:t>
      </w:r>
      <w:r w:rsidRPr="005A144C" w:rsidR="00F41DB9">
        <w:rPr>
          <w:rFonts w:ascii="Century Schoolbook" w:hAnsi="Century Schoolbook"/>
        </w:rPr>
        <w:t xml:space="preserve">  </w:t>
      </w:r>
      <w:r w:rsidRPr="005A144C" w:rsidR="001C7BA5">
        <w:rPr>
          <w:rFonts w:ascii="Century Schoolbook" w:hAnsi="Century Schoolbook"/>
        </w:rPr>
        <w:t>The author of the bill explained that the current law “invites overreaching by collection firms,” applying payments to collection costs rather than the principal balance and creating a “treadmill wherein the collection costs continue to accrue despite the good faith efforts of the homeowner to cure any back debts</w:t>
      </w:r>
      <w:r w:rsidRPr="005A144C" w:rsidR="0074411E">
        <w:rPr>
          <w:rFonts w:ascii="Century Schoolbook" w:hAnsi="Century Schoolbook"/>
        </w:rPr>
        <w:t>.</w:t>
      </w:r>
      <w:r w:rsidRPr="005A144C" w:rsidR="001C7BA5">
        <w:rPr>
          <w:rFonts w:ascii="Century Schoolbook" w:hAnsi="Century Schoolbook"/>
        </w:rPr>
        <w:t>”  (</w:t>
      </w:r>
      <w:r w:rsidRPr="005A144C" w:rsidR="005F4789">
        <w:rPr>
          <w:rFonts w:ascii="Century Schoolbook" w:hAnsi="Century Schoolbook"/>
        </w:rPr>
        <w:t>Assem</w:t>
      </w:r>
      <w:r w:rsidRPr="005A144C" w:rsidR="001C7BA5">
        <w:rPr>
          <w:rFonts w:ascii="Century Schoolbook" w:hAnsi="Century Schoolbook"/>
        </w:rPr>
        <w:t>.</w:t>
      </w:r>
      <w:r w:rsidRPr="005A144C" w:rsidR="005F4789">
        <w:rPr>
          <w:rFonts w:ascii="Century Schoolbook" w:hAnsi="Century Schoolbook"/>
        </w:rPr>
        <w:t xml:space="preserve"> Mem.</w:t>
      </w:r>
      <w:r w:rsidRPr="005A144C" w:rsidR="001C7BA5">
        <w:rPr>
          <w:rFonts w:ascii="Century Schoolbook" w:hAnsi="Century Schoolbook"/>
        </w:rPr>
        <w:t xml:space="preserve"> Jackie Speier</w:t>
      </w:r>
      <w:r w:rsidRPr="005A144C" w:rsidR="003E175F">
        <w:rPr>
          <w:rFonts w:ascii="Century Schoolbook" w:hAnsi="Century Schoolbook"/>
        </w:rPr>
        <w:t xml:space="preserve"> author of Assem. Bill No. 1317 (1995–1996</w:t>
      </w:r>
      <w:r w:rsidRPr="005A144C" w:rsidR="009843ED">
        <w:rPr>
          <w:rFonts w:ascii="Century Schoolbook" w:hAnsi="Century Schoolbook"/>
        </w:rPr>
        <w:t xml:space="preserve"> Reg. Sess.</w:t>
      </w:r>
      <w:r w:rsidRPr="005A144C" w:rsidR="003E175F">
        <w:rPr>
          <w:rFonts w:ascii="Century Schoolbook" w:hAnsi="Century Schoolbook"/>
        </w:rPr>
        <w:t>)</w:t>
      </w:r>
      <w:r w:rsidRPr="005A144C" w:rsidR="001C7BA5">
        <w:rPr>
          <w:rFonts w:ascii="Century Schoolbook" w:hAnsi="Century Schoolbook"/>
        </w:rPr>
        <w:t xml:space="preserve">, letter to </w:t>
      </w:r>
      <w:r w:rsidRPr="005A144C" w:rsidR="00FC6A81">
        <w:rPr>
          <w:rFonts w:ascii="Century Schoolbook" w:hAnsi="Century Schoolbook"/>
        </w:rPr>
        <w:t>Gov.</w:t>
      </w:r>
      <w:r w:rsidRPr="005A144C" w:rsidR="001C7BA5">
        <w:rPr>
          <w:rFonts w:ascii="Century Schoolbook" w:hAnsi="Century Schoolbook"/>
        </w:rPr>
        <w:t xml:space="preserve"> Wilson</w:t>
      </w:r>
      <w:r w:rsidRPr="005A144C" w:rsidR="00E51F76">
        <w:rPr>
          <w:rFonts w:ascii="Century Schoolbook" w:hAnsi="Century Schoolbook"/>
        </w:rPr>
        <w:t>,</w:t>
      </w:r>
      <w:r w:rsidRPr="005A144C" w:rsidR="001C7BA5">
        <w:rPr>
          <w:rFonts w:ascii="Century Schoolbook" w:hAnsi="Century Schoolbook"/>
        </w:rPr>
        <w:t xml:space="preserve"> Sept.</w:t>
      </w:r>
      <w:r w:rsidRPr="005A144C" w:rsidR="00487E9D">
        <w:rPr>
          <w:rFonts w:ascii="Century Schoolbook" w:hAnsi="Century Schoolbook"/>
        </w:rPr>
        <w:t> </w:t>
      </w:r>
      <w:r w:rsidRPr="005A144C" w:rsidR="00EA1393">
        <w:rPr>
          <w:rFonts w:ascii="Century Schoolbook" w:hAnsi="Century Schoolbook"/>
        </w:rPr>
        <w:t>10</w:t>
      </w:r>
      <w:r w:rsidRPr="005A144C" w:rsidR="001C7BA5">
        <w:rPr>
          <w:rFonts w:ascii="Century Schoolbook" w:hAnsi="Century Schoolbook"/>
        </w:rPr>
        <w:t xml:space="preserve">, </w:t>
      </w:r>
      <w:r w:rsidRPr="005A144C" w:rsidR="00EA1393">
        <w:rPr>
          <w:rFonts w:ascii="Century Schoolbook" w:hAnsi="Century Schoolbook"/>
        </w:rPr>
        <w:t>1996</w:t>
      </w:r>
      <w:r w:rsidRPr="005A144C" w:rsidR="001C7BA5">
        <w:rPr>
          <w:rFonts w:ascii="Century Schoolbook" w:hAnsi="Century Schoolbook"/>
        </w:rPr>
        <w:t xml:space="preserve">, </w:t>
      </w:r>
      <w:r w:rsidRPr="005A144C" w:rsidR="00273B50">
        <w:rPr>
          <w:rFonts w:ascii="Century Schoolbook" w:hAnsi="Century Schoolbook"/>
        </w:rPr>
        <w:t>pp. 2–3</w:t>
      </w:r>
      <w:r w:rsidRPr="005A144C" w:rsidR="001C7BA5">
        <w:rPr>
          <w:rFonts w:ascii="Century Schoolbook" w:hAnsi="Century Schoolbook"/>
        </w:rPr>
        <w:t>.)</w:t>
      </w:r>
      <w:r w:rsidRPr="005A144C" w:rsidR="009D3683">
        <w:rPr>
          <w:rFonts w:ascii="Century Schoolbook" w:hAnsi="Century Schoolbook"/>
        </w:rPr>
        <w:t xml:space="preserve">  </w:t>
      </w:r>
    </w:p>
    <w:p w:rsidR="001C7BA5" w:rsidRPr="005A144C" w:rsidP="002E22D7" w14:paraId="30F70FD4" w14:textId="43F39F61">
      <w:pPr>
        <w:spacing w:line="360" w:lineRule="auto"/>
        <w:rPr>
          <w:rFonts w:ascii="Century Schoolbook" w:hAnsi="Century Schoolbook"/>
        </w:rPr>
      </w:pPr>
      <w:r w:rsidRPr="005A144C">
        <w:rPr>
          <w:rFonts w:ascii="Century Schoolbook" w:hAnsi="Century Schoolbook"/>
        </w:rPr>
        <w:tab/>
      </w:r>
      <w:r w:rsidRPr="005A144C" w:rsidR="006F5B52">
        <w:rPr>
          <w:rFonts w:ascii="Century Schoolbook" w:hAnsi="Century Schoolbook"/>
        </w:rPr>
        <w:t>T</w:t>
      </w:r>
      <w:r w:rsidRPr="005A144C" w:rsidR="00301302">
        <w:rPr>
          <w:rFonts w:ascii="Century Schoolbook" w:hAnsi="Century Schoolbook"/>
        </w:rPr>
        <w:t>he prioritization requirement was</w:t>
      </w:r>
      <w:r w:rsidRPr="005A144C" w:rsidR="009E0F8A">
        <w:rPr>
          <w:rFonts w:ascii="Century Schoolbook" w:hAnsi="Century Schoolbook"/>
        </w:rPr>
        <w:t xml:space="preserve"> thus</w:t>
      </w:r>
      <w:r w:rsidRPr="005A144C" w:rsidR="00301302">
        <w:rPr>
          <w:rFonts w:ascii="Century Schoolbook" w:hAnsi="Century Schoolbook"/>
        </w:rPr>
        <w:t xml:space="preserve"> intended</w:t>
      </w:r>
      <w:r w:rsidRPr="005A144C" w:rsidR="00EA1393">
        <w:rPr>
          <w:rFonts w:ascii="Century Schoolbook" w:hAnsi="Century Schoolbook"/>
        </w:rPr>
        <w:t xml:space="preserve"> </w:t>
      </w:r>
      <w:r w:rsidRPr="005A144C" w:rsidR="00301302">
        <w:rPr>
          <w:rFonts w:ascii="Century Schoolbook" w:hAnsi="Century Schoolbook"/>
        </w:rPr>
        <w:t xml:space="preserve">to protect homeowners from abuses by collection firms and “insensitive and overzealous associations who adopt unnecessarily adversarial tactics in collecting past due assessments.” </w:t>
      </w:r>
      <w:r w:rsidRPr="005A144C" w:rsidR="00273B50">
        <w:rPr>
          <w:rFonts w:ascii="Century Schoolbook" w:hAnsi="Century Schoolbook"/>
        </w:rPr>
        <w:t xml:space="preserve"> (Sen. Com. on Judiciary, Analysis of Assem. Bill No. </w:t>
      </w:r>
      <w:r w:rsidRPr="005A144C" w:rsidR="004027C4">
        <w:rPr>
          <w:rFonts w:ascii="Century Schoolbook" w:hAnsi="Century Schoolbook"/>
        </w:rPr>
        <w:t>1317</w:t>
      </w:r>
      <w:r w:rsidRPr="005A144C" w:rsidR="00273B50">
        <w:rPr>
          <w:rFonts w:ascii="Century Schoolbook" w:hAnsi="Century Schoolbook"/>
        </w:rPr>
        <w:t xml:space="preserve"> </w:t>
      </w:r>
      <w:r w:rsidRPr="005A144C" w:rsidR="004027C4">
        <w:rPr>
          <w:rFonts w:ascii="Century Schoolbook" w:hAnsi="Century Schoolbook"/>
        </w:rPr>
        <w:t>(1995–1996 Reg. Sess</w:t>
      </w:r>
      <w:r w:rsidRPr="005A144C" w:rsidR="00273B50">
        <w:rPr>
          <w:rFonts w:ascii="Century Schoolbook" w:hAnsi="Century Schoolbook"/>
        </w:rPr>
        <w:t xml:space="preserve">.) as amended </w:t>
      </w:r>
      <w:r w:rsidRPr="005A144C" w:rsidR="00514B68">
        <w:rPr>
          <w:rFonts w:ascii="Century Schoolbook" w:hAnsi="Century Schoolbook"/>
        </w:rPr>
        <w:t>Aug.</w:t>
      </w:r>
      <w:r w:rsidRPr="005A144C" w:rsidR="00273B50">
        <w:rPr>
          <w:rFonts w:ascii="Century Schoolbook" w:hAnsi="Century Schoolbook"/>
        </w:rPr>
        <w:t xml:space="preserve"> </w:t>
      </w:r>
      <w:r w:rsidRPr="005A144C" w:rsidR="00514B68">
        <w:rPr>
          <w:rFonts w:ascii="Century Schoolbook" w:hAnsi="Century Schoolbook"/>
        </w:rPr>
        <w:t>21</w:t>
      </w:r>
      <w:r w:rsidRPr="005A144C" w:rsidR="00273B50">
        <w:rPr>
          <w:rFonts w:ascii="Century Schoolbook" w:hAnsi="Century Schoolbook"/>
        </w:rPr>
        <w:t xml:space="preserve">, </w:t>
      </w:r>
      <w:r w:rsidRPr="005A144C" w:rsidR="00514B68">
        <w:rPr>
          <w:rFonts w:ascii="Century Schoolbook" w:hAnsi="Century Schoolbook"/>
        </w:rPr>
        <w:t>1995</w:t>
      </w:r>
      <w:r w:rsidRPr="005A144C" w:rsidR="00273B50">
        <w:rPr>
          <w:rFonts w:ascii="Century Schoolbook" w:hAnsi="Century Schoolbook"/>
        </w:rPr>
        <w:t xml:space="preserve">, p. </w:t>
      </w:r>
      <w:r w:rsidRPr="005A144C" w:rsidR="00514B68">
        <w:rPr>
          <w:rFonts w:ascii="Century Schoolbook" w:hAnsi="Century Schoolbook"/>
        </w:rPr>
        <w:t>7</w:t>
      </w:r>
      <w:r w:rsidRPr="005A144C" w:rsidR="00273B50">
        <w:rPr>
          <w:rFonts w:ascii="Century Schoolbook" w:hAnsi="Century Schoolbook"/>
        </w:rPr>
        <w:t xml:space="preserve">.)  </w:t>
      </w:r>
      <w:r w:rsidRPr="005A144C" w:rsidR="0095000B">
        <w:rPr>
          <w:rFonts w:ascii="Century Schoolbook" w:hAnsi="Century Schoolbook"/>
        </w:rPr>
        <w:t>C</w:t>
      </w:r>
      <w:r w:rsidRPr="005A144C" w:rsidR="009D3683">
        <w:rPr>
          <w:rFonts w:ascii="Century Schoolbook" w:hAnsi="Century Schoolbook"/>
        </w:rPr>
        <w:t>oncern</w:t>
      </w:r>
      <w:r w:rsidRPr="005A144C" w:rsidR="0095000B">
        <w:rPr>
          <w:rFonts w:ascii="Century Schoolbook" w:hAnsi="Century Schoolbook"/>
        </w:rPr>
        <w:t xml:space="preserve"> about these abuses</w:t>
      </w:r>
      <w:r w:rsidRPr="005A144C" w:rsidR="009D3683">
        <w:rPr>
          <w:rFonts w:ascii="Century Schoolbook" w:hAnsi="Century Schoolbook"/>
        </w:rPr>
        <w:t xml:space="preserve"> outweighed arguments</w:t>
      </w:r>
      <w:r w:rsidRPr="005A144C" w:rsidR="0095000B">
        <w:rPr>
          <w:rFonts w:ascii="Century Schoolbook" w:hAnsi="Century Schoolbook"/>
        </w:rPr>
        <w:t xml:space="preserve"> in opposition</w:t>
      </w:r>
      <w:r w:rsidRPr="005A144C" w:rsidR="009D3683">
        <w:rPr>
          <w:rFonts w:ascii="Century Schoolbook" w:hAnsi="Century Schoolbook"/>
        </w:rPr>
        <w:t xml:space="preserve"> that the </w:t>
      </w:r>
      <w:r w:rsidRPr="005A144C" w:rsidR="003979C4">
        <w:rPr>
          <w:rFonts w:ascii="Century Schoolbook" w:hAnsi="Century Schoolbook"/>
        </w:rPr>
        <w:t>statute</w:t>
      </w:r>
      <w:r w:rsidRPr="005A144C" w:rsidR="009D3683">
        <w:rPr>
          <w:rFonts w:ascii="Century Schoolbook" w:hAnsi="Century Schoolbook"/>
        </w:rPr>
        <w:t xml:space="preserve"> would interfere with private agreements between homeowners and HOAs.  (</w:t>
      </w:r>
      <w:r w:rsidRPr="005A144C" w:rsidR="006F5561">
        <w:rPr>
          <w:rFonts w:ascii="Century Schoolbook" w:hAnsi="Century Schoolbook"/>
        </w:rPr>
        <w:t xml:space="preserve">Sen. </w:t>
      </w:r>
      <w:r w:rsidRPr="005A144C" w:rsidR="008A61F9">
        <w:rPr>
          <w:rFonts w:ascii="Century Schoolbook" w:hAnsi="Century Schoolbook"/>
        </w:rPr>
        <w:t xml:space="preserve">Housing </w:t>
      </w:r>
      <w:r w:rsidRPr="005A144C" w:rsidR="00E46B88">
        <w:rPr>
          <w:rFonts w:ascii="Century Schoolbook" w:hAnsi="Century Schoolbook"/>
        </w:rPr>
        <w:t>&amp;</w:t>
      </w:r>
      <w:r w:rsidRPr="005A144C" w:rsidR="008A61F9">
        <w:rPr>
          <w:rFonts w:ascii="Century Schoolbook" w:hAnsi="Century Schoolbook"/>
        </w:rPr>
        <w:t xml:space="preserve"> Land Use</w:t>
      </w:r>
      <w:r w:rsidRPr="005A144C" w:rsidR="00E46B88">
        <w:rPr>
          <w:rFonts w:ascii="Century Schoolbook" w:hAnsi="Century Schoolbook"/>
        </w:rPr>
        <w:t xml:space="preserve"> Com.</w:t>
      </w:r>
      <w:r w:rsidRPr="005A144C" w:rsidR="006F5561">
        <w:rPr>
          <w:rFonts w:ascii="Century Schoolbook" w:hAnsi="Century Schoolbook"/>
        </w:rPr>
        <w:t xml:space="preserve">, </w:t>
      </w:r>
      <w:r w:rsidRPr="005A144C" w:rsidR="00E46B88">
        <w:rPr>
          <w:rFonts w:ascii="Century Schoolbook" w:hAnsi="Century Schoolbook"/>
        </w:rPr>
        <w:t>com.</w:t>
      </w:r>
      <w:r w:rsidRPr="005A144C" w:rsidR="006F5561">
        <w:rPr>
          <w:rFonts w:ascii="Century Schoolbook" w:hAnsi="Century Schoolbook"/>
        </w:rPr>
        <w:t xml:space="preserve"> </w:t>
      </w:r>
      <w:r w:rsidRPr="005A144C" w:rsidR="00E46B88">
        <w:rPr>
          <w:rFonts w:ascii="Century Schoolbook" w:hAnsi="Century Schoolbook"/>
        </w:rPr>
        <w:t>on</w:t>
      </w:r>
      <w:r w:rsidRPr="005A144C" w:rsidR="006F5561">
        <w:rPr>
          <w:rFonts w:ascii="Century Schoolbook" w:hAnsi="Century Schoolbook"/>
        </w:rPr>
        <w:t xml:space="preserve"> Assem. Bill No. 1317 (1995–1996 Reg. Sess.) </w:t>
      </w:r>
      <w:r w:rsidRPr="005A144C" w:rsidR="007C0CCB">
        <w:rPr>
          <w:rFonts w:ascii="Century Schoolbook" w:hAnsi="Century Schoolbook"/>
        </w:rPr>
        <w:t xml:space="preserve">as amended </w:t>
      </w:r>
      <w:r w:rsidRPr="005A144C" w:rsidR="00EA6653">
        <w:rPr>
          <w:rFonts w:ascii="Century Schoolbook" w:hAnsi="Century Schoolbook"/>
        </w:rPr>
        <w:t>June 13</w:t>
      </w:r>
      <w:r w:rsidRPr="005A144C" w:rsidR="006F5561">
        <w:rPr>
          <w:rFonts w:ascii="Century Schoolbook" w:hAnsi="Century Schoolbook"/>
        </w:rPr>
        <w:t xml:space="preserve">, 1995, p. </w:t>
      </w:r>
      <w:r w:rsidRPr="005A144C" w:rsidR="001A41AD">
        <w:rPr>
          <w:rFonts w:ascii="Century Schoolbook" w:hAnsi="Century Schoolbook"/>
        </w:rPr>
        <w:t>3</w:t>
      </w:r>
      <w:r w:rsidRPr="005A144C" w:rsidR="00D433CC">
        <w:rPr>
          <w:rFonts w:ascii="Century Schoolbook" w:hAnsi="Century Schoolbook"/>
        </w:rPr>
        <w:t>.</w:t>
      </w:r>
      <w:r w:rsidRPr="005A144C" w:rsidR="009D3683">
        <w:rPr>
          <w:rFonts w:ascii="Century Schoolbook" w:hAnsi="Century Schoolbook"/>
        </w:rPr>
        <w:t>)</w:t>
      </w:r>
      <w:r w:rsidRPr="005A144C" w:rsidR="004D7280">
        <w:rPr>
          <w:rFonts w:ascii="Century Schoolbook" w:hAnsi="Century Schoolbook"/>
        </w:rPr>
        <w:t xml:space="preserve">  </w:t>
      </w:r>
      <w:r w:rsidRPr="005A144C" w:rsidR="00AD43E6">
        <w:rPr>
          <w:rFonts w:ascii="Century Schoolbook" w:hAnsi="Century Schoolbook"/>
        </w:rPr>
        <w:t>The</w:t>
      </w:r>
      <w:r w:rsidRPr="005A144C" w:rsidR="009A46D2">
        <w:rPr>
          <w:rFonts w:ascii="Century Schoolbook" w:hAnsi="Century Schoolbook"/>
        </w:rPr>
        <w:t>se</w:t>
      </w:r>
      <w:r w:rsidRPr="005A144C" w:rsidR="00AD43E6">
        <w:rPr>
          <w:rFonts w:ascii="Century Schoolbook" w:hAnsi="Century Schoolbook"/>
        </w:rPr>
        <w:t xml:space="preserve"> materials also make clear that the Legislature </w:t>
      </w:r>
      <w:r w:rsidRPr="005A144C" w:rsidR="00AE4EA9">
        <w:rPr>
          <w:rFonts w:ascii="Century Schoolbook" w:hAnsi="Century Schoolbook"/>
        </w:rPr>
        <w:t>considered</w:t>
      </w:r>
      <w:r w:rsidRPr="005A144C" w:rsidR="00AD43E6">
        <w:rPr>
          <w:rFonts w:ascii="Century Schoolbook" w:hAnsi="Century Schoolbook"/>
        </w:rPr>
        <w:t xml:space="preserve"> th</w:t>
      </w:r>
      <w:r w:rsidRPr="005A144C" w:rsidR="009526B8">
        <w:rPr>
          <w:rFonts w:ascii="Century Schoolbook" w:hAnsi="Century Schoolbook"/>
        </w:rPr>
        <w:t>ese protections applicable to</w:t>
      </w:r>
      <w:r w:rsidRPr="005A144C" w:rsidR="00D3008D">
        <w:rPr>
          <w:rFonts w:ascii="Century Schoolbook" w:hAnsi="Century Schoolbook"/>
        </w:rPr>
        <w:t xml:space="preserve"> a </w:t>
      </w:r>
      <w:r w:rsidRPr="005A144C" w:rsidR="00B44AD7">
        <w:rPr>
          <w:rFonts w:ascii="Century Schoolbook" w:hAnsi="Century Schoolbook"/>
        </w:rPr>
        <w:t>significant</w:t>
      </w:r>
      <w:r w:rsidRPr="005A144C" w:rsidR="00CB3455">
        <w:rPr>
          <w:rFonts w:ascii="Century Schoolbook" w:hAnsi="Century Schoolbook"/>
        </w:rPr>
        <w:t xml:space="preserve"> </w:t>
      </w:r>
      <w:r w:rsidRPr="005A144C" w:rsidR="00AB4C2C">
        <w:rPr>
          <w:rFonts w:ascii="Century Schoolbook" w:hAnsi="Century Schoolbook"/>
        </w:rPr>
        <w:t xml:space="preserve">percentage </w:t>
      </w:r>
      <w:r w:rsidRPr="005A144C" w:rsidR="00CB3455">
        <w:rPr>
          <w:rFonts w:ascii="Century Schoolbook" w:hAnsi="Century Schoolbook"/>
        </w:rPr>
        <w:t xml:space="preserve">of its </w:t>
      </w:r>
      <w:r w:rsidRPr="005A144C" w:rsidR="00E7724B">
        <w:rPr>
          <w:rFonts w:ascii="Century Schoolbook" w:hAnsi="Century Schoolbook"/>
        </w:rPr>
        <w:t>populace</w:t>
      </w:r>
      <w:r w:rsidRPr="005A144C" w:rsidR="00751F63">
        <w:rPr>
          <w:rFonts w:ascii="Century Schoolbook" w:hAnsi="Century Schoolbook"/>
        </w:rPr>
        <w:t>:  a</w:t>
      </w:r>
      <w:r w:rsidRPr="005A144C" w:rsidR="00AD43E6">
        <w:rPr>
          <w:rFonts w:ascii="Century Schoolbook" w:hAnsi="Century Schoolbook"/>
        </w:rPr>
        <w:t>t the time, approximately five million homeowners</w:t>
      </w:r>
      <w:r w:rsidRPr="005A144C" w:rsidR="006D1446">
        <w:rPr>
          <w:rFonts w:ascii="Century Schoolbook" w:hAnsi="Century Schoolbook"/>
        </w:rPr>
        <w:t xml:space="preserve"> lived in the</w:t>
      </w:r>
      <w:r w:rsidRPr="005A144C" w:rsidR="00BC4C18">
        <w:rPr>
          <w:rFonts w:ascii="Century Schoolbook" w:hAnsi="Century Schoolbook"/>
        </w:rPr>
        <w:t xml:space="preserve"> state’s</w:t>
      </w:r>
      <w:r w:rsidRPr="005A144C" w:rsidR="006D1446">
        <w:rPr>
          <w:rFonts w:ascii="Century Schoolbook" w:hAnsi="Century Schoolbook"/>
        </w:rPr>
        <w:t xml:space="preserve"> 30,000 </w:t>
      </w:r>
      <w:r w:rsidRPr="005A144C" w:rsidR="00BC4C18">
        <w:rPr>
          <w:rFonts w:ascii="Century Schoolbook" w:hAnsi="Century Schoolbook"/>
        </w:rPr>
        <w:t>common interest developments</w:t>
      </w:r>
      <w:r w:rsidRPr="005A144C" w:rsidR="00AD43E6">
        <w:rPr>
          <w:rFonts w:ascii="Century Schoolbook" w:hAnsi="Century Schoolbook"/>
        </w:rPr>
        <w:t>.  (</w:t>
      </w:r>
      <w:r w:rsidRPr="005A144C" w:rsidR="00423A23">
        <w:rPr>
          <w:rFonts w:ascii="Century Schoolbook" w:hAnsi="Century Schoolbook"/>
        </w:rPr>
        <w:t>Assem. Mem. Jackie Speier</w:t>
      </w:r>
      <w:r w:rsidRPr="005A144C" w:rsidR="00A2439F">
        <w:rPr>
          <w:rFonts w:ascii="Century Schoolbook" w:hAnsi="Century Schoolbook"/>
        </w:rPr>
        <w:t xml:space="preserve"> author of Assem. Bill No. 1317 (1995–1996 Reg. Sess.)</w:t>
      </w:r>
      <w:r w:rsidRPr="005A144C" w:rsidR="00423A23">
        <w:rPr>
          <w:rFonts w:ascii="Century Schoolbook" w:hAnsi="Century Schoolbook"/>
        </w:rPr>
        <w:t>, letter to Gov. Wilson,</w:t>
      </w:r>
      <w:r w:rsidRPr="005A144C" w:rsidR="0042533F">
        <w:rPr>
          <w:rFonts w:ascii="Century Schoolbook" w:hAnsi="Century Schoolbook"/>
        </w:rPr>
        <w:t xml:space="preserve"> </w:t>
      </w:r>
      <w:r w:rsidRPr="005A144C" w:rsidR="0042533F">
        <w:rPr>
          <w:rFonts w:ascii="Century Schoolbook" w:hAnsi="Century Schoolbook"/>
          <w:i/>
          <w:iCs/>
        </w:rPr>
        <w:t>supra</w:t>
      </w:r>
      <w:r w:rsidRPr="005A144C" w:rsidR="006E066B">
        <w:rPr>
          <w:rFonts w:ascii="Century Schoolbook" w:hAnsi="Century Schoolbook"/>
        </w:rPr>
        <w:t>,</w:t>
      </w:r>
      <w:r w:rsidRPr="005A144C" w:rsidR="00AD43E6">
        <w:rPr>
          <w:rFonts w:ascii="Century Schoolbook" w:hAnsi="Century Schoolbook"/>
        </w:rPr>
        <w:t xml:space="preserve"> </w:t>
      </w:r>
      <w:r w:rsidRPr="005A144C" w:rsidR="00066644">
        <w:rPr>
          <w:rFonts w:ascii="Century Schoolbook" w:hAnsi="Century Schoolbook"/>
        </w:rPr>
        <w:t xml:space="preserve">at </w:t>
      </w:r>
      <w:r w:rsidRPr="005A144C" w:rsidR="00AD43E6">
        <w:rPr>
          <w:rFonts w:ascii="Century Schoolbook" w:hAnsi="Century Schoolbook"/>
        </w:rPr>
        <w:t xml:space="preserve">p. </w:t>
      </w:r>
      <w:r w:rsidRPr="005A144C" w:rsidR="00B10673">
        <w:rPr>
          <w:rFonts w:ascii="Century Schoolbook" w:hAnsi="Century Schoolbook"/>
        </w:rPr>
        <w:t>1</w:t>
      </w:r>
      <w:r w:rsidRPr="005A144C" w:rsidR="00694E26">
        <w:rPr>
          <w:rFonts w:ascii="Century Schoolbook" w:hAnsi="Century Schoolbook"/>
        </w:rPr>
        <w:t xml:space="preserve">; Assem. Mem. </w:t>
      </w:r>
      <w:r w:rsidRPr="005A144C" w:rsidR="003A29FB">
        <w:rPr>
          <w:rFonts w:ascii="Century Schoolbook" w:hAnsi="Century Schoolbook"/>
        </w:rPr>
        <w:t>Dan Hauser</w:t>
      </w:r>
      <w:r w:rsidRPr="005A144C" w:rsidR="00694E26">
        <w:rPr>
          <w:rFonts w:ascii="Century Schoolbook" w:hAnsi="Century Schoolbook"/>
        </w:rPr>
        <w:t>, letter to Gov. Wilson, Sept. 10, 1996</w:t>
      </w:r>
      <w:r w:rsidRPr="005A144C" w:rsidR="00AD43E6">
        <w:rPr>
          <w:rFonts w:ascii="Century Schoolbook" w:hAnsi="Century Schoolbook"/>
        </w:rPr>
        <w:t xml:space="preserve">.)  </w:t>
      </w:r>
    </w:p>
    <w:p w:rsidR="00B20B5C" w:rsidRPr="005A144C" w:rsidP="002E22D7" w14:paraId="1CBB270C" w14:textId="062EBF81">
      <w:pPr>
        <w:spacing w:line="360" w:lineRule="auto"/>
        <w:rPr>
          <w:rFonts w:ascii="Century Schoolbook" w:hAnsi="Century Schoolbook"/>
        </w:rPr>
      </w:pPr>
      <w:r w:rsidRPr="005A144C">
        <w:rPr>
          <w:rFonts w:ascii="Century Schoolbook" w:hAnsi="Century Schoolbook"/>
        </w:rPr>
        <w:tab/>
      </w:r>
      <w:r w:rsidRPr="005A144C" w:rsidR="00DB06F0">
        <w:rPr>
          <w:rFonts w:ascii="Century Schoolbook" w:hAnsi="Century Schoolbook"/>
        </w:rPr>
        <w:t xml:space="preserve">The legislative history from section 1367.1 </w:t>
      </w:r>
      <w:r w:rsidRPr="005A144C" w:rsidR="00FE4253">
        <w:rPr>
          <w:rFonts w:ascii="Century Schoolbook" w:hAnsi="Century Schoolbook"/>
        </w:rPr>
        <w:t>is consistent with</w:t>
      </w:r>
      <w:r w:rsidRPr="005A144C" w:rsidR="00DB06F0">
        <w:rPr>
          <w:rFonts w:ascii="Century Schoolbook" w:hAnsi="Century Schoolbook"/>
        </w:rPr>
        <w:t xml:space="preserve"> this </w:t>
      </w:r>
      <w:r w:rsidRPr="005A144C" w:rsidR="007930AC">
        <w:rPr>
          <w:rFonts w:ascii="Century Schoolbook" w:hAnsi="Century Schoolbook"/>
        </w:rPr>
        <w:t>purpose</w:t>
      </w:r>
      <w:r w:rsidRPr="005A144C" w:rsidR="009C125F">
        <w:rPr>
          <w:rFonts w:ascii="Century Schoolbook" w:hAnsi="Century Schoolbook"/>
        </w:rPr>
        <w:t xml:space="preserve">, </w:t>
      </w:r>
      <w:r w:rsidRPr="005A144C" w:rsidR="00B656CE">
        <w:rPr>
          <w:rFonts w:ascii="Century Schoolbook" w:hAnsi="Century Schoolbook"/>
        </w:rPr>
        <w:t>explaining</w:t>
      </w:r>
      <w:r w:rsidRPr="005A144C" w:rsidR="000A595B">
        <w:rPr>
          <w:rFonts w:ascii="Century Schoolbook" w:hAnsi="Century Schoolbook"/>
        </w:rPr>
        <w:t xml:space="preserve"> that</w:t>
      </w:r>
      <w:r w:rsidRPr="005A144C" w:rsidR="00B656CE">
        <w:rPr>
          <w:rFonts w:ascii="Century Schoolbook" w:hAnsi="Century Schoolbook"/>
        </w:rPr>
        <w:t xml:space="preserve"> </w:t>
      </w:r>
      <w:r w:rsidRPr="005A144C" w:rsidR="000C208D">
        <w:rPr>
          <w:rFonts w:ascii="Century Schoolbook" w:hAnsi="Century Schoolbook"/>
        </w:rPr>
        <w:t>the statute</w:t>
      </w:r>
      <w:r w:rsidRPr="005A144C" w:rsidR="00B656CE">
        <w:rPr>
          <w:rFonts w:ascii="Century Schoolbook" w:hAnsi="Century Schoolbook"/>
        </w:rPr>
        <w:t xml:space="preserve"> was “</w:t>
      </w:r>
      <w:r w:rsidRPr="005A144C" w:rsidR="00903718">
        <w:rPr>
          <w:rFonts w:ascii="Century Schoolbook" w:hAnsi="Century Schoolbook"/>
        </w:rPr>
        <w:t>primarily designed</w:t>
      </w:r>
      <w:r w:rsidRPr="005A144C" w:rsidR="00B656CE">
        <w:rPr>
          <w:rFonts w:ascii="Century Schoolbook" w:hAnsi="Century Schoolbook"/>
        </w:rPr>
        <w:t>”</w:t>
      </w:r>
      <w:r w:rsidRPr="005A144C" w:rsidR="00903718">
        <w:rPr>
          <w:rFonts w:ascii="Century Schoolbook" w:hAnsi="Century Schoolbook"/>
        </w:rPr>
        <w:t xml:space="preserve"> to address</w:t>
      </w:r>
      <w:r w:rsidRPr="005A144C" w:rsidR="004D7A63">
        <w:rPr>
          <w:rFonts w:ascii="Century Schoolbook" w:hAnsi="Century Schoolbook"/>
        </w:rPr>
        <w:t xml:space="preserve"> the same</w:t>
      </w:r>
      <w:r w:rsidRPr="005A144C" w:rsidR="00903718">
        <w:rPr>
          <w:rFonts w:ascii="Century Schoolbook" w:hAnsi="Century Schoolbook"/>
        </w:rPr>
        <w:t xml:space="preserve"> </w:t>
      </w:r>
      <w:r w:rsidRPr="005A144C" w:rsidR="00B656CE">
        <w:rPr>
          <w:rFonts w:ascii="Century Schoolbook" w:hAnsi="Century Schoolbook"/>
        </w:rPr>
        <w:t>concerns regarding the</w:t>
      </w:r>
      <w:r w:rsidRPr="005A144C" w:rsidR="00EA1D4B">
        <w:rPr>
          <w:rFonts w:ascii="Century Schoolbook" w:hAnsi="Century Schoolbook"/>
        </w:rPr>
        <w:t xml:space="preserve"> nonjudicial</w:t>
      </w:r>
      <w:r w:rsidRPr="005A144C" w:rsidR="00B656CE">
        <w:rPr>
          <w:rFonts w:ascii="Century Schoolbook" w:hAnsi="Century Schoolbook"/>
        </w:rPr>
        <w:t xml:space="preserve"> foreclosure process for delinquent payments</w:t>
      </w:r>
      <w:r w:rsidRPr="005A144C" w:rsidR="00F86444">
        <w:rPr>
          <w:rFonts w:ascii="Century Schoolbook" w:hAnsi="Century Schoolbook"/>
        </w:rPr>
        <w:t>.</w:t>
      </w:r>
      <w:r w:rsidRPr="005A144C" w:rsidR="00B656CE">
        <w:rPr>
          <w:rFonts w:ascii="Century Schoolbook" w:hAnsi="Century Schoolbook"/>
        </w:rPr>
        <w:t xml:space="preserve">  (</w:t>
      </w:r>
      <w:r w:rsidRPr="005A144C" w:rsidR="00890824">
        <w:rPr>
          <w:rFonts w:ascii="Century Schoolbook" w:hAnsi="Century Schoolbook"/>
        </w:rPr>
        <w:t>Sen. Com. on Judiciary, Analysis of Bill No. 2289 (2001–2002 Reg. Sess.) as amended June 19, 2002</w:t>
      </w:r>
      <w:r w:rsidRPr="005A144C" w:rsidR="00C76C16">
        <w:rPr>
          <w:rFonts w:ascii="Century Schoolbook" w:hAnsi="Century Schoolbook"/>
        </w:rPr>
        <w:t>, p. 5</w:t>
      </w:r>
      <w:r w:rsidRPr="005A144C" w:rsidR="006C6C70">
        <w:rPr>
          <w:rFonts w:ascii="Century Schoolbook" w:hAnsi="Century Schoolbook"/>
        </w:rPr>
        <w:t xml:space="preserve">; see also </w:t>
      </w:r>
      <w:r w:rsidRPr="005A144C" w:rsidR="006C6C70">
        <w:rPr>
          <w:rFonts w:ascii="Century Schoolbook" w:hAnsi="Century Schoolbook"/>
          <w:i/>
          <w:iCs/>
        </w:rPr>
        <w:t xml:space="preserve">Diamond v. Superior Court </w:t>
      </w:r>
      <w:r w:rsidRPr="005A144C" w:rsidR="006C6C70">
        <w:rPr>
          <w:rFonts w:ascii="Century Schoolbook" w:hAnsi="Century Schoolbook"/>
        </w:rPr>
        <w:t>(2013) 217 Cal.App.4th 1172, 1190 [finding intent regarding public purpose of section 1367.1 in legislative history].</w:t>
      </w:r>
      <w:r w:rsidRPr="005A144C" w:rsidR="00890824">
        <w:rPr>
          <w:rFonts w:ascii="Century Schoolbook" w:hAnsi="Century Schoolbook"/>
        </w:rPr>
        <w:t>)</w:t>
      </w:r>
      <w:r w:rsidRPr="005A144C" w:rsidR="00F86444">
        <w:rPr>
          <w:rFonts w:ascii="Century Schoolbook" w:hAnsi="Century Schoolbook"/>
        </w:rPr>
        <w:t xml:space="preserve">  </w:t>
      </w:r>
      <w:r w:rsidRPr="005A144C" w:rsidR="00E217A1">
        <w:rPr>
          <w:rFonts w:ascii="Century Schoolbook" w:hAnsi="Century Schoolbook"/>
        </w:rPr>
        <w:t>Contrary to ALS’s suggestion, t</w:t>
      </w:r>
      <w:r w:rsidRPr="005A144C" w:rsidR="00C65B74">
        <w:rPr>
          <w:rFonts w:ascii="Century Schoolbook" w:hAnsi="Century Schoolbook"/>
        </w:rPr>
        <w:t xml:space="preserve">he </w:t>
      </w:r>
      <w:r w:rsidRPr="005A144C" w:rsidR="005C1393">
        <w:rPr>
          <w:rFonts w:ascii="Century Schoolbook" w:hAnsi="Century Schoolbook"/>
        </w:rPr>
        <w:t xml:space="preserve">lack of </w:t>
      </w:r>
      <w:r w:rsidRPr="005A144C" w:rsidR="00E32968">
        <w:rPr>
          <w:rFonts w:ascii="Century Schoolbook" w:hAnsi="Century Schoolbook"/>
        </w:rPr>
        <w:t>explicit reference</w:t>
      </w:r>
      <w:r w:rsidRPr="005A144C" w:rsidR="00E217A1">
        <w:rPr>
          <w:rFonts w:ascii="Century Schoolbook" w:hAnsi="Century Schoolbook"/>
        </w:rPr>
        <w:t>s</w:t>
      </w:r>
      <w:r w:rsidRPr="005A144C" w:rsidR="00E32968">
        <w:rPr>
          <w:rFonts w:ascii="Century Schoolbook" w:hAnsi="Century Schoolbook"/>
        </w:rPr>
        <w:t xml:space="preserve"> </w:t>
      </w:r>
      <w:r w:rsidRPr="005A144C" w:rsidR="005C1393">
        <w:rPr>
          <w:rFonts w:ascii="Century Schoolbook" w:hAnsi="Century Schoolbook"/>
        </w:rPr>
        <w:t xml:space="preserve">to the </w:t>
      </w:r>
      <w:r w:rsidRPr="005A144C" w:rsidR="00B91D39">
        <w:rPr>
          <w:rFonts w:ascii="Century Schoolbook" w:hAnsi="Century Schoolbook"/>
        </w:rPr>
        <w:t>prioritization requirement</w:t>
      </w:r>
      <w:r w:rsidRPr="005A144C" w:rsidR="005C1393">
        <w:rPr>
          <w:rFonts w:ascii="Century Schoolbook" w:hAnsi="Century Schoolbook"/>
        </w:rPr>
        <w:t xml:space="preserve"> in these materials</w:t>
      </w:r>
      <w:r w:rsidRPr="005A144C" w:rsidR="00B91D39">
        <w:rPr>
          <w:rFonts w:ascii="Century Schoolbook" w:hAnsi="Century Schoolbook"/>
        </w:rPr>
        <w:t xml:space="preserve"> </w:t>
      </w:r>
      <w:r w:rsidRPr="005A144C" w:rsidR="006628CE">
        <w:rPr>
          <w:rFonts w:ascii="Century Schoolbook" w:hAnsi="Century Schoolbook"/>
        </w:rPr>
        <w:t>does not suggest</w:t>
      </w:r>
      <w:r w:rsidRPr="005A144C" w:rsidR="00A53B99">
        <w:rPr>
          <w:rFonts w:ascii="Century Schoolbook" w:hAnsi="Century Schoolbook"/>
        </w:rPr>
        <w:t xml:space="preserve"> </w:t>
      </w:r>
      <w:r w:rsidRPr="005A144C" w:rsidR="005D3117">
        <w:rPr>
          <w:rFonts w:ascii="Century Schoolbook" w:hAnsi="Century Schoolbook"/>
        </w:rPr>
        <w:t>some other private or narrow</w:t>
      </w:r>
      <w:r w:rsidRPr="005A144C" w:rsidR="00A53B99">
        <w:rPr>
          <w:rFonts w:ascii="Century Schoolbook" w:hAnsi="Century Schoolbook"/>
        </w:rPr>
        <w:t xml:space="preserve"> purpose</w:t>
      </w:r>
      <w:r w:rsidRPr="005A144C" w:rsidR="00CA1248">
        <w:rPr>
          <w:rFonts w:ascii="Century Schoolbook" w:hAnsi="Century Schoolbook"/>
        </w:rPr>
        <w:t xml:space="preserve">.  Nor is it </w:t>
      </w:r>
      <w:r w:rsidRPr="005A144C" w:rsidR="00D8533A">
        <w:rPr>
          <w:rFonts w:ascii="Century Schoolbook" w:hAnsi="Century Schoolbook"/>
        </w:rPr>
        <w:t>particularly surprising</w:t>
      </w:r>
      <w:r w:rsidRPr="005A144C" w:rsidR="0051533D">
        <w:rPr>
          <w:rFonts w:ascii="Century Schoolbook" w:hAnsi="Century Schoolbook"/>
        </w:rPr>
        <w:t>, given that the requirement</w:t>
      </w:r>
      <w:r w:rsidRPr="005A144C" w:rsidR="005F02AE">
        <w:rPr>
          <w:rFonts w:ascii="Century Schoolbook" w:hAnsi="Century Schoolbook"/>
        </w:rPr>
        <w:t xml:space="preserve"> was </w:t>
      </w:r>
      <w:r w:rsidRPr="005A144C" w:rsidR="000A595B">
        <w:rPr>
          <w:rFonts w:ascii="Century Schoolbook" w:hAnsi="Century Schoolbook"/>
        </w:rPr>
        <w:t>similar to the one</w:t>
      </w:r>
      <w:r w:rsidRPr="005A144C" w:rsidR="00567795">
        <w:rPr>
          <w:rFonts w:ascii="Century Schoolbook" w:hAnsi="Century Schoolbook"/>
        </w:rPr>
        <w:t xml:space="preserve"> </w:t>
      </w:r>
      <w:r w:rsidRPr="005A144C" w:rsidR="000A595B">
        <w:rPr>
          <w:rFonts w:ascii="Century Schoolbook" w:hAnsi="Century Schoolbook"/>
        </w:rPr>
        <w:t xml:space="preserve">already </w:t>
      </w:r>
      <w:r w:rsidRPr="005A144C" w:rsidR="00567795">
        <w:rPr>
          <w:rFonts w:ascii="Century Schoolbook" w:hAnsi="Century Schoolbook"/>
        </w:rPr>
        <w:t>in section 1367</w:t>
      </w:r>
      <w:r w:rsidRPr="005A144C" w:rsidR="003D143B">
        <w:rPr>
          <w:rFonts w:ascii="Century Schoolbook" w:hAnsi="Century Schoolbook"/>
        </w:rPr>
        <w:t>.</w:t>
      </w:r>
    </w:p>
    <w:p w:rsidR="003E0A4B" w:rsidRPr="005A144C" w:rsidP="002E22D7" w14:paraId="6D006A96" w14:textId="6DEFADCE">
      <w:pPr>
        <w:spacing w:line="360" w:lineRule="auto"/>
        <w:rPr>
          <w:rFonts w:ascii="Century Schoolbook" w:hAnsi="Century Schoolbook"/>
        </w:rPr>
      </w:pPr>
      <w:r w:rsidRPr="005A144C">
        <w:rPr>
          <w:rFonts w:ascii="Century Schoolbook" w:hAnsi="Century Schoolbook"/>
        </w:rPr>
        <w:tab/>
      </w:r>
      <w:r w:rsidRPr="005A144C" w:rsidR="003777C1">
        <w:rPr>
          <w:rFonts w:ascii="Century Schoolbook" w:hAnsi="Century Schoolbook"/>
        </w:rPr>
        <w:t xml:space="preserve">ALS’s remaining arguments </w:t>
      </w:r>
      <w:r w:rsidRPr="005A144C" w:rsidR="00A3617D">
        <w:rPr>
          <w:rFonts w:ascii="Century Schoolbook" w:hAnsi="Century Schoolbook"/>
        </w:rPr>
        <w:t xml:space="preserve">do not </w:t>
      </w:r>
      <w:r w:rsidRPr="005A144C" w:rsidR="003777C1">
        <w:rPr>
          <w:rFonts w:ascii="Century Schoolbook" w:hAnsi="Century Schoolbook"/>
        </w:rPr>
        <w:t xml:space="preserve">alter our </w:t>
      </w:r>
      <w:r w:rsidRPr="005A144C" w:rsidR="00A3617D">
        <w:rPr>
          <w:rFonts w:ascii="Century Schoolbook" w:hAnsi="Century Schoolbook"/>
        </w:rPr>
        <w:t>view</w:t>
      </w:r>
      <w:r w:rsidRPr="005A144C" w:rsidR="003777C1">
        <w:rPr>
          <w:rFonts w:ascii="Century Schoolbook" w:hAnsi="Century Schoolbook"/>
        </w:rPr>
        <w:t xml:space="preserve">.  First, </w:t>
      </w:r>
      <w:r w:rsidRPr="005A144C" w:rsidR="002F30EA">
        <w:rPr>
          <w:rFonts w:ascii="Century Schoolbook" w:hAnsi="Century Schoolbook"/>
        </w:rPr>
        <w:t>ALS</w:t>
      </w:r>
      <w:r w:rsidRPr="005A144C" w:rsidR="00DB0017">
        <w:rPr>
          <w:rFonts w:ascii="Century Schoolbook" w:hAnsi="Century Schoolbook"/>
        </w:rPr>
        <w:t xml:space="preserve"> </w:t>
      </w:r>
      <w:r w:rsidRPr="005A144C" w:rsidR="007C71F4">
        <w:rPr>
          <w:rFonts w:ascii="Century Schoolbook" w:hAnsi="Century Schoolbook"/>
        </w:rPr>
        <w:t>suggest</w:t>
      </w:r>
      <w:r w:rsidRPr="005A144C" w:rsidR="006A799C">
        <w:rPr>
          <w:rFonts w:ascii="Century Schoolbook" w:hAnsi="Century Schoolbook"/>
        </w:rPr>
        <w:t>s</w:t>
      </w:r>
      <w:r w:rsidRPr="005A144C" w:rsidR="00DB0017">
        <w:rPr>
          <w:rFonts w:ascii="Century Schoolbook" w:hAnsi="Century Schoolbook"/>
        </w:rPr>
        <w:t xml:space="preserve"> that</w:t>
      </w:r>
      <w:r w:rsidRPr="005A144C" w:rsidR="00BF0802">
        <w:rPr>
          <w:rFonts w:ascii="Century Schoolbook" w:hAnsi="Century Schoolbook"/>
        </w:rPr>
        <w:t xml:space="preserve"> </w:t>
      </w:r>
      <w:r w:rsidRPr="005A144C" w:rsidR="00A3617D">
        <w:rPr>
          <w:rFonts w:ascii="Century Schoolbook" w:hAnsi="Century Schoolbook"/>
        </w:rPr>
        <w:t>s</w:t>
      </w:r>
      <w:r w:rsidRPr="005A144C" w:rsidR="00DB0017">
        <w:rPr>
          <w:rFonts w:ascii="Century Schoolbook" w:hAnsi="Century Schoolbook"/>
        </w:rPr>
        <w:t>ection 5665</w:t>
      </w:r>
      <w:r w:rsidRPr="005A144C" w:rsidR="00CA1248">
        <w:rPr>
          <w:rFonts w:ascii="Century Schoolbook" w:hAnsi="Century Schoolbook"/>
        </w:rPr>
        <w:t xml:space="preserve"> </w:t>
      </w:r>
      <w:r w:rsidRPr="005A144C" w:rsidR="007C71F4">
        <w:rPr>
          <w:rFonts w:ascii="Century Schoolbook" w:hAnsi="Century Schoolbook"/>
        </w:rPr>
        <w:t>limit</w:t>
      </w:r>
      <w:r w:rsidRPr="005A144C" w:rsidR="00220214">
        <w:rPr>
          <w:rFonts w:ascii="Century Schoolbook" w:hAnsi="Century Schoolbook"/>
        </w:rPr>
        <w:t>s</w:t>
      </w:r>
      <w:r w:rsidRPr="005A144C" w:rsidR="007C71F4">
        <w:rPr>
          <w:rFonts w:ascii="Century Schoolbook" w:hAnsi="Century Schoolbook"/>
        </w:rPr>
        <w:t xml:space="preserve"> a homeowner’s</w:t>
      </w:r>
      <w:r w:rsidRPr="005A144C" w:rsidR="00DB0017">
        <w:rPr>
          <w:rFonts w:ascii="Century Schoolbook" w:hAnsi="Century Schoolbook"/>
        </w:rPr>
        <w:t xml:space="preserve"> rights under 5655</w:t>
      </w:r>
      <w:r w:rsidRPr="005A144C" w:rsidR="002F3F8E">
        <w:rPr>
          <w:rFonts w:ascii="Century Schoolbook" w:hAnsi="Century Schoolbook"/>
        </w:rPr>
        <w:t xml:space="preserve">. </w:t>
      </w:r>
      <w:r w:rsidRPr="005A144C" w:rsidR="00C07A98">
        <w:rPr>
          <w:rFonts w:ascii="Century Schoolbook" w:hAnsi="Century Schoolbook"/>
        </w:rPr>
        <w:t xml:space="preserve"> </w:t>
      </w:r>
      <w:r w:rsidRPr="005A144C" w:rsidR="00CA1248">
        <w:rPr>
          <w:rFonts w:ascii="Century Schoolbook" w:hAnsi="Century Schoolbook"/>
        </w:rPr>
        <w:t>Section 5665 requires an HOA to provide any “standards” it has for payment plans to an owner requesting such a plan.</w:t>
      </w:r>
      <w:r w:rsidRPr="005A144C" w:rsidR="001544F3">
        <w:rPr>
          <w:rFonts w:ascii="Century Schoolbook" w:hAnsi="Century Schoolbook"/>
        </w:rPr>
        <w:t xml:space="preserve">  (</w:t>
      </w:r>
      <w:r w:rsidRPr="005A144C" w:rsidR="001544F3">
        <w:rPr>
          <w:rFonts w:ascii="Century Schoolbook" w:hAnsi="Century Schoolbook"/>
          <w:i/>
          <w:iCs/>
        </w:rPr>
        <w:t>Id.</w:t>
      </w:r>
      <w:r w:rsidRPr="005A144C" w:rsidR="001544F3">
        <w:rPr>
          <w:rFonts w:ascii="Century Schoolbook" w:hAnsi="Century Schoolbook"/>
        </w:rPr>
        <w:t>, subd. (a).)</w:t>
      </w:r>
      <w:r w:rsidRPr="005A144C" w:rsidR="00CA1248">
        <w:rPr>
          <w:rFonts w:ascii="Century Schoolbook" w:hAnsi="Century Schoolbook"/>
        </w:rPr>
        <w:t xml:space="preserve">  </w:t>
      </w:r>
      <w:r w:rsidRPr="005A144C" w:rsidR="00536E4D">
        <w:rPr>
          <w:rFonts w:ascii="Century Schoolbook" w:hAnsi="Century Schoolbook"/>
        </w:rPr>
        <w:t>This provision</w:t>
      </w:r>
      <w:r w:rsidRPr="005A144C">
        <w:rPr>
          <w:rFonts w:ascii="Century Schoolbook" w:hAnsi="Century Schoolbook"/>
        </w:rPr>
        <w:t xml:space="preserve"> was originally </w:t>
      </w:r>
      <w:r w:rsidRPr="005A144C" w:rsidR="00CF1C7A">
        <w:rPr>
          <w:rFonts w:ascii="Century Schoolbook" w:hAnsi="Century Schoolbook"/>
        </w:rPr>
        <w:t>added</w:t>
      </w:r>
      <w:r w:rsidRPr="005A144C">
        <w:rPr>
          <w:rFonts w:ascii="Century Schoolbook" w:hAnsi="Century Schoolbook"/>
        </w:rPr>
        <w:t xml:space="preserve"> as part of section </w:t>
      </w:r>
      <w:r w:rsidRPr="005A144C" w:rsidR="00B73C3E">
        <w:rPr>
          <w:rFonts w:ascii="Century Schoolbook" w:hAnsi="Century Schoolbook"/>
        </w:rPr>
        <w:t>1367.1</w:t>
      </w:r>
      <w:r w:rsidRPr="005A144C" w:rsidR="00BC70F3">
        <w:rPr>
          <w:rFonts w:ascii="Century Schoolbook" w:hAnsi="Century Schoolbook"/>
        </w:rPr>
        <w:t>, subdivision (c)(2)</w:t>
      </w:r>
      <w:r w:rsidRPr="005A144C" w:rsidR="00793C26">
        <w:rPr>
          <w:rFonts w:ascii="Century Schoolbook" w:hAnsi="Century Schoolbook"/>
        </w:rPr>
        <w:t xml:space="preserve">. </w:t>
      </w:r>
      <w:r w:rsidRPr="005A144C" w:rsidR="00B73C3E">
        <w:rPr>
          <w:rFonts w:ascii="Century Schoolbook" w:hAnsi="Century Schoolbook"/>
        </w:rPr>
        <w:t xml:space="preserve"> </w:t>
      </w:r>
      <w:r w:rsidRPr="005A144C">
        <w:rPr>
          <w:rFonts w:ascii="Century Schoolbook" w:hAnsi="Century Schoolbook"/>
        </w:rPr>
        <w:t>(Stats. 2002, ch. 1111, § 8.)</w:t>
      </w:r>
      <w:r w:rsidRPr="005A144C" w:rsidR="00FA64C4">
        <w:rPr>
          <w:rFonts w:ascii="Century Schoolbook" w:hAnsi="Century Schoolbook"/>
        </w:rPr>
        <w:t xml:space="preserve">  Given the prioritization requirement </w:t>
      </w:r>
      <w:r w:rsidRPr="005A144C" w:rsidR="004520C6">
        <w:rPr>
          <w:rFonts w:ascii="Century Schoolbook" w:hAnsi="Century Schoolbook"/>
        </w:rPr>
        <w:t>in</w:t>
      </w:r>
      <w:r w:rsidRPr="005A144C" w:rsidR="00FA64C4">
        <w:rPr>
          <w:rFonts w:ascii="Century Schoolbook" w:hAnsi="Century Schoolbook"/>
        </w:rPr>
        <w:t xml:space="preserve"> section 1367.1, subdivision (b), </w:t>
      </w:r>
      <w:r w:rsidRPr="005A144C" w:rsidR="002F4166">
        <w:rPr>
          <w:rFonts w:ascii="Century Schoolbook" w:hAnsi="Century Schoolbook"/>
        </w:rPr>
        <w:t xml:space="preserve">we </w:t>
      </w:r>
      <w:r w:rsidRPr="005A144C" w:rsidR="00652CD4">
        <w:rPr>
          <w:rFonts w:ascii="Century Schoolbook" w:hAnsi="Century Schoolbook"/>
        </w:rPr>
        <w:t>adopt a</w:t>
      </w:r>
      <w:r w:rsidRPr="005A144C" w:rsidR="007440B3">
        <w:rPr>
          <w:rFonts w:ascii="Century Schoolbook" w:hAnsi="Century Schoolbook"/>
        </w:rPr>
        <w:t xml:space="preserve"> construction </w:t>
      </w:r>
      <w:r w:rsidRPr="005A144C" w:rsidR="00880360">
        <w:rPr>
          <w:rFonts w:ascii="Century Schoolbook" w:hAnsi="Century Schoolbook"/>
        </w:rPr>
        <w:t xml:space="preserve">that </w:t>
      </w:r>
      <w:r w:rsidRPr="005A144C" w:rsidR="00652CD4">
        <w:rPr>
          <w:rFonts w:ascii="Century Schoolbook" w:hAnsi="Century Schoolbook"/>
        </w:rPr>
        <w:t>“</w:t>
      </w:r>
      <w:r w:rsidRPr="005A144C" w:rsidR="00932E02">
        <w:rPr>
          <w:rFonts w:ascii="Century Schoolbook" w:hAnsi="Century Schoolbook"/>
        </w:rPr>
        <w:t> ‘ “</w:t>
      </w:r>
      <w:r w:rsidRPr="005A144C" w:rsidR="007440B3">
        <w:rPr>
          <w:rFonts w:ascii="Century Schoolbook" w:hAnsi="Century Schoolbook"/>
        </w:rPr>
        <w:t xml:space="preserve">best </w:t>
      </w:r>
      <w:r w:rsidRPr="005A144C" w:rsidR="00880360">
        <w:rPr>
          <w:rFonts w:ascii="Century Schoolbook" w:hAnsi="Century Schoolbook"/>
        </w:rPr>
        <w:t>serves</w:t>
      </w:r>
      <w:r w:rsidRPr="005A144C" w:rsidR="00652CD4">
        <w:rPr>
          <w:rFonts w:ascii="Century Schoolbook" w:hAnsi="Century Schoolbook"/>
        </w:rPr>
        <w:t xml:space="preserve"> to harmonize the statute internally</w:t>
      </w:r>
      <w:r w:rsidRPr="005A144C" w:rsidR="0055644A">
        <w:rPr>
          <w:rFonts w:ascii="Century Schoolbook" w:hAnsi="Century Schoolbook"/>
        </w:rPr>
        <w:t>.</w:t>
      </w:r>
      <w:r w:rsidRPr="005A144C" w:rsidR="00652CD4">
        <w:rPr>
          <w:rFonts w:ascii="Century Schoolbook" w:hAnsi="Century Schoolbook"/>
        </w:rPr>
        <w:t>”</w:t>
      </w:r>
      <w:r w:rsidRPr="005A144C" w:rsidR="00932E02">
        <w:rPr>
          <w:rFonts w:ascii="Century Schoolbook" w:hAnsi="Century Schoolbook"/>
        </w:rPr>
        <w:t> ’ ”</w:t>
      </w:r>
      <w:r w:rsidRPr="005A144C" w:rsidR="0055644A">
        <w:rPr>
          <w:rFonts w:ascii="Century Schoolbook" w:hAnsi="Century Schoolbook"/>
        </w:rPr>
        <w:t xml:space="preserve">  (</w:t>
      </w:r>
      <w:r w:rsidRPr="005A144C" w:rsidR="0055644A">
        <w:rPr>
          <w:rFonts w:ascii="Century Schoolbook" w:hAnsi="Century Schoolbook"/>
          <w:i/>
          <w:iCs/>
        </w:rPr>
        <w:t>Pacific Fertility Cases</w:t>
      </w:r>
      <w:r w:rsidRPr="005A144C" w:rsidR="0055644A">
        <w:rPr>
          <w:rFonts w:ascii="Century Schoolbook" w:hAnsi="Century Schoolbook"/>
        </w:rPr>
        <w:t xml:space="preserve">, </w:t>
      </w:r>
      <w:r w:rsidRPr="005A144C" w:rsidR="0055644A">
        <w:rPr>
          <w:rFonts w:ascii="Century Schoolbook" w:hAnsi="Century Schoolbook"/>
          <w:i/>
          <w:iCs/>
        </w:rPr>
        <w:t>supra</w:t>
      </w:r>
      <w:r w:rsidRPr="005A144C" w:rsidR="0055644A">
        <w:rPr>
          <w:rFonts w:ascii="Century Schoolbook" w:hAnsi="Century Schoolbook"/>
        </w:rPr>
        <w:t>, 78 Cal.App.5th at p. </w:t>
      </w:r>
      <w:r w:rsidRPr="005A144C" w:rsidR="003B021E">
        <w:rPr>
          <w:rFonts w:ascii="Century Schoolbook" w:hAnsi="Century Schoolbook"/>
        </w:rPr>
        <w:t>576</w:t>
      </w:r>
      <w:r w:rsidRPr="005A144C" w:rsidR="0055644A">
        <w:rPr>
          <w:rFonts w:ascii="Century Schoolbook" w:hAnsi="Century Schoolbook"/>
        </w:rPr>
        <w:t>.)</w:t>
      </w:r>
      <w:r w:rsidRPr="005A144C" w:rsidR="005C4C28">
        <w:rPr>
          <w:rFonts w:ascii="Century Schoolbook" w:hAnsi="Century Schoolbook"/>
        </w:rPr>
        <w:t xml:space="preserve">  </w:t>
      </w:r>
      <w:r w:rsidRPr="005A144C" w:rsidR="00232518">
        <w:rPr>
          <w:rFonts w:ascii="Century Schoolbook" w:hAnsi="Century Schoolbook"/>
        </w:rPr>
        <w:t>We</w:t>
      </w:r>
      <w:r w:rsidRPr="005A144C" w:rsidR="00467671">
        <w:rPr>
          <w:rFonts w:ascii="Century Schoolbook" w:hAnsi="Century Schoolbook"/>
        </w:rPr>
        <w:t xml:space="preserve"> thus</w:t>
      </w:r>
      <w:r w:rsidRPr="005A144C" w:rsidR="00232518">
        <w:rPr>
          <w:rFonts w:ascii="Century Schoolbook" w:hAnsi="Century Schoolbook"/>
        </w:rPr>
        <w:t xml:space="preserve"> interpret </w:t>
      </w:r>
      <w:r w:rsidRPr="005A144C" w:rsidR="00BD5D55">
        <w:rPr>
          <w:rFonts w:ascii="Century Schoolbook" w:hAnsi="Century Schoolbook"/>
        </w:rPr>
        <w:t xml:space="preserve">section 5665 to contemplate </w:t>
      </w:r>
      <w:r w:rsidRPr="005A144C" w:rsidR="009A6DD1">
        <w:rPr>
          <w:rFonts w:ascii="Century Schoolbook" w:hAnsi="Century Schoolbook"/>
        </w:rPr>
        <w:t>optiona</w:t>
      </w:r>
      <w:r w:rsidRPr="005A144C" w:rsidR="00CF1C7A">
        <w:rPr>
          <w:rFonts w:ascii="Century Schoolbook" w:hAnsi="Century Schoolbook"/>
        </w:rPr>
        <w:t>l</w:t>
      </w:r>
      <w:r w:rsidRPr="005A144C" w:rsidR="009A6DD1">
        <w:rPr>
          <w:rFonts w:ascii="Century Schoolbook" w:hAnsi="Century Schoolbook"/>
          <w:i/>
          <w:iCs/>
        </w:rPr>
        <w:t xml:space="preserve"> </w:t>
      </w:r>
      <w:r w:rsidRPr="005A144C" w:rsidR="00E96CBB">
        <w:rPr>
          <w:rFonts w:ascii="Century Schoolbook" w:hAnsi="Century Schoolbook"/>
        </w:rPr>
        <w:t xml:space="preserve">HOA </w:t>
      </w:r>
      <w:r w:rsidRPr="005A144C" w:rsidR="007254F1">
        <w:rPr>
          <w:rFonts w:ascii="Century Schoolbook" w:hAnsi="Century Schoolbook"/>
        </w:rPr>
        <w:t>standards for payment pla</w:t>
      </w:r>
      <w:r w:rsidRPr="005A144C" w:rsidR="0085480D">
        <w:rPr>
          <w:rFonts w:ascii="Century Schoolbook" w:hAnsi="Century Schoolbook"/>
        </w:rPr>
        <w:t>n</w:t>
      </w:r>
      <w:r w:rsidRPr="005A144C" w:rsidR="003A3CA1">
        <w:rPr>
          <w:rFonts w:ascii="Century Schoolbook" w:hAnsi="Century Schoolbook"/>
        </w:rPr>
        <w:t>s</w:t>
      </w:r>
      <w:r w:rsidRPr="005A144C" w:rsidR="00232518">
        <w:rPr>
          <w:rFonts w:ascii="Century Schoolbook" w:hAnsi="Century Schoolbook"/>
        </w:rPr>
        <w:t xml:space="preserve">, </w:t>
      </w:r>
      <w:r w:rsidRPr="005A144C" w:rsidR="007C732B">
        <w:rPr>
          <w:rFonts w:ascii="Century Schoolbook" w:hAnsi="Century Schoolbook"/>
        </w:rPr>
        <w:t xml:space="preserve">but </w:t>
      </w:r>
      <w:r w:rsidRPr="005A144C" w:rsidR="00232518">
        <w:rPr>
          <w:rFonts w:ascii="Century Schoolbook" w:hAnsi="Century Schoolbook"/>
          <w:i/>
          <w:iCs/>
        </w:rPr>
        <w:t>not</w:t>
      </w:r>
      <w:r w:rsidRPr="005A144C" w:rsidR="00C3599C">
        <w:rPr>
          <w:rFonts w:ascii="Century Schoolbook" w:hAnsi="Century Schoolbook"/>
        </w:rPr>
        <w:t xml:space="preserve"> to allow standards </w:t>
      </w:r>
      <w:r w:rsidRPr="005A144C" w:rsidR="003F3C1A">
        <w:rPr>
          <w:rFonts w:ascii="Century Schoolbook" w:hAnsi="Century Schoolbook"/>
        </w:rPr>
        <w:t>that</w:t>
      </w:r>
      <w:r w:rsidRPr="005A144C" w:rsidR="00C3599C">
        <w:rPr>
          <w:rFonts w:ascii="Century Schoolbook" w:hAnsi="Century Schoolbook"/>
        </w:rPr>
        <w:t xml:space="preserve"> </w:t>
      </w:r>
      <w:r w:rsidRPr="005A144C" w:rsidR="00232518">
        <w:rPr>
          <w:rFonts w:ascii="Century Schoolbook" w:hAnsi="Century Schoolbook"/>
        </w:rPr>
        <w:t>contraven</w:t>
      </w:r>
      <w:r w:rsidRPr="005A144C" w:rsidR="00C3599C">
        <w:rPr>
          <w:rFonts w:ascii="Century Schoolbook" w:hAnsi="Century Schoolbook"/>
        </w:rPr>
        <w:t xml:space="preserve">e </w:t>
      </w:r>
      <w:r w:rsidRPr="005A144C" w:rsidR="00232518">
        <w:rPr>
          <w:rFonts w:ascii="Century Schoolbook" w:hAnsi="Century Schoolbook"/>
        </w:rPr>
        <w:t>the prioritization requirement</w:t>
      </w:r>
      <w:r w:rsidRPr="005A144C" w:rsidR="000A595B">
        <w:rPr>
          <w:rFonts w:ascii="Century Schoolbook" w:hAnsi="Century Schoolbook"/>
        </w:rPr>
        <w:t xml:space="preserve"> in the preceding </w:t>
      </w:r>
      <w:r w:rsidRPr="005A144C" w:rsidR="00D06E03">
        <w:rPr>
          <w:rFonts w:ascii="Century Schoolbook" w:hAnsi="Century Schoolbook"/>
        </w:rPr>
        <w:t>section 5655(a)</w:t>
      </w:r>
      <w:r w:rsidRPr="005A144C" w:rsidR="003F3C1A">
        <w:rPr>
          <w:rFonts w:ascii="Century Schoolbook" w:hAnsi="Century Schoolbook"/>
        </w:rPr>
        <w:t>.</w:t>
      </w:r>
    </w:p>
    <w:p w:rsidR="00C43A49" w:rsidRPr="005A144C" w:rsidP="002E22D7" w14:paraId="56A4EE01" w14:textId="7216CCC9">
      <w:pPr>
        <w:spacing w:line="360" w:lineRule="auto"/>
        <w:rPr>
          <w:rFonts w:ascii="Century Schoolbook" w:hAnsi="Century Schoolbook"/>
        </w:rPr>
      </w:pPr>
      <w:r w:rsidRPr="005A144C">
        <w:rPr>
          <w:rFonts w:ascii="Century Schoolbook" w:hAnsi="Century Schoolbook"/>
        </w:rPr>
        <w:tab/>
        <w:t>Second,</w:t>
      </w:r>
      <w:r w:rsidRPr="005A144C" w:rsidR="00A65E7F">
        <w:rPr>
          <w:rFonts w:ascii="Century Schoolbook" w:hAnsi="Century Schoolbook"/>
        </w:rPr>
        <w:t xml:space="preserve"> ALS </w:t>
      </w:r>
      <w:r w:rsidRPr="005A144C" w:rsidR="00620401">
        <w:rPr>
          <w:rFonts w:ascii="Century Schoolbook" w:hAnsi="Century Schoolbook"/>
        </w:rPr>
        <w:t>argues</w:t>
      </w:r>
      <w:r w:rsidRPr="005A144C" w:rsidR="00D16196">
        <w:rPr>
          <w:rFonts w:ascii="Century Schoolbook" w:hAnsi="Century Schoolbook"/>
        </w:rPr>
        <w:t xml:space="preserve"> </w:t>
      </w:r>
      <w:r w:rsidRPr="005A144C" w:rsidR="002B035D">
        <w:rPr>
          <w:rFonts w:ascii="Century Schoolbook" w:hAnsi="Century Schoolbook"/>
        </w:rPr>
        <w:t xml:space="preserve">that </w:t>
      </w:r>
      <w:r w:rsidRPr="005A144C" w:rsidR="00EC2E0D">
        <w:rPr>
          <w:rFonts w:ascii="Century Schoolbook" w:hAnsi="Century Schoolbook"/>
        </w:rPr>
        <w:t xml:space="preserve">section 5655 does not </w:t>
      </w:r>
      <w:r w:rsidRPr="005A144C" w:rsidR="0028123C">
        <w:rPr>
          <w:rFonts w:ascii="Century Schoolbook" w:hAnsi="Century Schoolbook"/>
        </w:rPr>
        <w:t xml:space="preserve">confer a public benefit because </w:t>
      </w:r>
      <w:r w:rsidRPr="005A144C" w:rsidR="00425EEF">
        <w:rPr>
          <w:rFonts w:ascii="Century Schoolbook" w:hAnsi="Century Schoolbook"/>
        </w:rPr>
        <w:t xml:space="preserve">without waiver of </w:t>
      </w:r>
      <w:r w:rsidRPr="005A144C" w:rsidR="002A3C55">
        <w:rPr>
          <w:rFonts w:ascii="Century Schoolbook" w:hAnsi="Century Schoolbook"/>
        </w:rPr>
        <w:t>the prioritization requirement</w:t>
      </w:r>
      <w:r w:rsidRPr="005A144C" w:rsidR="00425EEF">
        <w:rPr>
          <w:rFonts w:ascii="Century Schoolbook" w:hAnsi="Century Schoolbook"/>
        </w:rPr>
        <w:t xml:space="preserve">, </w:t>
      </w:r>
      <w:r w:rsidRPr="005A144C" w:rsidR="00D16196">
        <w:rPr>
          <w:rFonts w:ascii="Century Schoolbook" w:hAnsi="Century Schoolbook"/>
        </w:rPr>
        <w:t xml:space="preserve">there is “evidence” that </w:t>
      </w:r>
      <w:r w:rsidRPr="005A144C" w:rsidR="00E6007D">
        <w:rPr>
          <w:rFonts w:ascii="Century Schoolbook" w:hAnsi="Century Schoolbook"/>
        </w:rPr>
        <w:t>HOA</w:t>
      </w:r>
      <w:r w:rsidRPr="005A144C" w:rsidR="00D16196">
        <w:rPr>
          <w:rFonts w:ascii="Century Schoolbook" w:hAnsi="Century Schoolbook"/>
        </w:rPr>
        <w:t>s are less likely to agree to payment plans</w:t>
      </w:r>
      <w:r w:rsidRPr="005A144C" w:rsidR="008728DF">
        <w:rPr>
          <w:rFonts w:ascii="Century Schoolbook" w:hAnsi="Century Schoolbook"/>
        </w:rPr>
        <w:t>.</w:t>
      </w:r>
      <w:r w:rsidRPr="005A144C" w:rsidR="00CE5209">
        <w:rPr>
          <w:rFonts w:ascii="Century Schoolbook" w:hAnsi="Century Schoolbook"/>
        </w:rPr>
        <w:t xml:space="preserve"> </w:t>
      </w:r>
      <w:r w:rsidRPr="005A144C" w:rsidR="00DF3924">
        <w:rPr>
          <w:rFonts w:ascii="Century Schoolbook" w:hAnsi="Century Schoolbook"/>
        </w:rPr>
        <w:t xml:space="preserve"> </w:t>
      </w:r>
      <w:r w:rsidRPr="005A144C" w:rsidR="00D16196">
        <w:rPr>
          <w:rFonts w:ascii="Century Schoolbook" w:hAnsi="Century Schoolbook"/>
        </w:rPr>
        <w:t>ALS does not offer or explain this “evidence</w:t>
      </w:r>
      <w:r w:rsidRPr="005A144C" w:rsidR="001F65DD">
        <w:rPr>
          <w:rFonts w:ascii="Century Schoolbook" w:hAnsi="Century Schoolbook"/>
        </w:rPr>
        <w:t>.</w:t>
      </w:r>
      <w:r w:rsidRPr="005A144C" w:rsidR="00D16196">
        <w:rPr>
          <w:rFonts w:ascii="Century Schoolbook" w:hAnsi="Century Schoolbook"/>
        </w:rPr>
        <w:t xml:space="preserve">”  </w:t>
      </w:r>
      <w:r w:rsidRPr="005A144C" w:rsidR="003007EB">
        <w:rPr>
          <w:rFonts w:ascii="Century Schoolbook" w:hAnsi="Century Schoolbook"/>
        </w:rPr>
        <w:t>We</w:t>
      </w:r>
      <w:r w:rsidRPr="005A144C" w:rsidR="002E183C">
        <w:rPr>
          <w:rFonts w:ascii="Century Schoolbook" w:hAnsi="Century Schoolbook"/>
        </w:rPr>
        <w:t xml:space="preserve"> find th</w:t>
      </w:r>
      <w:r w:rsidRPr="005A144C" w:rsidR="001F65DD">
        <w:rPr>
          <w:rFonts w:ascii="Century Schoolbook" w:hAnsi="Century Schoolbook"/>
        </w:rPr>
        <w:t>e argument</w:t>
      </w:r>
      <w:r w:rsidRPr="005A144C" w:rsidR="002E183C">
        <w:rPr>
          <w:rFonts w:ascii="Century Schoolbook" w:hAnsi="Century Schoolbook"/>
        </w:rPr>
        <w:t xml:space="preserve"> </w:t>
      </w:r>
      <w:r w:rsidRPr="005A144C" w:rsidR="00224D86">
        <w:rPr>
          <w:rFonts w:ascii="Century Schoolbook" w:hAnsi="Century Schoolbook"/>
        </w:rPr>
        <w:t>dubious</w:t>
      </w:r>
      <w:r w:rsidRPr="005A144C" w:rsidR="002E183C">
        <w:rPr>
          <w:rFonts w:ascii="Century Schoolbook" w:hAnsi="Century Schoolbook"/>
        </w:rPr>
        <w:t>, as HOAs would</w:t>
      </w:r>
      <w:r w:rsidRPr="005A144C" w:rsidR="00884882">
        <w:rPr>
          <w:rFonts w:ascii="Century Schoolbook" w:hAnsi="Century Schoolbook"/>
        </w:rPr>
        <w:t xml:space="preserve"> </w:t>
      </w:r>
      <w:r w:rsidRPr="005A144C" w:rsidR="001F65DD">
        <w:rPr>
          <w:rFonts w:ascii="Century Schoolbook" w:hAnsi="Century Schoolbook"/>
        </w:rPr>
        <w:t xml:space="preserve">still </w:t>
      </w:r>
      <w:r w:rsidRPr="005A144C" w:rsidR="00884882">
        <w:rPr>
          <w:rFonts w:ascii="Century Schoolbook" w:hAnsi="Century Schoolbook"/>
        </w:rPr>
        <w:t xml:space="preserve">be </w:t>
      </w:r>
      <w:r w:rsidRPr="005A144C" w:rsidR="001F65DD">
        <w:rPr>
          <w:rFonts w:ascii="Century Schoolbook" w:hAnsi="Century Schoolbook"/>
        </w:rPr>
        <w:t xml:space="preserve">incentivized to enter into payment plans to recover </w:t>
      </w:r>
      <w:r w:rsidRPr="005A144C" w:rsidR="00DF5897">
        <w:rPr>
          <w:rFonts w:ascii="Century Schoolbook" w:hAnsi="Century Schoolbook"/>
        </w:rPr>
        <w:t xml:space="preserve">the </w:t>
      </w:r>
      <w:r w:rsidRPr="005A144C" w:rsidR="002E183C">
        <w:rPr>
          <w:rFonts w:ascii="Century Schoolbook" w:hAnsi="Century Schoolbook"/>
        </w:rPr>
        <w:t>principal balance</w:t>
      </w:r>
      <w:r w:rsidRPr="005A144C" w:rsidR="004124BF">
        <w:rPr>
          <w:rFonts w:ascii="Century Schoolbook" w:hAnsi="Century Schoolbook"/>
        </w:rPr>
        <w:t xml:space="preserve"> of assessments</w:t>
      </w:r>
      <w:r w:rsidRPr="005A144C" w:rsidR="000A595B">
        <w:rPr>
          <w:rFonts w:ascii="Century Schoolbook" w:hAnsi="Century Schoolbook"/>
        </w:rPr>
        <w:t xml:space="preserve"> owed, resolve collection accounts as quickly as possible, and avoid </w:t>
      </w:r>
      <w:r w:rsidRPr="005A144C" w:rsidR="003F77AA">
        <w:rPr>
          <w:rFonts w:ascii="Century Schoolbook" w:hAnsi="Century Schoolbook"/>
        </w:rPr>
        <w:t>foreclosure process</w:t>
      </w:r>
      <w:r w:rsidRPr="005A144C" w:rsidR="00ED20A0">
        <w:rPr>
          <w:rFonts w:ascii="Century Schoolbook" w:hAnsi="Century Schoolbook"/>
        </w:rPr>
        <w:t>es</w:t>
      </w:r>
      <w:r w:rsidRPr="005A144C" w:rsidR="002E183C">
        <w:rPr>
          <w:rFonts w:ascii="Century Schoolbook" w:hAnsi="Century Schoolbook"/>
        </w:rPr>
        <w:t>.</w:t>
      </w:r>
    </w:p>
    <w:p w:rsidR="00262191" w:rsidP="002E22D7" w14:paraId="73089B61" w14:textId="097D3FB8">
      <w:pPr>
        <w:shd w:val="clear" w:color="auto" w:fill="FFFFFF" w:themeFill="background1"/>
        <w:spacing w:line="360" w:lineRule="auto"/>
        <w:rPr>
          <w:rFonts w:ascii="Century Schoolbook" w:hAnsi="Century Schoolbook"/>
        </w:rPr>
      </w:pPr>
      <w:r w:rsidRPr="005A144C">
        <w:rPr>
          <w:rFonts w:ascii="Century Schoolbook" w:hAnsi="Century Schoolbook"/>
        </w:rPr>
        <w:tab/>
        <w:t xml:space="preserve">Finally, </w:t>
      </w:r>
      <w:r w:rsidRPr="005A144C" w:rsidR="00323876">
        <w:rPr>
          <w:rFonts w:ascii="Century Schoolbook" w:hAnsi="Century Schoolbook"/>
        </w:rPr>
        <w:t xml:space="preserve">at </w:t>
      </w:r>
      <w:r w:rsidRPr="005A144C" w:rsidR="00A32447">
        <w:rPr>
          <w:rFonts w:ascii="Century Schoolbook" w:hAnsi="Century Schoolbook"/>
        </w:rPr>
        <w:t>oral argument</w:t>
      </w:r>
      <w:r w:rsidRPr="005A144C" w:rsidR="00323876">
        <w:rPr>
          <w:rFonts w:ascii="Century Schoolbook" w:hAnsi="Century Schoolbook"/>
        </w:rPr>
        <w:t xml:space="preserve"> on appeal</w:t>
      </w:r>
      <w:r w:rsidRPr="005A144C" w:rsidR="00A32447">
        <w:rPr>
          <w:rFonts w:ascii="Century Schoolbook" w:hAnsi="Century Schoolbook"/>
        </w:rPr>
        <w:t xml:space="preserve">, </w:t>
      </w:r>
      <w:r w:rsidRPr="005A144C" w:rsidR="00C82E4E">
        <w:rPr>
          <w:rFonts w:ascii="Century Schoolbook" w:hAnsi="Century Schoolbook"/>
        </w:rPr>
        <w:t xml:space="preserve">counsel for </w:t>
      </w:r>
      <w:r w:rsidRPr="005A144C" w:rsidR="00277E55">
        <w:rPr>
          <w:rFonts w:ascii="Century Schoolbook" w:hAnsi="Century Schoolbook"/>
        </w:rPr>
        <w:t>ALS</w:t>
      </w:r>
      <w:r w:rsidRPr="005A144C" w:rsidR="00C82E4E">
        <w:rPr>
          <w:rFonts w:ascii="Century Schoolbook" w:hAnsi="Century Schoolbook"/>
        </w:rPr>
        <w:t xml:space="preserve"> </w:t>
      </w:r>
      <w:r w:rsidRPr="005A144C" w:rsidR="00491F5A">
        <w:rPr>
          <w:rFonts w:ascii="Century Schoolbook" w:hAnsi="Century Schoolbook"/>
        </w:rPr>
        <w:t xml:space="preserve">argued </w:t>
      </w:r>
      <w:r w:rsidRPr="005A144C" w:rsidR="00323876">
        <w:rPr>
          <w:rFonts w:ascii="Century Schoolbook" w:hAnsi="Century Schoolbook"/>
        </w:rPr>
        <w:t xml:space="preserve">the </w:t>
      </w:r>
      <w:r w:rsidRPr="005A144C" w:rsidR="000C5133">
        <w:rPr>
          <w:rFonts w:ascii="Century Schoolbook" w:hAnsi="Century Schoolbook"/>
        </w:rPr>
        <w:t xml:space="preserve">company </w:t>
      </w:r>
      <w:r w:rsidRPr="005A144C" w:rsidR="00491F5A">
        <w:rPr>
          <w:rFonts w:ascii="Century Schoolbook" w:hAnsi="Century Schoolbook"/>
        </w:rPr>
        <w:t>acted merely as an</w:t>
      </w:r>
      <w:r w:rsidRPr="005A144C" w:rsidR="00323876">
        <w:rPr>
          <w:rFonts w:ascii="Century Schoolbook" w:hAnsi="Century Schoolbook"/>
        </w:rPr>
        <w:t xml:space="preserve"> agent</w:t>
      </w:r>
      <w:r w:rsidRPr="005A144C" w:rsidR="00B06780">
        <w:rPr>
          <w:rFonts w:ascii="Century Schoolbook" w:hAnsi="Century Schoolbook"/>
        </w:rPr>
        <w:t xml:space="preserve"> </w:t>
      </w:r>
      <w:r w:rsidRPr="005A144C" w:rsidR="00C82E4E">
        <w:rPr>
          <w:rFonts w:ascii="Century Schoolbook" w:hAnsi="Century Schoolbook"/>
        </w:rPr>
        <w:t>of</w:t>
      </w:r>
      <w:r w:rsidRPr="005A144C" w:rsidR="00980708">
        <w:rPr>
          <w:rFonts w:ascii="Century Schoolbook" w:hAnsi="Century Schoolbook"/>
        </w:rPr>
        <w:t xml:space="preserve"> the</w:t>
      </w:r>
      <w:r w:rsidRPr="005A144C" w:rsidR="00C82E4E">
        <w:rPr>
          <w:rFonts w:ascii="Century Schoolbook" w:hAnsi="Century Schoolbook"/>
        </w:rPr>
        <w:t xml:space="preserve"> HOA and </w:t>
      </w:r>
      <w:r w:rsidRPr="005A144C" w:rsidR="000C0E43">
        <w:rPr>
          <w:rFonts w:ascii="Century Schoolbook" w:hAnsi="Century Schoolbook"/>
        </w:rPr>
        <w:t>therefore</w:t>
      </w:r>
      <w:r w:rsidRPr="005A144C" w:rsidR="00B06780">
        <w:rPr>
          <w:rFonts w:ascii="Century Schoolbook" w:hAnsi="Century Schoolbook"/>
        </w:rPr>
        <w:t xml:space="preserve"> </w:t>
      </w:r>
      <w:r w:rsidRPr="005A144C" w:rsidR="00491F5A">
        <w:rPr>
          <w:rFonts w:ascii="Century Schoolbook" w:hAnsi="Century Schoolbook"/>
        </w:rPr>
        <w:t xml:space="preserve">is </w:t>
      </w:r>
      <w:r w:rsidRPr="005A144C" w:rsidR="00B06780">
        <w:rPr>
          <w:rFonts w:ascii="Century Schoolbook" w:hAnsi="Century Schoolbook"/>
        </w:rPr>
        <w:t>not</w:t>
      </w:r>
      <w:r w:rsidRPr="005A144C" w:rsidR="00491F5A">
        <w:rPr>
          <w:rFonts w:ascii="Century Schoolbook" w:hAnsi="Century Schoolbook"/>
        </w:rPr>
        <w:t>, itself,</w:t>
      </w:r>
      <w:r w:rsidRPr="005A144C" w:rsidR="00B06780">
        <w:rPr>
          <w:rFonts w:ascii="Century Schoolbook" w:hAnsi="Century Schoolbook"/>
        </w:rPr>
        <w:t xml:space="preserve"> subject to the </w:t>
      </w:r>
      <w:r w:rsidRPr="005A144C" w:rsidR="00491F5A">
        <w:rPr>
          <w:rFonts w:ascii="Century Schoolbook" w:hAnsi="Century Schoolbook"/>
        </w:rPr>
        <w:t>provisions</w:t>
      </w:r>
      <w:r w:rsidRPr="005A144C" w:rsidR="00573B20">
        <w:rPr>
          <w:rFonts w:ascii="Century Schoolbook" w:hAnsi="Century Schoolbook"/>
        </w:rPr>
        <w:t xml:space="preserve"> </w:t>
      </w:r>
      <w:r w:rsidRPr="005A144C" w:rsidR="00491F5A">
        <w:rPr>
          <w:rFonts w:ascii="Century Schoolbook" w:hAnsi="Century Schoolbook"/>
        </w:rPr>
        <w:t xml:space="preserve">of </w:t>
      </w:r>
      <w:r w:rsidRPr="005A144C" w:rsidR="00573B20">
        <w:rPr>
          <w:rFonts w:ascii="Century Schoolbook" w:hAnsi="Century Schoolbook"/>
        </w:rPr>
        <w:t xml:space="preserve">the </w:t>
      </w:r>
      <w:r w:rsidRPr="005A144C" w:rsidR="00B06780">
        <w:rPr>
          <w:rFonts w:ascii="Century Schoolbook" w:hAnsi="Century Schoolbook"/>
        </w:rPr>
        <w:t>Davis-St</w:t>
      </w:r>
      <w:r w:rsidRPr="005A144C" w:rsidR="00573B20">
        <w:rPr>
          <w:rFonts w:ascii="Century Schoolbook" w:hAnsi="Century Schoolbook"/>
        </w:rPr>
        <w:t>i</w:t>
      </w:r>
      <w:r w:rsidRPr="005A144C" w:rsidR="00B06780">
        <w:rPr>
          <w:rFonts w:ascii="Century Schoolbook" w:hAnsi="Century Schoolbook"/>
        </w:rPr>
        <w:t>rling Act</w:t>
      </w:r>
      <w:r w:rsidRPr="005A144C" w:rsidR="00491F5A">
        <w:rPr>
          <w:rFonts w:ascii="Century Schoolbook" w:hAnsi="Century Schoolbook"/>
        </w:rPr>
        <w:t>; rather</w:t>
      </w:r>
      <w:r w:rsidRPr="005A144C" w:rsidR="000C5133">
        <w:rPr>
          <w:rFonts w:ascii="Century Schoolbook" w:hAnsi="Century Schoolbook"/>
        </w:rPr>
        <w:t>, only the HOA is, and therefore any liability under the Act lies only against the HOA</w:t>
      </w:r>
      <w:r w:rsidRPr="005A144C" w:rsidR="00AF53BB">
        <w:rPr>
          <w:rFonts w:ascii="Century Schoolbook" w:hAnsi="Century Schoolbook"/>
        </w:rPr>
        <w:t xml:space="preserve">.  </w:t>
      </w:r>
      <w:r w:rsidRPr="005A144C" w:rsidR="00131EC1">
        <w:rPr>
          <w:rFonts w:ascii="Century Schoolbook" w:hAnsi="Century Schoolbook"/>
        </w:rPr>
        <w:t xml:space="preserve">While ALS’s appellate briefing </w:t>
      </w:r>
      <w:r w:rsidRPr="005A144C" w:rsidR="000C5133">
        <w:rPr>
          <w:rFonts w:ascii="Century Schoolbook" w:hAnsi="Century Schoolbook"/>
        </w:rPr>
        <w:t>made passing reference</w:t>
      </w:r>
      <w:r w:rsidRPr="005A144C" w:rsidR="00131EC1">
        <w:rPr>
          <w:rFonts w:ascii="Century Schoolbook" w:hAnsi="Century Schoolbook"/>
        </w:rPr>
        <w:t xml:space="preserve"> to its agency status</w:t>
      </w:r>
      <w:r w:rsidRPr="005A144C" w:rsidR="00D45EB1">
        <w:rPr>
          <w:rFonts w:ascii="Century Schoolbook" w:hAnsi="Century Schoolbook"/>
        </w:rPr>
        <w:t xml:space="preserve">, </w:t>
      </w:r>
      <w:r w:rsidRPr="005A144C" w:rsidR="00260E6F">
        <w:rPr>
          <w:rFonts w:ascii="Century Schoolbook" w:hAnsi="Century Schoolbook"/>
        </w:rPr>
        <w:t xml:space="preserve">ALS </w:t>
      </w:r>
      <w:r w:rsidRPr="005A144C" w:rsidR="000C5133">
        <w:rPr>
          <w:rFonts w:ascii="Century Schoolbook" w:hAnsi="Century Schoolbook"/>
        </w:rPr>
        <w:t xml:space="preserve">never made any argument in its briefing that, as an agent of the HOA, the provisions of </w:t>
      </w:r>
      <w:r w:rsidRPr="002E22D7" w:rsidR="000C5133">
        <w:rPr>
          <w:rFonts w:ascii="Century Schoolbook" w:hAnsi="Century Schoolbook"/>
        </w:rPr>
        <w:t>the Act did not apply to its actions, let alone provide authority supporting such an argument</w:t>
      </w:r>
      <w:r w:rsidRPr="002E22D7" w:rsidR="00AF53BB">
        <w:rPr>
          <w:rFonts w:ascii="Century Schoolbook" w:hAnsi="Century Schoolbook"/>
        </w:rPr>
        <w:t>.</w:t>
      </w:r>
      <w:r w:rsidRPr="002E22D7" w:rsidR="007A79A7">
        <w:rPr>
          <w:rFonts w:ascii="Century Schoolbook" w:hAnsi="Century Schoolbook"/>
        </w:rPr>
        <w:t xml:space="preserve">  It therefore forfeited the argument.</w:t>
      </w:r>
      <w:r w:rsidRPr="002E22D7" w:rsidR="007C7B92">
        <w:rPr>
          <w:rFonts w:ascii="Century Schoolbook" w:hAnsi="Century Schoolbook"/>
        </w:rPr>
        <w:t xml:space="preserve">  (</w:t>
      </w:r>
      <w:r w:rsidRPr="002E22D7" w:rsidR="00D45EB1">
        <w:rPr>
          <w:rFonts w:ascii="Century Schoolbook" w:hAnsi="Century Schoolbook"/>
        </w:rPr>
        <w:t>Cal. Rules of Court, rule 8.204(a)(1)(B)</w:t>
      </w:r>
      <w:r w:rsidRPr="002E22D7" w:rsidR="000C5133">
        <w:rPr>
          <w:rFonts w:ascii="Century Schoolbook" w:hAnsi="Century Schoolbook"/>
        </w:rPr>
        <w:t xml:space="preserve"> [requiring briefs to state each point under a separate heading or subheading summarizing the point and to provide argument and, if possible, supporting authority]; </w:t>
      </w:r>
      <w:r w:rsidRPr="002E22D7" w:rsidR="000C5133">
        <w:rPr>
          <w:rFonts w:ascii="Century Schoolbook" w:hAnsi="Century Schoolbook"/>
          <w:i/>
          <w:iCs/>
        </w:rPr>
        <w:t>Jones v. Superior Court</w:t>
      </w:r>
      <w:r w:rsidRPr="002E22D7" w:rsidR="000C5133">
        <w:rPr>
          <w:rFonts w:ascii="Century Schoolbook" w:hAnsi="Century Schoolbook"/>
        </w:rPr>
        <w:t xml:space="preserve"> (1994) 26 Cal.App.4th 92, 99 [“</w:t>
      </w:r>
      <w:r w:rsidRPr="002E22D7" w:rsidR="00F940B4">
        <w:rPr>
          <w:rFonts w:ascii="Century Schoolbook" w:hAnsi="Century Schoolbook"/>
        </w:rPr>
        <w:t>I</w:t>
      </w:r>
      <w:r w:rsidRPr="002E22D7" w:rsidR="000C5133">
        <w:rPr>
          <w:rFonts w:ascii="Century Schoolbook" w:hAnsi="Century Schoolbook"/>
        </w:rPr>
        <w:t>ssues do not have a life of their own: if they are not raised or supported by argument or citation to authority, we consider the issues waived</w:t>
      </w:r>
      <w:r w:rsidRPr="002E22D7" w:rsidR="009B7A18">
        <w:rPr>
          <w:rFonts w:ascii="Century Schoolbook" w:hAnsi="Century Schoolbook"/>
        </w:rPr>
        <w:t>.</w:t>
      </w:r>
      <w:r w:rsidRPr="002E22D7" w:rsidR="000C5133">
        <w:rPr>
          <w:rFonts w:ascii="Century Schoolbook" w:hAnsi="Century Schoolbook"/>
        </w:rPr>
        <w:t>”]</w:t>
      </w:r>
      <w:r w:rsidRPr="002E22D7" w:rsidR="00D45EB1">
        <w:rPr>
          <w:rFonts w:ascii="Century Schoolbook" w:hAnsi="Century Schoolbook"/>
        </w:rPr>
        <w:t>.)</w:t>
      </w:r>
    </w:p>
    <w:p w:rsidR="00E82351" w:rsidRPr="002E22D7" w:rsidP="002E22D7" w14:paraId="1E66C97C" w14:textId="4A0C0B79">
      <w:pPr>
        <w:shd w:val="clear" w:color="auto" w:fill="FFFFFF" w:themeFill="background1"/>
        <w:spacing w:line="360" w:lineRule="auto"/>
        <w:rPr>
          <w:rFonts w:ascii="Century Schoolbook" w:hAnsi="Century Schoolbook"/>
        </w:rPr>
      </w:pPr>
      <w:r>
        <w:rPr>
          <w:rFonts w:ascii="Century Schoolbook" w:hAnsi="Century Schoolbook"/>
        </w:rPr>
        <w:tab/>
      </w:r>
      <w:r w:rsidRPr="002E22D7">
        <w:rPr>
          <w:rFonts w:ascii="Century Schoolbook" w:hAnsi="Century Schoolbook"/>
        </w:rPr>
        <w:t>In sum, we conclude the federal court did not err in ruling that the waiver was void as against public policy.</w:t>
      </w:r>
      <w:r>
        <w:rPr>
          <w:rStyle w:val="FootnoteReference"/>
          <w:rFonts w:ascii="Century Schoolbook" w:hAnsi="Century Schoolbook"/>
        </w:rPr>
        <w:footnoteReference w:id="7"/>
      </w:r>
    </w:p>
    <w:p w:rsidR="009B637C" w:rsidRPr="005A144C" w:rsidP="002E22D7" w14:paraId="3E8F6628" w14:textId="1D642777">
      <w:pPr>
        <w:keepNext/>
        <w:spacing w:line="360" w:lineRule="auto"/>
        <w:rPr>
          <w:rFonts w:ascii="Century Schoolbook" w:hAnsi="Century Schoolbook"/>
          <w:b/>
          <w:bCs/>
          <w:i/>
          <w:iCs/>
        </w:rPr>
      </w:pPr>
      <w:r w:rsidRPr="005A144C">
        <w:rPr>
          <w:rFonts w:ascii="Century Schoolbook" w:hAnsi="Century Schoolbook"/>
          <w:b/>
          <w:bCs/>
          <w:i/>
          <w:iCs/>
        </w:rPr>
        <w:t xml:space="preserve">B.  </w:t>
      </w:r>
      <w:r w:rsidRPr="005A144C" w:rsidR="002C1D63">
        <w:rPr>
          <w:rFonts w:ascii="Century Schoolbook" w:hAnsi="Century Schoolbook"/>
          <w:b/>
          <w:bCs/>
          <w:i/>
          <w:iCs/>
        </w:rPr>
        <w:t>No Error on FDCPA Rulings</w:t>
      </w:r>
    </w:p>
    <w:p w:rsidR="00D77561" w:rsidRPr="005A144C" w:rsidP="002E22D7" w14:paraId="687DE4DC" w14:textId="1E6C8DF2">
      <w:pPr>
        <w:keepNext/>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 xml:space="preserve">1. </w:t>
      </w:r>
      <w:r w:rsidRPr="005A144C" w:rsidR="006F4C7D">
        <w:rPr>
          <w:rFonts w:ascii="Century Schoolbook" w:hAnsi="Century Schoolbook"/>
          <w:b/>
          <w:bCs/>
        </w:rPr>
        <w:t xml:space="preserve"> </w:t>
      </w:r>
      <w:r w:rsidRPr="005A144C">
        <w:rPr>
          <w:rFonts w:ascii="Century Schoolbook" w:hAnsi="Century Schoolbook"/>
          <w:b/>
          <w:bCs/>
        </w:rPr>
        <w:t>Additional Background</w:t>
      </w:r>
    </w:p>
    <w:p w:rsidR="00CD6E33" w:rsidRPr="005A144C" w:rsidP="002E22D7" w14:paraId="14BA625A" w14:textId="45D9EB25">
      <w:pPr>
        <w:keepNext/>
        <w:spacing w:line="360" w:lineRule="auto"/>
        <w:rPr>
          <w:rFonts w:ascii="Century Schoolbook" w:hAnsi="Century Schoolbook"/>
        </w:rPr>
      </w:pPr>
      <w:r w:rsidRPr="005A144C">
        <w:rPr>
          <w:rFonts w:ascii="Century Schoolbook" w:hAnsi="Century Schoolbook"/>
        </w:rPr>
        <w:tab/>
        <w:t xml:space="preserve">When ALS moved for summary judgment in this state court action, it argued that Doskocz’s claims failed as a matter of law because ALS’s pre-lien letter did not improperly threaten foreclosure.  The court rejected the argument.  It first quoted </w:t>
      </w:r>
      <w:r w:rsidRPr="005A144C" w:rsidR="00845993">
        <w:rPr>
          <w:rFonts w:ascii="Century Schoolbook" w:hAnsi="Century Schoolbook"/>
        </w:rPr>
        <w:t xml:space="preserve">a </w:t>
      </w:r>
      <w:r w:rsidRPr="005A144C" w:rsidR="00BA098E">
        <w:rPr>
          <w:rFonts w:ascii="Century Schoolbook" w:hAnsi="Century Schoolbook"/>
        </w:rPr>
        <w:t xml:space="preserve">boldface, capitalized </w:t>
      </w:r>
      <w:r w:rsidRPr="005A144C">
        <w:rPr>
          <w:rFonts w:ascii="Century Schoolbook" w:hAnsi="Century Schoolbook"/>
        </w:rPr>
        <w:t xml:space="preserve">statement </w:t>
      </w:r>
      <w:r w:rsidRPr="005A144C" w:rsidR="00FB513B">
        <w:rPr>
          <w:rFonts w:ascii="Century Schoolbook" w:hAnsi="Century Schoolbook"/>
        </w:rPr>
        <w:t xml:space="preserve">in the letter: </w:t>
      </w:r>
      <w:r w:rsidRPr="005A144C" w:rsidR="005966F3">
        <w:rPr>
          <w:rFonts w:ascii="Century Schoolbook" w:hAnsi="Century Schoolbook"/>
        </w:rPr>
        <w:t xml:space="preserve"> </w:t>
      </w:r>
      <w:r w:rsidRPr="005A144C">
        <w:rPr>
          <w:rFonts w:ascii="Century Schoolbook" w:hAnsi="Century Schoolbook"/>
        </w:rPr>
        <w:t>“IMPORTANT NOTICE: IF YOUR SEPARATE INTEREST IS PLACED IN FORECLOSURE BECAUSE YOU ARE BEHIND IN YOUR ASSESSMENTS, IT MAY BE SOLD WITHOUT COURT ACTION.”</w:t>
      </w:r>
      <w:r w:rsidRPr="005A144C" w:rsidR="009E6CAD">
        <w:rPr>
          <w:rFonts w:ascii="Century Schoolbook" w:hAnsi="Century Schoolbook"/>
        </w:rPr>
        <w:t xml:space="preserve">  (Boldface omitted.)</w:t>
      </w:r>
      <w:r w:rsidRPr="005A144C">
        <w:rPr>
          <w:rFonts w:ascii="Century Schoolbook" w:hAnsi="Century Schoolbook"/>
        </w:rPr>
        <w:t xml:space="preserve">  </w:t>
      </w:r>
      <w:r w:rsidRPr="005A144C" w:rsidR="006B58AA">
        <w:rPr>
          <w:rFonts w:ascii="Century Schoolbook" w:hAnsi="Century Schoolbook"/>
        </w:rPr>
        <w:t>The court</w:t>
      </w:r>
      <w:r w:rsidRPr="005A144C">
        <w:rPr>
          <w:rFonts w:ascii="Century Schoolbook" w:hAnsi="Century Schoolbook"/>
        </w:rPr>
        <w:t xml:space="preserve"> then referenced the next portion of the letter, which stated</w:t>
      </w:r>
      <w:r w:rsidRPr="005A144C" w:rsidR="009E6CAD">
        <w:rPr>
          <w:rFonts w:ascii="Century Schoolbook" w:hAnsi="Century Schoolbook"/>
        </w:rPr>
        <w:t>:</w:t>
      </w:r>
      <w:r w:rsidRPr="005A144C">
        <w:rPr>
          <w:rFonts w:ascii="Century Schoolbook" w:hAnsi="Century Schoolbook"/>
        </w:rPr>
        <w:t xml:space="preserve"> </w:t>
      </w:r>
      <w:r w:rsidRPr="005A144C" w:rsidR="00E636B2">
        <w:rPr>
          <w:rFonts w:ascii="Century Schoolbook" w:hAnsi="Century Schoolbook"/>
        </w:rPr>
        <w:t xml:space="preserve"> </w:t>
      </w:r>
      <w:r w:rsidRPr="005A144C">
        <w:rPr>
          <w:rFonts w:ascii="Century Schoolbook" w:hAnsi="Century Schoolbook"/>
        </w:rPr>
        <w:t xml:space="preserve">“If the foreclosure process begins, you are legally obligated to pay all fees and costs associated with that process.  Should you fail to pay all delinquent assessments, late charges, costs of collection, including all lien and foreclosure process costs and fees, attorneys’ fees and interest, you may lose your property.”  The court concluded that this letter, reviewed under the least sophisticated consumer standard, threatened foreclosure and thus violated the FDCPA. </w:t>
      </w:r>
    </w:p>
    <w:p w:rsidR="00CD6E33" w:rsidRPr="005A144C" w:rsidP="002E22D7" w14:paraId="4D5BDDA7" w14:textId="0BE0BA96">
      <w:pPr>
        <w:spacing w:line="360" w:lineRule="auto"/>
        <w:rPr>
          <w:rFonts w:ascii="Century Schoolbook" w:hAnsi="Century Schoolbook"/>
        </w:rPr>
      </w:pPr>
      <w:r w:rsidRPr="005A144C">
        <w:rPr>
          <w:rFonts w:ascii="Century Schoolbook" w:hAnsi="Century Schoolbook"/>
        </w:rPr>
        <w:tab/>
        <w:t>In its statement of decision after trial, the court reached the same conclusion about not only the pre-lien letter but also the pre-NOD letter.  On the pre-lien letter, the court explained that the boldface</w:t>
      </w:r>
      <w:r w:rsidRPr="005A144C" w:rsidR="00BA098E">
        <w:rPr>
          <w:rFonts w:ascii="Century Schoolbook" w:hAnsi="Century Schoolbook"/>
        </w:rPr>
        <w:t>, capitalized</w:t>
      </w:r>
      <w:r w:rsidRPr="005A144C">
        <w:rPr>
          <w:rFonts w:ascii="Century Schoolbook" w:hAnsi="Century Schoolbook"/>
        </w:rPr>
        <w:t xml:space="preserve"> language was required </w:t>
      </w:r>
      <w:r w:rsidRPr="005A144C" w:rsidR="0075749F">
        <w:rPr>
          <w:rFonts w:ascii="Century Schoolbook" w:hAnsi="Century Schoolbook"/>
        </w:rPr>
        <w:t>by</w:t>
      </w:r>
      <w:r w:rsidRPr="005A144C">
        <w:rPr>
          <w:rFonts w:ascii="Century Schoolbook" w:hAnsi="Century Schoolbook"/>
        </w:rPr>
        <w:t xml:space="preserve"> </w:t>
      </w:r>
      <w:r w:rsidRPr="005A144C" w:rsidR="00B6037C">
        <w:rPr>
          <w:rFonts w:ascii="Century Schoolbook" w:hAnsi="Century Schoolbook"/>
        </w:rPr>
        <w:t>law</w:t>
      </w:r>
      <w:r w:rsidRPr="005A144C">
        <w:rPr>
          <w:rFonts w:ascii="Century Schoolbook" w:hAnsi="Century Schoolbook"/>
        </w:rPr>
        <w:t>.</w:t>
      </w:r>
      <w:r>
        <w:rPr>
          <w:rStyle w:val="FootnoteReference"/>
          <w:rFonts w:ascii="Century Schoolbook" w:hAnsi="Century Schoolbook"/>
        </w:rPr>
        <w:footnoteReference w:id="8"/>
      </w:r>
      <w:r w:rsidRPr="005A144C">
        <w:rPr>
          <w:rFonts w:ascii="Century Schoolbook" w:hAnsi="Century Schoolbook"/>
        </w:rPr>
        <w:t xml:space="preserve">  The language below that statement, however, was not required by law and “[t]he least sophisticated debtor would reasonably understand the unbolded language as threatening a foreclosure sale.”  On the pre-NOD letter, the court quoted the </w:t>
      </w:r>
      <w:r w:rsidRPr="005A144C" w:rsidR="006B58AA">
        <w:rPr>
          <w:rFonts w:ascii="Century Schoolbook" w:hAnsi="Century Schoolbook"/>
        </w:rPr>
        <w:t xml:space="preserve">following </w:t>
      </w:r>
      <w:r w:rsidRPr="005A144C">
        <w:rPr>
          <w:rFonts w:ascii="Century Schoolbook" w:hAnsi="Century Schoolbook"/>
        </w:rPr>
        <w:t>statement</w:t>
      </w:r>
      <w:r w:rsidRPr="005A144C" w:rsidR="006B58AA">
        <w:rPr>
          <w:rFonts w:ascii="Century Schoolbook" w:hAnsi="Century Schoolbook"/>
        </w:rPr>
        <w:t>:</w:t>
      </w:r>
      <w:r w:rsidRPr="005A144C">
        <w:rPr>
          <w:rFonts w:ascii="Century Schoolbook" w:hAnsi="Century Schoolbook"/>
        </w:rPr>
        <w:t xml:space="preserve"> </w:t>
      </w:r>
      <w:r w:rsidRPr="005A144C" w:rsidR="00621284">
        <w:rPr>
          <w:rFonts w:ascii="Century Schoolbook" w:hAnsi="Century Schoolbook"/>
        </w:rPr>
        <w:t xml:space="preserve"> </w:t>
      </w:r>
      <w:r w:rsidRPr="005A144C">
        <w:rPr>
          <w:rFonts w:ascii="Century Schoolbook" w:hAnsi="Century Schoolbook"/>
        </w:rPr>
        <w:t xml:space="preserve">“If payment is not received within ten (10) days, then Association Lien Services will record a Notice of Default.  Copies of the Notice of Default will be provided to your mortgage company and to anyone else having a legal interest in your property and entitled to notice under the Civil Code.  Please note that if Association Lien Services is required to record the Notice of Default, you will </w:t>
      </w:r>
      <w:r w:rsidRPr="005A144C" w:rsidR="005D1640">
        <w:rPr>
          <w:rFonts w:ascii="Century Schoolbook" w:hAnsi="Century Schoolbook"/>
        </w:rPr>
        <w:t xml:space="preserve">also </w:t>
      </w:r>
      <w:r w:rsidRPr="005A144C">
        <w:rPr>
          <w:rFonts w:ascii="Century Schoolbook" w:hAnsi="Century Schoolbook"/>
        </w:rPr>
        <w:t xml:space="preserve">be responsible for paying an additional fee of approximately $995.00 for preparing and serving the Notice of Default, acquiring a Trustee’s Sale Guarantee along with any applicable recording, mail and related costs.”  </w:t>
      </w:r>
    </w:p>
    <w:p w:rsidR="00CD6E33" w:rsidRPr="005A144C" w:rsidP="002E22D7" w14:paraId="11A226E2" w14:textId="33FE08B3">
      <w:pPr>
        <w:spacing w:line="360" w:lineRule="auto"/>
        <w:rPr>
          <w:rFonts w:ascii="Century Schoolbook" w:hAnsi="Century Schoolbook"/>
        </w:rPr>
      </w:pPr>
      <w:r w:rsidRPr="005A144C">
        <w:rPr>
          <w:rFonts w:ascii="Century Schoolbook" w:hAnsi="Century Schoolbook"/>
        </w:rPr>
        <w:tab/>
        <w:t xml:space="preserve">The court explained that recording a notice of default is “a necessary step in perfecting the right to hold a foreclosure sale” and that section 5720’s prohibition on collection through foreclosure of delinquent assessments that are less than $1,800 or </w:t>
      </w:r>
      <w:r w:rsidRPr="005A144C" w:rsidR="00780BB2">
        <w:rPr>
          <w:rFonts w:ascii="Century Schoolbook" w:hAnsi="Century Schoolbook"/>
        </w:rPr>
        <w:t xml:space="preserve">more than </w:t>
      </w:r>
      <w:r w:rsidRPr="005A144C">
        <w:rPr>
          <w:rFonts w:ascii="Century Schoolbook" w:hAnsi="Century Schoolbook"/>
        </w:rPr>
        <w:t xml:space="preserve">12 months old “means not only a foreclosure sale but also the commencement and perfection of the foreclosure process leading up to a sale, including recording a Notice of Default.”  The court then concluded that the </w:t>
      </w:r>
      <w:r w:rsidRPr="005A144C" w:rsidR="00EC1930">
        <w:rPr>
          <w:rFonts w:ascii="Century Schoolbook" w:hAnsi="Century Schoolbook"/>
        </w:rPr>
        <w:t>“</w:t>
      </w:r>
      <w:r w:rsidRPr="005A144C">
        <w:rPr>
          <w:rFonts w:ascii="Century Schoolbook" w:hAnsi="Century Schoolbook"/>
        </w:rPr>
        <w:t xml:space="preserve">least sophisticated debtor would reasonably understand recording a Notice of Default, notifying mortgage lenders, and obtaining a Trustee’s Sale Guarantee as indicating an intention to conduct a foreclosure sale.” </w:t>
      </w:r>
    </w:p>
    <w:p w:rsidR="00D77561" w:rsidRPr="005A144C" w:rsidP="002E22D7" w14:paraId="40C1AA42" w14:textId="75069F9F">
      <w:pPr>
        <w:keepNext/>
        <w:keepLines/>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 xml:space="preserve">2. </w:t>
      </w:r>
      <w:r w:rsidRPr="005A144C" w:rsidR="00F36EF8">
        <w:rPr>
          <w:rFonts w:ascii="Century Schoolbook" w:hAnsi="Century Schoolbook"/>
          <w:b/>
          <w:bCs/>
        </w:rPr>
        <w:t xml:space="preserve"> </w:t>
      </w:r>
      <w:r w:rsidRPr="005A144C">
        <w:rPr>
          <w:rFonts w:ascii="Century Schoolbook" w:hAnsi="Century Schoolbook"/>
          <w:b/>
          <w:bCs/>
        </w:rPr>
        <w:t>Analysis</w:t>
      </w:r>
    </w:p>
    <w:p w:rsidR="008F42B5" w:rsidRPr="005A144C" w:rsidP="002E22D7" w14:paraId="6C2FC256" w14:textId="34E0E272">
      <w:pPr>
        <w:spacing w:line="360" w:lineRule="auto"/>
        <w:rPr>
          <w:rFonts w:ascii="Century Schoolbook" w:hAnsi="Century Schoolbook"/>
        </w:rPr>
      </w:pPr>
      <w:r w:rsidRPr="005A144C">
        <w:rPr>
          <w:rFonts w:ascii="Century Schoolbook" w:hAnsi="Century Schoolbook"/>
        </w:rPr>
        <w:tab/>
      </w:r>
      <w:r w:rsidRPr="005A144C" w:rsidR="000510A9">
        <w:rPr>
          <w:rFonts w:ascii="Century Schoolbook" w:hAnsi="Century Schoolbook"/>
        </w:rPr>
        <w:t xml:space="preserve">The FDCPA prohibits a debt collector from </w:t>
      </w:r>
      <w:r w:rsidRPr="005A144C" w:rsidR="00F702E6">
        <w:rPr>
          <w:rFonts w:ascii="Century Schoolbook" w:hAnsi="Century Schoolbook"/>
        </w:rPr>
        <w:t xml:space="preserve">engaging in </w:t>
      </w:r>
      <w:r w:rsidRPr="005A144C" w:rsidR="000510A9">
        <w:rPr>
          <w:rFonts w:ascii="Century Schoolbook" w:hAnsi="Century Schoolbook"/>
        </w:rPr>
        <w:t>certain practices to collect or attempt to collect a debt, including threatening to take action that cannot be legally taken and threatening to effect dispossession of property where there is no present right to possession of the property.  (15</w:t>
      </w:r>
      <w:r w:rsidRPr="005A144C" w:rsidR="00F36EF8">
        <w:rPr>
          <w:rFonts w:ascii="Century Schoolbook" w:hAnsi="Century Schoolbook"/>
        </w:rPr>
        <w:t> </w:t>
      </w:r>
      <w:r w:rsidRPr="005A144C" w:rsidR="000510A9">
        <w:rPr>
          <w:rFonts w:ascii="Century Schoolbook" w:hAnsi="Century Schoolbook"/>
        </w:rPr>
        <w:t>U.S.C. §</w:t>
      </w:r>
      <w:r w:rsidRPr="005A144C" w:rsidR="006B0EC5">
        <w:rPr>
          <w:rFonts w:ascii="Century Schoolbook" w:hAnsi="Century Schoolbook"/>
        </w:rPr>
        <w:t>§ 1692e(</w:t>
      </w:r>
      <w:r w:rsidRPr="005A144C" w:rsidR="00C21382">
        <w:rPr>
          <w:rFonts w:ascii="Century Schoolbook" w:hAnsi="Century Schoolbook"/>
        </w:rPr>
        <w:t>5</w:t>
      </w:r>
      <w:r w:rsidRPr="005A144C" w:rsidR="006B0EC5">
        <w:rPr>
          <w:rFonts w:ascii="Century Schoolbook" w:hAnsi="Century Schoolbook"/>
        </w:rPr>
        <w:t>), 1692f(6)(A).)</w:t>
      </w:r>
      <w:r w:rsidRPr="005A144C" w:rsidR="00E14E90">
        <w:rPr>
          <w:rFonts w:ascii="Century Schoolbook" w:hAnsi="Century Schoolbook"/>
        </w:rPr>
        <w:t xml:space="preserve">  </w:t>
      </w:r>
      <w:r w:rsidRPr="005A144C" w:rsidR="00B94F17">
        <w:rPr>
          <w:rFonts w:ascii="Century Schoolbook" w:hAnsi="Century Schoolbook"/>
        </w:rPr>
        <w:t>“[A</w:t>
      </w:r>
      <w:r w:rsidRPr="005A144C" w:rsidR="00DA5887">
        <w:rPr>
          <w:rFonts w:ascii="Century Schoolbook" w:hAnsi="Century Schoolbook"/>
        </w:rPr>
        <w:t>]</w:t>
      </w:r>
      <w:r w:rsidRPr="005A144C" w:rsidR="00B94F17">
        <w:rPr>
          <w:rFonts w:ascii="Century Schoolbook" w:hAnsi="Century Schoolbook"/>
        </w:rPr>
        <w:t xml:space="preserve"> threat need not be express: </w:t>
      </w:r>
      <w:r w:rsidRPr="005A144C" w:rsidR="00600210">
        <w:rPr>
          <w:rFonts w:ascii="Century Schoolbook" w:hAnsi="Century Schoolbook"/>
        </w:rPr>
        <w:t xml:space="preserve"> </w:t>
      </w:r>
      <w:r w:rsidRPr="005A144C" w:rsidR="00B94F17">
        <w:rPr>
          <w:rFonts w:ascii="Century Schoolbook" w:hAnsi="Century Schoolbook"/>
        </w:rPr>
        <w:t>it can be implied.”  (</w:t>
      </w:r>
      <w:r w:rsidRPr="005A144C" w:rsidR="00B94F17">
        <w:rPr>
          <w:rFonts w:ascii="Century Schoolbook" w:hAnsi="Century Schoolbook"/>
          <w:i/>
          <w:iCs/>
        </w:rPr>
        <w:t xml:space="preserve">Gonzalez v. Arrow </w:t>
      </w:r>
      <w:r w:rsidRPr="005A144C" w:rsidR="00BF283D">
        <w:rPr>
          <w:rFonts w:ascii="Century Schoolbook" w:hAnsi="Century Schoolbook"/>
          <w:i/>
          <w:iCs/>
        </w:rPr>
        <w:t>Financial Services,</w:t>
      </w:r>
      <w:r w:rsidRPr="005A144C" w:rsidR="00B94F17">
        <w:rPr>
          <w:rFonts w:ascii="Century Schoolbook" w:hAnsi="Century Schoolbook"/>
          <w:i/>
          <w:iCs/>
        </w:rPr>
        <w:t xml:space="preserve"> LLC</w:t>
      </w:r>
      <w:r w:rsidRPr="005A144C" w:rsidR="00B94F17">
        <w:rPr>
          <w:rFonts w:ascii="Century Schoolbook" w:hAnsi="Century Schoolbook"/>
        </w:rPr>
        <w:t xml:space="preserve"> (9th Cir. 2011) 660</w:t>
      </w:r>
      <w:r w:rsidRPr="005A144C" w:rsidR="00621284">
        <w:rPr>
          <w:rFonts w:ascii="Century Schoolbook" w:hAnsi="Century Schoolbook"/>
        </w:rPr>
        <w:t> </w:t>
      </w:r>
      <w:r w:rsidRPr="005A144C" w:rsidR="00B94F17">
        <w:rPr>
          <w:rFonts w:ascii="Century Schoolbook" w:hAnsi="Century Schoolbook"/>
        </w:rPr>
        <w:t xml:space="preserve">F.3d 1055, </w:t>
      </w:r>
      <w:r w:rsidRPr="005A144C" w:rsidR="001344C1">
        <w:rPr>
          <w:rFonts w:ascii="Century Schoolbook" w:hAnsi="Century Schoolbook"/>
        </w:rPr>
        <w:t>1064</w:t>
      </w:r>
      <w:r w:rsidRPr="005A144C" w:rsidR="00B94F17">
        <w:rPr>
          <w:rFonts w:ascii="Century Schoolbook" w:hAnsi="Century Schoolbook"/>
        </w:rPr>
        <w:t xml:space="preserve">.)  </w:t>
      </w:r>
      <w:r w:rsidRPr="005A144C" w:rsidR="006D5314">
        <w:rPr>
          <w:rFonts w:ascii="Century Schoolbook" w:hAnsi="Century Schoolbook"/>
        </w:rPr>
        <w:t>T</w:t>
      </w:r>
      <w:r w:rsidRPr="005A144C" w:rsidR="00386868">
        <w:rPr>
          <w:rFonts w:ascii="Century Schoolbook" w:hAnsi="Century Schoolbook"/>
        </w:rPr>
        <w:t xml:space="preserve">o determine whether conduct violates </w:t>
      </w:r>
      <w:r w:rsidRPr="005A144C" w:rsidR="00424F95">
        <w:rPr>
          <w:rFonts w:ascii="Century Schoolbook" w:hAnsi="Century Schoolbook"/>
        </w:rPr>
        <w:t>the FDCPA</w:t>
      </w:r>
      <w:r w:rsidRPr="005A144C" w:rsidR="006D5314">
        <w:rPr>
          <w:rFonts w:ascii="Century Schoolbook" w:hAnsi="Century Schoolbook"/>
        </w:rPr>
        <w:t xml:space="preserve">, </w:t>
      </w:r>
      <w:r w:rsidRPr="005A144C" w:rsidR="00A23BD2">
        <w:rPr>
          <w:rFonts w:ascii="Century Schoolbook" w:hAnsi="Century Schoolbook"/>
        </w:rPr>
        <w:t>courts</w:t>
      </w:r>
      <w:r w:rsidRPr="005A144C" w:rsidR="006D5314">
        <w:rPr>
          <w:rFonts w:ascii="Century Schoolbook" w:hAnsi="Century Schoolbook"/>
        </w:rPr>
        <w:t xml:space="preserve"> employ the “</w:t>
      </w:r>
      <w:r w:rsidRPr="005A144C" w:rsidR="00772836">
        <w:rPr>
          <w:rFonts w:ascii="Century Schoolbook" w:hAnsi="Century Schoolbook"/>
        </w:rPr>
        <w:t> ‘</w:t>
      </w:r>
      <w:r w:rsidRPr="005A144C" w:rsidR="006D5314">
        <w:rPr>
          <w:rFonts w:ascii="Century Schoolbook" w:hAnsi="Century Schoolbook"/>
        </w:rPr>
        <w:t>least sophisticated debtor</w:t>
      </w:r>
      <w:r w:rsidRPr="005A144C" w:rsidR="00772836">
        <w:rPr>
          <w:rFonts w:ascii="Century Schoolbook" w:hAnsi="Century Schoolbook"/>
        </w:rPr>
        <w:t>’ </w:t>
      </w:r>
      <w:r w:rsidRPr="005A144C" w:rsidR="006D5314">
        <w:rPr>
          <w:rFonts w:ascii="Century Schoolbook" w:hAnsi="Century Schoolbook"/>
        </w:rPr>
        <w:t>” standard</w:t>
      </w:r>
      <w:r w:rsidRPr="005A144C" w:rsidR="00386868">
        <w:rPr>
          <w:rFonts w:ascii="Century Schoolbook" w:hAnsi="Century Schoolbook"/>
        </w:rPr>
        <w:t xml:space="preserve">.  </w:t>
      </w:r>
      <w:r w:rsidRPr="005A144C" w:rsidR="00FD65A4">
        <w:rPr>
          <w:rFonts w:ascii="Century Schoolbook" w:hAnsi="Century Schoolbook"/>
        </w:rPr>
        <w:t>(</w:t>
      </w:r>
      <w:r w:rsidRPr="005A144C" w:rsidR="00F36EF8">
        <w:rPr>
          <w:rFonts w:ascii="Century Schoolbook" w:hAnsi="Century Schoolbook"/>
          <w:i/>
          <w:iCs/>
        </w:rPr>
        <w:t>Gonzalez</w:t>
      </w:r>
      <w:r w:rsidRPr="005A144C" w:rsidR="00F36EF8">
        <w:rPr>
          <w:rFonts w:ascii="Century Schoolbook" w:hAnsi="Century Schoolbook"/>
        </w:rPr>
        <w:t>,</w:t>
      </w:r>
      <w:r w:rsidRPr="005A144C" w:rsidR="00B94F17">
        <w:rPr>
          <w:rFonts w:ascii="Century Schoolbook" w:hAnsi="Century Schoolbook"/>
        </w:rPr>
        <w:t xml:space="preserve"> at p. 1061</w:t>
      </w:r>
      <w:r w:rsidRPr="005A144C" w:rsidR="00FD65A4">
        <w:rPr>
          <w:rFonts w:ascii="Century Schoolbook" w:hAnsi="Century Schoolbook"/>
        </w:rPr>
        <w:t>, fn.</w:t>
      </w:r>
      <w:r w:rsidRPr="005A144C" w:rsidR="00655BA9">
        <w:rPr>
          <w:rFonts w:ascii="Century Schoolbook" w:hAnsi="Century Schoolbook"/>
        </w:rPr>
        <w:t> </w:t>
      </w:r>
      <w:r w:rsidRPr="005A144C" w:rsidR="00FD65A4">
        <w:rPr>
          <w:rFonts w:ascii="Century Schoolbook" w:hAnsi="Century Schoolbook"/>
        </w:rPr>
        <w:t>2</w:t>
      </w:r>
      <w:r w:rsidRPr="005A144C" w:rsidR="0030424E">
        <w:rPr>
          <w:rFonts w:ascii="Century Schoolbook" w:hAnsi="Century Schoolbook"/>
        </w:rPr>
        <w:t xml:space="preserve"> [discussing </w:t>
      </w:r>
      <w:r w:rsidRPr="005A144C" w:rsidR="00A548FA">
        <w:rPr>
          <w:rFonts w:ascii="Century Schoolbook" w:hAnsi="Century Schoolbook"/>
        </w:rPr>
        <w:t>adoption by</w:t>
      </w:r>
      <w:r w:rsidRPr="005A144C" w:rsidR="00776F48">
        <w:rPr>
          <w:rFonts w:ascii="Century Schoolbook" w:hAnsi="Century Schoolbook"/>
        </w:rPr>
        <w:t xml:space="preserve"> Ninth Circuit</w:t>
      </w:r>
      <w:r w:rsidRPr="005A144C" w:rsidR="00CF1C48">
        <w:rPr>
          <w:rFonts w:ascii="Century Schoolbook" w:hAnsi="Century Schoolbook"/>
        </w:rPr>
        <w:t xml:space="preserve"> and majority of other courts</w:t>
      </w:r>
      <w:r w:rsidRPr="005A144C" w:rsidR="0030424E">
        <w:rPr>
          <w:rFonts w:ascii="Century Schoolbook" w:hAnsi="Century Schoolbook"/>
        </w:rPr>
        <w:t>]</w:t>
      </w:r>
      <w:r w:rsidRPr="005A144C" w:rsidR="00BB3163">
        <w:rPr>
          <w:rFonts w:ascii="Century Schoolbook" w:hAnsi="Century Schoolbook"/>
        </w:rPr>
        <w:t>.</w:t>
      </w:r>
      <w:r w:rsidRPr="005A144C" w:rsidR="00FD65A4">
        <w:rPr>
          <w:rFonts w:ascii="Century Schoolbook" w:hAnsi="Century Schoolbook"/>
        </w:rPr>
        <w:t>)</w:t>
      </w:r>
      <w:r w:rsidRPr="005A144C" w:rsidR="007E0681">
        <w:rPr>
          <w:rFonts w:ascii="Century Schoolbook" w:hAnsi="Century Schoolbook"/>
        </w:rPr>
        <w:t xml:space="preserve">  </w:t>
      </w:r>
      <w:r w:rsidRPr="005A144C" w:rsidR="005D130E">
        <w:rPr>
          <w:rFonts w:ascii="Century Schoolbook" w:hAnsi="Century Schoolbook"/>
        </w:rPr>
        <w:t>This</w:t>
      </w:r>
      <w:r w:rsidRPr="005A144C" w:rsidR="000510A9">
        <w:rPr>
          <w:rFonts w:ascii="Century Schoolbook" w:hAnsi="Century Schoolbook"/>
        </w:rPr>
        <w:t xml:space="preserve"> standard </w:t>
      </w:r>
      <w:r w:rsidRPr="005A144C" w:rsidR="00F94CC3">
        <w:rPr>
          <w:rFonts w:ascii="Century Schoolbook" w:hAnsi="Century Schoolbook"/>
        </w:rPr>
        <w:t>“ ‘preserv[es] a quotient of reasonableness and presum[es] a basic level of understanding and willingness to read with care,’ ”  but is</w:t>
      </w:r>
      <w:r w:rsidRPr="005A144C" w:rsidR="000510A9">
        <w:rPr>
          <w:rFonts w:ascii="Century Schoolbook" w:hAnsi="Century Schoolbook"/>
        </w:rPr>
        <w:t xml:space="preserve"> </w:t>
      </w:r>
      <w:r w:rsidRPr="005A144C" w:rsidR="00772836">
        <w:rPr>
          <w:rFonts w:ascii="Century Schoolbook" w:hAnsi="Century Schoolbook"/>
        </w:rPr>
        <w:t>“ </w:t>
      </w:r>
      <w:r w:rsidRPr="005A144C" w:rsidR="005D130E">
        <w:rPr>
          <w:rFonts w:ascii="Century Schoolbook" w:hAnsi="Century Schoolbook"/>
        </w:rPr>
        <w:t>‘</w:t>
      </w:r>
      <w:r w:rsidRPr="005A144C" w:rsidR="000510A9">
        <w:rPr>
          <w:rFonts w:ascii="Century Schoolbook" w:hAnsi="Century Schoolbook"/>
        </w:rPr>
        <w:t>designed to protect consumers of below average sophistication or intelligence,</w:t>
      </w:r>
      <w:r w:rsidRPr="005A144C" w:rsidR="005D130E">
        <w:rPr>
          <w:rFonts w:ascii="Century Schoolbook" w:hAnsi="Century Schoolbook"/>
        </w:rPr>
        <w:t>’</w:t>
      </w:r>
      <w:r w:rsidRPr="005A144C" w:rsidR="000510A9">
        <w:rPr>
          <w:rFonts w:ascii="Century Schoolbook" w:hAnsi="Century Schoolbook"/>
        </w:rPr>
        <w:t xml:space="preserve"> or those who are </w:t>
      </w:r>
      <w:r w:rsidRPr="005A144C" w:rsidR="005D130E">
        <w:rPr>
          <w:rFonts w:ascii="Century Schoolbook" w:hAnsi="Century Schoolbook"/>
        </w:rPr>
        <w:t>‘</w:t>
      </w:r>
      <w:r w:rsidRPr="005A144C" w:rsidR="000510A9">
        <w:rPr>
          <w:rFonts w:ascii="Century Schoolbook" w:hAnsi="Century Schoolbook"/>
        </w:rPr>
        <w:t>uninformed or naive,</w:t>
      </w:r>
      <w:r w:rsidRPr="005A144C" w:rsidR="005D130E">
        <w:rPr>
          <w:rFonts w:ascii="Century Schoolbook" w:hAnsi="Century Schoolbook"/>
        </w:rPr>
        <w:t>’</w:t>
      </w:r>
      <w:r w:rsidRPr="005A144C" w:rsidR="000510A9">
        <w:rPr>
          <w:rFonts w:ascii="Century Schoolbook" w:hAnsi="Century Schoolbook"/>
        </w:rPr>
        <w:t xml:space="preserve"> particularly when those individuals are targeted by debt collectors</w:t>
      </w:r>
      <w:r w:rsidRPr="005A144C" w:rsidR="005D130E">
        <w:rPr>
          <w:rFonts w:ascii="Century Schoolbook" w:hAnsi="Century Schoolbook"/>
        </w:rPr>
        <w:t>.”  (</w:t>
      </w:r>
      <w:r w:rsidRPr="005A144C" w:rsidR="005D130E">
        <w:rPr>
          <w:rFonts w:ascii="Century Schoolbook" w:hAnsi="Century Schoolbook"/>
          <w:i/>
          <w:iCs/>
        </w:rPr>
        <w:t>Id.</w:t>
      </w:r>
      <w:r w:rsidRPr="005A144C" w:rsidR="005D130E">
        <w:rPr>
          <w:rFonts w:ascii="Century Schoolbook" w:hAnsi="Century Schoolbook"/>
        </w:rPr>
        <w:t xml:space="preserve"> at p. 1062.)</w:t>
      </w:r>
      <w:r w:rsidRPr="005A144C">
        <w:rPr>
          <w:rFonts w:ascii="Century Schoolbook" w:hAnsi="Century Schoolbook"/>
        </w:rPr>
        <w:t xml:space="preserve">  </w:t>
      </w:r>
    </w:p>
    <w:p w:rsidR="000510A9" w:rsidP="002E22D7" w14:paraId="61BC4858" w14:textId="4AF0452F">
      <w:pPr>
        <w:spacing w:line="360" w:lineRule="auto"/>
        <w:rPr>
          <w:rFonts w:ascii="Century Schoolbook" w:hAnsi="Century Schoolbook"/>
        </w:rPr>
      </w:pPr>
      <w:r w:rsidRPr="005A144C">
        <w:rPr>
          <w:rFonts w:ascii="Century Schoolbook" w:hAnsi="Century Schoolbook"/>
        </w:rPr>
        <w:tab/>
        <w:t xml:space="preserve">Here, Doskocz claimed that ALS’s pre-lien and pre-NOD letters violated these provisions of the FDCPA because the letters threatened foreclosure </w:t>
      </w:r>
      <w:r w:rsidRPr="005A144C" w:rsidR="00274374">
        <w:rPr>
          <w:rFonts w:ascii="Century Schoolbook" w:hAnsi="Century Schoolbook"/>
        </w:rPr>
        <w:t xml:space="preserve">when </w:t>
      </w:r>
      <w:r w:rsidRPr="005A144C" w:rsidR="004670F2">
        <w:rPr>
          <w:rFonts w:ascii="Century Schoolbook" w:hAnsi="Century Schoolbook"/>
        </w:rPr>
        <w:t xml:space="preserve">foreclosure </w:t>
      </w:r>
      <w:r w:rsidRPr="005A144C" w:rsidR="00BC75F1">
        <w:rPr>
          <w:rFonts w:ascii="Century Schoolbook" w:hAnsi="Century Schoolbook"/>
        </w:rPr>
        <w:t>was not permitte</w:t>
      </w:r>
      <w:r w:rsidRPr="005A144C" w:rsidR="004670F2">
        <w:rPr>
          <w:rFonts w:ascii="Century Schoolbook" w:hAnsi="Century Schoolbook"/>
        </w:rPr>
        <w:t>d</w:t>
      </w:r>
      <w:r w:rsidRPr="005A144C">
        <w:rPr>
          <w:rFonts w:ascii="Century Schoolbook" w:hAnsi="Century Schoolbook"/>
        </w:rPr>
        <w:t xml:space="preserve"> under section 5720.</w:t>
      </w:r>
      <w:r w:rsidRPr="005A144C" w:rsidR="00274374">
        <w:rPr>
          <w:rFonts w:ascii="Century Schoolbook" w:hAnsi="Century Schoolbook"/>
        </w:rPr>
        <w:t xml:space="preserve"> </w:t>
      </w:r>
      <w:r w:rsidRPr="005A144C" w:rsidR="00E84C39">
        <w:rPr>
          <w:rFonts w:ascii="Century Schoolbook" w:hAnsi="Century Schoolbook"/>
        </w:rPr>
        <w:t xml:space="preserve"> </w:t>
      </w:r>
      <w:r w:rsidRPr="005A144C" w:rsidR="00A21C6B">
        <w:rPr>
          <w:rFonts w:ascii="Century Schoolbook" w:hAnsi="Century Schoolbook"/>
        </w:rPr>
        <w:t>S</w:t>
      </w:r>
      <w:r w:rsidRPr="005A144C" w:rsidR="008B5197">
        <w:rPr>
          <w:rFonts w:ascii="Century Schoolbook" w:hAnsi="Century Schoolbook"/>
        </w:rPr>
        <w:t>ection</w:t>
      </w:r>
      <w:r w:rsidRPr="005A144C" w:rsidR="00621284">
        <w:rPr>
          <w:rFonts w:ascii="Century Schoolbook" w:hAnsi="Century Schoolbook"/>
        </w:rPr>
        <w:t> </w:t>
      </w:r>
      <w:r w:rsidRPr="005A144C" w:rsidR="008B5197">
        <w:rPr>
          <w:rFonts w:ascii="Century Schoolbook" w:hAnsi="Century Schoolbook"/>
        </w:rPr>
        <w:t xml:space="preserve">5720, subdivision (b) provides that an </w:t>
      </w:r>
      <w:r w:rsidRPr="005A144C" w:rsidR="00ED1C06">
        <w:rPr>
          <w:rFonts w:ascii="Century Schoolbook" w:hAnsi="Century Schoolbook"/>
        </w:rPr>
        <w:t>HOA</w:t>
      </w:r>
      <w:r w:rsidRPr="005A144C" w:rsidR="008B5197">
        <w:rPr>
          <w:rFonts w:ascii="Century Schoolbook" w:hAnsi="Century Schoolbook"/>
        </w:rPr>
        <w:t xml:space="preserve"> “may not collect” a delinquent assessment less than $1,800 or </w:t>
      </w:r>
      <w:r w:rsidRPr="005A144C" w:rsidR="00780BB2">
        <w:rPr>
          <w:rFonts w:ascii="Century Schoolbook" w:hAnsi="Century Schoolbook"/>
        </w:rPr>
        <w:t xml:space="preserve">more than </w:t>
      </w:r>
      <w:r w:rsidRPr="005A144C" w:rsidR="008B5197">
        <w:rPr>
          <w:rFonts w:ascii="Century Schoolbook" w:hAnsi="Century Schoolbook"/>
        </w:rPr>
        <w:t xml:space="preserve">12 months old “through judicial or nonjudicial foreclosure,” but may “attempt to collect or secure that debt” through a civil action in small claims court, recording a lien that the </w:t>
      </w:r>
      <w:r w:rsidRPr="005A144C" w:rsidR="00ED1C06">
        <w:rPr>
          <w:rFonts w:ascii="Century Schoolbook" w:hAnsi="Century Schoolbook"/>
        </w:rPr>
        <w:t>HOA</w:t>
      </w:r>
      <w:r w:rsidRPr="005A144C" w:rsidR="008B5197">
        <w:rPr>
          <w:rFonts w:ascii="Century Schoolbook" w:hAnsi="Century Schoolbook"/>
        </w:rPr>
        <w:t xml:space="preserve"> may not foreclose</w:t>
      </w:r>
      <w:r w:rsidRPr="005A144C" w:rsidR="00B144BD">
        <w:rPr>
          <w:rFonts w:ascii="Century Schoolbook" w:hAnsi="Century Schoolbook"/>
        </w:rPr>
        <w:t xml:space="preserve"> upon</w:t>
      </w:r>
      <w:r w:rsidRPr="005A144C" w:rsidR="008B5197">
        <w:rPr>
          <w:rFonts w:ascii="Century Schoolbook" w:hAnsi="Century Schoolbook"/>
        </w:rPr>
        <w:t xml:space="preserve"> until the delinquent assessment </w:t>
      </w:r>
      <w:r w:rsidRPr="005A144C" w:rsidR="00DA68E2">
        <w:rPr>
          <w:rFonts w:ascii="Century Schoolbook" w:hAnsi="Century Schoolbook"/>
        </w:rPr>
        <w:t xml:space="preserve">reaches $1,800 or </w:t>
      </w:r>
      <w:r w:rsidRPr="005A144C" w:rsidR="00780BB2">
        <w:rPr>
          <w:rFonts w:ascii="Century Schoolbook" w:hAnsi="Century Schoolbook"/>
        </w:rPr>
        <w:t xml:space="preserve">more than </w:t>
      </w:r>
      <w:r w:rsidRPr="005A144C" w:rsidR="00DA68E2">
        <w:rPr>
          <w:rFonts w:ascii="Century Schoolbook" w:hAnsi="Century Schoolbook"/>
        </w:rPr>
        <w:t>12 months</w:t>
      </w:r>
      <w:r w:rsidRPr="005A144C" w:rsidR="008B5197">
        <w:rPr>
          <w:rFonts w:ascii="Century Schoolbook" w:hAnsi="Century Schoolbook"/>
        </w:rPr>
        <w:t>, or “[a]ny other manner provided by law, except for judicial or nonjudicial foreclosure.”</w:t>
      </w:r>
      <w:r w:rsidRPr="005A144C" w:rsidR="00704340">
        <w:rPr>
          <w:rFonts w:ascii="Century Schoolbook" w:hAnsi="Century Schoolbook"/>
        </w:rPr>
        <w:t xml:space="preserve">  When ALS sent its pre-lien and pre-NOD letters, Doskocz’s delinquent assessment had not met this $1,800 or 12</w:t>
      </w:r>
      <w:r w:rsidRPr="005A144C" w:rsidR="00772836">
        <w:rPr>
          <w:rFonts w:ascii="Century Schoolbook" w:hAnsi="Century Schoolbook"/>
        </w:rPr>
        <w:t>-</w:t>
      </w:r>
      <w:r w:rsidRPr="005A144C" w:rsidR="00704340">
        <w:rPr>
          <w:rFonts w:ascii="Century Schoolbook" w:hAnsi="Century Schoolbook"/>
        </w:rPr>
        <w:t xml:space="preserve">month threshold. </w:t>
      </w:r>
    </w:p>
    <w:p w:rsidR="006D1E3C" w:rsidRPr="005A144C" w:rsidP="002E22D7" w14:paraId="54480393" w14:textId="07C48391">
      <w:pPr>
        <w:spacing w:line="360" w:lineRule="auto"/>
        <w:rPr>
          <w:rFonts w:ascii="Century Schoolbook" w:hAnsi="Century Schoolbook"/>
        </w:rPr>
      </w:pPr>
      <w:r>
        <w:rPr>
          <w:rFonts w:ascii="Century Schoolbook" w:hAnsi="Century Schoolbook"/>
        </w:rPr>
        <w:tab/>
      </w:r>
      <w:r w:rsidRPr="002E22D7">
        <w:rPr>
          <w:rFonts w:ascii="Century Schoolbook" w:hAnsi="Century Schoolbook"/>
        </w:rPr>
        <w:t>We have some doubt as to whether ALS’s pre-lien letter can reasonably be characterized as threatening foreclosure before the delinquent assessment reached this statutory threshold.  Nor do we need to make this determination.  As counsel for Doskocz acknowledged at oral argument, if we conclude ALS’s pre-</w:t>
      </w:r>
      <w:r w:rsidR="00A30CF0">
        <w:rPr>
          <w:rFonts w:ascii="Century Schoolbook" w:hAnsi="Century Schoolbook"/>
        </w:rPr>
        <w:t>NOD</w:t>
      </w:r>
      <w:r w:rsidRPr="002E22D7" w:rsidR="00A30CF0">
        <w:rPr>
          <w:rFonts w:ascii="Century Schoolbook" w:hAnsi="Century Schoolbook"/>
        </w:rPr>
        <w:t xml:space="preserve"> </w:t>
      </w:r>
      <w:r w:rsidRPr="002E22D7">
        <w:rPr>
          <w:rFonts w:ascii="Century Schoolbook" w:hAnsi="Century Schoolbook"/>
        </w:rPr>
        <w:t>letter can properly be so characterized, that suffices to uphold the judgmen</w:t>
      </w:r>
      <w:r>
        <w:rPr>
          <w:rFonts w:ascii="Century Schoolbook" w:hAnsi="Century Schoolbook"/>
        </w:rPr>
        <w:t>t.</w:t>
      </w:r>
      <w:r>
        <w:rPr>
          <w:rStyle w:val="FootnoteReference"/>
          <w:rFonts w:ascii="Century Schoolbook" w:hAnsi="Century Schoolbook"/>
        </w:rPr>
        <w:footnoteReference w:id="9"/>
      </w:r>
      <w:r w:rsidRPr="005A144C" w:rsidR="00A4776F">
        <w:rPr>
          <w:rFonts w:ascii="Century Schoolbook" w:hAnsi="Century Schoolbook"/>
        </w:rPr>
        <w:t xml:space="preserve">  </w:t>
      </w:r>
      <w:r w:rsidRPr="005A144C" w:rsidR="00586BCD">
        <w:rPr>
          <w:rFonts w:ascii="Century Schoolbook" w:hAnsi="Century Schoolbook"/>
        </w:rPr>
        <w:t xml:space="preserve">Our review is de novo.  </w:t>
      </w:r>
      <w:r w:rsidRPr="005A144C" w:rsidR="00142BAA">
        <w:rPr>
          <w:rFonts w:ascii="Century Schoolbook" w:hAnsi="Century Schoolbook"/>
        </w:rPr>
        <w:t>(</w:t>
      </w:r>
      <w:r w:rsidRPr="005A144C" w:rsidR="00142BAA">
        <w:rPr>
          <w:rFonts w:ascii="Century Schoolbook" w:hAnsi="Century Schoolbook"/>
          <w:i/>
          <w:iCs/>
        </w:rPr>
        <w:t>Gonzalez v. Arrow Financial Services, LLC</w:t>
      </w:r>
      <w:r w:rsidRPr="005A144C" w:rsidR="00142BAA">
        <w:rPr>
          <w:rFonts w:ascii="Century Schoolbook" w:hAnsi="Century Schoolbook"/>
        </w:rPr>
        <w:t xml:space="preserve">, </w:t>
      </w:r>
      <w:r w:rsidRPr="005A144C" w:rsidR="00142BAA">
        <w:rPr>
          <w:rFonts w:ascii="Century Schoolbook" w:hAnsi="Century Schoolbook"/>
          <w:i/>
          <w:iCs/>
        </w:rPr>
        <w:t>supra</w:t>
      </w:r>
      <w:r w:rsidRPr="005A144C" w:rsidR="00142BAA">
        <w:rPr>
          <w:rFonts w:ascii="Century Schoolbook" w:hAnsi="Century Schoolbook"/>
        </w:rPr>
        <w:t>, 660 F.3d at p. 1060.</w:t>
      </w:r>
      <w:r w:rsidR="008540F7">
        <w:rPr>
          <w:rFonts w:ascii="Century Schoolbook" w:hAnsi="Century Schoolbook"/>
        </w:rPr>
        <w:t>)</w:t>
      </w:r>
    </w:p>
    <w:p w:rsidR="0039345E" w:rsidRPr="005A144C" w:rsidP="002E22D7" w14:paraId="371A2B44" w14:textId="26FC6F19">
      <w:pPr>
        <w:spacing w:line="360" w:lineRule="auto"/>
        <w:rPr>
          <w:rFonts w:ascii="Century Schoolbook" w:hAnsi="Century Schoolbook"/>
        </w:rPr>
      </w:pPr>
      <w:r w:rsidRPr="005A144C">
        <w:rPr>
          <w:rFonts w:ascii="Century Schoolbook" w:hAnsi="Century Schoolbook"/>
        </w:rPr>
        <w:tab/>
      </w:r>
      <w:r w:rsidRPr="005A144C" w:rsidR="00463E13">
        <w:rPr>
          <w:rFonts w:ascii="Century Schoolbook" w:hAnsi="Century Schoolbook"/>
        </w:rPr>
        <w:t xml:space="preserve">ALS argues that the least sophisticated debtor would not read </w:t>
      </w:r>
      <w:r w:rsidRPr="005A144C" w:rsidR="00544F23">
        <w:rPr>
          <w:rFonts w:ascii="Century Schoolbook" w:hAnsi="Century Schoolbook"/>
        </w:rPr>
        <w:t>the pre-NOD letter</w:t>
      </w:r>
      <w:r w:rsidRPr="005A144C" w:rsidR="00463E13">
        <w:rPr>
          <w:rFonts w:ascii="Century Schoolbook" w:hAnsi="Century Schoolbook"/>
        </w:rPr>
        <w:t xml:space="preserve"> as a threat of foreclosure</w:t>
      </w:r>
      <w:r w:rsidRPr="005A144C" w:rsidR="004914B5">
        <w:rPr>
          <w:rFonts w:ascii="Century Schoolbook" w:hAnsi="Century Schoolbook"/>
        </w:rPr>
        <w:t xml:space="preserve"> </w:t>
      </w:r>
      <w:r w:rsidRPr="005A144C">
        <w:rPr>
          <w:rFonts w:ascii="Century Schoolbook" w:hAnsi="Century Schoolbook"/>
        </w:rPr>
        <w:t xml:space="preserve">because it </w:t>
      </w:r>
      <w:r w:rsidRPr="005A144C" w:rsidR="000008F8">
        <w:rPr>
          <w:rFonts w:ascii="Century Schoolbook" w:hAnsi="Century Schoolbook"/>
        </w:rPr>
        <w:t xml:space="preserve">only </w:t>
      </w:r>
      <w:r w:rsidRPr="005A144C" w:rsidR="000C078E">
        <w:rPr>
          <w:rFonts w:ascii="Century Schoolbook" w:hAnsi="Century Schoolbook"/>
        </w:rPr>
        <w:t>tells</w:t>
      </w:r>
      <w:r w:rsidRPr="005A144C" w:rsidR="00553CF0">
        <w:rPr>
          <w:rFonts w:ascii="Century Schoolbook" w:hAnsi="Century Schoolbook"/>
        </w:rPr>
        <w:t xml:space="preserve"> the homeowner </w:t>
      </w:r>
      <w:r w:rsidRPr="005A144C" w:rsidR="00177C04">
        <w:rPr>
          <w:rFonts w:ascii="Century Schoolbook" w:hAnsi="Century Schoolbook"/>
        </w:rPr>
        <w:t>that a notice of default will be recorded</w:t>
      </w:r>
      <w:r w:rsidRPr="005A144C" w:rsidR="00E7517B">
        <w:rPr>
          <w:rFonts w:ascii="Century Schoolbook" w:hAnsi="Century Schoolbook"/>
        </w:rPr>
        <w:t xml:space="preserve"> if </w:t>
      </w:r>
      <w:r w:rsidRPr="005A144C" w:rsidR="000008F8">
        <w:rPr>
          <w:rFonts w:ascii="Century Schoolbook" w:hAnsi="Century Schoolbook"/>
        </w:rPr>
        <w:t>payment is not received</w:t>
      </w:r>
      <w:r w:rsidRPr="005A144C">
        <w:rPr>
          <w:rFonts w:ascii="Century Schoolbook" w:hAnsi="Century Schoolbook"/>
        </w:rPr>
        <w:t>.</w:t>
      </w:r>
      <w:r w:rsidRPr="005A144C" w:rsidR="00D26016">
        <w:rPr>
          <w:rFonts w:ascii="Century Schoolbook" w:hAnsi="Century Schoolbook"/>
        </w:rPr>
        <w:t xml:space="preserve"> </w:t>
      </w:r>
      <w:r w:rsidRPr="005A144C" w:rsidR="006B5624">
        <w:rPr>
          <w:rFonts w:ascii="Century Schoolbook" w:hAnsi="Century Schoolbook"/>
        </w:rPr>
        <w:t xml:space="preserve"> </w:t>
      </w:r>
      <w:r w:rsidRPr="005A144C" w:rsidR="00DA4079">
        <w:rPr>
          <w:rFonts w:ascii="Century Schoolbook" w:hAnsi="Century Schoolbook"/>
        </w:rPr>
        <w:t xml:space="preserve">ALS </w:t>
      </w:r>
      <w:r w:rsidRPr="005A144C" w:rsidR="009F664A">
        <w:rPr>
          <w:rFonts w:ascii="Century Schoolbook" w:hAnsi="Century Schoolbook"/>
        </w:rPr>
        <w:t>contends</w:t>
      </w:r>
      <w:r w:rsidRPr="005A144C" w:rsidR="00DA4079">
        <w:rPr>
          <w:rFonts w:ascii="Century Schoolbook" w:hAnsi="Century Schoolbook"/>
        </w:rPr>
        <w:t xml:space="preserve"> that this does not violate section</w:t>
      </w:r>
      <w:r w:rsidRPr="005A144C" w:rsidR="0043696B">
        <w:rPr>
          <w:rFonts w:ascii="Century Schoolbook" w:hAnsi="Century Schoolbook"/>
        </w:rPr>
        <w:t> </w:t>
      </w:r>
      <w:r w:rsidRPr="005A144C" w:rsidR="00DA4079">
        <w:rPr>
          <w:rFonts w:ascii="Century Schoolbook" w:hAnsi="Century Schoolbook"/>
        </w:rPr>
        <w:t>5720 because</w:t>
      </w:r>
      <w:r w:rsidRPr="005A144C" w:rsidR="00FA7DEA">
        <w:rPr>
          <w:rFonts w:ascii="Century Schoolbook" w:hAnsi="Century Schoolbook"/>
        </w:rPr>
        <w:t xml:space="preserve"> </w:t>
      </w:r>
      <w:r w:rsidRPr="005A144C" w:rsidR="001D4AE5">
        <w:rPr>
          <w:rFonts w:ascii="Century Schoolbook" w:hAnsi="Century Schoolbook"/>
        </w:rPr>
        <w:t>the term “foreclosure” in</w:t>
      </w:r>
      <w:r w:rsidRPr="005A144C" w:rsidR="007C2D7B">
        <w:rPr>
          <w:rFonts w:ascii="Century Schoolbook" w:hAnsi="Century Schoolbook"/>
        </w:rPr>
        <w:t xml:space="preserve"> </w:t>
      </w:r>
      <w:r w:rsidRPr="005A144C" w:rsidR="00DA4079">
        <w:rPr>
          <w:rFonts w:ascii="Century Schoolbook" w:hAnsi="Century Schoolbook"/>
        </w:rPr>
        <w:t>that provision</w:t>
      </w:r>
      <w:r w:rsidRPr="005A144C" w:rsidR="007C2D7B">
        <w:rPr>
          <w:rFonts w:ascii="Century Schoolbook" w:hAnsi="Century Schoolbook"/>
        </w:rPr>
        <w:t xml:space="preserve"> </w:t>
      </w:r>
      <w:r w:rsidRPr="005A144C" w:rsidR="00DA4079">
        <w:rPr>
          <w:rFonts w:ascii="Century Schoolbook" w:hAnsi="Century Schoolbook"/>
        </w:rPr>
        <w:t xml:space="preserve">means only </w:t>
      </w:r>
      <w:r w:rsidRPr="005A144C" w:rsidR="001D4AE5">
        <w:rPr>
          <w:rFonts w:ascii="Century Schoolbook" w:hAnsi="Century Schoolbook"/>
        </w:rPr>
        <w:t xml:space="preserve">a </w:t>
      </w:r>
      <w:r w:rsidRPr="005A144C" w:rsidR="007C2D7B">
        <w:rPr>
          <w:rFonts w:ascii="Century Schoolbook" w:hAnsi="Century Schoolbook"/>
        </w:rPr>
        <w:t xml:space="preserve">foreclosure </w:t>
      </w:r>
      <w:r w:rsidRPr="005A144C" w:rsidR="007C2D7B">
        <w:rPr>
          <w:rFonts w:ascii="Century Schoolbook" w:hAnsi="Century Schoolbook"/>
          <w:i/>
          <w:iCs/>
        </w:rPr>
        <w:t>sale</w:t>
      </w:r>
      <w:r w:rsidRPr="005A144C" w:rsidR="00B80AEC">
        <w:rPr>
          <w:rFonts w:ascii="Century Schoolbook" w:hAnsi="Century Schoolbook"/>
        </w:rPr>
        <w:t xml:space="preserve">, not </w:t>
      </w:r>
      <w:r w:rsidRPr="005A144C" w:rsidR="00555134">
        <w:rPr>
          <w:rFonts w:ascii="Century Schoolbook" w:hAnsi="Century Schoolbook"/>
        </w:rPr>
        <w:t xml:space="preserve">steps in the </w:t>
      </w:r>
      <w:r w:rsidRPr="005A144C" w:rsidR="00B80AEC">
        <w:rPr>
          <w:rFonts w:ascii="Century Schoolbook" w:hAnsi="Century Schoolbook"/>
        </w:rPr>
        <w:t>foreclosure process</w:t>
      </w:r>
      <w:r w:rsidRPr="005A144C" w:rsidR="00BC7648">
        <w:rPr>
          <w:rFonts w:ascii="Century Schoolbook" w:hAnsi="Century Schoolbook"/>
        </w:rPr>
        <w:t xml:space="preserve"> (e.g.</w:t>
      </w:r>
      <w:r w:rsidRPr="005A144C" w:rsidR="0043696B">
        <w:rPr>
          <w:rFonts w:ascii="Century Schoolbook" w:hAnsi="Century Schoolbook"/>
        </w:rPr>
        <w:t>,</w:t>
      </w:r>
      <w:r w:rsidRPr="005A144C" w:rsidR="00BC7648">
        <w:rPr>
          <w:rFonts w:ascii="Century Schoolbook" w:hAnsi="Century Schoolbook"/>
        </w:rPr>
        <w:t xml:space="preserve"> recording a notice of default)</w:t>
      </w:r>
      <w:r w:rsidRPr="005A144C" w:rsidR="00B80AEC">
        <w:rPr>
          <w:rFonts w:ascii="Century Schoolbook" w:hAnsi="Century Schoolbook"/>
        </w:rPr>
        <w:t xml:space="preserve"> leading up to the sale</w:t>
      </w:r>
      <w:r w:rsidRPr="005A144C" w:rsidR="006B5624">
        <w:rPr>
          <w:rFonts w:ascii="Century Schoolbook" w:hAnsi="Century Schoolbook"/>
        </w:rPr>
        <w:t>.</w:t>
      </w:r>
    </w:p>
    <w:p w:rsidR="000F0649" w:rsidRPr="005A144C" w:rsidP="002E22D7" w14:paraId="0F7D16C1" w14:textId="5E2B26C7">
      <w:pPr>
        <w:spacing w:line="360" w:lineRule="auto"/>
        <w:rPr>
          <w:rFonts w:ascii="Century Schoolbook" w:hAnsi="Century Schoolbook"/>
        </w:rPr>
      </w:pPr>
      <w:r w:rsidRPr="005A144C">
        <w:rPr>
          <w:rFonts w:ascii="Century Schoolbook" w:hAnsi="Century Schoolbook"/>
        </w:rPr>
        <w:tab/>
      </w:r>
      <w:r w:rsidRPr="005A144C" w:rsidR="00DF127E">
        <w:rPr>
          <w:rFonts w:ascii="Century Schoolbook" w:hAnsi="Century Schoolbook"/>
        </w:rPr>
        <w:t>Such a constrained reading of section 5720 is not</w:t>
      </w:r>
      <w:r w:rsidRPr="005A144C" w:rsidR="00521236">
        <w:rPr>
          <w:rFonts w:ascii="Century Schoolbook" w:hAnsi="Century Schoolbook"/>
        </w:rPr>
        <w:t xml:space="preserve"> supported</w:t>
      </w:r>
      <w:r w:rsidRPr="005A144C" w:rsidR="00DF127E">
        <w:rPr>
          <w:rFonts w:ascii="Century Schoolbook" w:hAnsi="Century Schoolbook"/>
        </w:rPr>
        <w:t xml:space="preserve"> by its plain language or legislative history.</w:t>
      </w:r>
      <w:r w:rsidRPr="005A144C" w:rsidR="00F515DF">
        <w:rPr>
          <w:rFonts w:ascii="Century Schoolbook" w:hAnsi="Century Schoolbook"/>
        </w:rPr>
        <w:t xml:space="preserve">  Section 5720, subdivision (b) </w:t>
      </w:r>
      <w:r w:rsidRPr="005A144C" w:rsidR="00A15288">
        <w:rPr>
          <w:rFonts w:ascii="Century Schoolbook" w:hAnsi="Century Schoolbook"/>
        </w:rPr>
        <w:t xml:space="preserve">imposes constraints on an </w:t>
      </w:r>
      <w:r w:rsidRPr="005A144C" w:rsidR="00ED1C06">
        <w:rPr>
          <w:rFonts w:ascii="Century Schoolbook" w:hAnsi="Century Schoolbook"/>
        </w:rPr>
        <w:t>HOA</w:t>
      </w:r>
      <w:r w:rsidRPr="005A144C" w:rsidR="00023BF5">
        <w:rPr>
          <w:rFonts w:ascii="Century Schoolbook" w:hAnsi="Century Schoolbook"/>
        </w:rPr>
        <w:t xml:space="preserve"> </w:t>
      </w:r>
      <w:r w:rsidRPr="005A144C" w:rsidR="00D34826">
        <w:rPr>
          <w:rFonts w:ascii="Century Schoolbook" w:hAnsi="Century Schoolbook"/>
        </w:rPr>
        <w:t>that</w:t>
      </w:r>
      <w:r w:rsidRPr="005A144C" w:rsidR="00F515DF">
        <w:rPr>
          <w:rFonts w:ascii="Century Schoolbook" w:hAnsi="Century Schoolbook"/>
        </w:rPr>
        <w:t xml:space="preserve"> “seeks to collect” </w:t>
      </w:r>
      <w:r w:rsidRPr="005A144C" w:rsidR="00A15288">
        <w:rPr>
          <w:rFonts w:ascii="Century Schoolbook" w:hAnsi="Century Schoolbook"/>
        </w:rPr>
        <w:t>or</w:t>
      </w:r>
      <w:r w:rsidRPr="005A144C" w:rsidR="00F515DF">
        <w:rPr>
          <w:rFonts w:ascii="Century Schoolbook" w:hAnsi="Century Schoolbook"/>
        </w:rPr>
        <w:t xml:space="preserve"> “attempt</w:t>
      </w:r>
      <w:r w:rsidRPr="005A144C" w:rsidR="005D4732">
        <w:rPr>
          <w:rFonts w:ascii="Century Schoolbook" w:hAnsi="Century Schoolbook"/>
        </w:rPr>
        <w:t>[s]</w:t>
      </w:r>
      <w:r w:rsidRPr="005A144C" w:rsidR="00F515DF">
        <w:rPr>
          <w:rFonts w:ascii="Century Schoolbook" w:hAnsi="Century Schoolbook"/>
        </w:rPr>
        <w:t xml:space="preserve"> to collect or secure</w:t>
      </w:r>
      <w:r w:rsidRPr="005A144C" w:rsidR="00A15288">
        <w:rPr>
          <w:rFonts w:ascii="Century Schoolbook" w:hAnsi="Century Schoolbook"/>
        </w:rPr>
        <w:t xml:space="preserve"> </w:t>
      </w:r>
      <w:r w:rsidRPr="005A144C" w:rsidR="003D1796">
        <w:rPr>
          <w:rFonts w:ascii="Century Schoolbook" w:hAnsi="Century Schoolbook"/>
        </w:rPr>
        <w:t>[</w:t>
      </w:r>
      <w:r w:rsidRPr="005A144C" w:rsidR="00A15288">
        <w:rPr>
          <w:rFonts w:ascii="Century Schoolbook" w:hAnsi="Century Schoolbook"/>
        </w:rPr>
        <w:t>a</w:t>
      </w:r>
      <w:r w:rsidRPr="005A144C" w:rsidR="003D1796">
        <w:rPr>
          <w:rFonts w:ascii="Century Schoolbook" w:hAnsi="Century Schoolbook"/>
        </w:rPr>
        <w:t>]</w:t>
      </w:r>
      <w:r w:rsidRPr="005A144C" w:rsidR="00A15288">
        <w:rPr>
          <w:rFonts w:ascii="Century Schoolbook" w:hAnsi="Century Schoolbook"/>
        </w:rPr>
        <w:t xml:space="preserve"> debt</w:t>
      </w:r>
      <w:r w:rsidRPr="005A144C" w:rsidR="00F515DF">
        <w:rPr>
          <w:rFonts w:ascii="Century Schoolbook" w:hAnsi="Century Schoolbook"/>
        </w:rPr>
        <w:t>”</w:t>
      </w:r>
      <w:r w:rsidRPr="005A144C" w:rsidR="00A15288">
        <w:rPr>
          <w:rFonts w:ascii="Century Schoolbook" w:hAnsi="Century Schoolbook"/>
        </w:rPr>
        <w:t xml:space="preserve"> below the $1,800 or 12-month threshold.</w:t>
      </w:r>
      <w:r w:rsidRPr="005A144C" w:rsidR="00E862A7">
        <w:rPr>
          <w:rFonts w:ascii="Century Schoolbook" w:hAnsi="Century Schoolbook"/>
        </w:rPr>
        <w:t xml:space="preserve">  </w:t>
      </w:r>
      <w:r w:rsidRPr="005A144C" w:rsidR="00DE2AD0">
        <w:rPr>
          <w:rFonts w:ascii="Century Schoolbook" w:hAnsi="Century Schoolbook"/>
        </w:rPr>
        <w:t xml:space="preserve">Recording a notice of default </w:t>
      </w:r>
      <w:r w:rsidRPr="005A144C" w:rsidR="00D47C65">
        <w:rPr>
          <w:rFonts w:ascii="Century Schoolbook" w:hAnsi="Century Schoolbook"/>
        </w:rPr>
        <w:t>starts</w:t>
      </w:r>
      <w:r w:rsidRPr="005A144C" w:rsidR="00B40635">
        <w:rPr>
          <w:rFonts w:ascii="Century Schoolbook" w:hAnsi="Century Schoolbook"/>
        </w:rPr>
        <w:t xml:space="preserve"> the foreclosure process</w:t>
      </w:r>
      <w:r w:rsidRPr="005A144C" w:rsidR="00D47C65">
        <w:rPr>
          <w:rFonts w:ascii="Century Schoolbook" w:hAnsi="Century Schoolbook"/>
        </w:rPr>
        <w:t>:  it is the initial step, followed by a notice of sale and then</w:t>
      </w:r>
      <w:r w:rsidRPr="005A144C" w:rsidR="00A25475">
        <w:rPr>
          <w:rFonts w:ascii="Century Schoolbook" w:hAnsi="Century Schoolbook"/>
        </w:rPr>
        <w:t xml:space="preserve"> sale.  (</w:t>
      </w:r>
      <w:r w:rsidRPr="005A144C" w:rsidR="00924138">
        <w:rPr>
          <w:rFonts w:ascii="Century Schoolbook" w:hAnsi="Century Schoolbook"/>
        </w:rPr>
        <w:t>§ 2924, subd. (a)(1).</w:t>
      </w:r>
      <w:r w:rsidRPr="005A144C" w:rsidR="00A25475">
        <w:rPr>
          <w:rFonts w:ascii="Century Schoolbook" w:hAnsi="Century Schoolbook"/>
        </w:rPr>
        <w:t>)</w:t>
      </w:r>
      <w:r w:rsidRPr="005A144C" w:rsidR="00526788">
        <w:rPr>
          <w:rFonts w:ascii="Century Schoolbook" w:hAnsi="Century Schoolbook"/>
        </w:rPr>
        <w:t xml:space="preserve">  </w:t>
      </w:r>
      <w:r w:rsidRPr="005A144C" w:rsidR="00457CD2">
        <w:rPr>
          <w:rFonts w:ascii="Century Schoolbook" w:hAnsi="Century Schoolbook"/>
        </w:rPr>
        <w:t xml:space="preserve">The phrasing “seeks to collect” or “attempt[s] to collect” suggests an intent to </w:t>
      </w:r>
      <w:r w:rsidRPr="005A144C" w:rsidR="00195A82">
        <w:rPr>
          <w:rFonts w:ascii="Century Schoolbook" w:hAnsi="Century Schoolbook"/>
        </w:rPr>
        <w:t xml:space="preserve">cover </w:t>
      </w:r>
      <w:r w:rsidRPr="005A144C" w:rsidR="00A72476">
        <w:rPr>
          <w:rFonts w:ascii="Century Schoolbook" w:hAnsi="Century Schoolbook"/>
        </w:rPr>
        <w:t xml:space="preserve">these </w:t>
      </w:r>
      <w:r w:rsidRPr="005A144C" w:rsidR="00201946">
        <w:rPr>
          <w:rFonts w:ascii="Century Schoolbook" w:hAnsi="Century Schoolbook"/>
        </w:rPr>
        <w:t>steps</w:t>
      </w:r>
      <w:r w:rsidRPr="005A144C" w:rsidR="00B83272">
        <w:rPr>
          <w:rFonts w:ascii="Century Schoolbook" w:hAnsi="Century Schoolbook"/>
        </w:rPr>
        <w:t xml:space="preserve"> to commence and perfect</w:t>
      </w:r>
      <w:r w:rsidRPr="005A144C" w:rsidR="00201946">
        <w:rPr>
          <w:rFonts w:ascii="Century Schoolbook" w:hAnsi="Century Schoolbook"/>
        </w:rPr>
        <w:t xml:space="preserve"> the foreclosure process</w:t>
      </w:r>
      <w:r w:rsidRPr="005A144C" w:rsidR="00405385">
        <w:rPr>
          <w:rFonts w:ascii="Century Schoolbook" w:hAnsi="Century Schoolbook"/>
        </w:rPr>
        <w:t xml:space="preserve">, not </w:t>
      </w:r>
      <w:r w:rsidRPr="005A144C" w:rsidR="0070287D">
        <w:rPr>
          <w:rFonts w:ascii="Century Schoolbook" w:hAnsi="Century Schoolbook"/>
        </w:rPr>
        <w:t xml:space="preserve">just </w:t>
      </w:r>
      <w:r w:rsidRPr="005A144C" w:rsidR="00A72476">
        <w:rPr>
          <w:rFonts w:ascii="Century Schoolbook" w:hAnsi="Century Schoolbook"/>
        </w:rPr>
        <w:t xml:space="preserve">the </w:t>
      </w:r>
      <w:r w:rsidRPr="005A144C" w:rsidR="00B83272">
        <w:rPr>
          <w:rFonts w:ascii="Century Schoolbook" w:hAnsi="Century Schoolbook"/>
        </w:rPr>
        <w:t>final</w:t>
      </w:r>
      <w:r w:rsidRPr="005A144C" w:rsidR="00AE6149">
        <w:rPr>
          <w:rFonts w:ascii="Century Schoolbook" w:hAnsi="Century Schoolbook"/>
        </w:rPr>
        <w:t xml:space="preserve"> step of a </w:t>
      </w:r>
      <w:r w:rsidRPr="005A144C" w:rsidR="00B83272">
        <w:rPr>
          <w:rFonts w:ascii="Century Schoolbook" w:hAnsi="Century Schoolbook"/>
        </w:rPr>
        <w:t>completed sale.</w:t>
      </w:r>
      <w:r w:rsidRPr="005A144C" w:rsidR="00A94A44">
        <w:rPr>
          <w:rFonts w:ascii="Century Schoolbook" w:hAnsi="Century Schoolbook"/>
        </w:rPr>
        <w:t xml:space="preserve">  </w:t>
      </w:r>
    </w:p>
    <w:p w:rsidR="004D3B81" w:rsidRPr="005A144C" w:rsidP="002E22D7" w14:paraId="017AEB10" w14:textId="13ABB42B">
      <w:pPr>
        <w:spacing w:line="360" w:lineRule="auto"/>
        <w:rPr>
          <w:rFonts w:ascii="Century Schoolbook" w:hAnsi="Century Schoolbook"/>
        </w:rPr>
      </w:pPr>
      <w:r w:rsidRPr="005A144C">
        <w:rPr>
          <w:rFonts w:ascii="Century Schoolbook" w:hAnsi="Century Schoolbook"/>
        </w:rPr>
        <w:tab/>
      </w:r>
      <w:r w:rsidRPr="005A144C" w:rsidR="00002BD0">
        <w:rPr>
          <w:rFonts w:ascii="Century Schoolbook" w:hAnsi="Century Schoolbook"/>
        </w:rPr>
        <w:t xml:space="preserve">The legislative history </w:t>
      </w:r>
      <w:r w:rsidRPr="005A144C" w:rsidR="004D758C">
        <w:rPr>
          <w:rFonts w:ascii="Century Schoolbook" w:hAnsi="Century Schoolbook"/>
        </w:rPr>
        <w:t xml:space="preserve">of section 5720 </w:t>
      </w:r>
      <w:r w:rsidRPr="005A144C" w:rsidR="00002BD0">
        <w:rPr>
          <w:rFonts w:ascii="Century Schoolbook" w:hAnsi="Century Schoolbook"/>
        </w:rPr>
        <w:t xml:space="preserve">supports this interpretation.  </w:t>
      </w:r>
      <w:r w:rsidRPr="005A144C" w:rsidR="005B371A">
        <w:rPr>
          <w:rFonts w:ascii="Century Schoolbook" w:hAnsi="Century Schoolbook"/>
        </w:rPr>
        <w:t xml:space="preserve">The provision </w:t>
      </w:r>
      <w:r w:rsidRPr="005A144C" w:rsidR="00834DB4">
        <w:rPr>
          <w:rFonts w:ascii="Century Schoolbook" w:hAnsi="Century Schoolbook"/>
        </w:rPr>
        <w:t xml:space="preserve">was originally </w:t>
      </w:r>
      <w:r w:rsidRPr="005A144C" w:rsidR="00FE0F87">
        <w:rPr>
          <w:rFonts w:ascii="Century Schoolbook" w:hAnsi="Century Schoolbook"/>
        </w:rPr>
        <w:t xml:space="preserve">added </w:t>
      </w:r>
      <w:r w:rsidRPr="005A144C" w:rsidR="007F1A2E">
        <w:rPr>
          <w:rFonts w:ascii="Century Schoolbook" w:hAnsi="Century Schoolbook"/>
        </w:rPr>
        <w:t>to the statutory scheme in</w:t>
      </w:r>
      <w:r w:rsidRPr="005A144C" w:rsidR="00351B3F">
        <w:rPr>
          <w:rFonts w:ascii="Century Schoolbook" w:hAnsi="Century Schoolbook"/>
        </w:rPr>
        <w:t xml:space="preserve"> </w:t>
      </w:r>
      <w:r w:rsidRPr="005A144C" w:rsidR="00834DB4">
        <w:rPr>
          <w:rFonts w:ascii="Century Schoolbook" w:hAnsi="Century Schoolbook"/>
        </w:rPr>
        <w:t>section 1367.</w:t>
      </w:r>
      <w:r w:rsidRPr="005A144C" w:rsidR="007F1A2E">
        <w:rPr>
          <w:rFonts w:ascii="Century Schoolbook" w:hAnsi="Century Schoolbook"/>
        </w:rPr>
        <w:t>4</w:t>
      </w:r>
      <w:r w:rsidRPr="005A144C" w:rsidR="00834DB4">
        <w:rPr>
          <w:rFonts w:ascii="Century Schoolbook" w:hAnsi="Century Schoolbook"/>
        </w:rPr>
        <w:t>, subdivision (</w:t>
      </w:r>
      <w:r w:rsidRPr="005A144C" w:rsidR="007F1A2E">
        <w:rPr>
          <w:rFonts w:ascii="Century Schoolbook" w:hAnsi="Century Schoolbook"/>
        </w:rPr>
        <w:t>b</w:t>
      </w:r>
      <w:r w:rsidRPr="005A144C" w:rsidR="00834DB4">
        <w:rPr>
          <w:rFonts w:ascii="Century Schoolbook" w:hAnsi="Century Schoolbook"/>
        </w:rPr>
        <w:t>)</w:t>
      </w:r>
      <w:r w:rsidRPr="005A144C" w:rsidR="005740BE">
        <w:rPr>
          <w:rFonts w:ascii="Century Schoolbook" w:hAnsi="Century Schoolbook"/>
        </w:rPr>
        <w:t xml:space="preserve"> and then </w:t>
      </w:r>
      <w:r w:rsidRPr="005A144C" w:rsidR="00C6448B">
        <w:rPr>
          <w:rFonts w:ascii="Century Schoolbook" w:hAnsi="Century Schoolbook"/>
        </w:rPr>
        <w:t xml:space="preserve">reorganized and </w:t>
      </w:r>
      <w:r w:rsidRPr="005A144C" w:rsidR="005740BE">
        <w:rPr>
          <w:rFonts w:ascii="Century Schoolbook" w:hAnsi="Century Schoolbook"/>
        </w:rPr>
        <w:t xml:space="preserve">recodified </w:t>
      </w:r>
      <w:r w:rsidRPr="005A144C" w:rsidR="00C6448B">
        <w:rPr>
          <w:rFonts w:ascii="Century Schoolbook" w:hAnsi="Century Schoolbook"/>
        </w:rPr>
        <w:t>as section 5720, subdivision (b)</w:t>
      </w:r>
      <w:r w:rsidRPr="005A144C" w:rsidR="00834DB4">
        <w:rPr>
          <w:rFonts w:ascii="Century Schoolbook" w:hAnsi="Century Schoolbook"/>
        </w:rPr>
        <w:t>.</w:t>
      </w:r>
      <w:r w:rsidRPr="005A144C" w:rsidR="00E525BB">
        <w:t xml:space="preserve">  (</w:t>
      </w:r>
      <w:r w:rsidRPr="005A144C" w:rsidR="00E525BB">
        <w:rPr>
          <w:rFonts w:ascii="Century Schoolbook" w:hAnsi="Century Schoolbook"/>
        </w:rPr>
        <w:t>Stats.</w:t>
      </w:r>
      <w:r w:rsidRPr="005A144C" w:rsidR="00227749">
        <w:rPr>
          <w:rFonts w:ascii="Century Schoolbook" w:hAnsi="Century Schoolbook"/>
        </w:rPr>
        <w:t xml:space="preserve"> </w:t>
      </w:r>
      <w:r w:rsidRPr="005A144C" w:rsidR="00E525BB">
        <w:rPr>
          <w:rFonts w:ascii="Century Schoolbook" w:hAnsi="Century Schoolbook"/>
        </w:rPr>
        <w:t>2005, c</w:t>
      </w:r>
      <w:r w:rsidRPr="005A144C" w:rsidR="00227749">
        <w:rPr>
          <w:rFonts w:ascii="Century Schoolbook" w:hAnsi="Century Schoolbook"/>
        </w:rPr>
        <w:t>h</w:t>
      </w:r>
      <w:r w:rsidRPr="005A144C" w:rsidR="00E525BB">
        <w:rPr>
          <w:rFonts w:ascii="Century Schoolbook" w:hAnsi="Century Schoolbook"/>
        </w:rPr>
        <w:t>. 452, § 4</w:t>
      </w:r>
      <w:r w:rsidRPr="005A144C" w:rsidR="001B4A5F">
        <w:rPr>
          <w:rFonts w:ascii="Century Schoolbook" w:hAnsi="Century Schoolbook"/>
        </w:rPr>
        <w:t>; Stats. 2012, ch. 180, § 2</w:t>
      </w:r>
      <w:r w:rsidRPr="005A144C" w:rsidR="00E525BB">
        <w:rPr>
          <w:rFonts w:ascii="Century Schoolbook" w:hAnsi="Century Schoolbook"/>
        </w:rPr>
        <w:t>.)</w:t>
      </w:r>
      <w:r w:rsidRPr="005A144C" w:rsidR="00BC6BFE">
        <w:rPr>
          <w:rFonts w:ascii="Century Schoolbook" w:hAnsi="Century Schoolbook"/>
        </w:rPr>
        <w:t xml:space="preserve">  The </w:t>
      </w:r>
      <w:r w:rsidRPr="005A144C" w:rsidR="00AF589E">
        <w:rPr>
          <w:rFonts w:ascii="Century Schoolbook" w:hAnsi="Century Schoolbook"/>
        </w:rPr>
        <w:t xml:space="preserve">Legislative Counsel’s Digest </w:t>
      </w:r>
      <w:r w:rsidRPr="005A144C" w:rsidR="00460B9C">
        <w:rPr>
          <w:rFonts w:ascii="Century Schoolbook" w:hAnsi="Century Schoolbook"/>
        </w:rPr>
        <w:t>stated</w:t>
      </w:r>
      <w:r w:rsidRPr="005A144C" w:rsidR="00E93EBA">
        <w:rPr>
          <w:rFonts w:ascii="Century Schoolbook" w:hAnsi="Century Schoolbook"/>
        </w:rPr>
        <w:t xml:space="preserve"> that </w:t>
      </w:r>
      <w:r w:rsidRPr="005A144C" w:rsidR="005740BE">
        <w:rPr>
          <w:rFonts w:ascii="Century Schoolbook" w:hAnsi="Century Schoolbook"/>
        </w:rPr>
        <w:t>section 1367.4</w:t>
      </w:r>
      <w:r w:rsidRPr="005A144C" w:rsidR="00E93EBA">
        <w:rPr>
          <w:rFonts w:ascii="Century Schoolbook" w:hAnsi="Century Schoolbook"/>
        </w:rPr>
        <w:t xml:space="preserve"> “</w:t>
      </w:r>
      <w:r w:rsidRPr="005A144C" w:rsidR="00BC6BFE">
        <w:rPr>
          <w:rFonts w:ascii="Century Schoolbook" w:hAnsi="Century Schoolbook"/>
        </w:rPr>
        <w:t>would revise and recast the procedures for collecting delinquent assessments for certain debts.</w:t>
      </w:r>
      <w:r w:rsidRPr="005A144C" w:rsidR="00E93EBA">
        <w:rPr>
          <w:rFonts w:ascii="Century Schoolbook" w:hAnsi="Century Schoolbook"/>
        </w:rPr>
        <w:t>”  (</w:t>
      </w:r>
      <w:r w:rsidRPr="005A144C" w:rsidR="006829D5">
        <w:rPr>
          <w:rFonts w:ascii="Century Schoolbook" w:hAnsi="Century Schoolbook"/>
        </w:rPr>
        <w:t>Legis. Counsel’s Dig., Sen. Bill No. 137</w:t>
      </w:r>
      <w:r w:rsidRPr="005A144C" w:rsidR="00F70E32">
        <w:rPr>
          <w:rFonts w:ascii="Century Schoolbook" w:hAnsi="Century Schoolbook"/>
        </w:rPr>
        <w:t xml:space="preserve"> (Stats. 2005</w:t>
      </w:r>
      <w:r w:rsidRPr="005A144C" w:rsidR="00852357">
        <w:rPr>
          <w:rFonts w:ascii="Century Schoolbook" w:hAnsi="Century Schoolbook"/>
        </w:rPr>
        <w:t xml:space="preserve"> (</w:t>
      </w:r>
      <w:r w:rsidRPr="005A144C" w:rsidR="003B36B3">
        <w:rPr>
          <w:rFonts w:ascii="Century Schoolbook" w:hAnsi="Century Schoolbook"/>
        </w:rPr>
        <w:t xml:space="preserve">2005–2006 </w:t>
      </w:r>
      <w:r w:rsidRPr="005A144C" w:rsidR="00852357">
        <w:rPr>
          <w:rFonts w:ascii="Century Schoolbook" w:hAnsi="Century Schoolbook"/>
        </w:rPr>
        <w:t>Reg. Sess.) Summary Dig.</w:t>
      </w:r>
      <w:r w:rsidRPr="005A144C" w:rsidR="00E93EBA">
        <w:rPr>
          <w:rFonts w:ascii="Century Schoolbook" w:hAnsi="Century Schoolbook"/>
        </w:rPr>
        <w:t>)</w:t>
      </w:r>
      <w:r w:rsidRPr="005A144C" w:rsidR="004D355B">
        <w:rPr>
          <w:rFonts w:ascii="Century Schoolbook" w:hAnsi="Century Schoolbook"/>
        </w:rPr>
        <w:t xml:space="preserve">  </w:t>
      </w:r>
      <w:r w:rsidRPr="005A144C" w:rsidR="006030FA">
        <w:rPr>
          <w:rFonts w:ascii="Century Schoolbook" w:hAnsi="Century Schoolbook"/>
        </w:rPr>
        <w:t>Interpreting</w:t>
      </w:r>
      <w:r w:rsidRPr="005A144C" w:rsidR="00E44F2D">
        <w:rPr>
          <w:rFonts w:ascii="Century Schoolbook" w:hAnsi="Century Schoolbook"/>
        </w:rPr>
        <w:t xml:space="preserve"> the term “foreclosure”</w:t>
      </w:r>
      <w:r w:rsidRPr="005A144C" w:rsidR="00786E4F">
        <w:rPr>
          <w:rFonts w:ascii="Century Schoolbook" w:hAnsi="Century Schoolbook"/>
        </w:rPr>
        <w:t xml:space="preserve"> from section 5720</w:t>
      </w:r>
      <w:r w:rsidRPr="005A144C" w:rsidR="00E44F2D">
        <w:rPr>
          <w:rFonts w:ascii="Century Schoolbook" w:hAnsi="Century Schoolbook"/>
        </w:rPr>
        <w:t xml:space="preserve"> to include </w:t>
      </w:r>
      <w:r w:rsidRPr="005A144C" w:rsidR="00214A9E">
        <w:rPr>
          <w:rFonts w:ascii="Century Schoolbook" w:hAnsi="Century Schoolbook"/>
        </w:rPr>
        <w:t>the procedur</w:t>
      </w:r>
      <w:r w:rsidRPr="005A144C" w:rsidR="00DE133D">
        <w:rPr>
          <w:rFonts w:ascii="Century Schoolbook" w:hAnsi="Century Schoolbook"/>
        </w:rPr>
        <w:t xml:space="preserve">al step </w:t>
      </w:r>
      <w:r w:rsidRPr="005A144C" w:rsidR="00C715B5">
        <w:rPr>
          <w:rFonts w:ascii="Century Schoolbook" w:hAnsi="Century Schoolbook"/>
        </w:rPr>
        <w:t>for</w:t>
      </w:r>
      <w:r w:rsidRPr="005A144C" w:rsidR="00DE133D">
        <w:rPr>
          <w:rFonts w:ascii="Century Schoolbook" w:hAnsi="Century Schoolbook"/>
        </w:rPr>
        <w:t xml:space="preserve"> </w:t>
      </w:r>
      <w:r w:rsidRPr="005A144C" w:rsidR="00C715B5">
        <w:rPr>
          <w:rFonts w:ascii="Century Schoolbook" w:hAnsi="Century Schoolbook"/>
        </w:rPr>
        <w:t>initiating</w:t>
      </w:r>
      <w:r w:rsidRPr="005A144C" w:rsidR="00DE133D">
        <w:rPr>
          <w:rFonts w:ascii="Century Schoolbook" w:hAnsi="Century Schoolbook"/>
        </w:rPr>
        <w:t xml:space="preserve"> foreclosure </w:t>
      </w:r>
      <w:r w:rsidRPr="005A144C" w:rsidR="00055721">
        <w:rPr>
          <w:rFonts w:ascii="Century Schoolbook" w:hAnsi="Century Schoolbook"/>
        </w:rPr>
        <w:t xml:space="preserve">is consistent with </w:t>
      </w:r>
      <w:r w:rsidRPr="005A144C" w:rsidR="006030FA">
        <w:rPr>
          <w:rFonts w:ascii="Century Schoolbook" w:hAnsi="Century Schoolbook"/>
        </w:rPr>
        <w:t>this</w:t>
      </w:r>
      <w:r w:rsidRPr="005A144C" w:rsidR="00055721">
        <w:rPr>
          <w:rFonts w:ascii="Century Schoolbook" w:hAnsi="Century Schoolbook"/>
        </w:rPr>
        <w:t xml:space="preserve"> legislative </w:t>
      </w:r>
      <w:r w:rsidRPr="005A144C" w:rsidR="00BE0165">
        <w:rPr>
          <w:rFonts w:ascii="Century Schoolbook" w:hAnsi="Century Schoolbook"/>
        </w:rPr>
        <w:t>goal</w:t>
      </w:r>
      <w:r w:rsidRPr="005A144C" w:rsidR="006030FA">
        <w:rPr>
          <w:rFonts w:ascii="Century Schoolbook" w:hAnsi="Century Schoolbook"/>
        </w:rPr>
        <w:t>.</w:t>
      </w:r>
      <w:r w:rsidRPr="005A144C" w:rsidR="00786E4F">
        <w:rPr>
          <w:rFonts w:ascii="Century Schoolbook" w:hAnsi="Century Schoolbook"/>
        </w:rPr>
        <w:t xml:space="preserve">  We </w:t>
      </w:r>
      <w:r w:rsidRPr="005A144C" w:rsidR="00A94A44">
        <w:rPr>
          <w:rFonts w:ascii="Century Schoolbook" w:hAnsi="Century Schoolbook"/>
        </w:rPr>
        <w:t xml:space="preserve">thus </w:t>
      </w:r>
      <w:r w:rsidRPr="005A144C" w:rsidR="00786E4F">
        <w:rPr>
          <w:rFonts w:ascii="Century Schoolbook" w:hAnsi="Century Schoolbook"/>
        </w:rPr>
        <w:t xml:space="preserve">agree with the trial court that the least sophisticated debtor would reasonably understand </w:t>
      </w:r>
      <w:r w:rsidRPr="005A144C" w:rsidR="00D24625">
        <w:rPr>
          <w:rFonts w:ascii="Century Schoolbook" w:hAnsi="Century Schoolbook"/>
        </w:rPr>
        <w:t>this</w:t>
      </w:r>
      <w:r w:rsidRPr="005A144C" w:rsidR="00786E4F">
        <w:rPr>
          <w:rFonts w:ascii="Century Schoolbook" w:hAnsi="Century Schoolbook"/>
        </w:rPr>
        <w:t xml:space="preserve"> language in ALS’s pre-</w:t>
      </w:r>
      <w:r w:rsidRPr="005A144C" w:rsidR="00D24625">
        <w:rPr>
          <w:rFonts w:ascii="Century Schoolbook" w:hAnsi="Century Schoolbook"/>
        </w:rPr>
        <w:t>NOD</w:t>
      </w:r>
      <w:r w:rsidRPr="005A144C" w:rsidR="00786E4F">
        <w:rPr>
          <w:rFonts w:ascii="Century Schoolbook" w:hAnsi="Century Schoolbook"/>
        </w:rPr>
        <w:t xml:space="preserve"> letter as threatening foreclosure</w:t>
      </w:r>
      <w:r w:rsidRPr="005A144C" w:rsidR="00A94A44">
        <w:rPr>
          <w:rFonts w:ascii="Century Schoolbook" w:hAnsi="Century Schoolbook"/>
        </w:rPr>
        <w:t xml:space="preserve"> in violation of section 5720</w:t>
      </w:r>
      <w:r w:rsidRPr="005A144C" w:rsidR="00786E4F">
        <w:rPr>
          <w:rFonts w:ascii="Century Schoolbook" w:hAnsi="Century Schoolbook"/>
        </w:rPr>
        <w:t>.</w:t>
      </w:r>
    </w:p>
    <w:p w:rsidR="006D1E3C" w:rsidRPr="005A144C" w:rsidP="002E22D7" w14:paraId="332ECECF" w14:textId="4C6EBF35">
      <w:pPr>
        <w:spacing w:line="360" w:lineRule="auto"/>
        <w:rPr>
          <w:rFonts w:ascii="Century Schoolbook" w:hAnsi="Century Schoolbook"/>
        </w:rPr>
      </w:pPr>
      <w:r w:rsidRPr="005A144C">
        <w:rPr>
          <w:rFonts w:ascii="Century Schoolbook" w:hAnsi="Century Schoolbook"/>
        </w:rPr>
        <w:tab/>
        <w:t>In sum, we conclude</w:t>
      </w:r>
      <w:r w:rsidRPr="005A144C" w:rsidR="00F02435">
        <w:rPr>
          <w:rFonts w:ascii="Century Schoolbook" w:hAnsi="Century Schoolbook"/>
        </w:rPr>
        <w:t xml:space="preserve"> that</w:t>
      </w:r>
      <w:r w:rsidRPr="005A144C">
        <w:rPr>
          <w:rFonts w:ascii="Century Schoolbook" w:hAnsi="Century Schoolbook"/>
        </w:rPr>
        <w:t xml:space="preserve"> the trial court did not err in determining that ALS’s pre-NOD letter violated the FDCPA.</w:t>
      </w:r>
    </w:p>
    <w:p w:rsidR="009B637C" w:rsidRPr="005A144C" w:rsidP="002E22D7" w14:paraId="1A0FF631" w14:textId="67309AFA">
      <w:pPr>
        <w:spacing w:line="360" w:lineRule="auto"/>
        <w:rPr>
          <w:rFonts w:ascii="Century Schoolbook" w:hAnsi="Century Schoolbook"/>
          <w:b/>
          <w:bCs/>
          <w:i/>
          <w:iCs/>
        </w:rPr>
      </w:pPr>
      <w:r w:rsidRPr="005A144C">
        <w:rPr>
          <w:rFonts w:ascii="Century Schoolbook" w:hAnsi="Century Schoolbook"/>
          <w:b/>
          <w:bCs/>
          <w:i/>
          <w:iCs/>
        </w:rPr>
        <w:t xml:space="preserve">C.  </w:t>
      </w:r>
      <w:r w:rsidRPr="005A144C" w:rsidR="002C1D63">
        <w:rPr>
          <w:rFonts w:ascii="Century Schoolbook" w:hAnsi="Century Schoolbook"/>
          <w:b/>
          <w:bCs/>
          <w:i/>
          <w:iCs/>
        </w:rPr>
        <w:t>No Abuse of Discretion on Motion to Bifurcate</w:t>
      </w:r>
    </w:p>
    <w:p w:rsidR="00D77561" w:rsidRPr="005A144C" w:rsidP="002E22D7" w14:paraId="57B09209" w14:textId="57676E3D">
      <w:pPr>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1.</w:t>
      </w:r>
      <w:r w:rsidRPr="005A144C" w:rsidR="005803E7">
        <w:rPr>
          <w:rFonts w:ascii="Century Schoolbook" w:hAnsi="Century Schoolbook"/>
          <w:b/>
          <w:bCs/>
        </w:rPr>
        <w:t xml:space="preserve"> </w:t>
      </w:r>
      <w:r w:rsidRPr="005A144C">
        <w:rPr>
          <w:rFonts w:ascii="Century Schoolbook" w:hAnsi="Century Schoolbook"/>
          <w:b/>
          <w:bCs/>
        </w:rPr>
        <w:t xml:space="preserve"> Additional Background</w:t>
      </w:r>
    </w:p>
    <w:p w:rsidR="00922485" w:rsidRPr="005A144C" w:rsidP="002E22D7" w14:paraId="2CC0EE0D" w14:textId="45770CE2">
      <w:pPr>
        <w:spacing w:line="360" w:lineRule="auto"/>
        <w:rPr>
          <w:rFonts w:ascii="Century Schoolbook" w:hAnsi="Century Schoolbook"/>
        </w:rPr>
      </w:pPr>
      <w:r w:rsidRPr="005A144C">
        <w:rPr>
          <w:rFonts w:ascii="Century Schoolbook" w:hAnsi="Century Schoolbook"/>
        </w:rPr>
        <w:tab/>
      </w:r>
      <w:r w:rsidRPr="005A144C" w:rsidR="00262A52">
        <w:rPr>
          <w:rFonts w:ascii="Century Schoolbook" w:hAnsi="Century Schoolbook"/>
        </w:rPr>
        <w:t xml:space="preserve">Doskocz moved to bifurcate trial and proceed first on her equitable UCL cause of action. </w:t>
      </w:r>
      <w:r w:rsidRPr="005A144C" w:rsidR="00520E40">
        <w:rPr>
          <w:rFonts w:ascii="Century Schoolbook" w:hAnsi="Century Schoolbook"/>
        </w:rPr>
        <w:t xml:space="preserve"> </w:t>
      </w:r>
      <w:r w:rsidRPr="002E22D7" w:rsidR="002E22D7">
        <w:rPr>
          <w:rFonts w:ascii="Century Schoolbook" w:hAnsi="Century Schoolbook"/>
        </w:rPr>
        <w:t>ALS opposed the motion on the ground that the UCL cause of action (for unlawful business practices) was predicated on violations of the FDCPA.  ALS argued that it was entitled to a jury trial to determine its liability under the FDCPA, including whether the waiver of homeowner rights under section 5655(a) was a “bona fide error” under the FDCPA</w:t>
      </w:r>
      <w:r w:rsidR="002E22D7">
        <w:rPr>
          <w:rFonts w:ascii="Century Schoolbook" w:hAnsi="Century Schoolbook"/>
        </w:rPr>
        <w:t>.</w:t>
      </w:r>
      <w:r>
        <w:rPr>
          <w:rStyle w:val="FootnoteReference"/>
          <w:rFonts w:ascii="Century Schoolbook" w:hAnsi="Century Schoolbook"/>
        </w:rPr>
        <w:footnoteReference w:id="10"/>
      </w:r>
      <w:r w:rsidRPr="005A144C" w:rsidR="007D4F93">
        <w:rPr>
          <w:rFonts w:ascii="Century Schoolbook" w:hAnsi="Century Schoolbook"/>
        </w:rPr>
        <w:t xml:space="preserve">  </w:t>
      </w:r>
    </w:p>
    <w:p w:rsidR="00F77CB4" w:rsidRPr="005A144C" w:rsidP="002E22D7" w14:paraId="4DDB80D7" w14:textId="51A4531D">
      <w:pPr>
        <w:shd w:val="clear" w:color="auto" w:fill="FFFFFF" w:themeFill="background1"/>
        <w:spacing w:line="360" w:lineRule="auto"/>
        <w:rPr>
          <w:rFonts w:ascii="Century Schoolbook" w:hAnsi="Century Schoolbook"/>
        </w:rPr>
      </w:pPr>
      <w:r w:rsidRPr="005A144C">
        <w:rPr>
          <w:rFonts w:ascii="Century Schoolbook" w:hAnsi="Century Schoolbook"/>
        </w:rPr>
        <w:tab/>
      </w:r>
      <w:r w:rsidRPr="005A144C" w:rsidR="0065782B">
        <w:rPr>
          <w:rFonts w:ascii="Century Schoolbook" w:hAnsi="Century Schoolbook"/>
        </w:rPr>
        <w:t xml:space="preserve">The court granted the motion.  </w:t>
      </w:r>
      <w:r w:rsidRPr="005A144C" w:rsidR="00520E40">
        <w:rPr>
          <w:rFonts w:ascii="Century Schoolbook" w:hAnsi="Century Schoolbook"/>
        </w:rPr>
        <w:t xml:space="preserve">In so doing, it </w:t>
      </w:r>
      <w:r w:rsidRPr="005A144C" w:rsidR="00BE643D">
        <w:rPr>
          <w:rFonts w:ascii="Century Schoolbook" w:hAnsi="Century Schoolbook"/>
        </w:rPr>
        <w:t>explicitly declined to</w:t>
      </w:r>
      <w:r w:rsidRPr="005A144C" w:rsidR="00520E40">
        <w:rPr>
          <w:rFonts w:ascii="Century Schoolbook" w:hAnsi="Century Schoolbook"/>
        </w:rPr>
        <w:t xml:space="preserve"> rule on the </w:t>
      </w:r>
      <w:r w:rsidRPr="005A144C" w:rsidR="006D7E9B">
        <w:rPr>
          <w:rFonts w:ascii="Century Schoolbook" w:hAnsi="Century Schoolbook"/>
        </w:rPr>
        <w:t>parties’ dispute</w:t>
      </w:r>
      <w:r w:rsidRPr="005A144C" w:rsidR="00520E40">
        <w:rPr>
          <w:rFonts w:ascii="Century Schoolbook" w:hAnsi="Century Schoolbook"/>
        </w:rPr>
        <w:t xml:space="preserve"> regarding </w:t>
      </w:r>
      <w:r w:rsidRPr="005A144C" w:rsidR="00F37682">
        <w:rPr>
          <w:rFonts w:ascii="Century Schoolbook" w:hAnsi="Century Schoolbook"/>
        </w:rPr>
        <w:t xml:space="preserve">what </w:t>
      </w:r>
      <w:r w:rsidRPr="005A144C" w:rsidR="004A113C">
        <w:rPr>
          <w:rFonts w:ascii="Century Schoolbook" w:hAnsi="Century Schoolbook"/>
        </w:rPr>
        <w:t xml:space="preserve">issues </w:t>
      </w:r>
      <w:r w:rsidRPr="005A144C" w:rsidR="00E8582F">
        <w:rPr>
          <w:rFonts w:ascii="Century Schoolbook" w:hAnsi="Century Schoolbook"/>
        </w:rPr>
        <w:t>under</w:t>
      </w:r>
      <w:r w:rsidRPr="005A144C" w:rsidR="004A113C">
        <w:rPr>
          <w:rFonts w:ascii="Century Schoolbook" w:hAnsi="Century Schoolbook"/>
        </w:rPr>
        <w:t xml:space="preserve"> the FDCPA cause of action required a jury trial. </w:t>
      </w:r>
      <w:r w:rsidRPr="005A144C" w:rsidR="000F37E4">
        <w:rPr>
          <w:rFonts w:ascii="Century Schoolbook" w:hAnsi="Century Schoolbook"/>
        </w:rPr>
        <w:t xml:space="preserve"> </w:t>
      </w:r>
      <w:r w:rsidRPr="005A144C" w:rsidR="00775049">
        <w:rPr>
          <w:rFonts w:ascii="Century Schoolbook" w:hAnsi="Century Schoolbook"/>
        </w:rPr>
        <w:t xml:space="preserve">The </w:t>
      </w:r>
      <w:r w:rsidRPr="005A144C" w:rsidR="000D24EE">
        <w:rPr>
          <w:rFonts w:ascii="Century Schoolbook" w:hAnsi="Century Schoolbook"/>
        </w:rPr>
        <w:t xml:space="preserve">trial </w:t>
      </w:r>
      <w:r w:rsidRPr="005A144C" w:rsidR="00775049">
        <w:rPr>
          <w:rFonts w:ascii="Century Schoolbook" w:hAnsi="Century Schoolbook"/>
        </w:rPr>
        <w:t xml:space="preserve">court </w:t>
      </w:r>
      <w:r w:rsidRPr="005A144C" w:rsidR="00146012">
        <w:rPr>
          <w:rFonts w:ascii="Century Schoolbook" w:hAnsi="Century Schoolbook"/>
        </w:rPr>
        <w:t>stated</w:t>
      </w:r>
      <w:r w:rsidRPr="005A144C" w:rsidR="00775049">
        <w:rPr>
          <w:rFonts w:ascii="Century Schoolbook" w:hAnsi="Century Schoolbook"/>
        </w:rPr>
        <w:t xml:space="preserve"> it need not decide </w:t>
      </w:r>
      <w:r w:rsidR="001B579D">
        <w:rPr>
          <w:rFonts w:ascii="Century Schoolbook" w:hAnsi="Century Schoolbook"/>
        </w:rPr>
        <w:t>that</w:t>
      </w:r>
      <w:r w:rsidRPr="005A144C" w:rsidR="00775049">
        <w:rPr>
          <w:rFonts w:ascii="Century Schoolbook" w:hAnsi="Century Schoolbook"/>
        </w:rPr>
        <w:t xml:space="preserve"> now because </w:t>
      </w:r>
      <w:r w:rsidRPr="005A144C" w:rsidR="00C309E9">
        <w:rPr>
          <w:rFonts w:ascii="Century Schoolbook" w:hAnsi="Century Schoolbook"/>
        </w:rPr>
        <w:t xml:space="preserve">even </w:t>
      </w:r>
      <w:r w:rsidRPr="005A144C" w:rsidR="00775049">
        <w:rPr>
          <w:rFonts w:ascii="Century Schoolbook" w:hAnsi="Century Schoolbook"/>
        </w:rPr>
        <w:t xml:space="preserve">“assuming these are issues for the jury the Court would still decide to hear the UCL claim first.” </w:t>
      </w:r>
      <w:r w:rsidRPr="005A144C" w:rsidR="00526B08">
        <w:rPr>
          <w:rFonts w:ascii="Century Schoolbook" w:hAnsi="Century Schoolbook"/>
        </w:rPr>
        <w:t xml:space="preserve"> I</w:t>
      </w:r>
      <w:r w:rsidRPr="005A144C">
        <w:rPr>
          <w:rFonts w:ascii="Century Schoolbook" w:hAnsi="Century Schoolbook"/>
        </w:rPr>
        <w:t>n its</w:t>
      </w:r>
      <w:r w:rsidRPr="005A144C" w:rsidR="00526B08">
        <w:rPr>
          <w:rFonts w:ascii="Century Schoolbook" w:hAnsi="Century Schoolbook"/>
        </w:rPr>
        <w:t xml:space="preserve"> </w:t>
      </w:r>
      <w:r w:rsidRPr="005A144C">
        <w:rPr>
          <w:rFonts w:ascii="Century Schoolbook" w:hAnsi="Century Schoolbook"/>
        </w:rPr>
        <w:t>statement of decision</w:t>
      </w:r>
      <w:r w:rsidRPr="005A144C" w:rsidR="00526B08">
        <w:rPr>
          <w:rFonts w:ascii="Century Schoolbook" w:hAnsi="Century Schoolbook"/>
        </w:rPr>
        <w:t xml:space="preserve"> after trial</w:t>
      </w:r>
      <w:r w:rsidRPr="005A144C">
        <w:rPr>
          <w:rFonts w:ascii="Century Schoolbook" w:hAnsi="Century Schoolbook"/>
        </w:rPr>
        <w:t xml:space="preserve">, the court concluded that </w:t>
      </w:r>
      <w:r w:rsidRPr="005A144C" w:rsidR="00542F46">
        <w:rPr>
          <w:rFonts w:ascii="Century Schoolbook" w:hAnsi="Century Schoolbook"/>
        </w:rPr>
        <w:t>the bona fide error defense</w:t>
      </w:r>
      <w:r w:rsidR="002E22D7">
        <w:rPr>
          <w:rFonts w:ascii="Century Schoolbook" w:hAnsi="Century Schoolbook"/>
        </w:rPr>
        <w:t xml:space="preserve"> </w:t>
      </w:r>
      <w:r w:rsidRPr="002E22D7" w:rsidR="002E22D7">
        <w:rPr>
          <w:rFonts w:ascii="Century Schoolbook" w:hAnsi="Century Schoolbook"/>
        </w:rPr>
        <w:t>did not apply to Doskocz’s UCL cause of action and even if it did</w:t>
      </w:r>
      <w:r w:rsidRPr="005A144C" w:rsidR="005321D6">
        <w:rPr>
          <w:rFonts w:ascii="Century Schoolbook" w:hAnsi="Century Schoolbook"/>
        </w:rPr>
        <w:t xml:space="preserve">, </w:t>
      </w:r>
      <w:r w:rsidRPr="005A144C" w:rsidR="00542F46">
        <w:rPr>
          <w:rFonts w:ascii="Century Schoolbook" w:hAnsi="Century Schoolbook"/>
        </w:rPr>
        <w:t xml:space="preserve">“ALS did not act unintentionally, based on a bona fide error, and maintain procedures reasonably adapted to avoid the violation in using waivers of § 5655(a) in payment plans.” </w:t>
      </w:r>
    </w:p>
    <w:p w:rsidR="00D77561" w:rsidRPr="005A144C" w:rsidP="002E22D7" w14:paraId="3099916E" w14:textId="64695DB6">
      <w:pPr>
        <w:keepNext/>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2.</w:t>
      </w:r>
      <w:r w:rsidRPr="005A144C" w:rsidR="00EA4AFC">
        <w:rPr>
          <w:rFonts w:ascii="Century Schoolbook" w:hAnsi="Century Schoolbook"/>
          <w:b/>
          <w:bCs/>
        </w:rPr>
        <w:t xml:space="preserve"> </w:t>
      </w:r>
      <w:r w:rsidRPr="005A144C">
        <w:rPr>
          <w:rFonts w:ascii="Century Schoolbook" w:hAnsi="Century Schoolbook"/>
          <w:b/>
          <w:bCs/>
        </w:rPr>
        <w:t xml:space="preserve"> Analysis</w:t>
      </w:r>
    </w:p>
    <w:p w:rsidR="00D77561" w:rsidP="002E22D7" w14:paraId="6D119C93" w14:textId="03131B12">
      <w:pPr>
        <w:spacing w:line="360" w:lineRule="auto"/>
        <w:rPr>
          <w:rFonts w:ascii="Century Schoolbook" w:hAnsi="Century Schoolbook"/>
        </w:rPr>
      </w:pPr>
      <w:r w:rsidRPr="005A144C">
        <w:rPr>
          <w:rFonts w:ascii="Century Schoolbook" w:hAnsi="Century Schoolbook"/>
        </w:rPr>
        <w:tab/>
      </w:r>
      <w:r w:rsidRPr="005A144C" w:rsidR="001703DF">
        <w:rPr>
          <w:rFonts w:ascii="Century Schoolbook" w:hAnsi="Century Schoolbook"/>
        </w:rPr>
        <w:t xml:space="preserve">We review </w:t>
      </w:r>
      <w:r w:rsidRPr="005A144C" w:rsidR="007F2037">
        <w:rPr>
          <w:rFonts w:ascii="Century Schoolbook" w:hAnsi="Century Schoolbook"/>
        </w:rPr>
        <w:t>a</w:t>
      </w:r>
      <w:r w:rsidRPr="005A144C" w:rsidR="00E4050F">
        <w:rPr>
          <w:rFonts w:ascii="Century Schoolbook" w:hAnsi="Century Schoolbook"/>
        </w:rPr>
        <w:t xml:space="preserve"> trial court’s</w:t>
      </w:r>
      <w:r w:rsidRPr="005A144C" w:rsidR="001703DF">
        <w:rPr>
          <w:rFonts w:ascii="Century Schoolbook" w:hAnsi="Century Schoolbook"/>
        </w:rPr>
        <w:t xml:space="preserve"> decision to bifurcate </w:t>
      </w:r>
      <w:r w:rsidRPr="005A144C" w:rsidR="00E4050F">
        <w:rPr>
          <w:rFonts w:ascii="Century Schoolbook" w:hAnsi="Century Schoolbook"/>
        </w:rPr>
        <w:t>for</w:t>
      </w:r>
      <w:r w:rsidRPr="005A144C" w:rsidR="001703DF">
        <w:rPr>
          <w:rFonts w:ascii="Century Schoolbook" w:hAnsi="Century Schoolbook"/>
        </w:rPr>
        <w:t xml:space="preserve"> abuse of discretion.</w:t>
      </w:r>
      <w:r w:rsidRPr="005A144C" w:rsidR="00E4050F">
        <w:rPr>
          <w:rFonts w:ascii="Century Schoolbook" w:hAnsi="Century Schoolbook"/>
        </w:rPr>
        <w:t xml:space="preserve">  (</w:t>
      </w:r>
      <w:r w:rsidRPr="005A144C" w:rsidR="004E7849">
        <w:rPr>
          <w:rFonts w:ascii="Century Schoolbook" w:hAnsi="Century Schoolbook"/>
          <w:i/>
          <w:iCs/>
        </w:rPr>
        <w:t xml:space="preserve">Hoopes v. Dolan </w:t>
      </w:r>
      <w:r w:rsidRPr="005A144C" w:rsidR="004E7849">
        <w:rPr>
          <w:rFonts w:ascii="Century Schoolbook" w:hAnsi="Century Schoolbook"/>
        </w:rPr>
        <w:t>(2008) 168 Cal.App.4th 146, 16</w:t>
      </w:r>
      <w:r w:rsidRPr="005A144C" w:rsidR="00546B20">
        <w:rPr>
          <w:rFonts w:ascii="Century Schoolbook" w:hAnsi="Century Schoolbook"/>
        </w:rPr>
        <w:t>3.)</w:t>
      </w:r>
      <w:r w:rsidRPr="005A144C" w:rsidR="00B73834">
        <w:rPr>
          <w:rFonts w:ascii="Century Schoolbook" w:hAnsi="Century Schoolbook"/>
        </w:rPr>
        <w:t xml:space="preserve">  </w:t>
      </w:r>
      <w:r w:rsidRPr="005A144C" w:rsidR="00101CD9">
        <w:rPr>
          <w:rFonts w:ascii="Century Schoolbook" w:hAnsi="Century Schoolbook"/>
        </w:rPr>
        <w:t>While court</w:t>
      </w:r>
      <w:r w:rsidRPr="005A144C" w:rsidR="004C703C">
        <w:rPr>
          <w:rFonts w:ascii="Century Schoolbook" w:hAnsi="Century Schoolbook"/>
        </w:rPr>
        <w:t>s</w:t>
      </w:r>
      <w:r w:rsidRPr="005A144C" w:rsidR="00101CD9">
        <w:rPr>
          <w:rFonts w:ascii="Century Schoolbook" w:hAnsi="Century Schoolbook"/>
        </w:rPr>
        <w:t xml:space="preserve"> retain</w:t>
      </w:r>
      <w:r w:rsidRPr="005A144C" w:rsidR="004C703C">
        <w:rPr>
          <w:rFonts w:ascii="Century Schoolbook" w:hAnsi="Century Schoolbook"/>
        </w:rPr>
        <w:t xml:space="preserve"> broad</w:t>
      </w:r>
      <w:r w:rsidRPr="005A144C" w:rsidR="00101CD9">
        <w:rPr>
          <w:rFonts w:ascii="Century Schoolbook" w:hAnsi="Century Schoolbook"/>
        </w:rPr>
        <w:t xml:space="preserve"> discretion on </w:t>
      </w:r>
      <w:r w:rsidRPr="005A144C" w:rsidR="00A6716B">
        <w:rPr>
          <w:rFonts w:ascii="Century Schoolbook" w:hAnsi="Century Schoolbook"/>
        </w:rPr>
        <w:t xml:space="preserve">the </w:t>
      </w:r>
      <w:r w:rsidRPr="005A144C" w:rsidR="00101CD9">
        <w:rPr>
          <w:rFonts w:ascii="Century Schoolbook" w:hAnsi="Century Schoolbook"/>
        </w:rPr>
        <w:t>sequencing</w:t>
      </w:r>
      <w:r w:rsidRPr="005A144C" w:rsidR="0083745C">
        <w:rPr>
          <w:rFonts w:ascii="Century Schoolbook" w:hAnsi="Century Schoolbook"/>
        </w:rPr>
        <w:t xml:space="preserve"> of trial</w:t>
      </w:r>
      <w:r w:rsidRPr="005A144C" w:rsidR="00101CD9">
        <w:rPr>
          <w:rFonts w:ascii="Century Schoolbook" w:hAnsi="Century Schoolbook"/>
        </w:rPr>
        <w:t>,</w:t>
      </w:r>
      <w:r w:rsidRPr="005A144C" w:rsidR="00ED6B52">
        <w:rPr>
          <w:rFonts w:ascii="Century Schoolbook" w:hAnsi="Century Schoolbook"/>
        </w:rPr>
        <w:t xml:space="preserve"> </w:t>
      </w:r>
      <w:r w:rsidRPr="005A144C" w:rsidR="00471278">
        <w:rPr>
          <w:rFonts w:ascii="Century Schoolbook" w:hAnsi="Century Schoolbook"/>
        </w:rPr>
        <w:t>t</w:t>
      </w:r>
      <w:r w:rsidRPr="005A144C" w:rsidR="00B73834">
        <w:rPr>
          <w:rFonts w:ascii="Century Schoolbook" w:hAnsi="Century Schoolbook"/>
        </w:rPr>
        <w:t>his discretion is not unlimited</w:t>
      </w:r>
      <w:r w:rsidRPr="005A144C" w:rsidR="007E343D">
        <w:rPr>
          <w:rFonts w:ascii="Century Schoolbook" w:hAnsi="Century Schoolbook"/>
        </w:rPr>
        <w:t>.</w:t>
      </w:r>
      <w:r w:rsidRPr="005A144C" w:rsidR="00B73834">
        <w:rPr>
          <w:rFonts w:ascii="Century Schoolbook" w:hAnsi="Century Schoolbook"/>
        </w:rPr>
        <w:t xml:space="preserve"> </w:t>
      </w:r>
      <w:r w:rsidRPr="005A144C" w:rsidR="007E343D">
        <w:rPr>
          <w:rFonts w:ascii="Century Schoolbook" w:hAnsi="Century Schoolbook"/>
        </w:rPr>
        <w:t xml:space="preserve"> </w:t>
      </w:r>
      <w:r w:rsidRPr="005A144C" w:rsidR="00083019">
        <w:rPr>
          <w:rFonts w:ascii="Century Schoolbook" w:hAnsi="Century Schoolbook"/>
        </w:rPr>
        <w:t>(</w:t>
      </w:r>
      <w:r w:rsidRPr="005A144C" w:rsidR="005313FC">
        <w:rPr>
          <w:rFonts w:ascii="Century Schoolbook" w:hAnsi="Century Schoolbook"/>
          <w:i/>
          <w:iCs/>
        </w:rPr>
        <w:t>Ibid</w:t>
      </w:r>
      <w:r w:rsidRPr="005A144C" w:rsidR="00083019">
        <w:rPr>
          <w:rFonts w:ascii="Century Schoolbook" w:hAnsi="Century Schoolbook"/>
          <w:i/>
          <w:iCs/>
        </w:rPr>
        <w:t>.</w:t>
      </w:r>
      <w:r w:rsidRPr="005A144C" w:rsidR="00083019">
        <w:rPr>
          <w:rFonts w:ascii="Century Schoolbook" w:hAnsi="Century Schoolbook"/>
        </w:rPr>
        <w:t xml:space="preserve">)  </w:t>
      </w:r>
      <w:r w:rsidRPr="005A144C" w:rsidR="00B73834">
        <w:rPr>
          <w:rFonts w:ascii="Century Schoolbook" w:hAnsi="Century Schoolbook"/>
        </w:rPr>
        <w:t>“</w:t>
      </w:r>
      <w:r w:rsidRPr="005A144C" w:rsidR="003F27A3">
        <w:rPr>
          <w:rFonts w:ascii="Century Schoolbook" w:hAnsi="Century Schoolbook"/>
        </w:rPr>
        <w:t> </w:t>
      </w:r>
      <w:r w:rsidRPr="005A144C" w:rsidR="00B73834">
        <w:rPr>
          <w:rFonts w:ascii="Century Schoolbook" w:hAnsi="Century Schoolbook"/>
        </w:rPr>
        <w:t>‘The scope of discretion always resides in the particular law being applied</w:t>
      </w:r>
      <w:r w:rsidRPr="005A144C" w:rsidR="00984B6E">
        <w:rPr>
          <w:rFonts w:ascii="Century Schoolbook" w:hAnsi="Century Schoolbook"/>
        </w:rPr>
        <w:t>’</w:t>
      </w:r>
      <w:r w:rsidR="001B579D">
        <w:rPr>
          <w:rFonts w:ascii="Century Schoolbook" w:hAnsi="Century Schoolbook"/>
        </w:rPr>
        <w:t> </w:t>
      </w:r>
      <w:r w:rsidRPr="005A144C" w:rsidR="00984B6E">
        <w:rPr>
          <w:rFonts w:ascii="Century Schoolbook" w:hAnsi="Century Schoolbook"/>
        </w:rPr>
        <w:t>. . . .</w:t>
      </w:r>
      <w:r w:rsidRPr="005A144C" w:rsidR="00EA4AFC">
        <w:rPr>
          <w:rFonts w:ascii="Century Schoolbook" w:hAnsi="Century Schoolbook"/>
        </w:rPr>
        <w:t xml:space="preserve"> </w:t>
      </w:r>
      <w:r w:rsidRPr="005A144C" w:rsidR="00984B6E">
        <w:rPr>
          <w:rFonts w:ascii="Century Schoolbook" w:hAnsi="Century Schoolbook"/>
        </w:rPr>
        <w:t>‘</w:t>
      </w:r>
      <w:r w:rsidRPr="005A144C" w:rsidR="00B73834">
        <w:rPr>
          <w:rFonts w:ascii="Century Schoolbook" w:hAnsi="Century Schoolbook"/>
        </w:rPr>
        <w:t>Action that transgresses the confines of the applicable principles of law is outside the scope of discretion and we call such action an “abuse” of discretion.’</w:t>
      </w:r>
      <w:r w:rsidRPr="005A144C" w:rsidR="00EA4AFC">
        <w:rPr>
          <w:rFonts w:ascii="Century Schoolbook" w:hAnsi="Century Schoolbook"/>
        </w:rPr>
        <w:t> </w:t>
      </w:r>
      <w:r w:rsidRPr="005A144C" w:rsidR="00B73834">
        <w:rPr>
          <w:rFonts w:ascii="Century Schoolbook" w:hAnsi="Century Schoolbook"/>
        </w:rPr>
        <w:t xml:space="preserve">” </w:t>
      </w:r>
      <w:r w:rsidRPr="005A144C" w:rsidR="00984B6E">
        <w:rPr>
          <w:rFonts w:ascii="Century Schoolbook" w:hAnsi="Century Schoolbook"/>
        </w:rPr>
        <w:t xml:space="preserve"> </w:t>
      </w:r>
      <w:r w:rsidRPr="005A144C" w:rsidR="00B73834">
        <w:rPr>
          <w:rFonts w:ascii="Century Schoolbook" w:hAnsi="Century Schoolbook"/>
        </w:rPr>
        <w:t>(</w:t>
      </w:r>
      <w:r w:rsidRPr="005A144C" w:rsidR="00B73834">
        <w:rPr>
          <w:rFonts w:ascii="Century Schoolbook" w:hAnsi="Century Schoolbook"/>
          <w:i/>
          <w:iCs/>
        </w:rPr>
        <w:t xml:space="preserve">Horsford v. Board </w:t>
      </w:r>
      <w:r w:rsidRPr="005A144C" w:rsidR="00F54A22">
        <w:rPr>
          <w:rFonts w:ascii="Century Schoolbook" w:hAnsi="Century Schoolbook"/>
          <w:i/>
          <w:iCs/>
        </w:rPr>
        <w:t>of</w:t>
      </w:r>
      <w:r w:rsidRPr="005A144C" w:rsidR="00B73834">
        <w:rPr>
          <w:rFonts w:ascii="Century Schoolbook" w:hAnsi="Century Schoolbook"/>
          <w:i/>
          <w:iCs/>
        </w:rPr>
        <w:t xml:space="preserve"> Trustees </w:t>
      </w:r>
      <w:r w:rsidRPr="005A144C" w:rsidR="00F54A22">
        <w:rPr>
          <w:rFonts w:ascii="Century Schoolbook" w:hAnsi="Century Schoolbook"/>
          <w:i/>
          <w:iCs/>
        </w:rPr>
        <w:t>of</w:t>
      </w:r>
      <w:r w:rsidRPr="005A144C" w:rsidR="00B73834">
        <w:rPr>
          <w:rFonts w:ascii="Century Schoolbook" w:hAnsi="Century Schoolbook"/>
          <w:i/>
          <w:iCs/>
        </w:rPr>
        <w:t xml:space="preserve"> California</w:t>
      </w:r>
      <w:r w:rsidRPr="005A144C" w:rsidR="00B73834">
        <w:rPr>
          <w:rFonts w:ascii="Century Schoolbook" w:hAnsi="Century Schoolbook"/>
        </w:rPr>
        <w:t xml:space="preserve"> </w:t>
      </w:r>
      <w:r w:rsidRPr="005A144C" w:rsidR="00B73834">
        <w:rPr>
          <w:rFonts w:ascii="Century Schoolbook" w:hAnsi="Century Schoolbook"/>
          <w:i/>
          <w:iCs/>
        </w:rPr>
        <w:t>State University</w:t>
      </w:r>
      <w:r w:rsidRPr="005A144C" w:rsidR="00B73834">
        <w:rPr>
          <w:rFonts w:ascii="Century Schoolbook" w:hAnsi="Century Schoolbook"/>
        </w:rPr>
        <w:t xml:space="preserve"> (2005) 132 Cal.App.4th 359, 393.)</w:t>
      </w:r>
      <w:r w:rsidRPr="005A144C" w:rsidR="00B64F39">
        <w:rPr>
          <w:rFonts w:ascii="Century Schoolbook" w:hAnsi="Century Schoolbook"/>
        </w:rPr>
        <w:t xml:space="preserve">  ALS bears the burden to show the trial court abused its discretion</w:t>
      </w:r>
      <w:r w:rsidRPr="005A144C" w:rsidR="006C1FB6">
        <w:rPr>
          <w:rFonts w:ascii="Century Schoolbook" w:hAnsi="Century Schoolbook"/>
        </w:rPr>
        <w:t xml:space="preserve"> here</w:t>
      </w:r>
      <w:r w:rsidRPr="005A144C" w:rsidR="00B64F39">
        <w:rPr>
          <w:rFonts w:ascii="Century Schoolbook" w:hAnsi="Century Schoolbook"/>
        </w:rPr>
        <w:t>.</w:t>
      </w:r>
      <w:r w:rsidRPr="005A144C" w:rsidR="006A27CD">
        <w:rPr>
          <w:rFonts w:ascii="Century Schoolbook" w:hAnsi="Century Schoolbook"/>
        </w:rPr>
        <w:t xml:space="preserve">  (</w:t>
      </w:r>
      <w:r w:rsidRPr="005A144C" w:rsidR="00C07DEC">
        <w:rPr>
          <w:rFonts w:ascii="Century Schoolbook" w:hAnsi="Century Schoolbook"/>
          <w:i/>
          <w:iCs/>
        </w:rPr>
        <w:t>Property California SCJLW One Corp. v. Leamy</w:t>
      </w:r>
      <w:r w:rsidRPr="005A144C" w:rsidR="00C07DEC">
        <w:rPr>
          <w:rFonts w:ascii="Century Schoolbook" w:hAnsi="Century Schoolbook"/>
        </w:rPr>
        <w:t xml:space="preserve"> (2018) 25 Cal.App.5th 1155, 1163</w:t>
      </w:r>
      <w:r w:rsidRPr="005A144C" w:rsidR="006A27CD">
        <w:rPr>
          <w:rFonts w:ascii="Century Schoolbook" w:hAnsi="Century Schoolbook"/>
        </w:rPr>
        <w:t xml:space="preserve">.)  </w:t>
      </w:r>
    </w:p>
    <w:p w:rsidR="00A732F5" w:rsidRPr="005A144C" w:rsidP="002E22D7" w14:paraId="3783206E" w14:textId="0DBD0922">
      <w:pPr>
        <w:spacing w:line="360" w:lineRule="auto"/>
        <w:rPr>
          <w:rFonts w:ascii="Century Schoolbook" w:hAnsi="Century Schoolbook"/>
        </w:rPr>
      </w:pPr>
      <w:r>
        <w:rPr>
          <w:rFonts w:ascii="Century Schoolbook" w:hAnsi="Century Schoolbook"/>
        </w:rPr>
        <w:tab/>
      </w:r>
      <w:r w:rsidRPr="002E22D7">
        <w:rPr>
          <w:rFonts w:ascii="Century Schoolbook" w:hAnsi="Century Schoolbook"/>
        </w:rPr>
        <w:t>To satisfy this burden, ALS repeats its argument that the motion to bifurcate “completely ignored the fact that in order to establish a claim under the UCL, [Doskocz] would need to establish a violation of the FDCPA as the predicate statute for finding a violation of the UCL” and that ALS was entitled to a jury trial on the issue of liability under the FDCPA.  ALS contends that the trial court’s ruling is “inherently contradictory” because it acknowledged that issues of liability under the FDCPA would be encompassed in the UCL cause of action but</w:t>
      </w:r>
      <w:r w:rsidRPr="005A144C" w:rsidR="00E50AB8">
        <w:rPr>
          <w:rFonts w:ascii="Century Schoolbook" w:hAnsi="Century Schoolbook"/>
        </w:rPr>
        <w:t xml:space="preserve"> </w:t>
      </w:r>
      <w:r w:rsidRPr="005A144C" w:rsidR="008B2F15">
        <w:rPr>
          <w:rFonts w:ascii="Century Schoolbook" w:hAnsi="Century Schoolbook"/>
        </w:rPr>
        <w:t>“</w:t>
      </w:r>
      <w:r w:rsidRPr="005A144C" w:rsidR="00206A18">
        <w:rPr>
          <w:rFonts w:ascii="Century Schoolbook" w:hAnsi="Century Schoolbook"/>
          <w:i/>
          <w:iCs/>
        </w:rPr>
        <w:t>assumed</w:t>
      </w:r>
      <w:r w:rsidRPr="005A144C" w:rsidR="008B2F15">
        <w:rPr>
          <w:rFonts w:ascii="Century Schoolbook" w:hAnsi="Century Schoolbook"/>
        </w:rPr>
        <w:t>, rightly or wrongly,” that</w:t>
      </w:r>
      <w:r w:rsidRPr="005A144C" w:rsidR="00206A18">
        <w:rPr>
          <w:rFonts w:ascii="Century Schoolbook" w:hAnsi="Century Schoolbook"/>
        </w:rPr>
        <w:t xml:space="preserve"> ALS had some right to </w:t>
      </w:r>
      <w:r w:rsidRPr="005A144C" w:rsidR="00EC4A63">
        <w:rPr>
          <w:rFonts w:ascii="Century Schoolbook" w:hAnsi="Century Schoolbook"/>
        </w:rPr>
        <w:t xml:space="preserve">a </w:t>
      </w:r>
      <w:r w:rsidRPr="005A144C" w:rsidR="00206A18">
        <w:rPr>
          <w:rFonts w:ascii="Century Schoolbook" w:hAnsi="Century Schoolbook"/>
        </w:rPr>
        <w:t>jury trial on the FDCPA cause of action.</w:t>
      </w:r>
      <w:r w:rsidRPr="005A144C" w:rsidR="009134FA">
        <w:rPr>
          <w:rFonts w:ascii="Century Schoolbook" w:hAnsi="Century Schoolbook"/>
        </w:rPr>
        <w:t xml:space="preserve"> </w:t>
      </w:r>
    </w:p>
    <w:p w:rsidR="00A13668" w:rsidRPr="005A144C" w:rsidP="002E22D7" w14:paraId="4E047F62" w14:textId="62F17A79">
      <w:pPr>
        <w:spacing w:line="360" w:lineRule="auto"/>
        <w:rPr>
          <w:rFonts w:ascii="Century Schoolbook" w:hAnsi="Century Schoolbook"/>
        </w:rPr>
      </w:pPr>
      <w:r w:rsidRPr="005A144C">
        <w:rPr>
          <w:rFonts w:ascii="Century Schoolbook" w:hAnsi="Century Schoolbook"/>
        </w:rPr>
        <w:tab/>
      </w:r>
      <w:r w:rsidRPr="005A144C" w:rsidR="00B638B5">
        <w:rPr>
          <w:rFonts w:ascii="Century Schoolbook" w:hAnsi="Century Schoolbook"/>
        </w:rPr>
        <w:t xml:space="preserve">We </w:t>
      </w:r>
      <w:r w:rsidRPr="005A144C" w:rsidR="00AF6C7B">
        <w:rPr>
          <w:rFonts w:ascii="Century Schoolbook" w:hAnsi="Century Schoolbook"/>
        </w:rPr>
        <w:t>begin with the principle that</w:t>
      </w:r>
      <w:r w:rsidRPr="005A144C" w:rsidR="002A7823">
        <w:rPr>
          <w:rFonts w:ascii="Century Schoolbook" w:hAnsi="Century Schoolbook"/>
        </w:rPr>
        <w:t xml:space="preserve"> the right to a jury trial </w:t>
      </w:r>
      <w:r w:rsidRPr="005A144C" w:rsidR="007D5848">
        <w:rPr>
          <w:rFonts w:ascii="Century Schoolbook" w:hAnsi="Century Schoolbook"/>
        </w:rPr>
        <w:t>in</w:t>
      </w:r>
      <w:r w:rsidRPr="005A144C" w:rsidR="002A7823">
        <w:rPr>
          <w:rFonts w:ascii="Century Schoolbook" w:hAnsi="Century Schoolbook"/>
        </w:rPr>
        <w:t xml:space="preserve"> civil </w:t>
      </w:r>
      <w:r w:rsidRPr="005A144C" w:rsidR="007D5848">
        <w:rPr>
          <w:rFonts w:ascii="Century Schoolbook" w:hAnsi="Century Schoolbook"/>
        </w:rPr>
        <w:t>cases</w:t>
      </w:r>
      <w:r w:rsidRPr="005A144C" w:rsidR="002A7823">
        <w:rPr>
          <w:rFonts w:ascii="Century Schoolbook" w:hAnsi="Century Schoolbook"/>
        </w:rPr>
        <w:t xml:space="preserve"> is generally limited to legal causes of action</w:t>
      </w:r>
      <w:r w:rsidRPr="005A144C" w:rsidR="007D5848">
        <w:rPr>
          <w:rFonts w:ascii="Century Schoolbook" w:hAnsi="Century Schoolbook"/>
        </w:rPr>
        <w:t>, not equitable ones</w:t>
      </w:r>
      <w:r w:rsidRPr="005A144C" w:rsidR="002A7823">
        <w:rPr>
          <w:rFonts w:ascii="Century Schoolbook" w:hAnsi="Century Schoolbook"/>
        </w:rPr>
        <w:t>.</w:t>
      </w:r>
      <w:r w:rsidRPr="005A144C" w:rsidR="00AF6C7B">
        <w:rPr>
          <w:rFonts w:ascii="Century Schoolbook" w:hAnsi="Century Schoolbook"/>
        </w:rPr>
        <w:t xml:space="preserve"> </w:t>
      </w:r>
      <w:r w:rsidRPr="005A144C" w:rsidR="002A7823">
        <w:rPr>
          <w:rFonts w:ascii="Century Schoolbook" w:hAnsi="Century Schoolbook"/>
        </w:rPr>
        <w:t xml:space="preserve"> </w:t>
      </w:r>
      <w:r w:rsidRPr="005A144C" w:rsidR="00AF6C7B">
        <w:rPr>
          <w:rFonts w:ascii="Century Schoolbook" w:hAnsi="Century Schoolbook"/>
        </w:rPr>
        <w:t>(</w:t>
      </w:r>
      <w:r w:rsidRPr="005A144C" w:rsidR="00AF6C7B">
        <w:rPr>
          <w:rFonts w:ascii="Century Schoolbook" w:hAnsi="Century Schoolbook"/>
          <w:i/>
          <w:iCs/>
        </w:rPr>
        <w:t>Hoopes v. Dolan</w:t>
      </w:r>
      <w:r w:rsidRPr="005A144C" w:rsidR="00AF6C7B">
        <w:rPr>
          <w:rFonts w:ascii="Century Schoolbook" w:hAnsi="Century Schoolbook"/>
        </w:rPr>
        <w:t xml:space="preserve">, </w:t>
      </w:r>
      <w:r w:rsidRPr="005A144C" w:rsidR="00AF6C7B">
        <w:rPr>
          <w:rFonts w:ascii="Century Schoolbook" w:hAnsi="Century Schoolbook"/>
          <w:i/>
          <w:iCs/>
        </w:rPr>
        <w:t>supra</w:t>
      </w:r>
      <w:r w:rsidRPr="005A144C" w:rsidR="00AF6C7B">
        <w:rPr>
          <w:rFonts w:ascii="Century Schoolbook" w:hAnsi="Century Schoolbook"/>
        </w:rPr>
        <w:t>, 168 Cal.App.4th at p. 155</w:t>
      </w:r>
      <w:r w:rsidRPr="005A144C" w:rsidR="002A7823">
        <w:rPr>
          <w:rFonts w:ascii="Century Schoolbook" w:hAnsi="Century Schoolbook"/>
        </w:rPr>
        <w:t>.</w:t>
      </w:r>
      <w:r w:rsidRPr="005A144C" w:rsidR="00AF6C7B">
        <w:rPr>
          <w:rFonts w:ascii="Century Schoolbook" w:hAnsi="Century Schoolbook"/>
        </w:rPr>
        <w:t>)</w:t>
      </w:r>
      <w:r w:rsidRPr="005A144C" w:rsidR="007D5848">
        <w:rPr>
          <w:rFonts w:ascii="Century Schoolbook" w:hAnsi="Century Schoolbook"/>
        </w:rPr>
        <w:t xml:space="preserve">  “Over the more than 80-year history of the UCL, scores of decisions of both this court and the Courts of Appeal have uniformly recognized that the cause of action established by this statute is equitable in nature.”  (</w:t>
      </w:r>
      <w:r w:rsidRPr="005A144C" w:rsidR="007D5848">
        <w:rPr>
          <w:rFonts w:ascii="Century Schoolbook" w:hAnsi="Century Schoolbook"/>
          <w:i/>
          <w:iCs/>
        </w:rPr>
        <w:t xml:space="preserve">Nationwide Biweekly Administration, Inc. v. Superior Court </w:t>
      </w:r>
      <w:r w:rsidRPr="005A144C" w:rsidR="007D5848">
        <w:rPr>
          <w:rFonts w:ascii="Century Schoolbook" w:hAnsi="Century Schoolbook"/>
        </w:rPr>
        <w:t xml:space="preserve">(2020) 9 Cal.5th 279, 301.)  </w:t>
      </w:r>
      <w:r w:rsidRPr="005A144C" w:rsidR="00F30FB3">
        <w:rPr>
          <w:rFonts w:ascii="Century Schoolbook" w:hAnsi="Century Schoolbook"/>
        </w:rPr>
        <w:t>The California Supreme Court has made clear that “there is no right to a jury trial in a cause of action under the UCL.”  (</w:t>
      </w:r>
      <w:r w:rsidRPr="005A144C" w:rsidR="00F30FB3">
        <w:rPr>
          <w:rFonts w:ascii="Century Schoolbook" w:hAnsi="Century Schoolbook"/>
          <w:i/>
          <w:iCs/>
        </w:rPr>
        <w:t>Id</w:t>
      </w:r>
      <w:r w:rsidRPr="005A144C" w:rsidR="00F30FB3">
        <w:rPr>
          <w:rFonts w:ascii="Century Schoolbook" w:hAnsi="Century Schoolbook"/>
        </w:rPr>
        <w:t xml:space="preserve">. at p. 327.)  </w:t>
      </w:r>
      <w:r w:rsidRPr="005A144C" w:rsidR="00702C5B">
        <w:rPr>
          <w:rFonts w:ascii="Century Schoolbook" w:hAnsi="Century Schoolbook"/>
          <w:iCs/>
        </w:rPr>
        <w:t xml:space="preserve">Courts have </w:t>
      </w:r>
      <w:r w:rsidRPr="005A144C" w:rsidR="00CA7707">
        <w:rPr>
          <w:rFonts w:ascii="Century Schoolbook" w:hAnsi="Century Schoolbook"/>
          <w:iCs/>
        </w:rPr>
        <w:t xml:space="preserve">declined to depart from this rule </w:t>
      </w:r>
      <w:r w:rsidRPr="005A144C" w:rsidR="00702C5B">
        <w:rPr>
          <w:rFonts w:ascii="Century Schoolbook" w:hAnsi="Century Schoolbook"/>
          <w:iCs/>
        </w:rPr>
        <w:t>whe</w:t>
      </w:r>
      <w:r w:rsidRPr="005A144C" w:rsidR="00E7663B">
        <w:rPr>
          <w:rFonts w:ascii="Century Schoolbook" w:hAnsi="Century Schoolbook"/>
          <w:iCs/>
        </w:rPr>
        <w:t>re</w:t>
      </w:r>
      <w:r w:rsidRPr="005A144C" w:rsidR="00702C5B">
        <w:rPr>
          <w:rFonts w:ascii="Century Schoolbook" w:hAnsi="Century Schoolbook"/>
          <w:iCs/>
        </w:rPr>
        <w:t xml:space="preserve"> </w:t>
      </w:r>
      <w:r w:rsidRPr="005A144C" w:rsidR="00383869">
        <w:rPr>
          <w:rFonts w:ascii="Century Schoolbook" w:hAnsi="Century Schoolbook"/>
          <w:iCs/>
        </w:rPr>
        <w:t xml:space="preserve">a defendant </w:t>
      </w:r>
      <w:r w:rsidRPr="005A144C" w:rsidR="00EF3C75">
        <w:rPr>
          <w:rFonts w:ascii="Century Schoolbook" w:hAnsi="Century Schoolbook"/>
          <w:iCs/>
        </w:rPr>
        <w:t xml:space="preserve">raises the argument ALS makes here:  </w:t>
      </w:r>
      <w:r w:rsidRPr="005A144C" w:rsidR="00383869">
        <w:rPr>
          <w:rFonts w:ascii="Century Schoolbook" w:hAnsi="Century Schoolbook"/>
          <w:iCs/>
        </w:rPr>
        <w:t xml:space="preserve">that </w:t>
      </w:r>
      <w:r w:rsidRPr="005A144C" w:rsidR="00702C5B">
        <w:rPr>
          <w:rFonts w:ascii="Century Schoolbook" w:hAnsi="Century Schoolbook"/>
          <w:iCs/>
        </w:rPr>
        <w:t xml:space="preserve">the </w:t>
      </w:r>
      <w:r w:rsidRPr="005A144C" w:rsidR="00702C5B">
        <w:rPr>
          <w:rFonts w:ascii="Century Schoolbook" w:hAnsi="Century Schoolbook"/>
        </w:rPr>
        <w:t xml:space="preserve">predicate </w:t>
      </w:r>
      <w:r w:rsidRPr="005A144C" w:rsidR="00CB0A0E">
        <w:rPr>
          <w:rFonts w:ascii="Century Schoolbook" w:hAnsi="Century Schoolbook"/>
        </w:rPr>
        <w:t>law</w:t>
      </w:r>
      <w:r w:rsidRPr="005A144C" w:rsidR="00702C5B">
        <w:rPr>
          <w:rFonts w:ascii="Century Schoolbook" w:hAnsi="Century Schoolbook"/>
        </w:rPr>
        <w:t xml:space="preserve"> for </w:t>
      </w:r>
      <w:r w:rsidRPr="005A144C" w:rsidR="00D80E5E">
        <w:rPr>
          <w:rFonts w:ascii="Century Schoolbook" w:hAnsi="Century Schoolbook"/>
        </w:rPr>
        <w:t>establishing a</w:t>
      </w:r>
      <w:r w:rsidRPr="005A144C" w:rsidR="00702C5B">
        <w:rPr>
          <w:rFonts w:ascii="Century Schoolbook" w:hAnsi="Century Schoolbook"/>
        </w:rPr>
        <w:t xml:space="preserve"> UCL </w:t>
      </w:r>
      <w:r w:rsidRPr="005A144C" w:rsidR="00D80E5E">
        <w:rPr>
          <w:rFonts w:ascii="Century Schoolbook" w:hAnsi="Century Schoolbook"/>
        </w:rPr>
        <w:t xml:space="preserve">cause of action </w:t>
      </w:r>
      <w:r w:rsidRPr="005A144C" w:rsidR="00E973FD">
        <w:rPr>
          <w:rFonts w:ascii="Century Schoolbook" w:hAnsi="Century Schoolbook"/>
          <w:iCs/>
        </w:rPr>
        <w:t xml:space="preserve">for unlawful business practices </w:t>
      </w:r>
      <w:r w:rsidRPr="005A144C" w:rsidR="00CA7707">
        <w:rPr>
          <w:rFonts w:ascii="Century Schoolbook" w:hAnsi="Century Schoolbook"/>
          <w:iCs/>
        </w:rPr>
        <w:t xml:space="preserve">entitles it </w:t>
      </w:r>
      <w:r w:rsidRPr="005A144C" w:rsidR="00CD3357">
        <w:rPr>
          <w:rFonts w:ascii="Century Schoolbook" w:hAnsi="Century Schoolbook"/>
        </w:rPr>
        <w:t>to a jury trial</w:t>
      </w:r>
      <w:r w:rsidRPr="005A144C" w:rsidR="00A17D0C">
        <w:rPr>
          <w:rFonts w:ascii="Century Schoolbook" w:hAnsi="Century Schoolbook"/>
          <w:iCs/>
        </w:rPr>
        <w:t xml:space="preserve">.  </w:t>
      </w:r>
    </w:p>
    <w:p w:rsidR="00DC5FE7" w:rsidRPr="005A144C" w:rsidP="002E22D7" w14:paraId="721C9C33" w14:textId="53CC8AA2">
      <w:pPr>
        <w:spacing w:line="360" w:lineRule="auto"/>
        <w:rPr>
          <w:rFonts w:ascii="Century Schoolbook" w:hAnsi="Century Schoolbook"/>
          <w:iCs/>
        </w:rPr>
      </w:pPr>
      <w:r w:rsidRPr="005A144C">
        <w:rPr>
          <w:rFonts w:ascii="Century Schoolbook" w:hAnsi="Century Schoolbook"/>
          <w:iCs/>
        </w:rPr>
        <w:tab/>
      </w:r>
      <w:r w:rsidRPr="005A144C" w:rsidR="00A17D0C">
        <w:rPr>
          <w:rFonts w:ascii="Century Schoolbook" w:hAnsi="Century Schoolbook"/>
          <w:iCs/>
        </w:rPr>
        <w:t xml:space="preserve">In </w:t>
      </w:r>
      <w:r w:rsidRPr="005A144C" w:rsidR="00A17D0C">
        <w:rPr>
          <w:rFonts w:ascii="Century Schoolbook" w:hAnsi="Century Schoolbook"/>
          <w:i/>
        </w:rPr>
        <w:t xml:space="preserve">Hodge v. Superior Court </w:t>
      </w:r>
      <w:r w:rsidRPr="005A144C" w:rsidR="00A17D0C">
        <w:rPr>
          <w:rFonts w:ascii="Century Schoolbook" w:hAnsi="Century Schoolbook"/>
          <w:iCs/>
        </w:rPr>
        <w:t>(2006) 145 Cal.App.4th 278</w:t>
      </w:r>
      <w:r w:rsidRPr="005A144C">
        <w:rPr>
          <w:rFonts w:ascii="Century Schoolbook" w:hAnsi="Century Schoolbook"/>
          <w:iCs/>
        </w:rPr>
        <w:t xml:space="preserve"> (</w:t>
      </w:r>
      <w:r w:rsidRPr="005A144C">
        <w:rPr>
          <w:rFonts w:ascii="Century Schoolbook" w:hAnsi="Century Schoolbook"/>
          <w:i/>
        </w:rPr>
        <w:t>Hodge</w:t>
      </w:r>
      <w:r w:rsidRPr="005A144C">
        <w:rPr>
          <w:rFonts w:ascii="Century Schoolbook" w:hAnsi="Century Schoolbook"/>
          <w:iCs/>
        </w:rPr>
        <w:t>)</w:t>
      </w:r>
      <w:r w:rsidRPr="005A144C" w:rsidR="00A17D0C">
        <w:rPr>
          <w:rFonts w:ascii="Century Schoolbook" w:hAnsi="Century Schoolbook"/>
          <w:iCs/>
        </w:rPr>
        <w:t xml:space="preserve">, for example, </w:t>
      </w:r>
      <w:r w:rsidRPr="005A144C" w:rsidR="00D80E5E">
        <w:rPr>
          <w:rFonts w:ascii="Century Schoolbook" w:hAnsi="Century Schoolbook"/>
          <w:iCs/>
        </w:rPr>
        <w:t>employees asserted a UCL cause of action</w:t>
      </w:r>
      <w:r w:rsidRPr="005A144C" w:rsidR="00E973FD">
        <w:rPr>
          <w:rFonts w:ascii="Century Schoolbook" w:hAnsi="Century Schoolbook"/>
          <w:iCs/>
        </w:rPr>
        <w:t xml:space="preserve"> </w:t>
      </w:r>
      <w:r w:rsidRPr="005A144C" w:rsidR="00D80E5E">
        <w:rPr>
          <w:rFonts w:ascii="Century Schoolbook" w:hAnsi="Century Schoolbook"/>
          <w:iCs/>
        </w:rPr>
        <w:t xml:space="preserve">premised on violations of </w:t>
      </w:r>
      <w:r w:rsidRPr="005A144C" w:rsidR="00CA353A">
        <w:rPr>
          <w:rFonts w:ascii="Century Schoolbook" w:hAnsi="Century Schoolbook"/>
          <w:iCs/>
        </w:rPr>
        <w:t xml:space="preserve">the </w:t>
      </w:r>
      <w:r w:rsidRPr="005A144C" w:rsidR="00D80E5E">
        <w:rPr>
          <w:rFonts w:ascii="Century Schoolbook" w:hAnsi="Century Schoolbook"/>
          <w:iCs/>
        </w:rPr>
        <w:t>Labor Code regarding overtime wages.  (</w:t>
      </w:r>
      <w:r w:rsidRPr="005A144C" w:rsidR="009A6F32">
        <w:rPr>
          <w:rFonts w:ascii="Century Schoolbook" w:hAnsi="Century Schoolbook"/>
          <w:i/>
        </w:rPr>
        <w:t>Hodge</w:t>
      </w:r>
      <w:r w:rsidRPr="005A144C" w:rsidR="009A6F32">
        <w:rPr>
          <w:rFonts w:ascii="Century Schoolbook" w:hAnsi="Century Schoolbook"/>
          <w:iCs/>
        </w:rPr>
        <w:t>,</w:t>
      </w:r>
      <w:r w:rsidRPr="005A144C" w:rsidR="00D80E5E">
        <w:rPr>
          <w:rFonts w:ascii="Century Schoolbook" w:hAnsi="Century Schoolbook"/>
          <w:iCs/>
        </w:rPr>
        <w:t xml:space="preserve"> at p. 282.)</w:t>
      </w:r>
      <w:r w:rsidRPr="005A144C" w:rsidR="00E973FD">
        <w:rPr>
          <w:rFonts w:ascii="Century Schoolbook" w:hAnsi="Century Schoolbook"/>
          <w:iCs/>
        </w:rPr>
        <w:t xml:space="preserve">  The employer </w:t>
      </w:r>
      <w:r w:rsidRPr="005A144C" w:rsidR="00EC5D43">
        <w:rPr>
          <w:rFonts w:ascii="Century Schoolbook" w:hAnsi="Century Schoolbook"/>
          <w:iCs/>
        </w:rPr>
        <w:t xml:space="preserve">contended </w:t>
      </w:r>
      <w:r w:rsidRPr="005A144C" w:rsidR="00E973FD">
        <w:rPr>
          <w:rFonts w:ascii="Century Schoolbook" w:hAnsi="Century Schoolbook"/>
          <w:iCs/>
        </w:rPr>
        <w:t xml:space="preserve">it was entitled to a jury trial because the </w:t>
      </w:r>
      <w:r w:rsidRPr="005A144C" w:rsidR="00D47BDA">
        <w:rPr>
          <w:rFonts w:ascii="Century Schoolbook" w:hAnsi="Century Schoolbook"/>
          <w:iCs/>
        </w:rPr>
        <w:t xml:space="preserve">cause of </w:t>
      </w:r>
      <w:r w:rsidRPr="005A144C" w:rsidR="00E973FD">
        <w:rPr>
          <w:rFonts w:ascii="Century Schoolbook" w:hAnsi="Century Schoolbook"/>
          <w:iCs/>
        </w:rPr>
        <w:t>action was predicated on a legal question</w:t>
      </w:r>
      <w:r w:rsidRPr="005A144C" w:rsidR="00034B88">
        <w:rPr>
          <w:rFonts w:ascii="Century Schoolbook" w:hAnsi="Century Schoolbook"/>
          <w:iCs/>
        </w:rPr>
        <w:t xml:space="preserve"> regarding </w:t>
      </w:r>
      <w:r w:rsidRPr="005A144C" w:rsidR="00CA7707">
        <w:rPr>
          <w:rFonts w:ascii="Century Schoolbook" w:hAnsi="Century Schoolbook"/>
          <w:iCs/>
        </w:rPr>
        <w:t xml:space="preserve">a </w:t>
      </w:r>
      <w:r w:rsidRPr="005A144C" w:rsidR="00034B88">
        <w:rPr>
          <w:rFonts w:ascii="Century Schoolbook" w:hAnsi="Century Schoolbook"/>
          <w:iCs/>
        </w:rPr>
        <w:t>breach of contract</w:t>
      </w:r>
      <w:r w:rsidRPr="005A144C" w:rsidR="00E973FD">
        <w:rPr>
          <w:rFonts w:ascii="Century Schoolbook" w:hAnsi="Century Schoolbook"/>
          <w:iCs/>
        </w:rPr>
        <w:t xml:space="preserve"> and its affirmative defense required adjudication of legal claims.  (</w:t>
      </w:r>
      <w:r w:rsidRPr="005A144C" w:rsidR="00E973FD">
        <w:rPr>
          <w:rFonts w:ascii="Century Schoolbook" w:hAnsi="Century Schoolbook"/>
          <w:i/>
        </w:rPr>
        <w:t>Id.</w:t>
      </w:r>
      <w:r w:rsidRPr="005A144C" w:rsidR="00E973FD">
        <w:rPr>
          <w:rFonts w:ascii="Century Schoolbook" w:hAnsi="Century Schoolbook"/>
          <w:iCs/>
        </w:rPr>
        <w:t xml:space="preserve"> at pp. 283–284.)  </w:t>
      </w:r>
      <w:r w:rsidRPr="005A144C" w:rsidR="00E973FD">
        <w:rPr>
          <w:rFonts w:ascii="Century Schoolbook" w:hAnsi="Century Schoolbook"/>
          <w:i/>
        </w:rPr>
        <w:t>Hodge</w:t>
      </w:r>
      <w:r w:rsidRPr="005A144C" w:rsidR="00E973FD">
        <w:rPr>
          <w:rFonts w:ascii="Century Schoolbook" w:hAnsi="Century Schoolbook"/>
          <w:iCs/>
        </w:rPr>
        <w:t xml:space="preserve"> </w:t>
      </w:r>
      <w:r w:rsidRPr="005A144C" w:rsidR="006A12B9">
        <w:rPr>
          <w:rFonts w:ascii="Century Schoolbook" w:hAnsi="Century Schoolbook"/>
          <w:iCs/>
        </w:rPr>
        <w:t xml:space="preserve">reasoned that “[a]lthough the unlawful prong of the UCL borrows from other laws, it is not a substitute for those laws.”  </w:t>
      </w:r>
      <w:r w:rsidRPr="005A144C">
        <w:rPr>
          <w:rFonts w:ascii="Century Schoolbook" w:hAnsi="Century Schoolbook"/>
          <w:iCs/>
        </w:rPr>
        <w:t>(</w:t>
      </w:r>
      <w:r w:rsidRPr="005A144C">
        <w:rPr>
          <w:rFonts w:ascii="Century Schoolbook" w:hAnsi="Century Schoolbook"/>
          <w:i/>
        </w:rPr>
        <w:t>Hodge</w:t>
      </w:r>
      <w:r w:rsidRPr="005A144C">
        <w:rPr>
          <w:rFonts w:ascii="Century Schoolbook" w:hAnsi="Century Schoolbook"/>
          <w:iCs/>
        </w:rPr>
        <w:t>, at p.</w:t>
      </w:r>
      <w:r w:rsidRPr="005A144C" w:rsidR="001C1822">
        <w:rPr>
          <w:rFonts w:ascii="Century Schoolbook" w:hAnsi="Century Schoolbook"/>
          <w:iCs/>
        </w:rPr>
        <w:t> </w:t>
      </w:r>
      <w:r w:rsidRPr="005A144C">
        <w:rPr>
          <w:rFonts w:ascii="Century Schoolbook" w:hAnsi="Century Schoolbook"/>
          <w:iCs/>
        </w:rPr>
        <w:t xml:space="preserve">284.)  </w:t>
      </w:r>
      <w:r w:rsidRPr="005A144C" w:rsidR="00B5201E">
        <w:rPr>
          <w:rFonts w:ascii="Century Schoolbook" w:hAnsi="Century Schoolbook"/>
          <w:iCs/>
        </w:rPr>
        <w:t>The UCL</w:t>
      </w:r>
      <w:r w:rsidRPr="005A144C" w:rsidR="006A12B9">
        <w:rPr>
          <w:rFonts w:ascii="Century Schoolbook" w:hAnsi="Century Schoolbook"/>
          <w:iCs/>
        </w:rPr>
        <w:t xml:space="preserve"> makes this explicit: </w:t>
      </w:r>
      <w:r w:rsidRPr="005A144C" w:rsidR="00B5201E">
        <w:rPr>
          <w:rFonts w:ascii="Century Schoolbook" w:hAnsi="Century Schoolbook"/>
          <w:iCs/>
        </w:rPr>
        <w:t xml:space="preserve"> “</w:t>
      </w:r>
      <w:r w:rsidRPr="005A144C" w:rsidR="006A12B9">
        <w:rPr>
          <w:rFonts w:ascii="Century Schoolbook" w:hAnsi="Century Schoolbook"/>
          <w:iCs/>
        </w:rPr>
        <w:t>Unless otherwise expressly provided, the remedies or penalties provided by this chapter are cumulative to each other and to the remedies or penalties available under all other laws of this state.”</w:t>
      </w:r>
      <w:r w:rsidRPr="005A144C" w:rsidR="00495785">
        <w:rPr>
          <w:rFonts w:ascii="Century Schoolbook" w:hAnsi="Century Schoolbook"/>
          <w:iCs/>
        </w:rPr>
        <w:t xml:space="preserve">  (Bus. &amp; Prof. Code, § 17205.)</w:t>
      </w:r>
      <w:r w:rsidRPr="005A144C" w:rsidR="006A12B9">
        <w:rPr>
          <w:rFonts w:ascii="Century Schoolbook" w:hAnsi="Century Schoolbook"/>
          <w:iCs/>
        </w:rPr>
        <w:t xml:space="preserve"> </w:t>
      </w:r>
      <w:r w:rsidRPr="005A144C" w:rsidR="00495785">
        <w:rPr>
          <w:rFonts w:ascii="Century Schoolbook" w:hAnsi="Century Schoolbook"/>
          <w:iCs/>
        </w:rPr>
        <w:t xml:space="preserve"> </w:t>
      </w:r>
    </w:p>
    <w:p w:rsidR="00DC5FE7" w:rsidRPr="005A144C" w:rsidP="002E22D7" w14:paraId="6AF29EAB" w14:textId="4125AC36">
      <w:pPr>
        <w:spacing w:line="360" w:lineRule="auto"/>
        <w:rPr>
          <w:rFonts w:ascii="Century Schoolbook" w:hAnsi="Century Schoolbook"/>
          <w:iCs/>
        </w:rPr>
      </w:pPr>
      <w:r w:rsidRPr="005A144C">
        <w:rPr>
          <w:rFonts w:ascii="Century Schoolbook" w:hAnsi="Century Schoolbook"/>
          <w:iCs/>
        </w:rPr>
        <w:tab/>
      </w:r>
      <w:r w:rsidRPr="005A144C" w:rsidR="00495785">
        <w:rPr>
          <w:rFonts w:ascii="Century Schoolbook" w:hAnsi="Century Schoolbook"/>
          <w:iCs/>
        </w:rPr>
        <w:t xml:space="preserve">Moreover, </w:t>
      </w:r>
      <w:r w:rsidRPr="005A144C" w:rsidR="006A12B9">
        <w:rPr>
          <w:rFonts w:ascii="Century Schoolbook" w:hAnsi="Century Schoolbook"/>
          <w:iCs/>
        </w:rPr>
        <w:t>“</w:t>
      </w:r>
      <w:r w:rsidRPr="005A144C" w:rsidR="00495785">
        <w:rPr>
          <w:rFonts w:ascii="Century Schoolbook" w:hAnsi="Century Schoolbook"/>
          <w:iCs/>
        </w:rPr>
        <w:t> ‘</w:t>
      </w:r>
      <w:r w:rsidRPr="005A144C" w:rsidR="006A12B9">
        <w:rPr>
          <w:rFonts w:ascii="Century Schoolbook" w:hAnsi="Century Schoolbook"/>
          <w:iCs/>
        </w:rPr>
        <w:t>the overarching legislative concern</w:t>
      </w:r>
      <w:r w:rsidRPr="005A144C" w:rsidR="00495785">
        <w:rPr>
          <w:rFonts w:ascii="Century Schoolbook" w:hAnsi="Century Schoolbook"/>
          <w:iCs/>
        </w:rPr>
        <w:t>’ ”</w:t>
      </w:r>
      <w:r w:rsidRPr="005A144C" w:rsidR="006A12B9">
        <w:rPr>
          <w:rFonts w:ascii="Century Schoolbook" w:hAnsi="Century Schoolbook"/>
          <w:iCs/>
        </w:rPr>
        <w:t xml:space="preserve"> </w:t>
      </w:r>
      <w:r w:rsidRPr="005A144C" w:rsidR="00495785">
        <w:rPr>
          <w:rFonts w:ascii="Century Schoolbook" w:hAnsi="Century Schoolbook"/>
          <w:iCs/>
        </w:rPr>
        <w:t>in enacting the UCL was “ ‘</w:t>
      </w:r>
      <w:r w:rsidRPr="005A144C" w:rsidR="006A12B9">
        <w:rPr>
          <w:rFonts w:ascii="Century Schoolbook" w:hAnsi="Century Schoolbook"/>
          <w:iCs/>
        </w:rPr>
        <w:t xml:space="preserve">to provide a </w:t>
      </w:r>
      <w:r w:rsidRPr="005A144C" w:rsidR="006A12B9">
        <w:rPr>
          <w:rFonts w:ascii="Century Schoolbook" w:hAnsi="Century Schoolbook"/>
          <w:i/>
        </w:rPr>
        <w:t>streamlined</w:t>
      </w:r>
      <w:r w:rsidRPr="005A144C" w:rsidR="006A12B9">
        <w:rPr>
          <w:rFonts w:ascii="Century Schoolbook" w:hAnsi="Century Schoolbook"/>
          <w:iCs/>
        </w:rPr>
        <w:t xml:space="preserve"> procedure for the prevention of ongoing or threatened acts of unfair competition</w:t>
      </w:r>
      <w:r w:rsidRPr="005A144C" w:rsidR="00495785">
        <w:rPr>
          <w:rFonts w:ascii="Century Schoolbook" w:hAnsi="Century Schoolbook"/>
          <w:iCs/>
        </w:rPr>
        <w:t>’ </w:t>
      </w:r>
      <w:r w:rsidRPr="005A144C" w:rsidR="006A12B9">
        <w:rPr>
          <w:rFonts w:ascii="Century Schoolbook" w:hAnsi="Century Schoolbook"/>
          <w:iCs/>
        </w:rPr>
        <w:t>”</w:t>
      </w:r>
      <w:r w:rsidRPr="005A144C" w:rsidR="00495785">
        <w:rPr>
          <w:rFonts w:ascii="Century Schoolbook" w:hAnsi="Century Schoolbook"/>
          <w:iCs/>
        </w:rPr>
        <w:t xml:space="preserve"> and “[c]onsistent with this objective, the UCL provides only for equitable remedies.</w:t>
      </w:r>
      <w:r w:rsidRPr="005A144C" w:rsidR="003B22B4">
        <w:rPr>
          <w:rFonts w:ascii="Century Schoolbook" w:hAnsi="Century Schoolbook"/>
          <w:iCs/>
        </w:rPr>
        <w:t> . . . Damages are not available.</w:t>
      </w:r>
      <w:r w:rsidRPr="005A144C" w:rsidR="00495785">
        <w:rPr>
          <w:rFonts w:ascii="Century Schoolbook" w:hAnsi="Century Schoolbook"/>
          <w:iCs/>
        </w:rPr>
        <w:t>”</w:t>
      </w:r>
      <w:r w:rsidRPr="005A144C" w:rsidR="006A12B9">
        <w:rPr>
          <w:rFonts w:ascii="Century Schoolbook" w:hAnsi="Century Schoolbook"/>
          <w:iCs/>
        </w:rPr>
        <w:t xml:space="preserve"> </w:t>
      </w:r>
      <w:r w:rsidRPr="005A144C" w:rsidR="00495785">
        <w:rPr>
          <w:rFonts w:ascii="Century Schoolbook" w:hAnsi="Century Schoolbook"/>
          <w:iCs/>
        </w:rPr>
        <w:t xml:space="preserve"> </w:t>
      </w:r>
      <w:r w:rsidRPr="005A144C" w:rsidR="006A12B9">
        <w:rPr>
          <w:rFonts w:ascii="Century Schoolbook" w:hAnsi="Century Schoolbook"/>
          <w:iCs/>
        </w:rPr>
        <w:t>(</w:t>
      </w:r>
      <w:r w:rsidRPr="005A144C" w:rsidR="00495785">
        <w:rPr>
          <w:rFonts w:ascii="Century Schoolbook" w:hAnsi="Century Schoolbook"/>
          <w:i/>
        </w:rPr>
        <w:t>Hodge</w:t>
      </w:r>
      <w:r w:rsidRPr="005A144C" w:rsidR="00495785">
        <w:rPr>
          <w:rFonts w:ascii="Century Schoolbook" w:hAnsi="Century Schoolbook"/>
          <w:iCs/>
        </w:rPr>
        <w:t xml:space="preserve">, </w:t>
      </w:r>
      <w:r w:rsidRPr="005A144C">
        <w:rPr>
          <w:rFonts w:ascii="Century Schoolbook" w:hAnsi="Century Schoolbook"/>
          <w:i/>
        </w:rPr>
        <w:t>supra</w:t>
      </w:r>
      <w:r w:rsidRPr="005A144C">
        <w:rPr>
          <w:rFonts w:ascii="Century Schoolbook" w:hAnsi="Century Schoolbook"/>
          <w:iCs/>
        </w:rPr>
        <w:t xml:space="preserve">, 145 Cal.App.4th </w:t>
      </w:r>
      <w:r w:rsidRPr="005A144C" w:rsidR="00495785">
        <w:rPr>
          <w:rFonts w:ascii="Century Schoolbook" w:hAnsi="Century Schoolbook"/>
          <w:iCs/>
        </w:rPr>
        <w:t>at p. 284</w:t>
      </w:r>
      <w:r w:rsidRPr="005A144C" w:rsidR="006A12B9">
        <w:rPr>
          <w:rFonts w:ascii="Century Schoolbook" w:hAnsi="Century Schoolbook"/>
          <w:iCs/>
        </w:rPr>
        <w:t xml:space="preserve">.) </w:t>
      </w:r>
      <w:r w:rsidRPr="005A144C" w:rsidR="00495785">
        <w:rPr>
          <w:rFonts w:ascii="Century Schoolbook" w:hAnsi="Century Schoolbook"/>
          <w:iCs/>
        </w:rPr>
        <w:t xml:space="preserve"> </w:t>
      </w:r>
      <w:r w:rsidRPr="005A144C" w:rsidR="003B22B4">
        <w:rPr>
          <w:rFonts w:ascii="Century Schoolbook" w:hAnsi="Century Schoolbook"/>
          <w:iCs/>
        </w:rPr>
        <w:t>Accordingly, the UCL “is not simply a legislative conversion of a legal right into an equitable one” but a different and separate equitable cause of action.  (</w:t>
      </w:r>
      <w:r w:rsidRPr="005A144C" w:rsidR="003B22B4">
        <w:rPr>
          <w:rFonts w:ascii="Century Schoolbook" w:hAnsi="Century Schoolbook"/>
          <w:i/>
        </w:rPr>
        <w:t>Hodge</w:t>
      </w:r>
      <w:r w:rsidRPr="005A144C" w:rsidR="003B22B4">
        <w:rPr>
          <w:rFonts w:ascii="Century Schoolbook" w:hAnsi="Century Schoolbook"/>
          <w:iCs/>
        </w:rPr>
        <w:t xml:space="preserve">, at p. 284.)  </w:t>
      </w:r>
      <w:r w:rsidRPr="005A144C" w:rsidR="003143E9">
        <w:rPr>
          <w:rFonts w:ascii="Century Schoolbook" w:hAnsi="Century Schoolbook"/>
          <w:i/>
        </w:rPr>
        <w:t>Hodge</w:t>
      </w:r>
      <w:r w:rsidRPr="005A144C" w:rsidR="003143E9">
        <w:rPr>
          <w:rFonts w:ascii="Century Schoolbook" w:hAnsi="Century Schoolbook"/>
          <w:iCs/>
        </w:rPr>
        <w:t xml:space="preserve"> </w:t>
      </w:r>
      <w:r w:rsidRPr="005A144C" w:rsidR="00EA306F">
        <w:rPr>
          <w:rFonts w:ascii="Century Schoolbook" w:hAnsi="Century Schoolbook"/>
          <w:iCs/>
        </w:rPr>
        <w:t xml:space="preserve">thus </w:t>
      </w:r>
      <w:r w:rsidRPr="005A144C" w:rsidR="003143E9">
        <w:rPr>
          <w:rFonts w:ascii="Century Schoolbook" w:hAnsi="Century Schoolbook"/>
          <w:iCs/>
        </w:rPr>
        <w:t xml:space="preserve">concluded that the presence of </w:t>
      </w:r>
      <w:r w:rsidRPr="005A144C" w:rsidR="0094428A">
        <w:rPr>
          <w:rFonts w:ascii="Century Schoolbook" w:hAnsi="Century Schoolbook"/>
          <w:iCs/>
        </w:rPr>
        <w:t>legal</w:t>
      </w:r>
      <w:r w:rsidRPr="005A144C" w:rsidR="003143E9">
        <w:rPr>
          <w:rFonts w:ascii="Century Schoolbook" w:hAnsi="Century Schoolbook"/>
          <w:iCs/>
        </w:rPr>
        <w:t xml:space="preserve"> issues did not “transform” the</w:t>
      </w:r>
      <w:r w:rsidRPr="005A144C" w:rsidR="001705DC">
        <w:rPr>
          <w:rFonts w:ascii="Century Schoolbook" w:hAnsi="Century Schoolbook"/>
          <w:iCs/>
        </w:rPr>
        <w:t xml:space="preserve"> employees’</w:t>
      </w:r>
      <w:r w:rsidRPr="005A144C" w:rsidR="003143E9">
        <w:rPr>
          <w:rFonts w:ascii="Century Schoolbook" w:hAnsi="Century Schoolbook"/>
          <w:iCs/>
        </w:rPr>
        <w:t xml:space="preserve"> equitable UCL </w:t>
      </w:r>
      <w:r w:rsidRPr="005A144C" w:rsidR="001705DC">
        <w:rPr>
          <w:rFonts w:ascii="Century Schoolbook" w:hAnsi="Century Schoolbook"/>
          <w:iCs/>
        </w:rPr>
        <w:t xml:space="preserve">cause of </w:t>
      </w:r>
      <w:r w:rsidRPr="005A144C" w:rsidR="003143E9">
        <w:rPr>
          <w:rFonts w:ascii="Century Schoolbook" w:hAnsi="Century Schoolbook"/>
          <w:iCs/>
        </w:rPr>
        <w:t>action into on</w:t>
      </w:r>
      <w:r w:rsidRPr="005A144C" w:rsidR="001705DC">
        <w:rPr>
          <w:rFonts w:ascii="Century Schoolbook" w:hAnsi="Century Schoolbook"/>
          <w:iCs/>
        </w:rPr>
        <w:t>e</w:t>
      </w:r>
      <w:r w:rsidRPr="005A144C" w:rsidR="003143E9">
        <w:rPr>
          <w:rFonts w:ascii="Century Schoolbook" w:hAnsi="Century Schoolbook"/>
          <w:iCs/>
        </w:rPr>
        <w:t xml:space="preserve"> of law.  </w:t>
      </w:r>
      <w:r w:rsidRPr="005A144C" w:rsidR="001705DC">
        <w:rPr>
          <w:rFonts w:ascii="Century Schoolbook" w:hAnsi="Century Schoolbook"/>
          <w:iCs/>
        </w:rPr>
        <w:t>(</w:t>
      </w:r>
      <w:r w:rsidRPr="005A144C" w:rsidR="001705DC">
        <w:rPr>
          <w:rFonts w:ascii="Century Schoolbook" w:hAnsi="Century Schoolbook"/>
          <w:i/>
        </w:rPr>
        <w:t>Hodge</w:t>
      </w:r>
      <w:r w:rsidRPr="005A144C" w:rsidR="001705DC">
        <w:rPr>
          <w:rFonts w:ascii="Century Schoolbook" w:hAnsi="Century Schoolbook"/>
          <w:iCs/>
        </w:rPr>
        <w:t>, at p.</w:t>
      </w:r>
      <w:r w:rsidRPr="005A144C" w:rsidR="00D3710D">
        <w:rPr>
          <w:rFonts w:ascii="Century Schoolbook" w:hAnsi="Century Schoolbook"/>
          <w:iCs/>
        </w:rPr>
        <w:t> 285</w:t>
      </w:r>
      <w:r w:rsidRPr="005A144C" w:rsidR="001705DC">
        <w:rPr>
          <w:rFonts w:ascii="Century Schoolbook" w:hAnsi="Century Schoolbook"/>
          <w:iCs/>
        </w:rPr>
        <w:t xml:space="preserve">.)  </w:t>
      </w:r>
    </w:p>
    <w:p w:rsidR="00CF520D" w:rsidRPr="005A144C" w:rsidP="002E22D7" w14:paraId="10A755CC" w14:textId="117BCCD8">
      <w:pPr>
        <w:spacing w:line="360" w:lineRule="auto"/>
        <w:rPr>
          <w:rFonts w:ascii="Century Schoolbook" w:hAnsi="Century Schoolbook"/>
        </w:rPr>
      </w:pPr>
      <w:r w:rsidRPr="005A144C">
        <w:rPr>
          <w:rFonts w:ascii="Century Schoolbook" w:hAnsi="Century Schoolbook"/>
          <w:iCs/>
        </w:rPr>
        <w:tab/>
      </w:r>
      <w:r w:rsidRPr="005A144C" w:rsidR="007E4055">
        <w:rPr>
          <w:rFonts w:ascii="Century Schoolbook" w:hAnsi="Century Schoolbook"/>
          <w:iCs/>
        </w:rPr>
        <w:t>The same reasoning applies here</w:t>
      </w:r>
      <w:r w:rsidRPr="005A144C" w:rsidR="00EA306F">
        <w:rPr>
          <w:rFonts w:ascii="Century Schoolbook" w:hAnsi="Century Schoolbook"/>
          <w:iCs/>
        </w:rPr>
        <w:t>:</w:t>
      </w:r>
      <w:r w:rsidRPr="005A144C" w:rsidR="007E4055">
        <w:rPr>
          <w:rFonts w:ascii="Century Schoolbook" w:hAnsi="Century Schoolbook"/>
          <w:iCs/>
        </w:rPr>
        <w:t xml:space="preserve"> </w:t>
      </w:r>
      <w:r w:rsidRPr="005A144C" w:rsidR="00EA306F">
        <w:rPr>
          <w:rFonts w:ascii="Century Schoolbook" w:hAnsi="Century Schoolbook"/>
          <w:iCs/>
        </w:rPr>
        <w:t xml:space="preserve"> the fact that</w:t>
      </w:r>
      <w:r w:rsidRPr="005A144C" w:rsidR="00D859F7">
        <w:rPr>
          <w:rFonts w:ascii="Century Schoolbook" w:hAnsi="Century Schoolbook"/>
          <w:iCs/>
        </w:rPr>
        <w:t xml:space="preserve"> the UCL cause of action </w:t>
      </w:r>
      <w:r w:rsidRPr="005A144C" w:rsidR="00EA306F">
        <w:rPr>
          <w:rFonts w:ascii="Century Schoolbook" w:hAnsi="Century Schoolbook"/>
          <w:iCs/>
        </w:rPr>
        <w:t xml:space="preserve">required determination of ALS’s liability under the FDCPA </w:t>
      </w:r>
      <w:r w:rsidRPr="005A144C" w:rsidR="00C97F74">
        <w:rPr>
          <w:rFonts w:ascii="Century Schoolbook" w:hAnsi="Century Schoolbook"/>
          <w:iCs/>
        </w:rPr>
        <w:t xml:space="preserve">did not transform Doskocz’s </w:t>
      </w:r>
      <w:r w:rsidRPr="005A144C" w:rsidR="00F50AA2">
        <w:rPr>
          <w:rFonts w:ascii="Century Schoolbook" w:hAnsi="Century Schoolbook"/>
          <w:iCs/>
        </w:rPr>
        <w:t xml:space="preserve">equitable </w:t>
      </w:r>
      <w:r w:rsidRPr="005A144C" w:rsidR="00C97F74">
        <w:rPr>
          <w:rFonts w:ascii="Century Schoolbook" w:hAnsi="Century Schoolbook"/>
          <w:iCs/>
        </w:rPr>
        <w:t>UCL cause of action</w:t>
      </w:r>
      <w:r w:rsidRPr="005A144C" w:rsidR="004C4C34">
        <w:rPr>
          <w:rFonts w:ascii="Century Schoolbook" w:hAnsi="Century Schoolbook"/>
          <w:iCs/>
        </w:rPr>
        <w:t xml:space="preserve"> into a legal one</w:t>
      </w:r>
      <w:r w:rsidRPr="005A144C" w:rsidR="00D859F7">
        <w:rPr>
          <w:rFonts w:ascii="Century Schoolbook" w:hAnsi="Century Schoolbook"/>
          <w:iCs/>
        </w:rPr>
        <w:t>.</w:t>
      </w:r>
      <w:r>
        <w:rPr>
          <w:rStyle w:val="FootnoteReference"/>
          <w:rFonts w:ascii="Century Schoolbook" w:hAnsi="Century Schoolbook"/>
        </w:rPr>
        <w:footnoteReference w:id="11"/>
      </w:r>
      <w:r w:rsidRPr="005A144C" w:rsidR="004C4C34">
        <w:rPr>
          <w:rFonts w:ascii="Century Schoolbook" w:hAnsi="Century Schoolbook"/>
          <w:iCs/>
        </w:rPr>
        <w:t xml:space="preserve">  </w:t>
      </w:r>
      <w:r w:rsidRPr="005A144C" w:rsidR="00997172">
        <w:rPr>
          <w:rFonts w:ascii="Century Schoolbook" w:hAnsi="Century Schoolbook"/>
          <w:iCs/>
        </w:rPr>
        <w:t xml:space="preserve">Indeed, </w:t>
      </w:r>
      <w:r w:rsidRPr="005A144C" w:rsidR="00E93B0B">
        <w:rPr>
          <w:rFonts w:ascii="Century Schoolbook" w:hAnsi="Century Schoolbook"/>
          <w:iCs/>
        </w:rPr>
        <w:t>“[</w:t>
      </w:r>
      <w:r w:rsidRPr="005A144C" w:rsidR="00997172">
        <w:rPr>
          <w:rFonts w:ascii="Century Schoolbook" w:hAnsi="Century Schoolbook"/>
        </w:rPr>
        <w:t>s</w:t>
      </w:r>
      <w:r w:rsidRPr="005A144C" w:rsidR="00E93B0B">
        <w:rPr>
          <w:rFonts w:ascii="Century Schoolbook" w:hAnsi="Century Schoolbook"/>
        </w:rPr>
        <w:t>]</w:t>
      </w:r>
      <w:r w:rsidRPr="005A144C" w:rsidR="00997172">
        <w:rPr>
          <w:rFonts w:ascii="Century Schoolbook" w:hAnsi="Century Schoolbook"/>
        </w:rPr>
        <w:t>uits under [the UCL] are often combined with causes of action that entitle the plaintiff to a jury trial (e.g., fraud, breach of contract)”</w:t>
      </w:r>
      <w:r w:rsidRPr="005A144C" w:rsidR="00E93B0B">
        <w:rPr>
          <w:rFonts w:ascii="Century Schoolbook" w:hAnsi="Century Schoolbook"/>
        </w:rPr>
        <w:t xml:space="preserve"> and </w:t>
      </w:r>
      <w:r w:rsidRPr="005A144C" w:rsidR="00B27356">
        <w:rPr>
          <w:rFonts w:ascii="Century Schoolbook" w:hAnsi="Century Schoolbook"/>
        </w:rPr>
        <w:t>i</w:t>
      </w:r>
      <w:r w:rsidRPr="005A144C" w:rsidR="00E93B0B">
        <w:rPr>
          <w:rFonts w:ascii="Century Schoolbook" w:hAnsi="Century Schoolbook"/>
        </w:rPr>
        <w:t xml:space="preserve">ssues decided </w:t>
      </w:r>
      <w:r w:rsidRPr="005A144C" w:rsidR="00B27356">
        <w:rPr>
          <w:rFonts w:ascii="Century Schoolbook" w:hAnsi="Century Schoolbook"/>
        </w:rPr>
        <w:t>first “</w:t>
      </w:r>
      <w:r w:rsidRPr="005A144C" w:rsidR="00E93B0B">
        <w:rPr>
          <w:rFonts w:ascii="Century Schoolbook" w:hAnsi="Century Schoolbook"/>
        </w:rPr>
        <w:t xml:space="preserve">in a UCL bench trial (which may include determination of predicate claims such as fraud, etc.) may make a jury trial unnecessary.” </w:t>
      </w:r>
      <w:r w:rsidRPr="005A144C" w:rsidR="00D3710D">
        <w:rPr>
          <w:rFonts w:ascii="Century Schoolbook" w:hAnsi="Century Schoolbook"/>
        </w:rPr>
        <w:t xml:space="preserve"> </w:t>
      </w:r>
      <w:r w:rsidRPr="005A144C" w:rsidR="00997172">
        <w:rPr>
          <w:rFonts w:ascii="Century Schoolbook" w:hAnsi="Century Schoolbook"/>
        </w:rPr>
        <w:t>(Weil &amp; Brown, Cal. Practice Guide: Civil Procedure Before Trial (The Rutter Group 2023) ¶ 14:230.1</w:t>
      </w:r>
      <w:r w:rsidRPr="005A144C" w:rsidR="00B27356">
        <w:rPr>
          <w:rFonts w:ascii="Century Schoolbook" w:hAnsi="Century Schoolbook"/>
        </w:rPr>
        <w:t xml:space="preserve">, citing </w:t>
      </w:r>
      <w:r w:rsidRPr="005A144C" w:rsidR="00B27356">
        <w:rPr>
          <w:rFonts w:ascii="Century Schoolbook" w:hAnsi="Century Schoolbook"/>
          <w:i/>
          <w:iCs/>
        </w:rPr>
        <w:t>Rincon EV Realty LLC v. CP III Rincon Towers, Inc.</w:t>
      </w:r>
      <w:r w:rsidRPr="005A144C" w:rsidR="00B27356">
        <w:rPr>
          <w:rFonts w:ascii="Century Schoolbook" w:hAnsi="Century Schoolbook"/>
        </w:rPr>
        <w:t xml:space="preserve"> (2019) 43 Cal.App.5th 988, 995, 1005</w:t>
      </w:r>
      <w:r w:rsidRPr="005A144C" w:rsidR="00932B5D">
        <w:rPr>
          <w:rFonts w:ascii="Century Schoolbook" w:hAnsi="Century Schoolbook"/>
        </w:rPr>
        <w:t xml:space="preserve"> [court addressed six legal claims in ruling on equitable UCL cause of action</w:t>
      </w:r>
      <w:r w:rsidRPr="005A144C" w:rsidR="00B27356">
        <w:rPr>
          <w:rFonts w:ascii="Century Schoolbook" w:hAnsi="Century Schoolbook"/>
        </w:rPr>
        <w:t>]</w:t>
      </w:r>
      <w:r w:rsidRPr="005A144C" w:rsidR="00997172">
        <w:rPr>
          <w:rFonts w:ascii="Century Schoolbook" w:hAnsi="Century Schoolbook"/>
        </w:rPr>
        <w:t>.)</w:t>
      </w:r>
      <w:r w:rsidRPr="005A144C" w:rsidR="004C4C34">
        <w:rPr>
          <w:rFonts w:ascii="Century Schoolbook" w:hAnsi="Century Schoolbook"/>
          <w:iCs/>
        </w:rPr>
        <w:t xml:space="preserve"> </w:t>
      </w:r>
      <w:r w:rsidRPr="005A144C">
        <w:rPr>
          <w:rFonts w:ascii="Century Schoolbook" w:hAnsi="Century Schoolbook"/>
          <w:iCs/>
        </w:rPr>
        <w:t xml:space="preserve"> </w:t>
      </w:r>
      <w:r w:rsidRPr="005A144C" w:rsidR="009868C3">
        <w:rPr>
          <w:rFonts w:ascii="Century Schoolbook" w:hAnsi="Century Schoolbook"/>
        </w:rPr>
        <w:t>W</w:t>
      </w:r>
      <w:r w:rsidRPr="005A144C" w:rsidR="00D547A0">
        <w:rPr>
          <w:rFonts w:ascii="Century Schoolbook" w:hAnsi="Century Schoolbook"/>
        </w:rPr>
        <w:t xml:space="preserve">e </w:t>
      </w:r>
      <w:r w:rsidRPr="005A144C" w:rsidR="009868C3">
        <w:rPr>
          <w:rFonts w:ascii="Century Schoolbook" w:hAnsi="Century Schoolbook"/>
        </w:rPr>
        <w:t xml:space="preserve">thus </w:t>
      </w:r>
      <w:r w:rsidRPr="005A144C" w:rsidR="00D547A0">
        <w:rPr>
          <w:rFonts w:ascii="Century Schoolbook" w:hAnsi="Century Schoolbook"/>
        </w:rPr>
        <w:t xml:space="preserve">conclude that </w:t>
      </w:r>
      <w:r w:rsidRPr="005A144C" w:rsidR="005370A5">
        <w:rPr>
          <w:rFonts w:ascii="Century Schoolbook" w:hAnsi="Century Schoolbook"/>
        </w:rPr>
        <w:t xml:space="preserve">ALS has not met its burden to show </w:t>
      </w:r>
      <w:r w:rsidRPr="005A144C" w:rsidR="00340185">
        <w:rPr>
          <w:rFonts w:ascii="Century Schoolbook" w:hAnsi="Century Schoolbook"/>
        </w:rPr>
        <w:t xml:space="preserve">the trial court abused its discretion </w:t>
      </w:r>
      <w:r w:rsidRPr="005A144C">
        <w:rPr>
          <w:rFonts w:ascii="Century Schoolbook" w:hAnsi="Century Schoolbook"/>
        </w:rPr>
        <w:t>in granting Doskocz’s motion to bifurcate.</w:t>
      </w:r>
    </w:p>
    <w:p w:rsidR="009B637C" w:rsidRPr="005A144C" w:rsidP="002E22D7" w14:paraId="30827AD8" w14:textId="0606D150">
      <w:pPr>
        <w:spacing w:line="360" w:lineRule="auto"/>
        <w:rPr>
          <w:rFonts w:ascii="Century Schoolbook" w:hAnsi="Century Schoolbook"/>
          <w:b/>
          <w:bCs/>
          <w:i/>
          <w:iCs/>
        </w:rPr>
      </w:pPr>
      <w:r w:rsidRPr="005A144C">
        <w:rPr>
          <w:rFonts w:ascii="Century Schoolbook" w:hAnsi="Century Schoolbook"/>
          <w:b/>
          <w:bCs/>
          <w:i/>
          <w:iCs/>
        </w:rPr>
        <w:t xml:space="preserve">D.  </w:t>
      </w:r>
      <w:r w:rsidRPr="005A144C" w:rsidR="00580FFE">
        <w:rPr>
          <w:rFonts w:ascii="Century Schoolbook" w:hAnsi="Century Schoolbook"/>
          <w:b/>
          <w:bCs/>
          <w:i/>
          <w:iCs/>
        </w:rPr>
        <w:t>Substantial Evidence on Alter Ego Findings</w:t>
      </w:r>
    </w:p>
    <w:p w:rsidR="00580FFE" w:rsidRPr="005A144C" w:rsidP="002E22D7" w14:paraId="77B27856" w14:textId="00DBD384">
      <w:pPr>
        <w:spacing w:line="360" w:lineRule="auto"/>
        <w:rPr>
          <w:rFonts w:ascii="Century Schoolbook" w:hAnsi="Century Schoolbook"/>
          <w:b/>
          <w:bCs/>
        </w:rPr>
      </w:pPr>
      <w:r w:rsidRPr="005A144C">
        <w:rPr>
          <w:rFonts w:ascii="Century Schoolbook" w:hAnsi="Century Schoolbook"/>
          <w:b/>
          <w:bCs/>
        </w:rPr>
        <w:tab/>
        <w:t xml:space="preserve">1. </w:t>
      </w:r>
      <w:r w:rsidRPr="005A144C" w:rsidR="00FF57D6">
        <w:rPr>
          <w:rFonts w:ascii="Century Schoolbook" w:hAnsi="Century Schoolbook"/>
          <w:b/>
          <w:bCs/>
        </w:rPr>
        <w:t xml:space="preserve"> </w:t>
      </w:r>
      <w:r w:rsidRPr="005A144C">
        <w:rPr>
          <w:rFonts w:ascii="Century Schoolbook" w:hAnsi="Century Schoolbook"/>
          <w:b/>
          <w:bCs/>
        </w:rPr>
        <w:t>Additional Background</w:t>
      </w:r>
    </w:p>
    <w:p w:rsidR="00453E07" w:rsidRPr="005A144C" w:rsidP="002E22D7" w14:paraId="64A71DE7" w14:textId="69E12208">
      <w:pPr>
        <w:spacing w:line="360" w:lineRule="auto"/>
        <w:rPr>
          <w:rFonts w:ascii="Century Schoolbook" w:hAnsi="Century Schoolbook"/>
        </w:rPr>
      </w:pPr>
      <w:r w:rsidRPr="005A144C">
        <w:rPr>
          <w:rFonts w:ascii="Century Schoolbook" w:hAnsi="Century Schoolbook"/>
        </w:rPr>
        <w:tab/>
        <w:t>In its statement of decision after trial, the court</w:t>
      </w:r>
      <w:r w:rsidRPr="005A144C" w:rsidR="00B45968">
        <w:rPr>
          <w:rFonts w:ascii="Century Schoolbook" w:hAnsi="Century Schoolbook"/>
        </w:rPr>
        <w:t xml:space="preserve"> concluded that the SG defendants were alter egos of ALS. </w:t>
      </w:r>
      <w:r w:rsidRPr="005A144C">
        <w:rPr>
          <w:rFonts w:ascii="Century Schoolbook" w:hAnsi="Century Schoolbook"/>
        </w:rPr>
        <w:t xml:space="preserve"> </w:t>
      </w:r>
      <w:r w:rsidRPr="005A144C" w:rsidR="005571ED">
        <w:rPr>
          <w:rFonts w:ascii="Century Schoolbook" w:hAnsi="Century Schoolbook"/>
        </w:rPr>
        <w:t xml:space="preserve">Quoting </w:t>
      </w:r>
      <w:r w:rsidRPr="005A144C" w:rsidR="009A7779">
        <w:rPr>
          <w:rFonts w:ascii="Century Schoolbook" w:hAnsi="Century Schoolbook"/>
          <w:i/>
          <w:iCs/>
        </w:rPr>
        <w:t>Associated Vendors, Inc. v. Oakland Meat Co.</w:t>
      </w:r>
      <w:r w:rsidRPr="005A144C" w:rsidR="009A7779">
        <w:rPr>
          <w:rFonts w:ascii="Century Schoolbook" w:hAnsi="Century Schoolbook"/>
        </w:rPr>
        <w:t xml:space="preserve"> (1962) 210 Cal.App.2d 825, 837</w:t>
      </w:r>
      <w:r w:rsidRPr="005A144C" w:rsidR="00D45889">
        <w:rPr>
          <w:rFonts w:ascii="Century Schoolbook" w:hAnsi="Century Schoolbook"/>
        </w:rPr>
        <w:t xml:space="preserve"> (</w:t>
      </w:r>
      <w:r w:rsidRPr="005A144C" w:rsidR="00D45889">
        <w:rPr>
          <w:rFonts w:ascii="Century Schoolbook" w:hAnsi="Century Schoolbook"/>
          <w:i/>
          <w:iCs/>
        </w:rPr>
        <w:t>Associated Vendors</w:t>
      </w:r>
      <w:r w:rsidRPr="005A144C" w:rsidR="00D45889">
        <w:rPr>
          <w:rFonts w:ascii="Century Schoolbook" w:hAnsi="Century Schoolbook"/>
        </w:rPr>
        <w:t>)</w:t>
      </w:r>
      <w:r w:rsidRPr="005A144C" w:rsidR="006E1626">
        <w:rPr>
          <w:rFonts w:ascii="Century Schoolbook" w:hAnsi="Century Schoolbook"/>
        </w:rPr>
        <w:t>, the court</w:t>
      </w:r>
      <w:r w:rsidRPr="005A144C" w:rsidR="00DF137D">
        <w:rPr>
          <w:rFonts w:ascii="Century Schoolbook" w:hAnsi="Century Schoolbook"/>
        </w:rPr>
        <w:t xml:space="preserve"> </w:t>
      </w:r>
      <w:r w:rsidRPr="005A144C" w:rsidR="00164380">
        <w:rPr>
          <w:rFonts w:ascii="Century Schoolbook" w:hAnsi="Century Schoolbook"/>
        </w:rPr>
        <w:t>described</w:t>
      </w:r>
      <w:r w:rsidRPr="005A144C" w:rsidR="00DF137D">
        <w:rPr>
          <w:rFonts w:ascii="Century Schoolbook" w:hAnsi="Century Schoolbook"/>
        </w:rPr>
        <w:t xml:space="preserve"> t</w:t>
      </w:r>
      <w:r w:rsidRPr="005A144C" w:rsidR="00B223AE">
        <w:rPr>
          <w:rFonts w:ascii="Century Schoolbook" w:hAnsi="Century Schoolbook"/>
        </w:rPr>
        <w:t xml:space="preserve">he </w:t>
      </w:r>
      <w:r w:rsidRPr="005A144C" w:rsidR="009E7337">
        <w:rPr>
          <w:rFonts w:ascii="Century Schoolbook" w:hAnsi="Century Schoolbook"/>
        </w:rPr>
        <w:t>two-</w:t>
      </w:r>
      <w:r w:rsidRPr="005A144C" w:rsidR="00C05745">
        <w:rPr>
          <w:rFonts w:ascii="Century Schoolbook" w:hAnsi="Century Schoolbook"/>
        </w:rPr>
        <w:t>part</w:t>
      </w:r>
      <w:r w:rsidRPr="005A144C" w:rsidR="009E7337">
        <w:rPr>
          <w:rFonts w:ascii="Century Schoolbook" w:hAnsi="Century Schoolbook"/>
        </w:rPr>
        <w:t xml:space="preserve"> </w:t>
      </w:r>
      <w:r w:rsidRPr="005A144C" w:rsidR="00B223AE">
        <w:rPr>
          <w:rFonts w:ascii="Century Schoolbook" w:hAnsi="Century Schoolbook"/>
        </w:rPr>
        <w:t xml:space="preserve">test for applying the alter ego doctrine:  </w:t>
      </w:r>
      <w:r w:rsidRPr="005A144C" w:rsidR="009A7779">
        <w:rPr>
          <w:rFonts w:ascii="Century Schoolbook" w:hAnsi="Century Schoolbook"/>
        </w:rPr>
        <w:t>“ ‘(1)</w:t>
      </w:r>
      <w:r w:rsidRPr="005A144C" w:rsidR="003779DE">
        <w:rPr>
          <w:rFonts w:ascii="Century Schoolbook" w:hAnsi="Century Schoolbook"/>
        </w:rPr>
        <w:t> </w:t>
      </w:r>
      <w:r w:rsidRPr="005A144C" w:rsidR="009A7779">
        <w:rPr>
          <w:rFonts w:ascii="Century Schoolbook" w:hAnsi="Century Schoolbook"/>
        </w:rPr>
        <w:t>that there be such unity of interest and ownership that the separate personalities of the corporation and the individual no longer exist, and (2)</w:t>
      </w:r>
      <w:r w:rsidRPr="005A144C" w:rsidR="003779DE">
        <w:rPr>
          <w:rFonts w:ascii="Century Schoolbook" w:hAnsi="Century Schoolbook"/>
        </w:rPr>
        <w:t> </w:t>
      </w:r>
      <w:r w:rsidRPr="005A144C" w:rsidR="009A7779">
        <w:rPr>
          <w:rFonts w:ascii="Century Schoolbook" w:hAnsi="Century Schoolbook"/>
        </w:rPr>
        <w:t xml:space="preserve">that, if the acts are treated as those of the corporation alone, an inequitable result will follow.’ ” </w:t>
      </w:r>
    </w:p>
    <w:p w:rsidR="00453E07" w:rsidRPr="005A144C" w:rsidP="002E22D7" w14:paraId="5780FEEF" w14:textId="7194A776">
      <w:pPr>
        <w:spacing w:line="360" w:lineRule="auto"/>
        <w:rPr>
          <w:rFonts w:ascii="Century Schoolbook" w:hAnsi="Century Schoolbook"/>
        </w:rPr>
      </w:pPr>
      <w:r w:rsidRPr="005A144C">
        <w:rPr>
          <w:rFonts w:ascii="Century Schoolbook" w:hAnsi="Century Schoolbook"/>
        </w:rPr>
        <w:tab/>
      </w:r>
      <w:r w:rsidRPr="005A144C" w:rsidR="001F1D2C">
        <w:rPr>
          <w:rFonts w:ascii="Century Schoolbook" w:hAnsi="Century Schoolbook"/>
        </w:rPr>
        <w:t>On the first part of the test, t</w:t>
      </w:r>
      <w:r w:rsidRPr="005A144C">
        <w:rPr>
          <w:rFonts w:ascii="Century Schoolbook" w:hAnsi="Century Schoolbook"/>
        </w:rPr>
        <w:t>he</w:t>
      </w:r>
      <w:r w:rsidRPr="005A144C" w:rsidR="001F1D2C">
        <w:rPr>
          <w:rFonts w:ascii="Century Schoolbook" w:hAnsi="Century Schoolbook"/>
        </w:rPr>
        <w:t xml:space="preserve"> trial</w:t>
      </w:r>
      <w:r w:rsidRPr="005A144C">
        <w:rPr>
          <w:rFonts w:ascii="Century Schoolbook" w:hAnsi="Century Schoolbook"/>
        </w:rPr>
        <w:t xml:space="preserve"> court found </w:t>
      </w:r>
      <w:r w:rsidRPr="005A144C" w:rsidR="009A7779">
        <w:rPr>
          <w:rFonts w:ascii="Century Schoolbook" w:hAnsi="Century Schoolbook"/>
        </w:rPr>
        <w:t>there was such a unity of interest and ownership.</w:t>
      </w:r>
      <w:r w:rsidRPr="005A144C" w:rsidR="0029129E">
        <w:rPr>
          <w:rFonts w:ascii="Century Schoolbook" w:hAnsi="Century Schoolbook"/>
        </w:rPr>
        <w:t xml:space="preserve"> </w:t>
      </w:r>
      <w:r w:rsidRPr="005A144C" w:rsidR="00BA3B1A">
        <w:rPr>
          <w:rFonts w:ascii="Century Schoolbook" w:hAnsi="Century Schoolbook"/>
        </w:rPr>
        <w:t xml:space="preserve"> </w:t>
      </w:r>
      <w:r w:rsidRPr="005A144C">
        <w:rPr>
          <w:rFonts w:ascii="Century Schoolbook" w:hAnsi="Century Schoolbook"/>
        </w:rPr>
        <w:t xml:space="preserve">Swedelson and Gottlieb are </w:t>
      </w:r>
      <w:r w:rsidRPr="005A144C" w:rsidR="00C3574C">
        <w:rPr>
          <w:rFonts w:ascii="Century Schoolbook" w:hAnsi="Century Schoolbook"/>
        </w:rPr>
        <w:t xml:space="preserve">husband and </w:t>
      </w:r>
      <w:r w:rsidRPr="005A144C">
        <w:rPr>
          <w:rFonts w:ascii="Century Schoolbook" w:hAnsi="Century Schoolbook"/>
        </w:rPr>
        <w:t xml:space="preserve">wife, and have always been the sole shareholders and directors of ALS. </w:t>
      </w:r>
      <w:r w:rsidRPr="005A144C" w:rsidR="006D5170">
        <w:rPr>
          <w:rFonts w:ascii="Century Schoolbook" w:hAnsi="Century Schoolbook"/>
        </w:rPr>
        <w:t xml:space="preserve"> </w:t>
      </w:r>
      <w:r w:rsidRPr="005A144C" w:rsidR="004D1B5E">
        <w:rPr>
          <w:rFonts w:ascii="Century Schoolbook" w:hAnsi="Century Schoolbook"/>
        </w:rPr>
        <w:t xml:space="preserve">Gottlieb is the </w:t>
      </w:r>
      <w:r w:rsidRPr="005A144C" w:rsidR="00E03555">
        <w:rPr>
          <w:rFonts w:ascii="Century Schoolbook" w:hAnsi="Century Schoolbook"/>
        </w:rPr>
        <w:t>chief executive officer</w:t>
      </w:r>
      <w:r w:rsidRPr="005A144C" w:rsidR="003E5CA2">
        <w:rPr>
          <w:rFonts w:ascii="Century Schoolbook" w:hAnsi="Century Schoolbook"/>
        </w:rPr>
        <w:t xml:space="preserve"> and president</w:t>
      </w:r>
      <w:r w:rsidRPr="005A144C" w:rsidR="004D1B5E">
        <w:rPr>
          <w:rFonts w:ascii="Century Schoolbook" w:hAnsi="Century Schoolbook"/>
        </w:rPr>
        <w:t xml:space="preserve"> of ALS.  </w:t>
      </w:r>
      <w:r w:rsidRPr="005A144C" w:rsidR="00E66EBD">
        <w:rPr>
          <w:rFonts w:ascii="Century Schoolbook" w:hAnsi="Century Schoolbook"/>
        </w:rPr>
        <w:t xml:space="preserve">Swedelson and Gottlieb started their assessment collection business, </w:t>
      </w:r>
      <w:r w:rsidRPr="005A144C" w:rsidR="009B7AB0">
        <w:rPr>
          <w:rFonts w:ascii="Century Schoolbook" w:hAnsi="Century Schoolbook"/>
        </w:rPr>
        <w:t xml:space="preserve">Association </w:t>
      </w:r>
      <w:r w:rsidRPr="005A144C" w:rsidR="00E66EBD">
        <w:rPr>
          <w:rFonts w:ascii="Century Schoolbook" w:hAnsi="Century Schoolbook"/>
        </w:rPr>
        <w:t xml:space="preserve">Lien Services, in 1987. </w:t>
      </w:r>
      <w:r w:rsidRPr="005A144C" w:rsidR="00E86301">
        <w:rPr>
          <w:rFonts w:ascii="Century Schoolbook" w:hAnsi="Century Schoolbook"/>
        </w:rPr>
        <w:t xml:space="preserve"> </w:t>
      </w:r>
      <w:r w:rsidRPr="005A144C" w:rsidR="006D5170">
        <w:rPr>
          <w:rFonts w:ascii="Century Schoolbook" w:hAnsi="Century Schoolbook"/>
        </w:rPr>
        <w:t xml:space="preserve">Swedelson and Gottlieb are also the sole general partners of their law firm, which is a general partnership between them. </w:t>
      </w:r>
      <w:r w:rsidRPr="005A144C" w:rsidR="00E66EBD">
        <w:rPr>
          <w:rFonts w:ascii="Century Schoolbook" w:hAnsi="Century Schoolbook"/>
        </w:rPr>
        <w:t xml:space="preserve"> </w:t>
      </w:r>
      <w:r w:rsidRPr="005A144C" w:rsidR="000256BF">
        <w:rPr>
          <w:rFonts w:ascii="Century Schoolbook" w:hAnsi="Century Schoolbook"/>
        </w:rPr>
        <w:t>The law firm was formed in</w:t>
      </w:r>
      <w:r w:rsidRPr="005A144C" w:rsidR="003E5D3A">
        <w:rPr>
          <w:rFonts w:ascii="Century Schoolbook" w:hAnsi="Century Schoolbook"/>
        </w:rPr>
        <w:t xml:space="preserve"> 1987,</w:t>
      </w:r>
      <w:r w:rsidRPr="005A144C" w:rsidR="00E66EBD">
        <w:rPr>
          <w:rFonts w:ascii="Century Schoolbook" w:hAnsi="Century Schoolbook"/>
        </w:rPr>
        <w:t xml:space="preserve"> the same </w:t>
      </w:r>
      <w:r w:rsidRPr="005A144C" w:rsidR="003E5D3A">
        <w:rPr>
          <w:rFonts w:ascii="Century Schoolbook" w:hAnsi="Century Schoolbook"/>
        </w:rPr>
        <w:t>year</w:t>
      </w:r>
      <w:r w:rsidRPr="005A144C" w:rsidR="00E66EBD">
        <w:rPr>
          <w:rFonts w:ascii="Century Schoolbook" w:hAnsi="Century Schoolbook"/>
        </w:rPr>
        <w:t xml:space="preserve"> as </w:t>
      </w:r>
      <w:r w:rsidRPr="005A144C" w:rsidR="00C3574C">
        <w:rPr>
          <w:rFonts w:ascii="Century Schoolbook" w:hAnsi="Century Schoolbook"/>
        </w:rPr>
        <w:t>Association</w:t>
      </w:r>
      <w:r w:rsidRPr="005A144C" w:rsidR="00E66EBD">
        <w:rPr>
          <w:rFonts w:ascii="Century Schoolbook" w:hAnsi="Century Schoolbook"/>
        </w:rPr>
        <w:t xml:space="preserve"> Lien Services</w:t>
      </w:r>
      <w:r w:rsidRPr="005A144C" w:rsidR="000256BF">
        <w:rPr>
          <w:rFonts w:ascii="Century Schoolbook" w:hAnsi="Century Schoolbook"/>
        </w:rPr>
        <w:t>.</w:t>
      </w:r>
      <w:r w:rsidRPr="005A144C" w:rsidR="00DA3A0F">
        <w:rPr>
          <w:rFonts w:ascii="Century Schoolbook" w:hAnsi="Century Schoolbook"/>
        </w:rPr>
        <w:t xml:space="preserve"> </w:t>
      </w:r>
    </w:p>
    <w:p w:rsidR="001F1D2C" w:rsidRPr="005A144C" w:rsidP="002E22D7" w14:paraId="60B4F55B" w14:textId="4264DE76">
      <w:pPr>
        <w:spacing w:line="360" w:lineRule="auto"/>
        <w:rPr>
          <w:rFonts w:ascii="Century Schoolbook" w:hAnsi="Century Schoolbook"/>
        </w:rPr>
      </w:pPr>
      <w:r w:rsidRPr="005A144C">
        <w:rPr>
          <w:rFonts w:ascii="Century Schoolbook" w:hAnsi="Century Schoolbook"/>
        </w:rPr>
        <w:tab/>
        <w:t xml:space="preserve">From 1987 to 2005, Swedelson and Gottlieb operated both businesses as a single entity.  In 2005, Swedelson and Gottlieb incorporated </w:t>
      </w:r>
      <w:r w:rsidRPr="005A144C" w:rsidR="00485347">
        <w:rPr>
          <w:rFonts w:ascii="Century Schoolbook" w:hAnsi="Century Schoolbook"/>
        </w:rPr>
        <w:t xml:space="preserve">Association </w:t>
      </w:r>
      <w:r w:rsidRPr="005A144C">
        <w:rPr>
          <w:rFonts w:ascii="Century Schoolbook" w:hAnsi="Century Schoolbook"/>
        </w:rPr>
        <w:t xml:space="preserve">Lien Services </w:t>
      </w:r>
      <w:r w:rsidRPr="005A144C" w:rsidR="00460D09">
        <w:rPr>
          <w:rFonts w:ascii="Century Schoolbook" w:hAnsi="Century Schoolbook"/>
        </w:rPr>
        <w:t>(</w:t>
      </w:r>
      <w:r w:rsidRPr="005A144C">
        <w:rPr>
          <w:rFonts w:ascii="Century Schoolbook" w:hAnsi="Century Schoolbook"/>
        </w:rPr>
        <w:t>as “ALS Lien Services”</w:t>
      </w:r>
      <w:r w:rsidRPr="005A144C" w:rsidR="00164380">
        <w:rPr>
          <w:rFonts w:ascii="Century Schoolbook" w:hAnsi="Century Schoolbook"/>
        </w:rPr>
        <w:t xml:space="preserve"> because the original name was </w:t>
      </w:r>
      <w:r w:rsidRPr="005A144C" w:rsidR="00A44C7A">
        <w:rPr>
          <w:rFonts w:ascii="Century Schoolbook" w:hAnsi="Century Schoolbook"/>
        </w:rPr>
        <w:t xml:space="preserve">not </w:t>
      </w:r>
      <w:r w:rsidRPr="005A144C" w:rsidR="00164380">
        <w:rPr>
          <w:rFonts w:ascii="Century Schoolbook" w:hAnsi="Century Schoolbook"/>
        </w:rPr>
        <w:t>available</w:t>
      </w:r>
      <w:r w:rsidRPr="005A144C" w:rsidR="00460D09">
        <w:rPr>
          <w:rFonts w:ascii="Century Schoolbook" w:hAnsi="Century Schoolbook"/>
        </w:rPr>
        <w:t>)</w:t>
      </w:r>
      <w:r w:rsidRPr="005A144C">
        <w:rPr>
          <w:rFonts w:ascii="Century Schoolbook" w:hAnsi="Century Schoolbook"/>
        </w:rPr>
        <w:t xml:space="preserve"> </w:t>
      </w:r>
      <w:r w:rsidRPr="005A144C" w:rsidR="00460D09">
        <w:rPr>
          <w:rFonts w:ascii="Century Schoolbook" w:hAnsi="Century Schoolbook"/>
        </w:rPr>
        <w:t xml:space="preserve">based on personal tax advantages. </w:t>
      </w:r>
      <w:r w:rsidRPr="005A144C" w:rsidR="00E34697">
        <w:rPr>
          <w:rFonts w:ascii="Century Schoolbook" w:hAnsi="Century Schoolbook"/>
        </w:rPr>
        <w:t xml:space="preserve"> Upon incorporation, the law firm entered into a sublease with ALS to continue to operate out of the suite immediately adjacent to the law firm office, </w:t>
      </w:r>
      <w:r w:rsidRPr="005A144C" w:rsidR="00774707">
        <w:rPr>
          <w:rFonts w:ascii="Century Schoolbook" w:hAnsi="Century Schoolbook"/>
        </w:rPr>
        <w:t>as well as</w:t>
      </w:r>
      <w:r w:rsidRPr="005A144C" w:rsidR="00E34697">
        <w:rPr>
          <w:rFonts w:ascii="Century Schoolbook" w:hAnsi="Century Schoolbook"/>
        </w:rPr>
        <w:t xml:space="preserve"> a management agreement to continue the </w:t>
      </w:r>
      <w:r w:rsidRPr="005A144C" w:rsidR="00BC7B67">
        <w:rPr>
          <w:rFonts w:ascii="Century Schoolbook" w:hAnsi="Century Schoolbook"/>
        </w:rPr>
        <w:t xml:space="preserve">shared </w:t>
      </w:r>
      <w:r w:rsidRPr="005A144C" w:rsidR="00E34697">
        <w:rPr>
          <w:rFonts w:ascii="Century Schoolbook" w:hAnsi="Century Schoolbook"/>
        </w:rPr>
        <w:t>administrative services</w:t>
      </w:r>
      <w:r w:rsidRPr="005A144C" w:rsidR="00BC7B67">
        <w:rPr>
          <w:rFonts w:ascii="Century Schoolbook" w:hAnsi="Century Schoolbook"/>
        </w:rPr>
        <w:t xml:space="preserve">, </w:t>
      </w:r>
      <w:r w:rsidRPr="005A144C" w:rsidR="00E34697">
        <w:rPr>
          <w:rFonts w:ascii="Century Schoolbook" w:hAnsi="Century Schoolbook"/>
        </w:rPr>
        <w:t>access</w:t>
      </w:r>
      <w:r w:rsidRPr="005A144C" w:rsidR="00BC7B67">
        <w:rPr>
          <w:rFonts w:ascii="Century Schoolbook" w:hAnsi="Century Schoolbook"/>
        </w:rPr>
        <w:t>, and</w:t>
      </w:r>
      <w:r w:rsidRPr="005A144C" w:rsidR="00630961">
        <w:rPr>
          <w:rFonts w:ascii="Century Schoolbook" w:hAnsi="Century Schoolbook"/>
        </w:rPr>
        <w:t xml:space="preserve"> use of</w:t>
      </w:r>
      <w:r w:rsidRPr="005A144C" w:rsidR="00BC7B67">
        <w:rPr>
          <w:rFonts w:ascii="Century Schoolbook" w:hAnsi="Century Schoolbook"/>
        </w:rPr>
        <w:t xml:space="preserve"> facilities</w:t>
      </w:r>
      <w:r w:rsidRPr="005A144C" w:rsidR="00E34697">
        <w:rPr>
          <w:rFonts w:ascii="Century Schoolbook" w:hAnsi="Century Schoolbook"/>
        </w:rPr>
        <w:t xml:space="preserve"> from the law firm that </w:t>
      </w:r>
      <w:r w:rsidRPr="005A144C" w:rsidR="002D0121">
        <w:rPr>
          <w:rFonts w:ascii="Century Schoolbook" w:hAnsi="Century Schoolbook"/>
        </w:rPr>
        <w:t>ALS</w:t>
      </w:r>
      <w:r w:rsidRPr="005A144C" w:rsidR="00E34697">
        <w:rPr>
          <w:rFonts w:ascii="Century Schoolbook" w:hAnsi="Century Schoolbook"/>
        </w:rPr>
        <w:t xml:space="preserve"> had before. </w:t>
      </w:r>
      <w:r w:rsidRPr="005A144C" w:rsidR="00343BB6">
        <w:rPr>
          <w:rFonts w:ascii="Century Schoolbook" w:hAnsi="Century Schoolbook"/>
        </w:rPr>
        <w:t xml:space="preserve"> </w:t>
      </w:r>
    </w:p>
    <w:p w:rsidR="00BA3B1A" w:rsidRPr="005A144C" w:rsidP="002E22D7" w14:paraId="5754F71D" w14:textId="7242BC11">
      <w:pPr>
        <w:spacing w:line="360" w:lineRule="auto"/>
        <w:rPr>
          <w:rFonts w:ascii="Century Schoolbook" w:hAnsi="Century Schoolbook"/>
        </w:rPr>
      </w:pPr>
      <w:r w:rsidRPr="005A144C">
        <w:rPr>
          <w:rFonts w:ascii="Century Schoolbook" w:hAnsi="Century Schoolbook"/>
        </w:rPr>
        <w:tab/>
      </w:r>
      <w:r w:rsidRPr="005A144C" w:rsidR="00D140B8">
        <w:rPr>
          <w:rFonts w:ascii="Century Schoolbook" w:hAnsi="Century Schoolbook"/>
        </w:rPr>
        <w:t>ALS and the law firm shared common personnel</w:t>
      </w:r>
      <w:r w:rsidRPr="005A144C" w:rsidR="006B58AA">
        <w:rPr>
          <w:rFonts w:ascii="Century Schoolbook" w:hAnsi="Century Schoolbook"/>
        </w:rPr>
        <w:t>,</w:t>
      </w:r>
      <w:r w:rsidRPr="005A144C" w:rsidR="003C471B">
        <w:rPr>
          <w:rFonts w:ascii="Century Schoolbook" w:hAnsi="Century Schoolbook"/>
        </w:rPr>
        <w:t xml:space="preserve"> and law firm employees routinely provided services</w:t>
      </w:r>
      <w:r w:rsidRPr="005A144C" w:rsidR="002B19D2">
        <w:rPr>
          <w:rFonts w:ascii="Century Schoolbook" w:hAnsi="Century Schoolbook"/>
        </w:rPr>
        <w:t xml:space="preserve"> (like letter review</w:t>
      </w:r>
      <w:r w:rsidRPr="005A144C" w:rsidR="007E42B7">
        <w:rPr>
          <w:rFonts w:ascii="Century Schoolbook" w:hAnsi="Century Schoolbook"/>
        </w:rPr>
        <w:t>s</w:t>
      </w:r>
      <w:r w:rsidRPr="005A144C" w:rsidR="002B19D2">
        <w:rPr>
          <w:rFonts w:ascii="Century Schoolbook" w:hAnsi="Century Schoolbook"/>
        </w:rPr>
        <w:t>)</w:t>
      </w:r>
      <w:r w:rsidRPr="005A144C" w:rsidR="003C471B">
        <w:rPr>
          <w:rFonts w:ascii="Century Schoolbook" w:hAnsi="Century Schoolbook"/>
        </w:rPr>
        <w:t xml:space="preserve"> to ALS. </w:t>
      </w:r>
      <w:r w:rsidRPr="005A144C" w:rsidR="00DE44DD">
        <w:rPr>
          <w:rFonts w:ascii="Century Schoolbook" w:hAnsi="Century Schoolbook"/>
        </w:rPr>
        <w:t xml:space="preserve"> </w:t>
      </w:r>
      <w:r w:rsidRPr="005A144C" w:rsidR="00ED257E">
        <w:rPr>
          <w:rFonts w:ascii="Century Schoolbook" w:hAnsi="Century Schoolbook"/>
        </w:rPr>
        <w:t>As of December</w:t>
      </w:r>
      <w:r w:rsidRPr="005A144C" w:rsidR="007F00D5">
        <w:rPr>
          <w:rFonts w:ascii="Century Schoolbook" w:hAnsi="Century Schoolbook"/>
        </w:rPr>
        <w:t> </w:t>
      </w:r>
      <w:r w:rsidRPr="005A144C" w:rsidR="00DE44DD">
        <w:rPr>
          <w:rFonts w:ascii="Century Schoolbook" w:hAnsi="Century Schoolbook"/>
        </w:rPr>
        <w:t>2013, ALS was in default on payments under the sublease and management agreement.  Gottlieb agreed to forego her ALS salary</w:t>
      </w:r>
      <w:r w:rsidRPr="005A144C" w:rsidR="007F00D5">
        <w:rPr>
          <w:rFonts w:ascii="Century Schoolbook" w:hAnsi="Century Schoolbook"/>
        </w:rPr>
        <w:t>,</w:t>
      </w:r>
      <w:r w:rsidRPr="005A144C" w:rsidR="00DE44DD">
        <w:rPr>
          <w:rFonts w:ascii="Century Schoolbook" w:hAnsi="Century Schoolbook"/>
        </w:rPr>
        <w:t xml:space="preserve"> and the law firm</w:t>
      </w:r>
      <w:r w:rsidRPr="005A144C" w:rsidR="006B58AA">
        <w:rPr>
          <w:rFonts w:ascii="Century Schoolbook" w:hAnsi="Century Schoolbook"/>
        </w:rPr>
        <w:t>,</w:t>
      </w:r>
      <w:r w:rsidRPr="005A144C" w:rsidR="00DE44DD">
        <w:rPr>
          <w:rFonts w:ascii="Century Schoolbook" w:hAnsi="Century Schoolbook"/>
        </w:rPr>
        <w:t xml:space="preserve"> in violation of ALS’s rights under the sublease</w:t>
      </w:r>
      <w:r w:rsidRPr="005A144C" w:rsidR="006B58AA">
        <w:rPr>
          <w:rFonts w:ascii="Century Schoolbook" w:hAnsi="Century Schoolbook"/>
        </w:rPr>
        <w:t>,</w:t>
      </w:r>
      <w:r w:rsidRPr="005A144C" w:rsidR="00DE44DD">
        <w:rPr>
          <w:rFonts w:ascii="Century Schoolbook" w:hAnsi="Century Schoolbook"/>
        </w:rPr>
        <w:t xml:space="preserve"> subleased portions of ALS’s space to other subtenants. </w:t>
      </w:r>
      <w:r w:rsidRPr="005A144C">
        <w:rPr>
          <w:rFonts w:ascii="Century Schoolbook" w:hAnsi="Century Schoolbook"/>
        </w:rPr>
        <w:t xml:space="preserve"> </w:t>
      </w:r>
      <w:r w:rsidRPr="005A144C" w:rsidR="00F9710D">
        <w:rPr>
          <w:rFonts w:ascii="Century Schoolbook" w:hAnsi="Century Schoolbook"/>
        </w:rPr>
        <w:t xml:space="preserve">The court found </w:t>
      </w:r>
      <w:r w:rsidRPr="005A144C" w:rsidR="001B45BB">
        <w:rPr>
          <w:rFonts w:ascii="Century Schoolbook" w:hAnsi="Century Schoolbook"/>
        </w:rPr>
        <w:t xml:space="preserve">Swedelson and Gottlieb </w:t>
      </w:r>
      <w:r w:rsidRPr="005A144C" w:rsidR="00F9710D">
        <w:rPr>
          <w:rFonts w:ascii="Century Schoolbook" w:hAnsi="Century Schoolbook"/>
        </w:rPr>
        <w:t xml:space="preserve">had </w:t>
      </w:r>
      <w:r w:rsidRPr="005A144C" w:rsidR="001B45BB">
        <w:rPr>
          <w:rFonts w:ascii="Century Schoolbook" w:hAnsi="Century Schoolbook"/>
        </w:rPr>
        <w:t xml:space="preserve">used ALS to procure legal work for the law firm.  ALS’s standard collection </w:t>
      </w:r>
      <w:r w:rsidRPr="005A144C" w:rsidR="00812E2D">
        <w:rPr>
          <w:rFonts w:ascii="Century Schoolbook" w:hAnsi="Century Schoolbook"/>
        </w:rPr>
        <w:t xml:space="preserve">contract terms </w:t>
      </w:r>
      <w:r w:rsidRPr="005A144C" w:rsidR="00BA28F9">
        <w:rPr>
          <w:rFonts w:ascii="Century Schoolbook" w:hAnsi="Century Schoolbook"/>
        </w:rPr>
        <w:t>provided for</w:t>
      </w:r>
      <w:r w:rsidRPr="005A144C" w:rsidR="00812E2D">
        <w:rPr>
          <w:rFonts w:ascii="Century Schoolbook" w:hAnsi="Century Schoolbook"/>
        </w:rPr>
        <w:t xml:space="preserve"> use</w:t>
      </w:r>
      <w:r w:rsidRPr="005A144C" w:rsidR="00BA28F9">
        <w:rPr>
          <w:rFonts w:ascii="Century Schoolbook" w:hAnsi="Century Schoolbook"/>
        </w:rPr>
        <w:t xml:space="preserve"> of</w:t>
      </w:r>
      <w:r w:rsidRPr="005A144C" w:rsidR="00812E2D">
        <w:rPr>
          <w:rFonts w:ascii="Century Schoolbook" w:hAnsi="Century Schoolbook"/>
        </w:rPr>
        <w:t xml:space="preserve"> the law firm’s legal services.  ALS advertised the law firm’s legal services </w:t>
      </w:r>
      <w:r w:rsidRPr="005A144C" w:rsidR="00416363">
        <w:rPr>
          <w:rFonts w:ascii="Century Schoolbook" w:hAnsi="Century Schoolbook"/>
        </w:rPr>
        <w:t>on</w:t>
      </w:r>
      <w:r w:rsidRPr="005A144C" w:rsidR="00812E2D">
        <w:rPr>
          <w:rFonts w:ascii="Century Schoolbook" w:hAnsi="Century Schoolbook"/>
        </w:rPr>
        <w:t xml:space="preserve"> its </w:t>
      </w:r>
      <w:r w:rsidRPr="005A144C" w:rsidR="00557DB6">
        <w:rPr>
          <w:rFonts w:ascii="Century Schoolbook" w:hAnsi="Century Schoolbook"/>
        </w:rPr>
        <w:t xml:space="preserve">website and in other </w:t>
      </w:r>
      <w:r w:rsidRPr="005A144C" w:rsidR="00812E2D">
        <w:rPr>
          <w:rFonts w:ascii="Century Schoolbook" w:hAnsi="Century Schoolbook"/>
        </w:rPr>
        <w:t>marketing materials.</w:t>
      </w:r>
      <w:r w:rsidRPr="005A144C" w:rsidR="00A03681">
        <w:rPr>
          <w:rFonts w:ascii="Century Schoolbook" w:hAnsi="Century Schoolbook"/>
        </w:rPr>
        <w:t xml:space="preserve"> </w:t>
      </w:r>
      <w:r w:rsidRPr="005A144C" w:rsidR="00F8226A">
        <w:rPr>
          <w:rFonts w:ascii="Century Schoolbook" w:hAnsi="Century Schoolbook"/>
        </w:rPr>
        <w:t xml:space="preserve"> </w:t>
      </w:r>
    </w:p>
    <w:p w:rsidR="00B26DDB" w:rsidRPr="005A144C" w:rsidP="002E22D7" w14:paraId="0F8D8B39" w14:textId="2067C1A3">
      <w:pPr>
        <w:spacing w:line="360" w:lineRule="auto"/>
        <w:rPr>
          <w:rFonts w:ascii="Century Schoolbook" w:hAnsi="Century Schoolbook"/>
        </w:rPr>
      </w:pPr>
      <w:r w:rsidRPr="005A144C">
        <w:rPr>
          <w:rFonts w:ascii="Century Schoolbook" w:hAnsi="Century Schoolbook"/>
        </w:rPr>
        <w:tab/>
      </w:r>
      <w:r w:rsidRPr="005A144C" w:rsidR="001F1D2C">
        <w:rPr>
          <w:rFonts w:ascii="Century Schoolbook" w:hAnsi="Century Schoolbook"/>
        </w:rPr>
        <w:t>On the second part of the test, the</w:t>
      </w:r>
      <w:r w:rsidRPr="005A144C" w:rsidR="00BA3B1A">
        <w:rPr>
          <w:rFonts w:ascii="Century Schoolbook" w:hAnsi="Century Schoolbook"/>
        </w:rPr>
        <w:t xml:space="preserve"> court found </w:t>
      </w:r>
      <w:r w:rsidRPr="005A144C">
        <w:rPr>
          <w:rFonts w:ascii="Century Schoolbook" w:hAnsi="Century Schoolbook"/>
        </w:rPr>
        <w:t xml:space="preserve">that </w:t>
      </w:r>
      <w:r w:rsidRPr="005A144C" w:rsidR="001B45BB">
        <w:rPr>
          <w:rFonts w:ascii="Century Schoolbook" w:hAnsi="Century Schoolbook"/>
        </w:rPr>
        <w:t xml:space="preserve">failure to apply the alter ego doctrine would lead to an inequitable result. </w:t>
      </w:r>
      <w:r w:rsidRPr="005A144C" w:rsidR="00735C9A">
        <w:rPr>
          <w:rFonts w:ascii="Century Schoolbook" w:hAnsi="Century Schoolbook"/>
        </w:rPr>
        <w:t xml:space="preserve"> </w:t>
      </w:r>
      <w:r w:rsidRPr="005A144C">
        <w:rPr>
          <w:rFonts w:ascii="Century Schoolbook" w:hAnsi="Century Schoolbook"/>
        </w:rPr>
        <w:t>When ALS was incorporated in 2005, Swedelson and Gottlieb contributed $28,000 total in capital.  They also obtained an insurance policy with a $1</w:t>
      </w:r>
      <w:r w:rsidRPr="005A144C" w:rsidR="0037413B">
        <w:rPr>
          <w:rFonts w:ascii="Century Schoolbook" w:hAnsi="Century Schoolbook"/>
        </w:rPr>
        <w:t> million</w:t>
      </w:r>
      <w:r w:rsidRPr="005A144C">
        <w:rPr>
          <w:rFonts w:ascii="Century Schoolbook" w:hAnsi="Century Schoolbook"/>
        </w:rPr>
        <w:t xml:space="preserve"> limit and a $250,000 class action sublimit. </w:t>
      </w:r>
    </w:p>
    <w:p w:rsidR="00B26DDB" w:rsidRPr="005A144C" w:rsidP="002E22D7" w14:paraId="63A0CE1D" w14:textId="6439BEC2">
      <w:pPr>
        <w:spacing w:line="360" w:lineRule="auto"/>
        <w:rPr>
          <w:rFonts w:ascii="Century Schoolbook" w:hAnsi="Century Schoolbook"/>
        </w:rPr>
      </w:pPr>
      <w:r w:rsidRPr="005A144C">
        <w:rPr>
          <w:rFonts w:ascii="Century Schoolbook" w:hAnsi="Century Schoolbook"/>
        </w:rPr>
        <w:tab/>
        <w:t>The court found that Swedelson and Gottlieb</w:t>
      </w:r>
      <w:r w:rsidRPr="005A144C" w:rsidR="003C609D">
        <w:rPr>
          <w:rFonts w:ascii="Century Schoolbook" w:hAnsi="Century Schoolbook"/>
        </w:rPr>
        <w:t xml:space="preserve"> “failed to provide ALS with sufficient unencumbered capital and/or insurance to cover its reasonably foreseeable liabilities” related to “unfair debt collection litigation.”</w:t>
      </w:r>
      <w:r w:rsidRPr="005A144C">
        <w:rPr>
          <w:rFonts w:ascii="Century Schoolbook" w:hAnsi="Century Schoolbook"/>
        </w:rPr>
        <w:t xml:space="preserve"> </w:t>
      </w:r>
      <w:r w:rsidRPr="005A144C" w:rsidR="003C609D">
        <w:rPr>
          <w:rFonts w:ascii="Century Schoolbook" w:hAnsi="Century Schoolbook"/>
        </w:rPr>
        <w:t xml:space="preserve"> It found they were aware of these risks at the time of incorporation</w:t>
      </w:r>
      <w:r w:rsidRPr="005A144C" w:rsidR="000F0C05">
        <w:rPr>
          <w:rFonts w:ascii="Century Schoolbook" w:hAnsi="Century Schoolbook"/>
        </w:rPr>
        <w:t xml:space="preserve"> because t</w:t>
      </w:r>
      <w:r w:rsidRPr="005A144C" w:rsidR="003C609D">
        <w:rPr>
          <w:rFonts w:ascii="Century Schoolbook" w:hAnsi="Century Schoolbook"/>
        </w:rPr>
        <w:t xml:space="preserve">hey had previously defended </w:t>
      </w:r>
      <w:r w:rsidRPr="005A144C" w:rsidR="00572B60">
        <w:rPr>
          <w:rFonts w:ascii="Century Schoolbook" w:hAnsi="Century Schoolbook"/>
        </w:rPr>
        <w:t xml:space="preserve">Association </w:t>
      </w:r>
      <w:r w:rsidRPr="005A144C" w:rsidR="003C609D">
        <w:rPr>
          <w:rFonts w:ascii="Century Schoolbook" w:hAnsi="Century Schoolbook"/>
        </w:rPr>
        <w:t>Lien Services in another FDCPA class action</w:t>
      </w:r>
      <w:r w:rsidRPr="005A144C" w:rsidR="000F0C05">
        <w:rPr>
          <w:rFonts w:ascii="Century Schoolbook" w:hAnsi="Century Schoolbook"/>
        </w:rPr>
        <w:t xml:space="preserve"> </w:t>
      </w:r>
      <w:r w:rsidRPr="005A144C" w:rsidR="001E1B01">
        <w:rPr>
          <w:rFonts w:ascii="Century Schoolbook" w:hAnsi="Century Schoolbook"/>
        </w:rPr>
        <w:t>in which they had</w:t>
      </w:r>
      <w:r w:rsidRPr="005A144C" w:rsidR="000F0C05">
        <w:rPr>
          <w:rFonts w:ascii="Century Schoolbook" w:hAnsi="Century Schoolbook"/>
        </w:rPr>
        <w:t xml:space="preserve"> </w:t>
      </w:r>
      <w:r w:rsidRPr="005A144C" w:rsidR="00E5077F">
        <w:rPr>
          <w:rFonts w:ascii="Century Schoolbook" w:hAnsi="Century Schoolbook"/>
        </w:rPr>
        <w:t>charged</w:t>
      </w:r>
      <w:r w:rsidRPr="005A144C" w:rsidR="0023176F">
        <w:rPr>
          <w:rFonts w:ascii="Century Schoolbook" w:hAnsi="Century Schoolbook"/>
        </w:rPr>
        <w:t xml:space="preserve"> </w:t>
      </w:r>
      <w:r w:rsidRPr="005A144C" w:rsidR="00E5077F">
        <w:rPr>
          <w:rFonts w:ascii="Century Schoolbook" w:hAnsi="Century Schoolbook"/>
        </w:rPr>
        <w:t>$1,076</w:t>
      </w:r>
      <w:r w:rsidRPr="005A144C" w:rsidR="00242313">
        <w:rPr>
          <w:rFonts w:ascii="Century Schoolbook" w:hAnsi="Century Schoolbook"/>
        </w:rPr>
        <w:t>,</w:t>
      </w:r>
      <w:r w:rsidRPr="005A144C" w:rsidR="00E5077F">
        <w:rPr>
          <w:rFonts w:ascii="Century Schoolbook" w:hAnsi="Century Schoolbook"/>
        </w:rPr>
        <w:t>227.14</w:t>
      </w:r>
      <w:r w:rsidRPr="005A144C" w:rsidR="00603516">
        <w:rPr>
          <w:rFonts w:ascii="Century Schoolbook" w:hAnsi="Century Schoolbook"/>
        </w:rPr>
        <w:t xml:space="preserve"> for legal fees</w:t>
      </w:r>
      <w:r w:rsidRPr="005A144C" w:rsidR="00360F38">
        <w:rPr>
          <w:rFonts w:ascii="Century Schoolbook" w:hAnsi="Century Schoolbook"/>
        </w:rPr>
        <w:t xml:space="preserve">. </w:t>
      </w:r>
      <w:r w:rsidRPr="005A144C" w:rsidR="00E64F1C">
        <w:rPr>
          <w:rFonts w:ascii="Century Schoolbook" w:hAnsi="Century Schoolbook"/>
        </w:rPr>
        <w:t xml:space="preserve"> </w:t>
      </w:r>
      <w:r w:rsidRPr="005A144C" w:rsidR="003C609D">
        <w:rPr>
          <w:rFonts w:ascii="Century Schoolbook" w:hAnsi="Century Schoolbook"/>
        </w:rPr>
        <w:t xml:space="preserve">ALS </w:t>
      </w:r>
      <w:r w:rsidRPr="005A144C" w:rsidR="00F53425">
        <w:rPr>
          <w:rFonts w:ascii="Century Schoolbook" w:hAnsi="Century Schoolbook"/>
        </w:rPr>
        <w:t xml:space="preserve">educational </w:t>
      </w:r>
      <w:r w:rsidRPr="005A144C" w:rsidR="003C609D">
        <w:rPr>
          <w:rFonts w:ascii="Century Schoolbook" w:hAnsi="Century Schoolbook"/>
        </w:rPr>
        <w:t xml:space="preserve">materials </w:t>
      </w:r>
      <w:r w:rsidRPr="005A144C" w:rsidR="00300FAD">
        <w:rPr>
          <w:rFonts w:ascii="Century Schoolbook" w:hAnsi="Century Schoolbook"/>
        </w:rPr>
        <w:t xml:space="preserve">showed Swedelson and Gottlieb </w:t>
      </w:r>
      <w:r w:rsidRPr="005A144C" w:rsidR="003C609D">
        <w:rPr>
          <w:rFonts w:ascii="Century Schoolbook" w:hAnsi="Century Schoolbook"/>
        </w:rPr>
        <w:t xml:space="preserve">were “sophisticated” in their knowledge of FDCPA liability. </w:t>
      </w:r>
      <w:r w:rsidRPr="005A144C" w:rsidR="0064605E">
        <w:rPr>
          <w:rFonts w:ascii="Century Schoolbook" w:hAnsi="Century Schoolbook"/>
        </w:rPr>
        <w:t xml:space="preserve"> Between 2012 and 2020, ALS was sued at least 12 times for </w:t>
      </w:r>
      <w:r w:rsidRPr="005A144C" w:rsidR="00F63F2D">
        <w:rPr>
          <w:rFonts w:ascii="Century Schoolbook" w:hAnsi="Century Schoolbook"/>
        </w:rPr>
        <w:t xml:space="preserve">debt collection activities. </w:t>
      </w:r>
    </w:p>
    <w:p w:rsidR="00736539" w:rsidRPr="005A144C" w:rsidP="002E22D7" w14:paraId="6938E88F" w14:textId="7FB324B8">
      <w:pPr>
        <w:spacing w:line="360" w:lineRule="auto"/>
        <w:rPr>
          <w:rFonts w:ascii="Century Schoolbook" w:hAnsi="Century Schoolbook"/>
        </w:rPr>
      </w:pPr>
      <w:r w:rsidRPr="005A144C">
        <w:rPr>
          <w:rFonts w:ascii="Century Schoolbook" w:hAnsi="Century Schoolbook"/>
        </w:rPr>
        <w:tab/>
      </w:r>
      <w:r w:rsidRPr="005A144C" w:rsidR="005A47BD">
        <w:rPr>
          <w:rFonts w:ascii="Century Schoolbook" w:hAnsi="Century Schoolbook"/>
        </w:rPr>
        <w:t xml:space="preserve">As described above, ALS was in default on payments under the sublease and management agreement by the end of 2013. </w:t>
      </w:r>
      <w:r w:rsidRPr="005A144C" w:rsidR="00F622B8">
        <w:rPr>
          <w:rFonts w:ascii="Century Schoolbook" w:hAnsi="Century Schoolbook"/>
        </w:rPr>
        <w:t xml:space="preserve"> </w:t>
      </w:r>
      <w:r w:rsidRPr="005A144C" w:rsidR="00F63F2D">
        <w:rPr>
          <w:rFonts w:ascii="Century Schoolbook" w:hAnsi="Century Schoolbook"/>
        </w:rPr>
        <w:t xml:space="preserve">When </w:t>
      </w:r>
      <w:r w:rsidRPr="005A144C" w:rsidR="00E2145B">
        <w:rPr>
          <w:rFonts w:ascii="Century Schoolbook" w:hAnsi="Century Schoolbook"/>
        </w:rPr>
        <w:t>ALS</w:t>
      </w:r>
      <w:r w:rsidRPr="005A144C" w:rsidR="00F63F2D">
        <w:rPr>
          <w:rFonts w:ascii="Century Schoolbook" w:hAnsi="Century Schoolbook"/>
        </w:rPr>
        <w:t xml:space="preserve"> was collecting Doskocz’s account in </w:t>
      </w:r>
      <w:r w:rsidRPr="005A144C" w:rsidR="00687B07">
        <w:rPr>
          <w:rFonts w:ascii="Century Schoolbook" w:hAnsi="Century Schoolbook"/>
        </w:rPr>
        <w:t>2013 and 2014</w:t>
      </w:r>
      <w:r w:rsidRPr="005A144C" w:rsidR="00F63F2D">
        <w:rPr>
          <w:rFonts w:ascii="Century Schoolbook" w:hAnsi="Century Schoolbook"/>
        </w:rPr>
        <w:t xml:space="preserve">, it had no significant unencumbered capital.  </w:t>
      </w:r>
      <w:r w:rsidRPr="005A144C" w:rsidR="005A47BD">
        <w:rPr>
          <w:rFonts w:ascii="Century Schoolbook" w:hAnsi="Century Schoolbook"/>
        </w:rPr>
        <w:t>ALS’s default</w:t>
      </w:r>
      <w:r w:rsidRPr="005A144C" w:rsidR="004075A1">
        <w:rPr>
          <w:rFonts w:ascii="Century Schoolbook" w:hAnsi="Century Schoolbook"/>
        </w:rPr>
        <w:t xml:space="preserve"> on its payments under the sublease and management agreement</w:t>
      </w:r>
      <w:r w:rsidRPr="005A144C" w:rsidR="00E84A19">
        <w:rPr>
          <w:rFonts w:ascii="Century Schoolbook" w:hAnsi="Century Schoolbook"/>
        </w:rPr>
        <w:t xml:space="preserve"> continued to grow</w:t>
      </w:r>
      <w:r w:rsidRPr="005A144C" w:rsidR="005A47BD">
        <w:rPr>
          <w:rFonts w:ascii="Century Schoolbook" w:hAnsi="Century Schoolbook"/>
        </w:rPr>
        <w:t xml:space="preserve">. </w:t>
      </w:r>
    </w:p>
    <w:p w:rsidR="00E86301" w:rsidRPr="005A144C" w:rsidP="002E22D7" w14:paraId="30EE761A" w14:textId="1395E7BD">
      <w:pPr>
        <w:spacing w:line="360" w:lineRule="auto"/>
        <w:rPr>
          <w:rFonts w:ascii="Century Schoolbook" w:hAnsi="Century Schoolbook"/>
        </w:rPr>
      </w:pPr>
      <w:r w:rsidRPr="005A144C">
        <w:rPr>
          <w:rFonts w:ascii="Century Schoolbook" w:hAnsi="Century Schoolbook"/>
        </w:rPr>
        <w:tab/>
      </w:r>
      <w:r w:rsidRPr="005A144C" w:rsidR="006731B6">
        <w:rPr>
          <w:rFonts w:ascii="Century Schoolbook" w:hAnsi="Century Schoolbook"/>
        </w:rPr>
        <w:t xml:space="preserve">ALS had </w:t>
      </w:r>
      <w:r w:rsidRPr="005A144C" w:rsidR="00146A76">
        <w:rPr>
          <w:rFonts w:ascii="Century Schoolbook" w:hAnsi="Century Schoolbook"/>
        </w:rPr>
        <w:t>a</w:t>
      </w:r>
      <w:r w:rsidRPr="005A144C" w:rsidR="00195A93">
        <w:rPr>
          <w:rFonts w:ascii="Century Schoolbook" w:hAnsi="Century Schoolbook"/>
        </w:rPr>
        <w:t>round</w:t>
      </w:r>
      <w:r w:rsidRPr="005A144C" w:rsidR="006731B6">
        <w:rPr>
          <w:rFonts w:ascii="Century Schoolbook" w:hAnsi="Century Schoolbook"/>
        </w:rPr>
        <w:t xml:space="preserve"> $</w:t>
      </w:r>
      <w:r w:rsidRPr="005A144C" w:rsidR="00DE026D">
        <w:rPr>
          <w:rFonts w:ascii="Century Schoolbook" w:hAnsi="Century Schoolbook"/>
        </w:rPr>
        <w:t>100,000</w:t>
      </w:r>
      <w:r w:rsidRPr="005A144C" w:rsidR="00FE6920">
        <w:rPr>
          <w:rFonts w:ascii="Century Schoolbook" w:hAnsi="Century Schoolbook"/>
        </w:rPr>
        <w:t xml:space="preserve"> </w:t>
      </w:r>
      <w:r w:rsidRPr="005A144C" w:rsidR="006731B6">
        <w:rPr>
          <w:rFonts w:ascii="Century Schoolbook" w:hAnsi="Century Schoolbook"/>
        </w:rPr>
        <w:t xml:space="preserve">in </w:t>
      </w:r>
      <w:r w:rsidRPr="005A144C" w:rsidR="00DE026D">
        <w:rPr>
          <w:rFonts w:ascii="Century Schoolbook" w:hAnsi="Century Schoolbook"/>
        </w:rPr>
        <w:t>total</w:t>
      </w:r>
      <w:r w:rsidRPr="005A144C" w:rsidR="006731B6">
        <w:rPr>
          <w:rFonts w:ascii="Century Schoolbook" w:hAnsi="Century Schoolbook"/>
        </w:rPr>
        <w:t xml:space="preserve"> income</w:t>
      </w:r>
      <w:r w:rsidRPr="005A144C" w:rsidR="001C0807">
        <w:rPr>
          <w:rFonts w:ascii="Century Schoolbook" w:hAnsi="Century Schoolbook"/>
        </w:rPr>
        <w:t xml:space="preserve"> </w:t>
      </w:r>
      <w:r w:rsidRPr="005A144C" w:rsidR="00FE6920">
        <w:rPr>
          <w:rFonts w:ascii="Century Schoolbook" w:hAnsi="Century Schoolbook"/>
        </w:rPr>
        <w:t xml:space="preserve">from 2015 to 2021, </w:t>
      </w:r>
      <w:r w:rsidRPr="005A144C" w:rsidR="00610DA2">
        <w:rPr>
          <w:rFonts w:ascii="Century Schoolbook" w:hAnsi="Century Schoolbook"/>
        </w:rPr>
        <w:t>but</w:t>
      </w:r>
      <w:r w:rsidRPr="005A144C" w:rsidR="001C0807">
        <w:rPr>
          <w:rFonts w:ascii="Century Schoolbook" w:hAnsi="Century Schoolbook"/>
        </w:rPr>
        <w:t xml:space="preserve"> </w:t>
      </w:r>
      <w:r w:rsidRPr="005A144C" w:rsidR="00FE6920">
        <w:rPr>
          <w:rFonts w:ascii="Century Schoolbook" w:hAnsi="Century Schoolbook"/>
        </w:rPr>
        <w:t xml:space="preserve">had </w:t>
      </w:r>
      <w:r w:rsidRPr="005A144C" w:rsidR="001C0807">
        <w:rPr>
          <w:rFonts w:ascii="Century Schoolbook" w:hAnsi="Century Schoolbook"/>
        </w:rPr>
        <w:t xml:space="preserve">$825,000 in delinquencies.  </w:t>
      </w:r>
      <w:r w:rsidRPr="005A144C" w:rsidR="0066156C">
        <w:rPr>
          <w:rFonts w:ascii="Century Schoolbook" w:hAnsi="Century Schoolbook"/>
        </w:rPr>
        <w:t>D</w:t>
      </w:r>
      <w:r w:rsidRPr="005A144C" w:rsidR="001C0807">
        <w:rPr>
          <w:rFonts w:ascii="Century Schoolbook" w:hAnsi="Century Schoolbook"/>
        </w:rPr>
        <w:t>uring that period,</w:t>
      </w:r>
      <w:r w:rsidRPr="005A144C" w:rsidR="0036642E">
        <w:rPr>
          <w:rFonts w:ascii="Century Schoolbook" w:hAnsi="Century Schoolbook"/>
        </w:rPr>
        <w:t xml:space="preserve"> </w:t>
      </w:r>
      <w:r w:rsidRPr="005A144C" w:rsidR="00844E7D">
        <w:rPr>
          <w:rFonts w:ascii="Century Schoolbook" w:hAnsi="Century Schoolbook"/>
        </w:rPr>
        <w:t xml:space="preserve">ALS paid the law firm </w:t>
      </w:r>
      <w:r w:rsidRPr="005A144C" w:rsidR="009061CD">
        <w:rPr>
          <w:rFonts w:ascii="Century Schoolbook" w:hAnsi="Century Schoolbook"/>
        </w:rPr>
        <w:t>approximately $1.4 million</w:t>
      </w:r>
      <w:r w:rsidRPr="005A144C" w:rsidR="006731B6">
        <w:rPr>
          <w:rFonts w:ascii="Century Schoolbook" w:hAnsi="Century Schoolbook"/>
        </w:rPr>
        <w:t xml:space="preserve"> in rent, management fees, legal services, and compensation to Gottlieb</w:t>
      </w:r>
      <w:r w:rsidRPr="005A144C" w:rsidR="00616CD4">
        <w:rPr>
          <w:rFonts w:ascii="Century Schoolbook" w:hAnsi="Century Schoolbook"/>
        </w:rPr>
        <w:t xml:space="preserve">.  This included </w:t>
      </w:r>
      <w:r w:rsidRPr="005A144C" w:rsidR="00844E7D">
        <w:rPr>
          <w:rFonts w:ascii="Century Schoolbook" w:hAnsi="Century Schoolbook"/>
        </w:rPr>
        <w:t xml:space="preserve">$300,000 in attorney fees billed </w:t>
      </w:r>
      <w:r w:rsidRPr="005A144C" w:rsidR="006200BF">
        <w:rPr>
          <w:rFonts w:ascii="Century Schoolbook" w:hAnsi="Century Schoolbook"/>
        </w:rPr>
        <w:t>as outside counsel</w:t>
      </w:r>
      <w:r w:rsidRPr="005A144C" w:rsidR="003315E0">
        <w:rPr>
          <w:rFonts w:ascii="Century Schoolbook" w:hAnsi="Century Schoolbook"/>
        </w:rPr>
        <w:t xml:space="preserve"> in this litigation</w:t>
      </w:r>
      <w:r w:rsidRPr="005A144C" w:rsidR="009061CD">
        <w:rPr>
          <w:rFonts w:ascii="Century Schoolbook" w:hAnsi="Century Schoolbook"/>
        </w:rPr>
        <w:t xml:space="preserve"> (</w:t>
      </w:r>
      <w:r w:rsidRPr="005A144C" w:rsidR="00844E7D">
        <w:rPr>
          <w:rFonts w:ascii="Century Schoolbook" w:hAnsi="Century Schoolbook"/>
        </w:rPr>
        <w:t>bey</w:t>
      </w:r>
      <w:r w:rsidRPr="005A144C" w:rsidR="006200BF">
        <w:rPr>
          <w:rFonts w:ascii="Century Schoolbook" w:hAnsi="Century Schoolbook"/>
        </w:rPr>
        <w:t xml:space="preserve">ond </w:t>
      </w:r>
      <w:r w:rsidRPr="005A144C" w:rsidR="001E0AD0">
        <w:rPr>
          <w:rFonts w:ascii="Century Schoolbook" w:hAnsi="Century Schoolbook"/>
        </w:rPr>
        <w:t>fees paid to</w:t>
      </w:r>
      <w:r w:rsidRPr="005A144C" w:rsidR="006200BF">
        <w:rPr>
          <w:rFonts w:ascii="Century Schoolbook" w:hAnsi="Century Schoolbook"/>
        </w:rPr>
        <w:t xml:space="preserve"> insurance defense counsel</w:t>
      </w:r>
      <w:r w:rsidRPr="005A144C" w:rsidR="001E0AD0">
        <w:rPr>
          <w:rFonts w:ascii="Century Schoolbook" w:hAnsi="Century Schoolbook"/>
        </w:rPr>
        <w:t xml:space="preserve"> after exhaustion of the insurance policy</w:t>
      </w:r>
      <w:r w:rsidRPr="005A144C" w:rsidR="009061CD">
        <w:rPr>
          <w:rFonts w:ascii="Century Schoolbook" w:hAnsi="Century Schoolbook"/>
        </w:rPr>
        <w:t>)</w:t>
      </w:r>
      <w:r w:rsidRPr="005A144C" w:rsidR="00844E7D">
        <w:rPr>
          <w:rFonts w:ascii="Century Schoolbook" w:hAnsi="Century Schoolbook"/>
        </w:rPr>
        <w:t xml:space="preserve">. </w:t>
      </w:r>
      <w:r w:rsidRPr="005A144C" w:rsidR="00F8226A">
        <w:rPr>
          <w:rFonts w:ascii="Century Schoolbook" w:hAnsi="Century Schoolbook"/>
        </w:rPr>
        <w:t xml:space="preserve"> The court found that </w:t>
      </w:r>
      <w:r w:rsidRPr="005A144C" w:rsidR="00A6725B">
        <w:rPr>
          <w:rFonts w:ascii="Century Schoolbook" w:hAnsi="Century Schoolbook"/>
        </w:rPr>
        <w:t>this</w:t>
      </w:r>
      <w:r w:rsidRPr="005A144C" w:rsidR="00F0042D">
        <w:rPr>
          <w:rFonts w:ascii="Century Schoolbook" w:hAnsi="Century Schoolbook"/>
        </w:rPr>
        <w:t xml:space="preserve"> $300,000 </w:t>
      </w:r>
      <w:r w:rsidRPr="005A144C" w:rsidR="007D4E97">
        <w:rPr>
          <w:rFonts w:ascii="Century Schoolbook" w:hAnsi="Century Schoolbook"/>
        </w:rPr>
        <w:t xml:space="preserve">in </w:t>
      </w:r>
      <w:r w:rsidRPr="005A144C" w:rsidR="000D0B2F">
        <w:rPr>
          <w:rFonts w:ascii="Century Schoolbook" w:hAnsi="Century Schoolbook"/>
        </w:rPr>
        <w:t>payment</w:t>
      </w:r>
      <w:r w:rsidRPr="005A144C" w:rsidR="007D4E97">
        <w:rPr>
          <w:rFonts w:ascii="Century Schoolbook" w:hAnsi="Century Schoolbook"/>
        </w:rPr>
        <w:t>s</w:t>
      </w:r>
      <w:r w:rsidRPr="005A144C" w:rsidR="000D0B2F">
        <w:rPr>
          <w:rFonts w:ascii="Century Schoolbook" w:hAnsi="Century Schoolbook"/>
        </w:rPr>
        <w:t xml:space="preserve"> </w:t>
      </w:r>
      <w:r w:rsidRPr="005A144C" w:rsidR="00F8226A">
        <w:rPr>
          <w:rFonts w:ascii="Century Schoolbook" w:hAnsi="Century Schoolbook"/>
        </w:rPr>
        <w:t xml:space="preserve">had a “significant adverse financial impact on ALS,” and that Swedelson understood bankruptcy would stay the litigation and stop </w:t>
      </w:r>
      <w:r w:rsidRPr="005A144C" w:rsidR="009B2BAF">
        <w:rPr>
          <w:rFonts w:ascii="Century Schoolbook" w:hAnsi="Century Schoolbook"/>
        </w:rPr>
        <w:t>“</w:t>
      </w:r>
      <w:r w:rsidRPr="005A144C" w:rsidR="00F8226A">
        <w:rPr>
          <w:rFonts w:ascii="Century Schoolbook" w:hAnsi="Century Schoolbook"/>
        </w:rPr>
        <w:t>financial drain</w:t>
      </w:r>
      <w:r w:rsidRPr="005A144C" w:rsidR="009B2BAF">
        <w:rPr>
          <w:rFonts w:ascii="Century Schoolbook" w:hAnsi="Century Schoolbook"/>
        </w:rPr>
        <w:t>s</w:t>
      </w:r>
      <w:r w:rsidRPr="005A144C" w:rsidR="00F8226A">
        <w:rPr>
          <w:rFonts w:ascii="Century Schoolbook" w:hAnsi="Century Schoolbook"/>
        </w:rPr>
        <w:t>,</w:t>
      </w:r>
      <w:r w:rsidRPr="005A144C" w:rsidR="009B2BAF">
        <w:rPr>
          <w:rFonts w:ascii="Century Schoolbook" w:hAnsi="Century Schoolbook"/>
        </w:rPr>
        <w:t>”</w:t>
      </w:r>
      <w:r w:rsidRPr="005A144C" w:rsidR="00F8226A">
        <w:rPr>
          <w:rFonts w:ascii="Century Schoolbook" w:hAnsi="Century Schoolbook"/>
        </w:rPr>
        <w:t xml:space="preserve"> but </w:t>
      </w:r>
      <w:r w:rsidRPr="005A144C" w:rsidR="00637BFF">
        <w:rPr>
          <w:rFonts w:ascii="Century Schoolbook" w:hAnsi="Century Schoolbook"/>
        </w:rPr>
        <w:t xml:space="preserve">neither Swedelson nor Gottlieb </w:t>
      </w:r>
      <w:r w:rsidRPr="005A144C" w:rsidR="00F8226A">
        <w:rPr>
          <w:rFonts w:ascii="Century Schoolbook" w:hAnsi="Century Schoolbook"/>
        </w:rPr>
        <w:t xml:space="preserve">ever considered it.  The court also found it was reasonable to infer that Swedelson and Gottlieb “tolerated” ALS’s defaults because, given its public identification with the law firm, ALS’s bankruptcy or “financial failure” would be damaging to the law firm. </w:t>
      </w:r>
    </w:p>
    <w:p w:rsidR="00454398" w:rsidRPr="005A144C" w:rsidP="002E22D7" w14:paraId="4C5CFC41" w14:textId="0146353E">
      <w:pPr>
        <w:spacing w:line="360" w:lineRule="auto"/>
        <w:rPr>
          <w:rFonts w:ascii="Century Schoolbook" w:hAnsi="Century Schoolbook"/>
        </w:rPr>
      </w:pPr>
      <w:r w:rsidRPr="005A144C">
        <w:rPr>
          <w:rFonts w:ascii="Century Schoolbook" w:hAnsi="Century Schoolbook"/>
        </w:rPr>
        <w:tab/>
        <w:t xml:space="preserve">By the time of trial, ALS had been insolvent for several years and was unable to pay a class judgment. </w:t>
      </w:r>
      <w:r w:rsidRPr="005A144C" w:rsidR="004776BE">
        <w:rPr>
          <w:rFonts w:ascii="Century Schoolbook" w:hAnsi="Century Schoolbook"/>
        </w:rPr>
        <w:t xml:space="preserve"> ALS</w:t>
      </w:r>
      <w:r w:rsidRPr="005A144C" w:rsidR="000B3A15">
        <w:rPr>
          <w:rFonts w:ascii="Century Schoolbook" w:hAnsi="Century Schoolbook"/>
        </w:rPr>
        <w:t xml:space="preserve">’s </w:t>
      </w:r>
      <w:r w:rsidRPr="005A144C" w:rsidR="006618E2">
        <w:rPr>
          <w:rFonts w:ascii="Century Schoolbook" w:hAnsi="Century Schoolbook"/>
        </w:rPr>
        <w:t xml:space="preserve">approximate </w:t>
      </w:r>
      <w:r w:rsidRPr="005A144C" w:rsidR="004776BE">
        <w:rPr>
          <w:rFonts w:ascii="Century Schoolbook" w:hAnsi="Century Schoolbook"/>
        </w:rPr>
        <w:t xml:space="preserve">net worth </w:t>
      </w:r>
      <w:r w:rsidRPr="005A144C" w:rsidR="000B3A15">
        <w:rPr>
          <w:rFonts w:ascii="Century Schoolbook" w:hAnsi="Century Schoolbook"/>
        </w:rPr>
        <w:t>was</w:t>
      </w:r>
      <w:r w:rsidRPr="005A144C" w:rsidR="004776BE">
        <w:rPr>
          <w:rFonts w:ascii="Century Schoolbook" w:hAnsi="Century Schoolbook"/>
        </w:rPr>
        <w:t xml:space="preserve"> </w:t>
      </w:r>
      <w:r w:rsidRPr="005A144C" w:rsidR="006618E2">
        <w:rPr>
          <w:rFonts w:ascii="Century Schoolbook" w:hAnsi="Century Schoolbook"/>
          <w:i/>
          <w:iCs/>
        </w:rPr>
        <w:t xml:space="preserve">negative </w:t>
      </w:r>
      <w:r w:rsidRPr="005A144C" w:rsidR="004776BE">
        <w:rPr>
          <w:rFonts w:ascii="Century Schoolbook" w:hAnsi="Century Schoolbook"/>
        </w:rPr>
        <w:t>$1.1 million.</w:t>
      </w:r>
      <w:r w:rsidRPr="005A144C" w:rsidR="009047CB">
        <w:rPr>
          <w:rFonts w:ascii="Century Schoolbook" w:hAnsi="Century Schoolbook"/>
        </w:rPr>
        <w:t xml:space="preserve"> </w:t>
      </w:r>
      <w:r w:rsidRPr="005A144C" w:rsidR="003873FD">
        <w:rPr>
          <w:rFonts w:ascii="Century Schoolbook" w:hAnsi="Century Schoolbook"/>
        </w:rPr>
        <w:t xml:space="preserve"> The court found</w:t>
      </w:r>
      <w:r w:rsidRPr="005A144C" w:rsidR="004B29B4">
        <w:rPr>
          <w:rFonts w:ascii="Century Schoolbook" w:hAnsi="Century Schoolbook"/>
        </w:rPr>
        <w:t xml:space="preserve"> that the SG defendants’ (1) failure to </w:t>
      </w:r>
      <w:r w:rsidRPr="005A144C" w:rsidR="004F25D7">
        <w:rPr>
          <w:rFonts w:ascii="Century Schoolbook" w:hAnsi="Century Schoolbook"/>
        </w:rPr>
        <w:t>“</w:t>
      </w:r>
      <w:r w:rsidRPr="005A144C" w:rsidR="004B29B4">
        <w:rPr>
          <w:rFonts w:ascii="Century Schoolbook" w:hAnsi="Century Schoolbook"/>
        </w:rPr>
        <w:t>adequately capitalize ALS to respond to reasonably expected unfair debt collection class action litigation</w:t>
      </w:r>
      <w:r w:rsidRPr="005A144C" w:rsidR="008100B2">
        <w:rPr>
          <w:rFonts w:ascii="Century Schoolbook" w:hAnsi="Century Schoolbook"/>
        </w:rPr>
        <w:t>,</w:t>
      </w:r>
      <w:r w:rsidRPr="005A144C" w:rsidR="004B29B4">
        <w:rPr>
          <w:rFonts w:ascii="Century Schoolbook" w:hAnsi="Century Schoolbook"/>
        </w:rPr>
        <w:t>” (2)</w:t>
      </w:r>
      <w:r w:rsidRPr="005A144C" w:rsidR="004F25D7">
        <w:rPr>
          <w:rFonts w:ascii="Century Schoolbook" w:hAnsi="Century Schoolbook"/>
        </w:rPr>
        <w:t> </w:t>
      </w:r>
      <w:r w:rsidRPr="005A144C" w:rsidR="004B29B4">
        <w:rPr>
          <w:rFonts w:ascii="Century Schoolbook" w:hAnsi="Century Schoolbook"/>
        </w:rPr>
        <w:t>continuation</w:t>
      </w:r>
      <w:r w:rsidRPr="005A144C" w:rsidR="004F25D7">
        <w:rPr>
          <w:rFonts w:ascii="Century Schoolbook" w:hAnsi="Century Schoolbook"/>
        </w:rPr>
        <w:t xml:space="preserve"> of ALS’s business since 2013 </w:t>
      </w:r>
      <w:r w:rsidRPr="005A144C" w:rsidR="00403869">
        <w:rPr>
          <w:rFonts w:ascii="Century Schoolbook" w:hAnsi="Century Schoolbook"/>
        </w:rPr>
        <w:t xml:space="preserve">without “adequate capital or insurance to respond to a Judgment in this case,” and (3) diversion of ALS funds to themselves was “in bad faith and intentional, for the wrongful and intentional purposes of circumventing the requirements of the FDCPA and Davis-Stirling Act and of avoiding ALS’s liability to the Class in this case.” </w:t>
      </w:r>
    </w:p>
    <w:p w:rsidR="006E33DF" w:rsidRPr="005A144C" w:rsidP="002E22D7" w14:paraId="3C42346F" w14:textId="2D0213AE">
      <w:pPr>
        <w:spacing w:line="360" w:lineRule="auto"/>
        <w:rPr>
          <w:rFonts w:ascii="Century Schoolbook" w:hAnsi="Century Schoolbook"/>
        </w:rPr>
      </w:pPr>
      <w:r w:rsidRPr="005A144C">
        <w:rPr>
          <w:rFonts w:ascii="Century Schoolbook" w:hAnsi="Century Schoolbook"/>
        </w:rPr>
        <w:tab/>
        <w:t>The trial court noted that the SG defendants had presented testimony from an “expert on alter ego</w:t>
      </w:r>
      <w:r w:rsidRPr="005A144C" w:rsidR="003C5837">
        <w:rPr>
          <w:rFonts w:ascii="Century Schoolbook" w:hAnsi="Century Schoolbook"/>
        </w:rPr>
        <w:t>,</w:t>
      </w:r>
      <w:r w:rsidRPr="005A144C">
        <w:rPr>
          <w:rFonts w:ascii="Century Schoolbook" w:hAnsi="Century Schoolbook"/>
        </w:rPr>
        <w:t>”</w:t>
      </w:r>
      <w:r w:rsidRPr="005A144C" w:rsidR="003C5837">
        <w:rPr>
          <w:rFonts w:ascii="Century Schoolbook" w:hAnsi="Century Schoolbook"/>
        </w:rPr>
        <w:t xml:space="preserve"> </w:t>
      </w:r>
      <w:r w:rsidRPr="005A144C" w:rsidR="00656D5C">
        <w:rPr>
          <w:rFonts w:ascii="Century Schoolbook" w:hAnsi="Century Schoolbook"/>
        </w:rPr>
        <w:t xml:space="preserve">including </w:t>
      </w:r>
      <w:r w:rsidRPr="005A144C" w:rsidR="002E67D0">
        <w:rPr>
          <w:rFonts w:ascii="Century Schoolbook" w:hAnsi="Century Schoolbook"/>
        </w:rPr>
        <w:t xml:space="preserve">opinions </w:t>
      </w:r>
      <w:r w:rsidRPr="005A144C" w:rsidR="00656D5C">
        <w:rPr>
          <w:rFonts w:ascii="Century Schoolbook" w:hAnsi="Century Schoolbook"/>
        </w:rPr>
        <w:t xml:space="preserve">regarding </w:t>
      </w:r>
      <w:r w:rsidRPr="005A144C" w:rsidR="00254FDB">
        <w:rPr>
          <w:rFonts w:ascii="Century Schoolbook" w:hAnsi="Century Schoolbook"/>
        </w:rPr>
        <w:t>the observance of corporate formalities and the separateness of entities</w:t>
      </w:r>
      <w:r w:rsidRPr="005A144C" w:rsidR="003C5837">
        <w:rPr>
          <w:rFonts w:ascii="Century Schoolbook" w:hAnsi="Century Schoolbook"/>
        </w:rPr>
        <w:t>.  The trial court concluded, however, that the expert had “testified about his opinion based on incomplete facts provided to him.  As a result that opinion was not helpful to the Court.  Also the legal conclusion reached by him, even [if] it was on complete facts, invades the discretion of the court under the law.”</w:t>
      </w:r>
      <w:r w:rsidRPr="005A144C">
        <w:rPr>
          <w:rFonts w:ascii="Century Schoolbook" w:hAnsi="Century Schoolbook"/>
        </w:rPr>
        <w:t xml:space="preserve"> </w:t>
      </w:r>
    </w:p>
    <w:p w:rsidR="00580FFE" w:rsidRPr="005A144C" w:rsidP="002E22D7" w14:paraId="0A31B829" w14:textId="3DF1E1F5">
      <w:pPr>
        <w:keepNext/>
        <w:keepLines/>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 xml:space="preserve">2. </w:t>
      </w:r>
      <w:r w:rsidRPr="005A144C" w:rsidR="002D6F66">
        <w:rPr>
          <w:rFonts w:ascii="Century Schoolbook" w:hAnsi="Century Schoolbook"/>
          <w:b/>
          <w:bCs/>
        </w:rPr>
        <w:t xml:space="preserve"> </w:t>
      </w:r>
      <w:r w:rsidRPr="005A144C">
        <w:rPr>
          <w:rFonts w:ascii="Century Schoolbook" w:hAnsi="Century Schoolbook"/>
          <w:b/>
          <w:bCs/>
        </w:rPr>
        <w:t>Analysis</w:t>
      </w:r>
    </w:p>
    <w:p w:rsidR="00224737" w:rsidRPr="005A144C" w:rsidP="002E22D7" w14:paraId="78B9BB91" w14:textId="3D945F56">
      <w:pPr>
        <w:keepNext/>
        <w:keepLines/>
        <w:spacing w:line="360" w:lineRule="auto"/>
        <w:rPr>
          <w:rFonts w:ascii="Century Schoolbook" w:hAnsi="Century Schoolbook"/>
        </w:rPr>
      </w:pPr>
      <w:r w:rsidRPr="005A144C">
        <w:rPr>
          <w:rFonts w:ascii="Century Schoolbook" w:hAnsi="Century Schoolbook"/>
        </w:rPr>
        <w:tab/>
      </w:r>
      <w:r w:rsidRPr="005A144C" w:rsidR="001B433A">
        <w:rPr>
          <w:rFonts w:ascii="Century Schoolbook" w:hAnsi="Century Schoolbook"/>
        </w:rPr>
        <w:t>The SG defendants</w:t>
      </w:r>
      <w:r w:rsidRPr="005A144C">
        <w:rPr>
          <w:rFonts w:ascii="Century Schoolbook" w:hAnsi="Century Schoolbook"/>
        </w:rPr>
        <w:t xml:space="preserve"> challenge</w:t>
      </w:r>
      <w:r w:rsidRPr="005A144C" w:rsidR="001B433A">
        <w:rPr>
          <w:rFonts w:ascii="Century Schoolbook" w:hAnsi="Century Schoolbook"/>
        </w:rPr>
        <w:t xml:space="preserve"> </w:t>
      </w:r>
      <w:r w:rsidRPr="005A144C" w:rsidR="007141C4">
        <w:rPr>
          <w:rFonts w:ascii="Century Schoolbook" w:hAnsi="Century Schoolbook"/>
        </w:rPr>
        <w:t xml:space="preserve">the </w:t>
      </w:r>
      <w:r w:rsidRPr="005A144C">
        <w:rPr>
          <w:rFonts w:ascii="Century Schoolbook" w:hAnsi="Century Schoolbook"/>
        </w:rPr>
        <w:t xml:space="preserve">trial court’s findings </w:t>
      </w:r>
      <w:r w:rsidRPr="005A144C" w:rsidR="00C13592">
        <w:rPr>
          <w:rFonts w:ascii="Century Schoolbook" w:hAnsi="Century Schoolbook"/>
        </w:rPr>
        <w:t>on</w:t>
      </w:r>
      <w:r w:rsidRPr="005A144C" w:rsidR="00C13FEF">
        <w:rPr>
          <w:rFonts w:ascii="Century Schoolbook" w:hAnsi="Century Schoolbook"/>
        </w:rPr>
        <w:t xml:space="preserve"> </w:t>
      </w:r>
      <w:r w:rsidRPr="005A144C" w:rsidR="007141C4">
        <w:rPr>
          <w:rFonts w:ascii="Century Schoolbook" w:hAnsi="Century Schoolbook"/>
        </w:rPr>
        <w:t xml:space="preserve">both parts of </w:t>
      </w:r>
      <w:r w:rsidRPr="005A144C" w:rsidR="00D45889">
        <w:rPr>
          <w:rFonts w:ascii="Century Schoolbook" w:hAnsi="Century Schoolbook"/>
        </w:rPr>
        <w:t xml:space="preserve">alter ego </w:t>
      </w:r>
      <w:r w:rsidRPr="005A144C" w:rsidR="00C13592">
        <w:rPr>
          <w:rFonts w:ascii="Century Schoolbook" w:hAnsi="Century Schoolbook"/>
        </w:rPr>
        <w:t>test</w:t>
      </w:r>
      <w:r w:rsidRPr="005A144C" w:rsidR="00847D1B">
        <w:rPr>
          <w:rFonts w:ascii="Century Schoolbook" w:hAnsi="Century Schoolbook"/>
        </w:rPr>
        <w:t xml:space="preserve">. </w:t>
      </w:r>
      <w:r w:rsidRPr="005A144C" w:rsidR="00CC109D">
        <w:rPr>
          <w:rFonts w:ascii="Century Schoolbook" w:hAnsi="Century Schoolbook"/>
        </w:rPr>
        <w:t xml:space="preserve"> </w:t>
      </w:r>
      <w:r w:rsidRPr="005A144C" w:rsidR="001345AA">
        <w:rPr>
          <w:rFonts w:ascii="Century Schoolbook" w:hAnsi="Century Schoolbook"/>
        </w:rPr>
        <w:t>At oral argument on appeal,</w:t>
      </w:r>
      <w:r w:rsidRPr="005A144C" w:rsidR="001B433A">
        <w:rPr>
          <w:rFonts w:ascii="Century Schoolbook" w:hAnsi="Century Schoolbook"/>
        </w:rPr>
        <w:t xml:space="preserve"> the SG defendants</w:t>
      </w:r>
      <w:r w:rsidRPr="005A144C" w:rsidR="001345AA">
        <w:rPr>
          <w:rFonts w:ascii="Century Schoolbook" w:hAnsi="Century Schoolbook"/>
        </w:rPr>
        <w:t xml:space="preserve"> conceded that the proper standard of</w:t>
      </w:r>
      <w:r w:rsidRPr="005A144C" w:rsidR="00201736">
        <w:rPr>
          <w:rFonts w:ascii="Century Schoolbook" w:hAnsi="Century Schoolbook"/>
        </w:rPr>
        <w:t xml:space="preserve"> review</w:t>
      </w:r>
      <w:r w:rsidRPr="005A144C" w:rsidR="001345AA">
        <w:rPr>
          <w:rFonts w:ascii="Century Schoolbook" w:hAnsi="Century Schoolbook"/>
        </w:rPr>
        <w:t xml:space="preserve"> is</w:t>
      </w:r>
      <w:r w:rsidRPr="005A144C" w:rsidR="00D45889">
        <w:rPr>
          <w:rFonts w:ascii="Century Schoolbook" w:hAnsi="Century Schoolbook"/>
        </w:rPr>
        <w:t xml:space="preserve"> whether there is “substantial evidence contained in the record to uphold the findings of the trial court.”  (</w:t>
      </w:r>
      <w:r w:rsidRPr="005A144C" w:rsidR="00D45889">
        <w:rPr>
          <w:rFonts w:ascii="Century Schoolbook" w:hAnsi="Century Schoolbook"/>
          <w:i/>
          <w:iCs/>
        </w:rPr>
        <w:t>Associated Vendors</w:t>
      </w:r>
      <w:r w:rsidRPr="005A144C" w:rsidR="00214F3C">
        <w:rPr>
          <w:rFonts w:ascii="Century Schoolbook" w:hAnsi="Century Schoolbook"/>
        </w:rPr>
        <w:t xml:space="preserve">, </w:t>
      </w:r>
      <w:r w:rsidRPr="005A144C" w:rsidR="00214F3C">
        <w:rPr>
          <w:rFonts w:ascii="Century Schoolbook" w:hAnsi="Century Schoolbook"/>
          <w:i/>
          <w:iCs/>
        </w:rPr>
        <w:t>supra</w:t>
      </w:r>
      <w:r w:rsidRPr="005A144C" w:rsidR="00214F3C">
        <w:rPr>
          <w:rFonts w:ascii="Century Schoolbook" w:hAnsi="Century Schoolbook"/>
        </w:rPr>
        <w:t>, 210</w:t>
      </w:r>
      <w:r w:rsidRPr="005A144C" w:rsidR="00731BD3">
        <w:rPr>
          <w:rFonts w:ascii="Century Schoolbook" w:hAnsi="Century Schoolbook"/>
        </w:rPr>
        <w:t> </w:t>
      </w:r>
      <w:r w:rsidRPr="005A144C" w:rsidR="00214F3C">
        <w:rPr>
          <w:rFonts w:ascii="Century Schoolbook" w:hAnsi="Century Schoolbook"/>
        </w:rPr>
        <w:t>Cal.App.2d at p. 835.)</w:t>
      </w:r>
    </w:p>
    <w:p w:rsidR="00DB69E8" w:rsidRPr="005A144C" w:rsidP="002E22D7" w14:paraId="15C562B9" w14:textId="338FE355">
      <w:pPr>
        <w:spacing w:line="360" w:lineRule="auto"/>
        <w:rPr>
          <w:rFonts w:ascii="Century Schoolbook" w:hAnsi="Century Schoolbook"/>
        </w:rPr>
      </w:pPr>
      <w:r w:rsidRPr="005A144C">
        <w:rPr>
          <w:rFonts w:ascii="Century Schoolbook" w:hAnsi="Century Schoolbook"/>
        </w:rPr>
        <w:tab/>
      </w:r>
      <w:r w:rsidRPr="005A144C" w:rsidR="00373792">
        <w:rPr>
          <w:rFonts w:ascii="Century Schoolbook" w:hAnsi="Century Schoolbook"/>
          <w:i/>
          <w:iCs/>
        </w:rPr>
        <w:t>Associated Vendors</w:t>
      </w:r>
      <w:r w:rsidRPr="005A144C" w:rsidR="001A0D97">
        <w:rPr>
          <w:rFonts w:ascii="Century Schoolbook" w:hAnsi="Century Schoolbook"/>
          <w:i/>
          <w:iCs/>
        </w:rPr>
        <w:t xml:space="preserve"> </w:t>
      </w:r>
      <w:r w:rsidRPr="005A144C" w:rsidR="005761C8">
        <w:rPr>
          <w:rFonts w:ascii="Century Schoolbook" w:hAnsi="Century Schoolbook"/>
        </w:rPr>
        <w:t>identifies</w:t>
      </w:r>
      <w:r w:rsidRPr="005A144C" w:rsidR="001A0D97">
        <w:rPr>
          <w:rFonts w:ascii="Century Schoolbook" w:hAnsi="Century Schoolbook"/>
        </w:rPr>
        <w:t xml:space="preserve"> various factors</w:t>
      </w:r>
      <w:r w:rsidRPr="005A144C" w:rsidR="00374CCF">
        <w:rPr>
          <w:rFonts w:ascii="Century Schoolbook" w:hAnsi="Century Schoolbook"/>
        </w:rPr>
        <w:t xml:space="preserve"> to</w:t>
      </w:r>
      <w:r w:rsidRPr="005A144C" w:rsidR="0022554A">
        <w:rPr>
          <w:rFonts w:ascii="Century Schoolbook" w:hAnsi="Century Schoolbook"/>
        </w:rPr>
        <w:t xml:space="preserve"> consider </w:t>
      </w:r>
      <w:r w:rsidRPr="005A144C" w:rsidR="00C270C5">
        <w:rPr>
          <w:rFonts w:ascii="Century Schoolbook" w:hAnsi="Century Schoolbook"/>
        </w:rPr>
        <w:t>in the alter ego test</w:t>
      </w:r>
      <w:r w:rsidRPr="005A144C" w:rsidR="00374CCF">
        <w:rPr>
          <w:rFonts w:ascii="Century Schoolbook" w:hAnsi="Century Schoolbook"/>
        </w:rPr>
        <w:t xml:space="preserve">, including </w:t>
      </w:r>
      <w:r w:rsidRPr="005A144C" w:rsidR="00E46380">
        <w:rPr>
          <w:rFonts w:ascii="Century Schoolbook" w:hAnsi="Century Schoolbook"/>
        </w:rPr>
        <w:t xml:space="preserve">identical equitable ownership, </w:t>
      </w:r>
      <w:r w:rsidRPr="005A144C" w:rsidR="00306A6B">
        <w:rPr>
          <w:rFonts w:ascii="Century Schoolbook" w:hAnsi="Century Schoolbook"/>
        </w:rPr>
        <w:t xml:space="preserve">use of the same office and employees, use of a corporation </w:t>
      </w:r>
      <w:r w:rsidRPr="005A144C" w:rsidR="00772920">
        <w:rPr>
          <w:rFonts w:ascii="Century Schoolbook" w:hAnsi="Century Schoolbook"/>
        </w:rPr>
        <w:t xml:space="preserve">to procure services or </w:t>
      </w:r>
      <w:r w:rsidRPr="005A144C" w:rsidR="00001F88">
        <w:rPr>
          <w:rFonts w:ascii="Century Schoolbook" w:hAnsi="Century Schoolbook"/>
        </w:rPr>
        <w:t>serve as</w:t>
      </w:r>
      <w:r w:rsidRPr="005A144C" w:rsidR="00306A6B">
        <w:rPr>
          <w:rFonts w:ascii="Century Schoolbook" w:hAnsi="Century Schoolbook"/>
        </w:rPr>
        <w:t xml:space="preserve"> a</w:t>
      </w:r>
      <w:r w:rsidRPr="005A144C" w:rsidR="00CD76D2">
        <w:rPr>
          <w:rFonts w:ascii="Century Schoolbook" w:hAnsi="Century Schoolbook"/>
        </w:rPr>
        <w:t>n</w:t>
      </w:r>
      <w:r w:rsidRPr="005A144C" w:rsidR="00306A6B">
        <w:rPr>
          <w:rFonts w:ascii="Century Schoolbook" w:hAnsi="Century Schoolbook"/>
        </w:rPr>
        <w:t xml:space="preserve"> “instrumentality” or </w:t>
      </w:r>
      <w:r w:rsidRPr="005A144C" w:rsidR="00CD76D2">
        <w:rPr>
          <w:rFonts w:ascii="Century Schoolbook" w:hAnsi="Century Schoolbook"/>
        </w:rPr>
        <w:t xml:space="preserve">a </w:t>
      </w:r>
      <w:r w:rsidRPr="005A144C" w:rsidR="00306A6B">
        <w:rPr>
          <w:rFonts w:ascii="Century Schoolbook" w:hAnsi="Century Schoolbook"/>
        </w:rPr>
        <w:t xml:space="preserve">“conduit” for the business of another entity, </w:t>
      </w:r>
      <w:r w:rsidRPr="005A144C" w:rsidR="00A90E4B">
        <w:rPr>
          <w:rFonts w:ascii="Century Schoolbook" w:hAnsi="Century Schoolbook"/>
        </w:rPr>
        <w:t xml:space="preserve">and </w:t>
      </w:r>
      <w:r w:rsidRPr="005A144C" w:rsidR="00772920">
        <w:rPr>
          <w:rFonts w:ascii="Century Schoolbook" w:hAnsi="Century Schoolbook"/>
        </w:rPr>
        <w:t>failure to maintain an arm’s</w:t>
      </w:r>
      <w:r w:rsidRPr="005A144C" w:rsidR="007458BB">
        <w:rPr>
          <w:rFonts w:ascii="Century Schoolbook" w:hAnsi="Century Schoolbook"/>
        </w:rPr>
        <w:t>-</w:t>
      </w:r>
      <w:r w:rsidRPr="005A144C" w:rsidR="00772920">
        <w:rPr>
          <w:rFonts w:ascii="Century Schoolbook" w:hAnsi="Century Schoolbook"/>
        </w:rPr>
        <w:t>length relationship.</w:t>
      </w:r>
      <w:r w:rsidRPr="005A144C" w:rsidR="00E62E99">
        <w:rPr>
          <w:rFonts w:ascii="Century Schoolbook" w:hAnsi="Century Schoolbook"/>
        </w:rPr>
        <w:t xml:space="preserve">  (</w:t>
      </w:r>
      <w:r w:rsidRPr="005A144C" w:rsidR="00E62E99">
        <w:rPr>
          <w:rFonts w:ascii="Century Schoolbook" w:hAnsi="Century Schoolbook"/>
          <w:i/>
          <w:iCs/>
        </w:rPr>
        <w:t>Associated Vendors</w:t>
      </w:r>
      <w:r w:rsidRPr="005A144C" w:rsidR="00E62E99">
        <w:rPr>
          <w:rFonts w:ascii="Century Schoolbook" w:hAnsi="Century Schoolbook"/>
        </w:rPr>
        <w:t xml:space="preserve">, </w:t>
      </w:r>
      <w:r w:rsidRPr="005A144C" w:rsidR="00E62E99">
        <w:rPr>
          <w:rFonts w:ascii="Century Schoolbook" w:hAnsi="Century Schoolbook"/>
          <w:i/>
          <w:iCs/>
        </w:rPr>
        <w:t>supra</w:t>
      </w:r>
      <w:r w:rsidRPr="005A144C" w:rsidR="00E62E99">
        <w:rPr>
          <w:rFonts w:ascii="Century Schoolbook" w:hAnsi="Century Schoolbook"/>
        </w:rPr>
        <w:t>, 210</w:t>
      </w:r>
      <w:r w:rsidRPr="005A144C" w:rsidR="00847261">
        <w:rPr>
          <w:rFonts w:ascii="Century Schoolbook" w:hAnsi="Century Schoolbook"/>
        </w:rPr>
        <w:t> </w:t>
      </w:r>
      <w:r w:rsidRPr="005A144C" w:rsidR="00E62E99">
        <w:rPr>
          <w:rFonts w:ascii="Century Schoolbook" w:hAnsi="Century Schoolbook"/>
        </w:rPr>
        <w:t>Cal.App.2d at p</w:t>
      </w:r>
      <w:r w:rsidRPr="005A144C" w:rsidR="00487854">
        <w:rPr>
          <w:rFonts w:ascii="Century Schoolbook" w:hAnsi="Century Schoolbook"/>
        </w:rPr>
        <w:t>p</w:t>
      </w:r>
      <w:r w:rsidRPr="005A144C" w:rsidR="00E62E99">
        <w:rPr>
          <w:rFonts w:ascii="Century Schoolbook" w:hAnsi="Century Schoolbook"/>
        </w:rPr>
        <w:t>. 83</w:t>
      </w:r>
      <w:r w:rsidRPr="005A144C" w:rsidR="00487854">
        <w:rPr>
          <w:rFonts w:ascii="Century Schoolbook" w:hAnsi="Century Schoolbook"/>
        </w:rPr>
        <w:t>8–</w:t>
      </w:r>
      <w:r w:rsidRPr="005A144C" w:rsidR="00590552">
        <w:rPr>
          <w:rFonts w:ascii="Century Schoolbook" w:hAnsi="Century Schoolbook"/>
        </w:rPr>
        <w:t>840</w:t>
      </w:r>
      <w:r w:rsidRPr="005A144C" w:rsidR="00487854">
        <w:rPr>
          <w:rFonts w:ascii="Century Schoolbook" w:hAnsi="Century Schoolbook"/>
        </w:rPr>
        <w:t>.)</w:t>
      </w:r>
      <w:r w:rsidRPr="005A144C" w:rsidR="00C75537">
        <w:rPr>
          <w:rFonts w:ascii="Century Schoolbook" w:hAnsi="Century Schoolbook"/>
        </w:rPr>
        <w:t xml:space="preserve">  </w:t>
      </w:r>
    </w:p>
    <w:p w:rsidR="00191A55" w:rsidRPr="005A144C" w:rsidP="002E22D7" w14:paraId="0897BC02" w14:textId="494585A7">
      <w:pPr>
        <w:spacing w:line="360" w:lineRule="auto"/>
        <w:rPr>
          <w:rFonts w:ascii="Century Schoolbook" w:hAnsi="Century Schoolbook"/>
        </w:rPr>
      </w:pPr>
      <w:r w:rsidRPr="005A144C">
        <w:rPr>
          <w:rFonts w:ascii="Century Schoolbook" w:hAnsi="Century Schoolbook"/>
        </w:rPr>
        <w:tab/>
      </w:r>
      <w:r w:rsidRPr="005A144C" w:rsidR="00C75537">
        <w:rPr>
          <w:rFonts w:ascii="Century Schoolbook" w:hAnsi="Century Schoolbook"/>
        </w:rPr>
        <w:t xml:space="preserve">There was ample evidence to support </w:t>
      </w:r>
      <w:r w:rsidRPr="005A144C" w:rsidR="00C2393D">
        <w:rPr>
          <w:rFonts w:ascii="Century Schoolbook" w:hAnsi="Century Schoolbook"/>
        </w:rPr>
        <w:t xml:space="preserve">the court’s finding </w:t>
      </w:r>
      <w:r w:rsidRPr="005A144C" w:rsidR="0022554A">
        <w:rPr>
          <w:rFonts w:ascii="Century Schoolbook" w:hAnsi="Century Schoolbook"/>
        </w:rPr>
        <w:t>on unity of o</w:t>
      </w:r>
      <w:r w:rsidRPr="005A144C" w:rsidR="009D4AB8">
        <w:rPr>
          <w:rFonts w:ascii="Century Schoolbook" w:hAnsi="Century Schoolbook"/>
        </w:rPr>
        <w:t xml:space="preserve">wnership and interest </w:t>
      </w:r>
      <w:r w:rsidRPr="005A144C">
        <w:rPr>
          <w:rFonts w:ascii="Century Schoolbook" w:hAnsi="Century Schoolbook"/>
        </w:rPr>
        <w:t>under these factors.</w:t>
      </w:r>
      <w:r w:rsidRPr="005A144C" w:rsidR="006A333E">
        <w:rPr>
          <w:rFonts w:ascii="Century Schoolbook" w:hAnsi="Century Schoolbook"/>
        </w:rPr>
        <w:t xml:space="preserve">  </w:t>
      </w:r>
      <w:r w:rsidRPr="005A144C" w:rsidR="00277E9B">
        <w:rPr>
          <w:rFonts w:ascii="Century Schoolbook" w:hAnsi="Century Schoolbook"/>
        </w:rPr>
        <w:t>Swedelson and Gottlieb were the sole shareholders, officers</w:t>
      </w:r>
      <w:r w:rsidRPr="005A144C" w:rsidR="001D582E">
        <w:rPr>
          <w:rFonts w:ascii="Century Schoolbook" w:hAnsi="Century Schoolbook"/>
        </w:rPr>
        <w:t>,</w:t>
      </w:r>
      <w:r w:rsidRPr="005A144C" w:rsidR="00277E9B">
        <w:rPr>
          <w:rFonts w:ascii="Century Schoolbook" w:hAnsi="Century Schoolbook"/>
        </w:rPr>
        <w:t xml:space="preserve"> and directors of ALS, </w:t>
      </w:r>
      <w:r w:rsidRPr="005A144C" w:rsidR="00C2393D">
        <w:rPr>
          <w:rFonts w:ascii="Century Schoolbook" w:hAnsi="Century Schoolbook"/>
        </w:rPr>
        <w:t>as well as</w:t>
      </w:r>
      <w:r w:rsidRPr="005A144C" w:rsidR="00277E9B">
        <w:rPr>
          <w:rFonts w:ascii="Century Schoolbook" w:hAnsi="Century Schoolbook"/>
        </w:rPr>
        <w:t xml:space="preserve"> the sole general partners of SwedelsonGottlieb.</w:t>
      </w:r>
      <w:r w:rsidRPr="005A144C" w:rsidR="00887B70">
        <w:rPr>
          <w:rFonts w:ascii="Century Schoolbook" w:hAnsi="Century Schoolbook"/>
        </w:rPr>
        <w:t xml:space="preserve"> </w:t>
      </w:r>
      <w:r w:rsidRPr="005A144C" w:rsidR="00C653D0">
        <w:rPr>
          <w:rFonts w:ascii="Century Schoolbook" w:hAnsi="Century Schoolbook"/>
        </w:rPr>
        <w:t xml:space="preserve"> </w:t>
      </w:r>
      <w:r w:rsidRPr="005A144C" w:rsidR="00153D2C">
        <w:rPr>
          <w:rFonts w:ascii="Century Schoolbook" w:hAnsi="Century Schoolbook"/>
        </w:rPr>
        <w:t xml:space="preserve">ALS used the administrative services and facilities of the law firm office.  </w:t>
      </w:r>
      <w:r w:rsidRPr="005A144C" w:rsidR="0006253A">
        <w:rPr>
          <w:rFonts w:ascii="Century Schoolbook" w:hAnsi="Century Schoolbook"/>
        </w:rPr>
        <w:t xml:space="preserve">ALS and the law firm shared common personnel, and law firm employees performed work for ALS. </w:t>
      </w:r>
      <w:r w:rsidRPr="005A144C" w:rsidR="00A55A4C">
        <w:rPr>
          <w:rFonts w:ascii="Century Schoolbook" w:hAnsi="Century Schoolbook"/>
        </w:rPr>
        <w:t xml:space="preserve"> </w:t>
      </w:r>
      <w:r w:rsidRPr="005A144C" w:rsidR="00C34FE6">
        <w:rPr>
          <w:rFonts w:ascii="Century Schoolbook" w:hAnsi="Century Schoolbook"/>
        </w:rPr>
        <w:t>The agreements with HOAs and marketing by ALS show it was used as a</w:t>
      </w:r>
      <w:r w:rsidRPr="005A144C" w:rsidR="00972F1E">
        <w:rPr>
          <w:rFonts w:ascii="Century Schoolbook" w:hAnsi="Century Schoolbook"/>
        </w:rPr>
        <w:t>n</w:t>
      </w:r>
      <w:r w:rsidRPr="005A144C" w:rsidR="00C34FE6">
        <w:rPr>
          <w:rFonts w:ascii="Century Schoolbook" w:hAnsi="Century Schoolbook"/>
        </w:rPr>
        <w:t xml:space="preserve"> instrumentality or </w:t>
      </w:r>
      <w:r w:rsidRPr="005A144C" w:rsidR="00867658">
        <w:rPr>
          <w:rFonts w:ascii="Century Schoolbook" w:hAnsi="Century Schoolbook"/>
        </w:rPr>
        <w:t>a conduit</w:t>
      </w:r>
      <w:r w:rsidRPr="005A144C" w:rsidR="00C34FE6">
        <w:rPr>
          <w:rFonts w:ascii="Century Schoolbook" w:hAnsi="Century Schoolbook"/>
        </w:rPr>
        <w:t xml:space="preserve"> for law firm business.</w:t>
      </w:r>
      <w:r w:rsidRPr="005A144C" w:rsidR="00A55A4C">
        <w:rPr>
          <w:rFonts w:ascii="Century Schoolbook" w:hAnsi="Century Schoolbook"/>
        </w:rPr>
        <w:t xml:space="preserve"> </w:t>
      </w:r>
      <w:r w:rsidRPr="005A144C" w:rsidR="00BB53B0">
        <w:t xml:space="preserve"> </w:t>
      </w:r>
      <w:r w:rsidRPr="005A144C" w:rsidR="0029415D">
        <w:rPr>
          <w:rFonts w:ascii="Century Schoolbook" w:hAnsi="Century Schoolbook"/>
        </w:rPr>
        <w:t>And t</w:t>
      </w:r>
      <w:r w:rsidRPr="005A144C" w:rsidR="00C9791B">
        <w:rPr>
          <w:rFonts w:ascii="Century Schoolbook" w:hAnsi="Century Schoolbook"/>
        </w:rPr>
        <w:t xml:space="preserve">he law firm’s </w:t>
      </w:r>
      <w:r w:rsidRPr="005A144C" w:rsidR="009E7562">
        <w:rPr>
          <w:rFonts w:ascii="Century Schoolbook" w:hAnsi="Century Schoolbook"/>
        </w:rPr>
        <w:t xml:space="preserve">failure to act on ALS’s </w:t>
      </w:r>
      <w:r w:rsidRPr="005A144C" w:rsidR="00772F4D">
        <w:rPr>
          <w:rFonts w:ascii="Century Schoolbook" w:hAnsi="Century Schoolbook"/>
        </w:rPr>
        <w:t>default</w:t>
      </w:r>
      <w:r w:rsidRPr="005A144C" w:rsidR="009E7562">
        <w:rPr>
          <w:rFonts w:ascii="Century Schoolbook" w:hAnsi="Century Schoolbook"/>
        </w:rPr>
        <w:t>s</w:t>
      </w:r>
      <w:r w:rsidRPr="005A144C" w:rsidR="00772F4D">
        <w:rPr>
          <w:rFonts w:ascii="Century Schoolbook" w:hAnsi="Century Schoolbook"/>
        </w:rPr>
        <w:t xml:space="preserve"> </w:t>
      </w:r>
      <w:r w:rsidRPr="005A144C" w:rsidR="004E19D6">
        <w:rPr>
          <w:rFonts w:ascii="Century Schoolbook" w:hAnsi="Century Schoolbook"/>
        </w:rPr>
        <w:t xml:space="preserve">and </w:t>
      </w:r>
      <w:r w:rsidRPr="005A144C" w:rsidR="00CA6A87">
        <w:rPr>
          <w:rFonts w:ascii="Century Schoolbook" w:hAnsi="Century Schoolbook"/>
        </w:rPr>
        <w:t xml:space="preserve">its </w:t>
      </w:r>
      <w:r w:rsidRPr="005A144C" w:rsidR="004E19D6">
        <w:rPr>
          <w:rFonts w:ascii="Century Schoolbook" w:hAnsi="Century Schoolbook"/>
        </w:rPr>
        <w:t xml:space="preserve">improper sublease of the ALS space </w:t>
      </w:r>
      <w:r w:rsidRPr="005A144C" w:rsidR="00171518">
        <w:rPr>
          <w:rFonts w:ascii="Century Schoolbook" w:hAnsi="Century Schoolbook"/>
        </w:rPr>
        <w:t xml:space="preserve">show </w:t>
      </w:r>
      <w:r w:rsidRPr="005A144C" w:rsidR="004E19D6">
        <w:rPr>
          <w:rFonts w:ascii="Century Schoolbook" w:hAnsi="Century Schoolbook"/>
        </w:rPr>
        <w:t>the</w:t>
      </w:r>
      <w:r w:rsidRPr="005A144C" w:rsidR="00DC368E">
        <w:rPr>
          <w:rFonts w:ascii="Century Schoolbook" w:hAnsi="Century Schoolbook"/>
        </w:rPr>
        <w:t>y</w:t>
      </w:r>
      <w:r w:rsidRPr="005A144C" w:rsidR="00171518">
        <w:rPr>
          <w:rFonts w:ascii="Century Schoolbook" w:hAnsi="Century Schoolbook"/>
        </w:rPr>
        <w:t xml:space="preserve"> did not maintain an arm’s</w:t>
      </w:r>
      <w:r w:rsidRPr="005A144C" w:rsidR="006F28B9">
        <w:rPr>
          <w:rFonts w:ascii="Century Schoolbook" w:hAnsi="Century Schoolbook"/>
        </w:rPr>
        <w:t>-</w:t>
      </w:r>
      <w:r w:rsidRPr="005A144C" w:rsidR="00171518">
        <w:rPr>
          <w:rFonts w:ascii="Century Schoolbook" w:hAnsi="Century Schoolbook"/>
        </w:rPr>
        <w:t>length relationship.</w:t>
      </w:r>
      <w:r w:rsidRPr="005A144C" w:rsidR="004E19D6">
        <w:rPr>
          <w:rFonts w:ascii="Century Schoolbook" w:hAnsi="Century Schoolbook"/>
        </w:rPr>
        <w:t xml:space="preserve"> </w:t>
      </w:r>
    </w:p>
    <w:p w:rsidR="00972F1E" w:rsidRPr="005A144C" w:rsidP="002E22D7" w14:paraId="5DB3D2B5" w14:textId="62C9DE62">
      <w:pPr>
        <w:spacing w:line="360" w:lineRule="auto"/>
        <w:rPr>
          <w:rFonts w:ascii="Century Schoolbook" w:hAnsi="Century Schoolbook"/>
        </w:rPr>
      </w:pPr>
      <w:r w:rsidRPr="005A144C">
        <w:rPr>
          <w:rFonts w:ascii="Century Schoolbook" w:hAnsi="Century Schoolbook"/>
        </w:rPr>
        <w:tab/>
        <w:t xml:space="preserve">The SG defendants </w:t>
      </w:r>
      <w:r w:rsidRPr="005A144C" w:rsidR="008B44EC">
        <w:rPr>
          <w:rFonts w:ascii="Century Schoolbook" w:hAnsi="Century Schoolbook"/>
        </w:rPr>
        <w:t>cite</w:t>
      </w:r>
      <w:r w:rsidRPr="005A144C" w:rsidR="00BC25AA">
        <w:rPr>
          <w:rFonts w:ascii="Century Schoolbook" w:hAnsi="Century Schoolbook"/>
        </w:rPr>
        <w:t xml:space="preserve"> </w:t>
      </w:r>
      <w:r w:rsidRPr="005A144C" w:rsidR="0053165E">
        <w:rPr>
          <w:rFonts w:ascii="Century Schoolbook" w:hAnsi="Century Schoolbook"/>
        </w:rPr>
        <w:t xml:space="preserve">evidence and expert testimony regarding </w:t>
      </w:r>
      <w:r w:rsidRPr="005A144C" w:rsidR="006E59F8">
        <w:rPr>
          <w:rFonts w:ascii="Century Schoolbook" w:hAnsi="Century Schoolbook"/>
        </w:rPr>
        <w:t>certain</w:t>
      </w:r>
      <w:r w:rsidRPr="005A144C">
        <w:rPr>
          <w:rFonts w:ascii="Century Schoolbook" w:hAnsi="Century Schoolbook"/>
        </w:rPr>
        <w:t xml:space="preserve"> corporate</w:t>
      </w:r>
      <w:r w:rsidRPr="005A144C" w:rsidR="00BC25AA">
        <w:rPr>
          <w:rFonts w:ascii="Century Schoolbook" w:hAnsi="Century Schoolbook"/>
        </w:rPr>
        <w:t xml:space="preserve"> </w:t>
      </w:r>
      <w:r w:rsidRPr="005A144C" w:rsidR="0038461B">
        <w:rPr>
          <w:rFonts w:ascii="Century Schoolbook" w:hAnsi="Century Schoolbook"/>
        </w:rPr>
        <w:t xml:space="preserve">formalities </w:t>
      </w:r>
      <w:r w:rsidRPr="005A144C" w:rsidR="00F81DB4">
        <w:rPr>
          <w:rFonts w:ascii="Century Schoolbook" w:hAnsi="Century Schoolbook"/>
        </w:rPr>
        <w:t>to suggest otherwise</w:t>
      </w:r>
      <w:r w:rsidRPr="005A144C" w:rsidR="00BC25AA">
        <w:rPr>
          <w:rFonts w:ascii="Century Schoolbook" w:hAnsi="Century Schoolbook"/>
        </w:rPr>
        <w:t xml:space="preserve">, </w:t>
      </w:r>
      <w:r w:rsidRPr="005A144C" w:rsidR="00E9368B">
        <w:rPr>
          <w:rFonts w:ascii="Century Schoolbook" w:hAnsi="Century Schoolbook"/>
        </w:rPr>
        <w:t>including</w:t>
      </w:r>
      <w:r w:rsidRPr="005A144C" w:rsidR="00BC25AA">
        <w:rPr>
          <w:rFonts w:ascii="Century Schoolbook" w:hAnsi="Century Schoolbook"/>
        </w:rPr>
        <w:t xml:space="preserve"> </w:t>
      </w:r>
      <w:r w:rsidRPr="005A144C" w:rsidR="00D07C82">
        <w:rPr>
          <w:rFonts w:ascii="Century Schoolbook" w:hAnsi="Century Schoolbook"/>
        </w:rPr>
        <w:t>the sublease agreement</w:t>
      </w:r>
      <w:r w:rsidRPr="005A144C" w:rsidR="004E5114">
        <w:rPr>
          <w:rFonts w:ascii="Century Schoolbook" w:hAnsi="Century Schoolbook"/>
        </w:rPr>
        <w:t xml:space="preserve"> and </w:t>
      </w:r>
      <w:r w:rsidRPr="005A144C" w:rsidR="006E59F8">
        <w:rPr>
          <w:rFonts w:ascii="Century Schoolbook" w:hAnsi="Century Schoolbook"/>
        </w:rPr>
        <w:t>separate</w:t>
      </w:r>
      <w:r w:rsidRPr="005A144C" w:rsidR="005A1415">
        <w:rPr>
          <w:rFonts w:ascii="Century Schoolbook" w:hAnsi="Century Schoolbook"/>
        </w:rPr>
        <w:t xml:space="preserve">ness of various </w:t>
      </w:r>
      <w:r w:rsidRPr="005A144C" w:rsidR="004E5114">
        <w:rPr>
          <w:rFonts w:ascii="Century Schoolbook" w:hAnsi="Century Schoolbook"/>
        </w:rPr>
        <w:t>accounts</w:t>
      </w:r>
      <w:r w:rsidRPr="005A144C" w:rsidR="009D231E">
        <w:rPr>
          <w:rFonts w:ascii="Century Schoolbook" w:hAnsi="Century Schoolbook"/>
        </w:rPr>
        <w:t xml:space="preserve"> and policies</w:t>
      </w:r>
      <w:r w:rsidRPr="005A144C" w:rsidR="00BC25AA">
        <w:rPr>
          <w:rFonts w:ascii="Century Schoolbook" w:hAnsi="Century Schoolbook"/>
        </w:rPr>
        <w:t>.</w:t>
      </w:r>
      <w:r w:rsidRPr="005A144C" w:rsidR="008B44EC">
        <w:rPr>
          <w:rFonts w:ascii="Century Schoolbook" w:hAnsi="Century Schoolbook"/>
        </w:rPr>
        <w:t xml:space="preserve"> </w:t>
      </w:r>
      <w:r w:rsidRPr="005A144C" w:rsidR="00D07C82">
        <w:rPr>
          <w:rFonts w:ascii="Century Schoolbook" w:hAnsi="Century Schoolbook"/>
        </w:rPr>
        <w:t xml:space="preserve"> </w:t>
      </w:r>
      <w:r w:rsidRPr="005A144C" w:rsidR="00E32795">
        <w:rPr>
          <w:rFonts w:ascii="Century Schoolbook" w:hAnsi="Century Schoolbook"/>
        </w:rPr>
        <w:t>But these formalities</w:t>
      </w:r>
      <w:r w:rsidRPr="005A144C" w:rsidR="004C4B68">
        <w:rPr>
          <w:rFonts w:ascii="Century Schoolbook" w:hAnsi="Century Schoolbook"/>
        </w:rPr>
        <w:t xml:space="preserve"> </w:t>
      </w:r>
      <w:r w:rsidRPr="005A144C" w:rsidR="0075552E">
        <w:rPr>
          <w:rFonts w:ascii="Century Schoolbook" w:hAnsi="Century Schoolbook"/>
        </w:rPr>
        <w:t>do</w:t>
      </w:r>
      <w:r w:rsidRPr="005A144C" w:rsidR="004C4B68">
        <w:rPr>
          <w:rFonts w:ascii="Century Schoolbook" w:hAnsi="Century Schoolbook"/>
        </w:rPr>
        <w:t xml:space="preserve"> not overcome the substantial evidence on </w:t>
      </w:r>
      <w:r w:rsidRPr="005A144C" w:rsidR="00E32795">
        <w:rPr>
          <w:rFonts w:ascii="Century Schoolbook" w:hAnsi="Century Schoolbook"/>
        </w:rPr>
        <w:t>the</w:t>
      </w:r>
      <w:r w:rsidRPr="005A144C" w:rsidR="004C4B68">
        <w:rPr>
          <w:rFonts w:ascii="Century Schoolbook" w:hAnsi="Century Schoolbook"/>
        </w:rPr>
        <w:t xml:space="preserve"> other</w:t>
      </w:r>
      <w:r w:rsidRPr="005A144C" w:rsidR="00E32795">
        <w:rPr>
          <w:rFonts w:ascii="Century Schoolbook" w:hAnsi="Century Schoolbook"/>
          <w:i/>
          <w:iCs/>
        </w:rPr>
        <w:t xml:space="preserve"> </w:t>
      </w:r>
      <w:r w:rsidRPr="005A144C" w:rsidR="004C4B68">
        <w:rPr>
          <w:rFonts w:ascii="Century Schoolbook" w:hAnsi="Century Schoolbook"/>
        </w:rPr>
        <w:t>factors</w:t>
      </w:r>
      <w:r w:rsidRPr="005A144C" w:rsidR="00E32795">
        <w:rPr>
          <w:rFonts w:ascii="Century Schoolbook" w:hAnsi="Century Schoolbook"/>
        </w:rPr>
        <w:t xml:space="preserve">, </w:t>
      </w:r>
      <w:r w:rsidRPr="005A144C" w:rsidR="00D07C82">
        <w:rPr>
          <w:rFonts w:ascii="Century Schoolbook" w:hAnsi="Century Schoolbook"/>
        </w:rPr>
        <w:t>particularly given that the law firm subsequent</w:t>
      </w:r>
      <w:r w:rsidRPr="005A144C" w:rsidR="00914D5A">
        <w:rPr>
          <w:rFonts w:ascii="Century Schoolbook" w:hAnsi="Century Schoolbook"/>
        </w:rPr>
        <w:t xml:space="preserve">ly </w:t>
      </w:r>
      <w:r w:rsidRPr="005A144C" w:rsidR="00D07C82">
        <w:rPr>
          <w:rFonts w:ascii="Century Schoolbook" w:hAnsi="Century Schoolbook"/>
          <w:i/>
          <w:iCs/>
        </w:rPr>
        <w:t>violated</w:t>
      </w:r>
      <w:r w:rsidRPr="005A144C" w:rsidR="00D07C82">
        <w:rPr>
          <w:rFonts w:ascii="Century Schoolbook" w:hAnsi="Century Schoolbook"/>
        </w:rPr>
        <w:t xml:space="preserve"> this</w:t>
      </w:r>
      <w:r w:rsidRPr="005A144C" w:rsidR="00914D5A">
        <w:rPr>
          <w:rFonts w:ascii="Century Schoolbook" w:hAnsi="Century Schoolbook"/>
        </w:rPr>
        <w:t xml:space="preserve"> sublease</w:t>
      </w:r>
      <w:r w:rsidRPr="005A144C" w:rsidR="00D07C82">
        <w:rPr>
          <w:rFonts w:ascii="Century Schoolbook" w:hAnsi="Century Schoolbook"/>
        </w:rPr>
        <w:t xml:space="preserve"> agreement.</w:t>
      </w:r>
      <w:r w:rsidRPr="005A144C" w:rsidR="003D3BD6">
        <w:rPr>
          <w:rFonts w:ascii="Century Schoolbook" w:hAnsi="Century Schoolbook"/>
        </w:rPr>
        <w:t xml:space="preserve">  (</w:t>
      </w:r>
      <w:r w:rsidRPr="005A144C" w:rsidR="00D01053">
        <w:rPr>
          <w:rFonts w:ascii="Century Schoolbook" w:hAnsi="Century Schoolbook"/>
        </w:rPr>
        <w:t xml:space="preserve">See </w:t>
      </w:r>
      <w:r w:rsidRPr="005A144C" w:rsidR="001C1394">
        <w:rPr>
          <w:rFonts w:ascii="Century Schoolbook" w:hAnsi="Century Schoolbook"/>
          <w:i/>
          <w:iCs/>
        </w:rPr>
        <w:t>Associated Vendors</w:t>
      </w:r>
      <w:r w:rsidRPr="005A144C" w:rsidR="001C1394">
        <w:rPr>
          <w:rFonts w:ascii="Century Schoolbook" w:hAnsi="Century Schoolbook"/>
        </w:rPr>
        <w:t xml:space="preserve">, </w:t>
      </w:r>
      <w:r w:rsidRPr="005A144C" w:rsidR="001C1394">
        <w:rPr>
          <w:rFonts w:ascii="Century Schoolbook" w:hAnsi="Century Schoolbook"/>
          <w:i/>
          <w:iCs/>
        </w:rPr>
        <w:t>supra</w:t>
      </w:r>
      <w:r w:rsidRPr="005A144C" w:rsidR="001C1394">
        <w:rPr>
          <w:rFonts w:ascii="Century Schoolbook" w:hAnsi="Century Schoolbook"/>
        </w:rPr>
        <w:t xml:space="preserve">, 210 Cal.App.2d at </w:t>
      </w:r>
      <w:r w:rsidRPr="005A144C" w:rsidR="00B07211">
        <w:rPr>
          <w:rFonts w:ascii="Century Schoolbook" w:hAnsi="Century Schoolbook"/>
        </w:rPr>
        <w:t>p</w:t>
      </w:r>
      <w:r w:rsidRPr="005A144C" w:rsidR="004E5114">
        <w:rPr>
          <w:rFonts w:ascii="Century Schoolbook" w:hAnsi="Century Schoolbook"/>
        </w:rPr>
        <w:t>.</w:t>
      </w:r>
      <w:r w:rsidRPr="005A144C" w:rsidR="00B07211">
        <w:rPr>
          <w:rFonts w:ascii="Century Schoolbook" w:hAnsi="Century Schoolbook"/>
        </w:rPr>
        <w:t> 840 [consideration of presence or absence of various factors “within the province of the trial court”</w:t>
      </w:r>
      <w:r w:rsidRPr="005A144C" w:rsidR="00DA72FE">
        <w:rPr>
          <w:rFonts w:ascii="Century Schoolbook" w:hAnsi="Century Schoolbook"/>
        </w:rPr>
        <w:t xml:space="preserve"> and any conflict is for trier of fact to resolve</w:t>
      </w:r>
      <w:r w:rsidRPr="005A144C" w:rsidR="00B07211">
        <w:rPr>
          <w:rFonts w:ascii="Century Schoolbook" w:hAnsi="Century Schoolbook"/>
        </w:rPr>
        <w:t>].)</w:t>
      </w:r>
      <w:r w:rsidRPr="005A144C">
        <w:rPr>
          <w:rFonts w:ascii="Century Schoolbook" w:hAnsi="Century Schoolbook"/>
        </w:rPr>
        <w:t xml:space="preserve">  </w:t>
      </w:r>
      <w:r w:rsidRPr="005A144C" w:rsidR="00E806AD">
        <w:rPr>
          <w:rFonts w:ascii="Century Schoolbook" w:hAnsi="Century Schoolbook"/>
        </w:rPr>
        <w:t>T</w:t>
      </w:r>
      <w:r w:rsidRPr="005A144C" w:rsidR="001E78FD">
        <w:rPr>
          <w:rFonts w:ascii="Century Schoolbook" w:hAnsi="Century Schoolbook"/>
        </w:rPr>
        <w:t>he SG defendants</w:t>
      </w:r>
      <w:r w:rsidRPr="005A144C">
        <w:rPr>
          <w:rFonts w:ascii="Century Schoolbook" w:hAnsi="Century Schoolbook"/>
        </w:rPr>
        <w:t xml:space="preserve"> </w:t>
      </w:r>
      <w:r w:rsidRPr="005A144C" w:rsidR="00E806AD">
        <w:rPr>
          <w:rFonts w:ascii="Century Schoolbook" w:hAnsi="Century Schoolbook"/>
        </w:rPr>
        <w:t>also</w:t>
      </w:r>
      <w:r w:rsidRPr="005A144C" w:rsidR="000C1CC5">
        <w:rPr>
          <w:rFonts w:ascii="Century Schoolbook" w:hAnsi="Century Schoolbook"/>
        </w:rPr>
        <w:t xml:space="preserve"> suggest</w:t>
      </w:r>
      <w:r w:rsidRPr="005A144C">
        <w:rPr>
          <w:rFonts w:ascii="Century Schoolbook" w:hAnsi="Century Schoolbook"/>
        </w:rPr>
        <w:t xml:space="preserve"> that Gottlieb’s</w:t>
      </w:r>
      <w:r w:rsidRPr="005A144C" w:rsidR="0051599B">
        <w:rPr>
          <w:rFonts w:ascii="Century Schoolbook" w:hAnsi="Century Schoolbook"/>
        </w:rPr>
        <w:t xml:space="preserve"> forfeiture</w:t>
      </w:r>
      <w:r w:rsidRPr="005A144C">
        <w:rPr>
          <w:rFonts w:ascii="Century Schoolbook" w:hAnsi="Century Schoolbook"/>
        </w:rPr>
        <w:t xml:space="preserve"> of her ALS</w:t>
      </w:r>
      <w:r w:rsidRPr="005A144C" w:rsidR="0051599B">
        <w:rPr>
          <w:rFonts w:ascii="Century Schoolbook" w:hAnsi="Century Schoolbook"/>
        </w:rPr>
        <w:t xml:space="preserve"> salary</w:t>
      </w:r>
      <w:r w:rsidRPr="005A144C">
        <w:rPr>
          <w:rFonts w:ascii="Century Schoolbook" w:hAnsi="Century Schoolbook"/>
        </w:rPr>
        <w:t xml:space="preserve"> </w:t>
      </w:r>
      <w:r w:rsidRPr="005A144C" w:rsidR="000C1CC5">
        <w:rPr>
          <w:rFonts w:ascii="Century Schoolbook" w:hAnsi="Century Schoolbook"/>
        </w:rPr>
        <w:t>weigh</w:t>
      </w:r>
      <w:r w:rsidR="008E1AA7">
        <w:rPr>
          <w:rFonts w:ascii="Century Schoolbook" w:hAnsi="Century Schoolbook"/>
        </w:rPr>
        <w:t>ed</w:t>
      </w:r>
      <w:r w:rsidRPr="005A144C" w:rsidR="000C1CC5">
        <w:rPr>
          <w:rFonts w:ascii="Century Schoolbook" w:hAnsi="Century Schoolbook"/>
        </w:rPr>
        <w:t xml:space="preserve"> against</w:t>
      </w:r>
      <w:r w:rsidRPr="005A144C" w:rsidR="001E78FD">
        <w:rPr>
          <w:rFonts w:ascii="Century Schoolbook" w:hAnsi="Century Schoolbook"/>
        </w:rPr>
        <w:t xml:space="preserve"> </w:t>
      </w:r>
      <w:r w:rsidRPr="005A144C" w:rsidR="000C1CC5">
        <w:rPr>
          <w:rFonts w:ascii="Century Schoolbook" w:hAnsi="Century Schoolbook"/>
        </w:rPr>
        <w:t xml:space="preserve">any </w:t>
      </w:r>
      <w:r w:rsidRPr="005A144C" w:rsidR="008A4D13">
        <w:rPr>
          <w:rFonts w:ascii="Century Schoolbook" w:hAnsi="Century Schoolbook"/>
        </w:rPr>
        <w:t xml:space="preserve">unity of ownership </w:t>
      </w:r>
      <w:r w:rsidRPr="005A144C" w:rsidR="00AF66AF">
        <w:rPr>
          <w:rFonts w:ascii="Century Schoolbook" w:hAnsi="Century Schoolbook"/>
        </w:rPr>
        <w:t>or</w:t>
      </w:r>
      <w:r w:rsidRPr="005A144C" w:rsidR="008A4D13">
        <w:rPr>
          <w:rFonts w:ascii="Century Schoolbook" w:hAnsi="Century Schoolbook"/>
        </w:rPr>
        <w:t xml:space="preserve"> interest</w:t>
      </w:r>
      <w:r w:rsidRPr="005A144C" w:rsidR="002D03C8">
        <w:rPr>
          <w:rFonts w:ascii="Century Schoolbook" w:hAnsi="Century Schoolbook"/>
        </w:rPr>
        <w:t xml:space="preserve">, citing </w:t>
      </w:r>
      <w:r w:rsidRPr="005A144C" w:rsidR="005E6509">
        <w:rPr>
          <w:rFonts w:ascii="Century Schoolbook" w:hAnsi="Century Schoolbook"/>
          <w:i/>
          <w:iCs/>
        </w:rPr>
        <w:t>Sonora Diamond</w:t>
      </w:r>
      <w:r w:rsidRPr="005A144C" w:rsidR="00590552">
        <w:rPr>
          <w:rFonts w:ascii="Century Schoolbook" w:hAnsi="Century Schoolbook"/>
          <w:i/>
          <w:iCs/>
        </w:rPr>
        <w:t xml:space="preserve"> Corp.</w:t>
      </w:r>
      <w:r w:rsidRPr="005A144C" w:rsidR="005E6509">
        <w:rPr>
          <w:rFonts w:ascii="Century Schoolbook" w:hAnsi="Century Schoolbook"/>
          <w:i/>
          <w:iCs/>
        </w:rPr>
        <w:t xml:space="preserve"> v. Superior Court</w:t>
      </w:r>
      <w:r w:rsidRPr="005A144C" w:rsidR="005E6509">
        <w:rPr>
          <w:rFonts w:ascii="Century Schoolbook" w:hAnsi="Century Schoolbook"/>
        </w:rPr>
        <w:t xml:space="preserve"> (2000) 83</w:t>
      </w:r>
      <w:r w:rsidRPr="005A144C" w:rsidR="008F7EC0">
        <w:rPr>
          <w:rFonts w:ascii="Century Schoolbook" w:hAnsi="Century Schoolbook"/>
        </w:rPr>
        <w:t> </w:t>
      </w:r>
      <w:r w:rsidRPr="005A144C" w:rsidR="005E6509">
        <w:rPr>
          <w:rFonts w:ascii="Century Schoolbook" w:hAnsi="Century Schoolbook"/>
        </w:rPr>
        <w:t>Cal.App.4th 529</w:t>
      </w:r>
      <w:r w:rsidRPr="005A144C">
        <w:rPr>
          <w:rFonts w:ascii="Century Schoolbook" w:hAnsi="Century Schoolbook"/>
        </w:rPr>
        <w:t xml:space="preserve">. </w:t>
      </w:r>
      <w:r w:rsidRPr="005A144C" w:rsidR="00AF66AF">
        <w:rPr>
          <w:rFonts w:ascii="Century Schoolbook" w:hAnsi="Century Schoolbook"/>
        </w:rPr>
        <w:t xml:space="preserve"> </w:t>
      </w:r>
      <w:r w:rsidRPr="005A144C" w:rsidR="001B23E6">
        <w:rPr>
          <w:rFonts w:ascii="Century Schoolbook" w:hAnsi="Century Schoolbook"/>
        </w:rPr>
        <w:t xml:space="preserve">That case </w:t>
      </w:r>
      <w:r w:rsidRPr="005A144C" w:rsidR="001E78FD">
        <w:rPr>
          <w:rFonts w:ascii="Century Schoolbook" w:hAnsi="Century Schoolbook"/>
        </w:rPr>
        <w:t xml:space="preserve">is </w:t>
      </w:r>
      <w:r w:rsidRPr="005A144C" w:rsidR="003A656F">
        <w:rPr>
          <w:rFonts w:ascii="Century Schoolbook" w:hAnsi="Century Schoolbook"/>
        </w:rPr>
        <w:t xml:space="preserve">entirely </w:t>
      </w:r>
      <w:r w:rsidRPr="005A144C" w:rsidR="001E78FD">
        <w:rPr>
          <w:rFonts w:ascii="Century Schoolbook" w:hAnsi="Century Schoolbook"/>
        </w:rPr>
        <w:t>inapposite</w:t>
      </w:r>
      <w:r w:rsidRPr="005A144C" w:rsidR="003A656F">
        <w:rPr>
          <w:rFonts w:ascii="Century Schoolbook" w:hAnsi="Century Schoolbook"/>
        </w:rPr>
        <w:t>, a</w:t>
      </w:r>
      <w:r w:rsidRPr="005A144C" w:rsidR="007918A4">
        <w:rPr>
          <w:rFonts w:ascii="Century Schoolbook" w:hAnsi="Century Schoolbook"/>
        </w:rPr>
        <w:t xml:space="preserve">s it </w:t>
      </w:r>
      <w:r w:rsidRPr="005A144C" w:rsidR="001E78FD">
        <w:rPr>
          <w:rFonts w:ascii="Century Schoolbook" w:hAnsi="Century Schoolbook"/>
        </w:rPr>
        <w:t>analyz</w:t>
      </w:r>
      <w:r w:rsidRPr="005A144C" w:rsidR="003A656F">
        <w:rPr>
          <w:rFonts w:ascii="Century Schoolbook" w:hAnsi="Century Schoolbook"/>
        </w:rPr>
        <w:t>ed</w:t>
      </w:r>
      <w:r w:rsidRPr="005A144C" w:rsidR="00CB13CB">
        <w:rPr>
          <w:rFonts w:ascii="Century Schoolbook" w:hAnsi="Century Schoolbook"/>
        </w:rPr>
        <w:t xml:space="preserve"> only</w:t>
      </w:r>
      <w:r w:rsidRPr="005A144C" w:rsidR="001E78FD">
        <w:rPr>
          <w:rFonts w:ascii="Century Schoolbook" w:hAnsi="Century Schoolbook"/>
        </w:rPr>
        <w:t xml:space="preserve"> the </w:t>
      </w:r>
      <w:r w:rsidRPr="005A144C" w:rsidR="001E78FD">
        <w:rPr>
          <w:rFonts w:ascii="Century Schoolbook" w:hAnsi="Century Schoolbook"/>
          <w:i/>
          <w:iCs/>
        </w:rPr>
        <w:t>second</w:t>
      </w:r>
      <w:r w:rsidRPr="005A144C" w:rsidR="001E78FD">
        <w:rPr>
          <w:rFonts w:ascii="Century Schoolbook" w:hAnsi="Century Schoolbook"/>
        </w:rPr>
        <w:t xml:space="preserve"> part of the</w:t>
      </w:r>
      <w:r w:rsidRPr="005A144C" w:rsidR="00627084">
        <w:rPr>
          <w:rFonts w:ascii="Century Schoolbook" w:hAnsi="Century Schoolbook"/>
        </w:rPr>
        <w:t xml:space="preserve"> alter ego</w:t>
      </w:r>
      <w:r w:rsidRPr="005A144C" w:rsidR="001E78FD">
        <w:rPr>
          <w:rFonts w:ascii="Century Schoolbook" w:hAnsi="Century Schoolbook"/>
        </w:rPr>
        <w:t xml:space="preserve"> test and </w:t>
      </w:r>
      <w:r w:rsidRPr="005A144C" w:rsidR="00CB13CB">
        <w:rPr>
          <w:rFonts w:ascii="Century Schoolbook" w:hAnsi="Century Schoolbook"/>
        </w:rPr>
        <w:t>concluded</w:t>
      </w:r>
      <w:r w:rsidRPr="005A144C" w:rsidR="001E78FD">
        <w:rPr>
          <w:rFonts w:ascii="Century Schoolbook" w:hAnsi="Century Schoolbook"/>
        </w:rPr>
        <w:t xml:space="preserve"> that a parent</w:t>
      </w:r>
      <w:r w:rsidRPr="005A144C" w:rsidR="00627084">
        <w:rPr>
          <w:rFonts w:ascii="Century Schoolbook" w:hAnsi="Century Schoolbook"/>
        </w:rPr>
        <w:t xml:space="preserve"> company</w:t>
      </w:r>
      <w:r w:rsidRPr="005A144C" w:rsidR="001E78FD">
        <w:rPr>
          <w:rFonts w:ascii="Century Schoolbook" w:hAnsi="Century Schoolbook"/>
        </w:rPr>
        <w:t xml:space="preserve">’s </w:t>
      </w:r>
      <w:r w:rsidRPr="005A144C" w:rsidR="008C31DC">
        <w:rPr>
          <w:rFonts w:ascii="Century Schoolbook" w:hAnsi="Century Schoolbook"/>
        </w:rPr>
        <w:t>advance</w:t>
      </w:r>
      <w:r w:rsidRPr="005A144C" w:rsidR="001E78FD">
        <w:rPr>
          <w:rFonts w:ascii="Century Schoolbook" w:hAnsi="Century Schoolbook"/>
        </w:rPr>
        <w:t xml:space="preserve"> of funds to a subsidiary does not alone </w:t>
      </w:r>
      <w:r w:rsidRPr="005A144C" w:rsidR="008C31DC">
        <w:rPr>
          <w:rFonts w:ascii="Century Schoolbook" w:hAnsi="Century Schoolbook"/>
        </w:rPr>
        <w:t>prove injustice</w:t>
      </w:r>
      <w:r w:rsidRPr="005A144C" w:rsidR="001E78FD">
        <w:rPr>
          <w:rFonts w:ascii="Century Schoolbook" w:hAnsi="Century Schoolbook"/>
        </w:rPr>
        <w:t>.  (</w:t>
      </w:r>
      <w:r w:rsidRPr="005A144C" w:rsidR="001E78FD">
        <w:rPr>
          <w:rFonts w:ascii="Century Schoolbook" w:hAnsi="Century Schoolbook"/>
          <w:i/>
          <w:iCs/>
        </w:rPr>
        <w:t>Id.</w:t>
      </w:r>
      <w:r w:rsidRPr="005A144C" w:rsidR="001E78FD">
        <w:rPr>
          <w:rFonts w:ascii="Century Schoolbook" w:hAnsi="Century Schoolbook"/>
        </w:rPr>
        <w:t xml:space="preserve"> at p. </w:t>
      </w:r>
      <w:r w:rsidRPr="005A144C" w:rsidR="00637BFF">
        <w:rPr>
          <w:rFonts w:ascii="Century Schoolbook" w:hAnsi="Century Schoolbook"/>
        </w:rPr>
        <w:t>539</w:t>
      </w:r>
      <w:r w:rsidRPr="005A144C" w:rsidR="001E78FD">
        <w:rPr>
          <w:rFonts w:ascii="Century Schoolbook" w:hAnsi="Century Schoolbook"/>
        </w:rPr>
        <w:t>.)</w:t>
      </w:r>
      <w:r w:rsidRPr="005A144C" w:rsidR="00433531">
        <w:rPr>
          <w:rFonts w:ascii="Century Schoolbook" w:hAnsi="Century Schoolbook"/>
        </w:rPr>
        <w:t xml:space="preserve">  </w:t>
      </w:r>
      <w:r w:rsidRPr="005A144C" w:rsidR="00562DEE">
        <w:rPr>
          <w:rFonts w:ascii="Century Schoolbook" w:hAnsi="Century Schoolbook"/>
        </w:rPr>
        <w:t xml:space="preserve">Even accepting the analogy between an advance and salary forfeiture, </w:t>
      </w:r>
      <w:r w:rsidRPr="005A144C" w:rsidR="0068719B">
        <w:rPr>
          <w:rFonts w:ascii="Century Schoolbook" w:hAnsi="Century Schoolbook"/>
          <w:i/>
          <w:iCs/>
        </w:rPr>
        <w:t xml:space="preserve">Sonora Diamond </w:t>
      </w:r>
      <w:r w:rsidRPr="005A144C" w:rsidR="00433531">
        <w:rPr>
          <w:rFonts w:ascii="Century Schoolbook" w:hAnsi="Century Schoolbook"/>
        </w:rPr>
        <w:t xml:space="preserve">says nothing about how </w:t>
      </w:r>
      <w:r w:rsidRPr="005A144C" w:rsidR="00FD4B7D">
        <w:rPr>
          <w:rFonts w:ascii="Century Schoolbook" w:hAnsi="Century Schoolbook"/>
        </w:rPr>
        <w:t>it</w:t>
      </w:r>
      <w:r w:rsidRPr="005A144C" w:rsidR="009D28D9">
        <w:rPr>
          <w:rFonts w:ascii="Century Schoolbook" w:hAnsi="Century Schoolbook"/>
        </w:rPr>
        <w:t xml:space="preserve"> </w:t>
      </w:r>
      <w:r w:rsidRPr="005A144C" w:rsidR="00C3051D">
        <w:rPr>
          <w:rFonts w:ascii="Century Schoolbook" w:hAnsi="Century Schoolbook"/>
        </w:rPr>
        <w:t xml:space="preserve">factors into </w:t>
      </w:r>
      <w:r w:rsidRPr="005A144C" w:rsidR="00207045">
        <w:rPr>
          <w:rFonts w:ascii="Century Schoolbook" w:hAnsi="Century Schoolbook"/>
        </w:rPr>
        <w:t>unity of ownership or interest.</w:t>
      </w:r>
    </w:p>
    <w:p w:rsidR="00DF4320" w:rsidRPr="005A144C" w:rsidP="002E22D7" w14:paraId="4680F986" w14:textId="0FA2BEAC">
      <w:pPr>
        <w:spacing w:line="360" w:lineRule="auto"/>
        <w:rPr>
          <w:rFonts w:ascii="Century Schoolbook" w:hAnsi="Century Schoolbook"/>
        </w:rPr>
      </w:pPr>
      <w:r w:rsidRPr="005A144C">
        <w:rPr>
          <w:rFonts w:ascii="Century Schoolbook" w:hAnsi="Century Schoolbook"/>
        </w:rPr>
        <w:tab/>
      </w:r>
      <w:r w:rsidRPr="005A144C" w:rsidR="00690157">
        <w:rPr>
          <w:rFonts w:ascii="Century Schoolbook" w:hAnsi="Century Schoolbook"/>
        </w:rPr>
        <w:t xml:space="preserve">Turning to </w:t>
      </w:r>
      <w:r w:rsidRPr="005A144C" w:rsidR="006378C7">
        <w:rPr>
          <w:rFonts w:ascii="Century Schoolbook" w:hAnsi="Century Schoolbook"/>
        </w:rPr>
        <w:t>the</w:t>
      </w:r>
      <w:r w:rsidRPr="005A144C" w:rsidR="00926DC5">
        <w:rPr>
          <w:rFonts w:ascii="Century Schoolbook" w:hAnsi="Century Schoolbook"/>
        </w:rPr>
        <w:t xml:space="preserve"> second part of the test</w:t>
      </w:r>
      <w:r w:rsidRPr="005A144C" w:rsidR="009E0887">
        <w:rPr>
          <w:rFonts w:ascii="Century Schoolbook" w:hAnsi="Century Schoolbook"/>
        </w:rPr>
        <w:t xml:space="preserve">, </w:t>
      </w:r>
      <w:r w:rsidRPr="005A144C" w:rsidR="00546639">
        <w:rPr>
          <w:rFonts w:ascii="Century Schoolbook" w:hAnsi="Century Schoolbook"/>
        </w:rPr>
        <w:t xml:space="preserve">the SG defendants </w:t>
      </w:r>
      <w:r w:rsidRPr="005A144C" w:rsidR="00926DC5">
        <w:rPr>
          <w:rFonts w:ascii="Century Schoolbook" w:hAnsi="Century Schoolbook"/>
        </w:rPr>
        <w:t xml:space="preserve">contend that the </w:t>
      </w:r>
      <w:r w:rsidRPr="005A144C" w:rsidR="00D107B0">
        <w:rPr>
          <w:rFonts w:ascii="Century Schoolbook" w:hAnsi="Century Schoolbook"/>
        </w:rPr>
        <w:t xml:space="preserve">trial court “made no finding of any injustice.”  </w:t>
      </w:r>
      <w:r w:rsidRPr="005A144C" w:rsidR="009937B6">
        <w:rPr>
          <w:rFonts w:ascii="Century Schoolbook" w:hAnsi="Century Schoolbook"/>
        </w:rPr>
        <w:t xml:space="preserve">In so doing, the SG defendants appear to suggest there was no evidence of </w:t>
      </w:r>
      <w:r w:rsidRPr="005A144C" w:rsidR="000F526E">
        <w:rPr>
          <w:rFonts w:ascii="Century Schoolbook" w:hAnsi="Century Schoolbook"/>
        </w:rPr>
        <w:t xml:space="preserve">actual </w:t>
      </w:r>
      <w:r w:rsidRPr="005A144C" w:rsidR="00DE0AB5">
        <w:rPr>
          <w:rFonts w:ascii="Century Schoolbook" w:hAnsi="Century Schoolbook"/>
        </w:rPr>
        <w:t xml:space="preserve">fraud </w:t>
      </w:r>
      <w:r w:rsidRPr="005A144C" w:rsidR="00AE0B66">
        <w:rPr>
          <w:rFonts w:ascii="Century Schoolbook" w:hAnsi="Century Schoolbook"/>
        </w:rPr>
        <w:t>or</w:t>
      </w:r>
      <w:r w:rsidRPr="005A144C" w:rsidR="00DE0AB5">
        <w:rPr>
          <w:rFonts w:ascii="Century Schoolbook" w:hAnsi="Century Schoolbook"/>
        </w:rPr>
        <w:t xml:space="preserve"> fraudulent intent </w:t>
      </w:r>
      <w:r w:rsidRPr="005A144C" w:rsidR="00EF6923">
        <w:rPr>
          <w:rFonts w:ascii="Century Schoolbook" w:hAnsi="Century Schoolbook"/>
        </w:rPr>
        <w:t>necessary for</w:t>
      </w:r>
      <w:r w:rsidRPr="005A144C" w:rsidR="00DE0AB5">
        <w:rPr>
          <w:rFonts w:ascii="Century Schoolbook" w:hAnsi="Century Schoolbook"/>
        </w:rPr>
        <w:t xml:space="preserve"> such a finding. </w:t>
      </w:r>
      <w:r w:rsidRPr="005A144C" w:rsidR="00D34A10">
        <w:rPr>
          <w:rFonts w:ascii="Century Schoolbook" w:hAnsi="Century Schoolbook"/>
        </w:rPr>
        <w:t xml:space="preserve"> </w:t>
      </w:r>
      <w:r w:rsidRPr="005A144C" w:rsidR="003B5C23">
        <w:rPr>
          <w:rFonts w:ascii="Century Schoolbook" w:hAnsi="Century Schoolbook"/>
        </w:rPr>
        <w:t>But t</w:t>
      </w:r>
      <w:r w:rsidRPr="005A144C" w:rsidR="00D34A10">
        <w:rPr>
          <w:rFonts w:ascii="Century Schoolbook" w:hAnsi="Century Schoolbook"/>
        </w:rPr>
        <w:t>he alter ego doctrine “does not depend on the presence of actual fraud.”  (</w:t>
      </w:r>
      <w:r w:rsidRPr="005A144C" w:rsidR="00D34A10">
        <w:rPr>
          <w:rFonts w:ascii="Century Schoolbook" w:hAnsi="Century Schoolbook"/>
          <w:i/>
          <w:iCs/>
        </w:rPr>
        <w:t>Associated Vendors</w:t>
      </w:r>
      <w:r w:rsidRPr="005A144C" w:rsidR="00D34A10">
        <w:rPr>
          <w:rFonts w:ascii="Century Schoolbook" w:hAnsi="Century Schoolbook"/>
        </w:rPr>
        <w:t xml:space="preserve">, </w:t>
      </w:r>
      <w:r w:rsidRPr="005A144C" w:rsidR="00D34A10">
        <w:rPr>
          <w:rFonts w:ascii="Century Schoolbook" w:hAnsi="Century Schoolbook"/>
          <w:i/>
          <w:iCs/>
        </w:rPr>
        <w:t>supra</w:t>
      </w:r>
      <w:r w:rsidRPr="005A144C" w:rsidR="00D34A10">
        <w:rPr>
          <w:rFonts w:ascii="Century Schoolbook" w:hAnsi="Century Schoolbook"/>
        </w:rPr>
        <w:t xml:space="preserve">, 210 Cal.App.2d at p. 838.)  Instead, “it is designed to prevent what would be fraud or injustice, if accomplished. </w:t>
      </w:r>
      <w:r w:rsidRPr="005A144C" w:rsidR="00B0135C">
        <w:rPr>
          <w:rFonts w:ascii="Century Schoolbook" w:hAnsi="Century Schoolbook"/>
        </w:rPr>
        <w:t xml:space="preserve"> </w:t>
      </w:r>
      <w:r w:rsidRPr="005A144C" w:rsidR="00D34A10">
        <w:rPr>
          <w:rFonts w:ascii="Century Schoolbook" w:hAnsi="Century Schoolbook"/>
        </w:rPr>
        <w:t>Accordingly, bad faith in one form or another is an underlying consideration and will be found in some form or another in those cases wherein the trial court was justified in disregarding the corporate entity.”  (</w:t>
      </w:r>
      <w:r w:rsidRPr="005A144C" w:rsidR="00D34A10">
        <w:rPr>
          <w:rFonts w:ascii="Century Schoolbook" w:hAnsi="Century Schoolbook"/>
          <w:i/>
          <w:iCs/>
        </w:rPr>
        <w:t>Ibid.</w:t>
      </w:r>
      <w:r w:rsidRPr="005A144C" w:rsidR="00D34A10">
        <w:rPr>
          <w:rFonts w:ascii="Century Schoolbook" w:hAnsi="Century Schoolbook"/>
        </w:rPr>
        <w:t>)</w:t>
      </w:r>
      <w:r w:rsidRPr="005A144C" w:rsidR="007F30FF">
        <w:rPr>
          <w:rFonts w:ascii="Century Schoolbook" w:hAnsi="Century Schoolbook"/>
        </w:rPr>
        <w:t xml:space="preserve"> </w:t>
      </w:r>
      <w:r w:rsidRPr="005A144C" w:rsidR="00D97B42">
        <w:rPr>
          <w:rFonts w:ascii="Century Schoolbook" w:hAnsi="Century Schoolbook"/>
        </w:rPr>
        <w:t xml:space="preserve"> Here, the trial court concluded that the SG defendants acted intentionally and “in bad faith” by </w:t>
      </w:r>
      <w:r w:rsidRPr="005A144C" w:rsidR="002936EB">
        <w:rPr>
          <w:rFonts w:ascii="Century Schoolbook" w:hAnsi="Century Schoolbook"/>
        </w:rPr>
        <w:t xml:space="preserve">failing to adequately capitalize ALS, continuing ALS’s business without adequate capital or insurance, and </w:t>
      </w:r>
      <w:r w:rsidRPr="005A144C" w:rsidR="0035474B">
        <w:rPr>
          <w:rFonts w:ascii="Century Schoolbook" w:hAnsi="Century Schoolbook"/>
        </w:rPr>
        <w:t>divert</w:t>
      </w:r>
      <w:r w:rsidRPr="005A144C" w:rsidR="00E92227">
        <w:rPr>
          <w:rFonts w:ascii="Century Schoolbook" w:hAnsi="Century Schoolbook"/>
        </w:rPr>
        <w:t>ing</w:t>
      </w:r>
      <w:r w:rsidRPr="005A144C" w:rsidR="0035474B">
        <w:rPr>
          <w:rFonts w:ascii="Century Schoolbook" w:hAnsi="Century Schoolbook"/>
        </w:rPr>
        <w:t xml:space="preserve"> ALS funds to themselves. </w:t>
      </w:r>
    </w:p>
    <w:p w:rsidR="009E0887" w:rsidRPr="005A144C" w:rsidP="002E22D7" w14:paraId="1B4E314C" w14:textId="6705EDD7">
      <w:pPr>
        <w:spacing w:line="360" w:lineRule="auto"/>
        <w:rPr>
          <w:rFonts w:ascii="Century Schoolbook" w:hAnsi="Century Schoolbook"/>
        </w:rPr>
      </w:pPr>
      <w:r w:rsidRPr="005A144C">
        <w:rPr>
          <w:rFonts w:ascii="Century Schoolbook" w:hAnsi="Century Schoolbook"/>
        </w:rPr>
        <w:tab/>
      </w:r>
      <w:r w:rsidRPr="005A144C" w:rsidR="00536C28">
        <w:rPr>
          <w:rFonts w:ascii="Century Schoolbook" w:hAnsi="Century Schoolbook"/>
        </w:rPr>
        <w:t>Failure</w:t>
      </w:r>
      <w:r w:rsidRPr="005A144C" w:rsidR="00EA5728">
        <w:rPr>
          <w:rFonts w:ascii="Century Schoolbook" w:hAnsi="Century Schoolbook"/>
        </w:rPr>
        <w:t xml:space="preserve"> to adequately capitalize, </w:t>
      </w:r>
      <w:r w:rsidRPr="005A144C" w:rsidR="00F16638">
        <w:rPr>
          <w:rFonts w:ascii="Century Schoolbook" w:hAnsi="Century Schoolbook"/>
        </w:rPr>
        <w:t>absence of</w:t>
      </w:r>
      <w:r w:rsidRPr="005A144C" w:rsidR="00EA5728">
        <w:rPr>
          <w:rFonts w:ascii="Century Schoolbook" w:hAnsi="Century Schoolbook"/>
        </w:rPr>
        <w:t xml:space="preserve"> corporate assets</w:t>
      </w:r>
      <w:r w:rsidRPr="005A144C" w:rsidR="00F16638">
        <w:rPr>
          <w:rFonts w:ascii="Century Schoolbook" w:hAnsi="Century Schoolbook"/>
        </w:rPr>
        <w:t>, and undercapitalization</w:t>
      </w:r>
      <w:r w:rsidRPr="005A144C" w:rsidR="00536C28">
        <w:rPr>
          <w:rFonts w:ascii="Century Schoolbook" w:hAnsi="Century Schoolbook"/>
        </w:rPr>
        <w:t xml:space="preserve"> are </w:t>
      </w:r>
      <w:r w:rsidRPr="005A144C" w:rsidR="008459A5">
        <w:rPr>
          <w:rFonts w:ascii="Century Schoolbook" w:hAnsi="Century Schoolbook"/>
        </w:rPr>
        <w:t xml:space="preserve">all </w:t>
      </w:r>
      <w:r w:rsidRPr="005A144C" w:rsidR="00F4681E">
        <w:rPr>
          <w:rFonts w:ascii="Century Schoolbook" w:hAnsi="Century Schoolbook"/>
        </w:rPr>
        <w:t xml:space="preserve">factors </w:t>
      </w:r>
      <w:r w:rsidRPr="005A144C" w:rsidR="005C3313">
        <w:rPr>
          <w:rFonts w:ascii="Century Schoolbook" w:hAnsi="Century Schoolbook"/>
        </w:rPr>
        <w:t>that can be</w:t>
      </w:r>
      <w:r w:rsidRPr="005A144C" w:rsidR="00F4681E">
        <w:rPr>
          <w:rFonts w:ascii="Century Schoolbook" w:hAnsi="Century Schoolbook"/>
        </w:rPr>
        <w:t xml:space="preserve"> consider</w:t>
      </w:r>
      <w:r w:rsidRPr="005A144C" w:rsidR="005C3313">
        <w:rPr>
          <w:rFonts w:ascii="Century Schoolbook" w:hAnsi="Century Schoolbook"/>
        </w:rPr>
        <w:t>ed</w:t>
      </w:r>
      <w:r w:rsidRPr="005A144C" w:rsidR="00F4681E">
        <w:rPr>
          <w:rFonts w:ascii="Century Schoolbook" w:hAnsi="Century Schoolbook"/>
        </w:rPr>
        <w:t xml:space="preserve"> in applying the alter ego doctrine</w:t>
      </w:r>
      <w:r w:rsidRPr="005A144C" w:rsidR="00536C28">
        <w:rPr>
          <w:rFonts w:ascii="Century Schoolbook" w:hAnsi="Century Schoolbook"/>
        </w:rPr>
        <w:t xml:space="preserve">.  </w:t>
      </w:r>
      <w:r w:rsidRPr="005A144C" w:rsidR="000030DB">
        <w:rPr>
          <w:rFonts w:ascii="Century Schoolbook" w:hAnsi="Century Schoolbook"/>
        </w:rPr>
        <w:t>(</w:t>
      </w:r>
      <w:r w:rsidRPr="005A144C" w:rsidR="000030DB">
        <w:rPr>
          <w:rFonts w:ascii="Century Schoolbook" w:hAnsi="Century Schoolbook"/>
          <w:i/>
          <w:iCs/>
        </w:rPr>
        <w:t>Associated Vendors</w:t>
      </w:r>
      <w:r w:rsidRPr="005A144C" w:rsidR="000030DB">
        <w:rPr>
          <w:rFonts w:ascii="Century Schoolbook" w:hAnsi="Century Schoolbook"/>
        </w:rPr>
        <w:t xml:space="preserve">, </w:t>
      </w:r>
      <w:r w:rsidRPr="005A144C" w:rsidR="000030DB">
        <w:rPr>
          <w:rFonts w:ascii="Century Schoolbook" w:hAnsi="Century Schoolbook"/>
          <w:i/>
          <w:iCs/>
        </w:rPr>
        <w:t>supra</w:t>
      </w:r>
      <w:r w:rsidRPr="005A144C" w:rsidR="000030DB">
        <w:rPr>
          <w:rFonts w:ascii="Century Schoolbook" w:hAnsi="Century Schoolbook"/>
        </w:rPr>
        <w:t>, 210 Cal.App.2d at p. 83</w:t>
      </w:r>
      <w:r w:rsidRPr="005A144C" w:rsidR="00EA5728">
        <w:rPr>
          <w:rFonts w:ascii="Century Schoolbook" w:hAnsi="Century Schoolbook"/>
        </w:rPr>
        <w:t>9</w:t>
      </w:r>
      <w:r w:rsidRPr="005A144C" w:rsidR="000030DB">
        <w:rPr>
          <w:rFonts w:ascii="Century Schoolbook" w:hAnsi="Century Schoolbook"/>
        </w:rPr>
        <w:t xml:space="preserve">.)  </w:t>
      </w:r>
      <w:r w:rsidRPr="005A144C" w:rsidR="00AB3D62">
        <w:rPr>
          <w:rFonts w:ascii="Century Schoolbook" w:hAnsi="Century Schoolbook"/>
        </w:rPr>
        <w:t>When ALS was incorporated, Swedelson and Gottlieb contributed only $28,000 in capital</w:t>
      </w:r>
      <w:r w:rsidRPr="005A144C" w:rsidR="00797AD7">
        <w:rPr>
          <w:rFonts w:ascii="Century Schoolbook" w:hAnsi="Century Schoolbook"/>
        </w:rPr>
        <w:t>,</w:t>
      </w:r>
      <w:r w:rsidRPr="005A144C" w:rsidR="00AB3D62">
        <w:rPr>
          <w:rFonts w:ascii="Century Schoolbook" w:hAnsi="Century Schoolbook"/>
        </w:rPr>
        <w:t xml:space="preserve"> and obtained an insurance policy with a $1</w:t>
      </w:r>
      <w:r w:rsidRPr="005A144C" w:rsidR="008935E1">
        <w:rPr>
          <w:rFonts w:ascii="Century Schoolbook" w:hAnsi="Century Schoolbook"/>
        </w:rPr>
        <w:t> million</w:t>
      </w:r>
      <w:r w:rsidRPr="005A144C" w:rsidR="00AB3D62">
        <w:rPr>
          <w:rFonts w:ascii="Century Schoolbook" w:hAnsi="Century Schoolbook"/>
        </w:rPr>
        <w:t xml:space="preserve"> limit and a $250,000 class action sublimit</w:t>
      </w:r>
      <w:r w:rsidRPr="005A144C" w:rsidR="00411CEC">
        <w:rPr>
          <w:rFonts w:ascii="Century Schoolbook" w:hAnsi="Century Schoolbook"/>
        </w:rPr>
        <w:t xml:space="preserve"> despite having previously defended </w:t>
      </w:r>
      <w:r w:rsidRPr="005A144C" w:rsidR="0050347D">
        <w:rPr>
          <w:rFonts w:ascii="Century Schoolbook" w:hAnsi="Century Schoolbook"/>
        </w:rPr>
        <w:t xml:space="preserve">Association </w:t>
      </w:r>
      <w:r w:rsidRPr="005A144C" w:rsidR="00411CEC">
        <w:rPr>
          <w:rFonts w:ascii="Century Schoolbook" w:hAnsi="Century Schoolbook"/>
        </w:rPr>
        <w:t xml:space="preserve">Lien Services in a FDCPA class action and charging </w:t>
      </w:r>
      <w:r w:rsidRPr="005A144C" w:rsidR="000C67E4">
        <w:rPr>
          <w:rFonts w:ascii="Century Schoolbook" w:hAnsi="Century Schoolbook"/>
        </w:rPr>
        <w:t>over a million dollars</w:t>
      </w:r>
      <w:r w:rsidRPr="005A144C" w:rsidR="00411CEC">
        <w:rPr>
          <w:rFonts w:ascii="Century Schoolbook" w:hAnsi="Century Schoolbook"/>
        </w:rPr>
        <w:t xml:space="preserve"> for legal services</w:t>
      </w:r>
      <w:r w:rsidRPr="005A144C" w:rsidR="00AB3D62">
        <w:rPr>
          <w:rFonts w:ascii="Century Schoolbook" w:hAnsi="Century Schoolbook"/>
        </w:rPr>
        <w:t xml:space="preserve">. </w:t>
      </w:r>
      <w:r w:rsidRPr="005A144C" w:rsidR="000D24FA">
        <w:rPr>
          <w:rFonts w:ascii="Century Schoolbook" w:hAnsi="Century Schoolbook"/>
        </w:rPr>
        <w:t xml:space="preserve"> </w:t>
      </w:r>
      <w:r w:rsidRPr="005A144C" w:rsidR="00411CEC">
        <w:rPr>
          <w:rFonts w:ascii="Century Schoolbook" w:hAnsi="Century Schoolbook"/>
        </w:rPr>
        <w:t xml:space="preserve">Swedelson and Gottlieb </w:t>
      </w:r>
      <w:r w:rsidRPr="005A144C" w:rsidR="00AC5DA2">
        <w:rPr>
          <w:rFonts w:ascii="Century Schoolbook" w:hAnsi="Century Schoolbook"/>
        </w:rPr>
        <w:t>proceeded</w:t>
      </w:r>
      <w:r w:rsidRPr="005A144C" w:rsidR="00391C1B">
        <w:rPr>
          <w:rFonts w:ascii="Century Schoolbook" w:hAnsi="Century Schoolbook"/>
        </w:rPr>
        <w:t xml:space="preserve"> with ALS’s business</w:t>
      </w:r>
      <w:r w:rsidRPr="005A144C" w:rsidR="00411CEC">
        <w:rPr>
          <w:rFonts w:ascii="Century Schoolbook" w:hAnsi="Century Schoolbook"/>
        </w:rPr>
        <w:t xml:space="preserve"> </w:t>
      </w:r>
      <w:r w:rsidRPr="005A144C" w:rsidR="00E32A2A">
        <w:rPr>
          <w:rFonts w:ascii="Century Schoolbook" w:hAnsi="Century Schoolbook"/>
        </w:rPr>
        <w:t>despite the</w:t>
      </w:r>
      <w:r w:rsidRPr="005A144C" w:rsidR="00C75B36">
        <w:rPr>
          <w:rFonts w:ascii="Century Schoolbook" w:hAnsi="Century Schoolbook"/>
        </w:rPr>
        <w:t xml:space="preserve"> </w:t>
      </w:r>
      <w:r w:rsidRPr="005A144C" w:rsidR="00E32A2A">
        <w:rPr>
          <w:rFonts w:ascii="Century Schoolbook" w:hAnsi="Century Schoolbook"/>
        </w:rPr>
        <w:t xml:space="preserve">risks </w:t>
      </w:r>
      <w:r w:rsidRPr="005A144C" w:rsidR="00C75B36">
        <w:rPr>
          <w:rFonts w:ascii="Century Schoolbook" w:hAnsi="Century Schoolbook"/>
        </w:rPr>
        <w:t>reasonably foreseeable after this litigation</w:t>
      </w:r>
      <w:r w:rsidRPr="005A144C" w:rsidR="00AC5DA2">
        <w:rPr>
          <w:rFonts w:ascii="Century Schoolbook" w:hAnsi="Century Schoolbook"/>
        </w:rPr>
        <w:t>.  Over the next</w:t>
      </w:r>
      <w:r w:rsidRPr="005A144C" w:rsidR="008302FA">
        <w:rPr>
          <w:rFonts w:ascii="Century Schoolbook" w:hAnsi="Century Schoolbook"/>
        </w:rPr>
        <w:t xml:space="preserve"> several</w:t>
      </w:r>
      <w:r w:rsidRPr="005A144C" w:rsidR="00AC5DA2">
        <w:rPr>
          <w:rFonts w:ascii="Century Schoolbook" w:hAnsi="Century Schoolbook"/>
        </w:rPr>
        <w:t xml:space="preserve"> years, they continued ALS’s business despite growing</w:t>
      </w:r>
      <w:r w:rsidRPr="005A144C" w:rsidR="00C75B36">
        <w:rPr>
          <w:rFonts w:ascii="Century Schoolbook" w:hAnsi="Century Schoolbook"/>
        </w:rPr>
        <w:t xml:space="preserve"> delinquencies </w:t>
      </w:r>
      <w:r w:rsidRPr="005A144C" w:rsidR="00AC5DA2">
        <w:rPr>
          <w:rFonts w:ascii="Century Schoolbook" w:hAnsi="Century Schoolbook"/>
        </w:rPr>
        <w:t>and additional lawsuits</w:t>
      </w:r>
      <w:r w:rsidRPr="005A144C" w:rsidR="00E32A2A">
        <w:rPr>
          <w:rFonts w:ascii="Century Schoolbook" w:hAnsi="Century Schoolbook"/>
        </w:rPr>
        <w:t xml:space="preserve">. </w:t>
      </w:r>
      <w:r w:rsidRPr="005A144C" w:rsidR="006A67C9">
        <w:rPr>
          <w:rFonts w:ascii="Century Schoolbook" w:hAnsi="Century Schoolbook"/>
        </w:rPr>
        <w:t xml:space="preserve"> </w:t>
      </w:r>
      <w:r w:rsidRPr="005A144C" w:rsidR="00244265">
        <w:rPr>
          <w:rFonts w:ascii="Century Schoolbook" w:hAnsi="Century Schoolbook"/>
        </w:rPr>
        <w:t xml:space="preserve">Then they charged ALS legal fees </w:t>
      </w:r>
      <w:r w:rsidRPr="005A144C" w:rsidR="00C62AD9">
        <w:rPr>
          <w:rFonts w:ascii="Century Schoolbook" w:hAnsi="Century Schoolbook"/>
        </w:rPr>
        <w:t>as outside counsel in</w:t>
      </w:r>
      <w:r w:rsidRPr="005A144C" w:rsidR="00244265">
        <w:rPr>
          <w:rFonts w:ascii="Century Schoolbook" w:hAnsi="Century Schoolbook"/>
        </w:rPr>
        <w:t xml:space="preserve"> this action. </w:t>
      </w:r>
      <w:r w:rsidRPr="005A144C" w:rsidR="004F0F13">
        <w:rPr>
          <w:rFonts w:ascii="Century Schoolbook" w:hAnsi="Century Schoolbook"/>
        </w:rPr>
        <w:t xml:space="preserve"> </w:t>
      </w:r>
      <w:r w:rsidRPr="005A144C" w:rsidR="003A18C8">
        <w:rPr>
          <w:rFonts w:ascii="Century Schoolbook" w:hAnsi="Century Schoolbook"/>
        </w:rPr>
        <w:t>T</w:t>
      </w:r>
      <w:r w:rsidRPr="005A144C" w:rsidR="00607FB9">
        <w:rPr>
          <w:rFonts w:ascii="Century Schoolbook" w:hAnsi="Century Schoolbook"/>
        </w:rPr>
        <w:t xml:space="preserve">he SG defendants </w:t>
      </w:r>
      <w:r w:rsidRPr="005A144C" w:rsidR="003A18C8">
        <w:rPr>
          <w:rFonts w:ascii="Century Schoolbook" w:hAnsi="Century Schoolbook"/>
        </w:rPr>
        <w:t xml:space="preserve">argue that </w:t>
      </w:r>
      <w:r w:rsidRPr="005A144C" w:rsidR="00C122C3">
        <w:rPr>
          <w:rFonts w:ascii="Century Schoolbook" w:hAnsi="Century Schoolbook"/>
        </w:rPr>
        <w:t>those fees</w:t>
      </w:r>
      <w:r w:rsidRPr="005A144C" w:rsidR="003A18C8">
        <w:rPr>
          <w:rFonts w:ascii="Century Schoolbook" w:hAnsi="Century Schoolbook"/>
        </w:rPr>
        <w:t xml:space="preserve"> </w:t>
      </w:r>
      <w:r w:rsidRPr="005A144C" w:rsidR="00C122C3">
        <w:rPr>
          <w:rFonts w:ascii="Century Schoolbook" w:hAnsi="Century Schoolbook"/>
        </w:rPr>
        <w:t xml:space="preserve">should not be </w:t>
      </w:r>
      <w:r w:rsidRPr="005A144C" w:rsidR="001C1D0A">
        <w:rPr>
          <w:rFonts w:ascii="Century Schoolbook" w:hAnsi="Century Schoolbook"/>
        </w:rPr>
        <w:t>consider</w:t>
      </w:r>
      <w:r w:rsidRPr="005A144C" w:rsidR="00C122C3">
        <w:rPr>
          <w:rFonts w:ascii="Century Schoolbook" w:hAnsi="Century Schoolbook"/>
        </w:rPr>
        <w:t>ed</w:t>
      </w:r>
      <w:r w:rsidRPr="005A144C" w:rsidR="008E1A10">
        <w:rPr>
          <w:rFonts w:ascii="Century Schoolbook" w:hAnsi="Century Schoolbook"/>
        </w:rPr>
        <w:t xml:space="preserve"> because </w:t>
      </w:r>
      <w:r w:rsidRPr="005A144C" w:rsidR="00607FB9">
        <w:rPr>
          <w:rFonts w:ascii="Century Schoolbook" w:hAnsi="Century Schoolbook"/>
        </w:rPr>
        <w:t>the</w:t>
      </w:r>
      <w:r w:rsidRPr="005A144C" w:rsidR="008E1A10">
        <w:rPr>
          <w:rFonts w:ascii="Century Schoolbook" w:hAnsi="Century Schoolbook"/>
        </w:rPr>
        <w:t>y</w:t>
      </w:r>
      <w:r w:rsidRPr="005A144C" w:rsidR="001C1D0A">
        <w:rPr>
          <w:rFonts w:ascii="Century Schoolbook" w:hAnsi="Century Schoolbook"/>
        </w:rPr>
        <w:t xml:space="preserve"> </w:t>
      </w:r>
      <w:r w:rsidRPr="005A144C" w:rsidR="000342EB">
        <w:rPr>
          <w:rFonts w:ascii="Century Schoolbook" w:hAnsi="Century Schoolbook"/>
        </w:rPr>
        <w:t>reflect</w:t>
      </w:r>
      <w:r w:rsidRPr="005A144C" w:rsidR="008E1A10">
        <w:rPr>
          <w:rFonts w:ascii="Century Schoolbook" w:hAnsi="Century Schoolbook"/>
        </w:rPr>
        <w:t xml:space="preserve"> </w:t>
      </w:r>
      <w:r w:rsidRPr="005A144C" w:rsidR="00AF0935">
        <w:rPr>
          <w:rFonts w:ascii="Century Schoolbook" w:hAnsi="Century Schoolbook"/>
        </w:rPr>
        <w:t>legal services rendered</w:t>
      </w:r>
      <w:r w:rsidRPr="005A144C" w:rsidR="00533074">
        <w:rPr>
          <w:rFonts w:ascii="Century Schoolbook" w:hAnsi="Century Schoolbook"/>
        </w:rPr>
        <w:t>.</w:t>
      </w:r>
      <w:r w:rsidRPr="005A144C" w:rsidR="003A18C8">
        <w:rPr>
          <w:rFonts w:ascii="Century Schoolbook" w:hAnsi="Century Schoolbook"/>
        </w:rPr>
        <w:t xml:space="preserve"> </w:t>
      </w:r>
      <w:r w:rsidRPr="005A144C" w:rsidR="008302FA">
        <w:rPr>
          <w:rFonts w:ascii="Century Schoolbook" w:hAnsi="Century Schoolbook"/>
        </w:rPr>
        <w:t xml:space="preserve"> </w:t>
      </w:r>
      <w:r w:rsidRPr="005A144C" w:rsidR="00533074">
        <w:rPr>
          <w:rFonts w:ascii="Century Schoolbook" w:hAnsi="Century Schoolbook"/>
        </w:rPr>
        <w:t>B</w:t>
      </w:r>
      <w:r w:rsidRPr="005A144C" w:rsidR="003A18C8">
        <w:rPr>
          <w:rFonts w:ascii="Century Schoolbook" w:hAnsi="Century Schoolbook"/>
        </w:rPr>
        <w:t>ut that misses the point</w:t>
      </w:r>
      <w:r w:rsidRPr="005A144C" w:rsidR="00AF0935">
        <w:rPr>
          <w:rFonts w:ascii="Century Schoolbook" w:hAnsi="Century Schoolbook"/>
        </w:rPr>
        <w:t xml:space="preserve">. </w:t>
      </w:r>
      <w:r w:rsidRPr="005A144C" w:rsidR="00607FB9">
        <w:rPr>
          <w:rFonts w:ascii="Century Schoolbook" w:hAnsi="Century Schoolbook"/>
        </w:rPr>
        <w:t xml:space="preserve"> </w:t>
      </w:r>
      <w:r w:rsidRPr="005A144C" w:rsidR="008321C1">
        <w:rPr>
          <w:rFonts w:ascii="Century Schoolbook" w:hAnsi="Century Schoolbook"/>
        </w:rPr>
        <w:t xml:space="preserve">Swedelson and Gottlieb </w:t>
      </w:r>
      <w:r w:rsidRPr="005A144C" w:rsidR="00C3493A">
        <w:rPr>
          <w:rFonts w:ascii="Century Schoolbook" w:hAnsi="Century Schoolbook"/>
        </w:rPr>
        <w:t xml:space="preserve">never considered options for ALS </w:t>
      </w:r>
      <w:r w:rsidRPr="005A144C" w:rsidR="00735AE8">
        <w:rPr>
          <w:rFonts w:ascii="Century Schoolbook" w:hAnsi="Century Schoolbook"/>
        </w:rPr>
        <w:t>that</w:t>
      </w:r>
      <w:r w:rsidRPr="005A144C" w:rsidR="00C3493A">
        <w:rPr>
          <w:rFonts w:ascii="Century Schoolbook" w:hAnsi="Century Schoolbook"/>
        </w:rPr>
        <w:t xml:space="preserve"> </w:t>
      </w:r>
      <w:r w:rsidRPr="005A144C" w:rsidR="00735AE8">
        <w:rPr>
          <w:rFonts w:ascii="Century Schoolbook" w:hAnsi="Century Schoolbook"/>
        </w:rPr>
        <w:t>w</w:t>
      </w:r>
      <w:r w:rsidRPr="005A144C" w:rsidR="00044B93">
        <w:rPr>
          <w:rFonts w:ascii="Century Schoolbook" w:hAnsi="Century Schoolbook"/>
        </w:rPr>
        <w:t xml:space="preserve">ould have </w:t>
      </w:r>
      <w:r w:rsidRPr="005A144C" w:rsidR="00970CB2">
        <w:rPr>
          <w:rFonts w:ascii="Century Schoolbook" w:hAnsi="Century Schoolbook"/>
        </w:rPr>
        <w:t xml:space="preserve">mitigated or at least </w:t>
      </w:r>
      <w:r w:rsidRPr="005A144C" w:rsidR="006C18C1">
        <w:rPr>
          <w:rFonts w:ascii="Century Schoolbook" w:hAnsi="Century Schoolbook"/>
        </w:rPr>
        <w:t>suspended</w:t>
      </w:r>
      <w:r w:rsidRPr="005A144C" w:rsidR="00735AE8">
        <w:rPr>
          <w:rFonts w:ascii="Century Schoolbook" w:hAnsi="Century Schoolbook"/>
        </w:rPr>
        <w:t xml:space="preserve"> </w:t>
      </w:r>
      <w:r w:rsidRPr="005A144C" w:rsidR="00E87E2F">
        <w:rPr>
          <w:rFonts w:ascii="Century Schoolbook" w:hAnsi="Century Schoolbook"/>
        </w:rPr>
        <w:t>these costs</w:t>
      </w:r>
      <w:r w:rsidRPr="005A144C" w:rsidR="00044B93">
        <w:rPr>
          <w:rFonts w:ascii="Century Schoolbook" w:hAnsi="Century Schoolbook"/>
        </w:rPr>
        <w:t xml:space="preserve"> </w:t>
      </w:r>
      <w:r w:rsidRPr="005A144C" w:rsidR="00C3493A">
        <w:rPr>
          <w:rFonts w:ascii="Century Schoolbook" w:hAnsi="Century Schoolbook"/>
        </w:rPr>
        <w:t>(e.g.</w:t>
      </w:r>
      <w:r w:rsidRPr="005A144C" w:rsidR="00B36ED9">
        <w:rPr>
          <w:rFonts w:ascii="Century Schoolbook" w:hAnsi="Century Schoolbook"/>
        </w:rPr>
        <w:t>,</w:t>
      </w:r>
      <w:r w:rsidRPr="005A144C" w:rsidR="00C3493A">
        <w:rPr>
          <w:rFonts w:ascii="Century Schoolbook" w:hAnsi="Century Schoolbook"/>
        </w:rPr>
        <w:t xml:space="preserve"> bankruptcy)</w:t>
      </w:r>
      <w:r w:rsidRPr="005A144C" w:rsidR="00910563">
        <w:rPr>
          <w:rFonts w:ascii="Century Schoolbook" w:hAnsi="Century Schoolbook"/>
        </w:rPr>
        <w:t>,</w:t>
      </w:r>
      <w:r w:rsidRPr="005A144C" w:rsidR="00C3493A">
        <w:rPr>
          <w:rFonts w:ascii="Century Schoolbook" w:hAnsi="Century Schoolbook"/>
        </w:rPr>
        <w:t xml:space="preserve"> </w:t>
      </w:r>
      <w:r w:rsidRPr="005A144C" w:rsidR="0083383B">
        <w:rPr>
          <w:rFonts w:ascii="Century Schoolbook" w:hAnsi="Century Schoolbook"/>
        </w:rPr>
        <w:t xml:space="preserve">instead </w:t>
      </w:r>
      <w:r w:rsidRPr="005A144C" w:rsidR="002A5E93">
        <w:rPr>
          <w:rFonts w:ascii="Century Schoolbook" w:hAnsi="Century Schoolbook"/>
        </w:rPr>
        <w:t>charg</w:t>
      </w:r>
      <w:r w:rsidRPr="005A144C" w:rsidR="00532BA8">
        <w:rPr>
          <w:rFonts w:ascii="Century Schoolbook" w:hAnsi="Century Schoolbook"/>
        </w:rPr>
        <w:t>ing</w:t>
      </w:r>
      <w:r w:rsidRPr="005A144C" w:rsidR="002E739D">
        <w:rPr>
          <w:rFonts w:ascii="Century Schoolbook" w:hAnsi="Century Schoolbook"/>
        </w:rPr>
        <w:t xml:space="preserve"> </w:t>
      </w:r>
      <w:r w:rsidRPr="005A144C" w:rsidR="00C62AD9">
        <w:rPr>
          <w:rFonts w:ascii="Century Schoolbook" w:hAnsi="Century Schoolbook"/>
        </w:rPr>
        <w:t>$300,000 in</w:t>
      </w:r>
      <w:r w:rsidRPr="005A144C" w:rsidR="004F0F13">
        <w:rPr>
          <w:rFonts w:ascii="Century Schoolbook" w:hAnsi="Century Schoolbook"/>
        </w:rPr>
        <w:t xml:space="preserve"> fee</w:t>
      </w:r>
      <w:r w:rsidRPr="005A144C" w:rsidR="008F1894">
        <w:rPr>
          <w:rFonts w:ascii="Century Schoolbook" w:hAnsi="Century Schoolbook"/>
        </w:rPr>
        <w:t>s</w:t>
      </w:r>
      <w:r w:rsidRPr="005A144C" w:rsidR="004F0F13">
        <w:rPr>
          <w:rFonts w:ascii="Century Schoolbook" w:hAnsi="Century Schoolbook"/>
        </w:rPr>
        <w:t xml:space="preserve"> above and beyond </w:t>
      </w:r>
      <w:r w:rsidRPr="005A144C" w:rsidR="008F1894">
        <w:rPr>
          <w:rFonts w:ascii="Century Schoolbook" w:hAnsi="Century Schoolbook"/>
        </w:rPr>
        <w:t>those</w:t>
      </w:r>
      <w:r w:rsidRPr="005A144C" w:rsidR="004F0F13">
        <w:rPr>
          <w:rFonts w:ascii="Century Schoolbook" w:hAnsi="Century Schoolbook"/>
        </w:rPr>
        <w:t xml:space="preserve"> paid to insurance defense counsel</w:t>
      </w:r>
      <w:r w:rsidRPr="005A144C" w:rsidR="00D32CE6">
        <w:rPr>
          <w:rFonts w:ascii="Century Schoolbook" w:hAnsi="Century Schoolbook"/>
        </w:rPr>
        <w:t xml:space="preserve">. </w:t>
      </w:r>
      <w:r w:rsidRPr="005A144C" w:rsidR="00737CF9">
        <w:rPr>
          <w:rFonts w:ascii="Century Schoolbook" w:hAnsi="Century Schoolbook"/>
        </w:rPr>
        <w:t xml:space="preserve"> </w:t>
      </w:r>
      <w:r w:rsidRPr="005A144C" w:rsidR="00C15F10">
        <w:rPr>
          <w:rFonts w:ascii="Century Schoolbook" w:hAnsi="Century Schoolbook"/>
        </w:rPr>
        <w:t>The</w:t>
      </w:r>
      <w:r w:rsidRPr="005A144C" w:rsidR="003779DE">
        <w:rPr>
          <w:rFonts w:ascii="Century Schoolbook" w:hAnsi="Century Schoolbook"/>
        </w:rPr>
        <w:t xml:space="preserve"> evidence on each of these points support</w:t>
      </w:r>
      <w:r w:rsidRPr="005A144C" w:rsidR="00C15F10">
        <w:rPr>
          <w:rFonts w:ascii="Century Schoolbook" w:hAnsi="Century Schoolbook"/>
        </w:rPr>
        <w:t>ed</w:t>
      </w:r>
      <w:r w:rsidRPr="005A144C" w:rsidR="003779DE">
        <w:rPr>
          <w:rFonts w:ascii="Century Schoolbook" w:hAnsi="Century Schoolbook"/>
        </w:rPr>
        <w:t xml:space="preserve"> the court’s </w:t>
      </w:r>
      <w:r w:rsidRPr="005A144C" w:rsidR="008918BC">
        <w:rPr>
          <w:rFonts w:ascii="Century Schoolbook" w:hAnsi="Century Schoolbook"/>
        </w:rPr>
        <w:t>finding</w:t>
      </w:r>
      <w:r w:rsidRPr="005A144C" w:rsidR="004243CC">
        <w:rPr>
          <w:rFonts w:ascii="Century Schoolbook" w:hAnsi="Century Schoolbook"/>
        </w:rPr>
        <w:t xml:space="preserve"> that</w:t>
      </w:r>
      <w:r w:rsidRPr="005A144C" w:rsidR="008918BC">
        <w:rPr>
          <w:rFonts w:ascii="Century Schoolbook" w:hAnsi="Century Schoolbook"/>
        </w:rPr>
        <w:t xml:space="preserve"> </w:t>
      </w:r>
      <w:r w:rsidRPr="005A144C" w:rsidR="004243CC">
        <w:rPr>
          <w:rFonts w:ascii="Century Schoolbook" w:hAnsi="Century Schoolbook"/>
        </w:rPr>
        <w:t>failure to apply the alter ego doctrine would lead to an inequitable resul</w:t>
      </w:r>
      <w:r w:rsidRPr="005A144C" w:rsidR="001A7C40">
        <w:rPr>
          <w:rFonts w:ascii="Century Schoolbook" w:hAnsi="Century Schoolbook"/>
        </w:rPr>
        <w:t>t here</w:t>
      </w:r>
      <w:r w:rsidRPr="005A144C" w:rsidR="004243CC">
        <w:rPr>
          <w:rFonts w:ascii="Century Schoolbook" w:hAnsi="Century Schoolbook"/>
        </w:rPr>
        <w:t xml:space="preserve">. </w:t>
      </w:r>
    </w:p>
    <w:p w:rsidR="00A7350A" w:rsidRPr="005A144C" w:rsidP="002E22D7" w14:paraId="4F2BE9E2" w14:textId="7C3B55FA">
      <w:pPr>
        <w:spacing w:line="360" w:lineRule="auto"/>
        <w:rPr>
          <w:rFonts w:ascii="Century Schoolbook" w:hAnsi="Century Schoolbook"/>
        </w:rPr>
      </w:pPr>
      <w:r w:rsidRPr="005A144C">
        <w:rPr>
          <w:rFonts w:ascii="Century Schoolbook" w:hAnsi="Century Schoolbook"/>
        </w:rPr>
        <w:tab/>
      </w:r>
      <w:r w:rsidRPr="005A144C" w:rsidR="00533074">
        <w:rPr>
          <w:rFonts w:ascii="Century Schoolbook" w:hAnsi="Century Schoolbook"/>
        </w:rPr>
        <w:t>W</w:t>
      </w:r>
      <w:r w:rsidRPr="005A144C">
        <w:rPr>
          <w:rFonts w:ascii="Century Schoolbook" w:hAnsi="Century Schoolbook"/>
        </w:rPr>
        <w:t>e conclude that the trial court’s alter ego findings were supported by substantial evidence.</w:t>
      </w:r>
    </w:p>
    <w:p w:rsidR="00D9676A" w:rsidRPr="005A144C" w:rsidP="002E22D7" w14:paraId="3EA9C0E9" w14:textId="58F8A221">
      <w:pPr>
        <w:keepNext/>
        <w:spacing w:line="360" w:lineRule="auto"/>
        <w:rPr>
          <w:rFonts w:ascii="Century Schoolbook" w:hAnsi="Century Schoolbook"/>
          <w:b/>
          <w:bCs/>
          <w:i/>
          <w:iCs/>
        </w:rPr>
      </w:pPr>
      <w:r w:rsidRPr="005A144C">
        <w:rPr>
          <w:rFonts w:ascii="Century Schoolbook" w:hAnsi="Century Schoolbook"/>
          <w:b/>
          <w:bCs/>
          <w:i/>
          <w:iCs/>
        </w:rPr>
        <w:t xml:space="preserve">E.  </w:t>
      </w:r>
      <w:r w:rsidRPr="005A144C" w:rsidR="00A5287F">
        <w:rPr>
          <w:rFonts w:ascii="Century Schoolbook" w:hAnsi="Century Schoolbook"/>
          <w:b/>
          <w:bCs/>
          <w:i/>
          <w:iCs/>
        </w:rPr>
        <w:t>No Abuse of Discretion on Leave to Amend Complaint</w:t>
      </w:r>
    </w:p>
    <w:p w:rsidR="006043A2" w:rsidRPr="005A144C" w:rsidP="002E22D7" w14:paraId="20000B05" w14:textId="0494AA05">
      <w:pPr>
        <w:spacing w:line="360" w:lineRule="auto"/>
        <w:rPr>
          <w:rFonts w:ascii="Century Schoolbook" w:hAnsi="Century Schoolbook"/>
          <w:b/>
          <w:bCs/>
        </w:rPr>
      </w:pPr>
      <w:r w:rsidRPr="005A144C">
        <w:rPr>
          <w:rFonts w:ascii="Century Schoolbook" w:hAnsi="Century Schoolbook"/>
          <w:b/>
          <w:bCs/>
        </w:rPr>
        <w:tab/>
        <w:t xml:space="preserve">1. </w:t>
      </w:r>
      <w:r w:rsidRPr="005A144C" w:rsidR="006F3E52">
        <w:rPr>
          <w:rFonts w:ascii="Century Schoolbook" w:hAnsi="Century Schoolbook"/>
          <w:b/>
          <w:bCs/>
        </w:rPr>
        <w:t xml:space="preserve"> </w:t>
      </w:r>
      <w:r w:rsidRPr="005A144C">
        <w:rPr>
          <w:rFonts w:ascii="Century Schoolbook" w:hAnsi="Century Schoolbook"/>
          <w:b/>
          <w:bCs/>
        </w:rPr>
        <w:t>Additional Background</w:t>
      </w:r>
    </w:p>
    <w:p w:rsidR="00AC0258" w:rsidRPr="005A144C" w:rsidP="002E22D7" w14:paraId="12DFF12C" w14:textId="3A40EE5B">
      <w:pPr>
        <w:spacing w:line="360" w:lineRule="auto"/>
        <w:rPr>
          <w:rFonts w:ascii="Century Schoolbook" w:hAnsi="Century Schoolbook"/>
        </w:rPr>
      </w:pPr>
      <w:r w:rsidRPr="005A144C">
        <w:rPr>
          <w:rFonts w:ascii="Century Schoolbook" w:hAnsi="Century Schoolbook"/>
          <w:b/>
          <w:bCs/>
        </w:rPr>
        <w:tab/>
      </w:r>
      <w:r w:rsidRPr="005A144C">
        <w:rPr>
          <w:rFonts w:ascii="Century Schoolbook" w:hAnsi="Century Schoolbook"/>
        </w:rPr>
        <w:t>I</w:t>
      </w:r>
      <w:r w:rsidRPr="005A144C" w:rsidR="002F6869">
        <w:rPr>
          <w:rFonts w:ascii="Century Schoolbook" w:hAnsi="Century Schoolbook"/>
        </w:rPr>
        <w:t xml:space="preserve">n 2020, the court granted Doskocz’s request for leave to file a first amended complaint to add alter ego allegations against the SG defendants. </w:t>
      </w:r>
      <w:r w:rsidRPr="005A144C">
        <w:rPr>
          <w:rFonts w:ascii="Century Schoolbook" w:hAnsi="Century Schoolbook"/>
        </w:rPr>
        <w:t xml:space="preserve"> Neither the motion nor the</w:t>
      </w:r>
      <w:r w:rsidRPr="005A144C" w:rsidR="00E1712A">
        <w:rPr>
          <w:rFonts w:ascii="Century Schoolbook" w:hAnsi="Century Schoolbook"/>
        </w:rPr>
        <w:t xml:space="preserve"> court’s</w:t>
      </w:r>
      <w:r w:rsidRPr="005A144C">
        <w:rPr>
          <w:rFonts w:ascii="Century Schoolbook" w:hAnsi="Century Schoolbook"/>
        </w:rPr>
        <w:t xml:space="preserve"> </w:t>
      </w:r>
      <w:r w:rsidRPr="005A144C" w:rsidR="00E03A32">
        <w:rPr>
          <w:rFonts w:ascii="Century Schoolbook" w:hAnsi="Century Schoolbook"/>
        </w:rPr>
        <w:t>ruling</w:t>
      </w:r>
      <w:r w:rsidRPr="005A144C">
        <w:rPr>
          <w:rFonts w:ascii="Century Schoolbook" w:hAnsi="Century Schoolbook"/>
        </w:rPr>
        <w:t xml:space="preserve"> </w:t>
      </w:r>
      <w:r w:rsidRPr="005A144C" w:rsidR="006F3E52">
        <w:rPr>
          <w:rFonts w:ascii="Century Schoolbook" w:hAnsi="Century Schoolbook"/>
        </w:rPr>
        <w:t xml:space="preserve">are </w:t>
      </w:r>
      <w:r w:rsidRPr="005A144C">
        <w:rPr>
          <w:rFonts w:ascii="Century Schoolbook" w:hAnsi="Century Schoolbook"/>
        </w:rPr>
        <w:t>included in the record</w:t>
      </w:r>
      <w:r w:rsidRPr="005A144C" w:rsidR="009F45D3">
        <w:rPr>
          <w:rFonts w:ascii="Century Schoolbook" w:hAnsi="Century Schoolbook"/>
        </w:rPr>
        <w:t xml:space="preserve"> here</w:t>
      </w:r>
      <w:r w:rsidRPr="005A144C">
        <w:rPr>
          <w:rFonts w:ascii="Century Schoolbook" w:hAnsi="Century Schoolbook"/>
        </w:rPr>
        <w:t>.</w:t>
      </w:r>
      <w:r w:rsidRPr="005A144C" w:rsidR="00CF2350">
        <w:rPr>
          <w:rFonts w:ascii="Century Schoolbook" w:hAnsi="Century Schoolbook"/>
          <w:b/>
          <w:bCs/>
        </w:rPr>
        <w:t xml:space="preserve">  </w:t>
      </w:r>
      <w:r w:rsidRPr="005A144C" w:rsidR="001120AD">
        <w:rPr>
          <w:rFonts w:ascii="Century Schoolbook" w:hAnsi="Century Schoolbook"/>
        </w:rPr>
        <w:t xml:space="preserve">ALS </w:t>
      </w:r>
      <w:r w:rsidRPr="005A144C" w:rsidR="00CF2350">
        <w:rPr>
          <w:rFonts w:ascii="Century Schoolbook" w:hAnsi="Century Schoolbook"/>
        </w:rPr>
        <w:t xml:space="preserve">subsequently </w:t>
      </w:r>
      <w:r w:rsidRPr="005A144C" w:rsidR="001120AD">
        <w:rPr>
          <w:rFonts w:ascii="Century Schoolbook" w:hAnsi="Century Schoolbook"/>
        </w:rPr>
        <w:t xml:space="preserve">filed a petition for writ of mandate to vacate </w:t>
      </w:r>
      <w:r w:rsidRPr="005A144C" w:rsidR="00755887">
        <w:rPr>
          <w:rFonts w:ascii="Century Schoolbook" w:hAnsi="Century Schoolbook"/>
        </w:rPr>
        <w:t>th</w:t>
      </w:r>
      <w:r w:rsidRPr="005A144C" w:rsidR="0096071C">
        <w:rPr>
          <w:rFonts w:ascii="Century Schoolbook" w:hAnsi="Century Schoolbook"/>
        </w:rPr>
        <w:t>e</w:t>
      </w:r>
      <w:r w:rsidRPr="005A144C" w:rsidR="001120AD">
        <w:rPr>
          <w:rFonts w:ascii="Century Schoolbook" w:hAnsi="Century Schoolbook"/>
        </w:rPr>
        <w:t xml:space="preserve"> order. </w:t>
      </w:r>
      <w:r w:rsidRPr="005A144C" w:rsidR="00453665">
        <w:rPr>
          <w:rFonts w:ascii="Century Schoolbook" w:hAnsi="Century Schoolbook"/>
        </w:rPr>
        <w:t xml:space="preserve"> This court denied the petition</w:t>
      </w:r>
      <w:r w:rsidRPr="005A144C" w:rsidR="00672236">
        <w:rPr>
          <w:rFonts w:ascii="Century Schoolbook" w:hAnsi="Century Schoolbook"/>
        </w:rPr>
        <w:t xml:space="preserve"> based on failure</w:t>
      </w:r>
      <w:r w:rsidRPr="005A144C" w:rsidR="00FC28E1">
        <w:rPr>
          <w:rFonts w:ascii="Century Schoolbook" w:hAnsi="Century Schoolbook"/>
        </w:rPr>
        <w:t xml:space="preserve"> to demonstrate with reference to facts that </w:t>
      </w:r>
      <w:r w:rsidRPr="005A144C" w:rsidR="00F4675C">
        <w:rPr>
          <w:rFonts w:ascii="Century Schoolbook" w:hAnsi="Century Schoolbook"/>
        </w:rPr>
        <w:t>ALS</w:t>
      </w:r>
      <w:r w:rsidRPr="005A144C" w:rsidR="00FC28E1">
        <w:rPr>
          <w:rFonts w:ascii="Century Schoolbook" w:hAnsi="Century Schoolbook"/>
        </w:rPr>
        <w:t xml:space="preserve"> would </w:t>
      </w:r>
      <w:r w:rsidRPr="005A144C" w:rsidR="001048DC">
        <w:rPr>
          <w:rFonts w:ascii="Century Schoolbook" w:hAnsi="Century Schoolbook"/>
        </w:rPr>
        <w:t>suffer irreparable harm absent review by extraordinary writ</w:t>
      </w:r>
      <w:r w:rsidRPr="005A144C" w:rsidR="00453665">
        <w:rPr>
          <w:rFonts w:ascii="Century Schoolbook" w:hAnsi="Century Schoolbook"/>
        </w:rPr>
        <w:t xml:space="preserve">. </w:t>
      </w:r>
    </w:p>
    <w:p w:rsidR="00577067" w:rsidRPr="005A144C" w:rsidP="002E22D7" w14:paraId="10FC8635" w14:textId="74E11D2A">
      <w:pPr>
        <w:spacing w:line="360" w:lineRule="auto"/>
        <w:rPr>
          <w:rFonts w:ascii="Century Schoolbook" w:hAnsi="Century Schoolbook"/>
        </w:rPr>
      </w:pPr>
      <w:r w:rsidRPr="005A144C">
        <w:rPr>
          <w:rFonts w:ascii="Century Schoolbook" w:hAnsi="Century Schoolbook"/>
        </w:rPr>
        <w:tab/>
      </w:r>
      <w:r w:rsidRPr="005A144C" w:rsidR="00F33D47">
        <w:rPr>
          <w:rFonts w:ascii="Century Schoolbook" w:hAnsi="Century Schoolbook"/>
        </w:rPr>
        <w:t>In 2021</w:t>
      </w:r>
      <w:r w:rsidRPr="005A144C" w:rsidR="00570FB4">
        <w:rPr>
          <w:rFonts w:ascii="Century Schoolbook" w:hAnsi="Century Schoolbook"/>
        </w:rPr>
        <w:t>, t</w:t>
      </w:r>
      <w:r w:rsidRPr="005A144C" w:rsidR="00E97B20">
        <w:rPr>
          <w:rFonts w:ascii="Century Schoolbook" w:hAnsi="Century Schoolbook"/>
        </w:rPr>
        <w:t xml:space="preserve">he SG defendants </w:t>
      </w:r>
      <w:r w:rsidRPr="005A144C" w:rsidR="00F33D47">
        <w:rPr>
          <w:rFonts w:ascii="Century Schoolbook" w:hAnsi="Century Schoolbook"/>
        </w:rPr>
        <w:t>filed a demurrer to the first amended complaint,</w:t>
      </w:r>
      <w:r w:rsidRPr="005A144C" w:rsidR="00953D1C">
        <w:rPr>
          <w:rFonts w:ascii="Century Schoolbook" w:hAnsi="Century Schoolbook"/>
        </w:rPr>
        <w:t xml:space="preserve"> arguing that</w:t>
      </w:r>
      <w:r w:rsidRPr="005A144C" w:rsidR="00A624CD">
        <w:rPr>
          <w:rFonts w:ascii="Century Schoolbook" w:hAnsi="Century Schoolbook"/>
        </w:rPr>
        <w:t xml:space="preserve"> the</w:t>
      </w:r>
      <w:r w:rsidRPr="005A144C" w:rsidR="00953D1C">
        <w:rPr>
          <w:rFonts w:ascii="Century Schoolbook" w:hAnsi="Century Schoolbook"/>
        </w:rPr>
        <w:t xml:space="preserve"> claims against them were barred by </w:t>
      </w:r>
      <w:r w:rsidRPr="005A144C" w:rsidR="00A624CD">
        <w:rPr>
          <w:rFonts w:ascii="Century Schoolbook" w:hAnsi="Century Schoolbook"/>
        </w:rPr>
        <w:t xml:space="preserve">the </w:t>
      </w:r>
      <w:r w:rsidRPr="005A144C" w:rsidR="00953D1C">
        <w:rPr>
          <w:rFonts w:ascii="Century Schoolbook" w:hAnsi="Century Schoolbook"/>
        </w:rPr>
        <w:t xml:space="preserve">stipulation </w:t>
      </w:r>
      <w:r w:rsidRPr="005A144C" w:rsidR="00A624CD">
        <w:rPr>
          <w:rFonts w:ascii="Century Schoolbook" w:hAnsi="Century Schoolbook"/>
        </w:rPr>
        <w:t xml:space="preserve">between Doskocz and ALS </w:t>
      </w:r>
      <w:r w:rsidRPr="005A144C" w:rsidR="00953D1C">
        <w:rPr>
          <w:rFonts w:ascii="Century Schoolbook" w:hAnsi="Century Schoolbook"/>
        </w:rPr>
        <w:t xml:space="preserve">in </w:t>
      </w:r>
      <w:r w:rsidRPr="005A144C" w:rsidR="00A624CD">
        <w:rPr>
          <w:rFonts w:ascii="Century Schoolbook" w:hAnsi="Century Schoolbook"/>
        </w:rPr>
        <w:t xml:space="preserve">the original </w:t>
      </w:r>
      <w:r w:rsidRPr="005A144C" w:rsidR="00953D1C">
        <w:rPr>
          <w:rFonts w:ascii="Century Schoolbook" w:hAnsi="Century Schoolbook"/>
        </w:rPr>
        <w:t>federal action</w:t>
      </w:r>
      <w:r w:rsidRPr="005A144C" w:rsidR="00A624CD">
        <w:rPr>
          <w:rFonts w:ascii="Century Schoolbook" w:hAnsi="Century Schoolbook"/>
        </w:rPr>
        <w:t>.</w:t>
      </w:r>
      <w:r w:rsidRPr="005A144C" w:rsidR="007D6295">
        <w:rPr>
          <w:rFonts w:ascii="Century Schoolbook" w:hAnsi="Century Schoolbook"/>
        </w:rPr>
        <w:t xml:space="preserve"> </w:t>
      </w:r>
      <w:r w:rsidRPr="005A144C" w:rsidR="00FE7EF0">
        <w:rPr>
          <w:rFonts w:ascii="Century Schoolbook" w:hAnsi="Century Schoolbook"/>
        </w:rPr>
        <w:t xml:space="preserve"> The stipulation read, in relevant part</w:t>
      </w:r>
      <w:r w:rsidRPr="005A144C" w:rsidR="00284D3C">
        <w:rPr>
          <w:rFonts w:ascii="Century Schoolbook" w:hAnsi="Century Schoolbook"/>
        </w:rPr>
        <w:t xml:space="preserve">: </w:t>
      </w:r>
      <w:r w:rsidRPr="005A144C" w:rsidR="00FE7EF0">
        <w:rPr>
          <w:rFonts w:ascii="Century Schoolbook" w:hAnsi="Century Schoolbook"/>
        </w:rPr>
        <w:t xml:space="preserve"> “</w:t>
      </w:r>
      <w:r w:rsidRPr="005A144C" w:rsidR="00284D3C">
        <w:rPr>
          <w:rFonts w:ascii="Century Schoolbook" w:hAnsi="Century Schoolbook"/>
        </w:rPr>
        <w:t xml:space="preserve">In the state court complaint, Plaintiff may, consistent with this Stipulation, delete claims from the Complaint in this action, but may not add any new claims.  Plaintiff waives any right to amend causes of action in the state court action under California law, except as allowed by the Superior Court in ruling on any Demurrer or other motion filed by Defendant.” </w:t>
      </w:r>
      <w:r w:rsidRPr="005A144C" w:rsidR="00E54330">
        <w:rPr>
          <w:rFonts w:ascii="Century Schoolbook" w:hAnsi="Century Schoolbook"/>
        </w:rPr>
        <w:t xml:space="preserve"> The SG defendants argued that the first amended complaint </w:t>
      </w:r>
      <w:r w:rsidRPr="005A144C" w:rsidR="00702C40">
        <w:rPr>
          <w:rFonts w:ascii="Century Schoolbook" w:hAnsi="Century Schoolbook"/>
        </w:rPr>
        <w:t>improperly</w:t>
      </w:r>
      <w:r w:rsidRPr="005A144C" w:rsidR="00E54330">
        <w:rPr>
          <w:rFonts w:ascii="Century Schoolbook" w:hAnsi="Century Schoolbook"/>
        </w:rPr>
        <w:t xml:space="preserve"> alleged “new claims” against them based upon alter ego theories of liability.</w:t>
      </w:r>
      <w:r w:rsidRPr="005A144C" w:rsidR="00240D07">
        <w:rPr>
          <w:rFonts w:ascii="Century Schoolbook" w:hAnsi="Century Schoolbook"/>
        </w:rPr>
        <w:t xml:space="preserve"> </w:t>
      </w:r>
    </w:p>
    <w:p w:rsidR="00C57E02" w:rsidRPr="005A144C" w:rsidP="002E22D7" w14:paraId="67180B3B" w14:textId="5EA60056">
      <w:pPr>
        <w:spacing w:line="360" w:lineRule="auto"/>
        <w:rPr>
          <w:rFonts w:ascii="Century Schoolbook" w:hAnsi="Century Schoolbook"/>
          <w:b/>
          <w:bCs/>
        </w:rPr>
      </w:pPr>
      <w:r w:rsidRPr="005A144C">
        <w:rPr>
          <w:rFonts w:ascii="Century Schoolbook" w:hAnsi="Century Schoolbook"/>
        </w:rPr>
        <w:tab/>
      </w:r>
      <w:r w:rsidRPr="005A144C" w:rsidR="006A50F0">
        <w:rPr>
          <w:rFonts w:ascii="Century Schoolbook" w:hAnsi="Century Schoolbook"/>
        </w:rPr>
        <w:t xml:space="preserve">While </w:t>
      </w:r>
      <w:r w:rsidRPr="005A144C" w:rsidR="00652E74">
        <w:rPr>
          <w:rFonts w:ascii="Century Schoolbook" w:hAnsi="Century Schoolbook"/>
        </w:rPr>
        <w:t>the</w:t>
      </w:r>
      <w:r w:rsidRPr="005A144C" w:rsidR="006A50F0">
        <w:rPr>
          <w:rFonts w:ascii="Century Schoolbook" w:hAnsi="Century Schoolbook"/>
        </w:rPr>
        <w:t xml:space="preserve"> same</w:t>
      </w:r>
      <w:r w:rsidRPr="005A144C" w:rsidR="00652E74">
        <w:rPr>
          <w:rFonts w:ascii="Century Schoolbook" w:hAnsi="Century Schoolbook"/>
        </w:rPr>
        <w:t xml:space="preserve"> argument </w:t>
      </w:r>
      <w:r w:rsidRPr="005A144C" w:rsidR="00BE1B97">
        <w:rPr>
          <w:rFonts w:ascii="Century Schoolbook" w:hAnsi="Century Schoolbook"/>
        </w:rPr>
        <w:t>had been made</w:t>
      </w:r>
      <w:r w:rsidRPr="005A144C" w:rsidR="006A50F0">
        <w:rPr>
          <w:rFonts w:ascii="Century Schoolbook" w:hAnsi="Century Schoolbook"/>
        </w:rPr>
        <w:t xml:space="preserve"> by ALS in opposition to the </w:t>
      </w:r>
      <w:r w:rsidRPr="005A144C" w:rsidR="00652E74">
        <w:rPr>
          <w:rFonts w:ascii="Century Schoolbook" w:hAnsi="Century Schoolbook"/>
        </w:rPr>
        <w:t>motion for leave to amend,</w:t>
      </w:r>
      <w:r w:rsidR="008E1AA7">
        <w:rPr>
          <w:rFonts w:ascii="Century Schoolbook" w:hAnsi="Century Schoolbook"/>
        </w:rPr>
        <w:t xml:space="preserve"> the trial court concluded</w:t>
      </w:r>
      <w:r w:rsidRPr="005A144C" w:rsidR="00652E74">
        <w:rPr>
          <w:rFonts w:ascii="Century Schoolbook" w:hAnsi="Century Schoolbook"/>
        </w:rPr>
        <w:t xml:space="preserve"> </w:t>
      </w:r>
      <w:r w:rsidRPr="005A144C" w:rsidR="004F72F4">
        <w:rPr>
          <w:rFonts w:ascii="Century Schoolbook" w:hAnsi="Century Schoolbook"/>
        </w:rPr>
        <w:t xml:space="preserve">collateral estoppel did not apply because </w:t>
      </w:r>
      <w:r w:rsidRPr="005A144C" w:rsidR="00863500">
        <w:rPr>
          <w:rFonts w:ascii="Century Schoolbook" w:hAnsi="Century Schoolbook"/>
        </w:rPr>
        <w:t>the SG defendants</w:t>
      </w:r>
      <w:r w:rsidRPr="005A144C" w:rsidR="00C9131C">
        <w:rPr>
          <w:rFonts w:ascii="Century Schoolbook" w:hAnsi="Century Schoolbook"/>
        </w:rPr>
        <w:t xml:space="preserve"> were not parties </w:t>
      </w:r>
      <w:r w:rsidRPr="005A144C" w:rsidR="00D35C51">
        <w:rPr>
          <w:rFonts w:ascii="Century Schoolbook" w:hAnsi="Century Schoolbook"/>
        </w:rPr>
        <w:t>at that time</w:t>
      </w:r>
      <w:r w:rsidRPr="005A144C" w:rsidR="00652E74">
        <w:rPr>
          <w:rFonts w:ascii="Century Schoolbook" w:hAnsi="Century Schoolbook"/>
        </w:rPr>
        <w:t xml:space="preserve">.  </w:t>
      </w:r>
      <w:r w:rsidRPr="005A144C" w:rsidR="002D316A">
        <w:rPr>
          <w:rFonts w:ascii="Century Schoolbook" w:hAnsi="Century Schoolbook"/>
        </w:rPr>
        <w:t xml:space="preserve">Citing </w:t>
      </w:r>
      <w:r w:rsidRPr="005A144C" w:rsidR="00D649FC">
        <w:rPr>
          <w:rFonts w:ascii="Century Schoolbook" w:hAnsi="Century Schoolbook"/>
          <w:i/>
          <w:iCs/>
        </w:rPr>
        <w:t>Hennessey’s Tavern, Inc. v. American Air Filter Co.</w:t>
      </w:r>
      <w:r w:rsidRPr="005A144C" w:rsidR="00D649FC">
        <w:rPr>
          <w:rFonts w:ascii="Century Schoolbook" w:hAnsi="Century Schoolbook"/>
        </w:rPr>
        <w:t xml:space="preserve"> (1988) 204 Cal.App.3d 1351</w:t>
      </w:r>
      <w:r w:rsidRPr="005A144C" w:rsidR="002D316A">
        <w:rPr>
          <w:rFonts w:ascii="Century Schoolbook" w:hAnsi="Century Schoolbook"/>
        </w:rPr>
        <w:t xml:space="preserve">, </w:t>
      </w:r>
      <w:r w:rsidR="008E1AA7">
        <w:rPr>
          <w:rFonts w:ascii="Century Schoolbook" w:hAnsi="Century Schoolbook"/>
        </w:rPr>
        <w:t xml:space="preserve">however, </w:t>
      </w:r>
      <w:r w:rsidRPr="005A144C" w:rsidR="00DF7CBF">
        <w:rPr>
          <w:rFonts w:ascii="Century Schoolbook" w:hAnsi="Century Schoolbook"/>
        </w:rPr>
        <w:t>the court</w:t>
      </w:r>
      <w:r w:rsidR="008E1AA7">
        <w:rPr>
          <w:rFonts w:ascii="Century Schoolbook" w:hAnsi="Century Schoolbook"/>
        </w:rPr>
        <w:t xml:space="preserve"> </w:t>
      </w:r>
      <w:r w:rsidRPr="005A144C" w:rsidR="002D316A">
        <w:rPr>
          <w:rFonts w:ascii="Century Schoolbook" w:hAnsi="Century Schoolbook"/>
        </w:rPr>
        <w:t>explained that “alter ego allegations</w:t>
      </w:r>
      <w:r w:rsidRPr="005A144C" w:rsidR="00F43CFB">
        <w:rPr>
          <w:rFonts w:ascii="Century Schoolbook" w:hAnsi="Century Schoolbook"/>
        </w:rPr>
        <w:t xml:space="preserve"> </w:t>
      </w:r>
      <w:r w:rsidRPr="005A144C" w:rsidR="002D316A">
        <w:rPr>
          <w:rFonts w:ascii="Century Schoolbook" w:hAnsi="Century Schoolbook"/>
        </w:rPr>
        <w:t>provide</w:t>
      </w:r>
      <w:r w:rsidRPr="005A144C" w:rsidR="00654DFF">
        <w:rPr>
          <w:rFonts w:ascii="Century Schoolbook" w:hAnsi="Century Schoolbook"/>
        </w:rPr>
        <w:t xml:space="preserve"> </w:t>
      </w:r>
      <w:r w:rsidRPr="005A144C" w:rsidR="002D316A">
        <w:rPr>
          <w:rFonts w:ascii="Century Schoolbook" w:hAnsi="Century Schoolbook"/>
        </w:rPr>
        <w:t>a theory of recovery, but not a new cause of action.</w:t>
      </w:r>
      <w:r w:rsidRPr="005A144C" w:rsidR="00654DFF">
        <w:rPr>
          <w:rFonts w:ascii="Century Schoolbook" w:hAnsi="Century Schoolbook"/>
        </w:rPr>
        <w:t>”</w:t>
      </w:r>
      <w:r w:rsidRPr="005A144C" w:rsidR="002D316A">
        <w:rPr>
          <w:rFonts w:ascii="Century Schoolbook" w:hAnsi="Century Schoolbook"/>
        </w:rPr>
        <w:t xml:space="preserve"> </w:t>
      </w:r>
      <w:r w:rsidRPr="005A144C" w:rsidR="005E199F">
        <w:rPr>
          <w:rFonts w:ascii="Century Schoolbook" w:hAnsi="Century Schoolbook"/>
        </w:rPr>
        <w:t xml:space="preserve"> </w:t>
      </w:r>
      <w:r w:rsidRPr="005A144C" w:rsidR="008D1F3D">
        <w:rPr>
          <w:rFonts w:ascii="Century Schoolbook" w:hAnsi="Century Schoolbook"/>
        </w:rPr>
        <w:t>It thus</w:t>
      </w:r>
      <w:r w:rsidRPr="005A144C" w:rsidR="002D316A">
        <w:rPr>
          <w:rFonts w:ascii="Century Schoolbook" w:hAnsi="Century Schoolbook"/>
        </w:rPr>
        <w:t xml:space="preserve"> </w:t>
      </w:r>
      <w:r w:rsidRPr="005A144C" w:rsidR="00F43CFB">
        <w:rPr>
          <w:rFonts w:ascii="Century Schoolbook" w:hAnsi="Century Schoolbook"/>
        </w:rPr>
        <w:t xml:space="preserve">found that adding the SG defendants “did not violate the stipulation as no new claims were added.” </w:t>
      </w:r>
      <w:r w:rsidRPr="005A144C" w:rsidR="0020751D">
        <w:rPr>
          <w:rFonts w:ascii="Century Schoolbook" w:hAnsi="Century Schoolbook"/>
        </w:rPr>
        <w:t xml:space="preserve"> The court overruled the demurrer. </w:t>
      </w:r>
    </w:p>
    <w:p w:rsidR="00580FFE" w:rsidRPr="005A144C" w:rsidP="002E22D7" w14:paraId="3B06E9BB" w14:textId="03B94B3D">
      <w:pPr>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 xml:space="preserve">2. </w:t>
      </w:r>
      <w:r w:rsidRPr="005A144C" w:rsidR="00382D17">
        <w:rPr>
          <w:rFonts w:ascii="Century Schoolbook" w:hAnsi="Century Schoolbook"/>
          <w:b/>
          <w:bCs/>
        </w:rPr>
        <w:t xml:space="preserve"> </w:t>
      </w:r>
      <w:r w:rsidRPr="005A144C">
        <w:rPr>
          <w:rFonts w:ascii="Century Schoolbook" w:hAnsi="Century Schoolbook"/>
          <w:b/>
          <w:bCs/>
        </w:rPr>
        <w:t>Analysis</w:t>
      </w:r>
    </w:p>
    <w:p w:rsidR="00A71FAC" w:rsidRPr="005A144C" w:rsidP="002E22D7" w14:paraId="0454DD7B" w14:textId="3BD761FB">
      <w:pPr>
        <w:spacing w:line="360" w:lineRule="auto"/>
        <w:rPr>
          <w:rFonts w:ascii="Century Schoolbook" w:hAnsi="Century Schoolbook"/>
        </w:rPr>
      </w:pPr>
      <w:r w:rsidRPr="005A144C">
        <w:rPr>
          <w:rFonts w:ascii="Century Schoolbook" w:hAnsi="Century Schoolbook"/>
        </w:rPr>
        <w:tab/>
      </w:r>
      <w:r w:rsidRPr="005A144C" w:rsidR="00E701B8">
        <w:rPr>
          <w:rFonts w:ascii="Century Schoolbook" w:hAnsi="Century Schoolbook"/>
        </w:rPr>
        <w:t>Code of Civil Procedure s</w:t>
      </w:r>
      <w:r w:rsidRPr="005A144C">
        <w:rPr>
          <w:rFonts w:ascii="Century Schoolbook" w:hAnsi="Century Schoolbook"/>
        </w:rPr>
        <w:t>ection 473, subdivision (a)(1) provides</w:t>
      </w:r>
      <w:r w:rsidRPr="005A144C" w:rsidR="00E701B8">
        <w:rPr>
          <w:rFonts w:ascii="Century Schoolbook" w:hAnsi="Century Schoolbook"/>
        </w:rPr>
        <w:t xml:space="preserve"> </w:t>
      </w:r>
      <w:r w:rsidRPr="005A144C">
        <w:rPr>
          <w:rFonts w:ascii="Century Schoolbook" w:hAnsi="Century Schoolbook"/>
        </w:rPr>
        <w:t xml:space="preserve">that a trial court “may, in furtherance of justice, and on any terms as may be proper, allow a party to amend any pleading.”  We review the court’s ruling </w:t>
      </w:r>
      <w:r w:rsidRPr="005A144C" w:rsidR="00591B34">
        <w:rPr>
          <w:rFonts w:ascii="Century Schoolbook" w:hAnsi="Century Schoolbook"/>
        </w:rPr>
        <w:t xml:space="preserve">on </w:t>
      </w:r>
      <w:r w:rsidRPr="005A144C" w:rsidR="001E4B6B">
        <w:rPr>
          <w:rFonts w:ascii="Century Schoolbook" w:hAnsi="Century Schoolbook"/>
        </w:rPr>
        <w:t>Doskocz’s</w:t>
      </w:r>
      <w:r w:rsidRPr="005A144C" w:rsidR="00591B34">
        <w:rPr>
          <w:rFonts w:ascii="Century Schoolbook" w:hAnsi="Century Schoolbook"/>
        </w:rPr>
        <w:t xml:space="preserve"> motion to amend the complaint for abuse of discretion.</w:t>
      </w:r>
      <w:r w:rsidRPr="005A144C">
        <w:rPr>
          <w:rFonts w:ascii="Century Schoolbook" w:hAnsi="Century Schoolbook"/>
        </w:rPr>
        <w:t xml:space="preserve"> </w:t>
      </w:r>
      <w:r w:rsidRPr="005A144C" w:rsidR="00591B34">
        <w:rPr>
          <w:rFonts w:ascii="Century Schoolbook" w:hAnsi="Century Schoolbook"/>
        </w:rPr>
        <w:t xml:space="preserve"> (</w:t>
      </w:r>
      <w:r w:rsidRPr="005A144C" w:rsidR="00591B34">
        <w:rPr>
          <w:rFonts w:ascii="Century Schoolbook" w:hAnsi="Century Schoolbook"/>
          <w:i/>
          <w:iCs/>
        </w:rPr>
        <w:t>Branick v. Downey Savings &amp; Loan Assn.</w:t>
      </w:r>
      <w:r w:rsidRPr="005A144C" w:rsidR="00591B34">
        <w:rPr>
          <w:rFonts w:ascii="Century Schoolbook" w:hAnsi="Century Schoolbook"/>
        </w:rPr>
        <w:t xml:space="preserve"> (2006) 39 Cal.4th 235, 242.)</w:t>
      </w:r>
    </w:p>
    <w:p w:rsidR="000276F3" w:rsidRPr="005A144C" w:rsidP="002E22D7" w14:paraId="4D3483E9" w14:textId="48F851AA">
      <w:pPr>
        <w:spacing w:line="360" w:lineRule="auto"/>
        <w:rPr>
          <w:rFonts w:ascii="Century Schoolbook" w:hAnsi="Century Schoolbook"/>
        </w:rPr>
      </w:pPr>
      <w:r w:rsidRPr="005A144C">
        <w:rPr>
          <w:rFonts w:ascii="Century Schoolbook" w:hAnsi="Century Schoolbook"/>
        </w:rPr>
        <w:tab/>
      </w:r>
      <w:r w:rsidRPr="005A144C" w:rsidR="00EF7956">
        <w:rPr>
          <w:rFonts w:ascii="Century Schoolbook" w:hAnsi="Century Schoolbook"/>
        </w:rPr>
        <w:t>W</w:t>
      </w:r>
      <w:r w:rsidRPr="005A144C" w:rsidR="000C23A8">
        <w:rPr>
          <w:rFonts w:ascii="Century Schoolbook" w:hAnsi="Century Schoolbook"/>
        </w:rPr>
        <w:t>e conclude that</w:t>
      </w:r>
      <w:r w:rsidRPr="005A144C" w:rsidR="00186769">
        <w:rPr>
          <w:rFonts w:ascii="Century Schoolbook" w:hAnsi="Century Schoolbook"/>
        </w:rPr>
        <w:t xml:space="preserve"> </w:t>
      </w:r>
      <w:r w:rsidRPr="005A144C" w:rsidR="000C23A8">
        <w:rPr>
          <w:rFonts w:ascii="Century Schoolbook" w:hAnsi="Century Schoolbook"/>
        </w:rPr>
        <w:t>the SG defendants</w:t>
      </w:r>
      <w:r w:rsidRPr="005A144C" w:rsidR="000C67A9">
        <w:rPr>
          <w:rFonts w:ascii="Century Schoolbook" w:hAnsi="Century Schoolbook"/>
        </w:rPr>
        <w:t xml:space="preserve"> have forfeited their</w:t>
      </w:r>
      <w:r w:rsidRPr="005A144C" w:rsidR="00186769">
        <w:rPr>
          <w:rFonts w:ascii="Century Schoolbook" w:hAnsi="Century Schoolbook"/>
        </w:rPr>
        <w:t xml:space="preserve"> challenge to </w:t>
      </w:r>
      <w:r w:rsidRPr="005A144C" w:rsidR="00C6688F">
        <w:rPr>
          <w:rFonts w:ascii="Century Schoolbook" w:hAnsi="Century Schoolbook"/>
        </w:rPr>
        <w:t>this ruling</w:t>
      </w:r>
      <w:r w:rsidRPr="005A144C" w:rsidR="000F46AE">
        <w:rPr>
          <w:rFonts w:ascii="Century Schoolbook" w:hAnsi="Century Schoolbook"/>
        </w:rPr>
        <w:t xml:space="preserve"> </w:t>
      </w:r>
      <w:r w:rsidRPr="005A144C" w:rsidR="00186769">
        <w:rPr>
          <w:rFonts w:ascii="Century Schoolbook" w:hAnsi="Century Schoolbook"/>
        </w:rPr>
        <w:t>because they did not provide it in the appellate record</w:t>
      </w:r>
      <w:r w:rsidRPr="005A144C" w:rsidR="000F46AE">
        <w:rPr>
          <w:rFonts w:ascii="Century Schoolbook" w:hAnsi="Century Schoolbook"/>
        </w:rPr>
        <w:t>.</w:t>
      </w:r>
      <w:r w:rsidRPr="005A144C" w:rsidR="00F91BDE">
        <w:rPr>
          <w:rFonts w:ascii="Century Schoolbook" w:hAnsi="Century Schoolbook"/>
        </w:rPr>
        <w:t xml:space="preserve">  </w:t>
      </w:r>
      <w:r w:rsidRPr="005A144C" w:rsidR="00186769">
        <w:rPr>
          <w:rFonts w:ascii="Century Schoolbook" w:hAnsi="Century Schoolbook"/>
        </w:rPr>
        <w:t>(</w:t>
      </w:r>
      <w:r w:rsidRPr="005A144C" w:rsidR="00F91BDE">
        <w:rPr>
          <w:rFonts w:ascii="Century Schoolbook" w:hAnsi="Century Schoolbook"/>
        </w:rPr>
        <w:t xml:space="preserve">Cal. Rules of Court, rule 8.124(b)(1)(B) [appendix must include items “necessary for proper consideration of issues”]; </w:t>
      </w:r>
      <w:r w:rsidRPr="005A144C" w:rsidR="00F91BDE">
        <w:rPr>
          <w:rFonts w:ascii="Century Schoolbook" w:hAnsi="Century Schoolbook"/>
          <w:i/>
          <w:iCs/>
        </w:rPr>
        <w:t>Mountain Lion Coalition v. Fish &amp; Game Com</w:t>
      </w:r>
      <w:r w:rsidRPr="005A144C" w:rsidR="00F91BDE">
        <w:rPr>
          <w:rFonts w:ascii="Century Schoolbook" w:hAnsi="Century Schoolbook"/>
        </w:rPr>
        <w:t>. (1989) 214 Cal.App.3d 1043, 1051, fn. 9</w:t>
      </w:r>
      <w:r w:rsidRPr="005A144C" w:rsidR="00F91BDE">
        <w:t xml:space="preserve"> [</w:t>
      </w:r>
      <w:r w:rsidRPr="005A144C" w:rsidR="00F91BDE">
        <w:rPr>
          <w:rFonts w:ascii="Century Schoolbook" w:hAnsi="Century Schoolbook"/>
        </w:rPr>
        <w:t>“</w:t>
      </w:r>
      <w:r w:rsidRPr="005A144C" w:rsidR="00A6002A">
        <w:rPr>
          <w:rFonts w:ascii="Century Schoolbook" w:hAnsi="Century Schoolbook"/>
        </w:rPr>
        <w:t>i</w:t>
      </w:r>
      <w:r w:rsidRPr="005A144C" w:rsidR="00F91BDE">
        <w:rPr>
          <w:rFonts w:ascii="Century Schoolbook" w:hAnsi="Century Schoolbook"/>
        </w:rPr>
        <w:t>f the record is inadequate for meaningful review, the appellant defaults and the decision of the trial court should be affirmed”</w:t>
      </w:r>
      <w:r w:rsidRPr="005A144C" w:rsidR="00B3284A">
        <w:rPr>
          <w:rFonts w:ascii="Century Schoolbook" w:hAnsi="Century Schoolbook"/>
        </w:rPr>
        <w:t>]</w:t>
      </w:r>
      <w:r w:rsidRPr="005A144C" w:rsidR="00F91BDE">
        <w:rPr>
          <w:rFonts w:ascii="Century Schoolbook" w:hAnsi="Century Schoolbook"/>
        </w:rPr>
        <w:t>.)</w:t>
      </w:r>
      <w:r w:rsidRPr="005A144C" w:rsidR="00FE6F94">
        <w:rPr>
          <w:rFonts w:ascii="Century Schoolbook" w:hAnsi="Century Schoolbook"/>
        </w:rPr>
        <w:t xml:space="preserve">  </w:t>
      </w:r>
    </w:p>
    <w:p w:rsidR="0004127B" w:rsidRPr="005A144C" w:rsidP="002E22D7" w14:paraId="0DE37EE1" w14:textId="1F6A3ADF">
      <w:pPr>
        <w:spacing w:line="360" w:lineRule="auto"/>
        <w:rPr>
          <w:rFonts w:ascii="Century Schoolbook" w:hAnsi="Century Schoolbook"/>
        </w:rPr>
      </w:pPr>
      <w:r w:rsidRPr="005A144C">
        <w:rPr>
          <w:rFonts w:ascii="Century Schoolbook" w:hAnsi="Century Schoolbook"/>
        </w:rPr>
        <w:tab/>
      </w:r>
      <w:r w:rsidRPr="005A144C" w:rsidR="00FE6F94">
        <w:rPr>
          <w:rFonts w:ascii="Century Schoolbook" w:hAnsi="Century Schoolbook"/>
        </w:rPr>
        <w:t>Even if not forfeited, we see no basis to conclude that the court abused its discretion</w:t>
      </w:r>
      <w:r w:rsidRPr="005A144C" w:rsidR="007C1804">
        <w:rPr>
          <w:rFonts w:ascii="Century Schoolbook" w:hAnsi="Century Schoolbook"/>
        </w:rPr>
        <w:t xml:space="preserve"> in granting the motion</w:t>
      </w:r>
      <w:r w:rsidRPr="005A144C" w:rsidR="00FE6F94">
        <w:rPr>
          <w:rFonts w:ascii="Century Schoolbook" w:hAnsi="Century Schoolbook"/>
        </w:rPr>
        <w:t>.</w:t>
      </w:r>
      <w:r w:rsidRPr="005A144C" w:rsidR="00325AA5">
        <w:rPr>
          <w:rFonts w:ascii="Century Schoolbook" w:hAnsi="Century Schoolbook"/>
        </w:rPr>
        <w:t xml:space="preserve">  </w:t>
      </w:r>
      <w:r w:rsidRPr="005A144C" w:rsidR="00DD3FB7">
        <w:rPr>
          <w:rFonts w:ascii="Century Schoolbook" w:hAnsi="Century Schoolbook"/>
        </w:rPr>
        <w:t>The SG defendants renew their argument that the</w:t>
      </w:r>
      <w:r w:rsidRPr="005A144C" w:rsidR="00AF4AFF">
        <w:rPr>
          <w:rFonts w:ascii="Century Schoolbook" w:hAnsi="Century Schoolbook"/>
        </w:rPr>
        <w:t xml:space="preserve"> </w:t>
      </w:r>
      <w:r w:rsidRPr="005A144C" w:rsidR="006F704B">
        <w:rPr>
          <w:rFonts w:ascii="Century Schoolbook" w:hAnsi="Century Schoolbook"/>
        </w:rPr>
        <w:t>amendment added</w:t>
      </w:r>
      <w:r w:rsidRPr="005A144C" w:rsidR="00DD3FB7">
        <w:rPr>
          <w:rFonts w:ascii="Century Schoolbook" w:hAnsi="Century Schoolbook"/>
        </w:rPr>
        <w:t xml:space="preserve"> “new claims” </w:t>
      </w:r>
      <w:r w:rsidRPr="005A144C" w:rsidR="0028757D">
        <w:rPr>
          <w:rFonts w:ascii="Century Schoolbook" w:hAnsi="Century Schoolbook"/>
        </w:rPr>
        <w:t>in violation of the</w:t>
      </w:r>
      <w:r w:rsidRPr="005A144C" w:rsidR="00921111">
        <w:rPr>
          <w:rFonts w:ascii="Century Schoolbook" w:hAnsi="Century Schoolbook"/>
        </w:rPr>
        <w:t xml:space="preserve"> </w:t>
      </w:r>
      <w:r w:rsidRPr="005A144C" w:rsidR="0028757D">
        <w:rPr>
          <w:rFonts w:ascii="Century Schoolbook" w:hAnsi="Century Schoolbook"/>
        </w:rPr>
        <w:t xml:space="preserve">stipulation </w:t>
      </w:r>
      <w:r w:rsidRPr="005A144C" w:rsidR="00963314">
        <w:rPr>
          <w:rFonts w:ascii="Century Schoolbook" w:hAnsi="Century Schoolbook"/>
        </w:rPr>
        <w:t>from</w:t>
      </w:r>
      <w:r w:rsidRPr="005A144C" w:rsidR="0028757D">
        <w:rPr>
          <w:rFonts w:ascii="Century Schoolbook" w:hAnsi="Century Schoolbook"/>
        </w:rPr>
        <w:t xml:space="preserve"> the federal </w:t>
      </w:r>
      <w:r w:rsidRPr="005A144C" w:rsidR="00963314">
        <w:rPr>
          <w:rFonts w:ascii="Century Schoolbook" w:hAnsi="Century Schoolbook"/>
        </w:rPr>
        <w:t>action</w:t>
      </w:r>
      <w:r w:rsidRPr="005A144C" w:rsidR="00DD3FB7">
        <w:rPr>
          <w:rFonts w:ascii="Century Schoolbook" w:hAnsi="Century Schoolbook"/>
        </w:rPr>
        <w:t xml:space="preserve">. </w:t>
      </w:r>
      <w:r w:rsidRPr="005A144C">
        <w:rPr>
          <w:rFonts w:ascii="Century Schoolbook" w:hAnsi="Century Schoolbook"/>
        </w:rPr>
        <w:t xml:space="preserve"> But </w:t>
      </w:r>
      <w:r w:rsidRPr="005A144C" w:rsidR="00664E4C">
        <w:rPr>
          <w:rFonts w:ascii="Century Schoolbook" w:hAnsi="Century Schoolbook"/>
        </w:rPr>
        <w:t xml:space="preserve">alter ego allegations do not </w:t>
      </w:r>
      <w:r w:rsidRPr="005A144C" w:rsidR="00057F7D">
        <w:rPr>
          <w:rFonts w:ascii="Century Schoolbook" w:hAnsi="Century Schoolbook"/>
        </w:rPr>
        <w:t>create</w:t>
      </w:r>
      <w:r w:rsidRPr="005A144C" w:rsidR="00664E4C">
        <w:rPr>
          <w:rFonts w:ascii="Century Schoolbook" w:hAnsi="Century Schoolbook"/>
        </w:rPr>
        <w:t xml:space="preserve"> a new claim or cause of action, they </w:t>
      </w:r>
      <w:r w:rsidRPr="005A144C" w:rsidR="00057F7D">
        <w:rPr>
          <w:rFonts w:ascii="Century Schoolbook" w:hAnsi="Century Schoolbook"/>
        </w:rPr>
        <w:t>are</w:t>
      </w:r>
      <w:r w:rsidRPr="005A144C" w:rsidR="00BC4584">
        <w:rPr>
          <w:rFonts w:ascii="Century Schoolbook" w:hAnsi="Century Schoolbook"/>
        </w:rPr>
        <w:t xml:space="preserve"> instead</w:t>
      </w:r>
      <w:r w:rsidRPr="005A144C" w:rsidR="00057F7D">
        <w:rPr>
          <w:rFonts w:ascii="Century Schoolbook" w:hAnsi="Century Schoolbook"/>
        </w:rPr>
        <w:t xml:space="preserve"> a “procedural device</w:t>
      </w:r>
      <w:r w:rsidRPr="005A144C" w:rsidR="00BC4584">
        <w:rPr>
          <w:rFonts w:ascii="Century Schoolbook" w:hAnsi="Century Schoolbook"/>
        </w:rPr>
        <w:t>”</w:t>
      </w:r>
      <w:r w:rsidRPr="005A144C" w:rsidR="00057F7D">
        <w:rPr>
          <w:rFonts w:ascii="Century Schoolbook" w:hAnsi="Century Schoolbook"/>
        </w:rPr>
        <w:t xml:space="preserve"> </w:t>
      </w:r>
      <w:r w:rsidRPr="005A144C" w:rsidR="00BC4584">
        <w:rPr>
          <w:rFonts w:ascii="Century Schoolbook" w:hAnsi="Century Schoolbook"/>
        </w:rPr>
        <w:t>used</w:t>
      </w:r>
      <w:r w:rsidRPr="005A144C" w:rsidR="00057F7D">
        <w:rPr>
          <w:rFonts w:ascii="Century Schoolbook" w:hAnsi="Century Schoolbook"/>
        </w:rPr>
        <w:t xml:space="preserve"> to hold the alter ego liable</w:t>
      </w:r>
      <w:r w:rsidRPr="005A144C" w:rsidR="00BC4584">
        <w:rPr>
          <w:rFonts w:ascii="Century Schoolbook" w:hAnsi="Century Schoolbook"/>
        </w:rPr>
        <w:t>.  (</w:t>
      </w:r>
      <w:r w:rsidRPr="005A144C" w:rsidR="00BC4584">
        <w:rPr>
          <w:rFonts w:ascii="Century Schoolbook" w:hAnsi="Century Schoolbook"/>
          <w:i/>
          <w:iCs/>
        </w:rPr>
        <w:t>Leek v. Cooper</w:t>
      </w:r>
      <w:r w:rsidRPr="005A144C" w:rsidR="00BC4584">
        <w:rPr>
          <w:rFonts w:ascii="Century Schoolbook" w:hAnsi="Century Schoolbook"/>
        </w:rPr>
        <w:t xml:space="preserve"> (2011) 194 Cal.App.4th 399, </w:t>
      </w:r>
      <w:r w:rsidRPr="005A144C" w:rsidR="00753C94">
        <w:rPr>
          <w:rFonts w:ascii="Century Schoolbook" w:hAnsi="Century Schoolbook"/>
        </w:rPr>
        <w:t xml:space="preserve">419 </w:t>
      </w:r>
      <w:r w:rsidRPr="005A144C" w:rsidR="00BC4584">
        <w:rPr>
          <w:rFonts w:ascii="Century Schoolbook" w:hAnsi="Century Schoolbook"/>
        </w:rPr>
        <w:t>[explaining alter ego liability</w:t>
      </w:r>
      <w:r w:rsidRPr="005A144C" w:rsidR="00B21C69">
        <w:rPr>
          <w:rFonts w:ascii="Century Schoolbook" w:hAnsi="Century Schoolbook"/>
        </w:rPr>
        <w:t xml:space="preserve"> is</w:t>
      </w:r>
      <w:r w:rsidRPr="005A144C" w:rsidR="00BC4584">
        <w:rPr>
          <w:rFonts w:ascii="Century Schoolbook" w:hAnsi="Century Schoolbook"/>
        </w:rPr>
        <w:t xml:space="preserve"> “</w:t>
      </w:r>
      <w:r w:rsidRPr="005A144C" w:rsidR="00610290">
        <w:rPr>
          <w:rFonts w:ascii="Century Schoolbook" w:hAnsi="Century Schoolbook"/>
        </w:rPr>
        <w:t>not a substantive claim</w:t>
      </w:r>
      <w:r w:rsidRPr="005A144C" w:rsidR="00BC4584">
        <w:rPr>
          <w:rFonts w:ascii="Century Schoolbook" w:hAnsi="Century Schoolbook"/>
        </w:rPr>
        <w:t xml:space="preserve">”]; </w:t>
      </w:r>
      <w:r w:rsidRPr="005A144C">
        <w:rPr>
          <w:rFonts w:ascii="Century Schoolbook" w:hAnsi="Century Schoolbook"/>
          <w:i/>
          <w:iCs/>
        </w:rPr>
        <w:t>Hennessey’s Tavern, Inc. v. American Air Filter Co.</w:t>
      </w:r>
      <w:r w:rsidRPr="005A144C">
        <w:rPr>
          <w:rFonts w:ascii="Century Schoolbook" w:hAnsi="Century Schoolbook"/>
        </w:rPr>
        <w:t xml:space="preserve">, </w:t>
      </w:r>
      <w:r w:rsidRPr="005A144C">
        <w:rPr>
          <w:rFonts w:ascii="Century Schoolbook" w:hAnsi="Century Schoolbook"/>
          <w:i/>
          <w:iCs/>
        </w:rPr>
        <w:t>supra</w:t>
      </w:r>
      <w:r w:rsidRPr="005A144C">
        <w:rPr>
          <w:rFonts w:ascii="Century Schoolbook" w:hAnsi="Century Schoolbook"/>
        </w:rPr>
        <w:t>, 204</w:t>
      </w:r>
      <w:r w:rsidRPr="005A144C" w:rsidR="00816851">
        <w:rPr>
          <w:rFonts w:ascii="Century Schoolbook" w:hAnsi="Century Schoolbook"/>
        </w:rPr>
        <w:t> </w:t>
      </w:r>
      <w:r w:rsidRPr="005A144C">
        <w:rPr>
          <w:rFonts w:ascii="Century Schoolbook" w:hAnsi="Century Schoolbook"/>
        </w:rPr>
        <w:t>Cal.App.3d at p. </w:t>
      </w:r>
      <w:r w:rsidRPr="005A144C" w:rsidR="00AC7E9D">
        <w:rPr>
          <w:rFonts w:ascii="Century Schoolbook" w:hAnsi="Century Schoolbook"/>
        </w:rPr>
        <w:t>1</w:t>
      </w:r>
      <w:r w:rsidRPr="005A144C" w:rsidR="003063B0">
        <w:rPr>
          <w:rFonts w:ascii="Century Schoolbook" w:hAnsi="Century Schoolbook"/>
        </w:rPr>
        <w:t>359</w:t>
      </w:r>
      <w:r w:rsidRPr="005A144C" w:rsidR="00FF3DCF">
        <w:rPr>
          <w:rFonts w:ascii="Century Schoolbook" w:hAnsi="Century Schoolbook"/>
        </w:rPr>
        <w:t xml:space="preserve"> </w:t>
      </w:r>
      <w:r w:rsidRPr="005A144C" w:rsidR="00BC4584">
        <w:rPr>
          <w:rFonts w:ascii="Century Schoolbook" w:hAnsi="Century Schoolbook"/>
        </w:rPr>
        <w:t>[same].)</w:t>
      </w:r>
    </w:p>
    <w:p w:rsidR="00204727" w:rsidRPr="005A144C" w:rsidP="002E22D7" w14:paraId="2CAD1362" w14:textId="33933A4B">
      <w:pPr>
        <w:spacing w:line="360" w:lineRule="auto"/>
        <w:rPr>
          <w:rFonts w:ascii="Century Schoolbook" w:hAnsi="Century Schoolbook"/>
        </w:rPr>
      </w:pPr>
      <w:r w:rsidRPr="005A144C">
        <w:rPr>
          <w:rFonts w:ascii="Century Schoolbook" w:hAnsi="Century Schoolbook"/>
        </w:rPr>
        <w:tab/>
      </w:r>
      <w:r w:rsidRPr="005A144C" w:rsidR="00575112">
        <w:rPr>
          <w:rFonts w:ascii="Century Schoolbook" w:hAnsi="Century Schoolbook"/>
        </w:rPr>
        <w:t xml:space="preserve">To the extent the SG defendants challenge the </w:t>
      </w:r>
      <w:r w:rsidRPr="005A144C" w:rsidR="00A7775C">
        <w:rPr>
          <w:rFonts w:ascii="Century Schoolbook" w:hAnsi="Century Schoolbook"/>
        </w:rPr>
        <w:t>trial court’s ruling on</w:t>
      </w:r>
      <w:r w:rsidRPr="005A144C" w:rsidR="00575112">
        <w:rPr>
          <w:rFonts w:ascii="Century Schoolbook" w:hAnsi="Century Schoolbook"/>
        </w:rPr>
        <w:t xml:space="preserve"> demurrer</w:t>
      </w:r>
      <w:r w:rsidRPr="005A144C" w:rsidR="008741E1">
        <w:rPr>
          <w:rFonts w:ascii="Century Schoolbook" w:hAnsi="Century Schoolbook"/>
        </w:rPr>
        <w:t xml:space="preserve">, our review is de novo but </w:t>
      </w:r>
      <w:r w:rsidRPr="005A144C" w:rsidR="00F26055">
        <w:rPr>
          <w:rFonts w:ascii="Century Schoolbook" w:hAnsi="Century Schoolbook"/>
        </w:rPr>
        <w:t>reaches</w:t>
      </w:r>
      <w:r w:rsidRPr="005A144C" w:rsidR="00827818">
        <w:rPr>
          <w:rFonts w:ascii="Century Schoolbook" w:hAnsi="Century Schoolbook"/>
        </w:rPr>
        <w:t xml:space="preserve"> the same result.</w:t>
      </w:r>
      <w:r w:rsidRPr="005A144C" w:rsidR="00831EAE">
        <w:rPr>
          <w:rFonts w:ascii="Century Schoolbook" w:hAnsi="Century Schoolbook"/>
        </w:rPr>
        <w:t xml:space="preserve">  </w:t>
      </w:r>
      <w:r w:rsidRPr="005A144C" w:rsidR="0012711D">
        <w:rPr>
          <w:rFonts w:ascii="Century Schoolbook" w:hAnsi="Century Schoolbook"/>
        </w:rPr>
        <w:t>(</w:t>
      </w:r>
      <w:r w:rsidRPr="005A144C" w:rsidR="0012711D">
        <w:rPr>
          <w:rFonts w:ascii="Century Schoolbook" w:hAnsi="Century Schoolbook"/>
          <w:i/>
          <w:iCs/>
        </w:rPr>
        <w:t>San Bernardino County v. Superior Court</w:t>
      </w:r>
      <w:r w:rsidRPr="005A144C" w:rsidR="0012711D">
        <w:rPr>
          <w:rFonts w:ascii="Century Schoolbook" w:hAnsi="Century Schoolbook"/>
        </w:rPr>
        <w:t xml:space="preserve"> (2015) 239 Cal.App.4th 679, 683.)</w:t>
      </w:r>
      <w:r w:rsidRPr="005A144C" w:rsidR="00AF0958">
        <w:rPr>
          <w:rFonts w:ascii="Century Schoolbook" w:hAnsi="Century Schoolbook"/>
        </w:rPr>
        <w:t xml:space="preserve">  </w:t>
      </w:r>
      <w:r w:rsidRPr="005A144C" w:rsidR="00D128FD">
        <w:rPr>
          <w:rFonts w:ascii="Century Schoolbook" w:hAnsi="Century Schoolbook"/>
        </w:rPr>
        <w:t xml:space="preserve">On </w:t>
      </w:r>
      <w:r w:rsidRPr="005A144C" w:rsidR="00A11E1B">
        <w:rPr>
          <w:rFonts w:ascii="Century Schoolbook" w:hAnsi="Century Schoolbook"/>
        </w:rPr>
        <w:t xml:space="preserve">demurrer, the SG defendants </w:t>
      </w:r>
      <w:r w:rsidRPr="005A144C" w:rsidR="0041385D">
        <w:rPr>
          <w:rFonts w:ascii="Century Schoolbook" w:hAnsi="Century Schoolbook"/>
        </w:rPr>
        <w:t xml:space="preserve">repeated the argument </w:t>
      </w:r>
      <w:r w:rsidRPr="005A144C" w:rsidR="00753C94">
        <w:rPr>
          <w:rFonts w:ascii="Century Schoolbook" w:hAnsi="Century Schoolbook"/>
        </w:rPr>
        <w:t>(</w:t>
      </w:r>
      <w:r w:rsidRPr="005A144C" w:rsidR="004923E2">
        <w:rPr>
          <w:rFonts w:ascii="Century Schoolbook" w:hAnsi="Century Schoolbook"/>
        </w:rPr>
        <w:t xml:space="preserve">previously </w:t>
      </w:r>
      <w:r w:rsidRPr="005A144C" w:rsidR="0041385D">
        <w:rPr>
          <w:rFonts w:ascii="Century Schoolbook" w:hAnsi="Century Schoolbook"/>
        </w:rPr>
        <w:t>made by ALS in opposing the motion to amend</w:t>
      </w:r>
      <w:r w:rsidRPr="005A144C" w:rsidR="00753C94">
        <w:rPr>
          <w:rFonts w:ascii="Century Schoolbook" w:hAnsi="Century Schoolbook"/>
        </w:rPr>
        <w:t>)</w:t>
      </w:r>
      <w:r w:rsidRPr="005A144C" w:rsidR="00A11E1B">
        <w:rPr>
          <w:rFonts w:ascii="Century Schoolbook" w:hAnsi="Century Schoolbook"/>
        </w:rPr>
        <w:t xml:space="preserve"> that </w:t>
      </w:r>
      <w:r w:rsidRPr="005A144C" w:rsidR="0041385D">
        <w:rPr>
          <w:rFonts w:ascii="Century Schoolbook" w:hAnsi="Century Schoolbook"/>
        </w:rPr>
        <w:t xml:space="preserve">the new alter ego allegations </w:t>
      </w:r>
      <w:r w:rsidRPr="005A144C" w:rsidR="00A11E1B">
        <w:rPr>
          <w:rFonts w:ascii="Century Schoolbook" w:hAnsi="Century Schoolbook"/>
        </w:rPr>
        <w:t>were barred by the stipulation.  But</w:t>
      </w:r>
      <w:r w:rsidRPr="005A144C" w:rsidR="00AF0958">
        <w:rPr>
          <w:rFonts w:ascii="Century Schoolbook" w:hAnsi="Century Schoolbook"/>
        </w:rPr>
        <w:t xml:space="preserve"> the SG defendants</w:t>
      </w:r>
      <w:r w:rsidRPr="005A144C" w:rsidR="0096311B">
        <w:rPr>
          <w:rFonts w:ascii="Century Schoolbook" w:hAnsi="Century Schoolbook"/>
        </w:rPr>
        <w:t xml:space="preserve"> </w:t>
      </w:r>
      <w:r w:rsidRPr="005A144C" w:rsidR="0041385D">
        <w:rPr>
          <w:rFonts w:ascii="Century Schoolbook" w:hAnsi="Century Schoolbook"/>
        </w:rPr>
        <w:t>show no basis to</w:t>
      </w:r>
      <w:r w:rsidRPr="005A144C" w:rsidR="00324766">
        <w:rPr>
          <w:rFonts w:ascii="Century Schoolbook" w:hAnsi="Century Schoolbook"/>
        </w:rPr>
        <w:t xml:space="preserve"> enforce</w:t>
      </w:r>
      <w:r w:rsidRPr="005A144C" w:rsidR="00B17954">
        <w:rPr>
          <w:rFonts w:ascii="Century Schoolbook" w:hAnsi="Century Schoolbook"/>
        </w:rPr>
        <w:t xml:space="preserve"> </w:t>
      </w:r>
      <w:r w:rsidRPr="005A144C" w:rsidR="00D006D3">
        <w:rPr>
          <w:rFonts w:ascii="Century Schoolbook" w:hAnsi="Century Schoolbook"/>
        </w:rPr>
        <w:t>that</w:t>
      </w:r>
      <w:r w:rsidRPr="005A144C" w:rsidR="003630C2">
        <w:rPr>
          <w:rFonts w:ascii="Century Schoolbook" w:hAnsi="Century Schoolbook"/>
        </w:rPr>
        <w:t xml:space="preserve"> agreement</w:t>
      </w:r>
      <w:r w:rsidRPr="005A144C" w:rsidR="004F4598">
        <w:rPr>
          <w:rFonts w:ascii="Century Schoolbook" w:hAnsi="Century Schoolbook"/>
        </w:rPr>
        <w:t xml:space="preserve"> </w:t>
      </w:r>
      <w:r w:rsidRPr="005A144C" w:rsidR="0096311B">
        <w:rPr>
          <w:rFonts w:ascii="Century Schoolbook" w:hAnsi="Century Schoolbook"/>
        </w:rPr>
        <w:t>between Doskocz</w:t>
      </w:r>
      <w:r w:rsidRPr="005A144C" w:rsidR="0043620B">
        <w:rPr>
          <w:rFonts w:ascii="Century Schoolbook" w:hAnsi="Century Schoolbook"/>
        </w:rPr>
        <w:t xml:space="preserve"> and </w:t>
      </w:r>
      <w:r w:rsidRPr="005A144C" w:rsidR="0043620B">
        <w:rPr>
          <w:rFonts w:ascii="Century Schoolbook" w:hAnsi="Century Schoolbook"/>
          <w:i/>
          <w:iCs/>
        </w:rPr>
        <w:t>ALS</w:t>
      </w:r>
      <w:r w:rsidRPr="005A144C" w:rsidR="00B17954">
        <w:rPr>
          <w:rFonts w:ascii="Century Schoolbook" w:hAnsi="Century Schoolbook"/>
        </w:rPr>
        <w:t>.</w:t>
      </w:r>
      <w:r w:rsidRPr="005A144C" w:rsidR="003630C2">
        <w:rPr>
          <w:rFonts w:ascii="Century Schoolbook" w:hAnsi="Century Schoolbook"/>
        </w:rPr>
        <w:t xml:space="preserve">  </w:t>
      </w:r>
      <w:r w:rsidRPr="005A144C" w:rsidR="004E67C7">
        <w:rPr>
          <w:rFonts w:ascii="Century Schoolbook" w:hAnsi="Century Schoolbook"/>
        </w:rPr>
        <w:t xml:space="preserve">Third parties may </w:t>
      </w:r>
      <w:r w:rsidRPr="005A144C" w:rsidR="00466BC6">
        <w:rPr>
          <w:rFonts w:ascii="Century Schoolbook" w:hAnsi="Century Schoolbook"/>
        </w:rPr>
        <w:t xml:space="preserve">have such a basis </w:t>
      </w:r>
      <w:r w:rsidRPr="005A144C" w:rsidR="00753C94">
        <w:rPr>
          <w:rFonts w:ascii="Century Schoolbook" w:hAnsi="Century Schoolbook"/>
        </w:rPr>
        <w:t>where (1)</w:t>
      </w:r>
      <w:r w:rsidRPr="005A144C" w:rsidR="000A0E60">
        <w:rPr>
          <w:rFonts w:ascii="Century Schoolbook" w:hAnsi="Century Schoolbook"/>
        </w:rPr>
        <w:t xml:space="preserve"> the third party benefit</w:t>
      </w:r>
      <w:r w:rsidRPr="005A144C" w:rsidR="00A5697B">
        <w:rPr>
          <w:rFonts w:ascii="Century Schoolbook" w:hAnsi="Century Schoolbook"/>
        </w:rPr>
        <w:t>s</w:t>
      </w:r>
      <w:r w:rsidRPr="005A144C" w:rsidR="000A0E60">
        <w:rPr>
          <w:rFonts w:ascii="Century Schoolbook" w:hAnsi="Century Schoolbook"/>
        </w:rPr>
        <w:t xml:space="preserve"> from the </w:t>
      </w:r>
      <w:r w:rsidRPr="005A144C" w:rsidR="003C1D65">
        <w:rPr>
          <w:rFonts w:ascii="Century Schoolbook" w:hAnsi="Century Schoolbook"/>
        </w:rPr>
        <w:t>agreement</w:t>
      </w:r>
      <w:r w:rsidRPr="005A144C" w:rsidR="000A0E60">
        <w:rPr>
          <w:rFonts w:ascii="Century Schoolbook" w:hAnsi="Century Schoolbook"/>
        </w:rPr>
        <w:t xml:space="preserve">, </w:t>
      </w:r>
      <w:r w:rsidRPr="005A144C" w:rsidR="00753C94">
        <w:rPr>
          <w:rFonts w:ascii="Century Schoolbook" w:hAnsi="Century Schoolbook"/>
        </w:rPr>
        <w:t xml:space="preserve">(2) </w:t>
      </w:r>
      <w:r w:rsidRPr="005A144C" w:rsidR="003C1D65">
        <w:rPr>
          <w:rFonts w:ascii="Century Schoolbook" w:hAnsi="Century Schoolbook"/>
        </w:rPr>
        <w:t>the provision of such a benefit was the</w:t>
      </w:r>
      <w:r w:rsidRPr="005A144C" w:rsidR="000A0E60">
        <w:rPr>
          <w:rFonts w:ascii="Century Schoolbook" w:hAnsi="Century Schoolbook"/>
        </w:rPr>
        <w:t xml:space="preserve"> </w:t>
      </w:r>
      <w:r w:rsidRPr="005A144C" w:rsidR="003C1D65">
        <w:rPr>
          <w:rFonts w:ascii="Century Schoolbook" w:hAnsi="Century Schoolbook"/>
        </w:rPr>
        <w:t>“</w:t>
      </w:r>
      <w:r w:rsidRPr="005A144C" w:rsidR="000A0E60">
        <w:rPr>
          <w:rFonts w:ascii="Century Schoolbook" w:hAnsi="Century Schoolbook"/>
        </w:rPr>
        <w:t>motivating purpose</w:t>
      </w:r>
      <w:r w:rsidRPr="005A144C" w:rsidR="003C1D65">
        <w:rPr>
          <w:rFonts w:ascii="Century Schoolbook" w:hAnsi="Century Schoolbook"/>
        </w:rPr>
        <w:t>”</w:t>
      </w:r>
      <w:r w:rsidRPr="005A144C" w:rsidR="000A0E60">
        <w:rPr>
          <w:rFonts w:ascii="Century Schoolbook" w:hAnsi="Century Schoolbook"/>
        </w:rPr>
        <w:t xml:space="preserve"> of the contracting parties, and </w:t>
      </w:r>
      <w:r w:rsidRPr="005A144C" w:rsidR="00753C94">
        <w:rPr>
          <w:rFonts w:ascii="Century Schoolbook" w:hAnsi="Century Schoolbook"/>
        </w:rPr>
        <w:t xml:space="preserve">(3) </w:t>
      </w:r>
      <w:r w:rsidRPr="005A144C" w:rsidR="000A0E60">
        <w:rPr>
          <w:rFonts w:ascii="Century Schoolbook" w:hAnsi="Century Schoolbook"/>
        </w:rPr>
        <w:t xml:space="preserve">permitting </w:t>
      </w:r>
      <w:r w:rsidRPr="005A144C" w:rsidR="00230889">
        <w:rPr>
          <w:rFonts w:ascii="Century Schoolbook" w:hAnsi="Century Schoolbook"/>
        </w:rPr>
        <w:t>enforcement</w:t>
      </w:r>
      <w:r w:rsidRPr="005A144C" w:rsidR="000A0E60">
        <w:rPr>
          <w:rFonts w:ascii="Century Schoolbook" w:hAnsi="Century Schoolbook"/>
        </w:rPr>
        <w:t xml:space="preserve"> </w:t>
      </w:r>
      <w:r w:rsidRPr="005A144C" w:rsidR="0056184C">
        <w:rPr>
          <w:rFonts w:ascii="Century Schoolbook" w:hAnsi="Century Schoolbook"/>
        </w:rPr>
        <w:t>“</w:t>
      </w:r>
      <w:r w:rsidRPr="005A144C" w:rsidR="000A0E60">
        <w:rPr>
          <w:rFonts w:ascii="Century Schoolbook" w:hAnsi="Century Schoolbook"/>
        </w:rPr>
        <w:t>is consistent with the objectives of the contract and the reasonable expectations of the contracting parties</w:t>
      </w:r>
      <w:r w:rsidRPr="005A144C" w:rsidR="0056184C">
        <w:rPr>
          <w:rFonts w:ascii="Century Schoolbook" w:hAnsi="Century Schoolbook"/>
        </w:rPr>
        <w:t>.”  (</w:t>
      </w:r>
      <w:r w:rsidRPr="005A144C" w:rsidR="0056184C">
        <w:rPr>
          <w:rFonts w:ascii="Century Schoolbook" w:hAnsi="Century Schoolbook"/>
          <w:i/>
          <w:iCs/>
        </w:rPr>
        <w:t>Goonewardene v. ADP, LLC</w:t>
      </w:r>
      <w:r w:rsidRPr="005A144C" w:rsidR="0056184C">
        <w:rPr>
          <w:rFonts w:ascii="Century Schoolbook" w:hAnsi="Century Schoolbook"/>
        </w:rPr>
        <w:t xml:space="preserve"> (2019) 6 Cal.5th </w:t>
      </w:r>
      <w:r w:rsidRPr="005A144C" w:rsidR="00311491">
        <w:rPr>
          <w:rFonts w:ascii="Century Schoolbook" w:hAnsi="Century Schoolbook"/>
        </w:rPr>
        <w:t>817</w:t>
      </w:r>
      <w:r w:rsidRPr="005A144C" w:rsidR="0056184C">
        <w:rPr>
          <w:rFonts w:ascii="Century Schoolbook" w:hAnsi="Century Schoolbook"/>
        </w:rPr>
        <w:t>, 830.)</w:t>
      </w:r>
      <w:r w:rsidRPr="005A144C" w:rsidR="000B1D8A">
        <w:rPr>
          <w:rFonts w:ascii="Century Schoolbook" w:hAnsi="Century Schoolbook"/>
        </w:rPr>
        <w:t xml:space="preserve">  Here, the SG defendants</w:t>
      </w:r>
      <w:r w:rsidRPr="005A144C" w:rsidR="006A3500">
        <w:rPr>
          <w:rFonts w:ascii="Century Schoolbook" w:hAnsi="Century Schoolbook"/>
        </w:rPr>
        <w:t xml:space="preserve"> </w:t>
      </w:r>
      <w:r w:rsidRPr="005A144C" w:rsidR="000A0E0E">
        <w:rPr>
          <w:rFonts w:ascii="Century Schoolbook" w:hAnsi="Century Schoolbook"/>
        </w:rPr>
        <w:t>assert</w:t>
      </w:r>
      <w:r w:rsidRPr="005A144C" w:rsidR="00594CD2">
        <w:rPr>
          <w:rFonts w:ascii="Century Schoolbook" w:hAnsi="Century Schoolbook"/>
        </w:rPr>
        <w:t>—without any supporting facts or law—</w:t>
      </w:r>
      <w:r w:rsidRPr="005A144C" w:rsidR="006A3500">
        <w:rPr>
          <w:rFonts w:ascii="Century Schoolbook" w:hAnsi="Century Schoolbook"/>
        </w:rPr>
        <w:t>that they were intended third</w:t>
      </w:r>
      <w:r w:rsidRPr="005A144C" w:rsidR="00CF20E9">
        <w:rPr>
          <w:rFonts w:ascii="Century Schoolbook" w:hAnsi="Century Schoolbook"/>
        </w:rPr>
        <w:t xml:space="preserve"> </w:t>
      </w:r>
      <w:r w:rsidRPr="005A144C" w:rsidR="006A3500">
        <w:rPr>
          <w:rFonts w:ascii="Century Schoolbook" w:hAnsi="Century Schoolbook"/>
        </w:rPr>
        <w:t xml:space="preserve">party beneficiaries of the stipulation because Doskocz “used the language therein” to add them </w:t>
      </w:r>
      <w:r w:rsidRPr="005A144C" w:rsidR="00D715C5">
        <w:rPr>
          <w:rFonts w:ascii="Century Schoolbook" w:hAnsi="Century Schoolbook"/>
        </w:rPr>
        <w:t>in</w:t>
      </w:r>
      <w:r w:rsidRPr="005A144C" w:rsidR="006A3500">
        <w:rPr>
          <w:rFonts w:ascii="Century Schoolbook" w:hAnsi="Century Schoolbook"/>
        </w:rPr>
        <w:t xml:space="preserve">to the state action. </w:t>
      </w:r>
      <w:r w:rsidRPr="005A144C" w:rsidR="005601F6">
        <w:rPr>
          <w:rFonts w:ascii="Century Schoolbook" w:hAnsi="Century Schoolbook"/>
        </w:rPr>
        <w:t xml:space="preserve"> </w:t>
      </w:r>
      <w:r w:rsidRPr="005A144C" w:rsidR="0088535D">
        <w:rPr>
          <w:rFonts w:ascii="Century Schoolbook" w:hAnsi="Century Schoolbook"/>
        </w:rPr>
        <w:t>T</w:t>
      </w:r>
      <w:r w:rsidRPr="005A144C" w:rsidR="008D3393">
        <w:rPr>
          <w:rFonts w:ascii="Century Schoolbook" w:hAnsi="Century Schoolbook"/>
        </w:rPr>
        <w:t>his unsupported assertion</w:t>
      </w:r>
      <w:r w:rsidRPr="005A144C" w:rsidR="00B4311A">
        <w:rPr>
          <w:rFonts w:ascii="Century Schoolbook" w:hAnsi="Century Schoolbook"/>
        </w:rPr>
        <w:t xml:space="preserve"> </w:t>
      </w:r>
      <w:r w:rsidRPr="005A144C" w:rsidR="0088535D">
        <w:rPr>
          <w:rFonts w:ascii="Century Schoolbook" w:hAnsi="Century Schoolbook"/>
        </w:rPr>
        <w:t xml:space="preserve">does not persuade us </w:t>
      </w:r>
      <w:r w:rsidRPr="005A144C" w:rsidR="00B4311A">
        <w:rPr>
          <w:rFonts w:ascii="Century Schoolbook" w:hAnsi="Century Schoolbook"/>
        </w:rPr>
        <w:t xml:space="preserve">that the </w:t>
      </w:r>
      <w:r w:rsidRPr="005A144C" w:rsidR="004B1FBF">
        <w:rPr>
          <w:rFonts w:ascii="Century Schoolbook" w:hAnsi="Century Schoolbook"/>
        </w:rPr>
        <w:t>requirements for third</w:t>
      </w:r>
      <w:r w:rsidRPr="005A144C" w:rsidR="00532026">
        <w:rPr>
          <w:rFonts w:ascii="Century Schoolbook" w:hAnsi="Century Schoolbook"/>
        </w:rPr>
        <w:t xml:space="preserve"> </w:t>
      </w:r>
      <w:r w:rsidRPr="005A144C" w:rsidR="004B1FBF">
        <w:rPr>
          <w:rFonts w:ascii="Century Schoolbook" w:hAnsi="Century Schoolbook"/>
        </w:rPr>
        <w:t xml:space="preserve">party enforcement </w:t>
      </w:r>
      <w:r w:rsidRPr="005A144C" w:rsidR="00B4311A">
        <w:rPr>
          <w:rFonts w:ascii="Century Schoolbook" w:hAnsi="Century Schoolbook"/>
        </w:rPr>
        <w:t>are satisfied</w:t>
      </w:r>
      <w:r w:rsidRPr="005A144C" w:rsidR="0088535D">
        <w:rPr>
          <w:rFonts w:ascii="Century Schoolbook" w:hAnsi="Century Schoolbook"/>
        </w:rPr>
        <w:t xml:space="preserve"> here</w:t>
      </w:r>
      <w:r w:rsidRPr="005A144C" w:rsidR="008D3393">
        <w:rPr>
          <w:rFonts w:ascii="Century Schoolbook" w:hAnsi="Century Schoolbook"/>
        </w:rPr>
        <w:t>.</w:t>
      </w:r>
      <w:r w:rsidRPr="005A144C" w:rsidR="008B6F28">
        <w:rPr>
          <w:rFonts w:ascii="Century Schoolbook" w:hAnsi="Century Schoolbook"/>
        </w:rPr>
        <w:t xml:space="preserve">  </w:t>
      </w:r>
      <w:r w:rsidRPr="005A144C" w:rsidR="00C91355">
        <w:rPr>
          <w:rFonts w:ascii="Century Schoolbook" w:hAnsi="Century Schoolbook"/>
        </w:rPr>
        <w:t xml:space="preserve">Even if </w:t>
      </w:r>
      <w:r w:rsidRPr="005A144C" w:rsidR="0088535D">
        <w:rPr>
          <w:rFonts w:ascii="Century Schoolbook" w:hAnsi="Century Schoolbook"/>
        </w:rPr>
        <w:t>it did</w:t>
      </w:r>
      <w:r w:rsidRPr="005A144C" w:rsidR="00E759FD">
        <w:rPr>
          <w:rFonts w:ascii="Century Schoolbook" w:hAnsi="Century Schoolbook"/>
        </w:rPr>
        <w:t>, we agree with the trial court that the amendment did not run afoul of the stipulation</w:t>
      </w:r>
      <w:r w:rsidRPr="005A144C" w:rsidR="00AA7C07">
        <w:rPr>
          <w:rFonts w:ascii="Century Schoolbook" w:hAnsi="Century Schoolbook"/>
        </w:rPr>
        <w:t xml:space="preserve"> because</w:t>
      </w:r>
      <w:r w:rsidRPr="005A144C" w:rsidR="00F631F8">
        <w:rPr>
          <w:rFonts w:ascii="Century Schoolbook" w:hAnsi="Century Schoolbook"/>
        </w:rPr>
        <w:t xml:space="preserve">, </w:t>
      </w:r>
      <w:r w:rsidRPr="005A144C" w:rsidR="0066134C">
        <w:rPr>
          <w:rFonts w:ascii="Century Schoolbook" w:hAnsi="Century Schoolbook"/>
        </w:rPr>
        <w:t>as</w:t>
      </w:r>
      <w:r w:rsidRPr="005A144C" w:rsidR="00F631F8">
        <w:rPr>
          <w:rFonts w:ascii="Century Schoolbook" w:hAnsi="Century Schoolbook"/>
        </w:rPr>
        <w:t xml:space="preserve"> explained above,</w:t>
      </w:r>
      <w:r w:rsidRPr="005A144C" w:rsidR="00AA7C07">
        <w:rPr>
          <w:rFonts w:ascii="Century Schoolbook" w:hAnsi="Century Schoolbook"/>
        </w:rPr>
        <w:t xml:space="preserve"> </w:t>
      </w:r>
      <w:r w:rsidRPr="005A144C" w:rsidR="00953954">
        <w:rPr>
          <w:rFonts w:ascii="Century Schoolbook" w:hAnsi="Century Schoolbook"/>
        </w:rPr>
        <w:t>th</w:t>
      </w:r>
      <w:r w:rsidRPr="005A144C" w:rsidR="00A03608">
        <w:rPr>
          <w:rFonts w:ascii="Century Schoolbook" w:hAnsi="Century Schoolbook"/>
        </w:rPr>
        <w:t>e alter ego</w:t>
      </w:r>
      <w:r w:rsidRPr="005A144C" w:rsidR="00953954">
        <w:rPr>
          <w:rFonts w:ascii="Century Schoolbook" w:hAnsi="Century Schoolbook"/>
        </w:rPr>
        <w:t xml:space="preserve"> allegations</w:t>
      </w:r>
      <w:r w:rsidRPr="005A144C" w:rsidR="00AA7C07">
        <w:rPr>
          <w:rFonts w:ascii="Century Schoolbook" w:hAnsi="Century Schoolbook"/>
        </w:rPr>
        <w:t xml:space="preserve"> did not add any “new claims</w:t>
      </w:r>
      <w:r w:rsidRPr="005A144C" w:rsidR="00E759FD">
        <w:rPr>
          <w:rFonts w:ascii="Century Schoolbook" w:hAnsi="Century Schoolbook"/>
        </w:rPr>
        <w:t>.</w:t>
      </w:r>
      <w:r w:rsidRPr="005A144C" w:rsidR="00AA7C07">
        <w:rPr>
          <w:rFonts w:ascii="Century Schoolbook" w:hAnsi="Century Schoolbook"/>
        </w:rPr>
        <w:t>”</w:t>
      </w:r>
    </w:p>
    <w:p w:rsidR="000F46AE" w:rsidRPr="005A144C" w:rsidP="002E22D7" w14:paraId="115DE78D" w14:textId="23533AF8">
      <w:pPr>
        <w:spacing w:line="360" w:lineRule="auto"/>
        <w:rPr>
          <w:rFonts w:ascii="Century Schoolbook" w:hAnsi="Century Schoolbook"/>
        </w:rPr>
      </w:pPr>
      <w:r w:rsidRPr="005A144C">
        <w:rPr>
          <w:rFonts w:ascii="Century Schoolbook" w:hAnsi="Century Schoolbook"/>
        </w:rPr>
        <w:tab/>
        <w:t xml:space="preserve">In </w:t>
      </w:r>
      <w:r w:rsidRPr="005A144C" w:rsidR="00533074">
        <w:rPr>
          <w:rFonts w:ascii="Century Schoolbook" w:hAnsi="Century Schoolbook"/>
        </w:rPr>
        <w:t>short</w:t>
      </w:r>
      <w:r w:rsidRPr="005A144C">
        <w:rPr>
          <w:rFonts w:ascii="Century Schoolbook" w:hAnsi="Century Schoolbook"/>
        </w:rPr>
        <w:t xml:space="preserve">, we conclude that the trial court did not abuse its discretion in granting </w:t>
      </w:r>
      <w:r w:rsidRPr="005A144C" w:rsidR="007A119E">
        <w:rPr>
          <w:rFonts w:ascii="Century Schoolbook" w:hAnsi="Century Schoolbook"/>
        </w:rPr>
        <w:t xml:space="preserve">Doskocz’s </w:t>
      </w:r>
      <w:r w:rsidRPr="005A144C">
        <w:rPr>
          <w:rFonts w:ascii="Century Schoolbook" w:hAnsi="Century Schoolbook"/>
        </w:rPr>
        <w:t xml:space="preserve">motion to amend the complaint and did not err in overruling </w:t>
      </w:r>
      <w:r w:rsidRPr="005A144C" w:rsidR="007A119E">
        <w:rPr>
          <w:rFonts w:ascii="Century Schoolbook" w:hAnsi="Century Schoolbook"/>
        </w:rPr>
        <w:t>the SG defendants’</w:t>
      </w:r>
      <w:r w:rsidRPr="005A144C">
        <w:rPr>
          <w:rFonts w:ascii="Century Schoolbook" w:hAnsi="Century Schoolbook"/>
        </w:rPr>
        <w:t xml:space="preserve"> demurrer.</w:t>
      </w:r>
    </w:p>
    <w:p w:rsidR="00D9676A" w:rsidRPr="005A144C" w:rsidP="002E22D7" w14:paraId="115A7E91" w14:textId="5704F03E">
      <w:pPr>
        <w:keepNext/>
        <w:keepLines/>
        <w:spacing w:line="360" w:lineRule="auto"/>
        <w:rPr>
          <w:rFonts w:ascii="Century Schoolbook" w:hAnsi="Century Schoolbook"/>
          <w:b/>
          <w:bCs/>
          <w:i/>
          <w:iCs/>
        </w:rPr>
      </w:pPr>
      <w:r w:rsidRPr="005A144C">
        <w:rPr>
          <w:rFonts w:ascii="Century Schoolbook" w:hAnsi="Century Schoolbook"/>
          <w:b/>
          <w:bCs/>
          <w:i/>
          <w:iCs/>
        </w:rPr>
        <w:t xml:space="preserve">F.  </w:t>
      </w:r>
      <w:r w:rsidRPr="005A144C" w:rsidR="00A5287F">
        <w:rPr>
          <w:rFonts w:ascii="Century Schoolbook" w:hAnsi="Century Schoolbook"/>
          <w:b/>
          <w:bCs/>
          <w:i/>
          <w:iCs/>
        </w:rPr>
        <w:t>No Abuse of Discretion on Attorney Fees</w:t>
      </w:r>
      <w:r w:rsidRPr="005A144C" w:rsidR="00E66C95">
        <w:rPr>
          <w:rFonts w:ascii="Century Schoolbook" w:hAnsi="Century Schoolbook"/>
          <w:b/>
          <w:bCs/>
          <w:i/>
          <w:iCs/>
        </w:rPr>
        <w:t xml:space="preserve"> Award</w:t>
      </w:r>
    </w:p>
    <w:p w:rsidR="00947CAD" w:rsidRPr="005A144C" w:rsidP="002E22D7" w14:paraId="6DC70E74" w14:textId="530E3D4D">
      <w:pPr>
        <w:keepNext/>
        <w:keepLines/>
        <w:spacing w:line="360" w:lineRule="auto"/>
        <w:rPr>
          <w:rFonts w:ascii="Century Schoolbook" w:hAnsi="Century Schoolbook"/>
          <w:b/>
          <w:bCs/>
        </w:rPr>
      </w:pPr>
      <w:r w:rsidRPr="005A144C">
        <w:rPr>
          <w:rFonts w:ascii="Century Schoolbook" w:hAnsi="Century Schoolbook"/>
          <w:b/>
          <w:bCs/>
        </w:rPr>
        <w:tab/>
        <w:t xml:space="preserve">1. </w:t>
      </w:r>
      <w:r w:rsidRPr="005A144C" w:rsidR="00532026">
        <w:rPr>
          <w:rFonts w:ascii="Century Schoolbook" w:hAnsi="Century Schoolbook"/>
          <w:b/>
          <w:bCs/>
        </w:rPr>
        <w:t xml:space="preserve"> </w:t>
      </w:r>
      <w:r w:rsidRPr="005A144C">
        <w:rPr>
          <w:rFonts w:ascii="Century Schoolbook" w:hAnsi="Century Schoolbook"/>
          <w:b/>
          <w:bCs/>
        </w:rPr>
        <w:t>Additional Background</w:t>
      </w:r>
    </w:p>
    <w:p w:rsidR="00947CAD" w:rsidRPr="005A144C" w:rsidP="002E22D7" w14:paraId="21961E57" w14:textId="7FD86F1F">
      <w:pPr>
        <w:keepNext/>
        <w:keepLines/>
        <w:spacing w:line="360" w:lineRule="auto"/>
        <w:rPr>
          <w:rFonts w:ascii="Century Schoolbook" w:hAnsi="Century Schoolbook"/>
        </w:rPr>
      </w:pPr>
      <w:r w:rsidRPr="005A144C">
        <w:rPr>
          <w:rFonts w:ascii="Century Schoolbook" w:hAnsi="Century Schoolbook"/>
        </w:rPr>
        <w:tab/>
      </w:r>
      <w:r w:rsidRPr="005A144C" w:rsidR="004A1E36">
        <w:rPr>
          <w:rFonts w:ascii="Century Schoolbook" w:hAnsi="Century Schoolbook"/>
        </w:rPr>
        <w:t xml:space="preserve">After the </w:t>
      </w:r>
      <w:r w:rsidRPr="005A144C" w:rsidR="00FE2546">
        <w:rPr>
          <w:rFonts w:ascii="Century Schoolbook" w:hAnsi="Century Schoolbook"/>
        </w:rPr>
        <w:t>statement of decision</w:t>
      </w:r>
      <w:r w:rsidRPr="005A144C" w:rsidR="005B1266">
        <w:rPr>
          <w:rFonts w:ascii="Century Schoolbook" w:hAnsi="Century Schoolbook"/>
        </w:rPr>
        <w:t xml:space="preserve"> </w:t>
      </w:r>
      <w:r w:rsidRPr="005A144C" w:rsidR="004A1E36">
        <w:rPr>
          <w:rFonts w:ascii="Century Schoolbook" w:hAnsi="Century Schoolbook"/>
        </w:rPr>
        <w:t xml:space="preserve">was </w:t>
      </w:r>
      <w:r w:rsidRPr="005A144C" w:rsidR="00FE2546">
        <w:rPr>
          <w:rFonts w:ascii="Century Schoolbook" w:hAnsi="Century Schoolbook"/>
        </w:rPr>
        <w:t>issued</w:t>
      </w:r>
      <w:r w:rsidRPr="005A144C" w:rsidR="004A1E36">
        <w:rPr>
          <w:rFonts w:ascii="Century Schoolbook" w:hAnsi="Century Schoolbook"/>
        </w:rPr>
        <w:t>, c</w:t>
      </w:r>
      <w:r w:rsidRPr="005A144C" w:rsidR="0058119A">
        <w:rPr>
          <w:rFonts w:ascii="Century Schoolbook" w:hAnsi="Century Schoolbook"/>
        </w:rPr>
        <w:t xml:space="preserve">lass counsel </w:t>
      </w:r>
      <w:r w:rsidRPr="005A144C" w:rsidR="005E5A52">
        <w:rPr>
          <w:rFonts w:ascii="Century Schoolbook" w:hAnsi="Century Schoolbook"/>
        </w:rPr>
        <w:t>moved for attorney fees under Code of Civil Procedure section 1021.5</w:t>
      </w:r>
      <w:r w:rsidRPr="005A144C" w:rsidR="009462D7">
        <w:rPr>
          <w:rFonts w:ascii="Century Schoolbook" w:hAnsi="Century Schoolbook"/>
        </w:rPr>
        <w:t xml:space="preserve"> </w:t>
      </w:r>
      <w:r w:rsidRPr="005A144C" w:rsidR="004912B4">
        <w:rPr>
          <w:rFonts w:ascii="Century Schoolbook" w:hAnsi="Century Schoolbook"/>
        </w:rPr>
        <w:t xml:space="preserve">on the grounds that </w:t>
      </w:r>
      <w:r w:rsidRPr="005A144C" w:rsidR="00774813">
        <w:rPr>
          <w:rFonts w:ascii="Century Schoolbook" w:hAnsi="Century Schoolbook"/>
        </w:rPr>
        <w:t>the litigation had conferred a substantial benefit on the public and a large class of Californians</w:t>
      </w:r>
      <w:r w:rsidRPr="005A144C" w:rsidR="005E5A52">
        <w:rPr>
          <w:rFonts w:ascii="Century Schoolbook" w:hAnsi="Century Schoolbook"/>
        </w:rPr>
        <w:t xml:space="preserve">. </w:t>
      </w:r>
      <w:r w:rsidRPr="005A144C" w:rsidR="007153B3">
        <w:rPr>
          <w:rFonts w:ascii="Century Schoolbook" w:hAnsi="Century Schoolbook"/>
        </w:rPr>
        <w:t xml:space="preserve"> They requested </w:t>
      </w:r>
      <w:r w:rsidRPr="005A144C" w:rsidR="004A2466">
        <w:rPr>
          <w:rFonts w:ascii="Century Schoolbook" w:hAnsi="Century Schoolbook"/>
        </w:rPr>
        <w:t xml:space="preserve">a total </w:t>
      </w:r>
      <w:r w:rsidRPr="005A144C" w:rsidR="008A4A48">
        <w:rPr>
          <w:rFonts w:ascii="Century Schoolbook" w:hAnsi="Century Schoolbook"/>
        </w:rPr>
        <w:t>$1,173,816</w:t>
      </w:r>
      <w:r w:rsidRPr="005A144C" w:rsidR="002D5D49">
        <w:rPr>
          <w:rFonts w:ascii="Century Schoolbook" w:hAnsi="Century Schoolbook"/>
        </w:rPr>
        <w:t xml:space="preserve"> </w:t>
      </w:r>
      <w:r w:rsidRPr="005A144C" w:rsidR="004A2466">
        <w:rPr>
          <w:rFonts w:ascii="Century Schoolbook" w:hAnsi="Century Schoolbook"/>
        </w:rPr>
        <w:t>award</w:t>
      </w:r>
      <w:r w:rsidRPr="005A144C" w:rsidR="00450300">
        <w:rPr>
          <w:rFonts w:ascii="Century Schoolbook" w:hAnsi="Century Schoolbook"/>
        </w:rPr>
        <w:t xml:space="preserve">:  </w:t>
      </w:r>
      <w:r w:rsidRPr="005A144C" w:rsidR="00AF386A">
        <w:rPr>
          <w:rFonts w:ascii="Century Schoolbook" w:hAnsi="Century Schoolbook"/>
        </w:rPr>
        <w:t xml:space="preserve">$939,053 </w:t>
      </w:r>
      <w:r w:rsidRPr="005A144C" w:rsidR="004A2466">
        <w:rPr>
          <w:rFonts w:ascii="Century Schoolbook" w:hAnsi="Century Schoolbook"/>
        </w:rPr>
        <w:t>in fees</w:t>
      </w:r>
      <w:r w:rsidRPr="005A144C" w:rsidR="00266C75">
        <w:rPr>
          <w:rFonts w:ascii="Century Schoolbook" w:hAnsi="Century Schoolbook"/>
        </w:rPr>
        <w:t xml:space="preserve"> </w:t>
      </w:r>
      <w:r w:rsidRPr="005A144C" w:rsidR="00F917BA">
        <w:rPr>
          <w:rFonts w:ascii="Century Schoolbook" w:hAnsi="Century Schoolbook"/>
        </w:rPr>
        <w:t>with a 1.25 multipl</w:t>
      </w:r>
      <w:r w:rsidRPr="005A144C" w:rsidR="00431F95">
        <w:rPr>
          <w:rFonts w:ascii="Century Schoolbook" w:hAnsi="Century Schoolbook"/>
        </w:rPr>
        <w:t>i</w:t>
      </w:r>
      <w:r w:rsidRPr="005A144C" w:rsidR="00F917BA">
        <w:rPr>
          <w:rFonts w:ascii="Century Schoolbook" w:hAnsi="Century Schoolbook"/>
        </w:rPr>
        <w:t xml:space="preserve">er </w:t>
      </w:r>
      <w:r w:rsidRPr="005A144C" w:rsidR="007B66C9">
        <w:rPr>
          <w:rFonts w:ascii="Century Schoolbook" w:hAnsi="Century Schoolbook"/>
        </w:rPr>
        <w:t>that included</w:t>
      </w:r>
      <w:r w:rsidRPr="005A144C" w:rsidR="00B33100">
        <w:rPr>
          <w:rFonts w:ascii="Century Schoolbook" w:hAnsi="Century Schoolbook"/>
        </w:rPr>
        <w:t xml:space="preserve"> time</w:t>
      </w:r>
      <w:r w:rsidRPr="005A144C" w:rsidR="00FD4BBA">
        <w:rPr>
          <w:rFonts w:ascii="Century Schoolbook" w:hAnsi="Century Schoolbook"/>
        </w:rPr>
        <w:t xml:space="preserve"> spent by lead counsel</w:t>
      </w:r>
      <w:r w:rsidRPr="005A144C" w:rsidR="009401B4">
        <w:rPr>
          <w:rFonts w:ascii="Century Schoolbook" w:hAnsi="Century Schoolbook"/>
        </w:rPr>
        <w:t xml:space="preserve"> </w:t>
      </w:r>
      <w:r w:rsidRPr="005A144C" w:rsidR="00445130">
        <w:rPr>
          <w:rFonts w:ascii="Century Schoolbook" w:hAnsi="Century Schoolbook"/>
        </w:rPr>
        <w:t>and</w:t>
      </w:r>
      <w:r w:rsidRPr="005A144C" w:rsidR="001B4B73">
        <w:rPr>
          <w:rFonts w:ascii="Century Schoolbook" w:hAnsi="Century Schoolbook"/>
        </w:rPr>
        <w:t xml:space="preserve"> </w:t>
      </w:r>
      <w:r w:rsidRPr="005A144C" w:rsidR="009401B4">
        <w:rPr>
          <w:rFonts w:ascii="Century Schoolbook" w:hAnsi="Century Schoolbook"/>
        </w:rPr>
        <w:t xml:space="preserve">attorneys from </w:t>
      </w:r>
      <w:r w:rsidRPr="005A144C" w:rsidR="00445130">
        <w:rPr>
          <w:rFonts w:ascii="Century Schoolbook" w:hAnsi="Century Schoolbook"/>
        </w:rPr>
        <w:t xml:space="preserve">both </w:t>
      </w:r>
      <w:r w:rsidRPr="005A144C" w:rsidR="00FD4BBA">
        <w:rPr>
          <w:rFonts w:ascii="Century Schoolbook" w:hAnsi="Century Schoolbook"/>
        </w:rPr>
        <w:t xml:space="preserve">Cotchett, </w:t>
      </w:r>
      <w:r w:rsidRPr="005A144C" w:rsidR="0054421F">
        <w:rPr>
          <w:rFonts w:ascii="Century Schoolbook" w:hAnsi="Century Schoolbook"/>
        </w:rPr>
        <w:t xml:space="preserve">Pitre &amp; McCarthy, LLP (Cotchett) </w:t>
      </w:r>
      <w:r w:rsidRPr="005A144C" w:rsidR="00FD4BBA">
        <w:rPr>
          <w:rFonts w:ascii="Century Schoolbook" w:hAnsi="Century Schoolbook"/>
        </w:rPr>
        <w:t>and Housing and Economic</w:t>
      </w:r>
      <w:r w:rsidRPr="005A144C" w:rsidR="00FE5F25">
        <w:rPr>
          <w:rFonts w:ascii="Century Schoolbook" w:hAnsi="Century Schoolbook"/>
        </w:rPr>
        <w:t xml:space="preserve"> Rights Advocates (HERA</w:t>
      </w:r>
      <w:r w:rsidRPr="005A144C" w:rsidR="00B33100">
        <w:rPr>
          <w:rFonts w:ascii="Century Schoolbook" w:hAnsi="Century Schoolbook"/>
        </w:rPr>
        <w:t>)</w:t>
      </w:r>
      <w:r w:rsidRPr="005A144C" w:rsidR="004A204F">
        <w:rPr>
          <w:rFonts w:ascii="Century Schoolbook" w:hAnsi="Century Schoolbook"/>
        </w:rPr>
        <w:t>.</w:t>
      </w:r>
      <w:r w:rsidRPr="005A144C" w:rsidR="00C2474B">
        <w:rPr>
          <w:rFonts w:ascii="Century Schoolbook" w:hAnsi="Century Schoolbook"/>
        </w:rPr>
        <w:t xml:space="preserve"> </w:t>
      </w:r>
      <w:r w:rsidRPr="005A144C" w:rsidR="005C463D">
        <w:rPr>
          <w:rFonts w:ascii="Century Schoolbook" w:hAnsi="Century Schoolbook"/>
        </w:rPr>
        <w:t xml:space="preserve"> </w:t>
      </w:r>
      <w:r w:rsidRPr="005A144C" w:rsidR="009401B4">
        <w:rPr>
          <w:rFonts w:ascii="Century Schoolbook" w:hAnsi="Century Schoolbook"/>
        </w:rPr>
        <w:t>The motion included declarations</w:t>
      </w:r>
      <w:r w:rsidRPr="005A144C" w:rsidR="005A41EE">
        <w:rPr>
          <w:rFonts w:ascii="Century Schoolbook" w:hAnsi="Century Schoolbook"/>
        </w:rPr>
        <w:t xml:space="preserve"> from lead counsel, Cotchett, and HERA </w:t>
      </w:r>
      <w:r w:rsidRPr="005A144C" w:rsidR="001E2A79">
        <w:rPr>
          <w:rFonts w:ascii="Century Schoolbook" w:hAnsi="Century Schoolbook"/>
        </w:rPr>
        <w:t>describing work performed in th</w:t>
      </w:r>
      <w:r w:rsidRPr="005A144C" w:rsidR="009C30BD">
        <w:rPr>
          <w:rFonts w:ascii="Century Schoolbook" w:hAnsi="Century Schoolbook"/>
        </w:rPr>
        <w:t>e</w:t>
      </w:r>
      <w:r w:rsidRPr="005A144C" w:rsidR="001E2A79">
        <w:rPr>
          <w:rFonts w:ascii="Century Schoolbook" w:hAnsi="Century Schoolbook"/>
        </w:rPr>
        <w:t xml:space="preserve"> action</w:t>
      </w:r>
      <w:r w:rsidRPr="005A144C" w:rsidR="005A41EE">
        <w:rPr>
          <w:rFonts w:ascii="Century Schoolbook" w:hAnsi="Century Schoolbook"/>
        </w:rPr>
        <w:t>.</w:t>
      </w:r>
      <w:r w:rsidRPr="005A144C" w:rsidR="001E2A79">
        <w:rPr>
          <w:rFonts w:ascii="Century Schoolbook" w:hAnsi="Century Schoolbook"/>
        </w:rPr>
        <w:t xml:space="preserve"> </w:t>
      </w:r>
      <w:r w:rsidRPr="005A144C" w:rsidR="00B25CE3">
        <w:rPr>
          <w:rFonts w:ascii="Century Schoolbook" w:hAnsi="Century Schoolbook"/>
        </w:rPr>
        <w:t xml:space="preserve"> Declarations from lead counsel and HERA also included time records. </w:t>
      </w:r>
      <w:r w:rsidRPr="005A144C" w:rsidR="00C01B35">
        <w:rPr>
          <w:rFonts w:ascii="Century Schoolbook" w:hAnsi="Century Schoolbook"/>
        </w:rPr>
        <w:t xml:space="preserve"> ALS and the SG defendants opposed the motion.  </w:t>
      </w:r>
      <w:r w:rsidRPr="005A144C" w:rsidR="00522D36">
        <w:rPr>
          <w:rFonts w:ascii="Century Schoolbook" w:hAnsi="Century Schoolbook"/>
        </w:rPr>
        <w:t>Among other things, t</w:t>
      </w:r>
      <w:r w:rsidRPr="005A144C" w:rsidR="00C11FA1">
        <w:rPr>
          <w:rFonts w:ascii="Century Schoolbook" w:hAnsi="Century Schoolbook"/>
        </w:rPr>
        <w:t>he SG defendants</w:t>
      </w:r>
      <w:r w:rsidRPr="005A144C" w:rsidR="00C01B35">
        <w:rPr>
          <w:rFonts w:ascii="Century Schoolbook" w:hAnsi="Century Schoolbook"/>
        </w:rPr>
        <w:t xml:space="preserve"> </w:t>
      </w:r>
      <w:r w:rsidRPr="005A144C" w:rsidR="00214C31">
        <w:rPr>
          <w:rFonts w:ascii="Century Schoolbook" w:hAnsi="Century Schoolbook"/>
        </w:rPr>
        <w:t xml:space="preserve">argued that </w:t>
      </w:r>
      <w:r w:rsidRPr="005A144C" w:rsidR="00522D36">
        <w:rPr>
          <w:rFonts w:ascii="Century Schoolbook" w:hAnsi="Century Schoolbook"/>
        </w:rPr>
        <w:t>the requested fee award</w:t>
      </w:r>
      <w:r w:rsidRPr="005A144C" w:rsidR="00214C31">
        <w:rPr>
          <w:rFonts w:ascii="Century Schoolbook" w:hAnsi="Century Schoolbook"/>
        </w:rPr>
        <w:t xml:space="preserve"> was not reasonable or properly apportioned</w:t>
      </w:r>
      <w:r w:rsidRPr="005A144C" w:rsidR="00C539E9">
        <w:rPr>
          <w:rFonts w:ascii="Century Schoolbook" w:hAnsi="Century Schoolbook"/>
        </w:rPr>
        <w:t xml:space="preserve"> to them</w:t>
      </w:r>
      <w:r w:rsidRPr="005A144C" w:rsidR="00214C31">
        <w:rPr>
          <w:rFonts w:ascii="Century Schoolbook" w:hAnsi="Century Schoolbook"/>
        </w:rPr>
        <w:t xml:space="preserve">. </w:t>
      </w:r>
    </w:p>
    <w:p w:rsidR="00C11FA1" w:rsidRPr="005A144C" w:rsidP="002E22D7" w14:paraId="31C0B6B5" w14:textId="0A01C954">
      <w:pPr>
        <w:spacing w:line="360" w:lineRule="auto"/>
        <w:rPr>
          <w:rFonts w:ascii="Century Schoolbook" w:hAnsi="Century Schoolbook"/>
        </w:rPr>
      </w:pPr>
      <w:r w:rsidRPr="005A144C">
        <w:rPr>
          <w:rFonts w:ascii="Century Schoolbook" w:hAnsi="Century Schoolbook"/>
        </w:rPr>
        <w:tab/>
        <w:t>The court granted class counsel’s motion and awarded</w:t>
      </w:r>
      <w:r w:rsidRPr="005A144C" w:rsidR="00604B26">
        <w:rPr>
          <w:rFonts w:ascii="Century Schoolbook" w:hAnsi="Century Schoolbook"/>
        </w:rPr>
        <w:t xml:space="preserve"> </w:t>
      </w:r>
      <w:r w:rsidRPr="005A144C">
        <w:rPr>
          <w:rFonts w:ascii="Century Schoolbook" w:hAnsi="Century Schoolbook"/>
        </w:rPr>
        <w:t xml:space="preserve">$1,173,816 in fees. </w:t>
      </w:r>
      <w:r w:rsidRPr="005A144C" w:rsidR="006E7139">
        <w:rPr>
          <w:rFonts w:ascii="Century Schoolbook" w:hAnsi="Century Schoolbook"/>
        </w:rPr>
        <w:t xml:space="preserve"> It found that the litigation “conferred a significant benefit on a substantial number of people, including the Class Members in this case and the General Public” and the subject matter “implicated the public interest because it vindicated and enforced important assessment collection provision</w:t>
      </w:r>
      <w:r w:rsidRPr="005A144C" w:rsidR="00533074">
        <w:rPr>
          <w:rFonts w:ascii="Century Schoolbook" w:hAnsi="Century Schoolbook"/>
        </w:rPr>
        <w:t>s</w:t>
      </w:r>
      <w:r w:rsidRPr="005A144C" w:rsidR="006E7139">
        <w:rPr>
          <w:rFonts w:ascii="Century Schoolbook" w:hAnsi="Century Schoolbook"/>
        </w:rPr>
        <w:t xml:space="preserve"> of the Davis-Stirling Act,” including sections 5655(a) and 5720. </w:t>
      </w:r>
    </w:p>
    <w:p w:rsidR="006E7139" w:rsidRPr="005A144C" w:rsidP="002E22D7" w14:paraId="0480DFE1" w14:textId="56A86798">
      <w:pPr>
        <w:spacing w:line="360" w:lineRule="auto"/>
        <w:rPr>
          <w:rFonts w:ascii="Century Schoolbook" w:hAnsi="Century Schoolbook"/>
        </w:rPr>
      </w:pPr>
      <w:r w:rsidRPr="005A144C">
        <w:rPr>
          <w:rFonts w:ascii="Century Schoolbook" w:hAnsi="Century Schoolbook"/>
        </w:rPr>
        <w:tab/>
        <w:t xml:space="preserve">The court found that the hours spent by class counsel were “reasonable, taking into account the history, duration, and context of this litigation, including the issues presented, motions practice, Defendants’ opposition, and the extent of litigation.” </w:t>
      </w:r>
      <w:r w:rsidRPr="005A144C" w:rsidR="00B54B9C">
        <w:rPr>
          <w:rFonts w:ascii="Century Schoolbook" w:hAnsi="Century Schoolbook"/>
        </w:rPr>
        <w:t xml:space="preserve"> It exercised its discretion to apply the 1.25 </w:t>
      </w:r>
      <w:r w:rsidRPr="005A144C" w:rsidR="004136B9">
        <w:rPr>
          <w:rFonts w:ascii="Century Schoolbook" w:hAnsi="Century Schoolbook"/>
        </w:rPr>
        <w:t>multiplier</w:t>
      </w:r>
      <w:r w:rsidRPr="005A144C" w:rsidR="00B54B9C">
        <w:rPr>
          <w:rFonts w:ascii="Century Schoolbook" w:hAnsi="Century Schoolbook"/>
        </w:rPr>
        <w:t xml:space="preserve"> </w:t>
      </w:r>
      <w:r w:rsidRPr="005A144C" w:rsidR="00425DAF">
        <w:rPr>
          <w:rFonts w:ascii="Century Schoolbook" w:hAnsi="Century Schoolbook"/>
        </w:rPr>
        <w:t>upon considering the</w:t>
      </w:r>
      <w:r w:rsidRPr="005A144C" w:rsidR="00B54B9C">
        <w:rPr>
          <w:rFonts w:ascii="Century Schoolbook" w:hAnsi="Century Schoolbook"/>
        </w:rPr>
        <w:t xml:space="preserve"> factors from </w:t>
      </w:r>
      <w:r w:rsidRPr="005A144C" w:rsidR="00B54B9C">
        <w:rPr>
          <w:rFonts w:ascii="Century Schoolbook" w:hAnsi="Century Schoolbook"/>
          <w:i/>
          <w:iCs/>
        </w:rPr>
        <w:t>Serrano v. Priest</w:t>
      </w:r>
      <w:r w:rsidRPr="005A144C" w:rsidR="00B54B9C">
        <w:rPr>
          <w:rFonts w:ascii="Century Schoolbook" w:hAnsi="Century Schoolbook"/>
        </w:rPr>
        <w:t xml:space="preserve"> (1977) 20</w:t>
      </w:r>
      <w:r w:rsidRPr="005A144C" w:rsidR="005E688D">
        <w:rPr>
          <w:rFonts w:ascii="Century Schoolbook" w:hAnsi="Century Schoolbook"/>
        </w:rPr>
        <w:t> </w:t>
      </w:r>
      <w:r w:rsidRPr="005A144C" w:rsidR="00B54B9C">
        <w:rPr>
          <w:rFonts w:ascii="Century Schoolbook" w:hAnsi="Century Schoolbook"/>
        </w:rPr>
        <w:t>Cal.3d 25, including “novelty and difficulty of the questions and skill displayed by Class Counsel in present</w:t>
      </w:r>
      <w:r w:rsidRPr="005A144C" w:rsidR="00533074">
        <w:rPr>
          <w:rFonts w:ascii="Century Schoolbook" w:hAnsi="Century Schoolbook"/>
        </w:rPr>
        <w:t>ing</w:t>
      </w:r>
      <w:r w:rsidRPr="005A144C" w:rsidR="00B54B9C">
        <w:rPr>
          <w:rFonts w:ascii="Century Schoolbook" w:hAnsi="Century Schoolbook"/>
        </w:rPr>
        <w:t xml:space="preserve"> them, and the contingent nature of the fee award.” </w:t>
      </w:r>
    </w:p>
    <w:p w:rsidR="00947CAD" w:rsidRPr="005A144C" w:rsidP="002E22D7" w14:paraId="1716C5B3" w14:textId="69DDE7BB">
      <w:pPr>
        <w:spacing w:line="360" w:lineRule="auto"/>
        <w:rPr>
          <w:rFonts w:ascii="Century Schoolbook" w:hAnsi="Century Schoolbook"/>
          <w:b/>
          <w:bCs/>
        </w:rPr>
      </w:pPr>
      <w:r w:rsidRPr="005A144C">
        <w:rPr>
          <w:rFonts w:ascii="Century Schoolbook" w:hAnsi="Century Schoolbook"/>
        </w:rPr>
        <w:tab/>
      </w:r>
      <w:r w:rsidRPr="005A144C">
        <w:rPr>
          <w:rFonts w:ascii="Century Schoolbook" w:hAnsi="Century Schoolbook"/>
          <w:b/>
          <w:bCs/>
        </w:rPr>
        <w:t xml:space="preserve">2. </w:t>
      </w:r>
      <w:r w:rsidRPr="005A144C" w:rsidR="005E688D">
        <w:rPr>
          <w:rFonts w:ascii="Century Schoolbook" w:hAnsi="Century Schoolbook"/>
          <w:b/>
          <w:bCs/>
        </w:rPr>
        <w:t xml:space="preserve"> </w:t>
      </w:r>
      <w:r w:rsidRPr="005A144C">
        <w:rPr>
          <w:rFonts w:ascii="Century Schoolbook" w:hAnsi="Century Schoolbook"/>
          <w:b/>
          <w:bCs/>
        </w:rPr>
        <w:t>Analysis</w:t>
      </w:r>
    </w:p>
    <w:p w:rsidR="00FD0D44" w:rsidRPr="005A144C" w:rsidP="002E22D7" w14:paraId="03FFE961" w14:textId="022A4BD5">
      <w:pPr>
        <w:spacing w:line="360" w:lineRule="auto"/>
        <w:rPr>
          <w:rFonts w:ascii="Century Schoolbook" w:hAnsi="Century Schoolbook"/>
        </w:rPr>
      </w:pPr>
      <w:r w:rsidRPr="005A144C">
        <w:rPr>
          <w:rFonts w:ascii="Century Schoolbook" w:hAnsi="Century Schoolbook"/>
        </w:rPr>
        <w:tab/>
        <w:t>Code of Civil Procedure section 1021.5 provides</w:t>
      </w:r>
      <w:r w:rsidRPr="005A144C" w:rsidR="00425DAF">
        <w:rPr>
          <w:rFonts w:ascii="Century Schoolbook" w:hAnsi="Century Schoolbook"/>
        </w:rPr>
        <w:t xml:space="preserve"> </w:t>
      </w:r>
      <w:r w:rsidRPr="005A144C">
        <w:rPr>
          <w:rFonts w:ascii="Century Schoolbook" w:hAnsi="Century Schoolbook"/>
        </w:rPr>
        <w:t xml:space="preserve">that a court may award attorney fees to the prevailing party “in any action which has resulted in the enforcement of an important right affecting the public interest if: </w:t>
      </w:r>
      <w:r w:rsidRPr="005A144C" w:rsidR="005156E7">
        <w:rPr>
          <w:rFonts w:ascii="Century Schoolbook" w:hAnsi="Century Schoolbook"/>
        </w:rPr>
        <w:t xml:space="preserve"> </w:t>
      </w:r>
      <w:r w:rsidRPr="005A144C">
        <w:rPr>
          <w:rFonts w:ascii="Century Schoolbook" w:hAnsi="Century Schoolbook"/>
        </w:rPr>
        <w:t>(a) a significant benefit, whether pecuniary or nonpecuniary, has been conferred on the</w:t>
      </w:r>
      <w:r w:rsidRPr="005A144C" w:rsidR="00653597">
        <w:rPr>
          <w:rFonts w:ascii="Century Schoolbook" w:hAnsi="Century Schoolbook"/>
        </w:rPr>
        <w:t xml:space="preserve"> </w:t>
      </w:r>
      <w:r w:rsidRPr="005A144C">
        <w:rPr>
          <w:rFonts w:ascii="Century Schoolbook" w:hAnsi="Century Schoolbook"/>
        </w:rPr>
        <w:t>general public or a large class of persons, (b) the necessity and financial burden of private</w:t>
      </w:r>
      <w:r w:rsidRPr="005A144C" w:rsidR="00653597">
        <w:rPr>
          <w:rFonts w:ascii="Century Schoolbook" w:hAnsi="Century Schoolbook"/>
        </w:rPr>
        <w:t xml:space="preserve"> </w:t>
      </w:r>
      <w:r w:rsidRPr="005A144C">
        <w:rPr>
          <w:rFonts w:ascii="Century Schoolbook" w:hAnsi="Century Schoolbook"/>
        </w:rPr>
        <w:t>enforcement, or of enforcement by one public entity against another public entity, are such</w:t>
      </w:r>
      <w:r w:rsidRPr="005A144C" w:rsidR="00653597">
        <w:rPr>
          <w:rFonts w:ascii="Century Schoolbook" w:hAnsi="Century Schoolbook"/>
        </w:rPr>
        <w:t xml:space="preserve"> </w:t>
      </w:r>
      <w:r w:rsidRPr="005A144C">
        <w:rPr>
          <w:rFonts w:ascii="Century Schoolbook" w:hAnsi="Century Schoolbook"/>
        </w:rPr>
        <w:t>as to make the award appropriate, and (c) such fees should not in the interest of justice be</w:t>
      </w:r>
    </w:p>
    <w:p w:rsidR="00FD0D44" w:rsidRPr="005A144C" w:rsidP="002E22D7" w14:paraId="10C3C2A3" w14:textId="60A5BDFC">
      <w:pPr>
        <w:spacing w:line="360" w:lineRule="auto"/>
        <w:rPr>
          <w:rFonts w:ascii="Century Schoolbook" w:hAnsi="Century Schoolbook"/>
        </w:rPr>
      </w:pPr>
      <w:r w:rsidRPr="005A144C">
        <w:rPr>
          <w:rFonts w:ascii="Century Schoolbook" w:hAnsi="Century Schoolbook"/>
        </w:rPr>
        <w:t>paid out of the recovery, if any</w:t>
      </w:r>
      <w:r w:rsidRPr="005A144C" w:rsidR="00653597">
        <w:rPr>
          <w:rFonts w:ascii="Century Schoolbook" w:hAnsi="Century Schoolbook"/>
        </w:rPr>
        <w:t>.”</w:t>
      </w:r>
    </w:p>
    <w:p w:rsidR="004440A9" w:rsidRPr="005A144C" w:rsidP="002E22D7" w14:paraId="67976CDF" w14:textId="1DEF7200">
      <w:pPr>
        <w:spacing w:line="360" w:lineRule="auto"/>
        <w:rPr>
          <w:rFonts w:ascii="Century Schoolbook" w:hAnsi="Century Schoolbook"/>
        </w:rPr>
      </w:pPr>
      <w:r w:rsidRPr="005A144C">
        <w:rPr>
          <w:rFonts w:ascii="Century Schoolbook" w:hAnsi="Century Schoolbook"/>
        </w:rPr>
        <w:tab/>
      </w:r>
      <w:r w:rsidRPr="005A144C" w:rsidR="00137B73">
        <w:rPr>
          <w:rFonts w:ascii="Century Schoolbook" w:hAnsi="Century Schoolbook"/>
        </w:rPr>
        <w:t>Here, t</w:t>
      </w:r>
      <w:r w:rsidRPr="005A144C">
        <w:rPr>
          <w:rFonts w:ascii="Century Schoolbook" w:hAnsi="Century Schoolbook"/>
        </w:rPr>
        <w:t xml:space="preserve">he SG defendants challenge the trial court’s </w:t>
      </w:r>
      <w:r w:rsidRPr="005A144C" w:rsidR="003621D5">
        <w:rPr>
          <w:rFonts w:ascii="Century Schoolbook" w:hAnsi="Century Schoolbook"/>
        </w:rPr>
        <w:t>finding</w:t>
      </w:r>
      <w:r w:rsidRPr="005A144C" w:rsidR="0021321B">
        <w:rPr>
          <w:rFonts w:ascii="Century Schoolbook" w:hAnsi="Century Schoolbook"/>
        </w:rPr>
        <w:t xml:space="preserve"> </w:t>
      </w:r>
      <w:r w:rsidRPr="005A144C" w:rsidR="00514A9E">
        <w:rPr>
          <w:rFonts w:ascii="Century Schoolbook" w:hAnsi="Century Schoolbook"/>
        </w:rPr>
        <w:t xml:space="preserve">on the first </w:t>
      </w:r>
      <w:r w:rsidRPr="005A144C" w:rsidR="00B45946">
        <w:rPr>
          <w:rFonts w:ascii="Century Schoolbook" w:hAnsi="Century Schoolbook"/>
        </w:rPr>
        <w:t>prong</w:t>
      </w:r>
      <w:r w:rsidRPr="005A144C" w:rsidR="0088277C">
        <w:rPr>
          <w:rFonts w:ascii="Century Schoolbook" w:hAnsi="Century Schoolbook"/>
        </w:rPr>
        <w:t xml:space="preserve"> of this provision</w:t>
      </w:r>
      <w:r w:rsidRPr="005A144C" w:rsidR="0021321B">
        <w:rPr>
          <w:rFonts w:ascii="Century Schoolbook" w:hAnsi="Century Schoolbook"/>
        </w:rPr>
        <w:t xml:space="preserve">:  </w:t>
      </w:r>
      <w:r w:rsidRPr="005A144C" w:rsidR="00514A9E">
        <w:rPr>
          <w:rFonts w:ascii="Century Schoolbook" w:hAnsi="Century Schoolbook"/>
        </w:rPr>
        <w:t xml:space="preserve">that the action conferred a </w:t>
      </w:r>
      <w:r w:rsidRPr="005A144C" w:rsidR="00C04412">
        <w:rPr>
          <w:rFonts w:ascii="Century Schoolbook" w:hAnsi="Century Schoolbook"/>
        </w:rPr>
        <w:t>significant benefit on the general public or a large class of persons.</w:t>
      </w:r>
      <w:r w:rsidRPr="005A144C" w:rsidR="00603B23">
        <w:rPr>
          <w:rFonts w:ascii="Century Schoolbook" w:hAnsi="Century Schoolbook"/>
        </w:rPr>
        <w:t xml:space="preserve">  We review </w:t>
      </w:r>
      <w:r w:rsidRPr="005A144C" w:rsidR="000C5130">
        <w:rPr>
          <w:rFonts w:ascii="Century Schoolbook" w:hAnsi="Century Schoolbook"/>
        </w:rPr>
        <w:t xml:space="preserve">this </w:t>
      </w:r>
      <w:r w:rsidRPr="005A144C" w:rsidR="00FC3DBD">
        <w:rPr>
          <w:rFonts w:ascii="Century Schoolbook" w:hAnsi="Century Schoolbook"/>
        </w:rPr>
        <w:t>finding</w:t>
      </w:r>
      <w:r w:rsidRPr="005A144C" w:rsidR="000C5130">
        <w:rPr>
          <w:rFonts w:ascii="Century Schoolbook" w:hAnsi="Century Schoolbook"/>
        </w:rPr>
        <w:t xml:space="preserve"> for abuse of discretion.  (See </w:t>
      </w:r>
      <w:r w:rsidRPr="005A144C" w:rsidR="000C5130">
        <w:rPr>
          <w:rFonts w:ascii="Century Schoolbook" w:hAnsi="Century Schoolbook"/>
          <w:i/>
          <w:iCs/>
        </w:rPr>
        <w:t>Conservatorship of Whitley</w:t>
      </w:r>
      <w:r w:rsidRPr="005A144C" w:rsidR="000C5130">
        <w:rPr>
          <w:rFonts w:ascii="Century Schoolbook" w:hAnsi="Century Schoolbook"/>
        </w:rPr>
        <w:t xml:space="preserve"> (2010) 50</w:t>
      </w:r>
      <w:r w:rsidRPr="005A144C" w:rsidR="00754DFF">
        <w:rPr>
          <w:rFonts w:ascii="Century Schoolbook" w:hAnsi="Century Schoolbook"/>
        </w:rPr>
        <w:t> </w:t>
      </w:r>
      <w:r w:rsidRPr="005A144C" w:rsidR="000C5130">
        <w:rPr>
          <w:rFonts w:ascii="Century Schoolbook" w:hAnsi="Century Schoolbook"/>
        </w:rPr>
        <w:t>Cal.4th 1206, 1213 [</w:t>
      </w:r>
      <w:r w:rsidRPr="005A144C" w:rsidR="005D4792">
        <w:rPr>
          <w:rFonts w:ascii="Century Schoolbook" w:hAnsi="Century Schoolbook"/>
        </w:rPr>
        <w:t>determination</w:t>
      </w:r>
      <w:r w:rsidRPr="005A144C" w:rsidR="000C5130">
        <w:rPr>
          <w:rFonts w:ascii="Century Schoolbook" w:hAnsi="Century Schoolbook"/>
        </w:rPr>
        <w:t xml:space="preserve"> to award fees under </w:t>
      </w:r>
      <w:r w:rsidRPr="005A144C" w:rsidR="00754DFF">
        <w:rPr>
          <w:rFonts w:ascii="Century Schoolbook" w:hAnsi="Century Schoolbook"/>
        </w:rPr>
        <w:t>Code Civ. Proc.</w:t>
      </w:r>
      <w:r w:rsidRPr="005A144C" w:rsidR="00A41048">
        <w:rPr>
          <w:rFonts w:ascii="Century Schoolbook" w:hAnsi="Century Schoolbook"/>
        </w:rPr>
        <w:t>, § </w:t>
      </w:r>
      <w:r w:rsidRPr="005A144C" w:rsidR="000C5130">
        <w:rPr>
          <w:rFonts w:ascii="Century Schoolbook" w:hAnsi="Century Schoolbook"/>
        </w:rPr>
        <w:t>102</w:t>
      </w:r>
      <w:r w:rsidRPr="005A144C" w:rsidR="00E55D6E">
        <w:rPr>
          <w:rFonts w:ascii="Century Schoolbook" w:hAnsi="Century Schoolbook"/>
        </w:rPr>
        <w:t>1</w:t>
      </w:r>
      <w:r w:rsidRPr="005A144C" w:rsidR="000C5130">
        <w:rPr>
          <w:rFonts w:ascii="Century Schoolbook" w:hAnsi="Century Schoolbook"/>
        </w:rPr>
        <w:t>.5 reviewed for abuse of discretion where</w:t>
      </w:r>
      <w:r w:rsidRPr="005A144C" w:rsidR="00603B23">
        <w:rPr>
          <w:rFonts w:ascii="Century Schoolbook" w:hAnsi="Century Schoolbook"/>
        </w:rPr>
        <w:t xml:space="preserve"> </w:t>
      </w:r>
      <w:r w:rsidRPr="005A144C" w:rsidR="000C5130">
        <w:rPr>
          <w:rFonts w:ascii="Century Schoolbook" w:hAnsi="Century Schoolbook"/>
        </w:rPr>
        <w:t xml:space="preserve">appeal turns on factual findings </w:t>
      </w:r>
      <w:r w:rsidRPr="005A144C" w:rsidR="00374038">
        <w:rPr>
          <w:rFonts w:ascii="Century Schoolbook" w:hAnsi="Century Schoolbook"/>
        </w:rPr>
        <w:t xml:space="preserve">or exercise of discretion </w:t>
      </w:r>
      <w:r w:rsidRPr="005A144C" w:rsidR="000C5130">
        <w:rPr>
          <w:rFonts w:ascii="Century Schoolbook" w:hAnsi="Century Schoolbook"/>
        </w:rPr>
        <w:t>rather than questions of law].)</w:t>
      </w:r>
    </w:p>
    <w:p w:rsidR="00C04412" w:rsidRPr="005A144C" w:rsidP="002E22D7" w14:paraId="70A4C4FF" w14:textId="00877B29">
      <w:pPr>
        <w:spacing w:line="360" w:lineRule="auto"/>
        <w:rPr>
          <w:rFonts w:ascii="Century Schoolbook" w:hAnsi="Century Schoolbook"/>
        </w:rPr>
      </w:pPr>
      <w:r w:rsidRPr="005A144C">
        <w:rPr>
          <w:rFonts w:ascii="Century Schoolbook" w:hAnsi="Century Schoolbook"/>
        </w:rPr>
        <w:tab/>
        <w:t xml:space="preserve">We find no such abuse of discretion here.  </w:t>
      </w:r>
      <w:r w:rsidRPr="005A144C" w:rsidR="00114723">
        <w:rPr>
          <w:rFonts w:ascii="Century Schoolbook" w:hAnsi="Century Schoolbook"/>
        </w:rPr>
        <w:t xml:space="preserve">The SG defendants focus on </w:t>
      </w:r>
      <w:r w:rsidRPr="005A144C" w:rsidR="00785137">
        <w:rPr>
          <w:rFonts w:ascii="Century Schoolbook" w:hAnsi="Century Schoolbook"/>
        </w:rPr>
        <w:t>the</w:t>
      </w:r>
      <w:r w:rsidRPr="005A144C" w:rsidR="00AC185F">
        <w:rPr>
          <w:rFonts w:ascii="Century Schoolbook" w:hAnsi="Century Schoolbook"/>
        </w:rPr>
        <w:t xml:space="preserve"> minimal financial gain from dividing the</w:t>
      </w:r>
      <w:r w:rsidRPr="005A144C" w:rsidR="00114723">
        <w:rPr>
          <w:rFonts w:ascii="Century Schoolbook" w:hAnsi="Century Schoolbook"/>
        </w:rPr>
        <w:t xml:space="preserve"> restitution award</w:t>
      </w:r>
      <w:r w:rsidRPr="005A144C" w:rsidR="00365557">
        <w:rPr>
          <w:rFonts w:ascii="Century Schoolbook" w:hAnsi="Century Schoolbook"/>
        </w:rPr>
        <w:t xml:space="preserve"> </w:t>
      </w:r>
      <w:r w:rsidRPr="005A144C" w:rsidR="00785137">
        <w:rPr>
          <w:rFonts w:ascii="Century Schoolbook" w:hAnsi="Century Schoolbook"/>
        </w:rPr>
        <w:t xml:space="preserve">of $156,783 </w:t>
      </w:r>
      <w:r w:rsidRPr="005A144C" w:rsidR="00365557">
        <w:rPr>
          <w:rFonts w:ascii="Century Schoolbook" w:hAnsi="Century Schoolbook"/>
        </w:rPr>
        <w:t>over 6,000 class members</w:t>
      </w:r>
      <w:r w:rsidRPr="005A144C" w:rsidR="00FC1BF1">
        <w:rPr>
          <w:rFonts w:ascii="Century Schoolbook" w:hAnsi="Century Schoolbook"/>
        </w:rPr>
        <w:t>, b</w:t>
      </w:r>
      <w:r w:rsidRPr="005A144C" w:rsidR="00776770">
        <w:rPr>
          <w:rFonts w:ascii="Century Schoolbook" w:hAnsi="Century Schoolbook"/>
        </w:rPr>
        <w:t xml:space="preserve">ut </w:t>
      </w:r>
      <w:r w:rsidRPr="005A144C" w:rsidR="00FC1BF1">
        <w:rPr>
          <w:rFonts w:ascii="Century Schoolbook" w:hAnsi="Century Schoolbook"/>
        </w:rPr>
        <w:t>ig</w:t>
      </w:r>
      <w:r w:rsidRPr="005A144C" w:rsidR="001A52EB">
        <w:rPr>
          <w:rFonts w:ascii="Century Schoolbook" w:hAnsi="Century Schoolbook"/>
        </w:rPr>
        <w:t xml:space="preserve">nore the other benefits </w:t>
      </w:r>
      <w:r w:rsidRPr="005A144C" w:rsidR="00C936E6">
        <w:rPr>
          <w:rFonts w:ascii="Century Schoolbook" w:hAnsi="Century Schoolbook"/>
        </w:rPr>
        <w:t>achieved by the action.</w:t>
      </w:r>
      <w:r w:rsidRPr="005A144C" w:rsidR="00DB19A4">
        <w:rPr>
          <w:rFonts w:ascii="Century Schoolbook" w:hAnsi="Century Schoolbook"/>
        </w:rPr>
        <w:t xml:space="preserve">  </w:t>
      </w:r>
      <w:r w:rsidRPr="005A144C" w:rsidR="003E7E8A">
        <w:rPr>
          <w:rFonts w:ascii="Century Schoolbook" w:hAnsi="Century Schoolbook"/>
        </w:rPr>
        <w:t>(</w:t>
      </w:r>
      <w:r w:rsidRPr="005A144C" w:rsidR="00DB19A4">
        <w:rPr>
          <w:rFonts w:ascii="Century Schoolbook" w:hAnsi="Century Schoolbook"/>
        </w:rPr>
        <w:t xml:space="preserve">See </w:t>
      </w:r>
      <w:r w:rsidRPr="005A144C" w:rsidR="003E7E8A">
        <w:rPr>
          <w:rFonts w:ascii="Century Schoolbook" w:hAnsi="Century Schoolbook"/>
          <w:i/>
          <w:iCs/>
        </w:rPr>
        <w:t>City of Oakland v. Oakland Police &amp; Fire Retirement System</w:t>
      </w:r>
      <w:r w:rsidRPr="005A144C" w:rsidR="003E7E8A">
        <w:rPr>
          <w:rFonts w:ascii="Century Schoolbook" w:hAnsi="Century Schoolbook"/>
        </w:rPr>
        <w:t xml:space="preserve"> (2018) 29 Cal.App.5th 688, 700</w:t>
      </w:r>
      <w:r w:rsidRPr="005A144C" w:rsidR="00D35CFD">
        <w:rPr>
          <w:rFonts w:ascii="Century Schoolbook" w:hAnsi="Century Schoolbook"/>
        </w:rPr>
        <w:t xml:space="preserve"> [explaining </w:t>
      </w:r>
      <w:r w:rsidRPr="005A144C" w:rsidR="004058D9">
        <w:rPr>
          <w:rFonts w:ascii="Century Schoolbook" w:hAnsi="Century Schoolbook"/>
        </w:rPr>
        <w:t xml:space="preserve">that </w:t>
      </w:r>
      <w:r w:rsidRPr="005A144C" w:rsidR="00D35CFD">
        <w:rPr>
          <w:rFonts w:ascii="Century Schoolbook" w:hAnsi="Century Schoolbook"/>
        </w:rPr>
        <w:t xml:space="preserve">considerations beyond </w:t>
      </w:r>
      <w:r w:rsidRPr="005A144C" w:rsidR="00785137">
        <w:rPr>
          <w:rFonts w:ascii="Century Schoolbook" w:hAnsi="Century Schoolbook"/>
        </w:rPr>
        <w:t xml:space="preserve">prevailing party </w:t>
      </w:r>
      <w:r w:rsidRPr="005A144C" w:rsidR="00D35CFD">
        <w:rPr>
          <w:rFonts w:ascii="Century Schoolbook" w:hAnsi="Century Schoolbook"/>
        </w:rPr>
        <w:t>financial benefit may be relevant].)</w:t>
      </w:r>
      <w:r w:rsidRPr="005A144C" w:rsidR="00034CDA">
        <w:rPr>
          <w:rFonts w:ascii="Century Schoolbook" w:hAnsi="Century Schoolbook"/>
        </w:rPr>
        <w:t xml:space="preserve">  The judgment included </w:t>
      </w:r>
      <w:r w:rsidRPr="005A144C" w:rsidR="00857450">
        <w:rPr>
          <w:rFonts w:ascii="Century Schoolbook" w:hAnsi="Century Schoolbook"/>
        </w:rPr>
        <w:t>not only restitution</w:t>
      </w:r>
      <w:r w:rsidRPr="005A144C" w:rsidR="00F7098B">
        <w:rPr>
          <w:rFonts w:ascii="Century Schoolbook" w:hAnsi="Century Schoolbook"/>
        </w:rPr>
        <w:t>,</w:t>
      </w:r>
      <w:r w:rsidRPr="005A144C" w:rsidR="00857450">
        <w:rPr>
          <w:rFonts w:ascii="Century Schoolbook" w:hAnsi="Century Schoolbook"/>
        </w:rPr>
        <w:t xml:space="preserve"> but </w:t>
      </w:r>
      <w:r w:rsidRPr="005A144C" w:rsidR="00114723">
        <w:rPr>
          <w:rFonts w:ascii="Century Schoolbook" w:hAnsi="Century Schoolbook"/>
        </w:rPr>
        <w:t>injunctive relief</w:t>
      </w:r>
      <w:r w:rsidRPr="005A144C" w:rsidR="00C50205">
        <w:rPr>
          <w:rFonts w:ascii="Century Schoolbook" w:hAnsi="Century Schoolbook"/>
        </w:rPr>
        <w:t xml:space="preserve"> </w:t>
      </w:r>
      <w:r w:rsidRPr="005A144C" w:rsidR="00081EFD">
        <w:rPr>
          <w:rFonts w:ascii="Century Schoolbook" w:hAnsi="Century Schoolbook"/>
        </w:rPr>
        <w:t>prohibiting ALS from certain</w:t>
      </w:r>
      <w:r w:rsidRPr="005A144C" w:rsidR="00C70B81">
        <w:rPr>
          <w:rFonts w:ascii="Century Schoolbook" w:hAnsi="Century Schoolbook"/>
        </w:rPr>
        <w:t xml:space="preserve"> </w:t>
      </w:r>
      <w:r w:rsidRPr="005A144C" w:rsidR="00081EFD">
        <w:rPr>
          <w:rFonts w:ascii="Century Schoolbook" w:hAnsi="Century Schoolbook"/>
        </w:rPr>
        <w:t xml:space="preserve">practices and requiring it </w:t>
      </w:r>
      <w:r w:rsidRPr="005A144C" w:rsidR="004058D9">
        <w:rPr>
          <w:rFonts w:ascii="Century Schoolbook" w:hAnsi="Century Schoolbook"/>
        </w:rPr>
        <w:t xml:space="preserve">to </w:t>
      </w:r>
      <w:r w:rsidRPr="005A144C" w:rsidR="00081EFD">
        <w:rPr>
          <w:rFonts w:ascii="Century Schoolbook" w:hAnsi="Century Schoolbook"/>
        </w:rPr>
        <w:t xml:space="preserve">recalculate balances on </w:t>
      </w:r>
      <w:r w:rsidRPr="005A144C" w:rsidR="00081EFD">
        <w:rPr>
          <w:rFonts w:ascii="Century Schoolbook" w:hAnsi="Century Schoolbook"/>
          <w:i/>
          <w:iCs/>
        </w:rPr>
        <w:t>all</w:t>
      </w:r>
      <w:r w:rsidRPr="005A144C" w:rsidR="00081EFD">
        <w:rPr>
          <w:rFonts w:ascii="Century Schoolbook" w:hAnsi="Century Schoolbook"/>
        </w:rPr>
        <w:t xml:space="preserve"> open accounts</w:t>
      </w:r>
      <w:r w:rsidRPr="005A144C" w:rsidR="00114723">
        <w:rPr>
          <w:rFonts w:ascii="Century Schoolbook" w:hAnsi="Century Schoolbook"/>
        </w:rPr>
        <w:t>.</w:t>
      </w:r>
      <w:r w:rsidRPr="005A144C" w:rsidR="00144C20">
        <w:rPr>
          <w:rFonts w:ascii="Century Schoolbook" w:hAnsi="Century Schoolbook"/>
        </w:rPr>
        <w:t xml:space="preserve"> </w:t>
      </w:r>
      <w:r w:rsidRPr="005A144C" w:rsidR="00114723">
        <w:rPr>
          <w:rFonts w:ascii="Century Schoolbook" w:hAnsi="Century Schoolbook"/>
        </w:rPr>
        <w:t xml:space="preserve"> </w:t>
      </w:r>
      <w:r w:rsidRPr="005A144C" w:rsidR="00B92B20">
        <w:rPr>
          <w:rFonts w:ascii="Century Schoolbook" w:hAnsi="Century Schoolbook"/>
        </w:rPr>
        <w:t>More</w:t>
      </w:r>
      <w:r w:rsidRPr="005A144C" w:rsidR="00682FCD">
        <w:rPr>
          <w:rFonts w:ascii="Century Schoolbook" w:hAnsi="Century Schoolbook"/>
        </w:rPr>
        <w:t xml:space="preserve"> importantly</w:t>
      </w:r>
      <w:r w:rsidRPr="005A144C" w:rsidR="00114723">
        <w:rPr>
          <w:rFonts w:ascii="Century Schoolbook" w:hAnsi="Century Schoolbook"/>
        </w:rPr>
        <w:t xml:space="preserve">, </w:t>
      </w:r>
      <w:r w:rsidRPr="005A144C" w:rsidR="00C53D33">
        <w:rPr>
          <w:rFonts w:ascii="Century Schoolbook" w:hAnsi="Century Schoolbook"/>
        </w:rPr>
        <w:t xml:space="preserve">the action conferred a significant public </w:t>
      </w:r>
      <w:r w:rsidRPr="005A144C" w:rsidR="00114723">
        <w:rPr>
          <w:rFonts w:ascii="Century Schoolbook" w:hAnsi="Century Schoolbook"/>
        </w:rPr>
        <w:t>benefit because</w:t>
      </w:r>
      <w:r w:rsidRPr="005A144C" w:rsidR="001C5DD9">
        <w:rPr>
          <w:rFonts w:ascii="Century Schoolbook" w:hAnsi="Century Schoolbook"/>
        </w:rPr>
        <w:t>, as detailed above,</w:t>
      </w:r>
      <w:r w:rsidRPr="005A144C" w:rsidR="00114723">
        <w:rPr>
          <w:rFonts w:ascii="Century Schoolbook" w:hAnsi="Century Schoolbook"/>
        </w:rPr>
        <w:t xml:space="preserve"> it vindicated important </w:t>
      </w:r>
      <w:r w:rsidRPr="005A144C" w:rsidR="009F46E1">
        <w:rPr>
          <w:rFonts w:ascii="Century Schoolbook" w:hAnsi="Century Schoolbook"/>
        </w:rPr>
        <w:t>homeowner rights under</w:t>
      </w:r>
      <w:r w:rsidRPr="005A144C" w:rsidR="00114723">
        <w:rPr>
          <w:rFonts w:ascii="Century Schoolbook" w:hAnsi="Century Schoolbook"/>
        </w:rPr>
        <w:t xml:space="preserve"> sections</w:t>
      </w:r>
      <w:r w:rsidRPr="005A144C" w:rsidR="00E21D1A">
        <w:rPr>
          <w:rFonts w:ascii="Century Schoolbook" w:hAnsi="Century Schoolbook"/>
        </w:rPr>
        <w:t> </w:t>
      </w:r>
      <w:r w:rsidRPr="005A144C" w:rsidR="00114723">
        <w:rPr>
          <w:rFonts w:ascii="Century Schoolbook" w:hAnsi="Century Schoolbook"/>
        </w:rPr>
        <w:t xml:space="preserve">5655(a) and 5720. </w:t>
      </w:r>
    </w:p>
    <w:p w:rsidR="00D02ABF" w:rsidRPr="005A144C" w:rsidP="002E22D7" w14:paraId="3AF8BA3D" w14:textId="30985E57">
      <w:pPr>
        <w:spacing w:line="360" w:lineRule="auto"/>
        <w:rPr>
          <w:rFonts w:ascii="Century Schoolbook" w:hAnsi="Century Schoolbook"/>
        </w:rPr>
      </w:pPr>
      <w:r w:rsidRPr="005A144C">
        <w:rPr>
          <w:rFonts w:ascii="Century Schoolbook" w:hAnsi="Century Schoolbook"/>
        </w:rPr>
        <w:tab/>
        <w:t xml:space="preserve">Nor are we persuaded by the SG defendants’ </w:t>
      </w:r>
      <w:r w:rsidRPr="005A144C" w:rsidR="00080798">
        <w:rPr>
          <w:rFonts w:ascii="Century Schoolbook" w:hAnsi="Century Schoolbook"/>
        </w:rPr>
        <w:t xml:space="preserve">arguments </w:t>
      </w:r>
      <w:r w:rsidRPr="005A144C" w:rsidR="00A31D45">
        <w:rPr>
          <w:rFonts w:ascii="Century Schoolbook" w:hAnsi="Century Schoolbook"/>
        </w:rPr>
        <w:t>challenging</w:t>
      </w:r>
      <w:r w:rsidRPr="005A144C" w:rsidR="00080798">
        <w:rPr>
          <w:rFonts w:ascii="Century Schoolbook" w:hAnsi="Century Schoolbook"/>
        </w:rPr>
        <w:t xml:space="preserve"> the </w:t>
      </w:r>
      <w:r w:rsidRPr="005A144C" w:rsidR="00080798">
        <w:rPr>
          <w:rFonts w:ascii="Century Schoolbook" w:hAnsi="Century Schoolbook"/>
          <w:i/>
          <w:iCs/>
        </w:rPr>
        <w:t>amount</w:t>
      </w:r>
      <w:r w:rsidRPr="005A144C" w:rsidR="00080798">
        <w:rPr>
          <w:rFonts w:ascii="Century Schoolbook" w:hAnsi="Century Schoolbook"/>
        </w:rPr>
        <w:t xml:space="preserve"> of attorney fees awarded here.</w:t>
      </w:r>
      <w:r w:rsidRPr="005A144C" w:rsidR="00C61B67">
        <w:rPr>
          <w:rFonts w:ascii="Century Schoolbook" w:hAnsi="Century Schoolbook"/>
        </w:rPr>
        <w:t xml:space="preserve">  </w:t>
      </w:r>
      <w:r w:rsidRPr="005A144C" w:rsidR="00CF3D7D">
        <w:rPr>
          <w:rFonts w:ascii="Century Schoolbook" w:hAnsi="Century Schoolbook"/>
        </w:rPr>
        <w:t>(</w:t>
      </w:r>
      <w:r w:rsidRPr="005A144C" w:rsidR="00CD4CFD">
        <w:rPr>
          <w:rFonts w:ascii="Century Schoolbook" w:hAnsi="Century Schoolbook"/>
          <w:i/>
          <w:iCs/>
        </w:rPr>
        <w:t>Robles v. Employment Development Dept.</w:t>
      </w:r>
      <w:r w:rsidRPr="005A144C" w:rsidR="00CF3D7D">
        <w:rPr>
          <w:rFonts w:ascii="Century Schoolbook" w:hAnsi="Century Schoolbook"/>
        </w:rPr>
        <w:t xml:space="preserve"> (</w:t>
      </w:r>
      <w:r w:rsidRPr="005A144C" w:rsidR="00CD4CFD">
        <w:rPr>
          <w:rFonts w:ascii="Century Schoolbook" w:hAnsi="Century Schoolbook"/>
        </w:rPr>
        <w:t>2019</w:t>
      </w:r>
      <w:r w:rsidRPr="005A144C" w:rsidR="00CF3D7D">
        <w:rPr>
          <w:rFonts w:ascii="Century Schoolbook" w:hAnsi="Century Schoolbook"/>
        </w:rPr>
        <w:t xml:space="preserve">) </w:t>
      </w:r>
      <w:r w:rsidRPr="005A144C" w:rsidR="00CD4CFD">
        <w:rPr>
          <w:rFonts w:ascii="Century Schoolbook" w:hAnsi="Century Schoolbook"/>
        </w:rPr>
        <w:t>38</w:t>
      </w:r>
      <w:r w:rsidRPr="005A144C" w:rsidR="00CF3D7D">
        <w:rPr>
          <w:rFonts w:ascii="Century Schoolbook" w:hAnsi="Century Schoolbook"/>
        </w:rPr>
        <w:t xml:space="preserve"> Cal.App.5th </w:t>
      </w:r>
      <w:r w:rsidRPr="005A144C" w:rsidR="00CD4CFD">
        <w:rPr>
          <w:rFonts w:ascii="Century Schoolbook" w:hAnsi="Century Schoolbook"/>
        </w:rPr>
        <w:t>191, 199</w:t>
      </w:r>
      <w:r w:rsidRPr="005A144C" w:rsidR="00CF3D7D">
        <w:rPr>
          <w:rFonts w:ascii="Century Schoolbook" w:hAnsi="Century Schoolbook"/>
        </w:rPr>
        <w:t xml:space="preserve"> [amount of fees </w:t>
      </w:r>
      <w:r w:rsidRPr="005A144C" w:rsidR="00CD4CFD">
        <w:rPr>
          <w:rFonts w:ascii="Century Schoolbook" w:hAnsi="Century Schoolbook"/>
        </w:rPr>
        <w:t xml:space="preserve">awarded under </w:t>
      </w:r>
      <w:r w:rsidRPr="005A144C" w:rsidR="003863B4">
        <w:rPr>
          <w:rFonts w:ascii="Century Schoolbook" w:hAnsi="Century Schoolbook"/>
        </w:rPr>
        <w:t>Code Civ. Proc., § </w:t>
      </w:r>
      <w:r w:rsidRPr="005A144C" w:rsidR="00CD4CFD">
        <w:rPr>
          <w:rFonts w:ascii="Century Schoolbook" w:hAnsi="Century Schoolbook"/>
        </w:rPr>
        <w:t xml:space="preserve">1021.5 </w:t>
      </w:r>
      <w:r w:rsidRPr="005A144C" w:rsidR="00CF3D7D">
        <w:rPr>
          <w:rFonts w:ascii="Century Schoolbook" w:hAnsi="Century Schoolbook"/>
        </w:rPr>
        <w:t xml:space="preserve">reviewed for abuse of discretion].)  </w:t>
      </w:r>
      <w:r w:rsidRPr="005A144C" w:rsidR="00080798">
        <w:rPr>
          <w:rFonts w:ascii="Century Schoolbook" w:hAnsi="Century Schoolbook"/>
        </w:rPr>
        <w:t>First, the SG defendants argue</w:t>
      </w:r>
      <w:r w:rsidRPr="005A144C" w:rsidR="00FD4BAF">
        <w:rPr>
          <w:rFonts w:ascii="Century Schoolbook" w:hAnsi="Century Schoolbook"/>
        </w:rPr>
        <w:t xml:space="preserve"> that </w:t>
      </w:r>
      <w:r w:rsidRPr="005A144C">
        <w:rPr>
          <w:rFonts w:ascii="Century Schoolbook" w:hAnsi="Century Schoolbook"/>
        </w:rPr>
        <w:t xml:space="preserve">Cotchett and HERA did not provide “detailed billing” in support of their request. </w:t>
      </w:r>
      <w:r w:rsidRPr="005A144C" w:rsidR="00956343">
        <w:rPr>
          <w:rFonts w:ascii="Century Schoolbook" w:hAnsi="Century Schoolbook"/>
        </w:rPr>
        <w:t xml:space="preserve"> </w:t>
      </w:r>
      <w:r w:rsidRPr="005A144C" w:rsidR="003C1D07">
        <w:rPr>
          <w:rFonts w:ascii="Century Schoolbook" w:hAnsi="Century Schoolbook"/>
        </w:rPr>
        <w:t>“</w:t>
      </w:r>
      <w:r w:rsidRPr="005A144C" w:rsidR="000F5DD4">
        <w:rPr>
          <w:rFonts w:ascii="Century Schoolbook" w:hAnsi="Century Schoolbook"/>
        </w:rPr>
        <w:t> </w:t>
      </w:r>
      <w:r w:rsidRPr="005A144C" w:rsidR="00AD2A27">
        <w:rPr>
          <w:rFonts w:ascii="Century Schoolbook" w:hAnsi="Century Schoolbook"/>
        </w:rPr>
        <w:t>‘</w:t>
      </w:r>
      <w:r w:rsidRPr="005A144C" w:rsidR="003C1D07">
        <w:rPr>
          <w:rFonts w:ascii="Century Schoolbook" w:hAnsi="Century Schoolbook"/>
        </w:rPr>
        <w:t>California courts do not require detailed time records, and trial courts have discretion to award fees based on</w:t>
      </w:r>
      <w:r w:rsidRPr="005A144C" w:rsidR="000F5DD4">
        <w:rPr>
          <w:rFonts w:ascii="Century Schoolbook" w:hAnsi="Century Schoolbook"/>
        </w:rPr>
        <w:t xml:space="preserve"> </w:t>
      </w:r>
      <w:r w:rsidRPr="005A144C" w:rsidR="003C1D07">
        <w:rPr>
          <w:rFonts w:ascii="Century Schoolbook" w:hAnsi="Century Schoolbook"/>
        </w:rPr>
        <w:t>declarations of counsel describing the work they have done</w:t>
      </w:r>
      <w:r w:rsidRPr="005A144C" w:rsidR="00973916">
        <w:rPr>
          <w:rFonts w:ascii="Century Schoolbook" w:hAnsi="Century Schoolbook"/>
        </w:rPr>
        <w:t xml:space="preserve"> </w:t>
      </w:r>
      <w:r w:rsidRPr="005A144C" w:rsidR="003C1D07">
        <w:rPr>
          <w:rFonts w:ascii="Century Schoolbook" w:hAnsi="Century Schoolbook"/>
        </w:rPr>
        <w:t>and the court’s own view of the number of hours reasonably</w:t>
      </w:r>
      <w:r w:rsidRPr="005A144C" w:rsidR="00205421">
        <w:rPr>
          <w:rFonts w:ascii="Century Schoolbook" w:hAnsi="Century Schoolbook"/>
        </w:rPr>
        <w:t xml:space="preserve"> </w:t>
      </w:r>
      <w:r w:rsidRPr="005A144C" w:rsidR="003C1D07">
        <w:rPr>
          <w:rFonts w:ascii="Century Schoolbook" w:hAnsi="Century Schoolbook"/>
        </w:rPr>
        <w:t>spent.</w:t>
      </w:r>
      <w:r w:rsidRPr="005A144C" w:rsidR="00FC1BF1">
        <w:rPr>
          <w:rFonts w:ascii="Century Schoolbook" w:hAnsi="Century Schoolbook"/>
        </w:rPr>
        <w:t>’ </w:t>
      </w:r>
      <w:r w:rsidRPr="005A144C" w:rsidR="00F95D0B">
        <w:rPr>
          <w:rFonts w:ascii="Century Schoolbook" w:hAnsi="Century Schoolbook"/>
        </w:rPr>
        <w:t>”</w:t>
      </w:r>
      <w:r w:rsidRPr="005A144C" w:rsidR="00E74709">
        <w:rPr>
          <w:rFonts w:ascii="Century Schoolbook" w:hAnsi="Century Schoolbook"/>
        </w:rPr>
        <w:t xml:space="preserve"> </w:t>
      </w:r>
      <w:r w:rsidRPr="005A144C" w:rsidR="00FC1BF1">
        <w:rPr>
          <w:rFonts w:ascii="Century Schoolbook" w:hAnsi="Century Schoolbook"/>
        </w:rPr>
        <w:t xml:space="preserve"> (</w:t>
      </w:r>
      <w:r w:rsidRPr="005A144C" w:rsidR="00F95D0B">
        <w:rPr>
          <w:rFonts w:ascii="Century Schoolbook" w:hAnsi="Century Schoolbook"/>
          <w:i/>
          <w:iCs/>
        </w:rPr>
        <w:t>Syers Properties III, Inc.</w:t>
      </w:r>
      <w:r w:rsidRPr="005A144C" w:rsidR="00FC1BF1">
        <w:rPr>
          <w:rFonts w:ascii="Century Schoolbook" w:hAnsi="Century Schoolbook"/>
          <w:i/>
          <w:iCs/>
        </w:rPr>
        <w:t xml:space="preserve"> v. Rankin</w:t>
      </w:r>
      <w:r w:rsidRPr="005A144C" w:rsidR="00FC1BF1">
        <w:rPr>
          <w:rFonts w:ascii="Century Schoolbook" w:hAnsi="Century Schoolbook"/>
        </w:rPr>
        <w:t xml:space="preserve"> (2014) </w:t>
      </w:r>
      <w:r w:rsidRPr="005A144C" w:rsidR="00F95D0B">
        <w:rPr>
          <w:rFonts w:ascii="Century Schoolbook" w:hAnsi="Century Schoolbook"/>
        </w:rPr>
        <w:t>226</w:t>
      </w:r>
      <w:r w:rsidRPr="005A144C" w:rsidR="00FC1BF1">
        <w:rPr>
          <w:rFonts w:ascii="Century Schoolbook" w:hAnsi="Century Schoolbook"/>
        </w:rPr>
        <w:t xml:space="preserve"> </w:t>
      </w:r>
      <w:r w:rsidRPr="005A144C" w:rsidR="00F95D0B">
        <w:rPr>
          <w:rFonts w:ascii="Century Schoolbook" w:hAnsi="Century Schoolbook"/>
        </w:rPr>
        <w:t xml:space="preserve">Cal.App.4th </w:t>
      </w:r>
      <w:r w:rsidRPr="005A144C" w:rsidR="00FC1BF1">
        <w:rPr>
          <w:rFonts w:ascii="Century Schoolbook" w:hAnsi="Century Schoolbook"/>
        </w:rPr>
        <w:t>691,</w:t>
      </w:r>
      <w:r w:rsidRPr="005A144C" w:rsidR="00F95D0B">
        <w:rPr>
          <w:rFonts w:ascii="Century Schoolbook" w:hAnsi="Century Schoolbook"/>
        </w:rPr>
        <w:t xml:space="preserve"> 698</w:t>
      </w:r>
      <w:r w:rsidRPr="005A144C" w:rsidR="00FC1BF1">
        <w:rPr>
          <w:rFonts w:ascii="Century Schoolbook" w:hAnsi="Century Schoolbook"/>
        </w:rPr>
        <w:t>.)</w:t>
      </w:r>
      <w:r w:rsidRPr="005A144C" w:rsidR="00612B64">
        <w:rPr>
          <w:rFonts w:ascii="Century Schoolbook" w:hAnsi="Century Schoolbook"/>
        </w:rPr>
        <w:t xml:space="preserve"> </w:t>
      </w:r>
      <w:r w:rsidRPr="005A144C" w:rsidR="00F95D0B">
        <w:rPr>
          <w:rFonts w:ascii="Century Schoolbook" w:hAnsi="Century Schoolbook"/>
        </w:rPr>
        <w:t xml:space="preserve"> </w:t>
      </w:r>
      <w:r w:rsidRPr="005A144C" w:rsidR="00205421">
        <w:rPr>
          <w:rFonts w:ascii="Century Schoolbook" w:hAnsi="Century Schoolbook"/>
        </w:rPr>
        <w:t>Here,</w:t>
      </w:r>
      <w:r w:rsidRPr="005A144C" w:rsidR="004124E2">
        <w:rPr>
          <w:rFonts w:ascii="Century Schoolbook" w:hAnsi="Century Schoolbook"/>
        </w:rPr>
        <w:t xml:space="preserve"> </w:t>
      </w:r>
      <w:r w:rsidRPr="005A144C" w:rsidR="00E063F5">
        <w:rPr>
          <w:rFonts w:ascii="Century Schoolbook" w:hAnsi="Century Schoolbook"/>
        </w:rPr>
        <w:t>Cotchett and HERA provided declarations describing the type of work performed by their attorneys and the hours spent on such work</w:t>
      </w:r>
      <w:r w:rsidRPr="005A144C" w:rsidR="00356CF2">
        <w:rPr>
          <w:rFonts w:ascii="Century Schoolbook" w:hAnsi="Century Schoolbook"/>
        </w:rPr>
        <w:t>.</w:t>
      </w:r>
      <w:r w:rsidRPr="005A144C" w:rsidR="00E063F5">
        <w:rPr>
          <w:rFonts w:ascii="Century Schoolbook" w:hAnsi="Century Schoolbook"/>
        </w:rPr>
        <w:t xml:space="preserve"> </w:t>
      </w:r>
      <w:r w:rsidRPr="005A144C" w:rsidR="00652505">
        <w:rPr>
          <w:rFonts w:ascii="Century Schoolbook" w:hAnsi="Century Schoolbook"/>
        </w:rPr>
        <w:t xml:space="preserve"> HERA also attached time entries with a general description of the category of work performed.</w:t>
      </w:r>
      <w:r w:rsidRPr="005A144C" w:rsidR="00F95D0B">
        <w:rPr>
          <w:rFonts w:ascii="Century Schoolbook" w:hAnsi="Century Schoolbook"/>
        </w:rPr>
        <w:t xml:space="preserve"> </w:t>
      </w:r>
      <w:r w:rsidRPr="005A144C" w:rsidR="00816360">
        <w:rPr>
          <w:rFonts w:ascii="Century Schoolbook" w:hAnsi="Century Schoolbook"/>
        </w:rPr>
        <w:t xml:space="preserve"> This was sufficient for the court to determine </w:t>
      </w:r>
      <w:r w:rsidRPr="005A144C" w:rsidR="00A847E1">
        <w:rPr>
          <w:rFonts w:ascii="Century Schoolbook" w:hAnsi="Century Schoolbook"/>
        </w:rPr>
        <w:t>that the hours requested by class counsel were reasonable.</w:t>
      </w:r>
    </w:p>
    <w:p w:rsidR="00E03744" w:rsidRPr="005A144C" w:rsidP="002E22D7" w14:paraId="1B856EFE" w14:textId="28E0B00F">
      <w:pPr>
        <w:spacing w:line="360" w:lineRule="auto"/>
        <w:rPr>
          <w:rFonts w:ascii="Century Schoolbook" w:hAnsi="Century Schoolbook"/>
        </w:rPr>
      </w:pPr>
      <w:r w:rsidRPr="005A144C">
        <w:rPr>
          <w:rFonts w:ascii="Century Schoolbook" w:hAnsi="Century Schoolbook"/>
        </w:rPr>
        <w:tab/>
      </w:r>
      <w:r w:rsidRPr="005A144C" w:rsidR="00D02ABF">
        <w:rPr>
          <w:rFonts w:ascii="Century Schoolbook" w:hAnsi="Century Schoolbook"/>
        </w:rPr>
        <w:t xml:space="preserve">Second, the SG defendants argue </w:t>
      </w:r>
      <w:r w:rsidRPr="005A144C" w:rsidR="00305DF9">
        <w:rPr>
          <w:rFonts w:ascii="Century Schoolbook" w:hAnsi="Century Schoolbook"/>
        </w:rPr>
        <w:t xml:space="preserve">that </w:t>
      </w:r>
      <w:r w:rsidRPr="005A144C" w:rsidR="00FD4BAF">
        <w:rPr>
          <w:rFonts w:ascii="Century Schoolbook" w:hAnsi="Century Schoolbook"/>
        </w:rPr>
        <w:t xml:space="preserve">the amount was unreasonable because </w:t>
      </w:r>
      <w:r w:rsidRPr="005A144C" w:rsidR="00C55801">
        <w:rPr>
          <w:rFonts w:ascii="Century Schoolbook" w:hAnsi="Century Schoolbook"/>
        </w:rPr>
        <w:t xml:space="preserve">multiple attorneys attended hearings and depositions </w:t>
      </w:r>
      <w:r w:rsidRPr="005A144C" w:rsidR="003E1CD9">
        <w:rPr>
          <w:rFonts w:ascii="Century Schoolbook" w:hAnsi="Century Schoolbook"/>
        </w:rPr>
        <w:t>in this action</w:t>
      </w:r>
      <w:r w:rsidRPr="005A144C" w:rsidR="00FB121A">
        <w:rPr>
          <w:rFonts w:ascii="Century Schoolbook" w:hAnsi="Century Schoolbook"/>
        </w:rPr>
        <w:t>.</w:t>
      </w:r>
      <w:r w:rsidRPr="005A144C" w:rsidR="00C55801">
        <w:rPr>
          <w:rFonts w:ascii="Century Schoolbook" w:hAnsi="Century Schoolbook"/>
        </w:rPr>
        <w:t xml:space="preserve">  </w:t>
      </w:r>
      <w:r w:rsidRPr="005A144C" w:rsidR="009B7654">
        <w:rPr>
          <w:rFonts w:ascii="Century Schoolbook" w:hAnsi="Century Schoolbook"/>
        </w:rPr>
        <w:t xml:space="preserve">We agree </w:t>
      </w:r>
      <w:r w:rsidRPr="005A144C" w:rsidR="00FF4339">
        <w:rPr>
          <w:rFonts w:ascii="Century Schoolbook" w:hAnsi="Century Schoolbook"/>
        </w:rPr>
        <w:t>with the general principle that</w:t>
      </w:r>
      <w:r w:rsidRPr="005A144C" w:rsidR="009B7654">
        <w:rPr>
          <w:rFonts w:ascii="Century Schoolbook" w:hAnsi="Century Schoolbook"/>
        </w:rPr>
        <w:t xml:space="preserve"> a trial court can exercise its discretion</w:t>
      </w:r>
      <w:r w:rsidRPr="005A144C" w:rsidR="0065682E">
        <w:rPr>
          <w:rFonts w:ascii="Century Schoolbook" w:hAnsi="Century Schoolbook"/>
        </w:rPr>
        <w:t xml:space="preserve"> to limit</w:t>
      </w:r>
      <w:r w:rsidRPr="005A144C" w:rsidR="0054368E">
        <w:rPr>
          <w:rFonts w:ascii="Century Schoolbook" w:hAnsi="Century Schoolbook"/>
        </w:rPr>
        <w:t xml:space="preserve"> an award of</w:t>
      </w:r>
      <w:r w:rsidRPr="005A144C" w:rsidR="0065682E">
        <w:rPr>
          <w:rFonts w:ascii="Century Schoolbook" w:hAnsi="Century Schoolbook"/>
        </w:rPr>
        <w:t xml:space="preserve"> fees</w:t>
      </w:r>
      <w:r w:rsidRPr="005A144C" w:rsidR="009B7654">
        <w:rPr>
          <w:rFonts w:ascii="Century Schoolbook" w:hAnsi="Century Schoolbook"/>
        </w:rPr>
        <w:t xml:space="preserve"> </w:t>
      </w:r>
      <w:r w:rsidRPr="005A144C" w:rsidR="00F6103A">
        <w:rPr>
          <w:rFonts w:ascii="Century Schoolbook" w:hAnsi="Century Schoolbook"/>
        </w:rPr>
        <w:t>for</w:t>
      </w:r>
      <w:r w:rsidRPr="005A144C" w:rsidR="009B7654">
        <w:rPr>
          <w:rFonts w:ascii="Century Schoolbook" w:hAnsi="Century Schoolbook"/>
        </w:rPr>
        <w:t xml:space="preserve"> “</w:t>
      </w:r>
      <w:r w:rsidRPr="005A144C" w:rsidR="00F6103A">
        <w:rPr>
          <w:rFonts w:ascii="Century Schoolbook" w:hAnsi="Century Schoolbook"/>
        </w:rPr>
        <w:t> </w:t>
      </w:r>
      <w:r w:rsidRPr="005A144C" w:rsidR="009B7654">
        <w:rPr>
          <w:rFonts w:ascii="Century Schoolbook" w:hAnsi="Century Schoolbook"/>
        </w:rPr>
        <w:t xml:space="preserve">‘unjustified duplication of work’ ” </w:t>
      </w:r>
      <w:r w:rsidRPr="005A144C" w:rsidR="000B5C29">
        <w:rPr>
          <w:rFonts w:ascii="Century Schoolbook" w:hAnsi="Century Schoolbook"/>
        </w:rPr>
        <w:t xml:space="preserve">across </w:t>
      </w:r>
      <w:r w:rsidRPr="005A144C" w:rsidR="003913A0">
        <w:rPr>
          <w:rFonts w:ascii="Century Schoolbook" w:hAnsi="Century Schoolbook"/>
        </w:rPr>
        <w:t xml:space="preserve">different </w:t>
      </w:r>
      <w:r w:rsidRPr="005A144C" w:rsidR="002312AE">
        <w:rPr>
          <w:rFonts w:ascii="Century Schoolbook" w:hAnsi="Century Schoolbook"/>
        </w:rPr>
        <w:t>counsel</w:t>
      </w:r>
      <w:r w:rsidRPr="005A144C" w:rsidR="003913A0">
        <w:rPr>
          <w:rFonts w:ascii="Century Schoolbook" w:hAnsi="Century Schoolbook"/>
        </w:rPr>
        <w:t xml:space="preserve"> or law firms</w:t>
      </w:r>
      <w:r w:rsidRPr="005A144C" w:rsidR="009B7654">
        <w:rPr>
          <w:rFonts w:ascii="Century Schoolbook" w:hAnsi="Century Schoolbook"/>
        </w:rPr>
        <w:t>.  (</w:t>
      </w:r>
      <w:r w:rsidRPr="005A144C" w:rsidR="009B7654">
        <w:rPr>
          <w:rFonts w:ascii="Century Schoolbook" w:hAnsi="Century Schoolbook"/>
          <w:i/>
          <w:iCs/>
        </w:rPr>
        <w:t>Donahue v. Donahue</w:t>
      </w:r>
      <w:r w:rsidRPr="005A144C" w:rsidR="009B7654">
        <w:rPr>
          <w:rFonts w:ascii="Century Schoolbook" w:hAnsi="Century Schoolbook"/>
        </w:rPr>
        <w:t xml:space="preserve"> (</w:t>
      </w:r>
      <w:r w:rsidRPr="005A144C" w:rsidR="008F5A26">
        <w:rPr>
          <w:rFonts w:ascii="Century Schoolbook" w:hAnsi="Century Schoolbook"/>
        </w:rPr>
        <w:t>2010) 182</w:t>
      </w:r>
      <w:r w:rsidRPr="005A144C" w:rsidR="00F1439C">
        <w:rPr>
          <w:rFonts w:ascii="Century Schoolbook" w:hAnsi="Century Schoolbook"/>
        </w:rPr>
        <w:t> </w:t>
      </w:r>
      <w:r w:rsidRPr="005A144C" w:rsidR="008F5A26">
        <w:rPr>
          <w:rFonts w:ascii="Century Schoolbook" w:hAnsi="Century Schoolbook"/>
        </w:rPr>
        <w:t xml:space="preserve">Cal.App.4th 259, </w:t>
      </w:r>
      <w:r w:rsidRPr="005A144C" w:rsidR="00DB10DC">
        <w:rPr>
          <w:rFonts w:ascii="Century Schoolbook" w:hAnsi="Century Schoolbook"/>
        </w:rPr>
        <w:t>271</w:t>
      </w:r>
      <w:r w:rsidRPr="005A144C" w:rsidR="008F5A26">
        <w:rPr>
          <w:rFonts w:ascii="Century Schoolbook" w:hAnsi="Century Schoolbook"/>
        </w:rPr>
        <w:t>.</w:t>
      </w:r>
      <w:r w:rsidRPr="005A144C" w:rsidR="00CA049C">
        <w:rPr>
          <w:rFonts w:ascii="Century Schoolbook" w:hAnsi="Century Schoolbook"/>
        </w:rPr>
        <w:t>)</w:t>
      </w:r>
      <w:r w:rsidRPr="005A144C" w:rsidR="008F5A26">
        <w:rPr>
          <w:rFonts w:ascii="Century Schoolbook" w:hAnsi="Century Schoolbook"/>
        </w:rPr>
        <w:t xml:space="preserve">  </w:t>
      </w:r>
      <w:r w:rsidRPr="005A144C" w:rsidR="0060793F">
        <w:rPr>
          <w:rFonts w:ascii="Century Schoolbook" w:hAnsi="Century Schoolbook"/>
        </w:rPr>
        <w:t>But</w:t>
      </w:r>
      <w:r w:rsidRPr="005A144C" w:rsidR="00C92AA7">
        <w:rPr>
          <w:rFonts w:ascii="Century Schoolbook" w:hAnsi="Century Schoolbook"/>
        </w:rPr>
        <w:t xml:space="preserve"> </w:t>
      </w:r>
      <w:r w:rsidRPr="005A144C" w:rsidR="00FF4339">
        <w:rPr>
          <w:rFonts w:ascii="Century Schoolbook" w:hAnsi="Century Schoolbook"/>
        </w:rPr>
        <w:t xml:space="preserve">the SG defendants do not </w:t>
      </w:r>
      <w:r w:rsidRPr="005A144C" w:rsidR="00BA42F0">
        <w:rPr>
          <w:rFonts w:ascii="Century Schoolbook" w:hAnsi="Century Schoolbook"/>
        </w:rPr>
        <w:t>detail</w:t>
      </w:r>
      <w:r w:rsidRPr="005A144C" w:rsidR="00FF4339">
        <w:rPr>
          <w:rFonts w:ascii="Century Schoolbook" w:hAnsi="Century Schoolbook"/>
        </w:rPr>
        <w:t xml:space="preserve"> </w:t>
      </w:r>
      <w:r w:rsidRPr="005A144C" w:rsidR="00212B9D">
        <w:rPr>
          <w:rFonts w:ascii="Century Schoolbook" w:hAnsi="Century Schoolbook"/>
        </w:rPr>
        <w:t>how</w:t>
      </w:r>
      <w:r w:rsidRPr="005A144C" w:rsidR="00700265">
        <w:rPr>
          <w:rFonts w:ascii="Century Schoolbook" w:hAnsi="Century Schoolbook"/>
        </w:rPr>
        <w:t xml:space="preserve"> </w:t>
      </w:r>
      <w:r w:rsidRPr="005A144C" w:rsidR="00476758">
        <w:rPr>
          <w:rFonts w:ascii="Century Schoolbook" w:hAnsi="Century Schoolbook"/>
        </w:rPr>
        <w:t xml:space="preserve">any particular </w:t>
      </w:r>
      <w:r w:rsidRPr="005A144C" w:rsidR="006A52A6">
        <w:rPr>
          <w:rFonts w:ascii="Century Schoolbook" w:hAnsi="Century Schoolbook"/>
        </w:rPr>
        <w:t xml:space="preserve">time incurred </w:t>
      </w:r>
      <w:r w:rsidRPr="005A144C" w:rsidR="00D00680">
        <w:rPr>
          <w:rFonts w:ascii="Century Schoolbook" w:hAnsi="Century Schoolbook"/>
        </w:rPr>
        <w:t xml:space="preserve">by class counsel </w:t>
      </w:r>
      <w:r w:rsidRPr="005A144C" w:rsidR="00DD788F">
        <w:rPr>
          <w:rFonts w:ascii="Century Schoolbook" w:hAnsi="Century Schoolbook"/>
        </w:rPr>
        <w:t>was unjustified</w:t>
      </w:r>
      <w:r w:rsidRPr="005A144C" w:rsidR="00156E90">
        <w:rPr>
          <w:rFonts w:ascii="Century Schoolbook" w:hAnsi="Century Schoolbook"/>
        </w:rPr>
        <w:t>.</w:t>
      </w:r>
      <w:r w:rsidRPr="005A144C" w:rsidR="00D00104">
        <w:rPr>
          <w:rFonts w:ascii="Century Schoolbook" w:hAnsi="Century Schoolbook"/>
        </w:rPr>
        <w:t xml:space="preserve"> </w:t>
      </w:r>
      <w:r w:rsidRPr="005A144C" w:rsidR="006F137F">
        <w:rPr>
          <w:rFonts w:ascii="Century Schoolbook" w:hAnsi="Century Schoolbook"/>
        </w:rPr>
        <w:t xml:space="preserve"> On the contrary, </w:t>
      </w:r>
      <w:r w:rsidRPr="005A144C" w:rsidR="00610428">
        <w:rPr>
          <w:rFonts w:ascii="Century Schoolbook" w:hAnsi="Century Schoolbook"/>
        </w:rPr>
        <w:t xml:space="preserve">lead counsel, </w:t>
      </w:r>
      <w:r w:rsidRPr="005A144C" w:rsidR="007B151F">
        <w:rPr>
          <w:rFonts w:ascii="Century Schoolbook" w:hAnsi="Century Schoolbook"/>
        </w:rPr>
        <w:t>Cotchett</w:t>
      </w:r>
      <w:r w:rsidRPr="005A144C" w:rsidR="00610428">
        <w:rPr>
          <w:rFonts w:ascii="Century Schoolbook" w:hAnsi="Century Schoolbook"/>
        </w:rPr>
        <w:t>,</w:t>
      </w:r>
      <w:r w:rsidRPr="005A144C" w:rsidR="007B151F">
        <w:rPr>
          <w:rFonts w:ascii="Century Schoolbook" w:hAnsi="Century Schoolbook"/>
        </w:rPr>
        <w:t xml:space="preserve"> and HERA</w:t>
      </w:r>
      <w:r w:rsidRPr="005A144C" w:rsidR="008F5A26">
        <w:rPr>
          <w:rFonts w:ascii="Century Schoolbook" w:hAnsi="Century Schoolbook"/>
        </w:rPr>
        <w:t xml:space="preserve"> </w:t>
      </w:r>
      <w:r w:rsidRPr="005A144C" w:rsidR="00610428">
        <w:rPr>
          <w:rFonts w:ascii="Century Schoolbook" w:hAnsi="Century Schoolbook"/>
        </w:rPr>
        <w:t xml:space="preserve">all </w:t>
      </w:r>
      <w:r w:rsidRPr="005A144C" w:rsidR="008F5A26">
        <w:rPr>
          <w:rFonts w:ascii="Century Schoolbook" w:hAnsi="Century Schoolbook"/>
        </w:rPr>
        <w:t xml:space="preserve">provided declarations </w:t>
      </w:r>
      <w:r w:rsidRPr="005A144C" w:rsidR="008A7D99">
        <w:rPr>
          <w:rFonts w:ascii="Century Schoolbook" w:hAnsi="Century Schoolbook"/>
        </w:rPr>
        <w:t>stating</w:t>
      </w:r>
      <w:r w:rsidRPr="005A144C" w:rsidR="008F5A26">
        <w:rPr>
          <w:rFonts w:ascii="Century Schoolbook" w:hAnsi="Century Schoolbook"/>
        </w:rPr>
        <w:t xml:space="preserve"> they had reduced or removed entries for duplicative efforts</w:t>
      </w:r>
      <w:r w:rsidRPr="005A144C" w:rsidR="00610428">
        <w:rPr>
          <w:rFonts w:ascii="Century Schoolbook" w:hAnsi="Century Schoolbook"/>
        </w:rPr>
        <w:t xml:space="preserve"> </w:t>
      </w:r>
      <w:r w:rsidRPr="005A144C" w:rsidR="003F16E7">
        <w:rPr>
          <w:rFonts w:ascii="Century Schoolbook" w:hAnsi="Century Schoolbook"/>
        </w:rPr>
        <w:t>and written off a</w:t>
      </w:r>
      <w:r w:rsidRPr="005A144C" w:rsidR="008D5D4E">
        <w:rPr>
          <w:rFonts w:ascii="Century Schoolbook" w:hAnsi="Century Schoolbook"/>
        </w:rPr>
        <w:t>t least</w:t>
      </w:r>
      <w:r w:rsidRPr="005A144C" w:rsidR="003F16E7">
        <w:rPr>
          <w:rFonts w:ascii="Century Schoolbook" w:hAnsi="Century Schoolbook"/>
        </w:rPr>
        <w:t xml:space="preserve"> </w:t>
      </w:r>
      <w:r w:rsidRPr="005A144C" w:rsidR="00471FFB">
        <w:rPr>
          <w:rFonts w:ascii="Century Schoolbook" w:hAnsi="Century Schoolbook"/>
        </w:rPr>
        <w:t>496</w:t>
      </w:r>
      <w:r w:rsidRPr="005A144C" w:rsidR="003F16E7">
        <w:rPr>
          <w:rFonts w:ascii="Century Schoolbook" w:hAnsi="Century Schoolbook"/>
        </w:rPr>
        <w:t xml:space="preserve"> hours</w:t>
      </w:r>
      <w:r w:rsidRPr="005A144C" w:rsidR="00A84ACC">
        <w:rPr>
          <w:rFonts w:ascii="Century Schoolbook" w:hAnsi="Century Schoolbook"/>
        </w:rPr>
        <w:t xml:space="preserve"> </w:t>
      </w:r>
      <w:r w:rsidRPr="005A144C" w:rsidR="002D3364">
        <w:rPr>
          <w:rFonts w:ascii="Century Schoolbook" w:hAnsi="Century Schoolbook"/>
        </w:rPr>
        <w:t>spent in</w:t>
      </w:r>
      <w:r w:rsidRPr="005A144C" w:rsidR="00A84ACC">
        <w:rPr>
          <w:rFonts w:ascii="Century Schoolbook" w:hAnsi="Century Schoolbook"/>
        </w:rPr>
        <w:t xml:space="preserve"> this </w:t>
      </w:r>
      <w:r w:rsidRPr="005A144C" w:rsidR="002D3364">
        <w:rPr>
          <w:rFonts w:ascii="Century Schoolbook" w:hAnsi="Century Schoolbook"/>
        </w:rPr>
        <w:t>litigation</w:t>
      </w:r>
      <w:r w:rsidRPr="005A144C" w:rsidR="00610428">
        <w:rPr>
          <w:rFonts w:ascii="Century Schoolbook" w:hAnsi="Century Schoolbook"/>
        </w:rPr>
        <w:t>.</w:t>
      </w:r>
      <w:r w:rsidRPr="005A144C" w:rsidR="008F5A26">
        <w:rPr>
          <w:rFonts w:ascii="Century Schoolbook" w:hAnsi="Century Schoolbook"/>
        </w:rPr>
        <w:t xml:space="preserve"> </w:t>
      </w:r>
    </w:p>
    <w:p w:rsidR="00B523EA" w:rsidRPr="005A144C" w:rsidP="002E22D7" w14:paraId="2967B270" w14:textId="76AD0B47">
      <w:pPr>
        <w:spacing w:line="360" w:lineRule="auto"/>
        <w:rPr>
          <w:rFonts w:ascii="Century Schoolbook" w:hAnsi="Century Schoolbook"/>
        </w:rPr>
      </w:pPr>
      <w:r w:rsidRPr="005A144C">
        <w:rPr>
          <w:rFonts w:ascii="Century Schoolbook" w:hAnsi="Century Schoolbook"/>
        </w:rPr>
        <w:tab/>
      </w:r>
      <w:r w:rsidRPr="005A144C" w:rsidR="006766F8">
        <w:rPr>
          <w:rFonts w:ascii="Century Schoolbook" w:hAnsi="Century Schoolbook"/>
        </w:rPr>
        <w:t>Third</w:t>
      </w:r>
      <w:r w:rsidRPr="005A144C">
        <w:rPr>
          <w:rFonts w:ascii="Century Schoolbook" w:hAnsi="Century Schoolbook"/>
        </w:rPr>
        <w:t>, t</w:t>
      </w:r>
      <w:r w:rsidRPr="005A144C" w:rsidR="001F7567">
        <w:rPr>
          <w:rFonts w:ascii="Century Schoolbook" w:hAnsi="Century Schoolbook"/>
        </w:rPr>
        <w:t>he SG defendants argue t</w:t>
      </w:r>
      <w:r w:rsidRPr="005A144C" w:rsidR="00503480">
        <w:rPr>
          <w:rFonts w:ascii="Century Schoolbook" w:hAnsi="Century Schoolbook"/>
        </w:rPr>
        <w:t xml:space="preserve">hat there was no basis for </w:t>
      </w:r>
      <w:r w:rsidRPr="005A144C" w:rsidR="006766F8">
        <w:rPr>
          <w:rFonts w:ascii="Century Schoolbook" w:hAnsi="Century Schoolbook"/>
        </w:rPr>
        <w:t xml:space="preserve">the </w:t>
      </w:r>
      <w:r w:rsidRPr="005A144C" w:rsidR="00CB1E22">
        <w:rPr>
          <w:rFonts w:ascii="Century Schoolbook" w:hAnsi="Century Schoolbook"/>
        </w:rPr>
        <w:t xml:space="preserve">hourly rates claimed </w:t>
      </w:r>
      <w:r w:rsidRPr="005A144C" w:rsidR="006B5FA7">
        <w:rPr>
          <w:rFonts w:ascii="Century Schoolbook" w:hAnsi="Century Schoolbook"/>
        </w:rPr>
        <w:t xml:space="preserve">by class counsel </w:t>
      </w:r>
      <w:r w:rsidRPr="005A144C" w:rsidR="0046014A">
        <w:rPr>
          <w:rFonts w:ascii="Century Schoolbook" w:hAnsi="Century Schoolbook"/>
        </w:rPr>
        <w:t>or</w:t>
      </w:r>
      <w:r w:rsidRPr="005A144C" w:rsidR="00CB1E22">
        <w:rPr>
          <w:rFonts w:ascii="Century Schoolbook" w:hAnsi="Century Schoolbook"/>
        </w:rPr>
        <w:t xml:space="preserve"> </w:t>
      </w:r>
      <w:r w:rsidRPr="005A144C" w:rsidR="00503480">
        <w:rPr>
          <w:rFonts w:ascii="Century Schoolbook" w:hAnsi="Century Schoolbook"/>
        </w:rPr>
        <w:t>the 1.25 multiplier</w:t>
      </w:r>
      <w:r w:rsidRPr="005A144C" w:rsidR="00CB1E22">
        <w:rPr>
          <w:rFonts w:ascii="Century Schoolbook" w:hAnsi="Century Schoolbook"/>
        </w:rPr>
        <w:t xml:space="preserve"> applied here</w:t>
      </w:r>
      <w:r w:rsidRPr="005A144C" w:rsidR="00503480">
        <w:rPr>
          <w:rFonts w:ascii="Century Schoolbook" w:hAnsi="Century Schoolbook"/>
        </w:rPr>
        <w:t xml:space="preserve">. </w:t>
      </w:r>
      <w:r w:rsidRPr="005A144C" w:rsidR="00547CF1">
        <w:rPr>
          <w:rFonts w:ascii="Century Schoolbook" w:hAnsi="Century Schoolbook"/>
        </w:rPr>
        <w:t xml:space="preserve"> </w:t>
      </w:r>
      <w:r w:rsidRPr="005A144C" w:rsidR="006B5FA7">
        <w:rPr>
          <w:rFonts w:ascii="Century Schoolbook" w:hAnsi="Century Schoolbook"/>
        </w:rPr>
        <w:t>“In determining hourly rates, the court must look to the ‘prevailing market rates in the relevant community’ ” and “should also consider the experience, skill, and reputation of the attorney requesting fees.”  (</w:t>
      </w:r>
      <w:r w:rsidRPr="005A144C" w:rsidR="006B5FA7">
        <w:rPr>
          <w:rFonts w:ascii="Century Schoolbook" w:hAnsi="Century Schoolbook"/>
          <w:i/>
          <w:iCs/>
        </w:rPr>
        <w:t>Heritage Pacific Financial, LLC v. Monroy</w:t>
      </w:r>
      <w:r w:rsidRPr="005A144C" w:rsidR="006B5FA7">
        <w:rPr>
          <w:rFonts w:ascii="Century Schoolbook" w:hAnsi="Century Schoolbook"/>
        </w:rPr>
        <w:t xml:space="preserve"> (2013) 215 Cal.App.4th 972, 1009.)  “</w:t>
      </w:r>
      <w:r w:rsidRPr="005A144C" w:rsidR="00653D7A">
        <w:rPr>
          <w:rFonts w:ascii="Century Schoolbook" w:hAnsi="Century Schoolbook"/>
        </w:rPr>
        <w:t> </w:t>
      </w:r>
      <w:r w:rsidRPr="005A144C" w:rsidR="006B5FA7">
        <w:rPr>
          <w:rFonts w:ascii="Century Schoolbook" w:hAnsi="Century Schoolbook"/>
        </w:rPr>
        <w:t>‘Affidavits of the plaintiffs’ attorney and other attorneys regarding prevailing fees in the community, and rate determinations in other cases, particularly those setting a rate for the plaintiffs’ attorney, are satisfactory evidence of the prevailing market rate.’ ”  (</w:t>
      </w:r>
      <w:r w:rsidRPr="005A144C" w:rsidR="006B5FA7">
        <w:rPr>
          <w:rFonts w:ascii="Century Schoolbook" w:hAnsi="Century Schoolbook"/>
          <w:i/>
          <w:iCs/>
        </w:rPr>
        <w:t>Ibid.</w:t>
      </w:r>
      <w:r w:rsidRPr="005A144C" w:rsidR="006B5FA7">
        <w:rPr>
          <w:rFonts w:ascii="Century Schoolbook" w:hAnsi="Century Schoolbook"/>
        </w:rPr>
        <w:t>)</w:t>
      </w:r>
      <w:r w:rsidRPr="005A144C" w:rsidR="007D3884">
        <w:rPr>
          <w:rFonts w:ascii="Century Schoolbook" w:hAnsi="Century Schoolbook"/>
        </w:rPr>
        <w:t xml:space="preserve">  </w:t>
      </w:r>
      <w:r w:rsidRPr="005A144C" w:rsidR="006B5FA7">
        <w:rPr>
          <w:rFonts w:ascii="Century Schoolbook" w:hAnsi="Century Schoolbook"/>
        </w:rPr>
        <w:t xml:space="preserve">Here, lead </w:t>
      </w:r>
      <w:r w:rsidRPr="005A144C" w:rsidR="00040B1C">
        <w:rPr>
          <w:rFonts w:ascii="Century Schoolbook" w:hAnsi="Century Schoolbook"/>
        </w:rPr>
        <w:t>counsel, Cotchett</w:t>
      </w:r>
      <w:r w:rsidRPr="005A144C" w:rsidR="00533074">
        <w:rPr>
          <w:rFonts w:ascii="Century Schoolbook" w:hAnsi="Century Schoolbook"/>
        </w:rPr>
        <w:t>,</w:t>
      </w:r>
      <w:r w:rsidRPr="005A144C" w:rsidR="00040B1C">
        <w:rPr>
          <w:rFonts w:ascii="Century Schoolbook" w:hAnsi="Century Schoolbook"/>
        </w:rPr>
        <w:t xml:space="preserve"> and HERA provided declarations d</w:t>
      </w:r>
      <w:r w:rsidRPr="005A144C" w:rsidR="007A0C64">
        <w:rPr>
          <w:rFonts w:ascii="Century Schoolbook" w:hAnsi="Century Schoolbook"/>
        </w:rPr>
        <w:t>etailing their hourly rates</w:t>
      </w:r>
      <w:r w:rsidRPr="005A144C" w:rsidR="0074060F">
        <w:rPr>
          <w:rFonts w:ascii="Century Schoolbook" w:hAnsi="Century Schoolbook"/>
        </w:rPr>
        <w:t xml:space="preserve"> and stating </w:t>
      </w:r>
      <w:r w:rsidRPr="005A144C" w:rsidR="003B5D9F">
        <w:rPr>
          <w:rFonts w:ascii="Century Schoolbook" w:hAnsi="Century Schoolbook"/>
        </w:rPr>
        <w:t>that such rates were at or below market rates</w:t>
      </w:r>
      <w:r w:rsidRPr="005A144C" w:rsidR="001E3171">
        <w:rPr>
          <w:rFonts w:ascii="Century Schoolbook" w:hAnsi="Century Schoolbook"/>
        </w:rPr>
        <w:t xml:space="preserve"> </w:t>
      </w:r>
      <w:r w:rsidRPr="005A144C" w:rsidR="007D3884">
        <w:rPr>
          <w:rFonts w:ascii="Century Schoolbook" w:hAnsi="Century Schoolbook"/>
        </w:rPr>
        <w:t xml:space="preserve">for attorneys with </w:t>
      </w:r>
      <w:r w:rsidRPr="005A144C" w:rsidR="007A0C64">
        <w:rPr>
          <w:rFonts w:ascii="Century Schoolbook" w:hAnsi="Century Schoolbook"/>
        </w:rPr>
        <w:t>comparable experience and skill</w:t>
      </w:r>
      <w:r w:rsidRPr="005A144C" w:rsidR="00EC3FBA">
        <w:rPr>
          <w:rFonts w:ascii="Century Schoolbook" w:hAnsi="Century Schoolbook"/>
        </w:rPr>
        <w:t xml:space="preserve">.  Lead </w:t>
      </w:r>
      <w:r w:rsidRPr="005A144C" w:rsidR="00EE7CA6">
        <w:rPr>
          <w:rFonts w:ascii="Century Schoolbook" w:hAnsi="Century Schoolbook"/>
        </w:rPr>
        <w:t xml:space="preserve">counsel also </w:t>
      </w:r>
      <w:r w:rsidRPr="005A144C" w:rsidR="007628C4">
        <w:rPr>
          <w:rFonts w:ascii="Century Schoolbook" w:hAnsi="Century Schoolbook"/>
        </w:rPr>
        <w:t>provid</w:t>
      </w:r>
      <w:r w:rsidRPr="005A144C" w:rsidR="00EE7CA6">
        <w:rPr>
          <w:rFonts w:ascii="Century Schoolbook" w:hAnsi="Century Schoolbook"/>
        </w:rPr>
        <w:t>ed</w:t>
      </w:r>
      <w:r w:rsidRPr="005A144C" w:rsidR="007628C4">
        <w:rPr>
          <w:rFonts w:ascii="Century Schoolbook" w:hAnsi="Century Schoolbook"/>
        </w:rPr>
        <w:t xml:space="preserve"> examples of </w:t>
      </w:r>
      <w:r w:rsidRPr="005A144C" w:rsidR="00DD336F">
        <w:rPr>
          <w:rFonts w:ascii="Century Schoolbook" w:hAnsi="Century Schoolbook"/>
        </w:rPr>
        <w:t xml:space="preserve">his </w:t>
      </w:r>
      <w:r w:rsidRPr="005A144C" w:rsidR="00716AAC">
        <w:rPr>
          <w:rFonts w:ascii="Century Schoolbook" w:hAnsi="Century Schoolbook"/>
        </w:rPr>
        <w:t xml:space="preserve">hourly rates </w:t>
      </w:r>
      <w:r w:rsidRPr="005A144C" w:rsidR="007F7505">
        <w:rPr>
          <w:rFonts w:ascii="Century Schoolbook" w:hAnsi="Century Schoolbook"/>
        </w:rPr>
        <w:t>determined in</w:t>
      </w:r>
      <w:r w:rsidRPr="005A144C" w:rsidR="003C66DD">
        <w:rPr>
          <w:rFonts w:ascii="Century Schoolbook" w:hAnsi="Century Schoolbook"/>
        </w:rPr>
        <w:t xml:space="preserve"> </w:t>
      </w:r>
      <w:r w:rsidRPr="005A144C" w:rsidR="007628C4">
        <w:rPr>
          <w:rFonts w:ascii="Century Schoolbook" w:hAnsi="Century Schoolbook"/>
        </w:rPr>
        <w:t>previous fee awards</w:t>
      </w:r>
      <w:r w:rsidRPr="005A144C" w:rsidR="00CB1E22">
        <w:rPr>
          <w:rFonts w:ascii="Century Schoolbook" w:hAnsi="Century Schoolbook"/>
        </w:rPr>
        <w:t xml:space="preserve">.  </w:t>
      </w:r>
      <w:r w:rsidRPr="005A144C" w:rsidR="00441D2A">
        <w:rPr>
          <w:rFonts w:ascii="Century Schoolbook" w:hAnsi="Century Schoolbook"/>
        </w:rPr>
        <w:t>Moreover</w:t>
      </w:r>
      <w:r w:rsidRPr="005A144C" w:rsidR="003D7129">
        <w:rPr>
          <w:rFonts w:ascii="Century Schoolbook" w:hAnsi="Century Schoolbook"/>
        </w:rPr>
        <w:t xml:space="preserve">, a trial court “may rely on its own knowledge and familiarity with the </w:t>
      </w:r>
      <w:r w:rsidRPr="005A144C" w:rsidR="0079732A">
        <w:rPr>
          <w:rFonts w:ascii="Century Schoolbook" w:hAnsi="Century Schoolbook"/>
        </w:rPr>
        <w:t xml:space="preserve">legal </w:t>
      </w:r>
      <w:r w:rsidRPr="005A144C" w:rsidR="003D7129">
        <w:rPr>
          <w:rFonts w:ascii="Century Schoolbook" w:hAnsi="Century Schoolbook"/>
        </w:rPr>
        <w:t xml:space="preserve">market in setting a reasonable </w:t>
      </w:r>
      <w:r w:rsidRPr="005A144C" w:rsidR="0079732A">
        <w:rPr>
          <w:rFonts w:ascii="Century Schoolbook" w:hAnsi="Century Schoolbook"/>
        </w:rPr>
        <w:t xml:space="preserve">hourly </w:t>
      </w:r>
      <w:r w:rsidRPr="005A144C" w:rsidR="003D7129">
        <w:rPr>
          <w:rFonts w:ascii="Century Schoolbook" w:hAnsi="Century Schoolbook"/>
        </w:rPr>
        <w:t>rate.”  (</w:t>
      </w:r>
      <w:r w:rsidRPr="005A144C" w:rsidR="003D7129">
        <w:rPr>
          <w:rFonts w:ascii="Century Schoolbook" w:hAnsi="Century Schoolbook"/>
          <w:i/>
          <w:iCs/>
        </w:rPr>
        <w:t>Ibid.</w:t>
      </w:r>
      <w:r w:rsidRPr="005A144C" w:rsidR="003D7129">
        <w:rPr>
          <w:rFonts w:ascii="Century Schoolbook" w:hAnsi="Century Schoolbook"/>
        </w:rPr>
        <w:t xml:space="preserve">; see also </w:t>
      </w:r>
      <w:r w:rsidRPr="005A144C" w:rsidR="002B1F8D">
        <w:rPr>
          <w:rFonts w:ascii="Century Schoolbook" w:hAnsi="Century Schoolbook"/>
          <w:i/>
          <w:iCs/>
        </w:rPr>
        <w:t>PLCM Group</w:t>
      </w:r>
      <w:r w:rsidRPr="005A144C" w:rsidR="009004E2">
        <w:rPr>
          <w:rFonts w:ascii="Century Schoolbook" w:hAnsi="Century Schoolbook"/>
          <w:i/>
          <w:iCs/>
        </w:rPr>
        <w:t>, Inc.</w:t>
      </w:r>
      <w:r w:rsidRPr="005A144C" w:rsidR="002B1F8D">
        <w:rPr>
          <w:rFonts w:ascii="Century Schoolbook" w:hAnsi="Century Schoolbook"/>
          <w:i/>
          <w:iCs/>
        </w:rPr>
        <w:t xml:space="preserve"> v. Drexler</w:t>
      </w:r>
      <w:r w:rsidRPr="005A144C" w:rsidR="002B1F8D">
        <w:rPr>
          <w:rFonts w:ascii="Century Schoolbook" w:hAnsi="Century Schoolbook"/>
        </w:rPr>
        <w:t xml:space="preserve"> (2000) 22 Cal.4th 1084, 1096</w:t>
      </w:r>
      <w:r w:rsidRPr="005A144C" w:rsidR="003D7129">
        <w:rPr>
          <w:rFonts w:ascii="Century Schoolbook" w:hAnsi="Century Schoolbook"/>
        </w:rPr>
        <w:t xml:space="preserve"> </w:t>
      </w:r>
      <w:r w:rsidRPr="005A144C" w:rsidR="004E1DFF">
        <w:rPr>
          <w:rFonts w:ascii="Century Schoolbook" w:hAnsi="Century Schoolbook"/>
        </w:rPr>
        <w:t>[</w:t>
      </w:r>
      <w:r w:rsidRPr="005A144C" w:rsidR="003D7129">
        <w:rPr>
          <w:rFonts w:ascii="Century Schoolbook" w:hAnsi="Century Schoolbook"/>
        </w:rPr>
        <w:t>“</w:t>
      </w:r>
      <w:r w:rsidRPr="005A144C" w:rsidR="009004E2">
        <w:rPr>
          <w:rFonts w:ascii="Century Schoolbook" w:hAnsi="Century Schoolbook"/>
        </w:rPr>
        <w:t> ‘</w:t>
      </w:r>
      <w:r w:rsidRPr="005A144C" w:rsidR="003D7129">
        <w:rPr>
          <w:rFonts w:ascii="Century Schoolbook" w:hAnsi="Century Schoolbook"/>
        </w:rPr>
        <w:t>The value of legal services performed in a case is a matter in which the trial court has its own expertise</w:t>
      </w:r>
      <w:r w:rsidRPr="005A144C" w:rsidR="00E47498">
        <w:rPr>
          <w:rFonts w:ascii="Century Schoolbook" w:hAnsi="Century Schoolbook"/>
        </w:rPr>
        <w:t>.</w:t>
      </w:r>
      <w:r w:rsidRPr="005A144C" w:rsidR="009004E2">
        <w:rPr>
          <w:rFonts w:ascii="Century Schoolbook" w:hAnsi="Century Schoolbook"/>
        </w:rPr>
        <w:t>’ </w:t>
      </w:r>
      <w:r w:rsidRPr="005A144C" w:rsidR="003D7129">
        <w:rPr>
          <w:rFonts w:ascii="Century Schoolbook" w:hAnsi="Century Schoolbook"/>
        </w:rPr>
        <w:t>”]</w:t>
      </w:r>
      <w:r w:rsidRPr="005A144C" w:rsidR="002B1F8D">
        <w:rPr>
          <w:rFonts w:ascii="Century Schoolbook" w:hAnsi="Century Schoolbook"/>
        </w:rPr>
        <w:t xml:space="preserve">.)  </w:t>
      </w:r>
      <w:r w:rsidRPr="005A144C" w:rsidR="001F20DD">
        <w:rPr>
          <w:rFonts w:ascii="Century Schoolbook" w:hAnsi="Century Schoolbook"/>
        </w:rPr>
        <w:t xml:space="preserve">The trial court did not abuse its discretion in finding class counsel’s requested rates to be reasonable. </w:t>
      </w:r>
      <w:r w:rsidRPr="005A144C" w:rsidR="00DE6BF7">
        <w:rPr>
          <w:rFonts w:ascii="Century Schoolbook" w:hAnsi="Century Schoolbook"/>
        </w:rPr>
        <w:t xml:space="preserve"> </w:t>
      </w:r>
      <w:r w:rsidRPr="005A144C" w:rsidR="00243699">
        <w:rPr>
          <w:rFonts w:ascii="Century Schoolbook" w:hAnsi="Century Schoolbook"/>
        </w:rPr>
        <w:t>As for the multiplier, c</w:t>
      </w:r>
      <w:r w:rsidRPr="005A144C" w:rsidR="006D4344">
        <w:rPr>
          <w:rFonts w:ascii="Century Schoolbook" w:hAnsi="Century Schoolbook"/>
        </w:rPr>
        <w:t>ourts</w:t>
      </w:r>
      <w:r w:rsidRPr="005A144C" w:rsidR="001635B0">
        <w:rPr>
          <w:rFonts w:ascii="Century Schoolbook" w:hAnsi="Century Schoolbook"/>
        </w:rPr>
        <w:t xml:space="preserve"> </w:t>
      </w:r>
      <w:r w:rsidRPr="005A144C" w:rsidR="00647CDB">
        <w:rPr>
          <w:rFonts w:ascii="Century Schoolbook" w:hAnsi="Century Schoolbook"/>
        </w:rPr>
        <w:t xml:space="preserve">have the discretion to apply </w:t>
      </w:r>
      <w:r w:rsidRPr="005A144C" w:rsidR="004E1DFF">
        <w:rPr>
          <w:rFonts w:ascii="Century Schoolbook" w:hAnsi="Century Schoolbook"/>
        </w:rPr>
        <w:t>such a</w:t>
      </w:r>
      <w:r w:rsidRPr="005A144C" w:rsidR="00647CDB">
        <w:rPr>
          <w:rFonts w:ascii="Century Schoolbook" w:hAnsi="Century Schoolbook"/>
        </w:rPr>
        <w:t xml:space="preserve"> multiplier based on a variety of factors, </w:t>
      </w:r>
      <w:r w:rsidRPr="005A144C" w:rsidR="001635B0">
        <w:rPr>
          <w:rFonts w:ascii="Century Schoolbook" w:hAnsi="Century Schoolbook"/>
        </w:rPr>
        <w:t xml:space="preserve">including </w:t>
      </w:r>
      <w:r w:rsidRPr="005A144C" w:rsidR="00194C0D">
        <w:rPr>
          <w:rFonts w:ascii="Century Schoolbook" w:hAnsi="Century Schoolbook"/>
        </w:rPr>
        <w:t xml:space="preserve">novelty and difficulty of the questions </w:t>
      </w:r>
      <w:r w:rsidRPr="005A144C" w:rsidR="00647CDB">
        <w:rPr>
          <w:rFonts w:ascii="Century Schoolbook" w:hAnsi="Century Schoolbook"/>
        </w:rPr>
        <w:t>presented</w:t>
      </w:r>
      <w:r w:rsidRPr="005A144C" w:rsidR="000B7FEB">
        <w:rPr>
          <w:rFonts w:ascii="Century Schoolbook" w:hAnsi="Century Schoolbook"/>
        </w:rPr>
        <w:t xml:space="preserve"> in the </w:t>
      </w:r>
      <w:r w:rsidRPr="005A144C" w:rsidR="001E6106">
        <w:rPr>
          <w:rFonts w:ascii="Century Schoolbook" w:hAnsi="Century Schoolbook"/>
        </w:rPr>
        <w:t>action</w:t>
      </w:r>
      <w:r w:rsidRPr="005A144C" w:rsidR="000B7FEB">
        <w:rPr>
          <w:rFonts w:ascii="Century Schoolbook" w:hAnsi="Century Schoolbook"/>
        </w:rPr>
        <w:t>.  (</w:t>
      </w:r>
      <w:r w:rsidRPr="005A144C" w:rsidR="001635B0">
        <w:rPr>
          <w:rFonts w:ascii="Century Schoolbook" w:hAnsi="Century Schoolbook"/>
          <w:i/>
          <w:iCs/>
        </w:rPr>
        <w:t>Serrano v. Priest</w:t>
      </w:r>
      <w:r w:rsidRPr="005A144C" w:rsidR="000B7FEB">
        <w:rPr>
          <w:rFonts w:ascii="Century Schoolbook" w:hAnsi="Century Schoolbook"/>
        </w:rPr>
        <w:t xml:space="preserve">, </w:t>
      </w:r>
      <w:r w:rsidRPr="005A144C" w:rsidR="000B7FEB">
        <w:rPr>
          <w:rFonts w:ascii="Century Schoolbook" w:hAnsi="Century Schoolbook"/>
          <w:i/>
          <w:iCs/>
        </w:rPr>
        <w:t>supra</w:t>
      </w:r>
      <w:r w:rsidRPr="005A144C" w:rsidR="000B7FEB">
        <w:rPr>
          <w:rFonts w:ascii="Century Schoolbook" w:hAnsi="Century Schoolbook"/>
        </w:rPr>
        <w:t xml:space="preserve">, </w:t>
      </w:r>
      <w:r w:rsidRPr="005A144C" w:rsidR="001635B0">
        <w:rPr>
          <w:rFonts w:ascii="Century Schoolbook" w:hAnsi="Century Schoolbook"/>
        </w:rPr>
        <w:t xml:space="preserve">20 Cal.3d </w:t>
      </w:r>
      <w:r w:rsidRPr="005A144C" w:rsidR="000B7FEB">
        <w:rPr>
          <w:rFonts w:ascii="Century Schoolbook" w:hAnsi="Century Schoolbook"/>
        </w:rPr>
        <w:t>at p. 4</w:t>
      </w:r>
      <w:r w:rsidRPr="005A144C" w:rsidR="00592DD8">
        <w:rPr>
          <w:rFonts w:ascii="Century Schoolbook" w:hAnsi="Century Schoolbook"/>
        </w:rPr>
        <w:t>9</w:t>
      </w:r>
      <w:r w:rsidRPr="005A144C" w:rsidR="000B7FEB">
        <w:rPr>
          <w:rFonts w:ascii="Century Schoolbook" w:hAnsi="Century Schoolbook"/>
        </w:rPr>
        <w:t>.)</w:t>
      </w:r>
      <w:r w:rsidRPr="005A144C" w:rsidR="001635B0">
        <w:rPr>
          <w:rFonts w:ascii="Century Schoolbook" w:hAnsi="Century Schoolbook"/>
        </w:rPr>
        <w:t xml:space="preserve"> </w:t>
      </w:r>
      <w:r w:rsidRPr="005A144C" w:rsidR="000B7FEB">
        <w:rPr>
          <w:rFonts w:ascii="Century Schoolbook" w:hAnsi="Century Schoolbook"/>
        </w:rPr>
        <w:t xml:space="preserve"> </w:t>
      </w:r>
      <w:r w:rsidRPr="005A144C" w:rsidR="00B6248F">
        <w:rPr>
          <w:rFonts w:ascii="Century Schoolbook" w:hAnsi="Century Schoolbook"/>
        </w:rPr>
        <w:t xml:space="preserve">The trial court did not abuse its discretion in </w:t>
      </w:r>
      <w:r w:rsidRPr="005A144C" w:rsidR="00590E4D">
        <w:rPr>
          <w:rFonts w:ascii="Century Schoolbook" w:hAnsi="Century Schoolbook"/>
        </w:rPr>
        <w:t xml:space="preserve">applying </w:t>
      </w:r>
      <w:r w:rsidRPr="005A144C" w:rsidR="00E56E1C">
        <w:rPr>
          <w:rFonts w:ascii="Century Schoolbook" w:hAnsi="Century Schoolbook"/>
        </w:rPr>
        <w:t>the</w:t>
      </w:r>
      <w:r w:rsidRPr="005A144C" w:rsidR="00590E4D">
        <w:rPr>
          <w:rFonts w:ascii="Century Schoolbook" w:hAnsi="Century Schoolbook"/>
        </w:rPr>
        <w:t xml:space="preserve"> 1.25 multiplier</w:t>
      </w:r>
      <w:r w:rsidRPr="005A144C" w:rsidR="00C00171">
        <w:rPr>
          <w:rFonts w:ascii="Century Schoolbook" w:hAnsi="Century Schoolbook"/>
        </w:rPr>
        <w:t xml:space="preserve"> </w:t>
      </w:r>
      <w:r w:rsidRPr="005A144C" w:rsidR="00E56E1C">
        <w:rPr>
          <w:rFonts w:ascii="Century Schoolbook" w:hAnsi="Century Schoolbook"/>
        </w:rPr>
        <w:t xml:space="preserve">requested </w:t>
      </w:r>
      <w:r w:rsidRPr="005A144C" w:rsidR="00C00171">
        <w:rPr>
          <w:rFonts w:ascii="Century Schoolbook" w:hAnsi="Century Schoolbook"/>
        </w:rPr>
        <w:t>here</w:t>
      </w:r>
      <w:r w:rsidRPr="005A144C" w:rsidR="00590E4D">
        <w:rPr>
          <w:rFonts w:ascii="Century Schoolbook" w:hAnsi="Century Schoolbook"/>
        </w:rPr>
        <w:t xml:space="preserve"> </w:t>
      </w:r>
      <w:r w:rsidRPr="005A144C" w:rsidR="00085BFB">
        <w:rPr>
          <w:rFonts w:ascii="Century Schoolbook" w:hAnsi="Century Schoolbook"/>
        </w:rPr>
        <w:t>based on novel and difficult legal issues</w:t>
      </w:r>
      <w:r w:rsidRPr="005A144C" w:rsidR="00DE3DE2">
        <w:rPr>
          <w:rFonts w:ascii="Century Schoolbook" w:hAnsi="Century Schoolbook"/>
        </w:rPr>
        <w:t xml:space="preserve"> in this litigation</w:t>
      </w:r>
      <w:r w:rsidRPr="005A144C" w:rsidR="00085BFB">
        <w:rPr>
          <w:rFonts w:ascii="Century Schoolbook" w:hAnsi="Century Schoolbook"/>
        </w:rPr>
        <w:t xml:space="preserve">, including </w:t>
      </w:r>
      <w:r w:rsidRPr="005A144C" w:rsidR="00873834">
        <w:rPr>
          <w:rFonts w:ascii="Century Schoolbook" w:hAnsi="Century Schoolbook"/>
        </w:rPr>
        <w:t>whether waiver of section 5655 was void as against public policy.</w:t>
      </w:r>
    </w:p>
    <w:p w:rsidR="00035116" w:rsidRPr="005A144C" w:rsidP="002E22D7" w14:paraId="4296CBCB" w14:textId="685CBC83">
      <w:pPr>
        <w:spacing w:line="360" w:lineRule="auto"/>
        <w:rPr>
          <w:rFonts w:ascii="Century Schoolbook" w:hAnsi="Century Schoolbook"/>
        </w:rPr>
      </w:pPr>
      <w:r w:rsidRPr="005A144C">
        <w:rPr>
          <w:rFonts w:ascii="Century Schoolbook" w:hAnsi="Century Schoolbook"/>
        </w:rPr>
        <w:tab/>
        <w:t xml:space="preserve">Finally, the SG defendants argue that the </w:t>
      </w:r>
      <w:r w:rsidRPr="005A144C" w:rsidR="00F247BA">
        <w:rPr>
          <w:rFonts w:ascii="Century Schoolbook" w:hAnsi="Century Schoolbook"/>
        </w:rPr>
        <w:t>attorney fees should have been apportioned, with</w:t>
      </w:r>
      <w:r w:rsidRPr="005A144C">
        <w:rPr>
          <w:rFonts w:ascii="Century Schoolbook" w:hAnsi="Century Schoolbook"/>
        </w:rPr>
        <w:t xml:space="preserve"> ALS</w:t>
      </w:r>
      <w:r w:rsidRPr="005A144C" w:rsidR="00F247BA">
        <w:rPr>
          <w:rFonts w:ascii="Century Schoolbook" w:hAnsi="Century Schoolbook"/>
        </w:rPr>
        <w:t xml:space="preserve"> </w:t>
      </w:r>
      <w:r w:rsidRPr="005A144C" w:rsidR="00F7098B">
        <w:rPr>
          <w:rFonts w:ascii="Century Schoolbook" w:hAnsi="Century Schoolbook"/>
        </w:rPr>
        <w:t>being solely</w:t>
      </w:r>
      <w:r w:rsidRPr="005A144C" w:rsidR="00F247BA">
        <w:rPr>
          <w:rFonts w:ascii="Century Schoolbook" w:hAnsi="Century Schoolbook"/>
        </w:rPr>
        <w:t xml:space="preserve"> </w:t>
      </w:r>
      <w:r w:rsidRPr="005A144C" w:rsidR="00204663">
        <w:rPr>
          <w:rFonts w:ascii="Century Schoolbook" w:hAnsi="Century Schoolbook"/>
        </w:rPr>
        <w:t>responsible</w:t>
      </w:r>
      <w:r w:rsidRPr="005A144C" w:rsidR="00F247BA">
        <w:rPr>
          <w:rFonts w:ascii="Century Schoolbook" w:hAnsi="Century Schoolbook"/>
        </w:rPr>
        <w:t xml:space="preserve"> for fees incurred before</w:t>
      </w:r>
      <w:r w:rsidRPr="005A144C">
        <w:rPr>
          <w:rFonts w:ascii="Century Schoolbook" w:hAnsi="Century Schoolbook"/>
        </w:rPr>
        <w:t xml:space="preserve"> </w:t>
      </w:r>
      <w:r w:rsidRPr="005A144C" w:rsidR="00DE6BF7">
        <w:rPr>
          <w:rFonts w:ascii="Century Schoolbook" w:hAnsi="Century Schoolbook"/>
        </w:rPr>
        <w:t xml:space="preserve">the </w:t>
      </w:r>
      <w:r w:rsidRPr="005A144C">
        <w:rPr>
          <w:rFonts w:ascii="Century Schoolbook" w:hAnsi="Century Schoolbook"/>
        </w:rPr>
        <w:t>alter ego allegations</w:t>
      </w:r>
      <w:r w:rsidRPr="005A144C" w:rsidR="00105104">
        <w:rPr>
          <w:rFonts w:ascii="Century Schoolbook" w:hAnsi="Century Schoolbook"/>
        </w:rPr>
        <w:t xml:space="preserve"> were</w:t>
      </w:r>
      <w:r w:rsidRPr="005A144C">
        <w:rPr>
          <w:rFonts w:ascii="Century Schoolbook" w:hAnsi="Century Schoolbook"/>
        </w:rPr>
        <w:t xml:space="preserve"> added</w:t>
      </w:r>
      <w:r w:rsidRPr="005A144C" w:rsidR="00105104">
        <w:rPr>
          <w:rFonts w:ascii="Century Schoolbook" w:hAnsi="Century Schoolbook"/>
        </w:rPr>
        <w:t xml:space="preserve"> </w:t>
      </w:r>
      <w:r w:rsidRPr="005A144C" w:rsidR="00013231">
        <w:rPr>
          <w:rFonts w:ascii="Century Schoolbook" w:hAnsi="Century Schoolbook"/>
        </w:rPr>
        <w:t>to the first amended complaint in</w:t>
      </w:r>
      <w:r w:rsidRPr="005A144C" w:rsidR="00105104">
        <w:rPr>
          <w:rFonts w:ascii="Century Schoolbook" w:hAnsi="Century Schoolbook"/>
        </w:rPr>
        <w:t xml:space="preserve"> 2020</w:t>
      </w:r>
      <w:r w:rsidRPr="005A144C" w:rsidR="001E2069">
        <w:rPr>
          <w:rFonts w:ascii="Century Schoolbook" w:hAnsi="Century Schoolbook"/>
        </w:rPr>
        <w:t xml:space="preserve">. </w:t>
      </w:r>
      <w:r w:rsidRPr="005A144C" w:rsidR="00C35415">
        <w:rPr>
          <w:rFonts w:ascii="Century Schoolbook" w:hAnsi="Century Schoolbook"/>
        </w:rPr>
        <w:t xml:space="preserve"> </w:t>
      </w:r>
      <w:r w:rsidRPr="005A144C" w:rsidR="00673843">
        <w:rPr>
          <w:rFonts w:ascii="Century Schoolbook" w:hAnsi="Century Schoolbook"/>
        </w:rPr>
        <w:t xml:space="preserve">“[T]rial courts have discretion not only in setting the amount of an award of attorney fees, but in allocating the award among various defendants based on their relative culpability.” </w:t>
      </w:r>
      <w:r w:rsidRPr="005A144C" w:rsidR="003C7076">
        <w:rPr>
          <w:rFonts w:ascii="Century Schoolbook" w:hAnsi="Century Schoolbook"/>
        </w:rPr>
        <w:t xml:space="preserve"> </w:t>
      </w:r>
      <w:r w:rsidRPr="005A144C" w:rsidR="00673843">
        <w:rPr>
          <w:rFonts w:ascii="Century Schoolbook" w:hAnsi="Century Schoolbook"/>
        </w:rPr>
        <w:t>(</w:t>
      </w:r>
      <w:r w:rsidRPr="005A144C" w:rsidR="00673843">
        <w:rPr>
          <w:rFonts w:ascii="Century Schoolbook" w:hAnsi="Century Schoolbook"/>
          <w:i/>
          <w:iCs/>
        </w:rPr>
        <w:t xml:space="preserve">Gorman v. Tassajara Development </w:t>
      </w:r>
      <w:r w:rsidRPr="005A144C" w:rsidR="00A64E4F">
        <w:rPr>
          <w:rFonts w:ascii="Century Schoolbook" w:hAnsi="Century Schoolbook"/>
          <w:i/>
          <w:iCs/>
        </w:rPr>
        <w:t>Corp.</w:t>
      </w:r>
      <w:r w:rsidRPr="005A144C" w:rsidR="00A64E4F">
        <w:rPr>
          <w:rFonts w:ascii="Century Schoolbook" w:hAnsi="Century Schoolbook"/>
        </w:rPr>
        <w:t xml:space="preserve"> </w:t>
      </w:r>
      <w:r w:rsidRPr="005A144C" w:rsidR="00673843">
        <w:rPr>
          <w:rFonts w:ascii="Century Schoolbook" w:hAnsi="Century Schoolbook"/>
        </w:rPr>
        <w:t>(2009) 178 Cal.App.4th 44, 97–98.)</w:t>
      </w:r>
      <w:r w:rsidRPr="005A144C" w:rsidR="00465D04">
        <w:rPr>
          <w:rFonts w:ascii="Century Schoolbook" w:hAnsi="Century Schoolbook"/>
        </w:rPr>
        <w:t xml:space="preserve">  Here, however, </w:t>
      </w:r>
      <w:r w:rsidRPr="005A144C" w:rsidR="00A35B2B">
        <w:rPr>
          <w:rFonts w:ascii="Century Schoolbook" w:hAnsi="Century Schoolbook"/>
        </w:rPr>
        <w:t xml:space="preserve">the SG defendants were </w:t>
      </w:r>
      <w:r w:rsidRPr="005A144C" w:rsidR="00EE00D8">
        <w:rPr>
          <w:rFonts w:ascii="Century Schoolbook" w:hAnsi="Century Schoolbook"/>
        </w:rPr>
        <w:t xml:space="preserve">determined to be the </w:t>
      </w:r>
      <w:r w:rsidRPr="005A144C" w:rsidR="00A35B2B">
        <w:rPr>
          <w:rFonts w:ascii="Century Schoolbook" w:hAnsi="Century Schoolbook"/>
        </w:rPr>
        <w:t>alter egos</w:t>
      </w:r>
      <w:r w:rsidRPr="005A144C" w:rsidR="00A95595">
        <w:rPr>
          <w:rFonts w:ascii="Century Schoolbook" w:hAnsi="Century Schoolbook"/>
        </w:rPr>
        <w:t xml:space="preserve"> of ALS</w:t>
      </w:r>
      <w:r w:rsidRPr="005A144C" w:rsidR="009B0574">
        <w:rPr>
          <w:rFonts w:ascii="Century Schoolbook" w:hAnsi="Century Schoolbook"/>
        </w:rPr>
        <w:t xml:space="preserve"> and thus held liable for its obligations</w:t>
      </w:r>
      <w:r w:rsidRPr="005A144C" w:rsidR="00530D9D">
        <w:rPr>
          <w:rFonts w:ascii="Century Schoolbook" w:hAnsi="Century Schoolbook"/>
        </w:rPr>
        <w:t>.  (</w:t>
      </w:r>
      <w:r w:rsidRPr="005A144C" w:rsidR="00530D9D">
        <w:rPr>
          <w:rFonts w:ascii="Century Schoolbook" w:hAnsi="Century Schoolbook"/>
          <w:i/>
          <w:iCs/>
        </w:rPr>
        <w:t>Leek v. Cooper</w:t>
      </w:r>
      <w:r w:rsidRPr="005A144C" w:rsidR="00530D9D">
        <w:rPr>
          <w:rFonts w:ascii="Century Schoolbook" w:hAnsi="Century Schoolbook"/>
        </w:rPr>
        <w:t xml:space="preserve">, </w:t>
      </w:r>
      <w:r w:rsidRPr="005A144C" w:rsidR="00530D9D">
        <w:rPr>
          <w:rFonts w:ascii="Century Schoolbook" w:hAnsi="Century Schoolbook"/>
          <w:i/>
          <w:iCs/>
        </w:rPr>
        <w:t>supra</w:t>
      </w:r>
      <w:r w:rsidRPr="005A144C" w:rsidR="00530D9D">
        <w:rPr>
          <w:rFonts w:ascii="Century Schoolbook" w:hAnsi="Century Schoolbook"/>
        </w:rPr>
        <w:t>, 194 Cal.App.4th at p. 419.)</w:t>
      </w:r>
      <w:r w:rsidRPr="005A144C" w:rsidR="00BF5F48">
        <w:rPr>
          <w:rFonts w:ascii="Century Schoolbook" w:hAnsi="Century Schoolbook"/>
        </w:rPr>
        <w:t xml:space="preserve">  </w:t>
      </w:r>
      <w:r w:rsidRPr="005A144C" w:rsidR="003B330D">
        <w:rPr>
          <w:rFonts w:ascii="Century Schoolbook" w:hAnsi="Century Schoolbook"/>
        </w:rPr>
        <w:t xml:space="preserve">Accordingly, </w:t>
      </w:r>
      <w:r w:rsidRPr="005A144C" w:rsidR="00F8015D">
        <w:rPr>
          <w:rFonts w:ascii="Century Schoolbook" w:hAnsi="Century Schoolbook"/>
        </w:rPr>
        <w:t xml:space="preserve">there was no </w:t>
      </w:r>
      <w:r w:rsidRPr="005A144C" w:rsidR="000F08D3">
        <w:rPr>
          <w:rFonts w:ascii="Century Schoolbook" w:hAnsi="Century Schoolbook"/>
        </w:rPr>
        <w:t xml:space="preserve">distinction between the liability </w:t>
      </w:r>
      <w:r w:rsidRPr="005A144C" w:rsidR="003538CE">
        <w:rPr>
          <w:rFonts w:ascii="Century Schoolbook" w:hAnsi="Century Schoolbook"/>
        </w:rPr>
        <w:t xml:space="preserve">of the </w:t>
      </w:r>
      <w:r w:rsidRPr="005A144C" w:rsidR="00380617">
        <w:rPr>
          <w:rFonts w:ascii="Century Schoolbook" w:hAnsi="Century Schoolbook"/>
        </w:rPr>
        <w:t xml:space="preserve">defendant </w:t>
      </w:r>
      <w:r w:rsidRPr="005A144C" w:rsidR="003538CE">
        <w:rPr>
          <w:rFonts w:ascii="Century Schoolbook" w:hAnsi="Century Schoolbook"/>
        </w:rPr>
        <w:t xml:space="preserve">entities </w:t>
      </w:r>
      <w:r w:rsidRPr="005A144C" w:rsidR="00380617">
        <w:rPr>
          <w:rFonts w:ascii="Century Schoolbook" w:hAnsi="Century Schoolbook"/>
        </w:rPr>
        <w:t>here</w:t>
      </w:r>
      <w:r w:rsidRPr="005A144C" w:rsidR="00533074">
        <w:rPr>
          <w:rFonts w:ascii="Century Schoolbook" w:hAnsi="Century Schoolbook"/>
        </w:rPr>
        <w:t>,</w:t>
      </w:r>
      <w:r w:rsidRPr="005A144C" w:rsidR="00380617">
        <w:rPr>
          <w:rFonts w:ascii="Century Schoolbook" w:hAnsi="Century Schoolbook"/>
        </w:rPr>
        <w:t xml:space="preserve"> </w:t>
      </w:r>
      <w:r w:rsidRPr="005A144C" w:rsidR="00F8015D">
        <w:rPr>
          <w:rFonts w:ascii="Century Schoolbook" w:hAnsi="Century Schoolbook"/>
        </w:rPr>
        <w:t xml:space="preserve">and </w:t>
      </w:r>
      <w:r w:rsidRPr="005A144C" w:rsidR="003B330D">
        <w:rPr>
          <w:rFonts w:ascii="Century Schoolbook" w:hAnsi="Century Schoolbook"/>
        </w:rPr>
        <w:t>work performed to pursue and prove ALS’s liability was common to the SG defendants</w:t>
      </w:r>
      <w:r w:rsidRPr="005A144C" w:rsidR="00BF5F48">
        <w:rPr>
          <w:rFonts w:ascii="Century Schoolbook" w:hAnsi="Century Schoolbook"/>
        </w:rPr>
        <w:t>.</w:t>
      </w:r>
    </w:p>
    <w:p w:rsidR="00142B79" w:rsidP="002E22D7" w14:paraId="11A783BA" w14:textId="2959FE83">
      <w:pPr>
        <w:spacing w:line="360" w:lineRule="auto"/>
        <w:rPr>
          <w:rFonts w:ascii="Century Schoolbook" w:hAnsi="Century Schoolbook"/>
        </w:rPr>
      </w:pPr>
      <w:r w:rsidRPr="005A144C">
        <w:rPr>
          <w:rFonts w:ascii="Century Schoolbook" w:hAnsi="Century Schoolbook"/>
        </w:rPr>
        <w:tab/>
        <w:t xml:space="preserve">In sum, we conclude that the trial court did not abuse its discretion in awarding </w:t>
      </w:r>
      <w:r w:rsidRPr="005A144C" w:rsidR="006D6414">
        <w:rPr>
          <w:rFonts w:ascii="Century Schoolbook" w:hAnsi="Century Schoolbook"/>
        </w:rPr>
        <w:t xml:space="preserve">$1,173,816 in fees to </w:t>
      </w:r>
      <w:r w:rsidRPr="005A144C">
        <w:rPr>
          <w:rFonts w:ascii="Century Schoolbook" w:hAnsi="Century Schoolbook"/>
        </w:rPr>
        <w:t>class counsel</w:t>
      </w:r>
      <w:r w:rsidRPr="005A144C" w:rsidR="00C0482F">
        <w:rPr>
          <w:rFonts w:ascii="Century Schoolbook" w:hAnsi="Century Schoolbook"/>
        </w:rPr>
        <w:t xml:space="preserve"> against ALS and the SG defendants jointly and severally</w:t>
      </w:r>
      <w:r w:rsidRPr="005A144C">
        <w:rPr>
          <w:rFonts w:ascii="Century Schoolbook" w:hAnsi="Century Schoolbook"/>
        </w:rPr>
        <w:t>.</w:t>
      </w:r>
    </w:p>
    <w:p w:rsidR="0000704F" w:rsidP="002E22D7" w14:paraId="20CE571A" w14:textId="77777777">
      <w:pPr>
        <w:spacing w:line="360" w:lineRule="auto"/>
        <w:rPr>
          <w:rFonts w:ascii="Century Schoolbook" w:hAnsi="Century Schoolbook"/>
        </w:rPr>
      </w:pPr>
    </w:p>
    <w:p w:rsidR="0000704F" w:rsidRPr="005A144C" w:rsidP="002E22D7" w14:paraId="6CBC0016" w14:textId="77777777">
      <w:pPr>
        <w:spacing w:line="360" w:lineRule="auto"/>
        <w:rPr>
          <w:rFonts w:ascii="Century Schoolbook" w:hAnsi="Century Schoolbook"/>
        </w:rPr>
      </w:pPr>
    </w:p>
    <w:p w:rsidR="008B04BA" w:rsidRPr="005A144C" w:rsidP="002E22D7" w14:paraId="5CA89358" w14:textId="77777777">
      <w:pPr>
        <w:keepNext/>
        <w:spacing w:line="360" w:lineRule="auto"/>
        <w:jc w:val="center"/>
        <w:rPr>
          <w:rFonts w:ascii="Century Schoolbook" w:hAnsi="Century Schoolbook"/>
        </w:rPr>
      </w:pPr>
      <w:r w:rsidRPr="005A144C">
        <w:rPr>
          <w:rFonts w:ascii="Century Schoolbook" w:hAnsi="Century Schoolbook"/>
          <w:b/>
        </w:rPr>
        <w:t>III.  DISPOSITION</w:t>
      </w:r>
    </w:p>
    <w:p w:rsidR="0088014E" w:rsidRPr="005A144C" w:rsidP="002E22D7" w14:paraId="784BCB30" w14:textId="12AFC191">
      <w:pPr>
        <w:spacing w:line="360" w:lineRule="auto"/>
        <w:rPr>
          <w:rFonts w:ascii="Century Schoolbook" w:hAnsi="Century Schoolbook"/>
        </w:rPr>
      </w:pPr>
      <w:r w:rsidRPr="005A144C">
        <w:rPr>
          <w:rFonts w:ascii="Century Schoolbook" w:hAnsi="Century Schoolbook"/>
        </w:rPr>
        <w:tab/>
      </w:r>
      <w:r w:rsidRPr="005A144C" w:rsidR="00D40ADA">
        <w:rPr>
          <w:rFonts w:ascii="Century Schoolbook" w:hAnsi="Century Schoolbook"/>
        </w:rPr>
        <w:t xml:space="preserve">The </w:t>
      </w:r>
      <w:r w:rsidRPr="005A144C" w:rsidR="0098238A">
        <w:rPr>
          <w:rFonts w:ascii="Century Schoolbook" w:hAnsi="Century Schoolbook"/>
        </w:rPr>
        <w:t>judgment is</w:t>
      </w:r>
      <w:r w:rsidRPr="005A144C" w:rsidR="007E0F8D">
        <w:rPr>
          <w:rFonts w:ascii="Century Schoolbook" w:hAnsi="Century Schoolbook"/>
        </w:rPr>
        <w:t xml:space="preserve"> affirmed</w:t>
      </w:r>
      <w:r w:rsidRPr="005A144C" w:rsidR="00D40ADA">
        <w:rPr>
          <w:rFonts w:ascii="Century Schoolbook" w:hAnsi="Century Schoolbook"/>
        </w:rPr>
        <w:t>.</w:t>
      </w:r>
      <w:r w:rsidRPr="005A144C" w:rsidR="0098238A">
        <w:rPr>
          <w:rFonts w:ascii="Century Schoolbook" w:hAnsi="Century Schoolbook"/>
        </w:rPr>
        <w:t xml:space="preserve">  </w:t>
      </w:r>
      <w:r w:rsidRPr="005A144C" w:rsidR="00B216E5">
        <w:rPr>
          <w:rFonts w:ascii="Century Schoolbook" w:hAnsi="Century Schoolbook"/>
        </w:rPr>
        <w:t>Doskocz is entitled to her</w:t>
      </w:r>
      <w:r w:rsidRPr="005A144C" w:rsidR="008D3A71">
        <w:rPr>
          <w:rFonts w:ascii="Century Schoolbook" w:hAnsi="Century Schoolbook"/>
        </w:rPr>
        <w:t xml:space="preserve"> costs on appeal. </w:t>
      </w:r>
      <w:r w:rsidRPr="005A144C" w:rsidR="00B216E5">
        <w:rPr>
          <w:rFonts w:ascii="Century Schoolbook" w:hAnsi="Century Schoolbook"/>
        </w:rPr>
        <w:t xml:space="preserve"> </w:t>
      </w:r>
      <w:r w:rsidRPr="005A144C" w:rsidR="008D3A71">
        <w:rPr>
          <w:rFonts w:ascii="Century Schoolbook" w:hAnsi="Century Schoolbook"/>
        </w:rPr>
        <w:t>(Cal. Rules of Court, rule 8.278(a)(2).)</w:t>
      </w:r>
    </w:p>
    <w:p w:rsidR="000075B0" w:rsidRPr="005A144C" w:rsidP="002E22D7" w14:paraId="4B631801" w14:textId="77777777">
      <w:pPr>
        <w:spacing w:line="240" w:lineRule="auto"/>
        <w:rPr>
          <w:rFonts w:ascii="Century Schoolbook" w:hAnsi="Century Schoolbook"/>
        </w:rPr>
      </w:pPr>
    </w:p>
    <w:p w:rsidR="000075B0" w:rsidRPr="005A144C" w:rsidP="002E22D7" w14:paraId="339CAE8A" w14:textId="77777777">
      <w:pPr>
        <w:spacing w:line="240" w:lineRule="auto"/>
        <w:rPr>
          <w:rFonts w:ascii="Century Schoolbook" w:hAnsi="Century Schoolbook"/>
        </w:rPr>
      </w:pPr>
    </w:p>
    <w:p w:rsidR="000075B0" w:rsidRPr="005A144C" w:rsidP="002E22D7" w14:paraId="1CE0A53F" w14:textId="77777777">
      <w:pPr>
        <w:spacing w:line="240" w:lineRule="auto"/>
        <w:rPr>
          <w:rFonts w:ascii="Century Schoolbook" w:hAnsi="Century Schoolbook"/>
        </w:rPr>
      </w:pPr>
    </w:p>
    <w:p w:rsidR="000075B0" w:rsidRPr="005A144C" w:rsidP="002E22D7" w14:paraId="713035CE" w14:textId="77777777">
      <w:pPr>
        <w:spacing w:line="240" w:lineRule="auto"/>
        <w:rPr>
          <w:rFonts w:ascii="Century Schoolbook" w:hAnsi="Century Schoolbook"/>
        </w:rPr>
      </w:pPr>
    </w:p>
    <w:p w:rsidR="000075B0" w:rsidRPr="005A144C" w:rsidP="002E22D7" w14:paraId="618D0A75" w14:textId="77777777">
      <w:pPr>
        <w:spacing w:line="240" w:lineRule="auto"/>
        <w:rPr>
          <w:rFonts w:ascii="Century Schoolbook" w:hAnsi="Century Schoolbook"/>
          <w:smallCaps/>
        </w:rPr>
      </w:pPr>
      <w:r w:rsidRPr="005A144C">
        <w:rPr>
          <w:rFonts w:ascii="Century Schoolbook" w:hAnsi="Century Schoolbook"/>
          <w:smallCaps/>
        </w:rPr>
        <w:tab/>
      </w:r>
      <w:r w:rsidRPr="005A144C">
        <w:rPr>
          <w:rFonts w:ascii="Century Schoolbook" w:hAnsi="Century Schoolbook"/>
          <w:smallCaps/>
        </w:rPr>
        <w:tab/>
      </w:r>
      <w:r w:rsidRPr="005A144C">
        <w:rPr>
          <w:rFonts w:ascii="Century Schoolbook" w:hAnsi="Century Schoolbook"/>
          <w:smallCaps/>
        </w:rPr>
        <w:tab/>
      </w:r>
      <w:r w:rsidRPr="005A144C">
        <w:rPr>
          <w:rFonts w:ascii="Century Schoolbook" w:hAnsi="Century Schoolbook"/>
          <w:smallCaps/>
        </w:rPr>
        <w:tab/>
      </w:r>
      <w:r w:rsidRPr="005A144C">
        <w:rPr>
          <w:rFonts w:ascii="Century Schoolbook" w:hAnsi="Century Schoolbook"/>
          <w:smallCaps/>
        </w:rPr>
        <w:tab/>
      </w:r>
      <w:r w:rsidRPr="005A144C">
        <w:rPr>
          <w:rFonts w:ascii="Century Schoolbook" w:hAnsi="Century Schoolbook"/>
          <w:smallCaps/>
        </w:rPr>
        <w:tab/>
      </w:r>
      <w:r w:rsidRPr="005A144C">
        <w:rPr>
          <w:rFonts w:ascii="Century Schoolbook" w:hAnsi="Century Schoolbook"/>
          <w:smallCaps/>
        </w:rPr>
        <w:tab/>
        <w:t>Castro, J.</w:t>
      </w:r>
      <w:r>
        <w:rPr>
          <w:rStyle w:val="FootnoteReference"/>
          <w:rFonts w:ascii="Century Schoolbook" w:hAnsi="Century Schoolbook"/>
          <w:smallCaps/>
        </w:rPr>
        <w:footnoteReference w:customMarkFollows="1" w:id="12"/>
        <w:t xml:space="preserve">*</w:t>
      </w:r>
    </w:p>
    <w:p w:rsidR="000075B0" w:rsidRPr="005A144C" w:rsidP="002E22D7" w14:paraId="7AD7169F" w14:textId="77777777">
      <w:pPr>
        <w:spacing w:line="240" w:lineRule="auto"/>
        <w:rPr>
          <w:rFonts w:ascii="Century Schoolbook" w:hAnsi="Century Schoolbook"/>
          <w:smallCaps/>
        </w:rPr>
      </w:pPr>
    </w:p>
    <w:p w:rsidR="000075B0" w:rsidRPr="005A144C" w:rsidP="002E22D7" w14:paraId="288BD616" w14:textId="77777777">
      <w:pPr>
        <w:spacing w:line="240" w:lineRule="auto"/>
        <w:rPr>
          <w:rFonts w:ascii="Century Schoolbook" w:hAnsi="Century Schoolbook"/>
          <w:smallCaps/>
        </w:rPr>
      </w:pPr>
    </w:p>
    <w:p w:rsidR="000075B0" w:rsidRPr="005A144C" w:rsidP="002E22D7" w14:paraId="17A0DB71" w14:textId="77777777">
      <w:pPr>
        <w:spacing w:line="240" w:lineRule="auto"/>
        <w:rPr>
          <w:rFonts w:ascii="Century Schoolbook" w:hAnsi="Century Schoolbook"/>
        </w:rPr>
      </w:pPr>
    </w:p>
    <w:p w:rsidR="000075B0" w:rsidRPr="005A144C" w:rsidP="002E22D7" w14:paraId="110F428A" w14:textId="77777777">
      <w:pPr>
        <w:spacing w:line="240" w:lineRule="auto"/>
        <w:rPr>
          <w:rFonts w:ascii="Century Schoolbook" w:hAnsi="Century Schoolbook"/>
        </w:rPr>
      </w:pPr>
    </w:p>
    <w:p w:rsidR="000075B0" w:rsidRPr="005A144C" w:rsidP="002E22D7" w14:paraId="11785C5C" w14:textId="77777777">
      <w:pPr>
        <w:spacing w:line="240" w:lineRule="auto"/>
        <w:rPr>
          <w:rFonts w:ascii="Century Schoolbook" w:hAnsi="Century Schoolbook"/>
        </w:rPr>
      </w:pPr>
      <w:r w:rsidRPr="005A144C">
        <w:rPr>
          <w:rFonts w:ascii="Century Schoolbook" w:hAnsi="Century Schoolbook"/>
        </w:rPr>
        <w:t>WE CONCUR:</w:t>
      </w:r>
    </w:p>
    <w:p w:rsidR="000075B0" w:rsidRPr="005A144C" w:rsidP="002E22D7" w14:paraId="517C000D" w14:textId="77777777">
      <w:pPr>
        <w:spacing w:line="240" w:lineRule="auto"/>
        <w:rPr>
          <w:rFonts w:ascii="Century Schoolbook" w:hAnsi="Century Schoolbook"/>
        </w:rPr>
      </w:pPr>
    </w:p>
    <w:p w:rsidR="000075B0" w:rsidRPr="005A144C" w:rsidP="002E22D7" w14:paraId="1D1AC944" w14:textId="77777777">
      <w:pPr>
        <w:spacing w:line="240" w:lineRule="auto"/>
        <w:rPr>
          <w:rFonts w:ascii="Century Schoolbook" w:hAnsi="Century Schoolbook"/>
        </w:rPr>
      </w:pPr>
    </w:p>
    <w:p w:rsidR="000075B0" w:rsidRPr="005A144C" w:rsidP="002E22D7" w14:paraId="27A807AD" w14:textId="77777777">
      <w:pPr>
        <w:spacing w:line="240" w:lineRule="auto"/>
        <w:rPr>
          <w:rFonts w:ascii="Century Schoolbook" w:hAnsi="Century Schoolbook"/>
        </w:rPr>
      </w:pPr>
    </w:p>
    <w:p w:rsidR="000075B0" w:rsidRPr="005A144C" w:rsidP="002E22D7" w14:paraId="743B46BF" w14:textId="77777777">
      <w:pPr>
        <w:spacing w:line="240" w:lineRule="auto"/>
        <w:rPr>
          <w:rFonts w:ascii="Century Schoolbook" w:hAnsi="Century Schoolbook"/>
          <w:smallCaps/>
        </w:rPr>
      </w:pPr>
      <w:r w:rsidRPr="005A144C">
        <w:rPr>
          <w:rFonts w:ascii="Century Schoolbook" w:hAnsi="Century Schoolbook"/>
          <w:smallCaps/>
        </w:rPr>
        <w:t>Humes, P. J.</w:t>
      </w:r>
    </w:p>
    <w:p w:rsidR="000075B0" w:rsidRPr="005A144C" w:rsidP="002E22D7" w14:paraId="2115F17E" w14:textId="77777777">
      <w:pPr>
        <w:spacing w:line="240" w:lineRule="auto"/>
        <w:rPr>
          <w:rFonts w:ascii="Century Schoolbook" w:hAnsi="Century Schoolbook"/>
          <w:smallCaps/>
        </w:rPr>
      </w:pPr>
    </w:p>
    <w:p w:rsidR="000075B0" w:rsidRPr="005A144C" w:rsidP="002E22D7" w14:paraId="61DE3C06" w14:textId="77777777">
      <w:pPr>
        <w:spacing w:line="240" w:lineRule="auto"/>
        <w:rPr>
          <w:rFonts w:ascii="Century Schoolbook" w:hAnsi="Century Schoolbook"/>
          <w:smallCaps/>
        </w:rPr>
      </w:pPr>
    </w:p>
    <w:p w:rsidR="000075B0" w:rsidRPr="005A144C" w:rsidP="002E22D7" w14:paraId="25B19670" w14:textId="77777777">
      <w:pPr>
        <w:spacing w:line="240" w:lineRule="auto"/>
        <w:rPr>
          <w:rFonts w:ascii="Century Schoolbook" w:hAnsi="Century Schoolbook"/>
          <w:smallCaps/>
        </w:rPr>
      </w:pPr>
    </w:p>
    <w:p w:rsidR="000075B0" w:rsidRPr="005A144C" w:rsidP="002E22D7" w14:paraId="28E4FB84" w14:textId="77777777">
      <w:pPr>
        <w:spacing w:line="240" w:lineRule="auto"/>
        <w:rPr>
          <w:rFonts w:ascii="Century Schoolbook" w:hAnsi="Century Schoolbook"/>
          <w:smallCaps/>
        </w:rPr>
      </w:pPr>
      <w:r w:rsidRPr="005A144C">
        <w:rPr>
          <w:rFonts w:ascii="Century Schoolbook" w:hAnsi="Century Schoolbook"/>
          <w:smallCaps/>
        </w:rPr>
        <w:t>Banke, J.</w:t>
      </w:r>
    </w:p>
    <w:p w:rsidR="000075B0" w:rsidRPr="005A144C" w:rsidP="002E22D7" w14:paraId="7391AC99" w14:textId="77777777">
      <w:pPr>
        <w:spacing w:line="240" w:lineRule="auto"/>
        <w:rPr>
          <w:rFonts w:ascii="Century Schoolbook" w:hAnsi="Century Schoolbook"/>
          <w:smallCaps/>
        </w:rPr>
      </w:pPr>
    </w:p>
    <w:p w:rsidR="000075B0" w:rsidRPr="005A144C" w:rsidP="002E22D7" w14:paraId="36976BE2" w14:textId="77777777">
      <w:pPr>
        <w:spacing w:line="240" w:lineRule="auto"/>
        <w:rPr>
          <w:rFonts w:ascii="Century Schoolbook" w:hAnsi="Century Schoolbook"/>
          <w:smallCaps/>
        </w:rPr>
      </w:pPr>
    </w:p>
    <w:p w:rsidR="000075B0" w:rsidRPr="005A144C" w:rsidP="002E22D7" w14:paraId="6A129225" w14:textId="77777777">
      <w:pPr>
        <w:spacing w:line="240" w:lineRule="auto"/>
        <w:rPr>
          <w:rFonts w:ascii="Century Schoolbook" w:hAnsi="Century Schoolbook"/>
          <w:smallCaps/>
        </w:rPr>
      </w:pPr>
    </w:p>
    <w:p w:rsidR="000075B0" w:rsidRPr="005A144C" w:rsidP="002E22D7" w14:paraId="19118419" w14:textId="77777777">
      <w:pPr>
        <w:spacing w:line="240" w:lineRule="auto"/>
        <w:rPr>
          <w:rFonts w:ascii="Century Schoolbook" w:hAnsi="Century Schoolbook"/>
          <w:smallCaps/>
        </w:rPr>
      </w:pPr>
    </w:p>
    <w:p w:rsidR="000075B0" w:rsidRPr="005A144C" w:rsidP="002E22D7" w14:paraId="50056954" w14:textId="77777777">
      <w:pPr>
        <w:spacing w:line="240" w:lineRule="auto"/>
        <w:rPr>
          <w:rFonts w:ascii="Century Schoolbook" w:hAnsi="Century Schoolbook"/>
          <w:smallCaps/>
        </w:rPr>
      </w:pPr>
    </w:p>
    <w:p w:rsidR="000075B0" w:rsidRPr="005A144C" w:rsidP="002E22D7" w14:paraId="7AA6A8D5" w14:textId="77777777">
      <w:pPr>
        <w:spacing w:line="240" w:lineRule="auto"/>
        <w:rPr>
          <w:rFonts w:ascii="Century Schoolbook" w:hAnsi="Century Schoolbook"/>
          <w:smallCaps/>
        </w:rPr>
      </w:pPr>
    </w:p>
    <w:p w:rsidR="000075B0" w:rsidRPr="005A144C" w:rsidP="002E22D7" w14:paraId="66A7F41B" w14:textId="77777777">
      <w:pPr>
        <w:spacing w:line="240" w:lineRule="auto"/>
        <w:rPr>
          <w:rFonts w:ascii="Century Schoolbook" w:hAnsi="Century Schoolbook"/>
          <w:smallCaps/>
        </w:rPr>
      </w:pPr>
    </w:p>
    <w:p w:rsidR="000075B0" w:rsidRPr="005A144C" w:rsidP="002E22D7" w14:paraId="2A0D6508" w14:textId="77777777">
      <w:pPr>
        <w:spacing w:line="240" w:lineRule="auto"/>
        <w:rPr>
          <w:rFonts w:ascii="Century Schoolbook" w:hAnsi="Century Schoolbook"/>
        </w:rPr>
      </w:pPr>
    </w:p>
    <w:p w:rsidR="000075B0" w:rsidRPr="005A144C" w:rsidP="002E22D7" w14:paraId="5EE9A8C4" w14:textId="77777777">
      <w:pPr>
        <w:spacing w:line="240" w:lineRule="auto"/>
        <w:rPr>
          <w:rFonts w:ascii="Century Schoolbook" w:hAnsi="Century Schoolbook"/>
        </w:rPr>
      </w:pPr>
    </w:p>
    <w:p w:rsidR="000075B0" w:rsidRPr="005A144C" w:rsidP="002E22D7" w14:paraId="44FC3E45" w14:textId="77777777">
      <w:pPr>
        <w:spacing w:line="240" w:lineRule="auto"/>
        <w:rPr>
          <w:rFonts w:ascii="Century Schoolbook" w:hAnsi="Century Schoolbook"/>
        </w:rPr>
      </w:pPr>
    </w:p>
    <w:p w:rsidR="000075B0" w:rsidRPr="005A144C" w:rsidP="002E22D7" w14:paraId="1BEDB975" w14:textId="77777777">
      <w:pPr>
        <w:spacing w:line="240" w:lineRule="auto"/>
        <w:rPr>
          <w:rFonts w:ascii="Century Schoolbook" w:hAnsi="Century Schoolbook"/>
        </w:rPr>
      </w:pPr>
    </w:p>
    <w:p w:rsidR="000075B0" w:rsidRPr="005A144C" w:rsidP="002E22D7" w14:paraId="09F06F8F" w14:textId="66981864">
      <w:pPr>
        <w:spacing w:line="240" w:lineRule="auto"/>
        <w:rPr>
          <w:rFonts w:ascii="Century Schoolbook" w:hAnsi="Century Schoolbook"/>
        </w:rPr>
      </w:pPr>
      <w:r w:rsidRPr="005A144C">
        <w:rPr>
          <w:rFonts w:ascii="Century Schoolbook" w:hAnsi="Century Schoolbook"/>
        </w:rPr>
        <w:t>A</w:t>
      </w:r>
      <w:r w:rsidRPr="005A144C" w:rsidR="00F13EDC">
        <w:rPr>
          <w:rFonts w:ascii="Century Schoolbook" w:hAnsi="Century Schoolbook"/>
        </w:rPr>
        <w:t>166299</w:t>
      </w:r>
    </w:p>
    <w:p w:rsidR="000075B0" w:rsidP="002E22D7" w14:paraId="67F4814F" w14:textId="3CF3C6F1">
      <w:pPr>
        <w:spacing w:line="240" w:lineRule="auto"/>
        <w:rPr>
          <w:rFonts w:ascii="Century Schoolbook" w:hAnsi="Century Schoolbook"/>
          <w:i/>
        </w:rPr>
      </w:pPr>
      <w:r w:rsidRPr="005A144C">
        <w:rPr>
          <w:rFonts w:ascii="Century Schoolbook" w:hAnsi="Century Schoolbook"/>
          <w:i/>
        </w:rPr>
        <w:t>Doskocz v. ALS Lien Services</w:t>
      </w:r>
    </w:p>
    <w:p w:rsidR="000075B0" w:rsidP="002E22D7" w14:paraId="2A11B507" w14:textId="77777777">
      <w:pPr>
        <w:spacing w:line="240" w:lineRule="auto"/>
        <w:rPr>
          <w:rFonts w:ascii="Century Schoolbook" w:hAnsi="Century Schoolbook"/>
          <w:iCs/>
        </w:rPr>
      </w:pPr>
    </w:p>
    <w:p w:rsidR="00950E24" w14:paraId="248F17E9" w14:textId="3142A903">
      <w:pPr>
        <w:tabs>
          <w:tab w:val="clear" w:pos="720"/>
        </w:tabs>
        <w:spacing w:after="160" w:line="259" w:lineRule="auto"/>
        <w:rPr>
          <w:rFonts w:ascii="Century Schoolbook" w:hAnsi="Century Schoolbook"/>
        </w:rPr>
      </w:pPr>
      <w:r>
        <w:rPr>
          <w:rFonts w:ascii="Century Schoolbook" w:hAnsi="Century Schoolbook"/>
        </w:rPr>
        <w:br w:type="page"/>
      </w:r>
    </w:p>
    <w:p w:rsidR="00950E24" w:rsidRPr="00801B4D" w:rsidP="0025232B" w14:paraId="08C28203" w14:textId="310343E6">
      <w:pPr>
        <w:spacing w:line="240" w:lineRule="auto"/>
        <w:rPr>
          <w:rFonts w:ascii="Century Schoolbook" w:hAnsi="Century Schoolbook"/>
        </w:rPr>
      </w:pPr>
      <w:r w:rsidRPr="00801B4D">
        <w:rPr>
          <w:rFonts w:ascii="Century Schoolbook" w:hAnsi="Century Schoolbook"/>
        </w:rPr>
        <w:t>Trial Court:</w:t>
      </w:r>
      <w:r w:rsidRPr="00801B4D">
        <w:rPr>
          <w:rFonts w:ascii="Century Schoolbook" w:hAnsi="Century Schoolbook"/>
        </w:rPr>
        <w:tab/>
        <w:t xml:space="preserve"> </w:t>
      </w:r>
      <w:r w:rsidR="004D7D44">
        <w:rPr>
          <w:rFonts w:ascii="Century Schoolbook" w:hAnsi="Century Schoolbook"/>
        </w:rPr>
        <w:t xml:space="preserve"> </w:t>
      </w:r>
      <w:r w:rsidR="004D7D44">
        <w:rPr>
          <w:rFonts w:ascii="Century Schoolbook" w:hAnsi="Century Schoolbook"/>
        </w:rPr>
        <w:tab/>
        <w:t>Contra Costa County Superior court</w:t>
      </w:r>
    </w:p>
    <w:p w:rsidR="00950E24" w:rsidRPr="00801B4D" w:rsidP="0025232B" w14:paraId="290266F0" w14:textId="77777777">
      <w:pPr>
        <w:spacing w:line="240" w:lineRule="auto"/>
        <w:rPr>
          <w:rFonts w:ascii="Century Schoolbook" w:hAnsi="Century Schoolbook"/>
        </w:rPr>
      </w:pPr>
    </w:p>
    <w:p w:rsidR="00950E24" w:rsidRPr="00801B4D" w:rsidP="0025232B" w14:paraId="5C33C15B" w14:textId="09F9052B">
      <w:pPr>
        <w:spacing w:line="240" w:lineRule="auto"/>
        <w:rPr>
          <w:rFonts w:ascii="Century Schoolbook" w:hAnsi="Century Schoolbook"/>
        </w:rPr>
      </w:pPr>
      <w:r w:rsidRPr="00801B4D">
        <w:rPr>
          <w:rFonts w:ascii="Century Schoolbook" w:hAnsi="Century Schoolbook"/>
        </w:rPr>
        <w:t xml:space="preserve">Trial Judge: </w:t>
      </w:r>
      <w:r w:rsidRPr="00801B4D">
        <w:rPr>
          <w:rFonts w:ascii="Century Schoolbook" w:hAnsi="Century Schoolbook"/>
        </w:rPr>
        <w:tab/>
      </w:r>
      <w:r w:rsidR="000910C8">
        <w:rPr>
          <w:rFonts w:ascii="Century Schoolbook" w:hAnsi="Century Schoolbook"/>
        </w:rPr>
        <w:t>Hon. Barry Baskin</w:t>
      </w:r>
    </w:p>
    <w:p w:rsidR="00950E24" w:rsidRPr="00801B4D" w:rsidP="0025232B" w14:paraId="488D946D" w14:textId="77777777">
      <w:pPr>
        <w:spacing w:line="240" w:lineRule="auto"/>
        <w:rPr>
          <w:rFonts w:ascii="Century Schoolbook" w:hAnsi="Century Schoolbook"/>
        </w:rPr>
      </w:pPr>
    </w:p>
    <w:p w:rsidR="00950E24" w:rsidRPr="00801B4D" w:rsidP="0025232B" w14:paraId="7A8407AA" w14:textId="77777777">
      <w:pPr>
        <w:spacing w:line="240" w:lineRule="auto"/>
        <w:rPr>
          <w:rFonts w:ascii="Century Schoolbook" w:hAnsi="Century Schoolbook"/>
        </w:rPr>
      </w:pPr>
      <w:r w:rsidRPr="00801B4D">
        <w:rPr>
          <w:rFonts w:ascii="Century Schoolbook" w:hAnsi="Century Schoolbook"/>
        </w:rPr>
        <w:t xml:space="preserve">Counsel:  </w:t>
      </w:r>
    </w:p>
    <w:p w:rsidR="00950E24" w:rsidRPr="00801B4D" w:rsidP="0025232B" w14:paraId="3626FE71" w14:textId="77777777">
      <w:pPr>
        <w:spacing w:line="240" w:lineRule="auto"/>
        <w:rPr>
          <w:rFonts w:ascii="Century Schoolbook" w:hAnsi="Century Schoolbook"/>
        </w:rPr>
      </w:pPr>
    </w:p>
    <w:p w:rsidR="00950E24" w:rsidRPr="00801B4D" w:rsidP="000910C8" w14:paraId="10FC0E4B" w14:textId="1BBC2CBE">
      <w:pPr>
        <w:spacing w:line="240" w:lineRule="auto"/>
        <w:rPr>
          <w:rFonts w:ascii="Century Schoolbook" w:hAnsi="Century Schoolbook"/>
        </w:rPr>
      </w:pPr>
      <w:r w:rsidRPr="000910C8">
        <w:rPr>
          <w:rFonts w:ascii="Century Schoolbook" w:hAnsi="Century Schoolbook"/>
        </w:rPr>
        <w:t>Soltman, Levitt, Flaherty &amp; Wattles LLP</w:t>
      </w:r>
      <w:r>
        <w:rPr>
          <w:rFonts w:ascii="Century Schoolbook" w:hAnsi="Century Schoolbook"/>
        </w:rPr>
        <w:t>,</w:t>
      </w:r>
      <w:r w:rsidRPr="000910C8">
        <w:rPr>
          <w:rFonts w:ascii="Century Schoolbook" w:hAnsi="Century Schoolbook"/>
        </w:rPr>
        <w:t xml:space="preserve"> </w:t>
      </w:r>
      <w:r w:rsidRPr="000910C8" w:rsidR="000910C8">
        <w:rPr>
          <w:rFonts w:ascii="Century Schoolbook" w:hAnsi="Century Schoolbook"/>
        </w:rPr>
        <w:t>Steven B. Soltman</w:t>
      </w:r>
      <w:r>
        <w:rPr>
          <w:rFonts w:ascii="Century Schoolbook" w:hAnsi="Century Schoolbook"/>
        </w:rPr>
        <w:t xml:space="preserve"> and</w:t>
      </w:r>
      <w:r w:rsidRPr="000910C8" w:rsidR="000910C8">
        <w:rPr>
          <w:rFonts w:ascii="Century Schoolbook" w:hAnsi="Century Schoolbook"/>
        </w:rPr>
        <w:t xml:space="preserve"> Steven S. Nimoy </w:t>
      </w:r>
      <w:r w:rsidRPr="00801B4D">
        <w:rPr>
          <w:rFonts w:ascii="Century Schoolbook" w:hAnsi="Century Schoolbook"/>
        </w:rPr>
        <w:t xml:space="preserve">for </w:t>
      </w:r>
      <w:r>
        <w:rPr>
          <w:rFonts w:ascii="Century Schoolbook" w:hAnsi="Century Schoolbook"/>
        </w:rPr>
        <w:t>Defendant</w:t>
      </w:r>
      <w:r w:rsidRPr="00801B4D">
        <w:rPr>
          <w:rFonts w:ascii="Century Schoolbook" w:hAnsi="Century Schoolbook"/>
        </w:rPr>
        <w:t xml:space="preserve"> and Appellant</w:t>
      </w:r>
      <w:r w:rsidR="00311CC1">
        <w:rPr>
          <w:rFonts w:ascii="Century Schoolbook" w:hAnsi="Century Schoolbook"/>
        </w:rPr>
        <w:t xml:space="preserve"> ALS Lien Services</w:t>
      </w:r>
      <w:r w:rsidRPr="00801B4D">
        <w:rPr>
          <w:rFonts w:ascii="Century Schoolbook" w:hAnsi="Century Schoolbook"/>
        </w:rPr>
        <w:t>.</w:t>
      </w:r>
    </w:p>
    <w:p w:rsidR="00950E24" w:rsidRPr="00801B4D" w:rsidP="0025232B" w14:paraId="30BD1389" w14:textId="77777777">
      <w:pPr>
        <w:spacing w:line="240" w:lineRule="auto"/>
        <w:rPr>
          <w:rFonts w:ascii="Century Schoolbook" w:hAnsi="Century Schoolbook"/>
        </w:rPr>
      </w:pPr>
    </w:p>
    <w:p w:rsidR="00C825D8" w:rsidRPr="00C825D8" w:rsidP="00C825D8" w14:paraId="6DC9FAAD" w14:textId="4FB18B5E">
      <w:pPr>
        <w:spacing w:line="240" w:lineRule="auto"/>
        <w:rPr>
          <w:rFonts w:ascii="Century Schoolbook" w:hAnsi="Century Schoolbook"/>
        </w:rPr>
      </w:pPr>
      <w:r w:rsidRPr="000777E0">
        <w:rPr>
          <w:rFonts w:ascii="Century Schoolbook" w:hAnsi="Century Schoolbook"/>
        </w:rPr>
        <w:t>Murchison &amp; Cumming, LLP</w:t>
      </w:r>
      <w:r w:rsidR="00BF58AD">
        <w:rPr>
          <w:rFonts w:ascii="Century Schoolbook" w:hAnsi="Century Schoolbook"/>
        </w:rPr>
        <w:t>,</w:t>
      </w:r>
      <w:r w:rsidRPr="000777E0">
        <w:rPr>
          <w:rFonts w:ascii="Century Schoolbook" w:hAnsi="Century Schoolbook"/>
        </w:rPr>
        <w:t xml:space="preserve"> </w:t>
      </w:r>
      <w:r w:rsidRPr="00C825D8">
        <w:rPr>
          <w:rFonts w:ascii="Century Schoolbook" w:hAnsi="Century Schoolbook"/>
        </w:rPr>
        <w:t xml:space="preserve">Dan L. Longo </w:t>
      </w:r>
      <w:r>
        <w:rPr>
          <w:rFonts w:ascii="Century Schoolbook" w:hAnsi="Century Schoolbook"/>
        </w:rPr>
        <w:t xml:space="preserve">and </w:t>
      </w:r>
      <w:r w:rsidRPr="00C825D8">
        <w:rPr>
          <w:rFonts w:ascii="Century Schoolbook" w:hAnsi="Century Schoolbook"/>
        </w:rPr>
        <w:t xml:space="preserve">Matthew E. Voss </w:t>
      </w:r>
    </w:p>
    <w:p w:rsidR="00950E24" w:rsidRPr="00801B4D" w:rsidP="00FE637C" w14:paraId="619377E2" w14:textId="5B80DEC3">
      <w:pPr>
        <w:spacing w:line="240" w:lineRule="auto"/>
        <w:rPr>
          <w:rFonts w:ascii="Century Schoolbook" w:hAnsi="Century Schoolbook"/>
        </w:rPr>
      </w:pPr>
      <w:r w:rsidRPr="00801B4D">
        <w:rPr>
          <w:rFonts w:ascii="Century Schoolbook" w:hAnsi="Century Schoolbook"/>
        </w:rPr>
        <w:t>for Defendant</w:t>
      </w:r>
      <w:r w:rsidR="00FE637C">
        <w:rPr>
          <w:rFonts w:ascii="Century Schoolbook" w:hAnsi="Century Schoolbook"/>
        </w:rPr>
        <w:t>s</w:t>
      </w:r>
      <w:r w:rsidRPr="00801B4D">
        <w:rPr>
          <w:rFonts w:ascii="Century Schoolbook" w:hAnsi="Century Schoolbook"/>
        </w:rPr>
        <w:t xml:space="preserve"> and</w:t>
      </w:r>
      <w:r w:rsidR="000777E0">
        <w:rPr>
          <w:rFonts w:ascii="Century Schoolbook" w:hAnsi="Century Schoolbook"/>
        </w:rPr>
        <w:t xml:space="preserve"> Appellants </w:t>
      </w:r>
      <w:r w:rsidRPr="00FE637C" w:rsidR="00FE637C">
        <w:rPr>
          <w:rFonts w:ascii="Century Schoolbook" w:hAnsi="Century Schoolbook"/>
        </w:rPr>
        <w:t>SwedelsonGottlieb, David</w:t>
      </w:r>
      <w:r w:rsidR="00FE637C">
        <w:rPr>
          <w:rFonts w:ascii="Century Schoolbook" w:hAnsi="Century Schoolbook"/>
        </w:rPr>
        <w:t xml:space="preserve"> </w:t>
      </w:r>
      <w:r w:rsidRPr="00FE637C" w:rsidR="00FE637C">
        <w:rPr>
          <w:rFonts w:ascii="Century Schoolbook" w:hAnsi="Century Schoolbook"/>
        </w:rPr>
        <w:t>Swedelson, and Sandra Gottlieb</w:t>
      </w:r>
      <w:r w:rsidRPr="00801B4D">
        <w:rPr>
          <w:rFonts w:ascii="Century Schoolbook" w:hAnsi="Century Schoolbook"/>
        </w:rPr>
        <w:t>.</w:t>
      </w:r>
    </w:p>
    <w:p w:rsidR="00950E24" w:rsidRPr="00801B4D" w:rsidP="0025232B" w14:paraId="716B16E7" w14:textId="77777777">
      <w:pPr>
        <w:spacing w:line="240" w:lineRule="auto"/>
        <w:rPr>
          <w:rFonts w:ascii="Century Schoolbook" w:hAnsi="Century Schoolbook"/>
        </w:rPr>
      </w:pPr>
    </w:p>
    <w:p w:rsidR="00401F3C" w:rsidRPr="00401F3C" w:rsidP="00ED7074" w14:paraId="1DE7D0DE" w14:textId="4EDE4A66">
      <w:pPr>
        <w:spacing w:line="240" w:lineRule="auto"/>
        <w:rPr>
          <w:rFonts w:ascii="Century Schoolbook" w:hAnsi="Century Schoolbook"/>
        </w:rPr>
      </w:pPr>
      <w:r w:rsidRPr="00401F3C">
        <w:rPr>
          <w:rFonts w:ascii="Century Schoolbook" w:hAnsi="Century Schoolbook"/>
        </w:rPr>
        <w:t xml:space="preserve">Housing </w:t>
      </w:r>
      <w:r>
        <w:rPr>
          <w:rFonts w:ascii="Century Schoolbook" w:hAnsi="Century Schoolbook"/>
        </w:rPr>
        <w:t>a</w:t>
      </w:r>
      <w:r w:rsidRPr="00401F3C">
        <w:rPr>
          <w:rFonts w:ascii="Century Schoolbook" w:hAnsi="Century Schoolbook"/>
        </w:rPr>
        <w:t>nd Economic</w:t>
      </w:r>
      <w:r>
        <w:rPr>
          <w:rFonts w:ascii="Century Schoolbook" w:hAnsi="Century Schoolbook"/>
        </w:rPr>
        <w:t xml:space="preserve"> </w:t>
      </w:r>
      <w:r w:rsidRPr="00401F3C">
        <w:rPr>
          <w:rFonts w:ascii="Century Schoolbook" w:hAnsi="Century Schoolbook"/>
        </w:rPr>
        <w:t>Rights Advocates</w:t>
      </w:r>
      <w:r>
        <w:rPr>
          <w:rFonts w:ascii="Century Schoolbook" w:hAnsi="Century Schoolbook"/>
        </w:rPr>
        <w:t>,</w:t>
      </w:r>
      <w:r w:rsidRPr="00401F3C">
        <w:rPr>
          <w:rFonts w:ascii="Century Schoolbook" w:hAnsi="Century Schoolbook"/>
        </w:rPr>
        <w:t xml:space="preserve"> Arthur </w:t>
      </w:r>
      <w:r>
        <w:rPr>
          <w:rFonts w:ascii="Century Schoolbook" w:hAnsi="Century Schoolbook"/>
        </w:rPr>
        <w:t>D</w:t>
      </w:r>
      <w:r w:rsidRPr="00401F3C">
        <w:rPr>
          <w:rFonts w:ascii="Century Schoolbook" w:hAnsi="Century Schoolbook"/>
        </w:rPr>
        <w:t>. Levy</w:t>
      </w:r>
      <w:r>
        <w:rPr>
          <w:rFonts w:ascii="Century Schoolbook" w:hAnsi="Century Schoolbook"/>
        </w:rPr>
        <w:t xml:space="preserve">, </w:t>
      </w:r>
      <w:r w:rsidRPr="00401F3C">
        <w:rPr>
          <w:rFonts w:ascii="Century Schoolbook" w:hAnsi="Century Schoolbook"/>
        </w:rPr>
        <w:t xml:space="preserve">Gina </w:t>
      </w:r>
      <w:r>
        <w:rPr>
          <w:rFonts w:ascii="Century Schoolbook" w:hAnsi="Century Schoolbook"/>
        </w:rPr>
        <w:t>d</w:t>
      </w:r>
      <w:r w:rsidRPr="00401F3C">
        <w:rPr>
          <w:rFonts w:ascii="Century Schoolbook" w:hAnsi="Century Schoolbook"/>
        </w:rPr>
        <w:t>i Giusto</w:t>
      </w:r>
      <w:r>
        <w:rPr>
          <w:rFonts w:ascii="Century Schoolbook" w:hAnsi="Century Schoolbook"/>
        </w:rPr>
        <w:t xml:space="preserve"> and D</w:t>
      </w:r>
      <w:r w:rsidRPr="00401F3C">
        <w:rPr>
          <w:rFonts w:ascii="Century Schoolbook" w:hAnsi="Century Schoolbook"/>
        </w:rPr>
        <w:t xml:space="preserve">aniel </w:t>
      </w:r>
      <w:r>
        <w:rPr>
          <w:rFonts w:ascii="Century Schoolbook" w:hAnsi="Century Schoolbook"/>
        </w:rPr>
        <w:t>F</w:t>
      </w:r>
      <w:r w:rsidRPr="00401F3C">
        <w:rPr>
          <w:rFonts w:ascii="Century Schoolbook" w:hAnsi="Century Schoolbook"/>
        </w:rPr>
        <w:t>. Alper</w:t>
      </w:r>
      <w:r w:rsidR="00ED7074">
        <w:rPr>
          <w:rFonts w:ascii="Century Schoolbook" w:hAnsi="Century Schoolbook"/>
        </w:rPr>
        <w:t xml:space="preserve">; and </w:t>
      </w:r>
      <w:r w:rsidRPr="00ED7074" w:rsidR="00ED7074">
        <w:rPr>
          <w:rFonts w:ascii="Century Schoolbook" w:hAnsi="Century Schoolbook"/>
        </w:rPr>
        <w:t>Cotchett, Pitre &amp;</w:t>
      </w:r>
      <w:r w:rsidR="00ED7074">
        <w:rPr>
          <w:rFonts w:ascii="Century Schoolbook" w:hAnsi="Century Schoolbook"/>
        </w:rPr>
        <w:t xml:space="preserve"> </w:t>
      </w:r>
      <w:r w:rsidRPr="00ED7074" w:rsidR="00ED7074">
        <w:rPr>
          <w:rFonts w:ascii="Century Schoolbook" w:hAnsi="Century Schoolbook"/>
        </w:rPr>
        <w:t>McCarthy, LLP</w:t>
      </w:r>
      <w:r w:rsidR="00ED7074">
        <w:rPr>
          <w:rFonts w:ascii="Century Schoolbook" w:hAnsi="Century Schoolbook"/>
        </w:rPr>
        <w:t>, J</w:t>
      </w:r>
      <w:r w:rsidRPr="00ED7074" w:rsidR="00ED7074">
        <w:rPr>
          <w:rFonts w:ascii="Century Schoolbook" w:hAnsi="Century Schoolbook"/>
        </w:rPr>
        <w:t xml:space="preserve">ustin </w:t>
      </w:r>
      <w:r w:rsidR="00ED7074">
        <w:rPr>
          <w:rFonts w:ascii="Century Schoolbook" w:hAnsi="Century Schoolbook"/>
        </w:rPr>
        <w:t>T</w:t>
      </w:r>
      <w:r w:rsidRPr="00ED7074" w:rsidR="00ED7074">
        <w:rPr>
          <w:rFonts w:ascii="Century Schoolbook" w:hAnsi="Century Schoolbook"/>
        </w:rPr>
        <w:t>. Berger</w:t>
      </w:r>
      <w:r w:rsidRPr="00401F3C">
        <w:rPr>
          <w:rFonts w:ascii="Century Schoolbook" w:hAnsi="Century Schoolbook"/>
        </w:rPr>
        <w:t xml:space="preserve"> </w:t>
      </w:r>
      <w:r>
        <w:rPr>
          <w:rFonts w:ascii="Century Schoolbook" w:hAnsi="Century Schoolbook"/>
        </w:rPr>
        <w:t>for Plaintiffs and Respondents</w:t>
      </w:r>
      <w:r w:rsidR="00ED7074">
        <w:rPr>
          <w:rFonts w:ascii="Century Schoolbook" w:hAnsi="Century Schoolbook"/>
        </w:rPr>
        <w:t>.</w:t>
      </w:r>
    </w:p>
    <w:p w:rsidR="00950E24" w:rsidRPr="00801B4D" w:rsidP="00401F3C" w14:paraId="79244159" w14:textId="46E0905B">
      <w:pPr>
        <w:spacing w:line="240" w:lineRule="auto"/>
        <w:rPr>
          <w:rFonts w:ascii="Century Schoolbook" w:hAnsi="Century Schoolbook"/>
        </w:rPr>
      </w:pPr>
    </w:p>
    <w:p w:rsidR="00950E24" w:rsidRPr="00801B4D" w14:paraId="7EEBED9D" w14:textId="77777777">
      <w:pPr>
        <w:rPr>
          <w:rFonts w:ascii="Century Schoolbook" w:hAnsi="Century Schoolbook"/>
        </w:rPr>
      </w:pPr>
    </w:p>
    <w:p w:rsidR="000075B0" w:rsidRPr="0088014E" w:rsidP="002E22D7" w14:paraId="655AB839" w14:textId="77777777">
      <w:pPr>
        <w:spacing w:line="360" w:lineRule="auto"/>
        <w:rPr>
          <w:rFonts w:ascii="Century Schoolbook" w:hAnsi="Century Schoolbook"/>
        </w:rPr>
      </w:pPr>
    </w:p>
    <w:sectPr w:rsidSect="00C7398F">
      <w:headerReference w:type="default" r:id="rId6"/>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2F4" w:rsidP="00C035A8" w14:paraId="614081B2" w14:textId="3F5BD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6142">
      <w:rPr>
        <w:rStyle w:val="PageNumber"/>
        <w:noProof/>
      </w:rPr>
      <w:t>2</w:t>
    </w:r>
    <w:r>
      <w:rPr>
        <w:rStyle w:val="PageNumber"/>
      </w:rPr>
      <w:fldChar w:fldCharType="end"/>
    </w:r>
  </w:p>
  <w:p w:rsidR="00CF62F4" w:rsidP="00C035A8" w14:paraId="02BC77D1" w14:textId="32847A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6142">
      <w:rPr>
        <w:rStyle w:val="PageNumber"/>
        <w:noProof/>
      </w:rPr>
      <w:t>2</w:t>
    </w:r>
    <w:r>
      <w:rPr>
        <w:rStyle w:val="PageNumber"/>
      </w:rPr>
      <w:fldChar w:fldCharType="end"/>
    </w:r>
  </w:p>
  <w:p w:rsidR="00CF62F4" w14:paraId="134D3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2F4" w:rsidRPr="00C7398F" w:rsidP="008B04BA" w14:paraId="5D24EF81" w14:textId="77777777">
    <w:pPr>
      <w:pStyle w:val="Footer"/>
      <w:framePr w:wrap="around" w:vAnchor="text" w:hAnchor="margin" w:xAlign="center" w:y="1"/>
      <w:rPr>
        <w:rStyle w:val="PageNumber"/>
        <w:rFonts w:ascii="Century Schoolbook" w:hAnsi="Century Schoolbook"/>
      </w:rPr>
    </w:pPr>
    <w:r w:rsidRPr="00DD4227">
      <w:rPr>
        <w:rStyle w:val="PageNumber"/>
      </w:rPr>
      <w:fldChar w:fldCharType="begin"/>
    </w:r>
    <w:r w:rsidRPr="00C7398F">
      <w:rPr>
        <w:rStyle w:val="PageNumber"/>
        <w:rFonts w:ascii="Century Schoolbook" w:hAnsi="Century Schoolbook"/>
      </w:rPr>
      <w:instrText xml:space="preserve"> PAGE </w:instrText>
    </w:r>
    <w:r w:rsidRPr="00DD4227">
      <w:rPr>
        <w:rStyle w:val="PageNumber"/>
      </w:rPr>
      <w:fldChar w:fldCharType="separate"/>
    </w:r>
    <w:r w:rsidRPr="00C7398F" w:rsidR="00A66AE9">
      <w:rPr>
        <w:rStyle w:val="PageNumber"/>
        <w:rFonts w:ascii="Century Schoolbook" w:hAnsi="Century Schoolbook"/>
        <w:noProof/>
      </w:rPr>
      <w:t>21</w:t>
    </w:r>
    <w:r w:rsidRPr="00DD4227">
      <w:rPr>
        <w:rStyle w:val="PageNumber"/>
      </w:rPr>
      <w:fldChar w:fldCharType="end"/>
    </w:r>
  </w:p>
  <w:p w:rsidR="00CF62F4" w:rsidRPr="00C7398F" w14:paraId="6D05158E" w14:textId="77777777">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701B" w:rsidP="008B04BA" w14:paraId="0605CDF6" w14:textId="77777777">
      <w:pPr>
        <w:spacing w:line="240" w:lineRule="auto"/>
      </w:pPr>
      <w:r>
        <w:separator/>
      </w:r>
    </w:p>
  </w:footnote>
  <w:footnote w:type="continuationSeparator" w:id="1">
    <w:p w:rsidR="004C701B" w:rsidP="008B04BA" w14:paraId="4D41B778" w14:textId="77777777">
      <w:pPr>
        <w:spacing w:line="240" w:lineRule="auto"/>
      </w:pPr>
      <w:r>
        <w:continuationSeparator/>
      </w:r>
    </w:p>
  </w:footnote>
  <w:footnote w:id="2">
    <w:p w:rsidR="00814F4E" w:rsidRPr="0095142F" w:rsidP="00814F4E" w14:paraId="11480AD4" w14:textId="77777777">
      <w:pPr>
        <w:pStyle w:val="FootnoteText"/>
        <w:rPr>
          <w:rFonts w:ascii="Century Schoolbook" w:hAnsi="Century Schoolbook"/>
        </w:rPr>
      </w:pPr>
      <w:r w:rsidRPr="00536C0E">
        <w:rPr>
          <w:rStyle w:val="FootnoteReference"/>
          <w:rFonts w:ascii="Century Schoolbook" w:hAnsi="Century Schoolbook"/>
        </w:rPr>
        <w:t>*</w:t>
      </w:r>
      <w:r w:rsidRPr="00536C0E">
        <w:rPr>
          <w:rFonts w:ascii="Century Schoolbook" w:hAnsi="Century Schoolbook"/>
        </w:rPr>
        <w:t xml:space="preserve"> Pursuant to California Rules of Court, rules 8.1105 and 8.1110, this opinion is certified for publication with the exception of parts II.C., D., E., and F. of the Discussion.</w:t>
      </w:r>
    </w:p>
  </w:footnote>
  <w:footnote w:id="3">
    <w:p w:rsidR="00BB7DC2" w:rsidRPr="00BB7DC2" w14:paraId="522B9A2A" w14:textId="01695083">
      <w:pPr>
        <w:pStyle w:val="FootnoteText"/>
        <w:rPr>
          <w:rFonts w:ascii="Century Schoolbook" w:hAnsi="Century Schoolbook"/>
        </w:rPr>
      </w:pPr>
      <w:r w:rsidRPr="00BB7DC2">
        <w:rPr>
          <w:rStyle w:val="FootnoteReference"/>
          <w:rFonts w:ascii="Century Schoolbook" w:hAnsi="Century Schoolbook"/>
        </w:rPr>
        <w:footnoteRef/>
      </w:r>
      <w:r w:rsidRPr="00BB7DC2">
        <w:rPr>
          <w:rFonts w:ascii="Century Schoolbook" w:hAnsi="Century Schoolbook"/>
        </w:rPr>
        <w:t xml:space="preserve"> </w:t>
      </w:r>
      <w:r w:rsidR="00210975">
        <w:rPr>
          <w:rFonts w:ascii="Century Schoolbook" w:hAnsi="Century Schoolbook"/>
        </w:rPr>
        <w:t>Section 5655(a) is a provision of the Davis-Stirling Common Interest Development Act (Civ. Code, § 4000 et seq.</w:t>
      </w:r>
      <w:r w:rsidR="003652FA">
        <w:rPr>
          <w:rFonts w:ascii="Century Schoolbook" w:hAnsi="Century Schoolbook"/>
        </w:rPr>
        <w:t xml:space="preserve">; </w:t>
      </w:r>
      <w:r w:rsidR="000152CB">
        <w:rPr>
          <w:rFonts w:ascii="Century Schoolbook" w:hAnsi="Century Schoolbook"/>
        </w:rPr>
        <w:t>Davis-Stirling</w:t>
      </w:r>
      <w:r w:rsidR="001C6173">
        <w:rPr>
          <w:rFonts w:ascii="Century Schoolbook" w:hAnsi="Century Schoolbook"/>
        </w:rPr>
        <w:t xml:space="preserve"> Act</w:t>
      </w:r>
      <w:r w:rsidR="000152CB">
        <w:rPr>
          <w:rFonts w:ascii="Century Schoolbook" w:hAnsi="Century Schoolbook"/>
        </w:rPr>
        <w:t>)</w:t>
      </w:r>
      <w:r w:rsidR="00590981">
        <w:rPr>
          <w:rFonts w:ascii="Century Schoolbook" w:hAnsi="Century Schoolbook"/>
        </w:rPr>
        <w:t>.  The Davis-Stirling Act</w:t>
      </w:r>
      <w:r w:rsidR="00907B46">
        <w:rPr>
          <w:rFonts w:ascii="Century Schoolbook" w:hAnsi="Century Schoolbook"/>
        </w:rPr>
        <w:t xml:space="preserve"> </w:t>
      </w:r>
      <w:r w:rsidR="00590981">
        <w:rPr>
          <w:rFonts w:ascii="Century Schoolbook" w:hAnsi="Century Schoolbook"/>
        </w:rPr>
        <w:t>“</w:t>
      </w:r>
      <w:r w:rsidRPr="00907B46" w:rsidR="00907B46">
        <w:rPr>
          <w:rFonts w:ascii="Century Schoolbook" w:hAnsi="Century Schoolbook"/>
        </w:rPr>
        <w:t>set</w:t>
      </w:r>
      <w:r w:rsidR="00590981">
        <w:rPr>
          <w:rFonts w:ascii="Century Schoolbook" w:hAnsi="Century Schoolbook"/>
        </w:rPr>
        <w:t>[</w:t>
      </w:r>
      <w:r w:rsidR="00907B46">
        <w:rPr>
          <w:rFonts w:ascii="Century Schoolbook" w:hAnsi="Century Schoolbook"/>
        </w:rPr>
        <w:t>s</w:t>
      </w:r>
      <w:r w:rsidR="00590981">
        <w:rPr>
          <w:rFonts w:ascii="Century Schoolbook" w:hAnsi="Century Schoolbook"/>
        </w:rPr>
        <w:t>]</w:t>
      </w:r>
      <w:r w:rsidRPr="00907B46" w:rsidR="00907B46">
        <w:rPr>
          <w:rFonts w:ascii="Century Schoolbook" w:hAnsi="Century Schoolbook"/>
        </w:rPr>
        <w:t xml:space="preserve"> forth comprehensive rules, restrictions, and procedures for imposing, paying, collecting, and enforcing regular and special </w:t>
      </w:r>
      <w:r w:rsidR="00BA7D64">
        <w:rPr>
          <w:rFonts w:ascii="Century Schoolbook" w:hAnsi="Century Schoolbook"/>
        </w:rPr>
        <w:t xml:space="preserve">[homeowner] </w:t>
      </w:r>
      <w:r w:rsidRPr="00907B46" w:rsidR="00907B46">
        <w:rPr>
          <w:rFonts w:ascii="Century Schoolbook" w:hAnsi="Century Schoolbook"/>
        </w:rPr>
        <w:t>assessments.</w:t>
      </w:r>
      <w:r w:rsidR="00590981">
        <w:rPr>
          <w:rFonts w:ascii="Century Schoolbook" w:hAnsi="Century Schoolbook"/>
        </w:rPr>
        <w:t>”  (</w:t>
      </w:r>
      <w:r w:rsidRPr="009607F9" w:rsidR="00020226">
        <w:rPr>
          <w:rFonts w:ascii="Century Schoolbook" w:hAnsi="Century Schoolbook"/>
          <w:i/>
          <w:iCs/>
        </w:rPr>
        <w:t>Huntingon</w:t>
      </w:r>
      <w:r w:rsidRPr="00A53358" w:rsidR="00020226">
        <w:t xml:space="preserve"> </w:t>
      </w:r>
      <w:r w:rsidR="008252B6">
        <w:rPr>
          <w:rFonts w:ascii="Century Schoolbook" w:hAnsi="Century Schoolbook"/>
          <w:i/>
          <w:iCs/>
        </w:rPr>
        <w:t>Continental</w:t>
      </w:r>
      <w:r w:rsidRPr="00A53358" w:rsidR="008252B6">
        <w:rPr>
          <w:rFonts w:ascii="Century Schoolbook" w:hAnsi="Century Schoolbook"/>
          <w:i/>
          <w:iCs/>
        </w:rPr>
        <w:t xml:space="preserve"> </w:t>
      </w:r>
      <w:r w:rsidRPr="00A53358" w:rsidR="00020226">
        <w:rPr>
          <w:rFonts w:ascii="Century Schoolbook" w:hAnsi="Century Schoolbook"/>
          <w:i/>
          <w:iCs/>
        </w:rPr>
        <w:t xml:space="preserve">Townhouse </w:t>
      </w:r>
      <w:r w:rsidR="008252B6">
        <w:rPr>
          <w:rFonts w:ascii="Century Schoolbook" w:hAnsi="Century Schoolbook"/>
          <w:i/>
          <w:iCs/>
        </w:rPr>
        <w:t>Assn.</w:t>
      </w:r>
      <w:r w:rsidRPr="00A53358" w:rsidR="00020226">
        <w:rPr>
          <w:rFonts w:ascii="Century Schoolbook" w:hAnsi="Century Schoolbook"/>
          <w:i/>
          <w:iCs/>
        </w:rPr>
        <w:t>, Inc. v. Miner</w:t>
      </w:r>
      <w:r w:rsidR="00020226">
        <w:rPr>
          <w:rFonts w:ascii="Century Schoolbook" w:hAnsi="Century Schoolbook"/>
          <w:i/>
          <w:iCs/>
        </w:rPr>
        <w:t xml:space="preserve"> </w:t>
      </w:r>
      <w:r w:rsidRPr="00A53358" w:rsidR="00020226">
        <w:rPr>
          <w:rFonts w:ascii="Century Schoolbook" w:hAnsi="Century Schoolbook"/>
        </w:rPr>
        <w:t>(2014) 230 Cal.App.4th 590</w:t>
      </w:r>
      <w:r w:rsidR="00020226">
        <w:rPr>
          <w:rFonts w:ascii="Century Schoolbook" w:hAnsi="Century Schoolbook"/>
        </w:rPr>
        <w:t xml:space="preserve">, </w:t>
      </w:r>
      <w:r w:rsidR="004728D2">
        <w:rPr>
          <w:rFonts w:ascii="Century Schoolbook" w:hAnsi="Century Schoolbook"/>
        </w:rPr>
        <w:t>599</w:t>
      </w:r>
      <w:r w:rsidR="00020226">
        <w:rPr>
          <w:rFonts w:ascii="Century Schoolbook" w:hAnsi="Century Schoolbook"/>
        </w:rPr>
        <w:t>.)</w:t>
      </w:r>
    </w:p>
  </w:footnote>
  <w:footnote w:id="4">
    <w:p w:rsidR="00112833" w:rsidRPr="00BD1E14" w14:paraId="099C56E9" w14:textId="300C02B9">
      <w:pPr>
        <w:pStyle w:val="FootnoteText"/>
        <w:rPr>
          <w:rFonts w:ascii="Century Schoolbook" w:hAnsi="Century Schoolbook"/>
        </w:rPr>
      </w:pPr>
      <w:r w:rsidRPr="00BD1E14">
        <w:rPr>
          <w:rStyle w:val="FootnoteReference"/>
          <w:rFonts w:ascii="Century Schoolbook" w:hAnsi="Century Schoolbook"/>
        </w:rPr>
        <w:footnoteRef/>
      </w:r>
      <w:r w:rsidRPr="00BD1E14">
        <w:rPr>
          <w:rFonts w:ascii="Century Schoolbook" w:hAnsi="Century Schoolbook"/>
        </w:rPr>
        <w:t xml:space="preserve"> </w:t>
      </w:r>
      <w:r w:rsidRPr="00BD1E14" w:rsidR="00B17A16">
        <w:rPr>
          <w:rFonts w:ascii="Century Schoolbook" w:hAnsi="Century Schoolbook"/>
        </w:rPr>
        <w:t xml:space="preserve">Further </w:t>
      </w:r>
      <w:r w:rsidRPr="00BD1E14" w:rsidR="00112341">
        <w:rPr>
          <w:rFonts w:ascii="Century Schoolbook" w:hAnsi="Century Schoolbook"/>
        </w:rPr>
        <w:t>undesignated statutory references are to the Civil Code.</w:t>
      </w:r>
    </w:p>
  </w:footnote>
  <w:footnote w:id="5">
    <w:p w:rsidR="0068069B" w:rsidRPr="00845993" w14:paraId="5FE73197" w14:textId="05F7D0AB">
      <w:pPr>
        <w:pStyle w:val="FootnoteText"/>
        <w:rPr>
          <w:rFonts w:ascii="Century Schoolbook" w:hAnsi="Century Schoolbook"/>
        </w:rPr>
      </w:pPr>
      <w:r w:rsidRPr="00845993">
        <w:rPr>
          <w:rStyle w:val="FootnoteReference"/>
          <w:rFonts w:ascii="Century Schoolbook" w:hAnsi="Century Schoolbook"/>
        </w:rPr>
        <w:footnoteRef/>
      </w:r>
      <w:r w:rsidRPr="00845993">
        <w:rPr>
          <w:rFonts w:ascii="Century Schoolbook" w:hAnsi="Century Schoolbook"/>
        </w:rPr>
        <w:t xml:space="preserve"> Section 3513 provides:  “Any one may waive the advantage of a law intended solely for his benefit.  But a law established for a public reason cannot be contravened by a private agreement.”</w:t>
      </w:r>
    </w:p>
  </w:footnote>
  <w:footnote w:id="6">
    <w:p w:rsidR="002E22D7" w14:paraId="594B6AC6" w14:textId="22819125">
      <w:pPr>
        <w:pStyle w:val="FootnoteText"/>
      </w:pPr>
      <w:r>
        <w:rPr>
          <w:rStyle w:val="FootnoteReference"/>
        </w:rPr>
        <w:footnoteRef/>
      </w:r>
      <w:r>
        <w:t xml:space="preserve"> </w:t>
      </w:r>
      <w:r w:rsidRPr="00024310">
        <w:rPr>
          <w:rFonts w:ascii="Century Schoolbook" w:hAnsi="Century Schoolbook"/>
        </w:rPr>
        <w:t xml:space="preserve">We grant Doskocz’s unopposed </w:t>
      </w:r>
      <w:r w:rsidRPr="00024310">
        <w:rPr>
          <w:rFonts w:ascii="Century Schoolbook" w:hAnsi="Century Schoolbook"/>
          <w:szCs w:val="26"/>
        </w:rPr>
        <w:t xml:space="preserve">request to take judicial notice of three legislative analyses of the bill enacting section 1367.1 that were presented to the federal court on summary judgment.  We deny </w:t>
      </w:r>
      <w:r w:rsidRPr="00024310">
        <w:rPr>
          <w:rFonts w:ascii="Century Schoolbook" w:hAnsi="Century Schoolbook"/>
        </w:rPr>
        <w:t xml:space="preserve">Doskocz’s </w:t>
      </w:r>
      <w:r w:rsidRPr="00024310">
        <w:rPr>
          <w:rFonts w:ascii="Century Schoolbook" w:hAnsi="Century Schoolbook"/>
          <w:szCs w:val="26"/>
        </w:rPr>
        <w:t xml:space="preserve">opposed </w:t>
      </w:r>
      <w:r w:rsidRPr="00024310">
        <w:rPr>
          <w:rFonts w:ascii="Century Schoolbook" w:hAnsi="Century Schoolbook"/>
        </w:rPr>
        <w:t>supplemental request to take</w:t>
      </w:r>
      <w:r w:rsidRPr="00024310">
        <w:rPr>
          <w:rFonts w:ascii="Century Schoolbook" w:hAnsi="Century Schoolbook"/>
          <w:szCs w:val="26"/>
        </w:rPr>
        <w:t xml:space="preserve"> judicial notice of the timing of text included in that bill as not necessary or helpful to our analysis.  (Cal. Rules of Court, rule 8.252; </w:t>
      </w:r>
      <w:r w:rsidRPr="00024310">
        <w:rPr>
          <w:rFonts w:ascii="Century Schoolbook" w:hAnsi="Century Schoolbook"/>
          <w:i/>
          <w:iCs/>
          <w:szCs w:val="26"/>
        </w:rPr>
        <w:t>Jordache Enterprises, Inc. v. Brobeck, Phleger &amp; Harrison</w:t>
      </w:r>
      <w:r w:rsidRPr="00024310">
        <w:rPr>
          <w:rFonts w:ascii="Century Schoolbook" w:hAnsi="Century Schoolbook"/>
          <w:szCs w:val="26"/>
        </w:rPr>
        <w:t xml:space="preserve"> (1998) 18 Cal.4th 739, 748, fn. 6.)</w:t>
      </w:r>
    </w:p>
  </w:footnote>
  <w:footnote w:id="7">
    <w:p w:rsidR="002E22D7" w14:paraId="4B210AFB" w14:textId="046C7C0B">
      <w:pPr>
        <w:pStyle w:val="FootnoteText"/>
      </w:pPr>
      <w:r>
        <w:rPr>
          <w:rStyle w:val="FootnoteReference"/>
        </w:rPr>
        <w:footnoteRef/>
      </w:r>
      <w:r>
        <w:t xml:space="preserve"> </w:t>
      </w:r>
      <w:r w:rsidRPr="00086F7A">
        <w:rPr>
          <w:rFonts w:ascii="Century Schoolbook" w:hAnsi="Century Schoolbook"/>
        </w:rPr>
        <w:t>Given our de novo review of this issue and the parties’ stipulation that the state action was “subject to” the federal court’s ruling, we need not address ALS’s procedural argument that the state court erred in “adopting” the ruling and declining to reconsider it.</w:t>
      </w:r>
    </w:p>
  </w:footnote>
  <w:footnote w:id="8">
    <w:p w:rsidR="00845993" w:rsidRPr="00845993" w14:paraId="3D3F16A7" w14:textId="06B9C906">
      <w:pPr>
        <w:pStyle w:val="FootnoteText"/>
        <w:rPr>
          <w:rFonts w:ascii="Century Schoolbook" w:hAnsi="Century Schoolbook"/>
        </w:rPr>
      </w:pPr>
      <w:r w:rsidRPr="00845993">
        <w:rPr>
          <w:rStyle w:val="FootnoteReference"/>
          <w:rFonts w:ascii="Century Schoolbook" w:hAnsi="Century Schoolbook"/>
        </w:rPr>
        <w:footnoteRef/>
      </w:r>
      <w:r w:rsidRPr="00845993">
        <w:rPr>
          <w:rFonts w:ascii="Century Schoolbook" w:hAnsi="Century Schoolbook"/>
        </w:rPr>
        <w:t xml:space="preserve"> Section 5660, subdivision (a)</w:t>
      </w:r>
      <w:r>
        <w:rPr>
          <w:rFonts w:ascii="Century Schoolbook" w:hAnsi="Century Schoolbook"/>
        </w:rPr>
        <w:t xml:space="preserve"> requires </w:t>
      </w:r>
      <w:r w:rsidR="00BA098E">
        <w:rPr>
          <w:rFonts w:ascii="Century Schoolbook" w:hAnsi="Century Schoolbook"/>
        </w:rPr>
        <w:t>that the</w:t>
      </w:r>
      <w:r>
        <w:rPr>
          <w:rFonts w:ascii="Century Schoolbook" w:hAnsi="Century Schoolbook"/>
        </w:rPr>
        <w:t xml:space="preserve"> boldface, capitalized </w:t>
      </w:r>
      <w:r w:rsidR="00BA098E">
        <w:rPr>
          <w:rFonts w:ascii="Century Schoolbook" w:hAnsi="Century Schoolbook"/>
        </w:rPr>
        <w:t xml:space="preserve">statement set forth above be included </w:t>
      </w:r>
      <w:r w:rsidR="00600411">
        <w:rPr>
          <w:rFonts w:ascii="Century Schoolbook" w:hAnsi="Century Schoolbook"/>
        </w:rPr>
        <w:t>in the notice</w:t>
      </w:r>
      <w:r w:rsidR="007B4A0D">
        <w:rPr>
          <w:rFonts w:ascii="Century Schoolbook" w:hAnsi="Century Schoolbook"/>
        </w:rPr>
        <w:t xml:space="preserve"> sent to an owner</w:t>
      </w:r>
      <w:r w:rsidR="00600411">
        <w:rPr>
          <w:rFonts w:ascii="Century Schoolbook" w:hAnsi="Century Schoolbook"/>
        </w:rPr>
        <w:t xml:space="preserve"> prior to recording a lien to collect </w:t>
      </w:r>
      <w:r w:rsidR="00666740">
        <w:rPr>
          <w:rFonts w:ascii="Century Schoolbook" w:hAnsi="Century Schoolbook"/>
        </w:rPr>
        <w:t>a debt from delinquent assessment</w:t>
      </w:r>
      <w:r w:rsidR="00706341">
        <w:rPr>
          <w:rFonts w:ascii="Century Schoolbook" w:hAnsi="Century Schoolbook"/>
        </w:rPr>
        <w:t>s</w:t>
      </w:r>
      <w:r w:rsidR="00600411">
        <w:rPr>
          <w:rFonts w:ascii="Century Schoolbook" w:hAnsi="Century Schoolbook"/>
        </w:rPr>
        <w:t>.</w:t>
      </w:r>
    </w:p>
  </w:footnote>
  <w:footnote w:id="9">
    <w:p w:rsidR="00A4776F" w:rsidP="00A4776F" w14:paraId="20AF2B79" w14:textId="77777777">
      <w:pPr>
        <w:pStyle w:val="FootnoteText"/>
      </w:pPr>
      <w:r>
        <w:rPr>
          <w:rStyle w:val="FootnoteReference"/>
        </w:rPr>
        <w:footnoteRef/>
      </w:r>
      <w:r>
        <w:t xml:space="preserve"> </w:t>
      </w:r>
      <w:r>
        <w:rPr>
          <w:rFonts w:ascii="Century Schoolbook" w:hAnsi="Century Schoolbook"/>
        </w:rPr>
        <w:t xml:space="preserve">The judgment enjoins ALS from (1) engaging in communications “indicating that any step in the non-judicial foreclosure process may be initiated or pursued, including that a Notice of Default may be recorded” and (2) recording any notice of default before the $1,800 or more than 12 months old threshold is met.  ALS is also required to rescind notices of default or trustee’s sale where the threshold had not been met.  </w:t>
      </w:r>
    </w:p>
  </w:footnote>
  <w:footnote w:id="10">
    <w:p w:rsidR="00F17629" w14:paraId="6B5C38D3" w14:textId="4DC2CE35">
      <w:pPr>
        <w:pStyle w:val="FootnoteText"/>
      </w:pPr>
      <w:r>
        <w:rPr>
          <w:rStyle w:val="FootnoteReference"/>
        </w:rPr>
        <w:footnoteRef/>
      </w:r>
      <w:r>
        <w:t xml:space="preserve"> </w:t>
      </w:r>
      <w:r>
        <w:rPr>
          <w:rFonts w:ascii="Century Schoolbook" w:hAnsi="Century Schoolbook"/>
        </w:rPr>
        <w:t>Title 15 United States Code section 1692k(c) provides:  “</w:t>
      </w:r>
      <w:r w:rsidRPr="000D24EE">
        <w:rPr>
          <w:rFonts w:ascii="Century Schoolbook" w:hAnsi="Century Schoolbook"/>
        </w:rPr>
        <w:t>A debt collector may not be held liable in any action brought under this subchapter if the debt collector shows by a preponderance of evidence that the violation was not intentional and resulted from a bona fide error notwithstanding the maintenance of procedures reasonably adapted to avoid any such error.</w:t>
      </w:r>
      <w:r>
        <w:rPr>
          <w:rFonts w:ascii="Century Schoolbook" w:hAnsi="Century Schoolbook"/>
        </w:rPr>
        <w:t>”</w:t>
      </w:r>
    </w:p>
  </w:footnote>
  <w:footnote w:id="11">
    <w:p w:rsidR="00C24B3D" w14:paraId="77C0085C" w14:textId="4C49B451">
      <w:pPr>
        <w:pStyle w:val="FootnoteText"/>
      </w:pPr>
      <w:r>
        <w:rPr>
          <w:rStyle w:val="FootnoteReference"/>
        </w:rPr>
        <w:footnoteRef/>
      </w:r>
      <w:r>
        <w:t xml:space="preserve"> </w:t>
      </w:r>
      <w:r w:rsidRPr="004E727C">
        <w:rPr>
          <w:rFonts w:ascii="Century Schoolbook" w:hAnsi="Century Schoolbook"/>
        </w:rPr>
        <w:t xml:space="preserve">Given this conclusion, we need not address </w:t>
      </w:r>
      <w:r w:rsidR="005319D9">
        <w:rPr>
          <w:rFonts w:ascii="Century Schoolbook" w:hAnsi="Century Schoolbook"/>
        </w:rPr>
        <w:t xml:space="preserve">the parties’ </w:t>
      </w:r>
      <w:r>
        <w:rPr>
          <w:rFonts w:ascii="Century Schoolbook" w:hAnsi="Century Schoolbook"/>
        </w:rPr>
        <w:t>arguments on the merits of any bona fide error defense.</w:t>
      </w:r>
    </w:p>
  </w:footnote>
  <w:footnote w:id="12">
    <w:p w:rsidR="000075B0" w:rsidRPr="000075B0" w:rsidP="00014178" w14:paraId="045A94A7" w14:textId="77777777">
      <w:pPr>
        <w:pStyle w:val="FootnoteText"/>
        <w:rPr>
          <w:rFonts w:ascii="Century Schoolbook" w:hAnsi="Century Schoolbook"/>
        </w:rPr>
      </w:pPr>
      <w:r w:rsidRPr="000075B0">
        <w:rPr>
          <w:rStyle w:val="FootnoteReference"/>
          <w:rFonts w:ascii="Century Schoolbook" w:eastAsia="Symbol" w:hAnsi="Century Schoolbook" w:cs="Symbol"/>
        </w:rPr>
        <w:t>*</w:t>
      </w:r>
      <w:r w:rsidRPr="000075B0">
        <w:rPr>
          <w:rFonts w:ascii="Century Schoolbook" w:hAnsi="Century Schoolbook"/>
        </w:rPr>
        <w:t xml:space="preserve"> Judge of the Alameda County Superior Court, assigned by the Chief Justice pursuant to article VI, section 6 of the California Constitution.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6B3" w:rsidP="003836B3" w14:paraId="441866F7" w14:textId="35594AF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BE6" w:rsidRPr="00CC13D4" w:rsidP="002C7046" w14:paraId="03FCF5DD" w14:textId="5255FB36">
    <w:pPr>
      <w:pStyle w:val="Header"/>
      <w:jc w:val="center"/>
      <w:rPr>
        <w:rFonts w:ascii="Century Schoolbook" w:hAnsi="Century Schoolbook"/>
        <w:b/>
        <w:bCs/>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53433"/>
    <w:multiLevelType w:val="hybridMultilevel"/>
    <w:tmpl w:val="6E52BD6E"/>
    <w:lvl w:ilvl="0">
      <w:start w:val="366"/>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9890688"/>
    <w:multiLevelType w:val="hybridMultilevel"/>
    <w:tmpl w:val="194CD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951929"/>
    <w:multiLevelType w:val="hybridMultilevel"/>
    <w:tmpl w:val="711EEC92"/>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BFA580F"/>
    <w:multiLevelType w:val="hybridMultilevel"/>
    <w:tmpl w:val="D82003CA"/>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47041FB"/>
    <w:multiLevelType w:val="hybridMultilevel"/>
    <w:tmpl w:val="3028BA90"/>
    <w:lvl w:ilvl="0">
      <w:start w:val="3"/>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297C3A"/>
    <w:multiLevelType w:val="hybridMultilevel"/>
    <w:tmpl w:val="071C3464"/>
    <w:lvl w:ilvl="0">
      <w:start w:val="2"/>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7494C15"/>
    <w:multiLevelType w:val="hybridMultilevel"/>
    <w:tmpl w:val="EB6ACE60"/>
    <w:lvl w:ilvl="0">
      <w:start w:val="4"/>
      <w:numFmt w:val="bullet"/>
      <w:lvlText w:val="-"/>
      <w:lvlJc w:val="left"/>
      <w:pPr>
        <w:ind w:left="720" w:hanging="360"/>
      </w:pPr>
      <w:rPr>
        <w:rFonts w:ascii="Century Schoolbook" w:hAnsi="Century Schoolbook"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5C0082"/>
    <w:multiLevelType w:val="hybridMultilevel"/>
    <w:tmpl w:val="A86CC5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FEB06F8"/>
    <w:multiLevelType w:val="hybridMultilevel"/>
    <w:tmpl w:val="1F42669A"/>
    <w:lvl w:ilvl="0">
      <w:start w:val="11"/>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27E48CB"/>
    <w:multiLevelType w:val="hybridMultilevel"/>
    <w:tmpl w:val="68121760"/>
    <w:lvl w:ilvl="0">
      <w:start w:val="11"/>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8A431CD"/>
    <w:multiLevelType w:val="hybridMultilevel"/>
    <w:tmpl w:val="33326478"/>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AB622E1"/>
    <w:multiLevelType w:val="hybridMultilevel"/>
    <w:tmpl w:val="1B4CA120"/>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142515F"/>
    <w:multiLevelType w:val="hybridMultilevel"/>
    <w:tmpl w:val="F73C68A4"/>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42D24DD"/>
    <w:multiLevelType w:val="hybridMultilevel"/>
    <w:tmpl w:val="728A8EC2"/>
    <w:lvl w:ilvl="0">
      <w:start w:val="4"/>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A3B0E48"/>
    <w:multiLevelType w:val="hybridMultilevel"/>
    <w:tmpl w:val="0FE41936"/>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7E27001E"/>
    <w:multiLevelType w:val="hybridMultilevel"/>
    <w:tmpl w:val="19B82712"/>
    <w:lvl w:ilvl="0">
      <w:start w:val="1"/>
      <w:numFmt w:val="bullet"/>
      <w:lvlText w:val="-"/>
      <w:lvlJc w:val="left"/>
      <w:pPr>
        <w:ind w:left="1080" w:hanging="360"/>
      </w:pPr>
      <w:rPr>
        <w:rFonts w:ascii="Times New Roman" w:hAnsi="Times New Roman"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7"/>
  </w:num>
  <w:num w:numId="4">
    <w:abstractNumId w:val="3"/>
  </w:num>
  <w:num w:numId="5">
    <w:abstractNumId w:val="10"/>
  </w:num>
  <w:num w:numId="6">
    <w:abstractNumId w:val="14"/>
  </w:num>
  <w:num w:numId="7">
    <w:abstractNumId w:val="12"/>
  </w:num>
  <w:num w:numId="8">
    <w:abstractNumId w:val="4"/>
  </w:num>
  <w:num w:numId="9">
    <w:abstractNumId w:val="1"/>
  </w:num>
  <w:num w:numId="10">
    <w:abstractNumId w:val="0"/>
  </w:num>
  <w:num w:numId="11">
    <w:abstractNumId w:val="8"/>
  </w:num>
  <w:num w:numId="12">
    <w:abstractNumId w:val="9"/>
  </w:num>
  <w:num w:numId="13">
    <w:abstractNumId w:val="13"/>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BA"/>
    <w:rsid w:val="000000F0"/>
    <w:rsid w:val="000004A4"/>
    <w:rsid w:val="000008F8"/>
    <w:rsid w:val="000009A1"/>
    <w:rsid w:val="0000101A"/>
    <w:rsid w:val="00001111"/>
    <w:rsid w:val="00001A75"/>
    <w:rsid w:val="00001F88"/>
    <w:rsid w:val="00002BD0"/>
    <w:rsid w:val="000030DB"/>
    <w:rsid w:val="000033BB"/>
    <w:rsid w:val="000035FC"/>
    <w:rsid w:val="000039B0"/>
    <w:rsid w:val="0000403A"/>
    <w:rsid w:val="00005995"/>
    <w:rsid w:val="00005B91"/>
    <w:rsid w:val="0000704F"/>
    <w:rsid w:val="000075B0"/>
    <w:rsid w:val="0001053B"/>
    <w:rsid w:val="00010A42"/>
    <w:rsid w:val="00011178"/>
    <w:rsid w:val="00011722"/>
    <w:rsid w:val="000123EC"/>
    <w:rsid w:val="00012949"/>
    <w:rsid w:val="00012ADC"/>
    <w:rsid w:val="00012D6B"/>
    <w:rsid w:val="00013231"/>
    <w:rsid w:val="00013C47"/>
    <w:rsid w:val="00014178"/>
    <w:rsid w:val="00014ECD"/>
    <w:rsid w:val="00014FCD"/>
    <w:rsid w:val="000152CB"/>
    <w:rsid w:val="000172EE"/>
    <w:rsid w:val="00017613"/>
    <w:rsid w:val="00017663"/>
    <w:rsid w:val="00017ACE"/>
    <w:rsid w:val="00020226"/>
    <w:rsid w:val="00020A27"/>
    <w:rsid w:val="00021125"/>
    <w:rsid w:val="000225AA"/>
    <w:rsid w:val="00022F0D"/>
    <w:rsid w:val="00023B82"/>
    <w:rsid w:val="00023BF5"/>
    <w:rsid w:val="00024310"/>
    <w:rsid w:val="0002476A"/>
    <w:rsid w:val="00025148"/>
    <w:rsid w:val="000256BF"/>
    <w:rsid w:val="000263EF"/>
    <w:rsid w:val="000264B7"/>
    <w:rsid w:val="00026501"/>
    <w:rsid w:val="00027213"/>
    <w:rsid w:val="000276F3"/>
    <w:rsid w:val="000312E7"/>
    <w:rsid w:val="0003150D"/>
    <w:rsid w:val="00031939"/>
    <w:rsid w:val="0003221B"/>
    <w:rsid w:val="00032494"/>
    <w:rsid w:val="00032922"/>
    <w:rsid w:val="00032AC5"/>
    <w:rsid w:val="00032D7A"/>
    <w:rsid w:val="00032D83"/>
    <w:rsid w:val="0003333C"/>
    <w:rsid w:val="00034017"/>
    <w:rsid w:val="000342EB"/>
    <w:rsid w:val="0003455D"/>
    <w:rsid w:val="00034B88"/>
    <w:rsid w:val="00034CDA"/>
    <w:rsid w:val="00035116"/>
    <w:rsid w:val="000353BB"/>
    <w:rsid w:val="00037E8D"/>
    <w:rsid w:val="00040B1C"/>
    <w:rsid w:val="00040D04"/>
    <w:rsid w:val="00041152"/>
    <w:rsid w:val="0004127B"/>
    <w:rsid w:val="000431A5"/>
    <w:rsid w:val="00043D59"/>
    <w:rsid w:val="00043D66"/>
    <w:rsid w:val="00043EEF"/>
    <w:rsid w:val="00044002"/>
    <w:rsid w:val="00044B93"/>
    <w:rsid w:val="0004516B"/>
    <w:rsid w:val="00045754"/>
    <w:rsid w:val="000457CC"/>
    <w:rsid w:val="00046DFA"/>
    <w:rsid w:val="0005024F"/>
    <w:rsid w:val="000510A9"/>
    <w:rsid w:val="000515FF"/>
    <w:rsid w:val="000517C2"/>
    <w:rsid w:val="00052243"/>
    <w:rsid w:val="00052264"/>
    <w:rsid w:val="00052832"/>
    <w:rsid w:val="0005296F"/>
    <w:rsid w:val="0005358E"/>
    <w:rsid w:val="00053D42"/>
    <w:rsid w:val="0005425E"/>
    <w:rsid w:val="0005426A"/>
    <w:rsid w:val="00054315"/>
    <w:rsid w:val="00055721"/>
    <w:rsid w:val="00057F7D"/>
    <w:rsid w:val="0006051F"/>
    <w:rsid w:val="0006067F"/>
    <w:rsid w:val="00060739"/>
    <w:rsid w:val="00061654"/>
    <w:rsid w:val="0006253A"/>
    <w:rsid w:val="00062AA0"/>
    <w:rsid w:val="00064B38"/>
    <w:rsid w:val="00065174"/>
    <w:rsid w:val="000652B3"/>
    <w:rsid w:val="000655A6"/>
    <w:rsid w:val="00065D9B"/>
    <w:rsid w:val="0006600A"/>
    <w:rsid w:val="00066644"/>
    <w:rsid w:val="00067006"/>
    <w:rsid w:val="00067EDE"/>
    <w:rsid w:val="00067F0F"/>
    <w:rsid w:val="000709E3"/>
    <w:rsid w:val="00071C22"/>
    <w:rsid w:val="000725F6"/>
    <w:rsid w:val="00072CDA"/>
    <w:rsid w:val="00072F9C"/>
    <w:rsid w:val="000731DD"/>
    <w:rsid w:val="00073278"/>
    <w:rsid w:val="000746C7"/>
    <w:rsid w:val="00074AF4"/>
    <w:rsid w:val="000751CE"/>
    <w:rsid w:val="000763E1"/>
    <w:rsid w:val="00076E3C"/>
    <w:rsid w:val="000771A5"/>
    <w:rsid w:val="000777E0"/>
    <w:rsid w:val="00080529"/>
    <w:rsid w:val="00080798"/>
    <w:rsid w:val="000808CE"/>
    <w:rsid w:val="000818EE"/>
    <w:rsid w:val="00081EFD"/>
    <w:rsid w:val="00083019"/>
    <w:rsid w:val="00083B82"/>
    <w:rsid w:val="00085193"/>
    <w:rsid w:val="00085194"/>
    <w:rsid w:val="00085BFB"/>
    <w:rsid w:val="0008639A"/>
    <w:rsid w:val="00086F7A"/>
    <w:rsid w:val="00087C01"/>
    <w:rsid w:val="00087FE0"/>
    <w:rsid w:val="000906C8"/>
    <w:rsid w:val="000910C8"/>
    <w:rsid w:val="00091DA1"/>
    <w:rsid w:val="000929BC"/>
    <w:rsid w:val="000932E2"/>
    <w:rsid w:val="00093909"/>
    <w:rsid w:val="00093B2C"/>
    <w:rsid w:val="00093E4A"/>
    <w:rsid w:val="00094359"/>
    <w:rsid w:val="00094E43"/>
    <w:rsid w:val="00095192"/>
    <w:rsid w:val="00095E8F"/>
    <w:rsid w:val="00097D63"/>
    <w:rsid w:val="000A0E0E"/>
    <w:rsid w:val="000A0E60"/>
    <w:rsid w:val="000A117C"/>
    <w:rsid w:val="000A17DD"/>
    <w:rsid w:val="000A18A1"/>
    <w:rsid w:val="000A19FD"/>
    <w:rsid w:val="000A1BFB"/>
    <w:rsid w:val="000A2F84"/>
    <w:rsid w:val="000A3341"/>
    <w:rsid w:val="000A446F"/>
    <w:rsid w:val="000A4519"/>
    <w:rsid w:val="000A491E"/>
    <w:rsid w:val="000A595B"/>
    <w:rsid w:val="000A6617"/>
    <w:rsid w:val="000A6B85"/>
    <w:rsid w:val="000A6DAE"/>
    <w:rsid w:val="000A704C"/>
    <w:rsid w:val="000B0926"/>
    <w:rsid w:val="000B1D8A"/>
    <w:rsid w:val="000B26D2"/>
    <w:rsid w:val="000B37BA"/>
    <w:rsid w:val="000B3A15"/>
    <w:rsid w:val="000B4292"/>
    <w:rsid w:val="000B4E07"/>
    <w:rsid w:val="000B4FC5"/>
    <w:rsid w:val="000B5B9A"/>
    <w:rsid w:val="000B5C29"/>
    <w:rsid w:val="000B5E53"/>
    <w:rsid w:val="000B640C"/>
    <w:rsid w:val="000B668D"/>
    <w:rsid w:val="000B71F8"/>
    <w:rsid w:val="000B7E52"/>
    <w:rsid w:val="000B7E60"/>
    <w:rsid w:val="000B7FEB"/>
    <w:rsid w:val="000C078E"/>
    <w:rsid w:val="000C0E43"/>
    <w:rsid w:val="000C1CAA"/>
    <w:rsid w:val="000C1CC5"/>
    <w:rsid w:val="000C208D"/>
    <w:rsid w:val="000C23A8"/>
    <w:rsid w:val="000C2B7B"/>
    <w:rsid w:val="000C3CDD"/>
    <w:rsid w:val="000C4280"/>
    <w:rsid w:val="000C45AF"/>
    <w:rsid w:val="000C4831"/>
    <w:rsid w:val="000C4B33"/>
    <w:rsid w:val="000C5123"/>
    <w:rsid w:val="000C5130"/>
    <w:rsid w:val="000C5133"/>
    <w:rsid w:val="000C5620"/>
    <w:rsid w:val="000C5A7A"/>
    <w:rsid w:val="000C6014"/>
    <w:rsid w:val="000C67A9"/>
    <w:rsid w:val="000C67E4"/>
    <w:rsid w:val="000C6DF0"/>
    <w:rsid w:val="000D0B2F"/>
    <w:rsid w:val="000D0D2E"/>
    <w:rsid w:val="000D24EE"/>
    <w:rsid w:val="000D24FA"/>
    <w:rsid w:val="000D2AAD"/>
    <w:rsid w:val="000D30AA"/>
    <w:rsid w:val="000D54F2"/>
    <w:rsid w:val="000D69CC"/>
    <w:rsid w:val="000D6A9B"/>
    <w:rsid w:val="000D70BD"/>
    <w:rsid w:val="000D76E5"/>
    <w:rsid w:val="000D7C1A"/>
    <w:rsid w:val="000E1311"/>
    <w:rsid w:val="000E154E"/>
    <w:rsid w:val="000E1556"/>
    <w:rsid w:val="000E20C4"/>
    <w:rsid w:val="000E2866"/>
    <w:rsid w:val="000E47D0"/>
    <w:rsid w:val="000E5185"/>
    <w:rsid w:val="000E58BC"/>
    <w:rsid w:val="000E5C3B"/>
    <w:rsid w:val="000E6A0B"/>
    <w:rsid w:val="000E708A"/>
    <w:rsid w:val="000E720B"/>
    <w:rsid w:val="000E7390"/>
    <w:rsid w:val="000E74EC"/>
    <w:rsid w:val="000F0649"/>
    <w:rsid w:val="000F08D3"/>
    <w:rsid w:val="000F0C05"/>
    <w:rsid w:val="000F0F9C"/>
    <w:rsid w:val="000F1909"/>
    <w:rsid w:val="000F1B4F"/>
    <w:rsid w:val="000F1BF6"/>
    <w:rsid w:val="000F29E1"/>
    <w:rsid w:val="000F32F9"/>
    <w:rsid w:val="000F37E4"/>
    <w:rsid w:val="000F3989"/>
    <w:rsid w:val="000F41B3"/>
    <w:rsid w:val="000F46AE"/>
    <w:rsid w:val="000F4908"/>
    <w:rsid w:val="000F4B43"/>
    <w:rsid w:val="000F526E"/>
    <w:rsid w:val="000F53B8"/>
    <w:rsid w:val="000F582E"/>
    <w:rsid w:val="000F5899"/>
    <w:rsid w:val="000F5DD4"/>
    <w:rsid w:val="000F7007"/>
    <w:rsid w:val="000F7FB6"/>
    <w:rsid w:val="0010088B"/>
    <w:rsid w:val="00101203"/>
    <w:rsid w:val="00101CD9"/>
    <w:rsid w:val="00102387"/>
    <w:rsid w:val="001027A2"/>
    <w:rsid w:val="00103201"/>
    <w:rsid w:val="00103282"/>
    <w:rsid w:val="0010392F"/>
    <w:rsid w:val="001041AE"/>
    <w:rsid w:val="001048DC"/>
    <w:rsid w:val="00104AD1"/>
    <w:rsid w:val="00104CD8"/>
    <w:rsid w:val="001050A6"/>
    <w:rsid w:val="00105104"/>
    <w:rsid w:val="001055BB"/>
    <w:rsid w:val="00105E64"/>
    <w:rsid w:val="00106F67"/>
    <w:rsid w:val="00107401"/>
    <w:rsid w:val="00107488"/>
    <w:rsid w:val="0011187F"/>
    <w:rsid w:val="001120AD"/>
    <w:rsid w:val="00112341"/>
    <w:rsid w:val="00112833"/>
    <w:rsid w:val="001135C6"/>
    <w:rsid w:val="00113CC6"/>
    <w:rsid w:val="0011402D"/>
    <w:rsid w:val="00114723"/>
    <w:rsid w:val="00116939"/>
    <w:rsid w:val="00116D54"/>
    <w:rsid w:val="00117A6E"/>
    <w:rsid w:val="00117B70"/>
    <w:rsid w:val="00117FDE"/>
    <w:rsid w:val="001200EA"/>
    <w:rsid w:val="0012037E"/>
    <w:rsid w:val="00120946"/>
    <w:rsid w:val="001224CE"/>
    <w:rsid w:val="001229B6"/>
    <w:rsid w:val="001236E0"/>
    <w:rsid w:val="00124517"/>
    <w:rsid w:val="00125E69"/>
    <w:rsid w:val="001265DF"/>
    <w:rsid w:val="00126AAB"/>
    <w:rsid w:val="0012711D"/>
    <w:rsid w:val="00127895"/>
    <w:rsid w:val="001300B4"/>
    <w:rsid w:val="001301DA"/>
    <w:rsid w:val="00130419"/>
    <w:rsid w:val="001311C9"/>
    <w:rsid w:val="001317C4"/>
    <w:rsid w:val="00131D0B"/>
    <w:rsid w:val="00131EC1"/>
    <w:rsid w:val="001321FE"/>
    <w:rsid w:val="00133174"/>
    <w:rsid w:val="0013324E"/>
    <w:rsid w:val="00133446"/>
    <w:rsid w:val="001344C1"/>
    <w:rsid w:val="001345AA"/>
    <w:rsid w:val="0013543E"/>
    <w:rsid w:val="00135BC3"/>
    <w:rsid w:val="00135FC3"/>
    <w:rsid w:val="001363B0"/>
    <w:rsid w:val="00137B09"/>
    <w:rsid w:val="00137B73"/>
    <w:rsid w:val="00137EB2"/>
    <w:rsid w:val="00140024"/>
    <w:rsid w:val="00140C4E"/>
    <w:rsid w:val="00140CD4"/>
    <w:rsid w:val="00140F39"/>
    <w:rsid w:val="001419AE"/>
    <w:rsid w:val="00141C0E"/>
    <w:rsid w:val="00141CBC"/>
    <w:rsid w:val="00142407"/>
    <w:rsid w:val="00142972"/>
    <w:rsid w:val="00142B79"/>
    <w:rsid w:val="00142BAA"/>
    <w:rsid w:val="00142E6C"/>
    <w:rsid w:val="00143668"/>
    <w:rsid w:val="00143DB1"/>
    <w:rsid w:val="00143F49"/>
    <w:rsid w:val="00144C20"/>
    <w:rsid w:val="001456D4"/>
    <w:rsid w:val="001457D9"/>
    <w:rsid w:val="00146012"/>
    <w:rsid w:val="00146566"/>
    <w:rsid w:val="00146A76"/>
    <w:rsid w:val="00147D4E"/>
    <w:rsid w:val="00152754"/>
    <w:rsid w:val="0015326C"/>
    <w:rsid w:val="00153D2C"/>
    <w:rsid w:val="001544F3"/>
    <w:rsid w:val="00154E61"/>
    <w:rsid w:val="00155CE0"/>
    <w:rsid w:val="00155DFC"/>
    <w:rsid w:val="00155F5A"/>
    <w:rsid w:val="00156B81"/>
    <w:rsid w:val="00156E90"/>
    <w:rsid w:val="00157147"/>
    <w:rsid w:val="00157260"/>
    <w:rsid w:val="00157767"/>
    <w:rsid w:val="001607AB"/>
    <w:rsid w:val="00160FDA"/>
    <w:rsid w:val="00161E97"/>
    <w:rsid w:val="00162FE3"/>
    <w:rsid w:val="0016335C"/>
    <w:rsid w:val="001633E3"/>
    <w:rsid w:val="001635B0"/>
    <w:rsid w:val="00164380"/>
    <w:rsid w:val="00165A0C"/>
    <w:rsid w:val="00166593"/>
    <w:rsid w:val="001672BE"/>
    <w:rsid w:val="00167D60"/>
    <w:rsid w:val="00170322"/>
    <w:rsid w:val="001703DF"/>
    <w:rsid w:val="001705DC"/>
    <w:rsid w:val="00170B76"/>
    <w:rsid w:val="00171518"/>
    <w:rsid w:val="00171AE2"/>
    <w:rsid w:val="0017265C"/>
    <w:rsid w:val="001736B9"/>
    <w:rsid w:val="001741E0"/>
    <w:rsid w:val="00174654"/>
    <w:rsid w:val="00174ADC"/>
    <w:rsid w:val="00176290"/>
    <w:rsid w:val="00176C4D"/>
    <w:rsid w:val="001774C3"/>
    <w:rsid w:val="00177B59"/>
    <w:rsid w:val="00177C04"/>
    <w:rsid w:val="001821E4"/>
    <w:rsid w:val="001826EA"/>
    <w:rsid w:val="00182DEA"/>
    <w:rsid w:val="00183AEF"/>
    <w:rsid w:val="00184C31"/>
    <w:rsid w:val="00186769"/>
    <w:rsid w:val="00190127"/>
    <w:rsid w:val="00190203"/>
    <w:rsid w:val="00190CA9"/>
    <w:rsid w:val="001914F0"/>
    <w:rsid w:val="00191A55"/>
    <w:rsid w:val="00192015"/>
    <w:rsid w:val="00192FBF"/>
    <w:rsid w:val="001931FF"/>
    <w:rsid w:val="00193DB3"/>
    <w:rsid w:val="00193F22"/>
    <w:rsid w:val="00194389"/>
    <w:rsid w:val="001944F2"/>
    <w:rsid w:val="00194C0D"/>
    <w:rsid w:val="00195A82"/>
    <w:rsid w:val="00195A93"/>
    <w:rsid w:val="00195DF7"/>
    <w:rsid w:val="00196A8E"/>
    <w:rsid w:val="00196E5A"/>
    <w:rsid w:val="00197E6D"/>
    <w:rsid w:val="001A0483"/>
    <w:rsid w:val="001A0D97"/>
    <w:rsid w:val="001A1583"/>
    <w:rsid w:val="001A1C1F"/>
    <w:rsid w:val="001A1FC5"/>
    <w:rsid w:val="001A3BF5"/>
    <w:rsid w:val="001A41AD"/>
    <w:rsid w:val="001A52EB"/>
    <w:rsid w:val="001A531B"/>
    <w:rsid w:val="001A56B7"/>
    <w:rsid w:val="001A6522"/>
    <w:rsid w:val="001A686E"/>
    <w:rsid w:val="001A710C"/>
    <w:rsid w:val="001A7C40"/>
    <w:rsid w:val="001A7CCB"/>
    <w:rsid w:val="001A7D38"/>
    <w:rsid w:val="001B0458"/>
    <w:rsid w:val="001B0A61"/>
    <w:rsid w:val="001B0CED"/>
    <w:rsid w:val="001B0DC9"/>
    <w:rsid w:val="001B10C6"/>
    <w:rsid w:val="001B19FF"/>
    <w:rsid w:val="001B23E6"/>
    <w:rsid w:val="001B3F45"/>
    <w:rsid w:val="001B3F5A"/>
    <w:rsid w:val="001B433A"/>
    <w:rsid w:val="001B4538"/>
    <w:rsid w:val="001B45BB"/>
    <w:rsid w:val="001B4A1A"/>
    <w:rsid w:val="001B4A5F"/>
    <w:rsid w:val="001B4B73"/>
    <w:rsid w:val="001B515F"/>
    <w:rsid w:val="001B579D"/>
    <w:rsid w:val="001B7DCC"/>
    <w:rsid w:val="001C038A"/>
    <w:rsid w:val="001C0807"/>
    <w:rsid w:val="001C0C69"/>
    <w:rsid w:val="001C114A"/>
    <w:rsid w:val="001C1394"/>
    <w:rsid w:val="001C1616"/>
    <w:rsid w:val="001C1822"/>
    <w:rsid w:val="001C1A20"/>
    <w:rsid w:val="001C1D0A"/>
    <w:rsid w:val="001C2AB0"/>
    <w:rsid w:val="001C36AC"/>
    <w:rsid w:val="001C3B60"/>
    <w:rsid w:val="001C430F"/>
    <w:rsid w:val="001C4E0A"/>
    <w:rsid w:val="001C4F6C"/>
    <w:rsid w:val="001C5DD9"/>
    <w:rsid w:val="001C6173"/>
    <w:rsid w:val="001C6731"/>
    <w:rsid w:val="001C7BA5"/>
    <w:rsid w:val="001D0BE3"/>
    <w:rsid w:val="001D1027"/>
    <w:rsid w:val="001D1829"/>
    <w:rsid w:val="001D21EA"/>
    <w:rsid w:val="001D25A1"/>
    <w:rsid w:val="001D2BE6"/>
    <w:rsid w:val="001D2CB7"/>
    <w:rsid w:val="001D305B"/>
    <w:rsid w:val="001D31CD"/>
    <w:rsid w:val="001D44D4"/>
    <w:rsid w:val="001D4AE5"/>
    <w:rsid w:val="001D55B8"/>
    <w:rsid w:val="001D582E"/>
    <w:rsid w:val="001D5FC4"/>
    <w:rsid w:val="001D6CCC"/>
    <w:rsid w:val="001E0199"/>
    <w:rsid w:val="001E0241"/>
    <w:rsid w:val="001E0600"/>
    <w:rsid w:val="001E0AD0"/>
    <w:rsid w:val="001E1452"/>
    <w:rsid w:val="001E152C"/>
    <w:rsid w:val="001E1B01"/>
    <w:rsid w:val="001E2069"/>
    <w:rsid w:val="001E25E5"/>
    <w:rsid w:val="001E2A71"/>
    <w:rsid w:val="001E2A79"/>
    <w:rsid w:val="001E3171"/>
    <w:rsid w:val="001E4B6B"/>
    <w:rsid w:val="001E56C2"/>
    <w:rsid w:val="001E6106"/>
    <w:rsid w:val="001E627B"/>
    <w:rsid w:val="001E689A"/>
    <w:rsid w:val="001E72B4"/>
    <w:rsid w:val="001E7443"/>
    <w:rsid w:val="001E74A3"/>
    <w:rsid w:val="001E7630"/>
    <w:rsid w:val="001E78FD"/>
    <w:rsid w:val="001F0528"/>
    <w:rsid w:val="001F1D2C"/>
    <w:rsid w:val="001F20DD"/>
    <w:rsid w:val="001F343B"/>
    <w:rsid w:val="001F5FAB"/>
    <w:rsid w:val="001F65DD"/>
    <w:rsid w:val="001F7567"/>
    <w:rsid w:val="00201736"/>
    <w:rsid w:val="00201946"/>
    <w:rsid w:val="00201AE3"/>
    <w:rsid w:val="00202783"/>
    <w:rsid w:val="002030FC"/>
    <w:rsid w:val="00203480"/>
    <w:rsid w:val="0020417B"/>
    <w:rsid w:val="00204663"/>
    <w:rsid w:val="00204727"/>
    <w:rsid w:val="00205421"/>
    <w:rsid w:val="0020596A"/>
    <w:rsid w:val="00205A1E"/>
    <w:rsid w:val="00205B0A"/>
    <w:rsid w:val="00206A18"/>
    <w:rsid w:val="00207045"/>
    <w:rsid w:val="0020725B"/>
    <w:rsid w:val="0020751D"/>
    <w:rsid w:val="00210975"/>
    <w:rsid w:val="00211814"/>
    <w:rsid w:val="0021268E"/>
    <w:rsid w:val="00212B9D"/>
    <w:rsid w:val="002130CD"/>
    <w:rsid w:val="0021321B"/>
    <w:rsid w:val="0021390B"/>
    <w:rsid w:val="00213F3A"/>
    <w:rsid w:val="00214A9E"/>
    <w:rsid w:val="00214BD8"/>
    <w:rsid w:val="00214C31"/>
    <w:rsid w:val="00214D86"/>
    <w:rsid w:val="00214F3C"/>
    <w:rsid w:val="00215687"/>
    <w:rsid w:val="002159CA"/>
    <w:rsid w:val="002162DC"/>
    <w:rsid w:val="002172D4"/>
    <w:rsid w:val="002174C5"/>
    <w:rsid w:val="00217999"/>
    <w:rsid w:val="00217F8D"/>
    <w:rsid w:val="00220214"/>
    <w:rsid w:val="00220EE3"/>
    <w:rsid w:val="00221D62"/>
    <w:rsid w:val="00221FB5"/>
    <w:rsid w:val="00222624"/>
    <w:rsid w:val="00222704"/>
    <w:rsid w:val="00224737"/>
    <w:rsid w:val="00224D86"/>
    <w:rsid w:val="0022554A"/>
    <w:rsid w:val="00225E77"/>
    <w:rsid w:val="00225E84"/>
    <w:rsid w:val="002269ED"/>
    <w:rsid w:val="00226B53"/>
    <w:rsid w:val="00226BE7"/>
    <w:rsid w:val="00227620"/>
    <w:rsid w:val="00227749"/>
    <w:rsid w:val="00230889"/>
    <w:rsid w:val="00230A72"/>
    <w:rsid w:val="002312AE"/>
    <w:rsid w:val="0023176F"/>
    <w:rsid w:val="00231D5A"/>
    <w:rsid w:val="00232518"/>
    <w:rsid w:val="00232ADB"/>
    <w:rsid w:val="00232DFB"/>
    <w:rsid w:val="0023306E"/>
    <w:rsid w:val="002335A4"/>
    <w:rsid w:val="00233CA7"/>
    <w:rsid w:val="00234593"/>
    <w:rsid w:val="00234FCD"/>
    <w:rsid w:val="00235800"/>
    <w:rsid w:val="002365F5"/>
    <w:rsid w:val="00236D76"/>
    <w:rsid w:val="00240218"/>
    <w:rsid w:val="00240C56"/>
    <w:rsid w:val="00240D07"/>
    <w:rsid w:val="00240E21"/>
    <w:rsid w:val="002412A1"/>
    <w:rsid w:val="00241CFC"/>
    <w:rsid w:val="00242313"/>
    <w:rsid w:val="00242D91"/>
    <w:rsid w:val="00243699"/>
    <w:rsid w:val="00244265"/>
    <w:rsid w:val="002456B1"/>
    <w:rsid w:val="00245919"/>
    <w:rsid w:val="00245D3B"/>
    <w:rsid w:val="00245F8F"/>
    <w:rsid w:val="002503A1"/>
    <w:rsid w:val="0025098F"/>
    <w:rsid w:val="00250A25"/>
    <w:rsid w:val="00251120"/>
    <w:rsid w:val="00251379"/>
    <w:rsid w:val="0025160B"/>
    <w:rsid w:val="0025174A"/>
    <w:rsid w:val="00252108"/>
    <w:rsid w:val="0025225B"/>
    <w:rsid w:val="0025232B"/>
    <w:rsid w:val="0025268F"/>
    <w:rsid w:val="0025327B"/>
    <w:rsid w:val="00254FDB"/>
    <w:rsid w:val="00255BD1"/>
    <w:rsid w:val="00255EA0"/>
    <w:rsid w:val="002570EB"/>
    <w:rsid w:val="002577E4"/>
    <w:rsid w:val="00257D9B"/>
    <w:rsid w:val="00260E6F"/>
    <w:rsid w:val="00261117"/>
    <w:rsid w:val="0026177E"/>
    <w:rsid w:val="00262191"/>
    <w:rsid w:val="00262A52"/>
    <w:rsid w:val="00262E97"/>
    <w:rsid w:val="00263212"/>
    <w:rsid w:val="0026335B"/>
    <w:rsid w:val="00263823"/>
    <w:rsid w:val="00263A86"/>
    <w:rsid w:val="00264C76"/>
    <w:rsid w:val="00264DB1"/>
    <w:rsid w:val="00265692"/>
    <w:rsid w:val="00265AB6"/>
    <w:rsid w:val="00266C75"/>
    <w:rsid w:val="00267C25"/>
    <w:rsid w:val="0027088F"/>
    <w:rsid w:val="00271368"/>
    <w:rsid w:val="00271B0B"/>
    <w:rsid w:val="00271C3C"/>
    <w:rsid w:val="00271CDE"/>
    <w:rsid w:val="00272C32"/>
    <w:rsid w:val="00273B50"/>
    <w:rsid w:val="00274374"/>
    <w:rsid w:val="0027474E"/>
    <w:rsid w:val="00275356"/>
    <w:rsid w:val="00276876"/>
    <w:rsid w:val="00276C94"/>
    <w:rsid w:val="00276DEF"/>
    <w:rsid w:val="0027707B"/>
    <w:rsid w:val="002776A1"/>
    <w:rsid w:val="00277E55"/>
    <w:rsid w:val="00277E9B"/>
    <w:rsid w:val="00280EB5"/>
    <w:rsid w:val="0028123C"/>
    <w:rsid w:val="0028131F"/>
    <w:rsid w:val="0028162F"/>
    <w:rsid w:val="00282B05"/>
    <w:rsid w:val="00283335"/>
    <w:rsid w:val="002840B4"/>
    <w:rsid w:val="00284164"/>
    <w:rsid w:val="00284318"/>
    <w:rsid w:val="00284BCD"/>
    <w:rsid w:val="00284D3C"/>
    <w:rsid w:val="00284F2A"/>
    <w:rsid w:val="002869E0"/>
    <w:rsid w:val="00286D90"/>
    <w:rsid w:val="00286FB9"/>
    <w:rsid w:val="0028757D"/>
    <w:rsid w:val="00287B4E"/>
    <w:rsid w:val="00287FA9"/>
    <w:rsid w:val="002909F5"/>
    <w:rsid w:val="00290C3A"/>
    <w:rsid w:val="00291231"/>
    <w:rsid w:val="0029129E"/>
    <w:rsid w:val="002919A8"/>
    <w:rsid w:val="00291E18"/>
    <w:rsid w:val="00292265"/>
    <w:rsid w:val="002929DC"/>
    <w:rsid w:val="002936EB"/>
    <w:rsid w:val="00293B86"/>
    <w:rsid w:val="0029415D"/>
    <w:rsid w:val="00294450"/>
    <w:rsid w:val="0029517E"/>
    <w:rsid w:val="002952D6"/>
    <w:rsid w:val="00295F69"/>
    <w:rsid w:val="002960D1"/>
    <w:rsid w:val="002977F8"/>
    <w:rsid w:val="00297AFD"/>
    <w:rsid w:val="00297D29"/>
    <w:rsid w:val="002A0D89"/>
    <w:rsid w:val="002A0DBD"/>
    <w:rsid w:val="002A0F17"/>
    <w:rsid w:val="002A3C55"/>
    <w:rsid w:val="002A4AAC"/>
    <w:rsid w:val="002A4DAE"/>
    <w:rsid w:val="002A4EE8"/>
    <w:rsid w:val="002A5098"/>
    <w:rsid w:val="002A5451"/>
    <w:rsid w:val="002A5E93"/>
    <w:rsid w:val="002A5F57"/>
    <w:rsid w:val="002A65F4"/>
    <w:rsid w:val="002A7823"/>
    <w:rsid w:val="002A7914"/>
    <w:rsid w:val="002A7D0F"/>
    <w:rsid w:val="002B035D"/>
    <w:rsid w:val="002B0976"/>
    <w:rsid w:val="002B0C89"/>
    <w:rsid w:val="002B0CE0"/>
    <w:rsid w:val="002B0F83"/>
    <w:rsid w:val="002B19D2"/>
    <w:rsid w:val="002B1A2F"/>
    <w:rsid w:val="002B1A85"/>
    <w:rsid w:val="002B1F8D"/>
    <w:rsid w:val="002B23F2"/>
    <w:rsid w:val="002B3495"/>
    <w:rsid w:val="002B3CA1"/>
    <w:rsid w:val="002B48E2"/>
    <w:rsid w:val="002B5D44"/>
    <w:rsid w:val="002B68C6"/>
    <w:rsid w:val="002B6B79"/>
    <w:rsid w:val="002B7086"/>
    <w:rsid w:val="002B7482"/>
    <w:rsid w:val="002B7768"/>
    <w:rsid w:val="002C0960"/>
    <w:rsid w:val="002C0A47"/>
    <w:rsid w:val="002C17B7"/>
    <w:rsid w:val="002C1D63"/>
    <w:rsid w:val="002C3B47"/>
    <w:rsid w:val="002C42EE"/>
    <w:rsid w:val="002C4516"/>
    <w:rsid w:val="002C5436"/>
    <w:rsid w:val="002C5AF6"/>
    <w:rsid w:val="002C6029"/>
    <w:rsid w:val="002C6520"/>
    <w:rsid w:val="002C7046"/>
    <w:rsid w:val="002C72D1"/>
    <w:rsid w:val="002D0035"/>
    <w:rsid w:val="002D0121"/>
    <w:rsid w:val="002D03C8"/>
    <w:rsid w:val="002D0792"/>
    <w:rsid w:val="002D11DE"/>
    <w:rsid w:val="002D129E"/>
    <w:rsid w:val="002D2956"/>
    <w:rsid w:val="002D2C43"/>
    <w:rsid w:val="002D316A"/>
    <w:rsid w:val="002D322A"/>
    <w:rsid w:val="002D3364"/>
    <w:rsid w:val="002D3669"/>
    <w:rsid w:val="002D3C83"/>
    <w:rsid w:val="002D433C"/>
    <w:rsid w:val="002D5D49"/>
    <w:rsid w:val="002D600B"/>
    <w:rsid w:val="002D6360"/>
    <w:rsid w:val="002D63D4"/>
    <w:rsid w:val="002D6F66"/>
    <w:rsid w:val="002E01C6"/>
    <w:rsid w:val="002E183C"/>
    <w:rsid w:val="002E22D7"/>
    <w:rsid w:val="002E2FE6"/>
    <w:rsid w:val="002E3497"/>
    <w:rsid w:val="002E35CB"/>
    <w:rsid w:val="002E406E"/>
    <w:rsid w:val="002E46AB"/>
    <w:rsid w:val="002E492B"/>
    <w:rsid w:val="002E4C4D"/>
    <w:rsid w:val="002E4C6B"/>
    <w:rsid w:val="002E57EC"/>
    <w:rsid w:val="002E5C09"/>
    <w:rsid w:val="002E5E6E"/>
    <w:rsid w:val="002E5FC3"/>
    <w:rsid w:val="002E64E5"/>
    <w:rsid w:val="002E67D0"/>
    <w:rsid w:val="002E6AD8"/>
    <w:rsid w:val="002E739D"/>
    <w:rsid w:val="002E73E9"/>
    <w:rsid w:val="002E7609"/>
    <w:rsid w:val="002E7EA1"/>
    <w:rsid w:val="002F1093"/>
    <w:rsid w:val="002F262A"/>
    <w:rsid w:val="002F2CA6"/>
    <w:rsid w:val="002F30C9"/>
    <w:rsid w:val="002F30EA"/>
    <w:rsid w:val="002F310B"/>
    <w:rsid w:val="002F35D2"/>
    <w:rsid w:val="002F3F8E"/>
    <w:rsid w:val="002F4166"/>
    <w:rsid w:val="002F4DBD"/>
    <w:rsid w:val="002F58FB"/>
    <w:rsid w:val="002F5907"/>
    <w:rsid w:val="002F5981"/>
    <w:rsid w:val="002F6869"/>
    <w:rsid w:val="002F7959"/>
    <w:rsid w:val="003005F1"/>
    <w:rsid w:val="003007EB"/>
    <w:rsid w:val="00300FAD"/>
    <w:rsid w:val="00301302"/>
    <w:rsid w:val="003028C2"/>
    <w:rsid w:val="003030E0"/>
    <w:rsid w:val="003039A0"/>
    <w:rsid w:val="0030419C"/>
    <w:rsid w:val="0030424E"/>
    <w:rsid w:val="0030471D"/>
    <w:rsid w:val="00304E37"/>
    <w:rsid w:val="00305DF9"/>
    <w:rsid w:val="0030632D"/>
    <w:rsid w:val="003063B0"/>
    <w:rsid w:val="00306631"/>
    <w:rsid w:val="00306A6B"/>
    <w:rsid w:val="00310E30"/>
    <w:rsid w:val="003113E4"/>
    <w:rsid w:val="00311446"/>
    <w:rsid w:val="00311491"/>
    <w:rsid w:val="00311CC1"/>
    <w:rsid w:val="003120C7"/>
    <w:rsid w:val="00312B8F"/>
    <w:rsid w:val="003143E9"/>
    <w:rsid w:val="003147CD"/>
    <w:rsid w:val="003161AE"/>
    <w:rsid w:val="003162D6"/>
    <w:rsid w:val="003164C2"/>
    <w:rsid w:val="0031769C"/>
    <w:rsid w:val="003218EE"/>
    <w:rsid w:val="00321948"/>
    <w:rsid w:val="00321A41"/>
    <w:rsid w:val="0032236C"/>
    <w:rsid w:val="003223AA"/>
    <w:rsid w:val="00322C9A"/>
    <w:rsid w:val="00323876"/>
    <w:rsid w:val="00323967"/>
    <w:rsid w:val="0032474E"/>
    <w:rsid w:val="00324766"/>
    <w:rsid w:val="00325AA5"/>
    <w:rsid w:val="00325B51"/>
    <w:rsid w:val="0032604F"/>
    <w:rsid w:val="00326FA9"/>
    <w:rsid w:val="003271AB"/>
    <w:rsid w:val="003271CA"/>
    <w:rsid w:val="003277BC"/>
    <w:rsid w:val="00327FC9"/>
    <w:rsid w:val="00330AB6"/>
    <w:rsid w:val="00330C95"/>
    <w:rsid w:val="00330FF7"/>
    <w:rsid w:val="003315AF"/>
    <w:rsid w:val="003315E0"/>
    <w:rsid w:val="003319CB"/>
    <w:rsid w:val="0033283B"/>
    <w:rsid w:val="003334DC"/>
    <w:rsid w:val="003339CB"/>
    <w:rsid w:val="00333CD4"/>
    <w:rsid w:val="00333F96"/>
    <w:rsid w:val="003340DB"/>
    <w:rsid w:val="00335079"/>
    <w:rsid w:val="00335899"/>
    <w:rsid w:val="00335FB5"/>
    <w:rsid w:val="003360AA"/>
    <w:rsid w:val="003362D7"/>
    <w:rsid w:val="003363B1"/>
    <w:rsid w:val="00337839"/>
    <w:rsid w:val="00337843"/>
    <w:rsid w:val="00340185"/>
    <w:rsid w:val="003409F9"/>
    <w:rsid w:val="003417FD"/>
    <w:rsid w:val="003422FC"/>
    <w:rsid w:val="00342BA0"/>
    <w:rsid w:val="00342C32"/>
    <w:rsid w:val="00342F19"/>
    <w:rsid w:val="00343170"/>
    <w:rsid w:val="003432FF"/>
    <w:rsid w:val="0034354D"/>
    <w:rsid w:val="00343BB6"/>
    <w:rsid w:val="00343D11"/>
    <w:rsid w:val="0034441E"/>
    <w:rsid w:val="0034519A"/>
    <w:rsid w:val="0034544B"/>
    <w:rsid w:val="003455BE"/>
    <w:rsid w:val="00345BD9"/>
    <w:rsid w:val="00345CE0"/>
    <w:rsid w:val="00346A91"/>
    <w:rsid w:val="00346B30"/>
    <w:rsid w:val="003510B2"/>
    <w:rsid w:val="00351B3F"/>
    <w:rsid w:val="00351B99"/>
    <w:rsid w:val="00352051"/>
    <w:rsid w:val="00352B0F"/>
    <w:rsid w:val="003532E7"/>
    <w:rsid w:val="003538CE"/>
    <w:rsid w:val="00353C5D"/>
    <w:rsid w:val="00353E92"/>
    <w:rsid w:val="003542AF"/>
    <w:rsid w:val="003544EA"/>
    <w:rsid w:val="003546E9"/>
    <w:rsid w:val="0035474B"/>
    <w:rsid w:val="00354BB3"/>
    <w:rsid w:val="00356CF2"/>
    <w:rsid w:val="00356EE1"/>
    <w:rsid w:val="003574FF"/>
    <w:rsid w:val="003602FD"/>
    <w:rsid w:val="00360357"/>
    <w:rsid w:val="00360D94"/>
    <w:rsid w:val="00360F38"/>
    <w:rsid w:val="00361013"/>
    <w:rsid w:val="00361D91"/>
    <w:rsid w:val="0036207A"/>
    <w:rsid w:val="003621D5"/>
    <w:rsid w:val="00362B5C"/>
    <w:rsid w:val="00362C9E"/>
    <w:rsid w:val="00362FB9"/>
    <w:rsid w:val="003630C2"/>
    <w:rsid w:val="0036367B"/>
    <w:rsid w:val="0036368A"/>
    <w:rsid w:val="00364643"/>
    <w:rsid w:val="003652CA"/>
    <w:rsid w:val="003652FA"/>
    <w:rsid w:val="00365557"/>
    <w:rsid w:val="0036642E"/>
    <w:rsid w:val="00367676"/>
    <w:rsid w:val="00371120"/>
    <w:rsid w:val="00371903"/>
    <w:rsid w:val="0037195F"/>
    <w:rsid w:val="003723BE"/>
    <w:rsid w:val="00372900"/>
    <w:rsid w:val="00373792"/>
    <w:rsid w:val="00373A6D"/>
    <w:rsid w:val="00374038"/>
    <w:rsid w:val="0037413B"/>
    <w:rsid w:val="003749A1"/>
    <w:rsid w:val="00374CB9"/>
    <w:rsid w:val="00374CCF"/>
    <w:rsid w:val="003750F2"/>
    <w:rsid w:val="00375CBA"/>
    <w:rsid w:val="00376E41"/>
    <w:rsid w:val="0037704F"/>
    <w:rsid w:val="003777C1"/>
    <w:rsid w:val="003779DE"/>
    <w:rsid w:val="00380617"/>
    <w:rsid w:val="00380AC1"/>
    <w:rsid w:val="00381496"/>
    <w:rsid w:val="00381741"/>
    <w:rsid w:val="003819BD"/>
    <w:rsid w:val="00382696"/>
    <w:rsid w:val="00382AA3"/>
    <w:rsid w:val="00382B43"/>
    <w:rsid w:val="00382D17"/>
    <w:rsid w:val="0038337E"/>
    <w:rsid w:val="003836B3"/>
    <w:rsid w:val="003837AF"/>
    <w:rsid w:val="00383869"/>
    <w:rsid w:val="00384355"/>
    <w:rsid w:val="0038461B"/>
    <w:rsid w:val="0038491C"/>
    <w:rsid w:val="00385EB2"/>
    <w:rsid w:val="003863B4"/>
    <w:rsid w:val="00386752"/>
    <w:rsid w:val="00386868"/>
    <w:rsid w:val="00386B76"/>
    <w:rsid w:val="003873FD"/>
    <w:rsid w:val="003905EF"/>
    <w:rsid w:val="0039098D"/>
    <w:rsid w:val="00390B8A"/>
    <w:rsid w:val="00390F8B"/>
    <w:rsid w:val="003913A0"/>
    <w:rsid w:val="0039178E"/>
    <w:rsid w:val="00391C1B"/>
    <w:rsid w:val="00391EF9"/>
    <w:rsid w:val="0039264B"/>
    <w:rsid w:val="003930E5"/>
    <w:rsid w:val="0039345E"/>
    <w:rsid w:val="0039364C"/>
    <w:rsid w:val="00394175"/>
    <w:rsid w:val="003946EE"/>
    <w:rsid w:val="00394C49"/>
    <w:rsid w:val="00395AE3"/>
    <w:rsid w:val="00396786"/>
    <w:rsid w:val="00396D67"/>
    <w:rsid w:val="003976A0"/>
    <w:rsid w:val="003979C4"/>
    <w:rsid w:val="003A048C"/>
    <w:rsid w:val="003A0796"/>
    <w:rsid w:val="003A081E"/>
    <w:rsid w:val="003A18C8"/>
    <w:rsid w:val="003A1C59"/>
    <w:rsid w:val="003A2665"/>
    <w:rsid w:val="003A29FB"/>
    <w:rsid w:val="003A3CA1"/>
    <w:rsid w:val="003A42EC"/>
    <w:rsid w:val="003A50E6"/>
    <w:rsid w:val="003A55D1"/>
    <w:rsid w:val="003A5E0E"/>
    <w:rsid w:val="003A656F"/>
    <w:rsid w:val="003A6F48"/>
    <w:rsid w:val="003A7362"/>
    <w:rsid w:val="003A7534"/>
    <w:rsid w:val="003A778B"/>
    <w:rsid w:val="003B021E"/>
    <w:rsid w:val="003B16FE"/>
    <w:rsid w:val="003B1F6C"/>
    <w:rsid w:val="003B22B4"/>
    <w:rsid w:val="003B26FA"/>
    <w:rsid w:val="003B304A"/>
    <w:rsid w:val="003B330D"/>
    <w:rsid w:val="003B36B3"/>
    <w:rsid w:val="003B43A9"/>
    <w:rsid w:val="003B46CA"/>
    <w:rsid w:val="003B4870"/>
    <w:rsid w:val="003B5ACF"/>
    <w:rsid w:val="003B5C23"/>
    <w:rsid w:val="003B5D9F"/>
    <w:rsid w:val="003B5F6F"/>
    <w:rsid w:val="003B6152"/>
    <w:rsid w:val="003B67D4"/>
    <w:rsid w:val="003B68EA"/>
    <w:rsid w:val="003B77A5"/>
    <w:rsid w:val="003C054E"/>
    <w:rsid w:val="003C1D07"/>
    <w:rsid w:val="003C1D65"/>
    <w:rsid w:val="003C26AA"/>
    <w:rsid w:val="003C2742"/>
    <w:rsid w:val="003C2BDA"/>
    <w:rsid w:val="003C304C"/>
    <w:rsid w:val="003C3CD7"/>
    <w:rsid w:val="003C4035"/>
    <w:rsid w:val="003C471B"/>
    <w:rsid w:val="003C4A1A"/>
    <w:rsid w:val="003C51DE"/>
    <w:rsid w:val="003C52A5"/>
    <w:rsid w:val="003C579D"/>
    <w:rsid w:val="003C5837"/>
    <w:rsid w:val="003C609D"/>
    <w:rsid w:val="003C65C2"/>
    <w:rsid w:val="003C66DD"/>
    <w:rsid w:val="003C67CF"/>
    <w:rsid w:val="003C6E07"/>
    <w:rsid w:val="003C7076"/>
    <w:rsid w:val="003C731C"/>
    <w:rsid w:val="003D0D78"/>
    <w:rsid w:val="003D1134"/>
    <w:rsid w:val="003D143B"/>
    <w:rsid w:val="003D15EA"/>
    <w:rsid w:val="003D1796"/>
    <w:rsid w:val="003D198D"/>
    <w:rsid w:val="003D2BBD"/>
    <w:rsid w:val="003D2BC1"/>
    <w:rsid w:val="003D35FC"/>
    <w:rsid w:val="003D384A"/>
    <w:rsid w:val="003D38B2"/>
    <w:rsid w:val="003D3BD6"/>
    <w:rsid w:val="003D5091"/>
    <w:rsid w:val="003D594D"/>
    <w:rsid w:val="003D5AFD"/>
    <w:rsid w:val="003D5B61"/>
    <w:rsid w:val="003D7129"/>
    <w:rsid w:val="003D759E"/>
    <w:rsid w:val="003D7FCA"/>
    <w:rsid w:val="003E0702"/>
    <w:rsid w:val="003E0A4B"/>
    <w:rsid w:val="003E175F"/>
    <w:rsid w:val="003E1CD9"/>
    <w:rsid w:val="003E1F84"/>
    <w:rsid w:val="003E357D"/>
    <w:rsid w:val="003E402A"/>
    <w:rsid w:val="003E4A92"/>
    <w:rsid w:val="003E4AC2"/>
    <w:rsid w:val="003E4CC0"/>
    <w:rsid w:val="003E5CA2"/>
    <w:rsid w:val="003E5D3A"/>
    <w:rsid w:val="003E5F74"/>
    <w:rsid w:val="003E730A"/>
    <w:rsid w:val="003E7E8A"/>
    <w:rsid w:val="003F16E7"/>
    <w:rsid w:val="003F27A3"/>
    <w:rsid w:val="003F2B3F"/>
    <w:rsid w:val="003F3BFE"/>
    <w:rsid w:val="003F3C1A"/>
    <w:rsid w:val="003F3D80"/>
    <w:rsid w:val="003F3E7C"/>
    <w:rsid w:val="003F406D"/>
    <w:rsid w:val="003F447A"/>
    <w:rsid w:val="003F52BD"/>
    <w:rsid w:val="003F5DB5"/>
    <w:rsid w:val="003F6E31"/>
    <w:rsid w:val="003F7060"/>
    <w:rsid w:val="003F77AA"/>
    <w:rsid w:val="003F7D00"/>
    <w:rsid w:val="003F7D59"/>
    <w:rsid w:val="00400C36"/>
    <w:rsid w:val="004017C4"/>
    <w:rsid w:val="00401F3C"/>
    <w:rsid w:val="0040245A"/>
    <w:rsid w:val="004024A0"/>
    <w:rsid w:val="004027C4"/>
    <w:rsid w:val="00402D1B"/>
    <w:rsid w:val="00403869"/>
    <w:rsid w:val="00403D97"/>
    <w:rsid w:val="004041ED"/>
    <w:rsid w:val="00404600"/>
    <w:rsid w:val="00404EDE"/>
    <w:rsid w:val="00405207"/>
    <w:rsid w:val="00405385"/>
    <w:rsid w:val="0040538E"/>
    <w:rsid w:val="004058D9"/>
    <w:rsid w:val="00405BC9"/>
    <w:rsid w:val="00405D2A"/>
    <w:rsid w:val="00406C14"/>
    <w:rsid w:val="00406F39"/>
    <w:rsid w:val="0040727A"/>
    <w:rsid w:val="004072CB"/>
    <w:rsid w:val="004075A1"/>
    <w:rsid w:val="004077F1"/>
    <w:rsid w:val="00411342"/>
    <w:rsid w:val="004113B5"/>
    <w:rsid w:val="00411949"/>
    <w:rsid w:val="00411CEC"/>
    <w:rsid w:val="00412016"/>
    <w:rsid w:val="004124BF"/>
    <w:rsid w:val="004124E2"/>
    <w:rsid w:val="00412F42"/>
    <w:rsid w:val="004132B5"/>
    <w:rsid w:val="004136B9"/>
    <w:rsid w:val="004137E0"/>
    <w:rsid w:val="0041385D"/>
    <w:rsid w:val="0041388B"/>
    <w:rsid w:val="0041443F"/>
    <w:rsid w:val="00414F6D"/>
    <w:rsid w:val="00416363"/>
    <w:rsid w:val="00417C61"/>
    <w:rsid w:val="004201BA"/>
    <w:rsid w:val="004204FF"/>
    <w:rsid w:val="00420FCA"/>
    <w:rsid w:val="00421D6E"/>
    <w:rsid w:val="00422891"/>
    <w:rsid w:val="0042383A"/>
    <w:rsid w:val="0042390B"/>
    <w:rsid w:val="00423A23"/>
    <w:rsid w:val="004241A4"/>
    <w:rsid w:val="004243CC"/>
    <w:rsid w:val="00424427"/>
    <w:rsid w:val="00424F95"/>
    <w:rsid w:val="0042533F"/>
    <w:rsid w:val="0042585E"/>
    <w:rsid w:val="00425DAF"/>
    <w:rsid w:val="00425EEF"/>
    <w:rsid w:val="00426F60"/>
    <w:rsid w:val="004273FB"/>
    <w:rsid w:val="00427FD7"/>
    <w:rsid w:val="00430066"/>
    <w:rsid w:val="00431F95"/>
    <w:rsid w:val="00433531"/>
    <w:rsid w:val="004339FF"/>
    <w:rsid w:val="0043442C"/>
    <w:rsid w:val="00434D81"/>
    <w:rsid w:val="00434E4A"/>
    <w:rsid w:val="0043537B"/>
    <w:rsid w:val="0043620B"/>
    <w:rsid w:val="004368A9"/>
    <w:rsid w:val="0043696B"/>
    <w:rsid w:val="00436B1D"/>
    <w:rsid w:val="0043704C"/>
    <w:rsid w:val="004371D1"/>
    <w:rsid w:val="00437409"/>
    <w:rsid w:val="004404F5"/>
    <w:rsid w:val="004415D8"/>
    <w:rsid w:val="00441708"/>
    <w:rsid w:val="00441753"/>
    <w:rsid w:val="00441D2A"/>
    <w:rsid w:val="00442CC6"/>
    <w:rsid w:val="00443C8B"/>
    <w:rsid w:val="0044401A"/>
    <w:rsid w:val="004440A9"/>
    <w:rsid w:val="00444221"/>
    <w:rsid w:val="004448B9"/>
    <w:rsid w:val="00445130"/>
    <w:rsid w:val="0044527D"/>
    <w:rsid w:val="00445D75"/>
    <w:rsid w:val="0044657F"/>
    <w:rsid w:val="0044711B"/>
    <w:rsid w:val="00450300"/>
    <w:rsid w:val="00450D99"/>
    <w:rsid w:val="004517EB"/>
    <w:rsid w:val="0045199E"/>
    <w:rsid w:val="00451A9C"/>
    <w:rsid w:val="004520C6"/>
    <w:rsid w:val="00453665"/>
    <w:rsid w:val="0045368A"/>
    <w:rsid w:val="00453E07"/>
    <w:rsid w:val="00454398"/>
    <w:rsid w:val="00454839"/>
    <w:rsid w:val="00455BCC"/>
    <w:rsid w:val="00455DAF"/>
    <w:rsid w:val="00456023"/>
    <w:rsid w:val="004567A3"/>
    <w:rsid w:val="00457CD2"/>
    <w:rsid w:val="0046014A"/>
    <w:rsid w:val="00460B12"/>
    <w:rsid w:val="00460B9C"/>
    <w:rsid w:val="00460D09"/>
    <w:rsid w:val="00461243"/>
    <w:rsid w:val="0046135F"/>
    <w:rsid w:val="00461767"/>
    <w:rsid w:val="004631BB"/>
    <w:rsid w:val="0046336D"/>
    <w:rsid w:val="00463E13"/>
    <w:rsid w:val="00465580"/>
    <w:rsid w:val="00465AB4"/>
    <w:rsid w:val="00465D04"/>
    <w:rsid w:val="00465DA5"/>
    <w:rsid w:val="00465F0C"/>
    <w:rsid w:val="00466064"/>
    <w:rsid w:val="00466BC6"/>
    <w:rsid w:val="00466E5B"/>
    <w:rsid w:val="004670F2"/>
    <w:rsid w:val="00467631"/>
    <w:rsid w:val="00467671"/>
    <w:rsid w:val="0047006A"/>
    <w:rsid w:val="004702DE"/>
    <w:rsid w:val="004705B0"/>
    <w:rsid w:val="00471262"/>
    <w:rsid w:val="00471278"/>
    <w:rsid w:val="004715DE"/>
    <w:rsid w:val="00471767"/>
    <w:rsid w:val="00471A17"/>
    <w:rsid w:val="00471FFB"/>
    <w:rsid w:val="004722E6"/>
    <w:rsid w:val="004725E5"/>
    <w:rsid w:val="004728D2"/>
    <w:rsid w:val="0047340A"/>
    <w:rsid w:val="0047380B"/>
    <w:rsid w:val="00473D7B"/>
    <w:rsid w:val="0047653C"/>
    <w:rsid w:val="00476758"/>
    <w:rsid w:val="004774F4"/>
    <w:rsid w:val="004776BE"/>
    <w:rsid w:val="00477A14"/>
    <w:rsid w:val="00480151"/>
    <w:rsid w:val="00480248"/>
    <w:rsid w:val="004802B1"/>
    <w:rsid w:val="00480537"/>
    <w:rsid w:val="00480BCD"/>
    <w:rsid w:val="004810F3"/>
    <w:rsid w:val="004815DF"/>
    <w:rsid w:val="00481667"/>
    <w:rsid w:val="00484A41"/>
    <w:rsid w:val="004850DE"/>
    <w:rsid w:val="00485347"/>
    <w:rsid w:val="004853DF"/>
    <w:rsid w:val="00485766"/>
    <w:rsid w:val="0048579B"/>
    <w:rsid w:val="004858BB"/>
    <w:rsid w:val="00485F79"/>
    <w:rsid w:val="00487854"/>
    <w:rsid w:val="00487E9D"/>
    <w:rsid w:val="00490C06"/>
    <w:rsid w:val="004912B4"/>
    <w:rsid w:val="004914B5"/>
    <w:rsid w:val="00491F5A"/>
    <w:rsid w:val="004923E2"/>
    <w:rsid w:val="00492784"/>
    <w:rsid w:val="00493039"/>
    <w:rsid w:val="004931B3"/>
    <w:rsid w:val="00494520"/>
    <w:rsid w:val="00494FAF"/>
    <w:rsid w:val="00494FB9"/>
    <w:rsid w:val="004954CB"/>
    <w:rsid w:val="004955D4"/>
    <w:rsid w:val="00495785"/>
    <w:rsid w:val="004967BE"/>
    <w:rsid w:val="004A095A"/>
    <w:rsid w:val="004A113C"/>
    <w:rsid w:val="004A1563"/>
    <w:rsid w:val="004A1D17"/>
    <w:rsid w:val="004A1E36"/>
    <w:rsid w:val="004A1E6A"/>
    <w:rsid w:val="004A204F"/>
    <w:rsid w:val="004A20A8"/>
    <w:rsid w:val="004A2466"/>
    <w:rsid w:val="004A3962"/>
    <w:rsid w:val="004A53FA"/>
    <w:rsid w:val="004A5521"/>
    <w:rsid w:val="004A645F"/>
    <w:rsid w:val="004A7026"/>
    <w:rsid w:val="004A7279"/>
    <w:rsid w:val="004A75BA"/>
    <w:rsid w:val="004A76C7"/>
    <w:rsid w:val="004A7818"/>
    <w:rsid w:val="004A7FAB"/>
    <w:rsid w:val="004B02E1"/>
    <w:rsid w:val="004B098C"/>
    <w:rsid w:val="004B107C"/>
    <w:rsid w:val="004B17F6"/>
    <w:rsid w:val="004B1FBF"/>
    <w:rsid w:val="004B29B4"/>
    <w:rsid w:val="004B2C35"/>
    <w:rsid w:val="004B379C"/>
    <w:rsid w:val="004B3E2A"/>
    <w:rsid w:val="004B4338"/>
    <w:rsid w:val="004B43AF"/>
    <w:rsid w:val="004B4518"/>
    <w:rsid w:val="004B48C3"/>
    <w:rsid w:val="004B4E53"/>
    <w:rsid w:val="004B51D8"/>
    <w:rsid w:val="004B5F65"/>
    <w:rsid w:val="004B5FE5"/>
    <w:rsid w:val="004B68AA"/>
    <w:rsid w:val="004B6BC2"/>
    <w:rsid w:val="004C02FB"/>
    <w:rsid w:val="004C0446"/>
    <w:rsid w:val="004C072D"/>
    <w:rsid w:val="004C0CB8"/>
    <w:rsid w:val="004C0FF5"/>
    <w:rsid w:val="004C19D6"/>
    <w:rsid w:val="004C34B1"/>
    <w:rsid w:val="004C4B68"/>
    <w:rsid w:val="004C4C34"/>
    <w:rsid w:val="004C52A9"/>
    <w:rsid w:val="004C54B4"/>
    <w:rsid w:val="004C58BB"/>
    <w:rsid w:val="004C5B4C"/>
    <w:rsid w:val="004C5BBA"/>
    <w:rsid w:val="004C66C2"/>
    <w:rsid w:val="004C6929"/>
    <w:rsid w:val="004C701B"/>
    <w:rsid w:val="004C703C"/>
    <w:rsid w:val="004C7261"/>
    <w:rsid w:val="004D03B7"/>
    <w:rsid w:val="004D03FA"/>
    <w:rsid w:val="004D04D3"/>
    <w:rsid w:val="004D0521"/>
    <w:rsid w:val="004D0BF4"/>
    <w:rsid w:val="004D166E"/>
    <w:rsid w:val="004D176E"/>
    <w:rsid w:val="004D191F"/>
    <w:rsid w:val="004D19E7"/>
    <w:rsid w:val="004D1B5E"/>
    <w:rsid w:val="004D1FD3"/>
    <w:rsid w:val="004D2847"/>
    <w:rsid w:val="004D2DB0"/>
    <w:rsid w:val="004D3542"/>
    <w:rsid w:val="004D355B"/>
    <w:rsid w:val="004D392D"/>
    <w:rsid w:val="004D3B81"/>
    <w:rsid w:val="004D3DF6"/>
    <w:rsid w:val="004D481F"/>
    <w:rsid w:val="004D4E38"/>
    <w:rsid w:val="004D5107"/>
    <w:rsid w:val="004D6F62"/>
    <w:rsid w:val="004D7280"/>
    <w:rsid w:val="004D74C8"/>
    <w:rsid w:val="004D758C"/>
    <w:rsid w:val="004D7A63"/>
    <w:rsid w:val="004D7D44"/>
    <w:rsid w:val="004E0A8D"/>
    <w:rsid w:val="004E0E73"/>
    <w:rsid w:val="004E17D3"/>
    <w:rsid w:val="004E19D6"/>
    <w:rsid w:val="004E1DFF"/>
    <w:rsid w:val="004E2D5B"/>
    <w:rsid w:val="004E306A"/>
    <w:rsid w:val="004E348F"/>
    <w:rsid w:val="004E3857"/>
    <w:rsid w:val="004E3E8F"/>
    <w:rsid w:val="004E5114"/>
    <w:rsid w:val="004E519E"/>
    <w:rsid w:val="004E55C9"/>
    <w:rsid w:val="004E58F3"/>
    <w:rsid w:val="004E604E"/>
    <w:rsid w:val="004E60E1"/>
    <w:rsid w:val="004E6136"/>
    <w:rsid w:val="004E67C7"/>
    <w:rsid w:val="004E702D"/>
    <w:rsid w:val="004E727C"/>
    <w:rsid w:val="004E77CF"/>
    <w:rsid w:val="004E7849"/>
    <w:rsid w:val="004E788C"/>
    <w:rsid w:val="004F0C3F"/>
    <w:rsid w:val="004F0D01"/>
    <w:rsid w:val="004F0F13"/>
    <w:rsid w:val="004F1481"/>
    <w:rsid w:val="004F180F"/>
    <w:rsid w:val="004F1F41"/>
    <w:rsid w:val="004F25D7"/>
    <w:rsid w:val="004F2758"/>
    <w:rsid w:val="004F2807"/>
    <w:rsid w:val="004F4598"/>
    <w:rsid w:val="004F6957"/>
    <w:rsid w:val="004F6D30"/>
    <w:rsid w:val="004F72F4"/>
    <w:rsid w:val="004F7F20"/>
    <w:rsid w:val="00501331"/>
    <w:rsid w:val="00501349"/>
    <w:rsid w:val="0050347D"/>
    <w:rsid w:val="00503480"/>
    <w:rsid w:val="00503DC3"/>
    <w:rsid w:val="00503E89"/>
    <w:rsid w:val="00504EE3"/>
    <w:rsid w:val="0050617A"/>
    <w:rsid w:val="00506EAC"/>
    <w:rsid w:val="0050756D"/>
    <w:rsid w:val="00510CDC"/>
    <w:rsid w:val="00511F49"/>
    <w:rsid w:val="00512665"/>
    <w:rsid w:val="0051398F"/>
    <w:rsid w:val="00514A9E"/>
    <w:rsid w:val="00514B68"/>
    <w:rsid w:val="0051533D"/>
    <w:rsid w:val="005156E7"/>
    <w:rsid w:val="0051599B"/>
    <w:rsid w:val="00515BCF"/>
    <w:rsid w:val="005163BF"/>
    <w:rsid w:val="005163E1"/>
    <w:rsid w:val="005201CB"/>
    <w:rsid w:val="00520E40"/>
    <w:rsid w:val="005210E8"/>
    <w:rsid w:val="00521236"/>
    <w:rsid w:val="0052199F"/>
    <w:rsid w:val="005224CC"/>
    <w:rsid w:val="00522D36"/>
    <w:rsid w:val="00523E8C"/>
    <w:rsid w:val="005243A4"/>
    <w:rsid w:val="00525011"/>
    <w:rsid w:val="00525423"/>
    <w:rsid w:val="00526530"/>
    <w:rsid w:val="00526788"/>
    <w:rsid w:val="00526B08"/>
    <w:rsid w:val="00526BDE"/>
    <w:rsid w:val="005272AE"/>
    <w:rsid w:val="00530D9D"/>
    <w:rsid w:val="005311DC"/>
    <w:rsid w:val="005313FC"/>
    <w:rsid w:val="0053165E"/>
    <w:rsid w:val="005319D9"/>
    <w:rsid w:val="00532026"/>
    <w:rsid w:val="005321D6"/>
    <w:rsid w:val="00532BA8"/>
    <w:rsid w:val="00532EB1"/>
    <w:rsid w:val="00533074"/>
    <w:rsid w:val="00533BE8"/>
    <w:rsid w:val="00534396"/>
    <w:rsid w:val="00534CA2"/>
    <w:rsid w:val="00535EBF"/>
    <w:rsid w:val="00536C0E"/>
    <w:rsid w:val="00536C28"/>
    <w:rsid w:val="00536E4D"/>
    <w:rsid w:val="005370A5"/>
    <w:rsid w:val="00540404"/>
    <w:rsid w:val="00540F00"/>
    <w:rsid w:val="005414EA"/>
    <w:rsid w:val="005423CA"/>
    <w:rsid w:val="00542F46"/>
    <w:rsid w:val="005434A1"/>
    <w:rsid w:val="0054368E"/>
    <w:rsid w:val="0054421F"/>
    <w:rsid w:val="005446AE"/>
    <w:rsid w:val="00544730"/>
    <w:rsid w:val="00544BFA"/>
    <w:rsid w:val="00544E33"/>
    <w:rsid w:val="00544F23"/>
    <w:rsid w:val="0054548D"/>
    <w:rsid w:val="0054601D"/>
    <w:rsid w:val="00546639"/>
    <w:rsid w:val="00546B20"/>
    <w:rsid w:val="00546CDB"/>
    <w:rsid w:val="00546E7F"/>
    <w:rsid w:val="00546FF8"/>
    <w:rsid w:val="005471C1"/>
    <w:rsid w:val="00547CF1"/>
    <w:rsid w:val="0055118D"/>
    <w:rsid w:val="005527F4"/>
    <w:rsid w:val="005532F8"/>
    <w:rsid w:val="00553CF0"/>
    <w:rsid w:val="00553FCF"/>
    <w:rsid w:val="005544F8"/>
    <w:rsid w:val="00555134"/>
    <w:rsid w:val="0055536E"/>
    <w:rsid w:val="005554AC"/>
    <w:rsid w:val="005561D9"/>
    <w:rsid w:val="0055644A"/>
    <w:rsid w:val="005566BE"/>
    <w:rsid w:val="00556D8A"/>
    <w:rsid w:val="005571ED"/>
    <w:rsid w:val="00557A95"/>
    <w:rsid w:val="00557D27"/>
    <w:rsid w:val="00557DB6"/>
    <w:rsid w:val="005601B7"/>
    <w:rsid w:val="005601F6"/>
    <w:rsid w:val="005606CE"/>
    <w:rsid w:val="00560C14"/>
    <w:rsid w:val="0056184C"/>
    <w:rsid w:val="00561E48"/>
    <w:rsid w:val="00562DEE"/>
    <w:rsid w:val="00563DC3"/>
    <w:rsid w:val="00563F08"/>
    <w:rsid w:val="0056555F"/>
    <w:rsid w:val="005656E6"/>
    <w:rsid w:val="00565A9A"/>
    <w:rsid w:val="00566400"/>
    <w:rsid w:val="00567795"/>
    <w:rsid w:val="0056779B"/>
    <w:rsid w:val="0057002B"/>
    <w:rsid w:val="00570652"/>
    <w:rsid w:val="00570836"/>
    <w:rsid w:val="00570FB4"/>
    <w:rsid w:val="005716D8"/>
    <w:rsid w:val="00571BCD"/>
    <w:rsid w:val="00572357"/>
    <w:rsid w:val="00572448"/>
    <w:rsid w:val="00572AED"/>
    <w:rsid w:val="00572B60"/>
    <w:rsid w:val="00572D0C"/>
    <w:rsid w:val="00573191"/>
    <w:rsid w:val="005732DD"/>
    <w:rsid w:val="00573689"/>
    <w:rsid w:val="00573B20"/>
    <w:rsid w:val="005740BE"/>
    <w:rsid w:val="00574936"/>
    <w:rsid w:val="00575112"/>
    <w:rsid w:val="00575BA6"/>
    <w:rsid w:val="00575C4C"/>
    <w:rsid w:val="00575E73"/>
    <w:rsid w:val="005761C8"/>
    <w:rsid w:val="0057627E"/>
    <w:rsid w:val="00576CED"/>
    <w:rsid w:val="00577067"/>
    <w:rsid w:val="00577F58"/>
    <w:rsid w:val="005800EB"/>
    <w:rsid w:val="005803E7"/>
    <w:rsid w:val="00580B52"/>
    <w:rsid w:val="00580EF7"/>
    <w:rsid w:val="00580FFE"/>
    <w:rsid w:val="0058119A"/>
    <w:rsid w:val="00581F15"/>
    <w:rsid w:val="0058250D"/>
    <w:rsid w:val="00582DF3"/>
    <w:rsid w:val="00582E9B"/>
    <w:rsid w:val="0058318C"/>
    <w:rsid w:val="005834E5"/>
    <w:rsid w:val="00583B44"/>
    <w:rsid w:val="00583F09"/>
    <w:rsid w:val="00584071"/>
    <w:rsid w:val="00585296"/>
    <w:rsid w:val="0058600F"/>
    <w:rsid w:val="00586BCD"/>
    <w:rsid w:val="005874BB"/>
    <w:rsid w:val="005877C8"/>
    <w:rsid w:val="00587948"/>
    <w:rsid w:val="00590352"/>
    <w:rsid w:val="00590552"/>
    <w:rsid w:val="00590981"/>
    <w:rsid w:val="00590E4D"/>
    <w:rsid w:val="00591029"/>
    <w:rsid w:val="00591039"/>
    <w:rsid w:val="005910B6"/>
    <w:rsid w:val="00591A28"/>
    <w:rsid w:val="00591B34"/>
    <w:rsid w:val="00592816"/>
    <w:rsid w:val="00592824"/>
    <w:rsid w:val="00592DD8"/>
    <w:rsid w:val="00592ECD"/>
    <w:rsid w:val="0059436A"/>
    <w:rsid w:val="00594CD2"/>
    <w:rsid w:val="0059513C"/>
    <w:rsid w:val="005951CD"/>
    <w:rsid w:val="00595B23"/>
    <w:rsid w:val="005960B9"/>
    <w:rsid w:val="005963BF"/>
    <w:rsid w:val="005966F3"/>
    <w:rsid w:val="005973E6"/>
    <w:rsid w:val="00597801"/>
    <w:rsid w:val="005A06E2"/>
    <w:rsid w:val="005A0B11"/>
    <w:rsid w:val="005A1415"/>
    <w:rsid w:val="005A144C"/>
    <w:rsid w:val="005A1770"/>
    <w:rsid w:val="005A225D"/>
    <w:rsid w:val="005A35EC"/>
    <w:rsid w:val="005A41EE"/>
    <w:rsid w:val="005A47BD"/>
    <w:rsid w:val="005A5158"/>
    <w:rsid w:val="005A5C40"/>
    <w:rsid w:val="005A6073"/>
    <w:rsid w:val="005A762D"/>
    <w:rsid w:val="005A7A53"/>
    <w:rsid w:val="005A7A84"/>
    <w:rsid w:val="005B1266"/>
    <w:rsid w:val="005B178D"/>
    <w:rsid w:val="005B2329"/>
    <w:rsid w:val="005B25F9"/>
    <w:rsid w:val="005B2CFB"/>
    <w:rsid w:val="005B3039"/>
    <w:rsid w:val="005B371A"/>
    <w:rsid w:val="005B4407"/>
    <w:rsid w:val="005B5610"/>
    <w:rsid w:val="005B65A6"/>
    <w:rsid w:val="005B6821"/>
    <w:rsid w:val="005B68A6"/>
    <w:rsid w:val="005B7021"/>
    <w:rsid w:val="005B7211"/>
    <w:rsid w:val="005B7BD5"/>
    <w:rsid w:val="005C09AA"/>
    <w:rsid w:val="005C0D2D"/>
    <w:rsid w:val="005C1393"/>
    <w:rsid w:val="005C15A9"/>
    <w:rsid w:val="005C16A0"/>
    <w:rsid w:val="005C21BA"/>
    <w:rsid w:val="005C28BF"/>
    <w:rsid w:val="005C2B4F"/>
    <w:rsid w:val="005C3313"/>
    <w:rsid w:val="005C4103"/>
    <w:rsid w:val="005C463D"/>
    <w:rsid w:val="005C4C28"/>
    <w:rsid w:val="005C5200"/>
    <w:rsid w:val="005C537F"/>
    <w:rsid w:val="005C5EE2"/>
    <w:rsid w:val="005C69A6"/>
    <w:rsid w:val="005C7848"/>
    <w:rsid w:val="005C788F"/>
    <w:rsid w:val="005D0D10"/>
    <w:rsid w:val="005D130E"/>
    <w:rsid w:val="005D1640"/>
    <w:rsid w:val="005D2231"/>
    <w:rsid w:val="005D26B5"/>
    <w:rsid w:val="005D2860"/>
    <w:rsid w:val="005D2910"/>
    <w:rsid w:val="005D3117"/>
    <w:rsid w:val="005D3D23"/>
    <w:rsid w:val="005D40F4"/>
    <w:rsid w:val="005D4732"/>
    <w:rsid w:val="005D4792"/>
    <w:rsid w:val="005D569B"/>
    <w:rsid w:val="005D5B0A"/>
    <w:rsid w:val="005D7499"/>
    <w:rsid w:val="005D7537"/>
    <w:rsid w:val="005D79BF"/>
    <w:rsid w:val="005E06CC"/>
    <w:rsid w:val="005E199F"/>
    <w:rsid w:val="005E1AD2"/>
    <w:rsid w:val="005E2949"/>
    <w:rsid w:val="005E2ED0"/>
    <w:rsid w:val="005E3309"/>
    <w:rsid w:val="005E3C7A"/>
    <w:rsid w:val="005E48A4"/>
    <w:rsid w:val="005E4F2C"/>
    <w:rsid w:val="005E52FE"/>
    <w:rsid w:val="005E58E6"/>
    <w:rsid w:val="005E5A52"/>
    <w:rsid w:val="005E5EF8"/>
    <w:rsid w:val="005E619C"/>
    <w:rsid w:val="005E6493"/>
    <w:rsid w:val="005E6509"/>
    <w:rsid w:val="005E688D"/>
    <w:rsid w:val="005E6D73"/>
    <w:rsid w:val="005E71CA"/>
    <w:rsid w:val="005F02AE"/>
    <w:rsid w:val="005F0714"/>
    <w:rsid w:val="005F07C1"/>
    <w:rsid w:val="005F0847"/>
    <w:rsid w:val="005F15D0"/>
    <w:rsid w:val="005F15E9"/>
    <w:rsid w:val="005F1914"/>
    <w:rsid w:val="005F2168"/>
    <w:rsid w:val="005F27CA"/>
    <w:rsid w:val="005F2F18"/>
    <w:rsid w:val="005F4789"/>
    <w:rsid w:val="005F4BB4"/>
    <w:rsid w:val="005F5273"/>
    <w:rsid w:val="005F5437"/>
    <w:rsid w:val="005F60E0"/>
    <w:rsid w:val="005F6272"/>
    <w:rsid w:val="005F6FA4"/>
    <w:rsid w:val="006000E2"/>
    <w:rsid w:val="00600210"/>
    <w:rsid w:val="00600411"/>
    <w:rsid w:val="00600C1D"/>
    <w:rsid w:val="006018DC"/>
    <w:rsid w:val="00601B53"/>
    <w:rsid w:val="006030FA"/>
    <w:rsid w:val="00603516"/>
    <w:rsid w:val="00603A93"/>
    <w:rsid w:val="00603B23"/>
    <w:rsid w:val="00603FCB"/>
    <w:rsid w:val="006043A2"/>
    <w:rsid w:val="006043D7"/>
    <w:rsid w:val="006044D2"/>
    <w:rsid w:val="00604B26"/>
    <w:rsid w:val="0060501B"/>
    <w:rsid w:val="0060578F"/>
    <w:rsid w:val="0060586A"/>
    <w:rsid w:val="00605CCC"/>
    <w:rsid w:val="00605CD5"/>
    <w:rsid w:val="0060690C"/>
    <w:rsid w:val="006078BC"/>
    <w:rsid w:val="0060793F"/>
    <w:rsid w:val="00607FB9"/>
    <w:rsid w:val="00610290"/>
    <w:rsid w:val="00610428"/>
    <w:rsid w:val="00610DA2"/>
    <w:rsid w:val="0061166E"/>
    <w:rsid w:val="006117EF"/>
    <w:rsid w:val="00611969"/>
    <w:rsid w:val="0061196D"/>
    <w:rsid w:val="00612212"/>
    <w:rsid w:val="00612458"/>
    <w:rsid w:val="00612B64"/>
    <w:rsid w:val="00612F6A"/>
    <w:rsid w:val="006132AE"/>
    <w:rsid w:val="006137DC"/>
    <w:rsid w:val="00613B89"/>
    <w:rsid w:val="00616479"/>
    <w:rsid w:val="00616CD4"/>
    <w:rsid w:val="006173F7"/>
    <w:rsid w:val="006200BF"/>
    <w:rsid w:val="00620123"/>
    <w:rsid w:val="00620401"/>
    <w:rsid w:val="00620689"/>
    <w:rsid w:val="00620FC2"/>
    <w:rsid w:val="00620FE4"/>
    <w:rsid w:val="00621284"/>
    <w:rsid w:val="00621433"/>
    <w:rsid w:val="0062171F"/>
    <w:rsid w:val="006222FE"/>
    <w:rsid w:val="00622AC5"/>
    <w:rsid w:val="00622DFC"/>
    <w:rsid w:val="006241FE"/>
    <w:rsid w:val="00624539"/>
    <w:rsid w:val="00624DD3"/>
    <w:rsid w:val="00625475"/>
    <w:rsid w:val="00627084"/>
    <w:rsid w:val="0062796B"/>
    <w:rsid w:val="00627B21"/>
    <w:rsid w:val="00627BE6"/>
    <w:rsid w:val="00627D46"/>
    <w:rsid w:val="00627F32"/>
    <w:rsid w:val="00630468"/>
    <w:rsid w:val="006305D6"/>
    <w:rsid w:val="00630961"/>
    <w:rsid w:val="00631C0C"/>
    <w:rsid w:val="00631E69"/>
    <w:rsid w:val="00631E6D"/>
    <w:rsid w:val="0063239E"/>
    <w:rsid w:val="00632A86"/>
    <w:rsid w:val="00632F18"/>
    <w:rsid w:val="00633370"/>
    <w:rsid w:val="00633415"/>
    <w:rsid w:val="006339CF"/>
    <w:rsid w:val="00633B71"/>
    <w:rsid w:val="00633DC2"/>
    <w:rsid w:val="00633DF4"/>
    <w:rsid w:val="00633F10"/>
    <w:rsid w:val="0063445B"/>
    <w:rsid w:val="00634DE8"/>
    <w:rsid w:val="006358A7"/>
    <w:rsid w:val="006358B9"/>
    <w:rsid w:val="0063661B"/>
    <w:rsid w:val="00636EFF"/>
    <w:rsid w:val="006378C7"/>
    <w:rsid w:val="006379E0"/>
    <w:rsid w:val="00637BFF"/>
    <w:rsid w:val="00640159"/>
    <w:rsid w:val="00640484"/>
    <w:rsid w:val="006406C0"/>
    <w:rsid w:val="0064070A"/>
    <w:rsid w:val="00641A8B"/>
    <w:rsid w:val="00641C1B"/>
    <w:rsid w:val="00641D4E"/>
    <w:rsid w:val="00641D6F"/>
    <w:rsid w:val="006423F5"/>
    <w:rsid w:val="0064289C"/>
    <w:rsid w:val="00642A55"/>
    <w:rsid w:val="00643FAF"/>
    <w:rsid w:val="006449A3"/>
    <w:rsid w:val="00645481"/>
    <w:rsid w:val="00645B76"/>
    <w:rsid w:val="00645DFB"/>
    <w:rsid w:val="0064605E"/>
    <w:rsid w:val="0064780D"/>
    <w:rsid w:val="00647B6E"/>
    <w:rsid w:val="00647CDB"/>
    <w:rsid w:val="0065169D"/>
    <w:rsid w:val="00652505"/>
    <w:rsid w:val="00652C51"/>
    <w:rsid w:val="00652CD4"/>
    <w:rsid w:val="00652E74"/>
    <w:rsid w:val="00653597"/>
    <w:rsid w:val="00653D7A"/>
    <w:rsid w:val="00653F8F"/>
    <w:rsid w:val="0065445B"/>
    <w:rsid w:val="00654872"/>
    <w:rsid w:val="00654D77"/>
    <w:rsid w:val="00654DFF"/>
    <w:rsid w:val="00655BA9"/>
    <w:rsid w:val="006561B1"/>
    <w:rsid w:val="0065682E"/>
    <w:rsid w:val="00656D5C"/>
    <w:rsid w:val="00656F41"/>
    <w:rsid w:val="00657670"/>
    <w:rsid w:val="0065782B"/>
    <w:rsid w:val="006579F0"/>
    <w:rsid w:val="006602C8"/>
    <w:rsid w:val="006604F3"/>
    <w:rsid w:val="00660859"/>
    <w:rsid w:val="00660885"/>
    <w:rsid w:val="0066134C"/>
    <w:rsid w:val="0066156C"/>
    <w:rsid w:val="006618E2"/>
    <w:rsid w:val="00662838"/>
    <w:rsid w:val="006628CE"/>
    <w:rsid w:val="0066345B"/>
    <w:rsid w:val="00663487"/>
    <w:rsid w:val="006638E8"/>
    <w:rsid w:val="00663CCC"/>
    <w:rsid w:val="00663E69"/>
    <w:rsid w:val="0066436C"/>
    <w:rsid w:val="006648F0"/>
    <w:rsid w:val="00664E4C"/>
    <w:rsid w:val="00665819"/>
    <w:rsid w:val="00665DAF"/>
    <w:rsid w:val="00666740"/>
    <w:rsid w:val="0066748D"/>
    <w:rsid w:val="0067008E"/>
    <w:rsid w:val="00670141"/>
    <w:rsid w:val="0067055B"/>
    <w:rsid w:val="00670788"/>
    <w:rsid w:val="00671FCD"/>
    <w:rsid w:val="00672236"/>
    <w:rsid w:val="00672635"/>
    <w:rsid w:val="00672981"/>
    <w:rsid w:val="00672ADA"/>
    <w:rsid w:val="00672D54"/>
    <w:rsid w:val="00672FCD"/>
    <w:rsid w:val="006731B6"/>
    <w:rsid w:val="006735C1"/>
    <w:rsid w:val="00673843"/>
    <w:rsid w:val="00673CC6"/>
    <w:rsid w:val="006743FA"/>
    <w:rsid w:val="00674942"/>
    <w:rsid w:val="0067549A"/>
    <w:rsid w:val="00675B9A"/>
    <w:rsid w:val="006766F8"/>
    <w:rsid w:val="006771BD"/>
    <w:rsid w:val="0068069B"/>
    <w:rsid w:val="00680E13"/>
    <w:rsid w:val="006813AD"/>
    <w:rsid w:val="0068190E"/>
    <w:rsid w:val="00681953"/>
    <w:rsid w:val="0068250D"/>
    <w:rsid w:val="006829D5"/>
    <w:rsid w:val="00682B44"/>
    <w:rsid w:val="00682FCD"/>
    <w:rsid w:val="006830E8"/>
    <w:rsid w:val="0068431E"/>
    <w:rsid w:val="0068433C"/>
    <w:rsid w:val="00684FFA"/>
    <w:rsid w:val="00685282"/>
    <w:rsid w:val="006856D6"/>
    <w:rsid w:val="0068586B"/>
    <w:rsid w:val="00686D73"/>
    <w:rsid w:val="0068715A"/>
    <w:rsid w:val="0068719B"/>
    <w:rsid w:val="006877C2"/>
    <w:rsid w:val="0068798B"/>
    <w:rsid w:val="00687B07"/>
    <w:rsid w:val="00690157"/>
    <w:rsid w:val="006905C6"/>
    <w:rsid w:val="0069065D"/>
    <w:rsid w:val="00692680"/>
    <w:rsid w:val="00693492"/>
    <w:rsid w:val="00693B8C"/>
    <w:rsid w:val="00694E26"/>
    <w:rsid w:val="006952C0"/>
    <w:rsid w:val="006953C3"/>
    <w:rsid w:val="00697CB5"/>
    <w:rsid w:val="00697FF8"/>
    <w:rsid w:val="006A12B9"/>
    <w:rsid w:val="006A15EF"/>
    <w:rsid w:val="006A1BCD"/>
    <w:rsid w:val="006A2641"/>
    <w:rsid w:val="006A27CD"/>
    <w:rsid w:val="006A333E"/>
    <w:rsid w:val="006A3500"/>
    <w:rsid w:val="006A3637"/>
    <w:rsid w:val="006A3767"/>
    <w:rsid w:val="006A3C3D"/>
    <w:rsid w:val="006A50F0"/>
    <w:rsid w:val="006A52A4"/>
    <w:rsid w:val="006A52A6"/>
    <w:rsid w:val="006A67C9"/>
    <w:rsid w:val="006A799C"/>
    <w:rsid w:val="006A7EF7"/>
    <w:rsid w:val="006B0EC5"/>
    <w:rsid w:val="006B1537"/>
    <w:rsid w:val="006B165F"/>
    <w:rsid w:val="006B3B1F"/>
    <w:rsid w:val="006B4831"/>
    <w:rsid w:val="006B5069"/>
    <w:rsid w:val="006B5624"/>
    <w:rsid w:val="006B576A"/>
    <w:rsid w:val="006B58AA"/>
    <w:rsid w:val="006B5FA7"/>
    <w:rsid w:val="006B6D20"/>
    <w:rsid w:val="006B7964"/>
    <w:rsid w:val="006B7F76"/>
    <w:rsid w:val="006C0289"/>
    <w:rsid w:val="006C0835"/>
    <w:rsid w:val="006C18C1"/>
    <w:rsid w:val="006C1E64"/>
    <w:rsid w:val="006C1F43"/>
    <w:rsid w:val="006C1FB6"/>
    <w:rsid w:val="006C212B"/>
    <w:rsid w:val="006C3D48"/>
    <w:rsid w:val="006C5461"/>
    <w:rsid w:val="006C6A7B"/>
    <w:rsid w:val="006C6B3D"/>
    <w:rsid w:val="006C6C70"/>
    <w:rsid w:val="006C7D53"/>
    <w:rsid w:val="006C7EFD"/>
    <w:rsid w:val="006C7FE7"/>
    <w:rsid w:val="006D1446"/>
    <w:rsid w:val="006D1E3C"/>
    <w:rsid w:val="006D2C6A"/>
    <w:rsid w:val="006D4344"/>
    <w:rsid w:val="006D48C2"/>
    <w:rsid w:val="006D5080"/>
    <w:rsid w:val="006D5170"/>
    <w:rsid w:val="006D5314"/>
    <w:rsid w:val="006D5BF1"/>
    <w:rsid w:val="006D6414"/>
    <w:rsid w:val="006D6548"/>
    <w:rsid w:val="006D7E9B"/>
    <w:rsid w:val="006E066B"/>
    <w:rsid w:val="006E0F11"/>
    <w:rsid w:val="006E1563"/>
    <w:rsid w:val="006E1626"/>
    <w:rsid w:val="006E1D39"/>
    <w:rsid w:val="006E2AF6"/>
    <w:rsid w:val="006E2BB6"/>
    <w:rsid w:val="006E2D5B"/>
    <w:rsid w:val="006E33DF"/>
    <w:rsid w:val="006E5547"/>
    <w:rsid w:val="006E55D4"/>
    <w:rsid w:val="006E59F8"/>
    <w:rsid w:val="006E5B63"/>
    <w:rsid w:val="006E6301"/>
    <w:rsid w:val="006E63FA"/>
    <w:rsid w:val="006E6F07"/>
    <w:rsid w:val="006E7139"/>
    <w:rsid w:val="006E7464"/>
    <w:rsid w:val="006F1093"/>
    <w:rsid w:val="006F137F"/>
    <w:rsid w:val="006F2012"/>
    <w:rsid w:val="006F28B9"/>
    <w:rsid w:val="006F3E25"/>
    <w:rsid w:val="006F3E52"/>
    <w:rsid w:val="006F4892"/>
    <w:rsid w:val="006F4C7D"/>
    <w:rsid w:val="006F5561"/>
    <w:rsid w:val="006F5697"/>
    <w:rsid w:val="006F5B52"/>
    <w:rsid w:val="006F6FAD"/>
    <w:rsid w:val="006F704B"/>
    <w:rsid w:val="006F7F74"/>
    <w:rsid w:val="00700265"/>
    <w:rsid w:val="00701AC4"/>
    <w:rsid w:val="00702567"/>
    <w:rsid w:val="0070287D"/>
    <w:rsid w:val="00702C40"/>
    <w:rsid w:val="00702C5B"/>
    <w:rsid w:val="00702E45"/>
    <w:rsid w:val="00703BF8"/>
    <w:rsid w:val="00704065"/>
    <w:rsid w:val="00704340"/>
    <w:rsid w:val="00704B6A"/>
    <w:rsid w:val="00705342"/>
    <w:rsid w:val="00705729"/>
    <w:rsid w:val="00705B54"/>
    <w:rsid w:val="00705FF3"/>
    <w:rsid w:val="00706341"/>
    <w:rsid w:val="007076B6"/>
    <w:rsid w:val="007077C5"/>
    <w:rsid w:val="00707885"/>
    <w:rsid w:val="00711005"/>
    <w:rsid w:val="00712673"/>
    <w:rsid w:val="00712DF1"/>
    <w:rsid w:val="007139CF"/>
    <w:rsid w:val="00713B0D"/>
    <w:rsid w:val="00714029"/>
    <w:rsid w:val="007141C4"/>
    <w:rsid w:val="0071531F"/>
    <w:rsid w:val="007153B3"/>
    <w:rsid w:val="007159CD"/>
    <w:rsid w:val="00716AAC"/>
    <w:rsid w:val="00717DE9"/>
    <w:rsid w:val="007207F9"/>
    <w:rsid w:val="007217E1"/>
    <w:rsid w:val="00722AB0"/>
    <w:rsid w:val="00723140"/>
    <w:rsid w:val="0072335D"/>
    <w:rsid w:val="007234A6"/>
    <w:rsid w:val="00723A75"/>
    <w:rsid w:val="00723AAF"/>
    <w:rsid w:val="007254F1"/>
    <w:rsid w:val="007268B0"/>
    <w:rsid w:val="00726C1F"/>
    <w:rsid w:val="00727A51"/>
    <w:rsid w:val="0073017F"/>
    <w:rsid w:val="0073127B"/>
    <w:rsid w:val="00731BD3"/>
    <w:rsid w:val="00731E3C"/>
    <w:rsid w:val="00732018"/>
    <w:rsid w:val="00732F9C"/>
    <w:rsid w:val="0073337D"/>
    <w:rsid w:val="00733629"/>
    <w:rsid w:val="00733AB7"/>
    <w:rsid w:val="00733F20"/>
    <w:rsid w:val="00734095"/>
    <w:rsid w:val="00734299"/>
    <w:rsid w:val="007347BB"/>
    <w:rsid w:val="00735AE8"/>
    <w:rsid w:val="00735C9A"/>
    <w:rsid w:val="0073624B"/>
    <w:rsid w:val="00736539"/>
    <w:rsid w:val="00736EF3"/>
    <w:rsid w:val="00737722"/>
    <w:rsid w:val="00737CF9"/>
    <w:rsid w:val="0074060F"/>
    <w:rsid w:val="00741163"/>
    <w:rsid w:val="00741189"/>
    <w:rsid w:val="00741494"/>
    <w:rsid w:val="00741AAE"/>
    <w:rsid w:val="00741E3A"/>
    <w:rsid w:val="00742834"/>
    <w:rsid w:val="00742B9F"/>
    <w:rsid w:val="00742D9B"/>
    <w:rsid w:val="007440B3"/>
    <w:rsid w:val="0074411E"/>
    <w:rsid w:val="0074432B"/>
    <w:rsid w:val="00744C74"/>
    <w:rsid w:val="00744D27"/>
    <w:rsid w:val="00744F2B"/>
    <w:rsid w:val="00745271"/>
    <w:rsid w:val="00745564"/>
    <w:rsid w:val="007458BB"/>
    <w:rsid w:val="007460B6"/>
    <w:rsid w:val="00746537"/>
    <w:rsid w:val="00746B53"/>
    <w:rsid w:val="00747F3D"/>
    <w:rsid w:val="00750953"/>
    <w:rsid w:val="00750DA7"/>
    <w:rsid w:val="00750DA8"/>
    <w:rsid w:val="00750DB2"/>
    <w:rsid w:val="00751F63"/>
    <w:rsid w:val="007522B6"/>
    <w:rsid w:val="00752C3D"/>
    <w:rsid w:val="00753C94"/>
    <w:rsid w:val="00754763"/>
    <w:rsid w:val="00754DFF"/>
    <w:rsid w:val="00754F4F"/>
    <w:rsid w:val="00755165"/>
    <w:rsid w:val="007552F7"/>
    <w:rsid w:val="0075552E"/>
    <w:rsid w:val="007555F8"/>
    <w:rsid w:val="00755887"/>
    <w:rsid w:val="007559FD"/>
    <w:rsid w:val="0075609E"/>
    <w:rsid w:val="0075617F"/>
    <w:rsid w:val="007562DF"/>
    <w:rsid w:val="007563B9"/>
    <w:rsid w:val="007570F5"/>
    <w:rsid w:val="0075749F"/>
    <w:rsid w:val="00757B3C"/>
    <w:rsid w:val="00757B47"/>
    <w:rsid w:val="00760453"/>
    <w:rsid w:val="00760A4D"/>
    <w:rsid w:val="007610F1"/>
    <w:rsid w:val="007611C1"/>
    <w:rsid w:val="007616B1"/>
    <w:rsid w:val="00761C1D"/>
    <w:rsid w:val="00761F07"/>
    <w:rsid w:val="00762102"/>
    <w:rsid w:val="007628C4"/>
    <w:rsid w:val="00762C20"/>
    <w:rsid w:val="007634A8"/>
    <w:rsid w:val="00763DB0"/>
    <w:rsid w:val="007640D0"/>
    <w:rsid w:val="00764627"/>
    <w:rsid w:val="0076479F"/>
    <w:rsid w:val="00764A86"/>
    <w:rsid w:val="00764A95"/>
    <w:rsid w:val="00765247"/>
    <w:rsid w:val="0076589E"/>
    <w:rsid w:val="00765C87"/>
    <w:rsid w:val="007661AD"/>
    <w:rsid w:val="00766F7A"/>
    <w:rsid w:val="00767CFF"/>
    <w:rsid w:val="00767F83"/>
    <w:rsid w:val="00770089"/>
    <w:rsid w:val="00770AF5"/>
    <w:rsid w:val="00770C34"/>
    <w:rsid w:val="007721B6"/>
    <w:rsid w:val="00772836"/>
    <w:rsid w:val="00772920"/>
    <w:rsid w:val="00772F4D"/>
    <w:rsid w:val="007730E4"/>
    <w:rsid w:val="00774707"/>
    <w:rsid w:val="00774813"/>
    <w:rsid w:val="00775049"/>
    <w:rsid w:val="007751EF"/>
    <w:rsid w:val="00775404"/>
    <w:rsid w:val="00775561"/>
    <w:rsid w:val="00775ECB"/>
    <w:rsid w:val="00776770"/>
    <w:rsid w:val="00776F48"/>
    <w:rsid w:val="0077774C"/>
    <w:rsid w:val="007805AC"/>
    <w:rsid w:val="00780BB2"/>
    <w:rsid w:val="00781038"/>
    <w:rsid w:val="00781BA8"/>
    <w:rsid w:val="00781C7B"/>
    <w:rsid w:val="00782651"/>
    <w:rsid w:val="0078291F"/>
    <w:rsid w:val="0078296B"/>
    <w:rsid w:val="00783962"/>
    <w:rsid w:val="00784349"/>
    <w:rsid w:val="00784929"/>
    <w:rsid w:val="00784AE1"/>
    <w:rsid w:val="00785137"/>
    <w:rsid w:val="007852C5"/>
    <w:rsid w:val="0078535A"/>
    <w:rsid w:val="00786142"/>
    <w:rsid w:val="00786262"/>
    <w:rsid w:val="007865D8"/>
    <w:rsid w:val="00786E4F"/>
    <w:rsid w:val="007914EE"/>
    <w:rsid w:val="007918A4"/>
    <w:rsid w:val="00792F36"/>
    <w:rsid w:val="007930AC"/>
    <w:rsid w:val="00793C26"/>
    <w:rsid w:val="00794476"/>
    <w:rsid w:val="00794ED6"/>
    <w:rsid w:val="0079506B"/>
    <w:rsid w:val="007952C1"/>
    <w:rsid w:val="00795B14"/>
    <w:rsid w:val="0079732A"/>
    <w:rsid w:val="00797AD7"/>
    <w:rsid w:val="00797BED"/>
    <w:rsid w:val="00797CA6"/>
    <w:rsid w:val="007A01F2"/>
    <w:rsid w:val="007A0C64"/>
    <w:rsid w:val="007A0F10"/>
    <w:rsid w:val="007A119E"/>
    <w:rsid w:val="007A1272"/>
    <w:rsid w:val="007A1E22"/>
    <w:rsid w:val="007A2184"/>
    <w:rsid w:val="007A2912"/>
    <w:rsid w:val="007A2FB4"/>
    <w:rsid w:val="007A79A7"/>
    <w:rsid w:val="007A7C77"/>
    <w:rsid w:val="007B0DCE"/>
    <w:rsid w:val="007B12C4"/>
    <w:rsid w:val="007B151F"/>
    <w:rsid w:val="007B180D"/>
    <w:rsid w:val="007B1924"/>
    <w:rsid w:val="007B1E29"/>
    <w:rsid w:val="007B2697"/>
    <w:rsid w:val="007B3E23"/>
    <w:rsid w:val="007B41A9"/>
    <w:rsid w:val="007B4418"/>
    <w:rsid w:val="007B4974"/>
    <w:rsid w:val="007B4A0D"/>
    <w:rsid w:val="007B4BBE"/>
    <w:rsid w:val="007B4F4C"/>
    <w:rsid w:val="007B514E"/>
    <w:rsid w:val="007B556F"/>
    <w:rsid w:val="007B66C9"/>
    <w:rsid w:val="007B7B8C"/>
    <w:rsid w:val="007C0C0B"/>
    <w:rsid w:val="007C0CCB"/>
    <w:rsid w:val="007C1804"/>
    <w:rsid w:val="007C2982"/>
    <w:rsid w:val="007C2D7B"/>
    <w:rsid w:val="007C2E03"/>
    <w:rsid w:val="007C33E4"/>
    <w:rsid w:val="007C3618"/>
    <w:rsid w:val="007C3BDA"/>
    <w:rsid w:val="007C3CD1"/>
    <w:rsid w:val="007C3CE5"/>
    <w:rsid w:val="007C43BE"/>
    <w:rsid w:val="007C47A7"/>
    <w:rsid w:val="007C492C"/>
    <w:rsid w:val="007C49A5"/>
    <w:rsid w:val="007C6689"/>
    <w:rsid w:val="007C71F4"/>
    <w:rsid w:val="007C732B"/>
    <w:rsid w:val="007C74A2"/>
    <w:rsid w:val="007C7B92"/>
    <w:rsid w:val="007D2441"/>
    <w:rsid w:val="007D2865"/>
    <w:rsid w:val="007D2989"/>
    <w:rsid w:val="007D2AE4"/>
    <w:rsid w:val="007D3884"/>
    <w:rsid w:val="007D4005"/>
    <w:rsid w:val="007D4E97"/>
    <w:rsid w:val="007D4F8C"/>
    <w:rsid w:val="007D4F93"/>
    <w:rsid w:val="007D5295"/>
    <w:rsid w:val="007D541C"/>
    <w:rsid w:val="007D5848"/>
    <w:rsid w:val="007D5AE1"/>
    <w:rsid w:val="007D5BDC"/>
    <w:rsid w:val="007D6295"/>
    <w:rsid w:val="007D7548"/>
    <w:rsid w:val="007D7E5B"/>
    <w:rsid w:val="007D7FB6"/>
    <w:rsid w:val="007E0681"/>
    <w:rsid w:val="007E0DA0"/>
    <w:rsid w:val="007E0F8D"/>
    <w:rsid w:val="007E0FCC"/>
    <w:rsid w:val="007E343D"/>
    <w:rsid w:val="007E34C0"/>
    <w:rsid w:val="007E3941"/>
    <w:rsid w:val="007E4055"/>
    <w:rsid w:val="007E42B7"/>
    <w:rsid w:val="007E4832"/>
    <w:rsid w:val="007E52DA"/>
    <w:rsid w:val="007E58D3"/>
    <w:rsid w:val="007E6078"/>
    <w:rsid w:val="007E7A13"/>
    <w:rsid w:val="007F00D5"/>
    <w:rsid w:val="007F01A8"/>
    <w:rsid w:val="007F0353"/>
    <w:rsid w:val="007F0D61"/>
    <w:rsid w:val="007F122D"/>
    <w:rsid w:val="007F128E"/>
    <w:rsid w:val="007F1A2E"/>
    <w:rsid w:val="007F2037"/>
    <w:rsid w:val="007F20E9"/>
    <w:rsid w:val="007F30FF"/>
    <w:rsid w:val="007F4A45"/>
    <w:rsid w:val="007F4D90"/>
    <w:rsid w:val="007F4EFF"/>
    <w:rsid w:val="007F56AB"/>
    <w:rsid w:val="007F595F"/>
    <w:rsid w:val="007F5C23"/>
    <w:rsid w:val="007F6132"/>
    <w:rsid w:val="007F7505"/>
    <w:rsid w:val="008008BD"/>
    <w:rsid w:val="00801321"/>
    <w:rsid w:val="00801775"/>
    <w:rsid w:val="00801B4D"/>
    <w:rsid w:val="00801B5B"/>
    <w:rsid w:val="00802937"/>
    <w:rsid w:val="00802B21"/>
    <w:rsid w:val="00802C9B"/>
    <w:rsid w:val="00802F89"/>
    <w:rsid w:val="008037FA"/>
    <w:rsid w:val="00804D56"/>
    <w:rsid w:val="00806444"/>
    <w:rsid w:val="00807AFC"/>
    <w:rsid w:val="00807FF0"/>
    <w:rsid w:val="008100B2"/>
    <w:rsid w:val="008107F8"/>
    <w:rsid w:val="00810C37"/>
    <w:rsid w:val="008111E2"/>
    <w:rsid w:val="008128CB"/>
    <w:rsid w:val="00812E2D"/>
    <w:rsid w:val="00812E63"/>
    <w:rsid w:val="00814DA3"/>
    <w:rsid w:val="00814F4E"/>
    <w:rsid w:val="008155F3"/>
    <w:rsid w:val="0081587F"/>
    <w:rsid w:val="00815DB7"/>
    <w:rsid w:val="00816360"/>
    <w:rsid w:val="00816851"/>
    <w:rsid w:val="00816FDA"/>
    <w:rsid w:val="00817422"/>
    <w:rsid w:val="0081753C"/>
    <w:rsid w:val="0081758F"/>
    <w:rsid w:val="0081785C"/>
    <w:rsid w:val="00817CC0"/>
    <w:rsid w:val="00820482"/>
    <w:rsid w:val="008213F8"/>
    <w:rsid w:val="008214C6"/>
    <w:rsid w:val="008222B6"/>
    <w:rsid w:val="00822799"/>
    <w:rsid w:val="00822833"/>
    <w:rsid w:val="0082291C"/>
    <w:rsid w:val="00823087"/>
    <w:rsid w:val="008249F2"/>
    <w:rsid w:val="00824CB4"/>
    <w:rsid w:val="008252B6"/>
    <w:rsid w:val="00825794"/>
    <w:rsid w:val="008260A6"/>
    <w:rsid w:val="00826EEB"/>
    <w:rsid w:val="00827475"/>
    <w:rsid w:val="0082753C"/>
    <w:rsid w:val="008275FA"/>
    <w:rsid w:val="00827818"/>
    <w:rsid w:val="00827A12"/>
    <w:rsid w:val="008302FA"/>
    <w:rsid w:val="008309F0"/>
    <w:rsid w:val="00831036"/>
    <w:rsid w:val="0083174A"/>
    <w:rsid w:val="00831EAE"/>
    <w:rsid w:val="008321C1"/>
    <w:rsid w:val="00832359"/>
    <w:rsid w:val="00832DC3"/>
    <w:rsid w:val="00833551"/>
    <w:rsid w:val="0083383B"/>
    <w:rsid w:val="0083468D"/>
    <w:rsid w:val="00834AA9"/>
    <w:rsid w:val="00834DB4"/>
    <w:rsid w:val="0083524C"/>
    <w:rsid w:val="00835D2A"/>
    <w:rsid w:val="0083660F"/>
    <w:rsid w:val="0083745C"/>
    <w:rsid w:val="00837DD7"/>
    <w:rsid w:val="008411C7"/>
    <w:rsid w:val="008411F5"/>
    <w:rsid w:val="0084133C"/>
    <w:rsid w:val="0084156F"/>
    <w:rsid w:val="0084228C"/>
    <w:rsid w:val="008424FB"/>
    <w:rsid w:val="00842F03"/>
    <w:rsid w:val="00843B57"/>
    <w:rsid w:val="00843E90"/>
    <w:rsid w:val="00844E7D"/>
    <w:rsid w:val="0084539E"/>
    <w:rsid w:val="00845993"/>
    <w:rsid w:val="008459A5"/>
    <w:rsid w:val="008465FC"/>
    <w:rsid w:val="00846DB2"/>
    <w:rsid w:val="00846F84"/>
    <w:rsid w:val="00847261"/>
    <w:rsid w:val="008473B2"/>
    <w:rsid w:val="008478E9"/>
    <w:rsid w:val="008479C0"/>
    <w:rsid w:val="00847D1B"/>
    <w:rsid w:val="0085002D"/>
    <w:rsid w:val="008513AE"/>
    <w:rsid w:val="00851744"/>
    <w:rsid w:val="00851CB4"/>
    <w:rsid w:val="00852212"/>
    <w:rsid w:val="00852357"/>
    <w:rsid w:val="008540F7"/>
    <w:rsid w:val="0085480D"/>
    <w:rsid w:val="00854DA1"/>
    <w:rsid w:val="00855682"/>
    <w:rsid w:val="008561FA"/>
    <w:rsid w:val="00856CFE"/>
    <w:rsid w:val="008571E0"/>
    <w:rsid w:val="00857286"/>
    <w:rsid w:val="008572BE"/>
    <w:rsid w:val="00857450"/>
    <w:rsid w:val="00860711"/>
    <w:rsid w:val="00860E6F"/>
    <w:rsid w:val="00861729"/>
    <w:rsid w:val="00863006"/>
    <w:rsid w:val="008631DA"/>
    <w:rsid w:val="00863500"/>
    <w:rsid w:val="00863C0B"/>
    <w:rsid w:val="00864CED"/>
    <w:rsid w:val="00866277"/>
    <w:rsid w:val="00866465"/>
    <w:rsid w:val="008665AE"/>
    <w:rsid w:val="00866900"/>
    <w:rsid w:val="00866977"/>
    <w:rsid w:val="00867658"/>
    <w:rsid w:val="00870DAD"/>
    <w:rsid w:val="008721B0"/>
    <w:rsid w:val="008728DF"/>
    <w:rsid w:val="008728F3"/>
    <w:rsid w:val="00872A83"/>
    <w:rsid w:val="00872E4B"/>
    <w:rsid w:val="00873526"/>
    <w:rsid w:val="00873834"/>
    <w:rsid w:val="008741E1"/>
    <w:rsid w:val="008747CD"/>
    <w:rsid w:val="00875334"/>
    <w:rsid w:val="00875EA6"/>
    <w:rsid w:val="00875F60"/>
    <w:rsid w:val="00877083"/>
    <w:rsid w:val="00877781"/>
    <w:rsid w:val="00877BFC"/>
    <w:rsid w:val="0088014E"/>
    <w:rsid w:val="00880215"/>
    <w:rsid w:val="00880360"/>
    <w:rsid w:val="0088070D"/>
    <w:rsid w:val="0088072D"/>
    <w:rsid w:val="00880A22"/>
    <w:rsid w:val="0088166C"/>
    <w:rsid w:val="0088277C"/>
    <w:rsid w:val="00882E42"/>
    <w:rsid w:val="00882EBE"/>
    <w:rsid w:val="00884882"/>
    <w:rsid w:val="008851E1"/>
    <w:rsid w:val="0088535D"/>
    <w:rsid w:val="0088654A"/>
    <w:rsid w:val="00886555"/>
    <w:rsid w:val="00886D2A"/>
    <w:rsid w:val="00887B70"/>
    <w:rsid w:val="00887B9D"/>
    <w:rsid w:val="00890304"/>
    <w:rsid w:val="00890824"/>
    <w:rsid w:val="00890A0E"/>
    <w:rsid w:val="008918BC"/>
    <w:rsid w:val="00892040"/>
    <w:rsid w:val="00892171"/>
    <w:rsid w:val="008928EC"/>
    <w:rsid w:val="00893359"/>
    <w:rsid w:val="008935E1"/>
    <w:rsid w:val="00896413"/>
    <w:rsid w:val="008973E4"/>
    <w:rsid w:val="0089754B"/>
    <w:rsid w:val="008976DB"/>
    <w:rsid w:val="008979E6"/>
    <w:rsid w:val="00897A88"/>
    <w:rsid w:val="00897EAE"/>
    <w:rsid w:val="008A02AF"/>
    <w:rsid w:val="008A0907"/>
    <w:rsid w:val="008A0E4C"/>
    <w:rsid w:val="008A1032"/>
    <w:rsid w:val="008A4A48"/>
    <w:rsid w:val="008A4D13"/>
    <w:rsid w:val="008A5157"/>
    <w:rsid w:val="008A61F9"/>
    <w:rsid w:val="008A7674"/>
    <w:rsid w:val="008A7D99"/>
    <w:rsid w:val="008B04BA"/>
    <w:rsid w:val="008B0686"/>
    <w:rsid w:val="008B0889"/>
    <w:rsid w:val="008B0B41"/>
    <w:rsid w:val="008B0BB8"/>
    <w:rsid w:val="008B0F33"/>
    <w:rsid w:val="008B0F9C"/>
    <w:rsid w:val="008B225A"/>
    <w:rsid w:val="008B2BBD"/>
    <w:rsid w:val="008B2F15"/>
    <w:rsid w:val="008B305D"/>
    <w:rsid w:val="008B3B2B"/>
    <w:rsid w:val="008B44EC"/>
    <w:rsid w:val="008B5197"/>
    <w:rsid w:val="008B52D1"/>
    <w:rsid w:val="008B60E4"/>
    <w:rsid w:val="008B6F28"/>
    <w:rsid w:val="008B7543"/>
    <w:rsid w:val="008C008D"/>
    <w:rsid w:val="008C046E"/>
    <w:rsid w:val="008C0FA9"/>
    <w:rsid w:val="008C1469"/>
    <w:rsid w:val="008C1DD1"/>
    <w:rsid w:val="008C284C"/>
    <w:rsid w:val="008C31DC"/>
    <w:rsid w:val="008C4501"/>
    <w:rsid w:val="008C5339"/>
    <w:rsid w:val="008C54A0"/>
    <w:rsid w:val="008C5884"/>
    <w:rsid w:val="008C5CAE"/>
    <w:rsid w:val="008C5F0E"/>
    <w:rsid w:val="008C7019"/>
    <w:rsid w:val="008C73D7"/>
    <w:rsid w:val="008C7553"/>
    <w:rsid w:val="008D0CCF"/>
    <w:rsid w:val="008D1C73"/>
    <w:rsid w:val="008D1EA4"/>
    <w:rsid w:val="008D1F3D"/>
    <w:rsid w:val="008D2F2C"/>
    <w:rsid w:val="008D3393"/>
    <w:rsid w:val="008D394B"/>
    <w:rsid w:val="008D3A71"/>
    <w:rsid w:val="008D3DB1"/>
    <w:rsid w:val="008D53F1"/>
    <w:rsid w:val="008D57D1"/>
    <w:rsid w:val="008D5D4E"/>
    <w:rsid w:val="008D6461"/>
    <w:rsid w:val="008D6D8B"/>
    <w:rsid w:val="008D771D"/>
    <w:rsid w:val="008E0DC0"/>
    <w:rsid w:val="008E1A10"/>
    <w:rsid w:val="008E1AA7"/>
    <w:rsid w:val="008E1C8B"/>
    <w:rsid w:val="008E1D41"/>
    <w:rsid w:val="008E329D"/>
    <w:rsid w:val="008E39B3"/>
    <w:rsid w:val="008E3A0F"/>
    <w:rsid w:val="008E3B91"/>
    <w:rsid w:val="008E4113"/>
    <w:rsid w:val="008E42F0"/>
    <w:rsid w:val="008E44E8"/>
    <w:rsid w:val="008E4D99"/>
    <w:rsid w:val="008E676F"/>
    <w:rsid w:val="008E6BA9"/>
    <w:rsid w:val="008F01B9"/>
    <w:rsid w:val="008F04DD"/>
    <w:rsid w:val="008F1894"/>
    <w:rsid w:val="008F2BE6"/>
    <w:rsid w:val="008F340B"/>
    <w:rsid w:val="008F42B5"/>
    <w:rsid w:val="008F4490"/>
    <w:rsid w:val="008F45B4"/>
    <w:rsid w:val="008F4823"/>
    <w:rsid w:val="008F4C93"/>
    <w:rsid w:val="008F51A2"/>
    <w:rsid w:val="008F573F"/>
    <w:rsid w:val="008F5A26"/>
    <w:rsid w:val="008F627D"/>
    <w:rsid w:val="008F7EC0"/>
    <w:rsid w:val="00900070"/>
    <w:rsid w:val="009004E2"/>
    <w:rsid w:val="009004F8"/>
    <w:rsid w:val="00900DF3"/>
    <w:rsid w:val="00901B68"/>
    <w:rsid w:val="00901FC4"/>
    <w:rsid w:val="0090369A"/>
    <w:rsid w:val="00903718"/>
    <w:rsid w:val="009047CB"/>
    <w:rsid w:val="00904C68"/>
    <w:rsid w:val="0090557E"/>
    <w:rsid w:val="009058AC"/>
    <w:rsid w:val="009061CD"/>
    <w:rsid w:val="009061FE"/>
    <w:rsid w:val="00906B13"/>
    <w:rsid w:val="00906D74"/>
    <w:rsid w:val="009073ED"/>
    <w:rsid w:val="0090785C"/>
    <w:rsid w:val="00907B46"/>
    <w:rsid w:val="00910270"/>
    <w:rsid w:val="00910563"/>
    <w:rsid w:val="00910A70"/>
    <w:rsid w:val="00912674"/>
    <w:rsid w:val="009132F1"/>
    <w:rsid w:val="009134FA"/>
    <w:rsid w:val="00913573"/>
    <w:rsid w:val="00914476"/>
    <w:rsid w:val="00914543"/>
    <w:rsid w:val="00914D5A"/>
    <w:rsid w:val="00914D7F"/>
    <w:rsid w:val="009151FA"/>
    <w:rsid w:val="00915C32"/>
    <w:rsid w:val="00916270"/>
    <w:rsid w:val="00916843"/>
    <w:rsid w:val="00920B20"/>
    <w:rsid w:val="00921111"/>
    <w:rsid w:val="009214F1"/>
    <w:rsid w:val="00921BB0"/>
    <w:rsid w:val="00922485"/>
    <w:rsid w:val="00922F24"/>
    <w:rsid w:val="009237AC"/>
    <w:rsid w:val="00923E53"/>
    <w:rsid w:val="00924138"/>
    <w:rsid w:val="00924A9F"/>
    <w:rsid w:val="00925F38"/>
    <w:rsid w:val="00926DC5"/>
    <w:rsid w:val="00927365"/>
    <w:rsid w:val="0093024D"/>
    <w:rsid w:val="00930674"/>
    <w:rsid w:val="0093068B"/>
    <w:rsid w:val="009327A0"/>
    <w:rsid w:val="00932B5D"/>
    <w:rsid w:val="00932E02"/>
    <w:rsid w:val="0093375C"/>
    <w:rsid w:val="00933AEC"/>
    <w:rsid w:val="00934CC7"/>
    <w:rsid w:val="00934F95"/>
    <w:rsid w:val="00935296"/>
    <w:rsid w:val="009359D2"/>
    <w:rsid w:val="00935CE9"/>
    <w:rsid w:val="009360FD"/>
    <w:rsid w:val="00936215"/>
    <w:rsid w:val="00936B3B"/>
    <w:rsid w:val="00936DC4"/>
    <w:rsid w:val="00937063"/>
    <w:rsid w:val="0093737B"/>
    <w:rsid w:val="0093785A"/>
    <w:rsid w:val="00937DA7"/>
    <w:rsid w:val="009401B4"/>
    <w:rsid w:val="00940861"/>
    <w:rsid w:val="00940D48"/>
    <w:rsid w:val="0094129A"/>
    <w:rsid w:val="00941D39"/>
    <w:rsid w:val="00942795"/>
    <w:rsid w:val="00942D94"/>
    <w:rsid w:val="009436AE"/>
    <w:rsid w:val="0094428A"/>
    <w:rsid w:val="0094462C"/>
    <w:rsid w:val="00944701"/>
    <w:rsid w:val="0094481B"/>
    <w:rsid w:val="00945132"/>
    <w:rsid w:val="00945829"/>
    <w:rsid w:val="009461CF"/>
    <w:rsid w:val="009461E3"/>
    <w:rsid w:val="009462D7"/>
    <w:rsid w:val="00947344"/>
    <w:rsid w:val="00947CAD"/>
    <w:rsid w:val="0095000B"/>
    <w:rsid w:val="00950165"/>
    <w:rsid w:val="0095069B"/>
    <w:rsid w:val="00950898"/>
    <w:rsid w:val="00950E24"/>
    <w:rsid w:val="0095142F"/>
    <w:rsid w:val="00951EC9"/>
    <w:rsid w:val="009526B8"/>
    <w:rsid w:val="00953954"/>
    <w:rsid w:val="00953D1C"/>
    <w:rsid w:val="00954BDD"/>
    <w:rsid w:val="00954C68"/>
    <w:rsid w:val="00955F4C"/>
    <w:rsid w:val="00956343"/>
    <w:rsid w:val="009564D4"/>
    <w:rsid w:val="00957493"/>
    <w:rsid w:val="0096071C"/>
    <w:rsid w:val="009607F9"/>
    <w:rsid w:val="00960A51"/>
    <w:rsid w:val="00960BF4"/>
    <w:rsid w:val="0096172C"/>
    <w:rsid w:val="009624AF"/>
    <w:rsid w:val="00962AE5"/>
    <w:rsid w:val="00962E06"/>
    <w:rsid w:val="00962EFF"/>
    <w:rsid w:val="0096311B"/>
    <w:rsid w:val="00963314"/>
    <w:rsid w:val="009636E8"/>
    <w:rsid w:val="0096484B"/>
    <w:rsid w:val="00964C12"/>
    <w:rsid w:val="00964E3B"/>
    <w:rsid w:val="00964EE5"/>
    <w:rsid w:val="009653A5"/>
    <w:rsid w:val="0096776D"/>
    <w:rsid w:val="00967911"/>
    <w:rsid w:val="009703A3"/>
    <w:rsid w:val="00970CB2"/>
    <w:rsid w:val="00970FCC"/>
    <w:rsid w:val="009713DC"/>
    <w:rsid w:val="00971489"/>
    <w:rsid w:val="009717D9"/>
    <w:rsid w:val="009718BE"/>
    <w:rsid w:val="009718CC"/>
    <w:rsid w:val="009720DC"/>
    <w:rsid w:val="00972ECE"/>
    <w:rsid w:val="00972F1E"/>
    <w:rsid w:val="00973916"/>
    <w:rsid w:val="00974053"/>
    <w:rsid w:val="0097690E"/>
    <w:rsid w:val="009805C3"/>
    <w:rsid w:val="00980708"/>
    <w:rsid w:val="00980818"/>
    <w:rsid w:val="00980AD0"/>
    <w:rsid w:val="00980E19"/>
    <w:rsid w:val="00981479"/>
    <w:rsid w:val="00981EF2"/>
    <w:rsid w:val="0098238A"/>
    <w:rsid w:val="00983A14"/>
    <w:rsid w:val="009843ED"/>
    <w:rsid w:val="00984508"/>
    <w:rsid w:val="00984B6E"/>
    <w:rsid w:val="00985909"/>
    <w:rsid w:val="009861E5"/>
    <w:rsid w:val="009868C3"/>
    <w:rsid w:val="009871F9"/>
    <w:rsid w:val="009878E8"/>
    <w:rsid w:val="009905CD"/>
    <w:rsid w:val="00990C7D"/>
    <w:rsid w:val="009913AF"/>
    <w:rsid w:val="009913E2"/>
    <w:rsid w:val="009920FF"/>
    <w:rsid w:val="0099344E"/>
    <w:rsid w:val="009937B6"/>
    <w:rsid w:val="009938B7"/>
    <w:rsid w:val="00993A74"/>
    <w:rsid w:val="009946B9"/>
    <w:rsid w:val="009957D0"/>
    <w:rsid w:val="009957F2"/>
    <w:rsid w:val="009967B4"/>
    <w:rsid w:val="00996DA7"/>
    <w:rsid w:val="00997172"/>
    <w:rsid w:val="0099754C"/>
    <w:rsid w:val="0099786C"/>
    <w:rsid w:val="009A0288"/>
    <w:rsid w:val="009A02C7"/>
    <w:rsid w:val="009A1206"/>
    <w:rsid w:val="009A2096"/>
    <w:rsid w:val="009A3B22"/>
    <w:rsid w:val="009A42E5"/>
    <w:rsid w:val="009A46D2"/>
    <w:rsid w:val="009A598A"/>
    <w:rsid w:val="009A6A7F"/>
    <w:rsid w:val="009A6DD1"/>
    <w:rsid w:val="009A6F32"/>
    <w:rsid w:val="009A7779"/>
    <w:rsid w:val="009A7DF8"/>
    <w:rsid w:val="009B027A"/>
    <w:rsid w:val="009B030D"/>
    <w:rsid w:val="009B0574"/>
    <w:rsid w:val="009B1EAC"/>
    <w:rsid w:val="009B2194"/>
    <w:rsid w:val="009B2BAF"/>
    <w:rsid w:val="009B5986"/>
    <w:rsid w:val="009B59E7"/>
    <w:rsid w:val="009B5D37"/>
    <w:rsid w:val="009B5DB4"/>
    <w:rsid w:val="009B637C"/>
    <w:rsid w:val="009B6FD3"/>
    <w:rsid w:val="009B70B1"/>
    <w:rsid w:val="009B7654"/>
    <w:rsid w:val="009B7A18"/>
    <w:rsid w:val="009B7AB0"/>
    <w:rsid w:val="009C0A64"/>
    <w:rsid w:val="009C125F"/>
    <w:rsid w:val="009C18DE"/>
    <w:rsid w:val="009C1E47"/>
    <w:rsid w:val="009C1ED8"/>
    <w:rsid w:val="009C2445"/>
    <w:rsid w:val="009C2FA1"/>
    <w:rsid w:val="009C30BD"/>
    <w:rsid w:val="009C4ACC"/>
    <w:rsid w:val="009C5078"/>
    <w:rsid w:val="009C517F"/>
    <w:rsid w:val="009C59B9"/>
    <w:rsid w:val="009C5B56"/>
    <w:rsid w:val="009C63A3"/>
    <w:rsid w:val="009C6A45"/>
    <w:rsid w:val="009C6DA2"/>
    <w:rsid w:val="009C6E30"/>
    <w:rsid w:val="009D0962"/>
    <w:rsid w:val="009D231E"/>
    <w:rsid w:val="009D28D9"/>
    <w:rsid w:val="009D3673"/>
    <w:rsid w:val="009D3683"/>
    <w:rsid w:val="009D37CB"/>
    <w:rsid w:val="009D395F"/>
    <w:rsid w:val="009D4377"/>
    <w:rsid w:val="009D4AA9"/>
    <w:rsid w:val="009D4AB8"/>
    <w:rsid w:val="009D5224"/>
    <w:rsid w:val="009D5E7A"/>
    <w:rsid w:val="009D7C88"/>
    <w:rsid w:val="009E017C"/>
    <w:rsid w:val="009E0887"/>
    <w:rsid w:val="009E0F8A"/>
    <w:rsid w:val="009E169E"/>
    <w:rsid w:val="009E2464"/>
    <w:rsid w:val="009E285B"/>
    <w:rsid w:val="009E2D14"/>
    <w:rsid w:val="009E333D"/>
    <w:rsid w:val="009E3B24"/>
    <w:rsid w:val="009E436C"/>
    <w:rsid w:val="009E476F"/>
    <w:rsid w:val="009E4C9C"/>
    <w:rsid w:val="009E5115"/>
    <w:rsid w:val="009E53F8"/>
    <w:rsid w:val="009E5972"/>
    <w:rsid w:val="009E5E4A"/>
    <w:rsid w:val="009E6CAD"/>
    <w:rsid w:val="009E6EF7"/>
    <w:rsid w:val="009E7337"/>
    <w:rsid w:val="009E7562"/>
    <w:rsid w:val="009F022C"/>
    <w:rsid w:val="009F0951"/>
    <w:rsid w:val="009F0F05"/>
    <w:rsid w:val="009F1DA9"/>
    <w:rsid w:val="009F3EFC"/>
    <w:rsid w:val="009F45D3"/>
    <w:rsid w:val="009F46E1"/>
    <w:rsid w:val="009F4C11"/>
    <w:rsid w:val="009F4F51"/>
    <w:rsid w:val="009F5168"/>
    <w:rsid w:val="009F562E"/>
    <w:rsid w:val="009F5901"/>
    <w:rsid w:val="009F59DD"/>
    <w:rsid w:val="009F5E24"/>
    <w:rsid w:val="009F63DB"/>
    <w:rsid w:val="009F64BC"/>
    <w:rsid w:val="009F664A"/>
    <w:rsid w:val="00A01013"/>
    <w:rsid w:val="00A03608"/>
    <w:rsid w:val="00A03674"/>
    <w:rsid w:val="00A03681"/>
    <w:rsid w:val="00A03D7C"/>
    <w:rsid w:val="00A04580"/>
    <w:rsid w:val="00A056CA"/>
    <w:rsid w:val="00A06B7B"/>
    <w:rsid w:val="00A07DD0"/>
    <w:rsid w:val="00A07EFB"/>
    <w:rsid w:val="00A10734"/>
    <w:rsid w:val="00A10CDF"/>
    <w:rsid w:val="00A11848"/>
    <w:rsid w:val="00A11E1B"/>
    <w:rsid w:val="00A1218A"/>
    <w:rsid w:val="00A122D9"/>
    <w:rsid w:val="00A12849"/>
    <w:rsid w:val="00A13668"/>
    <w:rsid w:val="00A14B11"/>
    <w:rsid w:val="00A14F31"/>
    <w:rsid w:val="00A15288"/>
    <w:rsid w:val="00A159A5"/>
    <w:rsid w:val="00A15CD5"/>
    <w:rsid w:val="00A16527"/>
    <w:rsid w:val="00A16EAF"/>
    <w:rsid w:val="00A1734D"/>
    <w:rsid w:val="00A17786"/>
    <w:rsid w:val="00A17D0C"/>
    <w:rsid w:val="00A20026"/>
    <w:rsid w:val="00A20EC2"/>
    <w:rsid w:val="00A2193A"/>
    <w:rsid w:val="00A21AE6"/>
    <w:rsid w:val="00A21C00"/>
    <w:rsid w:val="00A21C6B"/>
    <w:rsid w:val="00A22147"/>
    <w:rsid w:val="00A226B7"/>
    <w:rsid w:val="00A23773"/>
    <w:rsid w:val="00A23BD2"/>
    <w:rsid w:val="00A23C49"/>
    <w:rsid w:val="00A241E4"/>
    <w:rsid w:val="00A2433E"/>
    <w:rsid w:val="00A2439F"/>
    <w:rsid w:val="00A244D5"/>
    <w:rsid w:val="00A25183"/>
    <w:rsid w:val="00A25475"/>
    <w:rsid w:val="00A25924"/>
    <w:rsid w:val="00A25AC0"/>
    <w:rsid w:val="00A25E46"/>
    <w:rsid w:val="00A26370"/>
    <w:rsid w:val="00A26964"/>
    <w:rsid w:val="00A302F9"/>
    <w:rsid w:val="00A30CF0"/>
    <w:rsid w:val="00A31D45"/>
    <w:rsid w:val="00A3218D"/>
    <w:rsid w:val="00A32447"/>
    <w:rsid w:val="00A32541"/>
    <w:rsid w:val="00A3341C"/>
    <w:rsid w:val="00A33C8E"/>
    <w:rsid w:val="00A35B2B"/>
    <w:rsid w:val="00A36003"/>
    <w:rsid w:val="00A3617D"/>
    <w:rsid w:val="00A41048"/>
    <w:rsid w:val="00A412FE"/>
    <w:rsid w:val="00A42390"/>
    <w:rsid w:val="00A4291C"/>
    <w:rsid w:val="00A43DE2"/>
    <w:rsid w:val="00A43E8C"/>
    <w:rsid w:val="00A44A05"/>
    <w:rsid w:val="00A44C7A"/>
    <w:rsid w:val="00A450DA"/>
    <w:rsid w:val="00A468A4"/>
    <w:rsid w:val="00A4706B"/>
    <w:rsid w:val="00A4776F"/>
    <w:rsid w:val="00A47A43"/>
    <w:rsid w:val="00A47B56"/>
    <w:rsid w:val="00A47B7C"/>
    <w:rsid w:val="00A5145D"/>
    <w:rsid w:val="00A51532"/>
    <w:rsid w:val="00A51919"/>
    <w:rsid w:val="00A51D81"/>
    <w:rsid w:val="00A51FA8"/>
    <w:rsid w:val="00A51FE8"/>
    <w:rsid w:val="00A52173"/>
    <w:rsid w:val="00A525FB"/>
    <w:rsid w:val="00A5267C"/>
    <w:rsid w:val="00A5275E"/>
    <w:rsid w:val="00A52816"/>
    <w:rsid w:val="00A5287F"/>
    <w:rsid w:val="00A53358"/>
    <w:rsid w:val="00A53B99"/>
    <w:rsid w:val="00A548FA"/>
    <w:rsid w:val="00A54CA7"/>
    <w:rsid w:val="00A55A4C"/>
    <w:rsid w:val="00A55FF3"/>
    <w:rsid w:val="00A5665B"/>
    <w:rsid w:val="00A567B8"/>
    <w:rsid w:val="00A5697B"/>
    <w:rsid w:val="00A57A0E"/>
    <w:rsid w:val="00A57BD8"/>
    <w:rsid w:val="00A6002A"/>
    <w:rsid w:val="00A601A9"/>
    <w:rsid w:val="00A60513"/>
    <w:rsid w:val="00A60D34"/>
    <w:rsid w:val="00A60EF8"/>
    <w:rsid w:val="00A61472"/>
    <w:rsid w:val="00A61A8C"/>
    <w:rsid w:val="00A61E45"/>
    <w:rsid w:val="00A621B3"/>
    <w:rsid w:val="00A624CD"/>
    <w:rsid w:val="00A62E51"/>
    <w:rsid w:val="00A630EB"/>
    <w:rsid w:val="00A64DD6"/>
    <w:rsid w:val="00A64E4F"/>
    <w:rsid w:val="00A65E7F"/>
    <w:rsid w:val="00A65F08"/>
    <w:rsid w:val="00A663F4"/>
    <w:rsid w:val="00A66AE9"/>
    <w:rsid w:val="00A66F15"/>
    <w:rsid w:val="00A6716B"/>
    <w:rsid w:val="00A6725B"/>
    <w:rsid w:val="00A67616"/>
    <w:rsid w:val="00A67F3E"/>
    <w:rsid w:val="00A70622"/>
    <w:rsid w:val="00A71FAC"/>
    <w:rsid w:val="00A72197"/>
    <w:rsid w:val="00A72476"/>
    <w:rsid w:val="00A72C39"/>
    <w:rsid w:val="00A72D55"/>
    <w:rsid w:val="00A732F5"/>
    <w:rsid w:val="00A7350A"/>
    <w:rsid w:val="00A73AA1"/>
    <w:rsid w:val="00A73FE8"/>
    <w:rsid w:val="00A752DC"/>
    <w:rsid w:val="00A75BAB"/>
    <w:rsid w:val="00A76C54"/>
    <w:rsid w:val="00A7775C"/>
    <w:rsid w:val="00A77F2A"/>
    <w:rsid w:val="00A81C6C"/>
    <w:rsid w:val="00A82A36"/>
    <w:rsid w:val="00A82BB7"/>
    <w:rsid w:val="00A82DE0"/>
    <w:rsid w:val="00A83DD0"/>
    <w:rsid w:val="00A84420"/>
    <w:rsid w:val="00A84488"/>
    <w:rsid w:val="00A847E1"/>
    <w:rsid w:val="00A84ACC"/>
    <w:rsid w:val="00A850E9"/>
    <w:rsid w:val="00A8568F"/>
    <w:rsid w:val="00A85A82"/>
    <w:rsid w:val="00A85AF5"/>
    <w:rsid w:val="00A86CB4"/>
    <w:rsid w:val="00A875FA"/>
    <w:rsid w:val="00A90388"/>
    <w:rsid w:val="00A903D0"/>
    <w:rsid w:val="00A903F1"/>
    <w:rsid w:val="00A90AF3"/>
    <w:rsid w:val="00A90BE2"/>
    <w:rsid w:val="00A90D22"/>
    <w:rsid w:val="00A90E2F"/>
    <w:rsid w:val="00A90E4B"/>
    <w:rsid w:val="00A913B0"/>
    <w:rsid w:val="00A934BB"/>
    <w:rsid w:val="00A9388F"/>
    <w:rsid w:val="00A93FBC"/>
    <w:rsid w:val="00A948DC"/>
    <w:rsid w:val="00A94A44"/>
    <w:rsid w:val="00A9551D"/>
    <w:rsid w:val="00A9557F"/>
    <w:rsid w:val="00A95595"/>
    <w:rsid w:val="00A95D14"/>
    <w:rsid w:val="00A964C4"/>
    <w:rsid w:val="00A96D1E"/>
    <w:rsid w:val="00A96E0B"/>
    <w:rsid w:val="00A97584"/>
    <w:rsid w:val="00AA03AB"/>
    <w:rsid w:val="00AA0465"/>
    <w:rsid w:val="00AA0FB6"/>
    <w:rsid w:val="00AA0FD3"/>
    <w:rsid w:val="00AA21FD"/>
    <w:rsid w:val="00AA2A47"/>
    <w:rsid w:val="00AA3466"/>
    <w:rsid w:val="00AA3BDB"/>
    <w:rsid w:val="00AA3E72"/>
    <w:rsid w:val="00AA3E7C"/>
    <w:rsid w:val="00AA5D78"/>
    <w:rsid w:val="00AA6C9B"/>
    <w:rsid w:val="00AA7251"/>
    <w:rsid w:val="00AA7C07"/>
    <w:rsid w:val="00AB131F"/>
    <w:rsid w:val="00AB1F40"/>
    <w:rsid w:val="00AB1F72"/>
    <w:rsid w:val="00AB2EAA"/>
    <w:rsid w:val="00AB2F5C"/>
    <w:rsid w:val="00AB38C4"/>
    <w:rsid w:val="00AB3C7A"/>
    <w:rsid w:val="00AB3D62"/>
    <w:rsid w:val="00AB456B"/>
    <w:rsid w:val="00AB4666"/>
    <w:rsid w:val="00AB4765"/>
    <w:rsid w:val="00AB4C2C"/>
    <w:rsid w:val="00AB50FD"/>
    <w:rsid w:val="00AB5346"/>
    <w:rsid w:val="00AB55A8"/>
    <w:rsid w:val="00AB5A12"/>
    <w:rsid w:val="00AB5C87"/>
    <w:rsid w:val="00AB5FC2"/>
    <w:rsid w:val="00AB66F0"/>
    <w:rsid w:val="00AB717D"/>
    <w:rsid w:val="00AC0258"/>
    <w:rsid w:val="00AC040D"/>
    <w:rsid w:val="00AC05E4"/>
    <w:rsid w:val="00AC0CCF"/>
    <w:rsid w:val="00AC0DDD"/>
    <w:rsid w:val="00AC1137"/>
    <w:rsid w:val="00AC185F"/>
    <w:rsid w:val="00AC1985"/>
    <w:rsid w:val="00AC4250"/>
    <w:rsid w:val="00AC448A"/>
    <w:rsid w:val="00AC44E9"/>
    <w:rsid w:val="00AC4AE0"/>
    <w:rsid w:val="00AC4B75"/>
    <w:rsid w:val="00AC4C0B"/>
    <w:rsid w:val="00AC5C8B"/>
    <w:rsid w:val="00AC5DA2"/>
    <w:rsid w:val="00AC63A8"/>
    <w:rsid w:val="00AC653C"/>
    <w:rsid w:val="00AC7E9D"/>
    <w:rsid w:val="00AD10AF"/>
    <w:rsid w:val="00AD1979"/>
    <w:rsid w:val="00AD19DA"/>
    <w:rsid w:val="00AD2A27"/>
    <w:rsid w:val="00AD2A90"/>
    <w:rsid w:val="00AD32B4"/>
    <w:rsid w:val="00AD3396"/>
    <w:rsid w:val="00AD43E6"/>
    <w:rsid w:val="00AD66E4"/>
    <w:rsid w:val="00AD6AFE"/>
    <w:rsid w:val="00AD6C0D"/>
    <w:rsid w:val="00AE00A7"/>
    <w:rsid w:val="00AE022D"/>
    <w:rsid w:val="00AE0A70"/>
    <w:rsid w:val="00AE0B66"/>
    <w:rsid w:val="00AE1740"/>
    <w:rsid w:val="00AE1A2B"/>
    <w:rsid w:val="00AE1B1C"/>
    <w:rsid w:val="00AE3B95"/>
    <w:rsid w:val="00AE4CA6"/>
    <w:rsid w:val="00AE4EA9"/>
    <w:rsid w:val="00AE6149"/>
    <w:rsid w:val="00AE65AF"/>
    <w:rsid w:val="00AE6A02"/>
    <w:rsid w:val="00AF0935"/>
    <w:rsid w:val="00AF0958"/>
    <w:rsid w:val="00AF1CD5"/>
    <w:rsid w:val="00AF1EFE"/>
    <w:rsid w:val="00AF27FE"/>
    <w:rsid w:val="00AF386A"/>
    <w:rsid w:val="00AF4AFF"/>
    <w:rsid w:val="00AF4C67"/>
    <w:rsid w:val="00AF4D25"/>
    <w:rsid w:val="00AF5084"/>
    <w:rsid w:val="00AF53BB"/>
    <w:rsid w:val="00AF589E"/>
    <w:rsid w:val="00AF6492"/>
    <w:rsid w:val="00AF66AF"/>
    <w:rsid w:val="00AF6B84"/>
    <w:rsid w:val="00AF6C7B"/>
    <w:rsid w:val="00AF6F25"/>
    <w:rsid w:val="00AF75DA"/>
    <w:rsid w:val="00B006AC"/>
    <w:rsid w:val="00B01243"/>
    <w:rsid w:val="00B0135C"/>
    <w:rsid w:val="00B014CA"/>
    <w:rsid w:val="00B01CFD"/>
    <w:rsid w:val="00B020CE"/>
    <w:rsid w:val="00B032AD"/>
    <w:rsid w:val="00B0348A"/>
    <w:rsid w:val="00B04162"/>
    <w:rsid w:val="00B04179"/>
    <w:rsid w:val="00B04B8F"/>
    <w:rsid w:val="00B053E1"/>
    <w:rsid w:val="00B05448"/>
    <w:rsid w:val="00B05E5B"/>
    <w:rsid w:val="00B0654B"/>
    <w:rsid w:val="00B06780"/>
    <w:rsid w:val="00B07211"/>
    <w:rsid w:val="00B072C5"/>
    <w:rsid w:val="00B07696"/>
    <w:rsid w:val="00B10673"/>
    <w:rsid w:val="00B10705"/>
    <w:rsid w:val="00B10FC1"/>
    <w:rsid w:val="00B1156B"/>
    <w:rsid w:val="00B11F93"/>
    <w:rsid w:val="00B12840"/>
    <w:rsid w:val="00B12EB5"/>
    <w:rsid w:val="00B13289"/>
    <w:rsid w:val="00B137F8"/>
    <w:rsid w:val="00B13CF5"/>
    <w:rsid w:val="00B144BD"/>
    <w:rsid w:val="00B14A8F"/>
    <w:rsid w:val="00B14D95"/>
    <w:rsid w:val="00B1537C"/>
    <w:rsid w:val="00B16822"/>
    <w:rsid w:val="00B169C0"/>
    <w:rsid w:val="00B1765C"/>
    <w:rsid w:val="00B17954"/>
    <w:rsid w:val="00B17A16"/>
    <w:rsid w:val="00B17B53"/>
    <w:rsid w:val="00B17DDD"/>
    <w:rsid w:val="00B20031"/>
    <w:rsid w:val="00B201EB"/>
    <w:rsid w:val="00B20817"/>
    <w:rsid w:val="00B20B5C"/>
    <w:rsid w:val="00B21142"/>
    <w:rsid w:val="00B21377"/>
    <w:rsid w:val="00B216E5"/>
    <w:rsid w:val="00B21B46"/>
    <w:rsid w:val="00B21C69"/>
    <w:rsid w:val="00B223AE"/>
    <w:rsid w:val="00B22BF7"/>
    <w:rsid w:val="00B23162"/>
    <w:rsid w:val="00B235E1"/>
    <w:rsid w:val="00B23A39"/>
    <w:rsid w:val="00B246AA"/>
    <w:rsid w:val="00B24E1E"/>
    <w:rsid w:val="00B25861"/>
    <w:rsid w:val="00B259DF"/>
    <w:rsid w:val="00B25CE3"/>
    <w:rsid w:val="00B26AC5"/>
    <w:rsid w:val="00B26DDB"/>
    <w:rsid w:val="00B27356"/>
    <w:rsid w:val="00B30679"/>
    <w:rsid w:val="00B31E13"/>
    <w:rsid w:val="00B3230C"/>
    <w:rsid w:val="00B327BC"/>
    <w:rsid w:val="00B3284A"/>
    <w:rsid w:val="00B33041"/>
    <w:rsid w:val="00B33100"/>
    <w:rsid w:val="00B33ECE"/>
    <w:rsid w:val="00B34859"/>
    <w:rsid w:val="00B34A0E"/>
    <w:rsid w:val="00B34C90"/>
    <w:rsid w:val="00B35010"/>
    <w:rsid w:val="00B358AD"/>
    <w:rsid w:val="00B358D2"/>
    <w:rsid w:val="00B35E51"/>
    <w:rsid w:val="00B35F7D"/>
    <w:rsid w:val="00B364DF"/>
    <w:rsid w:val="00B365D8"/>
    <w:rsid w:val="00B36ED9"/>
    <w:rsid w:val="00B36FD3"/>
    <w:rsid w:val="00B37628"/>
    <w:rsid w:val="00B40635"/>
    <w:rsid w:val="00B40E7E"/>
    <w:rsid w:val="00B41D90"/>
    <w:rsid w:val="00B429E4"/>
    <w:rsid w:val="00B42CEB"/>
    <w:rsid w:val="00B4311A"/>
    <w:rsid w:val="00B43A91"/>
    <w:rsid w:val="00B446F0"/>
    <w:rsid w:val="00B449A1"/>
    <w:rsid w:val="00B44AD7"/>
    <w:rsid w:val="00B453BC"/>
    <w:rsid w:val="00B45946"/>
    <w:rsid w:val="00B45968"/>
    <w:rsid w:val="00B45AD4"/>
    <w:rsid w:val="00B47589"/>
    <w:rsid w:val="00B47FA3"/>
    <w:rsid w:val="00B5038D"/>
    <w:rsid w:val="00B512E3"/>
    <w:rsid w:val="00B5201E"/>
    <w:rsid w:val="00B52216"/>
    <w:rsid w:val="00B522FD"/>
    <w:rsid w:val="00B523EA"/>
    <w:rsid w:val="00B5298E"/>
    <w:rsid w:val="00B53F2C"/>
    <w:rsid w:val="00B54B9C"/>
    <w:rsid w:val="00B552D0"/>
    <w:rsid w:val="00B55DD1"/>
    <w:rsid w:val="00B56FE1"/>
    <w:rsid w:val="00B6037C"/>
    <w:rsid w:val="00B6182B"/>
    <w:rsid w:val="00B6248F"/>
    <w:rsid w:val="00B63193"/>
    <w:rsid w:val="00B6364D"/>
    <w:rsid w:val="00B638B5"/>
    <w:rsid w:val="00B64156"/>
    <w:rsid w:val="00B64347"/>
    <w:rsid w:val="00B64F39"/>
    <w:rsid w:val="00B6567F"/>
    <w:rsid w:val="00B656CE"/>
    <w:rsid w:val="00B665CD"/>
    <w:rsid w:val="00B66FEF"/>
    <w:rsid w:val="00B67455"/>
    <w:rsid w:val="00B679C5"/>
    <w:rsid w:val="00B704A5"/>
    <w:rsid w:val="00B70D28"/>
    <w:rsid w:val="00B7201D"/>
    <w:rsid w:val="00B73834"/>
    <w:rsid w:val="00B73C3E"/>
    <w:rsid w:val="00B7435E"/>
    <w:rsid w:val="00B74B44"/>
    <w:rsid w:val="00B755A7"/>
    <w:rsid w:val="00B76857"/>
    <w:rsid w:val="00B76E8B"/>
    <w:rsid w:val="00B77082"/>
    <w:rsid w:val="00B8034E"/>
    <w:rsid w:val="00B80AEC"/>
    <w:rsid w:val="00B81573"/>
    <w:rsid w:val="00B81708"/>
    <w:rsid w:val="00B81871"/>
    <w:rsid w:val="00B82445"/>
    <w:rsid w:val="00B82737"/>
    <w:rsid w:val="00B83272"/>
    <w:rsid w:val="00B84D5E"/>
    <w:rsid w:val="00B857BA"/>
    <w:rsid w:val="00B85EF0"/>
    <w:rsid w:val="00B865FA"/>
    <w:rsid w:val="00B86FE8"/>
    <w:rsid w:val="00B90401"/>
    <w:rsid w:val="00B90D37"/>
    <w:rsid w:val="00B91D39"/>
    <w:rsid w:val="00B91E43"/>
    <w:rsid w:val="00B92757"/>
    <w:rsid w:val="00B92B20"/>
    <w:rsid w:val="00B92EF5"/>
    <w:rsid w:val="00B9352D"/>
    <w:rsid w:val="00B93705"/>
    <w:rsid w:val="00B9398A"/>
    <w:rsid w:val="00B942AF"/>
    <w:rsid w:val="00B944D5"/>
    <w:rsid w:val="00B94503"/>
    <w:rsid w:val="00B94760"/>
    <w:rsid w:val="00B94F17"/>
    <w:rsid w:val="00B953CB"/>
    <w:rsid w:val="00B958DD"/>
    <w:rsid w:val="00B95FFF"/>
    <w:rsid w:val="00B965DD"/>
    <w:rsid w:val="00B9662A"/>
    <w:rsid w:val="00B96D3C"/>
    <w:rsid w:val="00B9740E"/>
    <w:rsid w:val="00B9789F"/>
    <w:rsid w:val="00BA046F"/>
    <w:rsid w:val="00BA0933"/>
    <w:rsid w:val="00BA098E"/>
    <w:rsid w:val="00BA102E"/>
    <w:rsid w:val="00BA1111"/>
    <w:rsid w:val="00BA13E5"/>
    <w:rsid w:val="00BA1727"/>
    <w:rsid w:val="00BA180B"/>
    <w:rsid w:val="00BA1BE8"/>
    <w:rsid w:val="00BA21E9"/>
    <w:rsid w:val="00BA28F9"/>
    <w:rsid w:val="00BA296C"/>
    <w:rsid w:val="00BA2FAC"/>
    <w:rsid w:val="00BA3B1A"/>
    <w:rsid w:val="00BA4109"/>
    <w:rsid w:val="00BA41EB"/>
    <w:rsid w:val="00BA42F0"/>
    <w:rsid w:val="00BA460C"/>
    <w:rsid w:val="00BA4B54"/>
    <w:rsid w:val="00BA514E"/>
    <w:rsid w:val="00BA57BE"/>
    <w:rsid w:val="00BA5D21"/>
    <w:rsid w:val="00BA6B8D"/>
    <w:rsid w:val="00BA6D10"/>
    <w:rsid w:val="00BA7274"/>
    <w:rsid w:val="00BA749E"/>
    <w:rsid w:val="00BA7D64"/>
    <w:rsid w:val="00BA7ECD"/>
    <w:rsid w:val="00BB079F"/>
    <w:rsid w:val="00BB1811"/>
    <w:rsid w:val="00BB2372"/>
    <w:rsid w:val="00BB274B"/>
    <w:rsid w:val="00BB2E71"/>
    <w:rsid w:val="00BB3163"/>
    <w:rsid w:val="00BB53B0"/>
    <w:rsid w:val="00BB6B91"/>
    <w:rsid w:val="00BB7355"/>
    <w:rsid w:val="00BB7C37"/>
    <w:rsid w:val="00BB7DC2"/>
    <w:rsid w:val="00BC0911"/>
    <w:rsid w:val="00BC0A2C"/>
    <w:rsid w:val="00BC1FAE"/>
    <w:rsid w:val="00BC25AA"/>
    <w:rsid w:val="00BC2C45"/>
    <w:rsid w:val="00BC33D2"/>
    <w:rsid w:val="00BC4048"/>
    <w:rsid w:val="00BC4584"/>
    <w:rsid w:val="00BC4C18"/>
    <w:rsid w:val="00BC4C6A"/>
    <w:rsid w:val="00BC4DB4"/>
    <w:rsid w:val="00BC5125"/>
    <w:rsid w:val="00BC53B8"/>
    <w:rsid w:val="00BC577E"/>
    <w:rsid w:val="00BC598A"/>
    <w:rsid w:val="00BC5CDE"/>
    <w:rsid w:val="00BC5DA3"/>
    <w:rsid w:val="00BC681A"/>
    <w:rsid w:val="00BC6853"/>
    <w:rsid w:val="00BC6BFE"/>
    <w:rsid w:val="00BC708B"/>
    <w:rsid w:val="00BC70F3"/>
    <w:rsid w:val="00BC75F1"/>
    <w:rsid w:val="00BC7648"/>
    <w:rsid w:val="00BC787A"/>
    <w:rsid w:val="00BC7B67"/>
    <w:rsid w:val="00BD0024"/>
    <w:rsid w:val="00BD01ED"/>
    <w:rsid w:val="00BD066A"/>
    <w:rsid w:val="00BD1A20"/>
    <w:rsid w:val="00BD1E14"/>
    <w:rsid w:val="00BD35B3"/>
    <w:rsid w:val="00BD461C"/>
    <w:rsid w:val="00BD5B51"/>
    <w:rsid w:val="00BD5C61"/>
    <w:rsid w:val="00BD5D55"/>
    <w:rsid w:val="00BD61E7"/>
    <w:rsid w:val="00BD6DFC"/>
    <w:rsid w:val="00BD77A1"/>
    <w:rsid w:val="00BD7F3A"/>
    <w:rsid w:val="00BE0165"/>
    <w:rsid w:val="00BE1680"/>
    <w:rsid w:val="00BE1B97"/>
    <w:rsid w:val="00BE1BB8"/>
    <w:rsid w:val="00BE33D1"/>
    <w:rsid w:val="00BE4AD3"/>
    <w:rsid w:val="00BE4BF7"/>
    <w:rsid w:val="00BE5969"/>
    <w:rsid w:val="00BE63E9"/>
    <w:rsid w:val="00BE643D"/>
    <w:rsid w:val="00BE64DC"/>
    <w:rsid w:val="00BE66FA"/>
    <w:rsid w:val="00BE71B0"/>
    <w:rsid w:val="00BF0802"/>
    <w:rsid w:val="00BF1D9D"/>
    <w:rsid w:val="00BF250B"/>
    <w:rsid w:val="00BF26BC"/>
    <w:rsid w:val="00BF283D"/>
    <w:rsid w:val="00BF28DA"/>
    <w:rsid w:val="00BF2C65"/>
    <w:rsid w:val="00BF3AF1"/>
    <w:rsid w:val="00BF4D79"/>
    <w:rsid w:val="00BF58AD"/>
    <w:rsid w:val="00BF5D63"/>
    <w:rsid w:val="00BF5F48"/>
    <w:rsid w:val="00BF7264"/>
    <w:rsid w:val="00BF7F33"/>
    <w:rsid w:val="00C00171"/>
    <w:rsid w:val="00C01B35"/>
    <w:rsid w:val="00C01ED9"/>
    <w:rsid w:val="00C030BC"/>
    <w:rsid w:val="00C035A8"/>
    <w:rsid w:val="00C04186"/>
    <w:rsid w:val="00C043B4"/>
    <w:rsid w:val="00C04412"/>
    <w:rsid w:val="00C0482F"/>
    <w:rsid w:val="00C04DBC"/>
    <w:rsid w:val="00C04FB0"/>
    <w:rsid w:val="00C05745"/>
    <w:rsid w:val="00C064F2"/>
    <w:rsid w:val="00C067ED"/>
    <w:rsid w:val="00C0682C"/>
    <w:rsid w:val="00C06F97"/>
    <w:rsid w:val="00C07721"/>
    <w:rsid w:val="00C07A98"/>
    <w:rsid w:val="00C07D4D"/>
    <w:rsid w:val="00C07D89"/>
    <w:rsid w:val="00C07DEC"/>
    <w:rsid w:val="00C07FAA"/>
    <w:rsid w:val="00C07FB6"/>
    <w:rsid w:val="00C1110C"/>
    <w:rsid w:val="00C11733"/>
    <w:rsid w:val="00C11BDD"/>
    <w:rsid w:val="00C11FA1"/>
    <w:rsid w:val="00C122C3"/>
    <w:rsid w:val="00C1270B"/>
    <w:rsid w:val="00C12E62"/>
    <w:rsid w:val="00C13592"/>
    <w:rsid w:val="00C13FB8"/>
    <w:rsid w:val="00C13FEF"/>
    <w:rsid w:val="00C14423"/>
    <w:rsid w:val="00C14C5F"/>
    <w:rsid w:val="00C14ECD"/>
    <w:rsid w:val="00C1536D"/>
    <w:rsid w:val="00C15469"/>
    <w:rsid w:val="00C156F3"/>
    <w:rsid w:val="00C15F10"/>
    <w:rsid w:val="00C15F65"/>
    <w:rsid w:val="00C1635F"/>
    <w:rsid w:val="00C16B82"/>
    <w:rsid w:val="00C175A3"/>
    <w:rsid w:val="00C17A1B"/>
    <w:rsid w:val="00C17A9E"/>
    <w:rsid w:val="00C17BF6"/>
    <w:rsid w:val="00C20411"/>
    <w:rsid w:val="00C20CC4"/>
    <w:rsid w:val="00C21382"/>
    <w:rsid w:val="00C21F5D"/>
    <w:rsid w:val="00C22DE9"/>
    <w:rsid w:val="00C22DF9"/>
    <w:rsid w:val="00C23528"/>
    <w:rsid w:val="00C2393D"/>
    <w:rsid w:val="00C2474B"/>
    <w:rsid w:val="00C2489D"/>
    <w:rsid w:val="00C24B3D"/>
    <w:rsid w:val="00C25F88"/>
    <w:rsid w:val="00C25FC9"/>
    <w:rsid w:val="00C26119"/>
    <w:rsid w:val="00C270C5"/>
    <w:rsid w:val="00C2797C"/>
    <w:rsid w:val="00C304AE"/>
    <w:rsid w:val="00C3051D"/>
    <w:rsid w:val="00C309E9"/>
    <w:rsid w:val="00C31310"/>
    <w:rsid w:val="00C3172A"/>
    <w:rsid w:val="00C31731"/>
    <w:rsid w:val="00C32242"/>
    <w:rsid w:val="00C32678"/>
    <w:rsid w:val="00C3286A"/>
    <w:rsid w:val="00C32F2A"/>
    <w:rsid w:val="00C32FA3"/>
    <w:rsid w:val="00C34103"/>
    <w:rsid w:val="00C3425B"/>
    <w:rsid w:val="00C3493A"/>
    <w:rsid w:val="00C34F17"/>
    <w:rsid w:val="00C34FE6"/>
    <w:rsid w:val="00C35415"/>
    <w:rsid w:val="00C3574C"/>
    <w:rsid w:val="00C3599C"/>
    <w:rsid w:val="00C35C01"/>
    <w:rsid w:val="00C36266"/>
    <w:rsid w:val="00C372BD"/>
    <w:rsid w:val="00C379B6"/>
    <w:rsid w:val="00C40211"/>
    <w:rsid w:val="00C4163F"/>
    <w:rsid w:val="00C42933"/>
    <w:rsid w:val="00C43A49"/>
    <w:rsid w:val="00C43A65"/>
    <w:rsid w:val="00C43E0C"/>
    <w:rsid w:val="00C44470"/>
    <w:rsid w:val="00C44EF4"/>
    <w:rsid w:val="00C44F02"/>
    <w:rsid w:val="00C46B1B"/>
    <w:rsid w:val="00C46E51"/>
    <w:rsid w:val="00C500F0"/>
    <w:rsid w:val="00C50205"/>
    <w:rsid w:val="00C5091D"/>
    <w:rsid w:val="00C50BD8"/>
    <w:rsid w:val="00C517E9"/>
    <w:rsid w:val="00C51CED"/>
    <w:rsid w:val="00C520F1"/>
    <w:rsid w:val="00C530CE"/>
    <w:rsid w:val="00C539E9"/>
    <w:rsid w:val="00C53D33"/>
    <w:rsid w:val="00C542C0"/>
    <w:rsid w:val="00C54548"/>
    <w:rsid w:val="00C55801"/>
    <w:rsid w:val="00C55A58"/>
    <w:rsid w:val="00C56922"/>
    <w:rsid w:val="00C56FAB"/>
    <w:rsid w:val="00C575F2"/>
    <w:rsid w:val="00C57894"/>
    <w:rsid w:val="00C579B9"/>
    <w:rsid w:val="00C57E02"/>
    <w:rsid w:val="00C57F5C"/>
    <w:rsid w:val="00C57F74"/>
    <w:rsid w:val="00C61B67"/>
    <w:rsid w:val="00C62AD9"/>
    <w:rsid w:val="00C642D0"/>
    <w:rsid w:val="00C6448B"/>
    <w:rsid w:val="00C6457F"/>
    <w:rsid w:val="00C64755"/>
    <w:rsid w:val="00C64BAA"/>
    <w:rsid w:val="00C653D0"/>
    <w:rsid w:val="00C654BD"/>
    <w:rsid w:val="00C65B74"/>
    <w:rsid w:val="00C6688F"/>
    <w:rsid w:val="00C672C4"/>
    <w:rsid w:val="00C6760D"/>
    <w:rsid w:val="00C6763A"/>
    <w:rsid w:val="00C67FF4"/>
    <w:rsid w:val="00C70AB5"/>
    <w:rsid w:val="00C70B81"/>
    <w:rsid w:val="00C715B5"/>
    <w:rsid w:val="00C71EC7"/>
    <w:rsid w:val="00C727BD"/>
    <w:rsid w:val="00C72827"/>
    <w:rsid w:val="00C7398F"/>
    <w:rsid w:val="00C74961"/>
    <w:rsid w:val="00C75537"/>
    <w:rsid w:val="00C75B36"/>
    <w:rsid w:val="00C75C7A"/>
    <w:rsid w:val="00C75CFC"/>
    <w:rsid w:val="00C7608F"/>
    <w:rsid w:val="00C76C16"/>
    <w:rsid w:val="00C76F5B"/>
    <w:rsid w:val="00C773DB"/>
    <w:rsid w:val="00C776E9"/>
    <w:rsid w:val="00C778EB"/>
    <w:rsid w:val="00C801F8"/>
    <w:rsid w:val="00C80F17"/>
    <w:rsid w:val="00C8252C"/>
    <w:rsid w:val="00C825D8"/>
    <w:rsid w:val="00C82D3E"/>
    <w:rsid w:val="00C82E4E"/>
    <w:rsid w:val="00C830B2"/>
    <w:rsid w:val="00C843D2"/>
    <w:rsid w:val="00C85029"/>
    <w:rsid w:val="00C87021"/>
    <w:rsid w:val="00C87657"/>
    <w:rsid w:val="00C87EE8"/>
    <w:rsid w:val="00C90545"/>
    <w:rsid w:val="00C90E98"/>
    <w:rsid w:val="00C9131C"/>
    <w:rsid w:val="00C91355"/>
    <w:rsid w:val="00C9138D"/>
    <w:rsid w:val="00C917D2"/>
    <w:rsid w:val="00C91AF3"/>
    <w:rsid w:val="00C91E1E"/>
    <w:rsid w:val="00C91EA6"/>
    <w:rsid w:val="00C92138"/>
    <w:rsid w:val="00C925F7"/>
    <w:rsid w:val="00C927F6"/>
    <w:rsid w:val="00C92A31"/>
    <w:rsid w:val="00C92AA7"/>
    <w:rsid w:val="00C9352F"/>
    <w:rsid w:val="00C935A5"/>
    <w:rsid w:val="00C936E6"/>
    <w:rsid w:val="00C93CF6"/>
    <w:rsid w:val="00C93D42"/>
    <w:rsid w:val="00C9416F"/>
    <w:rsid w:val="00C972E7"/>
    <w:rsid w:val="00C974F8"/>
    <w:rsid w:val="00C9769B"/>
    <w:rsid w:val="00C9791B"/>
    <w:rsid w:val="00C9799C"/>
    <w:rsid w:val="00C97F74"/>
    <w:rsid w:val="00CA049C"/>
    <w:rsid w:val="00CA070F"/>
    <w:rsid w:val="00CA1248"/>
    <w:rsid w:val="00CA199E"/>
    <w:rsid w:val="00CA21BE"/>
    <w:rsid w:val="00CA249F"/>
    <w:rsid w:val="00CA353A"/>
    <w:rsid w:val="00CA3E51"/>
    <w:rsid w:val="00CA42A2"/>
    <w:rsid w:val="00CA4425"/>
    <w:rsid w:val="00CA4FF6"/>
    <w:rsid w:val="00CA50FE"/>
    <w:rsid w:val="00CA62CC"/>
    <w:rsid w:val="00CA6A87"/>
    <w:rsid w:val="00CA6A92"/>
    <w:rsid w:val="00CA71BB"/>
    <w:rsid w:val="00CA7277"/>
    <w:rsid w:val="00CA72E9"/>
    <w:rsid w:val="00CA7707"/>
    <w:rsid w:val="00CA7E62"/>
    <w:rsid w:val="00CB0A0E"/>
    <w:rsid w:val="00CB1071"/>
    <w:rsid w:val="00CB10DC"/>
    <w:rsid w:val="00CB13CB"/>
    <w:rsid w:val="00CB1E22"/>
    <w:rsid w:val="00CB227D"/>
    <w:rsid w:val="00CB2838"/>
    <w:rsid w:val="00CB2C47"/>
    <w:rsid w:val="00CB30B3"/>
    <w:rsid w:val="00CB3272"/>
    <w:rsid w:val="00CB3455"/>
    <w:rsid w:val="00CB374E"/>
    <w:rsid w:val="00CB3F78"/>
    <w:rsid w:val="00CB3FAB"/>
    <w:rsid w:val="00CB4643"/>
    <w:rsid w:val="00CB488B"/>
    <w:rsid w:val="00CB4D74"/>
    <w:rsid w:val="00CB57C7"/>
    <w:rsid w:val="00CB623C"/>
    <w:rsid w:val="00CB681B"/>
    <w:rsid w:val="00CB7553"/>
    <w:rsid w:val="00CB7572"/>
    <w:rsid w:val="00CB7C3B"/>
    <w:rsid w:val="00CC0037"/>
    <w:rsid w:val="00CC0480"/>
    <w:rsid w:val="00CC056D"/>
    <w:rsid w:val="00CC109D"/>
    <w:rsid w:val="00CC13D4"/>
    <w:rsid w:val="00CC1A5C"/>
    <w:rsid w:val="00CC1F49"/>
    <w:rsid w:val="00CC2137"/>
    <w:rsid w:val="00CC2DD0"/>
    <w:rsid w:val="00CC3A0F"/>
    <w:rsid w:val="00CC3A3D"/>
    <w:rsid w:val="00CC524C"/>
    <w:rsid w:val="00CC5533"/>
    <w:rsid w:val="00CC68C5"/>
    <w:rsid w:val="00CC72F0"/>
    <w:rsid w:val="00CC733A"/>
    <w:rsid w:val="00CC7A79"/>
    <w:rsid w:val="00CD0156"/>
    <w:rsid w:val="00CD1002"/>
    <w:rsid w:val="00CD1467"/>
    <w:rsid w:val="00CD17E2"/>
    <w:rsid w:val="00CD1B41"/>
    <w:rsid w:val="00CD1BB0"/>
    <w:rsid w:val="00CD1D2E"/>
    <w:rsid w:val="00CD1EB0"/>
    <w:rsid w:val="00CD3357"/>
    <w:rsid w:val="00CD3973"/>
    <w:rsid w:val="00CD3A72"/>
    <w:rsid w:val="00CD442C"/>
    <w:rsid w:val="00CD4776"/>
    <w:rsid w:val="00CD4CFD"/>
    <w:rsid w:val="00CD4F0A"/>
    <w:rsid w:val="00CD5187"/>
    <w:rsid w:val="00CD5275"/>
    <w:rsid w:val="00CD5CDD"/>
    <w:rsid w:val="00CD621A"/>
    <w:rsid w:val="00CD69E7"/>
    <w:rsid w:val="00CD6E33"/>
    <w:rsid w:val="00CD75D0"/>
    <w:rsid w:val="00CD76D2"/>
    <w:rsid w:val="00CD78B1"/>
    <w:rsid w:val="00CD7978"/>
    <w:rsid w:val="00CD79DB"/>
    <w:rsid w:val="00CE0141"/>
    <w:rsid w:val="00CE0CBC"/>
    <w:rsid w:val="00CE0FAC"/>
    <w:rsid w:val="00CE112A"/>
    <w:rsid w:val="00CE14AD"/>
    <w:rsid w:val="00CE1ABB"/>
    <w:rsid w:val="00CE4141"/>
    <w:rsid w:val="00CE44B0"/>
    <w:rsid w:val="00CE5209"/>
    <w:rsid w:val="00CE5530"/>
    <w:rsid w:val="00CE5655"/>
    <w:rsid w:val="00CE5F54"/>
    <w:rsid w:val="00CE6247"/>
    <w:rsid w:val="00CE6D50"/>
    <w:rsid w:val="00CE7554"/>
    <w:rsid w:val="00CF0676"/>
    <w:rsid w:val="00CF0884"/>
    <w:rsid w:val="00CF1051"/>
    <w:rsid w:val="00CF1C48"/>
    <w:rsid w:val="00CF1C7A"/>
    <w:rsid w:val="00CF20E9"/>
    <w:rsid w:val="00CF2288"/>
    <w:rsid w:val="00CF2350"/>
    <w:rsid w:val="00CF3D7D"/>
    <w:rsid w:val="00CF3E5A"/>
    <w:rsid w:val="00CF40D3"/>
    <w:rsid w:val="00CF42E8"/>
    <w:rsid w:val="00CF4545"/>
    <w:rsid w:val="00CF4A92"/>
    <w:rsid w:val="00CF520D"/>
    <w:rsid w:val="00CF53E1"/>
    <w:rsid w:val="00CF5C5C"/>
    <w:rsid w:val="00CF5D7A"/>
    <w:rsid w:val="00CF6248"/>
    <w:rsid w:val="00CF62F4"/>
    <w:rsid w:val="00CF77BB"/>
    <w:rsid w:val="00CF7E83"/>
    <w:rsid w:val="00CF7EEE"/>
    <w:rsid w:val="00D00104"/>
    <w:rsid w:val="00D00680"/>
    <w:rsid w:val="00D006D3"/>
    <w:rsid w:val="00D01053"/>
    <w:rsid w:val="00D01945"/>
    <w:rsid w:val="00D01D70"/>
    <w:rsid w:val="00D02ABF"/>
    <w:rsid w:val="00D02C1A"/>
    <w:rsid w:val="00D03985"/>
    <w:rsid w:val="00D050FE"/>
    <w:rsid w:val="00D0690A"/>
    <w:rsid w:val="00D06913"/>
    <w:rsid w:val="00D06A89"/>
    <w:rsid w:val="00D06E03"/>
    <w:rsid w:val="00D07674"/>
    <w:rsid w:val="00D07C82"/>
    <w:rsid w:val="00D107B0"/>
    <w:rsid w:val="00D107E6"/>
    <w:rsid w:val="00D10F61"/>
    <w:rsid w:val="00D121D3"/>
    <w:rsid w:val="00D128FD"/>
    <w:rsid w:val="00D132CC"/>
    <w:rsid w:val="00D1391D"/>
    <w:rsid w:val="00D13DE2"/>
    <w:rsid w:val="00D140B8"/>
    <w:rsid w:val="00D147C0"/>
    <w:rsid w:val="00D150FB"/>
    <w:rsid w:val="00D15DDB"/>
    <w:rsid w:val="00D16196"/>
    <w:rsid w:val="00D165D5"/>
    <w:rsid w:val="00D16B1F"/>
    <w:rsid w:val="00D1724A"/>
    <w:rsid w:val="00D17B2A"/>
    <w:rsid w:val="00D2015E"/>
    <w:rsid w:val="00D21AA4"/>
    <w:rsid w:val="00D21ABB"/>
    <w:rsid w:val="00D2220D"/>
    <w:rsid w:val="00D22CA4"/>
    <w:rsid w:val="00D23794"/>
    <w:rsid w:val="00D24625"/>
    <w:rsid w:val="00D24A10"/>
    <w:rsid w:val="00D255FE"/>
    <w:rsid w:val="00D25E32"/>
    <w:rsid w:val="00D26016"/>
    <w:rsid w:val="00D273EA"/>
    <w:rsid w:val="00D27FFE"/>
    <w:rsid w:val="00D3008D"/>
    <w:rsid w:val="00D31407"/>
    <w:rsid w:val="00D32BE1"/>
    <w:rsid w:val="00D32CE6"/>
    <w:rsid w:val="00D33EFE"/>
    <w:rsid w:val="00D345DB"/>
    <w:rsid w:val="00D34826"/>
    <w:rsid w:val="00D34864"/>
    <w:rsid w:val="00D34A10"/>
    <w:rsid w:val="00D34A50"/>
    <w:rsid w:val="00D34FD6"/>
    <w:rsid w:val="00D353B0"/>
    <w:rsid w:val="00D358D2"/>
    <w:rsid w:val="00D35C51"/>
    <w:rsid w:val="00D35CFD"/>
    <w:rsid w:val="00D3710D"/>
    <w:rsid w:val="00D3757F"/>
    <w:rsid w:val="00D37B74"/>
    <w:rsid w:val="00D37CFD"/>
    <w:rsid w:val="00D4032F"/>
    <w:rsid w:val="00D40ADA"/>
    <w:rsid w:val="00D4116A"/>
    <w:rsid w:val="00D41572"/>
    <w:rsid w:val="00D41FD2"/>
    <w:rsid w:val="00D433CC"/>
    <w:rsid w:val="00D43E72"/>
    <w:rsid w:val="00D4442E"/>
    <w:rsid w:val="00D44539"/>
    <w:rsid w:val="00D45889"/>
    <w:rsid w:val="00D45B20"/>
    <w:rsid w:val="00D45EB1"/>
    <w:rsid w:val="00D462B3"/>
    <w:rsid w:val="00D4667C"/>
    <w:rsid w:val="00D4670E"/>
    <w:rsid w:val="00D475DB"/>
    <w:rsid w:val="00D477AC"/>
    <w:rsid w:val="00D47BDA"/>
    <w:rsid w:val="00D47C65"/>
    <w:rsid w:val="00D502BF"/>
    <w:rsid w:val="00D5159A"/>
    <w:rsid w:val="00D5254F"/>
    <w:rsid w:val="00D52F83"/>
    <w:rsid w:val="00D547A0"/>
    <w:rsid w:val="00D54C6A"/>
    <w:rsid w:val="00D55491"/>
    <w:rsid w:val="00D55E07"/>
    <w:rsid w:val="00D5638B"/>
    <w:rsid w:val="00D5694F"/>
    <w:rsid w:val="00D5708C"/>
    <w:rsid w:val="00D606CF"/>
    <w:rsid w:val="00D60C6B"/>
    <w:rsid w:val="00D611D7"/>
    <w:rsid w:val="00D61773"/>
    <w:rsid w:val="00D630AB"/>
    <w:rsid w:val="00D63D7D"/>
    <w:rsid w:val="00D63E19"/>
    <w:rsid w:val="00D645AE"/>
    <w:rsid w:val="00D64804"/>
    <w:rsid w:val="00D6482B"/>
    <w:rsid w:val="00D649FC"/>
    <w:rsid w:val="00D64C47"/>
    <w:rsid w:val="00D6537B"/>
    <w:rsid w:val="00D658A6"/>
    <w:rsid w:val="00D6638E"/>
    <w:rsid w:val="00D67151"/>
    <w:rsid w:val="00D6786F"/>
    <w:rsid w:val="00D70A4A"/>
    <w:rsid w:val="00D715C5"/>
    <w:rsid w:val="00D717A6"/>
    <w:rsid w:val="00D7267C"/>
    <w:rsid w:val="00D72BD2"/>
    <w:rsid w:val="00D730F2"/>
    <w:rsid w:val="00D73413"/>
    <w:rsid w:val="00D73ED2"/>
    <w:rsid w:val="00D74951"/>
    <w:rsid w:val="00D758AD"/>
    <w:rsid w:val="00D75B0F"/>
    <w:rsid w:val="00D75CDC"/>
    <w:rsid w:val="00D75DE8"/>
    <w:rsid w:val="00D76D57"/>
    <w:rsid w:val="00D771C9"/>
    <w:rsid w:val="00D77225"/>
    <w:rsid w:val="00D77561"/>
    <w:rsid w:val="00D80E5E"/>
    <w:rsid w:val="00D81628"/>
    <w:rsid w:val="00D82B1F"/>
    <w:rsid w:val="00D82C7F"/>
    <w:rsid w:val="00D82CC8"/>
    <w:rsid w:val="00D83564"/>
    <w:rsid w:val="00D84C2F"/>
    <w:rsid w:val="00D84EEF"/>
    <w:rsid w:val="00D8517E"/>
    <w:rsid w:val="00D8533A"/>
    <w:rsid w:val="00D85715"/>
    <w:rsid w:val="00D85957"/>
    <w:rsid w:val="00D859F7"/>
    <w:rsid w:val="00D8665C"/>
    <w:rsid w:val="00D878C4"/>
    <w:rsid w:val="00D9028F"/>
    <w:rsid w:val="00D906A2"/>
    <w:rsid w:val="00D90EA9"/>
    <w:rsid w:val="00D911AA"/>
    <w:rsid w:val="00D9173A"/>
    <w:rsid w:val="00D92984"/>
    <w:rsid w:val="00D934C2"/>
    <w:rsid w:val="00D94FC3"/>
    <w:rsid w:val="00D95CB8"/>
    <w:rsid w:val="00D95E75"/>
    <w:rsid w:val="00D96668"/>
    <w:rsid w:val="00D9676A"/>
    <w:rsid w:val="00D96D99"/>
    <w:rsid w:val="00D97091"/>
    <w:rsid w:val="00D978D8"/>
    <w:rsid w:val="00D979D9"/>
    <w:rsid w:val="00D97B42"/>
    <w:rsid w:val="00DA02FF"/>
    <w:rsid w:val="00DA0415"/>
    <w:rsid w:val="00DA0F4B"/>
    <w:rsid w:val="00DA1298"/>
    <w:rsid w:val="00DA2406"/>
    <w:rsid w:val="00DA2C2D"/>
    <w:rsid w:val="00DA2D89"/>
    <w:rsid w:val="00DA37B2"/>
    <w:rsid w:val="00DA3A0F"/>
    <w:rsid w:val="00DA3D31"/>
    <w:rsid w:val="00DA4079"/>
    <w:rsid w:val="00DA4745"/>
    <w:rsid w:val="00DA4B17"/>
    <w:rsid w:val="00DA53DD"/>
    <w:rsid w:val="00DA5887"/>
    <w:rsid w:val="00DA589F"/>
    <w:rsid w:val="00DA61F5"/>
    <w:rsid w:val="00DA68E2"/>
    <w:rsid w:val="00DA6E26"/>
    <w:rsid w:val="00DA72FE"/>
    <w:rsid w:val="00DA74A1"/>
    <w:rsid w:val="00DA7D7C"/>
    <w:rsid w:val="00DA7EDD"/>
    <w:rsid w:val="00DB0017"/>
    <w:rsid w:val="00DB01C8"/>
    <w:rsid w:val="00DB028F"/>
    <w:rsid w:val="00DB033E"/>
    <w:rsid w:val="00DB064C"/>
    <w:rsid w:val="00DB06F0"/>
    <w:rsid w:val="00DB0826"/>
    <w:rsid w:val="00DB0960"/>
    <w:rsid w:val="00DB10DC"/>
    <w:rsid w:val="00DB19A4"/>
    <w:rsid w:val="00DB229F"/>
    <w:rsid w:val="00DB279D"/>
    <w:rsid w:val="00DB36C4"/>
    <w:rsid w:val="00DB37D6"/>
    <w:rsid w:val="00DB3B46"/>
    <w:rsid w:val="00DB3F46"/>
    <w:rsid w:val="00DB3FF5"/>
    <w:rsid w:val="00DB4FA8"/>
    <w:rsid w:val="00DB4FCE"/>
    <w:rsid w:val="00DB55AF"/>
    <w:rsid w:val="00DB69E8"/>
    <w:rsid w:val="00DB7486"/>
    <w:rsid w:val="00DC015D"/>
    <w:rsid w:val="00DC0898"/>
    <w:rsid w:val="00DC1AF7"/>
    <w:rsid w:val="00DC25E6"/>
    <w:rsid w:val="00DC2749"/>
    <w:rsid w:val="00DC368E"/>
    <w:rsid w:val="00DC3819"/>
    <w:rsid w:val="00DC440E"/>
    <w:rsid w:val="00DC5AA6"/>
    <w:rsid w:val="00DC5FE7"/>
    <w:rsid w:val="00DC6E01"/>
    <w:rsid w:val="00DD09E5"/>
    <w:rsid w:val="00DD0D4C"/>
    <w:rsid w:val="00DD0E74"/>
    <w:rsid w:val="00DD2EF6"/>
    <w:rsid w:val="00DD2F68"/>
    <w:rsid w:val="00DD336F"/>
    <w:rsid w:val="00DD3F0B"/>
    <w:rsid w:val="00DD3FB7"/>
    <w:rsid w:val="00DD4227"/>
    <w:rsid w:val="00DD4707"/>
    <w:rsid w:val="00DD52F2"/>
    <w:rsid w:val="00DD5FB2"/>
    <w:rsid w:val="00DD6579"/>
    <w:rsid w:val="00DD739E"/>
    <w:rsid w:val="00DD788F"/>
    <w:rsid w:val="00DD7A1D"/>
    <w:rsid w:val="00DE026D"/>
    <w:rsid w:val="00DE06E5"/>
    <w:rsid w:val="00DE07D6"/>
    <w:rsid w:val="00DE0AB5"/>
    <w:rsid w:val="00DE0DAF"/>
    <w:rsid w:val="00DE133D"/>
    <w:rsid w:val="00DE1C31"/>
    <w:rsid w:val="00DE2777"/>
    <w:rsid w:val="00DE2AD0"/>
    <w:rsid w:val="00DE2C51"/>
    <w:rsid w:val="00DE3380"/>
    <w:rsid w:val="00DE373B"/>
    <w:rsid w:val="00DE381A"/>
    <w:rsid w:val="00DE3996"/>
    <w:rsid w:val="00DE3DE2"/>
    <w:rsid w:val="00DE44DD"/>
    <w:rsid w:val="00DE45B3"/>
    <w:rsid w:val="00DE4C29"/>
    <w:rsid w:val="00DE4D32"/>
    <w:rsid w:val="00DE5DC9"/>
    <w:rsid w:val="00DE6331"/>
    <w:rsid w:val="00DE6477"/>
    <w:rsid w:val="00DE662E"/>
    <w:rsid w:val="00DE6BF7"/>
    <w:rsid w:val="00DE6D71"/>
    <w:rsid w:val="00DE7671"/>
    <w:rsid w:val="00DE7A35"/>
    <w:rsid w:val="00DE7A8B"/>
    <w:rsid w:val="00DF05C4"/>
    <w:rsid w:val="00DF079B"/>
    <w:rsid w:val="00DF127E"/>
    <w:rsid w:val="00DF137D"/>
    <w:rsid w:val="00DF1E4A"/>
    <w:rsid w:val="00DF2FBB"/>
    <w:rsid w:val="00DF303C"/>
    <w:rsid w:val="00DF3913"/>
    <w:rsid w:val="00DF3924"/>
    <w:rsid w:val="00DF3B6A"/>
    <w:rsid w:val="00DF4047"/>
    <w:rsid w:val="00DF4320"/>
    <w:rsid w:val="00DF5897"/>
    <w:rsid w:val="00DF5B22"/>
    <w:rsid w:val="00DF5CD3"/>
    <w:rsid w:val="00DF5F06"/>
    <w:rsid w:val="00DF6254"/>
    <w:rsid w:val="00DF66F6"/>
    <w:rsid w:val="00DF73AC"/>
    <w:rsid w:val="00DF7CBF"/>
    <w:rsid w:val="00DF7F2B"/>
    <w:rsid w:val="00E01DB0"/>
    <w:rsid w:val="00E0213C"/>
    <w:rsid w:val="00E02DB5"/>
    <w:rsid w:val="00E02E04"/>
    <w:rsid w:val="00E03267"/>
    <w:rsid w:val="00E03555"/>
    <w:rsid w:val="00E03694"/>
    <w:rsid w:val="00E036CA"/>
    <w:rsid w:val="00E03744"/>
    <w:rsid w:val="00E038C8"/>
    <w:rsid w:val="00E03A32"/>
    <w:rsid w:val="00E040DC"/>
    <w:rsid w:val="00E045D1"/>
    <w:rsid w:val="00E04681"/>
    <w:rsid w:val="00E04A1E"/>
    <w:rsid w:val="00E04A8E"/>
    <w:rsid w:val="00E04CFC"/>
    <w:rsid w:val="00E05554"/>
    <w:rsid w:val="00E056D3"/>
    <w:rsid w:val="00E063F5"/>
    <w:rsid w:val="00E06926"/>
    <w:rsid w:val="00E06A4B"/>
    <w:rsid w:val="00E073D0"/>
    <w:rsid w:val="00E07561"/>
    <w:rsid w:val="00E07789"/>
    <w:rsid w:val="00E105AD"/>
    <w:rsid w:val="00E10D93"/>
    <w:rsid w:val="00E1111C"/>
    <w:rsid w:val="00E1143A"/>
    <w:rsid w:val="00E1194B"/>
    <w:rsid w:val="00E11C5C"/>
    <w:rsid w:val="00E12DD6"/>
    <w:rsid w:val="00E14642"/>
    <w:rsid w:val="00E146E1"/>
    <w:rsid w:val="00E14E90"/>
    <w:rsid w:val="00E14EB4"/>
    <w:rsid w:val="00E150EA"/>
    <w:rsid w:val="00E15C91"/>
    <w:rsid w:val="00E162C1"/>
    <w:rsid w:val="00E16835"/>
    <w:rsid w:val="00E16D9B"/>
    <w:rsid w:val="00E1712A"/>
    <w:rsid w:val="00E17316"/>
    <w:rsid w:val="00E174E7"/>
    <w:rsid w:val="00E17663"/>
    <w:rsid w:val="00E17711"/>
    <w:rsid w:val="00E207E7"/>
    <w:rsid w:val="00E211B8"/>
    <w:rsid w:val="00E2145B"/>
    <w:rsid w:val="00E217A1"/>
    <w:rsid w:val="00E21D1A"/>
    <w:rsid w:val="00E22086"/>
    <w:rsid w:val="00E221E2"/>
    <w:rsid w:val="00E2261C"/>
    <w:rsid w:val="00E2285F"/>
    <w:rsid w:val="00E22E9C"/>
    <w:rsid w:val="00E236A3"/>
    <w:rsid w:val="00E238D5"/>
    <w:rsid w:val="00E23AAE"/>
    <w:rsid w:val="00E23E89"/>
    <w:rsid w:val="00E23FF8"/>
    <w:rsid w:val="00E244E0"/>
    <w:rsid w:val="00E24786"/>
    <w:rsid w:val="00E247FB"/>
    <w:rsid w:val="00E2480C"/>
    <w:rsid w:val="00E24963"/>
    <w:rsid w:val="00E24AF3"/>
    <w:rsid w:val="00E24E86"/>
    <w:rsid w:val="00E2501B"/>
    <w:rsid w:val="00E254E0"/>
    <w:rsid w:val="00E25572"/>
    <w:rsid w:val="00E262E6"/>
    <w:rsid w:val="00E27E2A"/>
    <w:rsid w:val="00E3097E"/>
    <w:rsid w:val="00E30BA7"/>
    <w:rsid w:val="00E30EFF"/>
    <w:rsid w:val="00E31B8C"/>
    <w:rsid w:val="00E31E46"/>
    <w:rsid w:val="00E32795"/>
    <w:rsid w:val="00E32923"/>
    <w:rsid w:val="00E32968"/>
    <w:rsid w:val="00E32A2A"/>
    <w:rsid w:val="00E32E34"/>
    <w:rsid w:val="00E33624"/>
    <w:rsid w:val="00E34697"/>
    <w:rsid w:val="00E357F8"/>
    <w:rsid w:val="00E36A2B"/>
    <w:rsid w:val="00E37336"/>
    <w:rsid w:val="00E373DF"/>
    <w:rsid w:val="00E37598"/>
    <w:rsid w:val="00E3778D"/>
    <w:rsid w:val="00E377D8"/>
    <w:rsid w:val="00E37A18"/>
    <w:rsid w:val="00E4050F"/>
    <w:rsid w:val="00E42844"/>
    <w:rsid w:val="00E43236"/>
    <w:rsid w:val="00E43449"/>
    <w:rsid w:val="00E435FA"/>
    <w:rsid w:val="00E44F2D"/>
    <w:rsid w:val="00E45A2D"/>
    <w:rsid w:val="00E46380"/>
    <w:rsid w:val="00E46862"/>
    <w:rsid w:val="00E46B88"/>
    <w:rsid w:val="00E47498"/>
    <w:rsid w:val="00E5077F"/>
    <w:rsid w:val="00E50AB8"/>
    <w:rsid w:val="00E51D79"/>
    <w:rsid w:val="00E51F76"/>
    <w:rsid w:val="00E525BB"/>
    <w:rsid w:val="00E52C02"/>
    <w:rsid w:val="00E53642"/>
    <w:rsid w:val="00E53FC7"/>
    <w:rsid w:val="00E54330"/>
    <w:rsid w:val="00E54878"/>
    <w:rsid w:val="00E55AE3"/>
    <w:rsid w:val="00E55D6E"/>
    <w:rsid w:val="00E56E1C"/>
    <w:rsid w:val="00E577D7"/>
    <w:rsid w:val="00E57C6F"/>
    <w:rsid w:val="00E6007D"/>
    <w:rsid w:val="00E60D90"/>
    <w:rsid w:val="00E60FFB"/>
    <w:rsid w:val="00E625ED"/>
    <w:rsid w:val="00E62E99"/>
    <w:rsid w:val="00E63486"/>
    <w:rsid w:val="00E636B2"/>
    <w:rsid w:val="00E63A1D"/>
    <w:rsid w:val="00E63D89"/>
    <w:rsid w:val="00E6416F"/>
    <w:rsid w:val="00E6490A"/>
    <w:rsid w:val="00E64F1C"/>
    <w:rsid w:val="00E64FFF"/>
    <w:rsid w:val="00E65576"/>
    <w:rsid w:val="00E66C95"/>
    <w:rsid w:val="00E66EBD"/>
    <w:rsid w:val="00E66F13"/>
    <w:rsid w:val="00E67A7A"/>
    <w:rsid w:val="00E67EF3"/>
    <w:rsid w:val="00E701B8"/>
    <w:rsid w:val="00E71CA0"/>
    <w:rsid w:val="00E7256C"/>
    <w:rsid w:val="00E725DE"/>
    <w:rsid w:val="00E7284E"/>
    <w:rsid w:val="00E73187"/>
    <w:rsid w:val="00E736AE"/>
    <w:rsid w:val="00E73C5E"/>
    <w:rsid w:val="00E74709"/>
    <w:rsid w:val="00E74845"/>
    <w:rsid w:val="00E749D7"/>
    <w:rsid w:val="00E74E45"/>
    <w:rsid w:val="00E7517B"/>
    <w:rsid w:val="00E757AE"/>
    <w:rsid w:val="00E759FD"/>
    <w:rsid w:val="00E75AF8"/>
    <w:rsid w:val="00E75E69"/>
    <w:rsid w:val="00E75F07"/>
    <w:rsid w:val="00E7663B"/>
    <w:rsid w:val="00E7724B"/>
    <w:rsid w:val="00E77E95"/>
    <w:rsid w:val="00E806AD"/>
    <w:rsid w:val="00E80711"/>
    <w:rsid w:val="00E80769"/>
    <w:rsid w:val="00E8167A"/>
    <w:rsid w:val="00E82351"/>
    <w:rsid w:val="00E827E5"/>
    <w:rsid w:val="00E82860"/>
    <w:rsid w:val="00E82FFA"/>
    <w:rsid w:val="00E8345D"/>
    <w:rsid w:val="00E834F8"/>
    <w:rsid w:val="00E83674"/>
    <w:rsid w:val="00E83837"/>
    <w:rsid w:val="00E84A19"/>
    <w:rsid w:val="00E84B8D"/>
    <w:rsid w:val="00E84C39"/>
    <w:rsid w:val="00E84CBD"/>
    <w:rsid w:val="00E84FDB"/>
    <w:rsid w:val="00E85562"/>
    <w:rsid w:val="00E8582F"/>
    <w:rsid w:val="00E85B65"/>
    <w:rsid w:val="00E861C7"/>
    <w:rsid w:val="00E862A7"/>
    <w:rsid w:val="00E86301"/>
    <w:rsid w:val="00E8646B"/>
    <w:rsid w:val="00E86BAC"/>
    <w:rsid w:val="00E87E2F"/>
    <w:rsid w:val="00E87EAE"/>
    <w:rsid w:val="00E90194"/>
    <w:rsid w:val="00E912FD"/>
    <w:rsid w:val="00E91C82"/>
    <w:rsid w:val="00E92227"/>
    <w:rsid w:val="00E929B7"/>
    <w:rsid w:val="00E9339A"/>
    <w:rsid w:val="00E93581"/>
    <w:rsid w:val="00E9368B"/>
    <w:rsid w:val="00E93B0B"/>
    <w:rsid w:val="00E93EBA"/>
    <w:rsid w:val="00E96426"/>
    <w:rsid w:val="00E96CBB"/>
    <w:rsid w:val="00E97223"/>
    <w:rsid w:val="00E973FD"/>
    <w:rsid w:val="00E97B20"/>
    <w:rsid w:val="00EA0679"/>
    <w:rsid w:val="00EA07E0"/>
    <w:rsid w:val="00EA0FA8"/>
    <w:rsid w:val="00EA1393"/>
    <w:rsid w:val="00EA1734"/>
    <w:rsid w:val="00EA1D4B"/>
    <w:rsid w:val="00EA1E53"/>
    <w:rsid w:val="00EA306F"/>
    <w:rsid w:val="00EA380D"/>
    <w:rsid w:val="00EA3930"/>
    <w:rsid w:val="00EA430F"/>
    <w:rsid w:val="00EA4AFC"/>
    <w:rsid w:val="00EA54F2"/>
    <w:rsid w:val="00EA55E0"/>
    <w:rsid w:val="00EA5669"/>
    <w:rsid w:val="00EA5728"/>
    <w:rsid w:val="00EA5DC7"/>
    <w:rsid w:val="00EA6002"/>
    <w:rsid w:val="00EA60B5"/>
    <w:rsid w:val="00EA63E7"/>
    <w:rsid w:val="00EA6653"/>
    <w:rsid w:val="00EA7508"/>
    <w:rsid w:val="00EA7537"/>
    <w:rsid w:val="00EA7CD9"/>
    <w:rsid w:val="00EA7D83"/>
    <w:rsid w:val="00EB0151"/>
    <w:rsid w:val="00EB1667"/>
    <w:rsid w:val="00EB2469"/>
    <w:rsid w:val="00EB2D27"/>
    <w:rsid w:val="00EB307D"/>
    <w:rsid w:val="00EB3B5A"/>
    <w:rsid w:val="00EB44DE"/>
    <w:rsid w:val="00EB50C0"/>
    <w:rsid w:val="00EB5C13"/>
    <w:rsid w:val="00EB6B89"/>
    <w:rsid w:val="00EB6F58"/>
    <w:rsid w:val="00EC0442"/>
    <w:rsid w:val="00EC1598"/>
    <w:rsid w:val="00EC1930"/>
    <w:rsid w:val="00EC1CC5"/>
    <w:rsid w:val="00EC2E0D"/>
    <w:rsid w:val="00EC390A"/>
    <w:rsid w:val="00EC3F06"/>
    <w:rsid w:val="00EC3FBA"/>
    <w:rsid w:val="00EC45E6"/>
    <w:rsid w:val="00EC489F"/>
    <w:rsid w:val="00EC4A63"/>
    <w:rsid w:val="00EC5D43"/>
    <w:rsid w:val="00EC6094"/>
    <w:rsid w:val="00ED0217"/>
    <w:rsid w:val="00ED04F8"/>
    <w:rsid w:val="00ED1659"/>
    <w:rsid w:val="00ED1C06"/>
    <w:rsid w:val="00ED1C6C"/>
    <w:rsid w:val="00ED20A0"/>
    <w:rsid w:val="00ED237F"/>
    <w:rsid w:val="00ED257E"/>
    <w:rsid w:val="00ED52A3"/>
    <w:rsid w:val="00ED5E44"/>
    <w:rsid w:val="00ED6839"/>
    <w:rsid w:val="00ED6B2A"/>
    <w:rsid w:val="00ED6B52"/>
    <w:rsid w:val="00ED6E35"/>
    <w:rsid w:val="00ED7074"/>
    <w:rsid w:val="00EE00D8"/>
    <w:rsid w:val="00EE12AD"/>
    <w:rsid w:val="00EE140E"/>
    <w:rsid w:val="00EE19A5"/>
    <w:rsid w:val="00EE1B56"/>
    <w:rsid w:val="00EE1CB5"/>
    <w:rsid w:val="00EE268D"/>
    <w:rsid w:val="00EE2E72"/>
    <w:rsid w:val="00EE30CF"/>
    <w:rsid w:val="00EE3BE4"/>
    <w:rsid w:val="00EE472F"/>
    <w:rsid w:val="00EE670A"/>
    <w:rsid w:val="00EE6F2B"/>
    <w:rsid w:val="00EE7CA6"/>
    <w:rsid w:val="00EE7DD8"/>
    <w:rsid w:val="00EF0438"/>
    <w:rsid w:val="00EF05CD"/>
    <w:rsid w:val="00EF1D14"/>
    <w:rsid w:val="00EF2347"/>
    <w:rsid w:val="00EF291B"/>
    <w:rsid w:val="00EF2CBC"/>
    <w:rsid w:val="00EF3C75"/>
    <w:rsid w:val="00EF3CF3"/>
    <w:rsid w:val="00EF4030"/>
    <w:rsid w:val="00EF4C7D"/>
    <w:rsid w:val="00EF52F3"/>
    <w:rsid w:val="00EF62B7"/>
    <w:rsid w:val="00EF6392"/>
    <w:rsid w:val="00EF6923"/>
    <w:rsid w:val="00EF6A22"/>
    <w:rsid w:val="00EF7956"/>
    <w:rsid w:val="00F0042D"/>
    <w:rsid w:val="00F00DD4"/>
    <w:rsid w:val="00F00F18"/>
    <w:rsid w:val="00F022CF"/>
    <w:rsid w:val="00F02435"/>
    <w:rsid w:val="00F045CD"/>
    <w:rsid w:val="00F051D1"/>
    <w:rsid w:val="00F059F3"/>
    <w:rsid w:val="00F06431"/>
    <w:rsid w:val="00F06A87"/>
    <w:rsid w:val="00F0714B"/>
    <w:rsid w:val="00F07BCC"/>
    <w:rsid w:val="00F10B29"/>
    <w:rsid w:val="00F1158C"/>
    <w:rsid w:val="00F11DC0"/>
    <w:rsid w:val="00F11F02"/>
    <w:rsid w:val="00F121E1"/>
    <w:rsid w:val="00F123F1"/>
    <w:rsid w:val="00F124E0"/>
    <w:rsid w:val="00F1279A"/>
    <w:rsid w:val="00F12B30"/>
    <w:rsid w:val="00F12ED3"/>
    <w:rsid w:val="00F139A7"/>
    <w:rsid w:val="00F13EDC"/>
    <w:rsid w:val="00F14015"/>
    <w:rsid w:val="00F1439C"/>
    <w:rsid w:val="00F153C2"/>
    <w:rsid w:val="00F15FF3"/>
    <w:rsid w:val="00F160E7"/>
    <w:rsid w:val="00F161A0"/>
    <w:rsid w:val="00F16638"/>
    <w:rsid w:val="00F16BAF"/>
    <w:rsid w:val="00F17629"/>
    <w:rsid w:val="00F1793B"/>
    <w:rsid w:val="00F17F74"/>
    <w:rsid w:val="00F20346"/>
    <w:rsid w:val="00F210B2"/>
    <w:rsid w:val="00F2140A"/>
    <w:rsid w:val="00F21438"/>
    <w:rsid w:val="00F21B4E"/>
    <w:rsid w:val="00F21EF8"/>
    <w:rsid w:val="00F21FFB"/>
    <w:rsid w:val="00F22182"/>
    <w:rsid w:val="00F2275B"/>
    <w:rsid w:val="00F247BA"/>
    <w:rsid w:val="00F24B45"/>
    <w:rsid w:val="00F25236"/>
    <w:rsid w:val="00F254C8"/>
    <w:rsid w:val="00F25C42"/>
    <w:rsid w:val="00F26055"/>
    <w:rsid w:val="00F266A1"/>
    <w:rsid w:val="00F30971"/>
    <w:rsid w:val="00F30FB3"/>
    <w:rsid w:val="00F33250"/>
    <w:rsid w:val="00F33D47"/>
    <w:rsid w:val="00F3566E"/>
    <w:rsid w:val="00F35688"/>
    <w:rsid w:val="00F364AE"/>
    <w:rsid w:val="00F365C1"/>
    <w:rsid w:val="00F36EF8"/>
    <w:rsid w:val="00F37682"/>
    <w:rsid w:val="00F3788F"/>
    <w:rsid w:val="00F37D3B"/>
    <w:rsid w:val="00F4125F"/>
    <w:rsid w:val="00F4193B"/>
    <w:rsid w:val="00F41B6B"/>
    <w:rsid w:val="00F41DB9"/>
    <w:rsid w:val="00F43CFB"/>
    <w:rsid w:val="00F440A8"/>
    <w:rsid w:val="00F44343"/>
    <w:rsid w:val="00F4440B"/>
    <w:rsid w:val="00F44DAE"/>
    <w:rsid w:val="00F454DB"/>
    <w:rsid w:val="00F45528"/>
    <w:rsid w:val="00F4675C"/>
    <w:rsid w:val="00F4681E"/>
    <w:rsid w:val="00F47B0B"/>
    <w:rsid w:val="00F500B0"/>
    <w:rsid w:val="00F50AA2"/>
    <w:rsid w:val="00F50AB7"/>
    <w:rsid w:val="00F5102E"/>
    <w:rsid w:val="00F515DF"/>
    <w:rsid w:val="00F53425"/>
    <w:rsid w:val="00F5427F"/>
    <w:rsid w:val="00F54A22"/>
    <w:rsid w:val="00F54C23"/>
    <w:rsid w:val="00F55188"/>
    <w:rsid w:val="00F57E9C"/>
    <w:rsid w:val="00F6103A"/>
    <w:rsid w:val="00F61AE9"/>
    <w:rsid w:val="00F61B5D"/>
    <w:rsid w:val="00F622B8"/>
    <w:rsid w:val="00F62704"/>
    <w:rsid w:val="00F631F8"/>
    <w:rsid w:val="00F63F2D"/>
    <w:rsid w:val="00F641D5"/>
    <w:rsid w:val="00F6459E"/>
    <w:rsid w:val="00F645BE"/>
    <w:rsid w:val="00F646C2"/>
    <w:rsid w:val="00F64AFD"/>
    <w:rsid w:val="00F655D7"/>
    <w:rsid w:val="00F6560A"/>
    <w:rsid w:val="00F65AC8"/>
    <w:rsid w:val="00F67070"/>
    <w:rsid w:val="00F677C9"/>
    <w:rsid w:val="00F702E6"/>
    <w:rsid w:val="00F7098B"/>
    <w:rsid w:val="00F70E32"/>
    <w:rsid w:val="00F717EC"/>
    <w:rsid w:val="00F71A1E"/>
    <w:rsid w:val="00F71AA0"/>
    <w:rsid w:val="00F71C2B"/>
    <w:rsid w:val="00F71C94"/>
    <w:rsid w:val="00F7249F"/>
    <w:rsid w:val="00F7255F"/>
    <w:rsid w:val="00F72782"/>
    <w:rsid w:val="00F735DB"/>
    <w:rsid w:val="00F737BF"/>
    <w:rsid w:val="00F74FB0"/>
    <w:rsid w:val="00F76519"/>
    <w:rsid w:val="00F77CB4"/>
    <w:rsid w:val="00F8015D"/>
    <w:rsid w:val="00F8035A"/>
    <w:rsid w:val="00F81CAE"/>
    <w:rsid w:val="00F81DB4"/>
    <w:rsid w:val="00F81E4A"/>
    <w:rsid w:val="00F8226A"/>
    <w:rsid w:val="00F822C6"/>
    <w:rsid w:val="00F822DE"/>
    <w:rsid w:val="00F82542"/>
    <w:rsid w:val="00F828FF"/>
    <w:rsid w:val="00F82987"/>
    <w:rsid w:val="00F82D4F"/>
    <w:rsid w:val="00F82E56"/>
    <w:rsid w:val="00F83119"/>
    <w:rsid w:val="00F834F1"/>
    <w:rsid w:val="00F84C89"/>
    <w:rsid w:val="00F85131"/>
    <w:rsid w:val="00F85FBD"/>
    <w:rsid w:val="00F86041"/>
    <w:rsid w:val="00F86444"/>
    <w:rsid w:val="00F87E66"/>
    <w:rsid w:val="00F87EA9"/>
    <w:rsid w:val="00F905FB"/>
    <w:rsid w:val="00F917BA"/>
    <w:rsid w:val="00F91BDE"/>
    <w:rsid w:val="00F93D28"/>
    <w:rsid w:val="00F940B4"/>
    <w:rsid w:val="00F94358"/>
    <w:rsid w:val="00F94947"/>
    <w:rsid w:val="00F94CC3"/>
    <w:rsid w:val="00F9575F"/>
    <w:rsid w:val="00F95D0B"/>
    <w:rsid w:val="00F965BC"/>
    <w:rsid w:val="00F9710D"/>
    <w:rsid w:val="00F97777"/>
    <w:rsid w:val="00F97817"/>
    <w:rsid w:val="00FA1742"/>
    <w:rsid w:val="00FA1B75"/>
    <w:rsid w:val="00FA29A8"/>
    <w:rsid w:val="00FA64C4"/>
    <w:rsid w:val="00FA680B"/>
    <w:rsid w:val="00FA68A9"/>
    <w:rsid w:val="00FA7DEA"/>
    <w:rsid w:val="00FB0F99"/>
    <w:rsid w:val="00FB121A"/>
    <w:rsid w:val="00FB14E6"/>
    <w:rsid w:val="00FB19EE"/>
    <w:rsid w:val="00FB2861"/>
    <w:rsid w:val="00FB288E"/>
    <w:rsid w:val="00FB2B9A"/>
    <w:rsid w:val="00FB2EC5"/>
    <w:rsid w:val="00FB2F72"/>
    <w:rsid w:val="00FB3EF5"/>
    <w:rsid w:val="00FB4FC0"/>
    <w:rsid w:val="00FB513B"/>
    <w:rsid w:val="00FB5E8A"/>
    <w:rsid w:val="00FB60B1"/>
    <w:rsid w:val="00FB6567"/>
    <w:rsid w:val="00FB6778"/>
    <w:rsid w:val="00FB69BC"/>
    <w:rsid w:val="00FB6CFE"/>
    <w:rsid w:val="00FB6FEE"/>
    <w:rsid w:val="00FB7502"/>
    <w:rsid w:val="00FC0A60"/>
    <w:rsid w:val="00FC1BF1"/>
    <w:rsid w:val="00FC28E1"/>
    <w:rsid w:val="00FC3DBD"/>
    <w:rsid w:val="00FC402F"/>
    <w:rsid w:val="00FC4549"/>
    <w:rsid w:val="00FC4581"/>
    <w:rsid w:val="00FC4B32"/>
    <w:rsid w:val="00FC4B86"/>
    <w:rsid w:val="00FC4E98"/>
    <w:rsid w:val="00FC5A25"/>
    <w:rsid w:val="00FC5A4E"/>
    <w:rsid w:val="00FC5DCD"/>
    <w:rsid w:val="00FC5EC2"/>
    <w:rsid w:val="00FC6345"/>
    <w:rsid w:val="00FC6A81"/>
    <w:rsid w:val="00FC7134"/>
    <w:rsid w:val="00FC759B"/>
    <w:rsid w:val="00FD097A"/>
    <w:rsid w:val="00FD0D44"/>
    <w:rsid w:val="00FD11B0"/>
    <w:rsid w:val="00FD3339"/>
    <w:rsid w:val="00FD3A3F"/>
    <w:rsid w:val="00FD4B7D"/>
    <w:rsid w:val="00FD4BAF"/>
    <w:rsid w:val="00FD4BBA"/>
    <w:rsid w:val="00FD55CE"/>
    <w:rsid w:val="00FD5A82"/>
    <w:rsid w:val="00FD65A4"/>
    <w:rsid w:val="00FD6AA0"/>
    <w:rsid w:val="00FD7603"/>
    <w:rsid w:val="00FD7652"/>
    <w:rsid w:val="00FE071A"/>
    <w:rsid w:val="00FE0F20"/>
    <w:rsid w:val="00FE0F87"/>
    <w:rsid w:val="00FE160A"/>
    <w:rsid w:val="00FE1DD2"/>
    <w:rsid w:val="00FE226E"/>
    <w:rsid w:val="00FE2546"/>
    <w:rsid w:val="00FE2D8D"/>
    <w:rsid w:val="00FE3679"/>
    <w:rsid w:val="00FE4253"/>
    <w:rsid w:val="00FE56DC"/>
    <w:rsid w:val="00FE5BE8"/>
    <w:rsid w:val="00FE5F25"/>
    <w:rsid w:val="00FE637C"/>
    <w:rsid w:val="00FE6920"/>
    <w:rsid w:val="00FE6F94"/>
    <w:rsid w:val="00FE7EF0"/>
    <w:rsid w:val="00FF045E"/>
    <w:rsid w:val="00FF0E97"/>
    <w:rsid w:val="00FF0F46"/>
    <w:rsid w:val="00FF12E0"/>
    <w:rsid w:val="00FF2B3D"/>
    <w:rsid w:val="00FF2B7B"/>
    <w:rsid w:val="00FF300C"/>
    <w:rsid w:val="00FF3614"/>
    <w:rsid w:val="00FF36AA"/>
    <w:rsid w:val="00FF3DCF"/>
    <w:rsid w:val="00FF4339"/>
    <w:rsid w:val="00FF4513"/>
    <w:rsid w:val="00FF57D6"/>
    <w:rsid w:val="00FF5B3E"/>
    <w:rsid w:val="00FF6046"/>
    <w:rsid w:val="00FF628E"/>
    <w:rsid w:val="00FF62EE"/>
    <w:rsid w:val="00FF67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4BA"/>
    <w:pPr>
      <w:tabs>
        <w:tab w:val="center" w:pos="4680"/>
        <w:tab w:val="right" w:pos="9360"/>
      </w:tabs>
      <w:spacing w:line="240" w:lineRule="auto"/>
    </w:pPr>
  </w:style>
  <w:style w:type="character" w:customStyle="1" w:styleId="HeaderChar">
    <w:name w:val="Header Char"/>
    <w:basedOn w:val="DefaultParagraphFont"/>
    <w:link w:val="Header"/>
    <w:uiPriority w:val="99"/>
    <w:rsid w:val="008B04BA"/>
  </w:style>
  <w:style w:type="paragraph" w:styleId="Footer">
    <w:name w:val="footer"/>
    <w:basedOn w:val="Normal"/>
    <w:link w:val="FooterChar"/>
    <w:uiPriority w:val="99"/>
    <w:unhideWhenUsed/>
    <w:rsid w:val="008B04BA"/>
    <w:pPr>
      <w:tabs>
        <w:tab w:val="center" w:pos="4680"/>
        <w:tab w:val="right" w:pos="9360"/>
      </w:tabs>
      <w:spacing w:line="240" w:lineRule="auto"/>
    </w:pPr>
  </w:style>
  <w:style w:type="character" w:customStyle="1" w:styleId="FooterChar">
    <w:name w:val="Footer Char"/>
    <w:basedOn w:val="DefaultParagraphFont"/>
    <w:link w:val="Footer"/>
    <w:uiPriority w:val="99"/>
    <w:rsid w:val="008B04BA"/>
  </w:style>
  <w:style w:type="character" w:styleId="PageNumber">
    <w:name w:val="page number"/>
    <w:basedOn w:val="DefaultParagraphFont"/>
    <w:uiPriority w:val="99"/>
    <w:semiHidden/>
    <w:unhideWhenUsed/>
    <w:rsid w:val="008B04BA"/>
  </w:style>
  <w:style w:type="paragraph" w:styleId="FootnoteText">
    <w:name w:val="footnote text"/>
    <w:link w:val="FootnoteTextChar"/>
    <w:uiPriority w:val="99"/>
    <w:unhideWhenUsed/>
    <w:rsid w:val="000F1BF6"/>
    <w:pPr>
      <w:spacing w:after="120" w:line="240" w:lineRule="auto"/>
      <w:ind w:firstLine="720"/>
    </w:pPr>
    <w:rPr>
      <w:rFonts w:cs="Times New Roman"/>
      <w:szCs w:val="20"/>
    </w:rPr>
  </w:style>
  <w:style w:type="character" w:customStyle="1" w:styleId="FootnoteTextChar">
    <w:name w:val="Footnote Text Char"/>
    <w:basedOn w:val="DefaultParagraphFont"/>
    <w:link w:val="FootnoteText"/>
    <w:uiPriority w:val="99"/>
    <w:rsid w:val="000F1BF6"/>
    <w:rPr>
      <w:rFonts w:cs="Times New Roman"/>
      <w:szCs w:val="20"/>
    </w:rPr>
  </w:style>
  <w:style w:type="paragraph" w:styleId="ListParagraph">
    <w:name w:val="List Paragraph"/>
    <w:basedOn w:val="Normal"/>
    <w:uiPriority w:val="34"/>
    <w:qFormat/>
    <w:rsid w:val="008B04BA"/>
    <w:pPr>
      <w:ind w:left="720"/>
      <w:contextualSpacing/>
    </w:pPr>
  </w:style>
  <w:style w:type="character" w:styleId="FootnoteReference">
    <w:name w:val="footnote reference"/>
    <w:basedOn w:val="DefaultParagraphFont"/>
    <w:uiPriority w:val="99"/>
    <w:semiHidden/>
    <w:unhideWhenUsed/>
    <w:rsid w:val="00582E9B"/>
    <w:rPr>
      <w:vertAlign w:val="superscript"/>
    </w:rPr>
  </w:style>
  <w:style w:type="paragraph" w:customStyle="1" w:styleId="Normal2">
    <w:name w:val="Normal2"/>
    <w:basedOn w:val="Normal"/>
    <w:rsid w:val="00A66AE9"/>
    <w:pPr>
      <w:tabs>
        <w:tab w:val="clear" w:pos="720"/>
      </w:tabs>
      <w:spacing w:line="240" w:lineRule="auto"/>
    </w:pPr>
    <w:rPr>
      <w:rFonts w:eastAsia="Times New Roman"/>
      <w:szCs w:val="20"/>
    </w:rPr>
  </w:style>
  <w:style w:type="character" w:styleId="CommentReference">
    <w:name w:val="annotation reference"/>
    <w:basedOn w:val="DefaultParagraphFont"/>
    <w:uiPriority w:val="99"/>
    <w:semiHidden/>
    <w:unhideWhenUsed/>
    <w:rsid w:val="00F82D4F"/>
    <w:rPr>
      <w:sz w:val="16"/>
      <w:szCs w:val="16"/>
    </w:rPr>
  </w:style>
  <w:style w:type="paragraph" w:styleId="CommentText">
    <w:name w:val="annotation text"/>
    <w:basedOn w:val="Normal"/>
    <w:link w:val="CommentTextChar"/>
    <w:uiPriority w:val="99"/>
    <w:unhideWhenUsed/>
    <w:rsid w:val="00F82D4F"/>
    <w:pPr>
      <w:spacing w:line="240" w:lineRule="auto"/>
    </w:pPr>
    <w:rPr>
      <w:sz w:val="20"/>
      <w:szCs w:val="20"/>
    </w:rPr>
  </w:style>
  <w:style w:type="character" w:customStyle="1" w:styleId="CommentTextChar">
    <w:name w:val="Comment Text Char"/>
    <w:basedOn w:val="DefaultParagraphFont"/>
    <w:link w:val="CommentText"/>
    <w:uiPriority w:val="99"/>
    <w:rsid w:val="00F82D4F"/>
    <w:rPr>
      <w:rFonts w:cs="Times New Roman"/>
      <w:sz w:val="20"/>
      <w:szCs w:val="20"/>
    </w:rPr>
  </w:style>
  <w:style w:type="paragraph" w:styleId="CommentSubject">
    <w:name w:val="annotation subject"/>
    <w:basedOn w:val="CommentText"/>
    <w:next w:val="CommentText"/>
    <w:link w:val="CommentSubjectChar"/>
    <w:uiPriority w:val="99"/>
    <w:semiHidden/>
    <w:unhideWhenUsed/>
    <w:rsid w:val="00F82D4F"/>
    <w:rPr>
      <w:b/>
      <w:bCs/>
    </w:rPr>
  </w:style>
  <w:style w:type="character" w:customStyle="1" w:styleId="CommentSubjectChar">
    <w:name w:val="Comment Subject Char"/>
    <w:basedOn w:val="CommentTextChar"/>
    <w:link w:val="CommentSubject"/>
    <w:uiPriority w:val="99"/>
    <w:semiHidden/>
    <w:rsid w:val="00F82D4F"/>
    <w:rPr>
      <w:rFonts w:cs="Times New Roman"/>
      <w:b/>
      <w:bCs/>
      <w:sz w:val="20"/>
      <w:szCs w:val="20"/>
    </w:rPr>
  </w:style>
  <w:style w:type="character" w:styleId="Hyperlink">
    <w:name w:val="Hyperlink"/>
    <w:basedOn w:val="DefaultParagraphFont"/>
    <w:uiPriority w:val="99"/>
    <w:semiHidden/>
    <w:unhideWhenUsed/>
    <w:rsid w:val="00E24963"/>
    <w:rPr>
      <w:color w:val="0000FF"/>
      <w:u w:val="single"/>
    </w:rPr>
  </w:style>
  <w:style w:type="character" w:styleId="Emphasis">
    <w:name w:val="Emphasis"/>
    <w:basedOn w:val="DefaultParagraphFont"/>
    <w:uiPriority w:val="20"/>
    <w:qFormat/>
    <w:rsid w:val="00E24963"/>
    <w:rPr>
      <w:i/>
      <w:iCs/>
    </w:rPr>
  </w:style>
  <w:style w:type="character" w:customStyle="1" w:styleId="cosearchterm">
    <w:name w:val="co_searchterm"/>
    <w:basedOn w:val="DefaultParagraphFont"/>
    <w:rsid w:val="00D73413"/>
  </w:style>
  <w:style w:type="paragraph" w:styleId="Revision">
    <w:name w:val="Revision"/>
    <w:hidden/>
    <w:uiPriority w:val="99"/>
    <w:semiHidden/>
    <w:rsid w:val="00877BFC"/>
    <w:pPr>
      <w:spacing w:after="0" w:line="240" w:lineRule="auto"/>
    </w:pPr>
    <w:rPr>
      <w:rFonts w:cs="Times New Roman"/>
    </w:rPr>
  </w:style>
  <w:style w:type="paragraph" w:styleId="BalloonText">
    <w:name w:val="Balloon Text"/>
    <w:basedOn w:val="Normal"/>
    <w:link w:val="BalloonTextChar"/>
    <w:uiPriority w:val="99"/>
    <w:semiHidden/>
    <w:unhideWhenUsed/>
    <w:rsid w:val="00326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A9"/>
    <w:rPr>
      <w:rFonts w:ascii="Segoe UI" w:hAnsi="Segoe UI" w:cs="Segoe UI"/>
      <w:sz w:val="18"/>
      <w:szCs w:val="18"/>
    </w:rPr>
  </w:style>
  <w:style w:type="character" w:styleId="PlaceholderText">
    <w:name w:val="Placeholder Text"/>
    <w:basedOn w:val="DefaultParagraphFont"/>
    <w:uiPriority w:val="99"/>
    <w:semiHidden/>
    <w:rsid w:val="000510A9"/>
    <w:rPr>
      <w:color w:val="666666"/>
    </w:rPr>
  </w:style>
  <w:style w:type="character" w:customStyle="1" w:styleId="apple-converted-space">
    <w:name w:val="apple-converted-space"/>
    <w:basedOn w:val="DefaultParagraphFont"/>
    <w:rsid w:val="0063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8D20-ED9C-4EA9-9CB5-BA5DBE79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8672</Words>
  <Characters>49431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2024-05-20T23:08:15Z</dcterms:created>
  <dcterms:modified xsi:type="dcterms:W3CDTF">2024-05-20T23:08:15Z</dcterms:modified>
</cp:coreProperties>
</file>