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C911" w14:textId="49155B4E" w:rsidR="005D17D2" w:rsidRDefault="005D17D2" w:rsidP="005D17D2">
      <w:pPr>
        <w:spacing w:line="240" w:lineRule="auto"/>
        <w:rPr>
          <w:sz w:val="20"/>
        </w:rPr>
      </w:pPr>
      <w:r>
        <w:rPr>
          <w:sz w:val="20"/>
        </w:rPr>
        <w:t xml:space="preserve">Filed </w:t>
      </w:r>
      <w:proofErr w:type="gramStart"/>
      <w:r w:rsidR="0017209B">
        <w:rPr>
          <w:sz w:val="20"/>
        </w:rPr>
        <w:t>5/22/24</w:t>
      </w:r>
      <w:proofErr w:type="gramEnd"/>
    </w:p>
    <w:p w14:paraId="5270DD2C" w14:textId="33DF921C" w:rsidR="005D17D2" w:rsidRPr="005D17D2" w:rsidRDefault="005D17D2" w:rsidP="005D17D2">
      <w:pPr>
        <w:spacing w:line="240" w:lineRule="auto"/>
        <w:jc w:val="center"/>
      </w:pPr>
      <w:r>
        <w:rPr>
          <w:b/>
        </w:rPr>
        <w:t>CERTIFIED FOR PARTIAL PUBLICATION</w:t>
      </w:r>
      <w:r>
        <w:rPr>
          <w:rStyle w:val="FootnoteReference"/>
          <w:b/>
        </w:rPr>
        <w:footnoteReference w:customMarkFollows="1" w:id="1"/>
        <w:t>*</w:t>
      </w:r>
    </w:p>
    <w:p w14:paraId="48CB3428" w14:textId="77777777" w:rsidR="005D17D2" w:rsidRPr="005D17D2" w:rsidRDefault="005D17D2" w:rsidP="005D17D2">
      <w:pPr>
        <w:spacing w:line="240" w:lineRule="auto"/>
        <w:rPr>
          <w:sz w:val="20"/>
        </w:rPr>
      </w:pPr>
    </w:p>
    <w:p w14:paraId="103F9B82" w14:textId="7E2C36A8" w:rsidR="008C69C3" w:rsidRDefault="00E66479" w:rsidP="00E66479">
      <w:pPr>
        <w:spacing w:line="240" w:lineRule="auto"/>
        <w:jc w:val="center"/>
      </w:pPr>
      <w:r>
        <w:t>IN THE COURT OF APPEAL OF THE STATE OF CALIFORNIA</w:t>
      </w:r>
    </w:p>
    <w:p w14:paraId="43B73931" w14:textId="77777777" w:rsidR="00E66479" w:rsidRDefault="00E66479" w:rsidP="00E66479">
      <w:pPr>
        <w:spacing w:line="240" w:lineRule="auto"/>
        <w:jc w:val="center"/>
      </w:pPr>
    </w:p>
    <w:p w14:paraId="3AA58E9C" w14:textId="7C5CD946" w:rsidR="00E66479" w:rsidRDefault="00E66479" w:rsidP="00E66479">
      <w:pPr>
        <w:spacing w:line="240" w:lineRule="auto"/>
        <w:jc w:val="center"/>
      </w:pPr>
      <w:r>
        <w:t>FIRST APPELLATE DISTRICT</w:t>
      </w:r>
    </w:p>
    <w:p w14:paraId="07906004" w14:textId="77777777" w:rsidR="00E66479" w:rsidRDefault="00E66479" w:rsidP="00E66479">
      <w:pPr>
        <w:spacing w:line="240" w:lineRule="auto"/>
        <w:jc w:val="center"/>
      </w:pPr>
    </w:p>
    <w:p w14:paraId="0FA816B7" w14:textId="3E7C168A" w:rsidR="00E66479" w:rsidRDefault="00E66479" w:rsidP="00E66479">
      <w:pPr>
        <w:spacing w:line="240" w:lineRule="auto"/>
        <w:jc w:val="center"/>
      </w:pPr>
      <w:r>
        <w:t>DIVISION ONE</w:t>
      </w:r>
    </w:p>
    <w:p w14:paraId="04F60011" w14:textId="77777777" w:rsidR="00E66479" w:rsidRDefault="00E66479" w:rsidP="00E66479">
      <w:pPr>
        <w:spacing w:line="240" w:lineRule="auto"/>
        <w:jc w:val="center"/>
      </w:pPr>
    </w:p>
    <w:p w14:paraId="34A30D30" w14:textId="77777777" w:rsidR="00E66479" w:rsidRDefault="00E66479" w:rsidP="00E66479">
      <w:pPr>
        <w:spacing w:line="240" w:lineRule="auto"/>
        <w:jc w:val="center"/>
      </w:pPr>
    </w:p>
    <w:tbl>
      <w:tblPr>
        <w:tblW w:w="0" w:type="auto"/>
        <w:tblLayout w:type="fixed"/>
        <w:tblLook w:val="0000" w:firstRow="0" w:lastRow="0" w:firstColumn="0" w:lastColumn="0" w:noHBand="0" w:noVBand="0"/>
      </w:tblPr>
      <w:tblGrid>
        <w:gridCol w:w="4680"/>
        <w:gridCol w:w="4680"/>
      </w:tblGrid>
      <w:tr w:rsidR="00E66479" w14:paraId="6E3E56DE" w14:textId="77777777" w:rsidTr="00E66479">
        <w:tc>
          <w:tcPr>
            <w:tcW w:w="4680" w:type="dxa"/>
            <w:tcBorders>
              <w:bottom w:val="single" w:sz="4" w:space="0" w:color="auto"/>
              <w:right w:val="single" w:sz="4" w:space="0" w:color="auto"/>
            </w:tcBorders>
            <w:shd w:val="clear" w:color="auto" w:fill="auto"/>
          </w:tcPr>
          <w:p w14:paraId="569D855D" w14:textId="77777777" w:rsidR="00E66479" w:rsidRDefault="00E66479" w:rsidP="00E66479">
            <w:pPr>
              <w:spacing w:after="120" w:line="240" w:lineRule="auto"/>
            </w:pPr>
            <w:r>
              <w:t>THE PEOPLE,</w:t>
            </w:r>
          </w:p>
          <w:p w14:paraId="4D20AE18" w14:textId="77777777" w:rsidR="00E66479" w:rsidRDefault="00E66479" w:rsidP="00E66479">
            <w:pPr>
              <w:spacing w:after="120" w:line="240" w:lineRule="auto"/>
            </w:pPr>
            <w:r>
              <w:tab/>
              <w:t>Plaintiff and Respondent,</w:t>
            </w:r>
          </w:p>
          <w:p w14:paraId="7D7C451C" w14:textId="77777777" w:rsidR="00E66479" w:rsidRDefault="00E66479" w:rsidP="00E66479">
            <w:pPr>
              <w:spacing w:after="120" w:line="240" w:lineRule="auto"/>
            </w:pPr>
            <w:r>
              <w:t>v.</w:t>
            </w:r>
          </w:p>
          <w:p w14:paraId="3C84E5A8" w14:textId="77777777" w:rsidR="00E66479" w:rsidRDefault="00E66479" w:rsidP="00E66479">
            <w:pPr>
              <w:spacing w:after="120" w:line="240" w:lineRule="auto"/>
            </w:pPr>
            <w:r>
              <w:t>OMAR HERRERA,</w:t>
            </w:r>
          </w:p>
          <w:p w14:paraId="2F562E2C" w14:textId="516B29EF" w:rsidR="00E66479" w:rsidRDefault="00E66479" w:rsidP="00E66479">
            <w:pPr>
              <w:spacing w:after="120" w:line="240" w:lineRule="auto"/>
            </w:pPr>
            <w:r>
              <w:tab/>
              <w:t>Defendant and Appellant.</w:t>
            </w:r>
          </w:p>
        </w:tc>
        <w:tc>
          <w:tcPr>
            <w:tcW w:w="4680" w:type="dxa"/>
            <w:tcBorders>
              <w:left w:val="single" w:sz="4" w:space="0" w:color="auto"/>
            </w:tcBorders>
            <w:shd w:val="clear" w:color="auto" w:fill="auto"/>
          </w:tcPr>
          <w:p w14:paraId="567B1E4D" w14:textId="77777777" w:rsidR="00E66479" w:rsidRDefault="00E66479" w:rsidP="00E66479">
            <w:pPr>
              <w:spacing w:line="240" w:lineRule="auto"/>
            </w:pPr>
          </w:p>
          <w:p w14:paraId="3EDB2A20" w14:textId="77777777" w:rsidR="00E66479" w:rsidRDefault="00E66479" w:rsidP="00E66479">
            <w:pPr>
              <w:spacing w:line="240" w:lineRule="auto"/>
            </w:pPr>
          </w:p>
          <w:p w14:paraId="3B15F014" w14:textId="77777777" w:rsidR="00E66479" w:rsidRDefault="00E66479" w:rsidP="00E66479">
            <w:pPr>
              <w:spacing w:line="240" w:lineRule="auto"/>
            </w:pPr>
            <w:r>
              <w:t xml:space="preserve">      A165248</w:t>
            </w:r>
          </w:p>
          <w:p w14:paraId="6E0DDE06" w14:textId="77777777" w:rsidR="00E66479" w:rsidRDefault="00E66479" w:rsidP="00E66479">
            <w:pPr>
              <w:spacing w:line="240" w:lineRule="auto"/>
            </w:pPr>
          </w:p>
          <w:p w14:paraId="3D3A6925" w14:textId="35F408D7" w:rsidR="00E66479" w:rsidRDefault="00E66479" w:rsidP="00E66479">
            <w:pPr>
              <w:spacing w:line="240" w:lineRule="auto"/>
            </w:pPr>
            <w:r>
              <w:t xml:space="preserve">      (San Francisco </w:t>
            </w:r>
            <w:r w:rsidR="00B614ED">
              <w:t xml:space="preserve">City and </w:t>
            </w:r>
            <w:r>
              <w:t>County</w:t>
            </w:r>
          </w:p>
          <w:p w14:paraId="7DFD60FF" w14:textId="77777777" w:rsidR="00E66479" w:rsidRDefault="00E66479" w:rsidP="00E66479">
            <w:pPr>
              <w:spacing w:line="240" w:lineRule="auto"/>
            </w:pPr>
            <w:r>
              <w:t xml:space="preserve">      Super. Ct. No. CT20004050)</w:t>
            </w:r>
          </w:p>
          <w:p w14:paraId="183617DE" w14:textId="04E08BEF" w:rsidR="00E66479" w:rsidRDefault="00E66479" w:rsidP="00E66479">
            <w:pPr>
              <w:spacing w:line="240" w:lineRule="auto"/>
            </w:pPr>
          </w:p>
        </w:tc>
      </w:tr>
    </w:tbl>
    <w:p w14:paraId="518BB5E1" w14:textId="77777777" w:rsidR="00E66479" w:rsidRDefault="00E66479" w:rsidP="00E66479">
      <w:pPr>
        <w:spacing w:line="360" w:lineRule="auto"/>
      </w:pPr>
    </w:p>
    <w:p w14:paraId="5520D1E2" w14:textId="57FBCF78" w:rsidR="00CB180E" w:rsidRDefault="00E66479" w:rsidP="002A070A">
      <w:pPr>
        <w:spacing w:line="360" w:lineRule="auto"/>
      </w:pPr>
      <w:r>
        <w:tab/>
      </w:r>
      <w:r w:rsidR="007242D2">
        <w:t xml:space="preserve">Defendant Omar Herrera </w:t>
      </w:r>
      <w:r w:rsidR="001D03C7">
        <w:t>was charged with murder</w:t>
      </w:r>
      <w:r w:rsidR="00B21476">
        <w:t xml:space="preserve">, </w:t>
      </w:r>
      <w:r w:rsidR="001D03C7">
        <w:t>attempted robbery</w:t>
      </w:r>
      <w:r w:rsidR="00B21476">
        <w:t>, and other crimes</w:t>
      </w:r>
      <w:r w:rsidR="001D03C7">
        <w:t xml:space="preserve"> after he </w:t>
      </w:r>
      <w:r w:rsidR="00BF4EFF">
        <w:t xml:space="preserve">shot and killed Manuel Sac </w:t>
      </w:r>
      <w:proofErr w:type="spellStart"/>
      <w:r w:rsidR="00BF4EFF">
        <w:t>Aj</w:t>
      </w:r>
      <w:r w:rsidR="00C87687">
        <w:t>tzalam</w:t>
      </w:r>
      <w:proofErr w:type="spellEnd"/>
      <w:r w:rsidR="00EF4385">
        <w:t xml:space="preserve">.  </w:t>
      </w:r>
      <w:r w:rsidR="00D4078E">
        <w:t xml:space="preserve">Surveillance </w:t>
      </w:r>
      <w:r w:rsidR="000147E8">
        <w:t>footage</w:t>
      </w:r>
      <w:r w:rsidR="00D4078E">
        <w:t xml:space="preserve"> showed </w:t>
      </w:r>
      <w:r w:rsidR="00A5409C">
        <w:t xml:space="preserve">that seconds before the shooting, </w:t>
      </w:r>
      <w:r w:rsidR="00503D93">
        <w:t>19</w:t>
      </w:r>
      <w:r w:rsidR="007F158C">
        <w:t xml:space="preserve">-year-old </w:t>
      </w:r>
      <w:r w:rsidR="00EF4385">
        <w:t>He</w:t>
      </w:r>
      <w:r w:rsidR="005E4040">
        <w:t>rrera</w:t>
      </w:r>
      <w:r w:rsidR="007F158C">
        <w:t xml:space="preserve"> </w:t>
      </w:r>
      <w:r w:rsidR="005E4040">
        <w:t xml:space="preserve">and </w:t>
      </w:r>
      <w:r w:rsidR="00023E99">
        <w:t>a juvenile</w:t>
      </w:r>
      <w:r w:rsidR="002A6F0D">
        <w:t>, A.M.,</w:t>
      </w:r>
      <w:r w:rsidR="00023E99">
        <w:t xml:space="preserve"> approach</w:t>
      </w:r>
      <w:r w:rsidR="00A5409C">
        <w:t>ed</w:t>
      </w:r>
      <w:r w:rsidR="00023E99">
        <w:t xml:space="preserve"> </w:t>
      </w:r>
      <w:r w:rsidR="001D03C7">
        <w:t xml:space="preserve">Sac </w:t>
      </w:r>
      <w:proofErr w:type="spellStart"/>
      <w:r w:rsidR="001D03C7">
        <w:t>Ajtzalam</w:t>
      </w:r>
      <w:proofErr w:type="spellEnd"/>
      <w:r w:rsidR="00E41E5C">
        <w:t xml:space="preserve"> and a sex worker </w:t>
      </w:r>
      <w:r w:rsidR="00B37DB8">
        <w:t xml:space="preserve">with </w:t>
      </w:r>
      <w:r w:rsidR="00A5409C">
        <w:t xml:space="preserve">whom </w:t>
      </w:r>
      <w:r w:rsidR="00E41E5C">
        <w:t>he was talkin</w:t>
      </w:r>
      <w:r w:rsidR="00A5409C">
        <w:t>g</w:t>
      </w:r>
      <w:r w:rsidR="00434830">
        <w:t xml:space="preserve">.  </w:t>
      </w:r>
      <w:r w:rsidR="000C33C1">
        <w:t xml:space="preserve">Although Herrera was present when </w:t>
      </w:r>
      <w:r w:rsidR="00FA0048">
        <w:t>A.M.</w:t>
      </w:r>
      <w:r w:rsidR="002A6F0D">
        <w:t xml:space="preserve"> </w:t>
      </w:r>
      <w:r w:rsidR="000C33C1">
        <w:t>stole a</w:t>
      </w:r>
      <w:r w:rsidR="001F11E0">
        <w:t>n</w:t>
      </w:r>
      <w:r w:rsidR="000C33C1">
        <w:t xml:space="preserve"> iPhone</w:t>
      </w:r>
      <w:r w:rsidR="001F385B">
        <w:t xml:space="preserve"> from someone else</w:t>
      </w:r>
      <w:r w:rsidR="000C33C1">
        <w:t xml:space="preserve"> earlier that day</w:t>
      </w:r>
      <w:r w:rsidR="00E809FF">
        <w:t xml:space="preserve">, he </w:t>
      </w:r>
      <w:r w:rsidR="00FA0048">
        <w:t>testified that he</w:t>
      </w:r>
      <w:r w:rsidR="007305CE">
        <w:t xml:space="preserve"> did</w:t>
      </w:r>
      <w:r w:rsidR="001B2AA7">
        <w:t xml:space="preserve"> not know A.M. intended to rob Sac </w:t>
      </w:r>
      <w:proofErr w:type="spellStart"/>
      <w:r w:rsidR="001B2AA7">
        <w:t>Ajtz</w:t>
      </w:r>
      <w:r w:rsidR="00B6183B">
        <w:t>a</w:t>
      </w:r>
      <w:r w:rsidR="001B2AA7">
        <w:t>lam</w:t>
      </w:r>
      <w:proofErr w:type="spellEnd"/>
      <w:r w:rsidR="00564D2C">
        <w:t>, did not wish to</w:t>
      </w:r>
      <w:r w:rsidR="00156312">
        <w:t xml:space="preserve"> participate</w:t>
      </w:r>
      <w:r w:rsidR="00503D93">
        <w:t xml:space="preserve"> in any robber</w:t>
      </w:r>
      <w:r w:rsidR="00DA665F">
        <w:t>y</w:t>
      </w:r>
      <w:r w:rsidR="00156312">
        <w:t>,</w:t>
      </w:r>
      <w:r w:rsidR="00BE30D5">
        <w:t xml:space="preserve"> and </w:t>
      </w:r>
      <w:r w:rsidR="00A254B3">
        <w:t xml:space="preserve">fired </w:t>
      </w:r>
      <w:r w:rsidR="00E240FF">
        <w:t xml:space="preserve">at the ground only </w:t>
      </w:r>
      <w:r w:rsidR="00AE3418">
        <w:t xml:space="preserve">after </w:t>
      </w:r>
      <w:r w:rsidR="00B276BF">
        <w:t xml:space="preserve">Sac </w:t>
      </w:r>
      <w:proofErr w:type="spellStart"/>
      <w:r w:rsidR="00B276BF">
        <w:t>Ajtzalam</w:t>
      </w:r>
      <w:proofErr w:type="spellEnd"/>
      <w:r w:rsidR="00B276BF">
        <w:t xml:space="preserve"> </w:t>
      </w:r>
      <w:r w:rsidR="00AE3418">
        <w:t>made threatening movement</w:t>
      </w:r>
      <w:r w:rsidR="00E240FF">
        <w:t>s</w:t>
      </w:r>
      <w:r w:rsidR="00564D2C">
        <w:t>.</w:t>
      </w:r>
      <w:r w:rsidR="00156312">
        <w:t xml:space="preserve">  The jury rejected Herrera’s version of events and convicted him of </w:t>
      </w:r>
      <w:proofErr w:type="gramStart"/>
      <w:r w:rsidR="00B21476">
        <w:t>first degree</w:t>
      </w:r>
      <w:proofErr w:type="gramEnd"/>
      <w:r w:rsidR="00B21476">
        <w:t xml:space="preserve"> murder</w:t>
      </w:r>
      <w:r w:rsidR="0030259D">
        <w:t xml:space="preserve"> </w:t>
      </w:r>
      <w:r w:rsidR="00B21476">
        <w:t>and the other charges.  The trial court reduced the</w:t>
      </w:r>
      <w:r w:rsidR="00CF23EF">
        <w:t xml:space="preserve"> </w:t>
      </w:r>
      <w:r w:rsidR="004047D0">
        <w:t xml:space="preserve">murder </w:t>
      </w:r>
      <w:r w:rsidR="00CF23EF">
        <w:t xml:space="preserve">conviction to second degree murder and sentenced </w:t>
      </w:r>
      <w:r w:rsidR="00B276BF">
        <w:t>him</w:t>
      </w:r>
      <w:r w:rsidR="00CF23EF">
        <w:t xml:space="preserve"> to 15</w:t>
      </w:r>
      <w:r w:rsidR="00C60790">
        <w:t> </w:t>
      </w:r>
      <w:r w:rsidR="00CF23EF">
        <w:t>years to life in prison.</w:t>
      </w:r>
      <w:r w:rsidR="00E96DE3">
        <w:t xml:space="preserve"> </w:t>
      </w:r>
    </w:p>
    <w:p w14:paraId="3C62C68C" w14:textId="26A82676" w:rsidR="005F2174" w:rsidRDefault="00CB180E" w:rsidP="002A070A">
      <w:pPr>
        <w:spacing w:line="360" w:lineRule="auto"/>
      </w:pPr>
      <w:r>
        <w:lastRenderedPageBreak/>
        <w:tab/>
        <w:t xml:space="preserve">On appeal, Herrera claims that (1) insufficient evidence supports </w:t>
      </w:r>
      <w:r w:rsidR="002C4C98">
        <w:t>the</w:t>
      </w:r>
      <w:r w:rsidR="00B21476">
        <w:t xml:space="preserve"> </w:t>
      </w:r>
      <w:r w:rsidR="004047D0">
        <w:t>murder and attempted-robbery convictions</w:t>
      </w:r>
      <w:r w:rsidR="00B216DF">
        <w:t xml:space="preserve">; (2) </w:t>
      </w:r>
      <w:r w:rsidR="00941228">
        <w:t xml:space="preserve">evidence of </w:t>
      </w:r>
      <w:r w:rsidR="000102E7">
        <w:t>the iPhone</w:t>
      </w:r>
      <w:r w:rsidR="00941228">
        <w:t xml:space="preserve"> theft </w:t>
      </w:r>
      <w:r w:rsidR="00B566EE">
        <w:t>was inadmissible</w:t>
      </w:r>
      <w:r w:rsidR="00941228">
        <w:t>; (3)</w:t>
      </w:r>
      <w:r w:rsidR="000102E7">
        <w:t> </w:t>
      </w:r>
      <w:r w:rsidR="00B37DB8">
        <w:t xml:space="preserve">a statement by </w:t>
      </w:r>
      <w:r w:rsidR="00B566EE">
        <w:t xml:space="preserve">the </w:t>
      </w:r>
      <w:r w:rsidR="00B37DB8">
        <w:t xml:space="preserve">victim of the </w:t>
      </w:r>
      <w:r w:rsidR="00D80800">
        <w:t xml:space="preserve">iPhone </w:t>
      </w:r>
      <w:r w:rsidR="00B566EE">
        <w:t>theft should have been excluded under the confrontation clause</w:t>
      </w:r>
      <w:r w:rsidR="00DF5B61">
        <w:t xml:space="preserve">; (4) </w:t>
      </w:r>
      <w:r w:rsidR="000D08D5">
        <w:t xml:space="preserve">evidence from </w:t>
      </w:r>
      <w:r w:rsidR="00B37DB8">
        <w:t xml:space="preserve">his </w:t>
      </w:r>
      <w:r w:rsidR="000D08D5">
        <w:t>cell phone should not have been admitted after initially being suppressed; (5) the trial court’s response</w:t>
      </w:r>
      <w:r w:rsidR="00C80600">
        <w:t xml:space="preserve">s to two juror questions were inadequate; (6) the jury committed misconduct by </w:t>
      </w:r>
      <w:r w:rsidR="00C413EE">
        <w:t>manipulating the surveillance videos</w:t>
      </w:r>
      <w:r w:rsidR="00B566EE">
        <w:t xml:space="preserve"> </w:t>
      </w:r>
      <w:r w:rsidR="00C413EE">
        <w:t>during deliberations; (7) </w:t>
      </w:r>
      <w:r w:rsidR="0029753C">
        <w:t>jurors committed misconduct by</w:t>
      </w:r>
      <w:r w:rsidR="00C413EE">
        <w:t xml:space="preserve"> </w:t>
      </w:r>
      <w:r w:rsidR="0029753C">
        <w:t>considering punishment and</w:t>
      </w:r>
      <w:r w:rsidR="00C849A2">
        <w:t xml:space="preserve"> </w:t>
      </w:r>
      <w:r w:rsidR="008947BA">
        <w:t xml:space="preserve">vote-swapping; (8) cumulative error </w:t>
      </w:r>
      <w:r w:rsidR="00F37171">
        <w:t>requires reversal of the murder and attempted-robbery convictions</w:t>
      </w:r>
      <w:r w:rsidR="008947BA">
        <w:t xml:space="preserve">; and (9) his conviction for unlawfully possessing a firearm </w:t>
      </w:r>
      <w:r w:rsidR="00A33BB9">
        <w:t>violates the Second Amendment</w:t>
      </w:r>
      <w:r w:rsidR="008947BA">
        <w:t>.</w:t>
      </w:r>
      <w:r w:rsidR="00F37171">
        <w:t xml:space="preserve"> </w:t>
      </w:r>
      <w:r w:rsidR="008947BA">
        <w:t xml:space="preserve"> </w:t>
      </w:r>
      <w:r w:rsidR="00D12E45">
        <w:t>In the published portion of this opinion, we reject Herrera’s two claims of jury misconduct.  His</w:t>
      </w:r>
      <w:r w:rsidR="00A6784E">
        <w:t xml:space="preserve"> </w:t>
      </w:r>
      <w:r w:rsidR="00D12E45">
        <w:t xml:space="preserve">remaining </w:t>
      </w:r>
      <w:r w:rsidR="00E366CB">
        <w:t xml:space="preserve">claims </w:t>
      </w:r>
      <w:r w:rsidR="00D12E45">
        <w:t>also l</w:t>
      </w:r>
      <w:r w:rsidR="00A6784E">
        <w:t>ack merit</w:t>
      </w:r>
      <w:r w:rsidR="00D12E45">
        <w:t>,</w:t>
      </w:r>
      <w:r w:rsidR="00E366CB">
        <w:t xml:space="preserve"> and</w:t>
      </w:r>
      <w:r w:rsidR="00D12E45">
        <w:t xml:space="preserve"> we</w:t>
      </w:r>
      <w:r w:rsidR="00E366CB">
        <w:t xml:space="preserve"> </w:t>
      </w:r>
      <w:r w:rsidR="00D12E45">
        <w:t xml:space="preserve">therefore </w:t>
      </w:r>
      <w:r w:rsidR="00E366CB">
        <w:t>affirm.</w:t>
      </w:r>
    </w:p>
    <w:p w14:paraId="042594B5" w14:textId="77777777" w:rsidR="002A070A" w:rsidRPr="008E4889" w:rsidRDefault="002A070A" w:rsidP="002A070A">
      <w:pPr>
        <w:spacing w:line="240" w:lineRule="auto"/>
        <w:jc w:val="center"/>
      </w:pPr>
      <w:r w:rsidRPr="008E4889">
        <w:t>I.</w:t>
      </w:r>
      <w:r w:rsidRPr="008E4889">
        <w:br/>
      </w:r>
      <w:r w:rsidRPr="008E4889">
        <w:rPr>
          <w:smallCaps/>
        </w:rPr>
        <w:t>Factual and Procedural</w:t>
      </w:r>
      <w:r w:rsidRPr="008E4889">
        <w:rPr>
          <w:smallCaps/>
        </w:rPr>
        <w:br/>
        <w:t>Background</w:t>
      </w:r>
    </w:p>
    <w:p w14:paraId="723A9EB4" w14:textId="2ED145DC" w:rsidR="0021606C" w:rsidRPr="0021606C" w:rsidRDefault="0021606C" w:rsidP="002A070A">
      <w:pPr>
        <w:spacing w:before="180" w:line="360" w:lineRule="auto"/>
        <w:rPr>
          <w:i/>
          <w:iCs/>
        </w:rPr>
      </w:pPr>
      <w:r>
        <w:tab/>
      </w:r>
      <w:r>
        <w:rPr>
          <w:i/>
          <w:iCs/>
        </w:rPr>
        <w:t>A.</w:t>
      </w:r>
      <w:r>
        <w:rPr>
          <w:i/>
          <w:iCs/>
        </w:rPr>
        <w:tab/>
        <w:t>The Shooting</w:t>
      </w:r>
    </w:p>
    <w:p w14:paraId="4A00E072" w14:textId="5C0085D6" w:rsidR="00A069B4" w:rsidRDefault="00A623EF" w:rsidP="0021606C">
      <w:pPr>
        <w:spacing w:line="360" w:lineRule="auto"/>
      </w:pPr>
      <w:r>
        <w:tab/>
      </w:r>
      <w:r w:rsidR="00D84D64">
        <w:t xml:space="preserve">The shooting occurred </w:t>
      </w:r>
      <w:r w:rsidR="003A469A">
        <w:t>the night of</w:t>
      </w:r>
      <w:r w:rsidR="00D84D64">
        <w:t xml:space="preserve"> March</w:t>
      </w:r>
      <w:r w:rsidR="00331EC6">
        <w:t> </w:t>
      </w:r>
      <w:r w:rsidR="00D84D64">
        <w:t>18, 2020</w:t>
      </w:r>
      <w:r w:rsidR="00E048F5">
        <w:t xml:space="preserve">, </w:t>
      </w:r>
      <w:r w:rsidR="00701403">
        <w:t xml:space="preserve">on </w:t>
      </w:r>
      <w:r w:rsidR="008219F2">
        <w:t xml:space="preserve">21st Street </w:t>
      </w:r>
      <w:r w:rsidR="000D5815">
        <w:t xml:space="preserve">in </w:t>
      </w:r>
      <w:r w:rsidR="00D032C0">
        <w:t>San Francisco’s Mission District.</w:t>
      </w:r>
      <w:r w:rsidR="005B3E4A">
        <w:t xml:space="preserve">  </w:t>
      </w:r>
      <w:r w:rsidR="003C0F81">
        <w:t xml:space="preserve">The </w:t>
      </w:r>
      <w:r w:rsidR="00E71BA1">
        <w:t xml:space="preserve">relevant block of 21st, which runs east to west, is intersected </w:t>
      </w:r>
      <w:r w:rsidR="00010BF3">
        <w:t xml:space="preserve">on the east by Shotwell Street and </w:t>
      </w:r>
      <w:r w:rsidR="00E71BA1">
        <w:t xml:space="preserve">on the west by South </w:t>
      </w:r>
      <w:proofErr w:type="gramStart"/>
      <w:r w:rsidR="00E71BA1">
        <w:t>Van</w:t>
      </w:r>
      <w:proofErr w:type="gramEnd"/>
      <w:r w:rsidR="00E71BA1">
        <w:t xml:space="preserve"> Ness </w:t>
      </w:r>
      <w:r w:rsidR="00701403">
        <w:t>Avenue.</w:t>
      </w:r>
      <w:r w:rsidR="00BC5F45">
        <w:t xml:space="preserve"> </w:t>
      </w:r>
    </w:p>
    <w:p w14:paraId="2D15DC4D" w14:textId="499A443D" w:rsidR="0021606C" w:rsidRDefault="0021606C" w:rsidP="0021606C">
      <w:pPr>
        <w:spacing w:line="360" w:lineRule="auto"/>
      </w:pPr>
      <w:r>
        <w:tab/>
      </w:r>
      <w:r>
        <w:tab/>
        <w:t>1.</w:t>
      </w:r>
      <w:r>
        <w:tab/>
      </w:r>
      <w:r w:rsidR="009A42B0">
        <w:t>Eyew</w:t>
      </w:r>
      <w:r w:rsidR="0081148F">
        <w:t>itness testimony</w:t>
      </w:r>
    </w:p>
    <w:p w14:paraId="30C69595" w14:textId="766F4E4C" w:rsidR="002A070A" w:rsidRDefault="00A069B4" w:rsidP="00A069B4">
      <w:pPr>
        <w:spacing w:line="360" w:lineRule="auto"/>
      </w:pPr>
      <w:r>
        <w:tab/>
        <w:t xml:space="preserve">An Uber driver testified that </w:t>
      </w:r>
      <w:r w:rsidR="00BD4BE7">
        <w:t>around</w:t>
      </w:r>
      <w:r w:rsidR="00010BF3">
        <w:t xml:space="preserve"> 10:25 p.m.</w:t>
      </w:r>
      <w:r w:rsidR="003972EB">
        <w:t xml:space="preserve"> that night,</w:t>
      </w:r>
      <w:r w:rsidR="00860D5F">
        <w:t xml:space="preserve"> he was driving east on 21st </w:t>
      </w:r>
      <w:r w:rsidR="00FD2848">
        <w:t>toward Shotwell.</w:t>
      </w:r>
      <w:r w:rsidR="003972EB">
        <w:t xml:space="preserve"> </w:t>
      </w:r>
      <w:r w:rsidR="00FD2848">
        <w:t xml:space="preserve"> </w:t>
      </w:r>
      <w:r w:rsidR="008B5FD0">
        <w:t xml:space="preserve">He turned left onto Shotwell, but </w:t>
      </w:r>
      <w:r w:rsidR="009D5947">
        <w:t>a Chevrolet sedan</w:t>
      </w:r>
      <w:r w:rsidR="008231C8">
        <w:t xml:space="preserve"> </w:t>
      </w:r>
      <w:r w:rsidR="006F26A6">
        <w:t>was stopped in the lane</w:t>
      </w:r>
      <w:r w:rsidR="00A97D81">
        <w:t xml:space="preserve">, blocking him from </w:t>
      </w:r>
      <w:r w:rsidR="000629BC">
        <w:t xml:space="preserve">clearing the crosswalk and continuing </w:t>
      </w:r>
      <w:r w:rsidR="00A97D81">
        <w:t xml:space="preserve">down that street. </w:t>
      </w:r>
      <w:r w:rsidR="00400085">
        <w:t xml:space="preserve"> </w:t>
      </w:r>
      <w:r w:rsidR="000107D7">
        <w:t xml:space="preserve">To his left, </w:t>
      </w:r>
      <w:r w:rsidR="00EE28A1">
        <w:t xml:space="preserve">at </w:t>
      </w:r>
      <w:r w:rsidR="000107D7">
        <w:t xml:space="preserve">the </w:t>
      </w:r>
      <w:r w:rsidR="00480FD1">
        <w:t xml:space="preserve">northwestern </w:t>
      </w:r>
      <w:r w:rsidR="000107D7">
        <w:t>corner of 21st and Shotwell</w:t>
      </w:r>
      <w:r w:rsidR="00480FD1">
        <w:t>,</w:t>
      </w:r>
      <w:r w:rsidR="000107D7">
        <w:t xml:space="preserve"> h</w:t>
      </w:r>
      <w:r w:rsidR="00400085">
        <w:t xml:space="preserve">e noticed </w:t>
      </w:r>
      <w:r w:rsidR="000107D7">
        <w:t xml:space="preserve">three young men </w:t>
      </w:r>
      <w:r w:rsidR="007855F8">
        <w:t xml:space="preserve">arguing.  </w:t>
      </w:r>
      <w:r w:rsidR="00F66990">
        <w:t>He</w:t>
      </w:r>
      <w:r w:rsidR="00793D48">
        <w:t xml:space="preserve"> could not hear what they were saying, </w:t>
      </w:r>
      <w:r w:rsidR="00F66990">
        <w:t xml:space="preserve">but </w:t>
      </w:r>
      <w:r w:rsidR="00793D48">
        <w:t xml:space="preserve">their voices were raised. </w:t>
      </w:r>
    </w:p>
    <w:p w14:paraId="2610ED8A" w14:textId="15ABC4B7" w:rsidR="00793D48" w:rsidRDefault="00793D48" w:rsidP="00A069B4">
      <w:pPr>
        <w:spacing w:line="360" w:lineRule="auto"/>
      </w:pPr>
      <w:r>
        <w:lastRenderedPageBreak/>
        <w:tab/>
        <w:t>The driver testified that “suddenly,” two of the</w:t>
      </w:r>
      <w:r w:rsidR="00EF7908">
        <w:t xml:space="preserve"> men “started throwing punches” at the third</w:t>
      </w:r>
      <w:r w:rsidR="00CA5519">
        <w:t>, and both made contact</w:t>
      </w:r>
      <w:r w:rsidR="00EF7908">
        <w:t>.</w:t>
      </w:r>
      <w:r w:rsidR="003439B1">
        <w:t xml:space="preserve"> </w:t>
      </w:r>
      <w:r w:rsidR="00A407AA">
        <w:t xml:space="preserve"> The third man </w:t>
      </w:r>
      <w:r w:rsidR="007331C1">
        <w:t xml:space="preserve">“tried [to] punch back” but </w:t>
      </w:r>
      <w:r w:rsidR="00C63E47">
        <w:t>did not appear to</w:t>
      </w:r>
      <w:r w:rsidR="00CA5519">
        <w:t xml:space="preserve"> land any punches. </w:t>
      </w:r>
      <w:r w:rsidR="007331C1">
        <w:t xml:space="preserve"> </w:t>
      </w:r>
      <w:r w:rsidR="00CA5519">
        <w:t xml:space="preserve">According to the driver, </w:t>
      </w:r>
      <w:r w:rsidR="00C566BC">
        <w:t>“[o]</w:t>
      </w:r>
      <w:proofErr w:type="spellStart"/>
      <w:r w:rsidR="00C566BC">
        <w:t>ne</w:t>
      </w:r>
      <w:proofErr w:type="spellEnd"/>
      <w:r w:rsidR="00C566BC">
        <w:t xml:space="preserve"> of the two guys pulled a gun” and shot </w:t>
      </w:r>
      <w:r w:rsidR="005D33C6">
        <w:t xml:space="preserve">once </w:t>
      </w:r>
      <w:r w:rsidR="00C566BC">
        <w:t xml:space="preserve">from his </w:t>
      </w:r>
      <w:r w:rsidR="0048579E">
        <w:t>right hip</w:t>
      </w:r>
      <w:r w:rsidR="00C566BC">
        <w:t xml:space="preserve"> at </w:t>
      </w:r>
      <w:r w:rsidR="008D02CD">
        <w:t>the third man.  The third man th</w:t>
      </w:r>
      <w:r w:rsidR="00C63E47">
        <w:t>en</w:t>
      </w:r>
      <w:r w:rsidR="00255728">
        <w:t xml:space="preserve"> began “limping” toward </w:t>
      </w:r>
      <w:r w:rsidR="00F15599">
        <w:t xml:space="preserve">the curb. </w:t>
      </w:r>
      <w:r w:rsidR="00C63E47">
        <w:t xml:space="preserve"> </w:t>
      </w:r>
      <w:r w:rsidR="00F15599">
        <w:t>The driver briefly turned his head</w:t>
      </w:r>
      <w:r w:rsidR="008E0BDA">
        <w:t xml:space="preserve"> and</w:t>
      </w:r>
      <w:r w:rsidR="00F15599">
        <w:t xml:space="preserve"> did not see where the </w:t>
      </w:r>
      <w:r w:rsidR="008E0BDA">
        <w:t>victim</w:t>
      </w:r>
      <w:r w:rsidR="00F15599">
        <w:t xml:space="preserve"> went, but </w:t>
      </w:r>
      <w:r w:rsidR="008E0BDA">
        <w:t xml:space="preserve">when he </w:t>
      </w:r>
      <w:r w:rsidR="0009377D">
        <w:t>turned</w:t>
      </w:r>
      <w:r w:rsidR="008E0BDA">
        <w:t xml:space="preserve"> back, he saw the other two men </w:t>
      </w:r>
      <w:r w:rsidR="004E5F5C">
        <w:t xml:space="preserve">running </w:t>
      </w:r>
      <w:r w:rsidR="00CB0823">
        <w:t>toward the Chevrolet</w:t>
      </w:r>
      <w:r w:rsidR="004E5F5C">
        <w:t xml:space="preserve">.  </w:t>
      </w:r>
      <w:r w:rsidR="0075487F">
        <w:t>One man, whom the driver later identified as A.M., got into the driver’s seat, and the other man, whom the driver later identified as Herrera, got into the passenger’s seat.</w:t>
      </w:r>
      <w:r w:rsidR="001379F4">
        <w:rPr>
          <w:rStyle w:val="FootnoteReference"/>
        </w:rPr>
        <w:footnoteReference w:id="2"/>
      </w:r>
      <w:r w:rsidR="00D05878">
        <w:t xml:space="preserve"> </w:t>
      </w:r>
      <w:r w:rsidR="001379F4">
        <w:t xml:space="preserve"> </w:t>
      </w:r>
      <w:r w:rsidR="008E3683">
        <w:t xml:space="preserve">The </w:t>
      </w:r>
      <w:r w:rsidR="00CB0823">
        <w:t>Chevrolet</w:t>
      </w:r>
      <w:r w:rsidR="008E3683">
        <w:t xml:space="preserve"> </w:t>
      </w:r>
      <w:r w:rsidR="00CD120E">
        <w:t xml:space="preserve">then </w:t>
      </w:r>
      <w:r w:rsidR="00AA526E">
        <w:t>drove</w:t>
      </w:r>
      <w:r w:rsidR="008E3683">
        <w:t xml:space="preserve"> away down </w:t>
      </w:r>
      <w:r w:rsidR="00732D89">
        <w:t xml:space="preserve">Shotwell. </w:t>
      </w:r>
    </w:p>
    <w:p w14:paraId="50F206F5" w14:textId="5C64A51E" w:rsidR="007B62C4" w:rsidRDefault="0081148F" w:rsidP="00A069B4">
      <w:pPr>
        <w:spacing w:line="360" w:lineRule="auto"/>
      </w:pPr>
      <w:r>
        <w:tab/>
      </w:r>
      <w:r w:rsidR="00C003E2">
        <w:t xml:space="preserve">The </w:t>
      </w:r>
      <w:r w:rsidR="00A3216F">
        <w:t>police did not locate</w:t>
      </w:r>
      <w:r w:rsidR="00D155B5">
        <w:t xml:space="preserve"> and interview</w:t>
      </w:r>
      <w:r w:rsidR="00A3216F">
        <w:t xml:space="preserve"> </w:t>
      </w:r>
      <w:r w:rsidR="00E41E5C">
        <w:t xml:space="preserve">S.S., </w:t>
      </w:r>
      <w:r w:rsidR="00A3216F">
        <w:t xml:space="preserve">the </w:t>
      </w:r>
      <w:r w:rsidR="008043E2">
        <w:t>sex worker</w:t>
      </w:r>
      <w:r w:rsidR="00C003E2">
        <w:t xml:space="preserve"> </w:t>
      </w:r>
      <w:r w:rsidR="00307029">
        <w:tab/>
        <w:t xml:space="preserve">with </w:t>
      </w:r>
      <w:r w:rsidR="00C003E2">
        <w:t xml:space="preserve">Sac </w:t>
      </w:r>
      <w:proofErr w:type="spellStart"/>
      <w:r w:rsidR="00C003E2">
        <w:t>Ajtzalam</w:t>
      </w:r>
      <w:proofErr w:type="spellEnd"/>
      <w:r w:rsidR="00C003E2">
        <w:t xml:space="preserve"> before the shooting</w:t>
      </w:r>
      <w:r w:rsidR="00E41E5C">
        <w:t>,</w:t>
      </w:r>
      <w:r w:rsidR="00A3216F">
        <w:t xml:space="preserve"> </w:t>
      </w:r>
      <w:r w:rsidR="00426CCD">
        <w:t xml:space="preserve">until </w:t>
      </w:r>
      <w:r w:rsidR="00D155B5">
        <w:t>the following fall</w:t>
      </w:r>
      <w:r w:rsidR="00426CCD">
        <w:t xml:space="preserve">.  At trial, </w:t>
      </w:r>
      <w:r w:rsidR="00E41E5C">
        <w:t>S.S.</w:t>
      </w:r>
      <w:r w:rsidR="00426CCD">
        <w:t xml:space="preserve"> testified that she </w:t>
      </w:r>
      <w:r w:rsidR="00E217C6">
        <w:t>was familiar with</w:t>
      </w:r>
      <w:r w:rsidR="003B0DF1">
        <w:t xml:space="preserve"> the area,</w:t>
      </w:r>
      <w:r w:rsidR="00307029">
        <w:t xml:space="preserve"> which was</w:t>
      </w:r>
      <w:r w:rsidR="00C55388">
        <w:t xml:space="preserve"> “known </w:t>
      </w:r>
      <w:r w:rsidR="00307029">
        <w:t>.</w:t>
      </w:r>
      <w:r w:rsidR="008772FE">
        <w:t> </w:t>
      </w:r>
      <w:r w:rsidR="00307029">
        <w:t>.</w:t>
      </w:r>
      <w:r w:rsidR="008772FE">
        <w:t> </w:t>
      </w:r>
      <w:r w:rsidR="00307029">
        <w:t xml:space="preserve">. for </w:t>
      </w:r>
      <w:r w:rsidR="00C55388">
        <w:t xml:space="preserve">sex workers.” </w:t>
      </w:r>
      <w:r w:rsidR="003B0DF1">
        <w:t xml:space="preserve"> </w:t>
      </w:r>
      <w:r w:rsidR="00AA526E">
        <w:t>Generally, r</w:t>
      </w:r>
      <w:r w:rsidR="00E217C6">
        <w:t xml:space="preserve">ates started at $100, and payment was in cash. </w:t>
      </w:r>
    </w:p>
    <w:p w14:paraId="00BDE210" w14:textId="03281F31" w:rsidR="008E3187" w:rsidRDefault="006C6B20" w:rsidP="00A069B4">
      <w:pPr>
        <w:spacing w:line="360" w:lineRule="auto"/>
      </w:pPr>
      <w:r>
        <w:tab/>
      </w:r>
      <w:r w:rsidR="00E41E5C">
        <w:t>S.S.</w:t>
      </w:r>
      <w:r>
        <w:t xml:space="preserve"> </w:t>
      </w:r>
      <w:r w:rsidR="000622FD">
        <w:t xml:space="preserve">was on </w:t>
      </w:r>
      <w:r w:rsidR="000E1220">
        <w:t xml:space="preserve">the north side of </w:t>
      </w:r>
      <w:r w:rsidR="000622FD">
        <w:t xml:space="preserve">21st between Shotwell and South </w:t>
      </w:r>
      <w:proofErr w:type="gramStart"/>
      <w:r w:rsidR="000622FD">
        <w:t>Van</w:t>
      </w:r>
      <w:proofErr w:type="gramEnd"/>
      <w:r w:rsidR="000622FD">
        <w:t xml:space="preserve"> Ness when </w:t>
      </w:r>
      <w:r w:rsidR="0082131B">
        <w:t xml:space="preserve">Sac </w:t>
      </w:r>
      <w:proofErr w:type="spellStart"/>
      <w:r w:rsidR="0082131B">
        <w:t>Ajtzalam</w:t>
      </w:r>
      <w:proofErr w:type="spellEnd"/>
      <w:r w:rsidR="001D5402">
        <w:t xml:space="preserve"> </w:t>
      </w:r>
      <w:r w:rsidR="000E1220">
        <w:t>crossed the street to</w:t>
      </w:r>
      <w:r w:rsidR="0092689B">
        <w:t xml:space="preserve"> ask for a date</w:t>
      </w:r>
      <w:r w:rsidR="0082131B">
        <w:t xml:space="preserve">.  </w:t>
      </w:r>
      <w:r w:rsidR="006920A4">
        <w:t xml:space="preserve">As they spoke, they </w:t>
      </w:r>
      <w:r w:rsidR="006679C3">
        <w:t>fac</w:t>
      </w:r>
      <w:r w:rsidR="00CA55A0">
        <w:t>ed</w:t>
      </w:r>
      <w:r w:rsidR="006679C3">
        <w:t xml:space="preserve"> the street with their backs against a </w:t>
      </w:r>
      <w:r w:rsidR="000A2762">
        <w:t>wall</w:t>
      </w:r>
      <w:r w:rsidR="006679C3">
        <w:t xml:space="preserve">.  </w:t>
      </w:r>
      <w:r w:rsidR="00CA55A0">
        <w:t xml:space="preserve">S.S. testified that </w:t>
      </w:r>
      <w:r w:rsidR="0082131B">
        <w:t xml:space="preserve">two men </w:t>
      </w:r>
      <w:r w:rsidR="0092689B">
        <w:t xml:space="preserve">“walking together” </w:t>
      </w:r>
      <w:r w:rsidR="0082131B">
        <w:t xml:space="preserve">approached </w:t>
      </w:r>
      <w:r w:rsidR="00F240EA">
        <w:t xml:space="preserve">her and Sac </w:t>
      </w:r>
      <w:proofErr w:type="spellStart"/>
      <w:r w:rsidR="00F240EA">
        <w:t>Ajtzalam</w:t>
      </w:r>
      <w:proofErr w:type="spellEnd"/>
      <w:r w:rsidR="00F240EA">
        <w:t xml:space="preserve"> </w:t>
      </w:r>
      <w:r w:rsidR="00BA127F">
        <w:t xml:space="preserve">“really fast” </w:t>
      </w:r>
      <w:r w:rsidR="0082131B">
        <w:t xml:space="preserve">and “said some things in Spanish” that she could not understand. </w:t>
      </w:r>
    </w:p>
    <w:p w14:paraId="399A189A" w14:textId="4907B289" w:rsidR="00BA127F" w:rsidRDefault="00BA127F" w:rsidP="00A069B4">
      <w:pPr>
        <w:spacing w:line="360" w:lineRule="auto"/>
      </w:pPr>
      <w:r>
        <w:tab/>
      </w:r>
      <w:r w:rsidR="006920A4">
        <w:t xml:space="preserve">According to </w:t>
      </w:r>
      <w:r w:rsidR="00A576F7">
        <w:t>S.S</w:t>
      </w:r>
      <w:r w:rsidR="00D12E45">
        <w:t>.</w:t>
      </w:r>
      <w:r w:rsidR="006920A4">
        <w:t xml:space="preserve">, one of the men </w:t>
      </w:r>
      <w:r w:rsidR="006679C3">
        <w:t xml:space="preserve">pulled out a </w:t>
      </w:r>
      <w:r w:rsidR="00570759">
        <w:t>hand</w:t>
      </w:r>
      <w:r w:rsidR="006679C3">
        <w:t>gun and p</w:t>
      </w:r>
      <w:r w:rsidR="008A6715">
        <w:t xml:space="preserve">laced it against Sac </w:t>
      </w:r>
      <w:proofErr w:type="spellStart"/>
      <w:r w:rsidR="008A6715">
        <w:t>Ajtzalam’s</w:t>
      </w:r>
      <w:proofErr w:type="spellEnd"/>
      <w:r w:rsidR="008A6715">
        <w:t xml:space="preserve"> stomach.  </w:t>
      </w:r>
      <w:r w:rsidR="00AB4F8D">
        <w:t xml:space="preserve">Unlike </w:t>
      </w:r>
      <w:r w:rsidR="00935906">
        <w:t xml:space="preserve">the Uber driver, she did not see </w:t>
      </w:r>
      <w:r w:rsidR="00442D67">
        <w:t xml:space="preserve">a </w:t>
      </w:r>
      <w:r w:rsidR="00935906">
        <w:t xml:space="preserve">“physical altercation” between </w:t>
      </w:r>
      <w:r w:rsidR="0098328F">
        <w:t xml:space="preserve">the men.  </w:t>
      </w:r>
      <w:r w:rsidR="00644A5D">
        <w:t xml:space="preserve">When </w:t>
      </w:r>
      <w:r w:rsidR="00446B20">
        <w:t>S.S.</w:t>
      </w:r>
      <w:r w:rsidR="00644A5D">
        <w:t xml:space="preserve"> saw the gun, </w:t>
      </w:r>
      <w:r w:rsidR="0098328F">
        <w:t>she</w:t>
      </w:r>
      <w:r w:rsidR="00644A5D">
        <w:t xml:space="preserve"> </w:t>
      </w:r>
      <w:r w:rsidR="00953BA8">
        <w:t>“turned around and ran” to</w:t>
      </w:r>
      <w:r w:rsidR="008219A6">
        <w:t>ward</w:t>
      </w:r>
      <w:r w:rsidR="00953BA8">
        <w:t xml:space="preserve"> a liquor store on the corner of 21st and South </w:t>
      </w:r>
      <w:proofErr w:type="gramStart"/>
      <w:r w:rsidR="00953BA8">
        <w:t>Van</w:t>
      </w:r>
      <w:proofErr w:type="gramEnd"/>
      <w:r w:rsidR="00953BA8">
        <w:t xml:space="preserve"> Ness. </w:t>
      </w:r>
      <w:r w:rsidR="00B426FC">
        <w:t xml:space="preserve"> </w:t>
      </w:r>
      <w:r w:rsidR="00EC4D24">
        <w:t xml:space="preserve">As </w:t>
      </w:r>
      <w:r w:rsidR="00446B20">
        <w:t>S.S.</w:t>
      </w:r>
      <w:r w:rsidR="00EC4D24">
        <w:t xml:space="preserve"> </w:t>
      </w:r>
      <w:r w:rsidR="00442D67">
        <w:t>looked</w:t>
      </w:r>
      <w:r w:rsidR="00EC4D24">
        <w:t xml:space="preserve"> back to see if anyone was following her, s</w:t>
      </w:r>
      <w:r w:rsidR="00B426FC">
        <w:t xml:space="preserve">he </w:t>
      </w:r>
      <w:r w:rsidR="00D309AB">
        <w:t>observed</w:t>
      </w:r>
      <w:r w:rsidR="00B426FC">
        <w:t xml:space="preserve"> </w:t>
      </w:r>
      <w:r w:rsidR="00B426FC">
        <w:lastRenderedPageBreak/>
        <w:t xml:space="preserve">Sac </w:t>
      </w:r>
      <w:proofErr w:type="spellStart"/>
      <w:r w:rsidR="00B426FC">
        <w:t>Ajtzalam</w:t>
      </w:r>
      <w:proofErr w:type="spellEnd"/>
      <w:r w:rsidR="00B426FC">
        <w:t xml:space="preserve"> </w:t>
      </w:r>
      <w:r w:rsidR="00EC4D24">
        <w:t xml:space="preserve">running </w:t>
      </w:r>
      <w:r w:rsidR="00B426FC">
        <w:t>toward Shotwell</w:t>
      </w:r>
      <w:r w:rsidR="00742701">
        <w:t xml:space="preserve"> and the other</w:t>
      </w:r>
      <w:r w:rsidR="00430892">
        <w:t xml:space="preserve"> two</w:t>
      </w:r>
      <w:r w:rsidR="00742701">
        <w:t xml:space="preserve"> men follow</w:t>
      </w:r>
      <w:r w:rsidR="006472B3">
        <w:t>ing</w:t>
      </w:r>
      <w:r w:rsidR="00742701">
        <w:t xml:space="preserve"> him. </w:t>
      </w:r>
      <w:r w:rsidR="006266DC">
        <w:t xml:space="preserve"> </w:t>
      </w:r>
      <w:r w:rsidR="00DF75EF">
        <w:t>She turned her head</w:t>
      </w:r>
      <w:r w:rsidR="00430892">
        <w:t xml:space="preserve"> forward</w:t>
      </w:r>
      <w:r w:rsidR="00DF75EF">
        <w:t xml:space="preserve"> again, </w:t>
      </w:r>
      <w:r w:rsidR="00430892">
        <w:t>at which point</w:t>
      </w:r>
      <w:r w:rsidR="00DF75EF">
        <w:t xml:space="preserve"> she heard a gunshot.  </w:t>
      </w:r>
      <w:r w:rsidR="00A3216F">
        <w:t xml:space="preserve">She then ran into the liquor store without looking back. </w:t>
      </w:r>
      <w:r w:rsidR="0021710A">
        <w:t xml:space="preserve"> </w:t>
      </w:r>
    </w:p>
    <w:p w14:paraId="03251D8B" w14:textId="51835982" w:rsidR="00B96DED" w:rsidRDefault="00627BA7" w:rsidP="00A069B4">
      <w:pPr>
        <w:spacing w:line="360" w:lineRule="auto"/>
      </w:pPr>
      <w:r>
        <w:tab/>
        <w:t xml:space="preserve">A man </w:t>
      </w:r>
      <w:r w:rsidR="0058717D">
        <w:t>preparing to leave for work was standing near his car on the south side of 21st when he heard “one or two gunshots.”</w:t>
      </w:r>
      <w:r>
        <w:t xml:space="preserve"> </w:t>
      </w:r>
      <w:r w:rsidR="00CA722D">
        <w:t xml:space="preserve"> He</w:t>
      </w:r>
      <w:r w:rsidR="00FB642E">
        <w:t xml:space="preserve"> turned and</w:t>
      </w:r>
      <w:r w:rsidR="00CA722D">
        <w:t xml:space="preserve"> saw a man </w:t>
      </w:r>
      <w:r w:rsidR="001F5ECB">
        <w:t xml:space="preserve">fall down </w:t>
      </w:r>
      <w:r w:rsidR="00985328">
        <w:t>near</w:t>
      </w:r>
      <w:r w:rsidR="00EA03F2">
        <w:t xml:space="preserve"> the south</w:t>
      </w:r>
      <w:r w:rsidR="00985328">
        <w:t>west</w:t>
      </w:r>
      <w:r w:rsidR="00EA03F2">
        <w:t xml:space="preserve"> corner of 21st and Shotwell</w:t>
      </w:r>
      <w:r w:rsidR="00CA722D">
        <w:t xml:space="preserve">, get back up, </w:t>
      </w:r>
      <w:r w:rsidR="004C51DB">
        <w:t>and keep running.</w:t>
      </w:r>
      <w:r w:rsidR="00757534">
        <w:t xml:space="preserve"> </w:t>
      </w:r>
    </w:p>
    <w:p w14:paraId="0F267BF9" w14:textId="116C0117" w:rsidR="008E3187" w:rsidRDefault="0005690C" w:rsidP="00A069B4">
      <w:pPr>
        <w:spacing w:line="360" w:lineRule="auto"/>
      </w:pPr>
      <w:r>
        <w:tab/>
      </w:r>
      <w:r w:rsidR="00180024">
        <w:t>A</w:t>
      </w:r>
      <w:r w:rsidR="00662509">
        <w:t>nother</w:t>
      </w:r>
      <w:r w:rsidR="00180024">
        <w:t xml:space="preserve"> man who </w:t>
      </w:r>
      <w:r w:rsidR="008F5458">
        <w:t>lived nearby</w:t>
      </w:r>
      <w:r w:rsidR="00180024">
        <w:t xml:space="preserve"> was </w:t>
      </w:r>
      <w:r w:rsidR="008F5458">
        <w:t xml:space="preserve">sitting by his </w:t>
      </w:r>
      <w:r w:rsidR="00E1369B">
        <w:t xml:space="preserve">bay </w:t>
      </w:r>
      <w:r w:rsidR="008F5458">
        <w:t>window facing Shotwell when he heard a gunshot.</w:t>
      </w:r>
      <w:r w:rsidR="00180024">
        <w:t xml:space="preserve"> </w:t>
      </w:r>
      <w:r w:rsidR="00162FB4">
        <w:t xml:space="preserve"> When he </w:t>
      </w:r>
      <w:r w:rsidR="007A221F">
        <w:t xml:space="preserve">looked outside, he saw </w:t>
      </w:r>
      <w:r w:rsidR="008A3FCA">
        <w:t xml:space="preserve">three people running </w:t>
      </w:r>
      <w:r w:rsidR="007249E5">
        <w:t>at</w:t>
      </w:r>
      <w:r w:rsidR="00FE0433">
        <w:t xml:space="preserve"> the northwest corner of </w:t>
      </w:r>
      <w:r w:rsidR="00EA3F70">
        <w:t>21st and Shotwell</w:t>
      </w:r>
      <w:r w:rsidR="00FE0433">
        <w:t xml:space="preserve">.  One </w:t>
      </w:r>
      <w:r w:rsidR="00034196">
        <w:t>then</w:t>
      </w:r>
      <w:r w:rsidR="00FE0433">
        <w:t xml:space="preserve"> ran </w:t>
      </w:r>
      <w:r w:rsidR="007A221F">
        <w:t xml:space="preserve">toward the southwest corner of </w:t>
      </w:r>
      <w:r w:rsidR="007249E5">
        <w:t>the intersection</w:t>
      </w:r>
      <w:r w:rsidR="00B05B44">
        <w:t xml:space="preserve">. </w:t>
      </w:r>
      <w:r w:rsidR="005A373F">
        <w:t xml:space="preserve"> </w:t>
      </w:r>
      <w:r w:rsidR="005A0802">
        <w:t>That pe</w:t>
      </w:r>
      <w:r w:rsidR="0014656E">
        <w:t>r</w:t>
      </w:r>
      <w:r w:rsidR="005A0802">
        <w:t>son</w:t>
      </w:r>
      <w:r w:rsidR="00DD1CC1">
        <w:t xml:space="preserve"> began to slow down, “their legs kind of slipped out</w:t>
      </w:r>
      <w:r w:rsidR="005A0802">
        <w:t xml:space="preserve">,” and they “collapse[d] or </w:t>
      </w:r>
      <w:r w:rsidR="001F15E5">
        <w:t>. . .</w:t>
      </w:r>
      <w:r w:rsidR="005A0802">
        <w:t xml:space="preserve"> f[e]</w:t>
      </w:r>
      <w:proofErr w:type="spellStart"/>
      <w:r w:rsidR="005A0802">
        <w:t>ll</w:t>
      </w:r>
      <w:proofErr w:type="spellEnd"/>
      <w:r w:rsidR="005A0802">
        <w:t xml:space="preserve"> backwards” and hit the ground </w:t>
      </w:r>
      <w:r w:rsidR="002E6559">
        <w:t>“</w:t>
      </w:r>
      <w:r w:rsidR="005A0802">
        <w:t>hard.</w:t>
      </w:r>
      <w:r w:rsidR="002E6559">
        <w:t>”</w:t>
      </w:r>
      <w:r w:rsidR="005A0802">
        <w:t xml:space="preserve"> </w:t>
      </w:r>
      <w:r w:rsidR="0082283A">
        <w:t xml:space="preserve"> Meanwhile, the other two people</w:t>
      </w:r>
      <w:r w:rsidR="00B05B44">
        <w:t xml:space="preserve"> </w:t>
      </w:r>
      <w:r w:rsidR="0008443D">
        <w:t xml:space="preserve">sprinted </w:t>
      </w:r>
      <w:r w:rsidR="007A221F">
        <w:t>north on Shotwell</w:t>
      </w:r>
      <w:r w:rsidR="0008443D">
        <w:t xml:space="preserve">, got into a car, and </w:t>
      </w:r>
      <w:r w:rsidR="00034196">
        <w:t>departed</w:t>
      </w:r>
      <w:r w:rsidR="007A221F">
        <w:t xml:space="preserve">. </w:t>
      </w:r>
      <w:r w:rsidR="003A4452">
        <w:t xml:space="preserve"> </w:t>
      </w:r>
    </w:p>
    <w:p w14:paraId="47781A27" w14:textId="48E2873E" w:rsidR="001D56A3" w:rsidRDefault="001D56A3" w:rsidP="00A069B4">
      <w:pPr>
        <w:spacing w:line="360" w:lineRule="auto"/>
      </w:pPr>
      <w:r>
        <w:tab/>
      </w:r>
      <w:r w:rsidR="000E5805">
        <w:tab/>
      </w:r>
      <w:r w:rsidR="000E5805" w:rsidRPr="00B6183B">
        <w:t>2.</w:t>
      </w:r>
      <w:r w:rsidR="000E5805" w:rsidRPr="00B6183B">
        <w:tab/>
        <w:t>Surveillance videos</w:t>
      </w:r>
    </w:p>
    <w:p w14:paraId="3E635FAE" w14:textId="2BD49E79" w:rsidR="001722BA" w:rsidRDefault="00C20C81" w:rsidP="00A069B4">
      <w:pPr>
        <w:spacing w:line="360" w:lineRule="auto"/>
      </w:pPr>
      <w:r>
        <w:tab/>
        <w:t>S</w:t>
      </w:r>
      <w:r w:rsidR="004545C8">
        <w:t>urveillance videos</w:t>
      </w:r>
      <w:r>
        <w:t xml:space="preserve"> </w:t>
      </w:r>
      <w:r w:rsidR="00C60830">
        <w:t xml:space="preserve">of the </w:t>
      </w:r>
      <w:r w:rsidR="00E6472D">
        <w:t>block of</w:t>
      </w:r>
      <w:r w:rsidR="005B0980">
        <w:t xml:space="preserve"> </w:t>
      </w:r>
      <w:r w:rsidR="006D1EDA">
        <w:t>21st</w:t>
      </w:r>
      <w:r w:rsidR="00A57A67">
        <w:t xml:space="preserve"> </w:t>
      </w:r>
      <w:r w:rsidR="00E6472D">
        <w:t xml:space="preserve">between Shotwell and South </w:t>
      </w:r>
      <w:proofErr w:type="gramStart"/>
      <w:r w:rsidR="00E6472D">
        <w:t>Van</w:t>
      </w:r>
      <w:proofErr w:type="gramEnd"/>
      <w:r w:rsidR="00E6472D">
        <w:t xml:space="preserve"> Ness </w:t>
      </w:r>
      <w:r w:rsidR="00A57A67">
        <w:t>w</w:t>
      </w:r>
      <w:r w:rsidR="002F27E9">
        <w:t>ere</w:t>
      </w:r>
      <w:r w:rsidR="00A57A67">
        <w:t xml:space="preserve"> </w:t>
      </w:r>
      <w:r w:rsidR="001722BA">
        <w:t xml:space="preserve">played for the jury </w:t>
      </w:r>
      <w:r w:rsidR="00037DCD">
        <w:t xml:space="preserve">and admitted.  This evidence consisted of </w:t>
      </w:r>
      <w:r w:rsidR="00236196">
        <w:t xml:space="preserve">(1) </w:t>
      </w:r>
      <w:r w:rsidR="00037DCD">
        <w:t xml:space="preserve">approximately </w:t>
      </w:r>
      <w:r w:rsidR="007167DB">
        <w:t>40</w:t>
      </w:r>
      <w:r w:rsidR="00037DCD">
        <w:t xml:space="preserve"> clips</w:t>
      </w:r>
      <w:r w:rsidR="00F233B4">
        <w:t xml:space="preserve"> from four </w:t>
      </w:r>
      <w:r w:rsidR="004545C8">
        <w:t>security</w:t>
      </w:r>
      <w:r w:rsidR="00F233B4">
        <w:t xml:space="preserve"> cameras</w:t>
      </w:r>
      <w:r w:rsidR="00E17807">
        <w:t xml:space="preserve">; </w:t>
      </w:r>
      <w:r w:rsidR="00236196">
        <w:t>and</w:t>
      </w:r>
      <w:r w:rsidR="00B33945">
        <w:t xml:space="preserve">, as discussed </w:t>
      </w:r>
      <w:r w:rsidR="005F5068">
        <w:t xml:space="preserve">further </w:t>
      </w:r>
      <w:r w:rsidR="00B33945">
        <w:t>below</w:t>
      </w:r>
      <w:r w:rsidR="00037B9E">
        <w:t>,</w:t>
      </w:r>
      <w:r w:rsidR="00236196">
        <w:t xml:space="preserve"> (2)</w:t>
      </w:r>
      <w:r w:rsidR="00037B9E">
        <w:t> </w:t>
      </w:r>
      <w:r w:rsidR="00C05BA2">
        <w:t xml:space="preserve">selected </w:t>
      </w:r>
      <w:r w:rsidR="00037DCD">
        <w:t xml:space="preserve">clips that were lightened, zoomed into, or </w:t>
      </w:r>
      <w:r w:rsidR="004545C8">
        <w:t xml:space="preserve">spliced </w:t>
      </w:r>
      <w:r w:rsidR="00037DCD">
        <w:t xml:space="preserve">together.  </w:t>
      </w:r>
    </w:p>
    <w:p w14:paraId="5C4099AB" w14:textId="5C5DA32E" w:rsidR="0036733F" w:rsidRDefault="001722BA" w:rsidP="00A069B4">
      <w:pPr>
        <w:spacing w:line="360" w:lineRule="auto"/>
      </w:pPr>
      <w:r>
        <w:tab/>
      </w:r>
      <w:r w:rsidR="00A57A67">
        <w:t>Three</w:t>
      </w:r>
      <w:r w:rsidR="00B33945">
        <w:t xml:space="preserve"> </w:t>
      </w:r>
      <w:r w:rsidR="005B0980">
        <w:t>cameras</w:t>
      </w:r>
      <w:r w:rsidR="00547009">
        <w:t xml:space="preserve"> </w:t>
      </w:r>
      <w:r w:rsidR="005F51F7">
        <w:t xml:space="preserve">were </w:t>
      </w:r>
      <w:r w:rsidR="00547009">
        <w:t xml:space="preserve">located </w:t>
      </w:r>
      <w:r w:rsidR="006D1EDA">
        <w:t>outside</w:t>
      </w:r>
      <w:r w:rsidR="00547009">
        <w:t xml:space="preserve"> a building </w:t>
      </w:r>
      <w:r w:rsidR="00913940">
        <w:t>on the south side</w:t>
      </w:r>
      <w:r w:rsidR="00547009">
        <w:t xml:space="preserve"> of </w:t>
      </w:r>
      <w:r w:rsidR="006D1EDA">
        <w:t>21st</w:t>
      </w:r>
      <w:r w:rsidR="000A072C">
        <w:t>, near the middle of the block</w:t>
      </w:r>
      <w:r w:rsidR="005F51F7">
        <w:t>.</w:t>
      </w:r>
      <w:r w:rsidR="006D1EDA">
        <w:t xml:space="preserve"> </w:t>
      </w:r>
      <w:r w:rsidR="005F51F7">
        <w:t xml:space="preserve"> One pointed directly across the street</w:t>
      </w:r>
      <w:r w:rsidR="005F5068">
        <w:t xml:space="preserve"> </w:t>
      </w:r>
      <w:r w:rsidR="00A15560">
        <w:t xml:space="preserve">toward where Sac </w:t>
      </w:r>
      <w:proofErr w:type="spellStart"/>
      <w:r w:rsidR="00A15560">
        <w:t>Ajtzalam</w:t>
      </w:r>
      <w:proofErr w:type="spellEnd"/>
      <w:r w:rsidR="00A15560">
        <w:t xml:space="preserve"> and </w:t>
      </w:r>
      <w:r w:rsidR="005664E1">
        <w:t>S.S.</w:t>
      </w:r>
      <w:r w:rsidR="00A15560">
        <w:t xml:space="preserve"> </w:t>
      </w:r>
      <w:r w:rsidR="00A24ECF">
        <w:t>stood</w:t>
      </w:r>
      <w:r w:rsidR="006936CC">
        <w:t xml:space="preserve">; one pointed diagonally down </w:t>
      </w:r>
      <w:r w:rsidR="00B22AF3">
        <w:t>21st</w:t>
      </w:r>
      <w:r w:rsidR="006936CC">
        <w:t xml:space="preserve"> toward </w:t>
      </w:r>
      <w:r w:rsidR="00B22AF3">
        <w:t>Shotwell</w:t>
      </w:r>
      <w:r w:rsidR="006936CC">
        <w:t xml:space="preserve">; and one pointed diagonally down </w:t>
      </w:r>
      <w:r w:rsidR="00B22AF3">
        <w:t xml:space="preserve">21st </w:t>
      </w:r>
      <w:r w:rsidR="006936CC">
        <w:t xml:space="preserve">toward South </w:t>
      </w:r>
      <w:proofErr w:type="gramStart"/>
      <w:r w:rsidR="006936CC">
        <w:t>Van</w:t>
      </w:r>
      <w:proofErr w:type="gramEnd"/>
      <w:r w:rsidR="006936CC">
        <w:t xml:space="preserve"> Ness. </w:t>
      </w:r>
      <w:r w:rsidR="00913940">
        <w:t xml:space="preserve"> </w:t>
      </w:r>
      <w:r w:rsidR="00F00A55">
        <w:t>These cameras recorded in color and captured sound</w:t>
      </w:r>
      <w:r w:rsidR="004025A2">
        <w:t xml:space="preserve">.  </w:t>
      </w:r>
      <w:r w:rsidR="00470922">
        <w:t>T</w:t>
      </w:r>
      <w:r w:rsidR="00F00A55">
        <w:t>hey were motion-activated</w:t>
      </w:r>
      <w:r w:rsidR="004076B4">
        <w:t xml:space="preserve">, and they </w:t>
      </w:r>
      <w:r w:rsidR="00BF33CF">
        <w:t xml:space="preserve">generated files with </w:t>
      </w:r>
      <w:r w:rsidR="00A24ECF">
        <w:t>timestamps accurate to</w:t>
      </w:r>
      <w:r w:rsidR="00BA4EAB">
        <w:t xml:space="preserve"> the second</w:t>
      </w:r>
      <w:r w:rsidR="00BF33CF">
        <w:t>.</w:t>
      </w:r>
      <w:r w:rsidR="00F00A55">
        <w:t xml:space="preserve">  </w:t>
      </w:r>
    </w:p>
    <w:p w14:paraId="03378EAD" w14:textId="19CE2D87" w:rsidR="006C2DCD" w:rsidRDefault="0036733F" w:rsidP="00A069B4">
      <w:pPr>
        <w:spacing w:line="360" w:lineRule="auto"/>
      </w:pPr>
      <w:r>
        <w:lastRenderedPageBreak/>
        <w:tab/>
      </w:r>
      <w:r w:rsidR="006936CC">
        <w:t>The fourth camera was located outside the liquor store</w:t>
      </w:r>
      <w:r w:rsidR="00FC1ED0">
        <w:t xml:space="preserve"> on the</w:t>
      </w:r>
      <w:r w:rsidR="00733784">
        <w:t xml:space="preserve"> northeast</w:t>
      </w:r>
      <w:r w:rsidR="00FC1ED0">
        <w:t xml:space="preserve"> corner of 21st and South </w:t>
      </w:r>
      <w:proofErr w:type="gramStart"/>
      <w:r w:rsidR="00FC1ED0">
        <w:t>Van</w:t>
      </w:r>
      <w:proofErr w:type="gramEnd"/>
      <w:r w:rsidR="00FC1ED0">
        <w:t xml:space="preserve"> Ness</w:t>
      </w:r>
      <w:r w:rsidR="00484731">
        <w:t>, pointing directly down 21st</w:t>
      </w:r>
      <w:r w:rsidR="00FC1ED0">
        <w:t xml:space="preserve"> toward Shotwell</w:t>
      </w:r>
      <w:r w:rsidR="00484731">
        <w:t xml:space="preserve">. </w:t>
      </w:r>
      <w:r w:rsidR="00547009">
        <w:t xml:space="preserve"> </w:t>
      </w:r>
      <w:r w:rsidR="0090527A">
        <w:t xml:space="preserve">This camera </w:t>
      </w:r>
      <w:r w:rsidR="00A60C6D">
        <w:t xml:space="preserve">generated </w:t>
      </w:r>
      <w:r w:rsidR="00BA4EAB">
        <w:t xml:space="preserve">a </w:t>
      </w:r>
      <w:r w:rsidR="00A60C6D">
        <w:t xml:space="preserve">timestamp to the </w:t>
      </w:r>
      <w:r w:rsidR="00F17FC5">
        <w:t xml:space="preserve">second, </w:t>
      </w:r>
      <w:r w:rsidR="006D4883">
        <w:t xml:space="preserve">which </w:t>
      </w:r>
      <w:r w:rsidR="00BC283D">
        <w:t>was a few</w:t>
      </w:r>
      <w:r w:rsidR="006D4883">
        <w:t xml:space="preserve"> </w:t>
      </w:r>
      <w:r w:rsidR="00C53D91">
        <w:t>minutes off from the other three cameras</w:t>
      </w:r>
      <w:r w:rsidR="00A60C6D">
        <w:t xml:space="preserve">. </w:t>
      </w:r>
      <w:r w:rsidR="00FE32AF">
        <w:t xml:space="preserve"> </w:t>
      </w:r>
      <w:r w:rsidR="00CE2D6F">
        <w:t>It</w:t>
      </w:r>
      <w:r w:rsidR="00BC283D">
        <w:t xml:space="preserve"> recorded in</w:t>
      </w:r>
      <w:r w:rsidR="003B6CD8">
        <w:t xml:space="preserve"> black and white </w:t>
      </w:r>
      <w:r w:rsidR="009E74BC">
        <w:t>without</w:t>
      </w:r>
      <w:r w:rsidR="003B6CD8">
        <w:t xml:space="preserve"> sound, and </w:t>
      </w:r>
      <w:r w:rsidR="005E1706">
        <w:t>the</w:t>
      </w:r>
      <w:r w:rsidR="009E74BC">
        <w:t xml:space="preserve"> picture quality </w:t>
      </w:r>
      <w:r w:rsidR="00AB0387">
        <w:t>was</w:t>
      </w:r>
      <w:r w:rsidR="003B6CD8">
        <w:t xml:space="preserve"> </w:t>
      </w:r>
      <w:r w:rsidR="005E68C0">
        <w:t>worse</w:t>
      </w:r>
      <w:r w:rsidR="003B6CD8">
        <w:t xml:space="preserve"> than </w:t>
      </w:r>
      <w:r w:rsidR="009E74BC">
        <w:t>that</w:t>
      </w:r>
      <w:r w:rsidR="003B6CD8">
        <w:t xml:space="preserve"> </w:t>
      </w:r>
      <w:r w:rsidR="009E74BC">
        <w:t xml:space="preserve">of </w:t>
      </w:r>
      <w:r w:rsidR="003B6CD8">
        <w:t xml:space="preserve">the other cameras. </w:t>
      </w:r>
    </w:p>
    <w:p w14:paraId="7592357C" w14:textId="22482E79" w:rsidR="00141CA8" w:rsidRDefault="00141CA8" w:rsidP="00A069B4">
      <w:pPr>
        <w:spacing w:line="360" w:lineRule="auto"/>
      </w:pPr>
      <w:r>
        <w:tab/>
      </w:r>
      <w:r w:rsidR="001967E3">
        <w:t xml:space="preserve">The </w:t>
      </w:r>
      <w:r w:rsidR="00733784">
        <w:t>surveillance footage</w:t>
      </w:r>
      <w:r w:rsidR="001967E3">
        <w:t xml:space="preserve"> shows Sac </w:t>
      </w:r>
      <w:proofErr w:type="spellStart"/>
      <w:r w:rsidR="001967E3">
        <w:t>Ajtzalam</w:t>
      </w:r>
      <w:proofErr w:type="spellEnd"/>
      <w:r w:rsidR="001967E3">
        <w:t xml:space="preserve"> walking </w:t>
      </w:r>
      <w:r w:rsidR="007D706A">
        <w:t xml:space="preserve">on the </w:t>
      </w:r>
      <w:r w:rsidR="00F77DE4">
        <w:t>southern sidewalk of 21st, toward Shotwell</w:t>
      </w:r>
      <w:r w:rsidR="0040448C">
        <w:t>, at 10:2</w:t>
      </w:r>
      <w:r w:rsidR="009340F0">
        <w:t>4</w:t>
      </w:r>
      <w:r w:rsidR="0040448C">
        <w:t xml:space="preserve"> p.m. </w:t>
      </w:r>
      <w:r w:rsidR="00E83A31">
        <w:t xml:space="preserve"> </w:t>
      </w:r>
      <w:r w:rsidR="007C549D">
        <w:t xml:space="preserve">As </w:t>
      </w:r>
      <w:r w:rsidR="005664E1">
        <w:t>S.S.</w:t>
      </w:r>
      <w:r w:rsidR="00E83A31">
        <w:t xml:space="preserve"> </w:t>
      </w:r>
      <w:r w:rsidR="007E5966">
        <w:t xml:space="preserve">walks </w:t>
      </w:r>
      <w:r w:rsidR="00285EF1">
        <w:t>by</w:t>
      </w:r>
      <w:r w:rsidR="007E5966">
        <w:t xml:space="preserve"> on </w:t>
      </w:r>
      <w:r w:rsidR="00E83A31">
        <w:t>the opposite sidewalk</w:t>
      </w:r>
      <w:r w:rsidR="007E5966">
        <w:t xml:space="preserve">, Sac </w:t>
      </w:r>
      <w:proofErr w:type="spellStart"/>
      <w:r w:rsidR="007E5966">
        <w:t>Ajtzalam</w:t>
      </w:r>
      <w:proofErr w:type="spellEnd"/>
      <w:r w:rsidR="007E5966">
        <w:t xml:space="preserve"> </w:t>
      </w:r>
      <w:r w:rsidR="00AF2D94">
        <w:t>pauses and s</w:t>
      </w:r>
      <w:r w:rsidR="00C45ADF">
        <w:t>ays something</w:t>
      </w:r>
      <w:r w:rsidR="007E5966">
        <w:t xml:space="preserve"> to her</w:t>
      </w:r>
      <w:r w:rsidR="009F7893">
        <w:t>, and she greets him.</w:t>
      </w:r>
      <w:r w:rsidR="00E83A31">
        <w:t xml:space="preserve"> </w:t>
      </w:r>
      <w:r w:rsidR="00DC5B58">
        <w:t xml:space="preserve"> </w:t>
      </w:r>
      <w:r w:rsidR="00FC52D0">
        <w:t xml:space="preserve">He then crosses the street </w:t>
      </w:r>
      <w:r w:rsidR="00B37438">
        <w:t>and</w:t>
      </w:r>
      <w:r w:rsidR="00FC52D0">
        <w:t xml:space="preserve"> stand</w:t>
      </w:r>
      <w:r w:rsidR="00B37438">
        <w:t>s</w:t>
      </w:r>
      <w:r w:rsidR="00FC52D0">
        <w:t xml:space="preserve"> next to her.</w:t>
      </w:r>
      <w:r w:rsidR="0040448C">
        <w:t xml:space="preserve"> </w:t>
      </w:r>
    </w:p>
    <w:p w14:paraId="193BA357" w14:textId="2F6D5146" w:rsidR="004C5D4C" w:rsidRDefault="003B64F6" w:rsidP="00A069B4">
      <w:pPr>
        <w:spacing w:line="360" w:lineRule="auto"/>
      </w:pPr>
      <w:r>
        <w:tab/>
      </w:r>
      <w:r w:rsidR="009F7893">
        <w:t>A few seconds later</w:t>
      </w:r>
      <w:r w:rsidR="00F151E1">
        <w:t>, A.M. and Herrera app</w:t>
      </w:r>
      <w:r w:rsidR="006E3E87">
        <w:t xml:space="preserve">roach </w:t>
      </w:r>
      <w:r w:rsidR="009F7893">
        <w:t xml:space="preserve">Sac </w:t>
      </w:r>
      <w:proofErr w:type="spellStart"/>
      <w:r w:rsidR="009F7893">
        <w:t>Ajtzalam</w:t>
      </w:r>
      <w:proofErr w:type="spellEnd"/>
      <w:r w:rsidR="009F7893">
        <w:t xml:space="preserve"> and S.S. </w:t>
      </w:r>
      <w:r w:rsidR="006A54B4">
        <w:t>from the direction of Shotwell</w:t>
      </w:r>
      <w:r w:rsidR="00EE4E83">
        <w:t xml:space="preserve">. </w:t>
      </w:r>
      <w:r w:rsidR="00157AC3">
        <w:t xml:space="preserve"> A.M.</w:t>
      </w:r>
      <w:r w:rsidR="00AD1C95">
        <w:t xml:space="preserve"> is a few steps in front of Herrera</w:t>
      </w:r>
      <w:r w:rsidR="004D17E7">
        <w:t xml:space="preserve">, but they appear to pull nearly even with each other as they </w:t>
      </w:r>
      <w:r w:rsidR="001B4372">
        <w:t>get close</w:t>
      </w:r>
      <w:r w:rsidR="00C93AF4">
        <w:t xml:space="preserve"> </w:t>
      </w:r>
      <w:r w:rsidR="004A1487">
        <w:t xml:space="preserve">to </w:t>
      </w:r>
      <w:r w:rsidR="00C93AF4">
        <w:t xml:space="preserve">Sac </w:t>
      </w:r>
      <w:proofErr w:type="spellStart"/>
      <w:r w:rsidR="00C93AF4">
        <w:t>Ajtzalam</w:t>
      </w:r>
      <w:proofErr w:type="spellEnd"/>
      <w:r w:rsidR="00AD1C95">
        <w:t xml:space="preserve">. </w:t>
      </w:r>
      <w:r w:rsidR="00157AC3">
        <w:t xml:space="preserve"> </w:t>
      </w:r>
      <w:r w:rsidR="00C93AF4">
        <w:t>Th</w:t>
      </w:r>
      <w:r w:rsidR="00DE5DDB">
        <w:t xml:space="preserve">e recording </w:t>
      </w:r>
      <w:r w:rsidR="004B2E6E">
        <w:t>from the</w:t>
      </w:r>
      <w:r w:rsidR="00773A80">
        <w:t xml:space="preserve"> camera facing across 21st cuts off at this point</w:t>
      </w:r>
      <w:r w:rsidR="00EC1F87">
        <w:t>,</w:t>
      </w:r>
      <w:r w:rsidR="00C00522">
        <w:t xml:space="preserve"> but</w:t>
      </w:r>
      <w:r w:rsidR="00620C81">
        <w:t xml:space="preserve"> the recording from t</w:t>
      </w:r>
      <w:r w:rsidR="004A1487">
        <w:t xml:space="preserve">he </w:t>
      </w:r>
      <w:r w:rsidR="00E17807">
        <w:t xml:space="preserve">building </w:t>
      </w:r>
      <w:r w:rsidR="00620C81">
        <w:t xml:space="preserve">camera facing </w:t>
      </w:r>
      <w:r w:rsidR="004A1487">
        <w:t>toward</w:t>
      </w:r>
      <w:r w:rsidR="00620C81">
        <w:t xml:space="preserve"> Shotwell</w:t>
      </w:r>
      <w:r w:rsidR="005F5470">
        <w:t xml:space="preserve"> </w:t>
      </w:r>
      <w:r w:rsidR="00B12CFE">
        <w:t>shows</w:t>
      </w:r>
      <w:r w:rsidR="005F5470">
        <w:t xml:space="preserve"> </w:t>
      </w:r>
      <w:r w:rsidR="00AF4948">
        <w:t xml:space="preserve">A.M. and Herrera reach Sac </w:t>
      </w:r>
      <w:proofErr w:type="spellStart"/>
      <w:r w:rsidR="00AF4948">
        <w:t>Ajtzalam</w:t>
      </w:r>
      <w:proofErr w:type="spellEnd"/>
      <w:r w:rsidR="00AF4948">
        <w:t xml:space="preserve">. </w:t>
      </w:r>
      <w:r w:rsidR="004C5D4C">
        <w:t xml:space="preserve"> </w:t>
      </w:r>
      <w:r w:rsidR="004A1487">
        <w:t>T</w:t>
      </w:r>
      <w:r w:rsidR="004C5D4C">
        <w:t xml:space="preserve">he image is blurry, </w:t>
      </w:r>
      <w:r w:rsidR="004A1487">
        <w:t xml:space="preserve">but </w:t>
      </w:r>
      <w:r w:rsidR="004C5D4C">
        <w:t>Herr</w:t>
      </w:r>
      <w:r w:rsidR="005D59ED">
        <w:t xml:space="preserve">era can be identified by his light-colored pants. </w:t>
      </w:r>
    </w:p>
    <w:p w14:paraId="397F7DE0" w14:textId="0EFBAEE1" w:rsidR="003B64F6" w:rsidRDefault="00D24B3D" w:rsidP="00A069B4">
      <w:pPr>
        <w:spacing w:line="360" w:lineRule="auto"/>
      </w:pPr>
      <w:r>
        <w:tab/>
      </w:r>
      <w:r w:rsidR="0023162F">
        <w:t>A</w:t>
      </w:r>
      <w:r>
        <w:t xml:space="preserve"> second or so after A.M. and Herrera reach Sac </w:t>
      </w:r>
      <w:proofErr w:type="spellStart"/>
      <w:r>
        <w:t>Ajtzalam</w:t>
      </w:r>
      <w:proofErr w:type="spellEnd"/>
      <w:r>
        <w:t>, a</w:t>
      </w:r>
      <w:r w:rsidR="00AF4948">
        <w:t xml:space="preserve"> loud </w:t>
      </w:r>
      <w:r w:rsidR="003532FD">
        <w:t xml:space="preserve">double </w:t>
      </w:r>
      <w:r w:rsidR="00AC65DF">
        <w:t xml:space="preserve">click can be heard, </w:t>
      </w:r>
      <w:r w:rsidR="00442231">
        <w:t xml:space="preserve">and </w:t>
      </w:r>
      <w:r w:rsidR="007C6BC0">
        <w:t xml:space="preserve">S.S. </w:t>
      </w:r>
      <w:r w:rsidR="00A81D64">
        <w:t xml:space="preserve">immediately </w:t>
      </w:r>
      <w:r w:rsidR="00683A0D">
        <w:t>moves away</w:t>
      </w:r>
      <w:r w:rsidR="0065236D">
        <w:t xml:space="preserve"> </w:t>
      </w:r>
      <w:r w:rsidR="008C7061">
        <w:t>from the men</w:t>
      </w:r>
      <w:r w:rsidR="0065236D">
        <w:t>.</w:t>
      </w:r>
      <w:r w:rsidR="005743EC">
        <w:rPr>
          <w:rStyle w:val="FootnoteReference"/>
        </w:rPr>
        <w:footnoteReference w:id="3"/>
      </w:r>
      <w:r w:rsidR="0065236D">
        <w:t xml:space="preserve"> </w:t>
      </w:r>
      <w:r w:rsidR="00C33563">
        <w:t xml:space="preserve"> Meanwhile, right after the click, Herrera appears to move to face </w:t>
      </w:r>
      <w:r w:rsidR="003D27DF">
        <w:t xml:space="preserve">Sac </w:t>
      </w:r>
      <w:proofErr w:type="spellStart"/>
      <w:r w:rsidR="003D27DF">
        <w:t>Ajtzalam</w:t>
      </w:r>
      <w:proofErr w:type="spellEnd"/>
      <w:r w:rsidR="003D27DF">
        <w:t>.</w:t>
      </w:r>
      <w:r w:rsidR="00AC65DF">
        <w:t xml:space="preserve"> </w:t>
      </w:r>
      <w:r w:rsidR="00587CC9">
        <w:t xml:space="preserve"> The</w:t>
      </w:r>
      <w:r w:rsidR="002C7D33">
        <w:t xml:space="preserve"> footage from the liquor-store camera is </w:t>
      </w:r>
      <w:r w:rsidR="00C20E4F">
        <w:t xml:space="preserve">low </w:t>
      </w:r>
      <w:r w:rsidR="00C904E5">
        <w:t>quality</w:t>
      </w:r>
      <w:r w:rsidR="002C7D33">
        <w:t xml:space="preserve">, but </w:t>
      </w:r>
      <w:r w:rsidR="000004C2">
        <w:t xml:space="preserve">it </w:t>
      </w:r>
      <w:r w:rsidR="00446000">
        <w:lastRenderedPageBreak/>
        <w:t xml:space="preserve">seems to show </w:t>
      </w:r>
      <w:r w:rsidR="000004C2">
        <w:t xml:space="preserve">Sac </w:t>
      </w:r>
      <w:proofErr w:type="spellStart"/>
      <w:r w:rsidR="000004C2">
        <w:t>Ajtzalam</w:t>
      </w:r>
      <w:proofErr w:type="spellEnd"/>
      <w:r w:rsidR="000004C2">
        <w:t xml:space="preserve"> </w:t>
      </w:r>
      <w:r w:rsidR="00446000">
        <w:t>moving abruptly back against the wall, as if shoved</w:t>
      </w:r>
      <w:r w:rsidR="00982C3D">
        <w:t xml:space="preserve">. </w:t>
      </w:r>
      <w:r w:rsidR="00CB1B1A">
        <w:t xml:space="preserve"> </w:t>
      </w:r>
      <w:r w:rsidR="007C6BC0">
        <w:t>S.S.</w:t>
      </w:r>
      <w:r w:rsidR="00CB1B1A">
        <w:t xml:space="preserve"> then </w:t>
      </w:r>
      <w:r w:rsidR="008A73A6">
        <w:t xml:space="preserve">runs </w:t>
      </w:r>
      <w:r w:rsidR="00E33521">
        <w:t xml:space="preserve">toward South </w:t>
      </w:r>
      <w:proofErr w:type="gramStart"/>
      <w:r w:rsidR="00E33521">
        <w:t>Van</w:t>
      </w:r>
      <w:proofErr w:type="gramEnd"/>
      <w:r w:rsidR="00E33521">
        <w:t xml:space="preserve"> Ness </w:t>
      </w:r>
      <w:r w:rsidR="008A73A6">
        <w:t xml:space="preserve">and </w:t>
      </w:r>
      <w:r w:rsidR="00CB1B1A">
        <w:t>into the street</w:t>
      </w:r>
      <w:r w:rsidR="008A2308">
        <w:t xml:space="preserve">. </w:t>
      </w:r>
    </w:p>
    <w:p w14:paraId="3A6BBF01" w14:textId="582F64D3" w:rsidR="00874BA2" w:rsidRDefault="00A203FD" w:rsidP="00A069B4">
      <w:pPr>
        <w:spacing w:line="360" w:lineRule="auto"/>
      </w:pPr>
      <w:r>
        <w:tab/>
        <w:t xml:space="preserve">Meanwhile, </w:t>
      </w:r>
      <w:r w:rsidR="00405C11">
        <w:t xml:space="preserve">footage </w:t>
      </w:r>
      <w:r w:rsidR="007F0568">
        <w:t xml:space="preserve">from </w:t>
      </w:r>
      <w:r w:rsidR="00246C91">
        <w:t xml:space="preserve">the </w:t>
      </w:r>
      <w:r w:rsidR="00E17807">
        <w:t xml:space="preserve">building </w:t>
      </w:r>
      <w:r w:rsidR="00BE4E9B">
        <w:t>camera facing toward</w:t>
      </w:r>
      <w:r w:rsidR="008D7FF9">
        <w:t xml:space="preserve"> Shotwell</w:t>
      </w:r>
      <w:r w:rsidR="00405C11">
        <w:t xml:space="preserve"> shows</w:t>
      </w:r>
      <w:r w:rsidR="0000370A">
        <w:t xml:space="preserve"> Herrera and </w:t>
      </w:r>
      <w:r w:rsidR="00BB3319">
        <w:t xml:space="preserve">A.M. </w:t>
      </w:r>
      <w:r w:rsidR="00EC562D">
        <w:t xml:space="preserve">follow Sac </w:t>
      </w:r>
      <w:proofErr w:type="spellStart"/>
      <w:r w:rsidR="00EC562D">
        <w:t>Ajtzalam</w:t>
      </w:r>
      <w:proofErr w:type="spellEnd"/>
      <w:r w:rsidR="00246C91">
        <w:t xml:space="preserve"> from a few feet behind</w:t>
      </w:r>
      <w:r w:rsidR="00EC562D">
        <w:t xml:space="preserve"> as Sac </w:t>
      </w:r>
      <w:proofErr w:type="spellStart"/>
      <w:r w:rsidR="00EC562D">
        <w:t>Ajtzalam</w:t>
      </w:r>
      <w:proofErr w:type="spellEnd"/>
      <w:r w:rsidR="00EC562D">
        <w:t xml:space="preserve"> moves</w:t>
      </w:r>
      <w:r w:rsidR="00E72671">
        <w:t>, possibly backing up,</w:t>
      </w:r>
      <w:r w:rsidR="00EC562D">
        <w:t xml:space="preserve"> </w:t>
      </w:r>
      <w:r w:rsidR="00E72671">
        <w:t>along</w:t>
      </w:r>
      <w:r w:rsidR="002F27E9">
        <w:t xml:space="preserve"> </w:t>
      </w:r>
      <w:r w:rsidR="00246C91">
        <w:t xml:space="preserve">the northern sidewalk of 21st toward Shotwell.  </w:t>
      </w:r>
      <w:r w:rsidR="00396B5A">
        <w:t xml:space="preserve">The three men </w:t>
      </w:r>
      <w:r w:rsidR="00B01768">
        <w:t>speed up</w:t>
      </w:r>
      <w:r w:rsidR="00396B5A">
        <w:t>,</w:t>
      </w:r>
      <w:r w:rsidR="00B01768">
        <w:t xml:space="preserve"> and almost immediately</w:t>
      </w:r>
      <w:r w:rsidR="002F27E9">
        <w:t xml:space="preserve">—about </w:t>
      </w:r>
      <w:r w:rsidR="00B01768">
        <w:t xml:space="preserve">10 to 12 seconds </w:t>
      </w:r>
      <w:r w:rsidR="00874BA2">
        <w:t xml:space="preserve">after A.M. and Herrera </w:t>
      </w:r>
      <w:r w:rsidR="00D74CD0">
        <w:t xml:space="preserve">first </w:t>
      </w:r>
      <w:r w:rsidR="00874BA2">
        <w:t>reach</w:t>
      </w:r>
      <w:r w:rsidR="002F27E9">
        <w:t>ed</w:t>
      </w:r>
      <w:r w:rsidR="00874BA2">
        <w:t xml:space="preserve"> </w:t>
      </w:r>
      <w:r w:rsidR="0091786A">
        <w:t xml:space="preserve">Sac </w:t>
      </w:r>
      <w:proofErr w:type="spellStart"/>
      <w:r w:rsidR="0091786A">
        <w:t>Ajtzalam</w:t>
      </w:r>
      <w:proofErr w:type="spellEnd"/>
      <w:r w:rsidR="002F27E9">
        <w:t xml:space="preserve">—there </w:t>
      </w:r>
      <w:r w:rsidR="0091786A">
        <w:t xml:space="preserve">is a </w:t>
      </w:r>
      <w:r w:rsidR="007752CE">
        <w:t xml:space="preserve">flash and the sound of a </w:t>
      </w:r>
      <w:r w:rsidR="0091786A">
        <w:t xml:space="preserve">gunshot. </w:t>
      </w:r>
      <w:r w:rsidR="00EF0B54">
        <w:t xml:space="preserve"> Sac </w:t>
      </w:r>
      <w:proofErr w:type="spellStart"/>
      <w:r w:rsidR="00EF0B54">
        <w:t>Ajtzalam</w:t>
      </w:r>
      <w:proofErr w:type="spellEnd"/>
      <w:r w:rsidR="00EF0B54">
        <w:t xml:space="preserve"> </w:t>
      </w:r>
      <w:r w:rsidR="00041BC7">
        <w:t xml:space="preserve">runs </w:t>
      </w:r>
      <w:r w:rsidR="00DF4689">
        <w:t xml:space="preserve">across the crosswalk </w:t>
      </w:r>
      <w:r w:rsidR="00FD5541">
        <w:t>from the</w:t>
      </w:r>
      <w:r w:rsidR="00DF4689">
        <w:t xml:space="preserve"> nort</w:t>
      </w:r>
      <w:r w:rsidR="009A1FBC">
        <w:t xml:space="preserve">hwest </w:t>
      </w:r>
      <w:r w:rsidR="00FD5541">
        <w:t>to the</w:t>
      </w:r>
      <w:r w:rsidR="009A1FBC">
        <w:t xml:space="preserve"> southwest corner of 21st, and Herrera and A.M.</w:t>
      </w:r>
      <w:r w:rsidR="00A90A78">
        <w:t xml:space="preserve"> run around the northwest corner </w:t>
      </w:r>
      <w:r w:rsidR="005B6A1B">
        <w:t>onto Shotwell.</w:t>
      </w:r>
      <w:r w:rsidR="001118F0">
        <w:t xml:space="preserve"> </w:t>
      </w:r>
    </w:p>
    <w:p w14:paraId="39803722" w14:textId="018E409B" w:rsidR="00071CA0" w:rsidRDefault="00071CA0" w:rsidP="001A763E">
      <w:pPr>
        <w:keepNext/>
        <w:spacing w:line="360" w:lineRule="auto"/>
      </w:pPr>
      <w:r>
        <w:tab/>
      </w:r>
      <w:r>
        <w:tab/>
        <w:t>3.</w:t>
      </w:r>
      <w:r>
        <w:tab/>
      </w:r>
      <w:r w:rsidR="00AE092A">
        <w:t>The autopsy and other p</w:t>
      </w:r>
      <w:r w:rsidR="00CA3FFD">
        <w:t>hysical evidence</w:t>
      </w:r>
    </w:p>
    <w:p w14:paraId="53B5CC7E" w14:textId="7109CC73" w:rsidR="00553BB1" w:rsidRDefault="00AD58D1" w:rsidP="00663DFF">
      <w:pPr>
        <w:spacing w:line="360" w:lineRule="auto"/>
      </w:pPr>
      <w:r>
        <w:tab/>
      </w:r>
      <w:r w:rsidR="007F51F3">
        <w:t>Around 10:30 p.m.</w:t>
      </w:r>
      <w:r w:rsidR="00032BE0">
        <w:t>,</w:t>
      </w:r>
      <w:r w:rsidR="007F51F3">
        <w:t xml:space="preserve"> the San Francisco police </w:t>
      </w:r>
      <w:r w:rsidR="00032BE0">
        <w:t>re</w:t>
      </w:r>
      <w:r w:rsidR="00A0515C">
        <w:t xml:space="preserve">ceived a </w:t>
      </w:r>
      <w:r w:rsidR="006B1766">
        <w:t xml:space="preserve">ShotSpotter </w:t>
      </w:r>
      <w:r w:rsidR="00A0515C">
        <w:t xml:space="preserve">notification </w:t>
      </w:r>
      <w:r w:rsidR="00D8317B">
        <w:t>of a gunshot on</w:t>
      </w:r>
      <w:r w:rsidR="00853340">
        <w:t xml:space="preserve"> Shotwell.  </w:t>
      </w:r>
      <w:r w:rsidR="00086D86">
        <w:t xml:space="preserve">When </w:t>
      </w:r>
      <w:r w:rsidR="00853340">
        <w:t>officers arrived on the scene</w:t>
      </w:r>
      <w:r w:rsidR="00086D86">
        <w:t xml:space="preserve">, they found </w:t>
      </w:r>
      <w:r w:rsidR="00143A63">
        <w:t xml:space="preserve">Sac </w:t>
      </w:r>
      <w:proofErr w:type="spellStart"/>
      <w:r w:rsidR="00143A63">
        <w:t>Ajtzalam</w:t>
      </w:r>
      <w:proofErr w:type="spellEnd"/>
      <w:r w:rsidR="00143A63">
        <w:t xml:space="preserve"> </w:t>
      </w:r>
      <w:r w:rsidR="00086D86">
        <w:t xml:space="preserve">lying on his back at the </w:t>
      </w:r>
      <w:r w:rsidR="00302FFA">
        <w:t xml:space="preserve">southwest </w:t>
      </w:r>
      <w:r w:rsidR="00086D86">
        <w:t xml:space="preserve">corner of </w:t>
      </w:r>
      <w:r w:rsidR="00CC4999">
        <w:t>21st and Shotwell</w:t>
      </w:r>
      <w:r w:rsidR="00086D86">
        <w:t xml:space="preserve">.  </w:t>
      </w:r>
      <w:r w:rsidR="00524ADD">
        <w:t>In his back pocket</w:t>
      </w:r>
      <w:r w:rsidR="00A522F7">
        <w:t xml:space="preserve"> was </w:t>
      </w:r>
      <w:r w:rsidR="00553BB1">
        <w:t>a</w:t>
      </w:r>
      <w:r w:rsidR="00524ADD">
        <w:t>bout</w:t>
      </w:r>
      <w:r w:rsidR="00553BB1">
        <w:t xml:space="preserve"> $100 in cash and an “electronic device” with corded earbuds attached</w:t>
      </w:r>
      <w:r w:rsidR="00524ADD">
        <w:t xml:space="preserve">, </w:t>
      </w:r>
      <w:r w:rsidR="00553BB1">
        <w:t xml:space="preserve">and </w:t>
      </w:r>
      <w:r w:rsidR="00C436F1">
        <w:t>in his front pocket</w:t>
      </w:r>
      <w:r w:rsidR="00A522F7">
        <w:t xml:space="preserve"> was</w:t>
      </w:r>
      <w:r w:rsidR="00C436F1">
        <w:t xml:space="preserve"> </w:t>
      </w:r>
      <w:r w:rsidR="00553BB1">
        <w:t>a wallet containing</w:t>
      </w:r>
      <w:r w:rsidR="00C436F1">
        <w:t xml:space="preserve"> about</w:t>
      </w:r>
      <w:r w:rsidR="00553BB1">
        <w:t xml:space="preserve"> $850 in cash. </w:t>
      </w:r>
    </w:p>
    <w:p w14:paraId="6D23A2EC" w14:textId="6FE563A3" w:rsidR="00AA7AB1" w:rsidRDefault="00C436F1" w:rsidP="00663DFF">
      <w:pPr>
        <w:spacing w:line="360" w:lineRule="auto"/>
      </w:pPr>
      <w:r>
        <w:tab/>
        <w:t xml:space="preserve">Sac </w:t>
      </w:r>
      <w:proofErr w:type="spellStart"/>
      <w:r>
        <w:t>Ajtzalam</w:t>
      </w:r>
      <w:proofErr w:type="spellEnd"/>
      <w:r>
        <w:t xml:space="preserve"> </w:t>
      </w:r>
      <w:r w:rsidR="00086D86">
        <w:t xml:space="preserve">was </w:t>
      </w:r>
      <w:r w:rsidR="005A0D98">
        <w:t xml:space="preserve">transported to the hospital but </w:t>
      </w:r>
      <w:r w:rsidR="00455EDF">
        <w:t xml:space="preserve">ultimately died. </w:t>
      </w:r>
      <w:r w:rsidR="005A0D98">
        <w:t xml:space="preserve"> </w:t>
      </w:r>
      <w:r w:rsidR="00CC4999">
        <w:t xml:space="preserve">An </w:t>
      </w:r>
      <w:r w:rsidR="00AD7B2C">
        <w:t xml:space="preserve">autopsy </w:t>
      </w:r>
      <w:r w:rsidR="00633A34">
        <w:t xml:space="preserve">showed he </w:t>
      </w:r>
      <w:r>
        <w:t>was killed by</w:t>
      </w:r>
      <w:r w:rsidR="00791508">
        <w:t xml:space="preserve"> </w:t>
      </w:r>
      <w:r w:rsidR="00AC11C3">
        <w:t xml:space="preserve">two </w:t>
      </w:r>
      <w:r w:rsidR="00F45507">
        <w:t>through-and-through</w:t>
      </w:r>
      <w:r w:rsidR="00663DFF">
        <w:t xml:space="preserve"> </w:t>
      </w:r>
      <w:r w:rsidR="00791508">
        <w:t>gunshot</w:t>
      </w:r>
      <w:r w:rsidR="00F45507">
        <w:t xml:space="preserve"> wounds, one </w:t>
      </w:r>
      <w:r w:rsidR="00E17807">
        <w:t>to</w:t>
      </w:r>
      <w:r w:rsidR="00F45507">
        <w:t xml:space="preserve"> the left side of his chest and the other </w:t>
      </w:r>
      <w:r w:rsidR="00E17807">
        <w:t>to</w:t>
      </w:r>
      <w:r w:rsidR="00F45507">
        <w:t xml:space="preserve"> his left forearm</w:t>
      </w:r>
      <w:r w:rsidR="00663DFF">
        <w:t xml:space="preserve">. </w:t>
      </w:r>
      <w:r w:rsidR="00997B30">
        <w:t xml:space="preserve"> The </w:t>
      </w:r>
      <w:r w:rsidR="00F36790">
        <w:t>medical examiner who performed the autopsy testified that</w:t>
      </w:r>
      <w:r w:rsidR="00112125">
        <w:t xml:space="preserve"> a single bullet could have caused</w:t>
      </w:r>
      <w:r w:rsidR="00F36790">
        <w:t xml:space="preserve"> </w:t>
      </w:r>
      <w:r w:rsidR="008120F7">
        <w:t xml:space="preserve">the wounds </w:t>
      </w:r>
      <w:r w:rsidR="00112125">
        <w:t>by</w:t>
      </w:r>
      <w:r w:rsidR="008120F7">
        <w:t xml:space="preserve"> </w:t>
      </w:r>
      <w:r w:rsidR="00762A94">
        <w:t xml:space="preserve">passing through </w:t>
      </w:r>
      <w:r w:rsidR="000175AA">
        <w:t xml:space="preserve">Sac </w:t>
      </w:r>
      <w:proofErr w:type="spellStart"/>
      <w:r w:rsidR="000175AA">
        <w:t>Ajtzalam</w:t>
      </w:r>
      <w:r w:rsidR="00762A94">
        <w:t>’s</w:t>
      </w:r>
      <w:proofErr w:type="spellEnd"/>
      <w:r w:rsidR="00762A94">
        <w:t xml:space="preserve"> arm and chest</w:t>
      </w:r>
      <w:r w:rsidR="00A2409B">
        <w:t xml:space="preserve"> if he</w:t>
      </w:r>
      <w:r w:rsidR="000175AA">
        <w:t xml:space="preserve"> </w:t>
      </w:r>
      <w:r w:rsidR="00C93E95">
        <w:t>had his</w:t>
      </w:r>
      <w:r w:rsidR="00CB40E4">
        <w:t xml:space="preserve"> arm in front of his body with his elbow </w:t>
      </w:r>
      <w:r w:rsidR="00D24EF2">
        <w:t xml:space="preserve">bent and raised. </w:t>
      </w:r>
    </w:p>
    <w:p w14:paraId="15AACE45" w14:textId="5C202A57" w:rsidR="00663DFF" w:rsidRDefault="00AA7AB1" w:rsidP="00663DFF">
      <w:pPr>
        <w:spacing w:line="360" w:lineRule="auto"/>
      </w:pPr>
      <w:r>
        <w:tab/>
        <w:t xml:space="preserve">Sac </w:t>
      </w:r>
      <w:proofErr w:type="spellStart"/>
      <w:r>
        <w:t>Ajtzalam</w:t>
      </w:r>
      <w:proofErr w:type="spellEnd"/>
      <w:r>
        <w:t xml:space="preserve"> </w:t>
      </w:r>
      <w:r w:rsidR="007F4AC2">
        <w:t>had a blood-alcohol content of .08 percent</w:t>
      </w:r>
      <w:r w:rsidR="00A72DE2">
        <w:t xml:space="preserve">, which might have been higher at the time of </w:t>
      </w:r>
      <w:r w:rsidR="00600187">
        <w:t xml:space="preserve">the shooting. </w:t>
      </w:r>
      <w:r w:rsidR="00F36790">
        <w:t xml:space="preserve"> </w:t>
      </w:r>
      <w:r w:rsidR="00600187">
        <w:t xml:space="preserve">He </w:t>
      </w:r>
      <w:r w:rsidR="000E5973">
        <w:t xml:space="preserve">had </w:t>
      </w:r>
      <w:r w:rsidR="00797D15">
        <w:t xml:space="preserve">“nondescript” </w:t>
      </w:r>
      <w:r w:rsidR="000E5973">
        <w:t xml:space="preserve">scrapes on his left knee and the left side of his face, which </w:t>
      </w:r>
      <w:r w:rsidR="00983C10">
        <w:t xml:space="preserve">happened around the time </w:t>
      </w:r>
      <w:r w:rsidR="00983C10">
        <w:lastRenderedPageBreak/>
        <w:t>of death.</w:t>
      </w:r>
      <w:r w:rsidR="00797D15">
        <w:t xml:space="preserve"> </w:t>
      </w:r>
      <w:r w:rsidR="007B379E">
        <w:t xml:space="preserve"> The evidence tended to suggest </w:t>
      </w:r>
      <w:r w:rsidR="008370BD">
        <w:t>he</w:t>
      </w:r>
      <w:r w:rsidR="007B379E">
        <w:t xml:space="preserve"> sustained these </w:t>
      </w:r>
      <w:r w:rsidR="000221ED">
        <w:t>scrapes when he fell</w:t>
      </w:r>
      <w:r w:rsidR="007B379E">
        <w:t xml:space="preserve">. </w:t>
      </w:r>
    </w:p>
    <w:p w14:paraId="7CD04041" w14:textId="32FC63B9" w:rsidR="005125C9" w:rsidRDefault="00AE092A" w:rsidP="00A069B4">
      <w:pPr>
        <w:spacing w:line="360" w:lineRule="auto"/>
      </w:pPr>
      <w:r>
        <w:tab/>
      </w:r>
      <w:r w:rsidR="009E7669">
        <w:t xml:space="preserve">A </w:t>
      </w:r>
      <w:r w:rsidR="009E1998">
        <w:t xml:space="preserve">nine-millimeter Luger </w:t>
      </w:r>
      <w:r w:rsidR="009E7669">
        <w:t xml:space="preserve">cartridge casing </w:t>
      </w:r>
      <w:r w:rsidR="00D5090E">
        <w:t xml:space="preserve">was </w:t>
      </w:r>
      <w:r w:rsidR="00AC34BD">
        <w:t xml:space="preserve">found </w:t>
      </w:r>
      <w:r w:rsidR="002E6F7E">
        <w:t>on the north</w:t>
      </w:r>
      <w:r w:rsidR="00715511">
        <w:t>west corner of 21st and Shotwell</w:t>
      </w:r>
      <w:r w:rsidR="002564A6">
        <w:t xml:space="preserve">, and a bullet fragment was found in the </w:t>
      </w:r>
      <w:r w:rsidR="00F46BDE">
        <w:t>eastern crosswalk of that</w:t>
      </w:r>
      <w:r w:rsidR="0049734E">
        <w:t xml:space="preserve"> intersection. </w:t>
      </w:r>
      <w:r w:rsidR="00FE53EB">
        <w:t xml:space="preserve"> </w:t>
      </w:r>
      <w:r w:rsidR="00B43FB8">
        <w:t xml:space="preserve">A </w:t>
      </w:r>
      <w:r w:rsidR="004C58B1">
        <w:t>metal</w:t>
      </w:r>
      <w:r w:rsidR="00B43FB8">
        <w:t xml:space="preserve"> belt buckle</w:t>
      </w:r>
      <w:r w:rsidR="00AC6FCC">
        <w:t xml:space="preserve"> broken into three pieces</w:t>
      </w:r>
      <w:r w:rsidR="00B43FB8">
        <w:t xml:space="preserve"> was</w:t>
      </w:r>
      <w:r w:rsidR="009B3549">
        <w:t xml:space="preserve"> </w:t>
      </w:r>
      <w:r w:rsidR="009507B2">
        <w:t xml:space="preserve">found </w:t>
      </w:r>
      <w:r w:rsidR="00AC6FCC">
        <w:t xml:space="preserve">near the cartridge casing, and </w:t>
      </w:r>
      <w:r w:rsidR="00D20043">
        <w:t>a</w:t>
      </w:r>
      <w:r w:rsidR="00B43FB8">
        <w:t xml:space="preserve"> </w:t>
      </w:r>
      <w:r w:rsidR="00AC6FCC">
        <w:t xml:space="preserve">belt </w:t>
      </w:r>
      <w:r w:rsidR="009507B2">
        <w:t>was on the ground</w:t>
      </w:r>
      <w:r w:rsidR="00D20043">
        <w:t xml:space="preserve"> </w:t>
      </w:r>
      <w:r w:rsidR="00A1460B">
        <w:t>next to</w:t>
      </w:r>
      <w:r w:rsidR="00AC6FCC">
        <w:t xml:space="preserve"> </w:t>
      </w:r>
      <w:r w:rsidR="00CA22EC">
        <w:t xml:space="preserve">Sac </w:t>
      </w:r>
      <w:proofErr w:type="spellStart"/>
      <w:r w:rsidR="00AC6FCC">
        <w:t>Ajtzalam’s</w:t>
      </w:r>
      <w:proofErr w:type="spellEnd"/>
      <w:r w:rsidR="00AC6FCC">
        <w:t xml:space="preserve"> </w:t>
      </w:r>
      <w:r w:rsidR="00C832AC">
        <w:t>arm</w:t>
      </w:r>
      <w:r w:rsidR="00AC6FCC">
        <w:t xml:space="preserve">. </w:t>
      </w:r>
      <w:r w:rsidR="00FA4F0E">
        <w:t xml:space="preserve"> </w:t>
      </w:r>
    </w:p>
    <w:p w14:paraId="2200424B" w14:textId="355FCC0B" w:rsidR="00EC00E1" w:rsidRDefault="005125C9" w:rsidP="00A069B4">
      <w:pPr>
        <w:spacing w:line="360" w:lineRule="auto"/>
      </w:pPr>
      <w:r>
        <w:tab/>
      </w:r>
      <w:r w:rsidR="001A307F">
        <w:t>A defense expert testified that t</w:t>
      </w:r>
      <w:r w:rsidR="00DB16D7">
        <w:t>he</w:t>
      </w:r>
      <w:r w:rsidR="001A307F">
        <w:t xml:space="preserve"> condition of the belt buckle suggested </w:t>
      </w:r>
      <w:r>
        <w:t>it was</w:t>
      </w:r>
      <w:r w:rsidR="001A307F">
        <w:t xml:space="preserve"> “hit by some significant force.”  She also testified that the bullet’s condition s</w:t>
      </w:r>
      <w:r w:rsidR="00A66055">
        <w:t>howed</w:t>
      </w:r>
      <w:r w:rsidR="001A307F">
        <w:t xml:space="preserve"> it hit </w:t>
      </w:r>
      <w:r w:rsidR="00865CAB">
        <w:t xml:space="preserve">something else before striking Sac </w:t>
      </w:r>
      <w:proofErr w:type="spellStart"/>
      <w:r w:rsidR="00865CAB">
        <w:t>Ajtzalam’s</w:t>
      </w:r>
      <w:proofErr w:type="spellEnd"/>
      <w:r w:rsidR="00865CAB">
        <w:t xml:space="preserve"> body</w:t>
      </w:r>
      <w:r w:rsidR="0037613A">
        <w:t>,</w:t>
      </w:r>
      <w:r w:rsidR="00BE1114">
        <w:t xml:space="preserve"> since it </w:t>
      </w:r>
      <w:r w:rsidR="0078173C">
        <w:t xml:space="preserve">did </w:t>
      </w:r>
      <w:r w:rsidR="00BE1114">
        <w:t xml:space="preserve">not hit any bone. </w:t>
      </w:r>
      <w:r w:rsidR="007B14CC">
        <w:t xml:space="preserve"> </w:t>
      </w:r>
      <w:r w:rsidR="00BE1114">
        <w:t>Collectively, this evidence gave rise</w:t>
      </w:r>
      <w:r w:rsidR="007B14CC">
        <w:t xml:space="preserve"> to “a likely hypothesis that the bullet struck the belt buckle” while Sac </w:t>
      </w:r>
      <w:proofErr w:type="spellStart"/>
      <w:r w:rsidR="007B14CC">
        <w:t>Ajtzalam</w:t>
      </w:r>
      <w:proofErr w:type="spellEnd"/>
      <w:r w:rsidR="007B14CC">
        <w:t xml:space="preserve"> was swinging the belt “and was deflected or ricocheted prior to striking [him].” </w:t>
      </w:r>
      <w:r w:rsidR="00ED7CFE">
        <w:t xml:space="preserve"> </w:t>
      </w:r>
      <w:r w:rsidR="00AC53A3">
        <w:t xml:space="preserve">The expert opined that the bullet could </w:t>
      </w:r>
      <w:r w:rsidR="0061120D">
        <w:t>not</w:t>
      </w:r>
      <w:r w:rsidR="007C5B26">
        <w:t xml:space="preserve"> </w:t>
      </w:r>
      <w:r w:rsidR="002E59D5">
        <w:t>have</w:t>
      </w:r>
      <w:r w:rsidR="0061120D">
        <w:t xml:space="preserve"> </w:t>
      </w:r>
      <w:r w:rsidR="00252D63">
        <w:t xml:space="preserve">traveled on </w:t>
      </w:r>
      <w:r w:rsidR="007C5B26">
        <w:t>the “</w:t>
      </w:r>
      <w:r w:rsidR="00252D63">
        <w:t xml:space="preserve">trajectory into [his] arm and across </w:t>
      </w:r>
      <w:r w:rsidR="00294B2A">
        <w:t>[his</w:t>
      </w:r>
      <w:r w:rsidR="00800F04">
        <w:t>]</w:t>
      </w:r>
      <w:r w:rsidR="00252D63">
        <w:t xml:space="preserve"> torso”</w:t>
      </w:r>
      <w:r w:rsidR="007C5B26">
        <w:t xml:space="preserve"> </w:t>
      </w:r>
      <w:r w:rsidR="00F467EE">
        <w:t>his wounds indicated</w:t>
      </w:r>
      <w:r w:rsidR="00252D63">
        <w:t xml:space="preserve"> by being fired at the ground and then ricocheting. </w:t>
      </w:r>
      <w:r w:rsidR="002E59D5">
        <w:t xml:space="preserve"> </w:t>
      </w:r>
    </w:p>
    <w:p w14:paraId="72CF0791" w14:textId="41711B11" w:rsidR="000E5805" w:rsidRDefault="000E5805" w:rsidP="006C2DCD">
      <w:pPr>
        <w:keepNext/>
        <w:spacing w:line="360" w:lineRule="auto"/>
      </w:pPr>
      <w:r>
        <w:tab/>
      </w:r>
      <w:r w:rsidR="00423EF8">
        <w:rPr>
          <w:i/>
          <w:iCs/>
        </w:rPr>
        <w:t>B.</w:t>
      </w:r>
      <w:r>
        <w:tab/>
      </w:r>
      <w:r w:rsidR="007D4428">
        <w:rPr>
          <w:i/>
          <w:iCs/>
        </w:rPr>
        <w:t>Herrera’s Arrest</w:t>
      </w:r>
      <w:r w:rsidR="007043FD">
        <w:rPr>
          <w:i/>
          <w:iCs/>
        </w:rPr>
        <w:t xml:space="preserve"> and </w:t>
      </w:r>
      <w:r w:rsidR="0079521B">
        <w:rPr>
          <w:i/>
          <w:iCs/>
        </w:rPr>
        <w:t xml:space="preserve">the </w:t>
      </w:r>
      <w:r w:rsidR="007043FD">
        <w:rPr>
          <w:i/>
          <w:iCs/>
        </w:rPr>
        <w:t>Recovery of Additional Evidence</w:t>
      </w:r>
    </w:p>
    <w:p w14:paraId="300AC604" w14:textId="4673C437" w:rsidR="00674AB2" w:rsidRDefault="007B62C4" w:rsidP="00A069B4">
      <w:pPr>
        <w:spacing w:line="360" w:lineRule="auto"/>
      </w:pPr>
      <w:r>
        <w:tab/>
      </w:r>
      <w:r w:rsidR="000E5805">
        <w:t>After the Chevrolet left</w:t>
      </w:r>
      <w:r w:rsidR="009D262A">
        <w:t xml:space="preserve"> the scene</w:t>
      </w:r>
      <w:r w:rsidR="000E5805">
        <w:t>, the Uber driver followed it</w:t>
      </w:r>
      <w:r w:rsidR="00790E54">
        <w:t xml:space="preserve">.  He </w:t>
      </w:r>
      <w:r w:rsidR="00A37428">
        <w:t xml:space="preserve">soon </w:t>
      </w:r>
      <w:r w:rsidR="00790E54">
        <w:t>spotted a police</w:t>
      </w:r>
      <w:r w:rsidR="004B5070">
        <w:t xml:space="preserve"> car</w:t>
      </w:r>
      <w:r w:rsidR="0054410B">
        <w:t>, flagged it down, and</w:t>
      </w:r>
      <w:r w:rsidR="008C12D5">
        <w:t xml:space="preserve"> </w:t>
      </w:r>
      <w:r w:rsidR="0014727D">
        <w:t>stopped to report the</w:t>
      </w:r>
      <w:r w:rsidR="00493541">
        <w:t xml:space="preserve"> shooting to</w:t>
      </w:r>
      <w:r w:rsidR="00CD5ADD">
        <w:t xml:space="preserve"> the officers inside.</w:t>
      </w:r>
      <w:r w:rsidR="00493541">
        <w:t xml:space="preserve"> </w:t>
      </w:r>
      <w:r w:rsidR="00CD5ADD">
        <w:t xml:space="preserve"> He also </w:t>
      </w:r>
      <w:r w:rsidR="009D262A">
        <w:t>gave them</w:t>
      </w:r>
      <w:r w:rsidR="00CD5ADD">
        <w:t xml:space="preserve"> </w:t>
      </w:r>
      <w:r w:rsidR="004B5070">
        <w:t xml:space="preserve">the </w:t>
      </w:r>
      <w:r w:rsidR="00C936B6">
        <w:t>Chevrolet’s</w:t>
      </w:r>
      <w:r w:rsidR="004B5070">
        <w:t xml:space="preserve"> license</w:t>
      </w:r>
      <w:r w:rsidR="00A37428">
        <w:t>-</w:t>
      </w:r>
      <w:r w:rsidR="004B5070">
        <w:t xml:space="preserve">plate number. </w:t>
      </w:r>
      <w:r w:rsidR="001C5EBB">
        <w:t xml:space="preserve"> </w:t>
      </w:r>
    </w:p>
    <w:p w14:paraId="108CD8EB" w14:textId="732286F6" w:rsidR="007B62C4" w:rsidRDefault="00674AB2" w:rsidP="00A069B4">
      <w:pPr>
        <w:spacing w:line="360" w:lineRule="auto"/>
      </w:pPr>
      <w:r>
        <w:tab/>
      </w:r>
      <w:r w:rsidR="00416F0F">
        <w:t xml:space="preserve">The </w:t>
      </w:r>
      <w:r>
        <w:t xml:space="preserve">police </w:t>
      </w:r>
      <w:r w:rsidR="00416F0F">
        <w:t>officers</w:t>
      </w:r>
      <w:r w:rsidR="00797BF4">
        <w:t xml:space="preserve"> quickly located the Chevrolet </w:t>
      </w:r>
      <w:r w:rsidR="008C12D5">
        <w:t xml:space="preserve">and attempted to conduct a traffic stop, but the </w:t>
      </w:r>
      <w:r w:rsidR="0014727D">
        <w:t>car</w:t>
      </w:r>
      <w:r w:rsidR="001407DA">
        <w:t xml:space="preserve"> sped up instead.  After</w:t>
      </w:r>
      <w:r>
        <w:t xml:space="preserve"> a chase of</w:t>
      </w:r>
      <w:r w:rsidR="001407DA">
        <w:t xml:space="preserve"> several blocks, the Chevrolet reached a dead end, </w:t>
      </w:r>
      <w:r w:rsidR="0054267D">
        <w:t xml:space="preserve">and both of its occupants exited.  </w:t>
      </w:r>
      <w:r w:rsidR="00706226">
        <w:t>T</w:t>
      </w:r>
      <w:r w:rsidR="005034ED">
        <w:t>he</w:t>
      </w:r>
      <w:r>
        <w:t xml:space="preserve"> officers </w:t>
      </w:r>
      <w:r w:rsidR="00706226">
        <w:t xml:space="preserve">then </w:t>
      </w:r>
      <w:r w:rsidR="0024405C">
        <w:t xml:space="preserve">drew their guns and ordered </w:t>
      </w:r>
      <w:r w:rsidR="00F365D6">
        <w:t>the two</w:t>
      </w:r>
      <w:r w:rsidR="00B80CF1">
        <w:t xml:space="preserve"> </w:t>
      </w:r>
      <w:r w:rsidR="004824E3">
        <w:t>people</w:t>
      </w:r>
      <w:r w:rsidR="0024405C">
        <w:t xml:space="preserve"> to stop</w:t>
      </w:r>
      <w:r w:rsidR="00706226">
        <w:t xml:space="preserve">. </w:t>
      </w:r>
      <w:r w:rsidR="00836DBF">
        <w:t xml:space="preserve"> The driver, later identified as A.M., ran one way, and the passenger, later identified as Herrera, ran the other way</w:t>
      </w:r>
      <w:r w:rsidR="00CC7ABA">
        <w:t xml:space="preserve">. </w:t>
      </w:r>
      <w:r w:rsidR="00374ECD">
        <w:t xml:space="preserve"> </w:t>
      </w:r>
      <w:r w:rsidR="00836DBF">
        <w:t xml:space="preserve">A.M. </w:t>
      </w:r>
      <w:r w:rsidR="00F365D6">
        <w:t xml:space="preserve">was </w:t>
      </w:r>
      <w:r w:rsidR="00AE4B82">
        <w:t>quickly apprehende</w:t>
      </w:r>
      <w:r w:rsidR="00F365D6">
        <w:t>d</w:t>
      </w:r>
      <w:r w:rsidR="00AE4B82">
        <w:t xml:space="preserve">. </w:t>
      </w:r>
      <w:r w:rsidR="00910486">
        <w:t xml:space="preserve"> A</w:t>
      </w:r>
      <w:r w:rsidR="00B91934">
        <w:t>fter</w:t>
      </w:r>
      <w:r w:rsidR="006E4BA2">
        <w:t xml:space="preserve"> a more extensive search,</w:t>
      </w:r>
      <w:r w:rsidR="00B91934">
        <w:t xml:space="preserve"> Herrera was located</w:t>
      </w:r>
      <w:r w:rsidR="006E4BA2">
        <w:t xml:space="preserve"> hiding in a park and </w:t>
      </w:r>
      <w:r w:rsidR="006E4BA2">
        <w:lastRenderedPageBreak/>
        <w:t xml:space="preserve">arrested without resistance. </w:t>
      </w:r>
      <w:r w:rsidR="00B91934">
        <w:t xml:space="preserve"> </w:t>
      </w:r>
      <w:r w:rsidR="009217C1">
        <w:t>He was carrying his own cell phone and</w:t>
      </w:r>
      <w:r w:rsidR="00C6518E">
        <w:t xml:space="preserve"> about</w:t>
      </w:r>
      <w:r w:rsidR="009217C1">
        <w:t xml:space="preserve"> $160 in cash. </w:t>
      </w:r>
    </w:p>
    <w:p w14:paraId="5A774B3C" w14:textId="71D13DC3" w:rsidR="003E0FF7" w:rsidRDefault="002C141A" w:rsidP="002A070A">
      <w:pPr>
        <w:spacing w:line="360" w:lineRule="auto"/>
      </w:pPr>
      <w:r>
        <w:tab/>
        <w:t xml:space="preserve">A semiautomatic handgun </w:t>
      </w:r>
      <w:r w:rsidR="009D192A">
        <w:t xml:space="preserve">with an extended magazine </w:t>
      </w:r>
      <w:r w:rsidR="00200039">
        <w:t>containing 19</w:t>
      </w:r>
      <w:r w:rsidR="00B80CF1">
        <w:t> </w:t>
      </w:r>
      <w:r w:rsidR="00490FC1">
        <w:t>rounds of</w:t>
      </w:r>
      <w:r w:rsidR="00F90BE4">
        <w:t xml:space="preserve"> </w:t>
      </w:r>
      <w:r w:rsidR="00490FC1">
        <w:t xml:space="preserve">nine-millimeter Luger </w:t>
      </w:r>
      <w:r w:rsidR="00F90BE4">
        <w:t>ammunition</w:t>
      </w:r>
      <w:r w:rsidR="00200039">
        <w:t xml:space="preserve"> </w:t>
      </w:r>
      <w:r>
        <w:t xml:space="preserve">was </w:t>
      </w:r>
      <w:r w:rsidR="00B41181">
        <w:t>recovered from</w:t>
      </w:r>
      <w:r>
        <w:t xml:space="preserve"> the Chevrolet’s </w:t>
      </w:r>
      <w:r w:rsidR="002758F5">
        <w:t xml:space="preserve">front </w:t>
      </w:r>
      <w:r>
        <w:t xml:space="preserve">passenger’s seat. </w:t>
      </w:r>
      <w:r w:rsidR="00B41181">
        <w:t xml:space="preserve"> </w:t>
      </w:r>
      <w:r w:rsidR="0052216F">
        <w:t xml:space="preserve">Forensic testing showed </w:t>
      </w:r>
      <w:r w:rsidR="002758F5">
        <w:t xml:space="preserve">that </w:t>
      </w:r>
      <w:r w:rsidR="00592E5F">
        <w:t>the gun</w:t>
      </w:r>
      <w:r w:rsidR="002758F5">
        <w:t>, which did not have a serial number,</w:t>
      </w:r>
      <w:r w:rsidR="0052216F">
        <w:t xml:space="preserve"> was used to shoot the cartridge case and bullet recovered at the scene. </w:t>
      </w:r>
      <w:r w:rsidR="005B5712">
        <w:t xml:space="preserve"> </w:t>
      </w:r>
      <w:r w:rsidR="002B1F35">
        <w:t>A</w:t>
      </w:r>
      <w:r w:rsidR="005B5712">
        <w:t xml:space="preserve"> bag of marijuana</w:t>
      </w:r>
      <w:r w:rsidR="002B1F35">
        <w:t xml:space="preserve"> with Herrera’s DNA on it was</w:t>
      </w:r>
      <w:r w:rsidR="005B5712">
        <w:t xml:space="preserve"> in the </w:t>
      </w:r>
      <w:r w:rsidR="002B1F35">
        <w:t xml:space="preserve">front </w:t>
      </w:r>
      <w:r w:rsidR="005B5712">
        <w:t>passenger’s-side door</w:t>
      </w:r>
      <w:r w:rsidR="00507E3F">
        <w:t xml:space="preserve">. </w:t>
      </w:r>
      <w:r w:rsidR="005B5712">
        <w:t xml:space="preserve"> </w:t>
      </w:r>
    </w:p>
    <w:p w14:paraId="4A5EBB37" w14:textId="59B6F40F" w:rsidR="003C0C05" w:rsidRDefault="00423EF8" w:rsidP="007634E8">
      <w:pPr>
        <w:keepNext/>
        <w:spacing w:line="360" w:lineRule="auto"/>
      </w:pPr>
      <w:r>
        <w:tab/>
      </w:r>
      <w:r>
        <w:rPr>
          <w:i/>
          <w:iCs/>
        </w:rPr>
        <w:t>C.</w:t>
      </w:r>
      <w:r>
        <w:rPr>
          <w:i/>
          <w:iCs/>
        </w:rPr>
        <w:tab/>
      </w:r>
      <w:r w:rsidR="00E90284" w:rsidRPr="00423EF8">
        <w:rPr>
          <w:i/>
          <w:iCs/>
        </w:rPr>
        <w:t xml:space="preserve">Herrera’s </w:t>
      </w:r>
      <w:r w:rsidR="00E35E22">
        <w:rPr>
          <w:i/>
          <w:iCs/>
        </w:rPr>
        <w:t xml:space="preserve">Out-of-court </w:t>
      </w:r>
      <w:r w:rsidR="00FF558F">
        <w:rPr>
          <w:i/>
          <w:iCs/>
        </w:rPr>
        <w:t>S</w:t>
      </w:r>
      <w:r w:rsidR="00E90284" w:rsidRPr="00423EF8">
        <w:rPr>
          <w:i/>
          <w:iCs/>
        </w:rPr>
        <w:t>tatements</w:t>
      </w:r>
    </w:p>
    <w:p w14:paraId="7454DEB6" w14:textId="2B7D7E0C" w:rsidR="004E51C5" w:rsidRDefault="004E51C5" w:rsidP="00553BB1">
      <w:pPr>
        <w:keepNext/>
        <w:spacing w:line="360" w:lineRule="auto"/>
      </w:pPr>
      <w:r>
        <w:tab/>
      </w:r>
      <w:r>
        <w:tab/>
      </w:r>
      <w:r w:rsidR="00423EF8">
        <w:t>1</w:t>
      </w:r>
      <w:r w:rsidR="00612997">
        <w:t>.</w:t>
      </w:r>
      <w:r w:rsidR="00612997">
        <w:tab/>
        <w:t>Police interrogation</w:t>
      </w:r>
    </w:p>
    <w:p w14:paraId="02E62400" w14:textId="0EA07CE3" w:rsidR="00B87B45" w:rsidRDefault="00E90284" w:rsidP="002A070A">
      <w:pPr>
        <w:spacing w:line="360" w:lineRule="auto"/>
      </w:pPr>
      <w:r>
        <w:tab/>
      </w:r>
      <w:r w:rsidR="00375826">
        <w:t xml:space="preserve">A video recording of Herrera’s </w:t>
      </w:r>
      <w:r w:rsidR="0068026C">
        <w:t>interrogation</w:t>
      </w:r>
      <w:r w:rsidR="00164A46">
        <w:t xml:space="preserve"> </w:t>
      </w:r>
      <w:r w:rsidR="00ED76EA">
        <w:t>the morning</w:t>
      </w:r>
      <w:r w:rsidR="00331D33">
        <w:t xml:space="preserve"> after his arrest</w:t>
      </w:r>
      <w:r w:rsidR="00375826">
        <w:t xml:space="preserve"> was played for the jury. </w:t>
      </w:r>
      <w:r w:rsidR="0020515A">
        <w:t xml:space="preserve"> </w:t>
      </w:r>
      <w:r w:rsidR="00901D1D">
        <w:t xml:space="preserve">Herrera </w:t>
      </w:r>
      <w:r w:rsidR="000E6F33">
        <w:t xml:space="preserve">stated he was in the </w:t>
      </w:r>
      <w:r w:rsidR="00ED76EA">
        <w:t xml:space="preserve">Chevrolet’s </w:t>
      </w:r>
      <w:r w:rsidR="000E6F33">
        <w:t>passenger’s seat during the car chase, and he</w:t>
      </w:r>
      <w:r w:rsidR="00525F75">
        <w:t xml:space="preserve"> </w:t>
      </w:r>
      <w:r w:rsidR="006735F1">
        <w:t xml:space="preserve">readily </w:t>
      </w:r>
      <w:r w:rsidR="00446FF5">
        <w:t xml:space="preserve">admitted the </w:t>
      </w:r>
      <w:r w:rsidR="00164A46">
        <w:t xml:space="preserve">gun </w:t>
      </w:r>
      <w:r w:rsidR="00DF7188">
        <w:t>left there</w:t>
      </w:r>
      <w:r w:rsidR="00446FF5">
        <w:t xml:space="preserve"> </w:t>
      </w:r>
      <w:r w:rsidR="00B87B45">
        <w:t>was his and he</w:t>
      </w:r>
      <w:r w:rsidR="002E5121">
        <w:t xml:space="preserve"> had been carrying it most of the day</w:t>
      </w:r>
      <w:r w:rsidR="00B87B45">
        <w:t xml:space="preserve">. </w:t>
      </w:r>
      <w:r w:rsidR="00DC740A">
        <w:t xml:space="preserve"> </w:t>
      </w:r>
    </w:p>
    <w:p w14:paraId="6C3F5887" w14:textId="6570C144" w:rsidR="00C721D7" w:rsidRDefault="0062220A" w:rsidP="002A070A">
      <w:pPr>
        <w:spacing w:line="360" w:lineRule="auto"/>
      </w:pPr>
      <w:r>
        <w:tab/>
        <w:t>Herrera initially denied knowing A.M.</w:t>
      </w:r>
      <w:r w:rsidR="00EA6F86">
        <w:t>’s name</w:t>
      </w:r>
      <w:r>
        <w:t>,</w:t>
      </w:r>
      <w:r w:rsidR="00EA6F86">
        <w:t xml:space="preserve"> claiming he had just met A.M. through another friend. </w:t>
      </w:r>
      <w:r w:rsidR="000C6839">
        <w:t xml:space="preserve"> </w:t>
      </w:r>
      <w:r w:rsidR="00E54721">
        <w:t>After the</w:t>
      </w:r>
      <w:r w:rsidR="004E51C5">
        <w:t xml:space="preserve"> police</w:t>
      </w:r>
      <w:r w:rsidR="00E54721">
        <w:t xml:space="preserve"> sergeant</w:t>
      </w:r>
      <w:r w:rsidR="004E51C5">
        <w:t xml:space="preserve"> questioning him</w:t>
      </w:r>
      <w:r w:rsidR="00E54721">
        <w:t xml:space="preserve"> alluded to the shooting, Herrera s</w:t>
      </w:r>
      <w:r w:rsidR="004B10D9">
        <w:t xml:space="preserve">aid </w:t>
      </w:r>
      <w:r w:rsidR="00E54721">
        <w:t xml:space="preserve">he and A.M. were walking to </w:t>
      </w:r>
      <w:r w:rsidR="00132AB0">
        <w:t xml:space="preserve">the </w:t>
      </w:r>
      <w:r w:rsidR="004B10D9">
        <w:t>store</w:t>
      </w:r>
      <w:r w:rsidR="00E54721">
        <w:t xml:space="preserve"> </w:t>
      </w:r>
      <w:r w:rsidR="00A356C9">
        <w:t xml:space="preserve">when they encountered Sac </w:t>
      </w:r>
      <w:proofErr w:type="spellStart"/>
      <w:r w:rsidR="00A356C9">
        <w:t>Ajtzalam</w:t>
      </w:r>
      <w:proofErr w:type="spellEnd"/>
      <w:r w:rsidR="00A356C9">
        <w:t xml:space="preserve">. </w:t>
      </w:r>
      <w:r w:rsidR="00641DBB">
        <w:t xml:space="preserve"> Herrera did not “know how it started</w:t>
      </w:r>
      <w:r w:rsidR="005C5229">
        <w:t xml:space="preserve">” or what A.M. and Sac </w:t>
      </w:r>
      <w:proofErr w:type="spellStart"/>
      <w:r w:rsidR="005C5229">
        <w:t>Ajtzalam</w:t>
      </w:r>
      <w:proofErr w:type="spellEnd"/>
      <w:r w:rsidR="005C5229">
        <w:t xml:space="preserve"> said to each other,</w:t>
      </w:r>
      <w:r w:rsidR="00641DBB">
        <w:t xml:space="preserve"> but </w:t>
      </w:r>
      <w:r w:rsidR="0024234F">
        <w:t xml:space="preserve">Sac </w:t>
      </w:r>
      <w:proofErr w:type="spellStart"/>
      <w:r w:rsidR="0024234F">
        <w:t>Ajtzalam</w:t>
      </w:r>
      <w:proofErr w:type="spellEnd"/>
      <w:r w:rsidR="0024234F">
        <w:t xml:space="preserve"> reached for </w:t>
      </w:r>
      <w:r w:rsidR="00D36FD2">
        <w:t xml:space="preserve">his </w:t>
      </w:r>
      <w:r w:rsidR="005C5229">
        <w:t xml:space="preserve">waist. </w:t>
      </w:r>
      <w:r w:rsidR="00D62673">
        <w:t xml:space="preserve"> Herrera</w:t>
      </w:r>
      <w:r w:rsidR="00EE7DC5">
        <w:t xml:space="preserve">, who was about four feet away from </w:t>
      </w:r>
      <w:r w:rsidR="000A2169">
        <w:t xml:space="preserve">Sac </w:t>
      </w:r>
      <w:proofErr w:type="spellStart"/>
      <w:r w:rsidR="000A2169">
        <w:t>Ajtzalam</w:t>
      </w:r>
      <w:proofErr w:type="spellEnd"/>
      <w:r w:rsidR="00EE7DC5">
        <w:t>,</w:t>
      </w:r>
      <w:r w:rsidR="00D62673">
        <w:t xml:space="preserve"> then </w:t>
      </w:r>
      <w:r w:rsidR="000A6341">
        <w:t xml:space="preserve">pulled out his gun </w:t>
      </w:r>
      <w:r w:rsidR="00EE7DC5">
        <w:t xml:space="preserve">and pointed it </w:t>
      </w:r>
      <w:r w:rsidR="00870A95">
        <w:t>at</w:t>
      </w:r>
      <w:r w:rsidR="00EE7DC5">
        <w:t xml:space="preserve"> the ground.  </w:t>
      </w:r>
      <w:r w:rsidR="003F421B">
        <w:t xml:space="preserve">Herrera thought this would get Sac </w:t>
      </w:r>
      <w:proofErr w:type="spellStart"/>
      <w:r w:rsidR="003F421B">
        <w:t>Ajtzalam</w:t>
      </w:r>
      <w:proofErr w:type="spellEnd"/>
      <w:r w:rsidR="003F421B">
        <w:t xml:space="preserve"> to “leave [him] alone,” since “</w:t>
      </w:r>
      <w:r w:rsidR="002275ED">
        <w:t xml:space="preserve">most </w:t>
      </w:r>
      <w:r w:rsidR="00A112F5">
        <w:t xml:space="preserve">people </w:t>
      </w:r>
      <w:r w:rsidR="00FD632E">
        <w:t>. . .</w:t>
      </w:r>
      <w:r w:rsidR="00A112F5">
        <w:t xml:space="preserve"> when they see a </w:t>
      </w:r>
      <w:proofErr w:type="gramStart"/>
      <w:r w:rsidR="00A112F5">
        <w:t>gun</w:t>
      </w:r>
      <w:r w:rsidR="009B65A6">
        <w:t>[</w:t>
      </w:r>
      <w:proofErr w:type="gramEnd"/>
      <w:r w:rsidR="009B65A6">
        <w:t>,]</w:t>
      </w:r>
      <w:r w:rsidR="00A112F5">
        <w:t xml:space="preserve"> they’ll </w:t>
      </w:r>
      <w:r w:rsidR="00FD632E">
        <w:t>. . .</w:t>
      </w:r>
      <w:r w:rsidR="005E2E6A">
        <w:t xml:space="preserve"> </w:t>
      </w:r>
      <w:r w:rsidR="00A112F5">
        <w:t>start automatically running.”</w:t>
      </w:r>
      <w:r w:rsidR="003F421B">
        <w:t xml:space="preserve"> </w:t>
      </w:r>
      <w:r w:rsidR="00A112F5">
        <w:t xml:space="preserve"> But </w:t>
      </w:r>
      <w:r w:rsidR="00EE7DC5">
        <w:t xml:space="preserve">Sac </w:t>
      </w:r>
      <w:proofErr w:type="spellStart"/>
      <w:r w:rsidR="00EE7DC5">
        <w:t>Ajtzalam</w:t>
      </w:r>
      <w:proofErr w:type="spellEnd"/>
      <w:r w:rsidR="00EE7DC5">
        <w:t xml:space="preserve"> </w:t>
      </w:r>
      <w:r w:rsidR="005E2E6A">
        <w:t>“rush[ed]”</w:t>
      </w:r>
      <w:r w:rsidR="00A112F5">
        <w:t xml:space="preserve"> him, </w:t>
      </w:r>
      <w:r w:rsidR="00236771">
        <w:t>so Herrera shot at the ground once</w:t>
      </w:r>
      <w:r w:rsidR="00EC463C">
        <w:t>, not intending to hurt the other man.</w:t>
      </w:r>
      <w:r w:rsidR="001530EC">
        <w:t xml:space="preserve">  </w:t>
      </w:r>
    </w:p>
    <w:p w14:paraId="3F96D43F" w14:textId="47604F9A" w:rsidR="00891DDF" w:rsidRDefault="00891DDF" w:rsidP="002A070A">
      <w:pPr>
        <w:spacing w:line="360" w:lineRule="auto"/>
      </w:pPr>
      <w:r>
        <w:tab/>
      </w:r>
      <w:r w:rsidR="00D87623">
        <w:t xml:space="preserve">The sergeant told Herrera there was a witness “who saw three people fighting” and asked whether Herrera threw any punches.  Herrera </w:t>
      </w:r>
      <w:r w:rsidR="00BD5D26">
        <w:t>s</w:t>
      </w:r>
      <w:r w:rsidR="003B24F2">
        <w:t>ai</w:t>
      </w:r>
      <w:r w:rsidR="00BD5D26">
        <w:t xml:space="preserve">d he </w:t>
      </w:r>
      <w:r w:rsidR="00BD5D26">
        <w:lastRenderedPageBreak/>
        <w:t>did not, but A.M. “tried to do something first” and Herrera then “tried to back [A.M.] up</w:t>
      </w:r>
      <w:r w:rsidR="00B050D8">
        <w:t xml:space="preserve">” and “have [Sac </w:t>
      </w:r>
      <w:proofErr w:type="spellStart"/>
      <w:r w:rsidR="00B050D8">
        <w:t>Ajtzalam</w:t>
      </w:r>
      <w:proofErr w:type="spellEnd"/>
      <w:r w:rsidR="00B050D8">
        <w:t xml:space="preserve">] run off” and “leave [them] alone.”  After Herrera stated that Sac </w:t>
      </w:r>
      <w:proofErr w:type="spellStart"/>
      <w:r w:rsidR="00B050D8">
        <w:t>Ajtzalam</w:t>
      </w:r>
      <w:proofErr w:type="spellEnd"/>
      <w:r w:rsidR="00B050D8">
        <w:t xml:space="preserve"> was “small as shit,” the sergeant asked w</w:t>
      </w:r>
      <w:r w:rsidR="00512B1B">
        <w:t xml:space="preserve">hether it would “make sense for a small guy to start </w:t>
      </w:r>
      <w:r w:rsidR="00FD632E">
        <w:t>. . .</w:t>
      </w:r>
      <w:r w:rsidR="00512B1B">
        <w:t xml:space="preserve"> talking trash to two guys.”</w:t>
      </w:r>
      <w:r w:rsidR="008370BD">
        <w:rPr>
          <w:rStyle w:val="FootnoteReference"/>
        </w:rPr>
        <w:footnoteReference w:id="4"/>
      </w:r>
      <w:r w:rsidR="00512B1B">
        <w:t xml:space="preserve">  Herrera </w:t>
      </w:r>
      <w:r w:rsidR="00F5704C">
        <w:t>said he</w:t>
      </w:r>
      <w:r w:rsidR="00512B1B">
        <w:t xml:space="preserve"> “wasn’t there at </w:t>
      </w:r>
      <w:r w:rsidR="00D719EE">
        <w:t xml:space="preserve">first” and indicated the initial confrontation was between A.M. and Sac </w:t>
      </w:r>
      <w:proofErr w:type="spellStart"/>
      <w:r w:rsidR="00D719EE">
        <w:t>Ajtzalam</w:t>
      </w:r>
      <w:proofErr w:type="spellEnd"/>
      <w:r w:rsidR="00D719EE">
        <w:t xml:space="preserve"> only. </w:t>
      </w:r>
    </w:p>
    <w:p w14:paraId="32E142B4" w14:textId="64673B09" w:rsidR="004D3BA7" w:rsidRDefault="00263285" w:rsidP="002A070A">
      <w:pPr>
        <w:spacing w:line="360" w:lineRule="auto"/>
      </w:pPr>
      <w:r>
        <w:tab/>
      </w:r>
      <w:r w:rsidR="00A654F4">
        <w:t xml:space="preserve">Herrera </w:t>
      </w:r>
      <w:r w:rsidR="00C834B4">
        <w:t xml:space="preserve">reacted with surprise when the sergeant told him he “hit the guy out on Shotwell Street and he died.”  Herrera then admitted he had known A.M. “for a while” and </w:t>
      </w:r>
      <w:r w:rsidR="009A4B9B">
        <w:t xml:space="preserve">they were friends.  According to </w:t>
      </w:r>
      <w:r w:rsidR="007E72BD">
        <w:t xml:space="preserve">Herrera, </w:t>
      </w:r>
      <w:r w:rsidR="00F5704C">
        <w:t xml:space="preserve">before the shooting </w:t>
      </w:r>
      <w:r w:rsidR="007E72BD">
        <w:t>he and A.M. dropped off a</w:t>
      </w:r>
      <w:r w:rsidR="00CC19EA">
        <w:t>nother</w:t>
      </w:r>
      <w:r w:rsidR="007E72BD">
        <w:t xml:space="preserve"> friend </w:t>
      </w:r>
      <w:r w:rsidR="00DB1E8F">
        <w:t xml:space="preserve">and </w:t>
      </w:r>
      <w:r w:rsidR="0058162F">
        <w:t>headed to the McDonald’s at 1</w:t>
      </w:r>
      <w:r w:rsidR="002B0FA8">
        <w:t>6th Street and Potrero Avenue.</w:t>
      </w:r>
      <w:r w:rsidR="007E72BD">
        <w:t xml:space="preserve"> </w:t>
      </w:r>
      <w:r w:rsidR="00132AB0">
        <w:t xml:space="preserve"> </w:t>
      </w:r>
      <w:r w:rsidR="001215D0">
        <w:t xml:space="preserve">A.M. was driving, and Herrera was in the back seat.  </w:t>
      </w:r>
      <w:r w:rsidR="00903E8D">
        <w:t>On the way, they stopped at Herrera’s home</w:t>
      </w:r>
      <w:r w:rsidR="004E0288">
        <w:t xml:space="preserve"> </w:t>
      </w:r>
      <w:r w:rsidR="00903E8D">
        <w:t xml:space="preserve">so </w:t>
      </w:r>
      <w:r w:rsidR="00450C1B">
        <w:t>Herrera could use the bathroom, and</w:t>
      </w:r>
      <w:r w:rsidR="003D087F">
        <w:t xml:space="preserve"> they</w:t>
      </w:r>
      <w:r w:rsidR="00450C1B">
        <w:t xml:space="preserve"> then proceeded toward </w:t>
      </w:r>
      <w:r w:rsidR="004E0288">
        <w:t xml:space="preserve">the </w:t>
      </w:r>
      <w:r w:rsidR="00450C1B">
        <w:t xml:space="preserve">McDonald’s.  </w:t>
      </w:r>
    </w:p>
    <w:p w14:paraId="37078EF3" w14:textId="2A618BD2" w:rsidR="00DA5201" w:rsidRDefault="004D3BA7" w:rsidP="002A070A">
      <w:pPr>
        <w:spacing w:line="360" w:lineRule="auto"/>
      </w:pPr>
      <w:r>
        <w:tab/>
        <w:t xml:space="preserve">According to Herrera, </w:t>
      </w:r>
      <w:r w:rsidR="00CF16D9">
        <w:t xml:space="preserve">A.M. double-parked the car </w:t>
      </w:r>
      <w:r>
        <w:t xml:space="preserve">on Shotwell </w:t>
      </w:r>
      <w:r w:rsidR="00980EFF">
        <w:t xml:space="preserve">and left the engine running. </w:t>
      </w:r>
      <w:r>
        <w:t xml:space="preserve"> Herrera initially claimed</w:t>
      </w:r>
      <w:r w:rsidR="00913285">
        <w:t xml:space="preserve"> </w:t>
      </w:r>
      <w:r>
        <w:t xml:space="preserve">they </w:t>
      </w:r>
      <w:r w:rsidR="00F77411">
        <w:t xml:space="preserve">both got out to go to the </w:t>
      </w:r>
      <w:r w:rsidR="001215D0">
        <w:t xml:space="preserve">liquor </w:t>
      </w:r>
      <w:r w:rsidR="00F77411">
        <w:t>store</w:t>
      </w:r>
      <w:r w:rsidR="00DF3763">
        <w:t xml:space="preserve"> at 21st and South </w:t>
      </w:r>
      <w:proofErr w:type="gramStart"/>
      <w:r w:rsidR="00DF3763">
        <w:t>Van</w:t>
      </w:r>
      <w:proofErr w:type="gramEnd"/>
      <w:r w:rsidR="00DF3763">
        <w:t xml:space="preserve"> Ness</w:t>
      </w:r>
      <w:r w:rsidR="00F77411">
        <w:t>,</w:t>
      </w:r>
      <w:r w:rsidR="001306F3">
        <w:t xml:space="preserve"> but</w:t>
      </w:r>
      <w:r w:rsidR="00F77411">
        <w:t xml:space="preserve"> he could not explain why A.M. would have parked a block away from it. </w:t>
      </w:r>
      <w:r w:rsidR="00EE1507">
        <w:t xml:space="preserve"> </w:t>
      </w:r>
      <w:r w:rsidR="00DA5201">
        <w:t xml:space="preserve">Under further pressing, Herrera </w:t>
      </w:r>
      <w:r w:rsidR="00EC3B98">
        <w:t>indicated</w:t>
      </w:r>
      <w:r w:rsidR="00466DB4">
        <w:t xml:space="preserve"> that A.M. was</w:t>
      </w:r>
      <w:r w:rsidR="006C1C14">
        <w:t xml:space="preserve"> high</w:t>
      </w:r>
      <w:r w:rsidR="00466DB4">
        <w:t xml:space="preserve"> on </w:t>
      </w:r>
      <w:r w:rsidR="000A3689">
        <w:t>Xanax and Percocet</w:t>
      </w:r>
      <w:r w:rsidR="00EC3B98">
        <w:t xml:space="preserve"> and his behavior could not be explained. </w:t>
      </w:r>
    </w:p>
    <w:p w14:paraId="5C710ED3" w14:textId="3934E5C7" w:rsidR="00437789" w:rsidRDefault="00EC3B98" w:rsidP="002A070A">
      <w:pPr>
        <w:spacing w:line="360" w:lineRule="auto"/>
      </w:pPr>
      <w:r>
        <w:tab/>
      </w:r>
      <w:r w:rsidR="00981039">
        <w:t xml:space="preserve">Herrera then lamented he was </w:t>
      </w:r>
      <w:r w:rsidR="001138E7">
        <w:t>“going to be stuck in this bitch for life”</w:t>
      </w:r>
      <w:r w:rsidR="007372ED">
        <w:t xml:space="preserve"> because A.M. “wanted money </w:t>
      </w:r>
      <w:r w:rsidR="008470FD">
        <w:t xml:space="preserve">for his </w:t>
      </w:r>
      <w:proofErr w:type="gramStart"/>
      <w:r w:rsidR="008470FD">
        <w:t>birthday[</w:t>
      </w:r>
      <w:proofErr w:type="gramEnd"/>
      <w:r w:rsidR="008470FD">
        <w:t xml:space="preserve">,] that’s the only reason.” </w:t>
      </w:r>
      <w:r w:rsidR="001138E7">
        <w:t xml:space="preserve"> </w:t>
      </w:r>
      <w:r w:rsidR="006C1C14">
        <w:t xml:space="preserve">Herrera explained that </w:t>
      </w:r>
      <w:r w:rsidR="005C7E28">
        <w:t>A.M. was turning 18 years old in a few days</w:t>
      </w:r>
      <w:r w:rsidR="009947A7">
        <w:t xml:space="preserve"> and </w:t>
      </w:r>
      <w:r w:rsidR="00015BBB">
        <w:t>had said he</w:t>
      </w:r>
      <w:r w:rsidR="005C7E28">
        <w:t xml:space="preserve"> </w:t>
      </w:r>
      <w:r w:rsidR="00B72310">
        <w:t xml:space="preserve">just lost some money. </w:t>
      </w:r>
      <w:r>
        <w:t xml:space="preserve"> But </w:t>
      </w:r>
      <w:r w:rsidR="00BB13F5">
        <w:t xml:space="preserve">Herrera denied knowing </w:t>
      </w:r>
      <w:r w:rsidR="00D5041C">
        <w:t xml:space="preserve">whether A.M. </w:t>
      </w:r>
      <w:r w:rsidR="00D5041C">
        <w:lastRenderedPageBreak/>
        <w:t xml:space="preserve">intended to commit a robbery or </w:t>
      </w:r>
      <w:r w:rsidR="00D32611">
        <w:t>“’what [A.M.] was trying to do</w:t>
      </w:r>
      <w:r w:rsidR="00D5041C">
        <w:t>” at all.</w:t>
      </w:r>
      <w:r w:rsidR="00180DC1">
        <w:t xml:space="preserve"> </w:t>
      </w:r>
      <w:r w:rsidR="000C6102">
        <w:t xml:space="preserve"> Herrera </w:t>
      </w:r>
      <w:r w:rsidR="003C02D0">
        <w:t xml:space="preserve">also </w:t>
      </w:r>
      <w:r w:rsidR="000C6102">
        <w:t>flatly denied intending to rob anyone</w:t>
      </w:r>
      <w:r w:rsidR="003C02D0">
        <w:t xml:space="preserve"> himself</w:t>
      </w:r>
      <w:r w:rsidR="000C6102">
        <w:t xml:space="preserve">, </w:t>
      </w:r>
      <w:r w:rsidR="00976D04">
        <w:t xml:space="preserve">stating he was “scared” when Sac </w:t>
      </w:r>
      <w:proofErr w:type="spellStart"/>
      <w:r w:rsidR="00976D04">
        <w:t>Ajtzalam</w:t>
      </w:r>
      <w:proofErr w:type="spellEnd"/>
      <w:r w:rsidR="003F3E80">
        <w:t xml:space="preserve"> “tried to come at [him]” and </w:t>
      </w:r>
      <w:proofErr w:type="gramStart"/>
      <w:r w:rsidR="003F3E80">
        <w:t>was</w:t>
      </w:r>
      <w:r w:rsidR="00976D04">
        <w:t xml:space="preserve">  “</w:t>
      </w:r>
      <w:proofErr w:type="gramEnd"/>
      <w:r w:rsidR="00976D04">
        <w:t xml:space="preserve">just trying to defend [him]self.” </w:t>
      </w:r>
      <w:r w:rsidR="001E354D">
        <w:t xml:space="preserve"> He also denied that either he or A.M. </w:t>
      </w:r>
      <w:r w:rsidR="00FC20BD">
        <w:t xml:space="preserve">tried to take </w:t>
      </w:r>
      <w:r w:rsidR="001E354D">
        <w:t>any</w:t>
      </w:r>
      <w:r w:rsidR="00FC20BD">
        <w:t xml:space="preserve"> property</w:t>
      </w:r>
      <w:r w:rsidR="001E354D">
        <w:t xml:space="preserve"> from Sac </w:t>
      </w:r>
      <w:proofErr w:type="spellStart"/>
      <w:r w:rsidR="001E354D">
        <w:t>Ajtzalam</w:t>
      </w:r>
      <w:proofErr w:type="spellEnd"/>
      <w:r w:rsidR="001E354D">
        <w:t xml:space="preserve">. </w:t>
      </w:r>
    </w:p>
    <w:p w14:paraId="07C94CA0" w14:textId="66D379C2" w:rsidR="00951A1E" w:rsidRDefault="00DF24DE" w:rsidP="002A070A">
      <w:pPr>
        <w:spacing w:line="360" w:lineRule="auto"/>
      </w:pPr>
      <w:r>
        <w:tab/>
        <w:t xml:space="preserve">The sergeant then revealed that A.M. </w:t>
      </w:r>
      <w:r w:rsidR="00CA00ED">
        <w:t>claimed</w:t>
      </w:r>
      <w:r w:rsidR="00EE15FF">
        <w:t xml:space="preserve"> he</w:t>
      </w:r>
      <w:r w:rsidR="00085C22">
        <w:t xml:space="preserve"> did not know Herrera</w:t>
      </w:r>
      <w:r w:rsidR="00CA00ED">
        <w:t xml:space="preserve"> and Herrera </w:t>
      </w:r>
      <w:r w:rsidR="00824A0D">
        <w:t xml:space="preserve">appeared out </w:t>
      </w:r>
      <w:r w:rsidR="00AF3239">
        <w:t xml:space="preserve">of nowhere </w:t>
      </w:r>
      <w:r w:rsidR="00781F6D">
        <w:t xml:space="preserve">while </w:t>
      </w:r>
      <w:r w:rsidR="00781F6D" w:rsidRPr="00824A0D">
        <w:rPr>
          <w:i/>
          <w:iCs/>
        </w:rPr>
        <w:t>Sac</w:t>
      </w:r>
      <w:r w:rsidR="00AF3239" w:rsidRPr="00824A0D">
        <w:rPr>
          <w:i/>
          <w:iCs/>
        </w:rPr>
        <w:t xml:space="preserve"> </w:t>
      </w:r>
      <w:proofErr w:type="spellStart"/>
      <w:r w:rsidR="00AF3239" w:rsidRPr="00824A0D">
        <w:rPr>
          <w:i/>
          <w:iCs/>
        </w:rPr>
        <w:t>Ajtzalam</w:t>
      </w:r>
      <w:proofErr w:type="spellEnd"/>
      <w:r w:rsidR="00781F6D">
        <w:t xml:space="preserve"> was trying to rob </w:t>
      </w:r>
      <w:r w:rsidR="00781F6D" w:rsidRPr="00767602">
        <w:rPr>
          <w:i/>
          <w:iCs/>
        </w:rPr>
        <w:t>A.M</w:t>
      </w:r>
      <w:r w:rsidR="00AF3239" w:rsidRPr="00767602">
        <w:rPr>
          <w:i/>
          <w:iCs/>
        </w:rPr>
        <w:t xml:space="preserve">. </w:t>
      </w:r>
      <w:r w:rsidR="009F0F1C">
        <w:t xml:space="preserve"> According to the sergeant, A.M. said Herrera</w:t>
      </w:r>
      <w:r w:rsidR="00781F6D">
        <w:t xml:space="preserve"> shot Sac </w:t>
      </w:r>
      <w:proofErr w:type="spellStart"/>
      <w:r w:rsidR="00781F6D">
        <w:t>Ajtzalam</w:t>
      </w:r>
      <w:proofErr w:type="spellEnd"/>
      <w:r w:rsidR="00B3214D">
        <w:t xml:space="preserve"> and</w:t>
      </w:r>
      <w:r w:rsidR="009F0F1C">
        <w:t xml:space="preserve"> </w:t>
      </w:r>
      <w:r w:rsidR="00B3214D">
        <w:t xml:space="preserve">then </w:t>
      </w:r>
      <w:r w:rsidR="009F0F1C">
        <w:t xml:space="preserve">forced </w:t>
      </w:r>
      <w:r w:rsidR="00B3214D">
        <w:t>A.M. at gunpoint</w:t>
      </w:r>
      <w:r w:rsidR="009F0F1C">
        <w:t xml:space="preserve"> to drive away from the </w:t>
      </w:r>
      <w:r w:rsidR="00B3214D">
        <w:t xml:space="preserve">scene.  The sergeant said </w:t>
      </w:r>
      <w:r w:rsidR="009F0F1C">
        <w:t xml:space="preserve">A.M. was </w:t>
      </w:r>
      <w:r w:rsidR="00854FAB">
        <w:t>afraid Herrera wa</w:t>
      </w:r>
      <w:r w:rsidR="00413E8B">
        <w:t xml:space="preserve">s going to shoot him </w:t>
      </w:r>
      <w:r w:rsidR="00767602">
        <w:t>and “was cryi</w:t>
      </w:r>
      <w:r w:rsidR="00413E8B">
        <w:t>ng to his mommy.”</w:t>
      </w:r>
      <w:r w:rsidR="0087046F">
        <w:rPr>
          <w:rStyle w:val="FootnoteReference"/>
        </w:rPr>
        <w:footnoteReference w:id="5"/>
      </w:r>
      <w:r w:rsidR="00413E8B">
        <w:t xml:space="preserve">  </w:t>
      </w:r>
    </w:p>
    <w:p w14:paraId="5F37E69A" w14:textId="0C2F1944" w:rsidR="00B87B45" w:rsidRDefault="00951A1E" w:rsidP="002A070A">
      <w:pPr>
        <w:spacing w:line="360" w:lineRule="auto"/>
      </w:pPr>
      <w:r>
        <w:tab/>
      </w:r>
      <w:r w:rsidR="00413E8B">
        <w:t xml:space="preserve">Herrera </w:t>
      </w:r>
      <w:r w:rsidR="00CA2832">
        <w:t>stated</w:t>
      </w:r>
      <w:r w:rsidR="00413E8B">
        <w:t>, “No</w:t>
      </w:r>
      <w:r w:rsidR="009479B0">
        <w:t xml:space="preserve">, no.  </w:t>
      </w:r>
      <w:r>
        <w:t>[A.M.]</w:t>
      </w:r>
      <w:r w:rsidR="009479B0">
        <w:t xml:space="preserve"> was not crying.  He knew exactly what he was doing.”  When the sergeant asked what A.M. </w:t>
      </w:r>
      <w:r w:rsidR="007E425D">
        <w:t xml:space="preserve">was doing, Herrera said, </w:t>
      </w:r>
      <w:r w:rsidR="007E425D" w:rsidRPr="004E68E1">
        <w:t>“</w:t>
      </w:r>
      <w:r w:rsidR="004E68E1" w:rsidRPr="004E68E1">
        <w:rPr>
          <w:i/>
          <w:iCs/>
        </w:rPr>
        <w:t>[H]</w:t>
      </w:r>
      <w:r w:rsidR="007E425D" w:rsidRPr="004E68E1">
        <w:rPr>
          <w:i/>
          <w:iCs/>
        </w:rPr>
        <w:t>e</w:t>
      </w:r>
      <w:r w:rsidR="007E425D">
        <w:t xml:space="preserve"> wanted to go rob that dude</w:t>
      </w:r>
      <w:r w:rsidR="00C31D91">
        <w:t>.”</w:t>
      </w:r>
      <w:r w:rsidR="009F0F1C">
        <w:t xml:space="preserve"> </w:t>
      </w:r>
      <w:r w:rsidR="005A18AF">
        <w:t xml:space="preserve"> (Italics added.)</w:t>
      </w:r>
      <w:r w:rsidR="00C1194D">
        <w:rPr>
          <w:rStyle w:val="FootnoteReference"/>
        </w:rPr>
        <w:footnoteReference w:id="6"/>
      </w:r>
      <w:r w:rsidR="0031003E">
        <w:t xml:space="preserve">  The sergeant repeated, “He wanted to go rob </w:t>
      </w:r>
      <w:proofErr w:type="gramStart"/>
      <w:r w:rsidR="0031003E">
        <w:t>him?,</w:t>
      </w:r>
      <w:proofErr w:type="gramEnd"/>
      <w:r w:rsidR="0031003E">
        <w:t xml:space="preserve">” and Herrera </w:t>
      </w:r>
      <w:r w:rsidR="00CA2832">
        <w:t>responded</w:t>
      </w:r>
      <w:r w:rsidR="0031003E">
        <w:t>, “</w:t>
      </w:r>
      <w:r w:rsidR="00842853">
        <w:t xml:space="preserve">Yes bro, I tried to tell him no </w:t>
      </w:r>
      <w:proofErr w:type="spellStart"/>
      <w:r w:rsidR="00842853">
        <w:t>hella</w:t>
      </w:r>
      <w:proofErr w:type="spellEnd"/>
      <w:r w:rsidR="00842853">
        <w:t xml:space="preserve"> times, bro.  I tried to tell him no bro, I don’t </w:t>
      </w:r>
      <w:proofErr w:type="spellStart"/>
      <w:r w:rsidR="00842853">
        <w:t>wanna</w:t>
      </w:r>
      <w:proofErr w:type="spellEnd"/>
      <w:r w:rsidR="00842853">
        <w:t xml:space="preserve"> do it bro. </w:t>
      </w:r>
      <w:r w:rsidR="002F3B2C">
        <w:t xml:space="preserve"> </w:t>
      </w:r>
      <w:r w:rsidR="00842853">
        <w:t>I’m just trying to go get some fucking McDonald’s bro.</w:t>
      </w:r>
      <w:r w:rsidR="002F3B2C">
        <w:t xml:space="preserve">  </w:t>
      </w:r>
      <w:r w:rsidR="00842853">
        <w:t xml:space="preserve">This nigga gets out of the car bro, and he </w:t>
      </w:r>
      <w:r w:rsidR="00493863">
        <w:t>. . .</w:t>
      </w:r>
      <w:r w:rsidR="00842853">
        <w:t xml:space="preserve"> still tries to do it bro, and </w:t>
      </w:r>
      <w:r w:rsidR="00493863">
        <w:t>. . .</w:t>
      </w:r>
      <w:r w:rsidR="00842853">
        <w:t xml:space="preserve"> I see this guy as my fucking like little brother bro, and you feel me if somebody tries to hurt him bro of course I’m going to get offended bro because I knew him for so long bro.”</w:t>
      </w:r>
      <w:r w:rsidR="00056F56">
        <w:t xml:space="preserve"> </w:t>
      </w:r>
    </w:p>
    <w:p w14:paraId="079E9882" w14:textId="60FAA391" w:rsidR="00B37EE5" w:rsidRDefault="00B37EE5" w:rsidP="002A070A">
      <w:pPr>
        <w:spacing w:line="360" w:lineRule="auto"/>
      </w:pPr>
      <w:r>
        <w:tab/>
        <w:t xml:space="preserve">Herrera then elaborated on </w:t>
      </w:r>
      <w:r w:rsidR="003B4D61">
        <w:t xml:space="preserve">the events leading up to the shooting.  He claimed that </w:t>
      </w:r>
      <w:r w:rsidR="00972627">
        <w:t xml:space="preserve">as they were driving, A.M. said, “[T]here’s hoes over here, bro,” </w:t>
      </w:r>
      <w:r w:rsidR="00972627">
        <w:lastRenderedPageBreak/>
        <w:t xml:space="preserve">and parked the car.  </w:t>
      </w:r>
      <w:r w:rsidR="004B3683">
        <w:t>Herrera told A.M. he did</w:t>
      </w:r>
      <w:r w:rsidR="003E479D">
        <w:t xml:space="preserve"> not</w:t>
      </w:r>
      <w:r w:rsidR="004B3683">
        <w:t xml:space="preserve"> </w:t>
      </w:r>
      <w:r w:rsidR="00C63CE3">
        <w:t>“</w:t>
      </w:r>
      <w:r w:rsidR="004B3683">
        <w:t xml:space="preserve">give a fuck” and told him to go to McDonald’s, </w:t>
      </w:r>
      <w:r w:rsidR="00F54D19">
        <w:t xml:space="preserve">but A.M. </w:t>
      </w:r>
      <w:r w:rsidR="007915F2">
        <w:t>exited</w:t>
      </w:r>
      <w:r w:rsidR="00F54D19">
        <w:t xml:space="preserve"> the car.  </w:t>
      </w:r>
      <w:r w:rsidR="00A13C2F">
        <w:t xml:space="preserve">A.M. then “walked up on” Sac </w:t>
      </w:r>
      <w:proofErr w:type="spellStart"/>
      <w:r w:rsidR="00A13C2F">
        <w:t>Ajtzalam</w:t>
      </w:r>
      <w:proofErr w:type="spellEnd"/>
      <w:r w:rsidR="00A13C2F">
        <w:t xml:space="preserve"> and </w:t>
      </w:r>
      <w:r w:rsidR="00E90159">
        <w:t>S.S.</w:t>
      </w:r>
      <w:r w:rsidR="00A13C2F">
        <w:t xml:space="preserve"> and punched Sac </w:t>
      </w:r>
      <w:proofErr w:type="spellStart"/>
      <w:r w:rsidR="00A13C2F">
        <w:t>Ajtzalam</w:t>
      </w:r>
      <w:proofErr w:type="spellEnd"/>
      <w:r w:rsidR="00156D54">
        <w:t xml:space="preserve">.  Sac </w:t>
      </w:r>
      <w:proofErr w:type="spellStart"/>
      <w:r w:rsidR="00156D54">
        <w:t>Ajtzalam</w:t>
      </w:r>
      <w:proofErr w:type="spellEnd"/>
      <w:r w:rsidR="00156D54">
        <w:t xml:space="preserve"> “reached for something,” </w:t>
      </w:r>
      <w:r w:rsidR="00D81A2D">
        <w:t xml:space="preserve">at which point </w:t>
      </w:r>
      <w:r w:rsidR="00156D54">
        <w:t>H</w:t>
      </w:r>
      <w:r w:rsidR="002A68B9">
        <w:t xml:space="preserve">errera “just shot </w:t>
      </w:r>
      <w:r w:rsidR="00D81A2D">
        <w:t xml:space="preserve">once” to get him to go away, and Sac </w:t>
      </w:r>
      <w:proofErr w:type="spellStart"/>
      <w:r w:rsidR="00D81A2D">
        <w:t>Ajtzalam</w:t>
      </w:r>
      <w:proofErr w:type="spellEnd"/>
      <w:r w:rsidR="00D81A2D">
        <w:t xml:space="preserve"> </w:t>
      </w:r>
      <w:r w:rsidR="00B2032A">
        <w:t xml:space="preserve">ran </w:t>
      </w:r>
      <w:r w:rsidR="00E90159">
        <w:t>off</w:t>
      </w:r>
      <w:r w:rsidR="00B2032A">
        <w:t xml:space="preserve"> while Herrera and A.M. ran back to the car. </w:t>
      </w:r>
      <w:r w:rsidR="002A68B9">
        <w:t xml:space="preserve"> </w:t>
      </w:r>
      <w:r w:rsidR="00511A43">
        <w:t xml:space="preserve">Herrera denied either that he punched Sac </w:t>
      </w:r>
      <w:proofErr w:type="spellStart"/>
      <w:r w:rsidR="00511A43">
        <w:t>Ajtzalam</w:t>
      </w:r>
      <w:proofErr w:type="spellEnd"/>
      <w:r w:rsidR="00511A43">
        <w:t xml:space="preserve"> or that Sac </w:t>
      </w:r>
      <w:proofErr w:type="spellStart"/>
      <w:r w:rsidR="00511A43">
        <w:t>Ajtzalam</w:t>
      </w:r>
      <w:proofErr w:type="spellEnd"/>
      <w:r w:rsidR="00511A43">
        <w:t xml:space="preserve"> punched A.M. </w:t>
      </w:r>
    </w:p>
    <w:p w14:paraId="198B1C2A" w14:textId="5C23D079" w:rsidR="006A419E" w:rsidRDefault="006A419E" w:rsidP="002A070A">
      <w:pPr>
        <w:spacing w:line="360" w:lineRule="auto"/>
      </w:pPr>
      <w:r>
        <w:tab/>
      </w:r>
      <w:r w:rsidR="00B42525">
        <w:t xml:space="preserve">Near </w:t>
      </w:r>
      <w:r>
        <w:t xml:space="preserve">the end of the interrogation, </w:t>
      </w:r>
      <w:r w:rsidR="000D587B">
        <w:t xml:space="preserve">when asked whether A.M. had any money on him, Herrera </w:t>
      </w:r>
      <w:r w:rsidR="00714570">
        <w:t xml:space="preserve">stated that A.M. had $300 </w:t>
      </w:r>
      <w:r w:rsidR="004357EC">
        <w:t>he got when he “took [a phone] from a fucking lady.</w:t>
      </w:r>
      <w:r w:rsidR="00D16155">
        <w:t>”</w:t>
      </w:r>
      <w:r w:rsidR="004357EC">
        <w:t xml:space="preserve">  </w:t>
      </w:r>
      <w:r w:rsidR="00D92D49">
        <w:t>Herrera said he</w:t>
      </w:r>
      <w:r w:rsidR="00370FFC">
        <w:t xml:space="preserve"> was nearby when A.M. </w:t>
      </w:r>
      <w:r w:rsidR="005743AF">
        <w:t>stole a</w:t>
      </w:r>
      <w:r w:rsidR="00E279FF">
        <w:t>n</w:t>
      </w:r>
      <w:r w:rsidR="005743AF">
        <w:t xml:space="preserve"> </w:t>
      </w:r>
      <w:r w:rsidR="00E279FF">
        <w:t>iP</w:t>
      </w:r>
      <w:r w:rsidR="005743AF">
        <w:t>hone</w:t>
      </w:r>
      <w:r w:rsidR="007915F2">
        <w:t xml:space="preserve"> earlier that day</w:t>
      </w:r>
      <w:r w:rsidR="005743AF">
        <w:t xml:space="preserve"> from </w:t>
      </w:r>
      <w:r w:rsidR="00E90159">
        <w:t>a woman</w:t>
      </w:r>
      <w:r w:rsidR="005743AF">
        <w:t xml:space="preserve"> at </w:t>
      </w:r>
      <w:r w:rsidR="00D16155">
        <w:t>24th Street and Potrero Avenue</w:t>
      </w:r>
      <w:r w:rsidR="005743AF">
        <w:t xml:space="preserve">.  </w:t>
      </w:r>
      <w:r w:rsidR="00180F68">
        <w:t>A.M. then sold the phone to a man at the Daly City BART station.  Herrera reported that</w:t>
      </w:r>
      <w:r w:rsidR="00BA59DE">
        <w:t xml:space="preserve"> afterward,</w:t>
      </w:r>
      <w:r w:rsidR="00180F68">
        <w:t xml:space="preserve"> A.M.</w:t>
      </w:r>
      <w:r w:rsidR="00BA59DE">
        <w:t xml:space="preserve"> took out the cash “and </w:t>
      </w:r>
      <w:r w:rsidR="00756444">
        <w:t xml:space="preserve">counted it in [Herrera’s] face.” </w:t>
      </w:r>
      <w:r w:rsidR="00180F68">
        <w:t xml:space="preserve"> </w:t>
      </w:r>
      <w:r w:rsidR="00070EE2">
        <w:t>The sergeant asked whether Herrera was “with [A.M.] when he was doing any other robberies or any other licks or anything.”</w:t>
      </w:r>
      <w:r w:rsidR="00FF02EB">
        <w:rPr>
          <w:rStyle w:val="FootnoteReference"/>
        </w:rPr>
        <w:footnoteReference w:id="7"/>
      </w:r>
      <w:r w:rsidR="00FF02EB">
        <w:t xml:space="preserve">  </w:t>
      </w:r>
      <w:r w:rsidR="007317E4">
        <w:t xml:space="preserve">Herrera </w:t>
      </w:r>
      <w:r w:rsidR="00FF02EB">
        <w:t>responded</w:t>
      </w:r>
      <w:r w:rsidR="009D2EB1">
        <w:t xml:space="preserve">, “No.  Just the one with him today bro but I </w:t>
      </w:r>
      <w:proofErr w:type="spellStart"/>
      <w:r w:rsidR="009D2EB1">
        <w:t>should</w:t>
      </w:r>
      <w:r w:rsidR="006022C0">
        <w:t>a</w:t>
      </w:r>
      <w:proofErr w:type="spellEnd"/>
      <w:r w:rsidR="006022C0">
        <w:t xml:space="preserve"> </w:t>
      </w:r>
      <w:r w:rsidR="009D2EB1">
        <w:t>never went with him bro</w:t>
      </w:r>
      <w:r w:rsidR="006022C0">
        <w:t xml:space="preserve">.” </w:t>
      </w:r>
    </w:p>
    <w:p w14:paraId="4640BA20" w14:textId="7FC64271" w:rsidR="00612997" w:rsidRDefault="00423EF8" w:rsidP="006C2DCD">
      <w:pPr>
        <w:keepNext/>
        <w:spacing w:line="360" w:lineRule="auto"/>
      </w:pPr>
      <w:r>
        <w:tab/>
      </w:r>
      <w:r>
        <w:tab/>
        <w:t>2</w:t>
      </w:r>
      <w:r w:rsidR="00612997">
        <w:t>.</w:t>
      </w:r>
      <w:r w:rsidR="00612997">
        <w:tab/>
      </w:r>
      <w:r>
        <w:t>Herrera’s communications with his girlfriend</w:t>
      </w:r>
    </w:p>
    <w:p w14:paraId="409D94E3" w14:textId="50FF99AE" w:rsidR="005A4583" w:rsidRDefault="00612997" w:rsidP="002A070A">
      <w:pPr>
        <w:spacing w:line="360" w:lineRule="auto"/>
      </w:pPr>
      <w:r>
        <w:tab/>
        <w:t>A few hours after being interrogated, Herrera spoke to his girlfriend from jail</w:t>
      </w:r>
      <w:r w:rsidR="00026416">
        <w:t xml:space="preserve">.  A recording of the call was played for the jury. </w:t>
      </w:r>
      <w:r w:rsidR="004821D4">
        <w:t xml:space="preserve"> During the call, Herrera admitted he</w:t>
      </w:r>
      <w:r w:rsidR="003D6929">
        <w:t xml:space="preserve"> had</w:t>
      </w:r>
      <w:r w:rsidR="004821D4">
        <w:t xml:space="preserve"> had “a weapon on [him].”  </w:t>
      </w:r>
      <w:r w:rsidR="00C735A4">
        <w:t>He told his girlfriend, “[Y]</w:t>
      </w:r>
      <w:proofErr w:type="spellStart"/>
      <w:r w:rsidR="00C735A4">
        <w:t>ou</w:t>
      </w:r>
      <w:proofErr w:type="spellEnd"/>
      <w:r w:rsidR="00C735A4">
        <w:t xml:space="preserve"> know what’s crazy?  I didn’t even want to do it.  I just wanted to go get some </w:t>
      </w:r>
      <w:r w:rsidR="00B45EA9">
        <w:t xml:space="preserve">McDonald’s.” </w:t>
      </w:r>
      <w:r w:rsidR="00837F9A">
        <w:t xml:space="preserve"> Herrera stated that</w:t>
      </w:r>
      <w:r w:rsidR="009D733E">
        <w:t xml:space="preserve"> while</w:t>
      </w:r>
      <w:r w:rsidR="00837F9A">
        <w:t xml:space="preserve"> A.M. promised to drive him to McDonald’s, </w:t>
      </w:r>
      <w:r w:rsidR="009D733E">
        <w:t>“[t]his nigga did not take me to fuckin’</w:t>
      </w:r>
      <w:r w:rsidR="00CF5356">
        <w:t xml:space="preserve"> McDonald’s.  This nigga took me to go hit a lick.  This nigga tried to hit the lick, </w:t>
      </w:r>
      <w:proofErr w:type="spellStart"/>
      <w:r w:rsidR="00CF5356">
        <w:t>bruh</w:t>
      </w:r>
      <w:proofErr w:type="spellEnd"/>
      <w:r w:rsidR="00ED2BB0">
        <w:t>.</w:t>
      </w:r>
      <w:r w:rsidR="00664396">
        <w:t xml:space="preserve">”  </w:t>
      </w:r>
    </w:p>
    <w:p w14:paraId="617EE63F" w14:textId="40F42A31" w:rsidR="00BE5C17" w:rsidRDefault="005A4583" w:rsidP="002A070A">
      <w:pPr>
        <w:spacing w:line="360" w:lineRule="auto"/>
      </w:pPr>
      <w:r>
        <w:lastRenderedPageBreak/>
        <w:tab/>
      </w:r>
      <w:r w:rsidR="00664396">
        <w:t xml:space="preserve">When Herrera’s girlfriend asked what </w:t>
      </w:r>
      <w:proofErr w:type="gramStart"/>
      <w:r w:rsidR="00664396">
        <w:t>time</w:t>
      </w:r>
      <w:proofErr w:type="gramEnd"/>
      <w:r w:rsidR="00664396">
        <w:t xml:space="preserve"> this occurred, Herrera responded, “Last night.  Right after I told you we’re gonna </w:t>
      </w:r>
      <w:r>
        <w:t xml:space="preserve">go make money.  I was—I was just supposed to go home after we smoked, too.  I don’t know why the fuck I let this </w:t>
      </w:r>
      <w:r w:rsidR="00614987">
        <w:t>. . .</w:t>
      </w:r>
      <w:r>
        <w:t xml:space="preserve"> little bitch-ass nigga just fuck with my life </w:t>
      </w:r>
      <w:proofErr w:type="spellStart"/>
      <w:r>
        <w:t>bruh</w:t>
      </w:r>
      <w:proofErr w:type="spellEnd"/>
      <w:r>
        <w:t xml:space="preserve">.”  </w:t>
      </w:r>
      <w:r w:rsidR="008B7B64">
        <w:t xml:space="preserve">Herrera’s statement about what he </w:t>
      </w:r>
      <w:r w:rsidR="002F3855">
        <w:t>had “</w:t>
      </w:r>
      <w:r w:rsidR="008B7B64">
        <w:t>told</w:t>
      </w:r>
      <w:r w:rsidR="002F3855">
        <w:t>”</w:t>
      </w:r>
      <w:r w:rsidR="008B7B64">
        <w:t xml:space="preserve"> her apparently referred to a text message he sent </w:t>
      </w:r>
      <w:r w:rsidR="002F3855">
        <w:t xml:space="preserve">her </w:t>
      </w:r>
      <w:r w:rsidR="008B7B64">
        <w:t xml:space="preserve">about </w:t>
      </w:r>
      <w:r w:rsidR="00DA27CC">
        <w:t>30</w:t>
      </w:r>
      <w:r w:rsidR="008B7B64">
        <w:t xml:space="preserve"> minutes before the murder.  After </w:t>
      </w:r>
      <w:r w:rsidR="0079198C">
        <w:t>she</w:t>
      </w:r>
      <w:r w:rsidR="008B7B64">
        <w:t xml:space="preserve"> texted, “But oh wait u </w:t>
      </w:r>
      <w:r w:rsidR="00C21F21">
        <w:t xml:space="preserve">the one who’s out,” Herrera responded, “Makin money.”  </w:t>
      </w:r>
    </w:p>
    <w:p w14:paraId="577221BC" w14:textId="40B03F6E" w:rsidR="00423EF8" w:rsidRDefault="00423EF8" w:rsidP="002A070A">
      <w:pPr>
        <w:spacing w:line="360" w:lineRule="auto"/>
      </w:pPr>
      <w:r>
        <w:tab/>
      </w:r>
      <w:r>
        <w:rPr>
          <w:i/>
          <w:iCs/>
        </w:rPr>
        <w:t>D.</w:t>
      </w:r>
      <w:r>
        <w:rPr>
          <w:i/>
          <w:iCs/>
        </w:rPr>
        <w:tab/>
        <w:t>The iPhone Theft</w:t>
      </w:r>
    </w:p>
    <w:p w14:paraId="0BD7E3CF" w14:textId="3F6141D8" w:rsidR="00FA4EB7" w:rsidRDefault="007A2FA7" w:rsidP="002A070A">
      <w:pPr>
        <w:spacing w:line="360" w:lineRule="auto"/>
      </w:pPr>
      <w:r>
        <w:tab/>
      </w:r>
      <w:r w:rsidR="00040482">
        <w:t xml:space="preserve">The police were not aware </w:t>
      </w:r>
      <w:r w:rsidR="0079198C">
        <w:t xml:space="preserve">that </w:t>
      </w:r>
      <w:r w:rsidR="00402074">
        <w:t>the</w:t>
      </w:r>
      <w:r w:rsidR="00040482">
        <w:t xml:space="preserve"> iPhone theft </w:t>
      </w:r>
      <w:r w:rsidR="0079198C">
        <w:t xml:space="preserve">was </w:t>
      </w:r>
      <w:r w:rsidR="00040482">
        <w:t xml:space="preserve">connected to Herrera and A.M. until </w:t>
      </w:r>
      <w:r w:rsidR="00E84B12">
        <w:t xml:space="preserve">Herrera mentioned it during his interrogation.  </w:t>
      </w:r>
      <w:r w:rsidR="00FF40CD">
        <w:t>Around 4:30 p.m. on the day of the murder</w:t>
      </w:r>
      <w:r w:rsidR="00DF04CE">
        <w:t xml:space="preserve">, </w:t>
      </w:r>
      <w:r w:rsidR="00DA28AF">
        <w:t xml:space="preserve">the police responded to 24th and Potrero </w:t>
      </w:r>
      <w:r w:rsidR="00B55709">
        <w:t>based on a report of a stolen</w:t>
      </w:r>
      <w:r w:rsidR="00146D67">
        <w:t xml:space="preserve"> iPhone</w:t>
      </w:r>
      <w:r w:rsidR="00A66ED0">
        <w:t xml:space="preserve">. </w:t>
      </w:r>
      <w:r w:rsidR="00FF40CD">
        <w:t xml:space="preserve"> </w:t>
      </w:r>
      <w:r w:rsidR="00146D67">
        <w:t xml:space="preserve">A woman, </w:t>
      </w:r>
      <w:r w:rsidR="00E03098">
        <w:t xml:space="preserve">S.N., </w:t>
      </w:r>
      <w:r w:rsidR="00146D67">
        <w:t>told a</w:t>
      </w:r>
      <w:r w:rsidR="004331A3">
        <w:t xml:space="preserve"> police</w:t>
      </w:r>
      <w:r w:rsidR="00146D67">
        <w:t xml:space="preserve"> officer </w:t>
      </w:r>
      <w:r w:rsidR="00035796">
        <w:t>she</w:t>
      </w:r>
      <w:r w:rsidR="002904AE">
        <w:t xml:space="preserve"> was </w:t>
      </w:r>
      <w:r w:rsidR="009D7E30">
        <w:t xml:space="preserve">on the phone when </w:t>
      </w:r>
      <w:r w:rsidR="005F51B0">
        <w:t>a young male</w:t>
      </w:r>
      <w:r w:rsidR="009D7E30">
        <w:t xml:space="preserve"> approached and grabbed it from her hand. </w:t>
      </w:r>
      <w:r w:rsidR="0085022A">
        <w:t xml:space="preserve"> </w:t>
      </w:r>
      <w:r w:rsidR="004331A3">
        <w:t>He</w:t>
      </w:r>
      <w:r w:rsidR="005F51B0">
        <w:t xml:space="preserve"> hit</w:t>
      </w:r>
      <w:r w:rsidR="0085022A">
        <w:t xml:space="preserve"> </w:t>
      </w:r>
      <w:r w:rsidR="005F51B0">
        <w:t xml:space="preserve">her face at the same time he grabbed the phone, causing </w:t>
      </w:r>
      <w:r w:rsidR="008F48AC">
        <w:t>numbness in her lip and nose area.</w:t>
      </w:r>
      <w:r w:rsidR="00FF558F">
        <w:rPr>
          <w:rStyle w:val="FootnoteReference"/>
        </w:rPr>
        <w:footnoteReference w:id="8"/>
      </w:r>
      <w:r w:rsidR="008F48AC">
        <w:t xml:space="preserve"> </w:t>
      </w:r>
      <w:r w:rsidR="002839AA">
        <w:t xml:space="preserve"> </w:t>
      </w:r>
    </w:p>
    <w:p w14:paraId="564D3357" w14:textId="6D8E68C9" w:rsidR="002455DB" w:rsidRDefault="00FA4EB7" w:rsidP="002A070A">
      <w:pPr>
        <w:spacing w:line="360" w:lineRule="auto"/>
      </w:pPr>
      <w:r>
        <w:tab/>
      </w:r>
      <w:r w:rsidR="002D3E63">
        <w:t xml:space="preserve">Surveillance </w:t>
      </w:r>
      <w:r w:rsidR="00600439">
        <w:t>footage</w:t>
      </w:r>
      <w:r w:rsidR="002D3E63">
        <w:t xml:space="preserve"> from a M</w:t>
      </w:r>
      <w:r w:rsidR="00E9732B">
        <w:t>uni</w:t>
      </w:r>
      <w:r w:rsidR="002D3E63">
        <w:t xml:space="preserve"> bus </w:t>
      </w:r>
      <w:r w:rsidR="00995B55">
        <w:t>showing</w:t>
      </w:r>
      <w:r w:rsidR="002D3E63">
        <w:t xml:space="preserve"> the theft was played for the jury. </w:t>
      </w:r>
      <w:r w:rsidR="002455DB">
        <w:t xml:space="preserve"> </w:t>
      </w:r>
      <w:r w:rsidR="00365A2E">
        <w:t xml:space="preserve">The video shows </w:t>
      </w:r>
      <w:r w:rsidR="00DA6291">
        <w:t>S.N.</w:t>
      </w:r>
      <w:r w:rsidR="00365A2E">
        <w:t xml:space="preserve"> </w:t>
      </w:r>
      <w:r w:rsidR="00DA6291">
        <w:t xml:space="preserve">standing at the corner of 24th and Potrero talking on a phone. </w:t>
      </w:r>
      <w:r w:rsidR="00867E71">
        <w:t xml:space="preserve"> </w:t>
      </w:r>
      <w:r w:rsidR="00941ACC">
        <w:t>From a distance, after the bus has traveled away</w:t>
      </w:r>
      <w:r w:rsidR="00C9530D">
        <w:t xml:space="preserve"> from her</w:t>
      </w:r>
      <w:r w:rsidR="00941ACC">
        <w:t xml:space="preserve"> </w:t>
      </w:r>
      <w:r w:rsidR="004410EA">
        <w:t>on</w:t>
      </w:r>
      <w:r w:rsidR="00C9530D">
        <w:t xml:space="preserve"> Potrero</w:t>
      </w:r>
      <w:r w:rsidR="004410EA">
        <w:t xml:space="preserve"> and stopped partway down the block</w:t>
      </w:r>
      <w:r w:rsidR="00941ACC">
        <w:t xml:space="preserve">, </w:t>
      </w:r>
      <w:r w:rsidR="002A519E">
        <w:t xml:space="preserve">its rear camera </w:t>
      </w:r>
      <w:r w:rsidR="00941ACC">
        <w:t xml:space="preserve">video shows A.M. </w:t>
      </w:r>
      <w:r w:rsidR="00475B1A">
        <w:t>run by her</w:t>
      </w:r>
      <w:r w:rsidR="002A519E">
        <w:t xml:space="preserve">. </w:t>
      </w:r>
      <w:r w:rsidR="004410EA">
        <w:t xml:space="preserve"> He then runs down Potrero</w:t>
      </w:r>
      <w:r w:rsidR="00762555">
        <w:t xml:space="preserve">, past the bus, with Herrera running about 10 feet behind him. </w:t>
      </w:r>
      <w:r w:rsidR="0016026B">
        <w:t xml:space="preserve"> S.N., farther behind, runs after them </w:t>
      </w:r>
      <w:r w:rsidR="00B603A2">
        <w:t xml:space="preserve">yelling.  The bus’s front camera </w:t>
      </w:r>
      <w:r w:rsidR="00EF12F7">
        <w:t>shows A.M. and Herrera run toward a light-colored sedan</w:t>
      </w:r>
      <w:r w:rsidR="002F3C46">
        <w:t xml:space="preserve">, which has just double-parked farther down Potrero.  </w:t>
      </w:r>
      <w:r w:rsidR="00C72667">
        <w:t xml:space="preserve">The </w:t>
      </w:r>
      <w:r w:rsidR="00C72667">
        <w:lastRenderedPageBreak/>
        <w:t xml:space="preserve">two then enter the car </w:t>
      </w:r>
      <w:r w:rsidR="00361576">
        <w:t>on</w:t>
      </w:r>
      <w:r w:rsidR="00C72667">
        <w:t xml:space="preserve"> </w:t>
      </w:r>
      <w:r w:rsidR="00B92858">
        <w:t>the passenger’s side</w:t>
      </w:r>
      <w:r w:rsidR="00C72667">
        <w:t>, and t</w:t>
      </w:r>
      <w:r w:rsidR="00B92858">
        <w:t xml:space="preserve">he car </w:t>
      </w:r>
      <w:r w:rsidR="00C72667">
        <w:t>drives</w:t>
      </w:r>
      <w:r w:rsidR="00B92858">
        <w:t xml:space="preserve"> away before S.N. can reach it.</w:t>
      </w:r>
      <w:r w:rsidR="00990ED6">
        <w:t xml:space="preserve"> </w:t>
      </w:r>
    </w:p>
    <w:p w14:paraId="3B4CEB83" w14:textId="3B58BCBB" w:rsidR="00423EF8" w:rsidRDefault="007A2FA7" w:rsidP="002A070A">
      <w:pPr>
        <w:spacing w:line="360" w:lineRule="auto"/>
      </w:pPr>
      <w:r>
        <w:rPr>
          <w:i/>
          <w:iCs/>
        </w:rPr>
        <w:tab/>
      </w:r>
      <w:r w:rsidRPr="00630305">
        <w:rPr>
          <w:i/>
          <w:iCs/>
        </w:rPr>
        <w:t>E.</w:t>
      </w:r>
      <w:r w:rsidRPr="00630305">
        <w:rPr>
          <w:i/>
          <w:iCs/>
        </w:rPr>
        <w:tab/>
        <w:t>Herrera’s Testimony</w:t>
      </w:r>
    </w:p>
    <w:p w14:paraId="5D321E6E" w14:textId="1633FA3C" w:rsidR="00EE788F" w:rsidRDefault="004C10A5" w:rsidP="002A070A">
      <w:pPr>
        <w:spacing w:line="360" w:lineRule="auto"/>
      </w:pPr>
      <w:r>
        <w:tab/>
      </w:r>
      <w:r w:rsidR="00C913E7">
        <w:t xml:space="preserve">Herrera </w:t>
      </w:r>
      <w:r w:rsidR="00BF6680">
        <w:t>was raised by his grandmother</w:t>
      </w:r>
      <w:r w:rsidR="00301AA1">
        <w:t xml:space="preserve"> after he </w:t>
      </w:r>
      <w:r w:rsidR="008370BD">
        <w:t xml:space="preserve">went into foster care </w:t>
      </w:r>
      <w:r w:rsidR="00361576">
        <w:t>around the age of two</w:t>
      </w:r>
      <w:r w:rsidR="00BF6680">
        <w:t xml:space="preserve">. </w:t>
      </w:r>
      <w:r w:rsidR="008370BD">
        <w:t xml:space="preserve"> At the time of the murder, he lived with </w:t>
      </w:r>
      <w:r w:rsidR="009B3CE8">
        <w:t>her</w:t>
      </w:r>
      <w:r w:rsidR="008370BD">
        <w:t xml:space="preserve"> and worked as</w:t>
      </w:r>
      <w:r w:rsidR="000E01B2">
        <w:t xml:space="preserve"> a security guard.</w:t>
      </w:r>
      <w:r w:rsidR="0010420F">
        <w:t xml:space="preserve">  He </w:t>
      </w:r>
      <w:r w:rsidR="00A00AF2">
        <w:t xml:space="preserve">also </w:t>
      </w:r>
      <w:r w:rsidR="0010420F">
        <w:t>received $1,000 a month</w:t>
      </w:r>
      <w:r w:rsidR="00C50047">
        <w:t xml:space="preserve"> “[f]</w:t>
      </w:r>
      <w:proofErr w:type="spellStart"/>
      <w:r w:rsidR="00C50047">
        <w:t>rom</w:t>
      </w:r>
      <w:proofErr w:type="spellEnd"/>
      <w:r w:rsidR="00C50047">
        <w:t xml:space="preserve"> being in foster care.”</w:t>
      </w:r>
      <w:r w:rsidR="0010420F">
        <w:t xml:space="preserve"> </w:t>
      </w:r>
      <w:r w:rsidR="000E01B2">
        <w:t xml:space="preserve"> </w:t>
      </w:r>
      <w:r w:rsidR="00A00AF2">
        <w:t xml:space="preserve">He </w:t>
      </w:r>
      <w:r w:rsidR="00361576">
        <w:t>claimed</w:t>
      </w:r>
      <w:r w:rsidR="00A00AF2">
        <w:t xml:space="preserve"> he had about $4,000 saved</w:t>
      </w:r>
      <w:r w:rsidR="00F5711B">
        <w:t xml:space="preserve"> and was not concerned about money</w:t>
      </w:r>
      <w:r w:rsidR="00A00AF2">
        <w:t xml:space="preserve">. </w:t>
      </w:r>
    </w:p>
    <w:p w14:paraId="6A0132AA" w14:textId="50C1CDB7" w:rsidR="00D9599D" w:rsidRDefault="00A00AF2" w:rsidP="002A070A">
      <w:pPr>
        <w:spacing w:line="360" w:lineRule="auto"/>
      </w:pPr>
      <w:r>
        <w:tab/>
      </w:r>
      <w:r w:rsidR="00BB4BE6">
        <w:t xml:space="preserve">Herrera testified that </w:t>
      </w:r>
      <w:r w:rsidR="005D651E">
        <w:t>around 4:00 p.m. on the day of the murder, A.M. and two other acquaintances</w:t>
      </w:r>
      <w:r w:rsidR="00013812">
        <w:t>, C. and A.,</w:t>
      </w:r>
      <w:r w:rsidR="005D651E">
        <w:t xml:space="preserve"> picked him up from his home. </w:t>
      </w:r>
      <w:r w:rsidR="009923F5">
        <w:t xml:space="preserve"> </w:t>
      </w:r>
      <w:r w:rsidR="008A79FB">
        <w:t>Herrera also made money by selling marijuan</w:t>
      </w:r>
      <w:r w:rsidR="00523FA7">
        <w:t>a</w:t>
      </w:r>
      <w:r w:rsidR="00B567B9">
        <w:t xml:space="preserve"> to friends and acquaintances</w:t>
      </w:r>
      <w:r w:rsidR="008A79FB">
        <w:t xml:space="preserve">, and he had arranged to sell </w:t>
      </w:r>
      <w:r w:rsidR="002E33D5">
        <w:t xml:space="preserve">some </w:t>
      </w:r>
      <w:r w:rsidR="008A79FB">
        <w:t xml:space="preserve">to the others and smoke with them.  Herrera had known A.M. for about five years but hung out with him only occasionally.  </w:t>
      </w:r>
    </w:p>
    <w:p w14:paraId="1C32FC19" w14:textId="5E9BF12C" w:rsidR="008C6618" w:rsidRDefault="00D9599D" w:rsidP="002A070A">
      <w:pPr>
        <w:spacing w:line="360" w:lineRule="auto"/>
      </w:pPr>
      <w:r>
        <w:tab/>
      </w:r>
      <w:r w:rsidR="00DF02E8">
        <w:t xml:space="preserve">Herrera </w:t>
      </w:r>
      <w:r w:rsidR="00B567B9">
        <w:t>had his</w:t>
      </w:r>
      <w:r w:rsidR="00DF02E8">
        <w:t xml:space="preserve"> gun, </w:t>
      </w:r>
      <w:r w:rsidR="00B567B9">
        <w:t>which he told the others</w:t>
      </w:r>
      <w:r w:rsidR="00DF02E8">
        <w:t xml:space="preserve"> so they would “know not to do anything dumb, to drive normal.” </w:t>
      </w:r>
      <w:r>
        <w:t xml:space="preserve"> Herrera testified that he </w:t>
      </w:r>
      <w:r w:rsidR="002E33D5">
        <w:t xml:space="preserve">bought </w:t>
      </w:r>
      <w:r w:rsidR="003848B0">
        <w:t>th</w:t>
      </w:r>
      <w:r w:rsidR="00195B7A">
        <w:t>e</w:t>
      </w:r>
      <w:r w:rsidR="003848B0">
        <w:t xml:space="preserve"> gun</w:t>
      </w:r>
      <w:r w:rsidR="002E33D5">
        <w:t xml:space="preserve"> on the street</w:t>
      </w:r>
      <w:r w:rsidR="00195B7A">
        <w:t xml:space="preserve"> about six months before the murder</w:t>
      </w:r>
      <w:r w:rsidR="003848B0">
        <w:t xml:space="preserve"> to protect himself</w:t>
      </w:r>
      <w:r w:rsidR="009A3535">
        <w:t>.</w:t>
      </w:r>
      <w:r w:rsidR="003848B0">
        <w:t xml:space="preserve"> </w:t>
      </w:r>
      <w:r w:rsidR="009A3535">
        <w:t xml:space="preserve"> He described </w:t>
      </w:r>
      <w:r w:rsidR="00026908">
        <w:t>numerous</w:t>
      </w:r>
      <w:r w:rsidR="009A3535">
        <w:t xml:space="preserve"> incidents during which he </w:t>
      </w:r>
      <w:r w:rsidR="006D2E8B">
        <w:t xml:space="preserve">was </w:t>
      </w:r>
      <w:r w:rsidR="00026908">
        <w:t>hurt or threatened by strangers</w:t>
      </w:r>
      <w:r w:rsidR="009A3535">
        <w:t xml:space="preserve">, </w:t>
      </w:r>
      <w:r w:rsidR="008F3B14">
        <w:t>including being shot at and beat up</w:t>
      </w:r>
      <w:r w:rsidR="002A35E3">
        <w:t xml:space="preserve">. </w:t>
      </w:r>
      <w:r w:rsidR="00823C93">
        <w:t xml:space="preserve"> </w:t>
      </w:r>
      <w:r w:rsidR="00602DC7">
        <w:t xml:space="preserve">The defense produced medical records corroborating some of these events, including </w:t>
      </w:r>
      <w:r w:rsidR="00A13DB5">
        <w:t xml:space="preserve">a </w:t>
      </w:r>
      <w:r w:rsidR="008F3B14">
        <w:t>September</w:t>
      </w:r>
      <w:r w:rsidR="00525BDC">
        <w:t> </w:t>
      </w:r>
      <w:r w:rsidR="008F3B14">
        <w:t>2019</w:t>
      </w:r>
      <w:r w:rsidR="00544DCA">
        <w:t xml:space="preserve"> incident</w:t>
      </w:r>
      <w:r w:rsidR="008F3B14">
        <w:t xml:space="preserve"> </w:t>
      </w:r>
      <w:r w:rsidR="00A13DB5">
        <w:t xml:space="preserve">that </w:t>
      </w:r>
      <w:r w:rsidR="001C764B">
        <w:t xml:space="preserve">he claimed </w:t>
      </w:r>
      <w:r w:rsidR="00A13DB5">
        <w:t>prompted him to</w:t>
      </w:r>
      <w:r w:rsidR="008F3B14">
        <w:t xml:space="preserve"> buy the gun</w:t>
      </w:r>
      <w:r w:rsidR="008D3DD2">
        <w:t>.</w:t>
      </w:r>
      <w:r w:rsidR="00823C93">
        <w:t xml:space="preserve"> </w:t>
      </w:r>
    </w:p>
    <w:p w14:paraId="1C7B4AF0" w14:textId="0C630421" w:rsidR="000260D9" w:rsidRDefault="000260D9" w:rsidP="002A070A">
      <w:pPr>
        <w:spacing w:line="360" w:lineRule="auto"/>
      </w:pPr>
      <w:r>
        <w:tab/>
      </w:r>
      <w:r w:rsidR="008374C0">
        <w:t xml:space="preserve">On the </w:t>
      </w:r>
      <w:r w:rsidR="00EC3D7A">
        <w:t xml:space="preserve">way to </w:t>
      </w:r>
      <w:r w:rsidR="00C02AF6">
        <w:t>smoke marijuana with A.M. and the others</w:t>
      </w:r>
      <w:r w:rsidR="00EC3D7A">
        <w:t xml:space="preserve">, </w:t>
      </w:r>
      <w:r w:rsidR="009923F5">
        <w:t xml:space="preserve">Herrera asked to </w:t>
      </w:r>
      <w:r w:rsidR="00013812">
        <w:t xml:space="preserve">stop at a corner store at 24th and Potrero </w:t>
      </w:r>
      <w:r w:rsidR="00C02AF6">
        <w:t>to</w:t>
      </w:r>
      <w:r w:rsidR="00874A6F">
        <w:t xml:space="preserve"> buy something “for when [he] got high.”  C., who was driving</w:t>
      </w:r>
      <w:r w:rsidR="00716B54">
        <w:t xml:space="preserve"> his own car</w:t>
      </w:r>
      <w:r w:rsidR="00874A6F">
        <w:t xml:space="preserve">, pulled over and let Herrera and </w:t>
      </w:r>
      <w:r w:rsidR="0043600C">
        <w:t>A.M. out of the car</w:t>
      </w:r>
      <w:r w:rsidR="002735E1">
        <w:t>.</w:t>
      </w:r>
      <w:r w:rsidR="0043600C">
        <w:t xml:space="preserve"> </w:t>
      </w:r>
      <w:r>
        <w:t xml:space="preserve"> </w:t>
      </w:r>
      <w:r w:rsidR="004853B4">
        <w:t>They</w:t>
      </w:r>
      <w:r w:rsidR="002735E1">
        <w:t xml:space="preserve"> went into the store, and </w:t>
      </w:r>
      <w:r w:rsidR="00970736">
        <w:t xml:space="preserve">Herrera bought a bottle of water.  They then </w:t>
      </w:r>
      <w:r w:rsidR="00FD050D">
        <w:t xml:space="preserve">waited outside for C. “to come back around” to pick them up.  </w:t>
      </w:r>
    </w:p>
    <w:p w14:paraId="622408C6" w14:textId="1D62868F" w:rsidR="00EE788F" w:rsidRDefault="000260D9" w:rsidP="002A070A">
      <w:pPr>
        <w:spacing w:line="360" w:lineRule="auto"/>
      </w:pPr>
      <w:r>
        <w:lastRenderedPageBreak/>
        <w:tab/>
      </w:r>
      <w:r w:rsidR="00FD050D">
        <w:t>C. “pulled up</w:t>
      </w:r>
      <w:r w:rsidR="00C3348D">
        <w:t xml:space="preserve"> around the corner,” </w:t>
      </w:r>
      <w:r w:rsidR="00FD050D">
        <w:t>and Herrera and A</w:t>
      </w:r>
      <w:r w:rsidR="001A33BD">
        <w:t xml:space="preserve">.M. began walking toward the car. </w:t>
      </w:r>
      <w:r w:rsidR="00C3348D">
        <w:t xml:space="preserve"> A.M. was </w:t>
      </w:r>
      <w:r w:rsidR="001620F0">
        <w:t>a few steps ahead of Herrera.  “[O]</w:t>
      </w:r>
      <w:proofErr w:type="spellStart"/>
      <w:r w:rsidR="001620F0">
        <w:t>ut</w:t>
      </w:r>
      <w:proofErr w:type="spellEnd"/>
      <w:r w:rsidR="001620F0">
        <w:t xml:space="preserve"> of the corner of [his] eye,” Herrera saw A.M. “do something” and start running.  Herrera heard </w:t>
      </w:r>
      <w:r w:rsidR="004853B4">
        <w:t>a woman</w:t>
      </w:r>
      <w:r w:rsidR="001620F0">
        <w:t xml:space="preserve"> yelling and started running himself, “out of instinct.” </w:t>
      </w:r>
      <w:r w:rsidR="004959AC">
        <w:t xml:space="preserve"> </w:t>
      </w:r>
      <w:r w:rsidR="002B5B1B">
        <w:t xml:space="preserve">He and A.M. ran to </w:t>
      </w:r>
      <w:r w:rsidR="007858E0">
        <w:t xml:space="preserve">the car, and C. drove them away. </w:t>
      </w:r>
    </w:p>
    <w:p w14:paraId="20320D49" w14:textId="5459AE67" w:rsidR="007858E0" w:rsidRDefault="007858E0" w:rsidP="002A070A">
      <w:pPr>
        <w:spacing w:line="360" w:lineRule="auto"/>
      </w:pPr>
      <w:r>
        <w:tab/>
        <w:t xml:space="preserve">Herrera testified that he did not know A.M. planned to steal the iPhone and had no intent to help </w:t>
      </w:r>
      <w:r w:rsidR="004853B4">
        <w:t>A.M. do so</w:t>
      </w:r>
      <w:r>
        <w:t xml:space="preserve">. </w:t>
      </w:r>
      <w:r w:rsidR="003B2934">
        <w:t xml:space="preserve"> Herrera </w:t>
      </w:r>
      <w:r w:rsidR="009F0CD6">
        <w:t xml:space="preserve">felt badly for S.N. because she was “an older lady,” and he </w:t>
      </w:r>
      <w:r w:rsidR="003B2934">
        <w:t xml:space="preserve">got </w:t>
      </w:r>
      <w:r w:rsidR="00D95AF2">
        <w:t>“angry” at A.M.</w:t>
      </w:r>
      <w:r w:rsidR="00CB65B2">
        <w:t xml:space="preserve"> for stealing from her.</w:t>
      </w:r>
      <w:r w:rsidR="00D95AF2">
        <w:t xml:space="preserve"> </w:t>
      </w:r>
      <w:r w:rsidR="00CE54DF">
        <w:t xml:space="preserve"> </w:t>
      </w:r>
      <w:r w:rsidR="00414495">
        <w:t xml:space="preserve">In particular, </w:t>
      </w:r>
      <w:r w:rsidR="00CE54DF">
        <w:t xml:space="preserve">Herrera </w:t>
      </w:r>
      <w:r w:rsidR="00EF425F">
        <w:t>was worried about getting in trouble</w:t>
      </w:r>
      <w:r w:rsidR="00414495">
        <w:t xml:space="preserve"> himself,</w:t>
      </w:r>
      <w:r w:rsidR="00EF425F">
        <w:t xml:space="preserve"> and </w:t>
      </w:r>
      <w:r w:rsidR="00414495">
        <w:t xml:space="preserve">he </w:t>
      </w:r>
      <w:r w:rsidR="00EF425F">
        <w:t>told A.M., “</w:t>
      </w:r>
      <w:r w:rsidR="00575E7B">
        <w:t xml:space="preserve">Don’t </w:t>
      </w:r>
      <w:r w:rsidR="00EF425F">
        <w:t>do nothing with me there.”</w:t>
      </w:r>
      <w:r w:rsidR="008C6618">
        <w:t xml:space="preserve"> </w:t>
      </w:r>
    </w:p>
    <w:p w14:paraId="58BB8ABF" w14:textId="0ED27BC6" w:rsidR="008C6618" w:rsidRDefault="0037102F" w:rsidP="002A070A">
      <w:pPr>
        <w:spacing w:line="360" w:lineRule="auto"/>
      </w:pPr>
      <w:r>
        <w:tab/>
      </w:r>
      <w:r w:rsidR="006D47D0">
        <w:t xml:space="preserve">A.M. </w:t>
      </w:r>
      <w:r w:rsidR="0040437B">
        <w:t xml:space="preserve">arranged to sell the iPhone, and C. drove the group to the Daly City BART station </w:t>
      </w:r>
      <w:r w:rsidR="00270CAF">
        <w:t xml:space="preserve">so </w:t>
      </w:r>
      <w:r w:rsidR="00525BDC">
        <w:t>A.M.</w:t>
      </w:r>
      <w:r w:rsidR="00270CAF">
        <w:t xml:space="preserve"> could do so</w:t>
      </w:r>
      <w:r w:rsidR="0040437B">
        <w:t xml:space="preserve">. </w:t>
      </w:r>
      <w:r w:rsidR="00BD264F">
        <w:t xml:space="preserve"> </w:t>
      </w:r>
      <w:r w:rsidR="00C805B8">
        <w:t xml:space="preserve">On the way, </w:t>
      </w:r>
      <w:r w:rsidR="00613963">
        <w:t xml:space="preserve">A.M. said he was mad because he had lost $900.  </w:t>
      </w:r>
      <w:r w:rsidR="00270CAF">
        <w:t xml:space="preserve">After he returned to the car, </w:t>
      </w:r>
      <w:r w:rsidR="00BD264F">
        <w:t xml:space="preserve">A.M. </w:t>
      </w:r>
      <w:r w:rsidR="00270CAF">
        <w:t xml:space="preserve">displayed </w:t>
      </w:r>
      <w:r w:rsidR="00BD264F">
        <w:t>three hundred-dollar bills</w:t>
      </w:r>
      <w:r w:rsidR="00270CAF">
        <w:t xml:space="preserve">.  The group then drove to </w:t>
      </w:r>
      <w:r w:rsidR="00EC3D7A">
        <w:t>Bayview-Hunter’s Point</w:t>
      </w:r>
      <w:r w:rsidR="000D01D4">
        <w:t xml:space="preserve"> and smoked marijuana in the car for a few hours. </w:t>
      </w:r>
      <w:r w:rsidR="005E09A7">
        <w:t xml:space="preserve"> </w:t>
      </w:r>
      <w:r w:rsidR="00E2692A">
        <w:t xml:space="preserve">Herrera did not do </w:t>
      </w:r>
      <w:r w:rsidR="00CE44FC">
        <w:t xml:space="preserve">any </w:t>
      </w:r>
      <w:r w:rsidR="000A5F3B">
        <w:t xml:space="preserve">other </w:t>
      </w:r>
      <w:r w:rsidR="00E2692A">
        <w:t>drugs, but others</w:t>
      </w:r>
      <w:r w:rsidR="000A5F3B">
        <w:t xml:space="preserve"> in the group</w:t>
      </w:r>
      <w:r w:rsidR="00E2692A">
        <w:t xml:space="preserve"> also </w:t>
      </w:r>
      <w:r w:rsidR="00D36D55">
        <w:t>took</w:t>
      </w:r>
      <w:r w:rsidR="00E2692A">
        <w:t xml:space="preserve"> Xanax and Percocet.  </w:t>
      </w:r>
    </w:p>
    <w:p w14:paraId="6BA8BEB1" w14:textId="7D3E1E60" w:rsidR="00B14853" w:rsidRDefault="00B14853" w:rsidP="002A070A">
      <w:pPr>
        <w:spacing w:line="360" w:lineRule="auto"/>
      </w:pPr>
      <w:r>
        <w:tab/>
        <w:t>C.</w:t>
      </w:r>
      <w:r w:rsidR="0001397B">
        <w:t xml:space="preserve"> </w:t>
      </w:r>
      <w:r>
        <w:t>began “acting weird</w:t>
      </w:r>
      <w:r w:rsidR="0001397B">
        <w:t xml:space="preserve">,” </w:t>
      </w:r>
      <w:r>
        <w:t xml:space="preserve">so </w:t>
      </w:r>
      <w:r w:rsidR="00231F3C">
        <w:t xml:space="preserve">A.M. drove the car to C.’s house to drop </w:t>
      </w:r>
      <w:r w:rsidR="0001397B">
        <w:t xml:space="preserve">him </w:t>
      </w:r>
      <w:r w:rsidR="00231F3C">
        <w:t xml:space="preserve">off. </w:t>
      </w:r>
      <w:r w:rsidR="0001397B">
        <w:t xml:space="preserve"> </w:t>
      </w:r>
      <w:r w:rsidR="00DF02E8">
        <w:t>Herrera, A.M., and A.</w:t>
      </w:r>
      <w:r w:rsidR="0001397B">
        <w:t xml:space="preserve"> then </w:t>
      </w:r>
      <w:r w:rsidR="00F73251">
        <w:t xml:space="preserve">left in </w:t>
      </w:r>
      <w:r w:rsidR="0001397B">
        <w:t xml:space="preserve">A.M.’s car, which </w:t>
      </w:r>
      <w:r w:rsidR="002338A6">
        <w:t>A.M. had parked there earlier</w:t>
      </w:r>
      <w:r w:rsidR="0001397B">
        <w:t xml:space="preserve">. </w:t>
      </w:r>
      <w:r w:rsidR="00F73251">
        <w:t xml:space="preserve"> Herrera asked </w:t>
      </w:r>
      <w:r w:rsidR="001E773A">
        <w:t>A.M. to take him to McDonald’s</w:t>
      </w:r>
      <w:r w:rsidR="002338A6">
        <w:t xml:space="preserve"> because he had not eaten all day</w:t>
      </w:r>
      <w:r w:rsidR="001E773A">
        <w:t>, but they stopped at Herrera’s home first so he could use the bathroom.  When Herrera returned to the car, A.</w:t>
      </w:r>
      <w:r w:rsidR="002338A6">
        <w:t xml:space="preserve"> asked to be dropped off at his sister’s house</w:t>
      </w:r>
      <w:r w:rsidR="00044529">
        <w:t xml:space="preserve">. </w:t>
      </w:r>
      <w:r w:rsidR="00494C60">
        <w:t xml:space="preserve"> </w:t>
      </w:r>
    </w:p>
    <w:p w14:paraId="747CBF2A" w14:textId="54016DCE" w:rsidR="00BA1317" w:rsidRDefault="00942F7D" w:rsidP="008C6618">
      <w:pPr>
        <w:spacing w:line="360" w:lineRule="auto"/>
      </w:pPr>
      <w:r>
        <w:tab/>
        <w:t>On the drive to A.’s sister’s house, Herrera sold A. some marijuana.  Herrera testified that his girlfriend was often worried about what he was doing, and when he texted her that he was “</w:t>
      </w:r>
      <w:r w:rsidR="000E0425">
        <w:t>M</w:t>
      </w:r>
      <w:r>
        <w:t xml:space="preserve">akin money,” he </w:t>
      </w:r>
      <w:r w:rsidR="000E0425">
        <w:t>meant</w:t>
      </w:r>
      <w:r>
        <w:t xml:space="preserve"> </w:t>
      </w:r>
      <w:r w:rsidR="007912BA">
        <w:t>the sale he had just made</w:t>
      </w:r>
      <w:r w:rsidR="00FA21F2">
        <w:t xml:space="preserve"> to A</w:t>
      </w:r>
      <w:r>
        <w:t xml:space="preserve">.  </w:t>
      </w:r>
      <w:r w:rsidR="00FA21F2">
        <w:t>Herrera admitted t</w:t>
      </w:r>
      <w:r w:rsidR="008C6618">
        <w:t xml:space="preserve">he marijuana found in the </w:t>
      </w:r>
      <w:r w:rsidR="008C6618">
        <w:lastRenderedPageBreak/>
        <w:t xml:space="preserve">Chevrolet was his, and some of the money he had when arrested was from “[selling] weed to people in the car.”  </w:t>
      </w:r>
    </w:p>
    <w:p w14:paraId="22C091B7" w14:textId="58A09CD0" w:rsidR="00627D49" w:rsidRDefault="00BA1317" w:rsidP="008C6618">
      <w:pPr>
        <w:spacing w:line="360" w:lineRule="auto"/>
      </w:pPr>
      <w:r>
        <w:tab/>
        <w:t>After dropping off A., A.M. and Herrera headed to the McDonald’s at 1</w:t>
      </w:r>
      <w:r w:rsidR="00580098">
        <w:t>6th</w:t>
      </w:r>
      <w:r>
        <w:t xml:space="preserve"> and Potrero, which was the nearest one</w:t>
      </w:r>
      <w:r w:rsidR="005A0096">
        <w:t xml:space="preserve"> </w:t>
      </w:r>
      <w:r w:rsidR="00401543">
        <w:t>still</w:t>
      </w:r>
      <w:r>
        <w:t xml:space="preserve"> open. </w:t>
      </w:r>
      <w:r w:rsidR="003E5D95">
        <w:t xml:space="preserve"> Herrera was “tired from all the weed [they] were smoking, so [he] kept like dozing off and waking back up at random parts.” </w:t>
      </w:r>
      <w:r w:rsidR="008A47E3">
        <w:t xml:space="preserve"> As they </w:t>
      </w:r>
      <w:r w:rsidR="00986C2C">
        <w:t>neared</w:t>
      </w:r>
      <w:r w:rsidR="008A47E3">
        <w:t xml:space="preserve"> the intersection of 21st and Shotwell</w:t>
      </w:r>
      <w:r w:rsidR="00666370">
        <w:t xml:space="preserve">, A.M. stopped at a stop sign and said, “There’s some hoes over there.”  </w:t>
      </w:r>
    </w:p>
    <w:p w14:paraId="5AACD475" w14:textId="6B63EC06" w:rsidR="008C6618" w:rsidRDefault="00627D49" w:rsidP="008C6618">
      <w:pPr>
        <w:spacing w:line="360" w:lineRule="auto"/>
      </w:pPr>
      <w:r>
        <w:tab/>
      </w:r>
      <w:r w:rsidR="00666370">
        <w:t xml:space="preserve">A.M. then </w:t>
      </w:r>
      <w:r w:rsidR="0041424A">
        <w:t xml:space="preserve">traveled through the intersection and </w:t>
      </w:r>
      <w:r w:rsidR="00666370">
        <w:t xml:space="preserve">double-parked </w:t>
      </w:r>
      <w:r w:rsidR="005B4E04">
        <w:t>on Shotwell</w:t>
      </w:r>
      <w:r w:rsidR="00F92B5B">
        <w:t xml:space="preserve">. </w:t>
      </w:r>
      <w:r w:rsidR="00666370">
        <w:t xml:space="preserve"> </w:t>
      </w:r>
      <w:r w:rsidR="00AC64D7">
        <w:t>T</w:t>
      </w:r>
      <w:r w:rsidR="0041424A">
        <w:t>elling Herrera to “hold on”</w:t>
      </w:r>
      <w:r w:rsidR="00AC64D7">
        <w:t xml:space="preserve"> and leaving the engine running,</w:t>
      </w:r>
      <w:r w:rsidR="0041424A">
        <w:t xml:space="preserve"> </w:t>
      </w:r>
      <w:r w:rsidR="00812472">
        <w:t>A.M. got out of the car</w:t>
      </w:r>
      <w:r w:rsidR="003F13D6">
        <w:t xml:space="preserve"> and walked back toward the corner</w:t>
      </w:r>
      <w:r w:rsidR="00812472">
        <w:t xml:space="preserve">. </w:t>
      </w:r>
      <w:r>
        <w:t xml:space="preserve"> Herrera testified that he did not know why A.M. got out of the car</w:t>
      </w:r>
      <w:r w:rsidR="00CE4254">
        <w:t xml:space="preserve"> but saw him walk back to the corner and start looking at his phone, making Herrera think he was waiting for someone. </w:t>
      </w:r>
      <w:r w:rsidR="006653CB">
        <w:t xml:space="preserve"> </w:t>
      </w:r>
    </w:p>
    <w:p w14:paraId="6E38BA70" w14:textId="308BC929" w:rsidR="00EE788F" w:rsidRDefault="00812472" w:rsidP="002A070A">
      <w:pPr>
        <w:spacing w:line="360" w:lineRule="auto"/>
      </w:pPr>
      <w:r>
        <w:tab/>
      </w:r>
      <w:r w:rsidR="00CE4254">
        <w:t>Once A.M. reached the corner, Herrera</w:t>
      </w:r>
      <w:r w:rsidR="00564C8C">
        <w:t xml:space="preserve"> exited the car as well</w:t>
      </w:r>
      <w:r w:rsidR="00714144">
        <w:t>, with his gun in the front pocket of his hoodie</w:t>
      </w:r>
      <w:r w:rsidR="00564C8C">
        <w:t xml:space="preserve">. </w:t>
      </w:r>
      <w:r w:rsidR="00BD3F73">
        <w:t xml:space="preserve"> Herr</w:t>
      </w:r>
      <w:r w:rsidR="00714144">
        <w:t xml:space="preserve">era </w:t>
      </w:r>
      <w:r w:rsidR="00BD3F73">
        <w:t>testified that he did not</w:t>
      </w:r>
      <w:r w:rsidR="00CE4254">
        <w:t xml:space="preserve"> feel comfortable waiting in the car by himself at night in that area. </w:t>
      </w:r>
      <w:r w:rsidR="005D7CC7">
        <w:t xml:space="preserve"> As he </w:t>
      </w:r>
      <w:r w:rsidR="00E26603">
        <w:t>approached</w:t>
      </w:r>
      <w:r w:rsidR="00DB5C77">
        <w:t xml:space="preserve"> A.M., A.M.</w:t>
      </w:r>
      <w:r w:rsidR="00714144">
        <w:t xml:space="preserve"> </w:t>
      </w:r>
      <w:r w:rsidR="00895186">
        <w:t xml:space="preserve">“walked off” </w:t>
      </w:r>
      <w:r w:rsidR="00D95E98">
        <w:t xml:space="preserve">in the street down the north side of </w:t>
      </w:r>
      <w:r w:rsidR="00895186">
        <w:t>21st</w:t>
      </w:r>
      <w:r w:rsidR="003A7FB1">
        <w:t xml:space="preserve">, next “to the driver’s side” of </w:t>
      </w:r>
      <w:r w:rsidR="00D95E98">
        <w:t xml:space="preserve">parked cars. </w:t>
      </w:r>
      <w:r w:rsidR="009558F6">
        <w:t xml:space="preserve"> Herrera followed “a few steps” behind him. </w:t>
      </w:r>
      <w:r w:rsidR="006653CB">
        <w:t xml:space="preserve"> He admitted that contrary to what he said during his interrogation, </w:t>
      </w:r>
      <w:r w:rsidR="00C805B8">
        <w:t xml:space="preserve">the two were not intending to go to the </w:t>
      </w:r>
      <w:r w:rsidR="00EC1CDA">
        <w:t>liquor</w:t>
      </w:r>
      <w:r w:rsidR="00C805B8">
        <w:t xml:space="preserve"> store. </w:t>
      </w:r>
    </w:p>
    <w:p w14:paraId="22FE65A3" w14:textId="54CE6AEF" w:rsidR="00FC6B4B" w:rsidRDefault="001155EB" w:rsidP="002A070A">
      <w:pPr>
        <w:spacing w:line="360" w:lineRule="auto"/>
      </w:pPr>
      <w:r>
        <w:tab/>
        <w:t xml:space="preserve">Herrera </w:t>
      </w:r>
      <w:r w:rsidR="00FC6B4B">
        <w:t>saw a man</w:t>
      </w:r>
      <w:r w:rsidR="00A2330A">
        <w:t xml:space="preserve"> standing</w:t>
      </w:r>
      <w:r w:rsidR="00FC6B4B">
        <w:t xml:space="preserve"> across </w:t>
      </w:r>
      <w:r w:rsidR="00374926">
        <w:t xml:space="preserve">21st smile at them, and he thought A.M. was going to cross the street “to go see that guy.” </w:t>
      </w:r>
      <w:r w:rsidR="00C42B57">
        <w:t xml:space="preserve"> Instead, A.M. cut between two parked cars onto 21st’s northern sidewalk</w:t>
      </w:r>
      <w:r w:rsidR="00FD12F9">
        <w:t xml:space="preserve"> and approached “a lady and a guy</w:t>
      </w:r>
      <w:r w:rsidR="00463A9C">
        <w:t>,</w:t>
      </w:r>
      <w:r w:rsidR="00FD12F9">
        <w:t>”</w:t>
      </w:r>
      <w:r w:rsidR="00463A9C">
        <w:t xml:space="preserve"> </w:t>
      </w:r>
      <w:r w:rsidR="005A3944">
        <w:t>S.S.</w:t>
      </w:r>
      <w:r w:rsidR="00463A9C">
        <w:t xml:space="preserve"> and Sac </w:t>
      </w:r>
      <w:proofErr w:type="spellStart"/>
      <w:r w:rsidR="00463A9C">
        <w:t>Ajtzalam</w:t>
      </w:r>
      <w:proofErr w:type="spellEnd"/>
      <w:r w:rsidR="00463A9C">
        <w:t>.</w:t>
      </w:r>
      <w:r w:rsidR="00FD12F9">
        <w:t xml:space="preserve">  Herrera was “[r]</w:t>
      </w:r>
      <w:proofErr w:type="spellStart"/>
      <w:r w:rsidR="00FD12F9">
        <w:t>ight</w:t>
      </w:r>
      <w:proofErr w:type="spellEnd"/>
      <w:r w:rsidR="00FD12F9">
        <w:t xml:space="preserve"> </w:t>
      </w:r>
      <w:r w:rsidR="002A6F96">
        <w:t>. . .</w:t>
      </w:r>
      <w:r w:rsidR="001C45EC">
        <w:t xml:space="preserve"> </w:t>
      </w:r>
      <w:r w:rsidR="00FD12F9">
        <w:t>behin</w:t>
      </w:r>
      <w:r w:rsidR="001C45EC">
        <w:t>d” A.M.</w:t>
      </w:r>
      <w:r w:rsidR="00EB00B6">
        <w:t xml:space="preserve">  As </w:t>
      </w:r>
      <w:r w:rsidR="00463A9C">
        <w:t xml:space="preserve">A.M. </w:t>
      </w:r>
      <w:r w:rsidR="000F5FBB">
        <w:t xml:space="preserve">got close to Sac </w:t>
      </w:r>
      <w:proofErr w:type="spellStart"/>
      <w:r w:rsidR="000F5FBB">
        <w:t>Ajtzalam</w:t>
      </w:r>
      <w:proofErr w:type="spellEnd"/>
      <w:r w:rsidR="000F5FBB">
        <w:t xml:space="preserve">, </w:t>
      </w:r>
      <w:proofErr w:type="gramStart"/>
      <w:r w:rsidR="000F5FBB">
        <w:t>A.M. ”said</w:t>
      </w:r>
      <w:proofErr w:type="gramEnd"/>
      <w:r w:rsidR="000F5FBB">
        <w:t xml:space="preserve"> something” in Spanish to </w:t>
      </w:r>
      <w:r w:rsidR="000F5FBB">
        <w:lastRenderedPageBreak/>
        <w:t xml:space="preserve">him, but Herrera could not hear what it was. </w:t>
      </w:r>
      <w:r w:rsidR="008C2142">
        <w:t xml:space="preserve"> Sac </w:t>
      </w:r>
      <w:proofErr w:type="spellStart"/>
      <w:r w:rsidR="008C2142">
        <w:t>Ajtzalam</w:t>
      </w:r>
      <w:proofErr w:type="spellEnd"/>
      <w:r w:rsidR="008C2142">
        <w:t xml:space="preserve"> said something back, and then he and A.M. started fighting</w:t>
      </w:r>
      <w:r w:rsidR="008900A8">
        <w:t xml:space="preserve"> near the wall</w:t>
      </w:r>
      <w:r w:rsidR="008C2142">
        <w:t xml:space="preserve">. </w:t>
      </w:r>
      <w:r w:rsidR="007576A5">
        <w:t xml:space="preserve"> </w:t>
      </w:r>
    </w:p>
    <w:p w14:paraId="30B7088A" w14:textId="49401AF1" w:rsidR="007576A5" w:rsidRDefault="008C2142" w:rsidP="002A070A">
      <w:pPr>
        <w:spacing w:line="360" w:lineRule="auto"/>
      </w:pPr>
      <w:r>
        <w:tab/>
        <w:t xml:space="preserve">According to Herrera, A.M. punched Sac </w:t>
      </w:r>
      <w:proofErr w:type="spellStart"/>
      <w:r>
        <w:t>Ajtzalam</w:t>
      </w:r>
      <w:proofErr w:type="spellEnd"/>
      <w:r>
        <w:t xml:space="preserve"> first, and Sac </w:t>
      </w:r>
      <w:proofErr w:type="spellStart"/>
      <w:r>
        <w:t>Ajtz</w:t>
      </w:r>
      <w:r w:rsidR="00037138">
        <w:t>alam</w:t>
      </w:r>
      <w:proofErr w:type="spellEnd"/>
      <w:r w:rsidR="00037138">
        <w:t xml:space="preserve"> swung back at him.  Herrera “kept backing up” toward the </w:t>
      </w:r>
      <w:r w:rsidR="008900A8">
        <w:t>parked cars,</w:t>
      </w:r>
      <w:r w:rsidR="00037138">
        <w:t xml:space="preserve"> so he could not tell whether Sac </w:t>
      </w:r>
      <w:proofErr w:type="spellStart"/>
      <w:r w:rsidR="00037138">
        <w:t>Ajtzalam</w:t>
      </w:r>
      <w:proofErr w:type="spellEnd"/>
      <w:r w:rsidR="00037138">
        <w:t xml:space="preserve"> landed any punches. </w:t>
      </w:r>
      <w:r w:rsidR="00793FCF">
        <w:t xml:space="preserve"> Meanwhile, </w:t>
      </w:r>
      <w:r w:rsidR="005A3944">
        <w:t>S.S.</w:t>
      </w:r>
      <w:r w:rsidR="00793FCF">
        <w:t xml:space="preserve"> “started backing up” when A.M. and Herrera approached, and she ran away screaming “as soon as </w:t>
      </w:r>
      <w:r w:rsidR="002A6F96">
        <w:t>. . .</w:t>
      </w:r>
      <w:r w:rsidR="00793FCF">
        <w:t xml:space="preserve"> the first word was said.”  Contrary to </w:t>
      </w:r>
      <w:r w:rsidR="004A6281">
        <w:t>S.S.’s</w:t>
      </w:r>
      <w:r w:rsidR="00793FCF">
        <w:t xml:space="preserve"> testimony, Herrera denied taking his gun out before she ran away or pushing it into Sac </w:t>
      </w:r>
      <w:proofErr w:type="spellStart"/>
      <w:r w:rsidR="00793FCF">
        <w:t>Ajtzalam’s</w:t>
      </w:r>
      <w:proofErr w:type="spellEnd"/>
      <w:r w:rsidR="00793FCF">
        <w:t xml:space="preserve"> stomach.  </w:t>
      </w:r>
      <w:r w:rsidR="00033A22">
        <w:t xml:space="preserve">And contrary to the Uber driver’s testimony, </w:t>
      </w:r>
      <w:r w:rsidR="00793FCF">
        <w:t xml:space="preserve">Herrera claimed he never hit or touched Sac </w:t>
      </w:r>
      <w:proofErr w:type="spellStart"/>
      <w:r w:rsidR="00793FCF">
        <w:t>Ajtzalam</w:t>
      </w:r>
      <w:proofErr w:type="spellEnd"/>
      <w:r w:rsidR="00793FCF">
        <w:t xml:space="preserve"> himself. </w:t>
      </w:r>
      <w:r w:rsidR="0049443D">
        <w:t xml:space="preserve"> </w:t>
      </w:r>
    </w:p>
    <w:p w14:paraId="0FAE4F41" w14:textId="7C4A3C4F" w:rsidR="003E74F9" w:rsidRDefault="006F44CC" w:rsidP="002A070A">
      <w:pPr>
        <w:spacing w:line="360" w:lineRule="auto"/>
      </w:pPr>
      <w:r>
        <w:tab/>
      </w:r>
      <w:r w:rsidR="00033A22">
        <w:t>D</w:t>
      </w:r>
      <w:r>
        <w:t xml:space="preserve">uring the fight, Sac </w:t>
      </w:r>
      <w:proofErr w:type="spellStart"/>
      <w:r>
        <w:t>Ajtzalam</w:t>
      </w:r>
      <w:proofErr w:type="spellEnd"/>
      <w:r>
        <w:t xml:space="preserve"> “slipped” when he tried to dodge one of A.M.’s punches.  Sac </w:t>
      </w:r>
      <w:proofErr w:type="spellStart"/>
      <w:r>
        <w:t>Ajtzalam</w:t>
      </w:r>
      <w:proofErr w:type="spellEnd"/>
      <w:r>
        <w:t xml:space="preserve"> stood back up and “grabbed for his waist.”  </w:t>
      </w:r>
      <w:r w:rsidR="004559C3">
        <w:t>He appeared to be holding</w:t>
      </w:r>
      <w:r>
        <w:t xml:space="preserve"> </w:t>
      </w:r>
      <w:r w:rsidR="008D2470">
        <w:t xml:space="preserve">“something silver,” which Herrera thought was a gun.  Feeling “scared,” Herrera </w:t>
      </w:r>
      <w:r w:rsidR="00814F15">
        <w:t xml:space="preserve">took his own gun out, hoping Sac </w:t>
      </w:r>
      <w:proofErr w:type="spellStart"/>
      <w:r w:rsidR="00814F15">
        <w:t>Ajtzalam</w:t>
      </w:r>
      <w:proofErr w:type="spellEnd"/>
      <w:r w:rsidR="00814F15">
        <w:t xml:space="preserve"> would run away.  Instead, Sac </w:t>
      </w:r>
      <w:proofErr w:type="spellStart"/>
      <w:r w:rsidR="00814F15">
        <w:t>Ajtzalam</w:t>
      </w:r>
      <w:proofErr w:type="spellEnd"/>
      <w:r w:rsidR="00814F15">
        <w:t xml:space="preserve"> “rushed” Herrera</w:t>
      </w:r>
      <w:r w:rsidR="006B16C9">
        <w:t xml:space="preserve">.  Herrera shot his gun “at the floor,” intending to scare the other man but not hit him.  Sac </w:t>
      </w:r>
      <w:proofErr w:type="spellStart"/>
      <w:r w:rsidR="006B16C9">
        <w:t>Ajtzalam</w:t>
      </w:r>
      <w:proofErr w:type="spellEnd"/>
      <w:r w:rsidR="006B16C9">
        <w:t xml:space="preserve"> </w:t>
      </w:r>
      <w:r w:rsidR="00A5609B">
        <w:t>start</w:t>
      </w:r>
      <w:r w:rsidR="006471AE">
        <w:t>ed</w:t>
      </w:r>
      <w:r w:rsidR="00A5609B">
        <w:t xml:space="preserve"> running away, across the street.  </w:t>
      </w:r>
      <w:r w:rsidR="003E74F9">
        <w:t>He</w:t>
      </w:r>
      <w:r w:rsidR="00A5609B">
        <w:t xml:space="preserve"> appeared “perfectly fine,” and Herrera did not realize he had been hit. </w:t>
      </w:r>
      <w:r w:rsidR="00F509C7">
        <w:t xml:space="preserve"> </w:t>
      </w:r>
    </w:p>
    <w:p w14:paraId="1B3E03E7" w14:textId="385FA4D9" w:rsidR="00EE788F" w:rsidRPr="004C10A5" w:rsidRDefault="003E74F9" w:rsidP="002A070A">
      <w:pPr>
        <w:spacing w:line="360" w:lineRule="auto"/>
      </w:pPr>
      <w:r>
        <w:tab/>
      </w:r>
      <w:r w:rsidR="00F509C7">
        <w:t xml:space="preserve">Herrera </w:t>
      </w:r>
      <w:r w:rsidR="00FF58CD">
        <w:t>testified that he did not want to</w:t>
      </w:r>
      <w:r w:rsidR="00CE743F">
        <w:t xml:space="preserve"> </w:t>
      </w:r>
      <w:r w:rsidR="00C91C04">
        <w:t xml:space="preserve">rob Sac </w:t>
      </w:r>
      <w:proofErr w:type="spellStart"/>
      <w:r w:rsidR="00C91C04">
        <w:t>Ajtzalam</w:t>
      </w:r>
      <w:proofErr w:type="spellEnd"/>
      <w:r w:rsidR="00C91C04">
        <w:t xml:space="preserve"> </w:t>
      </w:r>
      <w:r w:rsidR="00CE743F">
        <w:t>and did not know</w:t>
      </w:r>
      <w:r w:rsidR="00C91C04">
        <w:t xml:space="preserve"> A.M. intended to do so.  He </w:t>
      </w:r>
      <w:r w:rsidR="00FF58CD">
        <w:t>denied “</w:t>
      </w:r>
      <w:proofErr w:type="spellStart"/>
      <w:r w:rsidR="00FF58CD">
        <w:t>hav</w:t>
      </w:r>
      <w:proofErr w:type="spellEnd"/>
      <w:r w:rsidR="00FF58CD">
        <w:t>[</w:t>
      </w:r>
      <w:proofErr w:type="spellStart"/>
      <w:r w:rsidR="00FF58CD">
        <w:t>ing</w:t>
      </w:r>
      <w:proofErr w:type="spellEnd"/>
      <w:r w:rsidR="00FF58CD">
        <w:t xml:space="preserve">] any idea why [A.M.] walked up to [Sac </w:t>
      </w:r>
      <w:proofErr w:type="spellStart"/>
      <w:r w:rsidR="00FF58CD">
        <w:t>Ajtzalam</w:t>
      </w:r>
      <w:proofErr w:type="spellEnd"/>
      <w:r w:rsidR="00FF58CD">
        <w:t xml:space="preserve">] that night.” </w:t>
      </w:r>
      <w:r w:rsidR="00912C4C">
        <w:t xml:space="preserve"> Explaining why he stated during the interrogation that A.M. “wanted</w:t>
      </w:r>
      <w:r w:rsidR="00072A2A">
        <w:t xml:space="preserve"> to go rob that dude,”</w:t>
      </w:r>
      <w:r w:rsidR="00432A22">
        <w:t xml:space="preserve"> Herrera </w:t>
      </w:r>
      <w:r w:rsidR="00A55395">
        <w:t>said</w:t>
      </w:r>
      <w:r w:rsidR="000B1584">
        <w:t xml:space="preserve"> </w:t>
      </w:r>
      <w:r w:rsidR="00A55395">
        <w:t xml:space="preserve">he was responding to A.M.’s </w:t>
      </w:r>
      <w:r w:rsidR="000B1584">
        <w:t xml:space="preserve">false </w:t>
      </w:r>
      <w:r w:rsidR="003A569D">
        <w:t>story</w:t>
      </w:r>
      <w:r w:rsidR="003E533A">
        <w:t xml:space="preserve"> as relayed by the sergeant</w:t>
      </w:r>
      <w:proofErr w:type="gramStart"/>
      <w:r w:rsidR="00E713D6">
        <w:t xml:space="preserve">:  </w:t>
      </w:r>
      <w:r w:rsidR="000166BC">
        <w:t>“</w:t>
      </w:r>
      <w:proofErr w:type="gramEnd"/>
      <w:r w:rsidR="000166BC">
        <w:t xml:space="preserve">I just took what </w:t>
      </w:r>
      <w:r w:rsidR="00E713D6">
        <w:t>[A.M.]</w:t>
      </w:r>
      <w:r w:rsidR="000166BC">
        <w:t xml:space="preserve"> said, I don’t know.  </w:t>
      </w:r>
      <w:r w:rsidR="000748B8">
        <w:t>He</w:t>
      </w:r>
      <w:r w:rsidR="000166BC">
        <w:t xml:space="preserve"> said </w:t>
      </w:r>
      <w:r w:rsidR="004B2F87">
        <w:t xml:space="preserve">[Sac </w:t>
      </w:r>
      <w:proofErr w:type="spellStart"/>
      <w:r w:rsidR="004B2F87">
        <w:t>Ajtzalam</w:t>
      </w:r>
      <w:proofErr w:type="spellEnd"/>
      <w:r w:rsidR="004B2F87">
        <w:t>]</w:t>
      </w:r>
      <w:r w:rsidR="000166BC">
        <w:t xml:space="preserve"> was trying to rob him.  There’s only one reason he would say </w:t>
      </w:r>
      <w:proofErr w:type="gramStart"/>
      <w:r w:rsidR="000166BC">
        <w:t>that</w:t>
      </w:r>
      <w:r w:rsidR="00DE5F91">
        <w:t>[</w:t>
      </w:r>
      <w:proofErr w:type="gramEnd"/>
      <w:r w:rsidR="00DE5F91">
        <w:t xml:space="preserve">: ¶] </w:t>
      </w:r>
      <w:r w:rsidR="007307FF">
        <w:t>. . .</w:t>
      </w:r>
      <w:r w:rsidR="00DE5F91">
        <w:t xml:space="preserve"> [¶]</w:t>
      </w:r>
      <w:r w:rsidR="004B2F87">
        <w:t xml:space="preserve"> If [A.M.] was trying to rob [Sac </w:t>
      </w:r>
      <w:proofErr w:type="spellStart"/>
      <w:r w:rsidR="004B2F87">
        <w:t>Ajtzalam</w:t>
      </w:r>
      <w:proofErr w:type="spellEnd"/>
      <w:r w:rsidR="004B2F87">
        <w:t xml:space="preserve">].” </w:t>
      </w:r>
      <w:r w:rsidR="000166BC">
        <w:t xml:space="preserve"> </w:t>
      </w:r>
      <w:r w:rsidR="00083206">
        <w:t xml:space="preserve">Herrera also claimed that when he </w:t>
      </w:r>
      <w:r w:rsidR="00074E77">
        <w:t>said</w:t>
      </w:r>
      <w:r w:rsidR="008607CC">
        <w:t xml:space="preserve"> he “tried to tell </w:t>
      </w:r>
      <w:r w:rsidR="008607CC">
        <w:lastRenderedPageBreak/>
        <w:t xml:space="preserve">[A.M.] no </w:t>
      </w:r>
      <w:proofErr w:type="spellStart"/>
      <w:r w:rsidR="008607CC">
        <w:t>hella</w:t>
      </w:r>
      <w:proofErr w:type="spellEnd"/>
      <w:r w:rsidR="008607CC">
        <w:t xml:space="preserve"> times” </w:t>
      </w:r>
      <w:r w:rsidR="00436861">
        <w:t>in response to the sergeant’s question about A.M.</w:t>
      </w:r>
      <w:r w:rsidR="00525BDC">
        <w:t>’s</w:t>
      </w:r>
      <w:r w:rsidR="00436861">
        <w:t xml:space="preserve"> wanting to </w:t>
      </w:r>
      <w:r w:rsidR="009E2F4D">
        <w:t xml:space="preserve">rob Sac </w:t>
      </w:r>
      <w:proofErr w:type="spellStart"/>
      <w:r w:rsidR="009E2F4D">
        <w:t>Ajtzalam</w:t>
      </w:r>
      <w:proofErr w:type="spellEnd"/>
      <w:r w:rsidR="00436861">
        <w:t>,</w:t>
      </w:r>
      <w:r w:rsidR="00AA238D">
        <w:t xml:space="preserve"> he was referring to his statements to A.M. after A.M. </w:t>
      </w:r>
      <w:r w:rsidR="0014734B">
        <w:t>stole the</w:t>
      </w:r>
      <w:r w:rsidR="00442EC1">
        <w:t xml:space="preserve"> iPhone, not anything</w:t>
      </w:r>
      <w:r w:rsidR="00400A07">
        <w:t xml:space="preserve"> involving the</w:t>
      </w:r>
      <w:r w:rsidR="004779AC">
        <w:t xml:space="preserve"> charged crimes</w:t>
      </w:r>
      <w:r w:rsidR="00400A07">
        <w:t xml:space="preserve">. </w:t>
      </w:r>
      <w:r w:rsidR="00074E77">
        <w:t xml:space="preserve"> </w:t>
      </w:r>
      <w:r w:rsidR="00400A07">
        <w:t xml:space="preserve">Finally, Herrera claimed he told his girlfriend during the jailhouse call that A.M. “took [him] to go hit a lick” because </w:t>
      </w:r>
      <w:r w:rsidR="004D33B5">
        <w:t xml:space="preserve">the sergeant </w:t>
      </w:r>
      <w:r w:rsidR="004779AC">
        <w:t>used that term</w:t>
      </w:r>
      <w:r w:rsidR="004D33B5">
        <w:t xml:space="preserve">, not because he </w:t>
      </w:r>
      <w:r w:rsidR="002F7A1D">
        <w:t>knew</w:t>
      </w:r>
      <w:r w:rsidR="004D33B5">
        <w:t xml:space="preserve"> A.M. intended to rob someone. </w:t>
      </w:r>
    </w:p>
    <w:p w14:paraId="3E71C39D" w14:textId="240584B6" w:rsidR="003E0FF7" w:rsidRPr="003E0FF7" w:rsidRDefault="003E0FF7" w:rsidP="002A070A">
      <w:pPr>
        <w:spacing w:line="360" w:lineRule="auto"/>
        <w:rPr>
          <w:i/>
          <w:iCs/>
        </w:rPr>
      </w:pPr>
      <w:r>
        <w:tab/>
      </w:r>
      <w:r w:rsidR="001C79DB">
        <w:rPr>
          <w:i/>
          <w:iCs/>
        </w:rPr>
        <w:t>F</w:t>
      </w:r>
      <w:r>
        <w:rPr>
          <w:i/>
          <w:iCs/>
        </w:rPr>
        <w:t>.</w:t>
      </w:r>
      <w:r>
        <w:rPr>
          <w:i/>
          <w:iCs/>
        </w:rPr>
        <w:tab/>
        <w:t>Procedural History</w:t>
      </w:r>
    </w:p>
    <w:p w14:paraId="4D6546F3" w14:textId="78FBF1CB" w:rsidR="002A070A" w:rsidRDefault="00F258EE" w:rsidP="002A070A">
      <w:pPr>
        <w:spacing w:line="360" w:lineRule="auto"/>
      </w:pPr>
      <w:r>
        <w:tab/>
        <w:t xml:space="preserve">The operative information charged Herrera with </w:t>
      </w:r>
      <w:r w:rsidR="00245EC0">
        <w:t xml:space="preserve">felony counts of murder, attempted second degree robbery, and </w:t>
      </w:r>
      <w:r w:rsidR="000A6093">
        <w:t>unlawfully carrying a loaded</w:t>
      </w:r>
      <w:r w:rsidR="00525858">
        <w:t>, unregistered</w:t>
      </w:r>
      <w:r w:rsidR="000A6093">
        <w:t xml:space="preserve"> firearm, and a misdemeanor count of resisting a peace officer.</w:t>
      </w:r>
      <w:r w:rsidR="000A6093">
        <w:rPr>
          <w:rStyle w:val="FootnoteReference"/>
        </w:rPr>
        <w:footnoteReference w:id="9"/>
      </w:r>
      <w:r w:rsidR="000A6093">
        <w:t xml:space="preserve"> </w:t>
      </w:r>
      <w:r w:rsidR="005C6300">
        <w:t xml:space="preserve"> </w:t>
      </w:r>
      <w:r w:rsidR="00C66ECA">
        <w:t>As to</w:t>
      </w:r>
      <w:r w:rsidR="005C6300">
        <w:t xml:space="preserve"> the murder and attempted-robbery counts, it was alleged that Herrera </w:t>
      </w:r>
      <w:r w:rsidR="00B55BC0">
        <w:t>personally used a firearm and personally and intentionally discharged a firearm causing death.</w:t>
      </w:r>
      <w:r w:rsidR="00B55BC0">
        <w:rPr>
          <w:rStyle w:val="FootnoteReference"/>
        </w:rPr>
        <w:footnoteReference w:id="10"/>
      </w:r>
      <w:r w:rsidR="00B55BC0">
        <w:t xml:space="preserve"> </w:t>
      </w:r>
    </w:p>
    <w:p w14:paraId="4FFB5E5A" w14:textId="1DF3096E" w:rsidR="00B5681E" w:rsidRPr="008E4889" w:rsidRDefault="00B5681E" w:rsidP="002A070A">
      <w:pPr>
        <w:spacing w:line="360" w:lineRule="auto"/>
      </w:pPr>
      <w:r>
        <w:tab/>
        <w:t xml:space="preserve">The jury </w:t>
      </w:r>
      <w:r w:rsidR="00673861">
        <w:t xml:space="preserve">found Herrera guilty of </w:t>
      </w:r>
      <w:proofErr w:type="gramStart"/>
      <w:r w:rsidR="00673861">
        <w:t>first degree</w:t>
      </w:r>
      <w:proofErr w:type="gramEnd"/>
      <w:r w:rsidR="00673861">
        <w:t xml:space="preserve"> murder and convicted him of the remaining charge</w:t>
      </w:r>
      <w:r w:rsidR="008A6D94">
        <w:t xml:space="preserve">s and enhancements.  </w:t>
      </w:r>
      <w:r w:rsidR="00FC4CD1">
        <w:t xml:space="preserve">Relying on section 1385 and </w:t>
      </w:r>
      <w:r w:rsidR="00FC4CD1">
        <w:rPr>
          <w:i/>
          <w:iCs/>
        </w:rPr>
        <w:t>People</w:t>
      </w:r>
      <w:r w:rsidR="007307FF">
        <w:rPr>
          <w:i/>
          <w:iCs/>
        </w:rPr>
        <w:t> </w:t>
      </w:r>
      <w:r w:rsidR="00FC4CD1">
        <w:rPr>
          <w:i/>
          <w:iCs/>
        </w:rPr>
        <w:t xml:space="preserve">v. Dillon </w:t>
      </w:r>
      <w:r w:rsidR="00FC4CD1">
        <w:t>(1983) 34</w:t>
      </w:r>
      <w:r w:rsidR="007307FF">
        <w:t> </w:t>
      </w:r>
      <w:r w:rsidR="00FC4CD1">
        <w:t>Cal.3d 441, t</w:t>
      </w:r>
      <w:r w:rsidR="008A6D94">
        <w:t xml:space="preserve">he trial court reduced the murder conviction </w:t>
      </w:r>
      <w:r w:rsidR="00FC4CD1">
        <w:t>to second degree murder</w:t>
      </w:r>
      <w:r w:rsidR="009C75C9">
        <w:t xml:space="preserve">. </w:t>
      </w:r>
      <w:r w:rsidR="00923190">
        <w:t xml:space="preserve"> It then sentenced Herrera to </w:t>
      </w:r>
      <w:r w:rsidR="00355237">
        <w:t>15 years to life in prison for the murder</w:t>
      </w:r>
      <w:r w:rsidR="007F1979">
        <w:t xml:space="preserve"> and a concurrent term </w:t>
      </w:r>
      <w:r w:rsidR="00507026">
        <w:t xml:space="preserve">of one year for resisting a </w:t>
      </w:r>
      <w:r w:rsidR="00507026">
        <w:lastRenderedPageBreak/>
        <w:t xml:space="preserve">peace officer.  </w:t>
      </w:r>
      <w:r w:rsidR="00153872">
        <w:t xml:space="preserve">Terms on the </w:t>
      </w:r>
      <w:r w:rsidR="008C7FA0">
        <w:t>firearm enhancements accompanying the murder conviction and on the remaining convictions and enhancements were stayed.</w:t>
      </w:r>
      <w:r w:rsidR="00B93F2D">
        <w:t xml:space="preserve"> </w:t>
      </w:r>
    </w:p>
    <w:p w14:paraId="415FBF9B" w14:textId="77777777" w:rsidR="002A070A" w:rsidRPr="008E4889" w:rsidRDefault="002A070A" w:rsidP="007C27DB">
      <w:pPr>
        <w:keepNext/>
        <w:spacing w:line="240" w:lineRule="auto"/>
        <w:jc w:val="center"/>
      </w:pPr>
      <w:r w:rsidRPr="008E4889">
        <w:t>II.</w:t>
      </w:r>
      <w:r w:rsidRPr="008E4889">
        <w:br/>
      </w:r>
      <w:r w:rsidRPr="008E4889">
        <w:rPr>
          <w:smallCaps/>
        </w:rPr>
        <w:t>Discussion</w:t>
      </w:r>
    </w:p>
    <w:p w14:paraId="1146634B" w14:textId="2B3782B6" w:rsidR="002A070A" w:rsidRPr="00F30599" w:rsidRDefault="00F30599" w:rsidP="00E35E22">
      <w:pPr>
        <w:keepNext/>
        <w:spacing w:before="180" w:line="240" w:lineRule="auto"/>
        <w:ind w:left="1440" w:hanging="1440"/>
        <w:rPr>
          <w:i/>
          <w:iCs/>
        </w:rPr>
      </w:pPr>
      <w:r>
        <w:tab/>
      </w:r>
      <w:r>
        <w:rPr>
          <w:i/>
          <w:iCs/>
        </w:rPr>
        <w:t>A.</w:t>
      </w:r>
      <w:r>
        <w:rPr>
          <w:i/>
          <w:iCs/>
        </w:rPr>
        <w:tab/>
      </w:r>
      <w:r w:rsidR="00252090">
        <w:rPr>
          <w:i/>
          <w:iCs/>
        </w:rPr>
        <w:t>Substantial Evidence Supports the Convictions of Murder and Attempted Robbery</w:t>
      </w:r>
      <w:r w:rsidR="00E35E22">
        <w:rPr>
          <w:i/>
          <w:iCs/>
        </w:rPr>
        <w:t>.</w:t>
      </w:r>
    </w:p>
    <w:p w14:paraId="545C00BF" w14:textId="50088F24" w:rsidR="002A070A" w:rsidRDefault="00D87836" w:rsidP="00E35E22">
      <w:pPr>
        <w:spacing w:before="180" w:line="360" w:lineRule="auto"/>
      </w:pPr>
      <w:r>
        <w:tab/>
        <w:t xml:space="preserve">Herrera </w:t>
      </w:r>
      <w:r w:rsidR="00501826">
        <w:t xml:space="preserve">first </w:t>
      </w:r>
      <w:r>
        <w:t xml:space="preserve">claims </w:t>
      </w:r>
      <w:r w:rsidR="007441BA">
        <w:t>there was insufficient evidence of intent to support</w:t>
      </w:r>
      <w:r w:rsidR="00630053">
        <w:t xml:space="preserve"> </w:t>
      </w:r>
      <w:r w:rsidR="007441BA">
        <w:t>the</w:t>
      </w:r>
      <w:r w:rsidR="00630053">
        <w:t xml:space="preserve"> conviction of attempted robbery and in turn, </w:t>
      </w:r>
      <w:r w:rsidR="00C65D92">
        <w:t>a conviction of felony murder based on that crime.</w:t>
      </w:r>
      <w:r w:rsidR="00347E50">
        <w:t xml:space="preserve">  We are not persuaded.</w:t>
      </w:r>
    </w:p>
    <w:p w14:paraId="5168B308" w14:textId="77777777" w:rsidR="00E94FA6" w:rsidRDefault="00E94FA6" w:rsidP="002A070A">
      <w:pPr>
        <w:spacing w:line="360" w:lineRule="auto"/>
      </w:pPr>
      <w:r>
        <w:tab/>
      </w:r>
      <w:r>
        <w:tab/>
        <w:t>1.</w:t>
      </w:r>
      <w:r>
        <w:tab/>
        <w:t>General legal standards</w:t>
      </w:r>
    </w:p>
    <w:p w14:paraId="2E58DF28" w14:textId="74CAA8AB" w:rsidR="00347E50" w:rsidRPr="00696F54" w:rsidRDefault="00E94FA6" w:rsidP="002A070A">
      <w:pPr>
        <w:spacing w:line="360" w:lineRule="auto"/>
      </w:pPr>
      <w:r>
        <w:tab/>
      </w:r>
      <w:r w:rsidR="00793A1B">
        <w:t>In determining whether su</w:t>
      </w:r>
      <w:r w:rsidR="00501826">
        <w:t>fficient</w:t>
      </w:r>
      <w:r w:rsidR="00793A1B">
        <w:t xml:space="preserve"> evidence supports a conviction,</w:t>
      </w:r>
      <w:r w:rsidR="006F5E17">
        <w:t xml:space="preserve"> </w:t>
      </w:r>
      <w:proofErr w:type="gramStart"/>
      <w:r w:rsidR="006F5E17">
        <w:t>“ </w:t>
      </w:r>
      <w:r w:rsidR="006F5E17" w:rsidRPr="006F5E17">
        <w:t>‘</w:t>
      </w:r>
      <w:proofErr w:type="gramEnd"/>
      <w:r w:rsidR="006F5E17" w:rsidRPr="006F5E17">
        <w:t>we review the whole record to determine whether</w:t>
      </w:r>
      <w:r w:rsidR="006F5E17">
        <w:t xml:space="preserve"> </w:t>
      </w:r>
      <w:r w:rsidR="00376EFC">
        <w:t>. . .</w:t>
      </w:r>
      <w:r w:rsidR="006F5E17">
        <w:t xml:space="preserve"> </w:t>
      </w:r>
      <w:r w:rsidR="006F5E17" w:rsidRPr="006F5E17">
        <w:t>[there is] substantial evidence to support the verdict</w:t>
      </w:r>
      <w:r w:rsidR="006F5E17">
        <w:t xml:space="preserve"> </w:t>
      </w:r>
      <w:r w:rsidR="00376EFC">
        <w:t>. . .</w:t>
      </w:r>
      <w:r w:rsidR="006F5E17">
        <w:t xml:space="preserve"> </w:t>
      </w:r>
      <w:r w:rsidR="006F5E17" w:rsidRPr="006F5E17">
        <w:t xml:space="preserve">such that a reasonable trier of fact could find the defendant guilty beyond a reasonable doubt. </w:t>
      </w:r>
      <w:r w:rsidR="006F5E17">
        <w:t xml:space="preserve"> </w:t>
      </w:r>
      <w:r w:rsidR="006F5E17" w:rsidRPr="006F5E17">
        <w:t xml:space="preserve">[Citation.] </w:t>
      </w:r>
      <w:r w:rsidR="006F5E17">
        <w:t xml:space="preserve"> </w:t>
      </w:r>
      <w:r w:rsidR="006F5E17" w:rsidRPr="006F5E17">
        <w:t>In applying this test, we review the evidence in the light most favorable to the prosecution and presume in support of the judgment the existence of every fact the jury could reasonably have deduced from the evidence.</w:t>
      </w:r>
      <w:proofErr w:type="gramStart"/>
      <w:r w:rsidR="006F5E17" w:rsidRPr="006F5E17">
        <w:t>’</w:t>
      </w:r>
      <w:r w:rsidR="00376EFC">
        <w:t> </w:t>
      </w:r>
      <w:r w:rsidR="006F5E17" w:rsidRPr="006F5E17">
        <w:t>”</w:t>
      </w:r>
      <w:proofErr w:type="gramEnd"/>
      <w:r w:rsidR="006F5E17" w:rsidRPr="006F5E17">
        <w:t xml:space="preserve"> </w:t>
      </w:r>
      <w:r w:rsidR="00E70DE3">
        <w:t xml:space="preserve"> </w:t>
      </w:r>
      <w:r w:rsidR="006F5E17" w:rsidRPr="006F5E17">
        <w:t>(</w:t>
      </w:r>
      <w:r w:rsidR="006F5E17" w:rsidRPr="006F5E17">
        <w:rPr>
          <w:i/>
          <w:iCs/>
        </w:rPr>
        <w:t>People</w:t>
      </w:r>
      <w:r w:rsidR="00376EFC">
        <w:rPr>
          <w:i/>
          <w:iCs/>
        </w:rPr>
        <w:t> </w:t>
      </w:r>
      <w:r w:rsidR="006F5E17" w:rsidRPr="006F5E17">
        <w:rPr>
          <w:i/>
          <w:iCs/>
        </w:rPr>
        <w:t>v. Manibusan</w:t>
      </w:r>
      <w:r w:rsidR="006F5E17" w:rsidRPr="006F5E17">
        <w:t xml:space="preserve"> (2013) 58</w:t>
      </w:r>
      <w:r w:rsidR="00376EFC">
        <w:t> </w:t>
      </w:r>
      <w:r w:rsidR="006F5E17" w:rsidRPr="006F5E17">
        <w:t>Cal.4th 40, 87.)</w:t>
      </w:r>
      <w:r w:rsidR="00696F54">
        <w:t xml:space="preserve">  </w:t>
      </w:r>
      <w:r w:rsidR="00E70DE3">
        <w:t xml:space="preserve">We </w:t>
      </w:r>
      <w:proofErr w:type="gramStart"/>
      <w:r w:rsidR="00E70DE3">
        <w:t>“</w:t>
      </w:r>
      <w:r w:rsidR="00376EFC">
        <w:t> </w:t>
      </w:r>
      <w:r w:rsidR="005C65DB">
        <w:t>‘</w:t>
      </w:r>
      <w:proofErr w:type="gramEnd"/>
      <w:r w:rsidR="00376EFC">
        <w:t> </w:t>
      </w:r>
      <w:r w:rsidR="005C65DB">
        <w:t>“</w:t>
      </w:r>
      <w:r w:rsidR="00E70DE3" w:rsidRPr="00E70DE3">
        <w:t xml:space="preserve">must accept logical inferences that the jury might have drawn from the evidence even if </w:t>
      </w:r>
      <w:r w:rsidR="005C65DB">
        <w:t>[we]</w:t>
      </w:r>
      <w:r w:rsidR="00E70DE3" w:rsidRPr="00E70DE3">
        <w:t xml:space="preserve"> would have concluded otherwise.</w:t>
      </w:r>
      <w:r w:rsidR="005C65DB">
        <w:t>”</w:t>
      </w:r>
      <w:r w:rsidR="00376EFC">
        <w:t> </w:t>
      </w:r>
      <w:r w:rsidR="00E70DE3" w:rsidRPr="00E70DE3">
        <w:t>’</w:t>
      </w:r>
      <w:r w:rsidR="00376EFC">
        <w:t> </w:t>
      </w:r>
      <w:r w:rsidR="00E70DE3" w:rsidRPr="00E70DE3">
        <w:t>”</w:t>
      </w:r>
      <w:r w:rsidR="00582C3C">
        <w:t xml:space="preserve">  (</w:t>
      </w:r>
      <w:r w:rsidR="00582C3C">
        <w:rPr>
          <w:i/>
          <w:iCs/>
        </w:rPr>
        <w:t>People v. Solomon</w:t>
      </w:r>
      <w:r w:rsidR="00582C3C">
        <w:t xml:space="preserve"> (2010) 49 Cal.4th 792, </w:t>
      </w:r>
      <w:r w:rsidR="00E40820">
        <w:t xml:space="preserve">811–812.)  </w:t>
      </w:r>
      <w:r w:rsidR="008F18BC">
        <w:t xml:space="preserve">Thus, reversal is </w:t>
      </w:r>
      <w:r w:rsidR="00D87836">
        <w:t>inappropriate</w:t>
      </w:r>
      <w:r w:rsidR="008F18BC">
        <w:t xml:space="preserve"> unless </w:t>
      </w:r>
      <w:proofErr w:type="gramStart"/>
      <w:r w:rsidR="008F18BC" w:rsidRPr="008F18BC">
        <w:t>“</w:t>
      </w:r>
      <w:r w:rsidR="00376EFC">
        <w:t> </w:t>
      </w:r>
      <w:r w:rsidR="008F18BC" w:rsidRPr="008F18BC">
        <w:t>‘</w:t>
      </w:r>
      <w:proofErr w:type="gramEnd"/>
      <w:r w:rsidR="008F18BC" w:rsidRPr="008F18BC">
        <w:t>it appears “that upon no hypothesis whatever is there sufficient substantial evidence.”</w:t>
      </w:r>
      <w:r w:rsidR="00706B83">
        <w:t> </w:t>
      </w:r>
      <w:r w:rsidR="008F18BC" w:rsidRPr="008F18BC">
        <w:t>’</w:t>
      </w:r>
      <w:r w:rsidR="00706B83">
        <w:t> </w:t>
      </w:r>
      <w:r w:rsidR="008F18BC" w:rsidRPr="008F18BC">
        <w:t xml:space="preserve">” </w:t>
      </w:r>
      <w:r w:rsidR="00706B83">
        <w:t xml:space="preserve"> </w:t>
      </w:r>
      <w:r w:rsidR="008F18BC" w:rsidRPr="008F18BC">
        <w:t>(</w:t>
      </w:r>
      <w:r w:rsidR="008F18BC" w:rsidRPr="00706B83">
        <w:rPr>
          <w:i/>
          <w:iCs/>
        </w:rPr>
        <w:t>People</w:t>
      </w:r>
      <w:r w:rsidR="00376EFC">
        <w:rPr>
          <w:i/>
          <w:iCs/>
        </w:rPr>
        <w:t> </w:t>
      </w:r>
      <w:r w:rsidR="008F18BC" w:rsidRPr="00706B83">
        <w:rPr>
          <w:i/>
          <w:iCs/>
        </w:rPr>
        <w:t>v. Cravens</w:t>
      </w:r>
      <w:r w:rsidR="008F18BC" w:rsidRPr="008F18BC">
        <w:t xml:space="preserve"> (2012) 53</w:t>
      </w:r>
      <w:r w:rsidR="00376EFC">
        <w:t> </w:t>
      </w:r>
      <w:r w:rsidR="008F18BC" w:rsidRPr="008F18BC">
        <w:t>Cal.4th 500, 508</w:t>
      </w:r>
      <w:r w:rsidR="00706B83">
        <w:t>.)</w:t>
      </w:r>
      <w:r w:rsidR="00696F54">
        <w:t xml:space="preserve">  </w:t>
      </w:r>
      <w:proofErr w:type="gramStart"/>
      <w:r w:rsidR="00696F54">
        <w:t>“</w:t>
      </w:r>
      <w:r w:rsidR="00376EFC">
        <w:t> </w:t>
      </w:r>
      <w:r w:rsidR="00696F54">
        <w:t>‘</w:t>
      </w:r>
      <w:proofErr w:type="gramEnd"/>
      <w:r w:rsidR="00696F54">
        <w:t>Evidence of a defendant’s state of mind is almost inevitably circumstantial, but circumstantial evidence is as sufficient as direct evidence to support a conviction.’</w:t>
      </w:r>
      <w:r w:rsidR="00376EFC">
        <w:t> </w:t>
      </w:r>
      <w:r w:rsidR="00696F54">
        <w:t>”  (</w:t>
      </w:r>
      <w:r w:rsidR="00696F54">
        <w:rPr>
          <w:i/>
          <w:iCs/>
        </w:rPr>
        <w:t>People</w:t>
      </w:r>
      <w:r w:rsidR="008F7065">
        <w:rPr>
          <w:i/>
          <w:iCs/>
        </w:rPr>
        <w:t> </w:t>
      </w:r>
      <w:r w:rsidR="00696F54">
        <w:rPr>
          <w:i/>
          <w:iCs/>
        </w:rPr>
        <w:t>v. Nguyen</w:t>
      </w:r>
      <w:r w:rsidR="00696F54">
        <w:t xml:space="preserve"> (2015) 61</w:t>
      </w:r>
      <w:r w:rsidR="007441BA">
        <w:t> </w:t>
      </w:r>
      <w:r w:rsidR="00696F54">
        <w:t xml:space="preserve">Cal.4th 1015, </w:t>
      </w:r>
      <w:r w:rsidR="00FD38F7">
        <w:t>1055.)</w:t>
      </w:r>
    </w:p>
    <w:p w14:paraId="1348913D" w14:textId="6DDC5B0F" w:rsidR="00347E50" w:rsidRPr="003273F6" w:rsidRDefault="00347E50" w:rsidP="00347E50">
      <w:pPr>
        <w:spacing w:line="360" w:lineRule="auto"/>
      </w:pPr>
      <w:r>
        <w:tab/>
        <w:t xml:space="preserve">“Robbery is the felonious taking of personal property in the possession of another, from [the other’s] person or immediate presence, and against [the </w:t>
      </w:r>
      <w:r>
        <w:lastRenderedPageBreak/>
        <w:t>other’s] will, accomplished by means of force or fear.”  (§</w:t>
      </w:r>
      <w:r w:rsidR="00276A37">
        <w:t> </w:t>
      </w:r>
      <w:r>
        <w:t xml:space="preserve">211.)  </w:t>
      </w:r>
      <w:r w:rsidR="007C235D">
        <w:t xml:space="preserve">A conviction of attempted robbery requires proof of </w:t>
      </w:r>
      <w:r>
        <w:t xml:space="preserve">“(1) the specific intent to commit robbery, and (2) </w:t>
      </w:r>
      <w:r w:rsidR="00EE2094">
        <w:t>. . .</w:t>
      </w:r>
      <w:r>
        <w:t xml:space="preserve"> a ‘direct but ineffectual act done toward its commission.</w:t>
      </w:r>
      <w:proofErr w:type="gramStart"/>
      <w:r>
        <w:t>’</w:t>
      </w:r>
      <w:r w:rsidR="008F7065">
        <w:t> </w:t>
      </w:r>
      <w:r>
        <w:t>”</w:t>
      </w:r>
      <w:proofErr w:type="gramEnd"/>
      <w:r>
        <w:t xml:space="preserve">  (</w:t>
      </w:r>
      <w:r>
        <w:rPr>
          <w:i/>
          <w:iCs/>
        </w:rPr>
        <w:t>People</w:t>
      </w:r>
      <w:r w:rsidR="008F7065">
        <w:rPr>
          <w:i/>
          <w:iCs/>
        </w:rPr>
        <w:t> </w:t>
      </w:r>
      <w:r>
        <w:rPr>
          <w:i/>
          <w:iCs/>
        </w:rPr>
        <w:t xml:space="preserve">v. Watkins </w:t>
      </w:r>
      <w:r>
        <w:t>(2012) 55</w:t>
      </w:r>
      <w:r w:rsidR="00EE2094">
        <w:t> </w:t>
      </w:r>
      <w:r>
        <w:t>Cal.4th 999, 1018, quoting §</w:t>
      </w:r>
      <w:r w:rsidR="008F7065">
        <w:t> </w:t>
      </w:r>
      <w:r>
        <w:t>21a.)  The required intent is “the specific intent to deprive the victim of the property permanently</w:t>
      </w:r>
      <w:r w:rsidR="0042046A">
        <w:t>,</w:t>
      </w:r>
      <w:r>
        <w:t>”</w:t>
      </w:r>
      <w:r w:rsidR="0042046A">
        <w:t xml:space="preserve"> </w:t>
      </w:r>
      <w:r w:rsidR="00EE41F9">
        <w:t>and an</w:t>
      </w:r>
      <w:r w:rsidR="00C93394">
        <w:t xml:space="preserve"> “</w:t>
      </w:r>
      <w:r w:rsidR="003066AF">
        <w:t>intent</w:t>
      </w:r>
      <w:r w:rsidR="00C93394">
        <w:t xml:space="preserve"> to cause the victim to experience force or fear”</w:t>
      </w:r>
      <w:r w:rsidR="00EE41F9">
        <w:t xml:space="preserve"> is </w:t>
      </w:r>
      <w:r w:rsidR="00256026">
        <w:t>unnecessary</w:t>
      </w:r>
      <w:r w:rsidR="00EE41F9">
        <w:t>.</w:t>
      </w:r>
      <w:r>
        <w:t xml:space="preserve">  (</w:t>
      </w:r>
      <w:r>
        <w:rPr>
          <w:i/>
          <w:iCs/>
        </w:rPr>
        <w:t>People</w:t>
      </w:r>
      <w:r w:rsidR="008F7065">
        <w:rPr>
          <w:i/>
          <w:iCs/>
        </w:rPr>
        <w:t> </w:t>
      </w:r>
      <w:r>
        <w:rPr>
          <w:i/>
          <w:iCs/>
        </w:rPr>
        <w:t>v. Anderson</w:t>
      </w:r>
      <w:r>
        <w:t xml:space="preserve"> (2011) 51</w:t>
      </w:r>
      <w:r w:rsidR="00C93394">
        <w:t> </w:t>
      </w:r>
      <w:r>
        <w:t>Cal.4th 989, 994</w:t>
      </w:r>
      <w:r w:rsidR="00C93394">
        <w:t>–995</w:t>
      </w:r>
      <w:r w:rsidR="00E9732B">
        <w:t xml:space="preserve"> (</w:t>
      </w:r>
      <w:r w:rsidR="00E9732B">
        <w:rPr>
          <w:i/>
          <w:iCs/>
        </w:rPr>
        <w:t>Anderson</w:t>
      </w:r>
      <w:r w:rsidR="00E9732B">
        <w:t>)</w:t>
      </w:r>
      <w:r>
        <w:t>.)</w:t>
      </w:r>
      <w:r w:rsidR="00A30036">
        <w:t xml:space="preserve"> </w:t>
      </w:r>
    </w:p>
    <w:p w14:paraId="03F3AAE9" w14:textId="0A626AA0" w:rsidR="00AB09D7" w:rsidRDefault="00A219AA" w:rsidP="00AB09D7">
      <w:pPr>
        <w:tabs>
          <w:tab w:val="left" w:pos="1440"/>
          <w:tab w:val="left" w:pos="1620"/>
          <w:tab w:val="left" w:pos="1710"/>
        </w:tabs>
        <w:spacing w:line="360" w:lineRule="auto"/>
      </w:pPr>
      <w:r>
        <w:tab/>
        <w:t>The jury</w:t>
      </w:r>
      <w:r w:rsidR="00203775">
        <w:t xml:space="preserve"> </w:t>
      </w:r>
      <w:r>
        <w:t xml:space="preserve">was instructed </w:t>
      </w:r>
      <w:r w:rsidR="00AB09D7">
        <w:t>on aiding and abetting principles</w:t>
      </w:r>
      <w:r>
        <w:t xml:space="preserve">. </w:t>
      </w:r>
      <w:r w:rsidR="00F15C5F">
        <w:t xml:space="preserve"> </w:t>
      </w:r>
      <w:r w:rsidR="00AB09D7">
        <w:t xml:space="preserve">To establish a defendant’s liability as an aider and abettor, the People must first prove that “someone other than the defendant </w:t>
      </w:r>
      <w:r w:rsidR="00EE2094">
        <w:t>. . .</w:t>
      </w:r>
      <w:r w:rsidR="00AB09D7">
        <w:t xml:space="preserve"> attempted or committed a crime.”  (</w:t>
      </w:r>
      <w:r w:rsidR="00AB09D7">
        <w:rPr>
          <w:i/>
        </w:rPr>
        <w:t>People v. Perez</w:t>
      </w:r>
      <w:r w:rsidR="00AB09D7">
        <w:t xml:space="preserve"> (2005) 35 Cal.4th 1219, 1225.)  Then, they must prove the defendant’s (1) </w:t>
      </w:r>
      <w:proofErr w:type="gramStart"/>
      <w:r w:rsidR="00AB09D7">
        <w:t>“ ‘</w:t>
      </w:r>
      <w:proofErr w:type="gramEnd"/>
      <w:r w:rsidR="00AB09D7">
        <w:t>knowledge of the direct perpetrator’s unlawful intent,’</w:t>
      </w:r>
      <w:r w:rsidR="000D4022">
        <w:t> </w:t>
      </w:r>
      <w:r w:rsidR="00AB09D7">
        <w:t>” (2)</w:t>
      </w:r>
      <w:r w:rsidR="009D6800">
        <w:t> </w:t>
      </w:r>
      <w:r w:rsidR="00AB09D7">
        <w:t>“ ‘intent to assist in achieving those unlawful ends,’</w:t>
      </w:r>
      <w:r w:rsidR="000D4022">
        <w:t> </w:t>
      </w:r>
      <w:r w:rsidR="00AB09D7">
        <w:t>” and (3) “ ‘conduct . . . that in fact assists the achievement of the crime.’</w:t>
      </w:r>
      <w:r w:rsidR="000D4022">
        <w:t> </w:t>
      </w:r>
      <w:r w:rsidR="00AB09D7">
        <w:t>”  (</w:t>
      </w:r>
      <w:r w:rsidR="00AB09D7">
        <w:rPr>
          <w:i/>
        </w:rPr>
        <w:t>People</w:t>
      </w:r>
      <w:r w:rsidR="000D4022">
        <w:rPr>
          <w:i/>
        </w:rPr>
        <w:t> </w:t>
      </w:r>
      <w:r w:rsidR="00AB09D7">
        <w:rPr>
          <w:i/>
        </w:rPr>
        <w:t xml:space="preserve">v. Lopez </w:t>
      </w:r>
      <w:r w:rsidR="00AB09D7">
        <w:t>(2013) 56</w:t>
      </w:r>
      <w:r w:rsidR="000D4022">
        <w:t> </w:t>
      </w:r>
      <w:r w:rsidR="00AB09D7">
        <w:t xml:space="preserve">Cal.4th 1028, 1069; see § 31.)  The defendant must know that the direct perpetrator intends to commit the crime, but the defendant need have only the </w:t>
      </w:r>
      <w:proofErr w:type="gramStart"/>
      <w:r w:rsidR="00AB09D7">
        <w:t>“ ‘</w:t>
      </w:r>
      <w:proofErr w:type="gramEnd"/>
      <w:r w:rsidR="00AB09D7">
        <w:t>intent to encourage and bring about conduct that is criminal, not the specific intent that is an element of the target offense.’</w:t>
      </w:r>
      <w:r w:rsidR="000D4022">
        <w:t> </w:t>
      </w:r>
      <w:r w:rsidR="00AB09D7">
        <w:t>”  (</w:t>
      </w:r>
      <w:r w:rsidR="00AB09D7">
        <w:rPr>
          <w:i/>
        </w:rPr>
        <w:t>People</w:t>
      </w:r>
      <w:r w:rsidR="000D4022">
        <w:rPr>
          <w:i/>
        </w:rPr>
        <w:t> </w:t>
      </w:r>
      <w:r w:rsidR="00AB09D7">
        <w:rPr>
          <w:i/>
        </w:rPr>
        <w:t>v. Montoya</w:t>
      </w:r>
      <w:r w:rsidR="00AB09D7">
        <w:t xml:space="preserve"> (1994) 7</w:t>
      </w:r>
      <w:r w:rsidR="000D4022">
        <w:t> </w:t>
      </w:r>
      <w:r w:rsidR="00AB09D7">
        <w:t>Cal.4th 1027, 1044</w:t>
      </w:r>
      <w:r w:rsidR="003C18E6">
        <w:t xml:space="preserve">; see </w:t>
      </w:r>
      <w:r w:rsidR="003C18E6">
        <w:rPr>
          <w:i/>
          <w:iCs/>
        </w:rPr>
        <w:t>People</w:t>
      </w:r>
      <w:r w:rsidR="000D4022">
        <w:rPr>
          <w:i/>
          <w:iCs/>
        </w:rPr>
        <w:t> </w:t>
      </w:r>
      <w:r w:rsidR="003C18E6">
        <w:rPr>
          <w:i/>
          <w:iCs/>
        </w:rPr>
        <w:t>v. Maciel</w:t>
      </w:r>
      <w:r w:rsidR="003C18E6">
        <w:t xml:space="preserve"> (2013) 57</w:t>
      </w:r>
      <w:r w:rsidR="000D4022">
        <w:t> </w:t>
      </w:r>
      <w:r w:rsidR="003C18E6">
        <w:t>Cal.4th 482, 518</w:t>
      </w:r>
      <w:r w:rsidR="00AB09D7">
        <w:t xml:space="preserve">.)  </w:t>
      </w:r>
    </w:p>
    <w:p w14:paraId="7EC117A8" w14:textId="5FB3767C" w:rsidR="00C464FB" w:rsidRDefault="004D7EBA" w:rsidP="00C464FB">
      <w:pPr>
        <w:tabs>
          <w:tab w:val="left" w:pos="1440"/>
          <w:tab w:val="left" w:pos="1620"/>
          <w:tab w:val="left" w:pos="1710"/>
        </w:tabs>
        <w:spacing w:line="360" w:lineRule="auto"/>
      </w:pPr>
      <w:r>
        <w:tab/>
      </w:r>
      <w:r w:rsidR="00822160">
        <w:t>A defendant who participates in attempted robbery is guilty of felony murder if a death occurs</w:t>
      </w:r>
      <w:r w:rsidR="00E536BF">
        <w:t xml:space="preserve"> during the attempt and</w:t>
      </w:r>
      <w:r w:rsidR="00AB1294">
        <w:t>, as relevant here,</w:t>
      </w:r>
      <w:r w:rsidR="00E536BF">
        <w:t xml:space="preserve"> the defendant was </w:t>
      </w:r>
      <w:r w:rsidR="00AD3BD6">
        <w:t>“the actual killer</w:t>
      </w:r>
      <w:r w:rsidR="00AB1294">
        <w:t>.”</w:t>
      </w:r>
      <w:r w:rsidR="00AD3BD6">
        <w:t xml:space="preserve">  (</w:t>
      </w:r>
      <w:r w:rsidR="00E66943">
        <w:t>§</w:t>
      </w:r>
      <w:r w:rsidR="000D4022">
        <w:t> </w:t>
      </w:r>
      <w:r w:rsidR="00E66943">
        <w:t>189, subds. (a), (e)</w:t>
      </w:r>
      <w:r w:rsidR="001A0178">
        <w:t>(1)</w:t>
      </w:r>
      <w:r w:rsidR="00E66943">
        <w:t xml:space="preserve">.)  </w:t>
      </w:r>
      <w:r w:rsidR="00C464FB">
        <w:t xml:space="preserve">Generally, felony murder requires </w:t>
      </w:r>
      <w:proofErr w:type="gramStart"/>
      <w:r w:rsidR="00C464FB">
        <w:t>“</w:t>
      </w:r>
      <w:r w:rsidR="00BA70CB">
        <w:t> ‘</w:t>
      </w:r>
      <w:proofErr w:type="gramEnd"/>
      <w:r w:rsidR="00C464FB">
        <w:t>the specific intent to commit the underlying felony.</w:t>
      </w:r>
      <w:r w:rsidR="00BA70CB">
        <w:t>’ </w:t>
      </w:r>
      <w:r w:rsidR="00C464FB">
        <w:t>”  (</w:t>
      </w:r>
      <w:r w:rsidR="00C464FB">
        <w:rPr>
          <w:i/>
          <w:iCs/>
        </w:rPr>
        <w:t>People</w:t>
      </w:r>
      <w:r w:rsidR="000D4022">
        <w:rPr>
          <w:i/>
          <w:iCs/>
        </w:rPr>
        <w:t> </w:t>
      </w:r>
      <w:r w:rsidR="00C464FB">
        <w:rPr>
          <w:i/>
          <w:iCs/>
        </w:rPr>
        <w:t>v. Gutierrez</w:t>
      </w:r>
      <w:r w:rsidR="00C464FB">
        <w:t xml:space="preserve"> (2002) </w:t>
      </w:r>
      <w:r w:rsidR="00C464FB" w:rsidRPr="0069563A">
        <w:t>28</w:t>
      </w:r>
      <w:r w:rsidR="00C464FB">
        <w:t> </w:t>
      </w:r>
      <w:r w:rsidR="00C464FB" w:rsidRPr="0069563A">
        <w:t>Cal</w:t>
      </w:r>
      <w:r w:rsidR="00C464FB">
        <w:t>.4th 1083, 1140.)</w:t>
      </w:r>
      <w:r w:rsidR="0040402F">
        <w:t xml:space="preserve">  But </w:t>
      </w:r>
      <w:r w:rsidR="003A0A50">
        <w:t>to be convicted of</w:t>
      </w:r>
      <w:r w:rsidR="004E4BA1">
        <w:t xml:space="preserve"> felony murder </w:t>
      </w:r>
      <w:proofErr w:type="gramStart"/>
      <w:r w:rsidR="004E4BA1">
        <w:t>on the basis of</w:t>
      </w:r>
      <w:proofErr w:type="gramEnd"/>
      <w:r w:rsidR="004E4BA1">
        <w:t xml:space="preserve"> aiding and abetting the underlying </w:t>
      </w:r>
      <w:r w:rsidR="00493F5F">
        <w:t>felony</w:t>
      </w:r>
      <w:r w:rsidR="004E4BA1">
        <w:t xml:space="preserve">, </w:t>
      </w:r>
      <w:r w:rsidR="005E7B1A">
        <w:t xml:space="preserve">the </w:t>
      </w:r>
      <w:r w:rsidR="003A0A50">
        <w:t xml:space="preserve">defendant </w:t>
      </w:r>
      <w:r w:rsidR="004D2906">
        <w:t xml:space="preserve">need only have been aware of the perpetrator’s intent to commit </w:t>
      </w:r>
      <w:r w:rsidR="004D2906">
        <w:lastRenderedPageBreak/>
        <w:t>the felony and intended to aid and abet the perpetrator</w:t>
      </w:r>
      <w:r w:rsidR="00493F5F">
        <w:t xml:space="preserve"> in committing the felony.  (See </w:t>
      </w:r>
      <w:r w:rsidR="00501CF4">
        <w:rPr>
          <w:i/>
          <w:iCs/>
        </w:rPr>
        <w:t>People v. Campbell</w:t>
      </w:r>
      <w:r w:rsidR="00501CF4">
        <w:t xml:space="preserve"> (2015) 233</w:t>
      </w:r>
      <w:r w:rsidR="00493F5F">
        <w:t> </w:t>
      </w:r>
      <w:r w:rsidR="00501CF4">
        <w:t>Cal.App.4th 148, 162–163</w:t>
      </w:r>
      <w:r w:rsidR="00493F5F">
        <w:t xml:space="preserve"> [</w:t>
      </w:r>
      <w:r w:rsidR="004D6713">
        <w:t xml:space="preserve">approving </w:t>
      </w:r>
      <w:r w:rsidR="00772E50">
        <w:t xml:space="preserve">jury </w:t>
      </w:r>
      <w:r w:rsidR="004D6713">
        <w:t>instruction on felony murder where defendant was actual killer and aided and abetted underlying robbery].)</w:t>
      </w:r>
    </w:p>
    <w:p w14:paraId="3D1BFAD9" w14:textId="44B37B88" w:rsidR="004C6E24" w:rsidRPr="008315D2" w:rsidRDefault="002245EE" w:rsidP="00C464FB">
      <w:pPr>
        <w:tabs>
          <w:tab w:val="left" w:pos="1440"/>
          <w:tab w:val="left" w:pos="1620"/>
          <w:tab w:val="left" w:pos="1710"/>
        </w:tabs>
        <w:spacing w:line="360" w:lineRule="auto"/>
      </w:pPr>
      <w:r>
        <w:tab/>
        <w:t xml:space="preserve">Here, the jury was instructed on </w:t>
      </w:r>
      <w:r w:rsidR="000F29EE">
        <w:t xml:space="preserve">two theories of </w:t>
      </w:r>
      <w:proofErr w:type="gramStart"/>
      <w:r w:rsidR="000F29EE">
        <w:t>first degree</w:t>
      </w:r>
      <w:proofErr w:type="gramEnd"/>
      <w:r w:rsidR="000F29EE">
        <w:t xml:space="preserve"> murder, felony murder and premeditated murder</w:t>
      </w:r>
      <w:r>
        <w:t>.</w:t>
      </w:r>
      <w:r w:rsidR="00DA5B6C">
        <w:t xml:space="preserve"> </w:t>
      </w:r>
      <w:r w:rsidR="003E3F5B">
        <w:t xml:space="preserve"> </w:t>
      </w:r>
      <w:r w:rsidR="00095BF0">
        <w:t>Normally</w:t>
      </w:r>
      <w:r w:rsidR="00806A08">
        <w:t>, when</w:t>
      </w:r>
      <w:r w:rsidR="00B227A9">
        <w:t xml:space="preserve"> </w:t>
      </w:r>
      <w:r w:rsidR="00D71618">
        <w:t xml:space="preserve">“a count is submitted to a jury on alternative theories, and the evidence is insufficient as to one theory, we assume that </w:t>
      </w:r>
      <w:r w:rsidR="00DA39D6">
        <w:t>the jury rested its verdict on the theory adequately supported by the evidence.”  (</w:t>
      </w:r>
      <w:r w:rsidR="00DA39D6">
        <w:rPr>
          <w:i/>
          <w:iCs/>
        </w:rPr>
        <w:t>People</w:t>
      </w:r>
      <w:r w:rsidR="00C06947">
        <w:rPr>
          <w:i/>
          <w:iCs/>
        </w:rPr>
        <w:t> </w:t>
      </w:r>
      <w:r w:rsidR="00DA39D6">
        <w:rPr>
          <w:i/>
          <w:iCs/>
        </w:rPr>
        <w:t>v. Silva</w:t>
      </w:r>
      <w:r w:rsidR="00DA39D6">
        <w:t xml:space="preserve"> (2001) 25</w:t>
      </w:r>
      <w:r w:rsidR="003E3F5B">
        <w:t> </w:t>
      </w:r>
      <w:r w:rsidR="00DA39D6">
        <w:t>Cal.4th 345, 370.)</w:t>
      </w:r>
      <w:r w:rsidR="005E3C7C">
        <w:t xml:space="preserve">  </w:t>
      </w:r>
      <w:r w:rsidR="00412BAF">
        <w:t>Under such circumstances</w:t>
      </w:r>
      <w:r w:rsidR="00077AF4">
        <w:t xml:space="preserve">, reversal is unwarranted unless the record “affirmatively </w:t>
      </w:r>
      <w:r w:rsidR="0024325E">
        <w:t xml:space="preserve">demonstrates </w:t>
      </w:r>
      <w:r w:rsidR="006C17CD">
        <w:t>a reasonable probability that the jury in fact found the defendant guilty solely on the unsupported theory.”  (</w:t>
      </w:r>
      <w:r w:rsidR="006C17CD">
        <w:rPr>
          <w:i/>
          <w:iCs/>
        </w:rPr>
        <w:t>People</w:t>
      </w:r>
      <w:r w:rsidR="004D1BA9">
        <w:rPr>
          <w:i/>
          <w:iCs/>
        </w:rPr>
        <w:t> </w:t>
      </w:r>
      <w:r w:rsidR="006C17CD">
        <w:rPr>
          <w:i/>
          <w:iCs/>
        </w:rPr>
        <w:t>v. Guiton</w:t>
      </w:r>
      <w:r w:rsidR="006C17CD">
        <w:t xml:space="preserve"> (1993) 4</w:t>
      </w:r>
      <w:r w:rsidR="004D1BA9">
        <w:t> </w:t>
      </w:r>
      <w:r w:rsidR="006C17CD">
        <w:t xml:space="preserve">Cal.4th 1116, 1130.)  </w:t>
      </w:r>
      <w:r w:rsidR="009C30C4">
        <w:t>As we now discuss,</w:t>
      </w:r>
      <w:r w:rsidR="00256026">
        <w:t xml:space="preserve"> </w:t>
      </w:r>
      <w:r w:rsidR="009C30C4">
        <w:t xml:space="preserve">substantial evidence supports </w:t>
      </w:r>
      <w:r w:rsidR="004139F5">
        <w:t>Herrera’s conviction of felony murder based on</w:t>
      </w:r>
      <w:r w:rsidR="00256026">
        <w:t xml:space="preserve"> his</w:t>
      </w:r>
      <w:r w:rsidR="004139F5">
        <w:t xml:space="preserve"> </w:t>
      </w:r>
      <w:r w:rsidR="000A3C03">
        <w:t xml:space="preserve">aiding and abetting </w:t>
      </w:r>
      <w:r w:rsidR="00256026">
        <w:t xml:space="preserve">of </w:t>
      </w:r>
      <w:r w:rsidR="000A3C03">
        <w:t>attempted robbery</w:t>
      </w:r>
      <w:r w:rsidR="00AF25AD">
        <w:t xml:space="preserve">.  </w:t>
      </w:r>
      <w:r w:rsidR="00DF4209">
        <w:t>Thus</w:t>
      </w:r>
      <w:r w:rsidR="003C0D7A">
        <w:t>,</w:t>
      </w:r>
      <w:r w:rsidR="00AF25AD">
        <w:t xml:space="preserve"> we </w:t>
      </w:r>
      <w:r w:rsidR="000A3C03">
        <w:t xml:space="preserve">need not address </w:t>
      </w:r>
      <w:r w:rsidR="0082390E">
        <w:t>his</w:t>
      </w:r>
      <w:r w:rsidR="0049111D">
        <w:t xml:space="preserve"> separate</w:t>
      </w:r>
      <w:r w:rsidR="0082390E">
        <w:t xml:space="preserve"> </w:t>
      </w:r>
      <w:r w:rsidR="0049111D">
        <w:t>claim</w:t>
      </w:r>
      <w:r w:rsidR="0082390E">
        <w:t xml:space="preserve"> that </w:t>
      </w:r>
      <w:r w:rsidR="003F172F">
        <w:t xml:space="preserve">there was insufficient evidence </w:t>
      </w:r>
      <w:r w:rsidR="003C0D7A">
        <w:t>of premeditated murder</w:t>
      </w:r>
      <w:r w:rsidR="00DF4209">
        <w:t xml:space="preserve">, since there is no </w:t>
      </w:r>
      <w:proofErr w:type="gramStart"/>
      <w:r w:rsidR="00DF4209">
        <w:t>indication</w:t>
      </w:r>
      <w:proofErr w:type="gramEnd"/>
      <w:r w:rsidR="00DF4209">
        <w:t xml:space="preserve"> the jury relied on that theory</w:t>
      </w:r>
      <w:r w:rsidR="004060C5">
        <w:t>.</w:t>
      </w:r>
      <w:r w:rsidR="008315D2">
        <w:t xml:space="preserve">  (See </w:t>
      </w:r>
      <w:r w:rsidR="008315D2">
        <w:rPr>
          <w:i/>
          <w:iCs/>
        </w:rPr>
        <w:t>People</w:t>
      </w:r>
      <w:r w:rsidR="004D1BA9">
        <w:rPr>
          <w:i/>
          <w:iCs/>
        </w:rPr>
        <w:t> </w:t>
      </w:r>
      <w:r w:rsidR="008315D2">
        <w:rPr>
          <w:i/>
          <w:iCs/>
        </w:rPr>
        <w:t>v. Sandoval</w:t>
      </w:r>
      <w:r w:rsidR="008315D2">
        <w:t xml:space="preserve"> (2015) 62</w:t>
      </w:r>
      <w:r w:rsidR="004E724C">
        <w:t> </w:t>
      </w:r>
      <w:r w:rsidR="008315D2">
        <w:t>Cal.4th 394, 424</w:t>
      </w:r>
      <w:r w:rsidR="004E724C">
        <w:t>.)</w:t>
      </w:r>
    </w:p>
    <w:p w14:paraId="7A9B09DF" w14:textId="4AEDC374" w:rsidR="00CA72C5" w:rsidRPr="005B505B" w:rsidRDefault="00CA72C5" w:rsidP="00BC2DE5">
      <w:pPr>
        <w:keepNext/>
        <w:tabs>
          <w:tab w:val="left" w:pos="1440"/>
          <w:tab w:val="left" w:pos="2160"/>
        </w:tabs>
        <w:spacing w:line="360" w:lineRule="auto"/>
      </w:pPr>
      <w:r>
        <w:tab/>
      </w:r>
      <w:r>
        <w:tab/>
      </w:r>
      <w:r w:rsidRPr="00C93394">
        <w:t>2.</w:t>
      </w:r>
      <w:r w:rsidRPr="00C93394">
        <w:tab/>
      </w:r>
      <w:r w:rsidR="009F4559" w:rsidRPr="00C93394">
        <w:t>Analysis</w:t>
      </w:r>
    </w:p>
    <w:p w14:paraId="16FA0031" w14:textId="344FD1FA" w:rsidR="00FD13F2" w:rsidRDefault="00CA72C5" w:rsidP="002A070A">
      <w:pPr>
        <w:spacing w:line="360" w:lineRule="auto"/>
      </w:pPr>
      <w:r>
        <w:tab/>
        <w:t>Herrera argues there was insufficient evidence that A.M. intended to commit a robbery and in turn, that he was aware of A.M.’s intent</w:t>
      </w:r>
      <w:r w:rsidR="00CF3BE1">
        <w:t xml:space="preserve"> </w:t>
      </w:r>
      <w:r w:rsidR="000F3F71">
        <w:t xml:space="preserve">to rob </w:t>
      </w:r>
      <w:r w:rsidR="00CF3BE1">
        <w:t>or</w:t>
      </w:r>
      <w:r w:rsidR="000F3F71">
        <w:t xml:space="preserve"> that he</w:t>
      </w:r>
      <w:r w:rsidR="00CF3BE1">
        <w:t xml:space="preserve"> intended to aid A.M</w:t>
      </w:r>
      <w:r>
        <w:t>.</w:t>
      </w:r>
      <w:r w:rsidR="00E87B82">
        <w:t xml:space="preserve"> </w:t>
      </w:r>
      <w:r w:rsidR="000F3F71">
        <w:t xml:space="preserve">in doing so. </w:t>
      </w:r>
      <w:r w:rsidR="009D12B3">
        <w:t xml:space="preserve"> </w:t>
      </w:r>
      <w:r w:rsidR="007F4563">
        <w:t xml:space="preserve">Factors </w:t>
      </w:r>
      <w:r w:rsidR="00C56D16">
        <w:t>to be considered</w:t>
      </w:r>
      <w:r w:rsidR="007F4563">
        <w:t xml:space="preserve"> in determining whether a defendant </w:t>
      </w:r>
      <w:r w:rsidR="00683DE7">
        <w:t xml:space="preserve">aided and abetted a crime </w:t>
      </w:r>
      <w:r w:rsidR="00C56D16">
        <w:t>include</w:t>
      </w:r>
      <w:r w:rsidR="00683DE7">
        <w:t xml:space="preserve"> </w:t>
      </w:r>
      <w:proofErr w:type="gramStart"/>
      <w:r w:rsidR="00683DE7">
        <w:t>“</w:t>
      </w:r>
      <w:r w:rsidR="00C56D16">
        <w:t> </w:t>
      </w:r>
      <w:r w:rsidR="00683DE7">
        <w:t>‘</w:t>
      </w:r>
      <w:proofErr w:type="gramEnd"/>
      <w:r w:rsidR="00683DE7">
        <w:t>presence at the scene of the crime, companionship, and conduct before and after the offense.’</w:t>
      </w:r>
      <w:r w:rsidR="004D1BA9">
        <w:t> </w:t>
      </w:r>
      <w:r w:rsidR="00683DE7">
        <w:t>”  (</w:t>
      </w:r>
      <w:r w:rsidR="00683DE7">
        <w:rPr>
          <w:i/>
          <w:iCs/>
        </w:rPr>
        <w:t>People</w:t>
      </w:r>
      <w:r w:rsidR="004D1BA9">
        <w:rPr>
          <w:i/>
          <w:iCs/>
        </w:rPr>
        <w:t> </w:t>
      </w:r>
      <w:r w:rsidR="00683DE7">
        <w:rPr>
          <w:i/>
          <w:iCs/>
        </w:rPr>
        <w:t>v. Nguyen</w:t>
      </w:r>
      <w:r w:rsidR="00683DE7">
        <w:t xml:space="preserve">, </w:t>
      </w:r>
      <w:r w:rsidR="00683DE7">
        <w:rPr>
          <w:i/>
          <w:iCs/>
        </w:rPr>
        <w:t>supra</w:t>
      </w:r>
      <w:r w:rsidR="0078610C">
        <w:t>, 61</w:t>
      </w:r>
      <w:r w:rsidR="004D1BA9">
        <w:t> </w:t>
      </w:r>
      <w:r w:rsidR="0078610C">
        <w:t>Cal.4th at p.</w:t>
      </w:r>
      <w:r w:rsidR="004D1BA9">
        <w:t> </w:t>
      </w:r>
      <w:r w:rsidR="0078610C">
        <w:t>1054</w:t>
      </w:r>
      <w:r w:rsidR="00D92047">
        <w:t xml:space="preserve">; </w:t>
      </w:r>
      <w:r w:rsidR="00D92047">
        <w:rPr>
          <w:i/>
          <w:iCs/>
        </w:rPr>
        <w:t>People</w:t>
      </w:r>
      <w:r w:rsidR="004D1BA9">
        <w:rPr>
          <w:i/>
          <w:iCs/>
        </w:rPr>
        <w:t> </w:t>
      </w:r>
      <w:r w:rsidR="00D92047">
        <w:rPr>
          <w:i/>
          <w:iCs/>
        </w:rPr>
        <w:t xml:space="preserve">v. Haynes </w:t>
      </w:r>
      <w:r w:rsidR="00D92047">
        <w:t>(1998) 61</w:t>
      </w:r>
      <w:r w:rsidR="004D1BA9">
        <w:t> </w:t>
      </w:r>
      <w:r w:rsidR="00D92047">
        <w:t xml:space="preserve">Cal.App.4th 1282, </w:t>
      </w:r>
      <w:r w:rsidR="00841736">
        <w:t>1294.</w:t>
      </w:r>
      <w:r w:rsidR="0078610C">
        <w:t>)</w:t>
      </w:r>
      <w:r w:rsidR="00C50571">
        <w:t xml:space="preserve">  The </w:t>
      </w:r>
      <w:r w:rsidR="006B6E00">
        <w:t xml:space="preserve">defendant’s knowledge of the </w:t>
      </w:r>
      <w:r w:rsidR="006B6E00">
        <w:lastRenderedPageBreak/>
        <w:t>perpetrator’s purpose and intent to assist must “</w:t>
      </w:r>
      <w:proofErr w:type="spellStart"/>
      <w:r w:rsidR="006B6E00">
        <w:t>ar</w:t>
      </w:r>
      <w:proofErr w:type="spellEnd"/>
      <w:r w:rsidR="006B6E00">
        <w:t>[</w:t>
      </w:r>
      <w:proofErr w:type="spellStart"/>
      <w:r w:rsidR="006B6E00">
        <w:t>i</w:t>
      </w:r>
      <w:proofErr w:type="spellEnd"/>
      <w:r w:rsidR="006B6E00">
        <w:t xml:space="preserve">]se sometime prior to or during the commission of </w:t>
      </w:r>
      <w:r w:rsidR="00ED6B80">
        <w:t>[</w:t>
      </w:r>
      <w:r w:rsidR="006B6E00">
        <w:t>the crime].”  (</w:t>
      </w:r>
      <w:r w:rsidR="00522F48">
        <w:rPr>
          <w:i/>
          <w:iCs/>
        </w:rPr>
        <w:t>Haynes</w:t>
      </w:r>
      <w:r w:rsidR="00522F48">
        <w:t>, at p. 1294.)</w:t>
      </w:r>
      <w:r w:rsidR="0078610C">
        <w:t xml:space="preserve"> </w:t>
      </w:r>
    </w:p>
    <w:p w14:paraId="7D7BFE75" w14:textId="6055771E" w:rsidR="00B36ACF" w:rsidRDefault="00E05F03" w:rsidP="002A070A">
      <w:pPr>
        <w:spacing w:line="360" w:lineRule="auto"/>
      </w:pPr>
      <w:r>
        <w:tab/>
      </w:r>
      <w:r w:rsidR="00B3572E">
        <w:t>We conclude there</w:t>
      </w:r>
      <w:r>
        <w:t xml:space="preserve"> was substantial evidence that </w:t>
      </w:r>
      <w:r w:rsidR="00031292">
        <w:t xml:space="preserve">A.M. intended to commit robbery and </w:t>
      </w:r>
      <w:r w:rsidR="00AE6C87">
        <w:t xml:space="preserve">Herrera </w:t>
      </w:r>
      <w:r w:rsidR="00031292">
        <w:t>was aware of that intent</w:t>
      </w:r>
      <w:r w:rsidR="00AE6C87">
        <w:t xml:space="preserve">.  </w:t>
      </w:r>
      <w:r w:rsidR="00153C6A">
        <w:t>According to Herrera,</w:t>
      </w:r>
      <w:r w:rsidR="0033381C">
        <w:t xml:space="preserve"> A.M. </w:t>
      </w:r>
      <w:r w:rsidR="00153C6A">
        <w:t>said he had lost</w:t>
      </w:r>
      <w:r w:rsidR="0033381C">
        <w:t xml:space="preserve"> $900 and</w:t>
      </w:r>
      <w:r w:rsidR="00153C6A">
        <w:t xml:space="preserve"> wanted</w:t>
      </w:r>
      <w:r w:rsidR="0033381C">
        <w:t xml:space="preserve"> </w:t>
      </w:r>
      <w:r w:rsidR="00153C6A">
        <w:t xml:space="preserve">money for his birthday, and Herrera was </w:t>
      </w:r>
      <w:r w:rsidR="00345038">
        <w:t xml:space="preserve">fully aware that A.M. had stolen an iPhone earlier that day and </w:t>
      </w:r>
      <w:r w:rsidR="00F0047D">
        <w:t>sold it for $300.</w:t>
      </w:r>
      <w:r w:rsidR="00B3572E">
        <w:t xml:space="preserve">  </w:t>
      </w:r>
      <w:r w:rsidR="00614CCA">
        <w:t xml:space="preserve">The jury could </w:t>
      </w:r>
      <w:r w:rsidR="005A1247">
        <w:t>reasonably infer</w:t>
      </w:r>
      <w:r w:rsidR="00614CCA">
        <w:t xml:space="preserve"> that A.M. </w:t>
      </w:r>
      <w:r w:rsidR="00DF739C">
        <w:t>wa</w:t>
      </w:r>
      <w:r w:rsidR="003B2DB8">
        <w:t xml:space="preserve">nted to recover more money and, </w:t>
      </w:r>
      <w:r w:rsidR="00DF739C">
        <w:t xml:space="preserve">when he </w:t>
      </w:r>
      <w:r w:rsidR="003B2DB8">
        <w:t>abruptly double-</w:t>
      </w:r>
      <w:r w:rsidR="0091194E">
        <w:t xml:space="preserve">parked after </w:t>
      </w:r>
      <w:r w:rsidR="001A2E3E">
        <w:t xml:space="preserve">observing there were </w:t>
      </w:r>
      <w:r w:rsidR="0091194E">
        <w:t>“hoes</w:t>
      </w:r>
      <w:r w:rsidR="001755C4">
        <w:t xml:space="preserve">,” he </w:t>
      </w:r>
      <w:r w:rsidR="000B67EE">
        <w:t>intended to steal from someone on the street.</w:t>
      </w:r>
      <w:r w:rsidR="001A2E3E">
        <w:t xml:space="preserve">  </w:t>
      </w:r>
      <w:r w:rsidR="00916465">
        <w:t>The</w:t>
      </w:r>
      <w:r w:rsidR="00821504">
        <w:t>re was</w:t>
      </w:r>
      <w:r w:rsidR="00916465">
        <w:t xml:space="preserve"> testimony that</w:t>
      </w:r>
      <w:r w:rsidR="00212B17">
        <w:t xml:space="preserve"> </w:t>
      </w:r>
      <w:r w:rsidR="00381DC4">
        <w:t xml:space="preserve">the area was known for </w:t>
      </w:r>
      <w:r w:rsidR="00212B17">
        <w:t>sex work</w:t>
      </w:r>
      <w:r w:rsidR="00381DC4">
        <w:t xml:space="preserve">, </w:t>
      </w:r>
      <w:r w:rsidR="00212B17">
        <w:t>a cash business</w:t>
      </w:r>
      <w:r w:rsidR="00381DC4">
        <w:t>,</w:t>
      </w:r>
      <w:r w:rsidR="00821504">
        <w:t xml:space="preserve"> and Herrera</w:t>
      </w:r>
      <w:r w:rsidR="003602C2">
        <w:t xml:space="preserve"> admitted he knew that “prostitutes </w:t>
      </w:r>
      <w:r w:rsidR="004D1BA9">
        <w:t>. . .</w:t>
      </w:r>
      <w:r w:rsidR="003602C2">
        <w:t xml:space="preserve"> </w:t>
      </w:r>
      <w:r w:rsidR="00DF2F92">
        <w:t>[were]</w:t>
      </w:r>
      <w:r w:rsidR="00ED73A7">
        <w:t xml:space="preserve"> around the area.”  </w:t>
      </w:r>
      <w:r w:rsidR="00021671">
        <w:t>T</w:t>
      </w:r>
      <w:r w:rsidR="004B157C">
        <w:t>hese circumstances</w:t>
      </w:r>
      <w:r w:rsidR="00021671">
        <w:t xml:space="preserve">, combined with the </w:t>
      </w:r>
      <w:r w:rsidR="00212B17">
        <w:t xml:space="preserve">fact that </w:t>
      </w:r>
      <w:r w:rsidR="00916465">
        <w:t xml:space="preserve">Sac </w:t>
      </w:r>
      <w:proofErr w:type="spellStart"/>
      <w:r w:rsidR="00916465">
        <w:t>Ajtzalam</w:t>
      </w:r>
      <w:proofErr w:type="spellEnd"/>
      <w:r w:rsidR="00916465">
        <w:t xml:space="preserve"> was standing with a sex worker</w:t>
      </w:r>
      <w:r w:rsidR="004B157C">
        <w:t>,</w:t>
      </w:r>
      <w:r w:rsidR="00916465">
        <w:t xml:space="preserve"> </w:t>
      </w:r>
      <w:r w:rsidR="002073A3">
        <w:t xml:space="preserve">further supported the conclusion that A.M. </w:t>
      </w:r>
      <w:r w:rsidR="00BA41D6">
        <w:t>intended to</w:t>
      </w:r>
      <w:r w:rsidR="00B81A41">
        <w:t xml:space="preserve"> </w:t>
      </w:r>
      <w:r w:rsidR="00967CC7">
        <w:t xml:space="preserve">rob </w:t>
      </w:r>
      <w:proofErr w:type="gramStart"/>
      <w:r w:rsidR="00967CC7">
        <w:t>him</w:t>
      </w:r>
      <w:proofErr w:type="gramEnd"/>
      <w:r w:rsidR="00967CC7">
        <w:t xml:space="preserve"> and that intent was apparent to Herrera.</w:t>
      </w:r>
    </w:p>
    <w:p w14:paraId="5A09B469" w14:textId="7706127D" w:rsidR="005810C1" w:rsidRDefault="00B36ACF" w:rsidP="002A070A">
      <w:pPr>
        <w:spacing w:line="360" w:lineRule="auto"/>
      </w:pPr>
      <w:r>
        <w:tab/>
      </w:r>
      <w:r w:rsidR="00A719B0">
        <w:t>There was also significant evidence that</w:t>
      </w:r>
      <w:r>
        <w:t xml:space="preserve"> Herrera was not only aware of what A.M. planned but also intended to aid him.</w:t>
      </w:r>
      <w:r w:rsidR="003E3E36">
        <w:t xml:space="preserve">  </w:t>
      </w:r>
      <w:r w:rsidR="00BE5BD7">
        <w:t xml:space="preserve">S.S. testified that Herrera put </w:t>
      </w:r>
      <w:r w:rsidR="00AB1A32">
        <w:t>a</w:t>
      </w:r>
      <w:r w:rsidR="00BE5BD7">
        <w:t xml:space="preserve"> gun to Sac </w:t>
      </w:r>
      <w:proofErr w:type="spellStart"/>
      <w:r w:rsidR="00BE5BD7">
        <w:t>Ajtzalam’s</w:t>
      </w:r>
      <w:proofErr w:type="spellEnd"/>
      <w:r w:rsidR="00BE5BD7">
        <w:t xml:space="preserve"> stomach, and the Uber driver testified that Herrera and A.M. both punched</w:t>
      </w:r>
      <w:r w:rsidR="00AB1A32">
        <w:t xml:space="preserve"> Sac </w:t>
      </w:r>
      <w:proofErr w:type="spellStart"/>
      <w:r w:rsidR="00AB1A32">
        <w:t>Ajtzalam</w:t>
      </w:r>
      <w:proofErr w:type="spellEnd"/>
      <w:r w:rsidR="00AB1A32">
        <w:t xml:space="preserve">.  </w:t>
      </w:r>
      <w:r w:rsidR="00753C9F">
        <w:t>Moreover</w:t>
      </w:r>
      <w:r w:rsidR="00484019">
        <w:t>,</w:t>
      </w:r>
      <w:r w:rsidR="00AB1A32">
        <w:t xml:space="preserve"> </w:t>
      </w:r>
      <w:r w:rsidR="00484019">
        <w:t>t</w:t>
      </w:r>
      <w:r>
        <w:t xml:space="preserve">he </w:t>
      </w:r>
      <w:r w:rsidR="000343DE">
        <w:t xml:space="preserve">surveillance </w:t>
      </w:r>
      <w:r>
        <w:t xml:space="preserve">footage shows A.M. and Herrera approaching Sac </w:t>
      </w:r>
      <w:proofErr w:type="spellStart"/>
      <w:r>
        <w:t>Ajtzalam</w:t>
      </w:r>
      <w:proofErr w:type="spellEnd"/>
      <w:r>
        <w:t xml:space="preserve"> in tandem, which the jury could reasonably infer meant the two were executing a plan together.  The jury could also reasonably infer that the double-click sound was Herrera racking the handgun, especially since S.S. appears to react immediately by </w:t>
      </w:r>
      <w:r w:rsidR="00CF7D97">
        <w:t>departin</w:t>
      </w:r>
      <w:r>
        <w:t xml:space="preserve">g down the sidewalk.  In addition, it appears that Herrera fired while he and A.M. </w:t>
      </w:r>
      <w:proofErr w:type="spellStart"/>
      <w:r>
        <w:t>were</w:t>
      </w:r>
      <w:proofErr w:type="spellEnd"/>
      <w:r>
        <w:t xml:space="preserve"> chasing Sac </w:t>
      </w:r>
      <w:proofErr w:type="spellStart"/>
      <w:r>
        <w:t>Ajtzalam</w:t>
      </w:r>
      <w:proofErr w:type="spellEnd"/>
      <w:r>
        <w:t xml:space="preserve">.  </w:t>
      </w:r>
      <w:r w:rsidR="00484019">
        <w:t>In short, there was plenty of evidence that</w:t>
      </w:r>
      <w:r>
        <w:t xml:space="preserve"> Herrera actively participated in an attempt to rob Sac </w:t>
      </w:r>
      <w:proofErr w:type="spellStart"/>
      <w:r>
        <w:t>Ajtzalam</w:t>
      </w:r>
      <w:proofErr w:type="spellEnd"/>
      <w:r>
        <w:t xml:space="preserve"> and did not merely react defensively in a situation he did not create. </w:t>
      </w:r>
      <w:r w:rsidR="00DA09E4">
        <w:t xml:space="preserve"> </w:t>
      </w:r>
    </w:p>
    <w:p w14:paraId="28062D66" w14:textId="26A48F86" w:rsidR="00DA7EAD" w:rsidRDefault="00B102BE" w:rsidP="002A070A">
      <w:pPr>
        <w:spacing w:line="360" w:lineRule="auto"/>
      </w:pPr>
      <w:r>
        <w:lastRenderedPageBreak/>
        <w:tab/>
      </w:r>
      <w:r w:rsidR="009F19A3">
        <w:t xml:space="preserve">Herrera </w:t>
      </w:r>
      <w:r w:rsidR="00B27432">
        <w:t>suggests</w:t>
      </w:r>
      <w:r w:rsidR="00A6404E">
        <w:t xml:space="preserve"> that “[m]any motives</w:t>
      </w:r>
      <w:r w:rsidR="006613C6">
        <w:t xml:space="preserve">” other than robbery for A.M. to approach Sac </w:t>
      </w:r>
      <w:proofErr w:type="spellStart"/>
      <w:r w:rsidR="006613C6">
        <w:t>Ajtzalam</w:t>
      </w:r>
      <w:proofErr w:type="spellEnd"/>
      <w:r w:rsidR="006613C6">
        <w:t xml:space="preserve"> were “equally plausible,” such as gang-related disrespect or </w:t>
      </w:r>
      <w:r w:rsidR="003546BF">
        <w:t>a “dispute over a woman.”</w:t>
      </w:r>
      <w:r w:rsidR="00B27432">
        <w:t xml:space="preserve"> </w:t>
      </w:r>
      <w:r w:rsidR="003546BF">
        <w:t xml:space="preserve"> </w:t>
      </w:r>
      <w:r w:rsidR="00227BD3">
        <w:t xml:space="preserve">Citing </w:t>
      </w:r>
      <w:r w:rsidR="00227BD3">
        <w:rPr>
          <w:i/>
          <w:iCs/>
        </w:rPr>
        <w:t>People</w:t>
      </w:r>
      <w:r w:rsidR="004D1BA9">
        <w:rPr>
          <w:i/>
          <w:iCs/>
        </w:rPr>
        <w:t> </w:t>
      </w:r>
      <w:r w:rsidR="00227BD3">
        <w:rPr>
          <w:i/>
          <w:iCs/>
        </w:rPr>
        <w:t>v. Morris</w:t>
      </w:r>
      <w:r w:rsidR="00227BD3">
        <w:t xml:space="preserve"> (1988) 46</w:t>
      </w:r>
      <w:r w:rsidR="004D1BA9">
        <w:t> </w:t>
      </w:r>
      <w:r w:rsidR="00227BD3">
        <w:t xml:space="preserve">Cal.3d 1, he argues that “[l]ack of evidence of some other motive </w:t>
      </w:r>
      <w:r w:rsidR="004D1BA9">
        <w:t>. . .</w:t>
      </w:r>
      <w:r w:rsidR="00227BD3">
        <w:t xml:space="preserve"> does not in and of itself supply evidence that the motive was robbery.” </w:t>
      </w:r>
      <w:r w:rsidR="003A45E0">
        <w:t xml:space="preserve"> </w:t>
      </w:r>
      <w:r w:rsidR="007138F5">
        <w:t>Although we agree with this statement</w:t>
      </w:r>
      <w:r w:rsidR="008B6D83">
        <w:t xml:space="preserve"> of the law</w:t>
      </w:r>
      <w:r w:rsidR="007138F5">
        <w:t>,</w:t>
      </w:r>
      <w:r w:rsidR="008B6D83">
        <w:t xml:space="preserve"> we disagree that it applies here.</w:t>
      </w:r>
    </w:p>
    <w:p w14:paraId="7D0B3BD9" w14:textId="461B5B4B" w:rsidR="00B102BE" w:rsidRDefault="00DA7EAD" w:rsidP="002A070A">
      <w:pPr>
        <w:spacing w:line="360" w:lineRule="auto"/>
      </w:pPr>
      <w:r>
        <w:tab/>
      </w:r>
      <w:r w:rsidR="009D73E9">
        <w:t xml:space="preserve">In </w:t>
      </w:r>
      <w:r w:rsidR="009D73E9">
        <w:rPr>
          <w:i/>
          <w:iCs/>
        </w:rPr>
        <w:t>Morris</w:t>
      </w:r>
      <w:r w:rsidR="009D73E9">
        <w:t xml:space="preserve">, the </w:t>
      </w:r>
      <w:r w:rsidR="006261BB">
        <w:t xml:space="preserve">defendant was found guilty of </w:t>
      </w:r>
      <w:r w:rsidR="0013088E">
        <w:t xml:space="preserve">robbery and </w:t>
      </w:r>
      <w:r w:rsidR="006261BB">
        <w:t>murder with a robbery special circumstance.  (</w:t>
      </w:r>
      <w:r>
        <w:rPr>
          <w:i/>
          <w:iCs/>
        </w:rPr>
        <w:t>People</w:t>
      </w:r>
      <w:r w:rsidR="004D1BA9">
        <w:rPr>
          <w:i/>
          <w:iCs/>
        </w:rPr>
        <w:t> </w:t>
      </w:r>
      <w:r>
        <w:rPr>
          <w:i/>
          <w:iCs/>
        </w:rPr>
        <w:t>v. Morris</w:t>
      </w:r>
      <w:r>
        <w:t xml:space="preserve">, </w:t>
      </w:r>
      <w:r>
        <w:rPr>
          <w:i/>
          <w:iCs/>
        </w:rPr>
        <w:t>supra</w:t>
      </w:r>
      <w:r>
        <w:t xml:space="preserve">, </w:t>
      </w:r>
      <w:r w:rsidR="006317BE">
        <w:t>46</w:t>
      </w:r>
      <w:r w:rsidR="004D1BA9">
        <w:t> </w:t>
      </w:r>
      <w:r w:rsidR="006317BE">
        <w:t>Cal.3d</w:t>
      </w:r>
      <w:r w:rsidR="006261BB">
        <w:t xml:space="preserve"> at p.</w:t>
      </w:r>
      <w:r w:rsidR="004D1BA9">
        <w:t> </w:t>
      </w:r>
      <w:r w:rsidR="00FA1ADE">
        <w:t xml:space="preserve">9.)  The </w:t>
      </w:r>
      <w:r w:rsidR="009D73E9">
        <w:t xml:space="preserve">victim was found </w:t>
      </w:r>
      <w:r w:rsidR="0022106F">
        <w:t xml:space="preserve">“in </w:t>
      </w:r>
      <w:r w:rsidR="00C61782">
        <w:t>the restroom of a public bathhouse</w:t>
      </w:r>
      <w:r w:rsidR="00DA7CB7">
        <w:t>,</w:t>
      </w:r>
      <w:r w:rsidR="00F0272E">
        <w:t>”</w:t>
      </w:r>
      <w:r w:rsidR="00DA7CB7">
        <w:t xml:space="preserve"> naked and shot to death.</w:t>
      </w:r>
      <w:r w:rsidR="00F0272E">
        <w:t xml:space="preserve">  (</w:t>
      </w:r>
      <w:r w:rsidR="00F0272E">
        <w:rPr>
          <w:i/>
          <w:iCs/>
        </w:rPr>
        <w:t>Id.</w:t>
      </w:r>
      <w:r w:rsidR="00F0272E">
        <w:t xml:space="preserve"> at p.</w:t>
      </w:r>
      <w:r w:rsidR="00BD72F6">
        <w:t> </w:t>
      </w:r>
      <w:r w:rsidR="00F0272E">
        <w:t>19</w:t>
      </w:r>
      <w:r w:rsidR="00691F06">
        <w:t>–</w:t>
      </w:r>
      <w:r w:rsidR="00DB2852">
        <w:t>20</w:t>
      </w:r>
      <w:r w:rsidR="00F0272E">
        <w:t>.)</w:t>
      </w:r>
      <w:r w:rsidR="00E956CF">
        <w:t xml:space="preserve">  </w:t>
      </w:r>
      <w:r w:rsidR="00DA7CB7">
        <w:t>There</w:t>
      </w:r>
      <w:r w:rsidR="00E956CF">
        <w:t xml:space="preserve"> was “no evidence that any personal property was in [his] possession at the time of the murder.”  (</w:t>
      </w:r>
      <w:r w:rsidR="00E956CF">
        <w:rPr>
          <w:i/>
          <w:iCs/>
        </w:rPr>
        <w:t>Id.</w:t>
      </w:r>
      <w:r w:rsidR="00E956CF">
        <w:t xml:space="preserve"> at p.</w:t>
      </w:r>
      <w:r w:rsidR="004D1BA9">
        <w:t> </w:t>
      </w:r>
      <w:r w:rsidR="00E956CF">
        <w:t>20.)</w:t>
      </w:r>
      <w:r w:rsidR="00052057">
        <w:t xml:space="preserve">  </w:t>
      </w:r>
      <w:r w:rsidR="00EE4341">
        <w:t>The</w:t>
      </w:r>
      <w:r w:rsidR="00052057">
        <w:t xml:space="preserve"> defendant’s acquaintance</w:t>
      </w:r>
      <w:r w:rsidR="00EE4341">
        <w:t xml:space="preserve"> testified that the defendant said </w:t>
      </w:r>
      <w:proofErr w:type="gramStart"/>
      <w:r w:rsidR="00EE4341">
        <w:t>“</w:t>
      </w:r>
      <w:r w:rsidR="004D1BA9">
        <w:t> </w:t>
      </w:r>
      <w:r w:rsidR="00EE4341">
        <w:t>‘</w:t>
      </w:r>
      <w:proofErr w:type="gramEnd"/>
      <w:r w:rsidR="00EE4341">
        <w:t>he go out there and make money, you know, with these homosexuals, you know, dates—he had to kill one.’</w:t>
      </w:r>
      <w:r w:rsidR="004D1BA9">
        <w:t> </w:t>
      </w:r>
      <w:r w:rsidR="00EE4341">
        <w:t>”  (</w:t>
      </w:r>
      <w:r w:rsidR="00EE4341">
        <w:rPr>
          <w:i/>
          <w:iCs/>
        </w:rPr>
        <w:t>Ibid.</w:t>
      </w:r>
      <w:r w:rsidR="00A937B5">
        <w:t xml:space="preserve">)  In addition, a </w:t>
      </w:r>
      <w:r w:rsidR="009D3130">
        <w:t xml:space="preserve">few days after the murder, </w:t>
      </w:r>
      <w:r w:rsidR="00E80149">
        <w:t>the defendant used a credit card that another man had loaned to the victim a few months beforehand</w:t>
      </w:r>
      <w:r w:rsidR="00A937B5">
        <w:t>.  (</w:t>
      </w:r>
      <w:r w:rsidR="00A937B5">
        <w:rPr>
          <w:i/>
          <w:iCs/>
        </w:rPr>
        <w:t>Ibid.</w:t>
      </w:r>
      <w:r w:rsidR="00A937B5">
        <w:t>)</w:t>
      </w:r>
      <w:r w:rsidR="004D70DD">
        <w:t xml:space="preserve">  </w:t>
      </w:r>
      <w:r w:rsidR="008873CD">
        <w:t>The Supreme Court</w:t>
      </w:r>
      <w:r w:rsidR="004D70DD">
        <w:t xml:space="preserve"> </w:t>
      </w:r>
      <w:r w:rsidR="00FC379D">
        <w:t xml:space="preserve">reversed the robbery </w:t>
      </w:r>
      <w:r w:rsidR="000724D2">
        <w:t xml:space="preserve">conviction and robbery </w:t>
      </w:r>
      <w:r w:rsidR="00FC379D">
        <w:t>special circumstance,</w:t>
      </w:r>
      <w:r w:rsidR="008873CD">
        <w:t xml:space="preserve"> </w:t>
      </w:r>
      <w:r w:rsidR="000724D2">
        <w:t>observing</w:t>
      </w:r>
      <w:r w:rsidR="008873CD">
        <w:t xml:space="preserve"> that while it could “</w:t>
      </w:r>
      <w:r w:rsidR="008873CD">
        <w:rPr>
          <w:i/>
          <w:iCs/>
        </w:rPr>
        <w:t xml:space="preserve">speculate </w:t>
      </w:r>
      <w:r w:rsidR="008873CD">
        <w:t>about any number of scenarios that may have occurred on the morning in question,</w:t>
      </w:r>
      <w:r w:rsidR="00DA7CB7">
        <w:t>”</w:t>
      </w:r>
      <w:r w:rsidR="008873CD">
        <w:t xml:space="preserve"> there </w:t>
      </w:r>
      <w:r w:rsidR="00971458">
        <w:t xml:space="preserve">was no evidence “from which the jury could reasonably infer that [the] defendant </w:t>
      </w:r>
      <w:r w:rsidR="00E23624">
        <w:t>deprived the victim of personal property in his possession by means of force or fear.”  (</w:t>
      </w:r>
      <w:r w:rsidR="00E23624">
        <w:rPr>
          <w:i/>
          <w:iCs/>
        </w:rPr>
        <w:t>Id.</w:t>
      </w:r>
      <w:r w:rsidR="008873CD">
        <w:t xml:space="preserve"> at pp.</w:t>
      </w:r>
      <w:r w:rsidR="004D1BA9">
        <w:t> </w:t>
      </w:r>
      <w:r w:rsidR="008873CD">
        <w:t>20–21</w:t>
      </w:r>
      <w:r w:rsidR="001662FE">
        <w:t>, 41</w:t>
      </w:r>
      <w:r w:rsidR="008873CD">
        <w:t>.</w:t>
      </w:r>
      <w:r w:rsidR="00E23624">
        <w:t>)</w:t>
      </w:r>
      <w:r w:rsidR="00705901">
        <w:t xml:space="preserve">  </w:t>
      </w:r>
      <w:r w:rsidR="00F67E93">
        <w:t xml:space="preserve">Here, in contrast, there was significant </w:t>
      </w:r>
      <w:r w:rsidR="00143AD2">
        <w:t xml:space="preserve">evidence </w:t>
      </w:r>
      <w:r w:rsidR="003D2929">
        <w:t>from which to infer that</w:t>
      </w:r>
      <w:r w:rsidR="00143AD2">
        <w:t xml:space="preserve"> </w:t>
      </w:r>
      <w:r w:rsidR="00735635">
        <w:t>A.M. meant</w:t>
      </w:r>
      <w:r w:rsidR="00143AD2">
        <w:t xml:space="preserve"> to rob Sac </w:t>
      </w:r>
      <w:proofErr w:type="spellStart"/>
      <w:r w:rsidR="00143AD2">
        <w:t>Ajtzalam</w:t>
      </w:r>
      <w:proofErr w:type="spellEnd"/>
      <w:r w:rsidR="00735635">
        <w:t xml:space="preserve"> and Herrera was aware of that intent</w:t>
      </w:r>
      <w:r w:rsidR="00143AD2">
        <w:t>, and little to no evidence of the other po</w:t>
      </w:r>
      <w:r w:rsidR="00421023">
        <w:t>tential motives Herrera posits.</w:t>
      </w:r>
      <w:r>
        <w:t xml:space="preserve">  </w:t>
      </w:r>
    </w:p>
    <w:p w14:paraId="0BECD57A" w14:textId="25FBEDB6" w:rsidR="00AB48A9" w:rsidRDefault="00AB48A9" w:rsidP="002A070A">
      <w:pPr>
        <w:spacing w:line="360" w:lineRule="auto"/>
      </w:pPr>
      <w:r>
        <w:tab/>
      </w:r>
      <w:r w:rsidR="009E00D0">
        <w:t xml:space="preserve">Herrera also claims </w:t>
      </w:r>
      <w:r w:rsidR="00E44075">
        <w:t xml:space="preserve">the iPhone theft </w:t>
      </w:r>
      <w:r w:rsidR="00CB3CFD">
        <w:t xml:space="preserve">did not constitute evidence that he </w:t>
      </w:r>
      <w:r w:rsidR="002B473A">
        <w:t xml:space="preserve">intended to rob Sac </w:t>
      </w:r>
      <w:proofErr w:type="spellStart"/>
      <w:r w:rsidR="002B473A">
        <w:t>Ajtzalam</w:t>
      </w:r>
      <w:proofErr w:type="spellEnd"/>
      <w:r w:rsidR="002B473A">
        <w:t xml:space="preserve"> or assist A.M. in doing so.  </w:t>
      </w:r>
      <w:r w:rsidR="00CB510C">
        <w:t xml:space="preserve">We agree </w:t>
      </w:r>
      <w:r w:rsidR="000724D2">
        <w:t xml:space="preserve">that </w:t>
      </w:r>
      <w:r w:rsidR="00CB510C">
        <w:t xml:space="preserve">there was little if any evidence that </w:t>
      </w:r>
      <w:r w:rsidR="000724D2">
        <w:t>Herrera</w:t>
      </w:r>
      <w:r w:rsidR="00CB510C">
        <w:t xml:space="preserve"> participated in the iPhone theft</w:t>
      </w:r>
      <w:r w:rsidR="00E72671">
        <w:t xml:space="preserve">, </w:t>
      </w:r>
      <w:r w:rsidR="000724D2">
        <w:t xml:space="preserve">that </w:t>
      </w:r>
      <w:r w:rsidR="00CA03C2">
        <w:lastRenderedPageBreak/>
        <w:t xml:space="preserve">the iPhone theft was “dissimilar” to the attempted robbery </w:t>
      </w:r>
      <w:r w:rsidR="00FA4A1C">
        <w:t>in certain respects, including the</w:t>
      </w:r>
      <w:r w:rsidR="000F0383">
        <w:t xml:space="preserve"> relative</w:t>
      </w:r>
      <w:r w:rsidR="00FA4A1C">
        <w:t xml:space="preserve"> lack of force or threat used, and that A.M.’s own need for money did not supply a motive for </w:t>
      </w:r>
      <w:r w:rsidR="002546FC">
        <w:t xml:space="preserve">Herrera to steal.  </w:t>
      </w:r>
      <w:r w:rsidR="00DF64B9">
        <w:t xml:space="preserve">But even if the earlier misconduct </w:t>
      </w:r>
      <w:r w:rsidR="009B1278">
        <w:t xml:space="preserve">did not </w:t>
      </w:r>
      <w:r w:rsidR="00474D1B">
        <w:t xml:space="preserve">support an inference that Herrera </w:t>
      </w:r>
      <w:r w:rsidR="00F920B0">
        <w:t xml:space="preserve">had the same intent or plan on both occasions, it </w:t>
      </w:r>
      <w:r w:rsidR="00C4065D">
        <w:t xml:space="preserve">was still evidence that he knew A.M. intended to </w:t>
      </w:r>
      <w:r w:rsidR="003551FF">
        <w:t>permanently deprive</w:t>
      </w:r>
      <w:r w:rsidR="00C4065D">
        <w:t xml:space="preserve"> Sac </w:t>
      </w:r>
      <w:proofErr w:type="spellStart"/>
      <w:r w:rsidR="00C4065D">
        <w:t>Ajtzalam</w:t>
      </w:r>
      <w:proofErr w:type="spellEnd"/>
      <w:r w:rsidR="003551FF">
        <w:t xml:space="preserve"> of property</w:t>
      </w:r>
      <w:r w:rsidR="00C4065D">
        <w:t xml:space="preserve">.  This knowledge, combined with </w:t>
      </w:r>
      <w:r w:rsidR="00B54156">
        <w:t xml:space="preserve">Herrera’s </w:t>
      </w:r>
      <w:r w:rsidR="00AD403B">
        <w:t xml:space="preserve">level of participation </w:t>
      </w:r>
      <w:r w:rsidR="0095033D">
        <w:t xml:space="preserve">in the charged crimes </w:t>
      </w:r>
      <w:r w:rsidR="003C424B">
        <w:t xml:space="preserve">as </w:t>
      </w:r>
      <w:r w:rsidR="0095033D">
        <w:t xml:space="preserve">demonstrated by the surveillance footage, </w:t>
      </w:r>
      <w:r w:rsidR="00EE1034">
        <w:t xml:space="preserve">constituted substantial evidence that Herrera </w:t>
      </w:r>
      <w:r w:rsidR="003C0ABB">
        <w:t>intended to assist A.M. in committing robbery.</w:t>
      </w:r>
    </w:p>
    <w:p w14:paraId="2D9E29E8" w14:textId="6EEDFEC1" w:rsidR="00AB48A9" w:rsidRPr="00613F81" w:rsidRDefault="00E31B0F" w:rsidP="002A070A">
      <w:pPr>
        <w:spacing w:line="360" w:lineRule="auto"/>
      </w:pPr>
      <w:r>
        <w:tab/>
        <w:t xml:space="preserve">Finally, </w:t>
      </w:r>
      <w:r w:rsidR="0054236D">
        <w:t xml:space="preserve">Herrera </w:t>
      </w:r>
      <w:r w:rsidR="000D5B6D">
        <w:t xml:space="preserve">argues </w:t>
      </w:r>
      <w:r w:rsidR="0054236D">
        <w:t>that the “</w:t>
      </w:r>
      <w:r w:rsidR="003500F0">
        <w:t>Makin money” text</w:t>
      </w:r>
      <w:r w:rsidR="00613F81">
        <w:t xml:space="preserve"> and his interrogation statement</w:t>
      </w:r>
      <w:r w:rsidR="005B6164">
        <w:t>s</w:t>
      </w:r>
      <w:r w:rsidR="00674E79">
        <w:t>, including his statement that A.M.</w:t>
      </w:r>
      <w:r w:rsidR="007A2015">
        <w:t xml:space="preserve"> </w:t>
      </w:r>
      <w:r w:rsidR="00674E79">
        <w:t xml:space="preserve">“wanted to go rob that dude,” </w:t>
      </w:r>
      <w:r w:rsidR="000F0383">
        <w:t xml:space="preserve">did not </w:t>
      </w:r>
      <w:r w:rsidR="005B3F91">
        <w:t xml:space="preserve">constitute evidence </w:t>
      </w:r>
      <w:r w:rsidR="00730687">
        <w:t>that he knew of and wished to as</w:t>
      </w:r>
      <w:r w:rsidR="007A2015">
        <w:t xml:space="preserve">sist A.M.’s plan to steal from Sac </w:t>
      </w:r>
      <w:proofErr w:type="spellStart"/>
      <w:r w:rsidR="007A2015">
        <w:t>Ajtzalam</w:t>
      </w:r>
      <w:proofErr w:type="spellEnd"/>
      <w:r w:rsidR="007A2015">
        <w:t xml:space="preserve">. </w:t>
      </w:r>
      <w:r w:rsidR="00B2450B">
        <w:t xml:space="preserve"> </w:t>
      </w:r>
      <w:r w:rsidR="000D5B6D">
        <w:t xml:space="preserve">The argument, however, </w:t>
      </w:r>
      <w:r w:rsidR="007A2015">
        <w:t xml:space="preserve">fails to recognize our deferential standard </w:t>
      </w:r>
      <w:r w:rsidR="004C055B">
        <w:t xml:space="preserve">of </w:t>
      </w:r>
      <w:r w:rsidR="007A2015">
        <w:t xml:space="preserve">review.  </w:t>
      </w:r>
      <w:r w:rsidR="003D650C">
        <w:t>He</w:t>
      </w:r>
      <w:r w:rsidR="000D5B6D">
        <w:t xml:space="preserve">rrera </w:t>
      </w:r>
      <w:r w:rsidR="000C6180">
        <w:t>offer</w:t>
      </w:r>
      <w:r w:rsidR="00054A49">
        <w:t>s</w:t>
      </w:r>
      <w:r w:rsidR="004C055B">
        <w:t xml:space="preserve"> </w:t>
      </w:r>
      <w:r w:rsidR="001C638F">
        <w:t>interpretations of these statements that</w:t>
      </w:r>
      <w:r w:rsidR="00185C75">
        <w:t>, if accepted, would</w:t>
      </w:r>
      <w:r w:rsidR="00506A9A">
        <w:t xml:space="preserve"> </w:t>
      </w:r>
      <w:r w:rsidR="008808DD">
        <w:t xml:space="preserve">neutralize them as evidence of his criminal intent.  But he fails to </w:t>
      </w:r>
      <w:r w:rsidR="000D5B6D">
        <w:t xml:space="preserve">establish that </w:t>
      </w:r>
      <w:r w:rsidR="008808DD">
        <w:t xml:space="preserve">the jury could not have reasonably interpreted them </w:t>
      </w:r>
      <w:r w:rsidR="00054A49">
        <w:t>otherwis</w:t>
      </w:r>
      <w:r w:rsidR="0094079A">
        <w:t xml:space="preserve">e.  </w:t>
      </w:r>
      <w:r w:rsidR="00217A3D">
        <w:t xml:space="preserve">Thus, although </w:t>
      </w:r>
      <w:r w:rsidR="00F1495B">
        <w:t xml:space="preserve">we find it unnecessary to rely on these statements to </w:t>
      </w:r>
      <w:r w:rsidR="007058A4">
        <w:t>support our conclusion,</w:t>
      </w:r>
      <w:r w:rsidR="00F1495B">
        <w:t xml:space="preserve"> they constitute additional substantial evidence</w:t>
      </w:r>
      <w:r w:rsidR="00A032BF">
        <w:t xml:space="preserve"> </w:t>
      </w:r>
      <w:r w:rsidR="007058A4">
        <w:t>that Herrera intended to aid and abet A.M. in committing robbery.</w:t>
      </w:r>
      <w:r w:rsidR="008808DD">
        <w:t xml:space="preserve"> </w:t>
      </w:r>
    </w:p>
    <w:p w14:paraId="2190019B" w14:textId="43FC81ED" w:rsidR="00D46913" w:rsidRDefault="00C26FE5" w:rsidP="00D46913">
      <w:pPr>
        <w:keepNext/>
        <w:spacing w:line="240" w:lineRule="auto"/>
        <w:rPr>
          <w:i/>
          <w:iCs/>
        </w:rPr>
      </w:pPr>
      <w:r>
        <w:tab/>
      </w:r>
      <w:r w:rsidR="00456963">
        <w:rPr>
          <w:i/>
          <w:iCs/>
        </w:rPr>
        <w:t>B.</w:t>
      </w:r>
      <w:r w:rsidR="00456963">
        <w:rPr>
          <w:i/>
          <w:iCs/>
        </w:rPr>
        <w:tab/>
      </w:r>
      <w:r w:rsidR="009C5165">
        <w:rPr>
          <w:i/>
          <w:iCs/>
        </w:rPr>
        <w:t xml:space="preserve">The Trial Court Did Not Abuse </w:t>
      </w:r>
      <w:r w:rsidR="000D5B6D">
        <w:rPr>
          <w:i/>
          <w:iCs/>
        </w:rPr>
        <w:t>I</w:t>
      </w:r>
      <w:r w:rsidR="009C5165">
        <w:rPr>
          <w:i/>
          <w:iCs/>
        </w:rPr>
        <w:t xml:space="preserve">ts Discretion </w:t>
      </w:r>
      <w:proofErr w:type="gramStart"/>
      <w:r w:rsidR="009C5165">
        <w:rPr>
          <w:i/>
          <w:iCs/>
        </w:rPr>
        <w:t>By</w:t>
      </w:r>
      <w:proofErr w:type="gramEnd"/>
      <w:r w:rsidR="009C5165">
        <w:rPr>
          <w:i/>
          <w:iCs/>
        </w:rPr>
        <w:t xml:space="preserve"> Admitting </w:t>
      </w:r>
    </w:p>
    <w:p w14:paraId="5A98B6E7" w14:textId="36DA8B31" w:rsidR="00C26FE5" w:rsidRDefault="00D46913" w:rsidP="00D46913">
      <w:pPr>
        <w:keepNext/>
        <w:spacing w:line="240" w:lineRule="auto"/>
        <w:rPr>
          <w:i/>
          <w:iCs/>
        </w:rPr>
      </w:pPr>
      <w:r>
        <w:rPr>
          <w:i/>
          <w:iCs/>
        </w:rPr>
        <w:tab/>
      </w:r>
      <w:r>
        <w:rPr>
          <w:i/>
          <w:iCs/>
        </w:rPr>
        <w:tab/>
        <w:t>Evidence of the iPhone Theft.</w:t>
      </w:r>
    </w:p>
    <w:p w14:paraId="3ECC83DE" w14:textId="3B531CA9" w:rsidR="00455E48" w:rsidRDefault="00A45932" w:rsidP="00D46913">
      <w:pPr>
        <w:spacing w:before="180" w:line="360" w:lineRule="auto"/>
      </w:pPr>
      <w:r>
        <w:tab/>
        <w:t xml:space="preserve">Herrera claims </w:t>
      </w:r>
      <w:r w:rsidR="00B25C84">
        <w:t xml:space="preserve">the trial court erred by admitting </w:t>
      </w:r>
      <w:r w:rsidR="00397F22">
        <w:t xml:space="preserve">evidence of the iPhone </w:t>
      </w:r>
      <w:r w:rsidR="003F0FE7">
        <w:t>theft</w:t>
      </w:r>
      <w:r w:rsidR="00397F22">
        <w:t xml:space="preserve"> because it was irrelevant and </w:t>
      </w:r>
      <w:r w:rsidR="00662691">
        <w:t xml:space="preserve">unduly prejudicial.  </w:t>
      </w:r>
      <w:r w:rsidR="000D5B6D">
        <w:t>Again, we are not persuaded</w:t>
      </w:r>
      <w:r w:rsidR="00662691">
        <w:t>.</w:t>
      </w:r>
    </w:p>
    <w:p w14:paraId="6C5B7CA4" w14:textId="563A4987" w:rsidR="00662691" w:rsidRDefault="00662691" w:rsidP="00BE5C17">
      <w:pPr>
        <w:keepNext/>
        <w:spacing w:line="360" w:lineRule="auto"/>
      </w:pPr>
      <w:r>
        <w:tab/>
      </w:r>
      <w:r>
        <w:tab/>
        <w:t>1.</w:t>
      </w:r>
      <w:r>
        <w:tab/>
        <w:t>Additional facts</w:t>
      </w:r>
    </w:p>
    <w:p w14:paraId="12B93A6E" w14:textId="77F67E21" w:rsidR="00662691" w:rsidRDefault="00662691" w:rsidP="002A070A">
      <w:pPr>
        <w:spacing w:line="360" w:lineRule="auto"/>
      </w:pPr>
      <w:r>
        <w:tab/>
      </w:r>
      <w:r w:rsidR="001730E5">
        <w:t xml:space="preserve">Before trial, </w:t>
      </w:r>
      <w:r w:rsidR="00A25BC3">
        <w:t xml:space="preserve">the People moved to admit evidence of the iPhone theft </w:t>
      </w:r>
      <w:r w:rsidR="00253ADC">
        <w:t>under Evidence Code section</w:t>
      </w:r>
      <w:r w:rsidR="001327D9">
        <w:t> </w:t>
      </w:r>
      <w:r w:rsidR="00253ADC">
        <w:t xml:space="preserve">1101, subdivision (b), </w:t>
      </w:r>
      <w:r w:rsidR="0080415F">
        <w:t xml:space="preserve">as relevant to </w:t>
      </w:r>
      <w:r w:rsidR="00AF5708">
        <w:t xml:space="preserve">Herrera’s </w:t>
      </w:r>
      <w:r w:rsidR="00644391">
        <w:lastRenderedPageBreak/>
        <w:t>“knowledge of [A.M.’s] intent to commit robbery</w:t>
      </w:r>
      <w:r w:rsidR="008840C5">
        <w:t xml:space="preserve">” and his own intent. </w:t>
      </w:r>
      <w:r w:rsidR="00EC685F">
        <w:t xml:space="preserve"> The defense argued the evidence </w:t>
      </w:r>
      <w:r w:rsidR="00FF348B">
        <w:t xml:space="preserve">was </w:t>
      </w:r>
      <w:r w:rsidR="00DF4780">
        <w:t>i</w:t>
      </w:r>
      <w:r w:rsidR="00864B26">
        <w:t>mpermissible</w:t>
      </w:r>
      <w:r w:rsidR="00DF4780">
        <w:t xml:space="preserve"> character evidence and unduly prejudicial under Evidence Code section</w:t>
      </w:r>
      <w:r w:rsidR="001327D9">
        <w:t> </w:t>
      </w:r>
      <w:r w:rsidR="00DF4780">
        <w:t xml:space="preserve">352. </w:t>
      </w:r>
      <w:r w:rsidR="003F0FE7">
        <w:t xml:space="preserve"> </w:t>
      </w:r>
    </w:p>
    <w:p w14:paraId="2D5485F2" w14:textId="45FD599A" w:rsidR="00F31F17" w:rsidRDefault="00F31F17" w:rsidP="002A070A">
      <w:pPr>
        <w:spacing w:line="360" w:lineRule="auto"/>
      </w:pPr>
      <w:r>
        <w:tab/>
        <w:t xml:space="preserve">The trial court ruled the evidence was admissible.  </w:t>
      </w:r>
      <w:r w:rsidR="00FF1C30">
        <w:t>I</w:t>
      </w:r>
      <w:r>
        <w:t xml:space="preserve">t </w:t>
      </w:r>
      <w:r w:rsidR="00DB0662">
        <w:t>found the evidence was relevant</w:t>
      </w:r>
      <w:r w:rsidR="00103DB3">
        <w:t xml:space="preserve"> under Evidence Code section 1101, subdivision (b),</w:t>
      </w:r>
      <w:r w:rsidR="00DB0662">
        <w:t xml:space="preserve"> to prove Herrera’s knowledge </w:t>
      </w:r>
      <w:r w:rsidR="009149C5">
        <w:t xml:space="preserve">that A.M. committed the prior crime and in turn, </w:t>
      </w:r>
      <w:r w:rsidR="00FA3DB0">
        <w:t xml:space="preserve">to prove </w:t>
      </w:r>
      <w:r w:rsidR="001D0348">
        <w:t xml:space="preserve">Herrera’s intent during the charged crimes. </w:t>
      </w:r>
      <w:r w:rsidR="00DB0662">
        <w:t xml:space="preserve"> </w:t>
      </w:r>
      <w:r w:rsidR="005B70E9">
        <w:t xml:space="preserve">The court also determined </w:t>
      </w:r>
      <w:r w:rsidR="00103DB3">
        <w:t>the evidence was not unduly prejudicial under Evidence Code</w:t>
      </w:r>
      <w:r w:rsidR="00441C8E">
        <w:t xml:space="preserve"> section</w:t>
      </w:r>
      <w:r w:rsidR="001327D9">
        <w:t> </w:t>
      </w:r>
      <w:r w:rsidR="00441C8E">
        <w:t xml:space="preserve">352 because </w:t>
      </w:r>
      <w:r w:rsidR="00065DB3">
        <w:t>the iPhone theft</w:t>
      </w:r>
      <w:r w:rsidR="00441C8E">
        <w:t xml:space="preserve"> was less serious</w:t>
      </w:r>
      <w:r w:rsidR="00263C7F">
        <w:t xml:space="preserve"> </w:t>
      </w:r>
      <w:r w:rsidR="00065DB3">
        <w:t xml:space="preserve">than the charged crimes </w:t>
      </w:r>
      <w:r w:rsidR="00263C7F">
        <w:t xml:space="preserve">and “noncomplicated”; Herrera </w:t>
      </w:r>
      <w:r w:rsidR="00A27B2E">
        <w:t>discussed the</w:t>
      </w:r>
      <w:r w:rsidR="00065DB3">
        <w:t xml:space="preserve"> prior crime</w:t>
      </w:r>
      <w:r w:rsidR="00A27B2E">
        <w:t xml:space="preserve"> during his </w:t>
      </w:r>
      <w:r w:rsidR="00FA3DB0">
        <w:t>interrogation</w:t>
      </w:r>
      <w:r w:rsidR="00A27B2E">
        <w:t xml:space="preserve">, which was being admitted anyway; and </w:t>
      </w:r>
      <w:r w:rsidR="00781B8E">
        <w:t xml:space="preserve">he could argue that his relative lack of involvement </w:t>
      </w:r>
      <w:r w:rsidR="00D72ACF">
        <w:t xml:space="preserve">in the prior crime showed he </w:t>
      </w:r>
      <w:r w:rsidR="003C3ECC">
        <w:t>was not guilty of attempting to rob</w:t>
      </w:r>
      <w:r w:rsidR="004565B0">
        <w:t xml:space="preserve"> Sac </w:t>
      </w:r>
      <w:proofErr w:type="spellStart"/>
      <w:r w:rsidR="004565B0">
        <w:t>Ajtzalam</w:t>
      </w:r>
      <w:proofErr w:type="spellEnd"/>
      <w:r w:rsidR="00E071CE">
        <w:t>.</w:t>
      </w:r>
      <w:r w:rsidR="00065DB3">
        <w:t xml:space="preserve"> </w:t>
      </w:r>
    </w:p>
    <w:p w14:paraId="77AF0849" w14:textId="39AC84E2" w:rsidR="003C2251" w:rsidRDefault="003C2251" w:rsidP="00D152A8">
      <w:pPr>
        <w:spacing w:line="360" w:lineRule="auto"/>
      </w:pPr>
      <w:r>
        <w:tab/>
      </w:r>
      <w:r w:rsidR="008E29CD">
        <w:t xml:space="preserve">As </w:t>
      </w:r>
      <w:r w:rsidR="00492668">
        <w:t>mentioned</w:t>
      </w:r>
      <w:r w:rsidR="008E29CD">
        <w:t xml:space="preserve"> above, a</w:t>
      </w:r>
      <w:r w:rsidR="00492668">
        <w:t xml:space="preserve"> police</w:t>
      </w:r>
      <w:r w:rsidR="008E29CD">
        <w:t xml:space="preserve"> officer who interviewed S.N. at the scene testified </w:t>
      </w:r>
      <w:r w:rsidR="00AF133A">
        <w:t>about her statements</w:t>
      </w:r>
      <w:r w:rsidR="00E86930">
        <w:t xml:space="preserve">, and Muni surveillance footage </w:t>
      </w:r>
      <w:r w:rsidR="00AF133A">
        <w:t>showing the iPhone theft and A.M. and Herrera running away was</w:t>
      </w:r>
      <w:r w:rsidR="00AD2D2A">
        <w:t xml:space="preserve"> played for the jury.  </w:t>
      </w:r>
      <w:r>
        <w:t xml:space="preserve">The jury was instructed under a modified version of CALCRIM No. </w:t>
      </w:r>
      <w:r w:rsidR="0028508E">
        <w:t xml:space="preserve">375 that </w:t>
      </w:r>
      <w:r w:rsidR="00D152A8">
        <w:t>“</w:t>
      </w:r>
      <w:r w:rsidR="004929FF">
        <w:t>[t]</w:t>
      </w:r>
      <w:r w:rsidR="00D152A8">
        <w:t>he People presented evidence of other behavior</w:t>
      </w:r>
      <w:r w:rsidR="00EF4431">
        <w:t xml:space="preserve"> </w:t>
      </w:r>
      <w:r w:rsidR="00D152A8">
        <w:t>by the defendant that was not charged in this case that</w:t>
      </w:r>
      <w:r w:rsidR="00EF4431">
        <w:t xml:space="preserve"> </w:t>
      </w:r>
      <w:r w:rsidR="00D152A8">
        <w:t xml:space="preserve">the defendant was present with </w:t>
      </w:r>
      <w:r w:rsidR="00EF4431">
        <w:t>[A.M.]</w:t>
      </w:r>
      <w:r w:rsidR="00D152A8">
        <w:t xml:space="preserve"> </w:t>
      </w:r>
      <w:r w:rsidR="00EF4431">
        <w:t>w</w:t>
      </w:r>
      <w:r w:rsidR="00D152A8">
        <w:t xml:space="preserve">hen </w:t>
      </w:r>
      <w:r w:rsidR="00EF4431">
        <w:t xml:space="preserve">[A.M.] </w:t>
      </w:r>
      <w:r w:rsidR="00D152A8">
        <w:t xml:space="preserve">stole an iPhone from </w:t>
      </w:r>
      <w:r w:rsidR="00EF4431">
        <w:t>[S.N.]</w:t>
      </w:r>
      <w:r w:rsidR="00D152A8">
        <w:t xml:space="preserve"> and later sold it.</w:t>
      </w:r>
      <w:r w:rsidR="00571F1B">
        <w:t xml:space="preserve"> [</w:t>
      </w:r>
      <w:r w:rsidR="000E489A">
        <w:t xml:space="preserve">¶] </w:t>
      </w:r>
      <w:r w:rsidR="001327D9">
        <w:t>. . .</w:t>
      </w:r>
      <w:r w:rsidR="000E489A">
        <w:t xml:space="preserve"> [¶] If you decide that the defendant committed the acts</w:t>
      </w:r>
      <w:r w:rsidR="00E12D45">
        <w:t xml:space="preserve">, you may, but are not required to, consider that evidence for the limited purpose of </w:t>
      </w:r>
      <w:r w:rsidR="00766371">
        <w:t xml:space="preserve">deciding </w:t>
      </w:r>
      <w:r w:rsidR="00E12D45">
        <w:t>whether</w:t>
      </w:r>
      <w:r w:rsidR="00766371">
        <w:t xml:space="preserve">: [¶] The defendant acted with the intent to commit robbery </w:t>
      </w:r>
      <w:r w:rsidR="001D4550">
        <w:t xml:space="preserve">against </w:t>
      </w:r>
      <w:r w:rsidR="001327D9">
        <w:t>. . .</w:t>
      </w:r>
      <w:r w:rsidR="001D4550">
        <w:t xml:space="preserve"> Sac </w:t>
      </w:r>
      <w:proofErr w:type="spellStart"/>
      <w:r w:rsidR="001D4550">
        <w:t>Ajtzalam</w:t>
      </w:r>
      <w:proofErr w:type="spellEnd"/>
      <w:r w:rsidR="001D4550">
        <w:t xml:space="preserve"> in this case; or [¶] </w:t>
      </w:r>
      <w:r w:rsidR="003C605F">
        <w:t xml:space="preserve">[t]he defendant knew [A.M.] intended to commit robbery </w:t>
      </w:r>
      <w:r w:rsidR="00F5032A">
        <w:t xml:space="preserve">against </w:t>
      </w:r>
      <w:r w:rsidR="001327D9">
        <w:t>. . .</w:t>
      </w:r>
      <w:r w:rsidR="00492668">
        <w:t xml:space="preserve"> </w:t>
      </w:r>
      <w:r w:rsidR="00F5032A">
        <w:t xml:space="preserve">Sac </w:t>
      </w:r>
      <w:proofErr w:type="spellStart"/>
      <w:r w:rsidR="00F5032A">
        <w:t>Ajtzalam</w:t>
      </w:r>
      <w:proofErr w:type="spellEnd"/>
      <w:r w:rsidR="00F5032A">
        <w:t xml:space="preserve"> when he allegedly acted in this case.” </w:t>
      </w:r>
    </w:p>
    <w:p w14:paraId="71BA9BDB" w14:textId="61032E63" w:rsidR="00172DD0" w:rsidRDefault="00172DD0" w:rsidP="005078A3">
      <w:pPr>
        <w:keepNext/>
        <w:spacing w:line="360" w:lineRule="auto"/>
      </w:pPr>
      <w:r>
        <w:lastRenderedPageBreak/>
        <w:tab/>
      </w:r>
      <w:r>
        <w:tab/>
        <w:t>2.</w:t>
      </w:r>
      <w:r>
        <w:tab/>
      </w:r>
      <w:r w:rsidR="005078A3">
        <w:t>General legal standards</w:t>
      </w:r>
    </w:p>
    <w:p w14:paraId="61D01B5F" w14:textId="48190439" w:rsidR="00BF3A35" w:rsidRPr="00FE2DAC" w:rsidRDefault="00B4284A" w:rsidP="002A070A">
      <w:pPr>
        <w:spacing w:line="360" w:lineRule="auto"/>
      </w:pPr>
      <w:r>
        <w:tab/>
      </w:r>
      <w:r w:rsidRPr="00B4284A">
        <w:t xml:space="preserve">Evidence is relevant if it has </w:t>
      </w:r>
      <w:r w:rsidR="005756A6">
        <w:t>“</w:t>
      </w:r>
      <w:r w:rsidRPr="00B4284A">
        <w:t>any tendency in reason to prove or disprove any disputed fact that is of consequence to the determination of the action.</w:t>
      </w:r>
      <w:r w:rsidR="005756A6">
        <w:t>”</w:t>
      </w:r>
      <w:r w:rsidRPr="00B4284A">
        <w:t xml:space="preserve"> </w:t>
      </w:r>
      <w:r w:rsidR="005756A6">
        <w:t xml:space="preserve"> </w:t>
      </w:r>
      <w:r w:rsidRPr="00B4284A">
        <w:t>(Evid. Code, §</w:t>
      </w:r>
      <w:r w:rsidR="001327D9">
        <w:t> </w:t>
      </w:r>
      <w:r w:rsidRPr="00B4284A">
        <w:t>210.)</w:t>
      </w:r>
      <w:r w:rsidR="005756A6">
        <w:t xml:space="preserve">  Generally, </w:t>
      </w:r>
      <w:r w:rsidR="001162E2">
        <w:t xml:space="preserve">evidence of a person’s </w:t>
      </w:r>
      <w:r w:rsidR="009E0D13">
        <w:t>previous conduct</w:t>
      </w:r>
      <w:r w:rsidR="002745F4">
        <w:t xml:space="preserve"> “is inadmissible </w:t>
      </w:r>
      <w:r w:rsidR="00126BAC">
        <w:t xml:space="preserve">when offered </w:t>
      </w:r>
      <w:r w:rsidR="002745F4">
        <w:t xml:space="preserve">to prove </w:t>
      </w:r>
      <w:r w:rsidR="00C5339D">
        <w:t xml:space="preserve">[the person’s] conduct on </w:t>
      </w:r>
      <w:r w:rsidR="00FE2DAC">
        <w:t>a specified occasion.”  (</w:t>
      </w:r>
      <w:r w:rsidR="00FE2DAC">
        <w:rPr>
          <w:i/>
          <w:iCs/>
        </w:rPr>
        <w:t>Id.</w:t>
      </w:r>
      <w:r w:rsidR="00FE2DAC">
        <w:t xml:space="preserve">, </w:t>
      </w:r>
      <w:r w:rsidR="00FE2DAC" w:rsidRPr="00B4284A">
        <w:t>§</w:t>
      </w:r>
      <w:r w:rsidR="001327D9">
        <w:t> </w:t>
      </w:r>
      <w:r w:rsidR="00FE2DAC">
        <w:t>1101, subd. (a).)</w:t>
      </w:r>
      <w:r w:rsidR="0075283B">
        <w:t xml:space="preserve">  </w:t>
      </w:r>
      <w:r w:rsidR="001D7E7A">
        <w:t>But</w:t>
      </w:r>
      <w:r w:rsidR="0075283B">
        <w:t xml:space="preserve"> “</w:t>
      </w:r>
      <w:r w:rsidR="00B654CA" w:rsidRPr="00B654CA">
        <w:t>evidence that a person committed a crime, civil wrong, or other act</w:t>
      </w:r>
      <w:r w:rsidR="0075283B">
        <w:t>”</w:t>
      </w:r>
      <w:r w:rsidR="00B654CA" w:rsidRPr="00B654CA">
        <w:t xml:space="preserve"> is admissible </w:t>
      </w:r>
      <w:r w:rsidR="00E9732B">
        <w:t>“</w:t>
      </w:r>
      <w:r w:rsidR="00B654CA" w:rsidRPr="00B654CA">
        <w:t>when relevant to prove some fact</w:t>
      </w:r>
      <w:r w:rsidR="001D7E7A">
        <w:t xml:space="preserve">,” such as intent or knowledge, “other than [the person’s] </w:t>
      </w:r>
      <w:r w:rsidR="00B654CA" w:rsidRPr="00B654CA">
        <w:t>disposition to commit such an act</w:t>
      </w:r>
      <w:r w:rsidR="001D7E7A">
        <w:t xml:space="preserve">.”  </w:t>
      </w:r>
      <w:r w:rsidR="00B654CA" w:rsidRPr="00B654CA">
        <w:t>(</w:t>
      </w:r>
      <w:r w:rsidR="007938FB">
        <w:rPr>
          <w:i/>
          <w:iCs/>
        </w:rPr>
        <w:t>Id.</w:t>
      </w:r>
      <w:r w:rsidR="007938FB">
        <w:t>,</w:t>
      </w:r>
      <w:r w:rsidR="007938FB">
        <w:rPr>
          <w:i/>
          <w:iCs/>
        </w:rPr>
        <w:t xml:space="preserve"> </w:t>
      </w:r>
      <w:r w:rsidR="00B654CA" w:rsidRPr="00B654CA">
        <w:t>§</w:t>
      </w:r>
      <w:r w:rsidR="001327D9">
        <w:t> </w:t>
      </w:r>
      <w:r w:rsidR="00B654CA" w:rsidRPr="00B654CA">
        <w:t>1101, subd. (b)</w:t>
      </w:r>
      <w:r w:rsidR="00E114A4">
        <w:t>.</w:t>
      </w:r>
      <w:r w:rsidR="00B654CA" w:rsidRPr="00B654CA">
        <w:t>)</w:t>
      </w:r>
    </w:p>
    <w:p w14:paraId="5DE2F3F5" w14:textId="49211068" w:rsidR="00455E48" w:rsidRDefault="00E114A4" w:rsidP="002A070A">
      <w:pPr>
        <w:spacing w:line="360" w:lineRule="auto"/>
      </w:pPr>
      <w:r>
        <w:tab/>
      </w:r>
      <w:r w:rsidR="00B4284A" w:rsidRPr="00B4284A">
        <w:t>Even if evidence is otherwise relevant and admissible, it may be excluded</w:t>
      </w:r>
      <w:r>
        <w:t xml:space="preserve"> “</w:t>
      </w:r>
      <w:r w:rsidR="00B4284A" w:rsidRPr="00B4284A">
        <w:t xml:space="preserve">if its probative value is substantially outweighed by the probability that its admission will </w:t>
      </w:r>
      <w:r w:rsidR="001327D9">
        <w:t>. . .</w:t>
      </w:r>
      <w:r w:rsidR="006B0E15">
        <w:t xml:space="preserve"> </w:t>
      </w:r>
      <w:r w:rsidR="00B4284A" w:rsidRPr="00B4284A">
        <w:t>create substantial danger of undue prejudice, of confusing the issues, or of misleading the jury.</w:t>
      </w:r>
      <w:r w:rsidR="006B0E15">
        <w:t xml:space="preserve">”  </w:t>
      </w:r>
      <w:r w:rsidR="00B4284A" w:rsidRPr="00B4284A">
        <w:t>(</w:t>
      </w:r>
      <w:r w:rsidR="006B0E15">
        <w:t xml:space="preserve">Evid. Code, </w:t>
      </w:r>
      <w:r w:rsidR="00B4284A" w:rsidRPr="00B4284A">
        <w:t>§</w:t>
      </w:r>
      <w:r w:rsidR="00E52D20">
        <w:t> </w:t>
      </w:r>
      <w:r w:rsidR="00B4284A" w:rsidRPr="00B4284A">
        <w:t xml:space="preserve">352; </w:t>
      </w:r>
      <w:r w:rsidR="00B4284A" w:rsidRPr="00F2253C">
        <w:rPr>
          <w:i/>
          <w:iCs/>
        </w:rPr>
        <w:t>People</w:t>
      </w:r>
      <w:r w:rsidR="00E52D20">
        <w:rPr>
          <w:i/>
          <w:iCs/>
        </w:rPr>
        <w:t> </w:t>
      </w:r>
      <w:r w:rsidR="00B4284A" w:rsidRPr="00F2253C">
        <w:rPr>
          <w:i/>
          <w:iCs/>
        </w:rPr>
        <w:t>v. Scott</w:t>
      </w:r>
      <w:r w:rsidR="00B4284A" w:rsidRPr="00B4284A">
        <w:t xml:space="preserve"> (2011) 52 Cal.4th 452, 490.)</w:t>
      </w:r>
      <w:r w:rsidR="00F2253C">
        <w:t xml:space="preserve">  </w:t>
      </w:r>
      <w:r w:rsidR="00B4284A" w:rsidRPr="00B4284A">
        <w:t xml:space="preserve">The </w:t>
      </w:r>
      <w:r w:rsidR="00F2253C">
        <w:t>“</w:t>
      </w:r>
      <w:r w:rsidR="00B4284A" w:rsidRPr="00B4284A">
        <w:t>prejudice</w:t>
      </w:r>
      <w:r w:rsidR="00F2253C">
        <w:t xml:space="preserve">” </w:t>
      </w:r>
      <w:r w:rsidR="0097649B">
        <w:t>referred</w:t>
      </w:r>
      <w:r w:rsidR="00B4284A" w:rsidRPr="00B4284A">
        <w:t xml:space="preserve"> to </w:t>
      </w:r>
      <w:r w:rsidR="000474BC">
        <w:t>“is not synonymous with ‘damaging,</w:t>
      </w:r>
      <w:proofErr w:type="gramStart"/>
      <w:r w:rsidR="000474BC">
        <w:t>’</w:t>
      </w:r>
      <w:r w:rsidR="00E52D20">
        <w:t> </w:t>
      </w:r>
      <w:r w:rsidR="000474BC">
        <w:t>”</w:t>
      </w:r>
      <w:proofErr w:type="gramEnd"/>
      <w:r w:rsidR="000474BC">
        <w:t xml:space="preserve"> but rather </w:t>
      </w:r>
      <w:r w:rsidR="00F95137">
        <w:t>describes</w:t>
      </w:r>
      <w:r w:rsidR="000474BC">
        <w:t xml:space="preserve"> </w:t>
      </w:r>
      <w:r w:rsidR="00964734">
        <w:t>“</w:t>
      </w:r>
      <w:r w:rsidR="00E52D20">
        <w:t> </w:t>
      </w:r>
      <w:r w:rsidR="00771ABE">
        <w:t>‘</w:t>
      </w:r>
      <w:r w:rsidR="00E52D20">
        <w:t> </w:t>
      </w:r>
      <w:r w:rsidR="00771ABE">
        <w:t>“</w:t>
      </w:r>
      <w:r w:rsidR="00964734" w:rsidRPr="00964734">
        <w:t>evidence which uniquely tends to evoke an emotional bias against the defendant as an individual and which has very little effect on the issues.</w:t>
      </w:r>
      <w:r w:rsidR="004162A4">
        <w:t>”</w:t>
      </w:r>
      <w:r w:rsidR="00E52D20">
        <w:t> </w:t>
      </w:r>
      <w:r w:rsidR="00771ABE">
        <w:t>’</w:t>
      </w:r>
      <w:r w:rsidR="00E52D20">
        <w:t> </w:t>
      </w:r>
      <w:r w:rsidR="00771ABE">
        <w:t>”</w:t>
      </w:r>
      <w:r w:rsidR="004162A4">
        <w:t xml:space="preserve">  (</w:t>
      </w:r>
      <w:r w:rsidR="004162A4">
        <w:rPr>
          <w:i/>
          <w:iCs/>
        </w:rPr>
        <w:t>Scott</w:t>
      </w:r>
      <w:r w:rsidR="004162A4">
        <w:t>, at p.</w:t>
      </w:r>
      <w:r w:rsidR="00E52D20">
        <w:t> </w:t>
      </w:r>
      <w:r w:rsidR="004162A4">
        <w:t>491.)</w:t>
      </w:r>
      <w:r w:rsidR="00771ABE">
        <w:t xml:space="preserve">  </w:t>
      </w:r>
    </w:p>
    <w:p w14:paraId="73DB8D07" w14:textId="2F89DF6A" w:rsidR="003A4BFB" w:rsidRDefault="003A4BFB" w:rsidP="002A070A">
      <w:pPr>
        <w:spacing w:line="360" w:lineRule="auto"/>
      </w:pPr>
      <w:r>
        <w:tab/>
      </w:r>
      <w:r w:rsidRPr="00B4284A">
        <w:t>We review the trial court</w:t>
      </w:r>
      <w:r>
        <w:t>’</w:t>
      </w:r>
      <w:r w:rsidRPr="00B4284A">
        <w:t>s evidentiary rulings for an abuse of discretion.</w:t>
      </w:r>
      <w:r>
        <w:t xml:space="preserve">  </w:t>
      </w:r>
      <w:r w:rsidRPr="00B4284A">
        <w:t>(</w:t>
      </w:r>
      <w:r w:rsidRPr="00E0578B">
        <w:rPr>
          <w:i/>
          <w:iCs/>
        </w:rPr>
        <w:t>People v. Harris</w:t>
      </w:r>
      <w:r w:rsidRPr="00B4284A">
        <w:t xml:space="preserve"> (2005) 37</w:t>
      </w:r>
      <w:r>
        <w:t> </w:t>
      </w:r>
      <w:r w:rsidRPr="00B4284A">
        <w:t>Cal.4th 310, 337.)</w:t>
      </w:r>
      <w:r w:rsidR="006A1F9F">
        <w:t xml:space="preserve">  Under this standard, we do not reverse </w:t>
      </w:r>
      <w:proofErr w:type="gramStart"/>
      <w:r w:rsidR="00086178">
        <w:t>“</w:t>
      </w:r>
      <w:r w:rsidR="00FD7FF6">
        <w:t> </w:t>
      </w:r>
      <w:r w:rsidR="00086178">
        <w:t>‘</w:t>
      </w:r>
      <w:proofErr w:type="gramEnd"/>
      <w:r w:rsidR="00FD7FF6">
        <w:t> </w:t>
      </w:r>
      <w:r w:rsidR="00EA647B">
        <w:t xml:space="preserve">“unless there is a showing that the trial court acted in an arbitrary, capricious, </w:t>
      </w:r>
      <w:r w:rsidR="004B5CB8">
        <w:t>or absurd manner resulting in a miscarriage of justice.”</w:t>
      </w:r>
      <w:r w:rsidR="00FD7FF6">
        <w:t> </w:t>
      </w:r>
      <w:r w:rsidR="004B5CB8">
        <w:t>’</w:t>
      </w:r>
      <w:r w:rsidR="00FD7FF6">
        <w:t> </w:t>
      </w:r>
      <w:r w:rsidR="004B5CB8">
        <w:t>”</w:t>
      </w:r>
      <w:r w:rsidR="001E03C6">
        <w:t xml:space="preserve">  (</w:t>
      </w:r>
      <w:r w:rsidR="001E03C6">
        <w:rPr>
          <w:i/>
          <w:iCs/>
        </w:rPr>
        <w:t>People</w:t>
      </w:r>
      <w:r w:rsidR="00FD7FF6">
        <w:rPr>
          <w:i/>
          <w:iCs/>
        </w:rPr>
        <w:t> </w:t>
      </w:r>
      <w:r w:rsidR="001E03C6">
        <w:rPr>
          <w:i/>
          <w:iCs/>
        </w:rPr>
        <w:t>v. Nieves</w:t>
      </w:r>
      <w:r w:rsidR="001E03C6">
        <w:t xml:space="preserve"> (2021) 11</w:t>
      </w:r>
      <w:r w:rsidR="00FD7FF6">
        <w:t> </w:t>
      </w:r>
      <w:r w:rsidR="001E03C6">
        <w:t xml:space="preserve">Cal.5th </w:t>
      </w:r>
      <w:r w:rsidR="005078A3">
        <w:t>404, 445.)</w:t>
      </w:r>
    </w:p>
    <w:p w14:paraId="75E52273" w14:textId="2AF87C7F" w:rsidR="005078A3" w:rsidRDefault="00393EAF" w:rsidP="006C2DCD">
      <w:pPr>
        <w:keepNext/>
        <w:spacing w:line="360" w:lineRule="auto"/>
      </w:pPr>
      <w:r>
        <w:tab/>
      </w:r>
      <w:r>
        <w:tab/>
        <w:t>3.</w:t>
      </w:r>
      <w:r>
        <w:tab/>
        <w:t>Analysis</w:t>
      </w:r>
    </w:p>
    <w:p w14:paraId="5FA6BC56" w14:textId="6A07DFA8" w:rsidR="003A1877" w:rsidRDefault="00393EAF" w:rsidP="002A070A">
      <w:pPr>
        <w:spacing w:line="360" w:lineRule="auto"/>
      </w:pPr>
      <w:r>
        <w:tab/>
      </w:r>
      <w:r w:rsidR="0090184A">
        <w:t xml:space="preserve">Herrera claims the iPhone theft was </w:t>
      </w:r>
      <w:r w:rsidR="00FD63E2">
        <w:t>in</w:t>
      </w:r>
      <w:r w:rsidR="0090184A">
        <w:t>sufficiently similar to the charged conduct to be admissible to prove intent</w:t>
      </w:r>
      <w:r w:rsidR="003A1877">
        <w:t xml:space="preserve"> and was unduly prejudicial under Evidence Code section 352</w:t>
      </w:r>
      <w:r w:rsidR="0090184A">
        <w:t xml:space="preserve">. </w:t>
      </w:r>
      <w:r w:rsidR="003A1877">
        <w:t xml:space="preserve"> We </w:t>
      </w:r>
      <w:r w:rsidR="000D5B6D">
        <w:t>disagree on both points.</w:t>
      </w:r>
    </w:p>
    <w:p w14:paraId="1E1ABF99" w14:textId="69E76BFC" w:rsidR="009D1A97" w:rsidRDefault="009D1A97" w:rsidP="002A070A">
      <w:pPr>
        <w:spacing w:line="360" w:lineRule="auto"/>
      </w:pPr>
      <w:r>
        <w:lastRenderedPageBreak/>
        <w:tab/>
        <w:t xml:space="preserve">The required “degree of similarity” between uncharged and charged conduct “depends on the purpose for which the evidence was presented,” with “[t]he least degree of similarity [being] needed when </w:t>
      </w:r>
      <w:r w:rsidR="00FD7FF6">
        <w:t>. . .</w:t>
      </w:r>
      <w:r>
        <w:t xml:space="preserve"> the evidence is offered to prove intent.”  (</w:t>
      </w:r>
      <w:r>
        <w:rPr>
          <w:i/>
          <w:iCs/>
        </w:rPr>
        <w:t>People v. Jones</w:t>
      </w:r>
      <w:r>
        <w:t xml:space="preserve"> (2011) 51 Cal.4th 346, 371.)  For that purpose, </w:t>
      </w:r>
      <w:proofErr w:type="gramStart"/>
      <w:r>
        <w:t>“</w:t>
      </w:r>
      <w:r w:rsidR="00FD7FF6">
        <w:t> </w:t>
      </w:r>
      <w:r>
        <w:t>‘</w:t>
      </w:r>
      <w:proofErr w:type="gramEnd"/>
      <w:r w:rsidR="00FD7FF6">
        <w:t> </w:t>
      </w:r>
      <w:r>
        <w:t>“the uncharged [conduct] need only be ‘sufficiently similar [to the charged offenses] to support the inference that the defendant “</w:t>
      </w:r>
      <w:r w:rsidR="000D34B0">
        <w:t> </w:t>
      </w:r>
      <w:r>
        <w:t>‘probably harbor[ed] the same intent in each instance.’</w:t>
      </w:r>
      <w:r w:rsidR="00FD7FF6">
        <w:t> </w:t>
      </w:r>
      <w:r>
        <w:t>”</w:t>
      </w:r>
      <w:r w:rsidR="00FD7FF6">
        <w:t> </w:t>
      </w:r>
      <w:r>
        <w:t>’</w:t>
      </w:r>
      <w:r w:rsidR="00FD7FF6">
        <w:t> </w:t>
      </w:r>
      <w:r>
        <w:t>”</w:t>
      </w:r>
      <w:r w:rsidR="00FD7FF6">
        <w:t> </w:t>
      </w:r>
      <w:r w:rsidR="002E7986">
        <w:t>’</w:t>
      </w:r>
      <w:r w:rsidR="000D34B0">
        <w:t> </w:t>
      </w:r>
      <w:r w:rsidR="002E7986">
        <w:t>”</w:t>
      </w:r>
      <w:r>
        <w:t xml:space="preserve">  (</w:t>
      </w:r>
      <w:r>
        <w:rPr>
          <w:i/>
          <w:iCs/>
        </w:rPr>
        <w:t>People</w:t>
      </w:r>
      <w:r w:rsidR="000D34B0">
        <w:rPr>
          <w:i/>
          <w:iCs/>
        </w:rPr>
        <w:t> </w:t>
      </w:r>
      <w:r>
        <w:rPr>
          <w:i/>
          <w:iCs/>
        </w:rPr>
        <w:t>v. King</w:t>
      </w:r>
      <w:r>
        <w:t xml:space="preserve"> (2010) 183</w:t>
      </w:r>
      <w:r w:rsidR="00FD63E2">
        <w:t> </w:t>
      </w:r>
      <w:r>
        <w:t xml:space="preserve">Cal.App.4th 1281, 1300; </w:t>
      </w:r>
      <w:r>
        <w:rPr>
          <w:i/>
          <w:iCs/>
        </w:rPr>
        <w:t>People</w:t>
      </w:r>
      <w:r w:rsidR="000D34B0">
        <w:rPr>
          <w:i/>
          <w:iCs/>
        </w:rPr>
        <w:t> </w:t>
      </w:r>
      <w:r>
        <w:rPr>
          <w:i/>
          <w:iCs/>
        </w:rPr>
        <w:t>v. Rocha</w:t>
      </w:r>
      <w:r>
        <w:t xml:space="preserve"> (2013) 221</w:t>
      </w:r>
      <w:r w:rsidR="000D34B0">
        <w:t> </w:t>
      </w:r>
      <w:r>
        <w:t>Cal.App.4th 1385, 1394–1395.)</w:t>
      </w:r>
    </w:p>
    <w:p w14:paraId="40158F4C" w14:textId="4B1C1017" w:rsidR="003A1877" w:rsidRDefault="003A1877" w:rsidP="002A070A">
      <w:pPr>
        <w:spacing w:line="360" w:lineRule="auto"/>
      </w:pPr>
      <w:r>
        <w:tab/>
      </w:r>
      <w:r w:rsidR="009D1A97">
        <w:t>A</w:t>
      </w:r>
      <w:r w:rsidR="003F277A">
        <w:t xml:space="preserve">lthough </w:t>
      </w:r>
      <w:r w:rsidR="00C4059A">
        <w:t xml:space="preserve">evidence </w:t>
      </w:r>
      <w:r w:rsidR="00FF348B">
        <w:t xml:space="preserve">of </w:t>
      </w:r>
      <w:r w:rsidR="003F277A">
        <w:t xml:space="preserve">the iPhone theft was </w:t>
      </w:r>
      <w:r w:rsidR="0087307A">
        <w:t xml:space="preserve">offered to show </w:t>
      </w:r>
      <w:r w:rsidR="003F277A">
        <w:t xml:space="preserve">Herrera’s intent and knowledge, </w:t>
      </w:r>
      <w:r w:rsidR="009E3E98">
        <w:t xml:space="preserve">it was primarily </w:t>
      </w:r>
      <w:r w:rsidR="00E72671">
        <w:t>significant</w:t>
      </w:r>
      <w:r w:rsidR="0087307A">
        <w:t xml:space="preserve"> to demonstrate </w:t>
      </w:r>
      <w:r w:rsidR="009E3E98">
        <w:t>A.M.’s intent.</w:t>
      </w:r>
      <w:r w:rsidR="009D1A97">
        <w:t xml:space="preserve">  </w:t>
      </w:r>
      <w:r w:rsidR="0087307A">
        <w:t xml:space="preserve">The </w:t>
      </w:r>
      <w:r w:rsidR="006B7D49">
        <w:t xml:space="preserve">theft </w:t>
      </w:r>
      <w:r w:rsidR="006E1E4B">
        <w:t>suggested</w:t>
      </w:r>
      <w:r w:rsidR="007D0C20">
        <w:t xml:space="preserve"> that A.M. also harbored the intent to steal when he</w:t>
      </w:r>
      <w:r w:rsidR="007D0C20" w:rsidRPr="007D0C20">
        <w:t xml:space="preserve"> </w:t>
      </w:r>
      <w:r w:rsidR="007D0C20">
        <w:t xml:space="preserve">approached Sac </w:t>
      </w:r>
      <w:proofErr w:type="spellStart"/>
      <w:r w:rsidR="007D0C20">
        <w:t>Ajtzalam</w:t>
      </w:r>
      <w:proofErr w:type="spellEnd"/>
      <w:r w:rsidR="007D0C20">
        <w:t xml:space="preserve"> and that Herrera</w:t>
      </w:r>
      <w:r w:rsidR="00E72671">
        <w:t>, who was present during the prior incident,</w:t>
      </w:r>
      <w:r w:rsidR="007D0C20">
        <w:t xml:space="preserve"> </w:t>
      </w:r>
      <w:r w:rsidR="00E72671">
        <w:t xml:space="preserve">knew of A.M.’s intent </w:t>
      </w:r>
      <w:r w:rsidR="003F45E1">
        <w:t xml:space="preserve">as required </w:t>
      </w:r>
      <w:r w:rsidR="00E50A7E">
        <w:t xml:space="preserve">for </w:t>
      </w:r>
      <w:r w:rsidR="00E642B3">
        <w:t>a conviction of</w:t>
      </w:r>
      <w:r w:rsidR="00E50A7E">
        <w:t xml:space="preserve"> attempted robbery as an aider and abettor.</w:t>
      </w:r>
      <w:r w:rsidR="00E72671">
        <w:t xml:space="preserve">  Thus</w:t>
      </w:r>
      <w:r w:rsidR="00860CBB">
        <w:t>,</w:t>
      </w:r>
      <w:r w:rsidR="00777210">
        <w:t xml:space="preserve"> </w:t>
      </w:r>
      <w:r w:rsidR="00860CBB">
        <w:t xml:space="preserve">Herrera’s argument </w:t>
      </w:r>
      <w:r w:rsidR="00604A0B">
        <w:t>that there was little evidence</w:t>
      </w:r>
      <w:r w:rsidR="00BB391E">
        <w:t xml:space="preserve"> he participated in the iPhone theft </w:t>
      </w:r>
      <w:r w:rsidR="00626602">
        <w:t xml:space="preserve">misses the mark. </w:t>
      </w:r>
      <w:r w:rsidR="007D0C20">
        <w:t xml:space="preserve"> </w:t>
      </w:r>
      <w:r w:rsidR="002F6C8E">
        <w:t xml:space="preserve">The prosecution did not </w:t>
      </w:r>
      <w:r w:rsidR="0064174E">
        <w:t xml:space="preserve">try </w:t>
      </w:r>
      <w:r w:rsidR="002F6C8E">
        <w:t xml:space="preserve">to prove Herrera was guilty of that </w:t>
      </w:r>
      <w:r w:rsidR="0055067C">
        <w:t>crime</w:t>
      </w:r>
      <w:r w:rsidR="002F6C8E">
        <w:t xml:space="preserve">, and </w:t>
      </w:r>
      <w:r w:rsidR="00ED1D7E">
        <w:t>the</w:t>
      </w:r>
      <w:r w:rsidR="00C92A96">
        <w:t xml:space="preserve"> </w:t>
      </w:r>
      <w:r w:rsidR="00B47697">
        <w:t xml:space="preserve">challenged </w:t>
      </w:r>
      <w:r w:rsidR="00C92A96">
        <w:t>evidence</w:t>
      </w:r>
      <w:r w:rsidR="00ED1D7E">
        <w:t xml:space="preserve"> was not admitted </w:t>
      </w:r>
      <w:proofErr w:type="gramStart"/>
      <w:r w:rsidR="00ED1D7E">
        <w:t>to prove</w:t>
      </w:r>
      <w:proofErr w:type="gramEnd"/>
      <w:r w:rsidR="00ED1D7E">
        <w:t xml:space="preserve"> Herrera’s </w:t>
      </w:r>
      <w:r w:rsidR="00E72671">
        <w:t xml:space="preserve">own </w:t>
      </w:r>
      <w:r w:rsidR="00ED1D7E">
        <w:t>intent during</w:t>
      </w:r>
      <w:r w:rsidR="00E72671">
        <w:t xml:space="preserve"> the theft.</w:t>
      </w:r>
    </w:p>
    <w:p w14:paraId="22501C02" w14:textId="601F2696" w:rsidR="008F634E" w:rsidRDefault="006F6868" w:rsidP="00EC604E">
      <w:pPr>
        <w:spacing w:line="360" w:lineRule="auto"/>
      </w:pPr>
      <w:r>
        <w:tab/>
        <w:t xml:space="preserve">We therefore turn </w:t>
      </w:r>
      <w:r w:rsidR="009249D5">
        <w:t>to the primary issue</w:t>
      </w:r>
      <w:r w:rsidR="003A5749">
        <w:t>,</w:t>
      </w:r>
      <w:r w:rsidR="009249D5">
        <w:t xml:space="preserve"> whether the iPhone theft was</w:t>
      </w:r>
      <w:r w:rsidR="003A5749">
        <w:t xml:space="preserve"> sufficiently similar </w:t>
      </w:r>
      <w:r w:rsidR="00B47697">
        <w:t>to</w:t>
      </w:r>
      <w:r w:rsidR="003A5749">
        <w:t xml:space="preserve"> </w:t>
      </w:r>
      <w:r w:rsidR="009249D5">
        <w:t xml:space="preserve">prove A.M.’s intent </w:t>
      </w:r>
      <w:r w:rsidR="00EE6711">
        <w:t xml:space="preserve">during the </w:t>
      </w:r>
      <w:r w:rsidR="00B47697">
        <w:t>charged incident</w:t>
      </w:r>
      <w:r w:rsidR="00117A11">
        <w:t xml:space="preserve">.  </w:t>
      </w:r>
      <w:r w:rsidR="0090184A">
        <w:t xml:space="preserve">Relying on </w:t>
      </w:r>
      <w:r w:rsidR="0090184A">
        <w:rPr>
          <w:i/>
          <w:iCs/>
        </w:rPr>
        <w:t>Rocha</w:t>
      </w:r>
      <w:r w:rsidR="0090184A">
        <w:t xml:space="preserve">, Herrera argues </w:t>
      </w:r>
      <w:r w:rsidR="00B863F3">
        <w:t>the iPhone theft</w:t>
      </w:r>
      <w:r w:rsidR="0090184A">
        <w:t xml:space="preserve"> was not </w:t>
      </w:r>
      <w:proofErr w:type="gramStart"/>
      <w:r w:rsidR="0090184A">
        <w:t>“ ‘</w:t>
      </w:r>
      <w:proofErr w:type="gramEnd"/>
      <w:r w:rsidR="00723754">
        <w:t> “</w:t>
      </w:r>
      <w:r w:rsidR="0090184A">
        <w:t>roughly similar</w:t>
      </w:r>
      <w:r w:rsidR="00723754">
        <w:t>”</w:t>
      </w:r>
      <w:r w:rsidR="000D34B0">
        <w:t> </w:t>
      </w:r>
      <w:r w:rsidR="00723754">
        <w:t>’</w:t>
      </w:r>
      <w:r w:rsidR="0090184A">
        <w:t xml:space="preserve"> to the charged conduct” because </w:t>
      </w:r>
      <w:r w:rsidR="00E86ADA">
        <w:t>“[</w:t>
      </w:r>
      <w:proofErr w:type="spellStart"/>
      <w:r w:rsidR="00E86ADA">
        <w:t>i</w:t>
      </w:r>
      <w:proofErr w:type="spellEnd"/>
      <w:r w:rsidR="00E86ADA">
        <w:t xml:space="preserve">]t was a classic theft[] from the person,” not a robbery accomplished by force or fear.  (Quoting </w:t>
      </w:r>
      <w:r w:rsidR="00E86ADA">
        <w:rPr>
          <w:i/>
          <w:iCs/>
        </w:rPr>
        <w:t>People</w:t>
      </w:r>
      <w:r w:rsidR="000D34B0">
        <w:rPr>
          <w:i/>
          <w:iCs/>
        </w:rPr>
        <w:t> </w:t>
      </w:r>
      <w:r w:rsidR="00E86ADA">
        <w:rPr>
          <w:i/>
          <w:iCs/>
        </w:rPr>
        <w:t>v. Rocha</w:t>
      </w:r>
      <w:r w:rsidR="00E86ADA">
        <w:t xml:space="preserve">, </w:t>
      </w:r>
      <w:r w:rsidR="00E86ADA">
        <w:rPr>
          <w:i/>
          <w:iCs/>
        </w:rPr>
        <w:t>supra</w:t>
      </w:r>
      <w:r w:rsidR="00E86ADA">
        <w:t>, 221</w:t>
      </w:r>
      <w:r w:rsidR="000D34B0">
        <w:t> </w:t>
      </w:r>
      <w:r w:rsidR="00E86ADA">
        <w:t>Cal.App.4th at p.</w:t>
      </w:r>
      <w:r w:rsidR="000D34B0">
        <w:t> </w:t>
      </w:r>
      <w:r w:rsidR="009476E1">
        <w:t>1395.)</w:t>
      </w:r>
      <w:r w:rsidR="00DE6222">
        <w:t xml:space="preserve">  </w:t>
      </w:r>
      <w:r w:rsidR="00E9289F">
        <w:t xml:space="preserve">Although we are willing to assume </w:t>
      </w:r>
      <w:r w:rsidR="00761FA2">
        <w:t xml:space="preserve">the </w:t>
      </w:r>
      <w:r w:rsidR="003A5749">
        <w:t>iPhone theft did not amount to a robbery,</w:t>
      </w:r>
      <w:r w:rsidR="00B37A8F">
        <w:t xml:space="preserve"> </w:t>
      </w:r>
      <w:r w:rsidR="00E9289F">
        <w:t>it was nonetheless</w:t>
      </w:r>
      <w:r w:rsidR="00B37A8F">
        <w:t xml:space="preserve"> sufficiently </w:t>
      </w:r>
      <w:r w:rsidR="00B863F3">
        <w:t>like</w:t>
      </w:r>
      <w:r w:rsidR="00B37A8F">
        <w:t xml:space="preserve"> the attempted robbery</w:t>
      </w:r>
      <w:r w:rsidR="00FA5E66">
        <w:t xml:space="preserve"> because both</w:t>
      </w:r>
      <w:r w:rsidR="00E9289F">
        <w:t xml:space="preserve"> crimes</w:t>
      </w:r>
      <w:r w:rsidR="00FA5E66">
        <w:t xml:space="preserve"> “contained one </w:t>
      </w:r>
      <w:r w:rsidR="00FA5E66">
        <w:lastRenderedPageBreak/>
        <w:t xml:space="preserve">crucial </w:t>
      </w:r>
      <w:r w:rsidR="00126BAC">
        <w:t xml:space="preserve">point of </w:t>
      </w:r>
      <w:r w:rsidR="00FA5E66">
        <w:t xml:space="preserve">similarity—the intent to steal from </w:t>
      </w:r>
      <w:r w:rsidR="00EC604E">
        <w:t>[strangers]</w:t>
      </w:r>
      <w:r w:rsidR="00FA5E66">
        <w:t xml:space="preserve"> whom [A.M.] selected”</w:t>
      </w:r>
      <w:r w:rsidR="00EC604E">
        <w:t xml:space="preserve"> and approached on the street.</w:t>
      </w:r>
      <w:r w:rsidR="00FA5E66">
        <w:t xml:space="preserve">  (</w:t>
      </w:r>
      <w:r w:rsidR="00FA5E66">
        <w:rPr>
          <w:i/>
          <w:iCs/>
        </w:rPr>
        <w:t>People</w:t>
      </w:r>
      <w:r w:rsidR="000D34B0">
        <w:rPr>
          <w:i/>
          <w:iCs/>
        </w:rPr>
        <w:t> </w:t>
      </w:r>
      <w:r w:rsidR="00FA5E66">
        <w:rPr>
          <w:i/>
          <w:iCs/>
        </w:rPr>
        <w:t>v. Jones</w:t>
      </w:r>
      <w:r w:rsidR="00FA5E66">
        <w:t xml:space="preserve">, </w:t>
      </w:r>
      <w:r w:rsidR="00FA5E66">
        <w:rPr>
          <w:i/>
          <w:iCs/>
        </w:rPr>
        <w:t>supra</w:t>
      </w:r>
      <w:r w:rsidR="00FA5E66">
        <w:t>, 51</w:t>
      </w:r>
      <w:r w:rsidR="000D34B0">
        <w:t> </w:t>
      </w:r>
      <w:r w:rsidR="00FA5E66">
        <w:t>Cal.4th at p.</w:t>
      </w:r>
      <w:r w:rsidR="000D34B0">
        <w:t> </w:t>
      </w:r>
      <w:r w:rsidR="00FA5E66">
        <w:t>371.)</w:t>
      </w:r>
      <w:r w:rsidR="007F5E5D">
        <w:t xml:space="preserve">  </w:t>
      </w:r>
      <w:r w:rsidR="00E9289F">
        <w:t>As we have said, r</w:t>
      </w:r>
      <w:r w:rsidR="007F5E5D">
        <w:t xml:space="preserve">obbery </w:t>
      </w:r>
      <w:r w:rsidR="00400351">
        <w:t>does not require “an intent to apply force against the victim or to cause the victim to feel fear</w:t>
      </w:r>
      <w:r w:rsidR="00A8684E">
        <w:t>”</w:t>
      </w:r>
      <w:r w:rsidR="00D028F2">
        <w:t>;</w:t>
      </w:r>
      <w:r w:rsidR="00A8684E">
        <w:t xml:space="preserve"> it </w:t>
      </w:r>
      <w:r w:rsidR="003E095A">
        <w:t>suffices</w:t>
      </w:r>
      <w:r w:rsidR="00A8684E">
        <w:t xml:space="preserve"> “if the defendant committed a forcible act against the victim motivated by the intent to steal.”  </w:t>
      </w:r>
      <w:r w:rsidR="003E3591">
        <w:t>(</w:t>
      </w:r>
      <w:r w:rsidR="003E3591">
        <w:rPr>
          <w:i/>
          <w:iCs/>
        </w:rPr>
        <w:t>Anderson</w:t>
      </w:r>
      <w:r w:rsidR="003E3591">
        <w:t xml:space="preserve">, </w:t>
      </w:r>
      <w:r w:rsidR="007C3758">
        <w:rPr>
          <w:i/>
          <w:iCs/>
        </w:rPr>
        <w:t>supra</w:t>
      </w:r>
      <w:r w:rsidR="007C3758">
        <w:t>,</w:t>
      </w:r>
      <w:r w:rsidR="007C3758">
        <w:rPr>
          <w:i/>
          <w:iCs/>
        </w:rPr>
        <w:t xml:space="preserve"> </w:t>
      </w:r>
      <w:r w:rsidR="0060225B">
        <w:t>51</w:t>
      </w:r>
      <w:r w:rsidR="00C2640C">
        <w:t> </w:t>
      </w:r>
      <w:r w:rsidR="0060225B">
        <w:t>Cal.4th at pp.</w:t>
      </w:r>
      <w:r w:rsidR="00C2640C">
        <w:t> </w:t>
      </w:r>
      <w:r w:rsidR="0060225B">
        <w:t>991–992.)</w:t>
      </w:r>
      <w:r w:rsidR="00D028F2">
        <w:t xml:space="preserve">  Thus, even if </w:t>
      </w:r>
      <w:r w:rsidR="00E0272D">
        <w:t>the iPhone theft was not a robbery because there was no</w:t>
      </w:r>
      <w:r w:rsidR="002C2780">
        <w:t xml:space="preserve"> use</w:t>
      </w:r>
      <w:r w:rsidR="00E15595">
        <w:t xml:space="preserve"> of</w:t>
      </w:r>
      <w:r w:rsidR="002C2780">
        <w:t xml:space="preserve"> force or fear</w:t>
      </w:r>
      <w:r w:rsidR="00D028F2">
        <w:t xml:space="preserve">, </w:t>
      </w:r>
      <w:r w:rsidR="00E0272D">
        <w:t xml:space="preserve">the incident still supported the inference that A.M. intended to steal from Sac </w:t>
      </w:r>
      <w:proofErr w:type="spellStart"/>
      <w:r w:rsidR="00E0272D">
        <w:t>Ajtzalam</w:t>
      </w:r>
      <w:proofErr w:type="spellEnd"/>
      <w:r w:rsidR="00E0272D">
        <w:t>.</w:t>
      </w:r>
    </w:p>
    <w:p w14:paraId="479D1873" w14:textId="7C178F08" w:rsidR="00297380" w:rsidRDefault="00EC604E" w:rsidP="00EC604E">
      <w:pPr>
        <w:spacing w:line="360" w:lineRule="auto"/>
      </w:pPr>
      <w:r>
        <w:tab/>
        <w:t xml:space="preserve">Herrera </w:t>
      </w:r>
      <w:r w:rsidR="00B74C19">
        <w:t xml:space="preserve">also </w:t>
      </w:r>
      <w:r w:rsidR="003D3A53">
        <w:t>argues in passing that the iPhone theft was inadmissible under Evidence Code section</w:t>
      </w:r>
      <w:r w:rsidR="00C2640C">
        <w:t> </w:t>
      </w:r>
      <w:r w:rsidR="003D3A53">
        <w:t>352.  He claims that even if the evidence had “marginal relevance,” it</w:t>
      </w:r>
      <w:r w:rsidR="00882C5E">
        <w:t xml:space="preserve"> was unduly prejudicial because </w:t>
      </w:r>
      <w:r w:rsidR="00577F0E">
        <w:t>“there was no indication that any member of [the earlier, larger] group had been punished”</w:t>
      </w:r>
      <w:r w:rsidR="00D23C22">
        <w:t xml:space="preserve"> for the prior </w:t>
      </w:r>
      <w:r w:rsidR="002F2CF3">
        <w:t>misconduct</w:t>
      </w:r>
      <w:r w:rsidR="00D23C22">
        <w:t>.</w:t>
      </w:r>
      <w:r w:rsidR="00577F0E">
        <w:t xml:space="preserve"> </w:t>
      </w:r>
      <w:r w:rsidR="00D23C22">
        <w:t xml:space="preserve"> </w:t>
      </w:r>
      <w:r w:rsidR="005D5565">
        <w:t>But a</w:t>
      </w:r>
      <w:r w:rsidR="003A218B">
        <w:t xml:space="preserve">s we have discussed, the iPhone theft was </w:t>
      </w:r>
      <w:r w:rsidR="009D00BC">
        <w:t xml:space="preserve">clearly </w:t>
      </w:r>
      <w:r w:rsidR="003A218B">
        <w:t xml:space="preserve">relevant to prove A.M.’s intent during the charged conduct and </w:t>
      </w:r>
      <w:r w:rsidR="00827E79">
        <w:t>Herrera</w:t>
      </w:r>
      <w:r w:rsidR="00E72671">
        <w:t xml:space="preserve">’s knowledge of </w:t>
      </w:r>
      <w:r w:rsidR="00827E79">
        <w:t>that intent</w:t>
      </w:r>
      <w:r w:rsidR="009D00BC">
        <w:t>.</w:t>
      </w:r>
      <w:r w:rsidR="00D85669">
        <w:t xml:space="preserve">  Nor was </w:t>
      </w:r>
      <w:r w:rsidR="005D5565">
        <w:t>the iPhone theft</w:t>
      </w:r>
      <w:r w:rsidR="00D85669">
        <w:t xml:space="preserve"> especially prejudicial</w:t>
      </w:r>
      <w:r w:rsidR="007C3758">
        <w:t>, as i</w:t>
      </w:r>
      <w:r w:rsidR="00116F3B">
        <w:t>t was significantly</w:t>
      </w:r>
      <w:r w:rsidR="005D5565">
        <w:t xml:space="preserve"> </w:t>
      </w:r>
      <w:r w:rsidR="00E55792">
        <w:t>“less inflammatory” than the charged conduct</w:t>
      </w:r>
      <w:r w:rsidR="00664CF1">
        <w:t xml:space="preserve">, and it was committed by A.M.  </w:t>
      </w:r>
      <w:r w:rsidR="006F368D">
        <w:t>(</w:t>
      </w:r>
      <w:r w:rsidR="006F368D">
        <w:rPr>
          <w:i/>
          <w:iCs/>
        </w:rPr>
        <w:t>People</w:t>
      </w:r>
      <w:r w:rsidR="00C2640C">
        <w:rPr>
          <w:i/>
          <w:iCs/>
        </w:rPr>
        <w:t> </w:t>
      </w:r>
      <w:r w:rsidR="006F368D">
        <w:rPr>
          <w:i/>
          <w:iCs/>
        </w:rPr>
        <w:t>v. Mani</w:t>
      </w:r>
      <w:r w:rsidR="006F368D">
        <w:t xml:space="preserve"> (2022) 74 Cal.App.5th 343, 372</w:t>
      </w:r>
      <w:r w:rsidR="00664CF1">
        <w:t xml:space="preserve">.)  Thus, </w:t>
      </w:r>
      <w:r w:rsidR="00772ED2">
        <w:t>it is unlikely the</w:t>
      </w:r>
      <w:r w:rsidR="007E1C1E">
        <w:t xml:space="preserve"> </w:t>
      </w:r>
      <w:r w:rsidR="00EA5715">
        <w:t>jury was motivated</w:t>
      </w:r>
      <w:r w:rsidR="00772ED2">
        <w:t xml:space="preserve"> </w:t>
      </w:r>
      <w:r w:rsidR="007E1C1E">
        <w:t xml:space="preserve">to </w:t>
      </w:r>
      <w:r w:rsidR="003239D4">
        <w:t xml:space="preserve">punish </w:t>
      </w:r>
      <w:r w:rsidR="007E1C1E">
        <w:rPr>
          <w:i/>
          <w:iCs/>
        </w:rPr>
        <w:t>Herrera</w:t>
      </w:r>
      <w:r w:rsidR="00EA5715">
        <w:t xml:space="preserve"> for </w:t>
      </w:r>
      <w:r w:rsidR="00116F3B">
        <w:t>the iPhone theft</w:t>
      </w:r>
      <w:r w:rsidR="00EA5715">
        <w:t xml:space="preserve"> by con</w:t>
      </w:r>
      <w:r w:rsidR="00116F3B">
        <w:t>victing him of the more serious charges.</w:t>
      </w:r>
    </w:p>
    <w:p w14:paraId="2451F090" w14:textId="779A7DAB" w:rsidR="00EC604E" w:rsidRPr="00EA5715" w:rsidRDefault="00297380" w:rsidP="00EC604E">
      <w:pPr>
        <w:spacing w:line="360" w:lineRule="auto"/>
      </w:pPr>
      <w:r>
        <w:tab/>
        <w:t>In short, Herrera fails to demonstrate that the trial court abused its discretion under Evidence Code sections</w:t>
      </w:r>
      <w:r w:rsidR="00176617">
        <w:t> </w:t>
      </w:r>
      <w:r>
        <w:t>1101 and 352 by admitting evidence of the iPhone theft.</w:t>
      </w:r>
      <w:r w:rsidR="00E15595">
        <w:t xml:space="preserve">  As a result, this claim fails.</w:t>
      </w:r>
    </w:p>
    <w:p w14:paraId="3BCFEBE8" w14:textId="77777777" w:rsidR="008139F3" w:rsidRDefault="00456963" w:rsidP="00E72671">
      <w:pPr>
        <w:keepNext/>
        <w:spacing w:line="240" w:lineRule="auto"/>
        <w:rPr>
          <w:i/>
          <w:iCs/>
        </w:rPr>
      </w:pPr>
      <w:r>
        <w:lastRenderedPageBreak/>
        <w:tab/>
      </w:r>
      <w:r>
        <w:rPr>
          <w:i/>
          <w:iCs/>
        </w:rPr>
        <w:t>C.</w:t>
      </w:r>
      <w:r>
        <w:rPr>
          <w:i/>
          <w:iCs/>
        </w:rPr>
        <w:tab/>
      </w:r>
      <w:r w:rsidR="004879B9">
        <w:rPr>
          <w:i/>
          <w:iCs/>
        </w:rPr>
        <w:t xml:space="preserve">Herrera’s Claim </w:t>
      </w:r>
      <w:r w:rsidR="008139F3">
        <w:rPr>
          <w:i/>
          <w:iCs/>
        </w:rPr>
        <w:t xml:space="preserve">that His Right to Confront Witnesses Was </w:t>
      </w:r>
    </w:p>
    <w:p w14:paraId="47F4CC5F" w14:textId="55B360E9" w:rsidR="00456963" w:rsidRDefault="008139F3" w:rsidP="00E72671">
      <w:pPr>
        <w:keepNext/>
        <w:spacing w:line="240" w:lineRule="auto"/>
        <w:rPr>
          <w:i/>
          <w:iCs/>
        </w:rPr>
      </w:pPr>
      <w:r>
        <w:rPr>
          <w:i/>
          <w:iCs/>
        </w:rPr>
        <w:tab/>
      </w:r>
      <w:r>
        <w:rPr>
          <w:i/>
          <w:iCs/>
        </w:rPr>
        <w:tab/>
        <w:t>Violated Lacks Merit.</w:t>
      </w:r>
    </w:p>
    <w:p w14:paraId="578B3F7E" w14:textId="73B6EA75" w:rsidR="00E15595" w:rsidRDefault="00E15595" w:rsidP="008139F3">
      <w:pPr>
        <w:spacing w:before="180" w:line="360" w:lineRule="auto"/>
      </w:pPr>
      <w:r>
        <w:tab/>
      </w:r>
      <w:r w:rsidR="002F2CF3">
        <w:t>Next, Herrera argues</w:t>
      </w:r>
      <w:r>
        <w:t xml:space="preserve"> that </w:t>
      </w:r>
      <w:r w:rsidR="00ED27AC">
        <w:t>admitting</w:t>
      </w:r>
      <w:r w:rsidR="004F1FA5">
        <w:t xml:space="preserve"> S.N.’s </w:t>
      </w:r>
      <w:r w:rsidR="00BF5A87">
        <w:t>statement</w:t>
      </w:r>
      <w:r w:rsidR="000A5BE7">
        <w:t xml:space="preserve"> </w:t>
      </w:r>
      <w:r w:rsidR="00BF5A87">
        <w:t xml:space="preserve">to </w:t>
      </w:r>
      <w:r w:rsidR="00BE5D23">
        <w:t>the police</w:t>
      </w:r>
      <w:r w:rsidR="00BF5A87">
        <w:t xml:space="preserve"> </w:t>
      </w:r>
      <w:r w:rsidR="00715133">
        <w:t xml:space="preserve">about being injured during the iPhone theft </w:t>
      </w:r>
      <w:r w:rsidR="002A3D0F">
        <w:t xml:space="preserve">violated his constitutional right to confront witnesses.  We </w:t>
      </w:r>
      <w:r w:rsidR="00D86CBA">
        <w:t xml:space="preserve">are </w:t>
      </w:r>
      <w:r w:rsidR="00BA4EDB">
        <w:t xml:space="preserve">again </w:t>
      </w:r>
      <w:r w:rsidR="00D86CBA">
        <w:t>not persuaded</w:t>
      </w:r>
      <w:r w:rsidR="002A3D0F">
        <w:t>.</w:t>
      </w:r>
    </w:p>
    <w:p w14:paraId="1A679382" w14:textId="3AAD284B" w:rsidR="002A3D0F" w:rsidRDefault="002A3D0F" w:rsidP="00AD2D2A">
      <w:pPr>
        <w:keepNext/>
        <w:spacing w:line="360" w:lineRule="auto"/>
      </w:pPr>
      <w:r>
        <w:tab/>
      </w:r>
      <w:r>
        <w:tab/>
        <w:t>1.</w:t>
      </w:r>
      <w:r>
        <w:tab/>
        <w:t>Additional facts</w:t>
      </w:r>
    </w:p>
    <w:p w14:paraId="6F469704" w14:textId="16340F0E" w:rsidR="008408E6" w:rsidRDefault="002A3D0F" w:rsidP="002A070A">
      <w:pPr>
        <w:spacing w:line="360" w:lineRule="auto"/>
      </w:pPr>
      <w:r>
        <w:tab/>
      </w:r>
      <w:r w:rsidR="00AD5C48">
        <w:t>San Franc</w:t>
      </w:r>
      <w:r w:rsidR="00824799">
        <w:t xml:space="preserve">isco Police Officer Irving Garcia, Jr., </w:t>
      </w:r>
      <w:r w:rsidR="008E0EF8">
        <w:t>a</w:t>
      </w:r>
      <w:r w:rsidR="00BD7185">
        <w:t xml:space="preserve"> certified Spanish interpreter,</w:t>
      </w:r>
      <w:r w:rsidR="008E0EF8">
        <w:t xml:space="preserve"> </w:t>
      </w:r>
      <w:r w:rsidR="00BD7185">
        <w:t>responded to the</w:t>
      </w:r>
      <w:r w:rsidR="00AD5C48">
        <w:t xml:space="preserve"> iPhone theft. </w:t>
      </w:r>
      <w:r w:rsidR="00E0665F">
        <w:t xml:space="preserve"> On direct, he testified that S.N. seemed “shaken up, nervous,” and </w:t>
      </w:r>
      <w:r w:rsidR="004968B2">
        <w:t xml:space="preserve">“stated she had slight numbness to her upper lip and lower nose area.” </w:t>
      </w:r>
      <w:r w:rsidR="00E50DF2">
        <w:t xml:space="preserve"> When asked why he thought S.N. was “shaken up,” the officer responded, </w:t>
      </w:r>
      <w:r w:rsidR="004B1D2F">
        <w:t xml:space="preserve">“Just, you know, she was crying in disbelief </w:t>
      </w:r>
      <w:r w:rsidR="00176617">
        <w:t>. . .</w:t>
      </w:r>
      <w:r w:rsidR="004B1D2F">
        <w:t xml:space="preserve"> [about] the incident that just </w:t>
      </w:r>
      <w:r w:rsidR="00E9732B">
        <w:t>[happened]</w:t>
      </w:r>
      <w:r w:rsidR="004B1D2F">
        <w:t xml:space="preserve"> to her.”  The prosecutor </w:t>
      </w:r>
      <w:r w:rsidR="00DC176E">
        <w:t xml:space="preserve">then </w:t>
      </w:r>
      <w:r w:rsidR="004B1D2F">
        <w:t xml:space="preserve">asked, “When you say ‘in </w:t>
      </w:r>
      <w:proofErr w:type="gramStart"/>
      <w:r w:rsidR="004B1D2F">
        <w:t>disbelief</w:t>
      </w:r>
      <w:r w:rsidR="004D37E4">
        <w:t>[</w:t>
      </w:r>
      <w:proofErr w:type="gramEnd"/>
      <w:r w:rsidR="004D37E4">
        <w:t>,]</w:t>
      </w:r>
      <w:r w:rsidR="004B1D2F">
        <w:t xml:space="preserve">’ did she say anything to make you think she was in disbelief?” </w:t>
      </w:r>
      <w:r w:rsidR="00572205">
        <w:t xml:space="preserve">Herrera objected </w:t>
      </w:r>
      <w:r w:rsidR="00D4395F">
        <w:t xml:space="preserve">on hearsay and </w:t>
      </w:r>
      <w:r w:rsidR="000A5BE7">
        <w:t>c</w:t>
      </w:r>
      <w:r w:rsidR="00D4395F">
        <w:t>onfrontation</w:t>
      </w:r>
      <w:r w:rsidR="004D37E4">
        <w:t>-</w:t>
      </w:r>
      <w:r w:rsidR="000A5BE7">
        <w:t>c</w:t>
      </w:r>
      <w:r w:rsidR="00D4395F">
        <w:t xml:space="preserve">lause grounds. </w:t>
      </w:r>
      <w:r w:rsidR="00A76FDE">
        <w:t xml:space="preserve"> </w:t>
      </w:r>
    </w:p>
    <w:p w14:paraId="0A00D392" w14:textId="109250B9" w:rsidR="00196AE9" w:rsidRDefault="008408E6" w:rsidP="002A070A">
      <w:pPr>
        <w:spacing w:line="360" w:lineRule="auto"/>
      </w:pPr>
      <w:r>
        <w:tab/>
      </w:r>
      <w:r w:rsidR="00A76FDE">
        <w:t xml:space="preserve">The trial court </w:t>
      </w:r>
      <w:r w:rsidR="00506746">
        <w:t xml:space="preserve">then </w:t>
      </w:r>
      <w:r w:rsidR="00A76FDE">
        <w:t xml:space="preserve">held a hearing </w:t>
      </w:r>
      <w:r w:rsidR="00506746">
        <w:t>under Evidence Code section 402</w:t>
      </w:r>
      <w:r w:rsidR="00A76FDE">
        <w:t xml:space="preserve"> to determine whether S.N.’s statement to </w:t>
      </w:r>
      <w:r w:rsidR="00AD027A">
        <w:t>Officer Garcia</w:t>
      </w:r>
      <w:r w:rsidR="00A76FDE">
        <w:t xml:space="preserve"> was admissible, since it was unclear whether S.N. would testify. </w:t>
      </w:r>
      <w:r w:rsidR="00BF2A1D">
        <w:t xml:space="preserve"> </w:t>
      </w:r>
      <w:r w:rsidR="00A91715">
        <w:t xml:space="preserve">Specifically, </w:t>
      </w:r>
      <w:r w:rsidR="00274AE7">
        <w:t>the prosecution sought to introduce</w:t>
      </w:r>
      <w:r w:rsidR="00A91715">
        <w:t xml:space="preserve"> </w:t>
      </w:r>
      <w:r w:rsidR="00274AE7">
        <w:t xml:space="preserve">the </w:t>
      </w:r>
      <w:r w:rsidR="00A91715">
        <w:t>officer’s testimony</w:t>
      </w:r>
      <w:r w:rsidR="000F1DE3">
        <w:t xml:space="preserve"> that</w:t>
      </w:r>
      <w:r w:rsidR="00BF5F33">
        <w:t xml:space="preserve"> </w:t>
      </w:r>
      <w:r w:rsidR="000F1DE3">
        <w:t>S.N. told him</w:t>
      </w:r>
      <w:r w:rsidR="00DC176E">
        <w:t xml:space="preserve"> </w:t>
      </w:r>
      <w:r w:rsidR="000F1DE3">
        <w:t>that “[s]he was standing on the corner using the cell phone, that she got struck in the fac</w:t>
      </w:r>
      <w:r w:rsidR="00EE14B9">
        <w:t>e</w:t>
      </w:r>
      <w:r w:rsidR="000F1DE3">
        <w:t xml:space="preserve"> and [the] phone was stolen from her pretty much at the same time.” </w:t>
      </w:r>
      <w:r w:rsidR="00C94DE3">
        <w:t xml:space="preserve"> </w:t>
      </w:r>
      <w:r w:rsidR="007D4861">
        <w:t>The court ruled that S.N.’s statement was admissible under Evidence Code section</w:t>
      </w:r>
      <w:r w:rsidR="0008349C">
        <w:t> </w:t>
      </w:r>
      <w:r w:rsidR="007D4861">
        <w:t xml:space="preserve">1240, the spontaneous-statement exception to the hearsay rule. </w:t>
      </w:r>
    </w:p>
    <w:p w14:paraId="7E237A24" w14:textId="3BF5082B" w:rsidR="00572205" w:rsidRDefault="00196AE9" w:rsidP="002A070A">
      <w:pPr>
        <w:spacing w:line="360" w:lineRule="auto"/>
      </w:pPr>
      <w:r>
        <w:tab/>
      </w:r>
      <w:r w:rsidR="00C6725F">
        <w:t xml:space="preserve">During the hearing, </w:t>
      </w:r>
      <w:r>
        <w:t xml:space="preserve">it also became apparent there were </w:t>
      </w:r>
      <w:r w:rsidR="00C6725F">
        <w:t>body</w:t>
      </w:r>
      <w:r w:rsidR="00A71F31">
        <w:t>-</w:t>
      </w:r>
      <w:r w:rsidR="00C6725F">
        <w:t>cam recordings of S.N.</w:t>
      </w:r>
      <w:r w:rsidR="00812556">
        <w:t xml:space="preserve">’s interview at the </w:t>
      </w:r>
      <w:r w:rsidR="00C6725F">
        <w:t xml:space="preserve">scene </w:t>
      </w:r>
      <w:r w:rsidR="00A71F31">
        <w:t>that the defense had not received</w:t>
      </w:r>
      <w:r>
        <w:t xml:space="preserve">.  The prosecutor stated he did not intend to introduce </w:t>
      </w:r>
      <w:r w:rsidR="00B604B9">
        <w:t>these recordings</w:t>
      </w:r>
      <w:r>
        <w:t xml:space="preserve">, but the trial court </w:t>
      </w:r>
      <w:r w:rsidR="00A53EC2">
        <w:t xml:space="preserve">indicated the defense should have a chance to review </w:t>
      </w:r>
      <w:r w:rsidR="00B604B9">
        <w:t>them</w:t>
      </w:r>
      <w:r w:rsidR="00A53EC2">
        <w:t xml:space="preserve"> before </w:t>
      </w:r>
      <w:r w:rsidR="00A53EC2">
        <w:lastRenderedPageBreak/>
        <w:t xml:space="preserve">cross-examining </w:t>
      </w:r>
      <w:r w:rsidR="00AD027A">
        <w:t>Officer Garcia</w:t>
      </w:r>
      <w:r w:rsidR="00A53EC2">
        <w:t>.</w:t>
      </w:r>
      <w:r w:rsidR="00057162">
        <w:rPr>
          <w:rStyle w:val="FootnoteReference"/>
        </w:rPr>
        <w:footnoteReference w:id="11"/>
      </w:r>
      <w:r w:rsidR="00A53EC2">
        <w:t xml:space="preserve">  Herrera then </w:t>
      </w:r>
      <w:r w:rsidR="00CC33A8">
        <w:t xml:space="preserve">unsuccessfully </w:t>
      </w:r>
      <w:r w:rsidR="00A53EC2">
        <w:t>moved to strike the officer’s testimony on the basis of late discovery</w:t>
      </w:r>
      <w:r w:rsidR="00123931">
        <w:t xml:space="preserve">. </w:t>
      </w:r>
      <w:r w:rsidR="007D4861">
        <w:t xml:space="preserve"> </w:t>
      </w:r>
      <w:r w:rsidR="00CC33A8">
        <w:t>The court</w:t>
      </w:r>
      <w:r w:rsidR="007D4861">
        <w:t xml:space="preserve"> reserved ruling on the </w:t>
      </w:r>
      <w:r w:rsidR="00EE14B9">
        <w:t>confrontation</w:t>
      </w:r>
      <w:r w:rsidR="00CC33A8">
        <w:t>-</w:t>
      </w:r>
      <w:r w:rsidR="00EE14B9">
        <w:t>clause</w:t>
      </w:r>
      <w:r w:rsidR="007D4861">
        <w:t xml:space="preserve"> issue </w:t>
      </w:r>
      <w:r w:rsidR="002773B2">
        <w:t xml:space="preserve">until the defense </w:t>
      </w:r>
      <w:r w:rsidR="005D1FE7">
        <w:t>could</w:t>
      </w:r>
      <w:r w:rsidR="002773B2">
        <w:t xml:space="preserve"> review the body-cam footage. </w:t>
      </w:r>
      <w:r w:rsidR="00A91715">
        <w:t xml:space="preserve"> </w:t>
      </w:r>
    </w:p>
    <w:p w14:paraId="2F60C7A6" w14:textId="34474F49" w:rsidR="003F7A03" w:rsidRDefault="00130D97" w:rsidP="002A070A">
      <w:pPr>
        <w:spacing w:line="360" w:lineRule="auto"/>
      </w:pPr>
      <w:r>
        <w:tab/>
      </w:r>
      <w:r w:rsidR="00824799">
        <w:t>Subsequently, after revi</w:t>
      </w:r>
      <w:r w:rsidR="002E438F">
        <w:t>ewing some of the</w:t>
      </w:r>
      <w:r w:rsidR="007E2042">
        <w:t xml:space="preserve"> body-cam</w:t>
      </w:r>
      <w:r w:rsidR="002E438F">
        <w:t xml:space="preserve"> footage</w:t>
      </w:r>
      <w:r w:rsidR="00A60AF6">
        <w:t xml:space="preserve"> itself</w:t>
      </w:r>
      <w:r w:rsidR="002E438F">
        <w:t xml:space="preserve"> and </w:t>
      </w:r>
      <w:r>
        <w:t xml:space="preserve">hearing </w:t>
      </w:r>
      <w:r w:rsidR="002E438F">
        <w:t>the parties’ arguments</w:t>
      </w:r>
      <w:r>
        <w:t xml:space="preserve">, the trial court ruled that </w:t>
      </w:r>
      <w:r w:rsidR="00F4047F">
        <w:t xml:space="preserve">S.N.’s statement was non-testimonial and therefore </w:t>
      </w:r>
      <w:r w:rsidR="008D2F0B">
        <w:t xml:space="preserve">admissible under the </w:t>
      </w:r>
      <w:r w:rsidR="00A60AF6">
        <w:t>c</w:t>
      </w:r>
      <w:r w:rsidR="008D2F0B">
        <w:t xml:space="preserve">onfrontation </w:t>
      </w:r>
      <w:r w:rsidR="00A60AF6">
        <w:t>c</w:t>
      </w:r>
      <w:r w:rsidR="008D2F0B">
        <w:t>lause</w:t>
      </w:r>
      <w:r w:rsidR="00D85338">
        <w:t xml:space="preserve">. </w:t>
      </w:r>
      <w:r w:rsidR="000577C1">
        <w:t xml:space="preserve"> Relying primarily on </w:t>
      </w:r>
      <w:r w:rsidR="000577C1">
        <w:rPr>
          <w:i/>
          <w:iCs/>
        </w:rPr>
        <w:t>Michigan</w:t>
      </w:r>
      <w:r w:rsidR="0008349C">
        <w:rPr>
          <w:i/>
          <w:iCs/>
        </w:rPr>
        <w:t> </w:t>
      </w:r>
      <w:r w:rsidR="000577C1">
        <w:rPr>
          <w:i/>
          <w:iCs/>
        </w:rPr>
        <w:t>v. Bryant</w:t>
      </w:r>
      <w:r w:rsidR="000577C1">
        <w:t xml:space="preserve"> (</w:t>
      </w:r>
      <w:r w:rsidR="00B11271">
        <w:t>2011</w:t>
      </w:r>
      <w:r w:rsidR="000577C1">
        <w:t>) 562</w:t>
      </w:r>
      <w:r w:rsidR="0018470B">
        <w:t> </w:t>
      </w:r>
      <w:r w:rsidR="000577C1">
        <w:t>U.S. 344</w:t>
      </w:r>
      <w:r w:rsidR="00851460">
        <w:t xml:space="preserve"> (</w:t>
      </w:r>
      <w:r w:rsidR="00851460">
        <w:rPr>
          <w:i/>
          <w:iCs/>
        </w:rPr>
        <w:t>Bryant</w:t>
      </w:r>
      <w:r w:rsidR="00851460">
        <w:t>)</w:t>
      </w:r>
      <w:r w:rsidR="000577C1">
        <w:t>,</w:t>
      </w:r>
      <w:r w:rsidR="00812556">
        <w:t xml:space="preserve"> </w:t>
      </w:r>
      <w:r w:rsidR="000577C1">
        <w:t>the court</w:t>
      </w:r>
      <w:r w:rsidR="00463EA1">
        <w:t xml:space="preserve"> concluded that S.N.’s statement was taken </w:t>
      </w:r>
      <w:r w:rsidR="003C4AA3">
        <w:t>in response to</w:t>
      </w:r>
      <w:r w:rsidR="00463EA1">
        <w:t xml:space="preserve"> “an ongoing emergency,” not as part of “an interview or an interrogation for the </w:t>
      </w:r>
      <w:proofErr w:type="gramStart"/>
      <w:r w:rsidR="00463EA1">
        <w:t>purpose[</w:t>
      </w:r>
      <w:proofErr w:type="gramEnd"/>
      <w:r w:rsidR="00463EA1">
        <w:t xml:space="preserve">] of preparing for trial.”  </w:t>
      </w:r>
      <w:r w:rsidR="00735631">
        <w:t xml:space="preserve">The court </w:t>
      </w:r>
      <w:r w:rsidR="007E2042">
        <w:t>found that</w:t>
      </w:r>
      <w:r w:rsidR="00C57980">
        <w:t>, as revealed by the footage,</w:t>
      </w:r>
      <w:r w:rsidR="007E2042">
        <w:t xml:space="preserve"> S.N.</w:t>
      </w:r>
      <w:r w:rsidR="00303633">
        <w:t xml:space="preserve"> “was under the stress of an excitement” </w:t>
      </w:r>
      <w:r w:rsidR="00BD7185">
        <w:t>and “tearful</w:t>
      </w:r>
      <w:r w:rsidR="00C57980">
        <w:t>” when speaking to Officer Garcia.</w:t>
      </w:r>
      <w:r w:rsidR="00BD7185">
        <w:t xml:space="preserve"> </w:t>
      </w:r>
      <w:r w:rsidR="00782A6C">
        <w:t xml:space="preserve"> </w:t>
      </w:r>
      <w:r w:rsidR="00C57980">
        <w:t>The officer</w:t>
      </w:r>
      <w:r w:rsidR="00782A6C">
        <w:t xml:space="preserve"> arrived “within </w:t>
      </w:r>
      <w:r w:rsidR="00A674F1">
        <w:t>approx</w:t>
      </w:r>
      <w:r w:rsidR="002C632C">
        <w:t xml:space="preserve">imately </w:t>
      </w:r>
      <w:r w:rsidR="00782A6C">
        <w:t>eight minutes” of the iPhone theft, and</w:t>
      </w:r>
      <w:r w:rsidR="00C57980">
        <w:t xml:space="preserve"> although he was not the first officer on the scene,</w:t>
      </w:r>
      <w:r w:rsidR="00782A6C">
        <w:t xml:space="preserve"> </w:t>
      </w:r>
      <w:r w:rsidR="008E0EF8">
        <w:t xml:space="preserve">he was </w:t>
      </w:r>
      <w:r w:rsidR="00DD4866">
        <w:t xml:space="preserve">the first one who could speak to S.N. in Spanish. </w:t>
      </w:r>
      <w:r w:rsidR="00173A56">
        <w:t xml:space="preserve"> The interview itself was “</w:t>
      </w:r>
      <w:proofErr w:type="gramStart"/>
      <w:r w:rsidR="00173A56">
        <w:t>informal</w:t>
      </w:r>
      <w:r w:rsidR="00DD4866">
        <w:t>[</w:t>
      </w:r>
      <w:proofErr w:type="gramEnd"/>
      <w:r w:rsidR="00DD4866">
        <w:t xml:space="preserve">],” </w:t>
      </w:r>
      <w:r w:rsidR="009E404F">
        <w:t xml:space="preserve">taking </w:t>
      </w:r>
      <w:r w:rsidR="00DD4866">
        <w:t xml:space="preserve">place </w:t>
      </w:r>
      <w:r w:rsidR="009E404F">
        <w:t xml:space="preserve">“on a public street where the crime had occurred.”  And finally, </w:t>
      </w:r>
      <w:r w:rsidR="007D7657">
        <w:t xml:space="preserve">the </w:t>
      </w:r>
      <w:r w:rsidR="00392841">
        <w:t>theft’s perpetrator</w:t>
      </w:r>
      <w:r w:rsidR="007D7657">
        <w:t xml:space="preserve"> had not yet been apprehended, and an ambulance was called</w:t>
      </w:r>
      <w:r w:rsidR="003C4AA3">
        <w:t xml:space="preserve"> after S.N. complained of pain. </w:t>
      </w:r>
      <w:r w:rsidR="003F337D">
        <w:t xml:space="preserve"> </w:t>
      </w:r>
    </w:p>
    <w:p w14:paraId="364D5E52" w14:textId="4BB8FFB8" w:rsidR="00E15595" w:rsidRDefault="003F7A03" w:rsidP="002A070A">
      <w:pPr>
        <w:spacing w:line="360" w:lineRule="auto"/>
      </w:pPr>
      <w:r>
        <w:tab/>
      </w:r>
      <w:r w:rsidR="003F337D">
        <w:t xml:space="preserve">After the </w:t>
      </w:r>
      <w:r>
        <w:t xml:space="preserve">trial </w:t>
      </w:r>
      <w:r w:rsidR="003F337D">
        <w:t>court</w:t>
      </w:r>
      <w:r w:rsidR="0041207C">
        <w:t xml:space="preserve"> ruled </w:t>
      </w:r>
      <w:r w:rsidR="009B4089">
        <w:t>the statement</w:t>
      </w:r>
      <w:r w:rsidR="0041207C">
        <w:t xml:space="preserve"> was admissible</w:t>
      </w:r>
      <w:r w:rsidR="003F337D">
        <w:t>,</w:t>
      </w:r>
      <w:r w:rsidR="00D609D8">
        <w:t xml:space="preserve"> the prosecutor </w:t>
      </w:r>
      <w:r w:rsidR="009E3140">
        <w:t xml:space="preserve">asked Officer Garcia </w:t>
      </w:r>
      <w:r w:rsidR="00E23A26">
        <w:t>whether S.N. “explained to [him] how she came to have [the] pain</w:t>
      </w:r>
      <w:r w:rsidR="00E000A2">
        <w:t xml:space="preserve"> to her face”</w:t>
      </w:r>
      <w:r w:rsidR="00B207B7">
        <w:t xml:space="preserve">—namely </w:t>
      </w:r>
      <w:r w:rsidR="00886390">
        <w:t>“numbness to her upper lip and nose area”—</w:t>
      </w:r>
      <w:r w:rsidR="00E000A2">
        <w:t xml:space="preserve">about which the officer had previously testified. </w:t>
      </w:r>
      <w:r w:rsidR="00B207B7">
        <w:t xml:space="preserve"> The officer </w:t>
      </w:r>
      <w:r w:rsidR="00812556">
        <w:t>testified that</w:t>
      </w:r>
      <w:r w:rsidR="00B207B7">
        <w:t xml:space="preserve"> </w:t>
      </w:r>
      <w:r w:rsidR="0086482E">
        <w:t>S.N. “stated that she was struck in the face as the subject tried to steal her phone or tried to take her phone</w:t>
      </w:r>
      <w:r w:rsidR="00AA2397">
        <w:t xml:space="preserve"> from her.” </w:t>
      </w:r>
    </w:p>
    <w:p w14:paraId="4706047C" w14:textId="06F9162E" w:rsidR="00AA2397" w:rsidRDefault="00AA2397" w:rsidP="006532C5">
      <w:pPr>
        <w:keepNext/>
        <w:spacing w:line="360" w:lineRule="auto"/>
      </w:pPr>
      <w:r>
        <w:lastRenderedPageBreak/>
        <w:tab/>
      </w:r>
      <w:r>
        <w:tab/>
        <w:t>2.</w:t>
      </w:r>
      <w:r>
        <w:tab/>
      </w:r>
      <w:r w:rsidR="00D23EBA">
        <w:t>Analysis</w:t>
      </w:r>
    </w:p>
    <w:p w14:paraId="4EA61FF5" w14:textId="21E9AD3C" w:rsidR="00D23EBA" w:rsidRDefault="00106E05" w:rsidP="002A070A">
      <w:pPr>
        <w:spacing w:line="360" w:lineRule="auto"/>
      </w:pPr>
      <w:r>
        <w:tab/>
      </w:r>
      <w:r w:rsidR="0081399F">
        <w:t xml:space="preserve">The </w:t>
      </w:r>
      <w:r w:rsidR="001F0DFE">
        <w:t xml:space="preserve">Sixth Amendment’s confrontation clause </w:t>
      </w:r>
      <w:r w:rsidR="008F245A">
        <w:t xml:space="preserve">gives criminal defendants the right to </w:t>
      </w:r>
      <w:r w:rsidR="00592B40">
        <w:t>be confronted with the witnesses against them.  (</w:t>
      </w:r>
      <w:r w:rsidR="00AB1403">
        <w:t xml:space="preserve">U.S. Const., 6th Amend.; </w:t>
      </w:r>
      <w:r w:rsidR="00592B40">
        <w:rPr>
          <w:i/>
          <w:iCs/>
        </w:rPr>
        <w:t>Samia</w:t>
      </w:r>
      <w:r w:rsidR="008F629B">
        <w:rPr>
          <w:i/>
          <w:iCs/>
        </w:rPr>
        <w:t> </w:t>
      </w:r>
      <w:r w:rsidR="00592B40">
        <w:rPr>
          <w:i/>
          <w:iCs/>
        </w:rPr>
        <w:t>v. United States</w:t>
      </w:r>
      <w:r w:rsidR="00592B40">
        <w:t xml:space="preserve"> (2023) </w:t>
      </w:r>
      <w:r w:rsidR="00E74207">
        <w:t>599</w:t>
      </w:r>
      <w:r w:rsidR="008F629B">
        <w:t> </w:t>
      </w:r>
      <w:r w:rsidR="00592B40">
        <w:t>U.S.</w:t>
      </w:r>
      <w:r w:rsidR="00E74207">
        <w:t xml:space="preserve"> 635</w:t>
      </w:r>
      <w:r w:rsidR="00592B40">
        <w:t>, 143</w:t>
      </w:r>
      <w:r w:rsidR="008F629B">
        <w:t> </w:t>
      </w:r>
      <w:proofErr w:type="spellStart"/>
      <w:r w:rsidR="00592B40">
        <w:t>S.Ct</w:t>
      </w:r>
      <w:proofErr w:type="spellEnd"/>
      <w:r w:rsidR="00592B40">
        <w:t>. 2004, 2009–2010.)</w:t>
      </w:r>
      <w:r w:rsidR="00AB1403">
        <w:t xml:space="preserve">  “As interpreted by the [United States] Supreme Court in </w:t>
      </w:r>
      <w:r w:rsidR="00AB1403">
        <w:rPr>
          <w:i/>
          <w:iCs/>
        </w:rPr>
        <w:t>Crawford</w:t>
      </w:r>
      <w:r w:rsidR="008F629B">
        <w:rPr>
          <w:i/>
          <w:iCs/>
        </w:rPr>
        <w:t> </w:t>
      </w:r>
      <w:r w:rsidR="00AB1403">
        <w:rPr>
          <w:i/>
          <w:iCs/>
        </w:rPr>
        <w:t>v. Washington</w:t>
      </w:r>
      <w:r w:rsidR="00AB1403">
        <w:t xml:space="preserve"> (2004) 541</w:t>
      </w:r>
      <w:r w:rsidR="008F629B">
        <w:t> </w:t>
      </w:r>
      <w:r w:rsidR="00AB1403">
        <w:t>U.S. 36</w:t>
      </w:r>
      <w:r w:rsidR="00F6617B">
        <w:t>,”</w:t>
      </w:r>
      <w:r w:rsidR="00CC0BE3">
        <w:t xml:space="preserve"> the confrontation clause “prohibits the admission of ‘testimonial statements’ made by a </w:t>
      </w:r>
      <w:proofErr w:type="spellStart"/>
      <w:r w:rsidR="00CC0BE3">
        <w:t>nontestifying</w:t>
      </w:r>
      <w:proofErr w:type="spellEnd"/>
      <w:r w:rsidR="00CC0BE3">
        <w:t xml:space="preserve"> witness unless the witness is unavailable, and the defendant had a prior opportunity for cross-examination.”  (</w:t>
      </w:r>
      <w:r w:rsidR="00CC0BE3">
        <w:rPr>
          <w:i/>
          <w:iCs/>
        </w:rPr>
        <w:t>People</w:t>
      </w:r>
      <w:r w:rsidR="008F629B">
        <w:rPr>
          <w:i/>
          <w:iCs/>
        </w:rPr>
        <w:t> </w:t>
      </w:r>
      <w:r w:rsidR="00CC0BE3">
        <w:rPr>
          <w:i/>
          <w:iCs/>
        </w:rPr>
        <w:t>v. Ogaz</w:t>
      </w:r>
      <w:r w:rsidR="00CC0BE3">
        <w:t xml:space="preserve"> (2020) 53</w:t>
      </w:r>
      <w:r w:rsidR="008F629B">
        <w:t> </w:t>
      </w:r>
      <w:r w:rsidR="00CC0BE3">
        <w:t>Cal.App.5th 280, 286.)</w:t>
      </w:r>
      <w:r w:rsidR="00A94C9E">
        <w:t xml:space="preserve">  </w:t>
      </w:r>
      <w:r w:rsidR="00BD6E8D">
        <w:t xml:space="preserve">Here, </w:t>
      </w:r>
      <w:r w:rsidR="00545022">
        <w:t xml:space="preserve">there is no dispute </w:t>
      </w:r>
      <w:r w:rsidR="009F2FE4">
        <w:t>that the exception for unavailable witnesses previously subject to cross-examination was not established.</w:t>
      </w:r>
      <w:r w:rsidR="00BE6009">
        <w:t xml:space="preserve">  </w:t>
      </w:r>
      <w:r w:rsidR="00346963">
        <w:t>Also</w:t>
      </w:r>
      <w:r w:rsidR="00BE6009">
        <w:t xml:space="preserve">, there is no dispute that even if </w:t>
      </w:r>
      <w:r w:rsidR="00346963">
        <w:t>S.N.’s</w:t>
      </w:r>
      <w:r w:rsidR="00BE6009">
        <w:t xml:space="preserve"> statement </w:t>
      </w:r>
      <w:r w:rsidR="00C66107">
        <w:t>was</w:t>
      </w:r>
      <w:r w:rsidR="00BE6009">
        <w:t xml:space="preserve"> otherwise admissible </w:t>
      </w:r>
      <w:r w:rsidR="006956FE">
        <w:t>as a spontaneous statement</w:t>
      </w:r>
      <w:r w:rsidR="00DD0E61">
        <w:t>,</w:t>
      </w:r>
      <w:r w:rsidR="00EB686C">
        <w:t xml:space="preserve"> </w:t>
      </w:r>
      <w:r w:rsidR="00A675DE">
        <w:t>that does not permit us to forego the constitutional analysis.  (</w:t>
      </w:r>
      <w:r w:rsidR="00B052A9">
        <w:t xml:space="preserve">See </w:t>
      </w:r>
      <w:r w:rsidR="00B052A9">
        <w:rPr>
          <w:i/>
          <w:iCs/>
        </w:rPr>
        <w:t>People</w:t>
      </w:r>
      <w:r w:rsidR="008F629B">
        <w:rPr>
          <w:i/>
          <w:iCs/>
        </w:rPr>
        <w:t> </w:t>
      </w:r>
      <w:r w:rsidR="00B052A9">
        <w:rPr>
          <w:i/>
          <w:iCs/>
        </w:rPr>
        <w:t>v. Liggins</w:t>
      </w:r>
      <w:r w:rsidR="00B052A9">
        <w:t xml:space="preserve"> (</w:t>
      </w:r>
      <w:r w:rsidR="003F5D2F">
        <w:t>2020) 53</w:t>
      </w:r>
      <w:r w:rsidR="008F629B">
        <w:t> </w:t>
      </w:r>
      <w:r w:rsidR="003F5D2F">
        <w:t xml:space="preserve">Cal.App.5th 55, 64.)  </w:t>
      </w:r>
      <w:r w:rsidR="00DF2EA6">
        <w:t xml:space="preserve">Thus, </w:t>
      </w:r>
      <w:r w:rsidR="00D37EB1">
        <w:t xml:space="preserve">on appeal </w:t>
      </w:r>
      <w:r w:rsidR="00BD72CF">
        <w:t xml:space="preserve">“the admissibility of </w:t>
      </w:r>
      <w:r w:rsidR="00D37EB1">
        <w:t>[</w:t>
      </w:r>
      <w:r w:rsidR="00DC32AA">
        <w:t xml:space="preserve">S.N.’s </w:t>
      </w:r>
      <w:r w:rsidR="00BD72CF">
        <w:t>statement] turns on whether it was testimonial,” an issue we review de novo.  (</w:t>
      </w:r>
      <w:r w:rsidR="003F5D2F">
        <w:rPr>
          <w:i/>
          <w:iCs/>
        </w:rPr>
        <w:t>Ogaz</w:t>
      </w:r>
      <w:r w:rsidR="003F5D2F">
        <w:t>, at p.</w:t>
      </w:r>
      <w:r w:rsidR="008F629B">
        <w:t> </w:t>
      </w:r>
      <w:r w:rsidR="003F5D2F">
        <w:t>286</w:t>
      </w:r>
      <w:r w:rsidR="00D23EBA">
        <w:t xml:space="preserve">; </w:t>
      </w:r>
      <w:r w:rsidR="00D23EBA">
        <w:rPr>
          <w:i/>
          <w:iCs/>
        </w:rPr>
        <w:t xml:space="preserve">People v. Nelson </w:t>
      </w:r>
      <w:r w:rsidR="00D23EBA">
        <w:t>(2010) 190</w:t>
      </w:r>
      <w:r w:rsidR="00475ED4">
        <w:t> </w:t>
      </w:r>
      <w:r w:rsidR="00D23EBA">
        <w:t>Cal.App.4th 1453, 1466.)</w:t>
      </w:r>
    </w:p>
    <w:p w14:paraId="07A19835" w14:textId="5D29C661" w:rsidR="00106E05" w:rsidRDefault="00D23EBA" w:rsidP="002A070A">
      <w:pPr>
        <w:spacing w:line="360" w:lineRule="auto"/>
      </w:pPr>
      <w:r>
        <w:tab/>
      </w:r>
      <w:r w:rsidR="00A23365">
        <w:t xml:space="preserve"> </w:t>
      </w:r>
      <w:r w:rsidR="003F4F7C">
        <w:rPr>
          <w:i/>
          <w:iCs/>
        </w:rPr>
        <w:t xml:space="preserve">Crawford </w:t>
      </w:r>
      <w:r w:rsidR="00346963">
        <w:t>indicated</w:t>
      </w:r>
      <w:r w:rsidR="00526667">
        <w:t xml:space="preserve"> </w:t>
      </w:r>
      <w:r w:rsidR="00281D74">
        <w:t xml:space="preserve">that </w:t>
      </w:r>
      <w:proofErr w:type="gramStart"/>
      <w:r w:rsidR="00281D74">
        <w:t>“</w:t>
      </w:r>
      <w:r w:rsidR="00475ED4">
        <w:t> </w:t>
      </w:r>
      <w:r w:rsidR="00281D74">
        <w:t>‘</w:t>
      </w:r>
      <w:proofErr w:type="gramEnd"/>
      <w:r w:rsidR="00281D74">
        <w:t>[s]</w:t>
      </w:r>
      <w:proofErr w:type="spellStart"/>
      <w:r w:rsidR="00281D74">
        <w:t>tatements</w:t>
      </w:r>
      <w:proofErr w:type="spellEnd"/>
      <w:r w:rsidR="00281D74">
        <w:t xml:space="preserve"> taken by police officers in the course of interrogations’ ”</w:t>
      </w:r>
      <w:r w:rsidR="00526667">
        <w:t xml:space="preserve"> generally </w:t>
      </w:r>
      <w:r w:rsidR="00F6617B">
        <w:t>qualif</w:t>
      </w:r>
      <w:r w:rsidR="00526667">
        <w:t>y</w:t>
      </w:r>
      <w:r w:rsidR="00346963">
        <w:t xml:space="preserve"> as</w:t>
      </w:r>
      <w:r w:rsidR="00F6617B">
        <w:t xml:space="preserve"> testimonial statements.  (</w:t>
      </w:r>
      <w:r w:rsidR="00F6617B">
        <w:rPr>
          <w:i/>
          <w:iCs/>
        </w:rPr>
        <w:t>Davis</w:t>
      </w:r>
      <w:r w:rsidR="00475ED4">
        <w:rPr>
          <w:i/>
          <w:iCs/>
        </w:rPr>
        <w:t> </w:t>
      </w:r>
      <w:r w:rsidR="00F6617B">
        <w:rPr>
          <w:i/>
          <w:iCs/>
        </w:rPr>
        <w:t>v. Washington</w:t>
      </w:r>
      <w:r w:rsidR="00F6617B">
        <w:t xml:space="preserve"> (2006) 547</w:t>
      </w:r>
      <w:r w:rsidR="00475ED4">
        <w:t> </w:t>
      </w:r>
      <w:r w:rsidR="00F6617B">
        <w:t xml:space="preserve">U.S. 813, 822, quoting </w:t>
      </w:r>
      <w:r w:rsidR="00F6617B">
        <w:rPr>
          <w:i/>
          <w:iCs/>
        </w:rPr>
        <w:t>Crawford</w:t>
      </w:r>
      <w:r w:rsidR="00475ED4">
        <w:rPr>
          <w:i/>
          <w:iCs/>
        </w:rPr>
        <w:t> </w:t>
      </w:r>
      <w:r w:rsidR="00F6617B">
        <w:rPr>
          <w:i/>
          <w:iCs/>
        </w:rPr>
        <w:t>v. Washington</w:t>
      </w:r>
      <w:r w:rsidR="00F6617B">
        <w:t xml:space="preserve">, </w:t>
      </w:r>
      <w:r w:rsidR="00F6617B">
        <w:rPr>
          <w:i/>
          <w:iCs/>
        </w:rPr>
        <w:t>supra</w:t>
      </w:r>
      <w:r w:rsidR="00F6617B">
        <w:t>, 54</w:t>
      </w:r>
      <w:r w:rsidR="003E41C7">
        <w:t>1</w:t>
      </w:r>
      <w:r w:rsidR="00311855">
        <w:t> </w:t>
      </w:r>
      <w:r w:rsidR="00F6617B">
        <w:t>U.S. at p.</w:t>
      </w:r>
      <w:r w:rsidR="00475ED4">
        <w:t> </w:t>
      </w:r>
      <w:r w:rsidR="00F6617B">
        <w:t xml:space="preserve">52.)  </w:t>
      </w:r>
      <w:r w:rsidR="00A648EF">
        <w:t>But i</w:t>
      </w:r>
      <w:r w:rsidR="0009136A">
        <w:t xml:space="preserve">n </w:t>
      </w:r>
      <w:r w:rsidR="0009136A">
        <w:rPr>
          <w:i/>
          <w:iCs/>
        </w:rPr>
        <w:t>Davis</w:t>
      </w:r>
      <w:r w:rsidR="0009136A">
        <w:t xml:space="preserve">, the Supreme Court explained that not all statements </w:t>
      </w:r>
      <w:r w:rsidR="00A648EF">
        <w:t>made under questioning by law</w:t>
      </w:r>
      <w:r w:rsidR="003D39F3">
        <w:t xml:space="preserve"> enforcement officers are testimonial</w:t>
      </w:r>
      <w:proofErr w:type="gramStart"/>
      <w:r w:rsidR="0057225E">
        <w:t>:  “</w:t>
      </w:r>
      <w:proofErr w:type="gramEnd"/>
      <w:r w:rsidR="0057225E">
        <w:t xml:space="preserve">Statements are nontestimonial when made in the course of police interrogation under circumstances objectively indicating that the primary purpose of the interrogation is to enable police assistance to meet an ongoing emergency.  They are testimonial when the circumstances objectively indicate that there is no such ongoing emergency, </w:t>
      </w:r>
      <w:r w:rsidR="0057225E">
        <w:lastRenderedPageBreak/>
        <w:t>and that the primary purpose of the interrogation is to establish or prove past events potentially relevant to later criminal prosecution.”  (</w:t>
      </w:r>
      <w:r w:rsidR="0057225E">
        <w:rPr>
          <w:i/>
          <w:iCs/>
        </w:rPr>
        <w:t>Davis</w:t>
      </w:r>
      <w:r w:rsidR="0057225E">
        <w:t>, at p.</w:t>
      </w:r>
      <w:r w:rsidR="00311855">
        <w:t> </w:t>
      </w:r>
      <w:r w:rsidR="0057225E">
        <w:t xml:space="preserve">822.)  </w:t>
      </w:r>
    </w:p>
    <w:p w14:paraId="1CFFCD43" w14:textId="4465E475" w:rsidR="00925B2C" w:rsidRPr="00247A10" w:rsidRDefault="00B11271" w:rsidP="002A070A">
      <w:pPr>
        <w:spacing w:line="360" w:lineRule="auto"/>
      </w:pPr>
      <w:r>
        <w:tab/>
      </w:r>
      <w:r>
        <w:rPr>
          <w:i/>
          <w:iCs/>
        </w:rPr>
        <w:t>Bryant</w:t>
      </w:r>
      <w:r>
        <w:t xml:space="preserve">, the decision on which the trial court relied, </w:t>
      </w:r>
      <w:r w:rsidR="003A2A7B">
        <w:t>elaborated on “</w:t>
      </w:r>
      <w:r w:rsidR="00251D7F">
        <w:t xml:space="preserve">what </w:t>
      </w:r>
      <w:r w:rsidR="00251D7F">
        <w:rPr>
          <w:i/>
          <w:iCs/>
        </w:rPr>
        <w:t>Davis</w:t>
      </w:r>
      <w:r w:rsidR="00251D7F">
        <w:t xml:space="preserve"> meant by ‘the primary purpose of the interrogation is to enable police assistance to meet an ongoing emergency.</w:t>
      </w:r>
      <w:proofErr w:type="gramStart"/>
      <w:r w:rsidR="00251D7F">
        <w:t>’</w:t>
      </w:r>
      <w:r w:rsidR="00311855">
        <w:t> </w:t>
      </w:r>
      <w:r w:rsidR="00251D7F">
        <w:t>”</w:t>
      </w:r>
      <w:proofErr w:type="gramEnd"/>
      <w:r w:rsidR="00251D7F">
        <w:t xml:space="preserve">  (</w:t>
      </w:r>
      <w:r w:rsidR="00251D7F">
        <w:rPr>
          <w:i/>
          <w:iCs/>
        </w:rPr>
        <w:t>Bryant</w:t>
      </w:r>
      <w:r w:rsidR="00251D7F">
        <w:t xml:space="preserve">, </w:t>
      </w:r>
      <w:r w:rsidR="00251D7F">
        <w:rPr>
          <w:i/>
          <w:iCs/>
        </w:rPr>
        <w:t>supra</w:t>
      </w:r>
      <w:r w:rsidR="00251D7F">
        <w:t>, 562 U.S. at p.</w:t>
      </w:r>
      <w:r w:rsidR="00311855">
        <w:t> </w:t>
      </w:r>
      <w:r w:rsidR="00251D7F">
        <w:t xml:space="preserve">359, quoting </w:t>
      </w:r>
      <w:r w:rsidR="00251D7F">
        <w:rPr>
          <w:i/>
          <w:iCs/>
        </w:rPr>
        <w:t>Davis</w:t>
      </w:r>
      <w:r w:rsidR="00311855">
        <w:rPr>
          <w:i/>
          <w:iCs/>
        </w:rPr>
        <w:t> </w:t>
      </w:r>
      <w:r w:rsidR="00251D7F">
        <w:rPr>
          <w:i/>
          <w:iCs/>
        </w:rPr>
        <w:t>v.</w:t>
      </w:r>
      <w:r w:rsidR="00851460">
        <w:rPr>
          <w:i/>
          <w:iCs/>
        </w:rPr>
        <w:t xml:space="preserve"> </w:t>
      </w:r>
      <w:r w:rsidR="00251D7F">
        <w:rPr>
          <w:i/>
          <w:iCs/>
        </w:rPr>
        <w:t>Washington</w:t>
      </w:r>
      <w:r w:rsidR="00251D7F">
        <w:t xml:space="preserve">, </w:t>
      </w:r>
      <w:r w:rsidR="00251D7F">
        <w:rPr>
          <w:i/>
          <w:iCs/>
        </w:rPr>
        <w:t>supra</w:t>
      </w:r>
      <w:r w:rsidR="00251D7F">
        <w:t xml:space="preserve">, </w:t>
      </w:r>
      <w:r w:rsidR="008763E1">
        <w:t>54</w:t>
      </w:r>
      <w:r w:rsidR="003E41C7">
        <w:t>7</w:t>
      </w:r>
      <w:r w:rsidR="00A648EF">
        <w:t> </w:t>
      </w:r>
      <w:r w:rsidR="008763E1">
        <w:t>U.S. at p.</w:t>
      </w:r>
      <w:r w:rsidR="00D7291A">
        <w:t> </w:t>
      </w:r>
      <w:r w:rsidR="008763E1">
        <w:t>822.)</w:t>
      </w:r>
      <w:r w:rsidR="00925B2C">
        <w:t xml:space="preserve">  </w:t>
      </w:r>
      <w:r w:rsidR="00620EA6">
        <w:t xml:space="preserve">In </w:t>
      </w:r>
      <w:r w:rsidR="00620EA6">
        <w:rPr>
          <w:i/>
          <w:iCs/>
        </w:rPr>
        <w:t>Bryant</w:t>
      </w:r>
      <w:r w:rsidR="00925B2C">
        <w:t xml:space="preserve">, </w:t>
      </w:r>
      <w:r w:rsidR="00BB2E04">
        <w:t>police officers</w:t>
      </w:r>
      <w:r w:rsidR="00925B2C">
        <w:t xml:space="preserve"> </w:t>
      </w:r>
      <w:r w:rsidR="00831C98">
        <w:t>responded to a parking lot where they found</w:t>
      </w:r>
      <w:r w:rsidR="00925B2C">
        <w:t xml:space="preserve"> a gunshot victim </w:t>
      </w:r>
      <w:r w:rsidR="00831C98">
        <w:t xml:space="preserve">who </w:t>
      </w:r>
      <w:r w:rsidR="002F0A0D">
        <w:t xml:space="preserve">“appeared to be in great pain </w:t>
      </w:r>
      <w:r w:rsidR="00D7291A">
        <w:t>. . .</w:t>
      </w:r>
      <w:r w:rsidR="002F0A0D">
        <w:t xml:space="preserve"> and spoke with difficulty.”  (</w:t>
      </w:r>
      <w:r w:rsidR="002F0A0D">
        <w:rPr>
          <w:i/>
          <w:iCs/>
        </w:rPr>
        <w:t>Bryant</w:t>
      </w:r>
      <w:r w:rsidR="002F0A0D">
        <w:t>, at p.</w:t>
      </w:r>
      <w:r w:rsidR="00D7291A">
        <w:t> </w:t>
      </w:r>
      <w:r w:rsidR="003F2982">
        <w:t xml:space="preserve">349.)  </w:t>
      </w:r>
      <w:r w:rsidR="00BB2E04">
        <w:t>The officers asked the</w:t>
      </w:r>
      <w:r w:rsidR="003F2982">
        <w:t xml:space="preserve"> victim what had happened</w:t>
      </w:r>
      <w:r w:rsidR="00DF0BB8">
        <w:t xml:space="preserve">, </w:t>
      </w:r>
      <w:r w:rsidR="003F2982">
        <w:t>who shot him</w:t>
      </w:r>
      <w:r w:rsidR="00DF0BB8">
        <w:t xml:space="preserve">, and where he </w:t>
      </w:r>
      <w:r w:rsidR="00620EA6">
        <w:t>was</w:t>
      </w:r>
      <w:r w:rsidR="00DF0BB8">
        <w:t xml:space="preserve"> shot.</w:t>
      </w:r>
      <w:r w:rsidR="00FB73B6">
        <w:t xml:space="preserve">  (</w:t>
      </w:r>
      <w:r w:rsidR="00FB73B6">
        <w:rPr>
          <w:i/>
          <w:iCs/>
        </w:rPr>
        <w:t>Ibid.</w:t>
      </w:r>
      <w:r w:rsidR="00FB73B6">
        <w:t>)</w:t>
      </w:r>
      <w:r w:rsidR="00DF0BB8">
        <w:t xml:space="preserve">  The victim was able to describe </w:t>
      </w:r>
      <w:r w:rsidR="003F2982">
        <w:t>the circumstances of the shooting and identif</w:t>
      </w:r>
      <w:r w:rsidR="00DF0BB8">
        <w:t xml:space="preserve">y </w:t>
      </w:r>
      <w:r w:rsidR="003F2982">
        <w:t>the defendant as the shooter</w:t>
      </w:r>
      <w:r w:rsidR="00DF0BB8">
        <w:t xml:space="preserve"> before an ambulance arrived to take him to the hospital, where he later died</w:t>
      </w:r>
      <w:r w:rsidR="003F2982">
        <w:t>.  (</w:t>
      </w:r>
      <w:r w:rsidR="003F2982">
        <w:rPr>
          <w:i/>
          <w:iCs/>
        </w:rPr>
        <w:t>Ibid.</w:t>
      </w:r>
      <w:r w:rsidR="003F2982">
        <w:t>)</w:t>
      </w:r>
      <w:r w:rsidR="00DF0BB8">
        <w:t xml:space="preserve">  </w:t>
      </w:r>
      <w:r w:rsidR="00DF0BB8">
        <w:rPr>
          <w:i/>
          <w:iCs/>
        </w:rPr>
        <w:t xml:space="preserve">Bryant </w:t>
      </w:r>
      <w:r w:rsidR="00DF0BB8">
        <w:t xml:space="preserve">held that </w:t>
      </w:r>
      <w:r w:rsidR="00A83471">
        <w:t xml:space="preserve">the </w:t>
      </w:r>
      <w:r w:rsidR="00CD222D">
        <w:t>statement was nontestimonial, because</w:t>
      </w:r>
      <w:r w:rsidR="00B33E66">
        <w:t xml:space="preserve"> </w:t>
      </w:r>
      <w:r w:rsidR="00DD4AE1">
        <w:t xml:space="preserve">neither the </w:t>
      </w:r>
      <w:r w:rsidR="00761B2F">
        <w:t>victim nor the police</w:t>
      </w:r>
      <w:r w:rsidR="00B33E66">
        <w:t xml:space="preserve"> </w:t>
      </w:r>
      <w:r w:rsidR="006E607D">
        <w:t>objectively appeared to have</w:t>
      </w:r>
      <w:r w:rsidR="00B33E66">
        <w:t xml:space="preserve"> a</w:t>
      </w:r>
      <w:r w:rsidR="00761B2F">
        <w:t xml:space="preserve"> </w:t>
      </w:r>
      <w:proofErr w:type="gramStart"/>
      <w:r w:rsidR="00761B2F">
        <w:t>“</w:t>
      </w:r>
      <w:r w:rsidR="00CD222D">
        <w:t xml:space="preserve"> ‘</w:t>
      </w:r>
      <w:proofErr w:type="gramEnd"/>
      <w:r w:rsidR="00761B2F">
        <w:t>primary purpose</w:t>
      </w:r>
      <w:r w:rsidR="00CD222D">
        <w:t>’</w:t>
      </w:r>
      <w:r w:rsidR="00D7291A">
        <w:t> </w:t>
      </w:r>
      <w:r w:rsidR="00A83471">
        <w:t>”</w:t>
      </w:r>
      <w:r w:rsidR="00B33E66">
        <w:t xml:space="preserve"> of </w:t>
      </w:r>
      <w:r w:rsidR="00CD222D" w:rsidRPr="00CD222D">
        <w:t>“</w:t>
      </w:r>
      <w:r w:rsidR="00B33E66">
        <w:t>e</w:t>
      </w:r>
      <w:r w:rsidR="00CD222D" w:rsidRPr="00CD222D">
        <w:t>stablish</w:t>
      </w:r>
      <w:r w:rsidR="00B33E66">
        <w:t>[</w:t>
      </w:r>
      <w:proofErr w:type="spellStart"/>
      <w:r w:rsidR="00B33E66">
        <w:t>ing</w:t>
      </w:r>
      <w:proofErr w:type="spellEnd"/>
      <w:r w:rsidR="00B33E66">
        <w:t>]</w:t>
      </w:r>
      <w:r w:rsidR="00CD222D" w:rsidRPr="00CD222D">
        <w:t xml:space="preserve"> or prov</w:t>
      </w:r>
      <w:r w:rsidR="00B33E66">
        <w:t>[</w:t>
      </w:r>
      <w:proofErr w:type="spellStart"/>
      <w:r w:rsidR="00B33E66">
        <w:t>ing</w:t>
      </w:r>
      <w:proofErr w:type="spellEnd"/>
      <w:r w:rsidR="00B33E66">
        <w:t>]</w:t>
      </w:r>
      <w:r w:rsidR="00CD222D" w:rsidRPr="00CD222D">
        <w:t xml:space="preserve"> past events potentially relevant to later criminal prosecution.”</w:t>
      </w:r>
      <w:r w:rsidR="006E607D">
        <w:t xml:space="preserve">  (</w:t>
      </w:r>
      <w:r w:rsidR="006E607D">
        <w:rPr>
          <w:i/>
          <w:iCs/>
        </w:rPr>
        <w:t>Id.</w:t>
      </w:r>
      <w:r w:rsidR="006E607D">
        <w:t xml:space="preserve"> at p</w:t>
      </w:r>
      <w:r w:rsidR="000C0A7D">
        <w:t>p.</w:t>
      </w:r>
      <w:r w:rsidR="00D7291A">
        <w:t> </w:t>
      </w:r>
      <w:r w:rsidR="000C0A7D">
        <w:t xml:space="preserve">375–376.)  In doing so, the </w:t>
      </w:r>
      <w:r w:rsidR="003E41C7">
        <w:t xml:space="preserve">Supreme </w:t>
      </w:r>
      <w:r w:rsidR="000C0A7D">
        <w:t xml:space="preserve">Court emphasized </w:t>
      </w:r>
      <w:r w:rsidR="00F3005E">
        <w:t xml:space="preserve">that while the existence of an ongoing emergency </w:t>
      </w:r>
      <w:r w:rsidR="0014765A">
        <w:t xml:space="preserve">“is among the most important </w:t>
      </w:r>
      <w:r w:rsidR="00247A10">
        <w:t>circumstances”</w:t>
      </w:r>
      <w:r w:rsidR="003C324F">
        <w:t xml:space="preserve"> to be considered,</w:t>
      </w:r>
      <w:r w:rsidR="008E3261">
        <w:t xml:space="preserve"> </w:t>
      </w:r>
      <w:r w:rsidR="0020174F">
        <w:t xml:space="preserve">it is not dispositive of </w:t>
      </w:r>
      <w:r w:rsidR="0035756B">
        <w:t>an interrogation’s primary purpose</w:t>
      </w:r>
      <w:r w:rsidR="003C324F" w:rsidRPr="003C324F">
        <w:t>.</w:t>
      </w:r>
      <w:r w:rsidR="003F6DE7">
        <w:t xml:space="preserve"> </w:t>
      </w:r>
      <w:r w:rsidR="00247A10">
        <w:t xml:space="preserve"> (</w:t>
      </w:r>
      <w:r w:rsidR="00247A10">
        <w:rPr>
          <w:i/>
          <w:iCs/>
        </w:rPr>
        <w:t>Id.</w:t>
      </w:r>
      <w:r w:rsidR="00247A10">
        <w:t xml:space="preserve"> at p</w:t>
      </w:r>
      <w:r w:rsidR="00346004">
        <w:t>p</w:t>
      </w:r>
      <w:r w:rsidR="00247A10">
        <w:t>.</w:t>
      </w:r>
      <w:r w:rsidR="00622CAE">
        <w:t> </w:t>
      </w:r>
      <w:r w:rsidR="00346004">
        <w:t xml:space="preserve">366, </w:t>
      </w:r>
      <w:r w:rsidR="00247A10">
        <w:t>370.)</w:t>
      </w:r>
    </w:p>
    <w:p w14:paraId="1FD41CB7" w14:textId="2D1C2470" w:rsidR="00B11271" w:rsidRDefault="00925B2C" w:rsidP="002A070A">
      <w:pPr>
        <w:spacing w:line="360" w:lineRule="auto"/>
      </w:pPr>
      <w:r>
        <w:tab/>
      </w:r>
      <w:r w:rsidR="003A2A7B">
        <w:t>Based</w:t>
      </w:r>
      <w:r w:rsidR="00A475B2">
        <w:t xml:space="preserve"> </w:t>
      </w:r>
      <w:r w:rsidR="00C32133">
        <w:t xml:space="preserve">on </w:t>
      </w:r>
      <w:r w:rsidR="00C32133">
        <w:rPr>
          <w:i/>
          <w:iCs/>
        </w:rPr>
        <w:t>Bryant</w:t>
      </w:r>
      <w:r w:rsidR="00A475B2">
        <w:t xml:space="preserve">’s </w:t>
      </w:r>
      <w:r>
        <w:t>analysis</w:t>
      </w:r>
      <w:r w:rsidR="00C32133">
        <w:t xml:space="preserve">, our state Supreme Court has “identified six factors to consider in determining whether statements made in the course of police questioning were for the </w:t>
      </w:r>
      <w:proofErr w:type="gramStart"/>
      <w:r w:rsidR="00C32133">
        <w:t>‘</w:t>
      </w:r>
      <w:r w:rsidR="00622CAE">
        <w:t> </w:t>
      </w:r>
      <w:r w:rsidR="00C32133">
        <w:t>“</w:t>
      </w:r>
      <w:proofErr w:type="gramEnd"/>
      <w:r w:rsidR="00C32133">
        <w:t xml:space="preserve">primary purpose of creating an out-of-court substitute for trial testimony” that implicates the confrontation clause.’  [Citation.]  These are (1) an objective evaluation of the circumstances of the encounter and the statements and actions of the individuals involved in the encounter; (2) whether the statements were made </w:t>
      </w:r>
      <w:r w:rsidR="009B7356">
        <w:t xml:space="preserve">during an ongoing emergency or under circumstances that reasonably appeared to present an </w:t>
      </w:r>
      <w:r w:rsidR="009B7356">
        <w:lastRenderedPageBreak/>
        <w:t>emergency, or were obtained for purposes other than for use by the prosecution at trial; (3) whether any actual or perceived emergency presented an ongoing threat to first responders or the public; (4) the declarant’s medica</w:t>
      </w:r>
      <w:r w:rsidR="00FD680C">
        <w:t>l</w:t>
      </w:r>
      <w:r w:rsidR="009B7356">
        <w:t xml:space="preserve"> condition; (5) whether the focus of the interrogation had shifted from addressing an ongoing emergency to obtaining evidence for trial; and (6) the informality of the statement and the circumstances under which it was obtained.”  (</w:t>
      </w:r>
      <w:r w:rsidR="009B7356">
        <w:rPr>
          <w:i/>
          <w:iCs/>
        </w:rPr>
        <w:t>People</w:t>
      </w:r>
      <w:r w:rsidR="00622CAE">
        <w:rPr>
          <w:i/>
          <w:iCs/>
        </w:rPr>
        <w:t> </w:t>
      </w:r>
      <w:r w:rsidR="009B7356">
        <w:rPr>
          <w:i/>
          <w:iCs/>
        </w:rPr>
        <w:t>v. Chism</w:t>
      </w:r>
      <w:r w:rsidR="009B7356">
        <w:t xml:space="preserve"> (2014) 58</w:t>
      </w:r>
      <w:r w:rsidR="00622CAE">
        <w:t> </w:t>
      </w:r>
      <w:r w:rsidR="009B7356">
        <w:t>Cal.4th 1266, 1289.)</w:t>
      </w:r>
    </w:p>
    <w:p w14:paraId="1E4A00FF" w14:textId="016B1AFD" w:rsidR="009B4089" w:rsidRDefault="009B4089" w:rsidP="00425FBC">
      <w:pPr>
        <w:spacing w:line="360" w:lineRule="auto"/>
      </w:pPr>
      <w:r>
        <w:tab/>
      </w:r>
      <w:r w:rsidR="00886390">
        <w:t xml:space="preserve">Herrera </w:t>
      </w:r>
      <w:r w:rsidR="00043623">
        <w:t>argues</w:t>
      </w:r>
      <w:r w:rsidR="00FD680C">
        <w:t xml:space="preserve"> that </w:t>
      </w:r>
      <w:r w:rsidR="000241BF">
        <w:t xml:space="preserve">S.N.’s statement “was a classic form of testimonial hearsay” because </w:t>
      </w:r>
      <w:r w:rsidR="00057D88">
        <w:t xml:space="preserve">S.N. </w:t>
      </w:r>
      <w:r w:rsidR="00D611BB">
        <w:t>made it in</w:t>
      </w:r>
      <w:r w:rsidR="00057D88">
        <w:t xml:space="preserve"> response to police </w:t>
      </w:r>
      <w:r w:rsidR="00CB67F8">
        <w:t xml:space="preserve">questioning meant to determine “what happened,” not to address an ongoing emergency. </w:t>
      </w:r>
      <w:r w:rsidR="00363F74">
        <w:t xml:space="preserve"> Although he acknowledges that</w:t>
      </w:r>
      <w:r w:rsidR="00F30730">
        <w:t xml:space="preserve"> </w:t>
      </w:r>
      <w:r w:rsidR="0012031E">
        <w:t xml:space="preserve">S.N. complained of pain and an ambulance was called, </w:t>
      </w:r>
      <w:r w:rsidR="00010BA0">
        <w:t>he claims that “</w:t>
      </w:r>
      <w:r w:rsidR="00425FBC">
        <w:t>recent violence and a victim in need</w:t>
      </w:r>
      <w:r w:rsidR="003E41C7">
        <w:t xml:space="preserve"> </w:t>
      </w:r>
      <w:r w:rsidR="00425FBC">
        <w:t xml:space="preserve">of medical treatment does not automatically amount to an ‘ongoing’ emergency.” </w:t>
      </w:r>
      <w:r w:rsidR="00231733">
        <w:t xml:space="preserve"> To support this </w:t>
      </w:r>
      <w:r w:rsidR="000778C8">
        <w:t>argument</w:t>
      </w:r>
      <w:r w:rsidR="00231733">
        <w:t xml:space="preserve">, he primarily relies on </w:t>
      </w:r>
      <w:r w:rsidR="000D2FAB">
        <w:rPr>
          <w:i/>
          <w:iCs/>
        </w:rPr>
        <w:t>People</w:t>
      </w:r>
      <w:r w:rsidR="003B7A0B">
        <w:rPr>
          <w:i/>
          <w:iCs/>
        </w:rPr>
        <w:t> </w:t>
      </w:r>
      <w:r w:rsidR="000D2FAB">
        <w:rPr>
          <w:i/>
          <w:iCs/>
        </w:rPr>
        <w:t xml:space="preserve">v. Roberts </w:t>
      </w:r>
      <w:r w:rsidR="000D2FAB">
        <w:t>(2021) 65</w:t>
      </w:r>
      <w:r w:rsidR="003B7A0B">
        <w:t> </w:t>
      </w:r>
      <w:r w:rsidR="000D2FAB">
        <w:t xml:space="preserve">Cal.App.5th </w:t>
      </w:r>
      <w:r w:rsidR="00192CBE">
        <w:t>469</w:t>
      </w:r>
      <w:r w:rsidR="00943E64">
        <w:t xml:space="preserve"> (</w:t>
      </w:r>
      <w:r w:rsidR="00943E64">
        <w:rPr>
          <w:i/>
          <w:iCs/>
        </w:rPr>
        <w:t>Roberts</w:t>
      </w:r>
      <w:r w:rsidR="00943E64">
        <w:t>)</w:t>
      </w:r>
      <w:r w:rsidR="00192CBE">
        <w:t xml:space="preserve">, in which the Sixth District Court of Appeal held that </w:t>
      </w:r>
      <w:r w:rsidR="00DA3F36">
        <w:t xml:space="preserve">a domestic-violence victim’s </w:t>
      </w:r>
      <w:r w:rsidR="00851460">
        <w:t>statement to police was</w:t>
      </w:r>
      <w:r w:rsidR="00DA3F36">
        <w:t xml:space="preserve"> </w:t>
      </w:r>
      <w:r w:rsidR="00851460">
        <w:t>inadmissible under the confrontation clause</w:t>
      </w:r>
      <w:r w:rsidR="00DA3F36">
        <w:t>.  (</w:t>
      </w:r>
      <w:r w:rsidR="00DA3F36">
        <w:rPr>
          <w:i/>
          <w:iCs/>
        </w:rPr>
        <w:t>Id.</w:t>
      </w:r>
      <w:r w:rsidR="00DA3F36">
        <w:t xml:space="preserve"> at p.</w:t>
      </w:r>
      <w:r w:rsidR="00576398">
        <w:t> 478.)</w:t>
      </w:r>
    </w:p>
    <w:p w14:paraId="6487572C" w14:textId="03707A4C" w:rsidR="00045932" w:rsidRDefault="00851460" w:rsidP="00425FBC">
      <w:pPr>
        <w:spacing w:line="360" w:lineRule="auto"/>
      </w:pPr>
      <w:r>
        <w:tab/>
        <w:t xml:space="preserve">In </w:t>
      </w:r>
      <w:r>
        <w:rPr>
          <w:i/>
          <w:iCs/>
        </w:rPr>
        <w:t>Roberts</w:t>
      </w:r>
      <w:r>
        <w:t>,</w:t>
      </w:r>
      <w:r w:rsidR="009D6BBA">
        <w:t xml:space="preserve"> </w:t>
      </w:r>
      <w:r w:rsidR="004D5D5E">
        <w:t xml:space="preserve">a hotel </w:t>
      </w:r>
      <w:r w:rsidR="00943E64">
        <w:t>guest reported hearing</w:t>
      </w:r>
      <w:r w:rsidR="00455376">
        <w:t xml:space="preserve"> a woman</w:t>
      </w:r>
      <w:r w:rsidR="00943E64">
        <w:t xml:space="preserve"> screaming from another room.  (</w:t>
      </w:r>
      <w:r w:rsidR="00943E64">
        <w:rPr>
          <w:i/>
          <w:iCs/>
        </w:rPr>
        <w:t>Roberts</w:t>
      </w:r>
      <w:r w:rsidR="00943E64">
        <w:t>,</w:t>
      </w:r>
      <w:r w:rsidR="00943E64">
        <w:rPr>
          <w:i/>
          <w:iCs/>
        </w:rPr>
        <w:t xml:space="preserve"> supra</w:t>
      </w:r>
      <w:r w:rsidR="00943E64">
        <w:t>, 65 Cal.App.5th at p.</w:t>
      </w:r>
      <w:r w:rsidR="003B7A0B">
        <w:t> </w:t>
      </w:r>
      <w:r w:rsidR="00943E64">
        <w:t>473.)</w:t>
      </w:r>
      <w:r w:rsidR="00455376">
        <w:t xml:space="preserve">  After </w:t>
      </w:r>
      <w:r w:rsidR="00D333EB">
        <w:t xml:space="preserve">the hotel manager </w:t>
      </w:r>
      <w:r w:rsidR="00455376">
        <w:t>contact</w:t>
      </w:r>
      <w:r w:rsidR="00D333EB">
        <w:t>ed</w:t>
      </w:r>
      <w:r w:rsidR="00455376">
        <w:t xml:space="preserve"> the victim, </w:t>
      </w:r>
      <w:r w:rsidR="002D0BAA">
        <w:t xml:space="preserve">the defendant’s girlfriend, </w:t>
      </w:r>
      <w:r w:rsidR="00D333EB">
        <w:t xml:space="preserve">she </w:t>
      </w:r>
      <w:r w:rsidR="002D0BAA">
        <w:t>showed him “marks on her back and said [the] defendant had beaten her with a belt.”  (</w:t>
      </w:r>
      <w:r w:rsidR="002D0BAA">
        <w:rPr>
          <w:i/>
          <w:iCs/>
        </w:rPr>
        <w:t>Ibid.</w:t>
      </w:r>
      <w:r w:rsidR="002D0BAA">
        <w:t xml:space="preserve">)  As the manager was calling the police, </w:t>
      </w:r>
      <w:r w:rsidR="006C1F6F">
        <w:t>he saw the defendant approaching, “holding a belt” and “look[</w:t>
      </w:r>
      <w:proofErr w:type="spellStart"/>
      <w:r w:rsidR="006C1F6F">
        <w:t>ing</w:t>
      </w:r>
      <w:proofErr w:type="spellEnd"/>
      <w:r w:rsidR="006C1F6F">
        <w:t>] mad.”  (</w:t>
      </w:r>
      <w:r w:rsidR="006C1F6F">
        <w:rPr>
          <w:i/>
          <w:iCs/>
        </w:rPr>
        <w:t>Ibid.</w:t>
      </w:r>
      <w:r w:rsidR="006C1F6F">
        <w:t xml:space="preserve">)  By </w:t>
      </w:r>
      <w:r w:rsidR="00377338">
        <w:t>the time the police arrived, however, the defendant was gone.  (</w:t>
      </w:r>
      <w:r w:rsidR="00377338">
        <w:rPr>
          <w:i/>
          <w:iCs/>
        </w:rPr>
        <w:t>Ibid.</w:t>
      </w:r>
      <w:r w:rsidR="00377338">
        <w:t>)</w:t>
      </w:r>
      <w:r w:rsidR="0038107B">
        <w:t xml:space="preserve">  A</w:t>
      </w:r>
      <w:r w:rsidR="008047EE">
        <w:t xml:space="preserve">n </w:t>
      </w:r>
      <w:r w:rsidR="0038107B">
        <w:t>officer te</w:t>
      </w:r>
      <w:r w:rsidR="00F32FFF">
        <w:t xml:space="preserve">stified that </w:t>
      </w:r>
      <w:r w:rsidR="00570940">
        <w:t xml:space="preserve">when he spoke to </w:t>
      </w:r>
      <w:r w:rsidR="00F32FFF">
        <w:t>the victim,</w:t>
      </w:r>
      <w:r w:rsidR="00570940">
        <w:t xml:space="preserve"> who did not testify,</w:t>
      </w:r>
      <w:r w:rsidR="00F32FFF">
        <w:t xml:space="preserve"> </w:t>
      </w:r>
      <w:r w:rsidR="00570940">
        <w:t>she</w:t>
      </w:r>
      <w:r w:rsidR="00F32FFF">
        <w:t xml:space="preserve"> looked </w:t>
      </w:r>
      <w:proofErr w:type="gramStart"/>
      <w:r w:rsidR="00F32FFF">
        <w:t>“</w:t>
      </w:r>
      <w:r w:rsidR="00570940">
        <w:t> </w:t>
      </w:r>
      <w:r w:rsidR="00F32FFF">
        <w:t>‘</w:t>
      </w:r>
      <w:proofErr w:type="gramEnd"/>
      <w:r w:rsidR="00F32FFF">
        <w:t>afraid’ and ‘a little bit in shock</w:t>
      </w:r>
      <w:r w:rsidR="00570940">
        <w:t>.’</w:t>
      </w:r>
      <w:r w:rsidR="003B7A0B">
        <w:t> </w:t>
      </w:r>
      <w:r w:rsidR="00570940">
        <w:t>”  (</w:t>
      </w:r>
      <w:r w:rsidR="00570940">
        <w:rPr>
          <w:i/>
          <w:iCs/>
        </w:rPr>
        <w:t>Ibid.</w:t>
      </w:r>
      <w:r w:rsidR="00570940">
        <w:t xml:space="preserve">)  She </w:t>
      </w:r>
      <w:r w:rsidR="006C59D8">
        <w:t xml:space="preserve">showed the officer the marks on her back, said she was in pain, and reported that “her boyfriend had whipped her with </w:t>
      </w:r>
      <w:r w:rsidR="006C59D8">
        <w:lastRenderedPageBreak/>
        <w:t>a belt three or four times.  She also revealed that [he] had been violent with her in the past,</w:t>
      </w:r>
      <w:r w:rsidR="00045932">
        <w:t xml:space="preserve"> around 10 times over the past several years.”  (</w:t>
      </w:r>
      <w:r w:rsidR="00045932">
        <w:rPr>
          <w:i/>
          <w:iCs/>
        </w:rPr>
        <w:t>Ibid.</w:t>
      </w:r>
      <w:r w:rsidR="00045932">
        <w:t>)</w:t>
      </w:r>
    </w:p>
    <w:p w14:paraId="2578D9E2" w14:textId="22B82338" w:rsidR="00851460" w:rsidRDefault="00045932" w:rsidP="00425FBC">
      <w:pPr>
        <w:spacing w:line="360" w:lineRule="auto"/>
      </w:pPr>
      <w:r>
        <w:tab/>
      </w:r>
      <w:r>
        <w:rPr>
          <w:i/>
          <w:iCs/>
        </w:rPr>
        <w:t xml:space="preserve">Roberts </w:t>
      </w:r>
      <w:r>
        <w:t xml:space="preserve">held that </w:t>
      </w:r>
      <w:r w:rsidR="00291540">
        <w:t xml:space="preserve">the primary purpose of the officer’s questioning of the victim “was to establish the identity of the assailant for use in a later criminal prosecution,” not to </w:t>
      </w:r>
      <w:r w:rsidR="00993E63">
        <w:t>respond to an ongoing emergency.  (</w:t>
      </w:r>
      <w:r w:rsidR="00993E63">
        <w:rPr>
          <w:i/>
          <w:iCs/>
        </w:rPr>
        <w:t>Roberts</w:t>
      </w:r>
      <w:r w:rsidR="00993E63">
        <w:t xml:space="preserve">, </w:t>
      </w:r>
      <w:r w:rsidR="00993E63">
        <w:rPr>
          <w:i/>
          <w:iCs/>
        </w:rPr>
        <w:t>supra</w:t>
      </w:r>
      <w:r w:rsidR="00993E63">
        <w:t>, 65</w:t>
      </w:r>
      <w:r w:rsidR="007E0342">
        <w:t> </w:t>
      </w:r>
      <w:r w:rsidR="00993E63">
        <w:t>Cal.App.5th at p.</w:t>
      </w:r>
      <w:r w:rsidR="003B7A0B">
        <w:t> </w:t>
      </w:r>
      <w:r w:rsidR="00993E63">
        <w:t xml:space="preserve">478.)  </w:t>
      </w:r>
      <w:r w:rsidR="00C9698C">
        <w:t>The victim was “safe in the office with the hotel manager” when the police arrived, and “[a]s a domestic violence incident, there was ‘a narrower zone of potential victims’ and a lower likelihood [that the defendant] pos[ed] an ongoing threat to the public at large.”  (</w:t>
      </w:r>
      <w:r w:rsidR="00C9698C">
        <w:rPr>
          <w:i/>
          <w:iCs/>
        </w:rPr>
        <w:t>Ibid.</w:t>
      </w:r>
      <w:r w:rsidR="00C9698C">
        <w:t xml:space="preserve">, quoting </w:t>
      </w:r>
      <w:r w:rsidR="00C9698C">
        <w:rPr>
          <w:i/>
          <w:iCs/>
        </w:rPr>
        <w:t>Bryant</w:t>
      </w:r>
      <w:r w:rsidR="00C9698C">
        <w:t xml:space="preserve">, </w:t>
      </w:r>
      <w:r w:rsidR="00C9698C">
        <w:rPr>
          <w:i/>
          <w:iCs/>
        </w:rPr>
        <w:t>supra</w:t>
      </w:r>
      <w:r w:rsidR="00C9698C">
        <w:t>, 562</w:t>
      </w:r>
      <w:r w:rsidR="007E0342">
        <w:t> </w:t>
      </w:r>
      <w:r w:rsidR="00C9698C">
        <w:t>U.S. at p.</w:t>
      </w:r>
      <w:r w:rsidR="007E0342">
        <w:t> </w:t>
      </w:r>
      <w:r w:rsidR="00C9698C">
        <w:t xml:space="preserve">363.)  </w:t>
      </w:r>
      <w:r w:rsidR="00C02388">
        <w:t xml:space="preserve">Thus, the victim’s </w:t>
      </w:r>
      <w:r w:rsidR="002A4BB5">
        <w:t xml:space="preserve">statement that the defendant had struck her with a belt and been violent toward her before </w:t>
      </w:r>
      <w:r w:rsidR="00F624CC">
        <w:t>should have been excluded, although the appellate court found the error harmless.  (</w:t>
      </w:r>
      <w:r w:rsidR="00F624CC">
        <w:rPr>
          <w:i/>
          <w:iCs/>
        </w:rPr>
        <w:t>Roberts</w:t>
      </w:r>
      <w:r w:rsidR="00F624CC">
        <w:t>, at p</w:t>
      </w:r>
      <w:r w:rsidR="00AE1803">
        <w:t>p.</w:t>
      </w:r>
      <w:r w:rsidR="00DA7DD4">
        <w:t> </w:t>
      </w:r>
      <w:r w:rsidR="00AE1803">
        <w:t>47</w:t>
      </w:r>
      <w:r w:rsidR="00571E1E">
        <w:t>8</w:t>
      </w:r>
      <w:r w:rsidR="00AE1803">
        <w:t>–47</w:t>
      </w:r>
      <w:r w:rsidR="00571E1E">
        <w:t>9</w:t>
      </w:r>
      <w:r w:rsidR="00AE1803">
        <w:t>.)</w:t>
      </w:r>
      <w:r w:rsidR="00C9698C">
        <w:t xml:space="preserve"> </w:t>
      </w:r>
      <w:r w:rsidR="00943E64">
        <w:t xml:space="preserve"> </w:t>
      </w:r>
    </w:p>
    <w:p w14:paraId="7C2BCCCA" w14:textId="0DD72CF9" w:rsidR="00482191" w:rsidRDefault="006B38FF" w:rsidP="00425FBC">
      <w:pPr>
        <w:spacing w:line="360" w:lineRule="auto"/>
      </w:pPr>
      <w:r>
        <w:tab/>
      </w:r>
      <w:r w:rsidR="002B03CF">
        <w:t xml:space="preserve">Although we agree with Herrera that a victim’s complaint of injuries does not automatically </w:t>
      </w:r>
      <w:r w:rsidR="00A0385E">
        <w:t xml:space="preserve">establish an ongoing emergency, </w:t>
      </w:r>
      <w:r w:rsidR="002F0D4E">
        <w:rPr>
          <w:i/>
          <w:iCs/>
        </w:rPr>
        <w:t>Roberts</w:t>
      </w:r>
      <w:r w:rsidR="002F0D4E">
        <w:t xml:space="preserve"> is </w:t>
      </w:r>
      <w:r w:rsidR="00F07ACA">
        <w:t>distinguishable.</w:t>
      </w:r>
      <w:r w:rsidR="000C02B2">
        <w:t xml:space="preserve">  In that case, there was no immediate threat to the public</w:t>
      </w:r>
      <w:r w:rsidR="000F14D4">
        <w:t xml:space="preserve">, whereas here, there was still </w:t>
      </w:r>
      <w:r w:rsidR="003E5836">
        <w:t xml:space="preserve">a risk of other thefts being committed.  </w:t>
      </w:r>
      <w:r w:rsidR="00C70A4C">
        <w:t xml:space="preserve">Indeed, </w:t>
      </w:r>
      <w:r w:rsidR="004D0B55">
        <w:t>Officer Garcia indicated at the evidenti</w:t>
      </w:r>
      <w:r w:rsidR="009B0A23">
        <w:t xml:space="preserve">ary </w:t>
      </w:r>
      <w:r w:rsidR="004D0B55">
        <w:t xml:space="preserve">hearing that </w:t>
      </w:r>
      <w:r w:rsidR="00D3240F">
        <w:t>when he spoke to S.N., the police were “trying to locate the phone</w:t>
      </w:r>
      <w:r w:rsidR="00D8293E">
        <w:t>” by getting information from her enabling them to track it</w:t>
      </w:r>
      <w:r w:rsidR="00817669">
        <w:t xml:space="preserve">. </w:t>
      </w:r>
      <w:r w:rsidR="009A2F8B">
        <w:t xml:space="preserve"> Thus, the police were actively trying to find the</w:t>
      </w:r>
      <w:r w:rsidR="00327BE0">
        <w:t xml:space="preserve"> stolen property and, in turn, the</w:t>
      </w:r>
      <w:r w:rsidR="009B0A23">
        <w:t xml:space="preserve"> theft’s</w:t>
      </w:r>
      <w:r w:rsidR="009A2F8B">
        <w:t xml:space="preserve"> perpetrator</w:t>
      </w:r>
      <w:r w:rsidR="00EC75E1">
        <w:t>.</w:t>
      </w:r>
      <w:r w:rsidR="007479B7">
        <w:t xml:space="preserve">  </w:t>
      </w:r>
      <w:r w:rsidR="00EC75E1">
        <w:t xml:space="preserve">Moreover, </w:t>
      </w:r>
      <w:r w:rsidR="00EC75E1">
        <w:rPr>
          <w:i/>
          <w:iCs/>
        </w:rPr>
        <w:t xml:space="preserve">Roberts </w:t>
      </w:r>
      <w:r w:rsidR="00EC75E1">
        <w:t xml:space="preserve">did not address other factors </w:t>
      </w:r>
      <w:r w:rsidR="0099194F">
        <w:t>relevant to the analysis.</w:t>
      </w:r>
      <w:r w:rsidR="003D20E3">
        <w:t xml:space="preserve">  </w:t>
      </w:r>
      <w:r w:rsidR="00BF0283">
        <w:t xml:space="preserve">Having reviewed body-cam footage of S.N.’s interactions with </w:t>
      </w:r>
      <w:r w:rsidR="00BE5D23">
        <w:t>the police</w:t>
      </w:r>
      <w:r w:rsidR="00BF0283">
        <w:t xml:space="preserve">, we agree with the trial court’s observations that she was </w:t>
      </w:r>
      <w:r w:rsidR="00F142CF">
        <w:t xml:space="preserve">still </w:t>
      </w:r>
      <w:proofErr w:type="gramStart"/>
      <w:r w:rsidR="00F142CF">
        <w:t>upset</w:t>
      </w:r>
      <w:proofErr w:type="gramEnd"/>
      <w:r w:rsidR="00F142CF">
        <w:t xml:space="preserve"> and </w:t>
      </w:r>
      <w:r w:rsidR="00575372">
        <w:t>officers</w:t>
      </w:r>
      <w:r w:rsidR="00D41E04">
        <w:t xml:space="preserve"> spoke to her under </w:t>
      </w:r>
      <w:r w:rsidR="007479B7">
        <w:t xml:space="preserve">very </w:t>
      </w:r>
      <w:r w:rsidR="00D41E04">
        <w:t xml:space="preserve">informal circumstances.  </w:t>
      </w:r>
      <w:r w:rsidR="007479B7">
        <w:t>In short, v</w:t>
      </w:r>
      <w:r w:rsidR="001A26DC">
        <w:t xml:space="preserve">iewed objectively, the police’s </w:t>
      </w:r>
      <w:r w:rsidR="004A2E0C">
        <w:t xml:space="preserve">main </w:t>
      </w:r>
      <w:r w:rsidR="001A26DC">
        <w:t xml:space="preserve">purpose in talking </w:t>
      </w:r>
      <w:r w:rsidR="00327BE0">
        <w:t xml:space="preserve">to her </w:t>
      </w:r>
      <w:r w:rsidR="007479B7">
        <w:t>does not appear to have been</w:t>
      </w:r>
      <w:r w:rsidR="00327BE0">
        <w:t xml:space="preserve"> to </w:t>
      </w:r>
      <w:r w:rsidR="003A4061">
        <w:t>collect information for a criminal prosecution.</w:t>
      </w:r>
    </w:p>
    <w:p w14:paraId="5FC85A9A" w14:textId="56A632F1" w:rsidR="009B7356" w:rsidRPr="009B7356" w:rsidRDefault="007479B7" w:rsidP="002A070A">
      <w:pPr>
        <w:spacing w:line="360" w:lineRule="auto"/>
      </w:pPr>
      <w:r>
        <w:lastRenderedPageBreak/>
        <w:tab/>
        <w:t xml:space="preserve">Even if S.N.’s statement </w:t>
      </w:r>
      <w:r w:rsidR="005C7365">
        <w:t>w</w:t>
      </w:r>
      <w:r w:rsidR="00571E1E">
        <w:t>as</w:t>
      </w:r>
      <w:r w:rsidR="005C7365">
        <w:t xml:space="preserve"> testimonial, we would conclude that </w:t>
      </w:r>
      <w:r w:rsidR="00765702">
        <w:t>its admission</w:t>
      </w:r>
      <w:r w:rsidR="005C7365">
        <w:t xml:space="preserve"> </w:t>
      </w:r>
      <w:r w:rsidR="00EE71C4">
        <w:t>was not prejudicial</w:t>
      </w:r>
      <w:r w:rsidR="003E3DBE">
        <w:t xml:space="preserve">.  </w:t>
      </w:r>
      <w:r w:rsidR="00651A7D">
        <w:t xml:space="preserve">Herrera claims that S.N.’s </w:t>
      </w:r>
      <w:r w:rsidR="008C7229">
        <w:t>“complaining of injuries impacted the jury’s determination of a critical issue at trial”</w:t>
      </w:r>
      <w:r w:rsidR="004A5BCB">
        <w:t>—</w:t>
      </w:r>
      <w:r w:rsidR="008C7229">
        <w:t xml:space="preserve">his intent during the charged </w:t>
      </w:r>
      <w:r w:rsidR="00416752">
        <w:t>c</w:t>
      </w:r>
      <w:r w:rsidR="004A5BCB">
        <w:t>rimes—because it “amplified [A.M.</w:t>
      </w:r>
      <w:r w:rsidR="00E87DB5">
        <w:t xml:space="preserve">’s] prior uncharged misconduct from a theft-from-the-person to an injury-causing event.” </w:t>
      </w:r>
      <w:r w:rsidR="00BC765A">
        <w:t xml:space="preserve"> </w:t>
      </w:r>
      <w:r w:rsidR="00EC773A">
        <w:t>The</w:t>
      </w:r>
      <w:r w:rsidR="00E9489C">
        <w:t xml:space="preserve"> evidence that S.N. experienced minor injuries </w:t>
      </w:r>
      <w:r w:rsidR="00EE71C4">
        <w:t xml:space="preserve">may have tended </w:t>
      </w:r>
      <w:r w:rsidR="00C0444A">
        <w:t>to</w:t>
      </w:r>
      <w:r w:rsidR="00E9489C">
        <w:t xml:space="preserve"> prove that A.M. committed </w:t>
      </w:r>
      <w:r w:rsidR="00EC773A">
        <w:t xml:space="preserve">robbery, not just theft, but </w:t>
      </w:r>
      <w:r w:rsidR="00886FE6">
        <w:t>that was unlikely to impact</w:t>
      </w:r>
      <w:r w:rsidR="00601227">
        <w:t xml:space="preserve"> </w:t>
      </w:r>
      <w:r w:rsidR="003C791D">
        <w:t xml:space="preserve">the jury’s evaluation of </w:t>
      </w:r>
      <w:r w:rsidR="00886FE6">
        <w:t xml:space="preserve">Herrera’s </w:t>
      </w:r>
      <w:r w:rsidR="000A43B1">
        <w:t xml:space="preserve">later </w:t>
      </w:r>
      <w:r w:rsidR="00886FE6">
        <w:t xml:space="preserve">intent.  </w:t>
      </w:r>
      <w:r w:rsidR="00AD7D5F">
        <w:t xml:space="preserve">Officer Garcia testified that S.N. had no visible injuries, and there is no other evidence to suggest that Herrera was aware that A.M. </w:t>
      </w:r>
      <w:r w:rsidR="00EE7C44">
        <w:t>hurt her.  Although S.N. also stated that A.M. “struck” her, the jury saw video footage of the theft</w:t>
      </w:r>
      <w:r w:rsidR="00FA21B2">
        <w:t xml:space="preserve"> itself</w:t>
      </w:r>
      <w:r w:rsidR="00EE71C4">
        <w:t xml:space="preserve">, which </w:t>
      </w:r>
      <w:r w:rsidR="00E36E7E">
        <w:t>suggest</w:t>
      </w:r>
      <w:r w:rsidR="00FA21B2">
        <w:t>ed</w:t>
      </w:r>
      <w:r w:rsidR="00E36E7E">
        <w:t xml:space="preserve"> that the contact was accidental</w:t>
      </w:r>
      <w:r w:rsidR="00DC0521">
        <w:t xml:space="preserve">.  In </w:t>
      </w:r>
      <w:r w:rsidR="00C10AC5">
        <w:t>any event</w:t>
      </w:r>
      <w:r w:rsidR="00DC0521">
        <w:t>,</w:t>
      </w:r>
      <w:r w:rsidR="005F4631">
        <w:t xml:space="preserve"> </w:t>
      </w:r>
      <w:r w:rsidR="00C10AC5">
        <w:t>robbery does not require a specific intent “to cause the victim to experience force or fear</w:t>
      </w:r>
      <w:r w:rsidR="00DC0521">
        <w:t>,</w:t>
      </w:r>
      <w:r w:rsidR="00C10AC5">
        <w:t>”</w:t>
      </w:r>
      <w:r w:rsidR="00DC0521">
        <w:t xml:space="preserve"> meaning that</w:t>
      </w:r>
      <w:r w:rsidR="00910EFA">
        <w:t xml:space="preserve"> whether </w:t>
      </w:r>
      <w:r w:rsidR="00CD3D58">
        <w:t>A.M. used force or fear during the prior inci</w:t>
      </w:r>
      <w:r w:rsidR="00A01AC7">
        <w:t xml:space="preserve">dent </w:t>
      </w:r>
      <w:r w:rsidR="00910EFA">
        <w:t xml:space="preserve">was </w:t>
      </w:r>
      <w:r w:rsidR="0055703D">
        <w:t xml:space="preserve">not </w:t>
      </w:r>
      <w:r w:rsidR="004F56DD">
        <w:t>crucial to establishing Herrera</w:t>
      </w:r>
      <w:r w:rsidR="00BF739B">
        <w:t xml:space="preserve"> knew </w:t>
      </w:r>
      <w:r w:rsidR="00E05726">
        <w:t>A.M.</w:t>
      </w:r>
      <w:r w:rsidR="00BF739B">
        <w:t xml:space="preserve"> intended to rob Sac </w:t>
      </w:r>
      <w:proofErr w:type="spellStart"/>
      <w:r w:rsidR="00BF739B">
        <w:t>Ajtzalam</w:t>
      </w:r>
      <w:proofErr w:type="spellEnd"/>
      <w:r w:rsidR="00BF739B">
        <w:t>.</w:t>
      </w:r>
      <w:r w:rsidR="00C10AC5">
        <w:t xml:space="preserve">  (</w:t>
      </w:r>
      <w:r w:rsidR="00C10AC5">
        <w:rPr>
          <w:i/>
          <w:iCs/>
        </w:rPr>
        <w:t>Anderson</w:t>
      </w:r>
      <w:r w:rsidR="00C10AC5">
        <w:t xml:space="preserve">, </w:t>
      </w:r>
      <w:r w:rsidR="00C10AC5">
        <w:rPr>
          <w:i/>
          <w:iCs/>
        </w:rPr>
        <w:t>supra</w:t>
      </w:r>
      <w:r w:rsidR="00C10AC5">
        <w:t>, 51</w:t>
      </w:r>
      <w:r w:rsidR="00D543C7">
        <w:t> </w:t>
      </w:r>
      <w:r w:rsidR="00C10AC5">
        <w:t xml:space="preserve">Cal.4th at p. 995.)  In short, </w:t>
      </w:r>
      <w:r w:rsidR="00B10DEB">
        <w:t>S.N.’s statement about being injured</w:t>
      </w:r>
      <w:r w:rsidR="002577C2">
        <w:t xml:space="preserve"> proved little about A.M.’s intent or, in turn, Herrera’s awareness </w:t>
      </w:r>
      <w:r w:rsidR="00B454F6">
        <w:t xml:space="preserve">of that intent.  </w:t>
      </w:r>
      <w:r w:rsidR="007A6FBB">
        <w:t xml:space="preserve">Thus, although we agree with Herrera that the evidence </w:t>
      </w:r>
      <w:r w:rsidR="00E94076">
        <w:t xml:space="preserve">of his </w:t>
      </w:r>
      <w:proofErr w:type="spellStart"/>
      <w:r w:rsidR="000339C1">
        <w:t>mens</w:t>
      </w:r>
      <w:proofErr w:type="spellEnd"/>
      <w:r w:rsidR="000339C1">
        <w:t xml:space="preserve"> rea</w:t>
      </w:r>
      <w:r w:rsidR="00E94076">
        <w:t xml:space="preserve"> was not overwhelming,</w:t>
      </w:r>
      <w:r w:rsidR="009E52CC">
        <w:t xml:space="preserve"> </w:t>
      </w:r>
      <w:r w:rsidR="00E05726">
        <w:t xml:space="preserve">any error in </w:t>
      </w:r>
      <w:r w:rsidR="003E3DBE">
        <w:t xml:space="preserve">the admission of </w:t>
      </w:r>
      <w:r w:rsidR="00AE5410">
        <w:t xml:space="preserve">S.N.’s </w:t>
      </w:r>
      <w:r w:rsidR="000339C1">
        <w:t xml:space="preserve">statement </w:t>
      </w:r>
      <w:r w:rsidR="003E3DBE">
        <w:t xml:space="preserve">was harmless beyond a reasonable doubt.  (See </w:t>
      </w:r>
      <w:r w:rsidR="003E3DBE" w:rsidRPr="001F03B5">
        <w:rPr>
          <w:i/>
          <w:iCs/>
        </w:rPr>
        <w:t>Chapman</w:t>
      </w:r>
      <w:r w:rsidR="00D543C7">
        <w:rPr>
          <w:i/>
          <w:iCs/>
        </w:rPr>
        <w:t> </w:t>
      </w:r>
      <w:r w:rsidR="003E3DBE" w:rsidRPr="001F03B5">
        <w:rPr>
          <w:i/>
          <w:iCs/>
        </w:rPr>
        <w:t xml:space="preserve">v. California </w:t>
      </w:r>
      <w:r w:rsidR="003E3DBE" w:rsidRPr="001F03B5">
        <w:t>(1967) 386</w:t>
      </w:r>
      <w:r w:rsidR="00D543C7">
        <w:t> </w:t>
      </w:r>
      <w:r w:rsidR="003E3DBE" w:rsidRPr="001F03B5">
        <w:t>U.S. 18</w:t>
      </w:r>
      <w:r w:rsidR="003E3DBE">
        <w:t xml:space="preserve">, 24; </w:t>
      </w:r>
      <w:r w:rsidR="003E3DBE">
        <w:rPr>
          <w:i/>
          <w:iCs/>
        </w:rPr>
        <w:t>Roberts</w:t>
      </w:r>
      <w:r w:rsidR="003E3DBE">
        <w:t xml:space="preserve">, </w:t>
      </w:r>
      <w:r w:rsidR="003E3DBE">
        <w:rPr>
          <w:i/>
          <w:iCs/>
        </w:rPr>
        <w:t>supra</w:t>
      </w:r>
      <w:r w:rsidR="003E3DBE">
        <w:t>, 65</w:t>
      </w:r>
      <w:r w:rsidR="00E05726">
        <w:t> </w:t>
      </w:r>
      <w:r w:rsidR="003E3DBE">
        <w:t xml:space="preserve">Cal.App.5th at pp. 478–479.) </w:t>
      </w:r>
      <w:r w:rsidR="00B454F6">
        <w:t xml:space="preserve"> </w:t>
      </w:r>
    </w:p>
    <w:p w14:paraId="52BA66E8" w14:textId="77777777" w:rsidR="00C57EB2" w:rsidRDefault="00456963" w:rsidP="00E72671">
      <w:pPr>
        <w:keepNext/>
        <w:spacing w:line="240" w:lineRule="auto"/>
        <w:rPr>
          <w:i/>
          <w:iCs/>
        </w:rPr>
      </w:pPr>
      <w:r>
        <w:tab/>
      </w:r>
      <w:r>
        <w:rPr>
          <w:i/>
          <w:iCs/>
        </w:rPr>
        <w:t>D.</w:t>
      </w:r>
      <w:r>
        <w:rPr>
          <w:i/>
          <w:iCs/>
        </w:rPr>
        <w:tab/>
      </w:r>
      <w:r w:rsidR="00C57EB2">
        <w:rPr>
          <w:i/>
          <w:iCs/>
        </w:rPr>
        <w:t xml:space="preserve">Herrera Is Not Entitled to Relief Based on the Trial Court’s </w:t>
      </w:r>
    </w:p>
    <w:p w14:paraId="41DBD70F" w14:textId="24AD87C3" w:rsidR="00456963" w:rsidRDefault="00C57EB2" w:rsidP="00E72671">
      <w:pPr>
        <w:keepNext/>
        <w:spacing w:line="240" w:lineRule="auto"/>
        <w:rPr>
          <w:i/>
          <w:iCs/>
        </w:rPr>
      </w:pPr>
      <w:r>
        <w:rPr>
          <w:i/>
          <w:iCs/>
        </w:rPr>
        <w:tab/>
      </w:r>
      <w:r>
        <w:rPr>
          <w:i/>
          <w:iCs/>
        </w:rPr>
        <w:tab/>
      </w:r>
      <w:r w:rsidR="00B04B14">
        <w:rPr>
          <w:i/>
          <w:iCs/>
        </w:rPr>
        <w:t xml:space="preserve">Failure to Suppress </w:t>
      </w:r>
      <w:r>
        <w:rPr>
          <w:i/>
          <w:iCs/>
        </w:rPr>
        <w:t xml:space="preserve">His </w:t>
      </w:r>
      <w:r w:rsidR="00B04B14">
        <w:rPr>
          <w:i/>
          <w:iCs/>
        </w:rPr>
        <w:t>Text Messages.</w:t>
      </w:r>
    </w:p>
    <w:p w14:paraId="59A479AE" w14:textId="35CA1C75" w:rsidR="00CA3DE2" w:rsidRDefault="002E291E" w:rsidP="00B04B14">
      <w:pPr>
        <w:spacing w:before="180" w:line="360" w:lineRule="auto"/>
      </w:pPr>
      <w:r>
        <w:tab/>
        <w:t xml:space="preserve">Herrera claims </w:t>
      </w:r>
      <w:r w:rsidR="00F97654">
        <w:t xml:space="preserve">the trial court erred by admitting text messages </w:t>
      </w:r>
      <w:r w:rsidR="00121399">
        <w:t>between him and</w:t>
      </w:r>
      <w:r w:rsidR="00F97654">
        <w:t xml:space="preserve"> his girlfriend, </w:t>
      </w:r>
      <w:r w:rsidR="00422370">
        <w:t xml:space="preserve">including the “Makin money” text, </w:t>
      </w:r>
      <w:r w:rsidR="00C57EB2">
        <w:t xml:space="preserve">because </w:t>
      </w:r>
      <w:r w:rsidR="007912AF">
        <w:t>a different judge originally suppressed them</w:t>
      </w:r>
      <w:r w:rsidR="00F97654">
        <w:t>.  We</w:t>
      </w:r>
      <w:r w:rsidR="00497C5E">
        <w:t xml:space="preserve"> conclude that any error was harmless.</w:t>
      </w:r>
    </w:p>
    <w:p w14:paraId="6BEF2505" w14:textId="0D64A739" w:rsidR="00F97654" w:rsidRDefault="00F97654" w:rsidP="006532C5">
      <w:pPr>
        <w:keepNext/>
        <w:spacing w:line="360" w:lineRule="auto"/>
      </w:pPr>
      <w:r>
        <w:lastRenderedPageBreak/>
        <w:tab/>
      </w:r>
      <w:r>
        <w:tab/>
        <w:t>1.</w:t>
      </w:r>
      <w:r>
        <w:tab/>
        <w:t>Additional facts</w:t>
      </w:r>
    </w:p>
    <w:p w14:paraId="0784E867" w14:textId="43ADA411" w:rsidR="00F97654" w:rsidRDefault="006C1B20" w:rsidP="002A070A">
      <w:pPr>
        <w:spacing w:line="360" w:lineRule="auto"/>
      </w:pPr>
      <w:r>
        <w:tab/>
      </w:r>
      <w:r w:rsidR="006E5AF2">
        <w:t>Herrera’s</w:t>
      </w:r>
      <w:r w:rsidR="00FD1ABB">
        <w:t xml:space="preserve"> cell phone was seized</w:t>
      </w:r>
      <w:r w:rsidR="006E5AF2">
        <w:t xml:space="preserve"> after his arrest</w:t>
      </w:r>
      <w:r w:rsidR="00FD1ABB">
        <w:t>,</w:t>
      </w:r>
      <w:r w:rsidR="00EB4628">
        <w:t xml:space="preserve"> </w:t>
      </w:r>
      <w:r w:rsidR="00C21B5F">
        <w:t xml:space="preserve">and </w:t>
      </w:r>
      <w:r w:rsidR="00DA3B95">
        <w:t xml:space="preserve">the police </w:t>
      </w:r>
      <w:r w:rsidR="00380D86">
        <w:t>obtained a</w:t>
      </w:r>
      <w:r w:rsidR="00DA3B95">
        <w:t xml:space="preserve"> warrant to search the phone’s contents. </w:t>
      </w:r>
      <w:r w:rsidR="009F1D17">
        <w:t xml:space="preserve"> </w:t>
      </w:r>
      <w:r w:rsidR="00C4037B">
        <w:t xml:space="preserve">Before trial, Herrera moved to </w:t>
      </w:r>
      <w:r w:rsidR="00AB4554">
        <w:t xml:space="preserve">quash </w:t>
      </w:r>
      <w:r w:rsidR="00577239">
        <w:t>and traverse the search warrant and suppress the cell</w:t>
      </w:r>
      <w:r w:rsidR="00470A69">
        <w:t>-</w:t>
      </w:r>
      <w:r w:rsidR="00577239">
        <w:t xml:space="preserve">phone data obtained </w:t>
      </w:r>
      <w:r w:rsidR="00F2539A">
        <w:t>from</w:t>
      </w:r>
      <w:r w:rsidR="00577239">
        <w:t xml:space="preserve"> the search. </w:t>
      </w:r>
      <w:r w:rsidR="00807A05">
        <w:t xml:space="preserve"> He argued that suppression was required under the Fourth Amendment</w:t>
      </w:r>
      <w:r w:rsidR="00B2210C">
        <w:t xml:space="preserve"> </w:t>
      </w:r>
      <w:r w:rsidR="00CA3DDF">
        <w:t xml:space="preserve">because </w:t>
      </w:r>
      <w:r w:rsidR="00C70655">
        <w:t>the warrant was overbroad</w:t>
      </w:r>
      <w:r w:rsidR="00B2210C">
        <w:t xml:space="preserve"> and </w:t>
      </w:r>
      <w:r w:rsidR="00C70655">
        <w:t>lacked probable cause</w:t>
      </w:r>
      <w:r w:rsidR="00B2210C">
        <w:t xml:space="preserve">. </w:t>
      </w:r>
    </w:p>
    <w:p w14:paraId="57A1E9D5" w14:textId="03ED6C35" w:rsidR="00CA3DE2" w:rsidRDefault="00C03BB9" w:rsidP="002A070A">
      <w:pPr>
        <w:spacing w:line="360" w:lineRule="auto"/>
      </w:pPr>
      <w:r>
        <w:tab/>
      </w:r>
      <w:r w:rsidR="00AC240B">
        <w:t>After briefing was complete, t</w:t>
      </w:r>
      <w:r>
        <w:t xml:space="preserve">he </w:t>
      </w:r>
      <w:r w:rsidR="00336983">
        <w:t xml:space="preserve">motion was heard </w:t>
      </w:r>
      <w:r w:rsidR="009F3988">
        <w:t>by Judge Harold Kahn,</w:t>
      </w:r>
      <w:r w:rsidR="00AC240B">
        <w:t xml:space="preserve"> who signed the warrant. </w:t>
      </w:r>
      <w:r w:rsidR="00C22FFD">
        <w:t xml:space="preserve"> On June</w:t>
      </w:r>
      <w:r w:rsidR="009F3988">
        <w:t> </w:t>
      </w:r>
      <w:r w:rsidR="00C22FFD">
        <w:t xml:space="preserve">7, 2021, </w:t>
      </w:r>
      <w:r w:rsidR="00A279BE">
        <w:t xml:space="preserve">while the trial court was conducting </w:t>
      </w:r>
      <w:r w:rsidR="00C22FFD">
        <w:t xml:space="preserve">jury selection, </w:t>
      </w:r>
      <w:r w:rsidR="009F3988">
        <w:t>Judge Kahn</w:t>
      </w:r>
      <w:r w:rsidR="00C22FFD">
        <w:t xml:space="preserve"> issued a written order granting the motion</w:t>
      </w:r>
      <w:r w:rsidR="00FB3724">
        <w:t xml:space="preserve"> and suppressing “all items obtained from the warrant</w:t>
      </w:r>
      <w:r w:rsidR="00C22FFD">
        <w:t>.</w:t>
      </w:r>
      <w:r w:rsidR="00FB3724">
        <w:t>”</w:t>
      </w:r>
      <w:r w:rsidR="00C22FFD">
        <w:t xml:space="preserve"> </w:t>
      </w:r>
      <w:r w:rsidR="00FB3724">
        <w:t xml:space="preserve"> </w:t>
      </w:r>
      <w:r w:rsidR="00200A70">
        <w:t>Judge Kahn</w:t>
      </w:r>
      <w:r w:rsidR="00FB3724">
        <w:t xml:space="preserve"> </w:t>
      </w:r>
      <w:r w:rsidR="00F95D1D">
        <w:t>determined</w:t>
      </w:r>
      <w:r w:rsidR="00FB3724">
        <w:t xml:space="preserve"> that </w:t>
      </w:r>
      <w:r w:rsidR="00200A70">
        <w:t xml:space="preserve">the affidavit accompanying the warrant supported searching for only (1) data showing Herrera’s location on the date of the murder; (2) communications between him and A.M. or Sac </w:t>
      </w:r>
      <w:proofErr w:type="spellStart"/>
      <w:r w:rsidR="00200A70">
        <w:t>Ajtzalam</w:t>
      </w:r>
      <w:proofErr w:type="spellEnd"/>
      <w:r w:rsidR="00200A70">
        <w:t xml:space="preserve"> for the two weeks preceding the murder; and (3) photographs of Herrera and A.M. together from 2016.  Yet the warrant “contained no limitation as to time or app,” meaning it </w:t>
      </w:r>
      <w:r w:rsidR="00103031">
        <w:t xml:space="preserve">was overbroad </w:t>
      </w:r>
      <w:r w:rsidR="00F863BB">
        <w:t>and lacked probable cause</w:t>
      </w:r>
      <w:r w:rsidR="00200A70">
        <w:t xml:space="preserve">. </w:t>
      </w:r>
    </w:p>
    <w:p w14:paraId="1688E1D5" w14:textId="158B38DC" w:rsidR="0064754A" w:rsidRDefault="0064754A" w:rsidP="002A070A">
      <w:pPr>
        <w:spacing w:line="360" w:lineRule="auto"/>
      </w:pPr>
      <w:r>
        <w:tab/>
      </w:r>
      <w:r w:rsidR="00481295">
        <w:t>Two days later, on June 9, t</w:t>
      </w:r>
      <w:r w:rsidR="00E96B47">
        <w:t xml:space="preserve">he police sought another warrant to search Herrera’s cell phone, which </w:t>
      </w:r>
      <w:r w:rsidR="00CE0355">
        <w:t>Judge Christine Van Aken</w:t>
      </w:r>
      <w:r w:rsidR="00E96B47">
        <w:t xml:space="preserve"> signed. </w:t>
      </w:r>
      <w:r w:rsidR="00BF7E84">
        <w:t xml:space="preserve"> </w:t>
      </w:r>
      <w:r w:rsidR="00E96B47">
        <w:t xml:space="preserve">This </w:t>
      </w:r>
      <w:r w:rsidR="00481295">
        <w:t xml:space="preserve">warrant limited the data to be searched to that </w:t>
      </w:r>
      <w:r w:rsidR="00480E5E">
        <w:t xml:space="preserve">between two days before the murder and one day after the murder. </w:t>
      </w:r>
      <w:r w:rsidR="006859EE">
        <w:t xml:space="preserve"> </w:t>
      </w:r>
      <w:r w:rsidR="00C97B55">
        <w:t xml:space="preserve">Herrera immediately filed a petition to </w:t>
      </w:r>
      <w:r w:rsidR="009F79C8">
        <w:t>stay execution of the</w:t>
      </w:r>
      <w:r w:rsidR="002F57BB">
        <w:t xml:space="preserve"> June 9</w:t>
      </w:r>
      <w:r w:rsidR="009F79C8">
        <w:t xml:space="preserve"> warrant. </w:t>
      </w:r>
      <w:r w:rsidR="0047557F">
        <w:t xml:space="preserve"> </w:t>
      </w:r>
      <w:r w:rsidR="002F57BB">
        <w:t>He also filed a motion to void the warrant</w:t>
      </w:r>
      <w:r w:rsidR="00F33928">
        <w:t xml:space="preserve">, arguing that </w:t>
      </w:r>
      <w:r w:rsidR="00F12633">
        <w:t xml:space="preserve">the People should have sought appellate review of </w:t>
      </w:r>
      <w:r w:rsidR="00535ED8">
        <w:t>Judge Kahn’s</w:t>
      </w:r>
      <w:r w:rsidR="00F12633">
        <w:t xml:space="preserve"> order quashing the original warrant, </w:t>
      </w:r>
      <w:r w:rsidR="00861398">
        <w:t>Judge Van A</w:t>
      </w:r>
      <w:r w:rsidR="00535ED8">
        <w:t>ken</w:t>
      </w:r>
      <w:r w:rsidR="00F12633">
        <w:t xml:space="preserve"> could not overrule </w:t>
      </w:r>
      <w:r w:rsidR="00361EFC">
        <w:t>th</w:t>
      </w:r>
      <w:r w:rsidR="00234189">
        <w:t xml:space="preserve">at </w:t>
      </w:r>
      <w:r w:rsidR="00E872D2">
        <w:t>order</w:t>
      </w:r>
      <w:r w:rsidR="00361EFC">
        <w:t xml:space="preserve">, and the </w:t>
      </w:r>
      <w:r w:rsidR="00AB18A4">
        <w:t>affidavit supporting the warrant was tainted by illegally obtained evidence.</w:t>
      </w:r>
      <w:r w:rsidR="00361EFC">
        <w:t xml:space="preserve"> </w:t>
      </w:r>
      <w:r w:rsidR="00E269E3">
        <w:t xml:space="preserve"> </w:t>
      </w:r>
      <w:r w:rsidR="00C768C4">
        <w:t xml:space="preserve">The People </w:t>
      </w:r>
      <w:r w:rsidR="00AA5F33">
        <w:t>responded that</w:t>
      </w:r>
      <w:r w:rsidR="004A1EF0">
        <w:t xml:space="preserve"> they did not seek to challenge </w:t>
      </w:r>
      <w:r w:rsidR="004A6BAF">
        <w:t>Judge Kahn’s</w:t>
      </w:r>
      <w:r w:rsidR="00E872D2">
        <w:t xml:space="preserve"> order, </w:t>
      </w:r>
      <w:r w:rsidR="00AF568C">
        <w:t>Judge Van Aken</w:t>
      </w:r>
      <w:r w:rsidR="00E872D2">
        <w:t xml:space="preserve"> did not overrule that order, and </w:t>
      </w:r>
      <w:r w:rsidR="00C2450E">
        <w:t xml:space="preserve">the </w:t>
      </w:r>
      <w:r w:rsidR="00C2450E">
        <w:lastRenderedPageBreak/>
        <w:t xml:space="preserve">affidavit supporting the </w:t>
      </w:r>
      <w:r w:rsidR="00AF568C">
        <w:t>June 9</w:t>
      </w:r>
      <w:r w:rsidR="00C2450E">
        <w:t xml:space="preserve"> warrant did not rely on any evidence </w:t>
      </w:r>
      <w:r w:rsidR="001B00A3">
        <w:t>obtained from the original cell</w:t>
      </w:r>
      <w:r w:rsidR="00AA5F33">
        <w:t>-</w:t>
      </w:r>
      <w:r w:rsidR="001B00A3">
        <w:t xml:space="preserve">phone search. </w:t>
      </w:r>
    </w:p>
    <w:p w14:paraId="64474431" w14:textId="676788CA" w:rsidR="002F57BB" w:rsidRDefault="002F57BB" w:rsidP="002A070A">
      <w:pPr>
        <w:spacing w:line="360" w:lineRule="auto"/>
      </w:pPr>
      <w:r>
        <w:tab/>
      </w:r>
      <w:r w:rsidR="003F5675">
        <w:t xml:space="preserve">In a written order, </w:t>
      </w:r>
      <w:r w:rsidR="00AF568C">
        <w:t>Judge Van Aken</w:t>
      </w:r>
      <w:r w:rsidR="001E2C0A">
        <w:t xml:space="preserve"> denied Herrera’s </w:t>
      </w:r>
      <w:r w:rsidR="00744F98">
        <w:t xml:space="preserve">requests to stay or void the </w:t>
      </w:r>
      <w:r w:rsidR="00935C40">
        <w:t xml:space="preserve">June 9 </w:t>
      </w:r>
      <w:r w:rsidR="00744F98">
        <w:t>warrant</w:t>
      </w:r>
      <w:r w:rsidR="001E2C0A">
        <w:t xml:space="preserve">.  </w:t>
      </w:r>
      <w:r w:rsidR="00935C40">
        <w:t>She</w:t>
      </w:r>
      <w:r w:rsidR="00894309">
        <w:t xml:space="preserve"> concluded the </w:t>
      </w:r>
      <w:r w:rsidR="00C51658">
        <w:t>warrant did not “</w:t>
      </w:r>
      <w:proofErr w:type="gramStart"/>
      <w:r w:rsidR="00C51658">
        <w:t>amount[</w:t>
      </w:r>
      <w:proofErr w:type="gramEnd"/>
      <w:r w:rsidR="00C51658">
        <w:t xml:space="preserve">] to an improper request for reconsideration” of </w:t>
      </w:r>
      <w:r w:rsidR="00935C40">
        <w:t>Judge Kahn’s</w:t>
      </w:r>
      <w:r w:rsidR="00C51658">
        <w:t xml:space="preserve"> order quashing the original warrant.  The </w:t>
      </w:r>
      <w:r w:rsidR="004A576A">
        <w:t xml:space="preserve">new warrant “provided a different statement of probable cause” that, while containing “many” of the same facts, </w:t>
      </w:r>
      <w:r w:rsidR="00122910">
        <w:t xml:space="preserve">included new information </w:t>
      </w:r>
      <w:r w:rsidR="00AC3679">
        <w:t xml:space="preserve">about “a jailhouse </w:t>
      </w:r>
      <w:r w:rsidR="00394215">
        <w:t xml:space="preserve">phone </w:t>
      </w:r>
      <w:r w:rsidR="00AC3679">
        <w:t xml:space="preserve">conversation between [Herrera] and [his girlfriend] which gave rise to a fair inference that </w:t>
      </w:r>
      <w:r w:rsidR="0000797F">
        <w:t>[Herrera] had previously used his cell phone to communicate with the associate about his plans with [A.M.] shortly before the crime alleged here.”</w:t>
      </w:r>
      <w:r w:rsidR="0000797F">
        <w:rPr>
          <w:rStyle w:val="FootnoteReference"/>
        </w:rPr>
        <w:footnoteReference w:id="12"/>
      </w:r>
      <w:r w:rsidR="0000797F">
        <w:t xml:space="preserve"> </w:t>
      </w:r>
      <w:r w:rsidR="00744F98">
        <w:t xml:space="preserve"> The order </w:t>
      </w:r>
      <w:r w:rsidR="00C57537">
        <w:t>found</w:t>
      </w:r>
      <w:r w:rsidR="00744F98">
        <w:t xml:space="preserve"> “nothing untoward </w:t>
      </w:r>
      <w:r w:rsidR="00AF3F75">
        <w:t>. . .</w:t>
      </w:r>
      <w:r w:rsidR="00744F98">
        <w:t xml:space="preserve"> in the government’s </w:t>
      </w:r>
      <w:r w:rsidR="00C57537">
        <w:t>request for a new warrant that attempted in good faith to cure the defects of the prior warrant by significantly narrowing its scope</w:t>
      </w:r>
      <w:r w:rsidR="00752A27">
        <w:t xml:space="preserve"> </w:t>
      </w:r>
      <w:r w:rsidR="00AF3F75">
        <w:t>. . .</w:t>
      </w:r>
      <w:r w:rsidR="00752A27">
        <w:t xml:space="preserve"> [and]</w:t>
      </w:r>
      <w:r w:rsidR="00C57537">
        <w:t xml:space="preserve"> </w:t>
      </w:r>
      <w:proofErr w:type="spellStart"/>
      <w:r w:rsidR="00C57537">
        <w:t>provid</w:t>
      </w:r>
      <w:proofErr w:type="spellEnd"/>
      <w:r w:rsidR="00C57537">
        <w:t>[</w:t>
      </w:r>
      <w:proofErr w:type="spellStart"/>
      <w:r w:rsidR="00C57537">
        <w:t>ing</w:t>
      </w:r>
      <w:proofErr w:type="spellEnd"/>
      <w:r w:rsidR="00C57537">
        <w:t>] additional facts to support probable cause</w:t>
      </w:r>
      <w:r w:rsidR="002F03F3">
        <w:t xml:space="preserve"> </w:t>
      </w:r>
      <w:r w:rsidR="00AF3F75">
        <w:t>. . .</w:t>
      </w:r>
      <w:r w:rsidR="002F03F3">
        <w:t xml:space="preserve"> ; candidly informed [</w:t>
      </w:r>
      <w:r w:rsidR="00DA1860">
        <w:t>her</w:t>
      </w:r>
      <w:r w:rsidR="002F03F3">
        <w:t xml:space="preserve">] of the prior warrant and </w:t>
      </w:r>
      <w:r w:rsidR="00DA1860">
        <w:t xml:space="preserve">Judge Kahn’s </w:t>
      </w:r>
      <w:r w:rsidR="002F03F3">
        <w:t>order [</w:t>
      </w:r>
      <w:r w:rsidR="00FE4698">
        <w:t xml:space="preserve">quashing it]; and did not describe any fruits of the prior, quashed warrant in the probable cause statement.”  </w:t>
      </w:r>
      <w:r w:rsidR="007938F5">
        <w:t>Judge Van Aken</w:t>
      </w:r>
      <w:r w:rsidR="00B06A12">
        <w:t xml:space="preserve"> did not rule on whether the newly </w:t>
      </w:r>
      <w:r w:rsidR="00CE013B">
        <w:t>seized cell</w:t>
      </w:r>
      <w:r w:rsidR="00470A69">
        <w:t>-</w:t>
      </w:r>
      <w:r w:rsidR="00CE013B">
        <w:t xml:space="preserve">phone data “may be used at trial.” </w:t>
      </w:r>
    </w:p>
    <w:p w14:paraId="09450F96" w14:textId="7B194433" w:rsidR="002F57BB" w:rsidRDefault="00CE013B" w:rsidP="002A070A">
      <w:pPr>
        <w:spacing w:line="360" w:lineRule="auto"/>
      </w:pPr>
      <w:r>
        <w:tab/>
      </w:r>
      <w:r w:rsidR="0087675D">
        <w:t xml:space="preserve">Ten days later, </w:t>
      </w:r>
      <w:r w:rsidR="002F14A2">
        <w:t xml:space="preserve">Herrera filed another motion to quash the warrant and suppress the evidence derived from it. </w:t>
      </w:r>
      <w:r w:rsidR="0041033F">
        <w:t xml:space="preserve"> He argued that the </w:t>
      </w:r>
      <w:r w:rsidR="007938F5">
        <w:t>Judge Kahn’s order</w:t>
      </w:r>
      <w:r w:rsidR="0041033F">
        <w:t xml:space="preserve"> quashing the original warrant was </w:t>
      </w:r>
      <w:r w:rsidR="009F2F9E">
        <w:t>res judicata, it was “obvious” the new warrant was obtained based on illegally obtained cell</w:t>
      </w:r>
      <w:r w:rsidR="00470A69">
        <w:t>-</w:t>
      </w:r>
      <w:r w:rsidR="009F2F9E">
        <w:t>phone data,</w:t>
      </w:r>
      <w:r w:rsidR="00B211BD">
        <w:t xml:space="preserve"> and</w:t>
      </w:r>
      <w:r w:rsidR="009F2F9E">
        <w:t xml:space="preserve"> the warrant</w:t>
      </w:r>
      <w:r w:rsidR="004447E8">
        <w:t xml:space="preserve"> lacked particularity and was overbroad. </w:t>
      </w:r>
    </w:p>
    <w:p w14:paraId="77DE9F07" w14:textId="1910FC22" w:rsidR="00D302A9" w:rsidRDefault="00C93EBC" w:rsidP="002A070A">
      <w:pPr>
        <w:spacing w:line="360" w:lineRule="auto"/>
      </w:pPr>
      <w:r>
        <w:tab/>
      </w:r>
      <w:r w:rsidR="00F971B7">
        <w:t xml:space="preserve">The trial </w:t>
      </w:r>
      <w:r w:rsidR="008C3C8D">
        <w:t>court</w:t>
      </w:r>
      <w:r w:rsidR="002E518C">
        <w:t xml:space="preserve"> </w:t>
      </w:r>
      <w:r w:rsidR="00043C3E">
        <w:t xml:space="preserve">orally </w:t>
      </w:r>
      <w:r w:rsidR="00637E70">
        <w:t xml:space="preserve">denied the motion to quash. </w:t>
      </w:r>
      <w:r w:rsidR="00842B3B">
        <w:t xml:space="preserve"> </w:t>
      </w:r>
      <w:r w:rsidR="008C3C8D">
        <w:t xml:space="preserve">The court agreed with </w:t>
      </w:r>
      <w:r w:rsidR="007938F5">
        <w:t>Judge Van Aken</w:t>
      </w:r>
      <w:r w:rsidR="00B84E75">
        <w:t>’s ruling that “</w:t>
      </w:r>
      <w:r w:rsidR="00301D70">
        <w:t>the</w:t>
      </w:r>
      <w:r w:rsidR="00B84E75">
        <w:t xml:space="preserve"> government’s </w:t>
      </w:r>
      <w:r w:rsidR="00301D70">
        <w:t>actions in seeking a second warrant” did not “</w:t>
      </w:r>
      <w:proofErr w:type="gramStart"/>
      <w:r w:rsidR="00301D70">
        <w:t>amount[</w:t>
      </w:r>
      <w:proofErr w:type="gramEnd"/>
      <w:r w:rsidR="00301D70">
        <w:t xml:space="preserve">] to an improper request for a </w:t>
      </w:r>
      <w:r w:rsidR="00301D70">
        <w:lastRenderedPageBreak/>
        <w:t xml:space="preserve">reconsideration of the [June 7] order” quashing the original warrant. </w:t>
      </w:r>
      <w:r w:rsidR="00D53565">
        <w:t xml:space="preserve"> The court then held that </w:t>
      </w:r>
      <w:r w:rsidR="00CB0A59">
        <w:t>there was probable cause for the new warrant because it was narrowed by date</w:t>
      </w:r>
      <w:r w:rsidR="00A16EAA">
        <w:t>;</w:t>
      </w:r>
      <w:r w:rsidR="00CB0A59">
        <w:t xml:space="preserve"> </w:t>
      </w:r>
      <w:r w:rsidR="00A16EAA">
        <w:t xml:space="preserve">the supporting affidavit </w:t>
      </w:r>
      <w:r w:rsidR="00CB0A59">
        <w:t>relied on new evidence, the jailhouse call</w:t>
      </w:r>
      <w:r w:rsidR="00A16EAA">
        <w:t>; and the affidavit “did not con</w:t>
      </w:r>
      <w:r w:rsidR="00746871">
        <w:t xml:space="preserve">tain any evidence obtained from the voided first warrant.” </w:t>
      </w:r>
      <w:r w:rsidR="00E13D22">
        <w:t xml:space="preserve"> </w:t>
      </w:r>
      <w:r w:rsidR="00924619">
        <w:t>Ultimately, a</w:t>
      </w:r>
      <w:r w:rsidR="00690031">
        <w:t xml:space="preserve"> one-page </w:t>
      </w:r>
      <w:r w:rsidR="00C457D2">
        <w:t xml:space="preserve">excerpt of the text messages between Herrera and his girlfriend </w:t>
      </w:r>
      <w:r w:rsidR="004774CA">
        <w:t>on the night of the murder</w:t>
      </w:r>
      <w:r w:rsidR="00924619">
        <w:t>, including the “Makin money” text,</w:t>
      </w:r>
      <w:r w:rsidR="004774CA">
        <w:t xml:space="preserve"> </w:t>
      </w:r>
      <w:r w:rsidR="00C457D2">
        <w:t xml:space="preserve">was admitted. </w:t>
      </w:r>
      <w:r w:rsidR="004C1EA4">
        <w:t xml:space="preserve"> </w:t>
      </w:r>
    </w:p>
    <w:p w14:paraId="09B9E349" w14:textId="4C186C59" w:rsidR="00F42AAB" w:rsidRDefault="00F42AAB" w:rsidP="002A070A">
      <w:pPr>
        <w:spacing w:line="360" w:lineRule="auto"/>
      </w:pPr>
      <w:r>
        <w:tab/>
      </w:r>
      <w:r>
        <w:tab/>
        <w:t>2.</w:t>
      </w:r>
      <w:r>
        <w:tab/>
        <w:t>Analysis</w:t>
      </w:r>
    </w:p>
    <w:p w14:paraId="2B46C3CE" w14:textId="11E4AC94" w:rsidR="00A52C96" w:rsidRDefault="00F42AAB" w:rsidP="002A070A">
      <w:pPr>
        <w:spacing w:line="360" w:lineRule="auto"/>
      </w:pPr>
      <w:r>
        <w:tab/>
        <w:t xml:space="preserve">Herrera </w:t>
      </w:r>
      <w:r w:rsidR="00D20F7E">
        <w:t xml:space="preserve">claims the trial court was required </w:t>
      </w:r>
      <w:r w:rsidR="00A52C96">
        <w:t xml:space="preserve">to suppress the text messages based </w:t>
      </w:r>
      <w:r w:rsidR="00B211BD">
        <w:t>on Judge Kahn’s</w:t>
      </w:r>
      <w:r w:rsidR="00DC2F0E">
        <w:t xml:space="preserve"> quashing</w:t>
      </w:r>
      <w:r w:rsidR="00B211BD">
        <w:t xml:space="preserve"> of</w:t>
      </w:r>
      <w:r w:rsidR="00DC2F0E">
        <w:t xml:space="preserve"> the original </w:t>
      </w:r>
      <w:r w:rsidR="00437792">
        <w:t>warrant</w:t>
      </w:r>
      <w:r w:rsidR="00A52C96">
        <w:t xml:space="preserve">. </w:t>
      </w:r>
      <w:r w:rsidR="005932FE">
        <w:t xml:space="preserve"> Alternatively, </w:t>
      </w:r>
      <w:r w:rsidR="00C26E36">
        <w:t xml:space="preserve">he </w:t>
      </w:r>
      <w:r w:rsidR="005932FE">
        <w:t>claims the new w</w:t>
      </w:r>
      <w:r w:rsidR="00B4271F">
        <w:t xml:space="preserve">arrant was overbroad. </w:t>
      </w:r>
      <w:r w:rsidR="00C26E36">
        <w:t xml:space="preserve"> We need not address these contentions because we conclude that any error was harmless.</w:t>
      </w:r>
    </w:p>
    <w:p w14:paraId="29290C64" w14:textId="0840F15B" w:rsidR="00F42AAB" w:rsidRDefault="007A3EAE" w:rsidP="002A070A">
      <w:pPr>
        <w:spacing w:line="360" w:lineRule="auto"/>
      </w:pPr>
      <w:r>
        <w:tab/>
      </w:r>
      <w:r w:rsidR="00416AFE">
        <w:t xml:space="preserve">The Fourth Amendment </w:t>
      </w:r>
      <w:r w:rsidR="00C85B4F">
        <w:t xml:space="preserve">prohibits </w:t>
      </w:r>
      <w:r w:rsidR="00D70C5F">
        <w:t>unreasonable searches and seizures</w:t>
      </w:r>
      <w:r w:rsidR="0050753F">
        <w:t xml:space="preserve"> and requires warrants to be issued “upon probable cause, supported by Oath or affirmation, and particularly describing the place to be searched, and the persons or things to be seized.”  (U.S. Const., 4th Amend.; </w:t>
      </w:r>
      <w:r w:rsidR="0050753F">
        <w:rPr>
          <w:i/>
          <w:iCs/>
        </w:rPr>
        <w:t>People</w:t>
      </w:r>
      <w:r w:rsidR="00AF3F75">
        <w:rPr>
          <w:i/>
          <w:iCs/>
        </w:rPr>
        <w:t> </w:t>
      </w:r>
      <w:r w:rsidR="0050753F">
        <w:rPr>
          <w:i/>
          <w:iCs/>
        </w:rPr>
        <w:t>v. Fayed</w:t>
      </w:r>
      <w:r w:rsidR="0050753F">
        <w:t xml:space="preserve"> (</w:t>
      </w:r>
      <w:r w:rsidR="00CB7F5D">
        <w:t>2020) 9</w:t>
      </w:r>
      <w:r w:rsidR="00AF3F75">
        <w:t> </w:t>
      </w:r>
      <w:r w:rsidR="00CB7F5D">
        <w:t xml:space="preserve">Cal.5th 147, 182; </w:t>
      </w:r>
      <w:r w:rsidR="00CB7F5D">
        <w:rPr>
          <w:i/>
          <w:iCs/>
        </w:rPr>
        <w:t>People</w:t>
      </w:r>
      <w:r w:rsidR="00AF3F75">
        <w:rPr>
          <w:i/>
          <w:iCs/>
        </w:rPr>
        <w:t> </w:t>
      </w:r>
      <w:r w:rsidR="00CB7F5D">
        <w:rPr>
          <w:i/>
          <w:iCs/>
        </w:rPr>
        <w:t>v. Meza</w:t>
      </w:r>
      <w:r w:rsidR="00CB7F5D">
        <w:t xml:space="preserve"> (</w:t>
      </w:r>
      <w:r w:rsidR="00823146">
        <w:t>2023) 90</w:t>
      </w:r>
      <w:r w:rsidR="00AF3F75">
        <w:t> </w:t>
      </w:r>
      <w:r w:rsidR="00823146">
        <w:t>Cal.App.5th 520, 534.)  “A search is presumptively reasonable, and thus in compliance with the Fourth Amendment, if supported by a</w:t>
      </w:r>
      <w:r w:rsidR="00072ADE">
        <w:t xml:space="preserve"> [valid] warrant</w:t>
      </w:r>
      <w:r w:rsidR="00823146">
        <w:t>.”  (</w:t>
      </w:r>
      <w:r w:rsidR="00823146">
        <w:rPr>
          <w:i/>
          <w:iCs/>
        </w:rPr>
        <w:t>Meza</w:t>
      </w:r>
      <w:r w:rsidR="00823146">
        <w:t>, at p.</w:t>
      </w:r>
      <w:r w:rsidR="00AF3F75">
        <w:t> </w:t>
      </w:r>
      <w:r w:rsidR="00823146">
        <w:t>534.)</w:t>
      </w:r>
      <w:r w:rsidR="00B73274">
        <w:t xml:space="preserve">  To determine whether a warrant is valid, a court must “examine three main factors:  probable cause, </w:t>
      </w:r>
      <w:proofErr w:type="gramStart"/>
      <w:r w:rsidR="00B73274">
        <w:t>particularity[</w:t>
      </w:r>
      <w:proofErr w:type="gramEnd"/>
      <w:r w:rsidR="00B73274">
        <w:t>,] and overbreadth.”  (</w:t>
      </w:r>
      <w:r w:rsidR="00072ADE">
        <w:rPr>
          <w:i/>
          <w:iCs/>
        </w:rPr>
        <w:t xml:space="preserve">Id. </w:t>
      </w:r>
      <w:r w:rsidR="00072ADE">
        <w:t>at p.</w:t>
      </w:r>
      <w:r w:rsidR="00572A21">
        <w:t> </w:t>
      </w:r>
      <w:r w:rsidR="00072ADE">
        <w:t xml:space="preserve">535.)  Probable cause </w:t>
      </w:r>
      <w:r w:rsidR="00CE7BA3">
        <w:t>involves</w:t>
      </w:r>
      <w:r w:rsidR="00072ADE">
        <w:t xml:space="preserve"> whether there</w:t>
      </w:r>
      <w:r w:rsidR="00470A69">
        <w:t xml:space="preserve"> i</w:t>
      </w:r>
      <w:r w:rsidR="00072ADE">
        <w:t xml:space="preserve">s </w:t>
      </w:r>
      <w:proofErr w:type="gramStart"/>
      <w:r w:rsidR="00072ADE">
        <w:t>“</w:t>
      </w:r>
      <w:r w:rsidR="00572A21">
        <w:t> </w:t>
      </w:r>
      <w:r w:rsidR="00072ADE">
        <w:t>‘</w:t>
      </w:r>
      <w:proofErr w:type="gramEnd"/>
      <w:r w:rsidR="00572A21">
        <w:t> </w:t>
      </w:r>
      <w:r w:rsidR="00CE7BA3">
        <w:t>“</w:t>
      </w:r>
      <w:r w:rsidR="00072ADE">
        <w:t>a s</w:t>
      </w:r>
      <w:r w:rsidR="00CE7BA3">
        <w:t>ubstantial basis for concluding a fair probability exist</w:t>
      </w:r>
      <w:r w:rsidR="00470A69">
        <w:t>[s]</w:t>
      </w:r>
      <w:r w:rsidR="00CE7BA3">
        <w:t xml:space="preserve"> that a search would uncover wrongdoing” ’</w:t>
      </w:r>
      <w:r w:rsidR="00572A21">
        <w:t> </w:t>
      </w:r>
      <w:r w:rsidR="00CE7BA3">
        <w:t>”; particularity involves whether the warrant “</w:t>
      </w:r>
      <w:r w:rsidR="00572A21">
        <w:t> </w:t>
      </w:r>
      <w:r w:rsidR="00CE7BA3">
        <w:t>‘clearly state[s] what is sought’</w:t>
      </w:r>
      <w:r w:rsidR="00572A21">
        <w:t> </w:t>
      </w:r>
      <w:r w:rsidR="00CE7BA3">
        <w:t xml:space="preserve">”; and overbreadth involves whether </w:t>
      </w:r>
      <w:r w:rsidR="00A96260">
        <w:t>“</w:t>
      </w:r>
      <w:r w:rsidR="00572A21">
        <w:t> </w:t>
      </w:r>
      <w:r w:rsidR="00A96260">
        <w:t>‘the scope of the warrant [is] limited by the probable cause on which the warrant is based.’</w:t>
      </w:r>
      <w:r w:rsidR="00E77009">
        <w:t> </w:t>
      </w:r>
      <w:r w:rsidR="00A96260">
        <w:t>”  (</w:t>
      </w:r>
      <w:r w:rsidR="00A96260">
        <w:rPr>
          <w:i/>
          <w:iCs/>
        </w:rPr>
        <w:t>I</w:t>
      </w:r>
      <w:r w:rsidR="009F6CEA">
        <w:rPr>
          <w:i/>
          <w:iCs/>
        </w:rPr>
        <w:t>bid.</w:t>
      </w:r>
      <w:r w:rsidR="009F6CEA">
        <w:t>)</w:t>
      </w:r>
      <w:r w:rsidR="00214AF5">
        <w:t xml:space="preserve"> </w:t>
      </w:r>
    </w:p>
    <w:p w14:paraId="6E78CFE6" w14:textId="6AC861B8" w:rsidR="00723B7E" w:rsidRDefault="00723B7E" w:rsidP="002A070A">
      <w:pPr>
        <w:spacing w:line="360" w:lineRule="auto"/>
      </w:pPr>
      <w:r>
        <w:lastRenderedPageBreak/>
        <w:tab/>
      </w:r>
      <w:r w:rsidR="0063538C">
        <w:t xml:space="preserve">We independently review whether </w:t>
      </w:r>
      <w:r w:rsidR="009D010E">
        <w:t>a search or seizure violated the Fourth Amendment.  (</w:t>
      </w:r>
      <w:r w:rsidR="009D010E">
        <w:rPr>
          <w:i/>
          <w:iCs/>
        </w:rPr>
        <w:t>People</w:t>
      </w:r>
      <w:r w:rsidR="00E77009">
        <w:rPr>
          <w:i/>
          <w:iCs/>
        </w:rPr>
        <w:t> </w:t>
      </w:r>
      <w:r w:rsidR="009D010E">
        <w:rPr>
          <w:i/>
          <w:iCs/>
        </w:rPr>
        <w:t>v. Meza</w:t>
      </w:r>
      <w:r w:rsidR="009D010E">
        <w:t xml:space="preserve">, </w:t>
      </w:r>
      <w:r w:rsidR="009D010E">
        <w:rPr>
          <w:i/>
          <w:iCs/>
        </w:rPr>
        <w:t>supra</w:t>
      </w:r>
      <w:r w:rsidR="009D010E">
        <w:t>, 90</w:t>
      </w:r>
      <w:r w:rsidR="00E77009">
        <w:t> </w:t>
      </w:r>
      <w:r w:rsidR="009D010E">
        <w:t>Cal.App.5th at p.</w:t>
      </w:r>
      <w:r w:rsidR="00E77009">
        <w:t> </w:t>
      </w:r>
      <w:r w:rsidR="009D010E">
        <w:t>536.</w:t>
      </w:r>
      <w:r w:rsidR="00502674">
        <w:t>)</w:t>
      </w:r>
      <w:r w:rsidR="00DE3EE7">
        <w:t xml:space="preserve">  If “an error is of constitutional dimension, we excuse it as harmless only if we are persuaded beyond a reasonable doubt that it did not contribute to the guilty verdicts.”  (</w:t>
      </w:r>
      <w:r w:rsidR="00DE3EE7">
        <w:rPr>
          <w:i/>
          <w:iCs/>
        </w:rPr>
        <w:t>People</w:t>
      </w:r>
      <w:r w:rsidR="00E77009">
        <w:rPr>
          <w:i/>
          <w:iCs/>
        </w:rPr>
        <w:t> </w:t>
      </w:r>
      <w:r w:rsidR="00DE3EE7">
        <w:rPr>
          <w:i/>
          <w:iCs/>
        </w:rPr>
        <w:t>v. Meza</w:t>
      </w:r>
      <w:r w:rsidR="00DE3EE7">
        <w:t xml:space="preserve"> (2018) 23</w:t>
      </w:r>
      <w:r w:rsidR="00E77009">
        <w:t> </w:t>
      </w:r>
      <w:r w:rsidR="00DE3EE7">
        <w:t xml:space="preserve">Cal.App.5th 604, </w:t>
      </w:r>
      <w:r w:rsidR="004E56DB">
        <w:t>612</w:t>
      </w:r>
      <w:r w:rsidR="00FA77A7">
        <w:t xml:space="preserve">; </w:t>
      </w:r>
      <w:r w:rsidR="00FA77A7" w:rsidRPr="00FA77A7">
        <w:rPr>
          <w:i/>
          <w:iCs/>
        </w:rPr>
        <w:t>Chapman</w:t>
      </w:r>
      <w:r w:rsidR="00E77009">
        <w:rPr>
          <w:i/>
          <w:iCs/>
        </w:rPr>
        <w:t> </w:t>
      </w:r>
      <w:r w:rsidR="00FA77A7" w:rsidRPr="00FA77A7">
        <w:rPr>
          <w:i/>
          <w:iCs/>
        </w:rPr>
        <w:t>v. California</w:t>
      </w:r>
      <w:r w:rsidR="005A3BBD">
        <w:t xml:space="preserve">, </w:t>
      </w:r>
      <w:r w:rsidR="005A3BBD">
        <w:rPr>
          <w:i/>
          <w:iCs/>
        </w:rPr>
        <w:t>supra</w:t>
      </w:r>
      <w:r w:rsidR="005A3BBD">
        <w:t>,</w:t>
      </w:r>
      <w:r w:rsidR="005A3BBD">
        <w:rPr>
          <w:i/>
          <w:iCs/>
        </w:rPr>
        <w:t xml:space="preserve"> </w:t>
      </w:r>
      <w:r w:rsidR="00FA77A7" w:rsidRPr="00FA77A7">
        <w:t xml:space="preserve">386 U.S. </w:t>
      </w:r>
      <w:r w:rsidR="005A3BBD">
        <w:t>at p.</w:t>
      </w:r>
      <w:r w:rsidR="00E77009">
        <w:t> </w:t>
      </w:r>
      <w:r w:rsidR="00FA77A7" w:rsidRPr="00FA77A7">
        <w:t>24.)</w:t>
      </w:r>
      <w:r w:rsidR="009D010E" w:rsidRPr="00FA77A7">
        <w:t xml:space="preserve">  </w:t>
      </w:r>
    </w:p>
    <w:p w14:paraId="2558E5D9" w14:textId="22E21C31" w:rsidR="00C84F23" w:rsidRDefault="00FA77A7" w:rsidP="000523D8">
      <w:pPr>
        <w:spacing w:line="360" w:lineRule="auto"/>
      </w:pPr>
      <w:r>
        <w:tab/>
      </w:r>
      <w:r w:rsidR="002C43C5">
        <w:t xml:space="preserve">Herrera argues that </w:t>
      </w:r>
      <w:r w:rsidR="00470A69">
        <w:t xml:space="preserve">the </w:t>
      </w:r>
      <w:r w:rsidR="00804008">
        <w:t xml:space="preserve">admission of the </w:t>
      </w:r>
      <w:r w:rsidR="008230E2">
        <w:t>text messages was prejudicial</w:t>
      </w:r>
      <w:r w:rsidR="00F97731">
        <w:t xml:space="preserve"> under this standard</w:t>
      </w:r>
      <w:r w:rsidR="008230E2">
        <w:t xml:space="preserve"> because </w:t>
      </w:r>
      <w:r w:rsidR="00F97731">
        <w:t xml:space="preserve">they “may have influenced at least one juror to find that [his] purpose in accompanying [A.M.] was criminally motivated.” </w:t>
      </w:r>
      <w:r w:rsidR="008230E2">
        <w:t xml:space="preserve"> </w:t>
      </w:r>
      <w:r w:rsidR="00EE1E77">
        <w:t>T</w:t>
      </w:r>
      <w:r w:rsidR="00DE18D2">
        <w:t>he Attorney General</w:t>
      </w:r>
      <w:r w:rsidR="00EE1E77">
        <w:t xml:space="preserve"> responds that</w:t>
      </w:r>
      <w:r w:rsidR="006C4FE3">
        <w:t xml:space="preserve"> </w:t>
      </w:r>
      <w:r w:rsidR="00EE1E77">
        <w:t>Herrera</w:t>
      </w:r>
      <w:r w:rsidR="003D5197">
        <w:t xml:space="preserve"> also </w:t>
      </w:r>
      <w:r w:rsidR="00CB3F8A">
        <w:t>mentioned the “</w:t>
      </w:r>
      <w:r w:rsidR="0003619F">
        <w:t>M</w:t>
      </w:r>
      <w:r w:rsidR="00CB3F8A">
        <w:t>akin money” text during the jailhouse call,</w:t>
      </w:r>
      <w:r w:rsidR="00F14DDD">
        <w:t xml:space="preserve"> meaning the text itself “held little independent evidentiary value.” </w:t>
      </w:r>
      <w:r w:rsidR="000523D8">
        <w:t xml:space="preserve"> </w:t>
      </w:r>
    </w:p>
    <w:p w14:paraId="335EF150" w14:textId="59C9CD3D" w:rsidR="000523D8" w:rsidRPr="009D010E" w:rsidRDefault="00C84F23" w:rsidP="002A070A">
      <w:pPr>
        <w:spacing w:line="360" w:lineRule="auto"/>
      </w:pPr>
      <w:r>
        <w:tab/>
      </w:r>
      <w:r w:rsidR="00A0359C">
        <w:t>The Attorney General has the better argument</w:t>
      </w:r>
      <w:r w:rsidR="000523D8">
        <w:t xml:space="preserve">.  </w:t>
      </w:r>
      <w:r w:rsidR="00647A62">
        <w:t>Herrera specifically stated during th</w:t>
      </w:r>
      <w:r w:rsidR="00492A78">
        <w:t>at</w:t>
      </w:r>
      <w:r w:rsidR="00647A62">
        <w:t xml:space="preserve"> call that he had told his girlfriend </w:t>
      </w:r>
      <w:proofErr w:type="gramStart"/>
      <w:r w:rsidR="00647A62">
        <w:t>“we’re</w:t>
      </w:r>
      <w:proofErr w:type="gramEnd"/>
      <w:r w:rsidR="00647A62">
        <w:t xml:space="preserve"> gonna go make money</w:t>
      </w:r>
      <w:r w:rsidR="00D046ED">
        <w:t xml:space="preserve">” before the </w:t>
      </w:r>
      <w:r w:rsidR="00661246">
        <w:t>crimes occurred</w:t>
      </w:r>
      <w:r w:rsidR="00D046ED">
        <w:t xml:space="preserve">. </w:t>
      </w:r>
      <w:r w:rsidR="000523D8">
        <w:t xml:space="preserve"> </w:t>
      </w:r>
      <w:r w:rsidR="007540A8">
        <w:t xml:space="preserve">He does not explain how the text itself conveyed </w:t>
      </w:r>
      <w:r w:rsidR="007D660E">
        <w:t>any damaging information</w:t>
      </w:r>
      <w:r w:rsidR="001D05F5">
        <w:t xml:space="preserve"> beyond that </w:t>
      </w:r>
      <w:r w:rsidR="001C4E34">
        <w:t>in the call</w:t>
      </w:r>
      <w:r w:rsidR="00655C32">
        <w:t>, whose admission he does not challenge</w:t>
      </w:r>
      <w:r w:rsidR="007D660E">
        <w:t xml:space="preserve">. </w:t>
      </w:r>
      <w:r w:rsidR="00D035E2">
        <w:t xml:space="preserve"> </w:t>
      </w:r>
      <w:r w:rsidR="00655C32">
        <w:t>Moreover</w:t>
      </w:r>
      <w:r w:rsidR="00C24963">
        <w:t xml:space="preserve">, </w:t>
      </w:r>
      <w:r w:rsidR="00FD7E69">
        <w:t>during the call he denied any intent to “hit a lick” with A.M., and during his testimony he gave an innocent explanation for the “</w:t>
      </w:r>
      <w:r w:rsidR="003500F0">
        <w:t>M</w:t>
      </w:r>
      <w:r w:rsidR="00FD7E69">
        <w:t xml:space="preserve">akin money” text—that he was referring to selling </w:t>
      </w:r>
      <w:r w:rsidR="00F21853">
        <w:t>marijuana</w:t>
      </w:r>
      <w:r w:rsidR="00FD7E69">
        <w:t xml:space="preserve">, not robbery.  Thus, other evidence </w:t>
      </w:r>
      <w:r w:rsidR="00C050A4">
        <w:t>weighed against interpreting the</w:t>
      </w:r>
      <w:r w:rsidR="000423EB">
        <w:t xml:space="preserve"> </w:t>
      </w:r>
      <w:r w:rsidR="00C050A4">
        <w:t>text to mean that Herrera intended to help A.M. commit robbery.</w:t>
      </w:r>
      <w:r w:rsidR="00655C32">
        <w:t xml:space="preserve">  In </w:t>
      </w:r>
      <w:r w:rsidR="00BD45FC">
        <w:t>light of the evidence as a whole, we are persuaded beyond a reasonable doubt that Herrera would not have obtained a better result had the text messages been suppressed.</w:t>
      </w:r>
      <w:r w:rsidR="00C050A4">
        <w:t xml:space="preserve"> </w:t>
      </w:r>
    </w:p>
    <w:p w14:paraId="2AFA7E9C" w14:textId="77777777" w:rsidR="00F4106E" w:rsidRDefault="00597A41" w:rsidP="00454030">
      <w:pPr>
        <w:keepNext/>
        <w:spacing w:line="240" w:lineRule="auto"/>
        <w:rPr>
          <w:i/>
          <w:iCs/>
        </w:rPr>
      </w:pPr>
      <w:r>
        <w:rPr>
          <w:i/>
          <w:iCs/>
        </w:rPr>
        <w:tab/>
        <w:t>E.</w:t>
      </w:r>
      <w:r>
        <w:rPr>
          <w:i/>
          <w:iCs/>
        </w:rPr>
        <w:tab/>
      </w:r>
      <w:r w:rsidR="00F4106E">
        <w:rPr>
          <w:i/>
          <w:iCs/>
        </w:rPr>
        <w:t xml:space="preserve">Herrera Forfeited His Claim Involving the Trial Court’s </w:t>
      </w:r>
    </w:p>
    <w:p w14:paraId="40106151" w14:textId="0351448A" w:rsidR="00597A41" w:rsidRDefault="00F4106E" w:rsidP="00454030">
      <w:pPr>
        <w:keepNext/>
        <w:spacing w:line="240" w:lineRule="auto"/>
      </w:pPr>
      <w:r>
        <w:rPr>
          <w:i/>
          <w:iCs/>
        </w:rPr>
        <w:tab/>
      </w:r>
      <w:r>
        <w:rPr>
          <w:i/>
          <w:iCs/>
        </w:rPr>
        <w:tab/>
        <w:t>Responses to Two Jury Questions.</w:t>
      </w:r>
    </w:p>
    <w:p w14:paraId="4D84EA1F" w14:textId="24219154" w:rsidR="00E51A37" w:rsidRDefault="00E51A37" w:rsidP="00F4106E">
      <w:pPr>
        <w:spacing w:before="180" w:line="360" w:lineRule="auto"/>
      </w:pPr>
      <w:r>
        <w:tab/>
        <w:t xml:space="preserve">Next, Herrera </w:t>
      </w:r>
      <w:r w:rsidR="00492A78">
        <w:t>contends that</w:t>
      </w:r>
      <w:r>
        <w:t xml:space="preserve"> </w:t>
      </w:r>
      <w:r w:rsidR="003B7038">
        <w:t xml:space="preserve">the trial court </w:t>
      </w:r>
      <w:r w:rsidR="00D1424C">
        <w:t xml:space="preserve">inadequately addressed the jury’s questions </w:t>
      </w:r>
      <w:r w:rsidR="000F139C">
        <w:t xml:space="preserve">about the intent </w:t>
      </w:r>
      <w:r w:rsidR="0019466B">
        <w:t>required</w:t>
      </w:r>
      <w:r w:rsidR="0042553E">
        <w:t xml:space="preserve"> to</w:t>
      </w:r>
      <w:r w:rsidR="0019466B">
        <w:t xml:space="preserve"> </w:t>
      </w:r>
      <w:r w:rsidR="005E7B66">
        <w:t xml:space="preserve">(1) </w:t>
      </w:r>
      <w:r w:rsidR="00FF5970">
        <w:t xml:space="preserve">find </w:t>
      </w:r>
      <w:r w:rsidR="00FB2F97">
        <w:t xml:space="preserve">he aided and abetted robbery </w:t>
      </w:r>
      <w:r w:rsidR="00FF5970">
        <w:t>and</w:t>
      </w:r>
      <w:r w:rsidR="005E7B66">
        <w:t xml:space="preserve"> (2)</w:t>
      </w:r>
      <w:r w:rsidR="00FF5970">
        <w:t xml:space="preserve"> convict</w:t>
      </w:r>
      <w:r w:rsidR="00FB2F97">
        <w:t xml:space="preserve"> him</w:t>
      </w:r>
      <w:r w:rsidR="00FF5970">
        <w:t xml:space="preserve"> of felony murder. </w:t>
      </w:r>
      <w:r w:rsidR="00763063">
        <w:t xml:space="preserve"> </w:t>
      </w:r>
      <w:r w:rsidR="00E3669C">
        <w:t xml:space="preserve">He </w:t>
      </w:r>
      <w:r w:rsidR="00C53522">
        <w:t>argues</w:t>
      </w:r>
      <w:r w:rsidR="00E3669C">
        <w:t xml:space="preserve"> the court’s answers</w:t>
      </w:r>
      <w:r w:rsidR="00BC53CB">
        <w:t xml:space="preserve"> </w:t>
      </w:r>
      <w:r w:rsidR="0029302F">
        <w:lastRenderedPageBreak/>
        <w:t xml:space="preserve">allowed the jury to convict </w:t>
      </w:r>
      <w:r w:rsidR="00E102FF">
        <w:t xml:space="preserve">even if it did not </w:t>
      </w:r>
      <w:r w:rsidR="00C53522">
        <w:t xml:space="preserve">find that he </w:t>
      </w:r>
      <w:r w:rsidR="00F8273A">
        <w:t xml:space="preserve">intended to aid A.M. in committing robbery, </w:t>
      </w:r>
      <w:r w:rsidR="003512FC">
        <w:t xml:space="preserve">reducing the prosecution’s burden of proof.  </w:t>
      </w:r>
      <w:r w:rsidR="00763063">
        <w:t xml:space="preserve">We conclude </w:t>
      </w:r>
      <w:r w:rsidR="0042553E">
        <w:t xml:space="preserve">this </w:t>
      </w:r>
      <w:r w:rsidR="00763063">
        <w:t>claim is forfeited.</w:t>
      </w:r>
    </w:p>
    <w:p w14:paraId="600B7B25" w14:textId="1D547C59" w:rsidR="00FB2F97" w:rsidRDefault="00FB2F97" w:rsidP="002609F3">
      <w:pPr>
        <w:keepNext/>
        <w:spacing w:line="360" w:lineRule="auto"/>
      </w:pPr>
      <w:r>
        <w:tab/>
      </w:r>
      <w:r>
        <w:tab/>
        <w:t>1.</w:t>
      </w:r>
      <w:r>
        <w:tab/>
        <w:t>Additional facts</w:t>
      </w:r>
    </w:p>
    <w:p w14:paraId="3CB2EE0B" w14:textId="535C9F79" w:rsidR="00FB2F97" w:rsidRDefault="00FB2F97" w:rsidP="002A070A">
      <w:pPr>
        <w:spacing w:line="360" w:lineRule="auto"/>
      </w:pPr>
      <w:r>
        <w:tab/>
        <w:t xml:space="preserve">The jury was instructed </w:t>
      </w:r>
      <w:r w:rsidR="00A647E2">
        <w:t>under CALCRIM No.</w:t>
      </w:r>
      <w:r w:rsidR="00E8448D">
        <w:t> </w:t>
      </w:r>
      <w:r w:rsidR="00A647E2">
        <w:t xml:space="preserve">401 that </w:t>
      </w:r>
      <w:r w:rsidR="004A025F">
        <w:t xml:space="preserve">to </w:t>
      </w:r>
      <w:r w:rsidR="00CF2883">
        <w:t xml:space="preserve">establish </w:t>
      </w:r>
      <w:r w:rsidR="004A025F">
        <w:t>Herrera was guilty of a crime as an aider and abettor, the People had to prove:  (1) “</w:t>
      </w:r>
      <w:r w:rsidR="00476B42">
        <w:t>[t]</w:t>
      </w:r>
      <w:r w:rsidR="004A025F">
        <w:t>he perpetrator committed the crime”; (2) “[t]he defendant knew that the perpetrator intended to commit the crime”; (3) “[b]</w:t>
      </w:r>
      <w:proofErr w:type="spellStart"/>
      <w:r w:rsidR="004A025F">
        <w:t>efore</w:t>
      </w:r>
      <w:proofErr w:type="spellEnd"/>
      <w:r w:rsidR="004A025F">
        <w:t xml:space="preserve"> or during the commission of the crime, the defendant intended to aid and abet the perpetrator in committing the crime”; and (4) “[t]he defendant’s words or conduct did in fact aid and abet the perpetra</w:t>
      </w:r>
      <w:r w:rsidR="00BF628A">
        <w:t>tor’s commission of the crime.”  The instruction further provided that “[s]</w:t>
      </w:r>
      <w:proofErr w:type="spellStart"/>
      <w:r w:rsidR="00BF628A">
        <w:t>omeone</w:t>
      </w:r>
      <w:proofErr w:type="spellEnd"/>
      <w:r w:rsidR="00BF628A">
        <w:t xml:space="preserve"> aids and abets a crime if </w:t>
      </w:r>
      <w:r w:rsidR="00476B42">
        <w:t>[the person]</w:t>
      </w:r>
      <w:r w:rsidR="00BF628A">
        <w:t xml:space="preserve"> knows of the perpetrator’s unlawful purpose and </w:t>
      </w:r>
      <w:r w:rsidR="00476B42">
        <w:t>[the person]</w:t>
      </w:r>
      <w:r w:rsidR="00BF628A">
        <w:t xml:space="preserve"> specifically intends to, and does in fact, aid, facilitate, promote, encourage, or instigate the perpetrator’s commission of that crime.” </w:t>
      </w:r>
      <w:r w:rsidR="004A025F">
        <w:t xml:space="preserve"> </w:t>
      </w:r>
    </w:p>
    <w:p w14:paraId="1C5B2005" w14:textId="134C4E94" w:rsidR="00E51A37" w:rsidRDefault="00D1690F" w:rsidP="002A070A">
      <w:pPr>
        <w:spacing w:line="360" w:lineRule="auto"/>
      </w:pPr>
      <w:r>
        <w:tab/>
        <w:t>The jury was also instructed under CALCRIM 540A</w:t>
      </w:r>
      <w:r w:rsidR="00F35791">
        <w:t xml:space="preserve"> that to establish Herrera was guilty of felony murder, the People had to prove</w:t>
      </w:r>
      <w:proofErr w:type="gramStart"/>
      <w:r w:rsidR="00F35791">
        <w:t>:  (</w:t>
      </w:r>
      <w:proofErr w:type="gramEnd"/>
      <w:r w:rsidR="00F35791">
        <w:t>1) he “attempted to commit robbery”; (2) he “intended to commit robbery”; and (3) “[w]</w:t>
      </w:r>
      <w:proofErr w:type="spellStart"/>
      <w:r w:rsidR="00F35791">
        <w:t>hile</w:t>
      </w:r>
      <w:proofErr w:type="spellEnd"/>
      <w:r w:rsidR="00F35791">
        <w:t xml:space="preserve"> attempting to commit robbery [he] caused the death of another person.” </w:t>
      </w:r>
      <w:r w:rsidR="0020157C">
        <w:t xml:space="preserve"> The instruction </w:t>
      </w:r>
      <w:r w:rsidR="00EB4858">
        <w:t xml:space="preserve">provided that Herrera </w:t>
      </w:r>
      <w:r w:rsidR="00470A69">
        <w:t>must</w:t>
      </w:r>
      <w:r w:rsidR="00A3521A">
        <w:t xml:space="preserve"> </w:t>
      </w:r>
      <w:r w:rsidR="00EB4858">
        <w:t>“have intended to commit the felony of robbery before or at the time that he caused the death,”</w:t>
      </w:r>
      <w:r w:rsidR="00300012">
        <w:t xml:space="preserve"> and it</w:t>
      </w:r>
      <w:r w:rsidR="0020157C">
        <w:t xml:space="preserve"> </w:t>
      </w:r>
      <w:r w:rsidR="00EB4858">
        <w:t xml:space="preserve">directed the jury that to determine whether </w:t>
      </w:r>
      <w:r w:rsidR="00A3521A">
        <w:t>he</w:t>
      </w:r>
      <w:r w:rsidR="00EB4858">
        <w:t xml:space="preserve"> “attempted to commit robbery,” it must apply “the separate instructions .</w:t>
      </w:r>
      <w:r w:rsidR="00326D88">
        <w:t> </w:t>
      </w:r>
      <w:r w:rsidR="00EB4858">
        <w:t>.</w:t>
      </w:r>
      <w:r w:rsidR="00326D88">
        <w:t> </w:t>
      </w:r>
      <w:r w:rsidR="00EB4858">
        <w:t xml:space="preserve">. given </w:t>
      </w:r>
      <w:r w:rsidR="00326D88">
        <w:t>. . .</w:t>
      </w:r>
      <w:r w:rsidR="00470A69">
        <w:t xml:space="preserve"> </w:t>
      </w:r>
      <w:r w:rsidR="00EB4858">
        <w:t>on that crime</w:t>
      </w:r>
      <w:r w:rsidR="00300012">
        <w:t>.</w:t>
      </w:r>
      <w:r w:rsidR="00EB4858">
        <w:t>”</w:t>
      </w:r>
      <w:r w:rsidR="00300012">
        <w:t xml:space="preserve"> </w:t>
      </w:r>
      <w:r w:rsidR="00F35791">
        <w:t xml:space="preserve"> </w:t>
      </w:r>
    </w:p>
    <w:p w14:paraId="70D35DF6" w14:textId="6F1EAE8F" w:rsidR="00F270EC" w:rsidRDefault="000E4630" w:rsidP="00997842">
      <w:pPr>
        <w:spacing w:line="360" w:lineRule="auto"/>
      </w:pPr>
      <w:r>
        <w:tab/>
      </w:r>
      <w:r w:rsidR="00984CFA">
        <w:t>During</w:t>
      </w:r>
      <w:r w:rsidR="00830E33">
        <w:t xml:space="preserve"> deliberations,</w:t>
      </w:r>
      <w:r>
        <w:t xml:space="preserve"> the jury s</w:t>
      </w:r>
      <w:r w:rsidR="000536AB">
        <w:t xml:space="preserve">ubmitted the following </w:t>
      </w:r>
      <w:r w:rsidR="00716DD7">
        <w:t>note</w:t>
      </w:r>
      <w:r w:rsidR="000536AB">
        <w:t xml:space="preserve"> to the trial court</w:t>
      </w:r>
      <w:proofErr w:type="gramStart"/>
      <w:r w:rsidR="000536AB">
        <w:t>:  “</w:t>
      </w:r>
      <w:proofErr w:type="gramEnd"/>
      <w:r w:rsidR="000536AB">
        <w:t xml:space="preserve">For part 3 of 401, should we interpret it as the defendant: </w:t>
      </w:r>
      <w:r w:rsidR="0037303C">
        <w:t xml:space="preserve">[¶] – did an action that aided in the crime and [¶] – intended to do the action [¶] OR [¶] </w:t>
      </w:r>
      <w:r w:rsidR="004C6585">
        <w:lastRenderedPageBreak/>
        <w:t xml:space="preserve">– intended to commit the crime.” </w:t>
      </w:r>
      <w:r w:rsidR="00314031">
        <w:t xml:space="preserve"> </w:t>
      </w:r>
      <w:r w:rsidR="001F1C1F">
        <w:t xml:space="preserve">When </w:t>
      </w:r>
      <w:r w:rsidR="00F270EC">
        <w:t>it met with the parties to discuss the</w:t>
      </w:r>
      <w:r w:rsidR="00E00AFD">
        <w:t xml:space="preserve"> matter, the court stated it </w:t>
      </w:r>
      <w:r w:rsidR="00E21E93">
        <w:t>was unsure what the</w:t>
      </w:r>
      <w:r w:rsidR="00D344AE">
        <w:t xml:space="preserve"> question meant and wanted clarification from the jury before answering.  </w:t>
      </w:r>
    </w:p>
    <w:p w14:paraId="77378E07" w14:textId="208C8AEB" w:rsidR="000838DC" w:rsidRDefault="00F270EC" w:rsidP="000838DC">
      <w:pPr>
        <w:spacing w:line="360" w:lineRule="auto"/>
      </w:pPr>
      <w:r>
        <w:tab/>
      </w:r>
      <w:r w:rsidR="00D344AE">
        <w:t>Herrera’s trial counsel</w:t>
      </w:r>
      <w:r w:rsidR="00415364">
        <w:t xml:space="preserve"> </w:t>
      </w:r>
      <w:r w:rsidR="00F21853">
        <w:t>urged the</w:t>
      </w:r>
      <w:r>
        <w:t xml:space="preserve"> trial</w:t>
      </w:r>
      <w:r w:rsidR="00415364">
        <w:t xml:space="preserve"> court </w:t>
      </w:r>
      <w:r w:rsidR="00F21853">
        <w:t>to</w:t>
      </w:r>
      <w:r w:rsidR="00415364">
        <w:t xml:space="preserve"> answer the question without further input from the jury, because she believed</w:t>
      </w:r>
      <w:r w:rsidR="0031554A">
        <w:t xml:space="preserve"> it was sufficiently clear </w:t>
      </w:r>
      <w:r w:rsidR="00415364">
        <w:t xml:space="preserve">the jury </w:t>
      </w:r>
      <w:r w:rsidR="0031554A">
        <w:t xml:space="preserve">was “asking is it enough that the person intended to do the action that aids and abets the crime even if they don’t intend to aid and abet the crime?  And the answer clearly is no, aiding and abetting is specific intent.” </w:t>
      </w:r>
      <w:r w:rsidR="009218BC">
        <w:t xml:space="preserve"> Counsel </w:t>
      </w:r>
      <w:r w:rsidR="00322612">
        <w:t xml:space="preserve">suggested that the </w:t>
      </w:r>
      <w:r w:rsidR="000A7C36">
        <w:t>language</w:t>
      </w:r>
      <w:r w:rsidR="007577D2">
        <w:t xml:space="preserve"> in CALCRIM No.</w:t>
      </w:r>
      <w:r w:rsidR="002A12B8">
        <w:t> </w:t>
      </w:r>
      <w:r w:rsidR="007577D2">
        <w:t>401</w:t>
      </w:r>
      <w:r w:rsidR="000A7C36">
        <w:t xml:space="preserve"> </w:t>
      </w:r>
      <w:r w:rsidR="00457A96">
        <w:t>following the four elements</w:t>
      </w:r>
      <w:r w:rsidR="00AE3C72">
        <w:t xml:space="preserve"> of aiding and abetting—</w:t>
      </w:r>
      <w:r w:rsidR="006B5EE5">
        <w:t xml:space="preserve">that someone aids and abets a crime if the person knows of the perpetrator’s </w:t>
      </w:r>
      <w:r w:rsidR="0071773B">
        <w:t xml:space="preserve">unlawful purpose and “specifically intends to </w:t>
      </w:r>
      <w:r w:rsidR="00B928F4">
        <w:t>. . .</w:t>
      </w:r>
      <w:r w:rsidR="0071773B">
        <w:t xml:space="preserve"> aid, facilitate, promote, encourage, or instigate the perpetrator’s commission of that crime</w:t>
      </w:r>
      <w:r w:rsidR="00AE3C72">
        <w:t>”</w:t>
      </w:r>
      <w:r w:rsidR="00D96588">
        <w:t>—</w:t>
      </w:r>
      <w:r w:rsidR="00997842">
        <w:t>was “a clear answer</w:t>
      </w:r>
      <w:r w:rsidR="00997842" w:rsidRPr="00997842">
        <w:t xml:space="preserve"> </w:t>
      </w:r>
      <w:r w:rsidR="00997842">
        <w:t xml:space="preserve">to [the jury’s] question of whether aiding and abetting is a general or specific intent crime.” </w:t>
      </w:r>
      <w:r w:rsidR="002A12B8">
        <w:t xml:space="preserve"> </w:t>
      </w:r>
      <w:r w:rsidR="00F75178">
        <w:t xml:space="preserve">Counsel continued, </w:t>
      </w:r>
      <w:r w:rsidR="000838DC">
        <w:t>“The Court could also state clearly</w:t>
      </w:r>
      <w:r w:rsidR="00F52B45">
        <w:t xml:space="preserve"> </w:t>
      </w:r>
      <w:r w:rsidR="00B928F4">
        <w:t>. . .</w:t>
      </w:r>
      <w:r w:rsidR="00F52B45">
        <w:t xml:space="preserve"> [that </w:t>
      </w:r>
      <w:proofErr w:type="gramStart"/>
      <w:r w:rsidR="00F52B45">
        <w:t>a]</w:t>
      </w:r>
      <w:proofErr w:type="spellStart"/>
      <w:r w:rsidR="000838DC">
        <w:t>iding</w:t>
      </w:r>
      <w:proofErr w:type="spellEnd"/>
      <w:proofErr w:type="gramEnd"/>
      <w:r w:rsidR="000838DC">
        <w:t xml:space="preserve"> and abetting requires specific intent and refer to the jury instruction that notes as much and then quote this paragraph and then state that the jury should let the Court know if it has further questions and to be as specific as possible.” </w:t>
      </w:r>
    </w:p>
    <w:p w14:paraId="17010D84" w14:textId="044ECF59" w:rsidR="00110E17" w:rsidRDefault="000838DC" w:rsidP="002A070A">
      <w:pPr>
        <w:spacing w:line="360" w:lineRule="auto"/>
      </w:pPr>
      <w:r>
        <w:tab/>
      </w:r>
      <w:r w:rsidR="00C862C3">
        <w:t xml:space="preserve">The prosecutor responded that </w:t>
      </w:r>
      <w:r w:rsidR="007577D2">
        <w:t>the jury’s question was confusing because while it referred to CALCRIM No.</w:t>
      </w:r>
      <w:r w:rsidR="00E8448D">
        <w:t> </w:t>
      </w:r>
      <w:r w:rsidR="007577D2">
        <w:t xml:space="preserve">401’s third element—that </w:t>
      </w:r>
      <w:r w:rsidR="007577D2">
        <w:br/>
        <w:t>“the defendant intended to aid and abet the perpetrator in committing the crime”—</w:t>
      </w:r>
      <w:r w:rsidR="00862990">
        <w:t xml:space="preserve">it </w:t>
      </w:r>
      <w:r w:rsidR="00B57106">
        <w:t>“seem</w:t>
      </w:r>
      <w:r w:rsidR="00175A1D">
        <w:t>[</w:t>
      </w:r>
      <w:r w:rsidR="00B57106">
        <w:t>ed</w:t>
      </w:r>
      <w:r w:rsidR="00175A1D">
        <w:t>]</w:t>
      </w:r>
      <w:r w:rsidR="00B57106">
        <w:t xml:space="preserve"> to use the language” of the </w:t>
      </w:r>
      <w:r w:rsidR="00D85059">
        <w:t xml:space="preserve">portion of the instruction that defense counsel </w:t>
      </w:r>
      <w:r w:rsidR="00390E65">
        <w:t xml:space="preserve">thought answered the question. </w:t>
      </w:r>
      <w:r w:rsidR="00C83CFA">
        <w:t xml:space="preserve"> He </w:t>
      </w:r>
      <w:r w:rsidR="00AD0B74">
        <w:t xml:space="preserve">agreed </w:t>
      </w:r>
      <w:r w:rsidR="002A12B8">
        <w:t>the court should</w:t>
      </w:r>
      <w:r w:rsidR="00AD0B74">
        <w:t xml:space="preserve"> </w:t>
      </w:r>
      <w:r w:rsidR="002A12B8">
        <w:t>talk to the</w:t>
      </w:r>
      <w:r w:rsidR="00AD0B74">
        <w:t xml:space="preserve"> jury</w:t>
      </w:r>
      <w:r w:rsidR="00110E17">
        <w:t xml:space="preserve">. </w:t>
      </w:r>
      <w:r w:rsidR="00110E17">
        <w:tab/>
      </w:r>
    </w:p>
    <w:p w14:paraId="679E594C" w14:textId="1E33D832" w:rsidR="00581AD8" w:rsidRDefault="00110E17" w:rsidP="00581AD8">
      <w:pPr>
        <w:spacing w:line="360" w:lineRule="auto"/>
      </w:pPr>
      <w:r>
        <w:tab/>
      </w:r>
      <w:r w:rsidR="00862990">
        <w:t xml:space="preserve"> </w:t>
      </w:r>
      <w:r w:rsidR="007577D2">
        <w:t xml:space="preserve"> </w:t>
      </w:r>
      <w:r w:rsidR="00197555">
        <w:t xml:space="preserve">The following day, the trial court asked the jury foreperson to clarify the question.  </w:t>
      </w:r>
      <w:r w:rsidR="00581AD8">
        <w:t xml:space="preserve">Referring to </w:t>
      </w:r>
      <w:r w:rsidR="002A12B8">
        <w:t>CALCRIM No. 401’s</w:t>
      </w:r>
      <w:r w:rsidR="00581AD8">
        <w:t xml:space="preserve"> enumerated elements, the</w:t>
      </w:r>
      <w:r w:rsidR="00197555">
        <w:t xml:space="preserve"> </w:t>
      </w:r>
      <w:r w:rsidR="00581AD8">
        <w:t>juror</w:t>
      </w:r>
      <w:r w:rsidR="00197555">
        <w:t xml:space="preserve"> </w:t>
      </w:r>
      <w:r w:rsidR="00F31B13">
        <w:t>stated</w:t>
      </w:r>
      <w:r w:rsidR="00581AD8">
        <w:t>, “Number three says if an act was intentional, number four</w:t>
      </w:r>
      <w:r w:rsidR="00553FBE">
        <w:t xml:space="preserve"> </w:t>
      </w:r>
      <w:r w:rsidR="00553FBE">
        <w:lastRenderedPageBreak/>
        <w:t xml:space="preserve">[says] </w:t>
      </w:r>
      <w:r w:rsidR="00175A1D">
        <w:t>. . .</w:t>
      </w:r>
      <w:r w:rsidR="00581AD8">
        <w:t xml:space="preserve"> was the act effective </w:t>
      </w:r>
      <w:r w:rsidR="00617411">
        <w:t>[at]</w:t>
      </w:r>
      <w:r w:rsidR="00581AD8">
        <w:t xml:space="preserve"> aiding the crime</w:t>
      </w:r>
      <w:r w:rsidR="00553FBE">
        <w:t>[,]</w:t>
      </w:r>
      <w:r w:rsidR="00581AD8">
        <w:t xml:space="preserve"> and the</w:t>
      </w:r>
      <w:r w:rsidR="00553FBE">
        <w:t xml:space="preserve"> </w:t>
      </w:r>
      <w:r w:rsidR="00581AD8">
        <w:t>question was what if an act was intentionally performed</w:t>
      </w:r>
      <w:r w:rsidR="00553FBE">
        <w:t xml:space="preserve"> </w:t>
      </w:r>
      <w:r w:rsidR="00581AD8">
        <w:t xml:space="preserve">that had the effect of aiding the crime, but </w:t>
      </w:r>
      <w:r w:rsidR="00175A1D">
        <w:t>. . .</w:t>
      </w:r>
      <w:r w:rsidR="00F31B13">
        <w:t xml:space="preserve"> </w:t>
      </w:r>
      <w:r w:rsidR="00581AD8">
        <w:t xml:space="preserve">the </w:t>
      </w:r>
      <w:r w:rsidR="00F31B13">
        <w:t xml:space="preserve">[defendant’s] </w:t>
      </w:r>
      <w:r w:rsidR="00581AD8">
        <w:t>intent of the act was not to</w:t>
      </w:r>
      <w:r w:rsidR="001D01C9">
        <w:t xml:space="preserve"> </w:t>
      </w:r>
      <w:r w:rsidR="00581AD8">
        <w:t>abet</w:t>
      </w:r>
      <w:r w:rsidR="00F31B13">
        <w:t>[]</w:t>
      </w:r>
      <w:r w:rsidR="00581AD8">
        <w:t xml:space="preserve"> the crime, is that still aiding and abetting?</w:t>
      </w:r>
      <w:r w:rsidR="00F31B13">
        <w:t xml:space="preserve">”  The court </w:t>
      </w:r>
      <w:r w:rsidR="00527E9D">
        <w:t>responded</w:t>
      </w:r>
      <w:r w:rsidR="00F31B13">
        <w:t>, “Your</w:t>
      </w:r>
      <w:r w:rsidR="001E3EA8">
        <w:t xml:space="preserve"> question is whether or not a person has to have intent to commit the </w:t>
      </w:r>
      <w:proofErr w:type="gramStart"/>
      <w:r w:rsidR="001E3EA8">
        <w:t>crime?,</w:t>
      </w:r>
      <w:proofErr w:type="gramEnd"/>
      <w:r w:rsidR="001E3EA8">
        <w:t xml:space="preserve">” and the juror </w:t>
      </w:r>
      <w:r w:rsidR="002A12B8">
        <w:t>said</w:t>
      </w:r>
      <w:r w:rsidR="001E3EA8">
        <w:t>, “</w:t>
      </w:r>
      <w:r w:rsidR="00214C1E">
        <w:t xml:space="preserve">Whether the intent of the act </w:t>
      </w:r>
      <w:r w:rsidR="00DC5749">
        <w:t xml:space="preserve">was to aid the crime even if it had the effect of aiding the crime.” </w:t>
      </w:r>
    </w:p>
    <w:p w14:paraId="62F53679" w14:textId="18DEE85F" w:rsidR="00F75178" w:rsidRDefault="00A57FF4" w:rsidP="002A070A">
      <w:pPr>
        <w:spacing w:line="360" w:lineRule="auto"/>
      </w:pPr>
      <w:r>
        <w:tab/>
        <w:t xml:space="preserve">Another juror </w:t>
      </w:r>
      <w:r w:rsidR="00527E9D">
        <w:t>tried</w:t>
      </w:r>
      <w:r>
        <w:t xml:space="preserve"> to clarify further.  This juror </w:t>
      </w:r>
      <w:r w:rsidR="00495EBD">
        <w:t>said, “I think the question in number three is did he have the intent to commit the</w:t>
      </w:r>
      <w:r w:rsidR="00EE3924">
        <w:t xml:space="preserve"> </w:t>
      </w:r>
      <w:r w:rsidR="00495EBD">
        <w:t>crime?  If he didn’t have the intent to commit the crime, but it did have the effect, I think perhaps we were also questioning if he had the intent to help the—there</w:t>
      </w:r>
      <w:r w:rsidR="00EE3924">
        <w:t>’</w:t>
      </w:r>
      <w:r w:rsidR="00495EBD">
        <w:t>s an intent to help [the direct perpetrator] in another way.  The intent was to aid</w:t>
      </w:r>
      <w:r w:rsidR="001F3AD8">
        <w:t xml:space="preserve"> </w:t>
      </w:r>
      <w:r w:rsidR="00495EBD">
        <w:t>but not</w:t>
      </w:r>
      <w:r w:rsidR="001F3AD8">
        <w:t xml:space="preserve"> </w:t>
      </w:r>
      <w:r w:rsidR="005523E0">
        <w:t>. . .</w:t>
      </w:r>
      <w:r w:rsidR="001F3AD8">
        <w:t xml:space="preserve"> </w:t>
      </w:r>
      <w:r w:rsidR="00495EBD">
        <w:t>necessarily aid in the crime</w:t>
      </w:r>
      <w:r w:rsidR="001F3AD8">
        <w:t xml:space="preserve">.” </w:t>
      </w:r>
      <w:r w:rsidR="00AE788E">
        <w:t xml:space="preserve"> The foreperson then </w:t>
      </w:r>
      <w:r w:rsidR="00EF4597">
        <w:t>restated the question as</w:t>
      </w:r>
      <w:r w:rsidR="00E070D0">
        <w:t xml:space="preserve"> follows</w:t>
      </w:r>
      <w:proofErr w:type="gramStart"/>
      <w:r w:rsidR="00E070D0">
        <w:t>:  “</w:t>
      </w:r>
      <w:proofErr w:type="gramEnd"/>
      <w:r w:rsidR="00E070D0">
        <w:t>[D]</w:t>
      </w:r>
      <w:proofErr w:type="spellStart"/>
      <w:r w:rsidR="00E070D0">
        <w:t>oes</w:t>
      </w:r>
      <w:proofErr w:type="spellEnd"/>
      <w:r w:rsidR="00E070D0">
        <w:t xml:space="preserve"> any intentional act count or </w:t>
      </w:r>
      <w:r w:rsidR="005523E0">
        <w:t>. . .</w:t>
      </w:r>
      <w:r w:rsidR="00A4689C">
        <w:t xml:space="preserve"> do you </w:t>
      </w:r>
      <w:r w:rsidR="005523E0">
        <w:t>. . .</w:t>
      </w:r>
      <w:r w:rsidR="00A4689C">
        <w:t xml:space="preserve"> have to have </w:t>
      </w:r>
      <w:r w:rsidR="00B123D2">
        <w:t xml:space="preserve">the explicit intent to aid and abet that certain crime?” </w:t>
      </w:r>
    </w:p>
    <w:p w14:paraId="2985344C" w14:textId="3A8531FE" w:rsidR="00CE51BF" w:rsidRDefault="00EE3924" w:rsidP="00CE51BF">
      <w:pPr>
        <w:spacing w:line="360" w:lineRule="auto"/>
      </w:pPr>
      <w:r>
        <w:tab/>
        <w:t>The trial court and the parties discussed the matter off the record</w:t>
      </w:r>
      <w:r w:rsidR="008B5075">
        <w:t>.  When they returned, the court instructed the jury as follows</w:t>
      </w:r>
      <w:proofErr w:type="gramStart"/>
      <w:r w:rsidR="008B5075">
        <w:t>:  “</w:t>
      </w:r>
      <w:proofErr w:type="gramEnd"/>
      <w:r w:rsidR="00CE51BF">
        <w:t xml:space="preserve">I’m going to refer you back to 401.  I’m going to refer you to the </w:t>
      </w:r>
      <w:proofErr w:type="gramStart"/>
      <w:r w:rsidR="00CE51BF">
        <w:t>paragraph</w:t>
      </w:r>
      <w:proofErr w:type="gramEnd"/>
    </w:p>
    <w:p w14:paraId="148413BE" w14:textId="22DBC0EE" w:rsidR="00F75178" w:rsidRDefault="00CE51BF" w:rsidP="00CE51BF">
      <w:pPr>
        <w:spacing w:line="360" w:lineRule="auto"/>
      </w:pPr>
      <w:r>
        <w:t xml:space="preserve">which I believe addresses your </w:t>
      </w:r>
      <w:proofErr w:type="gramStart"/>
      <w:r>
        <w:t>question[</w:t>
      </w:r>
      <w:proofErr w:type="gramEnd"/>
      <w:r>
        <w:t xml:space="preserve">,] that is the paragraph under Element 4 which states, someone aids and abets a crime if he or she knows of the perpetrator’s unlawful purpose and he or she specifically intends to and does in fact aid, facilitate, promote, encourage, the perpetrator’s commission of that crime.” </w:t>
      </w:r>
    </w:p>
    <w:p w14:paraId="5079A7ED" w14:textId="6031EDD3" w:rsidR="00AC3AE6" w:rsidRDefault="00CE51BF" w:rsidP="002A070A">
      <w:pPr>
        <w:spacing w:line="360" w:lineRule="auto"/>
      </w:pPr>
      <w:r>
        <w:tab/>
      </w:r>
      <w:r w:rsidR="00C92D9E">
        <w:t>Two days l</w:t>
      </w:r>
      <w:r w:rsidR="009C7B13">
        <w:t>ater, the jury submitted the second note at issue.  The note read</w:t>
      </w:r>
      <w:proofErr w:type="gramStart"/>
      <w:r w:rsidR="00716DD7">
        <w:t>:  “</w:t>
      </w:r>
      <w:proofErr w:type="gramEnd"/>
      <w:r w:rsidR="00716DD7">
        <w:t xml:space="preserve">We understand that someone </w:t>
      </w:r>
      <w:r w:rsidR="00791A53">
        <w:t xml:space="preserve">guilty of aiding and abetting a robbery is guilty of that robbery. [¶] If a person intended to aid and abet robbery, are they intending to commit robbery by definition?  We are specifically referring </w:t>
      </w:r>
      <w:r w:rsidR="00791A53">
        <w:lastRenderedPageBreak/>
        <w:t xml:space="preserve">to 540A bullet point </w:t>
      </w:r>
      <w:r w:rsidR="006373D5">
        <w:t xml:space="preserve">2.” </w:t>
      </w:r>
      <w:r w:rsidR="000A6C69">
        <w:t xml:space="preserve"> The prosecutor argued that the answer was yes</w:t>
      </w:r>
      <w:r w:rsidR="008F712B">
        <w:t>.  Defense</w:t>
      </w:r>
      <w:r w:rsidR="000A6C69">
        <w:t xml:space="preserve"> counsel disagreed</w:t>
      </w:r>
      <w:r w:rsidR="00AF491A">
        <w:t xml:space="preserve">, stating that a person who aided and abetted a crime does not “by definition share the perpetrator’s intent.” </w:t>
      </w:r>
      <w:r w:rsidR="008F712B">
        <w:t xml:space="preserve"> </w:t>
      </w:r>
      <w:r w:rsidR="00DD17CA">
        <w:t xml:space="preserve">She </w:t>
      </w:r>
      <w:r w:rsidR="001C69F0">
        <w:t>argued that “[a]n affirmative answer to this question would be collapsing them into one mental state</w:t>
      </w:r>
      <w:r w:rsidR="00C252F0">
        <w:t xml:space="preserve">.” </w:t>
      </w:r>
      <w:r w:rsidR="00177D3D">
        <w:t xml:space="preserve"> </w:t>
      </w:r>
      <w:r w:rsidR="00125C20">
        <w:t>C</w:t>
      </w:r>
      <w:r w:rsidR="00DD17CA">
        <w:t xml:space="preserve">ounsel </w:t>
      </w:r>
      <w:r w:rsidR="00177D3D">
        <w:t xml:space="preserve">proposed that the trial court “clarify that 401’s aiding and abetting liability applies </w:t>
      </w:r>
      <w:r w:rsidR="00DD17CA">
        <w:t>t</w:t>
      </w:r>
      <w:r w:rsidR="00A125D2">
        <w:t>o the attempted robbery charge” and ask the jur</w:t>
      </w:r>
      <w:r w:rsidR="00125C20">
        <w:t>ors</w:t>
      </w:r>
      <w:r w:rsidR="00331FF0">
        <w:t>, “with that in mind,”</w:t>
      </w:r>
      <w:r w:rsidR="00A125D2">
        <w:t xml:space="preserve"> </w:t>
      </w:r>
      <w:r w:rsidR="00331FF0">
        <w:t xml:space="preserve">to “clarify their question as much as possible if it </w:t>
      </w:r>
      <w:r w:rsidR="00D072F7">
        <w:t>in fact is a question they still have. [¶] The Court could, of course, point them to Instructions 401, 460, and 1600, in addition to the one they mention, which is 540A.”</w:t>
      </w:r>
      <w:r w:rsidR="00DD17CA">
        <w:t xml:space="preserve"> </w:t>
      </w:r>
      <w:r w:rsidR="00C252F0">
        <w:t xml:space="preserve"> </w:t>
      </w:r>
    </w:p>
    <w:p w14:paraId="44AA167A" w14:textId="01ECFE1C" w:rsidR="00AC3AE6" w:rsidRDefault="008E0B18" w:rsidP="005D1CBB">
      <w:pPr>
        <w:spacing w:line="360" w:lineRule="auto"/>
      </w:pPr>
      <w:r>
        <w:tab/>
        <w:t xml:space="preserve">After additional discussion, defense counsel </w:t>
      </w:r>
      <w:r w:rsidR="00614DF7">
        <w:t xml:space="preserve">affirmed that she was requesting that the trial court answer, “You must find all of the elements in Instructions 401, 540A, 460, and 1600.” </w:t>
      </w:r>
      <w:r w:rsidR="007A2A75">
        <w:t xml:space="preserve"> The court</w:t>
      </w:r>
      <w:r w:rsidR="00A858C8">
        <w:t>’s written response to the jury’s note was identical to what counsel proposed</w:t>
      </w:r>
      <w:r w:rsidR="000C68C0">
        <w:t xml:space="preserve">, except that it added “Jury” in front of the word “Instructions.” </w:t>
      </w:r>
    </w:p>
    <w:p w14:paraId="7AA4D1A6" w14:textId="0229EF79" w:rsidR="00AC3AE6" w:rsidRDefault="00763063" w:rsidP="005D1CBB">
      <w:pPr>
        <w:spacing w:line="360" w:lineRule="auto"/>
      </w:pPr>
      <w:r>
        <w:tab/>
      </w:r>
      <w:r>
        <w:tab/>
        <w:t>2.</w:t>
      </w:r>
      <w:r>
        <w:tab/>
        <w:t xml:space="preserve">Herrera’s </w:t>
      </w:r>
      <w:r w:rsidR="005D1CBB">
        <w:t xml:space="preserve">claim is </w:t>
      </w:r>
      <w:r>
        <w:t>forfeited.</w:t>
      </w:r>
    </w:p>
    <w:p w14:paraId="40627109" w14:textId="7BDD1F95" w:rsidR="00763063" w:rsidRDefault="00763063" w:rsidP="005D1CBB">
      <w:pPr>
        <w:spacing w:line="360" w:lineRule="auto"/>
      </w:pPr>
      <w:r>
        <w:tab/>
        <w:t xml:space="preserve">The Attorney General argues that </w:t>
      </w:r>
      <w:r w:rsidR="0095494A">
        <w:t xml:space="preserve">Herrera forfeited this claim because his trial counsel “actively advocated” for the responses the trial court ultimately gave. </w:t>
      </w:r>
      <w:r w:rsidR="00E36CEE">
        <w:t xml:space="preserve"> We agree.</w:t>
      </w:r>
    </w:p>
    <w:p w14:paraId="5BC415CF" w14:textId="1BA6B672" w:rsidR="00B33227" w:rsidRDefault="00E36CEE" w:rsidP="00E36CEE">
      <w:pPr>
        <w:spacing w:line="360" w:lineRule="auto"/>
      </w:pPr>
      <w:r>
        <w:tab/>
      </w:r>
      <w:r w:rsidR="00A049BE">
        <w:t xml:space="preserve">When a defendant’s attorney </w:t>
      </w:r>
      <w:r w:rsidR="00345BCC">
        <w:t>agrees</w:t>
      </w:r>
      <w:r w:rsidR="008F6568">
        <w:t xml:space="preserve"> to a trial court’s response to a jury’s question, the defendant forfeits any claim that the response was </w:t>
      </w:r>
      <w:r w:rsidR="00903C0C">
        <w:t>incorrect</w:t>
      </w:r>
      <w:r w:rsidR="008F6568">
        <w:t>.  (</w:t>
      </w:r>
      <w:r w:rsidR="00A90F67">
        <w:rPr>
          <w:i/>
          <w:iCs/>
        </w:rPr>
        <w:t>People</w:t>
      </w:r>
      <w:r w:rsidR="00635B87">
        <w:rPr>
          <w:i/>
          <w:iCs/>
        </w:rPr>
        <w:t> </w:t>
      </w:r>
      <w:r w:rsidR="00A90F67">
        <w:rPr>
          <w:i/>
          <w:iCs/>
        </w:rPr>
        <w:t xml:space="preserve">v. Rogers </w:t>
      </w:r>
      <w:r w:rsidR="00A90F67">
        <w:t>(2006) 39</w:t>
      </w:r>
      <w:r w:rsidR="00635B87">
        <w:t> </w:t>
      </w:r>
      <w:r w:rsidR="00A90F67">
        <w:t xml:space="preserve">Cal.4th 826, 877; </w:t>
      </w:r>
      <w:r w:rsidR="008F6568">
        <w:rPr>
          <w:i/>
          <w:iCs/>
        </w:rPr>
        <w:t>People</w:t>
      </w:r>
      <w:r w:rsidR="00635B87">
        <w:rPr>
          <w:i/>
          <w:iCs/>
        </w:rPr>
        <w:t> </w:t>
      </w:r>
      <w:r w:rsidR="008F6568">
        <w:rPr>
          <w:i/>
          <w:iCs/>
        </w:rPr>
        <w:t>v. Loza</w:t>
      </w:r>
      <w:r w:rsidR="008F6568">
        <w:t xml:space="preserve"> (2012) 207</w:t>
      </w:r>
      <w:r w:rsidR="00635B87">
        <w:t> </w:t>
      </w:r>
      <w:r w:rsidR="008F6568">
        <w:t xml:space="preserve">Cal.App.4th </w:t>
      </w:r>
      <w:r w:rsidR="00E20D19">
        <w:t xml:space="preserve">332, 350.)  Here, </w:t>
      </w:r>
      <w:r w:rsidR="00210183">
        <w:t xml:space="preserve">in discussing the first jury note, </w:t>
      </w:r>
      <w:r w:rsidR="00E20D19">
        <w:t xml:space="preserve">defense counsel </w:t>
      </w:r>
      <w:r w:rsidR="00AD7F92">
        <w:t xml:space="preserve">argued that the language </w:t>
      </w:r>
      <w:r w:rsidR="004E769E">
        <w:t>in CALCRIM No.</w:t>
      </w:r>
      <w:r w:rsidR="00635B87">
        <w:t> </w:t>
      </w:r>
      <w:r w:rsidR="004E769E">
        <w:t xml:space="preserve">401 </w:t>
      </w:r>
      <w:r w:rsidR="00AD7F92">
        <w:t>following the fourth</w:t>
      </w:r>
      <w:r w:rsidR="004E769E">
        <w:t xml:space="preserve"> element of aiding and abetting provided</w:t>
      </w:r>
      <w:r w:rsidR="00AD7F92">
        <w:t xml:space="preserve"> “a clear answer</w:t>
      </w:r>
      <w:r w:rsidR="00AD7F92" w:rsidRPr="00997842">
        <w:t xml:space="preserve"> </w:t>
      </w:r>
      <w:r w:rsidR="00AD7F92">
        <w:t>to [the jury’s] question of whether aiding and abetting is a general or specific intent crime</w:t>
      </w:r>
      <w:r w:rsidR="00345BCC">
        <w:t>.</w:t>
      </w:r>
      <w:r w:rsidR="00AD7F92">
        <w:t>”</w:t>
      </w:r>
      <w:r w:rsidR="00345BCC">
        <w:t xml:space="preserve"> </w:t>
      </w:r>
      <w:r w:rsidR="007526E5">
        <w:t xml:space="preserve"> </w:t>
      </w:r>
      <w:r w:rsidR="00345BCC">
        <w:t>T</w:t>
      </w:r>
      <w:r w:rsidR="00C901EE">
        <w:t>he trial</w:t>
      </w:r>
      <w:r w:rsidR="007526E5">
        <w:t xml:space="preserve"> court’s response referred the jury to </w:t>
      </w:r>
      <w:r w:rsidR="00C901EE">
        <w:t xml:space="preserve">that language.  </w:t>
      </w:r>
      <w:r w:rsidR="00861C0A">
        <w:t>And the</w:t>
      </w:r>
      <w:r w:rsidR="00C901EE">
        <w:t xml:space="preserve"> court’s </w:t>
      </w:r>
      <w:r w:rsidR="00C901EE">
        <w:lastRenderedPageBreak/>
        <w:t xml:space="preserve">response to the second jury note </w:t>
      </w:r>
      <w:r w:rsidR="00861C0A">
        <w:t xml:space="preserve">was </w:t>
      </w:r>
      <w:r w:rsidR="00B33227">
        <w:t xml:space="preserve">essentially identical to </w:t>
      </w:r>
      <w:r w:rsidR="00861C0A">
        <w:t>what defense</w:t>
      </w:r>
      <w:r w:rsidR="00B33227">
        <w:t xml:space="preserve"> counsel requested.  Thus, Herrera cannot now complain </w:t>
      </w:r>
      <w:r w:rsidR="00903C0C">
        <w:t>about</w:t>
      </w:r>
      <w:r w:rsidR="00B33227">
        <w:t xml:space="preserve"> the court’s responses.</w:t>
      </w:r>
    </w:p>
    <w:p w14:paraId="372D08F4" w14:textId="6C7E52CF" w:rsidR="00FD006A" w:rsidRDefault="0071238C" w:rsidP="00E36CEE">
      <w:pPr>
        <w:spacing w:line="360" w:lineRule="auto"/>
      </w:pPr>
      <w:r>
        <w:tab/>
      </w:r>
      <w:r w:rsidR="00A538C3">
        <w:t xml:space="preserve">Herrera does not challenge the conclusion that defense counsel </w:t>
      </w:r>
      <w:r w:rsidR="00066B8C">
        <w:t>agreed to the trial court’s response to the first jury note.  As to the second note, however, he argues that the court’s response “was not the product of an agreement”</w:t>
      </w:r>
      <w:r w:rsidR="00CD078D">
        <w:t xml:space="preserve"> between the </w:t>
      </w:r>
      <w:r w:rsidR="002A4EDE">
        <w:t xml:space="preserve">trial </w:t>
      </w:r>
      <w:r w:rsidR="00CD078D">
        <w:t xml:space="preserve">court and the parties.  But defense counsel affirmed she wanted the court to </w:t>
      </w:r>
      <w:r w:rsidR="00592C61">
        <w:t>give</w:t>
      </w:r>
      <w:r w:rsidR="00CD078D">
        <w:t xml:space="preserve"> the answer it ultimately gave.</w:t>
      </w:r>
      <w:r w:rsidR="00B62E72">
        <w:t xml:space="preserve">  We disagree that this was simply “damage control” </w:t>
      </w:r>
      <w:r w:rsidR="00FD006A">
        <w:t xml:space="preserve">after the court did not follow her initial suggestion to inquire </w:t>
      </w:r>
      <w:r w:rsidR="00345BCC">
        <w:t>o</w:t>
      </w:r>
      <w:r w:rsidR="00A026AE">
        <w:t xml:space="preserve">f the jury </w:t>
      </w:r>
      <w:r w:rsidR="00FD006A">
        <w:t xml:space="preserve">further. </w:t>
      </w:r>
    </w:p>
    <w:p w14:paraId="02F2DB83" w14:textId="49F25482" w:rsidR="00247A94" w:rsidRDefault="00FD006A" w:rsidP="00E36CEE">
      <w:pPr>
        <w:spacing w:line="360" w:lineRule="auto"/>
      </w:pPr>
      <w:r>
        <w:tab/>
        <w:t xml:space="preserve">Herrera also claims that </w:t>
      </w:r>
      <w:r w:rsidR="00023B14">
        <w:t>forfeiture does no</w:t>
      </w:r>
      <w:r w:rsidR="00827545">
        <w:t xml:space="preserve">t “apply to the instant issue, where law imposes on the trial court a duty to instruct.”  </w:t>
      </w:r>
      <w:r w:rsidR="00865CDA">
        <w:t xml:space="preserve">We do not follow this argument.  </w:t>
      </w:r>
      <w:r w:rsidR="007E2A94">
        <w:t xml:space="preserve">Certainly, the court had the duty to instruct on aiding and abetting, felony murder, and related principles, and we agree with Herrera that courts </w:t>
      </w:r>
      <w:r w:rsidR="00D714DF">
        <w:t xml:space="preserve">have </w:t>
      </w:r>
      <w:r w:rsidR="007E2A94">
        <w:t>“a general obligation to ‘clear up any instructional confusion expressed by the jury.</w:t>
      </w:r>
      <w:proofErr w:type="gramStart"/>
      <w:r w:rsidR="007E2A94">
        <w:t>’</w:t>
      </w:r>
      <w:r w:rsidR="00635B87">
        <w:t> </w:t>
      </w:r>
      <w:r w:rsidR="007E2A94">
        <w:t>”</w:t>
      </w:r>
      <w:proofErr w:type="gramEnd"/>
      <w:r w:rsidR="007E2A94">
        <w:t xml:space="preserve">  (</w:t>
      </w:r>
      <w:r w:rsidR="007E2A94">
        <w:rPr>
          <w:i/>
          <w:iCs/>
        </w:rPr>
        <w:t>People</w:t>
      </w:r>
      <w:r w:rsidR="00635B87">
        <w:rPr>
          <w:i/>
          <w:iCs/>
        </w:rPr>
        <w:t> </w:t>
      </w:r>
      <w:r w:rsidR="007E2A94">
        <w:rPr>
          <w:i/>
          <w:iCs/>
        </w:rPr>
        <w:t>v. Dykes</w:t>
      </w:r>
      <w:r w:rsidR="007E2A94">
        <w:t xml:space="preserve"> (2009) 46</w:t>
      </w:r>
      <w:r w:rsidR="00D714DF">
        <w:t> </w:t>
      </w:r>
      <w:r w:rsidR="007E2A94">
        <w:t xml:space="preserve">Cal.4th 731, 802.)  </w:t>
      </w:r>
      <w:r w:rsidR="008543E9">
        <w:t xml:space="preserve">But the fact that a court has a duty to do something does not excuse a defendant from </w:t>
      </w:r>
      <w:r w:rsidR="00E742FA">
        <w:t xml:space="preserve">objecting if that duty is violated.  Here, </w:t>
      </w:r>
      <w:r w:rsidR="002948C4">
        <w:t xml:space="preserve">defense counsel not only did not object to the court’s responses, </w:t>
      </w:r>
      <w:proofErr w:type="gramStart"/>
      <w:r w:rsidR="002948C4">
        <w:t>she</w:t>
      </w:r>
      <w:proofErr w:type="gramEnd"/>
      <w:r w:rsidR="00247A94">
        <w:t xml:space="preserve"> advocated for them.</w:t>
      </w:r>
    </w:p>
    <w:p w14:paraId="3D28AC79" w14:textId="45184930" w:rsidR="00E36CEE" w:rsidRDefault="00247A94" w:rsidP="00E36CEE">
      <w:pPr>
        <w:spacing w:line="360" w:lineRule="auto"/>
      </w:pPr>
      <w:r>
        <w:tab/>
        <w:t xml:space="preserve">Finally, Herrera </w:t>
      </w:r>
      <w:r w:rsidR="00592C61">
        <w:t>asks us to</w:t>
      </w:r>
      <w:r w:rsidR="0024028C">
        <w:t xml:space="preserve"> </w:t>
      </w:r>
      <w:r w:rsidR="00814F22">
        <w:t xml:space="preserve">reach the merits under section 1259, which </w:t>
      </w:r>
      <w:r w:rsidR="009D52F7">
        <w:t>permits</w:t>
      </w:r>
      <w:r w:rsidR="00814F22">
        <w:t xml:space="preserve"> an appellate court to evaluate a forfeited issue if it </w:t>
      </w:r>
      <w:proofErr w:type="gramStart"/>
      <w:r w:rsidR="00814F22">
        <w:t>“</w:t>
      </w:r>
      <w:r w:rsidR="00B75F19">
        <w:t> ‘</w:t>
      </w:r>
      <w:proofErr w:type="gramEnd"/>
      <w:r w:rsidR="00814F22">
        <w:t>affected the substantial rights of the defendant.</w:t>
      </w:r>
      <w:r w:rsidR="00B75F19">
        <w:t>’ </w:t>
      </w:r>
      <w:r w:rsidR="00814F22">
        <w:t>”</w:t>
      </w:r>
      <w:r w:rsidR="006C19C1">
        <w:t xml:space="preserve">  We decline to exercise our discretion under that statute </w:t>
      </w:r>
      <w:r w:rsidR="009F5A47">
        <w:t xml:space="preserve">to consider his claim.  (See </w:t>
      </w:r>
      <w:r w:rsidR="009F5A47">
        <w:rPr>
          <w:i/>
          <w:iCs/>
        </w:rPr>
        <w:t>People</w:t>
      </w:r>
      <w:r w:rsidR="002A4811">
        <w:rPr>
          <w:i/>
          <w:iCs/>
        </w:rPr>
        <w:t> </w:t>
      </w:r>
      <w:r w:rsidR="009F5A47">
        <w:rPr>
          <w:i/>
          <w:iCs/>
        </w:rPr>
        <w:t>v. Sanchez</w:t>
      </w:r>
      <w:r w:rsidR="009F5A47">
        <w:t xml:space="preserve"> (2014) 228 Cal.App.4th 1517, 1525.)</w:t>
      </w:r>
      <w:r w:rsidR="00814F22">
        <w:t xml:space="preserve"> </w:t>
      </w:r>
      <w:r w:rsidR="002948C4">
        <w:t xml:space="preserve"> </w:t>
      </w:r>
    </w:p>
    <w:p w14:paraId="063682A6" w14:textId="1CCD00A0" w:rsidR="00F87884" w:rsidRDefault="00366CF2" w:rsidP="0055165B">
      <w:pPr>
        <w:keepNext/>
        <w:spacing w:line="240" w:lineRule="auto"/>
        <w:rPr>
          <w:i/>
          <w:iCs/>
        </w:rPr>
      </w:pPr>
      <w:r>
        <w:lastRenderedPageBreak/>
        <w:tab/>
      </w:r>
      <w:r w:rsidR="00AC407B">
        <w:rPr>
          <w:i/>
          <w:iCs/>
        </w:rPr>
        <w:t>F</w:t>
      </w:r>
      <w:r>
        <w:rPr>
          <w:i/>
          <w:iCs/>
        </w:rPr>
        <w:t>.</w:t>
      </w:r>
      <w:r>
        <w:rPr>
          <w:i/>
          <w:iCs/>
        </w:rPr>
        <w:tab/>
      </w:r>
      <w:r w:rsidR="00E94327">
        <w:rPr>
          <w:i/>
          <w:iCs/>
        </w:rPr>
        <w:t xml:space="preserve">The </w:t>
      </w:r>
      <w:r w:rsidR="007E3584">
        <w:rPr>
          <w:i/>
          <w:iCs/>
        </w:rPr>
        <w:t xml:space="preserve">Manner in Which the </w:t>
      </w:r>
      <w:r w:rsidR="00E94327">
        <w:rPr>
          <w:i/>
          <w:iCs/>
        </w:rPr>
        <w:t>Jury</w:t>
      </w:r>
      <w:r w:rsidR="007E3584">
        <w:rPr>
          <w:i/>
          <w:iCs/>
        </w:rPr>
        <w:t xml:space="preserve"> Viewed</w:t>
      </w:r>
      <w:r w:rsidR="00F707A7">
        <w:rPr>
          <w:i/>
          <w:iCs/>
        </w:rPr>
        <w:t xml:space="preserve"> the Surveillance Videos </w:t>
      </w:r>
    </w:p>
    <w:p w14:paraId="6C04B576" w14:textId="2B1284AE" w:rsidR="00366CF2" w:rsidRPr="00BD0FC2" w:rsidRDefault="00F87884" w:rsidP="0055165B">
      <w:pPr>
        <w:keepNext/>
        <w:spacing w:line="240" w:lineRule="auto"/>
      </w:pPr>
      <w:r>
        <w:rPr>
          <w:i/>
          <w:iCs/>
        </w:rPr>
        <w:tab/>
      </w:r>
      <w:r>
        <w:rPr>
          <w:i/>
          <w:iCs/>
        </w:rPr>
        <w:tab/>
      </w:r>
      <w:r w:rsidR="00F707A7">
        <w:rPr>
          <w:i/>
          <w:iCs/>
        </w:rPr>
        <w:t xml:space="preserve">During Deliberations </w:t>
      </w:r>
      <w:r w:rsidR="0055165B">
        <w:rPr>
          <w:i/>
          <w:iCs/>
        </w:rPr>
        <w:t xml:space="preserve">Was </w:t>
      </w:r>
      <w:r>
        <w:rPr>
          <w:i/>
          <w:iCs/>
        </w:rPr>
        <w:t>Not Misconduct</w:t>
      </w:r>
      <w:r w:rsidR="0055165B">
        <w:rPr>
          <w:i/>
          <w:iCs/>
        </w:rPr>
        <w:t>.</w:t>
      </w:r>
    </w:p>
    <w:p w14:paraId="0BB273D2" w14:textId="478974C6" w:rsidR="00366CF2" w:rsidRDefault="00366CF2" w:rsidP="00F87884">
      <w:pPr>
        <w:keepNext/>
        <w:spacing w:before="180" w:line="360" w:lineRule="auto"/>
      </w:pPr>
      <w:r>
        <w:tab/>
        <w:t xml:space="preserve">Herrera claims </w:t>
      </w:r>
      <w:r w:rsidR="00BD65F1">
        <w:t>he is entitled to a new trial because the jury</w:t>
      </w:r>
      <w:r w:rsidR="00E67BF9">
        <w:t xml:space="preserve"> used a computer to “manipulate</w:t>
      </w:r>
      <w:r>
        <w:t>” the surveillance videos</w:t>
      </w:r>
      <w:r w:rsidR="00B467B5">
        <w:t>, “essentially creating new evidence” that he was unable to address</w:t>
      </w:r>
      <w:r>
        <w:t xml:space="preserve">.  </w:t>
      </w:r>
      <w:r w:rsidR="00BD65F1">
        <w:t>The claim fails</w:t>
      </w:r>
      <w:r>
        <w:t>.</w:t>
      </w:r>
    </w:p>
    <w:p w14:paraId="6E6BFDC5" w14:textId="1F1BC82E" w:rsidR="00BD65F1" w:rsidRDefault="00BD65F1" w:rsidP="00592C61">
      <w:pPr>
        <w:keepNext/>
        <w:spacing w:line="360" w:lineRule="auto"/>
      </w:pPr>
      <w:r>
        <w:tab/>
      </w:r>
      <w:r>
        <w:tab/>
        <w:t>1.</w:t>
      </w:r>
      <w:r>
        <w:tab/>
        <w:t>Additional facts</w:t>
      </w:r>
    </w:p>
    <w:p w14:paraId="0384A8BB" w14:textId="59721E12" w:rsidR="00BD65F1" w:rsidRDefault="00BD65F1" w:rsidP="00366CF2">
      <w:pPr>
        <w:spacing w:line="360" w:lineRule="auto"/>
      </w:pPr>
      <w:r>
        <w:tab/>
      </w:r>
      <w:r w:rsidR="002537E7">
        <w:t xml:space="preserve">When the surveillance </w:t>
      </w:r>
      <w:r w:rsidR="003B5A63">
        <w:t>footage</w:t>
      </w:r>
      <w:r w:rsidR="002537E7">
        <w:t xml:space="preserve"> from the </w:t>
      </w:r>
      <w:r w:rsidR="006C2DCD">
        <w:t xml:space="preserve">liquor store at 21st and South </w:t>
      </w:r>
      <w:proofErr w:type="gramStart"/>
      <w:r w:rsidR="006C2DCD">
        <w:t>Van</w:t>
      </w:r>
      <w:proofErr w:type="gramEnd"/>
      <w:r w:rsidR="006C2DCD">
        <w:t xml:space="preserve"> Ness </w:t>
      </w:r>
      <w:r w:rsidR="00A93967">
        <w:t>w</w:t>
      </w:r>
      <w:r w:rsidR="0087307A">
        <w:t xml:space="preserve">as </w:t>
      </w:r>
      <w:r w:rsidR="00A93967">
        <w:t xml:space="preserve">played for the jury, the prosecution sought </w:t>
      </w:r>
      <w:r w:rsidR="000501C4">
        <w:t xml:space="preserve">to have the police officer who downloaded </w:t>
      </w:r>
      <w:r w:rsidR="003B5A63">
        <w:t>it</w:t>
      </w:r>
      <w:r w:rsidR="000501C4">
        <w:t xml:space="preserve"> “zoom in on an area.” </w:t>
      </w:r>
      <w:r w:rsidR="00542F97">
        <w:t xml:space="preserve"> Herrer</w:t>
      </w:r>
      <w:r w:rsidR="00964F9F">
        <w:t>a’s objection to this was overruled</w:t>
      </w:r>
      <w:r w:rsidR="009A7807">
        <w:t xml:space="preserve">, but the officer was </w:t>
      </w:r>
      <w:r w:rsidR="007D1E55">
        <w:t xml:space="preserve">unable to make the zoom function work. </w:t>
      </w:r>
    </w:p>
    <w:p w14:paraId="5811EDD2" w14:textId="766B34C2" w:rsidR="00366CF2" w:rsidRDefault="007D1E55" w:rsidP="00366CF2">
      <w:pPr>
        <w:spacing w:line="360" w:lineRule="auto"/>
      </w:pPr>
      <w:r>
        <w:tab/>
      </w:r>
      <w:r w:rsidR="002908EC">
        <w:t xml:space="preserve">Subsequently, the trial court asked </w:t>
      </w:r>
      <w:r w:rsidR="007B1C61">
        <w:t>wh</w:t>
      </w:r>
      <w:r w:rsidR="002A6C14">
        <w:t>at</w:t>
      </w:r>
      <w:r w:rsidR="007B1C61">
        <w:t xml:space="preserve"> other video manipulations </w:t>
      </w:r>
      <w:r w:rsidR="003B5A63">
        <w:t xml:space="preserve">the </w:t>
      </w:r>
      <w:r w:rsidR="00370D51">
        <w:t>People</w:t>
      </w:r>
      <w:r w:rsidR="007B1C61">
        <w:t xml:space="preserve"> intended to </w:t>
      </w:r>
      <w:r w:rsidR="00FD58BF">
        <w:t>offer</w:t>
      </w:r>
      <w:r w:rsidR="007B1C61">
        <w:t xml:space="preserve">.  The prosecutor responded that </w:t>
      </w:r>
      <w:r w:rsidR="00370D51">
        <w:t>they</w:t>
      </w:r>
      <w:r w:rsidR="00D34CE4">
        <w:t xml:space="preserve"> wanted “to have a witness come in and demonstrate for the jury how to use the players</w:t>
      </w:r>
      <w:r w:rsidR="007327CB">
        <w:t xml:space="preserve"> </w:t>
      </w:r>
      <w:proofErr w:type="gramStart"/>
      <w:r w:rsidR="002A4811">
        <w:t>. . .</w:t>
      </w:r>
      <w:r w:rsidR="007327CB">
        <w:t xml:space="preserve"> ,</w:t>
      </w:r>
      <w:proofErr w:type="gramEnd"/>
      <w:r w:rsidR="007327CB">
        <w:t xml:space="preserve"> not only to zoom in to a particular portion of what’s being displayed on the screen, but also to adjust the lighting of the images in order to increase the details.” </w:t>
      </w:r>
      <w:r w:rsidR="00FE79A1">
        <w:t xml:space="preserve"> </w:t>
      </w:r>
    </w:p>
    <w:p w14:paraId="053B7B68" w14:textId="190B9391" w:rsidR="007A1496" w:rsidRDefault="007A1496" w:rsidP="00366CF2">
      <w:pPr>
        <w:spacing w:line="360" w:lineRule="auto"/>
      </w:pPr>
      <w:r>
        <w:tab/>
        <w:t xml:space="preserve">Herrera’s trial counsel responded that no such witness had been disclosed, </w:t>
      </w:r>
      <w:r w:rsidR="00236763">
        <w:t>at which point</w:t>
      </w:r>
      <w:r>
        <w:t xml:space="preserve"> the trial court </w:t>
      </w:r>
      <w:r w:rsidR="00B315AA">
        <w:t>indicated it did not believe expert testimony was required “</w:t>
      </w:r>
      <w:r w:rsidR="00236763">
        <w:t>to show the jury how to use the functions.</w:t>
      </w:r>
      <w:r w:rsidR="00B315AA">
        <w:t>”</w:t>
      </w:r>
      <w:r w:rsidR="00236763">
        <w:t xml:space="preserve"> </w:t>
      </w:r>
      <w:r w:rsidR="00B315AA">
        <w:t xml:space="preserve"> </w:t>
      </w:r>
      <w:r w:rsidR="002328AF">
        <w:t xml:space="preserve">Counsel then argued that the defense had no notice the prosecution was going to “manipulate these videos in all sorts of ways” </w:t>
      </w:r>
      <w:r w:rsidR="00695C7B">
        <w:t xml:space="preserve">and </w:t>
      </w:r>
      <w:r w:rsidR="00DA2F01">
        <w:t xml:space="preserve">that </w:t>
      </w:r>
      <w:r w:rsidR="00B94FE8">
        <w:t xml:space="preserve">zooming in </w:t>
      </w:r>
      <w:r w:rsidR="007F32C5">
        <w:t xml:space="preserve">on </w:t>
      </w:r>
      <w:r w:rsidR="00B94FE8">
        <w:t xml:space="preserve">or lightening </w:t>
      </w:r>
      <w:r w:rsidR="007F32C5">
        <w:t>the video footage “does change the image</w:t>
      </w:r>
      <w:r w:rsidR="00695C7B">
        <w:t>.</w:t>
      </w:r>
      <w:r w:rsidR="007F32C5">
        <w:t>”</w:t>
      </w:r>
      <w:r w:rsidR="00695C7B">
        <w:t xml:space="preserve">  Counsel stated that although a layperson might be able to perform these functions</w:t>
      </w:r>
      <w:r w:rsidR="00531EDD">
        <w:t>, an expert was required</w:t>
      </w:r>
      <w:r w:rsidR="002E1A13">
        <w:t xml:space="preserve"> to establish whether th</w:t>
      </w:r>
      <w:r w:rsidR="00506924">
        <w:t xml:space="preserve">ey </w:t>
      </w:r>
      <w:r w:rsidR="005B6DD4">
        <w:t>changed the evidence.</w:t>
      </w:r>
      <w:r w:rsidR="002E1A13">
        <w:t xml:space="preserve"> </w:t>
      </w:r>
      <w:r w:rsidR="007F32C5">
        <w:t xml:space="preserve"> </w:t>
      </w:r>
      <w:r w:rsidR="00977593">
        <w:t xml:space="preserve">If the parties did not know </w:t>
      </w:r>
      <w:r w:rsidR="00C600A4">
        <w:t>whether the evidence was being “distort</w:t>
      </w:r>
      <w:r w:rsidR="00355441">
        <w:t>[</w:t>
      </w:r>
      <w:r w:rsidR="00C600A4">
        <w:t>ed</w:t>
      </w:r>
      <w:r w:rsidR="00355441">
        <w:t>]</w:t>
      </w:r>
      <w:r w:rsidR="00C600A4">
        <w:t xml:space="preserve"> in some way,” then </w:t>
      </w:r>
      <w:r w:rsidR="00CE00B0">
        <w:t xml:space="preserve">allowing the jury to manipulate the videos was “inviting a lot of trouble.” </w:t>
      </w:r>
    </w:p>
    <w:p w14:paraId="183442B7" w14:textId="0C45F4B9" w:rsidR="00922B63" w:rsidRDefault="00E37A48" w:rsidP="00E36CEE">
      <w:pPr>
        <w:spacing w:line="360" w:lineRule="auto"/>
      </w:pPr>
      <w:r>
        <w:tab/>
        <w:t xml:space="preserve">The prosecutor argued that </w:t>
      </w:r>
      <w:r w:rsidR="005C03A5">
        <w:t>allowing the jury to zoom in on or lighten the video</w:t>
      </w:r>
      <w:r w:rsidR="00C54E7F">
        <w:t xml:space="preserve">s on the laptop it would </w:t>
      </w:r>
      <w:r w:rsidR="001F4704">
        <w:t xml:space="preserve">have </w:t>
      </w:r>
      <w:r w:rsidR="00C54E7F">
        <w:t xml:space="preserve">during deliberations </w:t>
      </w:r>
      <w:r w:rsidR="005C03A5">
        <w:t xml:space="preserve">would do nothing </w:t>
      </w:r>
      <w:r w:rsidR="005C03A5">
        <w:lastRenderedPageBreak/>
        <w:t xml:space="preserve">to alter the digital files.  </w:t>
      </w:r>
      <w:r w:rsidR="00487BD2">
        <w:t>She also noted the jury would not be given any “new image[s]</w:t>
      </w:r>
      <w:r w:rsidR="0029569E">
        <w:t>,”</w:t>
      </w:r>
      <w:r w:rsidR="00487BD2">
        <w:t xml:space="preserve"> such as a permanently lightened </w:t>
      </w:r>
      <w:r w:rsidR="0029569E">
        <w:t xml:space="preserve">still.  The trial court </w:t>
      </w:r>
      <w:r w:rsidR="00530F0B">
        <w:t>agreed that</w:t>
      </w:r>
      <w:r w:rsidR="0008086D">
        <w:t xml:space="preserve"> zooming or lightening did not distort the videos, although </w:t>
      </w:r>
      <w:r w:rsidR="00922B63">
        <w:t xml:space="preserve">Herrera could call a witness to establish otherwise if he wished. </w:t>
      </w:r>
      <w:r w:rsidR="00922B63">
        <w:tab/>
      </w:r>
    </w:p>
    <w:p w14:paraId="5EDAA117" w14:textId="73B17EB8" w:rsidR="00366CF2" w:rsidRDefault="00922B63" w:rsidP="00E36CEE">
      <w:pPr>
        <w:spacing w:line="360" w:lineRule="auto"/>
      </w:pPr>
      <w:r>
        <w:tab/>
        <w:t xml:space="preserve">Defense counsel then argued that </w:t>
      </w:r>
      <w:r w:rsidR="00493CA5">
        <w:t xml:space="preserve">even if the prosecution could zoom in on or lighten the videos while they were played in court, </w:t>
      </w:r>
      <w:r>
        <w:t xml:space="preserve">the jury </w:t>
      </w:r>
      <w:r w:rsidR="00493CA5">
        <w:t>“should not be given the ability to manipulate [them]</w:t>
      </w:r>
      <w:r w:rsidR="005662AB">
        <w:t>” during deliberations</w:t>
      </w:r>
      <w:r w:rsidR="002C29C1">
        <w:t xml:space="preserve">.  </w:t>
      </w:r>
      <w:r w:rsidR="0087307A">
        <w:t xml:space="preserve">Counsel was concerned that jury might manipulate the videos in other ways the parties did not contemplate, given the </w:t>
      </w:r>
      <w:r w:rsidR="002C29C1">
        <w:t xml:space="preserve">jurors’ potential </w:t>
      </w:r>
      <w:r w:rsidR="00D11BE6">
        <w:t>“</w:t>
      </w:r>
      <w:r w:rsidR="002C29C1">
        <w:t>technological expertise</w:t>
      </w:r>
      <w:r w:rsidR="0087307A">
        <w:t>.</w:t>
      </w:r>
      <w:r w:rsidR="00D11BE6">
        <w:t>”</w:t>
      </w:r>
      <w:r w:rsidR="002C29C1">
        <w:t xml:space="preserve"> </w:t>
      </w:r>
      <w:r w:rsidR="007E677E">
        <w:t xml:space="preserve"> The prosecutor </w:t>
      </w:r>
      <w:r w:rsidR="008D099F">
        <w:t>agreed that</w:t>
      </w:r>
      <w:r w:rsidR="002025BE">
        <w:t xml:space="preserve"> any functions other than what was presented in court “should be turned off” if possible. </w:t>
      </w:r>
      <w:r w:rsidR="00530F0B">
        <w:t xml:space="preserve"> </w:t>
      </w:r>
      <w:r w:rsidR="00233748">
        <w:t xml:space="preserve">The </w:t>
      </w:r>
      <w:r w:rsidR="00C35486">
        <w:t>trial</w:t>
      </w:r>
      <w:r w:rsidR="00CA61B3">
        <w:t xml:space="preserve"> court reserved </w:t>
      </w:r>
      <w:r w:rsidR="0001173F">
        <w:t xml:space="preserve">ruling on the issue. </w:t>
      </w:r>
      <w:r w:rsidR="00CA61B3">
        <w:t xml:space="preserve"> </w:t>
      </w:r>
    </w:p>
    <w:p w14:paraId="5F8AB547" w14:textId="5F739B9C" w:rsidR="00366CF2" w:rsidRDefault="005A777B" w:rsidP="00E36CEE">
      <w:pPr>
        <w:spacing w:line="360" w:lineRule="auto"/>
      </w:pPr>
      <w:r>
        <w:tab/>
      </w:r>
      <w:r w:rsidR="00AB2227">
        <w:t>Subsequently, an IT specialist with the District Attorney’s Office</w:t>
      </w:r>
      <w:r w:rsidR="007B19D7">
        <w:t xml:space="preserve"> testified about four video clips that he </w:t>
      </w:r>
      <w:r w:rsidR="00235138">
        <w:t>zoomed into and/or</w:t>
      </w:r>
      <w:r w:rsidR="007B19D7">
        <w:t xml:space="preserve"> lightened.</w:t>
      </w:r>
      <w:r w:rsidR="00AB2227">
        <w:t xml:space="preserve"> </w:t>
      </w:r>
      <w:r w:rsidR="007B19D7">
        <w:t xml:space="preserve"> He also </w:t>
      </w:r>
      <w:r w:rsidR="007A1344">
        <w:t xml:space="preserve">copied </w:t>
      </w:r>
      <w:r w:rsidR="00E32ED0">
        <w:t xml:space="preserve">three of </w:t>
      </w:r>
      <w:r w:rsidR="007A1344">
        <w:t xml:space="preserve">the clips, shrunk them, and </w:t>
      </w:r>
      <w:r w:rsidR="004151F3">
        <w:t xml:space="preserve">spliced </w:t>
      </w:r>
      <w:r w:rsidR="009E5483">
        <w:t>them</w:t>
      </w:r>
      <w:r w:rsidR="00B462C8">
        <w:t xml:space="preserve"> together in a new file so they could be viewed at the same time. </w:t>
      </w:r>
      <w:r w:rsidR="0073258B">
        <w:t xml:space="preserve"> The jury was shown the original </w:t>
      </w:r>
      <w:r w:rsidR="00235138">
        <w:t>clips,</w:t>
      </w:r>
      <w:r w:rsidR="00966AEE">
        <w:t xml:space="preserve"> four zoomed</w:t>
      </w:r>
      <w:r w:rsidR="002A6C14">
        <w:t>-</w:t>
      </w:r>
      <w:r w:rsidR="00966AEE">
        <w:t>in clips</w:t>
      </w:r>
      <w:r w:rsidR="00142252">
        <w:t>, three lightened clips, three zoomed</w:t>
      </w:r>
      <w:r w:rsidR="002A6C14">
        <w:t>-</w:t>
      </w:r>
      <w:r w:rsidR="00142252">
        <w:t>and</w:t>
      </w:r>
      <w:r w:rsidR="002A6C14">
        <w:t>-</w:t>
      </w:r>
      <w:r w:rsidR="00142252">
        <w:t xml:space="preserve">lightened clips, and the spliced file. </w:t>
      </w:r>
      <w:r w:rsidR="00235138">
        <w:t xml:space="preserve"> </w:t>
      </w:r>
    </w:p>
    <w:p w14:paraId="08BD6590" w14:textId="49E243B3" w:rsidR="007C6230" w:rsidRDefault="007C6230" w:rsidP="00E36CEE">
      <w:pPr>
        <w:spacing w:line="360" w:lineRule="auto"/>
      </w:pPr>
      <w:r>
        <w:tab/>
      </w:r>
      <w:r w:rsidR="00502474">
        <w:t>While discussing the</w:t>
      </w:r>
      <w:r w:rsidR="00775748">
        <w:t>se</w:t>
      </w:r>
      <w:r w:rsidR="00502474">
        <w:t xml:space="preserve"> exhibits’ admission, Herrera’s trial counsel </w:t>
      </w:r>
      <w:r w:rsidR="00775748">
        <w:t>reiterated</w:t>
      </w:r>
      <w:r w:rsidR="00502474">
        <w:t xml:space="preserve"> her understanding that “the surveillance videos </w:t>
      </w:r>
      <w:r w:rsidR="00A41DB2">
        <w:t>. . .</w:t>
      </w:r>
      <w:r w:rsidR="00502474">
        <w:t xml:space="preserve"> </w:t>
      </w:r>
      <w:r w:rsidR="00775748">
        <w:t>[would be]</w:t>
      </w:r>
      <w:r w:rsidR="00502474">
        <w:t xml:space="preserve"> submitted in a format </w:t>
      </w:r>
      <w:r w:rsidR="002D67A2">
        <w:t>[in which]</w:t>
      </w:r>
      <w:r w:rsidR="00502474">
        <w:t xml:space="preserve"> they could not be manipulated in the jury room.”  The prosecutor responded</w:t>
      </w:r>
      <w:r w:rsidR="0044775B">
        <w:t xml:space="preserve"> that “that is a player issue, not a file issue,” and she had “already instructed IT</w:t>
      </w:r>
      <w:r w:rsidR="0083758B">
        <w:t xml:space="preserve">” to remove a </w:t>
      </w:r>
      <w:r w:rsidR="007D7DCE">
        <w:t xml:space="preserve">second </w:t>
      </w:r>
      <w:r w:rsidR="00E73C2F">
        <w:t xml:space="preserve">video player from the </w:t>
      </w:r>
      <w:r w:rsidR="00C54E7F">
        <w:t xml:space="preserve">jury’s </w:t>
      </w:r>
      <w:r w:rsidR="00E73C2F">
        <w:t>laptop</w:t>
      </w:r>
      <w:r w:rsidR="0083758B">
        <w:t xml:space="preserve"> that </w:t>
      </w:r>
      <w:r w:rsidR="0007384C">
        <w:t xml:space="preserve">gave </w:t>
      </w:r>
      <w:r w:rsidR="002D67A2">
        <w:t>other</w:t>
      </w:r>
      <w:r w:rsidR="0007384C">
        <w:t xml:space="preserve"> “options” for manipulation.</w:t>
      </w:r>
      <w:r w:rsidR="00491CDA">
        <w:t xml:space="preserve"> </w:t>
      </w:r>
      <w:r w:rsidR="00C54E7F">
        <w:t xml:space="preserve"> </w:t>
      </w:r>
      <w:r w:rsidR="004B7CA1">
        <w:t>Before</w:t>
      </w:r>
      <w:r w:rsidR="002A6C14">
        <w:t xml:space="preserve"> </w:t>
      </w:r>
      <w:r w:rsidR="00D53AA5">
        <w:t>deliberations</w:t>
      </w:r>
      <w:r w:rsidR="004B7CA1">
        <w:t xml:space="preserve">, the jury was instructed </w:t>
      </w:r>
      <w:r w:rsidR="00CD5505">
        <w:t>under CALCRIM No.</w:t>
      </w:r>
      <w:r w:rsidR="00A41DB2">
        <w:t> </w:t>
      </w:r>
      <w:r w:rsidR="00CD5505">
        <w:t xml:space="preserve">200 </w:t>
      </w:r>
      <w:r w:rsidR="004B7CA1">
        <w:t xml:space="preserve">that </w:t>
      </w:r>
      <w:r w:rsidR="00BC09EA">
        <w:t xml:space="preserve">it had “to decide what happened, based only on the evidence that has been presented,” and </w:t>
      </w:r>
      <w:r w:rsidR="00CD5505">
        <w:t>under CALCRIM No.</w:t>
      </w:r>
      <w:r w:rsidR="00A41DB2">
        <w:t> </w:t>
      </w:r>
      <w:r w:rsidR="00CD5505">
        <w:t xml:space="preserve">201 </w:t>
      </w:r>
      <w:r w:rsidR="00F370C9">
        <w:t>that it could not “conduct any tests or experiments</w:t>
      </w:r>
      <w:r w:rsidR="00CD5505">
        <w:t>.</w:t>
      </w:r>
      <w:r w:rsidR="00F370C9">
        <w:t xml:space="preserve">” </w:t>
      </w:r>
    </w:p>
    <w:p w14:paraId="61493266" w14:textId="74890BA1" w:rsidR="007B492A" w:rsidRDefault="00981C56" w:rsidP="00E36CEE">
      <w:pPr>
        <w:spacing w:line="360" w:lineRule="auto"/>
      </w:pPr>
      <w:r>
        <w:lastRenderedPageBreak/>
        <w:tab/>
      </w:r>
      <w:r w:rsidR="00F370C9">
        <w:t xml:space="preserve">After the verdicts, </w:t>
      </w:r>
      <w:r w:rsidR="00C54E7F">
        <w:t>Herrera moved for a new trial on several grounds, including jur</w:t>
      </w:r>
      <w:r w:rsidR="00A33B08">
        <w:t>y</w:t>
      </w:r>
      <w:r w:rsidR="00C54E7F">
        <w:t xml:space="preserve"> misconduct </w:t>
      </w:r>
      <w:r w:rsidR="00F84E34">
        <w:t>based on “</w:t>
      </w:r>
      <w:proofErr w:type="spellStart"/>
      <w:r w:rsidR="00F84E34">
        <w:t>manipu</w:t>
      </w:r>
      <w:r w:rsidR="006A38AD">
        <w:t>lat</w:t>
      </w:r>
      <w:proofErr w:type="spellEnd"/>
      <w:r w:rsidR="006A38AD">
        <w:t>[</w:t>
      </w:r>
      <w:proofErr w:type="spellStart"/>
      <w:r w:rsidR="006A38AD">
        <w:t>ing</w:t>
      </w:r>
      <w:proofErr w:type="spellEnd"/>
      <w:r w:rsidR="006A38AD">
        <w:t>] video to create new evidence</w:t>
      </w:r>
      <w:r w:rsidR="00C54E7F">
        <w:t>.</w:t>
      </w:r>
      <w:r w:rsidR="006A38AD">
        <w:t>”</w:t>
      </w:r>
      <w:r w:rsidR="00C54E7F">
        <w:t xml:space="preserve"> </w:t>
      </w:r>
      <w:r w:rsidR="00362ADE">
        <w:t xml:space="preserve"> He submitted declarations from </w:t>
      </w:r>
      <w:r w:rsidR="00E417DD">
        <w:t>five</w:t>
      </w:r>
      <w:r w:rsidR="00362ADE">
        <w:t xml:space="preserve"> jurors </w:t>
      </w:r>
      <w:r w:rsidR="0044261D">
        <w:t xml:space="preserve">that described how they watched the </w:t>
      </w:r>
      <w:r w:rsidR="007D7639">
        <w:t>21st Street surveillance videos</w:t>
      </w:r>
      <w:r w:rsidR="0044261D">
        <w:t xml:space="preserve">. </w:t>
      </w:r>
      <w:r w:rsidR="00917889">
        <w:t xml:space="preserve"> One juror, S.C., stated</w:t>
      </w:r>
      <w:r w:rsidR="00DB7B0C">
        <w:t xml:space="preserve"> that “[t]he jury watched these videos at least 50 times during deliberations, in regular speed and </w:t>
      </w:r>
      <w:r w:rsidR="009F0E0B">
        <w:t>. . .</w:t>
      </w:r>
      <w:r w:rsidR="00DB7B0C">
        <w:t xml:space="preserve"> a few times in slow motion.” </w:t>
      </w:r>
      <w:r w:rsidR="00713285">
        <w:t xml:space="preserve"> Another juror, C.S.,</w:t>
      </w:r>
      <w:r w:rsidR="002E4209">
        <w:t xml:space="preserve"> stated that the jurors watched the videos “ad nauseum.” </w:t>
      </w:r>
      <w:r w:rsidR="00713285">
        <w:t xml:space="preserve"> </w:t>
      </w:r>
      <w:r w:rsidR="002E4209">
        <w:t xml:space="preserve">According to her, </w:t>
      </w:r>
      <w:r w:rsidR="00713285">
        <w:t xml:space="preserve">the jury was initially “not able to watch the videos in slow motion, but then one of the jurors figured out how to do so.” </w:t>
      </w:r>
      <w:r w:rsidR="00E87A6C">
        <w:t xml:space="preserve"> </w:t>
      </w:r>
    </w:p>
    <w:p w14:paraId="7AC151F4" w14:textId="1D31FD53" w:rsidR="00981C56" w:rsidRDefault="007B492A" w:rsidP="00E36CEE">
      <w:pPr>
        <w:spacing w:line="360" w:lineRule="auto"/>
      </w:pPr>
      <w:r>
        <w:tab/>
      </w:r>
      <w:r w:rsidR="004F1596">
        <w:t>Juror</w:t>
      </w:r>
      <w:r w:rsidR="00E72390">
        <w:t xml:space="preserve"> J.T. stated that the jury “watched these videos repeatedly, after overlaying and sequencing them together so that they played in a loop.”  </w:t>
      </w:r>
      <w:r w:rsidR="004009BF">
        <w:t>According to j</w:t>
      </w:r>
      <w:r w:rsidR="004F1596">
        <w:t xml:space="preserve">uror </w:t>
      </w:r>
      <w:r w:rsidR="004009BF">
        <w:t>M</w:t>
      </w:r>
      <w:r w:rsidR="009941DE">
        <w:t>.</w:t>
      </w:r>
      <w:r w:rsidR="004009BF">
        <w:t>H., “[o]</w:t>
      </w:r>
      <w:proofErr w:type="spellStart"/>
      <w:r w:rsidR="004009BF">
        <w:t>ne</w:t>
      </w:r>
      <w:proofErr w:type="spellEnd"/>
      <w:r w:rsidR="004009BF">
        <w:t xml:space="preserve"> juror was able to set up a few of the </w:t>
      </w:r>
      <w:r w:rsidR="003E7253">
        <w:t xml:space="preserve">videos to play chronologically, in succession, without stopping in between.  To [his] knowledge and recollection, each video was </w:t>
      </w:r>
      <w:r w:rsidR="00316871">
        <w:t xml:space="preserve">played in its entirety, without editing or splicing.” </w:t>
      </w:r>
      <w:r w:rsidR="007D78FA">
        <w:t xml:space="preserve"> </w:t>
      </w:r>
      <w:r w:rsidR="003E7253">
        <w:t xml:space="preserve">S.C. also said the jury “watched the videos looped together,” although she was unsure whether another juror “looped them together or they </w:t>
      </w:r>
      <w:r w:rsidR="009F0E0B">
        <w:t>. . .</w:t>
      </w:r>
      <w:r w:rsidR="003E7253">
        <w:t xml:space="preserve"> already [were] like that.” </w:t>
      </w:r>
    </w:p>
    <w:p w14:paraId="2855B5E4" w14:textId="3D6CAC05" w:rsidR="00004E55" w:rsidRDefault="00325C1C" w:rsidP="00E36CEE">
      <w:pPr>
        <w:spacing w:line="360" w:lineRule="auto"/>
      </w:pPr>
      <w:r>
        <w:tab/>
        <w:t xml:space="preserve">All </w:t>
      </w:r>
      <w:r w:rsidR="004F1596">
        <w:t>but one of the</w:t>
      </w:r>
      <w:r w:rsidR="00FB346D">
        <w:t>se five</w:t>
      </w:r>
      <w:r w:rsidR="004F1596">
        <w:t xml:space="preserve"> </w:t>
      </w:r>
      <w:r>
        <w:t>jurors stated that the surveillance videos “were critical to the verdicts</w:t>
      </w:r>
      <w:r w:rsidR="00D906C5">
        <w:t xml:space="preserve">.” </w:t>
      </w:r>
      <w:r>
        <w:t xml:space="preserve"> </w:t>
      </w:r>
      <w:r w:rsidR="00713285">
        <w:t xml:space="preserve">S.C. declared that </w:t>
      </w:r>
      <w:r w:rsidR="00F301B6">
        <w:t>when viewed during deliberations</w:t>
      </w:r>
      <w:r w:rsidR="00713285">
        <w:t>,</w:t>
      </w:r>
      <w:r w:rsidR="00F301B6">
        <w:t xml:space="preserve"> the videos</w:t>
      </w:r>
      <w:r w:rsidR="009D7889">
        <w:t xml:space="preserve"> showed something “completely different than what [the</w:t>
      </w:r>
      <w:r w:rsidR="00F301B6">
        <w:t xml:space="preserve"> jury</w:t>
      </w:r>
      <w:r w:rsidR="009D7889">
        <w:t>] saw in the courtroom</w:t>
      </w:r>
      <w:r w:rsidR="00E87A6C">
        <w:t>.</w:t>
      </w:r>
      <w:r w:rsidR="009D7889">
        <w:t>”  S</w:t>
      </w:r>
      <w:r w:rsidR="00CE59D0">
        <w:t xml:space="preserve">he </w:t>
      </w:r>
      <w:r w:rsidR="009D7889">
        <w:t xml:space="preserve">stated that </w:t>
      </w:r>
      <w:r w:rsidR="00F301B6">
        <w:t xml:space="preserve">before watching the videos, she had “expected [her] verdict to be not guilty.” </w:t>
      </w:r>
      <w:r w:rsidR="00A8783D">
        <w:t xml:space="preserve"> </w:t>
      </w:r>
    </w:p>
    <w:p w14:paraId="1E84E289" w14:textId="6351DA3B" w:rsidR="007B0C7B" w:rsidRDefault="00004E55" w:rsidP="00E36CEE">
      <w:pPr>
        <w:spacing w:line="360" w:lineRule="auto"/>
      </w:pPr>
      <w:r>
        <w:tab/>
        <w:t xml:space="preserve">The prosecution did not submit any evidence in opposing the motion for a new trial, and no live testimony was presented at the hearing on </w:t>
      </w:r>
      <w:r w:rsidR="00B7599A">
        <w:t>the motion</w:t>
      </w:r>
      <w:r>
        <w:t>.  At th</w:t>
      </w:r>
      <w:r w:rsidR="00555ADB">
        <w:t>at</w:t>
      </w:r>
      <w:r>
        <w:t xml:space="preserve"> hearing, </w:t>
      </w:r>
      <w:r w:rsidR="00C91255">
        <w:t xml:space="preserve">Herrera’s trial counsel argued that </w:t>
      </w:r>
      <w:r w:rsidR="00EF27AB">
        <w:t xml:space="preserve">the jury’s </w:t>
      </w:r>
      <w:r w:rsidR="00DF77FD">
        <w:t xml:space="preserve">manner of watching </w:t>
      </w:r>
      <w:r w:rsidR="00EF27AB">
        <w:t>the surveillance videos amounted to “</w:t>
      </w:r>
      <w:proofErr w:type="spellStart"/>
      <w:r w:rsidR="00EF27AB">
        <w:t>chang</w:t>
      </w:r>
      <w:proofErr w:type="spellEnd"/>
      <w:r w:rsidR="00EF27AB">
        <w:t>[</w:t>
      </w:r>
      <w:proofErr w:type="spellStart"/>
      <w:r w:rsidR="00EF27AB">
        <w:t>ing</w:t>
      </w:r>
      <w:proofErr w:type="spellEnd"/>
      <w:r w:rsidR="00EF27AB">
        <w:t>] the character of the exhibit</w:t>
      </w:r>
      <w:r w:rsidR="00DF77FD">
        <w:t xml:space="preserve">,” and </w:t>
      </w:r>
      <w:r w:rsidR="0068109D">
        <w:t xml:space="preserve">“[t]his ‘completely different’ evidence </w:t>
      </w:r>
      <w:r w:rsidR="0068109D">
        <w:lastRenderedPageBreak/>
        <w:t xml:space="preserve">necessarily went unconfronted” by the defense.  </w:t>
      </w:r>
      <w:r w:rsidR="00735F84">
        <w:t xml:space="preserve">The prosecutor responded that neither slowing down the videos nor looping them amounted to </w:t>
      </w:r>
      <w:r w:rsidR="00F20707">
        <w:t xml:space="preserve">altering the evidence, as the exhibits remained “exactly the same.”  </w:t>
      </w:r>
      <w:r w:rsidR="004828D9">
        <w:t>T</w:t>
      </w:r>
      <w:r w:rsidR="00C769BC">
        <w:t>he jur</w:t>
      </w:r>
      <w:r w:rsidR="004828D9">
        <w:t>ors</w:t>
      </w:r>
      <w:r w:rsidR="00C769BC">
        <w:t xml:space="preserve"> w</w:t>
      </w:r>
      <w:r w:rsidR="00775400">
        <w:t>ere</w:t>
      </w:r>
      <w:r w:rsidR="00C769BC">
        <w:t xml:space="preserve"> able to see the videos better </w:t>
      </w:r>
      <w:r w:rsidR="004828D9">
        <w:t xml:space="preserve">during deliberations than during trial because they could get closer to the screen, but that was “fair.” </w:t>
      </w:r>
    </w:p>
    <w:p w14:paraId="6A3CAB0D" w14:textId="5A9ACBFB" w:rsidR="00366CF2" w:rsidRDefault="004828D9" w:rsidP="00E36CEE">
      <w:pPr>
        <w:spacing w:line="360" w:lineRule="auto"/>
      </w:pPr>
      <w:r>
        <w:tab/>
      </w:r>
      <w:r w:rsidR="002944D3">
        <w:t>T</w:t>
      </w:r>
      <w:r>
        <w:t xml:space="preserve">he trial court denied the motion for a new trial. </w:t>
      </w:r>
      <w:r w:rsidR="001134DE">
        <w:t xml:space="preserve"> </w:t>
      </w:r>
      <w:r w:rsidR="00F344D9">
        <w:t>T</w:t>
      </w:r>
      <w:r w:rsidR="00906AA8">
        <w:t xml:space="preserve">he court </w:t>
      </w:r>
      <w:r w:rsidR="00605409">
        <w:t>determined</w:t>
      </w:r>
      <w:r w:rsidR="00906AA8">
        <w:t xml:space="preserve"> that</w:t>
      </w:r>
      <w:r w:rsidR="001134DE">
        <w:t xml:space="preserve"> </w:t>
      </w:r>
      <w:r w:rsidR="00906AA8">
        <w:t xml:space="preserve">“the looping and slowing down of the videos” did not amount to “an illicit experiment which created new evidence.” </w:t>
      </w:r>
      <w:r w:rsidR="00605409">
        <w:t xml:space="preserve"> </w:t>
      </w:r>
      <w:r w:rsidR="00942373">
        <w:t xml:space="preserve">Rather, the jury </w:t>
      </w:r>
      <w:r w:rsidR="00F344D9">
        <w:t>“examin</w:t>
      </w:r>
      <w:r w:rsidR="00942373">
        <w:t>ed</w:t>
      </w:r>
      <w:r w:rsidR="00F344D9">
        <w:t xml:space="preserve"> </w:t>
      </w:r>
      <w:r w:rsidR="00775400">
        <w:t>. . .</w:t>
      </w:r>
      <w:r w:rsidR="00F344D9">
        <w:t xml:space="preserve"> the evidence in a detail[ed] and rigorous manner” and</w:t>
      </w:r>
      <w:r w:rsidR="00605409">
        <w:t xml:space="preserve"> did not </w:t>
      </w:r>
      <w:r w:rsidR="005042A5">
        <w:t>“[go] beyond the evidence admitted</w:t>
      </w:r>
      <w:r w:rsidR="00F344D9">
        <w:t xml:space="preserve">.” </w:t>
      </w:r>
    </w:p>
    <w:p w14:paraId="388338D2" w14:textId="3480C15E" w:rsidR="00F344D9" w:rsidRDefault="00F344D9" w:rsidP="00B6183B">
      <w:pPr>
        <w:keepNext/>
        <w:spacing w:line="360" w:lineRule="auto"/>
      </w:pPr>
      <w:r>
        <w:tab/>
      </w:r>
      <w:r>
        <w:tab/>
        <w:t>2.</w:t>
      </w:r>
      <w:r>
        <w:tab/>
        <w:t>Analysis</w:t>
      </w:r>
    </w:p>
    <w:p w14:paraId="504A40F5" w14:textId="1A4E7DFF" w:rsidR="00E7319B" w:rsidRDefault="00942373" w:rsidP="00E36CEE">
      <w:pPr>
        <w:spacing w:line="360" w:lineRule="auto"/>
      </w:pPr>
      <w:r>
        <w:tab/>
      </w:r>
      <w:r w:rsidR="00612F1B">
        <w:t xml:space="preserve">Herrera claims the jury’s viewing of the surveillance videos </w:t>
      </w:r>
      <w:r w:rsidR="002E07C9">
        <w:t>constituted “improper</w:t>
      </w:r>
      <w:r w:rsidR="00A63D4C">
        <w:t xml:space="preserve"> experimentation,” requiring a new trial.  </w:t>
      </w:r>
      <w:r w:rsidR="0087307A">
        <w:t>We disagree</w:t>
      </w:r>
      <w:r w:rsidR="00E7319B">
        <w:t>.</w:t>
      </w:r>
    </w:p>
    <w:p w14:paraId="6F2E1E44" w14:textId="78E626DD" w:rsidR="009C3DAF" w:rsidRDefault="00E7319B" w:rsidP="00E36CEE">
      <w:pPr>
        <w:spacing w:line="360" w:lineRule="auto"/>
      </w:pPr>
      <w:r>
        <w:tab/>
        <w:t>In a criminal case, a new trial may be granted on the ground</w:t>
      </w:r>
      <w:r w:rsidR="0061337A">
        <w:t>s</w:t>
      </w:r>
      <w:r>
        <w:t xml:space="preserve"> that</w:t>
      </w:r>
      <w:r w:rsidR="00755868">
        <w:t xml:space="preserve"> “the jury has received any evidence out of court, other than that resulting from a view of the premises, or of personal property,” or that</w:t>
      </w:r>
      <w:r>
        <w:t xml:space="preserve"> the jury engaged in “misconduct by which a fair and due consideration of the case has been prevented.”  (§</w:t>
      </w:r>
      <w:r w:rsidR="00A41DB2">
        <w:t> </w:t>
      </w:r>
      <w:r>
        <w:t>1181, subd</w:t>
      </w:r>
      <w:r w:rsidR="009C3DAF">
        <w:t>s</w:t>
      </w:r>
      <w:r>
        <w:t xml:space="preserve">. </w:t>
      </w:r>
      <w:r w:rsidR="009C3DAF">
        <w:t xml:space="preserve">(2) &amp; </w:t>
      </w:r>
      <w:r>
        <w:t>(3).)</w:t>
      </w:r>
      <w:r w:rsidR="009C3DAF">
        <w:t xml:space="preserve">  </w:t>
      </w:r>
      <w:r w:rsidR="00AC7A8E">
        <w:t xml:space="preserve">It is </w:t>
      </w:r>
      <w:r w:rsidR="007A1648">
        <w:t>jur</w:t>
      </w:r>
      <w:r w:rsidR="00A33B08">
        <w:t>y</w:t>
      </w:r>
      <w:r w:rsidR="007A1648">
        <w:t xml:space="preserve"> misconduct</w:t>
      </w:r>
      <w:r w:rsidR="00AC7A8E">
        <w:t xml:space="preserve"> to </w:t>
      </w:r>
      <w:r w:rsidR="00B077CF">
        <w:t xml:space="preserve">perform “an experiment that results in the acquisition of new evidence,” but it is not </w:t>
      </w:r>
      <w:proofErr w:type="gramStart"/>
      <w:r w:rsidR="00B077CF">
        <w:t>misconduct</w:t>
      </w:r>
      <w:proofErr w:type="gramEnd"/>
      <w:r w:rsidR="00B077CF">
        <w:t xml:space="preserve"> </w:t>
      </w:r>
      <w:r w:rsidR="007C218A">
        <w:t>to perform “a ‘more critical examination’ of the evidence admitted.”  (</w:t>
      </w:r>
      <w:r w:rsidR="007C218A">
        <w:rPr>
          <w:i/>
          <w:iCs/>
        </w:rPr>
        <w:t>People</w:t>
      </w:r>
      <w:r w:rsidR="00A41DB2">
        <w:rPr>
          <w:i/>
          <w:iCs/>
        </w:rPr>
        <w:t> </w:t>
      </w:r>
      <w:r w:rsidR="007C218A">
        <w:rPr>
          <w:i/>
          <w:iCs/>
        </w:rPr>
        <w:t>v. Collins</w:t>
      </w:r>
      <w:r w:rsidR="007C218A">
        <w:t xml:space="preserve"> (2010) 49</w:t>
      </w:r>
      <w:r w:rsidR="00A41DB2">
        <w:t> </w:t>
      </w:r>
      <w:r w:rsidR="007C218A">
        <w:t xml:space="preserve">Cal.4th 175, </w:t>
      </w:r>
      <w:r w:rsidR="007A1648">
        <w:t>244 (</w:t>
      </w:r>
      <w:r w:rsidR="007A1648">
        <w:rPr>
          <w:i/>
          <w:iCs/>
        </w:rPr>
        <w:t>Collins</w:t>
      </w:r>
      <w:r w:rsidR="007A1648">
        <w:t>).)</w:t>
      </w:r>
      <w:r>
        <w:t xml:space="preserve">  </w:t>
      </w:r>
    </w:p>
    <w:p w14:paraId="16D335C3" w14:textId="43E4E577" w:rsidR="00D0340F" w:rsidRDefault="007A1648" w:rsidP="00E36CEE">
      <w:pPr>
        <w:spacing w:line="360" w:lineRule="auto"/>
      </w:pPr>
      <w:r>
        <w:tab/>
      </w:r>
      <w:r w:rsidR="00E7319B">
        <w:t>We review</w:t>
      </w:r>
      <w:r w:rsidR="001C7B72">
        <w:t xml:space="preserve"> de novo</w:t>
      </w:r>
      <w:r w:rsidR="00E7319B">
        <w:t xml:space="preserve"> the denial of a motion for a new trial based on jur</w:t>
      </w:r>
      <w:r w:rsidR="00A33B08">
        <w:t>y</w:t>
      </w:r>
      <w:r w:rsidR="00137F58">
        <w:t xml:space="preserve"> </w:t>
      </w:r>
      <w:r w:rsidR="00E7319B">
        <w:t>misconduct.  (</w:t>
      </w:r>
      <w:r w:rsidR="00E7319B">
        <w:rPr>
          <w:i/>
          <w:iCs/>
        </w:rPr>
        <w:t>People</w:t>
      </w:r>
      <w:r w:rsidR="00A41DB2">
        <w:rPr>
          <w:i/>
          <w:iCs/>
        </w:rPr>
        <w:t> </w:t>
      </w:r>
      <w:r w:rsidR="00E7319B">
        <w:rPr>
          <w:i/>
          <w:iCs/>
        </w:rPr>
        <w:t>v. Gamache</w:t>
      </w:r>
      <w:r w:rsidR="00E7319B">
        <w:t xml:space="preserve"> (2010) 48</w:t>
      </w:r>
      <w:r w:rsidR="00A41DB2">
        <w:t> </w:t>
      </w:r>
      <w:r w:rsidR="00E7319B">
        <w:t xml:space="preserve">Cal.4th 347, 396.)  In </w:t>
      </w:r>
      <w:r w:rsidR="004D4A95">
        <w:t>doing so</w:t>
      </w:r>
      <w:r w:rsidR="00E7319B">
        <w:t xml:space="preserve">, we </w:t>
      </w:r>
      <w:proofErr w:type="gramStart"/>
      <w:r w:rsidR="00E7319B">
        <w:t>“</w:t>
      </w:r>
      <w:r w:rsidR="009E7E40">
        <w:t> </w:t>
      </w:r>
      <w:r w:rsidR="00E7319B">
        <w:t>‘</w:t>
      </w:r>
      <w:proofErr w:type="gramEnd"/>
      <w:r w:rsidR="009E7E40">
        <w:t> </w:t>
      </w:r>
      <w:r w:rsidR="00E7319B">
        <w:t>“accept the trial court’s credibility determinations and findings on questions of historical fact if supported by substantial evidence.”</w:t>
      </w:r>
      <w:r w:rsidR="001C7B72">
        <w:t> </w:t>
      </w:r>
      <w:r w:rsidR="00E7319B">
        <w:t>’</w:t>
      </w:r>
      <w:r w:rsidR="001C7B72">
        <w:t> </w:t>
      </w:r>
      <w:r w:rsidR="00E7319B">
        <w:t>”</w:t>
      </w:r>
      <w:r w:rsidR="001C7B72">
        <w:t xml:space="preserve">  </w:t>
      </w:r>
      <w:r w:rsidR="00E7319B">
        <w:t>(</w:t>
      </w:r>
      <w:r w:rsidR="00E7319B">
        <w:rPr>
          <w:i/>
          <w:iCs/>
        </w:rPr>
        <w:t>Ibid.</w:t>
      </w:r>
      <w:r w:rsidR="00E7319B">
        <w:t>)</w:t>
      </w:r>
      <w:r w:rsidR="001C7B72">
        <w:t xml:space="preserve">  The question whether “those facts constitute misconduct</w:t>
      </w:r>
      <w:r w:rsidR="00841708">
        <w:t xml:space="preserve"> </w:t>
      </w:r>
      <w:r w:rsidR="002F020C">
        <w:t>. . .</w:t>
      </w:r>
      <w:r w:rsidR="00841708">
        <w:t xml:space="preserve"> [is] a legal question we review independently.”  (</w:t>
      </w:r>
      <w:r w:rsidR="00841708">
        <w:rPr>
          <w:i/>
          <w:iCs/>
        </w:rPr>
        <w:t>Collins</w:t>
      </w:r>
      <w:r w:rsidR="00841708">
        <w:t xml:space="preserve">, </w:t>
      </w:r>
      <w:r w:rsidR="00841708">
        <w:rPr>
          <w:i/>
          <w:iCs/>
        </w:rPr>
        <w:t>supra</w:t>
      </w:r>
      <w:r w:rsidR="00841708">
        <w:t>, 49</w:t>
      </w:r>
      <w:r w:rsidR="00002264">
        <w:t> </w:t>
      </w:r>
      <w:r w:rsidR="00841708">
        <w:t>Cal.4th at p.</w:t>
      </w:r>
      <w:r w:rsidR="00002264">
        <w:t> </w:t>
      </w:r>
      <w:r w:rsidR="00841708">
        <w:t>242.)</w:t>
      </w:r>
      <w:r w:rsidR="00E7319B">
        <w:t xml:space="preserve"> </w:t>
      </w:r>
    </w:p>
    <w:p w14:paraId="05168252" w14:textId="32EE1D5B" w:rsidR="00202496" w:rsidRDefault="00AD1385" w:rsidP="00E36CEE">
      <w:pPr>
        <w:spacing w:line="360" w:lineRule="auto"/>
      </w:pPr>
      <w:r>
        <w:lastRenderedPageBreak/>
        <w:tab/>
        <w:t>“Courts evaluate a motion for a new trial based on jury misconduct in three steps</w:t>
      </w:r>
      <w:proofErr w:type="gramStart"/>
      <w:r>
        <w:t>:  (</w:t>
      </w:r>
      <w:proofErr w:type="gramEnd"/>
      <w:r>
        <w:t>1) determine what evidence is admissible; (2) if there is admissible evidence, decide if it establishes misconduct; and (3) if there is misconduct, determine whether it was prejudicial.”  (</w:t>
      </w:r>
      <w:r w:rsidR="009A40A6">
        <w:rPr>
          <w:i/>
          <w:iCs/>
        </w:rPr>
        <w:t>People</w:t>
      </w:r>
      <w:r w:rsidR="00002264">
        <w:rPr>
          <w:i/>
          <w:iCs/>
        </w:rPr>
        <w:t> </w:t>
      </w:r>
      <w:r w:rsidR="009A40A6">
        <w:rPr>
          <w:i/>
          <w:iCs/>
        </w:rPr>
        <w:t xml:space="preserve">v. Flores </w:t>
      </w:r>
      <w:r w:rsidR="009A40A6">
        <w:t>(2021) 70 Cal.App.5th 100, 107 (</w:t>
      </w:r>
      <w:r w:rsidR="009A40A6">
        <w:rPr>
          <w:i/>
          <w:iCs/>
        </w:rPr>
        <w:t>Flores</w:t>
      </w:r>
      <w:r w:rsidR="009A40A6">
        <w:t xml:space="preserve">).)  </w:t>
      </w:r>
      <w:r w:rsidR="00860DB3">
        <w:t>Here</w:t>
      </w:r>
      <w:r w:rsidR="009A40A6">
        <w:t xml:space="preserve">, we need not </w:t>
      </w:r>
      <w:r w:rsidR="00CE5FBB">
        <w:t>address the</w:t>
      </w:r>
      <w:r w:rsidR="00726046">
        <w:t xml:space="preserve"> parties’</w:t>
      </w:r>
      <w:r w:rsidR="00CE5FBB">
        <w:t xml:space="preserve"> dis</w:t>
      </w:r>
      <w:r w:rsidR="00726046">
        <w:t>pute about</w:t>
      </w:r>
      <w:r w:rsidR="00CE5FBB">
        <w:t xml:space="preserve"> which</w:t>
      </w:r>
      <w:r w:rsidR="00FD4691">
        <w:t xml:space="preserve"> portions of the juror</w:t>
      </w:r>
      <w:r w:rsidR="009A40A6">
        <w:t xml:space="preserve"> declarations</w:t>
      </w:r>
      <w:r w:rsidR="00FD4691">
        <w:t xml:space="preserve"> were admissible</w:t>
      </w:r>
      <w:r w:rsidR="009A40A6">
        <w:t xml:space="preserve"> under </w:t>
      </w:r>
      <w:r>
        <w:t>Evidence Code section</w:t>
      </w:r>
      <w:r w:rsidR="00002264">
        <w:t> </w:t>
      </w:r>
      <w:r>
        <w:t>1150</w:t>
      </w:r>
      <w:r w:rsidR="009A40A6">
        <w:t xml:space="preserve">, which bars evidence of a juror’s reasoning process. </w:t>
      </w:r>
      <w:r w:rsidR="00AE651F">
        <w:t xml:space="preserve"> The trial court did not </w:t>
      </w:r>
      <w:r w:rsidR="00FF3B2C">
        <w:t xml:space="preserve">clearly exclude any statements under this statute, and </w:t>
      </w:r>
      <w:r w:rsidR="00004E55">
        <w:t xml:space="preserve">Herrera’s claim fails even if we assume that the declarations were </w:t>
      </w:r>
      <w:r w:rsidR="00202496">
        <w:t>admissible in whole.</w:t>
      </w:r>
    </w:p>
    <w:p w14:paraId="20DF856E" w14:textId="4B443A29" w:rsidR="00877C13" w:rsidRDefault="00202496" w:rsidP="00E36CEE">
      <w:pPr>
        <w:spacing w:line="360" w:lineRule="auto"/>
      </w:pPr>
      <w:r>
        <w:tab/>
      </w:r>
      <w:r w:rsidR="00601D48">
        <w:t xml:space="preserve">As our state Supreme Court has explained, “Not every jury experiment </w:t>
      </w:r>
      <w:r w:rsidR="00910108">
        <w:t xml:space="preserve">constitutes misconduct.  Improper experiments are those that allow the jury to discover </w:t>
      </w:r>
      <w:r w:rsidR="00910108">
        <w:rPr>
          <w:i/>
          <w:iCs/>
        </w:rPr>
        <w:t>new</w:t>
      </w:r>
      <w:r w:rsidR="00910108">
        <w:t xml:space="preserve"> evidence by delving into areas not examined at trial.</w:t>
      </w:r>
      <w:r w:rsidR="00CB02D4">
        <w:t>”  (</w:t>
      </w:r>
      <w:r w:rsidR="00CB02D4">
        <w:rPr>
          <w:i/>
          <w:iCs/>
        </w:rPr>
        <w:t>Collins</w:t>
      </w:r>
      <w:r w:rsidR="00CB02D4">
        <w:t xml:space="preserve">, </w:t>
      </w:r>
      <w:r w:rsidR="00CB02D4">
        <w:rPr>
          <w:i/>
          <w:iCs/>
        </w:rPr>
        <w:t>supra</w:t>
      </w:r>
      <w:r w:rsidR="00CB02D4">
        <w:t>, 49</w:t>
      </w:r>
      <w:r w:rsidR="00002264">
        <w:t> </w:t>
      </w:r>
      <w:r w:rsidR="00CB02D4">
        <w:t>Cal.4th at p.</w:t>
      </w:r>
      <w:r w:rsidR="00002264">
        <w:t> </w:t>
      </w:r>
      <w:r w:rsidR="00CB02D4">
        <w:t>249.)</w:t>
      </w:r>
      <w:r w:rsidR="00054A0E">
        <w:t xml:space="preserve">  The jury may, however, “</w:t>
      </w:r>
      <w:r w:rsidR="001926C1">
        <w:t>weigh and evaluate the evidenc</w:t>
      </w:r>
      <w:r w:rsidR="007D0379">
        <w:t>e</w:t>
      </w:r>
      <w:r w:rsidR="001926C1">
        <w:t xml:space="preserve"> it has received.  It is entitled to scrutinize that evidence, </w:t>
      </w:r>
      <w:r w:rsidR="00901372">
        <w:t xml:space="preserve">subjecting it to careful consideration by testing all reasonable inferences.  It may reexamine the evidence in a slightly different context as long as that evaluation is within the </w:t>
      </w:r>
      <w:proofErr w:type="gramStart"/>
      <w:r w:rsidR="00901372">
        <w:t>‘</w:t>
      </w:r>
      <w:r w:rsidR="002F020C">
        <w:t> </w:t>
      </w:r>
      <w:r w:rsidR="00901372">
        <w:t>“</w:t>
      </w:r>
      <w:proofErr w:type="gramEnd"/>
      <w:r w:rsidR="00901372">
        <w:t>scop</w:t>
      </w:r>
      <w:r w:rsidR="007D0379">
        <w:t>e and purview of the evidence.”</w:t>
      </w:r>
      <w:r w:rsidR="002F020C">
        <w:t> </w:t>
      </w:r>
      <w:r w:rsidR="007D0379">
        <w:t>’  [Citation.]  What the jury cannot do is conduct a new investigation going beyond the evidence admitted.”  (</w:t>
      </w:r>
      <w:r w:rsidR="007D0379">
        <w:rPr>
          <w:i/>
          <w:iCs/>
        </w:rPr>
        <w:t>Ibid.</w:t>
      </w:r>
      <w:r w:rsidR="007D0379">
        <w:t>)</w:t>
      </w:r>
    </w:p>
    <w:p w14:paraId="3A86B98D" w14:textId="0F11FBB4" w:rsidR="00206602" w:rsidRDefault="00877C13" w:rsidP="00E36CEE">
      <w:pPr>
        <w:spacing w:line="360" w:lineRule="auto"/>
      </w:pPr>
      <w:r>
        <w:tab/>
        <w:t xml:space="preserve">In </w:t>
      </w:r>
      <w:r>
        <w:rPr>
          <w:i/>
          <w:iCs/>
        </w:rPr>
        <w:t>Collins</w:t>
      </w:r>
      <w:r>
        <w:t xml:space="preserve">, </w:t>
      </w:r>
      <w:r w:rsidR="00FF4768">
        <w:t xml:space="preserve">a juror “used his computer to create a model that allowed him to determine, under his interpretation of the evidence, the relative positions of the shooter and the [murder] victim.”  </w:t>
      </w:r>
      <w:r w:rsidR="00B10DE3">
        <w:t>(</w:t>
      </w:r>
      <w:r w:rsidR="00B10DE3">
        <w:rPr>
          <w:i/>
          <w:iCs/>
        </w:rPr>
        <w:t>Collins</w:t>
      </w:r>
      <w:r w:rsidR="00B10DE3">
        <w:t xml:space="preserve">, </w:t>
      </w:r>
      <w:r w:rsidR="00B10DE3">
        <w:rPr>
          <w:i/>
          <w:iCs/>
        </w:rPr>
        <w:t>supra</w:t>
      </w:r>
      <w:r w:rsidR="00B10DE3">
        <w:t>, 49</w:t>
      </w:r>
      <w:r w:rsidR="004A086D">
        <w:t> </w:t>
      </w:r>
      <w:r w:rsidR="00B10DE3">
        <w:t>Cal.4th at p.</w:t>
      </w:r>
      <w:r w:rsidR="002F020C">
        <w:t> </w:t>
      </w:r>
      <w:r w:rsidR="00B10DE3">
        <w:t>252.)</w:t>
      </w:r>
      <w:r w:rsidR="00054A0E">
        <w:t xml:space="preserve">  </w:t>
      </w:r>
      <w:r w:rsidR="00B10DE3">
        <w:t>T</w:t>
      </w:r>
      <w:r w:rsidR="001028E6">
        <w:t xml:space="preserve">he manner in which the victim was shot was relevant to determining whether </w:t>
      </w:r>
      <w:r w:rsidR="00B10DE3">
        <w:t>the defendant should receive the death penalty.</w:t>
      </w:r>
      <w:r w:rsidR="00B60591">
        <w:t xml:space="preserve">  (</w:t>
      </w:r>
      <w:r w:rsidR="00B60591">
        <w:rPr>
          <w:i/>
          <w:iCs/>
        </w:rPr>
        <w:t>Id.</w:t>
      </w:r>
      <w:r w:rsidR="00B60591">
        <w:t xml:space="preserve"> at p.</w:t>
      </w:r>
      <w:r w:rsidR="002F020C">
        <w:t> </w:t>
      </w:r>
      <w:r w:rsidR="00B60591">
        <w:t>251.)</w:t>
      </w:r>
      <w:r w:rsidR="00FF4768">
        <w:t xml:space="preserve">  </w:t>
      </w:r>
      <w:r w:rsidR="00181417">
        <w:t>The Supreme Court held that the</w:t>
      </w:r>
      <w:r w:rsidR="00CF584E">
        <w:t xml:space="preserve"> juror had not committed misconduct because the diagram he created </w:t>
      </w:r>
      <w:r w:rsidR="00240C98">
        <w:t>reflected evidence from</w:t>
      </w:r>
      <w:r w:rsidR="007D51A6">
        <w:t xml:space="preserve"> the trial, </w:t>
      </w:r>
      <w:r w:rsidR="007D51A6">
        <w:lastRenderedPageBreak/>
        <w:t>including</w:t>
      </w:r>
      <w:r w:rsidR="00B211CF">
        <w:t xml:space="preserve"> the </w:t>
      </w:r>
      <w:r w:rsidR="00AF2F41">
        <w:t xml:space="preserve">victim’s height, the defendant’s height, and the angle </w:t>
      </w:r>
      <w:r w:rsidR="003A1FF2">
        <w:t>of the bullet’s trajectory to which an expert had testified.  (</w:t>
      </w:r>
      <w:r w:rsidR="003A1FF2">
        <w:rPr>
          <w:i/>
          <w:iCs/>
        </w:rPr>
        <w:t>Id.</w:t>
      </w:r>
      <w:r w:rsidR="003A1FF2">
        <w:t xml:space="preserve"> at pp.</w:t>
      </w:r>
      <w:r w:rsidR="002F020C">
        <w:t> </w:t>
      </w:r>
      <w:r w:rsidR="003A1FF2">
        <w:t xml:space="preserve">252–253.)  Thus, </w:t>
      </w:r>
      <w:r w:rsidR="002A3AB6">
        <w:t xml:space="preserve">the diagram “did not interject any information outside </w:t>
      </w:r>
      <w:r w:rsidR="00986AB0">
        <w:t>the record.”  (</w:t>
      </w:r>
      <w:r w:rsidR="00986AB0">
        <w:rPr>
          <w:i/>
          <w:iCs/>
        </w:rPr>
        <w:t>Id.</w:t>
      </w:r>
      <w:r w:rsidR="00986AB0">
        <w:t xml:space="preserve"> at p.</w:t>
      </w:r>
      <w:r w:rsidR="004A086D">
        <w:t> </w:t>
      </w:r>
      <w:r w:rsidR="00986AB0">
        <w:t xml:space="preserve">253.)  Nor </w:t>
      </w:r>
      <w:r w:rsidR="00BE4D64">
        <w:t>was there any “showing that the computer or its software performed any analytical function or provided any outside information</w:t>
      </w:r>
      <w:r w:rsidR="00A02A6A">
        <w:t>,</w:t>
      </w:r>
      <w:r w:rsidR="00BE4D64">
        <w:t>”</w:t>
      </w:r>
      <w:r w:rsidR="00A02A6A">
        <w:t xml:space="preserve"> </w:t>
      </w:r>
      <w:r w:rsidR="00206602">
        <w:t>meaning</w:t>
      </w:r>
      <w:r w:rsidR="00A02A6A">
        <w:t xml:space="preserve"> the juror could have created a similar diagram by hand.</w:t>
      </w:r>
      <w:r w:rsidR="00BE4D64">
        <w:t xml:space="preserve">  (</w:t>
      </w:r>
      <w:r w:rsidR="00BE4D64">
        <w:rPr>
          <w:i/>
          <w:iCs/>
        </w:rPr>
        <w:t>Id.</w:t>
      </w:r>
      <w:r w:rsidR="00BE4D64">
        <w:t xml:space="preserve"> at p.</w:t>
      </w:r>
      <w:r w:rsidR="00206602">
        <w:t> </w:t>
      </w:r>
      <w:r w:rsidR="00BE4D64">
        <w:t>255.)</w:t>
      </w:r>
      <w:r w:rsidR="00277373">
        <w:t xml:space="preserve">  Thus, the computer</w:t>
      </w:r>
      <w:r w:rsidR="00F8182A">
        <w:t xml:space="preserve"> “was simply the device that allowed [him] to draw his diagram with ease and accuracy in order to visualize the evidence</w:t>
      </w:r>
      <w:r w:rsidR="00206602">
        <w:t>.”</w:t>
      </w:r>
      <w:r w:rsidR="00F8182A">
        <w:t xml:space="preserve">  (</w:t>
      </w:r>
      <w:r w:rsidR="00F8182A">
        <w:rPr>
          <w:i/>
          <w:iCs/>
        </w:rPr>
        <w:t>I</w:t>
      </w:r>
      <w:r w:rsidR="00277373">
        <w:rPr>
          <w:i/>
          <w:iCs/>
        </w:rPr>
        <w:t>bid.</w:t>
      </w:r>
      <w:r w:rsidR="00277373">
        <w:t>)</w:t>
      </w:r>
    </w:p>
    <w:p w14:paraId="4F290339" w14:textId="3E3BD1EC" w:rsidR="00376D87" w:rsidRDefault="00206602" w:rsidP="00E36CEE">
      <w:pPr>
        <w:spacing w:line="360" w:lineRule="auto"/>
      </w:pPr>
      <w:r>
        <w:tab/>
      </w:r>
      <w:r w:rsidR="00F8182A">
        <w:t xml:space="preserve"> </w:t>
      </w:r>
      <w:r w:rsidR="00717179">
        <w:rPr>
          <w:i/>
          <w:iCs/>
        </w:rPr>
        <w:t>Collins</w:t>
      </w:r>
      <w:r w:rsidR="00717179">
        <w:t xml:space="preserve"> “caution[ed] that a computer may be misused to </w:t>
      </w:r>
      <w:r w:rsidR="00717179">
        <w:rPr>
          <w:i/>
          <w:iCs/>
        </w:rPr>
        <w:t>investigate</w:t>
      </w:r>
      <w:r w:rsidR="00717179">
        <w:t xml:space="preserve"> the evidence,” citing numerous cases in which jurors </w:t>
      </w:r>
      <w:r w:rsidR="00E55C86">
        <w:t>searched the Internet for information.  (</w:t>
      </w:r>
      <w:r w:rsidR="00E55C86">
        <w:rPr>
          <w:i/>
          <w:iCs/>
        </w:rPr>
        <w:t>Collins</w:t>
      </w:r>
      <w:r w:rsidR="00E55C86">
        <w:t xml:space="preserve">, </w:t>
      </w:r>
      <w:r w:rsidR="00E55C86">
        <w:rPr>
          <w:i/>
          <w:iCs/>
        </w:rPr>
        <w:t>supra</w:t>
      </w:r>
      <w:r w:rsidR="00E55C86">
        <w:t>, 49 Cal.4th at pp.</w:t>
      </w:r>
      <w:r w:rsidR="002F020C">
        <w:t> </w:t>
      </w:r>
      <w:r w:rsidR="00E55C86">
        <w:t xml:space="preserve">255–256.)  The Supreme Court </w:t>
      </w:r>
      <w:r w:rsidR="007D1613">
        <w:t xml:space="preserve">also observed that if a juror </w:t>
      </w:r>
      <w:r w:rsidR="00AC4EFD">
        <w:t>performed an investigation “</w:t>
      </w:r>
      <w:proofErr w:type="spellStart"/>
      <w:r w:rsidR="00AC4EFD">
        <w:t>rel</w:t>
      </w:r>
      <w:proofErr w:type="spellEnd"/>
      <w:r w:rsidR="00AC4EFD">
        <w:t>[</w:t>
      </w:r>
      <w:proofErr w:type="spellStart"/>
      <w:r w:rsidR="00AC4EFD">
        <w:t>ying</w:t>
      </w:r>
      <w:proofErr w:type="spellEnd"/>
      <w:r w:rsidR="00AC4EFD">
        <w:t>] on software that manipulates the data, subjecting it to presumptions written into the program, such use would likely constitute an improper experiment.”  (</w:t>
      </w:r>
      <w:r w:rsidR="00AC4EFD">
        <w:rPr>
          <w:i/>
          <w:iCs/>
        </w:rPr>
        <w:t>Id.</w:t>
      </w:r>
      <w:r w:rsidR="00AC4EFD">
        <w:t xml:space="preserve"> at p. 256.)  This would be akin to </w:t>
      </w:r>
      <w:r w:rsidR="000267EA">
        <w:t xml:space="preserve">other </w:t>
      </w:r>
      <w:r w:rsidR="008C269B">
        <w:t>situations</w:t>
      </w:r>
      <w:r w:rsidR="000267EA">
        <w:t xml:space="preserve"> in which jurors </w:t>
      </w:r>
      <w:r w:rsidR="00753FDF">
        <w:t xml:space="preserve">improperly </w:t>
      </w:r>
      <w:r w:rsidR="000267EA">
        <w:t xml:space="preserve">used tools, such as binoculars, </w:t>
      </w:r>
      <w:r w:rsidR="00753FDF">
        <w:t>to “</w:t>
      </w:r>
      <w:proofErr w:type="gramStart"/>
      <w:r w:rsidR="00753FDF">
        <w:t>create[</w:t>
      </w:r>
      <w:proofErr w:type="gramEnd"/>
      <w:r w:rsidR="00753FDF">
        <w:t>] extraneous evidence not admitted at trial.”  (</w:t>
      </w:r>
      <w:r w:rsidR="00753FDF">
        <w:rPr>
          <w:i/>
          <w:iCs/>
        </w:rPr>
        <w:t>Ibid.</w:t>
      </w:r>
      <w:r w:rsidR="00376D87">
        <w:t xml:space="preserve">; see </w:t>
      </w:r>
      <w:r w:rsidR="00376D87">
        <w:rPr>
          <w:i/>
          <w:iCs/>
        </w:rPr>
        <w:t>People</w:t>
      </w:r>
      <w:r w:rsidR="004A086D">
        <w:rPr>
          <w:i/>
          <w:iCs/>
        </w:rPr>
        <w:t> </w:t>
      </w:r>
      <w:r w:rsidR="00376D87">
        <w:rPr>
          <w:i/>
          <w:iCs/>
        </w:rPr>
        <w:t>v. Castro</w:t>
      </w:r>
      <w:r w:rsidR="00376D87">
        <w:t xml:space="preserve"> (1986)</w:t>
      </w:r>
      <w:r w:rsidR="00376D87">
        <w:rPr>
          <w:i/>
          <w:iCs/>
        </w:rPr>
        <w:t xml:space="preserve"> </w:t>
      </w:r>
      <w:r w:rsidR="00376D87">
        <w:t>184 Cal.App.3d 849</w:t>
      </w:r>
      <w:r w:rsidR="00DE784E">
        <w:t>, 852.)</w:t>
      </w:r>
    </w:p>
    <w:p w14:paraId="13E209DB" w14:textId="4B0EBED0" w:rsidR="004554DC" w:rsidRDefault="00DE784E" w:rsidP="00E36CEE">
      <w:pPr>
        <w:spacing w:line="360" w:lineRule="auto"/>
      </w:pPr>
      <w:r>
        <w:tab/>
        <w:t xml:space="preserve">Herrera </w:t>
      </w:r>
      <w:r w:rsidR="00F3726B">
        <w:t xml:space="preserve">argues </w:t>
      </w:r>
      <w:r w:rsidR="008C269B">
        <w:t>t</w:t>
      </w:r>
      <w:r w:rsidR="00A06E52">
        <w:t xml:space="preserve">hat this case presents an example of </w:t>
      </w:r>
      <w:r w:rsidR="00B30144">
        <w:t xml:space="preserve">the type of computer misuse </w:t>
      </w:r>
      <w:r w:rsidR="00555BC0">
        <w:rPr>
          <w:i/>
          <w:iCs/>
        </w:rPr>
        <w:t xml:space="preserve">Collins </w:t>
      </w:r>
      <w:r w:rsidR="00E60069">
        <w:t xml:space="preserve">warned against.  He claims the jury used “software that manipulated the </w:t>
      </w:r>
      <w:proofErr w:type="gramStart"/>
      <w:r w:rsidR="00E60069">
        <w:t>data</w:t>
      </w:r>
      <w:r w:rsidR="00E40056">
        <w:t>[</w:t>
      </w:r>
      <w:proofErr w:type="gramEnd"/>
      <w:r w:rsidR="00E40056">
        <w:t xml:space="preserve">,] </w:t>
      </w:r>
      <w:proofErr w:type="spellStart"/>
      <w:r w:rsidR="00E40056">
        <w:t>rais</w:t>
      </w:r>
      <w:proofErr w:type="spellEnd"/>
      <w:r w:rsidR="00E40056">
        <w:t>[</w:t>
      </w:r>
      <w:proofErr w:type="spellStart"/>
      <w:r w:rsidR="00E40056">
        <w:t>ing</w:t>
      </w:r>
      <w:proofErr w:type="spellEnd"/>
      <w:r w:rsidR="00E40056">
        <w:t xml:space="preserve">] questions about that software’s presumptions.”  </w:t>
      </w:r>
      <w:r w:rsidR="00C85C52">
        <w:t xml:space="preserve">But </w:t>
      </w:r>
      <w:r w:rsidR="00690E9F">
        <w:t xml:space="preserve">the jurors’ declarations do not describe any </w:t>
      </w:r>
      <w:r w:rsidR="001200A0">
        <w:t>use of the computer</w:t>
      </w:r>
      <w:r w:rsidR="00096587">
        <w:t xml:space="preserve"> that </w:t>
      </w:r>
      <w:r w:rsidR="00FA2FF8">
        <w:t>“manipulated the data”</w:t>
      </w:r>
      <w:r w:rsidR="004554DC">
        <w:t xml:space="preserve"> or otherwise </w:t>
      </w:r>
      <w:r w:rsidR="00C203B7">
        <w:t>injected new evidence into the proceedings.</w:t>
      </w:r>
      <w:r w:rsidR="00527E20">
        <w:t xml:space="preserve">  </w:t>
      </w:r>
    </w:p>
    <w:p w14:paraId="1F9E6724" w14:textId="688ABD7E" w:rsidR="000C3795" w:rsidRDefault="004554DC" w:rsidP="00E36CEE">
      <w:pPr>
        <w:spacing w:line="360" w:lineRule="auto"/>
      </w:pPr>
      <w:r>
        <w:tab/>
      </w:r>
      <w:r w:rsidR="00C72F8A">
        <w:t xml:space="preserve">To begin with, </w:t>
      </w:r>
      <w:r w:rsidR="00AA3657">
        <w:t xml:space="preserve">viewing </w:t>
      </w:r>
      <w:r w:rsidR="0087307A">
        <w:t>the videos i</w:t>
      </w:r>
      <w:r w:rsidR="00AA3657">
        <w:t>n</w:t>
      </w:r>
      <w:r w:rsidR="000C7E62">
        <w:t xml:space="preserve"> slow motion</w:t>
      </w:r>
      <w:r w:rsidR="00C85C52">
        <w:t xml:space="preserve"> </w:t>
      </w:r>
      <w:r w:rsidR="00527E20">
        <w:t>allowed the jurors to better “scrutinize” the</w:t>
      </w:r>
      <w:r w:rsidR="0087307A">
        <w:t>m</w:t>
      </w:r>
      <w:r w:rsidR="00AA3657">
        <w:t xml:space="preserve"> (</w:t>
      </w:r>
      <w:r w:rsidR="00AA3657">
        <w:rPr>
          <w:i/>
          <w:iCs/>
        </w:rPr>
        <w:t>Collins</w:t>
      </w:r>
      <w:r w:rsidR="00AA3657">
        <w:t xml:space="preserve">, </w:t>
      </w:r>
      <w:r w:rsidR="00AA3657">
        <w:rPr>
          <w:i/>
          <w:iCs/>
        </w:rPr>
        <w:t>supra</w:t>
      </w:r>
      <w:r w:rsidR="00AA3657">
        <w:t xml:space="preserve">, </w:t>
      </w:r>
      <w:r w:rsidR="00DB4D2B">
        <w:t>49</w:t>
      </w:r>
      <w:r w:rsidR="004A086D">
        <w:t> </w:t>
      </w:r>
      <w:r w:rsidR="00DB4D2B">
        <w:t>Cal.4th at p.</w:t>
      </w:r>
      <w:r w:rsidR="004A086D">
        <w:t> </w:t>
      </w:r>
      <w:r w:rsidR="00DB4D2B">
        <w:t>249)</w:t>
      </w:r>
      <w:r w:rsidR="00527E20">
        <w:t xml:space="preserve">, but it did not </w:t>
      </w:r>
      <w:r w:rsidR="00AA3657">
        <w:t>alter the evidence</w:t>
      </w:r>
      <w:r w:rsidR="00574A84">
        <w:t xml:space="preserve">.  </w:t>
      </w:r>
      <w:r w:rsidR="00AA3657">
        <w:t xml:space="preserve">Herrera does not argue otherwise. </w:t>
      </w:r>
      <w:r w:rsidR="00DB4D2B">
        <w:t xml:space="preserve"> Rather, he </w:t>
      </w:r>
      <w:r w:rsidR="00DB4D2B">
        <w:lastRenderedPageBreak/>
        <w:t xml:space="preserve">concentrates on the jurors’ descriptions of </w:t>
      </w:r>
      <w:r w:rsidR="005A4504">
        <w:t>watching videos “after they had been overlaid, sequenced, and looped.”  (Boldface and italics omitted.)</w:t>
      </w:r>
      <w:r w:rsidR="00574A84">
        <w:t xml:space="preserve">  </w:t>
      </w:r>
      <w:r w:rsidR="00913908">
        <w:t xml:space="preserve">But it is </w:t>
      </w:r>
      <w:r w:rsidR="00724107">
        <w:t>un</w:t>
      </w:r>
      <w:r w:rsidR="00913908">
        <w:t xml:space="preserve">clear from these descriptions what the jurors actually did.  Although it appears they viewed </w:t>
      </w:r>
      <w:r w:rsidR="003A3584">
        <w:t>multiple</w:t>
      </w:r>
      <w:r w:rsidR="00913908">
        <w:t xml:space="preserve"> clips simultaneously</w:t>
      </w:r>
      <w:r w:rsidR="00D213DF">
        <w:t xml:space="preserve"> or back-to-back</w:t>
      </w:r>
      <w:r w:rsidR="00913908">
        <w:t>,</w:t>
      </w:r>
      <w:r w:rsidR="00D213DF">
        <w:t xml:space="preserve"> </w:t>
      </w:r>
      <w:r w:rsidR="00913908">
        <w:t xml:space="preserve">there is no suggestion </w:t>
      </w:r>
      <w:r w:rsidR="003A3584">
        <w:t xml:space="preserve">those </w:t>
      </w:r>
      <w:r w:rsidR="00D213DF">
        <w:t>clips were altered in any way</w:t>
      </w:r>
      <w:r w:rsidR="003A3584">
        <w:t>.  Indeed, one juror stated</w:t>
      </w:r>
      <w:r w:rsidR="00D213DF">
        <w:t xml:space="preserve"> that the</w:t>
      </w:r>
      <w:r w:rsidR="005019BB">
        <w:t xml:space="preserve"> jury </w:t>
      </w:r>
      <w:r w:rsidR="00FF71FE">
        <w:t>did not perform any</w:t>
      </w:r>
      <w:r w:rsidR="00D213DF">
        <w:t xml:space="preserve"> “</w:t>
      </w:r>
      <w:r w:rsidR="003A3584">
        <w:t xml:space="preserve">editing or splicing.” </w:t>
      </w:r>
      <w:r w:rsidR="00C25B7E">
        <w:t xml:space="preserve"> Herrera fails to explain </w:t>
      </w:r>
      <w:r w:rsidR="00BD0A41">
        <w:t xml:space="preserve">what evidence outside the record </w:t>
      </w:r>
      <w:r w:rsidR="001A1A52">
        <w:t xml:space="preserve">could have been created by playing </w:t>
      </w:r>
      <w:r w:rsidR="00680E2A">
        <w:t>the</w:t>
      </w:r>
      <w:r w:rsidR="00992945">
        <w:t xml:space="preserve"> videos </w:t>
      </w:r>
      <w:r w:rsidR="00AF2028">
        <w:t xml:space="preserve">at different speeds or in conjunction with one another.  </w:t>
      </w:r>
      <w:r w:rsidR="0045440E">
        <w:t xml:space="preserve">He has not demonstrated </w:t>
      </w:r>
      <w:r w:rsidR="00FF71FE">
        <w:t>jur</w:t>
      </w:r>
      <w:r w:rsidR="003C0B09">
        <w:t>y misconduct.</w:t>
      </w:r>
      <w:r w:rsidR="00BD0A41">
        <w:t xml:space="preserve"> </w:t>
      </w:r>
      <w:r w:rsidR="00C25B7E">
        <w:t xml:space="preserve"> </w:t>
      </w:r>
    </w:p>
    <w:p w14:paraId="391D1A81" w14:textId="1B7F3CD4" w:rsidR="00E011CD" w:rsidRDefault="00597A41" w:rsidP="00E011CD">
      <w:pPr>
        <w:keepNext/>
        <w:spacing w:line="240" w:lineRule="auto"/>
        <w:rPr>
          <w:i/>
          <w:iCs/>
        </w:rPr>
      </w:pPr>
      <w:r>
        <w:rPr>
          <w:i/>
          <w:iCs/>
        </w:rPr>
        <w:tab/>
      </w:r>
      <w:r w:rsidR="00AC407B">
        <w:rPr>
          <w:i/>
          <w:iCs/>
        </w:rPr>
        <w:t>G</w:t>
      </w:r>
      <w:r>
        <w:rPr>
          <w:i/>
          <w:iCs/>
        </w:rPr>
        <w:t>.</w:t>
      </w:r>
      <w:r w:rsidR="00913908">
        <w:rPr>
          <w:i/>
          <w:iCs/>
        </w:rPr>
        <w:tab/>
      </w:r>
      <w:r w:rsidR="00E011CD">
        <w:rPr>
          <w:i/>
          <w:iCs/>
        </w:rPr>
        <w:t>Herrera’s Claim of Jur</w:t>
      </w:r>
      <w:r w:rsidR="003C0B09">
        <w:rPr>
          <w:i/>
          <w:iCs/>
        </w:rPr>
        <w:t>y</w:t>
      </w:r>
      <w:r w:rsidR="00E011CD">
        <w:rPr>
          <w:i/>
          <w:iCs/>
        </w:rPr>
        <w:t xml:space="preserve"> Misconduct Based on the Leniency Note </w:t>
      </w:r>
    </w:p>
    <w:p w14:paraId="484427DB" w14:textId="7379306F" w:rsidR="00597A41" w:rsidRDefault="00E011CD" w:rsidP="00E011CD">
      <w:pPr>
        <w:keepNext/>
        <w:spacing w:line="240" w:lineRule="auto"/>
      </w:pPr>
      <w:r>
        <w:rPr>
          <w:i/>
          <w:iCs/>
        </w:rPr>
        <w:tab/>
      </w:r>
      <w:r>
        <w:rPr>
          <w:i/>
          <w:iCs/>
        </w:rPr>
        <w:tab/>
        <w:t>Lacks Merit.</w:t>
      </w:r>
    </w:p>
    <w:p w14:paraId="1898ED43" w14:textId="0E3ED5E8" w:rsidR="00C84EAA" w:rsidRDefault="0008661C" w:rsidP="00E011CD">
      <w:pPr>
        <w:spacing w:before="180" w:line="360" w:lineRule="auto"/>
      </w:pPr>
      <w:r>
        <w:tab/>
        <w:t xml:space="preserve">Herrera claims </w:t>
      </w:r>
      <w:r w:rsidR="00BD65F1">
        <w:t>the</w:t>
      </w:r>
      <w:r w:rsidR="00B2615A">
        <w:t xml:space="preserve"> </w:t>
      </w:r>
      <w:r w:rsidR="002418B2">
        <w:t>jury</w:t>
      </w:r>
      <w:r w:rsidR="00BD65F1">
        <w:t xml:space="preserve"> also</w:t>
      </w:r>
      <w:r w:rsidR="002418B2">
        <w:t xml:space="preserve"> </w:t>
      </w:r>
      <w:r w:rsidR="00C84EAA">
        <w:t xml:space="preserve">committed </w:t>
      </w:r>
      <w:r w:rsidR="00BD65F1">
        <w:t xml:space="preserve">prejudicial </w:t>
      </w:r>
      <w:r w:rsidR="00C84EAA">
        <w:t>misconduct by</w:t>
      </w:r>
      <w:r w:rsidR="00147602">
        <w:t xml:space="preserve"> considering punishment and</w:t>
      </w:r>
      <w:r w:rsidR="00C84EAA">
        <w:t xml:space="preserve"> </w:t>
      </w:r>
      <w:r w:rsidR="00147602">
        <w:t>trading votes</w:t>
      </w:r>
      <w:r w:rsidR="00C84EAA">
        <w:t xml:space="preserve">.  We </w:t>
      </w:r>
      <w:r w:rsidR="00F4106E">
        <w:t>are not persuaded.</w:t>
      </w:r>
    </w:p>
    <w:p w14:paraId="204E7AC7" w14:textId="090D3E6A" w:rsidR="00445EDA" w:rsidRDefault="00445EDA" w:rsidP="00CC7905">
      <w:pPr>
        <w:keepNext/>
        <w:spacing w:line="360" w:lineRule="auto"/>
      </w:pPr>
      <w:r>
        <w:tab/>
      </w:r>
      <w:r>
        <w:tab/>
        <w:t>1.</w:t>
      </w:r>
      <w:r>
        <w:tab/>
        <w:t>Additional facts</w:t>
      </w:r>
    </w:p>
    <w:p w14:paraId="539D0D43" w14:textId="33D00B15" w:rsidR="00C84EAA" w:rsidRDefault="00C84EAA" w:rsidP="002A070A">
      <w:pPr>
        <w:spacing w:line="360" w:lineRule="auto"/>
      </w:pPr>
      <w:r>
        <w:tab/>
      </w:r>
      <w:r w:rsidR="00ED52E2">
        <w:t>The jury was instructed under CALCRIM No.</w:t>
      </w:r>
      <w:r w:rsidR="004A086D">
        <w:t> </w:t>
      </w:r>
      <w:r w:rsidR="00F63369">
        <w:t xml:space="preserve">3550 </w:t>
      </w:r>
      <w:r w:rsidR="00EC2F61">
        <w:t xml:space="preserve">that it “must reach [its] verdict without any consideration of punishment.”  </w:t>
      </w:r>
      <w:r w:rsidR="009B65EB">
        <w:t>Nonetheless</w:t>
      </w:r>
      <w:r w:rsidR="00E97A48">
        <w:t>,</w:t>
      </w:r>
      <w:r w:rsidR="009B65EB">
        <w:t xml:space="preserve"> when returning the verdicts,</w:t>
      </w:r>
      <w:r w:rsidR="00E97A48">
        <w:t xml:space="preserve"> </w:t>
      </w:r>
      <w:r w:rsidR="009B65EB">
        <w:t>the jury</w:t>
      </w:r>
      <w:r w:rsidR="00683809">
        <w:t xml:space="preserve"> also delivered a handwritten note signed by </w:t>
      </w:r>
      <w:r w:rsidR="00F609BB">
        <w:t xml:space="preserve">eight jurors that stated, “We urge leniency.” </w:t>
      </w:r>
      <w:r w:rsidR="00C57E90">
        <w:t xml:space="preserve"> </w:t>
      </w:r>
      <w:r w:rsidR="00762B46">
        <w:t>When the jury was polled, e</w:t>
      </w:r>
      <w:r w:rsidR="0005440A">
        <w:t xml:space="preserve">ach juror </w:t>
      </w:r>
      <w:r w:rsidR="00762B46">
        <w:t xml:space="preserve">affirmed the verdicts. </w:t>
      </w:r>
      <w:r w:rsidR="0005440A">
        <w:t xml:space="preserve"> </w:t>
      </w:r>
    </w:p>
    <w:p w14:paraId="622255B1" w14:textId="735198EC" w:rsidR="00063F72" w:rsidRDefault="00762B46" w:rsidP="002A070A">
      <w:pPr>
        <w:spacing w:line="360" w:lineRule="auto"/>
      </w:pPr>
      <w:r>
        <w:tab/>
      </w:r>
      <w:r w:rsidR="00604AE7">
        <w:t xml:space="preserve">Herrera’s motion for a new trial also </w:t>
      </w:r>
      <w:r w:rsidR="0070191B">
        <w:t>relied on</w:t>
      </w:r>
      <w:r w:rsidR="00F25561">
        <w:t xml:space="preserve"> </w:t>
      </w:r>
      <w:r w:rsidR="00147602">
        <w:t>jur</w:t>
      </w:r>
      <w:r w:rsidR="00137F58">
        <w:t>y</w:t>
      </w:r>
      <w:r w:rsidR="00147602">
        <w:t xml:space="preserve"> </w:t>
      </w:r>
      <w:r w:rsidR="00F25561">
        <w:t xml:space="preserve">misconduct </w:t>
      </w:r>
      <w:r w:rsidR="0024662F">
        <w:t>involving the leniency note</w:t>
      </w:r>
      <w:r w:rsidR="00F25561">
        <w:t xml:space="preserve">. </w:t>
      </w:r>
      <w:r w:rsidR="00180CA5">
        <w:t xml:space="preserve"> </w:t>
      </w:r>
      <w:r w:rsidR="0070191B">
        <w:t xml:space="preserve">As </w:t>
      </w:r>
      <w:r w:rsidR="00437750">
        <w:t>noted</w:t>
      </w:r>
      <w:r w:rsidR="0070191B">
        <w:t xml:space="preserve"> above</w:t>
      </w:r>
      <w:r w:rsidR="003F4248">
        <w:t xml:space="preserve">, </w:t>
      </w:r>
      <w:r w:rsidR="0070191B">
        <w:t xml:space="preserve">juror </w:t>
      </w:r>
      <w:r w:rsidR="000447B7">
        <w:t>S</w:t>
      </w:r>
      <w:r w:rsidR="003F4248">
        <w:t>.</w:t>
      </w:r>
      <w:r w:rsidR="000447B7">
        <w:t xml:space="preserve">C. </w:t>
      </w:r>
      <w:r w:rsidR="00E67A78">
        <w:t xml:space="preserve">averred that she “expected [her] verdict to be not guilty before watching the videos </w:t>
      </w:r>
      <w:r w:rsidR="002F020C">
        <w:t>. . .</w:t>
      </w:r>
      <w:r w:rsidR="00E67A78">
        <w:t xml:space="preserve"> during deliberations.”  She continued</w:t>
      </w:r>
      <w:r w:rsidR="000447B7">
        <w:t xml:space="preserve">, “I was the last juror to vote guilty.  I refused to do so unless the other jurors agreed we could sign a ‘we urge leniency’ note, which we ultimately did.  I told the other jurors this was the only way I could vote guilty.” </w:t>
      </w:r>
      <w:r w:rsidR="003F4248">
        <w:t xml:space="preserve"> </w:t>
      </w:r>
      <w:r w:rsidR="00147602">
        <w:t>An</w:t>
      </w:r>
      <w:r w:rsidR="0070191B">
        <w:t xml:space="preserve">d </w:t>
      </w:r>
      <w:r w:rsidR="00F344D9">
        <w:t xml:space="preserve">juror </w:t>
      </w:r>
      <w:r w:rsidR="003F4248">
        <w:t>C.S.</w:t>
      </w:r>
      <w:r w:rsidR="00147602">
        <w:t xml:space="preserve"> stated in her declaration that “[t]</w:t>
      </w:r>
      <w:proofErr w:type="gramStart"/>
      <w:r w:rsidR="00147602">
        <w:t>he</w:t>
      </w:r>
      <w:proofErr w:type="gramEnd"/>
      <w:r w:rsidR="00147602">
        <w:t xml:space="preserve"> topic of various sentences carried by </w:t>
      </w:r>
      <w:proofErr w:type="spellStart"/>
      <w:r w:rsidR="00147602">
        <w:t>differen</w:t>
      </w:r>
      <w:proofErr w:type="spellEnd"/>
      <w:r w:rsidR="00147602">
        <w:t xml:space="preserve">[t] charges (e.g. manslaughter) was </w:t>
      </w:r>
      <w:r w:rsidR="00147602">
        <w:lastRenderedPageBreak/>
        <w:t xml:space="preserve">discussed during jury deliberations, in relation to defendant Omar Herrera’s age, and that he would spend his adult years in prison.”  </w:t>
      </w:r>
    </w:p>
    <w:p w14:paraId="2663A585" w14:textId="40E531CD" w:rsidR="00C84EAA" w:rsidRDefault="009169BB" w:rsidP="00E1286A">
      <w:pPr>
        <w:spacing w:line="360" w:lineRule="auto"/>
      </w:pPr>
      <w:r>
        <w:tab/>
        <w:t xml:space="preserve">At the hearing on the </w:t>
      </w:r>
      <w:r w:rsidR="00677DE5">
        <w:t xml:space="preserve">new-trial </w:t>
      </w:r>
      <w:r>
        <w:t xml:space="preserve">motion, </w:t>
      </w:r>
      <w:r w:rsidR="002B7C05">
        <w:t>t</w:t>
      </w:r>
      <w:r w:rsidR="00DD1617">
        <w:t xml:space="preserve">he parties’ arguments </w:t>
      </w:r>
      <w:r w:rsidR="002B7C05">
        <w:t>about th</w:t>
      </w:r>
      <w:r w:rsidR="00AF78BE">
        <w:t>e leniency note</w:t>
      </w:r>
      <w:r w:rsidR="002B7C05">
        <w:t xml:space="preserve"> </w:t>
      </w:r>
      <w:r w:rsidR="00DD1617">
        <w:t xml:space="preserve">focused on </w:t>
      </w:r>
      <w:r w:rsidR="00DD1617">
        <w:rPr>
          <w:i/>
          <w:iCs/>
        </w:rPr>
        <w:t>Flores</w:t>
      </w:r>
      <w:r w:rsidR="009A40A6">
        <w:t xml:space="preserve">, </w:t>
      </w:r>
      <w:r w:rsidR="009A40A6">
        <w:rPr>
          <w:i/>
          <w:iCs/>
        </w:rPr>
        <w:t>supra</w:t>
      </w:r>
      <w:r w:rsidR="009A40A6">
        <w:t>,</w:t>
      </w:r>
      <w:r w:rsidR="009A40A6">
        <w:rPr>
          <w:i/>
          <w:iCs/>
        </w:rPr>
        <w:t xml:space="preserve"> </w:t>
      </w:r>
      <w:r w:rsidR="00DD1617">
        <w:t>70 Cal.App.5th 100, in which the Third District Court of Appeal reversed based on jur</w:t>
      </w:r>
      <w:r w:rsidR="00137F58">
        <w:t>y</w:t>
      </w:r>
      <w:r w:rsidR="00DD1617">
        <w:t xml:space="preserve"> misconduct in discussing punishment. </w:t>
      </w:r>
      <w:r w:rsidR="00AF78BE">
        <w:t xml:space="preserve"> </w:t>
      </w:r>
      <w:r w:rsidR="00A56752">
        <w:t>R</w:t>
      </w:r>
      <w:r w:rsidR="00AF78BE">
        <w:t>ejecting Herrera’s claim of jur</w:t>
      </w:r>
      <w:r w:rsidR="00137F58">
        <w:t>y</w:t>
      </w:r>
      <w:r w:rsidR="00AF78BE">
        <w:t xml:space="preserve"> mis</w:t>
      </w:r>
      <w:r w:rsidR="00942373">
        <w:t xml:space="preserve">conduct based on the note, the </w:t>
      </w:r>
      <w:r w:rsidR="00A56752">
        <w:t xml:space="preserve">trial </w:t>
      </w:r>
      <w:r w:rsidR="00942373">
        <w:t xml:space="preserve">court observed </w:t>
      </w:r>
      <w:r w:rsidR="00937AB0">
        <w:t xml:space="preserve">that </w:t>
      </w:r>
      <w:r w:rsidR="0053043B">
        <w:t xml:space="preserve">“the objective of the misconduct” in </w:t>
      </w:r>
      <w:r w:rsidR="00937AB0">
        <w:rPr>
          <w:i/>
          <w:iCs/>
        </w:rPr>
        <w:t>Flores</w:t>
      </w:r>
      <w:r w:rsidR="0053043B">
        <w:t xml:space="preserve"> was to punish the defendant, whereas the jurors here wanted “to make sure that Mr. Herrera was not punished too much.”  The cour</w:t>
      </w:r>
      <w:r w:rsidR="00937AB0">
        <w:t>t found this to be “a crucial distinction</w:t>
      </w:r>
      <w:r w:rsidR="00C2482F">
        <w:t xml:space="preserve"> for inquiry into whether Mr. Herrera was</w:t>
      </w:r>
      <w:r w:rsidR="006C7551">
        <w:t xml:space="preserve"> </w:t>
      </w:r>
      <w:r w:rsidR="00C2482F">
        <w:t>prejudiced</w:t>
      </w:r>
      <w:r w:rsidR="00DB5DA1">
        <w:t xml:space="preserve">.” </w:t>
      </w:r>
      <w:r w:rsidR="00F716A4">
        <w:t xml:space="preserve"> </w:t>
      </w:r>
      <w:r w:rsidR="002E5A59">
        <w:t xml:space="preserve">After </w:t>
      </w:r>
      <w:r w:rsidR="00824BDF">
        <w:t>stating</w:t>
      </w:r>
      <w:r w:rsidR="002E5A59">
        <w:t xml:space="preserve"> that</w:t>
      </w:r>
      <w:r w:rsidR="00EE64DE">
        <w:t xml:space="preserve"> S.C.’s “deliberative process” was not </w:t>
      </w:r>
      <w:r w:rsidR="002E5A59">
        <w:t xml:space="preserve">a “proper consideration,” the court </w:t>
      </w:r>
      <w:r w:rsidR="008E29CA">
        <w:t xml:space="preserve">opined that “[t]he real question” was “whether [S.C.] based her vote on the evidence.”  The court </w:t>
      </w:r>
      <w:r w:rsidR="009D43AD">
        <w:t xml:space="preserve">determined that “she </w:t>
      </w:r>
      <w:proofErr w:type="gramStart"/>
      <w:r w:rsidR="009D43AD">
        <w:t>did[</w:t>
      </w:r>
      <w:proofErr w:type="gramEnd"/>
      <w:r w:rsidR="009D43AD">
        <w:t xml:space="preserve">,] according to her declaration, and </w:t>
      </w:r>
      <w:r w:rsidR="002F020C">
        <w:t>. . .</w:t>
      </w:r>
      <w:r w:rsidR="009D43AD">
        <w:t xml:space="preserve"> certainly the </w:t>
      </w:r>
      <w:r w:rsidR="006846FA">
        <w:t xml:space="preserve">record substantiates that was, in fact the case.” </w:t>
      </w:r>
      <w:r w:rsidR="00824BDF">
        <w:t xml:space="preserve"> Finally, the court found that “the record [did not] </w:t>
      </w:r>
      <w:proofErr w:type="gramStart"/>
      <w:r w:rsidR="00824BDF">
        <w:t>suggest[</w:t>
      </w:r>
      <w:proofErr w:type="gramEnd"/>
      <w:r w:rsidR="00824BDF">
        <w:t>] any vote trading</w:t>
      </w:r>
      <w:r w:rsidR="00C32861">
        <w:t xml:space="preserve">.” </w:t>
      </w:r>
    </w:p>
    <w:p w14:paraId="5723611D" w14:textId="3E912869" w:rsidR="00445EDA" w:rsidRDefault="00445EDA" w:rsidP="00B66F7D">
      <w:pPr>
        <w:keepNext/>
        <w:spacing w:line="360" w:lineRule="auto"/>
      </w:pPr>
      <w:r>
        <w:tab/>
      </w:r>
      <w:r>
        <w:tab/>
        <w:t>2.</w:t>
      </w:r>
      <w:r>
        <w:tab/>
        <w:t>Analysis</w:t>
      </w:r>
    </w:p>
    <w:p w14:paraId="0364C253" w14:textId="3114FAA5" w:rsidR="005518FE" w:rsidRDefault="00F0758F" w:rsidP="00037BCA">
      <w:pPr>
        <w:spacing w:line="360" w:lineRule="auto"/>
      </w:pPr>
      <w:r>
        <w:tab/>
      </w:r>
      <w:r w:rsidR="0062360E">
        <w:t>We apply the same independent standard of review to this claim of jur</w:t>
      </w:r>
      <w:r w:rsidR="00CB2EC0">
        <w:t>y</w:t>
      </w:r>
      <w:r w:rsidR="0062360E">
        <w:t xml:space="preserve"> misconduct as we did to the claim involving manipulation of the video evidence.  </w:t>
      </w:r>
      <w:r w:rsidR="00087E66">
        <w:t>A</w:t>
      </w:r>
      <w:r w:rsidR="00E029B6">
        <w:t>s with the prior claim</w:t>
      </w:r>
      <w:r w:rsidR="00087E66">
        <w:t>, we need not address the parties’ dispute</w:t>
      </w:r>
      <w:r w:rsidR="00037BCA">
        <w:t>s involving Evidence Code section 1150</w:t>
      </w:r>
      <w:r w:rsidR="00E029B6">
        <w:t>.  Even if we assume that S.C.</w:t>
      </w:r>
      <w:r w:rsidR="006C7551">
        <w:t>’s and C.S.</w:t>
      </w:r>
      <w:r w:rsidR="00E029B6">
        <w:t xml:space="preserve">’s </w:t>
      </w:r>
      <w:r w:rsidR="00037BCA">
        <w:t>declaration</w:t>
      </w:r>
      <w:r w:rsidR="006C7551">
        <w:t>s</w:t>
      </w:r>
      <w:r w:rsidR="00E029B6">
        <w:t xml:space="preserve"> </w:t>
      </w:r>
      <w:r w:rsidR="006C7551">
        <w:t>are</w:t>
      </w:r>
      <w:r w:rsidR="00984B65">
        <w:t xml:space="preserve"> admissible</w:t>
      </w:r>
      <w:r w:rsidR="006C7551">
        <w:t xml:space="preserve"> in full</w:t>
      </w:r>
      <w:r w:rsidR="00E029B6">
        <w:t>, the record fails to establish the jury engaged in prejudicial misconduct.</w:t>
      </w:r>
    </w:p>
    <w:p w14:paraId="2F189A54" w14:textId="56C267AD" w:rsidR="002D2E9E" w:rsidRDefault="005518FE" w:rsidP="00421F1B">
      <w:pPr>
        <w:spacing w:line="360" w:lineRule="auto"/>
      </w:pPr>
      <w:r>
        <w:tab/>
      </w:r>
      <w:r w:rsidR="00C5468B">
        <w:t xml:space="preserve">To begin with, the Attorney General does not dispute that </w:t>
      </w:r>
      <w:r w:rsidR="006C7551">
        <w:t>the evidence</w:t>
      </w:r>
      <w:r w:rsidR="00B95E4A">
        <w:t xml:space="preserve"> show</w:t>
      </w:r>
      <w:r w:rsidR="006C7551">
        <w:t>s</w:t>
      </w:r>
      <w:r w:rsidR="00AC18E3">
        <w:t xml:space="preserve"> </w:t>
      </w:r>
      <w:r w:rsidR="00D6306C">
        <w:t>“jur</w:t>
      </w:r>
      <w:r w:rsidR="006C7551">
        <w:t>y</w:t>
      </w:r>
      <w:r w:rsidR="00D6306C">
        <w:t xml:space="preserve"> misconduct in the form of impermissible consideration of punishment while deliberating on guilt.”  </w:t>
      </w:r>
      <w:r w:rsidR="00421F1B">
        <w:t>“[I]t is settled that punishment should not enter into the jury’s deliberations” in non-capital cases.  (</w:t>
      </w:r>
      <w:r w:rsidR="00421F1B">
        <w:rPr>
          <w:i/>
          <w:iCs/>
        </w:rPr>
        <w:t>People</w:t>
      </w:r>
      <w:r w:rsidR="00D7305D">
        <w:rPr>
          <w:i/>
          <w:iCs/>
        </w:rPr>
        <w:t> </w:t>
      </w:r>
      <w:r w:rsidR="00421F1B">
        <w:rPr>
          <w:i/>
          <w:iCs/>
        </w:rPr>
        <w:t xml:space="preserve">v. </w:t>
      </w:r>
      <w:r w:rsidR="00421F1B">
        <w:rPr>
          <w:i/>
          <w:iCs/>
        </w:rPr>
        <w:lastRenderedPageBreak/>
        <w:t>Engelman</w:t>
      </w:r>
      <w:r w:rsidR="00421F1B">
        <w:t xml:space="preserve"> (2002) 28</w:t>
      </w:r>
      <w:r w:rsidR="00D7305D">
        <w:t> </w:t>
      </w:r>
      <w:r w:rsidR="00421F1B">
        <w:t>Cal.4th 436, 442.)</w:t>
      </w:r>
      <w:r w:rsidR="009864D4">
        <w:t xml:space="preserve">  The rationale for this rule is </w:t>
      </w:r>
      <w:r w:rsidR="00FB024A">
        <w:t xml:space="preserve">that </w:t>
      </w:r>
      <w:proofErr w:type="gramStart"/>
      <w:r w:rsidR="00FB024A">
        <w:t>“</w:t>
      </w:r>
      <w:r w:rsidR="00D31560">
        <w:t> </w:t>
      </w:r>
      <w:r w:rsidR="00FB024A">
        <w:t>‘</w:t>
      </w:r>
      <w:proofErr w:type="gramEnd"/>
      <w:r w:rsidR="00FB024A">
        <w:t>knowledge of the permitted or statutorily required punishment may cause or influence the jury to return a verdict designed to result in particular penalty, rather than one based on the facts and applicable law of a case.’</w:t>
      </w:r>
      <w:r w:rsidR="00D31560">
        <w:t> </w:t>
      </w:r>
      <w:r w:rsidR="00FB024A">
        <w:t>”</w:t>
      </w:r>
      <w:r w:rsidR="00AD0283">
        <w:t xml:space="preserve">  (</w:t>
      </w:r>
      <w:r w:rsidR="00AD0283">
        <w:rPr>
          <w:i/>
          <w:iCs/>
        </w:rPr>
        <w:t>Flores</w:t>
      </w:r>
      <w:r w:rsidR="00AD0283">
        <w:t xml:space="preserve">, </w:t>
      </w:r>
      <w:r w:rsidR="00AD0283">
        <w:rPr>
          <w:i/>
          <w:iCs/>
        </w:rPr>
        <w:t>supra</w:t>
      </w:r>
      <w:r w:rsidR="00AD0283">
        <w:t>, 70</w:t>
      </w:r>
      <w:r w:rsidR="00D7305D">
        <w:t> </w:t>
      </w:r>
      <w:r w:rsidR="00AD0283">
        <w:t>Cal.App.5th at p.</w:t>
      </w:r>
      <w:r w:rsidR="00D31560">
        <w:t> </w:t>
      </w:r>
      <w:r w:rsidR="00AD0283">
        <w:t xml:space="preserve">110.)  </w:t>
      </w:r>
      <w:r w:rsidR="00B95E4A">
        <w:t>V</w:t>
      </w:r>
      <w:r w:rsidR="00421F1B">
        <w:t>iolating a trial court’s instruction</w:t>
      </w:r>
      <w:r w:rsidR="00AD0283">
        <w:t>s</w:t>
      </w:r>
      <w:r w:rsidR="00421F1B">
        <w:t xml:space="preserve"> also constitutes misconduct.  (</w:t>
      </w:r>
      <w:r w:rsidR="00421F1B">
        <w:rPr>
          <w:i/>
          <w:iCs/>
        </w:rPr>
        <w:t>People</w:t>
      </w:r>
      <w:r w:rsidR="00D31560">
        <w:rPr>
          <w:i/>
          <w:iCs/>
        </w:rPr>
        <w:t> </w:t>
      </w:r>
      <w:r w:rsidR="00421F1B">
        <w:rPr>
          <w:i/>
          <w:iCs/>
        </w:rPr>
        <w:t>v. Lavender</w:t>
      </w:r>
      <w:r w:rsidR="00421F1B">
        <w:t xml:space="preserve"> (2014) 60 Cal.4th 679, 687.)</w:t>
      </w:r>
      <w:r w:rsidR="00B95E4A">
        <w:t xml:space="preserve">  </w:t>
      </w:r>
      <w:r w:rsidR="002D2E9E">
        <w:t xml:space="preserve">Here, </w:t>
      </w:r>
      <w:r w:rsidR="00984B65">
        <w:t>S.C.’s and C.S.’s</w:t>
      </w:r>
      <w:r w:rsidR="00E7642C">
        <w:t xml:space="preserve"> declarations</w:t>
      </w:r>
      <w:r w:rsidR="002D2E9E">
        <w:t xml:space="preserve"> and the leniency note itself leave no doubt that jurors </w:t>
      </w:r>
      <w:r w:rsidR="00624D99">
        <w:t xml:space="preserve">improperly </w:t>
      </w:r>
      <w:r w:rsidR="002D2E9E">
        <w:t>considered punishment during deliberations.</w:t>
      </w:r>
    </w:p>
    <w:p w14:paraId="5F9561E9" w14:textId="7BC2B477" w:rsidR="002D2E9E" w:rsidRDefault="002D2E9E" w:rsidP="00960887">
      <w:pPr>
        <w:spacing w:line="360" w:lineRule="auto"/>
      </w:pPr>
      <w:r>
        <w:tab/>
      </w:r>
      <w:r w:rsidR="00B066EE">
        <w:t>Herrera claims that jur</w:t>
      </w:r>
      <w:r w:rsidR="00B22EFB">
        <w:t>y</w:t>
      </w:r>
      <w:r w:rsidR="00B066EE">
        <w:t xml:space="preserve"> misconduct </w:t>
      </w:r>
      <w:r w:rsidR="009F5780">
        <w:t xml:space="preserve">also occurred </w:t>
      </w:r>
      <w:r w:rsidR="0026251B">
        <w:t xml:space="preserve">in that </w:t>
      </w:r>
      <w:r w:rsidR="009F5780">
        <w:t xml:space="preserve">S.C. “traded her vote for a note requesting leniency,” violating his right to a unanimous jury. </w:t>
      </w:r>
      <w:r w:rsidR="00045ADE">
        <w:t xml:space="preserve"> </w:t>
      </w:r>
      <w:r w:rsidR="00832F12">
        <w:t xml:space="preserve">But the trial court found that S.C. “based her vote on the evidence,” and we conclude that substantial evidence supports this finding.  </w:t>
      </w:r>
      <w:r w:rsidR="00037EC2">
        <w:t>S.C.’s statement that she</w:t>
      </w:r>
      <w:r w:rsidR="00A547E2">
        <w:t xml:space="preserve"> expected to vote not guilty</w:t>
      </w:r>
      <w:r w:rsidR="00F9177E">
        <w:t xml:space="preserve"> before the jury </w:t>
      </w:r>
      <w:r w:rsidR="00DB4D31">
        <w:t xml:space="preserve">closely </w:t>
      </w:r>
      <w:r w:rsidR="00F9177E">
        <w:t xml:space="preserve">reviewed the </w:t>
      </w:r>
      <w:r w:rsidR="004C22CF">
        <w:t>video</w:t>
      </w:r>
      <w:r w:rsidR="00F9177E">
        <w:t>s</w:t>
      </w:r>
      <w:r w:rsidR="004C22CF">
        <w:t>—which, as we discuss</w:t>
      </w:r>
      <w:r w:rsidR="0061654E">
        <w:t>ed</w:t>
      </w:r>
      <w:r w:rsidR="004C22CF">
        <w:t xml:space="preserve"> </w:t>
      </w:r>
      <w:r w:rsidR="0061654E">
        <w:t>above</w:t>
      </w:r>
      <w:r w:rsidR="004C22CF">
        <w:t>, was not misconduct—</w:t>
      </w:r>
      <w:r w:rsidR="00F9177E">
        <w:t>is reasonably interpreted to mean that once sh</w:t>
      </w:r>
      <w:r w:rsidR="00624D99">
        <w:t xml:space="preserve">e </w:t>
      </w:r>
      <w:r w:rsidR="0061654E">
        <w:t>re</w:t>
      </w:r>
      <w:r w:rsidR="0077099D">
        <w:t>watch</w:t>
      </w:r>
      <w:r w:rsidR="00624D99">
        <w:t>ed</w:t>
      </w:r>
      <w:r w:rsidR="0077099D">
        <w:t xml:space="preserve"> the videos, she decided that Herrera </w:t>
      </w:r>
      <w:r w:rsidR="0077099D">
        <w:rPr>
          <w:i/>
          <w:iCs/>
        </w:rPr>
        <w:t>was</w:t>
      </w:r>
      <w:r w:rsidR="0077099D">
        <w:t xml:space="preserve"> guilty.  </w:t>
      </w:r>
      <w:r w:rsidR="001012E3">
        <w:t xml:space="preserve">As the Attorney General argues, </w:t>
      </w:r>
      <w:r w:rsidR="001131DC">
        <w:t>“[h]</w:t>
      </w:r>
      <w:proofErr w:type="spellStart"/>
      <w:r w:rsidR="001131DC">
        <w:t>ad</w:t>
      </w:r>
      <w:proofErr w:type="spellEnd"/>
      <w:r w:rsidR="001131DC">
        <w:t xml:space="preserve"> it been otherwise, no request for leniency would have been necessary because </w:t>
      </w:r>
      <w:r w:rsidR="00831454">
        <w:t>. . .</w:t>
      </w:r>
      <w:r w:rsidR="008371F0">
        <w:t xml:space="preserve"> a hung jury would have resulted.  It was </w:t>
      </w:r>
      <w:r w:rsidR="008371F0">
        <w:rPr>
          <w:i/>
          <w:iCs/>
        </w:rPr>
        <w:t xml:space="preserve">only </w:t>
      </w:r>
      <w:r w:rsidR="008371F0">
        <w:t>because the jury convicted based on the strength of the People’s evidence that the leniency note served a purpose</w:t>
      </w:r>
      <w:r w:rsidR="00A44D80">
        <w:t xml:space="preserve">.”  </w:t>
      </w:r>
      <w:r w:rsidR="00F34DCD">
        <w:t>The jurors’ affirmance</w:t>
      </w:r>
      <w:r w:rsidR="000366D6">
        <w:t xml:space="preserve"> of the verdicts when polled further </w:t>
      </w:r>
      <w:r w:rsidR="007F27F3">
        <w:t>s</w:t>
      </w:r>
      <w:r w:rsidR="00A95CBD">
        <w:t>upports the conclusion that the</w:t>
      </w:r>
      <w:r w:rsidR="005444FE">
        <w:t xml:space="preserve"> verdicts</w:t>
      </w:r>
      <w:r w:rsidR="00A95CBD">
        <w:t xml:space="preserve"> were unanimous.</w:t>
      </w:r>
      <w:r w:rsidR="00832F12">
        <w:t xml:space="preserve">  </w:t>
      </w:r>
      <w:r w:rsidR="00960887">
        <w:t xml:space="preserve">Thus, while S.C.’s </w:t>
      </w:r>
      <w:r w:rsidR="0094615B">
        <w:t xml:space="preserve">refusal to vote guilty unless other jurors signed the leniency note </w:t>
      </w:r>
      <w:r w:rsidR="00367311">
        <w:t xml:space="preserve">was improper </w:t>
      </w:r>
      <w:r w:rsidR="0094615B">
        <w:t xml:space="preserve">to the extent it involved consideration of punishment, </w:t>
      </w:r>
      <w:r w:rsidR="00E91A7D">
        <w:t xml:space="preserve">Herrera fails to demonstrate that </w:t>
      </w:r>
      <w:r w:rsidR="00367311">
        <w:t xml:space="preserve">it </w:t>
      </w:r>
      <w:r w:rsidR="00E75B61">
        <w:t>constituted misconduct for any other reason.</w:t>
      </w:r>
    </w:p>
    <w:p w14:paraId="40892251" w14:textId="772BB867" w:rsidR="000157DE" w:rsidRDefault="00E75B61" w:rsidP="00421F1B">
      <w:pPr>
        <w:spacing w:line="360" w:lineRule="auto"/>
      </w:pPr>
      <w:r>
        <w:tab/>
        <w:t>We therefore turn to whether the jurors’ consideration of punishment was prejudicial.</w:t>
      </w:r>
      <w:r w:rsidR="00A56CFE">
        <w:t xml:space="preserve">  (See </w:t>
      </w:r>
      <w:r w:rsidR="00A56CFE">
        <w:rPr>
          <w:i/>
          <w:iCs/>
        </w:rPr>
        <w:t>Flores</w:t>
      </w:r>
      <w:r w:rsidR="00A56CFE">
        <w:t xml:space="preserve">, </w:t>
      </w:r>
      <w:r w:rsidR="00A56CFE">
        <w:rPr>
          <w:i/>
          <w:iCs/>
        </w:rPr>
        <w:t>supra</w:t>
      </w:r>
      <w:r w:rsidR="00302226">
        <w:t>, 70</w:t>
      </w:r>
      <w:r w:rsidR="00D50182">
        <w:t> </w:t>
      </w:r>
      <w:r w:rsidR="00302226">
        <w:t>Cal.App.5th at</w:t>
      </w:r>
      <w:r>
        <w:t xml:space="preserve"> </w:t>
      </w:r>
      <w:r w:rsidR="00C9199C">
        <w:t>p.</w:t>
      </w:r>
      <w:r w:rsidR="00D50182">
        <w:t> </w:t>
      </w:r>
      <w:r w:rsidR="00C9199C">
        <w:t xml:space="preserve">107.)  </w:t>
      </w:r>
      <w:r w:rsidR="00421F1B">
        <w:t>When jur</w:t>
      </w:r>
      <w:r w:rsidR="00A33B08">
        <w:t>y</w:t>
      </w:r>
      <w:r w:rsidR="00421F1B">
        <w:t xml:space="preserve"> misconduct is established, it creates “a presumption of prejudice, which may </w:t>
      </w:r>
      <w:r w:rsidR="00421F1B">
        <w:lastRenderedPageBreak/>
        <w:t>be rebutted by an affirmative evidentiary showing that prejudice does not exist or by a reviewing court’s examination of the entire record to determine whether there is a reasonable probability of actual harm resulting from the misconduct.”  (</w:t>
      </w:r>
      <w:r w:rsidR="00421F1B">
        <w:rPr>
          <w:i/>
          <w:iCs/>
        </w:rPr>
        <w:t>People</w:t>
      </w:r>
      <w:r w:rsidR="00D50182">
        <w:rPr>
          <w:i/>
          <w:iCs/>
        </w:rPr>
        <w:t> </w:t>
      </w:r>
      <w:r w:rsidR="00421F1B">
        <w:rPr>
          <w:i/>
          <w:iCs/>
        </w:rPr>
        <w:t>v. Lavender</w:t>
      </w:r>
      <w:r w:rsidR="00421F1B">
        <w:t xml:space="preserve">, </w:t>
      </w:r>
      <w:r w:rsidR="00421F1B">
        <w:rPr>
          <w:i/>
          <w:iCs/>
        </w:rPr>
        <w:t>supra</w:t>
      </w:r>
      <w:r w:rsidR="00421F1B">
        <w:t>,</w:t>
      </w:r>
      <w:r w:rsidR="00421F1B">
        <w:rPr>
          <w:i/>
          <w:iCs/>
        </w:rPr>
        <w:t xml:space="preserve"> </w:t>
      </w:r>
      <w:r w:rsidR="00421F1B">
        <w:t>60 Cal.4th at p.</w:t>
      </w:r>
      <w:r w:rsidR="00D50182">
        <w:t> </w:t>
      </w:r>
      <w:r w:rsidR="00421F1B">
        <w:t>687</w:t>
      </w:r>
      <w:r w:rsidR="00421F1B">
        <w:rPr>
          <w:i/>
          <w:iCs/>
        </w:rPr>
        <w:t>.</w:t>
      </w:r>
      <w:r w:rsidR="00421F1B">
        <w:t>)</w:t>
      </w:r>
      <w:r w:rsidR="00BE522C">
        <w:t xml:space="preserve">  </w:t>
      </w:r>
    </w:p>
    <w:p w14:paraId="4DEAB995" w14:textId="73632FF0" w:rsidR="000157DE" w:rsidRPr="00B93641" w:rsidRDefault="000157DE" w:rsidP="00421F1B">
      <w:pPr>
        <w:spacing w:line="360" w:lineRule="auto"/>
      </w:pPr>
      <w:r>
        <w:tab/>
      </w:r>
      <w:r w:rsidR="00277DF5">
        <w:t>In arguing that</w:t>
      </w:r>
      <w:r w:rsidR="004C6DC8">
        <w:t xml:space="preserve"> </w:t>
      </w:r>
      <w:r w:rsidR="00F9644A">
        <w:t>the misconduct was prejudicial</w:t>
      </w:r>
      <w:r w:rsidR="00277DF5">
        <w:t xml:space="preserve">, </w:t>
      </w:r>
      <w:r>
        <w:t>He</w:t>
      </w:r>
      <w:r w:rsidR="00C155C1">
        <w:t xml:space="preserve">rrera </w:t>
      </w:r>
      <w:r>
        <w:t xml:space="preserve">attempts to analogize this case to </w:t>
      </w:r>
      <w:r>
        <w:rPr>
          <w:i/>
          <w:iCs/>
        </w:rPr>
        <w:t>Flores</w:t>
      </w:r>
      <w:r w:rsidR="00C155C1">
        <w:t xml:space="preserve">. </w:t>
      </w:r>
      <w:r>
        <w:t xml:space="preserve"> </w:t>
      </w:r>
      <w:r w:rsidR="005142FB">
        <w:t>There, the</w:t>
      </w:r>
      <w:r w:rsidR="000B5510">
        <w:t xml:space="preserve"> jury was at an impasse between murder and voluntary manslaughter</w:t>
      </w:r>
      <w:r w:rsidR="009424AF">
        <w:t xml:space="preserve"> until </w:t>
      </w:r>
      <w:r w:rsidR="008B6AF5">
        <w:t xml:space="preserve">jurors discussed the possibility that the defendant would go free if they </w:t>
      </w:r>
      <w:r w:rsidR="005142FB">
        <w:t>could not return a verdict</w:t>
      </w:r>
      <w:r w:rsidR="008B6AF5">
        <w:t>.  (</w:t>
      </w:r>
      <w:r w:rsidR="008B6AF5">
        <w:rPr>
          <w:i/>
          <w:iCs/>
        </w:rPr>
        <w:t>Flores</w:t>
      </w:r>
      <w:r w:rsidR="008B6AF5">
        <w:t xml:space="preserve">, </w:t>
      </w:r>
      <w:r w:rsidR="008B6AF5">
        <w:rPr>
          <w:i/>
          <w:iCs/>
        </w:rPr>
        <w:t>supra</w:t>
      </w:r>
      <w:r w:rsidR="008B6AF5">
        <w:t xml:space="preserve">, </w:t>
      </w:r>
      <w:r w:rsidR="004A2290">
        <w:t>70</w:t>
      </w:r>
      <w:r w:rsidR="00D50182">
        <w:t> </w:t>
      </w:r>
      <w:r w:rsidR="004A2290">
        <w:t>Cal.App.5th at p.</w:t>
      </w:r>
      <w:r w:rsidR="001F6F32">
        <w:t> </w:t>
      </w:r>
      <w:r w:rsidR="00746D81">
        <w:t>103</w:t>
      </w:r>
      <w:r w:rsidR="00B93641">
        <w:t>.</w:t>
      </w:r>
      <w:r w:rsidR="004A2290">
        <w:t>)</w:t>
      </w:r>
      <w:r w:rsidR="003A2EA5">
        <w:t xml:space="preserve">  </w:t>
      </w:r>
      <w:r w:rsidR="00AA0615">
        <w:t xml:space="preserve">Shortly after this discussion, </w:t>
      </w:r>
      <w:r w:rsidR="00746D81">
        <w:t>the jury found the defendant guilty of voluntary manslaughter.  (</w:t>
      </w:r>
      <w:r w:rsidR="00746D81">
        <w:rPr>
          <w:i/>
          <w:iCs/>
        </w:rPr>
        <w:t>Ibid.</w:t>
      </w:r>
      <w:r w:rsidR="00746D81">
        <w:t xml:space="preserve">)  </w:t>
      </w:r>
      <w:r w:rsidR="00746D81">
        <w:rPr>
          <w:i/>
          <w:iCs/>
        </w:rPr>
        <w:t>Flores</w:t>
      </w:r>
      <w:r w:rsidR="00746D81">
        <w:t xml:space="preserve"> held </w:t>
      </w:r>
      <w:r w:rsidR="004C6DC8">
        <w:t xml:space="preserve">that </w:t>
      </w:r>
      <w:r w:rsidR="00EE4B15">
        <w:t>the jury’s discussion of punishment was sufficiently prej</w:t>
      </w:r>
      <w:r w:rsidR="004F7081">
        <w:t>udicial.  (</w:t>
      </w:r>
      <w:r w:rsidR="004F7081">
        <w:rPr>
          <w:i/>
          <w:iCs/>
        </w:rPr>
        <w:t>Id.</w:t>
      </w:r>
      <w:r w:rsidR="004F7081">
        <w:t xml:space="preserve"> at p.</w:t>
      </w:r>
      <w:r w:rsidR="00D50182">
        <w:t> </w:t>
      </w:r>
      <w:r w:rsidR="004F7081">
        <w:t xml:space="preserve">114.)  Even though the jury convicted the defendant of the lesser crime, </w:t>
      </w:r>
      <w:proofErr w:type="gramStart"/>
      <w:r w:rsidR="004F7081">
        <w:t>“</w:t>
      </w:r>
      <w:r w:rsidR="001F6F32">
        <w:t> </w:t>
      </w:r>
      <w:r w:rsidR="004F7081">
        <w:t>‘</w:t>
      </w:r>
      <w:proofErr w:type="gramEnd"/>
      <w:r w:rsidR="004F7081">
        <w:t>in the context of prejudice, a mistrial is a better outcome than a conviction.’</w:t>
      </w:r>
      <w:r w:rsidR="001F6F32">
        <w:t> </w:t>
      </w:r>
      <w:r w:rsidR="004F7081">
        <w:t>”  (</w:t>
      </w:r>
      <w:r w:rsidR="00857392">
        <w:rPr>
          <w:i/>
          <w:iCs/>
        </w:rPr>
        <w:t>Ibid.</w:t>
      </w:r>
      <w:r w:rsidR="00857392">
        <w:t xml:space="preserve">)  Given that the jury was unable to agree </w:t>
      </w:r>
      <w:r w:rsidR="00235CBE">
        <w:t xml:space="preserve">on a verdict until it considered punishment, </w:t>
      </w:r>
      <w:r w:rsidR="004C6DC8">
        <w:t>th</w:t>
      </w:r>
      <w:r w:rsidR="00B93641">
        <w:t xml:space="preserve">ere was a reasonable probability that the </w:t>
      </w:r>
      <w:r w:rsidR="00845621">
        <w:t xml:space="preserve">misconduct actually harmed the </w:t>
      </w:r>
      <w:r w:rsidR="00B93641">
        <w:t>defendant</w:t>
      </w:r>
      <w:r w:rsidR="00235CBE">
        <w:t>.  (</w:t>
      </w:r>
      <w:r w:rsidR="00235CBE">
        <w:rPr>
          <w:i/>
          <w:iCs/>
        </w:rPr>
        <w:t>Ibid.</w:t>
      </w:r>
      <w:r w:rsidR="00235CBE">
        <w:t>)</w:t>
      </w:r>
      <w:r w:rsidR="00AE168C">
        <w:t xml:space="preserve"> </w:t>
      </w:r>
    </w:p>
    <w:p w14:paraId="2EC3814C" w14:textId="418993DD" w:rsidR="00BD0FC2" w:rsidRDefault="003B20CF" w:rsidP="002A070A">
      <w:pPr>
        <w:spacing w:line="360" w:lineRule="auto"/>
      </w:pPr>
      <w:r>
        <w:tab/>
      </w:r>
      <w:r w:rsidR="00F16C3A">
        <w:t>Here, in contrast, the jury</w:t>
      </w:r>
      <w:r w:rsidR="00E26363">
        <w:t xml:space="preserve">’s concern was that Herrera </w:t>
      </w:r>
      <w:proofErr w:type="gramStart"/>
      <w:r w:rsidR="00E26363">
        <w:t>not be</w:t>
      </w:r>
      <w:proofErr w:type="gramEnd"/>
      <w:r w:rsidR="00E26363">
        <w:t xml:space="preserve"> punished too harshly, not that he</w:t>
      </w:r>
      <w:r w:rsidR="00C633C3">
        <w:t xml:space="preserve"> might</w:t>
      </w:r>
      <w:r w:rsidR="00E26363">
        <w:t xml:space="preserve"> escape punishment.  </w:t>
      </w:r>
      <w:r w:rsidR="00306686">
        <w:t>But d</w:t>
      </w:r>
      <w:r w:rsidR="00E26363">
        <w:t xml:space="preserve">espite this mitigating concern, the jury </w:t>
      </w:r>
      <w:r w:rsidR="002D2340">
        <w:t>chose to convict</w:t>
      </w:r>
      <w:r w:rsidR="00E26363">
        <w:t xml:space="preserve"> him of all </w:t>
      </w:r>
      <w:r w:rsidR="00AE4333">
        <w:t xml:space="preserve">the charged </w:t>
      </w:r>
      <w:r w:rsidR="00E26363">
        <w:t>counts and enhancements.</w:t>
      </w:r>
      <w:r w:rsidR="00104A47">
        <w:t xml:space="preserve">  </w:t>
      </w:r>
      <w:r w:rsidR="00CA12ED">
        <w:t xml:space="preserve">Clearly, the leniency note itself did not harm </w:t>
      </w:r>
      <w:r w:rsidR="008E3195">
        <w:t>Herrera.  Thus, the only</w:t>
      </w:r>
      <w:r w:rsidR="00104A47">
        <w:t xml:space="preserve"> possible theory </w:t>
      </w:r>
      <w:r w:rsidR="00E91F81">
        <w:t xml:space="preserve">for </w:t>
      </w:r>
      <w:r w:rsidR="003345DB">
        <w:t xml:space="preserve">how Herrera could have obtained </w:t>
      </w:r>
      <w:r w:rsidR="00E91F81">
        <w:t>a better</w:t>
      </w:r>
      <w:r w:rsidR="00104A47">
        <w:t xml:space="preserve"> result had </w:t>
      </w:r>
      <w:r w:rsidR="008E3195">
        <w:t xml:space="preserve">the jury not discussed punishment was if </w:t>
      </w:r>
      <w:r w:rsidR="00BE15A4">
        <w:t xml:space="preserve">S.C. </w:t>
      </w:r>
      <w:r w:rsidR="00E91F81">
        <w:t xml:space="preserve">voted to acquit </w:t>
      </w:r>
      <w:r w:rsidR="005E66E9">
        <w:t xml:space="preserve">because </w:t>
      </w:r>
      <w:r w:rsidR="001F506E">
        <w:t xml:space="preserve">she </w:t>
      </w:r>
      <w:r w:rsidR="00285BF8">
        <w:t>did not</w:t>
      </w:r>
      <w:r w:rsidR="001F506E">
        <w:t xml:space="preserve"> obtain other jurors’ agreement to send the note.  But </w:t>
      </w:r>
      <w:r w:rsidR="00941D6B">
        <w:t>in light of the fact</w:t>
      </w:r>
      <w:r w:rsidR="006447AC">
        <w:t xml:space="preserve"> that S.C. believed Herrera was guilty based on the evidence, </w:t>
      </w:r>
      <w:r w:rsidR="00C77472">
        <w:t xml:space="preserve">it is speculative to </w:t>
      </w:r>
      <w:r w:rsidR="009D5D43">
        <w:t xml:space="preserve">conclude that she would have nonetheless voted to acquit had punishment not been discussed.  </w:t>
      </w:r>
      <w:r w:rsidR="00513BBB">
        <w:t>And a</w:t>
      </w:r>
      <w:r w:rsidR="00703361">
        <w:t xml:space="preserve">s the Attorney General points </w:t>
      </w:r>
      <w:r w:rsidR="009322CE">
        <w:t xml:space="preserve">out, if the jury hung because S.C. </w:t>
      </w:r>
      <w:r w:rsidR="003E56E9">
        <w:t xml:space="preserve">voted to acquit despite her view of the evidence, </w:t>
      </w:r>
      <w:r w:rsidR="003E56E9">
        <w:lastRenderedPageBreak/>
        <w:t>th</w:t>
      </w:r>
      <w:r w:rsidR="00CC738E">
        <w:t xml:space="preserve">at </w:t>
      </w:r>
      <w:r w:rsidR="008977A2">
        <w:t xml:space="preserve">outcome would also be </w:t>
      </w:r>
      <w:r w:rsidR="00CC738E">
        <w:t>the produ</w:t>
      </w:r>
      <w:r w:rsidR="008977A2">
        <w:t>ct of misconduct.</w:t>
      </w:r>
      <w:r w:rsidR="00832F12">
        <w:t xml:space="preserve">  In short,</w:t>
      </w:r>
      <w:r w:rsidR="00223A47">
        <w:t xml:space="preserve"> there is no reasonable probability </w:t>
      </w:r>
      <w:r w:rsidR="00BD0FC2">
        <w:t>that the jury misconduct harmed Herrera.</w:t>
      </w:r>
    </w:p>
    <w:p w14:paraId="42519551" w14:textId="04BCE0F2" w:rsidR="006D5ECB" w:rsidRDefault="006D5ECB" w:rsidP="002A070A">
      <w:pPr>
        <w:spacing w:line="360" w:lineRule="auto"/>
      </w:pPr>
      <w:r>
        <w:rPr>
          <w:i/>
          <w:iCs/>
        </w:rPr>
        <w:tab/>
        <w:t>H.</w:t>
      </w:r>
      <w:r>
        <w:rPr>
          <w:i/>
          <w:iCs/>
        </w:rPr>
        <w:tab/>
      </w:r>
      <w:r w:rsidR="00202496">
        <w:rPr>
          <w:i/>
          <w:iCs/>
        </w:rPr>
        <w:t>There Was No Cumulative Error.</w:t>
      </w:r>
    </w:p>
    <w:p w14:paraId="722D2F7C" w14:textId="3AA1D854" w:rsidR="00726046" w:rsidRDefault="00726046" w:rsidP="002A070A">
      <w:pPr>
        <w:spacing w:line="360" w:lineRule="auto"/>
      </w:pPr>
      <w:r>
        <w:tab/>
      </w:r>
      <w:r w:rsidR="005B1B5A">
        <w:t xml:space="preserve">Herrera </w:t>
      </w:r>
      <w:r w:rsidR="003C363B">
        <w:t>claim</w:t>
      </w:r>
      <w:r w:rsidR="005B1B5A">
        <w:t>s tha</w:t>
      </w:r>
      <w:r w:rsidR="005408BA">
        <w:t xml:space="preserve">t </w:t>
      </w:r>
      <w:r w:rsidR="005B1B5A">
        <w:t>the evidentiary</w:t>
      </w:r>
      <w:r w:rsidR="005408BA">
        <w:t xml:space="preserve"> and instructional errors and </w:t>
      </w:r>
      <w:r w:rsidR="00B87FF9">
        <w:t>video-</w:t>
      </w:r>
      <w:r w:rsidR="00DD5B61">
        <w:t xml:space="preserve">related </w:t>
      </w:r>
      <w:r w:rsidR="005408BA">
        <w:t>jur</w:t>
      </w:r>
      <w:r w:rsidR="00A33B08">
        <w:t xml:space="preserve">y </w:t>
      </w:r>
      <w:r w:rsidR="005408BA">
        <w:t xml:space="preserve">misconduct </w:t>
      </w:r>
      <w:r w:rsidR="00CF4089">
        <w:t>he identifies</w:t>
      </w:r>
      <w:r w:rsidR="005408BA">
        <w:t xml:space="preserve"> were cumulatively prejudicial</w:t>
      </w:r>
      <w:r w:rsidR="00550DAB">
        <w:t>, even if they do not individually require reversal of the murder and attempted</w:t>
      </w:r>
      <w:r w:rsidR="006C7551">
        <w:t>-</w:t>
      </w:r>
      <w:r w:rsidR="00550DAB">
        <w:t xml:space="preserve">robbery convictions.  We are </w:t>
      </w:r>
      <w:r w:rsidR="0045440E">
        <w:t xml:space="preserve">again </w:t>
      </w:r>
      <w:r w:rsidR="00550DAB">
        <w:t>not persuaded.</w:t>
      </w:r>
    </w:p>
    <w:p w14:paraId="2AB827EA" w14:textId="471B2C1C" w:rsidR="00550DAB" w:rsidRPr="00595AD2" w:rsidRDefault="00550DAB" w:rsidP="002A070A">
      <w:pPr>
        <w:spacing w:line="360" w:lineRule="auto"/>
      </w:pPr>
      <w:r>
        <w:tab/>
      </w:r>
      <w:proofErr w:type="gramStart"/>
      <w:r w:rsidR="00595AD2">
        <w:t>“</w:t>
      </w:r>
      <w:r w:rsidR="00D50182">
        <w:t> </w:t>
      </w:r>
      <w:r w:rsidR="00595AD2">
        <w:t>‘</w:t>
      </w:r>
      <w:proofErr w:type="gramEnd"/>
      <w:r w:rsidR="00595AD2">
        <w:t>[A] series of trial errors, though independently harmless, may in some circumstances rise by accretion to the level of reversible and prejudicial error.’</w:t>
      </w:r>
      <w:r w:rsidR="00D50182">
        <w:t> </w:t>
      </w:r>
      <w:r w:rsidR="00595AD2">
        <w:t>”  (</w:t>
      </w:r>
      <w:r w:rsidR="00595AD2">
        <w:rPr>
          <w:i/>
          <w:iCs/>
        </w:rPr>
        <w:t>People</w:t>
      </w:r>
      <w:r w:rsidR="006C076F">
        <w:rPr>
          <w:i/>
          <w:iCs/>
        </w:rPr>
        <w:t> </w:t>
      </w:r>
      <w:r w:rsidR="00595AD2">
        <w:rPr>
          <w:i/>
          <w:iCs/>
        </w:rPr>
        <w:t>v. Cunningham</w:t>
      </w:r>
      <w:r w:rsidR="00595AD2">
        <w:t xml:space="preserve"> (2001) 25 Cal.4th 926, 1009.)</w:t>
      </w:r>
      <w:r w:rsidR="00157A49">
        <w:t xml:space="preserve">  </w:t>
      </w:r>
      <w:r w:rsidR="000F5B0D">
        <w:t>We have concluded that no error occurred in the admission of evidence of the iPhone theft</w:t>
      </w:r>
      <w:r w:rsidR="00285BF8">
        <w:t>, the admission of S.N.’s statement,</w:t>
      </w:r>
      <w:r w:rsidR="005C6E2D">
        <w:t xml:space="preserve"> and the jurors’ viewing of the surveillance videos, and Herrera forfeited his </w:t>
      </w:r>
      <w:r w:rsidR="008C29F8">
        <w:t>claim that the trial court improperly responded to the jury’s questions.</w:t>
      </w:r>
      <w:r w:rsidR="00DD5B61">
        <w:t xml:space="preserve">  Although we</w:t>
      </w:r>
      <w:r w:rsidR="004C3F25">
        <w:t xml:space="preserve"> have assumed </w:t>
      </w:r>
      <w:r w:rsidR="00285BF8">
        <w:t xml:space="preserve">that </w:t>
      </w:r>
      <w:r w:rsidR="004C3F25">
        <w:t>the “Makin money” text</w:t>
      </w:r>
      <w:r w:rsidR="000423EB">
        <w:t xml:space="preserve"> </w:t>
      </w:r>
      <w:r w:rsidR="004C3F25">
        <w:t xml:space="preserve">should not have been admitted, </w:t>
      </w:r>
      <w:r w:rsidR="00285BF8">
        <w:t>this evidence was</w:t>
      </w:r>
      <w:r w:rsidR="00CF6AF8">
        <w:t xml:space="preserve"> of </w:t>
      </w:r>
      <w:r w:rsidR="00C2381B">
        <w:t xml:space="preserve">relatively </w:t>
      </w:r>
      <w:r w:rsidR="00CF6AF8">
        <w:t>minor significance</w:t>
      </w:r>
      <w:r w:rsidR="004C3F25">
        <w:t>.</w:t>
      </w:r>
      <w:r w:rsidR="007B1FD6">
        <w:t xml:space="preserve">  </w:t>
      </w:r>
      <w:r w:rsidR="00111BBC">
        <w:t>Thus, e</w:t>
      </w:r>
      <w:r w:rsidR="007B1FD6">
        <w:t xml:space="preserve">ven considered cumulatively, </w:t>
      </w:r>
      <w:r w:rsidR="002A2A06">
        <w:t>the prejudice resulting from these errors</w:t>
      </w:r>
      <w:r w:rsidR="006E3247">
        <w:t xml:space="preserve"> </w:t>
      </w:r>
      <w:r w:rsidR="002A2A06">
        <w:t>does not require</w:t>
      </w:r>
      <w:r w:rsidR="009E5A1D">
        <w:t xml:space="preserve"> reversal</w:t>
      </w:r>
      <w:r w:rsidR="00CF4089">
        <w:t xml:space="preserve"> under any standard</w:t>
      </w:r>
      <w:r w:rsidR="009E5A1D">
        <w:t>.</w:t>
      </w:r>
      <w:r w:rsidR="00595AD2">
        <w:t xml:space="preserve"> </w:t>
      </w:r>
    </w:p>
    <w:p w14:paraId="219364F5" w14:textId="1620255A" w:rsidR="006D5ECB" w:rsidRPr="000E0179" w:rsidRDefault="006D5ECB" w:rsidP="00E52D20">
      <w:pPr>
        <w:keepNext/>
        <w:spacing w:line="360" w:lineRule="auto"/>
      </w:pPr>
      <w:r>
        <w:rPr>
          <w:i/>
          <w:iCs/>
        </w:rPr>
        <w:tab/>
      </w:r>
      <w:r w:rsidRPr="00433D61">
        <w:rPr>
          <w:i/>
          <w:iCs/>
        </w:rPr>
        <w:t>I.</w:t>
      </w:r>
      <w:r w:rsidRPr="00433D61">
        <w:rPr>
          <w:i/>
          <w:iCs/>
        </w:rPr>
        <w:tab/>
      </w:r>
      <w:r w:rsidR="000E0179">
        <w:rPr>
          <w:i/>
          <w:iCs/>
        </w:rPr>
        <w:t xml:space="preserve">Herrera’s </w:t>
      </w:r>
      <w:r w:rsidR="000E0179">
        <w:t xml:space="preserve">Bruen </w:t>
      </w:r>
      <w:r w:rsidR="000E0179">
        <w:rPr>
          <w:i/>
          <w:iCs/>
        </w:rPr>
        <w:t>Claim Fails.</w:t>
      </w:r>
    </w:p>
    <w:p w14:paraId="73570DFA" w14:textId="2B7F25B0" w:rsidR="00BD45FC" w:rsidRDefault="00BD45FC" w:rsidP="00E52D20">
      <w:pPr>
        <w:keepNext/>
        <w:spacing w:line="360" w:lineRule="auto"/>
      </w:pPr>
      <w:r>
        <w:tab/>
        <w:t xml:space="preserve">Finally, Herrera claims that </w:t>
      </w:r>
      <w:r w:rsidR="00247454">
        <w:t>section</w:t>
      </w:r>
      <w:r w:rsidR="006C076F">
        <w:t> </w:t>
      </w:r>
      <w:r w:rsidR="00247454">
        <w:t>258</w:t>
      </w:r>
      <w:r w:rsidR="00BC1630">
        <w:t>50,</w:t>
      </w:r>
      <w:r w:rsidR="004D223F">
        <w:t xml:space="preserve"> the statute under which he was convicted of unlawfully carrying a firearm, is unconstitutional under </w:t>
      </w:r>
      <w:r w:rsidR="00856EA1">
        <w:rPr>
          <w:i/>
          <w:iCs/>
        </w:rPr>
        <w:t>New York S</w:t>
      </w:r>
      <w:r w:rsidR="00F3418B">
        <w:rPr>
          <w:i/>
          <w:iCs/>
        </w:rPr>
        <w:t>tate Rifle &amp; Pistol Assn.</w:t>
      </w:r>
      <w:r w:rsidR="00D14919">
        <w:rPr>
          <w:i/>
          <w:iCs/>
        </w:rPr>
        <w:t>, Inc.</w:t>
      </w:r>
      <w:r w:rsidR="006C076F">
        <w:rPr>
          <w:i/>
          <w:iCs/>
        </w:rPr>
        <w:t> </w:t>
      </w:r>
      <w:r w:rsidR="00F3418B">
        <w:rPr>
          <w:i/>
          <w:iCs/>
        </w:rPr>
        <w:t xml:space="preserve">v. Bruen </w:t>
      </w:r>
      <w:r w:rsidR="00F3418B">
        <w:t>(2022)</w:t>
      </w:r>
      <w:r w:rsidR="002A3150">
        <w:t xml:space="preserve"> 597</w:t>
      </w:r>
      <w:r w:rsidR="006C076F">
        <w:t> </w:t>
      </w:r>
      <w:r w:rsidR="002A3150">
        <w:t>U.S. 1</w:t>
      </w:r>
      <w:r w:rsidR="00F3418B">
        <w:t xml:space="preserve"> (</w:t>
      </w:r>
      <w:r w:rsidR="00F3418B">
        <w:rPr>
          <w:i/>
          <w:iCs/>
        </w:rPr>
        <w:t>Bruen</w:t>
      </w:r>
      <w:r w:rsidR="00F3418B">
        <w:t xml:space="preserve">). </w:t>
      </w:r>
      <w:r w:rsidR="002A3150">
        <w:t xml:space="preserve"> He is incorrect.</w:t>
      </w:r>
    </w:p>
    <w:p w14:paraId="1DAF3DA7" w14:textId="66CC99A0" w:rsidR="00BD36DF" w:rsidRDefault="002A3150" w:rsidP="002A070A">
      <w:pPr>
        <w:spacing w:line="360" w:lineRule="auto"/>
      </w:pPr>
      <w:r>
        <w:tab/>
      </w:r>
      <w:r w:rsidR="00FB739C">
        <w:t>Section 25850</w:t>
      </w:r>
      <w:r w:rsidR="001D5A84">
        <w:t xml:space="preserve">, subdivision (a), </w:t>
      </w:r>
      <w:r w:rsidR="00992715">
        <w:t xml:space="preserve">makes it a crime </w:t>
      </w:r>
      <w:r w:rsidR="00441124">
        <w:t xml:space="preserve">for a person </w:t>
      </w:r>
      <w:r w:rsidR="00992715">
        <w:t>to “</w:t>
      </w:r>
      <w:proofErr w:type="spellStart"/>
      <w:r w:rsidR="00992715" w:rsidRPr="00992715">
        <w:t>carr</w:t>
      </w:r>
      <w:proofErr w:type="spellEnd"/>
      <w:r w:rsidR="00992715">
        <w:t>[y]</w:t>
      </w:r>
      <w:r w:rsidR="00992715" w:rsidRPr="00992715">
        <w:t xml:space="preserve"> a loaded firearm </w:t>
      </w:r>
      <w:r w:rsidR="004544F3">
        <w:t xml:space="preserve">. . . </w:t>
      </w:r>
      <w:r w:rsidR="00992715" w:rsidRPr="00992715">
        <w:t xml:space="preserve">on the person or in a vehicle while in any public place or on any public street in an incorporated city, city and county, or in any public place or on any public street in a prohibited area of an unincorporated area of </w:t>
      </w:r>
      <w:r w:rsidR="00992715" w:rsidRPr="00992715">
        <w:lastRenderedPageBreak/>
        <w:t>a county or city and county.</w:t>
      </w:r>
      <w:r w:rsidR="00482961">
        <w:t>”</w:t>
      </w:r>
      <w:r w:rsidR="00441124">
        <w:t xml:space="preserve">  If the person “is not listed with the Department of Justice </w:t>
      </w:r>
      <w:r w:rsidR="00866373">
        <w:t>pursuant to Section</w:t>
      </w:r>
      <w:r w:rsidR="006C076F">
        <w:t> </w:t>
      </w:r>
      <w:r w:rsidR="00866373">
        <w:t xml:space="preserve">11106 </w:t>
      </w:r>
      <w:r w:rsidR="008D30E4">
        <w:t>as the recorded owner of the h</w:t>
      </w:r>
      <w:r w:rsidR="00866373">
        <w:t>andgun,” the crime is a felony.</w:t>
      </w:r>
      <w:r w:rsidR="00FF0EEB">
        <w:t xml:space="preserve">  (§</w:t>
      </w:r>
      <w:r w:rsidR="006C076F">
        <w:t> </w:t>
      </w:r>
      <w:r w:rsidR="00FF0EEB">
        <w:t>25850, subd. (</w:t>
      </w:r>
      <w:r w:rsidR="00C95C1B">
        <w:t>c</w:t>
      </w:r>
      <w:r w:rsidR="00FF0EEB">
        <w:t>)(</w:t>
      </w:r>
      <w:r w:rsidR="00C95C1B">
        <w:t>6</w:t>
      </w:r>
      <w:r w:rsidR="00FF0EEB">
        <w:t>).)</w:t>
      </w:r>
      <w:r w:rsidR="00B208D9">
        <w:t xml:space="preserve">  </w:t>
      </w:r>
      <w:r w:rsidR="00B46528">
        <w:t>Section</w:t>
      </w:r>
      <w:r w:rsidR="006C076F">
        <w:t> </w:t>
      </w:r>
      <w:r w:rsidR="00B46528">
        <w:t>25850 does not apply to anyone licensed</w:t>
      </w:r>
      <w:r w:rsidR="00D71DBF">
        <w:t xml:space="preserve"> to carry a</w:t>
      </w:r>
      <w:r w:rsidR="00915012">
        <w:t xml:space="preserve"> concealed</w:t>
      </w:r>
      <w:r w:rsidR="00D71DBF">
        <w:t xml:space="preserve"> handgun</w:t>
      </w:r>
      <w:r w:rsidR="00B46528">
        <w:t>.</w:t>
      </w:r>
      <w:r w:rsidR="00915012">
        <w:t xml:space="preserve">  </w:t>
      </w:r>
      <w:r w:rsidR="00B46528">
        <w:t>(§</w:t>
      </w:r>
      <w:r w:rsidR="00FD6BFF">
        <w:t> </w:t>
      </w:r>
      <w:r w:rsidR="00B46528">
        <w:t>2</w:t>
      </w:r>
      <w:r w:rsidR="00D71DBF">
        <w:t>6010;</w:t>
      </w:r>
      <w:r w:rsidR="00463A15">
        <w:t xml:space="preserve"> </w:t>
      </w:r>
      <w:r w:rsidR="00463A15">
        <w:rPr>
          <w:i/>
          <w:iCs/>
        </w:rPr>
        <w:t>People</w:t>
      </w:r>
      <w:r w:rsidR="003D59B5">
        <w:rPr>
          <w:i/>
          <w:iCs/>
        </w:rPr>
        <w:t> </w:t>
      </w:r>
      <w:r w:rsidR="00463A15">
        <w:rPr>
          <w:i/>
          <w:iCs/>
        </w:rPr>
        <w:t>v. Mosqueda</w:t>
      </w:r>
      <w:r w:rsidR="00463A15">
        <w:t xml:space="preserve"> (2023) 97 Cal.App.5th 399, 405 (</w:t>
      </w:r>
      <w:r w:rsidR="00463A15">
        <w:rPr>
          <w:i/>
          <w:iCs/>
        </w:rPr>
        <w:t>Mosqueda</w:t>
      </w:r>
      <w:r w:rsidR="00463A15">
        <w:t>)</w:t>
      </w:r>
      <w:r w:rsidR="008B0B88">
        <w:t>; see §§</w:t>
      </w:r>
      <w:r w:rsidR="00FD6BFF">
        <w:t> </w:t>
      </w:r>
      <w:r w:rsidR="008B0B88">
        <w:t>26150, 26155</w:t>
      </w:r>
      <w:r w:rsidR="00463A15">
        <w:t>.)</w:t>
      </w:r>
    </w:p>
    <w:p w14:paraId="5D3E7852" w14:textId="2860E787" w:rsidR="002A3150" w:rsidRDefault="00BD36DF" w:rsidP="002A070A">
      <w:pPr>
        <w:spacing w:line="360" w:lineRule="auto"/>
      </w:pPr>
      <w:r>
        <w:tab/>
      </w:r>
      <w:r w:rsidR="00AD2A80">
        <w:t xml:space="preserve">In </w:t>
      </w:r>
      <w:r w:rsidR="005763DD">
        <w:rPr>
          <w:i/>
          <w:iCs/>
        </w:rPr>
        <w:t>Bruen</w:t>
      </w:r>
      <w:r w:rsidR="00AD2A80">
        <w:t>, the United States Supreme Court</w:t>
      </w:r>
      <w:r w:rsidR="005763DD">
        <w:t xml:space="preserve"> held </w:t>
      </w:r>
      <w:r w:rsidR="00B733FE">
        <w:t xml:space="preserve">“that the Second and Fourteenth Amendments protect an individual’s right to carry </w:t>
      </w:r>
      <w:r w:rsidR="002C5F61">
        <w:t>a handgun for self-defense outside the home.”  (</w:t>
      </w:r>
      <w:r w:rsidR="002C5F61">
        <w:rPr>
          <w:i/>
          <w:iCs/>
        </w:rPr>
        <w:t>Bruen</w:t>
      </w:r>
      <w:r w:rsidR="002C5F61">
        <w:t xml:space="preserve">, </w:t>
      </w:r>
      <w:r w:rsidR="002C5F61">
        <w:rPr>
          <w:i/>
          <w:iCs/>
        </w:rPr>
        <w:t>supra</w:t>
      </w:r>
      <w:r w:rsidR="002C5F61">
        <w:t>, 597 U.S. at p.</w:t>
      </w:r>
      <w:r w:rsidR="00FD6BFF">
        <w:t> </w:t>
      </w:r>
      <w:r w:rsidR="0050348A">
        <w:t>10</w:t>
      </w:r>
      <w:r w:rsidR="002C5F61">
        <w:t>.)</w:t>
      </w:r>
      <w:r w:rsidR="00AD2A80">
        <w:t xml:space="preserve">  </w:t>
      </w:r>
      <w:r w:rsidR="005A2BCE">
        <w:t xml:space="preserve">This </w:t>
      </w:r>
      <w:r w:rsidR="00E23EB7">
        <w:t>right is “subject to certain reasonable, well-defined restrictions</w:t>
      </w:r>
      <w:r w:rsidR="00072EEB">
        <w:t>.</w:t>
      </w:r>
      <w:r w:rsidR="00E23EB7">
        <w:t>”</w:t>
      </w:r>
      <w:r w:rsidR="00072EEB">
        <w:t xml:space="preserve">  (</w:t>
      </w:r>
      <w:r w:rsidR="00072EEB">
        <w:rPr>
          <w:i/>
          <w:iCs/>
        </w:rPr>
        <w:t>Id.</w:t>
      </w:r>
      <w:r w:rsidR="00072EEB">
        <w:t xml:space="preserve"> </w:t>
      </w:r>
      <w:r w:rsidR="00C2399F">
        <w:t>at p.</w:t>
      </w:r>
      <w:r w:rsidR="00FD6BFF">
        <w:t> </w:t>
      </w:r>
      <w:r w:rsidR="00C2399F">
        <w:t>70.)  To</w:t>
      </w:r>
      <w:r w:rsidR="002A4E61">
        <w:t xml:space="preserve"> determin</w:t>
      </w:r>
      <w:r w:rsidR="00C2399F">
        <w:t>e</w:t>
      </w:r>
      <w:r w:rsidR="002A4E61">
        <w:t xml:space="preserve"> whether </w:t>
      </w:r>
      <w:r w:rsidR="007B6FF3">
        <w:t>government regulation of handgun</w:t>
      </w:r>
      <w:r w:rsidR="00E23EB7">
        <w:t xml:space="preserve"> </w:t>
      </w:r>
      <w:r w:rsidR="007B6FF3">
        <w:t xml:space="preserve">possession </w:t>
      </w:r>
      <w:r w:rsidR="00D96FFD">
        <w:t>passes constitutional muster</w:t>
      </w:r>
      <w:r w:rsidR="00B63517">
        <w:t>, court</w:t>
      </w:r>
      <w:r w:rsidR="00DC3D3B">
        <w:t>s must first determine whether “</w:t>
      </w:r>
      <w:r w:rsidR="00D624F0">
        <w:t xml:space="preserve">the Second Amendment’s plain text covers an individual’s conduct.”  </w:t>
      </w:r>
      <w:r w:rsidR="00684600">
        <w:t>(</w:t>
      </w:r>
      <w:r w:rsidR="00684600">
        <w:rPr>
          <w:i/>
          <w:iCs/>
        </w:rPr>
        <w:t>Id.</w:t>
      </w:r>
      <w:r w:rsidR="00684600">
        <w:t xml:space="preserve"> at p.</w:t>
      </w:r>
      <w:r w:rsidR="00FD6BFF">
        <w:t> </w:t>
      </w:r>
      <w:r w:rsidR="00684600">
        <w:t>17.)</w:t>
      </w:r>
      <w:r w:rsidR="00D624F0">
        <w:t xml:space="preserve">  If it does, “the Constitution presumptively </w:t>
      </w:r>
      <w:r w:rsidR="005821BB">
        <w:t>protects that conduct,” and “</w:t>
      </w:r>
      <w:r w:rsidR="00B25B15">
        <w:t xml:space="preserve">[t]o justify its regulation, </w:t>
      </w:r>
      <w:r w:rsidR="00FD6BFF">
        <w:t>. . .</w:t>
      </w:r>
      <w:r w:rsidR="00B25B15">
        <w:t xml:space="preserve"> </w:t>
      </w:r>
      <w:r w:rsidR="005821BB">
        <w:t xml:space="preserve">the government must demonstrate that the regulation is consistent with this Nation’s historical </w:t>
      </w:r>
      <w:r w:rsidR="00DA09DE">
        <w:t>tradition of firearm regulation.”  (</w:t>
      </w:r>
      <w:r w:rsidR="00DA09DE">
        <w:rPr>
          <w:i/>
          <w:iCs/>
        </w:rPr>
        <w:t>Ibid.</w:t>
      </w:r>
      <w:r w:rsidR="00DA09DE">
        <w:t xml:space="preserve">)  </w:t>
      </w:r>
    </w:p>
    <w:p w14:paraId="1CB6793B" w14:textId="3AF89744" w:rsidR="00AA79F8" w:rsidRDefault="00AA79F8" w:rsidP="002A070A">
      <w:pPr>
        <w:spacing w:line="360" w:lineRule="auto"/>
      </w:pPr>
      <w:r>
        <w:tab/>
        <w:t xml:space="preserve">Applying this test, </w:t>
      </w:r>
      <w:r>
        <w:rPr>
          <w:i/>
          <w:iCs/>
        </w:rPr>
        <w:t>Bruen</w:t>
      </w:r>
      <w:r>
        <w:t xml:space="preserve"> held that </w:t>
      </w:r>
      <w:r w:rsidR="00D03D2F">
        <w:t xml:space="preserve">part of </w:t>
      </w:r>
      <w:r w:rsidR="0021100D">
        <w:t xml:space="preserve">New York’s handgun licensing </w:t>
      </w:r>
      <w:r w:rsidR="00D03D2F">
        <w:t>scheme</w:t>
      </w:r>
      <w:r w:rsidR="00EF0C84">
        <w:t xml:space="preserve"> </w:t>
      </w:r>
      <w:r w:rsidR="0021100D">
        <w:t>violated the constitutional right to carry a handgun in public for self-defense.  (</w:t>
      </w:r>
      <w:r w:rsidR="0021100D">
        <w:rPr>
          <w:i/>
          <w:iCs/>
        </w:rPr>
        <w:t>Bruen</w:t>
      </w:r>
      <w:r w:rsidR="0021100D">
        <w:t xml:space="preserve">, </w:t>
      </w:r>
      <w:r w:rsidR="0021100D">
        <w:rPr>
          <w:i/>
          <w:iCs/>
        </w:rPr>
        <w:t>supra</w:t>
      </w:r>
      <w:r w:rsidR="0021100D">
        <w:t xml:space="preserve">, </w:t>
      </w:r>
      <w:r w:rsidR="003F5655">
        <w:t xml:space="preserve">597 U.S. at </w:t>
      </w:r>
      <w:r w:rsidR="0018717E">
        <w:t>p</w:t>
      </w:r>
      <w:r w:rsidR="003F5655">
        <w:t>p</w:t>
      </w:r>
      <w:r w:rsidR="0010112D">
        <w:t>.</w:t>
      </w:r>
      <w:r w:rsidR="00FD6BFF">
        <w:t> </w:t>
      </w:r>
      <w:r w:rsidR="0018717E">
        <w:t xml:space="preserve">32–34, </w:t>
      </w:r>
      <w:r w:rsidR="0010112D">
        <w:t>71.)</w:t>
      </w:r>
      <w:r w:rsidR="00525D22">
        <w:t xml:space="preserve">  New York</w:t>
      </w:r>
      <w:r w:rsidR="00D03D2F">
        <w:t xml:space="preserve"> law</w:t>
      </w:r>
      <w:r w:rsidR="00EF0C84">
        <w:t xml:space="preserve"> </w:t>
      </w:r>
      <w:r w:rsidR="00E43A2C">
        <w:t xml:space="preserve">required </w:t>
      </w:r>
      <w:r w:rsidR="003457D1">
        <w:t xml:space="preserve">a person seeking </w:t>
      </w:r>
      <w:r w:rsidR="00D03B76">
        <w:t xml:space="preserve">a license </w:t>
      </w:r>
      <w:r w:rsidR="003457D1">
        <w:t xml:space="preserve">to carry a concealed handgun in public </w:t>
      </w:r>
      <w:r w:rsidR="00EF0C84">
        <w:t>to show “proper</w:t>
      </w:r>
      <w:r w:rsidR="0018717E">
        <w:t xml:space="preserve"> </w:t>
      </w:r>
      <w:r w:rsidR="00EF0C84">
        <w:t>cause</w:t>
      </w:r>
      <w:r w:rsidR="00D03B76">
        <w:t>,</w:t>
      </w:r>
      <w:r w:rsidR="00EF0C84">
        <w:t>”</w:t>
      </w:r>
      <w:r w:rsidR="0018717E">
        <w:t xml:space="preserve"> </w:t>
      </w:r>
      <w:r w:rsidR="00980D0D">
        <w:t xml:space="preserve">requiring a showing of </w:t>
      </w:r>
      <w:proofErr w:type="gramStart"/>
      <w:r w:rsidR="00980D0D">
        <w:t>“</w:t>
      </w:r>
      <w:r w:rsidR="00FD6BFF">
        <w:t> </w:t>
      </w:r>
      <w:r w:rsidR="00980D0D">
        <w:t>‘</w:t>
      </w:r>
      <w:proofErr w:type="gramEnd"/>
      <w:r w:rsidR="00980D0D">
        <w:t>a special need for self-protection distinguishable from that of the general community.’</w:t>
      </w:r>
      <w:r w:rsidR="00FD6BFF">
        <w:t> </w:t>
      </w:r>
      <w:r w:rsidR="00980D0D">
        <w:t>”  (</w:t>
      </w:r>
      <w:r w:rsidR="00980D0D">
        <w:rPr>
          <w:i/>
          <w:iCs/>
        </w:rPr>
        <w:t>Id.</w:t>
      </w:r>
      <w:r w:rsidR="00980D0D">
        <w:t xml:space="preserve"> at p. 12.)</w:t>
      </w:r>
      <w:r w:rsidR="00B735C3">
        <w:t xml:space="preserve">  </w:t>
      </w:r>
      <w:r w:rsidR="00D55B18">
        <w:t xml:space="preserve">The </w:t>
      </w:r>
      <w:r w:rsidR="00B735C3">
        <w:t xml:space="preserve">Supreme Court concluded that </w:t>
      </w:r>
      <w:r w:rsidR="00C72166">
        <w:t xml:space="preserve">New York failed to demonstrate that </w:t>
      </w:r>
      <w:r w:rsidR="008D66D7">
        <w:t>the</w:t>
      </w:r>
      <w:r w:rsidR="00DE1B1F">
        <w:t xml:space="preserve"> </w:t>
      </w:r>
      <w:r w:rsidR="00D55B18">
        <w:t>proper-cause requirement was</w:t>
      </w:r>
      <w:r w:rsidR="008D66D7">
        <w:t xml:space="preserve"> </w:t>
      </w:r>
      <w:r w:rsidR="00D55B18">
        <w:t>consistent with historical tradition</w:t>
      </w:r>
      <w:r w:rsidR="00B57AA2">
        <w:t xml:space="preserve">, because most American jurisdictions </w:t>
      </w:r>
      <w:r w:rsidR="00FF2776">
        <w:t>had not</w:t>
      </w:r>
      <w:r w:rsidR="00C96CF8">
        <w:t xml:space="preserve"> either “broadly prohibited the public carry of commonly used firearms for personal defense” or</w:t>
      </w:r>
      <w:r w:rsidR="00FF2776">
        <w:t xml:space="preserve"> “required </w:t>
      </w:r>
      <w:r w:rsidR="00FF2776">
        <w:lastRenderedPageBreak/>
        <w:t>law-abiding, responsible citizens</w:t>
      </w:r>
      <w:r w:rsidR="00C96CF8">
        <w:t xml:space="preserve"> to ‘demonstrate a special need for self</w:t>
      </w:r>
      <w:r w:rsidR="009E4104">
        <w:t xml:space="preserve">-protection </w:t>
      </w:r>
      <w:r w:rsidR="00FD6BFF">
        <w:t>. . .</w:t>
      </w:r>
      <w:r w:rsidR="009E4104">
        <w:t xml:space="preserve">’ in order to carry arms in public.”  </w:t>
      </w:r>
      <w:r w:rsidR="00D55B18">
        <w:t>(</w:t>
      </w:r>
      <w:r w:rsidR="00D55B18">
        <w:rPr>
          <w:i/>
          <w:iCs/>
        </w:rPr>
        <w:t>Id.</w:t>
      </w:r>
      <w:r w:rsidR="00D55B18">
        <w:t xml:space="preserve"> a</w:t>
      </w:r>
      <w:r w:rsidR="008D66D7">
        <w:t>t p.</w:t>
      </w:r>
      <w:r w:rsidR="00FD6BFF">
        <w:t> </w:t>
      </w:r>
      <w:r w:rsidR="008D66D7">
        <w:t>70.)</w:t>
      </w:r>
      <w:r w:rsidR="00980D0D">
        <w:t xml:space="preserve">  </w:t>
      </w:r>
    </w:p>
    <w:p w14:paraId="05E3A530" w14:textId="00597890" w:rsidR="00C03ABB" w:rsidRDefault="00D63D50" w:rsidP="002A070A">
      <w:pPr>
        <w:spacing w:line="360" w:lineRule="auto"/>
      </w:pPr>
      <w:r>
        <w:tab/>
      </w:r>
      <w:r w:rsidR="00E627EB">
        <w:t xml:space="preserve">Before </w:t>
      </w:r>
      <w:r w:rsidR="00E627EB">
        <w:rPr>
          <w:i/>
          <w:iCs/>
        </w:rPr>
        <w:t>Bruen</w:t>
      </w:r>
      <w:r w:rsidR="00E627EB">
        <w:t>, California required applicants for a license to carry a concealed handgun in public to demonstrate “good cause</w:t>
      </w:r>
      <w:r w:rsidR="00FF5555">
        <w:t xml:space="preserve">.”  (Former </w:t>
      </w:r>
      <w:r w:rsidR="00F3234C">
        <w:t>§§</w:t>
      </w:r>
      <w:r w:rsidR="003D59B5">
        <w:t> </w:t>
      </w:r>
      <w:r w:rsidR="00F3234C">
        <w:t>26150,</w:t>
      </w:r>
      <w:r w:rsidR="00EA7AB9">
        <w:t xml:space="preserve"> subd. (a)(2),</w:t>
      </w:r>
      <w:r w:rsidR="00F3234C">
        <w:t xml:space="preserve"> 26155</w:t>
      </w:r>
      <w:r w:rsidR="009A5163">
        <w:t>, subd. (a)(2)</w:t>
      </w:r>
      <w:r w:rsidR="00F3234C">
        <w:t xml:space="preserve">; </w:t>
      </w:r>
      <w:r w:rsidR="008B0B88">
        <w:rPr>
          <w:i/>
          <w:iCs/>
        </w:rPr>
        <w:t>Mosqueda</w:t>
      </w:r>
      <w:r w:rsidR="008B0B88">
        <w:t xml:space="preserve">, </w:t>
      </w:r>
      <w:r w:rsidR="008B0B88">
        <w:rPr>
          <w:i/>
          <w:iCs/>
        </w:rPr>
        <w:t>supra</w:t>
      </w:r>
      <w:r w:rsidR="008B0B88">
        <w:t xml:space="preserve">, </w:t>
      </w:r>
      <w:r w:rsidR="003F7DAB">
        <w:t>97</w:t>
      </w:r>
      <w:r w:rsidR="003D59B5">
        <w:t> </w:t>
      </w:r>
      <w:r w:rsidR="003F7DAB">
        <w:t>Cal.App.5th at p.</w:t>
      </w:r>
      <w:r w:rsidR="003D59B5">
        <w:t> </w:t>
      </w:r>
      <w:r w:rsidR="003F7DAB">
        <w:t xml:space="preserve">402.)  </w:t>
      </w:r>
      <w:r w:rsidR="00DE2B3B">
        <w:rPr>
          <w:i/>
          <w:iCs/>
        </w:rPr>
        <w:t>Bruen</w:t>
      </w:r>
      <w:r w:rsidR="00DE2B3B">
        <w:t xml:space="preserve"> “made clear that California’s </w:t>
      </w:r>
      <w:r w:rsidR="00FD6BFF">
        <w:t>. . .</w:t>
      </w:r>
      <w:r w:rsidR="00EC2951">
        <w:t xml:space="preserve"> ‘good cause’ requirement,” which was similar to New York’s </w:t>
      </w:r>
      <w:r w:rsidR="00FB63D6">
        <w:t>“proper cause” requirement, “was unconstitutional.”  (</w:t>
      </w:r>
      <w:r w:rsidR="00FB63D6">
        <w:rPr>
          <w:i/>
          <w:iCs/>
        </w:rPr>
        <w:t>Mosqueda</w:t>
      </w:r>
      <w:r w:rsidR="00FB63D6">
        <w:t>, at p.</w:t>
      </w:r>
      <w:r w:rsidR="003F7B00">
        <w:t> </w:t>
      </w:r>
      <w:r w:rsidR="00FB63D6">
        <w:t xml:space="preserve">408, citing </w:t>
      </w:r>
      <w:r w:rsidR="00FB63D6">
        <w:rPr>
          <w:i/>
          <w:iCs/>
        </w:rPr>
        <w:t>Bruen</w:t>
      </w:r>
      <w:r w:rsidR="00FB63D6">
        <w:t xml:space="preserve">, </w:t>
      </w:r>
      <w:r w:rsidR="00FB63D6">
        <w:rPr>
          <w:i/>
          <w:iCs/>
        </w:rPr>
        <w:t>supra</w:t>
      </w:r>
      <w:r w:rsidR="00FB63D6">
        <w:t>, 597</w:t>
      </w:r>
      <w:r w:rsidR="003F7B00">
        <w:t> </w:t>
      </w:r>
      <w:r w:rsidR="00FB63D6">
        <w:t>U.S. at p.</w:t>
      </w:r>
      <w:r w:rsidR="003F7B00">
        <w:t> </w:t>
      </w:r>
      <w:r w:rsidR="0041744A">
        <w:t>15</w:t>
      </w:r>
      <w:r w:rsidR="00FB63D6">
        <w:t xml:space="preserve"> &amp; fn.</w:t>
      </w:r>
      <w:r w:rsidR="003F7B00">
        <w:t> </w:t>
      </w:r>
      <w:r w:rsidR="00FB63D6">
        <w:t>2.)</w:t>
      </w:r>
      <w:r w:rsidR="00F00A01">
        <w:t xml:space="preserve">  Thus, “[o]n June 24, 2022, the day after </w:t>
      </w:r>
      <w:r w:rsidR="00F00A01">
        <w:rPr>
          <w:i/>
          <w:iCs/>
        </w:rPr>
        <w:t>Bruen</w:t>
      </w:r>
      <w:r w:rsidR="00F00A01">
        <w:t xml:space="preserve"> was released, the California Attorney General issued a legal alert recognizing that the good cause requirement in sections 26150 and 26155</w:t>
      </w:r>
      <w:r w:rsidR="0086112C">
        <w:t xml:space="preserve"> was no longer constitutional </w:t>
      </w:r>
      <w:r w:rsidR="00FD6BFF">
        <w:t>. . .</w:t>
      </w:r>
      <w:r w:rsidR="0086112C">
        <w:t xml:space="preserve"> [and] instruct[</w:t>
      </w:r>
      <w:proofErr w:type="spellStart"/>
      <w:r w:rsidR="0086112C">
        <w:t>ing</w:t>
      </w:r>
      <w:proofErr w:type="spellEnd"/>
      <w:r w:rsidR="0086112C">
        <w:t>] local officials not to require proof of good cause for issuing a public-carry license effective immediately.”  (</w:t>
      </w:r>
      <w:r w:rsidR="0086112C">
        <w:rPr>
          <w:i/>
          <w:iCs/>
        </w:rPr>
        <w:t>Mosqueda</w:t>
      </w:r>
      <w:r w:rsidR="0086112C">
        <w:t>, at p.</w:t>
      </w:r>
      <w:r w:rsidR="00FD6BFF">
        <w:t> </w:t>
      </w:r>
      <w:r w:rsidR="0005410C">
        <w:t>408.)  Sections</w:t>
      </w:r>
      <w:r w:rsidR="009A5163">
        <w:t> </w:t>
      </w:r>
      <w:r w:rsidR="0005410C">
        <w:t xml:space="preserve">26150 and 26155 were </w:t>
      </w:r>
      <w:r w:rsidR="00152B0A">
        <w:t xml:space="preserve">later </w:t>
      </w:r>
      <w:r w:rsidR="0005410C">
        <w:t>amended to remove the good-cause requirement.  (</w:t>
      </w:r>
      <w:r w:rsidR="00D0594F">
        <w:t>Stats.</w:t>
      </w:r>
      <w:r w:rsidR="00E00197">
        <w:t xml:space="preserve"> 2023,</w:t>
      </w:r>
      <w:r w:rsidR="00D0594F">
        <w:t xml:space="preserve"> </w:t>
      </w:r>
      <w:proofErr w:type="spellStart"/>
      <w:r w:rsidR="00D0594F">
        <w:t>ch</w:t>
      </w:r>
      <w:r w:rsidR="00E00197">
        <w:t>.</w:t>
      </w:r>
      <w:proofErr w:type="spellEnd"/>
      <w:r w:rsidR="00E00197">
        <w:t xml:space="preserve"> </w:t>
      </w:r>
      <w:r w:rsidR="00C847E9">
        <w:t xml:space="preserve">249, </w:t>
      </w:r>
      <w:r w:rsidR="00397EE0">
        <w:t>§§</w:t>
      </w:r>
      <w:r w:rsidR="00FD6BFF">
        <w:t> </w:t>
      </w:r>
      <w:r w:rsidR="00397EE0">
        <w:t>10</w:t>
      </w:r>
      <w:r w:rsidR="005406B5">
        <w:t xml:space="preserve">–11.) </w:t>
      </w:r>
      <w:r w:rsidR="00FB63D6">
        <w:t xml:space="preserve"> </w:t>
      </w:r>
    </w:p>
    <w:p w14:paraId="06ABD291" w14:textId="69A3F2AF" w:rsidR="00F41A40" w:rsidRDefault="004079FC" w:rsidP="002A070A">
      <w:pPr>
        <w:spacing w:line="360" w:lineRule="auto"/>
      </w:pPr>
      <w:r>
        <w:tab/>
      </w:r>
      <w:r w:rsidR="00362965">
        <w:t xml:space="preserve">Herrera claims that section 25850 </w:t>
      </w:r>
      <w:r w:rsidR="00646C58">
        <w:t>was</w:t>
      </w:r>
      <w:r w:rsidR="000B4387">
        <w:t xml:space="preserve"> facially unconstitutional </w:t>
      </w:r>
      <w:r w:rsidR="009053EC">
        <w:t xml:space="preserve">at the time he was convicted because </w:t>
      </w:r>
      <w:r w:rsidR="00436C11">
        <w:t>of the good-cause licensing requirement.</w:t>
      </w:r>
      <w:r w:rsidR="006C381A">
        <w:t xml:space="preserve">  </w:t>
      </w:r>
      <w:proofErr w:type="gramStart"/>
      <w:r w:rsidR="006C381A">
        <w:t>“</w:t>
      </w:r>
      <w:r w:rsidR="00FD6BFF">
        <w:t> </w:t>
      </w:r>
      <w:r w:rsidR="006C381A">
        <w:t>‘</w:t>
      </w:r>
      <w:proofErr w:type="gramEnd"/>
      <w:r w:rsidR="006C381A">
        <w:t>A facial challenge to the constitutional validity of a statute or ordinance considers only the text of the measure itself, not its application to the particular circumstances of an individual.’</w:t>
      </w:r>
      <w:r w:rsidR="00FD6BFF">
        <w:t> </w:t>
      </w:r>
      <w:r w:rsidR="006C381A">
        <w:t>”  (</w:t>
      </w:r>
      <w:r w:rsidR="006C381A">
        <w:rPr>
          <w:i/>
          <w:iCs/>
        </w:rPr>
        <w:t>In re D.L.</w:t>
      </w:r>
      <w:r w:rsidR="006C381A">
        <w:t xml:space="preserve"> (2023) 93</w:t>
      </w:r>
      <w:r w:rsidR="003F7B00">
        <w:t> </w:t>
      </w:r>
      <w:r w:rsidR="006C381A">
        <w:t>C</w:t>
      </w:r>
      <w:r w:rsidR="00CD09DC">
        <w:t>al.App.5th 144, 157 (</w:t>
      </w:r>
      <w:r w:rsidR="00CD09DC">
        <w:rPr>
          <w:i/>
          <w:iCs/>
        </w:rPr>
        <w:t>D.L.</w:t>
      </w:r>
      <w:r w:rsidR="00CD09DC">
        <w:t xml:space="preserve">).)  </w:t>
      </w:r>
      <w:r w:rsidR="00F40FA4">
        <w:t xml:space="preserve">Thus, to prevail, </w:t>
      </w:r>
      <w:r w:rsidR="00934252">
        <w:t xml:space="preserve">Herrera must demonstrate that </w:t>
      </w:r>
      <w:proofErr w:type="gramStart"/>
      <w:r w:rsidR="00934252">
        <w:t>“</w:t>
      </w:r>
      <w:r w:rsidR="00336EEE">
        <w:t> </w:t>
      </w:r>
      <w:r w:rsidR="00934252">
        <w:t>‘</w:t>
      </w:r>
      <w:proofErr w:type="gramEnd"/>
      <w:r w:rsidR="00FD6BFF">
        <w:t> </w:t>
      </w:r>
      <w:r w:rsidR="00934252">
        <w:t xml:space="preserve">“no set of circumstances exists under which [the challenged statute] would be valid,” </w:t>
      </w:r>
      <w:r w:rsidR="00934252" w:rsidRPr="002829EC">
        <w:rPr>
          <w:i/>
          <w:iCs/>
        </w:rPr>
        <w:t>i.e.</w:t>
      </w:r>
      <w:r w:rsidR="00934252">
        <w:t xml:space="preserve">, that </w:t>
      </w:r>
      <w:r w:rsidR="002829EC">
        <w:t>the law is unconstitutional in all its applications.’</w:t>
      </w:r>
      <w:r w:rsidR="00336EEE">
        <w:t> </w:t>
      </w:r>
      <w:r w:rsidR="002829EC">
        <w:t>”  (</w:t>
      </w:r>
      <w:r w:rsidR="002829EC">
        <w:rPr>
          <w:i/>
          <w:iCs/>
        </w:rPr>
        <w:t>Ibid.</w:t>
      </w:r>
      <w:r w:rsidR="002829EC">
        <w:t xml:space="preserve">)  Whether a statute is facially unconstitutional is a question of law </w:t>
      </w:r>
      <w:r w:rsidR="00590D34">
        <w:t>reviewed</w:t>
      </w:r>
      <w:r w:rsidR="002829EC">
        <w:t xml:space="preserve"> de novo.</w:t>
      </w:r>
      <w:r w:rsidR="006741EB">
        <w:t xml:space="preserve">  (</w:t>
      </w:r>
      <w:r w:rsidR="006741EB">
        <w:rPr>
          <w:i/>
          <w:iCs/>
        </w:rPr>
        <w:t>Id.</w:t>
      </w:r>
      <w:r w:rsidR="006741EB">
        <w:t xml:space="preserve"> at p.</w:t>
      </w:r>
      <w:r w:rsidR="00336EEE">
        <w:t> </w:t>
      </w:r>
      <w:r w:rsidR="006741EB">
        <w:t>156.)</w:t>
      </w:r>
      <w:r w:rsidR="00934252">
        <w:t xml:space="preserve"> </w:t>
      </w:r>
    </w:p>
    <w:p w14:paraId="7ADEBDA5" w14:textId="077FAFF0" w:rsidR="00733224" w:rsidRDefault="00F41A40" w:rsidP="002A070A">
      <w:pPr>
        <w:spacing w:line="360" w:lineRule="auto"/>
      </w:pPr>
      <w:r>
        <w:tab/>
        <w:t xml:space="preserve">Initially, the Attorney General argues that Herrera lacks standing to </w:t>
      </w:r>
      <w:r w:rsidR="00C20104">
        <w:t>raise</w:t>
      </w:r>
      <w:r>
        <w:t xml:space="preserve"> this claim. </w:t>
      </w:r>
      <w:r w:rsidR="000F53F5">
        <w:t xml:space="preserve"> </w:t>
      </w:r>
      <w:r w:rsidR="00212911">
        <w:t xml:space="preserve">The Attorney General </w:t>
      </w:r>
      <w:r w:rsidR="00E74912">
        <w:t>argues</w:t>
      </w:r>
      <w:r w:rsidR="00212911">
        <w:t xml:space="preserve"> this is so because </w:t>
      </w:r>
      <w:r w:rsidR="00367417">
        <w:t xml:space="preserve">Herrera </w:t>
      </w:r>
      <w:r w:rsidR="00367417">
        <w:lastRenderedPageBreak/>
        <w:t>“cannot establish that he was injured by the existence of any unconstitutional good cause requirement</w:t>
      </w:r>
      <w:r w:rsidR="00E74912">
        <w:t xml:space="preserve">,” which would require him to show that </w:t>
      </w:r>
      <w:r w:rsidR="00B23E5E">
        <w:t>“he would have been issued a license under the remaining licensing requirements.”</w:t>
      </w:r>
      <w:r w:rsidR="00896B4A">
        <w:t xml:space="preserve"> </w:t>
      </w:r>
      <w:r w:rsidR="00841262">
        <w:t xml:space="preserve"> </w:t>
      </w:r>
      <w:r w:rsidR="00B23E5E">
        <w:t>But a</w:t>
      </w:r>
      <w:r w:rsidR="00841262">
        <w:t>s the Attorney General acknowledges,</w:t>
      </w:r>
      <w:r w:rsidR="001667C7">
        <w:t xml:space="preserve"> </w:t>
      </w:r>
      <w:r w:rsidR="008A50F3">
        <w:t xml:space="preserve">the Sixth District Court of Appeal </w:t>
      </w:r>
      <w:r w:rsidR="00867A26">
        <w:t xml:space="preserve">and our colleagues in Division Two </w:t>
      </w:r>
      <w:r w:rsidR="008A50F3">
        <w:t xml:space="preserve">have </w:t>
      </w:r>
      <w:r w:rsidR="004A58B7">
        <w:t xml:space="preserve">rejected this </w:t>
      </w:r>
      <w:r w:rsidR="003E67F4">
        <w:t>argument</w:t>
      </w:r>
      <w:r w:rsidR="001667C7">
        <w:t>.</w:t>
      </w:r>
      <w:r w:rsidR="00C251AF">
        <w:t xml:space="preserve"> </w:t>
      </w:r>
      <w:r w:rsidR="00B23E5E">
        <w:t xml:space="preserve"> </w:t>
      </w:r>
      <w:r w:rsidR="00C251AF">
        <w:t>(</w:t>
      </w:r>
      <w:r w:rsidR="00C251AF">
        <w:rPr>
          <w:i/>
          <w:iCs/>
        </w:rPr>
        <w:t>In re T.F.-G.</w:t>
      </w:r>
      <w:r w:rsidR="00C251AF">
        <w:t xml:space="preserve"> (2023) 94 Cal.App.5th 893, 912–913;</w:t>
      </w:r>
      <w:r w:rsidR="00C251AF">
        <w:rPr>
          <w:i/>
          <w:iCs/>
        </w:rPr>
        <w:t xml:space="preserve"> D.L.</w:t>
      </w:r>
      <w:r w:rsidR="00C251AF">
        <w:t xml:space="preserve">, </w:t>
      </w:r>
      <w:r w:rsidR="00C251AF">
        <w:rPr>
          <w:i/>
          <w:iCs/>
        </w:rPr>
        <w:t>supra</w:t>
      </w:r>
      <w:r w:rsidR="00C251AF">
        <w:t>, 93</w:t>
      </w:r>
      <w:r w:rsidR="00B23E5E">
        <w:t> </w:t>
      </w:r>
      <w:r w:rsidR="00C251AF">
        <w:t>Cal.App.5th at pp.</w:t>
      </w:r>
      <w:r w:rsidR="00336EEE">
        <w:t> </w:t>
      </w:r>
      <w:r w:rsidR="00C251AF">
        <w:t xml:space="preserve">158–161.)  In both cases, the appellate court held that </w:t>
      </w:r>
      <w:r w:rsidR="008909BC">
        <w:t xml:space="preserve">a juvenile who </w:t>
      </w:r>
      <w:r w:rsidR="00683B03">
        <w:t>violated section 25850 had standing to assert a facial challenge to that statute</w:t>
      </w:r>
      <w:r w:rsidR="0096162F">
        <w:t>,</w:t>
      </w:r>
      <w:r w:rsidR="007C50AC">
        <w:t xml:space="preserve"> even though the juvenile </w:t>
      </w:r>
      <w:r w:rsidR="0096162F">
        <w:t>had not sought, and categorically could not obtain, a license to carry a concealed handgun</w:t>
      </w:r>
      <w:r w:rsidR="00FA3724">
        <w:t>.</w:t>
      </w:r>
      <w:r w:rsidR="0096162F">
        <w:t xml:space="preserve">  (</w:t>
      </w:r>
      <w:r w:rsidR="0096162F">
        <w:rPr>
          <w:i/>
          <w:iCs/>
        </w:rPr>
        <w:t>T.F.-G.</w:t>
      </w:r>
      <w:r w:rsidR="0096162F">
        <w:t>, at p</w:t>
      </w:r>
      <w:r w:rsidR="00B77A75">
        <w:t>p</w:t>
      </w:r>
      <w:r w:rsidR="0096162F">
        <w:t>.</w:t>
      </w:r>
      <w:r w:rsidR="00B77A75">
        <w:t> 912–</w:t>
      </w:r>
      <w:r w:rsidR="00C02C70">
        <w:t xml:space="preserve">913; </w:t>
      </w:r>
      <w:r w:rsidR="00C02C70">
        <w:rPr>
          <w:i/>
          <w:iCs/>
        </w:rPr>
        <w:t>D.L.</w:t>
      </w:r>
      <w:r w:rsidR="00C02C70">
        <w:t>, at p.</w:t>
      </w:r>
      <w:r w:rsidR="00336EEE">
        <w:t> </w:t>
      </w:r>
      <w:r w:rsidR="003806CC">
        <w:t>161.)  The Attorney General offers us no reason to depart from the</w:t>
      </w:r>
      <w:r w:rsidR="00111BBC">
        <w:t>se decisions’</w:t>
      </w:r>
      <w:r w:rsidR="003806CC">
        <w:t xml:space="preserve"> reasoning</w:t>
      </w:r>
      <w:r w:rsidR="0052756F">
        <w:t>, which we conclude is sound</w:t>
      </w:r>
      <w:r w:rsidR="00733224">
        <w:t>.</w:t>
      </w:r>
    </w:p>
    <w:p w14:paraId="3D6B179B" w14:textId="60778596" w:rsidR="003F61B5" w:rsidRDefault="00733224" w:rsidP="002A070A">
      <w:pPr>
        <w:spacing w:line="360" w:lineRule="auto"/>
      </w:pPr>
      <w:r>
        <w:tab/>
      </w:r>
      <w:r w:rsidR="0052756F">
        <w:t>Since</w:t>
      </w:r>
      <w:r>
        <w:t xml:space="preserve"> Herrera has standing, we turn to address the merit</w:t>
      </w:r>
      <w:r w:rsidR="00B806C5">
        <w:t xml:space="preserve">s of his constitutional challenge to section 25850.  </w:t>
      </w:r>
      <w:r w:rsidR="00DE679F">
        <w:t xml:space="preserve">There is no dispute that the good-cause requirement, </w:t>
      </w:r>
      <w:r w:rsidR="0010631F">
        <w:t>since</w:t>
      </w:r>
      <w:r w:rsidR="00DE679F">
        <w:t xml:space="preserve"> legislated out of existence, was unconstitutional under </w:t>
      </w:r>
      <w:r w:rsidR="00DE679F">
        <w:rPr>
          <w:i/>
          <w:iCs/>
        </w:rPr>
        <w:t>Bruen</w:t>
      </w:r>
      <w:r w:rsidR="00DE679F">
        <w:t xml:space="preserve">. </w:t>
      </w:r>
      <w:r w:rsidR="00C74877">
        <w:t xml:space="preserve"> </w:t>
      </w:r>
      <w:r w:rsidR="001220E3">
        <w:t>But o</w:t>
      </w:r>
      <w:r w:rsidR="00E03368">
        <w:t>ther decisions</w:t>
      </w:r>
      <w:r w:rsidR="00AA120C">
        <w:t xml:space="preserve"> have</w:t>
      </w:r>
      <w:r w:rsidR="00E03368">
        <w:t xml:space="preserve"> uniformly rejected </w:t>
      </w:r>
      <w:r w:rsidR="00F1363A">
        <w:t>the contention</w:t>
      </w:r>
      <w:r w:rsidR="00AA120C">
        <w:t xml:space="preserve"> that California’s licensing scheme as a whole </w:t>
      </w:r>
      <w:r w:rsidR="00BF420D">
        <w:t>wa</w:t>
      </w:r>
      <w:r w:rsidR="00AA120C">
        <w:t>s unconstitutional b</w:t>
      </w:r>
      <w:r w:rsidR="001220E3">
        <w:t xml:space="preserve">ased on </w:t>
      </w:r>
      <w:r w:rsidR="00AA120C">
        <w:t>the good-cause requirement</w:t>
      </w:r>
      <w:r w:rsidR="001220E3">
        <w:t xml:space="preserve">, instead concluding that the </w:t>
      </w:r>
      <w:r w:rsidR="00597DB5">
        <w:t>requirement</w:t>
      </w:r>
      <w:r w:rsidR="00AA120C">
        <w:t xml:space="preserve"> </w:t>
      </w:r>
      <w:r w:rsidR="00597DB5">
        <w:t>was severable</w:t>
      </w:r>
      <w:r w:rsidR="00B927AF">
        <w:t xml:space="preserve">.  </w:t>
      </w:r>
      <w:r w:rsidR="00D31D2D">
        <w:t>(</w:t>
      </w:r>
      <w:r w:rsidR="00D31D2D">
        <w:rPr>
          <w:i/>
          <w:iCs/>
        </w:rPr>
        <w:t>Mosqueda</w:t>
      </w:r>
      <w:r w:rsidR="00D31D2D">
        <w:t xml:space="preserve">, </w:t>
      </w:r>
      <w:r w:rsidR="00D31D2D">
        <w:rPr>
          <w:i/>
          <w:iCs/>
        </w:rPr>
        <w:t>supra</w:t>
      </w:r>
      <w:r w:rsidR="00D31D2D">
        <w:t>, 97</w:t>
      </w:r>
      <w:r w:rsidR="00E03368">
        <w:t> </w:t>
      </w:r>
      <w:r w:rsidR="00D31D2D">
        <w:t>Cal.App.5th at pp.</w:t>
      </w:r>
      <w:r w:rsidR="00597DB5">
        <w:t> </w:t>
      </w:r>
      <w:r w:rsidR="00D31D2D">
        <w:t xml:space="preserve">408–409; </w:t>
      </w:r>
      <w:r w:rsidR="00920151">
        <w:rPr>
          <w:i/>
          <w:iCs/>
        </w:rPr>
        <w:t>In re T.F.-G.</w:t>
      </w:r>
      <w:r w:rsidR="00920151">
        <w:t xml:space="preserve">, </w:t>
      </w:r>
      <w:r w:rsidR="00920151">
        <w:rPr>
          <w:i/>
          <w:iCs/>
        </w:rPr>
        <w:t>supra</w:t>
      </w:r>
      <w:r w:rsidR="00920151">
        <w:t>, 94</w:t>
      </w:r>
      <w:r w:rsidR="00B77E9B">
        <w:t> </w:t>
      </w:r>
      <w:r w:rsidR="00920151">
        <w:t>Cal.App.5th at p.</w:t>
      </w:r>
      <w:r w:rsidR="00B77E9B">
        <w:t> </w:t>
      </w:r>
      <w:r w:rsidR="00132E3A">
        <w:t>916;</w:t>
      </w:r>
      <w:r w:rsidR="00A116A0">
        <w:t xml:space="preserve"> </w:t>
      </w:r>
      <w:r w:rsidR="00A116A0">
        <w:rPr>
          <w:i/>
          <w:iCs/>
        </w:rPr>
        <w:t>D.L.</w:t>
      </w:r>
      <w:r w:rsidR="00A116A0">
        <w:t xml:space="preserve">, </w:t>
      </w:r>
      <w:r w:rsidR="00A116A0">
        <w:rPr>
          <w:i/>
          <w:iCs/>
        </w:rPr>
        <w:t>supra</w:t>
      </w:r>
      <w:r w:rsidR="00A116A0">
        <w:t>, 93</w:t>
      </w:r>
      <w:r w:rsidR="00597DB5">
        <w:t> </w:t>
      </w:r>
      <w:r w:rsidR="00A116A0">
        <w:t>Cal.App.5th at pp.</w:t>
      </w:r>
      <w:r w:rsidR="00D31D2D">
        <w:t> </w:t>
      </w:r>
      <w:r w:rsidR="00A116A0">
        <w:t>163–164.)</w:t>
      </w:r>
      <w:r w:rsidR="00E03368">
        <w:t xml:space="preserve">  </w:t>
      </w:r>
      <w:r w:rsidR="00ED52C2">
        <w:t>Although Herrera’s argument is</w:t>
      </w:r>
      <w:r w:rsidR="00597DB5">
        <w:t xml:space="preserve"> somewhat</w:t>
      </w:r>
      <w:r w:rsidR="00ED52C2">
        <w:t xml:space="preserve"> hard to follow, he does not </w:t>
      </w:r>
      <w:r w:rsidR="00A51B2E">
        <w:t xml:space="preserve">clearly </w:t>
      </w:r>
      <w:r w:rsidR="00ED52C2">
        <w:t>claim otherwise</w:t>
      </w:r>
      <w:r w:rsidR="003F61B5">
        <w:t>, mentioning the concept of severability only in passing.</w:t>
      </w:r>
      <w:r w:rsidR="003F61B5" w:rsidRPr="003F61B5">
        <w:t xml:space="preserve"> </w:t>
      </w:r>
    </w:p>
    <w:p w14:paraId="27F82FC2" w14:textId="29BED358" w:rsidR="00132E3A" w:rsidRDefault="003F61B5" w:rsidP="002A070A">
      <w:pPr>
        <w:spacing w:line="360" w:lineRule="auto"/>
      </w:pPr>
      <w:r>
        <w:tab/>
      </w:r>
      <w:r w:rsidR="00E03368">
        <w:t xml:space="preserve">Rather, </w:t>
      </w:r>
      <w:r>
        <w:t>Herrer</w:t>
      </w:r>
      <w:r w:rsidR="007A51F3">
        <w:t xml:space="preserve">a’s </w:t>
      </w:r>
      <w:r w:rsidR="00531A3C">
        <w:t>main</w:t>
      </w:r>
      <w:r w:rsidR="007A51F3">
        <w:t xml:space="preserve"> </w:t>
      </w:r>
      <w:r w:rsidR="00EF6C96">
        <w:t>argument</w:t>
      </w:r>
      <w:r w:rsidR="007A51F3">
        <w:t xml:space="preserve"> appears to be </w:t>
      </w:r>
      <w:r w:rsidR="00F1363A">
        <w:t xml:space="preserve">that </w:t>
      </w:r>
      <w:r w:rsidR="003D450F">
        <w:t xml:space="preserve">even if California’s licensing scheme is otherwise constitutional, </w:t>
      </w:r>
      <w:r w:rsidR="00F1363A">
        <w:t>section 25850</w:t>
      </w:r>
      <w:r w:rsidR="008713FF">
        <w:t>’s “blanket prohibition on carrying firearms”</w:t>
      </w:r>
      <w:r w:rsidR="008C1109">
        <w:t xml:space="preserve"> is </w:t>
      </w:r>
      <w:r w:rsidR="00260140">
        <w:t>not</w:t>
      </w:r>
      <w:r w:rsidR="000A7A2E">
        <w:t xml:space="preserve">. </w:t>
      </w:r>
      <w:r w:rsidR="005C2E02">
        <w:t xml:space="preserve"> </w:t>
      </w:r>
      <w:r w:rsidR="00FB1533">
        <w:t xml:space="preserve">To support this point, </w:t>
      </w:r>
      <w:r w:rsidR="005E49AD">
        <w:t>Herrera</w:t>
      </w:r>
      <w:r w:rsidR="005C2E02">
        <w:t xml:space="preserve"> </w:t>
      </w:r>
      <w:r w:rsidR="001059AF">
        <w:t xml:space="preserve">primarily relies not on </w:t>
      </w:r>
      <w:r w:rsidR="001059AF">
        <w:rPr>
          <w:i/>
          <w:iCs/>
        </w:rPr>
        <w:t>Bruen</w:t>
      </w:r>
      <w:r w:rsidR="001059AF">
        <w:t xml:space="preserve"> but</w:t>
      </w:r>
      <w:r w:rsidR="005E49AD">
        <w:t xml:space="preserve"> </w:t>
      </w:r>
      <w:r w:rsidR="005E49AD">
        <w:rPr>
          <w:i/>
          <w:iCs/>
        </w:rPr>
        <w:t>District of Columbia</w:t>
      </w:r>
      <w:r w:rsidR="003F7B00">
        <w:rPr>
          <w:i/>
          <w:iCs/>
        </w:rPr>
        <w:t> </w:t>
      </w:r>
      <w:r w:rsidR="005E49AD">
        <w:rPr>
          <w:i/>
          <w:iCs/>
        </w:rPr>
        <w:t>v. Heller</w:t>
      </w:r>
      <w:r w:rsidR="000509F2">
        <w:t xml:space="preserve"> (2008) 554</w:t>
      </w:r>
      <w:r w:rsidR="00EF6C96">
        <w:t> </w:t>
      </w:r>
      <w:r w:rsidR="000509F2">
        <w:t>U.S. 570</w:t>
      </w:r>
      <w:r w:rsidR="000E5F08">
        <w:t xml:space="preserve"> (</w:t>
      </w:r>
      <w:r w:rsidR="000E5F08">
        <w:rPr>
          <w:i/>
          <w:iCs/>
        </w:rPr>
        <w:t>Heller</w:t>
      </w:r>
      <w:r w:rsidR="000E5F08">
        <w:t>)</w:t>
      </w:r>
      <w:r w:rsidR="000509F2">
        <w:t xml:space="preserve">. </w:t>
      </w:r>
      <w:r w:rsidR="00AD5681">
        <w:t xml:space="preserve"> In </w:t>
      </w:r>
      <w:r w:rsidR="00AD5681">
        <w:rPr>
          <w:i/>
          <w:iCs/>
        </w:rPr>
        <w:t>Heller</w:t>
      </w:r>
      <w:r w:rsidR="00AD5681">
        <w:t xml:space="preserve">, the Supreme Court </w:t>
      </w:r>
      <w:r w:rsidR="00925D60">
        <w:t xml:space="preserve">recognized a </w:t>
      </w:r>
      <w:r w:rsidR="00925D60">
        <w:lastRenderedPageBreak/>
        <w:t xml:space="preserve">constitutional right to </w:t>
      </w:r>
      <w:r w:rsidR="005414F9">
        <w:t>possess handguns in the home</w:t>
      </w:r>
      <w:r w:rsidR="005C7D9D">
        <w:t xml:space="preserve"> and struck down the District of Columbia’s blanket ban on </w:t>
      </w:r>
      <w:r w:rsidR="00EF4C4D">
        <w:t>handguns.  (</w:t>
      </w:r>
      <w:r w:rsidR="00EF4C4D">
        <w:rPr>
          <w:i/>
          <w:iCs/>
        </w:rPr>
        <w:t>Heller</w:t>
      </w:r>
      <w:r w:rsidR="00EF4C4D">
        <w:t>, at</w:t>
      </w:r>
      <w:r w:rsidR="00D27BDC">
        <w:t xml:space="preserve"> p.</w:t>
      </w:r>
      <w:r w:rsidR="00CD23DE">
        <w:t> </w:t>
      </w:r>
      <w:r w:rsidR="00D27BDC">
        <w:t>635</w:t>
      </w:r>
      <w:r w:rsidR="00702CC9">
        <w:t xml:space="preserve">; </w:t>
      </w:r>
      <w:r w:rsidR="00EF4C4D">
        <w:rPr>
          <w:i/>
          <w:iCs/>
        </w:rPr>
        <w:t>D.L.</w:t>
      </w:r>
      <w:r w:rsidR="00EF4C4D">
        <w:t xml:space="preserve">, </w:t>
      </w:r>
      <w:r w:rsidR="00EF4C4D">
        <w:rPr>
          <w:i/>
          <w:iCs/>
        </w:rPr>
        <w:t>supra</w:t>
      </w:r>
      <w:r w:rsidR="00EF4C4D">
        <w:t>, 93</w:t>
      </w:r>
      <w:r w:rsidR="00184AA3">
        <w:t> </w:t>
      </w:r>
      <w:r w:rsidR="00EF4C4D">
        <w:t>Cal.App.5th at p.</w:t>
      </w:r>
      <w:r w:rsidR="00CD23DE">
        <w:t> </w:t>
      </w:r>
      <w:r w:rsidR="00EF4C4D">
        <w:t>150.)</w:t>
      </w:r>
      <w:r w:rsidR="00702CC9">
        <w:t xml:space="preserve">  </w:t>
      </w:r>
      <w:r w:rsidR="00531A3C">
        <w:t>In doing so, “</w:t>
      </w:r>
      <w:r w:rsidR="00531A3C">
        <w:rPr>
          <w:i/>
          <w:iCs/>
        </w:rPr>
        <w:t>Heller</w:t>
      </w:r>
      <w:r w:rsidR="00531A3C">
        <w:t xml:space="preserve"> reaffirmed the constitutionality of limitations on the right to </w:t>
      </w:r>
      <w:r w:rsidR="008743A4">
        <w:t xml:space="preserve">keep and bear arms, </w:t>
      </w:r>
      <w:r w:rsidR="00B77E9B">
        <w:t>. . .</w:t>
      </w:r>
      <w:r w:rsidR="008743A4">
        <w:t xml:space="preserve"> </w:t>
      </w:r>
      <w:proofErr w:type="spellStart"/>
      <w:r w:rsidR="008743A4">
        <w:t>identif</w:t>
      </w:r>
      <w:proofErr w:type="spellEnd"/>
      <w:r w:rsidR="008743A4">
        <w:t>[</w:t>
      </w:r>
      <w:proofErr w:type="spellStart"/>
      <w:r w:rsidR="008743A4">
        <w:t>ying</w:t>
      </w:r>
      <w:proofErr w:type="spellEnd"/>
      <w:r w:rsidR="008743A4">
        <w:t xml:space="preserve">] a </w:t>
      </w:r>
      <w:proofErr w:type="spellStart"/>
      <w:r w:rsidR="008743A4">
        <w:t>nonexhaustive</w:t>
      </w:r>
      <w:proofErr w:type="spellEnd"/>
      <w:r w:rsidR="008743A4">
        <w:t xml:space="preserve"> list of </w:t>
      </w:r>
      <w:r w:rsidR="001E7044">
        <w:t xml:space="preserve">‘presumptively lawful regulatory measures,’ including ‘longstanding’ prohibitions on the possession of firearms by felons and the mentally ill, the carrying of firearms in ‘sensitive places’ such as schools and government buildings, </w:t>
      </w:r>
      <w:r w:rsidR="00237362">
        <w:t>and laws ‘imposing conditions and qualifications on the commercial sale of arms.</w:t>
      </w:r>
      <w:proofErr w:type="gramStart"/>
      <w:r w:rsidR="00237362">
        <w:t>’</w:t>
      </w:r>
      <w:r w:rsidR="00B77E9B">
        <w:t> </w:t>
      </w:r>
      <w:r w:rsidR="00237362">
        <w:t>”</w:t>
      </w:r>
      <w:proofErr w:type="gramEnd"/>
      <w:r w:rsidR="00237362">
        <w:t xml:space="preserve">  (</w:t>
      </w:r>
      <w:r w:rsidR="00237362">
        <w:rPr>
          <w:i/>
          <w:iCs/>
        </w:rPr>
        <w:t>D.L.</w:t>
      </w:r>
      <w:r w:rsidR="00237362">
        <w:t>, at p.</w:t>
      </w:r>
      <w:r w:rsidR="00B77E9B">
        <w:t> </w:t>
      </w:r>
      <w:r w:rsidR="00237362">
        <w:t xml:space="preserve">151, quoting </w:t>
      </w:r>
      <w:r w:rsidR="00237362">
        <w:rPr>
          <w:i/>
          <w:iCs/>
        </w:rPr>
        <w:t>Heller</w:t>
      </w:r>
      <w:r w:rsidR="00237362">
        <w:t>, at pp.</w:t>
      </w:r>
      <w:r w:rsidR="0010632D">
        <w:t> </w:t>
      </w:r>
      <w:r w:rsidR="00237362">
        <w:t>626–627 &amp; fn.</w:t>
      </w:r>
      <w:r w:rsidR="0010632D">
        <w:t> </w:t>
      </w:r>
      <w:r w:rsidR="00237362">
        <w:t>26.)</w:t>
      </w:r>
    </w:p>
    <w:p w14:paraId="595A8D41" w14:textId="30182B8C" w:rsidR="00EA0D4F" w:rsidRDefault="00EA0D4F" w:rsidP="002A070A">
      <w:pPr>
        <w:spacing w:line="360" w:lineRule="auto"/>
      </w:pPr>
      <w:r>
        <w:tab/>
        <w:t xml:space="preserve">Seizing on </w:t>
      </w:r>
      <w:r>
        <w:rPr>
          <w:i/>
          <w:iCs/>
        </w:rPr>
        <w:t>Heller</w:t>
      </w:r>
      <w:r>
        <w:t xml:space="preserve">’s </w:t>
      </w:r>
      <w:r w:rsidR="0002438F">
        <w:t>discussion of presumptively valid limitations</w:t>
      </w:r>
      <w:r>
        <w:t xml:space="preserve">, Herrera claims that </w:t>
      </w:r>
      <w:r w:rsidR="0030314F">
        <w:t xml:space="preserve">his conviction under section 25850 </w:t>
      </w:r>
      <w:r w:rsidR="0002438F">
        <w:t>must be reversed because</w:t>
      </w:r>
      <w:r w:rsidR="007A26A5">
        <w:t xml:space="preserve"> it was not alleged that he was a felon or that he carried the firearm in “a particularly sensitive place.” </w:t>
      </w:r>
      <w:r w:rsidR="00D07BAF">
        <w:t xml:space="preserve"> We agree with the Attorney General that this </w:t>
      </w:r>
      <w:r w:rsidR="00461C2C">
        <w:t xml:space="preserve">argument </w:t>
      </w:r>
      <w:proofErr w:type="gramStart"/>
      <w:r w:rsidR="00E16FAB">
        <w:t>“</w:t>
      </w:r>
      <w:r w:rsidR="0010632D">
        <w:t> </w:t>
      </w:r>
      <w:r w:rsidR="00E16FAB">
        <w:t>‘</w:t>
      </w:r>
      <w:proofErr w:type="gramEnd"/>
      <w:r w:rsidR="00E16FAB">
        <w:t xml:space="preserve">could only make sense in the context of an “as applied” challenge’ ” to </w:t>
      </w:r>
      <w:r w:rsidR="008F3495">
        <w:t xml:space="preserve">section 25850, </w:t>
      </w:r>
      <w:r w:rsidR="001562F9">
        <w:t xml:space="preserve">not the facial challenge Herrera raises.  (Quoting </w:t>
      </w:r>
      <w:r w:rsidR="001562F9">
        <w:rPr>
          <w:i/>
          <w:iCs/>
        </w:rPr>
        <w:t>D.L.</w:t>
      </w:r>
      <w:r w:rsidR="001562F9">
        <w:t xml:space="preserve">, </w:t>
      </w:r>
      <w:r w:rsidR="001562F9">
        <w:rPr>
          <w:i/>
          <w:iCs/>
        </w:rPr>
        <w:t>supra</w:t>
      </w:r>
      <w:r w:rsidR="001562F9">
        <w:t>, 93 Cal.App.5th at p.</w:t>
      </w:r>
      <w:r w:rsidR="0010632D">
        <w:t> </w:t>
      </w:r>
      <w:r w:rsidR="001562F9">
        <w:t>165.)</w:t>
      </w:r>
      <w:r w:rsidR="000E5F08">
        <w:t xml:space="preserve">  </w:t>
      </w:r>
      <w:r w:rsidR="00FC0A06">
        <w:t xml:space="preserve">As we have said, a statute is facially unconstitutional only if it would not be valid under </w:t>
      </w:r>
      <w:r w:rsidR="00FC0A06">
        <w:rPr>
          <w:i/>
          <w:iCs/>
        </w:rPr>
        <w:t>any</w:t>
      </w:r>
      <w:r w:rsidR="00FC0A06">
        <w:t xml:space="preserve"> circumstances.  (</w:t>
      </w:r>
      <w:r w:rsidR="00FC0A06">
        <w:rPr>
          <w:i/>
          <w:iCs/>
        </w:rPr>
        <w:t>D.L.</w:t>
      </w:r>
      <w:r w:rsidR="00FC0A06">
        <w:t>, at p.</w:t>
      </w:r>
      <w:r w:rsidR="0010632D">
        <w:t> </w:t>
      </w:r>
      <w:r w:rsidR="00FC0A06">
        <w:t>157.)</w:t>
      </w:r>
      <w:r w:rsidR="00AF4F01">
        <w:t xml:space="preserve">  Because Herrera fails to </w:t>
      </w:r>
      <w:r w:rsidR="00AB6628">
        <w:t xml:space="preserve">identify </w:t>
      </w:r>
      <w:r w:rsidR="00454864">
        <w:t xml:space="preserve">such an infirmity in section 25850, we </w:t>
      </w:r>
      <w:r w:rsidR="008F06E4">
        <w:t xml:space="preserve">must </w:t>
      </w:r>
      <w:r w:rsidR="00454864">
        <w:t>reject his claim.</w:t>
      </w:r>
    </w:p>
    <w:p w14:paraId="68958AAF" w14:textId="77777777" w:rsidR="002A070A" w:rsidRPr="008E4889" w:rsidRDefault="002A070A" w:rsidP="002A070A">
      <w:pPr>
        <w:spacing w:line="240" w:lineRule="auto"/>
        <w:jc w:val="center"/>
      </w:pPr>
      <w:r w:rsidRPr="008E4889">
        <w:t>III.</w:t>
      </w:r>
      <w:r w:rsidRPr="008E4889">
        <w:br/>
      </w:r>
      <w:r w:rsidRPr="008E4889">
        <w:rPr>
          <w:smallCaps/>
        </w:rPr>
        <w:t>Disposition</w:t>
      </w:r>
    </w:p>
    <w:p w14:paraId="4BF6399C" w14:textId="6BED3079" w:rsidR="00C11EF9" w:rsidRDefault="00726046" w:rsidP="002A070A">
      <w:pPr>
        <w:spacing w:before="180" w:line="360" w:lineRule="auto"/>
      </w:pPr>
      <w:r>
        <w:tab/>
        <w:t>The judgment is affirmed.</w:t>
      </w:r>
      <w:r w:rsidR="002A070A" w:rsidRPr="008E4889">
        <w:tab/>
      </w:r>
    </w:p>
    <w:p w14:paraId="05698CC5" w14:textId="77777777" w:rsidR="00C11EF9" w:rsidRDefault="00C11EF9">
      <w:pPr>
        <w:tabs>
          <w:tab w:val="clear" w:pos="720"/>
        </w:tabs>
        <w:spacing w:line="360" w:lineRule="auto"/>
      </w:pPr>
      <w:r>
        <w:br w:type="page"/>
      </w:r>
    </w:p>
    <w:p w14:paraId="24D0738A" w14:textId="77777777" w:rsidR="002A070A" w:rsidRPr="008E4889" w:rsidRDefault="002A070A" w:rsidP="00C11EF9">
      <w:pPr>
        <w:spacing w:before="180" w:line="360" w:lineRule="auto"/>
      </w:pPr>
    </w:p>
    <w:p w14:paraId="321AADBF" w14:textId="62C6A206" w:rsidR="00E66479" w:rsidRDefault="00E66479" w:rsidP="00C11EF9">
      <w:pPr>
        <w:spacing w:line="360" w:lineRule="auto"/>
      </w:pPr>
    </w:p>
    <w:p w14:paraId="10681A89" w14:textId="04CEB44B" w:rsidR="00666A38" w:rsidRDefault="00666A38" w:rsidP="00C11EF9">
      <w:pPr>
        <w:spacing w:line="360" w:lineRule="auto"/>
      </w:pPr>
      <w:r>
        <w:tab/>
      </w:r>
      <w:r>
        <w:tab/>
      </w:r>
      <w:r>
        <w:tab/>
      </w:r>
      <w:r>
        <w:tab/>
      </w:r>
      <w:r>
        <w:tab/>
      </w:r>
      <w:r>
        <w:tab/>
      </w:r>
      <w:r>
        <w:tab/>
        <w:t>_________________________</w:t>
      </w:r>
    </w:p>
    <w:p w14:paraId="2CDDF810" w14:textId="6D4B2D88" w:rsidR="00666A38" w:rsidRDefault="00666A38" w:rsidP="00C11EF9">
      <w:pPr>
        <w:spacing w:line="360" w:lineRule="auto"/>
      </w:pPr>
      <w:r>
        <w:tab/>
      </w:r>
      <w:r>
        <w:tab/>
      </w:r>
      <w:r>
        <w:tab/>
      </w:r>
      <w:r>
        <w:tab/>
      </w:r>
      <w:r>
        <w:tab/>
      </w:r>
      <w:r>
        <w:tab/>
      </w:r>
      <w:r>
        <w:tab/>
        <w:t>Humes, P.J.</w:t>
      </w:r>
    </w:p>
    <w:p w14:paraId="4C9C536C" w14:textId="77777777" w:rsidR="00666A38" w:rsidRDefault="00666A38" w:rsidP="00C11EF9">
      <w:pPr>
        <w:spacing w:line="360" w:lineRule="auto"/>
      </w:pPr>
    </w:p>
    <w:p w14:paraId="3ED9B2E3" w14:textId="77777777" w:rsidR="00666A38" w:rsidRDefault="00666A38" w:rsidP="00C11EF9">
      <w:pPr>
        <w:spacing w:line="360" w:lineRule="auto"/>
      </w:pPr>
    </w:p>
    <w:p w14:paraId="50781DDA" w14:textId="2B1E09D7" w:rsidR="00666A38" w:rsidRDefault="00666A38" w:rsidP="00C11EF9">
      <w:pPr>
        <w:spacing w:line="360" w:lineRule="auto"/>
      </w:pPr>
      <w:r>
        <w:t>WE CONCUR:</w:t>
      </w:r>
    </w:p>
    <w:p w14:paraId="671A0D10" w14:textId="77777777" w:rsidR="00666A38" w:rsidRDefault="00666A38" w:rsidP="00C11EF9">
      <w:pPr>
        <w:spacing w:line="360" w:lineRule="auto"/>
      </w:pPr>
    </w:p>
    <w:p w14:paraId="15F44662" w14:textId="77777777" w:rsidR="00666A38" w:rsidRDefault="00666A38" w:rsidP="00C11EF9">
      <w:pPr>
        <w:spacing w:line="360" w:lineRule="auto"/>
      </w:pPr>
    </w:p>
    <w:p w14:paraId="574F8E58" w14:textId="2214B158" w:rsidR="00666A38" w:rsidRDefault="00666A38" w:rsidP="00C11EF9">
      <w:pPr>
        <w:spacing w:line="360" w:lineRule="auto"/>
      </w:pPr>
      <w:r>
        <w:t>_________________________</w:t>
      </w:r>
    </w:p>
    <w:p w14:paraId="64CFA3D0" w14:textId="6AFB13BF" w:rsidR="00666A38" w:rsidRDefault="00666A38" w:rsidP="00C11EF9">
      <w:pPr>
        <w:spacing w:line="360" w:lineRule="auto"/>
      </w:pPr>
      <w:r>
        <w:t>Banke, J.</w:t>
      </w:r>
    </w:p>
    <w:p w14:paraId="2DC63A78" w14:textId="77777777" w:rsidR="00666A38" w:rsidRDefault="00666A38" w:rsidP="00C11EF9">
      <w:pPr>
        <w:spacing w:line="360" w:lineRule="auto"/>
      </w:pPr>
    </w:p>
    <w:p w14:paraId="166795E4" w14:textId="77777777" w:rsidR="00666A38" w:rsidRDefault="00666A38" w:rsidP="00C11EF9">
      <w:pPr>
        <w:spacing w:line="360" w:lineRule="auto"/>
      </w:pPr>
    </w:p>
    <w:p w14:paraId="2B6B04E1" w14:textId="43A70102" w:rsidR="00666A38" w:rsidRDefault="00666A38" w:rsidP="00C11EF9">
      <w:pPr>
        <w:spacing w:line="360" w:lineRule="auto"/>
      </w:pPr>
      <w:r>
        <w:t>_________________________</w:t>
      </w:r>
    </w:p>
    <w:p w14:paraId="09BAF6C0" w14:textId="454EDDBA" w:rsidR="00666A38" w:rsidRDefault="00666A38" w:rsidP="00C11EF9">
      <w:pPr>
        <w:spacing w:line="360" w:lineRule="auto"/>
      </w:pPr>
      <w:r>
        <w:t>Langhorne-Wilson, J.</w:t>
      </w:r>
    </w:p>
    <w:p w14:paraId="0CA01A3E" w14:textId="77777777" w:rsidR="00666A38" w:rsidRDefault="00666A38" w:rsidP="00C11EF9">
      <w:pPr>
        <w:spacing w:line="360" w:lineRule="auto"/>
      </w:pPr>
    </w:p>
    <w:p w14:paraId="3FC0D609" w14:textId="77777777" w:rsidR="00C11EF9" w:rsidRDefault="00C11EF9" w:rsidP="00C11EF9">
      <w:pPr>
        <w:spacing w:line="360" w:lineRule="auto"/>
      </w:pPr>
    </w:p>
    <w:p w14:paraId="20F253B1" w14:textId="77777777" w:rsidR="00C11EF9" w:rsidRDefault="00C11EF9" w:rsidP="00C11EF9">
      <w:pPr>
        <w:spacing w:line="360" w:lineRule="auto"/>
      </w:pPr>
    </w:p>
    <w:p w14:paraId="7F6FECAF" w14:textId="77777777" w:rsidR="00C11EF9" w:rsidRDefault="00C11EF9" w:rsidP="00C11EF9">
      <w:pPr>
        <w:spacing w:line="360" w:lineRule="auto"/>
      </w:pPr>
    </w:p>
    <w:p w14:paraId="0CFCFC10" w14:textId="77777777" w:rsidR="00C11EF9" w:rsidRDefault="00C11EF9" w:rsidP="00C11EF9">
      <w:pPr>
        <w:spacing w:line="360" w:lineRule="auto"/>
      </w:pPr>
    </w:p>
    <w:p w14:paraId="2BA42649" w14:textId="77777777" w:rsidR="00C11EF9" w:rsidRDefault="00C11EF9" w:rsidP="00C11EF9">
      <w:pPr>
        <w:spacing w:line="360" w:lineRule="auto"/>
      </w:pPr>
    </w:p>
    <w:p w14:paraId="4890F442" w14:textId="77777777" w:rsidR="00C11EF9" w:rsidRDefault="00C11EF9" w:rsidP="00C11EF9">
      <w:pPr>
        <w:spacing w:line="360" w:lineRule="auto"/>
      </w:pPr>
    </w:p>
    <w:p w14:paraId="5C2E4392" w14:textId="77777777" w:rsidR="00C11EF9" w:rsidRDefault="00C11EF9" w:rsidP="00C11EF9">
      <w:pPr>
        <w:spacing w:line="360" w:lineRule="auto"/>
      </w:pPr>
    </w:p>
    <w:p w14:paraId="25D817E4" w14:textId="77777777" w:rsidR="00C11EF9" w:rsidRDefault="00C11EF9" w:rsidP="00C11EF9">
      <w:pPr>
        <w:spacing w:line="360" w:lineRule="auto"/>
      </w:pPr>
    </w:p>
    <w:p w14:paraId="5C670C96" w14:textId="77777777" w:rsidR="00C11EF9" w:rsidRDefault="00C11EF9" w:rsidP="00C11EF9">
      <w:pPr>
        <w:spacing w:line="360" w:lineRule="auto"/>
      </w:pPr>
    </w:p>
    <w:p w14:paraId="4E86CC5F" w14:textId="77777777" w:rsidR="00C11EF9" w:rsidRDefault="00C11EF9" w:rsidP="00C11EF9">
      <w:pPr>
        <w:spacing w:line="360" w:lineRule="auto"/>
      </w:pPr>
    </w:p>
    <w:p w14:paraId="132BA7CE" w14:textId="692C8A01" w:rsidR="00E62670" w:rsidRDefault="00C11EF9" w:rsidP="00C11EF9">
      <w:pPr>
        <w:spacing w:line="360" w:lineRule="auto"/>
      </w:pPr>
      <w:r w:rsidRPr="00E62670">
        <w:rPr>
          <w:i/>
          <w:iCs/>
        </w:rPr>
        <w:t xml:space="preserve">People v. </w:t>
      </w:r>
      <w:proofErr w:type="gramStart"/>
      <w:r w:rsidRPr="00E62670">
        <w:rPr>
          <w:i/>
          <w:iCs/>
        </w:rPr>
        <w:t>Herrera</w:t>
      </w:r>
      <w:r w:rsidR="00E62670">
        <w:t xml:space="preserve">  A</w:t>
      </w:r>
      <w:proofErr w:type="gramEnd"/>
      <w:r w:rsidR="00E62670">
        <w:t>165248</w:t>
      </w:r>
    </w:p>
    <w:p w14:paraId="21AD89C8" w14:textId="18BE984F" w:rsidR="005529EA" w:rsidRDefault="005529EA" w:rsidP="005529EA">
      <w:pPr>
        <w:spacing w:line="240" w:lineRule="auto"/>
      </w:pPr>
    </w:p>
    <w:p w14:paraId="198B7927" w14:textId="7F12D707" w:rsidR="005529EA" w:rsidRPr="00801B4D" w:rsidRDefault="005529EA" w:rsidP="005529EA">
      <w:pPr>
        <w:spacing w:line="240" w:lineRule="auto"/>
      </w:pPr>
      <w:r w:rsidRPr="00801B4D">
        <w:t>Trial Court:</w:t>
      </w:r>
      <w:r w:rsidRPr="00801B4D">
        <w:tab/>
      </w:r>
      <w:r w:rsidR="00FB1533">
        <w:t xml:space="preserve"> </w:t>
      </w:r>
      <w:r>
        <w:t>City and County of San Francisco Superior Court</w:t>
      </w:r>
    </w:p>
    <w:p w14:paraId="16B38930" w14:textId="77777777" w:rsidR="005529EA" w:rsidRPr="00801B4D" w:rsidRDefault="005529EA" w:rsidP="005529EA">
      <w:pPr>
        <w:spacing w:line="240" w:lineRule="auto"/>
      </w:pPr>
    </w:p>
    <w:p w14:paraId="00A2BCE0" w14:textId="56477E3A" w:rsidR="005529EA" w:rsidRPr="00801B4D" w:rsidRDefault="005529EA" w:rsidP="005529EA">
      <w:pPr>
        <w:spacing w:line="240" w:lineRule="auto"/>
      </w:pPr>
      <w:r w:rsidRPr="00801B4D">
        <w:t xml:space="preserve">Trial Judge: </w:t>
      </w:r>
      <w:r>
        <w:t xml:space="preserve">Hon. Teresa M. </w:t>
      </w:r>
      <w:proofErr w:type="spellStart"/>
      <w:r>
        <w:t>Caffese</w:t>
      </w:r>
      <w:proofErr w:type="spellEnd"/>
    </w:p>
    <w:p w14:paraId="7E3486F5" w14:textId="77777777" w:rsidR="005529EA" w:rsidRPr="00801B4D" w:rsidRDefault="005529EA" w:rsidP="005529EA">
      <w:pPr>
        <w:spacing w:line="240" w:lineRule="auto"/>
      </w:pPr>
    </w:p>
    <w:p w14:paraId="402A5DF1" w14:textId="77777777" w:rsidR="005529EA" w:rsidRPr="00801B4D" w:rsidRDefault="005529EA" w:rsidP="005529EA">
      <w:pPr>
        <w:spacing w:line="240" w:lineRule="auto"/>
      </w:pPr>
      <w:r w:rsidRPr="00801B4D">
        <w:t xml:space="preserve">Counsel:  </w:t>
      </w:r>
    </w:p>
    <w:p w14:paraId="3462AC03" w14:textId="77777777" w:rsidR="005529EA" w:rsidRPr="00801B4D" w:rsidRDefault="005529EA" w:rsidP="005529EA">
      <w:pPr>
        <w:spacing w:line="240" w:lineRule="auto"/>
      </w:pPr>
    </w:p>
    <w:p w14:paraId="486DB12D" w14:textId="10D0323D" w:rsidR="005529EA" w:rsidRPr="00801B4D" w:rsidRDefault="005529EA" w:rsidP="005529EA">
      <w:pPr>
        <w:spacing w:line="240" w:lineRule="auto"/>
      </w:pPr>
      <w:r>
        <w:t>Rob Bonta</w:t>
      </w:r>
      <w:r w:rsidRPr="00801B4D">
        <w:t xml:space="preserve">, Attorney General, </w:t>
      </w:r>
      <w:r>
        <w:t>Lance E. Winters</w:t>
      </w:r>
      <w:r w:rsidRPr="00801B4D">
        <w:t xml:space="preserve">, Chief Assistant Attorney General, Jeffrey M. Laurence, </w:t>
      </w:r>
      <w:r>
        <w:t xml:space="preserve">Senior </w:t>
      </w:r>
      <w:r w:rsidRPr="00801B4D">
        <w:t xml:space="preserve">Assistant Attorney General, </w:t>
      </w:r>
      <w:r>
        <w:t xml:space="preserve">Alice B. </w:t>
      </w:r>
      <w:proofErr w:type="spellStart"/>
      <w:r>
        <w:t>Lustre</w:t>
      </w:r>
      <w:proofErr w:type="spellEnd"/>
      <w:r>
        <w:t>, Supervising Deputy Attorney General, J. Michael Chamberlain, Deputy Attorney General,</w:t>
      </w:r>
      <w:r w:rsidRPr="00801B4D">
        <w:t xml:space="preserve"> for Plaintiff and Respondent. </w:t>
      </w:r>
    </w:p>
    <w:p w14:paraId="3332ED21" w14:textId="77777777" w:rsidR="005529EA" w:rsidRPr="00801B4D" w:rsidRDefault="005529EA" w:rsidP="005529EA">
      <w:pPr>
        <w:spacing w:line="240" w:lineRule="auto"/>
      </w:pPr>
    </w:p>
    <w:p w14:paraId="43BFE667" w14:textId="67A18D66" w:rsidR="005529EA" w:rsidRPr="00801B4D" w:rsidRDefault="005529EA" w:rsidP="005529EA">
      <w:pPr>
        <w:spacing w:line="240" w:lineRule="auto"/>
      </w:pPr>
      <w:r>
        <w:t>Dir</w:t>
      </w:r>
      <w:r w:rsidR="00FB1533">
        <w:t>c</w:t>
      </w:r>
      <w:r>
        <w:t>k Newbury</w:t>
      </w:r>
      <w:r w:rsidRPr="00801B4D">
        <w:t xml:space="preserve">, under appointment by the Court of Appeal, for </w:t>
      </w:r>
      <w:r>
        <w:t>Defendant</w:t>
      </w:r>
      <w:r w:rsidRPr="00801B4D">
        <w:t xml:space="preserve"> and Appellant.</w:t>
      </w:r>
    </w:p>
    <w:p w14:paraId="33F6C7F9" w14:textId="77777777" w:rsidR="005529EA" w:rsidRDefault="005529EA" w:rsidP="005529EA"/>
    <w:p w14:paraId="1D626B09" w14:textId="77777777" w:rsidR="005529EA" w:rsidRDefault="005529EA" w:rsidP="005529EA"/>
    <w:p w14:paraId="63B0E7FF" w14:textId="77777777" w:rsidR="005529EA" w:rsidRDefault="005529EA" w:rsidP="005529EA"/>
    <w:p w14:paraId="14C11687" w14:textId="77777777" w:rsidR="005529EA" w:rsidRDefault="005529EA" w:rsidP="005529EA"/>
    <w:p w14:paraId="4E89FA4E" w14:textId="77777777" w:rsidR="005529EA" w:rsidRDefault="005529EA" w:rsidP="005529EA"/>
    <w:p w14:paraId="1E546432" w14:textId="77777777" w:rsidR="005529EA" w:rsidRDefault="005529EA" w:rsidP="005529EA"/>
    <w:p w14:paraId="26948E2F" w14:textId="77777777" w:rsidR="005529EA" w:rsidRDefault="005529EA" w:rsidP="005529EA"/>
    <w:p w14:paraId="2C1F6782" w14:textId="77777777" w:rsidR="005529EA" w:rsidRDefault="005529EA" w:rsidP="005529EA"/>
    <w:p w14:paraId="4BD2B62D" w14:textId="77777777" w:rsidR="005529EA" w:rsidRDefault="005529EA" w:rsidP="005529EA"/>
    <w:p w14:paraId="6DA3AEEB" w14:textId="77777777" w:rsidR="005529EA" w:rsidRDefault="005529EA" w:rsidP="005529EA"/>
    <w:p w14:paraId="3B7A4DA8" w14:textId="77777777" w:rsidR="005529EA" w:rsidRDefault="005529EA" w:rsidP="005529EA"/>
    <w:p w14:paraId="5E01E93E" w14:textId="77777777" w:rsidR="005529EA" w:rsidRDefault="005529EA" w:rsidP="005529EA"/>
    <w:p w14:paraId="0A5DC6BE" w14:textId="77777777" w:rsidR="005529EA" w:rsidRDefault="005529EA" w:rsidP="005529EA"/>
    <w:p w14:paraId="4A9E2AFC" w14:textId="77777777" w:rsidR="005529EA" w:rsidRDefault="005529EA" w:rsidP="005529EA"/>
    <w:p w14:paraId="30E3D5B9" w14:textId="77777777" w:rsidR="005529EA" w:rsidRDefault="005529EA" w:rsidP="005529EA"/>
    <w:p w14:paraId="7D0CACB5" w14:textId="77777777" w:rsidR="005529EA" w:rsidRDefault="005529EA" w:rsidP="005529EA"/>
    <w:p w14:paraId="6CB72619" w14:textId="2595F028" w:rsidR="00E62670" w:rsidRDefault="005529EA" w:rsidP="004A60C2">
      <w:r w:rsidRPr="00132804">
        <w:rPr>
          <w:i/>
          <w:iCs/>
        </w:rPr>
        <w:t xml:space="preserve">People v. </w:t>
      </w:r>
      <w:proofErr w:type="gramStart"/>
      <w:r w:rsidRPr="00132804">
        <w:rPr>
          <w:i/>
          <w:iCs/>
        </w:rPr>
        <w:t>Herrera</w:t>
      </w:r>
      <w:r>
        <w:t xml:space="preserve">  A</w:t>
      </w:r>
      <w:proofErr w:type="gramEnd"/>
      <w:r>
        <w:t>165248</w:t>
      </w:r>
    </w:p>
    <w:sectPr w:rsidR="00E62670" w:rsidSect="000755F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4E51" w14:textId="77777777" w:rsidR="000E3FAD" w:rsidRDefault="000E3FAD" w:rsidP="00E66479">
      <w:pPr>
        <w:spacing w:line="240" w:lineRule="auto"/>
      </w:pPr>
      <w:r>
        <w:separator/>
      </w:r>
    </w:p>
  </w:endnote>
  <w:endnote w:type="continuationSeparator" w:id="0">
    <w:p w14:paraId="0F301BDF" w14:textId="77777777" w:rsidR="000E3FAD" w:rsidRDefault="000E3FAD" w:rsidP="00E66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AAC9" w14:textId="77777777" w:rsidR="00E66479" w:rsidRDefault="00E66479" w:rsidP="00397E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E71699" w14:textId="77777777" w:rsidR="00E66479" w:rsidRDefault="00E66479" w:rsidP="00397E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B1CF71" w14:textId="77777777" w:rsidR="00E66479" w:rsidRDefault="00E66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B2D7" w14:textId="3137B5CA" w:rsidR="00E66479" w:rsidRDefault="00E66479" w:rsidP="00E6647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33761B" w14:textId="77777777" w:rsidR="00E66479" w:rsidRDefault="00E66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30E6" w14:textId="77777777" w:rsidR="000E3FAD" w:rsidRDefault="000E3FAD" w:rsidP="00E66479">
      <w:pPr>
        <w:spacing w:line="240" w:lineRule="auto"/>
      </w:pPr>
      <w:r>
        <w:separator/>
      </w:r>
    </w:p>
  </w:footnote>
  <w:footnote w:type="continuationSeparator" w:id="0">
    <w:p w14:paraId="1D363BF4" w14:textId="77777777" w:rsidR="000E3FAD" w:rsidRDefault="000E3FAD" w:rsidP="00E66479">
      <w:pPr>
        <w:spacing w:line="240" w:lineRule="auto"/>
      </w:pPr>
      <w:r>
        <w:continuationSeparator/>
      </w:r>
    </w:p>
  </w:footnote>
  <w:footnote w:id="1">
    <w:p w14:paraId="22F510B1" w14:textId="186D529A" w:rsidR="005D17D2" w:rsidRDefault="005D17D2" w:rsidP="00C67A15">
      <w:pPr>
        <w:pStyle w:val="FootnoteText"/>
        <w:ind w:firstLine="720"/>
      </w:pPr>
      <w:r>
        <w:rPr>
          <w:rStyle w:val="FootnoteReference"/>
        </w:rPr>
        <w:t>*</w:t>
      </w:r>
      <w:r>
        <w:t xml:space="preserve"> Pursuant to California Rules of Court, rules 8.1105(b) and 8.1110, this opinion is certified for publication with the exception of part</w:t>
      </w:r>
      <w:r w:rsidR="002A0542">
        <w:t>s</w:t>
      </w:r>
      <w:r>
        <w:t xml:space="preserve"> </w:t>
      </w:r>
      <w:r w:rsidR="0098751A">
        <w:t>II</w:t>
      </w:r>
      <w:r w:rsidR="00D12E45">
        <w:t>.</w:t>
      </w:r>
      <w:r w:rsidR="0098751A">
        <w:t>A</w:t>
      </w:r>
      <w:r w:rsidR="00D12E45">
        <w:t>.</w:t>
      </w:r>
      <w:r w:rsidR="00AE1C8C">
        <w:t>–</w:t>
      </w:r>
      <w:r w:rsidR="004E3AF2">
        <w:t>E</w:t>
      </w:r>
      <w:r w:rsidR="00D12E45">
        <w:t>. and</w:t>
      </w:r>
      <w:r w:rsidR="004E3AF2">
        <w:t xml:space="preserve"> H</w:t>
      </w:r>
      <w:r w:rsidR="00D12E45">
        <w:t>.–</w:t>
      </w:r>
      <w:r w:rsidR="004E3AF2">
        <w:t>I</w:t>
      </w:r>
      <w:r w:rsidR="00D12E45">
        <w:t>.</w:t>
      </w:r>
    </w:p>
  </w:footnote>
  <w:footnote w:id="2">
    <w:p w14:paraId="22DD6B01" w14:textId="7361B3A1" w:rsidR="001379F4" w:rsidRDefault="001379F4" w:rsidP="001379F4">
      <w:pPr>
        <w:pStyle w:val="FootnoteText"/>
        <w:ind w:firstLine="720"/>
      </w:pPr>
      <w:r>
        <w:rPr>
          <w:rStyle w:val="FootnoteReference"/>
        </w:rPr>
        <w:footnoteRef/>
      </w:r>
      <w:r>
        <w:t xml:space="preserve"> </w:t>
      </w:r>
      <w:r w:rsidR="008927ED">
        <w:t>At trial, t</w:t>
      </w:r>
      <w:r w:rsidR="00F92CF0">
        <w:t>he Uber driver incorrectly identified A.M. as the shooter</w:t>
      </w:r>
      <w:r w:rsidR="00906129">
        <w:t xml:space="preserve">, although he later indicated he could not remember whether the shooter got into the </w:t>
      </w:r>
      <w:r w:rsidR="0081397E">
        <w:t xml:space="preserve">driver’s </w:t>
      </w:r>
      <w:r w:rsidR="00D04FD8">
        <w:t>seat</w:t>
      </w:r>
      <w:r w:rsidR="00A0043A">
        <w:t xml:space="preserve"> or passenger’s seat</w:t>
      </w:r>
      <w:r w:rsidR="00F92CF0">
        <w:t xml:space="preserve">. </w:t>
      </w:r>
    </w:p>
  </w:footnote>
  <w:footnote w:id="3">
    <w:p w14:paraId="78E992D3" w14:textId="3E635884" w:rsidR="005743EC" w:rsidRDefault="005743EC" w:rsidP="005743EC">
      <w:pPr>
        <w:pStyle w:val="FootnoteText"/>
        <w:ind w:firstLine="720"/>
      </w:pPr>
      <w:r>
        <w:rPr>
          <w:rStyle w:val="FootnoteReference"/>
        </w:rPr>
        <w:footnoteRef/>
      </w:r>
      <w:r>
        <w:t xml:space="preserve"> </w:t>
      </w:r>
      <w:r w:rsidR="001945E5">
        <w:t>In closing, t</w:t>
      </w:r>
      <w:r>
        <w:t xml:space="preserve">he prosecution argued that this sound was </w:t>
      </w:r>
      <w:r w:rsidR="00057162">
        <w:t xml:space="preserve">a gun being racked, having </w:t>
      </w:r>
      <w:r w:rsidR="00CC2026">
        <w:t xml:space="preserve">presented evidence that </w:t>
      </w:r>
      <w:r w:rsidR="0035377E">
        <w:t>semiautomatic handguns</w:t>
      </w:r>
      <w:r w:rsidR="00057162">
        <w:t xml:space="preserve"> like </w:t>
      </w:r>
      <w:r w:rsidR="004A1487">
        <w:t xml:space="preserve">the one </w:t>
      </w:r>
      <w:r w:rsidR="00057162">
        <w:t>Herrera</w:t>
      </w:r>
      <w:r w:rsidR="004A1487">
        <w:t xml:space="preserve"> had</w:t>
      </w:r>
      <w:r w:rsidR="0035377E">
        <w:t xml:space="preserve"> “generally </w:t>
      </w:r>
      <w:r w:rsidR="00FD632E">
        <w:t>. . .</w:t>
      </w:r>
      <w:r w:rsidR="0035377E">
        <w:t xml:space="preserve"> make a clicking noise when you pull the slide back.”  The defense </w:t>
      </w:r>
      <w:r w:rsidR="001945E5">
        <w:t>responded</w:t>
      </w:r>
      <w:r w:rsidR="00D8650D">
        <w:t xml:space="preserve"> that </w:t>
      </w:r>
      <w:r w:rsidR="003C3F32">
        <w:t xml:space="preserve">it was </w:t>
      </w:r>
      <w:r w:rsidR="00C1389B">
        <w:t xml:space="preserve">not </w:t>
      </w:r>
      <w:r w:rsidR="00236B3C">
        <w:t>reasonable to infer t</w:t>
      </w:r>
      <w:r w:rsidR="001A763E">
        <w:t>hat the sound was a gun racking</w:t>
      </w:r>
      <w:r w:rsidR="00F8512A">
        <w:t xml:space="preserve">, because the camera did not </w:t>
      </w:r>
      <w:r w:rsidR="0028096A">
        <w:t xml:space="preserve">pick up any </w:t>
      </w:r>
      <w:r w:rsidR="00323A7F">
        <w:t>other sound from across the street except for the gunshot</w:t>
      </w:r>
      <w:r w:rsidR="001A763E">
        <w:t xml:space="preserve">. </w:t>
      </w:r>
    </w:p>
  </w:footnote>
  <w:footnote w:id="4">
    <w:p w14:paraId="07D3F429" w14:textId="49E6B24A" w:rsidR="008370BD" w:rsidRDefault="008370BD" w:rsidP="008370BD">
      <w:pPr>
        <w:pStyle w:val="FootnoteText"/>
        <w:ind w:firstLine="720"/>
      </w:pPr>
      <w:r>
        <w:rPr>
          <w:rStyle w:val="FootnoteReference"/>
        </w:rPr>
        <w:footnoteRef/>
      </w:r>
      <w:r>
        <w:t xml:space="preserve"> Sac </w:t>
      </w:r>
      <w:proofErr w:type="spellStart"/>
      <w:r>
        <w:t>Ajtzalam</w:t>
      </w:r>
      <w:proofErr w:type="spellEnd"/>
      <w:r>
        <w:t xml:space="preserve"> was five feet, four inches tall.  Herrera testified that he himself was an inch taller than that</w:t>
      </w:r>
      <w:r w:rsidR="00B1712F">
        <w:t xml:space="preserve"> and weighed about 135 pounds at the time of the murder</w:t>
      </w:r>
      <w:r>
        <w:t xml:space="preserve">. </w:t>
      </w:r>
    </w:p>
  </w:footnote>
  <w:footnote w:id="5">
    <w:p w14:paraId="79FE52E0" w14:textId="783E6373" w:rsidR="0087046F" w:rsidRDefault="0087046F" w:rsidP="0087046F">
      <w:pPr>
        <w:pStyle w:val="FootnoteText"/>
        <w:ind w:firstLine="720"/>
      </w:pPr>
      <w:r>
        <w:rPr>
          <w:rStyle w:val="FootnoteReference"/>
        </w:rPr>
        <w:footnoteRef/>
      </w:r>
      <w:r>
        <w:t xml:space="preserve"> The sergeant was apparently </w:t>
      </w:r>
      <w:r w:rsidR="00EA03D0">
        <w:t>describing</w:t>
      </w:r>
      <w:r w:rsidR="00544827">
        <w:t xml:space="preserve"> information he gleaned from</w:t>
      </w:r>
      <w:r w:rsidR="00EA03D0">
        <w:t xml:space="preserve"> a phone call A.M. made to his mother after being arrested, which the sergeant </w:t>
      </w:r>
      <w:r w:rsidR="00544827">
        <w:t xml:space="preserve">observed. </w:t>
      </w:r>
      <w:r w:rsidR="00347989">
        <w:t xml:space="preserve"> </w:t>
      </w:r>
      <w:r w:rsidR="009834A6">
        <w:t xml:space="preserve">Our record </w:t>
      </w:r>
      <w:r w:rsidR="00F95853">
        <w:t xml:space="preserve">indicates that A.M. served less than a year for his </w:t>
      </w:r>
      <w:r w:rsidR="002A4E18">
        <w:t>involvement in Sac</w:t>
      </w:r>
      <w:r w:rsidR="004824E3">
        <w:t xml:space="preserve"> </w:t>
      </w:r>
      <w:proofErr w:type="spellStart"/>
      <w:r w:rsidR="004824E3">
        <w:t>Ajtzalam</w:t>
      </w:r>
      <w:r w:rsidR="002A4E18">
        <w:t>’s</w:t>
      </w:r>
      <w:proofErr w:type="spellEnd"/>
      <w:r w:rsidR="002A4E18">
        <w:t xml:space="preserve"> death. </w:t>
      </w:r>
    </w:p>
  </w:footnote>
  <w:footnote w:id="6">
    <w:p w14:paraId="19B23B5D" w14:textId="7D0537EC" w:rsidR="00C1194D" w:rsidRDefault="00C1194D" w:rsidP="00DF0DCD">
      <w:pPr>
        <w:pStyle w:val="FootnoteText"/>
        <w:spacing w:before="90"/>
        <w:ind w:firstLine="720"/>
      </w:pPr>
      <w:r>
        <w:rPr>
          <w:rStyle w:val="FootnoteReference"/>
        </w:rPr>
        <w:footnoteRef/>
      </w:r>
      <w:r>
        <w:t xml:space="preserve"> </w:t>
      </w:r>
      <w:r w:rsidR="003264E7">
        <w:t>Herrera clearly emphasizes the word “he” in this portion of the interrogation recording.</w:t>
      </w:r>
    </w:p>
  </w:footnote>
  <w:footnote w:id="7">
    <w:p w14:paraId="4BDDBB41" w14:textId="6951BD39" w:rsidR="00FF02EB" w:rsidRDefault="00FF02EB" w:rsidP="00FF02EB">
      <w:pPr>
        <w:pStyle w:val="FootnoteText"/>
        <w:ind w:firstLine="720"/>
      </w:pPr>
      <w:r>
        <w:rPr>
          <w:rStyle w:val="FootnoteReference"/>
        </w:rPr>
        <w:footnoteRef/>
      </w:r>
      <w:r>
        <w:t xml:space="preserve"> The sergeant testified that </w:t>
      </w:r>
      <w:r w:rsidR="00CB710F">
        <w:t xml:space="preserve">doing a “lick” is slang for committing “a robbery or a theft.” </w:t>
      </w:r>
    </w:p>
  </w:footnote>
  <w:footnote w:id="8">
    <w:p w14:paraId="3AE715CE" w14:textId="61928999" w:rsidR="00FF558F" w:rsidRDefault="00FF558F" w:rsidP="00FF558F">
      <w:pPr>
        <w:spacing w:line="240" w:lineRule="auto"/>
      </w:pPr>
      <w:r>
        <w:tab/>
      </w:r>
      <w:r>
        <w:rPr>
          <w:rStyle w:val="FootnoteReference"/>
        </w:rPr>
        <w:footnoteRef/>
      </w:r>
      <w:r>
        <w:t xml:space="preserve"> As discussed further below, S.N. did not testify at trial, and her statement was introduced through the officer’s testimony.  </w:t>
      </w:r>
    </w:p>
    <w:p w14:paraId="56E0A3D0" w14:textId="4E3C49CA" w:rsidR="00FF558F" w:rsidRDefault="00FF558F" w:rsidP="00FF558F">
      <w:pPr>
        <w:pStyle w:val="FootnoteText"/>
        <w:ind w:firstLine="720"/>
      </w:pPr>
    </w:p>
  </w:footnote>
  <w:footnote w:id="9">
    <w:p w14:paraId="067CAA17" w14:textId="47B71179" w:rsidR="000A6093" w:rsidRDefault="000A6093" w:rsidP="000A6093">
      <w:pPr>
        <w:pStyle w:val="FootnoteText"/>
        <w:ind w:firstLine="720"/>
      </w:pPr>
      <w:r>
        <w:rPr>
          <w:rStyle w:val="FootnoteReference"/>
        </w:rPr>
        <w:footnoteRef/>
      </w:r>
      <w:r>
        <w:t xml:space="preserve"> The charges were brought under Penal Code sections</w:t>
      </w:r>
      <w:r w:rsidR="007307FF">
        <w:t> </w:t>
      </w:r>
      <w:r>
        <w:t>187, subdivision (a) (murder), 211 and 664 (attempted robbery), 25850, subdivision</w:t>
      </w:r>
      <w:r w:rsidR="00525858">
        <w:t>s</w:t>
      </w:r>
      <w:r>
        <w:t xml:space="preserve"> (a) </w:t>
      </w:r>
      <w:r w:rsidR="00525858">
        <w:t xml:space="preserve">and (c)(6) </w:t>
      </w:r>
      <w:r>
        <w:t xml:space="preserve">(carrying </w:t>
      </w:r>
      <w:r w:rsidR="0024348A">
        <w:t>loaded</w:t>
      </w:r>
      <w:r w:rsidR="00525BDC">
        <w:t xml:space="preserve">, </w:t>
      </w:r>
      <w:r w:rsidR="0024348A">
        <w:t xml:space="preserve">unregistered </w:t>
      </w:r>
      <w:r>
        <w:t>firearm), and 148, subdivision (a)(1) (resisting peace officer).  All further statutory references are to the Penal Code unless otherwise noted.</w:t>
      </w:r>
    </w:p>
  </w:footnote>
  <w:footnote w:id="10">
    <w:p w14:paraId="73720D55" w14:textId="639C8761" w:rsidR="00B55BC0" w:rsidRDefault="00B55BC0" w:rsidP="00210C6C">
      <w:pPr>
        <w:pStyle w:val="FootnoteText"/>
        <w:spacing w:before="90"/>
        <w:ind w:firstLine="720"/>
      </w:pPr>
      <w:r>
        <w:rPr>
          <w:rStyle w:val="FootnoteReference"/>
        </w:rPr>
        <w:footnoteRef/>
      </w:r>
      <w:r>
        <w:t xml:space="preserve"> The firearm allegations were made under sections</w:t>
      </w:r>
      <w:r w:rsidR="00376EFC">
        <w:t> </w:t>
      </w:r>
      <w:r>
        <w:t>12022.5, subdivision (a) (</w:t>
      </w:r>
      <w:r w:rsidR="00C27956">
        <w:t>personal use)</w:t>
      </w:r>
      <w:r w:rsidR="004915C8">
        <w:t xml:space="preserve">, and 12022.53, subdivision (d) (personal and intentional discharge causing death). </w:t>
      </w:r>
      <w:r w:rsidR="0013490D">
        <w:t xml:space="preserve"> The information also alleged that Herrera personally used a firearm </w:t>
      </w:r>
      <w:r w:rsidR="008D476D">
        <w:t>under section</w:t>
      </w:r>
      <w:r w:rsidR="00376EFC">
        <w:t> </w:t>
      </w:r>
      <w:r w:rsidR="008D476D">
        <w:t>12022.53, subdivision (a),</w:t>
      </w:r>
      <w:r w:rsidR="00B14234">
        <w:t xml:space="preserve"> but the correct subdivision is subdivision (b) (which appeared on the verdict forms). </w:t>
      </w:r>
    </w:p>
  </w:footnote>
  <w:footnote w:id="11">
    <w:p w14:paraId="25AE73D8" w14:textId="76133859" w:rsidR="00057162" w:rsidRDefault="00057162" w:rsidP="00057162">
      <w:pPr>
        <w:pStyle w:val="FootnoteText"/>
        <w:ind w:firstLine="720"/>
      </w:pPr>
      <w:r>
        <w:rPr>
          <w:rStyle w:val="FootnoteReference"/>
        </w:rPr>
        <w:footnoteRef/>
      </w:r>
      <w:r>
        <w:t xml:space="preserve"> Two prosecutors, a man and a woman, tried the case, and </w:t>
      </w:r>
      <w:r w:rsidR="00020A15">
        <w:t xml:space="preserve">we use </w:t>
      </w:r>
      <w:r w:rsidR="005D1FE7">
        <w:t>different pronouns</w:t>
      </w:r>
      <w:r w:rsidR="00020A15">
        <w:t xml:space="preserve"> when referring to each.</w:t>
      </w:r>
    </w:p>
  </w:footnote>
  <w:footnote w:id="12">
    <w:p w14:paraId="20AE6CF6" w14:textId="4AEC3C32" w:rsidR="0000797F" w:rsidRDefault="0000797F" w:rsidP="0000797F">
      <w:pPr>
        <w:pStyle w:val="FootnoteText"/>
        <w:ind w:firstLine="720"/>
      </w:pPr>
      <w:r>
        <w:rPr>
          <w:rStyle w:val="FootnoteReference"/>
        </w:rPr>
        <w:footnoteRef/>
      </w:r>
      <w:r>
        <w:t xml:space="preserve"> The affidavit supporting the June 9 warrant is not in </w:t>
      </w:r>
      <w:r w:rsidR="00752A27">
        <w:t>our record.</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A6"/>
    <w:rsid w:val="000003D7"/>
    <w:rsid w:val="000004C2"/>
    <w:rsid w:val="000006E1"/>
    <w:rsid w:val="00002032"/>
    <w:rsid w:val="00002264"/>
    <w:rsid w:val="00002527"/>
    <w:rsid w:val="0000370A"/>
    <w:rsid w:val="00004E55"/>
    <w:rsid w:val="00005996"/>
    <w:rsid w:val="0000797F"/>
    <w:rsid w:val="000102E7"/>
    <w:rsid w:val="000107D7"/>
    <w:rsid w:val="00010BA0"/>
    <w:rsid w:val="00010BF3"/>
    <w:rsid w:val="0001173F"/>
    <w:rsid w:val="000117CA"/>
    <w:rsid w:val="00011E78"/>
    <w:rsid w:val="00013812"/>
    <w:rsid w:val="0001397B"/>
    <w:rsid w:val="00013C39"/>
    <w:rsid w:val="00013C67"/>
    <w:rsid w:val="000147E8"/>
    <w:rsid w:val="000150D8"/>
    <w:rsid w:val="000157DE"/>
    <w:rsid w:val="00015BBB"/>
    <w:rsid w:val="000166BC"/>
    <w:rsid w:val="000175AA"/>
    <w:rsid w:val="000204ED"/>
    <w:rsid w:val="00020A15"/>
    <w:rsid w:val="00020CC9"/>
    <w:rsid w:val="00021671"/>
    <w:rsid w:val="000221ED"/>
    <w:rsid w:val="00023B14"/>
    <w:rsid w:val="00023E99"/>
    <w:rsid w:val="000241BF"/>
    <w:rsid w:val="0002438F"/>
    <w:rsid w:val="000247DB"/>
    <w:rsid w:val="00025690"/>
    <w:rsid w:val="000260D9"/>
    <w:rsid w:val="00026416"/>
    <w:rsid w:val="000267EA"/>
    <w:rsid w:val="00026908"/>
    <w:rsid w:val="000277D7"/>
    <w:rsid w:val="000279FA"/>
    <w:rsid w:val="00031292"/>
    <w:rsid w:val="00032BE0"/>
    <w:rsid w:val="000339C1"/>
    <w:rsid w:val="00033A22"/>
    <w:rsid w:val="00034196"/>
    <w:rsid w:val="000343DE"/>
    <w:rsid w:val="00034472"/>
    <w:rsid w:val="00035796"/>
    <w:rsid w:val="0003619F"/>
    <w:rsid w:val="000366D6"/>
    <w:rsid w:val="00037138"/>
    <w:rsid w:val="00037B9E"/>
    <w:rsid w:val="00037BCA"/>
    <w:rsid w:val="00037DCD"/>
    <w:rsid w:val="00037EC2"/>
    <w:rsid w:val="00040482"/>
    <w:rsid w:val="00040495"/>
    <w:rsid w:val="00041BC7"/>
    <w:rsid w:val="000423EB"/>
    <w:rsid w:val="00043071"/>
    <w:rsid w:val="00043623"/>
    <w:rsid w:val="00043C3E"/>
    <w:rsid w:val="00044238"/>
    <w:rsid w:val="00044529"/>
    <w:rsid w:val="000447B7"/>
    <w:rsid w:val="000453A6"/>
    <w:rsid w:val="00045932"/>
    <w:rsid w:val="00045ADE"/>
    <w:rsid w:val="00046AEA"/>
    <w:rsid w:val="000474BC"/>
    <w:rsid w:val="000501C4"/>
    <w:rsid w:val="000509F2"/>
    <w:rsid w:val="00052057"/>
    <w:rsid w:val="000523D8"/>
    <w:rsid w:val="000525B8"/>
    <w:rsid w:val="000536AB"/>
    <w:rsid w:val="0005410C"/>
    <w:rsid w:val="0005440A"/>
    <w:rsid w:val="00054A0E"/>
    <w:rsid w:val="00054A49"/>
    <w:rsid w:val="0005594B"/>
    <w:rsid w:val="00056791"/>
    <w:rsid w:val="0005690C"/>
    <w:rsid w:val="00056E48"/>
    <w:rsid w:val="00056F56"/>
    <w:rsid w:val="00057162"/>
    <w:rsid w:val="000577C1"/>
    <w:rsid w:val="00057D88"/>
    <w:rsid w:val="00060F46"/>
    <w:rsid w:val="0006115C"/>
    <w:rsid w:val="000622FD"/>
    <w:rsid w:val="0006279F"/>
    <w:rsid w:val="000629BC"/>
    <w:rsid w:val="00063F72"/>
    <w:rsid w:val="00065CB3"/>
    <w:rsid w:val="00065DB3"/>
    <w:rsid w:val="00066B8C"/>
    <w:rsid w:val="000670DA"/>
    <w:rsid w:val="00070EE2"/>
    <w:rsid w:val="00071CA0"/>
    <w:rsid w:val="000724D2"/>
    <w:rsid w:val="00072A2A"/>
    <w:rsid w:val="00072ADE"/>
    <w:rsid w:val="00072EEB"/>
    <w:rsid w:val="0007384C"/>
    <w:rsid w:val="00074009"/>
    <w:rsid w:val="000748B8"/>
    <w:rsid w:val="00074D38"/>
    <w:rsid w:val="00074E77"/>
    <w:rsid w:val="00074F8C"/>
    <w:rsid w:val="000755FB"/>
    <w:rsid w:val="00076CE6"/>
    <w:rsid w:val="000778C8"/>
    <w:rsid w:val="00077AF4"/>
    <w:rsid w:val="0008086D"/>
    <w:rsid w:val="00081F96"/>
    <w:rsid w:val="000822F9"/>
    <w:rsid w:val="00083206"/>
    <w:rsid w:val="0008349C"/>
    <w:rsid w:val="000838DC"/>
    <w:rsid w:val="0008429B"/>
    <w:rsid w:val="0008443D"/>
    <w:rsid w:val="00085364"/>
    <w:rsid w:val="00085C22"/>
    <w:rsid w:val="00086178"/>
    <w:rsid w:val="0008661C"/>
    <w:rsid w:val="00086B08"/>
    <w:rsid w:val="00086D86"/>
    <w:rsid w:val="00087E66"/>
    <w:rsid w:val="00090177"/>
    <w:rsid w:val="0009136A"/>
    <w:rsid w:val="00091F03"/>
    <w:rsid w:val="0009377D"/>
    <w:rsid w:val="00093834"/>
    <w:rsid w:val="000942B2"/>
    <w:rsid w:val="00094F0D"/>
    <w:rsid w:val="00095BF0"/>
    <w:rsid w:val="00096587"/>
    <w:rsid w:val="00096EE3"/>
    <w:rsid w:val="000A072C"/>
    <w:rsid w:val="000A0DDD"/>
    <w:rsid w:val="000A2169"/>
    <w:rsid w:val="000A2762"/>
    <w:rsid w:val="000A2DC0"/>
    <w:rsid w:val="000A3689"/>
    <w:rsid w:val="000A3C03"/>
    <w:rsid w:val="000A43B1"/>
    <w:rsid w:val="000A5BE7"/>
    <w:rsid w:val="000A5F3B"/>
    <w:rsid w:val="000A6093"/>
    <w:rsid w:val="000A6341"/>
    <w:rsid w:val="000A6C69"/>
    <w:rsid w:val="000A7704"/>
    <w:rsid w:val="000A7A2E"/>
    <w:rsid w:val="000A7C36"/>
    <w:rsid w:val="000B02C9"/>
    <w:rsid w:val="000B0B4D"/>
    <w:rsid w:val="000B1584"/>
    <w:rsid w:val="000B4387"/>
    <w:rsid w:val="000B5510"/>
    <w:rsid w:val="000B5B40"/>
    <w:rsid w:val="000B67EE"/>
    <w:rsid w:val="000C02B2"/>
    <w:rsid w:val="000C0A7D"/>
    <w:rsid w:val="000C0E3D"/>
    <w:rsid w:val="000C184C"/>
    <w:rsid w:val="000C2E12"/>
    <w:rsid w:val="000C33C1"/>
    <w:rsid w:val="000C3552"/>
    <w:rsid w:val="000C3795"/>
    <w:rsid w:val="000C55EB"/>
    <w:rsid w:val="000C6102"/>
    <w:rsid w:val="000C6180"/>
    <w:rsid w:val="000C6839"/>
    <w:rsid w:val="000C68C0"/>
    <w:rsid w:val="000C7A68"/>
    <w:rsid w:val="000C7E62"/>
    <w:rsid w:val="000D01D4"/>
    <w:rsid w:val="000D08D5"/>
    <w:rsid w:val="000D2F68"/>
    <w:rsid w:val="000D2FAB"/>
    <w:rsid w:val="000D34B0"/>
    <w:rsid w:val="000D3CF2"/>
    <w:rsid w:val="000D3E85"/>
    <w:rsid w:val="000D4022"/>
    <w:rsid w:val="000D4A28"/>
    <w:rsid w:val="000D5125"/>
    <w:rsid w:val="000D5815"/>
    <w:rsid w:val="000D587B"/>
    <w:rsid w:val="000D5B6D"/>
    <w:rsid w:val="000D694D"/>
    <w:rsid w:val="000E0179"/>
    <w:rsid w:val="000E01B2"/>
    <w:rsid w:val="000E0425"/>
    <w:rsid w:val="000E04AD"/>
    <w:rsid w:val="000E1220"/>
    <w:rsid w:val="000E3FAD"/>
    <w:rsid w:val="000E4630"/>
    <w:rsid w:val="000E489A"/>
    <w:rsid w:val="000E5805"/>
    <w:rsid w:val="000E5973"/>
    <w:rsid w:val="000E5F08"/>
    <w:rsid w:val="000E6F33"/>
    <w:rsid w:val="000F0383"/>
    <w:rsid w:val="000F07FE"/>
    <w:rsid w:val="000F08F7"/>
    <w:rsid w:val="000F139C"/>
    <w:rsid w:val="000F14D4"/>
    <w:rsid w:val="000F1DE3"/>
    <w:rsid w:val="000F29EE"/>
    <w:rsid w:val="000F3F71"/>
    <w:rsid w:val="000F4AA6"/>
    <w:rsid w:val="000F53F5"/>
    <w:rsid w:val="000F5B0D"/>
    <w:rsid w:val="000F5FBB"/>
    <w:rsid w:val="0010112D"/>
    <w:rsid w:val="001012E3"/>
    <w:rsid w:val="001028E6"/>
    <w:rsid w:val="00103031"/>
    <w:rsid w:val="00103071"/>
    <w:rsid w:val="00103DB3"/>
    <w:rsid w:val="00104147"/>
    <w:rsid w:val="0010420F"/>
    <w:rsid w:val="00104A47"/>
    <w:rsid w:val="00105810"/>
    <w:rsid w:val="001059AF"/>
    <w:rsid w:val="00106241"/>
    <w:rsid w:val="0010631F"/>
    <w:rsid w:val="0010632D"/>
    <w:rsid w:val="00106E05"/>
    <w:rsid w:val="001072E6"/>
    <w:rsid w:val="001077D5"/>
    <w:rsid w:val="00110E17"/>
    <w:rsid w:val="001118F0"/>
    <w:rsid w:val="00111BBC"/>
    <w:rsid w:val="00112125"/>
    <w:rsid w:val="00112B17"/>
    <w:rsid w:val="001131DC"/>
    <w:rsid w:val="00113335"/>
    <w:rsid w:val="001134DE"/>
    <w:rsid w:val="001138E7"/>
    <w:rsid w:val="00113948"/>
    <w:rsid w:val="001155EB"/>
    <w:rsid w:val="001162E2"/>
    <w:rsid w:val="00116481"/>
    <w:rsid w:val="00116A60"/>
    <w:rsid w:val="00116F3B"/>
    <w:rsid w:val="00117A11"/>
    <w:rsid w:val="00117BD9"/>
    <w:rsid w:val="001200A0"/>
    <w:rsid w:val="0012031E"/>
    <w:rsid w:val="00121399"/>
    <w:rsid w:val="001215D0"/>
    <w:rsid w:val="001220E3"/>
    <w:rsid w:val="00122910"/>
    <w:rsid w:val="00123931"/>
    <w:rsid w:val="00123EDB"/>
    <w:rsid w:val="00125C20"/>
    <w:rsid w:val="00126507"/>
    <w:rsid w:val="00126BAC"/>
    <w:rsid w:val="0012780F"/>
    <w:rsid w:val="001300A5"/>
    <w:rsid w:val="001306F3"/>
    <w:rsid w:val="0013088E"/>
    <w:rsid w:val="00130D97"/>
    <w:rsid w:val="001327D9"/>
    <w:rsid w:val="00132AB0"/>
    <w:rsid w:val="00132D71"/>
    <w:rsid w:val="00132E3A"/>
    <w:rsid w:val="0013431F"/>
    <w:rsid w:val="0013490D"/>
    <w:rsid w:val="00136309"/>
    <w:rsid w:val="00136DE0"/>
    <w:rsid w:val="001379F4"/>
    <w:rsid w:val="00137F58"/>
    <w:rsid w:val="001407DA"/>
    <w:rsid w:val="001409E9"/>
    <w:rsid w:val="00140A2D"/>
    <w:rsid w:val="00141CA8"/>
    <w:rsid w:val="00142252"/>
    <w:rsid w:val="00143A63"/>
    <w:rsid w:val="00143AD2"/>
    <w:rsid w:val="0014656E"/>
    <w:rsid w:val="00146D67"/>
    <w:rsid w:val="001471C5"/>
    <w:rsid w:val="0014727D"/>
    <w:rsid w:val="0014734B"/>
    <w:rsid w:val="00147602"/>
    <w:rsid w:val="0014765A"/>
    <w:rsid w:val="0015035B"/>
    <w:rsid w:val="00151407"/>
    <w:rsid w:val="00152513"/>
    <w:rsid w:val="00152564"/>
    <w:rsid w:val="00152B0A"/>
    <w:rsid w:val="001530EC"/>
    <w:rsid w:val="00153872"/>
    <w:rsid w:val="00153C6A"/>
    <w:rsid w:val="001541FD"/>
    <w:rsid w:val="001544AC"/>
    <w:rsid w:val="00155156"/>
    <w:rsid w:val="001562F9"/>
    <w:rsid w:val="00156312"/>
    <w:rsid w:val="00156B0C"/>
    <w:rsid w:val="00156D54"/>
    <w:rsid w:val="0015773C"/>
    <w:rsid w:val="00157A49"/>
    <w:rsid w:val="00157AC3"/>
    <w:rsid w:val="0016026B"/>
    <w:rsid w:val="00161950"/>
    <w:rsid w:val="001620F0"/>
    <w:rsid w:val="00162FB4"/>
    <w:rsid w:val="00163730"/>
    <w:rsid w:val="00164A46"/>
    <w:rsid w:val="001662FE"/>
    <w:rsid w:val="001667C7"/>
    <w:rsid w:val="00166EF5"/>
    <w:rsid w:val="001702DC"/>
    <w:rsid w:val="00172057"/>
    <w:rsid w:val="0017209B"/>
    <w:rsid w:val="001722BA"/>
    <w:rsid w:val="00172344"/>
    <w:rsid w:val="00172DD0"/>
    <w:rsid w:val="001730E5"/>
    <w:rsid w:val="00173A56"/>
    <w:rsid w:val="001755C4"/>
    <w:rsid w:val="00175A1D"/>
    <w:rsid w:val="00176617"/>
    <w:rsid w:val="00177D3D"/>
    <w:rsid w:val="00180024"/>
    <w:rsid w:val="00180CA5"/>
    <w:rsid w:val="00180DC1"/>
    <w:rsid w:val="00180F68"/>
    <w:rsid w:val="00181417"/>
    <w:rsid w:val="00181735"/>
    <w:rsid w:val="0018470B"/>
    <w:rsid w:val="00184AA3"/>
    <w:rsid w:val="00185987"/>
    <w:rsid w:val="00185C75"/>
    <w:rsid w:val="00187077"/>
    <w:rsid w:val="0018717E"/>
    <w:rsid w:val="0019201C"/>
    <w:rsid w:val="001920CB"/>
    <w:rsid w:val="001926C1"/>
    <w:rsid w:val="00192CBE"/>
    <w:rsid w:val="001945E5"/>
    <w:rsid w:val="0019466B"/>
    <w:rsid w:val="001946F2"/>
    <w:rsid w:val="00195B7A"/>
    <w:rsid w:val="001967E3"/>
    <w:rsid w:val="00196AE9"/>
    <w:rsid w:val="00197555"/>
    <w:rsid w:val="00197768"/>
    <w:rsid w:val="0019785C"/>
    <w:rsid w:val="001A0178"/>
    <w:rsid w:val="001A1A52"/>
    <w:rsid w:val="001A26DC"/>
    <w:rsid w:val="001A2E3E"/>
    <w:rsid w:val="001A307F"/>
    <w:rsid w:val="001A337C"/>
    <w:rsid w:val="001A33BD"/>
    <w:rsid w:val="001A6821"/>
    <w:rsid w:val="001A763E"/>
    <w:rsid w:val="001B00A3"/>
    <w:rsid w:val="001B1A8B"/>
    <w:rsid w:val="001B2AA7"/>
    <w:rsid w:val="001B3A97"/>
    <w:rsid w:val="001B4372"/>
    <w:rsid w:val="001B6D6A"/>
    <w:rsid w:val="001C21E8"/>
    <w:rsid w:val="001C45EC"/>
    <w:rsid w:val="001C4E34"/>
    <w:rsid w:val="001C5EBB"/>
    <w:rsid w:val="001C638F"/>
    <w:rsid w:val="001C69F0"/>
    <w:rsid w:val="001C764B"/>
    <w:rsid w:val="001C79DB"/>
    <w:rsid w:val="001C7B72"/>
    <w:rsid w:val="001D01C9"/>
    <w:rsid w:val="001D0348"/>
    <w:rsid w:val="001D03C7"/>
    <w:rsid w:val="001D05F5"/>
    <w:rsid w:val="001D147B"/>
    <w:rsid w:val="001D1A4A"/>
    <w:rsid w:val="001D20F5"/>
    <w:rsid w:val="001D4550"/>
    <w:rsid w:val="001D4EB3"/>
    <w:rsid w:val="001D5402"/>
    <w:rsid w:val="001D56A3"/>
    <w:rsid w:val="001D56C9"/>
    <w:rsid w:val="001D5A84"/>
    <w:rsid w:val="001D7283"/>
    <w:rsid w:val="001D7E7A"/>
    <w:rsid w:val="001E03C6"/>
    <w:rsid w:val="001E059F"/>
    <w:rsid w:val="001E0636"/>
    <w:rsid w:val="001E19C6"/>
    <w:rsid w:val="001E2C0A"/>
    <w:rsid w:val="001E354D"/>
    <w:rsid w:val="001E35C4"/>
    <w:rsid w:val="001E3EA8"/>
    <w:rsid w:val="001E6ED2"/>
    <w:rsid w:val="001E7044"/>
    <w:rsid w:val="001E773A"/>
    <w:rsid w:val="001F03B5"/>
    <w:rsid w:val="001F0DFE"/>
    <w:rsid w:val="001F11E0"/>
    <w:rsid w:val="001F141D"/>
    <w:rsid w:val="001F15E5"/>
    <w:rsid w:val="001F16A0"/>
    <w:rsid w:val="001F1C1F"/>
    <w:rsid w:val="001F1D32"/>
    <w:rsid w:val="001F1F0E"/>
    <w:rsid w:val="001F385B"/>
    <w:rsid w:val="001F3AD8"/>
    <w:rsid w:val="001F41D8"/>
    <w:rsid w:val="001F4704"/>
    <w:rsid w:val="001F506E"/>
    <w:rsid w:val="001F5ECB"/>
    <w:rsid w:val="001F6F32"/>
    <w:rsid w:val="001F7E76"/>
    <w:rsid w:val="00200039"/>
    <w:rsid w:val="00200953"/>
    <w:rsid w:val="00200A70"/>
    <w:rsid w:val="0020157C"/>
    <w:rsid w:val="0020174F"/>
    <w:rsid w:val="00202496"/>
    <w:rsid w:val="002025BE"/>
    <w:rsid w:val="00203775"/>
    <w:rsid w:val="00204480"/>
    <w:rsid w:val="0020515A"/>
    <w:rsid w:val="0020642E"/>
    <w:rsid w:val="00206602"/>
    <w:rsid w:val="00206943"/>
    <w:rsid w:val="002073A3"/>
    <w:rsid w:val="00210183"/>
    <w:rsid w:val="00210C6C"/>
    <w:rsid w:val="00210E77"/>
    <w:rsid w:val="0021100D"/>
    <w:rsid w:val="0021268E"/>
    <w:rsid w:val="00212911"/>
    <w:rsid w:val="00212B17"/>
    <w:rsid w:val="00214AF5"/>
    <w:rsid w:val="00214C1E"/>
    <w:rsid w:val="00215397"/>
    <w:rsid w:val="0021606C"/>
    <w:rsid w:val="00216BC4"/>
    <w:rsid w:val="0021710A"/>
    <w:rsid w:val="00217653"/>
    <w:rsid w:val="00217A3D"/>
    <w:rsid w:val="00217DB9"/>
    <w:rsid w:val="00220C7F"/>
    <w:rsid w:val="0022106F"/>
    <w:rsid w:val="0022255F"/>
    <w:rsid w:val="00222F07"/>
    <w:rsid w:val="00223398"/>
    <w:rsid w:val="00223A47"/>
    <w:rsid w:val="002245EE"/>
    <w:rsid w:val="00224E98"/>
    <w:rsid w:val="002275ED"/>
    <w:rsid w:val="00227BD3"/>
    <w:rsid w:val="00230EA6"/>
    <w:rsid w:val="00230EDF"/>
    <w:rsid w:val="0023162F"/>
    <w:rsid w:val="00231733"/>
    <w:rsid w:val="00231F3C"/>
    <w:rsid w:val="002328AF"/>
    <w:rsid w:val="00233094"/>
    <w:rsid w:val="00233748"/>
    <w:rsid w:val="002338A6"/>
    <w:rsid w:val="00233D52"/>
    <w:rsid w:val="00234189"/>
    <w:rsid w:val="00235138"/>
    <w:rsid w:val="00235CBE"/>
    <w:rsid w:val="00236196"/>
    <w:rsid w:val="00236763"/>
    <w:rsid w:val="00236771"/>
    <w:rsid w:val="0023683E"/>
    <w:rsid w:val="00236B3C"/>
    <w:rsid w:val="00237362"/>
    <w:rsid w:val="0024028C"/>
    <w:rsid w:val="002409A6"/>
    <w:rsid w:val="00240C98"/>
    <w:rsid w:val="002418B2"/>
    <w:rsid w:val="0024234F"/>
    <w:rsid w:val="0024325E"/>
    <w:rsid w:val="0024345D"/>
    <w:rsid w:val="0024348A"/>
    <w:rsid w:val="002436F3"/>
    <w:rsid w:val="0024405C"/>
    <w:rsid w:val="002455DB"/>
    <w:rsid w:val="00245801"/>
    <w:rsid w:val="00245EC0"/>
    <w:rsid w:val="0024636D"/>
    <w:rsid w:val="0024662F"/>
    <w:rsid w:val="00246C91"/>
    <w:rsid w:val="00247200"/>
    <w:rsid w:val="00247454"/>
    <w:rsid w:val="00247A10"/>
    <w:rsid w:val="00247A65"/>
    <w:rsid w:val="00247A94"/>
    <w:rsid w:val="00251D7F"/>
    <w:rsid w:val="00252090"/>
    <w:rsid w:val="00252D63"/>
    <w:rsid w:val="002537E7"/>
    <w:rsid w:val="00253988"/>
    <w:rsid w:val="00253ADC"/>
    <w:rsid w:val="002546FC"/>
    <w:rsid w:val="00255728"/>
    <w:rsid w:val="00255A40"/>
    <w:rsid w:val="00256026"/>
    <w:rsid w:val="002564A6"/>
    <w:rsid w:val="00256618"/>
    <w:rsid w:val="0025682C"/>
    <w:rsid w:val="002577C2"/>
    <w:rsid w:val="00260140"/>
    <w:rsid w:val="002609F3"/>
    <w:rsid w:val="00260EFC"/>
    <w:rsid w:val="00261834"/>
    <w:rsid w:val="0026251B"/>
    <w:rsid w:val="00262D17"/>
    <w:rsid w:val="00263285"/>
    <w:rsid w:val="00263C7F"/>
    <w:rsid w:val="0026552F"/>
    <w:rsid w:val="00267076"/>
    <w:rsid w:val="002674B3"/>
    <w:rsid w:val="00270CAF"/>
    <w:rsid w:val="00273554"/>
    <w:rsid w:val="002735E1"/>
    <w:rsid w:val="002745F4"/>
    <w:rsid w:val="00274AE7"/>
    <w:rsid w:val="002758F5"/>
    <w:rsid w:val="00276A37"/>
    <w:rsid w:val="00277373"/>
    <w:rsid w:val="002773B2"/>
    <w:rsid w:val="00277DF5"/>
    <w:rsid w:val="0028096A"/>
    <w:rsid w:val="0028101E"/>
    <w:rsid w:val="00281D74"/>
    <w:rsid w:val="002829EC"/>
    <w:rsid w:val="00282E49"/>
    <w:rsid w:val="00283553"/>
    <w:rsid w:val="002839AA"/>
    <w:rsid w:val="0028508E"/>
    <w:rsid w:val="00285BF8"/>
    <w:rsid w:val="00285EF1"/>
    <w:rsid w:val="002860E5"/>
    <w:rsid w:val="0028639E"/>
    <w:rsid w:val="0028734C"/>
    <w:rsid w:val="002904AE"/>
    <w:rsid w:val="002908EC"/>
    <w:rsid w:val="0029095F"/>
    <w:rsid w:val="00291540"/>
    <w:rsid w:val="0029302F"/>
    <w:rsid w:val="002944D3"/>
    <w:rsid w:val="002948C4"/>
    <w:rsid w:val="00294B2A"/>
    <w:rsid w:val="0029569E"/>
    <w:rsid w:val="002965E3"/>
    <w:rsid w:val="0029670D"/>
    <w:rsid w:val="00297380"/>
    <w:rsid w:val="0029753C"/>
    <w:rsid w:val="002A0475"/>
    <w:rsid w:val="002A0542"/>
    <w:rsid w:val="002A070A"/>
    <w:rsid w:val="002A12B8"/>
    <w:rsid w:val="002A2A06"/>
    <w:rsid w:val="002A3150"/>
    <w:rsid w:val="002A35E3"/>
    <w:rsid w:val="002A3AB6"/>
    <w:rsid w:val="002A3D0F"/>
    <w:rsid w:val="002A4811"/>
    <w:rsid w:val="002A4BB5"/>
    <w:rsid w:val="002A4E18"/>
    <w:rsid w:val="002A4E61"/>
    <w:rsid w:val="002A4EDE"/>
    <w:rsid w:val="002A519E"/>
    <w:rsid w:val="002A5306"/>
    <w:rsid w:val="002A68B9"/>
    <w:rsid w:val="002A6B2C"/>
    <w:rsid w:val="002A6C14"/>
    <w:rsid w:val="002A6F0D"/>
    <w:rsid w:val="002A6F96"/>
    <w:rsid w:val="002B03CF"/>
    <w:rsid w:val="002B0FA8"/>
    <w:rsid w:val="002B162F"/>
    <w:rsid w:val="002B1F35"/>
    <w:rsid w:val="002B2D83"/>
    <w:rsid w:val="002B473A"/>
    <w:rsid w:val="002B530A"/>
    <w:rsid w:val="002B5B1B"/>
    <w:rsid w:val="002B65FD"/>
    <w:rsid w:val="002B7166"/>
    <w:rsid w:val="002B7A8A"/>
    <w:rsid w:val="002B7C05"/>
    <w:rsid w:val="002C0DD9"/>
    <w:rsid w:val="002C141A"/>
    <w:rsid w:val="002C2780"/>
    <w:rsid w:val="002C29C1"/>
    <w:rsid w:val="002C3260"/>
    <w:rsid w:val="002C43C5"/>
    <w:rsid w:val="002C4C98"/>
    <w:rsid w:val="002C5F61"/>
    <w:rsid w:val="002C632C"/>
    <w:rsid w:val="002C7D33"/>
    <w:rsid w:val="002D025A"/>
    <w:rsid w:val="002D0A1D"/>
    <w:rsid w:val="002D0BAA"/>
    <w:rsid w:val="002D2340"/>
    <w:rsid w:val="002D2E9E"/>
    <w:rsid w:val="002D37AB"/>
    <w:rsid w:val="002D3E63"/>
    <w:rsid w:val="002D5576"/>
    <w:rsid w:val="002D67A2"/>
    <w:rsid w:val="002D7CA2"/>
    <w:rsid w:val="002E07C9"/>
    <w:rsid w:val="002E1A13"/>
    <w:rsid w:val="002E291E"/>
    <w:rsid w:val="002E29F0"/>
    <w:rsid w:val="002E33D5"/>
    <w:rsid w:val="002E4209"/>
    <w:rsid w:val="002E438F"/>
    <w:rsid w:val="002E5121"/>
    <w:rsid w:val="002E518C"/>
    <w:rsid w:val="002E59D5"/>
    <w:rsid w:val="002E5A59"/>
    <w:rsid w:val="002E5D20"/>
    <w:rsid w:val="002E6559"/>
    <w:rsid w:val="002E6CCB"/>
    <w:rsid w:val="002E6F7E"/>
    <w:rsid w:val="002E7986"/>
    <w:rsid w:val="002F020C"/>
    <w:rsid w:val="002F03F3"/>
    <w:rsid w:val="002F0A0D"/>
    <w:rsid w:val="002F0D4E"/>
    <w:rsid w:val="002F14A2"/>
    <w:rsid w:val="002F189B"/>
    <w:rsid w:val="002F27E9"/>
    <w:rsid w:val="002F2CF3"/>
    <w:rsid w:val="002F3855"/>
    <w:rsid w:val="002F3B2C"/>
    <w:rsid w:val="002F3C46"/>
    <w:rsid w:val="002F57BB"/>
    <w:rsid w:val="002F5AF0"/>
    <w:rsid w:val="002F6C8E"/>
    <w:rsid w:val="002F7A1D"/>
    <w:rsid w:val="00300012"/>
    <w:rsid w:val="00300D48"/>
    <w:rsid w:val="00301AA1"/>
    <w:rsid w:val="00301D70"/>
    <w:rsid w:val="00302226"/>
    <w:rsid w:val="0030259D"/>
    <w:rsid w:val="00302FFA"/>
    <w:rsid w:val="0030314F"/>
    <w:rsid w:val="00303263"/>
    <w:rsid w:val="00303633"/>
    <w:rsid w:val="003042CF"/>
    <w:rsid w:val="00304FFB"/>
    <w:rsid w:val="003051BC"/>
    <w:rsid w:val="00306686"/>
    <w:rsid w:val="003066AF"/>
    <w:rsid w:val="00307029"/>
    <w:rsid w:val="00307453"/>
    <w:rsid w:val="0030746E"/>
    <w:rsid w:val="003075F6"/>
    <w:rsid w:val="00307967"/>
    <w:rsid w:val="0031003E"/>
    <w:rsid w:val="00310FBA"/>
    <w:rsid w:val="00311286"/>
    <w:rsid w:val="00311855"/>
    <w:rsid w:val="00314031"/>
    <w:rsid w:val="003144CA"/>
    <w:rsid w:val="0031554A"/>
    <w:rsid w:val="00316871"/>
    <w:rsid w:val="00316F22"/>
    <w:rsid w:val="00317F53"/>
    <w:rsid w:val="00322612"/>
    <w:rsid w:val="00323310"/>
    <w:rsid w:val="003239D4"/>
    <w:rsid w:val="00323A7F"/>
    <w:rsid w:val="00325C1C"/>
    <w:rsid w:val="00325D84"/>
    <w:rsid w:val="0032628C"/>
    <w:rsid w:val="003264E7"/>
    <w:rsid w:val="00326D88"/>
    <w:rsid w:val="003273F6"/>
    <w:rsid w:val="00327BE0"/>
    <w:rsid w:val="00327DB5"/>
    <w:rsid w:val="00331D33"/>
    <w:rsid w:val="00331EC6"/>
    <w:rsid w:val="00331FF0"/>
    <w:rsid w:val="0033381C"/>
    <w:rsid w:val="003345DB"/>
    <w:rsid w:val="00336983"/>
    <w:rsid w:val="00336EEE"/>
    <w:rsid w:val="00341B10"/>
    <w:rsid w:val="00342DCA"/>
    <w:rsid w:val="003439B1"/>
    <w:rsid w:val="00345038"/>
    <w:rsid w:val="003457D1"/>
    <w:rsid w:val="00345BCC"/>
    <w:rsid w:val="00346004"/>
    <w:rsid w:val="003463C6"/>
    <w:rsid w:val="003464EF"/>
    <w:rsid w:val="00346963"/>
    <w:rsid w:val="003475AE"/>
    <w:rsid w:val="00347989"/>
    <w:rsid w:val="00347E50"/>
    <w:rsid w:val="003500F0"/>
    <w:rsid w:val="003512FC"/>
    <w:rsid w:val="003532FD"/>
    <w:rsid w:val="0035377E"/>
    <w:rsid w:val="00353E70"/>
    <w:rsid w:val="003546BF"/>
    <w:rsid w:val="003551FF"/>
    <w:rsid w:val="00355237"/>
    <w:rsid w:val="00355441"/>
    <w:rsid w:val="0035756B"/>
    <w:rsid w:val="00357C92"/>
    <w:rsid w:val="003602C2"/>
    <w:rsid w:val="00361576"/>
    <w:rsid w:val="00361EFC"/>
    <w:rsid w:val="003622FC"/>
    <w:rsid w:val="00362857"/>
    <w:rsid w:val="00362965"/>
    <w:rsid w:val="00362ADE"/>
    <w:rsid w:val="00363297"/>
    <w:rsid w:val="00363F74"/>
    <w:rsid w:val="00365A2E"/>
    <w:rsid w:val="00365CFC"/>
    <w:rsid w:val="00366CF2"/>
    <w:rsid w:val="00367311"/>
    <w:rsid w:val="0036733F"/>
    <w:rsid w:val="00367417"/>
    <w:rsid w:val="003703FD"/>
    <w:rsid w:val="00370480"/>
    <w:rsid w:val="00370D51"/>
    <w:rsid w:val="00370FFC"/>
    <w:rsid w:val="0037102F"/>
    <w:rsid w:val="0037303C"/>
    <w:rsid w:val="00374926"/>
    <w:rsid w:val="00374ECD"/>
    <w:rsid w:val="00375826"/>
    <w:rsid w:val="0037613A"/>
    <w:rsid w:val="003763F7"/>
    <w:rsid w:val="00376D87"/>
    <w:rsid w:val="00376EFC"/>
    <w:rsid w:val="00377338"/>
    <w:rsid w:val="00377970"/>
    <w:rsid w:val="003806CC"/>
    <w:rsid w:val="00380D86"/>
    <w:rsid w:val="0038107B"/>
    <w:rsid w:val="00381DC4"/>
    <w:rsid w:val="003826C7"/>
    <w:rsid w:val="00382724"/>
    <w:rsid w:val="00383D24"/>
    <w:rsid w:val="003848B0"/>
    <w:rsid w:val="00384A23"/>
    <w:rsid w:val="00385000"/>
    <w:rsid w:val="00385CF1"/>
    <w:rsid w:val="003879AE"/>
    <w:rsid w:val="00390807"/>
    <w:rsid w:val="00390E65"/>
    <w:rsid w:val="00391012"/>
    <w:rsid w:val="00391ED5"/>
    <w:rsid w:val="00392841"/>
    <w:rsid w:val="00393062"/>
    <w:rsid w:val="00393EAF"/>
    <w:rsid w:val="00394215"/>
    <w:rsid w:val="00394923"/>
    <w:rsid w:val="003954CB"/>
    <w:rsid w:val="00395DBD"/>
    <w:rsid w:val="00396B5A"/>
    <w:rsid w:val="00397076"/>
    <w:rsid w:val="003972EB"/>
    <w:rsid w:val="00397EE0"/>
    <w:rsid w:val="00397F22"/>
    <w:rsid w:val="003A0A50"/>
    <w:rsid w:val="003A1877"/>
    <w:rsid w:val="003A1C2C"/>
    <w:rsid w:val="003A1DDD"/>
    <w:rsid w:val="003A1FF2"/>
    <w:rsid w:val="003A218B"/>
    <w:rsid w:val="003A25B9"/>
    <w:rsid w:val="003A2A4D"/>
    <w:rsid w:val="003A2A7B"/>
    <w:rsid w:val="003A2EA5"/>
    <w:rsid w:val="003A3584"/>
    <w:rsid w:val="003A4061"/>
    <w:rsid w:val="003A4452"/>
    <w:rsid w:val="003A45E0"/>
    <w:rsid w:val="003A469A"/>
    <w:rsid w:val="003A4BFB"/>
    <w:rsid w:val="003A569D"/>
    <w:rsid w:val="003A5749"/>
    <w:rsid w:val="003A6FF1"/>
    <w:rsid w:val="003A7640"/>
    <w:rsid w:val="003A7FB1"/>
    <w:rsid w:val="003B04BB"/>
    <w:rsid w:val="003B0BB1"/>
    <w:rsid w:val="003B0DF1"/>
    <w:rsid w:val="003B20CF"/>
    <w:rsid w:val="003B24F2"/>
    <w:rsid w:val="003B2934"/>
    <w:rsid w:val="003B2DB8"/>
    <w:rsid w:val="003B3958"/>
    <w:rsid w:val="003B4D61"/>
    <w:rsid w:val="003B565B"/>
    <w:rsid w:val="003B5A63"/>
    <w:rsid w:val="003B64F6"/>
    <w:rsid w:val="003B6C30"/>
    <w:rsid w:val="003B6CD8"/>
    <w:rsid w:val="003B6ED4"/>
    <w:rsid w:val="003B7038"/>
    <w:rsid w:val="003B7A0B"/>
    <w:rsid w:val="003C02D0"/>
    <w:rsid w:val="003C0ABB"/>
    <w:rsid w:val="003C0B09"/>
    <w:rsid w:val="003C0C05"/>
    <w:rsid w:val="003C0D7A"/>
    <w:rsid w:val="003C0F81"/>
    <w:rsid w:val="003C1691"/>
    <w:rsid w:val="003C18E6"/>
    <w:rsid w:val="003C2251"/>
    <w:rsid w:val="003C324F"/>
    <w:rsid w:val="003C363B"/>
    <w:rsid w:val="003C383D"/>
    <w:rsid w:val="003C3ECC"/>
    <w:rsid w:val="003C3F32"/>
    <w:rsid w:val="003C424B"/>
    <w:rsid w:val="003C4342"/>
    <w:rsid w:val="003C4AA3"/>
    <w:rsid w:val="003C5486"/>
    <w:rsid w:val="003C605F"/>
    <w:rsid w:val="003C78C2"/>
    <w:rsid w:val="003C791D"/>
    <w:rsid w:val="003D087F"/>
    <w:rsid w:val="003D0E0E"/>
    <w:rsid w:val="003D20E3"/>
    <w:rsid w:val="003D27DF"/>
    <w:rsid w:val="003D2929"/>
    <w:rsid w:val="003D39F3"/>
    <w:rsid w:val="003D3A53"/>
    <w:rsid w:val="003D3E7B"/>
    <w:rsid w:val="003D450F"/>
    <w:rsid w:val="003D5197"/>
    <w:rsid w:val="003D5340"/>
    <w:rsid w:val="003D558B"/>
    <w:rsid w:val="003D59B5"/>
    <w:rsid w:val="003D650C"/>
    <w:rsid w:val="003D6929"/>
    <w:rsid w:val="003D6A07"/>
    <w:rsid w:val="003D774A"/>
    <w:rsid w:val="003E095A"/>
    <w:rsid w:val="003E0B9B"/>
    <w:rsid w:val="003E0FF7"/>
    <w:rsid w:val="003E2924"/>
    <w:rsid w:val="003E3591"/>
    <w:rsid w:val="003E3DBE"/>
    <w:rsid w:val="003E3E36"/>
    <w:rsid w:val="003E3F5B"/>
    <w:rsid w:val="003E41C7"/>
    <w:rsid w:val="003E4395"/>
    <w:rsid w:val="003E479D"/>
    <w:rsid w:val="003E533A"/>
    <w:rsid w:val="003E53F6"/>
    <w:rsid w:val="003E56E9"/>
    <w:rsid w:val="003E5836"/>
    <w:rsid w:val="003E5D95"/>
    <w:rsid w:val="003E67F4"/>
    <w:rsid w:val="003E6F64"/>
    <w:rsid w:val="003E7253"/>
    <w:rsid w:val="003E74F9"/>
    <w:rsid w:val="003F0643"/>
    <w:rsid w:val="003F0FE7"/>
    <w:rsid w:val="003F13D6"/>
    <w:rsid w:val="003F172F"/>
    <w:rsid w:val="003F277A"/>
    <w:rsid w:val="003F2982"/>
    <w:rsid w:val="003F2DB2"/>
    <w:rsid w:val="003F337D"/>
    <w:rsid w:val="003F3E80"/>
    <w:rsid w:val="003F3EFA"/>
    <w:rsid w:val="003F421B"/>
    <w:rsid w:val="003F4248"/>
    <w:rsid w:val="003F45E1"/>
    <w:rsid w:val="003F46FB"/>
    <w:rsid w:val="003F4F7C"/>
    <w:rsid w:val="003F5655"/>
    <w:rsid w:val="003F5675"/>
    <w:rsid w:val="003F5C7C"/>
    <w:rsid w:val="003F5D2F"/>
    <w:rsid w:val="003F61B5"/>
    <w:rsid w:val="003F6331"/>
    <w:rsid w:val="003F6BEC"/>
    <w:rsid w:val="003F6DE7"/>
    <w:rsid w:val="003F7A03"/>
    <w:rsid w:val="003F7B00"/>
    <w:rsid w:val="003F7DAB"/>
    <w:rsid w:val="00400085"/>
    <w:rsid w:val="00400351"/>
    <w:rsid w:val="004008C8"/>
    <w:rsid w:val="004009BF"/>
    <w:rsid w:val="00400A07"/>
    <w:rsid w:val="00401543"/>
    <w:rsid w:val="00402074"/>
    <w:rsid w:val="0040254C"/>
    <w:rsid w:val="004025A2"/>
    <w:rsid w:val="004032D8"/>
    <w:rsid w:val="0040402F"/>
    <w:rsid w:val="0040437B"/>
    <w:rsid w:val="0040448C"/>
    <w:rsid w:val="004047D0"/>
    <w:rsid w:val="00405A06"/>
    <w:rsid w:val="00405A28"/>
    <w:rsid w:val="00405C11"/>
    <w:rsid w:val="004060C5"/>
    <w:rsid w:val="004076B4"/>
    <w:rsid w:val="004079FC"/>
    <w:rsid w:val="00407B18"/>
    <w:rsid w:val="0041033F"/>
    <w:rsid w:val="0041207C"/>
    <w:rsid w:val="00412BAF"/>
    <w:rsid w:val="004139F5"/>
    <w:rsid w:val="00413E8B"/>
    <w:rsid w:val="0041424A"/>
    <w:rsid w:val="00414495"/>
    <w:rsid w:val="004151F3"/>
    <w:rsid w:val="00415364"/>
    <w:rsid w:val="004162A4"/>
    <w:rsid w:val="00416752"/>
    <w:rsid w:val="00416AFE"/>
    <w:rsid w:val="00416F0F"/>
    <w:rsid w:val="0041744A"/>
    <w:rsid w:val="00417717"/>
    <w:rsid w:val="0042046A"/>
    <w:rsid w:val="00421023"/>
    <w:rsid w:val="00421B89"/>
    <w:rsid w:val="00421F1B"/>
    <w:rsid w:val="00422370"/>
    <w:rsid w:val="00423EF8"/>
    <w:rsid w:val="00424A66"/>
    <w:rsid w:val="0042553E"/>
    <w:rsid w:val="00425FBC"/>
    <w:rsid w:val="00426C13"/>
    <w:rsid w:val="00426CCD"/>
    <w:rsid w:val="00430892"/>
    <w:rsid w:val="00431FE8"/>
    <w:rsid w:val="00432A22"/>
    <w:rsid w:val="004331A3"/>
    <w:rsid w:val="00433D61"/>
    <w:rsid w:val="00433E04"/>
    <w:rsid w:val="00434830"/>
    <w:rsid w:val="004357EC"/>
    <w:rsid w:val="004359D8"/>
    <w:rsid w:val="00435E34"/>
    <w:rsid w:val="0043600C"/>
    <w:rsid w:val="00436861"/>
    <w:rsid w:val="00436C11"/>
    <w:rsid w:val="0043729F"/>
    <w:rsid w:val="00437736"/>
    <w:rsid w:val="00437750"/>
    <w:rsid w:val="00437789"/>
    <w:rsid w:val="00437792"/>
    <w:rsid w:val="004410EA"/>
    <w:rsid w:val="00441124"/>
    <w:rsid w:val="00441C8E"/>
    <w:rsid w:val="00442231"/>
    <w:rsid w:val="0044261D"/>
    <w:rsid w:val="00442D67"/>
    <w:rsid w:val="00442EC1"/>
    <w:rsid w:val="004447E8"/>
    <w:rsid w:val="00444EEC"/>
    <w:rsid w:val="00445C19"/>
    <w:rsid w:val="00445EDA"/>
    <w:rsid w:val="00446000"/>
    <w:rsid w:val="00446B20"/>
    <w:rsid w:val="00446FF5"/>
    <w:rsid w:val="0044775B"/>
    <w:rsid w:val="00450948"/>
    <w:rsid w:val="00450C1B"/>
    <w:rsid w:val="00454030"/>
    <w:rsid w:val="0045425A"/>
    <w:rsid w:val="0045440E"/>
    <w:rsid w:val="004544F3"/>
    <w:rsid w:val="004545C8"/>
    <w:rsid w:val="00454864"/>
    <w:rsid w:val="004549F3"/>
    <w:rsid w:val="00455376"/>
    <w:rsid w:val="004554DC"/>
    <w:rsid w:val="004559C3"/>
    <w:rsid w:val="00455E48"/>
    <w:rsid w:val="00455EDF"/>
    <w:rsid w:val="004565B0"/>
    <w:rsid w:val="00456963"/>
    <w:rsid w:val="00456D5B"/>
    <w:rsid w:val="00457A96"/>
    <w:rsid w:val="00461C2C"/>
    <w:rsid w:val="00463833"/>
    <w:rsid w:val="00463A15"/>
    <w:rsid w:val="00463A9C"/>
    <w:rsid w:val="00463EA1"/>
    <w:rsid w:val="00466DB4"/>
    <w:rsid w:val="00470922"/>
    <w:rsid w:val="00470A69"/>
    <w:rsid w:val="00471445"/>
    <w:rsid w:val="004736A6"/>
    <w:rsid w:val="00474728"/>
    <w:rsid w:val="00474D1B"/>
    <w:rsid w:val="0047557F"/>
    <w:rsid w:val="004758A6"/>
    <w:rsid w:val="00475B1A"/>
    <w:rsid w:val="00475BF6"/>
    <w:rsid w:val="00475ED4"/>
    <w:rsid w:val="00476B42"/>
    <w:rsid w:val="004774CA"/>
    <w:rsid w:val="0047797C"/>
    <w:rsid w:val="004779AC"/>
    <w:rsid w:val="00480E5E"/>
    <w:rsid w:val="00480FD1"/>
    <w:rsid w:val="00481295"/>
    <w:rsid w:val="00482191"/>
    <w:rsid w:val="004821D4"/>
    <w:rsid w:val="004824E3"/>
    <w:rsid w:val="004828D9"/>
    <w:rsid w:val="00482961"/>
    <w:rsid w:val="00483053"/>
    <w:rsid w:val="00484019"/>
    <w:rsid w:val="00484731"/>
    <w:rsid w:val="004853B4"/>
    <w:rsid w:val="0048579E"/>
    <w:rsid w:val="004879B9"/>
    <w:rsid w:val="00487BD2"/>
    <w:rsid w:val="00490FC1"/>
    <w:rsid w:val="0049111D"/>
    <w:rsid w:val="004915C8"/>
    <w:rsid w:val="00491CDA"/>
    <w:rsid w:val="00492668"/>
    <w:rsid w:val="004929FF"/>
    <w:rsid w:val="00492A78"/>
    <w:rsid w:val="00493541"/>
    <w:rsid w:val="00493863"/>
    <w:rsid w:val="00493CA5"/>
    <w:rsid w:val="00493F0F"/>
    <w:rsid w:val="00493F5F"/>
    <w:rsid w:val="0049443D"/>
    <w:rsid w:val="00494C60"/>
    <w:rsid w:val="004959AC"/>
    <w:rsid w:val="00495EBD"/>
    <w:rsid w:val="004968B2"/>
    <w:rsid w:val="0049734E"/>
    <w:rsid w:val="00497C5E"/>
    <w:rsid w:val="004A025F"/>
    <w:rsid w:val="004A086D"/>
    <w:rsid w:val="004A0AB7"/>
    <w:rsid w:val="004A0B7C"/>
    <w:rsid w:val="004A1487"/>
    <w:rsid w:val="004A1EF0"/>
    <w:rsid w:val="004A2290"/>
    <w:rsid w:val="004A23C7"/>
    <w:rsid w:val="004A2E0C"/>
    <w:rsid w:val="004A563F"/>
    <w:rsid w:val="004A576A"/>
    <w:rsid w:val="004A58B7"/>
    <w:rsid w:val="004A5BCB"/>
    <w:rsid w:val="004A60C2"/>
    <w:rsid w:val="004A6281"/>
    <w:rsid w:val="004A62AA"/>
    <w:rsid w:val="004A6BAF"/>
    <w:rsid w:val="004B04E8"/>
    <w:rsid w:val="004B10D9"/>
    <w:rsid w:val="004B157C"/>
    <w:rsid w:val="004B1D2F"/>
    <w:rsid w:val="004B2E6E"/>
    <w:rsid w:val="004B2F87"/>
    <w:rsid w:val="004B3683"/>
    <w:rsid w:val="004B38A4"/>
    <w:rsid w:val="004B5070"/>
    <w:rsid w:val="004B5CB8"/>
    <w:rsid w:val="004B68B2"/>
    <w:rsid w:val="004B74C1"/>
    <w:rsid w:val="004B7CA1"/>
    <w:rsid w:val="004C055B"/>
    <w:rsid w:val="004C10A5"/>
    <w:rsid w:val="004C18BA"/>
    <w:rsid w:val="004C1EA4"/>
    <w:rsid w:val="004C22CF"/>
    <w:rsid w:val="004C3F25"/>
    <w:rsid w:val="004C51DB"/>
    <w:rsid w:val="004C58B1"/>
    <w:rsid w:val="004C5D4C"/>
    <w:rsid w:val="004C5E29"/>
    <w:rsid w:val="004C6585"/>
    <w:rsid w:val="004C6DC8"/>
    <w:rsid w:val="004C6E24"/>
    <w:rsid w:val="004D0B55"/>
    <w:rsid w:val="004D17E7"/>
    <w:rsid w:val="004D1BA9"/>
    <w:rsid w:val="004D1EF7"/>
    <w:rsid w:val="004D223F"/>
    <w:rsid w:val="004D2424"/>
    <w:rsid w:val="004D2906"/>
    <w:rsid w:val="004D33B5"/>
    <w:rsid w:val="004D37E4"/>
    <w:rsid w:val="004D38FF"/>
    <w:rsid w:val="004D3BA7"/>
    <w:rsid w:val="004D4299"/>
    <w:rsid w:val="004D4A95"/>
    <w:rsid w:val="004D5D5E"/>
    <w:rsid w:val="004D5F00"/>
    <w:rsid w:val="004D6713"/>
    <w:rsid w:val="004D70DD"/>
    <w:rsid w:val="004D7EBA"/>
    <w:rsid w:val="004E0288"/>
    <w:rsid w:val="004E111D"/>
    <w:rsid w:val="004E20AC"/>
    <w:rsid w:val="004E3AF2"/>
    <w:rsid w:val="004E4543"/>
    <w:rsid w:val="004E4BA1"/>
    <w:rsid w:val="004E51C5"/>
    <w:rsid w:val="004E56DB"/>
    <w:rsid w:val="004E5F5C"/>
    <w:rsid w:val="004E68E1"/>
    <w:rsid w:val="004E6C2F"/>
    <w:rsid w:val="004E724C"/>
    <w:rsid w:val="004E769E"/>
    <w:rsid w:val="004F1596"/>
    <w:rsid w:val="004F1F67"/>
    <w:rsid w:val="004F1FA5"/>
    <w:rsid w:val="004F3579"/>
    <w:rsid w:val="004F56DD"/>
    <w:rsid w:val="004F6969"/>
    <w:rsid w:val="004F7081"/>
    <w:rsid w:val="004F7355"/>
    <w:rsid w:val="00500E9C"/>
    <w:rsid w:val="00501826"/>
    <w:rsid w:val="005019BB"/>
    <w:rsid w:val="00501CF4"/>
    <w:rsid w:val="00502474"/>
    <w:rsid w:val="00502674"/>
    <w:rsid w:val="0050348A"/>
    <w:rsid w:val="005034ED"/>
    <w:rsid w:val="00503D93"/>
    <w:rsid w:val="00503FD3"/>
    <w:rsid w:val="005042A5"/>
    <w:rsid w:val="005042AE"/>
    <w:rsid w:val="0050443E"/>
    <w:rsid w:val="0050518A"/>
    <w:rsid w:val="00506746"/>
    <w:rsid w:val="00506924"/>
    <w:rsid w:val="00506A9A"/>
    <w:rsid w:val="00507026"/>
    <w:rsid w:val="0050753F"/>
    <w:rsid w:val="005078A3"/>
    <w:rsid w:val="00507C52"/>
    <w:rsid w:val="00507E3F"/>
    <w:rsid w:val="00511632"/>
    <w:rsid w:val="00511A43"/>
    <w:rsid w:val="005125C9"/>
    <w:rsid w:val="0051286F"/>
    <w:rsid w:val="00512B1B"/>
    <w:rsid w:val="00512F1F"/>
    <w:rsid w:val="00513BBB"/>
    <w:rsid w:val="005142FB"/>
    <w:rsid w:val="00514385"/>
    <w:rsid w:val="00514439"/>
    <w:rsid w:val="005158FE"/>
    <w:rsid w:val="00516886"/>
    <w:rsid w:val="005178BA"/>
    <w:rsid w:val="00517A5B"/>
    <w:rsid w:val="00520DBC"/>
    <w:rsid w:val="00521DA4"/>
    <w:rsid w:val="00521F68"/>
    <w:rsid w:val="005220D4"/>
    <w:rsid w:val="0052216F"/>
    <w:rsid w:val="00522F48"/>
    <w:rsid w:val="00523D2C"/>
    <w:rsid w:val="00523FA7"/>
    <w:rsid w:val="00524ADD"/>
    <w:rsid w:val="00525858"/>
    <w:rsid w:val="00525BDC"/>
    <w:rsid w:val="00525D22"/>
    <w:rsid w:val="00525F75"/>
    <w:rsid w:val="00526667"/>
    <w:rsid w:val="005274B2"/>
    <w:rsid w:val="0052756F"/>
    <w:rsid w:val="005279FB"/>
    <w:rsid w:val="00527E20"/>
    <w:rsid w:val="00527E9D"/>
    <w:rsid w:val="0053043B"/>
    <w:rsid w:val="00530457"/>
    <w:rsid w:val="00530F0B"/>
    <w:rsid w:val="005311CA"/>
    <w:rsid w:val="00531A3C"/>
    <w:rsid w:val="00531EDD"/>
    <w:rsid w:val="00532566"/>
    <w:rsid w:val="00532640"/>
    <w:rsid w:val="00534B39"/>
    <w:rsid w:val="005353D8"/>
    <w:rsid w:val="00535ED8"/>
    <w:rsid w:val="0053750C"/>
    <w:rsid w:val="005406B5"/>
    <w:rsid w:val="005408BA"/>
    <w:rsid w:val="00541162"/>
    <w:rsid w:val="005414F9"/>
    <w:rsid w:val="0054236D"/>
    <w:rsid w:val="0054267D"/>
    <w:rsid w:val="00542F97"/>
    <w:rsid w:val="005435DC"/>
    <w:rsid w:val="0054410B"/>
    <w:rsid w:val="005444FE"/>
    <w:rsid w:val="00544827"/>
    <w:rsid w:val="00544DCA"/>
    <w:rsid w:val="00545022"/>
    <w:rsid w:val="00545BE8"/>
    <w:rsid w:val="00546608"/>
    <w:rsid w:val="00546EEB"/>
    <w:rsid w:val="00547009"/>
    <w:rsid w:val="0054728A"/>
    <w:rsid w:val="0055067C"/>
    <w:rsid w:val="00550DAB"/>
    <w:rsid w:val="0055165B"/>
    <w:rsid w:val="005518FE"/>
    <w:rsid w:val="00551931"/>
    <w:rsid w:val="005523E0"/>
    <w:rsid w:val="005529EA"/>
    <w:rsid w:val="00552E13"/>
    <w:rsid w:val="00553BB1"/>
    <w:rsid w:val="00553FBE"/>
    <w:rsid w:val="00555ADB"/>
    <w:rsid w:val="00555BC0"/>
    <w:rsid w:val="00556667"/>
    <w:rsid w:val="0055703D"/>
    <w:rsid w:val="005576CE"/>
    <w:rsid w:val="00560ADC"/>
    <w:rsid w:val="0056237E"/>
    <w:rsid w:val="005628A4"/>
    <w:rsid w:val="00564C8C"/>
    <w:rsid w:val="00564D2C"/>
    <w:rsid w:val="005662AB"/>
    <w:rsid w:val="005664E1"/>
    <w:rsid w:val="00566508"/>
    <w:rsid w:val="005671E8"/>
    <w:rsid w:val="00567526"/>
    <w:rsid w:val="00570759"/>
    <w:rsid w:val="00570940"/>
    <w:rsid w:val="00570F3E"/>
    <w:rsid w:val="00571855"/>
    <w:rsid w:val="00571E1E"/>
    <w:rsid w:val="00571F1B"/>
    <w:rsid w:val="00572205"/>
    <w:rsid w:val="0057225E"/>
    <w:rsid w:val="00572A21"/>
    <w:rsid w:val="005743AF"/>
    <w:rsid w:val="005743EC"/>
    <w:rsid w:val="005744B5"/>
    <w:rsid w:val="00574A84"/>
    <w:rsid w:val="00575372"/>
    <w:rsid w:val="005756A6"/>
    <w:rsid w:val="00575E7B"/>
    <w:rsid w:val="00576398"/>
    <w:rsid w:val="005763DD"/>
    <w:rsid w:val="005767B9"/>
    <w:rsid w:val="0057700F"/>
    <w:rsid w:val="00577239"/>
    <w:rsid w:val="00577F0E"/>
    <w:rsid w:val="00580098"/>
    <w:rsid w:val="00580775"/>
    <w:rsid w:val="005810C1"/>
    <w:rsid w:val="0058162F"/>
    <w:rsid w:val="00581AD8"/>
    <w:rsid w:val="005820DF"/>
    <w:rsid w:val="005821BB"/>
    <w:rsid w:val="00582396"/>
    <w:rsid w:val="00582A24"/>
    <w:rsid w:val="00582C3C"/>
    <w:rsid w:val="005844AD"/>
    <w:rsid w:val="00585C32"/>
    <w:rsid w:val="00585C9E"/>
    <w:rsid w:val="0058717D"/>
    <w:rsid w:val="00587CC9"/>
    <w:rsid w:val="00590D34"/>
    <w:rsid w:val="005910FC"/>
    <w:rsid w:val="0059167E"/>
    <w:rsid w:val="005920C6"/>
    <w:rsid w:val="005926CD"/>
    <w:rsid w:val="00592B40"/>
    <w:rsid w:val="00592C61"/>
    <w:rsid w:val="00592E5F"/>
    <w:rsid w:val="005932FE"/>
    <w:rsid w:val="00593B0C"/>
    <w:rsid w:val="00595AD2"/>
    <w:rsid w:val="00595DF1"/>
    <w:rsid w:val="00597A41"/>
    <w:rsid w:val="00597DB5"/>
    <w:rsid w:val="005A0096"/>
    <w:rsid w:val="005A0802"/>
    <w:rsid w:val="005A0D98"/>
    <w:rsid w:val="005A1247"/>
    <w:rsid w:val="005A18AF"/>
    <w:rsid w:val="005A2BCE"/>
    <w:rsid w:val="005A373F"/>
    <w:rsid w:val="005A38CF"/>
    <w:rsid w:val="005A3944"/>
    <w:rsid w:val="005A3BBD"/>
    <w:rsid w:val="005A3EF9"/>
    <w:rsid w:val="005A4504"/>
    <w:rsid w:val="005A4583"/>
    <w:rsid w:val="005A777B"/>
    <w:rsid w:val="005B0980"/>
    <w:rsid w:val="005B1B5A"/>
    <w:rsid w:val="005B2E46"/>
    <w:rsid w:val="005B3E4A"/>
    <w:rsid w:val="005B3F91"/>
    <w:rsid w:val="005B47DB"/>
    <w:rsid w:val="005B4E04"/>
    <w:rsid w:val="005B505B"/>
    <w:rsid w:val="005B537F"/>
    <w:rsid w:val="005B5712"/>
    <w:rsid w:val="005B6164"/>
    <w:rsid w:val="005B6A1B"/>
    <w:rsid w:val="005B6DD4"/>
    <w:rsid w:val="005B70E9"/>
    <w:rsid w:val="005B79DF"/>
    <w:rsid w:val="005C0040"/>
    <w:rsid w:val="005C02FF"/>
    <w:rsid w:val="005C03A5"/>
    <w:rsid w:val="005C05E4"/>
    <w:rsid w:val="005C06F5"/>
    <w:rsid w:val="005C2E02"/>
    <w:rsid w:val="005C2F80"/>
    <w:rsid w:val="005C4BBD"/>
    <w:rsid w:val="005C5229"/>
    <w:rsid w:val="005C6300"/>
    <w:rsid w:val="005C65DB"/>
    <w:rsid w:val="005C6E2D"/>
    <w:rsid w:val="005C6FE4"/>
    <w:rsid w:val="005C7036"/>
    <w:rsid w:val="005C7365"/>
    <w:rsid w:val="005C78AB"/>
    <w:rsid w:val="005C7D9D"/>
    <w:rsid w:val="005C7E28"/>
    <w:rsid w:val="005D17D2"/>
    <w:rsid w:val="005D1CBB"/>
    <w:rsid w:val="005D1FE7"/>
    <w:rsid w:val="005D20F5"/>
    <w:rsid w:val="005D2B5D"/>
    <w:rsid w:val="005D33C6"/>
    <w:rsid w:val="005D4014"/>
    <w:rsid w:val="005D4567"/>
    <w:rsid w:val="005D50C6"/>
    <w:rsid w:val="005D5565"/>
    <w:rsid w:val="005D59ED"/>
    <w:rsid w:val="005D651E"/>
    <w:rsid w:val="005D6772"/>
    <w:rsid w:val="005D7CC7"/>
    <w:rsid w:val="005E09A7"/>
    <w:rsid w:val="005E1706"/>
    <w:rsid w:val="005E239D"/>
    <w:rsid w:val="005E2E6A"/>
    <w:rsid w:val="005E3C7C"/>
    <w:rsid w:val="005E4040"/>
    <w:rsid w:val="005E49AD"/>
    <w:rsid w:val="005E5069"/>
    <w:rsid w:val="005E66E9"/>
    <w:rsid w:val="005E68C0"/>
    <w:rsid w:val="005E7876"/>
    <w:rsid w:val="005E7B1A"/>
    <w:rsid w:val="005E7B66"/>
    <w:rsid w:val="005E7CC8"/>
    <w:rsid w:val="005F0216"/>
    <w:rsid w:val="005F18E0"/>
    <w:rsid w:val="005F1F7D"/>
    <w:rsid w:val="005F1FD3"/>
    <w:rsid w:val="005F2174"/>
    <w:rsid w:val="005F2C15"/>
    <w:rsid w:val="005F3E9E"/>
    <w:rsid w:val="005F4631"/>
    <w:rsid w:val="005F5068"/>
    <w:rsid w:val="005F51B0"/>
    <w:rsid w:val="005F51F7"/>
    <w:rsid w:val="005F5470"/>
    <w:rsid w:val="005F5D9A"/>
    <w:rsid w:val="005F69B4"/>
    <w:rsid w:val="005F7F49"/>
    <w:rsid w:val="00600187"/>
    <w:rsid w:val="00600439"/>
    <w:rsid w:val="0060048F"/>
    <w:rsid w:val="00601227"/>
    <w:rsid w:val="00601899"/>
    <w:rsid w:val="00601D48"/>
    <w:rsid w:val="0060225B"/>
    <w:rsid w:val="006022C0"/>
    <w:rsid w:val="00602DC7"/>
    <w:rsid w:val="0060365B"/>
    <w:rsid w:val="00604A0B"/>
    <w:rsid w:val="00604AE7"/>
    <w:rsid w:val="00604D4C"/>
    <w:rsid w:val="00605409"/>
    <w:rsid w:val="00605ABA"/>
    <w:rsid w:val="00606D85"/>
    <w:rsid w:val="0061057F"/>
    <w:rsid w:val="0061120D"/>
    <w:rsid w:val="00611C99"/>
    <w:rsid w:val="00612880"/>
    <w:rsid w:val="00612997"/>
    <w:rsid w:val="00612F1B"/>
    <w:rsid w:val="0061337A"/>
    <w:rsid w:val="00613963"/>
    <w:rsid w:val="00613F81"/>
    <w:rsid w:val="00614987"/>
    <w:rsid w:val="00614CCA"/>
    <w:rsid w:val="00614DF7"/>
    <w:rsid w:val="0061654E"/>
    <w:rsid w:val="006167EB"/>
    <w:rsid w:val="00616848"/>
    <w:rsid w:val="00617411"/>
    <w:rsid w:val="00620C81"/>
    <w:rsid w:val="00620EA6"/>
    <w:rsid w:val="0062220A"/>
    <w:rsid w:val="00622CAE"/>
    <w:rsid w:val="00622D80"/>
    <w:rsid w:val="00623574"/>
    <w:rsid w:val="0062360E"/>
    <w:rsid w:val="00624D99"/>
    <w:rsid w:val="00625EB0"/>
    <w:rsid w:val="006261BB"/>
    <w:rsid w:val="00626602"/>
    <w:rsid w:val="006266DC"/>
    <w:rsid w:val="006269DA"/>
    <w:rsid w:val="00627BA7"/>
    <w:rsid w:val="00627D49"/>
    <w:rsid w:val="00630053"/>
    <w:rsid w:val="00630305"/>
    <w:rsid w:val="00630570"/>
    <w:rsid w:val="006317BE"/>
    <w:rsid w:val="00631E91"/>
    <w:rsid w:val="00631F96"/>
    <w:rsid w:val="00633A34"/>
    <w:rsid w:val="00634995"/>
    <w:rsid w:val="0063501A"/>
    <w:rsid w:val="0063538C"/>
    <w:rsid w:val="00635B87"/>
    <w:rsid w:val="00635FE6"/>
    <w:rsid w:val="00636C9A"/>
    <w:rsid w:val="006373D5"/>
    <w:rsid w:val="00637BDC"/>
    <w:rsid w:val="00637E70"/>
    <w:rsid w:val="00640DED"/>
    <w:rsid w:val="0064174E"/>
    <w:rsid w:val="00641DBB"/>
    <w:rsid w:val="00641E07"/>
    <w:rsid w:val="00643A15"/>
    <w:rsid w:val="00643D66"/>
    <w:rsid w:val="00644391"/>
    <w:rsid w:val="006447AC"/>
    <w:rsid w:val="00644A5D"/>
    <w:rsid w:val="006452DD"/>
    <w:rsid w:val="0064652C"/>
    <w:rsid w:val="00646B82"/>
    <w:rsid w:val="00646C58"/>
    <w:rsid w:val="006471AE"/>
    <w:rsid w:val="006472B3"/>
    <w:rsid w:val="0064754A"/>
    <w:rsid w:val="00647A62"/>
    <w:rsid w:val="00647B76"/>
    <w:rsid w:val="006518A4"/>
    <w:rsid w:val="00651A7D"/>
    <w:rsid w:val="0065236D"/>
    <w:rsid w:val="00652C93"/>
    <w:rsid w:val="006532C5"/>
    <w:rsid w:val="00655C32"/>
    <w:rsid w:val="00655E98"/>
    <w:rsid w:val="00656500"/>
    <w:rsid w:val="00661246"/>
    <w:rsid w:val="006613C6"/>
    <w:rsid w:val="00662509"/>
    <w:rsid w:val="00662691"/>
    <w:rsid w:val="00663DFF"/>
    <w:rsid w:val="00664396"/>
    <w:rsid w:val="00664CF1"/>
    <w:rsid w:val="006653CB"/>
    <w:rsid w:val="0066578C"/>
    <w:rsid w:val="00666280"/>
    <w:rsid w:val="00666370"/>
    <w:rsid w:val="00666A38"/>
    <w:rsid w:val="006675B5"/>
    <w:rsid w:val="006679C3"/>
    <w:rsid w:val="0067096C"/>
    <w:rsid w:val="00670DE2"/>
    <w:rsid w:val="006735F1"/>
    <w:rsid w:val="00673861"/>
    <w:rsid w:val="006741EB"/>
    <w:rsid w:val="0067461B"/>
    <w:rsid w:val="00674AB2"/>
    <w:rsid w:val="00674E79"/>
    <w:rsid w:val="006759B2"/>
    <w:rsid w:val="006764E3"/>
    <w:rsid w:val="00677DE5"/>
    <w:rsid w:val="0068026C"/>
    <w:rsid w:val="00680E2A"/>
    <w:rsid w:val="00680E9C"/>
    <w:rsid w:val="0068109D"/>
    <w:rsid w:val="006833BF"/>
    <w:rsid w:val="00683809"/>
    <w:rsid w:val="00683A0D"/>
    <w:rsid w:val="00683B03"/>
    <w:rsid w:val="00683DE7"/>
    <w:rsid w:val="00684600"/>
    <w:rsid w:val="006846FA"/>
    <w:rsid w:val="006847BA"/>
    <w:rsid w:val="006859EE"/>
    <w:rsid w:val="00687333"/>
    <w:rsid w:val="00687F28"/>
    <w:rsid w:val="00690031"/>
    <w:rsid w:val="00690E9F"/>
    <w:rsid w:val="00691F06"/>
    <w:rsid w:val="006920A4"/>
    <w:rsid w:val="0069257B"/>
    <w:rsid w:val="006936CC"/>
    <w:rsid w:val="006949B5"/>
    <w:rsid w:val="00694A00"/>
    <w:rsid w:val="0069563A"/>
    <w:rsid w:val="006956FE"/>
    <w:rsid w:val="00695C7B"/>
    <w:rsid w:val="00695D72"/>
    <w:rsid w:val="00696F54"/>
    <w:rsid w:val="0069787B"/>
    <w:rsid w:val="006A1F9F"/>
    <w:rsid w:val="006A38AD"/>
    <w:rsid w:val="006A419E"/>
    <w:rsid w:val="006A4360"/>
    <w:rsid w:val="006A4CF3"/>
    <w:rsid w:val="006A54B4"/>
    <w:rsid w:val="006B0BCB"/>
    <w:rsid w:val="006B0E15"/>
    <w:rsid w:val="006B16C9"/>
    <w:rsid w:val="006B1766"/>
    <w:rsid w:val="006B1E1B"/>
    <w:rsid w:val="006B2705"/>
    <w:rsid w:val="006B37D3"/>
    <w:rsid w:val="006B38FF"/>
    <w:rsid w:val="006B5314"/>
    <w:rsid w:val="006B5EE5"/>
    <w:rsid w:val="006B5F80"/>
    <w:rsid w:val="006B6E00"/>
    <w:rsid w:val="006B7D49"/>
    <w:rsid w:val="006C076F"/>
    <w:rsid w:val="006C0EB4"/>
    <w:rsid w:val="006C17CD"/>
    <w:rsid w:val="006C19C1"/>
    <w:rsid w:val="006C1B20"/>
    <w:rsid w:val="006C1C14"/>
    <w:rsid w:val="006C1F6F"/>
    <w:rsid w:val="006C2DCD"/>
    <w:rsid w:val="006C37EE"/>
    <w:rsid w:val="006C381A"/>
    <w:rsid w:val="006C4A7F"/>
    <w:rsid w:val="006C4F2D"/>
    <w:rsid w:val="006C4FE3"/>
    <w:rsid w:val="006C59D8"/>
    <w:rsid w:val="006C5C2C"/>
    <w:rsid w:val="006C6B20"/>
    <w:rsid w:val="006C7551"/>
    <w:rsid w:val="006D1EDA"/>
    <w:rsid w:val="006D2E8B"/>
    <w:rsid w:val="006D47D0"/>
    <w:rsid w:val="006D4883"/>
    <w:rsid w:val="006D5ECB"/>
    <w:rsid w:val="006D63EB"/>
    <w:rsid w:val="006D70C1"/>
    <w:rsid w:val="006E0175"/>
    <w:rsid w:val="006E1E4B"/>
    <w:rsid w:val="006E3247"/>
    <w:rsid w:val="006E3E87"/>
    <w:rsid w:val="006E4BA2"/>
    <w:rsid w:val="006E558B"/>
    <w:rsid w:val="006E5AF2"/>
    <w:rsid w:val="006E607D"/>
    <w:rsid w:val="006E6DA6"/>
    <w:rsid w:val="006E728D"/>
    <w:rsid w:val="006F0A84"/>
    <w:rsid w:val="006F1717"/>
    <w:rsid w:val="006F1775"/>
    <w:rsid w:val="006F26A6"/>
    <w:rsid w:val="006F368D"/>
    <w:rsid w:val="006F42A0"/>
    <w:rsid w:val="006F44CC"/>
    <w:rsid w:val="006F4BED"/>
    <w:rsid w:val="006F5E17"/>
    <w:rsid w:val="006F6868"/>
    <w:rsid w:val="00701403"/>
    <w:rsid w:val="0070191B"/>
    <w:rsid w:val="00701BD1"/>
    <w:rsid w:val="00702C5E"/>
    <w:rsid w:val="00702CC9"/>
    <w:rsid w:val="00703077"/>
    <w:rsid w:val="00703361"/>
    <w:rsid w:val="00704377"/>
    <w:rsid w:val="007043FD"/>
    <w:rsid w:val="007058A4"/>
    <w:rsid w:val="00705901"/>
    <w:rsid w:val="00705FF9"/>
    <w:rsid w:val="00706226"/>
    <w:rsid w:val="00706611"/>
    <w:rsid w:val="00706B83"/>
    <w:rsid w:val="0070708C"/>
    <w:rsid w:val="00711C72"/>
    <w:rsid w:val="0071238C"/>
    <w:rsid w:val="00713285"/>
    <w:rsid w:val="007138F5"/>
    <w:rsid w:val="00714144"/>
    <w:rsid w:val="00714570"/>
    <w:rsid w:val="00715133"/>
    <w:rsid w:val="00715511"/>
    <w:rsid w:val="0071610F"/>
    <w:rsid w:val="007167DB"/>
    <w:rsid w:val="00716996"/>
    <w:rsid w:val="00716B54"/>
    <w:rsid w:val="00716DD7"/>
    <w:rsid w:val="00717179"/>
    <w:rsid w:val="0071773B"/>
    <w:rsid w:val="00720DBE"/>
    <w:rsid w:val="00720E74"/>
    <w:rsid w:val="0072176B"/>
    <w:rsid w:val="00723754"/>
    <w:rsid w:val="00723B7E"/>
    <w:rsid w:val="00724107"/>
    <w:rsid w:val="007242D2"/>
    <w:rsid w:val="0072434A"/>
    <w:rsid w:val="007249E5"/>
    <w:rsid w:val="0072526E"/>
    <w:rsid w:val="00725B3F"/>
    <w:rsid w:val="00726046"/>
    <w:rsid w:val="00726AE0"/>
    <w:rsid w:val="007305CE"/>
    <w:rsid w:val="00730687"/>
    <w:rsid w:val="007307FF"/>
    <w:rsid w:val="007317E4"/>
    <w:rsid w:val="00731FA5"/>
    <w:rsid w:val="0073258B"/>
    <w:rsid w:val="007327CB"/>
    <w:rsid w:val="00732D89"/>
    <w:rsid w:val="007331C1"/>
    <w:rsid w:val="00733224"/>
    <w:rsid w:val="00733784"/>
    <w:rsid w:val="00733822"/>
    <w:rsid w:val="00735631"/>
    <w:rsid w:val="00735635"/>
    <w:rsid w:val="00735F84"/>
    <w:rsid w:val="007372ED"/>
    <w:rsid w:val="00740867"/>
    <w:rsid w:val="00742701"/>
    <w:rsid w:val="007441BA"/>
    <w:rsid w:val="00744732"/>
    <w:rsid w:val="00744F98"/>
    <w:rsid w:val="00745772"/>
    <w:rsid w:val="00745F7E"/>
    <w:rsid w:val="00746871"/>
    <w:rsid w:val="007469E5"/>
    <w:rsid w:val="00746D81"/>
    <w:rsid w:val="007479B7"/>
    <w:rsid w:val="00747D8A"/>
    <w:rsid w:val="007505F6"/>
    <w:rsid w:val="0075167B"/>
    <w:rsid w:val="00751C77"/>
    <w:rsid w:val="007526E5"/>
    <w:rsid w:val="0075283B"/>
    <w:rsid w:val="00752A27"/>
    <w:rsid w:val="00752C45"/>
    <w:rsid w:val="00753C9F"/>
    <w:rsid w:val="00753FDF"/>
    <w:rsid w:val="007540A8"/>
    <w:rsid w:val="0075487F"/>
    <w:rsid w:val="00755868"/>
    <w:rsid w:val="00756444"/>
    <w:rsid w:val="007569BF"/>
    <w:rsid w:val="00756CFD"/>
    <w:rsid w:val="00757534"/>
    <w:rsid w:val="007576A5"/>
    <w:rsid w:val="007577D2"/>
    <w:rsid w:val="007612B0"/>
    <w:rsid w:val="00761758"/>
    <w:rsid w:val="00761B2F"/>
    <w:rsid w:val="00761FA2"/>
    <w:rsid w:val="00762555"/>
    <w:rsid w:val="007627F5"/>
    <w:rsid w:val="00762A94"/>
    <w:rsid w:val="00762B46"/>
    <w:rsid w:val="00763063"/>
    <w:rsid w:val="007634E8"/>
    <w:rsid w:val="00764309"/>
    <w:rsid w:val="007650D5"/>
    <w:rsid w:val="00765702"/>
    <w:rsid w:val="00766371"/>
    <w:rsid w:val="0076736D"/>
    <w:rsid w:val="00767602"/>
    <w:rsid w:val="0077099D"/>
    <w:rsid w:val="00771ABE"/>
    <w:rsid w:val="00772E50"/>
    <w:rsid w:val="00772ED2"/>
    <w:rsid w:val="00773A80"/>
    <w:rsid w:val="00774288"/>
    <w:rsid w:val="007752CE"/>
    <w:rsid w:val="00775400"/>
    <w:rsid w:val="00775748"/>
    <w:rsid w:val="0077658F"/>
    <w:rsid w:val="00777210"/>
    <w:rsid w:val="00777302"/>
    <w:rsid w:val="007812F3"/>
    <w:rsid w:val="0078173C"/>
    <w:rsid w:val="00781B8E"/>
    <w:rsid w:val="00781F6D"/>
    <w:rsid w:val="00782A6C"/>
    <w:rsid w:val="007855F8"/>
    <w:rsid w:val="007858E0"/>
    <w:rsid w:val="0078610C"/>
    <w:rsid w:val="00786AED"/>
    <w:rsid w:val="00787122"/>
    <w:rsid w:val="00790875"/>
    <w:rsid w:val="00790E54"/>
    <w:rsid w:val="007912AF"/>
    <w:rsid w:val="007912BA"/>
    <w:rsid w:val="00791508"/>
    <w:rsid w:val="0079156D"/>
    <w:rsid w:val="007915F2"/>
    <w:rsid w:val="0079198C"/>
    <w:rsid w:val="00791A53"/>
    <w:rsid w:val="007938F5"/>
    <w:rsid w:val="007938FB"/>
    <w:rsid w:val="00793A1B"/>
    <w:rsid w:val="00793D48"/>
    <w:rsid w:val="00793FCF"/>
    <w:rsid w:val="0079521B"/>
    <w:rsid w:val="00797BB2"/>
    <w:rsid w:val="00797BF4"/>
    <w:rsid w:val="00797D15"/>
    <w:rsid w:val="007A1344"/>
    <w:rsid w:val="007A1496"/>
    <w:rsid w:val="007A1648"/>
    <w:rsid w:val="007A2015"/>
    <w:rsid w:val="007A221F"/>
    <w:rsid w:val="007A26A5"/>
    <w:rsid w:val="007A2A75"/>
    <w:rsid w:val="007A2B62"/>
    <w:rsid w:val="007A2F3E"/>
    <w:rsid w:val="007A2FA7"/>
    <w:rsid w:val="007A36A7"/>
    <w:rsid w:val="007A3EAE"/>
    <w:rsid w:val="007A51F3"/>
    <w:rsid w:val="007A5AE7"/>
    <w:rsid w:val="007A6D86"/>
    <w:rsid w:val="007A6FBB"/>
    <w:rsid w:val="007A7B9C"/>
    <w:rsid w:val="007B0C7B"/>
    <w:rsid w:val="007B14CC"/>
    <w:rsid w:val="007B19D7"/>
    <w:rsid w:val="007B1C61"/>
    <w:rsid w:val="007B1FD6"/>
    <w:rsid w:val="007B379E"/>
    <w:rsid w:val="007B3E6D"/>
    <w:rsid w:val="007B492A"/>
    <w:rsid w:val="007B62C4"/>
    <w:rsid w:val="007B6FF3"/>
    <w:rsid w:val="007B78D5"/>
    <w:rsid w:val="007B7F03"/>
    <w:rsid w:val="007C218A"/>
    <w:rsid w:val="007C235D"/>
    <w:rsid w:val="007C27DB"/>
    <w:rsid w:val="007C3758"/>
    <w:rsid w:val="007C50AC"/>
    <w:rsid w:val="007C549D"/>
    <w:rsid w:val="007C5B26"/>
    <w:rsid w:val="007C6230"/>
    <w:rsid w:val="007C6BC0"/>
    <w:rsid w:val="007C7845"/>
    <w:rsid w:val="007D00B1"/>
    <w:rsid w:val="007D0379"/>
    <w:rsid w:val="007D0C20"/>
    <w:rsid w:val="007D1613"/>
    <w:rsid w:val="007D1E55"/>
    <w:rsid w:val="007D2625"/>
    <w:rsid w:val="007D4428"/>
    <w:rsid w:val="007D4861"/>
    <w:rsid w:val="007D51A6"/>
    <w:rsid w:val="007D660E"/>
    <w:rsid w:val="007D68E6"/>
    <w:rsid w:val="007D706A"/>
    <w:rsid w:val="007D7639"/>
    <w:rsid w:val="007D7657"/>
    <w:rsid w:val="007D78FA"/>
    <w:rsid w:val="007D7DCE"/>
    <w:rsid w:val="007E0301"/>
    <w:rsid w:val="007E0342"/>
    <w:rsid w:val="007E1C1E"/>
    <w:rsid w:val="007E2042"/>
    <w:rsid w:val="007E2A94"/>
    <w:rsid w:val="007E2C9E"/>
    <w:rsid w:val="007E3584"/>
    <w:rsid w:val="007E425D"/>
    <w:rsid w:val="007E4A8C"/>
    <w:rsid w:val="007E5266"/>
    <w:rsid w:val="007E5966"/>
    <w:rsid w:val="007E677E"/>
    <w:rsid w:val="007E6CB6"/>
    <w:rsid w:val="007E72BD"/>
    <w:rsid w:val="007E7665"/>
    <w:rsid w:val="007E7B17"/>
    <w:rsid w:val="007F0568"/>
    <w:rsid w:val="007F158C"/>
    <w:rsid w:val="007F1704"/>
    <w:rsid w:val="007F1979"/>
    <w:rsid w:val="007F27F3"/>
    <w:rsid w:val="007F32C5"/>
    <w:rsid w:val="007F3367"/>
    <w:rsid w:val="007F3A60"/>
    <w:rsid w:val="007F4563"/>
    <w:rsid w:val="007F4AC2"/>
    <w:rsid w:val="007F4FB3"/>
    <w:rsid w:val="007F51F3"/>
    <w:rsid w:val="007F564B"/>
    <w:rsid w:val="007F5E5D"/>
    <w:rsid w:val="007F61C1"/>
    <w:rsid w:val="00800610"/>
    <w:rsid w:val="00800655"/>
    <w:rsid w:val="00800F04"/>
    <w:rsid w:val="00800FAA"/>
    <w:rsid w:val="008025F9"/>
    <w:rsid w:val="0080274D"/>
    <w:rsid w:val="00804008"/>
    <w:rsid w:val="0080415F"/>
    <w:rsid w:val="008043E2"/>
    <w:rsid w:val="008047EE"/>
    <w:rsid w:val="0080548D"/>
    <w:rsid w:val="00805D74"/>
    <w:rsid w:val="00806A08"/>
    <w:rsid w:val="00807A05"/>
    <w:rsid w:val="008107F2"/>
    <w:rsid w:val="0081148F"/>
    <w:rsid w:val="008120F7"/>
    <w:rsid w:val="00812472"/>
    <w:rsid w:val="00812556"/>
    <w:rsid w:val="0081397E"/>
    <w:rsid w:val="0081399F"/>
    <w:rsid w:val="008139F3"/>
    <w:rsid w:val="008147DB"/>
    <w:rsid w:val="00814F15"/>
    <w:rsid w:val="00814F22"/>
    <w:rsid w:val="00815BD0"/>
    <w:rsid w:val="00816481"/>
    <w:rsid w:val="00816A59"/>
    <w:rsid w:val="00817669"/>
    <w:rsid w:val="0082131B"/>
    <w:rsid w:val="00821504"/>
    <w:rsid w:val="008219A6"/>
    <w:rsid w:val="008219F2"/>
    <w:rsid w:val="00822160"/>
    <w:rsid w:val="0082283A"/>
    <w:rsid w:val="00823036"/>
    <w:rsid w:val="008230E2"/>
    <w:rsid w:val="00823146"/>
    <w:rsid w:val="008231C8"/>
    <w:rsid w:val="0082390E"/>
    <w:rsid w:val="00823C93"/>
    <w:rsid w:val="008244FF"/>
    <w:rsid w:val="00824799"/>
    <w:rsid w:val="00824A0D"/>
    <w:rsid w:val="00824BDF"/>
    <w:rsid w:val="00825C7D"/>
    <w:rsid w:val="00826C20"/>
    <w:rsid w:val="00827545"/>
    <w:rsid w:val="00827E79"/>
    <w:rsid w:val="00830E33"/>
    <w:rsid w:val="00831454"/>
    <w:rsid w:val="008315D2"/>
    <w:rsid w:val="00831BDB"/>
    <w:rsid w:val="00831C98"/>
    <w:rsid w:val="00832F12"/>
    <w:rsid w:val="0083482E"/>
    <w:rsid w:val="00836950"/>
    <w:rsid w:val="00836DBF"/>
    <w:rsid w:val="00836FCB"/>
    <w:rsid w:val="008370BD"/>
    <w:rsid w:val="008371F0"/>
    <w:rsid w:val="008374C0"/>
    <w:rsid w:val="0083758B"/>
    <w:rsid w:val="00837F9A"/>
    <w:rsid w:val="008408E6"/>
    <w:rsid w:val="00841262"/>
    <w:rsid w:val="00841708"/>
    <w:rsid w:val="00841736"/>
    <w:rsid w:val="00842853"/>
    <w:rsid w:val="00842B3B"/>
    <w:rsid w:val="00842F2A"/>
    <w:rsid w:val="00845621"/>
    <w:rsid w:val="008467FD"/>
    <w:rsid w:val="008470FD"/>
    <w:rsid w:val="0085022A"/>
    <w:rsid w:val="00851460"/>
    <w:rsid w:val="00853340"/>
    <w:rsid w:val="008543E9"/>
    <w:rsid w:val="00854EBA"/>
    <w:rsid w:val="00854FAB"/>
    <w:rsid w:val="00856086"/>
    <w:rsid w:val="00856EA1"/>
    <w:rsid w:val="00857392"/>
    <w:rsid w:val="00857A51"/>
    <w:rsid w:val="008607CC"/>
    <w:rsid w:val="00860CBB"/>
    <w:rsid w:val="00860D5F"/>
    <w:rsid w:val="00860DB3"/>
    <w:rsid w:val="0086112C"/>
    <w:rsid w:val="00861398"/>
    <w:rsid w:val="00861C0A"/>
    <w:rsid w:val="00862990"/>
    <w:rsid w:val="0086482E"/>
    <w:rsid w:val="00864B26"/>
    <w:rsid w:val="00864F0E"/>
    <w:rsid w:val="00865CAB"/>
    <w:rsid w:val="00865CDA"/>
    <w:rsid w:val="00866162"/>
    <w:rsid w:val="00866373"/>
    <w:rsid w:val="00867A26"/>
    <w:rsid w:val="00867E71"/>
    <w:rsid w:val="0087046F"/>
    <w:rsid w:val="00870A95"/>
    <w:rsid w:val="008713FF"/>
    <w:rsid w:val="0087307A"/>
    <w:rsid w:val="008743A4"/>
    <w:rsid w:val="00874A6F"/>
    <w:rsid w:val="00874BA2"/>
    <w:rsid w:val="00875F81"/>
    <w:rsid w:val="008763E1"/>
    <w:rsid w:val="0087675D"/>
    <w:rsid w:val="00876FE1"/>
    <w:rsid w:val="008772FE"/>
    <w:rsid w:val="00877B34"/>
    <w:rsid w:val="00877C13"/>
    <w:rsid w:val="008808DD"/>
    <w:rsid w:val="00881B55"/>
    <w:rsid w:val="00882C5E"/>
    <w:rsid w:val="008840C5"/>
    <w:rsid w:val="00886390"/>
    <w:rsid w:val="00886A93"/>
    <w:rsid w:val="00886FE6"/>
    <w:rsid w:val="008873CD"/>
    <w:rsid w:val="008900A8"/>
    <w:rsid w:val="008909BC"/>
    <w:rsid w:val="00890DCD"/>
    <w:rsid w:val="00891DDF"/>
    <w:rsid w:val="00891E7C"/>
    <w:rsid w:val="008927ED"/>
    <w:rsid w:val="0089327D"/>
    <w:rsid w:val="008942E5"/>
    <w:rsid w:val="00894309"/>
    <w:rsid w:val="008947BA"/>
    <w:rsid w:val="00894A09"/>
    <w:rsid w:val="00895162"/>
    <w:rsid w:val="00895186"/>
    <w:rsid w:val="00896B4A"/>
    <w:rsid w:val="008977A2"/>
    <w:rsid w:val="008A2308"/>
    <w:rsid w:val="008A3FCA"/>
    <w:rsid w:val="008A47E3"/>
    <w:rsid w:val="008A50F3"/>
    <w:rsid w:val="008A6715"/>
    <w:rsid w:val="008A6D94"/>
    <w:rsid w:val="008A73A6"/>
    <w:rsid w:val="008A79FB"/>
    <w:rsid w:val="008A7A75"/>
    <w:rsid w:val="008B0B88"/>
    <w:rsid w:val="008B5075"/>
    <w:rsid w:val="008B5FD0"/>
    <w:rsid w:val="008B6AF5"/>
    <w:rsid w:val="008B6D83"/>
    <w:rsid w:val="008B7B64"/>
    <w:rsid w:val="008C1109"/>
    <w:rsid w:val="008C12D5"/>
    <w:rsid w:val="008C1B2A"/>
    <w:rsid w:val="008C2142"/>
    <w:rsid w:val="008C269B"/>
    <w:rsid w:val="008C29F8"/>
    <w:rsid w:val="008C3261"/>
    <w:rsid w:val="008C3C8D"/>
    <w:rsid w:val="008C4F82"/>
    <w:rsid w:val="008C60F3"/>
    <w:rsid w:val="008C6618"/>
    <w:rsid w:val="008C69C3"/>
    <w:rsid w:val="008C7061"/>
    <w:rsid w:val="008C7229"/>
    <w:rsid w:val="008C7FA0"/>
    <w:rsid w:val="008D02CD"/>
    <w:rsid w:val="008D099F"/>
    <w:rsid w:val="008D2470"/>
    <w:rsid w:val="008D29E6"/>
    <w:rsid w:val="008D2F0B"/>
    <w:rsid w:val="008D30E4"/>
    <w:rsid w:val="008D33E7"/>
    <w:rsid w:val="008D3DD2"/>
    <w:rsid w:val="008D476D"/>
    <w:rsid w:val="008D4C99"/>
    <w:rsid w:val="008D5C93"/>
    <w:rsid w:val="008D5FA6"/>
    <w:rsid w:val="008D66D7"/>
    <w:rsid w:val="008D7FF9"/>
    <w:rsid w:val="008E0B18"/>
    <w:rsid w:val="008E0BDA"/>
    <w:rsid w:val="008E0EF8"/>
    <w:rsid w:val="008E29CA"/>
    <w:rsid w:val="008E29CD"/>
    <w:rsid w:val="008E3187"/>
    <w:rsid w:val="008E3195"/>
    <w:rsid w:val="008E3261"/>
    <w:rsid w:val="008E3683"/>
    <w:rsid w:val="008E66B1"/>
    <w:rsid w:val="008E7531"/>
    <w:rsid w:val="008F06E4"/>
    <w:rsid w:val="008F18BC"/>
    <w:rsid w:val="008F2328"/>
    <w:rsid w:val="008F245A"/>
    <w:rsid w:val="008F2E28"/>
    <w:rsid w:val="008F3039"/>
    <w:rsid w:val="008F3495"/>
    <w:rsid w:val="008F3B14"/>
    <w:rsid w:val="008F48AC"/>
    <w:rsid w:val="008F4B11"/>
    <w:rsid w:val="008F5458"/>
    <w:rsid w:val="008F549B"/>
    <w:rsid w:val="008F629B"/>
    <w:rsid w:val="008F634E"/>
    <w:rsid w:val="008F6568"/>
    <w:rsid w:val="008F7065"/>
    <w:rsid w:val="008F712B"/>
    <w:rsid w:val="008F76FF"/>
    <w:rsid w:val="00900B6E"/>
    <w:rsid w:val="00901372"/>
    <w:rsid w:val="0090184A"/>
    <w:rsid w:val="009019BE"/>
    <w:rsid w:val="00901D1D"/>
    <w:rsid w:val="0090235D"/>
    <w:rsid w:val="009027DF"/>
    <w:rsid w:val="00903C0C"/>
    <w:rsid w:val="00903E8D"/>
    <w:rsid w:val="0090527A"/>
    <w:rsid w:val="009053EC"/>
    <w:rsid w:val="00905DD0"/>
    <w:rsid w:val="00906129"/>
    <w:rsid w:val="00906AA8"/>
    <w:rsid w:val="00906E15"/>
    <w:rsid w:val="00907C70"/>
    <w:rsid w:val="00910108"/>
    <w:rsid w:val="00910486"/>
    <w:rsid w:val="00910EFA"/>
    <w:rsid w:val="0091194E"/>
    <w:rsid w:val="00911D65"/>
    <w:rsid w:val="00912515"/>
    <w:rsid w:val="00912A4C"/>
    <w:rsid w:val="00912C4C"/>
    <w:rsid w:val="00913285"/>
    <w:rsid w:val="00913908"/>
    <w:rsid w:val="00913940"/>
    <w:rsid w:val="009149C5"/>
    <w:rsid w:val="00915012"/>
    <w:rsid w:val="00915021"/>
    <w:rsid w:val="00916465"/>
    <w:rsid w:val="009169BB"/>
    <w:rsid w:val="00916AA6"/>
    <w:rsid w:val="009176AE"/>
    <w:rsid w:val="00917855"/>
    <w:rsid w:val="0091786A"/>
    <w:rsid w:val="00917889"/>
    <w:rsid w:val="00920151"/>
    <w:rsid w:val="00920EFA"/>
    <w:rsid w:val="009217C1"/>
    <w:rsid w:val="009218BC"/>
    <w:rsid w:val="00922B63"/>
    <w:rsid w:val="00923190"/>
    <w:rsid w:val="00924619"/>
    <w:rsid w:val="009247B5"/>
    <w:rsid w:val="009249D5"/>
    <w:rsid w:val="00924E3C"/>
    <w:rsid w:val="00924EE5"/>
    <w:rsid w:val="00925B2C"/>
    <w:rsid w:val="00925D60"/>
    <w:rsid w:val="0092689B"/>
    <w:rsid w:val="00927A02"/>
    <w:rsid w:val="009322CE"/>
    <w:rsid w:val="009340F0"/>
    <w:rsid w:val="00934252"/>
    <w:rsid w:val="00935906"/>
    <w:rsid w:val="00935C40"/>
    <w:rsid w:val="00937AB0"/>
    <w:rsid w:val="0094079A"/>
    <w:rsid w:val="00941228"/>
    <w:rsid w:val="00941ACC"/>
    <w:rsid w:val="00941D6B"/>
    <w:rsid w:val="00942373"/>
    <w:rsid w:val="009424AF"/>
    <w:rsid w:val="00942A8D"/>
    <w:rsid w:val="00942AF0"/>
    <w:rsid w:val="00942C61"/>
    <w:rsid w:val="00942F7D"/>
    <w:rsid w:val="00943E64"/>
    <w:rsid w:val="0094592C"/>
    <w:rsid w:val="00945FF8"/>
    <w:rsid w:val="0094615B"/>
    <w:rsid w:val="009476E1"/>
    <w:rsid w:val="009477E1"/>
    <w:rsid w:val="009479B0"/>
    <w:rsid w:val="0095033D"/>
    <w:rsid w:val="009507B2"/>
    <w:rsid w:val="00951A1E"/>
    <w:rsid w:val="00953A1E"/>
    <w:rsid w:val="00953BA8"/>
    <w:rsid w:val="0095494A"/>
    <w:rsid w:val="009558F6"/>
    <w:rsid w:val="00960887"/>
    <w:rsid w:val="0096162F"/>
    <w:rsid w:val="0096251E"/>
    <w:rsid w:val="00963CE7"/>
    <w:rsid w:val="00964734"/>
    <w:rsid w:val="00964DEB"/>
    <w:rsid w:val="00964F9F"/>
    <w:rsid w:val="00966AEE"/>
    <w:rsid w:val="009670F4"/>
    <w:rsid w:val="00967CC7"/>
    <w:rsid w:val="00970736"/>
    <w:rsid w:val="00971458"/>
    <w:rsid w:val="00972627"/>
    <w:rsid w:val="009742EC"/>
    <w:rsid w:val="00974B06"/>
    <w:rsid w:val="00975715"/>
    <w:rsid w:val="00975C52"/>
    <w:rsid w:val="0097649B"/>
    <w:rsid w:val="00976D04"/>
    <w:rsid w:val="00977180"/>
    <w:rsid w:val="0097728E"/>
    <w:rsid w:val="00977593"/>
    <w:rsid w:val="00980D0D"/>
    <w:rsid w:val="00980EFF"/>
    <w:rsid w:val="00981039"/>
    <w:rsid w:val="00981306"/>
    <w:rsid w:val="009815D5"/>
    <w:rsid w:val="00981710"/>
    <w:rsid w:val="00981C56"/>
    <w:rsid w:val="00982403"/>
    <w:rsid w:val="00982C17"/>
    <w:rsid w:val="00982C3D"/>
    <w:rsid w:val="0098328F"/>
    <w:rsid w:val="009834A6"/>
    <w:rsid w:val="00983C10"/>
    <w:rsid w:val="00984B65"/>
    <w:rsid w:val="00984CFA"/>
    <w:rsid w:val="00985328"/>
    <w:rsid w:val="009864D4"/>
    <w:rsid w:val="00986AB0"/>
    <w:rsid w:val="00986C2C"/>
    <w:rsid w:val="0098751A"/>
    <w:rsid w:val="00990ED6"/>
    <w:rsid w:val="00991036"/>
    <w:rsid w:val="0099194F"/>
    <w:rsid w:val="00991D67"/>
    <w:rsid w:val="00991DAE"/>
    <w:rsid w:val="009921A0"/>
    <w:rsid w:val="009923F5"/>
    <w:rsid w:val="00992715"/>
    <w:rsid w:val="00992945"/>
    <w:rsid w:val="00993E63"/>
    <w:rsid w:val="009940D7"/>
    <w:rsid w:val="009941DE"/>
    <w:rsid w:val="009947A7"/>
    <w:rsid w:val="00994D50"/>
    <w:rsid w:val="00995B55"/>
    <w:rsid w:val="00997842"/>
    <w:rsid w:val="00997B30"/>
    <w:rsid w:val="009A0D2B"/>
    <w:rsid w:val="009A1FBC"/>
    <w:rsid w:val="009A2F8B"/>
    <w:rsid w:val="009A3535"/>
    <w:rsid w:val="009A35F0"/>
    <w:rsid w:val="009A3EFA"/>
    <w:rsid w:val="009A40A6"/>
    <w:rsid w:val="009A42B0"/>
    <w:rsid w:val="009A4B9B"/>
    <w:rsid w:val="009A5163"/>
    <w:rsid w:val="009A7807"/>
    <w:rsid w:val="009B0020"/>
    <w:rsid w:val="009B078D"/>
    <w:rsid w:val="009B0A23"/>
    <w:rsid w:val="009B1278"/>
    <w:rsid w:val="009B3549"/>
    <w:rsid w:val="009B3CE8"/>
    <w:rsid w:val="009B4089"/>
    <w:rsid w:val="009B499C"/>
    <w:rsid w:val="009B65A6"/>
    <w:rsid w:val="009B65EB"/>
    <w:rsid w:val="009B7356"/>
    <w:rsid w:val="009B7EB1"/>
    <w:rsid w:val="009C0DAB"/>
    <w:rsid w:val="009C30C4"/>
    <w:rsid w:val="009C3685"/>
    <w:rsid w:val="009C3DAF"/>
    <w:rsid w:val="009C5165"/>
    <w:rsid w:val="009C56BC"/>
    <w:rsid w:val="009C629B"/>
    <w:rsid w:val="009C75C9"/>
    <w:rsid w:val="009C7B13"/>
    <w:rsid w:val="009D00BC"/>
    <w:rsid w:val="009D010E"/>
    <w:rsid w:val="009D11DD"/>
    <w:rsid w:val="009D12B3"/>
    <w:rsid w:val="009D192A"/>
    <w:rsid w:val="009D1A97"/>
    <w:rsid w:val="009D1F6B"/>
    <w:rsid w:val="009D262A"/>
    <w:rsid w:val="009D2EB1"/>
    <w:rsid w:val="009D3130"/>
    <w:rsid w:val="009D43AD"/>
    <w:rsid w:val="009D46DE"/>
    <w:rsid w:val="009D52F7"/>
    <w:rsid w:val="009D5947"/>
    <w:rsid w:val="009D5D43"/>
    <w:rsid w:val="009D6046"/>
    <w:rsid w:val="009D6800"/>
    <w:rsid w:val="009D6BBA"/>
    <w:rsid w:val="009D733E"/>
    <w:rsid w:val="009D73E9"/>
    <w:rsid w:val="009D7889"/>
    <w:rsid w:val="009D7E30"/>
    <w:rsid w:val="009E00D0"/>
    <w:rsid w:val="009E0C21"/>
    <w:rsid w:val="009E0D13"/>
    <w:rsid w:val="009E1918"/>
    <w:rsid w:val="009E1998"/>
    <w:rsid w:val="009E29E3"/>
    <w:rsid w:val="009E2F4D"/>
    <w:rsid w:val="009E3140"/>
    <w:rsid w:val="009E3B00"/>
    <w:rsid w:val="009E3E98"/>
    <w:rsid w:val="009E404F"/>
    <w:rsid w:val="009E4104"/>
    <w:rsid w:val="009E52CC"/>
    <w:rsid w:val="009E5483"/>
    <w:rsid w:val="009E5A1D"/>
    <w:rsid w:val="009E5CFB"/>
    <w:rsid w:val="009E60D9"/>
    <w:rsid w:val="009E6107"/>
    <w:rsid w:val="009E64B0"/>
    <w:rsid w:val="009E74BC"/>
    <w:rsid w:val="009E7669"/>
    <w:rsid w:val="009E7E40"/>
    <w:rsid w:val="009F0485"/>
    <w:rsid w:val="009F0878"/>
    <w:rsid w:val="009F0CD6"/>
    <w:rsid w:val="009F0E0B"/>
    <w:rsid w:val="009F0F1C"/>
    <w:rsid w:val="009F19A3"/>
    <w:rsid w:val="009F1D17"/>
    <w:rsid w:val="009F2F9E"/>
    <w:rsid w:val="009F2FE4"/>
    <w:rsid w:val="009F3988"/>
    <w:rsid w:val="009F4559"/>
    <w:rsid w:val="009F5780"/>
    <w:rsid w:val="009F5A47"/>
    <w:rsid w:val="009F6CEA"/>
    <w:rsid w:val="009F760A"/>
    <w:rsid w:val="009F7893"/>
    <w:rsid w:val="009F79C8"/>
    <w:rsid w:val="00A000F8"/>
    <w:rsid w:val="00A0043A"/>
    <w:rsid w:val="00A00AF2"/>
    <w:rsid w:val="00A01755"/>
    <w:rsid w:val="00A01AC7"/>
    <w:rsid w:val="00A01C3D"/>
    <w:rsid w:val="00A026AE"/>
    <w:rsid w:val="00A02799"/>
    <w:rsid w:val="00A02A6A"/>
    <w:rsid w:val="00A02FA4"/>
    <w:rsid w:val="00A032BF"/>
    <w:rsid w:val="00A0359C"/>
    <w:rsid w:val="00A0385E"/>
    <w:rsid w:val="00A049BE"/>
    <w:rsid w:val="00A0515C"/>
    <w:rsid w:val="00A069B4"/>
    <w:rsid w:val="00A06A38"/>
    <w:rsid w:val="00A06D65"/>
    <w:rsid w:val="00A06E52"/>
    <w:rsid w:val="00A072A9"/>
    <w:rsid w:val="00A112F5"/>
    <w:rsid w:val="00A116A0"/>
    <w:rsid w:val="00A122F7"/>
    <w:rsid w:val="00A125D2"/>
    <w:rsid w:val="00A1354D"/>
    <w:rsid w:val="00A13C2F"/>
    <w:rsid w:val="00A13DB5"/>
    <w:rsid w:val="00A1460B"/>
    <w:rsid w:val="00A15560"/>
    <w:rsid w:val="00A15ED6"/>
    <w:rsid w:val="00A164A3"/>
    <w:rsid w:val="00A16EAA"/>
    <w:rsid w:val="00A203FD"/>
    <w:rsid w:val="00A20878"/>
    <w:rsid w:val="00A208F0"/>
    <w:rsid w:val="00A20EA0"/>
    <w:rsid w:val="00A219AA"/>
    <w:rsid w:val="00A225A3"/>
    <w:rsid w:val="00A2330A"/>
    <w:rsid w:val="00A23365"/>
    <w:rsid w:val="00A2409B"/>
    <w:rsid w:val="00A244A1"/>
    <w:rsid w:val="00A24ECF"/>
    <w:rsid w:val="00A253D0"/>
    <w:rsid w:val="00A254B3"/>
    <w:rsid w:val="00A25BC3"/>
    <w:rsid w:val="00A266BD"/>
    <w:rsid w:val="00A279BE"/>
    <w:rsid w:val="00A27B2E"/>
    <w:rsid w:val="00A27FA4"/>
    <w:rsid w:val="00A30036"/>
    <w:rsid w:val="00A30194"/>
    <w:rsid w:val="00A3216F"/>
    <w:rsid w:val="00A33883"/>
    <w:rsid w:val="00A33B08"/>
    <w:rsid w:val="00A33BB9"/>
    <w:rsid w:val="00A34492"/>
    <w:rsid w:val="00A3521A"/>
    <w:rsid w:val="00A356C9"/>
    <w:rsid w:val="00A3616F"/>
    <w:rsid w:val="00A36F6E"/>
    <w:rsid w:val="00A37428"/>
    <w:rsid w:val="00A407AA"/>
    <w:rsid w:val="00A416C8"/>
    <w:rsid w:val="00A41DB2"/>
    <w:rsid w:val="00A42A8C"/>
    <w:rsid w:val="00A42B06"/>
    <w:rsid w:val="00A42B2A"/>
    <w:rsid w:val="00A4321B"/>
    <w:rsid w:val="00A44345"/>
    <w:rsid w:val="00A44D80"/>
    <w:rsid w:val="00A44DF0"/>
    <w:rsid w:val="00A45932"/>
    <w:rsid w:val="00A4689C"/>
    <w:rsid w:val="00A475B2"/>
    <w:rsid w:val="00A47A73"/>
    <w:rsid w:val="00A47F90"/>
    <w:rsid w:val="00A51B2E"/>
    <w:rsid w:val="00A522F7"/>
    <w:rsid w:val="00A52C96"/>
    <w:rsid w:val="00A538C3"/>
    <w:rsid w:val="00A53EC2"/>
    <w:rsid w:val="00A5409C"/>
    <w:rsid w:val="00A547E2"/>
    <w:rsid w:val="00A55395"/>
    <w:rsid w:val="00A55F88"/>
    <w:rsid w:val="00A5609B"/>
    <w:rsid w:val="00A56752"/>
    <w:rsid w:val="00A56CFE"/>
    <w:rsid w:val="00A576F7"/>
    <w:rsid w:val="00A57A67"/>
    <w:rsid w:val="00A57FF4"/>
    <w:rsid w:val="00A60AF6"/>
    <w:rsid w:val="00A60C6D"/>
    <w:rsid w:val="00A623EF"/>
    <w:rsid w:val="00A6310E"/>
    <w:rsid w:val="00A633E8"/>
    <w:rsid w:val="00A63D4C"/>
    <w:rsid w:val="00A6404E"/>
    <w:rsid w:val="00A647E2"/>
    <w:rsid w:val="00A648EF"/>
    <w:rsid w:val="00A64D60"/>
    <w:rsid w:val="00A654F4"/>
    <w:rsid w:val="00A66055"/>
    <w:rsid w:val="00A6644F"/>
    <w:rsid w:val="00A66ED0"/>
    <w:rsid w:val="00A67039"/>
    <w:rsid w:val="00A674F1"/>
    <w:rsid w:val="00A675DE"/>
    <w:rsid w:val="00A6784E"/>
    <w:rsid w:val="00A6786E"/>
    <w:rsid w:val="00A71405"/>
    <w:rsid w:val="00A719B0"/>
    <w:rsid w:val="00A71D97"/>
    <w:rsid w:val="00A71F31"/>
    <w:rsid w:val="00A72DE2"/>
    <w:rsid w:val="00A73657"/>
    <w:rsid w:val="00A74456"/>
    <w:rsid w:val="00A76FDE"/>
    <w:rsid w:val="00A779BB"/>
    <w:rsid w:val="00A80B86"/>
    <w:rsid w:val="00A80DDB"/>
    <w:rsid w:val="00A81D64"/>
    <w:rsid w:val="00A829B9"/>
    <w:rsid w:val="00A83471"/>
    <w:rsid w:val="00A844B4"/>
    <w:rsid w:val="00A858C8"/>
    <w:rsid w:val="00A85B19"/>
    <w:rsid w:val="00A86742"/>
    <w:rsid w:val="00A8684E"/>
    <w:rsid w:val="00A8783D"/>
    <w:rsid w:val="00A87E46"/>
    <w:rsid w:val="00A902ED"/>
    <w:rsid w:val="00A90A78"/>
    <w:rsid w:val="00A90F67"/>
    <w:rsid w:val="00A91715"/>
    <w:rsid w:val="00A92451"/>
    <w:rsid w:val="00A92A31"/>
    <w:rsid w:val="00A92D55"/>
    <w:rsid w:val="00A93440"/>
    <w:rsid w:val="00A937B5"/>
    <w:rsid w:val="00A93967"/>
    <w:rsid w:val="00A94C9E"/>
    <w:rsid w:val="00A95CBD"/>
    <w:rsid w:val="00A960F1"/>
    <w:rsid w:val="00A96260"/>
    <w:rsid w:val="00A97D81"/>
    <w:rsid w:val="00AA0017"/>
    <w:rsid w:val="00AA026A"/>
    <w:rsid w:val="00AA04E2"/>
    <w:rsid w:val="00AA0615"/>
    <w:rsid w:val="00AA120C"/>
    <w:rsid w:val="00AA238D"/>
    <w:rsid w:val="00AA2397"/>
    <w:rsid w:val="00AA3657"/>
    <w:rsid w:val="00AA526E"/>
    <w:rsid w:val="00AA5F33"/>
    <w:rsid w:val="00AA79F8"/>
    <w:rsid w:val="00AA7AB1"/>
    <w:rsid w:val="00AB0387"/>
    <w:rsid w:val="00AB09D7"/>
    <w:rsid w:val="00AB1294"/>
    <w:rsid w:val="00AB1403"/>
    <w:rsid w:val="00AB184C"/>
    <w:rsid w:val="00AB18A4"/>
    <w:rsid w:val="00AB1A32"/>
    <w:rsid w:val="00AB209D"/>
    <w:rsid w:val="00AB2227"/>
    <w:rsid w:val="00AB431D"/>
    <w:rsid w:val="00AB4554"/>
    <w:rsid w:val="00AB48A9"/>
    <w:rsid w:val="00AB4F8D"/>
    <w:rsid w:val="00AB6628"/>
    <w:rsid w:val="00AC0223"/>
    <w:rsid w:val="00AC11C3"/>
    <w:rsid w:val="00AC18E3"/>
    <w:rsid w:val="00AC240B"/>
    <w:rsid w:val="00AC3479"/>
    <w:rsid w:val="00AC34BD"/>
    <w:rsid w:val="00AC3679"/>
    <w:rsid w:val="00AC3AE6"/>
    <w:rsid w:val="00AC407B"/>
    <w:rsid w:val="00AC45A7"/>
    <w:rsid w:val="00AC4EFD"/>
    <w:rsid w:val="00AC53A3"/>
    <w:rsid w:val="00AC64D7"/>
    <w:rsid w:val="00AC65DF"/>
    <w:rsid w:val="00AC6FCC"/>
    <w:rsid w:val="00AC7475"/>
    <w:rsid w:val="00AC7551"/>
    <w:rsid w:val="00AC7A8E"/>
    <w:rsid w:val="00AD027A"/>
    <w:rsid w:val="00AD0283"/>
    <w:rsid w:val="00AD0B74"/>
    <w:rsid w:val="00AD1385"/>
    <w:rsid w:val="00AD1C95"/>
    <w:rsid w:val="00AD20D5"/>
    <w:rsid w:val="00AD228C"/>
    <w:rsid w:val="00AD2A80"/>
    <w:rsid w:val="00AD2D2A"/>
    <w:rsid w:val="00AD3BD6"/>
    <w:rsid w:val="00AD403B"/>
    <w:rsid w:val="00AD5681"/>
    <w:rsid w:val="00AD58D1"/>
    <w:rsid w:val="00AD5C48"/>
    <w:rsid w:val="00AD7B2C"/>
    <w:rsid w:val="00AD7D5F"/>
    <w:rsid w:val="00AD7F92"/>
    <w:rsid w:val="00AE092A"/>
    <w:rsid w:val="00AE0E02"/>
    <w:rsid w:val="00AE168C"/>
    <w:rsid w:val="00AE1803"/>
    <w:rsid w:val="00AE1C8C"/>
    <w:rsid w:val="00AE3418"/>
    <w:rsid w:val="00AE3C72"/>
    <w:rsid w:val="00AE4333"/>
    <w:rsid w:val="00AE4B82"/>
    <w:rsid w:val="00AE4C82"/>
    <w:rsid w:val="00AE5275"/>
    <w:rsid w:val="00AE5410"/>
    <w:rsid w:val="00AE651F"/>
    <w:rsid w:val="00AE67DE"/>
    <w:rsid w:val="00AE6C87"/>
    <w:rsid w:val="00AE741A"/>
    <w:rsid w:val="00AE741D"/>
    <w:rsid w:val="00AE788E"/>
    <w:rsid w:val="00AF0623"/>
    <w:rsid w:val="00AF0C3B"/>
    <w:rsid w:val="00AF133A"/>
    <w:rsid w:val="00AF2028"/>
    <w:rsid w:val="00AF244F"/>
    <w:rsid w:val="00AF25AD"/>
    <w:rsid w:val="00AF2D94"/>
    <w:rsid w:val="00AF2F41"/>
    <w:rsid w:val="00AF3239"/>
    <w:rsid w:val="00AF3F75"/>
    <w:rsid w:val="00AF491A"/>
    <w:rsid w:val="00AF4948"/>
    <w:rsid w:val="00AF4DF4"/>
    <w:rsid w:val="00AF4F01"/>
    <w:rsid w:val="00AF568C"/>
    <w:rsid w:val="00AF5708"/>
    <w:rsid w:val="00AF61C8"/>
    <w:rsid w:val="00AF76FF"/>
    <w:rsid w:val="00AF78BE"/>
    <w:rsid w:val="00B00C9F"/>
    <w:rsid w:val="00B01318"/>
    <w:rsid w:val="00B01552"/>
    <w:rsid w:val="00B01768"/>
    <w:rsid w:val="00B03924"/>
    <w:rsid w:val="00B04B14"/>
    <w:rsid w:val="00B050D8"/>
    <w:rsid w:val="00B052A9"/>
    <w:rsid w:val="00B053E5"/>
    <w:rsid w:val="00B05B44"/>
    <w:rsid w:val="00B066EE"/>
    <w:rsid w:val="00B06A12"/>
    <w:rsid w:val="00B070D6"/>
    <w:rsid w:val="00B077CF"/>
    <w:rsid w:val="00B10179"/>
    <w:rsid w:val="00B102BE"/>
    <w:rsid w:val="00B10DE3"/>
    <w:rsid w:val="00B10DEB"/>
    <w:rsid w:val="00B11271"/>
    <w:rsid w:val="00B1213E"/>
    <w:rsid w:val="00B123D2"/>
    <w:rsid w:val="00B12CFE"/>
    <w:rsid w:val="00B14234"/>
    <w:rsid w:val="00B1455E"/>
    <w:rsid w:val="00B14853"/>
    <w:rsid w:val="00B15ACA"/>
    <w:rsid w:val="00B16236"/>
    <w:rsid w:val="00B1712F"/>
    <w:rsid w:val="00B2032A"/>
    <w:rsid w:val="00B207B7"/>
    <w:rsid w:val="00B208D9"/>
    <w:rsid w:val="00B211BD"/>
    <w:rsid w:val="00B211CF"/>
    <w:rsid w:val="00B21476"/>
    <w:rsid w:val="00B216DF"/>
    <w:rsid w:val="00B2210C"/>
    <w:rsid w:val="00B227A9"/>
    <w:rsid w:val="00B22AF3"/>
    <w:rsid w:val="00B22EFB"/>
    <w:rsid w:val="00B23E5E"/>
    <w:rsid w:val="00B2450B"/>
    <w:rsid w:val="00B25B15"/>
    <w:rsid w:val="00B25C84"/>
    <w:rsid w:val="00B2615A"/>
    <w:rsid w:val="00B27432"/>
    <w:rsid w:val="00B276BF"/>
    <w:rsid w:val="00B300BA"/>
    <w:rsid w:val="00B30144"/>
    <w:rsid w:val="00B315AA"/>
    <w:rsid w:val="00B3214D"/>
    <w:rsid w:val="00B322D2"/>
    <w:rsid w:val="00B322EE"/>
    <w:rsid w:val="00B3317A"/>
    <w:rsid w:val="00B33227"/>
    <w:rsid w:val="00B3370E"/>
    <w:rsid w:val="00B33945"/>
    <w:rsid w:val="00B33E66"/>
    <w:rsid w:val="00B34060"/>
    <w:rsid w:val="00B341C2"/>
    <w:rsid w:val="00B347FE"/>
    <w:rsid w:val="00B352A8"/>
    <w:rsid w:val="00B3572E"/>
    <w:rsid w:val="00B36334"/>
    <w:rsid w:val="00B364EC"/>
    <w:rsid w:val="00B36ACF"/>
    <w:rsid w:val="00B37438"/>
    <w:rsid w:val="00B37A0C"/>
    <w:rsid w:val="00B37A8F"/>
    <w:rsid w:val="00B37DB8"/>
    <w:rsid w:val="00B37EE5"/>
    <w:rsid w:val="00B40902"/>
    <w:rsid w:val="00B41181"/>
    <w:rsid w:val="00B41B40"/>
    <w:rsid w:val="00B41CF2"/>
    <w:rsid w:val="00B42525"/>
    <w:rsid w:val="00B426FC"/>
    <w:rsid w:val="00B4271F"/>
    <w:rsid w:val="00B4284A"/>
    <w:rsid w:val="00B43FB8"/>
    <w:rsid w:val="00B454F6"/>
    <w:rsid w:val="00B459B6"/>
    <w:rsid w:val="00B45EA9"/>
    <w:rsid w:val="00B462C8"/>
    <w:rsid w:val="00B46528"/>
    <w:rsid w:val="00B467B5"/>
    <w:rsid w:val="00B47697"/>
    <w:rsid w:val="00B47B0A"/>
    <w:rsid w:val="00B500B7"/>
    <w:rsid w:val="00B504C0"/>
    <w:rsid w:val="00B5166B"/>
    <w:rsid w:val="00B531D7"/>
    <w:rsid w:val="00B54156"/>
    <w:rsid w:val="00B55709"/>
    <w:rsid w:val="00B55BC0"/>
    <w:rsid w:val="00B56648"/>
    <w:rsid w:val="00B566EE"/>
    <w:rsid w:val="00B567B9"/>
    <w:rsid w:val="00B5681E"/>
    <w:rsid w:val="00B57106"/>
    <w:rsid w:val="00B57AA2"/>
    <w:rsid w:val="00B60093"/>
    <w:rsid w:val="00B603A2"/>
    <w:rsid w:val="00B604B9"/>
    <w:rsid w:val="00B604FC"/>
    <w:rsid w:val="00B60591"/>
    <w:rsid w:val="00B614ED"/>
    <w:rsid w:val="00B6167D"/>
    <w:rsid w:val="00B6183B"/>
    <w:rsid w:val="00B61A8D"/>
    <w:rsid w:val="00B628AF"/>
    <w:rsid w:val="00B62E72"/>
    <w:rsid w:val="00B63517"/>
    <w:rsid w:val="00B6519C"/>
    <w:rsid w:val="00B654CA"/>
    <w:rsid w:val="00B65796"/>
    <w:rsid w:val="00B65BE3"/>
    <w:rsid w:val="00B66000"/>
    <w:rsid w:val="00B66168"/>
    <w:rsid w:val="00B66747"/>
    <w:rsid w:val="00B66F7D"/>
    <w:rsid w:val="00B7075A"/>
    <w:rsid w:val="00B72310"/>
    <w:rsid w:val="00B723F2"/>
    <w:rsid w:val="00B72479"/>
    <w:rsid w:val="00B73274"/>
    <w:rsid w:val="00B733FE"/>
    <w:rsid w:val="00B735C3"/>
    <w:rsid w:val="00B74C19"/>
    <w:rsid w:val="00B7599A"/>
    <w:rsid w:val="00B75D53"/>
    <w:rsid w:val="00B75F19"/>
    <w:rsid w:val="00B76DDA"/>
    <w:rsid w:val="00B77A75"/>
    <w:rsid w:val="00B77E9B"/>
    <w:rsid w:val="00B806C5"/>
    <w:rsid w:val="00B80CF1"/>
    <w:rsid w:val="00B81A41"/>
    <w:rsid w:val="00B82F26"/>
    <w:rsid w:val="00B84E75"/>
    <w:rsid w:val="00B863F3"/>
    <w:rsid w:val="00B87B45"/>
    <w:rsid w:val="00B87D06"/>
    <w:rsid w:val="00B87FF9"/>
    <w:rsid w:val="00B91934"/>
    <w:rsid w:val="00B91E5C"/>
    <w:rsid w:val="00B9274F"/>
    <w:rsid w:val="00B927AF"/>
    <w:rsid w:val="00B92858"/>
    <w:rsid w:val="00B928F4"/>
    <w:rsid w:val="00B93641"/>
    <w:rsid w:val="00B93847"/>
    <w:rsid w:val="00B93F2D"/>
    <w:rsid w:val="00B94FE8"/>
    <w:rsid w:val="00B95E4A"/>
    <w:rsid w:val="00B96DED"/>
    <w:rsid w:val="00BA0228"/>
    <w:rsid w:val="00BA127F"/>
    <w:rsid w:val="00BA1317"/>
    <w:rsid w:val="00BA41D6"/>
    <w:rsid w:val="00BA4EAB"/>
    <w:rsid w:val="00BA4EDB"/>
    <w:rsid w:val="00BA59DE"/>
    <w:rsid w:val="00BA62B5"/>
    <w:rsid w:val="00BA65EE"/>
    <w:rsid w:val="00BA70CB"/>
    <w:rsid w:val="00BA7288"/>
    <w:rsid w:val="00BB055B"/>
    <w:rsid w:val="00BB0A8F"/>
    <w:rsid w:val="00BB0C91"/>
    <w:rsid w:val="00BB13F5"/>
    <w:rsid w:val="00BB17D9"/>
    <w:rsid w:val="00BB22C8"/>
    <w:rsid w:val="00BB2E04"/>
    <w:rsid w:val="00BB3319"/>
    <w:rsid w:val="00BB391E"/>
    <w:rsid w:val="00BB4BE6"/>
    <w:rsid w:val="00BB7D97"/>
    <w:rsid w:val="00BC09EA"/>
    <w:rsid w:val="00BC0A0E"/>
    <w:rsid w:val="00BC1630"/>
    <w:rsid w:val="00BC283D"/>
    <w:rsid w:val="00BC2DE5"/>
    <w:rsid w:val="00BC53CB"/>
    <w:rsid w:val="00BC5F45"/>
    <w:rsid w:val="00BC6855"/>
    <w:rsid w:val="00BC765A"/>
    <w:rsid w:val="00BD0A41"/>
    <w:rsid w:val="00BD0FC2"/>
    <w:rsid w:val="00BD17C2"/>
    <w:rsid w:val="00BD1F87"/>
    <w:rsid w:val="00BD264F"/>
    <w:rsid w:val="00BD3054"/>
    <w:rsid w:val="00BD36DF"/>
    <w:rsid w:val="00BD3E53"/>
    <w:rsid w:val="00BD3F73"/>
    <w:rsid w:val="00BD45FC"/>
    <w:rsid w:val="00BD4BE7"/>
    <w:rsid w:val="00BD5D26"/>
    <w:rsid w:val="00BD65F1"/>
    <w:rsid w:val="00BD6E8D"/>
    <w:rsid w:val="00BD7185"/>
    <w:rsid w:val="00BD72CF"/>
    <w:rsid w:val="00BD72F6"/>
    <w:rsid w:val="00BE1114"/>
    <w:rsid w:val="00BE15A4"/>
    <w:rsid w:val="00BE2012"/>
    <w:rsid w:val="00BE2384"/>
    <w:rsid w:val="00BE2E45"/>
    <w:rsid w:val="00BE30D5"/>
    <w:rsid w:val="00BE3661"/>
    <w:rsid w:val="00BE4D64"/>
    <w:rsid w:val="00BE4E9B"/>
    <w:rsid w:val="00BE522C"/>
    <w:rsid w:val="00BE5BD7"/>
    <w:rsid w:val="00BE5C17"/>
    <w:rsid w:val="00BE5D23"/>
    <w:rsid w:val="00BE6009"/>
    <w:rsid w:val="00BF0283"/>
    <w:rsid w:val="00BF1841"/>
    <w:rsid w:val="00BF1DA8"/>
    <w:rsid w:val="00BF2A1D"/>
    <w:rsid w:val="00BF33CF"/>
    <w:rsid w:val="00BF34BD"/>
    <w:rsid w:val="00BF36B1"/>
    <w:rsid w:val="00BF3A35"/>
    <w:rsid w:val="00BF420D"/>
    <w:rsid w:val="00BF4601"/>
    <w:rsid w:val="00BF4EFF"/>
    <w:rsid w:val="00BF5A87"/>
    <w:rsid w:val="00BF5B00"/>
    <w:rsid w:val="00BF5B8B"/>
    <w:rsid w:val="00BF5F33"/>
    <w:rsid w:val="00BF628A"/>
    <w:rsid w:val="00BF6680"/>
    <w:rsid w:val="00BF739B"/>
    <w:rsid w:val="00BF7923"/>
    <w:rsid w:val="00BF7E84"/>
    <w:rsid w:val="00C003E2"/>
    <w:rsid w:val="00C00522"/>
    <w:rsid w:val="00C02388"/>
    <w:rsid w:val="00C02AF6"/>
    <w:rsid w:val="00C02C70"/>
    <w:rsid w:val="00C03ABB"/>
    <w:rsid w:val="00C03BA7"/>
    <w:rsid w:val="00C03BB9"/>
    <w:rsid w:val="00C0444A"/>
    <w:rsid w:val="00C04C71"/>
    <w:rsid w:val="00C050A4"/>
    <w:rsid w:val="00C05BA2"/>
    <w:rsid w:val="00C06947"/>
    <w:rsid w:val="00C0794E"/>
    <w:rsid w:val="00C10AC5"/>
    <w:rsid w:val="00C1194D"/>
    <w:rsid w:val="00C11EF9"/>
    <w:rsid w:val="00C1389B"/>
    <w:rsid w:val="00C13C00"/>
    <w:rsid w:val="00C155C1"/>
    <w:rsid w:val="00C15CE6"/>
    <w:rsid w:val="00C15D49"/>
    <w:rsid w:val="00C17087"/>
    <w:rsid w:val="00C17F8D"/>
    <w:rsid w:val="00C20104"/>
    <w:rsid w:val="00C203B7"/>
    <w:rsid w:val="00C20C81"/>
    <w:rsid w:val="00C20E4F"/>
    <w:rsid w:val="00C21253"/>
    <w:rsid w:val="00C21B5F"/>
    <w:rsid w:val="00C21F21"/>
    <w:rsid w:val="00C22E6F"/>
    <w:rsid w:val="00C22FFD"/>
    <w:rsid w:val="00C2381B"/>
    <w:rsid w:val="00C2399F"/>
    <w:rsid w:val="00C2450E"/>
    <w:rsid w:val="00C2482F"/>
    <w:rsid w:val="00C24963"/>
    <w:rsid w:val="00C251AF"/>
    <w:rsid w:val="00C252F0"/>
    <w:rsid w:val="00C25B7E"/>
    <w:rsid w:val="00C2640C"/>
    <w:rsid w:val="00C26E36"/>
    <w:rsid w:val="00C26FE5"/>
    <w:rsid w:val="00C27956"/>
    <w:rsid w:val="00C27CC7"/>
    <w:rsid w:val="00C310FA"/>
    <w:rsid w:val="00C31D91"/>
    <w:rsid w:val="00C32133"/>
    <w:rsid w:val="00C32861"/>
    <w:rsid w:val="00C3348D"/>
    <w:rsid w:val="00C33563"/>
    <w:rsid w:val="00C34772"/>
    <w:rsid w:val="00C35486"/>
    <w:rsid w:val="00C371A3"/>
    <w:rsid w:val="00C4037B"/>
    <w:rsid w:val="00C4059A"/>
    <w:rsid w:val="00C4065D"/>
    <w:rsid w:val="00C413EE"/>
    <w:rsid w:val="00C42B57"/>
    <w:rsid w:val="00C436F1"/>
    <w:rsid w:val="00C446DF"/>
    <w:rsid w:val="00C457D2"/>
    <w:rsid w:val="00C45ADF"/>
    <w:rsid w:val="00C460AE"/>
    <w:rsid w:val="00C464FB"/>
    <w:rsid w:val="00C47779"/>
    <w:rsid w:val="00C47852"/>
    <w:rsid w:val="00C50047"/>
    <w:rsid w:val="00C50571"/>
    <w:rsid w:val="00C51658"/>
    <w:rsid w:val="00C5339D"/>
    <w:rsid w:val="00C53522"/>
    <w:rsid w:val="00C53D91"/>
    <w:rsid w:val="00C5468B"/>
    <w:rsid w:val="00C54E57"/>
    <w:rsid w:val="00C54E7F"/>
    <w:rsid w:val="00C55388"/>
    <w:rsid w:val="00C566BC"/>
    <w:rsid w:val="00C56D16"/>
    <w:rsid w:val="00C57537"/>
    <w:rsid w:val="00C57980"/>
    <w:rsid w:val="00C57E90"/>
    <w:rsid w:val="00C57EB2"/>
    <w:rsid w:val="00C600A4"/>
    <w:rsid w:val="00C60790"/>
    <w:rsid w:val="00C60830"/>
    <w:rsid w:val="00C61782"/>
    <w:rsid w:val="00C6297D"/>
    <w:rsid w:val="00C62B76"/>
    <w:rsid w:val="00C633C3"/>
    <w:rsid w:val="00C63CE3"/>
    <w:rsid w:val="00C63E47"/>
    <w:rsid w:val="00C6518E"/>
    <w:rsid w:val="00C6552B"/>
    <w:rsid w:val="00C65D92"/>
    <w:rsid w:val="00C66107"/>
    <w:rsid w:val="00C66ECA"/>
    <w:rsid w:val="00C67206"/>
    <w:rsid w:val="00C6725F"/>
    <w:rsid w:val="00C67A15"/>
    <w:rsid w:val="00C70655"/>
    <w:rsid w:val="00C70A4C"/>
    <w:rsid w:val="00C710F2"/>
    <w:rsid w:val="00C72166"/>
    <w:rsid w:val="00C721D7"/>
    <w:rsid w:val="00C72667"/>
    <w:rsid w:val="00C72F8A"/>
    <w:rsid w:val="00C735A4"/>
    <w:rsid w:val="00C7404E"/>
    <w:rsid w:val="00C74877"/>
    <w:rsid w:val="00C76717"/>
    <w:rsid w:val="00C768C4"/>
    <w:rsid w:val="00C769BC"/>
    <w:rsid w:val="00C77472"/>
    <w:rsid w:val="00C805B8"/>
    <w:rsid w:val="00C80600"/>
    <w:rsid w:val="00C80ED5"/>
    <w:rsid w:val="00C81656"/>
    <w:rsid w:val="00C829D4"/>
    <w:rsid w:val="00C832AC"/>
    <w:rsid w:val="00C834B4"/>
    <w:rsid w:val="00C83CFA"/>
    <w:rsid w:val="00C847E9"/>
    <w:rsid w:val="00C849A2"/>
    <w:rsid w:val="00C84EAA"/>
    <w:rsid w:val="00C84F23"/>
    <w:rsid w:val="00C85B4F"/>
    <w:rsid w:val="00C85C52"/>
    <w:rsid w:val="00C862C3"/>
    <w:rsid w:val="00C87687"/>
    <w:rsid w:val="00C87D80"/>
    <w:rsid w:val="00C901EE"/>
    <w:rsid w:val="00C904E5"/>
    <w:rsid w:val="00C91255"/>
    <w:rsid w:val="00C913E7"/>
    <w:rsid w:val="00C918DA"/>
    <w:rsid w:val="00C9199C"/>
    <w:rsid w:val="00C91A36"/>
    <w:rsid w:val="00C91C04"/>
    <w:rsid w:val="00C91DB8"/>
    <w:rsid w:val="00C92A96"/>
    <w:rsid w:val="00C92BCD"/>
    <w:rsid w:val="00C92D9E"/>
    <w:rsid w:val="00C93394"/>
    <w:rsid w:val="00C936B6"/>
    <w:rsid w:val="00C93AF4"/>
    <w:rsid w:val="00C93E95"/>
    <w:rsid w:val="00C93EB8"/>
    <w:rsid w:val="00C93EBC"/>
    <w:rsid w:val="00C9497C"/>
    <w:rsid w:val="00C94DE3"/>
    <w:rsid w:val="00C9530D"/>
    <w:rsid w:val="00C95C1B"/>
    <w:rsid w:val="00C9698C"/>
    <w:rsid w:val="00C96AFE"/>
    <w:rsid w:val="00C96CF8"/>
    <w:rsid w:val="00C97B55"/>
    <w:rsid w:val="00C97E2C"/>
    <w:rsid w:val="00CA00ED"/>
    <w:rsid w:val="00CA03C2"/>
    <w:rsid w:val="00CA06AD"/>
    <w:rsid w:val="00CA12ED"/>
    <w:rsid w:val="00CA22EC"/>
    <w:rsid w:val="00CA2832"/>
    <w:rsid w:val="00CA3DDF"/>
    <w:rsid w:val="00CA3DE2"/>
    <w:rsid w:val="00CA3FFD"/>
    <w:rsid w:val="00CA5519"/>
    <w:rsid w:val="00CA55A0"/>
    <w:rsid w:val="00CA61B3"/>
    <w:rsid w:val="00CA66B8"/>
    <w:rsid w:val="00CA722D"/>
    <w:rsid w:val="00CA72C5"/>
    <w:rsid w:val="00CA78E9"/>
    <w:rsid w:val="00CB02D4"/>
    <w:rsid w:val="00CB03B1"/>
    <w:rsid w:val="00CB0823"/>
    <w:rsid w:val="00CB0A59"/>
    <w:rsid w:val="00CB180E"/>
    <w:rsid w:val="00CB1915"/>
    <w:rsid w:val="00CB1B1A"/>
    <w:rsid w:val="00CB2C2C"/>
    <w:rsid w:val="00CB2EC0"/>
    <w:rsid w:val="00CB3CFD"/>
    <w:rsid w:val="00CB3F8A"/>
    <w:rsid w:val="00CB40E4"/>
    <w:rsid w:val="00CB510C"/>
    <w:rsid w:val="00CB65B2"/>
    <w:rsid w:val="00CB67F8"/>
    <w:rsid w:val="00CB710F"/>
    <w:rsid w:val="00CB7E73"/>
    <w:rsid w:val="00CB7F5D"/>
    <w:rsid w:val="00CC0BE3"/>
    <w:rsid w:val="00CC19EA"/>
    <w:rsid w:val="00CC2026"/>
    <w:rsid w:val="00CC33A8"/>
    <w:rsid w:val="00CC361B"/>
    <w:rsid w:val="00CC3948"/>
    <w:rsid w:val="00CC4999"/>
    <w:rsid w:val="00CC54EC"/>
    <w:rsid w:val="00CC655F"/>
    <w:rsid w:val="00CC738E"/>
    <w:rsid w:val="00CC7905"/>
    <w:rsid w:val="00CC7ABA"/>
    <w:rsid w:val="00CD0176"/>
    <w:rsid w:val="00CD03F3"/>
    <w:rsid w:val="00CD078D"/>
    <w:rsid w:val="00CD09DC"/>
    <w:rsid w:val="00CD11EF"/>
    <w:rsid w:val="00CD120E"/>
    <w:rsid w:val="00CD222D"/>
    <w:rsid w:val="00CD23DE"/>
    <w:rsid w:val="00CD3D58"/>
    <w:rsid w:val="00CD5505"/>
    <w:rsid w:val="00CD5ADD"/>
    <w:rsid w:val="00CD6BD0"/>
    <w:rsid w:val="00CD722A"/>
    <w:rsid w:val="00CE00B0"/>
    <w:rsid w:val="00CE013B"/>
    <w:rsid w:val="00CE02D1"/>
    <w:rsid w:val="00CE0355"/>
    <w:rsid w:val="00CE081A"/>
    <w:rsid w:val="00CE1B83"/>
    <w:rsid w:val="00CE2258"/>
    <w:rsid w:val="00CE2A36"/>
    <w:rsid w:val="00CE2D6F"/>
    <w:rsid w:val="00CE4254"/>
    <w:rsid w:val="00CE44FC"/>
    <w:rsid w:val="00CE51BF"/>
    <w:rsid w:val="00CE54DF"/>
    <w:rsid w:val="00CE59D0"/>
    <w:rsid w:val="00CE5FBB"/>
    <w:rsid w:val="00CE6BFC"/>
    <w:rsid w:val="00CE743F"/>
    <w:rsid w:val="00CE7BA3"/>
    <w:rsid w:val="00CF16D9"/>
    <w:rsid w:val="00CF23EF"/>
    <w:rsid w:val="00CF2883"/>
    <w:rsid w:val="00CF3BE1"/>
    <w:rsid w:val="00CF4002"/>
    <w:rsid w:val="00CF4089"/>
    <w:rsid w:val="00CF4E3F"/>
    <w:rsid w:val="00CF5356"/>
    <w:rsid w:val="00CF584E"/>
    <w:rsid w:val="00CF6AF8"/>
    <w:rsid w:val="00CF7D97"/>
    <w:rsid w:val="00D028F2"/>
    <w:rsid w:val="00D032C0"/>
    <w:rsid w:val="00D0340F"/>
    <w:rsid w:val="00D035E2"/>
    <w:rsid w:val="00D03B76"/>
    <w:rsid w:val="00D03D2F"/>
    <w:rsid w:val="00D046ED"/>
    <w:rsid w:val="00D04FD8"/>
    <w:rsid w:val="00D05878"/>
    <w:rsid w:val="00D0594F"/>
    <w:rsid w:val="00D072F7"/>
    <w:rsid w:val="00D07BAF"/>
    <w:rsid w:val="00D11BE6"/>
    <w:rsid w:val="00D1261B"/>
    <w:rsid w:val="00D12E45"/>
    <w:rsid w:val="00D1424C"/>
    <w:rsid w:val="00D1439C"/>
    <w:rsid w:val="00D147BB"/>
    <w:rsid w:val="00D14919"/>
    <w:rsid w:val="00D14B65"/>
    <w:rsid w:val="00D152A8"/>
    <w:rsid w:val="00D152F5"/>
    <w:rsid w:val="00D155B5"/>
    <w:rsid w:val="00D16155"/>
    <w:rsid w:val="00D1690F"/>
    <w:rsid w:val="00D20043"/>
    <w:rsid w:val="00D20F1D"/>
    <w:rsid w:val="00D20F7E"/>
    <w:rsid w:val="00D213DF"/>
    <w:rsid w:val="00D218A0"/>
    <w:rsid w:val="00D21FB0"/>
    <w:rsid w:val="00D234E0"/>
    <w:rsid w:val="00D23C22"/>
    <w:rsid w:val="00D23EBA"/>
    <w:rsid w:val="00D24B3D"/>
    <w:rsid w:val="00D24EF2"/>
    <w:rsid w:val="00D25F69"/>
    <w:rsid w:val="00D26E20"/>
    <w:rsid w:val="00D27BDC"/>
    <w:rsid w:val="00D302A9"/>
    <w:rsid w:val="00D309AB"/>
    <w:rsid w:val="00D31560"/>
    <w:rsid w:val="00D31D2D"/>
    <w:rsid w:val="00D3240F"/>
    <w:rsid w:val="00D32611"/>
    <w:rsid w:val="00D32C76"/>
    <w:rsid w:val="00D333EB"/>
    <w:rsid w:val="00D33C5F"/>
    <w:rsid w:val="00D344AE"/>
    <w:rsid w:val="00D34CE4"/>
    <w:rsid w:val="00D35B23"/>
    <w:rsid w:val="00D35BBB"/>
    <w:rsid w:val="00D35F0E"/>
    <w:rsid w:val="00D36D55"/>
    <w:rsid w:val="00D36FD2"/>
    <w:rsid w:val="00D37EB1"/>
    <w:rsid w:val="00D4078E"/>
    <w:rsid w:val="00D41E04"/>
    <w:rsid w:val="00D42BE8"/>
    <w:rsid w:val="00D4395F"/>
    <w:rsid w:val="00D43E5D"/>
    <w:rsid w:val="00D44437"/>
    <w:rsid w:val="00D44B23"/>
    <w:rsid w:val="00D45F82"/>
    <w:rsid w:val="00D46913"/>
    <w:rsid w:val="00D4712B"/>
    <w:rsid w:val="00D47C83"/>
    <w:rsid w:val="00D50182"/>
    <w:rsid w:val="00D5041C"/>
    <w:rsid w:val="00D5051D"/>
    <w:rsid w:val="00D5090E"/>
    <w:rsid w:val="00D53565"/>
    <w:rsid w:val="00D53980"/>
    <w:rsid w:val="00D53AA5"/>
    <w:rsid w:val="00D543C7"/>
    <w:rsid w:val="00D55B18"/>
    <w:rsid w:val="00D6015C"/>
    <w:rsid w:val="00D602BF"/>
    <w:rsid w:val="00D604F9"/>
    <w:rsid w:val="00D609D8"/>
    <w:rsid w:val="00D611BB"/>
    <w:rsid w:val="00D624F0"/>
    <w:rsid w:val="00D62673"/>
    <w:rsid w:val="00D6306C"/>
    <w:rsid w:val="00D63D50"/>
    <w:rsid w:val="00D64606"/>
    <w:rsid w:val="00D70C5F"/>
    <w:rsid w:val="00D71240"/>
    <w:rsid w:val="00D714DF"/>
    <w:rsid w:val="00D71618"/>
    <w:rsid w:val="00D719EE"/>
    <w:rsid w:val="00D71DBF"/>
    <w:rsid w:val="00D7291A"/>
    <w:rsid w:val="00D72ACF"/>
    <w:rsid w:val="00D7305D"/>
    <w:rsid w:val="00D74CD0"/>
    <w:rsid w:val="00D76DC8"/>
    <w:rsid w:val="00D80800"/>
    <w:rsid w:val="00D80C5E"/>
    <w:rsid w:val="00D81A2D"/>
    <w:rsid w:val="00D8293E"/>
    <w:rsid w:val="00D8317B"/>
    <w:rsid w:val="00D833C1"/>
    <w:rsid w:val="00D83D0E"/>
    <w:rsid w:val="00D84D64"/>
    <w:rsid w:val="00D85059"/>
    <w:rsid w:val="00D85225"/>
    <w:rsid w:val="00D85338"/>
    <w:rsid w:val="00D85669"/>
    <w:rsid w:val="00D85B0C"/>
    <w:rsid w:val="00D8650D"/>
    <w:rsid w:val="00D865F5"/>
    <w:rsid w:val="00D86CBA"/>
    <w:rsid w:val="00D8719B"/>
    <w:rsid w:val="00D87623"/>
    <w:rsid w:val="00D87836"/>
    <w:rsid w:val="00D906C5"/>
    <w:rsid w:val="00D91CF9"/>
    <w:rsid w:val="00D91F32"/>
    <w:rsid w:val="00D92047"/>
    <w:rsid w:val="00D92B29"/>
    <w:rsid w:val="00D92C6E"/>
    <w:rsid w:val="00D92D49"/>
    <w:rsid w:val="00D9568B"/>
    <w:rsid w:val="00D9599D"/>
    <w:rsid w:val="00D95AF2"/>
    <w:rsid w:val="00D95E98"/>
    <w:rsid w:val="00D9625A"/>
    <w:rsid w:val="00D96588"/>
    <w:rsid w:val="00D96AE9"/>
    <w:rsid w:val="00D96FFD"/>
    <w:rsid w:val="00DA09DE"/>
    <w:rsid w:val="00DA09E4"/>
    <w:rsid w:val="00DA1860"/>
    <w:rsid w:val="00DA1C52"/>
    <w:rsid w:val="00DA27CC"/>
    <w:rsid w:val="00DA28AF"/>
    <w:rsid w:val="00DA2F01"/>
    <w:rsid w:val="00DA318E"/>
    <w:rsid w:val="00DA39D6"/>
    <w:rsid w:val="00DA3B95"/>
    <w:rsid w:val="00DA3F36"/>
    <w:rsid w:val="00DA5201"/>
    <w:rsid w:val="00DA5B63"/>
    <w:rsid w:val="00DA5B6C"/>
    <w:rsid w:val="00DA6291"/>
    <w:rsid w:val="00DA665F"/>
    <w:rsid w:val="00DA7CB7"/>
    <w:rsid w:val="00DA7DD4"/>
    <w:rsid w:val="00DA7E20"/>
    <w:rsid w:val="00DA7EAD"/>
    <w:rsid w:val="00DB0662"/>
    <w:rsid w:val="00DB14E8"/>
    <w:rsid w:val="00DB16D7"/>
    <w:rsid w:val="00DB1E8F"/>
    <w:rsid w:val="00DB2852"/>
    <w:rsid w:val="00DB3904"/>
    <w:rsid w:val="00DB3DAE"/>
    <w:rsid w:val="00DB4976"/>
    <w:rsid w:val="00DB4D2B"/>
    <w:rsid w:val="00DB4D31"/>
    <w:rsid w:val="00DB581D"/>
    <w:rsid w:val="00DB5ABD"/>
    <w:rsid w:val="00DB5C77"/>
    <w:rsid w:val="00DB5DA1"/>
    <w:rsid w:val="00DB6CEE"/>
    <w:rsid w:val="00DB7B0C"/>
    <w:rsid w:val="00DC0521"/>
    <w:rsid w:val="00DC176E"/>
    <w:rsid w:val="00DC18E8"/>
    <w:rsid w:val="00DC2F0E"/>
    <w:rsid w:val="00DC32AA"/>
    <w:rsid w:val="00DC3D3B"/>
    <w:rsid w:val="00DC5749"/>
    <w:rsid w:val="00DC5B58"/>
    <w:rsid w:val="00DC6CCF"/>
    <w:rsid w:val="00DC740A"/>
    <w:rsid w:val="00DD0BAE"/>
    <w:rsid w:val="00DD0E61"/>
    <w:rsid w:val="00DD1617"/>
    <w:rsid w:val="00DD17CA"/>
    <w:rsid w:val="00DD1CC1"/>
    <w:rsid w:val="00DD2A02"/>
    <w:rsid w:val="00DD4866"/>
    <w:rsid w:val="00DD4AE1"/>
    <w:rsid w:val="00DD5B61"/>
    <w:rsid w:val="00DD7F1B"/>
    <w:rsid w:val="00DE0927"/>
    <w:rsid w:val="00DE18D2"/>
    <w:rsid w:val="00DE1B1F"/>
    <w:rsid w:val="00DE23B7"/>
    <w:rsid w:val="00DE2B3B"/>
    <w:rsid w:val="00DE2E90"/>
    <w:rsid w:val="00DE3EE7"/>
    <w:rsid w:val="00DE4F2D"/>
    <w:rsid w:val="00DE5DDB"/>
    <w:rsid w:val="00DE5F91"/>
    <w:rsid w:val="00DE6222"/>
    <w:rsid w:val="00DE679F"/>
    <w:rsid w:val="00DE784E"/>
    <w:rsid w:val="00DF02E8"/>
    <w:rsid w:val="00DF04CE"/>
    <w:rsid w:val="00DF0BB8"/>
    <w:rsid w:val="00DF0DCD"/>
    <w:rsid w:val="00DF24DE"/>
    <w:rsid w:val="00DF2EA6"/>
    <w:rsid w:val="00DF2F92"/>
    <w:rsid w:val="00DF3763"/>
    <w:rsid w:val="00DF3F2B"/>
    <w:rsid w:val="00DF4209"/>
    <w:rsid w:val="00DF4520"/>
    <w:rsid w:val="00DF4689"/>
    <w:rsid w:val="00DF4780"/>
    <w:rsid w:val="00DF5B61"/>
    <w:rsid w:val="00DF64B9"/>
    <w:rsid w:val="00DF6C6E"/>
    <w:rsid w:val="00DF7188"/>
    <w:rsid w:val="00DF739C"/>
    <w:rsid w:val="00DF75EF"/>
    <w:rsid w:val="00DF77FD"/>
    <w:rsid w:val="00DF7F1C"/>
    <w:rsid w:val="00E000A2"/>
    <w:rsid w:val="00E00197"/>
    <w:rsid w:val="00E00AFD"/>
    <w:rsid w:val="00E011CD"/>
    <w:rsid w:val="00E0272D"/>
    <w:rsid w:val="00E029B6"/>
    <w:rsid w:val="00E03098"/>
    <w:rsid w:val="00E03368"/>
    <w:rsid w:val="00E048F5"/>
    <w:rsid w:val="00E04ECA"/>
    <w:rsid w:val="00E05484"/>
    <w:rsid w:val="00E05726"/>
    <w:rsid w:val="00E0578B"/>
    <w:rsid w:val="00E05BD6"/>
    <w:rsid w:val="00E05F03"/>
    <w:rsid w:val="00E0665F"/>
    <w:rsid w:val="00E070D0"/>
    <w:rsid w:val="00E071CE"/>
    <w:rsid w:val="00E102FF"/>
    <w:rsid w:val="00E114A4"/>
    <w:rsid w:val="00E12341"/>
    <w:rsid w:val="00E12406"/>
    <w:rsid w:val="00E1286A"/>
    <w:rsid w:val="00E12952"/>
    <w:rsid w:val="00E12D45"/>
    <w:rsid w:val="00E1369B"/>
    <w:rsid w:val="00E138F0"/>
    <w:rsid w:val="00E13D22"/>
    <w:rsid w:val="00E1426F"/>
    <w:rsid w:val="00E15595"/>
    <w:rsid w:val="00E1639D"/>
    <w:rsid w:val="00E16A62"/>
    <w:rsid w:val="00E16FAB"/>
    <w:rsid w:val="00E17807"/>
    <w:rsid w:val="00E20345"/>
    <w:rsid w:val="00E20D19"/>
    <w:rsid w:val="00E20F9A"/>
    <w:rsid w:val="00E217C6"/>
    <w:rsid w:val="00E21E93"/>
    <w:rsid w:val="00E22D67"/>
    <w:rsid w:val="00E23624"/>
    <w:rsid w:val="00E23A26"/>
    <w:rsid w:val="00E23E49"/>
    <w:rsid w:val="00E23EB7"/>
    <w:rsid w:val="00E240FF"/>
    <w:rsid w:val="00E250CC"/>
    <w:rsid w:val="00E26363"/>
    <w:rsid w:val="00E2659B"/>
    <w:rsid w:val="00E26603"/>
    <w:rsid w:val="00E2692A"/>
    <w:rsid w:val="00E269E3"/>
    <w:rsid w:val="00E279FF"/>
    <w:rsid w:val="00E3015B"/>
    <w:rsid w:val="00E31B0F"/>
    <w:rsid w:val="00E32ED0"/>
    <w:rsid w:val="00E33521"/>
    <w:rsid w:val="00E34FE4"/>
    <w:rsid w:val="00E35E22"/>
    <w:rsid w:val="00E362C1"/>
    <w:rsid w:val="00E3669C"/>
    <w:rsid w:val="00E366CB"/>
    <w:rsid w:val="00E36CEE"/>
    <w:rsid w:val="00E36E7E"/>
    <w:rsid w:val="00E37A48"/>
    <w:rsid w:val="00E37D7D"/>
    <w:rsid w:val="00E40056"/>
    <w:rsid w:val="00E40820"/>
    <w:rsid w:val="00E417DD"/>
    <w:rsid w:val="00E419CF"/>
    <w:rsid w:val="00E41E5C"/>
    <w:rsid w:val="00E4243A"/>
    <w:rsid w:val="00E43A2C"/>
    <w:rsid w:val="00E44075"/>
    <w:rsid w:val="00E450AD"/>
    <w:rsid w:val="00E45D8F"/>
    <w:rsid w:val="00E46CE7"/>
    <w:rsid w:val="00E47081"/>
    <w:rsid w:val="00E4730A"/>
    <w:rsid w:val="00E50A7E"/>
    <w:rsid w:val="00E50DF2"/>
    <w:rsid w:val="00E51A37"/>
    <w:rsid w:val="00E51AC6"/>
    <w:rsid w:val="00E52D20"/>
    <w:rsid w:val="00E5317B"/>
    <w:rsid w:val="00E536BF"/>
    <w:rsid w:val="00E544FE"/>
    <w:rsid w:val="00E54721"/>
    <w:rsid w:val="00E55792"/>
    <w:rsid w:val="00E55C86"/>
    <w:rsid w:val="00E60069"/>
    <w:rsid w:val="00E603C1"/>
    <w:rsid w:val="00E62670"/>
    <w:rsid w:val="00E627EB"/>
    <w:rsid w:val="00E62BAF"/>
    <w:rsid w:val="00E642B3"/>
    <w:rsid w:val="00E6472D"/>
    <w:rsid w:val="00E656D8"/>
    <w:rsid w:val="00E65BA3"/>
    <w:rsid w:val="00E65BE5"/>
    <w:rsid w:val="00E65C6D"/>
    <w:rsid w:val="00E66479"/>
    <w:rsid w:val="00E66943"/>
    <w:rsid w:val="00E6789F"/>
    <w:rsid w:val="00E67A78"/>
    <w:rsid w:val="00E67BF9"/>
    <w:rsid w:val="00E70DE3"/>
    <w:rsid w:val="00E713A8"/>
    <w:rsid w:val="00E713D6"/>
    <w:rsid w:val="00E71BA1"/>
    <w:rsid w:val="00E72210"/>
    <w:rsid w:val="00E72390"/>
    <w:rsid w:val="00E72671"/>
    <w:rsid w:val="00E73115"/>
    <w:rsid w:val="00E7319B"/>
    <w:rsid w:val="00E73C26"/>
    <w:rsid w:val="00E73C2F"/>
    <w:rsid w:val="00E74207"/>
    <w:rsid w:val="00E742FA"/>
    <w:rsid w:val="00E744B1"/>
    <w:rsid w:val="00E74912"/>
    <w:rsid w:val="00E751E4"/>
    <w:rsid w:val="00E75B16"/>
    <w:rsid w:val="00E75B61"/>
    <w:rsid w:val="00E7642C"/>
    <w:rsid w:val="00E77009"/>
    <w:rsid w:val="00E80149"/>
    <w:rsid w:val="00E809FF"/>
    <w:rsid w:val="00E815D1"/>
    <w:rsid w:val="00E826BE"/>
    <w:rsid w:val="00E829B4"/>
    <w:rsid w:val="00E83A31"/>
    <w:rsid w:val="00E83D92"/>
    <w:rsid w:val="00E8448D"/>
    <w:rsid w:val="00E84B12"/>
    <w:rsid w:val="00E86930"/>
    <w:rsid w:val="00E86ADA"/>
    <w:rsid w:val="00E872D2"/>
    <w:rsid w:val="00E87A6C"/>
    <w:rsid w:val="00E87B82"/>
    <w:rsid w:val="00E87DB5"/>
    <w:rsid w:val="00E90159"/>
    <w:rsid w:val="00E901F1"/>
    <w:rsid w:val="00E90284"/>
    <w:rsid w:val="00E906B9"/>
    <w:rsid w:val="00E91A7D"/>
    <w:rsid w:val="00E91F81"/>
    <w:rsid w:val="00E92609"/>
    <w:rsid w:val="00E9289F"/>
    <w:rsid w:val="00E93323"/>
    <w:rsid w:val="00E937F3"/>
    <w:rsid w:val="00E94076"/>
    <w:rsid w:val="00E94327"/>
    <w:rsid w:val="00E9489C"/>
    <w:rsid w:val="00E94FA6"/>
    <w:rsid w:val="00E956CF"/>
    <w:rsid w:val="00E95A88"/>
    <w:rsid w:val="00E96A36"/>
    <w:rsid w:val="00E96B47"/>
    <w:rsid w:val="00E96DE3"/>
    <w:rsid w:val="00E9732B"/>
    <w:rsid w:val="00E9760C"/>
    <w:rsid w:val="00E97A48"/>
    <w:rsid w:val="00EA03D0"/>
    <w:rsid w:val="00EA03F2"/>
    <w:rsid w:val="00EA0D4F"/>
    <w:rsid w:val="00EA0D71"/>
    <w:rsid w:val="00EA1967"/>
    <w:rsid w:val="00EA1EE5"/>
    <w:rsid w:val="00EA3F70"/>
    <w:rsid w:val="00EA5715"/>
    <w:rsid w:val="00EA647B"/>
    <w:rsid w:val="00EA6F86"/>
    <w:rsid w:val="00EA751A"/>
    <w:rsid w:val="00EA7AB9"/>
    <w:rsid w:val="00EB00B6"/>
    <w:rsid w:val="00EB0152"/>
    <w:rsid w:val="00EB24A9"/>
    <w:rsid w:val="00EB4628"/>
    <w:rsid w:val="00EB4792"/>
    <w:rsid w:val="00EB4858"/>
    <w:rsid w:val="00EB4AE8"/>
    <w:rsid w:val="00EB5029"/>
    <w:rsid w:val="00EB5A40"/>
    <w:rsid w:val="00EB6476"/>
    <w:rsid w:val="00EB686C"/>
    <w:rsid w:val="00EC00E1"/>
    <w:rsid w:val="00EC0FC5"/>
    <w:rsid w:val="00EC10F4"/>
    <w:rsid w:val="00EC1CDA"/>
    <w:rsid w:val="00EC1F87"/>
    <w:rsid w:val="00EC2951"/>
    <w:rsid w:val="00EC2C6D"/>
    <w:rsid w:val="00EC2F61"/>
    <w:rsid w:val="00EC3965"/>
    <w:rsid w:val="00EC39FD"/>
    <w:rsid w:val="00EC3B98"/>
    <w:rsid w:val="00EC3D7A"/>
    <w:rsid w:val="00EC463C"/>
    <w:rsid w:val="00EC4C75"/>
    <w:rsid w:val="00EC4D24"/>
    <w:rsid w:val="00EC562D"/>
    <w:rsid w:val="00EC604E"/>
    <w:rsid w:val="00EC685F"/>
    <w:rsid w:val="00EC75E1"/>
    <w:rsid w:val="00EC773A"/>
    <w:rsid w:val="00ED1C10"/>
    <w:rsid w:val="00ED1D7E"/>
    <w:rsid w:val="00ED27AC"/>
    <w:rsid w:val="00ED2BB0"/>
    <w:rsid w:val="00ED3E39"/>
    <w:rsid w:val="00ED4258"/>
    <w:rsid w:val="00ED52C2"/>
    <w:rsid w:val="00ED52E2"/>
    <w:rsid w:val="00ED6B80"/>
    <w:rsid w:val="00ED6F08"/>
    <w:rsid w:val="00ED73A7"/>
    <w:rsid w:val="00ED7676"/>
    <w:rsid w:val="00ED76EA"/>
    <w:rsid w:val="00ED7CFE"/>
    <w:rsid w:val="00EE1034"/>
    <w:rsid w:val="00EE14B9"/>
    <w:rsid w:val="00EE1507"/>
    <w:rsid w:val="00EE15FF"/>
    <w:rsid w:val="00EE1E77"/>
    <w:rsid w:val="00EE2094"/>
    <w:rsid w:val="00EE27C9"/>
    <w:rsid w:val="00EE28A1"/>
    <w:rsid w:val="00EE3924"/>
    <w:rsid w:val="00EE3986"/>
    <w:rsid w:val="00EE41F9"/>
    <w:rsid w:val="00EE4341"/>
    <w:rsid w:val="00EE49B3"/>
    <w:rsid w:val="00EE4A55"/>
    <w:rsid w:val="00EE4B15"/>
    <w:rsid w:val="00EE4E83"/>
    <w:rsid w:val="00EE4EAC"/>
    <w:rsid w:val="00EE54BE"/>
    <w:rsid w:val="00EE64DE"/>
    <w:rsid w:val="00EE6711"/>
    <w:rsid w:val="00EE71C4"/>
    <w:rsid w:val="00EE7836"/>
    <w:rsid w:val="00EE788F"/>
    <w:rsid w:val="00EE7C44"/>
    <w:rsid w:val="00EE7DB2"/>
    <w:rsid w:val="00EE7DC5"/>
    <w:rsid w:val="00EF084A"/>
    <w:rsid w:val="00EF0B54"/>
    <w:rsid w:val="00EF0C84"/>
    <w:rsid w:val="00EF10DF"/>
    <w:rsid w:val="00EF12F7"/>
    <w:rsid w:val="00EF27AB"/>
    <w:rsid w:val="00EF425F"/>
    <w:rsid w:val="00EF4385"/>
    <w:rsid w:val="00EF4431"/>
    <w:rsid w:val="00EF4597"/>
    <w:rsid w:val="00EF4C4D"/>
    <w:rsid w:val="00EF6C96"/>
    <w:rsid w:val="00EF7908"/>
    <w:rsid w:val="00F0047D"/>
    <w:rsid w:val="00F00A01"/>
    <w:rsid w:val="00F00A55"/>
    <w:rsid w:val="00F00B6E"/>
    <w:rsid w:val="00F02444"/>
    <w:rsid w:val="00F0272E"/>
    <w:rsid w:val="00F05015"/>
    <w:rsid w:val="00F05723"/>
    <w:rsid w:val="00F0732C"/>
    <w:rsid w:val="00F07397"/>
    <w:rsid w:val="00F0758F"/>
    <w:rsid w:val="00F07ACA"/>
    <w:rsid w:val="00F12633"/>
    <w:rsid w:val="00F12BD5"/>
    <w:rsid w:val="00F1363A"/>
    <w:rsid w:val="00F142CF"/>
    <w:rsid w:val="00F1495B"/>
    <w:rsid w:val="00F14DDD"/>
    <w:rsid w:val="00F151E1"/>
    <w:rsid w:val="00F15256"/>
    <w:rsid w:val="00F15599"/>
    <w:rsid w:val="00F15C5F"/>
    <w:rsid w:val="00F16B18"/>
    <w:rsid w:val="00F16C3A"/>
    <w:rsid w:val="00F17FC5"/>
    <w:rsid w:val="00F205AD"/>
    <w:rsid w:val="00F20707"/>
    <w:rsid w:val="00F20873"/>
    <w:rsid w:val="00F21853"/>
    <w:rsid w:val="00F2253C"/>
    <w:rsid w:val="00F227E9"/>
    <w:rsid w:val="00F233B4"/>
    <w:rsid w:val="00F240EA"/>
    <w:rsid w:val="00F2539A"/>
    <w:rsid w:val="00F25561"/>
    <w:rsid w:val="00F258EE"/>
    <w:rsid w:val="00F27068"/>
    <w:rsid w:val="00F270EC"/>
    <w:rsid w:val="00F3005E"/>
    <w:rsid w:val="00F301B6"/>
    <w:rsid w:val="00F30569"/>
    <w:rsid w:val="00F30599"/>
    <w:rsid w:val="00F30730"/>
    <w:rsid w:val="00F31B13"/>
    <w:rsid w:val="00F31F17"/>
    <w:rsid w:val="00F3234C"/>
    <w:rsid w:val="00F32FFF"/>
    <w:rsid w:val="00F338A4"/>
    <w:rsid w:val="00F33928"/>
    <w:rsid w:val="00F3418B"/>
    <w:rsid w:val="00F344D9"/>
    <w:rsid w:val="00F34DCD"/>
    <w:rsid w:val="00F34DFE"/>
    <w:rsid w:val="00F350BB"/>
    <w:rsid w:val="00F35791"/>
    <w:rsid w:val="00F365D6"/>
    <w:rsid w:val="00F36790"/>
    <w:rsid w:val="00F36D8F"/>
    <w:rsid w:val="00F370C9"/>
    <w:rsid w:val="00F37171"/>
    <w:rsid w:val="00F3726B"/>
    <w:rsid w:val="00F4047F"/>
    <w:rsid w:val="00F40FA4"/>
    <w:rsid w:val="00F4106E"/>
    <w:rsid w:val="00F41A40"/>
    <w:rsid w:val="00F42AAB"/>
    <w:rsid w:val="00F45507"/>
    <w:rsid w:val="00F45F34"/>
    <w:rsid w:val="00F467EE"/>
    <w:rsid w:val="00F46BDE"/>
    <w:rsid w:val="00F5032A"/>
    <w:rsid w:val="00F509C7"/>
    <w:rsid w:val="00F527B7"/>
    <w:rsid w:val="00F52B45"/>
    <w:rsid w:val="00F54D19"/>
    <w:rsid w:val="00F55CF6"/>
    <w:rsid w:val="00F5704C"/>
    <w:rsid w:val="00F5711B"/>
    <w:rsid w:val="00F609BB"/>
    <w:rsid w:val="00F6166C"/>
    <w:rsid w:val="00F61995"/>
    <w:rsid w:val="00F624CC"/>
    <w:rsid w:val="00F63369"/>
    <w:rsid w:val="00F64CFF"/>
    <w:rsid w:val="00F65183"/>
    <w:rsid w:val="00F6617B"/>
    <w:rsid w:val="00F66990"/>
    <w:rsid w:val="00F66F69"/>
    <w:rsid w:val="00F67E93"/>
    <w:rsid w:val="00F7009B"/>
    <w:rsid w:val="00F707A7"/>
    <w:rsid w:val="00F716A4"/>
    <w:rsid w:val="00F73224"/>
    <w:rsid w:val="00F73251"/>
    <w:rsid w:val="00F73D1A"/>
    <w:rsid w:val="00F75178"/>
    <w:rsid w:val="00F75CBB"/>
    <w:rsid w:val="00F77411"/>
    <w:rsid w:val="00F77D3C"/>
    <w:rsid w:val="00F77DE4"/>
    <w:rsid w:val="00F8182A"/>
    <w:rsid w:val="00F8273A"/>
    <w:rsid w:val="00F84E34"/>
    <w:rsid w:val="00F8512A"/>
    <w:rsid w:val="00F859A3"/>
    <w:rsid w:val="00F863BB"/>
    <w:rsid w:val="00F86CC8"/>
    <w:rsid w:val="00F87884"/>
    <w:rsid w:val="00F87D3E"/>
    <w:rsid w:val="00F90BE4"/>
    <w:rsid w:val="00F90C69"/>
    <w:rsid w:val="00F9177E"/>
    <w:rsid w:val="00F920B0"/>
    <w:rsid w:val="00F92B5B"/>
    <w:rsid w:val="00F92CF0"/>
    <w:rsid w:val="00F93CF5"/>
    <w:rsid w:val="00F94688"/>
    <w:rsid w:val="00F95137"/>
    <w:rsid w:val="00F95853"/>
    <w:rsid w:val="00F95B12"/>
    <w:rsid w:val="00F95D1D"/>
    <w:rsid w:val="00F9644A"/>
    <w:rsid w:val="00F971B7"/>
    <w:rsid w:val="00F97654"/>
    <w:rsid w:val="00F97731"/>
    <w:rsid w:val="00FA0048"/>
    <w:rsid w:val="00FA0F50"/>
    <w:rsid w:val="00FA1669"/>
    <w:rsid w:val="00FA1ADE"/>
    <w:rsid w:val="00FA21B2"/>
    <w:rsid w:val="00FA21F2"/>
    <w:rsid w:val="00FA251B"/>
    <w:rsid w:val="00FA2E0B"/>
    <w:rsid w:val="00FA2FF8"/>
    <w:rsid w:val="00FA305D"/>
    <w:rsid w:val="00FA3724"/>
    <w:rsid w:val="00FA3DB0"/>
    <w:rsid w:val="00FA3F4D"/>
    <w:rsid w:val="00FA4A1C"/>
    <w:rsid w:val="00FA4EB7"/>
    <w:rsid w:val="00FA4F0E"/>
    <w:rsid w:val="00FA5E66"/>
    <w:rsid w:val="00FA75F1"/>
    <w:rsid w:val="00FA76EC"/>
    <w:rsid w:val="00FA77A7"/>
    <w:rsid w:val="00FB024A"/>
    <w:rsid w:val="00FB1533"/>
    <w:rsid w:val="00FB1C1E"/>
    <w:rsid w:val="00FB2F97"/>
    <w:rsid w:val="00FB346D"/>
    <w:rsid w:val="00FB3724"/>
    <w:rsid w:val="00FB420B"/>
    <w:rsid w:val="00FB63D6"/>
    <w:rsid w:val="00FB642E"/>
    <w:rsid w:val="00FB739C"/>
    <w:rsid w:val="00FB73B6"/>
    <w:rsid w:val="00FC0762"/>
    <w:rsid w:val="00FC0A06"/>
    <w:rsid w:val="00FC0A98"/>
    <w:rsid w:val="00FC1ED0"/>
    <w:rsid w:val="00FC20BD"/>
    <w:rsid w:val="00FC25B1"/>
    <w:rsid w:val="00FC35B9"/>
    <w:rsid w:val="00FC379D"/>
    <w:rsid w:val="00FC3C70"/>
    <w:rsid w:val="00FC4CD1"/>
    <w:rsid w:val="00FC52D0"/>
    <w:rsid w:val="00FC6375"/>
    <w:rsid w:val="00FC6B4B"/>
    <w:rsid w:val="00FC712C"/>
    <w:rsid w:val="00FD006A"/>
    <w:rsid w:val="00FD049D"/>
    <w:rsid w:val="00FD050D"/>
    <w:rsid w:val="00FD12F9"/>
    <w:rsid w:val="00FD13F2"/>
    <w:rsid w:val="00FD1ABB"/>
    <w:rsid w:val="00FD1FB0"/>
    <w:rsid w:val="00FD2848"/>
    <w:rsid w:val="00FD38F7"/>
    <w:rsid w:val="00FD39F3"/>
    <w:rsid w:val="00FD41E2"/>
    <w:rsid w:val="00FD4691"/>
    <w:rsid w:val="00FD5541"/>
    <w:rsid w:val="00FD58BF"/>
    <w:rsid w:val="00FD632E"/>
    <w:rsid w:val="00FD63E2"/>
    <w:rsid w:val="00FD680C"/>
    <w:rsid w:val="00FD6BFF"/>
    <w:rsid w:val="00FD7498"/>
    <w:rsid w:val="00FD7E69"/>
    <w:rsid w:val="00FD7FF6"/>
    <w:rsid w:val="00FE0433"/>
    <w:rsid w:val="00FE0D4D"/>
    <w:rsid w:val="00FE2ABA"/>
    <w:rsid w:val="00FE2DAC"/>
    <w:rsid w:val="00FE32AF"/>
    <w:rsid w:val="00FE4698"/>
    <w:rsid w:val="00FE46EE"/>
    <w:rsid w:val="00FE53EB"/>
    <w:rsid w:val="00FE77C9"/>
    <w:rsid w:val="00FE7899"/>
    <w:rsid w:val="00FE79A1"/>
    <w:rsid w:val="00FF02EB"/>
    <w:rsid w:val="00FF0EEB"/>
    <w:rsid w:val="00FF14B7"/>
    <w:rsid w:val="00FF1C30"/>
    <w:rsid w:val="00FF26AC"/>
    <w:rsid w:val="00FF2776"/>
    <w:rsid w:val="00FF348B"/>
    <w:rsid w:val="00FF3B2C"/>
    <w:rsid w:val="00FF40CD"/>
    <w:rsid w:val="00FF4768"/>
    <w:rsid w:val="00FF5555"/>
    <w:rsid w:val="00FF558F"/>
    <w:rsid w:val="00FF58CD"/>
    <w:rsid w:val="00FF5970"/>
    <w:rsid w:val="00FF6E2D"/>
    <w:rsid w:val="00FF71FE"/>
    <w:rsid w:val="00FF7BB3"/>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FDC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480" w:lineRule="atLeast"/>
    </w:pPr>
  </w:style>
  <w:style w:type="paragraph" w:styleId="Heading1">
    <w:name w:val="heading 1"/>
    <w:basedOn w:val="Normal"/>
    <w:next w:val="Normal"/>
    <w:link w:val="Heading1Char"/>
    <w:uiPriority w:val="9"/>
    <w:qFormat/>
    <w:rsid w:val="00230E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0E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0EA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0EA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30EA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30EA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30EA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30EA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30EA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E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0E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0EA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0EA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30EA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30EA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30EA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30EA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30EA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30E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E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0EA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0EA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30EA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30EA6"/>
    <w:rPr>
      <w:i/>
      <w:iCs/>
      <w:color w:val="404040" w:themeColor="text1" w:themeTint="BF"/>
    </w:rPr>
  </w:style>
  <w:style w:type="paragraph" w:styleId="ListParagraph">
    <w:name w:val="List Paragraph"/>
    <w:basedOn w:val="Normal"/>
    <w:uiPriority w:val="34"/>
    <w:qFormat/>
    <w:rsid w:val="00230EA6"/>
    <w:pPr>
      <w:ind w:left="720"/>
      <w:contextualSpacing/>
    </w:pPr>
  </w:style>
  <w:style w:type="character" w:styleId="IntenseEmphasis">
    <w:name w:val="Intense Emphasis"/>
    <w:basedOn w:val="DefaultParagraphFont"/>
    <w:uiPriority w:val="21"/>
    <w:qFormat/>
    <w:rsid w:val="00230EA6"/>
    <w:rPr>
      <w:i/>
      <w:iCs/>
      <w:color w:val="0F4761" w:themeColor="accent1" w:themeShade="BF"/>
    </w:rPr>
  </w:style>
  <w:style w:type="paragraph" w:styleId="IntenseQuote">
    <w:name w:val="Intense Quote"/>
    <w:basedOn w:val="Normal"/>
    <w:next w:val="Normal"/>
    <w:link w:val="IntenseQuoteChar"/>
    <w:uiPriority w:val="30"/>
    <w:qFormat/>
    <w:rsid w:val="00230E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0EA6"/>
    <w:rPr>
      <w:i/>
      <w:iCs/>
      <w:color w:val="0F4761" w:themeColor="accent1" w:themeShade="BF"/>
    </w:rPr>
  </w:style>
  <w:style w:type="character" w:styleId="IntenseReference">
    <w:name w:val="Intense Reference"/>
    <w:basedOn w:val="DefaultParagraphFont"/>
    <w:uiPriority w:val="32"/>
    <w:qFormat/>
    <w:rsid w:val="00230EA6"/>
    <w:rPr>
      <w:b/>
      <w:bCs/>
      <w:smallCaps/>
      <w:color w:val="0F4761" w:themeColor="accent1" w:themeShade="BF"/>
      <w:spacing w:val="5"/>
    </w:rPr>
  </w:style>
  <w:style w:type="paragraph" w:styleId="Header">
    <w:name w:val="header"/>
    <w:basedOn w:val="Normal"/>
    <w:link w:val="HeaderChar"/>
    <w:uiPriority w:val="99"/>
    <w:unhideWhenUsed/>
    <w:rsid w:val="00E66479"/>
    <w:pPr>
      <w:tabs>
        <w:tab w:val="center" w:pos="4680"/>
        <w:tab w:val="right" w:pos="9360"/>
      </w:tabs>
      <w:spacing w:line="240" w:lineRule="auto"/>
    </w:pPr>
  </w:style>
  <w:style w:type="character" w:customStyle="1" w:styleId="HeaderChar">
    <w:name w:val="Header Char"/>
    <w:basedOn w:val="DefaultParagraphFont"/>
    <w:link w:val="Header"/>
    <w:uiPriority w:val="99"/>
    <w:rsid w:val="00E66479"/>
  </w:style>
  <w:style w:type="paragraph" w:styleId="Footer">
    <w:name w:val="footer"/>
    <w:basedOn w:val="Normal"/>
    <w:link w:val="FooterChar"/>
    <w:uiPriority w:val="99"/>
    <w:unhideWhenUsed/>
    <w:rsid w:val="00E66479"/>
    <w:pPr>
      <w:tabs>
        <w:tab w:val="center" w:pos="4680"/>
        <w:tab w:val="right" w:pos="9360"/>
      </w:tabs>
      <w:spacing w:line="240" w:lineRule="auto"/>
    </w:pPr>
  </w:style>
  <w:style w:type="character" w:customStyle="1" w:styleId="FooterChar">
    <w:name w:val="Footer Char"/>
    <w:basedOn w:val="DefaultParagraphFont"/>
    <w:link w:val="Footer"/>
    <w:uiPriority w:val="99"/>
    <w:rsid w:val="00E66479"/>
  </w:style>
  <w:style w:type="character" w:styleId="PageNumber">
    <w:name w:val="page number"/>
    <w:basedOn w:val="DefaultParagraphFont"/>
    <w:uiPriority w:val="99"/>
    <w:semiHidden/>
    <w:unhideWhenUsed/>
    <w:rsid w:val="00E66479"/>
  </w:style>
  <w:style w:type="paragraph" w:styleId="FootnoteText">
    <w:name w:val="footnote text"/>
    <w:link w:val="FootnoteTextChar"/>
    <w:uiPriority w:val="99"/>
    <w:unhideWhenUsed/>
    <w:rsid w:val="00E66479"/>
    <w:pPr>
      <w:spacing w:line="240" w:lineRule="auto"/>
    </w:pPr>
    <w:rPr>
      <w:szCs w:val="20"/>
    </w:rPr>
  </w:style>
  <w:style w:type="character" w:customStyle="1" w:styleId="FootnoteTextChar">
    <w:name w:val="Footnote Text Char"/>
    <w:basedOn w:val="DefaultParagraphFont"/>
    <w:link w:val="FootnoteText"/>
    <w:uiPriority w:val="99"/>
    <w:rsid w:val="00E66479"/>
    <w:rPr>
      <w:szCs w:val="20"/>
    </w:rPr>
  </w:style>
  <w:style w:type="character" w:styleId="FootnoteReference">
    <w:name w:val="footnote reference"/>
    <w:basedOn w:val="DefaultParagraphFont"/>
    <w:uiPriority w:val="99"/>
    <w:semiHidden/>
    <w:unhideWhenUsed/>
    <w:rsid w:val="000A6093"/>
    <w:rPr>
      <w:vertAlign w:val="superscript"/>
    </w:rPr>
  </w:style>
  <w:style w:type="paragraph" w:styleId="Revision">
    <w:name w:val="Revision"/>
    <w:hidden/>
    <w:uiPriority w:val="99"/>
    <w:semiHidden/>
    <w:rsid w:val="00E96A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631C8-0FF6-4750-AEFA-22571752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17346</Words>
  <Characters>87157</Characters>
  <Application>Microsoft Office Word</Application>
  <DocSecurity>0</DocSecurity>
  <Lines>1585</Lines>
  <Paragraphs>243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2024-05-22T17:13:00Z</dcterms:created>
  <dcterms:modified xsi:type="dcterms:W3CDTF">2024-05-22T17:13:00Z</dcterms:modified>
  <cp:category/>
</cp:coreProperties>
</file>