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C6F0B" w14:textId="5762B2EE" w:rsidR="00CF4156" w:rsidRDefault="00300A80" w:rsidP="00CF4156">
      <w:pPr>
        <w:spacing w:line="240" w:lineRule="auto"/>
        <w:rPr>
          <w:sz w:val="20"/>
        </w:rPr>
      </w:pPr>
      <w:bookmarkStart w:id="0" w:name="_Hlk162259344"/>
      <w:r>
        <w:rPr>
          <w:sz w:val="20"/>
        </w:rPr>
        <w:t xml:space="preserve">Filed </w:t>
      </w:r>
      <w:r w:rsidR="009F3739">
        <w:rPr>
          <w:sz w:val="20"/>
        </w:rPr>
        <w:t>5/6/24</w:t>
      </w:r>
      <w:r w:rsidR="00A85949">
        <w:rPr>
          <w:sz w:val="20"/>
        </w:rPr>
        <w:t>; Certified for Publication 5/22/24 (order attached)</w:t>
      </w:r>
    </w:p>
    <w:p w14:paraId="3ADA2A79" w14:textId="77777777" w:rsidR="00CF4156" w:rsidRDefault="00CF4156" w:rsidP="00CF4156">
      <w:pPr>
        <w:spacing w:line="240" w:lineRule="auto"/>
        <w:jc w:val="center"/>
        <w:rPr>
          <w:b/>
        </w:rPr>
      </w:pPr>
    </w:p>
    <w:p w14:paraId="2C452870" w14:textId="77777777" w:rsidR="00A85949" w:rsidRDefault="00A85949" w:rsidP="00CF4156">
      <w:pPr>
        <w:spacing w:line="240" w:lineRule="auto"/>
        <w:jc w:val="center"/>
        <w:rPr>
          <w:b/>
        </w:rPr>
      </w:pPr>
    </w:p>
    <w:p w14:paraId="03A5B024" w14:textId="77777777" w:rsidR="00A85949" w:rsidRDefault="00A85949" w:rsidP="00CF4156">
      <w:pPr>
        <w:spacing w:line="240" w:lineRule="auto"/>
        <w:jc w:val="center"/>
        <w:rPr>
          <w:b/>
        </w:rPr>
      </w:pPr>
    </w:p>
    <w:p w14:paraId="2148F5E1" w14:textId="77777777" w:rsidR="00A85949" w:rsidRDefault="00A85949" w:rsidP="00CF4156">
      <w:pPr>
        <w:spacing w:line="240" w:lineRule="auto"/>
        <w:jc w:val="center"/>
      </w:pPr>
    </w:p>
    <w:p w14:paraId="0BB7746D" w14:textId="5FDCF61A" w:rsidR="00AC1A7C" w:rsidRDefault="00300A80" w:rsidP="00CF4156">
      <w:pPr>
        <w:spacing w:line="240" w:lineRule="auto"/>
        <w:jc w:val="center"/>
      </w:pPr>
      <w:r>
        <w:t>IN THE COURT OF APPEAL OF THE STATE OF CALIFORNIA</w:t>
      </w:r>
    </w:p>
    <w:p w14:paraId="2023DC28" w14:textId="77777777" w:rsidR="00376820" w:rsidRDefault="00376820" w:rsidP="00376820">
      <w:pPr>
        <w:spacing w:line="240" w:lineRule="auto"/>
        <w:jc w:val="center"/>
      </w:pPr>
    </w:p>
    <w:p w14:paraId="10F1633D" w14:textId="1778CF77" w:rsidR="00376820" w:rsidRDefault="00300A80" w:rsidP="00376820">
      <w:pPr>
        <w:spacing w:line="240" w:lineRule="auto"/>
        <w:jc w:val="center"/>
      </w:pPr>
      <w:r>
        <w:t>FIRST APPELLATE DISTRICT</w:t>
      </w:r>
    </w:p>
    <w:p w14:paraId="0BE0AEA8" w14:textId="77777777" w:rsidR="00376820" w:rsidRDefault="00376820" w:rsidP="00376820">
      <w:pPr>
        <w:spacing w:line="240" w:lineRule="auto"/>
        <w:jc w:val="center"/>
      </w:pPr>
    </w:p>
    <w:p w14:paraId="1BE1D7D5" w14:textId="4221D5E1" w:rsidR="00376820" w:rsidRDefault="00300A80" w:rsidP="00376820">
      <w:pPr>
        <w:spacing w:line="240" w:lineRule="auto"/>
        <w:jc w:val="center"/>
      </w:pPr>
      <w:r>
        <w:t>DIVISION ONE</w:t>
      </w:r>
    </w:p>
    <w:p w14:paraId="34C9DBEF" w14:textId="77777777" w:rsidR="00376820" w:rsidRDefault="00376820" w:rsidP="00376820">
      <w:pPr>
        <w:spacing w:line="240" w:lineRule="auto"/>
        <w:jc w:val="center"/>
      </w:pPr>
    </w:p>
    <w:p w14:paraId="0F7ECB80" w14:textId="77777777" w:rsidR="00376820" w:rsidRDefault="00376820" w:rsidP="00376820">
      <w:pPr>
        <w:spacing w:line="240" w:lineRule="auto"/>
        <w:jc w:val="center"/>
      </w:pPr>
    </w:p>
    <w:tbl>
      <w:tblPr>
        <w:tblW w:w="0" w:type="auto"/>
        <w:tblLayout w:type="fixed"/>
        <w:tblLook w:val="0000" w:firstRow="0" w:lastRow="0" w:firstColumn="0" w:lastColumn="0" w:noHBand="0" w:noVBand="0"/>
      </w:tblPr>
      <w:tblGrid>
        <w:gridCol w:w="4680"/>
        <w:gridCol w:w="4680"/>
      </w:tblGrid>
      <w:tr w:rsidR="0066604B" w14:paraId="22192E12" w14:textId="77777777" w:rsidTr="00376820">
        <w:tc>
          <w:tcPr>
            <w:tcW w:w="4680" w:type="dxa"/>
            <w:tcBorders>
              <w:bottom w:val="single" w:sz="4" w:space="0" w:color="auto"/>
              <w:right w:val="single" w:sz="4" w:space="0" w:color="auto"/>
            </w:tcBorders>
            <w:shd w:val="clear" w:color="auto" w:fill="auto"/>
          </w:tcPr>
          <w:p w14:paraId="2F5AA095" w14:textId="77777777" w:rsidR="00376820" w:rsidRDefault="00300A80" w:rsidP="00376820">
            <w:pPr>
              <w:spacing w:after="120" w:line="240" w:lineRule="auto"/>
            </w:pPr>
            <w:r>
              <w:t>DONALD VERVERKA,</w:t>
            </w:r>
          </w:p>
          <w:p w14:paraId="7F3F9A58" w14:textId="77777777" w:rsidR="00376820" w:rsidRDefault="00300A80" w:rsidP="00376820">
            <w:pPr>
              <w:spacing w:after="120" w:line="240" w:lineRule="auto"/>
            </w:pPr>
            <w:r>
              <w:tab/>
              <w:t>Plaintiff and Appellant,</w:t>
            </w:r>
          </w:p>
          <w:p w14:paraId="707CAD0F" w14:textId="77777777" w:rsidR="00376820" w:rsidRDefault="00300A80" w:rsidP="00376820">
            <w:pPr>
              <w:spacing w:after="120" w:line="240" w:lineRule="auto"/>
            </w:pPr>
            <w:r>
              <w:t>v.</w:t>
            </w:r>
          </w:p>
          <w:p w14:paraId="67663CD1" w14:textId="7C17E8A2" w:rsidR="00376820" w:rsidRDefault="00300A80" w:rsidP="00376820">
            <w:pPr>
              <w:spacing w:after="120" w:line="240" w:lineRule="auto"/>
            </w:pPr>
            <w:r>
              <w:t>DEPARTMENT OF VETERANS AFFAIRS,</w:t>
            </w:r>
          </w:p>
          <w:p w14:paraId="05BB9628" w14:textId="583803FA" w:rsidR="00376820" w:rsidRDefault="00300A80" w:rsidP="00376820">
            <w:pPr>
              <w:spacing w:after="120" w:line="240" w:lineRule="auto"/>
            </w:pPr>
            <w:r>
              <w:tab/>
              <w:t>Defendant and Respondent.</w:t>
            </w:r>
          </w:p>
        </w:tc>
        <w:tc>
          <w:tcPr>
            <w:tcW w:w="4680" w:type="dxa"/>
            <w:tcBorders>
              <w:left w:val="single" w:sz="4" w:space="0" w:color="auto"/>
            </w:tcBorders>
            <w:shd w:val="clear" w:color="auto" w:fill="auto"/>
          </w:tcPr>
          <w:p w14:paraId="51C335F1" w14:textId="77777777" w:rsidR="00376820" w:rsidRDefault="00376820" w:rsidP="00376820">
            <w:pPr>
              <w:spacing w:line="240" w:lineRule="auto"/>
            </w:pPr>
          </w:p>
          <w:p w14:paraId="1D9E92DD" w14:textId="77777777" w:rsidR="00376820" w:rsidRDefault="00376820" w:rsidP="00376820">
            <w:pPr>
              <w:spacing w:line="240" w:lineRule="auto"/>
            </w:pPr>
          </w:p>
          <w:p w14:paraId="6CF816F3" w14:textId="77777777" w:rsidR="00376820" w:rsidRDefault="00300A80" w:rsidP="00376820">
            <w:pPr>
              <w:spacing w:line="240" w:lineRule="auto"/>
            </w:pPr>
            <w:r>
              <w:t xml:space="preserve">      A163571</w:t>
            </w:r>
          </w:p>
          <w:p w14:paraId="6DEDE105" w14:textId="77777777" w:rsidR="00376820" w:rsidRDefault="00376820" w:rsidP="00376820">
            <w:pPr>
              <w:spacing w:line="240" w:lineRule="auto"/>
            </w:pPr>
          </w:p>
          <w:p w14:paraId="0646D404" w14:textId="77777777" w:rsidR="00376820" w:rsidRDefault="00300A80" w:rsidP="00376820">
            <w:pPr>
              <w:spacing w:line="240" w:lineRule="auto"/>
            </w:pPr>
            <w:r>
              <w:t xml:space="preserve">      (Napa County</w:t>
            </w:r>
          </w:p>
          <w:p w14:paraId="2798B426" w14:textId="012D2260" w:rsidR="00376820" w:rsidRDefault="00300A80" w:rsidP="00376820">
            <w:pPr>
              <w:spacing w:line="240" w:lineRule="auto"/>
            </w:pPr>
            <w:r>
              <w:t xml:space="preserve">      </w:t>
            </w:r>
            <w:r w:rsidR="003D4716">
              <w:t xml:space="preserve"> </w:t>
            </w:r>
            <w:r>
              <w:t>Super. Ct. No. 18CV001376)</w:t>
            </w:r>
          </w:p>
          <w:p w14:paraId="087C42BE" w14:textId="66404F47" w:rsidR="00376820" w:rsidRDefault="00376820" w:rsidP="00376820">
            <w:pPr>
              <w:spacing w:line="240" w:lineRule="auto"/>
            </w:pPr>
          </w:p>
        </w:tc>
      </w:tr>
    </w:tbl>
    <w:p w14:paraId="6B37D866" w14:textId="77777777" w:rsidR="00376820" w:rsidRDefault="00376820" w:rsidP="00376820">
      <w:pPr>
        <w:spacing w:line="240" w:lineRule="auto"/>
      </w:pPr>
    </w:p>
    <w:p w14:paraId="73B35956" w14:textId="12EF3E2E" w:rsidR="00580E56" w:rsidRDefault="00300A80" w:rsidP="00987E6C">
      <w:pPr>
        <w:spacing w:line="360" w:lineRule="auto"/>
      </w:pPr>
      <w:r>
        <w:tab/>
        <w:t xml:space="preserve">Plaintiff Donald Ververka alleged defendant California Department of Veterans Affairs (CalVet) terminated him in </w:t>
      </w:r>
      <w:r w:rsidR="00181B4D">
        <w:t xml:space="preserve">violation of Labor Code section 1102.5, a statute </w:t>
      </w:r>
      <w:r w:rsidR="00C650FA">
        <w:t>prohibiting</w:t>
      </w:r>
      <w:r w:rsidR="00181B4D">
        <w:t xml:space="preserve"> retaliation against whistleblowing employees.</w:t>
      </w:r>
      <w:r>
        <w:rPr>
          <w:rStyle w:val="FootnoteReference"/>
        </w:rPr>
        <w:footnoteReference w:id="1"/>
      </w:r>
      <w:r w:rsidR="00AB0542">
        <w:t xml:space="preserve">  </w:t>
      </w:r>
      <w:r w:rsidR="00181B4D">
        <w:t>The</w:t>
      </w:r>
      <w:r w:rsidR="0041512B">
        <w:t xml:space="preserve"> jury</w:t>
      </w:r>
      <w:r w:rsidR="00181B4D">
        <w:t xml:space="preserve"> found that although Ververka made protected </w:t>
      </w:r>
      <w:r w:rsidR="00AB0542">
        <w:t>disclosures</w:t>
      </w:r>
      <w:r w:rsidR="00181B4D">
        <w:t xml:space="preserve"> that were “contributing factor[s]” in CalVet’s decision to remove him, CalVet was not liable because it met its burden </w:t>
      </w:r>
      <w:r w:rsidR="00F56797">
        <w:t xml:space="preserve">under section 1102.6 </w:t>
      </w:r>
      <w:r w:rsidR="00181B4D">
        <w:t xml:space="preserve">to prove it would have made the same decision </w:t>
      </w:r>
      <w:r w:rsidR="002B0C65">
        <w:t>for non-retaliatory reasons.</w:t>
      </w:r>
      <w:r w:rsidR="00181B4D">
        <w:t xml:space="preserve">  After the trial court entered judgment </w:t>
      </w:r>
      <w:r w:rsidR="00C650FA">
        <w:t>for</w:t>
      </w:r>
      <w:r w:rsidR="00181B4D">
        <w:t xml:space="preserve"> CalVet, Ververka moved to vacate the judgment.  The court denied the motion.    </w:t>
      </w:r>
    </w:p>
    <w:p w14:paraId="3DD39602" w14:textId="27E7D114" w:rsidR="003551EF" w:rsidRDefault="00300A80" w:rsidP="00987E6C">
      <w:pPr>
        <w:spacing w:line="360" w:lineRule="auto"/>
      </w:pPr>
      <w:r>
        <w:tab/>
      </w:r>
      <w:r w:rsidR="00181B4D">
        <w:t xml:space="preserve">On appeal, Ververka contends the trial court erred in denying his motion </w:t>
      </w:r>
      <w:r w:rsidR="00C650FA">
        <w:t>to vacate the judgment</w:t>
      </w:r>
      <w:r w:rsidR="0041512B">
        <w:t xml:space="preserve">.  Citing </w:t>
      </w:r>
      <w:r w:rsidR="0041512B" w:rsidRPr="00696131">
        <w:rPr>
          <w:i/>
          <w:iCs/>
        </w:rPr>
        <w:t>Harris v. City of Santa Monica</w:t>
      </w:r>
      <w:r w:rsidR="0041512B">
        <w:t xml:space="preserve"> (2013) 56 Cal.4</w:t>
      </w:r>
      <w:r w:rsidR="0041512B" w:rsidRPr="00696131">
        <w:t>th</w:t>
      </w:r>
      <w:r w:rsidR="0041512B">
        <w:t xml:space="preserve"> 203 (</w:t>
      </w:r>
      <w:r w:rsidR="0041512B" w:rsidRPr="00696131">
        <w:rPr>
          <w:i/>
          <w:iCs/>
        </w:rPr>
        <w:t>Harris</w:t>
      </w:r>
      <w:r w:rsidR="0041512B">
        <w:t xml:space="preserve">), a </w:t>
      </w:r>
      <w:r w:rsidR="00302FCF">
        <w:t xml:space="preserve">case brought pursuant to the </w:t>
      </w:r>
      <w:r w:rsidR="0041512B">
        <w:t xml:space="preserve">Fair Employment </w:t>
      </w:r>
      <w:r w:rsidR="0041512B">
        <w:lastRenderedPageBreak/>
        <w:t>and Housing Act (FEHA</w:t>
      </w:r>
      <w:r w:rsidR="00251EE0">
        <w:t>; Gov. Code</w:t>
      </w:r>
      <w:r w:rsidR="0075613F">
        <w:t>, § 12900 et seq.</w:t>
      </w:r>
      <w:r w:rsidR="0041512B">
        <w:t>), he argues that an employer’s “same decision” showing</w:t>
      </w:r>
      <w:r w:rsidR="00F56797">
        <w:t xml:space="preserve"> under section 1102.6 </w:t>
      </w:r>
      <w:r w:rsidR="0041512B">
        <w:t xml:space="preserve">precludes </w:t>
      </w:r>
      <w:r w:rsidR="00170D23">
        <w:t xml:space="preserve">only </w:t>
      </w:r>
      <w:r w:rsidR="0041512B">
        <w:t>an award of damages and backpay and an order of reinstatement</w:t>
      </w:r>
      <w:r w:rsidR="00C650FA">
        <w:t xml:space="preserve"> and, as a result, he was </w:t>
      </w:r>
      <w:r w:rsidR="00C650FA" w:rsidRPr="00C650FA">
        <w:t>entitled to declaratory relief and reasonable attorney’s fees and costs</w:t>
      </w:r>
      <w:r w:rsidR="0041512B">
        <w:t xml:space="preserve">.  </w:t>
      </w:r>
      <w:r>
        <w:t xml:space="preserve">CalVet </w:t>
      </w:r>
      <w:r w:rsidR="009A7F0A">
        <w:t xml:space="preserve">has </w:t>
      </w:r>
      <w:r>
        <w:t>filed a protective cross-appeal, advancing alternative legal grounds for affirming the judgment.</w:t>
      </w:r>
    </w:p>
    <w:p w14:paraId="6035543C" w14:textId="188FFACD" w:rsidR="00AC1A7C" w:rsidRDefault="00300A80" w:rsidP="00987E6C">
      <w:pPr>
        <w:spacing w:line="360" w:lineRule="auto"/>
      </w:pPr>
      <w:r>
        <w:tab/>
      </w:r>
      <w:r w:rsidR="00E20D9D">
        <w:t>We</w:t>
      </w:r>
      <w:r>
        <w:t xml:space="preserve"> </w:t>
      </w:r>
      <w:r w:rsidR="00170D23">
        <w:t>conclude the whistleblower statutes</w:t>
      </w:r>
      <w:r w:rsidR="00542A79">
        <w:t xml:space="preserve"> </w:t>
      </w:r>
      <w:r w:rsidR="0075613F">
        <w:t xml:space="preserve">(§ 1102.5 et seq.) </w:t>
      </w:r>
      <w:r w:rsidR="00170D23">
        <w:t xml:space="preserve">are not reasonably susceptible to Ververka’s interpretation.  We therefore </w:t>
      </w:r>
      <w:r>
        <w:t>affirm the judgment and dismiss the cross-appeal as moot</w:t>
      </w:r>
      <w:r w:rsidR="00E20D9D">
        <w:t>.</w:t>
      </w:r>
    </w:p>
    <w:p w14:paraId="68EBCCF5" w14:textId="7FACF608" w:rsidR="008C69C3" w:rsidRPr="004978D5" w:rsidRDefault="00300A80" w:rsidP="00987E6C">
      <w:pPr>
        <w:pStyle w:val="ListParagraph"/>
        <w:numPr>
          <w:ilvl w:val="0"/>
          <w:numId w:val="1"/>
        </w:numPr>
        <w:spacing w:line="360" w:lineRule="auto"/>
        <w:jc w:val="center"/>
        <w:rPr>
          <w:b/>
          <w:bCs/>
        </w:rPr>
      </w:pPr>
      <w:r w:rsidRPr="004978D5">
        <w:rPr>
          <w:b/>
          <w:bCs/>
        </w:rPr>
        <w:t>BACKGROUND</w:t>
      </w:r>
    </w:p>
    <w:bookmarkEnd w:id="0"/>
    <w:p w14:paraId="2364DDB0" w14:textId="5F615B44" w:rsidR="003D519D" w:rsidRDefault="00300A80" w:rsidP="00542A79">
      <w:pPr>
        <w:spacing w:line="360" w:lineRule="auto"/>
        <w:ind w:firstLine="720"/>
      </w:pPr>
      <w:r>
        <w:t xml:space="preserve">CalVet is a state agency tasked with operating veterans homes within </w:t>
      </w:r>
      <w:r w:rsidR="000B2EE4">
        <w:t>California</w:t>
      </w:r>
      <w:r>
        <w:t xml:space="preserve">. </w:t>
      </w:r>
      <w:r w:rsidR="00542A79">
        <w:t xml:space="preserve"> During Ververka’s tenure, CalVet’s Undersecretary was Russell Atterberry, who reported to CalVet’s Secretary, Vito Imbasciani. </w:t>
      </w:r>
      <w:r>
        <w:t xml:space="preserve"> In 2014, the Governor appointed Ververka as administrator of the veterans home in Yountville.  As administrator, Ververka oversaw all aspects of the home’s operation, including staffing, budgeting, and maintaining the home’s compliance with applicable laws and regulations.  He served as administrator until May 2017, when the Governor’s Office removed him from his position.</w:t>
      </w:r>
      <w:r w:rsidR="00AB0542" w:rsidRPr="00AB0542">
        <w:t xml:space="preserve"> </w:t>
      </w:r>
    </w:p>
    <w:p w14:paraId="6F996F11" w14:textId="22EEFD92" w:rsidR="003D519D" w:rsidRPr="00DA65C7" w:rsidRDefault="00300A80" w:rsidP="00987E6C">
      <w:pPr>
        <w:pStyle w:val="ListParagraph"/>
        <w:numPr>
          <w:ilvl w:val="0"/>
          <w:numId w:val="5"/>
        </w:numPr>
        <w:spacing w:line="360" w:lineRule="auto"/>
        <w:rPr>
          <w:b/>
          <w:bCs/>
        </w:rPr>
      </w:pPr>
      <w:r w:rsidRPr="00DA65C7">
        <w:rPr>
          <w:b/>
          <w:bCs/>
          <w:i/>
          <w:iCs/>
        </w:rPr>
        <w:t>Events Leading Up to Ververka’s Removal</w:t>
      </w:r>
      <w:r w:rsidR="00580E56">
        <w:rPr>
          <w:b/>
          <w:bCs/>
          <w:i/>
          <w:iCs/>
        </w:rPr>
        <w:t xml:space="preserve"> </w:t>
      </w:r>
    </w:p>
    <w:p w14:paraId="760B5CF3" w14:textId="552BEE89" w:rsidR="003D519D" w:rsidRPr="00344C82" w:rsidRDefault="00300A80" w:rsidP="00987E6C">
      <w:pPr>
        <w:spacing w:line="360" w:lineRule="auto"/>
      </w:pPr>
      <w:r>
        <w:tab/>
        <w:t xml:space="preserve">Ververka </w:t>
      </w:r>
      <w:r w:rsidR="00F56797">
        <w:t>made</w:t>
      </w:r>
      <w:r w:rsidR="0084335A">
        <w:t xml:space="preserve"> reports</w:t>
      </w:r>
      <w:r w:rsidR="00F56797">
        <w:t xml:space="preserve"> </w:t>
      </w:r>
      <w:r>
        <w:t>to an independent state agen</w:t>
      </w:r>
      <w:r w:rsidR="000B2EE4">
        <w:t>c</w:t>
      </w:r>
      <w:r>
        <w:t xml:space="preserve">y </w:t>
      </w:r>
      <w:r w:rsidR="00341219">
        <w:t xml:space="preserve">and </w:t>
      </w:r>
      <w:r w:rsidR="00B63FA3">
        <w:t xml:space="preserve">to </w:t>
      </w:r>
      <w:r w:rsidR="00341219">
        <w:t>his superiors at CalVet</w:t>
      </w:r>
      <w:r>
        <w:t xml:space="preserve"> </w:t>
      </w:r>
      <w:r w:rsidR="00F56797">
        <w:t xml:space="preserve">regarding </w:t>
      </w:r>
      <w:r w:rsidR="000E594D">
        <w:t>safety and health issues at the</w:t>
      </w:r>
      <w:r>
        <w:t xml:space="preserve"> Yountville home, such as lack of heating</w:t>
      </w:r>
      <w:r w:rsidR="00341219">
        <w:t xml:space="preserve"> and air-conditioning</w:t>
      </w:r>
      <w:r w:rsidR="00D940A9">
        <w:t xml:space="preserve"> and</w:t>
      </w:r>
      <w:r w:rsidR="00341219">
        <w:t xml:space="preserve"> </w:t>
      </w:r>
      <w:r>
        <w:t xml:space="preserve">inoperable elevators, and </w:t>
      </w:r>
      <w:r w:rsidR="00341219">
        <w:t>about</w:t>
      </w:r>
      <w:r>
        <w:t xml:space="preserve"> his belief that </w:t>
      </w:r>
      <w:r w:rsidR="00341219">
        <w:t>Cal</w:t>
      </w:r>
      <w:r w:rsidR="00B22EAD">
        <w:t>V</w:t>
      </w:r>
      <w:r w:rsidR="00341219">
        <w:t>et</w:t>
      </w:r>
      <w:r>
        <w:t xml:space="preserve"> was </w:t>
      </w:r>
      <w:r w:rsidR="000E594D">
        <w:t>violating</w:t>
      </w:r>
      <w:r>
        <w:t xml:space="preserve"> federal law</w:t>
      </w:r>
      <w:r w:rsidRPr="00B948F9">
        <w:t>.</w:t>
      </w:r>
      <w:r w:rsidR="00B948F9" w:rsidRPr="00B948F9">
        <w:t xml:space="preserve"> </w:t>
      </w:r>
      <w:r w:rsidRPr="00B948F9">
        <w:t xml:space="preserve"> </w:t>
      </w:r>
      <w:r w:rsidR="00341219" w:rsidRPr="00B948F9">
        <w:t xml:space="preserve">He </w:t>
      </w:r>
      <w:r w:rsidR="00341219">
        <w:t xml:space="preserve">reiterated many of his concerns to Imbasciani </w:t>
      </w:r>
      <w:r w:rsidR="00D940A9">
        <w:t>in May 2017</w:t>
      </w:r>
      <w:r>
        <w:t xml:space="preserve">. </w:t>
      </w:r>
    </w:p>
    <w:p w14:paraId="2CF9BC1B" w14:textId="496E5DE6" w:rsidR="003D519D" w:rsidRDefault="00300A80" w:rsidP="00987E6C">
      <w:pPr>
        <w:spacing w:line="360" w:lineRule="auto"/>
        <w:ind w:firstLine="720"/>
      </w:pPr>
      <w:r>
        <w:t xml:space="preserve">A few days later, Atterberry “made the calls” to the Governor’s Office to recommend Ververka’s removal, and the Governor’s Office informed Ververka the next day that he was being removed. </w:t>
      </w:r>
    </w:p>
    <w:p w14:paraId="03B22BF5" w14:textId="765A4B00" w:rsidR="003D519D" w:rsidRDefault="00300A80" w:rsidP="00987E6C">
      <w:pPr>
        <w:spacing w:line="360" w:lineRule="auto"/>
        <w:ind w:firstLine="720"/>
      </w:pPr>
      <w:r>
        <w:lastRenderedPageBreak/>
        <w:t xml:space="preserve">Atterberry claimed he recommended Ververka’s removal because of his poor management of the Yountville home.  </w:t>
      </w:r>
      <w:r w:rsidR="00366F90">
        <w:t>Atterberry stated</w:t>
      </w:r>
      <w:r w:rsidR="00D940A9">
        <w:t xml:space="preserve"> </w:t>
      </w:r>
      <w:r w:rsidR="000E594D">
        <w:t>Ververka</w:t>
      </w:r>
      <w:r w:rsidR="00D940A9">
        <w:t xml:space="preserve"> </w:t>
      </w:r>
      <w:r w:rsidR="000E594D">
        <w:t>entered into expensive</w:t>
      </w:r>
      <w:r w:rsidR="00D940A9">
        <w:t xml:space="preserve"> </w:t>
      </w:r>
      <w:r>
        <w:t xml:space="preserve">“emergency contracts” for </w:t>
      </w:r>
      <w:r w:rsidR="00B177FF">
        <w:t xml:space="preserve">numerous </w:t>
      </w:r>
      <w:r>
        <w:t xml:space="preserve">home repairs “because of either failed—or expired contracts or not planning for—not planning ahead for those needs,” he was unprepared for and “dismissive” at meetings for a major project, and he failed to prioritize the reproduction of documentation </w:t>
      </w:r>
      <w:r w:rsidR="00B56CB0">
        <w:t xml:space="preserve">regarding the home </w:t>
      </w:r>
      <w:r>
        <w:t>that</w:t>
      </w:r>
      <w:r w:rsidR="00542A79">
        <w:t xml:space="preserve"> </w:t>
      </w:r>
      <w:r>
        <w:t xml:space="preserve">the </w:t>
      </w:r>
      <w:r w:rsidR="00542A79">
        <w:t xml:space="preserve">federal </w:t>
      </w:r>
      <w:r>
        <w:t>Department of Veterans Affairs had lost so that the home could receive federal funding.</w:t>
      </w:r>
    </w:p>
    <w:p w14:paraId="654D08CE" w14:textId="75A6F0A1" w:rsidR="003D519D" w:rsidRPr="00DA65C7" w:rsidRDefault="00300A80" w:rsidP="00987E6C">
      <w:pPr>
        <w:pStyle w:val="ListParagraph"/>
        <w:numPr>
          <w:ilvl w:val="0"/>
          <w:numId w:val="5"/>
        </w:numPr>
        <w:spacing w:line="360" w:lineRule="auto"/>
        <w:rPr>
          <w:b/>
          <w:bCs/>
          <w:i/>
          <w:iCs/>
        </w:rPr>
      </w:pPr>
      <w:r w:rsidRPr="00DA65C7">
        <w:rPr>
          <w:b/>
          <w:bCs/>
          <w:i/>
          <w:iCs/>
        </w:rPr>
        <w:t>Ververka’s Lawsuit</w:t>
      </w:r>
    </w:p>
    <w:p w14:paraId="5757A685" w14:textId="175B6CC1" w:rsidR="003D519D" w:rsidRPr="000F303C" w:rsidRDefault="00300A80" w:rsidP="00987E6C">
      <w:pPr>
        <w:spacing w:line="360" w:lineRule="auto"/>
      </w:pPr>
      <w:r>
        <w:rPr>
          <w:b/>
          <w:bCs/>
          <w:i/>
          <w:iCs/>
        </w:rPr>
        <w:tab/>
      </w:r>
      <w:r>
        <w:t>In October 2018, Ververka sued CalVet for violation of section 6310, unlawful whistleblower retaliation under section 1102.5, and violation of Health and Safety Code section 1278.5, alleging that CalVet wrongfully terminated him for reporting his concerns about patient and employee safety and illegal conduct.  Ververka sought damages, injunctive relief, a declaration that CalVet violated section 1102.5, attorney’s fees, and costs.</w:t>
      </w:r>
    </w:p>
    <w:p w14:paraId="589C146E" w14:textId="784DD9E9" w:rsidR="003D519D" w:rsidRDefault="00300A80" w:rsidP="00987E6C">
      <w:pPr>
        <w:spacing w:line="360" w:lineRule="auto"/>
      </w:pPr>
      <w:r>
        <w:tab/>
      </w:r>
      <w:r w:rsidR="002D167F">
        <w:t>The case proceeded to</w:t>
      </w:r>
      <w:r w:rsidR="00061520">
        <w:t xml:space="preserve"> </w:t>
      </w:r>
      <w:r>
        <w:t xml:space="preserve">trial, </w:t>
      </w:r>
      <w:r w:rsidR="00061520">
        <w:t>where a</w:t>
      </w:r>
      <w:r>
        <w:t xml:space="preserve"> jury found in favor of CalVet on all of Ververka’s claims.  </w:t>
      </w:r>
      <w:r w:rsidR="00A721B7">
        <w:t>On</w:t>
      </w:r>
      <w:r>
        <w:t xml:space="preserve"> Ververka’s section 1102.5 claim, the jury found that some of the reports he made to CalVet</w:t>
      </w:r>
      <w:r w:rsidR="00F54D68">
        <w:t xml:space="preserve"> </w:t>
      </w:r>
      <w:r>
        <w:t xml:space="preserve">constituted protected disclosures under the statute.  The jury further found that Ververka’s protected disclosures were “contributing factor[s]” in CalVet’s recommendation to remove him as administrator of the Yountville home.  Nonetheless, the jury found in favor of CalVet because it had proved by clear and convincing evidence that it would have made the same recommendation at that time “for legitimate, independent reasons.”  The trial court entered judgment </w:t>
      </w:r>
      <w:r w:rsidR="003B6DF2">
        <w:t>for CalVet</w:t>
      </w:r>
      <w:r>
        <w:t xml:space="preserve">.  </w:t>
      </w:r>
    </w:p>
    <w:p w14:paraId="76C8B12D" w14:textId="30288338" w:rsidR="003D519D" w:rsidRDefault="00300A80" w:rsidP="00987E6C">
      <w:pPr>
        <w:spacing w:line="360" w:lineRule="auto"/>
        <w:ind w:firstLine="720"/>
      </w:pPr>
      <w:r>
        <w:t>Ververka moved to vacate the judgment</w:t>
      </w:r>
      <w:r w:rsidR="0010406B">
        <w:t xml:space="preserve"> under </w:t>
      </w:r>
      <w:r w:rsidR="0010406B" w:rsidRPr="0010406B">
        <w:t>Code of Civil Procedure section 663</w:t>
      </w:r>
      <w:r>
        <w:t xml:space="preserve">.  He argued that because the jury found that some of his </w:t>
      </w:r>
      <w:r>
        <w:lastRenderedPageBreak/>
        <w:t xml:space="preserve">protected activities under section 1102.5 were “contributing factor[s]” </w:t>
      </w:r>
      <w:r w:rsidR="00333E9A">
        <w:t>in</w:t>
      </w:r>
      <w:r>
        <w:t xml:space="preserve"> CalVet’s recommendation to remove him, he was entitled to declaratory relief, injunctive relief, reasonable attorney’s fees, and costs.  Although the jury also found that CalVet would have made the same recommendation for legitimate, independent reasons—colloquially called the “same decision” defense—Ververka contended that under </w:t>
      </w:r>
      <w:r w:rsidRPr="00696131">
        <w:rPr>
          <w:i/>
          <w:iCs/>
        </w:rPr>
        <w:t>Harris</w:t>
      </w:r>
      <w:r w:rsidR="009F5332">
        <w:rPr>
          <w:i/>
          <w:iCs/>
        </w:rPr>
        <w:t>, supra</w:t>
      </w:r>
      <w:r w:rsidR="009F5332" w:rsidRPr="009F5332">
        <w:t>,</w:t>
      </w:r>
      <w:r w:rsidR="009F5332">
        <w:rPr>
          <w:i/>
          <w:iCs/>
        </w:rPr>
        <w:t xml:space="preserve"> </w:t>
      </w:r>
      <w:r>
        <w:t>56 Cal.4</w:t>
      </w:r>
      <w:r w:rsidRPr="00696131">
        <w:t>th</w:t>
      </w:r>
      <w:r>
        <w:t xml:space="preserve"> 203, the same decision defense only bars a plaintiff from recovering damages</w:t>
      </w:r>
      <w:r w:rsidR="0030148B">
        <w:t>, backpay, and an order of reinstatement</w:t>
      </w:r>
      <w:r>
        <w:t>; a plaintiff may still be entitled to declaratory and injunctive relief and reasonable attorney’s fees and costs where the employer was found to have committed an unlawful employment action.</w:t>
      </w:r>
    </w:p>
    <w:p w14:paraId="59A5B5DE" w14:textId="39C6A2B4" w:rsidR="003D519D" w:rsidRPr="00344C82" w:rsidRDefault="00300A80" w:rsidP="00987E6C">
      <w:pPr>
        <w:spacing w:line="360" w:lineRule="auto"/>
      </w:pPr>
      <w:r>
        <w:tab/>
        <w:t>The trial court denied Ververka’s motion</w:t>
      </w:r>
      <w:r w:rsidR="00EE42B7">
        <w:t xml:space="preserve"> to vacate the judgment</w:t>
      </w:r>
      <w:r>
        <w:t xml:space="preserve">, concluding </w:t>
      </w:r>
      <w:r w:rsidRPr="006F6F49">
        <w:rPr>
          <w:i/>
          <w:iCs/>
        </w:rPr>
        <w:t>Harris</w:t>
      </w:r>
      <w:r>
        <w:t>’s analysis was specific to the FEHA and did not extend to section 1102.5 claims</w:t>
      </w:r>
      <w:r w:rsidR="008F6276">
        <w:t>, which are evaluated under the procedures set forth in section 1102.6</w:t>
      </w:r>
      <w:r>
        <w:t>.</w:t>
      </w:r>
    </w:p>
    <w:p w14:paraId="28D3ADB4" w14:textId="5B42AEDA" w:rsidR="00400367" w:rsidRPr="00E17A71" w:rsidRDefault="00300A80" w:rsidP="00542A79">
      <w:pPr>
        <w:pStyle w:val="ListParagraph"/>
        <w:keepNext/>
        <w:numPr>
          <w:ilvl w:val="0"/>
          <w:numId w:val="1"/>
        </w:numPr>
        <w:spacing w:line="360" w:lineRule="auto"/>
        <w:jc w:val="center"/>
        <w:rPr>
          <w:b/>
          <w:bCs/>
        </w:rPr>
      </w:pPr>
      <w:r w:rsidRPr="00E17A71">
        <w:rPr>
          <w:b/>
          <w:bCs/>
        </w:rPr>
        <w:t>DISCUSSION</w:t>
      </w:r>
    </w:p>
    <w:p w14:paraId="180F27E5" w14:textId="52A87362" w:rsidR="006F6F49" w:rsidRDefault="00300A80" w:rsidP="00987E6C">
      <w:pPr>
        <w:spacing w:line="360" w:lineRule="auto"/>
        <w:ind w:firstLine="720"/>
      </w:pPr>
      <w:r>
        <w:t>Ve</w:t>
      </w:r>
      <w:r w:rsidR="00A47417">
        <w:t>r</w:t>
      </w:r>
      <w:r>
        <w:t>verka</w:t>
      </w:r>
      <w:r w:rsidR="00F00CB2">
        <w:t>’s sole claim on appeal is that</w:t>
      </w:r>
      <w:r>
        <w:t xml:space="preserve"> the trial court erred in denying his motion</w:t>
      </w:r>
      <w:r w:rsidR="00D70DFB">
        <w:t xml:space="preserve"> to vacate the judgment</w:t>
      </w:r>
      <w:r w:rsidR="00F00CB2">
        <w:t xml:space="preserve">.  As he did in the trial </w:t>
      </w:r>
      <w:r w:rsidR="002A59C4">
        <w:t>court,</w:t>
      </w:r>
      <w:r w:rsidR="00034FDE">
        <w:t xml:space="preserve"> Ververka </w:t>
      </w:r>
      <w:r w:rsidR="00DA785F">
        <w:t>contends</w:t>
      </w:r>
      <w:r>
        <w:t xml:space="preserve"> </w:t>
      </w:r>
      <w:r w:rsidR="00034FDE">
        <w:t>that</w:t>
      </w:r>
      <w:r>
        <w:t xml:space="preserve"> </w:t>
      </w:r>
      <w:r w:rsidR="00132FC6">
        <w:t xml:space="preserve">under </w:t>
      </w:r>
      <w:r w:rsidR="00132FC6" w:rsidRPr="00132FC6">
        <w:rPr>
          <w:i/>
          <w:iCs/>
        </w:rPr>
        <w:t>Harris</w:t>
      </w:r>
      <w:r w:rsidR="00132FC6">
        <w:t xml:space="preserve">, </w:t>
      </w:r>
      <w:r>
        <w:t xml:space="preserve">he </w:t>
      </w:r>
      <w:r w:rsidR="00034FDE">
        <w:t>i</w:t>
      </w:r>
      <w:r>
        <w:t>s entitled to declaratory relief and attorney</w:t>
      </w:r>
      <w:r w:rsidR="000E594D">
        <w:t>’s</w:t>
      </w:r>
      <w:r>
        <w:t xml:space="preserve"> fees </w:t>
      </w:r>
      <w:r w:rsidR="00B55055">
        <w:t xml:space="preserve">and costs </w:t>
      </w:r>
      <w:r w:rsidR="00435EC7">
        <w:t xml:space="preserve">on his section 1102.5 claim </w:t>
      </w:r>
      <w:r>
        <w:t>based on the jury’s findings that some of his protected disclosures were “contributing factor</w:t>
      </w:r>
      <w:r w:rsidR="00034FDE">
        <w:t>[s]</w:t>
      </w:r>
      <w:r>
        <w:t xml:space="preserve">” in CalVet’s </w:t>
      </w:r>
      <w:r w:rsidR="00E65232">
        <w:t>recommendation</w:t>
      </w:r>
      <w:r>
        <w:t xml:space="preserve"> to remove him.</w:t>
      </w:r>
      <w:r>
        <w:rPr>
          <w:rStyle w:val="FootnoteReference"/>
        </w:rPr>
        <w:footnoteReference w:id="2"/>
      </w:r>
    </w:p>
    <w:p w14:paraId="1C95449B" w14:textId="51960BBF" w:rsidR="00FC5475" w:rsidRPr="006C7779" w:rsidRDefault="00300A80" w:rsidP="00987E6C">
      <w:pPr>
        <w:pStyle w:val="ListParagraph"/>
        <w:numPr>
          <w:ilvl w:val="0"/>
          <w:numId w:val="4"/>
        </w:numPr>
        <w:spacing w:line="360" w:lineRule="auto"/>
        <w:rPr>
          <w:b/>
          <w:bCs/>
          <w:i/>
          <w:iCs/>
        </w:rPr>
      </w:pPr>
      <w:r w:rsidRPr="006C7779">
        <w:rPr>
          <w:b/>
          <w:bCs/>
          <w:i/>
          <w:iCs/>
        </w:rPr>
        <w:t>Standards of Review</w:t>
      </w:r>
    </w:p>
    <w:p w14:paraId="4B3CB9BC" w14:textId="35D51C2D" w:rsidR="00E17A71" w:rsidRDefault="00300A80" w:rsidP="00987E6C">
      <w:pPr>
        <w:spacing w:line="360" w:lineRule="auto"/>
      </w:pPr>
      <w:r>
        <w:tab/>
      </w:r>
      <w:r w:rsidR="00776458">
        <w:t>Code of Civil Procedure section 6</w:t>
      </w:r>
      <w:r w:rsidR="009E20F2">
        <w:t>6</w:t>
      </w:r>
      <w:r w:rsidR="00776458">
        <w:t>3 authorizes a trial court to vacate a judgment that has an “[i]ncorrect or erroneous legal basis . . .</w:t>
      </w:r>
      <w:r w:rsidR="00346ABC">
        <w:t> </w:t>
      </w:r>
      <w:r w:rsidR="00776458">
        <w:t xml:space="preserve">, not consistent </w:t>
      </w:r>
      <w:r w:rsidR="00776458">
        <w:lastRenderedPageBreak/>
        <w:t>with or not supported by the facts,” and enter a different judgment.  The procedure “is designed to enable speedy rectification of a judgment rendered upon erroneous application of the law to facts which have been found by the court or jury or which are otherwise uncontroverted.”  (</w:t>
      </w:r>
      <w:r w:rsidR="00776458" w:rsidRPr="00776458">
        <w:rPr>
          <w:i/>
          <w:iCs/>
        </w:rPr>
        <w:t>Forman v. Knapp Press</w:t>
      </w:r>
      <w:r w:rsidR="00776458">
        <w:t xml:space="preserve"> (1985) 173 Cal.App.3d 200, 203.)  </w:t>
      </w:r>
    </w:p>
    <w:p w14:paraId="56E43D98" w14:textId="66E8A006" w:rsidR="00E65232" w:rsidRDefault="00300A80" w:rsidP="00987E6C">
      <w:pPr>
        <w:spacing w:line="360" w:lineRule="auto"/>
      </w:pPr>
      <w:r>
        <w:tab/>
        <w:t>Ververka’s motion to vacate the judgment turns on an interpretation of California’s whistleblower statutes</w:t>
      </w:r>
      <w:r w:rsidR="00193C1A">
        <w:t>, specifically sections 1102.5 and 1102.6</w:t>
      </w:r>
      <w:r>
        <w:t>.  Issues involving the interpretation of a statute are reviewed de novo.  (</w:t>
      </w:r>
      <w:r w:rsidRPr="00E65232">
        <w:rPr>
          <w:i/>
          <w:iCs/>
        </w:rPr>
        <w:t xml:space="preserve">Howard Contracting, Inc. v. G.A. MacDonald Construction Co. </w:t>
      </w:r>
      <w:r>
        <w:t>(1998) 71 Cal.App.4</w:t>
      </w:r>
      <w:r w:rsidRPr="00E65232">
        <w:t>th</w:t>
      </w:r>
      <w:r>
        <w:t xml:space="preserve"> 38, 49.) </w:t>
      </w:r>
      <w:r w:rsidR="00132FC6">
        <w:t xml:space="preserve"> </w:t>
      </w:r>
      <w:r w:rsidR="00151E5E">
        <w:t>“ ‘In statutory construction cases, our fundamental task is to ascertain the intent of the lawmakers so as to effectuate the purpose of the statute.’ ”  (</w:t>
      </w:r>
      <w:r w:rsidR="00151E5E" w:rsidRPr="00151E5E">
        <w:rPr>
          <w:i/>
          <w:iCs/>
        </w:rPr>
        <w:t xml:space="preserve">Estate of </w:t>
      </w:r>
      <w:r w:rsidR="00151E5E">
        <w:rPr>
          <w:i/>
          <w:iCs/>
        </w:rPr>
        <w:t xml:space="preserve">Thomas </w:t>
      </w:r>
      <w:r w:rsidR="00151E5E" w:rsidRPr="00151E5E">
        <w:t>(2004) 124 Cal.App.4th 711, 719</w:t>
      </w:r>
      <w:r w:rsidR="00151E5E">
        <w:t xml:space="preserve">.)  </w:t>
      </w:r>
      <w:r w:rsidR="00543BCE">
        <w:t>B</w:t>
      </w:r>
      <w:r w:rsidR="00132FC6">
        <w:t>efore proceeding to an analysis of the whistleblower statutes</w:t>
      </w:r>
      <w:r w:rsidR="00543BCE">
        <w:t xml:space="preserve">, we examine </w:t>
      </w:r>
      <w:r w:rsidR="00543BCE" w:rsidRPr="00543BCE">
        <w:rPr>
          <w:i/>
          <w:iCs/>
        </w:rPr>
        <w:t>Harris</w:t>
      </w:r>
      <w:r w:rsidR="00543BCE">
        <w:t xml:space="preserve">, the FEHA case Ververka relies on </w:t>
      </w:r>
      <w:r w:rsidR="00AA3CF9">
        <w:t xml:space="preserve">to </w:t>
      </w:r>
      <w:r w:rsidR="00543BCE">
        <w:t>support his argument</w:t>
      </w:r>
      <w:r w:rsidR="008F1010">
        <w:t xml:space="preserve"> that</w:t>
      </w:r>
      <w:r w:rsidR="005C525F">
        <w:t xml:space="preserve"> the trial court erred by denying his motion</w:t>
      </w:r>
      <w:r w:rsidR="0096114D">
        <w:t xml:space="preserve"> to vacate</w:t>
      </w:r>
      <w:r w:rsidR="002B5BD2">
        <w:t xml:space="preserve"> the judgment</w:t>
      </w:r>
      <w:r w:rsidR="00132FC6">
        <w:t>.</w:t>
      </w:r>
    </w:p>
    <w:p w14:paraId="2D8F4BCF" w14:textId="55BA7C51" w:rsidR="00132FC6" w:rsidRPr="006C7779" w:rsidRDefault="00300A80" w:rsidP="00987E6C">
      <w:pPr>
        <w:pStyle w:val="ListParagraph"/>
        <w:numPr>
          <w:ilvl w:val="0"/>
          <w:numId w:val="4"/>
        </w:numPr>
        <w:spacing w:line="360" w:lineRule="auto"/>
        <w:rPr>
          <w:b/>
          <w:bCs/>
          <w:i/>
          <w:iCs/>
        </w:rPr>
      </w:pPr>
      <w:r w:rsidRPr="006C7779">
        <w:rPr>
          <w:b/>
          <w:bCs/>
        </w:rPr>
        <w:t xml:space="preserve">Harris </w:t>
      </w:r>
      <w:r w:rsidRPr="006C7779">
        <w:rPr>
          <w:b/>
          <w:bCs/>
          <w:i/>
          <w:iCs/>
        </w:rPr>
        <w:t>and the FEHA</w:t>
      </w:r>
    </w:p>
    <w:p w14:paraId="4AC08810" w14:textId="0F8B122A" w:rsidR="00074667" w:rsidRDefault="00300A80" w:rsidP="00987E6C">
      <w:pPr>
        <w:spacing w:line="360" w:lineRule="auto"/>
        <w:ind w:firstLine="720"/>
      </w:pPr>
      <w:r>
        <w:t xml:space="preserve">The </w:t>
      </w:r>
      <w:r w:rsidR="006A117E" w:rsidRPr="001A65DB">
        <w:t xml:space="preserve">FEHA </w:t>
      </w:r>
      <w:r w:rsidR="006A117E">
        <w:t>provides that it is “an unlawful employment practice” for an employer to take an adverse employment action against a person “because of” their membership in a protected class.</w:t>
      </w:r>
      <w:r w:rsidR="00B04AFF">
        <w:t xml:space="preserve">  </w:t>
      </w:r>
      <w:r w:rsidR="006A117E">
        <w:t>(Gov.</w:t>
      </w:r>
      <w:r w:rsidR="001E41C9">
        <w:t> </w:t>
      </w:r>
      <w:r w:rsidR="006A117E">
        <w:t>Code,</w:t>
      </w:r>
      <w:r w:rsidR="00E70A02">
        <w:t> </w:t>
      </w:r>
      <w:r w:rsidR="006A117E">
        <w:t>§</w:t>
      </w:r>
      <w:r w:rsidR="00E70A02">
        <w:t> </w:t>
      </w:r>
      <w:r w:rsidR="006A117E">
        <w:t>12940.)</w:t>
      </w:r>
      <w:r>
        <w:t xml:space="preserve">  “Since plaintiffs in employment discrimination cases most often lack direct evidence of the employer’s discriminatory intent,” courts </w:t>
      </w:r>
      <w:r w:rsidR="00435EC7">
        <w:t xml:space="preserve">frequently </w:t>
      </w:r>
      <w:r>
        <w:t xml:space="preserve">rely on a three-part test developed in </w:t>
      </w:r>
      <w:r w:rsidRPr="00074667">
        <w:rPr>
          <w:i/>
          <w:iCs/>
        </w:rPr>
        <w:t>McDonnell Douglas Corp. v. Green</w:t>
      </w:r>
      <w:r>
        <w:t xml:space="preserve"> (1973) 411 U.S. 792 (</w:t>
      </w:r>
      <w:r w:rsidRPr="00074667">
        <w:rPr>
          <w:i/>
          <w:iCs/>
        </w:rPr>
        <w:t>McDonnell Douglas</w:t>
      </w:r>
      <w:r>
        <w:t>)</w:t>
      </w:r>
      <w:r w:rsidR="00C26EF9">
        <w:t xml:space="preserve"> to </w:t>
      </w:r>
      <w:r w:rsidR="00435EC7">
        <w:t>evaluate</w:t>
      </w:r>
      <w:r w:rsidR="008E6578">
        <w:t xml:space="preserve"> discrimination claims</w:t>
      </w:r>
      <w:r>
        <w:t>: “ ‘(1) The complainant must establish a prima facie case of discrimination; (2) the employer must offer a legitimate reason for his actions; (3) the complainant must prove that this reason was a pretext to mask an illegal motive.’ ”  (</w:t>
      </w:r>
      <w:r w:rsidRPr="00074667">
        <w:rPr>
          <w:i/>
          <w:iCs/>
        </w:rPr>
        <w:t>Morgan v. Regents of University of Cal</w:t>
      </w:r>
      <w:r w:rsidR="00D1103D">
        <w:rPr>
          <w:i/>
          <w:iCs/>
        </w:rPr>
        <w:t>ifornia</w:t>
      </w:r>
      <w:r w:rsidRPr="00074667">
        <w:rPr>
          <w:i/>
          <w:iCs/>
        </w:rPr>
        <w:t xml:space="preserve"> </w:t>
      </w:r>
      <w:r>
        <w:t>(2000) 88 Cal.App.4</w:t>
      </w:r>
      <w:r w:rsidRPr="00074667">
        <w:t>th</w:t>
      </w:r>
      <w:r>
        <w:t xml:space="preserve"> 52, 68.)  </w:t>
      </w:r>
    </w:p>
    <w:p w14:paraId="55F8F758" w14:textId="38ACB168" w:rsidR="006A117E" w:rsidRDefault="00300A80" w:rsidP="00987E6C">
      <w:pPr>
        <w:spacing w:line="360" w:lineRule="auto"/>
        <w:ind w:firstLine="720"/>
      </w:pPr>
      <w:r>
        <w:lastRenderedPageBreak/>
        <w:t xml:space="preserve">In </w:t>
      </w:r>
      <w:r w:rsidRPr="00CD408F">
        <w:rPr>
          <w:i/>
          <w:iCs/>
        </w:rPr>
        <w:t>Harris</w:t>
      </w:r>
      <w:r>
        <w:t>, our high court held the</w:t>
      </w:r>
      <w:r w:rsidR="00930E06">
        <w:t xml:space="preserve"> </w:t>
      </w:r>
      <w:r w:rsidR="00930E06" w:rsidRPr="00930E06">
        <w:rPr>
          <w:i/>
          <w:iCs/>
        </w:rPr>
        <w:t>McDonnell Douglas</w:t>
      </w:r>
      <w:r w:rsidR="00930E06">
        <w:t xml:space="preserve"> test</w:t>
      </w:r>
      <w:r w:rsidR="00074667">
        <w:t xml:space="preserve"> </w:t>
      </w:r>
      <w:r w:rsidR="00435EC7">
        <w:t xml:space="preserve">was </w:t>
      </w:r>
      <w:r w:rsidR="00074667">
        <w:t>inapplicable</w:t>
      </w:r>
      <w:r w:rsidR="00930E06">
        <w:t xml:space="preserve"> to </w:t>
      </w:r>
      <w:r w:rsidR="00074667">
        <w:t>cases where a mix of discriminatory and legitimate reasons motivated the employer’s decision</w:t>
      </w:r>
      <w:r w:rsidR="00CA4955">
        <w:t>;</w:t>
      </w:r>
      <w:r w:rsidR="00626597">
        <w:t xml:space="preserve"> it </w:t>
      </w:r>
      <w:r w:rsidR="00B56CB0">
        <w:t xml:space="preserve">therefore </w:t>
      </w:r>
      <w:r w:rsidR="00626597">
        <w:t xml:space="preserve">construed Government Code section 12940 to determine the appropriate standard for evaluating discrimination claims in </w:t>
      </w:r>
      <w:r w:rsidR="002E7F0F">
        <w:t>such</w:t>
      </w:r>
      <w:r w:rsidR="00626597">
        <w:t xml:space="preserve"> cases</w:t>
      </w:r>
      <w:r>
        <w:t xml:space="preserve">.  </w:t>
      </w:r>
      <w:r w:rsidR="009F5332">
        <w:t>(</w:t>
      </w:r>
      <w:r w:rsidR="009F5332">
        <w:rPr>
          <w:i/>
          <w:iCs/>
        </w:rPr>
        <w:t>Harris, supra</w:t>
      </w:r>
      <w:r w:rsidR="009F5332" w:rsidRPr="009F5332">
        <w:t>,</w:t>
      </w:r>
      <w:r w:rsidR="009F5332">
        <w:rPr>
          <w:i/>
          <w:iCs/>
        </w:rPr>
        <w:t xml:space="preserve"> </w:t>
      </w:r>
      <w:r w:rsidR="009F5332">
        <w:t>56 Cal.4th at p.</w:t>
      </w:r>
      <w:r w:rsidR="00B27D68">
        <w:t> </w:t>
      </w:r>
      <w:r w:rsidR="009F5332">
        <w:t xml:space="preserve">215.)  </w:t>
      </w:r>
      <w:r w:rsidR="00150CAC">
        <w:t xml:space="preserve">In </w:t>
      </w:r>
      <w:r w:rsidRPr="00C206DE">
        <w:rPr>
          <w:i/>
          <w:iCs/>
        </w:rPr>
        <w:t>Harris</w:t>
      </w:r>
      <w:r w:rsidR="00150CAC">
        <w:t xml:space="preserve">, </w:t>
      </w:r>
      <w:r>
        <w:t xml:space="preserve">a bus driver alleged the City of Santa Monica fired her because of her pregnancy.  The City asked the trial court to instruct the jury that if it found a mix of discriminatory and legitimate motives, the City could avoid liability by proving the </w:t>
      </w:r>
      <w:r w:rsidR="00DA121E">
        <w:t>“</w:t>
      </w:r>
      <w:r>
        <w:t>same decision</w:t>
      </w:r>
      <w:r w:rsidR="00DA121E">
        <w:t>”</w:t>
      </w:r>
      <w:r>
        <w:t xml:space="preserve"> defense.  The trial court rejected the instruction, and the jury found in favor of the employee.  The Court of Appeal reversed, holding that </w:t>
      </w:r>
      <w:r w:rsidR="00506878">
        <w:t xml:space="preserve">the court’s </w:t>
      </w:r>
      <w:r>
        <w:t xml:space="preserve">refusal to give the requested instruction was prejudicial error.  </w:t>
      </w:r>
      <w:r w:rsidR="009F5332">
        <w:t>(</w:t>
      </w:r>
      <w:r w:rsidR="009F5332" w:rsidRPr="00686C0C">
        <w:rPr>
          <w:i/>
          <w:iCs/>
        </w:rPr>
        <w:t>Id.</w:t>
      </w:r>
      <w:r w:rsidR="009F5332">
        <w:t xml:space="preserve"> at p. 211.)  </w:t>
      </w:r>
    </w:p>
    <w:p w14:paraId="4B35C0B0" w14:textId="18B3DC01" w:rsidR="006A117E" w:rsidRDefault="00300A80" w:rsidP="00987E6C">
      <w:pPr>
        <w:spacing w:line="360" w:lineRule="auto"/>
      </w:pPr>
      <w:r>
        <w:tab/>
      </w:r>
      <w:r w:rsidR="009A2CEE">
        <w:t>Our high</w:t>
      </w:r>
      <w:r w:rsidRPr="00E941C2">
        <w:rPr>
          <w:i/>
          <w:iCs/>
        </w:rPr>
        <w:t xml:space="preserve"> </w:t>
      </w:r>
      <w:r>
        <w:t xml:space="preserve">court </w:t>
      </w:r>
      <w:r w:rsidR="002F5453">
        <w:t xml:space="preserve">agreed with the Court of Appeal in part, </w:t>
      </w:r>
      <w:r w:rsidR="006743A1">
        <w:t>conclud</w:t>
      </w:r>
      <w:r w:rsidR="002F5453">
        <w:t>ing that</w:t>
      </w:r>
      <w:r w:rsidR="006743A1">
        <w:t xml:space="preserve"> </w:t>
      </w:r>
      <w:r>
        <w:t xml:space="preserve">a </w:t>
      </w:r>
      <w:r w:rsidR="001E4B08">
        <w:t xml:space="preserve">trial </w:t>
      </w:r>
      <w:r>
        <w:t xml:space="preserve">court may not award damages, backpay, or an order of reinstatement when the employer has proven it would have made the same decision absent unlawful discrimination, but </w:t>
      </w:r>
      <w:r w:rsidR="00591A31">
        <w:t xml:space="preserve">it held that </w:t>
      </w:r>
      <w:r>
        <w:t xml:space="preserve">the employee may still be awarded declaratory or injunctive relief when </w:t>
      </w:r>
      <w:r w:rsidR="002B4631">
        <w:t>they</w:t>
      </w:r>
      <w:r>
        <w:t xml:space="preserve"> prove that unlawful discrimination was a “substantial factor” motivating the adverse employment action.  </w:t>
      </w:r>
      <w:r w:rsidR="009F5332">
        <w:t>(</w:t>
      </w:r>
      <w:r w:rsidR="009F5332" w:rsidRPr="009F5332">
        <w:rPr>
          <w:i/>
          <w:iCs/>
        </w:rPr>
        <w:t>Harris, supra</w:t>
      </w:r>
      <w:r w:rsidR="009F5332">
        <w:t>, 56 Cal.4</w:t>
      </w:r>
      <w:r w:rsidR="009F5332" w:rsidRPr="009F5332">
        <w:t xml:space="preserve">th </w:t>
      </w:r>
      <w:r w:rsidR="009F5332">
        <w:t xml:space="preserve">at p. 211.)  </w:t>
      </w:r>
      <w:r>
        <w:t>In coming to this conclusion,</w:t>
      </w:r>
      <w:r w:rsidR="00626597" w:rsidRPr="00626597">
        <w:t xml:space="preserve"> </w:t>
      </w:r>
      <w:r w:rsidR="00626597">
        <w:t xml:space="preserve">the </w:t>
      </w:r>
      <w:r w:rsidR="00E36667" w:rsidRPr="00542A79">
        <w:rPr>
          <w:i/>
          <w:iCs/>
        </w:rPr>
        <w:t>Harris</w:t>
      </w:r>
      <w:r w:rsidR="00E36667">
        <w:t xml:space="preserve"> </w:t>
      </w:r>
      <w:r w:rsidR="00626597">
        <w:t>court interpreted the phrase “because of” in Government Code section 12940 to clarify the “kind or degree of causation” required to prove unlawful discrimination in mixed-motive cases.  (</w:t>
      </w:r>
      <w:r w:rsidR="00626597" w:rsidRPr="00626597">
        <w:rPr>
          <w:i/>
          <w:iCs/>
        </w:rPr>
        <w:t>Harris</w:t>
      </w:r>
      <w:r w:rsidR="00626597">
        <w:t xml:space="preserve">, at p. 215.) </w:t>
      </w:r>
      <w:r>
        <w:t xml:space="preserve"> </w:t>
      </w:r>
      <w:r w:rsidR="00626597">
        <w:t>It initially</w:t>
      </w:r>
      <w:r>
        <w:t xml:space="preserve"> determined that there were three possible meanings of the phrase: “(1) discrimination was a ‘but for’ cause of the employment decision, (2) discrimination was a ‘substantial factor’ in the decision, and (3) discrimination was simply ‘a motivating factor.’ ”  (</w:t>
      </w:r>
      <w:r w:rsidRPr="009F5332">
        <w:rPr>
          <w:i/>
          <w:iCs/>
        </w:rPr>
        <w:t>Id.</w:t>
      </w:r>
      <w:r>
        <w:t xml:space="preserve"> at p. 217.)  </w:t>
      </w:r>
    </w:p>
    <w:p w14:paraId="682DF1FB" w14:textId="3E4DF6E0" w:rsidR="006A117E" w:rsidRDefault="00300A80" w:rsidP="00987E6C">
      <w:pPr>
        <w:spacing w:line="360" w:lineRule="auto"/>
        <w:ind w:firstLine="720"/>
      </w:pPr>
      <w:r>
        <w:lastRenderedPageBreak/>
        <w:t xml:space="preserve">Since “because of” was susceptible to multiple meanings, the </w:t>
      </w:r>
      <w:r w:rsidRPr="000F44F0">
        <w:rPr>
          <w:i/>
          <w:iCs/>
        </w:rPr>
        <w:t>Harris</w:t>
      </w:r>
      <w:r>
        <w:t xml:space="preserve"> court considered the legal consequences that would result from the employer’s proof that it would have made the same decision in the absence of discrimination, noting that the FEHA expressly declares “two related but different purposes</w:t>
      </w:r>
      <w:r w:rsidR="002529E2">
        <w:t xml:space="preserve"> . . .</w:t>
      </w:r>
      <w:r>
        <w:t xml:space="preserve"> to restore aggrieved persons to the position they would have occupied had the discrimination not occurred” and “ ‘to provide effective remedies that will</w:t>
      </w:r>
      <w:r w:rsidR="00D1103D">
        <w:t xml:space="preserve"> . . .</w:t>
      </w:r>
      <w:r>
        <w:t xml:space="preserve"> prevent and deter unlawful employment practices.’ ”  (</w:t>
      </w:r>
      <w:r w:rsidR="009F5332">
        <w:rPr>
          <w:i/>
          <w:iCs/>
        </w:rPr>
        <w:t>Harris, supra</w:t>
      </w:r>
      <w:r w:rsidR="009F5332" w:rsidRPr="009F5332">
        <w:t>, 56 Cal.4th</w:t>
      </w:r>
      <w:r>
        <w:t xml:space="preserve"> at pp.</w:t>
      </w:r>
      <w:r w:rsidR="00BB3EFB">
        <w:t> </w:t>
      </w:r>
      <w:r>
        <w:t>222–225</w:t>
      </w:r>
      <w:r w:rsidR="004F0E2E">
        <w:t xml:space="preserve">, citing Gov. Code, §§ </w:t>
      </w:r>
      <w:r w:rsidR="00E23198">
        <w:t>12920, 12920.5</w:t>
      </w:r>
      <w:r>
        <w:t xml:space="preserve">.)  </w:t>
      </w:r>
    </w:p>
    <w:p w14:paraId="0533907F" w14:textId="795BF55A" w:rsidR="006A117E" w:rsidRDefault="00300A80" w:rsidP="00B04AFF">
      <w:pPr>
        <w:spacing w:line="360" w:lineRule="auto"/>
        <w:ind w:firstLine="720"/>
      </w:pPr>
      <w:r>
        <w:t xml:space="preserve">Considering the FEHA’s purposes, </w:t>
      </w:r>
      <w:r w:rsidR="00340D12" w:rsidRPr="00542A79">
        <w:rPr>
          <w:i/>
          <w:iCs/>
        </w:rPr>
        <w:t>Harris</w:t>
      </w:r>
      <w:r>
        <w:t xml:space="preserve"> concluded that a same</w:t>
      </w:r>
      <w:r w:rsidR="00667797">
        <w:t xml:space="preserve"> </w:t>
      </w:r>
      <w:r>
        <w:t>decision showing “is not a complete defense to liability when the plaintiff has proven that discrimination on the basis of a protected characteristic was a substantial factor motivating the adverse employment action.”  (</w:t>
      </w:r>
      <w:r w:rsidRPr="00B3654A">
        <w:rPr>
          <w:i/>
          <w:iCs/>
        </w:rPr>
        <w:t>Harris, supra</w:t>
      </w:r>
      <w:r>
        <w:t>, 56 Cal.4</w:t>
      </w:r>
      <w:r w:rsidRPr="00B3654A">
        <w:t>th</w:t>
      </w:r>
      <w:r>
        <w:t xml:space="preserve"> at p. 225.)  It reasoned that “it would tend to defeat the preventive and deterrent purposes of the FEHA to hold that a same</w:t>
      </w:r>
      <w:r w:rsidR="00D1103D">
        <w:t>-</w:t>
      </w:r>
      <w:r>
        <w:t>decision showing entirely absolves an employer of liability when its employment decision was substantially motivated by discrimination.”  (</w:t>
      </w:r>
      <w:r w:rsidRPr="00526B59">
        <w:rPr>
          <w:i/>
          <w:iCs/>
        </w:rPr>
        <w:t>Ibid.</w:t>
      </w:r>
      <w:r>
        <w:t>)  “</w:t>
      </w:r>
      <w:r w:rsidR="00542A79">
        <w:t>[D]</w:t>
      </w:r>
      <w:r>
        <w:t>iscrimination can be serious, consequential, and even by itself determinative of an employment decision without also being a ‘but for’ cause.”  (</w:t>
      </w:r>
      <w:r w:rsidRPr="00B3654A">
        <w:rPr>
          <w:i/>
          <w:iCs/>
        </w:rPr>
        <w:t>Id.</w:t>
      </w:r>
      <w:r>
        <w:t xml:space="preserve"> at p. 229.) </w:t>
      </w:r>
    </w:p>
    <w:p w14:paraId="263AFF67" w14:textId="5BD12F00" w:rsidR="006A117E" w:rsidRDefault="00300A80" w:rsidP="00987E6C">
      <w:pPr>
        <w:spacing w:line="360" w:lineRule="auto"/>
      </w:pPr>
      <w:r>
        <w:tab/>
        <w:t xml:space="preserve">The </w:t>
      </w:r>
      <w:r w:rsidR="00105C14" w:rsidRPr="00542A79">
        <w:rPr>
          <w:i/>
          <w:iCs/>
        </w:rPr>
        <w:t xml:space="preserve">Harris </w:t>
      </w:r>
      <w:r>
        <w:t>court further concluded that where a plaintiff has proven that discrimination was a substantial motivating factor in a termination decision, an employer’s same decision defense precludes an award of damages</w:t>
      </w:r>
      <w:r w:rsidR="00C26EF9">
        <w:t xml:space="preserve"> and backpay</w:t>
      </w:r>
      <w:r>
        <w:t xml:space="preserve"> and an order of reinstatement.  (</w:t>
      </w:r>
      <w:r w:rsidR="009F5332">
        <w:rPr>
          <w:i/>
          <w:iCs/>
        </w:rPr>
        <w:t>Harris, supra</w:t>
      </w:r>
      <w:r w:rsidR="009F5332" w:rsidRPr="009F5332">
        <w:t>, Cal.4th</w:t>
      </w:r>
      <w:r w:rsidRPr="009F5332">
        <w:t xml:space="preserve"> </w:t>
      </w:r>
      <w:r>
        <w:t>at pp.</w:t>
      </w:r>
      <w:r w:rsidR="001F3EB0">
        <w:t> </w:t>
      </w:r>
      <w:r>
        <w:t>234</w:t>
      </w:r>
      <w:r w:rsidR="00B27D68">
        <w:t>–2</w:t>
      </w:r>
      <w:r>
        <w:t>35.)  It explained that awarding an employee such relief where an employer would have terminated the employee for other</w:t>
      </w:r>
      <w:r w:rsidR="0083085F">
        <w:t>—</w:t>
      </w:r>
      <w:r>
        <w:t>legitimate</w:t>
      </w:r>
      <w:r w:rsidR="0083085F">
        <w:t>—</w:t>
      </w:r>
      <w:r>
        <w:t xml:space="preserve">reasons would result in “an unjustified windfall and unduly limit[] the </w:t>
      </w:r>
      <w:r>
        <w:lastRenderedPageBreak/>
        <w:t>freedom of employers to make legitimate employment decisions.”  (</w:t>
      </w:r>
      <w:r w:rsidRPr="008F3DDC">
        <w:rPr>
          <w:i/>
          <w:iCs/>
        </w:rPr>
        <w:t>Id.</w:t>
      </w:r>
      <w:r>
        <w:t xml:space="preserve"> at p.</w:t>
      </w:r>
      <w:r w:rsidR="00C404C2">
        <w:t> </w:t>
      </w:r>
      <w:r>
        <w:t>233.)  But “proof that an adverse employment decision was substantially motivated by discrimination may warrant a judicial declaration of employer wrongdoing,” and injunctive relief may be appropriate to stop discriminatory practices.  (</w:t>
      </w:r>
      <w:r w:rsidRPr="007B7D8D">
        <w:rPr>
          <w:i/>
          <w:iCs/>
        </w:rPr>
        <w:t>Id.</w:t>
      </w:r>
      <w:r>
        <w:t xml:space="preserve"> at p. 234.)  It may also “be appropriate that the employer pay reasonable attorney’s fees and costs for litigation for which its own wrongdoing has been shown to be substantially responsible.”  (</w:t>
      </w:r>
      <w:r w:rsidRPr="008F3DDC">
        <w:rPr>
          <w:i/>
          <w:iCs/>
        </w:rPr>
        <w:t>Id.</w:t>
      </w:r>
      <w:r>
        <w:t xml:space="preserve"> at p. 235.)     </w:t>
      </w:r>
    </w:p>
    <w:p w14:paraId="4064CCCA" w14:textId="457A5530" w:rsidR="006A117E" w:rsidRPr="00132FC6" w:rsidRDefault="00300A80" w:rsidP="00987E6C">
      <w:pPr>
        <w:spacing w:line="360" w:lineRule="auto"/>
      </w:pPr>
      <w:r>
        <w:tab/>
        <w:t xml:space="preserve">In </w:t>
      </w:r>
      <w:r w:rsidR="00CE2D88">
        <w:t>short</w:t>
      </w:r>
      <w:r>
        <w:t>, the FEHA expressly defines an “unlawful employment practice” as an adverse action taken “because of” an employee’s protected characteristic</w:t>
      </w:r>
      <w:r w:rsidR="009F5332">
        <w:t xml:space="preserve"> (Gov. Code, § 12940, subd. (a))</w:t>
      </w:r>
      <w:r>
        <w:t xml:space="preserve">, and </w:t>
      </w:r>
      <w:r w:rsidRPr="00BB1862">
        <w:rPr>
          <w:i/>
          <w:iCs/>
        </w:rPr>
        <w:t>Harris</w:t>
      </w:r>
      <w:r>
        <w:t xml:space="preserve"> clarifies that “because of” means the employee’s protected characteristic was at least a “</w:t>
      </w:r>
      <w:r w:rsidRPr="00133039">
        <w:rPr>
          <w:i/>
          <w:iCs/>
        </w:rPr>
        <w:t>substantial</w:t>
      </w:r>
      <w:r>
        <w:t xml:space="preserve"> motivating factor” in the adverse action</w:t>
      </w:r>
      <w:r w:rsidR="009F5332">
        <w:t xml:space="preserve"> (</w:t>
      </w:r>
      <w:r w:rsidR="009F5332" w:rsidRPr="009F5332">
        <w:rPr>
          <w:i/>
          <w:iCs/>
        </w:rPr>
        <w:t>Harris, supra</w:t>
      </w:r>
      <w:r w:rsidR="009F5332">
        <w:t>, 56 Cal.4</w:t>
      </w:r>
      <w:r w:rsidR="009F5332" w:rsidRPr="009F5332">
        <w:t>th</w:t>
      </w:r>
      <w:r w:rsidR="009F5332">
        <w:t xml:space="preserve"> at pp. 215, 232)</w:t>
      </w:r>
      <w:r>
        <w:t xml:space="preserve">.  Since the FEHA states that one of its purposes is to deter and prevent “unlawful employment practices,” a same decision defense is </w:t>
      </w:r>
      <w:r w:rsidR="002F5453">
        <w:t>only a partial</w:t>
      </w:r>
      <w:r>
        <w:t xml:space="preserve"> defense </w:t>
      </w:r>
      <w:r w:rsidR="00626597">
        <w:t xml:space="preserve">in FEHA cases </w:t>
      </w:r>
      <w:r>
        <w:t>where the employee has proven that discrimination was a “substantial motivating factor” in the adverse action.  (Gov. Code, §</w:t>
      </w:r>
      <w:r w:rsidR="00E70A02">
        <w:t> </w:t>
      </w:r>
      <w:r>
        <w:t>12920.5</w:t>
      </w:r>
      <w:r w:rsidR="009F5332">
        <w:t xml:space="preserve">; </w:t>
      </w:r>
      <w:r w:rsidR="009F5332" w:rsidRPr="009F5332">
        <w:rPr>
          <w:i/>
          <w:iCs/>
        </w:rPr>
        <w:t>Harris</w:t>
      </w:r>
      <w:r w:rsidR="009F5332">
        <w:t>, at p. 232</w:t>
      </w:r>
      <w:r>
        <w:t xml:space="preserve">.)  </w:t>
      </w:r>
    </w:p>
    <w:p w14:paraId="1003BE57" w14:textId="06FDF5A7" w:rsidR="00E65232" w:rsidRPr="006C7779" w:rsidRDefault="00300A80" w:rsidP="00987E6C">
      <w:pPr>
        <w:pStyle w:val="ListParagraph"/>
        <w:numPr>
          <w:ilvl w:val="0"/>
          <w:numId w:val="4"/>
        </w:numPr>
        <w:spacing w:before="120" w:line="360" w:lineRule="auto"/>
        <w:rPr>
          <w:b/>
          <w:bCs/>
          <w:i/>
          <w:iCs/>
        </w:rPr>
      </w:pPr>
      <w:r w:rsidRPr="006C7779">
        <w:rPr>
          <w:b/>
          <w:bCs/>
          <w:i/>
          <w:iCs/>
        </w:rPr>
        <w:t>An Em</w:t>
      </w:r>
      <w:r w:rsidR="0013612B">
        <w:rPr>
          <w:b/>
          <w:bCs/>
          <w:i/>
          <w:iCs/>
        </w:rPr>
        <w:t>p</w:t>
      </w:r>
      <w:r w:rsidRPr="006C7779">
        <w:rPr>
          <w:b/>
          <w:bCs/>
          <w:i/>
          <w:iCs/>
        </w:rPr>
        <w:t>loyer’s Same</w:t>
      </w:r>
      <w:r w:rsidR="00667797">
        <w:rPr>
          <w:b/>
          <w:bCs/>
          <w:i/>
          <w:iCs/>
        </w:rPr>
        <w:t xml:space="preserve"> </w:t>
      </w:r>
      <w:r w:rsidRPr="006C7779">
        <w:rPr>
          <w:b/>
          <w:bCs/>
          <w:i/>
          <w:iCs/>
        </w:rPr>
        <w:t xml:space="preserve">Decision Showing Is a Complete Defense </w:t>
      </w:r>
      <w:r w:rsidR="007C68DE">
        <w:rPr>
          <w:b/>
          <w:bCs/>
          <w:i/>
          <w:iCs/>
        </w:rPr>
        <w:t>Under</w:t>
      </w:r>
      <w:r w:rsidR="00B63FA3" w:rsidRPr="006C7779">
        <w:rPr>
          <w:b/>
          <w:bCs/>
          <w:i/>
          <w:iCs/>
        </w:rPr>
        <w:t xml:space="preserve"> Section 1102.</w:t>
      </w:r>
      <w:r w:rsidR="007C68DE">
        <w:rPr>
          <w:b/>
          <w:bCs/>
          <w:i/>
          <w:iCs/>
        </w:rPr>
        <w:t>6</w:t>
      </w:r>
      <w:r w:rsidR="00987E6C">
        <w:rPr>
          <w:b/>
          <w:bCs/>
          <w:i/>
          <w:iCs/>
        </w:rPr>
        <w:t>.</w:t>
      </w:r>
    </w:p>
    <w:p w14:paraId="3AB521B6" w14:textId="1D1958AC" w:rsidR="00E65232" w:rsidRDefault="00300A80" w:rsidP="00987E6C">
      <w:pPr>
        <w:spacing w:line="360" w:lineRule="auto"/>
        <w:ind w:firstLine="720"/>
      </w:pPr>
      <w:r>
        <w:t xml:space="preserve">Section 1102.5 provides protections to employees who report wrongdoing to authorities.  </w:t>
      </w:r>
      <w:r w:rsidR="000F02EE">
        <w:t>Specifically, the</w:t>
      </w:r>
      <w:r>
        <w:t xml:space="preserve"> statute prohibits an employer from “retaliat[ing] against” an employee </w:t>
      </w:r>
      <w:r w:rsidR="00E41D99">
        <w:t>“</w:t>
      </w:r>
      <w:r>
        <w:t>for</w:t>
      </w:r>
      <w:r w:rsidR="00E41D99">
        <w:t>”</w:t>
      </w:r>
      <w:r>
        <w:t xml:space="preserve"> disclosing information that the employee believes discloses a violation of law or noncompliance with regulations.  (§ 1102.5, subd. (b).)  “A report made by an employee of a government agency to their employe</w:t>
      </w:r>
      <w:r w:rsidR="00740EEF">
        <w:t>r</w:t>
      </w:r>
      <w:r>
        <w:t>” constitutes a protected disclosure under section 1102.5.  (</w:t>
      </w:r>
      <w:r w:rsidR="0074628C" w:rsidRPr="00542A79">
        <w:rPr>
          <w:i/>
          <w:iCs/>
        </w:rPr>
        <w:t>Id.</w:t>
      </w:r>
      <w:r w:rsidR="0074628C">
        <w:t xml:space="preserve">, </w:t>
      </w:r>
      <w:r>
        <w:t xml:space="preserve">subd. (e).)  The statute “reflects the broad public policy interest in encouraging workplace whistle-blowers to report unlawful </w:t>
      </w:r>
      <w:r>
        <w:lastRenderedPageBreak/>
        <w:t>acts without fearing retaliation.”  (</w:t>
      </w:r>
      <w:r w:rsidRPr="00485821">
        <w:rPr>
          <w:i/>
          <w:iCs/>
        </w:rPr>
        <w:t>Green v. Ralee Engineering Co.</w:t>
      </w:r>
      <w:r>
        <w:t xml:space="preserve"> (1998) 19 Cal.4</w:t>
      </w:r>
      <w:r w:rsidRPr="002C278D">
        <w:t>th</w:t>
      </w:r>
      <w:r>
        <w:t xml:space="preserve"> 66, 77.)  </w:t>
      </w:r>
    </w:p>
    <w:p w14:paraId="5D37DD15" w14:textId="7154D77F" w:rsidR="00E65232" w:rsidRDefault="00300A80" w:rsidP="00987E6C">
      <w:pPr>
        <w:spacing w:line="360" w:lineRule="auto"/>
        <w:ind w:firstLine="720"/>
      </w:pPr>
      <w:r>
        <w:t xml:space="preserve">In 2003, the Legislature </w:t>
      </w:r>
      <w:r w:rsidR="00485821">
        <w:t>amended the Labor Code in response to “the recent spate of false business reports and other illegal activity by Enron, WorldCom and others.”</w:t>
      </w:r>
      <w:r>
        <w:t xml:space="preserve">  </w:t>
      </w:r>
      <w:r w:rsidR="00ED3B3F">
        <w:t>(Stats. 2003, ch. 484, § 3; Assem. Com. on Judiciary, Analysis of Sen. Bill No. 777 (2003–2004 Reg. Sess.) as amended May 29, 2003, p. 1.)</w:t>
      </w:r>
      <w:r w:rsidR="00485821">
        <w:t xml:space="preserve">  As relevant here, it added</w:t>
      </w:r>
      <w:r>
        <w:t xml:space="preserve"> section </w:t>
      </w:r>
      <w:r w:rsidR="00485821">
        <w:t xml:space="preserve">1102.6, which </w:t>
      </w:r>
      <w:r>
        <w:t>provides:</w:t>
      </w:r>
    </w:p>
    <w:p w14:paraId="0573887F" w14:textId="77777777" w:rsidR="0042046D" w:rsidRDefault="00300A80" w:rsidP="00987E6C">
      <w:pPr>
        <w:spacing w:line="360" w:lineRule="auto"/>
        <w:ind w:firstLine="720"/>
      </w:pPr>
      <w:r>
        <w:rPr>
          <w:shd w:val="clear" w:color="auto" w:fill="FFFFFF"/>
        </w:rPr>
        <w:t>“</w:t>
      </w:r>
      <w:r w:rsidRPr="00744D92">
        <w:rPr>
          <w:shd w:val="clear" w:color="auto" w:fill="FFFFFF"/>
        </w:rPr>
        <w:t>In a civil action or administrative proceeding brought pursuant to </w:t>
      </w:r>
      <w:r w:rsidRPr="00744D92">
        <w:rPr>
          <w:bdr w:val="none" w:sz="0" w:space="0" w:color="auto" w:frame="1"/>
          <w:shd w:val="clear" w:color="auto" w:fill="FFFFFF"/>
        </w:rPr>
        <w:t>Section 1102.5</w:t>
      </w:r>
      <w:r w:rsidRPr="00744D92">
        <w:rPr>
          <w:shd w:val="clear" w:color="auto" w:fill="FFFFFF"/>
        </w:rPr>
        <w:t>, once it has been demonstrated by a preponderance of the evidence that an activity proscribed by </w:t>
      </w:r>
      <w:r w:rsidRPr="00744D92">
        <w:rPr>
          <w:bdr w:val="none" w:sz="0" w:space="0" w:color="auto" w:frame="1"/>
          <w:shd w:val="clear" w:color="auto" w:fill="FFFFFF"/>
        </w:rPr>
        <w:t>Section 1102.5</w:t>
      </w:r>
      <w:r w:rsidRPr="00744D92">
        <w:rPr>
          <w:shd w:val="clear" w:color="auto" w:fill="FFFFFF"/>
        </w:rPr>
        <w:t> was a contributing factor in the alleged prohibited action against the employee, the employer shall have the burden of proof to demonstrate by clear and convincing evidence that the alleged action would have occurred for legitimate, independent reasons even if the employee had not engaged in activities protected by </w:t>
      </w:r>
      <w:r w:rsidRPr="00744D92">
        <w:rPr>
          <w:bdr w:val="none" w:sz="0" w:space="0" w:color="auto" w:frame="1"/>
          <w:shd w:val="clear" w:color="auto" w:fill="FFFFFF"/>
        </w:rPr>
        <w:t>Section 1102.5</w:t>
      </w:r>
      <w:r w:rsidRPr="00744D92">
        <w:rPr>
          <w:shd w:val="clear" w:color="auto" w:fill="FFFFFF"/>
        </w:rPr>
        <w:t>.</w:t>
      </w:r>
      <w:r>
        <w:rPr>
          <w:shd w:val="clear" w:color="auto" w:fill="FFFFFF"/>
        </w:rPr>
        <w:t>”</w:t>
      </w:r>
      <w:r w:rsidR="00B405ED">
        <w:rPr>
          <w:shd w:val="clear" w:color="auto" w:fill="FFFFFF"/>
        </w:rPr>
        <w:t xml:space="preserve"> </w:t>
      </w:r>
      <w:r w:rsidR="003D519D">
        <w:t xml:space="preserve"> </w:t>
      </w:r>
    </w:p>
    <w:p w14:paraId="3743076E" w14:textId="5E2E8111" w:rsidR="0042046D" w:rsidRDefault="00300A80" w:rsidP="00987E6C">
      <w:pPr>
        <w:spacing w:line="360" w:lineRule="auto"/>
        <w:ind w:firstLine="720"/>
      </w:pPr>
      <w:r>
        <w:t>Cal</w:t>
      </w:r>
      <w:r w:rsidR="00A357D5">
        <w:t>V</w:t>
      </w:r>
      <w:r>
        <w:t xml:space="preserve">et contends that section 1102.6 </w:t>
      </w:r>
      <w:r w:rsidR="00983E3D">
        <w:t>establishes</w:t>
      </w:r>
      <w:r>
        <w:t xml:space="preserve"> a two-step procedure for determining whether an employer has violated section 1102.5.  According to CalVet, if an employer satisfies its burden at the second step in making a same</w:t>
      </w:r>
      <w:r w:rsidR="00667797">
        <w:t xml:space="preserve"> </w:t>
      </w:r>
      <w:r>
        <w:t xml:space="preserve">decision showing, the employer is not liable regardless of whether the employee </w:t>
      </w:r>
      <w:r w:rsidR="00997A74">
        <w:t>made an initial showing</w:t>
      </w:r>
      <w:r>
        <w:t xml:space="preserve"> that his or her protected disclosure was a “contributing factor” in the adverse employment action.</w:t>
      </w:r>
      <w:r w:rsidR="00C92F4D">
        <w:t xml:space="preserve">  CalVet also notes that </w:t>
      </w:r>
      <w:r w:rsidR="00857CF1">
        <w:t xml:space="preserve">section 1102.6’s “contributing factor” standard is lower than </w:t>
      </w:r>
      <w:r w:rsidR="00857CF1" w:rsidRPr="00857CF1">
        <w:rPr>
          <w:i/>
          <w:iCs/>
        </w:rPr>
        <w:t>Harris</w:t>
      </w:r>
      <w:r w:rsidR="00857CF1">
        <w:t>’s “substantial motivating factor” standard.  (</w:t>
      </w:r>
      <w:r w:rsidR="00857CF1" w:rsidRPr="00857CF1">
        <w:rPr>
          <w:i/>
          <w:iCs/>
        </w:rPr>
        <w:t>Harris, supra</w:t>
      </w:r>
      <w:r w:rsidR="00857CF1">
        <w:t>, 56 Cal.4</w:t>
      </w:r>
      <w:r w:rsidR="00857CF1" w:rsidRPr="00857CF1">
        <w:t>th</w:t>
      </w:r>
      <w:r w:rsidR="00857CF1">
        <w:t xml:space="preserve"> at p. 232.)</w:t>
      </w:r>
    </w:p>
    <w:p w14:paraId="4649871B" w14:textId="40DA751C" w:rsidR="0042046D" w:rsidRDefault="00300A80" w:rsidP="00987E6C">
      <w:pPr>
        <w:spacing w:line="360" w:lineRule="auto"/>
        <w:ind w:firstLine="720"/>
      </w:pPr>
      <w:r>
        <w:t>Ververka</w:t>
      </w:r>
      <w:r w:rsidR="005727AD">
        <w:t xml:space="preserve"> disagrees</w:t>
      </w:r>
      <w:r w:rsidR="00857CF1">
        <w:t xml:space="preserve"> with CalVet’s interpretation</w:t>
      </w:r>
      <w:r w:rsidR="005727AD">
        <w:t>,</w:t>
      </w:r>
      <w:r>
        <w:t xml:space="preserve"> </w:t>
      </w:r>
      <w:r w:rsidR="00CD408F">
        <w:t>asserting</w:t>
      </w:r>
      <w:r w:rsidR="005727AD">
        <w:t xml:space="preserve"> that</w:t>
      </w:r>
      <w:r>
        <w:t xml:space="preserve"> section 1102.6</w:t>
      </w:r>
      <w:r w:rsidR="005727AD">
        <w:t xml:space="preserve">’s codification of </w:t>
      </w:r>
      <w:r>
        <w:t xml:space="preserve">the same decision defense does not address whether the defense is a complete defense </w:t>
      </w:r>
      <w:r w:rsidR="00487500">
        <w:t xml:space="preserve">where, as here, the jury has found that a </w:t>
      </w:r>
      <w:r w:rsidR="00487500">
        <w:lastRenderedPageBreak/>
        <w:t>plaintiff’s protected disclosure was a “contributing factor” in an adverse employment action</w:t>
      </w:r>
      <w:r>
        <w:t>.  He insists that if “FEHA plaintiffs who establish that discrimination was a motivating reason for adverse actions can obtain declaratory and/or injunctive relief, as well as fees and costs, then the same should be true for whistle-blower plaintiffs who establish . . . that protected activities” were a “contributing factor” to the adverse actions they suffered</w:t>
      </w:r>
      <w:r w:rsidR="00252052">
        <w:t>, considering that both statutory schemes serve a “broad, remedial policy purpose</w:t>
      </w:r>
      <w:r>
        <w:t>.</w:t>
      </w:r>
      <w:r w:rsidR="00252052">
        <w:t>”</w:t>
      </w:r>
      <w:r>
        <w:t xml:space="preserve">  </w:t>
      </w:r>
      <w:r w:rsidR="00CC482F">
        <w:t>Ve</w:t>
      </w:r>
      <w:r w:rsidR="00A47417">
        <w:t>r</w:t>
      </w:r>
      <w:r w:rsidR="00CC482F">
        <w:t xml:space="preserve">verka </w:t>
      </w:r>
      <w:r w:rsidR="004017B4">
        <w:t>acknowledg</w:t>
      </w:r>
      <w:r w:rsidR="00CC482F">
        <w:t>es</w:t>
      </w:r>
      <w:r w:rsidR="004017B4">
        <w:t xml:space="preserve"> section 1102.6 establishes different burdens of proof</w:t>
      </w:r>
      <w:r w:rsidR="00CD408F">
        <w:t xml:space="preserve"> than those for FEHA claims</w:t>
      </w:r>
      <w:r w:rsidR="004F0E2E">
        <w:t xml:space="preserve"> (</w:t>
      </w:r>
      <w:r w:rsidR="004F0E2E" w:rsidRPr="004F0E2E">
        <w:rPr>
          <w:i/>
          <w:iCs/>
        </w:rPr>
        <w:t>Harris, supra</w:t>
      </w:r>
      <w:r w:rsidR="004F0E2E">
        <w:t>, 56 Cal.4</w:t>
      </w:r>
      <w:r w:rsidR="004F0E2E" w:rsidRPr="004F0E2E">
        <w:t>th</w:t>
      </w:r>
      <w:r w:rsidR="004F0E2E">
        <w:t xml:space="preserve"> at p. 239)</w:t>
      </w:r>
      <w:r w:rsidR="004017B4">
        <w:t>,</w:t>
      </w:r>
      <w:r w:rsidR="00C76399">
        <w:t xml:space="preserve"> but he</w:t>
      </w:r>
      <w:r w:rsidR="004017B4">
        <w:t xml:space="preserve"> contends this has “no bearing” on the issue of whether the same decision defense bars all relief in a section 1102.5 case.  </w:t>
      </w:r>
      <w:r>
        <w:t xml:space="preserve">Applying the rules of statutory construction, we conclude that CalVet has the better argument.  (See </w:t>
      </w:r>
      <w:r w:rsidRPr="00151E5E">
        <w:rPr>
          <w:i/>
          <w:iCs/>
        </w:rPr>
        <w:t>Estate of Thomas, supra</w:t>
      </w:r>
      <w:r>
        <w:t>, 124 Cal.App.4</w:t>
      </w:r>
      <w:r w:rsidRPr="00151E5E">
        <w:t>th</w:t>
      </w:r>
      <w:r>
        <w:t xml:space="preserve"> at pp. 719–720.) </w:t>
      </w:r>
      <w:r w:rsidR="00CC4625">
        <w:tab/>
      </w:r>
    </w:p>
    <w:p w14:paraId="1021002A" w14:textId="350278F0" w:rsidR="004F1BC2" w:rsidRDefault="00300A80" w:rsidP="00987E6C">
      <w:pPr>
        <w:spacing w:line="360" w:lineRule="auto"/>
        <w:ind w:firstLine="720"/>
      </w:pPr>
      <w:r>
        <w:t xml:space="preserve">To begin with, </w:t>
      </w:r>
      <w:r w:rsidR="009F3E84">
        <w:t>section 1102.6</w:t>
      </w:r>
      <w:r w:rsidR="00F23E5E">
        <w:t xml:space="preserve"> </w:t>
      </w:r>
      <w:r w:rsidR="009F3E84">
        <w:t>does not merely codify the same decision defense</w:t>
      </w:r>
      <w:r w:rsidR="004017B4">
        <w:t xml:space="preserve"> and specify the parties’ burdens of proof</w:t>
      </w:r>
      <w:r w:rsidR="009F3E84">
        <w:t xml:space="preserve">; it </w:t>
      </w:r>
      <w:r>
        <w:t>sets forth “the governing framework for the presentation and evaluation</w:t>
      </w:r>
      <w:r w:rsidR="006606FA">
        <w:t xml:space="preserve"> </w:t>
      </w:r>
      <w:r>
        <w:t xml:space="preserve">of </w:t>
      </w:r>
      <w:r w:rsidR="006606FA">
        <w:t xml:space="preserve">whistleblower retaliation </w:t>
      </w:r>
      <w:r>
        <w:t xml:space="preserve">claims </w:t>
      </w:r>
      <w:r w:rsidR="006606FA">
        <w:t>brought under section 1102.5</w:t>
      </w:r>
      <w:r w:rsidR="000D403E">
        <w:t>.”</w:t>
      </w:r>
      <w:r>
        <w:t xml:space="preserve">  (</w:t>
      </w:r>
      <w:r w:rsidRPr="00C24112">
        <w:rPr>
          <w:i/>
          <w:iCs/>
        </w:rPr>
        <w:t>Lawson</w:t>
      </w:r>
      <w:r w:rsidR="00DF7860">
        <w:rPr>
          <w:i/>
          <w:iCs/>
        </w:rPr>
        <w:t xml:space="preserve"> v. PPG Architectural Finishes, Inc. </w:t>
      </w:r>
      <w:r w:rsidR="00DF7860" w:rsidRPr="00DF7860">
        <w:t>(2022)</w:t>
      </w:r>
      <w:r w:rsidR="00DF7860">
        <w:rPr>
          <w:i/>
          <w:iCs/>
        </w:rPr>
        <w:t xml:space="preserve"> </w:t>
      </w:r>
      <w:r>
        <w:t>12 Cal.5</w:t>
      </w:r>
      <w:r w:rsidRPr="00C24112">
        <w:t>th</w:t>
      </w:r>
      <w:r>
        <w:t xml:space="preserve"> </w:t>
      </w:r>
      <w:r w:rsidR="00DF7860">
        <w:t>703,</w:t>
      </w:r>
      <w:r w:rsidR="000D403E">
        <w:t xml:space="preserve"> 712,</w:t>
      </w:r>
      <w:r>
        <w:t xml:space="preserve"> 718</w:t>
      </w:r>
      <w:r w:rsidR="00DF7860">
        <w:t xml:space="preserve"> (</w:t>
      </w:r>
      <w:r w:rsidR="00DF7860" w:rsidRPr="00DF7860">
        <w:rPr>
          <w:i/>
          <w:iCs/>
        </w:rPr>
        <w:t>Lawson</w:t>
      </w:r>
      <w:r w:rsidR="00DF7860">
        <w:t>)</w:t>
      </w:r>
      <w:r>
        <w:t xml:space="preserve">.)  In </w:t>
      </w:r>
      <w:r w:rsidRPr="009016E6">
        <w:rPr>
          <w:i/>
          <w:iCs/>
        </w:rPr>
        <w:t>Lawson</w:t>
      </w:r>
      <w:r>
        <w:t>, the Ninth Circuit asked our high court to de</w:t>
      </w:r>
      <w:r w:rsidR="00AF4908">
        <w:t>termine</w:t>
      </w:r>
      <w:r>
        <w:t xml:space="preserve"> whether </w:t>
      </w:r>
      <w:r w:rsidR="005727AD">
        <w:t>section 1102.6’s</w:t>
      </w:r>
      <w:r w:rsidR="00301DD9">
        <w:t xml:space="preserve"> two-step framework governs</w:t>
      </w:r>
      <w:r>
        <w:t xml:space="preserve"> </w:t>
      </w:r>
      <w:r w:rsidR="00C724D2">
        <w:t xml:space="preserve">the evaluation of </w:t>
      </w:r>
      <w:r>
        <w:t xml:space="preserve">section 1102.5 claims instead of the </w:t>
      </w:r>
      <w:r w:rsidR="00685031">
        <w:t xml:space="preserve">three-step </w:t>
      </w:r>
      <w:r w:rsidRPr="009016E6">
        <w:rPr>
          <w:i/>
          <w:iCs/>
        </w:rPr>
        <w:t>McDonnell Douglas</w:t>
      </w:r>
      <w:r>
        <w:t xml:space="preserve"> framework</w:t>
      </w:r>
      <w:r w:rsidR="003C700C">
        <w:t xml:space="preserve">. </w:t>
      </w:r>
      <w:r w:rsidR="00423AA9">
        <w:t xml:space="preserve"> (</w:t>
      </w:r>
      <w:r w:rsidR="00DF7860">
        <w:rPr>
          <w:i/>
          <w:iCs/>
        </w:rPr>
        <w:t>Lawson</w:t>
      </w:r>
      <w:r w:rsidR="00DF7860" w:rsidRPr="00DF7860">
        <w:t>,</w:t>
      </w:r>
      <w:r w:rsidR="00423AA9" w:rsidRPr="00DF7860">
        <w:t xml:space="preserve"> </w:t>
      </w:r>
      <w:r w:rsidR="00423AA9">
        <w:t>at p. 707</w:t>
      </w:r>
      <w:r w:rsidR="003C700C">
        <w:t>.</w:t>
      </w:r>
      <w:r w:rsidR="00423AA9">
        <w:t>)</w:t>
      </w:r>
      <w:r w:rsidR="003C700C">
        <w:t xml:space="preserve">  </w:t>
      </w:r>
      <w:r w:rsidR="000455F7">
        <w:t xml:space="preserve">The </w:t>
      </w:r>
      <w:r w:rsidR="000455F7" w:rsidRPr="000455F7">
        <w:rPr>
          <w:i/>
          <w:iCs/>
        </w:rPr>
        <w:t xml:space="preserve">Lawson </w:t>
      </w:r>
      <w:r w:rsidR="000455F7">
        <w:t>court concluded</w:t>
      </w:r>
      <w:r>
        <w:t xml:space="preserve"> </w:t>
      </w:r>
      <w:r w:rsidR="00002EF4">
        <w:t xml:space="preserve">section 1102.6 provides </w:t>
      </w:r>
      <w:r w:rsidR="000455F7">
        <w:t xml:space="preserve">the </w:t>
      </w:r>
      <w:r w:rsidR="000D403E">
        <w:t>“applicable substantive standards and burdens of proof for both parties</w:t>
      </w:r>
      <w:r w:rsidR="000455F7">
        <w:t xml:space="preserve"> </w:t>
      </w:r>
      <w:r w:rsidR="00374283">
        <w:t>in a section 1102.5 retaliation case</w:t>
      </w:r>
      <w:r w:rsidR="000D403E">
        <w:t>”</w:t>
      </w:r>
      <w:r w:rsidR="00374283">
        <w:t xml:space="preserve"> </w:t>
      </w:r>
      <w:r w:rsidR="000455F7">
        <w:t xml:space="preserve">and is </w:t>
      </w:r>
      <w:r w:rsidR="00002EF4">
        <w:t xml:space="preserve">a “complete set of instructions” for </w:t>
      </w:r>
      <w:r w:rsidR="00AE22D3">
        <w:t>adjudicating</w:t>
      </w:r>
      <w:r w:rsidR="00002EF4">
        <w:t xml:space="preserve"> </w:t>
      </w:r>
      <w:r w:rsidR="00286488">
        <w:t>whistleblower retaliation</w:t>
      </w:r>
      <w:r w:rsidR="00002EF4">
        <w:t xml:space="preserve"> claims</w:t>
      </w:r>
      <w:r w:rsidR="00F23E5E">
        <w:t xml:space="preserve">.  </w:t>
      </w:r>
      <w:r w:rsidR="00800A61">
        <w:t>(</w:t>
      </w:r>
      <w:r w:rsidR="00800A61" w:rsidRPr="00800A61">
        <w:rPr>
          <w:i/>
          <w:iCs/>
        </w:rPr>
        <w:t>Lawson</w:t>
      </w:r>
      <w:r w:rsidR="00800A61">
        <w:t>, at p. 712</w:t>
      </w:r>
      <w:r w:rsidR="00D21ED7">
        <w:t>.)</w:t>
      </w:r>
      <w:r w:rsidR="007508C1">
        <w:t xml:space="preserve"> </w:t>
      </w:r>
    </w:p>
    <w:p w14:paraId="51D9739F" w14:textId="69330AFF" w:rsidR="00972D20" w:rsidRDefault="00300A80" w:rsidP="00987E6C">
      <w:pPr>
        <w:spacing w:line="360" w:lineRule="auto"/>
        <w:ind w:firstLine="720"/>
      </w:pPr>
      <w:r w:rsidRPr="004F1BC2">
        <w:t xml:space="preserve">This alone distinguishes </w:t>
      </w:r>
      <w:r w:rsidRPr="004F1BC2">
        <w:rPr>
          <w:i/>
          <w:iCs/>
        </w:rPr>
        <w:t>Harris</w:t>
      </w:r>
      <w:r w:rsidRPr="004F1BC2">
        <w:t>.</w:t>
      </w:r>
      <w:r w:rsidR="004F1BC2">
        <w:t xml:space="preserve"> </w:t>
      </w:r>
      <w:r>
        <w:t xml:space="preserve"> </w:t>
      </w:r>
      <w:r w:rsidR="004F1BC2">
        <w:t xml:space="preserve">In the absence of a procedural statute like section 1102.6, the </w:t>
      </w:r>
      <w:r w:rsidR="004F1BC2" w:rsidRPr="000A5DC7">
        <w:rPr>
          <w:i/>
          <w:iCs/>
        </w:rPr>
        <w:t>Harris</w:t>
      </w:r>
      <w:r w:rsidR="004F1BC2">
        <w:t xml:space="preserve"> court relied on </w:t>
      </w:r>
      <w:r w:rsidR="00202E96">
        <w:t xml:space="preserve">the </w:t>
      </w:r>
      <w:r w:rsidR="004F1BC2">
        <w:t xml:space="preserve">specific language </w:t>
      </w:r>
      <w:r w:rsidR="00202E96">
        <w:t xml:space="preserve">and </w:t>
      </w:r>
      <w:r w:rsidR="00202E96">
        <w:lastRenderedPageBreak/>
        <w:t>purposes of</w:t>
      </w:r>
      <w:r w:rsidR="004F1BC2">
        <w:t xml:space="preserve"> the FEHA to determine the </w:t>
      </w:r>
      <w:r w:rsidR="00DC62B2">
        <w:t>level of causation</w:t>
      </w:r>
      <w:r w:rsidR="004F1BC2">
        <w:t xml:space="preserve"> required to prove </w:t>
      </w:r>
      <w:r w:rsidR="004412E3">
        <w:t>unlawful discrimination</w:t>
      </w:r>
      <w:r w:rsidR="004F1BC2">
        <w:t xml:space="preserve"> in mixed motive cases.  </w:t>
      </w:r>
      <w:r w:rsidR="004F1BC2" w:rsidRPr="00580E56">
        <w:t>(</w:t>
      </w:r>
      <w:r w:rsidR="004F1BC2" w:rsidRPr="00580E56">
        <w:rPr>
          <w:i/>
          <w:iCs/>
        </w:rPr>
        <w:t>Harris</w:t>
      </w:r>
      <w:r w:rsidR="00580E56" w:rsidRPr="00580E56">
        <w:rPr>
          <w:i/>
          <w:iCs/>
        </w:rPr>
        <w:t>, supra</w:t>
      </w:r>
      <w:r w:rsidR="00580E56" w:rsidRPr="00580E56">
        <w:t>, 56 Cal.4th at pp. 215, 223–229</w:t>
      </w:r>
      <w:r w:rsidR="004F1BC2" w:rsidRPr="00580E56">
        <w:t>.)</w:t>
      </w:r>
      <w:r w:rsidR="004F1BC2">
        <w:t xml:space="preserve">  In comparison, by enacting section 1102.6, the Legislature </w:t>
      </w:r>
      <w:r w:rsidR="004412E3">
        <w:t>“</w:t>
      </w:r>
      <w:r w:rsidR="004F1BC2">
        <w:t>has spoken</w:t>
      </w:r>
      <w:r w:rsidR="004412E3">
        <w:t>”</w:t>
      </w:r>
      <w:r w:rsidR="004F1BC2">
        <w:t xml:space="preserve"> about the exact standards to be used for evaluating whistleblower retaliation claims brought pursuant to section 1102.5.  (</w:t>
      </w:r>
      <w:r w:rsidR="004F1BC2" w:rsidRPr="008C7DFA">
        <w:rPr>
          <w:i/>
          <w:iCs/>
        </w:rPr>
        <w:t>City and County of San Francisco v. Sweet</w:t>
      </w:r>
      <w:r w:rsidR="004F1BC2">
        <w:t xml:space="preserve"> (1995) 12 Cal.4</w:t>
      </w:r>
      <w:r w:rsidR="004F1BC2" w:rsidRPr="008C7DFA">
        <w:t>th</w:t>
      </w:r>
      <w:r w:rsidR="004F1BC2">
        <w:t xml:space="preserve"> 105, 121</w:t>
      </w:r>
      <w:r w:rsidR="004412E3">
        <w:t xml:space="preserve">; </w:t>
      </w:r>
      <w:r w:rsidR="004412E3" w:rsidRPr="00580E56">
        <w:rPr>
          <w:i/>
          <w:iCs/>
        </w:rPr>
        <w:t>Lawson</w:t>
      </w:r>
      <w:r w:rsidR="00580E56" w:rsidRPr="00580E56">
        <w:rPr>
          <w:i/>
          <w:iCs/>
        </w:rPr>
        <w:t>, supra</w:t>
      </w:r>
      <w:r w:rsidR="00580E56">
        <w:t>, 12 Cal.5</w:t>
      </w:r>
      <w:r w:rsidR="00580E56" w:rsidRPr="00580E56">
        <w:t>th</w:t>
      </w:r>
      <w:r w:rsidR="00580E56">
        <w:t xml:space="preserve"> at p. 712.</w:t>
      </w:r>
      <w:r w:rsidR="004F1BC2">
        <w:t xml:space="preserve">)  </w:t>
      </w:r>
    </w:p>
    <w:p w14:paraId="7516D46F" w14:textId="79A3608E" w:rsidR="00AA0CE8" w:rsidRDefault="00300A80" w:rsidP="00987E6C">
      <w:pPr>
        <w:spacing w:line="360" w:lineRule="auto"/>
        <w:ind w:firstLine="720"/>
      </w:pPr>
      <w:r>
        <w:t xml:space="preserve">Further, </w:t>
      </w:r>
      <w:r w:rsidR="005C3473">
        <w:t xml:space="preserve">Ververka’s argument that </w:t>
      </w:r>
      <w:r w:rsidR="008317AB">
        <w:t xml:space="preserve">a plaintiff </w:t>
      </w:r>
      <w:r w:rsidR="00AE22D3">
        <w:t>may be</w:t>
      </w:r>
      <w:r w:rsidR="008317AB">
        <w:t xml:space="preserve"> entitled to certain relief even if the employer satisfies its burden under section 1102.6</w:t>
      </w:r>
      <w:r w:rsidR="005C3473">
        <w:t xml:space="preserve"> is belied by the </w:t>
      </w:r>
      <w:r w:rsidR="008317AB">
        <w:t>statute’s plain language</w:t>
      </w:r>
      <w:r w:rsidR="00A61838">
        <w:t xml:space="preserve">.  </w:t>
      </w:r>
      <w:r w:rsidR="00215C60">
        <w:t xml:space="preserve">(See </w:t>
      </w:r>
      <w:r w:rsidR="004F0E2E" w:rsidRPr="004F0E2E">
        <w:rPr>
          <w:i/>
          <w:iCs/>
        </w:rPr>
        <w:t>Jarrow Formulas, Inc. v. LaMarche</w:t>
      </w:r>
      <w:r w:rsidR="004F0E2E">
        <w:t xml:space="preserve"> (2003) 31 Cal.4</w:t>
      </w:r>
      <w:r w:rsidR="004F0E2E" w:rsidRPr="004F0E2E">
        <w:t>th</w:t>
      </w:r>
      <w:r w:rsidR="004F0E2E">
        <w:t xml:space="preserve"> 728, 735 [</w:t>
      </w:r>
      <w:r w:rsidR="00430BA3">
        <w:t xml:space="preserve">statute’s </w:t>
      </w:r>
      <w:r w:rsidR="004F0E2E">
        <w:t xml:space="preserve">“ ‘plain language </w:t>
      </w:r>
      <w:r w:rsidR="00430BA3">
        <w:t>. . .</w:t>
      </w:r>
      <w:r w:rsidR="004F0E2E">
        <w:t xml:space="preserve"> establishes what was intended by the Legislature.’ ”].)  </w:t>
      </w:r>
      <w:r w:rsidR="00AF4908">
        <w:t>Section 1102.6</w:t>
      </w:r>
      <w:r w:rsidR="00301DD9">
        <w:t xml:space="preserve"> </w:t>
      </w:r>
      <w:r w:rsidR="004412E3">
        <w:t>begins by stating</w:t>
      </w:r>
      <w:r w:rsidR="00301DD9">
        <w:t xml:space="preserve"> that its</w:t>
      </w:r>
      <w:r w:rsidR="00002EF4">
        <w:t xml:space="preserve"> two-step framework applies </w:t>
      </w:r>
      <w:r w:rsidR="00300E6E">
        <w:t>in a “</w:t>
      </w:r>
      <w:r w:rsidR="00002EF4">
        <w:t>civil actio</w:t>
      </w:r>
      <w:r w:rsidR="0016522C">
        <w:t>n</w:t>
      </w:r>
      <w:r w:rsidR="00C26EF9">
        <w:t>,</w:t>
      </w:r>
      <w:r w:rsidR="00196030">
        <w:t>”</w:t>
      </w:r>
      <w:r w:rsidR="00C26EF9">
        <w:t xml:space="preserve"> without limitation.</w:t>
      </w:r>
      <w:r w:rsidR="00423AA9">
        <w:t xml:space="preserve">  </w:t>
      </w:r>
      <w:r w:rsidR="00215C60">
        <w:t>(</w:t>
      </w:r>
      <w:r w:rsidR="00AF4908">
        <w:t xml:space="preserve">See </w:t>
      </w:r>
      <w:r w:rsidR="004412E3">
        <w:t>Code Civ. Proc., § 30 [defining “civil action” as including declaratory relief].</w:t>
      </w:r>
      <w:r w:rsidR="00215C60">
        <w:t xml:space="preserve">)  </w:t>
      </w:r>
      <w:r w:rsidR="004412E3">
        <w:t>There is no language in section 1102.6 exempt</w:t>
      </w:r>
      <w:r w:rsidR="005305CC">
        <w:t>ing</w:t>
      </w:r>
      <w:r w:rsidR="004412E3">
        <w:t xml:space="preserve"> certain claims for relief.  </w:t>
      </w:r>
      <w:r w:rsidR="00875A62">
        <w:t xml:space="preserve">By its terms, </w:t>
      </w:r>
      <w:r w:rsidR="004412E3">
        <w:t xml:space="preserve">once the employee has </w:t>
      </w:r>
      <w:r w:rsidR="00AF4908">
        <w:t>met its burden to show that a</w:t>
      </w:r>
      <w:r w:rsidR="004412E3">
        <w:t xml:space="preserve"> protected disclosure was a “contributing factor” in an adverse employment action</w:t>
      </w:r>
      <w:r w:rsidR="00EE5C16">
        <w:t xml:space="preserve">, the statute </w:t>
      </w:r>
      <w:r w:rsidR="00CD408F">
        <w:t>simply</w:t>
      </w:r>
      <w:r w:rsidR="00EE5C16">
        <w:t xml:space="preserve"> shifts the burden to the employer</w:t>
      </w:r>
      <w:r w:rsidR="004412E3">
        <w:t>.  (§</w:t>
      </w:r>
      <w:r w:rsidR="00B27D68">
        <w:t> </w:t>
      </w:r>
      <w:r w:rsidR="004412E3">
        <w:t xml:space="preserve">1102.6.)  </w:t>
      </w:r>
      <w:r w:rsidR="00423AA9">
        <w:t xml:space="preserve">Thus, a straightforward reading of section 1102.6 is </w:t>
      </w:r>
      <w:r w:rsidR="00A61838">
        <w:t>that if the jury finds the employer satisfie</w:t>
      </w:r>
      <w:r w:rsidR="00423885">
        <w:t>s</w:t>
      </w:r>
      <w:r w:rsidR="00A61838">
        <w:t xml:space="preserve"> its second-step burden</w:t>
      </w:r>
      <w:r w:rsidR="00300E6E">
        <w:t xml:space="preserve"> in </w:t>
      </w:r>
      <w:r w:rsidR="00423AA9">
        <w:t>a civil</w:t>
      </w:r>
      <w:r w:rsidR="00300E6E">
        <w:t xml:space="preserve"> case</w:t>
      </w:r>
      <w:r w:rsidR="00A61838">
        <w:t xml:space="preserve">, a plaintiff is barred from </w:t>
      </w:r>
      <w:r w:rsidR="00B04AFF">
        <w:t>all relief</w:t>
      </w:r>
      <w:r w:rsidR="009074E1">
        <w:t xml:space="preserve">.  </w:t>
      </w:r>
      <w:r w:rsidR="00ED0918">
        <w:t>(</w:t>
      </w:r>
      <w:r w:rsidR="004412E3">
        <w:t xml:space="preserve">See </w:t>
      </w:r>
      <w:r w:rsidR="00D21ED7" w:rsidRPr="00D21ED7">
        <w:rPr>
          <w:i/>
          <w:iCs/>
        </w:rPr>
        <w:t>Vatalaro v. County of Sacramento</w:t>
      </w:r>
      <w:r w:rsidR="00D21ED7">
        <w:t xml:space="preserve"> (2022) 79 Cal.App.5</w:t>
      </w:r>
      <w:r w:rsidR="00D21ED7" w:rsidRPr="00D21ED7">
        <w:t>th</w:t>
      </w:r>
      <w:r w:rsidR="00D21ED7">
        <w:t xml:space="preserve"> 367, 387–388 [affirming summary judgment in favor of employer where it met its burden under section 1102.6 to make a same</w:t>
      </w:r>
      <w:r w:rsidR="00667797">
        <w:t xml:space="preserve"> </w:t>
      </w:r>
      <w:r w:rsidR="00D21ED7">
        <w:t>decision showing]</w:t>
      </w:r>
      <w:r w:rsidR="004412E3">
        <w:t>.)</w:t>
      </w:r>
    </w:p>
    <w:p w14:paraId="7ABBF1B3" w14:textId="0B0912DF" w:rsidR="00B5671A" w:rsidRDefault="00300A80" w:rsidP="00987E6C">
      <w:pPr>
        <w:spacing w:line="360" w:lineRule="auto"/>
        <w:ind w:firstLine="720"/>
      </w:pPr>
      <w:r>
        <w:t>Nor is there anything in the whistleblower statutes indicating the Legislature intended a “contributing factor” on its own to be a sufficient basis for relief in a civil action</w:t>
      </w:r>
      <w:r w:rsidR="001E7EAB">
        <w:t xml:space="preserve">, as Ververka </w:t>
      </w:r>
      <w:r w:rsidR="00CD408F">
        <w:t>suggests</w:t>
      </w:r>
      <w:r>
        <w:t>.</w:t>
      </w:r>
      <w:r w:rsidR="000F02EE">
        <w:t xml:space="preserve">  </w:t>
      </w:r>
      <w:r w:rsidR="00CB0D27">
        <w:t xml:space="preserve">Although section 1102.5 </w:t>
      </w:r>
      <w:r w:rsidR="00CB0D27">
        <w:lastRenderedPageBreak/>
        <w:t>prohibits retaliation “for” an employee’s protected disclosure</w:t>
      </w:r>
      <w:r w:rsidR="004F1BC2">
        <w:t xml:space="preserve"> (§</w:t>
      </w:r>
      <w:r w:rsidR="00DF7860">
        <w:t> </w:t>
      </w:r>
      <w:r w:rsidR="004F1BC2">
        <w:t>1102.5, subd. (b))</w:t>
      </w:r>
      <w:r w:rsidR="00CB0D27">
        <w:t xml:space="preserve">, this does not </w:t>
      </w:r>
      <w:r w:rsidR="007D437F">
        <w:t xml:space="preserve">necessarily </w:t>
      </w:r>
      <w:r w:rsidR="00CB0D27">
        <w:t>equate to a finding that a protected disclosure was a “contributing factor” in an adverse employment action</w:t>
      </w:r>
      <w:r w:rsidR="004F1BC2">
        <w:t xml:space="preserve"> (§ 1102.6)</w:t>
      </w:r>
      <w:r w:rsidR="00CB0D27">
        <w:t xml:space="preserve">.  (See </w:t>
      </w:r>
      <w:r w:rsidR="00CB0D27" w:rsidRPr="00EE334A">
        <w:rPr>
          <w:i/>
          <w:iCs/>
        </w:rPr>
        <w:t>Lawson</w:t>
      </w:r>
      <w:r w:rsidR="00CB0D27" w:rsidRPr="00DF7860">
        <w:rPr>
          <w:i/>
          <w:iCs/>
        </w:rPr>
        <w:t xml:space="preserve">, </w:t>
      </w:r>
      <w:r w:rsidR="00DF7860" w:rsidRPr="00DF7860">
        <w:rPr>
          <w:i/>
          <w:iCs/>
        </w:rPr>
        <w:t>supra</w:t>
      </w:r>
      <w:r w:rsidR="00DF7860">
        <w:t>, 12 Cal.5</w:t>
      </w:r>
      <w:r w:rsidR="00DF7860" w:rsidRPr="00DF7860">
        <w:t>th</w:t>
      </w:r>
      <w:r w:rsidR="00DF7860">
        <w:t xml:space="preserve"> </w:t>
      </w:r>
      <w:r w:rsidR="00CB0D27" w:rsidRPr="00EE334A">
        <w:t xml:space="preserve">at p. 714, citing </w:t>
      </w:r>
      <w:r w:rsidR="00CB0D27" w:rsidRPr="00EE334A">
        <w:rPr>
          <w:i/>
          <w:iCs/>
        </w:rPr>
        <w:t>Rookaird</w:t>
      </w:r>
      <w:r w:rsidR="00B27D68">
        <w:rPr>
          <w:i/>
          <w:iCs/>
        </w:rPr>
        <w:t> </w:t>
      </w:r>
      <w:r w:rsidR="00CB0D27" w:rsidRPr="00EE334A">
        <w:rPr>
          <w:i/>
          <w:iCs/>
        </w:rPr>
        <w:t>v.</w:t>
      </w:r>
      <w:r w:rsidR="00B27D68">
        <w:rPr>
          <w:i/>
          <w:iCs/>
        </w:rPr>
        <w:t> </w:t>
      </w:r>
      <w:r w:rsidR="00CB0D27" w:rsidRPr="00EE334A">
        <w:rPr>
          <w:i/>
          <w:iCs/>
        </w:rPr>
        <w:t>BNSF Ry. Co.</w:t>
      </w:r>
      <w:r w:rsidR="00CB0D27" w:rsidRPr="00EE334A">
        <w:t xml:space="preserve"> (9th Cir. 2018) 908 F.3d 451, 461</w:t>
      </w:r>
      <w:r w:rsidR="00CB0D27">
        <w:t xml:space="preserve"> [</w:t>
      </w:r>
      <w:r w:rsidR="00CB0D27" w:rsidRPr="00EE334A">
        <w:t xml:space="preserve">“ ‘ “A ‘contributing factor’ includes ‘any factor, which alone or in connection with other factors, </w:t>
      </w:r>
      <w:r w:rsidR="00CB0D27" w:rsidRPr="00EE334A">
        <w:rPr>
          <w:i/>
          <w:iCs/>
        </w:rPr>
        <w:t>tends to affect in any way</w:t>
      </w:r>
      <w:r w:rsidR="00CB0D27" w:rsidRPr="00EE334A">
        <w:t xml:space="preserve"> the outcome of the decision,’ ” ’ ” italics</w:t>
      </w:r>
      <w:r w:rsidR="00CB0D27">
        <w:t xml:space="preserve"> added].)</w:t>
      </w:r>
      <w:r>
        <w:t xml:space="preserve">  To </w:t>
      </w:r>
      <w:r w:rsidR="00FF6837">
        <w:t>hold otherwise</w:t>
      </w:r>
      <w:r>
        <w:t xml:space="preserve"> would </w:t>
      </w:r>
      <w:r w:rsidR="00714713">
        <w:t xml:space="preserve">render the </w:t>
      </w:r>
      <w:r w:rsidR="00DE0604">
        <w:t xml:space="preserve">“contributing factor” language </w:t>
      </w:r>
      <w:r w:rsidR="00714713">
        <w:t>redundant</w:t>
      </w:r>
      <w:r w:rsidR="00DF7860">
        <w:t xml:space="preserve"> (§§ 1102.5, 1102.6)</w:t>
      </w:r>
      <w:r w:rsidR="00714713">
        <w:t xml:space="preserve">, thereby </w:t>
      </w:r>
      <w:r w:rsidR="007D437F">
        <w:t>violat</w:t>
      </w:r>
      <w:r w:rsidR="00714713">
        <w:t>ing</w:t>
      </w:r>
      <w:r w:rsidR="007D437F">
        <w:t xml:space="preserve"> the principle that </w:t>
      </w:r>
      <w:r w:rsidR="002C560D">
        <w:t>“</w:t>
      </w:r>
      <w:r w:rsidR="007D437F">
        <w:t>we must interpret statutes to avoid redundancy and give significance to each word and phrase”</w:t>
      </w:r>
      <w:r w:rsidR="002C560D">
        <w:t xml:space="preserve"> whenever possible</w:t>
      </w:r>
      <w:r w:rsidR="00F907A4">
        <w:t xml:space="preserve">.  </w:t>
      </w:r>
      <w:r w:rsidR="007D437F">
        <w:t>(</w:t>
      </w:r>
      <w:r w:rsidR="007D437F" w:rsidRPr="007D437F">
        <w:rPr>
          <w:i/>
          <w:iCs/>
        </w:rPr>
        <w:t>People v. Jennings</w:t>
      </w:r>
      <w:r w:rsidR="007D437F">
        <w:t xml:space="preserve"> (2019) 42 Cal.App.5</w:t>
      </w:r>
      <w:r w:rsidR="007D437F" w:rsidRPr="007D437F">
        <w:t>th</w:t>
      </w:r>
      <w:r w:rsidR="007D437F">
        <w:t xml:space="preserve"> 664, 672</w:t>
      </w:r>
      <w:r w:rsidR="00F253CD">
        <w:t>.</w:t>
      </w:r>
      <w:r w:rsidR="007D437F">
        <w:t>)</w:t>
      </w:r>
      <w:r w:rsidR="00875A62">
        <w:t xml:space="preserve">  </w:t>
      </w:r>
      <w:r w:rsidR="00EF1137">
        <w:t xml:space="preserve">Moreover, </w:t>
      </w:r>
      <w:r w:rsidR="00875A62" w:rsidRPr="00B63FA3">
        <w:rPr>
          <w:i/>
          <w:iCs/>
        </w:rPr>
        <w:t>both</w:t>
      </w:r>
      <w:r w:rsidR="00875A62">
        <w:t xml:space="preserve"> steps in section 1102.6 refer to the employer’s “prohibited action” as “alleged,” </w:t>
      </w:r>
      <w:r w:rsidR="00CD408F">
        <w:t>further indicating</w:t>
      </w:r>
      <w:r w:rsidR="00CB0D27">
        <w:t xml:space="preserve"> </w:t>
      </w:r>
      <w:r w:rsidR="00E75C9D">
        <w:t xml:space="preserve">the Legislature did not intend for </w:t>
      </w:r>
      <w:r w:rsidR="00412477">
        <w:t>a “contributing factor” alone</w:t>
      </w:r>
      <w:r w:rsidR="00EF1137">
        <w:t xml:space="preserve"> </w:t>
      </w:r>
      <w:r w:rsidR="00E75C9D">
        <w:t>to</w:t>
      </w:r>
      <w:r w:rsidR="00875A62">
        <w:t xml:space="preserve"> </w:t>
      </w:r>
      <w:r w:rsidR="00EF1137">
        <w:t>prove</w:t>
      </w:r>
      <w:r w:rsidR="00875A62">
        <w:t xml:space="preserve"> a violation of section 1102.5.</w:t>
      </w:r>
      <w:r w:rsidR="00EF1137">
        <w:t xml:space="preserve">  </w:t>
      </w:r>
      <w:r w:rsidR="00E75C9D">
        <w:t xml:space="preserve">(See </w:t>
      </w:r>
      <w:r w:rsidR="001C201A">
        <w:t>Black’s Law Dict. (11</w:t>
      </w:r>
      <w:r w:rsidR="001C201A" w:rsidRPr="001C201A">
        <w:t>th</w:t>
      </w:r>
      <w:r w:rsidR="001C201A">
        <w:t xml:space="preserve"> ed. 2019) p. 94, col. 1</w:t>
      </w:r>
      <w:r w:rsidR="0077372E">
        <w:t xml:space="preserve"> [defining “allege”]</w:t>
      </w:r>
      <w:r w:rsidR="001C201A">
        <w:t>.)</w:t>
      </w:r>
    </w:p>
    <w:p w14:paraId="127333D1" w14:textId="02077B74" w:rsidR="00B453C7" w:rsidRDefault="00300A80" w:rsidP="00987E6C">
      <w:pPr>
        <w:spacing w:line="360" w:lineRule="auto"/>
        <w:ind w:firstLine="720"/>
      </w:pPr>
      <w:r>
        <w:t xml:space="preserve">On </w:t>
      </w:r>
      <w:r w:rsidR="000D403E">
        <w:t>this last</w:t>
      </w:r>
      <w:r>
        <w:t xml:space="preserve"> point</w:t>
      </w:r>
      <w:r w:rsidR="00B5671A">
        <w:t xml:space="preserve">, </w:t>
      </w:r>
      <w:r w:rsidR="00B5671A" w:rsidRPr="00932CA5">
        <w:rPr>
          <w:i/>
          <w:iCs/>
        </w:rPr>
        <w:t>Harris</w:t>
      </w:r>
      <w:r w:rsidR="00B5671A">
        <w:t xml:space="preserve"> under</w:t>
      </w:r>
      <w:r w:rsidR="00502CAA">
        <w:t>mines</w:t>
      </w:r>
      <w:r w:rsidR="00B5671A">
        <w:t xml:space="preserve"> Ververka’s </w:t>
      </w:r>
      <w:r w:rsidR="002C560D">
        <w:t>position</w:t>
      </w:r>
      <w:r w:rsidR="00B5671A">
        <w:t xml:space="preserve">.  </w:t>
      </w:r>
      <w:r w:rsidR="00401240">
        <w:t>The</w:t>
      </w:r>
      <w:r w:rsidR="00B5671A">
        <w:t xml:space="preserve"> </w:t>
      </w:r>
      <w:r w:rsidR="00B5671A" w:rsidRPr="00932CA5">
        <w:rPr>
          <w:i/>
          <w:iCs/>
        </w:rPr>
        <w:t>Harris</w:t>
      </w:r>
      <w:r w:rsidR="00B5671A">
        <w:t xml:space="preserve"> court concluded that a plaintiff proves a violation of the FEHA only if the plaintiff shows that discrimination was a “</w:t>
      </w:r>
      <w:r w:rsidR="00B5671A" w:rsidRPr="00932CA5">
        <w:rPr>
          <w:i/>
          <w:iCs/>
        </w:rPr>
        <w:t>substantial</w:t>
      </w:r>
      <w:r w:rsidR="00B5671A">
        <w:t xml:space="preserve">” motivating factor, “rather than simply </w:t>
      </w:r>
      <w:r w:rsidR="00B5671A" w:rsidRPr="00932CA5">
        <w:rPr>
          <w:i/>
          <w:iCs/>
        </w:rPr>
        <w:t>a</w:t>
      </w:r>
      <w:r w:rsidR="00B5671A">
        <w:t xml:space="preserve"> motivating factor</w:t>
      </w:r>
      <w:r w:rsidR="007D437F">
        <w:t>.</w:t>
      </w:r>
      <w:r w:rsidR="00B5671A">
        <w:t>”</w:t>
      </w:r>
      <w:r w:rsidR="007D437F">
        <w:t xml:space="preserve"> </w:t>
      </w:r>
      <w:r w:rsidR="000455F7">
        <w:t xml:space="preserve"> </w:t>
      </w:r>
      <w:r w:rsidR="00B5671A">
        <w:t>(</w:t>
      </w:r>
      <w:r w:rsidR="00B5671A" w:rsidRPr="00932CA5">
        <w:rPr>
          <w:i/>
          <w:iCs/>
        </w:rPr>
        <w:t>Harris, supra</w:t>
      </w:r>
      <w:r w:rsidR="00B5671A">
        <w:t>, 56 Cal.4</w:t>
      </w:r>
      <w:r w:rsidR="00B5671A" w:rsidRPr="00932CA5">
        <w:t>th</w:t>
      </w:r>
      <w:r w:rsidR="00B5671A">
        <w:t xml:space="preserve"> at p. 232.)  The court reasoned that this would “more effectively ensure[] that liability will not be imposed based on evidence of mere thoughts or passing statements unrelated to the disputed employment decision.”  (</w:t>
      </w:r>
      <w:r w:rsidR="00B5671A" w:rsidRPr="00932CA5">
        <w:rPr>
          <w:i/>
          <w:iCs/>
        </w:rPr>
        <w:t>Ibid.</w:t>
      </w:r>
      <w:r w:rsidR="00942D7E" w:rsidRPr="00942D7E">
        <w:t xml:space="preserve">; </w:t>
      </w:r>
      <w:r w:rsidR="00783EC8">
        <w:t xml:space="preserve">see </w:t>
      </w:r>
      <w:r w:rsidR="00A60722">
        <w:t xml:space="preserve">also </w:t>
      </w:r>
      <w:r w:rsidR="0064561D">
        <w:rPr>
          <w:i/>
          <w:iCs/>
        </w:rPr>
        <w:t xml:space="preserve">In re Bittaker </w:t>
      </w:r>
      <w:r w:rsidR="0064561D" w:rsidRPr="0064561D">
        <w:t>(1997) 55 Cal.App.4th 1004, 1009 [</w:t>
      </w:r>
      <w:r w:rsidR="0064561D">
        <w:t>“It must be presumed that the Legislature intended reasonable and practical results consistent with its express purpose, not absurd or adverse consequences.”].)</w:t>
      </w:r>
      <w:r w:rsidR="00F97B4E">
        <w:t xml:space="preserve"> </w:t>
      </w:r>
      <w:r w:rsidR="0064561D" w:rsidRPr="0064561D">
        <w:t xml:space="preserve"> </w:t>
      </w:r>
      <w:r w:rsidR="00B5671A">
        <w:t xml:space="preserve">Likewise, here, we find it highly unlikely the Legislature intended to impose liability on employers whenever a protected disclosure may have had minimal influence </w:t>
      </w:r>
      <w:r w:rsidR="00B5671A">
        <w:lastRenderedPageBreak/>
        <w:t>on their emplo</w:t>
      </w:r>
      <w:r w:rsidR="003209DF">
        <w:t xml:space="preserve">yment </w:t>
      </w:r>
      <w:r w:rsidR="00B5671A">
        <w:t>decisions</w:t>
      </w:r>
      <w:r w:rsidR="00AB5653">
        <w:t xml:space="preserve">, as this could </w:t>
      </w:r>
      <w:r w:rsidR="00542751">
        <w:t xml:space="preserve">easily </w:t>
      </w:r>
      <w:r w:rsidR="00AB5653">
        <w:t xml:space="preserve">lead to </w:t>
      </w:r>
      <w:r w:rsidR="00CB6ACA">
        <w:t xml:space="preserve">liability </w:t>
      </w:r>
      <w:r w:rsidR="00AB5653">
        <w:t xml:space="preserve">based on </w:t>
      </w:r>
      <w:r w:rsidR="00542751">
        <w:t xml:space="preserve">nothing more than </w:t>
      </w:r>
      <w:r w:rsidR="00AB5653">
        <w:t xml:space="preserve">stray </w:t>
      </w:r>
      <w:r w:rsidR="00A47417">
        <w:t>remarks</w:t>
      </w:r>
      <w:r w:rsidR="00B5671A">
        <w:t xml:space="preserve">.  By adding a second step in section 1102.6 requiring the employer to prove that they would have made the same decision for reasons other than retaliation, the Legislature appears to have intended </w:t>
      </w:r>
      <w:r w:rsidR="00A60722">
        <w:t xml:space="preserve">to </w:t>
      </w:r>
      <w:r w:rsidR="00E75C9D">
        <w:t xml:space="preserve">allow for </w:t>
      </w:r>
      <w:r w:rsidR="00E34F1A">
        <w:t>an</w:t>
      </w:r>
      <w:r w:rsidR="00A60722">
        <w:t xml:space="preserve"> inference</w:t>
      </w:r>
      <w:r w:rsidR="00B5671A">
        <w:t xml:space="preserve"> </w:t>
      </w:r>
      <w:r w:rsidR="00881226">
        <w:t xml:space="preserve">of a “direct causal link” between </w:t>
      </w:r>
      <w:r w:rsidR="0090090F">
        <w:t>an</w:t>
      </w:r>
      <w:r w:rsidR="00881226">
        <w:t xml:space="preserve"> employee’s protected disclosure and the adverse employment action</w:t>
      </w:r>
      <w:r w:rsidR="00B5671A" w:rsidRPr="00881226">
        <w:t>.  (</w:t>
      </w:r>
      <w:r w:rsidR="001C201A" w:rsidRPr="00881226">
        <w:rPr>
          <w:i/>
          <w:iCs/>
        </w:rPr>
        <w:t>Crawford v. Dist</w:t>
      </w:r>
      <w:r w:rsidR="00881226" w:rsidRPr="00881226">
        <w:rPr>
          <w:i/>
          <w:iCs/>
        </w:rPr>
        <w:t>. of Columbia</w:t>
      </w:r>
      <w:r w:rsidR="00881226">
        <w:t xml:space="preserve"> (D.C. Cir. 2006) 891 A.2d 216, 221 [interpreting </w:t>
      </w:r>
      <w:r w:rsidR="00632E46">
        <w:t xml:space="preserve">a </w:t>
      </w:r>
      <w:r w:rsidR="00881226">
        <w:t xml:space="preserve">similar </w:t>
      </w:r>
      <w:r w:rsidR="00632E46">
        <w:t xml:space="preserve">whistleblower retaliation </w:t>
      </w:r>
      <w:r w:rsidR="00881226">
        <w:t>statute].)</w:t>
      </w:r>
      <w:r w:rsidR="00AF7CE7">
        <w:t xml:space="preserve">  Thus, Ververka’s construction of section 1102.6 conflicts with its plain language and </w:t>
      </w:r>
      <w:r w:rsidR="003C7C27">
        <w:t>could lead to adverse consequences</w:t>
      </w:r>
      <w:r w:rsidR="00B56CB0">
        <w:t>, a result we must avoid</w:t>
      </w:r>
      <w:r w:rsidR="003C7C27">
        <w:t>.</w:t>
      </w:r>
      <w:r>
        <w:rPr>
          <w:rStyle w:val="FootnoteReference"/>
        </w:rPr>
        <w:footnoteReference w:id="3"/>
      </w:r>
    </w:p>
    <w:p w14:paraId="7FB736E6" w14:textId="25401371" w:rsidR="000500A4" w:rsidRDefault="00300A80" w:rsidP="000500A4">
      <w:pPr>
        <w:spacing w:line="360" w:lineRule="auto"/>
        <w:ind w:firstLine="720"/>
      </w:pPr>
      <w:r>
        <w:t>In his reply</w:t>
      </w:r>
      <w:r w:rsidR="004F5689">
        <w:t xml:space="preserve"> brief</w:t>
      </w:r>
      <w:r>
        <w:t>, Ververka makes two additional arguments</w:t>
      </w:r>
      <w:r w:rsidR="00093655">
        <w:t xml:space="preserve">, both of which </w:t>
      </w:r>
      <w:r>
        <w:t xml:space="preserve">lack merit.  First, he </w:t>
      </w:r>
      <w:r w:rsidR="001D23B8">
        <w:t xml:space="preserve">points to section </w:t>
      </w:r>
      <w:r>
        <w:t>98.7</w:t>
      </w:r>
      <w:r w:rsidR="001D23B8">
        <w:t>, which</w:t>
      </w:r>
      <w:r>
        <w:t xml:space="preserve"> </w:t>
      </w:r>
      <w:r w:rsidR="00093655">
        <w:t xml:space="preserve">authorizes the </w:t>
      </w:r>
      <w:r w:rsidR="001D23B8">
        <w:t>L</w:t>
      </w:r>
      <w:r w:rsidR="00093655">
        <w:t xml:space="preserve">abor Commissioner to </w:t>
      </w:r>
      <w:r w:rsidR="001D23B8">
        <w:t xml:space="preserve">resolve </w:t>
      </w:r>
      <w:r w:rsidR="00093655">
        <w:t xml:space="preserve">complaints of unlawful discrimination </w:t>
      </w:r>
      <w:r w:rsidR="001D23B8">
        <w:t xml:space="preserve">and retaliation </w:t>
      </w:r>
      <w:r w:rsidR="00093655">
        <w:t xml:space="preserve">and </w:t>
      </w:r>
      <w:r w:rsidR="001D23B8">
        <w:t>bring a court action to enforce its determination</w:t>
      </w:r>
      <w:r>
        <w:t xml:space="preserve">.  </w:t>
      </w:r>
      <w:r w:rsidR="001D23B8">
        <w:t xml:space="preserve">(§ 98.7, </w:t>
      </w:r>
      <w:r w:rsidR="001D23B8">
        <w:lastRenderedPageBreak/>
        <w:t xml:space="preserve">subds. (a), (c).)  Ververka </w:t>
      </w:r>
      <w:r w:rsidR="00FE06A5">
        <w:t>seems to contend</w:t>
      </w:r>
      <w:r w:rsidR="001D23B8">
        <w:t xml:space="preserve"> that when you consider sections 98.7 and 1102.5 together, “the only remedies </w:t>
      </w:r>
      <w:r w:rsidR="001D23B8" w:rsidRPr="0081537C">
        <w:rPr>
          <w:i/>
          <w:iCs/>
        </w:rPr>
        <w:t>not</w:t>
      </w:r>
      <w:r w:rsidR="001D23B8">
        <w:t xml:space="preserve"> available to an employee due to the same decision defense would be emotional distress damages and punitive damages.”  However, n</w:t>
      </w:r>
      <w:r w:rsidR="00093655" w:rsidRPr="001D23B8">
        <w:t xml:space="preserve">othing in </w:t>
      </w:r>
      <w:r w:rsidR="001D23B8">
        <w:t>section 98.7</w:t>
      </w:r>
      <w:r w:rsidR="001D23B8" w:rsidRPr="001D23B8">
        <w:t xml:space="preserve"> suggests</w:t>
      </w:r>
      <w:r w:rsidR="001D23B8">
        <w:t xml:space="preserve"> it was intended to limit the effect of the employer’s same decision defense in a civil action</w:t>
      </w:r>
      <w:r w:rsidR="00C82562">
        <w:t xml:space="preserve"> brought pursuant to section 1102.5</w:t>
      </w:r>
      <w:r w:rsidR="001D23B8">
        <w:t>.  (§§ 98</w:t>
      </w:r>
      <w:r w:rsidR="00FE7972">
        <w:t>.</w:t>
      </w:r>
      <w:r w:rsidR="001D23B8">
        <w:t xml:space="preserve">7, 1102.6.) </w:t>
      </w:r>
      <w:r w:rsidR="00FE7972">
        <w:t xml:space="preserve">  </w:t>
      </w:r>
      <w:bookmarkStart w:id="1" w:name="_Hlk162603879"/>
    </w:p>
    <w:p w14:paraId="1258D3C0" w14:textId="0C14F700" w:rsidR="00314329" w:rsidRDefault="00300A80" w:rsidP="00314329">
      <w:pPr>
        <w:spacing w:line="360" w:lineRule="auto"/>
        <w:ind w:firstLine="720"/>
      </w:pPr>
      <w:r>
        <w:t xml:space="preserve">Second, </w:t>
      </w:r>
      <w:r w:rsidR="00FE7972">
        <w:t xml:space="preserve">Ververka notes that the Sarbanes-Oxley Act provides </w:t>
      </w:r>
      <w:r w:rsidR="004F5133">
        <w:t>a similar</w:t>
      </w:r>
      <w:r w:rsidR="00FE7972">
        <w:t xml:space="preserve"> framework </w:t>
      </w:r>
      <w:r w:rsidR="0043740C">
        <w:t xml:space="preserve">for evaluating </w:t>
      </w:r>
      <w:r w:rsidR="002E3DEF">
        <w:t>whistleblower retaliation</w:t>
      </w:r>
      <w:r w:rsidR="0043740C">
        <w:t xml:space="preserve"> claims </w:t>
      </w:r>
      <w:r w:rsidR="00FE7972">
        <w:t>as that set forth in section 1102.6 but</w:t>
      </w:r>
      <w:r w:rsidR="004F5133">
        <w:t xml:space="preserve"> expressly </w:t>
      </w:r>
      <w:r w:rsidR="00FE7972">
        <w:t>states that “</w:t>
      </w:r>
      <w:r w:rsidR="004F5133">
        <w:t xml:space="preserve"> ‘</w:t>
      </w:r>
      <w:r w:rsidR="00FE7972">
        <w:t>[r]elief may not be ordered</w:t>
      </w:r>
      <w:r w:rsidR="004F5133">
        <w:t xml:space="preserve">’ </w:t>
      </w:r>
      <w:r w:rsidR="00FE7972">
        <w:t xml:space="preserve">” if the employer meets its burden to make a same decision showing.  </w:t>
      </w:r>
      <w:r w:rsidR="004F5133">
        <w:t xml:space="preserve">(49 U.S.C. § 42121(b)(2)(B)(iv).)  </w:t>
      </w:r>
      <w:r w:rsidR="00FE7972">
        <w:t xml:space="preserve">He argues that because </w:t>
      </w:r>
      <w:r w:rsidR="00052FFC">
        <w:t xml:space="preserve">section 1102.6’s legislative history shows the </w:t>
      </w:r>
      <w:r w:rsidR="00FE7972">
        <w:t xml:space="preserve">Legislature was aware of the Sarbanes-Oxley Act when it enacted section 1102.6, its failure to </w:t>
      </w:r>
      <w:r w:rsidR="009407A2">
        <w:t>include</w:t>
      </w:r>
      <w:r w:rsidR="00FE7972">
        <w:t xml:space="preserve"> similar </w:t>
      </w:r>
      <w:r w:rsidR="0048703F">
        <w:t xml:space="preserve">language </w:t>
      </w:r>
      <w:r w:rsidR="009E2619">
        <w:t xml:space="preserve">in section 1102.6 </w:t>
      </w:r>
      <w:r w:rsidR="00FC65B0">
        <w:t xml:space="preserve">was “intentional,” indicating </w:t>
      </w:r>
      <w:r w:rsidR="009407A2">
        <w:t>the same decision defense was not intended to bar all relief</w:t>
      </w:r>
      <w:r w:rsidR="00FE7972">
        <w:t>.  We</w:t>
      </w:r>
      <w:r w:rsidR="009671B5">
        <w:t xml:space="preserve"> </w:t>
      </w:r>
      <w:r w:rsidR="00A106E0">
        <w:t>do not find this argument persuasive</w:t>
      </w:r>
      <w:r w:rsidR="00052FFC">
        <w:t xml:space="preserve"> because </w:t>
      </w:r>
      <w:r w:rsidR="002E3DEF">
        <w:t>section 1102.6’s</w:t>
      </w:r>
      <w:r w:rsidR="00052FFC">
        <w:t xml:space="preserve"> legislative history </w:t>
      </w:r>
      <w:r w:rsidR="002E3DEF">
        <w:t>is not “unambiguous” on that point</w:t>
      </w:r>
      <w:r w:rsidR="009671B5">
        <w:t>.</w:t>
      </w:r>
      <w:r>
        <w:rPr>
          <w:rStyle w:val="FootnoteReference"/>
        </w:rPr>
        <w:footnoteReference w:id="4"/>
      </w:r>
      <w:r w:rsidR="00052FFC">
        <w:t xml:space="preserve">  </w:t>
      </w:r>
      <w:r w:rsidR="002E3DEF">
        <w:t>(</w:t>
      </w:r>
      <w:r w:rsidR="002E3DEF" w:rsidRPr="002E3DEF">
        <w:rPr>
          <w:i/>
          <w:iCs/>
        </w:rPr>
        <w:t>Medical Board v. Superior Court</w:t>
      </w:r>
      <w:r w:rsidR="002E3DEF">
        <w:t xml:space="preserve"> (2003) 111 Cal.App.4</w:t>
      </w:r>
      <w:r w:rsidR="002E3DEF" w:rsidRPr="002E3DEF">
        <w:t>th</w:t>
      </w:r>
      <w:r w:rsidR="002E3DEF">
        <w:t xml:space="preserve"> 163, 179.)  </w:t>
      </w:r>
      <w:r w:rsidR="00745C07">
        <w:t>Additionally</w:t>
      </w:r>
      <w:r w:rsidR="00052FFC">
        <w:t>, a</w:t>
      </w:r>
      <w:r w:rsidR="00D2073B">
        <w:t xml:space="preserve"> single canon of construction cannot “defeat the underlying legislative intent otherwise determined.”  (</w:t>
      </w:r>
      <w:r w:rsidR="00D2073B" w:rsidRPr="00FC65B0">
        <w:rPr>
          <w:i/>
          <w:iCs/>
        </w:rPr>
        <w:t>Ferra v. Loews Hollywood Hotel, LLC</w:t>
      </w:r>
      <w:r w:rsidR="00D2073B">
        <w:t xml:space="preserve"> (2021) 11 Cal.5</w:t>
      </w:r>
      <w:r w:rsidR="00D2073B" w:rsidRPr="00FC65B0">
        <w:t>th</w:t>
      </w:r>
      <w:r w:rsidR="00D2073B">
        <w:t xml:space="preserve"> 858, 879.) </w:t>
      </w:r>
      <w:r w:rsidR="0048703F">
        <w:t xml:space="preserve"> </w:t>
      </w:r>
      <w:r w:rsidR="00A106E0">
        <w:t xml:space="preserve">An interpretation of section 1102.6 that precludes liability where an employer has met its burden at the second step of the statute’s framework is consistent with its plain language and gives effect to every phrase and word, including “alleged” and “contributing factor.”  </w:t>
      </w:r>
      <w:r w:rsidR="00A106E0">
        <w:lastRenderedPageBreak/>
        <w:t xml:space="preserve">And the result of our holding avoids adverse consequences while accomplishing the apparent purpose of the Legislature to provide procedures for evaluating section 1102.5 claims that expand whistleblower protections.  (See </w:t>
      </w:r>
      <w:r w:rsidR="00A106E0" w:rsidRPr="00AF7CE7">
        <w:rPr>
          <w:i/>
          <w:iCs/>
        </w:rPr>
        <w:t>Lawson, supra</w:t>
      </w:r>
      <w:r w:rsidR="00A106E0">
        <w:t>, 12 Cal.5</w:t>
      </w:r>
      <w:r w:rsidR="00A106E0" w:rsidRPr="00AF7CE7">
        <w:t>th</w:t>
      </w:r>
      <w:r w:rsidR="00A106E0">
        <w:t xml:space="preserve"> at pp. 712, 716 [section 1102.6 imposes a “heightened burden” on the employer and a lesser burden on the employee].)  Thus, considering the legislative background of 1102.6, along with the plain language of the statute and relevant caselaw, Ververka’s argument </w:t>
      </w:r>
      <w:r w:rsidR="00472D76">
        <w:t xml:space="preserve">that the omission was “intentional” </w:t>
      </w:r>
      <w:r w:rsidR="00A106E0">
        <w:t>is speculation, at best.</w:t>
      </w:r>
      <w:r w:rsidR="0048703F">
        <w:t xml:space="preserve">  </w:t>
      </w:r>
      <w:r w:rsidR="0048703F" w:rsidRPr="0048703F">
        <w:t xml:space="preserve">Section 1102.6 is therefore not reasonably susceptible to Ververka’s interpretation that an employer’s same decision showing does not bar all relief in civil cases brought pursuant to section 1102.5. </w:t>
      </w:r>
      <w:r w:rsidR="0048703F">
        <w:t xml:space="preserve"> </w:t>
      </w:r>
      <w:r w:rsidR="00745C07">
        <w:t xml:space="preserve">  </w:t>
      </w:r>
      <w:r w:rsidR="009671B5">
        <w:t xml:space="preserve"> </w:t>
      </w:r>
      <w:bookmarkEnd w:id="1"/>
    </w:p>
    <w:p w14:paraId="2C826452" w14:textId="4D668FFF" w:rsidR="00AC1A7C" w:rsidRPr="00AC1A7C" w:rsidRDefault="00300A80" w:rsidP="00314329">
      <w:pPr>
        <w:spacing w:line="360" w:lineRule="auto"/>
        <w:ind w:firstLine="720"/>
      </w:pPr>
      <w:r>
        <w:t xml:space="preserve">Because Ververka does not challenge the jury’s findings that CalVet would have made the same recommendation </w:t>
      </w:r>
      <w:r w:rsidR="00376820">
        <w:t xml:space="preserve">to remove him </w:t>
      </w:r>
      <w:r>
        <w:t xml:space="preserve">for legitimate, independent reasons, </w:t>
      </w:r>
      <w:r w:rsidR="00987E6C">
        <w:t>he is not entitled to declaratory relief on his section 1102.5 claim.  He is also not entitled to attorney</w:t>
      </w:r>
      <w:r w:rsidR="000E594D">
        <w:t>’s</w:t>
      </w:r>
      <w:r w:rsidR="00987E6C">
        <w:t xml:space="preserve"> fees and costs.  (§</w:t>
      </w:r>
      <w:r w:rsidR="00A67712">
        <w:t> </w:t>
      </w:r>
      <w:r w:rsidR="00987E6C">
        <w:t xml:space="preserve">1102.5, subd. (j) [“The court is authorized to award reasonable attorney’s fees to a plaintiff who brings a </w:t>
      </w:r>
      <w:r w:rsidR="00987E6C" w:rsidRPr="00987E6C">
        <w:rPr>
          <w:i/>
          <w:iCs/>
        </w:rPr>
        <w:t>successful</w:t>
      </w:r>
      <w:r w:rsidR="00987E6C">
        <w:t xml:space="preserve"> action for a violation of these provisions,” italics added].)  We therefore </w:t>
      </w:r>
      <w:r>
        <w:t>conclude the trial court did not err in denying his motion to vacate the judgment</w:t>
      </w:r>
      <w:r w:rsidR="00530724">
        <w:t xml:space="preserve"> brought pursuant to Code of Civil Procedure section 663</w:t>
      </w:r>
      <w:r>
        <w:t>.</w:t>
      </w:r>
      <w:r w:rsidR="00846722">
        <w:t xml:space="preserve"> </w:t>
      </w:r>
      <w:r w:rsidR="0075613F">
        <w:t xml:space="preserve"> </w:t>
      </w:r>
      <w:r w:rsidR="00846722">
        <w:t xml:space="preserve">In light of this conclusion, we </w:t>
      </w:r>
      <w:r w:rsidR="00037ED8">
        <w:t xml:space="preserve">dismiss CalVet’s cross appeal—which </w:t>
      </w:r>
      <w:r w:rsidR="0075613F">
        <w:t>argues that this court may affirm the judgment on several alternative legal bases</w:t>
      </w:r>
      <w:r w:rsidR="00037ED8">
        <w:t xml:space="preserve">—as moot.  </w:t>
      </w:r>
      <w:r>
        <w:t xml:space="preserve">(See </w:t>
      </w:r>
      <w:r w:rsidRPr="000B2EE4">
        <w:rPr>
          <w:i/>
          <w:iCs/>
        </w:rPr>
        <w:t>Hewlett v. Squaw Valley Ski Corp.</w:t>
      </w:r>
      <w:r>
        <w:t xml:space="preserve"> (1997) 54 Cal.App.4</w:t>
      </w:r>
      <w:r w:rsidRPr="000B2EE4">
        <w:t>th</w:t>
      </w:r>
      <w:r>
        <w:t xml:space="preserve"> 499, 510</w:t>
      </w:r>
      <w:r w:rsidR="003A34E3">
        <w:t xml:space="preserve">, superseded by statute on another ground in </w:t>
      </w:r>
      <w:r w:rsidR="003A34E3" w:rsidRPr="003A34E3">
        <w:rPr>
          <w:i/>
          <w:iCs/>
        </w:rPr>
        <w:t>United Farm Workers of America v. Dutra Farms</w:t>
      </w:r>
      <w:r w:rsidR="003A34E3">
        <w:t xml:space="preserve"> (2000) 83 Cal.App.4</w:t>
      </w:r>
      <w:r w:rsidR="003A34E3" w:rsidRPr="003A34E3">
        <w:t>th</w:t>
      </w:r>
      <w:r w:rsidR="003A34E3">
        <w:t xml:space="preserve"> 1146, 1163–1164</w:t>
      </w:r>
      <w:r>
        <w:t>.)</w:t>
      </w:r>
    </w:p>
    <w:p w14:paraId="04EFB073" w14:textId="50BA3E95" w:rsidR="00893BF5" w:rsidRPr="00893BF5" w:rsidRDefault="00300A80" w:rsidP="00E9151E">
      <w:pPr>
        <w:pStyle w:val="ListParagraph"/>
        <w:keepNext/>
        <w:numPr>
          <w:ilvl w:val="0"/>
          <w:numId w:val="1"/>
        </w:numPr>
        <w:spacing w:line="360" w:lineRule="auto"/>
        <w:jc w:val="center"/>
        <w:rPr>
          <w:b/>
          <w:bCs/>
        </w:rPr>
      </w:pPr>
      <w:r w:rsidRPr="00893BF5">
        <w:rPr>
          <w:b/>
          <w:bCs/>
        </w:rPr>
        <w:lastRenderedPageBreak/>
        <w:t>DISPOSITION</w:t>
      </w:r>
    </w:p>
    <w:p w14:paraId="2ADF360D" w14:textId="0DC50BB8" w:rsidR="00C44F80" w:rsidRDefault="00300A80" w:rsidP="00973388">
      <w:pPr>
        <w:spacing w:line="360" w:lineRule="auto"/>
        <w:ind w:firstLine="720"/>
      </w:pPr>
      <w:r>
        <w:t xml:space="preserve">The </w:t>
      </w:r>
      <w:r w:rsidR="00333C33">
        <w:t>judgment</w:t>
      </w:r>
      <w:r>
        <w:t xml:space="preserve"> is affirmed.</w:t>
      </w:r>
      <w:r w:rsidR="00AC1A7C">
        <w:t xml:space="preserve">  CalVet’s cross-appeal is dismissed as moot.  Costs are awarded to CalVet.</w:t>
      </w:r>
      <w:r w:rsidR="005B6D6C">
        <w:t xml:space="preserve">  (Cal. Rules of Court, rule 8.278(a)(</w:t>
      </w:r>
      <w:r w:rsidR="00542A79">
        <w:t>2).)</w:t>
      </w:r>
    </w:p>
    <w:p w14:paraId="5B340E3C" w14:textId="771302D6" w:rsidR="00C44F80" w:rsidRDefault="00C44F80" w:rsidP="00A01846">
      <w:pPr>
        <w:spacing w:line="360" w:lineRule="auto"/>
        <w:ind w:firstLine="720"/>
      </w:pPr>
    </w:p>
    <w:p w14:paraId="2F60D34A" w14:textId="206E67FD" w:rsidR="00C44F80" w:rsidRDefault="00300A80" w:rsidP="00A01846">
      <w:pPr>
        <w:spacing w:line="360" w:lineRule="auto"/>
        <w:ind w:firstLine="720"/>
      </w:pPr>
      <w:r>
        <w:tab/>
      </w:r>
      <w:r>
        <w:tab/>
      </w:r>
      <w:r>
        <w:tab/>
      </w:r>
      <w:r>
        <w:tab/>
      </w:r>
      <w:r>
        <w:tab/>
      </w:r>
      <w:r>
        <w:tab/>
      </w:r>
      <w:r>
        <w:tab/>
        <w:t xml:space="preserve">LANGHORNE WILSON, J. </w:t>
      </w:r>
    </w:p>
    <w:p w14:paraId="45AE4166" w14:textId="490FB3E8" w:rsidR="00C44F80" w:rsidRDefault="00C44F80" w:rsidP="00973388">
      <w:pPr>
        <w:spacing w:line="360" w:lineRule="auto"/>
      </w:pPr>
    </w:p>
    <w:p w14:paraId="7A75B18E" w14:textId="0911880B" w:rsidR="00C44F80" w:rsidRDefault="00300A80" w:rsidP="00C44F80">
      <w:pPr>
        <w:tabs>
          <w:tab w:val="clear" w:pos="720"/>
          <w:tab w:val="left" w:pos="0"/>
        </w:tabs>
        <w:spacing w:line="360" w:lineRule="auto"/>
      </w:pPr>
      <w:r>
        <w:t>WE CONCUR:</w:t>
      </w:r>
    </w:p>
    <w:p w14:paraId="009CB99C" w14:textId="17893E36" w:rsidR="00C44F80" w:rsidRDefault="00C44F80" w:rsidP="00C44F80">
      <w:pPr>
        <w:tabs>
          <w:tab w:val="clear" w:pos="720"/>
          <w:tab w:val="left" w:pos="0"/>
        </w:tabs>
        <w:spacing w:line="360" w:lineRule="auto"/>
      </w:pPr>
    </w:p>
    <w:p w14:paraId="07245B5D" w14:textId="189A0FC6" w:rsidR="00C44F80" w:rsidRDefault="00300A80" w:rsidP="00C44F80">
      <w:pPr>
        <w:tabs>
          <w:tab w:val="clear" w:pos="720"/>
          <w:tab w:val="left" w:pos="0"/>
        </w:tabs>
        <w:spacing w:line="360" w:lineRule="auto"/>
      </w:pPr>
      <w:r>
        <w:t xml:space="preserve">HUMES, P. J. </w:t>
      </w:r>
    </w:p>
    <w:p w14:paraId="695BE489" w14:textId="055B5229" w:rsidR="00CC4B79" w:rsidRDefault="00CC4B79" w:rsidP="00C44F80">
      <w:pPr>
        <w:tabs>
          <w:tab w:val="clear" w:pos="720"/>
          <w:tab w:val="left" w:pos="0"/>
        </w:tabs>
        <w:spacing w:line="360" w:lineRule="auto"/>
      </w:pPr>
    </w:p>
    <w:p w14:paraId="1B6BA213" w14:textId="0B3568B4" w:rsidR="00CC4B79" w:rsidRDefault="00CC4B79" w:rsidP="00C44F80">
      <w:pPr>
        <w:tabs>
          <w:tab w:val="clear" w:pos="720"/>
          <w:tab w:val="left" w:pos="0"/>
        </w:tabs>
        <w:spacing w:line="360" w:lineRule="auto"/>
      </w:pPr>
    </w:p>
    <w:p w14:paraId="1AFE84E7" w14:textId="32231E04" w:rsidR="00CC4B79" w:rsidRDefault="00300A80" w:rsidP="00C44F80">
      <w:pPr>
        <w:tabs>
          <w:tab w:val="clear" w:pos="720"/>
          <w:tab w:val="left" w:pos="0"/>
        </w:tabs>
        <w:spacing w:line="360" w:lineRule="auto"/>
      </w:pPr>
      <w:r>
        <w:t>CASTRO, J.</w:t>
      </w:r>
      <w:r>
        <w:rPr>
          <w:rStyle w:val="FootnoteReference"/>
        </w:rPr>
        <w:footnoteReference w:customMarkFollows="1" w:id="5"/>
        <w:t>*</w:t>
      </w:r>
    </w:p>
    <w:p w14:paraId="323BEF87" w14:textId="77777777" w:rsidR="00973388" w:rsidRDefault="00973388" w:rsidP="00C44F80">
      <w:pPr>
        <w:tabs>
          <w:tab w:val="clear" w:pos="720"/>
          <w:tab w:val="left" w:pos="0"/>
        </w:tabs>
        <w:spacing w:line="360" w:lineRule="auto"/>
        <w:rPr>
          <w:i/>
          <w:iCs/>
        </w:rPr>
      </w:pPr>
    </w:p>
    <w:p w14:paraId="70973099" w14:textId="77777777" w:rsidR="00973388" w:rsidRDefault="00973388" w:rsidP="00C44F80">
      <w:pPr>
        <w:tabs>
          <w:tab w:val="clear" w:pos="720"/>
          <w:tab w:val="left" w:pos="0"/>
        </w:tabs>
        <w:spacing w:line="360" w:lineRule="auto"/>
        <w:rPr>
          <w:i/>
          <w:iCs/>
        </w:rPr>
      </w:pPr>
    </w:p>
    <w:p w14:paraId="7D72C85A" w14:textId="1B369918" w:rsidR="00A85949" w:rsidRDefault="00300A80" w:rsidP="00C44F80">
      <w:pPr>
        <w:tabs>
          <w:tab w:val="clear" w:pos="720"/>
          <w:tab w:val="left" w:pos="0"/>
        </w:tabs>
        <w:spacing w:line="360" w:lineRule="auto"/>
        <w:sectPr w:rsidR="00A85949" w:rsidSect="005E3AAC">
          <w:footerReference w:type="even" r:id="rId7"/>
          <w:footerReference w:type="default" r:id="rId8"/>
          <w:pgSz w:w="12240" w:h="15840"/>
          <w:pgMar w:top="1440" w:right="1440" w:bottom="1440" w:left="1440" w:header="720" w:footer="720" w:gutter="0"/>
          <w:cols w:space="720"/>
          <w:docGrid w:linePitch="360"/>
        </w:sectPr>
      </w:pPr>
      <w:r w:rsidRPr="00973388">
        <w:rPr>
          <w:i/>
          <w:iCs/>
        </w:rPr>
        <w:t>Ververka v. Dept. of Veterans Affairs</w:t>
      </w:r>
      <w:r>
        <w:t>; A163571</w:t>
      </w:r>
    </w:p>
    <w:p w14:paraId="377D2E31" w14:textId="77777777" w:rsidR="00A85949" w:rsidRPr="008601C7" w:rsidRDefault="00A85949" w:rsidP="00A85949">
      <w:pPr>
        <w:spacing w:line="240" w:lineRule="auto"/>
        <w:rPr>
          <w:sz w:val="20"/>
        </w:rPr>
      </w:pPr>
      <w:r w:rsidRPr="008601C7">
        <w:rPr>
          <w:sz w:val="20"/>
        </w:rPr>
        <w:lastRenderedPageBreak/>
        <w:t>Filed 5/22/24</w:t>
      </w:r>
    </w:p>
    <w:p w14:paraId="5861CD44" w14:textId="77777777" w:rsidR="00A85949" w:rsidRPr="008601C7" w:rsidRDefault="00A85949" w:rsidP="00A85949">
      <w:pPr>
        <w:spacing w:line="240" w:lineRule="auto"/>
        <w:jc w:val="center"/>
        <w:rPr>
          <w:b/>
        </w:rPr>
      </w:pPr>
      <w:r w:rsidRPr="008601C7">
        <w:rPr>
          <w:b/>
        </w:rPr>
        <w:t>CERTIFIED FOR PUBLICATION</w:t>
      </w:r>
    </w:p>
    <w:p w14:paraId="3B0C7DC6" w14:textId="77777777" w:rsidR="00A85949" w:rsidRPr="008601C7" w:rsidRDefault="00A85949" w:rsidP="00A85949">
      <w:pPr>
        <w:spacing w:line="240" w:lineRule="auto"/>
      </w:pPr>
    </w:p>
    <w:p w14:paraId="6941E720" w14:textId="77777777" w:rsidR="00A85949" w:rsidRPr="008601C7" w:rsidRDefault="00A85949" w:rsidP="00A85949">
      <w:pPr>
        <w:spacing w:line="240" w:lineRule="auto"/>
        <w:jc w:val="center"/>
      </w:pPr>
      <w:r w:rsidRPr="008601C7">
        <w:t>IN THE COURT OF APPEAL OF THE STATE OF CALIFORNIA</w:t>
      </w:r>
    </w:p>
    <w:p w14:paraId="204C9A6F" w14:textId="77777777" w:rsidR="00A85949" w:rsidRPr="008601C7" w:rsidRDefault="00A85949" w:rsidP="00A85949">
      <w:pPr>
        <w:spacing w:line="240" w:lineRule="auto"/>
        <w:jc w:val="center"/>
      </w:pPr>
    </w:p>
    <w:p w14:paraId="35CD45B4" w14:textId="77777777" w:rsidR="00A85949" w:rsidRPr="008601C7" w:rsidRDefault="00A85949" w:rsidP="00A85949">
      <w:pPr>
        <w:spacing w:line="240" w:lineRule="auto"/>
        <w:jc w:val="center"/>
      </w:pPr>
      <w:r w:rsidRPr="008601C7">
        <w:t>FIRST APPELLATE DISTRICT</w:t>
      </w:r>
    </w:p>
    <w:p w14:paraId="1EF7D8C5" w14:textId="77777777" w:rsidR="00A85949" w:rsidRPr="008601C7" w:rsidRDefault="00A85949" w:rsidP="00A85949">
      <w:pPr>
        <w:spacing w:line="240" w:lineRule="auto"/>
        <w:jc w:val="center"/>
      </w:pPr>
    </w:p>
    <w:p w14:paraId="2543B0E5" w14:textId="77777777" w:rsidR="00A85949" w:rsidRPr="008601C7" w:rsidRDefault="00A85949" w:rsidP="00A85949">
      <w:pPr>
        <w:spacing w:line="240" w:lineRule="auto"/>
        <w:jc w:val="center"/>
      </w:pPr>
      <w:r w:rsidRPr="008601C7">
        <w:t>DIVISION ONE</w:t>
      </w:r>
    </w:p>
    <w:p w14:paraId="30E604EE" w14:textId="77777777" w:rsidR="00A85949" w:rsidRPr="008601C7" w:rsidRDefault="00A85949" w:rsidP="00A85949">
      <w:pPr>
        <w:spacing w:line="240" w:lineRule="auto"/>
        <w:jc w:val="center"/>
      </w:pPr>
    </w:p>
    <w:p w14:paraId="0357D9BC" w14:textId="77777777" w:rsidR="00A85949" w:rsidRPr="008601C7" w:rsidRDefault="00A85949" w:rsidP="00A85949">
      <w:pPr>
        <w:spacing w:line="240" w:lineRule="auto"/>
        <w:jc w:val="center"/>
      </w:pPr>
    </w:p>
    <w:p w14:paraId="5C48A868" w14:textId="77777777" w:rsidR="00A85949" w:rsidRPr="008601C7" w:rsidRDefault="00A85949" w:rsidP="00A85949">
      <w:pPr>
        <w:spacing w:line="240" w:lineRule="auto"/>
        <w:jc w:val="center"/>
      </w:pPr>
    </w:p>
    <w:tbl>
      <w:tblPr>
        <w:tblW w:w="0" w:type="auto"/>
        <w:tblLayout w:type="fixed"/>
        <w:tblLook w:val="0000" w:firstRow="0" w:lastRow="0" w:firstColumn="0" w:lastColumn="0" w:noHBand="0" w:noVBand="0"/>
      </w:tblPr>
      <w:tblGrid>
        <w:gridCol w:w="4680"/>
        <w:gridCol w:w="4680"/>
      </w:tblGrid>
      <w:tr w:rsidR="00A85949" w:rsidRPr="008601C7" w14:paraId="54F295AC" w14:textId="77777777" w:rsidTr="002E5800">
        <w:tc>
          <w:tcPr>
            <w:tcW w:w="4680" w:type="dxa"/>
            <w:tcBorders>
              <w:bottom w:val="single" w:sz="4" w:space="0" w:color="auto"/>
              <w:right w:val="single" w:sz="4" w:space="0" w:color="auto"/>
            </w:tcBorders>
            <w:shd w:val="clear" w:color="auto" w:fill="auto"/>
          </w:tcPr>
          <w:p w14:paraId="6A7196F0" w14:textId="77777777" w:rsidR="00A85949" w:rsidRPr="008601C7" w:rsidRDefault="00A85949" w:rsidP="002E5800">
            <w:pPr>
              <w:spacing w:after="120" w:line="240" w:lineRule="auto"/>
            </w:pPr>
            <w:r w:rsidRPr="008601C7">
              <w:t>DONALD VERVERKA,</w:t>
            </w:r>
          </w:p>
          <w:p w14:paraId="22B86A61" w14:textId="77777777" w:rsidR="00A85949" w:rsidRPr="008601C7" w:rsidRDefault="00A85949" w:rsidP="002E5800">
            <w:pPr>
              <w:spacing w:after="120" w:line="240" w:lineRule="auto"/>
            </w:pPr>
            <w:r w:rsidRPr="008601C7">
              <w:tab/>
              <w:t>Plaintiff and Appellant,</w:t>
            </w:r>
          </w:p>
          <w:p w14:paraId="17D5C203" w14:textId="77777777" w:rsidR="00A85949" w:rsidRPr="008601C7" w:rsidRDefault="00A85949" w:rsidP="002E5800">
            <w:pPr>
              <w:spacing w:after="120" w:line="240" w:lineRule="auto"/>
            </w:pPr>
            <w:r w:rsidRPr="008601C7">
              <w:t>v.</w:t>
            </w:r>
          </w:p>
          <w:p w14:paraId="7E80BE75" w14:textId="77777777" w:rsidR="00A85949" w:rsidRPr="008601C7" w:rsidRDefault="00A85949" w:rsidP="002E5800">
            <w:pPr>
              <w:spacing w:after="120" w:line="240" w:lineRule="auto"/>
            </w:pPr>
            <w:r w:rsidRPr="008601C7">
              <w:t>DEPARTMENT OF VETERANS AFFAIRS,</w:t>
            </w:r>
          </w:p>
          <w:p w14:paraId="2C1798C0" w14:textId="77777777" w:rsidR="00A85949" w:rsidRPr="008601C7" w:rsidRDefault="00A85949" w:rsidP="002E5800">
            <w:pPr>
              <w:spacing w:after="120" w:line="240" w:lineRule="auto"/>
            </w:pPr>
            <w:r w:rsidRPr="008601C7">
              <w:tab/>
              <w:t>Defendant and Respondent.</w:t>
            </w:r>
          </w:p>
        </w:tc>
        <w:tc>
          <w:tcPr>
            <w:tcW w:w="4680" w:type="dxa"/>
            <w:tcBorders>
              <w:left w:val="single" w:sz="4" w:space="0" w:color="auto"/>
            </w:tcBorders>
            <w:shd w:val="clear" w:color="auto" w:fill="auto"/>
          </w:tcPr>
          <w:p w14:paraId="204BB62C" w14:textId="77777777" w:rsidR="00A85949" w:rsidRPr="008601C7" w:rsidRDefault="00A85949" w:rsidP="002E5800">
            <w:pPr>
              <w:spacing w:line="240" w:lineRule="auto"/>
            </w:pPr>
          </w:p>
          <w:p w14:paraId="13988736" w14:textId="77777777" w:rsidR="00A85949" w:rsidRPr="008601C7" w:rsidRDefault="00A85949" w:rsidP="002E5800">
            <w:pPr>
              <w:spacing w:line="240" w:lineRule="auto"/>
            </w:pPr>
          </w:p>
          <w:p w14:paraId="5D87D232" w14:textId="77777777" w:rsidR="00A85949" w:rsidRPr="008601C7" w:rsidRDefault="00A85949" w:rsidP="002E5800">
            <w:pPr>
              <w:spacing w:line="240" w:lineRule="auto"/>
            </w:pPr>
            <w:r w:rsidRPr="008601C7">
              <w:t xml:space="preserve">      A163571</w:t>
            </w:r>
          </w:p>
          <w:p w14:paraId="3E97AF1E" w14:textId="77777777" w:rsidR="00A85949" w:rsidRPr="008601C7" w:rsidRDefault="00A85949" w:rsidP="002E5800">
            <w:pPr>
              <w:spacing w:line="240" w:lineRule="auto"/>
            </w:pPr>
          </w:p>
          <w:p w14:paraId="5C25DB67" w14:textId="77777777" w:rsidR="00A85949" w:rsidRPr="008601C7" w:rsidRDefault="00A85949" w:rsidP="002E5800">
            <w:pPr>
              <w:spacing w:line="240" w:lineRule="auto"/>
            </w:pPr>
            <w:r w:rsidRPr="008601C7">
              <w:t xml:space="preserve">      (Napa County</w:t>
            </w:r>
          </w:p>
          <w:p w14:paraId="335EDF87" w14:textId="77777777" w:rsidR="00A85949" w:rsidRPr="008601C7" w:rsidRDefault="00A85949" w:rsidP="002E5800">
            <w:pPr>
              <w:spacing w:line="240" w:lineRule="auto"/>
            </w:pPr>
            <w:r w:rsidRPr="008601C7">
              <w:t xml:space="preserve">      Super. Ct. No. 18CV001376)</w:t>
            </w:r>
          </w:p>
          <w:p w14:paraId="59B2011A" w14:textId="77777777" w:rsidR="00A85949" w:rsidRPr="008601C7" w:rsidRDefault="00A85949" w:rsidP="002E5800">
            <w:pPr>
              <w:spacing w:line="240" w:lineRule="auto"/>
            </w:pPr>
          </w:p>
          <w:p w14:paraId="1CE13217" w14:textId="77777777" w:rsidR="00A85949" w:rsidRPr="008601C7" w:rsidRDefault="00A85949" w:rsidP="002E5800">
            <w:pPr>
              <w:spacing w:line="240" w:lineRule="auto"/>
              <w:ind w:left="360"/>
            </w:pPr>
            <w:r w:rsidRPr="008601C7">
              <w:t>ORDER GRANTING PUBLICATION</w:t>
            </w:r>
          </w:p>
          <w:p w14:paraId="064B6890" w14:textId="77777777" w:rsidR="00A85949" w:rsidRPr="008601C7" w:rsidRDefault="00A85949" w:rsidP="002E5800">
            <w:pPr>
              <w:spacing w:line="240" w:lineRule="auto"/>
              <w:ind w:left="360"/>
            </w:pPr>
          </w:p>
          <w:p w14:paraId="15F70560" w14:textId="77777777" w:rsidR="00A85949" w:rsidRPr="008601C7" w:rsidRDefault="00A85949" w:rsidP="002E5800">
            <w:pPr>
              <w:spacing w:line="240" w:lineRule="auto"/>
            </w:pPr>
            <w:r w:rsidRPr="008601C7">
              <w:t xml:space="preserve">     [NO CHANGE IN JUDGMENT]</w:t>
            </w:r>
          </w:p>
          <w:p w14:paraId="4095FC08" w14:textId="77777777" w:rsidR="00A85949" w:rsidRPr="008601C7" w:rsidRDefault="00A85949" w:rsidP="002E5800">
            <w:pPr>
              <w:spacing w:line="240" w:lineRule="auto"/>
            </w:pPr>
          </w:p>
        </w:tc>
      </w:tr>
    </w:tbl>
    <w:p w14:paraId="7964CE5C" w14:textId="77777777" w:rsidR="00A85949" w:rsidRPr="008601C7" w:rsidRDefault="00A85949" w:rsidP="00A85949">
      <w:pPr>
        <w:spacing w:line="360" w:lineRule="auto"/>
      </w:pPr>
      <w:r w:rsidRPr="008601C7">
        <w:t>THE COURT:</w:t>
      </w:r>
    </w:p>
    <w:p w14:paraId="2B4D8853" w14:textId="77777777" w:rsidR="00A85949" w:rsidRPr="008601C7" w:rsidRDefault="00A85949" w:rsidP="00A85949">
      <w:pPr>
        <w:spacing w:line="360" w:lineRule="auto"/>
      </w:pPr>
      <w:r w:rsidRPr="008601C7">
        <w:tab/>
        <w:t xml:space="preserve">The opinion in the above-entitled matter, filed on May 6, 2024, was not certified for publication in the Official Reports.  After this court’s review of appellant’s request under California Rules of Court, rule 8.1120, and good cause established under rule 8.1105, it is hereby ordered that the opinion should be published in the Official Reports. </w:t>
      </w:r>
    </w:p>
    <w:p w14:paraId="58739704" w14:textId="77777777" w:rsidR="00A85949" w:rsidRPr="008601C7" w:rsidRDefault="00A85949" w:rsidP="00A85949">
      <w:pPr>
        <w:spacing w:line="360" w:lineRule="auto"/>
      </w:pPr>
    </w:p>
    <w:p w14:paraId="65755D80" w14:textId="77777777" w:rsidR="00A85949" w:rsidRPr="008601C7" w:rsidRDefault="00A85949" w:rsidP="00A85949">
      <w:pPr>
        <w:tabs>
          <w:tab w:val="clear" w:pos="720"/>
        </w:tabs>
        <w:spacing w:line="360" w:lineRule="auto"/>
      </w:pPr>
    </w:p>
    <w:p w14:paraId="6290EAAA" w14:textId="77777777" w:rsidR="00A85949" w:rsidRPr="008601C7" w:rsidRDefault="00A85949" w:rsidP="00A85949">
      <w:pPr>
        <w:spacing w:line="240" w:lineRule="auto"/>
      </w:pPr>
    </w:p>
    <w:p w14:paraId="6C875C90" w14:textId="77777777" w:rsidR="00A85949" w:rsidRPr="008601C7" w:rsidRDefault="00A85949" w:rsidP="00A85949">
      <w:pPr>
        <w:spacing w:line="240" w:lineRule="auto"/>
      </w:pPr>
      <w:r w:rsidRPr="008601C7">
        <w:tab/>
      </w:r>
      <w:r w:rsidRPr="008601C7">
        <w:tab/>
      </w:r>
      <w:r w:rsidRPr="008601C7">
        <w:tab/>
      </w:r>
      <w:r w:rsidRPr="008601C7">
        <w:tab/>
      </w:r>
      <w:r w:rsidRPr="008601C7">
        <w:tab/>
      </w:r>
      <w:r w:rsidRPr="008601C7">
        <w:tab/>
      </w:r>
      <w:r w:rsidRPr="008601C7">
        <w:tab/>
        <w:t>_________________________</w:t>
      </w:r>
    </w:p>
    <w:p w14:paraId="1FF6F43B" w14:textId="77777777" w:rsidR="00A85949" w:rsidRPr="008601C7" w:rsidRDefault="00A85949" w:rsidP="00A85949">
      <w:pPr>
        <w:spacing w:line="240" w:lineRule="auto"/>
      </w:pPr>
      <w:r w:rsidRPr="008601C7">
        <w:tab/>
      </w:r>
      <w:r w:rsidRPr="008601C7">
        <w:tab/>
      </w:r>
      <w:r w:rsidRPr="008601C7">
        <w:tab/>
      </w:r>
      <w:r w:rsidRPr="008601C7">
        <w:tab/>
      </w:r>
      <w:r w:rsidRPr="008601C7">
        <w:tab/>
      </w:r>
      <w:r w:rsidRPr="008601C7">
        <w:tab/>
      </w:r>
      <w:r w:rsidRPr="008601C7">
        <w:tab/>
        <w:t>Humes, P.J.</w:t>
      </w:r>
    </w:p>
    <w:p w14:paraId="60042EE8" w14:textId="77777777" w:rsidR="00A85949" w:rsidRPr="008601C7" w:rsidRDefault="00A85949" w:rsidP="00A85949">
      <w:pPr>
        <w:tabs>
          <w:tab w:val="clear" w:pos="720"/>
        </w:tabs>
        <w:spacing w:line="360" w:lineRule="auto"/>
      </w:pPr>
      <w:r w:rsidRPr="008601C7">
        <w:br w:type="page"/>
      </w:r>
    </w:p>
    <w:p w14:paraId="1B887252" w14:textId="77777777" w:rsidR="00A85949" w:rsidRPr="008601C7" w:rsidRDefault="00A85949" w:rsidP="00A85949">
      <w:pPr>
        <w:spacing w:line="240" w:lineRule="auto"/>
      </w:pPr>
      <w:r w:rsidRPr="008601C7">
        <w:lastRenderedPageBreak/>
        <w:t>Trial Court:</w:t>
      </w:r>
      <w:r w:rsidRPr="008601C7">
        <w:tab/>
        <w:t xml:space="preserve"> Napa County Superior Court</w:t>
      </w:r>
    </w:p>
    <w:p w14:paraId="5C9666D0" w14:textId="77777777" w:rsidR="00A85949" w:rsidRPr="008601C7" w:rsidRDefault="00A85949" w:rsidP="00A85949">
      <w:pPr>
        <w:spacing w:line="240" w:lineRule="auto"/>
      </w:pPr>
    </w:p>
    <w:p w14:paraId="10F32E27" w14:textId="77777777" w:rsidR="00A85949" w:rsidRPr="008601C7" w:rsidRDefault="00A85949" w:rsidP="00A85949">
      <w:pPr>
        <w:spacing w:line="240" w:lineRule="auto"/>
      </w:pPr>
      <w:r w:rsidRPr="008601C7">
        <w:t xml:space="preserve">Trial Judge: </w:t>
      </w:r>
      <w:r w:rsidRPr="008601C7">
        <w:tab/>
        <w:t>Hon. Victoria D. Wood</w:t>
      </w:r>
    </w:p>
    <w:p w14:paraId="5C3E59EB" w14:textId="77777777" w:rsidR="00A85949" w:rsidRPr="008601C7" w:rsidRDefault="00A85949" w:rsidP="00A85949">
      <w:pPr>
        <w:spacing w:line="240" w:lineRule="auto"/>
      </w:pPr>
    </w:p>
    <w:p w14:paraId="5F0C7EB6" w14:textId="77777777" w:rsidR="00A85949" w:rsidRPr="008601C7" w:rsidRDefault="00A85949" w:rsidP="00A85949">
      <w:pPr>
        <w:spacing w:line="240" w:lineRule="auto"/>
      </w:pPr>
      <w:r w:rsidRPr="008601C7">
        <w:t xml:space="preserve">Counsel:  </w:t>
      </w:r>
    </w:p>
    <w:p w14:paraId="7D65ECFF" w14:textId="77777777" w:rsidR="00A85949" w:rsidRPr="008601C7" w:rsidRDefault="00A85949" w:rsidP="00A85949">
      <w:pPr>
        <w:spacing w:line="240" w:lineRule="auto"/>
      </w:pPr>
    </w:p>
    <w:p w14:paraId="4A41ED85" w14:textId="77777777" w:rsidR="00A85949" w:rsidRPr="008601C7" w:rsidRDefault="00A85949" w:rsidP="00A85949">
      <w:pPr>
        <w:spacing w:line="240" w:lineRule="auto"/>
      </w:pPr>
      <w:r w:rsidRPr="008601C7">
        <w:t>Workplace Advocates, Barbara E. Cowan; Elhert Hicks, Allison Elhert for Plaintiff and Appellant.</w:t>
      </w:r>
    </w:p>
    <w:p w14:paraId="5E41DCF5" w14:textId="77777777" w:rsidR="00A85949" w:rsidRPr="008601C7" w:rsidRDefault="00A85949" w:rsidP="00A85949">
      <w:pPr>
        <w:spacing w:line="240" w:lineRule="auto"/>
      </w:pPr>
    </w:p>
    <w:p w14:paraId="1FC69473" w14:textId="77777777" w:rsidR="00A85949" w:rsidRPr="008601C7" w:rsidRDefault="00A85949" w:rsidP="00A85949">
      <w:pPr>
        <w:spacing w:line="240" w:lineRule="auto"/>
      </w:pPr>
      <w:r w:rsidRPr="008601C7">
        <w:t>Rob Bonta, Attorney General, Chris A. Knudsen, Senior Assistant Attorney General, Fiel D. Tigno, Supervising Deputy Attorney General, Joshua C. Irwin and John T. McGlothlin, Deputy Attorneys General for Defendant and Respondent.</w:t>
      </w:r>
    </w:p>
    <w:p w14:paraId="2039B368" w14:textId="77777777" w:rsidR="00A85949" w:rsidRPr="008601C7" w:rsidRDefault="00A85949" w:rsidP="00A85949">
      <w:pPr>
        <w:spacing w:before="120" w:line="240" w:lineRule="auto"/>
      </w:pPr>
    </w:p>
    <w:p w14:paraId="60A45606" w14:textId="77777777" w:rsidR="00A85949" w:rsidRPr="008601C7" w:rsidRDefault="00A85949" w:rsidP="00A85949">
      <w:pPr>
        <w:spacing w:line="240" w:lineRule="auto"/>
      </w:pPr>
    </w:p>
    <w:p w14:paraId="1B851BB1" w14:textId="77777777" w:rsidR="00A85949" w:rsidRPr="008601C7" w:rsidRDefault="00A85949" w:rsidP="00A85949">
      <w:pPr>
        <w:spacing w:line="240" w:lineRule="auto"/>
      </w:pPr>
    </w:p>
    <w:p w14:paraId="5C842446" w14:textId="77777777" w:rsidR="00A85949" w:rsidRPr="008601C7" w:rsidRDefault="00A85949" w:rsidP="00A85949">
      <w:pPr>
        <w:spacing w:line="240" w:lineRule="auto"/>
      </w:pPr>
    </w:p>
    <w:p w14:paraId="54707C80" w14:textId="77777777" w:rsidR="00A85949" w:rsidRPr="008601C7" w:rsidRDefault="00A85949" w:rsidP="00A85949">
      <w:pPr>
        <w:spacing w:line="240" w:lineRule="auto"/>
      </w:pPr>
    </w:p>
    <w:p w14:paraId="7A6529FD" w14:textId="77777777" w:rsidR="00A85949" w:rsidRPr="008601C7" w:rsidRDefault="00A85949" w:rsidP="00A85949">
      <w:pPr>
        <w:spacing w:line="240" w:lineRule="auto"/>
      </w:pPr>
    </w:p>
    <w:p w14:paraId="1608D9E8" w14:textId="77777777" w:rsidR="00A85949" w:rsidRPr="008601C7" w:rsidRDefault="00A85949" w:rsidP="00A85949">
      <w:pPr>
        <w:spacing w:line="240" w:lineRule="auto"/>
      </w:pPr>
    </w:p>
    <w:p w14:paraId="6C9C4AA8" w14:textId="77777777" w:rsidR="00A85949" w:rsidRPr="008601C7" w:rsidRDefault="00A85949" w:rsidP="00A85949">
      <w:pPr>
        <w:spacing w:line="240" w:lineRule="auto"/>
      </w:pPr>
    </w:p>
    <w:p w14:paraId="42E903C5" w14:textId="77777777" w:rsidR="00A85949" w:rsidRPr="008601C7" w:rsidRDefault="00A85949" w:rsidP="00A85949">
      <w:pPr>
        <w:spacing w:line="240" w:lineRule="auto"/>
      </w:pPr>
    </w:p>
    <w:p w14:paraId="00427669" w14:textId="77777777" w:rsidR="00A85949" w:rsidRPr="008601C7" w:rsidRDefault="00A85949" w:rsidP="00A85949">
      <w:pPr>
        <w:spacing w:line="240" w:lineRule="auto"/>
      </w:pPr>
    </w:p>
    <w:p w14:paraId="10C54575" w14:textId="77777777" w:rsidR="00A85949" w:rsidRPr="008601C7" w:rsidRDefault="00A85949" w:rsidP="00A85949">
      <w:pPr>
        <w:spacing w:line="240" w:lineRule="auto"/>
      </w:pPr>
    </w:p>
    <w:p w14:paraId="7B064C87" w14:textId="2229C0BC" w:rsidR="00A85949" w:rsidRPr="008601C7" w:rsidRDefault="00A85949" w:rsidP="00A85949">
      <w:pPr>
        <w:spacing w:line="240" w:lineRule="auto"/>
      </w:pPr>
      <w:r w:rsidRPr="008601C7">
        <w:rPr>
          <w:i/>
          <w:iCs/>
        </w:rPr>
        <w:t xml:space="preserve">Ververka v. Department </w:t>
      </w:r>
      <w:r w:rsidR="00F412F8">
        <w:rPr>
          <w:i/>
          <w:iCs/>
        </w:rPr>
        <w:t>of</w:t>
      </w:r>
      <w:r w:rsidRPr="008601C7">
        <w:rPr>
          <w:i/>
          <w:iCs/>
        </w:rPr>
        <w:t xml:space="preserve"> Veterans Affairs </w:t>
      </w:r>
      <w:r w:rsidRPr="008601C7">
        <w:t>A163571</w:t>
      </w:r>
    </w:p>
    <w:p w14:paraId="0843443E" w14:textId="5B5F42EC" w:rsidR="00973388" w:rsidRPr="00E17A71" w:rsidRDefault="00973388" w:rsidP="00C44F80">
      <w:pPr>
        <w:tabs>
          <w:tab w:val="clear" w:pos="720"/>
          <w:tab w:val="left" w:pos="0"/>
        </w:tabs>
        <w:spacing w:line="360" w:lineRule="auto"/>
      </w:pPr>
    </w:p>
    <w:sectPr w:rsidR="00973388" w:rsidRPr="00E17A71" w:rsidSect="00A8594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00A40" w14:textId="77777777" w:rsidR="00300A80" w:rsidRDefault="00300A80">
      <w:pPr>
        <w:spacing w:line="240" w:lineRule="auto"/>
      </w:pPr>
      <w:r>
        <w:separator/>
      </w:r>
    </w:p>
  </w:endnote>
  <w:endnote w:type="continuationSeparator" w:id="0">
    <w:p w14:paraId="22D82C11" w14:textId="77777777" w:rsidR="00300A80" w:rsidRDefault="00300A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E92B" w14:textId="2589A50C" w:rsidR="00376820" w:rsidRDefault="00300A80" w:rsidP="003C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p w14:paraId="01D15840" w14:textId="4CA3F715" w:rsidR="00376820" w:rsidRDefault="00300A80" w:rsidP="003C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p w14:paraId="0CB0076F" w14:textId="77777777" w:rsidR="00376820" w:rsidRDefault="00376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4041" w14:textId="5909B386" w:rsidR="00376820" w:rsidRDefault="00300A80" w:rsidP="0037682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624EF5F" w14:textId="77777777" w:rsidR="00376820" w:rsidRDefault="00376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BCD77" w14:textId="77777777" w:rsidR="00DF62AF" w:rsidRDefault="00300A80" w:rsidP="00AE5857">
      <w:pPr>
        <w:spacing w:line="240" w:lineRule="auto"/>
      </w:pPr>
      <w:r>
        <w:separator/>
      </w:r>
    </w:p>
  </w:footnote>
  <w:footnote w:type="continuationSeparator" w:id="0">
    <w:p w14:paraId="07704C6B" w14:textId="77777777" w:rsidR="00DF62AF" w:rsidRDefault="00300A80" w:rsidP="00AE5857">
      <w:pPr>
        <w:spacing w:line="240" w:lineRule="auto"/>
      </w:pPr>
      <w:r>
        <w:continuationSeparator/>
      </w:r>
    </w:p>
  </w:footnote>
  <w:footnote w:id="1">
    <w:p w14:paraId="18008FC3" w14:textId="1416BA09" w:rsidR="00181B4D" w:rsidRDefault="00300A80" w:rsidP="00181B4D">
      <w:pPr>
        <w:pStyle w:val="FootnoteText"/>
        <w:ind w:firstLine="720"/>
      </w:pPr>
      <w:r>
        <w:rPr>
          <w:rStyle w:val="FootnoteReference"/>
        </w:rPr>
        <w:footnoteRef/>
      </w:r>
      <w:r>
        <w:t xml:space="preserve"> Undesignated statutory references are to the Labor Code.</w:t>
      </w:r>
    </w:p>
  </w:footnote>
  <w:footnote w:id="2">
    <w:p w14:paraId="003B6FE1" w14:textId="548A9A32" w:rsidR="0030148B" w:rsidRDefault="00300A80" w:rsidP="0030148B">
      <w:pPr>
        <w:pStyle w:val="FootnoteText"/>
        <w:ind w:firstLine="720"/>
      </w:pPr>
      <w:r>
        <w:rPr>
          <w:rStyle w:val="FootnoteReference"/>
        </w:rPr>
        <w:footnoteRef/>
      </w:r>
      <w:r>
        <w:t xml:space="preserve"> Ververka appears to have abandoned his claim for injunctive relief, as he does not argue on appeal that he is entitled to such relief.</w:t>
      </w:r>
    </w:p>
  </w:footnote>
  <w:footnote w:id="3">
    <w:p w14:paraId="15EBA8F6" w14:textId="29210CC3" w:rsidR="00B56CB0" w:rsidRDefault="00300A80" w:rsidP="00B56CB0">
      <w:pPr>
        <w:spacing w:line="240" w:lineRule="auto"/>
        <w:ind w:firstLine="720"/>
      </w:pPr>
      <w:r>
        <w:rPr>
          <w:rStyle w:val="FootnoteReference"/>
        </w:rPr>
        <w:footnoteRef/>
      </w:r>
      <w:r>
        <w:t xml:space="preserve"> Although not determinative (see </w:t>
      </w:r>
      <w:r w:rsidRPr="005B7416">
        <w:rPr>
          <w:i/>
          <w:iCs/>
          <w:shd w:val="clear" w:color="auto" w:fill="FFFFFF"/>
        </w:rPr>
        <w:t>J.A. Jones Construction Co. v. Superior Court</w:t>
      </w:r>
      <w:r w:rsidRPr="005B7416">
        <w:rPr>
          <w:shd w:val="clear" w:color="auto" w:fill="FFFFFF"/>
        </w:rPr>
        <w:t xml:space="preserve"> (1994) 27 Cal.App.4th 1568, 1577–1578</w:t>
      </w:r>
      <w:r>
        <w:rPr>
          <w:shd w:val="clear" w:color="auto" w:fill="FFFFFF"/>
        </w:rPr>
        <w:t>)</w:t>
      </w:r>
      <w:r>
        <w:t xml:space="preserve">, section 1102.6’s legislative history </w:t>
      </w:r>
      <w:r w:rsidR="00F566D6">
        <w:t xml:space="preserve">seems to </w:t>
      </w:r>
      <w:r>
        <w:t xml:space="preserve">support a conclusion that the same decision defense is a complete defense in section 1102.5 cases.  Numerous committee bill analyses indicate the Legislature’s purpose in codifying the same decision defense was to replace the </w:t>
      </w:r>
      <w:r w:rsidRPr="005320F1">
        <w:rPr>
          <w:i/>
          <w:iCs/>
        </w:rPr>
        <w:t>McDonnell Douglas</w:t>
      </w:r>
      <w:r>
        <w:t xml:space="preserve"> test—which courts consistently applied to section 1102.5 claims (</w:t>
      </w:r>
      <w:r w:rsidRPr="00B63FA3">
        <w:rPr>
          <w:i/>
          <w:iCs/>
        </w:rPr>
        <w:t>Lawson, supra</w:t>
      </w:r>
      <w:r>
        <w:t>, 12 Cal.5</w:t>
      </w:r>
      <w:r w:rsidRPr="00B63FA3">
        <w:t>th</w:t>
      </w:r>
      <w:r>
        <w:t xml:space="preserve"> at p. 710)—with a framework that was more protective of whistleblowers while still allowing an employer to avoid liability on a same decision defense.  (Sen. Judiciary Com., Analysis of Sen. Bill No. 777 (2003–2004 Reg. Sess.) as amended Apr. 8, 2003 [citing </w:t>
      </w:r>
      <w:r w:rsidRPr="00580E56">
        <w:rPr>
          <w:i/>
          <w:iCs/>
        </w:rPr>
        <w:t>McDonnell Douglas</w:t>
      </w:r>
      <w:r>
        <w:t xml:space="preserve"> when discussing “[e]xisting case law”]; Assem. Com. on Judiciary, Analysis of Sen. Bill No. 777 (2003–2004 Reg. Sess.) as amended June 17, 2003 [stating that if an employee meets the initial burden, “the employer may nevertheless prevail” by making a same decision showing]; Request for Signature letter to Governor, from Sen. Com. Chair Martha M. Escutia, Sen. Bill No. 777 (2003–2004 Reg. Sess.) p. 2</w:t>
      </w:r>
      <w:r w:rsidR="006B7701">
        <w:t xml:space="preserve"> [stating section 1102.6 would protect whistleblowers by increasing the employer’s burden of proof]</w:t>
      </w:r>
      <w:r>
        <w:t>.</w:t>
      </w:r>
      <w:r w:rsidRPr="005320F1">
        <w:t>)</w:t>
      </w:r>
      <w:r w:rsidR="00F566D6" w:rsidRPr="00F566D6">
        <w:rPr>
          <w:kern w:val="0"/>
          <w:shd w:val="clear" w:color="auto" w:fill="FFFFFF"/>
          <w14:ligatures w14:val="none"/>
        </w:rPr>
        <w:t xml:space="preserve"> </w:t>
      </w:r>
    </w:p>
  </w:footnote>
  <w:footnote w:id="4">
    <w:p w14:paraId="6626C317" w14:textId="3A29F494" w:rsidR="002E3DEF" w:rsidRDefault="00300A80" w:rsidP="00745C07">
      <w:pPr>
        <w:pStyle w:val="FootnoteText"/>
        <w:ind w:firstLine="720"/>
      </w:pPr>
      <w:r>
        <w:rPr>
          <w:rStyle w:val="FootnoteReference"/>
        </w:rPr>
        <w:footnoteRef/>
      </w:r>
      <w:r>
        <w:t xml:space="preserve"> </w:t>
      </w:r>
      <w:r w:rsidR="00745C07">
        <w:t>This</w:t>
      </w:r>
      <w:r>
        <w:t xml:space="preserve"> legislative history </w:t>
      </w:r>
      <w:r w:rsidR="0032497E">
        <w:t xml:space="preserve">states that according to the sponsor of the bill, </w:t>
      </w:r>
      <w:r w:rsidR="00AB0B24">
        <w:t>“</w:t>
      </w:r>
      <w:r w:rsidR="00745C07">
        <w:t xml:space="preserve">the </w:t>
      </w:r>
      <w:r w:rsidR="00AB0B24">
        <w:t>[</w:t>
      </w:r>
      <w:r w:rsidR="00745C07">
        <w:t>same decision</w:t>
      </w:r>
      <w:r w:rsidR="00AB0B24">
        <w:t>]</w:t>
      </w:r>
      <w:r w:rsidR="00745C07">
        <w:t xml:space="preserve"> defense is borrowed from federal law, including the Sarbanes-Oxley act,” and that it “is currently in use in other jurisdictions, including the District of Columbia.”  (Assem. Com. on Judiciary, Analysis of Sen. Bill No. 777 (2003–2004 Reg. Sess.) as amended June 17, 2003.)</w:t>
      </w:r>
      <w:r>
        <w:t xml:space="preserve"> </w:t>
      </w:r>
      <w:r w:rsidR="00745C07">
        <w:t xml:space="preserve"> </w:t>
      </w:r>
    </w:p>
  </w:footnote>
  <w:footnote w:id="5">
    <w:p w14:paraId="22F026CA" w14:textId="3A282215" w:rsidR="0061200C" w:rsidRDefault="00300A80" w:rsidP="0061200C">
      <w:pPr>
        <w:pStyle w:val="FootnoteText"/>
        <w:ind w:firstLine="720"/>
      </w:pPr>
      <w:r>
        <w:rPr>
          <w:rStyle w:val="FootnoteReference"/>
        </w:rPr>
        <w:t>*</w:t>
      </w:r>
      <w:r>
        <w:t xml:space="preserve"> </w:t>
      </w:r>
      <w:r>
        <w:rPr>
          <w:szCs w:val="26"/>
        </w:rPr>
        <w:t>Judge of the Alameda Superior Court assigned by the Chief Justice pursuant to article VI, section 6 of the California Constitution.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C1F33"/>
    <w:multiLevelType w:val="hybridMultilevel"/>
    <w:tmpl w:val="CBB20370"/>
    <w:lvl w:ilvl="0" w:tplc="7E4CA0E2">
      <w:start w:val="1"/>
      <w:numFmt w:val="upperLetter"/>
      <w:lvlText w:val="%1."/>
      <w:lvlJc w:val="left"/>
      <w:pPr>
        <w:ind w:left="360" w:hanging="360"/>
      </w:pPr>
      <w:rPr>
        <w:i/>
        <w:iCs/>
      </w:rPr>
    </w:lvl>
    <w:lvl w:ilvl="1" w:tplc="69647724" w:tentative="1">
      <w:start w:val="1"/>
      <w:numFmt w:val="lowerLetter"/>
      <w:lvlText w:val="%2."/>
      <w:lvlJc w:val="left"/>
      <w:pPr>
        <w:ind w:left="1080" w:hanging="360"/>
      </w:pPr>
    </w:lvl>
    <w:lvl w:ilvl="2" w:tplc="321CCA42" w:tentative="1">
      <w:start w:val="1"/>
      <w:numFmt w:val="lowerRoman"/>
      <w:lvlText w:val="%3."/>
      <w:lvlJc w:val="right"/>
      <w:pPr>
        <w:ind w:left="1800" w:hanging="180"/>
      </w:pPr>
    </w:lvl>
    <w:lvl w:ilvl="3" w:tplc="D77A2560" w:tentative="1">
      <w:start w:val="1"/>
      <w:numFmt w:val="decimal"/>
      <w:lvlText w:val="%4."/>
      <w:lvlJc w:val="left"/>
      <w:pPr>
        <w:ind w:left="2520" w:hanging="360"/>
      </w:pPr>
    </w:lvl>
    <w:lvl w:ilvl="4" w:tplc="2A382214" w:tentative="1">
      <w:start w:val="1"/>
      <w:numFmt w:val="lowerLetter"/>
      <w:lvlText w:val="%5."/>
      <w:lvlJc w:val="left"/>
      <w:pPr>
        <w:ind w:left="3240" w:hanging="360"/>
      </w:pPr>
    </w:lvl>
    <w:lvl w:ilvl="5" w:tplc="D1A06630" w:tentative="1">
      <w:start w:val="1"/>
      <w:numFmt w:val="lowerRoman"/>
      <w:lvlText w:val="%6."/>
      <w:lvlJc w:val="right"/>
      <w:pPr>
        <w:ind w:left="3960" w:hanging="180"/>
      </w:pPr>
    </w:lvl>
    <w:lvl w:ilvl="6" w:tplc="A022B80C" w:tentative="1">
      <w:start w:val="1"/>
      <w:numFmt w:val="decimal"/>
      <w:lvlText w:val="%7."/>
      <w:lvlJc w:val="left"/>
      <w:pPr>
        <w:ind w:left="4680" w:hanging="360"/>
      </w:pPr>
    </w:lvl>
    <w:lvl w:ilvl="7" w:tplc="408EE90C" w:tentative="1">
      <w:start w:val="1"/>
      <w:numFmt w:val="lowerLetter"/>
      <w:lvlText w:val="%8."/>
      <w:lvlJc w:val="left"/>
      <w:pPr>
        <w:ind w:left="5400" w:hanging="360"/>
      </w:pPr>
    </w:lvl>
    <w:lvl w:ilvl="8" w:tplc="20B88E3C" w:tentative="1">
      <w:start w:val="1"/>
      <w:numFmt w:val="lowerRoman"/>
      <w:lvlText w:val="%9."/>
      <w:lvlJc w:val="right"/>
      <w:pPr>
        <w:ind w:left="6120" w:hanging="180"/>
      </w:pPr>
    </w:lvl>
  </w:abstractNum>
  <w:abstractNum w:abstractNumId="1" w15:restartNumberingAfterBreak="0">
    <w:nsid w:val="1A0A1762"/>
    <w:multiLevelType w:val="hybridMultilevel"/>
    <w:tmpl w:val="9C26E3EA"/>
    <w:lvl w:ilvl="0" w:tplc="076C395E">
      <w:start w:val="1"/>
      <w:numFmt w:val="upperLetter"/>
      <w:lvlText w:val="%1."/>
      <w:lvlJc w:val="left"/>
      <w:pPr>
        <w:ind w:left="360" w:hanging="360"/>
      </w:pPr>
    </w:lvl>
    <w:lvl w:ilvl="1" w:tplc="47142B8A" w:tentative="1">
      <w:start w:val="1"/>
      <w:numFmt w:val="lowerLetter"/>
      <w:lvlText w:val="%2."/>
      <w:lvlJc w:val="left"/>
      <w:pPr>
        <w:ind w:left="1080" w:hanging="360"/>
      </w:pPr>
    </w:lvl>
    <w:lvl w:ilvl="2" w:tplc="CBC4A17C" w:tentative="1">
      <w:start w:val="1"/>
      <w:numFmt w:val="lowerRoman"/>
      <w:lvlText w:val="%3."/>
      <w:lvlJc w:val="right"/>
      <w:pPr>
        <w:ind w:left="1800" w:hanging="180"/>
      </w:pPr>
    </w:lvl>
    <w:lvl w:ilvl="3" w:tplc="809EA574" w:tentative="1">
      <w:start w:val="1"/>
      <w:numFmt w:val="decimal"/>
      <w:lvlText w:val="%4."/>
      <w:lvlJc w:val="left"/>
      <w:pPr>
        <w:ind w:left="2520" w:hanging="360"/>
      </w:pPr>
    </w:lvl>
    <w:lvl w:ilvl="4" w:tplc="F37C980A" w:tentative="1">
      <w:start w:val="1"/>
      <w:numFmt w:val="lowerLetter"/>
      <w:lvlText w:val="%5."/>
      <w:lvlJc w:val="left"/>
      <w:pPr>
        <w:ind w:left="3240" w:hanging="360"/>
      </w:pPr>
    </w:lvl>
    <w:lvl w:ilvl="5" w:tplc="50BEDE12" w:tentative="1">
      <w:start w:val="1"/>
      <w:numFmt w:val="lowerRoman"/>
      <w:lvlText w:val="%6."/>
      <w:lvlJc w:val="right"/>
      <w:pPr>
        <w:ind w:left="3960" w:hanging="180"/>
      </w:pPr>
    </w:lvl>
    <w:lvl w:ilvl="6" w:tplc="F85A2644" w:tentative="1">
      <w:start w:val="1"/>
      <w:numFmt w:val="decimal"/>
      <w:lvlText w:val="%7."/>
      <w:lvlJc w:val="left"/>
      <w:pPr>
        <w:ind w:left="4680" w:hanging="360"/>
      </w:pPr>
    </w:lvl>
    <w:lvl w:ilvl="7" w:tplc="76FE9162" w:tentative="1">
      <w:start w:val="1"/>
      <w:numFmt w:val="lowerLetter"/>
      <w:lvlText w:val="%8."/>
      <w:lvlJc w:val="left"/>
      <w:pPr>
        <w:ind w:left="5400" w:hanging="360"/>
      </w:pPr>
    </w:lvl>
    <w:lvl w:ilvl="8" w:tplc="F4C483A8" w:tentative="1">
      <w:start w:val="1"/>
      <w:numFmt w:val="lowerRoman"/>
      <w:lvlText w:val="%9."/>
      <w:lvlJc w:val="right"/>
      <w:pPr>
        <w:ind w:left="6120" w:hanging="180"/>
      </w:pPr>
    </w:lvl>
  </w:abstractNum>
  <w:abstractNum w:abstractNumId="2" w15:restartNumberingAfterBreak="0">
    <w:nsid w:val="48052A22"/>
    <w:multiLevelType w:val="hybridMultilevel"/>
    <w:tmpl w:val="6CAEAFF6"/>
    <w:lvl w:ilvl="0" w:tplc="7E526F08">
      <w:start w:val="1"/>
      <w:numFmt w:val="upperRoman"/>
      <w:lvlText w:val="%1."/>
      <w:lvlJc w:val="left"/>
      <w:pPr>
        <w:ind w:left="1080" w:hanging="720"/>
      </w:pPr>
      <w:rPr>
        <w:rFonts w:hint="default"/>
      </w:rPr>
    </w:lvl>
    <w:lvl w:ilvl="1" w:tplc="1AD25AF8" w:tentative="1">
      <w:start w:val="1"/>
      <w:numFmt w:val="lowerLetter"/>
      <w:lvlText w:val="%2."/>
      <w:lvlJc w:val="left"/>
      <w:pPr>
        <w:ind w:left="1440" w:hanging="360"/>
      </w:pPr>
    </w:lvl>
    <w:lvl w:ilvl="2" w:tplc="67CC96E2" w:tentative="1">
      <w:start w:val="1"/>
      <w:numFmt w:val="lowerRoman"/>
      <w:lvlText w:val="%3."/>
      <w:lvlJc w:val="right"/>
      <w:pPr>
        <w:ind w:left="2160" w:hanging="180"/>
      </w:pPr>
    </w:lvl>
    <w:lvl w:ilvl="3" w:tplc="D6787268" w:tentative="1">
      <w:start w:val="1"/>
      <w:numFmt w:val="decimal"/>
      <w:lvlText w:val="%4."/>
      <w:lvlJc w:val="left"/>
      <w:pPr>
        <w:ind w:left="2880" w:hanging="360"/>
      </w:pPr>
    </w:lvl>
    <w:lvl w:ilvl="4" w:tplc="7CDED488" w:tentative="1">
      <w:start w:val="1"/>
      <w:numFmt w:val="lowerLetter"/>
      <w:lvlText w:val="%5."/>
      <w:lvlJc w:val="left"/>
      <w:pPr>
        <w:ind w:left="3600" w:hanging="360"/>
      </w:pPr>
    </w:lvl>
    <w:lvl w:ilvl="5" w:tplc="E5E4E2DE" w:tentative="1">
      <w:start w:val="1"/>
      <w:numFmt w:val="lowerRoman"/>
      <w:lvlText w:val="%6."/>
      <w:lvlJc w:val="right"/>
      <w:pPr>
        <w:ind w:left="4320" w:hanging="180"/>
      </w:pPr>
    </w:lvl>
    <w:lvl w:ilvl="6" w:tplc="21F41074" w:tentative="1">
      <w:start w:val="1"/>
      <w:numFmt w:val="decimal"/>
      <w:lvlText w:val="%7."/>
      <w:lvlJc w:val="left"/>
      <w:pPr>
        <w:ind w:left="5040" w:hanging="360"/>
      </w:pPr>
    </w:lvl>
    <w:lvl w:ilvl="7" w:tplc="7B46B9BA" w:tentative="1">
      <w:start w:val="1"/>
      <w:numFmt w:val="lowerLetter"/>
      <w:lvlText w:val="%8."/>
      <w:lvlJc w:val="left"/>
      <w:pPr>
        <w:ind w:left="5760" w:hanging="360"/>
      </w:pPr>
    </w:lvl>
    <w:lvl w:ilvl="8" w:tplc="AAB2E76C" w:tentative="1">
      <w:start w:val="1"/>
      <w:numFmt w:val="lowerRoman"/>
      <w:lvlText w:val="%9."/>
      <w:lvlJc w:val="right"/>
      <w:pPr>
        <w:ind w:left="6480" w:hanging="180"/>
      </w:pPr>
    </w:lvl>
  </w:abstractNum>
  <w:abstractNum w:abstractNumId="3" w15:restartNumberingAfterBreak="0">
    <w:nsid w:val="57AF153D"/>
    <w:multiLevelType w:val="hybridMultilevel"/>
    <w:tmpl w:val="0ADE419C"/>
    <w:lvl w:ilvl="0" w:tplc="88D23FA0">
      <w:start w:val="1"/>
      <w:numFmt w:val="decimal"/>
      <w:lvlText w:val="%1."/>
      <w:lvlJc w:val="left"/>
      <w:pPr>
        <w:ind w:left="1080" w:hanging="360"/>
      </w:pPr>
      <w:rPr>
        <w:rFonts w:hint="default"/>
      </w:rPr>
    </w:lvl>
    <w:lvl w:ilvl="1" w:tplc="52421EE4" w:tentative="1">
      <w:start w:val="1"/>
      <w:numFmt w:val="lowerLetter"/>
      <w:lvlText w:val="%2."/>
      <w:lvlJc w:val="left"/>
      <w:pPr>
        <w:ind w:left="1800" w:hanging="360"/>
      </w:pPr>
    </w:lvl>
    <w:lvl w:ilvl="2" w:tplc="6A301B8E" w:tentative="1">
      <w:start w:val="1"/>
      <w:numFmt w:val="lowerRoman"/>
      <w:lvlText w:val="%3."/>
      <w:lvlJc w:val="right"/>
      <w:pPr>
        <w:ind w:left="2520" w:hanging="180"/>
      </w:pPr>
    </w:lvl>
    <w:lvl w:ilvl="3" w:tplc="654CA008" w:tentative="1">
      <w:start w:val="1"/>
      <w:numFmt w:val="decimal"/>
      <w:lvlText w:val="%4."/>
      <w:lvlJc w:val="left"/>
      <w:pPr>
        <w:ind w:left="3240" w:hanging="360"/>
      </w:pPr>
    </w:lvl>
    <w:lvl w:ilvl="4" w:tplc="C7022D96" w:tentative="1">
      <w:start w:val="1"/>
      <w:numFmt w:val="lowerLetter"/>
      <w:lvlText w:val="%5."/>
      <w:lvlJc w:val="left"/>
      <w:pPr>
        <w:ind w:left="3960" w:hanging="360"/>
      </w:pPr>
    </w:lvl>
    <w:lvl w:ilvl="5" w:tplc="400CA174" w:tentative="1">
      <w:start w:val="1"/>
      <w:numFmt w:val="lowerRoman"/>
      <w:lvlText w:val="%6."/>
      <w:lvlJc w:val="right"/>
      <w:pPr>
        <w:ind w:left="4680" w:hanging="180"/>
      </w:pPr>
    </w:lvl>
    <w:lvl w:ilvl="6" w:tplc="51BC1C1C" w:tentative="1">
      <w:start w:val="1"/>
      <w:numFmt w:val="decimal"/>
      <w:lvlText w:val="%7."/>
      <w:lvlJc w:val="left"/>
      <w:pPr>
        <w:ind w:left="5400" w:hanging="360"/>
      </w:pPr>
    </w:lvl>
    <w:lvl w:ilvl="7" w:tplc="CE38EDF8" w:tentative="1">
      <w:start w:val="1"/>
      <w:numFmt w:val="lowerLetter"/>
      <w:lvlText w:val="%8."/>
      <w:lvlJc w:val="left"/>
      <w:pPr>
        <w:ind w:left="6120" w:hanging="360"/>
      </w:pPr>
    </w:lvl>
    <w:lvl w:ilvl="8" w:tplc="CC30C138" w:tentative="1">
      <w:start w:val="1"/>
      <w:numFmt w:val="lowerRoman"/>
      <w:lvlText w:val="%9."/>
      <w:lvlJc w:val="right"/>
      <w:pPr>
        <w:ind w:left="6840" w:hanging="180"/>
      </w:pPr>
    </w:lvl>
  </w:abstractNum>
  <w:abstractNum w:abstractNumId="4" w15:restartNumberingAfterBreak="0">
    <w:nsid w:val="681E09D8"/>
    <w:multiLevelType w:val="hybridMultilevel"/>
    <w:tmpl w:val="6AFEF4F2"/>
    <w:lvl w:ilvl="0" w:tplc="1EC611CA">
      <w:start w:val="1"/>
      <w:numFmt w:val="decimal"/>
      <w:lvlText w:val="%1."/>
      <w:lvlJc w:val="left"/>
      <w:pPr>
        <w:ind w:left="1440" w:hanging="720"/>
      </w:pPr>
      <w:rPr>
        <w:rFonts w:hint="default"/>
      </w:rPr>
    </w:lvl>
    <w:lvl w:ilvl="1" w:tplc="B0A05E34" w:tentative="1">
      <w:start w:val="1"/>
      <w:numFmt w:val="lowerLetter"/>
      <w:lvlText w:val="%2."/>
      <w:lvlJc w:val="left"/>
      <w:pPr>
        <w:ind w:left="1800" w:hanging="360"/>
      </w:pPr>
    </w:lvl>
    <w:lvl w:ilvl="2" w:tplc="68B2FC62" w:tentative="1">
      <w:start w:val="1"/>
      <w:numFmt w:val="lowerRoman"/>
      <w:lvlText w:val="%3."/>
      <w:lvlJc w:val="right"/>
      <w:pPr>
        <w:ind w:left="2520" w:hanging="180"/>
      </w:pPr>
    </w:lvl>
    <w:lvl w:ilvl="3" w:tplc="C0CE3D4A" w:tentative="1">
      <w:start w:val="1"/>
      <w:numFmt w:val="decimal"/>
      <w:lvlText w:val="%4."/>
      <w:lvlJc w:val="left"/>
      <w:pPr>
        <w:ind w:left="3240" w:hanging="360"/>
      </w:pPr>
    </w:lvl>
    <w:lvl w:ilvl="4" w:tplc="D1261D38" w:tentative="1">
      <w:start w:val="1"/>
      <w:numFmt w:val="lowerLetter"/>
      <w:lvlText w:val="%5."/>
      <w:lvlJc w:val="left"/>
      <w:pPr>
        <w:ind w:left="3960" w:hanging="360"/>
      </w:pPr>
    </w:lvl>
    <w:lvl w:ilvl="5" w:tplc="47A2A6C6" w:tentative="1">
      <w:start w:val="1"/>
      <w:numFmt w:val="lowerRoman"/>
      <w:lvlText w:val="%6."/>
      <w:lvlJc w:val="right"/>
      <w:pPr>
        <w:ind w:left="4680" w:hanging="180"/>
      </w:pPr>
    </w:lvl>
    <w:lvl w:ilvl="6" w:tplc="A68275A8" w:tentative="1">
      <w:start w:val="1"/>
      <w:numFmt w:val="decimal"/>
      <w:lvlText w:val="%7."/>
      <w:lvlJc w:val="left"/>
      <w:pPr>
        <w:ind w:left="5400" w:hanging="360"/>
      </w:pPr>
    </w:lvl>
    <w:lvl w:ilvl="7" w:tplc="25E08208" w:tentative="1">
      <w:start w:val="1"/>
      <w:numFmt w:val="lowerLetter"/>
      <w:lvlText w:val="%8."/>
      <w:lvlJc w:val="left"/>
      <w:pPr>
        <w:ind w:left="6120" w:hanging="360"/>
      </w:pPr>
    </w:lvl>
    <w:lvl w:ilvl="8" w:tplc="F60EF9CC" w:tentative="1">
      <w:start w:val="1"/>
      <w:numFmt w:val="lowerRoman"/>
      <w:lvlText w:val="%9."/>
      <w:lvlJc w:val="right"/>
      <w:pPr>
        <w:ind w:left="6840" w:hanging="180"/>
      </w:pPr>
    </w:lvl>
  </w:abstractNum>
  <w:num w:numId="1" w16cid:durableId="257762236">
    <w:abstractNumId w:val="2"/>
  </w:num>
  <w:num w:numId="2" w16cid:durableId="111243810">
    <w:abstractNumId w:val="3"/>
  </w:num>
  <w:num w:numId="3" w16cid:durableId="1789623132">
    <w:abstractNumId w:val="4"/>
  </w:num>
  <w:num w:numId="4" w16cid:durableId="505369905">
    <w:abstractNumId w:val="1"/>
  </w:num>
  <w:num w:numId="5" w16cid:durableId="342706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8D5"/>
    <w:rsid w:val="00002EF4"/>
    <w:rsid w:val="00012C61"/>
    <w:rsid w:val="00015AFA"/>
    <w:rsid w:val="00020577"/>
    <w:rsid w:val="00024833"/>
    <w:rsid w:val="0003124C"/>
    <w:rsid w:val="00034FDE"/>
    <w:rsid w:val="0003590E"/>
    <w:rsid w:val="00035E71"/>
    <w:rsid w:val="00037ED8"/>
    <w:rsid w:val="000455F7"/>
    <w:rsid w:val="000467AE"/>
    <w:rsid w:val="00046D11"/>
    <w:rsid w:val="000500A4"/>
    <w:rsid w:val="00052FFC"/>
    <w:rsid w:val="00061520"/>
    <w:rsid w:val="0007225D"/>
    <w:rsid w:val="00074667"/>
    <w:rsid w:val="00090650"/>
    <w:rsid w:val="00093655"/>
    <w:rsid w:val="000949AD"/>
    <w:rsid w:val="000A5AED"/>
    <w:rsid w:val="000A5DC7"/>
    <w:rsid w:val="000B23EC"/>
    <w:rsid w:val="000B2EE4"/>
    <w:rsid w:val="000C55DB"/>
    <w:rsid w:val="000D403E"/>
    <w:rsid w:val="000D455E"/>
    <w:rsid w:val="000E594D"/>
    <w:rsid w:val="000F02EE"/>
    <w:rsid w:val="000F303C"/>
    <w:rsid w:val="000F36C5"/>
    <w:rsid w:val="000F44F0"/>
    <w:rsid w:val="000F6A92"/>
    <w:rsid w:val="00100BDF"/>
    <w:rsid w:val="0010406B"/>
    <w:rsid w:val="00105C14"/>
    <w:rsid w:val="0012475C"/>
    <w:rsid w:val="00126777"/>
    <w:rsid w:val="00131B99"/>
    <w:rsid w:val="001321BA"/>
    <w:rsid w:val="00132BB0"/>
    <w:rsid w:val="00132FC6"/>
    <w:rsid w:val="00133039"/>
    <w:rsid w:val="0013612B"/>
    <w:rsid w:val="0014798E"/>
    <w:rsid w:val="00150CAC"/>
    <w:rsid w:val="00151E5E"/>
    <w:rsid w:val="00153A9F"/>
    <w:rsid w:val="001547B4"/>
    <w:rsid w:val="00156974"/>
    <w:rsid w:val="001620DF"/>
    <w:rsid w:val="0016522C"/>
    <w:rsid w:val="00165667"/>
    <w:rsid w:val="00170D23"/>
    <w:rsid w:val="0017670F"/>
    <w:rsid w:val="00181B4D"/>
    <w:rsid w:val="00183216"/>
    <w:rsid w:val="0019115D"/>
    <w:rsid w:val="00193C1A"/>
    <w:rsid w:val="00196030"/>
    <w:rsid w:val="00197C01"/>
    <w:rsid w:val="00197E45"/>
    <w:rsid w:val="001A65DB"/>
    <w:rsid w:val="001C1295"/>
    <w:rsid w:val="001C201A"/>
    <w:rsid w:val="001C241F"/>
    <w:rsid w:val="001C330E"/>
    <w:rsid w:val="001C7C33"/>
    <w:rsid w:val="001D23B8"/>
    <w:rsid w:val="001E2BCE"/>
    <w:rsid w:val="001E41C9"/>
    <w:rsid w:val="001E4B08"/>
    <w:rsid w:val="001E7EAB"/>
    <w:rsid w:val="001F082B"/>
    <w:rsid w:val="001F3EB0"/>
    <w:rsid w:val="00202E96"/>
    <w:rsid w:val="00203232"/>
    <w:rsid w:val="00215C60"/>
    <w:rsid w:val="0023597B"/>
    <w:rsid w:val="00242ABC"/>
    <w:rsid w:val="00251008"/>
    <w:rsid w:val="00251EE0"/>
    <w:rsid w:val="00252052"/>
    <w:rsid w:val="002529E2"/>
    <w:rsid w:val="00262E25"/>
    <w:rsid w:val="00280BBB"/>
    <w:rsid w:val="0028488F"/>
    <w:rsid w:val="00286488"/>
    <w:rsid w:val="00296E75"/>
    <w:rsid w:val="002A59C4"/>
    <w:rsid w:val="002B0C65"/>
    <w:rsid w:val="002B27CF"/>
    <w:rsid w:val="002B4631"/>
    <w:rsid w:val="002B5BD2"/>
    <w:rsid w:val="002B5CFF"/>
    <w:rsid w:val="002C278D"/>
    <w:rsid w:val="002C560D"/>
    <w:rsid w:val="002C7122"/>
    <w:rsid w:val="002D167F"/>
    <w:rsid w:val="002E2F18"/>
    <w:rsid w:val="002E3DEF"/>
    <w:rsid w:val="002E7F0F"/>
    <w:rsid w:val="002F5453"/>
    <w:rsid w:val="002F6648"/>
    <w:rsid w:val="00300A80"/>
    <w:rsid w:val="00300E6E"/>
    <w:rsid w:val="0030148B"/>
    <w:rsid w:val="00301DD9"/>
    <w:rsid w:val="0030245A"/>
    <w:rsid w:val="00302FCF"/>
    <w:rsid w:val="00314329"/>
    <w:rsid w:val="003209DF"/>
    <w:rsid w:val="0032497E"/>
    <w:rsid w:val="003305E5"/>
    <w:rsid w:val="00333C33"/>
    <w:rsid w:val="00333E9A"/>
    <w:rsid w:val="00334A53"/>
    <w:rsid w:val="00340D12"/>
    <w:rsid w:val="00341219"/>
    <w:rsid w:val="00344C82"/>
    <w:rsid w:val="00346ABC"/>
    <w:rsid w:val="003551EF"/>
    <w:rsid w:val="00355DD5"/>
    <w:rsid w:val="00366F90"/>
    <w:rsid w:val="00372E4D"/>
    <w:rsid w:val="00374283"/>
    <w:rsid w:val="00376820"/>
    <w:rsid w:val="0038512F"/>
    <w:rsid w:val="003A34E3"/>
    <w:rsid w:val="003A6135"/>
    <w:rsid w:val="003B5488"/>
    <w:rsid w:val="003B6DF2"/>
    <w:rsid w:val="003C6CBC"/>
    <w:rsid w:val="003C700C"/>
    <w:rsid w:val="003C7777"/>
    <w:rsid w:val="003C7C27"/>
    <w:rsid w:val="003D4716"/>
    <w:rsid w:val="003D4A8B"/>
    <w:rsid w:val="003D519D"/>
    <w:rsid w:val="00400367"/>
    <w:rsid w:val="00401240"/>
    <w:rsid w:val="004017B4"/>
    <w:rsid w:val="0041024D"/>
    <w:rsid w:val="00412477"/>
    <w:rsid w:val="0041512B"/>
    <w:rsid w:val="00420379"/>
    <w:rsid w:val="0042046D"/>
    <w:rsid w:val="00422039"/>
    <w:rsid w:val="00422AD1"/>
    <w:rsid w:val="00423885"/>
    <w:rsid w:val="00423AA9"/>
    <w:rsid w:val="00424188"/>
    <w:rsid w:val="004309E5"/>
    <w:rsid w:val="00430BA3"/>
    <w:rsid w:val="00435EC7"/>
    <w:rsid w:val="0043740C"/>
    <w:rsid w:val="00440942"/>
    <w:rsid w:val="004412E3"/>
    <w:rsid w:val="004458DE"/>
    <w:rsid w:val="00466260"/>
    <w:rsid w:val="00467A7B"/>
    <w:rsid w:val="004711DF"/>
    <w:rsid w:val="00471D52"/>
    <w:rsid w:val="00472D76"/>
    <w:rsid w:val="004768DE"/>
    <w:rsid w:val="00482B10"/>
    <w:rsid w:val="004849CA"/>
    <w:rsid w:val="004852BA"/>
    <w:rsid w:val="00485821"/>
    <w:rsid w:val="00486825"/>
    <w:rsid w:val="0048703F"/>
    <w:rsid w:val="00487500"/>
    <w:rsid w:val="0049194B"/>
    <w:rsid w:val="004964F5"/>
    <w:rsid w:val="004978D5"/>
    <w:rsid w:val="004A1F6E"/>
    <w:rsid w:val="004A2EE0"/>
    <w:rsid w:val="004A519F"/>
    <w:rsid w:val="004B655E"/>
    <w:rsid w:val="004B7BD2"/>
    <w:rsid w:val="004C2FA4"/>
    <w:rsid w:val="004C761B"/>
    <w:rsid w:val="004D588F"/>
    <w:rsid w:val="004E3E31"/>
    <w:rsid w:val="004F0E2E"/>
    <w:rsid w:val="004F1BC2"/>
    <w:rsid w:val="004F37CE"/>
    <w:rsid w:val="004F5133"/>
    <w:rsid w:val="004F5689"/>
    <w:rsid w:val="00502CAA"/>
    <w:rsid w:val="0050443E"/>
    <w:rsid w:val="00506878"/>
    <w:rsid w:val="00507847"/>
    <w:rsid w:val="00524605"/>
    <w:rsid w:val="00526B59"/>
    <w:rsid w:val="005305CC"/>
    <w:rsid w:val="00530724"/>
    <w:rsid w:val="005320F1"/>
    <w:rsid w:val="005366FE"/>
    <w:rsid w:val="00540891"/>
    <w:rsid w:val="00542751"/>
    <w:rsid w:val="00542A79"/>
    <w:rsid w:val="00543BCE"/>
    <w:rsid w:val="00551582"/>
    <w:rsid w:val="0056345B"/>
    <w:rsid w:val="0056389B"/>
    <w:rsid w:val="0056592F"/>
    <w:rsid w:val="005727AD"/>
    <w:rsid w:val="00580E56"/>
    <w:rsid w:val="00582E2B"/>
    <w:rsid w:val="00591A31"/>
    <w:rsid w:val="005942AA"/>
    <w:rsid w:val="005A1352"/>
    <w:rsid w:val="005A22B1"/>
    <w:rsid w:val="005A393A"/>
    <w:rsid w:val="005B646B"/>
    <w:rsid w:val="005B6D6C"/>
    <w:rsid w:val="005B7416"/>
    <w:rsid w:val="005C3473"/>
    <w:rsid w:val="005C525F"/>
    <w:rsid w:val="005C5CC9"/>
    <w:rsid w:val="005D4620"/>
    <w:rsid w:val="005D5A64"/>
    <w:rsid w:val="005D7C1B"/>
    <w:rsid w:val="005E0420"/>
    <w:rsid w:val="005E16E1"/>
    <w:rsid w:val="005E3AAC"/>
    <w:rsid w:val="005E67C9"/>
    <w:rsid w:val="005F76B8"/>
    <w:rsid w:val="00611BC6"/>
    <w:rsid w:val="0061200C"/>
    <w:rsid w:val="0062127D"/>
    <w:rsid w:val="00626597"/>
    <w:rsid w:val="00626D37"/>
    <w:rsid w:val="006306FB"/>
    <w:rsid w:val="00632E46"/>
    <w:rsid w:val="00635F6B"/>
    <w:rsid w:val="0064561D"/>
    <w:rsid w:val="0065076C"/>
    <w:rsid w:val="00654472"/>
    <w:rsid w:val="00660100"/>
    <w:rsid w:val="006606FA"/>
    <w:rsid w:val="006643B7"/>
    <w:rsid w:val="00664B4E"/>
    <w:rsid w:val="0066604B"/>
    <w:rsid w:val="00667797"/>
    <w:rsid w:val="006714C9"/>
    <w:rsid w:val="006743A1"/>
    <w:rsid w:val="00680E81"/>
    <w:rsid w:val="00685031"/>
    <w:rsid w:val="006869D7"/>
    <w:rsid w:val="00686C0C"/>
    <w:rsid w:val="00696131"/>
    <w:rsid w:val="006A117E"/>
    <w:rsid w:val="006A1D0B"/>
    <w:rsid w:val="006A6475"/>
    <w:rsid w:val="006B7701"/>
    <w:rsid w:val="006B7F82"/>
    <w:rsid w:val="006C315E"/>
    <w:rsid w:val="006C7779"/>
    <w:rsid w:val="006D718F"/>
    <w:rsid w:val="006F6F49"/>
    <w:rsid w:val="006F7845"/>
    <w:rsid w:val="007024B8"/>
    <w:rsid w:val="007032DC"/>
    <w:rsid w:val="00714713"/>
    <w:rsid w:val="00740EEF"/>
    <w:rsid w:val="0074474C"/>
    <w:rsid w:val="00744D92"/>
    <w:rsid w:val="00745C07"/>
    <w:rsid w:val="00745E90"/>
    <w:rsid w:val="0074628C"/>
    <w:rsid w:val="00750050"/>
    <w:rsid w:val="007508C1"/>
    <w:rsid w:val="0075613F"/>
    <w:rsid w:val="00757E2B"/>
    <w:rsid w:val="0077372E"/>
    <w:rsid w:val="00773C62"/>
    <w:rsid w:val="00776452"/>
    <w:rsid w:val="00776458"/>
    <w:rsid w:val="00783EC8"/>
    <w:rsid w:val="00794321"/>
    <w:rsid w:val="007A53B6"/>
    <w:rsid w:val="007B7D8D"/>
    <w:rsid w:val="007C08E5"/>
    <w:rsid w:val="007C68DE"/>
    <w:rsid w:val="007D437F"/>
    <w:rsid w:val="007E3CB6"/>
    <w:rsid w:val="007F2BEF"/>
    <w:rsid w:val="007F5137"/>
    <w:rsid w:val="00800A61"/>
    <w:rsid w:val="0080441C"/>
    <w:rsid w:val="00814E4E"/>
    <w:rsid w:val="0081537C"/>
    <w:rsid w:val="0082656F"/>
    <w:rsid w:val="00827E35"/>
    <w:rsid w:val="0083085F"/>
    <w:rsid w:val="008317AB"/>
    <w:rsid w:val="00833C24"/>
    <w:rsid w:val="00836FD9"/>
    <w:rsid w:val="0084335A"/>
    <w:rsid w:val="00846722"/>
    <w:rsid w:val="00850A8B"/>
    <w:rsid w:val="00857CF1"/>
    <w:rsid w:val="008657C1"/>
    <w:rsid w:val="00875A62"/>
    <w:rsid w:val="00881226"/>
    <w:rsid w:val="0088142C"/>
    <w:rsid w:val="00883367"/>
    <w:rsid w:val="008859F1"/>
    <w:rsid w:val="00893BF5"/>
    <w:rsid w:val="0089402A"/>
    <w:rsid w:val="008A5431"/>
    <w:rsid w:val="008B0A38"/>
    <w:rsid w:val="008B1B3A"/>
    <w:rsid w:val="008C0A44"/>
    <w:rsid w:val="008C1944"/>
    <w:rsid w:val="008C211A"/>
    <w:rsid w:val="008C69C3"/>
    <w:rsid w:val="008C7DFA"/>
    <w:rsid w:val="008D39C2"/>
    <w:rsid w:val="008E1533"/>
    <w:rsid w:val="008E383B"/>
    <w:rsid w:val="008E6578"/>
    <w:rsid w:val="008F06FF"/>
    <w:rsid w:val="008F1010"/>
    <w:rsid w:val="008F3DDC"/>
    <w:rsid w:val="008F6276"/>
    <w:rsid w:val="0090090F"/>
    <w:rsid w:val="00901657"/>
    <w:rsid w:val="009016E6"/>
    <w:rsid w:val="009074E1"/>
    <w:rsid w:val="00916C52"/>
    <w:rsid w:val="009177C3"/>
    <w:rsid w:val="0093042B"/>
    <w:rsid w:val="009306F1"/>
    <w:rsid w:val="0093088F"/>
    <w:rsid w:val="00930E06"/>
    <w:rsid w:val="00932CA5"/>
    <w:rsid w:val="00932D5C"/>
    <w:rsid w:val="009407A2"/>
    <w:rsid w:val="00942D7E"/>
    <w:rsid w:val="00951AFC"/>
    <w:rsid w:val="0096114D"/>
    <w:rsid w:val="00965BB2"/>
    <w:rsid w:val="009671B5"/>
    <w:rsid w:val="00971093"/>
    <w:rsid w:val="00972D20"/>
    <w:rsid w:val="00973388"/>
    <w:rsid w:val="00975457"/>
    <w:rsid w:val="00983E3D"/>
    <w:rsid w:val="00987E6C"/>
    <w:rsid w:val="00996066"/>
    <w:rsid w:val="00997A74"/>
    <w:rsid w:val="009A2CEE"/>
    <w:rsid w:val="009A3EB0"/>
    <w:rsid w:val="009A7F0A"/>
    <w:rsid w:val="009B00BA"/>
    <w:rsid w:val="009B57F6"/>
    <w:rsid w:val="009B6C22"/>
    <w:rsid w:val="009D1738"/>
    <w:rsid w:val="009E20F2"/>
    <w:rsid w:val="009E2619"/>
    <w:rsid w:val="009E53E9"/>
    <w:rsid w:val="009E6D7E"/>
    <w:rsid w:val="009F33EB"/>
    <w:rsid w:val="009F3739"/>
    <w:rsid w:val="009F3E84"/>
    <w:rsid w:val="009F5332"/>
    <w:rsid w:val="009F6141"/>
    <w:rsid w:val="00A01846"/>
    <w:rsid w:val="00A048F8"/>
    <w:rsid w:val="00A04BB8"/>
    <w:rsid w:val="00A07BED"/>
    <w:rsid w:val="00A106E0"/>
    <w:rsid w:val="00A14ABB"/>
    <w:rsid w:val="00A22BD5"/>
    <w:rsid w:val="00A27C2F"/>
    <w:rsid w:val="00A30E25"/>
    <w:rsid w:val="00A357D5"/>
    <w:rsid w:val="00A36FC6"/>
    <w:rsid w:val="00A42555"/>
    <w:rsid w:val="00A43DC4"/>
    <w:rsid w:val="00A458BB"/>
    <w:rsid w:val="00A47321"/>
    <w:rsid w:val="00A47417"/>
    <w:rsid w:val="00A60722"/>
    <w:rsid w:val="00A6086A"/>
    <w:rsid w:val="00A61838"/>
    <w:rsid w:val="00A67712"/>
    <w:rsid w:val="00A721B7"/>
    <w:rsid w:val="00A75F7F"/>
    <w:rsid w:val="00A76B82"/>
    <w:rsid w:val="00A8070F"/>
    <w:rsid w:val="00A85949"/>
    <w:rsid w:val="00A9007D"/>
    <w:rsid w:val="00AA0CE8"/>
    <w:rsid w:val="00AA3578"/>
    <w:rsid w:val="00AA3CF9"/>
    <w:rsid w:val="00AA4F57"/>
    <w:rsid w:val="00AA50B4"/>
    <w:rsid w:val="00AB0542"/>
    <w:rsid w:val="00AB0B24"/>
    <w:rsid w:val="00AB5653"/>
    <w:rsid w:val="00AB7F4B"/>
    <w:rsid w:val="00AC1A7C"/>
    <w:rsid w:val="00AC514D"/>
    <w:rsid w:val="00AE0775"/>
    <w:rsid w:val="00AE22D3"/>
    <w:rsid w:val="00AE5857"/>
    <w:rsid w:val="00AE6C9B"/>
    <w:rsid w:val="00AF4908"/>
    <w:rsid w:val="00AF7CE7"/>
    <w:rsid w:val="00B00E3D"/>
    <w:rsid w:val="00B04AFF"/>
    <w:rsid w:val="00B172FA"/>
    <w:rsid w:val="00B177FF"/>
    <w:rsid w:val="00B21CB4"/>
    <w:rsid w:val="00B22EAD"/>
    <w:rsid w:val="00B27D68"/>
    <w:rsid w:val="00B312F7"/>
    <w:rsid w:val="00B3654A"/>
    <w:rsid w:val="00B405ED"/>
    <w:rsid w:val="00B453C7"/>
    <w:rsid w:val="00B514C4"/>
    <w:rsid w:val="00B54D7B"/>
    <w:rsid w:val="00B55055"/>
    <w:rsid w:val="00B5671A"/>
    <w:rsid w:val="00B56CB0"/>
    <w:rsid w:val="00B6180C"/>
    <w:rsid w:val="00B63FA3"/>
    <w:rsid w:val="00B640EC"/>
    <w:rsid w:val="00B716C7"/>
    <w:rsid w:val="00B74F6F"/>
    <w:rsid w:val="00B773BB"/>
    <w:rsid w:val="00B904E8"/>
    <w:rsid w:val="00B948F9"/>
    <w:rsid w:val="00BB1862"/>
    <w:rsid w:val="00BB21F5"/>
    <w:rsid w:val="00BB3EFB"/>
    <w:rsid w:val="00BC6D70"/>
    <w:rsid w:val="00BE5879"/>
    <w:rsid w:val="00BE614C"/>
    <w:rsid w:val="00BF7D37"/>
    <w:rsid w:val="00C0032F"/>
    <w:rsid w:val="00C206DE"/>
    <w:rsid w:val="00C24112"/>
    <w:rsid w:val="00C26EF9"/>
    <w:rsid w:val="00C404C2"/>
    <w:rsid w:val="00C40540"/>
    <w:rsid w:val="00C40612"/>
    <w:rsid w:val="00C44138"/>
    <w:rsid w:val="00C44F80"/>
    <w:rsid w:val="00C47844"/>
    <w:rsid w:val="00C50B96"/>
    <w:rsid w:val="00C514BB"/>
    <w:rsid w:val="00C56355"/>
    <w:rsid w:val="00C57CDA"/>
    <w:rsid w:val="00C629B9"/>
    <w:rsid w:val="00C6476F"/>
    <w:rsid w:val="00C650FA"/>
    <w:rsid w:val="00C659D6"/>
    <w:rsid w:val="00C724D2"/>
    <w:rsid w:val="00C76399"/>
    <w:rsid w:val="00C7772D"/>
    <w:rsid w:val="00C806A3"/>
    <w:rsid w:val="00C81909"/>
    <w:rsid w:val="00C82562"/>
    <w:rsid w:val="00C8620C"/>
    <w:rsid w:val="00C87DAA"/>
    <w:rsid w:val="00C92F4D"/>
    <w:rsid w:val="00C97181"/>
    <w:rsid w:val="00CA4955"/>
    <w:rsid w:val="00CB0D27"/>
    <w:rsid w:val="00CB6ACA"/>
    <w:rsid w:val="00CC4625"/>
    <w:rsid w:val="00CC482F"/>
    <w:rsid w:val="00CC4B79"/>
    <w:rsid w:val="00CC5D18"/>
    <w:rsid w:val="00CD408F"/>
    <w:rsid w:val="00CE2D88"/>
    <w:rsid w:val="00CE4296"/>
    <w:rsid w:val="00CE489F"/>
    <w:rsid w:val="00CF4156"/>
    <w:rsid w:val="00D05CFC"/>
    <w:rsid w:val="00D0753E"/>
    <w:rsid w:val="00D1103D"/>
    <w:rsid w:val="00D2073B"/>
    <w:rsid w:val="00D21ED7"/>
    <w:rsid w:val="00D23C08"/>
    <w:rsid w:val="00D32618"/>
    <w:rsid w:val="00D364DD"/>
    <w:rsid w:val="00D41583"/>
    <w:rsid w:val="00D567B4"/>
    <w:rsid w:val="00D6516D"/>
    <w:rsid w:val="00D70DFB"/>
    <w:rsid w:val="00D81FD8"/>
    <w:rsid w:val="00D861AA"/>
    <w:rsid w:val="00D940A9"/>
    <w:rsid w:val="00DA121E"/>
    <w:rsid w:val="00DA65C7"/>
    <w:rsid w:val="00DA69FD"/>
    <w:rsid w:val="00DA785F"/>
    <w:rsid w:val="00DB3B70"/>
    <w:rsid w:val="00DB7012"/>
    <w:rsid w:val="00DC392B"/>
    <w:rsid w:val="00DC62B2"/>
    <w:rsid w:val="00DE0604"/>
    <w:rsid w:val="00DF62AF"/>
    <w:rsid w:val="00DF7860"/>
    <w:rsid w:val="00E06242"/>
    <w:rsid w:val="00E14146"/>
    <w:rsid w:val="00E17A71"/>
    <w:rsid w:val="00E20D9D"/>
    <w:rsid w:val="00E2189D"/>
    <w:rsid w:val="00E23198"/>
    <w:rsid w:val="00E33EEC"/>
    <w:rsid w:val="00E34F1A"/>
    <w:rsid w:val="00E357D8"/>
    <w:rsid w:val="00E35C1E"/>
    <w:rsid w:val="00E36667"/>
    <w:rsid w:val="00E41D99"/>
    <w:rsid w:val="00E47409"/>
    <w:rsid w:val="00E53330"/>
    <w:rsid w:val="00E626FF"/>
    <w:rsid w:val="00E65232"/>
    <w:rsid w:val="00E70A02"/>
    <w:rsid w:val="00E75C9D"/>
    <w:rsid w:val="00E824A5"/>
    <w:rsid w:val="00E9151E"/>
    <w:rsid w:val="00E941C2"/>
    <w:rsid w:val="00E9430D"/>
    <w:rsid w:val="00EA284E"/>
    <w:rsid w:val="00EA4CCC"/>
    <w:rsid w:val="00EA7CF7"/>
    <w:rsid w:val="00EB6055"/>
    <w:rsid w:val="00EB7EA3"/>
    <w:rsid w:val="00ED0918"/>
    <w:rsid w:val="00ED133C"/>
    <w:rsid w:val="00ED3B3F"/>
    <w:rsid w:val="00EE334A"/>
    <w:rsid w:val="00EE42B7"/>
    <w:rsid w:val="00EE4DF8"/>
    <w:rsid w:val="00EE5C16"/>
    <w:rsid w:val="00EF0029"/>
    <w:rsid w:val="00EF04B7"/>
    <w:rsid w:val="00EF1137"/>
    <w:rsid w:val="00EF3AC6"/>
    <w:rsid w:val="00EF6149"/>
    <w:rsid w:val="00EF6609"/>
    <w:rsid w:val="00F00CB2"/>
    <w:rsid w:val="00F07821"/>
    <w:rsid w:val="00F10C9B"/>
    <w:rsid w:val="00F172DA"/>
    <w:rsid w:val="00F23E5E"/>
    <w:rsid w:val="00F253CD"/>
    <w:rsid w:val="00F306E0"/>
    <w:rsid w:val="00F412F8"/>
    <w:rsid w:val="00F54D68"/>
    <w:rsid w:val="00F566D6"/>
    <w:rsid w:val="00F56797"/>
    <w:rsid w:val="00F642B1"/>
    <w:rsid w:val="00F71CC1"/>
    <w:rsid w:val="00F87B51"/>
    <w:rsid w:val="00F903E8"/>
    <w:rsid w:val="00F907A4"/>
    <w:rsid w:val="00F90D06"/>
    <w:rsid w:val="00F971F8"/>
    <w:rsid w:val="00F97B4E"/>
    <w:rsid w:val="00FA1ED6"/>
    <w:rsid w:val="00FC389F"/>
    <w:rsid w:val="00FC5475"/>
    <w:rsid w:val="00FC5722"/>
    <w:rsid w:val="00FC60B3"/>
    <w:rsid w:val="00FC65B0"/>
    <w:rsid w:val="00FE06A5"/>
    <w:rsid w:val="00FE7972"/>
    <w:rsid w:val="00FF6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16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kern w:val="2"/>
        <w:sz w:val="26"/>
        <w:szCs w:val="26"/>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s>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8D5"/>
    <w:pPr>
      <w:ind w:left="720"/>
      <w:contextualSpacing/>
    </w:pPr>
  </w:style>
  <w:style w:type="character" w:styleId="CommentReference">
    <w:name w:val="annotation reference"/>
    <w:basedOn w:val="DefaultParagraphFont"/>
    <w:uiPriority w:val="99"/>
    <w:semiHidden/>
    <w:unhideWhenUsed/>
    <w:rsid w:val="0093088F"/>
    <w:rPr>
      <w:sz w:val="16"/>
      <w:szCs w:val="16"/>
    </w:rPr>
  </w:style>
  <w:style w:type="paragraph" w:styleId="CommentText">
    <w:name w:val="annotation text"/>
    <w:basedOn w:val="Normal"/>
    <w:link w:val="CommentTextChar"/>
    <w:uiPriority w:val="99"/>
    <w:unhideWhenUsed/>
    <w:rsid w:val="0093088F"/>
    <w:pPr>
      <w:spacing w:line="240" w:lineRule="auto"/>
    </w:pPr>
    <w:rPr>
      <w:sz w:val="20"/>
      <w:szCs w:val="20"/>
    </w:rPr>
  </w:style>
  <w:style w:type="character" w:customStyle="1" w:styleId="CommentTextChar">
    <w:name w:val="Comment Text Char"/>
    <w:basedOn w:val="DefaultParagraphFont"/>
    <w:link w:val="CommentText"/>
    <w:uiPriority w:val="99"/>
    <w:rsid w:val="0093088F"/>
    <w:rPr>
      <w:sz w:val="20"/>
      <w:szCs w:val="20"/>
    </w:rPr>
  </w:style>
  <w:style w:type="paragraph" w:styleId="CommentSubject">
    <w:name w:val="annotation subject"/>
    <w:basedOn w:val="CommentText"/>
    <w:next w:val="CommentText"/>
    <w:link w:val="CommentSubjectChar"/>
    <w:uiPriority w:val="99"/>
    <w:semiHidden/>
    <w:unhideWhenUsed/>
    <w:rsid w:val="0093088F"/>
    <w:rPr>
      <w:b/>
      <w:bCs/>
    </w:rPr>
  </w:style>
  <w:style w:type="character" w:customStyle="1" w:styleId="CommentSubjectChar">
    <w:name w:val="Comment Subject Char"/>
    <w:basedOn w:val="CommentTextChar"/>
    <w:link w:val="CommentSubject"/>
    <w:uiPriority w:val="99"/>
    <w:semiHidden/>
    <w:rsid w:val="0093088F"/>
    <w:rPr>
      <w:b/>
      <w:bCs/>
      <w:sz w:val="20"/>
      <w:szCs w:val="20"/>
    </w:rPr>
  </w:style>
  <w:style w:type="character" w:styleId="Hyperlink">
    <w:name w:val="Hyperlink"/>
    <w:basedOn w:val="DefaultParagraphFont"/>
    <w:uiPriority w:val="99"/>
    <w:semiHidden/>
    <w:unhideWhenUsed/>
    <w:rsid w:val="00744D92"/>
    <w:rPr>
      <w:color w:val="0000FF"/>
      <w:u w:val="single"/>
    </w:rPr>
  </w:style>
  <w:style w:type="paragraph" w:styleId="FootnoteText">
    <w:name w:val="footnote text"/>
    <w:link w:val="FootnoteTextChar"/>
    <w:uiPriority w:val="99"/>
    <w:unhideWhenUsed/>
    <w:rsid w:val="00AE5857"/>
    <w:pPr>
      <w:spacing w:line="240" w:lineRule="auto"/>
    </w:pPr>
    <w:rPr>
      <w:szCs w:val="20"/>
    </w:rPr>
  </w:style>
  <w:style w:type="character" w:customStyle="1" w:styleId="FootnoteTextChar">
    <w:name w:val="Footnote Text Char"/>
    <w:basedOn w:val="DefaultParagraphFont"/>
    <w:link w:val="FootnoteText"/>
    <w:uiPriority w:val="99"/>
    <w:rsid w:val="00AE5857"/>
    <w:rPr>
      <w:szCs w:val="20"/>
    </w:rPr>
  </w:style>
  <w:style w:type="character" w:styleId="FootnoteReference">
    <w:name w:val="footnote reference"/>
    <w:basedOn w:val="DefaultParagraphFont"/>
    <w:uiPriority w:val="99"/>
    <w:semiHidden/>
    <w:unhideWhenUsed/>
    <w:rsid w:val="00AE5857"/>
    <w:rPr>
      <w:vertAlign w:val="superscript"/>
    </w:rPr>
  </w:style>
  <w:style w:type="paragraph" w:styleId="Header">
    <w:name w:val="header"/>
    <w:basedOn w:val="Normal"/>
    <w:link w:val="HeaderChar"/>
    <w:uiPriority w:val="99"/>
    <w:unhideWhenUsed/>
    <w:rsid w:val="00376820"/>
    <w:pPr>
      <w:tabs>
        <w:tab w:val="center" w:pos="4680"/>
        <w:tab w:val="right" w:pos="9360"/>
      </w:tabs>
      <w:spacing w:line="240" w:lineRule="auto"/>
    </w:pPr>
  </w:style>
  <w:style w:type="character" w:customStyle="1" w:styleId="HeaderChar">
    <w:name w:val="Header Char"/>
    <w:basedOn w:val="DefaultParagraphFont"/>
    <w:link w:val="Header"/>
    <w:uiPriority w:val="99"/>
    <w:rsid w:val="00376820"/>
  </w:style>
  <w:style w:type="paragraph" w:styleId="Footer">
    <w:name w:val="footer"/>
    <w:basedOn w:val="Normal"/>
    <w:link w:val="FooterChar"/>
    <w:uiPriority w:val="99"/>
    <w:unhideWhenUsed/>
    <w:rsid w:val="00376820"/>
    <w:pPr>
      <w:tabs>
        <w:tab w:val="center" w:pos="4680"/>
        <w:tab w:val="right" w:pos="9360"/>
      </w:tabs>
      <w:spacing w:line="240" w:lineRule="auto"/>
    </w:pPr>
  </w:style>
  <w:style w:type="character" w:customStyle="1" w:styleId="FooterChar">
    <w:name w:val="Footer Char"/>
    <w:basedOn w:val="DefaultParagraphFont"/>
    <w:link w:val="Footer"/>
    <w:uiPriority w:val="99"/>
    <w:rsid w:val="00376820"/>
  </w:style>
  <w:style w:type="character" w:styleId="PageNumber">
    <w:name w:val="page number"/>
    <w:basedOn w:val="DefaultParagraphFont"/>
    <w:uiPriority w:val="99"/>
    <w:semiHidden/>
    <w:unhideWhenUsed/>
    <w:rsid w:val="00376820"/>
  </w:style>
  <w:style w:type="paragraph" w:styleId="Revision">
    <w:name w:val="Revision"/>
    <w:hidden/>
    <w:uiPriority w:val="99"/>
    <w:semiHidden/>
    <w:rsid w:val="00C650F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4242</Words>
  <Characters>23459</Characters>
  <Application>Microsoft Office Word</Application>
  <DocSecurity>0</DocSecurity>
  <Lines>488</Lines>
  <Paragraphs>101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2024-05-22T22:55:00Z</dcterms:created>
  <dcterms:modified xsi:type="dcterms:W3CDTF">2024-05-22T22:56:00Z</dcterms:modified>
  <cp:category/>
</cp:coreProperties>
</file>