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FB3784" w:rsidP="00FB3784" w14:paraId="7B28A542" w14:textId="422BFF1A">
      <w:pPr>
        <w:spacing w:line="240" w:lineRule="auto"/>
        <w:rPr>
          <w:sz w:val="20"/>
        </w:rPr>
      </w:pPr>
      <w:r>
        <w:rPr>
          <w:sz w:val="20"/>
        </w:rPr>
        <w:t>Filed 5/</w:t>
      </w:r>
      <w:r w:rsidR="006A29C7">
        <w:rPr>
          <w:sz w:val="20"/>
        </w:rPr>
        <w:t>28</w:t>
      </w:r>
      <w:r>
        <w:rPr>
          <w:sz w:val="20"/>
        </w:rPr>
        <w:t>/24</w:t>
      </w:r>
    </w:p>
    <w:p w:rsidR="00FB3784" w:rsidP="00FB3784" w14:paraId="772E4AE9" w14:textId="77777777">
      <w:pPr>
        <w:spacing w:line="240" w:lineRule="auto"/>
        <w:jc w:val="center"/>
        <w:rPr>
          <w:b/>
        </w:rPr>
      </w:pPr>
      <w:r>
        <w:rPr>
          <w:b/>
        </w:rPr>
        <w:t>CERTIFIED FOR PUBLICATION</w:t>
      </w:r>
    </w:p>
    <w:p w:rsidR="00FB3784" w:rsidP="00FB3784" w14:paraId="0D3D3EBD" w14:textId="77777777">
      <w:pPr>
        <w:spacing w:line="240" w:lineRule="auto"/>
        <w:jc w:val="center"/>
      </w:pPr>
    </w:p>
    <w:p w:rsidR="00C16F9A" w:rsidP="00FB3784" w14:paraId="4DF81CA9" w14:textId="45FCC5CE">
      <w:pPr>
        <w:spacing w:line="240" w:lineRule="auto"/>
        <w:jc w:val="center"/>
      </w:pPr>
      <w:r>
        <w:t>IN THE COURT OF APPEAL OF THE STATE OF CALIFORNIA</w:t>
      </w:r>
    </w:p>
    <w:p w:rsidR="00F30DAC" w:rsidP="00F30DAC" w14:paraId="6689E92D" w14:textId="77777777">
      <w:pPr>
        <w:spacing w:line="240" w:lineRule="auto"/>
        <w:jc w:val="center"/>
      </w:pPr>
    </w:p>
    <w:p w:rsidR="00F30DAC" w:rsidP="00F30DAC" w14:paraId="0587BB2C" w14:textId="4324373D">
      <w:pPr>
        <w:spacing w:line="240" w:lineRule="auto"/>
        <w:jc w:val="center"/>
      </w:pPr>
      <w:r>
        <w:t>FIRST APPELLATE DISTRICT</w:t>
      </w:r>
    </w:p>
    <w:p w:rsidR="00F30DAC" w:rsidP="00F30DAC" w14:paraId="32A5C83A" w14:textId="77777777">
      <w:pPr>
        <w:spacing w:line="240" w:lineRule="auto"/>
        <w:jc w:val="center"/>
      </w:pPr>
    </w:p>
    <w:p w:rsidR="00F30DAC" w:rsidP="00F30DAC" w14:paraId="0129562C" w14:textId="29DB7F46">
      <w:pPr>
        <w:spacing w:line="240" w:lineRule="auto"/>
        <w:jc w:val="center"/>
      </w:pPr>
      <w:r>
        <w:t>DIVISION TWO</w:t>
      </w:r>
    </w:p>
    <w:p w:rsidR="00F30DAC" w:rsidP="00F30DAC" w14:paraId="0F5162E6" w14:textId="77777777">
      <w:pPr>
        <w:spacing w:line="240" w:lineRule="auto"/>
        <w:jc w:val="center"/>
      </w:pPr>
    </w:p>
    <w:p w:rsidR="00F30DAC" w:rsidP="00F30DAC" w14:paraId="34658601" w14:textId="77777777">
      <w:pPr>
        <w:spacing w:line="240" w:lineRule="auto"/>
        <w:jc w:val="center"/>
      </w:pPr>
    </w:p>
    <w:tbl>
      <w:tblPr>
        <w:tblW w:w="0" w:type="auto"/>
        <w:tblLayout w:type="fixed"/>
        <w:tblLook w:val="0000"/>
      </w:tblPr>
      <w:tblGrid>
        <w:gridCol w:w="4680"/>
        <w:gridCol w:w="4680"/>
      </w:tblGrid>
      <w:tr w14:paraId="2DA26E22" w14:textId="77777777" w:rsidTr="00F30DAC">
        <w:tblPrEx>
          <w:tblW w:w="0" w:type="auto"/>
          <w:tblLayout w:type="fixed"/>
          <w:tblLook w:val="0000"/>
        </w:tblPrEx>
        <w:tc>
          <w:tcPr>
            <w:tcW w:w="4680" w:type="dxa"/>
            <w:tcBorders>
              <w:bottom w:val="single" w:sz="4" w:space="0" w:color="auto"/>
              <w:right w:val="single" w:sz="4" w:space="0" w:color="auto"/>
            </w:tcBorders>
            <w:shd w:val="clear" w:color="auto" w:fill="auto"/>
          </w:tcPr>
          <w:p w:rsidR="00F30DAC" w:rsidP="00F30DAC" w14:paraId="312C7269" w14:textId="6E567437">
            <w:pPr>
              <w:spacing w:after="120" w:line="240" w:lineRule="auto"/>
            </w:pPr>
            <w:r>
              <w:t>In re the Marriage of LALEH TAGHVAEI MOHAMMADIJOO and RAMIN DADASHI</w:t>
            </w:r>
            <w:r w:rsidR="00DB7814">
              <w:t>A</w:t>
            </w:r>
            <w:r>
              <w:t>N.</w:t>
            </w:r>
          </w:p>
        </w:tc>
        <w:tc>
          <w:tcPr>
            <w:tcW w:w="4680" w:type="dxa"/>
            <w:tcBorders>
              <w:left w:val="single" w:sz="4" w:space="0" w:color="auto"/>
            </w:tcBorders>
            <w:shd w:val="clear" w:color="auto" w:fill="auto"/>
          </w:tcPr>
          <w:p w:rsidR="00F30DAC" w:rsidP="00F30DAC" w14:paraId="112E05D5" w14:textId="77777777">
            <w:pPr>
              <w:spacing w:line="240" w:lineRule="auto"/>
            </w:pPr>
          </w:p>
        </w:tc>
      </w:tr>
      <w:tr w14:paraId="4B624E37" w14:textId="77777777" w:rsidTr="00F30DAC">
        <w:tblPrEx>
          <w:tblW w:w="0" w:type="auto"/>
          <w:tblLayout w:type="fixed"/>
          <w:tblLook w:val="0000"/>
        </w:tblPrEx>
        <w:tc>
          <w:tcPr>
            <w:tcW w:w="4680" w:type="dxa"/>
            <w:tcBorders>
              <w:top w:val="single" w:sz="4" w:space="0" w:color="auto"/>
              <w:bottom w:val="single" w:sz="4" w:space="0" w:color="auto"/>
              <w:right w:val="single" w:sz="4" w:space="0" w:color="auto"/>
            </w:tcBorders>
            <w:shd w:val="clear" w:color="auto" w:fill="auto"/>
          </w:tcPr>
          <w:p w:rsidR="00F30DAC" w:rsidP="00F30DAC" w14:paraId="2D7BA115" w14:textId="77777777">
            <w:pPr>
              <w:spacing w:after="120" w:line="240" w:lineRule="auto"/>
            </w:pPr>
          </w:p>
          <w:p w:rsidR="00F30DAC" w:rsidP="00F30DAC" w14:paraId="25C29BAD" w14:textId="77777777">
            <w:pPr>
              <w:spacing w:after="120" w:line="240" w:lineRule="auto"/>
            </w:pPr>
            <w:r>
              <w:t>LALEH TAGHVAEI MOHAMMADIJOO,</w:t>
            </w:r>
          </w:p>
          <w:p w:rsidR="00F30DAC" w:rsidP="00F30DAC" w14:paraId="08306DFC" w14:textId="431F18AA">
            <w:pPr>
              <w:spacing w:after="120" w:line="240" w:lineRule="auto"/>
            </w:pPr>
            <w:r>
              <w:tab/>
            </w:r>
            <w:r w:rsidR="00201FD5">
              <w:t xml:space="preserve">Plaintiff and </w:t>
            </w:r>
            <w:r>
              <w:t>Respondent,</w:t>
            </w:r>
          </w:p>
          <w:p w:rsidR="00F30DAC" w:rsidP="00F30DAC" w14:paraId="3731CC24" w14:textId="77777777">
            <w:pPr>
              <w:spacing w:after="120" w:line="240" w:lineRule="auto"/>
            </w:pPr>
            <w:r>
              <w:t>v.</w:t>
            </w:r>
          </w:p>
          <w:p w:rsidR="00F30DAC" w:rsidP="00F30DAC" w14:paraId="10087A0B" w14:textId="187C1ABA">
            <w:pPr>
              <w:spacing w:after="120" w:line="240" w:lineRule="auto"/>
            </w:pPr>
            <w:r>
              <w:t>RAMIN DADASH</w:t>
            </w:r>
            <w:r w:rsidR="00DB7814">
              <w:t>IA</w:t>
            </w:r>
            <w:r>
              <w:t>N,</w:t>
            </w:r>
          </w:p>
          <w:p w:rsidR="00F30DAC" w:rsidP="00F30DAC" w14:paraId="4B67D934" w14:textId="5EF6A5AF">
            <w:pPr>
              <w:spacing w:after="120" w:line="240" w:lineRule="auto"/>
            </w:pPr>
            <w:r>
              <w:tab/>
            </w:r>
            <w:r w:rsidR="00201FD5">
              <w:t xml:space="preserve">Defendant and </w:t>
            </w:r>
            <w:r>
              <w:t>Appellant.</w:t>
            </w:r>
          </w:p>
        </w:tc>
        <w:tc>
          <w:tcPr>
            <w:tcW w:w="4680" w:type="dxa"/>
            <w:tcBorders>
              <w:left w:val="single" w:sz="4" w:space="0" w:color="auto"/>
            </w:tcBorders>
            <w:shd w:val="clear" w:color="auto" w:fill="auto"/>
          </w:tcPr>
          <w:p w:rsidR="00F30DAC" w:rsidP="00F30DAC" w14:paraId="3A1BD301" w14:textId="77777777">
            <w:pPr>
              <w:spacing w:line="240" w:lineRule="auto"/>
            </w:pPr>
          </w:p>
          <w:p w:rsidR="00F30DAC" w:rsidP="00F30DAC" w14:paraId="7325964E" w14:textId="77777777">
            <w:pPr>
              <w:spacing w:line="240" w:lineRule="auto"/>
            </w:pPr>
          </w:p>
          <w:p w:rsidR="00F30DAC" w:rsidP="00F30DAC" w14:paraId="2B136894" w14:textId="77777777">
            <w:pPr>
              <w:spacing w:line="240" w:lineRule="auto"/>
            </w:pPr>
          </w:p>
          <w:p w:rsidR="00F30DAC" w:rsidP="00F30DAC" w14:paraId="79BA5AEA" w14:textId="77777777">
            <w:pPr>
              <w:spacing w:line="240" w:lineRule="auto"/>
            </w:pPr>
            <w:r>
              <w:t xml:space="preserve">      A163185</w:t>
            </w:r>
          </w:p>
          <w:p w:rsidR="00F30DAC" w:rsidP="00F30DAC" w14:paraId="6C5DBA27" w14:textId="77777777">
            <w:pPr>
              <w:spacing w:line="240" w:lineRule="auto"/>
            </w:pPr>
          </w:p>
          <w:p w:rsidR="00F30DAC" w:rsidP="00F30DAC" w14:paraId="629A6375" w14:textId="77777777">
            <w:pPr>
              <w:spacing w:line="240" w:lineRule="auto"/>
            </w:pPr>
            <w:r>
              <w:t xml:space="preserve">      (Contra Costa County</w:t>
            </w:r>
          </w:p>
          <w:p w:rsidR="00F30DAC" w:rsidP="00F30DAC" w14:paraId="1C602194" w14:textId="77777777">
            <w:pPr>
              <w:spacing w:line="240" w:lineRule="auto"/>
            </w:pPr>
            <w:r>
              <w:t xml:space="preserve">      Super. Ct. No. D1304989)</w:t>
            </w:r>
          </w:p>
          <w:p w:rsidR="00F30DAC" w:rsidP="00F30DAC" w14:paraId="6A048B56" w14:textId="57E672F8">
            <w:pPr>
              <w:spacing w:line="240" w:lineRule="auto"/>
            </w:pPr>
          </w:p>
        </w:tc>
      </w:tr>
    </w:tbl>
    <w:p w:rsidR="005924B9" w:rsidRPr="005924B9" w:rsidP="00F30DAC" w14:paraId="0D65A4B3" w14:textId="5D4E7D5B">
      <w:pPr>
        <w:spacing w:line="240" w:lineRule="auto"/>
        <w:rPr>
          <w:b/>
          <w:bCs/>
        </w:rPr>
      </w:pPr>
    </w:p>
    <w:p w:rsidR="003C5E79" w:rsidP="00E34053" w14:paraId="425AFDE2" w14:textId="1CBEF1B3">
      <w:pPr>
        <w:ind w:firstLine="720"/>
      </w:pPr>
      <w:r>
        <w:t>Ramin</w:t>
      </w:r>
      <w:r w:rsidR="00E979DC">
        <w:t xml:space="preserve"> </w:t>
      </w:r>
      <w:r w:rsidR="00E95F2B">
        <w:t>Dadashian</w:t>
      </w:r>
      <w:r>
        <w:t xml:space="preserve"> </w:t>
      </w:r>
      <w:r w:rsidR="006B022F">
        <w:t xml:space="preserve">appeals from a judgment </w:t>
      </w:r>
      <w:r w:rsidR="00804FB3">
        <w:t xml:space="preserve">of dissolution </w:t>
      </w:r>
      <w:r w:rsidR="006B022F">
        <w:t>entered</w:t>
      </w:r>
      <w:r w:rsidR="00C953ED">
        <w:t xml:space="preserve"> </w:t>
      </w:r>
      <w:r w:rsidR="006B022F">
        <w:t>aft</w:t>
      </w:r>
      <w:r w:rsidR="00112308">
        <w:t xml:space="preserve">er a </w:t>
      </w:r>
      <w:r w:rsidR="009B1C32">
        <w:t xml:space="preserve">lengthy </w:t>
      </w:r>
      <w:r w:rsidR="00112308">
        <w:t xml:space="preserve">bench trial </w:t>
      </w:r>
      <w:r w:rsidR="00C953ED">
        <w:t xml:space="preserve">on reserved issues </w:t>
      </w:r>
      <w:r w:rsidR="00112308">
        <w:t xml:space="preserve">in </w:t>
      </w:r>
      <w:r w:rsidR="00C45E00">
        <w:t>divorce proceedings</w:t>
      </w:r>
      <w:r w:rsidR="00112308">
        <w:t xml:space="preserve"> </w:t>
      </w:r>
      <w:r w:rsidR="001C59F4">
        <w:t xml:space="preserve">with his former wife, </w:t>
      </w:r>
      <w:r>
        <w:t xml:space="preserve">Laleh </w:t>
      </w:r>
      <w:r w:rsidR="001C59F4">
        <w:t xml:space="preserve">Mohammadijoo. </w:t>
      </w:r>
      <w:r w:rsidR="00B230BF">
        <w:t xml:space="preserve"> </w:t>
      </w:r>
    </w:p>
    <w:p w:rsidR="002B382E" w:rsidP="00E34053" w14:paraId="69C333FC" w14:textId="0AAF947D">
      <w:pPr>
        <w:ind w:firstLine="720"/>
      </w:pPr>
      <w:r>
        <w:t xml:space="preserve">His principal contention is </w:t>
      </w:r>
      <w:r w:rsidR="00D5205D">
        <w:t xml:space="preserve">that </w:t>
      </w:r>
      <w:r>
        <w:t xml:space="preserve">the trial court erred by not shifting the burden of proof to his former wife </w:t>
      </w:r>
      <w:r w:rsidR="00602B61">
        <w:t xml:space="preserve">under </w:t>
      </w:r>
      <w:r w:rsidRPr="00EE0E82" w:rsidR="00EE0E82">
        <w:rPr>
          <w:i/>
          <w:iCs/>
        </w:rPr>
        <w:t>In re Marriage of Prentis-Margulis &amp; Margulis</w:t>
      </w:r>
      <w:r w:rsidRPr="00EE0E82" w:rsidR="00EE0E82">
        <w:t xml:space="preserve"> (2011</w:t>
      </w:r>
      <w:r w:rsidRPr="00CC08B0" w:rsidR="00EE0E82">
        <w:t>) 198 Cal.App.4th 1252</w:t>
      </w:r>
      <w:r w:rsidRPr="00CC08B0" w:rsidR="00602B61">
        <w:t xml:space="preserve"> </w:t>
      </w:r>
      <w:r w:rsidRPr="00CC08B0" w:rsidR="00EE0E82">
        <w:t>(</w:t>
      </w:r>
      <w:r w:rsidRPr="00EE0E82" w:rsidR="00EE0E82">
        <w:rPr>
          <w:i/>
        </w:rPr>
        <w:t>Margulis</w:t>
      </w:r>
      <w:r w:rsidR="00EE0E82">
        <w:t xml:space="preserve">) </w:t>
      </w:r>
      <w:r w:rsidR="00602B61">
        <w:t xml:space="preserve">to prove the </w:t>
      </w:r>
      <w:r w:rsidR="004B3DB4">
        <w:t>disposition</w:t>
      </w:r>
      <w:r w:rsidR="00417F2B">
        <w:t xml:space="preserve"> and valuation</w:t>
      </w:r>
      <w:r w:rsidR="004B3DB4">
        <w:t xml:space="preserve"> of two missing assets</w:t>
      </w:r>
      <w:r w:rsidR="00006133">
        <w:t xml:space="preserve"> </w:t>
      </w:r>
      <w:r w:rsidR="004B3DB4">
        <w:t>over which he contends she had exclusive management and control</w:t>
      </w:r>
      <w:r w:rsidR="00356AE6">
        <w:t xml:space="preserve"> postseparation</w:t>
      </w:r>
      <w:r w:rsidR="00417F2B">
        <w:t>, th</w:t>
      </w:r>
      <w:r w:rsidR="00E979DC">
        <w:t>rough her brother in Iran</w:t>
      </w:r>
      <w:r w:rsidR="004B3DB4">
        <w:t>:</w:t>
      </w:r>
      <w:r w:rsidR="00417F2B">
        <w:t xml:space="preserve"> </w:t>
      </w:r>
      <w:r w:rsidR="009B2BD0">
        <w:t xml:space="preserve"> (1) </w:t>
      </w:r>
      <w:r w:rsidR="00417F2B">
        <w:t xml:space="preserve">approximately $150,000 in </w:t>
      </w:r>
      <w:r w:rsidR="00006133">
        <w:t xml:space="preserve">community </w:t>
      </w:r>
      <w:r w:rsidR="00F218D4">
        <w:t xml:space="preserve">funds </w:t>
      </w:r>
      <w:r w:rsidR="00894126">
        <w:t xml:space="preserve">his former </w:t>
      </w:r>
      <w:r w:rsidR="00F218D4">
        <w:t xml:space="preserve">wife </w:t>
      </w:r>
      <w:r w:rsidR="005C7830">
        <w:t>secured</w:t>
      </w:r>
      <w:r w:rsidR="007155CC">
        <w:t xml:space="preserve"> </w:t>
      </w:r>
      <w:r w:rsidR="005C7830">
        <w:t xml:space="preserve">through </w:t>
      </w:r>
      <w:r w:rsidR="009B2BD0">
        <w:t>a home equity line of credit</w:t>
      </w:r>
      <w:r w:rsidR="000469DA">
        <w:t xml:space="preserve"> (HELOC)</w:t>
      </w:r>
      <w:r w:rsidR="009B2BD0">
        <w:t xml:space="preserve"> </w:t>
      </w:r>
      <w:r w:rsidR="005C7830">
        <w:t>and</w:t>
      </w:r>
      <w:r w:rsidR="009B2BD0">
        <w:t xml:space="preserve"> </w:t>
      </w:r>
      <w:r w:rsidR="007155CC">
        <w:t xml:space="preserve">transferred to </w:t>
      </w:r>
      <w:r w:rsidR="001C636A">
        <w:t xml:space="preserve">Iran for </w:t>
      </w:r>
      <w:r w:rsidR="007155CC">
        <w:t xml:space="preserve">her brother </w:t>
      </w:r>
      <w:r w:rsidR="00C15D07">
        <w:t>to manage</w:t>
      </w:r>
      <w:r w:rsidR="00366A82">
        <w:t xml:space="preserve">, and (2) approximately $170,000 </w:t>
      </w:r>
      <w:r w:rsidR="00A2449E">
        <w:t xml:space="preserve">of separate property proceeds he </w:t>
      </w:r>
      <w:r w:rsidR="00A2449E">
        <w:t>inherited from his father</w:t>
      </w:r>
      <w:r w:rsidR="00573FE8">
        <w:t>’s real estate investments</w:t>
      </w:r>
      <w:r w:rsidR="00A2449E">
        <w:t xml:space="preserve"> in Iran</w:t>
      </w:r>
      <w:r w:rsidR="00366A82">
        <w:t xml:space="preserve"> that she encouraged him to </w:t>
      </w:r>
      <w:r w:rsidR="00894126">
        <w:t xml:space="preserve">also </w:t>
      </w:r>
      <w:r w:rsidR="00573FE8">
        <w:t>place</w:t>
      </w:r>
      <w:r w:rsidR="00366A82">
        <w:t xml:space="preserve"> </w:t>
      </w:r>
      <w:r w:rsidR="009935D6">
        <w:t>under her brother’s management</w:t>
      </w:r>
      <w:r w:rsidR="00542BED">
        <w:t xml:space="preserve"> </w:t>
      </w:r>
      <w:r w:rsidR="00A42D9E">
        <w:t xml:space="preserve">and control </w:t>
      </w:r>
      <w:r w:rsidR="00542BED">
        <w:t>in Iran</w:t>
      </w:r>
      <w:r w:rsidR="00366A82">
        <w:t>.</w:t>
      </w:r>
      <w:r w:rsidR="009B1511">
        <w:t xml:space="preserve">  Neither </w:t>
      </w:r>
      <w:r w:rsidR="007E679B">
        <w:t xml:space="preserve">of the </w:t>
      </w:r>
      <w:r w:rsidR="009B1511">
        <w:t xml:space="preserve">assets were accounted for at the time of trial, and </w:t>
      </w:r>
      <w:r w:rsidR="00FD72B3">
        <w:t>the trial court declined to</w:t>
      </w:r>
      <w:r w:rsidR="004D102C">
        <w:t xml:space="preserve"> charge </w:t>
      </w:r>
      <w:r w:rsidR="00DB57C5">
        <w:t xml:space="preserve">his former </w:t>
      </w:r>
      <w:r w:rsidR="004D102C">
        <w:t xml:space="preserve">wife with the value of the missing assets.  It </w:t>
      </w:r>
      <w:r w:rsidR="00655375">
        <w:t>did, though,</w:t>
      </w:r>
      <w:r w:rsidR="004D102C">
        <w:t xml:space="preserve"> sanction her for violating her statutory disclosure obligations.</w:t>
      </w:r>
    </w:p>
    <w:p w:rsidR="004343B2" w:rsidRPr="005924B9" w:rsidP="005943FF" w14:paraId="2AEF148B" w14:textId="272BF902">
      <w:pPr>
        <w:ind w:firstLine="720"/>
      </w:pPr>
      <w:r>
        <w:t>We agree</w:t>
      </w:r>
      <w:r w:rsidR="00690EE3">
        <w:t xml:space="preserve"> with appellant</w:t>
      </w:r>
      <w:r>
        <w:t xml:space="preserve"> and reverse the judgment.</w:t>
      </w:r>
      <w:r w:rsidR="00B230BF">
        <w:t xml:space="preserve">  </w:t>
      </w:r>
      <w:r w:rsidR="00F80521">
        <w:t>W</w:t>
      </w:r>
      <w:r w:rsidR="00BE57BD">
        <w:t>e hold that</w:t>
      </w:r>
      <w:r w:rsidR="00781A27">
        <w:t xml:space="preserve"> the</w:t>
      </w:r>
      <w:r w:rsidR="00BE57BD">
        <w:t xml:space="preserve"> </w:t>
      </w:r>
      <w:r w:rsidRPr="00D22443" w:rsidR="00D22443">
        <w:rPr>
          <w:i/>
          <w:iCs/>
        </w:rPr>
        <w:t>Margulis</w:t>
      </w:r>
      <w:r w:rsidR="00D22443">
        <w:t xml:space="preserve"> burden-shifting</w:t>
      </w:r>
      <w:r w:rsidR="00A42D9E">
        <w:t xml:space="preserve"> framework</w:t>
      </w:r>
      <w:r w:rsidR="00D22443">
        <w:t xml:space="preserve"> </w:t>
      </w:r>
      <w:r w:rsidR="00781A27">
        <w:t xml:space="preserve">applies when </w:t>
      </w:r>
      <w:r w:rsidR="00B2664C">
        <w:t>one spouse</w:t>
      </w:r>
      <w:r w:rsidR="00A42D9E">
        <w:t xml:space="preserve"> </w:t>
      </w:r>
      <w:r w:rsidR="005005F0">
        <w:t xml:space="preserve">solely controls and manages a relationship </w:t>
      </w:r>
      <w:r w:rsidR="00B2664C">
        <w:t xml:space="preserve">with a </w:t>
      </w:r>
      <w:r w:rsidR="00C83836">
        <w:t>third party</w:t>
      </w:r>
      <w:r w:rsidR="00D22443">
        <w:t xml:space="preserve"> </w:t>
      </w:r>
      <w:r w:rsidR="00B2664C">
        <w:t xml:space="preserve">who </w:t>
      </w:r>
      <w:r w:rsidR="009F0856">
        <w:t xml:space="preserve">directly </w:t>
      </w:r>
      <w:r w:rsidR="00B2664C">
        <w:t xml:space="preserve">oversees the management and investment of </w:t>
      </w:r>
      <w:r w:rsidR="00C83836">
        <w:t>community funds</w:t>
      </w:r>
      <w:r w:rsidR="003105B3">
        <w:t xml:space="preserve"> postseparation</w:t>
      </w:r>
      <w:r w:rsidR="00110685">
        <w:t xml:space="preserve">.  </w:t>
      </w:r>
      <w:r w:rsidR="00B2664C">
        <w:t xml:space="preserve">In such a case, the managing spouse must account for the missing assets under the </w:t>
      </w:r>
      <w:r w:rsidR="00B2664C">
        <w:rPr>
          <w:i/>
        </w:rPr>
        <w:t>Margulis</w:t>
      </w:r>
      <w:r w:rsidR="00B2664C">
        <w:t xml:space="preserve"> burden-shifting framework.  </w:t>
      </w:r>
      <w:r w:rsidR="00C94919">
        <w:t xml:space="preserve">Accordingly, we conclude the trial court erred in declining to shift the burden under </w:t>
      </w:r>
      <w:r w:rsidRPr="00C94919" w:rsidR="00C94919">
        <w:rPr>
          <w:i/>
          <w:iCs/>
        </w:rPr>
        <w:t>Margulis</w:t>
      </w:r>
      <w:r w:rsidR="00C94919">
        <w:t xml:space="preserve"> concerning the HELOC funds</w:t>
      </w:r>
      <w:r w:rsidRPr="005924B9" w:rsidR="00C94919">
        <w:t xml:space="preserve">.  </w:t>
      </w:r>
    </w:p>
    <w:p w:rsidR="00542BED" w:rsidRPr="001C59F4" w:rsidP="005943FF" w14:paraId="33202BB1" w14:textId="434E390A">
      <w:pPr>
        <w:ind w:firstLine="720"/>
      </w:pPr>
      <w:r w:rsidRPr="005924B9">
        <w:t xml:space="preserve">We also hold that </w:t>
      </w:r>
      <w:r w:rsidRPr="005924B9" w:rsidR="002A0AC7">
        <w:t xml:space="preserve">the </w:t>
      </w:r>
      <w:r w:rsidRPr="005924B9" w:rsidR="002A0AC7">
        <w:rPr>
          <w:i/>
        </w:rPr>
        <w:t>Margulis</w:t>
      </w:r>
      <w:r w:rsidRPr="005924B9" w:rsidR="002A0AC7">
        <w:t xml:space="preserve"> burden-shifting framework </w:t>
      </w:r>
      <w:r w:rsidRPr="005924B9" w:rsidR="008E4FDA">
        <w:t xml:space="preserve">extends </w:t>
      </w:r>
      <w:r w:rsidRPr="005924B9" w:rsidR="00CB64FC">
        <w:t xml:space="preserve">to </w:t>
      </w:r>
      <w:r w:rsidRPr="005924B9" w:rsidR="008476DB">
        <w:t xml:space="preserve">missing </w:t>
      </w:r>
      <w:r w:rsidRPr="005924B9" w:rsidR="00CB64FC">
        <w:t>separate property</w:t>
      </w:r>
      <w:r w:rsidRPr="005924B9" w:rsidR="00844A9B">
        <w:t xml:space="preserve">, such that a </w:t>
      </w:r>
      <w:r w:rsidRPr="005924B9" w:rsidR="00C41F98">
        <w:t>person</w:t>
      </w:r>
      <w:r w:rsidRPr="005924B9" w:rsidR="00844A9B">
        <w:t xml:space="preserve"> who </w:t>
      </w:r>
      <w:r w:rsidRPr="005924B9" w:rsidR="00ED1F70">
        <w:t xml:space="preserve">has </w:t>
      </w:r>
      <w:r w:rsidRPr="005924B9" w:rsidR="00E456B1">
        <w:t xml:space="preserve">been </w:t>
      </w:r>
      <w:r w:rsidRPr="005924B9" w:rsidR="00ED1F70">
        <w:t xml:space="preserve">entrusted </w:t>
      </w:r>
      <w:r w:rsidRPr="005924B9" w:rsidR="00E456B1">
        <w:t xml:space="preserve">with the control and </w:t>
      </w:r>
      <w:r w:rsidRPr="005924B9" w:rsidR="00ED1F70">
        <w:t xml:space="preserve">management of </w:t>
      </w:r>
      <w:r w:rsidRPr="005924B9" w:rsidR="00FF6484">
        <w:t xml:space="preserve">their spouse’s </w:t>
      </w:r>
      <w:r w:rsidRPr="005924B9" w:rsidR="00ED1F70">
        <w:t xml:space="preserve">separate property </w:t>
      </w:r>
      <w:r w:rsidRPr="005924B9" w:rsidR="008B5DB3">
        <w:t xml:space="preserve">during marriage </w:t>
      </w:r>
      <w:r w:rsidRPr="005924B9" w:rsidR="008476FC">
        <w:t xml:space="preserve">must account for </w:t>
      </w:r>
      <w:r w:rsidRPr="005924B9" w:rsidR="00BB6659">
        <w:t xml:space="preserve">its </w:t>
      </w:r>
      <w:r w:rsidRPr="005924B9" w:rsidR="00E15CEB">
        <w:t xml:space="preserve">disposition and valuation </w:t>
      </w:r>
      <w:r w:rsidRPr="005924B9" w:rsidR="00BB6659">
        <w:t xml:space="preserve">post-separation </w:t>
      </w:r>
      <w:r w:rsidRPr="005924B9" w:rsidR="0009782B">
        <w:t>according to the same burden-sh</w:t>
      </w:r>
      <w:r w:rsidRPr="005924B9" w:rsidR="00FA3002">
        <w:t xml:space="preserve">ifting </w:t>
      </w:r>
      <w:r w:rsidRPr="005924B9" w:rsidR="007B2962">
        <w:t>principles</w:t>
      </w:r>
      <w:r w:rsidRPr="005924B9" w:rsidR="00B2664C">
        <w:t>.</w:t>
      </w:r>
      <w:r w:rsidRPr="005924B9" w:rsidR="00B230BF">
        <w:t xml:space="preserve">  </w:t>
      </w:r>
      <w:r w:rsidRPr="005924B9" w:rsidR="00C94919">
        <w:t>Accordingly, the trial court</w:t>
      </w:r>
      <w:r w:rsidRPr="005924B9" w:rsidR="001D43CC">
        <w:t xml:space="preserve"> also erred in declining to shift the burden of proof to</w:t>
      </w:r>
      <w:r w:rsidRPr="005924B9" w:rsidR="00EB3428">
        <w:t xml:space="preserve"> appellant’s former wife</w:t>
      </w:r>
      <w:r w:rsidRPr="005924B9" w:rsidR="001D43CC">
        <w:t xml:space="preserve"> </w:t>
      </w:r>
      <w:r w:rsidRPr="005924B9" w:rsidR="00C94919">
        <w:t>regarding appellant’s allegedly missing inheritance proceeds.</w:t>
      </w:r>
    </w:p>
    <w:p w:rsidR="002B382E" w:rsidRPr="00697145" w:rsidP="00CC2CCA" w14:paraId="00AE461C" w14:textId="2DFE6B06">
      <w:pPr>
        <w:keepNext/>
        <w:jc w:val="center"/>
        <w:rPr>
          <w:b/>
        </w:rPr>
      </w:pPr>
      <w:r w:rsidRPr="00697145">
        <w:rPr>
          <w:b/>
        </w:rPr>
        <w:t>BACKGROUND</w:t>
      </w:r>
    </w:p>
    <w:p w:rsidR="00D368DB" w:rsidP="00DB0F38" w14:paraId="4229A59A" w14:textId="76D3C5C3">
      <w:pPr>
        <w:keepNext/>
        <w:jc w:val="center"/>
        <w:rPr>
          <w:b/>
        </w:rPr>
      </w:pPr>
      <w:r w:rsidRPr="00697145">
        <w:rPr>
          <w:b/>
        </w:rPr>
        <w:t>I.</w:t>
      </w:r>
    </w:p>
    <w:p w:rsidR="008E3AA1" w:rsidRPr="008E3AA1" w:rsidP="00E802B4" w14:paraId="6DE59FEB" w14:textId="3FD98121">
      <w:pPr>
        <w:ind w:firstLine="720"/>
      </w:pPr>
      <w:r w:rsidRPr="00EE0E82">
        <w:rPr>
          <w:i/>
        </w:rPr>
        <w:t>Marguli</w:t>
      </w:r>
      <w:r w:rsidR="00317985">
        <w:rPr>
          <w:i/>
        </w:rPr>
        <w:t>s</w:t>
      </w:r>
      <w:r>
        <w:t xml:space="preserve"> </w:t>
      </w:r>
      <w:r w:rsidR="00DF6432">
        <w:t>addresse</w:t>
      </w:r>
      <w:r w:rsidR="00642A06">
        <w:t>s</w:t>
      </w:r>
      <w:r w:rsidR="00DF6432">
        <w:t xml:space="preserve"> </w:t>
      </w:r>
      <w:r w:rsidR="00155E2B">
        <w:t xml:space="preserve">how to </w:t>
      </w:r>
      <w:r w:rsidR="008C2F51">
        <w:t xml:space="preserve">allocate and </w:t>
      </w:r>
      <w:r w:rsidR="0025428D">
        <w:t xml:space="preserve">account for </w:t>
      </w:r>
      <w:r w:rsidR="008C2F51">
        <w:t xml:space="preserve">the disposition </w:t>
      </w:r>
      <w:r w:rsidR="002009D7">
        <w:t xml:space="preserve">of assets </w:t>
      </w:r>
      <w:r w:rsidR="00615A44">
        <w:t xml:space="preserve">that are </w:t>
      </w:r>
      <w:r w:rsidR="00DF6432">
        <w:t xml:space="preserve">missing </w:t>
      </w:r>
      <w:r w:rsidR="002009D7">
        <w:t>from the community estate at the time of property division</w:t>
      </w:r>
      <w:r w:rsidR="00642A06">
        <w:t xml:space="preserve">, when one spouse </w:t>
      </w:r>
      <w:r w:rsidR="004175A4">
        <w:t xml:space="preserve">solely </w:t>
      </w:r>
      <w:r w:rsidR="00642A06">
        <w:t xml:space="preserve">controlled and managed the asset </w:t>
      </w:r>
      <w:r w:rsidR="00311324">
        <w:t>after the parties separated</w:t>
      </w:r>
      <w:r w:rsidR="00DF6432">
        <w:t xml:space="preserve">.  </w:t>
      </w:r>
      <w:r w:rsidR="00FA4073">
        <w:t xml:space="preserve">It </w:t>
      </w:r>
      <w:r w:rsidR="00C17B90">
        <w:t>holds</w:t>
      </w:r>
      <w:r w:rsidR="003904D6">
        <w:t xml:space="preserve"> that “</w:t>
      </w:r>
      <w:r w:rsidRPr="008E3AA1">
        <w:t>where the nonmanaging spouse offers prima facie evidence that community assets of a certain value have disappeared while in the control of the managing spouse postseparation,</w:t>
      </w:r>
      <w:r w:rsidR="003904D6">
        <w:t>”</w:t>
      </w:r>
      <w:r w:rsidRPr="008E3AA1">
        <w:t xml:space="preserve"> the managing spouse ha</w:t>
      </w:r>
      <w:r w:rsidR="003904D6">
        <w:t>s</w:t>
      </w:r>
      <w:r w:rsidRPr="008E3AA1">
        <w:t xml:space="preserve"> the burden of proof to account for the missing assets</w:t>
      </w:r>
      <w:r w:rsidR="003904D6">
        <w:t>.</w:t>
      </w:r>
      <w:r w:rsidR="00E802B4">
        <w:t xml:space="preserve">  </w:t>
      </w:r>
      <w:r w:rsidR="00270F84">
        <w:t>(</w:t>
      </w:r>
      <w:r w:rsidR="00317985">
        <w:rPr>
          <w:i/>
          <w:iCs/>
        </w:rPr>
        <w:t>Margulis</w:t>
      </w:r>
      <w:r w:rsidR="00254D7D">
        <w:rPr>
          <w:i/>
          <w:iCs/>
        </w:rPr>
        <w:t>, supra</w:t>
      </w:r>
      <w:r w:rsidR="00317985">
        <w:rPr>
          <w:i/>
          <w:iCs/>
        </w:rPr>
        <w:t>,</w:t>
      </w:r>
      <w:r w:rsidR="00270F84">
        <w:t xml:space="preserve"> </w:t>
      </w:r>
      <w:r w:rsidRPr="00EE0E82" w:rsidR="00317985">
        <w:t>198 Cal.App.4th</w:t>
      </w:r>
      <w:r w:rsidR="00317985">
        <w:t xml:space="preserve"> </w:t>
      </w:r>
      <w:r w:rsidR="00270F84">
        <w:t xml:space="preserve">at p. </w:t>
      </w:r>
      <w:r w:rsidR="00317985">
        <w:t>1257</w:t>
      </w:r>
      <w:r w:rsidR="00270F84">
        <w:t>.)</w:t>
      </w:r>
    </w:p>
    <w:p w:rsidR="00EF5EA3" w:rsidP="00E54A95" w14:paraId="571FA57B" w14:textId="0AA8D49B">
      <w:pPr>
        <w:ind w:firstLine="720"/>
      </w:pPr>
      <w:r>
        <w:t>U</w:t>
      </w:r>
      <w:r w:rsidRPr="00635D75" w:rsidR="00635D75">
        <w:t>nder the</w:t>
      </w:r>
      <w:r w:rsidR="00635D75">
        <w:rPr>
          <w:i/>
          <w:iCs/>
        </w:rPr>
        <w:t xml:space="preserve"> </w:t>
      </w:r>
      <w:r w:rsidRPr="007B187F" w:rsidR="008E0DE8">
        <w:rPr>
          <w:i/>
          <w:iCs/>
        </w:rPr>
        <w:t>Margulis</w:t>
      </w:r>
      <w:r w:rsidR="008E0DE8">
        <w:t xml:space="preserve"> </w:t>
      </w:r>
      <w:r w:rsidR="00270F84">
        <w:t>burden-shifting framework</w:t>
      </w:r>
      <w:r w:rsidR="002445D4">
        <w:t xml:space="preserve">, </w:t>
      </w:r>
      <w:r w:rsidRPr="006D622C" w:rsidR="00D368DB">
        <w:t>“</w:t>
      </w:r>
      <w:r w:rsidRPr="00047A09" w:rsidR="00047A09">
        <w:t xml:space="preserve">once a nonmanaging spouse makes a prima facie showing concerning the existence and value of community assets in the control of the other spouse postseparation, the burden of proof shifts to the managing spouse to rebut the showing or prove the proper disposition or lesser value of these assets. </w:t>
      </w:r>
      <w:r w:rsidR="00BC07D8">
        <w:t xml:space="preserve"> </w:t>
      </w:r>
      <w:r w:rsidRPr="00047A09" w:rsidR="00047A09">
        <w:t>If the managing spouse fails to meet this burden, the court should charge the managing spouse with the assets according to the prima facie showing.</w:t>
      </w:r>
      <w:r w:rsidRPr="006D622C" w:rsidR="006D622C">
        <w:t>”</w:t>
      </w:r>
      <w:r>
        <w:rPr>
          <w:rStyle w:val="FootnoteReference"/>
        </w:rPr>
        <w:footnoteReference w:id="2"/>
      </w:r>
      <w:r w:rsidRPr="006D622C" w:rsidR="006D622C">
        <w:t xml:space="preserve"> </w:t>
      </w:r>
      <w:r w:rsidR="00292CAC">
        <w:t xml:space="preserve"> </w:t>
      </w:r>
      <w:r w:rsidRPr="006D622C" w:rsidR="006D622C">
        <w:t>(</w:t>
      </w:r>
      <w:r w:rsidRPr="00047A09" w:rsidR="00047A09">
        <w:rPr>
          <w:i/>
          <w:iCs/>
        </w:rPr>
        <w:t>Margulis</w:t>
      </w:r>
      <w:r w:rsidR="00BC07D8">
        <w:t xml:space="preserve">, </w:t>
      </w:r>
      <w:r w:rsidRPr="00BC07D8" w:rsidR="00BC07D8">
        <w:rPr>
          <w:i/>
        </w:rPr>
        <w:t>supra</w:t>
      </w:r>
      <w:r w:rsidR="00BC07D8">
        <w:t>,</w:t>
      </w:r>
      <w:r w:rsidRPr="00047A09" w:rsidR="00047A09">
        <w:t xml:space="preserve"> 198</w:t>
      </w:r>
      <w:r w:rsidR="00254D7D">
        <w:t> </w:t>
      </w:r>
      <w:r w:rsidRPr="00047A09" w:rsidR="00047A09">
        <w:t xml:space="preserve">Cal.App.4th </w:t>
      </w:r>
      <w:r w:rsidR="00BC07D8">
        <w:t xml:space="preserve">at p. </w:t>
      </w:r>
      <w:r w:rsidRPr="00047A09" w:rsidR="00047A09">
        <w:t>1267</w:t>
      </w:r>
      <w:r w:rsidRPr="006D622C" w:rsidR="006D622C">
        <w:t>.)</w:t>
      </w:r>
      <w:r w:rsidR="006D622C">
        <w:t xml:space="preserve">  </w:t>
      </w:r>
    </w:p>
    <w:p w:rsidR="00047A09" w:rsidP="009D6E90" w14:paraId="0CB380A7" w14:textId="00B69033">
      <w:pPr>
        <w:ind w:firstLine="720"/>
      </w:pPr>
      <w:r w:rsidRPr="00292CAC">
        <w:rPr>
          <w:i/>
          <w:iCs/>
        </w:rPr>
        <w:t>Margulis</w:t>
      </w:r>
      <w:r>
        <w:t xml:space="preserve"> derived this </w:t>
      </w:r>
      <w:r w:rsidR="006D622C">
        <w:t xml:space="preserve">rule from </w:t>
      </w:r>
      <w:r w:rsidR="00096E0B">
        <w:t>both general</w:t>
      </w:r>
      <w:r w:rsidR="00BC07D8">
        <w:t xml:space="preserve"> legal principles</w:t>
      </w:r>
      <w:r w:rsidR="00864641">
        <w:t xml:space="preserve"> and </w:t>
      </w:r>
      <w:r w:rsidR="00B60148">
        <w:t xml:space="preserve">inter-spousal </w:t>
      </w:r>
      <w:r w:rsidR="00864641">
        <w:t xml:space="preserve">duties </w:t>
      </w:r>
      <w:r w:rsidR="00B22292">
        <w:t xml:space="preserve">that attach </w:t>
      </w:r>
      <w:r w:rsidR="00CC38BA">
        <w:t>during</w:t>
      </w:r>
      <w:r w:rsidR="00B60148">
        <w:t xml:space="preserve"> marriage</w:t>
      </w:r>
      <w:r w:rsidR="00CC38BA">
        <w:t xml:space="preserve"> and </w:t>
      </w:r>
      <w:r w:rsidR="00B22292">
        <w:t xml:space="preserve">continue </w:t>
      </w:r>
      <w:r w:rsidR="00CC38BA">
        <w:t>after separation</w:t>
      </w:r>
      <w:r w:rsidR="00864641">
        <w:t xml:space="preserve">. </w:t>
      </w:r>
      <w:r w:rsidR="0019233A">
        <w:t xml:space="preserve"> </w:t>
      </w:r>
      <w:r w:rsidR="00BC4B02">
        <w:t>Specifically, t</w:t>
      </w:r>
      <w:r w:rsidR="00CC38BA">
        <w:t xml:space="preserve">he court </w:t>
      </w:r>
      <w:r w:rsidR="00BC4B02">
        <w:t>relied upon</w:t>
      </w:r>
      <w:r w:rsidR="00864641">
        <w:t xml:space="preserve"> </w:t>
      </w:r>
      <w:r w:rsidR="00BC07D8">
        <w:t xml:space="preserve">principles governing the </w:t>
      </w:r>
      <w:r w:rsidR="00FC1379">
        <w:t>re-</w:t>
      </w:r>
      <w:r w:rsidR="00BC07D8">
        <w:t xml:space="preserve">allocation of burden of proof when one party has </w:t>
      </w:r>
      <w:r w:rsidR="009F11F4">
        <w:t xml:space="preserve">unequal access to </w:t>
      </w:r>
      <w:r w:rsidR="00BC07D8">
        <w:t>evidence</w:t>
      </w:r>
      <w:r w:rsidR="00D5205D">
        <w:t>,</w:t>
      </w:r>
      <w:r w:rsidR="009F11F4">
        <w:t xml:space="preserve"> which</w:t>
      </w:r>
      <w:r w:rsidR="00561C89">
        <w:t xml:space="preserve"> it said</w:t>
      </w:r>
      <w:r w:rsidR="005424E3">
        <w:t>,</w:t>
      </w:r>
      <w:r w:rsidR="009F11F4">
        <w:t xml:space="preserve"> </w:t>
      </w:r>
      <w:r w:rsidR="00561C89">
        <w:t>“</w:t>
      </w:r>
      <w:r w:rsidRPr="0028546D" w:rsidR="0028546D">
        <w:t>are particularly pressing in the context of a marital dissolution where financial records can be crucial to ensuring the equal division of propert</w:t>
      </w:r>
      <w:r w:rsidR="0028546D">
        <w:t>y</w:t>
      </w:r>
      <w:r w:rsidR="00561C89">
        <w:t>.</w:t>
      </w:r>
      <w:r w:rsidR="0028546D">
        <w:t>”</w:t>
      </w:r>
      <w:r w:rsidR="006435E2">
        <w:t xml:space="preserve"> </w:t>
      </w:r>
      <w:r w:rsidR="00FC6B19">
        <w:t xml:space="preserve"> </w:t>
      </w:r>
      <w:r w:rsidR="00CC38BA">
        <w:t>(</w:t>
      </w:r>
      <w:r w:rsidRPr="00047A09" w:rsidR="00254D7D">
        <w:rPr>
          <w:i/>
          <w:iCs/>
        </w:rPr>
        <w:t>Margulis</w:t>
      </w:r>
      <w:r w:rsidR="00254D7D">
        <w:t xml:space="preserve">, </w:t>
      </w:r>
      <w:r w:rsidRPr="00BC07D8" w:rsidR="00254D7D">
        <w:rPr>
          <w:i/>
        </w:rPr>
        <w:t>supra</w:t>
      </w:r>
      <w:r w:rsidR="00254D7D">
        <w:t>,</w:t>
      </w:r>
      <w:r w:rsidRPr="00047A09" w:rsidR="00254D7D">
        <w:t xml:space="preserve"> 198</w:t>
      </w:r>
      <w:r w:rsidR="00254D7D">
        <w:t> </w:t>
      </w:r>
      <w:r w:rsidRPr="00047A09" w:rsidR="00254D7D">
        <w:t>Cal.App.4th</w:t>
      </w:r>
      <w:r w:rsidR="00FC1379">
        <w:t xml:space="preserve"> at pp.</w:t>
      </w:r>
      <w:r w:rsidR="00CC38BA">
        <w:t xml:space="preserve"> </w:t>
      </w:r>
      <w:r w:rsidR="006435E2">
        <w:t>1267-1268</w:t>
      </w:r>
      <w:r w:rsidR="00561C89">
        <w:t>.</w:t>
      </w:r>
      <w:r w:rsidR="00CC38BA">
        <w:t>)</w:t>
      </w:r>
      <w:r w:rsidR="00561C89">
        <w:t xml:space="preserve">  It also extensively discussed and relied on</w:t>
      </w:r>
      <w:r w:rsidR="00CC38BA">
        <w:t xml:space="preserve"> </w:t>
      </w:r>
      <w:r w:rsidR="00E33FF7">
        <w:t xml:space="preserve">fiduciary duties </w:t>
      </w:r>
      <w:r w:rsidR="00B612EF">
        <w:t xml:space="preserve">of disclosure and accounting </w:t>
      </w:r>
      <w:r w:rsidR="00E33FF7">
        <w:t xml:space="preserve">under </w:t>
      </w:r>
      <w:r w:rsidR="00BE555E">
        <w:t xml:space="preserve">numerous provisions of the </w:t>
      </w:r>
      <w:r w:rsidR="00E33FF7">
        <w:t xml:space="preserve">Family Code </w:t>
      </w:r>
      <w:r w:rsidR="00BE555E">
        <w:t xml:space="preserve">including </w:t>
      </w:r>
      <w:r w:rsidR="00E33FF7">
        <w:t>section</w:t>
      </w:r>
      <w:r w:rsidR="00D75485">
        <w:t>s 721</w:t>
      </w:r>
      <w:r w:rsidR="004E7D04">
        <w:t xml:space="preserve">, </w:t>
      </w:r>
      <w:r w:rsidR="002469D1">
        <w:t xml:space="preserve">1100, </w:t>
      </w:r>
      <w:r w:rsidR="004E7D04">
        <w:t xml:space="preserve">1101 </w:t>
      </w:r>
      <w:r w:rsidR="002469D1">
        <w:t xml:space="preserve">and </w:t>
      </w:r>
      <w:r w:rsidR="00DB2AE7">
        <w:t>2100.  (</w:t>
      </w:r>
      <w:r w:rsidR="00515C53">
        <w:rPr>
          <w:i/>
          <w:iCs/>
        </w:rPr>
        <w:t>Margulis,</w:t>
      </w:r>
      <w:r w:rsidR="00DB2AE7">
        <w:t xml:space="preserve"> at pp.</w:t>
      </w:r>
      <w:r w:rsidR="000B3525">
        <w:t xml:space="preserve"> 1269-1270.</w:t>
      </w:r>
      <w:r w:rsidR="00DB2AE7">
        <w:t>)</w:t>
      </w:r>
      <w:r w:rsidR="00E33FF7">
        <w:t xml:space="preserve"> </w:t>
      </w:r>
      <w:r w:rsidR="00C64ADA">
        <w:t xml:space="preserve"> </w:t>
      </w:r>
      <w:r w:rsidR="00EF657E">
        <w:t xml:space="preserve">On latter point, </w:t>
      </w:r>
      <w:r w:rsidRPr="00BE555E" w:rsidR="00BE555E">
        <w:rPr>
          <w:i/>
          <w:iCs/>
        </w:rPr>
        <w:t>Margulis</w:t>
      </w:r>
      <w:r w:rsidR="00C64ADA">
        <w:t xml:space="preserve"> explained:</w:t>
      </w:r>
      <w:r w:rsidR="004E7D04">
        <w:t xml:space="preserve"> </w:t>
      </w:r>
      <w:r w:rsidR="00B61901">
        <w:t>“T</w:t>
      </w:r>
      <w:r w:rsidRPr="00B61901" w:rsidR="00B61901">
        <w:t xml:space="preserve">aken together, these Family Code provisions impose on a managing spouse affirmative, wide-ranging duties to disclose and account for the </w:t>
      </w:r>
      <w:r w:rsidRPr="00B61901" w:rsidR="00B61901">
        <w:rPr>
          <w:i/>
          <w:iCs/>
        </w:rPr>
        <w:t>existence, valuation,</w:t>
      </w:r>
      <w:r w:rsidRPr="00B61901" w:rsidR="00B61901">
        <w:t xml:space="preserve"> and </w:t>
      </w:r>
      <w:r w:rsidRPr="00B61901" w:rsidR="00B61901">
        <w:rPr>
          <w:i/>
          <w:iCs/>
        </w:rPr>
        <w:t>disposition</w:t>
      </w:r>
      <w:r w:rsidRPr="00B61901" w:rsidR="00B61901">
        <w:t xml:space="preserve"> of all community assets from the date of separation through final property division. </w:t>
      </w:r>
      <w:r w:rsidR="00561C89">
        <w:t xml:space="preserve"> </w:t>
      </w:r>
      <w:r w:rsidRPr="00B61901" w:rsidR="00B61901">
        <w:t>These statutes obligate a managing spouse to disclose soon after separation all the property that belongs or might belong to the community, and its value, and then to account for the management of that property, revealing any material changes in the community estate, such as the transfer or loss of assets.</w:t>
      </w:r>
      <w:r w:rsidR="00515C53">
        <w:t xml:space="preserve"> </w:t>
      </w:r>
      <w:r w:rsidRPr="00B61901" w:rsidR="00B61901">
        <w:t xml:space="preserve"> This strict transparency both discourages unfair dealing and empowers the nonmanaging spouse to remedy any breach of fiduciary duty</w:t>
      </w:r>
      <w:r w:rsidR="00C64ADA">
        <w:t>” by the managing spouse.  (</w:t>
      </w:r>
      <w:r w:rsidRPr="00C64ADA" w:rsidR="00C64ADA">
        <w:rPr>
          <w:i/>
          <w:iCs/>
        </w:rPr>
        <w:t>Id</w:t>
      </w:r>
      <w:r w:rsidR="00C64ADA">
        <w:t>. at pp. 1270-1271.)</w:t>
      </w:r>
      <w:r w:rsidRPr="00B61901" w:rsidR="00B61901">
        <w:t xml:space="preserve"> </w:t>
      </w:r>
    </w:p>
    <w:p w:rsidR="006D622C" w:rsidP="00C7542A" w14:paraId="0DBE7EFD" w14:textId="6997270B">
      <w:pPr>
        <w:ind w:firstLine="720"/>
      </w:pPr>
      <w:r w:rsidRPr="00446525">
        <w:rPr>
          <w:i/>
        </w:rPr>
        <w:t>Margulis</w:t>
      </w:r>
      <w:r>
        <w:t xml:space="preserve"> ordered a retrial of community property issues where the trial court failed to shift the burden of proof to the managing spouse.  </w:t>
      </w:r>
      <w:r w:rsidR="009D6E90">
        <w:t xml:space="preserve">In </w:t>
      </w:r>
      <w:r w:rsidRPr="004B2297" w:rsidR="004B2297">
        <w:rPr>
          <w:iCs/>
        </w:rPr>
        <w:t>that case</w:t>
      </w:r>
      <w:r w:rsidR="009D6E90">
        <w:t xml:space="preserve">, </w:t>
      </w:r>
      <w:r w:rsidR="00142919">
        <w:t>a husband solely controlled and managed the couple’s finances</w:t>
      </w:r>
      <w:r w:rsidR="00AC0733">
        <w:t>,</w:t>
      </w:r>
      <w:r w:rsidR="00142919">
        <w:t xml:space="preserve"> </w:t>
      </w:r>
      <w:r w:rsidR="00171954">
        <w:t>and</w:t>
      </w:r>
      <w:r w:rsidR="003F38E6">
        <w:t xml:space="preserve"> the</w:t>
      </w:r>
      <w:r w:rsidR="007532AF">
        <w:t xml:space="preserve"> wife introduced a financial statement</w:t>
      </w:r>
      <w:r w:rsidR="001C49D5">
        <w:t xml:space="preserve"> </w:t>
      </w:r>
      <w:r w:rsidR="00C41ED2">
        <w:t xml:space="preserve">prepared three years after separation </w:t>
      </w:r>
      <w:r w:rsidR="007532AF">
        <w:t>reflecting</w:t>
      </w:r>
      <w:r w:rsidR="003F38E6">
        <w:t xml:space="preserve"> </w:t>
      </w:r>
      <w:r w:rsidR="00D5205D">
        <w:t xml:space="preserve">that </w:t>
      </w:r>
      <w:r w:rsidR="00171954">
        <w:t>the</w:t>
      </w:r>
      <w:r w:rsidR="003F38E6">
        <w:t>y</w:t>
      </w:r>
      <w:r w:rsidR="00C7542A">
        <w:t xml:space="preserve"> had </w:t>
      </w:r>
      <w:r w:rsidR="00171954">
        <w:t xml:space="preserve">community property brokerage accounts </w:t>
      </w:r>
      <w:r w:rsidR="008F0FFE">
        <w:t xml:space="preserve">holding </w:t>
      </w:r>
      <w:r w:rsidR="008F455D">
        <w:t>$1.3 million</w:t>
      </w:r>
      <w:r w:rsidR="003F38E6">
        <w:t>.</w:t>
      </w:r>
      <w:r w:rsidR="008F0FFE">
        <w:t xml:space="preserve"> </w:t>
      </w:r>
      <w:r w:rsidR="003F38E6">
        <w:t xml:space="preserve"> </w:t>
      </w:r>
      <w:r w:rsidR="00517195">
        <w:t xml:space="preserve">(See </w:t>
      </w:r>
      <w:r w:rsidRPr="00047A09" w:rsidR="00515C53">
        <w:rPr>
          <w:i/>
          <w:iCs/>
        </w:rPr>
        <w:t>Margulis</w:t>
      </w:r>
      <w:r w:rsidR="00515C53">
        <w:t xml:space="preserve">, </w:t>
      </w:r>
      <w:r w:rsidRPr="00BC07D8" w:rsidR="00515C53">
        <w:rPr>
          <w:i/>
        </w:rPr>
        <w:t>supra</w:t>
      </w:r>
      <w:r w:rsidR="00515C53">
        <w:t>,</w:t>
      </w:r>
      <w:r w:rsidRPr="00047A09" w:rsidR="00515C53">
        <w:t xml:space="preserve"> 198</w:t>
      </w:r>
      <w:r w:rsidR="00515C53">
        <w:t> </w:t>
      </w:r>
      <w:r w:rsidRPr="00047A09" w:rsidR="00515C53">
        <w:t>Cal.App.4th</w:t>
      </w:r>
      <w:r w:rsidR="00517195">
        <w:t xml:space="preserve"> at</w:t>
      </w:r>
      <w:r w:rsidR="008F455D">
        <w:t xml:space="preserve"> </w:t>
      </w:r>
      <w:r w:rsidR="00517195">
        <w:t>p</w:t>
      </w:r>
      <w:r w:rsidR="008F455D">
        <w:t>p</w:t>
      </w:r>
      <w:r w:rsidR="00517195">
        <w:t xml:space="preserve">. </w:t>
      </w:r>
      <w:r w:rsidR="008F455D">
        <w:t xml:space="preserve">1257, </w:t>
      </w:r>
      <w:r w:rsidR="00517195">
        <w:t xml:space="preserve">1262.) </w:t>
      </w:r>
      <w:r w:rsidR="006E6EFE">
        <w:t xml:space="preserve"> Nine years</w:t>
      </w:r>
      <w:r w:rsidR="00E52EE4">
        <w:t xml:space="preserve"> </w:t>
      </w:r>
      <w:r w:rsidR="002A78A2">
        <w:t>after the financial statement was prepared</w:t>
      </w:r>
      <w:r w:rsidR="00E52EE4">
        <w:t xml:space="preserve">, </w:t>
      </w:r>
      <w:r w:rsidR="00B74F90">
        <w:t xml:space="preserve">the case went to </w:t>
      </w:r>
      <w:r w:rsidR="00E52EE4">
        <w:t>trial</w:t>
      </w:r>
      <w:r w:rsidR="00B74F90">
        <w:t xml:space="preserve"> and </w:t>
      </w:r>
      <w:r w:rsidR="00E52EE4">
        <w:t xml:space="preserve">the husband </w:t>
      </w:r>
      <w:r w:rsidRPr="006E6EFE" w:rsidR="00E52EE4">
        <w:t xml:space="preserve">argued </w:t>
      </w:r>
      <w:r w:rsidR="00E73499">
        <w:t xml:space="preserve">the </w:t>
      </w:r>
      <w:r w:rsidR="00790D49">
        <w:t xml:space="preserve">money was gone </w:t>
      </w:r>
      <w:r w:rsidR="00B1317E">
        <w:t>(due to market declines and legitimate expenditures) yet</w:t>
      </w:r>
      <w:r w:rsidR="004C6004">
        <w:t xml:space="preserve"> failed to </w:t>
      </w:r>
      <w:r w:rsidRPr="00B1317E" w:rsidR="004C6004">
        <w:rPr>
          <w:i/>
        </w:rPr>
        <w:t>prove</w:t>
      </w:r>
      <w:r w:rsidR="004C6004">
        <w:t xml:space="preserve"> what happened to the assets</w:t>
      </w:r>
      <w:r w:rsidR="00E73499">
        <w:t xml:space="preserve">.  </w:t>
      </w:r>
      <w:r w:rsidR="00D62ACD">
        <w:t>(</w:t>
      </w:r>
      <w:r w:rsidRPr="00D62ACD" w:rsidR="00D62ACD">
        <w:rPr>
          <w:i/>
        </w:rPr>
        <w:t>Id</w:t>
      </w:r>
      <w:r w:rsidR="00D62ACD">
        <w:t>. at p</w:t>
      </w:r>
      <w:r w:rsidR="00584B71">
        <w:t>p</w:t>
      </w:r>
      <w:r w:rsidR="00D62ACD">
        <w:t>. 1257</w:t>
      </w:r>
      <w:r w:rsidR="00584B71">
        <w:t>, 1260</w:t>
      </w:r>
      <w:r w:rsidR="002C7C12">
        <w:t>-1261</w:t>
      </w:r>
      <w:r w:rsidR="00D62ACD">
        <w:t xml:space="preserve">.) </w:t>
      </w:r>
      <w:r w:rsidR="000469DA">
        <w:t xml:space="preserve"> </w:t>
      </w:r>
      <w:r w:rsidR="00E73499">
        <w:t>The trial court declined to charge husband with the value of the missing assets</w:t>
      </w:r>
      <w:r w:rsidR="00331501">
        <w:t xml:space="preserve"> (</w:t>
      </w:r>
      <w:r w:rsidRPr="00331501" w:rsidR="00331501">
        <w:rPr>
          <w:i/>
          <w:iCs/>
        </w:rPr>
        <w:t>id</w:t>
      </w:r>
      <w:r w:rsidR="00331501">
        <w:t>. at p. 1257)</w:t>
      </w:r>
      <w:r w:rsidR="00E73499">
        <w:t xml:space="preserve">, and </w:t>
      </w:r>
      <w:r w:rsidR="00D5205D">
        <w:t xml:space="preserve">the Court of Appeal </w:t>
      </w:r>
      <w:r w:rsidR="00E73499">
        <w:t xml:space="preserve">reversed. It </w:t>
      </w:r>
      <w:r>
        <w:t xml:space="preserve">held that </w:t>
      </w:r>
      <w:r w:rsidR="00C07865">
        <w:t xml:space="preserve">a complete retrial </w:t>
      </w:r>
      <w:r w:rsidR="00D15E0C">
        <w:t xml:space="preserve">of the community property issues </w:t>
      </w:r>
      <w:r w:rsidR="00C07865">
        <w:t>was warranted</w:t>
      </w:r>
      <w:r w:rsidR="00D15E0C">
        <w:t xml:space="preserve"> due to the trial court’s erroneous placement of the burden of proof </w:t>
      </w:r>
      <w:r w:rsidR="0076213A">
        <w:t xml:space="preserve">on wife rather than husband </w:t>
      </w:r>
      <w:r w:rsidR="00C07865">
        <w:t>to account for the missing assets.</w:t>
      </w:r>
      <w:r w:rsidR="00B5511A">
        <w:t xml:space="preserve">  (</w:t>
      </w:r>
      <w:r w:rsidRPr="00336DA3" w:rsidR="00B5511A">
        <w:rPr>
          <w:i/>
        </w:rPr>
        <w:t>Id</w:t>
      </w:r>
      <w:r w:rsidR="00B5511A">
        <w:t>. at p.</w:t>
      </w:r>
      <w:r w:rsidR="000469DA">
        <w:t> </w:t>
      </w:r>
      <w:r w:rsidR="003B560C">
        <w:t>1280</w:t>
      </w:r>
      <w:r w:rsidR="00336DA3">
        <w:t>.</w:t>
      </w:r>
      <w:r w:rsidR="003B560C">
        <w:t>)</w:t>
      </w:r>
    </w:p>
    <w:p w:rsidR="00E242F4" w:rsidRPr="00A00167" w:rsidP="00A00167" w14:paraId="3E1CCCE4" w14:textId="7739C427">
      <w:pPr>
        <w:keepNext/>
        <w:jc w:val="center"/>
        <w:rPr>
          <w:b/>
        </w:rPr>
      </w:pPr>
      <w:r w:rsidRPr="00697145">
        <w:rPr>
          <w:b/>
        </w:rPr>
        <w:t>I</w:t>
      </w:r>
      <w:r>
        <w:rPr>
          <w:b/>
        </w:rPr>
        <w:t>I</w:t>
      </w:r>
      <w:r w:rsidRPr="00697145">
        <w:rPr>
          <w:b/>
        </w:rPr>
        <w:t>.</w:t>
      </w:r>
    </w:p>
    <w:p w:rsidR="003C5E79" w:rsidP="00B449DC" w14:paraId="78837FA6" w14:textId="39597E19">
      <w:pPr>
        <w:ind w:firstLine="720"/>
      </w:pPr>
      <w:r>
        <w:t>The parties</w:t>
      </w:r>
      <w:r w:rsidR="00662483">
        <w:t>, who had an arranged marriage,</w:t>
      </w:r>
      <w:r>
        <w:t xml:space="preserve"> are Iranian immigrants.</w:t>
      </w:r>
      <w:r w:rsidR="00B230BF">
        <w:t xml:space="preserve"> </w:t>
      </w:r>
      <w:r w:rsidR="00FC3B7D">
        <w:t xml:space="preserve"> </w:t>
      </w:r>
      <w:r>
        <w:t xml:space="preserve">They married in Iran </w:t>
      </w:r>
      <w:r w:rsidR="0005610A">
        <w:t xml:space="preserve">while Laleh </w:t>
      </w:r>
      <w:r w:rsidR="00563303">
        <w:t>was still residing there</w:t>
      </w:r>
      <w:r w:rsidR="00FC3B7D">
        <w:t xml:space="preserve"> (in </w:t>
      </w:r>
      <w:r w:rsidR="009D1E02">
        <w:t xml:space="preserve">June </w:t>
      </w:r>
      <w:r w:rsidR="00FC3B7D">
        <w:t>2001)</w:t>
      </w:r>
      <w:r w:rsidR="00563303">
        <w:t>,</w:t>
      </w:r>
      <w:r w:rsidR="002F7CEB">
        <w:t xml:space="preserve"> and then settled in California where they raised a family. </w:t>
      </w:r>
      <w:r w:rsidR="005D5FDD">
        <w:t xml:space="preserve"> </w:t>
      </w:r>
      <w:r w:rsidR="009D1E02">
        <w:t>They</w:t>
      </w:r>
      <w:r w:rsidR="00176550">
        <w:t xml:space="preserve"> separated approximately </w:t>
      </w:r>
      <w:r w:rsidR="003E50BB">
        <w:t>12</w:t>
      </w:r>
      <w:r w:rsidR="00176550">
        <w:t xml:space="preserve"> years later, in October</w:t>
      </w:r>
      <w:r w:rsidR="003E50BB">
        <w:t> </w:t>
      </w:r>
      <w:r w:rsidR="00176550">
        <w:t xml:space="preserve">2013. </w:t>
      </w:r>
    </w:p>
    <w:p w:rsidR="003F0266" w:rsidP="00B449DC" w14:paraId="68FB9969" w14:textId="4D292164">
      <w:pPr>
        <w:ind w:firstLine="720"/>
      </w:pPr>
      <w:r>
        <w:t xml:space="preserve">According to the trial court’s findings, </w:t>
      </w:r>
      <w:r w:rsidR="003F0768">
        <w:t>Laleh grew up in an affluent family in Iran and was accustomed to a high standard of living</w:t>
      </w:r>
      <w:r>
        <w:t xml:space="preserve">. </w:t>
      </w:r>
      <w:r w:rsidR="00B230BF">
        <w:t xml:space="preserve"> </w:t>
      </w:r>
      <w:r w:rsidR="003A32B1">
        <w:t>Ramin misled her about his wealth and the lifestyle she would enjoy if she married him</w:t>
      </w:r>
      <w:r w:rsidR="008E52D1">
        <w:t xml:space="preserve"> and moved to the U.S., which </w:t>
      </w:r>
      <w:r w:rsidR="00D859E7">
        <w:t>made her b</w:t>
      </w:r>
      <w:r w:rsidR="008E52D1">
        <w:t xml:space="preserve">itter. </w:t>
      </w:r>
      <w:r w:rsidR="00595D74">
        <w:t xml:space="preserve"> According to the trial court, “a continuing theme in the household was [her] disappointment</w:t>
      </w:r>
      <w:r w:rsidR="006B6482">
        <w:t xml:space="preserve"> in the wealth and earnings” of her husband. </w:t>
      </w:r>
      <w:r w:rsidR="00B230BF">
        <w:t xml:space="preserve"> </w:t>
      </w:r>
      <w:r w:rsidR="00470FEC">
        <w:t>During the marriage</w:t>
      </w:r>
      <w:r w:rsidR="009F5604">
        <w:t xml:space="preserve">, </w:t>
      </w:r>
      <w:r w:rsidR="00470FEC">
        <w:t>t</w:t>
      </w:r>
      <w:r w:rsidR="006B6482">
        <w:t xml:space="preserve">he couple was living </w:t>
      </w:r>
      <w:r w:rsidR="00D859E7">
        <w:t xml:space="preserve">well </w:t>
      </w:r>
      <w:r w:rsidR="00470FEC">
        <w:t xml:space="preserve">above their means, through large cash infusions from Iran.  </w:t>
      </w:r>
      <w:r w:rsidR="00DD147D">
        <w:t xml:space="preserve">Also, Ramin was very controlling regarding money. </w:t>
      </w:r>
      <w:r w:rsidR="00E6444C">
        <w:t xml:space="preserve"> Laleh often encouraged him to make investments to </w:t>
      </w:r>
      <w:r w:rsidR="002974B9">
        <w:t>improve their financial situation</w:t>
      </w:r>
      <w:r w:rsidR="00C932C6">
        <w:t xml:space="preserve">, and </w:t>
      </w:r>
      <w:r w:rsidR="00E955D6">
        <w:t xml:space="preserve">the trial court found </w:t>
      </w:r>
      <w:r w:rsidR="00C932C6">
        <w:t xml:space="preserve">they were both willing to </w:t>
      </w:r>
      <w:r w:rsidR="00F10B60">
        <w:t xml:space="preserve">make risky investments to </w:t>
      </w:r>
      <w:r w:rsidR="00E73F31">
        <w:t>yield high returns</w:t>
      </w:r>
      <w:r w:rsidR="00EF735E">
        <w:t xml:space="preserve">, including </w:t>
      </w:r>
      <w:r w:rsidR="008C5AE1">
        <w:t xml:space="preserve">by </w:t>
      </w:r>
      <w:r w:rsidR="00EF735E">
        <w:t xml:space="preserve">sending funds to Iran </w:t>
      </w:r>
      <w:r w:rsidR="00812415">
        <w:t xml:space="preserve">for investment. </w:t>
      </w:r>
      <w:r w:rsidR="00E73F31">
        <w:t xml:space="preserve"> </w:t>
      </w:r>
    </w:p>
    <w:p w:rsidR="00D81074" w:rsidP="00B449DC" w14:paraId="39C78B15" w14:textId="3DF2C741">
      <w:pPr>
        <w:ind w:firstLine="720"/>
      </w:pPr>
      <w:r>
        <w:t xml:space="preserve">Both during the marriage and after separation, Laleh </w:t>
      </w:r>
      <w:r w:rsidR="00EC1B51">
        <w:t>transferred money to and from Iran through</w:t>
      </w:r>
      <w:r w:rsidR="00F62AA0">
        <w:t xml:space="preserve"> a method called “Havaleh,”</w:t>
      </w:r>
      <w:r w:rsidR="00EC1B51">
        <w:t xml:space="preserve"> an informal network of </w:t>
      </w:r>
      <w:r w:rsidR="00F62AA0">
        <w:t xml:space="preserve">individuals </w:t>
      </w:r>
      <w:r w:rsidR="00DD01AA">
        <w:t>who cooperated in transferring or receiving money</w:t>
      </w:r>
      <w:r w:rsidR="00F35ACB">
        <w:t xml:space="preserve"> to </w:t>
      </w:r>
      <w:r w:rsidR="00166A57">
        <w:t>and</w:t>
      </w:r>
      <w:r w:rsidR="00F35ACB">
        <w:t xml:space="preserve"> from Iran</w:t>
      </w:r>
      <w:r w:rsidR="00DD01AA">
        <w:t xml:space="preserve"> as intermediaries</w:t>
      </w:r>
      <w:r w:rsidR="00F35ACB">
        <w:t xml:space="preserve"> </w:t>
      </w:r>
      <w:r w:rsidR="001F5876">
        <w:t xml:space="preserve">without </w:t>
      </w:r>
      <w:r w:rsidR="00F35ACB">
        <w:t>direct wire transfers</w:t>
      </w:r>
      <w:r w:rsidR="00AC3889">
        <w:t>,</w:t>
      </w:r>
      <w:r w:rsidR="00F35ACB">
        <w:t xml:space="preserve"> </w:t>
      </w:r>
      <w:r w:rsidR="001F5876">
        <w:t>to</w:t>
      </w:r>
      <w:r w:rsidR="005D4550">
        <w:t xml:space="preserve"> evade</w:t>
      </w:r>
      <w:r w:rsidR="00F35ACB">
        <w:t xml:space="preserve"> international sanctions.</w:t>
      </w:r>
      <w:r w:rsidR="001F5876">
        <w:t xml:space="preserve"> </w:t>
      </w:r>
      <w:r w:rsidR="00B230BF">
        <w:t xml:space="preserve"> </w:t>
      </w:r>
    </w:p>
    <w:p w:rsidR="00767A36" w:rsidP="003E5EF1" w14:paraId="3F946947" w14:textId="4B833E22">
      <w:pPr>
        <w:ind w:firstLine="720"/>
      </w:pPr>
      <w:r>
        <w:t xml:space="preserve">Laleh </w:t>
      </w:r>
      <w:r w:rsidR="00CD20F3">
        <w:t>relied on her brother</w:t>
      </w:r>
      <w:r w:rsidR="005B0DCF">
        <w:t>, Ali, who was a successful businessman in Iran, t</w:t>
      </w:r>
      <w:r w:rsidR="00852A5C">
        <w:t xml:space="preserve">o </w:t>
      </w:r>
      <w:r w:rsidR="005D5E93">
        <w:t>conduct</w:t>
      </w:r>
      <w:r w:rsidR="00852A5C">
        <w:t xml:space="preserve"> her financial affairs in Iran. </w:t>
      </w:r>
      <w:r w:rsidR="00B230BF">
        <w:t xml:space="preserve"> </w:t>
      </w:r>
      <w:r w:rsidR="00F47A75">
        <w:t xml:space="preserve">The two spoke almost daily. </w:t>
      </w:r>
      <w:r w:rsidR="00F1211B">
        <w:t xml:space="preserve"> Laleh testified </w:t>
      </w:r>
      <w:r w:rsidR="00077350">
        <w:t xml:space="preserve">that when she got married, </w:t>
      </w:r>
      <w:r w:rsidR="00F1211B">
        <w:t xml:space="preserve">she had given </w:t>
      </w:r>
      <w:r w:rsidR="00065EBF">
        <w:t>her brother</w:t>
      </w:r>
      <w:r w:rsidR="00077350">
        <w:t xml:space="preserve"> a</w:t>
      </w:r>
      <w:r w:rsidR="00F1211B">
        <w:t xml:space="preserve"> full power of attorney to </w:t>
      </w:r>
      <w:r w:rsidR="0099182B">
        <w:t xml:space="preserve">do “anything” to </w:t>
      </w:r>
      <w:r w:rsidR="00F1211B">
        <w:t xml:space="preserve">act on her behalf </w:t>
      </w:r>
      <w:r w:rsidR="0099182B">
        <w:t>in Iran</w:t>
      </w:r>
      <w:r w:rsidR="00077350">
        <w:t xml:space="preserve">. </w:t>
      </w:r>
      <w:r w:rsidR="00634132">
        <w:t xml:space="preserve"> She trusted him “110 percent”</w:t>
      </w:r>
      <w:r w:rsidR="0089285B">
        <w:t xml:space="preserve"> and he would do anything she asked of him. </w:t>
      </w:r>
      <w:r w:rsidR="00B230BF">
        <w:t xml:space="preserve"> </w:t>
      </w:r>
    </w:p>
    <w:p w:rsidR="006128F4" w:rsidP="003E5EF1" w14:paraId="1CE1CFA3" w14:textId="37C95E29">
      <w:pPr>
        <w:ind w:firstLine="720"/>
      </w:pPr>
      <w:r>
        <w:t>She</w:t>
      </w:r>
      <w:r w:rsidR="00234A82">
        <w:t xml:space="preserve"> testified that during the marriage, Ali opened a joint bank account for the couple in Iran to facilitate their investments there.  </w:t>
      </w:r>
      <w:r w:rsidR="000F122A">
        <w:t xml:space="preserve">She also testified her brother </w:t>
      </w:r>
      <w:r w:rsidR="00452B10">
        <w:t xml:space="preserve">probably showed </w:t>
      </w:r>
      <w:r w:rsidR="00BE5814">
        <w:t xml:space="preserve">her </w:t>
      </w:r>
      <w:r w:rsidR="00FC6D54">
        <w:t>banking statements for the account while she was in Iran</w:t>
      </w:r>
      <w:r w:rsidR="00221A0B">
        <w:t xml:space="preserve">, or </w:t>
      </w:r>
      <w:r w:rsidR="00732ED4">
        <w:t>a checkbook for the account</w:t>
      </w:r>
      <w:r w:rsidR="00987704">
        <w:t xml:space="preserve">, listing its deposits. </w:t>
      </w:r>
    </w:p>
    <w:p w:rsidR="004300CF" w:rsidP="001F25D3" w14:paraId="27582954" w14:textId="432E209D">
      <w:pPr>
        <w:ind w:firstLine="720"/>
      </w:pPr>
      <w:r>
        <w:t>In June 2007,</w:t>
      </w:r>
      <w:r w:rsidR="003D3287">
        <w:t xml:space="preserve"> while in Iran, Ramin signed a general power of attorney for Ali at Laleh’s request</w:t>
      </w:r>
      <w:r w:rsidR="00B82513">
        <w:t xml:space="preserve">, </w:t>
      </w:r>
      <w:r w:rsidR="00223A19">
        <w:t>to manage their</w:t>
      </w:r>
      <w:r w:rsidR="000D75D0">
        <w:t xml:space="preserve"> Iranian</w:t>
      </w:r>
      <w:r w:rsidR="00223A19">
        <w:t xml:space="preserve"> </w:t>
      </w:r>
      <w:r w:rsidR="000D75D0">
        <w:t xml:space="preserve">joint bank account and </w:t>
      </w:r>
      <w:r w:rsidR="00223A19">
        <w:t>real estate investments</w:t>
      </w:r>
      <w:r w:rsidR="003D3287">
        <w:t>.</w:t>
      </w:r>
      <w:r>
        <w:rPr>
          <w:rStyle w:val="FootnoteReference"/>
        </w:rPr>
        <w:footnoteReference w:id="3"/>
      </w:r>
      <w:r w:rsidR="003D3287">
        <w:t xml:space="preserve"> </w:t>
      </w:r>
      <w:r w:rsidR="006B565D">
        <w:t xml:space="preserve"> </w:t>
      </w:r>
    </w:p>
    <w:p w:rsidR="00CB42B2" w:rsidP="00F77C79" w14:paraId="704A7E30" w14:textId="09517080">
      <w:pPr>
        <w:ind w:firstLine="720"/>
      </w:pPr>
      <w:r>
        <w:t>Ramin testified Laleh told him she trusted her brother and so “we asked him to do everything.”</w:t>
      </w:r>
      <w:r w:rsidR="00B230BF">
        <w:t xml:space="preserve"> </w:t>
      </w:r>
      <w:r>
        <w:t xml:space="preserve"> He also testified Laleh and her brother spoke almost daily, they managed the couple’s investments in Iran and “I was told upfront hands off.” </w:t>
      </w:r>
    </w:p>
    <w:p w:rsidR="00A12C8E" w:rsidP="00683F19" w14:paraId="7F895313" w14:textId="5E31DAC0">
      <w:pPr>
        <w:ind w:firstLine="720"/>
      </w:pPr>
      <w:r>
        <w:t xml:space="preserve">In 2007, while in Iran, Ramin </w:t>
      </w:r>
      <w:r w:rsidR="002536BF">
        <w:t xml:space="preserve">received proceeds from the sale of real estate he inherited from his father and </w:t>
      </w:r>
      <w:r w:rsidR="00CB1A15">
        <w:t xml:space="preserve">at trial he </w:t>
      </w:r>
      <w:r w:rsidR="009A3EAF">
        <w:t xml:space="preserve">testified he </w:t>
      </w:r>
      <w:r>
        <w:t xml:space="preserve">gave Laleh a check </w:t>
      </w:r>
      <w:r w:rsidR="00316E12">
        <w:t xml:space="preserve">for the proceeds </w:t>
      </w:r>
      <w:r>
        <w:t>to deposit into their Iranian bank account</w:t>
      </w:r>
      <w:r w:rsidR="002536BF">
        <w:t xml:space="preserve">. </w:t>
      </w:r>
      <w:r w:rsidR="00B230BF">
        <w:t xml:space="preserve"> </w:t>
      </w:r>
      <w:r w:rsidR="00A12915">
        <w:t xml:space="preserve">The parties agree that the inheritance </w:t>
      </w:r>
      <w:r w:rsidR="00316E12">
        <w:t>was</w:t>
      </w:r>
      <w:r w:rsidR="00A12915">
        <w:t xml:space="preserve"> around $170,000.</w:t>
      </w:r>
      <w:r w:rsidR="00B230BF">
        <w:t xml:space="preserve"> </w:t>
      </w:r>
      <w:r w:rsidR="00297C2C">
        <w:t xml:space="preserve"> </w:t>
      </w:r>
      <w:r w:rsidR="00E00028">
        <w:t xml:space="preserve">Ramin testified </w:t>
      </w:r>
      <w:r w:rsidR="00F25DAA">
        <w:t xml:space="preserve">the two had </w:t>
      </w:r>
      <w:r w:rsidR="007800D5">
        <w:t>agreed</w:t>
      </w:r>
      <w:r w:rsidR="00F25DAA">
        <w:t xml:space="preserve"> </w:t>
      </w:r>
      <w:r w:rsidR="007800D5">
        <w:t>to use his inheritance</w:t>
      </w:r>
      <w:r w:rsidR="00F25DAA">
        <w:t xml:space="preserve"> to buy real estate in Iran</w:t>
      </w:r>
      <w:r w:rsidR="0074160E">
        <w:t xml:space="preserve">, </w:t>
      </w:r>
      <w:r w:rsidR="00213118">
        <w:t xml:space="preserve">and that Laleh told him that this </w:t>
      </w:r>
      <w:r w:rsidR="0074231F">
        <w:t xml:space="preserve">was </w:t>
      </w:r>
      <w:r w:rsidR="00213118">
        <w:t>what happened with the money</w:t>
      </w:r>
      <w:r w:rsidR="006F7F6D">
        <w:t>.</w:t>
      </w:r>
      <w:r w:rsidR="00213118">
        <w:t xml:space="preserve"> </w:t>
      </w:r>
      <w:r w:rsidR="006F7F6D">
        <w:t xml:space="preserve"> He testified </w:t>
      </w:r>
      <w:r w:rsidR="001739A7">
        <w:t xml:space="preserve">they chose to buy a </w:t>
      </w:r>
      <w:r w:rsidR="006F7F6D">
        <w:t xml:space="preserve">high-end apartment </w:t>
      </w:r>
      <w:r w:rsidR="001739A7">
        <w:t xml:space="preserve">complex </w:t>
      </w:r>
      <w:r w:rsidR="006F7F6D">
        <w:t>in Tehran</w:t>
      </w:r>
      <w:r w:rsidR="001739A7">
        <w:t xml:space="preserve"> for about $350,000, she told him they</w:t>
      </w:r>
      <w:r w:rsidR="006F7F6D">
        <w:t xml:space="preserve"> </w:t>
      </w:r>
      <w:r w:rsidR="001739A7">
        <w:t>did so</w:t>
      </w:r>
      <w:r w:rsidR="00E852F3">
        <w:t xml:space="preserve">, </w:t>
      </w:r>
      <w:r w:rsidR="0027115A">
        <w:t xml:space="preserve">and told him they took </w:t>
      </w:r>
      <w:r w:rsidR="00E852F3">
        <w:t>the property in their joint name</w:t>
      </w:r>
      <w:r w:rsidR="0027115A">
        <w:t>s</w:t>
      </w:r>
      <w:r w:rsidR="006F7F6D">
        <w:t>.</w:t>
      </w:r>
      <w:r>
        <w:rPr>
          <w:rStyle w:val="FootnoteReference"/>
        </w:rPr>
        <w:footnoteReference w:id="4"/>
      </w:r>
      <w:r w:rsidR="006F7F6D">
        <w:t xml:space="preserve"> </w:t>
      </w:r>
      <w:r w:rsidR="00D560C0">
        <w:t xml:space="preserve"> </w:t>
      </w:r>
      <w:r w:rsidR="0027115A">
        <w:t>Ramin</w:t>
      </w:r>
      <w:r w:rsidR="00DD1681">
        <w:t xml:space="preserve"> also testified Laleh eventually told him </w:t>
      </w:r>
      <w:r w:rsidR="00A24571">
        <w:t>their investment</w:t>
      </w:r>
      <w:r w:rsidR="00DD1681">
        <w:t xml:space="preserve"> </w:t>
      </w:r>
      <w:r w:rsidR="0027115A">
        <w:t xml:space="preserve">had been profitable enough </w:t>
      </w:r>
      <w:r w:rsidR="00DD1681">
        <w:t>to</w:t>
      </w:r>
      <w:r w:rsidR="0027115A">
        <w:t xml:space="preserve"> fund the purchase of </w:t>
      </w:r>
      <w:r w:rsidR="00DD1681">
        <w:t>a second rental property in Iran</w:t>
      </w:r>
      <w:r w:rsidR="00232F58">
        <w:t xml:space="preserve">, and that </w:t>
      </w:r>
      <w:r w:rsidR="001D626E">
        <w:t xml:space="preserve">“I think </w:t>
      </w:r>
      <w:r w:rsidR="009558B1">
        <w:t xml:space="preserve">she had </w:t>
      </w:r>
      <w:r w:rsidR="001D626E">
        <w:t xml:space="preserve">her brother </w:t>
      </w:r>
      <w:r w:rsidR="009558B1">
        <w:t xml:space="preserve">do everything” in connection with that transaction including </w:t>
      </w:r>
      <w:r w:rsidR="000C5750">
        <w:t>finding</w:t>
      </w:r>
      <w:r w:rsidR="009558B1">
        <w:t xml:space="preserve"> the </w:t>
      </w:r>
      <w:r w:rsidR="000C5750">
        <w:t xml:space="preserve">second </w:t>
      </w:r>
      <w:r w:rsidR="009558B1">
        <w:t>property</w:t>
      </w:r>
      <w:r w:rsidR="000C5750">
        <w:t xml:space="preserve"> to buy</w:t>
      </w:r>
      <w:r w:rsidR="00DD1681">
        <w:t xml:space="preserve">. </w:t>
      </w:r>
      <w:r w:rsidR="00A24571">
        <w:t xml:space="preserve"> </w:t>
      </w:r>
      <w:r w:rsidR="0027115A">
        <w:t xml:space="preserve">His account was corroborated </w:t>
      </w:r>
      <w:r w:rsidR="003D5330">
        <w:t>general</w:t>
      </w:r>
      <w:r w:rsidR="006C061C">
        <w:t>ly</w:t>
      </w:r>
      <w:r w:rsidR="003D5330">
        <w:t xml:space="preserve"> </w:t>
      </w:r>
      <w:r w:rsidR="0027115A">
        <w:t xml:space="preserve">by a friend of Laleh’s of nearly 20 years, who testified about conversations she had with Laleh about Laleh’s financial complaints, the disposition of Ramin’s inheritance proceeds and the couple’s Iranian real estate holdings.  </w:t>
      </w:r>
      <w:r w:rsidR="002720A2">
        <w:t xml:space="preserve">At trial, Laleh acknowledged she “might have been” in Iran when Ramin sold the inherited properties and </w:t>
      </w:r>
      <w:r w:rsidR="00683F19">
        <w:t xml:space="preserve">that she </w:t>
      </w:r>
      <w:r w:rsidR="002720A2">
        <w:t xml:space="preserve">wanted him to invest the proceeds in Iranian real estate.  But she denied receiving a check </w:t>
      </w:r>
      <w:r w:rsidR="00683F19">
        <w:t xml:space="preserve">for the </w:t>
      </w:r>
      <w:r w:rsidR="0027115A">
        <w:t xml:space="preserve">inheritance </w:t>
      </w:r>
      <w:r w:rsidR="00683F19">
        <w:t xml:space="preserve">proceeds </w:t>
      </w:r>
      <w:r w:rsidR="002720A2">
        <w:t xml:space="preserve">from Ramin, </w:t>
      </w:r>
      <w:r w:rsidR="0027115A">
        <w:t>claimed she did not know</w:t>
      </w:r>
      <w:r w:rsidR="002720A2">
        <w:t xml:space="preserve"> what happened to the inheritance money and gave evasive answers when questioned. </w:t>
      </w:r>
      <w:r w:rsidR="00683F19">
        <w:t xml:space="preserve"> </w:t>
      </w:r>
      <w:r w:rsidR="00D560C0">
        <w:t>According to the trial court’s statement of decision, “</w:t>
      </w:r>
      <w:r w:rsidR="003E50BB">
        <w:t>[</w:t>
      </w:r>
      <w:r w:rsidR="00D560C0">
        <w:t>t</w:t>
      </w:r>
      <w:r w:rsidR="003E50BB">
        <w:t>]</w:t>
      </w:r>
      <w:r w:rsidR="00D560C0">
        <w:t xml:space="preserve">here is no credible and convincing evidence as to what exactly happened to the inheritance after 2007 or 2008.” </w:t>
      </w:r>
      <w:r w:rsidR="00EB01AB">
        <w:t xml:space="preserve"> The trial court also made a finding </w:t>
      </w:r>
      <w:r w:rsidR="0015125B">
        <w:t>Laleh</w:t>
      </w:r>
      <w:r w:rsidR="0027115A">
        <w:t xml:space="preserve"> had</w:t>
      </w:r>
      <w:r w:rsidR="00EB01AB">
        <w:t xml:space="preserve"> </w:t>
      </w:r>
      <w:r w:rsidR="00CC22A6">
        <w:t xml:space="preserve">no “plan” </w:t>
      </w:r>
      <w:r w:rsidR="00441D88">
        <w:t xml:space="preserve">to steal Ramin’s inheritance. </w:t>
      </w:r>
    </w:p>
    <w:p w:rsidR="00827C63" w:rsidP="00B449DC" w14:paraId="764F3A51" w14:textId="00C4484F">
      <w:pPr>
        <w:ind w:firstLine="720"/>
      </w:pPr>
      <w:r>
        <w:t xml:space="preserve">In </w:t>
      </w:r>
      <w:r w:rsidR="004E174D">
        <w:t>2008</w:t>
      </w:r>
      <w:r w:rsidR="003C3C21">
        <w:t xml:space="preserve">, </w:t>
      </w:r>
      <w:r w:rsidR="00036F9F">
        <w:t xml:space="preserve">the couple </w:t>
      </w:r>
      <w:r w:rsidR="001F25D3">
        <w:t>withdrew</w:t>
      </w:r>
      <w:r w:rsidR="00152D35">
        <w:t xml:space="preserve"> </w:t>
      </w:r>
      <w:r w:rsidR="00036F9F">
        <w:t xml:space="preserve">between $130,000 and $150,000 </w:t>
      </w:r>
      <w:r w:rsidR="00152D35">
        <w:t xml:space="preserve">from a </w:t>
      </w:r>
      <w:r w:rsidR="003E50BB">
        <w:t>HELOC</w:t>
      </w:r>
      <w:r w:rsidR="00152D35">
        <w:t xml:space="preserve"> and sent the funds to</w:t>
      </w:r>
      <w:r w:rsidR="008B0B25">
        <w:t xml:space="preserve"> Laleh’s brother in</w:t>
      </w:r>
      <w:r w:rsidR="00152D35">
        <w:t xml:space="preserve"> Iran.</w:t>
      </w:r>
      <w:r w:rsidR="00B230BF">
        <w:t xml:space="preserve"> </w:t>
      </w:r>
      <w:r w:rsidR="00152D35">
        <w:t xml:space="preserve"> </w:t>
      </w:r>
      <w:r w:rsidR="005F54E5">
        <w:t xml:space="preserve">Laleh signed </w:t>
      </w:r>
      <w:r w:rsidR="008B0B25">
        <w:t xml:space="preserve">the </w:t>
      </w:r>
      <w:r w:rsidR="00DC221F">
        <w:t>paperwork to do this, and the parties disputed whether it was done with Ramin’s knowledge.</w:t>
      </w:r>
      <w:r>
        <w:rPr>
          <w:rStyle w:val="FootnoteReference"/>
        </w:rPr>
        <w:footnoteReference w:id="5"/>
      </w:r>
      <w:r w:rsidR="00DC221F">
        <w:t xml:space="preserve"> </w:t>
      </w:r>
      <w:r w:rsidR="003257A2">
        <w:t xml:space="preserve"> </w:t>
      </w:r>
      <w:r w:rsidR="00697D73">
        <w:t>The trial court resolve</w:t>
      </w:r>
      <w:r w:rsidR="00C5144C">
        <w:t>d</w:t>
      </w:r>
      <w:r w:rsidR="00697D73">
        <w:t xml:space="preserve"> the dispute in Laleh’s favor, finding that</w:t>
      </w:r>
      <w:r w:rsidR="00C5144C">
        <w:t xml:space="preserve"> “[t]he HELOC loan proceeds were sent to Iran for investment with the knowledge of both parties.”  It</w:t>
      </w:r>
      <w:r w:rsidR="003257A2">
        <w:t xml:space="preserve"> made no findings concerning the </w:t>
      </w:r>
      <w:r w:rsidR="00C5144C">
        <w:t xml:space="preserve">ultimate </w:t>
      </w:r>
      <w:r w:rsidR="003257A2">
        <w:t xml:space="preserve">disposition </w:t>
      </w:r>
      <w:r w:rsidR="0074231F">
        <w:t xml:space="preserve">of </w:t>
      </w:r>
      <w:r w:rsidR="003257A2">
        <w:t>the HELOC proceeds</w:t>
      </w:r>
      <w:r w:rsidR="00C5144C">
        <w:t>, however,</w:t>
      </w:r>
      <w:r w:rsidR="003257A2">
        <w:t xml:space="preserve"> </w:t>
      </w:r>
      <w:r w:rsidR="00C5144C">
        <w:t>ruling</w:t>
      </w:r>
      <w:r w:rsidR="003257A2">
        <w:t xml:space="preserve"> that “[t]here is no credible evidence as to what happened to the funds in the [Iranian] bank account after 2007 or 2008.” </w:t>
      </w:r>
    </w:p>
    <w:p w:rsidR="003B37F0" w:rsidP="003B37F0" w14:paraId="12E85604" w14:textId="4D123904">
      <w:pPr>
        <w:ind w:firstLine="720"/>
      </w:pPr>
      <w:r>
        <w:t xml:space="preserve">As noted, the parties separated in October 2013. </w:t>
      </w:r>
      <w:r w:rsidR="00B230BF">
        <w:t xml:space="preserve"> </w:t>
      </w:r>
      <w:r w:rsidR="007E63AD">
        <w:t xml:space="preserve">When Laleh left their marital residence in a few months later (in February 2014), </w:t>
      </w:r>
      <w:r w:rsidR="00831DE0">
        <w:t>Ramin discovered that the file folder c</w:t>
      </w:r>
      <w:r w:rsidR="00E5608F">
        <w:t>ontaining all of the records of their Iranian investments</w:t>
      </w:r>
      <w:r w:rsidR="00246EE7">
        <w:t xml:space="preserve"> was missing</w:t>
      </w:r>
      <w:r w:rsidR="00E5608F">
        <w:t xml:space="preserve">. </w:t>
      </w:r>
      <w:r w:rsidR="00246EE7">
        <w:t xml:space="preserve"> </w:t>
      </w:r>
      <w:r w:rsidR="00E852F3">
        <w:t>Around the time they separated, he</w:t>
      </w:r>
      <w:r>
        <w:t xml:space="preserve"> asked Laleh </w:t>
      </w:r>
      <w:r w:rsidR="00E852F3">
        <w:t xml:space="preserve">what happened to the </w:t>
      </w:r>
      <w:r w:rsidR="00F351DB">
        <w:t>Iranian assets and she told him, “</w:t>
      </w:r>
      <w:r w:rsidR="003E50BB">
        <w:t xml:space="preserve"> ‘</w:t>
      </w:r>
      <w:r w:rsidR="00F351DB">
        <w:t>Do not ask about the money.  There’s no more money in Iran.</w:t>
      </w:r>
      <w:r w:rsidR="003E50BB">
        <w:t xml:space="preserve">’ </w:t>
      </w:r>
      <w:r w:rsidR="00F351DB">
        <w:t xml:space="preserve">” </w:t>
      </w:r>
    </w:p>
    <w:p w:rsidR="003B37F0" w:rsidP="003B37F0" w14:paraId="52FFCDC7" w14:textId="569DD282">
      <w:pPr>
        <w:ind w:firstLine="720"/>
      </w:pPr>
      <w:r>
        <w:t>He then</w:t>
      </w:r>
      <w:r w:rsidR="00246EE7">
        <w:t xml:space="preserve"> undertook efforts </w:t>
      </w:r>
      <w:r w:rsidR="0090312C">
        <w:t xml:space="preserve">to obtain information about the Iranian assets that </w:t>
      </w:r>
      <w:r w:rsidR="00246EE7">
        <w:t xml:space="preserve">he </w:t>
      </w:r>
      <w:r w:rsidR="0090312C">
        <w:t xml:space="preserve">testified were </w:t>
      </w:r>
      <w:r w:rsidR="00246EE7">
        <w:t>“extremely painful and time-consuming</w:t>
      </w:r>
      <w:r w:rsidR="00751127">
        <w:t>.</w:t>
      </w:r>
      <w:r w:rsidR="00246EE7">
        <w:t>”</w:t>
      </w:r>
      <w:r w:rsidR="008232DC">
        <w:t xml:space="preserve"> </w:t>
      </w:r>
      <w:r w:rsidR="00B230BF">
        <w:t xml:space="preserve"> </w:t>
      </w:r>
      <w:r w:rsidR="008232DC">
        <w:t>He hired a lawyer</w:t>
      </w:r>
      <w:r w:rsidR="00243194">
        <w:t>, reached out to an uncle in Iran who was able to provide him with a single bank statement</w:t>
      </w:r>
      <w:r w:rsidR="00BA37B5">
        <w:t xml:space="preserve">; and engaged a company </w:t>
      </w:r>
      <w:r w:rsidR="005848AD">
        <w:t>in California</w:t>
      </w:r>
      <w:r w:rsidR="00AC382E">
        <w:t xml:space="preserve"> </w:t>
      </w:r>
      <w:r w:rsidR="005848AD">
        <w:t xml:space="preserve">that assists Iranian expatriates to handle </w:t>
      </w:r>
      <w:r w:rsidR="00661E4C">
        <w:t>their affairs in Iran.</w:t>
      </w:r>
      <w:r w:rsidR="00BA37B5">
        <w:t xml:space="preserve"> </w:t>
      </w:r>
      <w:r w:rsidR="008232DC">
        <w:t xml:space="preserve"> </w:t>
      </w:r>
      <w:r w:rsidR="00120B6F">
        <w:t>The parties do no</w:t>
      </w:r>
      <w:r w:rsidR="0074231F">
        <w:t>t</w:t>
      </w:r>
      <w:r w:rsidR="00120B6F">
        <w:t xml:space="preserve"> specify precisely what information those efforts yielded, but presumably it was minimal. </w:t>
      </w:r>
      <w:r w:rsidR="003E50BB">
        <w:t xml:space="preserve"> </w:t>
      </w:r>
      <w:r w:rsidR="00120B6F">
        <w:t xml:space="preserve">As noted, the trial court </w:t>
      </w:r>
      <w:r w:rsidR="00AA267C">
        <w:t xml:space="preserve">found there was “no credible evidence” as to what happened to the funds. </w:t>
      </w:r>
    </w:p>
    <w:p w:rsidR="00B52908" w:rsidP="00E13AD8" w14:paraId="563D9DFF" w14:textId="1272BCAE">
      <w:pPr>
        <w:ind w:firstLine="720"/>
      </w:pPr>
      <w:r>
        <w:t xml:space="preserve">Laleh’s </w:t>
      </w:r>
      <w:r w:rsidR="00697D73">
        <w:t xml:space="preserve">pretrial </w:t>
      </w:r>
      <w:r w:rsidR="00FC1492">
        <w:t>litigation</w:t>
      </w:r>
      <w:r>
        <w:t xml:space="preserve"> posture was </w:t>
      </w:r>
      <w:r w:rsidR="00697D73">
        <w:t>unhelpful and uninformative</w:t>
      </w:r>
      <w:r>
        <w:t xml:space="preserve">.  </w:t>
      </w:r>
      <w:r w:rsidR="000D3FA8">
        <w:t>In</w:t>
      </w:r>
      <w:r w:rsidR="00045086">
        <w:t xml:space="preserve"> discovery</w:t>
      </w:r>
      <w:r w:rsidR="000D3FA8">
        <w:t xml:space="preserve"> responses</w:t>
      </w:r>
      <w:r w:rsidR="00045086">
        <w:t xml:space="preserve">, </w:t>
      </w:r>
      <w:r>
        <w:t>she</w:t>
      </w:r>
      <w:r w:rsidR="00045086">
        <w:t xml:space="preserve"> denied </w:t>
      </w:r>
      <w:r w:rsidR="000D3FA8">
        <w:t xml:space="preserve">knowing anything about </w:t>
      </w:r>
      <w:r w:rsidR="0074231F">
        <w:t xml:space="preserve">Ramin’s </w:t>
      </w:r>
      <w:r w:rsidR="000D3FA8">
        <w:t>inheritance</w:t>
      </w:r>
      <w:r w:rsidR="00585DB0">
        <w:t xml:space="preserve"> or the HELOC funds.</w:t>
      </w:r>
      <w:r w:rsidR="000D3FA8">
        <w:t xml:space="preserve"> </w:t>
      </w:r>
      <w:r w:rsidR="0079628D">
        <w:t xml:space="preserve"> In deposition, she </w:t>
      </w:r>
      <w:r w:rsidR="00E955D6">
        <w:t>avoided</w:t>
      </w:r>
      <w:r w:rsidR="0079628D">
        <w:t xml:space="preserve"> answer</w:t>
      </w:r>
      <w:r w:rsidR="000D2251">
        <w:t>ing</w:t>
      </w:r>
      <w:r w:rsidR="0079628D">
        <w:t xml:space="preserve"> any questions </w:t>
      </w:r>
      <w:r w:rsidR="004C5CD6">
        <w:t xml:space="preserve">about it. </w:t>
      </w:r>
      <w:r w:rsidR="00D85AC4">
        <w:t xml:space="preserve"> Time and again, both in deposition and later at trial, she </w:t>
      </w:r>
      <w:r w:rsidR="00E85730">
        <w:t xml:space="preserve">just </w:t>
      </w:r>
      <w:r w:rsidR="00D85AC4">
        <w:t>continually insisted</w:t>
      </w:r>
      <w:r w:rsidR="00E85730">
        <w:t xml:space="preserve"> </w:t>
      </w:r>
      <w:r w:rsidR="00697D73">
        <w:t>Ramin</w:t>
      </w:r>
      <w:r w:rsidR="00D85AC4">
        <w:t xml:space="preserve"> owed “a lot of money” to a lot of people in Iran, and owed </w:t>
      </w:r>
      <w:r w:rsidRPr="00D85AC4" w:rsidR="00D85AC4">
        <w:rPr>
          <w:i/>
        </w:rPr>
        <w:t>her</w:t>
      </w:r>
      <w:r w:rsidR="00D85AC4">
        <w:t xml:space="preserve"> $1.5 millio</w:t>
      </w:r>
      <w:r w:rsidR="00515C53">
        <w:t xml:space="preserve">n. </w:t>
      </w:r>
      <w:r w:rsidR="00BA3F97">
        <w:t xml:space="preserve"> Without any notice to Ramin, she </w:t>
      </w:r>
      <w:r w:rsidR="00697D73">
        <w:t>also</w:t>
      </w:r>
      <w:r w:rsidR="00B5578B">
        <w:t xml:space="preserve"> </w:t>
      </w:r>
      <w:r w:rsidR="00BA3F97">
        <w:t xml:space="preserve">obtained a $1.5 million judgment against him in Iran for </w:t>
      </w:r>
      <w:r w:rsidR="003D5330">
        <w:t xml:space="preserve">the </w:t>
      </w:r>
      <w:r w:rsidR="00BA3F97">
        <w:t xml:space="preserve">dowry she claimed he owed her, which prevented him from traveling there anymore because he would be arrested. </w:t>
      </w:r>
    </w:p>
    <w:p w:rsidR="00F3336A" w:rsidP="00F3336A" w14:paraId="1F8612C3" w14:textId="56BD0892">
      <w:pPr>
        <w:ind w:firstLine="720"/>
      </w:pPr>
      <w:r>
        <w:t>In addition, t</w:t>
      </w:r>
      <w:r w:rsidR="00E13AD8">
        <w:t xml:space="preserve">he trial court found </w:t>
      </w:r>
      <w:r w:rsidR="003D5330">
        <w:t>Laleh</w:t>
      </w:r>
      <w:r w:rsidR="00E13AD8">
        <w:t xml:space="preserve"> treated her pretrial </w:t>
      </w:r>
      <w:r w:rsidR="00DE7E63">
        <w:t>finan</w:t>
      </w:r>
      <w:r w:rsidR="00E13AD8">
        <w:t xml:space="preserve">cial disclosures “casually.” </w:t>
      </w:r>
    </w:p>
    <w:p w:rsidR="006B3385" w:rsidP="00F3336A" w14:paraId="6B506DED" w14:textId="3263CD92">
      <w:pPr>
        <w:ind w:firstLine="720"/>
      </w:pPr>
      <w:r>
        <w:t>In February 2014,</w:t>
      </w:r>
      <w:r w:rsidR="005542C3">
        <w:t xml:space="preserve"> several months after the parties separated, </w:t>
      </w:r>
      <w:r>
        <w:t>Laleh served a preliminary disclosure of assets (</w:t>
      </w:r>
      <w:r w:rsidR="00222082">
        <w:t xml:space="preserve">identified at trial as </w:t>
      </w:r>
      <w:r>
        <w:t>Ex</w:t>
      </w:r>
      <w:r w:rsidR="00222082">
        <w:t>hibit</w:t>
      </w:r>
      <w:r>
        <w:t xml:space="preserve"> FFF)</w:t>
      </w:r>
      <w:r w:rsidR="00222082">
        <w:t>.  Among other information,</w:t>
      </w:r>
      <w:r>
        <w:t xml:space="preserve"> </w:t>
      </w:r>
      <w:r w:rsidR="001F1C05">
        <w:t>it</w:t>
      </w:r>
      <w:r w:rsidR="006C5B2B">
        <w:t xml:space="preserve"> </w:t>
      </w:r>
      <w:r>
        <w:t>identif</w:t>
      </w:r>
      <w:r w:rsidR="006C5B2B">
        <w:t>ied</w:t>
      </w:r>
      <w:r>
        <w:t xml:space="preserve"> two houses in Iran purchased during the marriage </w:t>
      </w:r>
      <w:r w:rsidR="00C91C80">
        <w:t>(qualified by the caveat, “</w:t>
      </w:r>
      <w:r w:rsidR="007D5766">
        <w:t>[</w:t>
      </w:r>
      <w:r w:rsidR="00C91C80">
        <w:t>p</w:t>
      </w:r>
      <w:r w:rsidR="007D5766">
        <w:t>]</w:t>
      </w:r>
      <w:r w:rsidR="00C91C80">
        <w:t xml:space="preserve">er </w:t>
      </w:r>
      <w:r w:rsidR="007D5766">
        <w:t>H</w:t>
      </w:r>
      <w:r w:rsidR="00C91C80">
        <w:t xml:space="preserve">.’s </w:t>
      </w:r>
      <w:r w:rsidR="007D5766">
        <w:t>[</w:t>
      </w:r>
      <w:r w:rsidR="00C91C80">
        <w:t>d</w:t>
      </w:r>
      <w:r w:rsidR="007D5766">
        <w:t>]</w:t>
      </w:r>
      <w:r w:rsidR="00C91C80">
        <w:t>iscl</w:t>
      </w:r>
      <w:r w:rsidR="007D5766">
        <w:t>[</w:t>
      </w:r>
      <w:r w:rsidR="00C91C80">
        <w:t>osure</w:t>
      </w:r>
      <w:r w:rsidR="007D5766">
        <w:t>]</w:t>
      </w:r>
      <w:r w:rsidR="00C91C80">
        <w:t xml:space="preserve">”) </w:t>
      </w:r>
      <w:r>
        <w:t>both of which were</w:t>
      </w:r>
      <w:r w:rsidR="006C5B2B">
        <w:t xml:space="preserve"> stated to be</w:t>
      </w:r>
      <w:r>
        <w:t xml:space="preserve"> of “</w:t>
      </w:r>
      <w:r w:rsidR="007D5766">
        <w:t>[</w:t>
      </w:r>
      <w:r>
        <w:t>u</w:t>
      </w:r>
      <w:r w:rsidR="007D5766">
        <w:t>]</w:t>
      </w:r>
      <w:r>
        <w:t xml:space="preserve">nknown” current value.  </w:t>
      </w:r>
      <w:r w:rsidR="001F1C05">
        <w:t>It</w:t>
      </w:r>
      <w:r>
        <w:t xml:space="preserve"> also listed $150,000 in funds from the HELOC that were “placed into interest bearing [account in] Iran” that was</w:t>
      </w:r>
      <w:r w:rsidR="00A3170B">
        <w:t xml:space="preserve"> stated to be</w:t>
      </w:r>
      <w:r>
        <w:t xml:space="preserve"> of “</w:t>
      </w:r>
      <w:r w:rsidR="007D5766">
        <w:t>[</w:t>
      </w:r>
      <w:r>
        <w:t>u</w:t>
      </w:r>
      <w:r w:rsidR="007D5766">
        <w:t>]</w:t>
      </w:r>
      <w:r>
        <w:t>nknown” present value, and $91,000 in “</w:t>
      </w:r>
      <w:r w:rsidR="007D5766">
        <w:t>[</w:t>
      </w:r>
      <w:r>
        <w:t>r</w:t>
      </w:r>
      <w:r w:rsidR="007D5766">
        <w:t>]</w:t>
      </w:r>
      <w:r>
        <w:t xml:space="preserve">ent from </w:t>
      </w:r>
      <w:r w:rsidR="007D5766">
        <w:t>[</w:t>
      </w:r>
      <w:r>
        <w:t>h</w:t>
      </w:r>
      <w:r w:rsidR="007D5766">
        <w:t>]</w:t>
      </w:r>
      <w:r>
        <w:t>ouse in Tehran, Iran”</w:t>
      </w:r>
      <w:r w:rsidR="00A3170B">
        <w:t xml:space="preserve"> (also qualified by the caveat, “</w:t>
      </w:r>
      <w:r w:rsidR="007D5766">
        <w:t>[</w:t>
      </w:r>
      <w:r w:rsidR="00A3170B">
        <w:t>p</w:t>
      </w:r>
      <w:r w:rsidR="007D5766">
        <w:t>]</w:t>
      </w:r>
      <w:r w:rsidR="00A3170B">
        <w:t xml:space="preserve">er H.’s </w:t>
      </w:r>
      <w:r w:rsidR="007D5766">
        <w:t>[</w:t>
      </w:r>
      <w:r w:rsidR="00A3170B">
        <w:t>d</w:t>
      </w:r>
      <w:r w:rsidR="007D5766">
        <w:t>]</w:t>
      </w:r>
      <w:r w:rsidR="00A3170B">
        <w:t>iscl</w:t>
      </w:r>
      <w:r w:rsidR="007D5766">
        <w:t>[</w:t>
      </w:r>
      <w:r w:rsidR="00A3170B">
        <w:t>osure</w:t>
      </w:r>
      <w:r w:rsidR="007D5766">
        <w:t>]</w:t>
      </w:r>
      <w:r w:rsidR="00A3170B">
        <w:t>”).</w:t>
      </w:r>
      <w:r>
        <w:t xml:space="preserve"> </w:t>
      </w:r>
      <w:r w:rsidR="00B230BF">
        <w:t xml:space="preserve"> </w:t>
      </w:r>
      <w:r>
        <w:t>Later i</w:t>
      </w:r>
      <w:r w:rsidRPr="006B3385">
        <w:t xml:space="preserve">n deposition, </w:t>
      </w:r>
      <w:r>
        <w:t xml:space="preserve">however, </w:t>
      </w:r>
      <w:r w:rsidR="00686390">
        <w:t>Laleh</w:t>
      </w:r>
      <w:r w:rsidRPr="006B3385">
        <w:t xml:space="preserve"> testified the signature on </w:t>
      </w:r>
      <w:r w:rsidR="00686390">
        <w:t>this document</w:t>
      </w:r>
      <w:r w:rsidRPr="006B3385">
        <w:t xml:space="preserve"> was not hers, and at trial</w:t>
      </w:r>
      <w:r>
        <w:t xml:space="preserve"> </w:t>
      </w:r>
      <w:r w:rsidRPr="006B3385">
        <w:t xml:space="preserve">she testified </w:t>
      </w:r>
      <w:r w:rsidR="00956E41">
        <w:t>the document</w:t>
      </w:r>
      <w:r w:rsidRPr="006B3385">
        <w:t xml:space="preserve"> </w:t>
      </w:r>
      <w:r w:rsidR="00956E41">
        <w:t xml:space="preserve">was inaccurate because there were no </w:t>
      </w:r>
      <w:r w:rsidR="001D585E">
        <w:t>real estate holdings in Iran.</w:t>
      </w:r>
      <w:r w:rsidRPr="006B3385">
        <w:t xml:space="preserve"> </w:t>
      </w:r>
      <w:r w:rsidR="00B230BF">
        <w:t xml:space="preserve"> </w:t>
      </w:r>
    </w:p>
    <w:p w:rsidR="00563D44" w:rsidP="003A504C" w14:paraId="1017C787" w14:textId="78EAD667">
      <w:r>
        <w:tab/>
        <w:t xml:space="preserve">In December 2014, Laleh disclosed the same information in another schedule of assets (identified at trial as </w:t>
      </w:r>
      <w:r w:rsidR="007A55B4">
        <w:t xml:space="preserve">Trial </w:t>
      </w:r>
      <w:r>
        <w:t xml:space="preserve">Exhibit GGG). </w:t>
      </w:r>
      <w:r w:rsidR="00B230BF">
        <w:t xml:space="preserve"> </w:t>
      </w:r>
      <w:r>
        <w:t xml:space="preserve">She also incorporated the entire December 2014 financial disclosure into answers to interrogatories prepared the same date. </w:t>
      </w:r>
      <w:r w:rsidR="00B230BF">
        <w:t xml:space="preserve"> </w:t>
      </w:r>
      <w:r w:rsidR="003A504C">
        <w:t xml:space="preserve">At trial, however, she again testified that the signature on </w:t>
      </w:r>
      <w:r w:rsidR="00735234">
        <w:t>each of the two</w:t>
      </w:r>
      <w:r w:rsidR="003A504C">
        <w:t xml:space="preserve"> documents </w:t>
      </w:r>
      <w:r w:rsidR="00735234">
        <w:t>was not hers</w:t>
      </w:r>
      <w:r w:rsidR="003A504C">
        <w:t xml:space="preserve"> and that the information about the property in Iran was not accurate</w:t>
      </w:r>
      <w:r w:rsidR="00735234">
        <w:t>.</w:t>
      </w:r>
      <w:r w:rsidR="003A504C">
        <w:t xml:space="preserve"> </w:t>
      </w:r>
    </w:p>
    <w:p w:rsidR="00563D44" w:rsidP="00563D44" w14:paraId="0607F102" w14:textId="6591D4D3">
      <w:pPr>
        <w:ind w:firstLine="720"/>
      </w:pPr>
      <w:r w:rsidRPr="00563D44">
        <w:t>Her attorney prepared a third schedule of assets on March 1, 2019 (</w:t>
      </w:r>
      <w:r>
        <w:t xml:space="preserve">identified at trial as </w:t>
      </w:r>
      <w:r w:rsidR="007A55B4">
        <w:t xml:space="preserve">Trial </w:t>
      </w:r>
      <w:r w:rsidRPr="00563D44">
        <w:t>Ex</w:t>
      </w:r>
      <w:r>
        <w:t>hibit</w:t>
      </w:r>
      <w:r w:rsidRPr="00563D44">
        <w:t xml:space="preserve"> ZZZ)</w:t>
      </w:r>
      <w:r w:rsidR="00515C53">
        <w:t>,</w:t>
      </w:r>
      <w:r w:rsidRPr="00563D44">
        <w:t xml:space="preserve"> that </w:t>
      </w:r>
      <w:r>
        <w:t>Laleh</w:t>
      </w:r>
      <w:r w:rsidRPr="00563D44">
        <w:t xml:space="preserve"> testified was accurate. </w:t>
      </w:r>
      <w:r w:rsidR="00B230BF">
        <w:t xml:space="preserve"> </w:t>
      </w:r>
      <w:r w:rsidRPr="00563D44">
        <w:t>Laleh testified she couldn’t remember signing it but acknowledged discussing it with her attorney and providing information to her attorney to fill it out.  It listed none of the Iranian assets previously disclosed.</w:t>
      </w:r>
      <w:r>
        <w:rPr>
          <w:rStyle w:val="FootnoteReference"/>
        </w:rPr>
        <w:footnoteReference w:id="6"/>
      </w:r>
      <w:r w:rsidRPr="00563D44">
        <w:t xml:space="preserve">  </w:t>
      </w:r>
    </w:p>
    <w:p w:rsidR="009F55D8" w:rsidP="00B449DC" w14:paraId="60295F32" w14:textId="269E9DE9">
      <w:pPr>
        <w:ind w:firstLine="720"/>
        <w:rPr>
          <w:bCs/>
        </w:rPr>
      </w:pPr>
      <w:r w:rsidRPr="00EF010A">
        <w:rPr>
          <w:bCs/>
        </w:rPr>
        <w:t xml:space="preserve">The case proceeded to a 17-day </w:t>
      </w:r>
      <w:r w:rsidRPr="00EF010A" w:rsidR="00E7354B">
        <w:rPr>
          <w:bCs/>
        </w:rPr>
        <w:t>bench</w:t>
      </w:r>
      <w:r w:rsidRPr="00EF010A">
        <w:rPr>
          <w:bCs/>
        </w:rPr>
        <w:t xml:space="preserve"> trial, </w:t>
      </w:r>
      <w:r w:rsidRPr="00EF010A" w:rsidR="00E7354B">
        <w:rPr>
          <w:bCs/>
        </w:rPr>
        <w:t>beginning on March 4, 2019</w:t>
      </w:r>
      <w:r w:rsidR="00515C53">
        <w:rPr>
          <w:bCs/>
        </w:rPr>
        <w:t>,</w:t>
      </w:r>
      <w:r w:rsidRPr="00EF010A" w:rsidR="00E7354B">
        <w:rPr>
          <w:bCs/>
        </w:rPr>
        <w:t xml:space="preserve"> and ending more than a year later on July 23, 2020. </w:t>
      </w:r>
      <w:r w:rsidR="006F2BAC">
        <w:rPr>
          <w:bCs/>
        </w:rPr>
        <w:t xml:space="preserve"> </w:t>
      </w:r>
    </w:p>
    <w:p w:rsidR="009F55D8" w:rsidP="00B449DC" w14:paraId="6860CA82" w14:textId="16C5DA24">
      <w:pPr>
        <w:ind w:firstLine="720"/>
        <w:rPr>
          <w:bCs/>
        </w:rPr>
      </w:pPr>
      <w:r>
        <w:rPr>
          <w:bCs/>
        </w:rPr>
        <w:t>During trial</w:t>
      </w:r>
      <w:r w:rsidRPr="00A85AB8">
        <w:rPr>
          <w:bCs/>
        </w:rPr>
        <w:t>, Ramin moved for a mistrial on the ground that</w:t>
      </w:r>
      <w:r w:rsidRPr="00A85AB8" w:rsidR="003027C1">
        <w:rPr>
          <w:bCs/>
        </w:rPr>
        <w:t xml:space="preserve"> </w:t>
      </w:r>
      <w:r w:rsidRPr="00A85AB8">
        <w:rPr>
          <w:bCs/>
        </w:rPr>
        <w:t>Laleh</w:t>
      </w:r>
      <w:r w:rsidRPr="00A85AB8" w:rsidR="003027C1">
        <w:rPr>
          <w:bCs/>
        </w:rPr>
        <w:t xml:space="preserve">’s trial testimony </w:t>
      </w:r>
      <w:r w:rsidR="00023B17">
        <w:rPr>
          <w:bCs/>
        </w:rPr>
        <w:t xml:space="preserve">disavowing her pretrial disclosures </w:t>
      </w:r>
      <w:r w:rsidRPr="00A85AB8" w:rsidR="00A61A6C">
        <w:rPr>
          <w:bCs/>
        </w:rPr>
        <w:t xml:space="preserve">revealed that she had </w:t>
      </w:r>
      <w:r w:rsidRPr="00A85AB8">
        <w:rPr>
          <w:bCs/>
        </w:rPr>
        <w:t xml:space="preserve">breached her statutory duties of disclosure under the Family Code.  The court </w:t>
      </w:r>
      <w:r w:rsidRPr="00A85AB8" w:rsidR="009250A1">
        <w:rPr>
          <w:bCs/>
        </w:rPr>
        <w:t>denied the motion.</w:t>
      </w:r>
      <w:r w:rsidR="00B230BF">
        <w:rPr>
          <w:bCs/>
        </w:rPr>
        <w:t xml:space="preserve"> </w:t>
      </w:r>
      <w:r w:rsidRPr="00A85AB8" w:rsidR="00A85AB8">
        <w:rPr>
          <w:bCs/>
        </w:rPr>
        <w:t xml:space="preserve"> </w:t>
      </w:r>
      <w:r w:rsidRPr="00A85AB8" w:rsidR="009250A1">
        <w:rPr>
          <w:bCs/>
        </w:rPr>
        <w:t xml:space="preserve">It </w:t>
      </w:r>
      <w:r w:rsidRPr="00A85AB8" w:rsidR="00A85AB8">
        <w:rPr>
          <w:bCs/>
        </w:rPr>
        <w:t xml:space="preserve">stated </w:t>
      </w:r>
      <w:r w:rsidRPr="00A85AB8" w:rsidR="00923B8D">
        <w:rPr>
          <w:bCs/>
        </w:rPr>
        <w:t xml:space="preserve">that </w:t>
      </w:r>
      <w:r w:rsidRPr="00A85AB8" w:rsidR="00950531">
        <w:rPr>
          <w:bCs/>
        </w:rPr>
        <w:t xml:space="preserve">Laleh’s testimony that some of her disclosures were not accurate </w:t>
      </w:r>
      <w:r w:rsidRPr="00A85AB8" w:rsidR="00B92FE5">
        <w:rPr>
          <w:bCs/>
        </w:rPr>
        <w:t xml:space="preserve">“certainly affects her credibility” but </w:t>
      </w:r>
      <w:r w:rsidRPr="00A85AB8">
        <w:rPr>
          <w:bCs/>
        </w:rPr>
        <w:t xml:space="preserve">declined to order a mistrial </w:t>
      </w:r>
      <w:r w:rsidRPr="00A85AB8" w:rsidR="00BC7E83">
        <w:rPr>
          <w:bCs/>
        </w:rPr>
        <w:t xml:space="preserve">because Ramin had not demonstrated </w:t>
      </w:r>
      <w:r w:rsidRPr="00A85AB8" w:rsidR="00EF45F3">
        <w:rPr>
          <w:bCs/>
        </w:rPr>
        <w:t xml:space="preserve">he had been “prevented from fully participating in [the] litigation.” </w:t>
      </w:r>
      <w:r w:rsidR="00A85AB8">
        <w:rPr>
          <w:bCs/>
        </w:rPr>
        <w:t xml:space="preserve"> </w:t>
      </w:r>
    </w:p>
    <w:p w:rsidR="009F55D8" w:rsidP="00B449DC" w14:paraId="7CDBDBEF" w14:textId="3F4E4DED">
      <w:pPr>
        <w:ind w:firstLine="720"/>
        <w:rPr>
          <w:bCs/>
        </w:rPr>
      </w:pPr>
      <w:r>
        <w:rPr>
          <w:bCs/>
        </w:rPr>
        <w:t>At the conclusion of trial, t</w:t>
      </w:r>
      <w:r w:rsidR="006F2BAC">
        <w:rPr>
          <w:bCs/>
        </w:rPr>
        <w:t xml:space="preserve">he trial court </w:t>
      </w:r>
      <w:r w:rsidR="003D5330">
        <w:rPr>
          <w:bCs/>
        </w:rPr>
        <w:t xml:space="preserve">issued a 41-page statement of decision </w:t>
      </w:r>
      <w:r w:rsidR="0074231F">
        <w:rPr>
          <w:bCs/>
        </w:rPr>
        <w:t xml:space="preserve">addressing </w:t>
      </w:r>
      <w:r w:rsidR="003D5330">
        <w:rPr>
          <w:bCs/>
        </w:rPr>
        <w:t xml:space="preserve">numerous issues.  </w:t>
      </w:r>
    </w:p>
    <w:p w:rsidR="003D5330" w:rsidP="00B449DC" w14:paraId="4073E959" w14:textId="6C67B97F">
      <w:pPr>
        <w:ind w:firstLine="720"/>
        <w:rPr>
          <w:bCs/>
        </w:rPr>
      </w:pPr>
      <w:r>
        <w:rPr>
          <w:bCs/>
        </w:rPr>
        <w:t xml:space="preserve">Some of its findings we have already mentioned.  </w:t>
      </w:r>
      <w:r w:rsidR="009F55D8">
        <w:rPr>
          <w:bCs/>
        </w:rPr>
        <w:t xml:space="preserve">As </w:t>
      </w:r>
      <w:r>
        <w:rPr>
          <w:bCs/>
        </w:rPr>
        <w:t xml:space="preserve">further </w:t>
      </w:r>
      <w:r w:rsidR="009F55D8">
        <w:rPr>
          <w:bCs/>
        </w:rPr>
        <w:t xml:space="preserve">relevant here, the court found that Laleh’s testimony concerning financial matters was “mostly credible,” including </w:t>
      </w:r>
      <w:r w:rsidR="007F283B">
        <w:rPr>
          <w:bCs/>
        </w:rPr>
        <w:t xml:space="preserve">her testimony </w:t>
      </w:r>
      <w:r w:rsidR="009F55D8">
        <w:rPr>
          <w:bCs/>
        </w:rPr>
        <w:t xml:space="preserve">that she was not financially sophisticated, and </w:t>
      </w:r>
      <w:r w:rsidR="007F283B">
        <w:rPr>
          <w:bCs/>
        </w:rPr>
        <w:t xml:space="preserve">that she </w:t>
      </w:r>
      <w:r w:rsidR="009F55D8">
        <w:rPr>
          <w:bCs/>
        </w:rPr>
        <w:t>credibly testified she was not sure or did not recall answers to many questions about financial matters.  As noted, however, the court conclude</w:t>
      </w:r>
      <w:r w:rsidR="007F283B">
        <w:rPr>
          <w:bCs/>
        </w:rPr>
        <w:t>d</w:t>
      </w:r>
      <w:r w:rsidR="009F55D8">
        <w:rPr>
          <w:bCs/>
        </w:rPr>
        <w:t xml:space="preserve"> she treated her financial disclosures “casually,” although it “stop[ped] short of finding she perjured herself during either the disclosures of during her testimony.”  It found that her “casual attitude toward accuracy during the pendency of the litigation has led to unnecessary </w:t>
      </w:r>
      <w:r w:rsidR="00621C6F">
        <w:rPr>
          <w:bCs/>
        </w:rPr>
        <w:t xml:space="preserve">litigation and unnecessary </w:t>
      </w:r>
      <w:r w:rsidR="009F55D8">
        <w:rPr>
          <w:bCs/>
        </w:rPr>
        <w:t xml:space="preserve">discovery/investigation by [Ramin].”  </w:t>
      </w:r>
    </w:p>
    <w:p w:rsidR="00E955D6" w:rsidP="00B449DC" w14:paraId="326AB3B3" w14:textId="6C150541">
      <w:pPr>
        <w:ind w:firstLine="720"/>
        <w:rPr>
          <w:bCs/>
        </w:rPr>
      </w:pPr>
      <w:r>
        <w:rPr>
          <w:bCs/>
        </w:rPr>
        <w:t xml:space="preserve">The court found </w:t>
      </w:r>
      <w:r w:rsidR="00C5144C">
        <w:rPr>
          <w:bCs/>
        </w:rPr>
        <w:t xml:space="preserve">Ramin’s testimony about the alleged “theft” of his inheritance to be “speculative in many areas” and “[h]is suspicions” concerning that subject to “fall far short of being convincing.” </w:t>
      </w:r>
      <w:r w:rsidR="00B230BF">
        <w:rPr>
          <w:bCs/>
        </w:rPr>
        <w:t xml:space="preserve"> </w:t>
      </w:r>
      <w:r w:rsidR="00C5144C">
        <w:rPr>
          <w:bCs/>
        </w:rPr>
        <w:t xml:space="preserve">It </w:t>
      </w:r>
      <w:r>
        <w:rPr>
          <w:bCs/>
        </w:rPr>
        <w:t xml:space="preserve">made no credibility determination concerning Ramin’s testimony about the HELOC funds.  </w:t>
      </w:r>
    </w:p>
    <w:p w:rsidR="00934A23" w:rsidP="00B449DC" w14:paraId="6B6D3DD3" w14:textId="32E79C73">
      <w:pPr>
        <w:ind w:firstLine="720"/>
        <w:rPr>
          <w:bCs/>
        </w:rPr>
      </w:pPr>
      <w:r>
        <w:rPr>
          <w:bCs/>
        </w:rPr>
        <w:t>The court</w:t>
      </w:r>
      <w:r w:rsidR="003D5330">
        <w:rPr>
          <w:bCs/>
        </w:rPr>
        <w:t xml:space="preserve"> </w:t>
      </w:r>
      <w:r w:rsidR="006F2BAC">
        <w:rPr>
          <w:bCs/>
        </w:rPr>
        <w:t xml:space="preserve">declined to shift the burden of proof to Laleh </w:t>
      </w:r>
      <w:r w:rsidR="006C061C">
        <w:rPr>
          <w:bCs/>
        </w:rPr>
        <w:t xml:space="preserve">under </w:t>
      </w:r>
      <w:r w:rsidRPr="006C061C" w:rsidR="006C061C">
        <w:rPr>
          <w:bCs/>
          <w:i/>
          <w:iCs/>
        </w:rPr>
        <w:t>Margulis</w:t>
      </w:r>
      <w:r w:rsidR="006C061C">
        <w:rPr>
          <w:bCs/>
        </w:rPr>
        <w:t xml:space="preserve"> </w:t>
      </w:r>
      <w:r w:rsidR="006F2BAC">
        <w:rPr>
          <w:bCs/>
        </w:rPr>
        <w:t xml:space="preserve">to prove what happened to the HELOC funds </w:t>
      </w:r>
      <w:r w:rsidR="00E955D6">
        <w:rPr>
          <w:bCs/>
        </w:rPr>
        <w:t>or</w:t>
      </w:r>
      <w:r w:rsidR="006F2BAC">
        <w:rPr>
          <w:bCs/>
        </w:rPr>
        <w:t xml:space="preserve"> Ramin’s inheritance. </w:t>
      </w:r>
      <w:r w:rsidR="00E955D6">
        <w:rPr>
          <w:bCs/>
        </w:rPr>
        <w:t xml:space="preserve"> </w:t>
      </w:r>
      <w:r>
        <w:rPr>
          <w:bCs/>
        </w:rPr>
        <w:t xml:space="preserve">It </w:t>
      </w:r>
      <w:r w:rsidR="006C061C">
        <w:rPr>
          <w:bCs/>
        </w:rPr>
        <w:t xml:space="preserve">articulated several reasons.  It reasoned that </w:t>
      </w:r>
      <w:r w:rsidRPr="006C061C" w:rsidR="006C061C">
        <w:rPr>
          <w:bCs/>
          <w:i/>
          <w:iCs/>
        </w:rPr>
        <w:t>Margulis</w:t>
      </w:r>
      <w:r w:rsidR="006C061C">
        <w:rPr>
          <w:bCs/>
        </w:rPr>
        <w:t xml:space="preserve"> burden-shifting did not apply because:</w:t>
      </w:r>
      <w:r w:rsidR="00847257">
        <w:rPr>
          <w:bCs/>
        </w:rPr>
        <w:t xml:space="preserve"> </w:t>
      </w:r>
      <w:r w:rsidR="006C061C">
        <w:rPr>
          <w:bCs/>
        </w:rPr>
        <w:t xml:space="preserve"> (1) “any moneys derived from [Ramin’s] inheritance were </w:t>
      </w:r>
      <w:r w:rsidRPr="006C061C" w:rsidR="006C061C">
        <w:rPr>
          <w:bCs/>
          <w:i/>
        </w:rPr>
        <w:t>invested in Iran</w:t>
      </w:r>
      <w:r w:rsidR="006C061C">
        <w:rPr>
          <w:bCs/>
        </w:rPr>
        <w:t xml:space="preserve">, for lack of a better phrase, during marriage, not post-separation”; </w:t>
      </w:r>
      <w:r w:rsidR="00697D73">
        <w:rPr>
          <w:bCs/>
        </w:rPr>
        <w:t xml:space="preserve">(2) </w:t>
      </w:r>
      <w:r w:rsidRPr="00697D73" w:rsidR="00697D73">
        <w:rPr>
          <w:bCs/>
          <w:i/>
          <w:iCs/>
        </w:rPr>
        <w:t>Margulis</w:t>
      </w:r>
      <w:r w:rsidR="00697D73">
        <w:rPr>
          <w:bCs/>
        </w:rPr>
        <w:t xml:space="preserve"> does not apply to Ramin’s separate property inheritance because it is not community property; </w:t>
      </w:r>
      <w:r w:rsidR="006C061C">
        <w:rPr>
          <w:bCs/>
        </w:rPr>
        <w:t>(</w:t>
      </w:r>
      <w:r w:rsidR="00697D73">
        <w:rPr>
          <w:bCs/>
        </w:rPr>
        <w:t>3</w:t>
      </w:r>
      <w:r w:rsidR="006C061C">
        <w:rPr>
          <w:bCs/>
        </w:rPr>
        <w:t xml:space="preserve">) Laleh “played a minor role in the management of any monies in Iran, not an exclusive role [like the husband] in the </w:t>
      </w:r>
      <w:r w:rsidRPr="006C061C" w:rsidR="006C061C">
        <w:rPr>
          <w:bCs/>
          <w:i/>
          <w:iCs/>
        </w:rPr>
        <w:t>Margulis</w:t>
      </w:r>
      <w:r w:rsidR="006C061C">
        <w:rPr>
          <w:bCs/>
        </w:rPr>
        <w:t xml:space="preserve"> decision”; </w:t>
      </w:r>
      <w:r w:rsidR="00697D73">
        <w:rPr>
          <w:bCs/>
        </w:rPr>
        <w:t xml:space="preserve">and (4) the HELOC loan had been forgiven by the lender and written off </w:t>
      </w:r>
      <w:r w:rsidR="007F283B">
        <w:rPr>
          <w:bCs/>
        </w:rPr>
        <w:t xml:space="preserve">as stated </w:t>
      </w:r>
      <w:r w:rsidR="00697D73">
        <w:rPr>
          <w:bCs/>
        </w:rPr>
        <w:t>under oath in the couple’s tax</w:t>
      </w:r>
      <w:r w:rsidR="007F283B">
        <w:rPr>
          <w:bCs/>
        </w:rPr>
        <w:t xml:space="preserve"> returns</w:t>
      </w:r>
      <w:r w:rsidR="00697D73">
        <w:rPr>
          <w:bCs/>
        </w:rPr>
        <w:t xml:space="preserve"> and “has not been under [Laleh’s] management and control.”  </w:t>
      </w:r>
      <w:r w:rsidR="00ED5A40">
        <w:rPr>
          <w:bCs/>
        </w:rPr>
        <w:t xml:space="preserve">Accordingly, it declined to </w:t>
      </w:r>
      <w:r w:rsidR="00250CB9">
        <w:rPr>
          <w:bCs/>
        </w:rPr>
        <w:t>order</w:t>
      </w:r>
      <w:r w:rsidR="00ED5A40">
        <w:rPr>
          <w:bCs/>
        </w:rPr>
        <w:t xml:space="preserve"> Laleh </w:t>
      </w:r>
      <w:r w:rsidR="00250CB9">
        <w:rPr>
          <w:bCs/>
        </w:rPr>
        <w:t xml:space="preserve">to reimburse Ramin for </w:t>
      </w:r>
      <w:r w:rsidR="00ED5A40">
        <w:rPr>
          <w:bCs/>
        </w:rPr>
        <w:t xml:space="preserve">the missing assets. </w:t>
      </w:r>
      <w:r w:rsidR="00250CB9">
        <w:rPr>
          <w:bCs/>
        </w:rPr>
        <w:t xml:space="preserve"> </w:t>
      </w:r>
    </w:p>
    <w:p w:rsidR="00C5144C" w:rsidP="00B449DC" w14:paraId="052A6C9B" w14:textId="7A69B121">
      <w:pPr>
        <w:ind w:firstLine="720"/>
        <w:rPr>
          <w:bCs/>
        </w:rPr>
      </w:pPr>
      <w:r>
        <w:rPr>
          <w:bCs/>
        </w:rPr>
        <w:t>The court also rejected Ramin’s claim that Laleh breached her fiduciary duty through a conspiracy with her brother to steal Ramin’s inheritance, on the ground there was no “complex plan” to do so.</w:t>
      </w:r>
      <w:r>
        <w:rPr>
          <w:rStyle w:val="FootnoteReference"/>
          <w:bCs/>
        </w:rPr>
        <w:footnoteReference w:id="7"/>
      </w:r>
      <w:r>
        <w:rPr>
          <w:bCs/>
        </w:rPr>
        <w:t xml:space="preserve"> </w:t>
      </w:r>
    </w:p>
    <w:p w:rsidR="00ED5A40" w:rsidP="00B449DC" w14:paraId="7E792FE4" w14:textId="4D2E3822">
      <w:pPr>
        <w:ind w:firstLine="720"/>
        <w:rPr>
          <w:bCs/>
        </w:rPr>
      </w:pPr>
      <w:r>
        <w:rPr>
          <w:bCs/>
        </w:rPr>
        <w:t>Finally, the court sanctioned Lal</w:t>
      </w:r>
      <w:r w:rsidR="007F283B">
        <w:rPr>
          <w:bCs/>
        </w:rPr>
        <w:t>e</w:t>
      </w:r>
      <w:r>
        <w:rPr>
          <w:bCs/>
        </w:rPr>
        <w:t xml:space="preserve">h under Family Code section 271 in the amount of $15,000 for having “significantly increased the cost of litigation in the matter by the casual nature of her approach to disclosures,” which it found “resulted in unnecessary deposition questions, discovery investigations, mistrial motions and time spent questioning witnesses in trial.” </w:t>
      </w:r>
      <w:r w:rsidR="00B230BF">
        <w:rPr>
          <w:bCs/>
        </w:rPr>
        <w:t xml:space="preserve"> </w:t>
      </w:r>
      <w:r>
        <w:rPr>
          <w:bCs/>
        </w:rPr>
        <w:t xml:space="preserve">It sanctioned Ramin in the amount of $5,000 for having frustrated settlement and increased the cost of litigation in connection with the sale of the marital home and through voluminous pretrial requests for orders and ex parte applications.  </w:t>
      </w:r>
    </w:p>
    <w:p w:rsidR="006F2BAC" w:rsidRPr="00EF010A" w:rsidP="00B449DC" w14:paraId="74CD1E19" w14:textId="012C46D3">
      <w:pPr>
        <w:ind w:firstLine="720"/>
        <w:rPr>
          <w:bCs/>
        </w:rPr>
      </w:pPr>
      <w:r>
        <w:rPr>
          <w:bCs/>
        </w:rPr>
        <w:t>The court entered judgment</w:t>
      </w:r>
      <w:r w:rsidR="00250CB9">
        <w:rPr>
          <w:bCs/>
        </w:rPr>
        <w:t>, and this timely appeal followed.</w:t>
      </w:r>
      <w:r w:rsidR="00B230BF">
        <w:rPr>
          <w:bCs/>
        </w:rPr>
        <w:t xml:space="preserve"> </w:t>
      </w:r>
    </w:p>
    <w:p w:rsidR="002B382E" w:rsidRPr="00697145" w:rsidP="00CC2CCA" w14:paraId="58E9BA84" w14:textId="77777777">
      <w:pPr>
        <w:keepNext/>
        <w:jc w:val="center"/>
        <w:rPr>
          <w:b/>
        </w:rPr>
      </w:pPr>
      <w:r w:rsidRPr="00697145">
        <w:rPr>
          <w:b/>
        </w:rPr>
        <w:t>DISCUSSION</w:t>
      </w:r>
    </w:p>
    <w:p w:rsidR="00A2364C" w:rsidP="002B382E" w14:paraId="7CDBE9E0" w14:textId="3569F849">
      <w:pPr>
        <w:ind w:firstLine="720"/>
      </w:pPr>
      <w:r>
        <w:t xml:space="preserve">Ramin’s appellate briefing is somewhat unfocused.  </w:t>
      </w:r>
      <w:r w:rsidR="00250CB9">
        <w:t xml:space="preserve">Although </w:t>
      </w:r>
      <w:r>
        <w:t>it contains a lengthy discussion of</w:t>
      </w:r>
      <w:r>
        <w:t xml:space="preserve"> Laleh’s pretrial disclosures, his motion for a mistrial and</w:t>
      </w:r>
      <w:r w:rsidR="00250CB9">
        <w:t xml:space="preserve"> the court’s denial of </w:t>
      </w:r>
      <w:r>
        <w:t>the mistrial</w:t>
      </w:r>
      <w:r w:rsidR="00250CB9">
        <w:t xml:space="preserve"> motion, </w:t>
      </w:r>
      <w:r>
        <w:t xml:space="preserve">his only claim of error on appeal is that “the trial court prejudicially erred by refusing to order that the burden of proof be shifted to Laleh to account for [the HELOC proceeds and his inheritance].”  This argument is supported by several subsidiary heading points, including “the </w:t>
      </w:r>
      <w:r w:rsidRPr="00DC3DE8" w:rsidR="005E4C1D">
        <w:rPr>
          <w:i/>
          <w:iCs/>
        </w:rPr>
        <w:t>Margulis</w:t>
      </w:r>
      <w:r>
        <w:t xml:space="preserve"> burden-shifting procedure should have been ordered in lieu of granting a mistrial” and several points about the state of the evidence bearing on Laleh’s control of the Iranian investments, culminating </w:t>
      </w:r>
      <w:r w:rsidR="007F283B">
        <w:t xml:space="preserve">in </w:t>
      </w:r>
      <w:r>
        <w:t xml:space="preserve">an argument that he made a prima facie showing sufficient under </w:t>
      </w:r>
      <w:r w:rsidRPr="00F223A1">
        <w:rPr>
          <w:i/>
          <w:iCs/>
        </w:rPr>
        <w:t>Margulis</w:t>
      </w:r>
      <w:r>
        <w:t xml:space="preserve"> as to </w:t>
      </w:r>
      <w:r w:rsidR="00B06096">
        <w:t>the missing assets</w:t>
      </w:r>
      <w:r>
        <w:t xml:space="preserve">.  He also asserts that the court’s findings concerning her lack of control over the Iranian investments are not supported by substantial evidence. </w:t>
      </w:r>
      <w:r w:rsidR="00B230BF">
        <w:t xml:space="preserve"> </w:t>
      </w:r>
    </w:p>
    <w:p w:rsidR="002B382E" w:rsidRPr="00697145" w:rsidP="002B382E" w14:paraId="19A54554" w14:textId="5B477B3B">
      <w:pPr>
        <w:ind w:firstLine="720"/>
      </w:pPr>
      <w:r>
        <w:t xml:space="preserve">We thus understand </w:t>
      </w:r>
      <w:r w:rsidR="00A2364C">
        <w:t>Ramin</w:t>
      </w:r>
      <w:r>
        <w:t xml:space="preserve"> to argue solely that there was error under </w:t>
      </w:r>
      <w:r w:rsidR="005E4C1D">
        <w:rPr>
          <w:i/>
          <w:iCs/>
        </w:rPr>
        <w:t>Margulis</w:t>
      </w:r>
      <w:r>
        <w:t xml:space="preserve">. </w:t>
      </w:r>
      <w:r w:rsidR="00A2364C">
        <w:t xml:space="preserve"> He</w:t>
      </w:r>
      <w:r>
        <w:t xml:space="preserve"> </w:t>
      </w:r>
      <w:r w:rsidR="00A2364C">
        <w:t xml:space="preserve">does not argue </w:t>
      </w:r>
      <w:r>
        <w:t>that Laleh’s breach of her statutory disclosure obligations warrants reversal</w:t>
      </w:r>
      <w:r w:rsidR="00A2364C">
        <w:t>.</w:t>
      </w:r>
      <w:r>
        <w:t xml:space="preserve"> </w:t>
      </w:r>
      <w:r w:rsidR="00A2364C">
        <w:t xml:space="preserve"> Nor does he contend that the court erred in denying his motion for a mistrial.  </w:t>
      </w:r>
    </w:p>
    <w:p w:rsidR="002B382E" w:rsidRPr="00697145" w:rsidP="00CC2CCA" w14:paraId="74616627" w14:textId="77777777">
      <w:pPr>
        <w:keepNext/>
        <w:jc w:val="center"/>
        <w:rPr>
          <w:b/>
        </w:rPr>
      </w:pPr>
      <w:r w:rsidRPr="00697145">
        <w:rPr>
          <w:b/>
        </w:rPr>
        <w:t>I.</w:t>
      </w:r>
    </w:p>
    <w:p w:rsidR="002B382E" w:rsidRPr="00697145" w:rsidP="00CC2CCA" w14:paraId="5798E0AD" w14:textId="310EB7B8">
      <w:pPr>
        <w:keepNext/>
        <w:ind w:left="360" w:hanging="360"/>
        <w:jc w:val="center"/>
        <w:rPr>
          <w:b/>
        </w:rPr>
      </w:pPr>
      <w:r>
        <w:rPr>
          <w:b/>
          <w:i/>
        </w:rPr>
        <w:t xml:space="preserve">Ramin Made </w:t>
      </w:r>
      <w:r w:rsidR="004C436C">
        <w:rPr>
          <w:b/>
          <w:i/>
        </w:rPr>
        <w:t>a</w:t>
      </w:r>
      <w:r>
        <w:rPr>
          <w:b/>
          <w:i/>
        </w:rPr>
        <w:t xml:space="preserve"> Prima Facie Showing Under </w:t>
      </w:r>
      <w:r w:rsidR="005E4C1D">
        <w:rPr>
          <w:b/>
        </w:rPr>
        <w:t>Margulis</w:t>
      </w:r>
      <w:r w:rsidRPr="00697145">
        <w:rPr>
          <w:b/>
          <w:i/>
        </w:rPr>
        <w:t>.</w:t>
      </w:r>
    </w:p>
    <w:p w:rsidR="002B382E" w:rsidRPr="00697145" w:rsidP="00CC2CCA" w14:paraId="7DF200A4" w14:textId="7E1EBDEE">
      <w:pPr>
        <w:keepNext/>
        <w:ind w:left="1080" w:hanging="360"/>
        <w:rPr>
          <w:b/>
        </w:rPr>
      </w:pPr>
      <w:r w:rsidRPr="00697145">
        <w:rPr>
          <w:b/>
        </w:rPr>
        <w:t>A.</w:t>
      </w:r>
      <w:r w:rsidR="004C436C">
        <w:rPr>
          <w:b/>
        </w:rPr>
        <w:t xml:space="preserve">  </w:t>
      </w:r>
      <w:r w:rsidR="002679DA">
        <w:rPr>
          <w:b/>
        </w:rPr>
        <w:t>Management and Control</w:t>
      </w:r>
    </w:p>
    <w:p w:rsidR="002B382E" w:rsidP="007370A6" w14:paraId="480F8DF0" w14:textId="2BA29C27">
      <w:pPr>
        <w:ind w:firstLine="720"/>
      </w:pPr>
      <w:r>
        <w:t xml:space="preserve">We begin with the threshold </w:t>
      </w:r>
      <w:r w:rsidR="00041A84">
        <w:t xml:space="preserve">requirement for burden-shifting under </w:t>
      </w:r>
      <w:r w:rsidR="005E4C1D">
        <w:rPr>
          <w:i/>
        </w:rPr>
        <w:t>Margulis</w:t>
      </w:r>
      <w:r w:rsidR="00041A84">
        <w:t xml:space="preserve">, which is proof of one spouse’s management and control of marital assets. </w:t>
      </w:r>
      <w:r w:rsidR="007370A6">
        <w:t xml:space="preserve"> </w:t>
      </w:r>
      <w:r w:rsidR="00B62F4C">
        <w:t>As noted, t</w:t>
      </w:r>
      <w:r w:rsidR="002679DA">
        <w:t xml:space="preserve">he trial court made a finding that Laleh did not manage and control the Iranian assets. </w:t>
      </w:r>
      <w:r w:rsidR="00806095">
        <w:t xml:space="preserve"> </w:t>
      </w:r>
      <w:r w:rsidR="002679DA">
        <w:t xml:space="preserve">Ramin argues </w:t>
      </w:r>
      <w:r w:rsidR="007F283B">
        <w:t xml:space="preserve">that </w:t>
      </w:r>
      <w:r w:rsidR="00B62F4C">
        <w:t xml:space="preserve">the finding </w:t>
      </w:r>
      <w:r w:rsidR="002679DA">
        <w:t>is unsupported by substantial evidence</w:t>
      </w:r>
      <w:r w:rsidR="005014C8">
        <w:t xml:space="preserve"> and the evidence shows she did control them and had full access to information about them.  </w:t>
      </w:r>
      <w:r w:rsidR="00B17100">
        <w:t>We agree.</w:t>
      </w:r>
    </w:p>
    <w:p w:rsidR="002679DA" w:rsidP="004E5ED9" w14:paraId="36BF2EC0" w14:textId="184D4821">
      <w:pPr>
        <w:ind w:firstLine="720"/>
      </w:pPr>
      <w:r>
        <w:t xml:space="preserve">Although </w:t>
      </w:r>
      <w:r w:rsidR="00B17100">
        <w:t xml:space="preserve">Ramin </w:t>
      </w:r>
      <w:r>
        <w:t xml:space="preserve">does not articulate the point this way, the thrust of his argument is that </w:t>
      </w:r>
      <w:r w:rsidRPr="002679DA">
        <w:rPr>
          <w:i/>
        </w:rPr>
        <w:t xml:space="preserve">as between the </w:t>
      </w:r>
      <w:r w:rsidR="00B17100">
        <w:rPr>
          <w:i/>
        </w:rPr>
        <w:t xml:space="preserve">two </w:t>
      </w:r>
      <w:r w:rsidRPr="002679DA">
        <w:rPr>
          <w:i/>
        </w:rPr>
        <w:t>spouses</w:t>
      </w:r>
      <w:r>
        <w:t xml:space="preserve">, the uncontroverted evidence shows that </w:t>
      </w:r>
      <w:r w:rsidR="00B17100">
        <w:t xml:space="preserve">Laleh </w:t>
      </w:r>
      <w:r>
        <w:t xml:space="preserve">had sole control of the </w:t>
      </w:r>
      <w:r w:rsidR="00B17100">
        <w:t xml:space="preserve">couple’s </w:t>
      </w:r>
      <w:r>
        <w:t xml:space="preserve">assets once they were sent to </w:t>
      </w:r>
      <w:r w:rsidR="00B17100">
        <w:t xml:space="preserve">her brother in </w:t>
      </w:r>
      <w:r>
        <w:t>Iran</w:t>
      </w:r>
      <w:r w:rsidR="000745AB">
        <w:t xml:space="preserve"> and sole access to information about </w:t>
      </w:r>
      <w:r w:rsidR="002625AE">
        <w:t xml:space="preserve">those </w:t>
      </w:r>
      <w:r w:rsidR="000745AB">
        <w:t>assets</w:t>
      </w:r>
      <w:r>
        <w:t xml:space="preserve">.  </w:t>
      </w:r>
      <w:r w:rsidR="006931DB">
        <w:t xml:space="preserve">Laleh </w:t>
      </w:r>
      <w:r w:rsidR="00B17100">
        <w:t xml:space="preserve">cites </w:t>
      </w:r>
      <w:r w:rsidR="006931DB">
        <w:t xml:space="preserve">no </w:t>
      </w:r>
      <w:r>
        <w:t>contrary evidence</w:t>
      </w:r>
      <w:r w:rsidR="00A36EC1">
        <w:t>.  Specifically,</w:t>
      </w:r>
      <w:r>
        <w:t xml:space="preserve"> </w:t>
      </w:r>
      <w:r w:rsidR="006931DB">
        <w:t xml:space="preserve">she cites no </w:t>
      </w:r>
      <w:r>
        <w:t xml:space="preserve">evidence that </w:t>
      </w:r>
      <w:r w:rsidRPr="002679DA">
        <w:rPr>
          <w:i/>
          <w:iCs/>
        </w:rPr>
        <w:t>Ramin</w:t>
      </w:r>
      <w:r>
        <w:t xml:space="preserve"> had meaningful access to her brother</w:t>
      </w:r>
      <w:r w:rsidR="00EF0112">
        <w:t xml:space="preserve"> </w:t>
      </w:r>
      <w:r>
        <w:t xml:space="preserve">or </w:t>
      </w:r>
      <w:r w:rsidR="00ED50DF">
        <w:t xml:space="preserve">even </w:t>
      </w:r>
      <w:r>
        <w:t>any communications with her brother about the control or disposition of those assets</w:t>
      </w:r>
      <w:r w:rsidR="00D50747">
        <w:t xml:space="preserve">, nor </w:t>
      </w:r>
      <w:r w:rsidR="00305496">
        <w:t xml:space="preserve">that </w:t>
      </w:r>
      <w:r w:rsidR="00042205">
        <w:t xml:space="preserve">Ramin </w:t>
      </w:r>
      <w:r w:rsidR="00305496">
        <w:t xml:space="preserve">had </w:t>
      </w:r>
      <w:r w:rsidR="006619EF">
        <w:t xml:space="preserve">any </w:t>
      </w:r>
      <w:r w:rsidR="00D50747">
        <w:t>meaningful access to records for the Iranian accounts or investments</w:t>
      </w:r>
      <w:r w:rsidR="00305496">
        <w:t xml:space="preserve"> </w:t>
      </w:r>
      <w:r w:rsidR="00136567">
        <w:t xml:space="preserve">apart from </w:t>
      </w:r>
      <w:r w:rsidR="005B0231">
        <w:t xml:space="preserve">information obtained from </w:t>
      </w:r>
      <w:r w:rsidR="00305496">
        <w:t>her brother.</w:t>
      </w:r>
      <w:r w:rsidR="00B230BF">
        <w:t xml:space="preserve">  </w:t>
      </w:r>
      <w:r w:rsidR="00ED50DF">
        <w:t xml:space="preserve">The evidence, as described by the parties, portrays a </w:t>
      </w:r>
      <w:r w:rsidR="004E5ED9">
        <w:t>relationship between Laleh</w:t>
      </w:r>
      <w:r w:rsidR="007F283B">
        <w:t>’s</w:t>
      </w:r>
      <w:r w:rsidR="005B0231">
        <w:t xml:space="preserve"> </w:t>
      </w:r>
      <w:r w:rsidR="00863919">
        <w:t>brother</w:t>
      </w:r>
      <w:r w:rsidR="007F283B">
        <w:t>,</w:t>
      </w:r>
      <w:r w:rsidR="00863919">
        <w:t xml:space="preserve"> who acted as</w:t>
      </w:r>
      <w:r w:rsidR="004E5ED9">
        <w:t xml:space="preserve"> </w:t>
      </w:r>
      <w:r w:rsidR="002B57E9">
        <w:t xml:space="preserve">the couple’s Iranian </w:t>
      </w:r>
      <w:r w:rsidR="004C1781">
        <w:t>money manager</w:t>
      </w:r>
      <w:r w:rsidR="002625AE">
        <w:t xml:space="preserve">, </w:t>
      </w:r>
      <w:r w:rsidR="007F283B">
        <w:t xml:space="preserve">and Laleh alone, </w:t>
      </w:r>
      <w:r w:rsidR="005B0231">
        <w:t>with</w:t>
      </w:r>
      <w:r w:rsidR="00C26C4B">
        <w:t xml:space="preserve"> </w:t>
      </w:r>
      <w:r w:rsidR="002625AE">
        <w:t>Ramin relying on</w:t>
      </w:r>
      <w:r w:rsidR="005B0231">
        <w:t xml:space="preserve"> second-hand information from</w:t>
      </w:r>
      <w:r w:rsidR="002625AE">
        <w:t xml:space="preserve"> Laleh to keep him apprised of how their money was being invested.</w:t>
      </w:r>
      <w:r w:rsidR="00B230BF">
        <w:t xml:space="preserve"> </w:t>
      </w:r>
      <w:r w:rsidR="00FD3AFC">
        <w:t xml:space="preserve"> </w:t>
      </w:r>
    </w:p>
    <w:p w:rsidR="00301254" w:rsidP="00BF6C08" w14:paraId="5C31DACE" w14:textId="2E370A45">
      <w:pPr>
        <w:ind w:firstLine="720"/>
        <w:rPr>
          <w:iCs/>
        </w:rPr>
      </w:pPr>
      <w:r>
        <w:t xml:space="preserve">This was sufficient </w:t>
      </w:r>
      <w:r w:rsidR="007F283B">
        <w:t xml:space="preserve">to shift the burden </w:t>
      </w:r>
      <w:r>
        <w:t xml:space="preserve">under </w:t>
      </w:r>
      <w:r w:rsidR="005E4C1D">
        <w:rPr>
          <w:i/>
        </w:rPr>
        <w:t>Margulis</w:t>
      </w:r>
      <w:r>
        <w:t xml:space="preserve">.  </w:t>
      </w:r>
      <w:r w:rsidR="007B302F">
        <w:t xml:space="preserve">Although </w:t>
      </w:r>
      <w:r w:rsidRPr="005B0231" w:rsidR="005B0231">
        <w:rPr>
          <w:i/>
        </w:rPr>
        <w:t>Margulis</w:t>
      </w:r>
      <w:r w:rsidR="00820B17">
        <w:t xml:space="preserve"> </w:t>
      </w:r>
      <w:r w:rsidR="005B0231">
        <w:t xml:space="preserve">did not involve a </w:t>
      </w:r>
      <w:r w:rsidR="007B302F">
        <w:t>third</w:t>
      </w:r>
      <w:r w:rsidR="00621C6F">
        <w:t>-</w:t>
      </w:r>
      <w:r w:rsidR="007B302F">
        <w:t>party money manager, its rationale rest</w:t>
      </w:r>
      <w:r w:rsidR="00AE7FDB">
        <w:t>s</w:t>
      </w:r>
      <w:r w:rsidR="007B302F">
        <w:t xml:space="preserve"> on </w:t>
      </w:r>
      <w:r w:rsidR="00AE7FDB">
        <w:t xml:space="preserve">the </w:t>
      </w:r>
      <w:r w:rsidR="00A67300">
        <w:t xml:space="preserve">fiduciary and statutory </w:t>
      </w:r>
      <w:r w:rsidR="00AE7FDB">
        <w:t>duties between spouses</w:t>
      </w:r>
      <w:r w:rsidR="00971D97">
        <w:t>,</w:t>
      </w:r>
      <w:r w:rsidR="00AE7FDB">
        <w:t xml:space="preserve"> </w:t>
      </w:r>
      <w:r w:rsidR="00AA570D">
        <w:t>which are equally applicable here</w:t>
      </w:r>
      <w:r w:rsidR="004C40D0">
        <w:t xml:space="preserve"> </w:t>
      </w:r>
      <w:r w:rsidR="004C40D0">
        <w:rPr>
          <w:iCs/>
        </w:rPr>
        <w:t>(</w:t>
      </w:r>
      <w:r w:rsidR="001568FD">
        <w:rPr>
          <w:iCs/>
        </w:rPr>
        <w:t>s</w:t>
      </w:r>
      <w:r w:rsidR="004C40D0">
        <w:rPr>
          <w:iCs/>
        </w:rPr>
        <w:t xml:space="preserve">ee </w:t>
      </w:r>
      <w:r w:rsidR="004C40D0">
        <w:rPr>
          <w:i/>
        </w:rPr>
        <w:t>Margulis</w:t>
      </w:r>
      <w:r w:rsidR="004C40D0">
        <w:rPr>
          <w:iCs/>
        </w:rPr>
        <w:t xml:space="preserve">, </w:t>
      </w:r>
      <w:r w:rsidRPr="00B24B47" w:rsidR="004C40D0">
        <w:rPr>
          <w:i/>
          <w:iCs/>
        </w:rPr>
        <w:t>supra</w:t>
      </w:r>
      <w:r w:rsidR="004C40D0">
        <w:rPr>
          <w:iCs/>
        </w:rPr>
        <w:t>, 198 Cal.App.4th at pp. 1269-</w:t>
      </w:r>
      <w:r w:rsidR="001568FD">
        <w:rPr>
          <w:iCs/>
        </w:rPr>
        <w:t>1272</w:t>
      </w:r>
      <w:r w:rsidR="004C40D0">
        <w:rPr>
          <w:iCs/>
        </w:rPr>
        <w:t>)</w:t>
      </w:r>
      <w:r w:rsidR="00AA570D">
        <w:t>, and</w:t>
      </w:r>
      <w:r w:rsidR="00007170">
        <w:t xml:space="preserve"> whether one spouse has </w:t>
      </w:r>
      <w:r w:rsidR="00111431">
        <w:t xml:space="preserve">“vastly </w:t>
      </w:r>
      <w:r w:rsidR="008555F7">
        <w:t>unequal</w:t>
      </w:r>
      <w:r w:rsidR="006562A3">
        <w:t>”</w:t>
      </w:r>
      <w:r w:rsidR="005B2963">
        <w:t xml:space="preserve"> </w:t>
      </w:r>
      <w:r w:rsidR="00007170">
        <w:t xml:space="preserve">access to the relevant records and information </w:t>
      </w:r>
      <w:r w:rsidRPr="002679DA" w:rsidR="00007170">
        <w:rPr>
          <w:i/>
        </w:rPr>
        <w:t>relative to the other spouse</w:t>
      </w:r>
      <w:r w:rsidR="004C40D0">
        <w:rPr>
          <w:i/>
        </w:rPr>
        <w:t xml:space="preserve"> </w:t>
      </w:r>
      <w:r w:rsidR="004B3F6D">
        <w:rPr>
          <w:iCs/>
        </w:rPr>
        <w:t>(</w:t>
      </w:r>
      <w:r w:rsidRPr="001568FD" w:rsidR="004C40D0">
        <w:rPr>
          <w:i/>
        </w:rPr>
        <w:t>id</w:t>
      </w:r>
      <w:r w:rsidRPr="004C40D0" w:rsidR="004C40D0">
        <w:t>. at</w:t>
      </w:r>
      <w:r w:rsidR="004C40D0">
        <w:rPr>
          <w:i/>
        </w:rPr>
        <w:t xml:space="preserve"> </w:t>
      </w:r>
      <w:r w:rsidR="00B24B47">
        <w:rPr>
          <w:iCs/>
        </w:rPr>
        <w:t xml:space="preserve">p. </w:t>
      </w:r>
      <w:r w:rsidR="006562A3">
        <w:rPr>
          <w:iCs/>
        </w:rPr>
        <w:t>126</w:t>
      </w:r>
      <w:r w:rsidR="00621C6F">
        <w:rPr>
          <w:iCs/>
        </w:rPr>
        <w:t>8, italics omitted</w:t>
      </w:r>
      <w:r w:rsidR="00B24B47">
        <w:rPr>
          <w:iCs/>
        </w:rPr>
        <w:t>)</w:t>
      </w:r>
      <w:r w:rsidR="00971D97">
        <w:rPr>
          <w:iCs/>
        </w:rPr>
        <w:t>,</w:t>
      </w:r>
      <w:r w:rsidR="00396F5D">
        <w:rPr>
          <w:iCs/>
        </w:rPr>
        <w:t xml:space="preserve"> which </w:t>
      </w:r>
      <w:r w:rsidR="00971D97">
        <w:rPr>
          <w:iCs/>
        </w:rPr>
        <w:t xml:space="preserve">the </w:t>
      </w:r>
      <w:r w:rsidR="00396F5D">
        <w:rPr>
          <w:iCs/>
        </w:rPr>
        <w:t xml:space="preserve">record overwhelmingly demonstrates </w:t>
      </w:r>
      <w:r w:rsidR="00971D97">
        <w:rPr>
          <w:iCs/>
        </w:rPr>
        <w:t>wa</w:t>
      </w:r>
      <w:r w:rsidR="00396F5D">
        <w:rPr>
          <w:iCs/>
        </w:rPr>
        <w:t>s true here.</w:t>
      </w:r>
      <w:r w:rsidR="00B24B47">
        <w:rPr>
          <w:iCs/>
        </w:rPr>
        <w:t xml:space="preserve"> </w:t>
      </w:r>
      <w:r w:rsidR="00EF0DC0">
        <w:rPr>
          <w:iCs/>
        </w:rPr>
        <w:t xml:space="preserve"> </w:t>
      </w:r>
      <w:r w:rsidRPr="00910C57" w:rsidR="00910C57">
        <w:rPr>
          <w:i/>
        </w:rPr>
        <w:t>Margulis</w:t>
      </w:r>
      <w:r w:rsidR="00910C57">
        <w:rPr>
          <w:iCs/>
        </w:rPr>
        <w:t xml:space="preserve"> </w:t>
      </w:r>
      <w:r w:rsidR="005E1A2B">
        <w:rPr>
          <w:iCs/>
        </w:rPr>
        <w:t>concluded</w:t>
      </w:r>
      <w:r w:rsidR="00920892">
        <w:rPr>
          <w:iCs/>
        </w:rPr>
        <w:t xml:space="preserve"> </w:t>
      </w:r>
      <w:r w:rsidR="005E1A2B">
        <w:rPr>
          <w:iCs/>
        </w:rPr>
        <w:t xml:space="preserve">that </w:t>
      </w:r>
      <w:r w:rsidR="00A67300">
        <w:rPr>
          <w:iCs/>
        </w:rPr>
        <w:t xml:space="preserve">requiring burden shifting in these circumstances </w:t>
      </w:r>
      <w:r w:rsidR="007760EC">
        <w:rPr>
          <w:iCs/>
        </w:rPr>
        <w:t>“</w:t>
      </w:r>
      <w:r w:rsidR="00920892">
        <w:rPr>
          <w:iCs/>
        </w:rPr>
        <w:t xml:space="preserve">furthers the statutory purpose of requiring complete transparency and accountability in the management of community assets and of providing a remedy to the nonmanaging spouse when a breach </w:t>
      </w:r>
      <w:r w:rsidR="00682850">
        <w:rPr>
          <w:iCs/>
        </w:rPr>
        <w:t xml:space="preserve">of that fiduciary duty occurs.” </w:t>
      </w:r>
      <w:r w:rsidR="00FC6B19">
        <w:rPr>
          <w:iCs/>
        </w:rPr>
        <w:t xml:space="preserve"> </w:t>
      </w:r>
      <w:r w:rsidR="00682850">
        <w:rPr>
          <w:iCs/>
        </w:rPr>
        <w:t>(</w:t>
      </w:r>
      <w:r w:rsidRPr="00682850" w:rsidR="00682850">
        <w:rPr>
          <w:i/>
        </w:rPr>
        <w:t>Id</w:t>
      </w:r>
      <w:r w:rsidR="00682850">
        <w:rPr>
          <w:iCs/>
        </w:rPr>
        <w:t>. at p.</w:t>
      </w:r>
      <w:r w:rsidR="00FC6B19">
        <w:rPr>
          <w:iCs/>
        </w:rPr>
        <w:t> </w:t>
      </w:r>
      <w:r w:rsidR="00682850">
        <w:rPr>
          <w:iCs/>
        </w:rPr>
        <w:t>1274.)</w:t>
      </w:r>
      <w:r w:rsidR="00910C57">
        <w:rPr>
          <w:iCs/>
        </w:rPr>
        <w:t xml:space="preserve"> </w:t>
      </w:r>
      <w:r w:rsidR="00F60BF7">
        <w:rPr>
          <w:iCs/>
        </w:rPr>
        <w:t xml:space="preserve"> </w:t>
      </w:r>
    </w:p>
    <w:p w:rsidR="00AE7FDB" w:rsidP="00BF6C08" w14:paraId="7235D87D" w14:textId="6E280E5E">
      <w:pPr>
        <w:ind w:firstLine="720"/>
      </w:pPr>
      <w:r>
        <w:rPr>
          <w:iCs/>
        </w:rPr>
        <w:t xml:space="preserve">That rationale </w:t>
      </w:r>
      <w:r w:rsidR="00375151">
        <w:rPr>
          <w:iCs/>
        </w:rPr>
        <w:t>applies</w:t>
      </w:r>
      <w:r>
        <w:rPr>
          <w:iCs/>
        </w:rPr>
        <w:t xml:space="preserve"> here. </w:t>
      </w:r>
      <w:r w:rsidR="00375151">
        <w:rPr>
          <w:iCs/>
        </w:rPr>
        <w:t xml:space="preserve"> </w:t>
      </w:r>
      <w:r w:rsidR="00910C57">
        <w:rPr>
          <w:iCs/>
        </w:rPr>
        <w:t xml:space="preserve">Indeed, </w:t>
      </w:r>
      <w:r w:rsidR="00910C57">
        <w:t xml:space="preserve">the undisputed evidence of the extreme lengths to which Ramin went after separation to </w:t>
      </w:r>
      <w:r w:rsidRPr="00645171" w:rsidR="00910C57">
        <w:rPr>
          <w:i/>
          <w:iCs/>
        </w:rPr>
        <w:t>try</w:t>
      </w:r>
      <w:r w:rsidR="00910C57">
        <w:t xml:space="preserve"> to obtain information about the missing assets </w:t>
      </w:r>
      <w:r w:rsidR="00645171">
        <w:t xml:space="preserve">puts him in the same position as the wife in </w:t>
      </w:r>
      <w:r w:rsidRPr="006E3059" w:rsidR="00645171">
        <w:rPr>
          <w:i/>
          <w:iCs/>
        </w:rPr>
        <w:t>Margulis</w:t>
      </w:r>
      <w:r w:rsidR="00F1227D">
        <w:rPr>
          <w:i/>
          <w:iCs/>
        </w:rPr>
        <w:t xml:space="preserve"> </w:t>
      </w:r>
      <w:r w:rsidRPr="00690AA1" w:rsidR="00F1227D">
        <w:t xml:space="preserve">who could not determine or prove what happened to the couple’s </w:t>
      </w:r>
      <w:r w:rsidRPr="00690AA1" w:rsidR="00690AA1">
        <w:t>brokerage accounts</w:t>
      </w:r>
      <w:r w:rsidR="00A07349">
        <w:t>.  A</w:t>
      </w:r>
      <w:r w:rsidR="00690AA1">
        <w:t xml:space="preserve">nd </w:t>
      </w:r>
      <w:r w:rsidR="006E3059">
        <w:t xml:space="preserve">like the husband in </w:t>
      </w:r>
      <w:r w:rsidRPr="00836660" w:rsidR="006E3059">
        <w:rPr>
          <w:i/>
          <w:iCs/>
        </w:rPr>
        <w:t>Margulis</w:t>
      </w:r>
      <w:r w:rsidR="006E3059">
        <w:t xml:space="preserve">, Laleh </w:t>
      </w:r>
      <w:r w:rsidR="00836660">
        <w:t>had complete, unfettered access to the relevant proof</w:t>
      </w:r>
      <w:r w:rsidR="00EB51D6">
        <w:t xml:space="preserve">; </w:t>
      </w:r>
      <w:r w:rsidR="00BF6C08">
        <w:t xml:space="preserve">the only reasonable inference from the record is </w:t>
      </w:r>
      <w:r w:rsidR="00971D97">
        <w:t xml:space="preserve">that </w:t>
      </w:r>
      <w:r w:rsidRPr="00751A37" w:rsidR="00BF6C08">
        <w:rPr>
          <w:iCs/>
        </w:rPr>
        <w:t>had</w:t>
      </w:r>
      <w:r w:rsidR="00BF6C08">
        <w:t xml:space="preserve"> she bothered to </w:t>
      </w:r>
      <w:r w:rsidRPr="00751A37" w:rsidR="00BF6C08">
        <w:rPr>
          <w:i/>
        </w:rPr>
        <w:t>ask</w:t>
      </w:r>
      <w:r w:rsidR="00BF6C08">
        <w:t xml:space="preserve"> her brother to </w:t>
      </w:r>
      <w:r w:rsidRPr="00751A37" w:rsidR="00BF6C08">
        <w:t>tell</w:t>
      </w:r>
      <w:r w:rsidR="00BF6C08">
        <w:t xml:space="preserve"> her what happened to the money and provide </w:t>
      </w:r>
      <w:r w:rsidR="00690AA1">
        <w:t xml:space="preserve">her with documentary </w:t>
      </w:r>
      <w:r w:rsidR="00BF6C08">
        <w:t>proof</w:t>
      </w:r>
      <w:r w:rsidR="005424E3">
        <w:t>,</w:t>
      </w:r>
      <w:r w:rsidR="00BF6C08">
        <w:t xml:space="preserve"> he would have complied.</w:t>
      </w:r>
      <w:r>
        <w:rPr>
          <w:rStyle w:val="FootnoteReference"/>
        </w:rPr>
        <w:footnoteReference w:id="8"/>
      </w:r>
      <w:r w:rsidR="00BF6C08">
        <w:t xml:space="preserve">  She testified</w:t>
      </w:r>
      <w:r w:rsidR="00085AD0">
        <w:t xml:space="preserve"> she trusted him “110</w:t>
      </w:r>
      <w:r w:rsidR="00D201B5">
        <w:t xml:space="preserve"> percent</w:t>
      </w:r>
      <w:r w:rsidR="00971D97">
        <w:t>,</w:t>
      </w:r>
      <w:r w:rsidR="00827A83">
        <w:t>”</w:t>
      </w:r>
      <w:r w:rsidR="00D60272">
        <w:t xml:space="preserve"> </w:t>
      </w:r>
      <w:r w:rsidR="00827A83">
        <w:t>and</w:t>
      </w:r>
      <w:r w:rsidR="00F646FA">
        <w:t xml:space="preserve"> he would do anything </w:t>
      </w:r>
      <w:r w:rsidR="00726688">
        <w:t xml:space="preserve">she asked of him.  </w:t>
      </w:r>
    </w:p>
    <w:p w:rsidR="00B17100" w:rsidP="00934A23" w14:paraId="70D61532" w14:textId="7A1B3495">
      <w:pPr>
        <w:ind w:firstLine="720"/>
      </w:pPr>
      <w:r>
        <w:t xml:space="preserve">Laleh argues </w:t>
      </w:r>
      <w:r w:rsidR="005236C9">
        <w:t xml:space="preserve">that extending </w:t>
      </w:r>
      <w:r w:rsidRPr="000D404D" w:rsidR="005236C9">
        <w:rPr>
          <w:i/>
          <w:iCs/>
        </w:rPr>
        <w:t>Margulis</w:t>
      </w:r>
      <w:r w:rsidR="005236C9">
        <w:t xml:space="preserve"> to the circumstances here</w:t>
      </w:r>
      <w:r w:rsidR="00375151">
        <w:t>, where her brother handled all the finances in Iran,</w:t>
      </w:r>
      <w:r w:rsidR="005236C9">
        <w:t xml:space="preserve"> </w:t>
      </w:r>
      <w:r>
        <w:t xml:space="preserve">is “bad policy” but does not explain why. </w:t>
      </w:r>
      <w:r w:rsidR="00A36C3E">
        <w:t xml:space="preserve"> </w:t>
      </w:r>
      <w:r w:rsidR="00642987">
        <w:t>And w</w:t>
      </w:r>
      <w:r w:rsidR="007E4ACB">
        <w:t xml:space="preserve">e agree with </w:t>
      </w:r>
      <w:r w:rsidRPr="007E4ACB" w:rsidR="007E4ACB">
        <w:rPr>
          <w:i/>
          <w:iCs/>
        </w:rPr>
        <w:t>Ramin</w:t>
      </w:r>
      <w:r w:rsidR="007E4ACB">
        <w:t xml:space="preserve"> </w:t>
      </w:r>
      <w:r w:rsidR="00971D97">
        <w:t xml:space="preserve">that </w:t>
      </w:r>
      <w:r w:rsidR="007E4ACB">
        <w:t xml:space="preserve">it is not.  </w:t>
      </w:r>
      <w:r w:rsidR="00A36C3E">
        <w:t xml:space="preserve">If a spouse </w:t>
      </w:r>
      <w:r w:rsidR="00FE00CD">
        <w:t xml:space="preserve">hires a </w:t>
      </w:r>
      <w:r w:rsidRPr="00981DBC" w:rsidR="00632F09">
        <w:t>professional</w:t>
      </w:r>
      <w:r w:rsidR="00632F09">
        <w:t xml:space="preserve"> </w:t>
      </w:r>
      <w:r w:rsidR="00FE00CD">
        <w:t>money manager to</w:t>
      </w:r>
      <w:r w:rsidR="00D56659">
        <w:t xml:space="preserve"> invest </w:t>
      </w:r>
      <w:r w:rsidR="008707AF">
        <w:t>community assets</w:t>
      </w:r>
      <w:r w:rsidR="00AA13CC">
        <w:t xml:space="preserve"> </w:t>
      </w:r>
      <w:r w:rsidR="00612C41">
        <w:t>and</w:t>
      </w:r>
      <w:r w:rsidR="006A6B12">
        <w:t>, as between spouses,</w:t>
      </w:r>
      <w:r w:rsidR="00612C41">
        <w:t xml:space="preserve"> is solely responsible for</w:t>
      </w:r>
      <w:r w:rsidR="00BF5D11">
        <w:t xml:space="preserve"> managing </w:t>
      </w:r>
      <w:r w:rsidR="00612C41">
        <w:t xml:space="preserve">that relationship, </w:t>
      </w:r>
      <w:r w:rsidR="006773DD">
        <w:t xml:space="preserve">then nothing in </w:t>
      </w:r>
      <w:r w:rsidRPr="001A3F91" w:rsidR="006773DD">
        <w:rPr>
          <w:i/>
        </w:rPr>
        <w:t>Margulis</w:t>
      </w:r>
      <w:r w:rsidR="006773DD">
        <w:t xml:space="preserve"> would </w:t>
      </w:r>
      <w:r w:rsidR="001C587F">
        <w:t>relieve that spouse from a duty to account to the other spouse for the assets placed under third</w:t>
      </w:r>
      <w:r w:rsidR="00E40480">
        <w:t>-</w:t>
      </w:r>
      <w:r w:rsidR="001C587F">
        <w:t>party control.</w:t>
      </w:r>
      <w:r w:rsidR="00B0241F">
        <w:t xml:space="preserve"> </w:t>
      </w:r>
      <w:r w:rsidR="0080141A">
        <w:t xml:space="preserve"> </w:t>
      </w:r>
      <w:r w:rsidR="0008560C">
        <w:t xml:space="preserve">The </w:t>
      </w:r>
      <w:r w:rsidR="00436BDE">
        <w:t xml:space="preserve">involvement </w:t>
      </w:r>
      <w:r w:rsidR="0008560C">
        <w:t>of a third</w:t>
      </w:r>
      <w:r w:rsidR="00E40480">
        <w:t>-</w:t>
      </w:r>
      <w:r w:rsidR="0008560C">
        <w:t xml:space="preserve">party </w:t>
      </w:r>
      <w:r w:rsidR="00B0241F">
        <w:t xml:space="preserve">investment </w:t>
      </w:r>
      <w:r w:rsidR="00682518">
        <w:t xml:space="preserve">manager </w:t>
      </w:r>
      <w:r w:rsidR="0008560C">
        <w:t xml:space="preserve">in no way diminishes fiduciary duties </w:t>
      </w:r>
      <w:r w:rsidRPr="00436BDE" w:rsidR="0008560C">
        <w:rPr>
          <w:i/>
        </w:rPr>
        <w:t>between spouses</w:t>
      </w:r>
      <w:r w:rsidR="0008560C">
        <w:t>.</w:t>
      </w:r>
      <w:r w:rsidR="00B230BF">
        <w:t xml:space="preserve"> </w:t>
      </w:r>
      <w:r w:rsidR="00B35F96">
        <w:t xml:space="preserve"> Indeed, </w:t>
      </w:r>
      <w:r w:rsidR="002F0459">
        <w:t>by</w:t>
      </w:r>
      <w:r w:rsidR="009C6B93">
        <w:t xml:space="preserve"> </w:t>
      </w:r>
      <w:r w:rsidR="00B35F96">
        <w:t>managing the third</w:t>
      </w:r>
      <w:r w:rsidR="00E40480">
        <w:t>-</w:t>
      </w:r>
      <w:r w:rsidR="00B35F96">
        <w:t xml:space="preserve">party </w:t>
      </w:r>
      <w:r w:rsidRPr="009737B4" w:rsidR="00B35F96">
        <w:rPr>
          <w:i/>
        </w:rPr>
        <w:t>relationship</w:t>
      </w:r>
      <w:r w:rsidR="00B35F96">
        <w:t xml:space="preserve">, the spouse </w:t>
      </w:r>
      <w:r w:rsidRPr="00784EC5" w:rsidR="00B35F96">
        <w:rPr>
          <w:i/>
        </w:rPr>
        <w:t>is</w:t>
      </w:r>
      <w:r w:rsidR="00B35F96">
        <w:t xml:space="preserve"> managing </w:t>
      </w:r>
      <w:r w:rsidRPr="009737B4" w:rsidR="00B35F96">
        <w:t xml:space="preserve">the </w:t>
      </w:r>
      <w:r w:rsidR="00DE174C">
        <w:t xml:space="preserve">community’s </w:t>
      </w:r>
      <w:r w:rsidRPr="00784EC5" w:rsidR="00B35F96">
        <w:rPr>
          <w:iCs/>
        </w:rPr>
        <w:t>assets</w:t>
      </w:r>
      <w:r w:rsidR="00DE174C">
        <w:rPr>
          <w:iCs/>
        </w:rPr>
        <w:t xml:space="preserve"> placed under third</w:t>
      </w:r>
      <w:r w:rsidR="00E40480">
        <w:rPr>
          <w:iCs/>
        </w:rPr>
        <w:t>-</w:t>
      </w:r>
      <w:r w:rsidR="00DE174C">
        <w:rPr>
          <w:iCs/>
        </w:rPr>
        <w:t>party control</w:t>
      </w:r>
      <w:r w:rsidR="00B35F96">
        <w:t xml:space="preserve">.  </w:t>
      </w:r>
    </w:p>
    <w:p w:rsidR="002679DA" w:rsidRPr="00697145" w:rsidP="00934A23" w14:paraId="5B717DA5" w14:textId="528ACBB2">
      <w:pPr>
        <w:ind w:firstLine="720"/>
      </w:pPr>
      <w:r>
        <w:t xml:space="preserve">Accordingly, the trial court erred in finding that </w:t>
      </w:r>
      <w:r w:rsidR="00200659">
        <w:t xml:space="preserve">Laleh did not manage and control the couple’s Iranian investments for purposes of </w:t>
      </w:r>
      <w:r w:rsidR="00375151">
        <w:t>the</w:t>
      </w:r>
      <w:r w:rsidR="00200659">
        <w:t xml:space="preserve"> </w:t>
      </w:r>
      <w:r w:rsidRPr="00200659" w:rsidR="00200659">
        <w:rPr>
          <w:i/>
          <w:iCs/>
        </w:rPr>
        <w:t>Margulis</w:t>
      </w:r>
      <w:r w:rsidR="00200659">
        <w:t xml:space="preserve"> burden-shifting analysis.</w:t>
      </w:r>
      <w:r>
        <w:t xml:space="preserve"> </w:t>
      </w:r>
      <w:r w:rsidR="00FF0068">
        <w:t xml:space="preserve"> </w:t>
      </w:r>
    </w:p>
    <w:p w:rsidR="004B3694" w:rsidP="00CC2CCA" w14:paraId="568672DB" w14:textId="03410A8F">
      <w:pPr>
        <w:keepNext/>
        <w:ind w:left="1080" w:hanging="360"/>
        <w:rPr>
          <w:b/>
        </w:rPr>
      </w:pPr>
      <w:r w:rsidRPr="00697145">
        <w:rPr>
          <w:b/>
        </w:rPr>
        <w:t>B.</w:t>
      </w:r>
      <w:r w:rsidRPr="00697145">
        <w:rPr>
          <w:b/>
        </w:rPr>
        <w:tab/>
      </w:r>
      <w:r>
        <w:rPr>
          <w:b/>
        </w:rPr>
        <w:t xml:space="preserve"> </w:t>
      </w:r>
      <w:r w:rsidR="004C436C">
        <w:rPr>
          <w:b/>
        </w:rPr>
        <w:t xml:space="preserve"> </w:t>
      </w:r>
      <w:r>
        <w:rPr>
          <w:b/>
        </w:rPr>
        <w:t>Value and Existence of Missing Assets</w:t>
      </w:r>
    </w:p>
    <w:p w:rsidR="00EF5EC6" w:rsidP="00C4377C" w14:paraId="03295F09" w14:textId="3395EE00">
      <w:pPr>
        <w:ind w:firstLine="720"/>
      </w:pPr>
      <w:r w:rsidRPr="00C4377C">
        <w:t>This bring</w:t>
      </w:r>
      <w:r w:rsidR="005424E3">
        <w:t>s</w:t>
      </w:r>
      <w:r w:rsidRPr="00C4377C">
        <w:t xml:space="preserve"> us to Ramin’s argument that he made a prima facie showing</w:t>
      </w:r>
      <w:r w:rsidR="00442987">
        <w:t xml:space="preserve"> </w:t>
      </w:r>
      <w:r w:rsidRPr="00FC0610" w:rsidR="00FC0610">
        <w:t>concerning</w:t>
      </w:r>
      <w:r w:rsidRPr="000B26B1" w:rsidR="00442987">
        <w:rPr>
          <w:color w:val="FF0000"/>
        </w:rPr>
        <w:t xml:space="preserve"> </w:t>
      </w:r>
      <w:r w:rsidR="00B04EBC">
        <w:t>the e</w:t>
      </w:r>
      <w:r w:rsidR="00442987">
        <w:t>xistence of assets in Iran in Laleh’s possession and control at the time the parties separated</w:t>
      </w:r>
      <w:r w:rsidR="00BF5CF8">
        <w:t xml:space="preserve">, </w:t>
      </w:r>
      <w:r w:rsidR="005424E3">
        <w:t xml:space="preserve">which was </w:t>
      </w:r>
      <w:r w:rsidR="00BF5CF8">
        <w:t xml:space="preserve">sufficient to shift the burden of proof to Laleh under </w:t>
      </w:r>
      <w:r w:rsidRPr="00BF5CF8" w:rsidR="00BF5CF8">
        <w:rPr>
          <w:i/>
          <w:iCs/>
        </w:rPr>
        <w:t>Margulis</w:t>
      </w:r>
      <w:r w:rsidR="00442987">
        <w:t>.</w:t>
      </w:r>
      <w:r w:rsidR="00B230BF">
        <w:t xml:space="preserve">  </w:t>
      </w:r>
    </w:p>
    <w:p w:rsidR="004B3694" w:rsidRPr="00C4377C" w:rsidP="009E4371" w14:paraId="041C0138" w14:textId="7321A97D">
      <w:pPr>
        <w:ind w:firstLine="720"/>
      </w:pPr>
      <w:r>
        <w:t xml:space="preserve">We </w:t>
      </w:r>
      <w:r w:rsidR="00F50DCF">
        <w:t xml:space="preserve">agree with Ramin that we </w:t>
      </w:r>
      <w:r>
        <w:t xml:space="preserve">review </w:t>
      </w:r>
      <w:r w:rsidR="00D0769A">
        <w:t>the</w:t>
      </w:r>
      <w:r w:rsidR="00725CA5">
        <w:t xml:space="preserve"> question whether a prima facie showing has been made de novo</w:t>
      </w:r>
      <w:r w:rsidR="00F50DCF">
        <w:t>, a</w:t>
      </w:r>
      <w:r w:rsidR="000F2EB7">
        <w:t xml:space="preserve"> point</w:t>
      </w:r>
      <w:r w:rsidR="00F50DCF">
        <w:t xml:space="preserve"> Laleh does not </w:t>
      </w:r>
      <w:r w:rsidR="000F2EB7">
        <w:t>contest</w:t>
      </w:r>
      <w:r w:rsidR="00F50DCF">
        <w:t xml:space="preserve">. </w:t>
      </w:r>
      <w:r w:rsidR="00725CA5">
        <w:t xml:space="preserve"> This was implicit in </w:t>
      </w:r>
      <w:r w:rsidRPr="00EC5DF1" w:rsidR="00725CA5">
        <w:rPr>
          <w:i/>
          <w:iCs/>
        </w:rPr>
        <w:t>Margulis</w:t>
      </w:r>
      <w:r w:rsidR="00725CA5">
        <w:t xml:space="preserve">, which held that the wife’s introduction of a </w:t>
      </w:r>
      <w:r w:rsidR="00D71DA7">
        <w:t xml:space="preserve">single document </w:t>
      </w:r>
      <w:r w:rsidR="00D756C0">
        <w:t xml:space="preserve">prepared by husband </w:t>
      </w:r>
      <w:r w:rsidR="00C92DE8">
        <w:t xml:space="preserve">three years after separation </w:t>
      </w:r>
      <w:r w:rsidR="00D756C0">
        <w:t>listing the couple’s assets</w:t>
      </w:r>
      <w:r w:rsidR="00C92DE8">
        <w:t xml:space="preserve"> </w:t>
      </w:r>
      <w:r w:rsidR="00725CA5">
        <w:t xml:space="preserve">satisfied her </w:t>
      </w:r>
      <w:r w:rsidR="007852F3">
        <w:t xml:space="preserve">initial burden to show her husband controlled </w:t>
      </w:r>
      <w:r w:rsidR="00C92DE8">
        <w:t xml:space="preserve">community </w:t>
      </w:r>
      <w:r w:rsidR="007852F3">
        <w:t>assets of a certain value post</w:t>
      </w:r>
      <w:r w:rsidR="009834A9">
        <w:t>-</w:t>
      </w:r>
      <w:r w:rsidR="005424E3">
        <w:t>s</w:t>
      </w:r>
      <w:r w:rsidR="007852F3">
        <w:t>eparation.</w:t>
      </w:r>
      <w:r w:rsidR="0060357A">
        <w:t xml:space="preserve"> </w:t>
      </w:r>
      <w:r w:rsidR="007852F3">
        <w:t xml:space="preserve"> (See </w:t>
      </w:r>
      <w:r w:rsidR="004C436C">
        <w:rPr>
          <w:i/>
        </w:rPr>
        <w:t>Margulis</w:t>
      </w:r>
      <w:r w:rsidR="004C436C">
        <w:rPr>
          <w:iCs/>
        </w:rPr>
        <w:t xml:space="preserve">, </w:t>
      </w:r>
      <w:r w:rsidRPr="00B24B47" w:rsidR="004C436C">
        <w:rPr>
          <w:i/>
          <w:iCs/>
        </w:rPr>
        <w:t>supra</w:t>
      </w:r>
      <w:r w:rsidR="004C436C">
        <w:rPr>
          <w:iCs/>
        </w:rPr>
        <w:t>, 198 Cal.App.4th</w:t>
      </w:r>
      <w:r w:rsidR="007852F3">
        <w:t xml:space="preserve"> at p</w:t>
      </w:r>
      <w:r w:rsidR="000C160C">
        <w:t>p</w:t>
      </w:r>
      <w:r w:rsidR="007852F3">
        <w:t xml:space="preserve">. </w:t>
      </w:r>
      <w:r w:rsidR="00C92DE8">
        <w:t xml:space="preserve">1258, </w:t>
      </w:r>
      <w:r w:rsidR="000C160C">
        <w:t xml:space="preserve">1262, </w:t>
      </w:r>
      <w:r w:rsidR="00056EFE">
        <w:t xml:space="preserve">1273.)  </w:t>
      </w:r>
      <w:r w:rsidR="005424E3">
        <w:t>The de novo standard</w:t>
      </w:r>
      <w:r w:rsidR="00056EFE">
        <w:t xml:space="preserve"> </w:t>
      </w:r>
      <w:r w:rsidR="005424E3">
        <w:t xml:space="preserve">on appeal applies to assessing whether </w:t>
      </w:r>
      <w:r w:rsidR="001E1693">
        <w:t>the prima facie standard</w:t>
      </w:r>
      <w:r w:rsidR="005424E3">
        <w:t xml:space="preserve"> has been met.  </w:t>
      </w:r>
      <w:r w:rsidR="00BA0A85">
        <w:t>That question is a legal one:  whether the</w:t>
      </w:r>
      <w:r w:rsidR="001E1693">
        <w:t xml:space="preserve"> </w:t>
      </w:r>
      <w:r w:rsidR="0091185F">
        <w:t xml:space="preserve">evidence </w:t>
      </w:r>
      <w:r w:rsidR="00BA0A85">
        <w:t xml:space="preserve">is </w:t>
      </w:r>
      <w:r w:rsidR="0091185F">
        <w:t xml:space="preserve">sufficient to support a ruling in the plaintiff’s favor </w:t>
      </w:r>
      <w:r w:rsidRPr="00CB5E60" w:rsidR="00CB5E60">
        <w:t>if no controverting evidence is presented</w:t>
      </w:r>
      <w:r w:rsidR="00623C25">
        <w:t>.  (</w:t>
      </w:r>
      <w:r w:rsidRPr="00623C25" w:rsidR="00623C25">
        <w:rPr>
          <w:i/>
          <w:iCs/>
        </w:rPr>
        <w:t>ZL Technologies, Inc. v. Does 1-7</w:t>
      </w:r>
      <w:r w:rsidRPr="00623C25" w:rsidR="00623C25">
        <w:t xml:space="preserve"> (2017) </w:t>
      </w:r>
      <w:r w:rsidRPr="009D4817" w:rsidR="00623C25">
        <w:t>13</w:t>
      </w:r>
      <w:r w:rsidRPr="009D4817" w:rsidR="004C436C">
        <w:t> </w:t>
      </w:r>
      <w:r w:rsidRPr="009D4817" w:rsidR="00623C25">
        <w:t>Cal.App.5th 603, 612</w:t>
      </w:r>
      <w:r w:rsidR="00BA0A85">
        <w:t xml:space="preserve"> (</w:t>
      </w:r>
      <w:r w:rsidRPr="00BA0A85" w:rsidR="00BA0A85">
        <w:rPr>
          <w:i/>
          <w:iCs/>
        </w:rPr>
        <w:t>ZL Technologies</w:t>
      </w:r>
      <w:r w:rsidR="00BA0A85">
        <w:t>)</w:t>
      </w:r>
      <w:r w:rsidR="00623C25">
        <w:t xml:space="preserve">.) </w:t>
      </w:r>
      <w:r w:rsidR="00BA0A85">
        <w:t xml:space="preserve"> </w:t>
      </w:r>
    </w:p>
    <w:p w:rsidR="004B3694" w:rsidP="00CC2CCA" w14:paraId="38CB7008" w14:textId="6B40E778">
      <w:pPr>
        <w:keepNext/>
        <w:ind w:left="1080" w:hanging="360"/>
        <w:rPr>
          <w:b/>
        </w:rPr>
      </w:pPr>
      <w:r>
        <w:rPr>
          <w:b/>
        </w:rPr>
        <w:tab/>
      </w:r>
      <w:r>
        <w:rPr>
          <w:b/>
        </w:rPr>
        <w:tab/>
        <w:t>1.</w:t>
      </w:r>
      <w:r w:rsidR="004C436C">
        <w:rPr>
          <w:b/>
        </w:rPr>
        <w:t xml:space="preserve">  </w:t>
      </w:r>
      <w:r w:rsidRPr="00E40480">
        <w:rPr>
          <w:b/>
          <w:i/>
          <w:iCs/>
        </w:rPr>
        <w:t>The H</w:t>
      </w:r>
      <w:r w:rsidRPr="00E40480" w:rsidR="003403A2">
        <w:rPr>
          <w:b/>
          <w:i/>
          <w:iCs/>
        </w:rPr>
        <w:t>ELO</w:t>
      </w:r>
      <w:r w:rsidRPr="00E40480">
        <w:rPr>
          <w:b/>
          <w:i/>
          <w:iCs/>
        </w:rPr>
        <w:t>C Proceeds</w:t>
      </w:r>
    </w:p>
    <w:p w:rsidR="00770C62" w:rsidRPr="009834A9" w:rsidP="009834A9" w14:paraId="576260B7" w14:textId="6D7003C4">
      <w:pPr>
        <w:ind w:firstLine="720"/>
      </w:pPr>
      <w:r>
        <w:rPr>
          <w:bCs/>
        </w:rPr>
        <w:t xml:space="preserve">The HELOC proceeds were sent to Iran in 2008, five years before the parties separated in 2013.  </w:t>
      </w:r>
      <w:r w:rsidR="005E5DDE">
        <w:t>In evaluating whether Ramin made a prima facie showing concerning the</w:t>
      </w:r>
      <w:r>
        <w:t>ir</w:t>
      </w:r>
      <w:r w:rsidR="005E5DDE">
        <w:t xml:space="preserve"> existence and value </w:t>
      </w:r>
      <w:r w:rsidRPr="00E839B4">
        <w:rPr>
          <w:i/>
        </w:rPr>
        <w:t>at the time of separation</w:t>
      </w:r>
      <w:r w:rsidR="005E5DDE">
        <w:t xml:space="preserve">, we note that Lalah, to her attorney’s credit, acknowledges </w:t>
      </w:r>
      <w:r>
        <w:rPr>
          <w:bCs/>
        </w:rPr>
        <w:t xml:space="preserve">that “the threshold for a prima facie showing is low.”  </w:t>
      </w:r>
      <w:r w:rsidR="00BA0A85">
        <w:rPr>
          <w:bCs/>
        </w:rPr>
        <w:t xml:space="preserve">(See </w:t>
      </w:r>
      <w:r w:rsidRPr="00BA0A85" w:rsidR="00BA0A85">
        <w:rPr>
          <w:bCs/>
          <w:i/>
          <w:iCs/>
        </w:rPr>
        <w:t>ZL</w:t>
      </w:r>
      <w:r w:rsidR="00BA0A85">
        <w:rPr>
          <w:bCs/>
        </w:rPr>
        <w:t xml:space="preserve"> </w:t>
      </w:r>
      <w:r w:rsidRPr="00BA0A85" w:rsidR="00BA0A85">
        <w:rPr>
          <w:bCs/>
          <w:i/>
          <w:iCs/>
        </w:rPr>
        <w:t>Technologies</w:t>
      </w:r>
      <w:r w:rsidR="00BA0A85">
        <w:rPr>
          <w:bCs/>
        </w:rPr>
        <w:t xml:space="preserve">, </w:t>
      </w:r>
      <w:r w:rsidRPr="00BA0A85" w:rsidR="00BA0A85">
        <w:rPr>
          <w:bCs/>
          <w:i/>
          <w:iCs/>
        </w:rPr>
        <w:t>supra</w:t>
      </w:r>
      <w:r w:rsidR="00BA0A85">
        <w:rPr>
          <w:bCs/>
        </w:rPr>
        <w:t>, 13</w:t>
      </w:r>
      <w:r w:rsidR="004C436C">
        <w:rPr>
          <w:bCs/>
        </w:rPr>
        <w:t> </w:t>
      </w:r>
      <w:r w:rsidR="00BA0A85">
        <w:rPr>
          <w:bCs/>
        </w:rPr>
        <w:t>Cal.App.5th at p. 612</w:t>
      </w:r>
      <w:r w:rsidRPr="00BA0A85" w:rsidR="00BA0A85">
        <w:t xml:space="preserve"> </w:t>
      </w:r>
      <w:r w:rsidR="00BA0A85">
        <w:t>[“</w:t>
      </w:r>
      <w:r w:rsidR="009834A9">
        <w:t>[S]</w:t>
      </w:r>
      <w:r w:rsidR="00BA0A85">
        <w:t>light”</w:t>
      </w:r>
      <w:r w:rsidRPr="00CB5E60" w:rsidR="00BA0A85">
        <w:t xml:space="preserve"> evidence creat</w:t>
      </w:r>
      <w:r w:rsidR="00BA0A85">
        <w:t>ing</w:t>
      </w:r>
      <w:r w:rsidRPr="00CB5E60" w:rsidR="00BA0A85">
        <w:t xml:space="preserve"> reasonable inference of fact sought to be </w:t>
      </w:r>
      <w:r w:rsidR="00BA0A85">
        <w:t>proved suffices</w:t>
      </w:r>
      <w:r w:rsidR="009834A9">
        <w:t>,</w:t>
      </w:r>
      <w:r w:rsidR="00BA0A85">
        <w:t xml:space="preserve"> and the evidence </w:t>
      </w:r>
      <w:r w:rsidRPr="00CB5E60" w:rsidR="00BA0A85">
        <w:t>need not eliminate all contrary inferences</w:t>
      </w:r>
      <w:r w:rsidR="00BA0A85">
        <w:t>])</w:t>
      </w:r>
      <w:r w:rsidRPr="00CB5E60" w:rsidR="00BA0A85">
        <w:t>.</w:t>
      </w:r>
      <w:r w:rsidR="00BA0A85">
        <w:t xml:space="preserve">  </w:t>
      </w:r>
    </w:p>
    <w:p w:rsidR="009A7D10" w:rsidP="00AA6106" w14:paraId="0AAE0904" w14:textId="1A5D1C4B">
      <w:pPr>
        <w:ind w:firstLine="720"/>
        <w:rPr>
          <w:bCs/>
        </w:rPr>
      </w:pPr>
      <w:r>
        <w:rPr>
          <w:bCs/>
        </w:rPr>
        <w:t>Ramin contend</w:t>
      </w:r>
      <w:r w:rsidR="00C155C6">
        <w:rPr>
          <w:bCs/>
        </w:rPr>
        <w:t>s</w:t>
      </w:r>
      <w:r>
        <w:rPr>
          <w:bCs/>
        </w:rPr>
        <w:t xml:space="preserve"> </w:t>
      </w:r>
      <w:r w:rsidR="00871941">
        <w:rPr>
          <w:bCs/>
        </w:rPr>
        <w:t xml:space="preserve">he </w:t>
      </w:r>
      <w:r w:rsidR="005C7FD7">
        <w:rPr>
          <w:bCs/>
        </w:rPr>
        <w:t xml:space="preserve">met this low standard </w:t>
      </w:r>
      <w:r w:rsidR="00C155C6">
        <w:rPr>
          <w:bCs/>
        </w:rPr>
        <w:t xml:space="preserve">based on several </w:t>
      </w:r>
      <w:r w:rsidR="00B968B5">
        <w:rPr>
          <w:bCs/>
        </w:rPr>
        <w:t>pieces of evidence, viewed collectively</w:t>
      </w:r>
      <w:r w:rsidR="00A55C82">
        <w:rPr>
          <w:bCs/>
        </w:rPr>
        <w:t>.</w:t>
      </w:r>
      <w:r w:rsidR="00B230BF">
        <w:rPr>
          <w:bCs/>
        </w:rPr>
        <w:t xml:space="preserve"> </w:t>
      </w:r>
      <w:r w:rsidR="005641EC">
        <w:rPr>
          <w:bCs/>
        </w:rPr>
        <w:t xml:space="preserve"> </w:t>
      </w:r>
      <w:r w:rsidR="005470EB">
        <w:rPr>
          <w:bCs/>
        </w:rPr>
        <w:t xml:space="preserve">One is his testimony </w:t>
      </w:r>
      <w:r w:rsidR="004F7188">
        <w:rPr>
          <w:bCs/>
        </w:rPr>
        <w:t xml:space="preserve">at trial </w:t>
      </w:r>
      <w:r w:rsidR="00E27DC9">
        <w:rPr>
          <w:bCs/>
        </w:rPr>
        <w:t xml:space="preserve">that </w:t>
      </w:r>
      <w:r w:rsidR="00F40CAC">
        <w:rPr>
          <w:bCs/>
        </w:rPr>
        <w:t xml:space="preserve">Laleh told him </w:t>
      </w:r>
      <w:r w:rsidR="00AC2398">
        <w:rPr>
          <w:bCs/>
        </w:rPr>
        <w:t>Ali bought real estate in Iran for them from the funds the couple had deposited into their joint Iranian bank account</w:t>
      </w:r>
      <w:r w:rsidR="005B6F6D">
        <w:rPr>
          <w:bCs/>
        </w:rPr>
        <w:t xml:space="preserve"> </w:t>
      </w:r>
      <w:r w:rsidR="00A57206">
        <w:rPr>
          <w:bCs/>
        </w:rPr>
        <w:t>including the HELOC proceeds</w:t>
      </w:r>
      <w:r w:rsidR="00AE5F58">
        <w:rPr>
          <w:bCs/>
        </w:rPr>
        <w:t xml:space="preserve">. </w:t>
      </w:r>
      <w:r w:rsidR="00A57206">
        <w:rPr>
          <w:bCs/>
        </w:rPr>
        <w:t xml:space="preserve"> </w:t>
      </w:r>
      <w:r w:rsidR="004F7188">
        <w:rPr>
          <w:bCs/>
        </w:rPr>
        <w:t xml:space="preserve">He </w:t>
      </w:r>
      <w:r w:rsidR="00A55C82">
        <w:rPr>
          <w:bCs/>
        </w:rPr>
        <w:t xml:space="preserve">also </w:t>
      </w:r>
      <w:r w:rsidR="004A540C">
        <w:rPr>
          <w:bCs/>
        </w:rPr>
        <w:t>asserts that</w:t>
      </w:r>
      <w:r w:rsidR="009834A9">
        <w:rPr>
          <w:bCs/>
        </w:rPr>
        <w:t>, consistent with his testimony,</w:t>
      </w:r>
      <w:r w:rsidR="004A540C">
        <w:rPr>
          <w:bCs/>
        </w:rPr>
        <w:t xml:space="preserve"> </w:t>
      </w:r>
      <w:r w:rsidR="005A6B6A">
        <w:rPr>
          <w:bCs/>
        </w:rPr>
        <w:t xml:space="preserve">Laleh’s </w:t>
      </w:r>
      <w:r w:rsidR="009834A9">
        <w:rPr>
          <w:bCs/>
        </w:rPr>
        <w:t xml:space="preserve">early </w:t>
      </w:r>
      <w:r w:rsidR="005C7FD7">
        <w:rPr>
          <w:bCs/>
        </w:rPr>
        <w:t xml:space="preserve">pretrial </w:t>
      </w:r>
      <w:r w:rsidR="005A6B6A">
        <w:rPr>
          <w:bCs/>
        </w:rPr>
        <w:t>disclosures</w:t>
      </w:r>
      <w:r w:rsidR="005C7FD7">
        <w:rPr>
          <w:bCs/>
        </w:rPr>
        <w:t xml:space="preserve"> and </w:t>
      </w:r>
      <w:r w:rsidR="00A55C82">
        <w:rPr>
          <w:bCs/>
        </w:rPr>
        <w:t>written discovery response</w:t>
      </w:r>
      <w:r w:rsidR="005C7FD7">
        <w:rPr>
          <w:bCs/>
        </w:rPr>
        <w:t xml:space="preserve">s </w:t>
      </w:r>
      <w:r w:rsidR="009834A9">
        <w:rPr>
          <w:bCs/>
        </w:rPr>
        <w:t xml:space="preserve">admitted he and Laleh had existing </w:t>
      </w:r>
      <w:r w:rsidR="005A6B6A">
        <w:rPr>
          <w:bCs/>
        </w:rPr>
        <w:t>real estate holdings in Iran</w:t>
      </w:r>
      <w:r w:rsidR="005C7FD7">
        <w:rPr>
          <w:bCs/>
        </w:rPr>
        <w:t>, citing the December 2014 documents we have discussed (Trial Exhibits GGG and ZZ)</w:t>
      </w:r>
      <w:r w:rsidR="00CB7EDF">
        <w:rPr>
          <w:bCs/>
        </w:rPr>
        <w:t xml:space="preserve">. </w:t>
      </w:r>
      <w:r w:rsidR="0079182D">
        <w:rPr>
          <w:bCs/>
        </w:rPr>
        <w:t xml:space="preserve"> </w:t>
      </w:r>
      <w:r w:rsidR="009834A9">
        <w:rPr>
          <w:bCs/>
        </w:rPr>
        <w:t>The parties’ ownership of real estate assets in Iran was further corroborated by</w:t>
      </w:r>
      <w:r w:rsidR="00FB60F3">
        <w:rPr>
          <w:bCs/>
        </w:rPr>
        <w:t xml:space="preserve"> the testimony of Laleh’s friend, </w:t>
      </w:r>
      <w:r w:rsidR="005C7FD7">
        <w:rPr>
          <w:bCs/>
        </w:rPr>
        <w:t xml:space="preserve">he asserts, </w:t>
      </w:r>
      <w:r w:rsidR="00FB60F3">
        <w:rPr>
          <w:bCs/>
        </w:rPr>
        <w:t xml:space="preserve">who testified about the purchase of real estate in Iran. </w:t>
      </w:r>
    </w:p>
    <w:p w:rsidR="007812CD" w:rsidP="00EF5EA3" w14:paraId="7597E2C4" w14:textId="6B48243F">
      <w:pPr>
        <w:ind w:firstLine="720"/>
        <w:rPr>
          <w:bCs/>
        </w:rPr>
      </w:pPr>
      <w:r>
        <w:rPr>
          <w:bCs/>
        </w:rPr>
        <w:t>Laleh does not address any of this evidence or argument.</w:t>
      </w:r>
      <w:r w:rsidR="00B230BF">
        <w:rPr>
          <w:bCs/>
        </w:rPr>
        <w:t xml:space="preserve"> </w:t>
      </w:r>
      <w:r w:rsidR="003D17DC">
        <w:rPr>
          <w:bCs/>
        </w:rPr>
        <w:t xml:space="preserve"> </w:t>
      </w:r>
      <w:r>
        <w:rPr>
          <w:bCs/>
        </w:rPr>
        <w:t xml:space="preserve">Her only </w:t>
      </w:r>
      <w:r w:rsidR="00BF71C5">
        <w:rPr>
          <w:bCs/>
        </w:rPr>
        <w:t>response is that “the court had serious concerns about [Ramin’s] credibility on these topics</w:t>
      </w:r>
      <w:r w:rsidR="00BF2C94">
        <w:rPr>
          <w:bCs/>
        </w:rPr>
        <w:t xml:space="preserve">” and so “it can reasonably be concluded that [he] failed to meet this [prima facie] threshold.” </w:t>
      </w:r>
      <w:r w:rsidR="00B230BF">
        <w:rPr>
          <w:bCs/>
        </w:rPr>
        <w:t xml:space="preserve"> </w:t>
      </w:r>
      <w:r w:rsidR="00585A74">
        <w:rPr>
          <w:bCs/>
        </w:rPr>
        <w:t xml:space="preserve">Credibility is not the issue; </w:t>
      </w:r>
      <w:r w:rsidR="003D17DC">
        <w:rPr>
          <w:bCs/>
        </w:rPr>
        <w:t xml:space="preserve">the question is whether </w:t>
      </w:r>
      <w:r w:rsidR="00B968B5">
        <w:rPr>
          <w:bCs/>
        </w:rPr>
        <w:t>the cited</w:t>
      </w:r>
      <w:r w:rsidR="000211EF">
        <w:rPr>
          <w:bCs/>
        </w:rPr>
        <w:t xml:space="preserve"> evidence would be sufficient to sustain a finding in Ramin’s favor.</w:t>
      </w:r>
      <w:r w:rsidR="00F20C8E">
        <w:rPr>
          <w:bCs/>
        </w:rPr>
        <w:t xml:space="preserve"> </w:t>
      </w:r>
      <w:r w:rsidR="00B968B5">
        <w:rPr>
          <w:bCs/>
        </w:rPr>
        <w:t xml:space="preserve"> </w:t>
      </w:r>
      <w:r w:rsidR="000211EF">
        <w:rPr>
          <w:bCs/>
        </w:rPr>
        <w:t xml:space="preserve">It was. </w:t>
      </w:r>
      <w:r w:rsidR="00B968B5">
        <w:rPr>
          <w:bCs/>
        </w:rPr>
        <w:t xml:space="preserve"> </w:t>
      </w:r>
      <w:r w:rsidR="00C165EB">
        <w:rPr>
          <w:bCs/>
        </w:rPr>
        <w:t xml:space="preserve">It was more than sufficient to sustain a finding that </w:t>
      </w:r>
      <w:r w:rsidR="00B61487">
        <w:rPr>
          <w:bCs/>
        </w:rPr>
        <w:t>post</w:t>
      </w:r>
      <w:r w:rsidR="009834A9">
        <w:rPr>
          <w:bCs/>
        </w:rPr>
        <w:t>-</w:t>
      </w:r>
      <w:r w:rsidR="00B61487">
        <w:rPr>
          <w:bCs/>
        </w:rPr>
        <w:t xml:space="preserve">separation </w:t>
      </w:r>
      <w:r w:rsidR="00A1091E">
        <w:rPr>
          <w:bCs/>
        </w:rPr>
        <w:t xml:space="preserve">Laleh, through her brother in Iran, controlled </w:t>
      </w:r>
      <w:r w:rsidR="00B61487">
        <w:rPr>
          <w:bCs/>
        </w:rPr>
        <w:t xml:space="preserve">real estate </w:t>
      </w:r>
      <w:r w:rsidR="00A1091E">
        <w:rPr>
          <w:bCs/>
        </w:rPr>
        <w:t xml:space="preserve">assets </w:t>
      </w:r>
      <w:r w:rsidR="00B61487">
        <w:rPr>
          <w:bCs/>
        </w:rPr>
        <w:t xml:space="preserve">in Iran purchased during the marriage with </w:t>
      </w:r>
      <w:r w:rsidR="0013369E">
        <w:rPr>
          <w:bCs/>
        </w:rPr>
        <w:t xml:space="preserve">the </w:t>
      </w:r>
      <w:r w:rsidR="00B61487">
        <w:rPr>
          <w:bCs/>
        </w:rPr>
        <w:t xml:space="preserve">HELOC </w:t>
      </w:r>
      <w:r w:rsidR="0013369E">
        <w:rPr>
          <w:bCs/>
        </w:rPr>
        <w:t>funds</w:t>
      </w:r>
      <w:r w:rsidR="00B61487">
        <w:rPr>
          <w:bCs/>
        </w:rPr>
        <w:t>.</w:t>
      </w:r>
      <w:r w:rsidR="00FE2569">
        <w:rPr>
          <w:bCs/>
        </w:rPr>
        <w:t xml:space="preserve">  Under </w:t>
      </w:r>
      <w:r w:rsidRPr="00FE2569" w:rsidR="00FE2569">
        <w:rPr>
          <w:bCs/>
          <w:i/>
          <w:iCs/>
        </w:rPr>
        <w:t>Margulis</w:t>
      </w:r>
      <w:r w:rsidR="00FE2569">
        <w:rPr>
          <w:bCs/>
        </w:rPr>
        <w:t>, this evidence shifted the burden to Laleh</w:t>
      </w:r>
      <w:r w:rsidR="004D3BFD">
        <w:rPr>
          <w:bCs/>
        </w:rPr>
        <w:t xml:space="preserve"> to account for the missing assets</w:t>
      </w:r>
      <w:r w:rsidR="008A2005">
        <w:rPr>
          <w:bCs/>
        </w:rPr>
        <w:t xml:space="preserve"> or else charge her with their value</w:t>
      </w:r>
      <w:r w:rsidR="00C56FCE">
        <w:rPr>
          <w:bCs/>
        </w:rPr>
        <w:t>.</w:t>
      </w:r>
      <w:r w:rsidR="00F14D6A">
        <w:rPr>
          <w:bCs/>
        </w:rPr>
        <w:t xml:space="preserve"> </w:t>
      </w:r>
      <w:r w:rsidR="004D3BFD">
        <w:rPr>
          <w:bCs/>
        </w:rPr>
        <w:t xml:space="preserve"> </w:t>
      </w:r>
      <w:r w:rsidR="00F14D6A">
        <w:rPr>
          <w:bCs/>
        </w:rPr>
        <w:t xml:space="preserve">(See </w:t>
      </w:r>
      <w:r w:rsidRPr="00F14D6A" w:rsidR="00F14D6A">
        <w:rPr>
          <w:bCs/>
          <w:i/>
          <w:iCs/>
        </w:rPr>
        <w:t>Margulis</w:t>
      </w:r>
      <w:r w:rsidR="00F14D6A">
        <w:rPr>
          <w:bCs/>
        </w:rPr>
        <w:t xml:space="preserve">, </w:t>
      </w:r>
      <w:r w:rsidRPr="00F14D6A" w:rsidR="00F14D6A">
        <w:rPr>
          <w:bCs/>
          <w:i/>
          <w:iCs/>
        </w:rPr>
        <w:t>supra</w:t>
      </w:r>
      <w:r w:rsidR="00F14D6A">
        <w:rPr>
          <w:bCs/>
        </w:rPr>
        <w:t>,</w:t>
      </w:r>
      <w:r w:rsidR="00701759">
        <w:rPr>
          <w:bCs/>
        </w:rPr>
        <w:t xml:space="preserve"> 198</w:t>
      </w:r>
      <w:r w:rsidR="00E8326E">
        <w:rPr>
          <w:bCs/>
        </w:rPr>
        <w:t> </w:t>
      </w:r>
      <w:r w:rsidR="00701759">
        <w:rPr>
          <w:bCs/>
        </w:rPr>
        <w:t>Cal.App.4th</w:t>
      </w:r>
      <w:r w:rsidR="00F14D6A">
        <w:rPr>
          <w:bCs/>
        </w:rPr>
        <w:t xml:space="preserve"> at p. 1273.)</w:t>
      </w:r>
      <w:r w:rsidR="00FE2569">
        <w:rPr>
          <w:bCs/>
        </w:rPr>
        <w:t xml:space="preserve"> </w:t>
      </w:r>
      <w:r w:rsidR="006A22D2">
        <w:rPr>
          <w:bCs/>
        </w:rPr>
        <w:t xml:space="preserve"> </w:t>
      </w:r>
      <w:r w:rsidR="003D0F87">
        <w:rPr>
          <w:bCs/>
        </w:rPr>
        <w:t xml:space="preserve">She should have been required </w:t>
      </w:r>
      <w:r w:rsidR="00A0322D">
        <w:rPr>
          <w:bCs/>
        </w:rPr>
        <w:t>either to rebut Ramin’s showing “or prove the proper disposition or lesser value of these assets.”  (</w:t>
      </w:r>
      <w:r w:rsidRPr="00701759" w:rsidR="00A0322D">
        <w:rPr>
          <w:bCs/>
          <w:i/>
          <w:iCs/>
        </w:rPr>
        <w:t>Id</w:t>
      </w:r>
      <w:r w:rsidR="00A0322D">
        <w:rPr>
          <w:bCs/>
        </w:rPr>
        <w:t xml:space="preserve">. at p. </w:t>
      </w:r>
      <w:r w:rsidR="00701759">
        <w:rPr>
          <w:bCs/>
        </w:rPr>
        <w:t>1267.)</w:t>
      </w:r>
    </w:p>
    <w:p w:rsidR="0051675D" w:rsidP="00EF5EA3" w14:paraId="1E8B3E3C" w14:textId="1D8BF9BD">
      <w:pPr>
        <w:ind w:firstLine="720"/>
        <w:rPr>
          <w:bCs/>
        </w:rPr>
      </w:pPr>
      <w:r>
        <w:rPr>
          <w:bCs/>
        </w:rPr>
        <w:t xml:space="preserve">Although neither party directly addresses the question of prejudice, </w:t>
      </w:r>
      <w:r w:rsidR="00D224EB">
        <w:rPr>
          <w:bCs/>
        </w:rPr>
        <w:t xml:space="preserve">their discussion of the evidence </w:t>
      </w:r>
      <w:r w:rsidR="00C91215">
        <w:rPr>
          <w:bCs/>
        </w:rPr>
        <w:t xml:space="preserve">persuades </w:t>
      </w:r>
      <w:r w:rsidR="00D224EB">
        <w:rPr>
          <w:bCs/>
        </w:rPr>
        <w:t xml:space="preserve">us </w:t>
      </w:r>
      <w:r>
        <w:rPr>
          <w:bCs/>
        </w:rPr>
        <w:t>t</w:t>
      </w:r>
      <w:r>
        <w:rPr>
          <w:bCs/>
        </w:rPr>
        <w:t xml:space="preserve">he error was </w:t>
      </w:r>
      <w:r w:rsidR="00C91215">
        <w:rPr>
          <w:bCs/>
        </w:rPr>
        <w:t>not harmless</w:t>
      </w:r>
      <w:r>
        <w:rPr>
          <w:bCs/>
        </w:rPr>
        <w:t>.</w:t>
      </w:r>
      <w:r w:rsidR="00C91215">
        <w:rPr>
          <w:bCs/>
        </w:rPr>
        <w:t xml:space="preserve">  Laleh admitted </w:t>
      </w:r>
      <w:r w:rsidR="003E5552">
        <w:rPr>
          <w:bCs/>
        </w:rPr>
        <w:t xml:space="preserve">she and Ramin </w:t>
      </w:r>
      <w:r w:rsidR="00C91215">
        <w:rPr>
          <w:bCs/>
        </w:rPr>
        <w:t xml:space="preserve">transferred at least $130,000 of community assets </w:t>
      </w:r>
      <w:r w:rsidR="00872B10">
        <w:rPr>
          <w:bCs/>
        </w:rPr>
        <w:t xml:space="preserve">from the </w:t>
      </w:r>
      <w:r w:rsidRPr="00CC42C1" w:rsidR="00872B10">
        <w:rPr>
          <w:bCs/>
        </w:rPr>
        <w:t>HELOC</w:t>
      </w:r>
      <w:r w:rsidRPr="00CC42C1" w:rsidR="00217CCC">
        <w:rPr>
          <w:bCs/>
        </w:rPr>
        <w:t xml:space="preserve"> to</w:t>
      </w:r>
      <w:r w:rsidR="00AC543E">
        <w:rPr>
          <w:bCs/>
        </w:rPr>
        <w:t xml:space="preserve"> her brother in</w:t>
      </w:r>
      <w:r w:rsidRPr="00CC42C1" w:rsidR="00217CCC">
        <w:rPr>
          <w:bCs/>
        </w:rPr>
        <w:t xml:space="preserve"> Iran</w:t>
      </w:r>
      <w:r>
        <w:rPr>
          <w:bCs/>
        </w:rPr>
        <w:t xml:space="preserve"> </w:t>
      </w:r>
      <w:r w:rsidR="00872B10">
        <w:rPr>
          <w:bCs/>
        </w:rPr>
        <w:t xml:space="preserve">and repeatedly </w:t>
      </w:r>
      <w:r w:rsidR="00E87B33">
        <w:rPr>
          <w:bCs/>
        </w:rPr>
        <w:t xml:space="preserve">just </w:t>
      </w:r>
      <w:r w:rsidR="00872B10">
        <w:rPr>
          <w:bCs/>
        </w:rPr>
        <w:t xml:space="preserve">asserted </w:t>
      </w:r>
      <w:r w:rsidR="00E87B33">
        <w:rPr>
          <w:bCs/>
        </w:rPr>
        <w:t xml:space="preserve">the </w:t>
      </w:r>
      <w:r w:rsidR="000A3584">
        <w:rPr>
          <w:bCs/>
        </w:rPr>
        <w:t>money was gone (“</w:t>
      </w:r>
      <w:r w:rsidR="00E40480">
        <w:rPr>
          <w:bCs/>
        </w:rPr>
        <w:t xml:space="preserve"> ‘</w:t>
      </w:r>
      <w:r w:rsidR="000A3584">
        <w:rPr>
          <w:bCs/>
        </w:rPr>
        <w:t>Do not ask about the money.  There’s no more money in Iran</w:t>
      </w:r>
      <w:r w:rsidR="00E40480">
        <w:rPr>
          <w:bCs/>
        </w:rPr>
        <w:t xml:space="preserve">’ </w:t>
      </w:r>
      <w:r w:rsidR="000A3584">
        <w:rPr>
          <w:bCs/>
        </w:rPr>
        <w:t xml:space="preserve">”) or that </w:t>
      </w:r>
      <w:r w:rsidR="00872B10">
        <w:rPr>
          <w:bCs/>
        </w:rPr>
        <w:t>she did not</w:t>
      </w:r>
      <w:r w:rsidR="006A7E67">
        <w:rPr>
          <w:bCs/>
        </w:rPr>
        <w:t xml:space="preserve"> </w:t>
      </w:r>
      <w:r w:rsidR="00872B10">
        <w:rPr>
          <w:bCs/>
        </w:rPr>
        <w:t xml:space="preserve">know what happened to </w:t>
      </w:r>
      <w:r w:rsidR="00AC543E">
        <w:rPr>
          <w:bCs/>
        </w:rPr>
        <w:t>it</w:t>
      </w:r>
      <w:r w:rsidR="00872B10">
        <w:rPr>
          <w:bCs/>
        </w:rPr>
        <w:t>.</w:t>
      </w:r>
      <w:r w:rsidR="00A90351">
        <w:rPr>
          <w:bCs/>
        </w:rPr>
        <w:t xml:space="preserve"> </w:t>
      </w:r>
      <w:r w:rsidR="007B79B2">
        <w:rPr>
          <w:bCs/>
        </w:rPr>
        <w:t xml:space="preserve"> </w:t>
      </w:r>
      <w:r w:rsidR="008335EF">
        <w:rPr>
          <w:bCs/>
        </w:rPr>
        <w:t>Ramin has not asked us to direct entry in his favor on this issue</w:t>
      </w:r>
      <w:r w:rsidR="00A3758C">
        <w:rPr>
          <w:bCs/>
        </w:rPr>
        <w:t xml:space="preserve"> outright</w:t>
      </w:r>
      <w:r w:rsidR="008335EF">
        <w:rPr>
          <w:bCs/>
        </w:rPr>
        <w:t xml:space="preserve"> and </w:t>
      </w:r>
      <w:r w:rsidR="006337F6">
        <w:rPr>
          <w:bCs/>
        </w:rPr>
        <w:t xml:space="preserve">so we will not consider </w:t>
      </w:r>
      <w:r w:rsidR="00E03E64">
        <w:rPr>
          <w:bCs/>
        </w:rPr>
        <w:t xml:space="preserve">that question.  </w:t>
      </w:r>
      <w:r w:rsidR="008335EF">
        <w:rPr>
          <w:bCs/>
        </w:rPr>
        <w:t xml:space="preserve">He asks only for a retrial, and we will grant it. </w:t>
      </w:r>
      <w:r w:rsidR="00DC14E8">
        <w:rPr>
          <w:b/>
        </w:rPr>
        <w:t xml:space="preserve"> </w:t>
      </w:r>
      <w:r w:rsidR="00A90351">
        <w:rPr>
          <w:bCs/>
        </w:rPr>
        <w:t xml:space="preserve">As in </w:t>
      </w:r>
      <w:r w:rsidRPr="001B5BD2" w:rsidR="00A90351">
        <w:rPr>
          <w:bCs/>
          <w:i/>
        </w:rPr>
        <w:t>Margulis</w:t>
      </w:r>
      <w:r w:rsidR="00A90351">
        <w:rPr>
          <w:bCs/>
        </w:rPr>
        <w:t xml:space="preserve">, the court’s error </w:t>
      </w:r>
      <w:r w:rsidR="00BC706A">
        <w:rPr>
          <w:bCs/>
        </w:rPr>
        <w:t xml:space="preserve">in failing to shift the burden of proof to Laleh </w:t>
      </w:r>
      <w:r w:rsidR="00A90351">
        <w:rPr>
          <w:bCs/>
        </w:rPr>
        <w:t xml:space="preserve">requires a retrial of the </w:t>
      </w:r>
      <w:r w:rsidR="001B5BD2">
        <w:rPr>
          <w:bCs/>
        </w:rPr>
        <w:t>community property issue</w:t>
      </w:r>
      <w:r w:rsidR="00BC706A">
        <w:rPr>
          <w:bCs/>
        </w:rPr>
        <w:t xml:space="preserve"> </w:t>
      </w:r>
      <w:r w:rsidR="007D234A">
        <w:rPr>
          <w:bCs/>
        </w:rPr>
        <w:t>(s</w:t>
      </w:r>
      <w:r w:rsidR="001B5BD2">
        <w:rPr>
          <w:bCs/>
        </w:rPr>
        <w:t xml:space="preserve">ee </w:t>
      </w:r>
      <w:r w:rsidRPr="00F14D6A" w:rsidR="001B5BD2">
        <w:rPr>
          <w:bCs/>
          <w:i/>
          <w:iCs/>
        </w:rPr>
        <w:t>Margulis</w:t>
      </w:r>
      <w:r w:rsidR="001B5BD2">
        <w:rPr>
          <w:bCs/>
        </w:rPr>
        <w:t xml:space="preserve">, </w:t>
      </w:r>
      <w:r w:rsidRPr="00F14D6A" w:rsidR="001B5BD2">
        <w:rPr>
          <w:bCs/>
          <w:i/>
          <w:iCs/>
        </w:rPr>
        <w:t>supra</w:t>
      </w:r>
      <w:r w:rsidR="001B5BD2">
        <w:rPr>
          <w:bCs/>
        </w:rPr>
        <w:t>, 198</w:t>
      </w:r>
      <w:r w:rsidR="006A29C7">
        <w:rPr>
          <w:bCs/>
        </w:rPr>
        <w:t> </w:t>
      </w:r>
      <w:r w:rsidR="001B5BD2">
        <w:rPr>
          <w:bCs/>
        </w:rPr>
        <w:t>Cal.App.4th at p. 12</w:t>
      </w:r>
      <w:r w:rsidR="00261962">
        <w:rPr>
          <w:bCs/>
        </w:rPr>
        <w:t>80</w:t>
      </w:r>
      <w:r w:rsidR="001B5BD2">
        <w:rPr>
          <w:bCs/>
        </w:rPr>
        <w:t>)</w:t>
      </w:r>
      <w:r w:rsidR="00BF22CA">
        <w:rPr>
          <w:bCs/>
        </w:rPr>
        <w:t>,</w:t>
      </w:r>
      <w:r w:rsidR="007D234A">
        <w:rPr>
          <w:bCs/>
        </w:rPr>
        <w:t xml:space="preserve"> which here entail</w:t>
      </w:r>
      <w:r w:rsidR="00A3758C">
        <w:rPr>
          <w:bCs/>
        </w:rPr>
        <w:t>s</w:t>
      </w:r>
      <w:r w:rsidR="007D234A">
        <w:rPr>
          <w:bCs/>
        </w:rPr>
        <w:t xml:space="preserve"> </w:t>
      </w:r>
      <w:r w:rsidR="00BF22CA">
        <w:rPr>
          <w:bCs/>
        </w:rPr>
        <w:t xml:space="preserve">the question whether to charge Laleh with the value of the </w:t>
      </w:r>
      <w:r w:rsidR="00C21F69">
        <w:rPr>
          <w:bCs/>
        </w:rPr>
        <w:t xml:space="preserve">funds withdrawn from the </w:t>
      </w:r>
      <w:r w:rsidR="00962AFA">
        <w:rPr>
          <w:bCs/>
        </w:rPr>
        <w:t xml:space="preserve">parties’ </w:t>
      </w:r>
      <w:r w:rsidR="00174DBB">
        <w:rPr>
          <w:bCs/>
        </w:rPr>
        <w:t>HELOC.</w:t>
      </w:r>
    </w:p>
    <w:p w:rsidR="002B382E" w:rsidRPr="00697145" w:rsidP="00CC2CCA" w14:paraId="17C4FB7E" w14:textId="3A625C28">
      <w:pPr>
        <w:keepNext/>
        <w:ind w:left="1080" w:hanging="360"/>
        <w:rPr>
          <w:b/>
        </w:rPr>
      </w:pPr>
      <w:r>
        <w:rPr>
          <w:b/>
        </w:rPr>
        <w:tab/>
      </w:r>
      <w:r>
        <w:rPr>
          <w:b/>
        </w:rPr>
        <w:tab/>
        <w:t>2</w:t>
      </w:r>
      <w:r w:rsidR="004B3694">
        <w:rPr>
          <w:b/>
        </w:rPr>
        <w:t>.</w:t>
      </w:r>
      <w:r w:rsidR="004C436C">
        <w:rPr>
          <w:b/>
        </w:rPr>
        <w:t xml:space="preserve">  </w:t>
      </w:r>
      <w:r w:rsidRPr="00E40480">
        <w:rPr>
          <w:b/>
          <w:i/>
          <w:iCs/>
        </w:rPr>
        <w:t>The Inheritance Proceeds</w:t>
      </w:r>
    </w:p>
    <w:p w:rsidR="00D1613B" w:rsidP="00934A23" w14:paraId="2A75056C" w14:textId="32B2EE9D">
      <w:pPr>
        <w:ind w:firstLine="720"/>
      </w:pPr>
      <w:r>
        <w:t xml:space="preserve">Ramin </w:t>
      </w:r>
      <w:r w:rsidR="004B3417">
        <w:t xml:space="preserve">relies on the </w:t>
      </w:r>
      <w:r>
        <w:t xml:space="preserve">same evidence just discussed </w:t>
      </w:r>
      <w:r w:rsidR="004B3417">
        <w:t xml:space="preserve">to contend he made a prima facie showing concerning </w:t>
      </w:r>
      <w:r w:rsidR="00A640D0">
        <w:t xml:space="preserve">the post-separation </w:t>
      </w:r>
      <w:r w:rsidR="00D05D7F">
        <w:t xml:space="preserve">existence of </w:t>
      </w:r>
      <w:r w:rsidR="00E9779C">
        <w:t xml:space="preserve">assets deriving from the proceeds of </w:t>
      </w:r>
      <w:r w:rsidR="00324FB1">
        <w:t>his inheritance</w:t>
      </w:r>
      <w:r w:rsidR="00516BDC">
        <w:t>.  For the reasons just discussed</w:t>
      </w:r>
      <w:r w:rsidR="000A2D72">
        <w:t>,</w:t>
      </w:r>
      <w:r w:rsidR="000F289B">
        <w:t xml:space="preserve"> </w:t>
      </w:r>
      <w:r w:rsidR="00516BDC">
        <w:t>we agree</w:t>
      </w:r>
      <w:r w:rsidR="00235402">
        <w:t xml:space="preserve"> from an </w:t>
      </w:r>
      <w:r w:rsidRPr="0044555E" w:rsidR="00235402">
        <w:rPr>
          <w:iCs/>
        </w:rPr>
        <w:t>evidentiary</w:t>
      </w:r>
      <w:r w:rsidR="00235402">
        <w:t xml:space="preserve"> standpoint</w:t>
      </w:r>
      <w:r w:rsidR="000A2D72">
        <w:t xml:space="preserve"> that he did so:  h</w:t>
      </w:r>
      <w:r w:rsidR="000F289B">
        <w:t>e testified</w:t>
      </w:r>
      <w:r w:rsidR="00427559">
        <w:t xml:space="preserve"> that </w:t>
      </w:r>
      <w:r w:rsidR="00800A9F">
        <w:t xml:space="preserve">the </w:t>
      </w:r>
      <w:r w:rsidR="00480F68">
        <w:t xml:space="preserve">couple’s </w:t>
      </w:r>
      <w:r w:rsidR="00800A9F">
        <w:t xml:space="preserve">Iranian real estate </w:t>
      </w:r>
      <w:r w:rsidR="00480F68">
        <w:t>holdings</w:t>
      </w:r>
      <w:r w:rsidR="000A2D72">
        <w:t>, whose existence Laleh acknowledged in two pretrial disclosures (</w:t>
      </w:r>
      <w:r w:rsidR="00E40480">
        <w:t xml:space="preserve">Trial </w:t>
      </w:r>
      <w:r w:rsidR="000A2D72">
        <w:t>Exhibits FFF and GGG),</w:t>
      </w:r>
      <w:r w:rsidR="00480F68">
        <w:t xml:space="preserve"> were </w:t>
      </w:r>
      <w:r w:rsidR="00800A9F">
        <w:t xml:space="preserve">funded </w:t>
      </w:r>
      <w:r w:rsidR="00287F94">
        <w:t xml:space="preserve">partly with </w:t>
      </w:r>
      <w:r w:rsidR="00E22DAB">
        <w:t xml:space="preserve">his inheritance.  </w:t>
      </w:r>
    </w:p>
    <w:p w:rsidR="00933A65" w:rsidP="00780612" w14:paraId="140E539A" w14:textId="386A968D">
      <w:pPr>
        <w:ind w:firstLine="720"/>
      </w:pPr>
      <w:r>
        <w:t>But unlike the HELOC money,</w:t>
      </w:r>
      <w:r w:rsidR="001D24F0">
        <w:t xml:space="preserve"> the parties acknowledge that</w:t>
      </w:r>
      <w:r>
        <w:t xml:space="preserve"> his inheritance is separate property.</w:t>
      </w:r>
      <w:r>
        <w:rPr>
          <w:rStyle w:val="FootnoteReference"/>
        </w:rPr>
        <w:footnoteReference w:id="9"/>
      </w:r>
      <w:r>
        <w:t xml:space="preserve">  </w:t>
      </w:r>
      <w:r w:rsidRPr="004E283F" w:rsidR="004E283F">
        <w:rPr>
          <w:i/>
        </w:rPr>
        <w:t>Margulis</w:t>
      </w:r>
      <w:r w:rsidR="004E283F">
        <w:t xml:space="preserve"> </w:t>
      </w:r>
      <w:r w:rsidR="00CA634C">
        <w:t xml:space="preserve">involves </w:t>
      </w:r>
      <w:r w:rsidR="004E283F">
        <w:t xml:space="preserve">a spouse’s fiduciary duty over the management and control over </w:t>
      </w:r>
      <w:r w:rsidRPr="00B33A18" w:rsidR="004E283F">
        <w:rPr>
          <w:i/>
          <w:iCs/>
        </w:rPr>
        <w:t>community</w:t>
      </w:r>
      <w:r w:rsidR="004E283F">
        <w:t xml:space="preserve"> assets.  </w:t>
      </w:r>
      <w:r w:rsidR="00E66715">
        <w:t>The</w:t>
      </w:r>
      <w:r w:rsidR="009B6EB3">
        <w:t xml:space="preserve">re is </w:t>
      </w:r>
      <w:r w:rsidR="004E283F">
        <w:t xml:space="preserve">thus </w:t>
      </w:r>
      <w:r w:rsidR="009B6EB3">
        <w:t xml:space="preserve">a legal question whether </w:t>
      </w:r>
      <w:r w:rsidR="00E66715">
        <w:t xml:space="preserve">the </w:t>
      </w:r>
      <w:r w:rsidRPr="00E66715" w:rsidR="00E66715">
        <w:rPr>
          <w:i/>
          <w:iCs/>
        </w:rPr>
        <w:t>Margulis</w:t>
      </w:r>
      <w:r w:rsidR="00E66715">
        <w:t xml:space="preserve"> burden-shifting framework</w:t>
      </w:r>
      <w:r w:rsidR="009B6EB3">
        <w:t xml:space="preserve"> applies to separate property</w:t>
      </w:r>
      <w:r w:rsidR="00780612">
        <w:t xml:space="preserve"> one spouse manages and controls post</w:t>
      </w:r>
      <w:r w:rsidR="00E40480">
        <w:t>-</w:t>
      </w:r>
      <w:r w:rsidR="00780612">
        <w:t>separation</w:t>
      </w:r>
      <w:r w:rsidR="007C069C">
        <w:t xml:space="preserve">. </w:t>
      </w:r>
    </w:p>
    <w:p w:rsidR="00274AB4" w:rsidP="00514936" w14:paraId="6EBA396E" w14:textId="1DFDF0B2">
      <w:pPr>
        <w:ind w:firstLine="720"/>
      </w:pPr>
      <w:r>
        <w:t xml:space="preserve">We are aware of no caselaw </w:t>
      </w:r>
      <w:r w:rsidR="009D4A98">
        <w:t xml:space="preserve">addressing </w:t>
      </w:r>
      <w:r w:rsidR="00780612">
        <w:t>that question.</w:t>
      </w:r>
      <w:r w:rsidR="00933A65">
        <w:t xml:space="preserve">  </w:t>
      </w:r>
      <w:r w:rsidR="00565DF7">
        <w:t>Nevertheless,</w:t>
      </w:r>
      <w:r w:rsidR="00704D58">
        <w:t xml:space="preserve"> we have no </w:t>
      </w:r>
      <w:r w:rsidR="001F0D84">
        <w:t>hesitation concluding that it does.</w:t>
      </w:r>
      <w:r w:rsidR="00565DF7">
        <w:t xml:space="preserve"> </w:t>
      </w:r>
      <w:r w:rsidR="00162804">
        <w:rPr>
          <w:i/>
        </w:rPr>
        <w:t xml:space="preserve"> </w:t>
      </w:r>
    </w:p>
    <w:p w:rsidR="007F53FC" w:rsidP="008811C3" w14:paraId="1F45555A" w14:textId="02CDB4D9">
      <w:pPr>
        <w:ind w:firstLine="720"/>
        <w:rPr>
          <w:iCs/>
        </w:rPr>
      </w:pPr>
      <w:r>
        <w:rPr>
          <w:iCs/>
        </w:rPr>
        <w:t>The general rule is that “a party has the burden of proof as to each fact the existence or nonexistence of which is essential to the claim for relief or defense that he is asserting</w:t>
      </w:r>
      <w:r w:rsidR="00BA2100">
        <w:rPr>
          <w:iCs/>
        </w:rPr>
        <w:t>,</w:t>
      </w:r>
      <w:r>
        <w:rPr>
          <w:iCs/>
        </w:rPr>
        <w:t>”</w:t>
      </w:r>
      <w:r w:rsidR="00974736">
        <w:rPr>
          <w:iCs/>
        </w:rPr>
        <w:t xml:space="preserve"> but the rule is</w:t>
      </w:r>
      <w:r w:rsidR="00822AED">
        <w:rPr>
          <w:iCs/>
        </w:rPr>
        <w:t xml:space="preserve"> qualified </w:t>
      </w:r>
      <w:r w:rsidR="003B37AA">
        <w:rPr>
          <w:iCs/>
        </w:rPr>
        <w:t xml:space="preserve">by the limitation that it applies </w:t>
      </w:r>
      <w:r w:rsidR="00BA2100">
        <w:rPr>
          <w:iCs/>
        </w:rPr>
        <w:t>“</w:t>
      </w:r>
      <w:r w:rsidR="00E40480">
        <w:rPr>
          <w:iCs/>
        </w:rPr>
        <w:t>[</w:t>
      </w:r>
      <w:r w:rsidR="00BA2100">
        <w:rPr>
          <w:iCs/>
        </w:rPr>
        <w:t>e</w:t>
      </w:r>
      <w:r w:rsidR="00E40480">
        <w:rPr>
          <w:iCs/>
        </w:rPr>
        <w:t>]</w:t>
      </w:r>
      <w:r w:rsidR="00BA2100">
        <w:rPr>
          <w:iCs/>
        </w:rPr>
        <w:t>xcept as otherwise provided by law.”  (Evid. Code, § 500</w:t>
      </w:r>
      <w:r w:rsidR="004A34F1">
        <w:rPr>
          <w:iCs/>
        </w:rPr>
        <w:t>.</w:t>
      </w:r>
      <w:r w:rsidR="00BA2100">
        <w:rPr>
          <w:iCs/>
        </w:rPr>
        <w:t xml:space="preserve">) </w:t>
      </w:r>
      <w:r w:rsidR="00A3758C">
        <w:rPr>
          <w:iCs/>
        </w:rPr>
        <w:t xml:space="preserve"> </w:t>
      </w:r>
      <w:r w:rsidR="004A34F1">
        <w:rPr>
          <w:iCs/>
        </w:rPr>
        <w:t>“</w:t>
      </w:r>
      <w:r w:rsidR="00E40480">
        <w:rPr>
          <w:iCs/>
        </w:rPr>
        <w:t xml:space="preserve"> ‘</w:t>
      </w:r>
      <w:r w:rsidRPr="004A34F1" w:rsidR="004A34F1">
        <w:rPr>
          <w:iCs/>
        </w:rPr>
        <w:t>The exception is included in recognition of the fact that the burden of proof is sometimes allocated in a manner that is at variance with the general rule.</w:t>
      </w:r>
      <w:r w:rsidR="00E40480">
        <w:rPr>
          <w:iCs/>
        </w:rPr>
        <w:t xml:space="preserve">’ </w:t>
      </w:r>
      <w:r w:rsidR="00A3758C">
        <w:rPr>
          <w:iCs/>
        </w:rPr>
        <w:t>”</w:t>
      </w:r>
      <w:r w:rsidRPr="004A34F1" w:rsidR="004A34F1">
        <w:rPr>
          <w:iCs/>
        </w:rPr>
        <w:t xml:space="preserve"> </w:t>
      </w:r>
      <w:r w:rsidR="00FC6B19">
        <w:rPr>
          <w:iCs/>
        </w:rPr>
        <w:t xml:space="preserve"> </w:t>
      </w:r>
      <w:r w:rsidR="004E3120">
        <w:rPr>
          <w:iCs/>
        </w:rPr>
        <w:t>(</w:t>
      </w:r>
      <w:r w:rsidRPr="004A34F1" w:rsidR="004A34F1">
        <w:rPr>
          <w:i/>
          <w:iCs/>
        </w:rPr>
        <w:t>Lakin v. Watkins Associated Industries</w:t>
      </w:r>
      <w:r w:rsidRPr="004A34F1" w:rsidR="004A34F1">
        <w:rPr>
          <w:iCs/>
        </w:rPr>
        <w:t xml:space="preserve"> (1993</w:t>
      </w:r>
      <w:r w:rsidRPr="006F22E2" w:rsidR="004A34F1">
        <w:rPr>
          <w:iCs/>
        </w:rPr>
        <w:t>) 6 Cal.4th 644,</w:t>
      </w:r>
      <w:r w:rsidRPr="004A34F1" w:rsidR="004A34F1">
        <w:rPr>
          <w:iCs/>
        </w:rPr>
        <w:t xml:space="preserve"> 660</w:t>
      </w:r>
      <w:r w:rsidR="006A29C7">
        <w:rPr>
          <w:iCs/>
        </w:rPr>
        <w:t xml:space="preserve"> (</w:t>
      </w:r>
      <w:r w:rsidRPr="006A29C7" w:rsidR="006A29C7">
        <w:rPr>
          <w:i/>
        </w:rPr>
        <w:t>Lakin</w:t>
      </w:r>
      <w:r w:rsidR="006A29C7">
        <w:rPr>
          <w:iCs/>
        </w:rPr>
        <w:t>)</w:t>
      </w:r>
      <w:r w:rsidR="004E3120">
        <w:rPr>
          <w:iCs/>
        </w:rPr>
        <w:t xml:space="preserve">.)  At bottom, </w:t>
      </w:r>
      <w:r w:rsidR="00B73123">
        <w:rPr>
          <w:iCs/>
        </w:rPr>
        <w:t>allocation of burden of proof “</w:t>
      </w:r>
      <w:r w:rsidR="001972F1">
        <w:rPr>
          <w:iCs/>
        </w:rPr>
        <w:t xml:space="preserve"> ‘</w:t>
      </w:r>
      <w:r w:rsidR="00B73123">
        <w:rPr>
          <w:iCs/>
        </w:rPr>
        <w:t>is merely a question of policy and fairness</w:t>
      </w:r>
      <w:r w:rsidR="001972F1">
        <w:rPr>
          <w:iCs/>
        </w:rPr>
        <w:t>’ </w:t>
      </w:r>
      <w:r w:rsidR="00B73123">
        <w:rPr>
          <w:iCs/>
        </w:rPr>
        <w:t>” in any given situation</w:t>
      </w:r>
      <w:r w:rsidR="00331C36">
        <w:rPr>
          <w:iCs/>
        </w:rPr>
        <w:t>.  (</w:t>
      </w:r>
      <w:r w:rsidRPr="00331C36" w:rsidR="00331C36">
        <w:rPr>
          <w:i/>
          <w:iCs/>
        </w:rPr>
        <w:t>Adams v. Murakami</w:t>
      </w:r>
      <w:r w:rsidRPr="00331C36" w:rsidR="00331C36">
        <w:rPr>
          <w:iCs/>
        </w:rPr>
        <w:t xml:space="preserve"> (1991) </w:t>
      </w:r>
      <w:r w:rsidRPr="002F4A66" w:rsidR="00331C36">
        <w:rPr>
          <w:iCs/>
        </w:rPr>
        <w:t>54 Cal.3d 105,</w:t>
      </w:r>
      <w:r w:rsidR="00331C36">
        <w:rPr>
          <w:iCs/>
        </w:rPr>
        <w:t xml:space="preserve"> 120</w:t>
      </w:r>
      <w:r w:rsidR="00E40480">
        <w:rPr>
          <w:iCs/>
        </w:rPr>
        <w:t>, italics omitted</w:t>
      </w:r>
      <w:r w:rsidR="00331C36">
        <w:rPr>
          <w:iCs/>
        </w:rPr>
        <w:t>.)</w:t>
      </w:r>
      <w:r w:rsidR="00B73123">
        <w:rPr>
          <w:iCs/>
        </w:rPr>
        <w:t xml:space="preserve"> </w:t>
      </w:r>
      <w:r w:rsidR="003B51CE">
        <w:rPr>
          <w:iCs/>
        </w:rPr>
        <w:t xml:space="preserve"> </w:t>
      </w:r>
    </w:p>
    <w:p w:rsidR="0019681A" w:rsidP="008811C3" w14:paraId="68DE4DD7" w14:textId="0B9D0C5C">
      <w:pPr>
        <w:ind w:firstLine="720"/>
        <w:rPr>
          <w:iCs/>
        </w:rPr>
      </w:pPr>
      <w:r>
        <w:rPr>
          <w:iCs/>
        </w:rPr>
        <w:t>“</w:t>
      </w:r>
      <w:r w:rsidR="00E40480">
        <w:rPr>
          <w:iCs/>
        </w:rPr>
        <w:t xml:space="preserve"> ‘</w:t>
      </w:r>
      <w:r w:rsidRPr="003B51CE">
        <w:rPr>
          <w:iCs/>
        </w:rPr>
        <w:t xml:space="preserve">In determining whether the normal allocation of the burden of proof should be altered, the courts consider a number of factors: </w:t>
      </w:r>
      <w:r>
        <w:rPr>
          <w:iCs/>
        </w:rPr>
        <w:t xml:space="preserve"> </w:t>
      </w:r>
      <w:r w:rsidRPr="003B51CE">
        <w:rPr>
          <w:iCs/>
        </w:rPr>
        <w:t>the knowledge of the parties concerning the particular fact, the availability of the evidence to the parties, the most desirable result in terms of public policy in the absence of proof of the particular fact, and the probability of the existence or nonexistence of the fact.</w:t>
      </w:r>
      <w:r w:rsidR="00E40480">
        <w:rPr>
          <w:iCs/>
        </w:rPr>
        <w:t xml:space="preserve">’ </w:t>
      </w:r>
      <w:r w:rsidRPr="003B51CE">
        <w:rPr>
          <w:iCs/>
        </w:rPr>
        <w:t>”</w:t>
      </w:r>
      <w:r w:rsidR="00107D35">
        <w:rPr>
          <w:iCs/>
        </w:rPr>
        <w:t xml:space="preserve">  </w:t>
      </w:r>
      <w:r w:rsidR="008811C3">
        <w:rPr>
          <w:iCs/>
        </w:rPr>
        <w:t>(</w:t>
      </w:r>
      <w:r w:rsidRPr="0057388A" w:rsidR="008811C3">
        <w:rPr>
          <w:i/>
        </w:rPr>
        <w:t>Lakin</w:t>
      </w:r>
      <w:r w:rsidR="00E40480">
        <w:rPr>
          <w:i/>
        </w:rPr>
        <w:t>, supra</w:t>
      </w:r>
      <w:r w:rsidR="008811C3">
        <w:rPr>
          <w:iCs/>
        </w:rPr>
        <w:t xml:space="preserve">, </w:t>
      </w:r>
      <w:r w:rsidRPr="003B51CE">
        <w:rPr>
          <w:iCs/>
        </w:rPr>
        <w:t>6</w:t>
      </w:r>
      <w:r w:rsidR="00E40480">
        <w:rPr>
          <w:iCs/>
        </w:rPr>
        <w:t> </w:t>
      </w:r>
      <w:r w:rsidRPr="003B51CE">
        <w:rPr>
          <w:iCs/>
        </w:rPr>
        <w:t xml:space="preserve">Cal.4th </w:t>
      </w:r>
      <w:r w:rsidR="008811C3">
        <w:rPr>
          <w:iCs/>
        </w:rPr>
        <w:t xml:space="preserve">at pp. </w:t>
      </w:r>
      <w:r w:rsidRPr="003B51CE">
        <w:rPr>
          <w:iCs/>
        </w:rPr>
        <w:t>660</w:t>
      </w:r>
      <w:r w:rsidR="004C436C">
        <w:rPr>
          <w:iCs/>
        </w:rPr>
        <w:t>-</w:t>
      </w:r>
      <w:r w:rsidRPr="003B51CE">
        <w:rPr>
          <w:iCs/>
        </w:rPr>
        <w:t>661</w:t>
      </w:r>
      <w:r w:rsidR="008811C3">
        <w:rPr>
          <w:iCs/>
        </w:rPr>
        <w:t>.)</w:t>
      </w:r>
      <w:r w:rsidR="00107D35">
        <w:rPr>
          <w:iCs/>
        </w:rPr>
        <w:t xml:space="preserve">  </w:t>
      </w:r>
    </w:p>
    <w:p w:rsidR="00DA20F3" w:rsidRPr="00091687" w:rsidP="00091687" w14:paraId="13D7FDAA" w14:textId="727A8A56">
      <w:pPr>
        <w:ind w:firstLine="720"/>
        <w:rPr>
          <w:iCs/>
        </w:rPr>
      </w:pPr>
      <w:r>
        <w:rPr>
          <w:iCs/>
        </w:rPr>
        <w:t xml:space="preserve">Application of these factors in </w:t>
      </w:r>
      <w:r w:rsidRPr="00B45742">
        <w:rPr>
          <w:i/>
          <w:iCs/>
        </w:rPr>
        <w:t>Margulis</w:t>
      </w:r>
      <w:r>
        <w:rPr>
          <w:iCs/>
        </w:rPr>
        <w:t xml:space="preserve"> yielded </w:t>
      </w:r>
      <w:r w:rsidR="00A3758C">
        <w:rPr>
          <w:iCs/>
        </w:rPr>
        <w:t>the</w:t>
      </w:r>
      <w:r>
        <w:rPr>
          <w:iCs/>
        </w:rPr>
        <w:t xml:space="preserve"> burden-shifting framework we have discussed.</w:t>
      </w:r>
      <w:r w:rsidR="0060357A">
        <w:rPr>
          <w:iCs/>
        </w:rPr>
        <w:t xml:space="preserve"> </w:t>
      </w:r>
      <w:r w:rsidR="0019681A">
        <w:rPr>
          <w:iCs/>
        </w:rPr>
        <w:t xml:space="preserve"> </w:t>
      </w:r>
      <w:r w:rsidR="009A14A1">
        <w:t xml:space="preserve">(See </w:t>
      </w:r>
      <w:r w:rsidRPr="009A14A1" w:rsidR="009A14A1">
        <w:rPr>
          <w:i/>
        </w:rPr>
        <w:t>Margulis</w:t>
      </w:r>
      <w:r w:rsidR="009A14A1">
        <w:t xml:space="preserve">, </w:t>
      </w:r>
      <w:r w:rsidRPr="009A14A1" w:rsidR="009A14A1">
        <w:rPr>
          <w:i/>
        </w:rPr>
        <w:t>supra</w:t>
      </w:r>
      <w:r w:rsidR="009A14A1">
        <w:t>, 198 Cal.App.4th at p.</w:t>
      </w:r>
      <w:r w:rsidR="004C436C">
        <w:t> </w:t>
      </w:r>
      <w:r w:rsidR="009A14A1">
        <w:t xml:space="preserve">1268.) </w:t>
      </w:r>
      <w:r w:rsidR="00C1543C">
        <w:t xml:space="preserve"> E</w:t>
      </w:r>
      <w:r w:rsidR="00DA387B">
        <w:t xml:space="preserve">mphasizing </w:t>
      </w:r>
      <w:r w:rsidR="002D6EB3">
        <w:t>that “</w:t>
      </w:r>
      <w:r w:rsidR="009A14A1">
        <w:t> ‘</w:t>
      </w:r>
      <w:r w:rsidR="002D6EB3">
        <w:t>bedrock concerns’ of ‘policy and fairness’ drive the analysis</w:t>
      </w:r>
      <w:r w:rsidR="00C1543C">
        <w:t>,</w:t>
      </w:r>
      <w:r w:rsidR="002D6EB3">
        <w:t>”</w:t>
      </w:r>
      <w:r w:rsidR="00190577">
        <w:t xml:space="preserve"> </w:t>
      </w:r>
      <w:r w:rsidR="00C1543C">
        <w:t xml:space="preserve">it </w:t>
      </w:r>
      <w:r w:rsidR="00BF5086">
        <w:t xml:space="preserve">explained that “a common trigger for burden-shifting is </w:t>
      </w:r>
      <w:r w:rsidR="005860BC">
        <w:t xml:space="preserve">‘when the parties have unequal access to evidence necessary </w:t>
      </w:r>
      <w:r w:rsidR="00A5341F">
        <w:t>to prove a disputed issue</w:t>
      </w:r>
      <w:r w:rsidR="00C1543C">
        <w:t>.</w:t>
      </w:r>
      <w:r w:rsidR="00A5341F">
        <w:t>’</w:t>
      </w:r>
      <w:r w:rsidR="00DB45A0">
        <w:t xml:space="preserve"> ” </w:t>
      </w:r>
      <w:r w:rsidR="00C1543C">
        <w:t xml:space="preserve"> (</w:t>
      </w:r>
      <w:r w:rsidRPr="00C1543C" w:rsidR="00C1543C">
        <w:rPr>
          <w:i/>
        </w:rPr>
        <w:t>Ibid</w:t>
      </w:r>
      <w:r w:rsidR="00C1543C">
        <w:t xml:space="preserve">.)  It </w:t>
      </w:r>
      <w:r w:rsidR="00B21B58">
        <w:t xml:space="preserve">observed </w:t>
      </w:r>
      <w:r w:rsidR="00DB45A0">
        <w:t xml:space="preserve">that </w:t>
      </w:r>
      <w:r w:rsidR="00A409CE">
        <w:t>“</w:t>
      </w:r>
      <w:r w:rsidRPr="00DB45A0" w:rsidR="00DB45A0">
        <w:t>in marriages and separations</w:t>
      </w:r>
      <w:r w:rsidR="004C436C">
        <w:t> . . . </w:t>
      </w:r>
      <w:r w:rsidRPr="00DB45A0" w:rsidR="00DB45A0">
        <w:t>where one spouse exercised exclusive control over community property, the parties will have vastly </w:t>
      </w:r>
      <w:r w:rsidRPr="00DB45A0" w:rsidR="00DB45A0">
        <w:rPr>
          <w:i/>
          <w:iCs/>
        </w:rPr>
        <w:t>unequal</w:t>
      </w:r>
      <w:r w:rsidRPr="00DB45A0" w:rsidR="00DB45A0">
        <w:t> access to evidence concerning the disposition of that property</w:t>
      </w:r>
      <w:r w:rsidR="00B21B58">
        <w:t>”</w:t>
      </w:r>
      <w:r w:rsidR="001B4F27">
        <w:t xml:space="preserve"> and </w:t>
      </w:r>
      <w:r w:rsidR="00B21B58">
        <w:t xml:space="preserve">concluded that </w:t>
      </w:r>
      <w:r w:rsidR="00967680">
        <w:t xml:space="preserve">in these circumstances, </w:t>
      </w:r>
      <w:r w:rsidR="00B21B58">
        <w:t>“</w:t>
      </w:r>
      <w:r w:rsidRPr="00DB45A0" w:rsidR="00DB45A0">
        <w:t>fairness requires shifting to the managing spouse the burden of proof on missing assets</w:t>
      </w:r>
      <w:r w:rsidR="00B21B58">
        <w:t>.”  (</w:t>
      </w:r>
      <w:r w:rsidRPr="00B21B58" w:rsidR="00B21B58">
        <w:rPr>
          <w:i/>
        </w:rPr>
        <w:t>Ibid</w:t>
      </w:r>
      <w:r w:rsidR="00B21B58">
        <w:t xml:space="preserve">.)  </w:t>
      </w:r>
      <w:r w:rsidRPr="00D777DD" w:rsidR="00D777DD">
        <w:rPr>
          <w:i/>
          <w:iCs/>
        </w:rPr>
        <w:t>Margulis</w:t>
      </w:r>
      <w:r w:rsidRPr="00D777DD" w:rsidR="00D777DD">
        <w:t xml:space="preserve"> concluded that statutory fiduciary duties of disclosure and accounting “further justify” shifting the burden of proof in this situation.  (</w:t>
      </w:r>
      <w:r w:rsidR="0056111A">
        <w:rPr>
          <w:i/>
          <w:iCs/>
        </w:rPr>
        <w:t>Ibid</w:t>
      </w:r>
      <w:r w:rsidRPr="00D777DD" w:rsidR="00D777DD">
        <w:t xml:space="preserve">.)  </w:t>
      </w:r>
    </w:p>
    <w:p w:rsidR="00850CC0" w:rsidP="00DA20F3" w14:paraId="24B7A5B7" w14:textId="19DA0767">
      <w:pPr>
        <w:ind w:firstLine="720"/>
      </w:pPr>
      <w:r>
        <w:t>T</w:t>
      </w:r>
      <w:r w:rsidR="003D774D">
        <w:t>he</w:t>
      </w:r>
      <w:r w:rsidR="00AB7FDA">
        <w:t xml:space="preserve"> </w:t>
      </w:r>
      <w:r>
        <w:t>general</w:t>
      </w:r>
      <w:r w:rsidR="003D774D">
        <w:t xml:space="preserve"> burden-shifting principles that </w:t>
      </w:r>
      <w:r w:rsidRPr="00DA20F3">
        <w:rPr>
          <w:i/>
          <w:iCs/>
        </w:rPr>
        <w:t>Margulies</w:t>
      </w:r>
      <w:r>
        <w:t xml:space="preserve"> </w:t>
      </w:r>
      <w:r w:rsidR="003D774D">
        <w:t xml:space="preserve">applied are </w:t>
      </w:r>
      <w:r w:rsidR="00F52DA1">
        <w:t xml:space="preserve">not </w:t>
      </w:r>
      <w:r w:rsidR="003D774D">
        <w:t xml:space="preserve">limited to </w:t>
      </w:r>
      <w:r>
        <w:t>community property issues.</w:t>
      </w:r>
      <w:r w:rsidR="00DA20F3">
        <w:t xml:space="preserve"> </w:t>
      </w:r>
      <w:r w:rsidR="0048403B">
        <w:t xml:space="preserve"> </w:t>
      </w:r>
      <w:r w:rsidR="00AE35A8">
        <w:t>A</w:t>
      </w:r>
      <w:r>
        <w:t xml:space="preserve">ppellate courts have </w:t>
      </w:r>
      <w:r w:rsidR="002C60CE">
        <w:t>shift</w:t>
      </w:r>
      <w:r w:rsidR="00085E87">
        <w:t>ed</w:t>
      </w:r>
      <w:r w:rsidR="002C60CE">
        <w:t xml:space="preserve"> </w:t>
      </w:r>
      <w:r>
        <w:t xml:space="preserve">the burden of proof in other </w:t>
      </w:r>
      <w:r w:rsidR="00F8492B">
        <w:t xml:space="preserve">family </w:t>
      </w:r>
      <w:r w:rsidR="00A3758C">
        <w:t xml:space="preserve">law </w:t>
      </w:r>
      <w:r>
        <w:t xml:space="preserve">contexts as well.  (See </w:t>
      </w:r>
      <w:r w:rsidRPr="00CB05E0">
        <w:rPr>
          <w:i/>
          <w:iCs/>
        </w:rPr>
        <w:t>In re Marriage of D.H. and B.G.</w:t>
      </w:r>
      <w:r w:rsidRPr="00CB05E0">
        <w:t xml:space="preserve"> (2023</w:t>
      </w:r>
      <w:r w:rsidRPr="005E4C06">
        <w:t xml:space="preserve">) 87 Cal.App.5th 586 </w:t>
      </w:r>
      <w:r w:rsidRPr="005E4C06" w:rsidR="0056111A">
        <w:t>(</w:t>
      </w:r>
      <w:r w:rsidRPr="001872D9" w:rsidR="0056111A">
        <w:rPr>
          <w:i/>
          <w:iCs/>
        </w:rPr>
        <w:t>D.H. and B.G.</w:t>
      </w:r>
      <w:r w:rsidR="0056111A">
        <w:t xml:space="preserve">) </w:t>
      </w:r>
      <w:r>
        <w:t xml:space="preserve">[motion to terminate child support]; </w:t>
      </w:r>
      <w:r w:rsidRPr="005E719E">
        <w:rPr>
          <w:i/>
          <w:iCs/>
        </w:rPr>
        <w:t>In re Marriage of Hein</w:t>
      </w:r>
      <w:r w:rsidRPr="00FA395C">
        <w:t xml:space="preserve"> (2020</w:t>
      </w:r>
      <w:r w:rsidRPr="005E4C06">
        <w:t>) 52 Cal.App.5th</w:t>
      </w:r>
      <w:r w:rsidRPr="00FA395C">
        <w:t xml:space="preserve"> 519</w:t>
      </w:r>
      <w:r w:rsidR="00605749">
        <w:t>, 535-</w:t>
      </w:r>
      <w:r w:rsidR="000E0A41">
        <w:t>546</w:t>
      </w:r>
      <w:r>
        <w:t xml:space="preserve"> [</w:t>
      </w:r>
      <w:r w:rsidR="000B059A">
        <w:t xml:space="preserve">accuracy of </w:t>
      </w:r>
      <w:r w:rsidR="003C04D1">
        <w:t xml:space="preserve">self-employed </w:t>
      </w:r>
      <w:r w:rsidR="008D509B">
        <w:t xml:space="preserve">parent’s </w:t>
      </w:r>
      <w:r w:rsidR="000B059A">
        <w:t xml:space="preserve">corporate tax returns in connection with </w:t>
      </w:r>
      <w:r>
        <w:t>motion to modify child support].)</w:t>
      </w:r>
    </w:p>
    <w:p w:rsidR="0009283E" w:rsidP="00A771E7" w14:paraId="0BC65EA1" w14:textId="0DA5AFBE">
      <w:r>
        <w:tab/>
      </w:r>
      <w:r w:rsidRPr="0067661A">
        <w:rPr>
          <w:i/>
          <w:iCs/>
        </w:rPr>
        <w:t>D.H. and B.G.</w:t>
      </w:r>
      <w:r>
        <w:t xml:space="preserve">, </w:t>
      </w:r>
      <w:r w:rsidRPr="0029540B">
        <w:rPr>
          <w:i/>
        </w:rPr>
        <w:t>supra</w:t>
      </w:r>
      <w:r>
        <w:t>, 87 Cal.App.5th 586</w:t>
      </w:r>
      <w:r w:rsidR="001872D9">
        <w:t xml:space="preserve"> is illustrative. </w:t>
      </w:r>
      <w:r w:rsidRPr="0027268F">
        <w:t>In that case,</w:t>
      </w:r>
      <w:r w:rsidR="00006B5F">
        <w:t xml:space="preserve"> </w:t>
      </w:r>
      <w:r w:rsidR="00726CE1">
        <w:t xml:space="preserve">a father was paying child support for a teenage daughter who lived </w:t>
      </w:r>
      <w:r w:rsidR="006E4D22">
        <w:t xml:space="preserve">with her mother.  </w:t>
      </w:r>
      <w:r w:rsidR="00DD16CE">
        <w:t xml:space="preserve">(See </w:t>
      </w:r>
      <w:r w:rsidRPr="00600048" w:rsidR="00DD16CE">
        <w:rPr>
          <w:i/>
          <w:iCs/>
        </w:rPr>
        <w:t>id</w:t>
      </w:r>
      <w:r w:rsidR="00DD16CE">
        <w:t>. at pp. 590-591.)</w:t>
      </w:r>
      <w:r w:rsidR="006E4D22">
        <w:t xml:space="preserve"> </w:t>
      </w:r>
      <w:r w:rsidR="00DD16CE">
        <w:t xml:space="preserve"> </w:t>
      </w:r>
      <w:r>
        <w:t xml:space="preserve">Under California law, child support continues for a child who has turned 18 </w:t>
      </w:r>
      <w:r w:rsidR="001872D9">
        <w:t>while</w:t>
      </w:r>
      <w:r>
        <w:t xml:space="preserve"> they are a “full-time” high school student</w:t>
      </w:r>
      <w:r w:rsidR="00696F4C">
        <w:t>, not self-supporting, unmarried and have not turned 19 or finished 12th grade</w:t>
      </w:r>
      <w:r>
        <w:t xml:space="preserve">.  (See Fam. Code, § 3901, subd. (a)(1).)  </w:t>
      </w:r>
      <w:r w:rsidR="00DD16CE">
        <w:t xml:space="preserve">After </w:t>
      </w:r>
      <w:r w:rsidR="00696F4C">
        <w:t>his</w:t>
      </w:r>
      <w:r w:rsidR="006E4D22">
        <w:t xml:space="preserve"> </w:t>
      </w:r>
      <w:r w:rsidR="004D5730">
        <w:t xml:space="preserve">daughter </w:t>
      </w:r>
      <w:r w:rsidR="006E4D22">
        <w:t xml:space="preserve">turned 18, </w:t>
      </w:r>
      <w:r>
        <w:t xml:space="preserve">the father </w:t>
      </w:r>
      <w:r w:rsidR="00006B5F">
        <w:t xml:space="preserve">filed a motion seeking a judicial determination </w:t>
      </w:r>
      <w:r w:rsidR="000361F0">
        <w:t xml:space="preserve">that </w:t>
      </w:r>
      <w:r w:rsidR="00006B5F">
        <w:t xml:space="preserve">his child support obligation </w:t>
      </w:r>
      <w:r w:rsidR="00A2074C">
        <w:t xml:space="preserve">had </w:t>
      </w:r>
      <w:r w:rsidR="00006B5F">
        <w:t>ended</w:t>
      </w:r>
      <w:r w:rsidR="009F3102">
        <w:t xml:space="preserve"> </w:t>
      </w:r>
      <w:r w:rsidR="00603689">
        <w:t xml:space="preserve">because </w:t>
      </w:r>
      <w:r w:rsidR="009F3102">
        <w:t xml:space="preserve">his </w:t>
      </w:r>
      <w:r w:rsidR="006E4D22">
        <w:t xml:space="preserve">daughter </w:t>
      </w:r>
      <w:r w:rsidR="00603689">
        <w:t xml:space="preserve">had </w:t>
      </w:r>
      <w:r w:rsidR="009F3102">
        <w:t>turned 18</w:t>
      </w:r>
      <w:r w:rsidR="00603689">
        <w:t xml:space="preserve"> and was no longer attending high school</w:t>
      </w:r>
      <w:r w:rsidR="00051413">
        <w:t xml:space="preserve"> full-time</w:t>
      </w:r>
      <w:r w:rsidR="00A3758C">
        <w:t xml:space="preserve"> </w:t>
      </w:r>
      <w:r w:rsidR="00CF5E16">
        <w:t>and</w:t>
      </w:r>
      <w:r w:rsidR="00F91A73">
        <w:t xml:space="preserve"> </w:t>
      </w:r>
      <w:r w:rsidR="001872D9">
        <w:t xml:space="preserve">requesting </w:t>
      </w:r>
      <w:r w:rsidR="00F91A73">
        <w:t xml:space="preserve">reimbursement for </w:t>
      </w:r>
      <w:r w:rsidR="00CF5E16">
        <w:t xml:space="preserve">payments </w:t>
      </w:r>
      <w:r w:rsidR="001872D9">
        <w:t xml:space="preserve">he </w:t>
      </w:r>
      <w:r w:rsidR="00CF5E16">
        <w:t>made</w:t>
      </w:r>
      <w:r w:rsidR="00F91A73">
        <w:t xml:space="preserve"> </w:t>
      </w:r>
      <w:r w:rsidR="001872D9">
        <w:t>when</w:t>
      </w:r>
      <w:r w:rsidR="00F91A73">
        <w:t xml:space="preserve"> she was not </w:t>
      </w:r>
      <w:r w:rsidR="001872D9">
        <w:t xml:space="preserve">attending </w:t>
      </w:r>
      <w:r w:rsidR="00F91A73">
        <w:t>school</w:t>
      </w:r>
      <w:r w:rsidR="001872D9">
        <w:t xml:space="preserve"> full-time</w:t>
      </w:r>
      <w:r w:rsidR="009A6F8D">
        <w:t xml:space="preserve">. </w:t>
      </w:r>
      <w:r w:rsidR="00603689">
        <w:t xml:space="preserve"> (</w:t>
      </w:r>
      <w:r w:rsidRPr="0067661A" w:rsidR="0060357A">
        <w:rPr>
          <w:i/>
          <w:iCs/>
        </w:rPr>
        <w:t>D.H. and B.G.</w:t>
      </w:r>
      <w:r w:rsidR="0060357A">
        <w:t>,</w:t>
      </w:r>
      <w:r w:rsidR="00603689">
        <w:t xml:space="preserve"> at p. 590.)</w:t>
      </w:r>
      <w:r w:rsidR="009A6F8D">
        <w:t xml:space="preserve"> </w:t>
      </w:r>
      <w:r w:rsidR="00051413">
        <w:t xml:space="preserve"> </w:t>
      </w:r>
      <w:r w:rsidR="00803E7D">
        <w:t>The trial court granted the father’s motion</w:t>
      </w:r>
      <w:r w:rsidR="0043096E">
        <w:t>,</w:t>
      </w:r>
      <w:r w:rsidR="00803E7D">
        <w:t xml:space="preserve"> but the appellate court vacated </w:t>
      </w:r>
      <w:r w:rsidR="00A64469">
        <w:t xml:space="preserve">the order </w:t>
      </w:r>
      <w:r w:rsidR="00AA2C76">
        <w:t>because the trial court ha</w:t>
      </w:r>
      <w:r w:rsidR="008E41D8">
        <w:t>d</w:t>
      </w:r>
      <w:r w:rsidR="00AA2C76">
        <w:t xml:space="preserve"> misinterpreted the </w:t>
      </w:r>
      <w:r w:rsidR="008E41D8">
        <w:t>legal standard (</w:t>
      </w:r>
      <w:r w:rsidR="0043096E">
        <w:t>i.e.,</w:t>
      </w:r>
      <w:r w:rsidR="008E41D8">
        <w:t xml:space="preserve"> the </w:t>
      </w:r>
      <w:r w:rsidR="00AA2C76">
        <w:t>meaning of “full-time”</w:t>
      </w:r>
      <w:r w:rsidR="008E41D8">
        <w:t>)</w:t>
      </w:r>
      <w:r w:rsidR="00AA2C76">
        <w:t xml:space="preserve"> </w:t>
      </w:r>
      <w:r w:rsidR="001A08BD">
        <w:t>and remanded for a further hearing</w:t>
      </w:r>
      <w:r w:rsidR="004462D2">
        <w:t xml:space="preserve">.  (See </w:t>
      </w:r>
      <w:r w:rsidRPr="0043096E" w:rsidR="004462D2">
        <w:rPr>
          <w:i/>
        </w:rPr>
        <w:t>id</w:t>
      </w:r>
      <w:r w:rsidR="004462D2">
        <w:t xml:space="preserve">. at pp. </w:t>
      </w:r>
      <w:r w:rsidR="00CA1C51">
        <w:t xml:space="preserve">592-593, </w:t>
      </w:r>
      <w:r w:rsidR="00A771E7">
        <w:t>599-600</w:t>
      </w:r>
      <w:r w:rsidR="0043096E">
        <w:t xml:space="preserve">.)  </w:t>
      </w:r>
    </w:p>
    <w:p w:rsidR="00573A58" w:rsidP="007728C0" w14:paraId="5538B12B" w14:textId="760007DA">
      <w:pPr>
        <w:ind w:firstLine="720"/>
      </w:pPr>
      <w:r>
        <w:t xml:space="preserve">As relevant here, </w:t>
      </w:r>
      <w:r w:rsidR="007728C0">
        <w:t>the appellate court</w:t>
      </w:r>
      <w:r w:rsidR="00696F4C">
        <w:t xml:space="preserve"> rejected the mother’s argument that the trial court had improperly shifted the burden of proof to her.  (</w:t>
      </w:r>
      <w:r w:rsidRPr="0067661A" w:rsidR="0060357A">
        <w:rPr>
          <w:i/>
          <w:iCs/>
        </w:rPr>
        <w:t>D.H. and B.G.</w:t>
      </w:r>
      <w:r w:rsidR="0060357A">
        <w:t xml:space="preserve">, </w:t>
      </w:r>
      <w:r w:rsidRPr="0029540B" w:rsidR="0060357A">
        <w:rPr>
          <w:i/>
        </w:rPr>
        <w:t>supra</w:t>
      </w:r>
      <w:r w:rsidR="0060357A">
        <w:t>, 87 Cal.App.5th</w:t>
      </w:r>
      <w:r w:rsidR="00696F4C">
        <w:t xml:space="preserve"> at p. 603.)</w:t>
      </w:r>
      <w:r>
        <w:t xml:space="preserve"> </w:t>
      </w:r>
      <w:r w:rsidR="00696F4C">
        <w:t xml:space="preserve"> Turning to “generally applicable </w:t>
      </w:r>
      <w:r w:rsidR="0056111A">
        <w:t xml:space="preserve">burden of proof principles </w:t>
      </w:r>
      <w:r w:rsidR="00696F4C">
        <w:t>to determine who bears the burden in this context”</w:t>
      </w:r>
      <w:r w:rsidR="00B8500E">
        <w:t xml:space="preserve"> (</w:t>
      </w:r>
      <w:r w:rsidRPr="00B8500E" w:rsidR="00B8500E">
        <w:rPr>
          <w:i/>
          <w:iCs/>
        </w:rPr>
        <w:t>id</w:t>
      </w:r>
      <w:r w:rsidR="00B8500E">
        <w:t>. at p. 604),</w:t>
      </w:r>
      <w:r w:rsidR="00696F4C">
        <w:t xml:space="preserve"> </w:t>
      </w:r>
      <w:r w:rsidR="00B8500E">
        <w:t xml:space="preserve">the court concluded </w:t>
      </w:r>
      <w:r w:rsidR="00F304C9">
        <w:t xml:space="preserve">that three of the </w:t>
      </w:r>
      <w:r w:rsidR="00164244">
        <w:t xml:space="preserve">four </w:t>
      </w:r>
      <w:r w:rsidR="00655FF6">
        <w:t xml:space="preserve">factors </w:t>
      </w:r>
      <w:r w:rsidR="00504268">
        <w:t xml:space="preserve">weighed in favor of </w:t>
      </w:r>
      <w:r w:rsidR="00B8500E">
        <w:t xml:space="preserve">shifting the burden to the mother.  (See </w:t>
      </w:r>
      <w:r w:rsidRPr="00B8500E" w:rsidR="00B8500E">
        <w:rPr>
          <w:i/>
          <w:iCs/>
        </w:rPr>
        <w:t>id</w:t>
      </w:r>
      <w:r w:rsidR="00B8500E">
        <w:t xml:space="preserve">. at pp. 605-606.) </w:t>
      </w:r>
      <w:r w:rsidR="00C31E3C">
        <w:t xml:space="preserve"> </w:t>
      </w:r>
      <w:r w:rsidR="00B8500E">
        <w:t>First,</w:t>
      </w:r>
      <w:r w:rsidR="00EE5D3C">
        <w:t xml:space="preserve"> </w:t>
      </w:r>
      <w:r w:rsidR="00B37F27">
        <w:t xml:space="preserve">the mother </w:t>
      </w:r>
      <w:r w:rsidR="004F325B">
        <w:t xml:space="preserve">had superior </w:t>
      </w:r>
      <w:r w:rsidRPr="0088701D" w:rsidR="004F325B">
        <w:t>knowledge</w:t>
      </w:r>
      <w:r w:rsidR="004F325B">
        <w:t xml:space="preserve"> of the child’s enrollment status and school attendance</w:t>
      </w:r>
      <w:r w:rsidR="00B37F27">
        <w:t xml:space="preserve"> because she had primary custody</w:t>
      </w:r>
      <w:r w:rsidR="009039F7">
        <w:t xml:space="preserve">; </w:t>
      </w:r>
      <w:r w:rsidR="00B8500E">
        <w:t>second,</w:t>
      </w:r>
      <w:r w:rsidR="009039F7">
        <w:t xml:space="preserve"> </w:t>
      </w:r>
      <w:r w:rsidR="00FF55E5">
        <w:t xml:space="preserve">for the same reason, </w:t>
      </w:r>
      <w:r w:rsidR="009039F7">
        <w:t xml:space="preserve">the mother </w:t>
      </w:r>
      <w:r w:rsidR="00B37F27">
        <w:t xml:space="preserve">also </w:t>
      </w:r>
      <w:r w:rsidR="009039F7">
        <w:t xml:space="preserve">had </w:t>
      </w:r>
      <w:r w:rsidR="0026732D">
        <w:t>greater access to information</w:t>
      </w:r>
      <w:r w:rsidR="001872D9">
        <w:t xml:space="preserve"> and evidence</w:t>
      </w:r>
      <w:r w:rsidR="0026732D">
        <w:t xml:space="preserve"> </w:t>
      </w:r>
      <w:r w:rsidR="0088701D">
        <w:t xml:space="preserve">concerning </w:t>
      </w:r>
      <w:r w:rsidR="00B8500E">
        <w:t>the daughter’s school attendance</w:t>
      </w:r>
      <w:r w:rsidR="0088701D">
        <w:t xml:space="preserve"> </w:t>
      </w:r>
      <w:r w:rsidR="001872D9">
        <w:t>(</w:t>
      </w:r>
      <w:r w:rsidR="00FF55E5">
        <w:t>indeed</w:t>
      </w:r>
      <w:r w:rsidR="001872D9">
        <w:t xml:space="preserve">, </w:t>
      </w:r>
      <w:r w:rsidR="00FF55E5">
        <w:t>the father had tried to obtain school records</w:t>
      </w:r>
      <w:r w:rsidR="001872D9">
        <w:t xml:space="preserve"> for the daughter</w:t>
      </w:r>
      <w:r w:rsidR="00FF55E5">
        <w:t xml:space="preserve"> but was </w:t>
      </w:r>
      <w:r w:rsidR="002D0ADC">
        <w:t>“only partly successful” because the mother had</w:t>
      </w:r>
      <w:r w:rsidR="001872D9">
        <w:t xml:space="preserve"> </w:t>
      </w:r>
      <w:r w:rsidR="00AB6269">
        <w:t>encourag</w:t>
      </w:r>
      <w:r w:rsidR="001872D9">
        <w:t>ed</w:t>
      </w:r>
      <w:r w:rsidR="00AB6269">
        <w:t xml:space="preserve"> her daughter to “</w:t>
      </w:r>
      <w:r w:rsidR="0056111A">
        <w:t xml:space="preserve"> ‘</w:t>
      </w:r>
      <w:r w:rsidR="00AB6269">
        <w:t>sign objections</w:t>
      </w:r>
      <w:r w:rsidR="0056111A">
        <w:t xml:space="preserve">’ </w:t>
      </w:r>
      <w:r w:rsidR="00AB6269">
        <w:t>” to his subpoenas</w:t>
      </w:r>
      <w:r w:rsidR="00B8500E">
        <w:t>)</w:t>
      </w:r>
      <w:r w:rsidR="00AB6269">
        <w:t xml:space="preserve">; </w:t>
      </w:r>
      <w:r w:rsidR="006A3055">
        <w:t xml:space="preserve">and </w:t>
      </w:r>
      <w:r w:rsidR="00B8500E">
        <w:t>third,</w:t>
      </w:r>
      <w:r w:rsidR="00AB6269">
        <w:t xml:space="preserve"> </w:t>
      </w:r>
      <w:r w:rsidR="004F50CE">
        <w:t xml:space="preserve">public policy favored shifting the burden to the </w:t>
      </w:r>
      <w:r w:rsidR="000F7BE3">
        <w:t xml:space="preserve">mother </w:t>
      </w:r>
      <w:r w:rsidR="004F50CE">
        <w:t xml:space="preserve">because of statutory duties </w:t>
      </w:r>
      <w:r w:rsidR="00343BCE">
        <w:t>imposed upon a custodial parent that</w:t>
      </w:r>
      <w:r w:rsidR="001872D9">
        <w:t xml:space="preserve"> </w:t>
      </w:r>
      <w:r w:rsidR="000F7BE3">
        <w:t>“reflect a policy prioritizing the custodial parent’s involvement in the child’s education</w:t>
      </w:r>
      <w:r w:rsidR="006A3055">
        <w:t>.</w:t>
      </w:r>
      <w:r w:rsidR="000F7BE3">
        <w:t>”</w:t>
      </w:r>
      <w:r w:rsidR="006A3055">
        <w:t xml:space="preserve">  (</w:t>
      </w:r>
      <w:r w:rsidRPr="006A3055" w:rsidR="006A3055">
        <w:rPr>
          <w:i/>
          <w:iCs/>
        </w:rPr>
        <w:t>Id</w:t>
      </w:r>
      <w:r w:rsidR="006A3055">
        <w:t>. at p.</w:t>
      </w:r>
      <w:r w:rsidR="00F9527D">
        <w:t xml:space="preserve"> </w:t>
      </w:r>
      <w:r w:rsidR="006A3055">
        <w:t>606.)</w:t>
      </w:r>
      <w:r w:rsidR="000F7BE3">
        <w:t xml:space="preserve"> </w:t>
      </w:r>
      <w:r w:rsidR="00B8500E">
        <w:t xml:space="preserve"> The court thus held that on remand, the mother should bear the burden of proof to show the daughter was attending school full-time. </w:t>
      </w:r>
      <w:r w:rsidR="0060357A">
        <w:t xml:space="preserve"> </w:t>
      </w:r>
      <w:r w:rsidR="00B8500E">
        <w:t>(</w:t>
      </w:r>
      <w:r w:rsidRPr="00B8500E" w:rsidR="00B8500E">
        <w:rPr>
          <w:i/>
          <w:iCs/>
        </w:rPr>
        <w:t>I</w:t>
      </w:r>
      <w:r w:rsidR="00EF0751">
        <w:rPr>
          <w:i/>
          <w:iCs/>
        </w:rPr>
        <w:t>bi</w:t>
      </w:r>
      <w:r w:rsidRPr="00B8500E" w:rsidR="00B8500E">
        <w:rPr>
          <w:i/>
          <w:iCs/>
        </w:rPr>
        <w:t>d</w:t>
      </w:r>
      <w:r w:rsidR="00B8500E">
        <w:t>.)</w:t>
      </w:r>
      <w:r w:rsidR="00EF0751">
        <w:t xml:space="preserve">  </w:t>
      </w:r>
    </w:p>
    <w:p w:rsidR="00EB541F" w:rsidP="00D7026C" w14:paraId="38799AC7" w14:textId="6E234E2B">
      <w:pPr>
        <w:ind w:firstLine="720"/>
      </w:pPr>
      <w:r>
        <w:t>These considerations</w:t>
      </w:r>
      <w:r w:rsidR="008B329E">
        <w:t xml:space="preserve"> yield the same result in this case.</w:t>
      </w:r>
      <w:r w:rsidR="00FA53BC">
        <w:t xml:space="preserve">  </w:t>
      </w:r>
      <w:r>
        <w:t>R</w:t>
      </w:r>
      <w:r w:rsidR="00FA53BC">
        <w:t>egard</w:t>
      </w:r>
      <w:r>
        <w:t>ing</w:t>
      </w:r>
      <w:r w:rsidR="00FA53BC">
        <w:t xml:space="preserve"> the first two factors (knowledge and access to evidence), there can be no serious dispute that </w:t>
      </w:r>
      <w:r w:rsidR="006067A8">
        <w:t xml:space="preserve">when one spouse has </w:t>
      </w:r>
      <w:r w:rsidRPr="00DB45A0" w:rsidR="006067A8">
        <w:t xml:space="preserve">exclusive control over </w:t>
      </w:r>
      <w:r w:rsidR="00A41AF6">
        <w:t xml:space="preserve">the management of </w:t>
      </w:r>
      <w:r w:rsidR="006067A8">
        <w:t xml:space="preserve">separate </w:t>
      </w:r>
      <w:r w:rsidRPr="00DB45A0" w:rsidR="006067A8">
        <w:t>property</w:t>
      </w:r>
      <w:r w:rsidR="00790B36">
        <w:t xml:space="preserve"> (especially where, as here, the property is overseas and the managing spouse has entrusted it to her family member there)</w:t>
      </w:r>
      <w:r w:rsidRPr="00DB45A0" w:rsidR="006067A8">
        <w:t xml:space="preserve">, </w:t>
      </w:r>
      <w:r w:rsidR="001820AE">
        <w:t>“</w:t>
      </w:r>
      <w:r w:rsidRPr="00DB45A0" w:rsidR="006067A8">
        <w:t>the parties will have vastly </w:t>
      </w:r>
      <w:r w:rsidRPr="00DB45A0" w:rsidR="006067A8">
        <w:rPr>
          <w:i/>
          <w:iCs/>
        </w:rPr>
        <w:t>unequal</w:t>
      </w:r>
      <w:r w:rsidRPr="00DB45A0" w:rsidR="006067A8">
        <w:t> access to evidence concerning the disposition of that property</w:t>
      </w:r>
      <w:r w:rsidR="006067A8">
        <w:t xml:space="preserve">” and </w:t>
      </w:r>
      <w:r w:rsidR="00A07707">
        <w:t xml:space="preserve">thus </w:t>
      </w:r>
      <w:r w:rsidR="006067A8">
        <w:t>“</w:t>
      </w:r>
      <w:r w:rsidRPr="00DB45A0" w:rsidR="006067A8">
        <w:t>fairness requires shifting to the managing spouse the burden of proof on missing assets</w:t>
      </w:r>
      <w:r w:rsidR="006067A8">
        <w:t>.”  (</w:t>
      </w:r>
      <w:r w:rsidRPr="009A14A1" w:rsidR="00F52DA1">
        <w:rPr>
          <w:i/>
        </w:rPr>
        <w:t>Margulis</w:t>
      </w:r>
      <w:r w:rsidR="00F52DA1">
        <w:t xml:space="preserve">, </w:t>
      </w:r>
      <w:r w:rsidRPr="009A14A1" w:rsidR="00F52DA1">
        <w:rPr>
          <w:i/>
        </w:rPr>
        <w:t>supra</w:t>
      </w:r>
      <w:r w:rsidR="00F52DA1">
        <w:t>, 198 Cal.App.4th at p.</w:t>
      </w:r>
      <w:r w:rsidR="0060357A">
        <w:t> </w:t>
      </w:r>
      <w:r w:rsidR="00F52DA1">
        <w:t>1268.)</w:t>
      </w:r>
    </w:p>
    <w:p w:rsidR="00EA7989" w:rsidRPr="00D7026C" w:rsidP="00D7026C" w14:paraId="6A5CC293" w14:textId="72A82524">
      <w:pPr>
        <w:ind w:firstLine="720"/>
      </w:pPr>
      <w:r>
        <w:t>And</w:t>
      </w:r>
      <w:r w:rsidR="00964C8E">
        <w:t>, as we have explained,</w:t>
      </w:r>
      <w:r>
        <w:t xml:space="preserve"> it makes no difference that</w:t>
      </w:r>
      <w:r w:rsidR="00964C8E">
        <w:t xml:space="preserve"> </w:t>
      </w:r>
      <w:r w:rsidR="005879B4">
        <w:t xml:space="preserve">the </w:t>
      </w:r>
      <w:r w:rsidR="00E03538">
        <w:t xml:space="preserve">most </w:t>
      </w:r>
      <w:r w:rsidR="00BE6A0B">
        <w:t>relevant information</w:t>
      </w:r>
      <w:r w:rsidR="00667080">
        <w:t xml:space="preserve"> </w:t>
      </w:r>
      <w:r w:rsidR="00EB541F">
        <w:t xml:space="preserve">and </w:t>
      </w:r>
      <w:r w:rsidR="00727331">
        <w:t xml:space="preserve">records may be </w:t>
      </w:r>
      <w:r w:rsidR="00E03538">
        <w:t xml:space="preserve">within the knowledge </w:t>
      </w:r>
      <w:r w:rsidR="00727331">
        <w:t xml:space="preserve">and possession </w:t>
      </w:r>
      <w:r w:rsidR="00667080">
        <w:t>of a third party</w:t>
      </w:r>
      <w:r w:rsidR="00506712">
        <w:t xml:space="preserve"> who directly managed the separate property investment</w:t>
      </w:r>
      <w:r w:rsidR="001A74A1">
        <w:t xml:space="preserve"> at Laleh’s direction</w:t>
      </w:r>
      <w:r w:rsidR="00667080">
        <w:t xml:space="preserve">.  </w:t>
      </w:r>
      <w:r w:rsidR="00790B36">
        <w:t xml:space="preserve">Like the ex-wife in </w:t>
      </w:r>
      <w:r w:rsidRPr="00745D7E" w:rsidR="00745D7E">
        <w:rPr>
          <w:i/>
          <w:iCs/>
        </w:rPr>
        <w:t>D.H</w:t>
      </w:r>
      <w:r w:rsidR="00745D7E">
        <w:rPr>
          <w:iCs/>
        </w:rPr>
        <w:t>.</w:t>
      </w:r>
      <w:r w:rsidR="00317985">
        <w:rPr>
          <w:iCs/>
        </w:rPr>
        <w:t xml:space="preserve"> </w:t>
      </w:r>
      <w:r w:rsidR="00317985">
        <w:rPr>
          <w:i/>
        </w:rPr>
        <w:t>and B.H.</w:t>
      </w:r>
      <w:r w:rsidR="00206192">
        <w:t xml:space="preserve">, </w:t>
      </w:r>
      <w:r w:rsidR="00790B36">
        <w:t xml:space="preserve">who had superior knowledge of and access to evidence about the child’s school attendance through her custody of the daughter, so here </w:t>
      </w:r>
      <w:r w:rsidR="00206192">
        <w:t xml:space="preserve">Laleh has superior knowledge </w:t>
      </w:r>
      <w:r w:rsidRPr="00FC2814" w:rsidR="00206192">
        <w:rPr>
          <w:i/>
          <w:iCs/>
        </w:rPr>
        <w:t>and</w:t>
      </w:r>
      <w:r w:rsidR="00206192">
        <w:t xml:space="preserve"> access to </w:t>
      </w:r>
      <w:r w:rsidR="00B30C88">
        <w:t xml:space="preserve">evidence </w:t>
      </w:r>
      <w:r w:rsidR="00206192">
        <w:t xml:space="preserve">about the </w:t>
      </w:r>
      <w:r w:rsidR="00B30C88">
        <w:t>facts</w:t>
      </w:r>
      <w:r w:rsidR="00790B36">
        <w:t xml:space="preserve"> fr</w:t>
      </w:r>
      <w:r w:rsidR="00B41106">
        <w:t>o</w:t>
      </w:r>
      <w:r w:rsidR="00790B36">
        <w:t xml:space="preserve">m her brother in Iran, with whom she has a very close relationship.  </w:t>
      </w:r>
      <w:r w:rsidR="00162187">
        <w:t xml:space="preserve">And like </w:t>
      </w:r>
      <w:r>
        <w:t xml:space="preserve">the </w:t>
      </w:r>
      <w:r w:rsidR="00B41106">
        <w:t>ex-husband in</w:t>
      </w:r>
      <w:r>
        <w:t xml:space="preserve"> </w:t>
      </w:r>
      <w:r w:rsidRPr="00B41106" w:rsidR="00B41106">
        <w:rPr>
          <w:i/>
          <w:iCs/>
        </w:rPr>
        <w:t>D.H</w:t>
      </w:r>
      <w:r w:rsidR="00317985">
        <w:rPr>
          <w:i/>
          <w:iCs/>
        </w:rPr>
        <w:t>. and B.H</w:t>
      </w:r>
      <w:r w:rsidRPr="00B41106" w:rsidR="00B41106">
        <w:rPr>
          <w:i/>
          <w:iCs/>
        </w:rPr>
        <w:t>.</w:t>
      </w:r>
      <w:r w:rsidR="00B41106">
        <w:rPr>
          <w:i/>
          <w:iCs/>
        </w:rPr>
        <w:t>,</w:t>
      </w:r>
      <w:r w:rsidR="00633992">
        <w:t xml:space="preserve"> </w:t>
      </w:r>
      <w:r>
        <w:t>Ram</w:t>
      </w:r>
      <w:r w:rsidR="00B41106">
        <w:t xml:space="preserve">in </w:t>
      </w:r>
      <w:r>
        <w:t>tried but was only “partly successful” in obtaining information about his Iranian investments</w:t>
      </w:r>
      <w:r w:rsidR="00633992">
        <w:t xml:space="preserve"> because of</w:t>
      </w:r>
      <w:r w:rsidR="007E389F">
        <w:t xml:space="preserve"> </w:t>
      </w:r>
      <w:r w:rsidR="00B41106">
        <w:t>his ex-wife’s</w:t>
      </w:r>
      <w:r w:rsidR="007E389F">
        <w:t xml:space="preserve"> conduct</w:t>
      </w:r>
      <w:r w:rsidR="00B41106">
        <w:t>.</w:t>
      </w:r>
      <w:r w:rsidR="0060357A">
        <w:t xml:space="preserve"> </w:t>
      </w:r>
      <w:r w:rsidR="00E91238">
        <w:t xml:space="preserve"> (</w:t>
      </w:r>
      <w:r w:rsidRPr="0067661A" w:rsidR="00317985">
        <w:rPr>
          <w:i/>
          <w:iCs/>
        </w:rPr>
        <w:t>D.H. and B.G.</w:t>
      </w:r>
      <w:r w:rsidR="00317985">
        <w:t xml:space="preserve">, </w:t>
      </w:r>
      <w:r w:rsidRPr="0029540B" w:rsidR="00317985">
        <w:rPr>
          <w:i/>
        </w:rPr>
        <w:t>supra</w:t>
      </w:r>
      <w:r w:rsidR="00317985">
        <w:t>, 87 Cal.App.5th</w:t>
      </w:r>
      <w:r w:rsidR="00E91238">
        <w:t xml:space="preserve"> at pp. 605-606)</w:t>
      </w:r>
      <w:r w:rsidR="00B41106">
        <w:t xml:space="preserve">. </w:t>
      </w:r>
      <w:r>
        <w:t xml:space="preserve"> </w:t>
      </w:r>
      <w:r w:rsidR="00B41106">
        <w:t>A</w:t>
      </w:r>
      <w:r w:rsidR="007732CE">
        <w:t xml:space="preserve">s noted, </w:t>
      </w:r>
      <w:r w:rsidR="00851538">
        <w:t xml:space="preserve">the </w:t>
      </w:r>
      <w:r w:rsidR="00FB2A15">
        <w:t xml:space="preserve">file folder concerning their Iranian </w:t>
      </w:r>
      <w:r w:rsidR="00851538">
        <w:t xml:space="preserve">investments disappeared </w:t>
      </w:r>
      <w:r w:rsidR="00B41106">
        <w:t>when</w:t>
      </w:r>
      <w:r w:rsidR="00851538">
        <w:t xml:space="preserve"> </w:t>
      </w:r>
      <w:r w:rsidR="00FB2A15">
        <w:t xml:space="preserve">she </w:t>
      </w:r>
      <w:r w:rsidR="00851538">
        <w:t>left the marital home</w:t>
      </w:r>
      <w:r w:rsidR="00FB2A15">
        <w:t>,</w:t>
      </w:r>
      <w:r w:rsidR="00851538">
        <w:t xml:space="preserve"> and </w:t>
      </w:r>
      <w:r w:rsidR="00FB2A15">
        <w:t xml:space="preserve">she </w:t>
      </w:r>
      <w:r w:rsidR="00851538">
        <w:t xml:space="preserve">also </w:t>
      </w:r>
      <w:r w:rsidR="001E45C3">
        <w:t xml:space="preserve">obtained a sizable judgment against </w:t>
      </w:r>
      <w:r w:rsidR="00FB2A15">
        <w:t>Ram</w:t>
      </w:r>
      <w:r w:rsidR="00B41106">
        <w:t>i</w:t>
      </w:r>
      <w:r w:rsidR="00FB2A15">
        <w:t>n</w:t>
      </w:r>
      <w:r w:rsidR="00B41106">
        <w:t xml:space="preserve"> in Iran</w:t>
      </w:r>
      <w:r w:rsidR="00FB2A15">
        <w:t xml:space="preserve"> </w:t>
      </w:r>
      <w:r w:rsidR="001E45C3">
        <w:t>that has prevented him</w:t>
      </w:r>
      <w:r w:rsidR="00851538">
        <w:t xml:space="preserve"> from returning </w:t>
      </w:r>
      <w:r w:rsidR="00B41106">
        <w:t xml:space="preserve">to that country </w:t>
      </w:r>
      <w:r w:rsidR="00FB2A15">
        <w:t>to investigate</w:t>
      </w:r>
      <w:r w:rsidR="008F0600">
        <w:t xml:space="preserve"> his separate property interests</w:t>
      </w:r>
      <w:r w:rsidR="00851538">
        <w:t>.</w:t>
      </w:r>
      <w:r w:rsidR="001E45C3">
        <w:t xml:space="preserve"> </w:t>
      </w:r>
    </w:p>
    <w:p w:rsidR="00397820" w:rsidP="00F102EA" w14:paraId="23970BC3" w14:textId="590756CA">
      <w:pPr>
        <w:ind w:firstLine="720"/>
      </w:pPr>
      <w:r>
        <w:t>This brings us, finally, to public policy</w:t>
      </w:r>
      <w:r w:rsidR="00C41065">
        <w:t xml:space="preserve"> considerations</w:t>
      </w:r>
      <w:r w:rsidR="00AF3AE8">
        <w:t xml:space="preserve">, a factor that weighed in favor of burden shifting in both </w:t>
      </w:r>
      <w:r w:rsidRPr="00AF3AE8">
        <w:rPr>
          <w:i/>
          <w:iCs/>
        </w:rPr>
        <w:t>Margulis</w:t>
      </w:r>
      <w:r>
        <w:t xml:space="preserve"> and </w:t>
      </w:r>
      <w:r w:rsidRPr="00AF3AE8">
        <w:rPr>
          <w:i/>
        </w:rPr>
        <w:t>D.H</w:t>
      </w:r>
      <w:r w:rsidR="00317985">
        <w:rPr>
          <w:i/>
        </w:rPr>
        <w:t>. and B.H</w:t>
      </w:r>
      <w:r>
        <w:t>.</w:t>
      </w:r>
      <w:r w:rsidR="00CA6156">
        <w:t xml:space="preserve"> </w:t>
      </w:r>
      <w:r w:rsidR="00FA6BE9">
        <w:t xml:space="preserve">(see </w:t>
      </w:r>
      <w:r w:rsidRPr="00F9527D" w:rsidR="00FA6BE9">
        <w:rPr>
          <w:i/>
          <w:iCs/>
        </w:rPr>
        <w:t>Margulis</w:t>
      </w:r>
      <w:r w:rsidR="00FA6BE9">
        <w:t xml:space="preserve">, </w:t>
      </w:r>
      <w:r w:rsidRPr="00F9527D" w:rsidR="00FA6BE9">
        <w:rPr>
          <w:i/>
        </w:rPr>
        <w:t>supra</w:t>
      </w:r>
      <w:r w:rsidR="00FA6BE9">
        <w:t xml:space="preserve">, 198 Cal.App.4th at pp. 1269-1272; </w:t>
      </w:r>
      <w:r w:rsidRPr="004B1411" w:rsidR="00FA6BE9">
        <w:rPr>
          <w:i/>
        </w:rPr>
        <w:t>D.H</w:t>
      </w:r>
      <w:r w:rsidR="00FA6BE9">
        <w:t>.</w:t>
      </w:r>
      <w:r w:rsidR="00317985">
        <w:rPr>
          <w:i/>
          <w:iCs/>
        </w:rPr>
        <w:t xml:space="preserve"> and B.H.</w:t>
      </w:r>
      <w:r w:rsidR="00FA6BE9">
        <w:t xml:space="preserve">, </w:t>
      </w:r>
      <w:r w:rsidRPr="004B1411" w:rsidR="00FA6BE9">
        <w:rPr>
          <w:i/>
        </w:rPr>
        <w:t>supra</w:t>
      </w:r>
      <w:r w:rsidR="00FA6BE9">
        <w:t>, 87</w:t>
      </w:r>
      <w:r w:rsidR="00317985">
        <w:t> </w:t>
      </w:r>
      <w:r w:rsidR="00FA6BE9">
        <w:t>Cal.App.5th at p</w:t>
      </w:r>
      <w:r w:rsidR="00EF0751">
        <w:t>p</w:t>
      </w:r>
      <w:r w:rsidR="00FA6BE9">
        <w:t>.</w:t>
      </w:r>
      <w:r w:rsidR="0060357A">
        <w:t> </w:t>
      </w:r>
      <w:r w:rsidR="00EF0751">
        <w:t>605-</w:t>
      </w:r>
      <w:r w:rsidR="00FA6BE9">
        <w:t xml:space="preserve">606) </w:t>
      </w:r>
      <w:r w:rsidR="00FB6497">
        <w:t>and does here too.</w:t>
      </w:r>
      <w:r>
        <w:rPr>
          <w:rStyle w:val="FootnoteReference"/>
        </w:rPr>
        <w:footnoteReference w:id="10"/>
      </w:r>
      <w:r w:rsidR="00CA6156">
        <w:t xml:space="preserve"> </w:t>
      </w:r>
      <w:r w:rsidR="00A353F3">
        <w:rPr>
          <w:iCs/>
        </w:rPr>
        <w:t xml:space="preserve"> </w:t>
      </w:r>
      <w:r w:rsidR="00A456C7">
        <w:t>Section</w:t>
      </w:r>
      <w:r w:rsidR="00B2628E">
        <w:t xml:space="preserve"> </w:t>
      </w:r>
      <w:r w:rsidR="001914C3">
        <w:t>721</w:t>
      </w:r>
      <w:r w:rsidR="00270278">
        <w:t>, subdivision (b)</w:t>
      </w:r>
      <w:r w:rsidR="001914C3">
        <w:t xml:space="preserve"> of the Family </w:t>
      </w:r>
      <w:r w:rsidR="00C85F63">
        <w:t>C</w:t>
      </w:r>
      <w:r w:rsidR="001914C3">
        <w:t>ode</w:t>
      </w:r>
      <w:r w:rsidR="0040379F">
        <w:t xml:space="preserve">, the statute that was the “starting point” for </w:t>
      </w:r>
      <w:r w:rsidRPr="00B2628E" w:rsidR="0040379F">
        <w:rPr>
          <w:i/>
          <w:iCs/>
        </w:rPr>
        <w:t>Margulis’</w:t>
      </w:r>
      <w:r w:rsidR="0040379F">
        <w:t xml:space="preserve"> analysis</w:t>
      </w:r>
      <w:r w:rsidR="00F102EA">
        <w:t xml:space="preserve"> </w:t>
      </w:r>
      <w:r w:rsidR="00B020F7">
        <w:t xml:space="preserve">of inter-spousal duties </w:t>
      </w:r>
      <w:r w:rsidR="00F102EA">
        <w:t>(</w:t>
      </w:r>
      <w:r w:rsidRPr="00F102EA" w:rsidR="00F102EA">
        <w:rPr>
          <w:i/>
          <w:iCs/>
        </w:rPr>
        <w:t>Margulis</w:t>
      </w:r>
      <w:r w:rsidR="00F102EA">
        <w:rPr>
          <w:iCs/>
        </w:rPr>
        <w:t xml:space="preserve">, </w:t>
      </w:r>
      <w:r w:rsidRPr="00F102EA" w:rsidR="00F102EA">
        <w:rPr>
          <w:iCs/>
        </w:rPr>
        <w:t>at</w:t>
      </w:r>
      <w:r w:rsidR="00F102EA">
        <w:t xml:space="preserve"> p. 1269)</w:t>
      </w:r>
      <w:r w:rsidR="0040379F">
        <w:t>,</w:t>
      </w:r>
      <w:r w:rsidR="00F102EA">
        <w:t xml:space="preserve"> </w:t>
      </w:r>
      <w:r w:rsidR="00270278">
        <w:t xml:space="preserve">states </w:t>
      </w:r>
      <w:r w:rsidR="001E171C">
        <w:t xml:space="preserve">in relevant part </w:t>
      </w:r>
      <w:r w:rsidR="00270278">
        <w:t>that “</w:t>
      </w:r>
      <w:r w:rsidRPr="00C529F1" w:rsidR="00270278">
        <w:t>in transactions between themselves, spouses are subject to the general rules governing fiduciary relationships that control the actions of persons occupying confidential relations with each other</w:t>
      </w:r>
      <w:r w:rsidR="00270278">
        <w:t>,” that “[t]</w:t>
      </w:r>
      <w:r w:rsidRPr="00C529F1" w:rsidR="00270278">
        <w:t>his confidential relationship imposes a duty of the highest good faith and fair dealing on each spouse, and neither shall take any unfair advantage of the other</w:t>
      </w:r>
      <w:r w:rsidR="00270278">
        <w:t>” and “</w:t>
      </w:r>
      <w:r w:rsidRPr="00C529F1" w:rsidR="00270278">
        <w:t>is a fiduciary relationship subject to the same rights and duties of nonmarital business partners, as provided in Sections 16403, 16404, and 16503 of the Corporations Code</w:t>
      </w:r>
      <w:r w:rsidR="00270278">
        <w:t xml:space="preserve"> . . .</w:t>
      </w:r>
      <w:r w:rsidR="004C436C">
        <w:t xml:space="preserve"> </w:t>
      </w:r>
      <w:r w:rsidR="00B41106">
        <w:t>.</w:t>
      </w:r>
      <w:r w:rsidR="00270278">
        <w:t>”  (</w:t>
      </w:r>
      <w:r w:rsidR="00FB4D5F">
        <w:t>Fam. Code, § 721, subd. (b).)</w:t>
      </w:r>
      <w:r w:rsidR="001E171C">
        <w:t xml:space="preserve"> </w:t>
      </w:r>
      <w:r w:rsidR="00A456C7">
        <w:t xml:space="preserve"> </w:t>
      </w:r>
    </w:p>
    <w:p w:rsidR="00A60DAD" w:rsidP="00D1643C" w14:paraId="07D8A5B2" w14:textId="3DA5E58D">
      <w:pPr>
        <w:ind w:firstLine="720"/>
      </w:pPr>
      <w:r>
        <w:t xml:space="preserve">The fiduciary duties imposed by </w:t>
      </w:r>
      <w:r w:rsidR="00B27503">
        <w:t xml:space="preserve">Family Code </w:t>
      </w:r>
      <w:r>
        <w:t xml:space="preserve">section </w:t>
      </w:r>
      <w:r w:rsidR="00E056AF">
        <w:t>721</w:t>
      </w:r>
      <w:r>
        <w:t xml:space="preserve"> apply to </w:t>
      </w:r>
      <w:r w:rsidR="0031580E">
        <w:t>separate property</w:t>
      </w:r>
      <w:r w:rsidR="006D23B5">
        <w:t xml:space="preserve">.  </w:t>
      </w:r>
      <w:r w:rsidRPr="003E52C1" w:rsidR="003E52C1">
        <w:rPr>
          <w:i/>
          <w:iCs/>
        </w:rPr>
        <w:t>In re Marriage of Walker</w:t>
      </w:r>
      <w:r w:rsidRPr="003E52C1" w:rsidR="003E52C1">
        <w:t xml:space="preserve"> (2006</w:t>
      </w:r>
      <w:r w:rsidRPr="00563C76" w:rsidR="003E52C1">
        <w:t>) 138 Cal.App.4th 1408</w:t>
      </w:r>
      <w:r w:rsidRPr="00563C76" w:rsidR="005758B6">
        <w:t>, 1419</w:t>
      </w:r>
      <w:r w:rsidRPr="00563C76" w:rsidR="003E52C1">
        <w:t>)</w:t>
      </w:r>
      <w:r w:rsidRPr="00563C76" w:rsidR="00AC06FD">
        <w:t xml:space="preserve"> </w:t>
      </w:r>
      <w:r w:rsidRPr="00563C76" w:rsidR="00D1643C">
        <w:t>rejected the</w:t>
      </w:r>
      <w:r w:rsidRPr="00563C76" w:rsidR="00DA1769">
        <w:t xml:space="preserve"> assertion that a spouse cannot be subject to breach of fiduciary duty for mismanaging separate property</w:t>
      </w:r>
      <w:r w:rsidRPr="00563C76" w:rsidR="00D1643C">
        <w:t xml:space="preserve"> as </w:t>
      </w:r>
      <w:r w:rsidRPr="00563C76" w:rsidR="00DA1769">
        <w:rPr>
          <w:i/>
          <w:iCs/>
        </w:rPr>
        <w:t>“</w:t>
      </w:r>
      <w:r w:rsidRPr="00563C76" w:rsidR="00DA1769">
        <w:t>contrary</w:t>
      </w:r>
      <w:r w:rsidRPr="003A44F6" w:rsidR="00DA1769">
        <w:t xml:space="preserve"> both to sound public policy and to the language of Family Code section 721, subdivision (b) which speaks of the confidential relationship between husband and wife imposing on them the duty of </w:t>
      </w:r>
      <w:r w:rsidR="00DA1769">
        <w:t>‘</w:t>
      </w:r>
      <w:r w:rsidRPr="003A44F6" w:rsidR="00DA1769">
        <w:t>highest good faith and fair dealing” and “not taking unfair advantage of the other.</w:t>
      </w:r>
      <w:r w:rsidR="00DA1769">
        <w:t>’ ”</w:t>
      </w:r>
      <w:r w:rsidR="00FC6B19">
        <w:t xml:space="preserve"> </w:t>
      </w:r>
      <w:r w:rsidRPr="003A44F6" w:rsidR="00DA1769">
        <w:t xml:space="preserve"> </w:t>
      </w:r>
      <w:r w:rsidR="00DA1769">
        <w:t>(</w:t>
      </w:r>
      <w:r w:rsidRPr="00D318C4" w:rsidR="00DA1769">
        <w:rPr>
          <w:i/>
        </w:rPr>
        <w:t>I</w:t>
      </w:r>
      <w:r w:rsidR="00317985">
        <w:rPr>
          <w:i/>
        </w:rPr>
        <w:t>bid</w:t>
      </w:r>
      <w:r w:rsidR="00DA1769">
        <w:t xml:space="preserve">.)  There </w:t>
      </w:r>
      <w:r w:rsidR="00372398">
        <w:t xml:space="preserve">is </w:t>
      </w:r>
      <w:r w:rsidR="00DA1769">
        <w:t>“</w:t>
      </w:r>
      <w:r w:rsidRPr="003A44F6" w:rsidR="00DA1769">
        <w:t>no reason</w:t>
      </w:r>
      <w:r w:rsidR="00DA1769">
        <w:t xml:space="preserve">,” </w:t>
      </w:r>
      <w:r w:rsidRPr="00372398" w:rsidR="00372398">
        <w:rPr>
          <w:i/>
        </w:rPr>
        <w:t>Walker</w:t>
      </w:r>
      <w:r w:rsidR="00372398">
        <w:t xml:space="preserve"> </w:t>
      </w:r>
      <w:r w:rsidR="00DA1769">
        <w:t>reasoned,</w:t>
      </w:r>
      <w:r w:rsidRPr="003A44F6" w:rsidR="00DA1769">
        <w:t xml:space="preserve"> </w:t>
      </w:r>
      <w:r w:rsidR="00DA1769">
        <w:t>“</w:t>
      </w:r>
      <w:r w:rsidRPr="003A44F6" w:rsidR="00DA1769">
        <w:t>to distinguish between a spouse</w:t>
      </w:r>
      <w:r w:rsidR="00DA1769">
        <w:t>’</w:t>
      </w:r>
      <w:r w:rsidRPr="003A44F6" w:rsidR="00DA1769">
        <w:t>s duty to deal fairly and in good faith with separate property and her duty to deal fairly and in good faith with community property.</w:t>
      </w:r>
      <w:r w:rsidR="00DA1769">
        <w:t>”  (</w:t>
      </w:r>
      <w:r w:rsidRPr="00817FDF" w:rsidR="00DA1769">
        <w:rPr>
          <w:i/>
          <w:iCs/>
        </w:rPr>
        <w:t>Ibid</w:t>
      </w:r>
      <w:r w:rsidR="00DA1769">
        <w:t>.)</w:t>
      </w:r>
      <w:r w:rsidR="003F7312">
        <w:t xml:space="preserve">  </w:t>
      </w:r>
      <w:r w:rsidR="00372398">
        <w:t>We agree.</w:t>
      </w:r>
    </w:p>
    <w:p w:rsidR="0035715C" w:rsidRPr="003A44F6" w:rsidP="008B7C07" w14:paraId="1079A3B2" w14:textId="573A53E4">
      <w:pPr>
        <w:ind w:firstLine="720"/>
      </w:pPr>
      <w:r>
        <w:t xml:space="preserve">Like the fiduciary obligation </w:t>
      </w:r>
      <w:r w:rsidR="007941CA">
        <w:t xml:space="preserve">governing the management of community property, the </w:t>
      </w:r>
      <w:r w:rsidR="009E2450">
        <w:t>fiduciary obligation</w:t>
      </w:r>
      <w:r w:rsidR="005727CA">
        <w:t xml:space="preserve"> </w:t>
      </w:r>
      <w:r w:rsidR="000A7580">
        <w:t xml:space="preserve">imposed on </w:t>
      </w:r>
      <w:r w:rsidR="00D14EB2">
        <w:t xml:space="preserve">individuals </w:t>
      </w:r>
      <w:r w:rsidR="000A7580">
        <w:t xml:space="preserve">to deal fairly and in </w:t>
      </w:r>
      <w:r w:rsidR="00D14EB2">
        <w:t xml:space="preserve">good faith when managing </w:t>
      </w:r>
      <w:r w:rsidR="0032371A">
        <w:t xml:space="preserve">their </w:t>
      </w:r>
      <w:r w:rsidR="00D14EB2">
        <w:t xml:space="preserve">spouse’s </w:t>
      </w:r>
      <w:r w:rsidRPr="0032371A" w:rsidR="00D14EB2">
        <w:rPr>
          <w:i/>
        </w:rPr>
        <w:t>separate</w:t>
      </w:r>
      <w:r w:rsidR="00D14EB2">
        <w:t xml:space="preserve"> property </w:t>
      </w:r>
      <w:r w:rsidR="009E2450">
        <w:t xml:space="preserve">“provide[s] strong support for </w:t>
      </w:r>
      <w:r w:rsidR="00CA1CE4">
        <w:t>shifting the burden of proof to the managing spouse when determining the value and disposition of missing assets.”  (</w:t>
      </w:r>
      <w:r w:rsidRPr="00417AFD" w:rsidR="00CA1CE4">
        <w:rPr>
          <w:i/>
          <w:iCs/>
        </w:rPr>
        <w:t>Margulis</w:t>
      </w:r>
      <w:r w:rsidR="00CA1CE4">
        <w:t xml:space="preserve">, </w:t>
      </w:r>
      <w:r w:rsidRPr="00417AFD" w:rsidR="00CA1CE4">
        <w:rPr>
          <w:i/>
          <w:iCs/>
        </w:rPr>
        <w:t>supra</w:t>
      </w:r>
      <w:r w:rsidR="00CA1CE4">
        <w:t>, 198 Cal.App.4th at p. 12</w:t>
      </w:r>
      <w:r w:rsidR="00421744">
        <w:t>69</w:t>
      </w:r>
      <w:r w:rsidR="00CA1CE4">
        <w:t>.)</w:t>
      </w:r>
      <w:r w:rsidR="00421744">
        <w:t xml:space="preserve"> </w:t>
      </w:r>
      <w:r w:rsidR="000153D4">
        <w:t xml:space="preserve"> </w:t>
      </w:r>
      <w:r w:rsidR="00BF125C">
        <w:t>I</w:t>
      </w:r>
      <w:r w:rsidR="00CE4C2A">
        <w:t>n</w:t>
      </w:r>
      <w:r w:rsidR="004B37DB">
        <w:t xml:space="preserve"> </w:t>
      </w:r>
      <w:r w:rsidR="0030051E">
        <w:t xml:space="preserve">such a case, the trust reposed in </w:t>
      </w:r>
      <w:r w:rsidR="004B37DB">
        <w:t xml:space="preserve">the managing </w:t>
      </w:r>
      <w:r w:rsidR="0030051E">
        <w:t xml:space="preserve">spouse if anything is even greater </w:t>
      </w:r>
      <w:r w:rsidR="00B41E08">
        <w:t>because of the lack of financial self-interest</w:t>
      </w:r>
      <w:r w:rsidR="00B14A2E">
        <w:t xml:space="preserve"> involved</w:t>
      </w:r>
      <w:r w:rsidR="00B41E08">
        <w:t xml:space="preserve">.  </w:t>
      </w:r>
      <w:r w:rsidR="008033DA">
        <w:t>Just as when community property assets have gone missing under one spouse’s watch, s</w:t>
      </w:r>
      <w:r w:rsidR="0032371A">
        <w:t xml:space="preserve">hifting the burden of proof to </w:t>
      </w:r>
      <w:r w:rsidR="008033DA">
        <w:t xml:space="preserve">a managing spouse to </w:t>
      </w:r>
      <w:r w:rsidR="0032371A">
        <w:t xml:space="preserve">account </w:t>
      </w:r>
      <w:r w:rsidR="00DA0CD4">
        <w:t xml:space="preserve">for missing separate property that they have solely managed </w:t>
      </w:r>
      <w:r w:rsidR="008033DA">
        <w:t xml:space="preserve">for their spouse’s benefit </w:t>
      </w:r>
      <w:r w:rsidR="00421744">
        <w:t>“both discourages unfair dealing and empowers the nonmanaging spouse to remedy any breach of fiduciary duty” by the other spouse.  (</w:t>
      </w:r>
      <w:r w:rsidRPr="00417AFD" w:rsidR="00421744">
        <w:rPr>
          <w:i/>
          <w:iCs/>
        </w:rPr>
        <w:t>Margulis</w:t>
      </w:r>
      <w:r w:rsidR="00421744">
        <w:t xml:space="preserve">, at p. 1271.) </w:t>
      </w:r>
    </w:p>
    <w:p w:rsidR="00782BAC" w:rsidP="0072120F" w14:paraId="35C3FCB6" w14:textId="77777777">
      <w:pPr>
        <w:ind w:firstLine="720"/>
      </w:pPr>
      <w:r>
        <w:t xml:space="preserve">For these reasons, we conclude the trial court erred by not shifting the burden of proof to Laleh to prove the disposition and valuation of Ramen’s inheritance proceeds as </w:t>
      </w:r>
      <w:r>
        <w:t xml:space="preserve">well, despite the fact it is his separate property. </w:t>
      </w:r>
    </w:p>
    <w:p w:rsidR="00934A23" w:rsidRPr="00697145" w:rsidP="00DF70B1" w14:paraId="48DB18F4" w14:textId="335FE2A7">
      <w:pPr>
        <w:ind w:firstLine="720"/>
      </w:pPr>
      <w:r>
        <w:t>We emphasize</w:t>
      </w:r>
      <w:r w:rsidR="006A3265">
        <w:t xml:space="preserve"> that such a showing </w:t>
      </w:r>
      <w:r w:rsidR="00E508C7">
        <w:t xml:space="preserve">need not </w:t>
      </w:r>
      <w:r w:rsidR="006665EA">
        <w:t xml:space="preserve">involve a rigorous, </w:t>
      </w:r>
      <w:r w:rsidR="00E508C7">
        <w:t>detailed</w:t>
      </w:r>
      <w:r w:rsidR="006665EA">
        <w:t xml:space="preserve"> accounting</w:t>
      </w:r>
      <w:r w:rsidR="00E508C7">
        <w:t xml:space="preserve">.  As explained in </w:t>
      </w:r>
      <w:r w:rsidRPr="006C6131" w:rsidR="00E508C7">
        <w:rPr>
          <w:i/>
        </w:rPr>
        <w:t>Margulis</w:t>
      </w:r>
      <w:r w:rsidR="00E508C7">
        <w:t xml:space="preserve">, the managing spouse must simply show </w:t>
      </w:r>
      <w:r w:rsidR="002A7020">
        <w:t>“</w:t>
      </w:r>
      <w:r w:rsidR="00E508C7">
        <w:t>by competent evidence</w:t>
      </w:r>
      <w:r w:rsidR="002A7020">
        <w:t>”</w:t>
      </w:r>
      <w:r w:rsidR="00E508C7">
        <w:t xml:space="preserve"> </w:t>
      </w:r>
      <w:r w:rsidR="002A7020">
        <w:t xml:space="preserve">that </w:t>
      </w:r>
      <w:r w:rsidR="00B41106">
        <w:t>she has</w:t>
      </w:r>
      <w:r w:rsidR="002A7020">
        <w:t xml:space="preserve"> managed the assets </w:t>
      </w:r>
      <w:r w:rsidR="00621F13">
        <w:t xml:space="preserve">in a manner consistent with </w:t>
      </w:r>
      <w:r w:rsidR="00B41106">
        <w:t>her</w:t>
      </w:r>
      <w:r w:rsidR="00621F13">
        <w:t xml:space="preserve"> fiduciary obligations under </w:t>
      </w:r>
      <w:r w:rsidR="00C1410D">
        <w:t xml:space="preserve">Family Code </w:t>
      </w:r>
      <w:r w:rsidR="00621F13">
        <w:t>section</w:t>
      </w:r>
      <w:r w:rsidR="00C1410D">
        <w:t> </w:t>
      </w:r>
      <w:r w:rsidR="00621F13">
        <w:t>721.  (</w:t>
      </w:r>
      <w:r w:rsidRPr="006C6131" w:rsidR="00621F13">
        <w:rPr>
          <w:i/>
          <w:iCs/>
        </w:rPr>
        <w:t>Margulis</w:t>
      </w:r>
      <w:r w:rsidR="00B410B9">
        <w:t xml:space="preserve">, </w:t>
      </w:r>
      <w:r w:rsidRPr="006C6131" w:rsidR="00B410B9">
        <w:rPr>
          <w:i/>
          <w:iCs/>
        </w:rPr>
        <w:t>supra</w:t>
      </w:r>
      <w:r w:rsidR="00B410B9">
        <w:t xml:space="preserve">, 198 Cal.App.4th at p. 1279.)  Imposing sanctions on the managing spouse for violations of </w:t>
      </w:r>
      <w:r w:rsidR="00B41106">
        <w:t>her</w:t>
      </w:r>
      <w:r w:rsidR="00B410B9">
        <w:t xml:space="preserve"> statutory disclosure obligations, while appropriate in </w:t>
      </w:r>
      <w:r w:rsidR="00B41106">
        <w:t>some</w:t>
      </w:r>
      <w:r w:rsidR="00B410B9">
        <w:t xml:space="preserve"> case</w:t>
      </w:r>
      <w:r w:rsidR="00B41106">
        <w:t>s</w:t>
      </w:r>
      <w:r w:rsidR="00B410B9">
        <w:t>, does not go far enough</w:t>
      </w:r>
      <w:r w:rsidR="002025C9">
        <w:t xml:space="preserve"> to uphold the </w:t>
      </w:r>
      <w:r w:rsidR="006C6131">
        <w:t xml:space="preserve">duty </w:t>
      </w:r>
      <w:r w:rsidR="0058064E">
        <w:t>of strict transparency and fair dealing imposed by the Family Code</w:t>
      </w:r>
      <w:r w:rsidR="00B410B9">
        <w:t>.</w:t>
      </w:r>
    </w:p>
    <w:p w:rsidR="002B382E" w:rsidRPr="00697145" w:rsidP="00CC2CCA" w14:paraId="18592E05" w14:textId="77777777">
      <w:pPr>
        <w:keepNext/>
        <w:jc w:val="center"/>
        <w:rPr>
          <w:b/>
        </w:rPr>
      </w:pPr>
      <w:r w:rsidRPr="00697145">
        <w:rPr>
          <w:b/>
        </w:rPr>
        <w:t>DISPOSITION</w:t>
      </w:r>
    </w:p>
    <w:p w:rsidR="00E34053" w:rsidRPr="00697145" w:rsidP="00B449DC" w14:paraId="30474671" w14:textId="093FEEF2">
      <w:pPr>
        <w:ind w:firstLine="720"/>
      </w:pPr>
      <w:r w:rsidRPr="00697145">
        <w:t xml:space="preserve">The judgment is </w:t>
      </w:r>
      <w:r w:rsidR="006A26EB">
        <w:t>reversed</w:t>
      </w:r>
      <w:r w:rsidR="008009B1">
        <w:t>.  The matter is remanded for a retrial of the community property issues consistent with the views expressed in this opinion.  Appellant shall recover his costs.</w:t>
      </w:r>
    </w:p>
    <w:p w:rsidR="00FB3784" w14:paraId="3966219C" w14:textId="145B2F05">
      <w:pPr>
        <w:tabs>
          <w:tab w:val="clear" w:pos="720"/>
        </w:tabs>
        <w:spacing w:line="360" w:lineRule="auto"/>
      </w:pPr>
      <w:r>
        <w:br w:type="page"/>
      </w:r>
    </w:p>
    <w:p w:rsidR="00FB3784" w:rsidRPr="002F4802" w:rsidP="00294971" w14:paraId="7FF1551D" w14:textId="77777777">
      <w:pPr>
        <w:spacing w:line="240" w:lineRule="auto"/>
        <w:rPr>
          <w:rFonts w:eastAsia="Calibri"/>
        </w:rPr>
      </w:pPr>
    </w:p>
    <w:p w:rsidR="00FB3784" w:rsidRPr="002F4802" w:rsidP="00294971" w14:paraId="685B35D7" w14:textId="77777777">
      <w:pPr>
        <w:spacing w:line="240" w:lineRule="auto"/>
        <w:rPr>
          <w:rFonts w:eastAsia="Calibri"/>
        </w:rPr>
      </w:pPr>
    </w:p>
    <w:p w:rsidR="00FB3784" w:rsidRPr="002F4802" w:rsidP="00294971" w14:paraId="0E2D6023" w14:textId="77777777">
      <w:pPr>
        <w:spacing w:line="240" w:lineRule="auto"/>
        <w:rPr>
          <w:rFonts w:eastAsia="Calibri"/>
        </w:rPr>
      </w:pPr>
    </w:p>
    <w:p w:rsidR="00FB3784" w:rsidRPr="002F4802" w:rsidP="00294971" w14:paraId="7DCDC8D2" w14:textId="77777777">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rsidR="00FB3784" w:rsidRPr="002F4802" w:rsidP="00294971" w14:paraId="5A9E23A3" w14:textId="77777777">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t xml:space="preserve">STEWART, </w:t>
      </w:r>
      <w:r>
        <w:rPr>
          <w:rFonts w:eastAsia="Calibri"/>
        </w:rPr>
        <w:t>P.</w:t>
      </w:r>
      <w:r w:rsidRPr="002F4802">
        <w:rPr>
          <w:rFonts w:eastAsia="Calibri"/>
        </w:rPr>
        <w:t>J.</w:t>
      </w:r>
    </w:p>
    <w:p w:rsidR="00FB3784" w:rsidRPr="002F4802" w:rsidP="00294971" w14:paraId="7FCA0E16" w14:textId="77777777">
      <w:pPr>
        <w:spacing w:line="240" w:lineRule="auto"/>
        <w:rPr>
          <w:rFonts w:eastAsia="Calibri"/>
        </w:rPr>
      </w:pPr>
    </w:p>
    <w:p w:rsidR="00FB3784" w:rsidRPr="002F4802" w:rsidP="00294971" w14:paraId="058B5516" w14:textId="77777777">
      <w:pPr>
        <w:spacing w:line="240" w:lineRule="auto"/>
        <w:rPr>
          <w:rFonts w:eastAsia="Calibri"/>
        </w:rPr>
      </w:pPr>
    </w:p>
    <w:p w:rsidR="00FB3784" w:rsidRPr="002F4802" w:rsidP="00294971" w14:paraId="4D4BE078" w14:textId="77777777">
      <w:pPr>
        <w:spacing w:line="240" w:lineRule="auto"/>
        <w:rPr>
          <w:rFonts w:eastAsia="Calibri"/>
        </w:rPr>
      </w:pPr>
    </w:p>
    <w:p w:rsidR="00FB3784" w:rsidRPr="002F4802" w:rsidP="00294971" w14:paraId="72EF2D43" w14:textId="77777777">
      <w:pPr>
        <w:spacing w:line="240" w:lineRule="auto"/>
        <w:rPr>
          <w:rFonts w:eastAsia="Calibri"/>
        </w:rPr>
      </w:pPr>
      <w:r w:rsidRPr="002F4802">
        <w:rPr>
          <w:rFonts w:eastAsia="Calibri"/>
        </w:rPr>
        <w:t>We concur.</w:t>
      </w:r>
    </w:p>
    <w:p w:rsidR="00FB3784" w:rsidRPr="002F4802" w:rsidP="00294971" w14:paraId="5CA86317" w14:textId="77777777">
      <w:pPr>
        <w:spacing w:line="240" w:lineRule="auto"/>
        <w:rPr>
          <w:rFonts w:eastAsia="Calibri"/>
        </w:rPr>
      </w:pPr>
    </w:p>
    <w:p w:rsidR="00FB3784" w:rsidRPr="002F4802" w:rsidP="00294971" w14:paraId="42EE5E05" w14:textId="77777777">
      <w:pPr>
        <w:spacing w:line="240" w:lineRule="auto"/>
        <w:rPr>
          <w:rFonts w:eastAsia="Calibri"/>
        </w:rPr>
      </w:pPr>
    </w:p>
    <w:p w:rsidR="00FB3784" w:rsidRPr="002F4802" w:rsidP="00294971" w14:paraId="4D99B889" w14:textId="77777777">
      <w:pPr>
        <w:spacing w:line="240" w:lineRule="auto"/>
        <w:rPr>
          <w:rFonts w:eastAsia="Calibri"/>
        </w:rPr>
      </w:pPr>
    </w:p>
    <w:p w:rsidR="00FB3784" w:rsidRPr="002F4802" w:rsidP="00294971" w14:paraId="1D494DFE" w14:textId="77777777">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rsidR="00FB3784" w:rsidRPr="002F4802" w:rsidP="00294971" w14:paraId="2041C42B" w14:textId="77777777">
      <w:pPr>
        <w:spacing w:line="240" w:lineRule="auto"/>
        <w:rPr>
          <w:rFonts w:eastAsia="Calibri"/>
        </w:rPr>
      </w:pPr>
      <w:r>
        <w:rPr>
          <w:rFonts w:eastAsia="Calibri"/>
        </w:rPr>
        <w:t>RICHMAN</w:t>
      </w:r>
      <w:r w:rsidRPr="002F4802">
        <w:rPr>
          <w:rFonts w:eastAsia="Calibri"/>
        </w:rPr>
        <w:t>, J.</w:t>
      </w:r>
    </w:p>
    <w:p w:rsidR="00FB3784" w:rsidRPr="002F4802" w:rsidP="00294971" w14:paraId="160F769F" w14:textId="77777777">
      <w:pPr>
        <w:spacing w:line="240" w:lineRule="auto"/>
        <w:rPr>
          <w:rFonts w:eastAsia="Calibri"/>
        </w:rPr>
      </w:pPr>
    </w:p>
    <w:p w:rsidR="00FB3784" w:rsidRPr="002F4802" w:rsidP="00294971" w14:paraId="6A4672CC" w14:textId="77777777">
      <w:pPr>
        <w:spacing w:line="240" w:lineRule="auto"/>
        <w:rPr>
          <w:rFonts w:eastAsia="Calibri"/>
        </w:rPr>
      </w:pPr>
    </w:p>
    <w:p w:rsidR="00FB3784" w:rsidRPr="002F4802" w:rsidP="00294971" w14:paraId="2BAEEF6D" w14:textId="77777777">
      <w:pPr>
        <w:spacing w:line="240" w:lineRule="auto"/>
        <w:rPr>
          <w:rFonts w:eastAsia="Calibri"/>
        </w:rPr>
      </w:pPr>
    </w:p>
    <w:p w:rsidR="00FB3784" w:rsidRPr="002F4802" w:rsidP="00294971" w14:paraId="7123F0FA" w14:textId="77777777">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rsidR="00FB3784" w:rsidRPr="002F4802" w:rsidP="00294971" w14:paraId="0AE0927F" w14:textId="541F3CD7">
      <w:pPr>
        <w:spacing w:line="240" w:lineRule="auto"/>
        <w:rPr>
          <w:rFonts w:eastAsia="Calibri"/>
        </w:rPr>
      </w:pPr>
      <w:r w:rsidRPr="002F4802">
        <w:rPr>
          <w:rFonts w:eastAsia="Calibri"/>
        </w:rPr>
        <w:t>M</w:t>
      </w:r>
      <w:r w:rsidR="00DA197C">
        <w:rPr>
          <w:rFonts w:eastAsia="Calibri"/>
        </w:rPr>
        <w:t>AYFIELD</w:t>
      </w:r>
      <w:r w:rsidRPr="002F4802">
        <w:rPr>
          <w:rFonts w:eastAsia="Calibri"/>
        </w:rPr>
        <w:t>, J.</w:t>
      </w:r>
      <w:r>
        <w:rPr>
          <w:rStyle w:val="FootnoteReference"/>
          <w:rFonts w:eastAsia="Calibri"/>
        </w:rPr>
        <w:footnoteReference w:customMarkFollows="1" w:id="11"/>
        <w:t xml:space="preserve">*</w:t>
      </w:r>
    </w:p>
    <w:p w:rsidR="00FB3784" w:rsidRPr="002F4802" w:rsidP="00294971" w14:paraId="6460C65C" w14:textId="77777777">
      <w:pPr>
        <w:spacing w:line="240" w:lineRule="auto"/>
        <w:rPr>
          <w:rFonts w:eastAsia="Calibri"/>
        </w:rPr>
      </w:pPr>
    </w:p>
    <w:p w:rsidR="00FB3784" w:rsidRPr="002F4802" w:rsidP="00294971" w14:paraId="6FA6A869" w14:textId="77777777">
      <w:pPr>
        <w:spacing w:line="240" w:lineRule="auto"/>
        <w:rPr>
          <w:rFonts w:eastAsia="Calibri"/>
        </w:rPr>
      </w:pPr>
    </w:p>
    <w:p w:rsidR="00FB3784" w:rsidP="00294971" w14:paraId="6797C10C" w14:textId="77777777">
      <w:pPr>
        <w:spacing w:line="240" w:lineRule="auto"/>
        <w:rPr>
          <w:rFonts w:eastAsia="Calibri"/>
        </w:rPr>
      </w:pPr>
    </w:p>
    <w:p w:rsidR="00FB3784" w:rsidP="00294971" w14:paraId="43D5E1C5" w14:textId="77777777">
      <w:pPr>
        <w:spacing w:line="240" w:lineRule="auto"/>
        <w:rPr>
          <w:rFonts w:eastAsia="Calibri"/>
        </w:rPr>
      </w:pPr>
    </w:p>
    <w:p w:rsidR="00FB3784" w:rsidP="00294971" w14:paraId="7F43186E" w14:textId="77777777">
      <w:pPr>
        <w:spacing w:line="240" w:lineRule="auto"/>
        <w:rPr>
          <w:rFonts w:eastAsia="Calibri"/>
        </w:rPr>
      </w:pPr>
    </w:p>
    <w:p w:rsidR="00FB3784" w:rsidP="00294971" w14:paraId="4C0D3A4F" w14:textId="77777777">
      <w:pPr>
        <w:spacing w:line="240" w:lineRule="auto"/>
        <w:rPr>
          <w:rFonts w:eastAsia="Calibri"/>
        </w:rPr>
      </w:pPr>
    </w:p>
    <w:p w:rsidR="00FB3784" w:rsidP="00294971" w14:paraId="3282B667" w14:textId="77777777">
      <w:pPr>
        <w:spacing w:line="240" w:lineRule="auto"/>
        <w:rPr>
          <w:rFonts w:eastAsia="Calibri"/>
        </w:rPr>
      </w:pPr>
    </w:p>
    <w:p w:rsidR="00FB3784" w:rsidP="00294971" w14:paraId="5B9C4EC1" w14:textId="77777777">
      <w:pPr>
        <w:spacing w:line="240" w:lineRule="auto"/>
        <w:rPr>
          <w:rFonts w:eastAsia="Calibri"/>
        </w:rPr>
      </w:pPr>
    </w:p>
    <w:p w:rsidR="00FB3784" w:rsidP="00294971" w14:paraId="16862AF1" w14:textId="77777777">
      <w:pPr>
        <w:spacing w:line="240" w:lineRule="auto"/>
        <w:rPr>
          <w:rFonts w:eastAsia="Calibri"/>
        </w:rPr>
      </w:pPr>
    </w:p>
    <w:p w:rsidR="00FB3784" w:rsidP="00294971" w14:paraId="342A1773" w14:textId="77777777">
      <w:pPr>
        <w:spacing w:line="240" w:lineRule="auto"/>
        <w:rPr>
          <w:rFonts w:eastAsia="Calibri"/>
        </w:rPr>
      </w:pPr>
    </w:p>
    <w:p w:rsidR="00FB3784" w:rsidRPr="002F4802" w:rsidP="00294971" w14:paraId="4DD25D96" w14:textId="77777777">
      <w:pPr>
        <w:spacing w:line="240" w:lineRule="auto"/>
        <w:rPr>
          <w:rFonts w:eastAsia="Calibri"/>
        </w:rPr>
      </w:pPr>
    </w:p>
    <w:p w:rsidR="00FB3784" w:rsidRPr="002F4802" w:rsidP="00294971" w14:paraId="1A5D0FEC" w14:textId="77777777">
      <w:pPr>
        <w:spacing w:line="240" w:lineRule="auto"/>
        <w:rPr>
          <w:rFonts w:eastAsia="Calibri"/>
        </w:rPr>
      </w:pPr>
    </w:p>
    <w:p w:rsidR="00FB3784" w:rsidRPr="002F4802" w:rsidP="00294971" w14:paraId="7F388EB2" w14:textId="77777777">
      <w:pPr>
        <w:spacing w:line="240" w:lineRule="auto"/>
        <w:rPr>
          <w:rFonts w:eastAsia="Calibri"/>
        </w:rPr>
      </w:pPr>
    </w:p>
    <w:p w:rsidR="00FB3784" w:rsidP="00294971" w14:paraId="37C74B2F" w14:textId="77777777">
      <w:pPr>
        <w:spacing w:line="240" w:lineRule="auto"/>
        <w:rPr>
          <w:rFonts w:eastAsia="Calibri"/>
        </w:rPr>
      </w:pPr>
    </w:p>
    <w:p w:rsidR="00FB3784" w:rsidP="00294971" w14:paraId="739C221D" w14:textId="77777777">
      <w:pPr>
        <w:spacing w:line="240" w:lineRule="auto"/>
        <w:rPr>
          <w:rFonts w:eastAsia="Calibri"/>
        </w:rPr>
      </w:pPr>
    </w:p>
    <w:p w:rsidR="00FB3784" w:rsidRPr="002F4802" w:rsidP="00294971" w14:paraId="47D59CC9" w14:textId="77777777">
      <w:pPr>
        <w:spacing w:line="240" w:lineRule="auto"/>
        <w:rPr>
          <w:rFonts w:eastAsia="Calibri"/>
        </w:rPr>
      </w:pPr>
    </w:p>
    <w:p w:rsidR="00FB3784" w:rsidRPr="002F4802" w:rsidP="00294971" w14:paraId="68EC945F" w14:textId="77777777">
      <w:pPr>
        <w:spacing w:line="240" w:lineRule="auto"/>
        <w:rPr>
          <w:rFonts w:eastAsia="Calibri"/>
        </w:rPr>
      </w:pPr>
    </w:p>
    <w:p w:rsidR="00FB3784" w:rsidRPr="002F4802" w:rsidP="00294971" w14:paraId="5704FA0B" w14:textId="77777777">
      <w:pPr>
        <w:spacing w:line="240" w:lineRule="auto"/>
        <w:rPr>
          <w:rFonts w:eastAsia="Calibri"/>
        </w:rPr>
      </w:pPr>
    </w:p>
    <w:p w:rsidR="00FB3784" w:rsidP="00294971" w14:paraId="74F969A9" w14:textId="77777777">
      <w:pPr>
        <w:spacing w:line="240" w:lineRule="auto"/>
        <w:rPr>
          <w:rFonts w:eastAsia="Calibri"/>
        </w:rPr>
      </w:pPr>
      <w:r>
        <w:rPr>
          <w:rFonts w:eastAsia="Calibri"/>
          <w:i/>
        </w:rPr>
        <w:t>In re Marriage of Mohammadijoo and Dadashian</w:t>
      </w:r>
      <w:r w:rsidRPr="002F4802">
        <w:rPr>
          <w:rFonts w:eastAsia="Calibri"/>
          <w:i/>
        </w:rPr>
        <w:t xml:space="preserve"> </w:t>
      </w:r>
      <w:r w:rsidRPr="002F4802">
        <w:rPr>
          <w:rFonts w:eastAsia="Calibri"/>
        </w:rPr>
        <w:t>(A1</w:t>
      </w:r>
      <w:r>
        <w:rPr>
          <w:rFonts w:eastAsia="Calibri"/>
        </w:rPr>
        <w:t>63185</w:t>
      </w:r>
      <w:r w:rsidRPr="002F4802">
        <w:rPr>
          <w:rFonts w:eastAsia="Calibri"/>
        </w:rPr>
        <w:t>)</w:t>
      </w:r>
    </w:p>
    <w:p w:rsidR="00415A9D" w:rsidRPr="00697145" w:rsidP="009E2F06" w14:paraId="09278C11" w14:textId="77777777">
      <w:pPr>
        <w:ind w:firstLine="720"/>
        <w:jc w:val="center"/>
      </w:pPr>
    </w:p>
    <w:p w:rsidR="00201FD5" w14:paraId="6F9A80F0" w14:textId="4D7DD4E5">
      <w:pPr>
        <w:tabs>
          <w:tab w:val="clear" w:pos="720"/>
        </w:tabs>
        <w:spacing w:line="360" w:lineRule="auto"/>
      </w:pPr>
      <w:r>
        <w:br w:type="page"/>
      </w:r>
    </w:p>
    <w:p w:rsidR="00201FD5" w:rsidP="0025232B" w14:paraId="6421803E" w14:textId="77777777">
      <w:pPr>
        <w:spacing w:line="240" w:lineRule="auto"/>
      </w:pPr>
      <w:r>
        <w:t>Trial Court:</w:t>
      </w:r>
      <w:r>
        <w:tab/>
        <w:t>Contra Costa County Superior Court</w:t>
      </w:r>
    </w:p>
    <w:p w:rsidR="00201FD5" w:rsidP="0025232B" w14:paraId="7441AB8D" w14:textId="77777777">
      <w:pPr>
        <w:spacing w:line="240" w:lineRule="auto"/>
      </w:pPr>
    </w:p>
    <w:p w:rsidR="00201FD5" w:rsidP="0025232B" w14:paraId="165F490B" w14:textId="77777777">
      <w:pPr>
        <w:spacing w:line="240" w:lineRule="auto"/>
      </w:pPr>
      <w:r>
        <w:t>Trial Judge:</w:t>
      </w:r>
      <w:r>
        <w:tab/>
        <w:t>Hon. Brian F. Haynes</w:t>
      </w:r>
    </w:p>
    <w:p w:rsidR="00201FD5" w:rsidP="0025232B" w14:paraId="6081F88C" w14:textId="77777777">
      <w:pPr>
        <w:spacing w:line="240" w:lineRule="auto"/>
      </w:pPr>
    </w:p>
    <w:p w:rsidR="00201FD5" w:rsidP="0025232B" w14:paraId="7528EC9F" w14:textId="77777777">
      <w:pPr>
        <w:spacing w:line="240" w:lineRule="auto"/>
      </w:pPr>
      <w:r>
        <w:t xml:space="preserve">Counsel:  </w:t>
      </w:r>
    </w:p>
    <w:p w:rsidR="00201FD5" w:rsidP="0025232B" w14:paraId="3E0A80D4" w14:textId="77777777">
      <w:pPr>
        <w:spacing w:line="240" w:lineRule="auto"/>
      </w:pPr>
    </w:p>
    <w:p w:rsidR="00201FD5" w:rsidP="0025232B" w14:paraId="33FD229A" w14:textId="77777777">
      <w:pPr>
        <w:spacing w:line="240" w:lineRule="auto"/>
      </w:pPr>
      <w:r>
        <w:t>Avedikian Law, Steven G. Hasegawa, for Plaintiff and Respondent.</w:t>
      </w:r>
    </w:p>
    <w:p w:rsidR="00201FD5" w:rsidP="0025232B" w14:paraId="112542C4" w14:textId="77777777">
      <w:pPr>
        <w:spacing w:line="240" w:lineRule="auto"/>
      </w:pPr>
    </w:p>
    <w:p w:rsidR="00201FD5" w:rsidP="0025232B" w14:paraId="5D7F245B" w14:textId="77777777">
      <w:pPr>
        <w:spacing w:line="240" w:lineRule="auto"/>
      </w:pPr>
      <w:r>
        <w:t>Law Office of Kimball J.P. Sargeant, Kimball J.P. Sargeant, for Defendant and Appellant.</w:t>
      </w:r>
    </w:p>
    <w:sectPr w:rsidSect="003F2471">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82E" w:rsidP="00F30DAC" w14:paraId="34C9748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382E" w:rsidP="00F30DAC" w14:paraId="2F89138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382E" w14:paraId="38BECE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82E" w:rsidP="00F30DAC" w14:paraId="426717B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053">
      <w:rPr>
        <w:rStyle w:val="PageNumber"/>
        <w:noProof/>
      </w:rPr>
      <w:t>2</w:t>
    </w:r>
    <w:r>
      <w:rPr>
        <w:rStyle w:val="PageNumber"/>
      </w:rPr>
      <w:fldChar w:fldCharType="end"/>
    </w:r>
  </w:p>
  <w:p w:rsidR="002B382E" w14:paraId="08048B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5475" w:rsidP="002B382E" w14:paraId="5CEF3053" w14:textId="77777777">
      <w:pPr>
        <w:spacing w:line="240" w:lineRule="auto"/>
      </w:pPr>
      <w:r>
        <w:separator/>
      </w:r>
    </w:p>
  </w:footnote>
  <w:footnote w:type="continuationSeparator" w:id="1">
    <w:p w:rsidR="009C5475" w:rsidP="002B382E" w14:paraId="15B3D193" w14:textId="77777777">
      <w:pPr>
        <w:spacing w:line="240" w:lineRule="auto"/>
      </w:pPr>
      <w:r>
        <w:continuationSeparator/>
      </w:r>
    </w:p>
  </w:footnote>
  <w:footnote w:id="2">
    <w:p w:rsidR="00E54A95" w:rsidRPr="00DB56F5" w:rsidP="00DB56F5" w14:paraId="3D335246" w14:textId="053081BE">
      <w:pPr>
        <w:pStyle w:val="FootnoteText"/>
        <w:rPr>
          <w:bCs/>
        </w:rPr>
      </w:pPr>
      <w:r>
        <w:rPr>
          <w:rStyle w:val="FootnoteReference"/>
        </w:rPr>
        <w:footnoteRef/>
      </w:r>
      <w:r w:rsidR="00317985">
        <w:t xml:space="preserve"> </w:t>
      </w:r>
      <w:r>
        <w:t xml:space="preserve"> </w:t>
      </w:r>
      <w:r w:rsidRPr="00E54A95">
        <w:rPr>
          <w:bCs/>
        </w:rPr>
        <w:t>The managing spouse’s evidentiary burden does not require a “</w:t>
      </w:r>
      <w:r w:rsidR="00515C53">
        <w:rPr>
          <w:bCs/>
        </w:rPr>
        <w:t> ‘</w:t>
      </w:r>
      <w:r w:rsidRPr="00E54A95">
        <w:rPr>
          <w:bCs/>
        </w:rPr>
        <w:t xml:space="preserve">detailed’ accounting” but merely proof by “competent evidence” that the asset in </w:t>
      </w:r>
      <w:r w:rsidR="00D5205D">
        <w:rPr>
          <w:bCs/>
        </w:rPr>
        <w:t>his or her</w:t>
      </w:r>
      <w:r w:rsidRPr="00E54A95" w:rsidR="00D5205D">
        <w:rPr>
          <w:bCs/>
        </w:rPr>
        <w:t xml:space="preserve"> </w:t>
      </w:r>
      <w:r w:rsidRPr="00E54A95">
        <w:rPr>
          <w:bCs/>
        </w:rPr>
        <w:t xml:space="preserve">control has been managed in a manner consistent with </w:t>
      </w:r>
      <w:r w:rsidR="00D5205D">
        <w:rPr>
          <w:bCs/>
        </w:rPr>
        <w:t>a spouse’s</w:t>
      </w:r>
      <w:r w:rsidRPr="00E54A95" w:rsidR="00D5205D">
        <w:rPr>
          <w:bCs/>
        </w:rPr>
        <w:t xml:space="preserve"> </w:t>
      </w:r>
      <w:r w:rsidRPr="00E54A95">
        <w:rPr>
          <w:bCs/>
        </w:rPr>
        <w:t xml:space="preserve">fiduciary obligations, a showing that may take into account “the length of the separation and the attendant difficulties </w:t>
      </w:r>
      <w:r w:rsidR="00515C53">
        <w:rPr>
          <w:bCs/>
        </w:rPr>
        <w:t>of</w:t>
      </w:r>
      <w:r w:rsidRPr="00E54A95">
        <w:rPr>
          <w:bCs/>
        </w:rPr>
        <w:t xml:space="preserve"> proof.” </w:t>
      </w:r>
      <w:r w:rsidR="00FC6B19">
        <w:rPr>
          <w:bCs/>
        </w:rPr>
        <w:t xml:space="preserve"> </w:t>
      </w:r>
      <w:r w:rsidRPr="00E54A95">
        <w:rPr>
          <w:bCs/>
        </w:rPr>
        <w:t>(</w:t>
      </w:r>
      <w:r w:rsidRPr="00047A09" w:rsidR="00515C53">
        <w:rPr>
          <w:i/>
          <w:iCs/>
        </w:rPr>
        <w:t>Margulis</w:t>
      </w:r>
      <w:r w:rsidR="00515C53">
        <w:t xml:space="preserve">, </w:t>
      </w:r>
      <w:r w:rsidRPr="00BC07D8" w:rsidR="00515C53">
        <w:rPr>
          <w:i/>
        </w:rPr>
        <w:t>supra</w:t>
      </w:r>
      <w:r w:rsidR="00515C53">
        <w:t>,</w:t>
      </w:r>
      <w:r w:rsidRPr="00047A09" w:rsidR="00515C53">
        <w:t xml:space="preserve"> 198</w:t>
      </w:r>
      <w:r w:rsidR="00515C53">
        <w:t> </w:t>
      </w:r>
      <w:r w:rsidRPr="00047A09" w:rsidR="00515C53">
        <w:t>Cal.App.4th</w:t>
      </w:r>
      <w:r w:rsidRPr="00E54A95">
        <w:rPr>
          <w:bCs/>
        </w:rPr>
        <w:t xml:space="preserve"> at p.</w:t>
      </w:r>
      <w:r w:rsidR="00FC6B19">
        <w:rPr>
          <w:bCs/>
        </w:rPr>
        <w:t> </w:t>
      </w:r>
      <w:r w:rsidRPr="00E54A95">
        <w:rPr>
          <w:bCs/>
        </w:rPr>
        <w:t>1279.)</w:t>
      </w:r>
    </w:p>
  </w:footnote>
  <w:footnote w:id="3">
    <w:p w:rsidR="009953D0" w14:paraId="2BDADF48" w14:textId="54A7C5C6">
      <w:pPr>
        <w:pStyle w:val="FootnoteText"/>
      </w:pPr>
      <w:r>
        <w:rPr>
          <w:rStyle w:val="FootnoteReference"/>
        </w:rPr>
        <w:footnoteRef/>
      </w:r>
      <w:r>
        <w:t xml:space="preserve"> </w:t>
      </w:r>
      <w:r w:rsidR="00515C53">
        <w:t xml:space="preserve"> </w:t>
      </w:r>
      <w:r w:rsidRPr="009953D0">
        <w:t>Once they separated</w:t>
      </w:r>
      <w:r>
        <w:t>,</w:t>
      </w:r>
      <w:r w:rsidRPr="009953D0">
        <w:t xml:space="preserve"> Ramin worked</w:t>
      </w:r>
      <w:r>
        <w:t xml:space="preserve"> to revoke the power of attorney which was accomplished in December 2014. </w:t>
      </w:r>
    </w:p>
  </w:footnote>
  <w:footnote w:id="4">
    <w:p w:rsidR="001739A7" w14:paraId="3D859485" w14:textId="435B29CD">
      <w:pPr>
        <w:pStyle w:val="FootnoteText"/>
      </w:pPr>
      <w:r>
        <w:rPr>
          <w:rStyle w:val="FootnoteReference"/>
        </w:rPr>
        <w:footnoteRef/>
      </w:r>
      <w:r>
        <w:t xml:space="preserve"> </w:t>
      </w:r>
      <w:r w:rsidR="00A12915">
        <w:t xml:space="preserve"> </w:t>
      </w:r>
      <w:r w:rsidR="006D3DD1">
        <w:t>Although t</w:t>
      </w:r>
      <w:r w:rsidR="00A12915">
        <w:t xml:space="preserve">he source of the balance of the purchase price, over and above Ramin’s $170,000 inheritance, </w:t>
      </w:r>
      <w:r>
        <w:t>is unclear from the parties’ briefs</w:t>
      </w:r>
      <w:r w:rsidR="004B5EF4">
        <w:t>, Ramin</w:t>
      </w:r>
      <w:r w:rsidR="00251A4E">
        <w:t xml:space="preserve"> testi</w:t>
      </w:r>
      <w:r w:rsidR="001D1AAE">
        <w:t>fied</w:t>
      </w:r>
      <w:r w:rsidRPr="003D1316" w:rsidR="003D1316">
        <w:t xml:space="preserve"> the couple’s Iranian real estate holdings </w:t>
      </w:r>
      <w:r w:rsidR="0020199C">
        <w:t xml:space="preserve">also </w:t>
      </w:r>
      <w:r w:rsidRPr="003D1316" w:rsidR="003D1316">
        <w:t xml:space="preserve">were funded </w:t>
      </w:r>
      <w:r w:rsidR="0020199C">
        <w:t>from</w:t>
      </w:r>
      <w:r w:rsidR="004B5EF4">
        <w:t xml:space="preserve"> </w:t>
      </w:r>
      <w:r w:rsidRPr="003D1316" w:rsidR="003D1316">
        <w:t xml:space="preserve">the HELOC proceeds. </w:t>
      </w:r>
    </w:p>
  </w:footnote>
  <w:footnote w:id="5">
    <w:p w:rsidR="0000690C" w14:paraId="448448B8" w14:textId="0FF112FF">
      <w:pPr>
        <w:pStyle w:val="FootnoteText"/>
      </w:pPr>
      <w:r>
        <w:rPr>
          <w:rStyle w:val="FootnoteReference"/>
        </w:rPr>
        <w:footnoteRef/>
      </w:r>
      <w:r>
        <w:t xml:space="preserve"> </w:t>
      </w:r>
      <w:r w:rsidR="00515C53">
        <w:t xml:space="preserve"> </w:t>
      </w:r>
      <w:r>
        <w:t>The lender, Wells Fargo, ultimately forgave the indebtedness</w:t>
      </w:r>
      <w:r w:rsidR="00BF0A26">
        <w:t xml:space="preserve"> three years later, in 2010</w:t>
      </w:r>
      <w:r>
        <w:t xml:space="preserve">. </w:t>
      </w:r>
      <w:r w:rsidR="00BF0A26">
        <w:t xml:space="preserve"> Ramin had attempted to renegotiate the debt so they could afford the monthly </w:t>
      </w:r>
      <w:r w:rsidR="0028205F">
        <w:t>payments and</w:t>
      </w:r>
      <w:r w:rsidR="00BF0A26">
        <w:t xml:space="preserve"> had also suggested to Laleh they repatriate money from Iran to pay it </w:t>
      </w:r>
      <w:r w:rsidR="0028205F">
        <w:t>off,</w:t>
      </w:r>
      <w:r w:rsidR="00BF0A26">
        <w:t xml:space="preserve"> but she </w:t>
      </w:r>
      <w:r w:rsidR="00BA56F4">
        <w:t xml:space="preserve">resisted and </w:t>
      </w:r>
      <w:r w:rsidR="00BF0A26">
        <w:t>would not consent</w:t>
      </w:r>
      <w:r w:rsidR="00BA56F4">
        <w:t xml:space="preserve">. </w:t>
      </w:r>
      <w:r w:rsidR="00BF0A26">
        <w:t xml:space="preserve"> </w:t>
      </w:r>
    </w:p>
  </w:footnote>
  <w:footnote w:id="6">
    <w:p w:rsidR="00563D44" w14:paraId="54FAD80D" w14:textId="1738A37C">
      <w:pPr>
        <w:pStyle w:val="FootnoteText"/>
      </w:pPr>
      <w:r>
        <w:rPr>
          <w:rStyle w:val="FootnoteReference"/>
        </w:rPr>
        <w:footnoteRef/>
      </w:r>
      <w:r w:rsidR="00515C53">
        <w:t xml:space="preserve"> </w:t>
      </w:r>
      <w:r>
        <w:t xml:space="preserve"> </w:t>
      </w:r>
      <w:r w:rsidRPr="00563D44">
        <w:t xml:space="preserve">It is unclear from the record whether that exhibit was admitted into evidence, but neither party discusses </w:t>
      </w:r>
      <w:r w:rsidRPr="00563D44" w:rsidR="0028205F">
        <w:t>nor</w:t>
      </w:r>
      <w:r w:rsidRPr="00563D44">
        <w:t xml:space="preserve"> relies upon its contents for any purpose. </w:t>
      </w:r>
    </w:p>
  </w:footnote>
  <w:footnote w:id="7">
    <w:p w:rsidR="00D14927" w14:paraId="3C1F679F" w14:textId="0A90D842">
      <w:pPr>
        <w:pStyle w:val="FootnoteText"/>
      </w:pPr>
      <w:r>
        <w:rPr>
          <w:rStyle w:val="FootnoteReference"/>
        </w:rPr>
        <w:footnoteRef/>
      </w:r>
      <w:r>
        <w:t xml:space="preserve"> </w:t>
      </w:r>
      <w:r w:rsidR="00ED5A40">
        <w:t xml:space="preserve"> </w:t>
      </w:r>
      <w:r>
        <w:t xml:space="preserve">The court rejected several additional breach of fiduciary duty claims the parties asserted against each other, none relevant </w:t>
      </w:r>
      <w:r w:rsidR="00ED5A40">
        <w:t>to this appeal</w:t>
      </w:r>
      <w:r>
        <w:t xml:space="preserve">. </w:t>
      </w:r>
    </w:p>
  </w:footnote>
  <w:footnote w:id="8">
    <w:p w:rsidR="00751A37" w14:paraId="478F7305" w14:textId="71C5179E">
      <w:pPr>
        <w:pStyle w:val="FootnoteText"/>
      </w:pPr>
      <w:r>
        <w:rPr>
          <w:rStyle w:val="FootnoteReference"/>
        </w:rPr>
        <w:footnoteRef/>
      </w:r>
      <w:r>
        <w:t xml:space="preserve">  S</w:t>
      </w:r>
      <w:r w:rsidRPr="00751A37">
        <w:t xml:space="preserve">he testified she never asked her brother for </w:t>
      </w:r>
      <w:r w:rsidR="00A07349">
        <w:t xml:space="preserve">the </w:t>
      </w:r>
      <w:r w:rsidRPr="00751A37">
        <w:t>relevant banking records</w:t>
      </w:r>
      <w:r w:rsidR="00A07349">
        <w:t>.</w:t>
      </w:r>
      <w:r w:rsidRPr="00751A37">
        <w:t xml:space="preserve"> </w:t>
      </w:r>
      <w:r w:rsidR="00A07349">
        <w:t xml:space="preserve"> </w:t>
      </w:r>
    </w:p>
  </w:footnote>
  <w:footnote w:id="9">
    <w:p w:rsidR="001D24F0" w14:paraId="6338198C" w14:textId="0652FB08">
      <w:pPr>
        <w:pStyle w:val="FootnoteText"/>
      </w:pPr>
      <w:r>
        <w:rPr>
          <w:rStyle w:val="FootnoteReference"/>
        </w:rPr>
        <w:footnoteRef/>
      </w:r>
      <w:r>
        <w:t xml:space="preserve"> </w:t>
      </w:r>
      <w:r w:rsidR="004D1191">
        <w:t xml:space="preserve"> </w:t>
      </w:r>
      <w:r w:rsidRPr="00736DDE" w:rsidR="00736DDE">
        <w:t xml:space="preserve">Neither party has argued that any commingling of those separate funds with community HELOC funds has an impact under </w:t>
      </w:r>
      <w:r w:rsidRPr="00736DDE" w:rsidR="00736DDE">
        <w:rPr>
          <w:i/>
          <w:iCs/>
        </w:rPr>
        <w:t>Margulis</w:t>
      </w:r>
      <w:r w:rsidRPr="00736DDE" w:rsidR="00736DDE">
        <w:t xml:space="preserve"> and therefore we do not address that question.</w:t>
      </w:r>
      <w:r w:rsidR="00663B3E">
        <w:t xml:space="preserve"> </w:t>
      </w:r>
      <w:r w:rsidR="004D1191">
        <w:t xml:space="preserve"> </w:t>
      </w:r>
    </w:p>
  </w:footnote>
  <w:footnote w:id="10">
    <w:p w:rsidR="004C4BB8" w:rsidRPr="004C4BB8" w:rsidP="004C4BB8" w14:paraId="0CF60BF6" w14:textId="47861BF5">
      <w:pPr>
        <w:pStyle w:val="FootnoteText"/>
        <w:rPr>
          <w:iCs/>
        </w:rPr>
      </w:pPr>
      <w:r>
        <w:rPr>
          <w:rStyle w:val="FootnoteReference"/>
        </w:rPr>
        <w:footnoteRef/>
      </w:r>
      <w:r>
        <w:t xml:space="preserve"> </w:t>
      </w:r>
      <w:r w:rsidR="0060357A">
        <w:t xml:space="preserve"> </w:t>
      </w:r>
      <w:r>
        <w:t>Application of the fourth factor</w:t>
      </w:r>
      <w:r w:rsidR="002A3225">
        <w:t xml:space="preserve">, i.e., </w:t>
      </w:r>
      <w:r w:rsidRPr="004C4BB8">
        <w:rPr>
          <w:iCs/>
        </w:rPr>
        <w:t>the probability of the existence or nonexistence of the fact</w:t>
      </w:r>
      <w:r w:rsidR="00602539">
        <w:rPr>
          <w:iCs/>
        </w:rPr>
        <w:t xml:space="preserve"> </w:t>
      </w:r>
      <w:r w:rsidRPr="004C4BB8">
        <w:rPr>
          <w:iCs/>
        </w:rPr>
        <w:t>(</w:t>
      </w:r>
      <w:r w:rsidRPr="004C4BB8">
        <w:rPr>
          <w:i/>
        </w:rPr>
        <w:t>Lakin</w:t>
      </w:r>
      <w:r w:rsidRPr="004C4BB8">
        <w:rPr>
          <w:iCs/>
        </w:rPr>
        <w:t xml:space="preserve">, </w:t>
      </w:r>
      <w:r w:rsidRPr="002A3225" w:rsidR="002A3225">
        <w:rPr>
          <w:i/>
        </w:rPr>
        <w:t>supra</w:t>
      </w:r>
      <w:r w:rsidR="002A3225">
        <w:rPr>
          <w:iCs/>
        </w:rPr>
        <w:t xml:space="preserve">, </w:t>
      </w:r>
      <w:r w:rsidRPr="004C4BB8">
        <w:rPr>
          <w:iCs/>
        </w:rPr>
        <w:t>6 Cal.4th at pp. 660</w:t>
      </w:r>
      <w:r w:rsidR="0060357A">
        <w:rPr>
          <w:iCs/>
        </w:rPr>
        <w:t>-</w:t>
      </w:r>
      <w:r w:rsidRPr="004C4BB8">
        <w:rPr>
          <w:iCs/>
        </w:rPr>
        <w:t>661)</w:t>
      </w:r>
      <w:r w:rsidR="002A3225">
        <w:rPr>
          <w:iCs/>
        </w:rPr>
        <w:t>, cuts neither way</w:t>
      </w:r>
      <w:r w:rsidR="00820651">
        <w:rPr>
          <w:iCs/>
        </w:rPr>
        <w:t xml:space="preserve">, </w:t>
      </w:r>
      <w:r w:rsidR="002A3225">
        <w:rPr>
          <w:iCs/>
        </w:rPr>
        <w:t xml:space="preserve">as was true in </w:t>
      </w:r>
      <w:r w:rsidRPr="004B1411" w:rsidR="00317985">
        <w:rPr>
          <w:i/>
        </w:rPr>
        <w:t>D.H</w:t>
      </w:r>
      <w:r w:rsidR="00317985">
        <w:t>.</w:t>
      </w:r>
      <w:r w:rsidR="00317985">
        <w:rPr>
          <w:i/>
          <w:iCs/>
        </w:rPr>
        <w:t xml:space="preserve"> and B.H.</w:t>
      </w:r>
      <w:r w:rsidR="00AC7798">
        <w:rPr>
          <w:iCs/>
        </w:rPr>
        <w:t xml:space="preserve"> </w:t>
      </w:r>
      <w:r w:rsidR="00B41106">
        <w:rPr>
          <w:iCs/>
        </w:rPr>
        <w:t xml:space="preserve"> </w:t>
      </w:r>
      <w:r w:rsidR="00AC7798">
        <w:rPr>
          <w:iCs/>
        </w:rPr>
        <w:t>(</w:t>
      </w:r>
      <w:r w:rsidR="00B41106">
        <w:rPr>
          <w:iCs/>
        </w:rPr>
        <w:t>S</w:t>
      </w:r>
      <w:r w:rsidR="00AC7798">
        <w:rPr>
          <w:iCs/>
        </w:rPr>
        <w:t xml:space="preserve">ee </w:t>
      </w:r>
      <w:r w:rsidRPr="004B1411" w:rsidR="00317985">
        <w:rPr>
          <w:i/>
        </w:rPr>
        <w:t>D.H</w:t>
      </w:r>
      <w:r w:rsidR="00317985">
        <w:t>.</w:t>
      </w:r>
      <w:r w:rsidR="00317985">
        <w:rPr>
          <w:i/>
          <w:iCs/>
        </w:rPr>
        <w:t xml:space="preserve"> and B.H.</w:t>
      </w:r>
      <w:r w:rsidR="00602539">
        <w:rPr>
          <w:iCs/>
        </w:rPr>
        <w:t xml:space="preserve">, </w:t>
      </w:r>
      <w:r w:rsidRPr="00602539" w:rsidR="00602539">
        <w:rPr>
          <w:i/>
          <w:iCs/>
        </w:rPr>
        <w:t>supra</w:t>
      </w:r>
      <w:r w:rsidR="00602539">
        <w:rPr>
          <w:iCs/>
        </w:rPr>
        <w:t>, 87</w:t>
      </w:r>
      <w:r w:rsidR="00317985">
        <w:rPr>
          <w:iCs/>
        </w:rPr>
        <w:t> </w:t>
      </w:r>
      <w:r w:rsidR="00602539">
        <w:rPr>
          <w:iCs/>
        </w:rPr>
        <w:t>Cal.App.5th at p. 60</w:t>
      </w:r>
      <w:r w:rsidR="00B27503">
        <w:rPr>
          <w:iCs/>
        </w:rPr>
        <w:t>6</w:t>
      </w:r>
      <w:r w:rsidR="00602539">
        <w:rPr>
          <w:iCs/>
        </w:rPr>
        <w:t>)</w:t>
      </w:r>
      <w:r w:rsidR="004D035A">
        <w:rPr>
          <w:iCs/>
        </w:rPr>
        <w:t>.</w:t>
      </w:r>
    </w:p>
    <w:p w:rsidR="004C4BB8" w14:paraId="1D0FF59D" w14:textId="56359ADB">
      <w:pPr>
        <w:pStyle w:val="FootnoteText"/>
      </w:pPr>
    </w:p>
  </w:footnote>
  <w:footnote w:id="11">
    <w:p w:rsidR="00DA197C" w14:paraId="4D6DF998" w14:textId="237C263E">
      <w:pPr>
        <w:pStyle w:val="FootnoteText"/>
      </w:pPr>
      <w:r>
        <w:rPr>
          <w:rStyle w:val="FootnoteReference"/>
        </w:rPr>
        <w:t>*</w:t>
      </w:r>
      <w:r>
        <w:t xml:space="preserve">  </w:t>
      </w:r>
      <w:r w:rsidRPr="00DA197C">
        <w:t>Judge of the Mendocino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5353AF8"/>
    <w:multiLevelType w:val="hybridMultilevel"/>
    <w:tmpl w:val="A7B2D0D4"/>
    <w:lvl w:ilvl="0">
      <w:start w:val="1"/>
      <w:numFmt w:val="decimal"/>
      <w:pStyle w:val="Outline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AC"/>
    <w:rsid w:val="00006133"/>
    <w:rsid w:val="0000690C"/>
    <w:rsid w:val="00006B5F"/>
    <w:rsid w:val="00007170"/>
    <w:rsid w:val="0001255D"/>
    <w:rsid w:val="00013326"/>
    <w:rsid w:val="000153D4"/>
    <w:rsid w:val="00017D33"/>
    <w:rsid w:val="00020FE7"/>
    <w:rsid w:val="000211EF"/>
    <w:rsid w:val="00023B17"/>
    <w:rsid w:val="00025974"/>
    <w:rsid w:val="000302D2"/>
    <w:rsid w:val="000360FE"/>
    <w:rsid w:val="000361F0"/>
    <w:rsid w:val="00036F9F"/>
    <w:rsid w:val="00041A84"/>
    <w:rsid w:val="00042205"/>
    <w:rsid w:val="00044C5C"/>
    <w:rsid w:val="00045086"/>
    <w:rsid w:val="000469DA"/>
    <w:rsid w:val="00046F19"/>
    <w:rsid w:val="00047A09"/>
    <w:rsid w:val="00047E7B"/>
    <w:rsid w:val="00051413"/>
    <w:rsid w:val="000545FF"/>
    <w:rsid w:val="0005610A"/>
    <w:rsid w:val="00056EFE"/>
    <w:rsid w:val="00061271"/>
    <w:rsid w:val="000643FD"/>
    <w:rsid w:val="000652D9"/>
    <w:rsid w:val="00065EBF"/>
    <w:rsid w:val="000745AB"/>
    <w:rsid w:val="00077350"/>
    <w:rsid w:val="0008026B"/>
    <w:rsid w:val="00080A8A"/>
    <w:rsid w:val="00084D22"/>
    <w:rsid w:val="0008560C"/>
    <w:rsid w:val="00085AD0"/>
    <w:rsid w:val="00085E87"/>
    <w:rsid w:val="00091687"/>
    <w:rsid w:val="00091715"/>
    <w:rsid w:val="0009283E"/>
    <w:rsid w:val="00096E0B"/>
    <w:rsid w:val="00096EA9"/>
    <w:rsid w:val="0009782B"/>
    <w:rsid w:val="00097E66"/>
    <w:rsid w:val="000A2D72"/>
    <w:rsid w:val="000A3584"/>
    <w:rsid w:val="000A4317"/>
    <w:rsid w:val="000A5FF6"/>
    <w:rsid w:val="000A71E2"/>
    <w:rsid w:val="000A7580"/>
    <w:rsid w:val="000B059A"/>
    <w:rsid w:val="000B26B1"/>
    <w:rsid w:val="000B3525"/>
    <w:rsid w:val="000C0348"/>
    <w:rsid w:val="000C160C"/>
    <w:rsid w:val="000C56AA"/>
    <w:rsid w:val="000C5750"/>
    <w:rsid w:val="000D2251"/>
    <w:rsid w:val="000D3FA8"/>
    <w:rsid w:val="000D404D"/>
    <w:rsid w:val="000D4CED"/>
    <w:rsid w:val="000D5BEA"/>
    <w:rsid w:val="000D6ABC"/>
    <w:rsid w:val="000D75D0"/>
    <w:rsid w:val="000E0A41"/>
    <w:rsid w:val="000E3549"/>
    <w:rsid w:val="000F122A"/>
    <w:rsid w:val="000F19F0"/>
    <w:rsid w:val="000F23AC"/>
    <w:rsid w:val="000F289B"/>
    <w:rsid w:val="000F2EB7"/>
    <w:rsid w:val="000F7BE3"/>
    <w:rsid w:val="00102BE2"/>
    <w:rsid w:val="00104859"/>
    <w:rsid w:val="00106B3C"/>
    <w:rsid w:val="00107D35"/>
    <w:rsid w:val="00107E35"/>
    <w:rsid w:val="00110685"/>
    <w:rsid w:val="00111431"/>
    <w:rsid w:val="00112308"/>
    <w:rsid w:val="00112A1D"/>
    <w:rsid w:val="00120B6F"/>
    <w:rsid w:val="00123ECF"/>
    <w:rsid w:val="001247C7"/>
    <w:rsid w:val="0013218E"/>
    <w:rsid w:val="0013369E"/>
    <w:rsid w:val="00134983"/>
    <w:rsid w:val="00136567"/>
    <w:rsid w:val="00137E50"/>
    <w:rsid w:val="00140175"/>
    <w:rsid w:val="00142919"/>
    <w:rsid w:val="00147C72"/>
    <w:rsid w:val="0015125B"/>
    <w:rsid w:val="00152D35"/>
    <w:rsid w:val="001549A4"/>
    <w:rsid w:val="00155E2B"/>
    <w:rsid w:val="001568FD"/>
    <w:rsid w:val="00162187"/>
    <w:rsid w:val="00162804"/>
    <w:rsid w:val="00164244"/>
    <w:rsid w:val="00166828"/>
    <w:rsid w:val="00166A57"/>
    <w:rsid w:val="00167035"/>
    <w:rsid w:val="0016749B"/>
    <w:rsid w:val="001678C4"/>
    <w:rsid w:val="00167F7E"/>
    <w:rsid w:val="00171954"/>
    <w:rsid w:val="0017251D"/>
    <w:rsid w:val="001728AA"/>
    <w:rsid w:val="001739A7"/>
    <w:rsid w:val="00174DBB"/>
    <w:rsid w:val="00175191"/>
    <w:rsid w:val="00176550"/>
    <w:rsid w:val="001820AE"/>
    <w:rsid w:val="00182759"/>
    <w:rsid w:val="00182B77"/>
    <w:rsid w:val="0018524C"/>
    <w:rsid w:val="001857D4"/>
    <w:rsid w:val="001872D9"/>
    <w:rsid w:val="00190577"/>
    <w:rsid w:val="001914C3"/>
    <w:rsid w:val="0019233A"/>
    <w:rsid w:val="00193999"/>
    <w:rsid w:val="0019681A"/>
    <w:rsid w:val="001972F1"/>
    <w:rsid w:val="001A0469"/>
    <w:rsid w:val="001A08BD"/>
    <w:rsid w:val="001A3F91"/>
    <w:rsid w:val="001A41B5"/>
    <w:rsid w:val="001A74A1"/>
    <w:rsid w:val="001B4F27"/>
    <w:rsid w:val="001B5BD2"/>
    <w:rsid w:val="001C3338"/>
    <w:rsid w:val="001C49D5"/>
    <w:rsid w:val="001C587F"/>
    <w:rsid w:val="001C59F4"/>
    <w:rsid w:val="001C636A"/>
    <w:rsid w:val="001C7D12"/>
    <w:rsid w:val="001D051A"/>
    <w:rsid w:val="001D1AAE"/>
    <w:rsid w:val="001D24F0"/>
    <w:rsid w:val="001D38A1"/>
    <w:rsid w:val="001D43CC"/>
    <w:rsid w:val="001D585E"/>
    <w:rsid w:val="001D626E"/>
    <w:rsid w:val="001E1693"/>
    <w:rsid w:val="001E171C"/>
    <w:rsid w:val="001E45C3"/>
    <w:rsid w:val="001F0D84"/>
    <w:rsid w:val="001F1C05"/>
    <w:rsid w:val="001F25D3"/>
    <w:rsid w:val="001F5876"/>
    <w:rsid w:val="001F745D"/>
    <w:rsid w:val="00200659"/>
    <w:rsid w:val="002009D7"/>
    <w:rsid w:val="0020199C"/>
    <w:rsid w:val="00201FD5"/>
    <w:rsid w:val="002025C9"/>
    <w:rsid w:val="00205F7F"/>
    <w:rsid w:val="00206192"/>
    <w:rsid w:val="0021022C"/>
    <w:rsid w:val="00213118"/>
    <w:rsid w:val="00217CCC"/>
    <w:rsid w:val="00221A0B"/>
    <w:rsid w:val="00221B91"/>
    <w:rsid w:val="00222082"/>
    <w:rsid w:val="0022269A"/>
    <w:rsid w:val="00223A19"/>
    <w:rsid w:val="00224270"/>
    <w:rsid w:val="00226512"/>
    <w:rsid w:val="00227A20"/>
    <w:rsid w:val="00232F58"/>
    <w:rsid w:val="00234A82"/>
    <w:rsid w:val="00234F8A"/>
    <w:rsid w:val="00235402"/>
    <w:rsid w:val="00235711"/>
    <w:rsid w:val="00243194"/>
    <w:rsid w:val="00243830"/>
    <w:rsid w:val="002445D4"/>
    <w:rsid w:val="0024467E"/>
    <w:rsid w:val="002469D1"/>
    <w:rsid w:val="00246EE7"/>
    <w:rsid w:val="00250CB9"/>
    <w:rsid w:val="0025146A"/>
    <w:rsid w:val="00251A4E"/>
    <w:rsid w:val="0025232B"/>
    <w:rsid w:val="002536BF"/>
    <w:rsid w:val="0025428D"/>
    <w:rsid w:val="00254D7D"/>
    <w:rsid w:val="00261962"/>
    <w:rsid w:val="002625AE"/>
    <w:rsid w:val="00262EB3"/>
    <w:rsid w:val="0026732D"/>
    <w:rsid w:val="002679DA"/>
    <w:rsid w:val="00270278"/>
    <w:rsid w:val="00270F84"/>
    <w:rsid w:val="0027115A"/>
    <w:rsid w:val="002720A2"/>
    <w:rsid w:val="0027268F"/>
    <w:rsid w:val="00274AB4"/>
    <w:rsid w:val="0028205F"/>
    <w:rsid w:val="00284601"/>
    <w:rsid w:val="00284D37"/>
    <w:rsid w:val="0028546D"/>
    <w:rsid w:val="00287F94"/>
    <w:rsid w:val="002907BA"/>
    <w:rsid w:val="00292CAC"/>
    <w:rsid w:val="00294971"/>
    <w:rsid w:val="0029540B"/>
    <w:rsid w:val="00295C44"/>
    <w:rsid w:val="0029621B"/>
    <w:rsid w:val="002974B9"/>
    <w:rsid w:val="00297C2C"/>
    <w:rsid w:val="002A0AC7"/>
    <w:rsid w:val="002A3225"/>
    <w:rsid w:val="002A4B80"/>
    <w:rsid w:val="002A7020"/>
    <w:rsid w:val="002A78A2"/>
    <w:rsid w:val="002B382E"/>
    <w:rsid w:val="002B57E9"/>
    <w:rsid w:val="002B65FF"/>
    <w:rsid w:val="002C1EFF"/>
    <w:rsid w:val="002C3E47"/>
    <w:rsid w:val="002C60CE"/>
    <w:rsid w:val="002C6EF2"/>
    <w:rsid w:val="002C7C12"/>
    <w:rsid w:val="002D0ADC"/>
    <w:rsid w:val="002D120F"/>
    <w:rsid w:val="002D2DBE"/>
    <w:rsid w:val="002D3C26"/>
    <w:rsid w:val="002D54BB"/>
    <w:rsid w:val="002D6AF7"/>
    <w:rsid w:val="002D6EB3"/>
    <w:rsid w:val="002E6A06"/>
    <w:rsid w:val="002F0459"/>
    <w:rsid w:val="002F1068"/>
    <w:rsid w:val="002F4802"/>
    <w:rsid w:val="002F4A66"/>
    <w:rsid w:val="002F6EC7"/>
    <w:rsid w:val="002F7CEB"/>
    <w:rsid w:val="0030051E"/>
    <w:rsid w:val="00300AEC"/>
    <w:rsid w:val="00301254"/>
    <w:rsid w:val="003027C1"/>
    <w:rsid w:val="00305496"/>
    <w:rsid w:val="003105B3"/>
    <w:rsid w:val="00311324"/>
    <w:rsid w:val="0031580E"/>
    <w:rsid w:val="00316E12"/>
    <w:rsid w:val="00317985"/>
    <w:rsid w:val="00322259"/>
    <w:rsid w:val="0032371A"/>
    <w:rsid w:val="00324FB1"/>
    <w:rsid w:val="003257A2"/>
    <w:rsid w:val="003262F0"/>
    <w:rsid w:val="003269F4"/>
    <w:rsid w:val="00327528"/>
    <w:rsid w:val="00331501"/>
    <w:rsid w:val="00331C36"/>
    <w:rsid w:val="003329C9"/>
    <w:rsid w:val="00333B8E"/>
    <w:rsid w:val="00336DA3"/>
    <w:rsid w:val="003403A2"/>
    <w:rsid w:val="00343BCE"/>
    <w:rsid w:val="00345CE6"/>
    <w:rsid w:val="003460E3"/>
    <w:rsid w:val="0034666C"/>
    <w:rsid w:val="0035101F"/>
    <w:rsid w:val="00356AE6"/>
    <w:rsid w:val="0035715C"/>
    <w:rsid w:val="003614AF"/>
    <w:rsid w:val="00361819"/>
    <w:rsid w:val="00366A82"/>
    <w:rsid w:val="00370049"/>
    <w:rsid w:val="00370EA1"/>
    <w:rsid w:val="00372398"/>
    <w:rsid w:val="00374B1A"/>
    <w:rsid w:val="00374DAA"/>
    <w:rsid w:val="00375151"/>
    <w:rsid w:val="00381961"/>
    <w:rsid w:val="00382EB4"/>
    <w:rsid w:val="00386093"/>
    <w:rsid w:val="00390333"/>
    <w:rsid w:val="003904D6"/>
    <w:rsid w:val="003939ED"/>
    <w:rsid w:val="00396904"/>
    <w:rsid w:val="00396F5D"/>
    <w:rsid w:val="00397820"/>
    <w:rsid w:val="003A1E6F"/>
    <w:rsid w:val="003A1F19"/>
    <w:rsid w:val="003A32B1"/>
    <w:rsid w:val="003A44F6"/>
    <w:rsid w:val="003A504C"/>
    <w:rsid w:val="003B0CAE"/>
    <w:rsid w:val="003B37AA"/>
    <w:rsid w:val="003B37F0"/>
    <w:rsid w:val="003B4EEE"/>
    <w:rsid w:val="003B4F0B"/>
    <w:rsid w:val="003B51CE"/>
    <w:rsid w:val="003B560C"/>
    <w:rsid w:val="003C04D1"/>
    <w:rsid w:val="003C136F"/>
    <w:rsid w:val="003C382F"/>
    <w:rsid w:val="003C3C21"/>
    <w:rsid w:val="003C5E79"/>
    <w:rsid w:val="003C61D5"/>
    <w:rsid w:val="003C6EB3"/>
    <w:rsid w:val="003D0F87"/>
    <w:rsid w:val="003D1316"/>
    <w:rsid w:val="003D17DC"/>
    <w:rsid w:val="003D3287"/>
    <w:rsid w:val="003D5330"/>
    <w:rsid w:val="003D586A"/>
    <w:rsid w:val="003D774D"/>
    <w:rsid w:val="003E50BB"/>
    <w:rsid w:val="003E52C1"/>
    <w:rsid w:val="003E5552"/>
    <w:rsid w:val="003E5C92"/>
    <w:rsid w:val="003E5EF1"/>
    <w:rsid w:val="003E7F46"/>
    <w:rsid w:val="003F0266"/>
    <w:rsid w:val="003F0768"/>
    <w:rsid w:val="003F103C"/>
    <w:rsid w:val="003F1AA6"/>
    <w:rsid w:val="003F229E"/>
    <w:rsid w:val="003F2471"/>
    <w:rsid w:val="003F38E6"/>
    <w:rsid w:val="003F7312"/>
    <w:rsid w:val="003F74A5"/>
    <w:rsid w:val="004030B1"/>
    <w:rsid w:val="0040379F"/>
    <w:rsid w:val="00405B3D"/>
    <w:rsid w:val="00415A9D"/>
    <w:rsid w:val="004175A4"/>
    <w:rsid w:val="00417AFD"/>
    <w:rsid w:val="00417F2B"/>
    <w:rsid w:val="004209A6"/>
    <w:rsid w:val="00421744"/>
    <w:rsid w:val="00426BAC"/>
    <w:rsid w:val="00427559"/>
    <w:rsid w:val="004275B2"/>
    <w:rsid w:val="004300CF"/>
    <w:rsid w:val="00430952"/>
    <w:rsid w:val="0043096E"/>
    <w:rsid w:val="004343B2"/>
    <w:rsid w:val="00436BDE"/>
    <w:rsid w:val="00441D88"/>
    <w:rsid w:val="00442987"/>
    <w:rsid w:val="0044555E"/>
    <w:rsid w:val="004462D2"/>
    <w:rsid w:val="00446525"/>
    <w:rsid w:val="00447E19"/>
    <w:rsid w:val="0045229B"/>
    <w:rsid w:val="00452B10"/>
    <w:rsid w:val="0045494B"/>
    <w:rsid w:val="00460874"/>
    <w:rsid w:val="0046145C"/>
    <w:rsid w:val="00464175"/>
    <w:rsid w:val="00466C42"/>
    <w:rsid w:val="00470FEC"/>
    <w:rsid w:val="00472D4F"/>
    <w:rsid w:val="00473A92"/>
    <w:rsid w:val="00474893"/>
    <w:rsid w:val="004752AC"/>
    <w:rsid w:val="00476A49"/>
    <w:rsid w:val="00477608"/>
    <w:rsid w:val="00480F68"/>
    <w:rsid w:val="0048403B"/>
    <w:rsid w:val="0048571E"/>
    <w:rsid w:val="00494FA0"/>
    <w:rsid w:val="00497CA3"/>
    <w:rsid w:val="004A2A85"/>
    <w:rsid w:val="004A34F1"/>
    <w:rsid w:val="004A4A35"/>
    <w:rsid w:val="004A540C"/>
    <w:rsid w:val="004B1411"/>
    <w:rsid w:val="004B2297"/>
    <w:rsid w:val="004B3417"/>
    <w:rsid w:val="004B3694"/>
    <w:rsid w:val="004B37DB"/>
    <w:rsid w:val="004B3DB4"/>
    <w:rsid w:val="004B3F6D"/>
    <w:rsid w:val="004B5EF4"/>
    <w:rsid w:val="004B609B"/>
    <w:rsid w:val="004C1781"/>
    <w:rsid w:val="004C40D0"/>
    <w:rsid w:val="004C4123"/>
    <w:rsid w:val="004C436C"/>
    <w:rsid w:val="004C4BB8"/>
    <w:rsid w:val="004C5014"/>
    <w:rsid w:val="004C5CD6"/>
    <w:rsid w:val="004C6004"/>
    <w:rsid w:val="004D035A"/>
    <w:rsid w:val="004D102C"/>
    <w:rsid w:val="004D1191"/>
    <w:rsid w:val="004D18DE"/>
    <w:rsid w:val="004D3516"/>
    <w:rsid w:val="004D3BFD"/>
    <w:rsid w:val="004D3F79"/>
    <w:rsid w:val="004D5730"/>
    <w:rsid w:val="004E03C0"/>
    <w:rsid w:val="004E0C5A"/>
    <w:rsid w:val="004E174D"/>
    <w:rsid w:val="004E2264"/>
    <w:rsid w:val="004E283F"/>
    <w:rsid w:val="004E3120"/>
    <w:rsid w:val="004E5ED9"/>
    <w:rsid w:val="004E7D04"/>
    <w:rsid w:val="004F325B"/>
    <w:rsid w:val="004F50CE"/>
    <w:rsid w:val="004F7188"/>
    <w:rsid w:val="005005F0"/>
    <w:rsid w:val="00501007"/>
    <w:rsid w:val="005014C8"/>
    <w:rsid w:val="005024A8"/>
    <w:rsid w:val="00504268"/>
    <w:rsid w:val="00504F92"/>
    <w:rsid w:val="00506712"/>
    <w:rsid w:val="00507C85"/>
    <w:rsid w:val="00510207"/>
    <w:rsid w:val="005119E2"/>
    <w:rsid w:val="00511FE8"/>
    <w:rsid w:val="00514936"/>
    <w:rsid w:val="00515365"/>
    <w:rsid w:val="00515C53"/>
    <w:rsid w:val="005165E6"/>
    <w:rsid w:val="0051675D"/>
    <w:rsid w:val="00516BDC"/>
    <w:rsid w:val="00517195"/>
    <w:rsid w:val="005219FE"/>
    <w:rsid w:val="005236C9"/>
    <w:rsid w:val="005260C7"/>
    <w:rsid w:val="00530E0F"/>
    <w:rsid w:val="00530F01"/>
    <w:rsid w:val="00533B6B"/>
    <w:rsid w:val="00541B6F"/>
    <w:rsid w:val="005424E3"/>
    <w:rsid w:val="00542BED"/>
    <w:rsid w:val="00542FAC"/>
    <w:rsid w:val="00545F33"/>
    <w:rsid w:val="005464E9"/>
    <w:rsid w:val="005470EB"/>
    <w:rsid w:val="0054721F"/>
    <w:rsid w:val="00550682"/>
    <w:rsid w:val="005542C3"/>
    <w:rsid w:val="00557186"/>
    <w:rsid w:val="0056041C"/>
    <w:rsid w:val="0056111A"/>
    <w:rsid w:val="00561C89"/>
    <w:rsid w:val="00563303"/>
    <w:rsid w:val="00563C76"/>
    <w:rsid w:val="00563D44"/>
    <w:rsid w:val="00563EE9"/>
    <w:rsid w:val="005641EC"/>
    <w:rsid w:val="00564D2E"/>
    <w:rsid w:val="0056532A"/>
    <w:rsid w:val="00565A81"/>
    <w:rsid w:val="00565DF7"/>
    <w:rsid w:val="005671FA"/>
    <w:rsid w:val="005727CA"/>
    <w:rsid w:val="00572BF4"/>
    <w:rsid w:val="0057388A"/>
    <w:rsid w:val="00573A58"/>
    <w:rsid w:val="00573FE8"/>
    <w:rsid w:val="005758B6"/>
    <w:rsid w:val="00576DF9"/>
    <w:rsid w:val="0058060F"/>
    <w:rsid w:val="0058064E"/>
    <w:rsid w:val="00583923"/>
    <w:rsid w:val="005848AD"/>
    <w:rsid w:val="00584B71"/>
    <w:rsid w:val="0058559B"/>
    <w:rsid w:val="00585A74"/>
    <w:rsid w:val="00585DB0"/>
    <w:rsid w:val="00585F17"/>
    <w:rsid w:val="005860BC"/>
    <w:rsid w:val="005879B4"/>
    <w:rsid w:val="005924B9"/>
    <w:rsid w:val="005943FF"/>
    <w:rsid w:val="00595D74"/>
    <w:rsid w:val="005A06B8"/>
    <w:rsid w:val="005A6B6A"/>
    <w:rsid w:val="005B0231"/>
    <w:rsid w:val="005B07B4"/>
    <w:rsid w:val="005B07D0"/>
    <w:rsid w:val="005B0DCF"/>
    <w:rsid w:val="005B176B"/>
    <w:rsid w:val="005B2963"/>
    <w:rsid w:val="005B4D5F"/>
    <w:rsid w:val="005B60B5"/>
    <w:rsid w:val="005B6F6D"/>
    <w:rsid w:val="005C2A4D"/>
    <w:rsid w:val="005C38F9"/>
    <w:rsid w:val="005C5C94"/>
    <w:rsid w:val="005C67F7"/>
    <w:rsid w:val="005C7830"/>
    <w:rsid w:val="005C7A45"/>
    <w:rsid w:val="005C7FD7"/>
    <w:rsid w:val="005D4550"/>
    <w:rsid w:val="005D5E93"/>
    <w:rsid w:val="005D5FDD"/>
    <w:rsid w:val="005D7109"/>
    <w:rsid w:val="005E1A2B"/>
    <w:rsid w:val="005E4C06"/>
    <w:rsid w:val="005E4C1D"/>
    <w:rsid w:val="005E5DDE"/>
    <w:rsid w:val="005E719E"/>
    <w:rsid w:val="005F2666"/>
    <w:rsid w:val="005F54E5"/>
    <w:rsid w:val="005F744B"/>
    <w:rsid w:val="00600048"/>
    <w:rsid w:val="00602539"/>
    <w:rsid w:val="00602B61"/>
    <w:rsid w:val="0060357A"/>
    <w:rsid w:val="00603689"/>
    <w:rsid w:val="006048B8"/>
    <w:rsid w:val="00605749"/>
    <w:rsid w:val="006067A8"/>
    <w:rsid w:val="006120D0"/>
    <w:rsid w:val="006128F4"/>
    <w:rsid w:val="00612C41"/>
    <w:rsid w:val="00615A44"/>
    <w:rsid w:val="00616129"/>
    <w:rsid w:val="00621C6F"/>
    <w:rsid w:val="00621F13"/>
    <w:rsid w:val="00623887"/>
    <w:rsid w:val="00623C25"/>
    <w:rsid w:val="0062539B"/>
    <w:rsid w:val="00625AC6"/>
    <w:rsid w:val="006306E1"/>
    <w:rsid w:val="00632B5D"/>
    <w:rsid w:val="00632F09"/>
    <w:rsid w:val="006337F6"/>
    <w:rsid w:val="00633992"/>
    <w:rsid w:val="00634132"/>
    <w:rsid w:val="00634E21"/>
    <w:rsid w:val="00635D75"/>
    <w:rsid w:val="00642987"/>
    <w:rsid w:val="00642A06"/>
    <w:rsid w:val="006435E2"/>
    <w:rsid w:val="00645171"/>
    <w:rsid w:val="006517EC"/>
    <w:rsid w:val="0065361F"/>
    <w:rsid w:val="006536D0"/>
    <w:rsid w:val="00654776"/>
    <w:rsid w:val="00654E89"/>
    <w:rsid w:val="00655375"/>
    <w:rsid w:val="00655FF6"/>
    <w:rsid w:val="006562A3"/>
    <w:rsid w:val="00656357"/>
    <w:rsid w:val="006619EF"/>
    <w:rsid w:val="00661E4C"/>
    <w:rsid w:val="0066205F"/>
    <w:rsid w:val="00662483"/>
    <w:rsid w:val="00663282"/>
    <w:rsid w:val="00663A9A"/>
    <w:rsid w:val="00663B3E"/>
    <w:rsid w:val="00663DB0"/>
    <w:rsid w:val="006657A6"/>
    <w:rsid w:val="006665EA"/>
    <w:rsid w:val="00667080"/>
    <w:rsid w:val="00671460"/>
    <w:rsid w:val="00671ACF"/>
    <w:rsid w:val="0067661A"/>
    <w:rsid w:val="006773DD"/>
    <w:rsid w:val="00682518"/>
    <w:rsid w:val="00682850"/>
    <w:rsid w:val="006834F6"/>
    <w:rsid w:val="0068391B"/>
    <w:rsid w:val="00683F19"/>
    <w:rsid w:val="00685047"/>
    <w:rsid w:val="00686390"/>
    <w:rsid w:val="00690AA1"/>
    <w:rsid w:val="00690EE3"/>
    <w:rsid w:val="0069171F"/>
    <w:rsid w:val="006917D2"/>
    <w:rsid w:val="006931DB"/>
    <w:rsid w:val="006942AB"/>
    <w:rsid w:val="00695047"/>
    <w:rsid w:val="006965F1"/>
    <w:rsid w:val="00696F4C"/>
    <w:rsid w:val="00697145"/>
    <w:rsid w:val="00697D73"/>
    <w:rsid w:val="006A03B8"/>
    <w:rsid w:val="006A22D2"/>
    <w:rsid w:val="006A26EB"/>
    <w:rsid w:val="006A29C7"/>
    <w:rsid w:val="006A2C5E"/>
    <w:rsid w:val="006A3055"/>
    <w:rsid w:val="006A3265"/>
    <w:rsid w:val="006A46C1"/>
    <w:rsid w:val="006A4FD8"/>
    <w:rsid w:val="006A6B12"/>
    <w:rsid w:val="006A78F5"/>
    <w:rsid w:val="006A7E67"/>
    <w:rsid w:val="006B022F"/>
    <w:rsid w:val="006B0BD5"/>
    <w:rsid w:val="006B108B"/>
    <w:rsid w:val="006B3385"/>
    <w:rsid w:val="006B565D"/>
    <w:rsid w:val="006B62AF"/>
    <w:rsid w:val="006B6482"/>
    <w:rsid w:val="006C061C"/>
    <w:rsid w:val="006C3954"/>
    <w:rsid w:val="006C5A8C"/>
    <w:rsid w:val="006C5B2B"/>
    <w:rsid w:val="006C6131"/>
    <w:rsid w:val="006C68BC"/>
    <w:rsid w:val="006C733A"/>
    <w:rsid w:val="006D06CD"/>
    <w:rsid w:val="006D23B5"/>
    <w:rsid w:val="006D2AD3"/>
    <w:rsid w:val="006D3DD1"/>
    <w:rsid w:val="006D622C"/>
    <w:rsid w:val="006E3059"/>
    <w:rsid w:val="006E4D22"/>
    <w:rsid w:val="006E6EFE"/>
    <w:rsid w:val="006E7FDD"/>
    <w:rsid w:val="006F22E2"/>
    <w:rsid w:val="006F2BAC"/>
    <w:rsid w:val="006F7F6D"/>
    <w:rsid w:val="00701759"/>
    <w:rsid w:val="00704D58"/>
    <w:rsid w:val="00713653"/>
    <w:rsid w:val="00714C65"/>
    <w:rsid w:val="007155CC"/>
    <w:rsid w:val="00715AEE"/>
    <w:rsid w:val="0072120F"/>
    <w:rsid w:val="0072163C"/>
    <w:rsid w:val="00725CA5"/>
    <w:rsid w:val="00726688"/>
    <w:rsid w:val="00726CE1"/>
    <w:rsid w:val="00727331"/>
    <w:rsid w:val="00730A65"/>
    <w:rsid w:val="00732ED4"/>
    <w:rsid w:val="00735234"/>
    <w:rsid w:val="00735B42"/>
    <w:rsid w:val="00736DDE"/>
    <w:rsid w:val="007370A6"/>
    <w:rsid w:val="00737B67"/>
    <w:rsid w:val="0074031A"/>
    <w:rsid w:val="0074160E"/>
    <w:rsid w:val="0074231F"/>
    <w:rsid w:val="00745D7E"/>
    <w:rsid w:val="0075080C"/>
    <w:rsid w:val="00751058"/>
    <w:rsid w:val="00751127"/>
    <w:rsid w:val="00751901"/>
    <w:rsid w:val="00751A37"/>
    <w:rsid w:val="007532AF"/>
    <w:rsid w:val="0075388C"/>
    <w:rsid w:val="0076213A"/>
    <w:rsid w:val="00763589"/>
    <w:rsid w:val="0076684B"/>
    <w:rsid w:val="00767A36"/>
    <w:rsid w:val="00770C62"/>
    <w:rsid w:val="007728C0"/>
    <w:rsid w:val="007732CE"/>
    <w:rsid w:val="0077364E"/>
    <w:rsid w:val="00775975"/>
    <w:rsid w:val="007760EC"/>
    <w:rsid w:val="007771DD"/>
    <w:rsid w:val="007800D5"/>
    <w:rsid w:val="00780612"/>
    <w:rsid w:val="007812CD"/>
    <w:rsid w:val="007817F6"/>
    <w:rsid w:val="00781A27"/>
    <w:rsid w:val="00782BAC"/>
    <w:rsid w:val="00784EC5"/>
    <w:rsid w:val="007852F3"/>
    <w:rsid w:val="00785D98"/>
    <w:rsid w:val="00790B36"/>
    <w:rsid w:val="00790D49"/>
    <w:rsid w:val="0079182D"/>
    <w:rsid w:val="00792AFE"/>
    <w:rsid w:val="0079321E"/>
    <w:rsid w:val="007941CA"/>
    <w:rsid w:val="00795525"/>
    <w:rsid w:val="0079628D"/>
    <w:rsid w:val="007A0B8F"/>
    <w:rsid w:val="007A3683"/>
    <w:rsid w:val="007A37F9"/>
    <w:rsid w:val="007A55B4"/>
    <w:rsid w:val="007A7AB7"/>
    <w:rsid w:val="007B187F"/>
    <w:rsid w:val="007B18D2"/>
    <w:rsid w:val="007B2962"/>
    <w:rsid w:val="007B302F"/>
    <w:rsid w:val="007B79B2"/>
    <w:rsid w:val="007B7FF8"/>
    <w:rsid w:val="007C069C"/>
    <w:rsid w:val="007C36E1"/>
    <w:rsid w:val="007C6717"/>
    <w:rsid w:val="007D031F"/>
    <w:rsid w:val="007D234A"/>
    <w:rsid w:val="007D3014"/>
    <w:rsid w:val="007D4237"/>
    <w:rsid w:val="007D5766"/>
    <w:rsid w:val="007E389F"/>
    <w:rsid w:val="007E4ACB"/>
    <w:rsid w:val="007E5CB8"/>
    <w:rsid w:val="007E63AD"/>
    <w:rsid w:val="007E679B"/>
    <w:rsid w:val="007E7EFB"/>
    <w:rsid w:val="007F02A3"/>
    <w:rsid w:val="007F283B"/>
    <w:rsid w:val="007F3BC3"/>
    <w:rsid w:val="007F53FC"/>
    <w:rsid w:val="008009B1"/>
    <w:rsid w:val="00800A9F"/>
    <w:rsid w:val="0080141A"/>
    <w:rsid w:val="008033DA"/>
    <w:rsid w:val="00803E7D"/>
    <w:rsid w:val="00804103"/>
    <w:rsid w:val="00804FB3"/>
    <w:rsid w:val="00806095"/>
    <w:rsid w:val="00807A43"/>
    <w:rsid w:val="00810E53"/>
    <w:rsid w:val="00812415"/>
    <w:rsid w:val="00813519"/>
    <w:rsid w:val="00814F13"/>
    <w:rsid w:val="00815281"/>
    <w:rsid w:val="00817FDF"/>
    <w:rsid w:val="00820651"/>
    <w:rsid w:val="00820B17"/>
    <w:rsid w:val="0082241C"/>
    <w:rsid w:val="00822AED"/>
    <w:rsid w:val="008232DC"/>
    <w:rsid w:val="00827A83"/>
    <w:rsid w:val="00827C63"/>
    <w:rsid w:val="00831DE0"/>
    <w:rsid w:val="008335EF"/>
    <w:rsid w:val="008362CE"/>
    <w:rsid w:val="00836660"/>
    <w:rsid w:val="00844A9B"/>
    <w:rsid w:val="00847257"/>
    <w:rsid w:val="008476DB"/>
    <w:rsid w:val="008476FC"/>
    <w:rsid w:val="00850CC0"/>
    <w:rsid w:val="00851538"/>
    <w:rsid w:val="00851ACB"/>
    <w:rsid w:val="00852A5C"/>
    <w:rsid w:val="008555F7"/>
    <w:rsid w:val="00863919"/>
    <w:rsid w:val="00863B8D"/>
    <w:rsid w:val="00864641"/>
    <w:rsid w:val="00870681"/>
    <w:rsid w:val="008707AF"/>
    <w:rsid w:val="00871941"/>
    <w:rsid w:val="00872B10"/>
    <w:rsid w:val="0087786B"/>
    <w:rsid w:val="0087794A"/>
    <w:rsid w:val="008811C3"/>
    <w:rsid w:val="00881E65"/>
    <w:rsid w:val="0088301E"/>
    <w:rsid w:val="008848B0"/>
    <w:rsid w:val="00884CA2"/>
    <w:rsid w:val="0088701D"/>
    <w:rsid w:val="0088714E"/>
    <w:rsid w:val="0089185C"/>
    <w:rsid w:val="0089285B"/>
    <w:rsid w:val="00894126"/>
    <w:rsid w:val="00895793"/>
    <w:rsid w:val="00897888"/>
    <w:rsid w:val="008A2005"/>
    <w:rsid w:val="008A3229"/>
    <w:rsid w:val="008A3FE3"/>
    <w:rsid w:val="008B0B25"/>
    <w:rsid w:val="008B14B7"/>
    <w:rsid w:val="008B321A"/>
    <w:rsid w:val="008B329E"/>
    <w:rsid w:val="008B3E65"/>
    <w:rsid w:val="008B5DB3"/>
    <w:rsid w:val="008B7C07"/>
    <w:rsid w:val="008C2F51"/>
    <w:rsid w:val="008C3B15"/>
    <w:rsid w:val="008C4D3D"/>
    <w:rsid w:val="008C5AE1"/>
    <w:rsid w:val="008C6CF0"/>
    <w:rsid w:val="008C7149"/>
    <w:rsid w:val="008D509B"/>
    <w:rsid w:val="008D651B"/>
    <w:rsid w:val="008E0DE8"/>
    <w:rsid w:val="008E2D4E"/>
    <w:rsid w:val="008E3AA1"/>
    <w:rsid w:val="008E41D8"/>
    <w:rsid w:val="008E4FDA"/>
    <w:rsid w:val="008E52D1"/>
    <w:rsid w:val="008E6B54"/>
    <w:rsid w:val="008E7242"/>
    <w:rsid w:val="008E72C6"/>
    <w:rsid w:val="008F0600"/>
    <w:rsid w:val="008F0FFE"/>
    <w:rsid w:val="008F19EA"/>
    <w:rsid w:val="008F455D"/>
    <w:rsid w:val="008F5E2A"/>
    <w:rsid w:val="00901041"/>
    <w:rsid w:val="00902879"/>
    <w:rsid w:val="0090312C"/>
    <w:rsid w:val="009039F7"/>
    <w:rsid w:val="009039F8"/>
    <w:rsid w:val="00904785"/>
    <w:rsid w:val="00910C57"/>
    <w:rsid w:val="009117B0"/>
    <w:rsid w:val="0091185F"/>
    <w:rsid w:val="00920892"/>
    <w:rsid w:val="00922B4C"/>
    <w:rsid w:val="00922F04"/>
    <w:rsid w:val="00923B8D"/>
    <w:rsid w:val="009250A1"/>
    <w:rsid w:val="009269F3"/>
    <w:rsid w:val="00927CCF"/>
    <w:rsid w:val="00933A65"/>
    <w:rsid w:val="00934A23"/>
    <w:rsid w:val="00950531"/>
    <w:rsid w:val="00952E6E"/>
    <w:rsid w:val="00955014"/>
    <w:rsid w:val="009558B1"/>
    <w:rsid w:val="00956E41"/>
    <w:rsid w:val="00962AFA"/>
    <w:rsid w:val="0096384D"/>
    <w:rsid w:val="00964C8E"/>
    <w:rsid w:val="00967680"/>
    <w:rsid w:val="00971628"/>
    <w:rsid w:val="00971D97"/>
    <w:rsid w:val="009737B4"/>
    <w:rsid w:val="00974736"/>
    <w:rsid w:val="00981DBC"/>
    <w:rsid w:val="009834A9"/>
    <w:rsid w:val="009835CF"/>
    <w:rsid w:val="00987704"/>
    <w:rsid w:val="00990995"/>
    <w:rsid w:val="0099182B"/>
    <w:rsid w:val="009935D6"/>
    <w:rsid w:val="00994B7A"/>
    <w:rsid w:val="009953D0"/>
    <w:rsid w:val="009A14A1"/>
    <w:rsid w:val="009A3EAF"/>
    <w:rsid w:val="009A6F8D"/>
    <w:rsid w:val="009A7D10"/>
    <w:rsid w:val="009B1511"/>
    <w:rsid w:val="009B1C32"/>
    <w:rsid w:val="009B26BD"/>
    <w:rsid w:val="009B2BD0"/>
    <w:rsid w:val="009B345D"/>
    <w:rsid w:val="009B4A19"/>
    <w:rsid w:val="009B6EB3"/>
    <w:rsid w:val="009C5475"/>
    <w:rsid w:val="009C6B93"/>
    <w:rsid w:val="009D1E02"/>
    <w:rsid w:val="009D3DBD"/>
    <w:rsid w:val="009D4817"/>
    <w:rsid w:val="009D4A98"/>
    <w:rsid w:val="009D6E90"/>
    <w:rsid w:val="009E2450"/>
    <w:rsid w:val="009E2F06"/>
    <w:rsid w:val="009E4371"/>
    <w:rsid w:val="009E502D"/>
    <w:rsid w:val="009F03D4"/>
    <w:rsid w:val="009F0856"/>
    <w:rsid w:val="009F11F4"/>
    <w:rsid w:val="009F1673"/>
    <w:rsid w:val="009F3102"/>
    <w:rsid w:val="009F55D8"/>
    <w:rsid w:val="009F5604"/>
    <w:rsid w:val="00A00167"/>
    <w:rsid w:val="00A02A75"/>
    <w:rsid w:val="00A0322D"/>
    <w:rsid w:val="00A051DF"/>
    <w:rsid w:val="00A05444"/>
    <w:rsid w:val="00A07349"/>
    <w:rsid w:val="00A07707"/>
    <w:rsid w:val="00A1091E"/>
    <w:rsid w:val="00A12915"/>
    <w:rsid w:val="00A12C8E"/>
    <w:rsid w:val="00A146F3"/>
    <w:rsid w:val="00A2074C"/>
    <w:rsid w:val="00A2364C"/>
    <w:rsid w:val="00A2449E"/>
    <w:rsid w:val="00A24571"/>
    <w:rsid w:val="00A26AE4"/>
    <w:rsid w:val="00A26C34"/>
    <w:rsid w:val="00A30351"/>
    <w:rsid w:val="00A3041D"/>
    <w:rsid w:val="00A30C68"/>
    <w:rsid w:val="00A31499"/>
    <w:rsid w:val="00A3170B"/>
    <w:rsid w:val="00A3217B"/>
    <w:rsid w:val="00A353F3"/>
    <w:rsid w:val="00A36C3E"/>
    <w:rsid w:val="00A36EC1"/>
    <w:rsid w:val="00A3758C"/>
    <w:rsid w:val="00A409CE"/>
    <w:rsid w:val="00A41AF6"/>
    <w:rsid w:val="00A42D9E"/>
    <w:rsid w:val="00A456C7"/>
    <w:rsid w:val="00A45B35"/>
    <w:rsid w:val="00A52DAC"/>
    <w:rsid w:val="00A5341F"/>
    <w:rsid w:val="00A549B0"/>
    <w:rsid w:val="00A55883"/>
    <w:rsid w:val="00A55C82"/>
    <w:rsid w:val="00A57206"/>
    <w:rsid w:val="00A60DAD"/>
    <w:rsid w:val="00A61A6C"/>
    <w:rsid w:val="00A629AC"/>
    <w:rsid w:val="00A6326F"/>
    <w:rsid w:val="00A634B6"/>
    <w:rsid w:val="00A63613"/>
    <w:rsid w:val="00A640D0"/>
    <w:rsid w:val="00A64469"/>
    <w:rsid w:val="00A67300"/>
    <w:rsid w:val="00A67891"/>
    <w:rsid w:val="00A7068B"/>
    <w:rsid w:val="00A74CB2"/>
    <w:rsid w:val="00A75CF0"/>
    <w:rsid w:val="00A76128"/>
    <w:rsid w:val="00A771E7"/>
    <w:rsid w:val="00A77423"/>
    <w:rsid w:val="00A812B6"/>
    <w:rsid w:val="00A8167E"/>
    <w:rsid w:val="00A81C5C"/>
    <w:rsid w:val="00A85AB8"/>
    <w:rsid w:val="00A90351"/>
    <w:rsid w:val="00A929B2"/>
    <w:rsid w:val="00A94069"/>
    <w:rsid w:val="00AA13CC"/>
    <w:rsid w:val="00AA21D2"/>
    <w:rsid w:val="00AA267C"/>
    <w:rsid w:val="00AA2C76"/>
    <w:rsid w:val="00AA570D"/>
    <w:rsid w:val="00AA6106"/>
    <w:rsid w:val="00AB201A"/>
    <w:rsid w:val="00AB379E"/>
    <w:rsid w:val="00AB3837"/>
    <w:rsid w:val="00AB5101"/>
    <w:rsid w:val="00AB6269"/>
    <w:rsid w:val="00AB6D66"/>
    <w:rsid w:val="00AB7FDA"/>
    <w:rsid w:val="00AC06FD"/>
    <w:rsid w:val="00AC0733"/>
    <w:rsid w:val="00AC2398"/>
    <w:rsid w:val="00AC3805"/>
    <w:rsid w:val="00AC382E"/>
    <w:rsid w:val="00AC3889"/>
    <w:rsid w:val="00AC3FE5"/>
    <w:rsid w:val="00AC543E"/>
    <w:rsid w:val="00AC59E3"/>
    <w:rsid w:val="00AC6C11"/>
    <w:rsid w:val="00AC7798"/>
    <w:rsid w:val="00AD1111"/>
    <w:rsid w:val="00AD2C8D"/>
    <w:rsid w:val="00AD68DF"/>
    <w:rsid w:val="00AE020D"/>
    <w:rsid w:val="00AE35A8"/>
    <w:rsid w:val="00AE5F58"/>
    <w:rsid w:val="00AE6208"/>
    <w:rsid w:val="00AE7FDB"/>
    <w:rsid w:val="00AF3AE8"/>
    <w:rsid w:val="00AF7E49"/>
    <w:rsid w:val="00B00750"/>
    <w:rsid w:val="00B020F7"/>
    <w:rsid w:val="00B0241F"/>
    <w:rsid w:val="00B02CD3"/>
    <w:rsid w:val="00B04EBC"/>
    <w:rsid w:val="00B06096"/>
    <w:rsid w:val="00B06148"/>
    <w:rsid w:val="00B1317E"/>
    <w:rsid w:val="00B14A2E"/>
    <w:rsid w:val="00B17100"/>
    <w:rsid w:val="00B21B58"/>
    <w:rsid w:val="00B22292"/>
    <w:rsid w:val="00B22BEC"/>
    <w:rsid w:val="00B230BF"/>
    <w:rsid w:val="00B23731"/>
    <w:rsid w:val="00B2396F"/>
    <w:rsid w:val="00B24B47"/>
    <w:rsid w:val="00B2628E"/>
    <w:rsid w:val="00B2664C"/>
    <w:rsid w:val="00B27503"/>
    <w:rsid w:val="00B30C88"/>
    <w:rsid w:val="00B33A18"/>
    <w:rsid w:val="00B3474B"/>
    <w:rsid w:val="00B35F96"/>
    <w:rsid w:val="00B37F27"/>
    <w:rsid w:val="00B410B9"/>
    <w:rsid w:val="00B41106"/>
    <w:rsid w:val="00B41E08"/>
    <w:rsid w:val="00B447F2"/>
    <w:rsid w:val="00B449DC"/>
    <w:rsid w:val="00B45742"/>
    <w:rsid w:val="00B4595A"/>
    <w:rsid w:val="00B46A69"/>
    <w:rsid w:val="00B5127B"/>
    <w:rsid w:val="00B52908"/>
    <w:rsid w:val="00B542D7"/>
    <w:rsid w:val="00B5511A"/>
    <w:rsid w:val="00B5578B"/>
    <w:rsid w:val="00B57A09"/>
    <w:rsid w:val="00B60148"/>
    <w:rsid w:val="00B602D9"/>
    <w:rsid w:val="00B612EF"/>
    <w:rsid w:val="00B61487"/>
    <w:rsid w:val="00B61901"/>
    <w:rsid w:val="00B62F4C"/>
    <w:rsid w:val="00B666F6"/>
    <w:rsid w:val="00B73123"/>
    <w:rsid w:val="00B74F90"/>
    <w:rsid w:val="00B75BC6"/>
    <w:rsid w:val="00B82513"/>
    <w:rsid w:val="00B8500E"/>
    <w:rsid w:val="00B866B4"/>
    <w:rsid w:val="00B90BA0"/>
    <w:rsid w:val="00B92FE5"/>
    <w:rsid w:val="00B93611"/>
    <w:rsid w:val="00B94886"/>
    <w:rsid w:val="00B968B5"/>
    <w:rsid w:val="00BA0A85"/>
    <w:rsid w:val="00BA2100"/>
    <w:rsid w:val="00BA31F7"/>
    <w:rsid w:val="00BA37B5"/>
    <w:rsid w:val="00BA3F97"/>
    <w:rsid w:val="00BA4DF6"/>
    <w:rsid w:val="00BA56F4"/>
    <w:rsid w:val="00BB6659"/>
    <w:rsid w:val="00BC0193"/>
    <w:rsid w:val="00BC07D8"/>
    <w:rsid w:val="00BC3144"/>
    <w:rsid w:val="00BC4B02"/>
    <w:rsid w:val="00BC706A"/>
    <w:rsid w:val="00BC7E83"/>
    <w:rsid w:val="00BD00D1"/>
    <w:rsid w:val="00BD16BE"/>
    <w:rsid w:val="00BD3D12"/>
    <w:rsid w:val="00BE0C72"/>
    <w:rsid w:val="00BE1017"/>
    <w:rsid w:val="00BE26D6"/>
    <w:rsid w:val="00BE555E"/>
    <w:rsid w:val="00BE57BD"/>
    <w:rsid w:val="00BE5814"/>
    <w:rsid w:val="00BE5AE4"/>
    <w:rsid w:val="00BE6A0B"/>
    <w:rsid w:val="00BE6AD3"/>
    <w:rsid w:val="00BE7033"/>
    <w:rsid w:val="00BF0A26"/>
    <w:rsid w:val="00BF125C"/>
    <w:rsid w:val="00BF16BB"/>
    <w:rsid w:val="00BF1C48"/>
    <w:rsid w:val="00BF1DF5"/>
    <w:rsid w:val="00BF2192"/>
    <w:rsid w:val="00BF22CA"/>
    <w:rsid w:val="00BF2C94"/>
    <w:rsid w:val="00BF5086"/>
    <w:rsid w:val="00BF5093"/>
    <w:rsid w:val="00BF5CF8"/>
    <w:rsid w:val="00BF5D11"/>
    <w:rsid w:val="00BF6C08"/>
    <w:rsid w:val="00BF6E16"/>
    <w:rsid w:val="00BF71C5"/>
    <w:rsid w:val="00C00E15"/>
    <w:rsid w:val="00C02DDF"/>
    <w:rsid w:val="00C06686"/>
    <w:rsid w:val="00C06D0E"/>
    <w:rsid w:val="00C07865"/>
    <w:rsid w:val="00C10613"/>
    <w:rsid w:val="00C1410D"/>
    <w:rsid w:val="00C150CE"/>
    <w:rsid w:val="00C1543C"/>
    <w:rsid w:val="00C155C6"/>
    <w:rsid w:val="00C15D07"/>
    <w:rsid w:val="00C16200"/>
    <w:rsid w:val="00C165EB"/>
    <w:rsid w:val="00C16F9A"/>
    <w:rsid w:val="00C17937"/>
    <w:rsid w:val="00C17B90"/>
    <w:rsid w:val="00C17D28"/>
    <w:rsid w:val="00C21F69"/>
    <w:rsid w:val="00C23ECA"/>
    <w:rsid w:val="00C26C4B"/>
    <w:rsid w:val="00C279AB"/>
    <w:rsid w:val="00C3076D"/>
    <w:rsid w:val="00C31348"/>
    <w:rsid w:val="00C31E3C"/>
    <w:rsid w:val="00C32B49"/>
    <w:rsid w:val="00C32BC6"/>
    <w:rsid w:val="00C36B9C"/>
    <w:rsid w:val="00C37AF7"/>
    <w:rsid w:val="00C41065"/>
    <w:rsid w:val="00C41ED2"/>
    <w:rsid w:val="00C41F98"/>
    <w:rsid w:val="00C426DE"/>
    <w:rsid w:val="00C429AF"/>
    <w:rsid w:val="00C4377C"/>
    <w:rsid w:val="00C43E30"/>
    <w:rsid w:val="00C45E00"/>
    <w:rsid w:val="00C47465"/>
    <w:rsid w:val="00C513AF"/>
    <w:rsid w:val="00C5144C"/>
    <w:rsid w:val="00C529F1"/>
    <w:rsid w:val="00C56FCE"/>
    <w:rsid w:val="00C64ADA"/>
    <w:rsid w:val="00C718F3"/>
    <w:rsid w:val="00C731F2"/>
    <w:rsid w:val="00C7542A"/>
    <w:rsid w:val="00C75E6C"/>
    <w:rsid w:val="00C80D1B"/>
    <w:rsid w:val="00C82358"/>
    <w:rsid w:val="00C82C0F"/>
    <w:rsid w:val="00C83836"/>
    <w:rsid w:val="00C85E94"/>
    <w:rsid w:val="00C85F63"/>
    <w:rsid w:val="00C8677B"/>
    <w:rsid w:val="00C91215"/>
    <w:rsid w:val="00C91C80"/>
    <w:rsid w:val="00C92DE8"/>
    <w:rsid w:val="00C92F1B"/>
    <w:rsid w:val="00C932C6"/>
    <w:rsid w:val="00C94919"/>
    <w:rsid w:val="00C953ED"/>
    <w:rsid w:val="00CA1C51"/>
    <w:rsid w:val="00CA1CE4"/>
    <w:rsid w:val="00CA21BE"/>
    <w:rsid w:val="00CA6156"/>
    <w:rsid w:val="00CA634C"/>
    <w:rsid w:val="00CB05E0"/>
    <w:rsid w:val="00CB0A8F"/>
    <w:rsid w:val="00CB1A15"/>
    <w:rsid w:val="00CB42B2"/>
    <w:rsid w:val="00CB5E60"/>
    <w:rsid w:val="00CB64FC"/>
    <w:rsid w:val="00CB7EDF"/>
    <w:rsid w:val="00CC08B0"/>
    <w:rsid w:val="00CC173A"/>
    <w:rsid w:val="00CC22A6"/>
    <w:rsid w:val="00CC2CCA"/>
    <w:rsid w:val="00CC38BA"/>
    <w:rsid w:val="00CC3FA7"/>
    <w:rsid w:val="00CC42C1"/>
    <w:rsid w:val="00CC6591"/>
    <w:rsid w:val="00CD20F3"/>
    <w:rsid w:val="00CD4172"/>
    <w:rsid w:val="00CD65F7"/>
    <w:rsid w:val="00CD669B"/>
    <w:rsid w:val="00CE2902"/>
    <w:rsid w:val="00CE4734"/>
    <w:rsid w:val="00CE4C2A"/>
    <w:rsid w:val="00CF1AD9"/>
    <w:rsid w:val="00CF5E16"/>
    <w:rsid w:val="00D05D7F"/>
    <w:rsid w:val="00D0769A"/>
    <w:rsid w:val="00D11193"/>
    <w:rsid w:val="00D11A5B"/>
    <w:rsid w:val="00D13DE9"/>
    <w:rsid w:val="00D14927"/>
    <w:rsid w:val="00D14EB2"/>
    <w:rsid w:val="00D15E0C"/>
    <w:rsid w:val="00D1613B"/>
    <w:rsid w:val="00D1643C"/>
    <w:rsid w:val="00D16F0F"/>
    <w:rsid w:val="00D201B5"/>
    <w:rsid w:val="00D210F6"/>
    <w:rsid w:val="00D22443"/>
    <w:rsid w:val="00D224EB"/>
    <w:rsid w:val="00D227B8"/>
    <w:rsid w:val="00D23BD2"/>
    <w:rsid w:val="00D318C4"/>
    <w:rsid w:val="00D3318C"/>
    <w:rsid w:val="00D368DB"/>
    <w:rsid w:val="00D41C55"/>
    <w:rsid w:val="00D42206"/>
    <w:rsid w:val="00D476C8"/>
    <w:rsid w:val="00D50747"/>
    <w:rsid w:val="00D5205D"/>
    <w:rsid w:val="00D560C0"/>
    <w:rsid w:val="00D56659"/>
    <w:rsid w:val="00D60193"/>
    <w:rsid w:val="00D60272"/>
    <w:rsid w:val="00D62ACD"/>
    <w:rsid w:val="00D66EBF"/>
    <w:rsid w:val="00D67F63"/>
    <w:rsid w:val="00D7026C"/>
    <w:rsid w:val="00D71DA7"/>
    <w:rsid w:val="00D738FE"/>
    <w:rsid w:val="00D75485"/>
    <w:rsid w:val="00D756C0"/>
    <w:rsid w:val="00D76987"/>
    <w:rsid w:val="00D777DD"/>
    <w:rsid w:val="00D81074"/>
    <w:rsid w:val="00D81CF0"/>
    <w:rsid w:val="00D859E7"/>
    <w:rsid w:val="00D85AC4"/>
    <w:rsid w:val="00D9081D"/>
    <w:rsid w:val="00D93819"/>
    <w:rsid w:val="00D96814"/>
    <w:rsid w:val="00D96C02"/>
    <w:rsid w:val="00DA0CD4"/>
    <w:rsid w:val="00DA1769"/>
    <w:rsid w:val="00DA197C"/>
    <w:rsid w:val="00DA20F3"/>
    <w:rsid w:val="00DA387B"/>
    <w:rsid w:val="00DA4414"/>
    <w:rsid w:val="00DA77E2"/>
    <w:rsid w:val="00DB0B5B"/>
    <w:rsid w:val="00DB0F38"/>
    <w:rsid w:val="00DB2AE7"/>
    <w:rsid w:val="00DB45A0"/>
    <w:rsid w:val="00DB4791"/>
    <w:rsid w:val="00DB54EC"/>
    <w:rsid w:val="00DB56F5"/>
    <w:rsid w:val="00DB57C5"/>
    <w:rsid w:val="00DB7814"/>
    <w:rsid w:val="00DC14E8"/>
    <w:rsid w:val="00DC1F79"/>
    <w:rsid w:val="00DC221F"/>
    <w:rsid w:val="00DC3DE8"/>
    <w:rsid w:val="00DC7DC1"/>
    <w:rsid w:val="00DD000A"/>
    <w:rsid w:val="00DD01AA"/>
    <w:rsid w:val="00DD0897"/>
    <w:rsid w:val="00DD147D"/>
    <w:rsid w:val="00DD1681"/>
    <w:rsid w:val="00DD16CE"/>
    <w:rsid w:val="00DD6706"/>
    <w:rsid w:val="00DE013D"/>
    <w:rsid w:val="00DE174C"/>
    <w:rsid w:val="00DE2C4E"/>
    <w:rsid w:val="00DE7E63"/>
    <w:rsid w:val="00DF087B"/>
    <w:rsid w:val="00DF24EE"/>
    <w:rsid w:val="00DF2A3A"/>
    <w:rsid w:val="00DF6432"/>
    <w:rsid w:val="00DF70B1"/>
    <w:rsid w:val="00E00028"/>
    <w:rsid w:val="00E03112"/>
    <w:rsid w:val="00E03538"/>
    <w:rsid w:val="00E03E64"/>
    <w:rsid w:val="00E046B1"/>
    <w:rsid w:val="00E056AF"/>
    <w:rsid w:val="00E115E0"/>
    <w:rsid w:val="00E13AD8"/>
    <w:rsid w:val="00E15CEB"/>
    <w:rsid w:val="00E17E0D"/>
    <w:rsid w:val="00E22DAB"/>
    <w:rsid w:val="00E242F4"/>
    <w:rsid w:val="00E27DC9"/>
    <w:rsid w:val="00E33FF7"/>
    <w:rsid w:val="00E34053"/>
    <w:rsid w:val="00E34C87"/>
    <w:rsid w:val="00E40480"/>
    <w:rsid w:val="00E42370"/>
    <w:rsid w:val="00E4437B"/>
    <w:rsid w:val="00E456B1"/>
    <w:rsid w:val="00E50424"/>
    <w:rsid w:val="00E508C7"/>
    <w:rsid w:val="00E51D9B"/>
    <w:rsid w:val="00E52EE4"/>
    <w:rsid w:val="00E532AB"/>
    <w:rsid w:val="00E54A95"/>
    <w:rsid w:val="00E5608F"/>
    <w:rsid w:val="00E618B3"/>
    <w:rsid w:val="00E63D35"/>
    <w:rsid w:val="00E6444C"/>
    <w:rsid w:val="00E652DF"/>
    <w:rsid w:val="00E665BA"/>
    <w:rsid w:val="00E66715"/>
    <w:rsid w:val="00E709AB"/>
    <w:rsid w:val="00E73499"/>
    <w:rsid w:val="00E7354B"/>
    <w:rsid w:val="00E73916"/>
    <w:rsid w:val="00E73F31"/>
    <w:rsid w:val="00E802B4"/>
    <w:rsid w:val="00E8326E"/>
    <w:rsid w:val="00E839B4"/>
    <w:rsid w:val="00E852F3"/>
    <w:rsid w:val="00E85509"/>
    <w:rsid w:val="00E85730"/>
    <w:rsid w:val="00E87B33"/>
    <w:rsid w:val="00E91238"/>
    <w:rsid w:val="00E914B7"/>
    <w:rsid w:val="00E94BB5"/>
    <w:rsid w:val="00E955D6"/>
    <w:rsid w:val="00E95854"/>
    <w:rsid w:val="00E95F2B"/>
    <w:rsid w:val="00E9779C"/>
    <w:rsid w:val="00E979DC"/>
    <w:rsid w:val="00EA3147"/>
    <w:rsid w:val="00EA7989"/>
    <w:rsid w:val="00EA79A9"/>
    <w:rsid w:val="00EA7D98"/>
    <w:rsid w:val="00EB01AB"/>
    <w:rsid w:val="00EB3428"/>
    <w:rsid w:val="00EB51D6"/>
    <w:rsid w:val="00EB541F"/>
    <w:rsid w:val="00EB5B70"/>
    <w:rsid w:val="00EB63EF"/>
    <w:rsid w:val="00EC1B51"/>
    <w:rsid w:val="00EC343A"/>
    <w:rsid w:val="00EC4596"/>
    <w:rsid w:val="00EC5DF1"/>
    <w:rsid w:val="00EC64C5"/>
    <w:rsid w:val="00ED01F8"/>
    <w:rsid w:val="00ED141C"/>
    <w:rsid w:val="00ED1F70"/>
    <w:rsid w:val="00ED50DF"/>
    <w:rsid w:val="00ED5A40"/>
    <w:rsid w:val="00EE0E82"/>
    <w:rsid w:val="00EE3176"/>
    <w:rsid w:val="00EE5D3C"/>
    <w:rsid w:val="00EE6559"/>
    <w:rsid w:val="00EF010A"/>
    <w:rsid w:val="00EF0112"/>
    <w:rsid w:val="00EF0751"/>
    <w:rsid w:val="00EF0DC0"/>
    <w:rsid w:val="00EF0F60"/>
    <w:rsid w:val="00EF20F9"/>
    <w:rsid w:val="00EF37A2"/>
    <w:rsid w:val="00EF45F3"/>
    <w:rsid w:val="00EF5EA3"/>
    <w:rsid w:val="00EF5EC6"/>
    <w:rsid w:val="00EF657E"/>
    <w:rsid w:val="00EF735E"/>
    <w:rsid w:val="00F102EA"/>
    <w:rsid w:val="00F104AD"/>
    <w:rsid w:val="00F10B60"/>
    <w:rsid w:val="00F1211B"/>
    <w:rsid w:val="00F12205"/>
    <w:rsid w:val="00F1227D"/>
    <w:rsid w:val="00F14C39"/>
    <w:rsid w:val="00F14D6A"/>
    <w:rsid w:val="00F20A34"/>
    <w:rsid w:val="00F20C8E"/>
    <w:rsid w:val="00F216D7"/>
    <w:rsid w:val="00F218D4"/>
    <w:rsid w:val="00F223A1"/>
    <w:rsid w:val="00F24FBF"/>
    <w:rsid w:val="00F25637"/>
    <w:rsid w:val="00F25DAA"/>
    <w:rsid w:val="00F304C9"/>
    <w:rsid w:val="00F30DAC"/>
    <w:rsid w:val="00F3336A"/>
    <w:rsid w:val="00F351DB"/>
    <w:rsid w:val="00F35ACB"/>
    <w:rsid w:val="00F40CAC"/>
    <w:rsid w:val="00F433D3"/>
    <w:rsid w:val="00F43749"/>
    <w:rsid w:val="00F45198"/>
    <w:rsid w:val="00F47A75"/>
    <w:rsid w:val="00F50DCF"/>
    <w:rsid w:val="00F52C9C"/>
    <w:rsid w:val="00F52DA1"/>
    <w:rsid w:val="00F562D0"/>
    <w:rsid w:val="00F56697"/>
    <w:rsid w:val="00F60BF7"/>
    <w:rsid w:val="00F62AA0"/>
    <w:rsid w:val="00F63163"/>
    <w:rsid w:val="00F63B0A"/>
    <w:rsid w:val="00F640AB"/>
    <w:rsid w:val="00F646FA"/>
    <w:rsid w:val="00F64DAB"/>
    <w:rsid w:val="00F65EB5"/>
    <w:rsid w:val="00F71EB4"/>
    <w:rsid w:val="00F72E86"/>
    <w:rsid w:val="00F77C79"/>
    <w:rsid w:val="00F80521"/>
    <w:rsid w:val="00F844EB"/>
    <w:rsid w:val="00F8492B"/>
    <w:rsid w:val="00F873B3"/>
    <w:rsid w:val="00F87F50"/>
    <w:rsid w:val="00F91015"/>
    <w:rsid w:val="00F91546"/>
    <w:rsid w:val="00F91741"/>
    <w:rsid w:val="00F91A73"/>
    <w:rsid w:val="00F94BAC"/>
    <w:rsid w:val="00F9527D"/>
    <w:rsid w:val="00F96D7A"/>
    <w:rsid w:val="00FA05AD"/>
    <w:rsid w:val="00FA0E28"/>
    <w:rsid w:val="00FA3002"/>
    <w:rsid w:val="00FA3311"/>
    <w:rsid w:val="00FA392D"/>
    <w:rsid w:val="00FA395C"/>
    <w:rsid w:val="00FA39ED"/>
    <w:rsid w:val="00FA4073"/>
    <w:rsid w:val="00FA53BC"/>
    <w:rsid w:val="00FA6BE9"/>
    <w:rsid w:val="00FB2A15"/>
    <w:rsid w:val="00FB3784"/>
    <w:rsid w:val="00FB3C9A"/>
    <w:rsid w:val="00FB4D5F"/>
    <w:rsid w:val="00FB60F3"/>
    <w:rsid w:val="00FB6497"/>
    <w:rsid w:val="00FB695F"/>
    <w:rsid w:val="00FC0610"/>
    <w:rsid w:val="00FC1379"/>
    <w:rsid w:val="00FC1492"/>
    <w:rsid w:val="00FC2814"/>
    <w:rsid w:val="00FC3B7D"/>
    <w:rsid w:val="00FC6B19"/>
    <w:rsid w:val="00FC6D54"/>
    <w:rsid w:val="00FD05CF"/>
    <w:rsid w:val="00FD3AFC"/>
    <w:rsid w:val="00FD72B3"/>
    <w:rsid w:val="00FE00CD"/>
    <w:rsid w:val="00FE2569"/>
    <w:rsid w:val="00FE3F9D"/>
    <w:rsid w:val="00FE4A5A"/>
    <w:rsid w:val="00FF0068"/>
    <w:rsid w:val="00FF55E5"/>
    <w:rsid w:val="00FF64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08"/>
    <w:pPr>
      <w:tabs>
        <w:tab w:val="left" w:pos="720"/>
      </w:tabs>
      <w:spacing w:line="480" w:lineRule="atLeast"/>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ListParagraph"/>
    <w:qFormat/>
    <w:rsid w:val="00104859"/>
    <w:pPr>
      <w:numPr>
        <w:numId w:val="2"/>
      </w:numPr>
      <w:spacing w:before="120" w:after="120" w:line="240" w:lineRule="auto"/>
      <w:contextualSpacing w:val="0"/>
    </w:pPr>
  </w:style>
  <w:style w:type="paragraph" w:styleId="ListParagraph">
    <w:name w:val="List Paragraph"/>
    <w:basedOn w:val="Normal"/>
    <w:uiPriority w:val="34"/>
    <w:qFormat/>
    <w:rsid w:val="00104859"/>
    <w:pPr>
      <w:ind w:left="720"/>
      <w:contextualSpacing/>
    </w:pPr>
  </w:style>
  <w:style w:type="paragraph" w:customStyle="1" w:styleId="OutlineAEM">
    <w:name w:val="Outline AEM"/>
    <w:basedOn w:val="Outline1"/>
    <w:qFormat/>
    <w:rsid w:val="00104859"/>
    <w:pPr>
      <w:numPr>
        <w:numId w:val="0"/>
      </w:numPr>
    </w:pPr>
  </w:style>
  <w:style w:type="paragraph" w:styleId="Header">
    <w:name w:val="header"/>
    <w:basedOn w:val="Normal"/>
    <w:link w:val="HeaderChar"/>
    <w:uiPriority w:val="99"/>
    <w:unhideWhenUsed/>
    <w:rsid w:val="002B382E"/>
    <w:pPr>
      <w:tabs>
        <w:tab w:val="center" w:pos="4680"/>
        <w:tab w:val="right" w:pos="9360"/>
      </w:tabs>
      <w:spacing w:line="240" w:lineRule="auto"/>
    </w:pPr>
  </w:style>
  <w:style w:type="character" w:customStyle="1" w:styleId="HeaderChar">
    <w:name w:val="Header Char"/>
    <w:basedOn w:val="DefaultParagraphFont"/>
    <w:link w:val="Header"/>
    <w:uiPriority w:val="99"/>
    <w:rsid w:val="002B382E"/>
  </w:style>
  <w:style w:type="paragraph" w:styleId="Footer">
    <w:name w:val="footer"/>
    <w:basedOn w:val="Normal"/>
    <w:link w:val="FooterChar"/>
    <w:uiPriority w:val="99"/>
    <w:unhideWhenUsed/>
    <w:rsid w:val="002B382E"/>
    <w:pPr>
      <w:tabs>
        <w:tab w:val="center" w:pos="4680"/>
        <w:tab w:val="right" w:pos="9360"/>
      </w:tabs>
      <w:spacing w:line="240" w:lineRule="auto"/>
    </w:pPr>
  </w:style>
  <w:style w:type="character" w:customStyle="1" w:styleId="FooterChar">
    <w:name w:val="Footer Char"/>
    <w:basedOn w:val="DefaultParagraphFont"/>
    <w:link w:val="Footer"/>
    <w:uiPriority w:val="99"/>
    <w:rsid w:val="002B382E"/>
  </w:style>
  <w:style w:type="character" w:styleId="PageNumber">
    <w:name w:val="page number"/>
    <w:basedOn w:val="DefaultParagraphFont"/>
    <w:uiPriority w:val="99"/>
    <w:semiHidden/>
    <w:unhideWhenUsed/>
    <w:rsid w:val="002B382E"/>
  </w:style>
  <w:style w:type="paragraph" w:styleId="FootnoteText">
    <w:name w:val="footnote text"/>
    <w:link w:val="FootnoteTextChar"/>
    <w:uiPriority w:val="99"/>
    <w:unhideWhenUsed/>
    <w:rsid w:val="00697145"/>
    <w:pPr>
      <w:spacing w:after="120" w:line="240" w:lineRule="auto"/>
      <w:ind w:firstLine="720"/>
    </w:pPr>
    <w:rPr>
      <w:rFonts w:ascii="Century Schoolbook" w:hAnsi="Century Schoolbook"/>
      <w:szCs w:val="20"/>
    </w:rPr>
  </w:style>
  <w:style w:type="character" w:customStyle="1" w:styleId="FootnoteTextChar">
    <w:name w:val="Footnote Text Char"/>
    <w:basedOn w:val="DefaultParagraphFont"/>
    <w:link w:val="FootnoteText"/>
    <w:uiPriority w:val="99"/>
    <w:rsid w:val="00697145"/>
    <w:rPr>
      <w:rFonts w:ascii="Century Schoolbook" w:hAnsi="Century Schoolbook"/>
      <w:szCs w:val="20"/>
    </w:rPr>
  </w:style>
  <w:style w:type="character" w:styleId="FootnoteReference">
    <w:name w:val="footnote reference"/>
    <w:basedOn w:val="DefaultParagraphFont"/>
    <w:uiPriority w:val="99"/>
    <w:semiHidden/>
    <w:unhideWhenUsed/>
    <w:rsid w:val="00476A49"/>
    <w:rPr>
      <w:b/>
      <w:vertAlign w:val="superscript"/>
    </w:rPr>
  </w:style>
  <w:style w:type="character" w:styleId="Hyperlink">
    <w:name w:val="Hyperlink"/>
    <w:basedOn w:val="DefaultParagraphFont"/>
    <w:uiPriority w:val="99"/>
    <w:unhideWhenUsed/>
    <w:rsid w:val="00B602D9"/>
    <w:rPr>
      <w:color w:val="0000FF" w:themeColor="hyperlink"/>
      <w:u w:val="single"/>
    </w:rPr>
  </w:style>
  <w:style w:type="character" w:customStyle="1" w:styleId="UnresolvedMention">
    <w:name w:val="Unresolved Mention"/>
    <w:basedOn w:val="DefaultParagraphFont"/>
    <w:uiPriority w:val="99"/>
    <w:semiHidden/>
    <w:unhideWhenUsed/>
    <w:rsid w:val="00B602D9"/>
    <w:rPr>
      <w:color w:val="605E5C"/>
      <w:shd w:val="clear" w:color="auto" w:fill="E1DFDD"/>
    </w:rPr>
  </w:style>
  <w:style w:type="paragraph" w:styleId="Revision">
    <w:name w:val="Revision"/>
    <w:hidden/>
    <w:uiPriority w:val="99"/>
    <w:semiHidden/>
    <w:rsid w:val="00D5205D"/>
    <w:pPr>
      <w:spacing w:line="240" w:lineRule="auto"/>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CA36-7920-40C3-8CCE-72957011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5827</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2024-05-28T19:53:49Z</dcterms:created>
  <dcterms:modified xsi:type="dcterms:W3CDTF">2024-05-28T19:53:49Z</dcterms:modified>
</cp:coreProperties>
</file>