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85B6" w14:textId="3E67838F" w:rsidR="000B4AC0" w:rsidRPr="000B4AC0" w:rsidRDefault="000B4AC0" w:rsidP="000B4AC0">
      <w:pPr>
        <w:tabs>
          <w:tab w:val="clear" w:pos="720"/>
        </w:tabs>
        <w:spacing w:line="240" w:lineRule="auto"/>
        <w:rPr>
          <w:bCs/>
          <w:sz w:val="20"/>
          <w:szCs w:val="20"/>
        </w:rPr>
      </w:pPr>
      <w:r>
        <w:rPr>
          <w:bCs/>
          <w:sz w:val="20"/>
          <w:szCs w:val="20"/>
        </w:rPr>
        <w:t>Filed</w:t>
      </w:r>
      <w:r w:rsidR="00BF0750">
        <w:rPr>
          <w:bCs/>
          <w:sz w:val="20"/>
          <w:szCs w:val="20"/>
        </w:rPr>
        <w:t xml:space="preserve"> </w:t>
      </w:r>
      <w:proofErr w:type="gramStart"/>
      <w:r w:rsidR="00BF0750">
        <w:rPr>
          <w:bCs/>
          <w:sz w:val="20"/>
          <w:szCs w:val="20"/>
        </w:rPr>
        <w:t>5/22/24</w:t>
      </w:r>
      <w:proofErr w:type="gramEnd"/>
    </w:p>
    <w:p w14:paraId="62A261D4" w14:textId="7C74F121" w:rsidR="00E9324E" w:rsidRPr="008B5A81" w:rsidRDefault="00E9324E" w:rsidP="00E9324E">
      <w:pPr>
        <w:tabs>
          <w:tab w:val="clear" w:pos="720"/>
        </w:tabs>
        <w:spacing w:line="240" w:lineRule="auto"/>
        <w:jc w:val="center"/>
      </w:pPr>
      <w:r w:rsidRPr="00ED760F">
        <w:rPr>
          <w:b/>
        </w:rPr>
        <w:t>CERTIFIED FOR PARTIAL PUBLICATION</w:t>
      </w:r>
      <w:r w:rsidRPr="00ED760F">
        <w:rPr>
          <w:rStyle w:val="FootnoteReference"/>
          <w:b/>
        </w:rPr>
        <w:footnoteReference w:customMarkFollows="1" w:id="2"/>
        <w:t>*</w:t>
      </w:r>
    </w:p>
    <w:p w14:paraId="0A8FFD20" w14:textId="77777777" w:rsidR="00E9324E" w:rsidRDefault="00E9324E" w:rsidP="00CE288E">
      <w:pPr>
        <w:tabs>
          <w:tab w:val="clear" w:pos="720"/>
        </w:tabs>
        <w:spacing w:line="240" w:lineRule="auto"/>
        <w:jc w:val="center"/>
      </w:pPr>
    </w:p>
    <w:p w14:paraId="51C29916" w14:textId="3480CBB3" w:rsidR="00A2777C" w:rsidRDefault="00A83F6D" w:rsidP="001F1F14">
      <w:pPr>
        <w:spacing w:line="240" w:lineRule="auto"/>
        <w:jc w:val="center"/>
      </w:pPr>
      <w:r>
        <w:t>IN THE COURT OF APPEAL OF THE STATE OF CALIFORNIA</w:t>
      </w:r>
    </w:p>
    <w:p w14:paraId="3177B044" w14:textId="77777777" w:rsidR="00A83F6D" w:rsidRDefault="00A83F6D" w:rsidP="00A83F6D">
      <w:pPr>
        <w:spacing w:line="240" w:lineRule="auto"/>
        <w:jc w:val="center"/>
      </w:pPr>
    </w:p>
    <w:p w14:paraId="57B20149" w14:textId="77777777" w:rsidR="00A83F6D" w:rsidRDefault="00A83F6D" w:rsidP="00A83F6D">
      <w:pPr>
        <w:spacing w:line="240" w:lineRule="auto"/>
        <w:jc w:val="center"/>
      </w:pPr>
      <w:r>
        <w:t>FIRST APPELLATE DISTRICT</w:t>
      </w:r>
    </w:p>
    <w:p w14:paraId="62E82C87" w14:textId="77777777" w:rsidR="00A83F6D" w:rsidRDefault="00A83F6D" w:rsidP="00A83F6D">
      <w:pPr>
        <w:spacing w:line="240" w:lineRule="auto"/>
        <w:jc w:val="center"/>
      </w:pPr>
    </w:p>
    <w:p w14:paraId="00011D2D" w14:textId="77777777" w:rsidR="00A83F6D" w:rsidRDefault="00A83F6D" w:rsidP="00A83F6D">
      <w:pPr>
        <w:spacing w:line="240" w:lineRule="auto"/>
        <w:jc w:val="center"/>
      </w:pPr>
      <w:r>
        <w:t>DIVISION TWO</w:t>
      </w:r>
    </w:p>
    <w:p w14:paraId="45C8EA90" w14:textId="77777777" w:rsidR="00A83F6D" w:rsidRDefault="00A83F6D" w:rsidP="00A83F6D">
      <w:pPr>
        <w:spacing w:line="240" w:lineRule="auto"/>
        <w:jc w:val="center"/>
      </w:pPr>
    </w:p>
    <w:p w14:paraId="47DB7E64" w14:textId="77777777" w:rsidR="00A83F6D" w:rsidRDefault="00A83F6D" w:rsidP="00A83F6D">
      <w:pPr>
        <w:spacing w:line="240" w:lineRule="auto"/>
        <w:jc w:val="center"/>
      </w:pPr>
    </w:p>
    <w:tbl>
      <w:tblPr>
        <w:tblW w:w="0" w:type="auto"/>
        <w:tblLayout w:type="fixed"/>
        <w:tblLook w:val="0000" w:firstRow="0" w:lastRow="0" w:firstColumn="0" w:lastColumn="0" w:noHBand="0" w:noVBand="0"/>
      </w:tblPr>
      <w:tblGrid>
        <w:gridCol w:w="4680"/>
        <w:gridCol w:w="4680"/>
      </w:tblGrid>
      <w:tr w:rsidR="00A83F6D" w14:paraId="33E6C8C6" w14:textId="77777777" w:rsidTr="00A83F6D">
        <w:tc>
          <w:tcPr>
            <w:tcW w:w="4680" w:type="dxa"/>
            <w:tcBorders>
              <w:bottom w:val="single" w:sz="4" w:space="0" w:color="auto"/>
              <w:right w:val="single" w:sz="4" w:space="0" w:color="auto"/>
            </w:tcBorders>
            <w:shd w:val="clear" w:color="auto" w:fill="auto"/>
          </w:tcPr>
          <w:p w14:paraId="4A8C8F21" w14:textId="5D3EF0ED" w:rsidR="00A83F6D" w:rsidRDefault="00AA5DD9" w:rsidP="00A83F6D">
            <w:pPr>
              <w:spacing w:after="120" w:line="240" w:lineRule="auto"/>
            </w:pPr>
            <w:r>
              <w:t>NATHAN K. WILLIAMS</w:t>
            </w:r>
            <w:r w:rsidR="00A83F6D">
              <w:t>,</w:t>
            </w:r>
          </w:p>
          <w:p w14:paraId="0D5BC5CD" w14:textId="1030653E" w:rsidR="00A83F6D" w:rsidRDefault="00A83F6D" w:rsidP="00A83F6D">
            <w:pPr>
              <w:spacing w:after="120" w:line="240" w:lineRule="auto"/>
            </w:pPr>
            <w:r>
              <w:tab/>
              <w:t xml:space="preserve">Plaintiff and </w:t>
            </w:r>
            <w:r w:rsidR="00AA5DD9">
              <w:t>Respondent</w:t>
            </w:r>
            <w:r>
              <w:t>,</w:t>
            </w:r>
          </w:p>
          <w:p w14:paraId="14BFF0AA" w14:textId="77777777" w:rsidR="00A83F6D" w:rsidRDefault="00A83F6D" w:rsidP="00A83F6D">
            <w:pPr>
              <w:spacing w:after="120" w:line="240" w:lineRule="auto"/>
            </w:pPr>
            <w:r>
              <w:t>v.</w:t>
            </w:r>
          </w:p>
          <w:p w14:paraId="22805D29" w14:textId="5FB491D6" w:rsidR="00A83F6D" w:rsidRDefault="00AA5DD9" w:rsidP="00A83F6D">
            <w:pPr>
              <w:spacing w:after="120" w:line="240" w:lineRule="auto"/>
            </w:pPr>
            <w:r>
              <w:t>J-M MANUFACTURING</w:t>
            </w:r>
            <w:r w:rsidR="00A83F6D">
              <w:t xml:space="preserve"> COMPANY,</w:t>
            </w:r>
            <w:r>
              <w:t xml:space="preserve"> INC.,</w:t>
            </w:r>
          </w:p>
          <w:p w14:paraId="3182B899" w14:textId="77777777" w:rsidR="00A83F6D" w:rsidRDefault="00A83F6D" w:rsidP="00A83F6D">
            <w:pPr>
              <w:spacing w:after="120" w:line="240" w:lineRule="auto"/>
            </w:pPr>
            <w:r>
              <w:tab/>
              <w:t>Defendant and Appellant.</w:t>
            </w:r>
          </w:p>
        </w:tc>
        <w:tc>
          <w:tcPr>
            <w:tcW w:w="4680" w:type="dxa"/>
            <w:tcBorders>
              <w:left w:val="single" w:sz="4" w:space="0" w:color="auto"/>
            </w:tcBorders>
            <w:shd w:val="clear" w:color="auto" w:fill="auto"/>
          </w:tcPr>
          <w:p w14:paraId="7EF0A317" w14:textId="77777777" w:rsidR="00A83F6D" w:rsidRDefault="00A83F6D" w:rsidP="00A83F6D">
            <w:pPr>
              <w:spacing w:line="240" w:lineRule="auto"/>
            </w:pPr>
          </w:p>
          <w:p w14:paraId="70AD9D91" w14:textId="311B2E55" w:rsidR="00A83F6D" w:rsidRDefault="00A83F6D" w:rsidP="003A0289">
            <w:pPr>
              <w:spacing w:line="240" w:lineRule="auto"/>
            </w:pPr>
          </w:p>
          <w:p w14:paraId="650EF297" w14:textId="626BDC8F" w:rsidR="00A83F6D" w:rsidRDefault="00A83F6D" w:rsidP="00A83F6D">
            <w:pPr>
              <w:spacing w:line="240" w:lineRule="auto"/>
            </w:pPr>
            <w:r>
              <w:t xml:space="preserve">      A1</w:t>
            </w:r>
            <w:r w:rsidR="00AA5DD9">
              <w:t>62561</w:t>
            </w:r>
            <w:r w:rsidR="007E137C">
              <w:t>,</w:t>
            </w:r>
            <w:r w:rsidR="00AA5DD9">
              <w:t xml:space="preserve"> </w:t>
            </w:r>
            <w:r w:rsidR="00305A04">
              <w:t>A</w:t>
            </w:r>
            <w:r w:rsidR="00AA5DD9">
              <w:t>163492</w:t>
            </w:r>
          </w:p>
          <w:p w14:paraId="1E8E4BDF" w14:textId="77777777" w:rsidR="002C7346" w:rsidRDefault="002C7346" w:rsidP="00A83F6D">
            <w:pPr>
              <w:spacing w:line="240" w:lineRule="auto"/>
            </w:pPr>
          </w:p>
          <w:p w14:paraId="097D6CB7" w14:textId="77777777" w:rsidR="00A83F6D" w:rsidRDefault="00A83F6D" w:rsidP="00A83F6D">
            <w:pPr>
              <w:spacing w:line="240" w:lineRule="auto"/>
            </w:pPr>
            <w:r>
              <w:t xml:space="preserve">      (Alameda County</w:t>
            </w:r>
          </w:p>
          <w:p w14:paraId="2BC06480" w14:textId="7643BD2E" w:rsidR="00A83F6D" w:rsidRDefault="00A83F6D" w:rsidP="00A83F6D">
            <w:pPr>
              <w:spacing w:line="240" w:lineRule="auto"/>
            </w:pPr>
            <w:r>
              <w:t xml:space="preserve">      Super. Ct. No. RG1</w:t>
            </w:r>
            <w:r w:rsidR="00AA5DD9">
              <w:t>9032329</w:t>
            </w:r>
            <w:r>
              <w:t>)</w:t>
            </w:r>
          </w:p>
          <w:p w14:paraId="0EDC48F0" w14:textId="77777777" w:rsidR="00A83F6D" w:rsidRDefault="00A83F6D" w:rsidP="00A83F6D">
            <w:pPr>
              <w:spacing w:line="240" w:lineRule="auto"/>
            </w:pPr>
          </w:p>
        </w:tc>
      </w:tr>
    </w:tbl>
    <w:p w14:paraId="37B12680" w14:textId="77777777" w:rsidR="00A83F6D" w:rsidRDefault="00A83F6D" w:rsidP="00A83F6D">
      <w:pPr>
        <w:spacing w:line="360" w:lineRule="auto"/>
      </w:pPr>
    </w:p>
    <w:p w14:paraId="3AFAF7D2" w14:textId="0FC4263D" w:rsidR="000765A9" w:rsidRDefault="00A83F6D" w:rsidP="00AA5DD9">
      <w:pPr>
        <w:spacing w:line="360" w:lineRule="auto"/>
      </w:pPr>
      <w:r>
        <w:tab/>
      </w:r>
      <w:r w:rsidR="0072317B">
        <w:t xml:space="preserve">Before he died from mesothelioma during the pendency of this appeal, </w:t>
      </w:r>
      <w:r w:rsidR="005E70BA" w:rsidRPr="005E70BA">
        <w:t>Cornelius Williams</w:t>
      </w:r>
      <w:r w:rsidR="0072317B">
        <w:t xml:space="preserve"> filed a complaint for personal injury</w:t>
      </w:r>
      <w:r w:rsidR="00442508">
        <w:t xml:space="preserve"> </w:t>
      </w:r>
      <w:r w:rsidR="0072317B">
        <w:t xml:space="preserve">based on </w:t>
      </w:r>
      <w:r w:rsidR="002A3F8E">
        <w:t xml:space="preserve">his </w:t>
      </w:r>
      <w:r w:rsidR="0072317B">
        <w:t xml:space="preserve">secondary exposure to asbestos from his brother Nathan’s work with asbestos-cement pipe over more than 20 years.  Cornelius and Nathan did not live </w:t>
      </w:r>
      <w:proofErr w:type="gramStart"/>
      <w:r w:rsidR="0072317B">
        <w:t>together, but</w:t>
      </w:r>
      <w:proofErr w:type="gramEnd"/>
      <w:r w:rsidR="0072317B">
        <w:t xml:space="preserve"> had regular close contact during Nathan’s employment.</w:t>
      </w:r>
      <w:r w:rsidR="00173332">
        <w:t xml:space="preserve"> </w:t>
      </w:r>
      <w:r w:rsidR="00755B7C">
        <w:t xml:space="preserve"> </w:t>
      </w:r>
      <w:r w:rsidR="0072317B">
        <w:t xml:space="preserve">One of </w:t>
      </w:r>
      <w:r w:rsidR="002A3F8E">
        <w:t>the entities Cornelius sued</w:t>
      </w:r>
      <w:r w:rsidR="0072317B">
        <w:t xml:space="preserve"> was</w:t>
      </w:r>
      <w:r w:rsidR="007B02CB">
        <w:t xml:space="preserve"> J-M </w:t>
      </w:r>
      <w:r w:rsidR="005E70BA" w:rsidRPr="005E70BA">
        <w:t>Manufacturing Company, Inc. (J-MM)</w:t>
      </w:r>
      <w:r w:rsidR="00F01CEF">
        <w:t>,</w:t>
      </w:r>
      <w:r w:rsidR="0072317B">
        <w:t xml:space="preserve"> a supplier of asbestos-cement pipe </w:t>
      </w:r>
      <w:r w:rsidR="002A0C50">
        <w:t>to</w:t>
      </w:r>
      <w:r w:rsidR="0072317B">
        <w:t xml:space="preserve"> Nathan’s workplaces.</w:t>
      </w:r>
      <w:r w:rsidR="009A0355">
        <w:t xml:space="preserve"> </w:t>
      </w:r>
    </w:p>
    <w:p w14:paraId="221EDCC9" w14:textId="0C72D8AA" w:rsidR="00A83F6D" w:rsidRDefault="00D579ED" w:rsidP="00AA5DD9">
      <w:pPr>
        <w:spacing w:line="360" w:lineRule="auto"/>
      </w:pPr>
      <w:r>
        <w:tab/>
      </w:r>
      <w:r w:rsidR="00A32DDC">
        <w:t xml:space="preserve">Cornelius’s strict liability cause of action, based on theories of design defect and failure to warn, went to verdict.  </w:t>
      </w:r>
      <w:r w:rsidR="00B10930">
        <w:t xml:space="preserve">The </w:t>
      </w:r>
      <w:r w:rsidR="00BB3555">
        <w:t>jury found</w:t>
      </w:r>
      <w:r w:rsidR="00A32DDC">
        <w:t xml:space="preserve"> liability </w:t>
      </w:r>
      <w:r w:rsidR="00462575">
        <w:t>under both theories, concluding</w:t>
      </w:r>
      <w:r w:rsidR="00BB3555">
        <w:t xml:space="preserve"> </w:t>
      </w:r>
      <w:r w:rsidR="00B81DB5">
        <w:t xml:space="preserve">that </w:t>
      </w:r>
      <w:r w:rsidR="00462575">
        <w:t>Cornelius</w:t>
      </w:r>
      <w:r w:rsidR="00BB3555">
        <w:t xml:space="preserve"> </w:t>
      </w:r>
      <w:r w:rsidR="004221E1">
        <w:t xml:space="preserve">had proven he </w:t>
      </w:r>
      <w:r w:rsidR="00BB3555">
        <w:t xml:space="preserve">was exposed </w:t>
      </w:r>
      <w:r w:rsidR="002E53D2">
        <w:t xml:space="preserve">to </w:t>
      </w:r>
      <w:r w:rsidR="002E53D2">
        <w:lastRenderedPageBreak/>
        <w:t xml:space="preserve">asbestos, </w:t>
      </w:r>
      <w:r w:rsidR="005E5BA7">
        <w:t>and</w:t>
      </w:r>
      <w:r w:rsidR="002E53D2">
        <w:t xml:space="preserve"> </w:t>
      </w:r>
      <w:r w:rsidR="004221E1">
        <w:t xml:space="preserve">that </w:t>
      </w:r>
      <w:r w:rsidR="002E53D2">
        <w:t xml:space="preserve">the pipe sold by J-MM was </w:t>
      </w:r>
      <w:r w:rsidR="005E5BA7">
        <w:t xml:space="preserve">a substantial factor </w:t>
      </w:r>
      <w:r w:rsidR="004221E1">
        <w:t xml:space="preserve">in increasing </w:t>
      </w:r>
      <w:r w:rsidR="00B579A5">
        <w:t>his</w:t>
      </w:r>
      <w:r w:rsidR="004221E1">
        <w:t xml:space="preserve"> risk of </w:t>
      </w:r>
      <w:r w:rsidR="00580009">
        <w:t xml:space="preserve">developing </w:t>
      </w:r>
      <w:r w:rsidR="00F02CA8">
        <w:t>cancer</w:t>
      </w:r>
      <w:r w:rsidR="004221E1">
        <w:t>.</w:t>
      </w:r>
      <w:r w:rsidR="001F5268">
        <w:t xml:space="preserve"> </w:t>
      </w:r>
    </w:p>
    <w:p w14:paraId="5C976F4A" w14:textId="1BA376D8" w:rsidR="0015517D" w:rsidRDefault="00BD6B5D" w:rsidP="008F2367">
      <w:pPr>
        <w:keepNext/>
        <w:spacing w:line="360" w:lineRule="auto"/>
      </w:pPr>
      <w:r>
        <w:tab/>
      </w:r>
      <w:r w:rsidR="001F5268">
        <w:t xml:space="preserve">J-MM </w:t>
      </w:r>
      <w:r w:rsidR="00CE19D3">
        <w:t xml:space="preserve">raises three arguments </w:t>
      </w:r>
      <w:r w:rsidR="000F4690">
        <w:t>in this</w:t>
      </w:r>
      <w:r w:rsidR="00CE19D3">
        <w:t xml:space="preserve"> appeal.  First, J-MM argues</w:t>
      </w:r>
      <w:r w:rsidR="0015517D">
        <w:t xml:space="preserve"> </w:t>
      </w:r>
      <w:r w:rsidR="00065620">
        <w:t xml:space="preserve">it </w:t>
      </w:r>
      <w:r w:rsidR="00283F47">
        <w:t>was</w:t>
      </w:r>
      <w:r w:rsidR="00065620">
        <w:t xml:space="preserve"> entitled to judgment </w:t>
      </w:r>
      <w:r w:rsidR="001F602B">
        <w:t>because</w:t>
      </w:r>
      <w:r w:rsidR="009F275D">
        <w:t>, as a matter of law,</w:t>
      </w:r>
      <w:r w:rsidR="001F602B">
        <w:t xml:space="preserve"> </w:t>
      </w:r>
      <w:r w:rsidR="00361BB9">
        <w:t>strict liability</w:t>
      </w:r>
      <w:r w:rsidR="00C93F92">
        <w:t xml:space="preserve"> does not apply </w:t>
      </w:r>
      <w:r w:rsidR="00AD4169">
        <w:t>in favor of</w:t>
      </w:r>
      <w:r w:rsidR="00C93F92">
        <w:t xml:space="preserve"> </w:t>
      </w:r>
      <w:r w:rsidR="00462575">
        <w:t>Cornelius</w:t>
      </w:r>
      <w:r w:rsidR="001F602B">
        <w:t>, a non-household member</w:t>
      </w:r>
      <w:r w:rsidR="00F05A93">
        <w:t xml:space="preserve"> of his brother</w:t>
      </w:r>
      <w:r w:rsidR="001F602B">
        <w:t>, under</w:t>
      </w:r>
      <w:r w:rsidR="00065620">
        <w:t xml:space="preserve"> </w:t>
      </w:r>
      <w:r w:rsidR="00C93F92">
        <w:t xml:space="preserve">our Supreme Court’s </w:t>
      </w:r>
      <w:r w:rsidR="00742A4F">
        <w:t>decision</w:t>
      </w:r>
      <w:r w:rsidR="00C93F92">
        <w:t xml:space="preserve"> in </w:t>
      </w:r>
      <w:proofErr w:type="spellStart"/>
      <w:r w:rsidR="00671E57">
        <w:rPr>
          <w:i/>
          <w:iCs/>
        </w:rPr>
        <w:t>Kesner</w:t>
      </w:r>
      <w:proofErr w:type="spellEnd"/>
      <w:r w:rsidR="00E37C2B">
        <w:rPr>
          <w:i/>
          <w:iCs/>
        </w:rPr>
        <w:t xml:space="preserve"> v. Superior Court </w:t>
      </w:r>
      <w:r w:rsidR="00E37C2B">
        <w:t>(2016) 1 Cal.5th 1132 (</w:t>
      </w:r>
      <w:proofErr w:type="spellStart"/>
      <w:r w:rsidR="00E37C2B">
        <w:rPr>
          <w:i/>
          <w:iCs/>
        </w:rPr>
        <w:t>Kesner</w:t>
      </w:r>
      <w:proofErr w:type="spellEnd"/>
      <w:r w:rsidR="00E37C2B">
        <w:t>)</w:t>
      </w:r>
      <w:r w:rsidR="00CE19D3">
        <w:t xml:space="preserve">. </w:t>
      </w:r>
      <w:r w:rsidR="00755B7C">
        <w:t xml:space="preserve"> </w:t>
      </w:r>
      <w:proofErr w:type="spellStart"/>
      <w:r w:rsidR="00462575" w:rsidRPr="00173332">
        <w:rPr>
          <w:i/>
          <w:iCs/>
        </w:rPr>
        <w:t>Kesner</w:t>
      </w:r>
      <w:proofErr w:type="spellEnd"/>
      <w:r w:rsidR="00462575">
        <w:t>, a negligence case, held that employers and premises owners owe a duty of care to prevent secondary exposure to asbestos</w:t>
      </w:r>
      <w:r w:rsidR="000E07D1">
        <w:t xml:space="preserve"> carried by the bodies and clothing of on-site workers</w:t>
      </w:r>
      <w:r w:rsidR="00462575">
        <w:t>, but that the duty extends only to members of a worker’s household.  (</w:t>
      </w:r>
      <w:r w:rsidR="00462575" w:rsidRPr="00173332">
        <w:rPr>
          <w:i/>
          <w:iCs/>
        </w:rPr>
        <w:t>Id</w:t>
      </w:r>
      <w:r w:rsidR="00462575">
        <w:t xml:space="preserve">. at </w:t>
      </w:r>
      <w:r w:rsidR="00173332">
        <w:t>p.</w:t>
      </w:r>
      <w:r w:rsidR="003D308D">
        <w:t xml:space="preserve"> </w:t>
      </w:r>
      <w:r w:rsidR="00462575">
        <w:t>1140.)</w:t>
      </w:r>
      <w:r w:rsidR="00755B7C">
        <w:t xml:space="preserve">  </w:t>
      </w:r>
      <w:r w:rsidR="000E07D1">
        <w:t xml:space="preserve">J-MM argues that </w:t>
      </w:r>
      <w:proofErr w:type="spellStart"/>
      <w:r w:rsidR="000E07D1" w:rsidRPr="00200CE7">
        <w:rPr>
          <w:i/>
          <w:iCs/>
        </w:rPr>
        <w:t>Kesner’s</w:t>
      </w:r>
      <w:proofErr w:type="spellEnd"/>
      <w:r w:rsidR="000E07D1">
        <w:t xml:space="preserve"> limitation on the duty of care for claims based on negligence should be applied to strict liability claims against suppliers or sellers of asbestos products. </w:t>
      </w:r>
      <w:r w:rsidR="00462575">
        <w:t xml:space="preserve"> </w:t>
      </w:r>
      <w:r w:rsidR="00CE19D3">
        <w:t xml:space="preserve">Second, J-MM argues </w:t>
      </w:r>
      <w:r w:rsidR="00D449A8">
        <w:t xml:space="preserve">the judgment must be reversed because there was no substantial evidence that </w:t>
      </w:r>
      <w:r w:rsidR="0054292E">
        <w:t>Cornelius</w:t>
      </w:r>
      <w:r w:rsidR="00D449A8">
        <w:t xml:space="preserve"> was exposed to </w:t>
      </w:r>
      <w:r w:rsidR="005830FD">
        <w:t>asbestos from pipe</w:t>
      </w:r>
      <w:r w:rsidR="004D6FEB">
        <w:t xml:space="preserve"> </w:t>
      </w:r>
      <w:r w:rsidR="002F11C1">
        <w:t>supplied by</w:t>
      </w:r>
      <w:r w:rsidR="004D6FEB">
        <w:t xml:space="preserve"> </w:t>
      </w:r>
      <w:r w:rsidR="004D6FEB" w:rsidRPr="002C545E">
        <w:t>J-MM</w:t>
      </w:r>
      <w:r w:rsidR="002F11C1" w:rsidRPr="00462575">
        <w:t xml:space="preserve"> </w:t>
      </w:r>
      <w:r w:rsidR="002F11C1">
        <w:t>(</w:t>
      </w:r>
      <w:r w:rsidR="00462575">
        <w:t>rather than</w:t>
      </w:r>
      <w:r w:rsidR="00C15C3E">
        <w:t xml:space="preserve"> </w:t>
      </w:r>
      <w:r w:rsidR="00332C15">
        <w:t>a</w:t>
      </w:r>
      <w:r w:rsidR="00282084">
        <w:t xml:space="preserve">nother </w:t>
      </w:r>
      <w:r w:rsidR="00332C15">
        <w:t>supplier</w:t>
      </w:r>
      <w:r w:rsidR="002F11C1">
        <w:t>)</w:t>
      </w:r>
      <w:r w:rsidR="00CE19D3">
        <w:t xml:space="preserve">. </w:t>
      </w:r>
      <w:r w:rsidR="00755B7C">
        <w:t xml:space="preserve"> </w:t>
      </w:r>
      <w:r w:rsidR="00CE19D3">
        <w:t xml:space="preserve">Third, </w:t>
      </w:r>
      <w:r w:rsidR="009D5585">
        <w:t>J-MM argues</w:t>
      </w:r>
      <w:r w:rsidR="00FE13C9">
        <w:t xml:space="preserve"> in the alternative</w:t>
      </w:r>
      <w:r w:rsidR="009D5585">
        <w:t xml:space="preserve"> that </w:t>
      </w:r>
      <w:r w:rsidR="00FE13C9">
        <w:t xml:space="preserve">even if it is not entitled to a defense judgment, </w:t>
      </w:r>
      <w:r w:rsidR="009D5585">
        <w:t xml:space="preserve">it is </w:t>
      </w:r>
      <w:r w:rsidR="00A51513">
        <w:t>entitled</w:t>
      </w:r>
      <w:r w:rsidR="00787A62">
        <w:t xml:space="preserve"> to a new trial because the court abused its discretion in excluding </w:t>
      </w:r>
      <w:r w:rsidR="00333007">
        <w:t>certain exhibits</w:t>
      </w:r>
      <w:r w:rsidR="00A162E6">
        <w:t xml:space="preserve"> from trial</w:t>
      </w:r>
      <w:r w:rsidR="006707A4">
        <w:t>.</w:t>
      </w:r>
      <w:r w:rsidR="00226B53">
        <w:t xml:space="preserve"> </w:t>
      </w:r>
      <w:r w:rsidR="00755B7C">
        <w:t xml:space="preserve"> </w:t>
      </w:r>
      <w:r w:rsidR="00226B53">
        <w:t>We affirm.</w:t>
      </w:r>
    </w:p>
    <w:p w14:paraId="202F8408" w14:textId="75218048" w:rsidR="00C51984" w:rsidRPr="00A22A7D" w:rsidRDefault="005C02B6" w:rsidP="00A22A7D">
      <w:pPr>
        <w:keepNext/>
        <w:spacing w:line="360" w:lineRule="auto"/>
        <w:jc w:val="center"/>
        <w:rPr>
          <w:b/>
          <w:bCs/>
        </w:rPr>
      </w:pPr>
      <w:r>
        <w:rPr>
          <w:b/>
          <w:bCs/>
        </w:rPr>
        <w:t>BACKGROUND</w:t>
      </w:r>
      <w:r w:rsidR="00C51984">
        <w:tab/>
      </w:r>
    </w:p>
    <w:p w14:paraId="564A8CF4" w14:textId="0F9E3946" w:rsidR="004F7707" w:rsidRPr="00365E7E" w:rsidRDefault="00EA661A" w:rsidP="004C73E7">
      <w:pPr>
        <w:spacing w:line="360" w:lineRule="auto"/>
      </w:pPr>
      <w:r>
        <w:tab/>
      </w:r>
      <w:r w:rsidR="00462575">
        <w:t>Cornelius</w:t>
      </w:r>
      <w:r w:rsidR="00867EA7">
        <w:t xml:space="preserve"> filed a </w:t>
      </w:r>
      <w:r w:rsidR="000F4EBF">
        <w:t>complaint</w:t>
      </w:r>
      <w:r w:rsidR="00C074F4">
        <w:t xml:space="preserve"> for personal injury</w:t>
      </w:r>
      <w:r w:rsidR="00867EA7">
        <w:t xml:space="preserve"> against J</w:t>
      </w:r>
      <w:r w:rsidR="00DD629E">
        <w:t>-M</w:t>
      </w:r>
      <w:r w:rsidR="00816D5D">
        <w:t>M</w:t>
      </w:r>
      <w:r w:rsidR="00DD629E">
        <w:t xml:space="preserve"> and several other defendants.</w:t>
      </w:r>
      <w:r w:rsidR="00A72189">
        <w:t xml:space="preserve"> </w:t>
      </w:r>
      <w:r w:rsidR="00755B7C">
        <w:t xml:space="preserve"> </w:t>
      </w:r>
      <w:r w:rsidR="00C74E65">
        <w:t xml:space="preserve">Among other things, </w:t>
      </w:r>
      <w:r w:rsidR="00462575">
        <w:t>Cornelius</w:t>
      </w:r>
      <w:r w:rsidR="00307958">
        <w:t xml:space="preserve"> </w:t>
      </w:r>
      <w:r w:rsidR="001010CF">
        <w:t xml:space="preserve">asserted causes of action for negligence and strict liability, </w:t>
      </w:r>
      <w:r w:rsidR="00AD7C7C">
        <w:t>alleging</w:t>
      </w:r>
      <w:r w:rsidR="000C3750">
        <w:t xml:space="preserve"> </w:t>
      </w:r>
      <w:r w:rsidR="004B33CB">
        <w:t xml:space="preserve">he had been exposed to asbestos because </w:t>
      </w:r>
      <w:r w:rsidR="004C5D4E">
        <w:t>Nathan</w:t>
      </w:r>
      <w:r w:rsidR="004B33CB">
        <w:t xml:space="preserve"> “frequently and regularly worked with</w:t>
      </w:r>
      <w:r w:rsidR="00F161D7">
        <w:t>” asbestos</w:t>
      </w:r>
      <w:r w:rsidR="009065AA">
        <w:t>-</w:t>
      </w:r>
      <w:r w:rsidR="00F161D7">
        <w:t xml:space="preserve">cement pipe </w:t>
      </w:r>
      <w:r w:rsidR="00992FD4">
        <w:t xml:space="preserve">manufactured, sold, </w:t>
      </w:r>
      <w:r w:rsidR="009065AA">
        <w:t>supplied, and distributed by defendants</w:t>
      </w:r>
      <w:r w:rsidR="00A1097E">
        <w:t xml:space="preserve"> while </w:t>
      </w:r>
      <w:r w:rsidR="002A0C50">
        <w:t xml:space="preserve">he was </w:t>
      </w:r>
      <w:r w:rsidR="00816D5D">
        <w:t>working</w:t>
      </w:r>
      <w:r w:rsidR="008F6543">
        <w:t xml:space="preserve"> </w:t>
      </w:r>
      <w:r w:rsidR="0047048B">
        <w:t>for</w:t>
      </w:r>
      <w:r w:rsidR="007F54B6">
        <w:t xml:space="preserve"> the</w:t>
      </w:r>
      <w:r w:rsidR="008F6543">
        <w:t xml:space="preserve"> East Bay Municipal Utilities District (EBMUD) from 1978 to 198</w:t>
      </w:r>
      <w:r w:rsidR="00564935">
        <w:t>8</w:t>
      </w:r>
      <w:r w:rsidR="008F6543">
        <w:t>, and for Daly City from 1989 to 2011</w:t>
      </w:r>
      <w:r w:rsidR="00307958">
        <w:t xml:space="preserve">. </w:t>
      </w:r>
    </w:p>
    <w:p w14:paraId="79AC8688" w14:textId="0AACC182" w:rsidR="00853765" w:rsidRDefault="004147A0" w:rsidP="004C73E7">
      <w:pPr>
        <w:spacing w:line="360" w:lineRule="auto"/>
      </w:pPr>
      <w:r>
        <w:lastRenderedPageBreak/>
        <w:tab/>
      </w:r>
      <w:r w:rsidR="005D1BDA">
        <w:t xml:space="preserve">The </w:t>
      </w:r>
      <w:r w:rsidR="00606166">
        <w:t xml:space="preserve">negligence and strict liability </w:t>
      </w:r>
      <w:proofErr w:type="gramStart"/>
      <w:r w:rsidR="005A5BBD">
        <w:t>causes</w:t>
      </w:r>
      <w:proofErr w:type="gramEnd"/>
      <w:r w:rsidR="005A5BBD">
        <w:t xml:space="preserve"> of action</w:t>
      </w:r>
      <w:r w:rsidR="005D1BDA">
        <w:t xml:space="preserve"> proceeded to trial </w:t>
      </w:r>
      <w:r w:rsidR="00462575">
        <w:t>against</w:t>
      </w:r>
      <w:r w:rsidR="00C074F4">
        <w:t xml:space="preserve"> only</w:t>
      </w:r>
      <w:r w:rsidR="00AC5EFB">
        <w:t xml:space="preserve"> </w:t>
      </w:r>
      <w:r w:rsidR="008A72C3">
        <w:t xml:space="preserve">two </w:t>
      </w:r>
      <w:r w:rsidR="00A1097E">
        <w:t>defendants</w:t>
      </w:r>
      <w:r w:rsidR="008A72C3">
        <w:t xml:space="preserve">: </w:t>
      </w:r>
      <w:r w:rsidR="0040355A">
        <w:t xml:space="preserve"> </w:t>
      </w:r>
      <w:r w:rsidR="00AC5EFB">
        <w:t xml:space="preserve">J-MM and </w:t>
      </w:r>
      <w:r w:rsidR="00A1097E">
        <w:t xml:space="preserve">A.H. </w:t>
      </w:r>
      <w:r w:rsidR="00AC5EFB">
        <w:t>Voss</w:t>
      </w:r>
      <w:r w:rsidR="00193EA0">
        <w:t xml:space="preserve"> </w:t>
      </w:r>
      <w:r w:rsidR="000130CE">
        <w:t>Company</w:t>
      </w:r>
      <w:r w:rsidR="0029087B">
        <w:t xml:space="preserve"> (Voss)</w:t>
      </w:r>
      <w:r w:rsidR="00AC5EFB">
        <w:t>.</w:t>
      </w:r>
      <w:r w:rsidR="008C1C54">
        <w:t xml:space="preserve"> </w:t>
      </w:r>
      <w:r w:rsidR="00223AEA">
        <w:t xml:space="preserve"> </w:t>
      </w:r>
      <w:r w:rsidR="00665F45">
        <w:t xml:space="preserve">Voss sold asbestos-cement pipe manufactured by Kubota from 1962 to 1975. </w:t>
      </w:r>
      <w:r w:rsidR="00755B7C">
        <w:t xml:space="preserve"> </w:t>
      </w:r>
      <w:r w:rsidR="00223AEA">
        <w:t>J-MM</w:t>
      </w:r>
      <w:r w:rsidR="009334FB">
        <w:t xml:space="preserve"> </w:t>
      </w:r>
      <w:r w:rsidR="002758ED">
        <w:t>sold</w:t>
      </w:r>
      <w:r w:rsidR="00955B15">
        <w:t xml:space="preserve"> asbestos-cement pipe </w:t>
      </w:r>
      <w:r w:rsidR="00AC1100">
        <w:t>from 1983 to 1988</w:t>
      </w:r>
      <w:r w:rsidR="001C1FE5">
        <w:t xml:space="preserve">, after acquiring the assets </w:t>
      </w:r>
      <w:r w:rsidR="00412114">
        <w:t>of</w:t>
      </w:r>
      <w:r w:rsidR="001C1FE5">
        <w:t xml:space="preserve"> Johns-Manville</w:t>
      </w:r>
      <w:r w:rsidR="00412114">
        <w:t>’s domestic asbestos-cement pipe business</w:t>
      </w:r>
      <w:r w:rsidR="00AC1100">
        <w:t>.</w:t>
      </w:r>
      <w:r w:rsidR="003E5452">
        <w:rPr>
          <w:rStyle w:val="FootnoteReference"/>
        </w:rPr>
        <w:footnoteReference w:id="3"/>
      </w:r>
      <w:r w:rsidR="00AC1100">
        <w:t xml:space="preserve"> </w:t>
      </w:r>
    </w:p>
    <w:p w14:paraId="70A83510" w14:textId="3F1BFA0B" w:rsidR="00056489" w:rsidRDefault="001462F7" w:rsidP="00056489">
      <w:pPr>
        <w:spacing w:line="360" w:lineRule="auto"/>
      </w:pPr>
      <w:r>
        <w:tab/>
      </w:r>
      <w:r w:rsidR="004514CA">
        <w:t>A</w:t>
      </w:r>
      <w:r w:rsidR="00593009">
        <w:t>t the close of</w:t>
      </w:r>
      <w:r w:rsidR="004514CA">
        <w:t xml:space="preserve"> presentation of evidence, </w:t>
      </w:r>
      <w:r w:rsidR="0049257D">
        <w:t>J-MM</w:t>
      </w:r>
      <w:r w:rsidR="0066235D">
        <w:t xml:space="preserve"> and Voss</w:t>
      </w:r>
      <w:r w:rsidR="0049257D">
        <w:t xml:space="preserve"> filed motion</w:t>
      </w:r>
      <w:r w:rsidR="0066235D">
        <w:t>s</w:t>
      </w:r>
      <w:r w:rsidR="0049257D">
        <w:t xml:space="preserve"> for directed verdict. </w:t>
      </w:r>
      <w:r w:rsidR="00755B7C">
        <w:t xml:space="preserve"> </w:t>
      </w:r>
      <w:r w:rsidR="00056489">
        <w:t>J-MM asked the trial court to grant a directed verdict on the issue of duty</w:t>
      </w:r>
      <w:r w:rsidR="005C6EAC">
        <w:t>,</w:t>
      </w:r>
      <w:r w:rsidR="00056489">
        <w:t xml:space="preserve"> </w:t>
      </w:r>
      <w:r w:rsidR="005C6EAC">
        <w:t>relying on</w:t>
      </w:r>
      <w:r w:rsidR="00056489">
        <w:t xml:space="preserve"> </w:t>
      </w:r>
      <w:proofErr w:type="spellStart"/>
      <w:r w:rsidR="00056489">
        <w:rPr>
          <w:i/>
          <w:iCs/>
        </w:rPr>
        <w:t>Kesner</w:t>
      </w:r>
      <w:proofErr w:type="spellEnd"/>
      <w:r w:rsidR="00056489">
        <w:t xml:space="preserve">, </w:t>
      </w:r>
      <w:r w:rsidR="005C6EAC">
        <w:t>where the</w:t>
      </w:r>
      <w:r w:rsidR="00056489">
        <w:t xml:space="preserve"> California Supreme Court had limited an employer or property owner’s duty of care for negligence causes of action premised on secondary exposure to asbestos to </w:t>
      </w:r>
      <w:r w:rsidR="00056489" w:rsidRPr="002C545E">
        <w:t>members</w:t>
      </w:r>
      <w:r w:rsidR="00056489">
        <w:t xml:space="preserve"> of an employee’s household.  </w:t>
      </w:r>
      <w:r w:rsidR="005C6EAC">
        <w:t>J-MM</w:t>
      </w:r>
      <w:r w:rsidR="00056489">
        <w:t xml:space="preserve"> </w:t>
      </w:r>
      <w:r w:rsidR="00C10C05">
        <w:t>argued</w:t>
      </w:r>
      <w:r w:rsidR="00056489">
        <w:t xml:space="preserve"> that the trial court should “similarly find that J-MM owes no legal duty” to </w:t>
      </w:r>
      <w:r w:rsidR="00C10C05">
        <w:t>Cornelius</w:t>
      </w:r>
      <w:r w:rsidR="00056489">
        <w:t xml:space="preserve">, </w:t>
      </w:r>
      <w:r w:rsidR="00C10C05">
        <w:t>because</w:t>
      </w:r>
      <w:r w:rsidR="00056489">
        <w:t xml:space="preserve"> he was not a member of </w:t>
      </w:r>
      <w:r w:rsidR="002972F3">
        <w:t xml:space="preserve">Nathan’s </w:t>
      </w:r>
      <w:r w:rsidR="00056489">
        <w:t xml:space="preserve">household during the alleged secondary exposure to asbestos. </w:t>
      </w:r>
    </w:p>
    <w:p w14:paraId="6060A27C" w14:textId="394375CD" w:rsidR="001462F7" w:rsidRPr="00E3711F" w:rsidRDefault="00056489" w:rsidP="00056489">
      <w:pPr>
        <w:spacing w:line="360" w:lineRule="auto"/>
      </w:pPr>
      <w:r>
        <w:tab/>
        <w:t xml:space="preserve">The trial court dismissed the negligence cause of action, but not the strict liability cause of action. </w:t>
      </w:r>
      <w:r w:rsidR="00755B7C">
        <w:t xml:space="preserve"> </w:t>
      </w:r>
      <w:r>
        <w:t>It explained</w:t>
      </w:r>
      <w:proofErr w:type="gramStart"/>
      <w:r>
        <w:t>:  “</w:t>
      </w:r>
      <w:proofErr w:type="gramEnd"/>
      <w:r>
        <w:t xml:space="preserve">With regard to the application of the </w:t>
      </w:r>
      <w:proofErr w:type="spellStart"/>
      <w:r>
        <w:rPr>
          <w:i/>
          <w:iCs/>
        </w:rPr>
        <w:t>Kesner</w:t>
      </w:r>
      <w:proofErr w:type="spellEnd"/>
      <w:r>
        <w:t xml:space="preserve"> case, to this case, the argument does have merit.  But only part of the way home. </w:t>
      </w:r>
      <w:r w:rsidR="003D308D">
        <w:t xml:space="preserve"> </w:t>
      </w:r>
      <w:r>
        <w:t>[¶]</w:t>
      </w:r>
      <w:r w:rsidR="00305A04">
        <w:t> </w:t>
      </w:r>
      <w:r>
        <w:t xml:space="preserve">The </w:t>
      </w:r>
      <w:proofErr w:type="spellStart"/>
      <w:r>
        <w:rPr>
          <w:i/>
          <w:iCs/>
        </w:rPr>
        <w:t>Kesner</w:t>
      </w:r>
      <w:proofErr w:type="spellEnd"/>
      <w:r>
        <w:t xml:space="preserve"> case neither says that it does not apply to product liability cases or to strict liability cases, nor does it say that it does apply to strict liability cases.</w:t>
      </w:r>
      <w:r w:rsidR="005C6EAC">
        <w:t>”</w:t>
      </w:r>
      <w:r>
        <w:t xml:space="preserve"> </w:t>
      </w:r>
    </w:p>
    <w:p w14:paraId="1569C81E" w14:textId="7E5FB99D" w:rsidR="00475671" w:rsidRDefault="007B66B9" w:rsidP="003B0A37">
      <w:pPr>
        <w:spacing w:line="360" w:lineRule="auto"/>
      </w:pPr>
      <w:r>
        <w:tab/>
      </w:r>
      <w:r w:rsidR="000203B3">
        <w:t>T</w:t>
      </w:r>
      <w:r w:rsidR="00C866BC" w:rsidRPr="00C866BC">
        <w:t xml:space="preserve">he jury found </w:t>
      </w:r>
      <w:r w:rsidR="000502E3">
        <w:t xml:space="preserve">in favor of </w:t>
      </w:r>
      <w:r w:rsidR="000203B3">
        <w:t>Cornelius</w:t>
      </w:r>
      <w:r w:rsidR="00C866BC" w:rsidRPr="00C866BC">
        <w:t xml:space="preserve"> on his </w:t>
      </w:r>
      <w:r w:rsidR="00367233">
        <w:t xml:space="preserve">remaining </w:t>
      </w:r>
      <w:r w:rsidR="00C866BC" w:rsidRPr="00C866BC">
        <w:t>strict liability</w:t>
      </w:r>
      <w:r w:rsidR="00872602">
        <w:t xml:space="preserve"> cause of action</w:t>
      </w:r>
      <w:r w:rsidR="005C6EAC">
        <w:t>,</w:t>
      </w:r>
      <w:r w:rsidR="00473A7F">
        <w:t xml:space="preserve"> </w:t>
      </w:r>
      <w:r w:rsidR="00B86E6A" w:rsidRPr="00B86E6A">
        <w:t>award</w:t>
      </w:r>
      <w:r w:rsidR="005C6EAC">
        <w:t>ing</w:t>
      </w:r>
      <w:r w:rsidR="00B86E6A" w:rsidRPr="00B86E6A">
        <w:t xml:space="preserve"> </w:t>
      </w:r>
      <w:r w:rsidR="000203B3">
        <w:t>him</w:t>
      </w:r>
      <w:r w:rsidR="005F5BBD">
        <w:t xml:space="preserve"> </w:t>
      </w:r>
      <w:r w:rsidR="00B86E6A" w:rsidRPr="00B86E6A">
        <w:t xml:space="preserve">$556,700 in economic damages and $2.14 </w:t>
      </w:r>
      <w:r w:rsidR="00B86E6A" w:rsidRPr="00B86E6A">
        <w:lastRenderedPageBreak/>
        <w:t>million in non</w:t>
      </w:r>
      <w:r w:rsidR="00BD05B8">
        <w:t>-</w:t>
      </w:r>
      <w:r w:rsidR="00B86E6A" w:rsidRPr="00B86E6A">
        <w:t>economic damages</w:t>
      </w:r>
      <w:r w:rsidR="007E7772">
        <w:t>.</w:t>
      </w:r>
      <w:r w:rsidR="009C4A70">
        <w:t xml:space="preserve"> </w:t>
      </w:r>
      <w:r w:rsidR="00755B7C">
        <w:t xml:space="preserve"> </w:t>
      </w:r>
      <w:r w:rsidR="002C5DE4">
        <w:t>It</w:t>
      </w:r>
      <w:r w:rsidR="009C4A70">
        <w:t xml:space="preserve"> </w:t>
      </w:r>
      <w:r w:rsidR="00B86E6A" w:rsidRPr="00B86E6A">
        <w:t>apportioned 50</w:t>
      </w:r>
      <w:r w:rsidR="00305A04">
        <w:t xml:space="preserve"> percent</w:t>
      </w:r>
      <w:r w:rsidR="003929BA" w:rsidRPr="003929BA">
        <w:t xml:space="preserve"> </w:t>
      </w:r>
      <w:r w:rsidR="003929BA">
        <w:t>responsibility</w:t>
      </w:r>
      <w:r w:rsidR="00B86E6A" w:rsidRPr="00B86E6A">
        <w:t xml:space="preserve"> to J-MM, 20</w:t>
      </w:r>
      <w:r w:rsidR="00305A04">
        <w:t xml:space="preserve"> percent</w:t>
      </w:r>
      <w:r w:rsidR="00B86E6A" w:rsidRPr="00B86E6A">
        <w:t xml:space="preserve"> to Voss, </w:t>
      </w:r>
      <w:r w:rsidR="00EA6CE3">
        <w:t>10</w:t>
      </w:r>
      <w:r w:rsidR="00305A04">
        <w:t xml:space="preserve"> per</w:t>
      </w:r>
      <w:r w:rsidR="00200CE7">
        <w:t>c</w:t>
      </w:r>
      <w:r w:rsidR="00305A04">
        <w:t>ent</w:t>
      </w:r>
      <w:r w:rsidR="00EA6CE3">
        <w:t xml:space="preserve"> to Johns-Manville, </w:t>
      </w:r>
      <w:r w:rsidR="00B86E6A" w:rsidRPr="00B86E6A">
        <w:t xml:space="preserve">and </w:t>
      </w:r>
      <w:r w:rsidR="00EA6CE3">
        <w:t>2</w:t>
      </w:r>
      <w:r w:rsidR="00B86E6A" w:rsidRPr="00B86E6A">
        <w:t>0</w:t>
      </w:r>
      <w:r w:rsidR="00305A04">
        <w:t xml:space="preserve"> percent</w:t>
      </w:r>
      <w:r w:rsidR="00B86E6A" w:rsidRPr="00B86E6A">
        <w:t xml:space="preserve"> to </w:t>
      </w:r>
      <w:r w:rsidR="00CB5221">
        <w:t>other manufacturers</w:t>
      </w:r>
      <w:r w:rsidR="00B86E6A" w:rsidRPr="00B86E6A">
        <w:t xml:space="preserve">. </w:t>
      </w:r>
    </w:p>
    <w:p w14:paraId="0C0F9D7D" w14:textId="3960AFF3" w:rsidR="00107F82" w:rsidRDefault="00A179FD" w:rsidP="00A83F6D">
      <w:pPr>
        <w:spacing w:line="360" w:lineRule="auto"/>
      </w:pPr>
      <w:r>
        <w:tab/>
      </w:r>
      <w:r w:rsidR="00EA6CE3" w:rsidRPr="00EA6CE3">
        <w:t>J-MM</w:t>
      </w:r>
      <w:r w:rsidR="00EA6CE3">
        <w:t xml:space="preserve"> </w:t>
      </w:r>
      <w:r w:rsidR="00EA6CE3" w:rsidRPr="00EA6CE3">
        <w:t xml:space="preserve">moved for judgment notwithstanding the verdict </w:t>
      </w:r>
      <w:r w:rsidR="00326D68">
        <w:t xml:space="preserve">(JNOV) </w:t>
      </w:r>
      <w:r w:rsidR="00EA6CE3" w:rsidRPr="00EA6CE3">
        <w:t>and, in the alternative, for a new trial</w:t>
      </w:r>
      <w:r w:rsidR="000116C5">
        <w:t>,</w:t>
      </w:r>
      <w:r w:rsidR="00BC3335">
        <w:t xml:space="preserve"> </w:t>
      </w:r>
      <w:r w:rsidR="000116C5">
        <w:t xml:space="preserve">arguing that the trial court erred in its interpretation and application of </w:t>
      </w:r>
      <w:proofErr w:type="spellStart"/>
      <w:r w:rsidR="000116C5">
        <w:rPr>
          <w:i/>
          <w:iCs/>
        </w:rPr>
        <w:t>Kesner</w:t>
      </w:r>
      <w:proofErr w:type="spellEnd"/>
      <w:r w:rsidR="000116C5">
        <w:t xml:space="preserve"> to preclude only the negligence cause of action</w:t>
      </w:r>
      <w:r w:rsidR="002C5DE4">
        <w:t>.</w:t>
      </w:r>
      <w:r w:rsidR="00E00430">
        <w:t xml:space="preserve"> </w:t>
      </w:r>
      <w:r w:rsidR="00BC3335">
        <w:t xml:space="preserve"> </w:t>
      </w:r>
      <w:r w:rsidR="0068257A">
        <w:t xml:space="preserve">The motion was denied. </w:t>
      </w:r>
      <w:r w:rsidR="00755B7C">
        <w:t xml:space="preserve"> </w:t>
      </w:r>
      <w:r w:rsidR="00095344">
        <w:t xml:space="preserve">J-MM also moved to tax costs claimed by </w:t>
      </w:r>
      <w:r w:rsidR="0054292E">
        <w:t>Cornelius</w:t>
      </w:r>
      <w:r w:rsidR="00095344">
        <w:t xml:space="preserve">. </w:t>
      </w:r>
    </w:p>
    <w:p w14:paraId="6290A752" w14:textId="33695E5F" w:rsidR="00B03F87" w:rsidRDefault="00107F82" w:rsidP="00A83F6D">
      <w:pPr>
        <w:spacing w:line="360" w:lineRule="auto"/>
      </w:pPr>
      <w:r>
        <w:tab/>
      </w:r>
      <w:r w:rsidR="001A06F4">
        <w:t>J-M</w:t>
      </w:r>
      <w:r w:rsidR="00475671">
        <w:t>M</w:t>
      </w:r>
      <w:r w:rsidR="00FE34D6">
        <w:t xml:space="preserve"> </w:t>
      </w:r>
      <w:r w:rsidR="00455C77">
        <w:t>appealed</w:t>
      </w:r>
      <w:r w:rsidR="00FE34D6">
        <w:t xml:space="preserve"> from </w:t>
      </w:r>
      <w:r w:rsidR="00882D83">
        <w:t xml:space="preserve">the judgment and order denying its </w:t>
      </w:r>
      <w:r w:rsidR="00202DFD">
        <w:t>motion for</w:t>
      </w:r>
      <w:r w:rsidR="00BC23E3">
        <w:t xml:space="preserve"> JNOV</w:t>
      </w:r>
      <w:r w:rsidR="00B33084">
        <w:t>, as well as</w:t>
      </w:r>
      <w:r>
        <w:t xml:space="preserve"> </w:t>
      </w:r>
      <w:r w:rsidR="00AA3DCB">
        <w:t>the order on its motion to tax costs</w:t>
      </w:r>
      <w:r w:rsidR="00882D83">
        <w:t>.</w:t>
      </w:r>
      <w:r w:rsidR="00DB456D">
        <w:t xml:space="preserve"> </w:t>
      </w:r>
      <w:r w:rsidR="00522EAD">
        <w:t xml:space="preserve"> </w:t>
      </w:r>
      <w:r w:rsidR="004A1754">
        <w:t>The appeals were consolidated.</w:t>
      </w:r>
      <w:r w:rsidR="000203B3">
        <w:rPr>
          <w:rStyle w:val="FootnoteReference"/>
        </w:rPr>
        <w:footnoteReference w:id="4"/>
      </w:r>
      <w:r w:rsidR="004A1754">
        <w:t xml:space="preserve">  </w:t>
      </w:r>
      <w:r w:rsidR="00522EAD">
        <w:t>Voss also appealed</w:t>
      </w:r>
      <w:r w:rsidR="00F708CF">
        <w:t xml:space="preserve">, but </w:t>
      </w:r>
      <w:r w:rsidR="005A3D33">
        <w:t xml:space="preserve">subsequently </w:t>
      </w:r>
      <w:r w:rsidR="00BC20DF">
        <w:t xml:space="preserve">notified this court that </w:t>
      </w:r>
      <w:r w:rsidR="002E2A57">
        <w:t>the parties were settling</w:t>
      </w:r>
      <w:r w:rsidR="00A36D06">
        <w:t xml:space="preserve"> the matter</w:t>
      </w:r>
      <w:r w:rsidR="002E2A57">
        <w:t xml:space="preserve"> </w:t>
      </w:r>
      <w:proofErr w:type="gramStart"/>
      <w:r w:rsidR="00BC20DF">
        <w:t>and  abandon</w:t>
      </w:r>
      <w:r w:rsidR="002C5DE4">
        <w:t>ed</w:t>
      </w:r>
      <w:proofErr w:type="gramEnd"/>
      <w:r w:rsidR="00E00430">
        <w:t xml:space="preserve"> </w:t>
      </w:r>
      <w:r w:rsidR="002C5DE4">
        <w:t>the</w:t>
      </w:r>
      <w:r w:rsidR="00BC20DF">
        <w:t xml:space="preserve"> appeal</w:t>
      </w:r>
      <w:r w:rsidR="005A3D33">
        <w:t xml:space="preserve">. </w:t>
      </w:r>
      <w:r w:rsidR="0027314D">
        <w:t xml:space="preserve"> After Cornelius’s death, Nathan was substituted as his successor-in-interest.  </w:t>
      </w:r>
    </w:p>
    <w:p w14:paraId="719354BC" w14:textId="77777777" w:rsidR="005C02B6" w:rsidRPr="005C02B6" w:rsidRDefault="005C02B6" w:rsidP="0078056F">
      <w:pPr>
        <w:keepNext/>
        <w:spacing w:line="360" w:lineRule="auto"/>
        <w:jc w:val="center"/>
        <w:rPr>
          <w:b/>
          <w:bCs/>
        </w:rPr>
      </w:pPr>
      <w:r>
        <w:rPr>
          <w:b/>
          <w:bCs/>
        </w:rPr>
        <w:t>DISCUSSION</w:t>
      </w:r>
    </w:p>
    <w:p w14:paraId="3C26A676" w14:textId="074EED0F" w:rsidR="005C02B6" w:rsidRDefault="00C06F16" w:rsidP="00A83F6D">
      <w:pPr>
        <w:spacing w:line="360" w:lineRule="auto"/>
      </w:pPr>
      <w:r>
        <w:tab/>
      </w:r>
      <w:r w:rsidR="00766102">
        <w:t xml:space="preserve">J-MM </w:t>
      </w:r>
      <w:r w:rsidR="004045AD">
        <w:t>challenges</w:t>
      </w:r>
      <w:r w:rsidR="00E42826">
        <w:t xml:space="preserve"> the judgment</w:t>
      </w:r>
      <w:r w:rsidR="00CD1713">
        <w:t xml:space="preserve"> </w:t>
      </w:r>
      <w:r w:rsidR="00B82424">
        <w:t xml:space="preserve">on </w:t>
      </w:r>
      <w:r w:rsidR="0054292E">
        <w:t xml:space="preserve">Cornelius’s </w:t>
      </w:r>
      <w:r w:rsidR="00B82424">
        <w:t xml:space="preserve">strict liability cause of action </w:t>
      </w:r>
      <w:r w:rsidR="00CD1713">
        <w:t xml:space="preserve">in three respects.  </w:t>
      </w:r>
      <w:r w:rsidR="00E741BB">
        <w:t xml:space="preserve">J-MM </w:t>
      </w:r>
      <w:r w:rsidR="002B3D75">
        <w:t>argues that</w:t>
      </w:r>
      <w:r w:rsidR="00FC3A23">
        <w:t xml:space="preserve"> (1)</w:t>
      </w:r>
      <w:r w:rsidR="00766102">
        <w:t xml:space="preserve"> </w:t>
      </w:r>
      <w:r w:rsidR="00397E5E">
        <w:t>judgment must be entered in its favor</w:t>
      </w:r>
      <w:r w:rsidR="00E953F1">
        <w:t xml:space="preserve"> because</w:t>
      </w:r>
      <w:r w:rsidR="00F6718C">
        <w:t>,</w:t>
      </w:r>
      <w:r w:rsidR="00E953F1">
        <w:t xml:space="preserve"> </w:t>
      </w:r>
      <w:r w:rsidR="001B49C3">
        <w:t xml:space="preserve">under </w:t>
      </w:r>
      <w:proofErr w:type="spellStart"/>
      <w:r w:rsidR="001B49C3" w:rsidRPr="001B49C3">
        <w:rPr>
          <w:i/>
          <w:iCs/>
        </w:rPr>
        <w:t>Kesner</w:t>
      </w:r>
      <w:proofErr w:type="spellEnd"/>
      <w:r w:rsidR="001B49C3">
        <w:t xml:space="preserve">, </w:t>
      </w:r>
      <w:r w:rsidR="00E953F1" w:rsidRPr="001B49C3">
        <w:t>strict</w:t>
      </w:r>
      <w:r w:rsidR="00E953F1">
        <w:t xml:space="preserve"> liability does not apply to </w:t>
      </w:r>
      <w:r w:rsidR="00EF0641">
        <w:t>Cornelius</w:t>
      </w:r>
      <w:r w:rsidR="00720CFA">
        <w:t>; (2)</w:t>
      </w:r>
      <w:r w:rsidR="005579F6">
        <w:t xml:space="preserve"> </w:t>
      </w:r>
      <w:r w:rsidR="00766102">
        <w:t xml:space="preserve">the judgment must be reversed </w:t>
      </w:r>
      <w:r w:rsidR="00423888">
        <w:t>for lack of</w:t>
      </w:r>
      <w:r w:rsidR="00766102">
        <w:t xml:space="preserve"> substantial evidence</w:t>
      </w:r>
      <w:r w:rsidR="00423888">
        <w:t xml:space="preserve">; or (3) </w:t>
      </w:r>
      <w:r w:rsidR="00766102">
        <w:t xml:space="preserve">a new trial </w:t>
      </w:r>
      <w:r w:rsidR="0014771C">
        <w:t xml:space="preserve">is necessary </w:t>
      </w:r>
      <w:r w:rsidR="00C93FA4">
        <w:t>because the trial court</w:t>
      </w:r>
      <w:r w:rsidR="0014771C">
        <w:t xml:space="preserve"> abuse</w:t>
      </w:r>
      <w:r w:rsidR="00C93FA4">
        <w:t>d</w:t>
      </w:r>
      <w:r w:rsidR="0014771C">
        <w:t xml:space="preserve"> </w:t>
      </w:r>
      <w:r w:rsidR="00C93FA4">
        <w:t>its</w:t>
      </w:r>
      <w:r w:rsidR="0014771C">
        <w:t xml:space="preserve"> discretion</w:t>
      </w:r>
      <w:r w:rsidR="00C93FA4">
        <w:t xml:space="preserve"> on certain evidentiary rulings</w:t>
      </w:r>
      <w:r w:rsidR="00766102">
        <w:t xml:space="preserve">. </w:t>
      </w:r>
      <w:r w:rsidR="00755B7C">
        <w:t xml:space="preserve"> </w:t>
      </w:r>
      <w:r w:rsidR="00766102">
        <w:t xml:space="preserve">We </w:t>
      </w:r>
      <w:r w:rsidR="0058646B">
        <w:t>address, and reject, each argument in turn.</w:t>
      </w:r>
    </w:p>
    <w:p w14:paraId="6AFB0A5F" w14:textId="47E418AF" w:rsidR="00F6718C" w:rsidRPr="004534D3" w:rsidRDefault="004534D3" w:rsidP="004534D3">
      <w:pPr>
        <w:keepNext/>
        <w:spacing w:line="360" w:lineRule="auto"/>
        <w:jc w:val="center"/>
        <w:rPr>
          <w:b/>
          <w:bCs/>
        </w:rPr>
      </w:pPr>
      <w:r w:rsidRPr="004534D3">
        <w:rPr>
          <w:b/>
          <w:bCs/>
        </w:rPr>
        <w:lastRenderedPageBreak/>
        <w:t xml:space="preserve">I. </w:t>
      </w:r>
      <w:r w:rsidR="001A06F4" w:rsidRPr="004534D3">
        <w:rPr>
          <w:b/>
          <w:bCs/>
        </w:rPr>
        <w:t>Strict Liabilit</w:t>
      </w:r>
      <w:r w:rsidR="00F612CD" w:rsidRPr="004534D3">
        <w:rPr>
          <w:b/>
          <w:bCs/>
        </w:rPr>
        <w:t>y</w:t>
      </w:r>
    </w:p>
    <w:p w14:paraId="09F69B5E" w14:textId="1A3E48D6" w:rsidR="008B2302" w:rsidRPr="004534D3" w:rsidRDefault="004534D3" w:rsidP="00B6599D">
      <w:pPr>
        <w:keepNext/>
        <w:spacing w:line="360" w:lineRule="auto"/>
        <w:rPr>
          <w:b/>
          <w:bCs/>
          <w:i/>
          <w:iCs/>
        </w:rPr>
      </w:pPr>
      <w:r>
        <w:tab/>
      </w:r>
      <w:r w:rsidRPr="004534D3">
        <w:rPr>
          <w:b/>
          <w:bCs/>
        </w:rPr>
        <w:t xml:space="preserve">A.  </w:t>
      </w:r>
      <w:r w:rsidR="00545597" w:rsidRPr="004534D3">
        <w:rPr>
          <w:b/>
          <w:bCs/>
          <w:i/>
          <w:iCs/>
        </w:rPr>
        <w:t>Framework</w:t>
      </w:r>
      <w:r w:rsidR="0060395C" w:rsidRPr="004534D3">
        <w:rPr>
          <w:b/>
          <w:bCs/>
          <w:i/>
          <w:iCs/>
        </w:rPr>
        <w:t xml:space="preserve"> and Standard of Review</w:t>
      </w:r>
    </w:p>
    <w:p w14:paraId="1DABB738" w14:textId="1306B58D" w:rsidR="00AE0D38" w:rsidRDefault="00A25B2A" w:rsidP="0078740C">
      <w:pPr>
        <w:spacing w:line="360" w:lineRule="auto"/>
      </w:pPr>
      <w:r>
        <w:tab/>
      </w:r>
      <w:r w:rsidR="00504E08">
        <w:t xml:space="preserve">We begin with the general framework for </w:t>
      </w:r>
      <w:r w:rsidR="00BA58CB">
        <w:t xml:space="preserve">understanding </w:t>
      </w:r>
      <w:r w:rsidR="0054292E">
        <w:t>Cornelius’s</w:t>
      </w:r>
      <w:r w:rsidR="008E4641" w:rsidRPr="008E4641">
        <w:t xml:space="preserve"> </w:t>
      </w:r>
      <w:r w:rsidR="008E4641">
        <w:t>strict liability cause of action</w:t>
      </w:r>
      <w:r w:rsidR="006955B9">
        <w:t xml:space="preserve"> and the </w:t>
      </w:r>
      <w:r w:rsidR="003407EC">
        <w:t xml:space="preserve">legal </w:t>
      </w:r>
      <w:r w:rsidR="006955B9">
        <w:t xml:space="preserve">question presented </w:t>
      </w:r>
      <w:r w:rsidR="00FE2AE6">
        <w:t>in this appeal</w:t>
      </w:r>
      <w:r w:rsidR="00504E08">
        <w:t xml:space="preserve">.  </w:t>
      </w:r>
      <w:r w:rsidR="0029353D">
        <w:t xml:space="preserve">California law recognizes </w:t>
      </w:r>
      <w:r w:rsidR="00FE7A6F">
        <w:t>strict liability</w:t>
      </w:r>
      <w:r w:rsidR="00C61E18">
        <w:t xml:space="preserve"> as a</w:t>
      </w:r>
      <w:r w:rsidR="00FE7A6F">
        <w:t xml:space="preserve"> theor</w:t>
      </w:r>
      <w:r w:rsidR="00C61E18">
        <w:t>y under which plaintiffs may claim they were harmed by a defective product</w:t>
      </w:r>
      <w:r w:rsidR="0029353D">
        <w:t>.</w:t>
      </w:r>
      <w:r w:rsidR="00FE7A6F">
        <w:t xml:space="preserve"> </w:t>
      </w:r>
      <w:r w:rsidR="0029353D">
        <w:t xml:space="preserve"> </w:t>
      </w:r>
      <w:r w:rsidR="00FE7A6F">
        <w:t>(</w:t>
      </w:r>
      <w:r w:rsidR="00FE7A6F" w:rsidRPr="00762EF2">
        <w:rPr>
          <w:i/>
          <w:iCs/>
        </w:rPr>
        <w:t>Webb</w:t>
      </w:r>
      <w:r w:rsidR="00115E06">
        <w:rPr>
          <w:i/>
          <w:iCs/>
        </w:rPr>
        <w:t xml:space="preserve"> v. Superior Court </w:t>
      </w:r>
      <w:r w:rsidR="00115E06">
        <w:t xml:space="preserve">(2016) </w:t>
      </w:r>
      <w:r w:rsidR="00FE7A6F">
        <w:t xml:space="preserve">63 Cal.4th </w:t>
      </w:r>
      <w:r w:rsidR="00115E06">
        <w:t>167,</w:t>
      </w:r>
      <w:r w:rsidR="00305A04">
        <w:t xml:space="preserve"> </w:t>
      </w:r>
      <w:r w:rsidR="0029353D">
        <w:t>181.</w:t>
      </w:r>
      <w:r w:rsidR="00FE7A6F">
        <w:t>)</w:t>
      </w:r>
      <w:r w:rsidR="0006720B">
        <w:t xml:space="preserve">  </w:t>
      </w:r>
      <w:r w:rsidR="008F740E">
        <w:t xml:space="preserve">Strict </w:t>
      </w:r>
      <w:r w:rsidR="00EF7320">
        <w:t xml:space="preserve">liability can be asserted </w:t>
      </w:r>
      <w:r w:rsidR="00C23A40">
        <w:t>not only against the manufacturer of</w:t>
      </w:r>
      <w:r w:rsidR="00C35B8B">
        <w:t xml:space="preserve"> defective products</w:t>
      </w:r>
      <w:r w:rsidR="00C23A40">
        <w:t xml:space="preserve">, but also </w:t>
      </w:r>
      <w:r w:rsidR="00A73BBD">
        <w:t>against</w:t>
      </w:r>
      <w:r w:rsidR="00C23A40">
        <w:t xml:space="preserve"> distribut</w:t>
      </w:r>
      <w:r w:rsidR="00A73BBD">
        <w:t>ors</w:t>
      </w:r>
      <w:r w:rsidR="00C23A40">
        <w:t xml:space="preserve"> or </w:t>
      </w:r>
      <w:r w:rsidR="00B504E2">
        <w:t>sell</w:t>
      </w:r>
      <w:r w:rsidR="00A73BBD">
        <w:t>ers of defective</w:t>
      </w:r>
      <w:r w:rsidR="00C23A40">
        <w:t xml:space="preserve"> products</w:t>
      </w:r>
      <w:r w:rsidR="002F78E2">
        <w:t>.  (</w:t>
      </w:r>
      <w:r w:rsidR="008F740E">
        <w:rPr>
          <w:i/>
          <w:iCs/>
        </w:rPr>
        <w:t>O’Neil v. Crane Co.</w:t>
      </w:r>
      <w:r w:rsidR="008F740E">
        <w:t xml:space="preserve"> (2012) </w:t>
      </w:r>
      <w:r w:rsidR="00ED0B4C">
        <w:t>53 Cal.4th 335, 342</w:t>
      </w:r>
      <w:r w:rsidR="005113FF">
        <w:t xml:space="preserve"> </w:t>
      </w:r>
      <w:r w:rsidR="00ED0B4C">
        <w:t>[“</w:t>
      </w:r>
      <w:r w:rsidR="002F78E2" w:rsidRPr="002F78E2">
        <w:t>California law has long provided that manufacturers, distributors, and retailers have a duty to ensure the safety of their products and will be held strictly liable for injuries caused by a defect in their products</w:t>
      </w:r>
      <w:r w:rsidR="00ED0B4C">
        <w:t>”].</w:t>
      </w:r>
      <w:r w:rsidR="002F78E2">
        <w:t xml:space="preserve">)  </w:t>
      </w:r>
      <w:r w:rsidR="003B78F7">
        <w:t xml:space="preserve">Here, </w:t>
      </w:r>
      <w:r w:rsidR="00A73BBD">
        <w:t>Cornelius</w:t>
      </w:r>
      <w:r w:rsidR="003B78F7">
        <w:t xml:space="preserve"> asserted a</w:t>
      </w:r>
      <w:r w:rsidR="00232EF9">
        <w:t xml:space="preserve"> strict liability cause of action </w:t>
      </w:r>
      <w:r w:rsidR="00D83658">
        <w:t xml:space="preserve">against J-MM </w:t>
      </w:r>
      <w:r w:rsidR="0024656F">
        <w:t>for selling asbestos-cement pipe</w:t>
      </w:r>
      <w:r w:rsidR="00AE0D38">
        <w:t>.</w:t>
      </w:r>
      <w:r w:rsidR="00C00645" w:rsidRPr="00C00645">
        <w:t xml:space="preserve"> </w:t>
      </w:r>
    </w:p>
    <w:p w14:paraId="591AB5E6" w14:textId="036F92EE" w:rsidR="00232EF9" w:rsidRDefault="00AE0D38" w:rsidP="0078740C">
      <w:pPr>
        <w:spacing w:line="360" w:lineRule="auto"/>
      </w:pPr>
      <w:r>
        <w:tab/>
        <w:t>Strict liability may be invoked to allege three types of product defects</w:t>
      </w:r>
      <w:proofErr w:type="gramStart"/>
      <w:r>
        <w:t>:  (</w:t>
      </w:r>
      <w:proofErr w:type="gramEnd"/>
      <w:r>
        <w:t>1)</w:t>
      </w:r>
      <w:r w:rsidR="00305A04">
        <w:t xml:space="preserve"> </w:t>
      </w:r>
      <w:r>
        <w:t>manufacturing defects, (2)</w:t>
      </w:r>
      <w:r w:rsidR="00305A04">
        <w:t xml:space="preserve"> </w:t>
      </w:r>
      <w:r>
        <w:t>design defects, and (3) warning defects.  (</w:t>
      </w:r>
      <w:r w:rsidR="00EB0733" w:rsidRPr="00762EF2">
        <w:rPr>
          <w:i/>
          <w:iCs/>
        </w:rPr>
        <w:t>Webb</w:t>
      </w:r>
      <w:r w:rsidR="00EB0733">
        <w:t xml:space="preserve">, </w:t>
      </w:r>
      <w:r w:rsidR="00EB0733" w:rsidRPr="000C566E">
        <w:rPr>
          <w:i/>
          <w:iCs/>
        </w:rPr>
        <w:t>supra</w:t>
      </w:r>
      <w:r w:rsidR="00EB0733">
        <w:t>, 63 Cal.4th a</w:t>
      </w:r>
      <w:r>
        <w:t>t p.</w:t>
      </w:r>
      <w:r w:rsidR="00305A04">
        <w:t xml:space="preserve"> </w:t>
      </w:r>
      <w:r>
        <w:t>180.)  “</w:t>
      </w:r>
      <w:r w:rsidRPr="00A925E6">
        <w:t>Manufacturing defects can arise, for example, when a flaw in the manufacturing process creates a product that differs from what the manufacturer intended</w:t>
      </w:r>
      <w:r>
        <w:t>.”  (</w:t>
      </w:r>
      <w:r>
        <w:rPr>
          <w:i/>
          <w:iCs/>
        </w:rPr>
        <w:t>Ibid.</w:t>
      </w:r>
      <w:r>
        <w:t>)  “</w:t>
      </w:r>
      <w:r w:rsidRPr="00A8708E">
        <w:t>Design defects appear in products that, although properly manufactured, are dangerous because they lack a critical feature needed to ensure safe use</w:t>
      </w:r>
      <w:r>
        <w:t>.”  (</w:t>
      </w:r>
      <w:r>
        <w:rPr>
          <w:i/>
          <w:iCs/>
        </w:rPr>
        <w:t>Ibid.</w:t>
      </w:r>
      <w:r>
        <w:t xml:space="preserve">)  Warning defects render a product </w:t>
      </w:r>
      <w:proofErr w:type="gramStart"/>
      <w:r>
        <w:t>“ ‘</w:t>
      </w:r>
      <w:proofErr w:type="gramEnd"/>
      <w:r>
        <w:t>dangerous because it lacks adequate warnings or instructions.’ ”  (</w:t>
      </w:r>
      <w:r>
        <w:rPr>
          <w:i/>
          <w:iCs/>
        </w:rPr>
        <w:t>Ibid.</w:t>
      </w:r>
      <w:r>
        <w:t>)</w:t>
      </w:r>
      <w:r w:rsidR="00C00645">
        <w:t xml:space="preserve">  </w:t>
      </w:r>
      <w:r w:rsidR="00CD296E">
        <w:t>Plaintiffs alleging product liability claims “often allege both design and warning defects.”</w:t>
      </w:r>
      <w:r w:rsidR="00CD296E" w:rsidRPr="00CD296E">
        <w:t xml:space="preserve"> </w:t>
      </w:r>
      <w:r w:rsidR="00CD296E">
        <w:t xml:space="preserve"> (</w:t>
      </w:r>
      <w:r w:rsidR="000300F0">
        <w:rPr>
          <w:i/>
          <w:iCs/>
        </w:rPr>
        <w:t>Id.</w:t>
      </w:r>
      <w:r w:rsidR="00CD296E">
        <w:t xml:space="preserve"> at p. 181.)</w:t>
      </w:r>
      <w:r w:rsidR="00E907FD">
        <w:t xml:space="preserve">  </w:t>
      </w:r>
      <w:r w:rsidR="002C5DE4">
        <w:t>That is what happened i</w:t>
      </w:r>
      <w:r w:rsidR="00101AE1">
        <w:t>n this case</w:t>
      </w:r>
      <w:r w:rsidR="002C5DE4">
        <w:t>;</w:t>
      </w:r>
      <w:r w:rsidR="00101AE1">
        <w:t xml:space="preserve"> </w:t>
      </w:r>
      <w:r w:rsidR="00A73BBD">
        <w:t>Cornelius</w:t>
      </w:r>
      <w:r w:rsidR="00C00645">
        <w:t xml:space="preserve"> a</w:t>
      </w:r>
      <w:r w:rsidR="003B78F7">
        <w:t>lleg</w:t>
      </w:r>
      <w:r w:rsidR="00C00645">
        <w:t>ed that asbestos-cement pipe sold by J-MM had</w:t>
      </w:r>
      <w:r w:rsidR="003B78F7">
        <w:t xml:space="preserve"> </w:t>
      </w:r>
      <w:r w:rsidR="003B78F7" w:rsidRPr="002C545E">
        <w:rPr>
          <w:i/>
          <w:iCs/>
        </w:rPr>
        <w:t>both</w:t>
      </w:r>
      <w:r w:rsidR="003B78F7">
        <w:t xml:space="preserve"> </w:t>
      </w:r>
      <w:r w:rsidR="0076115B">
        <w:t>design and warning defects</w:t>
      </w:r>
      <w:r w:rsidR="00232EF9">
        <w:t xml:space="preserve">. </w:t>
      </w:r>
    </w:p>
    <w:p w14:paraId="04166F05" w14:textId="2A77DAD8" w:rsidR="0060500C" w:rsidRDefault="0060500C" w:rsidP="0078740C">
      <w:pPr>
        <w:spacing w:line="360" w:lineRule="auto"/>
      </w:pPr>
      <w:r>
        <w:lastRenderedPageBreak/>
        <w:tab/>
      </w:r>
      <w:r w:rsidR="00D503B4">
        <w:t>For an alleged design defect, t</w:t>
      </w:r>
      <w:r w:rsidR="0082096C">
        <w:t xml:space="preserve">here are two alternative tests </w:t>
      </w:r>
      <w:r w:rsidR="00D503B4">
        <w:t>to prove liability</w:t>
      </w:r>
      <w:r w:rsidR="0006590D">
        <w:t>:  the consumer expectation</w:t>
      </w:r>
      <w:r w:rsidR="007567FC">
        <w:t>s</w:t>
      </w:r>
      <w:r w:rsidR="0006590D">
        <w:t xml:space="preserve"> test and the risk</w:t>
      </w:r>
      <w:r w:rsidR="000C443C">
        <w:t>-</w:t>
      </w:r>
      <w:r w:rsidR="0006590D">
        <w:t xml:space="preserve">benefit test.  </w:t>
      </w:r>
      <w:r w:rsidR="000C443C">
        <w:t>(</w:t>
      </w:r>
      <w:r w:rsidR="000C443C" w:rsidRPr="007567FC">
        <w:rPr>
          <w:i/>
          <w:iCs/>
        </w:rPr>
        <w:t>Webb</w:t>
      </w:r>
      <w:r w:rsidR="000C443C">
        <w:t xml:space="preserve">, </w:t>
      </w:r>
      <w:r w:rsidR="000C443C" w:rsidRPr="007567FC">
        <w:rPr>
          <w:i/>
          <w:iCs/>
        </w:rPr>
        <w:t>supra</w:t>
      </w:r>
      <w:r w:rsidR="000C443C">
        <w:t xml:space="preserve">, </w:t>
      </w:r>
      <w:r w:rsidR="000705C0">
        <w:t>63 Cal.4th at p.</w:t>
      </w:r>
      <w:r w:rsidR="00305A04">
        <w:t xml:space="preserve"> </w:t>
      </w:r>
      <w:r w:rsidR="000705C0">
        <w:t>18</w:t>
      </w:r>
      <w:r w:rsidR="007567FC">
        <w:t>0</w:t>
      </w:r>
      <w:r w:rsidR="000705C0">
        <w:t xml:space="preserve">.)  </w:t>
      </w:r>
      <w:r w:rsidR="00B12878">
        <w:t xml:space="preserve">Here, </w:t>
      </w:r>
      <w:r w:rsidR="00A73BBD">
        <w:t>Cornelius</w:t>
      </w:r>
      <w:r w:rsidR="005D7793">
        <w:t xml:space="preserve"> </w:t>
      </w:r>
      <w:r w:rsidR="008A758D">
        <w:t xml:space="preserve">sought </w:t>
      </w:r>
      <w:r w:rsidR="00B12878">
        <w:t>liability on his design defect claim</w:t>
      </w:r>
      <w:r w:rsidR="008A758D">
        <w:t xml:space="preserve"> under the consumer expectation</w:t>
      </w:r>
      <w:r w:rsidR="007567FC">
        <w:t>s</w:t>
      </w:r>
      <w:r w:rsidR="008A758D">
        <w:t xml:space="preserve"> test.</w:t>
      </w:r>
      <w:r w:rsidR="007567FC">
        <w:t xml:space="preserve"> </w:t>
      </w:r>
      <w:r w:rsidR="00755B7C">
        <w:t xml:space="preserve"> </w:t>
      </w:r>
      <w:r w:rsidR="00A73BBD">
        <w:t>T</w:t>
      </w:r>
      <w:r w:rsidR="00D970C9">
        <w:t xml:space="preserve">o </w:t>
      </w:r>
      <w:r w:rsidR="000A1725">
        <w:t>satisfy this test</w:t>
      </w:r>
      <w:r w:rsidR="00651DCC">
        <w:t xml:space="preserve">, </w:t>
      </w:r>
      <w:r w:rsidR="00B322A3">
        <w:t>Cornelius</w:t>
      </w:r>
      <w:r w:rsidR="00926F02">
        <w:t xml:space="preserve"> was required to </w:t>
      </w:r>
      <w:r w:rsidR="006B163B">
        <w:t>prove that</w:t>
      </w:r>
      <w:r w:rsidR="00651DCC">
        <w:t xml:space="preserve"> </w:t>
      </w:r>
      <w:r w:rsidR="001E3CDA">
        <w:t>J-MM’s asbestos-cement</w:t>
      </w:r>
      <w:r w:rsidR="007C7CA8">
        <w:t xml:space="preserve"> </w:t>
      </w:r>
      <w:r w:rsidR="00926F02">
        <w:t>pipe</w:t>
      </w:r>
      <w:r w:rsidR="007C7CA8">
        <w:t xml:space="preserve"> </w:t>
      </w:r>
      <w:r w:rsidR="00C37866">
        <w:t>“fail</w:t>
      </w:r>
      <w:r w:rsidR="00305A04">
        <w:t>[</w:t>
      </w:r>
      <w:r w:rsidR="00C37866">
        <w:t>ed</w:t>
      </w:r>
      <w:r w:rsidR="00305A04">
        <w:t>]</w:t>
      </w:r>
      <w:r w:rsidR="00C37866">
        <w:t xml:space="preserve"> to perform</w:t>
      </w:r>
      <w:r w:rsidR="001F20CB">
        <w:t xml:space="preserve"> as safely as an ordinary consumer would expect</w:t>
      </w:r>
      <w:r w:rsidR="00C37866">
        <w:t>”</w:t>
      </w:r>
      <w:r w:rsidR="001F20CB">
        <w:t xml:space="preserve"> when used or misused in an intended or foreseeable way</w:t>
      </w:r>
      <w:r w:rsidR="001E3CDA">
        <w:t xml:space="preserve">, </w:t>
      </w:r>
      <w:r w:rsidR="001F20CB">
        <w:t>and</w:t>
      </w:r>
      <w:r w:rsidR="00B322A3">
        <w:t xml:space="preserve"> that</w:t>
      </w:r>
      <w:r w:rsidR="001F20CB">
        <w:t xml:space="preserve"> </w:t>
      </w:r>
      <w:r w:rsidR="00926F02">
        <w:t xml:space="preserve">the </w:t>
      </w:r>
      <w:r w:rsidR="001F20CB">
        <w:t xml:space="preserve">failure </w:t>
      </w:r>
      <w:r w:rsidR="00926F02">
        <w:t xml:space="preserve">of </w:t>
      </w:r>
      <w:r w:rsidR="001E3CDA">
        <w:t>the</w:t>
      </w:r>
      <w:r w:rsidR="00926F02">
        <w:t xml:space="preserve"> pipe </w:t>
      </w:r>
      <w:r w:rsidR="001F20CB">
        <w:t xml:space="preserve">to perform safely </w:t>
      </w:r>
      <w:r w:rsidR="00C37866">
        <w:t xml:space="preserve">was a substantial factor in causing </w:t>
      </w:r>
      <w:r w:rsidR="00B322A3">
        <w:t>Cornelius</w:t>
      </w:r>
      <w:r w:rsidR="00AA209B">
        <w:t>’s</w:t>
      </w:r>
      <w:r w:rsidR="00C37866">
        <w:t xml:space="preserve"> harm.  (</w:t>
      </w:r>
      <w:r w:rsidR="00AC3538">
        <w:rPr>
          <w:i/>
          <w:iCs/>
        </w:rPr>
        <w:t>Barker v. Lull Engineering Co.</w:t>
      </w:r>
      <w:r w:rsidR="00AC3538">
        <w:t xml:space="preserve"> (1978) 20 Cal.3d 413, 418; </w:t>
      </w:r>
      <w:r w:rsidR="00DD575E">
        <w:t xml:space="preserve">see also </w:t>
      </w:r>
      <w:r w:rsidR="002425A0">
        <w:t>CAC</w:t>
      </w:r>
      <w:r w:rsidR="00DD575E">
        <w:t>I</w:t>
      </w:r>
      <w:r w:rsidR="002425A0">
        <w:t xml:space="preserve"> No. </w:t>
      </w:r>
      <w:r w:rsidR="008E0133">
        <w:t>1203</w:t>
      </w:r>
      <w:r w:rsidR="002425A0">
        <w:t>.)</w:t>
      </w:r>
    </w:p>
    <w:p w14:paraId="6CAFDFC7" w14:textId="6AC4A2E1" w:rsidR="00B5230B" w:rsidRDefault="00A30EE3" w:rsidP="0078740C">
      <w:pPr>
        <w:spacing w:line="360" w:lineRule="auto"/>
      </w:pPr>
      <w:r>
        <w:tab/>
      </w:r>
      <w:r w:rsidR="00B322A3">
        <w:t>To establish</w:t>
      </w:r>
      <w:r w:rsidR="00BC415E">
        <w:t xml:space="preserve"> </w:t>
      </w:r>
      <w:r w:rsidR="008F16C8">
        <w:t>his</w:t>
      </w:r>
      <w:r w:rsidR="00BC415E">
        <w:t xml:space="preserve"> alleged</w:t>
      </w:r>
      <w:r w:rsidR="006B69B5">
        <w:t xml:space="preserve"> warning defect</w:t>
      </w:r>
      <w:r w:rsidR="002C5DE4">
        <w:t xml:space="preserve"> claim</w:t>
      </w:r>
      <w:r w:rsidR="006B69B5">
        <w:t xml:space="preserve">, </w:t>
      </w:r>
      <w:r w:rsidR="00B322A3">
        <w:t>Cornelius</w:t>
      </w:r>
      <w:r w:rsidR="008C3C63">
        <w:t xml:space="preserve"> was required to </w:t>
      </w:r>
      <w:r w:rsidR="006B163B">
        <w:t xml:space="preserve">prove </w:t>
      </w:r>
      <w:r w:rsidR="0039223F">
        <w:t xml:space="preserve">that </w:t>
      </w:r>
      <w:r w:rsidR="001E3CDA">
        <w:t xml:space="preserve">J-MM’s asbestos-cement </w:t>
      </w:r>
      <w:r w:rsidR="000E7D43">
        <w:t xml:space="preserve">pipe had potential risks </w:t>
      </w:r>
      <w:r w:rsidR="008A2A2E">
        <w:t>known or “knowable</w:t>
      </w:r>
      <w:r w:rsidR="000E7D43">
        <w:t xml:space="preserve"> in light of </w:t>
      </w:r>
      <w:r w:rsidR="00331344">
        <w:t xml:space="preserve">the </w:t>
      </w:r>
      <w:r w:rsidR="000E7D43">
        <w:t xml:space="preserve">generally </w:t>
      </w:r>
      <w:r w:rsidR="008A2A2E">
        <w:t>recognized and prevailing best scientific and medical knowledge available</w:t>
      </w:r>
      <w:r w:rsidR="00331344">
        <w:t xml:space="preserve"> at the time</w:t>
      </w:r>
      <w:r w:rsidR="00F264AD">
        <w:t xml:space="preserve"> of manufacture and distribution</w:t>
      </w:r>
      <w:r w:rsidR="008A2A2E">
        <w:t>,”</w:t>
      </w:r>
      <w:r w:rsidR="00B322A3">
        <w:t xml:space="preserve"> that</w:t>
      </w:r>
      <w:r w:rsidR="008A2A2E">
        <w:t xml:space="preserve"> </w:t>
      </w:r>
      <w:r w:rsidR="009F5054">
        <w:t>th</w:t>
      </w:r>
      <w:r w:rsidR="00A0760C">
        <w:t>ose</w:t>
      </w:r>
      <w:r w:rsidR="00AA209B">
        <w:t xml:space="preserve"> </w:t>
      </w:r>
      <w:r w:rsidR="00F9010B">
        <w:t xml:space="preserve">potential </w:t>
      </w:r>
      <w:r w:rsidR="000E7D43">
        <w:t xml:space="preserve">risks presented substantial danger when </w:t>
      </w:r>
      <w:r w:rsidR="00A0760C">
        <w:t>the pipe was</w:t>
      </w:r>
      <w:r w:rsidR="000E7D43">
        <w:t xml:space="preserve"> used or misused in an intended or reasonably foreseeable way</w:t>
      </w:r>
      <w:r w:rsidR="00117502">
        <w:t>,</w:t>
      </w:r>
      <w:r w:rsidR="00AA209B">
        <w:t xml:space="preserve"> </w:t>
      </w:r>
      <w:r w:rsidR="00B322A3">
        <w:t xml:space="preserve">that </w:t>
      </w:r>
      <w:r w:rsidR="00AA209B">
        <w:t>or</w:t>
      </w:r>
      <w:r w:rsidR="000E7D43">
        <w:t>dinary consumers would not have recognized th</w:t>
      </w:r>
      <w:r w:rsidR="00F9010B">
        <w:t>ose</w:t>
      </w:r>
      <w:r w:rsidR="000E7D43">
        <w:t xml:space="preserve"> potential risks</w:t>
      </w:r>
      <w:r w:rsidR="00940EF1">
        <w:t xml:space="preserve">, </w:t>
      </w:r>
      <w:r w:rsidR="00B322A3">
        <w:t xml:space="preserve">that </w:t>
      </w:r>
      <w:r w:rsidR="00940EF1">
        <w:t xml:space="preserve">J-MM </w:t>
      </w:r>
      <w:r w:rsidR="000E7D43">
        <w:t xml:space="preserve">failed to adequately warn of </w:t>
      </w:r>
      <w:r w:rsidR="00F9010B">
        <w:t xml:space="preserve">those </w:t>
      </w:r>
      <w:r w:rsidR="000E7D43">
        <w:t>potential risks</w:t>
      </w:r>
      <w:r w:rsidR="00940EF1">
        <w:t xml:space="preserve">, </w:t>
      </w:r>
      <w:r w:rsidR="00AA209B">
        <w:t>and</w:t>
      </w:r>
      <w:r w:rsidR="00B322A3">
        <w:t xml:space="preserve"> that</w:t>
      </w:r>
      <w:r w:rsidR="00AA209B">
        <w:t xml:space="preserve"> the </w:t>
      </w:r>
      <w:r w:rsidR="000E7D43">
        <w:t xml:space="preserve">lack of sufficient warning was a substantial factor in causing </w:t>
      </w:r>
      <w:r w:rsidR="00B322A3">
        <w:t>Cornelius’s</w:t>
      </w:r>
      <w:r w:rsidR="0050708F">
        <w:t xml:space="preserve"> </w:t>
      </w:r>
      <w:r w:rsidR="000E7D43">
        <w:t>harm</w:t>
      </w:r>
      <w:r w:rsidR="001E3F92">
        <w:t>.  (</w:t>
      </w:r>
      <w:r w:rsidR="009A54BD" w:rsidRPr="002E2FA5">
        <w:rPr>
          <w:i/>
          <w:iCs/>
        </w:rPr>
        <w:t xml:space="preserve">Anderson v. Owens-Corning Fiberglas Corp. </w:t>
      </w:r>
      <w:r w:rsidR="009A54BD" w:rsidRPr="009A54BD">
        <w:t>(1991) 53 Cal.3d</w:t>
      </w:r>
      <w:r w:rsidR="002E2FA5">
        <w:t xml:space="preserve"> </w:t>
      </w:r>
      <w:r w:rsidR="009A54BD" w:rsidRPr="009A54BD">
        <w:t>987, 1002</w:t>
      </w:r>
      <w:r w:rsidR="00C92647">
        <w:t>, 993,</w:t>
      </w:r>
      <w:r w:rsidR="00F41236">
        <w:t xml:space="preserve"> fn. 5</w:t>
      </w:r>
      <w:r w:rsidR="002E2FA5">
        <w:t xml:space="preserve">; </w:t>
      </w:r>
      <w:r w:rsidR="001E3F92">
        <w:t>see also CACI No. 1203.)</w:t>
      </w:r>
      <w:r w:rsidR="00A6004F">
        <w:t xml:space="preserve"> </w:t>
      </w:r>
      <w:r w:rsidR="002F7796">
        <w:t xml:space="preserve"> </w:t>
      </w:r>
    </w:p>
    <w:p w14:paraId="51C3C3CA" w14:textId="748D7263" w:rsidR="00101AE1" w:rsidRDefault="00B5230B" w:rsidP="0078740C">
      <w:pPr>
        <w:spacing w:line="360" w:lineRule="auto"/>
      </w:pPr>
      <w:r>
        <w:tab/>
      </w:r>
      <w:r w:rsidR="008B6427">
        <w:t>T</w:t>
      </w:r>
      <w:r w:rsidR="005C6523">
        <w:t>he</w:t>
      </w:r>
      <w:r w:rsidR="00B322A3">
        <w:t xml:space="preserve"> judgment on special verdict makes clear that the</w:t>
      </w:r>
      <w:r w:rsidR="005C6523">
        <w:t xml:space="preserve"> jury concluded </w:t>
      </w:r>
      <w:r w:rsidR="00B322A3">
        <w:t>Cornelius</w:t>
      </w:r>
      <w:r w:rsidR="005C6523">
        <w:t xml:space="preserve"> had</w:t>
      </w:r>
      <w:r w:rsidR="005F6CE9">
        <w:t xml:space="preserve"> </w:t>
      </w:r>
      <w:r w:rsidR="00093A82">
        <w:t>proven</w:t>
      </w:r>
      <w:r w:rsidR="00B322A3">
        <w:t xml:space="preserve"> both</w:t>
      </w:r>
      <w:r w:rsidR="00D06C0A">
        <w:t xml:space="preserve"> </w:t>
      </w:r>
      <w:r w:rsidR="006112D5">
        <w:t xml:space="preserve">that asbestos-cement pipe sold by J-MM had </w:t>
      </w:r>
      <w:r w:rsidR="003B1F76">
        <w:t>a</w:t>
      </w:r>
      <w:r w:rsidR="00DA1B7B">
        <w:t xml:space="preserve"> </w:t>
      </w:r>
      <w:r w:rsidR="005F6CE9">
        <w:t xml:space="preserve">design defect </w:t>
      </w:r>
      <w:r w:rsidR="00CE23F2">
        <w:t xml:space="preserve">(under the consumer expectations test) </w:t>
      </w:r>
      <w:r w:rsidR="005F6CE9">
        <w:t xml:space="preserve">and </w:t>
      </w:r>
      <w:r w:rsidR="006112D5">
        <w:t xml:space="preserve">a </w:t>
      </w:r>
      <w:r w:rsidR="005F6CE9">
        <w:t>warning defect</w:t>
      </w:r>
      <w:r w:rsidR="006112D5">
        <w:t xml:space="preserve"> </w:t>
      </w:r>
      <w:r w:rsidR="000300F0">
        <w:t>to support</w:t>
      </w:r>
      <w:r w:rsidR="00FA191F">
        <w:t xml:space="preserve"> </w:t>
      </w:r>
      <w:r w:rsidR="008340D3">
        <w:t>his</w:t>
      </w:r>
      <w:r w:rsidR="006112D5">
        <w:t xml:space="preserve"> strict liability cause of action</w:t>
      </w:r>
      <w:r w:rsidR="005C6523">
        <w:t>.</w:t>
      </w:r>
      <w:r w:rsidR="005C6523" w:rsidRPr="001809CD">
        <w:t xml:space="preserve"> </w:t>
      </w:r>
    </w:p>
    <w:p w14:paraId="0FA364D0" w14:textId="280C146E" w:rsidR="0078740C" w:rsidRPr="0005757D" w:rsidRDefault="00101AE1" w:rsidP="0078740C">
      <w:pPr>
        <w:spacing w:line="360" w:lineRule="auto"/>
      </w:pPr>
      <w:r>
        <w:tab/>
      </w:r>
      <w:r w:rsidR="00193041">
        <w:t>J-MM</w:t>
      </w:r>
      <w:r w:rsidR="00545BB7">
        <w:t xml:space="preserve">’s subsequent motion for </w:t>
      </w:r>
      <w:r w:rsidR="00515606">
        <w:t>JNOV</w:t>
      </w:r>
      <w:r w:rsidR="001A4AF1">
        <w:t xml:space="preserve"> </w:t>
      </w:r>
      <w:r w:rsidR="00B2684C">
        <w:t>raised</w:t>
      </w:r>
      <w:r w:rsidR="001A4AF1">
        <w:t xml:space="preserve"> </w:t>
      </w:r>
      <w:r w:rsidR="00515606">
        <w:t xml:space="preserve">the same </w:t>
      </w:r>
      <w:r w:rsidR="006207CB">
        <w:t>question of law</w:t>
      </w:r>
      <w:r w:rsidR="00515606">
        <w:t xml:space="preserve"> presented in its motion for directed verdict</w:t>
      </w:r>
      <w:r w:rsidR="001A4AF1">
        <w:t xml:space="preserve">:  </w:t>
      </w:r>
      <w:r w:rsidR="008C6680">
        <w:t>whether</w:t>
      </w:r>
      <w:r w:rsidR="002443CD">
        <w:t xml:space="preserve"> </w:t>
      </w:r>
      <w:proofErr w:type="spellStart"/>
      <w:r w:rsidR="001A4AF1">
        <w:rPr>
          <w:i/>
          <w:iCs/>
        </w:rPr>
        <w:t>Kesner</w:t>
      </w:r>
      <w:proofErr w:type="spellEnd"/>
      <w:r w:rsidR="008C6680">
        <w:t xml:space="preserve"> precluded </w:t>
      </w:r>
      <w:r w:rsidR="0076011E">
        <w:t>Cornelius’s</w:t>
      </w:r>
      <w:r w:rsidR="008C6680">
        <w:t xml:space="preserve"> strict liability cause of action</w:t>
      </w:r>
      <w:r w:rsidR="00193041">
        <w:t>.</w:t>
      </w:r>
      <w:r w:rsidR="00B96DE3" w:rsidRPr="00B96DE3">
        <w:t xml:space="preserve"> </w:t>
      </w:r>
      <w:r w:rsidR="00755B7C">
        <w:t xml:space="preserve"> </w:t>
      </w:r>
      <w:r w:rsidR="00AC42D0">
        <w:t xml:space="preserve">Our review is de novo.  </w:t>
      </w:r>
      <w:r w:rsidR="00B96DE3" w:rsidRPr="00B96DE3">
        <w:t>(</w:t>
      </w:r>
      <w:proofErr w:type="spellStart"/>
      <w:r w:rsidR="00B96DE3" w:rsidRPr="00865480">
        <w:rPr>
          <w:i/>
          <w:iCs/>
        </w:rPr>
        <w:t>Sweatman</w:t>
      </w:r>
      <w:proofErr w:type="spellEnd"/>
      <w:r w:rsidR="00B96DE3" w:rsidRPr="00865480">
        <w:rPr>
          <w:i/>
          <w:iCs/>
        </w:rPr>
        <w:t xml:space="preserve"> </w:t>
      </w:r>
      <w:r w:rsidR="00B96DE3" w:rsidRPr="00865480">
        <w:rPr>
          <w:i/>
          <w:iCs/>
        </w:rPr>
        <w:lastRenderedPageBreak/>
        <w:t xml:space="preserve">v. Department of Veterans Affairs </w:t>
      </w:r>
      <w:r w:rsidR="00B96DE3" w:rsidRPr="00B96DE3">
        <w:t>(2001) 25 Cal.4th 62, 68</w:t>
      </w:r>
      <w:r w:rsidR="0059738D">
        <w:t xml:space="preserve"> [sole question of law </w:t>
      </w:r>
      <w:r w:rsidR="00F12034">
        <w:t>on denial of motion for JNOV</w:t>
      </w:r>
      <w:r w:rsidR="00DA0C5E">
        <w:t xml:space="preserve"> subject to de novo review</w:t>
      </w:r>
      <w:r w:rsidR="00C92647">
        <w:t>]</w:t>
      </w:r>
      <w:r w:rsidR="00B96DE3" w:rsidRPr="00B96DE3">
        <w:t>.</w:t>
      </w:r>
      <w:r w:rsidR="00B5303D">
        <w:t>)</w:t>
      </w:r>
      <w:r w:rsidR="00641C94">
        <w:t xml:space="preserve">  </w:t>
      </w:r>
      <w:r w:rsidR="00C074F4">
        <w:t>N</w:t>
      </w:r>
      <w:r w:rsidR="00740B2F">
        <w:t xml:space="preserve">either party has cited any </w:t>
      </w:r>
      <w:r w:rsidR="002A1A98">
        <w:t>authority</w:t>
      </w:r>
      <w:r w:rsidR="00BB4256">
        <w:t xml:space="preserve"> </w:t>
      </w:r>
      <w:r w:rsidR="00531C7E">
        <w:t>that directly answers the</w:t>
      </w:r>
      <w:r w:rsidR="00BB4256">
        <w:t xml:space="preserve"> question</w:t>
      </w:r>
      <w:r w:rsidR="00740B2F">
        <w:t>.</w:t>
      </w:r>
    </w:p>
    <w:p w14:paraId="2AA034D0" w14:textId="080A0F7B" w:rsidR="009122AD" w:rsidRPr="008B31BC" w:rsidRDefault="008B31BC" w:rsidP="009122AD">
      <w:pPr>
        <w:keepNext/>
        <w:spacing w:line="360" w:lineRule="auto"/>
        <w:rPr>
          <w:b/>
          <w:bCs/>
          <w:i/>
          <w:iCs/>
        </w:rPr>
      </w:pPr>
      <w:r>
        <w:tab/>
      </w:r>
      <w:r w:rsidRPr="008B31BC">
        <w:rPr>
          <w:b/>
          <w:bCs/>
        </w:rPr>
        <w:t xml:space="preserve">B.  </w:t>
      </w:r>
      <w:proofErr w:type="spellStart"/>
      <w:r w:rsidRPr="008B31BC">
        <w:rPr>
          <w:b/>
          <w:bCs/>
          <w:i/>
          <w:iCs/>
        </w:rPr>
        <w:t>K</w:t>
      </w:r>
      <w:r w:rsidR="009122AD" w:rsidRPr="008B31BC">
        <w:rPr>
          <w:b/>
          <w:bCs/>
          <w:i/>
          <w:iCs/>
        </w:rPr>
        <w:t>esne</w:t>
      </w:r>
      <w:r w:rsidRPr="008B31BC">
        <w:rPr>
          <w:b/>
          <w:bCs/>
          <w:i/>
          <w:iCs/>
        </w:rPr>
        <w:t>r</w:t>
      </w:r>
      <w:proofErr w:type="spellEnd"/>
    </w:p>
    <w:p w14:paraId="3F752FD1" w14:textId="7D1771F1" w:rsidR="00B66C13" w:rsidRDefault="009122AD" w:rsidP="0026362C">
      <w:pPr>
        <w:spacing w:line="360" w:lineRule="auto"/>
      </w:pPr>
      <w:r>
        <w:tab/>
      </w:r>
      <w:r w:rsidR="004A1751">
        <w:t xml:space="preserve">In </w:t>
      </w:r>
      <w:proofErr w:type="spellStart"/>
      <w:r w:rsidR="008F5B7F" w:rsidRPr="000B6D9A">
        <w:rPr>
          <w:i/>
          <w:iCs/>
        </w:rPr>
        <w:t>Kesner</w:t>
      </w:r>
      <w:proofErr w:type="spellEnd"/>
      <w:r w:rsidR="004A1751">
        <w:t xml:space="preserve">, </w:t>
      </w:r>
      <w:r w:rsidR="00B66C13">
        <w:t>our</w:t>
      </w:r>
      <w:r w:rsidR="00EB7ADA">
        <w:t xml:space="preserve"> Supreme Court granted review </w:t>
      </w:r>
      <w:r w:rsidR="004407B6">
        <w:t xml:space="preserve">and consolidated two cases involving </w:t>
      </w:r>
      <w:r w:rsidR="003A1531">
        <w:t xml:space="preserve">liability for </w:t>
      </w:r>
      <w:r w:rsidR="004407B6">
        <w:t>secondary exposure to asbestos.</w:t>
      </w:r>
      <w:r w:rsidR="00D06495">
        <w:t xml:space="preserve">  </w:t>
      </w:r>
      <w:r w:rsidR="000B6D9A">
        <w:t>(</w:t>
      </w:r>
      <w:proofErr w:type="spellStart"/>
      <w:r w:rsidR="000B6D9A" w:rsidRPr="000B6D9A">
        <w:rPr>
          <w:i/>
          <w:iCs/>
        </w:rPr>
        <w:t>Kesner</w:t>
      </w:r>
      <w:proofErr w:type="spellEnd"/>
      <w:r w:rsidR="000B6D9A">
        <w:t xml:space="preserve">, </w:t>
      </w:r>
      <w:r w:rsidR="000B6D9A" w:rsidRPr="000B6D9A">
        <w:rPr>
          <w:i/>
          <w:iCs/>
        </w:rPr>
        <w:t>supra</w:t>
      </w:r>
      <w:r w:rsidR="000B6D9A">
        <w:t>, 1 Cal.5th at p.</w:t>
      </w:r>
      <w:r w:rsidR="003C01ED">
        <w:t xml:space="preserve"> </w:t>
      </w:r>
      <w:r w:rsidR="000B6D9A">
        <w:t xml:space="preserve">1140.)  </w:t>
      </w:r>
      <w:r w:rsidR="00D96890">
        <w:t>T</w:t>
      </w:r>
      <w:r w:rsidR="000B6D9A">
        <w:t xml:space="preserve">he </w:t>
      </w:r>
      <w:r w:rsidR="003D4007">
        <w:t xml:space="preserve">plaintiff </w:t>
      </w:r>
      <w:r w:rsidR="00D96890">
        <w:t>in the first case</w:t>
      </w:r>
      <w:r w:rsidR="00B66C13">
        <w:t xml:space="preserve"> (</w:t>
      </w:r>
      <w:proofErr w:type="spellStart"/>
      <w:r w:rsidR="00B66C13">
        <w:t>Kesner</w:t>
      </w:r>
      <w:proofErr w:type="spellEnd"/>
      <w:r w:rsidR="00B66C13">
        <w:t>)</w:t>
      </w:r>
      <w:r w:rsidR="00D96890">
        <w:t xml:space="preserve"> </w:t>
      </w:r>
      <w:r w:rsidR="00007ADB">
        <w:t>claimed negligence</w:t>
      </w:r>
      <w:r w:rsidR="003D4007">
        <w:t xml:space="preserve"> </w:t>
      </w:r>
      <w:r w:rsidR="00F51FBB">
        <w:t>through his alleged</w:t>
      </w:r>
      <w:r w:rsidR="001A1302">
        <w:t xml:space="preserve"> </w:t>
      </w:r>
      <w:r w:rsidR="00BA3910">
        <w:t xml:space="preserve">secondary </w:t>
      </w:r>
      <w:r w:rsidR="001A1302">
        <w:t>exposure</w:t>
      </w:r>
      <w:r w:rsidR="000B6D9A">
        <w:t xml:space="preserve"> </w:t>
      </w:r>
      <w:r w:rsidR="005B2941">
        <w:t>from</w:t>
      </w:r>
      <w:r w:rsidR="000B6D9A">
        <w:t xml:space="preserve"> his uncle’s work </w:t>
      </w:r>
      <w:r w:rsidR="00C5003B">
        <w:t>at a</w:t>
      </w:r>
      <w:r w:rsidR="00CB58E9">
        <w:t xml:space="preserve"> manufacturing</w:t>
      </w:r>
      <w:r w:rsidR="00C5003B">
        <w:t xml:space="preserve"> plant.  (</w:t>
      </w:r>
      <w:r w:rsidR="00C5003B">
        <w:rPr>
          <w:i/>
          <w:iCs/>
        </w:rPr>
        <w:t>Id.</w:t>
      </w:r>
      <w:r w:rsidR="00C5003B">
        <w:t xml:space="preserve"> at pp. 1141–1142.)  The trial court granted a motion for non-suit </w:t>
      </w:r>
      <w:r w:rsidR="00B66C13">
        <w:t>on the ground</w:t>
      </w:r>
      <w:r w:rsidR="00C5003B">
        <w:t xml:space="preserve"> that the </w:t>
      </w:r>
      <w:r w:rsidR="00B66C13">
        <w:t xml:space="preserve">manufacturing </w:t>
      </w:r>
      <w:r w:rsidR="00C5003B">
        <w:t>plant</w:t>
      </w:r>
      <w:r w:rsidR="00E22771">
        <w:t xml:space="preserve"> (</w:t>
      </w:r>
      <w:proofErr w:type="spellStart"/>
      <w:r w:rsidR="00E22771">
        <w:t>Abex</w:t>
      </w:r>
      <w:proofErr w:type="spellEnd"/>
      <w:r w:rsidR="00E22771">
        <w:t>)</w:t>
      </w:r>
      <w:r w:rsidR="00C5003B">
        <w:t xml:space="preserve"> had no duty to protect family members </w:t>
      </w:r>
      <w:r w:rsidR="00903945">
        <w:t>of</w:t>
      </w:r>
      <w:r w:rsidR="00CB2E8A">
        <w:t xml:space="preserve"> its</w:t>
      </w:r>
      <w:r w:rsidR="00903945">
        <w:t xml:space="preserve"> workers from secondary exposure to asbestos</w:t>
      </w:r>
      <w:r w:rsidR="00EF0641">
        <w:t>.  T</w:t>
      </w:r>
      <w:r w:rsidR="00C5003B">
        <w:t>he appellate court reversed.</w:t>
      </w:r>
      <w:r w:rsidR="00903945">
        <w:t xml:space="preserve">  (</w:t>
      </w:r>
      <w:r w:rsidR="00903945">
        <w:rPr>
          <w:i/>
          <w:iCs/>
        </w:rPr>
        <w:t>Id.</w:t>
      </w:r>
      <w:r w:rsidR="00903945">
        <w:t xml:space="preserve"> at p.</w:t>
      </w:r>
      <w:r w:rsidR="003C01ED">
        <w:t xml:space="preserve"> </w:t>
      </w:r>
      <w:r w:rsidR="00903945">
        <w:t>1142.)</w:t>
      </w:r>
      <w:r w:rsidR="00EA78D0">
        <w:t xml:space="preserve">  </w:t>
      </w:r>
      <w:r w:rsidR="00BA3910">
        <w:t>The plaintiffs in the second case</w:t>
      </w:r>
      <w:r w:rsidR="00B66C13">
        <w:t xml:space="preserve"> (the Havers)</w:t>
      </w:r>
      <w:r w:rsidR="00BA3910">
        <w:t xml:space="preserve"> </w:t>
      </w:r>
      <w:r w:rsidR="00555415">
        <w:t>claimed</w:t>
      </w:r>
      <w:r w:rsidR="001C3C55">
        <w:t xml:space="preserve"> </w:t>
      </w:r>
      <w:r w:rsidR="00BA3910">
        <w:t>premises liability</w:t>
      </w:r>
      <w:r w:rsidR="00750AB7">
        <w:t xml:space="preserve"> </w:t>
      </w:r>
      <w:r w:rsidR="004B0960">
        <w:t xml:space="preserve">against </w:t>
      </w:r>
      <w:r w:rsidR="00E22771">
        <w:t>BNSF Railway Company (BNSF)</w:t>
      </w:r>
      <w:r w:rsidR="004B0960">
        <w:t xml:space="preserve">, alleging </w:t>
      </w:r>
      <w:r w:rsidR="00BA3910">
        <w:t xml:space="preserve">secondary exposure </w:t>
      </w:r>
      <w:r w:rsidR="0031469D">
        <w:t xml:space="preserve">from </w:t>
      </w:r>
      <w:r w:rsidR="005E6736">
        <w:t>an</w:t>
      </w:r>
      <w:r w:rsidR="0031469D">
        <w:t xml:space="preserve"> employee to his wife.  (</w:t>
      </w:r>
      <w:r w:rsidR="0031469D">
        <w:rPr>
          <w:i/>
          <w:iCs/>
        </w:rPr>
        <w:t>Id.</w:t>
      </w:r>
      <w:r w:rsidR="0031469D">
        <w:t xml:space="preserve"> at p.</w:t>
      </w:r>
      <w:r w:rsidR="003C01ED">
        <w:t xml:space="preserve"> </w:t>
      </w:r>
      <w:r w:rsidR="0031469D">
        <w:t xml:space="preserve">1141.)  The trial court sustained </w:t>
      </w:r>
      <w:r w:rsidR="00E22771">
        <w:t>BNSF’s</w:t>
      </w:r>
      <w:r w:rsidR="0031469D">
        <w:t xml:space="preserve"> demurrer</w:t>
      </w:r>
      <w:r w:rsidR="0053188F">
        <w:t xml:space="preserve"> based on lack of duty to household members who suffer secondary exposure to asbestos</w:t>
      </w:r>
      <w:r w:rsidR="0031469D">
        <w:t>, and the appellate court affirmed</w:t>
      </w:r>
      <w:r w:rsidR="004F4BDA">
        <w:t>.</w:t>
      </w:r>
      <w:r w:rsidR="0053188F">
        <w:t xml:space="preserve">  (</w:t>
      </w:r>
      <w:r w:rsidR="0053188F">
        <w:rPr>
          <w:i/>
          <w:iCs/>
        </w:rPr>
        <w:t>Id.</w:t>
      </w:r>
      <w:r w:rsidR="0053188F">
        <w:t xml:space="preserve"> at p.</w:t>
      </w:r>
      <w:r w:rsidR="00C92647">
        <w:t xml:space="preserve"> </w:t>
      </w:r>
      <w:r w:rsidR="0053188F">
        <w:t>1142.)</w:t>
      </w:r>
      <w:r w:rsidR="00E22771">
        <w:t xml:space="preserve">  The nonsuit motion</w:t>
      </w:r>
      <w:r w:rsidR="002E6ECB">
        <w:t xml:space="preserve"> filed by </w:t>
      </w:r>
      <w:proofErr w:type="spellStart"/>
      <w:proofErr w:type="gramStart"/>
      <w:r w:rsidR="002E6ECB">
        <w:t>Kesner</w:t>
      </w:r>
      <w:proofErr w:type="spellEnd"/>
      <w:proofErr w:type="gramEnd"/>
      <w:r w:rsidR="002E6ECB">
        <w:t xml:space="preserve"> and the demurrer filed by the Havers were both based on the then-leading case </w:t>
      </w:r>
      <w:r w:rsidR="002C5DE4">
        <w:t>on</w:t>
      </w:r>
      <w:r w:rsidR="002E6ECB">
        <w:t xml:space="preserve"> whether defendants owed a duty of care to prevent take-home or secondary asbestos exposure under California law, </w:t>
      </w:r>
      <w:r w:rsidR="002E6ECB" w:rsidRPr="002C545E">
        <w:rPr>
          <w:i/>
          <w:iCs/>
        </w:rPr>
        <w:t>Campbell v. Ford Motor</w:t>
      </w:r>
      <w:r w:rsidR="002E6ECB">
        <w:t xml:space="preserve"> </w:t>
      </w:r>
      <w:r w:rsidR="002E6ECB" w:rsidRPr="002C545E">
        <w:rPr>
          <w:i/>
          <w:iCs/>
        </w:rPr>
        <w:t>Co</w:t>
      </w:r>
      <w:r w:rsidR="002E6ECB">
        <w:t xml:space="preserve">. (2012) 206 Cal.App.4th 15.  </w:t>
      </w:r>
      <w:r w:rsidR="00515606" w:rsidRPr="00C355AD">
        <w:t xml:space="preserve">(4 </w:t>
      </w:r>
      <w:proofErr w:type="spellStart"/>
      <w:r w:rsidR="00515606" w:rsidRPr="00C355AD">
        <w:t>Cetrulo</w:t>
      </w:r>
      <w:proofErr w:type="spellEnd"/>
      <w:r w:rsidR="00515606" w:rsidRPr="00C355AD">
        <w:t>, Toxic Torts Litigation Guide (20</w:t>
      </w:r>
      <w:r w:rsidR="00304553">
        <w:t>2</w:t>
      </w:r>
      <w:r w:rsidR="00515606" w:rsidRPr="00C355AD">
        <w:t>3)</w:t>
      </w:r>
      <w:r w:rsidR="00515606">
        <w:t xml:space="preserve"> § 42-A.</w:t>
      </w:r>
      <w:r w:rsidR="00515606" w:rsidRPr="00C355AD">
        <w:t>)</w:t>
      </w:r>
      <w:r w:rsidR="00515606">
        <w:t xml:space="preserve">  </w:t>
      </w:r>
      <w:r w:rsidR="002E6ECB">
        <w:t xml:space="preserve">In </w:t>
      </w:r>
      <w:r w:rsidR="002E6ECB" w:rsidRPr="002C545E">
        <w:rPr>
          <w:i/>
          <w:iCs/>
        </w:rPr>
        <w:t>Campbell</w:t>
      </w:r>
      <w:r w:rsidR="002E6ECB">
        <w:t xml:space="preserve">, the Second District reversed </w:t>
      </w:r>
      <w:r w:rsidR="002A0C50">
        <w:t xml:space="preserve">a </w:t>
      </w:r>
      <w:r w:rsidR="002E6ECB">
        <w:t xml:space="preserve">judgment for a plaintiff, diagnosed with mesothelioma, </w:t>
      </w:r>
      <w:r w:rsidR="00844F61">
        <w:t xml:space="preserve">who had </w:t>
      </w:r>
      <w:r w:rsidR="002E6ECB">
        <w:t>asserted a premises liability claim from secondary exposure to asbestos through laundering her father and brother’s clothing.  (</w:t>
      </w:r>
      <w:r w:rsidR="00CE7B05">
        <w:rPr>
          <w:i/>
          <w:iCs/>
        </w:rPr>
        <w:t>Campbell</w:t>
      </w:r>
      <w:r w:rsidR="002E6ECB">
        <w:t xml:space="preserve"> at p. 19.)  </w:t>
      </w:r>
      <w:r w:rsidR="002E6ECB" w:rsidRPr="00505FEA">
        <w:rPr>
          <w:i/>
          <w:iCs/>
        </w:rPr>
        <w:t>Campbell</w:t>
      </w:r>
      <w:r w:rsidR="002E6ECB">
        <w:t xml:space="preserve"> held that “a property owner has no duty to protect family members of workers on its premises from </w:t>
      </w:r>
      <w:r w:rsidR="002E6ECB">
        <w:lastRenderedPageBreak/>
        <w:t>secondary exposure to asbestos used during the course of the property owner’s business.”  (</w:t>
      </w:r>
      <w:r w:rsidR="002E6ECB" w:rsidRPr="0054292E">
        <w:rPr>
          <w:i/>
          <w:iCs/>
        </w:rPr>
        <w:t>Id.</w:t>
      </w:r>
      <w:r w:rsidR="002E6ECB">
        <w:t xml:space="preserve"> at p. </w:t>
      </w:r>
      <w:r w:rsidR="00CE7B05">
        <w:t>34</w:t>
      </w:r>
      <w:r w:rsidR="002E6ECB">
        <w:t>.)</w:t>
      </w:r>
      <w:r w:rsidR="00E22771">
        <w:t xml:space="preserve"> </w:t>
      </w:r>
    </w:p>
    <w:p w14:paraId="41B01334" w14:textId="7BD5C373" w:rsidR="008364D7" w:rsidRDefault="00423412" w:rsidP="0026362C">
      <w:pPr>
        <w:spacing w:line="360" w:lineRule="auto"/>
      </w:pPr>
      <w:r>
        <w:tab/>
      </w:r>
      <w:r w:rsidR="002F5FE9">
        <w:t>Describing the different conclusions as to liability</w:t>
      </w:r>
      <w:r w:rsidR="00505FEA">
        <w:t xml:space="preserve"> reached by the lower courts for </w:t>
      </w:r>
      <w:proofErr w:type="spellStart"/>
      <w:r w:rsidR="00505FEA">
        <w:t>Kesner</w:t>
      </w:r>
      <w:proofErr w:type="spellEnd"/>
      <w:r w:rsidR="00505FEA">
        <w:t xml:space="preserve"> and the Havers</w:t>
      </w:r>
      <w:r w:rsidR="00EB5F6D" w:rsidRPr="00EB5F6D">
        <w:t xml:space="preserve">, </w:t>
      </w:r>
      <w:r w:rsidR="0081022A">
        <w:t>our Supreme</w:t>
      </w:r>
      <w:r w:rsidR="00080B3D">
        <w:t xml:space="preserve"> Court</w:t>
      </w:r>
      <w:r w:rsidR="00EB5F6D" w:rsidRPr="00EB5F6D">
        <w:t xml:space="preserve"> </w:t>
      </w:r>
      <w:r w:rsidR="00080B3D">
        <w:t>granted review</w:t>
      </w:r>
      <w:r w:rsidR="00420629">
        <w:t xml:space="preserve"> </w:t>
      </w:r>
      <w:r w:rsidR="007B5380">
        <w:t>“to determine whet</w:t>
      </w:r>
      <w:r w:rsidR="00E02BAA">
        <w:t>h</w:t>
      </w:r>
      <w:r w:rsidR="007B5380">
        <w:t xml:space="preserve">er </w:t>
      </w:r>
      <w:r w:rsidR="007B5380" w:rsidRPr="001B6233">
        <w:t>an employer</w:t>
      </w:r>
      <w:r w:rsidR="007B5380">
        <w:t xml:space="preserve"> has a duty to members of an employee’s household to prevent take-home asbestos exposure on a premises liability or negligence theory.”</w:t>
      </w:r>
      <w:r w:rsidR="00862EB4">
        <w:t xml:space="preserve">  (</w:t>
      </w:r>
      <w:proofErr w:type="spellStart"/>
      <w:r w:rsidR="00505FEA" w:rsidRPr="000B6D9A">
        <w:rPr>
          <w:i/>
          <w:iCs/>
        </w:rPr>
        <w:t>Kesner</w:t>
      </w:r>
      <w:proofErr w:type="spellEnd"/>
      <w:r w:rsidR="00505FEA">
        <w:t xml:space="preserve">, </w:t>
      </w:r>
      <w:r w:rsidR="00505FEA" w:rsidRPr="000B6D9A">
        <w:rPr>
          <w:i/>
          <w:iCs/>
        </w:rPr>
        <w:t>supra</w:t>
      </w:r>
      <w:r w:rsidR="00505FEA">
        <w:t xml:space="preserve">, 1 Cal.5th at </w:t>
      </w:r>
      <w:r w:rsidR="00862EB4">
        <w:t>p.</w:t>
      </w:r>
      <w:r w:rsidR="003C01ED">
        <w:t xml:space="preserve"> </w:t>
      </w:r>
      <w:r w:rsidR="00862EB4">
        <w:t>114</w:t>
      </w:r>
      <w:r w:rsidR="00E02BAA">
        <w:t>2</w:t>
      </w:r>
      <w:r w:rsidR="00862EB4">
        <w:t>.)</w:t>
      </w:r>
      <w:r w:rsidR="006A3B4F">
        <w:t xml:space="preserve">  </w:t>
      </w:r>
      <w:proofErr w:type="spellStart"/>
      <w:r w:rsidR="00C47FB2" w:rsidRPr="000B6D9A">
        <w:rPr>
          <w:i/>
          <w:iCs/>
        </w:rPr>
        <w:t>Kesner</w:t>
      </w:r>
      <w:proofErr w:type="spellEnd"/>
      <w:r w:rsidR="00C47FB2">
        <w:t xml:space="preserve"> explained that </w:t>
      </w:r>
      <w:r w:rsidR="001F7CAC">
        <w:t xml:space="preserve">both </w:t>
      </w:r>
      <w:r w:rsidR="0037180A">
        <w:t>theories</w:t>
      </w:r>
      <w:r w:rsidR="002F5FE9">
        <w:t xml:space="preserve"> of liability</w:t>
      </w:r>
      <w:r w:rsidR="00C47FB2">
        <w:t xml:space="preserve">—negligence </w:t>
      </w:r>
      <w:r w:rsidR="0037180A">
        <w:t>(based</w:t>
      </w:r>
      <w:r w:rsidR="00420091">
        <w:t xml:space="preserve"> on</w:t>
      </w:r>
      <w:r w:rsidR="00493F69">
        <w:t xml:space="preserve"> the</w:t>
      </w:r>
      <w:r w:rsidR="00420091">
        <w:t xml:space="preserve"> employer’s alleged failure to prevent employees from exposing others</w:t>
      </w:r>
      <w:r w:rsidR="0037180A">
        <w:t xml:space="preserve">) </w:t>
      </w:r>
      <w:r w:rsidR="001F7CAC">
        <w:t>and</w:t>
      </w:r>
      <w:r w:rsidR="00C47FB2">
        <w:t xml:space="preserve"> premises liability</w:t>
      </w:r>
      <w:r w:rsidR="001F7CAC">
        <w:t xml:space="preserve"> (</w:t>
      </w:r>
      <w:r w:rsidR="00420091">
        <w:t xml:space="preserve">based on </w:t>
      </w:r>
      <w:r w:rsidR="00493F69">
        <w:t xml:space="preserve">the </w:t>
      </w:r>
      <w:r w:rsidR="00420091">
        <w:t xml:space="preserve">employer’s alleged failure </w:t>
      </w:r>
      <w:r w:rsidR="008C279C">
        <w:t xml:space="preserve">to prevent exposure </w:t>
      </w:r>
      <w:r w:rsidR="00420091">
        <w:t xml:space="preserve">as owner of </w:t>
      </w:r>
      <w:r w:rsidR="00D25795">
        <w:t xml:space="preserve">the </w:t>
      </w:r>
      <w:r w:rsidR="00420091">
        <w:t>property where employees work</w:t>
      </w:r>
      <w:r w:rsidR="001F7CAC">
        <w:t>)</w:t>
      </w:r>
      <w:r w:rsidR="00C47FB2">
        <w:t>—</w:t>
      </w:r>
      <w:r w:rsidR="00834963">
        <w:t>require</w:t>
      </w:r>
      <w:r w:rsidR="000C0575">
        <w:t xml:space="preserve"> the element of duty</w:t>
      </w:r>
      <w:r w:rsidR="00C47FB2">
        <w:t>.</w:t>
      </w:r>
      <w:r w:rsidR="00C47FB2" w:rsidRPr="00BF0FF2">
        <w:t xml:space="preserve"> </w:t>
      </w:r>
      <w:r w:rsidR="00C47FB2">
        <w:t xml:space="preserve"> (</w:t>
      </w:r>
      <w:r w:rsidR="0037180A">
        <w:rPr>
          <w:i/>
          <w:iCs/>
        </w:rPr>
        <w:t>Id</w:t>
      </w:r>
      <w:r w:rsidR="00C47FB2">
        <w:rPr>
          <w:i/>
          <w:iCs/>
        </w:rPr>
        <w:t>.</w:t>
      </w:r>
      <w:r w:rsidR="0037180A">
        <w:t xml:space="preserve"> at p.</w:t>
      </w:r>
      <w:r w:rsidR="003C01ED">
        <w:t xml:space="preserve"> </w:t>
      </w:r>
      <w:r w:rsidR="0037180A">
        <w:t>1158.</w:t>
      </w:r>
      <w:r w:rsidR="00C47FB2">
        <w:t xml:space="preserve">)  </w:t>
      </w:r>
      <w:r w:rsidR="001D7135">
        <w:t>Accordingly, t</w:t>
      </w:r>
      <w:r w:rsidR="00C766BB">
        <w:t>he</w:t>
      </w:r>
      <w:r w:rsidR="001D7135">
        <w:t xml:space="preserve"> </w:t>
      </w:r>
      <w:r w:rsidR="00C766BB">
        <w:t xml:space="preserve">scope of review </w:t>
      </w:r>
      <w:r w:rsidR="00693CE8">
        <w:t xml:space="preserve">in </w:t>
      </w:r>
      <w:proofErr w:type="spellStart"/>
      <w:r w:rsidR="00693CE8">
        <w:rPr>
          <w:i/>
          <w:iCs/>
        </w:rPr>
        <w:t>Kesner</w:t>
      </w:r>
      <w:proofErr w:type="spellEnd"/>
      <w:r w:rsidR="00693CE8">
        <w:rPr>
          <w:i/>
          <w:iCs/>
        </w:rPr>
        <w:t xml:space="preserve"> </w:t>
      </w:r>
      <w:r w:rsidR="00C766BB">
        <w:t>was clear</w:t>
      </w:r>
      <w:proofErr w:type="gramStart"/>
      <w:r w:rsidR="00C766BB">
        <w:t xml:space="preserve">: </w:t>
      </w:r>
      <w:r w:rsidR="00C766BB" w:rsidRPr="00A7138B">
        <w:t xml:space="preserve"> </w:t>
      </w:r>
      <w:r w:rsidR="00C766BB">
        <w:t>“</w:t>
      </w:r>
      <w:proofErr w:type="gramEnd"/>
      <w:r w:rsidR="00C766BB" w:rsidRPr="0048224B">
        <w:t xml:space="preserve">Here we are tasked solely with deciding whether </w:t>
      </w:r>
      <w:r w:rsidR="00C766BB">
        <w:t>[defendants]</w:t>
      </w:r>
      <w:r w:rsidR="00C766BB" w:rsidRPr="0048224B">
        <w:t xml:space="preserve"> had a legal duty to prevent the injuries alleged by </w:t>
      </w:r>
      <w:r w:rsidR="00C766BB">
        <w:t>[plaintiffs]</w:t>
      </w:r>
      <w:r w:rsidR="00C766BB" w:rsidRPr="0048224B">
        <w:t>.</w:t>
      </w:r>
      <w:r w:rsidR="00C766BB">
        <w:t xml:space="preserve">”  </w:t>
      </w:r>
      <w:r w:rsidR="0037180A">
        <w:t>(</w:t>
      </w:r>
      <w:r w:rsidR="0037180A" w:rsidRPr="00E02BAA">
        <w:rPr>
          <w:i/>
          <w:iCs/>
        </w:rPr>
        <w:t>Id.</w:t>
      </w:r>
      <w:r w:rsidR="0037180A">
        <w:t xml:space="preserve"> at p.</w:t>
      </w:r>
      <w:r w:rsidR="003C01ED">
        <w:t xml:space="preserve"> </w:t>
      </w:r>
      <w:r w:rsidR="0037180A">
        <w:t>1142.)</w:t>
      </w:r>
      <w:r w:rsidR="00844F61">
        <w:t xml:space="preserve">  </w:t>
      </w:r>
      <w:r w:rsidR="00856CE1">
        <w:t xml:space="preserve">As </w:t>
      </w:r>
      <w:r w:rsidR="00D867F1">
        <w:t>we describe</w:t>
      </w:r>
      <w:r w:rsidR="00856CE1">
        <w:t xml:space="preserve"> below, the </w:t>
      </w:r>
      <w:r w:rsidR="0005464D">
        <w:t>c</w:t>
      </w:r>
      <w:r w:rsidR="00856CE1">
        <w:t>ourt reached a conclusion about the scope of this duty and explicitly</w:t>
      </w:r>
      <w:r w:rsidR="00844F61">
        <w:t xml:space="preserve"> disapproved </w:t>
      </w:r>
      <w:r w:rsidR="00844F61" w:rsidRPr="002C545E">
        <w:rPr>
          <w:i/>
          <w:iCs/>
        </w:rPr>
        <w:t>Campbell</w:t>
      </w:r>
      <w:r w:rsidR="00844F61">
        <w:t xml:space="preserve">.  </w:t>
      </w:r>
      <w:r w:rsidR="00856CE1">
        <w:t>(</w:t>
      </w:r>
      <w:proofErr w:type="spellStart"/>
      <w:r w:rsidR="00856CE1">
        <w:rPr>
          <w:i/>
          <w:iCs/>
        </w:rPr>
        <w:t>Kesner</w:t>
      </w:r>
      <w:proofErr w:type="spellEnd"/>
      <w:r w:rsidR="00856CE1">
        <w:t>,</w:t>
      </w:r>
      <w:r w:rsidR="00844F61">
        <w:t xml:space="preserve"> at p. 1156</w:t>
      </w:r>
      <w:r w:rsidR="00856CE1">
        <w:t>.)</w:t>
      </w:r>
    </w:p>
    <w:p w14:paraId="2770E4CD" w14:textId="21684277" w:rsidR="005A24B0" w:rsidRDefault="008364D7" w:rsidP="003A5727">
      <w:pPr>
        <w:spacing w:line="360" w:lineRule="auto"/>
      </w:pPr>
      <w:r>
        <w:tab/>
      </w:r>
      <w:r w:rsidR="007147C0">
        <w:t>“</w:t>
      </w:r>
      <w:r w:rsidR="007147C0" w:rsidRPr="007147C0">
        <w:t xml:space="preserve">The </w:t>
      </w:r>
      <w:r w:rsidR="00501F3C">
        <w:t>‘</w:t>
      </w:r>
      <w:r w:rsidR="007147C0" w:rsidRPr="007147C0">
        <w:t>general rule</w:t>
      </w:r>
      <w:r w:rsidR="00501F3C">
        <w:t>’</w:t>
      </w:r>
      <w:r w:rsidR="007147C0" w:rsidRPr="007147C0">
        <w:t xml:space="preserve"> of duty in California is established by statute.</w:t>
      </w:r>
      <w:r w:rsidR="00501F3C">
        <w:t>”  (</w:t>
      </w:r>
      <w:proofErr w:type="spellStart"/>
      <w:r w:rsidR="00501F3C" w:rsidRPr="00501F3C">
        <w:rPr>
          <w:i/>
          <w:iCs/>
        </w:rPr>
        <w:t>Kuciemba</w:t>
      </w:r>
      <w:proofErr w:type="spellEnd"/>
      <w:r w:rsidR="00501F3C" w:rsidRPr="00501F3C">
        <w:rPr>
          <w:i/>
          <w:iCs/>
        </w:rPr>
        <w:t xml:space="preserve"> v. Victory Woodworks, Inc.</w:t>
      </w:r>
      <w:r w:rsidR="00501F3C">
        <w:t xml:space="preserve"> (2023) 14 Cal.5th 993, 1016</w:t>
      </w:r>
      <w:r w:rsidR="00120394">
        <w:t xml:space="preserve"> (</w:t>
      </w:r>
      <w:proofErr w:type="spellStart"/>
      <w:r w:rsidR="00120394">
        <w:rPr>
          <w:i/>
          <w:iCs/>
        </w:rPr>
        <w:t>Kuciemba</w:t>
      </w:r>
      <w:proofErr w:type="spellEnd"/>
      <w:r w:rsidR="00120394">
        <w:t>)</w:t>
      </w:r>
      <w:r w:rsidR="00501F3C">
        <w:t>.)</w:t>
      </w:r>
      <w:r w:rsidR="007147C0" w:rsidRPr="007147C0">
        <w:t xml:space="preserve"> </w:t>
      </w:r>
      <w:r w:rsidR="00501F3C">
        <w:t xml:space="preserve"> </w:t>
      </w:r>
      <w:r w:rsidR="007147C0" w:rsidRPr="007147C0">
        <w:t xml:space="preserve">Civil Code section 1714, subdivision (a) </w:t>
      </w:r>
      <w:proofErr w:type="gramStart"/>
      <w:r w:rsidR="00501F3C">
        <w:t>“</w:t>
      </w:r>
      <w:r w:rsidR="006C3314">
        <w:t> ‘</w:t>
      </w:r>
      <w:proofErr w:type="gramEnd"/>
      <w:r w:rsidR="007147C0" w:rsidRPr="007147C0">
        <w:t xml:space="preserve">establishes the default rule that each person has a duty </w:t>
      </w:r>
      <w:r w:rsidR="006C3314">
        <w:t>“</w:t>
      </w:r>
      <w:r w:rsidR="007147C0" w:rsidRPr="007147C0">
        <w:t>to exercise, in his or her activities, reasonable care for the safety of others.</w:t>
      </w:r>
      <w:r w:rsidR="006C3314">
        <w:t>” </w:t>
      </w:r>
      <w:r w:rsidR="00501F3C">
        <w:t>’</w:t>
      </w:r>
      <w:r w:rsidR="006C3314">
        <w:t> </w:t>
      </w:r>
      <w:r w:rsidR="00501F3C">
        <w:t>”</w:t>
      </w:r>
      <w:r w:rsidR="00827A2E">
        <w:t xml:space="preserve">  (</w:t>
      </w:r>
      <w:proofErr w:type="spellStart"/>
      <w:r w:rsidR="00120394" w:rsidRPr="00501F3C">
        <w:rPr>
          <w:i/>
          <w:iCs/>
        </w:rPr>
        <w:t>Kuciemba</w:t>
      </w:r>
      <w:proofErr w:type="spellEnd"/>
      <w:r w:rsidR="00120394">
        <w:t>, at p.</w:t>
      </w:r>
      <w:r w:rsidR="003C01ED">
        <w:t xml:space="preserve"> 1016</w:t>
      </w:r>
      <w:r w:rsidR="00827A2E">
        <w:rPr>
          <w:i/>
          <w:iCs/>
        </w:rPr>
        <w:t>.</w:t>
      </w:r>
      <w:r w:rsidR="00827A2E">
        <w:t>)</w:t>
      </w:r>
      <w:r w:rsidR="00276942">
        <w:t xml:space="preserve">  </w:t>
      </w:r>
      <w:r w:rsidR="005E5262">
        <w:t xml:space="preserve">While </w:t>
      </w:r>
      <w:r w:rsidR="009E2F1F">
        <w:t>s</w:t>
      </w:r>
      <w:r w:rsidR="00276942" w:rsidRPr="00276942">
        <w:t xml:space="preserve">ection 1714 states </w:t>
      </w:r>
      <w:r w:rsidR="009D234D">
        <w:t>the general default</w:t>
      </w:r>
      <w:r w:rsidR="00276942" w:rsidRPr="00276942">
        <w:t xml:space="preserve"> rule, </w:t>
      </w:r>
      <w:r w:rsidR="00817B97">
        <w:t xml:space="preserve">exceptions can be </w:t>
      </w:r>
      <w:r w:rsidR="00EF29D1">
        <w:t xml:space="preserve">created </w:t>
      </w:r>
      <w:r w:rsidR="00E737B0">
        <w:t>by</w:t>
      </w:r>
      <w:r w:rsidR="002B28D9">
        <w:t xml:space="preserve"> statute or by</w:t>
      </w:r>
      <w:r w:rsidR="00E737B0">
        <w:t xml:space="preserve"> courts</w:t>
      </w:r>
      <w:r w:rsidR="00210354">
        <w:t xml:space="preserve"> </w:t>
      </w:r>
      <w:proofErr w:type="gramStart"/>
      <w:r w:rsidR="004F3948">
        <w:t>“</w:t>
      </w:r>
      <w:r w:rsidR="00FB1390">
        <w:t> ‘</w:t>
      </w:r>
      <w:proofErr w:type="gramEnd"/>
      <w:r w:rsidR="004F3948">
        <w:t xml:space="preserve">only </w:t>
      </w:r>
      <w:r w:rsidR="00817B97">
        <w:t>whe</w:t>
      </w:r>
      <w:r w:rsidR="00210354">
        <w:t>re</w:t>
      </w:r>
      <w:r w:rsidR="00817B97">
        <w:t xml:space="preserve"> </w:t>
      </w:r>
      <w:r w:rsidR="00040C4D">
        <w:t>“clearly supported by public policy.” ’ ”  (</w:t>
      </w:r>
      <w:proofErr w:type="spellStart"/>
      <w:r w:rsidR="00D67735" w:rsidRPr="000B6D9A">
        <w:rPr>
          <w:i/>
          <w:iCs/>
        </w:rPr>
        <w:t>Kesner</w:t>
      </w:r>
      <w:proofErr w:type="spellEnd"/>
      <w:r w:rsidR="00D67735">
        <w:t xml:space="preserve">, </w:t>
      </w:r>
      <w:r w:rsidR="00D67735" w:rsidRPr="000B6D9A">
        <w:rPr>
          <w:i/>
          <w:iCs/>
        </w:rPr>
        <w:t>supra</w:t>
      </w:r>
      <w:r w:rsidR="00D67735">
        <w:t>, 1 Cal.5th at p. 11</w:t>
      </w:r>
      <w:r w:rsidR="00BB7B6A">
        <w:t>43</w:t>
      </w:r>
      <w:r w:rsidR="00E737B0">
        <w:t>.</w:t>
      </w:r>
      <w:r w:rsidR="00BB7B6A">
        <w:t>)</w:t>
      </w:r>
      <w:r w:rsidR="00137FDB">
        <w:t xml:space="preserve">  </w:t>
      </w:r>
      <w:r w:rsidR="005B631A">
        <w:t xml:space="preserve">These policy considerations must be clear in order to justify </w:t>
      </w:r>
      <w:proofErr w:type="gramStart"/>
      <w:r w:rsidR="005B631A">
        <w:t>“ ‘</w:t>
      </w:r>
      <w:proofErr w:type="gramEnd"/>
      <w:r w:rsidR="005B631A" w:rsidRPr="005B631A">
        <w:t>carving out an entire category of cases from that general duty rule.</w:t>
      </w:r>
      <w:r w:rsidR="005B631A">
        <w:t>’ </w:t>
      </w:r>
      <w:r w:rsidR="005B631A" w:rsidRPr="005B631A">
        <w:t>”</w:t>
      </w:r>
      <w:r w:rsidR="005B631A">
        <w:t xml:space="preserve"> </w:t>
      </w:r>
      <w:r w:rsidR="005B631A" w:rsidRPr="005B631A">
        <w:t xml:space="preserve"> (</w:t>
      </w:r>
      <w:r w:rsidR="004E5459">
        <w:rPr>
          <w:i/>
          <w:iCs/>
        </w:rPr>
        <w:t xml:space="preserve">Id. </w:t>
      </w:r>
      <w:r w:rsidR="005B631A" w:rsidRPr="005B631A">
        <w:t>at pp. 1143–1144</w:t>
      </w:r>
      <w:r w:rsidR="005B631A">
        <w:t>.)</w:t>
      </w:r>
    </w:p>
    <w:p w14:paraId="0C89E216" w14:textId="0A2A8079" w:rsidR="00012C85" w:rsidRDefault="005A24B0" w:rsidP="003A5727">
      <w:pPr>
        <w:spacing w:line="360" w:lineRule="auto"/>
      </w:pPr>
      <w:r>
        <w:lastRenderedPageBreak/>
        <w:tab/>
      </w:r>
      <w:r w:rsidR="00137FDB">
        <w:t xml:space="preserve">To determine </w:t>
      </w:r>
      <w:r w:rsidR="006A3B4F">
        <w:t xml:space="preserve">whether </w:t>
      </w:r>
      <w:r w:rsidR="00137FDB">
        <w:t xml:space="preserve">public policy </w:t>
      </w:r>
      <w:r w:rsidR="006A3B4F">
        <w:t>supports s</w:t>
      </w:r>
      <w:r w:rsidR="00137FDB">
        <w:t>uch an exception</w:t>
      </w:r>
      <w:r w:rsidR="001B7918">
        <w:t xml:space="preserve">, </w:t>
      </w:r>
      <w:r w:rsidR="00137FDB">
        <w:t>courts</w:t>
      </w:r>
      <w:r w:rsidR="001B7918">
        <w:t xml:space="preserve"> </w:t>
      </w:r>
      <w:r w:rsidR="003E563A">
        <w:t>look</w:t>
      </w:r>
      <w:r w:rsidR="00582A57">
        <w:t xml:space="preserve"> to the</w:t>
      </w:r>
      <w:r w:rsidR="003A5727">
        <w:t xml:space="preserve"> seven</w:t>
      </w:r>
      <w:r w:rsidR="00582A57">
        <w:t xml:space="preserve"> factors </w:t>
      </w:r>
      <w:r w:rsidR="0055385C">
        <w:t xml:space="preserve">set </w:t>
      </w:r>
      <w:r w:rsidR="00736EB3">
        <w:t xml:space="preserve">forth in </w:t>
      </w:r>
      <w:r w:rsidR="00582A57">
        <w:rPr>
          <w:i/>
          <w:iCs/>
        </w:rPr>
        <w:t>Rowland</w:t>
      </w:r>
      <w:r w:rsidR="00AE6CD6">
        <w:rPr>
          <w:i/>
          <w:iCs/>
        </w:rPr>
        <w:t xml:space="preserve"> v. Christian</w:t>
      </w:r>
      <w:r w:rsidR="00AE6CD6">
        <w:t xml:space="preserve"> (1968) 69 Cal.2d 108</w:t>
      </w:r>
      <w:r w:rsidR="008729E7">
        <w:t xml:space="preserve"> (</w:t>
      </w:r>
      <w:r w:rsidR="008729E7">
        <w:rPr>
          <w:i/>
          <w:iCs/>
        </w:rPr>
        <w:t>Rowland</w:t>
      </w:r>
      <w:r w:rsidR="008729E7">
        <w:t>)</w:t>
      </w:r>
      <w:r w:rsidR="003A5727">
        <w:t xml:space="preserve">:  foreseeability of injury, certainty that plaintiff suffered injury, connection between injury and defendant’s conduct, </w:t>
      </w:r>
      <w:r w:rsidR="004B1C27">
        <w:t>mo</w:t>
      </w:r>
      <w:r w:rsidR="003A5727">
        <w:t>ral blame</w:t>
      </w:r>
      <w:r w:rsidR="004B1C27">
        <w:t>, p</w:t>
      </w:r>
      <w:r w:rsidR="003A5727">
        <w:t>reventing future harm</w:t>
      </w:r>
      <w:r w:rsidR="004B1C27">
        <w:t>, b</w:t>
      </w:r>
      <w:r w:rsidR="003A5727">
        <w:t>urden</w:t>
      </w:r>
      <w:r w:rsidR="004B1C27">
        <w:t xml:space="preserve"> to defendant</w:t>
      </w:r>
      <w:r w:rsidR="00DC2F8C">
        <w:t xml:space="preserve"> and the community</w:t>
      </w:r>
      <w:r w:rsidR="004B1C27">
        <w:t>, and a</w:t>
      </w:r>
      <w:r w:rsidR="003A5727">
        <w:t>vailability of insurance</w:t>
      </w:r>
      <w:r w:rsidR="004B1C27">
        <w:t>.</w:t>
      </w:r>
      <w:r w:rsidR="009021F0">
        <w:t xml:space="preserve">  (</w:t>
      </w:r>
      <w:proofErr w:type="spellStart"/>
      <w:r w:rsidR="009021F0" w:rsidRPr="000B6D9A">
        <w:rPr>
          <w:i/>
          <w:iCs/>
        </w:rPr>
        <w:t>Kesner</w:t>
      </w:r>
      <w:proofErr w:type="spellEnd"/>
      <w:r w:rsidR="009021F0">
        <w:t xml:space="preserve">, </w:t>
      </w:r>
      <w:r w:rsidR="00F311BA" w:rsidRPr="000B6D9A">
        <w:rPr>
          <w:i/>
          <w:iCs/>
        </w:rPr>
        <w:t>supra</w:t>
      </w:r>
      <w:r w:rsidR="00F311BA">
        <w:t xml:space="preserve">, 1 Cal.5th </w:t>
      </w:r>
      <w:r w:rsidR="009021F0">
        <w:t>at p.</w:t>
      </w:r>
      <w:r w:rsidR="003C01ED">
        <w:t xml:space="preserve"> </w:t>
      </w:r>
      <w:r w:rsidR="009021F0">
        <w:t>114</w:t>
      </w:r>
      <w:r w:rsidR="002524A2">
        <w:t>3.</w:t>
      </w:r>
      <w:r w:rsidR="00077A8C">
        <w:t>)</w:t>
      </w:r>
      <w:r w:rsidR="002F5FE9">
        <w:t xml:space="preserve">  </w:t>
      </w:r>
      <w:r w:rsidR="006E72D2">
        <w:t>T</w:t>
      </w:r>
      <w:r w:rsidR="002F5FE9">
        <w:t xml:space="preserve">he </w:t>
      </w:r>
      <w:r w:rsidR="002F5FE9" w:rsidRPr="00F311BA">
        <w:rPr>
          <w:i/>
          <w:iCs/>
        </w:rPr>
        <w:t>Rowland</w:t>
      </w:r>
      <w:r w:rsidR="002F5FE9">
        <w:t xml:space="preserve"> factors fall into </w:t>
      </w:r>
      <w:r w:rsidR="005642A4">
        <w:t>two categories</w:t>
      </w:r>
      <w:r w:rsidR="006E72D2">
        <w:t>:  t</w:t>
      </w:r>
      <w:r w:rsidR="005642A4">
        <w:t>he first three consider “the foreseeability of the relevant injury,” and the other</w:t>
      </w:r>
      <w:r w:rsidR="009B4B79">
        <w:t>s</w:t>
      </w:r>
      <w:r w:rsidR="005642A4">
        <w:t xml:space="preserve"> “take into account public policy concerns that might support excluding certain kinds of plaintiffs or injuries from relief.”  (</w:t>
      </w:r>
      <w:proofErr w:type="spellStart"/>
      <w:r w:rsidR="006E72D2" w:rsidRPr="000B6D9A">
        <w:rPr>
          <w:i/>
          <w:iCs/>
        </w:rPr>
        <w:t>Kesner</w:t>
      </w:r>
      <w:proofErr w:type="spellEnd"/>
      <w:r w:rsidR="006E72D2">
        <w:t>,</w:t>
      </w:r>
      <w:r w:rsidR="005642A4">
        <w:t xml:space="preserve"> at p. 1145.)</w:t>
      </w:r>
      <w:r w:rsidR="006E72D2">
        <w:t xml:space="preserve"> </w:t>
      </w:r>
      <w:r w:rsidR="005642A4">
        <w:t xml:space="preserve"> </w:t>
      </w:r>
      <w:r w:rsidR="006E72D2">
        <w:t xml:space="preserve">The </w:t>
      </w:r>
      <w:r w:rsidR="00B34F9E">
        <w:t>c</w:t>
      </w:r>
      <w:r w:rsidR="006E72D2">
        <w:t xml:space="preserve">ourt in </w:t>
      </w:r>
      <w:proofErr w:type="spellStart"/>
      <w:r w:rsidR="006E72D2">
        <w:rPr>
          <w:i/>
          <w:iCs/>
        </w:rPr>
        <w:t>Kesner</w:t>
      </w:r>
      <w:proofErr w:type="spellEnd"/>
      <w:r w:rsidR="006E72D2">
        <w:t xml:space="preserve"> explained that foreseeability of injury was “[t]he most important factor,” measured by what a </w:t>
      </w:r>
      <w:proofErr w:type="gramStart"/>
      <w:r w:rsidR="006E72D2">
        <w:t>“</w:t>
      </w:r>
      <w:r w:rsidR="00CE7B05">
        <w:t> </w:t>
      </w:r>
      <w:r w:rsidR="006E72D2">
        <w:t>‘</w:t>
      </w:r>
      <w:proofErr w:type="gramEnd"/>
      <w:r w:rsidR="006E72D2">
        <w:t> “reasonably thoughtful [person] would take account of</w:t>
      </w:r>
      <w:r w:rsidR="00CE7B05">
        <w:t xml:space="preserve"> </w:t>
      </w:r>
      <w:r w:rsidR="006E72D2">
        <w:t>. . .</w:t>
      </w:r>
      <w:r w:rsidR="00CE7B05">
        <w:t xml:space="preserve"> </w:t>
      </w:r>
      <w:r w:rsidR="006E72D2">
        <w:t>in guiding practical conduct.” ’ ”  (</w:t>
      </w:r>
      <w:r w:rsidR="006E72D2">
        <w:rPr>
          <w:i/>
          <w:iCs/>
        </w:rPr>
        <w:t>Id.</w:t>
      </w:r>
      <w:r w:rsidR="006E72D2">
        <w:t xml:space="preserve"> at p.</w:t>
      </w:r>
      <w:r w:rsidR="003C01ED">
        <w:t xml:space="preserve"> </w:t>
      </w:r>
      <w:r w:rsidR="006E72D2">
        <w:t xml:space="preserve">1145.)  </w:t>
      </w:r>
    </w:p>
    <w:p w14:paraId="7285E495" w14:textId="0D6DA0B1" w:rsidR="009B1B1B" w:rsidRDefault="00012C85" w:rsidP="003A5727">
      <w:pPr>
        <w:spacing w:line="360" w:lineRule="auto"/>
      </w:pPr>
      <w:r>
        <w:tab/>
      </w:r>
      <w:proofErr w:type="spellStart"/>
      <w:r w:rsidR="002741A3" w:rsidRPr="0008531B">
        <w:rPr>
          <w:i/>
          <w:iCs/>
        </w:rPr>
        <w:t>Kesner</w:t>
      </w:r>
      <w:proofErr w:type="spellEnd"/>
      <w:r w:rsidR="00302386">
        <w:t xml:space="preserve"> </w:t>
      </w:r>
      <w:r w:rsidR="00D2225B">
        <w:t xml:space="preserve">thus </w:t>
      </w:r>
      <w:r w:rsidR="00302386">
        <w:t xml:space="preserve">analyzed </w:t>
      </w:r>
      <w:r w:rsidR="00D2225B">
        <w:t>the</w:t>
      </w:r>
      <w:r w:rsidR="00302386">
        <w:t xml:space="preserve"> seven </w:t>
      </w:r>
      <w:r w:rsidR="008729E7">
        <w:rPr>
          <w:i/>
          <w:iCs/>
        </w:rPr>
        <w:t xml:space="preserve">Rowland </w:t>
      </w:r>
      <w:r w:rsidR="00302386">
        <w:t xml:space="preserve">factors to </w:t>
      </w:r>
      <w:r w:rsidR="00E1759E">
        <w:t xml:space="preserve">decide </w:t>
      </w:r>
      <w:r w:rsidR="00302386">
        <w:t>whether</w:t>
      </w:r>
      <w:r w:rsidR="00B35179">
        <w:t xml:space="preserve"> </w:t>
      </w:r>
      <w:r w:rsidR="00B35179" w:rsidRPr="00C77C84">
        <w:t>an employer</w:t>
      </w:r>
      <w:r w:rsidR="00927047">
        <w:t xml:space="preserve"> </w:t>
      </w:r>
      <w:r w:rsidR="00B35179">
        <w:t>owe</w:t>
      </w:r>
      <w:r w:rsidR="002F5FE9">
        <w:t>s</w:t>
      </w:r>
      <w:r w:rsidR="00B35179">
        <w:t xml:space="preserve"> a duty of care </w:t>
      </w:r>
      <w:r w:rsidR="00490724">
        <w:t>to</w:t>
      </w:r>
      <w:r w:rsidR="005A6CB6">
        <w:t xml:space="preserve"> protect</w:t>
      </w:r>
      <w:r w:rsidR="00490724">
        <w:t xml:space="preserve"> </w:t>
      </w:r>
      <w:r w:rsidR="005A6CB6">
        <w:t xml:space="preserve">an employee’s household </w:t>
      </w:r>
      <w:r w:rsidR="00490724">
        <w:t>members</w:t>
      </w:r>
      <w:r w:rsidR="005A6CB6">
        <w:t xml:space="preserve"> from secondary exposure to asbestos</w:t>
      </w:r>
      <w:r w:rsidR="002741A3">
        <w:t xml:space="preserve">.  </w:t>
      </w:r>
      <w:r w:rsidR="005A6CB6">
        <w:t>(</w:t>
      </w:r>
      <w:proofErr w:type="spellStart"/>
      <w:r w:rsidR="005A6CB6" w:rsidRPr="000B6D9A">
        <w:rPr>
          <w:i/>
          <w:iCs/>
        </w:rPr>
        <w:t>Kesner</w:t>
      </w:r>
      <w:proofErr w:type="spellEnd"/>
      <w:r w:rsidR="005A6CB6">
        <w:t xml:space="preserve">, </w:t>
      </w:r>
      <w:r w:rsidR="005A6CB6" w:rsidRPr="000B6D9A">
        <w:rPr>
          <w:i/>
          <w:iCs/>
        </w:rPr>
        <w:t>supra</w:t>
      </w:r>
      <w:r w:rsidR="005A6CB6">
        <w:t>, 1 Cal.5th at p</w:t>
      </w:r>
      <w:r w:rsidR="00983F3F">
        <w:t>p</w:t>
      </w:r>
      <w:r w:rsidR="005A6CB6">
        <w:t>. 114</w:t>
      </w:r>
      <w:r w:rsidR="00983F3F">
        <w:t>5</w:t>
      </w:r>
      <w:r w:rsidR="00CF7CF6">
        <w:t>–</w:t>
      </w:r>
      <w:r w:rsidR="00983F3F">
        <w:t>1152</w:t>
      </w:r>
      <w:r w:rsidR="005A6CB6">
        <w:t xml:space="preserve">.)  </w:t>
      </w:r>
      <w:r w:rsidR="006E72D2">
        <w:t xml:space="preserve">It </w:t>
      </w:r>
      <w:r w:rsidR="009654DC">
        <w:t>determined</w:t>
      </w:r>
      <w:r w:rsidR="00800CE2">
        <w:t xml:space="preserve"> that </w:t>
      </w:r>
      <w:r w:rsidR="006E72D2">
        <w:t xml:space="preserve">the first three </w:t>
      </w:r>
      <w:r w:rsidR="00800CE2">
        <w:t>factor</w:t>
      </w:r>
      <w:r w:rsidR="006E72D2">
        <w:t>s</w:t>
      </w:r>
      <w:r w:rsidR="00800CE2">
        <w:t xml:space="preserve"> weighed </w:t>
      </w:r>
      <w:r w:rsidR="00983F3F">
        <w:t>in favor of finding a duty</w:t>
      </w:r>
      <w:r w:rsidR="00800CE2">
        <w:t xml:space="preserve"> because “it was foreseeable that people who work with or around asbestos may carry asbestos fibers home with them and expose members of their household</w:t>
      </w:r>
      <w:r w:rsidR="006E72D2">
        <w:t>,</w:t>
      </w:r>
      <w:r w:rsidR="00800CE2">
        <w:t>”</w:t>
      </w:r>
      <w:r w:rsidR="00E733BE">
        <w:t xml:space="preserve"> </w:t>
      </w:r>
      <w:r w:rsidR="00696178">
        <w:t>it was certain that the plaintiffs had suffered injury because they had died of mesothelioma</w:t>
      </w:r>
      <w:r w:rsidR="00E31917">
        <w:t>,</w:t>
      </w:r>
      <w:r w:rsidR="005642A4">
        <w:t xml:space="preserve"> and</w:t>
      </w:r>
      <w:r w:rsidR="00B01231">
        <w:t xml:space="preserve"> </w:t>
      </w:r>
      <w:r w:rsidR="0056750E">
        <w:t>the purported</w:t>
      </w:r>
      <w:r w:rsidR="00EE21DE">
        <w:t xml:space="preserve"> </w:t>
      </w:r>
      <w:r w:rsidR="00696178">
        <w:t>intervening conduct (workers return</w:t>
      </w:r>
      <w:r w:rsidR="00D867F1">
        <w:t>ing</w:t>
      </w:r>
      <w:r w:rsidR="00696178">
        <w:t xml:space="preserve"> home without adequate precautions and bringing in asbestos dust) was </w:t>
      </w:r>
      <w:r w:rsidR="00EE21DE">
        <w:t>“predictive and derivative of the alleged misconduct” and thus “</w:t>
      </w:r>
      <w:r w:rsidR="00696178">
        <w:t>entirely foreseeable</w:t>
      </w:r>
      <w:r w:rsidR="005642A4">
        <w:t>.</w:t>
      </w:r>
      <w:r w:rsidR="00EE21DE">
        <w:t>”</w:t>
      </w:r>
      <w:r w:rsidR="005642A4">
        <w:t xml:space="preserve">  (</w:t>
      </w:r>
      <w:r w:rsidR="005642A4" w:rsidRPr="006E72D2">
        <w:rPr>
          <w:i/>
          <w:iCs/>
        </w:rPr>
        <w:t>Id</w:t>
      </w:r>
      <w:r w:rsidR="005642A4">
        <w:t xml:space="preserve">. at pp. </w:t>
      </w:r>
      <w:r w:rsidR="006E72D2">
        <w:t xml:space="preserve">1145, </w:t>
      </w:r>
      <w:r w:rsidR="005642A4">
        <w:t>1148</w:t>
      </w:r>
      <w:r w:rsidR="00CF7CF6">
        <w:t>–</w:t>
      </w:r>
      <w:r w:rsidR="005642A4">
        <w:t xml:space="preserve">1149.)  </w:t>
      </w:r>
    </w:p>
    <w:p w14:paraId="4F9F5B87" w14:textId="1A1D4FBD" w:rsidR="00BE32DF" w:rsidRPr="00DA6EA2" w:rsidRDefault="009B1B1B" w:rsidP="003F1149">
      <w:pPr>
        <w:spacing w:line="360" w:lineRule="auto"/>
      </w:pPr>
      <w:r>
        <w:tab/>
      </w:r>
      <w:r w:rsidR="004E7DAA">
        <w:t xml:space="preserve">The </w:t>
      </w:r>
      <w:r w:rsidR="003C01ED">
        <w:t>c</w:t>
      </w:r>
      <w:r w:rsidR="004E7DAA">
        <w:t xml:space="preserve">ourt then turned to the consideration of the remaining </w:t>
      </w:r>
      <w:r w:rsidR="004E7DAA" w:rsidRPr="00CF7CF6">
        <w:rPr>
          <w:i/>
          <w:iCs/>
        </w:rPr>
        <w:t>Rowland</w:t>
      </w:r>
      <w:r w:rsidR="004E7DAA">
        <w:t xml:space="preserve"> factors.</w:t>
      </w:r>
      <w:r w:rsidR="009B4B79">
        <w:t xml:space="preserve"> </w:t>
      </w:r>
      <w:r w:rsidR="00CF7CF6">
        <w:t xml:space="preserve"> </w:t>
      </w:r>
      <w:r w:rsidR="003F1149">
        <w:t>I</w:t>
      </w:r>
      <w:r w:rsidR="0065247D">
        <w:t>t had little difficulty finding that “</w:t>
      </w:r>
      <w:r w:rsidR="00CE7B05">
        <w:t>[</w:t>
      </w:r>
      <w:r w:rsidR="0065247D">
        <w:t>n</w:t>
      </w:r>
      <w:r w:rsidR="00CE7B05">
        <w:t>]</w:t>
      </w:r>
      <w:proofErr w:type="spellStart"/>
      <w:r w:rsidR="0065247D">
        <w:t>egligence</w:t>
      </w:r>
      <w:proofErr w:type="spellEnd"/>
      <w:r w:rsidR="0065247D">
        <w:t xml:space="preserve"> in [commercial users] use of asbestos is morally blameworthy</w:t>
      </w:r>
      <w:r w:rsidR="003F1149">
        <w:t>,</w:t>
      </w:r>
      <w:r w:rsidR="0065247D">
        <w:t>”</w:t>
      </w:r>
      <w:r w:rsidR="003F1149">
        <w:t xml:space="preserve"> legislatures and agencies had </w:t>
      </w:r>
      <w:r w:rsidR="003F1149">
        <w:lastRenderedPageBreak/>
        <w:t xml:space="preserve">“readily adopted the premise” that imposing liability for asbestos exposure would prevent future harm, protection of household members would not impose a greater burden than the protection of workers themselves, and </w:t>
      </w:r>
      <w:r w:rsidR="00377FE5">
        <w:t xml:space="preserve">that the relevant framework for availability of </w:t>
      </w:r>
      <w:r w:rsidR="003F1149">
        <w:t xml:space="preserve">insurance </w:t>
      </w:r>
      <w:r w:rsidR="00377FE5">
        <w:t>looks</w:t>
      </w:r>
      <w:r w:rsidR="003F1149">
        <w:t xml:space="preserve"> </w:t>
      </w:r>
      <w:r w:rsidR="00377FE5">
        <w:t>to</w:t>
      </w:r>
      <w:r w:rsidR="003F1149">
        <w:t xml:space="preserve"> the time of exposure.</w:t>
      </w:r>
      <w:r w:rsidR="0065247D" w:rsidDel="0065247D">
        <w:t xml:space="preserve"> </w:t>
      </w:r>
      <w:r w:rsidR="0065247D">
        <w:t xml:space="preserve"> </w:t>
      </w:r>
      <w:r w:rsidR="006E72D2">
        <w:t>(</w:t>
      </w:r>
      <w:proofErr w:type="spellStart"/>
      <w:r w:rsidR="00CF7CF6" w:rsidRPr="000B6D9A">
        <w:rPr>
          <w:i/>
          <w:iCs/>
        </w:rPr>
        <w:t>Kesner</w:t>
      </w:r>
      <w:proofErr w:type="spellEnd"/>
      <w:r w:rsidR="00CF7CF6">
        <w:t xml:space="preserve">, </w:t>
      </w:r>
      <w:r w:rsidR="00CF7CF6" w:rsidRPr="000B6D9A">
        <w:rPr>
          <w:i/>
          <w:iCs/>
        </w:rPr>
        <w:t>supra</w:t>
      </w:r>
      <w:r w:rsidR="00CF7CF6">
        <w:t xml:space="preserve">, 1 Cal.5th at </w:t>
      </w:r>
      <w:r w:rsidR="006E72D2">
        <w:t xml:space="preserve">p. 1151.) </w:t>
      </w:r>
      <w:r w:rsidR="00CF7CF6">
        <w:t xml:space="preserve"> </w:t>
      </w:r>
    </w:p>
    <w:p w14:paraId="4E1F233B" w14:textId="3158878A" w:rsidR="00022E1D" w:rsidRPr="003F1149" w:rsidRDefault="006D5452" w:rsidP="009122AD">
      <w:pPr>
        <w:spacing w:line="360" w:lineRule="auto"/>
      </w:pPr>
      <w:r>
        <w:tab/>
        <w:t xml:space="preserve">But </w:t>
      </w:r>
      <w:proofErr w:type="spellStart"/>
      <w:r w:rsidR="0005367A" w:rsidRPr="000B6D9A">
        <w:rPr>
          <w:i/>
          <w:iCs/>
        </w:rPr>
        <w:t>Kesner</w:t>
      </w:r>
      <w:proofErr w:type="spellEnd"/>
      <w:r w:rsidR="0005367A">
        <w:t xml:space="preserve"> </w:t>
      </w:r>
      <w:r w:rsidR="009A1833">
        <w:t xml:space="preserve">also </w:t>
      </w:r>
      <w:r w:rsidR="00DC2F8C">
        <w:t xml:space="preserve">described defendants’ argument </w:t>
      </w:r>
      <w:r w:rsidR="0005367A">
        <w:t>on</w:t>
      </w:r>
      <w:r w:rsidR="00DC2F8C">
        <w:t xml:space="preserve"> burden as their “most forceful contention.”  (</w:t>
      </w:r>
      <w:proofErr w:type="spellStart"/>
      <w:r w:rsidR="00DC2F8C" w:rsidRPr="000B6D9A">
        <w:rPr>
          <w:i/>
          <w:iCs/>
        </w:rPr>
        <w:t>Kesner</w:t>
      </w:r>
      <w:proofErr w:type="spellEnd"/>
      <w:r w:rsidR="00DC2F8C">
        <w:t xml:space="preserve">, </w:t>
      </w:r>
      <w:r w:rsidR="00DC2F8C" w:rsidRPr="000B6D9A">
        <w:rPr>
          <w:i/>
          <w:iCs/>
        </w:rPr>
        <w:t>supra</w:t>
      </w:r>
      <w:r w:rsidR="00DC2F8C">
        <w:t xml:space="preserve">, 1 Cal.5th at p. 1153.)  </w:t>
      </w:r>
      <w:r w:rsidR="00AA0ACA">
        <w:t>Defendants’ “legitimate concerns regarding the unmanageability of claims premised upon incidental exposure, as in a restaurant or city bus</w:t>
      </w:r>
      <w:r w:rsidR="003C01ED">
        <w:t xml:space="preserve"> </w:t>
      </w:r>
      <w:r w:rsidR="00AA0ACA">
        <w:t>. . .</w:t>
      </w:r>
      <w:r w:rsidR="003C01ED">
        <w:t xml:space="preserve"> </w:t>
      </w:r>
      <w:r w:rsidR="00AA0ACA">
        <w:t>point to the need for a limitation on the scope of the duty here.”  (</w:t>
      </w:r>
      <w:r w:rsidR="00AA0ACA">
        <w:rPr>
          <w:i/>
          <w:iCs/>
        </w:rPr>
        <w:t>Id.</w:t>
      </w:r>
      <w:r w:rsidR="00AA0ACA">
        <w:t xml:space="preserve"> at p.</w:t>
      </w:r>
      <w:r w:rsidR="003C01ED">
        <w:t xml:space="preserve"> </w:t>
      </w:r>
      <w:r w:rsidR="00AA0ACA">
        <w:t>1154.)</w:t>
      </w:r>
      <w:r w:rsidR="00022E1D">
        <w:t xml:space="preserve">  </w:t>
      </w:r>
      <w:proofErr w:type="spellStart"/>
      <w:r w:rsidR="00AA0ACA">
        <w:rPr>
          <w:i/>
          <w:iCs/>
        </w:rPr>
        <w:t>Kesner</w:t>
      </w:r>
      <w:proofErr w:type="spellEnd"/>
      <w:r w:rsidR="00AA0ACA">
        <w:rPr>
          <w:i/>
          <w:iCs/>
        </w:rPr>
        <w:t xml:space="preserve"> </w:t>
      </w:r>
      <w:r w:rsidR="00AA0ACA">
        <w:t>thus held that “</w:t>
      </w:r>
      <w:r w:rsidR="00AA0ACA" w:rsidRPr="00AA0ACA">
        <w:t>an employer</w:t>
      </w:r>
      <w:r w:rsidR="00AA0ACA">
        <w:t>’</w:t>
      </w:r>
      <w:r w:rsidR="00AA0ACA" w:rsidRPr="00AA0ACA">
        <w:t>s or property owner</w:t>
      </w:r>
      <w:r w:rsidR="00AA0ACA">
        <w:t>’</w:t>
      </w:r>
      <w:r w:rsidR="00AA0ACA" w:rsidRPr="00AA0ACA">
        <w:t>s duty to prevent take-home exposure extends only to members of a worker</w:t>
      </w:r>
      <w:r w:rsidR="00AA0ACA">
        <w:t>’</w:t>
      </w:r>
      <w:r w:rsidR="00AA0ACA" w:rsidRPr="00AA0ACA">
        <w:t>s household,</w:t>
      </w:r>
      <w:r w:rsidR="00AA0ACA">
        <w:t xml:space="preserve"> </w:t>
      </w:r>
      <w:r w:rsidR="00AA0ACA" w:rsidRPr="00AA0ACA">
        <w:t xml:space="preserve">i.e., </w:t>
      </w:r>
      <w:r w:rsidR="00C77C84" w:rsidRPr="00C77C84">
        <w:t>persons</w:t>
      </w:r>
      <w:r w:rsidR="00C77C84">
        <w:t xml:space="preserve"> </w:t>
      </w:r>
      <w:r w:rsidR="00C77C84" w:rsidRPr="00C77C84">
        <w:t>who</w:t>
      </w:r>
      <w:r w:rsidR="00C77C84">
        <w:t xml:space="preserve"> </w:t>
      </w:r>
      <w:r w:rsidR="00C77C84" w:rsidRPr="00C77C84">
        <w:t>live</w:t>
      </w:r>
      <w:r w:rsidR="00C77C84">
        <w:t xml:space="preserve"> </w:t>
      </w:r>
      <w:r w:rsidR="00C77C84" w:rsidRPr="00C77C84">
        <w:t>with</w:t>
      </w:r>
      <w:r w:rsidR="00C77C84">
        <w:t xml:space="preserve"> </w:t>
      </w:r>
      <w:r w:rsidR="00C77C84" w:rsidRPr="00C77C84">
        <w:t>the</w:t>
      </w:r>
      <w:r w:rsidR="00C77C84">
        <w:t xml:space="preserve"> </w:t>
      </w:r>
      <w:r w:rsidR="00C77C84" w:rsidRPr="00C77C84">
        <w:t>worker</w:t>
      </w:r>
      <w:r w:rsidR="00C77C84">
        <w:t xml:space="preserve"> </w:t>
      </w:r>
      <w:r w:rsidR="00C77C84" w:rsidRPr="00C77C84">
        <w:t>and</w:t>
      </w:r>
      <w:r w:rsidR="00C77C84">
        <w:t xml:space="preserve"> </w:t>
      </w:r>
      <w:r w:rsidR="00C77C84" w:rsidRPr="00C77C84">
        <w:t>are</w:t>
      </w:r>
      <w:r w:rsidR="00C77C84">
        <w:t xml:space="preserve"> </w:t>
      </w:r>
      <w:r w:rsidR="00C77C84" w:rsidRPr="00C77C84">
        <w:t>thus</w:t>
      </w:r>
      <w:r w:rsidR="00C77C84">
        <w:t xml:space="preserve"> </w:t>
      </w:r>
      <w:r w:rsidR="00C77C84" w:rsidRPr="00C77C84">
        <w:t>foreseeably</w:t>
      </w:r>
      <w:r w:rsidR="00C77C84">
        <w:t xml:space="preserve"> </w:t>
      </w:r>
      <w:r w:rsidR="00C77C84" w:rsidRPr="00C77C84">
        <w:t>in</w:t>
      </w:r>
      <w:r w:rsidR="00C77C84">
        <w:t xml:space="preserve"> </w:t>
      </w:r>
      <w:r w:rsidR="00C77C84" w:rsidRPr="00C77C84">
        <w:t>close</w:t>
      </w:r>
      <w:r w:rsidR="00C77C84">
        <w:t xml:space="preserve"> </w:t>
      </w:r>
      <w:r w:rsidR="00C77C84" w:rsidRPr="00C77C84">
        <w:t>and</w:t>
      </w:r>
      <w:r w:rsidR="00C77C84">
        <w:t xml:space="preserve"> </w:t>
      </w:r>
      <w:r w:rsidR="00C77C84" w:rsidRPr="00C77C84">
        <w:t>sustained</w:t>
      </w:r>
      <w:r w:rsidR="00C77C84">
        <w:t xml:space="preserve"> </w:t>
      </w:r>
      <w:r w:rsidR="00C77C84" w:rsidRPr="00C77C84">
        <w:t>contact</w:t>
      </w:r>
      <w:r w:rsidR="00C77C84">
        <w:t xml:space="preserve"> </w:t>
      </w:r>
      <w:r w:rsidR="00C77C84" w:rsidRPr="00C77C84">
        <w:t>with</w:t>
      </w:r>
      <w:r w:rsidR="00C77C84">
        <w:t xml:space="preserve"> </w:t>
      </w:r>
      <w:r w:rsidR="00C77C84" w:rsidRPr="00C77C84">
        <w:t>the</w:t>
      </w:r>
      <w:r w:rsidR="00C77C84">
        <w:t xml:space="preserve"> </w:t>
      </w:r>
      <w:r w:rsidR="00C77C84" w:rsidRPr="00C77C84">
        <w:t>worker over a significant period of time.</w:t>
      </w:r>
      <w:r w:rsidR="00C77C84">
        <w:t xml:space="preserve">”  </w:t>
      </w:r>
      <w:r w:rsidR="00E65E54">
        <w:t>(</w:t>
      </w:r>
      <w:r w:rsidR="00022E1D">
        <w:rPr>
          <w:i/>
          <w:iCs/>
        </w:rPr>
        <w:t>Id.</w:t>
      </w:r>
      <w:r w:rsidR="00E65E54">
        <w:t xml:space="preserve"> at pp. 1154–1155.)</w:t>
      </w:r>
    </w:p>
    <w:p w14:paraId="337DD1AA" w14:textId="4A386639" w:rsidR="00EC0DE7" w:rsidRDefault="00022E1D" w:rsidP="009122AD">
      <w:pPr>
        <w:spacing w:line="360" w:lineRule="auto"/>
      </w:pPr>
      <w:r>
        <w:tab/>
      </w:r>
      <w:r w:rsidR="00FC4DA7">
        <w:t xml:space="preserve">The </w:t>
      </w:r>
      <w:r w:rsidR="003C01ED">
        <w:t>c</w:t>
      </w:r>
      <w:r w:rsidR="00FC4DA7">
        <w:t>ourt</w:t>
      </w:r>
      <w:r w:rsidR="008729E7">
        <w:t xml:space="preserve"> explained that this limitation </w:t>
      </w:r>
      <w:r w:rsidR="00FC4DA7">
        <w:t xml:space="preserve">was consistent with its </w:t>
      </w:r>
      <w:r w:rsidR="0005367A">
        <w:t>analysis</w:t>
      </w:r>
      <w:r w:rsidR="00FC4DA7">
        <w:t xml:space="preserve"> </w:t>
      </w:r>
      <w:r w:rsidR="008729E7">
        <w:t xml:space="preserve">under the </w:t>
      </w:r>
      <w:r w:rsidR="008729E7">
        <w:rPr>
          <w:i/>
          <w:iCs/>
        </w:rPr>
        <w:t>Rowland</w:t>
      </w:r>
      <w:r w:rsidR="008729E7">
        <w:t xml:space="preserve"> factors</w:t>
      </w:r>
      <w:proofErr w:type="gramStart"/>
      <w:r w:rsidR="00FC4DA7">
        <w:t>:  “</w:t>
      </w:r>
      <w:proofErr w:type="gramEnd"/>
      <w:r w:rsidR="00FC4DA7" w:rsidRPr="00FC4DA7">
        <w:t xml:space="preserve">Our finding of foreseeability turned on the fact that a worker can be expected to return home each workday and to have close contact with household members on a regular basis over many years. </w:t>
      </w:r>
      <w:r w:rsidR="00FC4DA7">
        <w:t xml:space="preserve"> </w:t>
      </w:r>
      <w:r w:rsidR="00FC4DA7" w:rsidRPr="00FC4DA7">
        <w:t xml:space="preserve">Persons whose contact with the worker is more incidental, sporadic, or transitory do not, as a class, share the same characteristics as household members and are therefore not within the scope of the duty we identify here. </w:t>
      </w:r>
      <w:r w:rsidR="00FC4DA7">
        <w:t xml:space="preserve"> </w:t>
      </w:r>
      <w:r w:rsidR="00FC4DA7" w:rsidRPr="00FC4DA7">
        <w:t>This rule strikes a workable balance between ensuring that reasonably foreseeable injuries are compensated and protecting courts and defendants from the costs associated with litigation of disproportionately meritless claims.</w:t>
      </w:r>
      <w:r w:rsidR="00FC4DA7">
        <w:t>”  (</w:t>
      </w:r>
      <w:proofErr w:type="spellStart"/>
      <w:r w:rsidRPr="000B6D9A">
        <w:rPr>
          <w:i/>
          <w:iCs/>
        </w:rPr>
        <w:t>Kesner</w:t>
      </w:r>
      <w:proofErr w:type="spellEnd"/>
      <w:r>
        <w:t xml:space="preserve">, </w:t>
      </w:r>
      <w:r w:rsidRPr="000B6D9A">
        <w:rPr>
          <w:i/>
          <w:iCs/>
        </w:rPr>
        <w:t>supra</w:t>
      </w:r>
      <w:r>
        <w:t xml:space="preserve">, 1 Cal.5th at p. 1155.)  </w:t>
      </w:r>
      <w:r w:rsidR="00B24DED">
        <w:t xml:space="preserve">Accordingly, </w:t>
      </w:r>
      <w:proofErr w:type="spellStart"/>
      <w:r w:rsidR="00B24DED">
        <w:rPr>
          <w:i/>
          <w:iCs/>
        </w:rPr>
        <w:t>Kesner</w:t>
      </w:r>
      <w:proofErr w:type="spellEnd"/>
      <w:r w:rsidR="00B24DED">
        <w:t xml:space="preserve"> held that “</w:t>
      </w:r>
      <w:r w:rsidR="00B24DED" w:rsidRPr="003F1149">
        <w:t>defendants owed the members of their employees</w:t>
      </w:r>
      <w:r w:rsidR="00EC0DE7">
        <w:t>’</w:t>
      </w:r>
      <w:r w:rsidR="00B24DED" w:rsidRPr="003F1149">
        <w:t xml:space="preserve"> households a duty of </w:t>
      </w:r>
      <w:r w:rsidR="00B24DED" w:rsidRPr="003F1149">
        <w:lastRenderedPageBreak/>
        <w:t>ordinary care to prevent take-home exposure and that this duty extends no further.</w:t>
      </w:r>
      <w:r w:rsidR="00B24DED">
        <w:t>”  (</w:t>
      </w:r>
      <w:r w:rsidR="00B24DED">
        <w:rPr>
          <w:i/>
          <w:iCs/>
        </w:rPr>
        <w:t>Id.</w:t>
      </w:r>
      <w:r w:rsidR="00B24DED">
        <w:t xml:space="preserve"> at p.</w:t>
      </w:r>
      <w:r w:rsidR="003C01ED">
        <w:t xml:space="preserve"> </w:t>
      </w:r>
      <w:r w:rsidR="00B24DED">
        <w:t>1156.)</w:t>
      </w:r>
    </w:p>
    <w:p w14:paraId="2C7F1DA7" w14:textId="1752436A" w:rsidR="009755AE" w:rsidRDefault="005C1B5D" w:rsidP="00545282">
      <w:pPr>
        <w:spacing w:line="360" w:lineRule="auto"/>
      </w:pPr>
      <w:r>
        <w:tab/>
        <w:t xml:space="preserve">Here, J-MM </w:t>
      </w:r>
      <w:r w:rsidR="00C9798C">
        <w:t xml:space="preserve">argues that this holding in </w:t>
      </w:r>
      <w:proofErr w:type="spellStart"/>
      <w:r w:rsidR="00C9798C">
        <w:rPr>
          <w:i/>
          <w:iCs/>
        </w:rPr>
        <w:t>Kesner</w:t>
      </w:r>
      <w:proofErr w:type="spellEnd"/>
      <w:r>
        <w:t xml:space="preserve"> </w:t>
      </w:r>
      <w:r w:rsidR="00C9798C">
        <w:t>foreclosed Cornelius’s strict liability cause of action as a matter of law</w:t>
      </w:r>
      <w:r w:rsidR="005872EA">
        <w:t xml:space="preserve"> because he was not a household member of his brother Nathan</w:t>
      </w:r>
      <w:r w:rsidR="00C9798C">
        <w:t xml:space="preserve">. </w:t>
      </w:r>
      <w:r w:rsidR="00755B7C">
        <w:t xml:space="preserve"> </w:t>
      </w:r>
      <w:r w:rsidR="00C9798C">
        <w:t xml:space="preserve">We disagree.  </w:t>
      </w:r>
      <w:r w:rsidR="00537321">
        <w:t xml:space="preserve">The plaintiffs in </w:t>
      </w:r>
      <w:proofErr w:type="spellStart"/>
      <w:r w:rsidR="00537321" w:rsidRPr="000B6D9A">
        <w:rPr>
          <w:i/>
          <w:iCs/>
        </w:rPr>
        <w:t>Kesner</w:t>
      </w:r>
      <w:proofErr w:type="spellEnd"/>
      <w:r w:rsidR="00537321">
        <w:t xml:space="preserve"> alleged negligence and premises liability claims, both of which include the element of duty</w:t>
      </w:r>
      <w:r w:rsidR="00C9798C">
        <w:t>.</w:t>
      </w:r>
      <w:r w:rsidR="00537321">
        <w:t xml:space="preserve"> </w:t>
      </w:r>
      <w:r w:rsidR="00C9798C">
        <w:t xml:space="preserve"> </w:t>
      </w:r>
      <w:r w:rsidR="00537321">
        <w:t>(</w:t>
      </w:r>
      <w:proofErr w:type="spellStart"/>
      <w:r w:rsidR="00537321" w:rsidRPr="000B6D9A">
        <w:rPr>
          <w:i/>
          <w:iCs/>
        </w:rPr>
        <w:t>Kesner</w:t>
      </w:r>
      <w:proofErr w:type="spellEnd"/>
      <w:r w:rsidR="00537321">
        <w:t xml:space="preserve">, </w:t>
      </w:r>
      <w:r w:rsidR="00537321" w:rsidRPr="000B6D9A">
        <w:rPr>
          <w:i/>
          <w:iCs/>
        </w:rPr>
        <w:t>supra</w:t>
      </w:r>
      <w:r w:rsidR="00537321">
        <w:t>, 1 Cal.5th at p.</w:t>
      </w:r>
      <w:r w:rsidR="003C01ED">
        <w:t xml:space="preserve"> </w:t>
      </w:r>
      <w:r w:rsidR="00537321">
        <w:t xml:space="preserve">1158.)  </w:t>
      </w:r>
      <w:r w:rsidR="00C9798C">
        <w:t>O</w:t>
      </w:r>
      <w:r w:rsidR="00537321">
        <w:t>ur Supreme Court</w:t>
      </w:r>
      <w:r w:rsidR="00537321" w:rsidRPr="00EB5F6D">
        <w:t xml:space="preserve"> </w:t>
      </w:r>
      <w:r w:rsidR="00537321">
        <w:t xml:space="preserve">made clear that it was deciding the scope of that duty owed under these legal theories.  </w:t>
      </w:r>
      <w:r w:rsidR="00537321" w:rsidRPr="00A219AA">
        <w:t>(</w:t>
      </w:r>
      <w:r w:rsidR="00537321">
        <w:rPr>
          <w:i/>
          <w:iCs/>
        </w:rPr>
        <w:t>Id</w:t>
      </w:r>
      <w:r w:rsidR="00537321" w:rsidRPr="00F91B4E">
        <w:t>.</w:t>
      </w:r>
      <w:r w:rsidR="00537321">
        <w:t xml:space="preserve"> at p.</w:t>
      </w:r>
      <w:r w:rsidR="003C01ED">
        <w:t xml:space="preserve"> </w:t>
      </w:r>
      <w:r w:rsidR="00537321">
        <w:t>1142.)</w:t>
      </w:r>
      <w:r w:rsidR="00C9798C">
        <w:t xml:space="preserve"> </w:t>
      </w:r>
      <w:r w:rsidR="00377FE5">
        <w:t xml:space="preserve"> </w:t>
      </w:r>
      <w:r w:rsidR="00C9798C">
        <w:t>U</w:t>
      </w:r>
      <w:r w:rsidR="00034D65">
        <w:t>nlike</w:t>
      </w:r>
      <w:r w:rsidR="0075650B">
        <w:t xml:space="preserve"> the claims in</w:t>
      </w:r>
      <w:r w:rsidR="00034D65">
        <w:t xml:space="preserve"> </w:t>
      </w:r>
      <w:proofErr w:type="spellStart"/>
      <w:r w:rsidR="00034D65">
        <w:rPr>
          <w:i/>
          <w:iCs/>
        </w:rPr>
        <w:t>Kesner</w:t>
      </w:r>
      <w:proofErr w:type="spellEnd"/>
      <w:r w:rsidR="00034D65">
        <w:t>,</w:t>
      </w:r>
      <w:r w:rsidR="00BE4311">
        <w:t xml:space="preserve"> </w:t>
      </w:r>
      <w:r w:rsidR="00537321">
        <w:t>Cornelius’s</w:t>
      </w:r>
      <w:r w:rsidR="00BE4311">
        <w:t xml:space="preserve"> strict liability cause of action did not require him to prove any element of duty.  </w:t>
      </w:r>
      <w:r w:rsidR="00BE4311" w:rsidRPr="00BA079A">
        <w:t>“[S]</w:t>
      </w:r>
      <w:proofErr w:type="spellStart"/>
      <w:r w:rsidR="00BE4311" w:rsidRPr="00BA079A">
        <w:t>trict</w:t>
      </w:r>
      <w:proofErr w:type="spellEnd"/>
      <w:r w:rsidR="00BE4311" w:rsidRPr="00BA079A">
        <w:t xml:space="preserve"> products liability causes of action need not be pled in terms of classic</w:t>
      </w:r>
      <w:r w:rsidR="00BE4311">
        <w:t xml:space="preserve"> </w:t>
      </w:r>
      <w:r w:rsidR="00BE4311" w:rsidRPr="00BA079A">
        <w:t xml:space="preserve">negligence elements (duty, breach, causation and damages).” </w:t>
      </w:r>
      <w:r w:rsidR="00BE4311">
        <w:t xml:space="preserve"> </w:t>
      </w:r>
      <w:r w:rsidR="00BE4311" w:rsidRPr="00BA079A">
        <w:t>(</w:t>
      </w:r>
      <w:proofErr w:type="spellStart"/>
      <w:r w:rsidR="00BE4311" w:rsidRPr="00BA079A">
        <w:rPr>
          <w:i/>
          <w:iCs/>
        </w:rPr>
        <w:t>Elsheref</w:t>
      </w:r>
      <w:proofErr w:type="spellEnd"/>
      <w:r w:rsidR="00BE4311" w:rsidRPr="00BA079A">
        <w:rPr>
          <w:i/>
          <w:iCs/>
        </w:rPr>
        <w:t xml:space="preserve"> v. Applied</w:t>
      </w:r>
      <w:r w:rsidR="003C01ED">
        <w:rPr>
          <w:i/>
          <w:iCs/>
        </w:rPr>
        <w:t xml:space="preserve"> </w:t>
      </w:r>
      <w:r w:rsidR="00BE4311" w:rsidRPr="00BA079A">
        <w:rPr>
          <w:i/>
          <w:iCs/>
        </w:rPr>
        <w:t>Materials, Inc.</w:t>
      </w:r>
      <w:r w:rsidR="00BE4311" w:rsidRPr="00BA079A">
        <w:t xml:space="preserve"> (2014) 223 Cal.App.4th 451, 464</w:t>
      </w:r>
      <w:r w:rsidR="00BE4311">
        <w:t>.)</w:t>
      </w:r>
      <w:r w:rsidR="00F56F90">
        <w:t xml:space="preserve">  </w:t>
      </w:r>
      <w:r w:rsidR="00BE4311">
        <w:t>“Unlike a negligence theory of liability,</w:t>
      </w:r>
      <w:r w:rsidR="00BE4311" w:rsidRPr="00BA079A">
        <w:t xml:space="preserve"> </w:t>
      </w:r>
      <w:r w:rsidR="003C01ED">
        <w:t xml:space="preserve">a </w:t>
      </w:r>
      <w:r w:rsidR="00BE4311" w:rsidRPr="00BA079A">
        <w:t>strict products liability theory does not focus on the defendant</w:t>
      </w:r>
      <w:r w:rsidR="00BE4311">
        <w:t>’</w:t>
      </w:r>
      <w:r w:rsidR="00BE4311" w:rsidRPr="00BA079A">
        <w:t>s duty to use due care; the defendant</w:t>
      </w:r>
      <w:r w:rsidR="00BE4311">
        <w:t>’</w:t>
      </w:r>
      <w:r w:rsidR="00BE4311" w:rsidRPr="00BA079A">
        <w:t xml:space="preserve">s behavior is irrelevant.” </w:t>
      </w:r>
      <w:r w:rsidR="00BE4311">
        <w:t xml:space="preserve"> </w:t>
      </w:r>
      <w:r w:rsidR="00BE4311" w:rsidRPr="00BA079A">
        <w:t>(</w:t>
      </w:r>
      <w:r w:rsidR="00BE4311" w:rsidRPr="00BA079A">
        <w:rPr>
          <w:i/>
          <w:iCs/>
        </w:rPr>
        <w:t>Jenkins v. T&amp;N PLC</w:t>
      </w:r>
      <w:r w:rsidR="00BE4311">
        <w:t xml:space="preserve"> (1996) 45</w:t>
      </w:r>
      <w:r w:rsidR="00BE4311" w:rsidRPr="00BA079A">
        <w:t xml:space="preserve"> Cal.App.4th </w:t>
      </w:r>
      <w:r w:rsidR="00BE4311">
        <w:t>1224,</w:t>
      </w:r>
      <w:r w:rsidR="00BE4311" w:rsidRPr="00BA079A">
        <w:t xml:space="preserve"> 1231.)</w:t>
      </w:r>
      <w:r w:rsidR="00BE4311">
        <w:t xml:space="preserve">  </w:t>
      </w:r>
    </w:p>
    <w:p w14:paraId="4CB02189" w14:textId="5064672E" w:rsidR="00923617" w:rsidRDefault="00F91B4E" w:rsidP="00545282">
      <w:pPr>
        <w:spacing w:line="360" w:lineRule="auto"/>
      </w:pPr>
      <w:r>
        <w:tab/>
      </w:r>
      <w:r w:rsidR="0075684B">
        <w:t xml:space="preserve">J-MM relies on </w:t>
      </w:r>
      <w:proofErr w:type="spellStart"/>
      <w:r w:rsidR="0075684B">
        <w:rPr>
          <w:i/>
          <w:iCs/>
        </w:rPr>
        <w:t>Kesner</w:t>
      </w:r>
      <w:proofErr w:type="spellEnd"/>
      <w:r w:rsidR="0075684B">
        <w:t xml:space="preserve"> and </w:t>
      </w:r>
      <w:r w:rsidR="00C65382">
        <w:t>other</w:t>
      </w:r>
      <w:r w:rsidR="0075684B">
        <w:t xml:space="preserve"> </w:t>
      </w:r>
      <w:r w:rsidR="002B4EFE">
        <w:t>decisions</w:t>
      </w:r>
      <w:r w:rsidR="0075684B">
        <w:t xml:space="preserve"> that have “followed </w:t>
      </w:r>
      <w:proofErr w:type="spellStart"/>
      <w:r w:rsidR="0075684B">
        <w:rPr>
          <w:i/>
          <w:iCs/>
        </w:rPr>
        <w:t>Kesner’s</w:t>
      </w:r>
      <w:proofErr w:type="spellEnd"/>
      <w:r w:rsidR="0075684B">
        <w:t xml:space="preserve"> bright line</w:t>
      </w:r>
      <w:r w:rsidR="00843C38">
        <w:t xml:space="preserve">,” </w:t>
      </w:r>
      <w:r w:rsidR="0075684B">
        <w:t>but</w:t>
      </w:r>
      <w:r w:rsidR="006E0E2B">
        <w:t xml:space="preserve"> tiptoe</w:t>
      </w:r>
      <w:r w:rsidR="00843C38">
        <w:t>s</w:t>
      </w:r>
      <w:r w:rsidR="00C65382">
        <w:t xml:space="preserve"> around the reality that these are all </w:t>
      </w:r>
      <w:r w:rsidR="00C65382">
        <w:rPr>
          <w:i/>
          <w:iCs/>
        </w:rPr>
        <w:t>negligence</w:t>
      </w:r>
      <w:r w:rsidR="00C65382">
        <w:t xml:space="preserve"> cases</w:t>
      </w:r>
      <w:r w:rsidR="0075684B">
        <w:t xml:space="preserve">. </w:t>
      </w:r>
      <w:r w:rsidR="00755B7C">
        <w:t xml:space="preserve"> </w:t>
      </w:r>
      <w:r w:rsidR="00910D25">
        <w:t xml:space="preserve">There is </w:t>
      </w:r>
      <w:r w:rsidR="00452AB5">
        <w:t>no doubt</w:t>
      </w:r>
      <w:r w:rsidR="00910D25">
        <w:t xml:space="preserve"> </w:t>
      </w:r>
      <w:r w:rsidR="00610989">
        <w:t>that</w:t>
      </w:r>
      <w:r w:rsidR="008F24B1">
        <w:t xml:space="preserve"> </w:t>
      </w:r>
      <w:proofErr w:type="spellStart"/>
      <w:r w:rsidR="008F24B1">
        <w:rPr>
          <w:i/>
          <w:iCs/>
        </w:rPr>
        <w:t>Kesner</w:t>
      </w:r>
      <w:proofErr w:type="spellEnd"/>
      <w:r w:rsidR="008F24B1">
        <w:t xml:space="preserve"> </w:t>
      </w:r>
      <w:r w:rsidR="006D6C3C">
        <w:t xml:space="preserve">has been followed by courts </w:t>
      </w:r>
      <w:r w:rsidR="008F24B1">
        <w:t xml:space="preserve">to determine the scope of duty for </w:t>
      </w:r>
      <w:r w:rsidR="008F24B1" w:rsidRPr="0075684B">
        <w:t>negligence</w:t>
      </w:r>
      <w:r w:rsidR="008F24B1">
        <w:t xml:space="preserve"> claims.</w:t>
      </w:r>
      <w:r w:rsidR="0075684B">
        <w:t xml:space="preserve">  </w:t>
      </w:r>
      <w:r w:rsidR="008F24B1">
        <w:t xml:space="preserve">(E.g., </w:t>
      </w:r>
      <w:proofErr w:type="spellStart"/>
      <w:r w:rsidR="008F24B1" w:rsidRPr="00C9798C">
        <w:rPr>
          <w:i/>
          <w:iCs/>
        </w:rPr>
        <w:t>Kuciemba</w:t>
      </w:r>
      <w:proofErr w:type="spellEnd"/>
      <w:r w:rsidR="00C9798C">
        <w:t xml:space="preserve">, </w:t>
      </w:r>
      <w:r w:rsidR="00C9798C" w:rsidRPr="00C9798C">
        <w:rPr>
          <w:i/>
          <w:iCs/>
        </w:rPr>
        <w:t>supra</w:t>
      </w:r>
      <w:r w:rsidR="00C9798C">
        <w:t xml:space="preserve">, </w:t>
      </w:r>
      <w:r w:rsidR="008F24B1" w:rsidRPr="00C9798C">
        <w:t>14</w:t>
      </w:r>
      <w:r w:rsidR="008F24B1">
        <w:t xml:space="preserve"> Cal.5th </w:t>
      </w:r>
      <w:r w:rsidR="00C9798C">
        <w:t>at p.</w:t>
      </w:r>
      <w:r w:rsidR="003C01ED">
        <w:t xml:space="preserve"> </w:t>
      </w:r>
      <w:r w:rsidR="008F24B1">
        <w:t xml:space="preserve">1004 [employer did not owe duty of care to prevent spread of COVID-19 to employee’s household members given “intolerable burden on employers and society in contravention of public policy”]; </w:t>
      </w:r>
      <w:proofErr w:type="spellStart"/>
      <w:r w:rsidR="008F24B1">
        <w:rPr>
          <w:i/>
          <w:iCs/>
        </w:rPr>
        <w:t>Petitpas</w:t>
      </w:r>
      <w:proofErr w:type="spellEnd"/>
      <w:r w:rsidR="008F24B1">
        <w:rPr>
          <w:i/>
          <w:iCs/>
        </w:rPr>
        <w:t xml:space="preserve"> v. Ford Motor Co.</w:t>
      </w:r>
      <w:r w:rsidR="008F24B1">
        <w:t xml:space="preserve"> (2017) 13 Cal.App.5th 261, 276 [oil company</w:t>
      </w:r>
      <w:r w:rsidR="008F24B1" w:rsidRPr="00A82012">
        <w:t xml:space="preserve"> did not have duty to </w:t>
      </w:r>
      <w:r w:rsidR="008F24B1">
        <w:t>non-household member to prevent alleged secondary asbestos exposure</w:t>
      </w:r>
      <w:r w:rsidR="005872EA">
        <w:t>]</w:t>
      </w:r>
      <w:r w:rsidR="008F24B1">
        <w:t xml:space="preserve">.)  </w:t>
      </w:r>
      <w:r w:rsidR="0060404B">
        <w:t>Indeed, the trial court</w:t>
      </w:r>
      <w:r w:rsidR="0073673C">
        <w:t xml:space="preserve"> here</w:t>
      </w:r>
      <w:r w:rsidR="0060404B">
        <w:t xml:space="preserve"> correctly dismissed </w:t>
      </w:r>
      <w:r w:rsidR="0073673C">
        <w:t xml:space="preserve">Cornelius’s </w:t>
      </w:r>
      <w:r w:rsidR="0060404B">
        <w:t xml:space="preserve">negligence </w:t>
      </w:r>
      <w:r w:rsidR="009E59ED">
        <w:t>claim</w:t>
      </w:r>
      <w:r w:rsidR="0060404B">
        <w:t xml:space="preserve"> on this basis</w:t>
      </w:r>
      <w:r w:rsidR="004131ED">
        <w:t xml:space="preserve"> (an issue not challenged on appeal)</w:t>
      </w:r>
      <w:r w:rsidR="0060404B">
        <w:t xml:space="preserve">.  </w:t>
      </w:r>
      <w:r w:rsidR="00F15585">
        <w:t>J-MM</w:t>
      </w:r>
      <w:r w:rsidR="004647F9">
        <w:t>, however,</w:t>
      </w:r>
      <w:r w:rsidR="00F15585">
        <w:t xml:space="preserve"> does not present any </w:t>
      </w:r>
      <w:r w:rsidR="00F15585">
        <w:lastRenderedPageBreak/>
        <w:t xml:space="preserve">authority concluding that the limitation on duty in </w:t>
      </w:r>
      <w:proofErr w:type="spellStart"/>
      <w:r w:rsidR="00F15585">
        <w:rPr>
          <w:i/>
          <w:iCs/>
        </w:rPr>
        <w:t>Kesner</w:t>
      </w:r>
      <w:proofErr w:type="spellEnd"/>
      <w:r w:rsidR="00F15585">
        <w:t xml:space="preserve"> summarily precludes a strict liability cause of action asserted by a non-household member alleging secondary exposure to asbestos like </w:t>
      </w:r>
      <w:r w:rsidR="00602AD8">
        <w:t>Cornelius.</w:t>
      </w:r>
    </w:p>
    <w:p w14:paraId="23298916" w14:textId="31DF492E" w:rsidR="008B31BC" w:rsidRPr="00883642" w:rsidRDefault="008B31BC" w:rsidP="00B34968">
      <w:pPr>
        <w:spacing w:line="360" w:lineRule="auto"/>
        <w:rPr>
          <w:b/>
          <w:bCs/>
          <w:i/>
          <w:iCs/>
        </w:rPr>
      </w:pPr>
      <w:r w:rsidRPr="008B31BC">
        <w:rPr>
          <w:b/>
          <w:bCs/>
          <w:i/>
          <w:iCs/>
        </w:rPr>
        <w:tab/>
      </w:r>
      <w:r w:rsidRPr="008B31BC">
        <w:rPr>
          <w:b/>
          <w:bCs/>
        </w:rPr>
        <w:t xml:space="preserve">C.  </w:t>
      </w:r>
      <w:r w:rsidR="002B0535">
        <w:rPr>
          <w:b/>
          <w:bCs/>
          <w:i/>
          <w:iCs/>
        </w:rPr>
        <w:t>Strict Liability vs. Negligence</w:t>
      </w:r>
    </w:p>
    <w:p w14:paraId="01CB41F2" w14:textId="36D72654" w:rsidR="00CA50C6" w:rsidRDefault="00512F88" w:rsidP="008B31BC">
      <w:pPr>
        <w:spacing w:line="360" w:lineRule="auto"/>
      </w:pPr>
      <w:r w:rsidRPr="007E1445">
        <w:tab/>
      </w:r>
      <w:r w:rsidR="007C60E3" w:rsidRPr="007E1445">
        <w:t xml:space="preserve">J-MM </w:t>
      </w:r>
      <w:r w:rsidR="00D74150" w:rsidRPr="007E1445">
        <w:t xml:space="preserve">argues </w:t>
      </w:r>
      <w:r w:rsidR="00EC4DEF" w:rsidRPr="007E1445">
        <w:t xml:space="preserve">next </w:t>
      </w:r>
      <w:r w:rsidR="00D74150" w:rsidRPr="007E1445">
        <w:t>that</w:t>
      </w:r>
      <w:r w:rsidR="00EC4DEF" w:rsidRPr="007E1445">
        <w:t xml:space="preserve">, even if </w:t>
      </w:r>
      <w:proofErr w:type="spellStart"/>
      <w:r w:rsidR="009C1A23" w:rsidRPr="007E1445">
        <w:rPr>
          <w:i/>
          <w:iCs/>
        </w:rPr>
        <w:t>Kesner</w:t>
      </w:r>
      <w:proofErr w:type="spellEnd"/>
      <w:r w:rsidR="009C1A23" w:rsidRPr="007E1445">
        <w:t xml:space="preserve"> </w:t>
      </w:r>
      <w:r w:rsidR="00EC4DEF" w:rsidRPr="007E1445">
        <w:t>did not address strict liability</w:t>
      </w:r>
      <w:r w:rsidR="00EC4DEF" w:rsidRPr="007E1445">
        <w:rPr>
          <w:i/>
          <w:iCs/>
        </w:rPr>
        <w:t>,</w:t>
      </w:r>
      <w:r w:rsidR="00F4201F" w:rsidRPr="007E1445">
        <w:t xml:space="preserve"> </w:t>
      </w:r>
      <w:r w:rsidR="009C1A23" w:rsidRPr="007E1445">
        <w:t xml:space="preserve">it </w:t>
      </w:r>
      <w:r w:rsidR="007C60E3" w:rsidRPr="007E1445">
        <w:t xml:space="preserve">should still apply </w:t>
      </w:r>
      <w:r w:rsidR="009C1A23" w:rsidRPr="007E1445">
        <w:t xml:space="preserve">to foreclose </w:t>
      </w:r>
      <w:r w:rsidR="00602AD8">
        <w:t>Cornelius’s</w:t>
      </w:r>
      <w:r w:rsidR="009C1A23" w:rsidRPr="007E1445">
        <w:t xml:space="preserve"> clai</w:t>
      </w:r>
      <w:r w:rsidR="00A60AD5" w:rsidRPr="007E1445">
        <w:t>m as a matter of law</w:t>
      </w:r>
      <w:r w:rsidR="009C1A23" w:rsidRPr="007E1445">
        <w:t xml:space="preserve"> </w:t>
      </w:r>
      <w:r w:rsidR="007C60E3" w:rsidRPr="007E1445">
        <w:t xml:space="preserve">because strict liability </w:t>
      </w:r>
      <w:r w:rsidR="005872EA">
        <w:t xml:space="preserve">and negligence </w:t>
      </w:r>
      <w:r w:rsidR="007C60E3" w:rsidRPr="007E1445">
        <w:t xml:space="preserve">are shaped by </w:t>
      </w:r>
      <w:r w:rsidR="005872EA">
        <w:t xml:space="preserve">the same </w:t>
      </w:r>
      <w:r w:rsidR="00675196">
        <w:t>elements</w:t>
      </w:r>
      <w:r w:rsidR="002B0535">
        <w:t xml:space="preserve"> and</w:t>
      </w:r>
      <w:r w:rsidR="00675196">
        <w:t xml:space="preserve"> underlying </w:t>
      </w:r>
      <w:r w:rsidR="007C60E3" w:rsidRPr="007E1445">
        <w:t>policy considerations</w:t>
      </w:r>
      <w:r w:rsidR="005872EA">
        <w:t>.</w:t>
      </w:r>
      <w:r w:rsidR="007C60E3" w:rsidRPr="007E1445">
        <w:t xml:space="preserve"> </w:t>
      </w:r>
    </w:p>
    <w:p w14:paraId="263B4163" w14:textId="4AE4B0A8" w:rsidR="00BC3A6C" w:rsidRDefault="001B3724" w:rsidP="002B0535">
      <w:pPr>
        <w:spacing w:line="360" w:lineRule="auto"/>
      </w:pPr>
      <w:r w:rsidRPr="007E1445">
        <w:tab/>
      </w:r>
      <w:r w:rsidR="00D16BCE">
        <w:t xml:space="preserve">As for the elements of the two causes of action, </w:t>
      </w:r>
      <w:r w:rsidR="00BC3A6C" w:rsidRPr="007E1445">
        <w:t xml:space="preserve">J-MM </w:t>
      </w:r>
      <w:r w:rsidR="00401DFC">
        <w:t>relies heavily on</w:t>
      </w:r>
      <w:r w:rsidR="007D6714" w:rsidRPr="007E1445">
        <w:t xml:space="preserve"> </w:t>
      </w:r>
      <w:proofErr w:type="spellStart"/>
      <w:r w:rsidR="007D6714" w:rsidRPr="007E1445">
        <w:rPr>
          <w:i/>
          <w:iCs/>
        </w:rPr>
        <w:t>Romito</w:t>
      </w:r>
      <w:proofErr w:type="spellEnd"/>
      <w:r w:rsidR="007D6714" w:rsidRPr="007E1445">
        <w:rPr>
          <w:i/>
          <w:iCs/>
        </w:rPr>
        <w:t xml:space="preserve"> v. Red Plastic Co.</w:t>
      </w:r>
      <w:r w:rsidR="007D6714" w:rsidRPr="007E1445">
        <w:t xml:space="preserve"> (1995) 38 Cal.App.4th 59</w:t>
      </w:r>
      <w:r w:rsidR="00D16BCE">
        <w:t xml:space="preserve"> (</w:t>
      </w:r>
      <w:proofErr w:type="spellStart"/>
      <w:r w:rsidR="00D16BCE">
        <w:rPr>
          <w:i/>
          <w:iCs/>
        </w:rPr>
        <w:t>Romito</w:t>
      </w:r>
      <w:proofErr w:type="spellEnd"/>
      <w:r w:rsidR="00D16BCE">
        <w:t>)</w:t>
      </w:r>
      <w:r w:rsidR="00D16BCE" w:rsidRPr="007E1445">
        <w:t xml:space="preserve">. </w:t>
      </w:r>
      <w:r w:rsidR="00D16BCE">
        <w:t xml:space="preserve"> </w:t>
      </w:r>
      <w:r w:rsidR="00CA3070">
        <w:t xml:space="preserve">In that case, family members </w:t>
      </w:r>
      <w:r w:rsidR="00F875DF">
        <w:t xml:space="preserve">of an electrician </w:t>
      </w:r>
      <w:r w:rsidR="00CA3070">
        <w:t>brought</w:t>
      </w:r>
      <w:r w:rsidR="00CA3070" w:rsidRPr="007E1445">
        <w:t xml:space="preserve"> </w:t>
      </w:r>
      <w:r w:rsidR="007D6714" w:rsidRPr="007E1445">
        <w:t xml:space="preserve">negligence and strict liability claims </w:t>
      </w:r>
      <w:r w:rsidR="00CA3070">
        <w:t>against a manufacturer</w:t>
      </w:r>
      <w:r w:rsidR="00F875DF">
        <w:t xml:space="preserve"> of plastic skylights.  (</w:t>
      </w:r>
      <w:r w:rsidR="00F875DF">
        <w:rPr>
          <w:i/>
          <w:iCs/>
        </w:rPr>
        <w:t>Id.</w:t>
      </w:r>
      <w:r w:rsidR="00F875DF">
        <w:t xml:space="preserve"> at p.</w:t>
      </w:r>
      <w:r w:rsidR="003C01ED">
        <w:t xml:space="preserve"> </w:t>
      </w:r>
      <w:r w:rsidR="00155E4C">
        <w:t>63.)</w:t>
      </w:r>
      <w:r w:rsidR="00CA3070">
        <w:t xml:space="preserve"> </w:t>
      </w:r>
      <w:r w:rsidR="00155E4C">
        <w:t xml:space="preserve"> </w:t>
      </w:r>
      <w:r w:rsidR="00F875DF">
        <w:t xml:space="preserve">The </w:t>
      </w:r>
      <w:r w:rsidR="007D6714" w:rsidRPr="007E1445">
        <w:t xml:space="preserve">electrician </w:t>
      </w:r>
      <w:r w:rsidR="00F875DF">
        <w:t xml:space="preserve">suffered a fatal injury after stumbling and falling through </w:t>
      </w:r>
      <w:r w:rsidR="00155E4C">
        <w:t xml:space="preserve">a skylight to the concrete floor below </w:t>
      </w:r>
      <w:r w:rsidR="00F875DF">
        <w:t xml:space="preserve">while </w:t>
      </w:r>
      <w:r w:rsidR="007D6714" w:rsidRPr="007E1445">
        <w:t xml:space="preserve">removing cable and wires on a roof </w:t>
      </w:r>
      <w:r w:rsidR="00F875DF">
        <w:t>without</w:t>
      </w:r>
      <w:r w:rsidR="00943E33">
        <w:t xml:space="preserve"> wearing a safety </w:t>
      </w:r>
      <w:r w:rsidR="00E22068">
        <w:t>line</w:t>
      </w:r>
      <w:r w:rsidR="007D6714" w:rsidRPr="007E1445">
        <w:t>.  (</w:t>
      </w:r>
      <w:r w:rsidR="00377FE5">
        <w:rPr>
          <w:i/>
          <w:iCs/>
        </w:rPr>
        <w:t>Ibid</w:t>
      </w:r>
      <w:r w:rsidR="007D6714" w:rsidRPr="007E1445">
        <w:t>.)</w:t>
      </w:r>
      <w:r w:rsidR="00E22068">
        <w:t xml:space="preserve">  </w:t>
      </w:r>
      <w:r w:rsidR="007D6714" w:rsidRPr="007E1445">
        <w:t>The appellate court affirmed summary judgment on the negligence claim upon concluding that the skylight manufacturer had no duty to protect the electrician against his unforeseeable and accidental misuse of the skylight.  (</w:t>
      </w:r>
      <w:r w:rsidR="007D6714" w:rsidRPr="007E1445">
        <w:rPr>
          <w:i/>
          <w:iCs/>
        </w:rPr>
        <w:t>Id.</w:t>
      </w:r>
      <w:r w:rsidR="007D6714" w:rsidRPr="007E1445">
        <w:t xml:space="preserve"> at p. 69.)  It the</w:t>
      </w:r>
      <w:r w:rsidR="00943E33">
        <w:t>n</w:t>
      </w:r>
      <w:r w:rsidR="007D6714" w:rsidRPr="007E1445">
        <w:t xml:space="preserve"> affirmed summary judgment on the strict liability claim because plaintiffs could not show the defect element:  failure to perform when</w:t>
      </w:r>
      <w:r w:rsidR="00E22068">
        <w:t xml:space="preserve"> the skylight was</w:t>
      </w:r>
      <w:r w:rsidR="007D6714" w:rsidRPr="007E1445">
        <w:t xml:space="preserve"> used or misused in an intended or foreseeable way.  (</w:t>
      </w:r>
      <w:r w:rsidR="007D6714" w:rsidRPr="007E1445">
        <w:rPr>
          <w:i/>
          <w:iCs/>
        </w:rPr>
        <w:t>Id.</w:t>
      </w:r>
      <w:r w:rsidR="007D6714" w:rsidRPr="007E1445">
        <w:t xml:space="preserve"> at p.</w:t>
      </w:r>
      <w:r w:rsidR="003F746B">
        <w:t xml:space="preserve"> </w:t>
      </w:r>
      <w:r w:rsidR="007D6714" w:rsidRPr="007E1445">
        <w:t>70.)</w:t>
      </w:r>
    </w:p>
    <w:p w14:paraId="3DB123B8" w14:textId="20DB496D" w:rsidR="00CA3070" w:rsidRDefault="00CA3070" w:rsidP="00CA3070">
      <w:pPr>
        <w:spacing w:line="360" w:lineRule="auto"/>
      </w:pPr>
      <w:r>
        <w:tab/>
        <w:t xml:space="preserve">The </w:t>
      </w:r>
      <w:r w:rsidR="00042109">
        <w:t>appellate court’s analysis</w:t>
      </w:r>
      <w:r>
        <w:t xml:space="preserve"> thus </w:t>
      </w:r>
      <w:r w:rsidR="00042109">
        <w:t>concerned</w:t>
      </w:r>
      <w:r>
        <w:t xml:space="preserve"> whether the </w:t>
      </w:r>
      <w:r w:rsidRPr="00CA3070">
        <w:rPr>
          <w:i/>
          <w:iCs/>
        </w:rPr>
        <w:t>use or misuse</w:t>
      </w:r>
      <w:r>
        <w:t xml:space="preserve"> of the skylight was foreseeable.  (</w:t>
      </w:r>
      <w:proofErr w:type="spellStart"/>
      <w:r>
        <w:rPr>
          <w:i/>
          <w:iCs/>
        </w:rPr>
        <w:t>Romito</w:t>
      </w:r>
      <w:proofErr w:type="spellEnd"/>
      <w:r>
        <w:t xml:space="preserve">, </w:t>
      </w:r>
      <w:r w:rsidRPr="00CA3070">
        <w:rPr>
          <w:i/>
          <w:iCs/>
        </w:rPr>
        <w:t>supra</w:t>
      </w:r>
      <w:r>
        <w:t xml:space="preserve">, </w:t>
      </w:r>
      <w:r w:rsidRPr="007E1445">
        <w:t>38 Cal.App.4th</w:t>
      </w:r>
      <w:r>
        <w:t xml:space="preserve"> </w:t>
      </w:r>
      <w:r w:rsidR="00200CE7">
        <w:t xml:space="preserve">at </w:t>
      </w:r>
      <w:r>
        <w:t xml:space="preserve">pp. 69–70.)  We agree that this concept of foreseeability is involved in strict liability.  </w:t>
      </w:r>
      <w:r w:rsidR="00883642" w:rsidRPr="00883642">
        <w:t>(</w:t>
      </w:r>
      <w:r w:rsidR="00883642" w:rsidRPr="00883642">
        <w:rPr>
          <w:i/>
          <w:iCs/>
        </w:rPr>
        <w:t>Soule v. General Motors Corp.</w:t>
      </w:r>
      <w:r w:rsidR="00883642" w:rsidRPr="00883642">
        <w:t xml:space="preserve"> (1994) 8 Cal.4th 548, 560 [“A </w:t>
      </w:r>
      <w:r w:rsidR="00042109" w:rsidRPr="00EA20D0">
        <w:t xml:space="preserve">manufacturer, distributor, or retailer is liable in tort if a defect in the manufacture or design of its product causes injury while the product is being </w:t>
      </w:r>
      <w:r w:rsidR="00042109" w:rsidRPr="00EA20D0">
        <w:lastRenderedPageBreak/>
        <w:t>used in a reasonably foreseeable way</w:t>
      </w:r>
      <w:r w:rsidR="00042109">
        <w:t xml:space="preserve">”]; </w:t>
      </w:r>
      <w:r w:rsidR="00042109" w:rsidRPr="00DC269D">
        <w:rPr>
          <w:i/>
          <w:iCs/>
        </w:rPr>
        <w:t>Milwaukee Electric Tool Corp. v. Superior Court</w:t>
      </w:r>
      <w:r w:rsidR="00042109" w:rsidRPr="001F1BCC">
        <w:t xml:space="preserve"> (1993) 15 Cal.App.4th 547, 558</w:t>
      </w:r>
      <w:r w:rsidR="00042109">
        <w:t xml:space="preserve"> [“</w:t>
      </w:r>
      <w:r w:rsidR="00042109" w:rsidRPr="00306E3D">
        <w:t>Even if an injured plaintiff</w:t>
      </w:r>
      <w:r w:rsidR="00042109">
        <w:t>’</w:t>
      </w:r>
      <w:r w:rsidR="00042109" w:rsidRPr="00306E3D">
        <w:t>s acts constituted misuse of a product, if those acts were foreseeable, strict liability may still apply</w:t>
      </w:r>
      <w:r w:rsidR="00042109">
        <w:t xml:space="preserve">”].)  </w:t>
      </w:r>
      <w:r>
        <w:t>For his design defect claim under the consumer expectations test,</w:t>
      </w:r>
      <w:r>
        <w:rPr>
          <w:rStyle w:val="FootnoteReference"/>
        </w:rPr>
        <w:footnoteReference w:id="5"/>
      </w:r>
      <w:r>
        <w:t xml:space="preserve"> Cornelius had to prove that the J-MM pipe </w:t>
      </w:r>
      <w:r w:rsidRPr="00470F40">
        <w:t>did not perform as safely as an ordinary</w:t>
      </w:r>
      <w:r>
        <w:t xml:space="preserve"> </w:t>
      </w:r>
      <w:r w:rsidRPr="00470F40">
        <w:t>consumer would have expected it to perform when used or</w:t>
      </w:r>
      <w:r>
        <w:t xml:space="preserve"> </w:t>
      </w:r>
      <w:r w:rsidRPr="00470F40">
        <w:t>misused in an intended or reasonably foreseeable way</w:t>
      </w:r>
      <w:r>
        <w:t>.  (</w:t>
      </w:r>
      <w:r>
        <w:rPr>
          <w:i/>
          <w:iCs/>
        </w:rPr>
        <w:t>Barker v. Lull Engineering Co.</w:t>
      </w:r>
      <w:r>
        <w:t xml:space="preserve">, </w:t>
      </w:r>
      <w:r w:rsidRPr="006A3920">
        <w:rPr>
          <w:i/>
          <w:iCs/>
        </w:rPr>
        <w:t>supra</w:t>
      </w:r>
      <w:r>
        <w:t>, 20 Cal.3d at p.</w:t>
      </w:r>
      <w:r w:rsidR="003F746B">
        <w:t xml:space="preserve"> </w:t>
      </w:r>
      <w:r>
        <w:t>418.)  And for his warning defect claim, Cornelius had to prove the J-MM pipe had potential risks that ordinary consumers would not have recognized and that presented substantial danger when the pipe was used or misused in an intended or reasonably foreseeable way.  (</w:t>
      </w:r>
      <w:r w:rsidRPr="002E2FA5">
        <w:rPr>
          <w:i/>
          <w:iCs/>
        </w:rPr>
        <w:t>Anderson v. Owens-Corning Fiberglas Corp.</w:t>
      </w:r>
      <w:r>
        <w:t xml:space="preserve">, </w:t>
      </w:r>
      <w:r w:rsidRPr="00AA7C46">
        <w:rPr>
          <w:i/>
          <w:iCs/>
        </w:rPr>
        <w:t>supra</w:t>
      </w:r>
      <w:r>
        <w:t xml:space="preserve">, </w:t>
      </w:r>
      <w:r w:rsidRPr="009A54BD">
        <w:t>53 Cal.3d</w:t>
      </w:r>
      <w:r>
        <w:t xml:space="preserve"> at </w:t>
      </w:r>
      <w:r w:rsidR="003F746B">
        <w:t xml:space="preserve">p. 993, </w:t>
      </w:r>
      <w:r>
        <w:t>fn. 5.)</w:t>
      </w:r>
    </w:p>
    <w:p w14:paraId="6875BE80" w14:textId="3EF354C0" w:rsidR="001844C5" w:rsidRPr="00CA3070" w:rsidRDefault="001844C5" w:rsidP="00CA3070">
      <w:pPr>
        <w:spacing w:line="360" w:lineRule="auto"/>
      </w:pPr>
      <w:r>
        <w:tab/>
        <w:t xml:space="preserve">This focus on the foreseeability of </w:t>
      </w:r>
      <w:r w:rsidRPr="00C75CC0">
        <w:t>use</w:t>
      </w:r>
      <w:r>
        <w:t xml:space="preserve"> is consistent with the broader objectives of strict liability to</w:t>
      </w:r>
      <w:r w:rsidRPr="00E60A64">
        <w:t xml:space="preserve"> creat</w:t>
      </w:r>
      <w:r>
        <w:t>e</w:t>
      </w:r>
      <w:r w:rsidRPr="00E60A64">
        <w:t xml:space="preserve"> incentives </w:t>
      </w:r>
      <w:r>
        <w:t>that “</w:t>
      </w:r>
      <w:r w:rsidRPr="00E60A64">
        <w:t>achieve optimal levels of safety in designing and marketing products.</w:t>
      </w:r>
      <w:r>
        <w:t>”  (</w:t>
      </w:r>
      <w:r w:rsidRPr="00E33845">
        <w:t>Rest.</w:t>
      </w:r>
      <w:r>
        <w:t>3</w:t>
      </w:r>
      <w:r w:rsidRPr="00E33845">
        <w:t>d Torts, §</w:t>
      </w:r>
      <w:r w:rsidR="003F746B">
        <w:t> </w:t>
      </w:r>
      <w:r>
        <w:t>2, com</w:t>
      </w:r>
      <w:r w:rsidR="003F746B">
        <w:t>.</w:t>
      </w:r>
      <w:r>
        <w:t xml:space="preserve"> (a);</w:t>
      </w:r>
      <w:r w:rsidRPr="00146F7D">
        <w:rPr>
          <w:i/>
          <w:iCs/>
        </w:rPr>
        <w:t xml:space="preserve"> </w:t>
      </w:r>
      <w:r>
        <w:rPr>
          <w:i/>
          <w:iCs/>
        </w:rPr>
        <w:t xml:space="preserve">Daly v. General Motors Corp. </w:t>
      </w:r>
      <w:r>
        <w:t>(1978) 20 Cal.3d 725, 746 (</w:t>
      </w:r>
      <w:r>
        <w:rPr>
          <w:i/>
          <w:iCs/>
        </w:rPr>
        <w:t>Daly</w:t>
      </w:r>
      <w:r>
        <w:t>) [explaining “</w:t>
      </w:r>
      <w:r w:rsidRPr="00CC4D48">
        <w:t xml:space="preserve">products must incorporate and balance safety, utility, competitive merit, and practicality </w:t>
      </w:r>
      <w:r w:rsidRPr="00A71AD9">
        <w:rPr>
          <w:i/>
          <w:iCs/>
        </w:rPr>
        <w:t>under a multitude of intended and foreseeable uses</w:t>
      </w:r>
      <w:r>
        <w:t>”]</w:t>
      </w:r>
      <w:r w:rsidRPr="00E33845">
        <w:t>.)</w:t>
      </w:r>
      <w:r>
        <w:t xml:space="preserve">  “</w:t>
      </w:r>
      <w:r w:rsidR="003F746B">
        <w:t>[</w:t>
      </w:r>
      <w:r>
        <w:t>C</w:t>
      </w:r>
      <w:r w:rsidR="003F746B">
        <w:t>]</w:t>
      </w:r>
      <w:proofErr w:type="spellStart"/>
      <w:r w:rsidRPr="004E5576">
        <w:t>onsumer</w:t>
      </w:r>
      <w:proofErr w:type="spellEnd"/>
      <w:r w:rsidRPr="004E5576">
        <w:t xml:space="preserve"> expectations about product performance and the dangers attendant to product use affect how risks are perceived and relate to foreseeability and frequency of the risks of harm</w:t>
      </w:r>
      <w:r>
        <w:t>.”</w:t>
      </w:r>
      <w:r w:rsidRPr="004E5576">
        <w:t xml:space="preserve"> </w:t>
      </w:r>
      <w:r>
        <w:t xml:space="preserve"> (</w:t>
      </w:r>
      <w:r w:rsidRPr="00E33845">
        <w:t>Rest.</w:t>
      </w:r>
      <w:r>
        <w:t>3</w:t>
      </w:r>
      <w:r w:rsidRPr="00E33845">
        <w:t>d Torts, §</w:t>
      </w:r>
      <w:r w:rsidR="003F746B">
        <w:t> </w:t>
      </w:r>
      <w:r>
        <w:t>2, com</w:t>
      </w:r>
      <w:r w:rsidR="003F746B">
        <w:t>.</w:t>
      </w:r>
      <w:r>
        <w:t xml:space="preserve"> (g)</w:t>
      </w:r>
      <w:r w:rsidRPr="00E33845">
        <w:t>.)</w:t>
      </w:r>
      <w:r>
        <w:t xml:space="preserve">  We see nothing in these elements that categorically excludes a plaintiff </w:t>
      </w:r>
      <w:r>
        <w:lastRenderedPageBreak/>
        <w:t xml:space="preserve">like Cornelius from seeking to prove his claims that J-MM’s asbestos-cement pipe defied consumer expectations and failed to provide </w:t>
      </w:r>
      <w:r w:rsidR="00D542DE">
        <w:t>adequate</w:t>
      </w:r>
      <w:r>
        <w:t xml:space="preserve"> warnings when used in a foreseeable way.</w:t>
      </w:r>
    </w:p>
    <w:p w14:paraId="36278F0D" w14:textId="0EEAEB80" w:rsidR="00DA5C0D" w:rsidRDefault="00A60AD5" w:rsidP="00A92AA9">
      <w:pPr>
        <w:spacing w:line="360" w:lineRule="auto"/>
      </w:pPr>
      <w:r w:rsidRPr="007E1445">
        <w:tab/>
      </w:r>
      <w:proofErr w:type="spellStart"/>
      <w:r w:rsidRPr="007E1445">
        <w:rPr>
          <w:i/>
          <w:iCs/>
        </w:rPr>
        <w:t>Romito</w:t>
      </w:r>
      <w:r w:rsidRPr="007E1445">
        <w:t>’s</w:t>
      </w:r>
      <w:proofErr w:type="spellEnd"/>
      <w:r w:rsidRPr="007E1445">
        <w:t xml:space="preserve"> reliance on the same underlying premise (unforeseeable and accidental misuse) in its analysis of both (1) the duty element in negligence and (2) the defect element in strict liability</w:t>
      </w:r>
      <w:r w:rsidR="00F50172">
        <w:t>, however,</w:t>
      </w:r>
      <w:r w:rsidRPr="007E1445">
        <w:t xml:space="preserve"> does not </w:t>
      </w:r>
      <w:r w:rsidR="00F50172">
        <w:t>support J-MM’s position</w:t>
      </w:r>
      <w:r w:rsidR="00F50172" w:rsidRPr="007E1445">
        <w:t xml:space="preserve"> </w:t>
      </w:r>
      <w:r w:rsidRPr="007E1445">
        <w:t xml:space="preserve">these two </w:t>
      </w:r>
      <w:r w:rsidR="00276BE4">
        <w:t>causes of action “meld” together</w:t>
      </w:r>
      <w:r w:rsidRPr="007E1445">
        <w:t xml:space="preserve">. </w:t>
      </w:r>
      <w:r w:rsidR="00755B7C">
        <w:t xml:space="preserve"> </w:t>
      </w:r>
      <w:r w:rsidR="00F54910">
        <w:t xml:space="preserve">Indeed, </w:t>
      </w:r>
      <w:r w:rsidR="00293C7A" w:rsidRPr="007E1445">
        <w:rPr>
          <w:i/>
          <w:iCs/>
        </w:rPr>
        <w:t>Gilead</w:t>
      </w:r>
      <w:r w:rsidR="00293C7A" w:rsidRPr="007E1445">
        <w:t xml:space="preserve"> </w:t>
      </w:r>
      <w:r w:rsidR="00293C7A" w:rsidRPr="007E1445">
        <w:rPr>
          <w:i/>
          <w:iCs/>
        </w:rPr>
        <w:t xml:space="preserve">Tenofovir Cases </w:t>
      </w:r>
      <w:r w:rsidR="00293C7A" w:rsidRPr="007E1445">
        <w:t>(2024) 98 Cal.App.5th 911</w:t>
      </w:r>
      <w:r w:rsidR="00377FE5">
        <w:t>, review granted May 1, 2024, S283862</w:t>
      </w:r>
      <w:r w:rsidR="00293C7A" w:rsidRPr="007E1445">
        <w:t xml:space="preserve"> (</w:t>
      </w:r>
      <w:r w:rsidR="00293C7A" w:rsidRPr="007E1445">
        <w:rPr>
          <w:i/>
          <w:iCs/>
        </w:rPr>
        <w:t>Gilead</w:t>
      </w:r>
      <w:r w:rsidR="00293C7A" w:rsidRPr="007E1445">
        <w:t xml:space="preserve">) </w:t>
      </w:r>
      <w:r w:rsidR="00292A30" w:rsidRPr="007E1445">
        <w:t xml:space="preserve">recently </w:t>
      </w:r>
      <w:r w:rsidR="00F50172">
        <w:t>rejected this position</w:t>
      </w:r>
      <w:r w:rsidR="004131ED" w:rsidRPr="007E1445">
        <w:t>.</w:t>
      </w:r>
      <w:r w:rsidRPr="007E1445">
        <w:t xml:space="preserve"> The issue in </w:t>
      </w:r>
      <w:r w:rsidRPr="007E1445">
        <w:rPr>
          <w:i/>
          <w:iCs/>
        </w:rPr>
        <w:t>Gilead</w:t>
      </w:r>
      <w:r w:rsidRPr="007E1445">
        <w:t xml:space="preserve"> was whether the plaintiffs were foreclosed from a negligence claim by </w:t>
      </w:r>
      <w:r w:rsidR="004131ED" w:rsidRPr="007E1445">
        <w:t>alleging</w:t>
      </w:r>
      <w:r w:rsidRPr="007E1445">
        <w:t xml:space="preserve"> that the manufacturer negligently deferred development of a new medication with lower risk of adverse effects, and not attempting to prove that the older medication was itself defective.  (</w:t>
      </w:r>
      <w:r w:rsidR="00036A53">
        <w:rPr>
          <w:i/>
          <w:iCs/>
        </w:rPr>
        <w:t>Id.</w:t>
      </w:r>
      <w:r w:rsidR="00036A53">
        <w:t xml:space="preserve"> at pp. 916–917</w:t>
      </w:r>
      <w:r w:rsidRPr="007E1445">
        <w:t xml:space="preserve">.)  The appellate court determined the plaintiffs were not so foreclosed, explaining that the requirement to prove a product defect is </w:t>
      </w:r>
      <w:r w:rsidRPr="00405733">
        <w:t>“necessary to constrain the reach of strict liability” but for negligence claims, “the requirement of a duty of care imposes its own limits on the potential scope of liability, governed by an array of policy considerations as they bear on a particular context.”  (</w:t>
      </w:r>
      <w:r w:rsidRPr="00405733">
        <w:rPr>
          <w:i/>
          <w:iCs/>
        </w:rPr>
        <w:t xml:space="preserve">Id. </w:t>
      </w:r>
      <w:r w:rsidRPr="00405733">
        <w:t xml:space="preserve">at p. </w:t>
      </w:r>
      <w:r w:rsidR="00036A53">
        <w:t>924</w:t>
      </w:r>
      <w:r w:rsidRPr="00405733">
        <w:t xml:space="preserve">.)  </w:t>
      </w:r>
      <w:r w:rsidR="00C75CC0">
        <w:t>The</w:t>
      </w:r>
      <w:r w:rsidR="00E47D70">
        <w:t xml:space="preserve"> court noted that the limitations of negligence claims prompted the development of </w:t>
      </w:r>
      <w:r w:rsidR="00CE7B05">
        <w:t xml:space="preserve">the </w:t>
      </w:r>
      <w:r w:rsidR="00E47D70">
        <w:t>strict liability</w:t>
      </w:r>
      <w:r w:rsidR="00E47D70" w:rsidRPr="00C051A4">
        <w:t xml:space="preserve"> </w:t>
      </w:r>
      <w:r w:rsidR="00E47D70">
        <w:t>doctrine.  (</w:t>
      </w:r>
      <w:r w:rsidR="00E47D70">
        <w:rPr>
          <w:i/>
          <w:iCs/>
        </w:rPr>
        <w:t>Id.</w:t>
      </w:r>
      <w:r w:rsidR="00E47D70">
        <w:t xml:space="preserve"> at p.</w:t>
      </w:r>
      <w:r w:rsidR="003F746B">
        <w:t xml:space="preserve"> </w:t>
      </w:r>
      <w:r w:rsidR="00E47D70">
        <w:t xml:space="preserve">923.)  </w:t>
      </w:r>
      <w:r w:rsidRPr="00405733">
        <w:rPr>
          <w:i/>
          <w:iCs/>
        </w:rPr>
        <w:t>Gilead</w:t>
      </w:r>
      <w:r w:rsidRPr="00405733">
        <w:t xml:space="preserve"> concluded</w:t>
      </w:r>
      <w:proofErr w:type="gramStart"/>
      <w:r w:rsidRPr="00405733">
        <w:t>:  “</w:t>
      </w:r>
      <w:proofErr w:type="gramEnd"/>
      <w:r w:rsidRPr="00405733">
        <w:t>In our view, neither logic nor jurisprudential history compels the conclusion that the two concepts must be coextensive in every case in which a plaintiff is injured by a product.”  (</w:t>
      </w:r>
      <w:r w:rsidRPr="00405733">
        <w:rPr>
          <w:i/>
          <w:iCs/>
        </w:rPr>
        <w:t>Id.</w:t>
      </w:r>
      <w:r w:rsidR="00CE7B05">
        <w:t xml:space="preserve"> at p. 924.</w:t>
      </w:r>
      <w:r w:rsidRPr="00405733">
        <w:t>)</w:t>
      </w:r>
      <w:r w:rsidR="00A23E47" w:rsidRPr="00405733">
        <w:t xml:space="preserve">  </w:t>
      </w:r>
    </w:p>
    <w:p w14:paraId="66A68C32" w14:textId="2BD98B99" w:rsidR="002B0535" w:rsidRPr="00E13DB8" w:rsidRDefault="002B0535" w:rsidP="00A92AA9">
      <w:pPr>
        <w:spacing w:line="360" w:lineRule="auto"/>
      </w:pPr>
      <w:r>
        <w:tab/>
        <w:t>J-MM</w:t>
      </w:r>
      <w:r w:rsidR="00A37677">
        <w:t xml:space="preserve"> </w:t>
      </w:r>
      <w:r w:rsidR="00C75CC0">
        <w:t xml:space="preserve">also </w:t>
      </w:r>
      <w:r w:rsidR="00A37677">
        <w:t xml:space="preserve">relies on </w:t>
      </w:r>
      <w:r>
        <w:rPr>
          <w:i/>
          <w:iCs/>
        </w:rPr>
        <w:t>Lambert v. General Motors</w:t>
      </w:r>
      <w:r>
        <w:t xml:space="preserve"> (1998) 67 Cal.App.4th 1179</w:t>
      </w:r>
      <w:r w:rsidR="00606392">
        <w:t xml:space="preserve"> </w:t>
      </w:r>
      <w:r w:rsidR="00F54910">
        <w:t>to argue that Cornelius’s strict liability and negligence causes of action “merged</w:t>
      </w:r>
      <w:r w:rsidR="00AE1BF5">
        <w:t>.</w:t>
      </w:r>
      <w:r w:rsidR="00F54910">
        <w:t xml:space="preserve">” </w:t>
      </w:r>
      <w:r w:rsidR="00755B7C">
        <w:t xml:space="preserve"> </w:t>
      </w:r>
      <w:r w:rsidR="00606392">
        <w:t xml:space="preserve">In </w:t>
      </w:r>
      <w:r w:rsidR="00606392">
        <w:rPr>
          <w:i/>
          <w:iCs/>
        </w:rPr>
        <w:t>Lambert</w:t>
      </w:r>
      <w:r w:rsidR="00606392">
        <w:t xml:space="preserve">, </w:t>
      </w:r>
      <w:r w:rsidR="001C4DF5">
        <w:t>a</w:t>
      </w:r>
      <w:r w:rsidR="00DA4775">
        <w:t xml:space="preserve"> plaintiff </w:t>
      </w:r>
      <w:r w:rsidR="001C4DF5">
        <w:t xml:space="preserve">injured in a car accident asserted product liability claims based on theories of strict liability (defects in roof and seatbelt </w:t>
      </w:r>
      <w:r w:rsidR="001C4DF5">
        <w:lastRenderedPageBreak/>
        <w:t>design of car) and negligence (manufacturer was negligen</w:t>
      </w:r>
      <w:r w:rsidR="00006EF0">
        <w:t>t</w:t>
      </w:r>
      <w:r w:rsidR="001C4DF5">
        <w:t xml:space="preserve"> in design of car)</w:t>
      </w:r>
      <w:r w:rsidR="00DA4775">
        <w:t>.  (</w:t>
      </w:r>
      <w:r w:rsidR="00DA4775">
        <w:rPr>
          <w:i/>
          <w:iCs/>
        </w:rPr>
        <w:t>Id.</w:t>
      </w:r>
      <w:r w:rsidR="00DA4775">
        <w:t xml:space="preserve"> at p</w:t>
      </w:r>
      <w:r w:rsidR="001C4DF5">
        <w:t>p</w:t>
      </w:r>
      <w:r w:rsidR="00DA4775">
        <w:t>.</w:t>
      </w:r>
      <w:r w:rsidR="003F746B">
        <w:t xml:space="preserve"> </w:t>
      </w:r>
      <w:r w:rsidR="00DA4775">
        <w:t>1181</w:t>
      </w:r>
      <w:r w:rsidR="001C4DF5">
        <w:t>–1182</w:t>
      </w:r>
      <w:r w:rsidR="00DA4775">
        <w:t xml:space="preserve">.) </w:t>
      </w:r>
      <w:r>
        <w:t xml:space="preserve"> </w:t>
      </w:r>
      <w:r w:rsidR="00DA4775">
        <w:t>The jury concluded there was no defect, but that the car manufacturer was negligent in the design of the car.  (</w:t>
      </w:r>
      <w:r w:rsidR="00DA4775">
        <w:rPr>
          <w:i/>
          <w:iCs/>
        </w:rPr>
        <w:t xml:space="preserve">Id. </w:t>
      </w:r>
      <w:r w:rsidR="00DA4775">
        <w:t>at p.</w:t>
      </w:r>
      <w:r w:rsidR="003F746B">
        <w:t xml:space="preserve"> </w:t>
      </w:r>
      <w:r w:rsidR="00CE7B05">
        <w:t>1182</w:t>
      </w:r>
      <w:r w:rsidR="00DA4775">
        <w:t xml:space="preserve">.)  The appellate court determined that the </w:t>
      </w:r>
      <w:r w:rsidR="001C4DF5">
        <w:t>verdict was inconsistent and remanded for a new trial.  (</w:t>
      </w:r>
      <w:r w:rsidR="001C4DF5">
        <w:rPr>
          <w:i/>
          <w:iCs/>
        </w:rPr>
        <w:t>Id.</w:t>
      </w:r>
      <w:r w:rsidR="001C4DF5">
        <w:t xml:space="preserve"> at p.</w:t>
      </w:r>
      <w:r w:rsidR="003F746B">
        <w:t xml:space="preserve"> </w:t>
      </w:r>
      <w:r w:rsidR="001C4DF5">
        <w:t>1186.)  It reasoned that the manufacturer could not be negligen</w:t>
      </w:r>
      <w:r w:rsidR="00006EF0">
        <w:t>t</w:t>
      </w:r>
      <w:r w:rsidR="001C4DF5">
        <w:t xml:space="preserve"> for design if there was no design defect.  (</w:t>
      </w:r>
      <w:r w:rsidR="001C4DF5">
        <w:rPr>
          <w:i/>
          <w:iCs/>
        </w:rPr>
        <w:t>Ibid.</w:t>
      </w:r>
      <w:r w:rsidR="001C4DF5">
        <w:t xml:space="preserve">)  It explained that, </w:t>
      </w:r>
      <w:r w:rsidR="00E13DB8">
        <w:t>because</w:t>
      </w:r>
      <w:r w:rsidR="001C4DF5">
        <w:t xml:space="preserve"> both product liability claims depend</w:t>
      </w:r>
      <w:r w:rsidR="00006EF0">
        <w:t>ed</w:t>
      </w:r>
      <w:r w:rsidR="001C4DF5">
        <w:t xml:space="preserve"> on proof of the defect, the claims </w:t>
      </w:r>
      <w:r>
        <w:t>“merge</w:t>
      </w:r>
      <w:r w:rsidR="001C4DF5">
        <w:t>.</w:t>
      </w:r>
      <w:r>
        <w:t>”</w:t>
      </w:r>
      <w:r w:rsidR="001C4DF5">
        <w:t xml:space="preserve"> </w:t>
      </w:r>
      <w:r>
        <w:t xml:space="preserve"> (</w:t>
      </w:r>
      <w:r>
        <w:rPr>
          <w:i/>
          <w:iCs/>
        </w:rPr>
        <w:t>Id.</w:t>
      </w:r>
      <w:r>
        <w:t xml:space="preserve"> at p.</w:t>
      </w:r>
      <w:r w:rsidR="003F746B">
        <w:t xml:space="preserve"> </w:t>
      </w:r>
      <w:r>
        <w:t>118</w:t>
      </w:r>
      <w:r w:rsidR="001C4DF5">
        <w:t>5</w:t>
      </w:r>
      <w:r>
        <w:t>.)</w:t>
      </w:r>
      <w:r w:rsidR="00E13DB8">
        <w:t xml:space="preserve">  But nothing in </w:t>
      </w:r>
      <w:r w:rsidR="00E13DB8">
        <w:rPr>
          <w:i/>
          <w:iCs/>
        </w:rPr>
        <w:t>Lambert</w:t>
      </w:r>
      <w:r w:rsidR="00E13DB8">
        <w:t xml:space="preserve"> suggests that the element of </w:t>
      </w:r>
      <w:r w:rsidR="00E13DB8" w:rsidRPr="00E13DB8">
        <w:rPr>
          <w:i/>
          <w:iCs/>
        </w:rPr>
        <w:t>duty</w:t>
      </w:r>
      <w:r w:rsidR="00E13DB8">
        <w:t xml:space="preserve"> in any negligence cause of action merges or is coextensive with the defect element in a strict liability cause of action.</w:t>
      </w:r>
    </w:p>
    <w:p w14:paraId="1987ABE4" w14:textId="145E28A8" w:rsidR="00EE0773" w:rsidRPr="007E1445" w:rsidRDefault="00181C2A" w:rsidP="00723CAD">
      <w:pPr>
        <w:spacing w:line="360" w:lineRule="auto"/>
      </w:pPr>
      <w:r>
        <w:tab/>
      </w:r>
      <w:r w:rsidR="008A3CFC">
        <w:t xml:space="preserve"> </w:t>
      </w:r>
      <w:r w:rsidR="00F54910">
        <w:t>As for the policy considerations underlying the two causes of action, we again</w:t>
      </w:r>
      <w:r w:rsidR="00B26978">
        <w:tab/>
      </w:r>
      <w:r w:rsidR="00026A15">
        <w:t>acknowledge</w:t>
      </w:r>
      <w:r w:rsidR="002C2271" w:rsidRPr="007E1445">
        <w:t xml:space="preserve"> the general premise that both doctrines balance the costs and benefits of liability.  (</w:t>
      </w:r>
      <w:proofErr w:type="spellStart"/>
      <w:r w:rsidR="002C2271" w:rsidRPr="007E1445">
        <w:rPr>
          <w:i/>
          <w:iCs/>
        </w:rPr>
        <w:t>Kesner</w:t>
      </w:r>
      <w:proofErr w:type="spellEnd"/>
      <w:r w:rsidR="002C2271" w:rsidRPr="007E1445">
        <w:t xml:space="preserve">, </w:t>
      </w:r>
      <w:r w:rsidR="002C2271" w:rsidRPr="007E1445">
        <w:rPr>
          <w:i/>
          <w:iCs/>
        </w:rPr>
        <w:t>supra</w:t>
      </w:r>
      <w:r w:rsidR="002C2271" w:rsidRPr="007E1445">
        <w:t xml:space="preserve">, 1 Cal.5th at p. 1143; </w:t>
      </w:r>
      <w:r w:rsidR="002C2271" w:rsidRPr="007E1445">
        <w:rPr>
          <w:i/>
          <w:iCs/>
        </w:rPr>
        <w:t>Daly</w:t>
      </w:r>
      <w:r w:rsidR="002C2271" w:rsidRPr="007E1445">
        <w:t xml:space="preserve">, </w:t>
      </w:r>
      <w:r w:rsidR="002C2271" w:rsidRPr="007E1445">
        <w:rPr>
          <w:i/>
          <w:iCs/>
        </w:rPr>
        <w:t>supra</w:t>
      </w:r>
      <w:r w:rsidR="002C2271" w:rsidRPr="007E1445">
        <w:t>,</w:t>
      </w:r>
      <w:r w:rsidR="002C2271" w:rsidRPr="007E1445">
        <w:rPr>
          <w:i/>
          <w:iCs/>
        </w:rPr>
        <w:t xml:space="preserve"> </w:t>
      </w:r>
      <w:r w:rsidR="002C2271" w:rsidRPr="007E1445">
        <w:t>20 Cal.3d at p.</w:t>
      </w:r>
      <w:r w:rsidR="003F746B">
        <w:t xml:space="preserve"> </w:t>
      </w:r>
      <w:r w:rsidR="002C2271" w:rsidRPr="007E1445">
        <w:t>746.)  But these policy considerations are not identical, and</w:t>
      </w:r>
      <w:r w:rsidR="009F123C">
        <w:t xml:space="preserve"> in any event</w:t>
      </w:r>
      <w:r w:rsidR="002C2271" w:rsidRPr="007E1445">
        <w:t xml:space="preserve"> do not support the</w:t>
      </w:r>
      <w:r w:rsidR="009F123C">
        <w:t xml:space="preserve"> inexorable</w:t>
      </w:r>
      <w:r w:rsidR="002C2271" w:rsidRPr="007E1445">
        <w:t xml:space="preserve"> extension of </w:t>
      </w:r>
      <w:proofErr w:type="spellStart"/>
      <w:r w:rsidR="002C2271" w:rsidRPr="007E1445">
        <w:rPr>
          <w:i/>
          <w:iCs/>
        </w:rPr>
        <w:t>Kesner</w:t>
      </w:r>
      <w:proofErr w:type="spellEnd"/>
      <w:r w:rsidR="002C2271" w:rsidRPr="007E1445">
        <w:t xml:space="preserve"> that J-MM advances here</w:t>
      </w:r>
      <w:r w:rsidR="009F123C">
        <w:t xml:space="preserve"> as a matter of law</w:t>
      </w:r>
      <w:r w:rsidR="002C2271" w:rsidRPr="007E1445">
        <w:t>.</w:t>
      </w:r>
    </w:p>
    <w:p w14:paraId="29D0E7B6" w14:textId="3AA79D08" w:rsidR="000C2706" w:rsidRDefault="00C228FD" w:rsidP="00EE0773">
      <w:pPr>
        <w:spacing w:line="360" w:lineRule="auto"/>
      </w:pPr>
      <w:r w:rsidRPr="007E1445">
        <w:tab/>
      </w:r>
      <w:r w:rsidR="000C2706" w:rsidRPr="007E1445">
        <w:t xml:space="preserve">Strict liability </w:t>
      </w:r>
      <w:r w:rsidR="002028E6" w:rsidRPr="007E1445">
        <w:t xml:space="preserve">was </w:t>
      </w:r>
      <w:r w:rsidR="000C2706" w:rsidRPr="007E1445">
        <w:t>developed to ensure that costs</w:t>
      </w:r>
      <w:r w:rsidR="000C2706">
        <w:t xml:space="preserve"> from defective products are borne by manufacturers</w:t>
      </w:r>
      <w:r w:rsidR="00FA25B0">
        <w:t xml:space="preserve">, </w:t>
      </w:r>
      <w:r w:rsidR="000C2706">
        <w:t>retailers</w:t>
      </w:r>
      <w:r w:rsidR="00FA25B0">
        <w:t xml:space="preserve">, and </w:t>
      </w:r>
      <w:r w:rsidR="000C2706">
        <w:t>distributors who put the</w:t>
      </w:r>
      <w:r w:rsidR="00E720D4">
        <w:t xml:space="preserve"> products</w:t>
      </w:r>
      <w:r w:rsidR="000C2706">
        <w:t xml:space="preserve"> into the stream of commerce</w:t>
      </w:r>
      <w:r w:rsidR="000732F0">
        <w:t xml:space="preserve"> (</w:t>
      </w:r>
      <w:r w:rsidR="00E720D4">
        <w:t xml:space="preserve">and </w:t>
      </w:r>
      <w:r w:rsidR="000732F0">
        <w:t>who can then</w:t>
      </w:r>
      <w:r w:rsidR="0009369F">
        <w:t xml:space="preserve"> adjust for those associated costs in the course of their business</w:t>
      </w:r>
      <w:r w:rsidR="000732F0">
        <w:t>)</w:t>
      </w:r>
      <w:r w:rsidR="000C2706">
        <w:t xml:space="preserve">, not individuals </w:t>
      </w:r>
      <w:proofErr w:type="gramStart"/>
      <w:r w:rsidR="003F746B">
        <w:t>“ ‘</w:t>
      </w:r>
      <w:proofErr w:type="gramEnd"/>
      <w:r w:rsidR="000C2706">
        <w:t>who are powerless to protect themselves</w:t>
      </w:r>
      <w:r w:rsidR="003F746B">
        <w:t>’</w:t>
      </w:r>
      <w:r w:rsidR="00200CE7">
        <w:t> ”</w:t>
      </w:r>
      <w:r w:rsidR="000C2706">
        <w:t xml:space="preserve"> from those defects</w:t>
      </w:r>
      <w:r w:rsidR="00444C09">
        <w:t xml:space="preserve">. </w:t>
      </w:r>
      <w:r w:rsidR="000C2706">
        <w:t xml:space="preserve"> (</w:t>
      </w:r>
      <w:r w:rsidR="000C2706">
        <w:rPr>
          <w:i/>
          <w:iCs/>
        </w:rPr>
        <w:t>Elmore</w:t>
      </w:r>
      <w:r w:rsidR="00722776">
        <w:rPr>
          <w:i/>
          <w:iCs/>
        </w:rPr>
        <w:t xml:space="preserve"> v. American Motors Corp. </w:t>
      </w:r>
      <w:r w:rsidR="00722776">
        <w:t>(1969) 70 Cal.2d 578,</w:t>
      </w:r>
      <w:r w:rsidR="000C2706">
        <w:t xml:space="preserve"> 585</w:t>
      </w:r>
      <w:r w:rsidR="00167136">
        <w:t xml:space="preserve"> (</w:t>
      </w:r>
      <w:r w:rsidR="00167136">
        <w:rPr>
          <w:i/>
          <w:iCs/>
        </w:rPr>
        <w:t>Elmore</w:t>
      </w:r>
      <w:r w:rsidR="00167136">
        <w:t>)</w:t>
      </w:r>
      <w:r w:rsidR="00722776">
        <w:t xml:space="preserve">.)  As described above, </w:t>
      </w:r>
      <w:r w:rsidR="00267277">
        <w:t xml:space="preserve">the foreseeability element </w:t>
      </w:r>
      <w:r w:rsidR="00A23EEB">
        <w:t>of</w:t>
      </w:r>
      <w:r w:rsidR="00267277">
        <w:t xml:space="preserve"> </w:t>
      </w:r>
      <w:r w:rsidR="00AD0812">
        <w:t>Cornelius’s</w:t>
      </w:r>
      <w:r w:rsidR="004D6DEE">
        <w:t xml:space="preserve"> </w:t>
      </w:r>
      <w:r w:rsidR="001A0D4B">
        <w:t xml:space="preserve">strict liability </w:t>
      </w:r>
      <w:r w:rsidR="00267277">
        <w:t>claims</w:t>
      </w:r>
      <w:r w:rsidR="004D6DEE">
        <w:t xml:space="preserve"> </w:t>
      </w:r>
      <w:r w:rsidR="00F01026">
        <w:t>informs</w:t>
      </w:r>
      <w:r w:rsidR="006C2AB7">
        <w:t xml:space="preserve"> this</w:t>
      </w:r>
      <w:r w:rsidR="0028038D">
        <w:t xml:space="preserve"> balancing</w:t>
      </w:r>
      <w:r w:rsidR="001B0A27">
        <w:t xml:space="preserve">.  </w:t>
      </w:r>
      <w:r w:rsidR="00F16E06">
        <w:t>Individuals</w:t>
      </w:r>
      <w:r w:rsidR="001B0A27">
        <w:t xml:space="preserve"> appropriately bear </w:t>
      </w:r>
      <w:r w:rsidR="00281939">
        <w:t xml:space="preserve">the </w:t>
      </w:r>
      <w:r w:rsidR="001B0A27">
        <w:t>cost</w:t>
      </w:r>
      <w:r w:rsidR="007A58C3">
        <w:t>s</w:t>
      </w:r>
      <w:r w:rsidR="001B0A27">
        <w:t xml:space="preserve"> when </w:t>
      </w:r>
      <w:r w:rsidR="00F16E06">
        <w:t>the</w:t>
      </w:r>
      <w:r w:rsidR="001B0A27">
        <w:t xml:space="preserve"> product is</w:t>
      </w:r>
      <w:r w:rsidR="00F16E06">
        <w:t xml:space="preserve"> being used in</w:t>
      </w:r>
      <w:r w:rsidR="001B0A27">
        <w:t xml:space="preserve"> </w:t>
      </w:r>
      <w:r w:rsidR="00E720D4">
        <w:t>an</w:t>
      </w:r>
      <w:r w:rsidR="001B0A27">
        <w:t xml:space="preserve"> </w:t>
      </w:r>
      <w:r w:rsidR="001B0A27" w:rsidRPr="00026A15">
        <w:rPr>
          <w:i/>
          <w:iCs/>
        </w:rPr>
        <w:t>unforeseeable</w:t>
      </w:r>
      <w:r w:rsidR="001B0A27">
        <w:t xml:space="preserve"> way</w:t>
      </w:r>
      <w:r w:rsidR="00281939">
        <w:t xml:space="preserve">.  </w:t>
      </w:r>
      <w:r w:rsidR="004011EC">
        <w:t xml:space="preserve">(See, e.g., </w:t>
      </w:r>
      <w:r w:rsidR="004011EC">
        <w:rPr>
          <w:i/>
          <w:iCs/>
        </w:rPr>
        <w:t>Daly</w:t>
      </w:r>
      <w:r w:rsidR="004011EC">
        <w:t xml:space="preserve">, </w:t>
      </w:r>
      <w:r w:rsidR="004011EC" w:rsidRPr="008A6907">
        <w:rPr>
          <w:i/>
          <w:iCs/>
        </w:rPr>
        <w:t>supra</w:t>
      </w:r>
      <w:r w:rsidR="004011EC">
        <w:t>, 20 Cal.3d at p.</w:t>
      </w:r>
      <w:r w:rsidR="003F746B">
        <w:t xml:space="preserve"> </w:t>
      </w:r>
      <w:r w:rsidR="004011EC">
        <w:t>73</w:t>
      </w:r>
      <w:r w:rsidR="003F746B">
        <w:t>3</w:t>
      </w:r>
      <w:r w:rsidR="004011EC">
        <w:t xml:space="preserve"> [“</w:t>
      </w:r>
      <w:r w:rsidR="00B35804">
        <w:t>[T]</w:t>
      </w:r>
      <w:proofErr w:type="gramStart"/>
      <w:r w:rsidR="004011EC" w:rsidRPr="00EF6936">
        <w:t>he</w:t>
      </w:r>
      <w:proofErr w:type="gramEnd"/>
      <w:r w:rsidR="004011EC" w:rsidRPr="00EF6936">
        <w:t xml:space="preserve"> manufacturer is not deemed responsible when injury results from an unforeseeable use of its product</w:t>
      </w:r>
      <w:r w:rsidR="004011EC">
        <w:t xml:space="preserve">”].)  </w:t>
      </w:r>
      <w:r w:rsidR="003457AE">
        <w:t xml:space="preserve">Individuals also </w:t>
      </w:r>
      <w:r w:rsidR="001A441B">
        <w:t xml:space="preserve">appropriately bear </w:t>
      </w:r>
      <w:r w:rsidR="003457AE">
        <w:lastRenderedPageBreak/>
        <w:t xml:space="preserve">the costs </w:t>
      </w:r>
      <w:r w:rsidR="00A23EEB">
        <w:t xml:space="preserve">for </w:t>
      </w:r>
      <w:r w:rsidR="00F50E6F">
        <w:t xml:space="preserve">failures or potential </w:t>
      </w:r>
      <w:r w:rsidR="00A23EEB">
        <w:t>risks that are</w:t>
      </w:r>
      <w:r w:rsidR="008F2200">
        <w:t xml:space="preserve"> </w:t>
      </w:r>
      <w:r w:rsidR="00F50E6F">
        <w:t>reasonably</w:t>
      </w:r>
      <w:r w:rsidR="00A23EEB">
        <w:t xml:space="preserve"> expected</w:t>
      </w:r>
      <w:r w:rsidR="001E6664">
        <w:t xml:space="preserve"> even with foreseeable use</w:t>
      </w:r>
      <w:r w:rsidR="00A23EEB">
        <w:t xml:space="preserve">.  If a product is </w:t>
      </w:r>
      <w:r w:rsidR="001A441B">
        <w:t>inherently or obviously dangerous</w:t>
      </w:r>
      <w:r w:rsidR="00433E2A">
        <w:t>, for example,</w:t>
      </w:r>
      <w:r w:rsidR="003457AE">
        <w:t xml:space="preserve"> </w:t>
      </w:r>
      <w:r w:rsidR="008F4283">
        <w:t xml:space="preserve">a </w:t>
      </w:r>
      <w:r w:rsidR="00E053C9">
        <w:t xml:space="preserve">reasonable consumer would </w:t>
      </w:r>
      <w:r w:rsidR="0010547C">
        <w:t>have related expectations about</w:t>
      </w:r>
      <w:r w:rsidR="00AA5BFD">
        <w:t xml:space="preserve"> performance and potential risks</w:t>
      </w:r>
      <w:r w:rsidR="008E48D3">
        <w:t>.</w:t>
      </w:r>
      <w:r w:rsidR="00E058B9">
        <w:t xml:space="preserve">  But protecting individuals from unexpected defects </w:t>
      </w:r>
      <w:r w:rsidR="008B6EC9">
        <w:t>arising from</w:t>
      </w:r>
      <w:r w:rsidR="00E058B9">
        <w:t xml:space="preserve"> foreseeable use</w:t>
      </w:r>
      <w:r w:rsidR="008B6EC9">
        <w:t xml:space="preserve"> of </w:t>
      </w:r>
      <w:r w:rsidR="00260A53">
        <w:t>a</w:t>
      </w:r>
      <w:r w:rsidR="008B6EC9">
        <w:t xml:space="preserve"> protect is co</w:t>
      </w:r>
      <w:r w:rsidR="00260A53">
        <w:t>nsistent with that goal.</w:t>
      </w:r>
    </w:p>
    <w:p w14:paraId="1DA864E8" w14:textId="170A6EB3" w:rsidR="00E655BC" w:rsidRDefault="00E655BC" w:rsidP="00A92AA9">
      <w:pPr>
        <w:spacing w:line="360" w:lineRule="auto"/>
      </w:pPr>
      <w:r>
        <w:tab/>
      </w:r>
      <w:r w:rsidR="00DD29BB">
        <w:t xml:space="preserve">Nor are we persuaded by J-MM’s other </w:t>
      </w:r>
      <w:r w:rsidR="00623880">
        <w:t xml:space="preserve">“policy” </w:t>
      </w:r>
      <w:r w:rsidR="00DD29BB">
        <w:t xml:space="preserve">reasons to extend </w:t>
      </w:r>
      <w:proofErr w:type="spellStart"/>
      <w:r w:rsidR="00DD29BB" w:rsidRPr="00492367">
        <w:rPr>
          <w:i/>
          <w:iCs/>
        </w:rPr>
        <w:t>Kesner</w:t>
      </w:r>
      <w:proofErr w:type="spellEnd"/>
      <w:r w:rsidR="00DD29BB">
        <w:t xml:space="preserve">. </w:t>
      </w:r>
      <w:r w:rsidR="00755B7C">
        <w:t xml:space="preserve"> </w:t>
      </w:r>
      <w:r w:rsidR="00DD29BB">
        <w:t xml:space="preserve">First, </w:t>
      </w:r>
      <w:r w:rsidR="00323DF5">
        <w:t>J-MM</w:t>
      </w:r>
      <w:r w:rsidR="00B90F66">
        <w:t xml:space="preserve"> </w:t>
      </w:r>
      <w:r w:rsidR="0087226D">
        <w:t>suggests</w:t>
      </w:r>
      <w:r w:rsidR="00B90F66">
        <w:t xml:space="preserve"> </w:t>
      </w:r>
      <w:r w:rsidR="00323DF5">
        <w:t xml:space="preserve">that declining to </w:t>
      </w:r>
      <w:r w:rsidR="00D228AE">
        <w:t xml:space="preserve">do so </w:t>
      </w:r>
      <w:r w:rsidR="00323DF5">
        <w:t xml:space="preserve">would </w:t>
      </w:r>
      <w:r w:rsidR="00151BF8">
        <w:t xml:space="preserve">improperly </w:t>
      </w:r>
      <w:r w:rsidR="003A335B">
        <w:t>equate strict liability with</w:t>
      </w:r>
      <w:r w:rsidR="00323DF5">
        <w:t xml:space="preserve"> “absolute liability.” </w:t>
      </w:r>
      <w:r w:rsidR="00755B7C">
        <w:t xml:space="preserve"> </w:t>
      </w:r>
      <w:r w:rsidR="00DD29BB">
        <w:t>Not so</w:t>
      </w:r>
      <w:r w:rsidR="00CB06B9">
        <w:t xml:space="preserve">.  </w:t>
      </w:r>
      <w:r w:rsidR="00EF6936">
        <w:t>“</w:t>
      </w:r>
      <w:r w:rsidR="00867C65">
        <w:t>[S]</w:t>
      </w:r>
      <w:proofErr w:type="spellStart"/>
      <w:r w:rsidR="00EF6936" w:rsidRPr="00EF6936">
        <w:t>trict</w:t>
      </w:r>
      <w:proofErr w:type="spellEnd"/>
      <w:r w:rsidR="00EF6936" w:rsidRPr="00EF6936">
        <w:t xml:space="preserve"> liability has never been, and is not now, </w:t>
      </w:r>
      <w:r w:rsidR="00EF6936" w:rsidRPr="00EF6936">
        <w:rPr>
          <w:i/>
          <w:iCs/>
        </w:rPr>
        <w:t>absolute</w:t>
      </w:r>
      <w:r w:rsidR="00EF6936" w:rsidRPr="00EF6936">
        <w:t xml:space="preserve"> liability.</w:t>
      </w:r>
      <w:r w:rsidR="00EF6936">
        <w:t xml:space="preserve">”  </w:t>
      </w:r>
      <w:r w:rsidR="00BA6D3D">
        <w:t>(</w:t>
      </w:r>
      <w:r w:rsidR="00BA6D3D">
        <w:rPr>
          <w:i/>
          <w:iCs/>
        </w:rPr>
        <w:t>Daly</w:t>
      </w:r>
      <w:r w:rsidR="00BA6D3D">
        <w:t xml:space="preserve">, </w:t>
      </w:r>
      <w:r w:rsidR="00BA6D3D" w:rsidRPr="008A6907">
        <w:rPr>
          <w:i/>
          <w:iCs/>
        </w:rPr>
        <w:t>supra</w:t>
      </w:r>
      <w:r w:rsidR="00BA6D3D">
        <w:t>, 20 Cal.3d at p.</w:t>
      </w:r>
      <w:r w:rsidR="00600274">
        <w:t xml:space="preserve"> </w:t>
      </w:r>
      <w:r w:rsidR="00BA6D3D">
        <w:t>73</w:t>
      </w:r>
      <w:r w:rsidR="00600274">
        <w:t>3</w:t>
      </w:r>
      <w:r w:rsidR="00BA6D3D">
        <w:t xml:space="preserve">.)  </w:t>
      </w:r>
      <w:r w:rsidR="008A6907">
        <w:t>“</w:t>
      </w:r>
      <w:r w:rsidR="00EF6936" w:rsidRPr="00EF6936">
        <w:t>On the contrary, the plaintiff</w:t>
      </w:r>
      <w:r w:rsidR="008A6907">
        <w:t>’</w:t>
      </w:r>
      <w:r w:rsidR="00EF6936" w:rsidRPr="00EF6936">
        <w:t xml:space="preserve">s injury must have been caused by a </w:t>
      </w:r>
      <w:r w:rsidR="008A6907">
        <w:t>‘</w:t>
      </w:r>
      <w:r w:rsidR="00EF6936" w:rsidRPr="00EF6936">
        <w:t>defect</w:t>
      </w:r>
      <w:r w:rsidR="009F0EF7">
        <w:t>’</w:t>
      </w:r>
      <w:r w:rsidR="00EF6936" w:rsidRPr="00EF6936">
        <w:t xml:space="preserve"> in the product.</w:t>
      </w:r>
      <w:r w:rsidR="00AB38D9">
        <w:t>”  (</w:t>
      </w:r>
      <w:r w:rsidR="00AB38D9">
        <w:rPr>
          <w:i/>
          <w:iCs/>
        </w:rPr>
        <w:t>Ibid.</w:t>
      </w:r>
      <w:r w:rsidR="0078152D">
        <w:t xml:space="preserve">)  </w:t>
      </w:r>
      <w:r w:rsidR="00AB38D9">
        <w:t>“</w:t>
      </w:r>
      <w:r w:rsidR="00C0336B">
        <w:t xml:space="preserve">Furthermore, </w:t>
      </w:r>
      <w:r w:rsidR="00EF6936" w:rsidRPr="00EF6936">
        <w:t>we have recognized that though most forms of contributory negligence do not constitute a defense to a strict products liability action, plaintiff</w:t>
      </w:r>
      <w:r w:rsidR="00DF4985">
        <w:t>’</w:t>
      </w:r>
      <w:r w:rsidR="00EF6936" w:rsidRPr="00EF6936">
        <w:t>s negligence is a complete defense when it comprises assumption of risk.</w:t>
      </w:r>
      <w:r w:rsidR="00DF4985">
        <w:t xml:space="preserve">”  </w:t>
      </w:r>
      <w:r w:rsidR="003A0700">
        <w:t>(</w:t>
      </w:r>
      <w:r w:rsidR="00600274">
        <w:rPr>
          <w:i/>
          <w:iCs/>
        </w:rPr>
        <w:t>Ibid</w:t>
      </w:r>
      <w:r w:rsidR="00092619">
        <w:rPr>
          <w:i/>
          <w:iCs/>
        </w:rPr>
        <w:t>.</w:t>
      </w:r>
      <w:r w:rsidR="003A0700">
        <w:t xml:space="preserve">)  </w:t>
      </w:r>
      <w:r w:rsidR="00DF4985">
        <w:t>As</w:t>
      </w:r>
      <w:r w:rsidR="00F03A81">
        <w:t xml:space="preserve"> </w:t>
      </w:r>
      <w:r w:rsidR="00D24B07">
        <w:rPr>
          <w:i/>
          <w:iCs/>
        </w:rPr>
        <w:t xml:space="preserve">Daly </w:t>
      </w:r>
      <w:r w:rsidR="00DF4985">
        <w:t>make</w:t>
      </w:r>
      <w:r w:rsidR="00883642">
        <w:t>s</w:t>
      </w:r>
      <w:r w:rsidR="00DF4985">
        <w:t xml:space="preserve"> clear, the elements </w:t>
      </w:r>
      <w:r w:rsidR="00EB0935">
        <w:t>for (</w:t>
      </w:r>
      <w:r w:rsidR="0097714C">
        <w:t xml:space="preserve">and defenses </w:t>
      </w:r>
      <w:r w:rsidR="00EB0935">
        <w:t>to) a</w:t>
      </w:r>
      <w:r w:rsidR="0097714C">
        <w:t xml:space="preserve"> strict liability </w:t>
      </w:r>
      <w:r w:rsidR="00016DDE">
        <w:t xml:space="preserve">cause of action prevent </w:t>
      </w:r>
      <w:r w:rsidR="00EB0935">
        <w:t>it from imposing absolute liability</w:t>
      </w:r>
      <w:r w:rsidR="00DF4985">
        <w:t>.</w:t>
      </w:r>
      <w:r w:rsidR="00485EAF">
        <w:t xml:space="preserve">  </w:t>
      </w:r>
      <w:r w:rsidR="003A1795">
        <w:t>Cornelius</w:t>
      </w:r>
      <w:r w:rsidR="001C188A">
        <w:t xml:space="preserve"> was</w:t>
      </w:r>
      <w:r w:rsidR="00485EAF">
        <w:t xml:space="preserve"> still </w:t>
      </w:r>
      <w:r w:rsidR="001C188A">
        <w:t>required to</w:t>
      </w:r>
      <w:r w:rsidR="00485EAF">
        <w:t xml:space="preserve"> prove</w:t>
      </w:r>
      <w:r w:rsidR="001C188A">
        <w:t xml:space="preserve"> </w:t>
      </w:r>
      <w:r w:rsidR="004E3CB4">
        <w:t xml:space="preserve">the J-MM pipe </w:t>
      </w:r>
      <w:r w:rsidR="004E3CB4" w:rsidRPr="00470F40">
        <w:t>did not perform as safely as an ordinary</w:t>
      </w:r>
      <w:r w:rsidR="004E3CB4">
        <w:t xml:space="preserve"> </w:t>
      </w:r>
      <w:r w:rsidR="004E3CB4" w:rsidRPr="00470F40">
        <w:t xml:space="preserve">consumer would have expected it to perform </w:t>
      </w:r>
      <w:r w:rsidR="00EB2E82">
        <w:t xml:space="preserve">and had </w:t>
      </w:r>
      <w:r w:rsidR="00171EF4">
        <w:t>failures or</w:t>
      </w:r>
      <w:r w:rsidR="00C05C6B">
        <w:t xml:space="preserve"> </w:t>
      </w:r>
      <w:r w:rsidR="00EB2E82">
        <w:t xml:space="preserve">risks </w:t>
      </w:r>
      <w:r w:rsidR="004E3CB4" w:rsidRPr="00470F40">
        <w:t>when used in a</w:t>
      </w:r>
      <w:r w:rsidR="004E3CB4">
        <w:t xml:space="preserve"> </w:t>
      </w:r>
      <w:r w:rsidR="004E3CB4" w:rsidRPr="00470F40">
        <w:t>foreseeable way</w:t>
      </w:r>
      <w:r w:rsidR="004E3CB4">
        <w:t>.</w:t>
      </w:r>
    </w:p>
    <w:p w14:paraId="4DC76B16" w14:textId="46E24638" w:rsidR="00D06AAB" w:rsidRDefault="00B90F66" w:rsidP="0078740C">
      <w:pPr>
        <w:spacing w:line="360" w:lineRule="auto"/>
      </w:pPr>
      <w:r>
        <w:tab/>
      </w:r>
      <w:r w:rsidR="00F375B7">
        <w:t>Second,</w:t>
      </w:r>
      <w:r w:rsidR="00492367">
        <w:t xml:space="preserve"> </w:t>
      </w:r>
      <w:r w:rsidR="008D4439">
        <w:t>J-MM</w:t>
      </w:r>
      <w:r w:rsidR="00D5563C">
        <w:t xml:space="preserve"> argues that </w:t>
      </w:r>
      <w:r w:rsidR="00E930E8">
        <w:t xml:space="preserve">declining to extend </w:t>
      </w:r>
      <w:proofErr w:type="spellStart"/>
      <w:r w:rsidR="00E930E8">
        <w:rPr>
          <w:i/>
          <w:iCs/>
        </w:rPr>
        <w:t>Kesner</w:t>
      </w:r>
      <w:proofErr w:type="spellEnd"/>
      <w:r w:rsidR="00E8022F">
        <w:t xml:space="preserve"> </w:t>
      </w:r>
      <w:r w:rsidR="004B671D">
        <w:t xml:space="preserve">to strict liability causes of action </w:t>
      </w:r>
      <w:r w:rsidR="00E8022F">
        <w:t xml:space="preserve">would be “perverse” </w:t>
      </w:r>
      <w:r w:rsidR="000208E8">
        <w:t>because</w:t>
      </w:r>
      <w:r w:rsidR="00E8022F">
        <w:t xml:space="preserve"> product defendants would “shoulder all the blame”</w:t>
      </w:r>
      <w:r w:rsidR="00727987">
        <w:t xml:space="preserve"> </w:t>
      </w:r>
      <w:r w:rsidR="00440527">
        <w:t>with</w:t>
      </w:r>
      <w:r w:rsidR="00727987">
        <w:t xml:space="preserve"> no means of warning individuals like </w:t>
      </w:r>
      <w:r w:rsidR="003A1795">
        <w:t>Cornelius</w:t>
      </w:r>
      <w:r w:rsidR="00727987">
        <w:t>.</w:t>
      </w:r>
      <w:r w:rsidR="00E8022F">
        <w:t xml:space="preserve"> </w:t>
      </w:r>
      <w:r w:rsidR="00755B7C">
        <w:t xml:space="preserve"> </w:t>
      </w:r>
      <w:r w:rsidR="000208E8">
        <w:t xml:space="preserve">But employers and premises owners </w:t>
      </w:r>
      <w:r w:rsidR="004E2B07">
        <w:t>are still potentially</w:t>
      </w:r>
      <w:r w:rsidR="000208E8">
        <w:t xml:space="preserve"> liable </w:t>
      </w:r>
      <w:r w:rsidR="0031785A">
        <w:t xml:space="preserve">under negligence theories for </w:t>
      </w:r>
      <w:r w:rsidR="000208E8">
        <w:t xml:space="preserve">asbestos exposure to workers and household members under </w:t>
      </w:r>
      <w:proofErr w:type="spellStart"/>
      <w:r w:rsidR="000208E8">
        <w:rPr>
          <w:i/>
          <w:iCs/>
        </w:rPr>
        <w:t>Kesner</w:t>
      </w:r>
      <w:proofErr w:type="spellEnd"/>
      <w:r w:rsidR="00311D94">
        <w:t xml:space="preserve"> and</w:t>
      </w:r>
      <w:r w:rsidR="002675BC">
        <w:t>, as described above,</w:t>
      </w:r>
      <w:r w:rsidR="00311D94">
        <w:t xml:space="preserve"> </w:t>
      </w:r>
      <w:r w:rsidR="00B26978">
        <w:t xml:space="preserve">non-household members </w:t>
      </w:r>
      <w:r w:rsidR="00914530">
        <w:t xml:space="preserve">alleging secondary exposure to asbestos </w:t>
      </w:r>
      <w:r w:rsidR="00B26978">
        <w:t xml:space="preserve">must still </w:t>
      </w:r>
      <w:r w:rsidR="00B26978" w:rsidRPr="002C545E">
        <w:rPr>
          <w:i/>
          <w:iCs/>
        </w:rPr>
        <w:t>prove</w:t>
      </w:r>
      <w:r w:rsidR="00B26978">
        <w:t xml:space="preserve"> </w:t>
      </w:r>
      <w:r w:rsidR="0031785A">
        <w:t xml:space="preserve">the elements </w:t>
      </w:r>
      <w:r w:rsidR="004E637F">
        <w:t>of</w:t>
      </w:r>
      <w:r w:rsidR="0031785A">
        <w:t xml:space="preserve"> s</w:t>
      </w:r>
      <w:r w:rsidR="00311D94">
        <w:t xml:space="preserve">trict liability </w:t>
      </w:r>
      <w:r w:rsidR="00B26978">
        <w:t>to proceed under that theory against product defendants</w:t>
      </w:r>
      <w:r w:rsidR="004E2B07">
        <w:t>.</w:t>
      </w:r>
      <w:r w:rsidR="00727987">
        <w:t xml:space="preserve">  Moreover,</w:t>
      </w:r>
      <w:r w:rsidR="00440527">
        <w:t xml:space="preserve"> </w:t>
      </w:r>
      <w:r w:rsidR="00B26978">
        <w:t xml:space="preserve">J-MM’s argument assumes that </w:t>
      </w:r>
      <w:r w:rsidR="00E82C5B">
        <w:t>it was found liable based on failure to warn</w:t>
      </w:r>
      <w:r w:rsidR="006B3388">
        <w:t xml:space="preserve"> </w:t>
      </w:r>
      <w:r w:rsidR="006B3388" w:rsidRPr="007E1445">
        <w:rPr>
          <w:i/>
          <w:iCs/>
        </w:rPr>
        <w:lastRenderedPageBreak/>
        <w:t>Cornelius</w:t>
      </w:r>
      <w:r w:rsidR="00E82C5B">
        <w:t xml:space="preserve">.  </w:t>
      </w:r>
      <w:r w:rsidR="002A2A85">
        <w:t>The record does not support this</w:t>
      </w:r>
      <w:r w:rsidR="00914530">
        <w:t xml:space="preserve"> assumption</w:t>
      </w:r>
      <w:r w:rsidR="003E00BE">
        <w:t xml:space="preserve">.  </w:t>
      </w:r>
      <w:r w:rsidR="006B3388">
        <w:t xml:space="preserve">It was </w:t>
      </w:r>
      <w:r w:rsidR="00AD0812">
        <w:t xml:space="preserve">Nathan </w:t>
      </w:r>
      <w:r w:rsidR="006B3388">
        <w:t xml:space="preserve">who </w:t>
      </w:r>
      <w:r w:rsidR="0016230B">
        <w:t xml:space="preserve">testified that he </w:t>
      </w:r>
      <w:r w:rsidR="00F927D0">
        <w:t>never saw</w:t>
      </w:r>
      <w:r w:rsidR="0016230B">
        <w:t xml:space="preserve"> any warnings on </w:t>
      </w:r>
      <w:r w:rsidR="00F927D0">
        <w:t>the asbestos-cement</w:t>
      </w:r>
      <w:r w:rsidR="0016230B">
        <w:t xml:space="preserve"> pipe he </w:t>
      </w:r>
      <w:r w:rsidR="00F927D0">
        <w:t>worked on</w:t>
      </w:r>
      <w:r w:rsidR="0016230B">
        <w:t xml:space="preserve">. </w:t>
      </w:r>
      <w:r w:rsidR="00755B7C">
        <w:t xml:space="preserve"> </w:t>
      </w:r>
      <w:r w:rsidR="002A2A85">
        <w:t xml:space="preserve">The jury verdict found only that J-MM </w:t>
      </w:r>
      <w:r w:rsidR="00914530">
        <w:t>(</w:t>
      </w:r>
      <w:r w:rsidR="002A2A85">
        <w:t>and Voss</w:t>
      </w:r>
      <w:r w:rsidR="00914530">
        <w:t xml:space="preserve">) had “failed to adequately warn of the potential risks of asbestos-cement pipe.” </w:t>
      </w:r>
    </w:p>
    <w:p w14:paraId="014399B6" w14:textId="5D0D7D3E" w:rsidR="00B76F72" w:rsidRDefault="00D06AAB" w:rsidP="0078740C">
      <w:pPr>
        <w:spacing w:line="360" w:lineRule="auto"/>
      </w:pPr>
      <w:r>
        <w:tab/>
      </w:r>
      <w:r w:rsidR="005B13B5">
        <w:t>Third</w:t>
      </w:r>
      <w:r w:rsidR="00E17618">
        <w:t xml:space="preserve">, J-MM </w:t>
      </w:r>
      <w:r w:rsidR="00776F91">
        <w:t>warn</w:t>
      </w:r>
      <w:r w:rsidR="00B0408D">
        <w:t>s</w:t>
      </w:r>
      <w:r w:rsidR="00776F91">
        <w:t xml:space="preserve"> that </w:t>
      </w:r>
      <w:r w:rsidR="00C83E63">
        <w:t>allowing non-household members to pursue strict liability causes of action</w:t>
      </w:r>
      <w:r w:rsidR="00776F91">
        <w:t xml:space="preserve"> </w:t>
      </w:r>
      <w:r w:rsidR="00C83E63">
        <w:t xml:space="preserve">for secondary exposure to asbestos </w:t>
      </w:r>
      <w:r w:rsidR="00776F91">
        <w:t>would result in</w:t>
      </w:r>
      <w:r w:rsidR="001F181F">
        <w:t xml:space="preserve"> “virtually infinite litigation”</w:t>
      </w:r>
      <w:r w:rsidR="00042E35">
        <w:t xml:space="preserve"> and lead to consumers being “swamped with ineffectual warnings.”</w:t>
      </w:r>
      <w:r w:rsidR="001F181F">
        <w:t xml:space="preserve"> </w:t>
      </w:r>
      <w:r w:rsidR="00C24F23">
        <w:t xml:space="preserve"> </w:t>
      </w:r>
      <w:r w:rsidR="005F3961">
        <w:t>But, as explained above, the elements of strict liability provide guardrails</w:t>
      </w:r>
      <w:r w:rsidR="00BA6D3D">
        <w:t xml:space="preserve"> for such litigation</w:t>
      </w:r>
      <w:r w:rsidR="005F3961">
        <w:t xml:space="preserve">.  </w:t>
      </w:r>
      <w:r w:rsidR="00BA6D3D">
        <w:t>(</w:t>
      </w:r>
      <w:r w:rsidR="00BA6D3D">
        <w:rPr>
          <w:i/>
          <w:iCs/>
        </w:rPr>
        <w:t>Daly</w:t>
      </w:r>
      <w:r w:rsidR="00BA6D3D">
        <w:t xml:space="preserve">, </w:t>
      </w:r>
      <w:r w:rsidR="00BA6D3D" w:rsidRPr="008A6907">
        <w:rPr>
          <w:i/>
          <w:iCs/>
        </w:rPr>
        <w:t>supra</w:t>
      </w:r>
      <w:r w:rsidR="00BA6D3D">
        <w:t>, 20 Cal.3d at p.</w:t>
      </w:r>
      <w:r w:rsidR="00600274">
        <w:t xml:space="preserve"> </w:t>
      </w:r>
      <w:r w:rsidR="00BA6D3D">
        <w:t xml:space="preserve">734.)  </w:t>
      </w:r>
      <w:r w:rsidR="001E0992">
        <w:t xml:space="preserve">Nor does </w:t>
      </w:r>
      <w:r w:rsidR="00042E35" w:rsidRPr="00042E35">
        <w:t xml:space="preserve">J-MM </w:t>
      </w:r>
      <w:r w:rsidR="00BA6D3D">
        <w:t>explain how correction</w:t>
      </w:r>
      <w:r w:rsidR="00787088">
        <w:t xml:space="preserve"> of</w:t>
      </w:r>
      <w:r w:rsidR="00125348">
        <w:t xml:space="preserve"> the</w:t>
      </w:r>
      <w:r w:rsidR="00206379">
        <w:t xml:space="preserve"> warning defect alleged here (</w:t>
      </w:r>
      <w:r w:rsidR="00785758">
        <w:t xml:space="preserve">no </w:t>
      </w:r>
      <w:r w:rsidR="00206379">
        <w:t>warning on asbestos-cement pipe)</w:t>
      </w:r>
      <w:r w:rsidR="00042E35" w:rsidRPr="00042E35">
        <w:t xml:space="preserve"> </w:t>
      </w:r>
      <w:r w:rsidR="00DF1318">
        <w:t xml:space="preserve">would </w:t>
      </w:r>
      <w:r w:rsidR="00D43ED8">
        <w:t>diminish</w:t>
      </w:r>
      <w:r w:rsidR="005F2BC8">
        <w:t xml:space="preserve"> the efficacy of </w:t>
      </w:r>
      <w:r w:rsidR="00BD6A21">
        <w:t xml:space="preserve">consumer </w:t>
      </w:r>
      <w:proofErr w:type="gramStart"/>
      <w:r w:rsidR="005F2BC8">
        <w:t>warnings</w:t>
      </w:r>
      <w:r w:rsidR="0000671A">
        <w:t xml:space="preserve"> as a whole</w:t>
      </w:r>
      <w:proofErr w:type="gramEnd"/>
      <w:r w:rsidR="003F3798">
        <w:t>.</w:t>
      </w:r>
    </w:p>
    <w:p w14:paraId="7856CEE1" w14:textId="1CB8714C" w:rsidR="005E2F6B" w:rsidRPr="008B31BC" w:rsidRDefault="008B31BC" w:rsidP="00E00430">
      <w:pPr>
        <w:keepNext/>
        <w:keepLines/>
        <w:spacing w:line="360" w:lineRule="auto"/>
        <w:ind w:left="720"/>
        <w:rPr>
          <w:b/>
          <w:bCs/>
        </w:rPr>
      </w:pPr>
      <w:r w:rsidRPr="008B31BC">
        <w:rPr>
          <w:b/>
          <w:bCs/>
        </w:rPr>
        <w:t>D.</w:t>
      </w:r>
      <w:r w:rsidRPr="008B31BC">
        <w:rPr>
          <w:b/>
          <w:bCs/>
          <w:i/>
          <w:iCs/>
        </w:rPr>
        <w:t xml:space="preserve"> </w:t>
      </w:r>
      <w:r>
        <w:rPr>
          <w:b/>
          <w:bCs/>
          <w:i/>
          <w:iCs/>
        </w:rPr>
        <w:t xml:space="preserve"> </w:t>
      </w:r>
      <w:r w:rsidR="00BA6D3D">
        <w:rPr>
          <w:b/>
          <w:bCs/>
          <w:i/>
          <w:iCs/>
        </w:rPr>
        <w:t>Bystander Recovery</w:t>
      </w:r>
    </w:p>
    <w:p w14:paraId="3D86CB82" w14:textId="62279B8B" w:rsidR="000B7DEF" w:rsidRPr="00A36543" w:rsidRDefault="005E2F6B" w:rsidP="00E00430">
      <w:pPr>
        <w:keepNext/>
        <w:keepLines/>
        <w:spacing w:line="360" w:lineRule="auto"/>
      </w:pPr>
      <w:r>
        <w:tab/>
      </w:r>
      <w:r w:rsidR="005B13B5">
        <w:t>Finally</w:t>
      </w:r>
      <w:r w:rsidR="001E7678">
        <w:t>,</w:t>
      </w:r>
      <w:r w:rsidR="005B13B5">
        <w:t xml:space="preserve"> </w:t>
      </w:r>
      <w:r>
        <w:t xml:space="preserve">J-MM argues that allowing a plaintiff like </w:t>
      </w:r>
      <w:r w:rsidR="00AD0812">
        <w:t>Cornelius</w:t>
      </w:r>
      <w:r>
        <w:t xml:space="preserve"> to proceed with a strict liability cause of action would “ignore the limits” </w:t>
      </w:r>
      <w:r w:rsidR="00807098" w:rsidRPr="002F6619">
        <w:t>placed</w:t>
      </w:r>
      <w:r w:rsidR="00807098">
        <w:t xml:space="preserve"> on bystander recovery</w:t>
      </w:r>
      <w:r w:rsidR="002F6619">
        <w:t xml:space="preserve"> by the California Supreme Court</w:t>
      </w:r>
      <w:r>
        <w:t xml:space="preserve">.  </w:t>
      </w:r>
      <w:r w:rsidR="00703506">
        <w:t xml:space="preserve">For the reasons we described above in </w:t>
      </w:r>
      <w:r w:rsidR="00026A15">
        <w:t>part</w:t>
      </w:r>
      <w:r w:rsidR="00A14654">
        <w:t xml:space="preserve"> I.B.</w:t>
      </w:r>
      <w:r w:rsidR="00703506">
        <w:t>,</w:t>
      </w:r>
      <w:r w:rsidR="000B7DEF">
        <w:t xml:space="preserve"> we reject this argument </w:t>
      </w:r>
      <w:r w:rsidR="00805900">
        <w:t xml:space="preserve">to the </w:t>
      </w:r>
      <w:r w:rsidR="00A36543">
        <w:t>exten</w:t>
      </w:r>
      <w:r w:rsidR="00805900">
        <w:t xml:space="preserve">t it </w:t>
      </w:r>
      <w:r w:rsidR="00703506">
        <w:t xml:space="preserve">relies on expanding </w:t>
      </w:r>
      <w:proofErr w:type="spellStart"/>
      <w:r w:rsidR="00805900">
        <w:rPr>
          <w:i/>
          <w:iCs/>
        </w:rPr>
        <w:t>Kesner’s</w:t>
      </w:r>
      <w:proofErr w:type="spellEnd"/>
      <w:r w:rsidR="00A36543">
        <w:t xml:space="preserve"> </w:t>
      </w:r>
      <w:r w:rsidR="000B7DEF">
        <w:t xml:space="preserve">holding </w:t>
      </w:r>
      <w:r w:rsidR="00805900">
        <w:t>on</w:t>
      </w:r>
      <w:r w:rsidR="000B7DEF">
        <w:t xml:space="preserve"> duty</w:t>
      </w:r>
      <w:r w:rsidR="00A36543">
        <w:t xml:space="preserve"> in negligence cause</w:t>
      </w:r>
      <w:r w:rsidR="00805900">
        <w:t>s</w:t>
      </w:r>
      <w:r w:rsidR="00A36543">
        <w:t xml:space="preserve"> of action to </w:t>
      </w:r>
      <w:r w:rsidR="00805900">
        <w:t>foreclose</w:t>
      </w:r>
      <w:r w:rsidR="00A36543">
        <w:t xml:space="preserve"> strict liability </w:t>
      </w:r>
      <w:r w:rsidR="00805900">
        <w:t>causes of action, which require no element of duty</w:t>
      </w:r>
      <w:r w:rsidR="00A36543">
        <w:t>.</w:t>
      </w:r>
    </w:p>
    <w:p w14:paraId="354B89AC" w14:textId="74EB0DEB" w:rsidR="005E2F6B" w:rsidRDefault="000B7DEF" w:rsidP="005E2F6B">
      <w:pPr>
        <w:spacing w:line="360" w:lineRule="auto"/>
      </w:pPr>
      <w:r>
        <w:tab/>
      </w:r>
      <w:r w:rsidR="005E2F6B">
        <w:t xml:space="preserve">J-MM </w:t>
      </w:r>
      <w:r>
        <w:t xml:space="preserve">also </w:t>
      </w:r>
      <w:r w:rsidR="005E2F6B">
        <w:t>cites</w:t>
      </w:r>
      <w:r w:rsidR="00A36543">
        <w:t xml:space="preserve"> authority regarding bystander recovery on claim</w:t>
      </w:r>
      <w:r w:rsidR="00805900">
        <w:t>s</w:t>
      </w:r>
      <w:r w:rsidR="00A36543">
        <w:t xml:space="preserve"> for negligent infliction of emotional distress</w:t>
      </w:r>
      <w:r w:rsidR="00E644AC">
        <w:t xml:space="preserve"> (NIED)</w:t>
      </w:r>
      <w:r w:rsidR="009E2538">
        <w:t xml:space="preserve"> to support this argument</w:t>
      </w:r>
      <w:r w:rsidR="00703506">
        <w:t>, specifically</w:t>
      </w:r>
      <w:r w:rsidR="00A36543">
        <w:t xml:space="preserve"> </w:t>
      </w:r>
      <w:proofErr w:type="spellStart"/>
      <w:r w:rsidR="005E2F6B" w:rsidRPr="00D312A0">
        <w:rPr>
          <w:i/>
          <w:iCs/>
        </w:rPr>
        <w:t>Fortman</w:t>
      </w:r>
      <w:proofErr w:type="spellEnd"/>
      <w:r w:rsidR="005E2F6B" w:rsidRPr="00D312A0">
        <w:rPr>
          <w:i/>
          <w:iCs/>
        </w:rPr>
        <w:t xml:space="preserve"> v. </w:t>
      </w:r>
      <w:proofErr w:type="spellStart"/>
      <w:r w:rsidR="005E2F6B" w:rsidRPr="00D312A0">
        <w:rPr>
          <w:i/>
          <w:iCs/>
        </w:rPr>
        <w:t>F</w:t>
      </w:r>
      <w:r w:rsidR="005E2F6B">
        <w:rPr>
          <w:i/>
          <w:iCs/>
        </w:rPr>
        <w:t>ö</w:t>
      </w:r>
      <w:r w:rsidR="005E2F6B" w:rsidRPr="00D312A0">
        <w:rPr>
          <w:i/>
          <w:iCs/>
        </w:rPr>
        <w:t>rvaltningsbolaget</w:t>
      </w:r>
      <w:proofErr w:type="spellEnd"/>
      <w:r w:rsidR="005E2F6B" w:rsidRPr="00D312A0">
        <w:rPr>
          <w:i/>
          <w:iCs/>
        </w:rPr>
        <w:t xml:space="preserve"> </w:t>
      </w:r>
      <w:proofErr w:type="spellStart"/>
      <w:r w:rsidR="005E2F6B" w:rsidRPr="00D312A0">
        <w:rPr>
          <w:i/>
          <w:iCs/>
        </w:rPr>
        <w:t>Insulan</w:t>
      </w:r>
      <w:proofErr w:type="spellEnd"/>
      <w:r w:rsidR="005E2F6B" w:rsidRPr="00D312A0">
        <w:rPr>
          <w:i/>
          <w:iCs/>
        </w:rPr>
        <w:t xml:space="preserve"> AB </w:t>
      </w:r>
      <w:r w:rsidR="005E2F6B" w:rsidRPr="00D312A0">
        <w:t>(2013) 212 Cal.App.4th 830</w:t>
      </w:r>
      <w:r w:rsidR="005E2F6B">
        <w:t xml:space="preserve">. </w:t>
      </w:r>
      <w:r w:rsidR="00703506">
        <w:t xml:space="preserve"> That case </w:t>
      </w:r>
      <w:r w:rsidR="009C5344">
        <w:t xml:space="preserve">provides no support for J-MM. </w:t>
      </w:r>
      <w:r w:rsidR="00A36543">
        <w:t xml:space="preserve"> In </w:t>
      </w:r>
      <w:proofErr w:type="spellStart"/>
      <w:r w:rsidR="00A36543">
        <w:rPr>
          <w:i/>
          <w:iCs/>
        </w:rPr>
        <w:t>Fortman</w:t>
      </w:r>
      <w:proofErr w:type="spellEnd"/>
      <w:r w:rsidR="00A36543">
        <w:t xml:space="preserve">, the plaintiff asserted a </w:t>
      </w:r>
      <w:r w:rsidR="00E644AC">
        <w:t xml:space="preserve">NIED </w:t>
      </w:r>
      <w:r w:rsidR="00A36543">
        <w:t xml:space="preserve">claim after witnessing the death of her brother while they were scuba diving.  </w:t>
      </w:r>
      <w:r w:rsidR="00805900">
        <w:t>(</w:t>
      </w:r>
      <w:r w:rsidR="00805900">
        <w:rPr>
          <w:i/>
          <w:iCs/>
        </w:rPr>
        <w:t>Id.</w:t>
      </w:r>
      <w:r w:rsidR="00805900">
        <w:t xml:space="preserve"> at p.</w:t>
      </w:r>
      <w:r w:rsidR="00600274">
        <w:t xml:space="preserve"> </w:t>
      </w:r>
      <w:r w:rsidR="00805900">
        <w:t>83</w:t>
      </w:r>
      <w:r w:rsidR="00CE7B05">
        <w:t>2</w:t>
      </w:r>
      <w:r w:rsidR="00805900">
        <w:t xml:space="preserve">.)  </w:t>
      </w:r>
      <w:r w:rsidR="00A36543">
        <w:t>The plaintiff thought he</w:t>
      </w:r>
      <w:r w:rsidR="00703506">
        <w:t xml:space="preserve">r brother had </w:t>
      </w:r>
      <w:r w:rsidR="00A36543">
        <w:t xml:space="preserve">suffered a heart attack, but later learned </w:t>
      </w:r>
      <w:r w:rsidR="00703506">
        <w:t>his death was caused by</w:t>
      </w:r>
      <w:r w:rsidR="00A36543">
        <w:t xml:space="preserve"> a</w:t>
      </w:r>
      <w:r w:rsidR="009C5344">
        <w:t xml:space="preserve"> </w:t>
      </w:r>
      <w:r w:rsidR="00A36543">
        <w:t xml:space="preserve">component of his </w:t>
      </w:r>
      <w:r w:rsidR="00805900">
        <w:t>scuba equipment</w:t>
      </w:r>
      <w:r w:rsidR="00A36543">
        <w:t xml:space="preserve"> </w:t>
      </w:r>
      <w:r w:rsidR="00703506">
        <w:t>that</w:t>
      </w:r>
      <w:r w:rsidR="00A36543">
        <w:t xml:space="preserve"> prevented him from getting </w:t>
      </w:r>
      <w:r w:rsidR="00805900">
        <w:lastRenderedPageBreak/>
        <w:t>enough air.  (</w:t>
      </w:r>
      <w:r w:rsidR="00805900">
        <w:rPr>
          <w:i/>
          <w:iCs/>
        </w:rPr>
        <w:t>Ibid.</w:t>
      </w:r>
      <w:r w:rsidR="00805900">
        <w:t>)</w:t>
      </w:r>
      <w:r w:rsidR="00E644AC">
        <w:t xml:space="preserve"> </w:t>
      </w:r>
      <w:r w:rsidR="005E2F6B">
        <w:t xml:space="preserve"> </w:t>
      </w:r>
      <w:r w:rsidR="00E644AC">
        <w:t>C</w:t>
      </w:r>
      <w:r w:rsidR="00A36543">
        <w:t xml:space="preserve">iting </w:t>
      </w:r>
      <w:r w:rsidR="00A36543" w:rsidRPr="00A36543">
        <w:rPr>
          <w:i/>
          <w:iCs/>
        </w:rPr>
        <w:t xml:space="preserve">Thing v. La </w:t>
      </w:r>
      <w:proofErr w:type="spellStart"/>
      <w:r w:rsidR="00A36543" w:rsidRPr="00A36543">
        <w:rPr>
          <w:i/>
          <w:iCs/>
        </w:rPr>
        <w:t>Chusa</w:t>
      </w:r>
      <w:proofErr w:type="spellEnd"/>
      <w:r w:rsidR="00A36543" w:rsidRPr="00A36543">
        <w:t xml:space="preserve"> (1989) 48 Cal.3d 644</w:t>
      </w:r>
      <w:r w:rsidR="00E644AC">
        <w:t xml:space="preserve">, the appellate court explained that the plaintiff did not have a viable bystander NIED claim because </w:t>
      </w:r>
      <w:r w:rsidR="00C76A5E">
        <w:t xml:space="preserve">she could not meet one of the required elements: </w:t>
      </w:r>
      <w:r w:rsidR="00E644AC">
        <w:t xml:space="preserve"> </w:t>
      </w:r>
      <w:r w:rsidR="00C76A5E">
        <w:t xml:space="preserve">that she was </w:t>
      </w:r>
      <w:r w:rsidR="00E644AC">
        <w:t>“</w:t>
      </w:r>
      <w:r w:rsidR="00E644AC" w:rsidRPr="00E644AC">
        <w:t>present and contemporaneously perceived the causal connection between the accident and the injuries suffered</w:t>
      </w:r>
      <w:r w:rsidR="00E644AC">
        <w:t>.”  (</w:t>
      </w:r>
      <w:proofErr w:type="spellStart"/>
      <w:r w:rsidR="00E644AC">
        <w:rPr>
          <w:i/>
          <w:iCs/>
        </w:rPr>
        <w:t>Fortman</w:t>
      </w:r>
      <w:proofErr w:type="spellEnd"/>
      <w:r w:rsidR="00E644AC">
        <w:t>, at p.</w:t>
      </w:r>
      <w:r w:rsidR="00600274">
        <w:t xml:space="preserve"> </w:t>
      </w:r>
      <w:r w:rsidR="00E644AC">
        <w:t>832.)</w:t>
      </w:r>
      <w:r w:rsidR="00BC6E5E">
        <w:t xml:space="preserve">  </w:t>
      </w:r>
      <w:r w:rsidR="009C5344">
        <w:t>P</w:t>
      </w:r>
      <w:r w:rsidR="00BC6E5E">
        <w:t>laintiff argu</w:t>
      </w:r>
      <w:r w:rsidR="009C5344">
        <w:t xml:space="preserve">ed that this element should not apply to cases, such as hers, when a close relative </w:t>
      </w:r>
      <w:r w:rsidR="001C6790">
        <w:t>sustains a “product-related injury</w:t>
      </w:r>
      <w:r w:rsidR="00D054C0">
        <w:t xml:space="preserve"> </w:t>
      </w:r>
      <w:r w:rsidR="00C76A5E">
        <w:t>where strict liability principles apply</w:t>
      </w:r>
      <w:r w:rsidR="00BC6E5E">
        <w:t>.</w:t>
      </w:r>
      <w:r w:rsidR="00C76A5E">
        <w:t>”</w:t>
      </w:r>
      <w:r w:rsidR="00BC6E5E">
        <w:t xml:space="preserve">  (</w:t>
      </w:r>
      <w:r w:rsidR="00BC6E5E">
        <w:rPr>
          <w:i/>
        </w:rPr>
        <w:t>Id.</w:t>
      </w:r>
      <w:r w:rsidR="00BC6E5E">
        <w:rPr>
          <w:iCs/>
        </w:rPr>
        <w:t xml:space="preserve"> at p.</w:t>
      </w:r>
      <w:r w:rsidR="00600274">
        <w:rPr>
          <w:iCs/>
        </w:rPr>
        <w:t xml:space="preserve"> </w:t>
      </w:r>
      <w:r w:rsidR="00BC6E5E">
        <w:rPr>
          <w:iCs/>
        </w:rPr>
        <w:t xml:space="preserve">841.)  </w:t>
      </w:r>
      <w:r w:rsidR="009C5344">
        <w:rPr>
          <w:iCs/>
        </w:rPr>
        <w:t>The court</w:t>
      </w:r>
      <w:r w:rsidR="001C6790">
        <w:rPr>
          <w:iCs/>
        </w:rPr>
        <w:t xml:space="preserve"> in</w:t>
      </w:r>
      <w:r w:rsidR="00C76A5E">
        <w:rPr>
          <w:iCs/>
        </w:rPr>
        <w:t xml:space="preserve"> </w:t>
      </w:r>
      <w:proofErr w:type="spellStart"/>
      <w:r w:rsidR="00C76A5E">
        <w:rPr>
          <w:i/>
        </w:rPr>
        <w:t>Fortman</w:t>
      </w:r>
      <w:proofErr w:type="spellEnd"/>
      <w:r w:rsidR="00C76A5E">
        <w:rPr>
          <w:iCs/>
        </w:rPr>
        <w:t xml:space="preserve"> </w:t>
      </w:r>
      <w:r w:rsidR="009C5344">
        <w:rPr>
          <w:iCs/>
        </w:rPr>
        <w:t>rejected that argument</w:t>
      </w:r>
      <w:r w:rsidR="009E2538">
        <w:rPr>
          <w:iCs/>
        </w:rPr>
        <w:t>,</w:t>
      </w:r>
      <w:r w:rsidR="001C6790">
        <w:rPr>
          <w:iCs/>
        </w:rPr>
        <w:t xml:space="preserve"> doing</w:t>
      </w:r>
      <w:r w:rsidR="009E2538">
        <w:rPr>
          <w:iCs/>
        </w:rPr>
        <w:t xml:space="preserve"> </w:t>
      </w:r>
      <w:r w:rsidR="00C76A5E">
        <w:rPr>
          <w:iCs/>
        </w:rPr>
        <w:t>precisely what we do here:</w:t>
      </w:r>
      <w:r w:rsidR="00D054C0">
        <w:rPr>
          <w:iCs/>
        </w:rPr>
        <w:t xml:space="preserve"> </w:t>
      </w:r>
      <w:r w:rsidR="00C76A5E">
        <w:rPr>
          <w:iCs/>
        </w:rPr>
        <w:t xml:space="preserve"> declin</w:t>
      </w:r>
      <w:r w:rsidR="001C6790">
        <w:rPr>
          <w:iCs/>
        </w:rPr>
        <w:t>ing</w:t>
      </w:r>
      <w:r w:rsidR="00C76A5E">
        <w:rPr>
          <w:iCs/>
        </w:rPr>
        <w:t xml:space="preserve"> to </w:t>
      </w:r>
      <w:r w:rsidR="00C76A5E">
        <w:t>apply elements and</w:t>
      </w:r>
      <w:r w:rsidR="005E2F6B">
        <w:t xml:space="preserve"> policy considerations </w:t>
      </w:r>
      <w:r w:rsidR="008803F8">
        <w:t>underlying</w:t>
      </w:r>
      <w:r w:rsidR="005E2F6B">
        <w:t xml:space="preserve"> one type of action (</w:t>
      </w:r>
      <w:r w:rsidR="00C76A5E">
        <w:t>negligence</w:t>
      </w:r>
      <w:r w:rsidR="005E2F6B">
        <w:t xml:space="preserve">) to alter </w:t>
      </w:r>
      <w:r w:rsidR="00C76A5E">
        <w:t xml:space="preserve">those in </w:t>
      </w:r>
      <w:r w:rsidR="005E2F6B">
        <w:t xml:space="preserve">another </w:t>
      </w:r>
      <w:r w:rsidR="00C76A5E">
        <w:t xml:space="preserve">type of action </w:t>
      </w:r>
      <w:r w:rsidR="005E2F6B">
        <w:t>(</w:t>
      </w:r>
      <w:r w:rsidR="00C76A5E">
        <w:t>strict liability</w:t>
      </w:r>
      <w:r w:rsidR="005E2F6B">
        <w:t>).</w:t>
      </w:r>
      <w:r w:rsidR="00057E8E">
        <w:t xml:space="preserve">  (</w:t>
      </w:r>
      <w:r w:rsidR="00057E8E" w:rsidRPr="0049474C">
        <w:rPr>
          <w:i/>
          <w:iCs/>
        </w:rPr>
        <w:t>Id</w:t>
      </w:r>
      <w:r w:rsidR="00057E8E">
        <w:t>. at pp. 844</w:t>
      </w:r>
      <w:r w:rsidR="009E2538">
        <w:t>–</w:t>
      </w:r>
      <w:r w:rsidR="00057E8E">
        <w:t>845</w:t>
      </w:r>
      <w:r w:rsidR="009E2538">
        <w:t>.)</w:t>
      </w:r>
    </w:p>
    <w:p w14:paraId="37B53626" w14:textId="7CF040A0" w:rsidR="00CA0B7E" w:rsidRDefault="002E5B0E" w:rsidP="005E2F6B">
      <w:pPr>
        <w:spacing w:line="360" w:lineRule="auto"/>
      </w:pPr>
      <w:r>
        <w:tab/>
      </w:r>
      <w:r w:rsidR="0049211C">
        <w:t xml:space="preserve">Instead, </w:t>
      </w:r>
      <w:r w:rsidR="00114F47">
        <w:t>we find</w:t>
      </w:r>
      <w:r w:rsidR="0049211C">
        <w:t xml:space="preserve"> </w:t>
      </w:r>
      <w:r w:rsidR="0049211C">
        <w:rPr>
          <w:i/>
          <w:iCs/>
        </w:rPr>
        <w:t xml:space="preserve">Elmore </w:t>
      </w:r>
      <w:r w:rsidR="00114F47">
        <w:t xml:space="preserve">instructive on </w:t>
      </w:r>
      <w:r w:rsidR="00A76763">
        <w:t>the scope of bystander recovery under California law</w:t>
      </w:r>
      <w:r w:rsidR="00114F47">
        <w:t>.</w:t>
      </w:r>
      <w:r w:rsidR="00115221">
        <w:t xml:space="preserve">  In that case, the drive shaft of a Rambler American station wagon became disconnected</w:t>
      </w:r>
      <w:r w:rsidR="00230D62">
        <w:t>,</w:t>
      </w:r>
      <w:r w:rsidR="00115221">
        <w:t xml:space="preserve"> causing the car to fishtail out of control</w:t>
      </w:r>
      <w:r w:rsidR="00230D62">
        <w:t>, cross over to the other side of the road, and strike</w:t>
      </w:r>
      <w:r w:rsidR="00115221">
        <w:t xml:space="preserve"> the vehicle of plaintiff/bystander Waters</w:t>
      </w:r>
      <w:r w:rsidR="00230D62">
        <w:t xml:space="preserve"> with such impact that the driver was hurled from the Rambler onto an embankment</w:t>
      </w:r>
      <w:r w:rsidR="00115221">
        <w:t>.</w:t>
      </w:r>
      <w:r w:rsidR="00230D62">
        <w:t xml:space="preserve">  </w:t>
      </w:r>
      <w:r w:rsidR="00DD1159">
        <w:t>(</w:t>
      </w:r>
      <w:r w:rsidR="00DD1159" w:rsidRPr="00DD1159">
        <w:rPr>
          <w:i/>
          <w:iCs/>
        </w:rPr>
        <w:t>Elmore</w:t>
      </w:r>
      <w:r w:rsidR="00DD1159">
        <w:t xml:space="preserve">, </w:t>
      </w:r>
      <w:r w:rsidR="00DD1159" w:rsidRPr="00DD1159">
        <w:rPr>
          <w:i/>
          <w:iCs/>
        </w:rPr>
        <w:t>supra</w:t>
      </w:r>
      <w:r w:rsidR="00DD1159">
        <w:t xml:space="preserve">, 70 Cal.2d at pp. </w:t>
      </w:r>
      <w:r w:rsidR="00230D62">
        <w:t>580</w:t>
      </w:r>
      <w:r w:rsidR="00DD1159">
        <w:t>–</w:t>
      </w:r>
      <w:r w:rsidR="00230D62">
        <w:t>581</w:t>
      </w:r>
      <w:r w:rsidR="00DD1159">
        <w:t>.)</w:t>
      </w:r>
      <w:r w:rsidR="00115221">
        <w:t xml:space="preserve"> </w:t>
      </w:r>
      <w:r w:rsidR="00230D62">
        <w:t xml:space="preserve"> In the subsequent consolidated personal injury and wrongful death actions, the trial court granted American Motors Corporation and the automobile dealer’s motions for nonsuit.  </w:t>
      </w:r>
      <w:r w:rsidR="00CA0B7E">
        <w:t>(</w:t>
      </w:r>
      <w:r w:rsidR="00CA0B7E">
        <w:rPr>
          <w:i/>
          <w:iCs/>
        </w:rPr>
        <w:t>Id.</w:t>
      </w:r>
      <w:r w:rsidR="00CA0B7E">
        <w:t xml:space="preserve"> at p.</w:t>
      </w:r>
      <w:r w:rsidR="00600274">
        <w:t xml:space="preserve"> </w:t>
      </w:r>
      <w:r w:rsidR="00CA0B7E">
        <w:t xml:space="preserve">580.)  </w:t>
      </w:r>
      <w:r w:rsidR="00230D62">
        <w:t>Our Supreme Court reversed the judgment.</w:t>
      </w:r>
      <w:r w:rsidR="00115221">
        <w:t xml:space="preserve"> </w:t>
      </w:r>
      <w:r w:rsidR="009F2703">
        <w:t xml:space="preserve">  </w:t>
      </w:r>
      <w:r w:rsidR="00CA0B7E">
        <w:t>(</w:t>
      </w:r>
      <w:r w:rsidR="00CA0B7E">
        <w:rPr>
          <w:i/>
          <w:iCs/>
        </w:rPr>
        <w:t>Id.</w:t>
      </w:r>
      <w:r w:rsidR="00CA0B7E">
        <w:t xml:space="preserve"> at p.</w:t>
      </w:r>
      <w:r w:rsidR="00600274">
        <w:t xml:space="preserve"> </w:t>
      </w:r>
      <w:r w:rsidR="00CA0B7E">
        <w:t xml:space="preserve">587.)  </w:t>
      </w:r>
    </w:p>
    <w:p w14:paraId="3222C8CF" w14:textId="0311EFE9" w:rsidR="002E5B0E" w:rsidRDefault="00CA0B7E" w:rsidP="005E2F6B">
      <w:pPr>
        <w:spacing w:line="360" w:lineRule="auto"/>
      </w:pPr>
      <w:r>
        <w:tab/>
      </w:r>
      <w:r w:rsidR="00D25F0E">
        <w:t xml:space="preserve">The question </w:t>
      </w:r>
      <w:r w:rsidR="00AA23DA">
        <w:t>presented in</w:t>
      </w:r>
      <w:r w:rsidR="00D25F0E">
        <w:t xml:space="preserve"> </w:t>
      </w:r>
      <w:r w:rsidR="00D25F0E" w:rsidRPr="000A7FF8">
        <w:rPr>
          <w:i/>
          <w:iCs/>
        </w:rPr>
        <w:t>Elmore</w:t>
      </w:r>
      <w:r w:rsidR="00D25F0E">
        <w:t xml:space="preserve"> </w:t>
      </w:r>
      <w:r w:rsidR="000A7FF8">
        <w:t>was “whether the doctrine of strict liability of the manufacturer and retailer for defects is applicable to third parties who are bystanders and who are not purchasers or users of the defective chattel</w:t>
      </w:r>
      <w:r w:rsidR="00D25F0E">
        <w:t>.</w:t>
      </w:r>
      <w:r w:rsidR="000A7FF8">
        <w:t>”  (</w:t>
      </w:r>
      <w:r w:rsidR="00405733" w:rsidRPr="00405733">
        <w:rPr>
          <w:i/>
          <w:iCs/>
        </w:rPr>
        <w:t>Elmore</w:t>
      </w:r>
      <w:r w:rsidR="008803F8">
        <w:t xml:space="preserve">, </w:t>
      </w:r>
      <w:r w:rsidR="008803F8" w:rsidRPr="00405733">
        <w:rPr>
          <w:i/>
          <w:iCs/>
        </w:rPr>
        <w:t>supra</w:t>
      </w:r>
      <w:r w:rsidR="008803F8">
        <w:t>,</w:t>
      </w:r>
      <w:r w:rsidR="000A7FF8">
        <w:t xml:space="preserve"> </w:t>
      </w:r>
      <w:r w:rsidR="008803F8">
        <w:t xml:space="preserve">70 Cal.2d </w:t>
      </w:r>
      <w:r w:rsidR="000A7FF8">
        <w:t>at p. 585.)</w:t>
      </w:r>
      <w:r w:rsidR="00D25F0E">
        <w:t xml:space="preserve">  A</w:t>
      </w:r>
      <w:r w:rsidR="000A7FF8">
        <w:t xml:space="preserve">t the time </w:t>
      </w:r>
      <w:r w:rsidR="00BD3954" w:rsidRPr="000A7FF8">
        <w:rPr>
          <w:i/>
          <w:iCs/>
        </w:rPr>
        <w:t>Elmore</w:t>
      </w:r>
      <w:r w:rsidR="00BD3954">
        <w:t xml:space="preserve"> </w:t>
      </w:r>
      <w:r w:rsidR="000A7FF8">
        <w:t>was decided,</w:t>
      </w:r>
      <w:r w:rsidR="008057A1">
        <w:t xml:space="preserve"> “no case had applied strict liability to a person who was not a user or consumer.”</w:t>
      </w:r>
      <w:r w:rsidR="003B2B21">
        <w:t xml:space="preserve">  (</w:t>
      </w:r>
      <w:r w:rsidR="002F5876">
        <w:rPr>
          <w:i/>
          <w:iCs/>
        </w:rPr>
        <w:t>Ibid</w:t>
      </w:r>
      <w:r w:rsidR="003B2B21">
        <w:t>.)</w:t>
      </w:r>
      <w:r w:rsidR="002F5876">
        <w:t xml:space="preserve">  But other California Supreme Court cases had </w:t>
      </w:r>
      <w:r w:rsidR="002F5876">
        <w:lastRenderedPageBreak/>
        <w:t>made clear that strict liability “may not be restricted on a theory of privity of contract.”  (</w:t>
      </w:r>
      <w:r w:rsidR="002F5876">
        <w:rPr>
          <w:i/>
          <w:iCs/>
        </w:rPr>
        <w:t>Id.</w:t>
      </w:r>
      <w:r w:rsidR="002F5876">
        <w:t xml:space="preserve"> at p.</w:t>
      </w:r>
      <w:r w:rsidR="00CE7B05">
        <w:t xml:space="preserve"> </w:t>
      </w:r>
      <w:r w:rsidR="002F5876">
        <w:t>586.)  Instead, “</w:t>
      </w:r>
      <w:r w:rsidR="00A26AD5" w:rsidRPr="00A26AD5">
        <w:t>liability has been based upon the existence of a defective product which caused injury to a human being</w:t>
      </w:r>
      <w:r w:rsidR="00600274">
        <w:t xml:space="preserve">, and </w:t>
      </w:r>
      <w:r w:rsidR="00011D68">
        <w:t>. . .</w:t>
      </w:r>
      <w:r w:rsidR="00600274">
        <w:t xml:space="preserve"> </w:t>
      </w:r>
      <w:r w:rsidR="00A26AD5" w:rsidRPr="00A26AD5">
        <w:t>we did not limit the rules stated to consumers and users but instead used language applicable to human beings generally.</w:t>
      </w:r>
      <w:r w:rsidR="0018292B">
        <w:t>”  (</w:t>
      </w:r>
      <w:r w:rsidR="0018292B">
        <w:rPr>
          <w:i/>
          <w:iCs/>
        </w:rPr>
        <w:t>Ibid.</w:t>
      </w:r>
      <w:r w:rsidR="0018292B">
        <w:t xml:space="preserve">)  </w:t>
      </w:r>
      <w:r w:rsidR="0018292B">
        <w:rPr>
          <w:i/>
          <w:iCs/>
        </w:rPr>
        <w:t>Elmore</w:t>
      </w:r>
      <w:r w:rsidR="0018292B">
        <w:t xml:space="preserve"> concluded</w:t>
      </w:r>
      <w:proofErr w:type="gramStart"/>
      <w:r w:rsidR="0018292B">
        <w:t>:  “</w:t>
      </w:r>
      <w:proofErr w:type="gramEnd"/>
      <w:r w:rsidR="0018292B" w:rsidRPr="0018292B">
        <w:t>If anything, bystanders should be entitled to greater protection than the consumer or user where injury to bystanders from the defect is reasonably foreseeable.</w:t>
      </w:r>
      <w:r w:rsidR="0018292B">
        <w:t xml:space="preserve"> </w:t>
      </w:r>
      <w:r w:rsidR="0018292B" w:rsidRPr="0018292B">
        <w:t xml:space="preserve"> Consumers and users, at least, </w:t>
      </w:r>
      <w:proofErr w:type="gramStart"/>
      <w:r w:rsidR="0018292B" w:rsidRPr="0018292B">
        <w:t>have the opportunity to</w:t>
      </w:r>
      <w:proofErr w:type="gramEnd"/>
      <w:r w:rsidR="0018292B" w:rsidRPr="0018292B">
        <w:t xml:space="preserve"> inspect for defects and to limit their purchases to articles manufactured by reputable manufacturers and sold by reputable retailers, whereas the bystander ordinarily has no such opportunities.</w:t>
      </w:r>
      <w:r w:rsidR="00A7687B">
        <w:t xml:space="preserve"> </w:t>
      </w:r>
      <w:r w:rsidR="0018292B" w:rsidRPr="0018292B">
        <w:t xml:space="preserve"> In short, the bystander is in greater need of protection from defective products which are dangerous, and if any distinction should be made between bystanders and users, it should be made, contrary to the position of defendants, to extend greater liability in favor of the bystanders.</w:t>
      </w:r>
      <w:r w:rsidR="0018292B">
        <w:t>”  (</w:t>
      </w:r>
      <w:r w:rsidR="0018292B">
        <w:rPr>
          <w:i/>
          <w:iCs/>
        </w:rPr>
        <w:t>Id.</w:t>
      </w:r>
      <w:r w:rsidR="0018292B">
        <w:t xml:space="preserve"> at p.</w:t>
      </w:r>
      <w:r w:rsidR="00600274">
        <w:t xml:space="preserve"> </w:t>
      </w:r>
      <w:r w:rsidR="0018292B">
        <w:t>586.)</w:t>
      </w:r>
    </w:p>
    <w:p w14:paraId="3481F312" w14:textId="31B60EF3" w:rsidR="005E2F6B" w:rsidRDefault="00570FB8" w:rsidP="0078740C">
      <w:pPr>
        <w:spacing w:line="360" w:lineRule="auto"/>
      </w:pPr>
      <w:r>
        <w:tab/>
      </w:r>
      <w:r w:rsidR="00AC6F3E">
        <w:t xml:space="preserve">Our conclusion is entirely consistent with </w:t>
      </w:r>
      <w:r w:rsidR="00E11FAA">
        <w:t xml:space="preserve">the directive in </w:t>
      </w:r>
      <w:r w:rsidR="00E11FAA">
        <w:rPr>
          <w:i/>
          <w:iCs/>
        </w:rPr>
        <w:t>Elmore</w:t>
      </w:r>
      <w:r w:rsidR="00E11FAA">
        <w:t xml:space="preserve"> to err on the </w:t>
      </w:r>
      <w:r w:rsidR="00CA5EB5">
        <w:t>side</w:t>
      </w:r>
      <w:r w:rsidR="00E11FAA">
        <w:t xml:space="preserve"> of</w:t>
      </w:r>
      <w:r w:rsidR="00AC6F3E" w:rsidRPr="0018292B">
        <w:t xml:space="preserve"> greater </w:t>
      </w:r>
      <w:r w:rsidR="00E42D67">
        <w:t>protection for</w:t>
      </w:r>
      <w:r w:rsidR="00AC6F3E" w:rsidRPr="0018292B">
        <w:t xml:space="preserve"> bystanders</w:t>
      </w:r>
      <w:r w:rsidR="006223E2">
        <w:t xml:space="preserve"> who are</w:t>
      </w:r>
      <w:r w:rsidR="006223E2" w:rsidRPr="006223E2">
        <w:t xml:space="preserve"> </w:t>
      </w:r>
      <w:proofErr w:type="gramStart"/>
      <w:r w:rsidR="006223E2">
        <w:t>“</w:t>
      </w:r>
      <w:r w:rsidR="009419D4">
        <w:t> ‘</w:t>
      </w:r>
      <w:proofErr w:type="gramEnd"/>
      <w:r w:rsidR="006223E2">
        <w:t>powerless to protect themselves</w:t>
      </w:r>
      <w:r w:rsidR="009419D4">
        <w:t>’ “</w:t>
      </w:r>
      <w:r w:rsidR="006223E2">
        <w:t xml:space="preserve"> from those defects.</w:t>
      </w:r>
      <w:r w:rsidR="0011426D">
        <w:rPr>
          <w:rStyle w:val="FootnoteReference"/>
        </w:rPr>
        <w:footnoteReference w:id="6"/>
      </w:r>
      <w:r w:rsidR="006223E2">
        <w:t xml:space="preserve"> </w:t>
      </w:r>
      <w:r w:rsidR="0011426D">
        <w:t xml:space="preserve"> </w:t>
      </w:r>
      <w:r w:rsidR="006223E2">
        <w:t>(</w:t>
      </w:r>
      <w:r w:rsidR="006223E2">
        <w:rPr>
          <w:i/>
          <w:iCs/>
        </w:rPr>
        <w:t>Elmore</w:t>
      </w:r>
      <w:r w:rsidR="006223E2">
        <w:t xml:space="preserve">, </w:t>
      </w:r>
      <w:r w:rsidR="006223E2" w:rsidRPr="006223E2">
        <w:rPr>
          <w:i/>
          <w:iCs/>
        </w:rPr>
        <w:t>supra</w:t>
      </w:r>
      <w:r w:rsidR="006223E2">
        <w:t>,</w:t>
      </w:r>
      <w:r w:rsidR="006223E2">
        <w:rPr>
          <w:i/>
          <w:iCs/>
        </w:rPr>
        <w:t xml:space="preserve"> </w:t>
      </w:r>
      <w:r w:rsidR="006223E2">
        <w:t>70 Cal.2d at p. 585.)</w:t>
      </w:r>
      <w:r w:rsidR="002D41E3" w:rsidRPr="002D41E3">
        <w:t xml:space="preserve"> </w:t>
      </w:r>
      <w:r w:rsidR="002D41E3">
        <w:t xml:space="preserve"> </w:t>
      </w:r>
      <w:r w:rsidR="00744EFB">
        <w:lastRenderedPageBreak/>
        <w:t>Moreover, t</w:t>
      </w:r>
      <w:r w:rsidR="002D41E3">
        <w:t xml:space="preserve">he foreseeability element of </w:t>
      </w:r>
      <w:r w:rsidR="00230D62">
        <w:t>Cornelius’s</w:t>
      </w:r>
      <w:r w:rsidR="002D41E3">
        <w:t xml:space="preserve"> design and warning defect claims captures the concept of foreseeability </w:t>
      </w:r>
      <w:r w:rsidR="00D7414F">
        <w:t xml:space="preserve">described in </w:t>
      </w:r>
      <w:r w:rsidR="00D7414F">
        <w:rPr>
          <w:i/>
          <w:iCs/>
        </w:rPr>
        <w:t>Elmore</w:t>
      </w:r>
      <w:r w:rsidR="00035CF6">
        <w:t xml:space="preserve">, as </w:t>
      </w:r>
      <w:r w:rsidR="0054292E">
        <w:t xml:space="preserve">Cornelius </w:t>
      </w:r>
      <w:r w:rsidR="00035CF6">
        <w:t xml:space="preserve">was required to prove </w:t>
      </w:r>
      <w:r w:rsidR="00773785">
        <w:t>that</w:t>
      </w:r>
      <w:r w:rsidR="00035CF6">
        <w:t xml:space="preserve"> J-MM’s asbestos-cement pipe </w:t>
      </w:r>
      <w:r w:rsidR="00CA0B7E">
        <w:t xml:space="preserve">failed in a manner that </w:t>
      </w:r>
      <w:r w:rsidR="00035CF6">
        <w:t xml:space="preserve">defied consumer expectations </w:t>
      </w:r>
      <w:r w:rsidR="000D5B48">
        <w:t xml:space="preserve">and </w:t>
      </w:r>
      <w:r w:rsidR="00CA0B7E">
        <w:t xml:space="preserve">lacked adequate warnings </w:t>
      </w:r>
      <w:r w:rsidR="00035CF6">
        <w:t>when used in a foreseeable way.</w:t>
      </w:r>
    </w:p>
    <w:p w14:paraId="65CD7859" w14:textId="54DF34BB" w:rsidR="00F73EF3" w:rsidRDefault="00086905" w:rsidP="0078740C">
      <w:pPr>
        <w:spacing w:line="360" w:lineRule="auto"/>
      </w:pPr>
      <w:r>
        <w:tab/>
        <w:t xml:space="preserve">In sum, we </w:t>
      </w:r>
      <w:r w:rsidR="00CE5AE2">
        <w:t xml:space="preserve">decline to extend </w:t>
      </w:r>
      <w:proofErr w:type="spellStart"/>
      <w:r w:rsidR="00D9506F">
        <w:rPr>
          <w:i/>
          <w:iCs/>
        </w:rPr>
        <w:t>Kesner</w:t>
      </w:r>
      <w:r w:rsidR="00D9506F">
        <w:t>’s</w:t>
      </w:r>
      <w:proofErr w:type="spellEnd"/>
      <w:r w:rsidR="00D9506F">
        <w:t xml:space="preserve"> </w:t>
      </w:r>
      <w:r w:rsidR="00B71BC4">
        <w:t xml:space="preserve">limitation </w:t>
      </w:r>
      <w:r w:rsidR="00905125">
        <w:t xml:space="preserve">on duty for negligence causes of action </w:t>
      </w:r>
      <w:r w:rsidR="004019B9">
        <w:t>alleging secondary exposure to asbestos</w:t>
      </w:r>
      <w:r w:rsidR="004F3484">
        <w:t xml:space="preserve"> </w:t>
      </w:r>
      <w:r w:rsidR="00B71BC4">
        <w:t>to</w:t>
      </w:r>
      <w:r w:rsidR="00905125">
        <w:t xml:space="preserve"> </w:t>
      </w:r>
      <w:r w:rsidR="00230D62">
        <w:t>Cornelius’s</w:t>
      </w:r>
      <w:r w:rsidR="00B71BC4">
        <w:t xml:space="preserve"> strict liability cause of action</w:t>
      </w:r>
      <w:r w:rsidR="00B060B6">
        <w:t xml:space="preserve"> here</w:t>
      </w:r>
      <w:r>
        <w:t>.  The trial court did not err in denying J-MM’s motion for JNOV.</w:t>
      </w:r>
    </w:p>
    <w:p w14:paraId="51AF0BB0" w14:textId="77777777" w:rsidR="003D308D" w:rsidRDefault="008B31BC" w:rsidP="003D308D">
      <w:pPr>
        <w:keepNext/>
        <w:keepLines/>
        <w:spacing w:line="360" w:lineRule="auto"/>
        <w:jc w:val="center"/>
        <w:rPr>
          <w:b/>
          <w:bCs/>
          <w:i/>
          <w:iCs/>
        </w:rPr>
      </w:pPr>
      <w:r w:rsidRPr="008B31BC">
        <w:rPr>
          <w:b/>
          <w:bCs/>
        </w:rPr>
        <w:t xml:space="preserve">II.  </w:t>
      </w:r>
      <w:r w:rsidR="00F612CD" w:rsidRPr="008B31BC">
        <w:rPr>
          <w:b/>
          <w:bCs/>
          <w:i/>
          <w:iCs/>
        </w:rPr>
        <w:t>Substantial Evidence</w:t>
      </w:r>
    </w:p>
    <w:p w14:paraId="11E6606A" w14:textId="77777777" w:rsidR="008B06ED" w:rsidRDefault="003D308D" w:rsidP="008B06ED">
      <w:pPr>
        <w:keepLines/>
        <w:spacing w:line="360" w:lineRule="auto"/>
        <w:rPr>
          <w:b/>
          <w:bCs/>
          <w:i/>
          <w:iCs/>
        </w:rPr>
      </w:pPr>
      <w:r w:rsidRPr="003D308D">
        <w:rPr>
          <w:b/>
          <w:bCs/>
          <w:i/>
          <w:iCs/>
        </w:rPr>
        <w:tab/>
      </w:r>
      <w:r w:rsidRPr="003D308D">
        <w:rPr>
          <w:b/>
          <w:bCs/>
        </w:rPr>
        <w:t>A.</w:t>
      </w:r>
      <w:r>
        <w:rPr>
          <w:b/>
          <w:bCs/>
          <w:i/>
          <w:iCs/>
        </w:rPr>
        <w:t xml:space="preserve">  </w:t>
      </w:r>
      <w:r w:rsidR="001A06F4" w:rsidRPr="003D308D">
        <w:rPr>
          <w:b/>
          <w:bCs/>
          <w:i/>
          <w:iCs/>
        </w:rPr>
        <w:t>Additional Background</w:t>
      </w:r>
      <w:r w:rsidR="008B06ED">
        <w:rPr>
          <w:b/>
          <w:bCs/>
          <w:i/>
          <w:iCs/>
        </w:rPr>
        <w:t xml:space="preserve"> </w:t>
      </w:r>
    </w:p>
    <w:p w14:paraId="4EDABE84" w14:textId="160BF483" w:rsidR="009D69D0" w:rsidRPr="008B06ED" w:rsidRDefault="004E5CCD" w:rsidP="00C758B2">
      <w:pPr>
        <w:spacing w:line="360" w:lineRule="auto"/>
        <w:rPr>
          <w:b/>
          <w:bCs/>
          <w:i/>
          <w:iCs/>
        </w:rPr>
      </w:pPr>
      <w:r>
        <w:tab/>
      </w:r>
      <w:r w:rsidR="0099531E">
        <w:t>Nathan</w:t>
      </w:r>
      <w:r w:rsidR="00B50902">
        <w:t xml:space="preserve"> </w:t>
      </w:r>
      <w:r w:rsidR="00745556">
        <w:t>worked for EBMUD from 1978 to 1988</w:t>
      </w:r>
      <w:r w:rsidR="00B50902">
        <w:t xml:space="preserve">. </w:t>
      </w:r>
      <w:r w:rsidR="008B06ED">
        <w:t xml:space="preserve"> </w:t>
      </w:r>
      <w:r w:rsidR="00745556">
        <w:t>J-M</w:t>
      </w:r>
      <w:r w:rsidR="00785758">
        <w:t>M</w:t>
      </w:r>
      <w:r w:rsidR="00745556">
        <w:t xml:space="preserve"> supplied 624 tons of asbestos</w:t>
      </w:r>
      <w:r w:rsidR="00780061">
        <w:t>-</w:t>
      </w:r>
      <w:r w:rsidR="00745556">
        <w:t xml:space="preserve">cement pipe to EBMUD. </w:t>
      </w:r>
      <w:r w:rsidR="008B06ED">
        <w:t xml:space="preserve"> </w:t>
      </w:r>
      <w:r w:rsidR="0099531E">
        <w:t>Nathan</w:t>
      </w:r>
      <w:r w:rsidR="00C51808">
        <w:t xml:space="preserve"> testified that he worked on water mains and service lines, including</w:t>
      </w:r>
      <w:r w:rsidR="00C51808" w:rsidRPr="00C51808">
        <w:t xml:space="preserve"> </w:t>
      </w:r>
      <w:r w:rsidR="00C51808">
        <w:t xml:space="preserve">asbestos-cement pipe. </w:t>
      </w:r>
      <w:r w:rsidR="00C51808" w:rsidRPr="00C51808">
        <w:t xml:space="preserve"> </w:t>
      </w:r>
      <w:r w:rsidR="00C51808">
        <w:t xml:space="preserve">He performed pipe repairs, pipe drilling, pipe removal, valve replacements, and “hydro installations” on asbestos-cement pipe. </w:t>
      </w:r>
      <w:r w:rsidR="008B06ED">
        <w:t xml:space="preserve"> </w:t>
      </w:r>
      <w:r w:rsidR="009D69D0">
        <w:t>He s</w:t>
      </w:r>
      <w:r w:rsidR="009D69D0" w:rsidRPr="00490D40">
        <w:t xml:space="preserve">aw breakage </w:t>
      </w:r>
      <w:r w:rsidR="009D69D0">
        <w:t xml:space="preserve">of asbestos-cement pipe </w:t>
      </w:r>
      <w:r w:rsidR="009D69D0" w:rsidRPr="00490D40">
        <w:t>caused by various factors, including age, backhoes, service saddles, high water pressure, and earthquakes</w:t>
      </w:r>
      <w:r w:rsidR="008B06ED">
        <w:t xml:space="preserve">. </w:t>
      </w:r>
      <w:r w:rsidR="009D69D0" w:rsidRPr="00490D40">
        <w:t xml:space="preserve"> </w:t>
      </w:r>
      <w:r w:rsidR="002812E6">
        <w:t>He agreed that</w:t>
      </w:r>
      <w:proofErr w:type="gramStart"/>
      <w:r w:rsidR="002812E6">
        <w:t>, generally speaking, older</w:t>
      </w:r>
      <w:proofErr w:type="gramEnd"/>
      <w:r w:rsidR="002812E6">
        <w:t xml:space="preserve"> pipe was more likely to be damaged than new pipe. </w:t>
      </w:r>
      <w:r w:rsidR="008B06ED">
        <w:t xml:space="preserve"> </w:t>
      </w:r>
      <w:r w:rsidR="0099531E">
        <w:t>An</w:t>
      </w:r>
      <w:r w:rsidR="002812E6">
        <w:t xml:space="preserve"> EBMUD witness </w:t>
      </w:r>
      <w:r w:rsidR="002812E6" w:rsidRPr="001E7318">
        <w:t>t</w:t>
      </w:r>
      <w:r w:rsidR="002812E6">
        <w:t>estified that</w:t>
      </w:r>
      <w:r w:rsidR="002812E6" w:rsidRPr="001E7318">
        <w:t xml:space="preserve"> age </w:t>
      </w:r>
      <w:r w:rsidR="002812E6">
        <w:t>factored in “a little” on</w:t>
      </w:r>
      <w:r w:rsidR="002812E6" w:rsidRPr="001E7318">
        <w:t xml:space="preserve"> </w:t>
      </w:r>
      <w:r w:rsidR="002812E6">
        <w:t>asbestos</w:t>
      </w:r>
      <w:r w:rsidR="00780061">
        <w:t>-</w:t>
      </w:r>
      <w:r w:rsidR="002812E6">
        <w:t xml:space="preserve">cement </w:t>
      </w:r>
      <w:r w:rsidR="002812E6" w:rsidRPr="001E7318">
        <w:t>pipe breakage</w:t>
      </w:r>
      <w:r w:rsidR="002812E6">
        <w:t xml:space="preserve">, </w:t>
      </w:r>
      <w:r w:rsidR="00780061">
        <w:t>but</w:t>
      </w:r>
      <w:r w:rsidR="002812E6">
        <w:t xml:space="preserve"> that age “wasn’t as often</w:t>
      </w:r>
      <w:r w:rsidR="00780061">
        <w:t>” the cause</w:t>
      </w:r>
      <w:r w:rsidR="002812E6">
        <w:t xml:space="preserve"> </w:t>
      </w:r>
      <w:r w:rsidR="00780061">
        <w:t>“</w:t>
      </w:r>
      <w:r w:rsidR="002812E6">
        <w:t>as the other reasons”</w:t>
      </w:r>
      <w:r w:rsidR="005E623B">
        <w:t xml:space="preserve"> because asbestos-cement pipe is </w:t>
      </w:r>
      <w:r w:rsidR="00635075">
        <w:t>“</w:t>
      </w:r>
      <w:r w:rsidR="005E623B">
        <w:t>strong</w:t>
      </w:r>
      <w:r w:rsidR="00635075">
        <w:t>”</w:t>
      </w:r>
      <w:r w:rsidR="005E623B">
        <w:t xml:space="preserve"> and </w:t>
      </w:r>
      <w:r w:rsidR="00635075">
        <w:t>“</w:t>
      </w:r>
      <w:r w:rsidR="005E623B">
        <w:t>sturdy.</w:t>
      </w:r>
      <w:r w:rsidR="00635075">
        <w:t>”</w:t>
      </w:r>
      <w:r w:rsidR="002812E6">
        <w:t xml:space="preserve"> </w:t>
      </w:r>
    </w:p>
    <w:p w14:paraId="519DB242" w14:textId="63AFF34B" w:rsidR="00745556" w:rsidRDefault="009D69D0" w:rsidP="00745556">
      <w:pPr>
        <w:spacing w:line="360" w:lineRule="auto"/>
      </w:pPr>
      <w:r>
        <w:tab/>
      </w:r>
      <w:r w:rsidR="0099531E">
        <w:t>Nathan</w:t>
      </w:r>
      <w:r>
        <w:t xml:space="preserve"> testified that his work </w:t>
      </w:r>
      <w:r w:rsidR="00C51808">
        <w:t xml:space="preserve">involved </w:t>
      </w:r>
      <w:r w:rsidR="000916B0">
        <w:t>not on</w:t>
      </w:r>
      <w:r w:rsidR="00183D43">
        <w:t>ly</w:t>
      </w:r>
      <w:r w:rsidR="000916B0">
        <w:t xml:space="preserve"> damaged </w:t>
      </w:r>
      <w:r w:rsidR="00C01D62">
        <w:t xml:space="preserve">asbestos-cement </w:t>
      </w:r>
      <w:r w:rsidR="000916B0">
        <w:t xml:space="preserve">pipe, but cutting </w:t>
      </w:r>
      <w:r w:rsidR="004029BA">
        <w:t xml:space="preserve">or drilling into </w:t>
      </w:r>
      <w:r w:rsidR="00C01D62">
        <w:t xml:space="preserve">pipe </w:t>
      </w:r>
      <w:r w:rsidR="00A33DCD">
        <w:t>for other reasons (</w:t>
      </w:r>
      <w:proofErr w:type="gramStart"/>
      <w:r w:rsidR="00A33DCD">
        <w:t>e.g.</w:t>
      </w:r>
      <w:proofErr w:type="gramEnd"/>
      <w:r w:rsidR="00A33DCD">
        <w:t xml:space="preserve"> to</w:t>
      </w:r>
      <w:r w:rsidR="000916B0">
        <w:t xml:space="preserve"> replace </w:t>
      </w:r>
      <w:r w:rsidR="000916B0">
        <w:lastRenderedPageBreak/>
        <w:t>or repair fittings and fixtures</w:t>
      </w:r>
      <w:r w:rsidR="00A33DCD">
        <w:t>)</w:t>
      </w:r>
      <w:r w:rsidR="00C01D62">
        <w:t xml:space="preserve">, including pipe that had been installed only six months prior. </w:t>
      </w:r>
    </w:p>
    <w:p w14:paraId="2E3774FE" w14:textId="0FF4FB01" w:rsidR="000541B8" w:rsidRDefault="000541B8" w:rsidP="00745556">
      <w:pPr>
        <w:spacing w:line="360" w:lineRule="auto"/>
      </w:pPr>
      <w:r>
        <w:tab/>
      </w:r>
      <w:r w:rsidR="0099531E">
        <w:t>Nathan</w:t>
      </w:r>
      <w:r>
        <w:t xml:space="preserve"> testified that he worked on four types of asbestos</w:t>
      </w:r>
      <w:r w:rsidR="00361A3A">
        <w:t>-</w:t>
      </w:r>
      <w:r>
        <w:t>cement pipe while at EBMUD:  J-M</w:t>
      </w:r>
      <w:r w:rsidR="00785758">
        <w:t>M</w:t>
      </w:r>
      <w:r>
        <w:t>, Johns</w:t>
      </w:r>
      <w:r w:rsidR="00200CE7">
        <w:t>-</w:t>
      </w:r>
      <w:r>
        <w:t xml:space="preserve">Manville, Kubota, and CertainTeed.  He knew </w:t>
      </w:r>
      <w:r w:rsidR="00065D2A">
        <w:t>this because he saw brand</w:t>
      </w:r>
      <w:r>
        <w:t xml:space="preserve"> stencils on the pipe, including “J-M” and “Johns-Manville.” </w:t>
      </w:r>
      <w:r w:rsidR="008B06ED">
        <w:t xml:space="preserve"> </w:t>
      </w:r>
      <w:r w:rsidR="00E44927">
        <w:t xml:space="preserve">He worked on each </w:t>
      </w:r>
      <w:r w:rsidR="002D1C23">
        <w:t xml:space="preserve">of these </w:t>
      </w:r>
      <w:r w:rsidR="00E44927">
        <w:t>four brands “evenly” over</w:t>
      </w:r>
      <w:r w:rsidR="002D1C23">
        <w:t xml:space="preserve"> his</w:t>
      </w:r>
      <w:r w:rsidR="00E44927">
        <w:t xml:space="preserve"> </w:t>
      </w:r>
      <w:r w:rsidR="00021850">
        <w:t>10</w:t>
      </w:r>
      <w:r w:rsidR="00E44927">
        <w:t xml:space="preserve"> years at EBMUD</w:t>
      </w:r>
      <w:r w:rsidR="002D1C23">
        <w:t>.</w:t>
      </w:r>
      <w:r w:rsidR="00E44927">
        <w:t xml:space="preserve"> </w:t>
      </w:r>
    </w:p>
    <w:p w14:paraId="07AABB85" w14:textId="03EEECAA" w:rsidR="000F1D39" w:rsidRDefault="009D69D0" w:rsidP="001A06F4">
      <w:pPr>
        <w:spacing w:line="360" w:lineRule="auto"/>
      </w:pPr>
      <w:r>
        <w:tab/>
      </w:r>
      <w:r w:rsidR="0099531E">
        <w:t>Nathan</w:t>
      </w:r>
      <w:r w:rsidR="0088375A">
        <w:t xml:space="preserve"> worked for Daly City from 1989 to 2018, doing the</w:t>
      </w:r>
      <w:r w:rsidR="001A7FB6">
        <w:t xml:space="preserve"> same type of work on asbestos-cement pipe</w:t>
      </w:r>
      <w:r w:rsidR="0088375A">
        <w:t xml:space="preserve">. </w:t>
      </w:r>
      <w:r w:rsidR="008B06ED">
        <w:t xml:space="preserve"> </w:t>
      </w:r>
      <w:r w:rsidR="0088375A">
        <w:t xml:space="preserve">J-MM did not produce any records of asbestos-cement pipe sales to Daly City, but J-MM witnesses testified that </w:t>
      </w:r>
      <w:r w:rsidR="00D72086">
        <w:t>its</w:t>
      </w:r>
      <w:r w:rsidR="00D53F80">
        <w:t xml:space="preserve"> records </w:t>
      </w:r>
      <w:r w:rsidR="00D72086">
        <w:t xml:space="preserve">were not comprehensive </w:t>
      </w:r>
      <w:r w:rsidR="0099531E">
        <w:t>because</w:t>
      </w:r>
      <w:r w:rsidR="00D72086">
        <w:t xml:space="preserve"> some were missing or had</w:t>
      </w:r>
      <w:r w:rsidR="00D53F80">
        <w:t xml:space="preserve"> been </w:t>
      </w:r>
      <w:r w:rsidR="00584131">
        <w:t>destroyed</w:t>
      </w:r>
      <w:r w:rsidR="00664C9C">
        <w:t xml:space="preserve">. </w:t>
      </w:r>
      <w:r w:rsidR="008B06ED">
        <w:t xml:space="preserve"> </w:t>
      </w:r>
      <w:r w:rsidR="0099531E">
        <w:t>Nathan</w:t>
      </w:r>
      <w:r w:rsidR="001A7FB6">
        <w:t xml:space="preserve"> testified that he worked on three types of asbestos</w:t>
      </w:r>
      <w:r w:rsidR="00780061">
        <w:t>-</w:t>
      </w:r>
      <w:r w:rsidR="001A7FB6">
        <w:t>cement pipe while at Daly City:  J-M</w:t>
      </w:r>
      <w:r w:rsidR="00D41EAD">
        <w:t>M</w:t>
      </w:r>
      <w:r w:rsidR="001A7FB6">
        <w:t>, Johns</w:t>
      </w:r>
      <w:r w:rsidR="00200CE7">
        <w:t>-</w:t>
      </w:r>
      <w:r w:rsidR="001A7FB6">
        <w:t xml:space="preserve">Manville, and CertainTeed. </w:t>
      </w:r>
      <w:r w:rsidR="000F1D39">
        <w:t xml:space="preserve"> He again had identified</w:t>
      </w:r>
      <w:r w:rsidR="000F1D39" w:rsidRPr="000F1D39">
        <w:t xml:space="preserve"> </w:t>
      </w:r>
      <w:r w:rsidR="000F1D39">
        <w:t>these brands</w:t>
      </w:r>
      <w:r w:rsidR="000F1D39" w:rsidRPr="000F1D39">
        <w:t xml:space="preserve"> by </w:t>
      </w:r>
      <w:r w:rsidR="000F1D39">
        <w:t xml:space="preserve">their </w:t>
      </w:r>
      <w:r w:rsidR="000F1D39" w:rsidRPr="000F1D39">
        <w:t>stencil</w:t>
      </w:r>
      <w:r w:rsidR="000F1D39">
        <w:t>.</w:t>
      </w:r>
      <w:r w:rsidR="000F1D39" w:rsidRPr="000F1D39">
        <w:t xml:space="preserve"> </w:t>
      </w:r>
    </w:p>
    <w:p w14:paraId="288A7ED4" w14:textId="010AF216" w:rsidR="00195347" w:rsidRDefault="00B50902" w:rsidP="00195347">
      <w:pPr>
        <w:spacing w:line="360" w:lineRule="auto"/>
      </w:pPr>
      <w:r>
        <w:t xml:space="preserve"> </w:t>
      </w:r>
      <w:r w:rsidR="00235561">
        <w:tab/>
      </w:r>
      <w:r w:rsidR="00CC0287">
        <w:t xml:space="preserve">In its motion for directed verdict, J-MM </w:t>
      </w:r>
      <w:r w:rsidR="00780061">
        <w:t xml:space="preserve">argued that </w:t>
      </w:r>
      <w:r w:rsidR="0099531E">
        <w:t>Cornelius</w:t>
      </w:r>
      <w:r w:rsidR="00780061">
        <w:t xml:space="preserve"> had failed to produce substantial evidence that </w:t>
      </w:r>
      <w:r w:rsidR="002972F3">
        <w:t>Nathan</w:t>
      </w:r>
      <w:r w:rsidR="00780061">
        <w:t xml:space="preserve"> had </w:t>
      </w:r>
      <w:proofErr w:type="gramStart"/>
      <w:r w:rsidR="005C245B">
        <w:t xml:space="preserve">actually </w:t>
      </w:r>
      <w:r w:rsidR="00780061">
        <w:t>worked</w:t>
      </w:r>
      <w:proofErr w:type="gramEnd"/>
      <w:r w:rsidR="00780061">
        <w:t xml:space="preserve"> with </w:t>
      </w:r>
      <w:r w:rsidR="005C245B">
        <w:t>asbestos-cement pipe supplied by J-MM</w:t>
      </w:r>
      <w:r w:rsidR="00CC0287">
        <w:t xml:space="preserve">. </w:t>
      </w:r>
      <w:r w:rsidR="008B06ED">
        <w:t xml:space="preserve"> </w:t>
      </w:r>
      <w:r w:rsidR="005C245B">
        <w:t xml:space="preserve">It </w:t>
      </w:r>
      <w:r w:rsidR="001B341F">
        <w:t>relied</w:t>
      </w:r>
      <w:r w:rsidR="005C245B">
        <w:t xml:space="preserve"> </w:t>
      </w:r>
      <w:r w:rsidR="001B341F">
        <w:t>on</w:t>
      </w:r>
      <w:r w:rsidR="005C245B">
        <w:t xml:space="preserve"> evidence from J-MM witnesses </w:t>
      </w:r>
      <w:r w:rsidR="001B341F">
        <w:t>to argue that the pipe could have been supplied by</w:t>
      </w:r>
      <w:r w:rsidR="005C245B">
        <w:t xml:space="preserve"> Johns-Manville</w:t>
      </w:r>
      <w:r w:rsidR="001B341F">
        <w:t>,</w:t>
      </w:r>
      <w:r w:rsidR="005C245B">
        <w:t xml:space="preserve"> </w:t>
      </w:r>
      <w:r w:rsidR="001B341F">
        <w:t xml:space="preserve">because Johns-Manville </w:t>
      </w:r>
      <w:r w:rsidR="005C245B">
        <w:t xml:space="preserve">had also used </w:t>
      </w:r>
      <w:r w:rsidR="002368B2">
        <w:t>a</w:t>
      </w:r>
      <w:r w:rsidR="005C245B">
        <w:t xml:space="preserve"> “J-M” stencil on </w:t>
      </w:r>
      <w:r w:rsidR="002368B2">
        <w:t xml:space="preserve">some of its </w:t>
      </w:r>
      <w:r w:rsidR="001B341F">
        <w:t xml:space="preserve">asbestos-cement </w:t>
      </w:r>
      <w:r w:rsidR="005C245B">
        <w:t xml:space="preserve">pipe. </w:t>
      </w:r>
      <w:r w:rsidR="008B06ED">
        <w:t xml:space="preserve"> </w:t>
      </w:r>
      <w:r w:rsidR="00E933AF">
        <w:t>D</w:t>
      </w:r>
      <w:r w:rsidR="00051415">
        <w:t>enying the motion, the trial court stated</w:t>
      </w:r>
      <w:proofErr w:type="gramStart"/>
      <w:r w:rsidR="00051415">
        <w:t xml:space="preserve">:  </w:t>
      </w:r>
      <w:r w:rsidR="000C3B66">
        <w:t>“</w:t>
      </w:r>
      <w:proofErr w:type="gramEnd"/>
      <w:r w:rsidR="000C3B66">
        <w:t xml:space="preserve">With regard to the argument that there’s no substantial evidence of causation, </w:t>
      </w:r>
      <w:r w:rsidR="00051415">
        <w:t>b</w:t>
      </w:r>
      <w:r w:rsidR="000C3B66">
        <w:t>ecause some Johns-</w:t>
      </w:r>
      <w:proofErr w:type="spellStart"/>
      <w:r w:rsidR="000C3B66">
        <w:t>Manvillle</w:t>
      </w:r>
      <w:proofErr w:type="spellEnd"/>
      <w:r w:rsidR="000C3B66">
        <w:t xml:space="preserve"> pipe was labeled the same as J-MM pipe, that’s an argument that I believe has no</w:t>
      </w:r>
      <w:r w:rsidR="001D2C62">
        <w:t xml:space="preserve"> </w:t>
      </w:r>
      <w:r w:rsidR="000C3B66">
        <w:t xml:space="preserve">merit whatsoever.” </w:t>
      </w:r>
    </w:p>
    <w:p w14:paraId="06F33746" w14:textId="1E8B1246" w:rsidR="004E5CCD" w:rsidRPr="00195347" w:rsidRDefault="00195347" w:rsidP="00195347">
      <w:pPr>
        <w:spacing w:line="360" w:lineRule="auto"/>
      </w:pPr>
      <w:r>
        <w:tab/>
      </w:r>
      <w:r w:rsidRPr="00195347">
        <w:rPr>
          <w:b/>
          <w:bCs/>
        </w:rPr>
        <w:t>B.</w:t>
      </w:r>
      <w:r>
        <w:t xml:space="preserve">  </w:t>
      </w:r>
      <w:r w:rsidR="0060395C" w:rsidRPr="00195347">
        <w:rPr>
          <w:b/>
          <w:bCs/>
          <w:i/>
          <w:iCs/>
        </w:rPr>
        <w:t>Framework and Standard of Review</w:t>
      </w:r>
      <w:r w:rsidR="004E5CCD" w:rsidRPr="00195347">
        <w:rPr>
          <w:b/>
          <w:bCs/>
        </w:rPr>
        <w:t xml:space="preserve"> </w:t>
      </w:r>
    </w:p>
    <w:p w14:paraId="0539A367" w14:textId="44FBE767" w:rsidR="00195347" w:rsidRDefault="0060517B" w:rsidP="00195347">
      <w:pPr>
        <w:spacing w:line="360" w:lineRule="auto"/>
        <w:rPr>
          <w:color w:val="000000" w:themeColor="text1"/>
          <w:shd w:val="clear" w:color="auto" w:fill="FFFFFF"/>
        </w:rPr>
      </w:pPr>
      <w:r>
        <w:rPr>
          <w:color w:val="000000" w:themeColor="text1"/>
          <w:shd w:val="clear" w:color="auto" w:fill="FFFFFF"/>
        </w:rPr>
        <w:tab/>
      </w:r>
      <w:r w:rsidR="00382891">
        <w:rPr>
          <w:color w:val="000000" w:themeColor="text1"/>
          <w:shd w:val="clear" w:color="auto" w:fill="FFFFFF"/>
        </w:rPr>
        <w:t>On</w:t>
      </w:r>
      <w:r w:rsidR="0060395C" w:rsidRPr="00663B31">
        <w:rPr>
          <w:color w:val="000000" w:themeColor="text1"/>
          <w:shd w:val="clear" w:color="auto" w:fill="FFFFFF"/>
        </w:rPr>
        <w:t xml:space="preserve"> a substantial evidence challenge, “we are bound by the ‘elementary, but often overlooked principle of law that</w:t>
      </w:r>
      <w:r w:rsidR="0060395C">
        <w:rPr>
          <w:color w:val="000000" w:themeColor="text1"/>
          <w:shd w:val="clear" w:color="auto" w:fill="FFFFFF"/>
        </w:rPr>
        <w:t xml:space="preserve"> . . .</w:t>
      </w:r>
      <w:r w:rsidR="0060395C" w:rsidRPr="00663B31">
        <w:rPr>
          <w:color w:val="000000" w:themeColor="text1"/>
          <w:shd w:val="clear" w:color="auto" w:fill="FFFFFF"/>
        </w:rPr>
        <w:t xml:space="preserve"> the power of an appellate court</w:t>
      </w:r>
      <w:r w:rsidR="0060395C">
        <w:rPr>
          <w:color w:val="000000" w:themeColor="text1"/>
          <w:shd w:val="clear" w:color="auto" w:fill="FFFFFF"/>
        </w:rPr>
        <w:t xml:space="preserve"> </w:t>
      </w:r>
      <w:r w:rsidR="0060395C" w:rsidRPr="00663B31">
        <w:rPr>
          <w:rStyle w:val="cosearchterm"/>
          <w:color w:val="000000" w:themeColor="text1"/>
          <w:bdr w:val="none" w:sz="0" w:space="0" w:color="auto" w:frame="1"/>
        </w:rPr>
        <w:t>begins</w:t>
      </w:r>
      <w:r w:rsidR="0060395C">
        <w:rPr>
          <w:color w:val="000000" w:themeColor="text1"/>
          <w:shd w:val="clear" w:color="auto" w:fill="FFFFFF"/>
        </w:rPr>
        <w:t xml:space="preserve"> </w:t>
      </w:r>
      <w:r w:rsidR="0060395C" w:rsidRPr="00663B31">
        <w:rPr>
          <w:rStyle w:val="cosearchterm"/>
          <w:color w:val="000000" w:themeColor="text1"/>
          <w:bdr w:val="none" w:sz="0" w:space="0" w:color="auto" w:frame="1"/>
        </w:rPr>
        <w:t>and</w:t>
      </w:r>
      <w:r w:rsidR="0060395C">
        <w:rPr>
          <w:color w:val="000000" w:themeColor="text1"/>
          <w:shd w:val="clear" w:color="auto" w:fill="FFFFFF"/>
        </w:rPr>
        <w:t xml:space="preserve"> </w:t>
      </w:r>
      <w:r w:rsidR="0060395C" w:rsidRPr="00663B31">
        <w:rPr>
          <w:rStyle w:val="cosearchterm"/>
          <w:color w:val="000000" w:themeColor="text1"/>
          <w:bdr w:val="none" w:sz="0" w:space="0" w:color="auto" w:frame="1"/>
        </w:rPr>
        <w:t>ends</w:t>
      </w:r>
      <w:r w:rsidR="0060395C">
        <w:rPr>
          <w:color w:val="000000" w:themeColor="text1"/>
          <w:shd w:val="clear" w:color="auto" w:fill="FFFFFF"/>
        </w:rPr>
        <w:t xml:space="preserve"> </w:t>
      </w:r>
      <w:r w:rsidR="0060395C" w:rsidRPr="00663B31">
        <w:rPr>
          <w:color w:val="000000" w:themeColor="text1"/>
          <w:shd w:val="clear" w:color="auto" w:fill="FFFFFF"/>
        </w:rPr>
        <w:t xml:space="preserve">with a determination as to whether there is any substantial </w:t>
      </w:r>
      <w:r w:rsidR="0060395C" w:rsidRPr="00663B31">
        <w:rPr>
          <w:color w:val="000000" w:themeColor="text1"/>
          <w:shd w:val="clear" w:color="auto" w:fill="FFFFFF"/>
        </w:rPr>
        <w:lastRenderedPageBreak/>
        <w:t>evidence, contradicted or uncontradicted,’ to support the findings below.”</w:t>
      </w:r>
      <w:r w:rsidR="0060395C">
        <w:rPr>
          <w:color w:val="000000" w:themeColor="text1"/>
          <w:shd w:val="clear" w:color="auto" w:fill="FFFFFF"/>
        </w:rPr>
        <w:t xml:space="preserve"> </w:t>
      </w:r>
      <w:r w:rsidR="0060395C" w:rsidRPr="00663B31">
        <w:rPr>
          <w:color w:val="000000" w:themeColor="text1"/>
          <w:shd w:val="clear" w:color="auto" w:fill="FFFFFF"/>
        </w:rPr>
        <w:t xml:space="preserve"> (</w:t>
      </w:r>
      <w:r w:rsidR="0060395C" w:rsidRPr="00663B31">
        <w:rPr>
          <w:rStyle w:val="Emphasis"/>
          <w:color w:val="000000" w:themeColor="text1"/>
          <w:bdr w:val="none" w:sz="0" w:space="0" w:color="auto" w:frame="1"/>
          <w:shd w:val="clear" w:color="auto" w:fill="FFFFFF"/>
        </w:rPr>
        <w:t>Jessup Farms v. Baldwin</w:t>
      </w:r>
      <w:r w:rsidR="0060395C">
        <w:rPr>
          <w:color w:val="000000" w:themeColor="text1"/>
          <w:bdr w:val="none" w:sz="0" w:space="0" w:color="auto" w:frame="1"/>
          <w:shd w:val="clear" w:color="auto" w:fill="FFFFFF"/>
        </w:rPr>
        <w:t xml:space="preserve"> </w:t>
      </w:r>
      <w:r w:rsidR="0060395C" w:rsidRPr="00663B31">
        <w:rPr>
          <w:color w:val="000000" w:themeColor="text1"/>
          <w:bdr w:val="none" w:sz="0" w:space="0" w:color="auto" w:frame="1"/>
          <w:shd w:val="clear" w:color="auto" w:fill="FFFFFF"/>
        </w:rPr>
        <w:t>(1983) 33 Cal.3d 639, 660</w:t>
      </w:r>
      <w:r w:rsidR="00AE4091">
        <w:rPr>
          <w:color w:val="000000" w:themeColor="text1"/>
          <w:bdr w:val="none" w:sz="0" w:space="0" w:color="auto" w:frame="1"/>
          <w:shd w:val="clear" w:color="auto" w:fill="FFFFFF"/>
        </w:rPr>
        <w:t xml:space="preserve"> (</w:t>
      </w:r>
      <w:r w:rsidR="00AE4091">
        <w:rPr>
          <w:i/>
          <w:iCs/>
          <w:color w:val="000000" w:themeColor="text1"/>
          <w:bdr w:val="none" w:sz="0" w:space="0" w:color="auto" w:frame="1"/>
          <w:shd w:val="clear" w:color="auto" w:fill="FFFFFF"/>
        </w:rPr>
        <w:t>Jessup</w:t>
      </w:r>
      <w:r w:rsidR="00AE4091">
        <w:rPr>
          <w:color w:val="000000" w:themeColor="text1"/>
          <w:bdr w:val="none" w:sz="0" w:space="0" w:color="auto" w:frame="1"/>
          <w:shd w:val="clear" w:color="auto" w:fill="FFFFFF"/>
        </w:rPr>
        <w:t>)</w:t>
      </w:r>
      <w:r w:rsidR="0060395C" w:rsidRPr="00663B31">
        <w:rPr>
          <w:color w:val="000000" w:themeColor="text1"/>
          <w:shd w:val="clear" w:color="auto" w:fill="FFFFFF"/>
        </w:rPr>
        <w:t>, quoting</w:t>
      </w:r>
      <w:r w:rsidR="0060395C">
        <w:rPr>
          <w:color w:val="000000" w:themeColor="text1"/>
          <w:shd w:val="clear" w:color="auto" w:fill="FFFFFF"/>
        </w:rPr>
        <w:t xml:space="preserve"> </w:t>
      </w:r>
      <w:r w:rsidR="0060395C" w:rsidRPr="00663B31">
        <w:rPr>
          <w:rStyle w:val="Emphasis"/>
          <w:color w:val="000000" w:themeColor="text1"/>
          <w:bdr w:val="none" w:sz="0" w:space="0" w:color="auto" w:frame="1"/>
          <w:shd w:val="clear" w:color="auto" w:fill="FFFFFF"/>
        </w:rPr>
        <w:t>Crawford v. Southern Pacific Co.</w:t>
      </w:r>
      <w:r w:rsidR="0060395C" w:rsidRPr="00663B31">
        <w:rPr>
          <w:color w:val="000000" w:themeColor="text1"/>
          <w:bdr w:val="none" w:sz="0" w:space="0" w:color="auto" w:frame="1"/>
          <w:shd w:val="clear" w:color="auto" w:fill="FFFFFF"/>
        </w:rPr>
        <w:t> (1935) 3 Cal.2d 427, 429</w:t>
      </w:r>
      <w:r w:rsidR="0060395C" w:rsidRPr="00663B31">
        <w:rPr>
          <w:color w:val="000000" w:themeColor="text1"/>
          <w:shd w:val="clear" w:color="auto" w:fill="FFFFFF"/>
        </w:rPr>
        <w:t xml:space="preserve">.) </w:t>
      </w:r>
      <w:r w:rsidR="0060395C">
        <w:rPr>
          <w:color w:val="000000" w:themeColor="text1"/>
          <w:shd w:val="clear" w:color="auto" w:fill="FFFFFF"/>
        </w:rPr>
        <w:t xml:space="preserve"> </w:t>
      </w:r>
      <w:r w:rsidR="00B30340">
        <w:rPr>
          <w:color w:val="000000" w:themeColor="text1"/>
          <w:shd w:val="clear" w:color="auto" w:fill="FFFFFF"/>
        </w:rPr>
        <w:t>“</w:t>
      </w:r>
      <w:r w:rsidR="00B30340" w:rsidRPr="00B30340">
        <w:rPr>
          <w:color w:val="000000" w:themeColor="text1"/>
          <w:shd w:val="clear" w:color="auto" w:fill="FFFFFF"/>
        </w:rPr>
        <w:t>We must therefore view the evidence in the light most favorable to the prevailing party, giving it the benefit of every reasonable inference and resolving all conflicts in its favor in accordance with the standard of review so long adhered to by this cour</w:t>
      </w:r>
      <w:r w:rsidR="00B30340">
        <w:rPr>
          <w:color w:val="000000" w:themeColor="text1"/>
          <w:shd w:val="clear" w:color="auto" w:fill="FFFFFF"/>
        </w:rPr>
        <w:t>t.”  (</w:t>
      </w:r>
      <w:r w:rsidR="00D41EAD">
        <w:rPr>
          <w:i/>
          <w:iCs/>
          <w:color w:val="000000" w:themeColor="text1"/>
          <w:shd w:val="clear" w:color="auto" w:fill="FFFFFF"/>
        </w:rPr>
        <w:t>Jessup</w:t>
      </w:r>
      <w:r w:rsidR="00D41EAD">
        <w:rPr>
          <w:color w:val="000000" w:themeColor="text1"/>
          <w:shd w:val="clear" w:color="auto" w:fill="FFFFFF"/>
        </w:rPr>
        <w:t>, at p.</w:t>
      </w:r>
      <w:r w:rsidR="008B06ED">
        <w:rPr>
          <w:color w:val="000000" w:themeColor="text1"/>
          <w:shd w:val="clear" w:color="auto" w:fill="FFFFFF"/>
        </w:rPr>
        <w:t xml:space="preserve"> </w:t>
      </w:r>
      <w:r w:rsidR="00D41EAD">
        <w:rPr>
          <w:color w:val="000000" w:themeColor="text1"/>
          <w:shd w:val="clear" w:color="auto" w:fill="FFFFFF"/>
        </w:rPr>
        <w:t>660</w:t>
      </w:r>
      <w:r w:rsidR="00B30340">
        <w:rPr>
          <w:i/>
          <w:iCs/>
          <w:color w:val="000000" w:themeColor="text1"/>
          <w:shd w:val="clear" w:color="auto" w:fill="FFFFFF"/>
        </w:rPr>
        <w:t>.</w:t>
      </w:r>
      <w:r w:rsidR="00B30340">
        <w:rPr>
          <w:color w:val="000000" w:themeColor="text1"/>
          <w:shd w:val="clear" w:color="auto" w:fill="FFFFFF"/>
        </w:rPr>
        <w:t xml:space="preserve">)  </w:t>
      </w:r>
    </w:p>
    <w:p w14:paraId="1F66B63A" w14:textId="673C8D5B" w:rsidR="00F612CD" w:rsidRPr="00195347" w:rsidRDefault="00195347" w:rsidP="00195347">
      <w:pPr>
        <w:spacing w:line="360" w:lineRule="auto"/>
        <w:rPr>
          <w:color w:val="000000" w:themeColor="text1"/>
          <w:shd w:val="clear" w:color="auto" w:fill="FFFFFF"/>
        </w:rPr>
      </w:pPr>
      <w:r>
        <w:rPr>
          <w:color w:val="000000" w:themeColor="text1"/>
          <w:shd w:val="clear" w:color="auto" w:fill="FFFFFF"/>
        </w:rPr>
        <w:tab/>
      </w:r>
      <w:r w:rsidRPr="00195347">
        <w:rPr>
          <w:b/>
          <w:bCs/>
          <w:color w:val="000000" w:themeColor="text1"/>
          <w:shd w:val="clear" w:color="auto" w:fill="FFFFFF"/>
        </w:rPr>
        <w:t>C.</w:t>
      </w:r>
      <w:r>
        <w:rPr>
          <w:color w:val="000000" w:themeColor="text1"/>
          <w:shd w:val="clear" w:color="auto" w:fill="FFFFFF"/>
        </w:rPr>
        <w:t xml:space="preserve">  </w:t>
      </w:r>
      <w:r w:rsidR="00F612CD" w:rsidRPr="00195347">
        <w:rPr>
          <w:b/>
          <w:bCs/>
          <w:i/>
          <w:iCs/>
        </w:rPr>
        <w:t>Analysis</w:t>
      </w:r>
    </w:p>
    <w:p w14:paraId="5C4B89C9" w14:textId="5C07CAD0" w:rsidR="0022573C" w:rsidRDefault="00D24DB0" w:rsidP="00440FD9">
      <w:pPr>
        <w:spacing w:line="360" w:lineRule="auto"/>
      </w:pPr>
      <w:r>
        <w:tab/>
      </w:r>
      <w:r w:rsidR="007A18DD">
        <w:t xml:space="preserve">J-MM argues that </w:t>
      </w:r>
      <w:r w:rsidR="0099531E">
        <w:t>Cornelius</w:t>
      </w:r>
      <w:r w:rsidR="007A18DD">
        <w:t xml:space="preserve"> failed to present substantial evidence to support the jury’s finding that he was exposed to </w:t>
      </w:r>
      <w:r w:rsidR="009939B7">
        <w:t>asbestos</w:t>
      </w:r>
      <w:r w:rsidR="00ED146C">
        <w:t xml:space="preserve"> from asbestos-cement pipe</w:t>
      </w:r>
      <w:r w:rsidR="008306FA">
        <w:t xml:space="preserve"> supplied by J-MM</w:t>
      </w:r>
      <w:r w:rsidR="007A18DD">
        <w:t>.</w:t>
      </w:r>
      <w:r w:rsidR="008306FA">
        <w:t xml:space="preserve"> </w:t>
      </w:r>
      <w:r w:rsidR="008B06ED">
        <w:t xml:space="preserve"> </w:t>
      </w:r>
      <w:r w:rsidR="00EB4E46">
        <w:t>Relying on</w:t>
      </w:r>
      <w:r w:rsidR="00440FD9">
        <w:t xml:space="preserve"> </w:t>
      </w:r>
      <w:proofErr w:type="spellStart"/>
      <w:r w:rsidR="00440FD9">
        <w:rPr>
          <w:i/>
          <w:iCs/>
        </w:rPr>
        <w:t>Izell</w:t>
      </w:r>
      <w:proofErr w:type="spellEnd"/>
      <w:r w:rsidR="00440FD9">
        <w:rPr>
          <w:i/>
          <w:iCs/>
        </w:rPr>
        <w:t xml:space="preserve"> v. Union Carbid</w:t>
      </w:r>
      <w:r w:rsidR="005E623B">
        <w:rPr>
          <w:i/>
          <w:iCs/>
        </w:rPr>
        <w:t>e</w:t>
      </w:r>
      <w:r w:rsidR="00440FD9">
        <w:rPr>
          <w:i/>
          <w:iCs/>
        </w:rPr>
        <w:t xml:space="preserve"> Corp.</w:t>
      </w:r>
      <w:r w:rsidR="00440FD9">
        <w:t xml:space="preserve"> (2014) 231 Cal.App.4th 962</w:t>
      </w:r>
      <w:r w:rsidR="00ED00F7">
        <w:t xml:space="preserve"> (</w:t>
      </w:r>
      <w:proofErr w:type="spellStart"/>
      <w:r w:rsidR="00ED00F7">
        <w:rPr>
          <w:i/>
          <w:iCs/>
        </w:rPr>
        <w:t>Izell</w:t>
      </w:r>
      <w:proofErr w:type="spellEnd"/>
      <w:r w:rsidR="00ED00F7">
        <w:t>)</w:t>
      </w:r>
      <w:r w:rsidR="00440FD9">
        <w:t xml:space="preserve">, J-MM </w:t>
      </w:r>
      <w:r w:rsidR="00016DC6">
        <w:t>contends</w:t>
      </w:r>
      <w:r w:rsidR="00440FD9">
        <w:t xml:space="preserve"> that</w:t>
      </w:r>
      <w:r w:rsidR="00016DC6" w:rsidRPr="00016DC6">
        <w:t xml:space="preserve"> </w:t>
      </w:r>
      <w:r w:rsidR="0099531E">
        <w:t xml:space="preserve">Cornelius </w:t>
      </w:r>
      <w:r w:rsidR="00016DC6">
        <w:t>only raised a “mere possibility” of such exposure.</w:t>
      </w:r>
      <w:r w:rsidR="00EB4E46">
        <w:t xml:space="preserve"> </w:t>
      </w:r>
    </w:p>
    <w:p w14:paraId="1E27C623" w14:textId="2932C8D6" w:rsidR="0003156C" w:rsidRPr="00C52126" w:rsidRDefault="0022573C" w:rsidP="00440FD9">
      <w:pPr>
        <w:spacing w:line="360" w:lineRule="auto"/>
      </w:pPr>
      <w:r>
        <w:tab/>
      </w:r>
      <w:r w:rsidR="00C5648D">
        <w:t xml:space="preserve">The evidence presented in </w:t>
      </w:r>
      <w:proofErr w:type="spellStart"/>
      <w:r w:rsidR="00CD72A3">
        <w:rPr>
          <w:i/>
          <w:iCs/>
        </w:rPr>
        <w:t>Izell</w:t>
      </w:r>
      <w:proofErr w:type="spellEnd"/>
      <w:r w:rsidR="00CD72A3">
        <w:t xml:space="preserve"> </w:t>
      </w:r>
      <w:r>
        <w:t xml:space="preserve">is </w:t>
      </w:r>
      <w:r w:rsidR="00CD72A3">
        <w:t>distinguishable</w:t>
      </w:r>
      <w:r w:rsidR="00C5648D">
        <w:t xml:space="preserve"> from the evidence presented here</w:t>
      </w:r>
      <w:r w:rsidR="00CD72A3">
        <w:t xml:space="preserve">.  </w:t>
      </w:r>
      <w:r w:rsidR="00163EC6">
        <w:t>In</w:t>
      </w:r>
      <w:r w:rsidR="00D86A41">
        <w:t xml:space="preserve"> </w:t>
      </w:r>
      <w:proofErr w:type="spellStart"/>
      <w:r w:rsidR="00C5648D">
        <w:rPr>
          <w:i/>
          <w:iCs/>
        </w:rPr>
        <w:t>Izell</w:t>
      </w:r>
      <w:proofErr w:type="spellEnd"/>
      <w:r w:rsidR="00163EC6">
        <w:t>,</w:t>
      </w:r>
      <w:r w:rsidR="00ED00F7">
        <w:t xml:space="preserve"> </w:t>
      </w:r>
      <w:r w:rsidR="00D86A41">
        <w:t xml:space="preserve">the </w:t>
      </w:r>
      <w:r w:rsidR="00ED00F7">
        <w:t xml:space="preserve">plaintiff </w:t>
      </w:r>
      <w:r w:rsidR="00163EC6">
        <w:t xml:space="preserve">claimed exposure </w:t>
      </w:r>
      <w:r w:rsidR="00D86A41">
        <w:t xml:space="preserve">to </w:t>
      </w:r>
      <w:r w:rsidR="00D86A41" w:rsidRPr="006D650E">
        <w:t>asbestos</w:t>
      </w:r>
      <w:r w:rsidR="00D86A41">
        <w:t xml:space="preserve"> </w:t>
      </w:r>
      <w:r w:rsidR="00163EC6">
        <w:t>from visiting</w:t>
      </w:r>
      <w:r w:rsidR="00163EC6" w:rsidRPr="006D650E">
        <w:t xml:space="preserve"> jobsites where workers were </w:t>
      </w:r>
      <w:r w:rsidR="00442248">
        <w:t xml:space="preserve">using </w:t>
      </w:r>
      <w:r w:rsidR="00CA1EF8">
        <w:t>four different</w:t>
      </w:r>
      <w:r w:rsidR="00442248">
        <w:t xml:space="preserve"> brands of</w:t>
      </w:r>
      <w:r w:rsidR="00034CF3">
        <w:t xml:space="preserve"> asbestos-containing</w:t>
      </w:r>
      <w:r w:rsidR="00442248">
        <w:t xml:space="preserve"> </w:t>
      </w:r>
      <w:r w:rsidR="00163EC6" w:rsidRPr="006D650E">
        <w:t>joint compound</w:t>
      </w:r>
      <w:r w:rsidR="00A44B94">
        <w:t xml:space="preserve">.  </w:t>
      </w:r>
      <w:r w:rsidR="00274BB2">
        <w:t>(</w:t>
      </w:r>
      <w:proofErr w:type="spellStart"/>
      <w:r w:rsidR="00FF4CB3">
        <w:rPr>
          <w:i/>
          <w:iCs/>
        </w:rPr>
        <w:t>I</w:t>
      </w:r>
      <w:r w:rsidR="00D41EAD">
        <w:rPr>
          <w:i/>
          <w:iCs/>
        </w:rPr>
        <w:t>zell</w:t>
      </w:r>
      <w:proofErr w:type="spellEnd"/>
      <w:r w:rsidR="00D41EAD">
        <w:t xml:space="preserve">, </w:t>
      </w:r>
      <w:r w:rsidR="00D41EAD" w:rsidRPr="00D41EAD">
        <w:rPr>
          <w:i/>
          <w:iCs/>
        </w:rPr>
        <w:t>supra</w:t>
      </w:r>
      <w:r w:rsidR="00D41EAD">
        <w:t>, 231 Cal.App</w:t>
      </w:r>
      <w:r w:rsidR="00FF4CB3">
        <w:rPr>
          <w:i/>
          <w:iCs/>
        </w:rPr>
        <w:t>.</w:t>
      </w:r>
      <w:r w:rsidR="00D41EAD">
        <w:t>4th</w:t>
      </w:r>
      <w:r w:rsidR="00FF4CB3">
        <w:t xml:space="preserve"> at p.</w:t>
      </w:r>
      <w:r w:rsidR="000022C1">
        <w:t xml:space="preserve"> </w:t>
      </w:r>
      <w:r w:rsidR="00FF4CB3">
        <w:t>967</w:t>
      </w:r>
      <w:r w:rsidR="00A44B94">
        <w:t xml:space="preserve">.) </w:t>
      </w:r>
      <w:r w:rsidR="00163EC6">
        <w:t xml:space="preserve"> </w:t>
      </w:r>
      <w:r w:rsidR="00E47C14">
        <w:t xml:space="preserve">Defendant </w:t>
      </w:r>
      <w:r w:rsidR="00401D22">
        <w:t>Union Carbide</w:t>
      </w:r>
      <w:r w:rsidR="00072DF4">
        <w:t>, a supplier of asbestos to the</w:t>
      </w:r>
      <w:r w:rsidR="0098610F">
        <w:t>se</w:t>
      </w:r>
      <w:r w:rsidR="00072DF4">
        <w:t xml:space="preserve"> joint compound </w:t>
      </w:r>
      <w:r w:rsidR="00F774DE">
        <w:t>brands</w:t>
      </w:r>
      <w:r w:rsidR="00072DF4">
        <w:t>,</w:t>
      </w:r>
      <w:r w:rsidR="00401D22">
        <w:t xml:space="preserve"> </w:t>
      </w:r>
      <w:r w:rsidR="00F774DE">
        <w:t xml:space="preserve">argued </w:t>
      </w:r>
      <w:r w:rsidR="00E47C14">
        <w:t>there was insufficient</w:t>
      </w:r>
      <w:r w:rsidR="001E49B0">
        <w:t xml:space="preserve"> evidence to support </w:t>
      </w:r>
      <w:r w:rsidR="00E47C14">
        <w:t>the</w:t>
      </w:r>
      <w:r w:rsidR="0003156C">
        <w:t xml:space="preserve"> </w:t>
      </w:r>
      <w:r w:rsidR="001E49B0">
        <w:t>liability</w:t>
      </w:r>
      <w:r w:rsidR="0003156C">
        <w:t xml:space="preserve"> finding</w:t>
      </w:r>
      <w:r w:rsidR="002423D8">
        <w:t>.</w:t>
      </w:r>
      <w:r w:rsidR="0003156C">
        <w:t xml:space="preserve">  (</w:t>
      </w:r>
      <w:r w:rsidR="0003156C">
        <w:rPr>
          <w:i/>
          <w:iCs/>
        </w:rPr>
        <w:t>Id.</w:t>
      </w:r>
      <w:r w:rsidR="0003156C">
        <w:t xml:space="preserve"> at p. </w:t>
      </w:r>
      <w:r w:rsidR="005307CB">
        <w:t>970</w:t>
      </w:r>
      <w:r w:rsidR="0003156C">
        <w:t>.)</w:t>
      </w:r>
      <w:r w:rsidR="002423D8">
        <w:t xml:space="preserve">  </w:t>
      </w:r>
      <w:r w:rsidR="005307CB">
        <w:t xml:space="preserve">The appellate court </w:t>
      </w:r>
      <w:r w:rsidR="005224A5">
        <w:t>agreed</w:t>
      </w:r>
      <w:r w:rsidR="0057592A">
        <w:t xml:space="preserve"> </w:t>
      </w:r>
      <w:r w:rsidR="00160D42">
        <w:t>as to</w:t>
      </w:r>
      <w:r w:rsidR="00330421">
        <w:t xml:space="preserve"> </w:t>
      </w:r>
      <w:r w:rsidR="006236EF">
        <w:t xml:space="preserve">Union Carbide’s </w:t>
      </w:r>
      <w:r w:rsidR="00330421">
        <w:t>supply</w:t>
      </w:r>
      <w:r w:rsidR="0057592A">
        <w:t xml:space="preserve"> to three of</w:t>
      </w:r>
      <w:r w:rsidR="006236EF">
        <w:t xml:space="preserve"> the brands</w:t>
      </w:r>
      <w:r w:rsidR="00330421">
        <w:t xml:space="preserve">:  </w:t>
      </w:r>
      <w:r w:rsidR="0057592A">
        <w:t xml:space="preserve">there was </w:t>
      </w:r>
      <w:r w:rsidR="00330421">
        <w:t xml:space="preserve">uncontradicted evidence that Union Carbide was only a minor supplier </w:t>
      </w:r>
      <w:r w:rsidR="008855B1">
        <w:t xml:space="preserve">for two of </w:t>
      </w:r>
      <w:r w:rsidR="00160D42">
        <w:t>them</w:t>
      </w:r>
      <w:r w:rsidR="00330421">
        <w:t>,</w:t>
      </w:r>
      <w:r w:rsidR="008855B1">
        <w:t xml:space="preserve"> and</w:t>
      </w:r>
      <w:r w:rsidR="00330421">
        <w:t xml:space="preserve"> </w:t>
      </w:r>
      <w:r w:rsidR="0081502A">
        <w:t xml:space="preserve">that </w:t>
      </w:r>
      <w:r w:rsidR="00DA1DFD">
        <w:t xml:space="preserve">the </w:t>
      </w:r>
      <w:r w:rsidR="00C52126">
        <w:t>third</w:t>
      </w:r>
      <w:r w:rsidR="00330421">
        <w:t xml:space="preserve"> could not get its Union Carbide</w:t>
      </w:r>
      <w:r w:rsidR="00DA1DFD">
        <w:t xml:space="preserve"> </w:t>
      </w:r>
      <w:r w:rsidR="00330421">
        <w:t>supplied product to California</w:t>
      </w:r>
      <w:r w:rsidR="00246ECD">
        <w:t xml:space="preserve"> (where the jobsites were located)</w:t>
      </w:r>
      <w:r w:rsidR="00330421">
        <w:t>.  (</w:t>
      </w:r>
      <w:r w:rsidR="00330421">
        <w:rPr>
          <w:i/>
          <w:iCs/>
        </w:rPr>
        <w:t>Id.</w:t>
      </w:r>
      <w:r w:rsidR="00330421">
        <w:t xml:space="preserve"> at </w:t>
      </w:r>
      <w:r w:rsidR="00C52126">
        <w:t>p</w:t>
      </w:r>
      <w:r w:rsidR="00330421">
        <w:t>p.</w:t>
      </w:r>
      <w:r w:rsidR="00021850">
        <w:t xml:space="preserve"> </w:t>
      </w:r>
      <w:r w:rsidR="00330421">
        <w:t>971</w:t>
      </w:r>
      <w:r w:rsidR="001B3BC9">
        <w:t>–</w:t>
      </w:r>
      <w:r w:rsidR="00C52126">
        <w:t>973</w:t>
      </w:r>
      <w:r w:rsidR="00330421">
        <w:t xml:space="preserve">.)  </w:t>
      </w:r>
      <w:r w:rsidR="00C52126">
        <w:t xml:space="preserve">As to the fourth </w:t>
      </w:r>
      <w:r w:rsidR="00CD4805">
        <w:t>brand</w:t>
      </w:r>
      <w:r w:rsidR="00C52126">
        <w:t xml:space="preserve">, however, </w:t>
      </w:r>
      <w:r w:rsidR="00090795">
        <w:t xml:space="preserve">the appellate court concluded there </w:t>
      </w:r>
      <w:r w:rsidR="00C52126">
        <w:t xml:space="preserve">was sufficient evidence </w:t>
      </w:r>
      <w:r w:rsidR="00090795">
        <w:t xml:space="preserve">for liability </w:t>
      </w:r>
      <w:r w:rsidR="00C52126">
        <w:t xml:space="preserve">because the </w:t>
      </w:r>
      <w:r w:rsidR="0081502A">
        <w:t>plaintiff</w:t>
      </w:r>
      <w:r w:rsidR="001B3BC9">
        <w:t xml:space="preserve"> testified that he </w:t>
      </w:r>
      <w:r w:rsidR="00AE5892">
        <w:t xml:space="preserve">had </w:t>
      </w:r>
      <w:r w:rsidR="001B3BC9">
        <w:t xml:space="preserve">inhaled dust from </w:t>
      </w:r>
      <w:r w:rsidR="001F367D">
        <w:t>the</w:t>
      </w:r>
      <w:r w:rsidR="0035547E">
        <w:t xml:space="preserve"> </w:t>
      </w:r>
      <w:r w:rsidR="002D1489">
        <w:t xml:space="preserve">specific </w:t>
      </w:r>
      <w:r w:rsidR="001B3BC9">
        <w:t>product</w:t>
      </w:r>
      <w:r w:rsidR="001F367D">
        <w:t>,</w:t>
      </w:r>
      <w:r w:rsidR="001B3BC9">
        <w:t xml:space="preserve"> and </w:t>
      </w:r>
      <w:r w:rsidR="001B3BC9">
        <w:lastRenderedPageBreak/>
        <w:t>the</w:t>
      </w:r>
      <w:r w:rsidR="00C52126">
        <w:t xml:space="preserve"> manufacturer </w:t>
      </w:r>
      <w:r w:rsidR="00802E81">
        <w:t>confirmed</w:t>
      </w:r>
      <w:r w:rsidR="00C52126">
        <w:t xml:space="preserve"> that all asbestos used to make </w:t>
      </w:r>
      <w:r w:rsidR="00AD0A50">
        <w:t>that</w:t>
      </w:r>
      <w:r w:rsidR="00045DEA">
        <w:t xml:space="preserve"> product</w:t>
      </w:r>
      <w:r w:rsidR="00C52126">
        <w:t xml:space="preserve"> was </w:t>
      </w:r>
      <w:r w:rsidR="001B3BC9">
        <w:t xml:space="preserve">from </w:t>
      </w:r>
      <w:r w:rsidR="00C52126">
        <w:t>Union Carbide.  (</w:t>
      </w:r>
      <w:r w:rsidR="00C52126">
        <w:rPr>
          <w:i/>
          <w:iCs/>
        </w:rPr>
        <w:t>Id.</w:t>
      </w:r>
      <w:r w:rsidR="00C52126">
        <w:t xml:space="preserve"> at p.</w:t>
      </w:r>
      <w:r w:rsidR="00021850">
        <w:t xml:space="preserve"> </w:t>
      </w:r>
      <w:r w:rsidR="001B3BC9">
        <w:t>974</w:t>
      </w:r>
      <w:r w:rsidR="00C52126">
        <w:t>.)</w:t>
      </w:r>
    </w:p>
    <w:p w14:paraId="2DF7C297" w14:textId="08DCC917" w:rsidR="00440FD9" w:rsidRDefault="0003156C" w:rsidP="00213C19">
      <w:pPr>
        <w:spacing w:line="360" w:lineRule="auto"/>
      </w:pPr>
      <w:r>
        <w:tab/>
      </w:r>
      <w:r w:rsidR="002423D8">
        <w:t xml:space="preserve">Here, unlike </w:t>
      </w:r>
      <w:proofErr w:type="spellStart"/>
      <w:r w:rsidR="002423D8" w:rsidRPr="0057592A">
        <w:rPr>
          <w:i/>
          <w:iCs/>
        </w:rPr>
        <w:t>Izell</w:t>
      </w:r>
      <w:proofErr w:type="spellEnd"/>
      <w:r w:rsidR="002423D8">
        <w:t xml:space="preserve">, there was no </w:t>
      </w:r>
      <w:r w:rsidR="00530B6A">
        <w:t xml:space="preserve">additional </w:t>
      </w:r>
      <w:r w:rsidR="005C0494">
        <w:t xml:space="preserve">link </w:t>
      </w:r>
      <w:r w:rsidR="00530B6A">
        <w:t>in the supply chain</w:t>
      </w:r>
      <w:r w:rsidR="002423D8">
        <w:t xml:space="preserve"> </w:t>
      </w:r>
      <w:r w:rsidR="002E59F1">
        <w:t>that created speculation about the source of the asbestos</w:t>
      </w:r>
      <w:r w:rsidR="006A6BE3">
        <w:t xml:space="preserve">.  </w:t>
      </w:r>
      <w:r w:rsidR="0054292E">
        <w:t>Nathan</w:t>
      </w:r>
      <w:r w:rsidR="006A6BE3">
        <w:t xml:space="preserve"> testified that he </w:t>
      </w:r>
      <w:r w:rsidR="00CA5BE9">
        <w:t>worked with J-M</w:t>
      </w:r>
      <w:r w:rsidR="00143AF7">
        <w:t>M</w:t>
      </w:r>
      <w:r w:rsidR="00CA5BE9">
        <w:t xml:space="preserve"> asbestos-cement pipe during his employment at both EBMUD and Daly City and that, at least for EBMUD, he worked evenly across brands</w:t>
      </w:r>
      <w:r w:rsidR="00FE730E">
        <w:t xml:space="preserve"> of pipe</w:t>
      </w:r>
      <w:r w:rsidR="00CA5BE9">
        <w:t xml:space="preserve">. </w:t>
      </w:r>
      <w:r w:rsidR="00213C19">
        <w:t xml:space="preserve"> </w:t>
      </w:r>
      <w:r w:rsidR="00440FD9">
        <w:t>“A single witness’s testimony may constitute substantial evidence to support a finding.”  (</w:t>
      </w:r>
      <w:r w:rsidR="00440FD9" w:rsidRPr="008C2375">
        <w:rPr>
          <w:i/>
          <w:iCs/>
        </w:rPr>
        <w:t xml:space="preserve">Thompson v. </w:t>
      </w:r>
      <w:proofErr w:type="spellStart"/>
      <w:r w:rsidR="00440FD9" w:rsidRPr="008C2375">
        <w:rPr>
          <w:i/>
          <w:iCs/>
        </w:rPr>
        <w:t>Asimos</w:t>
      </w:r>
      <w:proofErr w:type="spellEnd"/>
      <w:r w:rsidR="00440FD9" w:rsidRPr="008C2375">
        <w:t xml:space="preserve"> (2016) 6 Cal.App.5th 970, 981</w:t>
      </w:r>
      <w:r w:rsidR="00440FD9">
        <w:t>.)</w:t>
      </w:r>
    </w:p>
    <w:p w14:paraId="1291D866" w14:textId="55888BA5" w:rsidR="00A455F2" w:rsidRDefault="00D76FAB" w:rsidP="00213C19">
      <w:pPr>
        <w:spacing w:line="360" w:lineRule="auto"/>
      </w:pPr>
      <w:r>
        <w:tab/>
      </w:r>
      <w:r w:rsidR="00CE0614">
        <w:t xml:space="preserve">Nor are we persuaded by </w:t>
      </w:r>
      <w:r w:rsidR="005828A1">
        <w:t xml:space="preserve">J-MM’s </w:t>
      </w:r>
      <w:r w:rsidR="00CE0614">
        <w:t>other arguments</w:t>
      </w:r>
      <w:r w:rsidR="005828A1">
        <w:t xml:space="preserve"> that </w:t>
      </w:r>
      <w:r w:rsidR="00A455F2">
        <w:t xml:space="preserve">it was more likely that </w:t>
      </w:r>
      <w:r w:rsidR="0099531E">
        <w:t>Nathan</w:t>
      </w:r>
      <w:r w:rsidR="005828A1">
        <w:t xml:space="preserve"> worked on pipe</w:t>
      </w:r>
      <w:r w:rsidR="002022A8">
        <w:t xml:space="preserve"> supplied by</w:t>
      </w:r>
      <w:r w:rsidR="00043351">
        <w:t xml:space="preserve"> </w:t>
      </w:r>
      <w:r w:rsidR="002022A8">
        <w:t xml:space="preserve">Johns-Manville (versus </w:t>
      </w:r>
      <w:r w:rsidR="00FB460B">
        <w:t xml:space="preserve">pipe supplied by </w:t>
      </w:r>
      <w:r w:rsidR="002022A8">
        <w:t>J-MM</w:t>
      </w:r>
      <w:r w:rsidR="00FB460B">
        <w:t xml:space="preserve"> from 1983 to 1988</w:t>
      </w:r>
      <w:r w:rsidR="002022A8">
        <w:t>)</w:t>
      </w:r>
      <w:r w:rsidR="005828A1">
        <w:t>.</w:t>
      </w:r>
      <w:r w:rsidR="00CE0614">
        <w:t xml:space="preserve">  First, J-MM suggests that </w:t>
      </w:r>
      <w:r w:rsidR="0099531E">
        <w:t>Nathan</w:t>
      </w:r>
      <w:r w:rsidR="006165B7">
        <w:t xml:space="preserve"> </w:t>
      </w:r>
      <w:r w:rsidR="00CE0614">
        <w:t xml:space="preserve">only worked </w:t>
      </w:r>
      <w:r w:rsidR="00043351">
        <w:t>with “old” pipe</w:t>
      </w:r>
      <w:r w:rsidR="00CE0614">
        <w:t>.</w:t>
      </w:r>
      <w:r w:rsidR="002022A8">
        <w:t xml:space="preserve"> </w:t>
      </w:r>
      <w:r w:rsidR="008B06ED">
        <w:t xml:space="preserve"> </w:t>
      </w:r>
      <w:r w:rsidR="00A455F2">
        <w:t xml:space="preserve">Even though </w:t>
      </w:r>
      <w:r w:rsidR="0099531E">
        <w:t>Nathan</w:t>
      </w:r>
      <w:r w:rsidR="000B746F">
        <w:t xml:space="preserve"> </w:t>
      </w:r>
      <w:r w:rsidR="00795D7D">
        <w:t xml:space="preserve">testified that he replaced damaged pipe and </w:t>
      </w:r>
      <w:r w:rsidR="00A455F2">
        <w:t xml:space="preserve">agreed that, as a general principle, older pipe was more likely to be damaged than new pipe, another EBMUD witness </w:t>
      </w:r>
      <w:r w:rsidR="00A455F2" w:rsidRPr="001E7318">
        <w:t>t</w:t>
      </w:r>
      <w:r w:rsidR="00A455F2">
        <w:t>estified that</w:t>
      </w:r>
      <w:r w:rsidR="00A455F2" w:rsidRPr="001E7318">
        <w:t xml:space="preserve"> </w:t>
      </w:r>
      <w:r w:rsidR="00A85592">
        <w:t xml:space="preserve">age was not the most dominant factor in </w:t>
      </w:r>
      <w:r w:rsidR="0099531E">
        <w:t xml:space="preserve">pipe </w:t>
      </w:r>
      <w:r w:rsidR="00A85592">
        <w:t>damage.</w:t>
      </w:r>
      <w:r w:rsidR="00A455F2">
        <w:t xml:space="preserve">  </w:t>
      </w:r>
      <w:r w:rsidR="007B50FB">
        <w:t xml:space="preserve">It would have been reasonable for the jury to credit this testimony.  More importantly, </w:t>
      </w:r>
      <w:r w:rsidR="0099531E">
        <w:t>Nathan</w:t>
      </w:r>
      <w:r w:rsidR="00625BEE">
        <w:t xml:space="preserve"> </w:t>
      </w:r>
      <w:r w:rsidR="00A455F2">
        <w:t xml:space="preserve">testified that he </w:t>
      </w:r>
      <w:r w:rsidR="00795D7D">
        <w:t xml:space="preserve">also </w:t>
      </w:r>
      <w:r w:rsidR="00A455F2">
        <w:t>worked on pipe that was not damaged (</w:t>
      </w:r>
      <w:r w:rsidR="00795D7D">
        <w:t>to make</w:t>
      </w:r>
      <w:r w:rsidR="00A455F2">
        <w:t xml:space="preserve"> other replacements or repairs</w:t>
      </w:r>
      <w:proofErr w:type="gramStart"/>
      <w:r w:rsidR="00A455F2">
        <w:t>), and</w:t>
      </w:r>
      <w:proofErr w:type="gramEnd"/>
      <w:r w:rsidR="00A455F2">
        <w:t xml:space="preserve"> worked on pipe that had been installed as recently as six months prior. </w:t>
      </w:r>
    </w:p>
    <w:p w14:paraId="7FAF7DFD" w14:textId="0A70C084" w:rsidR="00394AC0" w:rsidRDefault="005828A1" w:rsidP="00213C19">
      <w:pPr>
        <w:spacing w:line="360" w:lineRule="auto"/>
      </w:pPr>
      <w:r>
        <w:tab/>
      </w:r>
      <w:r w:rsidR="008710D9">
        <w:t>Second,</w:t>
      </w:r>
      <w:r w:rsidR="00344F96" w:rsidRPr="00344F96">
        <w:t xml:space="preserve"> </w:t>
      </w:r>
      <w:r w:rsidR="00344F96">
        <w:t xml:space="preserve">J-MM argues that </w:t>
      </w:r>
      <w:r w:rsidR="0099531E">
        <w:t>Nathan</w:t>
      </w:r>
      <w:r w:rsidR="00795D7D">
        <w:t xml:space="preserve"> had</w:t>
      </w:r>
      <w:r w:rsidR="00344F96">
        <w:t xml:space="preserve"> </w:t>
      </w:r>
      <w:r w:rsidR="007A23C9">
        <w:t xml:space="preserve">identified the “J-M” stencil before J-MM </w:t>
      </w:r>
      <w:r w:rsidR="00AA7420">
        <w:t xml:space="preserve">had ever </w:t>
      </w:r>
      <w:r w:rsidR="007A23C9">
        <w:t>started supplying asbestos-cement pipe</w:t>
      </w:r>
      <w:r w:rsidR="00344F96">
        <w:t xml:space="preserve">. </w:t>
      </w:r>
      <w:r w:rsidR="008B06ED">
        <w:t xml:space="preserve"> </w:t>
      </w:r>
      <w:r w:rsidR="0040338E">
        <w:t xml:space="preserve">When asked if he saw pipe with a “J-M” stencil in the “early part” of his career, </w:t>
      </w:r>
      <w:r w:rsidR="0099531E">
        <w:t>Nathan</w:t>
      </w:r>
      <w:r w:rsidR="0040338E">
        <w:t xml:space="preserve"> responded, “Yes.” </w:t>
      </w:r>
      <w:r w:rsidR="008B06ED">
        <w:t xml:space="preserve"> </w:t>
      </w:r>
      <w:r w:rsidR="0040338E">
        <w:t xml:space="preserve">He was then asked, “And you also saw pipe in addition to having J-M and again, to clarify for the jury, the early part of your career included 1978 up before 1983 time period, that would have been part of the early part of your career, right?” </w:t>
      </w:r>
      <w:r w:rsidR="008B06ED">
        <w:t xml:space="preserve"> </w:t>
      </w:r>
      <w:r w:rsidR="0040338E">
        <w:t xml:space="preserve">He responded, “Yes.” </w:t>
      </w:r>
      <w:r w:rsidR="008B06ED">
        <w:t xml:space="preserve"> </w:t>
      </w:r>
      <w:r w:rsidR="00EC5E28">
        <w:rPr>
          <w:color w:val="000000" w:themeColor="text1"/>
          <w:shd w:val="clear" w:color="auto" w:fill="FFFFFF"/>
        </w:rPr>
        <w:t>V</w:t>
      </w:r>
      <w:r w:rsidR="00EC5E28" w:rsidRPr="00B30340">
        <w:rPr>
          <w:color w:val="000000" w:themeColor="text1"/>
          <w:shd w:val="clear" w:color="auto" w:fill="FFFFFF"/>
        </w:rPr>
        <w:t>iew</w:t>
      </w:r>
      <w:r w:rsidR="00EC5E28">
        <w:rPr>
          <w:color w:val="000000" w:themeColor="text1"/>
          <w:shd w:val="clear" w:color="auto" w:fill="FFFFFF"/>
        </w:rPr>
        <w:t>ing</w:t>
      </w:r>
      <w:r w:rsidR="00EC5E28" w:rsidRPr="00B30340">
        <w:rPr>
          <w:color w:val="000000" w:themeColor="text1"/>
          <w:shd w:val="clear" w:color="auto" w:fill="FFFFFF"/>
        </w:rPr>
        <w:t xml:space="preserve"> the evidence </w:t>
      </w:r>
      <w:r w:rsidR="00EC5E28" w:rsidRPr="00B30340">
        <w:rPr>
          <w:color w:val="000000" w:themeColor="text1"/>
          <w:shd w:val="clear" w:color="auto" w:fill="FFFFFF"/>
        </w:rPr>
        <w:lastRenderedPageBreak/>
        <w:t xml:space="preserve">in the light most favorable to </w:t>
      </w:r>
      <w:r w:rsidR="0099531E">
        <w:rPr>
          <w:color w:val="000000" w:themeColor="text1"/>
          <w:shd w:val="clear" w:color="auto" w:fill="FFFFFF"/>
        </w:rPr>
        <w:t>Cornelius</w:t>
      </w:r>
      <w:r w:rsidR="00EC5E28">
        <w:rPr>
          <w:color w:val="000000" w:themeColor="text1"/>
          <w:shd w:val="clear" w:color="auto" w:fill="FFFFFF"/>
        </w:rPr>
        <w:t xml:space="preserve">, as we are required to do, this testimony </w:t>
      </w:r>
      <w:r w:rsidR="00CC6D3E">
        <w:rPr>
          <w:color w:val="000000" w:themeColor="text1"/>
          <w:shd w:val="clear" w:color="auto" w:fill="FFFFFF"/>
        </w:rPr>
        <w:t xml:space="preserve">proves only that </w:t>
      </w:r>
      <w:r w:rsidR="0099531E">
        <w:t>Nathan</w:t>
      </w:r>
      <w:r w:rsidR="00CC6D3E">
        <w:t xml:space="preserve"> saw the “J-M</w:t>
      </w:r>
      <w:r w:rsidR="00200CE7">
        <w:t>”</w:t>
      </w:r>
      <w:r w:rsidR="00CC6D3E">
        <w:t xml:space="preserve"> stencil in the “early part” of his career, and that </w:t>
      </w:r>
      <w:r w:rsidR="00CC6D3E">
        <w:rPr>
          <w:i/>
          <w:iCs/>
        </w:rPr>
        <w:t>part</w:t>
      </w:r>
      <w:r w:rsidR="00CC6D3E">
        <w:t xml:space="preserve"> of the “early part” of his career was before </w:t>
      </w:r>
      <w:r w:rsidR="008E6214">
        <w:t>1983</w:t>
      </w:r>
      <w:r w:rsidR="00CC6D3E">
        <w:t xml:space="preserve">.  </w:t>
      </w:r>
      <w:r w:rsidR="00AE4091">
        <w:t>(</w:t>
      </w:r>
      <w:r w:rsidR="00AE4091" w:rsidRPr="00663B31">
        <w:rPr>
          <w:rStyle w:val="Emphasis"/>
          <w:color w:val="000000" w:themeColor="text1"/>
          <w:bdr w:val="none" w:sz="0" w:space="0" w:color="auto" w:frame="1"/>
          <w:shd w:val="clear" w:color="auto" w:fill="FFFFFF"/>
        </w:rPr>
        <w:t>Jessup</w:t>
      </w:r>
      <w:r w:rsidR="00AE4091">
        <w:rPr>
          <w:color w:val="000000" w:themeColor="text1"/>
          <w:bdr w:val="none" w:sz="0" w:space="0" w:color="auto" w:frame="1"/>
          <w:shd w:val="clear" w:color="auto" w:fill="FFFFFF"/>
        </w:rPr>
        <w:t xml:space="preserve">, </w:t>
      </w:r>
      <w:r w:rsidR="00AE4091" w:rsidRPr="00A62752">
        <w:rPr>
          <w:i/>
          <w:iCs/>
          <w:color w:val="000000" w:themeColor="text1"/>
          <w:bdr w:val="none" w:sz="0" w:space="0" w:color="auto" w:frame="1"/>
          <w:shd w:val="clear" w:color="auto" w:fill="FFFFFF"/>
        </w:rPr>
        <w:t>supra</w:t>
      </w:r>
      <w:r w:rsidR="00AE4091">
        <w:rPr>
          <w:color w:val="000000" w:themeColor="text1"/>
          <w:bdr w:val="none" w:sz="0" w:space="0" w:color="auto" w:frame="1"/>
          <w:shd w:val="clear" w:color="auto" w:fill="FFFFFF"/>
        </w:rPr>
        <w:t xml:space="preserve">, </w:t>
      </w:r>
      <w:r w:rsidR="00AE4091" w:rsidRPr="00663B31">
        <w:rPr>
          <w:color w:val="000000" w:themeColor="text1"/>
          <w:bdr w:val="none" w:sz="0" w:space="0" w:color="auto" w:frame="1"/>
          <w:shd w:val="clear" w:color="auto" w:fill="FFFFFF"/>
        </w:rPr>
        <w:t xml:space="preserve">33 Cal.3d </w:t>
      </w:r>
      <w:r w:rsidR="00AE4091">
        <w:rPr>
          <w:color w:val="000000" w:themeColor="text1"/>
          <w:bdr w:val="none" w:sz="0" w:space="0" w:color="auto" w:frame="1"/>
          <w:shd w:val="clear" w:color="auto" w:fill="FFFFFF"/>
        </w:rPr>
        <w:t>at p.</w:t>
      </w:r>
      <w:r w:rsidR="00021850">
        <w:rPr>
          <w:color w:val="000000" w:themeColor="text1"/>
          <w:bdr w:val="none" w:sz="0" w:space="0" w:color="auto" w:frame="1"/>
          <w:shd w:val="clear" w:color="auto" w:fill="FFFFFF"/>
        </w:rPr>
        <w:t xml:space="preserve"> </w:t>
      </w:r>
      <w:r w:rsidR="00AE4091" w:rsidRPr="00663B31">
        <w:rPr>
          <w:color w:val="000000" w:themeColor="text1"/>
          <w:bdr w:val="none" w:sz="0" w:space="0" w:color="auto" w:frame="1"/>
          <w:shd w:val="clear" w:color="auto" w:fill="FFFFFF"/>
        </w:rPr>
        <w:t>660</w:t>
      </w:r>
      <w:r w:rsidR="00AE4091">
        <w:rPr>
          <w:color w:val="000000" w:themeColor="text1"/>
          <w:bdr w:val="none" w:sz="0" w:space="0" w:color="auto" w:frame="1"/>
          <w:shd w:val="clear" w:color="auto" w:fill="FFFFFF"/>
        </w:rPr>
        <w:t xml:space="preserve">.)  </w:t>
      </w:r>
      <w:r w:rsidR="00CC6D3E">
        <w:t>It would have been reasonable for the jury</w:t>
      </w:r>
      <w:r w:rsidR="00AE4091">
        <w:t xml:space="preserve"> to conclude that </w:t>
      </w:r>
      <w:r w:rsidR="0099531E">
        <w:t>Nathan</w:t>
      </w:r>
      <w:r w:rsidR="00AE4091">
        <w:t xml:space="preserve"> </w:t>
      </w:r>
      <w:r w:rsidR="008E6214">
        <w:t xml:space="preserve">still </w:t>
      </w:r>
      <w:r w:rsidR="00AE4091">
        <w:t xml:space="preserve">considered </w:t>
      </w:r>
      <w:r w:rsidR="008E6214">
        <w:t>years after 1983 (</w:t>
      </w:r>
      <w:r w:rsidR="003F09F7">
        <w:t xml:space="preserve">while he was still at EBMUD and </w:t>
      </w:r>
      <w:r w:rsidR="008E6214">
        <w:t xml:space="preserve">when J-MM had begun supplying </w:t>
      </w:r>
      <w:r w:rsidR="003F09F7">
        <w:t xml:space="preserve">asbestos-cement </w:t>
      </w:r>
      <w:r w:rsidR="008E6214">
        <w:t xml:space="preserve">pipe) to </w:t>
      </w:r>
      <w:r w:rsidR="001B05C4">
        <w:t xml:space="preserve">also </w:t>
      </w:r>
      <w:r w:rsidR="008E6214">
        <w:t>be</w:t>
      </w:r>
      <w:r w:rsidR="001B05C4">
        <w:t xml:space="preserve"> part of</w:t>
      </w:r>
      <w:r w:rsidR="008E6214">
        <w:t xml:space="preserve"> </w:t>
      </w:r>
      <w:r w:rsidR="00AE4091">
        <w:t>the “early part” of his career</w:t>
      </w:r>
      <w:r w:rsidR="008E6214">
        <w:t>.</w:t>
      </w:r>
    </w:p>
    <w:p w14:paraId="78B7EDE3" w14:textId="45F33867" w:rsidR="00964634" w:rsidRDefault="008710D9" w:rsidP="00213C19">
      <w:pPr>
        <w:spacing w:line="360" w:lineRule="auto"/>
      </w:pPr>
      <w:r>
        <w:tab/>
        <w:t>Thir</w:t>
      </w:r>
      <w:r w:rsidR="00554CEC">
        <w:t>d, J-MM suggests</w:t>
      </w:r>
      <w:r w:rsidR="00613B3C">
        <w:t xml:space="preserve"> </w:t>
      </w:r>
      <w:r w:rsidR="005F0682">
        <w:t xml:space="preserve">that </w:t>
      </w:r>
      <w:r w:rsidR="0099531E">
        <w:t>Nathan had</w:t>
      </w:r>
      <w:r w:rsidR="000C4F94">
        <w:t xml:space="preserve"> no way of distinguishing pipe supplied by J-MM </w:t>
      </w:r>
      <w:r w:rsidR="00B11666">
        <w:t>versus</w:t>
      </w:r>
      <w:r w:rsidR="000C4F94">
        <w:t xml:space="preserve"> Johns-Manville</w:t>
      </w:r>
      <w:r w:rsidR="00B11666">
        <w:t>, because Johns-Manville</w:t>
      </w:r>
      <w:r w:rsidR="000C4F94">
        <w:t xml:space="preserve"> also used the </w:t>
      </w:r>
      <w:r w:rsidR="004F5EBC">
        <w:t xml:space="preserve">“J-M” </w:t>
      </w:r>
      <w:r w:rsidR="004862C9">
        <w:t>stencil</w:t>
      </w:r>
      <w:r w:rsidR="006D1885">
        <w:t xml:space="preserve"> on its smaller </w:t>
      </w:r>
      <w:r w:rsidR="006D1885" w:rsidRPr="00912D23">
        <w:t xml:space="preserve">four and six-inch diameter </w:t>
      </w:r>
      <w:r w:rsidR="006D1885">
        <w:t>pipe</w:t>
      </w:r>
      <w:r w:rsidR="000C78F6">
        <w:t>.</w:t>
      </w:r>
      <w:r w:rsidR="00BF6D1F">
        <w:t xml:space="preserve">  </w:t>
      </w:r>
      <w:r w:rsidR="00E50703">
        <w:t xml:space="preserve">As a preliminary matter, the relevance </w:t>
      </w:r>
      <w:r w:rsidR="00693A62">
        <w:t>of this</w:t>
      </w:r>
      <w:r w:rsidR="00E50703">
        <w:t xml:space="preserve"> </w:t>
      </w:r>
      <w:r w:rsidR="0099320C">
        <w:t>point</w:t>
      </w:r>
      <w:r w:rsidR="00D63649">
        <w:t xml:space="preserve"> </w:t>
      </w:r>
      <w:r w:rsidR="00EC7F69">
        <w:t>is</w:t>
      </w:r>
      <w:r w:rsidR="00E50703">
        <w:t xml:space="preserve"> uncl</w:t>
      </w:r>
      <w:r w:rsidR="00CD032E">
        <w:t>ear because</w:t>
      </w:r>
      <w:r w:rsidR="00912D23">
        <w:t xml:space="preserve"> there </w:t>
      </w:r>
      <w:r w:rsidR="002A7205">
        <w:t xml:space="preserve">was no evidence confirming the size of pipe purchased by EBMUD or Daly City, or the size of pipe worked on by </w:t>
      </w:r>
      <w:r w:rsidR="0099531E">
        <w:t>Nathan</w:t>
      </w:r>
      <w:r w:rsidR="002A7205">
        <w:t xml:space="preserve">. </w:t>
      </w:r>
    </w:p>
    <w:p w14:paraId="261FE502" w14:textId="2DAA1B80" w:rsidR="00E00430" w:rsidRDefault="00964634" w:rsidP="00083363">
      <w:pPr>
        <w:spacing w:line="360" w:lineRule="auto"/>
      </w:pPr>
      <w:r>
        <w:tab/>
      </w:r>
      <w:r w:rsidR="00912D23">
        <w:t xml:space="preserve">In any event, </w:t>
      </w:r>
      <w:r w:rsidR="002C247B">
        <w:t xml:space="preserve">it is reasonable that the jury would have interpreted </w:t>
      </w:r>
      <w:r w:rsidR="00911DEA">
        <w:t xml:space="preserve">the </w:t>
      </w:r>
      <w:r w:rsidR="004512DE">
        <w:t>evidence</w:t>
      </w:r>
      <w:r w:rsidR="00310AA0">
        <w:t xml:space="preserve"> </w:t>
      </w:r>
      <w:r w:rsidR="00D63649">
        <w:t xml:space="preserve">on this point </w:t>
      </w:r>
      <w:r w:rsidR="002C247B">
        <w:t>as</w:t>
      </w:r>
      <w:r w:rsidR="00714E4A">
        <w:t xml:space="preserve"> contradictory</w:t>
      </w:r>
      <w:r>
        <w:t xml:space="preserve"> or not credible</w:t>
      </w:r>
      <w:r w:rsidR="00AC29CD">
        <w:t xml:space="preserve">.  </w:t>
      </w:r>
      <w:r w:rsidR="00E6735B">
        <w:t xml:space="preserve">One witness testified that </w:t>
      </w:r>
      <w:r w:rsidR="00496941">
        <w:t xml:space="preserve">Johns-Manville put only “J-M” on its smaller diameter pipe, but its full name on larger pipes. </w:t>
      </w:r>
      <w:r w:rsidR="008B06ED">
        <w:t xml:space="preserve"> </w:t>
      </w:r>
      <w:r w:rsidR="0026306C">
        <w:t>A</w:t>
      </w:r>
      <w:r w:rsidR="004B2B9A">
        <w:t>nother witness</w:t>
      </w:r>
      <w:r w:rsidR="0026306C">
        <w:t>, however,</w:t>
      </w:r>
      <w:r w:rsidR="004B2B9A">
        <w:t xml:space="preserve"> </w:t>
      </w:r>
      <w:r w:rsidR="0026306C">
        <w:t>testified that</w:t>
      </w:r>
      <w:r w:rsidR="004B2B9A">
        <w:t xml:space="preserve"> </w:t>
      </w:r>
      <w:r w:rsidR="00E6735B">
        <w:t xml:space="preserve">Johns-Manville used “J-M” </w:t>
      </w:r>
      <w:r w:rsidR="00E6735B" w:rsidRPr="0069182E">
        <w:rPr>
          <w:i/>
          <w:iCs/>
        </w:rPr>
        <w:t>and</w:t>
      </w:r>
      <w:r w:rsidR="00E6735B" w:rsidRPr="00B75524">
        <w:rPr>
          <w:i/>
          <w:iCs/>
        </w:rPr>
        <w:t xml:space="preserve"> </w:t>
      </w:r>
      <w:r w:rsidR="00E6735B">
        <w:t>“Manville” on every pipe</w:t>
      </w:r>
      <w:r w:rsidR="00560B51">
        <w:t>.</w:t>
      </w:r>
      <w:r w:rsidR="00E6735B">
        <w:t xml:space="preserve"> </w:t>
      </w:r>
      <w:r w:rsidR="004B2B9A" w:rsidRPr="004B2B9A">
        <w:t xml:space="preserve"> </w:t>
      </w:r>
      <w:r w:rsidR="00496941">
        <w:t xml:space="preserve">That same witness also stated that </w:t>
      </w:r>
      <w:r w:rsidR="004B2B9A">
        <w:t xml:space="preserve">Johns-Manville used the “JM” stencil with no dash. </w:t>
      </w:r>
      <w:r w:rsidR="003A5E4F">
        <w:t xml:space="preserve"> </w:t>
      </w:r>
      <w:r w:rsidR="00AD7179">
        <w:t xml:space="preserve">J-MM </w:t>
      </w:r>
      <w:r w:rsidR="00222118">
        <w:t>asks us to infer that</w:t>
      </w:r>
      <w:r w:rsidR="00752853">
        <w:t xml:space="preserve"> these were </w:t>
      </w:r>
      <w:r w:rsidR="006741B6">
        <w:t xml:space="preserve">simply </w:t>
      </w:r>
      <w:r w:rsidR="00752853">
        <w:t>grammatical mistakes by its witnesses</w:t>
      </w:r>
      <w:r w:rsidR="00FB7B77">
        <w:t>,</w:t>
      </w:r>
      <w:r w:rsidR="00460A50">
        <w:t xml:space="preserve"> </w:t>
      </w:r>
      <w:r w:rsidR="007B61C2">
        <w:t xml:space="preserve">but </w:t>
      </w:r>
      <w:r w:rsidR="00633A8F">
        <w:t xml:space="preserve">again, </w:t>
      </w:r>
      <w:r w:rsidR="004F7F49">
        <w:t xml:space="preserve">that </w:t>
      </w:r>
      <w:r>
        <w:t>flip</w:t>
      </w:r>
      <w:r w:rsidR="00CD032E">
        <w:t>s</w:t>
      </w:r>
      <w:r>
        <w:t xml:space="preserve"> the substantial evidence standard on its head. </w:t>
      </w:r>
      <w:r w:rsidR="008B06ED">
        <w:t xml:space="preserve"> </w:t>
      </w:r>
      <w:r>
        <w:t>(</w:t>
      </w:r>
      <w:r w:rsidRPr="00663B31">
        <w:rPr>
          <w:rStyle w:val="Emphasis"/>
          <w:color w:val="000000" w:themeColor="text1"/>
          <w:bdr w:val="none" w:sz="0" w:space="0" w:color="auto" w:frame="1"/>
          <w:shd w:val="clear" w:color="auto" w:fill="FFFFFF"/>
        </w:rPr>
        <w:t>Jessup</w:t>
      </w:r>
      <w:r>
        <w:rPr>
          <w:color w:val="000000" w:themeColor="text1"/>
          <w:bdr w:val="none" w:sz="0" w:space="0" w:color="auto" w:frame="1"/>
          <w:shd w:val="clear" w:color="auto" w:fill="FFFFFF"/>
        </w:rPr>
        <w:t xml:space="preserve">, </w:t>
      </w:r>
      <w:r w:rsidRPr="00A62752">
        <w:rPr>
          <w:i/>
          <w:iCs/>
          <w:color w:val="000000" w:themeColor="text1"/>
          <w:bdr w:val="none" w:sz="0" w:space="0" w:color="auto" w:frame="1"/>
          <w:shd w:val="clear" w:color="auto" w:fill="FFFFFF"/>
        </w:rPr>
        <w:t>supra</w:t>
      </w:r>
      <w:r>
        <w:rPr>
          <w:color w:val="000000" w:themeColor="text1"/>
          <w:bdr w:val="none" w:sz="0" w:space="0" w:color="auto" w:frame="1"/>
          <w:shd w:val="clear" w:color="auto" w:fill="FFFFFF"/>
        </w:rPr>
        <w:t xml:space="preserve">, </w:t>
      </w:r>
      <w:r w:rsidRPr="00663B31">
        <w:rPr>
          <w:color w:val="000000" w:themeColor="text1"/>
          <w:bdr w:val="none" w:sz="0" w:space="0" w:color="auto" w:frame="1"/>
          <w:shd w:val="clear" w:color="auto" w:fill="FFFFFF"/>
        </w:rPr>
        <w:t xml:space="preserve">33 Cal.3d </w:t>
      </w:r>
      <w:r>
        <w:rPr>
          <w:color w:val="000000" w:themeColor="text1"/>
          <w:bdr w:val="none" w:sz="0" w:space="0" w:color="auto" w:frame="1"/>
          <w:shd w:val="clear" w:color="auto" w:fill="FFFFFF"/>
        </w:rPr>
        <w:t>at p.</w:t>
      </w:r>
      <w:r w:rsidR="00021850">
        <w:rPr>
          <w:color w:val="000000" w:themeColor="text1"/>
          <w:bdr w:val="none" w:sz="0" w:space="0" w:color="auto" w:frame="1"/>
          <w:shd w:val="clear" w:color="auto" w:fill="FFFFFF"/>
        </w:rPr>
        <w:t xml:space="preserve"> </w:t>
      </w:r>
      <w:r w:rsidRPr="00663B31">
        <w:rPr>
          <w:color w:val="000000" w:themeColor="text1"/>
          <w:bdr w:val="none" w:sz="0" w:space="0" w:color="auto" w:frame="1"/>
          <w:shd w:val="clear" w:color="auto" w:fill="FFFFFF"/>
        </w:rPr>
        <w:t>660</w:t>
      </w:r>
      <w:r>
        <w:rPr>
          <w:color w:val="000000" w:themeColor="text1"/>
          <w:bdr w:val="none" w:sz="0" w:space="0" w:color="auto" w:frame="1"/>
          <w:shd w:val="clear" w:color="auto" w:fill="FFFFFF"/>
        </w:rPr>
        <w:t xml:space="preserve">.)  </w:t>
      </w:r>
      <w:r w:rsidR="002559BA">
        <w:t>We instead conclude it was</w:t>
      </w:r>
      <w:r w:rsidR="007F7B78">
        <w:t xml:space="preserve"> </w:t>
      </w:r>
      <w:r w:rsidR="002559BA">
        <w:t>reasonable for the jury to discredit</w:t>
      </w:r>
      <w:r w:rsidR="00934C6F">
        <w:t xml:space="preserve"> this contradictory </w:t>
      </w:r>
      <w:r w:rsidR="00F92099">
        <w:t>evidence</w:t>
      </w:r>
      <w:r w:rsidR="002559BA">
        <w:t xml:space="preserve"> </w:t>
      </w:r>
      <w:r w:rsidR="00FD71B3">
        <w:t>and</w:t>
      </w:r>
      <w:r w:rsidR="00337D51">
        <w:t xml:space="preserve"> infer that, based on the usage of </w:t>
      </w:r>
      <w:r w:rsidR="00F000E0">
        <w:t xml:space="preserve">different </w:t>
      </w:r>
      <w:r w:rsidR="00337D51">
        <w:t>stencils,</w:t>
      </w:r>
      <w:r w:rsidR="008D14A5">
        <w:t xml:space="preserve"> </w:t>
      </w:r>
      <w:r w:rsidR="0099531E">
        <w:t>Nathan</w:t>
      </w:r>
      <w:r w:rsidR="00F92099">
        <w:t xml:space="preserve"> was able to </w:t>
      </w:r>
      <w:r w:rsidR="00F000E0">
        <w:t xml:space="preserve">correctly </w:t>
      </w:r>
      <w:r w:rsidR="00F92099">
        <w:t>distinguish between J-MM and Johns-Manville</w:t>
      </w:r>
      <w:r w:rsidR="00275F0E">
        <w:t xml:space="preserve"> </w:t>
      </w:r>
      <w:r w:rsidR="008D14A5">
        <w:t>pip</w:t>
      </w:r>
      <w:r w:rsidR="00F000E0">
        <w:t>e.</w:t>
      </w:r>
    </w:p>
    <w:p w14:paraId="7649BCFF" w14:textId="44E90DF1" w:rsidR="000D4ED4" w:rsidRPr="00D24DB0" w:rsidRDefault="00E00430" w:rsidP="00083363">
      <w:pPr>
        <w:spacing w:line="360" w:lineRule="auto"/>
      </w:pPr>
      <w:r>
        <w:lastRenderedPageBreak/>
        <w:tab/>
      </w:r>
      <w:r w:rsidR="00843665">
        <w:t xml:space="preserve">In sum, </w:t>
      </w:r>
      <w:r w:rsidR="0064695F">
        <w:t xml:space="preserve">we conclude </w:t>
      </w:r>
      <w:r w:rsidR="0042474D">
        <w:t xml:space="preserve">there was substantial evidence </w:t>
      </w:r>
      <w:r w:rsidR="00595D5B">
        <w:t xml:space="preserve">to support the jury’s finding </w:t>
      </w:r>
      <w:r w:rsidR="00ED146C">
        <w:t xml:space="preserve">that </w:t>
      </w:r>
      <w:r w:rsidR="0099531E">
        <w:t>Cornelius</w:t>
      </w:r>
      <w:r w:rsidR="00ED146C">
        <w:t xml:space="preserve"> had proven exposure from asbestos-cement pipe supplied by J-MM</w:t>
      </w:r>
      <w:r w:rsidR="0042474D">
        <w:t>.</w:t>
      </w:r>
      <w:r w:rsidR="002A7205">
        <w:rPr>
          <w:rStyle w:val="FootnoteReference"/>
        </w:rPr>
        <w:footnoteReference w:id="7"/>
      </w:r>
    </w:p>
    <w:p w14:paraId="096B1120" w14:textId="23DA00F2" w:rsidR="008F41C9" w:rsidRPr="008B31BC" w:rsidRDefault="008B31BC" w:rsidP="00083363">
      <w:pPr>
        <w:spacing w:line="360" w:lineRule="auto"/>
        <w:jc w:val="center"/>
        <w:rPr>
          <w:b/>
          <w:bCs/>
          <w:i/>
          <w:iCs/>
        </w:rPr>
      </w:pPr>
      <w:r w:rsidRPr="008B31BC">
        <w:rPr>
          <w:b/>
          <w:bCs/>
        </w:rPr>
        <w:t xml:space="preserve">III.  </w:t>
      </w:r>
      <w:r w:rsidR="0060395C" w:rsidRPr="008B31BC">
        <w:rPr>
          <w:b/>
          <w:bCs/>
          <w:i/>
          <w:iCs/>
        </w:rPr>
        <w:t>Evidentiary Rulings</w:t>
      </w:r>
    </w:p>
    <w:p w14:paraId="0F1213E3" w14:textId="4F9B7B67" w:rsidR="0068384B" w:rsidRPr="00021850" w:rsidRDefault="00021850" w:rsidP="00021850">
      <w:pPr>
        <w:spacing w:line="360" w:lineRule="auto"/>
        <w:ind w:left="720"/>
        <w:rPr>
          <w:b/>
          <w:bCs/>
        </w:rPr>
      </w:pPr>
      <w:r w:rsidRPr="00021850">
        <w:rPr>
          <w:b/>
          <w:bCs/>
        </w:rPr>
        <w:t>A.</w:t>
      </w:r>
      <w:r>
        <w:rPr>
          <w:b/>
          <w:bCs/>
          <w:i/>
          <w:iCs/>
        </w:rPr>
        <w:t xml:space="preserve"> </w:t>
      </w:r>
      <w:r w:rsidRPr="00021850">
        <w:rPr>
          <w:b/>
          <w:bCs/>
          <w:i/>
          <w:iCs/>
        </w:rPr>
        <w:t xml:space="preserve"> </w:t>
      </w:r>
      <w:r w:rsidR="0060395C" w:rsidRPr="00021850">
        <w:rPr>
          <w:b/>
          <w:bCs/>
          <w:i/>
          <w:iCs/>
        </w:rPr>
        <w:t>Additional</w:t>
      </w:r>
      <w:r w:rsidR="0060395C" w:rsidRPr="00021850">
        <w:rPr>
          <w:b/>
          <w:bCs/>
        </w:rPr>
        <w:t xml:space="preserve"> </w:t>
      </w:r>
      <w:r w:rsidR="0060395C" w:rsidRPr="00021850">
        <w:rPr>
          <w:b/>
          <w:bCs/>
          <w:i/>
          <w:iCs/>
        </w:rPr>
        <w:t>Background</w:t>
      </w:r>
    </w:p>
    <w:p w14:paraId="5F26A438" w14:textId="381C8FB4" w:rsidR="00160F47" w:rsidRPr="009409B3" w:rsidRDefault="00D820C8" w:rsidP="00083363">
      <w:pPr>
        <w:spacing w:line="360" w:lineRule="auto"/>
      </w:pPr>
      <w:r>
        <w:tab/>
      </w:r>
      <w:r w:rsidR="003E40C7">
        <w:t xml:space="preserve">Before </w:t>
      </w:r>
      <w:r w:rsidR="006E0F32">
        <w:t>the presentation of evidence</w:t>
      </w:r>
      <w:r w:rsidR="003E40C7">
        <w:t xml:space="preserve">, </w:t>
      </w:r>
      <w:r w:rsidR="00EA40B9">
        <w:t>the parties raised a</w:t>
      </w:r>
      <w:r w:rsidR="00F37029">
        <w:t xml:space="preserve">n issue </w:t>
      </w:r>
      <w:r w:rsidR="00EA40B9">
        <w:t>regarding the scope of testimony</w:t>
      </w:r>
      <w:r w:rsidR="006E0F32">
        <w:t xml:space="preserve"> at trial</w:t>
      </w:r>
      <w:r w:rsidR="00441EE4">
        <w:t>.</w:t>
      </w:r>
      <w:r w:rsidR="00EA40B9">
        <w:t xml:space="preserve"> </w:t>
      </w:r>
      <w:r w:rsidR="008B06ED">
        <w:t xml:space="preserve"> </w:t>
      </w:r>
      <w:r w:rsidR="00EA40B9">
        <w:t xml:space="preserve">The </w:t>
      </w:r>
      <w:r w:rsidR="00F37029">
        <w:t>issue</w:t>
      </w:r>
      <w:r w:rsidR="00EA40B9">
        <w:t xml:space="preserve"> </w:t>
      </w:r>
      <w:r w:rsidR="009409B3">
        <w:t>was whether</w:t>
      </w:r>
      <w:r w:rsidR="00EA40B9">
        <w:t xml:space="preserve"> hearsay evidence</w:t>
      </w:r>
      <w:r w:rsidR="000132B1">
        <w:t xml:space="preserve"> </w:t>
      </w:r>
      <w:r w:rsidR="007B4001">
        <w:t>that did not</w:t>
      </w:r>
      <w:r w:rsidR="00EA40B9">
        <w:t xml:space="preserve"> fall within a </w:t>
      </w:r>
      <w:r w:rsidR="007B4001">
        <w:t>hearsay</w:t>
      </w:r>
      <w:r w:rsidR="00EA40B9">
        <w:t xml:space="preserve"> </w:t>
      </w:r>
      <w:r w:rsidR="009409B3">
        <w:t>exception</w:t>
      </w:r>
      <w:r w:rsidR="007B4001">
        <w:t xml:space="preserve"> could be presented at trial</w:t>
      </w:r>
      <w:r w:rsidR="009409B3">
        <w:t xml:space="preserve"> if the witness was designated by </w:t>
      </w:r>
      <w:r w:rsidR="00A0384E">
        <w:t xml:space="preserve">an entity </w:t>
      </w:r>
      <w:r w:rsidR="009409B3">
        <w:t>as the person most qualified (PMQ) to testify</w:t>
      </w:r>
      <w:r w:rsidR="00FD18A6">
        <w:t xml:space="preserve"> on its behalf</w:t>
      </w:r>
      <w:r w:rsidR="009409B3">
        <w:t xml:space="preserve"> </w:t>
      </w:r>
      <w:r w:rsidR="009409B3" w:rsidRPr="00B627B4">
        <w:t>at deposition</w:t>
      </w:r>
      <w:r w:rsidR="007B3558">
        <w:t xml:space="preserve"> under Code of Civil Procedure section 2025.030</w:t>
      </w:r>
      <w:r w:rsidR="00FD18A6">
        <w:t xml:space="preserve">. </w:t>
      </w:r>
      <w:r w:rsidR="008B06ED">
        <w:t xml:space="preserve"> </w:t>
      </w:r>
      <w:r w:rsidR="00160F47">
        <w:t xml:space="preserve">The trial court issued an order </w:t>
      </w:r>
      <w:r w:rsidR="00FF1B15">
        <w:t xml:space="preserve">(hereinafter Trial Testimony Order) </w:t>
      </w:r>
      <w:r w:rsidR="006C776C">
        <w:t>stating</w:t>
      </w:r>
      <w:r w:rsidR="00C56F3B">
        <w:t xml:space="preserve"> </w:t>
      </w:r>
      <w:r w:rsidR="00160F47">
        <w:t>that the rules of evidence do not permit</w:t>
      </w:r>
      <w:r w:rsidR="00FE046E">
        <w:t xml:space="preserve"> </w:t>
      </w:r>
      <w:r w:rsidR="00160F47">
        <w:t>hearsay evidence at trial</w:t>
      </w:r>
      <w:r w:rsidR="00614AA2">
        <w:t xml:space="preserve"> unless it falls within a</w:t>
      </w:r>
      <w:r w:rsidR="002C130F">
        <w:t xml:space="preserve"> given</w:t>
      </w:r>
      <w:r w:rsidR="00614AA2">
        <w:t xml:space="preserve"> exception</w:t>
      </w:r>
      <w:r w:rsidR="00FE046E">
        <w:t>,</w:t>
      </w:r>
      <w:r w:rsidR="00CD1EAC">
        <w:t xml:space="preserve"> </w:t>
      </w:r>
      <w:r w:rsidR="00FF5D9E">
        <w:t>and do not permit</w:t>
      </w:r>
      <w:r w:rsidR="00021850">
        <w:t xml:space="preserve"> </w:t>
      </w:r>
      <w:r w:rsidR="00FE046E">
        <w:t>a witness to testify</w:t>
      </w:r>
      <w:r w:rsidR="00CD1EAC">
        <w:t xml:space="preserve"> at trial to facts not within </w:t>
      </w:r>
      <w:r w:rsidR="00FE046E">
        <w:t xml:space="preserve">their </w:t>
      </w:r>
      <w:r w:rsidR="00CD1EAC">
        <w:t>personal knowledge</w:t>
      </w:r>
      <w:r w:rsidR="00160F47">
        <w:t xml:space="preserve">. </w:t>
      </w:r>
      <w:r w:rsidR="00CD1EAC" w:rsidRPr="00CD1EAC">
        <w:t xml:space="preserve"> </w:t>
      </w:r>
      <w:r w:rsidR="00CD1EAC">
        <w:t>The court concluded that those rules apply with equal force to a witness who was previously designated as the PMQ for deposition.</w:t>
      </w:r>
      <w:r w:rsidR="001C5F7F" w:rsidRPr="001C5F7F">
        <w:t xml:space="preserve"> </w:t>
      </w:r>
    </w:p>
    <w:p w14:paraId="3A5E260D" w14:textId="21922328" w:rsidR="006127CA" w:rsidRDefault="006127CA" w:rsidP="00884E69">
      <w:pPr>
        <w:spacing w:line="360" w:lineRule="auto"/>
      </w:pPr>
      <w:r>
        <w:tab/>
      </w:r>
      <w:r w:rsidR="00611846">
        <w:t>At the end of trial</w:t>
      </w:r>
      <w:r>
        <w:t xml:space="preserve">, J-MM moved to admit </w:t>
      </w:r>
      <w:r w:rsidR="00333007">
        <w:t>certain</w:t>
      </w:r>
      <w:r>
        <w:t xml:space="preserve"> exhibits</w:t>
      </w:r>
      <w:r w:rsidR="008C1692">
        <w:t xml:space="preserve"> into evidence</w:t>
      </w:r>
      <w:r>
        <w:t xml:space="preserve">. </w:t>
      </w:r>
      <w:r w:rsidR="008B06ED">
        <w:t xml:space="preserve"> </w:t>
      </w:r>
      <w:r w:rsidR="00333007">
        <w:t>One exhibit was</w:t>
      </w:r>
      <w:r w:rsidR="00B46DE2">
        <w:t xml:space="preserve"> a document entitled</w:t>
      </w:r>
      <w:r w:rsidR="00B221E9">
        <w:t xml:space="preserve"> </w:t>
      </w:r>
      <w:r w:rsidR="00B46DE2">
        <w:t>“</w:t>
      </w:r>
      <w:r w:rsidR="00D84070">
        <w:t>Phase 1 Asbestos Cement Pipe Corrosion Study Technical Report</w:t>
      </w:r>
      <w:r w:rsidR="00B46DE2">
        <w:t>”</w:t>
      </w:r>
      <w:r w:rsidR="00D84070">
        <w:t xml:space="preserve"> from EBMUD. </w:t>
      </w:r>
      <w:r w:rsidR="008B06ED">
        <w:t xml:space="preserve"> </w:t>
      </w:r>
      <w:r w:rsidR="00D84070">
        <w:t>The</w:t>
      </w:r>
      <w:r w:rsidR="002D0562">
        <w:t xml:space="preserve"> </w:t>
      </w:r>
      <w:r w:rsidR="00E11CAE">
        <w:t>report</w:t>
      </w:r>
      <w:r w:rsidR="002D0562">
        <w:t xml:space="preserve"> </w:t>
      </w:r>
      <w:r w:rsidR="00CD0FBF">
        <w:t>“discusses the current condition of AC pipes</w:t>
      </w:r>
      <w:r w:rsidR="002D0562">
        <w:t xml:space="preserve"> within the </w:t>
      </w:r>
      <w:proofErr w:type="gramStart"/>
      <w:r w:rsidR="002D0562">
        <w:t>District</w:t>
      </w:r>
      <w:proofErr w:type="gramEnd"/>
      <w:r w:rsidR="00CD0FBF">
        <w:t>” and “summarizes</w:t>
      </w:r>
      <w:r w:rsidR="00223D4D">
        <w:t xml:space="preserve"> previous District AC pipe studies produced by contracted outside consultants</w:t>
      </w:r>
      <w:r w:rsidR="002D0562">
        <w:t xml:space="preserve"> as well as contemporary industry research for programs addressing </w:t>
      </w:r>
      <w:r w:rsidR="00021850">
        <w:t xml:space="preserve">aging </w:t>
      </w:r>
      <w:r w:rsidR="002D0562">
        <w:t>AC pipe infrastructure.”</w:t>
      </w:r>
      <w:r w:rsidR="00223D4D">
        <w:t xml:space="preserve"> </w:t>
      </w:r>
      <w:r w:rsidR="00516C62">
        <w:t xml:space="preserve"> </w:t>
      </w:r>
      <w:r w:rsidR="004B3E38">
        <w:t xml:space="preserve">J-MM presented a declaration from one EBMUD employee </w:t>
      </w:r>
      <w:r w:rsidR="00237D56">
        <w:t xml:space="preserve">(Antonio Martinez) </w:t>
      </w:r>
      <w:r w:rsidR="004B3E38">
        <w:t xml:space="preserve">that purported to authenticate the exhibit.  </w:t>
      </w:r>
      <w:r w:rsidR="00516C62">
        <w:t xml:space="preserve">J-MM </w:t>
      </w:r>
      <w:r w:rsidR="004C4864">
        <w:t xml:space="preserve">also </w:t>
      </w:r>
      <w:r w:rsidR="00516C62">
        <w:lastRenderedPageBreak/>
        <w:t xml:space="preserve">argued that </w:t>
      </w:r>
      <w:r w:rsidR="004313F1">
        <w:t xml:space="preserve">this </w:t>
      </w:r>
      <w:r w:rsidR="00D8516E">
        <w:t>exhibit</w:t>
      </w:r>
      <w:r w:rsidR="004313F1">
        <w:t xml:space="preserve"> was admissible</w:t>
      </w:r>
      <w:r w:rsidR="00516C62">
        <w:t xml:space="preserve"> under the business and official records hearsay exceptions</w:t>
      </w:r>
      <w:r w:rsidR="004C4864">
        <w:t xml:space="preserve">, citing testimony from another EBMUD employee </w:t>
      </w:r>
      <w:r w:rsidR="00237D56">
        <w:t xml:space="preserve">(Carlton Chan) </w:t>
      </w:r>
      <w:r w:rsidR="004C4864">
        <w:t>who performed research used for one section of the report</w:t>
      </w:r>
      <w:r w:rsidR="00516C62">
        <w:t xml:space="preserve">. </w:t>
      </w:r>
      <w:r w:rsidR="008B06ED">
        <w:t xml:space="preserve"> </w:t>
      </w:r>
      <w:r w:rsidR="0099531E">
        <w:t>Cornelius</w:t>
      </w:r>
      <w:r w:rsidR="00FF1B15">
        <w:t xml:space="preserve"> objected </w:t>
      </w:r>
      <w:r w:rsidR="009B0922">
        <w:t xml:space="preserve">to the admission </w:t>
      </w:r>
      <w:r w:rsidR="00226DC2">
        <w:t xml:space="preserve">on multiple grounds, including lack of personal knowledge and inadmissible hearsay. </w:t>
      </w:r>
      <w:r w:rsidR="008B06ED">
        <w:t xml:space="preserve"> </w:t>
      </w:r>
      <w:r w:rsidR="00680BC4">
        <w:t>The</w:t>
      </w:r>
      <w:r w:rsidR="006800CD">
        <w:t xml:space="preserve"> trial</w:t>
      </w:r>
      <w:r w:rsidR="00680BC4">
        <w:t xml:space="preserve"> court excluded the </w:t>
      </w:r>
      <w:r w:rsidR="00830ABB">
        <w:t>exhibit</w:t>
      </w:r>
      <w:r w:rsidR="00680BC4">
        <w:t xml:space="preserve">. </w:t>
      </w:r>
      <w:r w:rsidR="0000533A">
        <w:t xml:space="preserve"> It</w:t>
      </w:r>
      <w:r w:rsidR="000E0C3C">
        <w:t xml:space="preserve"> had</w:t>
      </w:r>
      <w:r w:rsidR="0000533A">
        <w:t xml:space="preserve"> explained that</w:t>
      </w:r>
      <w:r w:rsidR="0000533A" w:rsidRPr="0000533A">
        <w:t xml:space="preserve"> </w:t>
      </w:r>
      <w:r w:rsidR="00EC006A">
        <w:t>Martinez</w:t>
      </w:r>
      <w:r w:rsidR="0000533A">
        <w:t xml:space="preserve"> lacked personal knowledge and could not authenticate the </w:t>
      </w:r>
      <w:r w:rsidR="00830ABB">
        <w:t>exhibit</w:t>
      </w:r>
      <w:r w:rsidR="0000533A">
        <w:t xml:space="preserve"> via declaration, and </w:t>
      </w:r>
      <w:r w:rsidR="00EC006A">
        <w:t>Chan</w:t>
      </w:r>
      <w:r w:rsidR="0000533A">
        <w:t xml:space="preserve"> might </w:t>
      </w:r>
      <w:r w:rsidR="000E0C3C">
        <w:t>have been able</w:t>
      </w:r>
      <w:r w:rsidR="0000533A">
        <w:t xml:space="preserve"> to establish </w:t>
      </w:r>
      <w:r w:rsidR="00866172">
        <w:t>the official records</w:t>
      </w:r>
      <w:r w:rsidR="0000533A">
        <w:t xml:space="preserve"> hearsay exception for </w:t>
      </w:r>
      <w:r w:rsidR="00740C19">
        <w:t>the</w:t>
      </w:r>
      <w:r w:rsidR="0000533A">
        <w:t xml:space="preserve"> section</w:t>
      </w:r>
      <w:r w:rsidR="000F7E14">
        <w:t xml:space="preserve"> of the report</w:t>
      </w:r>
      <w:r w:rsidR="00740C19">
        <w:t xml:space="preserve"> with his research</w:t>
      </w:r>
      <w:r w:rsidR="0000533A">
        <w:t xml:space="preserve">, but not for </w:t>
      </w:r>
      <w:r w:rsidR="000F7E14">
        <w:t>its</w:t>
      </w:r>
      <w:r w:rsidR="0000533A">
        <w:t xml:space="preserve"> remainder. </w:t>
      </w:r>
    </w:p>
    <w:p w14:paraId="312A96AE" w14:textId="442027BD" w:rsidR="00884E69" w:rsidRDefault="00884E69" w:rsidP="00896816">
      <w:pPr>
        <w:spacing w:line="360" w:lineRule="auto"/>
      </w:pPr>
      <w:r>
        <w:tab/>
      </w:r>
      <w:r w:rsidR="00333007">
        <w:t>Another</w:t>
      </w:r>
      <w:r w:rsidR="002E0A27">
        <w:t xml:space="preserve"> exhibit was </w:t>
      </w:r>
      <w:r w:rsidR="00565EA0">
        <w:t xml:space="preserve">a </w:t>
      </w:r>
      <w:r w:rsidR="008E7D46">
        <w:t>P</w:t>
      </w:r>
      <w:r w:rsidR="00565EA0">
        <w:t>ower</w:t>
      </w:r>
      <w:r w:rsidR="008E7D46">
        <w:t>P</w:t>
      </w:r>
      <w:r w:rsidR="00565EA0">
        <w:t>oint</w:t>
      </w:r>
      <w:r w:rsidR="008E7D46">
        <w:t xml:space="preserve"> presentation</w:t>
      </w:r>
      <w:r w:rsidR="00565EA0">
        <w:t xml:space="preserve"> </w:t>
      </w:r>
      <w:r w:rsidR="002E0A27">
        <w:t xml:space="preserve">entitled </w:t>
      </w:r>
      <w:r w:rsidR="00B21356">
        <w:t>“</w:t>
      </w:r>
      <w:r w:rsidR="003D1C86">
        <w:t xml:space="preserve">AC Pipe Failure Study EBMUD Oakland, CA” from JDH Corrosion Consultants, Inc. </w:t>
      </w:r>
      <w:r w:rsidR="008B06ED">
        <w:t xml:space="preserve"> </w:t>
      </w:r>
      <w:r w:rsidR="003D1C86" w:rsidRPr="003D1C86">
        <w:t>J-M</w:t>
      </w:r>
      <w:r w:rsidR="003D1C86">
        <w:t>M</w:t>
      </w:r>
      <w:r w:rsidR="003D1C86" w:rsidRPr="003D1C86">
        <w:t xml:space="preserve"> </w:t>
      </w:r>
      <w:r w:rsidR="001F761C">
        <w:t xml:space="preserve">again submitted a declaration </w:t>
      </w:r>
      <w:r w:rsidR="000D4283">
        <w:t xml:space="preserve">from </w:t>
      </w:r>
      <w:r w:rsidR="00EC006A">
        <w:t>Martinez</w:t>
      </w:r>
      <w:r w:rsidR="00D84B75" w:rsidRPr="00D84B75">
        <w:t xml:space="preserve"> </w:t>
      </w:r>
      <w:r w:rsidR="00D84B75">
        <w:t xml:space="preserve">purporting </w:t>
      </w:r>
      <w:r w:rsidR="00D84B75" w:rsidRPr="003D1C86">
        <w:t xml:space="preserve">to authenticate </w:t>
      </w:r>
      <w:r w:rsidR="00D84B75">
        <w:t xml:space="preserve">the exhibit. </w:t>
      </w:r>
      <w:r w:rsidR="008B06ED">
        <w:t xml:space="preserve"> </w:t>
      </w:r>
      <w:r w:rsidR="00D84B75">
        <w:t xml:space="preserve">J-MM also argued that the </w:t>
      </w:r>
      <w:r w:rsidR="00F1557A">
        <w:t>exhibit</w:t>
      </w:r>
      <w:r w:rsidR="00D84B75">
        <w:t xml:space="preserve"> was admissible under the business and official records hearsay </w:t>
      </w:r>
      <w:r w:rsidR="00D26890">
        <w:t xml:space="preserve">exceptions. </w:t>
      </w:r>
      <w:r w:rsidR="008B06ED">
        <w:t xml:space="preserve"> </w:t>
      </w:r>
      <w:r w:rsidR="00D26890">
        <w:t>J-MM offered a</w:t>
      </w:r>
      <w:r w:rsidR="003D1C86" w:rsidRPr="003D1C86">
        <w:t xml:space="preserve"> declaration from </w:t>
      </w:r>
      <w:r w:rsidR="00EC006A">
        <w:t>J. Darby Howard, Jr., the</w:t>
      </w:r>
      <w:r w:rsidR="00634CAE">
        <w:t xml:space="preserve"> president of the consulting firm.</w:t>
      </w:r>
      <w:r w:rsidR="003D1C86" w:rsidRPr="003D1C86">
        <w:t xml:space="preserve"> </w:t>
      </w:r>
      <w:r w:rsidR="008B06ED">
        <w:t xml:space="preserve"> </w:t>
      </w:r>
      <w:r w:rsidR="0099531E">
        <w:t>Cornelius</w:t>
      </w:r>
      <w:r w:rsidR="002E0A27">
        <w:t xml:space="preserve"> </w:t>
      </w:r>
      <w:r w:rsidR="007F6056">
        <w:t>objected that</w:t>
      </w:r>
      <w:r w:rsidR="009B78BA">
        <w:t xml:space="preserve"> </w:t>
      </w:r>
      <w:r w:rsidR="005C2B9B">
        <w:t>the</w:t>
      </w:r>
      <w:r w:rsidR="002E0A27">
        <w:t xml:space="preserve"> </w:t>
      </w:r>
      <w:r w:rsidR="0098191D">
        <w:t>declaration</w:t>
      </w:r>
      <w:r w:rsidR="00874F56">
        <w:t>s</w:t>
      </w:r>
      <w:r w:rsidR="000A63C0">
        <w:t xml:space="preserve"> </w:t>
      </w:r>
      <w:r w:rsidR="00874F56">
        <w:t>were</w:t>
      </w:r>
      <w:r w:rsidR="002E0A27">
        <w:t xml:space="preserve"> hearsay</w:t>
      </w:r>
      <w:r w:rsidR="0090553E">
        <w:t>.</w:t>
      </w:r>
      <w:r w:rsidR="002E0A27">
        <w:t xml:space="preserve"> </w:t>
      </w:r>
      <w:r w:rsidR="008E7D46" w:rsidRPr="008E7D46">
        <w:t xml:space="preserve"> </w:t>
      </w:r>
      <w:r w:rsidR="008E7D46">
        <w:t xml:space="preserve">The trial court </w:t>
      </w:r>
      <w:r w:rsidR="006C776C">
        <w:t>did not admit</w:t>
      </w:r>
      <w:r w:rsidR="008E7D46">
        <w:t xml:space="preserve"> the </w:t>
      </w:r>
      <w:r w:rsidR="00D93125">
        <w:t>exhibit</w:t>
      </w:r>
      <w:r w:rsidR="008E7D46">
        <w:t>.</w:t>
      </w:r>
      <w:r w:rsidR="00896816" w:rsidRPr="00896816">
        <w:t xml:space="preserve"> </w:t>
      </w:r>
    </w:p>
    <w:p w14:paraId="3ABB14C9" w14:textId="13F942EB" w:rsidR="0054304A" w:rsidRDefault="000F4C2D" w:rsidP="0068384B">
      <w:pPr>
        <w:keepNext/>
        <w:spacing w:line="360" w:lineRule="auto"/>
      </w:pPr>
      <w:r>
        <w:tab/>
      </w:r>
      <w:r w:rsidR="00333007">
        <w:t xml:space="preserve">J-MM also sought to admit </w:t>
      </w:r>
      <w:r w:rsidR="00D72B39">
        <w:t xml:space="preserve">various </w:t>
      </w:r>
      <w:r w:rsidR="00677847">
        <w:t xml:space="preserve">documents purportedly related to </w:t>
      </w:r>
      <w:r w:rsidR="0011036C">
        <w:t>EBMUD</w:t>
      </w:r>
      <w:r w:rsidR="00CF17B8">
        <w:t>’s purchase</w:t>
      </w:r>
      <w:r w:rsidR="0011036C">
        <w:t xml:space="preserve"> requirement contracts with</w:t>
      </w:r>
      <w:r w:rsidR="00DC0597">
        <w:t xml:space="preserve"> </w:t>
      </w:r>
      <w:r w:rsidR="0011036C">
        <w:t>CertainTeed</w:t>
      </w:r>
      <w:r w:rsidR="00CF17B8">
        <w:t xml:space="preserve"> and</w:t>
      </w:r>
      <w:r w:rsidR="0011036C">
        <w:t xml:space="preserve"> Manville</w:t>
      </w:r>
      <w:r w:rsidR="00CF17B8" w:rsidRPr="00CF17B8">
        <w:t xml:space="preserve"> </w:t>
      </w:r>
      <w:r w:rsidR="00CF17B8">
        <w:t>for asbestos-cement pipe during the 1980s</w:t>
      </w:r>
      <w:r w:rsidR="0011036C">
        <w:t xml:space="preserve">, </w:t>
      </w:r>
      <w:r w:rsidR="00CF17B8">
        <w:t>as well as a proposal with</w:t>
      </w:r>
      <w:r w:rsidR="0011036C">
        <w:t xml:space="preserve"> J-M A/C Corporation</w:t>
      </w:r>
      <w:r w:rsidR="00C2628E">
        <w:t xml:space="preserve">. </w:t>
      </w:r>
      <w:r w:rsidR="0093104F">
        <w:t xml:space="preserve"> </w:t>
      </w:r>
      <w:r w:rsidR="00F1557A">
        <w:t xml:space="preserve">J-MM argued that </w:t>
      </w:r>
      <w:r w:rsidR="00A773C7">
        <w:t>the</w:t>
      </w:r>
      <w:r w:rsidR="003B795A">
        <w:t>se</w:t>
      </w:r>
      <w:r w:rsidR="00A773C7">
        <w:t xml:space="preserve"> </w:t>
      </w:r>
      <w:r w:rsidR="003B795A">
        <w:t>documents would have been authenticated by testimony from EBMUD employee Kelley Smith if he had been allowed to testify about matters outside his personal knowledge.</w:t>
      </w:r>
      <w:r w:rsidR="0093104F">
        <w:t xml:space="preserve"> </w:t>
      </w:r>
      <w:r w:rsidR="003B795A">
        <w:t xml:space="preserve"> </w:t>
      </w:r>
      <w:r w:rsidR="00FC1035">
        <w:t xml:space="preserve">Smith testified </w:t>
      </w:r>
      <w:r w:rsidR="00B27C01">
        <w:t xml:space="preserve">only </w:t>
      </w:r>
      <w:r w:rsidR="00276812">
        <w:t>about</w:t>
      </w:r>
      <w:r w:rsidR="00FC1035">
        <w:t xml:space="preserve"> </w:t>
      </w:r>
      <w:r w:rsidR="009336B4">
        <w:t>his involve</w:t>
      </w:r>
      <w:r w:rsidR="008F4629">
        <w:t>ment</w:t>
      </w:r>
      <w:r w:rsidR="009336B4">
        <w:t xml:space="preserve"> </w:t>
      </w:r>
      <w:r w:rsidR="008F4629">
        <w:t>producing</w:t>
      </w:r>
      <w:r w:rsidR="00FC1035">
        <w:t xml:space="preserve"> records in response to a subpoena</w:t>
      </w:r>
      <w:r w:rsidR="00AA4410">
        <w:t xml:space="preserve">; </w:t>
      </w:r>
      <w:r w:rsidR="00983239">
        <w:t xml:space="preserve">the trial court sustained various objections on the grounds that </w:t>
      </w:r>
      <w:r w:rsidR="00A74EE4">
        <w:t>Smith</w:t>
      </w:r>
      <w:r w:rsidR="00AA4410">
        <w:t xml:space="preserve"> did not have personal knowledge as to the creation or maintenance of such records</w:t>
      </w:r>
      <w:r w:rsidR="00FC1035">
        <w:t xml:space="preserve">. </w:t>
      </w:r>
      <w:r w:rsidR="0085047F">
        <w:t xml:space="preserve"> </w:t>
      </w:r>
      <w:r w:rsidR="003B795A">
        <w:t xml:space="preserve">J-MM also argued that the exhibits were admissible under the </w:t>
      </w:r>
      <w:r w:rsidR="003B795A">
        <w:lastRenderedPageBreak/>
        <w:t xml:space="preserve">business records, official records, and ancient writings hearsay exceptions. </w:t>
      </w:r>
      <w:r w:rsidR="0093104F">
        <w:t xml:space="preserve"> </w:t>
      </w:r>
      <w:r w:rsidR="0099531E">
        <w:t>Cornelius</w:t>
      </w:r>
      <w:r w:rsidR="00055BE0">
        <w:t xml:space="preserve"> objected</w:t>
      </w:r>
      <w:r w:rsidR="003E6AE9">
        <w:t xml:space="preserve"> </w:t>
      </w:r>
      <w:r w:rsidR="001E4685">
        <w:t>that any such exception applied</w:t>
      </w:r>
      <w:r w:rsidR="00713E61">
        <w:t>.  The trial court excluded the exhibits.</w:t>
      </w:r>
      <w:r w:rsidR="00713E61" w:rsidRPr="00896816">
        <w:t xml:space="preserve"> </w:t>
      </w:r>
    </w:p>
    <w:p w14:paraId="58CDF144" w14:textId="4F3184F4" w:rsidR="009624B2" w:rsidRPr="008B31BC" w:rsidRDefault="0068384B" w:rsidP="00965698">
      <w:pPr>
        <w:keepNext/>
        <w:spacing w:line="360" w:lineRule="auto"/>
        <w:rPr>
          <w:b/>
          <w:bCs/>
          <w:i/>
          <w:iCs/>
        </w:rPr>
      </w:pPr>
      <w:r w:rsidRPr="008B31BC">
        <w:rPr>
          <w:b/>
          <w:bCs/>
        </w:rPr>
        <w:tab/>
      </w:r>
      <w:r w:rsidR="008B31BC" w:rsidRPr="008B31BC">
        <w:rPr>
          <w:b/>
          <w:bCs/>
        </w:rPr>
        <w:t xml:space="preserve">B.  </w:t>
      </w:r>
      <w:r w:rsidR="0060395C" w:rsidRPr="008B31BC">
        <w:rPr>
          <w:b/>
          <w:bCs/>
          <w:i/>
          <w:iCs/>
        </w:rPr>
        <w:t>Framework</w:t>
      </w:r>
      <w:r w:rsidR="009624B2" w:rsidRPr="008B31BC">
        <w:rPr>
          <w:b/>
          <w:bCs/>
          <w:i/>
          <w:iCs/>
        </w:rPr>
        <w:t xml:space="preserve"> and Standard of Review</w:t>
      </w:r>
    </w:p>
    <w:p w14:paraId="61881A8E" w14:textId="45B54028" w:rsidR="00F95AB7" w:rsidRDefault="00875423" w:rsidP="00C80EE1">
      <w:pPr>
        <w:spacing w:line="360" w:lineRule="auto"/>
      </w:pPr>
      <w:r>
        <w:tab/>
      </w:r>
      <w:r w:rsidR="00F95AB7" w:rsidRPr="00F95AB7">
        <w:t>We review</w:t>
      </w:r>
      <w:r w:rsidR="00F95AB7">
        <w:t xml:space="preserve"> </w:t>
      </w:r>
      <w:r w:rsidR="006E4C9E">
        <w:t>rulings</w:t>
      </w:r>
      <w:r w:rsidR="00F95AB7">
        <w:t xml:space="preserve"> regarding the admissibility of evidence </w:t>
      </w:r>
      <w:r w:rsidR="00756ED1">
        <w:t xml:space="preserve">at trial </w:t>
      </w:r>
      <w:r w:rsidR="00F95AB7" w:rsidRPr="00F95AB7">
        <w:t xml:space="preserve">for abuse of discretion. </w:t>
      </w:r>
      <w:r w:rsidR="00F95AB7">
        <w:t xml:space="preserve"> </w:t>
      </w:r>
      <w:r w:rsidR="00F95AB7" w:rsidRPr="00F95AB7">
        <w:t>(</w:t>
      </w:r>
      <w:proofErr w:type="spellStart"/>
      <w:r w:rsidR="00F95AB7" w:rsidRPr="00F95AB7">
        <w:rPr>
          <w:i/>
          <w:iCs/>
        </w:rPr>
        <w:t>Molenda</w:t>
      </w:r>
      <w:proofErr w:type="spellEnd"/>
      <w:r w:rsidR="00F95AB7" w:rsidRPr="00F95AB7">
        <w:rPr>
          <w:i/>
          <w:iCs/>
        </w:rPr>
        <w:t xml:space="preserve"> v. Department of Motor Vehicles</w:t>
      </w:r>
      <w:r w:rsidR="00F95AB7" w:rsidRPr="00F95AB7">
        <w:t xml:space="preserve"> (2009) 172 Cal.App.4th 974, 986.) </w:t>
      </w:r>
      <w:r w:rsidR="00F95AB7">
        <w:t xml:space="preserve"> </w:t>
      </w:r>
      <w:proofErr w:type="gramStart"/>
      <w:r w:rsidR="00F95AB7" w:rsidRPr="00F95AB7">
        <w:t>“</w:t>
      </w:r>
      <w:r w:rsidR="00F95AB7">
        <w:t> </w:t>
      </w:r>
      <w:r w:rsidR="00F95AB7" w:rsidRPr="00F95AB7">
        <w:t>‘</w:t>
      </w:r>
      <w:proofErr w:type="gramEnd"/>
      <w:r w:rsidR="00F95AB7" w:rsidRPr="00F95AB7">
        <w:t>[T]he appropriate test of abuse of discretion is whether or not the trial court exceeded the bounds of reason, all of the circumstances before it being considered.’</w:t>
      </w:r>
      <w:r w:rsidR="006B6BBB">
        <w:t xml:space="preserve"> ”  </w:t>
      </w:r>
      <w:r w:rsidR="006B6BBB" w:rsidRPr="00F95AB7">
        <w:t>(</w:t>
      </w:r>
      <w:r w:rsidR="006B6BBB" w:rsidRPr="006B6BBB">
        <w:rPr>
          <w:i/>
          <w:iCs/>
        </w:rPr>
        <w:t>Ibid</w:t>
      </w:r>
      <w:r w:rsidR="006B6BBB" w:rsidRPr="00F95AB7">
        <w:t>.)</w:t>
      </w:r>
      <w:r w:rsidR="006B6BBB">
        <w:t xml:space="preserve">  “</w:t>
      </w:r>
      <w:r w:rsidR="00F95AB7" w:rsidRPr="00F95AB7">
        <w:t>Appellate courts will disturb discretionary trial court rulings only upon a showing of a clear case of abuse and a miscarriage of justice.”</w:t>
      </w:r>
      <w:r w:rsidR="006B6BBB">
        <w:t xml:space="preserve"> </w:t>
      </w:r>
      <w:r w:rsidR="00F95AB7" w:rsidRPr="00F95AB7">
        <w:t xml:space="preserve"> (</w:t>
      </w:r>
      <w:r w:rsidR="00F95AB7" w:rsidRPr="006B6BBB">
        <w:rPr>
          <w:i/>
          <w:iCs/>
        </w:rPr>
        <w:t>Ibid</w:t>
      </w:r>
      <w:r w:rsidR="00F95AB7" w:rsidRPr="00F95AB7">
        <w:t>.)</w:t>
      </w:r>
    </w:p>
    <w:p w14:paraId="50441E22" w14:textId="3D9411C9" w:rsidR="004E5CCD" w:rsidRPr="008B31BC" w:rsidRDefault="009624B2" w:rsidP="00C80EE1">
      <w:pPr>
        <w:spacing w:line="360" w:lineRule="auto"/>
        <w:rPr>
          <w:b/>
          <w:bCs/>
          <w:i/>
          <w:iCs/>
          <w:u w:val="single"/>
        </w:rPr>
      </w:pPr>
      <w:r w:rsidRPr="008B31BC">
        <w:rPr>
          <w:b/>
          <w:bCs/>
        </w:rPr>
        <w:tab/>
      </w:r>
      <w:r w:rsidR="008B31BC" w:rsidRPr="008B31BC">
        <w:rPr>
          <w:b/>
          <w:bCs/>
        </w:rPr>
        <w:t xml:space="preserve">C.  </w:t>
      </w:r>
      <w:r w:rsidRPr="008B31BC">
        <w:rPr>
          <w:b/>
          <w:bCs/>
          <w:i/>
          <w:iCs/>
        </w:rPr>
        <w:t>Analysis</w:t>
      </w:r>
    </w:p>
    <w:p w14:paraId="0C00BB14" w14:textId="0BF0DCCD" w:rsidR="00FC7008" w:rsidRDefault="006B2B92" w:rsidP="00C80EE1">
      <w:pPr>
        <w:spacing w:line="360" w:lineRule="auto"/>
      </w:pPr>
      <w:r>
        <w:tab/>
      </w:r>
      <w:r w:rsidR="005A3B82">
        <w:t>J-MM</w:t>
      </w:r>
      <w:r w:rsidR="003233CC">
        <w:t xml:space="preserve"> </w:t>
      </w:r>
      <w:r w:rsidR="00A06CDD">
        <w:t xml:space="preserve">challenges both the </w:t>
      </w:r>
      <w:r w:rsidR="00FF1B15">
        <w:t>Trial Testimony Order</w:t>
      </w:r>
      <w:r w:rsidR="008051D3">
        <w:t xml:space="preserve"> as it relates to requiring personal knowledge for witness testimony at trial</w:t>
      </w:r>
      <w:r w:rsidR="00A06CDD">
        <w:t xml:space="preserve">, as well as </w:t>
      </w:r>
      <w:r w:rsidR="00FF1B15">
        <w:t xml:space="preserve">the </w:t>
      </w:r>
      <w:r w:rsidR="00A06CDD">
        <w:t xml:space="preserve">exclusion of the </w:t>
      </w:r>
      <w:r w:rsidR="000A022A">
        <w:t xml:space="preserve">report, </w:t>
      </w:r>
      <w:r w:rsidR="00A06CDD">
        <w:t>PowerPoint presentation</w:t>
      </w:r>
      <w:r w:rsidR="000A022A">
        <w:t xml:space="preserve">, and contract exhibits.  </w:t>
      </w:r>
      <w:r w:rsidR="0002261A">
        <w:t xml:space="preserve">On the </w:t>
      </w:r>
      <w:r w:rsidR="00FF1B15">
        <w:t>Trial Testimony Order</w:t>
      </w:r>
      <w:r w:rsidR="0002261A">
        <w:t>,</w:t>
      </w:r>
      <w:r w:rsidR="00BA2619">
        <w:t xml:space="preserve"> J-MM</w:t>
      </w:r>
      <w:r w:rsidR="000A022A">
        <w:t xml:space="preserve"> argues that the trial court </w:t>
      </w:r>
      <w:r w:rsidR="00732C50">
        <w:t xml:space="preserve">had a “warped view” </w:t>
      </w:r>
      <w:r w:rsidR="00FE462F">
        <w:t xml:space="preserve">and interpreted </w:t>
      </w:r>
      <w:r w:rsidR="00A97AC3">
        <w:t>personal knowledge</w:t>
      </w:r>
      <w:r w:rsidR="00FE462F">
        <w:t xml:space="preserve"> </w:t>
      </w:r>
      <w:r w:rsidR="000A022A">
        <w:t>“</w:t>
      </w:r>
      <w:r w:rsidR="000A022A" w:rsidRPr="00B60E92">
        <w:t>too narrowly</w:t>
      </w:r>
      <w:r w:rsidR="000A022A">
        <w:t>”</w:t>
      </w:r>
      <w:r w:rsidR="00042423">
        <w:t xml:space="preserve"> for witnesses who had </w:t>
      </w:r>
      <w:r w:rsidR="00621C7E">
        <w:t>been designated as the PMQ</w:t>
      </w:r>
      <w:r w:rsidR="00621C7E" w:rsidRPr="00621C7E">
        <w:t xml:space="preserve"> </w:t>
      </w:r>
      <w:r w:rsidR="00621C7E">
        <w:t>for deposition</w:t>
      </w:r>
      <w:r w:rsidR="00042423">
        <w:t xml:space="preserve">, </w:t>
      </w:r>
      <w:r w:rsidR="008E5E75">
        <w:t>which</w:t>
      </w:r>
      <w:r w:rsidR="00042423">
        <w:t xml:space="preserve"> </w:t>
      </w:r>
      <w:r w:rsidR="00621C7E">
        <w:t xml:space="preserve">prevented J-MM from presenting evidence </w:t>
      </w:r>
      <w:r w:rsidR="005F4F01">
        <w:t xml:space="preserve">to authenticate the </w:t>
      </w:r>
      <w:r w:rsidR="00202922">
        <w:t xml:space="preserve">exhibits </w:t>
      </w:r>
      <w:r w:rsidR="005F4F01">
        <w:t>and establish</w:t>
      </w:r>
      <w:r w:rsidR="00621C7E">
        <w:t xml:space="preserve"> </w:t>
      </w:r>
      <w:r w:rsidR="00202922">
        <w:t>applicable</w:t>
      </w:r>
      <w:r w:rsidR="00621C7E">
        <w:t xml:space="preserve"> hearsay exceptions</w:t>
      </w:r>
      <w:r w:rsidR="00042423">
        <w:t>.</w:t>
      </w:r>
      <w:r w:rsidR="000A022A">
        <w:t xml:space="preserve"> </w:t>
      </w:r>
      <w:r w:rsidR="0093104F">
        <w:t xml:space="preserve"> </w:t>
      </w:r>
      <w:r w:rsidR="002357DA">
        <w:t xml:space="preserve">We disagree.  </w:t>
      </w:r>
    </w:p>
    <w:p w14:paraId="7414C586" w14:textId="6089D197" w:rsidR="00CD104D" w:rsidRDefault="005D0CC5" w:rsidP="00C80EE1">
      <w:pPr>
        <w:spacing w:line="360" w:lineRule="auto"/>
      </w:pPr>
      <w:r>
        <w:tab/>
        <w:t>“</w:t>
      </w:r>
      <w:r w:rsidRPr="005D0CC5">
        <w:t>The Evidence Code recognizes only two types of witnesses: lay witnesses and expert witnesses.</w:t>
      </w:r>
      <w:r w:rsidR="00D4520B">
        <w:t xml:space="preserve">”  </w:t>
      </w:r>
      <w:r w:rsidR="00E0308D">
        <w:t>(</w:t>
      </w:r>
      <w:r w:rsidR="00E0308D" w:rsidRPr="00A75110">
        <w:rPr>
          <w:i/>
          <w:iCs/>
        </w:rPr>
        <w:t>LAOSD Asbestos Cases</w:t>
      </w:r>
      <w:r w:rsidR="00E0308D">
        <w:t xml:space="preserve"> (2023) 87 Cal.App.5th 939, 947.)  </w:t>
      </w:r>
      <w:r w:rsidR="00D4520B">
        <w:t>T</w:t>
      </w:r>
      <w:r w:rsidRPr="005D0CC5">
        <w:t>he testimony of a</w:t>
      </w:r>
      <w:r w:rsidR="00E0308D">
        <w:t xml:space="preserve"> lay</w:t>
      </w:r>
      <w:r w:rsidRPr="005D0CC5">
        <w:t xml:space="preserve"> witness concerning a particular matter is inadmissible unless he has personal knowledge of the matter. </w:t>
      </w:r>
      <w:r w:rsidR="003B676D">
        <w:t xml:space="preserve"> </w:t>
      </w:r>
      <w:r w:rsidRPr="005D0CC5">
        <w:t>(Evid. Code, §</w:t>
      </w:r>
      <w:r w:rsidR="00021850">
        <w:t> </w:t>
      </w:r>
      <w:r w:rsidRPr="005D0CC5">
        <w:t xml:space="preserve">702, subd. (a).) </w:t>
      </w:r>
      <w:r w:rsidR="00C67976">
        <w:t xml:space="preserve"> “</w:t>
      </w:r>
      <w:r w:rsidR="00C67976" w:rsidRPr="00C67976">
        <w:t xml:space="preserve">There is no special category of </w:t>
      </w:r>
      <w:r w:rsidR="00C67976">
        <w:t>‘</w:t>
      </w:r>
      <w:r w:rsidR="00C67976" w:rsidRPr="00C67976">
        <w:t>corporate representative</w:t>
      </w:r>
      <w:r w:rsidR="00C67976">
        <w:t>’</w:t>
      </w:r>
      <w:r w:rsidR="00C67976" w:rsidRPr="00C67976">
        <w:t xml:space="preserve"> witness,</w:t>
      </w:r>
      <w:r w:rsidR="00C67976">
        <w:t xml:space="preserve">” </w:t>
      </w:r>
      <w:r w:rsidR="00CD104D">
        <w:t xml:space="preserve">or </w:t>
      </w:r>
      <w:proofErr w:type="gramStart"/>
      <w:r w:rsidR="00CD104D">
        <w:t>“ ‘</w:t>
      </w:r>
      <w:proofErr w:type="gramEnd"/>
      <w:r w:rsidR="00CD104D">
        <w:t>person previously designated as most knowledgeable’ witness.”  (</w:t>
      </w:r>
      <w:r w:rsidR="00CD104D" w:rsidRPr="00A75110">
        <w:rPr>
          <w:i/>
          <w:iCs/>
        </w:rPr>
        <w:t>LAOSD Asbestos Cases</w:t>
      </w:r>
      <w:r w:rsidR="00CD104D">
        <w:t>, at p.</w:t>
      </w:r>
      <w:r w:rsidR="00021850">
        <w:t xml:space="preserve"> </w:t>
      </w:r>
      <w:r w:rsidR="00CD104D">
        <w:t>947.)</w:t>
      </w:r>
      <w:r w:rsidR="00074F18">
        <w:t xml:space="preserve">  The </w:t>
      </w:r>
      <w:r w:rsidR="00D47D43">
        <w:t xml:space="preserve">term </w:t>
      </w:r>
      <w:r w:rsidR="00D47D43">
        <w:lastRenderedPageBreak/>
        <w:t xml:space="preserve">“person most qualified” is used in the Civil Discovery Act to describe the individual </w:t>
      </w:r>
      <w:r w:rsidR="00C75BE1">
        <w:t xml:space="preserve">who should be designated and produced at deposition </w:t>
      </w:r>
      <w:r w:rsidR="00D47D43">
        <w:t>when the deponent is an entity that is not a natural person.</w:t>
      </w:r>
      <w:r w:rsidR="00AE48F2">
        <w:t xml:space="preserve">  (</w:t>
      </w:r>
      <w:r w:rsidR="00200CE7" w:rsidRPr="00A75110">
        <w:rPr>
          <w:i/>
          <w:iCs/>
        </w:rPr>
        <w:t>LAOSD Asbestos Cases</w:t>
      </w:r>
      <w:r w:rsidR="00200CE7">
        <w:t>,</w:t>
      </w:r>
      <w:r w:rsidR="00AE48F2">
        <w:t xml:space="preserve"> at p.</w:t>
      </w:r>
      <w:r w:rsidR="00021850">
        <w:t xml:space="preserve"> </w:t>
      </w:r>
      <w:r w:rsidR="00AE48F2">
        <w:t>948.)  “</w:t>
      </w:r>
      <w:r w:rsidR="00AE48F2" w:rsidRPr="00AE48F2">
        <w:t>To state what should be obvious, the purpose of discovery is to permit a party to learn what information the opposing party possesses on the subject matter of the lawsuit, and the scope of discovery is not limited to admissible evidence.</w:t>
      </w:r>
      <w:r w:rsidR="00AE48F2">
        <w:t>”  (</w:t>
      </w:r>
      <w:r w:rsidR="00AE48F2">
        <w:rPr>
          <w:i/>
          <w:iCs/>
        </w:rPr>
        <w:t>Ibid.</w:t>
      </w:r>
      <w:r w:rsidR="00AE48F2">
        <w:t xml:space="preserve">)  </w:t>
      </w:r>
      <w:r w:rsidR="00183008">
        <w:t>At t</w:t>
      </w:r>
      <w:r w:rsidR="00AE48F2">
        <w:t xml:space="preserve">rial, however, </w:t>
      </w:r>
      <w:r w:rsidR="00183008">
        <w:t xml:space="preserve">testimony </w:t>
      </w:r>
      <w:r w:rsidR="00AE48F2">
        <w:t>is</w:t>
      </w:r>
      <w:r w:rsidR="00183008">
        <w:t xml:space="preserve"> </w:t>
      </w:r>
      <w:r w:rsidR="00861072">
        <w:t>bound by</w:t>
      </w:r>
      <w:r w:rsidR="00CD1AE3">
        <w:t xml:space="preserve"> the rules of evidence</w:t>
      </w:r>
      <w:r w:rsidR="000B7DDB">
        <w:t xml:space="preserve">, including </w:t>
      </w:r>
      <w:r w:rsidR="00B66F3A">
        <w:t>that</w:t>
      </w:r>
      <w:r w:rsidR="00CB5716">
        <w:t xml:space="preserve"> lay witness</w:t>
      </w:r>
      <w:r w:rsidR="00B672FF">
        <w:t>es</w:t>
      </w:r>
      <w:r w:rsidR="00B66F3A">
        <w:t xml:space="preserve"> </w:t>
      </w:r>
      <w:r w:rsidR="002D53E7">
        <w:t>testify to facts within their personal knowledge</w:t>
      </w:r>
      <w:r w:rsidR="00CD1AE3">
        <w:t>.  (</w:t>
      </w:r>
      <w:r w:rsidR="00CD1AE3">
        <w:rPr>
          <w:i/>
          <w:iCs/>
        </w:rPr>
        <w:t>Ibid.</w:t>
      </w:r>
      <w:r w:rsidR="00CD1AE3">
        <w:t>)</w:t>
      </w:r>
      <w:r w:rsidR="005428CA">
        <w:t xml:space="preserve">  The trial court </w:t>
      </w:r>
      <w:r w:rsidR="0054292E">
        <w:t xml:space="preserve">here </w:t>
      </w:r>
      <w:r w:rsidR="005428CA">
        <w:t xml:space="preserve">did not abuse its discretion in </w:t>
      </w:r>
      <w:r w:rsidR="00BB1E8E">
        <w:t>issuing</w:t>
      </w:r>
      <w:r w:rsidR="005428CA">
        <w:t xml:space="preserve"> an order</w:t>
      </w:r>
      <w:r w:rsidR="00BD0881">
        <w:t xml:space="preserve"> to that effect</w:t>
      </w:r>
      <w:r w:rsidR="005428CA">
        <w:t>.</w:t>
      </w:r>
    </w:p>
    <w:p w14:paraId="50F51DF4" w14:textId="079D0C99" w:rsidR="00066CF5" w:rsidRDefault="0066411F" w:rsidP="00C80EE1">
      <w:pPr>
        <w:spacing w:line="360" w:lineRule="auto"/>
      </w:pPr>
      <w:r>
        <w:tab/>
      </w:r>
      <w:r w:rsidR="008A7339">
        <w:t xml:space="preserve">On </w:t>
      </w:r>
      <w:r w:rsidR="00F32A4E">
        <w:t xml:space="preserve">the </w:t>
      </w:r>
      <w:r w:rsidR="008A7339">
        <w:t xml:space="preserve">admissibility of the </w:t>
      </w:r>
      <w:r w:rsidR="00F32A4E">
        <w:t xml:space="preserve">report, </w:t>
      </w:r>
      <w:r w:rsidR="004A126A">
        <w:t xml:space="preserve">J-MM argues that the trial court </w:t>
      </w:r>
      <w:r w:rsidR="0074496A">
        <w:t>“misapprehended</w:t>
      </w:r>
      <w:r w:rsidR="003C7510">
        <w:t>”</w:t>
      </w:r>
      <w:r w:rsidR="0074496A">
        <w:t xml:space="preserve"> the official records </w:t>
      </w:r>
      <w:r w:rsidR="003C7510">
        <w:t>hearsay exception</w:t>
      </w:r>
      <w:r w:rsidR="0074496A">
        <w:t>.</w:t>
      </w:r>
      <w:r w:rsidR="001109E0">
        <w:t xml:space="preserve"> </w:t>
      </w:r>
      <w:r w:rsidR="0093104F">
        <w:t xml:space="preserve"> </w:t>
      </w:r>
      <w:r w:rsidR="00F16B58">
        <w:t xml:space="preserve">Pursuant to </w:t>
      </w:r>
      <w:r w:rsidR="00BC37A7">
        <w:t>Evidence Code section 1280</w:t>
      </w:r>
      <w:r w:rsidR="00F16B58">
        <w:t>, a writing made as a record of an act, conditio</w:t>
      </w:r>
      <w:r w:rsidR="00A75548">
        <w:t>n</w:t>
      </w:r>
      <w:r w:rsidR="00F16B58">
        <w:t xml:space="preserve">, </w:t>
      </w:r>
      <w:r w:rsidR="00A75548">
        <w:t>or event is not inadmissible</w:t>
      </w:r>
      <w:r w:rsidR="00BC37A7">
        <w:t xml:space="preserve"> </w:t>
      </w:r>
      <w:r w:rsidR="00021850">
        <w:t xml:space="preserve">by the </w:t>
      </w:r>
      <w:r w:rsidR="00BC37A7">
        <w:t xml:space="preserve">hearsay rule </w:t>
      </w:r>
      <w:r w:rsidR="00E30765">
        <w:t xml:space="preserve">if </w:t>
      </w:r>
      <w:r w:rsidR="00BC37A7">
        <w:t>(</w:t>
      </w:r>
      <w:r w:rsidR="00E30765">
        <w:t>a</w:t>
      </w:r>
      <w:r w:rsidR="00BC37A7">
        <w:t>)</w:t>
      </w:r>
      <w:r w:rsidR="00021850">
        <w:t xml:space="preserve"> </w:t>
      </w:r>
      <w:r w:rsidR="00E30765">
        <w:t>the writing was “made by and wi</w:t>
      </w:r>
      <w:r w:rsidR="00BC37A7">
        <w:t>thin the scope of duty of a public employee,” (b)</w:t>
      </w:r>
      <w:r w:rsidR="00021850">
        <w:t xml:space="preserve"> </w:t>
      </w:r>
      <w:r w:rsidR="00E30765">
        <w:t xml:space="preserve">the writing was made </w:t>
      </w:r>
      <w:r w:rsidR="00BC37A7">
        <w:t>“at or near the time of the act, condition, or event,” and (c) “</w:t>
      </w:r>
      <w:r w:rsidR="00021850">
        <w:t>[</w:t>
      </w:r>
      <w:r w:rsidR="00BC37A7">
        <w:t>t</w:t>
      </w:r>
      <w:r w:rsidR="00021850">
        <w:t>]</w:t>
      </w:r>
      <w:r w:rsidR="00BC37A7">
        <w:t>he sources of information and method and time of preparation were such as to indicate its trustworthiness.</w:t>
      </w:r>
      <w:r w:rsidR="00E30765">
        <w:t xml:space="preserve">”  </w:t>
      </w:r>
      <w:r w:rsidR="00A27B83">
        <w:t>J-MM contends that t</w:t>
      </w:r>
      <w:r w:rsidR="00E30765">
        <w:t xml:space="preserve">he trial court </w:t>
      </w:r>
      <w:r w:rsidR="00B3279C">
        <w:t>improperly</w:t>
      </w:r>
      <w:r w:rsidR="00A27B83">
        <w:t xml:space="preserve"> </w:t>
      </w:r>
      <w:r w:rsidR="009371B3">
        <w:t>exclu</w:t>
      </w:r>
      <w:r w:rsidR="00B3279C">
        <w:t>ded</w:t>
      </w:r>
      <w:r w:rsidR="009371B3">
        <w:t xml:space="preserve"> the exhibit </w:t>
      </w:r>
      <w:proofErr w:type="gramStart"/>
      <w:r w:rsidR="009371B3">
        <w:t>on the basis of</w:t>
      </w:r>
      <w:proofErr w:type="gramEnd"/>
      <w:r w:rsidR="009371B3">
        <w:t xml:space="preserve"> the third elemen</w:t>
      </w:r>
      <w:r w:rsidR="00263DC6">
        <w:t>t</w:t>
      </w:r>
      <w:r w:rsidR="00E30765">
        <w:t xml:space="preserve">. </w:t>
      </w:r>
    </w:p>
    <w:p w14:paraId="0B480CF7" w14:textId="203683F4" w:rsidR="0066411F" w:rsidRPr="0016722F" w:rsidRDefault="00066CF5" w:rsidP="00C80EE1">
      <w:pPr>
        <w:spacing w:line="360" w:lineRule="auto"/>
      </w:pPr>
      <w:r>
        <w:tab/>
      </w:r>
      <w:r w:rsidR="00BF57B2">
        <w:t xml:space="preserve">Citing </w:t>
      </w:r>
      <w:r w:rsidR="00BF57B2" w:rsidRPr="00E0249C">
        <w:rPr>
          <w:i/>
          <w:iCs/>
        </w:rPr>
        <w:t>People v. Dunlap</w:t>
      </w:r>
      <w:r w:rsidR="00BF57B2" w:rsidRPr="00247425">
        <w:t xml:space="preserve"> (1993) 18 Cal.App.4th 1468</w:t>
      </w:r>
      <w:r w:rsidR="003345CA">
        <w:t xml:space="preserve"> (</w:t>
      </w:r>
      <w:r w:rsidR="003345CA">
        <w:rPr>
          <w:i/>
          <w:iCs/>
        </w:rPr>
        <w:t>Dunlap</w:t>
      </w:r>
      <w:r w:rsidR="003345CA">
        <w:t>)</w:t>
      </w:r>
      <w:r w:rsidR="00BF57B2" w:rsidRPr="00247425">
        <w:t>,</w:t>
      </w:r>
      <w:r w:rsidR="00BF57B2">
        <w:t xml:space="preserve"> J-MM argues that the</w:t>
      </w:r>
      <w:r w:rsidR="00DB7822" w:rsidRPr="00DB7822">
        <w:t xml:space="preserve"> </w:t>
      </w:r>
      <w:r w:rsidR="00DB7822">
        <w:t>official records hearsay</w:t>
      </w:r>
      <w:r w:rsidR="00BF57B2">
        <w:t xml:space="preserve"> exception </w:t>
      </w:r>
      <w:r w:rsidR="002E6506">
        <w:t xml:space="preserve">can be applied even without witness testimony on </w:t>
      </w:r>
      <w:r w:rsidR="000459ED">
        <w:t>this</w:t>
      </w:r>
      <w:r w:rsidR="002E6506">
        <w:t xml:space="preserve"> </w:t>
      </w:r>
      <w:r w:rsidR="00380DA2">
        <w:t>third element</w:t>
      </w:r>
      <w:r w:rsidR="002E6506">
        <w:t>.</w:t>
      </w:r>
      <w:r w:rsidR="00310F35">
        <w:t xml:space="preserve"> </w:t>
      </w:r>
      <w:r w:rsidR="0093104F">
        <w:t xml:space="preserve"> </w:t>
      </w:r>
      <w:r w:rsidR="00C229AC">
        <w:t xml:space="preserve">But </w:t>
      </w:r>
      <w:r w:rsidR="00310F35">
        <w:rPr>
          <w:i/>
          <w:iCs/>
        </w:rPr>
        <w:t>Dunlap</w:t>
      </w:r>
      <w:r w:rsidR="00310F35">
        <w:t xml:space="preserve"> </w:t>
      </w:r>
      <w:r w:rsidR="003345CA">
        <w:t>observed</w:t>
      </w:r>
      <w:r w:rsidR="00AC53FD">
        <w:t xml:space="preserve"> only that court </w:t>
      </w:r>
      <w:r w:rsidR="00AC53FD" w:rsidRPr="00E73DFB">
        <w:rPr>
          <w:i/>
          <w:iCs/>
        </w:rPr>
        <w:t>may</w:t>
      </w:r>
      <w:r w:rsidR="00AC53FD">
        <w:t xml:space="preserve"> admit</w:t>
      </w:r>
      <w:r w:rsidR="00AC53FD" w:rsidRPr="00247425">
        <w:t xml:space="preserve"> </w:t>
      </w:r>
      <w:r w:rsidR="00A2450D">
        <w:t xml:space="preserve">an </w:t>
      </w:r>
      <w:r w:rsidR="00AC53FD" w:rsidRPr="00247425">
        <w:t xml:space="preserve">official record </w:t>
      </w:r>
      <w:proofErr w:type="gramStart"/>
      <w:r w:rsidR="00A2450D">
        <w:t>“</w:t>
      </w:r>
      <w:r w:rsidR="00021850">
        <w:t> ‘</w:t>
      </w:r>
      <w:proofErr w:type="gramEnd"/>
      <w:r w:rsidR="00AC53FD">
        <w:t xml:space="preserve">without necessarily requiring </w:t>
      </w:r>
      <w:r w:rsidR="00A2450D">
        <w:t>a witness to testify as to its</w:t>
      </w:r>
      <w:r w:rsidR="00AC53FD">
        <w:t xml:space="preserve"> identity and mode of preparation </w:t>
      </w:r>
      <w:r w:rsidR="00AC53FD" w:rsidRPr="00C85CEA">
        <w:rPr>
          <w:i/>
          <w:iCs/>
        </w:rPr>
        <w:t>if the court takes judicial notice or if sufficient independent evidence shows that the record or report was prepared in such a manner as to assure its trustworthiness</w:t>
      </w:r>
      <w:r w:rsidR="00797EA7">
        <w:t>.</w:t>
      </w:r>
      <w:r w:rsidR="00021850">
        <w:t>’ </w:t>
      </w:r>
      <w:r w:rsidR="00AC53FD" w:rsidRPr="00247425">
        <w:t>”</w:t>
      </w:r>
      <w:r w:rsidR="00A2450D">
        <w:t xml:space="preserve">  (</w:t>
      </w:r>
      <w:r w:rsidR="00A2450D">
        <w:rPr>
          <w:i/>
          <w:iCs/>
        </w:rPr>
        <w:t>Id.</w:t>
      </w:r>
      <w:r w:rsidR="00A2450D">
        <w:t xml:space="preserve"> at p.</w:t>
      </w:r>
      <w:r w:rsidR="00021850">
        <w:t xml:space="preserve"> </w:t>
      </w:r>
      <w:r w:rsidR="00A2450D">
        <w:t xml:space="preserve">1477.)  </w:t>
      </w:r>
      <w:r w:rsidR="00652283">
        <w:t xml:space="preserve">J-MM </w:t>
      </w:r>
      <w:r w:rsidR="0016722F">
        <w:t xml:space="preserve">does not </w:t>
      </w:r>
      <w:r w:rsidR="00A92F0D">
        <w:t xml:space="preserve">identify </w:t>
      </w:r>
      <w:r w:rsidR="00652283">
        <w:t>judicially noticed or independent</w:t>
      </w:r>
      <w:r w:rsidR="0016722F">
        <w:t xml:space="preserve"> evidence</w:t>
      </w:r>
      <w:r w:rsidR="00FC0D28">
        <w:t xml:space="preserve"> </w:t>
      </w:r>
      <w:r w:rsidR="00BF6167">
        <w:t>that</w:t>
      </w:r>
      <w:r w:rsidR="00FC0D28">
        <w:t xml:space="preserve"> </w:t>
      </w:r>
      <w:r w:rsidR="00FC0D28">
        <w:lastRenderedPageBreak/>
        <w:t>trigger this option</w:t>
      </w:r>
      <w:r w:rsidR="00BF6167">
        <w:t xml:space="preserve"> here</w:t>
      </w:r>
      <w:r w:rsidR="0016722F">
        <w:t xml:space="preserve">.  Even if it did, nothing in </w:t>
      </w:r>
      <w:r w:rsidR="0016722F">
        <w:rPr>
          <w:i/>
          <w:iCs/>
        </w:rPr>
        <w:t>Dunlap</w:t>
      </w:r>
      <w:r w:rsidR="0016722F">
        <w:t xml:space="preserve"> suggests that the trial court is </w:t>
      </w:r>
      <w:r w:rsidR="0016722F" w:rsidRPr="0016722F">
        <w:rPr>
          <w:i/>
          <w:iCs/>
        </w:rPr>
        <w:t>required</w:t>
      </w:r>
      <w:r w:rsidR="0016722F">
        <w:t xml:space="preserve"> to admit a</w:t>
      </w:r>
      <w:r w:rsidR="007C4690">
        <w:t xml:space="preserve"> document in this manner.</w:t>
      </w:r>
      <w:r w:rsidR="0077100E">
        <w:t xml:space="preserve">  </w:t>
      </w:r>
      <w:r w:rsidR="004809E1">
        <w:t>Nor was the trial court</w:t>
      </w:r>
      <w:r w:rsidR="006D3FA3">
        <w:t xml:space="preserve"> require</w:t>
      </w:r>
      <w:r w:rsidR="004809E1">
        <w:t>d</w:t>
      </w:r>
      <w:r w:rsidR="003345CA">
        <w:t xml:space="preserve"> to find this element satisfied </w:t>
      </w:r>
      <w:r w:rsidR="008A7339">
        <w:t>pursuant to</w:t>
      </w:r>
      <w:r w:rsidR="003345CA">
        <w:t xml:space="preserve"> </w:t>
      </w:r>
      <w:r w:rsidR="0077100E" w:rsidRPr="003345CA">
        <w:t>Evidence</w:t>
      </w:r>
      <w:r w:rsidR="0077100E">
        <w:t xml:space="preserve"> Code section 6</w:t>
      </w:r>
      <w:r w:rsidR="00021850">
        <w:t>6</w:t>
      </w:r>
      <w:r w:rsidR="0077100E">
        <w:t>4</w:t>
      </w:r>
      <w:r w:rsidR="003345CA">
        <w:t xml:space="preserve">.  </w:t>
      </w:r>
      <w:r w:rsidR="00FE59F2">
        <w:t>Section 6</w:t>
      </w:r>
      <w:r w:rsidR="00021850">
        <w:t>6</w:t>
      </w:r>
      <w:r w:rsidR="00FE59F2">
        <w:t>4 provides that</w:t>
      </w:r>
      <w:r w:rsidR="006D3FA3">
        <w:t xml:space="preserve"> the trial court </w:t>
      </w:r>
      <w:r w:rsidR="006D3FA3">
        <w:rPr>
          <w:i/>
          <w:iCs/>
        </w:rPr>
        <w:t>may</w:t>
      </w:r>
      <w:r w:rsidR="006D3FA3" w:rsidRPr="006D3FA3">
        <w:t xml:space="preserve"> </w:t>
      </w:r>
      <w:r w:rsidR="006D3FA3">
        <w:t>rely on a rebuttable presumption</w:t>
      </w:r>
      <w:r w:rsidR="000D327B">
        <w:t>—</w:t>
      </w:r>
      <w:r w:rsidR="006D3FA3">
        <w:t xml:space="preserve">that </w:t>
      </w:r>
      <w:r w:rsidR="007231EA">
        <w:t xml:space="preserve">an </w:t>
      </w:r>
      <w:r w:rsidR="006D3FA3">
        <w:t>official duty has been regularly performed</w:t>
      </w:r>
      <w:r w:rsidR="000D327B">
        <w:t>—</w:t>
      </w:r>
      <w:r w:rsidR="006D3FA3">
        <w:t xml:space="preserve">as a basis for finding </w:t>
      </w:r>
      <w:r w:rsidR="00A56963">
        <w:t xml:space="preserve">the </w:t>
      </w:r>
      <w:r w:rsidR="006D3FA3">
        <w:t xml:space="preserve">foundational requirements of official records exception are met. </w:t>
      </w:r>
      <w:r w:rsidR="006D3FA3">
        <w:rPr>
          <w:i/>
          <w:iCs/>
        </w:rPr>
        <w:t xml:space="preserve"> </w:t>
      </w:r>
      <w:r w:rsidR="003345CA">
        <w:t>(</w:t>
      </w:r>
      <w:r w:rsidR="003345CA">
        <w:rPr>
          <w:i/>
          <w:iCs/>
        </w:rPr>
        <w:t>Dunlap</w:t>
      </w:r>
      <w:r w:rsidR="00BE52D7">
        <w:t>, at p.</w:t>
      </w:r>
      <w:r w:rsidR="00021850">
        <w:t xml:space="preserve"> </w:t>
      </w:r>
      <w:r w:rsidR="00BE52D7">
        <w:t>1477</w:t>
      </w:r>
      <w:r w:rsidR="006D3FA3">
        <w:t>.)</w:t>
      </w:r>
      <w:r w:rsidR="00E73DFB">
        <w:t xml:space="preserve">  </w:t>
      </w:r>
      <w:r w:rsidR="00FE59F2">
        <w:t xml:space="preserve">There is no categorical rule that it </w:t>
      </w:r>
      <w:proofErr w:type="gramStart"/>
      <w:r w:rsidR="00FE59F2">
        <w:t>do</w:t>
      </w:r>
      <w:proofErr w:type="gramEnd"/>
      <w:r w:rsidR="00FE59F2">
        <w:t xml:space="preserve"> so.</w:t>
      </w:r>
    </w:p>
    <w:p w14:paraId="1426AE83" w14:textId="2EACE60B" w:rsidR="001109E0" w:rsidRDefault="00732C50" w:rsidP="00C80EE1">
      <w:pPr>
        <w:spacing w:line="360" w:lineRule="auto"/>
      </w:pPr>
      <w:r>
        <w:tab/>
        <w:t>J-MM a</w:t>
      </w:r>
      <w:r w:rsidR="00D65189">
        <w:t xml:space="preserve">lso argues that the report was admissible </w:t>
      </w:r>
      <w:r>
        <w:t xml:space="preserve">under the business records exception. </w:t>
      </w:r>
      <w:r w:rsidR="0093104F">
        <w:t xml:space="preserve"> </w:t>
      </w:r>
      <w:r w:rsidR="00700878">
        <w:t>“</w:t>
      </w:r>
      <w:r w:rsidR="00700878" w:rsidRPr="00700878">
        <w:t xml:space="preserve">Although </w:t>
      </w:r>
      <w:proofErr w:type="gramStart"/>
      <w:r w:rsidR="00700878" w:rsidRPr="00700878">
        <w:t>similar to</w:t>
      </w:r>
      <w:proofErr w:type="gramEnd"/>
      <w:r w:rsidR="00700878" w:rsidRPr="00700878">
        <w:t xml:space="preserve"> the business records exception (Evid. Code, §</w:t>
      </w:r>
      <w:r w:rsidR="00021850">
        <w:t> </w:t>
      </w:r>
      <w:r w:rsidR="00700878" w:rsidRPr="00700878">
        <w:t xml:space="preserve">1271), the official records exception differs in one important respect. </w:t>
      </w:r>
      <w:r w:rsidR="00CB11EC">
        <w:t xml:space="preserve"> </w:t>
      </w:r>
      <w:r w:rsidR="00700878" w:rsidRPr="00700878">
        <w:t xml:space="preserve">Evidence Code section 1271 </w:t>
      </w:r>
      <w:r w:rsidR="00D66953">
        <w:t>‘</w:t>
      </w:r>
      <w:r w:rsidR="00700878" w:rsidRPr="00700878">
        <w:t>requires a witness to testify as to the identity of the record and its mode of preparation in every instance.</w:t>
      </w:r>
      <w:proofErr w:type="gramStart"/>
      <w:r w:rsidR="00D66953">
        <w:t>’ ”</w:t>
      </w:r>
      <w:proofErr w:type="gramEnd"/>
      <w:r w:rsidR="00D66953">
        <w:t xml:space="preserve">  (</w:t>
      </w:r>
      <w:r w:rsidR="00D66953" w:rsidRPr="00E0249C">
        <w:rPr>
          <w:i/>
          <w:iCs/>
        </w:rPr>
        <w:t>Dunlap</w:t>
      </w:r>
      <w:r w:rsidR="00D66953">
        <w:t xml:space="preserve">, </w:t>
      </w:r>
      <w:r w:rsidR="00D66953" w:rsidRPr="00282CFA">
        <w:rPr>
          <w:i/>
          <w:iCs/>
        </w:rPr>
        <w:t>supra</w:t>
      </w:r>
      <w:r w:rsidR="00D66953">
        <w:t>,</w:t>
      </w:r>
      <w:r w:rsidR="00D66953" w:rsidRPr="00247425">
        <w:t xml:space="preserve"> 18 Cal.App.4th</w:t>
      </w:r>
      <w:r w:rsidR="00D66953">
        <w:t xml:space="preserve"> </w:t>
      </w:r>
      <w:r w:rsidR="00114FFF">
        <w:t>at p. 1477.)</w:t>
      </w:r>
      <w:r w:rsidR="009365B4">
        <w:t xml:space="preserve">  Here, the trial court </w:t>
      </w:r>
      <w:r w:rsidR="00ED4EC8">
        <w:t>reviewed Chan’s testimony and concluded</w:t>
      </w:r>
      <w:r w:rsidR="009365B4">
        <w:t xml:space="preserve"> that </w:t>
      </w:r>
      <w:r w:rsidR="00ED4EC8">
        <w:t>he</w:t>
      </w:r>
      <w:r w:rsidR="009365B4">
        <w:t xml:space="preserve"> did not know </w:t>
      </w:r>
      <w:r w:rsidR="007E63C6">
        <w:t xml:space="preserve">the </w:t>
      </w:r>
      <w:r w:rsidR="009365B4">
        <w:t>sources of information</w:t>
      </w:r>
      <w:r w:rsidR="007E63C6">
        <w:t xml:space="preserve"> </w:t>
      </w:r>
      <w:r w:rsidR="00ED4EC8">
        <w:t>or</w:t>
      </w:r>
      <w:r w:rsidR="007E63C6">
        <w:t xml:space="preserve"> method used beyond </w:t>
      </w:r>
      <w:r w:rsidR="00E34505">
        <w:t>his</w:t>
      </w:r>
      <w:r w:rsidR="007E63C6">
        <w:t xml:space="preserve"> </w:t>
      </w:r>
      <w:r w:rsidR="00E34505">
        <w:t>research for one section of the report</w:t>
      </w:r>
      <w:r w:rsidR="00FE1C4B">
        <w:t xml:space="preserve">. </w:t>
      </w:r>
      <w:r w:rsidR="00824B01">
        <w:t xml:space="preserve"> The trial court did not abuse its discretion in reaching this conclusion.</w:t>
      </w:r>
    </w:p>
    <w:p w14:paraId="7EAC2E3E" w14:textId="7EBA3932" w:rsidR="00282CFA" w:rsidRDefault="007E63C6" w:rsidP="00C80EE1">
      <w:pPr>
        <w:spacing w:line="360" w:lineRule="auto"/>
      </w:pPr>
      <w:r>
        <w:tab/>
      </w:r>
      <w:r w:rsidR="00CF1E69">
        <w:t xml:space="preserve">As </w:t>
      </w:r>
      <w:r w:rsidR="008E0AB2">
        <w:t>for</w:t>
      </w:r>
      <w:r w:rsidR="00CF1E69">
        <w:t xml:space="preserve"> the </w:t>
      </w:r>
      <w:r w:rsidR="00396578">
        <w:t>PowerPoint presentation</w:t>
      </w:r>
      <w:r w:rsidR="00C4347E">
        <w:t xml:space="preserve">, </w:t>
      </w:r>
      <w:r w:rsidR="006613E7">
        <w:t xml:space="preserve">J-MM </w:t>
      </w:r>
      <w:r w:rsidR="00730E58">
        <w:t xml:space="preserve">contends that the trial court improperly disregarded the Martinez and </w:t>
      </w:r>
      <w:r w:rsidR="00730E58" w:rsidRPr="00282CFA">
        <w:t>Howard declaration</w:t>
      </w:r>
      <w:r w:rsidR="00730E58">
        <w:t>s, and</w:t>
      </w:r>
      <w:r w:rsidR="00002996">
        <w:t xml:space="preserve"> that</w:t>
      </w:r>
      <w:r w:rsidR="006613E7">
        <w:t xml:space="preserve"> the official and business records hearsay exception</w:t>
      </w:r>
      <w:r w:rsidR="00282CFA">
        <w:t>s appl</w:t>
      </w:r>
      <w:r w:rsidR="00824B01">
        <w:t>ied</w:t>
      </w:r>
      <w:r w:rsidR="00282CFA">
        <w:t xml:space="preserve">. </w:t>
      </w:r>
      <w:r w:rsidR="0093104F">
        <w:t xml:space="preserve"> </w:t>
      </w:r>
      <w:r w:rsidR="0054292E">
        <w:t>But</w:t>
      </w:r>
      <w:r w:rsidR="00B364BF">
        <w:t xml:space="preserve"> even</w:t>
      </w:r>
      <w:r w:rsidR="00621722">
        <w:t xml:space="preserve"> </w:t>
      </w:r>
      <w:r w:rsidR="008E0AB2">
        <w:t>where</w:t>
      </w:r>
      <w:r w:rsidR="00621722">
        <w:t xml:space="preserve"> records </w:t>
      </w:r>
      <w:r w:rsidR="00824B01">
        <w:t>are</w:t>
      </w:r>
      <w:r w:rsidR="00621722">
        <w:t xml:space="preserve"> accompanied by</w:t>
      </w:r>
      <w:r w:rsidR="0071512A">
        <w:t xml:space="preserve"> a</w:t>
      </w:r>
      <w:r w:rsidR="00621722">
        <w:t xml:space="preserve"> custodian declaration</w:t>
      </w:r>
      <w:r w:rsidR="00844848">
        <w:t xml:space="preserve"> under Evidence Code 1561</w:t>
      </w:r>
      <w:r w:rsidR="00B364BF">
        <w:t xml:space="preserve">, </w:t>
      </w:r>
      <w:r w:rsidR="00AA5B25">
        <w:t>the rules of</w:t>
      </w:r>
      <w:r w:rsidR="00BA362F">
        <w:t xml:space="preserve"> evidence </w:t>
      </w:r>
      <w:r w:rsidR="00AA5B25">
        <w:t>regarding hearsay still apply</w:t>
      </w:r>
      <w:r w:rsidR="00B364BF">
        <w:t xml:space="preserve">.  </w:t>
      </w:r>
      <w:r w:rsidR="00FC761E" w:rsidRPr="00282CFA">
        <w:t>(</w:t>
      </w:r>
      <w:r w:rsidR="00FC761E" w:rsidRPr="00894057">
        <w:rPr>
          <w:i/>
          <w:iCs/>
        </w:rPr>
        <w:t>Taggart v. Super Seer Corp.</w:t>
      </w:r>
      <w:r w:rsidR="00FC761E" w:rsidRPr="00282CFA">
        <w:t xml:space="preserve"> (1995) 33 Cal.App.4th 1697, 170</w:t>
      </w:r>
      <w:r w:rsidR="003D308D">
        <w:t>6</w:t>
      </w:r>
      <w:r w:rsidR="00FC761E">
        <w:t xml:space="preserve"> [</w:t>
      </w:r>
      <w:r w:rsidR="00543FF7">
        <w:t>“</w:t>
      </w:r>
      <w:r w:rsidR="00543FF7" w:rsidRPr="00543FF7">
        <w:t>It will readily be seen that a custodian</w:t>
      </w:r>
      <w:r w:rsidR="009C116B">
        <w:t>’</w:t>
      </w:r>
      <w:r w:rsidR="00543FF7" w:rsidRPr="00543FF7">
        <w:t xml:space="preserve">s declaration may state all the matters it is required to state under section </w:t>
      </w:r>
      <w:proofErr w:type="gramStart"/>
      <w:r w:rsidR="00543FF7" w:rsidRPr="00543FF7">
        <w:t>1561, yet</w:t>
      </w:r>
      <w:proofErr w:type="gramEnd"/>
      <w:r w:rsidR="00543FF7" w:rsidRPr="00543FF7">
        <w:t xml:space="preserve"> fail to provide a sufficient foundation for admission of the records under section 1271</w:t>
      </w:r>
      <w:r w:rsidR="00543FF7">
        <w:t>”].</w:t>
      </w:r>
      <w:r w:rsidR="00FC761E" w:rsidRPr="00282CFA">
        <w:t>)</w:t>
      </w:r>
      <w:r w:rsidR="00787564">
        <w:t xml:space="preserve">  </w:t>
      </w:r>
      <w:r w:rsidR="008F57AE">
        <w:t xml:space="preserve">As explained above, the official and business records hearsay exceptions </w:t>
      </w:r>
      <w:r w:rsidR="00671BBA">
        <w:t xml:space="preserve">apply </w:t>
      </w:r>
      <w:r w:rsidR="006A5E77">
        <w:t xml:space="preserve">only </w:t>
      </w:r>
      <w:r w:rsidR="00671BBA">
        <w:t xml:space="preserve">if the sources of information and </w:t>
      </w:r>
      <w:r w:rsidR="00671BBA">
        <w:lastRenderedPageBreak/>
        <w:t xml:space="preserve">method of preparation </w:t>
      </w:r>
      <w:r w:rsidR="00E43D29">
        <w:t xml:space="preserve">of such records </w:t>
      </w:r>
      <w:r w:rsidR="00671BBA">
        <w:t xml:space="preserve">indicate </w:t>
      </w:r>
      <w:r w:rsidR="00FB7BFE">
        <w:t>the</w:t>
      </w:r>
      <w:r w:rsidR="00E43D29">
        <w:t>ir</w:t>
      </w:r>
      <w:r w:rsidR="00671BBA">
        <w:t xml:space="preserve"> trustworthiness</w:t>
      </w:r>
      <w:r w:rsidR="008F57AE">
        <w:t xml:space="preserve">.  </w:t>
      </w:r>
      <w:r w:rsidR="00594418">
        <w:t>(Evid. Code, §§</w:t>
      </w:r>
      <w:r w:rsidR="003D308D">
        <w:t> </w:t>
      </w:r>
      <w:r w:rsidR="00594418">
        <w:t xml:space="preserve">1271, 1280.)  </w:t>
      </w:r>
      <w:r w:rsidR="008C01AF">
        <w:t xml:space="preserve">J-MM did not present admissible evidence </w:t>
      </w:r>
      <w:r w:rsidR="00575D99">
        <w:t>detailing the sources of information and method of preparation for the PowerPoint presentation</w:t>
      </w:r>
      <w:r w:rsidR="00CB19FA">
        <w:t>.</w:t>
      </w:r>
      <w:r w:rsidR="00F57D03">
        <w:rPr>
          <w:rStyle w:val="FootnoteReference"/>
        </w:rPr>
        <w:footnoteReference w:id="8"/>
      </w:r>
      <w:r w:rsidR="0069093F">
        <w:t xml:space="preserve"> </w:t>
      </w:r>
      <w:r w:rsidR="0093104F">
        <w:t xml:space="preserve"> </w:t>
      </w:r>
      <w:r w:rsidR="00CB19FA">
        <w:t>The trial court did not abuse its discretion in excluding the exhibit.</w:t>
      </w:r>
    </w:p>
    <w:p w14:paraId="599ED5B5" w14:textId="13B15792" w:rsidR="009020FC" w:rsidRDefault="00686CA0" w:rsidP="00C80EE1">
      <w:pPr>
        <w:spacing w:line="360" w:lineRule="auto"/>
      </w:pPr>
      <w:r>
        <w:tab/>
      </w:r>
      <w:r w:rsidR="00A803DC">
        <w:t>As for the</w:t>
      </w:r>
      <w:r w:rsidR="00F658B9">
        <w:t xml:space="preserve"> contract exhibits</w:t>
      </w:r>
      <w:r w:rsidR="008D5E54">
        <w:t xml:space="preserve">, </w:t>
      </w:r>
      <w:r w:rsidR="009D2CA5">
        <w:t>J-</w:t>
      </w:r>
      <w:r w:rsidR="00EA3852">
        <w:t>MM</w:t>
      </w:r>
      <w:r w:rsidR="0006516A">
        <w:t xml:space="preserve"> </w:t>
      </w:r>
      <w:r w:rsidR="000136D6">
        <w:t>argues</w:t>
      </w:r>
      <w:r w:rsidR="00C955F6">
        <w:t xml:space="preserve"> that Smith did not need personal knowledge to</w:t>
      </w:r>
      <w:r w:rsidR="003F3575">
        <w:t xml:space="preserve"> testify </w:t>
      </w:r>
      <w:r w:rsidR="00066938">
        <w:t>regarding the authenticity of</w:t>
      </w:r>
      <w:r w:rsidR="00C955F6">
        <w:t xml:space="preserve"> the</w:t>
      </w:r>
      <w:r w:rsidR="00AA6428">
        <w:t>se</w:t>
      </w:r>
      <w:r w:rsidR="00C955F6">
        <w:t xml:space="preserve"> records</w:t>
      </w:r>
      <w:r w:rsidR="0006516A">
        <w:t>.</w:t>
      </w:r>
      <w:r w:rsidR="00C73038">
        <w:rPr>
          <w:rStyle w:val="FootnoteReference"/>
        </w:rPr>
        <w:footnoteReference w:id="9"/>
      </w:r>
      <w:r w:rsidR="00EF2BA9">
        <w:t xml:space="preserve"> </w:t>
      </w:r>
      <w:r w:rsidR="0093104F">
        <w:t xml:space="preserve"> </w:t>
      </w:r>
      <w:r w:rsidR="00F54D96">
        <w:t xml:space="preserve">None of the authority </w:t>
      </w:r>
      <w:r w:rsidR="0032192B">
        <w:t>cited by J-MM suggest</w:t>
      </w:r>
      <w:r w:rsidR="004A6B77">
        <w:t>s</w:t>
      </w:r>
      <w:r w:rsidR="0032192B">
        <w:t xml:space="preserve"> that the trial court abused its discretion in </w:t>
      </w:r>
      <w:r w:rsidR="005C6B67">
        <w:t>following</w:t>
      </w:r>
      <w:r w:rsidR="0032192B">
        <w:t xml:space="preserve"> the </w:t>
      </w:r>
      <w:r w:rsidR="005C6B67">
        <w:t>rule</w:t>
      </w:r>
      <w:r w:rsidR="00200CE7">
        <w:t xml:space="preserve"> that</w:t>
      </w:r>
      <w:r w:rsidR="0032192B">
        <w:t xml:space="preserve"> </w:t>
      </w:r>
      <w:r w:rsidR="00F54D96">
        <w:t xml:space="preserve">a </w:t>
      </w:r>
      <w:r w:rsidR="008C2738">
        <w:t xml:space="preserve">lay </w:t>
      </w:r>
      <w:r w:rsidR="00F54D96">
        <w:t>witness</w:t>
      </w:r>
      <w:r w:rsidR="00860528">
        <w:t xml:space="preserve"> like Smith</w:t>
      </w:r>
      <w:r w:rsidR="00F54D96">
        <w:t xml:space="preserve"> </w:t>
      </w:r>
      <w:r w:rsidR="0032192B">
        <w:t xml:space="preserve">testify </w:t>
      </w:r>
      <w:r w:rsidR="005C6B67">
        <w:t xml:space="preserve">at trial </w:t>
      </w:r>
      <w:r w:rsidR="0032192B">
        <w:t xml:space="preserve">to facts within </w:t>
      </w:r>
      <w:r w:rsidR="005C6B67">
        <w:t>his</w:t>
      </w:r>
      <w:r w:rsidR="00F12543">
        <w:t xml:space="preserve"> personal knowledge</w:t>
      </w:r>
      <w:r w:rsidR="00F54D96">
        <w:t>.</w:t>
      </w:r>
      <w:r w:rsidR="00193759">
        <w:t xml:space="preserve">  </w:t>
      </w:r>
      <w:r w:rsidR="007E3B45">
        <w:t>(</w:t>
      </w:r>
      <w:r w:rsidR="007E3B45">
        <w:rPr>
          <w:i/>
          <w:iCs/>
        </w:rPr>
        <w:t xml:space="preserve">Geary St., P. &amp; O.R. Co. v. Campbell </w:t>
      </w:r>
      <w:r w:rsidR="007E3B45">
        <w:t xml:space="preserve">(1919) 39 </w:t>
      </w:r>
      <w:proofErr w:type="spellStart"/>
      <w:r w:rsidR="007E3B45">
        <w:t>Cal.App</w:t>
      </w:r>
      <w:proofErr w:type="spellEnd"/>
      <w:r w:rsidR="007E3B45">
        <w:t xml:space="preserve">. 496, 498 </w:t>
      </w:r>
      <w:r w:rsidR="00AA4410">
        <w:t>[</w:t>
      </w:r>
      <w:r w:rsidR="00AA4410" w:rsidRPr="00AA4410">
        <w:t xml:space="preserve">secretary who had occupied position for many years testified that </w:t>
      </w:r>
      <w:r w:rsidR="00AC59DA">
        <w:t>books of company</w:t>
      </w:r>
      <w:r w:rsidR="00AA4410" w:rsidRPr="00AA4410">
        <w:t xml:space="preserve"> were turned over to him in the ordinary course of business when he became such secretary, and identified them as such</w:t>
      </w:r>
      <w:r w:rsidR="00AA4410">
        <w:t>]</w:t>
      </w:r>
      <w:r w:rsidR="005F61BA">
        <w:t xml:space="preserve">; </w:t>
      </w:r>
      <w:r w:rsidR="005F61BA">
        <w:rPr>
          <w:i/>
          <w:iCs/>
        </w:rPr>
        <w:t xml:space="preserve">People ex rel. Owen v. Media One Direct, LLC </w:t>
      </w:r>
      <w:r w:rsidR="005F61BA">
        <w:t>(2013) 213 Cal.App.4th 1480, 1484 [trial court “was entitled to accept [witness’s] assertion of personal knowledge” of action</w:t>
      </w:r>
      <w:r w:rsidR="006B09BE">
        <w:t>s</w:t>
      </w:r>
      <w:r w:rsidR="005F61BA">
        <w:t xml:space="preserve"> taken</w:t>
      </w:r>
      <w:r w:rsidR="006D2786">
        <w:t>,</w:t>
      </w:r>
      <w:r w:rsidR="005F61BA">
        <w:t xml:space="preserve"> along with review of files].)</w:t>
      </w:r>
      <w:r w:rsidR="00A3292E">
        <w:t xml:space="preserve">  </w:t>
      </w:r>
    </w:p>
    <w:p w14:paraId="435808F6" w14:textId="2AA32F10" w:rsidR="00686CA0" w:rsidRDefault="009020FC" w:rsidP="00C80EE1">
      <w:pPr>
        <w:spacing w:line="360" w:lineRule="auto"/>
      </w:pPr>
      <w:r>
        <w:tab/>
      </w:r>
      <w:r w:rsidR="00A3292E">
        <w:t>Nor are we persuaded by J-MM’s argument that the authenticity of the</w:t>
      </w:r>
      <w:r w:rsidR="006D2786">
        <w:t>se</w:t>
      </w:r>
      <w:r w:rsidR="00A3292E">
        <w:t xml:space="preserve"> exhibits </w:t>
      </w:r>
      <w:r w:rsidR="00EE608F">
        <w:t>should have</w:t>
      </w:r>
      <w:r w:rsidR="00A3292E">
        <w:t xml:space="preserve"> be</w:t>
      </w:r>
      <w:r w:rsidR="00EE608F">
        <w:t>en</w:t>
      </w:r>
      <w:r w:rsidR="00A3292E">
        <w:t xml:space="preserve"> presumed under </w:t>
      </w:r>
      <w:r w:rsidR="00EE608F">
        <w:t xml:space="preserve">Evidence Code section 643.  </w:t>
      </w:r>
      <w:r w:rsidR="00C57575">
        <w:t>Section 643 provides that a “</w:t>
      </w:r>
      <w:r w:rsidR="00C57575" w:rsidRPr="00C57575">
        <w:t xml:space="preserve">deed or will or other writing purporting to </w:t>
      </w:r>
      <w:r w:rsidR="00C57575" w:rsidRPr="00C57575">
        <w:lastRenderedPageBreak/>
        <w:t>create, terminate, or affect an interest in real or personal property</w:t>
      </w:r>
      <w:r w:rsidR="00C57575">
        <w:t>”</w:t>
      </w:r>
      <w:r w:rsidR="00C57575" w:rsidRPr="00C57575">
        <w:t xml:space="preserve"> is presumed to be authentic if it</w:t>
      </w:r>
      <w:r w:rsidR="0018035E">
        <w:t xml:space="preserve"> (a) is at least 30 years old; (b) is “in such condition as to create no suspicion concerning its authenticity</w:t>
      </w:r>
      <w:r w:rsidR="00DF1684">
        <w:t>,” (c) was “</w:t>
      </w:r>
      <w:r w:rsidR="00DF1684" w:rsidRPr="00DF1684">
        <w:t>kept, or if found was found, in a place where such writing, if authentic, would be likely to be kept or found</w:t>
      </w:r>
      <w:r w:rsidR="00DF1684">
        <w:t xml:space="preserve">,” and </w:t>
      </w:r>
      <w:r w:rsidR="00FC6994">
        <w:t xml:space="preserve">(d) </w:t>
      </w:r>
      <w:r w:rsidR="00DF1684">
        <w:t xml:space="preserve">has been </w:t>
      </w:r>
      <w:r w:rsidR="00867C77">
        <w:t>“</w:t>
      </w:r>
      <w:r w:rsidR="00DF1684">
        <w:t>generally acted upon as authentic by persons having an interest in the matter</w:t>
      </w:r>
      <w:r w:rsidR="00C57575">
        <w:t>.</w:t>
      </w:r>
      <w:r w:rsidR="00DF1684">
        <w:t>”</w:t>
      </w:r>
      <w:r w:rsidR="00C57575">
        <w:t xml:space="preserve">  J-MM offers nothing to show that the </w:t>
      </w:r>
      <w:r w:rsidR="00275844">
        <w:t xml:space="preserve">purchase requirement </w:t>
      </w:r>
      <w:proofErr w:type="gramStart"/>
      <w:r w:rsidR="00275844">
        <w:t>contracts</w:t>
      </w:r>
      <w:proofErr w:type="gramEnd"/>
      <w:r w:rsidR="00275844">
        <w:t xml:space="preserve"> </w:t>
      </w:r>
      <w:r w:rsidR="008D530E">
        <w:t xml:space="preserve">and </w:t>
      </w:r>
      <w:r w:rsidR="00275844">
        <w:t>proposal</w:t>
      </w:r>
      <w:r w:rsidR="008D530E">
        <w:t xml:space="preserve"> </w:t>
      </w:r>
      <w:r w:rsidR="005702DC">
        <w:t>are</w:t>
      </w:r>
      <w:r w:rsidR="008D530E">
        <w:t xml:space="preserve"> writing</w:t>
      </w:r>
      <w:r w:rsidR="005702DC">
        <w:t>s</w:t>
      </w:r>
      <w:r w:rsidR="008D530E">
        <w:t xml:space="preserve"> </w:t>
      </w:r>
      <w:r w:rsidR="005702DC">
        <w:t>that affect a</w:t>
      </w:r>
      <w:r w:rsidR="008D530E">
        <w:t xml:space="preserve"> </w:t>
      </w:r>
      <w:r w:rsidR="00867C77">
        <w:t>“</w:t>
      </w:r>
      <w:r w:rsidR="008D530E">
        <w:t>real or personal property</w:t>
      </w:r>
      <w:r w:rsidR="00867C77">
        <w:t>”</w:t>
      </w:r>
      <w:r w:rsidR="008D530E">
        <w:t xml:space="preserve"> interest</w:t>
      </w:r>
      <w:r w:rsidR="00125A0E">
        <w:t xml:space="preserve"> to trigger </w:t>
      </w:r>
      <w:r w:rsidR="00867C77">
        <w:t>this presumption</w:t>
      </w:r>
      <w:r w:rsidR="008D530E">
        <w:t>.</w:t>
      </w:r>
      <w:r w:rsidR="00867C77">
        <w:t xml:space="preserve">  (Evid. Code, §</w:t>
      </w:r>
      <w:r w:rsidR="003D308D">
        <w:t> </w:t>
      </w:r>
      <w:r w:rsidR="00867C77">
        <w:t>643.)</w:t>
      </w:r>
      <w:r w:rsidR="00D95E66">
        <w:t xml:space="preserve">  </w:t>
      </w:r>
      <w:r w:rsidR="00DB1E5F">
        <w:t>Nor is i</w:t>
      </w:r>
      <w:r w:rsidR="00FB378B">
        <w:t>t certain</w:t>
      </w:r>
      <w:r w:rsidR="00DB1E5F">
        <w:t xml:space="preserve"> that the condition of these records </w:t>
      </w:r>
      <w:r w:rsidR="00FB378B">
        <w:t>created</w:t>
      </w:r>
      <w:r w:rsidR="00DB1E5F">
        <w:t xml:space="preserve"> “no suspicion”</w:t>
      </w:r>
      <w:r w:rsidR="00867C77">
        <w:t xml:space="preserve"> </w:t>
      </w:r>
      <w:r w:rsidR="00FB378B">
        <w:t>regarding their</w:t>
      </w:r>
      <w:r w:rsidR="00867C77">
        <w:t xml:space="preserve"> authenticity,</w:t>
      </w:r>
      <w:r w:rsidR="00DB1E5F">
        <w:t xml:space="preserve"> as Smith testified that</w:t>
      </w:r>
      <w:r w:rsidR="004C482B">
        <w:t xml:space="preserve"> EBMUD</w:t>
      </w:r>
      <w:r w:rsidR="00FB378B">
        <w:t xml:space="preserve"> does not retain </w:t>
      </w:r>
      <w:proofErr w:type="gramStart"/>
      <w:r w:rsidR="00FB378B">
        <w:t>all of</w:t>
      </w:r>
      <w:proofErr w:type="gramEnd"/>
      <w:r w:rsidR="00FB378B">
        <w:t xml:space="preserve"> its records regarding purchase contracts</w:t>
      </w:r>
      <w:r w:rsidR="00DB1E5F">
        <w:t xml:space="preserve">. </w:t>
      </w:r>
      <w:r w:rsidR="0093104F">
        <w:t xml:space="preserve"> </w:t>
      </w:r>
      <w:r w:rsidR="005D5179">
        <w:t>The trial court did not abuse its discretion in sustaining objections regarding the authentication of these exhibits.</w:t>
      </w:r>
      <w:r w:rsidR="00B05AF5">
        <w:rPr>
          <w:rStyle w:val="FootnoteReference"/>
        </w:rPr>
        <w:footnoteReference w:id="10"/>
      </w:r>
    </w:p>
    <w:p w14:paraId="4B6F7E3C" w14:textId="48D17EB2" w:rsidR="00D573BE" w:rsidRDefault="00934EA7" w:rsidP="00C80EE1">
      <w:pPr>
        <w:spacing w:line="360" w:lineRule="auto"/>
      </w:pPr>
      <w:r>
        <w:tab/>
      </w:r>
      <w:r w:rsidR="00BF1DB4">
        <w:t xml:space="preserve">In sum, we conclude that the trial court did not abuse its discretion </w:t>
      </w:r>
      <w:r>
        <w:t>in</w:t>
      </w:r>
      <w:r w:rsidR="00C64C80">
        <w:t xml:space="preserve"> </w:t>
      </w:r>
      <w:r>
        <w:t xml:space="preserve">its </w:t>
      </w:r>
      <w:r w:rsidR="00FF1B15">
        <w:t>Trial Testimony Order</w:t>
      </w:r>
      <w:r>
        <w:t xml:space="preserve"> or</w:t>
      </w:r>
      <w:r w:rsidR="00BF1DB4">
        <w:t xml:space="preserve"> </w:t>
      </w:r>
      <w:r w:rsidR="00487A9C">
        <w:t>its exclusion of</w:t>
      </w:r>
      <w:r w:rsidR="00BF1DB4">
        <w:t xml:space="preserve"> </w:t>
      </w:r>
      <w:r w:rsidR="00487A9C">
        <w:t>the report, PowerPoint presentation, and contract</w:t>
      </w:r>
      <w:r w:rsidR="00BF1DB4">
        <w:t xml:space="preserve"> exhibits</w:t>
      </w:r>
      <w:r w:rsidR="00D573BE">
        <w:t>.</w:t>
      </w:r>
      <w:r w:rsidR="005834F1">
        <w:rPr>
          <w:rStyle w:val="FootnoteReference"/>
        </w:rPr>
        <w:footnoteReference w:id="11"/>
      </w:r>
    </w:p>
    <w:p w14:paraId="761D45C3" w14:textId="77777777" w:rsidR="00FC3535" w:rsidRPr="005C02B6" w:rsidRDefault="00FC3535" w:rsidP="003A6C67">
      <w:pPr>
        <w:keepNext/>
        <w:keepLines/>
        <w:spacing w:line="360" w:lineRule="auto"/>
        <w:jc w:val="center"/>
        <w:rPr>
          <w:b/>
          <w:bCs/>
        </w:rPr>
      </w:pPr>
      <w:r>
        <w:rPr>
          <w:b/>
          <w:bCs/>
        </w:rPr>
        <w:t>DISPOSITION</w:t>
      </w:r>
    </w:p>
    <w:p w14:paraId="402EE410" w14:textId="4DB26B06" w:rsidR="00024F28" w:rsidRDefault="00FC3535" w:rsidP="0093104F">
      <w:pPr>
        <w:spacing w:line="360" w:lineRule="auto"/>
      </w:pPr>
      <w:r>
        <w:tab/>
        <w:t>The judgment</w:t>
      </w:r>
      <w:r w:rsidR="00B20870">
        <w:t xml:space="preserve"> is</w:t>
      </w:r>
      <w:r>
        <w:t xml:space="preserve"> affirmed.  </w:t>
      </w:r>
      <w:r w:rsidR="006B2B92">
        <w:t>Respondent is entitled to his costs on appeal.  (</w:t>
      </w:r>
      <w:bookmarkStart w:id="0" w:name="dabmci_6292ef9559884f3c8216b44b398c2084"/>
      <w:r w:rsidR="006B2B92">
        <w:t>Cal. Rules of Court, rule 8.278(a)(2)</w:t>
      </w:r>
      <w:bookmarkEnd w:id="0"/>
      <w:r w:rsidR="006B2B92">
        <w:t>.)</w:t>
      </w:r>
    </w:p>
    <w:p w14:paraId="06D28950" w14:textId="44EFE0B6" w:rsidR="00360D5C" w:rsidRDefault="00360D5C">
      <w:pPr>
        <w:tabs>
          <w:tab w:val="clear" w:pos="720"/>
        </w:tabs>
        <w:spacing w:after="160" w:line="259" w:lineRule="auto"/>
      </w:pPr>
      <w:r>
        <w:br w:type="page"/>
      </w:r>
    </w:p>
    <w:p w14:paraId="418C77DD" w14:textId="77777777" w:rsidR="0093104F" w:rsidRDefault="0093104F" w:rsidP="0093104F">
      <w:pPr>
        <w:spacing w:line="360" w:lineRule="auto"/>
      </w:pPr>
    </w:p>
    <w:p w14:paraId="42B3390C" w14:textId="77777777" w:rsidR="00360D5C" w:rsidRDefault="00360D5C" w:rsidP="0093104F">
      <w:pPr>
        <w:spacing w:line="360" w:lineRule="auto"/>
      </w:pPr>
    </w:p>
    <w:p w14:paraId="50C97CDD" w14:textId="77777777" w:rsidR="00360D5C" w:rsidRDefault="00360D5C" w:rsidP="0093104F">
      <w:pPr>
        <w:spacing w:line="360" w:lineRule="auto"/>
      </w:pPr>
    </w:p>
    <w:p w14:paraId="040D665D" w14:textId="77777777" w:rsidR="00360D5C" w:rsidRDefault="00360D5C" w:rsidP="0093104F">
      <w:pPr>
        <w:spacing w:line="360" w:lineRule="auto"/>
      </w:pPr>
    </w:p>
    <w:p w14:paraId="16A6538C" w14:textId="77777777" w:rsidR="00360D5C" w:rsidRDefault="00360D5C" w:rsidP="00360D5C">
      <w:pPr>
        <w:spacing w:line="240" w:lineRule="auto"/>
      </w:pPr>
    </w:p>
    <w:p w14:paraId="77EE0B91" w14:textId="023EA2A8" w:rsidR="00360D5C" w:rsidRDefault="00360D5C" w:rsidP="00360D5C">
      <w:pPr>
        <w:spacing w:line="240" w:lineRule="auto"/>
      </w:pPr>
      <w:r>
        <w:tab/>
      </w:r>
      <w:r>
        <w:tab/>
      </w:r>
      <w:r>
        <w:tab/>
      </w:r>
      <w:r>
        <w:tab/>
      </w:r>
      <w:r>
        <w:tab/>
      </w:r>
      <w:r>
        <w:tab/>
      </w:r>
      <w:r>
        <w:tab/>
        <w:t>_________________________</w:t>
      </w:r>
    </w:p>
    <w:p w14:paraId="72ED414C" w14:textId="131FD4DB" w:rsidR="00360D5C" w:rsidRDefault="00360D5C" w:rsidP="00360D5C">
      <w:pPr>
        <w:spacing w:line="240" w:lineRule="auto"/>
      </w:pPr>
      <w:r>
        <w:tab/>
      </w:r>
      <w:r>
        <w:tab/>
      </w:r>
      <w:r>
        <w:tab/>
      </w:r>
      <w:r>
        <w:tab/>
      </w:r>
      <w:r>
        <w:tab/>
      </w:r>
      <w:r>
        <w:tab/>
      </w:r>
      <w:r>
        <w:tab/>
        <w:t>Miller, J.</w:t>
      </w:r>
    </w:p>
    <w:p w14:paraId="6D8BDC48" w14:textId="77777777" w:rsidR="00360D5C" w:rsidRDefault="00360D5C" w:rsidP="00360D5C">
      <w:pPr>
        <w:spacing w:line="240" w:lineRule="auto"/>
      </w:pPr>
    </w:p>
    <w:p w14:paraId="61028FAB" w14:textId="77777777" w:rsidR="00360D5C" w:rsidRDefault="00360D5C" w:rsidP="00360D5C">
      <w:pPr>
        <w:spacing w:line="240" w:lineRule="auto"/>
      </w:pPr>
    </w:p>
    <w:p w14:paraId="72AA9201" w14:textId="14B021CF" w:rsidR="00360D5C" w:rsidRDefault="00360D5C" w:rsidP="00360D5C">
      <w:pPr>
        <w:spacing w:line="240" w:lineRule="auto"/>
      </w:pPr>
      <w:r>
        <w:t>WE CONCUR:</w:t>
      </w:r>
    </w:p>
    <w:p w14:paraId="5D0AFF00" w14:textId="77777777" w:rsidR="00360D5C" w:rsidRDefault="00360D5C" w:rsidP="00360D5C">
      <w:pPr>
        <w:spacing w:line="240" w:lineRule="auto"/>
      </w:pPr>
    </w:p>
    <w:p w14:paraId="472930CA" w14:textId="77777777" w:rsidR="00360D5C" w:rsidRDefault="00360D5C" w:rsidP="00360D5C">
      <w:pPr>
        <w:spacing w:line="240" w:lineRule="auto"/>
      </w:pPr>
    </w:p>
    <w:p w14:paraId="79A73DCA" w14:textId="1FFA56C3" w:rsidR="00360D5C" w:rsidRDefault="00360D5C" w:rsidP="00360D5C">
      <w:pPr>
        <w:spacing w:line="240" w:lineRule="auto"/>
      </w:pPr>
      <w:r>
        <w:t>_________________________</w:t>
      </w:r>
    </w:p>
    <w:p w14:paraId="498F7549" w14:textId="38F838FE" w:rsidR="00360D5C" w:rsidRDefault="00360D5C" w:rsidP="00360D5C">
      <w:pPr>
        <w:spacing w:line="240" w:lineRule="auto"/>
      </w:pPr>
      <w:r>
        <w:t>Stewart, P.J.</w:t>
      </w:r>
    </w:p>
    <w:p w14:paraId="503A5C30" w14:textId="77777777" w:rsidR="00360D5C" w:rsidRDefault="00360D5C" w:rsidP="00360D5C">
      <w:pPr>
        <w:spacing w:line="240" w:lineRule="auto"/>
      </w:pPr>
    </w:p>
    <w:p w14:paraId="24A29ABD" w14:textId="77777777" w:rsidR="00360D5C" w:rsidRDefault="00360D5C" w:rsidP="00360D5C">
      <w:pPr>
        <w:spacing w:line="240" w:lineRule="auto"/>
      </w:pPr>
    </w:p>
    <w:p w14:paraId="4AA3AA0D" w14:textId="03BF96A8" w:rsidR="00360D5C" w:rsidRDefault="00360D5C" w:rsidP="00360D5C">
      <w:pPr>
        <w:spacing w:line="240" w:lineRule="auto"/>
      </w:pPr>
      <w:r>
        <w:t>_________________________</w:t>
      </w:r>
    </w:p>
    <w:p w14:paraId="66A07820" w14:textId="0368EA37" w:rsidR="00360D5C" w:rsidRDefault="00360D5C" w:rsidP="00360D5C">
      <w:pPr>
        <w:spacing w:line="240" w:lineRule="auto"/>
      </w:pPr>
      <w:r>
        <w:t>Richman, J.</w:t>
      </w:r>
    </w:p>
    <w:p w14:paraId="484242EA" w14:textId="77777777" w:rsidR="00360D5C" w:rsidRDefault="00360D5C" w:rsidP="00360D5C">
      <w:pPr>
        <w:spacing w:line="240" w:lineRule="auto"/>
      </w:pPr>
    </w:p>
    <w:p w14:paraId="7C36B454" w14:textId="77777777" w:rsidR="00360D5C" w:rsidRDefault="00360D5C" w:rsidP="00360D5C">
      <w:pPr>
        <w:spacing w:line="240" w:lineRule="auto"/>
      </w:pPr>
    </w:p>
    <w:p w14:paraId="766F6C80" w14:textId="77777777" w:rsidR="00360D5C" w:rsidRDefault="00360D5C" w:rsidP="00360D5C">
      <w:pPr>
        <w:spacing w:line="240" w:lineRule="auto"/>
      </w:pPr>
    </w:p>
    <w:p w14:paraId="0FB0BAE7" w14:textId="77777777" w:rsidR="00360D5C" w:rsidRDefault="00360D5C" w:rsidP="00360D5C">
      <w:pPr>
        <w:spacing w:line="240" w:lineRule="auto"/>
      </w:pPr>
    </w:p>
    <w:p w14:paraId="152C6B6C" w14:textId="77777777" w:rsidR="00360D5C" w:rsidRDefault="00360D5C" w:rsidP="00360D5C">
      <w:pPr>
        <w:spacing w:line="240" w:lineRule="auto"/>
      </w:pPr>
    </w:p>
    <w:p w14:paraId="00AEF6A9" w14:textId="77777777" w:rsidR="00360D5C" w:rsidRDefault="00360D5C" w:rsidP="00360D5C">
      <w:pPr>
        <w:spacing w:line="240" w:lineRule="auto"/>
      </w:pPr>
    </w:p>
    <w:p w14:paraId="5BA33366" w14:textId="77777777" w:rsidR="00360D5C" w:rsidRDefault="00360D5C" w:rsidP="00360D5C">
      <w:pPr>
        <w:spacing w:line="240" w:lineRule="auto"/>
      </w:pPr>
    </w:p>
    <w:p w14:paraId="215CA3EA" w14:textId="77777777" w:rsidR="00360D5C" w:rsidRDefault="00360D5C" w:rsidP="00360D5C">
      <w:pPr>
        <w:spacing w:line="240" w:lineRule="auto"/>
      </w:pPr>
    </w:p>
    <w:p w14:paraId="465C8D71" w14:textId="77777777" w:rsidR="00360D5C" w:rsidRDefault="00360D5C" w:rsidP="00360D5C">
      <w:pPr>
        <w:spacing w:line="240" w:lineRule="auto"/>
      </w:pPr>
    </w:p>
    <w:p w14:paraId="2720D1BE" w14:textId="74CA65D2" w:rsidR="00360D5C" w:rsidRDefault="00360D5C" w:rsidP="00360D5C">
      <w:pPr>
        <w:spacing w:line="240" w:lineRule="auto"/>
      </w:pPr>
      <w:r>
        <w:t xml:space="preserve">A162561, A163492, </w:t>
      </w:r>
      <w:r w:rsidRPr="00360D5C">
        <w:rPr>
          <w:i/>
          <w:iCs/>
        </w:rPr>
        <w:t>Williams v. J-M Manufacturing, Inc.</w:t>
      </w:r>
    </w:p>
    <w:p w14:paraId="0C4A12B4" w14:textId="10BC2F01" w:rsidR="00360D5C" w:rsidRDefault="00360D5C">
      <w:pPr>
        <w:tabs>
          <w:tab w:val="clear" w:pos="720"/>
        </w:tabs>
        <w:spacing w:after="160" w:line="259" w:lineRule="auto"/>
      </w:pPr>
      <w:r>
        <w:br w:type="page"/>
      </w:r>
    </w:p>
    <w:p w14:paraId="0FCED2F7" w14:textId="77777777" w:rsidR="005051EF" w:rsidRDefault="005051EF" w:rsidP="005051EF">
      <w:pPr>
        <w:spacing w:line="240" w:lineRule="auto"/>
      </w:pPr>
    </w:p>
    <w:p w14:paraId="0C801A89" w14:textId="7A8A329F" w:rsidR="005051EF" w:rsidRDefault="005051EF" w:rsidP="005051EF">
      <w:pPr>
        <w:spacing w:line="240" w:lineRule="auto"/>
      </w:pPr>
      <w:r>
        <w:t xml:space="preserve">Court:  </w:t>
      </w:r>
      <w:r w:rsidR="00BF6285">
        <w:t>Alameda</w:t>
      </w:r>
      <w:r>
        <w:t xml:space="preserve"> County Superior Court</w:t>
      </w:r>
    </w:p>
    <w:p w14:paraId="2986B437" w14:textId="77777777" w:rsidR="005051EF" w:rsidRDefault="005051EF" w:rsidP="005051EF">
      <w:pPr>
        <w:spacing w:line="240" w:lineRule="auto"/>
      </w:pPr>
    </w:p>
    <w:p w14:paraId="2FBC6F88" w14:textId="55173740" w:rsidR="005051EF" w:rsidRDefault="005051EF" w:rsidP="005051EF">
      <w:pPr>
        <w:spacing w:line="240" w:lineRule="auto"/>
      </w:pPr>
      <w:r>
        <w:t xml:space="preserve">Trial Judge:  Hon. </w:t>
      </w:r>
      <w:r w:rsidR="00BF6285">
        <w:t xml:space="preserve">Frank </w:t>
      </w:r>
      <w:proofErr w:type="spellStart"/>
      <w:r w:rsidR="00BF6285">
        <w:t>Roesch</w:t>
      </w:r>
      <w:proofErr w:type="spellEnd"/>
    </w:p>
    <w:p w14:paraId="4ECA5586" w14:textId="77777777" w:rsidR="005051EF" w:rsidRDefault="005051EF" w:rsidP="005051EF">
      <w:pPr>
        <w:spacing w:line="240" w:lineRule="auto"/>
      </w:pPr>
    </w:p>
    <w:p w14:paraId="433FCA80" w14:textId="15A3D8FE" w:rsidR="005051EF" w:rsidRDefault="001C3434" w:rsidP="00BF6285">
      <w:pPr>
        <w:spacing w:line="240" w:lineRule="auto"/>
      </w:pPr>
      <w:r>
        <w:t xml:space="preserve">Manning Gross + Massenburg, Carrie S. Lin; Miller Barondess, Nadia A. Sarkis; </w:t>
      </w:r>
      <w:proofErr w:type="spellStart"/>
      <w:r>
        <w:t>Greines</w:t>
      </w:r>
      <w:proofErr w:type="spellEnd"/>
      <w:r>
        <w:t>, Martin, Stein &amp; Richland, Kent L. Richland</w:t>
      </w:r>
      <w:r w:rsidR="005051EF">
        <w:t xml:space="preserve">, for Defendant and </w:t>
      </w:r>
      <w:r>
        <w:t>Appellant</w:t>
      </w:r>
    </w:p>
    <w:p w14:paraId="019B0CEA" w14:textId="77777777" w:rsidR="00BF6285" w:rsidRDefault="00BF6285" w:rsidP="005051EF">
      <w:pPr>
        <w:spacing w:line="240" w:lineRule="auto"/>
      </w:pPr>
    </w:p>
    <w:p w14:paraId="4FF0F6A0" w14:textId="42CBA79C" w:rsidR="005051EF" w:rsidRDefault="001C3434" w:rsidP="005051EF">
      <w:pPr>
        <w:spacing w:line="240" w:lineRule="auto"/>
      </w:pPr>
      <w:r>
        <w:t xml:space="preserve">Shook, Hardy &amp; Bacon, Andrew Trask; Fred J. </w:t>
      </w:r>
      <w:proofErr w:type="spellStart"/>
      <w:r>
        <w:t>Hiestand</w:t>
      </w:r>
      <w:proofErr w:type="spellEnd"/>
      <w:r w:rsidR="003D6942">
        <w:t xml:space="preserve"> for Coalition for Litigation Justice, </w:t>
      </w:r>
      <w:proofErr w:type="gramStart"/>
      <w:r w:rsidR="003D6942">
        <w:t>Inc.</w:t>
      </w:r>
      <w:proofErr w:type="gramEnd"/>
      <w:r w:rsidR="00756075">
        <w:t xml:space="preserve"> and Civil Justice Association of California</w:t>
      </w:r>
      <w:r w:rsidR="005051EF">
        <w:t xml:space="preserve"> as Amicus Curiae on behalf of Defendant and </w:t>
      </w:r>
      <w:r>
        <w:t>Appellant</w:t>
      </w:r>
    </w:p>
    <w:p w14:paraId="6B74F1B4" w14:textId="77777777" w:rsidR="005113CD" w:rsidRDefault="005113CD" w:rsidP="005051EF">
      <w:pPr>
        <w:spacing w:line="240" w:lineRule="auto"/>
      </w:pPr>
    </w:p>
    <w:p w14:paraId="22F0DA4D" w14:textId="21382A97" w:rsidR="005113CD" w:rsidRDefault="005113CD" w:rsidP="005113CD">
      <w:pPr>
        <w:spacing w:line="240" w:lineRule="auto"/>
      </w:pPr>
      <w:r>
        <w:t>Elmer Stahl, Robert E. Dunn for Chamber of Commerce of the United States of America as Amicus Curiae on behalf of Defendant and Appellant</w:t>
      </w:r>
    </w:p>
    <w:p w14:paraId="305CB5C0" w14:textId="77777777" w:rsidR="00BF6285" w:rsidRDefault="00BF6285" w:rsidP="00BF6285">
      <w:pPr>
        <w:spacing w:line="240" w:lineRule="auto"/>
      </w:pPr>
    </w:p>
    <w:p w14:paraId="6FB5423E" w14:textId="73084EC8" w:rsidR="00BF6285" w:rsidRDefault="003D6942" w:rsidP="00BF6285">
      <w:pPr>
        <w:spacing w:line="240" w:lineRule="auto"/>
      </w:pPr>
      <w:proofErr w:type="spellStart"/>
      <w:r>
        <w:t>Maune</w:t>
      </w:r>
      <w:proofErr w:type="spellEnd"/>
      <w:r>
        <w:t xml:space="preserve"> </w:t>
      </w:r>
      <w:proofErr w:type="spellStart"/>
      <w:r>
        <w:t>Raichle</w:t>
      </w:r>
      <w:proofErr w:type="spellEnd"/>
      <w:r>
        <w:t xml:space="preserve"> Hartley French &amp; Mudd, David L. </w:t>
      </w:r>
      <w:proofErr w:type="spellStart"/>
      <w:r>
        <w:t>Amell</w:t>
      </w:r>
      <w:proofErr w:type="spellEnd"/>
      <w:r>
        <w:t>, Marissa Y. Uchimura</w:t>
      </w:r>
      <w:r w:rsidR="00BF6285">
        <w:t>, for Plaintiff and Respondent</w:t>
      </w:r>
    </w:p>
    <w:p w14:paraId="22F2EB06" w14:textId="77777777" w:rsidR="005051EF" w:rsidRDefault="005051EF" w:rsidP="005051EF">
      <w:pPr>
        <w:spacing w:line="240" w:lineRule="auto"/>
      </w:pPr>
    </w:p>
    <w:p w14:paraId="5C2F089D" w14:textId="77777777" w:rsidR="005051EF" w:rsidRDefault="005051EF" w:rsidP="005051EF">
      <w:pPr>
        <w:spacing w:line="240" w:lineRule="auto"/>
      </w:pPr>
    </w:p>
    <w:p w14:paraId="136A5B29" w14:textId="77777777" w:rsidR="005051EF" w:rsidRDefault="005051EF" w:rsidP="005051EF">
      <w:pPr>
        <w:spacing w:line="240" w:lineRule="auto"/>
      </w:pPr>
    </w:p>
    <w:p w14:paraId="7237EB7D" w14:textId="77777777" w:rsidR="005051EF" w:rsidRDefault="005051EF" w:rsidP="005051EF">
      <w:pPr>
        <w:spacing w:line="240" w:lineRule="auto"/>
      </w:pPr>
    </w:p>
    <w:p w14:paraId="66521212" w14:textId="77777777" w:rsidR="005051EF" w:rsidRDefault="005051EF" w:rsidP="005051EF">
      <w:pPr>
        <w:spacing w:line="240" w:lineRule="auto"/>
      </w:pPr>
    </w:p>
    <w:p w14:paraId="758C1986" w14:textId="77777777" w:rsidR="005051EF" w:rsidRDefault="005051EF" w:rsidP="005051EF">
      <w:pPr>
        <w:spacing w:line="240" w:lineRule="auto"/>
      </w:pPr>
    </w:p>
    <w:p w14:paraId="1ABC137B" w14:textId="77777777" w:rsidR="005051EF" w:rsidRDefault="005051EF" w:rsidP="005051EF">
      <w:pPr>
        <w:spacing w:line="240" w:lineRule="auto"/>
      </w:pPr>
    </w:p>
    <w:p w14:paraId="3C441B71" w14:textId="77777777" w:rsidR="005051EF" w:rsidRDefault="005051EF" w:rsidP="005051EF">
      <w:pPr>
        <w:spacing w:line="240" w:lineRule="auto"/>
      </w:pPr>
    </w:p>
    <w:p w14:paraId="1BDD9C03" w14:textId="77777777" w:rsidR="005051EF" w:rsidRDefault="005051EF" w:rsidP="005051EF">
      <w:pPr>
        <w:spacing w:line="240" w:lineRule="auto"/>
      </w:pPr>
    </w:p>
    <w:p w14:paraId="1FB6F064" w14:textId="77777777" w:rsidR="005051EF" w:rsidRDefault="005051EF" w:rsidP="005051EF">
      <w:pPr>
        <w:spacing w:line="240" w:lineRule="auto"/>
      </w:pPr>
    </w:p>
    <w:p w14:paraId="4830E2E0" w14:textId="77777777" w:rsidR="005051EF" w:rsidRDefault="005051EF" w:rsidP="005051EF">
      <w:pPr>
        <w:spacing w:line="240" w:lineRule="auto"/>
      </w:pPr>
    </w:p>
    <w:p w14:paraId="167C8E35" w14:textId="77777777" w:rsidR="005051EF" w:rsidRDefault="005051EF" w:rsidP="005051EF">
      <w:pPr>
        <w:spacing w:line="240" w:lineRule="auto"/>
      </w:pPr>
    </w:p>
    <w:p w14:paraId="43685122" w14:textId="77777777" w:rsidR="005051EF" w:rsidRDefault="005051EF" w:rsidP="005051EF">
      <w:pPr>
        <w:spacing w:line="240" w:lineRule="auto"/>
      </w:pPr>
    </w:p>
    <w:p w14:paraId="13FD62F1" w14:textId="77777777" w:rsidR="005051EF" w:rsidRDefault="005051EF" w:rsidP="005051EF">
      <w:pPr>
        <w:spacing w:line="240" w:lineRule="auto"/>
      </w:pPr>
    </w:p>
    <w:p w14:paraId="7AC96601" w14:textId="77777777" w:rsidR="005051EF" w:rsidRDefault="005051EF" w:rsidP="005051EF">
      <w:pPr>
        <w:spacing w:line="240" w:lineRule="auto"/>
      </w:pPr>
    </w:p>
    <w:p w14:paraId="1B5B25E2" w14:textId="77777777" w:rsidR="005051EF" w:rsidRDefault="005051EF" w:rsidP="005051EF">
      <w:pPr>
        <w:spacing w:line="240" w:lineRule="auto"/>
      </w:pPr>
    </w:p>
    <w:p w14:paraId="12C909C6" w14:textId="77777777" w:rsidR="005051EF" w:rsidRDefault="005051EF" w:rsidP="005051EF">
      <w:pPr>
        <w:spacing w:line="240" w:lineRule="auto"/>
      </w:pPr>
    </w:p>
    <w:p w14:paraId="4588AD06" w14:textId="77777777" w:rsidR="005051EF" w:rsidRDefault="005051EF" w:rsidP="005051EF">
      <w:pPr>
        <w:spacing w:line="240" w:lineRule="auto"/>
      </w:pPr>
    </w:p>
    <w:p w14:paraId="6E59B938" w14:textId="77777777" w:rsidR="005051EF" w:rsidRDefault="005051EF" w:rsidP="005051EF">
      <w:pPr>
        <w:spacing w:line="240" w:lineRule="auto"/>
      </w:pPr>
      <w:r>
        <w:t xml:space="preserve">A162561, A163492, </w:t>
      </w:r>
      <w:r w:rsidRPr="00360D5C">
        <w:rPr>
          <w:i/>
          <w:iCs/>
        </w:rPr>
        <w:t>Williams v. J-M Manufacturing, Inc.</w:t>
      </w:r>
    </w:p>
    <w:p w14:paraId="1E63E1E7" w14:textId="77777777" w:rsidR="00360D5C" w:rsidRPr="00360D5C" w:rsidRDefault="00360D5C" w:rsidP="005051EF">
      <w:pPr>
        <w:spacing w:line="240" w:lineRule="auto"/>
      </w:pPr>
    </w:p>
    <w:sectPr w:rsidR="00360D5C" w:rsidRPr="00360D5C" w:rsidSect="001178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E886" w14:textId="77777777" w:rsidR="006D6678" w:rsidRDefault="006D6678" w:rsidP="00A83F6D">
      <w:pPr>
        <w:spacing w:line="240" w:lineRule="auto"/>
      </w:pPr>
      <w:r>
        <w:separator/>
      </w:r>
    </w:p>
  </w:endnote>
  <w:endnote w:type="continuationSeparator" w:id="0">
    <w:p w14:paraId="2C2A4F64" w14:textId="77777777" w:rsidR="006D6678" w:rsidRDefault="006D6678" w:rsidP="00A83F6D">
      <w:pPr>
        <w:spacing w:line="240" w:lineRule="auto"/>
      </w:pPr>
      <w:r>
        <w:continuationSeparator/>
      </w:r>
    </w:p>
  </w:endnote>
  <w:endnote w:type="continuationNotice" w:id="1">
    <w:p w14:paraId="70A186BD" w14:textId="77777777" w:rsidR="006D6678" w:rsidRDefault="006D66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5579693"/>
      <w:docPartObj>
        <w:docPartGallery w:val="Page Numbers (Bottom of Page)"/>
        <w:docPartUnique/>
      </w:docPartObj>
    </w:sdtPr>
    <w:sdtEndPr>
      <w:rPr>
        <w:rStyle w:val="PageNumber"/>
      </w:rPr>
    </w:sdtEndPr>
    <w:sdtContent>
      <w:p w14:paraId="5A981A88" w14:textId="19C5D6A3" w:rsidR="006E2ECA" w:rsidRDefault="00E54179" w:rsidP="008E16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04A62">
          <w:rPr>
            <w:rStyle w:val="PageNumber"/>
            <w:noProof/>
          </w:rPr>
          <w:t>3</w:t>
        </w:r>
        <w:r>
          <w:rPr>
            <w:rStyle w:val="PageNumber"/>
          </w:rPr>
          <w:fldChar w:fldCharType="end"/>
        </w:r>
      </w:p>
    </w:sdtContent>
  </w:sdt>
  <w:p w14:paraId="183EC839" w14:textId="77777777" w:rsidR="006E2ECA" w:rsidRDefault="006E2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30222"/>
      <w:docPartObj>
        <w:docPartGallery w:val="Page Numbers (Bottom of Page)"/>
        <w:docPartUnique/>
      </w:docPartObj>
    </w:sdtPr>
    <w:sdtEndPr>
      <w:rPr>
        <w:rStyle w:val="PageNumber"/>
      </w:rPr>
    </w:sdtEndPr>
    <w:sdtContent>
      <w:p w14:paraId="34F7FEFA" w14:textId="77777777" w:rsidR="006E2ECA" w:rsidRDefault="00E54179" w:rsidP="008E1618">
        <w:pPr>
          <w:pStyle w:val="Footer"/>
          <w:framePr w:wrap="none" w:vAnchor="text" w:hAnchor="margin" w:xAlign="center" w:y="1"/>
          <w:rPr>
            <w:rStyle w:val="PageNumber"/>
          </w:rPr>
        </w:pPr>
        <w:r w:rsidRPr="00E60FCA">
          <w:rPr>
            <w:rStyle w:val="PageNumber"/>
          </w:rPr>
          <w:fldChar w:fldCharType="begin"/>
        </w:r>
        <w:r w:rsidRPr="00E60FCA">
          <w:rPr>
            <w:rStyle w:val="PageNumber"/>
          </w:rPr>
          <w:instrText xml:space="preserve"> PAGE </w:instrText>
        </w:r>
        <w:r w:rsidRPr="00E60FCA">
          <w:rPr>
            <w:rStyle w:val="PageNumber"/>
          </w:rPr>
          <w:fldChar w:fldCharType="separate"/>
        </w:r>
        <w:r w:rsidRPr="00E60FCA">
          <w:rPr>
            <w:rStyle w:val="PageNumber"/>
            <w:noProof/>
          </w:rPr>
          <w:t>1</w:t>
        </w:r>
        <w:r w:rsidRPr="00E60FCA">
          <w:rPr>
            <w:rStyle w:val="PageNumber"/>
          </w:rPr>
          <w:fldChar w:fldCharType="end"/>
        </w:r>
      </w:p>
    </w:sdtContent>
  </w:sdt>
  <w:p w14:paraId="28FD9ED4" w14:textId="77777777" w:rsidR="006E2ECA" w:rsidRDefault="006E2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BE5A" w14:textId="77777777" w:rsidR="00687E26" w:rsidRDefault="00687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3831" w14:textId="77777777" w:rsidR="006D6678" w:rsidRDefault="006D6678" w:rsidP="00A83F6D">
      <w:pPr>
        <w:spacing w:line="240" w:lineRule="auto"/>
      </w:pPr>
      <w:r>
        <w:separator/>
      </w:r>
    </w:p>
  </w:footnote>
  <w:footnote w:type="continuationSeparator" w:id="0">
    <w:p w14:paraId="6C390A1E" w14:textId="77777777" w:rsidR="006D6678" w:rsidRDefault="006D6678" w:rsidP="00A83F6D">
      <w:pPr>
        <w:spacing w:line="240" w:lineRule="auto"/>
      </w:pPr>
      <w:r>
        <w:continuationSeparator/>
      </w:r>
    </w:p>
  </w:footnote>
  <w:footnote w:type="continuationNotice" w:id="1">
    <w:p w14:paraId="13C15C29" w14:textId="77777777" w:rsidR="006D6678" w:rsidRDefault="006D6678">
      <w:pPr>
        <w:spacing w:line="240" w:lineRule="auto"/>
      </w:pPr>
    </w:p>
  </w:footnote>
  <w:footnote w:id="2">
    <w:p w14:paraId="50EE78CF" w14:textId="3C9EBEA2" w:rsidR="00E9324E" w:rsidRDefault="00E9324E" w:rsidP="00305A04">
      <w:pPr>
        <w:pStyle w:val="FootnoteText"/>
        <w:spacing w:after="160"/>
        <w:ind w:firstLine="720"/>
      </w:pPr>
      <w:r w:rsidRPr="00ED760F">
        <w:rPr>
          <w:rStyle w:val="FootnoteReference"/>
        </w:rPr>
        <w:t>*</w:t>
      </w:r>
      <w:r w:rsidRPr="00ED760F">
        <w:t xml:space="preserve"> Pursuant to California Rules of Court, rules 8.1105 and 8.1110, this opinion is certified for publication </w:t>
      </w:r>
      <w:proofErr w:type="gramStart"/>
      <w:r w:rsidRPr="00ED760F">
        <w:t>with the exception of</w:t>
      </w:r>
      <w:proofErr w:type="gramEnd"/>
      <w:r w:rsidRPr="00ED760F">
        <w:t xml:space="preserve"> parts </w:t>
      </w:r>
      <w:r w:rsidR="003D308D">
        <w:t>II</w:t>
      </w:r>
      <w:r w:rsidRPr="00ED760F">
        <w:t xml:space="preserve"> </w:t>
      </w:r>
      <w:r w:rsidR="00F30FA2">
        <w:t xml:space="preserve">and </w:t>
      </w:r>
      <w:r w:rsidR="003D308D">
        <w:t>III</w:t>
      </w:r>
      <w:r w:rsidRPr="00ED760F">
        <w:t xml:space="preserve"> of the Discussion.</w:t>
      </w:r>
    </w:p>
  </w:footnote>
  <w:footnote w:id="3">
    <w:p w14:paraId="5496D600" w14:textId="293197DC" w:rsidR="003E5452" w:rsidRPr="002972F3" w:rsidRDefault="003E5452" w:rsidP="00305A04">
      <w:pPr>
        <w:pStyle w:val="FootnoteText"/>
        <w:spacing w:after="160"/>
        <w:ind w:firstLine="720"/>
      </w:pPr>
      <w:r>
        <w:rPr>
          <w:rStyle w:val="FootnoteReference"/>
        </w:rPr>
        <w:footnoteRef/>
      </w:r>
      <w:r>
        <w:t xml:space="preserve"> </w:t>
      </w:r>
      <w:r w:rsidR="00A65C11" w:rsidRPr="00A13A30">
        <w:t>Johns</w:t>
      </w:r>
      <w:r w:rsidR="00A65C11">
        <w:t>-</w:t>
      </w:r>
      <w:r w:rsidR="00A65C11" w:rsidRPr="00A13A30">
        <w:t xml:space="preserve">Manville was </w:t>
      </w:r>
      <w:r w:rsidR="00A65C11">
        <w:t xml:space="preserve">a global leader in the </w:t>
      </w:r>
      <w:r w:rsidR="00A65C11" w:rsidRPr="00A13A30">
        <w:t>manufactur</w:t>
      </w:r>
      <w:r w:rsidR="00A65C11">
        <w:t>ing</w:t>
      </w:r>
      <w:r w:rsidR="00A65C11" w:rsidRPr="00A13A30">
        <w:t xml:space="preserve"> of asbestos-containing products</w:t>
      </w:r>
      <w:r w:rsidR="00A65C11">
        <w:t xml:space="preserve">. </w:t>
      </w:r>
      <w:r w:rsidR="00755B7C">
        <w:t xml:space="preserve"> </w:t>
      </w:r>
      <w:r w:rsidR="009425E6">
        <w:t xml:space="preserve">After </w:t>
      </w:r>
      <w:r w:rsidR="009425E6" w:rsidRPr="00A13A30">
        <w:t>Johns</w:t>
      </w:r>
      <w:r w:rsidR="009425E6">
        <w:t>-</w:t>
      </w:r>
      <w:r w:rsidR="009425E6" w:rsidRPr="00A13A30">
        <w:t>Manville</w:t>
      </w:r>
      <w:r w:rsidR="009425E6">
        <w:t xml:space="preserve"> </w:t>
      </w:r>
      <w:r w:rsidR="009425E6" w:rsidRPr="001A53D1">
        <w:t xml:space="preserve">declared bankruptcy in </w:t>
      </w:r>
      <w:r w:rsidR="009425E6">
        <w:t>1982,</w:t>
      </w:r>
      <w:r w:rsidR="009425E6" w:rsidRPr="001A53D1">
        <w:t xml:space="preserve"> its asbestos-cement pipe business </w:t>
      </w:r>
      <w:r w:rsidR="009425E6">
        <w:t>was purchased by</w:t>
      </w:r>
      <w:r w:rsidR="009425E6" w:rsidRPr="001A53D1">
        <w:t xml:space="preserve"> </w:t>
      </w:r>
      <w:r w:rsidRPr="001A53D1">
        <w:t xml:space="preserve">two companies that began operations on January 1, 1983: </w:t>
      </w:r>
      <w:r w:rsidR="00200CE7">
        <w:t xml:space="preserve"> </w:t>
      </w:r>
      <w:r w:rsidRPr="001A53D1">
        <w:t>J-M A/C Pipe Corporation (J-M A/C), which manufactured asbestos-cement pipe, and J-MM, which sold asbestos-cement pipe that J-M A/C manufactured.</w:t>
      </w:r>
      <w:r>
        <w:t xml:space="preserve"> </w:t>
      </w:r>
    </w:p>
  </w:footnote>
  <w:footnote w:id="4">
    <w:p w14:paraId="59925CF7" w14:textId="31AB4870" w:rsidR="000203B3" w:rsidRDefault="000203B3" w:rsidP="00305A04">
      <w:pPr>
        <w:pStyle w:val="FootnoteText"/>
        <w:spacing w:after="160"/>
        <w:ind w:firstLine="720"/>
      </w:pPr>
      <w:r>
        <w:rPr>
          <w:rStyle w:val="FootnoteReference"/>
        </w:rPr>
        <w:footnoteRef/>
      </w:r>
      <w:r>
        <w:t xml:space="preserve"> </w:t>
      </w:r>
      <w:r w:rsidRPr="000203B3">
        <w:t xml:space="preserve">The court ordered that J-MM was severally liable for $166,465.52 of </w:t>
      </w:r>
      <w:r w:rsidR="0027314D">
        <w:t>Cornelius</w:t>
      </w:r>
      <w:r w:rsidRPr="000203B3">
        <w:t xml:space="preserve">’s expert costs and fees, and jointly and severally liable with Voss for the $139,079.34 remainder of </w:t>
      </w:r>
      <w:r w:rsidR="0027314D">
        <w:t>Cornelius</w:t>
      </w:r>
      <w:r w:rsidRPr="000203B3">
        <w:t xml:space="preserve">’s costs. </w:t>
      </w:r>
      <w:r w:rsidR="00755B7C">
        <w:t xml:space="preserve"> </w:t>
      </w:r>
      <w:r w:rsidR="0027314D">
        <w:t xml:space="preserve">J-MM appears to have abandoned its appeal from the order on its motion to </w:t>
      </w:r>
      <w:r w:rsidR="00BC3335">
        <w:t>tax</w:t>
      </w:r>
      <w:r w:rsidR="0027314D">
        <w:t xml:space="preserve"> costs, and we do not address the issue further.</w:t>
      </w:r>
    </w:p>
  </w:footnote>
  <w:footnote w:id="5">
    <w:p w14:paraId="7AFC9010" w14:textId="6B5AFA73" w:rsidR="00CA3070" w:rsidRDefault="00CA3070" w:rsidP="00305A04">
      <w:pPr>
        <w:pStyle w:val="FootnoteText"/>
        <w:spacing w:after="160"/>
        <w:ind w:firstLine="720"/>
      </w:pPr>
      <w:r>
        <w:rPr>
          <w:rStyle w:val="FootnoteReference"/>
        </w:rPr>
        <w:footnoteRef/>
      </w:r>
      <w:r>
        <w:t xml:space="preserve"> Given it does not appear that </w:t>
      </w:r>
      <w:r w:rsidR="00883642">
        <w:t>Cornelius</w:t>
      </w:r>
      <w:r>
        <w:t xml:space="preserve"> sought to prove liability at trial under the alternative risk-benefit test and the two design defect tests “do not serve as defenses to one another” </w:t>
      </w:r>
      <w:r w:rsidRPr="00046C0D">
        <w:t>(</w:t>
      </w:r>
      <w:r w:rsidRPr="007551B1">
        <w:rPr>
          <w:i/>
          <w:iCs/>
        </w:rPr>
        <w:t>Chavez v. Glock, Inc.</w:t>
      </w:r>
      <w:r w:rsidRPr="00046C0D">
        <w:t xml:space="preserve"> (2012) 207</w:t>
      </w:r>
      <w:r>
        <w:t xml:space="preserve"> </w:t>
      </w:r>
      <w:r w:rsidRPr="00046C0D">
        <w:t>Cal.App.4th 1283, 1303</w:t>
      </w:r>
      <w:r>
        <w:t>), we do not address the foreseeability element of the risk-benefit test.</w:t>
      </w:r>
    </w:p>
  </w:footnote>
  <w:footnote w:id="6">
    <w:p w14:paraId="41D5A651" w14:textId="11A6106D" w:rsidR="0011426D" w:rsidRPr="0058568F" w:rsidRDefault="0011426D" w:rsidP="00305A04">
      <w:pPr>
        <w:pStyle w:val="FootnoteText"/>
        <w:spacing w:after="160"/>
        <w:ind w:firstLine="720"/>
      </w:pPr>
      <w:r>
        <w:rPr>
          <w:rStyle w:val="FootnoteReference"/>
        </w:rPr>
        <w:footnoteRef/>
      </w:r>
      <w:r>
        <w:t xml:space="preserve"> Cases cited by J-MM and amici curiae on bystander recovery under other state laws are not binding</w:t>
      </w:r>
      <w:r w:rsidR="00233D17">
        <w:t xml:space="preserve"> on this court or our interpretation of California law</w:t>
      </w:r>
      <w:r w:rsidR="00173D24">
        <w:t xml:space="preserve">. </w:t>
      </w:r>
      <w:r w:rsidR="008B06ED">
        <w:t xml:space="preserve"> </w:t>
      </w:r>
      <w:r w:rsidR="008C2688">
        <w:t>(</w:t>
      </w:r>
      <w:r w:rsidR="00173D24">
        <w:t>See</w:t>
      </w:r>
      <w:r w:rsidR="00233D17">
        <w:t xml:space="preserve"> </w:t>
      </w:r>
      <w:r w:rsidR="00C41085" w:rsidRPr="00233D17">
        <w:rPr>
          <w:i/>
          <w:iCs/>
        </w:rPr>
        <w:t>Episcopal Church Cases</w:t>
      </w:r>
      <w:r w:rsidR="00C41085">
        <w:t xml:space="preserve"> (2009) 45 Cal.4th 467, </w:t>
      </w:r>
      <w:r w:rsidR="00233D17">
        <w:t>490</w:t>
      </w:r>
      <w:r w:rsidR="00173D24">
        <w:t>.</w:t>
      </w:r>
      <w:r w:rsidR="008C2688">
        <w:t>)</w:t>
      </w:r>
      <w:r w:rsidR="00173D24">
        <w:t xml:space="preserve"> </w:t>
      </w:r>
      <w:r w:rsidR="00D2386F">
        <w:t xml:space="preserve"> </w:t>
      </w:r>
      <w:r w:rsidR="00173D24">
        <w:t>Nor do we find them persuasive</w:t>
      </w:r>
      <w:r w:rsidR="00D47855">
        <w:t xml:space="preserve">.  </w:t>
      </w:r>
      <w:r w:rsidR="00D47855" w:rsidRPr="004452D0">
        <w:rPr>
          <w:i/>
          <w:iCs/>
        </w:rPr>
        <w:t>Martin v. Cincinnati Gas and Elec. Co.</w:t>
      </w:r>
      <w:r w:rsidR="00D47855">
        <w:t xml:space="preserve"> (6th Cir. 2009) 561 F.3d 439, for example, relies on Kentucky law that is</w:t>
      </w:r>
      <w:r w:rsidR="00F846C1">
        <w:t xml:space="preserve"> contrary to the broad</w:t>
      </w:r>
      <w:r w:rsidR="00C41085">
        <w:t>er conception of bystander recovery set forth</w:t>
      </w:r>
      <w:r w:rsidR="00C973DC">
        <w:t xml:space="preserve"> in</w:t>
      </w:r>
      <w:r>
        <w:t xml:space="preserve"> </w:t>
      </w:r>
      <w:r>
        <w:rPr>
          <w:i/>
          <w:iCs/>
        </w:rPr>
        <w:t>Elmore</w:t>
      </w:r>
      <w:r w:rsidR="00173D24">
        <w:t>.</w:t>
      </w:r>
      <w:r w:rsidR="00C41085">
        <w:t xml:space="preserve"> </w:t>
      </w:r>
      <w:r w:rsidR="00173D24">
        <w:t xml:space="preserve"> </w:t>
      </w:r>
      <w:r>
        <w:t>(</w:t>
      </w:r>
      <w:r w:rsidR="00D47855">
        <w:rPr>
          <w:i/>
          <w:iCs/>
        </w:rPr>
        <w:t>Id.</w:t>
      </w:r>
      <w:r>
        <w:t xml:space="preserve"> </w:t>
      </w:r>
      <w:r w:rsidR="00D47855">
        <w:t>at pp.</w:t>
      </w:r>
      <w:r w:rsidR="003D308D">
        <w:t xml:space="preserve"> </w:t>
      </w:r>
      <w:r>
        <w:t>446–447</w:t>
      </w:r>
      <w:r w:rsidR="00173D24">
        <w:t>.</w:t>
      </w:r>
      <w:r w:rsidR="00233D17">
        <w:t>)</w:t>
      </w:r>
      <w:r w:rsidR="00C41085" w:rsidRPr="00C41085">
        <w:t xml:space="preserve"> </w:t>
      </w:r>
      <w:r w:rsidR="00D2386F">
        <w:t xml:space="preserve"> </w:t>
      </w:r>
      <w:proofErr w:type="spellStart"/>
      <w:r w:rsidR="0058568F" w:rsidRPr="00713FD9">
        <w:rPr>
          <w:i/>
          <w:iCs/>
        </w:rPr>
        <w:t>Rohrbaugh</w:t>
      </w:r>
      <w:proofErr w:type="spellEnd"/>
      <w:r w:rsidR="0058568F" w:rsidRPr="00713FD9">
        <w:rPr>
          <w:i/>
          <w:iCs/>
        </w:rPr>
        <w:t xml:space="preserve"> v. Owens-Corning Fiberglas Corp.</w:t>
      </w:r>
      <w:r w:rsidR="0058568F" w:rsidRPr="00D2386F">
        <w:t xml:space="preserve"> (10th Cir. 1992) 965 F.2d 844</w:t>
      </w:r>
      <w:r w:rsidR="0058568F">
        <w:t xml:space="preserve"> </w:t>
      </w:r>
      <w:r w:rsidR="00172295">
        <w:t xml:space="preserve">involves concepts in negligence: </w:t>
      </w:r>
      <w:r w:rsidR="0058568F">
        <w:t xml:space="preserve"> </w:t>
      </w:r>
      <w:r w:rsidR="00172295">
        <w:t xml:space="preserve">specifically, </w:t>
      </w:r>
      <w:r w:rsidR="0058568F">
        <w:t>the scope of a manufacturer’s duty to warn under Oklahoma law.  (</w:t>
      </w:r>
      <w:r w:rsidR="0058568F">
        <w:rPr>
          <w:i/>
          <w:iCs/>
        </w:rPr>
        <w:t>Id.</w:t>
      </w:r>
      <w:r w:rsidR="0058568F">
        <w:t xml:space="preserve"> at p.</w:t>
      </w:r>
      <w:r w:rsidR="003D308D">
        <w:t xml:space="preserve"> </w:t>
      </w:r>
      <w:r w:rsidR="0058568F">
        <w:t>846.)</w:t>
      </w:r>
      <w:r w:rsidR="00172295">
        <w:t xml:space="preserve">  </w:t>
      </w:r>
      <w:proofErr w:type="spellStart"/>
      <w:r w:rsidR="00172295" w:rsidRPr="00172295">
        <w:rPr>
          <w:i/>
          <w:iCs/>
        </w:rPr>
        <w:t>Magoffe</w:t>
      </w:r>
      <w:proofErr w:type="spellEnd"/>
      <w:r w:rsidR="00172295" w:rsidRPr="00172295">
        <w:rPr>
          <w:i/>
          <w:iCs/>
        </w:rPr>
        <w:t xml:space="preserve"> v. JLG Industries, Inc.</w:t>
      </w:r>
      <w:r w:rsidR="00172295" w:rsidRPr="00172295">
        <w:t xml:space="preserve"> (10th Cir. 2010) 375 </w:t>
      </w:r>
      <w:proofErr w:type="spellStart"/>
      <w:r w:rsidR="00172295" w:rsidRPr="00172295">
        <w:t>Fed.App</w:t>
      </w:r>
      <w:r w:rsidR="00CE7B05">
        <w:t>x</w:t>
      </w:r>
      <w:proofErr w:type="spellEnd"/>
      <w:r w:rsidR="00CE7B05">
        <w:t>.</w:t>
      </w:r>
      <w:r w:rsidR="00172295" w:rsidRPr="00172295">
        <w:t xml:space="preserve"> 848</w:t>
      </w:r>
      <w:r w:rsidR="00172295">
        <w:t xml:space="preserve"> </w:t>
      </w:r>
      <w:r w:rsidR="009F6AB2">
        <w:t xml:space="preserve">is </w:t>
      </w:r>
      <w:r w:rsidR="00BB056A">
        <w:t xml:space="preserve">also </w:t>
      </w:r>
      <w:r w:rsidR="009F6AB2">
        <w:t>inapposite</w:t>
      </w:r>
      <w:r w:rsidR="00E86F35">
        <w:t>;</w:t>
      </w:r>
      <w:r w:rsidR="009F6AB2">
        <w:t xml:space="preserve"> it </w:t>
      </w:r>
      <w:r w:rsidR="00172295">
        <w:t xml:space="preserve">explains </w:t>
      </w:r>
      <w:r w:rsidR="009F6AB2">
        <w:t xml:space="preserve">that </w:t>
      </w:r>
      <w:r w:rsidR="00172295">
        <w:t>strict liability for</w:t>
      </w:r>
      <w:r w:rsidR="009F6AB2">
        <w:t xml:space="preserve"> product defects</w:t>
      </w:r>
      <w:r w:rsidR="00172295">
        <w:t xml:space="preserve"> may be limited </w:t>
      </w:r>
      <w:r w:rsidR="009F6AB2">
        <w:t xml:space="preserve">by unforeseeable </w:t>
      </w:r>
      <w:r w:rsidR="009F6AB2">
        <w:rPr>
          <w:i/>
          <w:iCs/>
        </w:rPr>
        <w:t>modification</w:t>
      </w:r>
      <w:r w:rsidR="009F6AB2">
        <w:t xml:space="preserve"> of </w:t>
      </w:r>
      <w:r w:rsidR="002B6D1E">
        <w:t xml:space="preserve">a </w:t>
      </w:r>
      <w:r w:rsidR="009F6AB2">
        <w:t>product</w:t>
      </w:r>
      <w:r w:rsidR="00172295">
        <w:t xml:space="preserve"> under New Mexico law.  (</w:t>
      </w:r>
      <w:r w:rsidR="00172295">
        <w:rPr>
          <w:i/>
          <w:iCs/>
        </w:rPr>
        <w:t>Id.</w:t>
      </w:r>
      <w:r w:rsidR="00172295">
        <w:t xml:space="preserve"> at p.</w:t>
      </w:r>
      <w:r w:rsidR="003D308D">
        <w:t xml:space="preserve"> </w:t>
      </w:r>
      <w:r w:rsidR="00172295" w:rsidRPr="00172295">
        <w:t>850</w:t>
      </w:r>
      <w:r w:rsidR="00172295">
        <w:t>.)</w:t>
      </w:r>
    </w:p>
  </w:footnote>
  <w:footnote w:id="7">
    <w:p w14:paraId="10FB6BFE" w14:textId="74379FB2" w:rsidR="002A7205" w:rsidRDefault="002A7205" w:rsidP="00305A04">
      <w:pPr>
        <w:pStyle w:val="FootnoteText"/>
        <w:spacing w:after="160"/>
        <w:ind w:firstLine="720"/>
      </w:pPr>
      <w:r>
        <w:rPr>
          <w:rStyle w:val="FootnoteReference"/>
        </w:rPr>
        <w:footnoteRef/>
      </w:r>
      <w:r>
        <w:t xml:space="preserve"> Given this conclusion, we need not address J-MM’s argument that </w:t>
      </w:r>
      <w:r w:rsidR="0099531E">
        <w:t>Cornelius’s</w:t>
      </w:r>
      <w:r w:rsidR="00352916">
        <w:t xml:space="preserve"> experts</w:t>
      </w:r>
      <w:r>
        <w:t xml:space="preserve"> did not close the “evidentiary gap” on exposure</w:t>
      </w:r>
      <w:r w:rsidR="00FA0288">
        <w:t xml:space="preserve"> to asbestos-cement pipe supplied by J-MM</w:t>
      </w:r>
      <w:r>
        <w:t xml:space="preserve">. </w:t>
      </w:r>
    </w:p>
  </w:footnote>
  <w:footnote w:id="8">
    <w:p w14:paraId="217D445F" w14:textId="33BC912B" w:rsidR="00F57D03" w:rsidRDefault="00F57D03" w:rsidP="00305A04">
      <w:pPr>
        <w:pStyle w:val="FootnoteText"/>
        <w:spacing w:after="160"/>
        <w:ind w:firstLine="720"/>
      </w:pPr>
      <w:r>
        <w:rPr>
          <w:rStyle w:val="FootnoteReference"/>
        </w:rPr>
        <w:footnoteRef/>
      </w:r>
      <w:r>
        <w:t xml:space="preserve"> J-MM </w:t>
      </w:r>
      <w:r w:rsidR="008D5E54">
        <w:t>argues that it submitted such evidence through</w:t>
      </w:r>
      <w:r>
        <w:t xml:space="preserve"> </w:t>
      </w:r>
      <w:r w:rsidR="008D5E54">
        <w:t xml:space="preserve">Martinez’s </w:t>
      </w:r>
      <w:r>
        <w:t xml:space="preserve">trial testimony, but </w:t>
      </w:r>
      <w:r w:rsidR="001C4D5E">
        <w:t>only cites his</w:t>
      </w:r>
      <w:r w:rsidR="008D5E54">
        <w:t xml:space="preserve"> </w:t>
      </w:r>
      <w:r>
        <w:t xml:space="preserve">testimony </w:t>
      </w:r>
      <w:r w:rsidR="001C4D5E">
        <w:t>regarding</w:t>
      </w:r>
      <w:r>
        <w:t xml:space="preserve"> the </w:t>
      </w:r>
      <w:r w:rsidRPr="0054292E">
        <w:t>report</w:t>
      </w:r>
      <w:r>
        <w:t xml:space="preserve"> (not the PowerPoint presentation). </w:t>
      </w:r>
      <w:r w:rsidR="0093104F">
        <w:t xml:space="preserve"> </w:t>
      </w:r>
      <w:r>
        <w:t>California Rules of Court, rule 8.204(a)(1)(C)</w:t>
      </w:r>
      <w:r w:rsidR="001863FD">
        <w:t xml:space="preserve">, </w:t>
      </w:r>
      <w:r w:rsidR="004937C0">
        <w:t>required</w:t>
      </w:r>
      <w:r w:rsidR="001863FD">
        <w:t xml:space="preserve"> J-MM to support its arguments</w:t>
      </w:r>
      <w:r>
        <w:t xml:space="preserve"> by citation to</w:t>
      </w:r>
      <w:r w:rsidR="001863FD">
        <w:t xml:space="preserve"> the</w:t>
      </w:r>
      <w:r>
        <w:t xml:space="preserve"> volume and page number of </w:t>
      </w:r>
      <w:r w:rsidR="003D308D">
        <w:t xml:space="preserve">the </w:t>
      </w:r>
      <w:r>
        <w:t>record where</w:t>
      </w:r>
      <w:r w:rsidR="007F57AA">
        <w:t xml:space="preserve"> the</w:t>
      </w:r>
      <w:r>
        <w:t xml:space="preserve"> </w:t>
      </w:r>
      <w:r w:rsidR="001863FD">
        <w:t xml:space="preserve">relevant </w:t>
      </w:r>
      <w:r>
        <w:t>matter appears.</w:t>
      </w:r>
    </w:p>
  </w:footnote>
  <w:footnote w:id="9">
    <w:p w14:paraId="77B800FB" w14:textId="4C22B13A" w:rsidR="00C73038" w:rsidRDefault="00C73038" w:rsidP="00305A04">
      <w:pPr>
        <w:pStyle w:val="FootnoteText"/>
        <w:spacing w:after="160"/>
        <w:ind w:firstLine="720"/>
      </w:pPr>
      <w:r>
        <w:rPr>
          <w:rStyle w:val="FootnoteReference"/>
        </w:rPr>
        <w:footnoteRef/>
      </w:r>
      <w:r>
        <w:t xml:space="preserve"> J-MM argues</w:t>
      </w:r>
      <w:r w:rsidR="0052125F">
        <w:t xml:space="preserve"> that Martinez</w:t>
      </w:r>
      <w:r w:rsidR="00DD0BC4">
        <w:t xml:space="preserve"> also</w:t>
      </w:r>
      <w:r w:rsidR="0052125F">
        <w:t xml:space="preserve"> authenticated these records</w:t>
      </w:r>
      <w:r>
        <w:t xml:space="preserve">, but </w:t>
      </w:r>
      <w:r w:rsidR="00827D1D">
        <w:t xml:space="preserve">its </w:t>
      </w:r>
      <w:r w:rsidR="00BF7840">
        <w:t xml:space="preserve">underlying motion </w:t>
      </w:r>
      <w:r w:rsidR="00827D1D">
        <w:t>relied exclusively on</w:t>
      </w:r>
      <w:r w:rsidR="00BF7840">
        <w:t xml:space="preserve"> Smith’s trial testimony</w:t>
      </w:r>
      <w:r w:rsidR="00604A03">
        <w:t xml:space="preserve"> </w:t>
      </w:r>
      <w:r w:rsidR="00827D1D">
        <w:t>for</w:t>
      </w:r>
      <w:r w:rsidR="00604A03">
        <w:t xml:space="preserve"> authentication</w:t>
      </w:r>
      <w:r w:rsidR="00BF7840">
        <w:t>.</w:t>
      </w:r>
      <w:r>
        <w:t xml:space="preserve"> </w:t>
      </w:r>
      <w:r w:rsidR="003D756C">
        <w:t xml:space="preserve"> </w:t>
      </w:r>
      <w:r w:rsidR="003D756C" w:rsidRPr="003D756C">
        <w:t>(</w:t>
      </w:r>
      <w:r w:rsidR="00967EA7">
        <w:t xml:space="preserve">See </w:t>
      </w:r>
      <w:r w:rsidR="003D756C" w:rsidRPr="00967EA7">
        <w:rPr>
          <w:i/>
          <w:iCs/>
        </w:rPr>
        <w:t>Hewlett</w:t>
      </w:r>
      <w:r w:rsidR="003D308D">
        <w:rPr>
          <w:i/>
          <w:iCs/>
        </w:rPr>
        <w:t>-</w:t>
      </w:r>
      <w:r w:rsidR="003D756C" w:rsidRPr="00967EA7">
        <w:rPr>
          <w:i/>
          <w:iCs/>
        </w:rPr>
        <w:t>Packard Co. v. Oracle Corp</w:t>
      </w:r>
      <w:r w:rsidR="00827D1D" w:rsidRPr="00967EA7">
        <w:rPr>
          <w:i/>
          <w:iCs/>
        </w:rPr>
        <w:t xml:space="preserve">. </w:t>
      </w:r>
      <w:r w:rsidR="00827D1D">
        <w:t xml:space="preserve">(2021) </w:t>
      </w:r>
      <w:r w:rsidR="003D756C" w:rsidRPr="003D756C">
        <w:t xml:space="preserve">65 Cal.App.5th </w:t>
      </w:r>
      <w:r w:rsidR="00827D1D">
        <w:t>506,</w:t>
      </w:r>
      <w:r w:rsidR="003D756C" w:rsidRPr="003D756C">
        <w:t xml:space="preserve"> 548</w:t>
      </w:r>
      <w:r w:rsidR="00827D1D">
        <w:t xml:space="preserve"> </w:t>
      </w:r>
      <w:proofErr w:type="gramStart"/>
      <w:r w:rsidR="00827D1D">
        <w:t>[</w:t>
      </w:r>
      <w:r w:rsidR="00827D1D" w:rsidRPr="00827D1D">
        <w:t>“</w:t>
      </w:r>
      <w:r w:rsidR="00967EA7">
        <w:t> </w:t>
      </w:r>
      <w:r w:rsidR="00827D1D" w:rsidRPr="00827D1D">
        <w:t>‘</w:t>
      </w:r>
      <w:proofErr w:type="gramEnd"/>
      <w:r w:rsidR="003D308D">
        <w:t> “</w:t>
      </w:r>
      <w:r w:rsidR="00827D1D" w:rsidRPr="00827D1D">
        <w:t>As a general rule, theories not raised in the trial court cannot be asserted for the first time on appeal</w:t>
      </w:r>
      <w:r w:rsidR="003D308D">
        <w:t>” ’ </w:t>
      </w:r>
      <w:r w:rsidR="00967EA7">
        <w:t>”].)</w:t>
      </w:r>
    </w:p>
  </w:footnote>
  <w:footnote w:id="10">
    <w:p w14:paraId="522A6AF0" w14:textId="55AE6BA9" w:rsidR="00B05AF5" w:rsidRDefault="00B05AF5" w:rsidP="00305A04">
      <w:pPr>
        <w:pStyle w:val="FootnoteText"/>
        <w:spacing w:after="160"/>
        <w:ind w:firstLine="720"/>
      </w:pPr>
      <w:r>
        <w:rPr>
          <w:rStyle w:val="FootnoteReference"/>
        </w:rPr>
        <w:footnoteRef/>
      </w:r>
      <w:r>
        <w:t xml:space="preserve"> Given this conclusion, we need not address J-MM’s argument that the authenticated records satisfied certain hearsay exceptions. </w:t>
      </w:r>
    </w:p>
  </w:footnote>
  <w:footnote w:id="11">
    <w:p w14:paraId="5BD3FA60" w14:textId="19939471" w:rsidR="005834F1" w:rsidRDefault="005834F1" w:rsidP="00305A04">
      <w:pPr>
        <w:pStyle w:val="FootnoteText"/>
        <w:spacing w:after="160"/>
        <w:ind w:firstLine="720"/>
      </w:pPr>
      <w:r>
        <w:rPr>
          <w:rStyle w:val="FootnoteReference"/>
        </w:rPr>
        <w:footnoteRef/>
      </w:r>
      <w:r>
        <w:t xml:space="preserve"> Given this conclusion, we need not address J-MM’s arguments that any abuse of discretion was prejudicial.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C454" w14:textId="77777777" w:rsidR="00687E26" w:rsidRDefault="00687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7675" w14:textId="77777777" w:rsidR="00687E26" w:rsidRDefault="00687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3F84" w14:textId="77777777" w:rsidR="00687E26" w:rsidRDefault="00687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81D"/>
    <w:multiLevelType w:val="hybridMultilevel"/>
    <w:tmpl w:val="684A8060"/>
    <w:lvl w:ilvl="0" w:tplc="34D8929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1ED0C56"/>
    <w:multiLevelType w:val="hybridMultilevel"/>
    <w:tmpl w:val="684A8060"/>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3421702"/>
    <w:multiLevelType w:val="hybridMultilevel"/>
    <w:tmpl w:val="38DE1C2A"/>
    <w:lvl w:ilvl="0" w:tplc="1F207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715AC"/>
    <w:multiLevelType w:val="hybridMultilevel"/>
    <w:tmpl w:val="848A4498"/>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08426F60"/>
    <w:multiLevelType w:val="hybridMultilevel"/>
    <w:tmpl w:val="989C1010"/>
    <w:lvl w:ilvl="0" w:tplc="206E6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64B69"/>
    <w:multiLevelType w:val="hybridMultilevel"/>
    <w:tmpl w:val="47829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C7C04"/>
    <w:multiLevelType w:val="hybridMultilevel"/>
    <w:tmpl w:val="7C52DFD2"/>
    <w:lvl w:ilvl="0" w:tplc="17DA8C72">
      <w:start w:val="2"/>
      <w:numFmt w:val="bullet"/>
      <w:lvlText w:val="-"/>
      <w:lvlJc w:val="left"/>
      <w:pPr>
        <w:ind w:left="432" w:hanging="360"/>
      </w:pPr>
      <w:rPr>
        <w:rFonts w:ascii="Century Schoolbook" w:eastAsiaTheme="minorHAnsi" w:hAnsi="Century Schoolbook"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18BE6FB7"/>
    <w:multiLevelType w:val="hybridMultilevel"/>
    <w:tmpl w:val="5F4EC3CE"/>
    <w:lvl w:ilvl="0" w:tplc="69823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701B16"/>
    <w:multiLevelType w:val="hybridMultilevel"/>
    <w:tmpl w:val="744ACDBE"/>
    <w:lvl w:ilvl="0" w:tplc="7C0AF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6B1F4C"/>
    <w:multiLevelType w:val="hybridMultilevel"/>
    <w:tmpl w:val="D5B40B6E"/>
    <w:lvl w:ilvl="0" w:tplc="502C1688">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7455C"/>
    <w:multiLevelType w:val="hybridMultilevel"/>
    <w:tmpl w:val="E3CE169E"/>
    <w:lvl w:ilvl="0" w:tplc="A8B21F7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DA6918"/>
    <w:multiLevelType w:val="hybridMultilevel"/>
    <w:tmpl w:val="DD8005BA"/>
    <w:lvl w:ilvl="0" w:tplc="675A6422">
      <w:numFmt w:val="bullet"/>
      <w:lvlText w:val="-"/>
      <w:lvlJc w:val="left"/>
      <w:pPr>
        <w:ind w:left="435" w:hanging="360"/>
      </w:pPr>
      <w:rPr>
        <w:rFonts w:ascii="Century Schoolbook" w:eastAsiaTheme="minorHAnsi" w:hAnsi="Century Schoolbook"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23FA74EB"/>
    <w:multiLevelType w:val="hybridMultilevel"/>
    <w:tmpl w:val="C00C2F2C"/>
    <w:lvl w:ilvl="0" w:tplc="673848B6">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2D78DF"/>
    <w:multiLevelType w:val="hybridMultilevel"/>
    <w:tmpl w:val="339412D0"/>
    <w:lvl w:ilvl="0" w:tplc="9378C80E">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B322C9"/>
    <w:multiLevelType w:val="hybridMultilevel"/>
    <w:tmpl w:val="5E2C1A16"/>
    <w:lvl w:ilvl="0" w:tplc="B8843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EE4399"/>
    <w:multiLevelType w:val="hybridMultilevel"/>
    <w:tmpl w:val="79E4C6C8"/>
    <w:lvl w:ilvl="0" w:tplc="9C2CAD2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F04B72"/>
    <w:multiLevelType w:val="hybridMultilevel"/>
    <w:tmpl w:val="C75CB9AA"/>
    <w:lvl w:ilvl="0" w:tplc="1024778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FD4C23"/>
    <w:multiLevelType w:val="hybridMultilevel"/>
    <w:tmpl w:val="9B58EFE6"/>
    <w:lvl w:ilvl="0" w:tplc="E3A4852E">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8D62E4"/>
    <w:multiLevelType w:val="hybridMultilevel"/>
    <w:tmpl w:val="B90A6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55CFD"/>
    <w:multiLevelType w:val="hybridMultilevel"/>
    <w:tmpl w:val="FD483D8E"/>
    <w:lvl w:ilvl="0" w:tplc="F406448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C331E1C"/>
    <w:multiLevelType w:val="hybridMultilevel"/>
    <w:tmpl w:val="684A8060"/>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400E2862"/>
    <w:multiLevelType w:val="hybridMultilevel"/>
    <w:tmpl w:val="684A8060"/>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40E1279"/>
    <w:multiLevelType w:val="hybridMultilevel"/>
    <w:tmpl w:val="7B8AD818"/>
    <w:lvl w:ilvl="0" w:tplc="1714AE7C">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AD7C98"/>
    <w:multiLevelType w:val="hybridMultilevel"/>
    <w:tmpl w:val="684A8060"/>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4DD52BD8"/>
    <w:multiLevelType w:val="hybridMultilevel"/>
    <w:tmpl w:val="FDFC56EE"/>
    <w:lvl w:ilvl="0" w:tplc="1900732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E83653"/>
    <w:multiLevelType w:val="hybridMultilevel"/>
    <w:tmpl w:val="C61EEF46"/>
    <w:lvl w:ilvl="0" w:tplc="3B12B184">
      <w:start w:val="1"/>
      <w:numFmt w:val="upp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3086F06"/>
    <w:multiLevelType w:val="hybridMultilevel"/>
    <w:tmpl w:val="90604CCE"/>
    <w:lvl w:ilvl="0" w:tplc="7DBC2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893AFC"/>
    <w:multiLevelType w:val="hybridMultilevel"/>
    <w:tmpl w:val="35B6E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671474"/>
    <w:multiLevelType w:val="hybridMultilevel"/>
    <w:tmpl w:val="95EC281E"/>
    <w:lvl w:ilvl="0" w:tplc="41A6EDA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DB4795"/>
    <w:multiLevelType w:val="hybridMultilevel"/>
    <w:tmpl w:val="6622B3B2"/>
    <w:lvl w:ilvl="0" w:tplc="E32A5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0A3C53"/>
    <w:multiLevelType w:val="hybridMultilevel"/>
    <w:tmpl w:val="2F6CA48A"/>
    <w:lvl w:ilvl="0" w:tplc="45DA316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0974AB"/>
    <w:multiLevelType w:val="hybridMultilevel"/>
    <w:tmpl w:val="CAC0E724"/>
    <w:lvl w:ilvl="0" w:tplc="CC1253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233D05"/>
    <w:multiLevelType w:val="hybridMultilevel"/>
    <w:tmpl w:val="848A4498"/>
    <w:lvl w:ilvl="0" w:tplc="D472AC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217741"/>
    <w:multiLevelType w:val="hybridMultilevel"/>
    <w:tmpl w:val="105C17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F452CA"/>
    <w:multiLevelType w:val="hybridMultilevel"/>
    <w:tmpl w:val="EFCC0D4E"/>
    <w:lvl w:ilvl="0" w:tplc="ADB0E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9806036">
    <w:abstractNumId w:val="5"/>
  </w:num>
  <w:num w:numId="2" w16cid:durableId="2066293287">
    <w:abstractNumId w:val="18"/>
  </w:num>
  <w:num w:numId="3" w16cid:durableId="992754216">
    <w:abstractNumId w:val="26"/>
  </w:num>
  <w:num w:numId="4" w16cid:durableId="1873108728">
    <w:abstractNumId w:val="14"/>
  </w:num>
  <w:num w:numId="5" w16cid:durableId="777917202">
    <w:abstractNumId w:val="7"/>
  </w:num>
  <w:num w:numId="6" w16cid:durableId="1994094734">
    <w:abstractNumId w:val="4"/>
  </w:num>
  <w:num w:numId="7" w16cid:durableId="1387871881">
    <w:abstractNumId w:val="15"/>
  </w:num>
  <w:num w:numId="8" w16cid:durableId="456721877">
    <w:abstractNumId w:val="16"/>
  </w:num>
  <w:num w:numId="9" w16cid:durableId="1236548173">
    <w:abstractNumId w:val="11"/>
  </w:num>
  <w:num w:numId="10" w16cid:durableId="1451165680">
    <w:abstractNumId w:val="6"/>
  </w:num>
  <w:num w:numId="11" w16cid:durableId="433331747">
    <w:abstractNumId w:val="31"/>
  </w:num>
  <w:num w:numId="12" w16cid:durableId="1639413821">
    <w:abstractNumId w:val="0"/>
  </w:num>
  <w:num w:numId="13" w16cid:durableId="819079229">
    <w:abstractNumId w:val="23"/>
  </w:num>
  <w:num w:numId="14" w16cid:durableId="1922057311">
    <w:abstractNumId w:val="1"/>
  </w:num>
  <w:num w:numId="15" w16cid:durableId="1395197386">
    <w:abstractNumId w:val="20"/>
  </w:num>
  <w:num w:numId="16" w16cid:durableId="1738287406">
    <w:abstractNumId w:val="21"/>
  </w:num>
  <w:num w:numId="17" w16cid:durableId="123470926">
    <w:abstractNumId w:val="10"/>
  </w:num>
  <w:num w:numId="18" w16cid:durableId="980693107">
    <w:abstractNumId w:val="27"/>
  </w:num>
  <w:num w:numId="19" w16cid:durableId="1753812041">
    <w:abstractNumId w:val="22"/>
  </w:num>
  <w:num w:numId="20" w16cid:durableId="2105876435">
    <w:abstractNumId w:val="33"/>
  </w:num>
  <w:num w:numId="21" w16cid:durableId="382022839">
    <w:abstractNumId w:val="28"/>
  </w:num>
  <w:num w:numId="22" w16cid:durableId="1702782524">
    <w:abstractNumId w:val="34"/>
  </w:num>
  <w:num w:numId="23" w16cid:durableId="1381588540">
    <w:abstractNumId w:val="32"/>
  </w:num>
  <w:num w:numId="24" w16cid:durableId="750392098">
    <w:abstractNumId w:val="3"/>
  </w:num>
  <w:num w:numId="25" w16cid:durableId="1612316732">
    <w:abstractNumId w:val="30"/>
  </w:num>
  <w:num w:numId="26" w16cid:durableId="1131902944">
    <w:abstractNumId w:val="25"/>
  </w:num>
  <w:num w:numId="27" w16cid:durableId="379281265">
    <w:abstractNumId w:val="12"/>
  </w:num>
  <w:num w:numId="28" w16cid:durableId="1776559923">
    <w:abstractNumId w:val="19"/>
  </w:num>
  <w:num w:numId="29" w16cid:durableId="1448160221">
    <w:abstractNumId w:val="29"/>
  </w:num>
  <w:num w:numId="30" w16cid:durableId="1075012457">
    <w:abstractNumId w:val="17"/>
  </w:num>
  <w:num w:numId="31" w16cid:durableId="235557130">
    <w:abstractNumId w:val="9"/>
  </w:num>
  <w:num w:numId="32" w16cid:durableId="623461688">
    <w:abstractNumId w:val="13"/>
  </w:num>
  <w:num w:numId="33" w16cid:durableId="1870802621">
    <w:abstractNumId w:val="8"/>
  </w:num>
  <w:num w:numId="34" w16cid:durableId="689256978">
    <w:abstractNumId w:val="24"/>
  </w:num>
  <w:num w:numId="35" w16cid:durableId="973487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6D"/>
    <w:rsid w:val="000002D7"/>
    <w:rsid w:val="000005B1"/>
    <w:rsid w:val="00000719"/>
    <w:rsid w:val="000012BE"/>
    <w:rsid w:val="000019F0"/>
    <w:rsid w:val="000022C1"/>
    <w:rsid w:val="0000291C"/>
    <w:rsid w:val="00002996"/>
    <w:rsid w:val="00002EEE"/>
    <w:rsid w:val="0000456E"/>
    <w:rsid w:val="000046E1"/>
    <w:rsid w:val="00004A62"/>
    <w:rsid w:val="0000506F"/>
    <w:rsid w:val="0000533A"/>
    <w:rsid w:val="00005C20"/>
    <w:rsid w:val="0000671A"/>
    <w:rsid w:val="00006EF0"/>
    <w:rsid w:val="000072DE"/>
    <w:rsid w:val="00007726"/>
    <w:rsid w:val="0000783E"/>
    <w:rsid w:val="00007A00"/>
    <w:rsid w:val="00007ADB"/>
    <w:rsid w:val="000108FB"/>
    <w:rsid w:val="00010BA6"/>
    <w:rsid w:val="00011279"/>
    <w:rsid w:val="000116C5"/>
    <w:rsid w:val="0001170B"/>
    <w:rsid w:val="00011D68"/>
    <w:rsid w:val="00012363"/>
    <w:rsid w:val="000129EC"/>
    <w:rsid w:val="00012BE6"/>
    <w:rsid w:val="00012C85"/>
    <w:rsid w:val="00012CEE"/>
    <w:rsid w:val="000130CE"/>
    <w:rsid w:val="000132B1"/>
    <w:rsid w:val="000136D6"/>
    <w:rsid w:val="00014B66"/>
    <w:rsid w:val="00014C6E"/>
    <w:rsid w:val="00016DC6"/>
    <w:rsid w:val="00016DDE"/>
    <w:rsid w:val="00017663"/>
    <w:rsid w:val="00017665"/>
    <w:rsid w:val="000203B3"/>
    <w:rsid w:val="000208E8"/>
    <w:rsid w:val="0002170A"/>
    <w:rsid w:val="00021850"/>
    <w:rsid w:val="00021B9E"/>
    <w:rsid w:val="0002261A"/>
    <w:rsid w:val="00022E1D"/>
    <w:rsid w:val="000230E1"/>
    <w:rsid w:val="00023237"/>
    <w:rsid w:val="000238F5"/>
    <w:rsid w:val="0002446D"/>
    <w:rsid w:val="00024F28"/>
    <w:rsid w:val="00024FDD"/>
    <w:rsid w:val="00025DED"/>
    <w:rsid w:val="00026078"/>
    <w:rsid w:val="000260CD"/>
    <w:rsid w:val="00026A15"/>
    <w:rsid w:val="000276D0"/>
    <w:rsid w:val="000279F4"/>
    <w:rsid w:val="00027E2C"/>
    <w:rsid w:val="0003002E"/>
    <w:rsid w:val="000300F0"/>
    <w:rsid w:val="00030E28"/>
    <w:rsid w:val="00031044"/>
    <w:rsid w:val="000311EF"/>
    <w:rsid w:val="0003156C"/>
    <w:rsid w:val="00032059"/>
    <w:rsid w:val="0003224A"/>
    <w:rsid w:val="00032F93"/>
    <w:rsid w:val="00034224"/>
    <w:rsid w:val="00034CF3"/>
    <w:rsid w:val="00034D65"/>
    <w:rsid w:val="00035CF6"/>
    <w:rsid w:val="00036347"/>
    <w:rsid w:val="00036A53"/>
    <w:rsid w:val="00036DEA"/>
    <w:rsid w:val="00036F30"/>
    <w:rsid w:val="00040C4D"/>
    <w:rsid w:val="00040F9D"/>
    <w:rsid w:val="00041A0E"/>
    <w:rsid w:val="00041ABF"/>
    <w:rsid w:val="00041F03"/>
    <w:rsid w:val="00042109"/>
    <w:rsid w:val="00042423"/>
    <w:rsid w:val="00042648"/>
    <w:rsid w:val="00042D69"/>
    <w:rsid w:val="00042E35"/>
    <w:rsid w:val="00043351"/>
    <w:rsid w:val="00043674"/>
    <w:rsid w:val="00044E94"/>
    <w:rsid w:val="000459ED"/>
    <w:rsid w:val="00045DEA"/>
    <w:rsid w:val="00046698"/>
    <w:rsid w:val="00046C0D"/>
    <w:rsid w:val="000502E3"/>
    <w:rsid w:val="00050859"/>
    <w:rsid w:val="000508D1"/>
    <w:rsid w:val="00050A1D"/>
    <w:rsid w:val="00050FB7"/>
    <w:rsid w:val="00051415"/>
    <w:rsid w:val="00051F7F"/>
    <w:rsid w:val="00053233"/>
    <w:rsid w:val="00053364"/>
    <w:rsid w:val="000533B4"/>
    <w:rsid w:val="0005367A"/>
    <w:rsid w:val="0005388F"/>
    <w:rsid w:val="00053F68"/>
    <w:rsid w:val="000541B8"/>
    <w:rsid w:val="0005464D"/>
    <w:rsid w:val="00055058"/>
    <w:rsid w:val="00055BE0"/>
    <w:rsid w:val="00055F77"/>
    <w:rsid w:val="00056004"/>
    <w:rsid w:val="0005611E"/>
    <w:rsid w:val="00056489"/>
    <w:rsid w:val="00056E8C"/>
    <w:rsid w:val="00057325"/>
    <w:rsid w:val="0005757D"/>
    <w:rsid w:val="00057E8E"/>
    <w:rsid w:val="000601B2"/>
    <w:rsid w:val="00060555"/>
    <w:rsid w:val="00060E40"/>
    <w:rsid w:val="00061094"/>
    <w:rsid w:val="00061E29"/>
    <w:rsid w:val="00061F2E"/>
    <w:rsid w:val="000632B0"/>
    <w:rsid w:val="0006354B"/>
    <w:rsid w:val="00063E58"/>
    <w:rsid w:val="00064201"/>
    <w:rsid w:val="00064384"/>
    <w:rsid w:val="00064D65"/>
    <w:rsid w:val="00064F81"/>
    <w:rsid w:val="00065138"/>
    <w:rsid w:val="0006516A"/>
    <w:rsid w:val="00065620"/>
    <w:rsid w:val="000658D7"/>
    <w:rsid w:val="0006590D"/>
    <w:rsid w:val="00065D2A"/>
    <w:rsid w:val="00065D2F"/>
    <w:rsid w:val="00065DD7"/>
    <w:rsid w:val="00066814"/>
    <w:rsid w:val="00066938"/>
    <w:rsid w:val="00066CD4"/>
    <w:rsid w:val="00066CF5"/>
    <w:rsid w:val="0006720B"/>
    <w:rsid w:val="000675BF"/>
    <w:rsid w:val="000701D8"/>
    <w:rsid w:val="000705C0"/>
    <w:rsid w:val="000714D3"/>
    <w:rsid w:val="00071B02"/>
    <w:rsid w:val="00072B8E"/>
    <w:rsid w:val="00072DF4"/>
    <w:rsid w:val="000732F0"/>
    <w:rsid w:val="000733CB"/>
    <w:rsid w:val="0007395B"/>
    <w:rsid w:val="00074726"/>
    <w:rsid w:val="00074F18"/>
    <w:rsid w:val="00075938"/>
    <w:rsid w:val="000765A9"/>
    <w:rsid w:val="0007688E"/>
    <w:rsid w:val="0007698A"/>
    <w:rsid w:val="00076DE8"/>
    <w:rsid w:val="00077580"/>
    <w:rsid w:val="00077A8C"/>
    <w:rsid w:val="00077AD1"/>
    <w:rsid w:val="00077F2A"/>
    <w:rsid w:val="000808C9"/>
    <w:rsid w:val="00080B3D"/>
    <w:rsid w:val="00081009"/>
    <w:rsid w:val="00081482"/>
    <w:rsid w:val="00081C21"/>
    <w:rsid w:val="00081E46"/>
    <w:rsid w:val="000829F1"/>
    <w:rsid w:val="00082B4E"/>
    <w:rsid w:val="00083177"/>
    <w:rsid w:val="00083363"/>
    <w:rsid w:val="00083943"/>
    <w:rsid w:val="00083FF7"/>
    <w:rsid w:val="0008531B"/>
    <w:rsid w:val="00085E8E"/>
    <w:rsid w:val="00086905"/>
    <w:rsid w:val="00086A98"/>
    <w:rsid w:val="00086B28"/>
    <w:rsid w:val="00086D9A"/>
    <w:rsid w:val="00087D01"/>
    <w:rsid w:val="00087EDC"/>
    <w:rsid w:val="00090439"/>
    <w:rsid w:val="0009072A"/>
    <w:rsid w:val="0009076E"/>
    <w:rsid w:val="00090795"/>
    <w:rsid w:val="00090FDA"/>
    <w:rsid w:val="000912EE"/>
    <w:rsid w:val="000916B0"/>
    <w:rsid w:val="0009189D"/>
    <w:rsid w:val="00091DB0"/>
    <w:rsid w:val="00092619"/>
    <w:rsid w:val="00092B52"/>
    <w:rsid w:val="0009369F"/>
    <w:rsid w:val="00093A82"/>
    <w:rsid w:val="000941FB"/>
    <w:rsid w:val="00095344"/>
    <w:rsid w:val="00095364"/>
    <w:rsid w:val="00095696"/>
    <w:rsid w:val="00096CA0"/>
    <w:rsid w:val="0009747D"/>
    <w:rsid w:val="00097A94"/>
    <w:rsid w:val="000A022A"/>
    <w:rsid w:val="000A1723"/>
    <w:rsid w:val="000A1725"/>
    <w:rsid w:val="000A1AE7"/>
    <w:rsid w:val="000A25C3"/>
    <w:rsid w:val="000A25FA"/>
    <w:rsid w:val="000A5B6E"/>
    <w:rsid w:val="000A5B84"/>
    <w:rsid w:val="000A5C72"/>
    <w:rsid w:val="000A5DC3"/>
    <w:rsid w:val="000A63C0"/>
    <w:rsid w:val="000A6443"/>
    <w:rsid w:val="000A6917"/>
    <w:rsid w:val="000A7970"/>
    <w:rsid w:val="000A7FF8"/>
    <w:rsid w:val="000B12A9"/>
    <w:rsid w:val="000B1757"/>
    <w:rsid w:val="000B28CE"/>
    <w:rsid w:val="000B4404"/>
    <w:rsid w:val="000B4460"/>
    <w:rsid w:val="000B4AC0"/>
    <w:rsid w:val="000B595D"/>
    <w:rsid w:val="000B6D9A"/>
    <w:rsid w:val="000B70F1"/>
    <w:rsid w:val="000B746F"/>
    <w:rsid w:val="000B75CA"/>
    <w:rsid w:val="000B7A80"/>
    <w:rsid w:val="000B7DDB"/>
    <w:rsid w:val="000B7DEF"/>
    <w:rsid w:val="000C00D8"/>
    <w:rsid w:val="000C0161"/>
    <w:rsid w:val="000C0255"/>
    <w:rsid w:val="000C0575"/>
    <w:rsid w:val="000C0A96"/>
    <w:rsid w:val="000C0C9D"/>
    <w:rsid w:val="000C123A"/>
    <w:rsid w:val="000C13B8"/>
    <w:rsid w:val="000C1C7D"/>
    <w:rsid w:val="000C1EB0"/>
    <w:rsid w:val="000C2706"/>
    <w:rsid w:val="000C2B8C"/>
    <w:rsid w:val="000C346F"/>
    <w:rsid w:val="000C3750"/>
    <w:rsid w:val="000C376D"/>
    <w:rsid w:val="000C3B66"/>
    <w:rsid w:val="000C443C"/>
    <w:rsid w:val="000C4F94"/>
    <w:rsid w:val="000C5630"/>
    <w:rsid w:val="000C566E"/>
    <w:rsid w:val="000C63DD"/>
    <w:rsid w:val="000C715E"/>
    <w:rsid w:val="000C7891"/>
    <w:rsid w:val="000C78F6"/>
    <w:rsid w:val="000D0C71"/>
    <w:rsid w:val="000D10C3"/>
    <w:rsid w:val="000D1C65"/>
    <w:rsid w:val="000D212E"/>
    <w:rsid w:val="000D3042"/>
    <w:rsid w:val="000D327B"/>
    <w:rsid w:val="000D382A"/>
    <w:rsid w:val="000D3FB4"/>
    <w:rsid w:val="000D4283"/>
    <w:rsid w:val="000D42B8"/>
    <w:rsid w:val="000D43F3"/>
    <w:rsid w:val="000D496B"/>
    <w:rsid w:val="000D4DE0"/>
    <w:rsid w:val="000D4ED4"/>
    <w:rsid w:val="000D5B48"/>
    <w:rsid w:val="000D5F28"/>
    <w:rsid w:val="000D6D09"/>
    <w:rsid w:val="000D774C"/>
    <w:rsid w:val="000D78B8"/>
    <w:rsid w:val="000D7A0A"/>
    <w:rsid w:val="000E07D1"/>
    <w:rsid w:val="000E089C"/>
    <w:rsid w:val="000E0AD4"/>
    <w:rsid w:val="000E0C3C"/>
    <w:rsid w:val="000E0CA2"/>
    <w:rsid w:val="000E0E77"/>
    <w:rsid w:val="000E1D5A"/>
    <w:rsid w:val="000E2280"/>
    <w:rsid w:val="000E257B"/>
    <w:rsid w:val="000E37DB"/>
    <w:rsid w:val="000E4081"/>
    <w:rsid w:val="000E4722"/>
    <w:rsid w:val="000E4CA8"/>
    <w:rsid w:val="000E4CE1"/>
    <w:rsid w:val="000E5450"/>
    <w:rsid w:val="000E5700"/>
    <w:rsid w:val="000E609B"/>
    <w:rsid w:val="000E60E3"/>
    <w:rsid w:val="000E6FF2"/>
    <w:rsid w:val="000E729F"/>
    <w:rsid w:val="000E7AF4"/>
    <w:rsid w:val="000E7D43"/>
    <w:rsid w:val="000F0692"/>
    <w:rsid w:val="000F1346"/>
    <w:rsid w:val="000F1D39"/>
    <w:rsid w:val="000F24EF"/>
    <w:rsid w:val="000F260B"/>
    <w:rsid w:val="000F27D4"/>
    <w:rsid w:val="000F346C"/>
    <w:rsid w:val="000F384D"/>
    <w:rsid w:val="000F3C2E"/>
    <w:rsid w:val="000F4690"/>
    <w:rsid w:val="000F49A2"/>
    <w:rsid w:val="000F4BF3"/>
    <w:rsid w:val="000F4C2D"/>
    <w:rsid w:val="000F4D5A"/>
    <w:rsid w:val="000F4E45"/>
    <w:rsid w:val="000F4EBF"/>
    <w:rsid w:val="000F5AFE"/>
    <w:rsid w:val="000F5B55"/>
    <w:rsid w:val="000F5C6E"/>
    <w:rsid w:val="000F7866"/>
    <w:rsid w:val="000F7DDA"/>
    <w:rsid w:val="000F7E14"/>
    <w:rsid w:val="00100A97"/>
    <w:rsid w:val="00100E64"/>
    <w:rsid w:val="00100FE4"/>
    <w:rsid w:val="001010CF"/>
    <w:rsid w:val="00101AE1"/>
    <w:rsid w:val="00102509"/>
    <w:rsid w:val="00102AD3"/>
    <w:rsid w:val="00102C32"/>
    <w:rsid w:val="001044EF"/>
    <w:rsid w:val="001046A7"/>
    <w:rsid w:val="001050A3"/>
    <w:rsid w:val="0010547C"/>
    <w:rsid w:val="00105ACD"/>
    <w:rsid w:val="00105B67"/>
    <w:rsid w:val="00105E70"/>
    <w:rsid w:val="00106379"/>
    <w:rsid w:val="001063C2"/>
    <w:rsid w:val="00106C58"/>
    <w:rsid w:val="00107128"/>
    <w:rsid w:val="00107381"/>
    <w:rsid w:val="0010746B"/>
    <w:rsid w:val="00107A25"/>
    <w:rsid w:val="00107F82"/>
    <w:rsid w:val="0011036C"/>
    <w:rsid w:val="00110713"/>
    <w:rsid w:val="001109E0"/>
    <w:rsid w:val="00110C2F"/>
    <w:rsid w:val="0011209A"/>
    <w:rsid w:val="0011273E"/>
    <w:rsid w:val="001130B3"/>
    <w:rsid w:val="00113675"/>
    <w:rsid w:val="001139C0"/>
    <w:rsid w:val="0011426D"/>
    <w:rsid w:val="00114F47"/>
    <w:rsid w:val="00114FFF"/>
    <w:rsid w:val="00115221"/>
    <w:rsid w:val="00115E06"/>
    <w:rsid w:val="0011681F"/>
    <w:rsid w:val="00116C62"/>
    <w:rsid w:val="00117430"/>
    <w:rsid w:val="00117502"/>
    <w:rsid w:val="00117835"/>
    <w:rsid w:val="00117D74"/>
    <w:rsid w:val="00120394"/>
    <w:rsid w:val="00120F64"/>
    <w:rsid w:val="00121448"/>
    <w:rsid w:val="0012151F"/>
    <w:rsid w:val="00122103"/>
    <w:rsid w:val="001222E0"/>
    <w:rsid w:val="001230D8"/>
    <w:rsid w:val="001237DD"/>
    <w:rsid w:val="00123C84"/>
    <w:rsid w:val="00123DE3"/>
    <w:rsid w:val="00124DE0"/>
    <w:rsid w:val="00124F66"/>
    <w:rsid w:val="0012531C"/>
    <w:rsid w:val="00125348"/>
    <w:rsid w:val="00125A0E"/>
    <w:rsid w:val="00125A5B"/>
    <w:rsid w:val="00125A93"/>
    <w:rsid w:val="001263A8"/>
    <w:rsid w:val="00126EBC"/>
    <w:rsid w:val="00127344"/>
    <w:rsid w:val="00127F36"/>
    <w:rsid w:val="001306A3"/>
    <w:rsid w:val="00130B4F"/>
    <w:rsid w:val="00131A19"/>
    <w:rsid w:val="00132064"/>
    <w:rsid w:val="00132812"/>
    <w:rsid w:val="001339AB"/>
    <w:rsid w:val="00133AE9"/>
    <w:rsid w:val="0013456F"/>
    <w:rsid w:val="00134674"/>
    <w:rsid w:val="00134AFC"/>
    <w:rsid w:val="001354E5"/>
    <w:rsid w:val="00135C34"/>
    <w:rsid w:val="001362BB"/>
    <w:rsid w:val="0013641C"/>
    <w:rsid w:val="00137188"/>
    <w:rsid w:val="001372E9"/>
    <w:rsid w:val="00137B65"/>
    <w:rsid w:val="00137FDB"/>
    <w:rsid w:val="0014065F"/>
    <w:rsid w:val="00140F33"/>
    <w:rsid w:val="001418E0"/>
    <w:rsid w:val="00142173"/>
    <w:rsid w:val="00142467"/>
    <w:rsid w:val="001424B1"/>
    <w:rsid w:val="00142800"/>
    <w:rsid w:val="00143AF7"/>
    <w:rsid w:val="00143E87"/>
    <w:rsid w:val="001442C3"/>
    <w:rsid w:val="00144313"/>
    <w:rsid w:val="001445D1"/>
    <w:rsid w:val="001447DF"/>
    <w:rsid w:val="00145C50"/>
    <w:rsid w:val="001462F7"/>
    <w:rsid w:val="0014658C"/>
    <w:rsid w:val="00146F7D"/>
    <w:rsid w:val="0014771C"/>
    <w:rsid w:val="00147AF0"/>
    <w:rsid w:val="001502D2"/>
    <w:rsid w:val="00150575"/>
    <w:rsid w:val="0015065B"/>
    <w:rsid w:val="0015143A"/>
    <w:rsid w:val="001516D5"/>
    <w:rsid w:val="00151BF8"/>
    <w:rsid w:val="00152483"/>
    <w:rsid w:val="00152C53"/>
    <w:rsid w:val="00152F52"/>
    <w:rsid w:val="001532B8"/>
    <w:rsid w:val="00153E7B"/>
    <w:rsid w:val="00153F0A"/>
    <w:rsid w:val="00154ED6"/>
    <w:rsid w:val="0015517D"/>
    <w:rsid w:val="00155C78"/>
    <w:rsid w:val="00155E4C"/>
    <w:rsid w:val="00156DAB"/>
    <w:rsid w:val="001579A3"/>
    <w:rsid w:val="00157F48"/>
    <w:rsid w:val="001602DD"/>
    <w:rsid w:val="00160B45"/>
    <w:rsid w:val="00160C39"/>
    <w:rsid w:val="00160D42"/>
    <w:rsid w:val="00160F47"/>
    <w:rsid w:val="00161A3F"/>
    <w:rsid w:val="00161F43"/>
    <w:rsid w:val="0016230B"/>
    <w:rsid w:val="0016233A"/>
    <w:rsid w:val="00162C00"/>
    <w:rsid w:val="00162CC2"/>
    <w:rsid w:val="00162EAD"/>
    <w:rsid w:val="0016316F"/>
    <w:rsid w:val="00163793"/>
    <w:rsid w:val="00163EC6"/>
    <w:rsid w:val="0016488E"/>
    <w:rsid w:val="00164A3F"/>
    <w:rsid w:val="001651E3"/>
    <w:rsid w:val="001657D1"/>
    <w:rsid w:val="00165846"/>
    <w:rsid w:val="00166B0C"/>
    <w:rsid w:val="00167136"/>
    <w:rsid w:val="001671AB"/>
    <w:rsid w:val="0016722F"/>
    <w:rsid w:val="00167825"/>
    <w:rsid w:val="00167C5B"/>
    <w:rsid w:val="0017093A"/>
    <w:rsid w:val="00170F65"/>
    <w:rsid w:val="00171EF4"/>
    <w:rsid w:val="00172295"/>
    <w:rsid w:val="00173332"/>
    <w:rsid w:val="00173D24"/>
    <w:rsid w:val="00173DED"/>
    <w:rsid w:val="0017418D"/>
    <w:rsid w:val="00174DE7"/>
    <w:rsid w:val="00175032"/>
    <w:rsid w:val="0017542A"/>
    <w:rsid w:val="00175D19"/>
    <w:rsid w:val="00175E1B"/>
    <w:rsid w:val="00176A74"/>
    <w:rsid w:val="00176BA8"/>
    <w:rsid w:val="001775DB"/>
    <w:rsid w:val="001777A5"/>
    <w:rsid w:val="001779D1"/>
    <w:rsid w:val="00177E09"/>
    <w:rsid w:val="0018035E"/>
    <w:rsid w:val="001803F2"/>
    <w:rsid w:val="001805F2"/>
    <w:rsid w:val="001809CD"/>
    <w:rsid w:val="00180D1B"/>
    <w:rsid w:val="00180EB6"/>
    <w:rsid w:val="001813E0"/>
    <w:rsid w:val="00181BDE"/>
    <w:rsid w:val="00181C2A"/>
    <w:rsid w:val="00181C54"/>
    <w:rsid w:val="00181EAB"/>
    <w:rsid w:val="0018292B"/>
    <w:rsid w:val="00183008"/>
    <w:rsid w:val="001834A6"/>
    <w:rsid w:val="0018378B"/>
    <w:rsid w:val="00183D43"/>
    <w:rsid w:val="00183FDE"/>
    <w:rsid w:val="001844C5"/>
    <w:rsid w:val="00184BBD"/>
    <w:rsid w:val="00184BCE"/>
    <w:rsid w:val="00184CE1"/>
    <w:rsid w:val="0018525F"/>
    <w:rsid w:val="001854FB"/>
    <w:rsid w:val="001855D2"/>
    <w:rsid w:val="00185989"/>
    <w:rsid w:val="00185E78"/>
    <w:rsid w:val="001863FD"/>
    <w:rsid w:val="00186829"/>
    <w:rsid w:val="0018690E"/>
    <w:rsid w:val="001872C1"/>
    <w:rsid w:val="00187BC6"/>
    <w:rsid w:val="001903BB"/>
    <w:rsid w:val="00191047"/>
    <w:rsid w:val="00191231"/>
    <w:rsid w:val="00191290"/>
    <w:rsid w:val="0019161E"/>
    <w:rsid w:val="00191C84"/>
    <w:rsid w:val="001921D9"/>
    <w:rsid w:val="00192280"/>
    <w:rsid w:val="00192725"/>
    <w:rsid w:val="00193041"/>
    <w:rsid w:val="00193759"/>
    <w:rsid w:val="00193EA0"/>
    <w:rsid w:val="00194A69"/>
    <w:rsid w:val="00194EC2"/>
    <w:rsid w:val="0019521F"/>
    <w:rsid w:val="00195347"/>
    <w:rsid w:val="001956F1"/>
    <w:rsid w:val="00196092"/>
    <w:rsid w:val="0019636D"/>
    <w:rsid w:val="00196DFA"/>
    <w:rsid w:val="001A0204"/>
    <w:rsid w:val="001A06F4"/>
    <w:rsid w:val="001A087E"/>
    <w:rsid w:val="001A091C"/>
    <w:rsid w:val="001A0A72"/>
    <w:rsid w:val="001A0D4B"/>
    <w:rsid w:val="001A1302"/>
    <w:rsid w:val="001A1317"/>
    <w:rsid w:val="001A1437"/>
    <w:rsid w:val="001A21C9"/>
    <w:rsid w:val="001A441B"/>
    <w:rsid w:val="001A4AF1"/>
    <w:rsid w:val="001A53D1"/>
    <w:rsid w:val="001A548B"/>
    <w:rsid w:val="001A5B14"/>
    <w:rsid w:val="001A5C6C"/>
    <w:rsid w:val="001A5C70"/>
    <w:rsid w:val="001A6AEF"/>
    <w:rsid w:val="001A6B64"/>
    <w:rsid w:val="001A6CE6"/>
    <w:rsid w:val="001A7089"/>
    <w:rsid w:val="001A71E0"/>
    <w:rsid w:val="001A7835"/>
    <w:rsid w:val="001A7BAC"/>
    <w:rsid w:val="001A7D8D"/>
    <w:rsid w:val="001A7FB6"/>
    <w:rsid w:val="001B05C4"/>
    <w:rsid w:val="001B0A27"/>
    <w:rsid w:val="001B2541"/>
    <w:rsid w:val="001B316E"/>
    <w:rsid w:val="001B341F"/>
    <w:rsid w:val="001B3724"/>
    <w:rsid w:val="001B3BC9"/>
    <w:rsid w:val="001B3C5D"/>
    <w:rsid w:val="001B3FEA"/>
    <w:rsid w:val="001B44FD"/>
    <w:rsid w:val="001B48A4"/>
    <w:rsid w:val="001B49C3"/>
    <w:rsid w:val="001B58AC"/>
    <w:rsid w:val="001B6233"/>
    <w:rsid w:val="001B6433"/>
    <w:rsid w:val="001B674B"/>
    <w:rsid w:val="001B6917"/>
    <w:rsid w:val="001B6B37"/>
    <w:rsid w:val="001B77DE"/>
    <w:rsid w:val="001B7918"/>
    <w:rsid w:val="001B7995"/>
    <w:rsid w:val="001B7FB0"/>
    <w:rsid w:val="001C0AC7"/>
    <w:rsid w:val="001C0BF5"/>
    <w:rsid w:val="001C1210"/>
    <w:rsid w:val="001C188A"/>
    <w:rsid w:val="001C1FDC"/>
    <w:rsid w:val="001C1FE5"/>
    <w:rsid w:val="001C2104"/>
    <w:rsid w:val="001C2244"/>
    <w:rsid w:val="001C22D9"/>
    <w:rsid w:val="001C3434"/>
    <w:rsid w:val="001C3C55"/>
    <w:rsid w:val="001C3D4E"/>
    <w:rsid w:val="001C4346"/>
    <w:rsid w:val="001C439F"/>
    <w:rsid w:val="001C4475"/>
    <w:rsid w:val="001C44A7"/>
    <w:rsid w:val="001C4D5E"/>
    <w:rsid w:val="001C4DF5"/>
    <w:rsid w:val="001C50C3"/>
    <w:rsid w:val="001C52E7"/>
    <w:rsid w:val="001C5F7F"/>
    <w:rsid w:val="001C6790"/>
    <w:rsid w:val="001C6FF3"/>
    <w:rsid w:val="001C72F1"/>
    <w:rsid w:val="001C7856"/>
    <w:rsid w:val="001C7EFE"/>
    <w:rsid w:val="001D0086"/>
    <w:rsid w:val="001D0B9D"/>
    <w:rsid w:val="001D1E6D"/>
    <w:rsid w:val="001D1EC5"/>
    <w:rsid w:val="001D21B2"/>
    <w:rsid w:val="001D2302"/>
    <w:rsid w:val="001D23FE"/>
    <w:rsid w:val="001D2A02"/>
    <w:rsid w:val="001D2C62"/>
    <w:rsid w:val="001D3EEE"/>
    <w:rsid w:val="001D41E4"/>
    <w:rsid w:val="001D4D0F"/>
    <w:rsid w:val="001D52EC"/>
    <w:rsid w:val="001D63A4"/>
    <w:rsid w:val="001D68EC"/>
    <w:rsid w:val="001D7135"/>
    <w:rsid w:val="001E0185"/>
    <w:rsid w:val="001E0992"/>
    <w:rsid w:val="001E0FEA"/>
    <w:rsid w:val="001E17E6"/>
    <w:rsid w:val="001E1974"/>
    <w:rsid w:val="001E1E10"/>
    <w:rsid w:val="001E2A4E"/>
    <w:rsid w:val="001E3CDA"/>
    <w:rsid w:val="001E3D3C"/>
    <w:rsid w:val="001E3F92"/>
    <w:rsid w:val="001E40CE"/>
    <w:rsid w:val="001E4154"/>
    <w:rsid w:val="001E4685"/>
    <w:rsid w:val="001E49B0"/>
    <w:rsid w:val="001E4B32"/>
    <w:rsid w:val="001E4B3F"/>
    <w:rsid w:val="001E51A0"/>
    <w:rsid w:val="001E64E2"/>
    <w:rsid w:val="001E6664"/>
    <w:rsid w:val="001E6A83"/>
    <w:rsid w:val="001E7678"/>
    <w:rsid w:val="001E7FEB"/>
    <w:rsid w:val="001E7FFC"/>
    <w:rsid w:val="001F00CD"/>
    <w:rsid w:val="001F12C4"/>
    <w:rsid w:val="001F15BF"/>
    <w:rsid w:val="001F181F"/>
    <w:rsid w:val="001F1BCC"/>
    <w:rsid w:val="001F1D85"/>
    <w:rsid w:val="001F1F14"/>
    <w:rsid w:val="001F20CB"/>
    <w:rsid w:val="001F2598"/>
    <w:rsid w:val="001F2A09"/>
    <w:rsid w:val="001F319B"/>
    <w:rsid w:val="001F31D1"/>
    <w:rsid w:val="001F331B"/>
    <w:rsid w:val="001F367D"/>
    <w:rsid w:val="001F3D6D"/>
    <w:rsid w:val="001F490C"/>
    <w:rsid w:val="001F4A12"/>
    <w:rsid w:val="001F50DE"/>
    <w:rsid w:val="001F5268"/>
    <w:rsid w:val="001F5EF1"/>
    <w:rsid w:val="001F602B"/>
    <w:rsid w:val="001F656A"/>
    <w:rsid w:val="001F761C"/>
    <w:rsid w:val="001F77D6"/>
    <w:rsid w:val="001F7CAC"/>
    <w:rsid w:val="00200CE7"/>
    <w:rsid w:val="00201DFB"/>
    <w:rsid w:val="00202078"/>
    <w:rsid w:val="002022A8"/>
    <w:rsid w:val="002028E6"/>
    <w:rsid w:val="00202922"/>
    <w:rsid w:val="00202DFD"/>
    <w:rsid w:val="00202E15"/>
    <w:rsid w:val="00203BFC"/>
    <w:rsid w:val="00204DFC"/>
    <w:rsid w:val="00205342"/>
    <w:rsid w:val="002056C4"/>
    <w:rsid w:val="00206379"/>
    <w:rsid w:val="002063F8"/>
    <w:rsid w:val="002073D3"/>
    <w:rsid w:val="002076AA"/>
    <w:rsid w:val="002076AE"/>
    <w:rsid w:val="00207AAB"/>
    <w:rsid w:val="002100B2"/>
    <w:rsid w:val="00210354"/>
    <w:rsid w:val="00210801"/>
    <w:rsid w:val="00210FD5"/>
    <w:rsid w:val="00212552"/>
    <w:rsid w:val="00212ACB"/>
    <w:rsid w:val="00212FAE"/>
    <w:rsid w:val="00213C19"/>
    <w:rsid w:val="00214410"/>
    <w:rsid w:val="0021478B"/>
    <w:rsid w:val="00214F35"/>
    <w:rsid w:val="00215483"/>
    <w:rsid w:val="002161B6"/>
    <w:rsid w:val="00216278"/>
    <w:rsid w:val="00216772"/>
    <w:rsid w:val="002168B9"/>
    <w:rsid w:val="00216E7D"/>
    <w:rsid w:val="0021798D"/>
    <w:rsid w:val="002200AF"/>
    <w:rsid w:val="00220851"/>
    <w:rsid w:val="00220A3B"/>
    <w:rsid w:val="00220F25"/>
    <w:rsid w:val="00220F9B"/>
    <w:rsid w:val="0022137E"/>
    <w:rsid w:val="00221887"/>
    <w:rsid w:val="002218EF"/>
    <w:rsid w:val="00221A40"/>
    <w:rsid w:val="00221B7A"/>
    <w:rsid w:val="00222118"/>
    <w:rsid w:val="00222185"/>
    <w:rsid w:val="00222226"/>
    <w:rsid w:val="00223AEA"/>
    <w:rsid w:val="00223D4D"/>
    <w:rsid w:val="0022458B"/>
    <w:rsid w:val="002249B2"/>
    <w:rsid w:val="00224BCC"/>
    <w:rsid w:val="00225319"/>
    <w:rsid w:val="0022573C"/>
    <w:rsid w:val="00226B53"/>
    <w:rsid w:val="00226DC2"/>
    <w:rsid w:val="00227527"/>
    <w:rsid w:val="0022771B"/>
    <w:rsid w:val="002277EC"/>
    <w:rsid w:val="00230586"/>
    <w:rsid w:val="00230B9F"/>
    <w:rsid w:val="00230D62"/>
    <w:rsid w:val="00230D89"/>
    <w:rsid w:val="00232034"/>
    <w:rsid w:val="00232B8E"/>
    <w:rsid w:val="00232EF9"/>
    <w:rsid w:val="00232F35"/>
    <w:rsid w:val="0023358B"/>
    <w:rsid w:val="00233C23"/>
    <w:rsid w:val="00233D17"/>
    <w:rsid w:val="00233D1F"/>
    <w:rsid w:val="00233FE7"/>
    <w:rsid w:val="00234A33"/>
    <w:rsid w:val="00234C08"/>
    <w:rsid w:val="002350E1"/>
    <w:rsid w:val="00235561"/>
    <w:rsid w:val="002357DA"/>
    <w:rsid w:val="002367A5"/>
    <w:rsid w:val="002368B2"/>
    <w:rsid w:val="0023717F"/>
    <w:rsid w:val="00237D56"/>
    <w:rsid w:val="00237DF8"/>
    <w:rsid w:val="00240ADD"/>
    <w:rsid w:val="00241033"/>
    <w:rsid w:val="0024159F"/>
    <w:rsid w:val="002415A9"/>
    <w:rsid w:val="00241805"/>
    <w:rsid w:val="002423D8"/>
    <w:rsid w:val="002425A0"/>
    <w:rsid w:val="002430CA"/>
    <w:rsid w:val="0024355F"/>
    <w:rsid w:val="00243739"/>
    <w:rsid w:val="002440F0"/>
    <w:rsid w:val="002443CD"/>
    <w:rsid w:val="002449ED"/>
    <w:rsid w:val="00244B97"/>
    <w:rsid w:val="00245BF6"/>
    <w:rsid w:val="00245EBC"/>
    <w:rsid w:val="00245F76"/>
    <w:rsid w:val="0024616C"/>
    <w:rsid w:val="0024656F"/>
    <w:rsid w:val="002466DF"/>
    <w:rsid w:val="00246ECD"/>
    <w:rsid w:val="00246FF3"/>
    <w:rsid w:val="00247A74"/>
    <w:rsid w:val="00250246"/>
    <w:rsid w:val="00250936"/>
    <w:rsid w:val="00250FD9"/>
    <w:rsid w:val="00251488"/>
    <w:rsid w:val="00251C88"/>
    <w:rsid w:val="002524A2"/>
    <w:rsid w:val="00253846"/>
    <w:rsid w:val="00253BAA"/>
    <w:rsid w:val="00253CEC"/>
    <w:rsid w:val="00253DE9"/>
    <w:rsid w:val="002549E3"/>
    <w:rsid w:val="002559BA"/>
    <w:rsid w:val="00255AC9"/>
    <w:rsid w:val="00255CAB"/>
    <w:rsid w:val="00256065"/>
    <w:rsid w:val="00256473"/>
    <w:rsid w:val="00257949"/>
    <w:rsid w:val="00260208"/>
    <w:rsid w:val="00260448"/>
    <w:rsid w:val="00260A53"/>
    <w:rsid w:val="00260DEB"/>
    <w:rsid w:val="00260ED4"/>
    <w:rsid w:val="00261A7B"/>
    <w:rsid w:val="00261B74"/>
    <w:rsid w:val="00261E65"/>
    <w:rsid w:val="0026252C"/>
    <w:rsid w:val="0026306C"/>
    <w:rsid w:val="0026362C"/>
    <w:rsid w:val="00263B17"/>
    <w:rsid w:val="00263DC6"/>
    <w:rsid w:val="00264486"/>
    <w:rsid w:val="002648EC"/>
    <w:rsid w:val="0026549A"/>
    <w:rsid w:val="002661F2"/>
    <w:rsid w:val="002665AD"/>
    <w:rsid w:val="00267277"/>
    <w:rsid w:val="002675BC"/>
    <w:rsid w:val="002677D1"/>
    <w:rsid w:val="0027059F"/>
    <w:rsid w:val="002706E8"/>
    <w:rsid w:val="00270BC2"/>
    <w:rsid w:val="00271777"/>
    <w:rsid w:val="0027177F"/>
    <w:rsid w:val="002727B4"/>
    <w:rsid w:val="0027314D"/>
    <w:rsid w:val="00273220"/>
    <w:rsid w:val="00274111"/>
    <w:rsid w:val="002741A3"/>
    <w:rsid w:val="002743C4"/>
    <w:rsid w:val="002743DD"/>
    <w:rsid w:val="00274568"/>
    <w:rsid w:val="00274BB2"/>
    <w:rsid w:val="00275844"/>
    <w:rsid w:val="002758ED"/>
    <w:rsid w:val="00275962"/>
    <w:rsid w:val="00275F0E"/>
    <w:rsid w:val="00276178"/>
    <w:rsid w:val="00276812"/>
    <w:rsid w:val="00276942"/>
    <w:rsid w:val="00276BE4"/>
    <w:rsid w:val="00277271"/>
    <w:rsid w:val="00277889"/>
    <w:rsid w:val="00277918"/>
    <w:rsid w:val="00277F1E"/>
    <w:rsid w:val="00280007"/>
    <w:rsid w:val="0028038D"/>
    <w:rsid w:val="00280822"/>
    <w:rsid w:val="00280F1A"/>
    <w:rsid w:val="002811F2"/>
    <w:rsid w:val="002812E6"/>
    <w:rsid w:val="0028164E"/>
    <w:rsid w:val="00281939"/>
    <w:rsid w:val="00281A15"/>
    <w:rsid w:val="00282084"/>
    <w:rsid w:val="002820D4"/>
    <w:rsid w:val="0028229E"/>
    <w:rsid w:val="00282CFA"/>
    <w:rsid w:val="00282E16"/>
    <w:rsid w:val="00282EDB"/>
    <w:rsid w:val="00283CBE"/>
    <w:rsid w:val="00283F47"/>
    <w:rsid w:val="00285FDE"/>
    <w:rsid w:val="002868FC"/>
    <w:rsid w:val="00286B6B"/>
    <w:rsid w:val="002872E3"/>
    <w:rsid w:val="002876A3"/>
    <w:rsid w:val="002904F5"/>
    <w:rsid w:val="0029087B"/>
    <w:rsid w:val="002917EA"/>
    <w:rsid w:val="0029196A"/>
    <w:rsid w:val="00291A8B"/>
    <w:rsid w:val="00291C1A"/>
    <w:rsid w:val="0029280E"/>
    <w:rsid w:val="00292A30"/>
    <w:rsid w:val="00292D05"/>
    <w:rsid w:val="00293371"/>
    <w:rsid w:val="0029353D"/>
    <w:rsid w:val="00293C7A"/>
    <w:rsid w:val="002948F0"/>
    <w:rsid w:val="00295156"/>
    <w:rsid w:val="00296778"/>
    <w:rsid w:val="002967AB"/>
    <w:rsid w:val="002972F3"/>
    <w:rsid w:val="00297E0A"/>
    <w:rsid w:val="002A06B7"/>
    <w:rsid w:val="002A0C50"/>
    <w:rsid w:val="002A1A98"/>
    <w:rsid w:val="002A2106"/>
    <w:rsid w:val="002A2A85"/>
    <w:rsid w:val="002A3DFF"/>
    <w:rsid w:val="002A3F8E"/>
    <w:rsid w:val="002A44BB"/>
    <w:rsid w:val="002A4643"/>
    <w:rsid w:val="002A59FC"/>
    <w:rsid w:val="002A7205"/>
    <w:rsid w:val="002B0265"/>
    <w:rsid w:val="002B0535"/>
    <w:rsid w:val="002B1FF8"/>
    <w:rsid w:val="002B28D9"/>
    <w:rsid w:val="002B340F"/>
    <w:rsid w:val="002B3D75"/>
    <w:rsid w:val="002B4680"/>
    <w:rsid w:val="002B4C33"/>
    <w:rsid w:val="002B4EFE"/>
    <w:rsid w:val="002B530E"/>
    <w:rsid w:val="002B56D7"/>
    <w:rsid w:val="002B5806"/>
    <w:rsid w:val="002B624D"/>
    <w:rsid w:val="002B6754"/>
    <w:rsid w:val="002B6D1E"/>
    <w:rsid w:val="002B71B6"/>
    <w:rsid w:val="002B7389"/>
    <w:rsid w:val="002B76CF"/>
    <w:rsid w:val="002C0092"/>
    <w:rsid w:val="002C0279"/>
    <w:rsid w:val="002C03ED"/>
    <w:rsid w:val="002C04A5"/>
    <w:rsid w:val="002C06B2"/>
    <w:rsid w:val="002C10FF"/>
    <w:rsid w:val="002C130F"/>
    <w:rsid w:val="002C2271"/>
    <w:rsid w:val="002C2469"/>
    <w:rsid w:val="002C247B"/>
    <w:rsid w:val="002C2AC7"/>
    <w:rsid w:val="002C2C64"/>
    <w:rsid w:val="002C2E47"/>
    <w:rsid w:val="002C3498"/>
    <w:rsid w:val="002C368A"/>
    <w:rsid w:val="002C3EC0"/>
    <w:rsid w:val="002C473D"/>
    <w:rsid w:val="002C495E"/>
    <w:rsid w:val="002C49D4"/>
    <w:rsid w:val="002C545E"/>
    <w:rsid w:val="002C54B0"/>
    <w:rsid w:val="002C5D37"/>
    <w:rsid w:val="002C5DE4"/>
    <w:rsid w:val="002C67D7"/>
    <w:rsid w:val="002C69C6"/>
    <w:rsid w:val="002C6AA7"/>
    <w:rsid w:val="002C7263"/>
    <w:rsid w:val="002C7331"/>
    <w:rsid w:val="002C7346"/>
    <w:rsid w:val="002C771B"/>
    <w:rsid w:val="002C7F6E"/>
    <w:rsid w:val="002D0562"/>
    <w:rsid w:val="002D11EA"/>
    <w:rsid w:val="002D1489"/>
    <w:rsid w:val="002D1C23"/>
    <w:rsid w:val="002D2630"/>
    <w:rsid w:val="002D2AF9"/>
    <w:rsid w:val="002D2DC7"/>
    <w:rsid w:val="002D41A9"/>
    <w:rsid w:val="002D41E3"/>
    <w:rsid w:val="002D4866"/>
    <w:rsid w:val="002D4F1E"/>
    <w:rsid w:val="002D53E7"/>
    <w:rsid w:val="002D5C7A"/>
    <w:rsid w:val="002D6316"/>
    <w:rsid w:val="002D760E"/>
    <w:rsid w:val="002D767D"/>
    <w:rsid w:val="002D768B"/>
    <w:rsid w:val="002D7B60"/>
    <w:rsid w:val="002E0A27"/>
    <w:rsid w:val="002E1C7A"/>
    <w:rsid w:val="002E2A57"/>
    <w:rsid w:val="002E2FA5"/>
    <w:rsid w:val="002E3198"/>
    <w:rsid w:val="002E3D18"/>
    <w:rsid w:val="002E4F70"/>
    <w:rsid w:val="002E53D2"/>
    <w:rsid w:val="002E543B"/>
    <w:rsid w:val="002E59F1"/>
    <w:rsid w:val="002E5B0E"/>
    <w:rsid w:val="002E6145"/>
    <w:rsid w:val="002E6506"/>
    <w:rsid w:val="002E695A"/>
    <w:rsid w:val="002E6996"/>
    <w:rsid w:val="002E6BBA"/>
    <w:rsid w:val="002E6ECB"/>
    <w:rsid w:val="002E7024"/>
    <w:rsid w:val="002E71F0"/>
    <w:rsid w:val="002E75AC"/>
    <w:rsid w:val="002E7F8B"/>
    <w:rsid w:val="002F0750"/>
    <w:rsid w:val="002F0BD8"/>
    <w:rsid w:val="002F11C1"/>
    <w:rsid w:val="002F1CF2"/>
    <w:rsid w:val="002F208B"/>
    <w:rsid w:val="002F2240"/>
    <w:rsid w:val="002F26EE"/>
    <w:rsid w:val="002F27F1"/>
    <w:rsid w:val="002F29F2"/>
    <w:rsid w:val="002F2C29"/>
    <w:rsid w:val="002F2C48"/>
    <w:rsid w:val="002F34E7"/>
    <w:rsid w:val="002F3646"/>
    <w:rsid w:val="002F52EA"/>
    <w:rsid w:val="002F5876"/>
    <w:rsid w:val="002F5FE9"/>
    <w:rsid w:val="002F62BE"/>
    <w:rsid w:val="002F64DB"/>
    <w:rsid w:val="002F6619"/>
    <w:rsid w:val="002F756F"/>
    <w:rsid w:val="002F7753"/>
    <w:rsid w:val="002F7796"/>
    <w:rsid w:val="002F78E2"/>
    <w:rsid w:val="003006B0"/>
    <w:rsid w:val="00300962"/>
    <w:rsid w:val="00300A97"/>
    <w:rsid w:val="00301019"/>
    <w:rsid w:val="00301C28"/>
    <w:rsid w:val="00301C2B"/>
    <w:rsid w:val="00301CD5"/>
    <w:rsid w:val="00302386"/>
    <w:rsid w:val="003028B1"/>
    <w:rsid w:val="00303F1D"/>
    <w:rsid w:val="00304056"/>
    <w:rsid w:val="00304553"/>
    <w:rsid w:val="003051BA"/>
    <w:rsid w:val="00305A04"/>
    <w:rsid w:val="00305A24"/>
    <w:rsid w:val="00306E3D"/>
    <w:rsid w:val="00307958"/>
    <w:rsid w:val="003104FD"/>
    <w:rsid w:val="00310AA0"/>
    <w:rsid w:val="00310F35"/>
    <w:rsid w:val="00310F79"/>
    <w:rsid w:val="00311D94"/>
    <w:rsid w:val="00312A5F"/>
    <w:rsid w:val="00312AF3"/>
    <w:rsid w:val="00313262"/>
    <w:rsid w:val="003132F2"/>
    <w:rsid w:val="00313FB5"/>
    <w:rsid w:val="003144BC"/>
    <w:rsid w:val="0031469D"/>
    <w:rsid w:val="00314B6C"/>
    <w:rsid w:val="00314D80"/>
    <w:rsid w:val="0031562F"/>
    <w:rsid w:val="0031634C"/>
    <w:rsid w:val="00316B96"/>
    <w:rsid w:val="00317161"/>
    <w:rsid w:val="0031785A"/>
    <w:rsid w:val="00317A4C"/>
    <w:rsid w:val="003204F6"/>
    <w:rsid w:val="0032063A"/>
    <w:rsid w:val="00320700"/>
    <w:rsid w:val="003217D8"/>
    <w:rsid w:val="0032192B"/>
    <w:rsid w:val="00322769"/>
    <w:rsid w:val="00322B49"/>
    <w:rsid w:val="003233CC"/>
    <w:rsid w:val="0032349E"/>
    <w:rsid w:val="003234A1"/>
    <w:rsid w:val="0032384F"/>
    <w:rsid w:val="00323DF5"/>
    <w:rsid w:val="00324CD0"/>
    <w:rsid w:val="00325054"/>
    <w:rsid w:val="00325595"/>
    <w:rsid w:val="00326157"/>
    <w:rsid w:val="00326302"/>
    <w:rsid w:val="0032645D"/>
    <w:rsid w:val="0032694D"/>
    <w:rsid w:val="00326D68"/>
    <w:rsid w:val="003275EF"/>
    <w:rsid w:val="00327ACD"/>
    <w:rsid w:val="00330421"/>
    <w:rsid w:val="00330533"/>
    <w:rsid w:val="00330E65"/>
    <w:rsid w:val="00331344"/>
    <w:rsid w:val="00331614"/>
    <w:rsid w:val="003323ED"/>
    <w:rsid w:val="00332784"/>
    <w:rsid w:val="00332854"/>
    <w:rsid w:val="00332C15"/>
    <w:rsid w:val="00332C85"/>
    <w:rsid w:val="00332CE6"/>
    <w:rsid w:val="00333007"/>
    <w:rsid w:val="00333614"/>
    <w:rsid w:val="00333C90"/>
    <w:rsid w:val="00334502"/>
    <w:rsid w:val="003345CA"/>
    <w:rsid w:val="00334C63"/>
    <w:rsid w:val="0033629B"/>
    <w:rsid w:val="00336437"/>
    <w:rsid w:val="00336535"/>
    <w:rsid w:val="00337208"/>
    <w:rsid w:val="00337718"/>
    <w:rsid w:val="00337882"/>
    <w:rsid w:val="00337D51"/>
    <w:rsid w:val="00337D5F"/>
    <w:rsid w:val="003407EC"/>
    <w:rsid w:val="00340B37"/>
    <w:rsid w:val="003412FD"/>
    <w:rsid w:val="0034232E"/>
    <w:rsid w:val="003426D0"/>
    <w:rsid w:val="00342D05"/>
    <w:rsid w:val="00342E3B"/>
    <w:rsid w:val="00344350"/>
    <w:rsid w:val="00344F96"/>
    <w:rsid w:val="003456B5"/>
    <w:rsid w:val="003457AE"/>
    <w:rsid w:val="00346CF5"/>
    <w:rsid w:val="00347650"/>
    <w:rsid w:val="00347D21"/>
    <w:rsid w:val="003509B3"/>
    <w:rsid w:val="00350C3B"/>
    <w:rsid w:val="00350D4B"/>
    <w:rsid w:val="00351325"/>
    <w:rsid w:val="00351407"/>
    <w:rsid w:val="00352289"/>
    <w:rsid w:val="003528A0"/>
    <w:rsid w:val="00352916"/>
    <w:rsid w:val="003540D3"/>
    <w:rsid w:val="0035430D"/>
    <w:rsid w:val="0035439F"/>
    <w:rsid w:val="0035481C"/>
    <w:rsid w:val="0035547E"/>
    <w:rsid w:val="003554B6"/>
    <w:rsid w:val="003557E1"/>
    <w:rsid w:val="00355985"/>
    <w:rsid w:val="00355BF8"/>
    <w:rsid w:val="003560AE"/>
    <w:rsid w:val="00356655"/>
    <w:rsid w:val="003568D0"/>
    <w:rsid w:val="0036032D"/>
    <w:rsid w:val="003606B1"/>
    <w:rsid w:val="00360753"/>
    <w:rsid w:val="00360855"/>
    <w:rsid w:val="00360D5C"/>
    <w:rsid w:val="00361A3A"/>
    <w:rsid w:val="00361BB9"/>
    <w:rsid w:val="0036256B"/>
    <w:rsid w:val="00362678"/>
    <w:rsid w:val="00362A84"/>
    <w:rsid w:val="0036396A"/>
    <w:rsid w:val="00364035"/>
    <w:rsid w:val="00364BB7"/>
    <w:rsid w:val="00365167"/>
    <w:rsid w:val="00365A75"/>
    <w:rsid w:val="00365E7E"/>
    <w:rsid w:val="0036611A"/>
    <w:rsid w:val="00366A55"/>
    <w:rsid w:val="00366FD5"/>
    <w:rsid w:val="00367233"/>
    <w:rsid w:val="00371227"/>
    <w:rsid w:val="00371450"/>
    <w:rsid w:val="0037180A"/>
    <w:rsid w:val="003722F8"/>
    <w:rsid w:val="003738C8"/>
    <w:rsid w:val="00373D22"/>
    <w:rsid w:val="00374563"/>
    <w:rsid w:val="003745AF"/>
    <w:rsid w:val="003751E6"/>
    <w:rsid w:val="00375B4B"/>
    <w:rsid w:val="00375C16"/>
    <w:rsid w:val="00375FD0"/>
    <w:rsid w:val="00376FAD"/>
    <w:rsid w:val="003776F2"/>
    <w:rsid w:val="00377FE5"/>
    <w:rsid w:val="003800D3"/>
    <w:rsid w:val="003808A2"/>
    <w:rsid w:val="00380DA2"/>
    <w:rsid w:val="00380DFA"/>
    <w:rsid w:val="00380E8A"/>
    <w:rsid w:val="00382891"/>
    <w:rsid w:val="00382B03"/>
    <w:rsid w:val="00382D37"/>
    <w:rsid w:val="0038458E"/>
    <w:rsid w:val="00385355"/>
    <w:rsid w:val="003859BD"/>
    <w:rsid w:val="00385D0E"/>
    <w:rsid w:val="003863DC"/>
    <w:rsid w:val="00386555"/>
    <w:rsid w:val="00386D52"/>
    <w:rsid w:val="0039104E"/>
    <w:rsid w:val="00391F39"/>
    <w:rsid w:val="00391F58"/>
    <w:rsid w:val="0039223F"/>
    <w:rsid w:val="003929BA"/>
    <w:rsid w:val="00394A89"/>
    <w:rsid w:val="00394AC0"/>
    <w:rsid w:val="00395D07"/>
    <w:rsid w:val="00395F38"/>
    <w:rsid w:val="00396578"/>
    <w:rsid w:val="00396678"/>
    <w:rsid w:val="00397E5E"/>
    <w:rsid w:val="003A0289"/>
    <w:rsid w:val="003A0700"/>
    <w:rsid w:val="003A1531"/>
    <w:rsid w:val="003A1795"/>
    <w:rsid w:val="003A1A39"/>
    <w:rsid w:val="003A1EA0"/>
    <w:rsid w:val="003A31BD"/>
    <w:rsid w:val="003A335B"/>
    <w:rsid w:val="003A3378"/>
    <w:rsid w:val="003A348F"/>
    <w:rsid w:val="003A3FFC"/>
    <w:rsid w:val="003A451A"/>
    <w:rsid w:val="003A4A75"/>
    <w:rsid w:val="003A4B5C"/>
    <w:rsid w:val="003A5727"/>
    <w:rsid w:val="003A5D40"/>
    <w:rsid w:val="003A5E4F"/>
    <w:rsid w:val="003A637C"/>
    <w:rsid w:val="003A6665"/>
    <w:rsid w:val="003A6C67"/>
    <w:rsid w:val="003B0221"/>
    <w:rsid w:val="003B0270"/>
    <w:rsid w:val="003B0A37"/>
    <w:rsid w:val="003B1EFF"/>
    <w:rsid w:val="003B1F76"/>
    <w:rsid w:val="003B26B3"/>
    <w:rsid w:val="003B2B21"/>
    <w:rsid w:val="003B4592"/>
    <w:rsid w:val="003B615E"/>
    <w:rsid w:val="003B676D"/>
    <w:rsid w:val="003B6BD1"/>
    <w:rsid w:val="003B78F7"/>
    <w:rsid w:val="003B795A"/>
    <w:rsid w:val="003C01ED"/>
    <w:rsid w:val="003C03DF"/>
    <w:rsid w:val="003C0AA4"/>
    <w:rsid w:val="003C15DC"/>
    <w:rsid w:val="003C173F"/>
    <w:rsid w:val="003C185F"/>
    <w:rsid w:val="003C1DED"/>
    <w:rsid w:val="003C1EBA"/>
    <w:rsid w:val="003C1F58"/>
    <w:rsid w:val="003C2395"/>
    <w:rsid w:val="003C39BD"/>
    <w:rsid w:val="003C3A3B"/>
    <w:rsid w:val="003C41E7"/>
    <w:rsid w:val="003C4D17"/>
    <w:rsid w:val="003C4D38"/>
    <w:rsid w:val="003C5131"/>
    <w:rsid w:val="003C525E"/>
    <w:rsid w:val="003C52DC"/>
    <w:rsid w:val="003C5C17"/>
    <w:rsid w:val="003C6CEE"/>
    <w:rsid w:val="003C721B"/>
    <w:rsid w:val="003C7352"/>
    <w:rsid w:val="003C7510"/>
    <w:rsid w:val="003C7BC1"/>
    <w:rsid w:val="003C7D9B"/>
    <w:rsid w:val="003D04EC"/>
    <w:rsid w:val="003D075C"/>
    <w:rsid w:val="003D1968"/>
    <w:rsid w:val="003D1AF4"/>
    <w:rsid w:val="003D1C86"/>
    <w:rsid w:val="003D1EDF"/>
    <w:rsid w:val="003D22A9"/>
    <w:rsid w:val="003D2BCA"/>
    <w:rsid w:val="003D2F87"/>
    <w:rsid w:val="003D308D"/>
    <w:rsid w:val="003D3609"/>
    <w:rsid w:val="003D3CF3"/>
    <w:rsid w:val="003D4007"/>
    <w:rsid w:val="003D66DB"/>
    <w:rsid w:val="003D6942"/>
    <w:rsid w:val="003D756C"/>
    <w:rsid w:val="003E00BE"/>
    <w:rsid w:val="003E08AE"/>
    <w:rsid w:val="003E1B08"/>
    <w:rsid w:val="003E1E8D"/>
    <w:rsid w:val="003E3663"/>
    <w:rsid w:val="003E40C7"/>
    <w:rsid w:val="003E43AC"/>
    <w:rsid w:val="003E4C1C"/>
    <w:rsid w:val="003E5452"/>
    <w:rsid w:val="003E563A"/>
    <w:rsid w:val="003E5846"/>
    <w:rsid w:val="003E6062"/>
    <w:rsid w:val="003E6717"/>
    <w:rsid w:val="003E697F"/>
    <w:rsid w:val="003E6AE9"/>
    <w:rsid w:val="003E6B46"/>
    <w:rsid w:val="003E790C"/>
    <w:rsid w:val="003E79EB"/>
    <w:rsid w:val="003E7A71"/>
    <w:rsid w:val="003F09F7"/>
    <w:rsid w:val="003F0F42"/>
    <w:rsid w:val="003F1073"/>
    <w:rsid w:val="003F1149"/>
    <w:rsid w:val="003F1958"/>
    <w:rsid w:val="003F2000"/>
    <w:rsid w:val="003F2152"/>
    <w:rsid w:val="003F2B84"/>
    <w:rsid w:val="003F3217"/>
    <w:rsid w:val="003F3575"/>
    <w:rsid w:val="003F3798"/>
    <w:rsid w:val="003F3AC6"/>
    <w:rsid w:val="003F3B9B"/>
    <w:rsid w:val="003F421A"/>
    <w:rsid w:val="003F4A88"/>
    <w:rsid w:val="003F4C39"/>
    <w:rsid w:val="003F5A77"/>
    <w:rsid w:val="003F5EC2"/>
    <w:rsid w:val="003F5FA8"/>
    <w:rsid w:val="003F66A7"/>
    <w:rsid w:val="003F746B"/>
    <w:rsid w:val="003F782F"/>
    <w:rsid w:val="00400107"/>
    <w:rsid w:val="0040046F"/>
    <w:rsid w:val="00400ECF"/>
    <w:rsid w:val="004011EC"/>
    <w:rsid w:val="0040146D"/>
    <w:rsid w:val="00401547"/>
    <w:rsid w:val="00401682"/>
    <w:rsid w:val="004017B5"/>
    <w:rsid w:val="004019B9"/>
    <w:rsid w:val="00401D22"/>
    <w:rsid w:val="00401DFC"/>
    <w:rsid w:val="004024FA"/>
    <w:rsid w:val="004026EC"/>
    <w:rsid w:val="004029BA"/>
    <w:rsid w:val="0040301B"/>
    <w:rsid w:val="0040324A"/>
    <w:rsid w:val="0040338E"/>
    <w:rsid w:val="0040355A"/>
    <w:rsid w:val="004036C7"/>
    <w:rsid w:val="004045AD"/>
    <w:rsid w:val="004046E1"/>
    <w:rsid w:val="00405733"/>
    <w:rsid w:val="00405E35"/>
    <w:rsid w:val="00405F1A"/>
    <w:rsid w:val="00406BDF"/>
    <w:rsid w:val="00407281"/>
    <w:rsid w:val="00407319"/>
    <w:rsid w:val="0040752E"/>
    <w:rsid w:val="00407763"/>
    <w:rsid w:val="00407799"/>
    <w:rsid w:val="004106E3"/>
    <w:rsid w:val="0041094D"/>
    <w:rsid w:val="004109AC"/>
    <w:rsid w:val="00410F0B"/>
    <w:rsid w:val="00411117"/>
    <w:rsid w:val="0041112D"/>
    <w:rsid w:val="00411985"/>
    <w:rsid w:val="00411D78"/>
    <w:rsid w:val="00412114"/>
    <w:rsid w:val="00412B51"/>
    <w:rsid w:val="00413081"/>
    <w:rsid w:val="004131ED"/>
    <w:rsid w:val="004138ED"/>
    <w:rsid w:val="00414559"/>
    <w:rsid w:val="0041462E"/>
    <w:rsid w:val="004147A0"/>
    <w:rsid w:val="00414CE3"/>
    <w:rsid w:val="0041524F"/>
    <w:rsid w:val="004156B8"/>
    <w:rsid w:val="00415AC7"/>
    <w:rsid w:val="004160C4"/>
    <w:rsid w:val="00417CFC"/>
    <w:rsid w:val="00420091"/>
    <w:rsid w:val="0042019A"/>
    <w:rsid w:val="0042049F"/>
    <w:rsid w:val="00420629"/>
    <w:rsid w:val="00420CF3"/>
    <w:rsid w:val="004221E1"/>
    <w:rsid w:val="00422699"/>
    <w:rsid w:val="004229B7"/>
    <w:rsid w:val="004233F5"/>
    <w:rsid w:val="00423412"/>
    <w:rsid w:val="00423888"/>
    <w:rsid w:val="004246F8"/>
    <w:rsid w:val="0042474D"/>
    <w:rsid w:val="0042551F"/>
    <w:rsid w:val="00426794"/>
    <w:rsid w:val="00430165"/>
    <w:rsid w:val="0043051D"/>
    <w:rsid w:val="0043113F"/>
    <w:rsid w:val="004313D2"/>
    <w:rsid w:val="004313D7"/>
    <w:rsid w:val="004313F1"/>
    <w:rsid w:val="00431863"/>
    <w:rsid w:val="0043196A"/>
    <w:rsid w:val="00432362"/>
    <w:rsid w:val="00432E4E"/>
    <w:rsid w:val="00433AAC"/>
    <w:rsid w:val="00433C00"/>
    <w:rsid w:val="00433E2A"/>
    <w:rsid w:val="0043480D"/>
    <w:rsid w:val="0043527B"/>
    <w:rsid w:val="00435A61"/>
    <w:rsid w:val="0043600F"/>
    <w:rsid w:val="00436379"/>
    <w:rsid w:val="004371EF"/>
    <w:rsid w:val="00437CA6"/>
    <w:rsid w:val="00440527"/>
    <w:rsid w:val="004407B6"/>
    <w:rsid w:val="004408E2"/>
    <w:rsid w:val="00440A27"/>
    <w:rsid w:val="00440FD9"/>
    <w:rsid w:val="004411D6"/>
    <w:rsid w:val="004417C4"/>
    <w:rsid w:val="00441EE4"/>
    <w:rsid w:val="00441F3F"/>
    <w:rsid w:val="00442235"/>
    <w:rsid w:val="00442248"/>
    <w:rsid w:val="00442508"/>
    <w:rsid w:val="00442EEC"/>
    <w:rsid w:val="00443B63"/>
    <w:rsid w:val="00444527"/>
    <w:rsid w:val="00444C09"/>
    <w:rsid w:val="004452D0"/>
    <w:rsid w:val="00445CEF"/>
    <w:rsid w:val="0044636D"/>
    <w:rsid w:val="004467C0"/>
    <w:rsid w:val="00447F85"/>
    <w:rsid w:val="0045044F"/>
    <w:rsid w:val="00450DE5"/>
    <w:rsid w:val="004511F4"/>
    <w:rsid w:val="004512DE"/>
    <w:rsid w:val="004514CA"/>
    <w:rsid w:val="00451A9E"/>
    <w:rsid w:val="00451F02"/>
    <w:rsid w:val="00452535"/>
    <w:rsid w:val="004526C5"/>
    <w:rsid w:val="0045294D"/>
    <w:rsid w:val="00452AB5"/>
    <w:rsid w:val="00452F58"/>
    <w:rsid w:val="0045322A"/>
    <w:rsid w:val="0045341C"/>
    <w:rsid w:val="004534D3"/>
    <w:rsid w:val="0045556D"/>
    <w:rsid w:val="00455C77"/>
    <w:rsid w:val="00456DDE"/>
    <w:rsid w:val="0046035F"/>
    <w:rsid w:val="00460781"/>
    <w:rsid w:val="00460A14"/>
    <w:rsid w:val="00460A50"/>
    <w:rsid w:val="0046143D"/>
    <w:rsid w:val="00461AAC"/>
    <w:rsid w:val="00462575"/>
    <w:rsid w:val="00462C2E"/>
    <w:rsid w:val="004630FF"/>
    <w:rsid w:val="0046374E"/>
    <w:rsid w:val="00464563"/>
    <w:rsid w:val="004647F9"/>
    <w:rsid w:val="004652A7"/>
    <w:rsid w:val="00465806"/>
    <w:rsid w:val="00465AAD"/>
    <w:rsid w:val="00465DB8"/>
    <w:rsid w:val="00466D53"/>
    <w:rsid w:val="0047048B"/>
    <w:rsid w:val="004708FE"/>
    <w:rsid w:val="00470A43"/>
    <w:rsid w:val="00470F40"/>
    <w:rsid w:val="00471975"/>
    <w:rsid w:val="00471C27"/>
    <w:rsid w:val="004727B3"/>
    <w:rsid w:val="004728B2"/>
    <w:rsid w:val="00472A0F"/>
    <w:rsid w:val="00472C79"/>
    <w:rsid w:val="004735B0"/>
    <w:rsid w:val="004737BD"/>
    <w:rsid w:val="00473A7F"/>
    <w:rsid w:val="00473A9C"/>
    <w:rsid w:val="00474291"/>
    <w:rsid w:val="004749C9"/>
    <w:rsid w:val="00474C9B"/>
    <w:rsid w:val="004750FE"/>
    <w:rsid w:val="00475671"/>
    <w:rsid w:val="00475BC0"/>
    <w:rsid w:val="00476325"/>
    <w:rsid w:val="00476AF5"/>
    <w:rsid w:val="00477640"/>
    <w:rsid w:val="00477EEB"/>
    <w:rsid w:val="004806B8"/>
    <w:rsid w:val="004809E1"/>
    <w:rsid w:val="00481BD3"/>
    <w:rsid w:val="00482059"/>
    <w:rsid w:val="0048224B"/>
    <w:rsid w:val="00482321"/>
    <w:rsid w:val="0048353E"/>
    <w:rsid w:val="0048375E"/>
    <w:rsid w:val="00485EAF"/>
    <w:rsid w:val="004862C9"/>
    <w:rsid w:val="004866D2"/>
    <w:rsid w:val="004874B8"/>
    <w:rsid w:val="00487A9C"/>
    <w:rsid w:val="00490724"/>
    <w:rsid w:val="00490A72"/>
    <w:rsid w:val="00491832"/>
    <w:rsid w:val="004918A2"/>
    <w:rsid w:val="00491918"/>
    <w:rsid w:val="00491DEF"/>
    <w:rsid w:val="0049211C"/>
    <w:rsid w:val="00492367"/>
    <w:rsid w:val="0049257D"/>
    <w:rsid w:val="004929B8"/>
    <w:rsid w:val="00492A17"/>
    <w:rsid w:val="004930C8"/>
    <w:rsid w:val="004937C0"/>
    <w:rsid w:val="00493DA6"/>
    <w:rsid w:val="00493E82"/>
    <w:rsid w:val="00493F69"/>
    <w:rsid w:val="00493FE3"/>
    <w:rsid w:val="0049474C"/>
    <w:rsid w:val="00494C81"/>
    <w:rsid w:val="004955F6"/>
    <w:rsid w:val="004965BB"/>
    <w:rsid w:val="00496941"/>
    <w:rsid w:val="00496A9C"/>
    <w:rsid w:val="00496E30"/>
    <w:rsid w:val="00496EFB"/>
    <w:rsid w:val="00496F1A"/>
    <w:rsid w:val="0049738B"/>
    <w:rsid w:val="00497D9C"/>
    <w:rsid w:val="004A0F21"/>
    <w:rsid w:val="004A11C7"/>
    <w:rsid w:val="004A126A"/>
    <w:rsid w:val="004A12D1"/>
    <w:rsid w:val="004A1751"/>
    <w:rsid w:val="004A1754"/>
    <w:rsid w:val="004A2060"/>
    <w:rsid w:val="004A3196"/>
    <w:rsid w:val="004A34B5"/>
    <w:rsid w:val="004A3F26"/>
    <w:rsid w:val="004A497D"/>
    <w:rsid w:val="004A4EDB"/>
    <w:rsid w:val="004A5691"/>
    <w:rsid w:val="004A62A2"/>
    <w:rsid w:val="004A6623"/>
    <w:rsid w:val="004A6B77"/>
    <w:rsid w:val="004A74A0"/>
    <w:rsid w:val="004B078E"/>
    <w:rsid w:val="004B0960"/>
    <w:rsid w:val="004B0A0C"/>
    <w:rsid w:val="004B1891"/>
    <w:rsid w:val="004B1C27"/>
    <w:rsid w:val="004B26D2"/>
    <w:rsid w:val="004B2B9A"/>
    <w:rsid w:val="004B300E"/>
    <w:rsid w:val="004B33CB"/>
    <w:rsid w:val="004B3E38"/>
    <w:rsid w:val="004B4AE1"/>
    <w:rsid w:val="004B6568"/>
    <w:rsid w:val="004B671D"/>
    <w:rsid w:val="004C0AAD"/>
    <w:rsid w:val="004C14A3"/>
    <w:rsid w:val="004C1CEB"/>
    <w:rsid w:val="004C25A6"/>
    <w:rsid w:val="004C2B44"/>
    <w:rsid w:val="004C2B71"/>
    <w:rsid w:val="004C3E6E"/>
    <w:rsid w:val="004C482B"/>
    <w:rsid w:val="004C4864"/>
    <w:rsid w:val="004C51C1"/>
    <w:rsid w:val="004C51C8"/>
    <w:rsid w:val="004C5521"/>
    <w:rsid w:val="004C5716"/>
    <w:rsid w:val="004C59AF"/>
    <w:rsid w:val="004C5BD5"/>
    <w:rsid w:val="004C5D4E"/>
    <w:rsid w:val="004C633F"/>
    <w:rsid w:val="004C73E7"/>
    <w:rsid w:val="004C7CA7"/>
    <w:rsid w:val="004D022F"/>
    <w:rsid w:val="004D05F5"/>
    <w:rsid w:val="004D0C46"/>
    <w:rsid w:val="004D1403"/>
    <w:rsid w:val="004D1475"/>
    <w:rsid w:val="004D1B2E"/>
    <w:rsid w:val="004D1E64"/>
    <w:rsid w:val="004D2FE4"/>
    <w:rsid w:val="004D34D3"/>
    <w:rsid w:val="004D3902"/>
    <w:rsid w:val="004D39FC"/>
    <w:rsid w:val="004D435A"/>
    <w:rsid w:val="004D486C"/>
    <w:rsid w:val="004D522E"/>
    <w:rsid w:val="004D5744"/>
    <w:rsid w:val="004D65A0"/>
    <w:rsid w:val="004D6DEE"/>
    <w:rsid w:val="004D6FEB"/>
    <w:rsid w:val="004D70C2"/>
    <w:rsid w:val="004E0589"/>
    <w:rsid w:val="004E1DBA"/>
    <w:rsid w:val="004E2B07"/>
    <w:rsid w:val="004E2D3B"/>
    <w:rsid w:val="004E374E"/>
    <w:rsid w:val="004E3CB4"/>
    <w:rsid w:val="004E461A"/>
    <w:rsid w:val="004E4BE9"/>
    <w:rsid w:val="004E5459"/>
    <w:rsid w:val="004E5576"/>
    <w:rsid w:val="004E558E"/>
    <w:rsid w:val="004E5CCD"/>
    <w:rsid w:val="004E637F"/>
    <w:rsid w:val="004E72EC"/>
    <w:rsid w:val="004E7DAA"/>
    <w:rsid w:val="004F05BD"/>
    <w:rsid w:val="004F09DD"/>
    <w:rsid w:val="004F0BE5"/>
    <w:rsid w:val="004F0F3B"/>
    <w:rsid w:val="004F10BF"/>
    <w:rsid w:val="004F162F"/>
    <w:rsid w:val="004F2930"/>
    <w:rsid w:val="004F2BC4"/>
    <w:rsid w:val="004F2DDA"/>
    <w:rsid w:val="004F2EB8"/>
    <w:rsid w:val="004F3484"/>
    <w:rsid w:val="004F3948"/>
    <w:rsid w:val="004F411B"/>
    <w:rsid w:val="004F4BDA"/>
    <w:rsid w:val="004F501A"/>
    <w:rsid w:val="004F5284"/>
    <w:rsid w:val="004F5877"/>
    <w:rsid w:val="004F5EBC"/>
    <w:rsid w:val="004F6C68"/>
    <w:rsid w:val="004F7367"/>
    <w:rsid w:val="004F7707"/>
    <w:rsid w:val="004F7CD1"/>
    <w:rsid w:val="004F7F49"/>
    <w:rsid w:val="00500102"/>
    <w:rsid w:val="0050151B"/>
    <w:rsid w:val="00501A9F"/>
    <w:rsid w:val="00501F20"/>
    <w:rsid w:val="00501F3C"/>
    <w:rsid w:val="00502119"/>
    <w:rsid w:val="005024DC"/>
    <w:rsid w:val="00502905"/>
    <w:rsid w:val="00502A90"/>
    <w:rsid w:val="00503B65"/>
    <w:rsid w:val="00503C3B"/>
    <w:rsid w:val="005049B6"/>
    <w:rsid w:val="00504DBA"/>
    <w:rsid w:val="00504E08"/>
    <w:rsid w:val="005051EF"/>
    <w:rsid w:val="00505448"/>
    <w:rsid w:val="005058EC"/>
    <w:rsid w:val="00505FEA"/>
    <w:rsid w:val="005067B9"/>
    <w:rsid w:val="00506B9D"/>
    <w:rsid w:val="00506BCA"/>
    <w:rsid w:val="00506D03"/>
    <w:rsid w:val="0050708F"/>
    <w:rsid w:val="00507C63"/>
    <w:rsid w:val="0051007E"/>
    <w:rsid w:val="0051123F"/>
    <w:rsid w:val="005113CD"/>
    <w:rsid w:val="005113FF"/>
    <w:rsid w:val="005116F3"/>
    <w:rsid w:val="00511A36"/>
    <w:rsid w:val="00511BEF"/>
    <w:rsid w:val="00512131"/>
    <w:rsid w:val="005121B5"/>
    <w:rsid w:val="005121E1"/>
    <w:rsid w:val="00512F88"/>
    <w:rsid w:val="005142BA"/>
    <w:rsid w:val="00515285"/>
    <w:rsid w:val="00515606"/>
    <w:rsid w:val="00515C8D"/>
    <w:rsid w:val="00515DF1"/>
    <w:rsid w:val="00515E1E"/>
    <w:rsid w:val="00516C62"/>
    <w:rsid w:val="00517B56"/>
    <w:rsid w:val="00517C00"/>
    <w:rsid w:val="00517D48"/>
    <w:rsid w:val="005205B8"/>
    <w:rsid w:val="00520D45"/>
    <w:rsid w:val="00520EDA"/>
    <w:rsid w:val="0052125F"/>
    <w:rsid w:val="00521688"/>
    <w:rsid w:val="005220CC"/>
    <w:rsid w:val="005224A5"/>
    <w:rsid w:val="005226D5"/>
    <w:rsid w:val="005228FC"/>
    <w:rsid w:val="00522EAD"/>
    <w:rsid w:val="00522F5E"/>
    <w:rsid w:val="00523131"/>
    <w:rsid w:val="0052336B"/>
    <w:rsid w:val="0052379A"/>
    <w:rsid w:val="00523B21"/>
    <w:rsid w:val="00523EAF"/>
    <w:rsid w:val="00524870"/>
    <w:rsid w:val="00525A02"/>
    <w:rsid w:val="00526A8C"/>
    <w:rsid w:val="00526D07"/>
    <w:rsid w:val="00527928"/>
    <w:rsid w:val="00527D22"/>
    <w:rsid w:val="00530189"/>
    <w:rsid w:val="0053053A"/>
    <w:rsid w:val="005307CB"/>
    <w:rsid w:val="00530B6A"/>
    <w:rsid w:val="0053188F"/>
    <w:rsid w:val="00531C7E"/>
    <w:rsid w:val="00531CA4"/>
    <w:rsid w:val="00531E55"/>
    <w:rsid w:val="00532A84"/>
    <w:rsid w:val="00534AEA"/>
    <w:rsid w:val="00534D30"/>
    <w:rsid w:val="0053529A"/>
    <w:rsid w:val="00535A33"/>
    <w:rsid w:val="00535F98"/>
    <w:rsid w:val="0053637D"/>
    <w:rsid w:val="00536883"/>
    <w:rsid w:val="00536D8D"/>
    <w:rsid w:val="00536EC5"/>
    <w:rsid w:val="00537321"/>
    <w:rsid w:val="0053774D"/>
    <w:rsid w:val="00540002"/>
    <w:rsid w:val="00540089"/>
    <w:rsid w:val="005402CE"/>
    <w:rsid w:val="005403BC"/>
    <w:rsid w:val="00540FD2"/>
    <w:rsid w:val="0054107C"/>
    <w:rsid w:val="00541A6D"/>
    <w:rsid w:val="00541B52"/>
    <w:rsid w:val="005424AE"/>
    <w:rsid w:val="005428BB"/>
    <w:rsid w:val="005428CA"/>
    <w:rsid w:val="0054292E"/>
    <w:rsid w:val="00542E8F"/>
    <w:rsid w:val="0054304A"/>
    <w:rsid w:val="00543889"/>
    <w:rsid w:val="00543A24"/>
    <w:rsid w:val="00543D5E"/>
    <w:rsid w:val="00543FB7"/>
    <w:rsid w:val="00543FF7"/>
    <w:rsid w:val="005442CC"/>
    <w:rsid w:val="005449D5"/>
    <w:rsid w:val="00544A19"/>
    <w:rsid w:val="00545282"/>
    <w:rsid w:val="00545597"/>
    <w:rsid w:val="00545BB7"/>
    <w:rsid w:val="005469F8"/>
    <w:rsid w:val="00546A9A"/>
    <w:rsid w:val="00547928"/>
    <w:rsid w:val="0055017F"/>
    <w:rsid w:val="005508A0"/>
    <w:rsid w:val="0055139E"/>
    <w:rsid w:val="0055259F"/>
    <w:rsid w:val="00552894"/>
    <w:rsid w:val="00552933"/>
    <w:rsid w:val="005530A9"/>
    <w:rsid w:val="00553676"/>
    <w:rsid w:val="0055385C"/>
    <w:rsid w:val="00554863"/>
    <w:rsid w:val="00554AC5"/>
    <w:rsid w:val="00554CEC"/>
    <w:rsid w:val="00555415"/>
    <w:rsid w:val="0055665F"/>
    <w:rsid w:val="00556AF0"/>
    <w:rsid w:val="00556B4C"/>
    <w:rsid w:val="00557638"/>
    <w:rsid w:val="005579F6"/>
    <w:rsid w:val="00560475"/>
    <w:rsid w:val="00560AE8"/>
    <w:rsid w:val="00560B51"/>
    <w:rsid w:val="00560E8E"/>
    <w:rsid w:val="0056137C"/>
    <w:rsid w:val="00561410"/>
    <w:rsid w:val="00561780"/>
    <w:rsid w:val="00561BBF"/>
    <w:rsid w:val="00561C7D"/>
    <w:rsid w:val="00562126"/>
    <w:rsid w:val="00562139"/>
    <w:rsid w:val="005629E6"/>
    <w:rsid w:val="0056385D"/>
    <w:rsid w:val="005642A4"/>
    <w:rsid w:val="0056439E"/>
    <w:rsid w:val="00564824"/>
    <w:rsid w:val="00564935"/>
    <w:rsid w:val="00564941"/>
    <w:rsid w:val="00564B3D"/>
    <w:rsid w:val="00565EA0"/>
    <w:rsid w:val="0056750E"/>
    <w:rsid w:val="00567A80"/>
    <w:rsid w:val="00567C3D"/>
    <w:rsid w:val="005702CD"/>
    <w:rsid w:val="005702DC"/>
    <w:rsid w:val="00570C78"/>
    <w:rsid w:val="00570D58"/>
    <w:rsid w:val="00570FB8"/>
    <w:rsid w:val="005713ED"/>
    <w:rsid w:val="00572051"/>
    <w:rsid w:val="0057305A"/>
    <w:rsid w:val="005738B7"/>
    <w:rsid w:val="005747B3"/>
    <w:rsid w:val="00574AE8"/>
    <w:rsid w:val="00574BC2"/>
    <w:rsid w:val="00574C2C"/>
    <w:rsid w:val="00574F07"/>
    <w:rsid w:val="0057592A"/>
    <w:rsid w:val="005759DB"/>
    <w:rsid w:val="005759EC"/>
    <w:rsid w:val="00575D99"/>
    <w:rsid w:val="005761B3"/>
    <w:rsid w:val="00576588"/>
    <w:rsid w:val="00576D19"/>
    <w:rsid w:val="0057747B"/>
    <w:rsid w:val="00580009"/>
    <w:rsid w:val="00580049"/>
    <w:rsid w:val="005804E5"/>
    <w:rsid w:val="00580606"/>
    <w:rsid w:val="00581712"/>
    <w:rsid w:val="00581831"/>
    <w:rsid w:val="005828A1"/>
    <w:rsid w:val="00582A57"/>
    <w:rsid w:val="005830FD"/>
    <w:rsid w:val="00583137"/>
    <w:rsid w:val="00583430"/>
    <w:rsid w:val="005834F1"/>
    <w:rsid w:val="0058354D"/>
    <w:rsid w:val="00584131"/>
    <w:rsid w:val="005841DF"/>
    <w:rsid w:val="00584720"/>
    <w:rsid w:val="00585098"/>
    <w:rsid w:val="0058568F"/>
    <w:rsid w:val="00585D6B"/>
    <w:rsid w:val="0058638B"/>
    <w:rsid w:val="0058646B"/>
    <w:rsid w:val="005870BB"/>
    <w:rsid w:val="00587148"/>
    <w:rsid w:val="005872EA"/>
    <w:rsid w:val="00587386"/>
    <w:rsid w:val="005911CD"/>
    <w:rsid w:val="00591DCD"/>
    <w:rsid w:val="005924EF"/>
    <w:rsid w:val="00592971"/>
    <w:rsid w:val="00593009"/>
    <w:rsid w:val="00593AB3"/>
    <w:rsid w:val="00594418"/>
    <w:rsid w:val="0059494E"/>
    <w:rsid w:val="00594D6F"/>
    <w:rsid w:val="00595094"/>
    <w:rsid w:val="00595D5B"/>
    <w:rsid w:val="0059738D"/>
    <w:rsid w:val="005974D6"/>
    <w:rsid w:val="00597885"/>
    <w:rsid w:val="00597CAE"/>
    <w:rsid w:val="005A020F"/>
    <w:rsid w:val="005A0359"/>
    <w:rsid w:val="005A0961"/>
    <w:rsid w:val="005A0D7D"/>
    <w:rsid w:val="005A13C6"/>
    <w:rsid w:val="005A159B"/>
    <w:rsid w:val="005A189F"/>
    <w:rsid w:val="005A1955"/>
    <w:rsid w:val="005A199D"/>
    <w:rsid w:val="005A1EF7"/>
    <w:rsid w:val="005A2150"/>
    <w:rsid w:val="005A24B0"/>
    <w:rsid w:val="005A27D5"/>
    <w:rsid w:val="005A27E8"/>
    <w:rsid w:val="005A3175"/>
    <w:rsid w:val="005A3421"/>
    <w:rsid w:val="005A357D"/>
    <w:rsid w:val="005A37B3"/>
    <w:rsid w:val="005A3B82"/>
    <w:rsid w:val="005A3D33"/>
    <w:rsid w:val="005A4C31"/>
    <w:rsid w:val="005A4E78"/>
    <w:rsid w:val="005A55E7"/>
    <w:rsid w:val="005A5BBD"/>
    <w:rsid w:val="005A5DBD"/>
    <w:rsid w:val="005A6234"/>
    <w:rsid w:val="005A63BA"/>
    <w:rsid w:val="005A67B3"/>
    <w:rsid w:val="005A6CB6"/>
    <w:rsid w:val="005A75CE"/>
    <w:rsid w:val="005A7BD5"/>
    <w:rsid w:val="005A7EC7"/>
    <w:rsid w:val="005B07A4"/>
    <w:rsid w:val="005B1232"/>
    <w:rsid w:val="005B13B5"/>
    <w:rsid w:val="005B1422"/>
    <w:rsid w:val="005B143D"/>
    <w:rsid w:val="005B1657"/>
    <w:rsid w:val="005B1D0A"/>
    <w:rsid w:val="005B1D9E"/>
    <w:rsid w:val="005B2095"/>
    <w:rsid w:val="005B275E"/>
    <w:rsid w:val="005B2941"/>
    <w:rsid w:val="005B2E9E"/>
    <w:rsid w:val="005B405A"/>
    <w:rsid w:val="005B4557"/>
    <w:rsid w:val="005B5C06"/>
    <w:rsid w:val="005B5F4F"/>
    <w:rsid w:val="005B631A"/>
    <w:rsid w:val="005B6859"/>
    <w:rsid w:val="005B7CE1"/>
    <w:rsid w:val="005C02B6"/>
    <w:rsid w:val="005C0494"/>
    <w:rsid w:val="005C0FD2"/>
    <w:rsid w:val="005C16B3"/>
    <w:rsid w:val="005C1B5D"/>
    <w:rsid w:val="005C1C8C"/>
    <w:rsid w:val="005C21E3"/>
    <w:rsid w:val="005C21FC"/>
    <w:rsid w:val="005C245B"/>
    <w:rsid w:val="005C2482"/>
    <w:rsid w:val="005C287D"/>
    <w:rsid w:val="005C2B9B"/>
    <w:rsid w:val="005C34A2"/>
    <w:rsid w:val="005C3C37"/>
    <w:rsid w:val="005C45AC"/>
    <w:rsid w:val="005C46F5"/>
    <w:rsid w:val="005C4B52"/>
    <w:rsid w:val="005C5723"/>
    <w:rsid w:val="005C5A98"/>
    <w:rsid w:val="005C64EF"/>
    <w:rsid w:val="005C6523"/>
    <w:rsid w:val="005C6953"/>
    <w:rsid w:val="005C6B67"/>
    <w:rsid w:val="005C6C81"/>
    <w:rsid w:val="005C6EAC"/>
    <w:rsid w:val="005C7087"/>
    <w:rsid w:val="005D06F5"/>
    <w:rsid w:val="005D0CC5"/>
    <w:rsid w:val="005D0FB4"/>
    <w:rsid w:val="005D10B5"/>
    <w:rsid w:val="005D1BDA"/>
    <w:rsid w:val="005D1F75"/>
    <w:rsid w:val="005D20DF"/>
    <w:rsid w:val="005D42A4"/>
    <w:rsid w:val="005D42B7"/>
    <w:rsid w:val="005D4423"/>
    <w:rsid w:val="005D455A"/>
    <w:rsid w:val="005D5179"/>
    <w:rsid w:val="005D5855"/>
    <w:rsid w:val="005D59C0"/>
    <w:rsid w:val="005D6AB3"/>
    <w:rsid w:val="005D7793"/>
    <w:rsid w:val="005D7B78"/>
    <w:rsid w:val="005E04B4"/>
    <w:rsid w:val="005E0F9E"/>
    <w:rsid w:val="005E19BB"/>
    <w:rsid w:val="005E213B"/>
    <w:rsid w:val="005E2186"/>
    <w:rsid w:val="005E2F6B"/>
    <w:rsid w:val="005E3112"/>
    <w:rsid w:val="005E4403"/>
    <w:rsid w:val="005E469C"/>
    <w:rsid w:val="005E49EE"/>
    <w:rsid w:val="005E5262"/>
    <w:rsid w:val="005E5BA7"/>
    <w:rsid w:val="005E623B"/>
    <w:rsid w:val="005E64ED"/>
    <w:rsid w:val="005E6736"/>
    <w:rsid w:val="005E6D39"/>
    <w:rsid w:val="005E70BA"/>
    <w:rsid w:val="005E75C3"/>
    <w:rsid w:val="005E77B7"/>
    <w:rsid w:val="005F0206"/>
    <w:rsid w:val="005F0219"/>
    <w:rsid w:val="005F0682"/>
    <w:rsid w:val="005F08D2"/>
    <w:rsid w:val="005F0EC8"/>
    <w:rsid w:val="005F0FCF"/>
    <w:rsid w:val="005F11F4"/>
    <w:rsid w:val="005F1297"/>
    <w:rsid w:val="005F146C"/>
    <w:rsid w:val="005F2BC8"/>
    <w:rsid w:val="005F3051"/>
    <w:rsid w:val="005F35A0"/>
    <w:rsid w:val="005F3961"/>
    <w:rsid w:val="005F3A0C"/>
    <w:rsid w:val="005F3EFE"/>
    <w:rsid w:val="005F4EBA"/>
    <w:rsid w:val="005F4F01"/>
    <w:rsid w:val="005F51F5"/>
    <w:rsid w:val="005F5A41"/>
    <w:rsid w:val="005F5BBD"/>
    <w:rsid w:val="005F5C22"/>
    <w:rsid w:val="005F5DCC"/>
    <w:rsid w:val="005F61BA"/>
    <w:rsid w:val="005F6CE9"/>
    <w:rsid w:val="005F7897"/>
    <w:rsid w:val="005F7FA5"/>
    <w:rsid w:val="00600274"/>
    <w:rsid w:val="0060072E"/>
    <w:rsid w:val="00601BEA"/>
    <w:rsid w:val="006026F1"/>
    <w:rsid w:val="00602AD8"/>
    <w:rsid w:val="00602E82"/>
    <w:rsid w:val="00602FFB"/>
    <w:rsid w:val="0060321A"/>
    <w:rsid w:val="006038C9"/>
    <w:rsid w:val="0060395C"/>
    <w:rsid w:val="0060404B"/>
    <w:rsid w:val="00604084"/>
    <w:rsid w:val="00604A03"/>
    <w:rsid w:val="00604ADE"/>
    <w:rsid w:val="0060500C"/>
    <w:rsid w:val="0060517B"/>
    <w:rsid w:val="00605DBE"/>
    <w:rsid w:val="00606016"/>
    <w:rsid w:val="00606166"/>
    <w:rsid w:val="00606392"/>
    <w:rsid w:val="00606F29"/>
    <w:rsid w:val="00607686"/>
    <w:rsid w:val="00610556"/>
    <w:rsid w:val="00610619"/>
    <w:rsid w:val="00610989"/>
    <w:rsid w:val="006112D5"/>
    <w:rsid w:val="00611846"/>
    <w:rsid w:val="00611A81"/>
    <w:rsid w:val="00611B7F"/>
    <w:rsid w:val="00611BF1"/>
    <w:rsid w:val="0061254F"/>
    <w:rsid w:val="006125AC"/>
    <w:rsid w:val="006126D5"/>
    <w:rsid w:val="006127CA"/>
    <w:rsid w:val="00612A11"/>
    <w:rsid w:val="00612C2D"/>
    <w:rsid w:val="006131DA"/>
    <w:rsid w:val="006136DE"/>
    <w:rsid w:val="006139D4"/>
    <w:rsid w:val="00613B3C"/>
    <w:rsid w:val="00613D35"/>
    <w:rsid w:val="006149D4"/>
    <w:rsid w:val="00614AA2"/>
    <w:rsid w:val="006150F6"/>
    <w:rsid w:val="006165B7"/>
    <w:rsid w:val="006166FC"/>
    <w:rsid w:val="00617113"/>
    <w:rsid w:val="00617192"/>
    <w:rsid w:val="006173DB"/>
    <w:rsid w:val="006176A8"/>
    <w:rsid w:val="00617953"/>
    <w:rsid w:val="00620084"/>
    <w:rsid w:val="006204AA"/>
    <w:rsid w:val="00620574"/>
    <w:rsid w:val="006207CB"/>
    <w:rsid w:val="00620D53"/>
    <w:rsid w:val="006210F2"/>
    <w:rsid w:val="0062142A"/>
    <w:rsid w:val="00621536"/>
    <w:rsid w:val="0062159F"/>
    <w:rsid w:val="00621722"/>
    <w:rsid w:val="00621C7E"/>
    <w:rsid w:val="00621CEC"/>
    <w:rsid w:val="00622008"/>
    <w:rsid w:val="006223E2"/>
    <w:rsid w:val="00622E64"/>
    <w:rsid w:val="006236EF"/>
    <w:rsid w:val="00623880"/>
    <w:rsid w:val="00623D5D"/>
    <w:rsid w:val="006245A7"/>
    <w:rsid w:val="0062467D"/>
    <w:rsid w:val="00624878"/>
    <w:rsid w:val="006249CB"/>
    <w:rsid w:val="00625BEE"/>
    <w:rsid w:val="0062607B"/>
    <w:rsid w:val="00626249"/>
    <w:rsid w:val="0062643C"/>
    <w:rsid w:val="00626B73"/>
    <w:rsid w:val="00627800"/>
    <w:rsid w:val="00630A5D"/>
    <w:rsid w:val="006315AC"/>
    <w:rsid w:val="00631A87"/>
    <w:rsid w:val="006329EE"/>
    <w:rsid w:val="00632B9C"/>
    <w:rsid w:val="006330A0"/>
    <w:rsid w:val="00633A8F"/>
    <w:rsid w:val="00633D7D"/>
    <w:rsid w:val="00634607"/>
    <w:rsid w:val="00634AC1"/>
    <w:rsid w:val="00634CAE"/>
    <w:rsid w:val="00635075"/>
    <w:rsid w:val="006355C6"/>
    <w:rsid w:val="00635DA2"/>
    <w:rsid w:val="00635ED3"/>
    <w:rsid w:val="00635F61"/>
    <w:rsid w:val="00635FA7"/>
    <w:rsid w:val="00635FC7"/>
    <w:rsid w:val="0063637F"/>
    <w:rsid w:val="00636555"/>
    <w:rsid w:val="00636E63"/>
    <w:rsid w:val="006370E1"/>
    <w:rsid w:val="00637434"/>
    <w:rsid w:val="006407E0"/>
    <w:rsid w:val="006419DC"/>
    <w:rsid w:val="00641C94"/>
    <w:rsid w:val="0064221F"/>
    <w:rsid w:val="006424D2"/>
    <w:rsid w:val="006424DE"/>
    <w:rsid w:val="0064257A"/>
    <w:rsid w:val="00642983"/>
    <w:rsid w:val="00642A6F"/>
    <w:rsid w:val="00642B5D"/>
    <w:rsid w:val="00642B80"/>
    <w:rsid w:val="00643166"/>
    <w:rsid w:val="00643195"/>
    <w:rsid w:val="00643251"/>
    <w:rsid w:val="0064417C"/>
    <w:rsid w:val="006448E8"/>
    <w:rsid w:val="00644C83"/>
    <w:rsid w:val="00645C03"/>
    <w:rsid w:val="0064619F"/>
    <w:rsid w:val="00646217"/>
    <w:rsid w:val="006464E3"/>
    <w:rsid w:val="0064695F"/>
    <w:rsid w:val="0064733C"/>
    <w:rsid w:val="00647761"/>
    <w:rsid w:val="00650C62"/>
    <w:rsid w:val="006512C7"/>
    <w:rsid w:val="00651DCC"/>
    <w:rsid w:val="00651F94"/>
    <w:rsid w:val="006521A6"/>
    <w:rsid w:val="00652283"/>
    <w:rsid w:val="0065247D"/>
    <w:rsid w:val="0065250B"/>
    <w:rsid w:val="006525AD"/>
    <w:rsid w:val="00652D76"/>
    <w:rsid w:val="00652F4F"/>
    <w:rsid w:val="0065395A"/>
    <w:rsid w:val="006539D9"/>
    <w:rsid w:val="006558F7"/>
    <w:rsid w:val="00657AEF"/>
    <w:rsid w:val="00657D0D"/>
    <w:rsid w:val="00660209"/>
    <w:rsid w:val="006605C6"/>
    <w:rsid w:val="00660751"/>
    <w:rsid w:val="00660D82"/>
    <w:rsid w:val="006610A6"/>
    <w:rsid w:val="006613E7"/>
    <w:rsid w:val="00661580"/>
    <w:rsid w:val="0066235D"/>
    <w:rsid w:val="006636C4"/>
    <w:rsid w:val="00663905"/>
    <w:rsid w:val="00663B31"/>
    <w:rsid w:val="00663C14"/>
    <w:rsid w:val="0066411F"/>
    <w:rsid w:val="0066470B"/>
    <w:rsid w:val="00664C9C"/>
    <w:rsid w:val="00664CB6"/>
    <w:rsid w:val="00664DDC"/>
    <w:rsid w:val="00665E57"/>
    <w:rsid w:val="00665F45"/>
    <w:rsid w:val="00667066"/>
    <w:rsid w:val="00667F50"/>
    <w:rsid w:val="0067006B"/>
    <w:rsid w:val="006707A4"/>
    <w:rsid w:val="00670837"/>
    <w:rsid w:val="006712FF"/>
    <w:rsid w:val="00671BBA"/>
    <w:rsid w:val="00671E57"/>
    <w:rsid w:val="006728BC"/>
    <w:rsid w:val="00672CF9"/>
    <w:rsid w:val="00672DE1"/>
    <w:rsid w:val="006733CC"/>
    <w:rsid w:val="00673839"/>
    <w:rsid w:val="00673CD7"/>
    <w:rsid w:val="00674110"/>
    <w:rsid w:val="006741B6"/>
    <w:rsid w:val="0067441C"/>
    <w:rsid w:val="00675196"/>
    <w:rsid w:val="00675F6D"/>
    <w:rsid w:val="00676017"/>
    <w:rsid w:val="00676747"/>
    <w:rsid w:val="0067706C"/>
    <w:rsid w:val="00677662"/>
    <w:rsid w:val="00677809"/>
    <w:rsid w:val="00677847"/>
    <w:rsid w:val="006800CD"/>
    <w:rsid w:val="00680BC4"/>
    <w:rsid w:val="00681105"/>
    <w:rsid w:val="00681A51"/>
    <w:rsid w:val="00681EA3"/>
    <w:rsid w:val="00682191"/>
    <w:rsid w:val="0068257A"/>
    <w:rsid w:val="00683190"/>
    <w:rsid w:val="0068384B"/>
    <w:rsid w:val="006846B6"/>
    <w:rsid w:val="006849CD"/>
    <w:rsid w:val="00684AF5"/>
    <w:rsid w:val="0068514F"/>
    <w:rsid w:val="0068568D"/>
    <w:rsid w:val="00686094"/>
    <w:rsid w:val="0068624B"/>
    <w:rsid w:val="00686685"/>
    <w:rsid w:val="006866A7"/>
    <w:rsid w:val="006866DC"/>
    <w:rsid w:val="006869AA"/>
    <w:rsid w:val="00686CA0"/>
    <w:rsid w:val="00687719"/>
    <w:rsid w:val="00687E26"/>
    <w:rsid w:val="00690284"/>
    <w:rsid w:val="0069093F"/>
    <w:rsid w:val="00690C74"/>
    <w:rsid w:val="00690E02"/>
    <w:rsid w:val="0069167C"/>
    <w:rsid w:val="00691786"/>
    <w:rsid w:val="00691AFF"/>
    <w:rsid w:val="00692464"/>
    <w:rsid w:val="00692E76"/>
    <w:rsid w:val="00693A62"/>
    <w:rsid w:val="00693BD7"/>
    <w:rsid w:val="00693CE8"/>
    <w:rsid w:val="00694A97"/>
    <w:rsid w:val="00695186"/>
    <w:rsid w:val="00695397"/>
    <w:rsid w:val="006955B9"/>
    <w:rsid w:val="00696118"/>
    <w:rsid w:val="00696178"/>
    <w:rsid w:val="00696D77"/>
    <w:rsid w:val="0069722E"/>
    <w:rsid w:val="006977F4"/>
    <w:rsid w:val="006A00A4"/>
    <w:rsid w:val="006A0507"/>
    <w:rsid w:val="006A0793"/>
    <w:rsid w:val="006A087A"/>
    <w:rsid w:val="006A0C2F"/>
    <w:rsid w:val="006A1409"/>
    <w:rsid w:val="006A26A9"/>
    <w:rsid w:val="006A2F1B"/>
    <w:rsid w:val="006A3920"/>
    <w:rsid w:val="006A3B4F"/>
    <w:rsid w:val="006A3DB6"/>
    <w:rsid w:val="006A40A0"/>
    <w:rsid w:val="006A4851"/>
    <w:rsid w:val="006A5194"/>
    <w:rsid w:val="006A5261"/>
    <w:rsid w:val="006A5E77"/>
    <w:rsid w:val="006A627C"/>
    <w:rsid w:val="006A6BE3"/>
    <w:rsid w:val="006B09BE"/>
    <w:rsid w:val="006B0A95"/>
    <w:rsid w:val="006B163B"/>
    <w:rsid w:val="006B16EE"/>
    <w:rsid w:val="006B1B92"/>
    <w:rsid w:val="006B200C"/>
    <w:rsid w:val="006B24AD"/>
    <w:rsid w:val="006B2A8B"/>
    <w:rsid w:val="006B2B92"/>
    <w:rsid w:val="006B3388"/>
    <w:rsid w:val="006B3C6D"/>
    <w:rsid w:val="006B4823"/>
    <w:rsid w:val="006B4F2E"/>
    <w:rsid w:val="006B575E"/>
    <w:rsid w:val="006B5A46"/>
    <w:rsid w:val="006B69B5"/>
    <w:rsid w:val="006B6BBB"/>
    <w:rsid w:val="006B6BE3"/>
    <w:rsid w:val="006B6CE2"/>
    <w:rsid w:val="006B6D10"/>
    <w:rsid w:val="006B768F"/>
    <w:rsid w:val="006B76E5"/>
    <w:rsid w:val="006B7C4D"/>
    <w:rsid w:val="006C026E"/>
    <w:rsid w:val="006C029E"/>
    <w:rsid w:val="006C0ECE"/>
    <w:rsid w:val="006C126C"/>
    <w:rsid w:val="006C141D"/>
    <w:rsid w:val="006C2AB7"/>
    <w:rsid w:val="006C2FFD"/>
    <w:rsid w:val="006C3314"/>
    <w:rsid w:val="006C492C"/>
    <w:rsid w:val="006C6690"/>
    <w:rsid w:val="006C6B32"/>
    <w:rsid w:val="006C7535"/>
    <w:rsid w:val="006C776C"/>
    <w:rsid w:val="006C785D"/>
    <w:rsid w:val="006D00EE"/>
    <w:rsid w:val="006D04D2"/>
    <w:rsid w:val="006D1063"/>
    <w:rsid w:val="006D1885"/>
    <w:rsid w:val="006D2786"/>
    <w:rsid w:val="006D30C8"/>
    <w:rsid w:val="006D33DF"/>
    <w:rsid w:val="006D36C6"/>
    <w:rsid w:val="006D38DD"/>
    <w:rsid w:val="006D38EE"/>
    <w:rsid w:val="006D3FA3"/>
    <w:rsid w:val="006D43F7"/>
    <w:rsid w:val="006D5452"/>
    <w:rsid w:val="006D5D0D"/>
    <w:rsid w:val="006D5E7F"/>
    <w:rsid w:val="006D6678"/>
    <w:rsid w:val="006D694F"/>
    <w:rsid w:val="006D6C3C"/>
    <w:rsid w:val="006D6F35"/>
    <w:rsid w:val="006E0E2B"/>
    <w:rsid w:val="006E0F32"/>
    <w:rsid w:val="006E1406"/>
    <w:rsid w:val="006E1407"/>
    <w:rsid w:val="006E166B"/>
    <w:rsid w:val="006E2D14"/>
    <w:rsid w:val="006E2ECA"/>
    <w:rsid w:val="006E3279"/>
    <w:rsid w:val="006E3978"/>
    <w:rsid w:val="006E3C8E"/>
    <w:rsid w:val="006E4021"/>
    <w:rsid w:val="006E42C1"/>
    <w:rsid w:val="006E4C9E"/>
    <w:rsid w:val="006E5453"/>
    <w:rsid w:val="006E64B9"/>
    <w:rsid w:val="006E6C98"/>
    <w:rsid w:val="006E6D7A"/>
    <w:rsid w:val="006E7061"/>
    <w:rsid w:val="006E72D2"/>
    <w:rsid w:val="006E74AA"/>
    <w:rsid w:val="006E773E"/>
    <w:rsid w:val="006E7BE2"/>
    <w:rsid w:val="006E7EFC"/>
    <w:rsid w:val="006F010C"/>
    <w:rsid w:val="006F02DC"/>
    <w:rsid w:val="006F133B"/>
    <w:rsid w:val="006F25E0"/>
    <w:rsid w:val="006F2C8C"/>
    <w:rsid w:val="006F2DEB"/>
    <w:rsid w:val="006F33CD"/>
    <w:rsid w:val="006F3CE5"/>
    <w:rsid w:val="006F42F3"/>
    <w:rsid w:val="006F4C7D"/>
    <w:rsid w:val="006F4F8E"/>
    <w:rsid w:val="006F6DE5"/>
    <w:rsid w:val="00700878"/>
    <w:rsid w:val="00701714"/>
    <w:rsid w:val="00701A30"/>
    <w:rsid w:val="00701EB0"/>
    <w:rsid w:val="00703506"/>
    <w:rsid w:val="0070614F"/>
    <w:rsid w:val="00706798"/>
    <w:rsid w:val="007067A4"/>
    <w:rsid w:val="00706D11"/>
    <w:rsid w:val="00706D14"/>
    <w:rsid w:val="00707797"/>
    <w:rsid w:val="00707A54"/>
    <w:rsid w:val="00710187"/>
    <w:rsid w:val="0071084E"/>
    <w:rsid w:val="0071147A"/>
    <w:rsid w:val="00711701"/>
    <w:rsid w:val="007119F2"/>
    <w:rsid w:val="00712860"/>
    <w:rsid w:val="00712D80"/>
    <w:rsid w:val="0071308A"/>
    <w:rsid w:val="0071311F"/>
    <w:rsid w:val="00713E61"/>
    <w:rsid w:val="00713FD9"/>
    <w:rsid w:val="007147C0"/>
    <w:rsid w:val="00714A4C"/>
    <w:rsid w:val="00714E4A"/>
    <w:rsid w:val="0071512A"/>
    <w:rsid w:val="0071512C"/>
    <w:rsid w:val="00715B61"/>
    <w:rsid w:val="00715CD1"/>
    <w:rsid w:val="00715DF5"/>
    <w:rsid w:val="00715F5F"/>
    <w:rsid w:val="007164E3"/>
    <w:rsid w:val="00720CFA"/>
    <w:rsid w:val="0072117B"/>
    <w:rsid w:val="00721320"/>
    <w:rsid w:val="00722776"/>
    <w:rsid w:val="007227FE"/>
    <w:rsid w:val="0072301A"/>
    <w:rsid w:val="0072314B"/>
    <w:rsid w:val="0072317B"/>
    <w:rsid w:val="007231EA"/>
    <w:rsid w:val="00723CAD"/>
    <w:rsid w:val="0072403B"/>
    <w:rsid w:val="00724966"/>
    <w:rsid w:val="007253A0"/>
    <w:rsid w:val="00725F75"/>
    <w:rsid w:val="00726008"/>
    <w:rsid w:val="007264A3"/>
    <w:rsid w:val="00726D18"/>
    <w:rsid w:val="00726EE4"/>
    <w:rsid w:val="0072772C"/>
    <w:rsid w:val="00727987"/>
    <w:rsid w:val="00727A3E"/>
    <w:rsid w:val="00727A54"/>
    <w:rsid w:val="00727B3B"/>
    <w:rsid w:val="00727D4B"/>
    <w:rsid w:val="00727EC7"/>
    <w:rsid w:val="00730689"/>
    <w:rsid w:val="00730BFC"/>
    <w:rsid w:val="00730E58"/>
    <w:rsid w:val="007319FA"/>
    <w:rsid w:val="00731F33"/>
    <w:rsid w:val="007321BE"/>
    <w:rsid w:val="0073298D"/>
    <w:rsid w:val="00732B00"/>
    <w:rsid w:val="00732B1A"/>
    <w:rsid w:val="00732C50"/>
    <w:rsid w:val="00732FB9"/>
    <w:rsid w:val="00733135"/>
    <w:rsid w:val="007336E0"/>
    <w:rsid w:val="00733CE2"/>
    <w:rsid w:val="00735484"/>
    <w:rsid w:val="00735925"/>
    <w:rsid w:val="00735A8B"/>
    <w:rsid w:val="0073669F"/>
    <w:rsid w:val="0073673C"/>
    <w:rsid w:val="00736C3F"/>
    <w:rsid w:val="00736EB3"/>
    <w:rsid w:val="00737502"/>
    <w:rsid w:val="007379A6"/>
    <w:rsid w:val="00737F11"/>
    <w:rsid w:val="007402C3"/>
    <w:rsid w:val="0074045C"/>
    <w:rsid w:val="00740967"/>
    <w:rsid w:val="00740B2F"/>
    <w:rsid w:val="00740C19"/>
    <w:rsid w:val="0074132A"/>
    <w:rsid w:val="00741664"/>
    <w:rsid w:val="00742872"/>
    <w:rsid w:val="00742A4F"/>
    <w:rsid w:val="00742CC1"/>
    <w:rsid w:val="00743979"/>
    <w:rsid w:val="0074418C"/>
    <w:rsid w:val="0074496A"/>
    <w:rsid w:val="00744EFB"/>
    <w:rsid w:val="007450CB"/>
    <w:rsid w:val="00745556"/>
    <w:rsid w:val="00745580"/>
    <w:rsid w:val="00745A4C"/>
    <w:rsid w:val="00746393"/>
    <w:rsid w:val="00746594"/>
    <w:rsid w:val="00746977"/>
    <w:rsid w:val="00746BD6"/>
    <w:rsid w:val="00746D42"/>
    <w:rsid w:val="007473DF"/>
    <w:rsid w:val="00750181"/>
    <w:rsid w:val="007503AF"/>
    <w:rsid w:val="00750617"/>
    <w:rsid w:val="00750AB7"/>
    <w:rsid w:val="00751984"/>
    <w:rsid w:val="007520BE"/>
    <w:rsid w:val="00752140"/>
    <w:rsid w:val="00752853"/>
    <w:rsid w:val="0075373E"/>
    <w:rsid w:val="007540B6"/>
    <w:rsid w:val="007551B1"/>
    <w:rsid w:val="00755219"/>
    <w:rsid w:val="00755760"/>
    <w:rsid w:val="00755B7C"/>
    <w:rsid w:val="00756075"/>
    <w:rsid w:val="0075650B"/>
    <w:rsid w:val="007567FC"/>
    <w:rsid w:val="0075684B"/>
    <w:rsid w:val="00756ED1"/>
    <w:rsid w:val="0075776E"/>
    <w:rsid w:val="00757EBA"/>
    <w:rsid w:val="0076011E"/>
    <w:rsid w:val="007605C9"/>
    <w:rsid w:val="00760F8A"/>
    <w:rsid w:val="0076106A"/>
    <w:rsid w:val="0076115B"/>
    <w:rsid w:val="007611C5"/>
    <w:rsid w:val="0076178B"/>
    <w:rsid w:val="00761D27"/>
    <w:rsid w:val="00761E19"/>
    <w:rsid w:val="00761FD9"/>
    <w:rsid w:val="00762030"/>
    <w:rsid w:val="00762194"/>
    <w:rsid w:val="00762350"/>
    <w:rsid w:val="007632AD"/>
    <w:rsid w:val="00763936"/>
    <w:rsid w:val="00763D43"/>
    <w:rsid w:val="007648FA"/>
    <w:rsid w:val="00764AE2"/>
    <w:rsid w:val="00764B2B"/>
    <w:rsid w:val="00764C0C"/>
    <w:rsid w:val="00765038"/>
    <w:rsid w:val="0076538A"/>
    <w:rsid w:val="00765636"/>
    <w:rsid w:val="0076580E"/>
    <w:rsid w:val="00765ADB"/>
    <w:rsid w:val="00765F58"/>
    <w:rsid w:val="00766102"/>
    <w:rsid w:val="007663FA"/>
    <w:rsid w:val="007670D1"/>
    <w:rsid w:val="007671C1"/>
    <w:rsid w:val="007679E4"/>
    <w:rsid w:val="00767A4C"/>
    <w:rsid w:val="00767D8E"/>
    <w:rsid w:val="007705D2"/>
    <w:rsid w:val="00770EAC"/>
    <w:rsid w:val="0077100E"/>
    <w:rsid w:val="00771833"/>
    <w:rsid w:val="00771DC9"/>
    <w:rsid w:val="00771FFA"/>
    <w:rsid w:val="0077273C"/>
    <w:rsid w:val="00772BB9"/>
    <w:rsid w:val="00773785"/>
    <w:rsid w:val="00773A82"/>
    <w:rsid w:val="00774B2E"/>
    <w:rsid w:val="00774C16"/>
    <w:rsid w:val="00774D4E"/>
    <w:rsid w:val="00775265"/>
    <w:rsid w:val="0077554C"/>
    <w:rsid w:val="0077687C"/>
    <w:rsid w:val="00776932"/>
    <w:rsid w:val="00776F91"/>
    <w:rsid w:val="007774B8"/>
    <w:rsid w:val="00780061"/>
    <w:rsid w:val="00780204"/>
    <w:rsid w:val="0078056F"/>
    <w:rsid w:val="00780A01"/>
    <w:rsid w:val="0078121A"/>
    <w:rsid w:val="0078135C"/>
    <w:rsid w:val="0078152D"/>
    <w:rsid w:val="00781D71"/>
    <w:rsid w:val="00782329"/>
    <w:rsid w:val="00782738"/>
    <w:rsid w:val="00782B4D"/>
    <w:rsid w:val="00782C70"/>
    <w:rsid w:val="007838E3"/>
    <w:rsid w:val="00784AFB"/>
    <w:rsid w:val="00784B48"/>
    <w:rsid w:val="00784D6A"/>
    <w:rsid w:val="00785758"/>
    <w:rsid w:val="00785C95"/>
    <w:rsid w:val="0078685A"/>
    <w:rsid w:val="00787088"/>
    <w:rsid w:val="0078740C"/>
    <w:rsid w:val="00787564"/>
    <w:rsid w:val="00787A62"/>
    <w:rsid w:val="0079184C"/>
    <w:rsid w:val="007919CF"/>
    <w:rsid w:val="007922F0"/>
    <w:rsid w:val="00792B43"/>
    <w:rsid w:val="007934C0"/>
    <w:rsid w:val="00793638"/>
    <w:rsid w:val="00793E79"/>
    <w:rsid w:val="007946E0"/>
    <w:rsid w:val="0079483F"/>
    <w:rsid w:val="00795C76"/>
    <w:rsid w:val="00795D7D"/>
    <w:rsid w:val="007966AB"/>
    <w:rsid w:val="00797EA7"/>
    <w:rsid w:val="00797EB1"/>
    <w:rsid w:val="007A18DD"/>
    <w:rsid w:val="007A20FF"/>
    <w:rsid w:val="007A23C9"/>
    <w:rsid w:val="007A31C9"/>
    <w:rsid w:val="007A3B31"/>
    <w:rsid w:val="007A3DFF"/>
    <w:rsid w:val="007A40D2"/>
    <w:rsid w:val="007A47DD"/>
    <w:rsid w:val="007A4829"/>
    <w:rsid w:val="007A493F"/>
    <w:rsid w:val="007A4AF9"/>
    <w:rsid w:val="007A4BDE"/>
    <w:rsid w:val="007A5142"/>
    <w:rsid w:val="007A53B8"/>
    <w:rsid w:val="007A58C3"/>
    <w:rsid w:val="007A596D"/>
    <w:rsid w:val="007A602A"/>
    <w:rsid w:val="007A6802"/>
    <w:rsid w:val="007A7833"/>
    <w:rsid w:val="007A7B83"/>
    <w:rsid w:val="007B00E1"/>
    <w:rsid w:val="007B02CB"/>
    <w:rsid w:val="007B066D"/>
    <w:rsid w:val="007B17F1"/>
    <w:rsid w:val="007B2469"/>
    <w:rsid w:val="007B2B4B"/>
    <w:rsid w:val="007B308C"/>
    <w:rsid w:val="007B3558"/>
    <w:rsid w:val="007B4001"/>
    <w:rsid w:val="007B4584"/>
    <w:rsid w:val="007B4661"/>
    <w:rsid w:val="007B47DC"/>
    <w:rsid w:val="007B4E5E"/>
    <w:rsid w:val="007B50FB"/>
    <w:rsid w:val="007B5380"/>
    <w:rsid w:val="007B60B0"/>
    <w:rsid w:val="007B61C2"/>
    <w:rsid w:val="007B66B9"/>
    <w:rsid w:val="007B6858"/>
    <w:rsid w:val="007B7EC4"/>
    <w:rsid w:val="007B7F3C"/>
    <w:rsid w:val="007C030E"/>
    <w:rsid w:val="007C0DDF"/>
    <w:rsid w:val="007C19C4"/>
    <w:rsid w:val="007C28E1"/>
    <w:rsid w:val="007C2C9A"/>
    <w:rsid w:val="007C2D2E"/>
    <w:rsid w:val="007C3845"/>
    <w:rsid w:val="007C4319"/>
    <w:rsid w:val="007C4690"/>
    <w:rsid w:val="007C507D"/>
    <w:rsid w:val="007C5C0C"/>
    <w:rsid w:val="007C60E3"/>
    <w:rsid w:val="007C69A1"/>
    <w:rsid w:val="007C72AB"/>
    <w:rsid w:val="007C7605"/>
    <w:rsid w:val="007C7CA8"/>
    <w:rsid w:val="007D0B82"/>
    <w:rsid w:val="007D3B4E"/>
    <w:rsid w:val="007D3B7B"/>
    <w:rsid w:val="007D4260"/>
    <w:rsid w:val="007D46E1"/>
    <w:rsid w:val="007D542D"/>
    <w:rsid w:val="007D60CC"/>
    <w:rsid w:val="007D6714"/>
    <w:rsid w:val="007D6845"/>
    <w:rsid w:val="007D6EA0"/>
    <w:rsid w:val="007D7B3F"/>
    <w:rsid w:val="007D7C4B"/>
    <w:rsid w:val="007E137C"/>
    <w:rsid w:val="007E1445"/>
    <w:rsid w:val="007E1BA2"/>
    <w:rsid w:val="007E2C1C"/>
    <w:rsid w:val="007E3B45"/>
    <w:rsid w:val="007E3F3C"/>
    <w:rsid w:val="007E63C6"/>
    <w:rsid w:val="007E7772"/>
    <w:rsid w:val="007E7D24"/>
    <w:rsid w:val="007F0702"/>
    <w:rsid w:val="007F0851"/>
    <w:rsid w:val="007F0C4A"/>
    <w:rsid w:val="007F174F"/>
    <w:rsid w:val="007F1AA9"/>
    <w:rsid w:val="007F1C5D"/>
    <w:rsid w:val="007F1E84"/>
    <w:rsid w:val="007F39C8"/>
    <w:rsid w:val="007F39F6"/>
    <w:rsid w:val="007F3BC3"/>
    <w:rsid w:val="007F3EF0"/>
    <w:rsid w:val="007F4746"/>
    <w:rsid w:val="007F481E"/>
    <w:rsid w:val="007F54B6"/>
    <w:rsid w:val="007F57AA"/>
    <w:rsid w:val="007F6056"/>
    <w:rsid w:val="007F7B78"/>
    <w:rsid w:val="007F7EB1"/>
    <w:rsid w:val="00800CE2"/>
    <w:rsid w:val="00800F72"/>
    <w:rsid w:val="0080112C"/>
    <w:rsid w:val="00801C37"/>
    <w:rsid w:val="008020F4"/>
    <w:rsid w:val="00802226"/>
    <w:rsid w:val="008025F0"/>
    <w:rsid w:val="008029C4"/>
    <w:rsid w:val="00802B1C"/>
    <w:rsid w:val="00802E81"/>
    <w:rsid w:val="00802FF7"/>
    <w:rsid w:val="008036DB"/>
    <w:rsid w:val="008043E8"/>
    <w:rsid w:val="00804576"/>
    <w:rsid w:val="008046A0"/>
    <w:rsid w:val="0080474B"/>
    <w:rsid w:val="008049CE"/>
    <w:rsid w:val="00804E36"/>
    <w:rsid w:val="008051D3"/>
    <w:rsid w:val="0080543A"/>
    <w:rsid w:val="0080566F"/>
    <w:rsid w:val="008056EB"/>
    <w:rsid w:val="008057A1"/>
    <w:rsid w:val="00805900"/>
    <w:rsid w:val="00805C78"/>
    <w:rsid w:val="00805DA5"/>
    <w:rsid w:val="00806706"/>
    <w:rsid w:val="00807098"/>
    <w:rsid w:val="0081022A"/>
    <w:rsid w:val="008106B1"/>
    <w:rsid w:val="00810847"/>
    <w:rsid w:val="0081186A"/>
    <w:rsid w:val="00812C64"/>
    <w:rsid w:val="008138D3"/>
    <w:rsid w:val="008147D7"/>
    <w:rsid w:val="0081502A"/>
    <w:rsid w:val="008150DB"/>
    <w:rsid w:val="00815D27"/>
    <w:rsid w:val="008167EF"/>
    <w:rsid w:val="00816C07"/>
    <w:rsid w:val="00816C1C"/>
    <w:rsid w:val="00816D5D"/>
    <w:rsid w:val="008173CF"/>
    <w:rsid w:val="00817AA8"/>
    <w:rsid w:val="00817B97"/>
    <w:rsid w:val="00820775"/>
    <w:rsid w:val="0082096C"/>
    <w:rsid w:val="00821A18"/>
    <w:rsid w:val="00821C09"/>
    <w:rsid w:val="00821D65"/>
    <w:rsid w:val="00822470"/>
    <w:rsid w:val="00822CF6"/>
    <w:rsid w:val="00822DAA"/>
    <w:rsid w:val="00824773"/>
    <w:rsid w:val="00824B01"/>
    <w:rsid w:val="008256FE"/>
    <w:rsid w:val="00826DFC"/>
    <w:rsid w:val="00827147"/>
    <w:rsid w:val="00827A2E"/>
    <w:rsid w:val="00827D1D"/>
    <w:rsid w:val="008306FA"/>
    <w:rsid w:val="00830756"/>
    <w:rsid w:val="00830ABB"/>
    <w:rsid w:val="00831102"/>
    <w:rsid w:val="00831318"/>
    <w:rsid w:val="00831554"/>
    <w:rsid w:val="00831641"/>
    <w:rsid w:val="00832CAE"/>
    <w:rsid w:val="00833401"/>
    <w:rsid w:val="00833501"/>
    <w:rsid w:val="008338D6"/>
    <w:rsid w:val="0083400D"/>
    <w:rsid w:val="008340D3"/>
    <w:rsid w:val="00834963"/>
    <w:rsid w:val="00834C2E"/>
    <w:rsid w:val="008354A9"/>
    <w:rsid w:val="008358B7"/>
    <w:rsid w:val="008364D7"/>
    <w:rsid w:val="008371C0"/>
    <w:rsid w:val="00837259"/>
    <w:rsid w:val="0083740D"/>
    <w:rsid w:val="00837770"/>
    <w:rsid w:val="0084015E"/>
    <w:rsid w:val="0084023E"/>
    <w:rsid w:val="00843156"/>
    <w:rsid w:val="00843665"/>
    <w:rsid w:val="00843C38"/>
    <w:rsid w:val="00844848"/>
    <w:rsid w:val="00844949"/>
    <w:rsid w:val="00844F61"/>
    <w:rsid w:val="00845873"/>
    <w:rsid w:val="00845B3A"/>
    <w:rsid w:val="00845EEC"/>
    <w:rsid w:val="00847B32"/>
    <w:rsid w:val="00847C0D"/>
    <w:rsid w:val="008501F6"/>
    <w:rsid w:val="0085047F"/>
    <w:rsid w:val="0085068E"/>
    <w:rsid w:val="008525DA"/>
    <w:rsid w:val="008534D4"/>
    <w:rsid w:val="008535F7"/>
    <w:rsid w:val="00853765"/>
    <w:rsid w:val="00853854"/>
    <w:rsid w:val="00854AC6"/>
    <w:rsid w:val="00856CE1"/>
    <w:rsid w:val="008579A0"/>
    <w:rsid w:val="00860528"/>
    <w:rsid w:val="00860831"/>
    <w:rsid w:val="00860872"/>
    <w:rsid w:val="00860FE2"/>
    <w:rsid w:val="00861072"/>
    <w:rsid w:val="008612D1"/>
    <w:rsid w:val="0086137D"/>
    <w:rsid w:val="00861F4D"/>
    <w:rsid w:val="00862864"/>
    <w:rsid w:val="00862BC1"/>
    <w:rsid w:val="00862EB4"/>
    <w:rsid w:val="00863B88"/>
    <w:rsid w:val="008640CF"/>
    <w:rsid w:val="00865480"/>
    <w:rsid w:val="00865878"/>
    <w:rsid w:val="00866172"/>
    <w:rsid w:val="0086665C"/>
    <w:rsid w:val="00867A0F"/>
    <w:rsid w:val="00867C65"/>
    <w:rsid w:val="00867C77"/>
    <w:rsid w:val="00867EA7"/>
    <w:rsid w:val="00867EF1"/>
    <w:rsid w:val="00867F0D"/>
    <w:rsid w:val="008703FC"/>
    <w:rsid w:val="00870467"/>
    <w:rsid w:val="008707B9"/>
    <w:rsid w:val="00870B52"/>
    <w:rsid w:val="00870C05"/>
    <w:rsid w:val="00870C19"/>
    <w:rsid w:val="00871070"/>
    <w:rsid w:val="008710D9"/>
    <w:rsid w:val="00871404"/>
    <w:rsid w:val="00871A0B"/>
    <w:rsid w:val="00871F13"/>
    <w:rsid w:val="00871F9E"/>
    <w:rsid w:val="0087226D"/>
    <w:rsid w:val="00872602"/>
    <w:rsid w:val="008728FB"/>
    <w:rsid w:val="008729E7"/>
    <w:rsid w:val="0087342D"/>
    <w:rsid w:val="0087420A"/>
    <w:rsid w:val="00874228"/>
    <w:rsid w:val="00874F56"/>
    <w:rsid w:val="00875423"/>
    <w:rsid w:val="00876301"/>
    <w:rsid w:val="00876920"/>
    <w:rsid w:val="008803F8"/>
    <w:rsid w:val="00880451"/>
    <w:rsid w:val="00880AA2"/>
    <w:rsid w:val="00880E45"/>
    <w:rsid w:val="008811CD"/>
    <w:rsid w:val="00882A6E"/>
    <w:rsid w:val="00882D83"/>
    <w:rsid w:val="00883141"/>
    <w:rsid w:val="00883642"/>
    <w:rsid w:val="0088375A"/>
    <w:rsid w:val="00884352"/>
    <w:rsid w:val="00884509"/>
    <w:rsid w:val="008848C5"/>
    <w:rsid w:val="00884E69"/>
    <w:rsid w:val="008852D0"/>
    <w:rsid w:val="008855B1"/>
    <w:rsid w:val="008859CB"/>
    <w:rsid w:val="0088696E"/>
    <w:rsid w:val="00886C1F"/>
    <w:rsid w:val="0088718E"/>
    <w:rsid w:val="00891A84"/>
    <w:rsid w:val="00891C48"/>
    <w:rsid w:val="0089226F"/>
    <w:rsid w:val="00892280"/>
    <w:rsid w:val="00892594"/>
    <w:rsid w:val="0089297B"/>
    <w:rsid w:val="00892D2C"/>
    <w:rsid w:val="0089310B"/>
    <w:rsid w:val="008932A2"/>
    <w:rsid w:val="00893FF0"/>
    <w:rsid w:val="00894057"/>
    <w:rsid w:val="00894F10"/>
    <w:rsid w:val="00895265"/>
    <w:rsid w:val="008963C4"/>
    <w:rsid w:val="00896816"/>
    <w:rsid w:val="008969C6"/>
    <w:rsid w:val="00897411"/>
    <w:rsid w:val="0089761E"/>
    <w:rsid w:val="008A0754"/>
    <w:rsid w:val="008A12DF"/>
    <w:rsid w:val="008A152E"/>
    <w:rsid w:val="008A154D"/>
    <w:rsid w:val="008A16C7"/>
    <w:rsid w:val="008A16CB"/>
    <w:rsid w:val="008A22E8"/>
    <w:rsid w:val="008A2501"/>
    <w:rsid w:val="008A2A2E"/>
    <w:rsid w:val="008A2CCC"/>
    <w:rsid w:val="008A3CF5"/>
    <w:rsid w:val="008A3CFC"/>
    <w:rsid w:val="008A4445"/>
    <w:rsid w:val="008A44DD"/>
    <w:rsid w:val="008A486D"/>
    <w:rsid w:val="008A488B"/>
    <w:rsid w:val="008A4DFC"/>
    <w:rsid w:val="008A4E62"/>
    <w:rsid w:val="008A5952"/>
    <w:rsid w:val="008A6907"/>
    <w:rsid w:val="008A72C3"/>
    <w:rsid w:val="008A7339"/>
    <w:rsid w:val="008A758D"/>
    <w:rsid w:val="008B03C1"/>
    <w:rsid w:val="008B06ED"/>
    <w:rsid w:val="008B0E07"/>
    <w:rsid w:val="008B1DFA"/>
    <w:rsid w:val="008B1E24"/>
    <w:rsid w:val="008B2302"/>
    <w:rsid w:val="008B240E"/>
    <w:rsid w:val="008B2479"/>
    <w:rsid w:val="008B31BC"/>
    <w:rsid w:val="008B31EF"/>
    <w:rsid w:val="008B3F16"/>
    <w:rsid w:val="008B4CBC"/>
    <w:rsid w:val="008B4D87"/>
    <w:rsid w:val="008B5409"/>
    <w:rsid w:val="008B6427"/>
    <w:rsid w:val="008B6A29"/>
    <w:rsid w:val="008B6EC9"/>
    <w:rsid w:val="008C01AF"/>
    <w:rsid w:val="008C084B"/>
    <w:rsid w:val="008C1692"/>
    <w:rsid w:val="008C188B"/>
    <w:rsid w:val="008C1C54"/>
    <w:rsid w:val="008C251D"/>
    <w:rsid w:val="008C2688"/>
    <w:rsid w:val="008C2738"/>
    <w:rsid w:val="008C279C"/>
    <w:rsid w:val="008C3896"/>
    <w:rsid w:val="008C39D1"/>
    <w:rsid w:val="008C3C63"/>
    <w:rsid w:val="008C463C"/>
    <w:rsid w:val="008C55EC"/>
    <w:rsid w:val="008C5C1C"/>
    <w:rsid w:val="008C6680"/>
    <w:rsid w:val="008D11F5"/>
    <w:rsid w:val="008D14A5"/>
    <w:rsid w:val="008D1706"/>
    <w:rsid w:val="008D2367"/>
    <w:rsid w:val="008D2428"/>
    <w:rsid w:val="008D31C1"/>
    <w:rsid w:val="008D3226"/>
    <w:rsid w:val="008D3589"/>
    <w:rsid w:val="008D4439"/>
    <w:rsid w:val="008D530E"/>
    <w:rsid w:val="008D538F"/>
    <w:rsid w:val="008D5AC2"/>
    <w:rsid w:val="008D5E54"/>
    <w:rsid w:val="008D6283"/>
    <w:rsid w:val="008D662D"/>
    <w:rsid w:val="008D6DA3"/>
    <w:rsid w:val="008D7789"/>
    <w:rsid w:val="008D7D2D"/>
    <w:rsid w:val="008E0133"/>
    <w:rsid w:val="008E0AB2"/>
    <w:rsid w:val="008E0B96"/>
    <w:rsid w:val="008E0FDC"/>
    <w:rsid w:val="008E1906"/>
    <w:rsid w:val="008E24C1"/>
    <w:rsid w:val="008E2DE0"/>
    <w:rsid w:val="008E377B"/>
    <w:rsid w:val="008E3E06"/>
    <w:rsid w:val="008E4460"/>
    <w:rsid w:val="008E4641"/>
    <w:rsid w:val="008E48D3"/>
    <w:rsid w:val="008E49E9"/>
    <w:rsid w:val="008E4A8A"/>
    <w:rsid w:val="008E4CA3"/>
    <w:rsid w:val="008E4D98"/>
    <w:rsid w:val="008E52F2"/>
    <w:rsid w:val="008E5AD1"/>
    <w:rsid w:val="008E5E36"/>
    <w:rsid w:val="008E5E75"/>
    <w:rsid w:val="008E6214"/>
    <w:rsid w:val="008E638A"/>
    <w:rsid w:val="008E6B18"/>
    <w:rsid w:val="008E7130"/>
    <w:rsid w:val="008E7D46"/>
    <w:rsid w:val="008E7F37"/>
    <w:rsid w:val="008F079A"/>
    <w:rsid w:val="008F08CD"/>
    <w:rsid w:val="008F0D7E"/>
    <w:rsid w:val="008F1195"/>
    <w:rsid w:val="008F16C8"/>
    <w:rsid w:val="008F1850"/>
    <w:rsid w:val="008F1F68"/>
    <w:rsid w:val="008F20DC"/>
    <w:rsid w:val="008F2200"/>
    <w:rsid w:val="008F2367"/>
    <w:rsid w:val="008F24B1"/>
    <w:rsid w:val="008F2B6A"/>
    <w:rsid w:val="008F2E13"/>
    <w:rsid w:val="008F3AA8"/>
    <w:rsid w:val="008F41C9"/>
    <w:rsid w:val="008F4283"/>
    <w:rsid w:val="008F42E3"/>
    <w:rsid w:val="008F4629"/>
    <w:rsid w:val="008F4CFC"/>
    <w:rsid w:val="008F4D49"/>
    <w:rsid w:val="008F4FC2"/>
    <w:rsid w:val="008F514A"/>
    <w:rsid w:val="008F5714"/>
    <w:rsid w:val="008F57AE"/>
    <w:rsid w:val="008F5B4F"/>
    <w:rsid w:val="008F5B7F"/>
    <w:rsid w:val="008F5E41"/>
    <w:rsid w:val="008F5E99"/>
    <w:rsid w:val="008F6543"/>
    <w:rsid w:val="008F740E"/>
    <w:rsid w:val="008F7638"/>
    <w:rsid w:val="008F769F"/>
    <w:rsid w:val="008F7CA1"/>
    <w:rsid w:val="008F7D22"/>
    <w:rsid w:val="0090001C"/>
    <w:rsid w:val="00900621"/>
    <w:rsid w:val="00900642"/>
    <w:rsid w:val="0090069F"/>
    <w:rsid w:val="00900A70"/>
    <w:rsid w:val="00901A38"/>
    <w:rsid w:val="00901A89"/>
    <w:rsid w:val="009020FC"/>
    <w:rsid w:val="009021F0"/>
    <w:rsid w:val="00902CD1"/>
    <w:rsid w:val="00902DCE"/>
    <w:rsid w:val="00903945"/>
    <w:rsid w:val="00903D62"/>
    <w:rsid w:val="00904208"/>
    <w:rsid w:val="00904764"/>
    <w:rsid w:val="00904962"/>
    <w:rsid w:val="00904A21"/>
    <w:rsid w:val="00905125"/>
    <w:rsid w:val="0090553E"/>
    <w:rsid w:val="0090577A"/>
    <w:rsid w:val="00906162"/>
    <w:rsid w:val="009062EA"/>
    <w:rsid w:val="009065AA"/>
    <w:rsid w:val="00910C7A"/>
    <w:rsid w:val="00910D25"/>
    <w:rsid w:val="00911DEA"/>
    <w:rsid w:val="009122AD"/>
    <w:rsid w:val="00912A7B"/>
    <w:rsid w:val="00912D23"/>
    <w:rsid w:val="009131C2"/>
    <w:rsid w:val="00913D93"/>
    <w:rsid w:val="00914530"/>
    <w:rsid w:val="00914E30"/>
    <w:rsid w:val="00915008"/>
    <w:rsid w:val="00915305"/>
    <w:rsid w:val="0091576E"/>
    <w:rsid w:val="00916925"/>
    <w:rsid w:val="00916C43"/>
    <w:rsid w:val="00917253"/>
    <w:rsid w:val="00917510"/>
    <w:rsid w:val="00917CEE"/>
    <w:rsid w:val="00920857"/>
    <w:rsid w:val="009221E4"/>
    <w:rsid w:val="00923617"/>
    <w:rsid w:val="00923D85"/>
    <w:rsid w:val="009247A3"/>
    <w:rsid w:val="009254B5"/>
    <w:rsid w:val="00925B94"/>
    <w:rsid w:val="00925CA9"/>
    <w:rsid w:val="00925DA6"/>
    <w:rsid w:val="00926DEA"/>
    <w:rsid w:val="00926F02"/>
    <w:rsid w:val="00927047"/>
    <w:rsid w:val="00930DC6"/>
    <w:rsid w:val="0093104F"/>
    <w:rsid w:val="009322ED"/>
    <w:rsid w:val="009322FB"/>
    <w:rsid w:val="009334FB"/>
    <w:rsid w:val="009336B4"/>
    <w:rsid w:val="009346B2"/>
    <w:rsid w:val="00934C6F"/>
    <w:rsid w:val="00934D08"/>
    <w:rsid w:val="00934EA7"/>
    <w:rsid w:val="00935162"/>
    <w:rsid w:val="00935354"/>
    <w:rsid w:val="009359EE"/>
    <w:rsid w:val="009365B4"/>
    <w:rsid w:val="00936B5D"/>
    <w:rsid w:val="009371B3"/>
    <w:rsid w:val="00937D0F"/>
    <w:rsid w:val="00937DFB"/>
    <w:rsid w:val="00940259"/>
    <w:rsid w:val="0094082D"/>
    <w:rsid w:val="009409B3"/>
    <w:rsid w:val="00940A34"/>
    <w:rsid w:val="00940EF1"/>
    <w:rsid w:val="00940F11"/>
    <w:rsid w:val="009419D4"/>
    <w:rsid w:val="00941DB2"/>
    <w:rsid w:val="009421E5"/>
    <w:rsid w:val="009425E6"/>
    <w:rsid w:val="00942CAD"/>
    <w:rsid w:val="009435DA"/>
    <w:rsid w:val="009439C2"/>
    <w:rsid w:val="00943E33"/>
    <w:rsid w:val="009442BA"/>
    <w:rsid w:val="00944A35"/>
    <w:rsid w:val="00944DAD"/>
    <w:rsid w:val="00945DD5"/>
    <w:rsid w:val="00947FE8"/>
    <w:rsid w:val="00951314"/>
    <w:rsid w:val="00952CC3"/>
    <w:rsid w:val="009530BB"/>
    <w:rsid w:val="00953795"/>
    <w:rsid w:val="00955B15"/>
    <w:rsid w:val="00955F47"/>
    <w:rsid w:val="009560F8"/>
    <w:rsid w:val="00956273"/>
    <w:rsid w:val="00956CD8"/>
    <w:rsid w:val="00957438"/>
    <w:rsid w:val="00960729"/>
    <w:rsid w:val="00961D80"/>
    <w:rsid w:val="00961F3C"/>
    <w:rsid w:val="009624B2"/>
    <w:rsid w:val="00964122"/>
    <w:rsid w:val="00964234"/>
    <w:rsid w:val="00964634"/>
    <w:rsid w:val="00964646"/>
    <w:rsid w:val="009654DC"/>
    <w:rsid w:val="00965698"/>
    <w:rsid w:val="00965BCA"/>
    <w:rsid w:val="009668C2"/>
    <w:rsid w:val="00967EA7"/>
    <w:rsid w:val="00971D23"/>
    <w:rsid w:val="00971DA3"/>
    <w:rsid w:val="0097233C"/>
    <w:rsid w:val="00973306"/>
    <w:rsid w:val="0097390F"/>
    <w:rsid w:val="00973CC9"/>
    <w:rsid w:val="00974219"/>
    <w:rsid w:val="009755AE"/>
    <w:rsid w:val="00975B1F"/>
    <w:rsid w:val="00975DAE"/>
    <w:rsid w:val="00975E1F"/>
    <w:rsid w:val="00976490"/>
    <w:rsid w:val="0097714C"/>
    <w:rsid w:val="0098081C"/>
    <w:rsid w:val="0098131C"/>
    <w:rsid w:val="0098191D"/>
    <w:rsid w:val="00981B10"/>
    <w:rsid w:val="00981BBF"/>
    <w:rsid w:val="00982437"/>
    <w:rsid w:val="009827F9"/>
    <w:rsid w:val="00982AB3"/>
    <w:rsid w:val="00983239"/>
    <w:rsid w:val="0098358C"/>
    <w:rsid w:val="0098374C"/>
    <w:rsid w:val="00983A32"/>
    <w:rsid w:val="00983F3F"/>
    <w:rsid w:val="00984BF8"/>
    <w:rsid w:val="00984E5C"/>
    <w:rsid w:val="00985454"/>
    <w:rsid w:val="00985731"/>
    <w:rsid w:val="0098610F"/>
    <w:rsid w:val="00986387"/>
    <w:rsid w:val="00986AF6"/>
    <w:rsid w:val="00987FAA"/>
    <w:rsid w:val="00990D02"/>
    <w:rsid w:val="00991640"/>
    <w:rsid w:val="00991A80"/>
    <w:rsid w:val="00992C93"/>
    <w:rsid w:val="00992FD4"/>
    <w:rsid w:val="0099320C"/>
    <w:rsid w:val="0099382E"/>
    <w:rsid w:val="009939B7"/>
    <w:rsid w:val="00993C7B"/>
    <w:rsid w:val="00994959"/>
    <w:rsid w:val="00994B64"/>
    <w:rsid w:val="00995054"/>
    <w:rsid w:val="009951F9"/>
    <w:rsid w:val="0099531E"/>
    <w:rsid w:val="00995E59"/>
    <w:rsid w:val="00996FBC"/>
    <w:rsid w:val="009A0355"/>
    <w:rsid w:val="009A04E1"/>
    <w:rsid w:val="009A0737"/>
    <w:rsid w:val="009A08E8"/>
    <w:rsid w:val="009A0B35"/>
    <w:rsid w:val="009A1833"/>
    <w:rsid w:val="009A1A02"/>
    <w:rsid w:val="009A265A"/>
    <w:rsid w:val="009A30EC"/>
    <w:rsid w:val="009A37E5"/>
    <w:rsid w:val="009A3C1D"/>
    <w:rsid w:val="009A42A3"/>
    <w:rsid w:val="009A5435"/>
    <w:rsid w:val="009A54BD"/>
    <w:rsid w:val="009A615C"/>
    <w:rsid w:val="009A6481"/>
    <w:rsid w:val="009A6E8F"/>
    <w:rsid w:val="009A731A"/>
    <w:rsid w:val="009B03D5"/>
    <w:rsid w:val="009B0922"/>
    <w:rsid w:val="009B0A62"/>
    <w:rsid w:val="009B122C"/>
    <w:rsid w:val="009B192C"/>
    <w:rsid w:val="009B1B1B"/>
    <w:rsid w:val="009B1DB8"/>
    <w:rsid w:val="009B3D70"/>
    <w:rsid w:val="009B3EB9"/>
    <w:rsid w:val="009B4B79"/>
    <w:rsid w:val="009B4F7B"/>
    <w:rsid w:val="009B5A4C"/>
    <w:rsid w:val="009B6B5A"/>
    <w:rsid w:val="009B7345"/>
    <w:rsid w:val="009B7673"/>
    <w:rsid w:val="009B771E"/>
    <w:rsid w:val="009B78BA"/>
    <w:rsid w:val="009B7A59"/>
    <w:rsid w:val="009C0042"/>
    <w:rsid w:val="009C116B"/>
    <w:rsid w:val="009C1A23"/>
    <w:rsid w:val="009C1A9A"/>
    <w:rsid w:val="009C28D1"/>
    <w:rsid w:val="009C2EBE"/>
    <w:rsid w:val="009C3075"/>
    <w:rsid w:val="009C30F6"/>
    <w:rsid w:val="009C3E87"/>
    <w:rsid w:val="009C3EFB"/>
    <w:rsid w:val="009C4593"/>
    <w:rsid w:val="009C4A70"/>
    <w:rsid w:val="009C5193"/>
    <w:rsid w:val="009C5344"/>
    <w:rsid w:val="009C5C0B"/>
    <w:rsid w:val="009C664C"/>
    <w:rsid w:val="009C6759"/>
    <w:rsid w:val="009C6FE0"/>
    <w:rsid w:val="009C71D1"/>
    <w:rsid w:val="009C7E14"/>
    <w:rsid w:val="009C7EA5"/>
    <w:rsid w:val="009D06C2"/>
    <w:rsid w:val="009D0E6B"/>
    <w:rsid w:val="009D1D54"/>
    <w:rsid w:val="009D223E"/>
    <w:rsid w:val="009D234D"/>
    <w:rsid w:val="009D2640"/>
    <w:rsid w:val="009D2CA5"/>
    <w:rsid w:val="009D3012"/>
    <w:rsid w:val="009D38A2"/>
    <w:rsid w:val="009D3A38"/>
    <w:rsid w:val="009D5585"/>
    <w:rsid w:val="009D57AF"/>
    <w:rsid w:val="009D60EC"/>
    <w:rsid w:val="009D69D0"/>
    <w:rsid w:val="009D7486"/>
    <w:rsid w:val="009D775E"/>
    <w:rsid w:val="009D7C29"/>
    <w:rsid w:val="009E027C"/>
    <w:rsid w:val="009E0A0E"/>
    <w:rsid w:val="009E14C9"/>
    <w:rsid w:val="009E2538"/>
    <w:rsid w:val="009E256E"/>
    <w:rsid w:val="009E2E25"/>
    <w:rsid w:val="009E2F1F"/>
    <w:rsid w:val="009E39FB"/>
    <w:rsid w:val="009E453E"/>
    <w:rsid w:val="009E470B"/>
    <w:rsid w:val="009E5444"/>
    <w:rsid w:val="009E57A5"/>
    <w:rsid w:val="009E59ED"/>
    <w:rsid w:val="009E5C37"/>
    <w:rsid w:val="009E5CCD"/>
    <w:rsid w:val="009E678D"/>
    <w:rsid w:val="009E6ECD"/>
    <w:rsid w:val="009F00DE"/>
    <w:rsid w:val="009F0C08"/>
    <w:rsid w:val="009F0EF7"/>
    <w:rsid w:val="009F123C"/>
    <w:rsid w:val="009F148B"/>
    <w:rsid w:val="009F189E"/>
    <w:rsid w:val="009F2703"/>
    <w:rsid w:val="009F275D"/>
    <w:rsid w:val="009F292F"/>
    <w:rsid w:val="009F2F27"/>
    <w:rsid w:val="009F335D"/>
    <w:rsid w:val="009F4290"/>
    <w:rsid w:val="009F4BD5"/>
    <w:rsid w:val="009F5054"/>
    <w:rsid w:val="009F5267"/>
    <w:rsid w:val="009F5A8E"/>
    <w:rsid w:val="009F5B7F"/>
    <w:rsid w:val="009F6217"/>
    <w:rsid w:val="009F6AB2"/>
    <w:rsid w:val="009F738F"/>
    <w:rsid w:val="00A00763"/>
    <w:rsid w:val="00A00D92"/>
    <w:rsid w:val="00A00FAD"/>
    <w:rsid w:val="00A0122A"/>
    <w:rsid w:val="00A02710"/>
    <w:rsid w:val="00A03342"/>
    <w:rsid w:val="00A0368B"/>
    <w:rsid w:val="00A0384E"/>
    <w:rsid w:val="00A03D41"/>
    <w:rsid w:val="00A057A2"/>
    <w:rsid w:val="00A057F9"/>
    <w:rsid w:val="00A05CB6"/>
    <w:rsid w:val="00A05D04"/>
    <w:rsid w:val="00A060BB"/>
    <w:rsid w:val="00A06CDD"/>
    <w:rsid w:val="00A07240"/>
    <w:rsid w:val="00A0760C"/>
    <w:rsid w:val="00A105D5"/>
    <w:rsid w:val="00A1097E"/>
    <w:rsid w:val="00A10EF3"/>
    <w:rsid w:val="00A11ECD"/>
    <w:rsid w:val="00A12E10"/>
    <w:rsid w:val="00A13A30"/>
    <w:rsid w:val="00A13B93"/>
    <w:rsid w:val="00A13D7D"/>
    <w:rsid w:val="00A142CF"/>
    <w:rsid w:val="00A14563"/>
    <w:rsid w:val="00A14654"/>
    <w:rsid w:val="00A15931"/>
    <w:rsid w:val="00A159DD"/>
    <w:rsid w:val="00A15CC2"/>
    <w:rsid w:val="00A15F34"/>
    <w:rsid w:val="00A16265"/>
    <w:rsid w:val="00A162E6"/>
    <w:rsid w:val="00A1749D"/>
    <w:rsid w:val="00A179FD"/>
    <w:rsid w:val="00A219AA"/>
    <w:rsid w:val="00A229C3"/>
    <w:rsid w:val="00A22A7D"/>
    <w:rsid w:val="00A23001"/>
    <w:rsid w:val="00A23E47"/>
    <w:rsid w:val="00A23EEB"/>
    <w:rsid w:val="00A24465"/>
    <w:rsid w:val="00A2450D"/>
    <w:rsid w:val="00A249B7"/>
    <w:rsid w:val="00A2529C"/>
    <w:rsid w:val="00A25B2A"/>
    <w:rsid w:val="00A26669"/>
    <w:rsid w:val="00A26AD5"/>
    <w:rsid w:val="00A26C18"/>
    <w:rsid w:val="00A2777C"/>
    <w:rsid w:val="00A27B83"/>
    <w:rsid w:val="00A27D7C"/>
    <w:rsid w:val="00A30EE3"/>
    <w:rsid w:val="00A317D4"/>
    <w:rsid w:val="00A31D62"/>
    <w:rsid w:val="00A3292E"/>
    <w:rsid w:val="00A32DDC"/>
    <w:rsid w:val="00A32E12"/>
    <w:rsid w:val="00A33DCD"/>
    <w:rsid w:val="00A348A0"/>
    <w:rsid w:val="00A34FEC"/>
    <w:rsid w:val="00A354BE"/>
    <w:rsid w:val="00A35F8C"/>
    <w:rsid w:val="00A36543"/>
    <w:rsid w:val="00A36D06"/>
    <w:rsid w:val="00A36D56"/>
    <w:rsid w:val="00A37677"/>
    <w:rsid w:val="00A40FFE"/>
    <w:rsid w:val="00A42774"/>
    <w:rsid w:val="00A42FE9"/>
    <w:rsid w:val="00A446C2"/>
    <w:rsid w:val="00A44816"/>
    <w:rsid w:val="00A4497A"/>
    <w:rsid w:val="00A44B94"/>
    <w:rsid w:val="00A45153"/>
    <w:rsid w:val="00A452A7"/>
    <w:rsid w:val="00A455F2"/>
    <w:rsid w:val="00A4573D"/>
    <w:rsid w:val="00A45878"/>
    <w:rsid w:val="00A4602C"/>
    <w:rsid w:val="00A468A2"/>
    <w:rsid w:val="00A46D7A"/>
    <w:rsid w:val="00A477F0"/>
    <w:rsid w:val="00A47B94"/>
    <w:rsid w:val="00A50DEF"/>
    <w:rsid w:val="00A5126D"/>
    <w:rsid w:val="00A514C4"/>
    <w:rsid w:val="00A51513"/>
    <w:rsid w:val="00A52125"/>
    <w:rsid w:val="00A52493"/>
    <w:rsid w:val="00A5451D"/>
    <w:rsid w:val="00A54D59"/>
    <w:rsid w:val="00A55714"/>
    <w:rsid w:val="00A5637A"/>
    <w:rsid w:val="00A56963"/>
    <w:rsid w:val="00A57AC7"/>
    <w:rsid w:val="00A6004F"/>
    <w:rsid w:val="00A60288"/>
    <w:rsid w:val="00A60312"/>
    <w:rsid w:val="00A605A8"/>
    <w:rsid w:val="00A605D2"/>
    <w:rsid w:val="00A606E6"/>
    <w:rsid w:val="00A60AD5"/>
    <w:rsid w:val="00A61A48"/>
    <w:rsid w:val="00A625B0"/>
    <w:rsid w:val="00A62752"/>
    <w:rsid w:val="00A629CB"/>
    <w:rsid w:val="00A62C04"/>
    <w:rsid w:val="00A63526"/>
    <w:rsid w:val="00A63674"/>
    <w:rsid w:val="00A63CCD"/>
    <w:rsid w:val="00A63E37"/>
    <w:rsid w:val="00A64015"/>
    <w:rsid w:val="00A64045"/>
    <w:rsid w:val="00A64772"/>
    <w:rsid w:val="00A6486A"/>
    <w:rsid w:val="00A648E2"/>
    <w:rsid w:val="00A64976"/>
    <w:rsid w:val="00A6508A"/>
    <w:rsid w:val="00A657BC"/>
    <w:rsid w:val="00A65C11"/>
    <w:rsid w:val="00A65E10"/>
    <w:rsid w:val="00A65FBE"/>
    <w:rsid w:val="00A6694B"/>
    <w:rsid w:val="00A66C21"/>
    <w:rsid w:val="00A66E03"/>
    <w:rsid w:val="00A66FC7"/>
    <w:rsid w:val="00A67408"/>
    <w:rsid w:val="00A67551"/>
    <w:rsid w:val="00A7039E"/>
    <w:rsid w:val="00A7080C"/>
    <w:rsid w:val="00A71348"/>
    <w:rsid w:val="00A7138B"/>
    <w:rsid w:val="00A719F7"/>
    <w:rsid w:val="00A71A43"/>
    <w:rsid w:val="00A71AD9"/>
    <w:rsid w:val="00A72189"/>
    <w:rsid w:val="00A727C4"/>
    <w:rsid w:val="00A7312A"/>
    <w:rsid w:val="00A738F3"/>
    <w:rsid w:val="00A73BBD"/>
    <w:rsid w:val="00A741A4"/>
    <w:rsid w:val="00A74558"/>
    <w:rsid w:val="00A74C48"/>
    <w:rsid w:val="00A74EE4"/>
    <w:rsid w:val="00A74FC4"/>
    <w:rsid w:val="00A74FEA"/>
    <w:rsid w:val="00A75548"/>
    <w:rsid w:val="00A7561D"/>
    <w:rsid w:val="00A757D0"/>
    <w:rsid w:val="00A75B20"/>
    <w:rsid w:val="00A76763"/>
    <w:rsid w:val="00A76843"/>
    <w:rsid w:val="00A7687B"/>
    <w:rsid w:val="00A77234"/>
    <w:rsid w:val="00A773C7"/>
    <w:rsid w:val="00A775B2"/>
    <w:rsid w:val="00A77D39"/>
    <w:rsid w:val="00A803DC"/>
    <w:rsid w:val="00A80899"/>
    <w:rsid w:val="00A82012"/>
    <w:rsid w:val="00A82C47"/>
    <w:rsid w:val="00A83F6D"/>
    <w:rsid w:val="00A84C4A"/>
    <w:rsid w:val="00A84CDF"/>
    <w:rsid w:val="00A84EC2"/>
    <w:rsid w:val="00A85592"/>
    <w:rsid w:val="00A85654"/>
    <w:rsid w:val="00A856D5"/>
    <w:rsid w:val="00A858B3"/>
    <w:rsid w:val="00A8620C"/>
    <w:rsid w:val="00A862D5"/>
    <w:rsid w:val="00A86CEF"/>
    <w:rsid w:val="00A8708E"/>
    <w:rsid w:val="00A87CDC"/>
    <w:rsid w:val="00A87D74"/>
    <w:rsid w:val="00A9143F"/>
    <w:rsid w:val="00A92200"/>
    <w:rsid w:val="00A925E6"/>
    <w:rsid w:val="00A92AA9"/>
    <w:rsid w:val="00A92F0D"/>
    <w:rsid w:val="00A92F85"/>
    <w:rsid w:val="00A939B7"/>
    <w:rsid w:val="00A94E30"/>
    <w:rsid w:val="00A94F0E"/>
    <w:rsid w:val="00A96A61"/>
    <w:rsid w:val="00A9790B"/>
    <w:rsid w:val="00A97AC3"/>
    <w:rsid w:val="00A97CED"/>
    <w:rsid w:val="00A97CF9"/>
    <w:rsid w:val="00A97F9A"/>
    <w:rsid w:val="00AA0268"/>
    <w:rsid w:val="00AA0ACA"/>
    <w:rsid w:val="00AA0C9B"/>
    <w:rsid w:val="00AA0E0B"/>
    <w:rsid w:val="00AA0EEE"/>
    <w:rsid w:val="00AA0FE9"/>
    <w:rsid w:val="00AA1E43"/>
    <w:rsid w:val="00AA209B"/>
    <w:rsid w:val="00AA23DA"/>
    <w:rsid w:val="00AA2949"/>
    <w:rsid w:val="00AA3CB8"/>
    <w:rsid w:val="00AA3DCB"/>
    <w:rsid w:val="00AA4410"/>
    <w:rsid w:val="00AA5B25"/>
    <w:rsid w:val="00AA5BFD"/>
    <w:rsid w:val="00AA5DD9"/>
    <w:rsid w:val="00AA5FEC"/>
    <w:rsid w:val="00AA6428"/>
    <w:rsid w:val="00AA72E6"/>
    <w:rsid w:val="00AA7420"/>
    <w:rsid w:val="00AA7C46"/>
    <w:rsid w:val="00AB0338"/>
    <w:rsid w:val="00AB0875"/>
    <w:rsid w:val="00AB0C32"/>
    <w:rsid w:val="00AB1AE7"/>
    <w:rsid w:val="00AB21B7"/>
    <w:rsid w:val="00AB3870"/>
    <w:rsid w:val="00AB38D9"/>
    <w:rsid w:val="00AB5B00"/>
    <w:rsid w:val="00AB5B69"/>
    <w:rsid w:val="00AB6EE2"/>
    <w:rsid w:val="00AB7100"/>
    <w:rsid w:val="00AB7701"/>
    <w:rsid w:val="00AC0903"/>
    <w:rsid w:val="00AC0E8C"/>
    <w:rsid w:val="00AC0F29"/>
    <w:rsid w:val="00AC0F93"/>
    <w:rsid w:val="00AC1100"/>
    <w:rsid w:val="00AC1F8D"/>
    <w:rsid w:val="00AC2042"/>
    <w:rsid w:val="00AC29CD"/>
    <w:rsid w:val="00AC29D4"/>
    <w:rsid w:val="00AC2B2C"/>
    <w:rsid w:val="00AC2BDE"/>
    <w:rsid w:val="00AC324B"/>
    <w:rsid w:val="00AC3538"/>
    <w:rsid w:val="00AC39A7"/>
    <w:rsid w:val="00AC4145"/>
    <w:rsid w:val="00AC42D0"/>
    <w:rsid w:val="00AC449E"/>
    <w:rsid w:val="00AC4AF5"/>
    <w:rsid w:val="00AC4D8F"/>
    <w:rsid w:val="00AC523E"/>
    <w:rsid w:val="00AC53FD"/>
    <w:rsid w:val="00AC5686"/>
    <w:rsid w:val="00AC586B"/>
    <w:rsid w:val="00AC59DA"/>
    <w:rsid w:val="00AC5EFB"/>
    <w:rsid w:val="00AC650E"/>
    <w:rsid w:val="00AC6F3E"/>
    <w:rsid w:val="00AC7083"/>
    <w:rsid w:val="00AC7481"/>
    <w:rsid w:val="00AD0812"/>
    <w:rsid w:val="00AD0A50"/>
    <w:rsid w:val="00AD0C7F"/>
    <w:rsid w:val="00AD1665"/>
    <w:rsid w:val="00AD1B56"/>
    <w:rsid w:val="00AD1DF3"/>
    <w:rsid w:val="00AD24F6"/>
    <w:rsid w:val="00AD300A"/>
    <w:rsid w:val="00AD40FD"/>
    <w:rsid w:val="00AD4169"/>
    <w:rsid w:val="00AD46D6"/>
    <w:rsid w:val="00AD516E"/>
    <w:rsid w:val="00AD580A"/>
    <w:rsid w:val="00AD5AB4"/>
    <w:rsid w:val="00AD6434"/>
    <w:rsid w:val="00AD70C2"/>
    <w:rsid w:val="00AD7179"/>
    <w:rsid w:val="00AD7292"/>
    <w:rsid w:val="00AD79BA"/>
    <w:rsid w:val="00AD7B3C"/>
    <w:rsid w:val="00AD7BFD"/>
    <w:rsid w:val="00AD7C7C"/>
    <w:rsid w:val="00AE044C"/>
    <w:rsid w:val="00AE0D38"/>
    <w:rsid w:val="00AE1BF5"/>
    <w:rsid w:val="00AE22E9"/>
    <w:rsid w:val="00AE3730"/>
    <w:rsid w:val="00AE375A"/>
    <w:rsid w:val="00AE3856"/>
    <w:rsid w:val="00AE4091"/>
    <w:rsid w:val="00AE48F2"/>
    <w:rsid w:val="00AE494E"/>
    <w:rsid w:val="00AE5892"/>
    <w:rsid w:val="00AE6CD6"/>
    <w:rsid w:val="00AE7757"/>
    <w:rsid w:val="00AE77D4"/>
    <w:rsid w:val="00AF01C7"/>
    <w:rsid w:val="00AF0223"/>
    <w:rsid w:val="00AF031F"/>
    <w:rsid w:val="00AF094A"/>
    <w:rsid w:val="00AF09EA"/>
    <w:rsid w:val="00AF0B7B"/>
    <w:rsid w:val="00AF0D85"/>
    <w:rsid w:val="00AF10BD"/>
    <w:rsid w:val="00AF11AD"/>
    <w:rsid w:val="00AF14EB"/>
    <w:rsid w:val="00AF1757"/>
    <w:rsid w:val="00AF1EBB"/>
    <w:rsid w:val="00AF2893"/>
    <w:rsid w:val="00AF2911"/>
    <w:rsid w:val="00AF2986"/>
    <w:rsid w:val="00AF2DC2"/>
    <w:rsid w:val="00AF3152"/>
    <w:rsid w:val="00AF33B4"/>
    <w:rsid w:val="00AF38F9"/>
    <w:rsid w:val="00AF3D9B"/>
    <w:rsid w:val="00AF41EE"/>
    <w:rsid w:val="00AF5C1A"/>
    <w:rsid w:val="00AF5EE3"/>
    <w:rsid w:val="00AF6CE7"/>
    <w:rsid w:val="00B01231"/>
    <w:rsid w:val="00B02D74"/>
    <w:rsid w:val="00B0302C"/>
    <w:rsid w:val="00B03F87"/>
    <w:rsid w:val="00B0408D"/>
    <w:rsid w:val="00B050EE"/>
    <w:rsid w:val="00B05222"/>
    <w:rsid w:val="00B053DC"/>
    <w:rsid w:val="00B05593"/>
    <w:rsid w:val="00B05AF5"/>
    <w:rsid w:val="00B060B6"/>
    <w:rsid w:val="00B06834"/>
    <w:rsid w:val="00B06D27"/>
    <w:rsid w:val="00B074F5"/>
    <w:rsid w:val="00B07905"/>
    <w:rsid w:val="00B07A2D"/>
    <w:rsid w:val="00B10561"/>
    <w:rsid w:val="00B10930"/>
    <w:rsid w:val="00B10AAF"/>
    <w:rsid w:val="00B10B16"/>
    <w:rsid w:val="00B10C3D"/>
    <w:rsid w:val="00B11666"/>
    <w:rsid w:val="00B117C1"/>
    <w:rsid w:val="00B1245B"/>
    <w:rsid w:val="00B127F9"/>
    <w:rsid w:val="00B12878"/>
    <w:rsid w:val="00B12959"/>
    <w:rsid w:val="00B129A9"/>
    <w:rsid w:val="00B12A20"/>
    <w:rsid w:val="00B12B50"/>
    <w:rsid w:val="00B13C26"/>
    <w:rsid w:val="00B14218"/>
    <w:rsid w:val="00B14291"/>
    <w:rsid w:val="00B148DE"/>
    <w:rsid w:val="00B16534"/>
    <w:rsid w:val="00B16B67"/>
    <w:rsid w:val="00B16D9D"/>
    <w:rsid w:val="00B20856"/>
    <w:rsid w:val="00B20870"/>
    <w:rsid w:val="00B21356"/>
    <w:rsid w:val="00B21883"/>
    <w:rsid w:val="00B22169"/>
    <w:rsid w:val="00B221E9"/>
    <w:rsid w:val="00B22762"/>
    <w:rsid w:val="00B2289D"/>
    <w:rsid w:val="00B229EB"/>
    <w:rsid w:val="00B234E3"/>
    <w:rsid w:val="00B23A48"/>
    <w:rsid w:val="00B24AAF"/>
    <w:rsid w:val="00B24CCC"/>
    <w:rsid w:val="00B24D79"/>
    <w:rsid w:val="00B24DED"/>
    <w:rsid w:val="00B2668D"/>
    <w:rsid w:val="00B2684C"/>
    <w:rsid w:val="00B26978"/>
    <w:rsid w:val="00B27641"/>
    <w:rsid w:val="00B27C01"/>
    <w:rsid w:val="00B30340"/>
    <w:rsid w:val="00B303F9"/>
    <w:rsid w:val="00B309EC"/>
    <w:rsid w:val="00B31957"/>
    <w:rsid w:val="00B31CC1"/>
    <w:rsid w:val="00B322A3"/>
    <w:rsid w:val="00B3279C"/>
    <w:rsid w:val="00B33084"/>
    <w:rsid w:val="00B33738"/>
    <w:rsid w:val="00B33F69"/>
    <w:rsid w:val="00B33F95"/>
    <w:rsid w:val="00B340C8"/>
    <w:rsid w:val="00B34151"/>
    <w:rsid w:val="00B34968"/>
    <w:rsid w:val="00B34F9E"/>
    <w:rsid w:val="00B35179"/>
    <w:rsid w:val="00B35804"/>
    <w:rsid w:val="00B35982"/>
    <w:rsid w:val="00B35AA4"/>
    <w:rsid w:val="00B3605D"/>
    <w:rsid w:val="00B364BF"/>
    <w:rsid w:val="00B3679F"/>
    <w:rsid w:val="00B36925"/>
    <w:rsid w:val="00B36DA2"/>
    <w:rsid w:val="00B371DE"/>
    <w:rsid w:val="00B37ADC"/>
    <w:rsid w:val="00B404AC"/>
    <w:rsid w:val="00B41C81"/>
    <w:rsid w:val="00B41D6E"/>
    <w:rsid w:val="00B41DB2"/>
    <w:rsid w:val="00B41EE7"/>
    <w:rsid w:val="00B41F15"/>
    <w:rsid w:val="00B4311A"/>
    <w:rsid w:val="00B43B0A"/>
    <w:rsid w:val="00B43C5A"/>
    <w:rsid w:val="00B43C98"/>
    <w:rsid w:val="00B442BC"/>
    <w:rsid w:val="00B44433"/>
    <w:rsid w:val="00B44F61"/>
    <w:rsid w:val="00B45578"/>
    <w:rsid w:val="00B46DE2"/>
    <w:rsid w:val="00B47573"/>
    <w:rsid w:val="00B504E2"/>
    <w:rsid w:val="00B507F4"/>
    <w:rsid w:val="00B508ED"/>
    <w:rsid w:val="00B50902"/>
    <w:rsid w:val="00B50D31"/>
    <w:rsid w:val="00B51011"/>
    <w:rsid w:val="00B512D8"/>
    <w:rsid w:val="00B513F9"/>
    <w:rsid w:val="00B5230B"/>
    <w:rsid w:val="00B528FF"/>
    <w:rsid w:val="00B5303D"/>
    <w:rsid w:val="00B53271"/>
    <w:rsid w:val="00B533BA"/>
    <w:rsid w:val="00B54F02"/>
    <w:rsid w:val="00B5566D"/>
    <w:rsid w:val="00B55762"/>
    <w:rsid w:val="00B565A8"/>
    <w:rsid w:val="00B56B67"/>
    <w:rsid w:val="00B5770A"/>
    <w:rsid w:val="00B579A5"/>
    <w:rsid w:val="00B603C2"/>
    <w:rsid w:val="00B60E92"/>
    <w:rsid w:val="00B61E04"/>
    <w:rsid w:val="00B61F81"/>
    <w:rsid w:val="00B62223"/>
    <w:rsid w:val="00B624DA"/>
    <w:rsid w:val="00B627B4"/>
    <w:rsid w:val="00B633E6"/>
    <w:rsid w:val="00B6345C"/>
    <w:rsid w:val="00B63DD8"/>
    <w:rsid w:val="00B641DB"/>
    <w:rsid w:val="00B64698"/>
    <w:rsid w:val="00B64E0E"/>
    <w:rsid w:val="00B6524E"/>
    <w:rsid w:val="00B6599D"/>
    <w:rsid w:val="00B65A31"/>
    <w:rsid w:val="00B65BA7"/>
    <w:rsid w:val="00B66C13"/>
    <w:rsid w:val="00B66F3A"/>
    <w:rsid w:val="00B672FF"/>
    <w:rsid w:val="00B6763F"/>
    <w:rsid w:val="00B677D9"/>
    <w:rsid w:val="00B6784D"/>
    <w:rsid w:val="00B67A84"/>
    <w:rsid w:val="00B67BB3"/>
    <w:rsid w:val="00B703C2"/>
    <w:rsid w:val="00B71AE4"/>
    <w:rsid w:val="00B71BC4"/>
    <w:rsid w:val="00B72D74"/>
    <w:rsid w:val="00B73FA6"/>
    <w:rsid w:val="00B74665"/>
    <w:rsid w:val="00B750BB"/>
    <w:rsid w:val="00B750FD"/>
    <w:rsid w:val="00B752CE"/>
    <w:rsid w:val="00B752F3"/>
    <w:rsid w:val="00B755CE"/>
    <w:rsid w:val="00B75BE4"/>
    <w:rsid w:val="00B76F72"/>
    <w:rsid w:val="00B77603"/>
    <w:rsid w:val="00B8063C"/>
    <w:rsid w:val="00B81DB5"/>
    <w:rsid w:val="00B82424"/>
    <w:rsid w:val="00B82601"/>
    <w:rsid w:val="00B82CB6"/>
    <w:rsid w:val="00B82EA2"/>
    <w:rsid w:val="00B845C3"/>
    <w:rsid w:val="00B84BC3"/>
    <w:rsid w:val="00B855A3"/>
    <w:rsid w:val="00B8593D"/>
    <w:rsid w:val="00B86E6A"/>
    <w:rsid w:val="00B87C12"/>
    <w:rsid w:val="00B904BD"/>
    <w:rsid w:val="00B90604"/>
    <w:rsid w:val="00B90F66"/>
    <w:rsid w:val="00B91C42"/>
    <w:rsid w:val="00B92788"/>
    <w:rsid w:val="00B9304F"/>
    <w:rsid w:val="00B93E38"/>
    <w:rsid w:val="00B94166"/>
    <w:rsid w:val="00B94742"/>
    <w:rsid w:val="00B94CBD"/>
    <w:rsid w:val="00B94CDC"/>
    <w:rsid w:val="00B954AE"/>
    <w:rsid w:val="00B9580B"/>
    <w:rsid w:val="00B962AB"/>
    <w:rsid w:val="00B96DE3"/>
    <w:rsid w:val="00B97172"/>
    <w:rsid w:val="00B97D04"/>
    <w:rsid w:val="00BA0663"/>
    <w:rsid w:val="00BA0E4A"/>
    <w:rsid w:val="00BA190B"/>
    <w:rsid w:val="00BA19E8"/>
    <w:rsid w:val="00BA21C6"/>
    <w:rsid w:val="00BA2619"/>
    <w:rsid w:val="00BA319D"/>
    <w:rsid w:val="00BA3332"/>
    <w:rsid w:val="00BA362F"/>
    <w:rsid w:val="00BA3910"/>
    <w:rsid w:val="00BA56E0"/>
    <w:rsid w:val="00BA58CB"/>
    <w:rsid w:val="00BA5EE4"/>
    <w:rsid w:val="00BA6A16"/>
    <w:rsid w:val="00BA6D3D"/>
    <w:rsid w:val="00BA701C"/>
    <w:rsid w:val="00BA74D9"/>
    <w:rsid w:val="00BA78AD"/>
    <w:rsid w:val="00BB00A0"/>
    <w:rsid w:val="00BB034B"/>
    <w:rsid w:val="00BB056A"/>
    <w:rsid w:val="00BB0B84"/>
    <w:rsid w:val="00BB0D6A"/>
    <w:rsid w:val="00BB14CB"/>
    <w:rsid w:val="00BB1B11"/>
    <w:rsid w:val="00BB1BC6"/>
    <w:rsid w:val="00BB1E8E"/>
    <w:rsid w:val="00BB3381"/>
    <w:rsid w:val="00BB3555"/>
    <w:rsid w:val="00BB36DF"/>
    <w:rsid w:val="00BB4256"/>
    <w:rsid w:val="00BB4D09"/>
    <w:rsid w:val="00BB4DCA"/>
    <w:rsid w:val="00BB52F1"/>
    <w:rsid w:val="00BB6103"/>
    <w:rsid w:val="00BB7B6A"/>
    <w:rsid w:val="00BC00F5"/>
    <w:rsid w:val="00BC0122"/>
    <w:rsid w:val="00BC04D8"/>
    <w:rsid w:val="00BC1992"/>
    <w:rsid w:val="00BC1DAC"/>
    <w:rsid w:val="00BC20DF"/>
    <w:rsid w:val="00BC23E3"/>
    <w:rsid w:val="00BC3335"/>
    <w:rsid w:val="00BC36D8"/>
    <w:rsid w:val="00BC37A7"/>
    <w:rsid w:val="00BC3A6C"/>
    <w:rsid w:val="00BC3C08"/>
    <w:rsid w:val="00BC415E"/>
    <w:rsid w:val="00BC42E8"/>
    <w:rsid w:val="00BC4358"/>
    <w:rsid w:val="00BC4AAE"/>
    <w:rsid w:val="00BC4B1D"/>
    <w:rsid w:val="00BC4EAC"/>
    <w:rsid w:val="00BC592B"/>
    <w:rsid w:val="00BC5DC8"/>
    <w:rsid w:val="00BC5DF4"/>
    <w:rsid w:val="00BC6431"/>
    <w:rsid w:val="00BC6D08"/>
    <w:rsid w:val="00BC6E5E"/>
    <w:rsid w:val="00BC6EBE"/>
    <w:rsid w:val="00BC7667"/>
    <w:rsid w:val="00BC7B23"/>
    <w:rsid w:val="00BD05B8"/>
    <w:rsid w:val="00BD0847"/>
    <w:rsid w:val="00BD0881"/>
    <w:rsid w:val="00BD10BC"/>
    <w:rsid w:val="00BD1A74"/>
    <w:rsid w:val="00BD239C"/>
    <w:rsid w:val="00BD2537"/>
    <w:rsid w:val="00BD3112"/>
    <w:rsid w:val="00BD3954"/>
    <w:rsid w:val="00BD48B8"/>
    <w:rsid w:val="00BD53F9"/>
    <w:rsid w:val="00BD598D"/>
    <w:rsid w:val="00BD5DE5"/>
    <w:rsid w:val="00BD6138"/>
    <w:rsid w:val="00BD65FC"/>
    <w:rsid w:val="00BD6A21"/>
    <w:rsid w:val="00BD6B5D"/>
    <w:rsid w:val="00BD6B6B"/>
    <w:rsid w:val="00BD70FF"/>
    <w:rsid w:val="00BE02BC"/>
    <w:rsid w:val="00BE1969"/>
    <w:rsid w:val="00BE24F3"/>
    <w:rsid w:val="00BE2E46"/>
    <w:rsid w:val="00BE32DF"/>
    <w:rsid w:val="00BE339E"/>
    <w:rsid w:val="00BE3813"/>
    <w:rsid w:val="00BE3BAF"/>
    <w:rsid w:val="00BE3C63"/>
    <w:rsid w:val="00BE4311"/>
    <w:rsid w:val="00BE467E"/>
    <w:rsid w:val="00BE4B2D"/>
    <w:rsid w:val="00BE5232"/>
    <w:rsid w:val="00BE52D7"/>
    <w:rsid w:val="00BE55A8"/>
    <w:rsid w:val="00BE59C4"/>
    <w:rsid w:val="00BE67C6"/>
    <w:rsid w:val="00BE72D5"/>
    <w:rsid w:val="00BE7C69"/>
    <w:rsid w:val="00BF0750"/>
    <w:rsid w:val="00BF07F1"/>
    <w:rsid w:val="00BF0FF2"/>
    <w:rsid w:val="00BF19FD"/>
    <w:rsid w:val="00BF1DB4"/>
    <w:rsid w:val="00BF2A5D"/>
    <w:rsid w:val="00BF2FEF"/>
    <w:rsid w:val="00BF3C7D"/>
    <w:rsid w:val="00BF44D7"/>
    <w:rsid w:val="00BF54E2"/>
    <w:rsid w:val="00BF57B2"/>
    <w:rsid w:val="00BF5EA8"/>
    <w:rsid w:val="00BF5F55"/>
    <w:rsid w:val="00BF6167"/>
    <w:rsid w:val="00BF61A7"/>
    <w:rsid w:val="00BF6285"/>
    <w:rsid w:val="00BF69BF"/>
    <w:rsid w:val="00BF6BF4"/>
    <w:rsid w:val="00BF6C78"/>
    <w:rsid w:val="00BF6D1F"/>
    <w:rsid w:val="00BF71F3"/>
    <w:rsid w:val="00BF737C"/>
    <w:rsid w:val="00BF73C0"/>
    <w:rsid w:val="00BF771D"/>
    <w:rsid w:val="00BF7840"/>
    <w:rsid w:val="00C00645"/>
    <w:rsid w:val="00C0173C"/>
    <w:rsid w:val="00C01D62"/>
    <w:rsid w:val="00C025DF"/>
    <w:rsid w:val="00C0336B"/>
    <w:rsid w:val="00C033B0"/>
    <w:rsid w:val="00C0370E"/>
    <w:rsid w:val="00C03C3A"/>
    <w:rsid w:val="00C04503"/>
    <w:rsid w:val="00C049D5"/>
    <w:rsid w:val="00C051A4"/>
    <w:rsid w:val="00C051F0"/>
    <w:rsid w:val="00C05C6B"/>
    <w:rsid w:val="00C0632A"/>
    <w:rsid w:val="00C06F16"/>
    <w:rsid w:val="00C07124"/>
    <w:rsid w:val="00C074F4"/>
    <w:rsid w:val="00C07526"/>
    <w:rsid w:val="00C078F1"/>
    <w:rsid w:val="00C07A39"/>
    <w:rsid w:val="00C07BB6"/>
    <w:rsid w:val="00C109BE"/>
    <w:rsid w:val="00C10C05"/>
    <w:rsid w:val="00C11677"/>
    <w:rsid w:val="00C116AC"/>
    <w:rsid w:val="00C11CC1"/>
    <w:rsid w:val="00C13163"/>
    <w:rsid w:val="00C137CB"/>
    <w:rsid w:val="00C13CDC"/>
    <w:rsid w:val="00C157FF"/>
    <w:rsid w:val="00C15BA0"/>
    <w:rsid w:val="00C15BD9"/>
    <w:rsid w:val="00C15C3E"/>
    <w:rsid w:val="00C16712"/>
    <w:rsid w:val="00C16EF4"/>
    <w:rsid w:val="00C16EF9"/>
    <w:rsid w:val="00C16F53"/>
    <w:rsid w:val="00C17BB4"/>
    <w:rsid w:val="00C201A1"/>
    <w:rsid w:val="00C2050C"/>
    <w:rsid w:val="00C2099F"/>
    <w:rsid w:val="00C20EA5"/>
    <w:rsid w:val="00C211BA"/>
    <w:rsid w:val="00C217A2"/>
    <w:rsid w:val="00C21CD4"/>
    <w:rsid w:val="00C220E0"/>
    <w:rsid w:val="00C228FD"/>
    <w:rsid w:val="00C229AC"/>
    <w:rsid w:val="00C23A40"/>
    <w:rsid w:val="00C23C17"/>
    <w:rsid w:val="00C24F23"/>
    <w:rsid w:val="00C2582D"/>
    <w:rsid w:val="00C25C20"/>
    <w:rsid w:val="00C2628E"/>
    <w:rsid w:val="00C263DD"/>
    <w:rsid w:val="00C26E19"/>
    <w:rsid w:val="00C26F44"/>
    <w:rsid w:val="00C27F32"/>
    <w:rsid w:val="00C303A4"/>
    <w:rsid w:val="00C304CC"/>
    <w:rsid w:val="00C30C60"/>
    <w:rsid w:val="00C3110A"/>
    <w:rsid w:val="00C316BA"/>
    <w:rsid w:val="00C31862"/>
    <w:rsid w:val="00C31946"/>
    <w:rsid w:val="00C331D3"/>
    <w:rsid w:val="00C34037"/>
    <w:rsid w:val="00C346FF"/>
    <w:rsid w:val="00C35B59"/>
    <w:rsid w:val="00C35B8B"/>
    <w:rsid w:val="00C36369"/>
    <w:rsid w:val="00C36900"/>
    <w:rsid w:val="00C3699A"/>
    <w:rsid w:val="00C36BD6"/>
    <w:rsid w:val="00C3755D"/>
    <w:rsid w:val="00C37852"/>
    <w:rsid w:val="00C37866"/>
    <w:rsid w:val="00C37BF8"/>
    <w:rsid w:val="00C4097E"/>
    <w:rsid w:val="00C40AFD"/>
    <w:rsid w:val="00C40C7E"/>
    <w:rsid w:val="00C40FB1"/>
    <w:rsid w:val="00C41085"/>
    <w:rsid w:val="00C41625"/>
    <w:rsid w:val="00C41B28"/>
    <w:rsid w:val="00C422EB"/>
    <w:rsid w:val="00C42433"/>
    <w:rsid w:val="00C4347E"/>
    <w:rsid w:val="00C441CB"/>
    <w:rsid w:val="00C44CA7"/>
    <w:rsid w:val="00C47FB2"/>
    <w:rsid w:val="00C5003B"/>
    <w:rsid w:val="00C50231"/>
    <w:rsid w:val="00C504D8"/>
    <w:rsid w:val="00C51808"/>
    <w:rsid w:val="00C51959"/>
    <w:rsid w:val="00C51984"/>
    <w:rsid w:val="00C51B59"/>
    <w:rsid w:val="00C51D60"/>
    <w:rsid w:val="00C520BA"/>
    <w:rsid w:val="00C52126"/>
    <w:rsid w:val="00C52653"/>
    <w:rsid w:val="00C52E8A"/>
    <w:rsid w:val="00C53795"/>
    <w:rsid w:val="00C537DD"/>
    <w:rsid w:val="00C53FD3"/>
    <w:rsid w:val="00C5404A"/>
    <w:rsid w:val="00C54A2A"/>
    <w:rsid w:val="00C54D13"/>
    <w:rsid w:val="00C54E39"/>
    <w:rsid w:val="00C5648D"/>
    <w:rsid w:val="00C5652E"/>
    <w:rsid w:val="00C56F1C"/>
    <w:rsid w:val="00C56F3B"/>
    <w:rsid w:val="00C570AD"/>
    <w:rsid w:val="00C573AD"/>
    <w:rsid w:val="00C57575"/>
    <w:rsid w:val="00C57B90"/>
    <w:rsid w:val="00C60169"/>
    <w:rsid w:val="00C60A7C"/>
    <w:rsid w:val="00C61E18"/>
    <w:rsid w:val="00C62331"/>
    <w:rsid w:val="00C63B96"/>
    <w:rsid w:val="00C63CED"/>
    <w:rsid w:val="00C647AB"/>
    <w:rsid w:val="00C64975"/>
    <w:rsid w:val="00C64C80"/>
    <w:rsid w:val="00C65382"/>
    <w:rsid w:val="00C65A09"/>
    <w:rsid w:val="00C65C66"/>
    <w:rsid w:val="00C66551"/>
    <w:rsid w:val="00C66860"/>
    <w:rsid w:val="00C67472"/>
    <w:rsid w:val="00C67976"/>
    <w:rsid w:val="00C7060B"/>
    <w:rsid w:val="00C70E8A"/>
    <w:rsid w:val="00C72334"/>
    <w:rsid w:val="00C73038"/>
    <w:rsid w:val="00C73C46"/>
    <w:rsid w:val="00C744A2"/>
    <w:rsid w:val="00C74838"/>
    <w:rsid w:val="00C748C9"/>
    <w:rsid w:val="00C74AAF"/>
    <w:rsid w:val="00C74E05"/>
    <w:rsid w:val="00C74E65"/>
    <w:rsid w:val="00C7504D"/>
    <w:rsid w:val="00C752D2"/>
    <w:rsid w:val="00C758B2"/>
    <w:rsid w:val="00C75BE1"/>
    <w:rsid w:val="00C75CC0"/>
    <w:rsid w:val="00C766BB"/>
    <w:rsid w:val="00C76721"/>
    <w:rsid w:val="00C76A5E"/>
    <w:rsid w:val="00C76ECE"/>
    <w:rsid w:val="00C7703D"/>
    <w:rsid w:val="00C778B1"/>
    <w:rsid w:val="00C77977"/>
    <w:rsid w:val="00C77A69"/>
    <w:rsid w:val="00C77C84"/>
    <w:rsid w:val="00C80EE1"/>
    <w:rsid w:val="00C8121E"/>
    <w:rsid w:val="00C83179"/>
    <w:rsid w:val="00C833B3"/>
    <w:rsid w:val="00C83927"/>
    <w:rsid w:val="00C83E63"/>
    <w:rsid w:val="00C8528B"/>
    <w:rsid w:val="00C8596F"/>
    <w:rsid w:val="00C85988"/>
    <w:rsid w:val="00C866BC"/>
    <w:rsid w:val="00C86C41"/>
    <w:rsid w:val="00C87699"/>
    <w:rsid w:val="00C8783A"/>
    <w:rsid w:val="00C87DC0"/>
    <w:rsid w:val="00C87F37"/>
    <w:rsid w:val="00C9013A"/>
    <w:rsid w:val="00C911BB"/>
    <w:rsid w:val="00C9149B"/>
    <w:rsid w:val="00C919A3"/>
    <w:rsid w:val="00C92092"/>
    <w:rsid w:val="00C922D1"/>
    <w:rsid w:val="00C92647"/>
    <w:rsid w:val="00C933FE"/>
    <w:rsid w:val="00C9360E"/>
    <w:rsid w:val="00C93F3B"/>
    <w:rsid w:val="00C93F92"/>
    <w:rsid w:val="00C93FA4"/>
    <w:rsid w:val="00C94AB3"/>
    <w:rsid w:val="00C955F6"/>
    <w:rsid w:val="00C95FAA"/>
    <w:rsid w:val="00C9615E"/>
    <w:rsid w:val="00C968E2"/>
    <w:rsid w:val="00C97015"/>
    <w:rsid w:val="00C971FE"/>
    <w:rsid w:val="00C973DC"/>
    <w:rsid w:val="00C9798C"/>
    <w:rsid w:val="00C97E31"/>
    <w:rsid w:val="00CA0B7E"/>
    <w:rsid w:val="00CA17C7"/>
    <w:rsid w:val="00CA1EF8"/>
    <w:rsid w:val="00CA209D"/>
    <w:rsid w:val="00CA29DB"/>
    <w:rsid w:val="00CA2DEB"/>
    <w:rsid w:val="00CA3070"/>
    <w:rsid w:val="00CA3E07"/>
    <w:rsid w:val="00CA40E8"/>
    <w:rsid w:val="00CA4621"/>
    <w:rsid w:val="00CA4949"/>
    <w:rsid w:val="00CA50C6"/>
    <w:rsid w:val="00CA5BE9"/>
    <w:rsid w:val="00CA5C12"/>
    <w:rsid w:val="00CA5CF5"/>
    <w:rsid w:val="00CA5D18"/>
    <w:rsid w:val="00CA5EB5"/>
    <w:rsid w:val="00CA65B3"/>
    <w:rsid w:val="00CA6842"/>
    <w:rsid w:val="00CA6AA3"/>
    <w:rsid w:val="00CA7EA6"/>
    <w:rsid w:val="00CB00F1"/>
    <w:rsid w:val="00CB06B9"/>
    <w:rsid w:val="00CB0795"/>
    <w:rsid w:val="00CB11EC"/>
    <w:rsid w:val="00CB19BB"/>
    <w:rsid w:val="00CB19FA"/>
    <w:rsid w:val="00CB21D6"/>
    <w:rsid w:val="00CB2D37"/>
    <w:rsid w:val="00CB2E8A"/>
    <w:rsid w:val="00CB3D2E"/>
    <w:rsid w:val="00CB3D69"/>
    <w:rsid w:val="00CB410B"/>
    <w:rsid w:val="00CB4669"/>
    <w:rsid w:val="00CB4811"/>
    <w:rsid w:val="00CB49A8"/>
    <w:rsid w:val="00CB5221"/>
    <w:rsid w:val="00CB5716"/>
    <w:rsid w:val="00CB58E9"/>
    <w:rsid w:val="00CB5D96"/>
    <w:rsid w:val="00CB6A02"/>
    <w:rsid w:val="00CC0287"/>
    <w:rsid w:val="00CC086E"/>
    <w:rsid w:val="00CC0F15"/>
    <w:rsid w:val="00CC24A5"/>
    <w:rsid w:val="00CC2914"/>
    <w:rsid w:val="00CC2A0E"/>
    <w:rsid w:val="00CC331B"/>
    <w:rsid w:val="00CC342A"/>
    <w:rsid w:val="00CC3770"/>
    <w:rsid w:val="00CC38F8"/>
    <w:rsid w:val="00CC3D4F"/>
    <w:rsid w:val="00CC4D48"/>
    <w:rsid w:val="00CC5724"/>
    <w:rsid w:val="00CC58B3"/>
    <w:rsid w:val="00CC5E34"/>
    <w:rsid w:val="00CC6D3E"/>
    <w:rsid w:val="00CC7144"/>
    <w:rsid w:val="00CC73D7"/>
    <w:rsid w:val="00CC75EB"/>
    <w:rsid w:val="00CC79A1"/>
    <w:rsid w:val="00CD032E"/>
    <w:rsid w:val="00CD0FBF"/>
    <w:rsid w:val="00CD104D"/>
    <w:rsid w:val="00CD11E1"/>
    <w:rsid w:val="00CD1294"/>
    <w:rsid w:val="00CD15A5"/>
    <w:rsid w:val="00CD167E"/>
    <w:rsid w:val="00CD1713"/>
    <w:rsid w:val="00CD1AE3"/>
    <w:rsid w:val="00CD1EAC"/>
    <w:rsid w:val="00CD296E"/>
    <w:rsid w:val="00CD33F3"/>
    <w:rsid w:val="00CD37C2"/>
    <w:rsid w:val="00CD4805"/>
    <w:rsid w:val="00CD52C0"/>
    <w:rsid w:val="00CD5796"/>
    <w:rsid w:val="00CD5C45"/>
    <w:rsid w:val="00CD65C1"/>
    <w:rsid w:val="00CD68E1"/>
    <w:rsid w:val="00CD72A3"/>
    <w:rsid w:val="00CD7394"/>
    <w:rsid w:val="00CD7E3A"/>
    <w:rsid w:val="00CD7F10"/>
    <w:rsid w:val="00CE05B7"/>
    <w:rsid w:val="00CE0614"/>
    <w:rsid w:val="00CE0ACD"/>
    <w:rsid w:val="00CE0FD4"/>
    <w:rsid w:val="00CE19D3"/>
    <w:rsid w:val="00CE23F2"/>
    <w:rsid w:val="00CE2448"/>
    <w:rsid w:val="00CE288E"/>
    <w:rsid w:val="00CE33F4"/>
    <w:rsid w:val="00CE3BC8"/>
    <w:rsid w:val="00CE4200"/>
    <w:rsid w:val="00CE4550"/>
    <w:rsid w:val="00CE499D"/>
    <w:rsid w:val="00CE4AF7"/>
    <w:rsid w:val="00CE5AE2"/>
    <w:rsid w:val="00CE6A60"/>
    <w:rsid w:val="00CE6BC4"/>
    <w:rsid w:val="00CE7B05"/>
    <w:rsid w:val="00CE7CB0"/>
    <w:rsid w:val="00CF0A0E"/>
    <w:rsid w:val="00CF0C8C"/>
    <w:rsid w:val="00CF17B8"/>
    <w:rsid w:val="00CF1E10"/>
    <w:rsid w:val="00CF1E69"/>
    <w:rsid w:val="00CF1E8B"/>
    <w:rsid w:val="00CF1F1F"/>
    <w:rsid w:val="00CF249C"/>
    <w:rsid w:val="00CF2660"/>
    <w:rsid w:val="00CF2D87"/>
    <w:rsid w:val="00CF33C2"/>
    <w:rsid w:val="00CF3EB5"/>
    <w:rsid w:val="00CF423F"/>
    <w:rsid w:val="00CF44BC"/>
    <w:rsid w:val="00CF5C06"/>
    <w:rsid w:val="00CF63B2"/>
    <w:rsid w:val="00CF6964"/>
    <w:rsid w:val="00CF7869"/>
    <w:rsid w:val="00CF7951"/>
    <w:rsid w:val="00CF7CF6"/>
    <w:rsid w:val="00CF7DD0"/>
    <w:rsid w:val="00CF7EF7"/>
    <w:rsid w:val="00D009F8"/>
    <w:rsid w:val="00D01097"/>
    <w:rsid w:val="00D01108"/>
    <w:rsid w:val="00D0128C"/>
    <w:rsid w:val="00D015E5"/>
    <w:rsid w:val="00D01D6F"/>
    <w:rsid w:val="00D0254B"/>
    <w:rsid w:val="00D029FB"/>
    <w:rsid w:val="00D02B85"/>
    <w:rsid w:val="00D048CE"/>
    <w:rsid w:val="00D054C0"/>
    <w:rsid w:val="00D0581B"/>
    <w:rsid w:val="00D06495"/>
    <w:rsid w:val="00D06AAB"/>
    <w:rsid w:val="00D06C0A"/>
    <w:rsid w:val="00D07392"/>
    <w:rsid w:val="00D07F63"/>
    <w:rsid w:val="00D106A2"/>
    <w:rsid w:val="00D10C3C"/>
    <w:rsid w:val="00D10F48"/>
    <w:rsid w:val="00D11E2E"/>
    <w:rsid w:val="00D11EB4"/>
    <w:rsid w:val="00D12192"/>
    <w:rsid w:val="00D12375"/>
    <w:rsid w:val="00D128B6"/>
    <w:rsid w:val="00D1368A"/>
    <w:rsid w:val="00D13EB9"/>
    <w:rsid w:val="00D13EF1"/>
    <w:rsid w:val="00D13FCA"/>
    <w:rsid w:val="00D14048"/>
    <w:rsid w:val="00D14301"/>
    <w:rsid w:val="00D148FB"/>
    <w:rsid w:val="00D14E9D"/>
    <w:rsid w:val="00D14F5D"/>
    <w:rsid w:val="00D158E9"/>
    <w:rsid w:val="00D15B8D"/>
    <w:rsid w:val="00D15F18"/>
    <w:rsid w:val="00D15F9C"/>
    <w:rsid w:val="00D163D3"/>
    <w:rsid w:val="00D1662F"/>
    <w:rsid w:val="00D16BCE"/>
    <w:rsid w:val="00D16D25"/>
    <w:rsid w:val="00D1705C"/>
    <w:rsid w:val="00D17AC6"/>
    <w:rsid w:val="00D208F3"/>
    <w:rsid w:val="00D20932"/>
    <w:rsid w:val="00D20E4C"/>
    <w:rsid w:val="00D2169F"/>
    <w:rsid w:val="00D2225B"/>
    <w:rsid w:val="00D228AE"/>
    <w:rsid w:val="00D22C7F"/>
    <w:rsid w:val="00D232FE"/>
    <w:rsid w:val="00D235C8"/>
    <w:rsid w:val="00D23785"/>
    <w:rsid w:val="00D2386F"/>
    <w:rsid w:val="00D238E5"/>
    <w:rsid w:val="00D24B07"/>
    <w:rsid w:val="00D24DB0"/>
    <w:rsid w:val="00D25621"/>
    <w:rsid w:val="00D25795"/>
    <w:rsid w:val="00D25F0E"/>
    <w:rsid w:val="00D26197"/>
    <w:rsid w:val="00D26890"/>
    <w:rsid w:val="00D26DF4"/>
    <w:rsid w:val="00D26F82"/>
    <w:rsid w:val="00D275DA"/>
    <w:rsid w:val="00D30D50"/>
    <w:rsid w:val="00D312A0"/>
    <w:rsid w:val="00D3135F"/>
    <w:rsid w:val="00D3159A"/>
    <w:rsid w:val="00D31BFC"/>
    <w:rsid w:val="00D320D6"/>
    <w:rsid w:val="00D325F1"/>
    <w:rsid w:val="00D32A12"/>
    <w:rsid w:val="00D32A74"/>
    <w:rsid w:val="00D347E8"/>
    <w:rsid w:val="00D34ACC"/>
    <w:rsid w:val="00D3510F"/>
    <w:rsid w:val="00D3556B"/>
    <w:rsid w:val="00D3567D"/>
    <w:rsid w:val="00D370EA"/>
    <w:rsid w:val="00D40A73"/>
    <w:rsid w:val="00D414E7"/>
    <w:rsid w:val="00D41D6D"/>
    <w:rsid w:val="00D41D9D"/>
    <w:rsid w:val="00D41EAD"/>
    <w:rsid w:val="00D422F4"/>
    <w:rsid w:val="00D429C4"/>
    <w:rsid w:val="00D42E3A"/>
    <w:rsid w:val="00D434B9"/>
    <w:rsid w:val="00D43CE8"/>
    <w:rsid w:val="00D43ED8"/>
    <w:rsid w:val="00D441AF"/>
    <w:rsid w:val="00D4477D"/>
    <w:rsid w:val="00D449A8"/>
    <w:rsid w:val="00D44CF9"/>
    <w:rsid w:val="00D450AE"/>
    <w:rsid w:val="00D4520B"/>
    <w:rsid w:val="00D46A07"/>
    <w:rsid w:val="00D46F3C"/>
    <w:rsid w:val="00D47500"/>
    <w:rsid w:val="00D47855"/>
    <w:rsid w:val="00D47B23"/>
    <w:rsid w:val="00D47D43"/>
    <w:rsid w:val="00D503B4"/>
    <w:rsid w:val="00D507F2"/>
    <w:rsid w:val="00D51C80"/>
    <w:rsid w:val="00D5223C"/>
    <w:rsid w:val="00D52BA1"/>
    <w:rsid w:val="00D53507"/>
    <w:rsid w:val="00D53F80"/>
    <w:rsid w:val="00D541C3"/>
    <w:rsid w:val="00D542DE"/>
    <w:rsid w:val="00D545D7"/>
    <w:rsid w:val="00D5563C"/>
    <w:rsid w:val="00D55646"/>
    <w:rsid w:val="00D559D7"/>
    <w:rsid w:val="00D569CD"/>
    <w:rsid w:val="00D56C4A"/>
    <w:rsid w:val="00D56C4F"/>
    <w:rsid w:val="00D56F48"/>
    <w:rsid w:val="00D56F7E"/>
    <w:rsid w:val="00D573BE"/>
    <w:rsid w:val="00D57783"/>
    <w:rsid w:val="00D57957"/>
    <w:rsid w:val="00D579ED"/>
    <w:rsid w:val="00D57B17"/>
    <w:rsid w:val="00D609D1"/>
    <w:rsid w:val="00D60C94"/>
    <w:rsid w:val="00D6213B"/>
    <w:rsid w:val="00D62516"/>
    <w:rsid w:val="00D62859"/>
    <w:rsid w:val="00D62980"/>
    <w:rsid w:val="00D63093"/>
    <w:rsid w:val="00D630AA"/>
    <w:rsid w:val="00D63649"/>
    <w:rsid w:val="00D638D5"/>
    <w:rsid w:val="00D64344"/>
    <w:rsid w:val="00D64BC8"/>
    <w:rsid w:val="00D65189"/>
    <w:rsid w:val="00D659A0"/>
    <w:rsid w:val="00D66953"/>
    <w:rsid w:val="00D66BE7"/>
    <w:rsid w:val="00D6732D"/>
    <w:rsid w:val="00D67735"/>
    <w:rsid w:val="00D70626"/>
    <w:rsid w:val="00D706BD"/>
    <w:rsid w:val="00D718D9"/>
    <w:rsid w:val="00D72086"/>
    <w:rsid w:val="00D724D5"/>
    <w:rsid w:val="00D72B39"/>
    <w:rsid w:val="00D734E0"/>
    <w:rsid w:val="00D7414F"/>
    <w:rsid w:val="00D74150"/>
    <w:rsid w:val="00D74E0A"/>
    <w:rsid w:val="00D75AB0"/>
    <w:rsid w:val="00D76FAB"/>
    <w:rsid w:val="00D771AD"/>
    <w:rsid w:val="00D773A9"/>
    <w:rsid w:val="00D7777C"/>
    <w:rsid w:val="00D77946"/>
    <w:rsid w:val="00D77D18"/>
    <w:rsid w:val="00D812A5"/>
    <w:rsid w:val="00D81A1E"/>
    <w:rsid w:val="00D81F34"/>
    <w:rsid w:val="00D820C8"/>
    <w:rsid w:val="00D83658"/>
    <w:rsid w:val="00D837D8"/>
    <w:rsid w:val="00D838B0"/>
    <w:rsid w:val="00D84070"/>
    <w:rsid w:val="00D84196"/>
    <w:rsid w:val="00D84B75"/>
    <w:rsid w:val="00D84CA8"/>
    <w:rsid w:val="00D84E09"/>
    <w:rsid w:val="00D84FA1"/>
    <w:rsid w:val="00D8516E"/>
    <w:rsid w:val="00D8594A"/>
    <w:rsid w:val="00D85BB0"/>
    <w:rsid w:val="00D861C4"/>
    <w:rsid w:val="00D867F1"/>
    <w:rsid w:val="00D86A41"/>
    <w:rsid w:val="00D87720"/>
    <w:rsid w:val="00D90295"/>
    <w:rsid w:val="00D9058B"/>
    <w:rsid w:val="00D93125"/>
    <w:rsid w:val="00D9334B"/>
    <w:rsid w:val="00D9506F"/>
    <w:rsid w:val="00D95521"/>
    <w:rsid w:val="00D95BE6"/>
    <w:rsid w:val="00D95E66"/>
    <w:rsid w:val="00D96130"/>
    <w:rsid w:val="00D965A2"/>
    <w:rsid w:val="00D96890"/>
    <w:rsid w:val="00D968CD"/>
    <w:rsid w:val="00D970C9"/>
    <w:rsid w:val="00D97789"/>
    <w:rsid w:val="00DA0C5E"/>
    <w:rsid w:val="00DA0E90"/>
    <w:rsid w:val="00DA184C"/>
    <w:rsid w:val="00DA1B7B"/>
    <w:rsid w:val="00DA1C2C"/>
    <w:rsid w:val="00DA1DFD"/>
    <w:rsid w:val="00DA23BF"/>
    <w:rsid w:val="00DA2413"/>
    <w:rsid w:val="00DA24F2"/>
    <w:rsid w:val="00DA2701"/>
    <w:rsid w:val="00DA293F"/>
    <w:rsid w:val="00DA29E1"/>
    <w:rsid w:val="00DA37C7"/>
    <w:rsid w:val="00DA392B"/>
    <w:rsid w:val="00DA3DA7"/>
    <w:rsid w:val="00DA4775"/>
    <w:rsid w:val="00DA5547"/>
    <w:rsid w:val="00DA55D6"/>
    <w:rsid w:val="00DA597D"/>
    <w:rsid w:val="00DA59DA"/>
    <w:rsid w:val="00DA5C0D"/>
    <w:rsid w:val="00DA5E5B"/>
    <w:rsid w:val="00DA5F8F"/>
    <w:rsid w:val="00DA6EA2"/>
    <w:rsid w:val="00DA725A"/>
    <w:rsid w:val="00DA72DA"/>
    <w:rsid w:val="00DA7910"/>
    <w:rsid w:val="00DA7AA9"/>
    <w:rsid w:val="00DB072D"/>
    <w:rsid w:val="00DB099C"/>
    <w:rsid w:val="00DB11D6"/>
    <w:rsid w:val="00DB15F4"/>
    <w:rsid w:val="00DB195D"/>
    <w:rsid w:val="00DB1DC4"/>
    <w:rsid w:val="00DB1E5F"/>
    <w:rsid w:val="00DB2271"/>
    <w:rsid w:val="00DB2693"/>
    <w:rsid w:val="00DB4067"/>
    <w:rsid w:val="00DB4240"/>
    <w:rsid w:val="00DB456D"/>
    <w:rsid w:val="00DB5087"/>
    <w:rsid w:val="00DB51CA"/>
    <w:rsid w:val="00DB6A10"/>
    <w:rsid w:val="00DB6FF7"/>
    <w:rsid w:val="00DB7822"/>
    <w:rsid w:val="00DC0597"/>
    <w:rsid w:val="00DC1029"/>
    <w:rsid w:val="00DC10EB"/>
    <w:rsid w:val="00DC12E9"/>
    <w:rsid w:val="00DC13A7"/>
    <w:rsid w:val="00DC1869"/>
    <w:rsid w:val="00DC269D"/>
    <w:rsid w:val="00DC2D1C"/>
    <w:rsid w:val="00DC2F8C"/>
    <w:rsid w:val="00DC3F6E"/>
    <w:rsid w:val="00DC4F83"/>
    <w:rsid w:val="00DC5685"/>
    <w:rsid w:val="00DC6348"/>
    <w:rsid w:val="00DC6719"/>
    <w:rsid w:val="00DC7B8C"/>
    <w:rsid w:val="00DC7D60"/>
    <w:rsid w:val="00DD0BC4"/>
    <w:rsid w:val="00DD1159"/>
    <w:rsid w:val="00DD1CF7"/>
    <w:rsid w:val="00DD2786"/>
    <w:rsid w:val="00DD29BB"/>
    <w:rsid w:val="00DD2F27"/>
    <w:rsid w:val="00DD35E3"/>
    <w:rsid w:val="00DD4480"/>
    <w:rsid w:val="00DD4902"/>
    <w:rsid w:val="00DD575E"/>
    <w:rsid w:val="00DD6022"/>
    <w:rsid w:val="00DD629E"/>
    <w:rsid w:val="00DD66FE"/>
    <w:rsid w:val="00DD777A"/>
    <w:rsid w:val="00DD7E5B"/>
    <w:rsid w:val="00DE028C"/>
    <w:rsid w:val="00DE0454"/>
    <w:rsid w:val="00DE0A68"/>
    <w:rsid w:val="00DE0D81"/>
    <w:rsid w:val="00DE1ADF"/>
    <w:rsid w:val="00DE2675"/>
    <w:rsid w:val="00DE2C06"/>
    <w:rsid w:val="00DE2EFA"/>
    <w:rsid w:val="00DE3C39"/>
    <w:rsid w:val="00DE41AF"/>
    <w:rsid w:val="00DE4325"/>
    <w:rsid w:val="00DE4686"/>
    <w:rsid w:val="00DE4A62"/>
    <w:rsid w:val="00DE4E95"/>
    <w:rsid w:val="00DE5389"/>
    <w:rsid w:val="00DE5401"/>
    <w:rsid w:val="00DE6714"/>
    <w:rsid w:val="00DE6796"/>
    <w:rsid w:val="00DE69E4"/>
    <w:rsid w:val="00DE7595"/>
    <w:rsid w:val="00DE79B7"/>
    <w:rsid w:val="00DE7E2F"/>
    <w:rsid w:val="00DF0691"/>
    <w:rsid w:val="00DF0B45"/>
    <w:rsid w:val="00DF0B58"/>
    <w:rsid w:val="00DF0E23"/>
    <w:rsid w:val="00DF1318"/>
    <w:rsid w:val="00DF13A1"/>
    <w:rsid w:val="00DF1684"/>
    <w:rsid w:val="00DF2018"/>
    <w:rsid w:val="00DF219D"/>
    <w:rsid w:val="00DF312D"/>
    <w:rsid w:val="00DF35A1"/>
    <w:rsid w:val="00DF3979"/>
    <w:rsid w:val="00DF3E54"/>
    <w:rsid w:val="00DF477D"/>
    <w:rsid w:val="00DF4800"/>
    <w:rsid w:val="00DF4985"/>
    <w:rsid w:val="00DF5184"/>
    <w:rsid w:val="00DF6409"/>
    <w:rsid w:val="00DF648F"/>
    <w:rsid w:val="00DF70EA"/>
    <w:rsid w:val="00DF7557"/>
    <w:rsid w:val="00E00027"/>
    <w:rsid w:val="00E001D8"/>
    <w:rsid w:val="00E00430"/>
    <w:rsid w:val="00E0066D"/>
    <w:rsid w:val="00E00E76"/>
    <w:rsid w:val="00E01FC3"/>
    <w:rsid w:val="00E028DF"/>
    <w:rsid w:val="00E02BAA"/>
    <w:rsid w:val="00E02C47"/>
    <w:rsid w:val="00E0308D"/>
    <w:rsid w:val="00E03328"/>
    <w:rsid w:val="00E03391"/>
    <w:rsid w:val="00E037D6"/>
    <w:rsid w:val="00E03A6E"/>
    <w:rsid w:val="00E03AE1"/>
    <w:rsid w:val="00E04639"/>
    <w:rsid w:val="00E04BB6"/>
    <w:rsid w:val="00E04CB9"/>
    <w:rsid w:val="00E04E50"/>
    <w:rsid w:val="00E04FC2"/>
    <w:rsid w:val="00E0538D"/>
    <w:rsid w:val="00E053C9"/>
    <w:rsid w:val="00E058B9"/>
    <w:rsid w:val="00E06004"/>
    <w:rsid w:val="00E06ABF"/>
    <w:rsid w:val="00E06F4E"/>
    <w:rsid w:val="00E07D54"/>
    <w:rsid w:val="00E107DA"/>
    <w:rsid w:val="00E10811"/>
    <w:rsid w:val="00E10965"/>
    <w:rsid w:val="00E114B7"/>
    <w:rsid w:val="00E11883"/>
    <w:rsid w:val="00E11CAE"/>
    <w:rsid w:val="00E11FAA"/>
    <w:rsid w:val="00E1205B"/>
    <w:rsid w:val="00E12911"/>
    <w:rsid w:val="00E12B8D"/>
    <w:rsid w:val="00E13130"/>
    <w:rsid w:val="00E1316B"/>
    <w:rsid w:val="00E13A04"/>
    <w:rsid w:val="00E13B4B"/>
    <w:rsid w:val="00E13DB8"/>
    <w:rsid w:val="00E14436"/>
    <w:rsid w:val="00E1518A"/>
    <w:rsid w:val="00E164BE"/>
    <w:rsid w:val="00E16E85"/>
    <w:rsid w:val="00E17012"/>
    <w:rsid w:val="00E1759E"/>
    <w:rsid w:val="00E175DD"/>
    <w:rsid w:val="00E17618"/>
    <w:rsid w:val="00E17B9F"/>
    <w:rsid w:val="00E17BA6"/>
    <w:rsid w:val="00E17CA3"/>
    <w:rsid w:val="00E214F2"/>
    <w:rsid w:val="00E21C17"/>
    <w:rsid w:val="00E22068"/>
    <w:rsid w:val="00E224F2"/>
    <w:rsid w:val="00E2271F"/>
    <w:rsid w:val="00E22771"/>
    <w:rsid w:val="00E22871"/>
    <w:rsid w:val="00E22BA3"/>
    <w:rsid w:val="00E23CD6"/>
    <w:rsid w:val="00E24456"/>
    <w:rsid w:val="00E245BA"/>
    <w:rsid w:val="00E270A3"/>
    <w:rsid w:val="00E27351"/>
    <w:rsid w:val="00E2752A"/>
    <w:rsid w:val="00E2799C"/>
    <w:rsid w:val="00E27B46"/>
    <w:rsid w:val="00E30765"/>
    <w:rsid w:val="00E30785"/>
    <w:rsid w:val="00E30B34"/>
    <w:rsid w:val="00E30C6B"/>
    <w:rsid w:val="00E31364"/>
    <w:rsid w:val="00E313FF"/>
    <w:rsid w:val="00E31917"/>
    <w:rsid w:val="00E3220A"/>
    <w:rsid w:val="00E323FC"/>
    <w:rsid w:val="00E32A2F"/>
    <w:rsid w:val="00E3348D"/>
    <w:rsid w:val="00E33845"/>
    <w:rsid w:val="00E33A43"/>
    <w:rsid w:val="00E33D14"/>
    <w:rsid w:val="00E34505"/>
    <w:rsid w:val="00E3562A"/>
    <w:rsid w:val="00E35D4A"/>
    <w:rsid w:val="00E36AB2"/>
    <w:rsid w:val="00E3711F"/>
    <w:rsid w:val="00E376C7"/>
    <w:rsid w:val="00E37C2B"/>
    <w:rsid w:val="00E37FF4"/>
    <w:rsid w:val="00E4065C"/>
    <w:rsid w:val="00E40925"/>
    <w:rsid w:val="00E40B29"/>
    <w:rsid w:val="00E40B58"/>
    <w:rsid w:val="00E40CAE"/>
    <w:rsid w:val="00E41FE1"/>
    <w:rsid w:val="00E42826"/>
    <w:rsid w:val="00E42D67"/>
    <w:rsid w:val="00E43133"/>
    <w:rsid w:val="00E43C90"/>
    <w:rsid w:val="00E43D29"/>
    <w:rsid w:val="00E443E4"/>
    <w:rsid w:val="00E44927"/>
    <w:rsid w:val="00E44C23"/>
    <w:rsid w:val="00E45F86"/>
    <w:rsid w:val="00E46B93"/>
    <w:rsid w:val="00E46FF2"/>
    <w:rsid w:val="00E47B8A"/>
    <w:rsid w:val="00E47C14"/>
    <w:rsid w:val="00E47CB1"/>
    <w:rsid w:val="00E47D70"/>
    <w:rsid w:val="00E50332"/>
    <w:rsid w:val="00E50703"/>
    <w:rsid w:val="00E50E02"/>
    <w:rsid w:val="00E50EF8"/>
    <w:rsid w:val="00E5185D"/>
    <w:rsid w:val="00E5318D"/>
    <w:rsid w:val="00E537C3"/>
    <w:rsid w:val="00E53FD0"/>
    <w:rsid w:val="00E54179"/>
    <w:rsid w:val="00E552B5"/>
    <w:rsid w:val="00E55477"/>
    <w:rsid w:val="00E554BE"/>
    <w:rsid w:val="00E55657"/>
    <w:rsid w:val="00E55719"/>
    <w:rsid w:val="00E5584C"/>
    <w:rsid w:val="00E55D31"/>
    <w:rsid w:val="00E56AC6"/>
    <w:rsid w:val="00E571D4"/>
    <w:rsid w:val="00E5765D"/>
    <w:rsid w:val="00E57850"/>
    <w:rsid w:val="00E57FF9"/>
    <w:rsid w:val="00E60A64"/>
    <w:rsid w:val="00E61567"/>
    <w:rsid w:val="00E619B8"/>
    <w:rsid w:val="00E628D9"/>
    <w:rsid w:val="00E644AC"/>
    <w:rsid w:val="00E64C3A"/>
    <w:rsid w:val="00E64ECC"/>
    <w:rsid w:val="00E655BC"/>
    <w:rsid w:val="00E65BEB"/>
    <w:rsid w:val="00E65E54"/>
    <w:rsid w:val="00E66597"/>
    <w:rsid w:val="00E6735B"/>
    <w:rsid w:val="00E6771C"/>
    <w:rsid w:val="00E70158"/>
    <w:rsid w:val="00E720D4"/>
    <w:rsid w:val="00E727F6"/>
    <w:rsid w:val="00E733BE"/>
    <w:rsid w:val="00E737B0"/>
    <w:rsid w:val="00E739A8"/>
    <w:rsid w:val="00E73D83"/>
    <w:rsid w:val="00E73DFB"/>
    <w:rsid w:val="00E741BB"/>
    <w:rsid w:val="00E7495D"/>
    <w:rsid w:val="00E74BEA"/>
    <w:rsid w:val="00E74FAC"/>
    <w:rsid w:val="00E76FDC"/>
    <w:rsid w:val="00E7724B"/>
    <w:rsid w:val="00E77381"/>
    <w:rsid w:val="00E7743E"/>
    <w:rsid w:val="00E77D41"/>
    <w:rsid w:val="00E80179"/>
    <w:rsid w:val="00E8022F"/>
    <w:rsid w:val="00E82956"/>
    <w:rsid w:val="00E82C5B"/>
    <w:rsid w:val="00E83AC7"/>
    <w:rsid w:val="00E8411A"/>
    <w:rsid w:val="00E85696"/>
    <w:rsid w:val="00E861CC"/>
    <w:rsid w:val="00E862C6"/>
    <w:rsid w:val="00E865F4"/>
    <w:rsid w:val="00E86C09"/>
    <w:rsid w:val="00E86F35"/>
    <w:rsid w:val="00E87052"/>
    <w:rsid w:val="00E871D9"/>
    <w:rsid w:val="00E8764E"/>
    <w:rsid w:val="00E87BA4"/>
    <w:rsid w:val="00E90325"/>
    <w:rsid w:val="00E907FD"/>
    <w:rsid w:val="00E91EC5"/>
    <w:rsid w:val="00E930E8"/>
    <w:rsid w:val="00E9324E"/>
    <w:rsid w:val="00E933AF"/>
    <w:rsid w:val="00E93E45"/>
    <w:rsid w:val="00E9454D"/>
    <w:rsid w:val="00E94D7C"/>
    <w:rsid w:val="00E953F1"/>
    <w:rsid w:val="00E95BA3"/>
    <w:rsid w:val="00E96D7F"/>
    <w:rsid w:val="00E9770D"/>
    <w:rsid w:val="00E97DFE"/>
    <w:rsid w:val="00EA0172"/>
    <w:rsid w:val="00EA03CC"/>
    <w:rsid w:val="00EA15B2"/>
    <w:rsid w:val="00EA1A29"/>
    <w:rsid w:val="00EA1C5D"/>
    <w:rsid w:val="00EA20D0"/>
    <w:rsid w:val="00EA2A9A"/>
    <w:rsid w:val="00EA353F"/>
    <w:rsid w:val="00EA3852"/>
    <w:rsid w:val="00EA392B"/>
    <w:rsid w:val="00EA3AFA"/>
    <w:rsid w:val="00EA3DFE"/>
    <w:rsid w:val="00EA40B9"/>
    <w:rsid w:val="00EA43DC"/>
    <w:rsid w:val="00EA4935"/>
    <w:rsid w:val="00EA4CAD"/>
    <w:rsid w:val="00EA4F91"/>
    <w:rsid w:val="00EA5069"/>
    <w:rsid w:val="00EA5C25"/>
    <w:rsid w:val="00EA5CFC"/>
    <w:rsid w:val="00EA61DE"/>
    <w:rsid w:val="00EA661A"/>
    <w:rsid w:val="00EA6723"/>
    <w:rsid w:val="00EA69F6"/>
    <w:rsid w:val="00EA6CE3"/>
    <w:rsid w:val="00EA6E26"/>
    <w:rsid w:val="00EA78D0"/>
    <w:rsid w:val="00EA7A57"/>
    <w:rsid w:val="00EB03D9"/>
    <w:rsid w:val="00EB06E7"/>
    <w:rsid w:val="00EB0733"/>
    <w:rsid w:val="00EB0787"/>
    <w:rsid w:val="00EB0935"/>
    <w:rsid w:val="00EB0B2D"/>
    <w:rsid w:val="00EB1990"/>
    <w:rsid w:val="00EB1B9B"/>
    <w:rsid w:val="00EB1E85"/>
    <w:rsid w:val="00EB2BA6"/>
    <w:rsid w:val="00EB2E82"/>
    <w:rsid w:val="00EB3F27"/>
    <w:rsid w:val="00EB48B2"/>
    <w:rsid w:val="00EB4C99"/>
    <w:rsid w:val="00EB4E0C"/>
    <w:rsid w:val="00EB4E46"/>
    <w:rsid w:val="00EB5DEF"/>
    <w:rsid w:val="00EB5F6D"/>
    <w:rsid w:val="00EB6F2A"/>
    <w:rsid w:val="00EB79F9"/>
    <w:rsid w:val="00EB7ADA"/>
    <w:rsid w:val="00EC006A"/>
    <w:rsid w:val="00EC0DE7"/>
    <w:rsid w:val="00EC1480"/>
    <w:rsid w:val="00EC1C3D"/>
    <w:rsid w:val="00EC1DC3"/>
    <w:rsid w:val="00EC29BF"/>
    <w:rsid w:val="00EC2DC2"/>
    <w:rsid w:val="00EC3767"/>
    <w:rsid w:val="00EC3F7B"/>
    <w:rsid w:val="00EC45C7"/>
    <w:rsid w:val="00EC4DEF"/>
    <w:rsid w:val="00EC4E29"/>
    <w:rsid w:val="00EC5E28"/>
    <w:rsid w:val="00EC61BA"/>
    <w:rsid w:val="00EC6A53"/>
    <w:rsid w:val="00EC72C0"/>
    <w:rsid w:val="00EC7987"/>
    <w:rsid w:val="00EC7F69"/>
    <w:rsid w:val="00ED00F7"/>
    <w:rsid w:val="00ED0B4C"/>
    <w:rsid w:val="00ED146C"/>
    <w:rsid w:val="00ED3D97"/>
    <w:rsid w:val="00ED4EC8"/>
    <w:rsid w:val="00ED56FE"/>
    <w:rsid w:val="00ED5C8F"/>
    <w:rsid w:val="00ED69F2"/>
    <w:rsid w:val="00ED7AEB"/>
    <w:rsid w:val="00EE0042"/>
    <w:rsid w:val="00EE009D"/>
    <w:rsid w:val="00EE0773"/>
    <w:rsid w:val="00EE212A"/>
    <w:rsid w:val="00EE21DE"/>
    <w:rsid w:val="00EE222E"/>
    <w:rsid w:val="00EE2995"/>
    <w:rsid w:val="00EE3015"/>
    <w:rsid w:val="00EE3A3E"/>
    <w:rsid w:val="00EE3EDD"/>
    <w:rsid w:val="00EE509E"/>
    <w:rsid w:val="00EE608F"/>
    <w:rsid w:val="00EE6B0D"/>
    <w:rsid w:val="00EE7187"/>
    <w:rsid w:val="00EE76DF"/>
    <w:rsid w:val="00EE7937"/>
    <w:rsid w:val="00EF0641"/>
    <w:rsid w:val="00EF1237"/>
    <w:rsid w:val="00EF280E"/>
    <w:rsid w:val="00EF29D1"/>
    <w:rsid w:val="00EF2BA9"/>
    <w:rsid w:val="00EF318B"/>
    <w:rsid w:val="00EF3481"/>
    <w:rsid w:val="00EF37E2"/>
    <w:rsid w:val="00EF5AAC"/>
    <w:rsid w:val="00EF6241"/>
    <w:rsid w:val="00EF6429"/>
    <w:rsid w:val="00EF6936"/>
    <w:rsid w:val="00EF6B18"/>
    <w:rsid w:val="00EF7320"/>
    <w:rsid w:val="00F000E0"/>
    <w:rsid w:val="00F00F33"/>
    <w:rsid w:val="00F01026"/>
    <w:rsid w:val="00F01AA6"/>
    <w:rsid w:val="00F01AC6"/>
    <w:rsid w:val="00F01CEF"/>
    <w:rsid w:val="00F01F5B"/>
    <w:rsid w:val="00F02CA8"/>
    <w:rsid w:val="00F02EDF"/>
    <w:rsid w:val="00F031AA"/>
    <w:rsid w:val="00F03943"/>
    <w:rsid w:val="00F03A81"/>
    <w:rsid w:val="00F040AA"/>
    <w:rsid w:val="00F052D3"/>
    <w:rsid w:val="00F059BE"/>
    <w:rsid w:val="00F05A93"/>
    <w:rsid w:val="00F06931"/>
    <w:rsid w:val="00F06FDB"/>
    <w:rsid w:val="00F06FEA"/>
    <w:rsid w:val="00F07197"/>
    <w:rsid w:val="00F100F0"/>
    <w:rsid w:val="00F10371"/>
    <w:rsid w:val="00F10D71"/>
    <w:rsid w:val="00F1131A"/>
    <w:rsid w:val="00F12034"/>
    <w:rsid w:val="00F12543"/>
    <w:rsid w:val="00F131CA"/>
    <w:rsid w:val="00F1390C"/>
    <w:rsid w:val="00F13CBD"/>
    <w:rsid w:val="00F13FBB"/>
    <w:rsid w:val="00F14E5E"/>
    <w:rsid w:val="00F1557A"/>
    <w:rsid w:val="00F15585"/>
    <w:rsid w:val="00F15FBB"/>
    <w:rsid w:val="00F161D7"/>
    <w:rsid w:val="00F16B58"/>
    <w:rsid w:val="00F16B69"/>
    <w:rsid w:val="00F16E06"/>
    <w:rsid w:val="00F17983"/>
    <w:rsid w:val="00F20592"/>
    <w:rsid w:val="00F20F50"/>
    <w:rsid w:val="00F21761"/>
    <w:rsid w:val="00F22041"/>
    <w:rsid w:val="00F227DA"/>
    <w:rsid w:val="00F22876"/>
    <w:rsid w:val="00F22B23"/>
    <w:rsid w:val="00F2366B"/>
    <w:rsid w:val="00F25658"/>
    <w:rsid w:val="00F259F1"/>
    <w:rsid w:val="00F264AD"/>
    <w:rsid w:val="00F265D1"/>
    <w:rsid w:val="00F266ED"/>
    <w:rsid w:val="00F26E1E"/>
    <w:rsid w:val="00F273A0"/>
    <w:rsid w:val="00F300C9"/>
    <w:rsid w:val="00F308CA"/>
    <w:rsid w:val="00F30907"/>
    <w:rsid w:val="00F30FA2"/>
    <w:rsid w:val="00F311BA"/>
    <w:rsid w:val="00F31294"/>
    <w:rsid w:val="00F31BDC"/>
    <w:rsid w:val="00F31BE0"/>
    <w:rsid w:val="00F329A9"/>
    <w:rsid w:val="00F32A4E"/>
    <w:rsid w:val="00F34225"/>
    <w:rsid w:val="00F353AA"/>
    <w:rsid w:val="00F36625"/>
    <w:rsid w:val="00F3698A"/>
    <w:rsid w:val="00F37029"/>
    <w:rsid w:val="00F375B7"/>
    <w:rsid w:val="00F37EED"/>
    <w:rsid w:val="00F37F2F"/>
    <w:rsid w:val="00F40D82"/>
    <w:rsid w:val="00F41236"/>
    <w:rsid w:val="00F4126A"/>
    <w:rsid w:val="00F4127F"/>
    <w:rsid w:val="00F41370"/>
    <w:rsid w:val="00F4201F"/>
    <w:rsid w:val="00F42152"/>
    <w:rsid w:val="00F43527"/>
    <w:rsid w:val="00F43B45"/>
    <w:rsid w:val="00F43DA9"/>
    <w:rsid w:val="00F44AC9"/>
    <w:rsid w:val="00F44C4E"/>
    <w:rsid w:val="00F450CD"/>
    <w:rsid w:val="00F458A1"/>
    <w:rsid w:val="00F4593A"/>
    <w:rsid w:val="00F46067"/>
    <w:rsid w:val="00F46162"/>
    <w:rsid w:val="00F466F1"/>
    <w:rsid w:val="00F4697D"/>
    <w:rsid w:val="00F46C13"/>
    <w:rsid w:val="00F4740C"/>
    <w:rsid w:val="00F47F84"/>
    <w:rsid w:val="00F50172"/>
    <w:rsid w:val="00F50242"/>
    <w:rsid w:val="00F50E6F"/>
    <w:rsid w:val="00F51D37"/>
    <w:rsid w:val="00F51F81"/>
    <w:rsid w:val="00F51FBB"/>
    <w:rsid w:val="00F5291B"/>
    <w:rsid w:val="00F52F37"/>
    <w:rsid w:val="00F53400"/>
    <w:rsid w:val="00F53CC0"/>
    <w:rsid w:val="00F54585"/>
    <w:rsid w:val="00F54910"/>
    <w:rsid w:val="00F54C0D"/>
    <w:rsid w:val="00F54D96"/>
    <w:rsid w:val="00F550BE"/>
    <w:rsid w:val="00F551BB"/>
    <w:rsid w:val="00F56F90"/>
    <w:rsid w:val="00F5751D"/>
    <w:rsid w:val="00F575DF"/>
    <w:rsid w:val="00F57D03"/>
    <w:rsid w:val="00F60B0C"/>
    <w:rsid w:val="00F612CD"/>
    <w:rsid w:val="00F61B07"/>
    <w:rsid w:val="00F649E6"/>
    <w:rsid w:val="00F656D1"/>
    <w:rsid w:val="00F65720"/>
    <w:rsid w:val="00F65830"/>
    <w:rsid w:val="00F658B9"/>
    <w:rsid w:val="00F663F0"/>
    <w:rsid w:val="00F66EFD"/>
    <w:rsid w:val="00F6718C"/>
    <w:rsid w:val="00F672F6"/>
    <w:rsid w:val="00F678F5"/>
    <w:rsid w:val="00F7027F"/>
    <w:rsid w:val="00F708CF"/>
    <w:rsid w:val="00F70DDE"/>
    <w:rsid w:val="00F71E3E"/>
    <w:rsid w:val="00F72983"/>
    <w:rsid w:val="00F72E51"/>
    <w:rsid w:val="00F73786"/>
    <w:rsid w:val="00F739BF"/>
    <w:rsid w:val="00F73EF3"/>
    <w:rsid w:val="00F7428B"/>
    <w:rsid w:val="00F7458B"/>
    <w:rsid w:val="00F74759"/>
    <w:rsid w:val="00F7503B"/>
    <w:rsid w:val="00F7504F"/>
    <w:rsid w:val="00F7511B"/>
    <w:rsid w:val="00F75790"/>
    <w:rsid w:val="00F76070"/>
    <w:rsid w:val="00F76083"/>
    <w:rsid w:val="00F761BF"/>
    <w:rsid w:val="00F764F5"/>
    <w:rsid w:val="00F7745D"/>
    <w:rsid w:val="00F774AD"/>
    <w:rsid w:val="00F774DE"/>
    <w:rsid w:val="00F806CE"/>
    <w:rsid w:val="00F810C5"/>
    <w:rsid w:val="00F81A8E"/>
    <w:rsid w:val="00F82BC8"/>
    <w:rsid w:val="00F82CED"/>
    <w:rsid w:val="00F82D9B"/>
    <w:rsid w:val="00F838D2"/>
    <w:rsid w:val="00F83A81"/>
    <w:rsid w:val="00F83F8D"/>
    <w:rsid w:val="00F846C1"/>
    <w:rsid w:val="00F847B2"/>
    <w:rsid w:val="00F85C81"/>
    <w:rsid w:val="00F866C9"/>
    <w:rsid w:val="00F86B24"/>
    <w:rsid w:val="00F875DF"/>
    <w:rsid w:val="00F87D04"/>
    <w:rsid w:val="00F9010B"/>
    <w:rsid w:val="00F901BD"/>
    <w:rsid w:val="00F902A1"/>
    <w:rsid w:val="00F9041D"/>
    <w:rsid w:val="00F91B4E"/>
    <w:rsid w:val="00F91B66"/>
    <w:rsid w:val="00F91D1B"/>
    <w:rsid w:val="00F92099"/>
    <w:rsid w:val="00F927D0"/>
    <w:rsid w:val="00F93083"/>
    <w:rsid w:val="00F94312"/>
    <w:rsid w:val="00F9517E"/>
    <w:rsid w:val="00F95289"/>
    <w:rsid w:val="00F959C7"/>
    <w:rsid w:val="00F959D2"/>
    <w:rsid w:val="00F95AB7"/>
    <w:rsid w:val="00F966A9"/>
    <w:rsid w:val="00F96C4C"/>
    <w:rsid w:val="00F9737D"/>
    <w:rsid w:val="00F9740E"/>
    <w:rsid w:val="00F9744D"/>
    <w:rsid w:val="00F97748"/>
    <w:rsid w:val="00FA01AB"/>
    <w:rsid w:val="00FA0288"/>
    <w:rsid w:val="00FA0511"/>
    <w:rsid w:val="00FA103C"/>
    <w:rsid w:val="00FA1259"/>
    <w:rsid w:val="00FA1277"/>
    <w:rsid w:val="00FA191F"/>
    <w:rsid w:val="00FA1AE8"/>
    <w:rsid w:val="00FA1BE8"/>
    <w:rsid w:val="00FA25B0"/>
    <w:rsid w:val="00FA2C79"/>
    <w:rsid w:val="00FA3465"/>
    <w:rsid w:val="00FA3710"/>
    <w:rsid w:val="00FA3D75"/>
    <w:rsid w:val="00FA490A"/>
    <w:rsid w:val="00FA4D53"/>
    <w:rsid w:val="00FA5829"/>
    <w:rsid w:val="00FA63B9"/>
    <w:rsid w:val="00FA6A46"/>
    <w:rsid w:val="00FA6EFB"/>
    <w:rsid w:val="00FA72D2"/>
    <w:rsid w:val="00FA7EB5"/>
    <w:rsid w:val="00FB0181"/>
    <w:rsid w:val="00FB05E1"/>
    <w:rsid w:val="00FB0846"/>
    <w:rsid w:val="00FB1390"/>
    <w:rsid w:val="00FB16BB"/>
    <w:rsid w:val="00FB192C"/>
    <w:rsid w:val="00FB1D23"/>
    <w:rsid w:val="00FB1D4A"/>
    <w:rsid w:val="00FB1E54"/>
    <w:rsid w:val="00FB30A9"/>
    <w:rsid w:val="00FB378B"/>
    <w:rsid w:val="00FB4440"/>
    <w:rsid w:val="00FB460B"/>
    <w:rsid w:val="00FB5DEF"/>
    <w:rsid w:val="00FB65B2"/>
    <w:rsid w:val="00FB6F4A"/>
    <w:rsid w:val="00FB6F8A"/>
    <w:rsid w:val="00FB7314"/>
    <w:rsid w:val="00FB7B77"/>
    <w:rsid w:val="00FB7BFE"/>
    <w:rsid w:val="00FC05B1"/>
    <w:rsid w:val="00FC0680"/>
    <w:rsid w:val="00FC0D28"/>
    <w:rsid w:val="00FC1035"/>
    <w:rsid w:val="00FC14E3"/>
    <w:rsid w:val="00FC19AC"/>
    <w:rsid w:val="00FC22D1"/>
    <w:rsid w:val="00FC2714"/>
    <w:rsid w:val="00FC3535"/>
    <w:rsid w:val="00FC397D"/>
    <w:rsid w:val="00FC3A23"/>
    <w:rsid w:val="00FC3AD3"/>
    <w:rsid w:val="00FC4826"/>
    <w:rsid w:val="00FC4DA7"/>
    <w:rsid w:val="00FC55CD"/>
    <w:rsid w:val="00FC5743"/>
    <w:rsid w:val="00FC5FD0"/>
    <w:rsid w:val="00FC60C2"/>
    <w:rsid w:val="00FC61C3"/>
    <w:rsid w:val="00FC6311"/>
    <w:rsid w:val="00FC6991"/>
    <w:rsid w:val="00FC6994"/>
    <w:rsid w:val="00FC7008"/>
    <w:rsid w:val="00FC761E"/>
    <w:rsid w:val="00FC76E3"/>
    <w:rsid w:val="00FD0114"/>
    <w:rsid w:val="00FD0498"/>
    <w:rsid w:val="00FD0CF1"/>
    <w:rsid w:val="00FD0F22"/>
    <w:rsid w:val="00FD18A6"/>
    <w:rsid w:val="00FD1C99"/>
    <w:rsid w:val="00FD206A"/>
    <w:rsid w:val="00FD20A6"/>
    <w:rsid w:val="00FD2E10"/>
    <w:rsid w:val="00FD36C1"/>
    <w:rsid w:val="00FD40CC"/>
    <w:rsid w:val="00FD57B4"/>
    <w:rsid w:val="00FD6EE8"/>
    <w:rsid w:val="00FD707D"/>
    <w:rsid w:val="00FD71B3"/>
    <w:rsid w:val="00FE021A"/>
    <w:rsid w:val="00FE046E"/>
    <w:rsid w:val="00FE13C9"/>
    <w:rsid w:val="00FE153B"/>
    <w:rsid w:val="00FE1818"/>
    <w:rsid w:val="00FE1C4B"/>
    <w:rsid w:val="00FE1E6A"/>
    <w:rsid w:val="00FE28D1"/>
    <w:rsid w:val="00FE2AAA"/>
    <w:rsid w:val="00FE2AE6"/>
    <w:rsid w:val="00FE321B"/>
    <w:rsid w:val="00FE34D6"/>
    <w:rsid w:val="00FE4248"/>
    <w:rsid w:val="00FE42A1"/>
    <w:rsid w:val="00FE462F"/>
    <w:rsid w:val="00FE4937"/>
    <w:rsid w:val="00FE59F2"/>
    <w:rsid w:val="00FE670C"/>
    <w:rsid w:val="00FE69E3"/>
    <w:rsid w:val="00FE730E"/>
    <w:rsid w:val="00FE7463"/>
    <w:rsid w:val="00FE79FE"/>
    <w:rsid w:val="00FE7A1A"/>
    <w:rsid w:val="00FE7A6F"/>
    <w:rsid w:val="00FF03DD"/>
    <w:rsid w:val="00FF05EB"/>
    <w:rsid w:val="00FF0695"/>
    <w:rsid w:val="00FF0E50"/>
    <w:rsid w:val="00FF1465"/>
    <w:rsid w:val="00FF1970"/>
    <w:rsid w:val="00FF1B15"/>
    <w:rsid w:val="00FF1E47"/>
    <w:rsid w:val="00FF280F"/>
    <w:rsid w:val="00FF2FC2"/>
    <w:rsid w:val="00FF319A"/>
    <w:rsid w:val="00FF49B8"/>
    <w:rsid w:val="00FF4CB3"/>
    <w:rsid w:val="00FF5B29"/>
    <w:rsid w:val="00FF5C86"/>
    <w:rsid w:val="00FF5D9E"/>
    <w:rsid w:val="00FF5E79"/>
    <w:rsid w:val="00FF6597"/>
    <w:rsid w:val="00FF6C27"/>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615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after="0" w:line="480" w:lineRule="atLeast"/>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F6D"/>
    <w:pPr>
      <w:tabs>
        <w:tab w:val="center" w:pos="4680"/>
        <w:tab w:val="right" w:pos="9360"/>
      </w:tabs>
      <w:spacing w:line="240" w:lineRule="auto"/>
    </w:pPr>
  </w:style>
  <w:style w:type="character" w:customStyle="1" w:styleId="HeaderChar">
    <w:name w:val="Header Char"/>
    <w:basedOn w:val="DefaultParagraphFont"/>
    <w:link w:val="Header"/>
    <w:uiPriority w:val="99"/>
    <w:rsid w:val="00A83F6D"/>
  </w:style>
  <w:style w:type="paragraph" w:styleId="Footer">
    <w:name w:val="footer"/>
    <w:basedOn w:val="Normal"/>
    <w:link w:val="FooterChar"/>
    <w:uiPriority w:val="99"/>
    <w:unhideWhenUsed/>
    <w:rsid w:val="00A83F6D"/>
    <w:pPr>
      <w:tabs>
        <w:tab w:val="center" w:pos="4680"/>
        <w:tab w:val="right" w:pos="9360"/>
      </w:tabs>
      <w:spacing w:line="240" w:lineRule="auto"/>
    </w:pPr>
  </w:style>
  <w:style w:type="character" w:customStyle="1" w:styleId="FooterChar">
    <w:name w:val="Footer Char"/>
    <w:basedOn w:val="DefaultParagraphFont"/>
    <w:link w:val="Footer"/>
    <w:uiPriority w:val="99"/>
    <w:rsid w:val="00A83F6D"/>
  </w:style>
  <w:style w:type="character" w:styleId="PageNumber">
    <w:name w:val="page number"/>
    <w:basedOn w:val="DefaultParagraphFont"/>
    <w:uiPriority w:val="99"/>
    <w:semiHidden/>
    <w:unhideWhenUsed/>
    <w:rsid w:val="00A83F6D"/>
  </w:style>
  <w:style w:type="paragraph" w:styleId="FootnoteText">
    <w:name w:val="footnote text"/>
    <w:link w:val="FootnoteTextChar"/>
    <w:uiPriority w:val="99"/>
    <w:unhideWhenUsed/>
    <w:rsid w:val="00A83F6D"/>
    <w:pPr>
      <w:spacing w:after="0" w:line="240" w:lineRule="auto"/>
    </w:pPr>
    <w:rPr>
      <w:rFonts w:ascii="Century Schoolbook" w:hAnsi="Century Schoolbook"/>
      <w:szCs w:val="20"/>
    </w:rPr>
  </w:style>
  <w:style w:type="character" w:customStyle="1" w:styleId="FootnoteTextChar">
    <w:name w:val="Footnote Text Char"/>
    <w:basedOn w:val="DefaultParagraphFont"/>
    <w:link w:val="FootnoteText"/>
    <w:uiPriority w:val="99"/>
    <w:rsid w:val="00A83F6D"/>
    <w:rPr>
      <w:rFonts w:ascii="Century Schoolbook" w:hAnsi="Century Schoolbook"/>
      <w:szCs w:val="20"/>
    </w:rPr>
  </w:style>
  <w:style w:type="character" w:styleId="FootnoteReference">
    <w:name w:val="footnote reference"/>
    <w:basedOn w:val="DefaultParagraphFont"/>
    <w:uiPriority w:val="99"/>
    <w:semiHidden/>
    <w:unhideWhenUsed/>
    <w:rsid w:val="007253A0"/>
    <w:rPr>
      <w:vertAlign w:val="superscript"/>
    </w:rPr>
  </w:style>
  <w:style w:type="paragraph" w:styleId="BalloonText">
    <w:name w:val="Balloon Text"/>
    <w:basedOn w:val="Normal"/>
    <w:link w:val="BalloonTextChar"/>
    <w:uiPriority w:val="99"/>
    <w:semiHidden/>
    <w:unhideWhenUsed/>
    <w:rsid w:val="00AA5F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FEC"/>
    <w:rPr>
      <w:rFonts w:ascii="Segoe UI" w:hAnsi="Segoe UI" w:cs="Segoe UI"/>
      <w:sz w:val="18"/>
      <w:szCs w:val="18"/>
    </w:rPr>
  </w:style>
  <w:style w:type="paragraph" w:styleId="ListParagraph">
    <w:name w:val="List Paragraph"/>
    <w:basedOn w:val="Normal"/>
    <w:uiPriority w:val="34"/>
    <w:qFormat/>
    <w:rsid w:val="005C02B6"/>
    <w:pPr>
      <w:ind w:left="720"/>
      <w:contextualSpacing/>
    </w:pPr>
  </w:style>
  <w:style w:type="character" w:styleId="Hyperlink">
    <w:name w:val="Hyperlink"/>
    <w:basedOn w:val="DefaultParagraphFont"/>
    <w:uiPriority w:val="99"/>
    <w:unhideWhenUsed/>
    <w:rsid w:val="003F782F"/>
    <w:rPr>
      <w:color w:val="0000FF"/>
      <w:u w:val="single"/>
    </w:rPr>
  </w:style>
  <w:style w:type="character" w:styleId="Emphasis">
    <w:name w:val="Emphasis"/>
    <w:basedOn w:val="DefaultParagraphFont"/>
    <w:uiPriority w:val="20"/>
    <w:qFormat/>
    <w:rsid w:val="003F782F"/>
    <w:rPr>
      <w:i/>
      <w:iCs/>
    </w:rPr>
  </w:style>
  <w:style w:type="character" w:customStyle="1" w:styleId="costarpage">
    <w:name w:val="co_starpage"/>
    <w:basedOn w:val="DefaultParagraphFont"/>
    <w:rsid w:val="00E46FF2"/>
  </w:style>
  <w:style w:type="character" w:styleId="UnresolvedMention">
    <w:name w:val="Unresolved Mention"/>
    <w:basedOn w:val="DefaultParagraphFont"/>
    <w:uiPriority w:val="99"/>
    <w:semiHidden/>
    <w:unhideWhenUsed/>
    <w:rsid w:val="009062EA"/>
    <w:rPr>
      <w:color w:val="605E5C"/>
      <w:shd w:val="clear" w:color="auto" w:fill="E1DFDD"/>
    </w:rPr>
  </w:style>
  <w:style w:type="character" w:styleId="FollowedHyperlink">
    <w:name w:val="FollowedHyperlink"/>
    <w:basedOn w:val="DefaultParagraphFont"/>
    <w:uiPriority w:val="99"/>
    <w:semiHidden/>
    <w:unhideWhenUsed/>
    <w:rsid w:val="003A348F"/>
    <w:rPr>
      <w:color w:val="954F72" w:themeColor="followedHyperlink"/>
      <w:u w:val="single"/>
    </w:rPr>
  </w:style>
  <w:style w:type="character" w:customStyle="1" w:styleId="cosearchterm">
    <w:name w:val="co_searchterm"/>
    <w:basedOn w:val="DefaultParagraphFont"/>
    <w:rsid w:val="00EB03D9"/>
  </w:style>
  <w:style w:type="character" w:styleId="CommentReference">
    <w:name w:val="annotation reference"/>
    <w:basedOn w:val="DefaultParagraphFont"/>
    <w:uiPriority w:val="99"/>
    <w:semiHidden/>
    <w:unhideWhenUsed/>
    <w:rsid w:val="00942CAD"/>
    <w:rPr>
      <w:sz w:val="16"/>
      <w:szCs w:val="16"/>
    </w:rPr>
  </w:style>
  <w:style w:type="paragraph" w:styleId="CommentText">
    <w:name w:val="annotation text"/>
    <w:basedOn w:val="Normal"/>
    <w:link w:val="CommentTextChar"/>
    <w:uiPriority w:val="99"/>
    <w:unhideWhenUsed/>
    <w:rsid w:val="00942CAD"/>
    <w:pPr>
      <w:spacing w:line="240" w:lineRule="auto"/>
    </w:pPr>
    <w:rPr>
      <w:sz w:val="20"/>
      <w:szCs w:val="20"/>
    </w:rPr>
  </w:style>
  <w:style w:type="character" w:customStyle="1" w:styleId="CommentTextChar">
    <w:name w:val="Comment Text Char"/>
    <w:basedOn w:val="DefaultParagraphFont"/>
    <w:link w:val="CommentText"/>
    <w:uiPriority w:val="99"/>
    <w:rsid w:val="00942CAD"/>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942CAD"/>
    <w:rPr>
      <w:b/>
      <w:bCs/>
    </w:rPr>
  </w:style>
  <w:style w:type="character" w:customStyle="1" w:styleId="CommentSubjectChar">
    <w:name w:val="Comment Subject Char"/>
    <w:basedOn w:val="CommentTextChar"/>
    <w:link w:val="CommentSubject"/>
    <w:uiPriority w:val="99"/>
    <w:semiHidden/>
    <w:rsid w:val="00942CAD"/>
    <w:rPr>
      <w:rFonts w:ascii="Century Schoolbook" w:hAnsi="Century Schoolbook"/>
      <w:b/>
      <w:bCs/>
      <w:sz w:val="20"/>
      <w:szCs w:val="20"/>
    </w:rPr>
  </w:style>
  <w:style w:type="paragraph" w:styleId="EndnoteText">
    <w:name w:val="endnote text"/>
    <w:basedOn w:val="Normal"/>
    <w:link w:val="EndnoteTextChar"/>
    <w:uiPriority w:val="99"/>
    <w:semiHidden/>
    <w:unhideWhenUsed/>
    <w:rsid w:val="005E70BA"/>
    <w:pPr>
      <w:spacing w:line="240" w:lineRule="auto"/>
    </w:pPr>
    <w:rPr>
      <w:sz w:val="20"/>
      <w:szCs w:val="20"/>
    </w:rPr>
  </w:style>
  <w:style w:type="character" w:customStyle="1" w:styleId="EndnoteTextChar">
    <w:name w:val="Endnote Text Char"/>
    <w:basedOn w:val="DefaultParagraphFont"/>
    <w:link w:val="EndnoteText"/>
    <w:uiPriority w:val="99"/>
    <w:semiHidden/>
    <w:rsid w:val="005E70BA"/>
    <w:rPr>
      <w:rFonts w:ascii="Century Schoolbook" w:hAnsi="Century Schoolbook"/>
      <w:sz w:val="20"/>
      <w:szCs w:val="20"/>
    </w:rPr>
  </w:style>
  <w:style w:type="character" w:styleId="EndnoteReference">
    <w:name w:val="endnote reference"/>
    <w:basedOn w:val="DefaultParagraphFont"/>
    <w:uiPriority w:val="99"/>
    <w:semiHidden/>
    <w:unhideWhenUsed/>
    <w:rsid w:val="005E70BA"/>
    <w:rPr>
      <w:vertAlign w:val="superscript"/>
    </w:rPr>
  </w:style>
  <w:style w:type="paragraph" w:styleId="Revision">
    <w:name w:val="Revision"/>
    <w:hidden/>
    <w:uiPriority w:val="99"/>
    <w:semiHidden/>
    <w:rsid w:val="00730BFC"/>
    <w:pPr>
      <w:spacing w:after="0" w:line="240" w:lineRule="auto"/>
    </w:pPr>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488">
      <w:bodyDiv w:val="1"/>
      <w:marLeft w:val="0"/>
      <w:marRight w:val="0"/>
      <w:marTop w:val="0"/>
      <w:marBottom w:val="0"/>
      <w:divBdr>
        <w:top w:val="none" w:sz="0" w:space="0" w:color="auto"/>
        <w:left w:val="none" w:sz="0" w:space="0" w:color="auto"/>
        <w:bottom w:val="none" w:sz="0" w:space="0" w:color="auto"/>
        <w:right w:val="none" w:sz="0" w:space="0" w:color="auto"/>
      </w:divBdr>
      <w:divsChild>
        <w:div w:id="1111823371">
          <w:marLeft w:val="0"/>
          <w:marRight w:val="0"/>
          <w:marTop w:val="0"/>
          <w:marBottom w:val="0"/>
          <w:divBdr>
            <w:top w:val="none" w:sz="0" w:space="0" w:color="auto"/>
            <w:left w:val="none" w:sz="0" w:space="0" w:color="auto"/>
            <w:bottom w:val="none" w:sz="0" w:space="0" w:color="auto"/>
            <w:right w:val="none" w:sz="0" w:space="0" w:color="auto"/>
          </w:divBdr>
          <w:divsChild>
            <w:div w:id="1587835794">
              <w:marLeft w:val="0"/>
              <w:marRight w:val="0"/>
              <w:marTop w:val="0"/>
              <w:marBottom w:val="0"/>
              <w:divBdr>
                <w:top w:val="none" w:sz="0" w:space="0" w:color="auto"/>
                <w:left w:val="none" w:sz="0" w:space="0" w:color="auto"/>
                <w:bottom w:val="none" w:sz="0" w:space="0" w:color="auto"/>
                <w:right w:val="none" w:sz="0" w:space="0" w:color="auto"/>
              </w:divBdr>
              <w:divsChild>
                <w:div w:id="18860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511">
      <w:bodyDiv w:val="1"/>
      <w:marLeft w:val="0"/>
      <w:marRight w:val="0"/>
      <w:marTop w:val="0"/>
      <w:marBottom w:val="0"/>
      <w:divBdr>
        <w:top w:val="none" w:sz="0" w:space="0" w:color="auto"/>
        <w:left w:val="none" w:sz="0" w:space="0" w:color="auto"/>
        <w:bottom w:val="none" w:sz="0" w:space="0" w:color="auto"/>
        <w:right w:val="none" w:sz="0" w:space="0" w:color="auto"/>
      </w:divBdr>
      <w:divsChild>
        <w:div w:id="391973465">
          <w:marLeft w:val="0"/>
          <w:marRight w:val="0"/>
          <w:marTop w:val="0"/>
          <w:marBottom w:val="0"/>
          <w:divBdr>
            <w:top w:val="none" w:sz="0" w:space="0" w:color="auto"/>
            <w:left w:val="none" w:sz="0" w:space="0" w:color="auto"/>
            <w:bottom w:val="none" w:sz="0" w:space="0" w:color="auto"/>
            <w:right w:val="none" w:sz="0" w:space="0" w:color="auto"/>
          </w:divBdr>
          <w:divsChild>
            <w:div w:id="1532721851">
              <w:marLeft w:val="0"/>
              <w:marRight w:val="0"/>
              <w:marTop w:val="0"/>
              <w:marBottom w:val="0"/>
              <w:divBdr>
                <w:top w:val="none" w:sz="0" w:space="0" w:color="auto"/>
                <w:left w:val="none" w:sz="0" w:space="0" w:color="auto"/>
                <w:bottom w:val="none" w:sz="0" w:space="0" w:color="auto"/>
                <w:right w:val="none" w:sz="0" w:space="0" w:color="auto"/>
              </w:divBdr>
              <w:divsChild>
                <w:div w:id="20390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02140">
      <w:bodyDiv w:val="1"/>
      <w:marLeft w:val="0"/>
      <w:marRight w:val="0"/>
      <w:marTop w:val="0"/>
      <w:marBottom w:val="0"/>
      <w:divBdr>
        <w:top w:val="none" w:sz="0" w:space="0" w:color="auto"/>
        <w:left w:val="none" w:sz="0" w:space="0" w:color="auto"/>
        <w:bottom w:val="none" w:sz="0" w:space="0" w:color="auto"/>
        <w:right w:val="none" w:sz="0" w:space="0" w:color="auto"/>
      </w:divBdr>
      <w:divsChild>
        <w:div w:id="873157278">
          <w:marLeft w:val="0"/>
          <w:marRight w:val="0"/>
          <w:marTop w:val="0"/>
          <w:marBottom w:val="0"/>
          <w:divBdr>
            <w:top w:val="none" w:sz="0" w:space="0" w:color="auto"/>
            <w:left w:val="none" w:sz="0" w:space="0" w:color="auto"/>
            <w:bottom w:val="none" w:sz="0" w:space="0" w:color="auto"/>
            <w:right w:val="none" w:sz="0" w:space="0" w:color="auto"/>
          </w:divBdr>
          <w:divsChild>
            <w:div w:id="1378580173">
              <w:marLeft w:val="0"/>
              <w:marRight w:val="0"/>
              <w:marTop w:val="0"/>
              <w:marBottom w:val="0"/>
              <w:divBdr>
                <w:top w:val="none" w:sz="0" w:space="0" w:color="auto"/>
                <w:left w:val="none" w:sz="0" w:space="0" w:color="auto"/>
                <w:bottom w:val="none" w:sz="0" w:space="0" w:color="auto"/>
                <w:right w:val="none" w:sz="0" w:space="0" w:color="auto"/>
              </w:divBdr>
              <w:divsChild>
                <w:div w:id="4664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22219">
      <w:bodyDiv w:val="1"/>
      <w:marLeft w:val="0"/>
      <w:marRight w:val="0"/>
      <w:marTop w:val="0"/>
      <w:marBottom w:val="0"/>
      <w:divBdr>
        <w:top w:val="none" w:sz="0" w:space="0" w:color="auto"/>
        <w:left w:val="none" w:sz="0" w:space="0" w:color="auto"/>
        <w:bottom w:val="none" w:sz="0" w:space="0" w:color="auto"/>
        <w:right w:val="none" w:sz="0" w:space="0" w:color="auto"/>
      </w:divBdr>
      <w:divsChild>
        <w:div w:id="472913198">
          <w:marLeft w:val="0"/>
          <w:marRight w:val="0"/>
          <w:marTop w:val="0"/>
          <w:marBottom w:val="0"/>
          <w:divBdr>
            <w:top w:val="none" w:sz="0" w:space="0" w:color="auto"/>
            <w:left w:val="none" w:sz="0" w:space="0" w:color="auto"/>
            <w:bottom w:val="none" w:sz="0" w:space="0" w:color="auto"/>
            <w:right w:val="none" w:sz="0" w:space="0" w:color="auto"/>
          </w:divBdr>
          <w:divsChild>
            <w:div w:id="1380547493">
              <w:marLeft w:val="0"/>
              <w:marRight w:val="0"/>
              <w:marTop w:val="0"/>
              <w:marBottom w:val="0"/>
              <w:divBdr>
                <w:top w:val="none" w:sz="0" w:space="0" w:color="auto"/>
                <w:left w:val="none" w:sz="0" w:space="0" w:color="auto"/>
                <w:bottom w:val="none" w:sz="0" w:space="0" w:color="auto"/>
                <w:right w:val="none" w:sz="0" w:space="0" w:color="auto"/>
              </w:divBdr>
              <w:divsChild>
                <w:div w:id="2025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2131">
      <w:bodyDiv w:val="1"/>
      <w:marLeft w:val="0"/>
      <w:marRight w:val="0"/>
      <w:marTop w:val="0"/>
      <w:marBottom w:val="0"/>
      <w:divBdr>
        <w:top w:val="none" w:sz="0" w:space="0" w:color="auto"/>
        <w:left w:val="none" w:sz="0" w:space="0" w:color="auto"/>
        <w:bottom w:val="none" w:sz="0" w:space="0" w:color="auto"/>
        <w:right w:val="none" w:sz="0" w:space="0" w:color="auto"/>
      </w:divBdr>
      <w:divsChild>
        <w:div w:id="400754335">
          <w:marLeft w:val="0"/>
          <w:marRight w:val="0"/>
          <w:marTop w:val="0"/>
          <w:marBottom w:val="0"/>
          <w:divBdr>
            <w:top w:val="none" w:sz="0" w:space="0" w:color="auto"/>
            <w:left w:val="none" w:sz="0" w:space="0" w:color="auto"/>
            <w:bottom w:val="none" w:sz="0" w:space="0" w:color="auto"/>
            <w:right w:val="none" w:sz="0" w:space="0" w:color="auto"/>
          </w:divBdr>
          <w:divsChild>
            <w:div w:id="1895385050">
              <w:marLeft w:val="0"/>
              <w:marRight w:val="0"/>
              <w:marTop w:val="0"/>
              <w:marBottom w:val="0"/>
              <w:divBdr>
                <w:top w:val="none" w:sz="0" w:space="0" w:color="auto"/>
                <w:left w:val="none" w:sz="0" w:space="0" w:color="auto"/>
                <w:bottom w:val="none" w:sz="0" w:space="0" w:color="auto"/>
                <w:right w:val="none" w:sz="0" w:space="0" w:color="auto"/>
              </w:divBdr>
              <w:divsChild>
                <w:div w:id="11620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9061">
      <w:bodyDiv w:val="1"/>
      <w:marLeft w:val="0"/>
      <w:marRight w:val="0"/>
      <w:marTop w:val="0"/>
      <w:marBottom w:val="0"/>
      <w:divBdr>
        <w:top w:val="none" w:sz="0" w:space="0" w:color="auto"/>
        <w:left w:val="none" w:sz="0" w:space="0" w:color="auto"/>
        <w:bottom w:val="none" w:sz="0" w:space="0" w:color="auto"/>
        <w:right w:val="none" w:sz="0" w:space="0" w:color="auto"/>
      </w:divBdr>
    </w:div>
    <w:div w:id="435294088">
      <w:bodyDiv w:val="1"/>
      <w:marLeft w:val="0"/>
      <w:marRight w:val="0"/>
      <w:marTop w:val="0"/>
      <w:marBottom w:val="0"/>
      <w:divBdr>
        <w:top w:val="none" w:sz="0" w:space="0" w:color="auto"/>
        <w:left w:val="none" w:sz="0" w:space="0" w:color="auto"/>
        <w:bottom w:val="none" w:sz="0" w:space="0" w:color="auto"/>
        <w:right w:val="none" w:sz="0" w:space="0" w:color="auto"/>
      </w:divBdr>
      <w:divsChild>
        <w:div w:id="808936569">
          <w:marLeft w:val="0"/>
          <w:marRight w:val="0"/>
          <w:marTop w:val="0"/>
          <w:marBottom w:val="0"/>
          <w:divBdr>
            <w:top w:val="none" w:sz="0" w:space="0" w:color="auto"/>
            <w:left w:val="none" w:sz="0" w:space="0" w:color="auto"/>
            <w:bottom w:val="none" w:sz="0" w:space="0" w:color="auto"/>
            <w:right w:val="none" w:sz="0" w:space="0" w:color="auto"/>
          </w:divBdr>
          <w:divsChild>
            <w:div w:id="130171019">
              <w:marLeft w:val="0"/>
              <w:marRight w:val="0"/>
              <w:marTop w:val="0"/>
              <w:marBottom w:val="0"/>
              <w:divBdr>
                <w:top w:val="none" w:sz="0" w:space="0" w:color="auto"/>
                <w:left w:val="none" w:sz="0" w:space="0" w:color="auto"/>
                <w:bottom w:val="none" w:sz="0" w:space="0" w:color="auto"/>
                <w:right w:val="none" w:sz="0" w:space="0" w:color="auto"/>
              </w:divBdr>
              <w:divsChild>
                <w:div w:id="17435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08568">
      <w:bodyDiv w:val="1"/>
      <w:marLeft w:val="0"/>
      <w:marRight w:val="0"/>
      <w:marTop w:val="0"/>
      <w:marBottom w:val="0"/>
      <w:divBdr>
        <w:top w:val="none" w:sz="0" w:space="0" w:color="auto"/>
        <w:left w:val="none" w:sz="0" w:space="0" w:color="auto"/>
        <w:bottom w:val="none" w:sz="0" w:space="0" w:color="auto"/>
        <w:right w:val="none" w:sz="0" w:space="0" w:color="auto"/>
      </w:divBdr>
      <w:divsChild>
        <w:div w:id="389770992">
          <w:marLeft w:val="0"/>
          <w:marRight w:val="0"/>
          <w:marTop w:val="0"/>
          <w:marBottom w:val="0"/>
          <w:divBdr>
            <w:top w:val="none" w:sz="0" w:space="0" w:color="auto"/>
            <w:left w:val="none" w:sz="0" w:space="0" w:color="auto"/>
            <w:bottom w:val="none" w:sz="0" w:space="0" w:color="auto"/>
            <w:right w:val="none" w:sz="0" w:space="0" w:color="auto"/>
          </w:divBdr>
          <w:divsChild>
            <w:div w:id="2144080180">
              <w:marLeft w:val="0"/>
              <w:marRight w:val="0"/>
              <w:marTop w:val="0"/>
              <w:marBottom w:val="0"/>
              <w:divBdr>
                <w:top w:val="none" w:sz="0" w:space="0" w:color="auto"/>
                <w:left w:val="none" w:sz="0" w:space="0" w:color="auto"/>
                <w:bottom w:val="none" w:sz="0" w:space="0" w:color="auto"/>
                <w:right w:val="none" w:sz="0" w:space="0" w:color="auto"/>
              </w:divBdr>
              <w:divsChild>
                <w:div w:id="5340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4366">
      <w:bodyDiv w:val="1"/>
      <w:marLeft w:val="0"/>
      <w:marRight w:val="0"/>
      <w:marTop w:val="0"/>
      <w:marBottom w:val="0"/>
      <w:divBdr>
        <w:top w:val="none" w:sz="0" w:space="0" w:color="auto"/>
        <w:left w:val="none" w:sz="0" w:space="0" w:color="auto"/>
        <w:bottom w:val="none" w:sz="0" w:space="0" w:color="auto"/>
        <w:right w:val="none" w:sz="0" w:space="0" w:color="auto"/>
      </w:divBdr>
      <w:divsChild>
        <w:div w:id="2005551737">
          <w:marLeft w:val="0"/>
          <w:marRight w:val="0"/>
          <w:marTop w:val="0"/>
          <w:marBottom w:val="0"/>
          <w:divBdr>
            <w:top w:val="none" w:sz="0" w:space="0" w:color="auto"/>
            <w:left w:val="none" w:sz="0" w:space="0" w:color="auto"/>
            <w:bottom w:val="none" w:sz="0" w:space="0" w:color="auto"/>
            <w:right w:val="none" w:sz="0" w:space="0" w:color="auto"/>
          </w:divBdr>
          <w:divsChild>
            <w:div w:id="2039769782">
              <w:marLeft w:val="0"/>
              <w:marRight w:val="0"/>
              <w:marTop w:val="0"/>
              <w:marBottom w:val="0"/>
              <w:divBdr>
                <w:top w:val="none" w:sz="0" w:space="0" w:color="auto"/>
                <w:left w:val="none" w:sz="0" w:space="0" w:color="auto"/>
                <w:bottom w:val="none" w:sz="0" w:space="0" w:color="auto"/>
                <w:right w:val="none" w:sz="0" w:space="0" w:color="auto"/>
              </w:divBdr>
              <w:divsChild>
                <w:div w:id="14872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4503">
      <w:bodyDiv w:val="1"/>
      <w:marLeft w:val="0"/>
      <w:marRight w:val="0"/>
      <w:marTop w:val="0"/>
      <w:marBottom w:val="0"/>
      <w:divBdr>
        <w:top w:val="none" w:sz="0" w:space="0" w:color="auto"/>
        <w:left w:val="none" w:sz="0" w:space="0" w:color="auto"/>
        <w:bottom w:val="none" w:sz="0" w:space="0" w:color="auto"/>
        <w:right w:val="none" w:sz="0" w:space="0" w:color="auto"/>
      </w:divBdr>
    </w:div>
    <w:div w:id="517238122">
      <w:bodyDiv w:val="1"/>
      <w:marLeft w:val="0"/>
      <w:marRight w:val="0"/>
      <w:marTop w:val="0"/>
      <w:marBottom w:val="0"/>
      <w:divBdr>
        <w:top w:val="none" w:sz="0" w:space="0" w:color="auto"/>
        <w:left w:val="none" w:sz="0" w:space="0" w:color="auto"/>
        <w:bottom w:val="none" w:sz="0" w:space="0" w:color="auto"/>
        <w:right w:val="none" w:sz="0" w:space="0" w:color="auto"/>
      </w:divBdr>
      <w:divsChild>
        <w:div w:id="963076527">
          <w:marLeft w:val="0"/>
          <w:marRight w:val="0"/>
          <w:marTop w:val="0"/>
          <w:marBottom w:val="0"/>
          <w:divBdr>
            <w:top w:val="none" w:sz="0" w:space="0" w:color="auto"/>
            <w:left w:val="none" w:sz="0" w:space="0" w:color="auto"/>
            <w:bottom w:val="none" w:sz="0" w:space="0" w:color="auto"/>
            <w:right w:val="none" w:sz="0" w:space="0" w:color="auto"/>
          </w:divBdr>
          <w:divsChild>
            <w:div w:id="1167555838">
              <w:marLeft w:val="0"/>
              <w:marRight w:val="0"/>
              <w:marTop w:val="0"/>
              <w:marBottom w:val="0"/>
              <w:divBdr>
                <w:top w:val="none" w:sz="0" w:space="0" w:color="auto"/>
                <w:left w:val="none" w:sz="0" w:space="0" w:color="auto"/>
                <w:bottom w:val="none" w:sz="0" w:space="0" w:color="auto"/>
                <w:right w:val="none" w:sz="0" w:space="0" w:color="auto"/>
              </w:divBdr>
              <w:divsChild>
                <w:div w:id="415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8093">
      <w:bodyDiv w:val="1"/>
      <w:marLeft w:val="0"/>
      <w:marRight w:val="0"/>
      <w:marTop w:val="0"/>
      <w:marBottom w:val="0"/>
      <w:divBdr>
        <w:top w:val="none" w:sz="0" w:space="0" w:color="auto"/>
        <w:left w:val="none" w:sz="0" w:space="0" w:color="auto"/>
        <w:bottom w:val="none" w:sz="0" w:space="0" w:color="auto"/>
        <w:right w:val="none" w:sz="0" w:space="0" w:color="auto"/>
      </w:divBdr>
      <w:divsChild>
        <w:div w:id="1427771577">
          <w:marLeft w:val="0"/>
          <w:marRight w:val="0"/>
          <w:marTop w:val="0"/>
          <w:marBottom w:val="0"/>
          <w:divBdr>
            <w:top w:val="none" w:sz="0" w:space="0" w:color="auto"/>
            <w:left w:val="none" w:sz="0" w:space="0" w:color="auto"/>
            <w:bottom w:val="none" w:sz="0" w:space="0" w:color="auto"/>
            <w:right w:val="none" w:sz="0" w:space="0" w:color="auto"/>
          </w:divBdr>
          <w:divsChild>
            <w:div w:id="1870872369">
              <w:marLeft w:val="0"/>
              <w:marRight w:val="0"/>
              <w:marTop w:val="0"/>
              <w:marBottom w:val="0"/>
              <w:divBdr>
                <w:top w:val="none" w:sz="0" w:space="0" w:color="auto"/>
                <w:left w:val="none" w:sz="0" w:space="0" w:color="auto"/>
                <w:bottom w:val="none" w:sz="0" w:space="0" w:color="auto"/>
                <w:right w:val="none" w:sz="0" w:space="0" w:color="auto"/>
              </w:divBdr>
              <w:divsChild>
                <w:div w:id="6889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31106">
      <w:bodyDiv w:val="1"/>
      <w:marLeft w:val="0"/>
      <w:marRight w:val="0"/>
      <w:marTop w:val="0"/>
      <w:marBottom w:val="0"/>
      <w:divBdr>
        <w:top w:val="none" w:sz="0" w:space="0" w:color="auto"/>
        <w:left w:val="none" w:sz="0" w:space="0" w:color="auto"/>
        <w:bottom w:val="none" w:sz="0" w:space="0" w:color="auto"/>
        <w:right w:val="none" w:sz="0" w:space="0" w:color="auto"/>
      </w:divBdr>
      <w:divsChild>
        <w:div w:id="175970687">
          <w:marLeft w:val="0"/>
          <w:marRight w:val="0"/>
          <w:marTop w:val="0"/>
          <w:marBottom w:val="0"/>
          <w:divBdr>
            <w:top w:val="none" w:sz="0" w:space="0" w:color="auto"/>
            <w:left w:val="none" w:sz="0" w:space="0" w:color="auto"/>
            <w:bottom w:val="none" w:sz="0" w:space="0" w:color="auto"/>
            <w:right w:val="none" w:sz="0" w:space="0" w:color="auto"/>
          </w:divBdr>
          <w:divsChild>
            <w:div w:id="1284339774">
              <w:marLeft w:val="0"/>
              <w:marRight w:val="0"/>
              <w:marTop w:val="0"/>
              <w:marBottom w:val="0"/>
              <w:divBdr>
                <w:top w:val="none" w:sz="0" w:space="0" w:color="auto"/>
                <w:left w:val="none" w:sz="0" w:space="0" w:color="auto"/>
                <w:bottom w:val="none" w:sz="0" w:space="0" w:color="auto"/>
                <w:right w:val="none" w:sz="0" w:space="0" w:color="auto"/>
              </w:divBdr>
              <w:divsChild>
                <w:div w:id="5688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10287">
      <w:bodyDiv w:val="1"/>
      <w:marLeft w:val="0"/>
      <w:marRight w:val="0"/>
      <w:marTop w:val="0"/>
      <w:marBottom w:val="0"/>
      <w:divBdr>
        <w:top w:val="none" w:sz="0" w:space="0" w:color="auto"/>
        <w:left w:val="none" w:sz="0" w:space="0" w:color="auto"/>
        <w:bottom w:val="none" w:sz="0" w:space="0" w:color="auto"/>
        <w:right w:val="none" w:sz="0" w:space="0" w:color="auto"/>
      </w:divBdr>
      <w:divsChild>
        <w:div w:id="1178275341">
          <w:marLeft w:val="0"/>
          <w:marRight w:val="0"/>
          <w:marTop w:val="0"/>
          <w:marBottom w:val="0"/>
          <w:divBdr>
            <w:top w:val="none" w:sz="0" w:space="0" w:color="auto"/>
            <w:left w:val="none" w:sz="0" w:space="0" w:color="auto"/>
            <w:bottom w:val="none" w:sz="0" w:space="0" w:color="auto"/>
            <w:right w:val="none" w:sz="0" w:space="0" w:color="auto"/>
          </w:divBdr>
          <w:divsChild>
            <w:div w:id="833300361">
              <w:marLeft w:val="0"/>
              <w:marRight w:val="0"/>
              <w:marTop w:val="0"/>
              <w:marBottom w:val="0"/>
              <w:divBdr>
                <w:top w:val="none" w:sz="0" w:space="0" w:color="auto"/>
                <w:left w:val="none" w:sz="0" w:space="0" w:color="auto"/>
                <w:bottom w:val="none" w:sz="0" w:space="0" w:color="auto"/>
                <w:right w:val="none" w:sz="0" w:space="0" w:color="auto"/>
              </w:divBdr>
              <w:divsChild>
                <w:div w:id="8737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12979">
      <w:bodyDiv w:val="1"/>
      <w:marLeft w:val="0"/>
      <w:marRight w:val="0"/>
      <w:marTop w:val="0"/>
      <w:marBottom w:val="0"/>
      <w:divBdr>
        <w:top w:val="none" w:sz="0" w:space="0" w:color="auto"/>
        <w:left w:val="none" w:sz="0" w:space="0" w:color="auto"/>
        <w:bottom w:val="none" w:sz="0" w:space="0" w:color="auto"/>
        <w:right w:val="none" w:sz="0" w:space="0" w:color="auto"/>
      </w:divBdr>
      <w:divsChild>
        <w:div w:id="2136216108">
          <w:marLeft w:val="0"/>
          <w:marRight w:val="0"/>
          <w:marTop w:val="0"/>
          <w:marBottom w:val="0"/>
          <w:divBdr>
            <w:top w:val="none" w:sz="0" w:space="0" w:color="auto"/>
            <w:left w:val="none" w:sz="0" w:space="0" w:color="auto"/>
            <w:bottom w:val="none" w:sz="0" w:space="0" w:color="auto"/>
            <w:right w:val="none" w:sz="0" w:space="0" w:color="auto"/>
          </w:divBdr>
          <w:divsChild>
            <w:div w:id="1473988132">
              <w:marLeft w:val="0"/>
              <w:marRight w:val="0"/>
              <w:marTop w:val="0"/>
              <w:marBottom w:val="0"/>
              <w:divBdr>
                <w:top w:val="none" w:sz="0" w:space="0" w:color="auto"/>
                <w:left w:val="none" w:sz="0" w:space="0" w:color="auto"/>
                <w:bottom w:val="none" w:sz="0" w:space="0" w:color="auto"/>
                <w:right w:val="none" w:sz="0" w:space="0" w:color="auto"/>
              </w:divBdr>
              <w:divsChild>
                <w:div w:id="5389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4793">
      <w:bodyDiv w:val="1"/>
      <w:marLeft w:val="0"/>
      <w:marRight w:val="0"/>
      <w:marTop w:val="0"/>
      <w:marBottom w:val="0"/>
      <w:divBdr>
        <w:top w:val="none" w:sz="0" w:space="0" w:color="auto"/>
        <w:left w:val="none" w:sz="0" w:space="0" w:color="auto"/>
        <w:bottom w:val="none" w:sz="0" w:space="0" w:color="auto"/>
        <w:right w:val="none" w:sz="0" w:space="0" w:color="auto"/>
      </w:divBdr>
      <w:divsChild>
        <w:div w:id="1353727191">
          <w:marLeft w:val="0"/>
          <w:marRight w:val="0"/>
          <w:marTop w:val="0"/>
          <w:marBottom w:val="0"/>
          <w:divBdr>
            <w:top w:val="none" w:sz="0" w:space="0" w:color="auto"/>
            <w:left w:val="none" w:sz="0" w:space="0" w:color="auto"/>
            <w:bottom w:val="none" w:sz="0" w:space="0" w:color="auto"/>
            <w:right w:val="none" w:sz="0" w:space="0" w:color="auto"/>
          </w:divBdr>
          <w:divsChild>
            <w:div w:id="582181987">
              <w:marLeft w:val="0"/>
              <w:marRight w:val="0"/>
              <w:marTop w:val="0"/>
              <w:marBottom w:val="0"/>
              <w:divBdr>
                <w:top w:val="none" w:sz="0" w:space="0" w:color="auto"/>
                <w:left w:val="none" w:sz="0" w:space="0" w:color="auto"/>
                <w:bottom w:val="none" w:sz="0" w:space="0" w:color="auto"/>
                <w:right w:val="none" w:sz="0" w:space="0" w:color="auto"/>
              </w:divBdr>
              <w:divsChild>
                <w:div w:id="14905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5849">
      <w:bodyDiv w:val="1"/>
      <w:marLeft w:val="0"/>
      <w:marRight w:val="0"/>
      <w:marTop w:val="0"/>
      <w:marBottom w:val="0"/>
      <w:divBdr>
        <w:top w:val="none" w:sz="0" w:space="0" w:color="auto"/>
        <w:left w:val="none" w:sz="0" w:space="0" w:color="auto"/>
        <w:bottom w:val="none" w:sz="0" w:space="0" w:color="auto"/>
        <w:right w:val="none" w:sz="0" w:space="0" w:color="auto"/>
      </w:divBdr>
      <w:divsChild>
        <w:div w:id="1693611104">
          <w:marLeft w:val="0"/>
          <w:marRight w:val="0"/>
          <w:marTop w:val="0"/>
          <w:marBottom w:val="0"/>
          <w:divBdr>
            <w:top w:val="none" w:sz="0" w:space="0" w:color="auto"/>
            <w:left w:val="none" w:sz="0" w:space="0" w:color="auto"/>
            <w:bottom w:val="none" w:sz="0" w:space="0" w:color="auto"/>
            <w:right w:val="none" w:sz="0" w:space="0" w:color="auto"/>
          </w:divBdr>
          <w:divsChild>
            <w:div w:id="565918183">
              <w:marLeft w:val="0"/>
              <w:marRight w:val="0"/>
              <w:marTop w:val="0"/>
              <w:marBottom w:val="0"/>
              <w:divBdr>
                <w:top w:val="none" w:sz="0" w:space="0" w:color="auto"/>
                <w:left w:val="none" w:sz="0" w:space="0" w:color="auto"/>
                <w:bottom w:val="none" w:sz="0" w:space="0" w:color="auto"/>
                <w:right w:val="none" w:sz="0" w:space="0" w:color="auto"/>
              </w:divBdr>
              <w:divsChild>
                <w:div w:id="18109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7116">
      <w:bodyDiv w:val="1"/>
      <w:marLeft w:val="0"/>
      <w:marRight w:val="0"/>
      <w:marTop w:val="0"/>
      <w:marBottom w:val="0"/>
      <w:divBdr>
        <w:top w:val="none" w:sz="0" w:space="0" w:color="auto"/>
        <w:left w:val="none" w:sz="0" w:space="0" w:color="auto"/>
        <w:bottom w:val="none" w:sz="0" w:space="0" w:color="auto"/>
        <w:right w:val="none" w:sz="0" w:space="0" w:color="auto"/>
      </w:divBdr>
      <w:divsChild>
        <w:div w:id="1508862471">
          <w:marLeft w:val="0"/>
          <w:marRight w:val="0"/>
          <w:marTop w:val="0"/>
          <w:marBottom w:val="0"/>
          <w:divBdr>
            <w:top w:val="none" w:sz="0" w:space="0" w:color="auto"/>
            <w:left w:val="none" w:sz="0" w:space="0" w:color="auto"/>
            <w:bottom w:val="none" w:sz="0" w:space="0" w:color="auto"/>
            <w:right w:val="none" w:sz="0" w:space="0" w:color="auto"/>
          </w:divBdr>
          <w:divsChild>
            <w:div w:id="819003701">
              <w:marLeft w:val="0"/>
              <w:marRight w:val="0"/>
              <w:marTop w:val="0"/>
              <w:marBottom w:val="0"/>
              <w:divBdr>
                <w:top w:val="none" w:sz="0" w:space="0" w:color="auto"/>
                <w:left w:val="none" w:sz="0" w:space="0" w:color="auto"/>
                <w:bottom w:val="none" w:sz="0" w:space="0" w:color="auto"/>
                <w:right w:val="none" w:sz="0" w:space="0" w:color="auto"/>
              </w:divBdr>
              <w:divsChild>
                <w:div w:id="7184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4994">
      <w:bodyDiv w:val="1"/>
      <w:marLeft w:val="0"/>
      <w:marRight w:val="0"/>
      <w:marTop w:val="0"/>
      <w:marBottom w:val="0"/>
      <w:divBdr>
        <w:top w:val="none" w:sz="0" w:space="0" w:color="auto"/>
        <w:left w:val="none" w:sz="0" w:space="0" w:color="auto"/>
        <w:bottom w:val="none" w:sz="0" w:space="0" w:color="auto"/>
        <w:right w:val="none" w:sz="0" w:space="0" w:color="auto"/>
      </w:divBdr>
      <w:divsChild>
        <w:div w:id="1449082478">
          <w:marLeft w:val="0"/>
          <w:marRight w:val="0"/>
          <w:marTop w:val="0"/>
          <w:marBottom w:val="0"/>
          <w:divBdr>
            <w:top w:val="none" w:sz="0" w:space="0" w:color="auto"/>
            <w:left w:val="none" w:sz="0" w:space="0" w:color="auto"/>
            <w:bottom w:val="none" w:sz="0" w:space="0" w:color="auto"/>
            <w:right w:val="none" w:sz="0" w:space="0" w:color="auto"/>
          </w:divBdr>
          <w:divsChild>
            <w:div w:id="109476224">
              <w:marLeft w:val="0"/>
              <w:marRight w:val="0"/>
              <w:marTop w:val="0"/>
              <w:marBottom w:val="0"/>
              <w:divBdr>
                <w:top w:val="none" w:sz="0" w:space="0" w:color="auto"/>
                <w:left w:val="none" w:sz="0" w:space="0" w:color="auto"/>
                <w:bottom w:val="none" w:sz="0" w:space="0" w:color="auto"/>
                <w:right w:val="none" w:sz="0" w:space="0" w:color="auto"/>
              </w:divBdr>
              <w:divsChild>
                <w:div w:id="20976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9192">
      <w:bodyDiv w:val="1"/>
      <w:marLeft w:val="0"/>
      <w:marRight w:val="0"/>
      <w:marTop w:val="0"/>
      <w:marBottom w:val="0"/>
      <w:divBdr>
        <w:top w:val="none" w:sz="0" w:space="0" w:color="auto"/>
        <w:left w:val="none" w:sz="0" w:space="0" w:color="auto"/>
        <w:bottom w:val="none" w:sz="0" w:space="0" w:color="auto"/>
        <w:right w:val="none" w:sz="0" w:space="0" w:color="auto"/>
      </w:divBdr>
    </w:div>
    <w:div w:id="826870601">
      <w:bodyDiv w:val="1"/>
      <w:marLeft w:val="0"/>
      <w:marRight w:val="0"/>
      <w:marTop w:val="0"/>
      <w:marBottom w:val="0"/>
      <w:divBdr>
        <w:top w:val="none" w:sz="0" w:space="0" w:color="auto"/>
        <w:left w:val="none" w:sz="0" w:space="0" w:color="auto"/>
        <w:bottom w:val="none" w:sz="0" w:space="0" w:color="auto"/>
        <w:right w:val="none" w:sz="0" w:space="0" w:color="auto"/>
      </w:divBdr>
      <w:divsChild>
        <w:div w:id="1078675355">
          <w:marLeft w:val="0"/>
          <w:marRight w:val="0"/>
          <w:marTop w:val="0"/>
          <w:marBottom w:val="0"/>
          <w:divBdr>
            <w:top w:val="none" w:sz="0" w:space="0" w:color="auto"/>
            <w:left w:val="none" w:sz="0" w:space="0" w:color="auto"/>
            <w:bottom w:val="none" w:sz="0" w:space="0" w:color="auto"/>
            <w:right w:val="none" w:sz="0" w:space="0" w:color="auto"/>
          </w:divBdr>
          <w:divsChild>
            <w:div w:id="996962340">
              <w:marLeft w:val="0"/>
              <w:marRight w:val="0"/>
              <w:marTop w:val="0"/>
              <w:marBottom w:val="0"/>
              <w:divBdr>
                <w:top w:val="none" w:sz="0" w:space="0" w:color="auto"/>
                <w:left w:val="none" w:sz="0" w:space="0" w:color="auto"/>
                <w:bottom w:val="none" w:sz="0" w:space="0" w:color="auto"/>
                <w:right w:val="none" w:sz="0" w:space="0" w:color="auto"/>
              </w:divBdr>
              <w:divsChild>
                <w:div w:id="16365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5198">
      <w:bodyDiv w:val="1"/>
      <w:marLeft w:val="0"/>
      <w:marRight w:val="0"/>
      <w:marTop w:val="0"/>
      <w:marBottom w:val="0"/>
      <w:divBdr>
        <w:top w:val="none" w:sz="0" w:space="0" w:color="auto"/>
        <w:left w:val="none" w:sz="0" w:space="0" w:color="auto"/>
        <w:bottom w:val="none" w:sz="0" w:space="0" w:color="auto"/>
        <w:right w:val="none" w:sz="0" w:space="0" w:color="auto"/>
      </w:divBdr>
      <w:divsChild>
        <w:div w:id="1426076904">
          <w:marLeft w:val="0"/>
          <w:marRight w:val="0"/>
          <w:marTop w:val="0"/>
          <w:marBottom w:val="0"/>
          <w:divBdr>
            <w:top w:val="none" w:sz="0" w:space="0" w:color="auto"/>
            <w:left w:val="none" w:sz="0" w:space="0" w:color="auto"/>
            <w:bottom w:val="none" w:sz="0" w:space="0" w:color="auto"/>
            <w:right w:val="none" w:sz="0" w:space="0" w:color="auto"/>
          </w:divBdr>
          <w:divsChild>
            <w:div w:id="1979991617">
              <w:marLeft w:val="0"/>
              <w:marRight w:val="0"/>
              <w:marTop w:val="0"/>
              <w:marBottom w:val="0"/>
              <w:divBdr>
                <w:top w:val="none" w:sz="0" w:space="0" w:color="auto"/>
                <w:left w:val="none" w:sz="0" w:space="0" w:color="auto"/>
                <w:bottom w:val="none" w:sz="0" w:space="0" w:color="auto"/>
                <w:right w:val="none" w:sz="0" w:space="0" w:color="auto"/>
              </w:divBdr>
              <w:divsChild>
                <w:div w:id="2734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5867">
      <w:bodyDiv w:val="1"/>
      <w:marLeft w:val="0"/>
      <w:marRight w:val="0"/>
      <w:marTop w:val="0"/>
      <w:marBottom w:val="0"/>
      <w:divBdr>
        <w:top w:val="none" w:sz="0" w:space="0" w:color="auto"/>
        <w:left w:val="none" w:sz="0" w:space="0" w:color="auto"/>
        <w:bottom w:val="none" w:sz="0" w:space="0" w:color="auto"/>
        <w:right w:val="none" w:sz="0" w:space="0" w:color="auto"/>
      </w:divBdr>
      <w:divsChild>
        <w:div w:id="1784180525">
          <w:marLeft w:val="0"/>
          <w:marRight w:val="0"/>
          <w:marTop w:val="0"/>
          <w:marBottom w:val="0"/>
          <w:divBdr>
            <w:top w:val="none" w:sz="0" w:space="0" w:color="auto"/>
            <w:left w:val="none" w:sz="0" w:space="0" w:color="auto"/>
            <w:bottom w:val="none" w:sz="0" w:space="0" w:color="auto"/>
            <w:right w:val="none" w:sz="0" w:space="0" w:color="auto"/>
          </w:divBdr>
          <w:divsChild>
            <w:div w:id="1588028833">
              <w:marLeft w:val="0"/>
              <w:marRight w:val="0"/>
              <w:marTop w:val="0"/>
              <w:marBottom w:val="0"/>
              <w:divBdr>
                <w:top w:val="none" w:sz="0" w:space="0" w:color="auto"/>
                <w:left w:val="none" w:sz="0" w:space="0" w:color="auto"/>
                <w:bottom w:val="none" w:sz="0" w:space="0" w:color="auto"/>
                <w:right w:val="none" w:sz="0" w:space="0" w:color="auto"/>
              </w:divBdr>
              <w:divsChild>
                <w:div w:id="18209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29712">
      <w:bodyDiv w:val="1"/>
      <w:marLeft w:val="0"/>
      <w:marRight w:val="0"/>
      <w:marTop w:val="0"/>
      <w:marBottom w:val="0"/>
      <w:divBdr>
        <w:top w:val="none" w:sz="0" w:space="0" w:color="auto"/>
        <w:left w:val="none" w:sz="0" w:space="0" w:color="auto"/>
        <w:bottom w:val="none" w:sz="0" w:space="0" w:color="auto"/>
        <w:right w:val="none" w:sz="0" w:space="0" w:color="auto"/>
      </w:divBdr>
      <w:divsChild>
        <w:div w:id="576473398">
          <w:marLeft w:val="0"/>
          <w:marRight w:val="0"/>
          <w:marTop w:val="0"/>
          <w:marBottom w:val="0"/>
          <w:divBdr>
            <w:top w:val="none" w:sz="0" w:space="0" w:color="auto"/>
            <w:left w:val="none" w:sz="0" w:space="0" w:color="auto"/>
            <w:bottom w:val="none" w:sz="0" w:space="0" w:color="auto"/>
            <w:right w:val="none" w:sz="0" w:space="0" w:color="auto"/>
          </w:divBdr>
          <w:divsChild>
            <w:div w:id="761924106">
              <w:marLeft w:val="0"/>
              <w:marRight w:val="0"/>
              <w:marTop w:val="0"/>
              <w:marBottom w:val="0"/>
              <w:divBdr>
                <w:top w:val="none" w:sz="0" w:space="0" w:color="auto"/>
                <w:left w:val="none" w:sz="0" w:space="0" w:color="auto"/>
                <w:bottom w:val="none" w:sz="0" w:space="0" w:color="auto"/>
                <w:right w:val="none" w:sz="0" w:space="0" w:color="auto"/>
              </w:divBdr>
              <w:divsChild>
                <w:div w:id="20189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6553">
      <w:bodyDiv w:val="1"/>
      <w:marLeft w:val="0"/>
      <w:marRight w:val="0"/>
      <w:marTop w:val="0"/>
      <w:marBottom w:val="0"/>
      <w:divBdr>
        <w:top w:val="none" w:sz="0" w:space="0" w:color="auto"/>
        <w:left w:val="none" w:sz="0" w:space="0" w:color="auto"/>
        <w:bottom w:val="none" w:sz="0" w:space="0" w:color="auto"/>
        <w:right w:val="none" w:sz="0" w:space="0" w:color="auto"/>
      </w:divBdr>
      <w:divsChild>
        <w:div w:id="420178629">
          <w:marLeft w:val="0"/>
          <w:marRight w:val="0"/>
          <w:marTop w:val="0"/>
          <w:marBottom w:val="0"/>
          <w:divBdr>
            <w:top w:val="none" w:sz="0" w:space="0" w:color="auto"/>
            <w:left w:val="none" w:sz="0" w:space="0" w:color="auto"/>
            <w:bottom w:val="none" w:sz="0" w:space="0" w:color="auto"/>
            <w:right w:val="none" w:sz="0" w:space="0" w:color="auto"/>
          </w:divBdr>
          <w:divsChild>
            <w:div w:id="543561703">
              <w:marLeft w:val="0"/>
              <w:marRight w:val="0"/>
              <w:marTop w:val="0"/>
              <w:marBottom w:val="0"/>
              <w:divBdr>
                <w:top w:val="none" w:sz="0" w:space="0" w:color="auto"/>
                <w:left w:val="none" w:sz="0" w:space="0" w:color="auto"/>
                <w:bottom w:val="none" w:sz="0" w:space="0" w:color="auto"/>
                <w:right w:val="none" w:sz="0" w:space="0" w:color="auto"/>
              </w:divBdr>
              <w:divsChild>
                <w:div w:id="5262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2297">
      <w:bodyDiv w:val="1"/>
      <w:marLeft w:val="0"/>
      <w:marRight w:val="0"/>
      <w:marTop w:val="0"/>
      <w:marBottom w:val="0"/>
      <w:divBdr>
        <w:top w:val="none" w:sz="0" w:space="0" w:color="auto"/>
        <w:left w:val="none" w:sz="0" w:space="0" w:color="auto"/>
        <w:bottom w:val="none" w:sz="0" w:space="0" w:color="auto"/>
        <w:right w:val="none" w:sz="0" w:space="0" w:color="auto"/>
      </w:divBdr>
      <w:divsChild>
        <w:div w:id="280452985">
          <w:marLeft w:val="0"/>
          <w:marRight w:val="0"/>
          <w:marTop w:val="0"/>
          <w:marBottom w:val="0"/>
          <w:divBdr>
            <w:top w:val="none" w:sz="0" w:space="0" w:color="auto"/>
            <w:left w:val="none" w:sz="0" w:space="0" w:color="auto"/>
            <w:bottom w:val="none" w:sz="0" w:space="0" w:color="auto"/>
            <w:right w:val="none" w:sz="0" w:space="0" w:color="auto"/>
          </w:divBdr>
          <w:divsChild>
            <w:div w:id="863713845">
              <w:marLeft w:val="0"/>
              <w:marRight w:val="0"/>
              <w:marTop w:val="0"/>
              <w:marBottom w:val="0"/>
              <w:divBdr>
                <w:top w:val="none" w:sz="0" w:space="0" w:color="auto"/>
                <w:left w:val="none" w:sz="0" w:space="0" w:color="auto"/>
                <w:bottom w:val="none" w:sz="0" w:space="0" w:color="auto"/>
                <w:right w:val="none" w:sz="0" w:space="0" w:color="auto"/>
              </w:divBdr>
              <w:divsChild>
                <w:div w:id="9268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17102">
      <w:bodyDiv w:val="1"/>
      <w:marLeft w:val="0"/>
      <w:marRight w:val="0"/>
      <w:marTop w:val="0"/>
      <w:marBottom w:val="0"/>
      <w:divBdr>
        <w:top w:val="none" w:sz="0" w:space="0" w:color="auto"/>
        <w:left w:val="none" w:sz="0" w:space="0" w:color="auto"/>
        <w:bottom w:val="none" w:sz="0" w:space="0" w:color="auto"/>
        <w:right w:val="none" w:sz="0" w:space="0" w:color="auto"/>
      </w:divBdr>
      <w:divsChild>
        <w:div w:id="544604305">
          <w:marLeft w:val="0"/>
          <w:marRight w:val="0"/>
          <w:marTop w:val="0"/>
          <w:marBottom w:val="0"/>
          <w:divBdr>
            <w:top w:val="none" w:sz="0" w:space="0" w:color="auto"/>
            <w:left w:val="none" w:sz="0" w:space="0" w:color="auto"/>
            <w:bottom w:val="none" w:sz="0" w:space="0" w:color="auto"/>
            <w:right w:val="none" w:sz="0" w:space="0" w:color="auto"/>
          </w:divBdr>
          <w:divsChild>
            <w:div w:id="1504010941">
              <w:marLeft w:val="0"/>
              <w:marRight w:val="0"/>
              <w:marTop w:val="0"/>
              <w:marBottom w:val="0"/>
              <w:divBdr>
                <w:top w:val="none" w:sz="0" w:space="0" w:color="auto"/>
                <w:left w:val="none" w:sz="0" w:space="0" w:color="auto"/>
                <w:bottom w:val="none" w:sz="0" w:space="0" w:color="auto"/>
                <w:right w:val="none" w:sz="0" w:space="0" w:color="auto"/>
              </w:divBdr>
              <w:divsChild>
                <w:div w:id="10181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7510">
      <w:bodyDiv w:val="1"/>
      <w:marLeft w:val="0"/>
      <w:marRight w:val="0"/>
      <w:marTop w:val="0"/>
      <w:marBottom w:val="0"/>
      <w:divBdr>
        <w:top w:val="none" w:sz="0" w:space="0" w:color="auto"/>
        <w:left w:val="none" w:sz="0" w:space="0" w:color="auto"/>
        <w:bottom w:val="none" w:sz="0" w:space="0" w:color="auto"/>
        <w:right w:val="none" w:sz="0" w:space="0" w:color="auto"/>
      </w:divBdr>
      <w:divsChild>
        <w:div w:id="354694953">
          <w:marLeft w:val="0"/>
          <w:marRight w:val="0"/>
          <w:marTop w:val="0"/>
          <w:marBottom w:val="0"/>
          <w:divBdr>
            <w:top w:val="none" w:sz="0" w:space="0" w:color="auto"/>
            <w:left w:val="none" w:sz="0" w:space="0" w:color="auto"/>
            <w:bottom w:val="none" w:sz="0" w:space="0" w:color="auto"/>
            <w:right w:val="none" w:sz="0" w:space="0" w:color="auto"/>
          </w:divBdr>
        </w:div>
        <w:div w:id="676886499">
          <w:marLeft w:val="0"/>
          <w:marRight w:val="0"/>
          <w:marTop w:val="0"/>
          <w:marBottom w:val="0"/>
          <w:divBdr>
            <w:top w:val="none" w:sz="0" w:space="0" w:color="auto"/>
            <w:left w:val="none" w:sz="0" w:space="0" w:color="auto"/>
            <w:bottom w:val="none" w:sz="0" w:space="0" w:color="auto"/>
            <w:right w:val="none" w:sz="0" w:space="0" w:color="auto"/>
          </w:divBdr>
        </w:div>
        <w:div w:id="1772041465">
          <w:marLeft w:val="0"/>
          <w:marRight w:val="0"/>
          <w:marTop w:val="0"/>
          <w:marBottom w:val="0"/>
          <w:divBdr>
            <w:top w:val="none" w:sz="0" w:space="0" w:color="auto"/>
            <w:left w:val="none" w:sz="0" w:space="0" w:color="auto"/>
            <w:bottom w:val="none" w:sz="0" w:space="0" w:color="auto"/>
            <w:right w:val="none" w:sz="0" w:space="0" w:color="auto"/>
          </w:divBdr>
        </w:div>
      </w:divsChild>
    </w:div>
    <w:div w:id="1172181547">
      <w:bodyDiv w:val="1"/>
      <w:marLeft w:val="0"/>
      <w:marRight w:val="0"/>
      <w:marTop w:val="0"/>
      <w:marBottom w:val="0"/>
      <w:divBdr>
        <w:top w:val="none" w:sz="0" w:space="0" w:color="auto"/>
        <w:left w:val="none" w:sz="0" w:space="0" w:color="auto"/>
        <w:bottom w:val="none" w:sz="0" w:space="0" w:color="auto"/>
        <w:right w:val="none" w:sz="0" w:space="0" w:color="auto"/>
      </w:divBdr>
      <w:divsChild>
        <w:div w:id="289746826">
          <w:marLeft w:val="0"/>
          <w:marRight w:val="0"/>
          <w:marTop w:val="0"/>
          <w:marBottom w:val="0"/>
          <w:divBdr>
            <w:top w:val="none" w:sz="0" w:space="0" w:color="auto"/>
            <w:left w:val="none" w:sz="0" w:space="0" w:color="auto"/>
            <w:bottom w:val="none" w:sz="0" w:space="0" w:color="auto"/>
            <w:right w:val="none" w:sz="0" w:space="0" w:color="auto"/>
          </w:divBdr>
          <w:divsChild>
            <w:div w:id="610599343">
              <w:marLeft w:val="0"/>
              <w:marRight w:val="0"/>
              <w:marTop w:val="0"/>
              <w:marBottom w:val="0"/>
              <w:divBdr>
                <w:top w:val="none" w:sz="0" w:space="0" w:color="auto"/>
                <w:left w:val="none" w:sz="0" w:space="0" w:color="auto"/>
                <w:bottom w:val="none" w:sz="0" w:space="0" w:color="auto"/>
                <w:right w:val="none" w:sz="0" w:space="0" w:color="auto"/>
              </w:divBdr>
              <w:divsChild>
                <w:div w:id="2084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1549">
      <w:bodyDiv w:val="1"/>
      <w:marLeft w:val="0"/>
      <w:marRight w:val="0"/>
      <w:marTop w:val="0"/>
      <w:marBottom w:val="0"/>
      <w:divBdr>
        <w:top w:val="none" w:sz="0" w:space="0" w:color="auto"/>
        <w:left w:val="none" w:sz="0" w:space="0" w:color="auto"/>
        <w:bottom w:val="none" w:sz="0" w:space="0" w:color="auto"/>
        <w:right w:val="none" w:sz="0" w:space="0" w:color="auto"/>
      </w:divBdr>
      <w:divsChild>
        <w:div w:id="1497726436">
          <w:marLeft w:val="0"/>
          <w:marRight w:val="0"/>
          <w:marTop w:val="0"/>
          <w:marBottom w:val="0"/>
          <w:divBdr>
            <w:top w:val="none" w:sz="0" w:space="0" w:color="auto"/>
            <w:left w:val="none" w:sz="0" w:space="0" w:color="auto"/>
            <w:bottom w:val="none" w:sz="0" w:space="0" w:color="auto"/>
            <w:right w:val="none" w:sz="0" w:space="0" w:color="auto"/>
          </w:divBdr>
          <w:divsChild>
            <w:div w:id="7306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4634">
      <w:bodyDiv w:val="1"/>
      <w:marLeft w:val="0"/>
      <w:marRight w:val="0"/>
      <w:marTop w:val="0"/>
      <w:marBottom w:val="0"/>
      <w:divBdr>
        <w:top w:val="none" w:sz="0" w:space="0" w:color="auto"/>
        <w:left w:val="none" w:sz="0" w:space="0" w:color="auto"/>
        <w:bottom w:val="none" w:sz="0" w:space="0" w:color="auto"/>
        <w:right w:val="none" w:sz="0" w:space="0" w:color="auto"/>
      </w:divBdr>
      <w:divsChild>
        <w:div w:id="407465727">
          <w:marLeft w:val="0"/>
          <w:marRight w:val="0"/>
          <w:marTop w:val="0"/>
          <w:marBottom w:val="0"/>
          <w:divBdr>
            <w:top w:val="none" w:sz="0" w:space="0" w:color="auto"/>
            <w:left w:val="none" w:sz="0" w:space="0" w:color="auto"/>
            <w:bottom w:val="none" w:sz="0" w:space="0" w:color="auto"/>
            <w:right w:val="none" w:sz="0" w:space="0" w:color="auto"/>
          </w:divBdr>
          <w:divsChild>
            <w:div w:id="1290161718">
              <w:marLeft w:val="0"/>
              <w:marRight w:val="0"/>
              <w:marTop w:val="0"/>
              <w:marBottom w:val="0"/>
              <w:divBdr>
                <w:top w:val="none" w:sz="0" w:space="0" w:color="auto"/>
                <w:left w:val="none" w:sz="0" w:space="0" w:color="auto"/>
                <w:bottom w:val="none" w:sz="0" w:space="0" w:color="auto"/>
                <w:right w:val="none" w:sz="0" w:space="0" w:color="auto"/>
              </w:divBdr>
              <w:divsChild>
                <w:div w:id="5748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4383">
      <w:bodyDiv w:val="1"/>
      <w:marLeft w:val="0"/>
      <w:marRight w:val="0"/>
      <w:marTop w:val="0"/>
      <w:marBottom w:val="0"/>
      <w:divBdr>
        <w:top w:val="none" w:sz="0" w:space="0" w:color="auto"/>
        <w:left w:val="none" w:sz="0" w:space="0" w:color="auto"/>
        <w:bottom w:val="none" w:sz="0" w:space="0" w:color="auto"/>
        <w:right w:val="none" w:sz="0" w:space="0" w:color="auto"/>
      </w:divBdr>
      <w:divsChild>
        <w:div w:id="403920349">
          <w:marLeft w:val="0"/>
          <w:marRight w:val="0"/>
          <w:marTop w:val="0"/>
          <w:marBottom w:val="0"/>
          <w:divBdr>
            <w:top w:val="none" w:sz="0" w:space="0" w:color="auto"/>
            <w:left w:val="none" w:sz="0" w:space="0" w:color="auto"/>
            <w:bottom w:val="none" w:sz="0" w:space="0" w:color="auto"/>
            <w:right w:val="none" w:sz="0" w:space="0" w:color="auto"/>
          </w:divBdr>
        </w:div>
        <w:div w:id="739015397">
          <w:marLeft w:val="0"/>
          <w:marRight w:val="0"/>
          <w:marTop w:val="0"/>
          <w:marBottom w:val="0"/>
          <w:divBdr>
            <w:top w:val="none" w:sz="0" w:space="0" w:color="auto"/>
            <w:left w:val="none" w:sz="0" w:space="0" w:color="auto"/>
            <w:bottom w:val="none" w:sz="0" w:space="0" w:color="auto"/>
            <w:right w:val="none" w:sz="0" w:space="0" w:color="auto"/>
          </w:divBdr>
        </w:div>
      </w:divsChild>
    </w:div>
    <w:div w:id="1486121995">
      <w:bodyDiv w:val="1"/>
      <w:marLeft w:val="0"/>
      <w:marRight w:val="0"/>
      <w:marTop w:val="0"/>
      <w:marBottom w:val="0"/>
      <w:divBdr>
        <w:top w:val="none" w:sz="0" w:space="0" w:color="auto"/>
        <w:left w:val="none" w:sz="0" w:space="0" w:color="auto"/>
        <w:bottom w:val="none" w:sz="0" w:space="0" w:color="auto"/>
        <w:right w:val="none" w:sz="0" w:space="0" w:color="auto"/>
      </w:divBdr>
    </w:div>
    <w:div w:id="1523202531">
      <w:bodyDiv w:val="1"/>
      <w:marLeft w:val="0"/>
      <w:marRight w:val="0"/>
      <w:marTop w:val="0"/>
      <w:marBottom w:val="0"/>
      <w:divBdr>
        <w:top w:val="none" w:sz="0" w:space="0" w:color="auto"/>
        <w:left w:val="none" w:sz="0" w:space="0" w:color="auto"/>
        <w:bottom w:val="none" w:sz="0" w:space="0" w:color="auto"/>
        <w:right w:val="none" w:sz="0" w:space="0" w:color="auto"/>
      </w:divBdr>
      <w:divsChild>
        <w:div w:id="2034763512">
          <w:marLeft w:val="0"/>
          <w:marRight w:val="0"/>
          <w:marTop w:val="0"/>
          <w:marBottom w:val="0"/>
          <w:divBdr>
            <w:top w:val="none" w:sz="0" w:space="0" w:color="auto"/>
            <w:left w:val="none" w:sz="0" w:space="0" w:color="auto"/>
            <w:bottom w:val="none" w:sz="0" w:space="0" w:color="auto"/>
            <w:right w:val="none" w:sz="0" w:space="0" w:color="auto"/>
          </w:divBdr>
          <w:divsChild>
            <w:div w:id="42171037">
              <w:marLeft w:val="0"/>
              <w:marRight w:val="0"/>
              <w:marTop w:val="0"/>
              <w:marBottom w:val="0"/>
              <w:divBdr>
                <w:top w:val="none" w:sz="0" w:space="0" w:color="auto"/>
                <w:left w:val="none" w:sz="0" w:space="0" w:color="auto"/>
                <w:bottom w:val="none" w:sz="0" w:space="0" w:color="auto"/>
                <w:right w:val="none" w:sz="0" w:space="0" w:color="auto"/>
              </w:divBdr>
              <w:divsChild>
                <w:div w:id="21177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2807">
      <w:bodyDiv w:val="1"/>
      <w:marLeft w:val="0"/>
      <w:marRight w:val="0"/>
      <w:marTop w:val="0"/>
      <w:marBottom w:val="0"/>
      <w:divBdr>
        <w:top w:val="none" w:sz="0" w:space="0" w:color="auto"/>
        <w:left w:val="none" w:sz="0" w:space="0" w:color="auto"/>
        <w:bottom w:val="none" w:sz="0" w:space="0" w:color="auto"/>
        <w:right w:val="none" w:sz="0" w:space="0" w:color="auto"/>
      </w:divBdr>
      <w:divsChild>
        <w:div w:id="815613626">
          <w:marLeft w:val="0"/>
          <w:marRight w:val="0"/>
          <w:marTop w:val="0"/>
          <w:marBottom w:val="0"/>
          <w:divBdr>
            <w:top w:val="none" w:sz="0" w:space="0" w:color="auto"/>
            <w:left w:val="none" w:sz="0" w:space="0" w:color="auto"/>
            <w:bottom w:val="none" w:sz="0" w:space="0" w:color="auto"/>
            <w:right w:val="none" w:sz="0" w:space="0" w:color="auto"/>
          </w:divBdr>
          <w:divsChild>
            <w:div w:id="18499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31820">
      <w:bodyDiv w:val="1"/>
      <w:marLeft w:val="0"/>
      <w:marRight w:val="0"/>
      <w:marTop w:val="0"/>
      <w:marBottom w:val="0"/>
      <w:divBdr>
        <w:top w:val="none" w:sz="0" w:space="0" w:color="auto"/>
        <w:left w:val="none" w:sz="0" w:space="0" w:color="auto"/>
        <w:bottom w:val="none" w:sz="0" w:space="0" w:color="auto"/>
        <w:right w:val="none" w:sz="0" w:space="0" w:color="auto"/>
      </w:divBdr>
      <w:divsChild>
        <w:div w:id="268780985">
          <w:marLeft w:val="0"/>
          <w:marRight w:val="0"/>
          <w:marTop w:val="0"/>
          <w:marBottom w:val="0"/>
          <w:divBdr>
            <w:top w:val="none" w:sz="0" w:space="0" w:color="auto"/>
            <w:left w:val="none" w:sz="0" w:space="0" w:color="auto"/>
            <w:bottom w:val="none" w:sz="0" w:space="0" w:color="auto"/>
            <w:right w:val="none" w:sz="0" w:space="0" w:color="auto"/>
          </w:divBdr>
          <w:divsChild>
            <w:div w:id="2006279262">
              <w:marLeft w:val="0"/>
              <w:marRight w:val="0"/>
              <w:marTop w:val="0"/>
              <w:marBottom w:val="0"/>
              <w:divBdr>
                <w:top w:val="none" w:sz="0" w:space="0" w:color="auto"/>
                <w:left w:val="none" w:sz="0" w:space="0" w:color="auto"/>
                <w:bottom w:val="none" w:sz="0" w:space="0" w:color="auto"/>
                <w:right w:val="none" w:sz="0" w:space="0" w:color="auto"/>
              </w:divBdr>
              <w:divsChild>
                <w:div w:id="3394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53787">
      <w:bodyDiv w:val="1"/>
      <w:marLeft w:val="0"/>
      <w:marRight w:val="0"/>
      <w:marTop w:val="0"/>
      <w:marBottom w:val="0"/>
      <w:divBdr>
        <w:top w:val="none" w:sz="0" w:space="0" w:color="auto"/>
        <w:left w:val="none" w:sz="0" w:space="0" w:color="auto"/>
        <w:bottom w:val="none" w:sz="0" w:space="0" w:color="auto"/>
        <w:right w:val="none" w:sz="0" w:space="0" w:color="auto"/>
      </w:divBdr>
      <w:divsChild>
        <w:div w:id="1236430524">
          <w:marLeft w:val="0"/>
          <w:marRight w:val="0"/>
          <w:marTop w:val="0"/>
          <w:marBottom w:val="0"/>
          <w:divBdr>
            <w:top w:val="none" w:sz="0" w:space="0" w:color="auto"/>
            <w:left w:val="none" w:sz="0" w:space="0" w:color="auto"/>
            <w:bottom w:val="none" w:sz="0" w:space="0" w:color="auto"/>
            <w:right w:val="none" w:sz="0" w:space="0" w:color="auto"/>
          </w:divBdr>
        </w:div>
        <w:div w:id="1346059958">
          <w:marLeft w:val="0"/>
          <w:marRight w:val="0"/>
          <w:marTop w:val="0"/>
          <w:marBottom w:val="0"/>
          <w:divBdr>
            <w:top w:val="none" w:sz="0" w:space="0" w:color="auto"/>
            <w:left w:val="none" w:sz="0" w:space="0" w:color="auto"/>
            <w:bottom w:val="none" w:sz="0" w:space="0" w:color="auto"/>
            <w:right w:val="none" w:sz="0" w:space="0" w:color="auto"/>
          </w:divBdr>
        </w:div>
        <w:div w:id="1452475755">
          <w:marLeft w:val="0"/>
          <w:marRight w:val="0"/>
          <w:marTop w:val="0"/>
          <w:marBottom w:val="0"/>
          <w:divBdr>
            <w:top w:val="none" w:sz="0" w:space="0" w:color="auto"/>
            <w:left w:val="none" w:sz="0" w:space="0" w:color="auto"/>
            <w:bottom w:val="none" w:sz="0" w:space="0" w:color="auto"/>
            <w:right w:val="none" w:sz="0" w:space="0" w:color="auto"/>
          </w:divBdr>
        </w:div>
      </w:divsChild>
    </w:div>
    <w:div w:id="1729258801">
      <w:bodyDiv w:val="1"/>
      <w:marLeft w:val="0"/>
      <w:marRight w:val="0"/>
      <w:marTop w:val="0"/>
      <w:marBottom w:val="0"/>
      <w:divBdr>
        <w:top w:val="none" w:sz="0" w:space="0" w:color="auto"/>
        <w:left w:val="none" w:sz="0" w:space="0" w:color="auto"/>
        <w:bottom w:val="none" w:sz="0" w:space="0" w:color="auto"/>
        <w:right w:val="none" w:sz="0" w:space="0" w:color="auto"/>
      </w:divBdr>
      <w:divsChild>
        <w:div w:id="1751467559">
          <w:marLeft w:val="0"/>
          <w:marRight w:val="0"/>
          <w:marTop w:val="0"/>
          <w:marBottom w:val="0"/>
          <w:divBdr>
            <w:top w:val="none" w:sz="0" w:space="0" w:color="auto"/>
            <w:left w:val="none" w:sz="0" w:space="0" w:color="auto"/>
            <w:bottom w:val="none" w:sz="0" w:space="0" w:color="auto"/>
            <w:right w:val="none" w:sz="0" w:space="0" w:color="auto"/>
          </w:divBdr>
          <w:divsChild>
            <w:div w:id="323703189">
              <w:marLeft w:val="0"/>
              <w:marRight w:val="0"/>
              <w:marTop w:val="0"/>
              <w:marBottom w:val="0"/>
              <w:divBdr>
                <w:top w:val="none" w:sz="0" w:space="0" w:color="auto"/>
                <w:left w:val="none" w:sz="0" w:space="0" w:color="auto"/>
                <w:bottom w:val="none" w:sz="0" w:space="0" w:color="auto"/>
                <w:right w:val="none" w:sz="0" w:space="0" w:color="auto"/>
              </w:divBdr>
              <w:divsChild>
                <w:div w:id="15725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5460">
      <w:bodyDiv w:val="1"/>
      <w:marLeft w:val="0"/>
      <w:marRight w:val="0"/>
      <w:marTop w:val="0"/>
      <w:marBottom w:val="0"/>
      <w:divBdr>
        <w:top w:val="none" w:sz="0" w:space="0" w:color="auto"/>
        <w:left w:val="none" w:sz="0" w:space="0" w:color="auto"/>
        <w:bottom w:val="none" w:sz="0" w:space="0" w:color="auto"/>
        <w:right w:val="none" w:sz="0" w:space="0" w:color="auto"/>
      </w:divBdr>
      <w:divsChild>
        <w:div w:id="1191408901">
          <w:marLeft w:val="0"/>
          <w:marRight w:val="0"/>
          <w:marTop w:val="0"/>
          <w:marBottom w:val="0"/>
          <w:divBdr>
            <w:top w:val="none" w:sz="0" w:space="0" w:color="auto"/>
            <w:left w:val="none" w:sz="0" w:space="0" w:color="auto"/>
            <w:bottom w:val="none" w:sz="0" w:space="0" w:color="auto"/>
            <w:right w:val="none" w:sz="0" w:space="0" w:color="auto"/>
          </w:divBdr>
          <w:divsChild>
            <w:div w:id="1899782269">
              <w:marLeft w:val="0"/>
              <w:marRight w:val="0"/>
              <w:marTop w:val="0"/>
              <w:marBottom w:val="0"/>
              <w:divBdr>
                <w:top w:val="none" w:sz="0" w:space="0" w:color="auto"/>
                <w:left w:val="none" w:sz="0" w:space="0" w:color="auto"/>
                <w:bottom w:val="none" w:sz="0" w:space="0" w:color="auto"/>
                <w:right w:val="none" w:sz="0" w:space="0" w:color="auto"/>
              </w:divBdr>
              <w:divsChild>
                <w:div w:id="9508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1122">
      <w:bodyDiv w:val="1"/>
      <w:marLeft w:val="0"/>
      <w:marRight w:val="0"/>
      <w:marTop w:val="0"/>
      <w:marBottom w:val="0"/>
      <w:divBdr>
        <w:top w:val="none" w:sz="0" w:space="0" w:color="auto"/>
        <w:left w:val="none" w:sz="0" w:space="0" w:color="auto"/>
        <w:bottom w:val="none" w:sz="0" w:space="0" w:color="auto"/>
        <w:right w:val="none" w:sz="0" w:space="0" w:color="auto"/>
      </w:divBdr>
      <w:divsChild>
        <w:div w:id="1363702251">
          <w:marLeft w:val="0"/>
          <w:marRight w:val="0"/>
          <w:marTop w:val="0"/>
          <w:marBottom w:val="0"/>
          <w:divBdr>
            <w:top w:val="none" w:sz="0" w:space="0" w:color="auto"/>
            <w:left w:val="none" w:sz="0" w:space="0" w:color="auto"/>
            <w:bottom w:val="none" w:sz="0" w:space="0" w:color="auto"/>
            <w:right w:val="none" w:sz="0" w:space="0" w:color="auto"/>
          </w:divBdr>
          <w:divsChild>
            <w:div w:id="1156071837">
              <w:marLeft w:val="0"/>
              <w:marRight w:val="0"/>
              <w:marTop w:val="0"/>
              <w:marBottom w:val="0"/>
              <w:divBdr>
                <w:top w:val="none" w:sz="0" w:space="0" w:color="auto"/>
                <w:left w:val="none" w:sz="0" w:space="0" w:color="auto"/>
                <w:bottom w:val="none" w:sz="0" w:space="0" w:color="auto"/>
                <w:right w:val="none" w:sz="0" w:space="0" w:color="auto"/>
              </w:divBdr>
              <w:divsChild>
                <w:div w:id="18669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8268">
      <w:bodyDiv w:val="1"/>
      <w:marLeft w:val="0"/>
      <w:marRight w:val="0"/>
      <w:marTop w:val="0"/>
      <w:marBottom w:val="0"/>
      <w:divBdr>
        <w:top w:val="none" w:sz="0" w:space="0" w:color="auto"/>
        <w:left w:val="none" w:sz="0" w:space="0" w:color="auto"/>
        <w:bottom w:val="none" w:sz="0" w:space="0" w:color="auto"/>
        <w:right w:val="none" w:sz="0" w:space="0" w:color="auto"/>
      </w:divBdr>
      <w:divsChild>
        <w:div w:id="718550556">
          <w:marLeft w:val="0"/>
          <w:marRight w:val="0"/>
          <w:marTop w:val="0"/>
          <w:marBottom w:val="0"/>
          <w:divBdr>
            <w:top w:val="none" w:sz="0" w:space="0" w:color="auto"/>
            <w:left w:val="none" w:sz="0" w:space="0" w:color="auto"/>
            <w:bottom w:val="none" w:sz="0" w:space="0" w:color="auto"/>
            <w:right w:val="none" w:sz="0" w:space="0" w:color="auto"/>
          </w:divBdr>
          <w:divsChild>
            <w:div w:id="268391484">
              <w:marLeft w:val="0"/>
              <w:marRight w:val="0"/>
              <w:marTop w:val="0"/>
              <w:marBottom w:val="0"/>
              <w:divBdr>
                <w:top w:val="none" w:sz="0" w:space="0" w:color="auto"/>
                <w:left w:val="none" w:sz="0" w:space="0" w:color="auto"/>
                <w:bottom w:val="none" w:sz="0" w:space="0" w:color="auto"/>
                <w:right w:val="none" w:sz="0" w:space="0" w:color="auto"/>
              </w:divBdr>
              <w:divsChild>
                <w:div w:id="12813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8580">
      <w:bodyDiv w:val="1"/>
      <w:marLeft w:val="0"/>
      <w:marRight w:val="0"/>
      <w:marTop w:val="0"/>
      <w:marBottom w:val="0"/>
      <w:divBdr>
        <w:top w:val="none" w:sz="0" w:space="0" w:color="auto"/>
        <w:left w:val="none" w:sz="0" w:space="0" w:color="auto"/>
        <w:bottom w:val="none" w:sz="0" w:space="0" w:color="auto"/>
        <w:right w:val="none" w:sz="0" w:space="0" w:color="auto"/>
      </w:divBdr>
      <w:divsChild>
        <w:div w:id="418137492">
          <w:marLeft w:val="0"/>
          <w:marRight w:val="0"/>
          <w:marTop w:val="0"/>
          <w:marBottom w:val="0"/>
          <w:divBdr>
            <w:top w:val="none" w:sz="0" w:space="0" w:color="auto"/>
            <w:left w:val="none" w:sz="0" w:space="0" w:color="auto"/>
            <w:bottom w:val="none" w:sz="0" w:space="0" w:color="auto"/>
            <w:right w:val="none" w:sz="0" w:space="0" w:color="auto"/>
          </w:divBdr>
          <w:divsChild>
            <w:div w:id="1465000072">
              <w:marLeft w:val="0"/>
              <w:marRight w:val="0"/>
              <w:marTop w:val="0"/>
              <w:marBottom w:val="0"/>
              <w:divBdr>
                <w:top w:val="none" w:sz="0" w:space="0" w:color="auto"/>
                <w:left w:val="none" w:sz="0" w:space="0" w:color="auto"/>
                <w:bottom w:val="none" w:sz="0" w:space="0" w:color="auto"/>
                <w:right w:val="none" w:sz="0" w:space="0" w:color="auto"/>
              </w:divBdr>
              <w:divsChild>
                <w:div w:id="2913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3339">
      <w:bodyDiv w:val="1"/>
      <w:marLeft w:val="0"/>
      <w:marRight w:val="0"/>
      <w:marTop w:val="0"/>
      <w:marBottom w:val="0"/>
      <w:divBdr>
        <w:top w:val="none" w:sz="0" w:space="0" w:color="auto"/>
        <w:left w:val="none" w:sz="0" w:space="0" w:color="auto"/>
        <w:bottom w:val="none" w:sz="0" w:space="0" w:color="auto"/>
        <w:right w:val="none" w:sz="0" w:space="0" w:color="auto"/>
      </w:divBdr>
      <w:divsChild>
        <w:div w:id="1471897780">
          <w:marLeft w:val="0"/>
          <w:marRight w:val="0"/>
          <w:marTop w:val="0"/>
          <w:marBottom w:val="0"/>
          <w:divBdr>
            <w:top w:val="none" w:sz="0" w:space="0" w:color="auto"/>
            <w:left w:val="none" w:sz="0" w:space="0" w:color="auto"/>
            <w:bottom w:val="none" w:sz="0" w:space="0" w:color="auto"/>
            <w:right w:val="none" w:sz="0" w:space="0" w:color="auto"/>
          </w:divBdr>
          <w:divsChild>
            <w:div w:id="345134302">
              <w:marLeft w:val="0"/>
              <w:marRight w:val="0"/>
              <w:marTop w:val="0"/>
              <w:marBottom w:val="0"/>
              <w:divBdr>
                <w:top w:val="none" w:sz="0" w:space="0" w:color="auto"/>
                <w:left w:val="none" w:sz="0" w:space="0" w:color="auto"/>
                <w:bottom w:val="none" w:sz="0" w:space="0" w:color="auto"/>
                <w:right w:val="none" w:sz="0" w:space="0" w:color="auto"/>
              </w:divBdr>
              <w:divsChild>
                <w:div w:id="1440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8164">
      <w:bodyDiv w:val="1"/>
      <w:marLeft w:val="0"/>
      <w:marRight w:val="0"/>
      <w:marTop w:val="0"/>
      <w:marBottom w:val="0"/>
      <w:divBdr>
        <w:top w:val="none" w:sz="0" w:space="0" w:color="auto"/>
        <w:left w:val="none" w:sz="0" w:space="0" w:color="auto"/>
        <w:bottom w:val="none" w:sz="0" w:space="0" w:color="auto"/>
        <w:right w:val="none" w:sz="0" w:space="0" w:color="auto"/>
      </w:divBdr>
      <w:divsChild>
        <w:div w:id="131095888">
          <w:marLeft w:val="0"/>
          <w:marRight w:val="0"/>
          <w:marTop w:val="0"/>
          <w:marBottom w:val="0"/>
          <w:divBdr>
            <w:top w:val="none" w:sz="0" w:space="0" w:color="auto"/>
            <w:left w:val="none" w:sz="0" w:space="0" w:color="auto"/>
            <w:bottom w:val="none" w:sz="0" w:space="0" w:color="auto"/>
            <w:right w:val="none" w:sz="0" w:space="0" w:color="auto"/>
          </w:divBdr>
          <w:divsChild>
            <w:div w:id="1385563437">
              <w:marLeft w:val="0"/>
              <w:marRight w:val="0"/>
              <w:marTop w:val="0"/>
              <w:marBottom w:val="0"/>
              <w:divBdr>
                <w:top w:val="none" w:sz="0" w:space="0" w:color="auto"/>
                <w:left w:val="none" w:sz="0" w:space="0" w:color="auto"/>
                <w:bottom w:val="none" w:sz="0" w:space="0" w:color="auto"/>
                <w:right w:val="none" w:sz="0" w:space="0" w:color="auto"/>
              </w:divBdr>
              <w:divsChild>
                <w:div w:id="14848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25586">
      <w:bodyDiv w:val="1"/>
      <w:marLeft w:val="0"/>
      <w:marRight w:val="0"/>
      <w:marTop w:val="0"/>
      <w:marBottom w:val="0"/>
      <w:divBdr>
        <w:top w:val="none" w:sz="0" w:space="0" w:color="auto"/>
        <w:left w:val="none" w:sz="0" w:space="0" w:color="auto"/>
        <w:bottom w:val="none" w:sz="0" w:space="0" w:color="auto"/>
        <w:right w:val="none" w:sz="0" w:space="0" w:color="auto"/>
      </w:divBdr>
      <w:divsChild>
        <w:div w:id="445855234">
          <w:marLeft w:val="0"/>
          <w:marRight w:val="0"/>
          <w:marTop w:val="0"/>
          <w:marBottom w:val="0"/>
          <w:divBdr>
            <w:top w:val="none" w:sz="0" w:space="0" w:color="auto"/>
            <w:left w:val="none" w:sz="0" w:space="0" w:color="auto"/>
            <w:bottom w:val="none" w:sz="0" w:space="0" w:color="auto"/>
            <w:right w:val="none" w:sz="0" w:space="0" w:color="auto"/>
          </w:divBdr>
          <w:divsChild>
            <w:div w:id="1358047652">
              <w:marLeft w:val="0"/>
              <w:marRight w:val="0"/>
              <w:marTop w:val="0"/>
              <w:marBottom w:val="0"/>
              <w:divBdr>
                <w:top w:val="none" w:sz="0" w:space="0" w:color="auto"/>
                <w:left w:val="none" w:sz="0" w:space="0" w:color="auto"/>
                <w:bottom w:val="none" w:sz="0" w:space="0" w:color="auto"/>
                <w:right w:val="none" w:sz="0" w:space="0" w:color="auto"/>
              </w:divBdr>
              <w:divsChild>
                <w:div w:id="9192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5439">
      <w:bodyDiv w:val="1"/>
      <w:marLeft w:val="0"/>
      <w:marRight w:val="0"/>
      <w:marTop w:val="0"/>
      <w:marBottom w:val="0"/>
      <w:divBdr>
        <w:top w:val="none" w:sz="0" w:space="0" w:color="auto"/>
        <w:left w:val="none" w:sz="0" w:space="0" w:color="auto"/>
        <w:bottom w:val="none" w:sz="0" w:space="0" w:color="auto"/>
        <w:right w:val="none" w:sz="0" w:space="0" w:color="auto"/>
      </w:divBdr>
      <w:divsChild>
        <w:div w:id="939993958">
          <w:marLeft w:val="0"/>
          <w:marRight w:val="0"/>
          <w:marTop w:val="0"/>
          <w:marBottom w:val="0"/>
          <w:divBdr>
            <w:top w:val="none" w:sz="0" w:space="0" w:color="auto"/>
            <w:left w:val="none" w:sz="0" w:space="0" w:color="auto"/>
            <w:bottom w:val="none" w:sz="0" w:space="0" w:color="auto"/>
            <w:right w:val="none" w:sz="0" w:space="0" w:color="auto"/>
          </w:divBdr>
          <w:divsChild>
            <w:div w:id="122697813">
              <w:marLeft w:val="0"/>
              <w:marRight w:val="0"/>
              <w:marTop w:val="0"/>
              <w:marBottom w:val="0"/>
              <w:divBdr>
                <w:top w:val="none" w:sz="0" w:space="0" w:color="auto"/>
                <w:left w:val="none" w:sz="0" w:space="0" w:color="auto"/>
                <w:bottom w:val="none" w:sz="0" w:space="0" w:color="auto"/>
                <w:right w:val="none" w:sz="0" w:space="0" w:color="auto"/>
              </w:divBdr>
              <w:divsChild>
                <w:div w:id="16105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1691">
      <w:bodyDiv w:val="1"/>
      <w:marLeft w:val="0"/>
      <w:marRight w:val="0"/>
      <w:marTop w:val="0"/>
      <w:marBottom w:val="0"/>
      <w:divBdr>
        <w:top w:val="none" w:sz="0" w:space="0" w:color="auto"/>
        <w:left w:val="none" w:sz="0" w:space="0" w:color="auto"/>
        <w:bottom w:val="none" w:sz="0" w:space="0" w:color="auto"/>
        <w:right w:val="none" w:sz="0" w:space="0" w:color="auto"/>
      </w:divBdr>
      <w:divsChild>
        <w:div w:id="901326203">
          <w:marLeft w:val="0"/>
          <w:marRight w:val="0"/>
          <w:marTop w:val="0"/>
          <w:marBottom w:val="0"/>
          <w:divBdr>
            <w:top w:val="none" w:sz="0" w:space="0" w:color="auto"/>
            <w:left w:val="none" w:sz="0" w:space="0" w:color="auto"/>
            <w:bottom w:val="none" w:sz="0" w:space="0" w:color="auto"/>
            <w:right w:val="none" w:sz="0" w:space="0" w:color="auto"/>
          </w:divBdr>
          <w:divsChild>
            <w:div w:id="441803671">
              <w:marLeft w:val="0"/>
              <w:marRight w:val="0"/>
              <w:marTop w:val="0"/>
              <w:marBottom w:val="0"/>
              <w:divBdr>
                <w:top w:val="none" w:sz="0" w:space="0" w:color="auto"/>
                <w:left w:val="none" w:sz="0" w:space="0" w:color="auto"/>
                <w:bottom w:val="none" w:sz="0" w:space="0" w:color="auto"/>
                <w:right w:val="none" w:sz="0" w:space="0" w:color="auto"/>
              </w:divBdr>
              <w:divsChild>
                <w:div w:id="4169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8843">
      <w:bodyDiv w:val="1"/>
      <w:marLeft w:val="0"/>
      <w:marRight w:val="0"/>
      <w:marTop w:val="0"/>
      <w:marBottom w:val="0"/>
      <w:divBdr>
        <w:top w:val="none" w:sz="0" w:space="0" w:color="auto"/>
        <w:left w:val="none" w:sz="0" w:space="0" w:color="auto"/>
        <w:bottom w:val="none" w:sz="0" w:space="0" w:color="auto"/>
        <w:right w:val="none" w:sz="0" w:space="0" w:color="auto"/>
      </w:divBdr>
      <w:divsChild>
        <w:div w:id="1053699662">
          <w:marLeft w:val="0"/>
          <w:marRight w:val="0"/>
          <w:marTop w:val="0"/>
          <w:marBottom w:val="0"/>
          <w:divBdr>
            <w:top w:val="none" w:sz="0" w:space="0" w:color="auto"/>
            <w:left w:val="none" w:sz="0" w:space="0" w:color="auto"/>
            <w:bottom w:val="none" w:sz="0" w:space="0" w:color="auto"/>
            <w:right w:val="none" w:sz="0" w:space="0" w:color="auto"/>
          </w:divBdr>
          <w:divsChild>
            <w:div w:id="1762751801">
              <w:marLeft w:val="0"/>
              <w:marRight w:val="0"/>
              <w:marTop w:val="0"/>
              <w:marBottom w:val="0"/>
              <w:divBdr>
                <w:top w:val="none" w:sz="0" w:space="0" w:color="auto"/>
                <w:left w:val="none" w:sz="0" w:space="0" w:color="auto"/>
                <w:bottom w:val="none" w:sz="0" w:space="0" w:color="auto"/>
                <w:right w:val="none" w:sz="0" w:space="0" w:color="auto"/>
              </w:divBdr>
              <w:divsChild>
                <w:div w:id="6870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8216">
      <w:bodyDiv w:val="1"/>
      <w:marLeft w:val="0"/>
      <w:marRight w:val="0"/>
      <w:marTop w:val="0"/>
      <w:marBottom w:val="0"/>
      <w:divBdr>
        <w:top w:val="none" w:sz="0" w:space="0" w:color="auto"/>
        <w:left w:val="none" w:sz="0" w:space="0" w:color="auto"/>
        <w:bottom w:val="none" w:sz="0" w:space="0" w:color="auto"/>
        <w:right w:val="none" w:sz="0" w:space="0" w:color="auto"/>
      </w:divBdr>
      <w:divsChild>
        <w:div w:id="924530238">
          <w:marLeft w:val="0"/>
          <w:marRight w:val="0"/>
          <w:marTop w:val="0"/>
          <w:marBottom w:val="0"/>
          <w:divBdr>
            <w:top w:val="none" w:sz="0" w:space="0" w:color="auto"/>
            <w:left w:val="none" w:sz="0" w:space="0" w:color="auto"/>
            <w:bottom w:val="none" w:sz="0" w:space="0" w:color="auto"/>
            <w:right w:val="none" w:sz="0" w:space="0" w:color="auto"/>
          </w:divBdr>
          <w:divsChild>
            <w:div w:id="1892109706">
              <w:marLeft w:val="0"/>
              <w:marRight w:val="0"/>
              <w:marTop w:val="0"/>
              <w:marBottom w:val="0"/>
              <w:divBdr>
                <w:top w:val="none" w:sz="0" w:space="0" w:color="auto"/>
                <w:left w:val="none" w:sz="0" w:space="0" w:color="auto"/>
                <w:bottom w:val="none" w:sz="0" w:space="0" w:color="auto"/>
                <w:right w:val="none" w:sz="0" w:space="0" w:color="auto"/>
              </w:divBdr>
              <w:divsChild>
                <w:div w:id="19155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52278">
      <w:bodyDiv w:val="1"/>
      <w:marLeft w:val="0"/>
      <w:marRight w:val="0"/>
      <w:marTop w:val="0"/>
      <w:marBottom w:val="0"/>
      <w:divBdr>
        <w:top w:val="none" w:sz="0" w:space="0" w:color="auto"/>
        <w:left w:val="none" w:sz="0" w:space="0" w:color="auto"/>
        <w:bottom w:val="none" w:sz="0" w:space="0" w:color="auto"/>
        <w:right w:val="none" w:sz="0" w:space="0" w:color="auto"/>
      </w:divBdr>
      <w:divsChild>
        <w:div w:id="1155803235">
          <w:marLeft w:val="0"/>
          <w:marRight w:val="0"/>
          <w:marTop w:val="0"/>
          <w:marBottom w:val="0"/>
          <w:divBdr>
            <w:top w:val="none" w:sz="0" w:space="0" w:color="auto"/>
            <w:left w:val="none" w:sz="0" w:space="0" w:color="auto"/>
            <w:bottom w:val="none" w:sz="0" w:space="0" w:color="auto"/>
            <w:right w:val="none" w:sz="0" w:space="0" w:color="auto"/>
          </w:divBdr>
          <w:divsChild>
            <w:div w:id="617832503">
              <w:marLeft w:val="0"/>
              <w:marRight w:val="0"/>
              <w:marTop w:val="0"/>
              <w:marBottom w:val="0"/>
              <w:divBdr>
                <w:top w:val="none" w:sz="0" w:space="0" w:color="auto"/>
                <w:left w:val="none" w:sz="0" w:space="0" w:color="auto"/>
                <w:bottom w:val="none" w:sz="0" w:space="0" w:color="auto"/>
                <w:right w:val="none" w:sz="0" w:space="0" w:color="auto"/>
              </w:divBdr>
              <w:divsChild>
                <w:div w:id="12022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B2636-625B-4A1A-B597-D171CEEA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8694</Words>
  <Characters>46152</Characters>
  <Application>Microsoft Office Word</Application>
  <DocSecurity>0</DocSecurity>
  <Lines>856</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2024-05-22T19:50:00Z</dcterms:created>
  <dcterms:modified xsi:type="dcterms:W3CDTF">2024-05-22T19:50:00Z</dcterms:modified>
  <cp:category/>
</cp:coreProperties>
</file>