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6842" w14:textId="77777777" w:rsidR="00837317" w:rsidRDefault="007742F5" w:rsidP="00837317">
      <w:pPr>
        <w:spacing w:after="0"/>
        <w:jc w:val="center"/>
        <w:rPr>
          <w:sz w:val="36"/>
        </w:rPr>
      </w:pPr>
      <w:r>
        <w:rPr>
          <w:b/>
          <w:sz w:val="36"/>
        </w:rPr>
        <w:t>IN THE SUPREME COURT OF CALIFORNIA</w:t>
      </w:r>
    </w:p>
    <w:p w14:paraId="53FB6843" w14:textId="77777777" w:rsidR="00837317" w:rsidRDefault="00837317" w:rsidP="00837317">
      <w:pPr>
        <w:spacing w:after="0"/>
        <w:jc w:val="center"/>
      </w:pPr>
    </w:p>
    <w:p w14:paraId="53FB6844" w14:textId="77777777" w:rsidR="00837317" w:rsidRDefault="007742F5" w:rsidP="00837317">
      <w:pPr>
        <w:spacing w:after="0"/>
        <w:jc w:val="center"/>
      </w:pPr>
      <w:r>
        <w:t>JORGE LUIS ESTRADA et al.,</w:t>
      </w:r>
    </w:p>
    <w:p w14:paraId="53FB6845" w14:textId="77777777" w:rsidR="00837317" w:rsidRDefault="007742F5" w:rsidP="00837317">
      <w:pPr>
        <w:spacing w:after="0"/>
        <w:jc w:val="center"/>
      </w:pPr>
      <w:r>
        <w:t>Plaintiffs and Appellants,</w:t>
      </w:r>
    </w:p>
    <w:p w14:paraId="53FB6846" w14:textId="77777777" w:rsidR="00837317" w:rsidRDefault="007742F5" w:rsidP="00837317">
      <w:pPr>
        <w:spacing w:after="0"/>
        <w:jc w:val="center"/>
      </w:pPr>
      <w:r>
        <w:t>v.</w:t>
      </w:r>
    </w:p>
    <w:p w14:paraId="53FB6847" w14:textId="77777777" w:rsidR="00837317" w:rsidRDefault="007742F5" w:rsidP="00837317">
      <w:pPr>
        <w:spacing w:after="0"/>
        <w:jc w:val="center"/>
      </w:pPr>
      <w:r>
        <w:t>ROYALTY CARPET MILLS, INC.,</w:t>
      </w:r>
    </w:p>
    <w:p w14:paraId="53FB6848" w14:textId="77777777" w:rsidR="00837317" w:rsidRDefault="007742F5" w:rsidP="00837317">
      <w:pPr>
        <w:spacing w:after="0"/>
        <w:jc w:val="center"/>
      </w:pPr>
      <w:r>
        <w:t>Defendant and Appellant.</w:t>
      </w:r>
    </w:p>
    <w:p w14:paraId="53FB6849" w14:textId="77777777" w:rsidR="00837317" w:rsidRDefault="00837317" w:rsidP="00837317">
      <w:pPr>
        <w:spacing w:after="0"/>
        <w:jc w:val="center"/>
      </w:pPr>
    </w:p>
    <w:p w14:paraId="53FB684A" w14:textId="77777777" w:rsidR="00837317" w:rsidRDefault="007742F5" w:rsidP="00837317">
      <w:pPr>
        <w:spacing w:after="0"/>
        <w:jc w:val="center"/>
      </w:pPr>
      <w:r>
        <w:t>S274340</w:t>
      </w:r>
    </w:p>
    <w:p w14:paraId="53FB684B" w14:textId="77777777" w:rsidR="00837317" w:rsidRDefault="00837317" w:rsidP="00837317">
      <w:pPr>
        <w:spacing w:after="0"/>
        <w:jc w:val="center"/>
      </w:pPr>
    </w:p>
    <w:p w14:paraId="53FB684C" w14:textId="77777777" w:rsidR="00837317" w:rsidRDefault="007742F5" w:rsidP="00837317">
      <w:pPr>
        <w:spacing w:after="0"/>
        <w:jc w:val="center"/>
      </w:pPr>
      <w:r>
        <w:t>Fourth Appellate District, Division Three</w:t>
      </w:r>
    </w:p>
    <w:p w14:paraId="53FB684D" w14:textId="77777777" w:rsidR="00837317" w:rsidRDefault="007742F5" w:rsidP="00837317">
      <w:pPr>
        <w:spacing w:after="0"/>
        <w:jc w:val="center"/>
      </w:pPr>
      <w:r>
        <w:t>G058397, G058969</w:t>
      </w:r>
    </w:p>
    <w:p w14:paraId="53FB684E" w14:textId="77777777" w:rsidR="00837317" w:rsidRDefault="00837317" w:rsidP="00837317">
      <w:pPr>
        <w:spacing w:after="0"/>
        <w:jc w:val="center"/>
      </w:pPr>
    </w:p>
    <w:p w14:paraId="53FB684F" w14:textId="77777777" w:rsidR="00837317" w:rsidRDefault="007742F5" w:rsidP="00837317">
      <w:pPr>
        <w:spacing w:after="0"/>
        <w:jc w:val="center"/>
      </w:pPr>
      <w:r>
        <w:t>Orange County Superior Court</w:t>
      </w:r>
    </w:p>
    <w:p w14:paraId="53FB6850" w14:textId="77777777" w:rsidR="00837317" w:rsidRDefault="007742F5" w:rsidP="00837317">
      <w:pPr>
        <w:pBdr>
          <w:bottom w:val="single" w:sz="4" w:space="1" w:color="auto"/>
        </w:pBdr>
        <w:spacing w:after="0"/>
        <w:jc w:val="center"/>
      </w:pPr>
      <w:r>
        <w:t>30-2013-00692890</w:t>
      </w:r>
    </w:p>
    <w:p w14:paraId="53FB6851" w14:textId="77777777" w:rsidR="00837317" w:rsidRDefault="00837317" w:rsidP="00837317">
      <w:pPr>
        <w:pBdr>
          <w:bottom w:val="single" w:sz="4" w:space="1" w:color="auto"/>
        </w:pBdr>
        <w:spacing w:after="0"/>
        <w:jc w:val="center"/>
      </w:pPr>
    </w:p>
    <w:p w14:paraId="53FB6852" w14:textId="77777777" w:rsidR="00837317" w:rsidRDefault="00837317" w:rsidP="00837317">
      <w:pPr>
        <w:spacing w:after="0"/>
        <w:jc w:val="center"/>
      </w:pPr>
    </w:p>
    <w:p w14:paraId="53FB6853" w14:textId="77777777" w:rsidR="00837317" w:rsidRDefault="007742F5" w:rsidP="00837317">
      <w:pPr>
        <w:spacing w:after="0"/>
        <w:jc w:val="center"/>
      </w:pPr>
      <w:r>
        <w:t>January 18, 2024</w:t>
      </w:r>
    </w:p>
    <w:p w14:paraId="53FB6854" w14:textId="77777777" w:rsidR="00837317" w:rsidRDefault="00837317" w:rsidP="00837317">
      <w:pPr>
        <w:spacing w:after="0"/>
        <w:jc w:val="center"/>
      </w:pPr>
    </w:p>
    <w:p w14:paraId="53FB6855" w14:textId="77777777" w:rsidR="00837317" w:rsidRDefault="007742F5" w:rsidP="00837317">
      <w:pPr>
        <w:spacing w:after="0"/>
        <w:jc w:val="left"/>
      </w:pPr>
      <w:r>
        <w:t xml:space="preserve">Chief Justice Guerrero authored the opinion of the Court, in which </w:t>
      </w:r>
      <w:r w:rsidR="0025025C">
        <w:t xml:space="preserve">Justices Corrigan, Liu, Kruger, Groban, Jenkins, and Evans </w:t>
      </w:r>
      <w:r>
        <w:t>concurred.</w:t>
      </w:r>
    </w:p>
    <w:p w14:paraId="53FB6857" w14:textId="77777777" w:rsidR="00837317" w:rsidRDefault="00837317" w:rsidP="00837317">
      <w:pPr>
        <w:pBdr>
          <w:bottom w:val="single" w:sz="4" w:space="1" w:color="auto"/>
        </w:pBdr>
        <w:spacing w:after="0"/>
        <w:jc w:val="left"/>
      </w:pPr>
    </w:p>
    <w:p w14:paraId="53FB6858" w14:textId="77777777" w:rsidR="00837317" w:rsidRPr="00837317" w:rsidRDefault="00837317" w:rsidP="00837317">
      <w:pPr>
        <w:pBdr>
          <w:bottom w:val="single" w:sz="4" w:space="1" w:color="auto"/>
        </w:pBdr>
        <w:jc w:val="left"/>
        <w:sectPr w:rsidR="00837317" w:rsidRPr="00837317" w:rsidSect="00837317">
          <w:headerReference w:type="default" r:id="rId11"/>
          <w:footerReference w:type="default" r:id="rId12"/>
          <w:pgSz w:w="12240" w:h="15840"/>
          <w:pgMar w:top="1800" w:right="2160" w:bottom="1440" w:left="2160" w:header="720" w:footer="720" w:gutter="0"/>
          <w:cols w:space="720"/>
          <w:titlePg/>
          <w:docGrid w:linePitch="367"/>
        </w:sectPr>
      </w:pPr>
      <w:bookmarkStart w:id="0" w:name="Return"/>
      <w:bookmarkEnd w:id="0"/>
    </w:p>
    <w:p w14:paraId="53FB6859" w14:textId="77777777" w:rsidR="00837317" w:rsidRDefault="007742F5" w:rsidP="00837317">
      <w:pPr>
        <w:jc w:val="center"/>
      </w:pPr>
      <w:r>
        <w:lastRenderedPageBreak/>
        <w:t>ESTRADA v. ROYALTY CARPET MILLS, INC.</w:t>
      </w:r>
    </w:p>
    <w:p w14:paraId="53FB685A" w14:textId="77777777" w:rsidR="00837317" w:rsidRDefault="007742F5" w:rsidP="00837317">
      <w:pPr>
        <w:jc w:val="center"/>
      </w:pPr>
      <w:r>
        <w:t>S274340</w:t>
      </w:r>
    </w:p>
    <w:p w14:paraId="53FB685B" w14:textId="77777777" w:rsidR="00837317" w:rsidRDefault="00837317" w:rsidP="00837317">
      <w:pPr>
        <w:jc w:val="center"/>
      </w:pPr>
    </w:p>
    <w:p w14:paraId="53FB685C" w14:textId="77777777" w:rsidR="00837317" w:rsidRDefault="007742F5" w:rsidP="00837317">
      <w:pPr>
        <w:jc w:val="center"/>
      </w:pPr>
      <w:r>
        <w:t>Opinion of the Court by Guerrero, C. J.</w:t>
      </w:r>
    </w:p>
    <w:p w14:paraId="53FB685D" w14:textId="77777777" w:rsidR="00837317" w:rsidRPr="00837317" w:rsidRDefault="00837317" w:rsidP="00837317">
      <w:pPr>
        <w:jc w:val="center"/>
      </w:pPr>
    </w:p>
    <w:p w14:paraId="53FB685E" w14:textId="77777777" w:rsidR="00AD3E3A" w:rsidRPr="00837317" w:rsidRDefault="007742F5" w:rsidP="005727B0">
      <w:pPr>
        <w:ind w:firstLine="720"/>
      </w:pPr>
      <w:r w:rsidRPr="00837317">
        <w:t>The Courts of Appeal have reached contrary conclusions</w:t>
      </w:r>
      <w:r w:rsidR="006E4ED6" w:rsidRPr="00837317">
        <w:t xml:space="preserve"> as to whether trial courts </w:t>
      </w:r>
      <w:r w:rsidR="004A78E3" w:rsidRPr="00837317">
        <w:t xml:space="preserve">have the </w:t>
      </w:r>
      <w:r w:rsidR="006944EB" w:rsidRPr="00837317">
        <w:t xml:space="preserve">inherent </w:t>
      </w:r>
      <w:r w:rsidR="004A78E3" w:rsidRPr="00837317">
        <w:t>authority to strike</w:t>
      </w:r>
      <w:r>
        <w:rPr>
          <w:rStyle w:val="FootnoteReference"/>
        </w:rPr>
        <w:footnoteReference w:id="2"/>
      </w:r>
      <w:r w:rsidR="004A78E3" w:rsidRPr="00837317">
        <w:t xml:space="preserve"> a </w:t>
      </w:r>
      <w:r w:rsidR="005825AB" w:rsidRPr="00837317">
        <w:t>Labor Code Private Attorneys General Act of 2004 (PAGA; Lab. Code, § 2698 et seq.)</w:t>
      </w:r>
      <w:r>
        <w:rPr>
          <w:rStyle w:val="FootnoteReference"/>
        </w:rPr>
        <w:footnoteReference w:id="3"/>
      </w:r>
      <w:r w:rsidR="005825AB" w:rsidRPr="00837317">
        <w:t xml:space="preserve"> </w:t>
      </w:r>
      <w:r w:rsidR="004A78E3" w:rsidRPr="00837317">
        <w:t>claim on manageability grounds</w:t>
      </w:r>
      <w:r w:rsidRPr="00837317">
        <w:t xml:space="preserve">.  (Compare </w:t>
      </w:r>
      <w:bookmarkStart w:id="1" w:name="dabmci_bf2d6b4c2a624c14a8582305e499a865"/>
      <w:r w:rsidRPr="00837317">
        <w:rPr>
          <w:i/>
          <w:iCs/>
        </w:rPr>
        <w:t>Estrada v. Royalty Carpet Mills, Inc.</w:t>
      </w:r>
      <w:r w:rsidRPr="00837317">
        <w:t xml:space="preserve"> (2022) 76</w:t>
      </w:r>
      <w:r w:rsidR="00FE2173" w:rsidRPr="00837317">
        <w:t> </w:t>
      </w:r>
      <w:r w:rsidRPr="00837317">
        <w:t>Cal.App.5th 685, 697 (</w:t>
      </w:r>
      <w:r w:rsidRPr="00837317">
        <w:rPr>
          <w:i/>
          <w:iCs/>
        </w:rPr>
        <w:t>Estrada</w:t>
      </w:r>
      <w:r w:rsidRPr="00837317">
        <w:t>)</w:t>
      </w:r>
      <w:bookmarkEnd w:id="1"/>
      <w:r w:rsidR="00371420" w:rsidRPr="00837317">
        <w:t xml:space="preserve"> [</w:t>
      </w:r>
      <w:r w:rsidR="000E30EE" w:rsidRPr="00837317">
        <w:t xml:space="preserve">concluding </w:t>
      </w:r>
      <w:r w:rsidR="00C00B84">
        <w:t xml:space="preserve">that </w:t>
      </w:r>
      <w:r w:rsidR="000E30EE" w:rsidRPr="00837317">
        <w:t>trial courts lack such inherent authority</w:t>
      </w:r>
      <w:r w:rsidR="00371420" w:rsidRPr="00837317">
        <w:t xml:space="preserve">] </w:t>
      </w:r>
      <w:r w:rsidRPr="00837317">
        <w:t xml:space="preserve">with </w:t>
      </w:r>
      <w:bookmarkStart w:id="2" w:name="dabmci_3709d1ea3cd343b584e77b3bb41f860f"/>
      <w:r w:rsidRPr="00837317">
        <w:rPr>
          <w:i/>
          <w:iCs/>
        </w:rPr>
        <w:t>Wesson v. Staples the Office Superstore, LLC</w:t>
      </w:r>
      <w:r w:rsidRPr="00837317">
        <w:t xml:space="preserve"> (2021) 68</w:t>
      </w:r>
      <w:r w:rsidR="001B7E2B" w:rsidRPr="00837317">
        <w:t> </w:t>
      </w:r>
      <w:r w:rsidRPr="00837317">
        <w:t>Cal.App.5th 746, 766–767 (</w:t>
      </w:r>
      <w:r w:rsidRPr="00837317">
        <w:rPr>
          <w:i/>
          <w:iCs/>
        </w:rPr>
        <w:t>Wesson</w:t>
      </w:r>
      <w:r w:rsidR="00DA0348" w:rsidRPr="00837317">
        <w:t>)</w:t>
      </w:r>
      <w:bookmarkEnd w:id="2"/>
      <w:r w:rsidR="00DA0348" w:rsidRPr="00837317">
        <w:t xml:space="preserve"> [</w:t>
      </w:r>
      <w:r w:rsidR="000E30EE" w:rsidRPr="00837317">
        <w:t xml:space="preserve">concluding that </w:t>
      </w:r>
      <w:r w:rsidR="00E36CEC" w:rsidRPr="00837317">
        <w:t>trial courts possess such inherent authority</w:t>
      </w:r>
      <w:r w:rsidR="00DD7FE0" w:rsidRPr="00837317">
        <w:t>]</w:t>
      </w:r>
      <w:r w:rsidR="001167A8" w:rsidRPr="00837317">
        <w:t>; see also</w:t>
      </w:r>
      <w:r w:rsidR="004736A1" w:rsidRPr="00837317">
        <w:rPr>
          <w:i/>
          <w:iCs/>
        </w:rPr>
        <w:t xml:space="preserve"> </w:t>
      </w:r>
      <w:bookmarkStart w:id="3" w:name="dabmci_efeba413f76444709dc593459a38278d"/>
      <w:r w:rsidR="004736A1" w:rsidRPr="00837317">
        <w:rPr>
          <w:i/>
          <w:iCs/>
        </w:rPr>
        <w:t>Woodworth v. Loma Linda University Medical Center</w:t>
      </w:r>
      <w:r w:rsidR="004736A1" w:rsidRPr="00837317">
        <w:t xml:space="preserve"> (2023) 93 Cal.App.5th 1038, 1047</w:t>
      </w:r>
      <w:bookmarkEnd w:id="3"/>
      <w:r w:rsidR="00A00E18">
        <w:t>,</w:t>
      </w:r>
      <w:r w:rsidR="002375D4" w:rsidRPr="00837317">
        <w:t xml:space="preserve"> rev</w:t>
      </w:r>
      <w:r w:rsidR="0073288A" w:rsidRPr="00837317">
        <w:t>iew</w:t>
      </w:r>
      <w:r w:rsidR="002375D4" w:rsidRPr="00837317">
        <w:t xml:space="preserve"> granted </w:t>
      </w:r>
      <w:r w:rsidR="00295CF4" w:rsidRPr="00837317">
        <w:t>Nov. 1, 2023, S281717</w:t>
      </w:r>
      <w:r w:rsidR="004736A1" w:rsidRPr="00837317">
        <w:t xml:space="preserve"> </w:t>
      </w:r>
      <w:r w:rsidR="006E370E">
        <w:t>(</w:t>
      </w:r>
      <w:r w:rsidR="006E370E" w:rsidRPr="0007125F">
        <w:rPr>
          <w:i/>
          <w:iCs/>
        </w:rPr>
        <w:t>Woodworth</w:t>
      </w:r>
      <w:r w:rsidR="006E370E">
        <w:t xml:space="preserve">) </w:t>
      </w:r>
      <w:r w:rsidR="004736A1" w:rsidRPr="00837317">
        <w:t>[agree</w:t>
      </w:r>
      <w:r w:rsidR="00105163">
        <w:t>ing</w:t>
      </w:r>
      <w:r w:rsidR="004736A1" w:rsidRPr="00837317">
        <w:t xml:space="preserve"> with </w:t>
      </w:r>
      <w:r w:rsidR="004736A1" w:rsidRPr="00837317">
        <w:rPr>
          <w:i/>
          <w:iCs/>
        </w:rPr>
        <w:t>Estrada</w:t>
      </w:r>
      <w:r w:rsidR="004736A1" w:rsidRPr="00837317">
        <w:t xml:space="preserve"> that </w:t>
      </w:r>
      <w:r w:rsidR="00105163">
        <w:t>“</w:t>
      </w:r>
      <w:r w:rsidR="004736A1" w:rsidRPr="00837317">
        <w:t>trial courts may not strike or dismiss a PAGA claim for lack of manageability</w:t>
      </w:r>
      <w:r w:rsidR="00BC6B4C" w:rsidRPr="00837317">
        <w:t>”</w:t>
      </w:r>
      <w:r w:rsidR="004736A1" w:rsidRPr="00837317">
        <w:t>].)</w:t>
      </w:r>
      <w:r w:rsidR="00767667" w:rsidRPr="00837317">
        <w:t xml:space="preserve">  </w:t>
      </w:r>
      <w:r w:rsidR="001D7095" w:rsidRPr="00837317">
        <w:t>We granted review to consider th</w:t>
      </w:r>
      <w:r w:rsidR="00B757C2" w:rsidRPr="00837317">
        <w:t>e</w:t>
      </w:r>
      <w:r w:rsidR="001D7095" w:rsidRPr="00837317">
        <w:t xml:space="preserve"> issue.</w:t>
      </w:r>
      <w:r>
        <w:rPr>
          <w:rStyle w:val="FootnoteReference"/>
        </w:rPr>
        <w:footnoteReference w:id="4"/>
      </w:r>
    </w:p>
    <w:p w14:paraId="53FB685F" w14:textId="77777777" w:rsidR="00545570" w:rsidRPr="00837317" w:rsidRDefault="007742F5" w:rsidP="00DA381B">
      <w:pPr>
        <w:ind w:firstLine="720"/>
      </w:pPr>
      <w:r w:rsidRPr="00837317">
        <w:lastRenderedPageBreak/>
        <w:t>W</w:t>
      </w:r>
      <w:r w:rsidR="001B6991" w:rsidRPr="00837317">
        <w:t xml:space="preserve">e </w:t>
      </w:r>
      <w:r w:rsidR="005727B0">
        <w:t xml:space="preserve">now </w:t>
      </w:r>
      <w:r w:rsidR="001B6991" w:rsidRPr="00837317">
        <w:t xml:space="preserve">conclude that </w:t>
      </w:r>
      <w:r w:rsidR="00611F57" w:rsidRPr="00837317">
        <w:t xml:space="preserve">trial </w:t>
      </w:r>
      <w:r w:rsidR="001B6991" w:rsidRPr="00837317">
        <w:t>courts lack inherent authority to strike</w:t>
      </w:r>
      <w:r w:rsidR="00D3093A">
        <w:t xml:space="preserve"> </w:t>
      </w:r>
      <w:r w:rsidR="001B6991" w:rsidRPr="00837317">
        <w:t>PAGA claim</w:t>
      </w:r>
      <w:r w:rsidR="00B74D81" w:rsidRPr="00837317">
        <w:t>s</w:t>
      </w:r>
      <w:r w:rsidR="001B6991" w:rsidRPr="00837317">
        <w:t xml:space="preserve"> on manageability grounds.</w:t>
      </w:r>
      <w:r w:rsidRPr="00837317">
        <w:t xml:space="preserve">  In reaching this conclusion, we emphasize that trial courts </w:t>
      </w:r>
      <w:r w:rsidR="00E1773D">
        <w:t xml:space="preserve">do not generally possess a broad inherent authority to dismiss </w:t>
      </w:r>
      <w:r w:rsidR="007E6452">
        <w:t xml:space="preserve">claims.  Nor </w:t>
      </w:r>
      <w:r w:rsidR="001E062A">
        <w:t xml:space="preserve">is </w:t>
      </w:r>
      <w:r w:rsidR="008D7E9E">
        <w:t xml:space="preserve">it </w:t>
      </w:r>
      <w:r w:rsidR="001E062A">
        <w:t xml:space="preserve">appropriate for trial courts to </w:t>
      </w:r>
      <w:r w:rsidR="00394AC6">
        <w:t>strike</w:t>
      </w:r>
      <w:r w:rsidR="001E062A">
        <w:t xml:space="preserve"> PAGA claims </w:t>
      </w:r>
      <w:r w:rsidR="008B61AE">
        <w:t>by employing class action manageability requirements.</w:t>
      </w:r>
      <w:r w:rsidR="00C20AA4">
        <w:t xml:space="preserve">  </w:t>
      </w:r>
      <w:r w:rsidR="00532635">
        <w:t>And, w</w:t>
      </w:r>
      <w:r w:rsidR="00C20AA4">
        <w:t xml:space="preserve">hile trial courts </w:t>
      </w:r>
      <w:r w:rsidR="00004D2E" w:rsidRPr="00837317">
        <w:t xml:space="preserve">may </w:t>
      </w:r>
      <w:r w:rsidRPr="00837317">
        <w:t xml:space="preserve">use </w:t>
      </w:r>
      <w:r w:rsidR="00004D2E" w:rsidRPr="00837317">
        <w:t xml:space="preserve">a vast variety of </w:t>
      </w:r>
      <w:r w:rsidR="00DB1581" w:rsidRPr="00837317">
        <w:t>tools</w:t>
      </w:r>
      <w:r w:rsidR="00532635">
        <w:t xml:space="preserve"> </w:t>
      </w:r>
      <w:r w:rsidRPr="00837317">
        <w:t>to efficiently manag</w:t>
      </w:r>
      <w:r w:rsidR="00E165D9">
        <w:t xml:space="preserve">e </w:t>
      </w:r>
      <w:r w:rsidRPr="00837317">
        <w:t>PAGA claims</w:t>
      </w:r>
      <w:r w:rsidR="00C50B8E">
        <w:t>,</w:t>
      </w:r>
      <w:r w:rsidR="00F37B25" w:rsidRPr="00837317">
        <w:t xml:space="preserve"> </w:t>
      </w:r>
      <w:r w:rsidR="00DA381B">
        <w:t>g</w:t>
      </w:r>
      <w:r w:rsidR="00F37B25" w:rsidRPr="00837317">
        <w:t>iven the structure and purpose of PAGA, striking such claims due to manageability concerns</w:t>
      </w:r>
      <w:r w:rsidR="00FF5F53">
        <w:t> </w:t>
      </w:r>
      <w:r w:rsidR="00F37B25" w:rsidRPr="00837317">
        <w:t>—</w:t>
      </w:r>
      <w:r w:rsidR="00844668">
        <w:t xml:space="preserve"> </w:t>
      </w:r>
      <w:r w:rsidR="00F37B25" w:rsidRPr="00837317">
        <w:t>even if those claims are complex or time-in</w:t>
      </w:r>
      <w:r w:rsidR="00267AE4">
        <w:t>t</w:t>
      </w:r>
      <w:r w:rsidR="00F37B25" w:rsidRPr="00837317">
        <w:t>ensive —</w:t>
      </w:r>
      <w:r w:rsidR="00844668">
        <w:t xml:space="preserve"> </w:t>
      </w:r>
      <w:r w:rsidR="004E39AE" w:rsidRPr="00837317">
        <w:t xml:space="preserve">is not among the tools </w:t>
      </w:r>
      <w:r w:rsidR="004E39AE">
        <w:t>trial courts possess</w:t>
      </w:r>
      <w:r w:rsidR="004138A7">
        <w:t>.</w:t>
      </w:r>
      <w:r>
        <w:rPr>
          <w:rStyle w:val="FootnoteReference"/>
        </w:rPr>
        <w:footnoteReference w:id="5"/>
      </w:r>
    </w:p>
    <w:p w14:paraId="53FB6860" w14:textId="77777777" w:rsidR="001B6991" w:rsidRPr="00837317" w:rsidRDefault="007742F5" w:rsidP="00837317">
      <w:pPr>
        <w:ind w:firstLine="720"/>
      </w:pPr>
      <w:r w:rsidRPr="00837317">
        <w:t>Accordingly, we affirm the Court of Appeal’s judgment</w:t>
      </w:r>
      <w:r w:rsidR="00B138F6">
        <w:t xml:space="preserve"> as </w:t>
      </w:r>
      <w:r w:rsidR="0099109F">
        <w:t>that court</w:t>
      </w:r>
      <w:r w:rsidR="00B138F6">
        <w:t xml:space="preserve"> reached the same conclusion</w:t>
      </w:r>
      <w:r w:rsidR="00BB690E">
        <w:t xml:space="preserve"> we reach here</w:t>
      </w:r>
      <w:r w:rsidR="00B138F6">
        <w:t xml:space="preserve">. </w:t>
      </w:r>
      <w:r w:rsidR="00903CB8" w:rsidRPr="00837317">
        <w:t xml:space="preserve"> </w:t>
      </w:r>
      <w:r w:rsidR="00B138F6">
        <w:t xml:space="preserve">(See </w:t>
      </w:r>
      <w:bookmarkStart w:id="7" w:name="dabmci_a8989c1e492e4d858188474f70f9e36f"/>
      <w:r w:rsidR="00B138F6" w:rsidRPr="00B138F6">
        <w:rPr>
          <w:i/>
          <w:iCs/>
        </w:rPr>
        <w:t>Estrada, supra</w:t>
      </w:r>
      <w:r w:rsidR="00B138F6">
        <w:t xml:space="preserve">, </w:t>
      </w:r>
      <w:r w:rsidR="00B138F6" w:rsidRPr="00837317">
        <w:t xml:space="preserve">76 Cal.App.5th </w:t>
      </w:r>
      <w:r w:rsidR="00B138F6">
        <w:t>at p.</w:t>
      </w:r>
      <w:r w:rsidR="00B138F6" w:rsidRPr="00837317">
        <w:t xml:space="preserve"> 697</w:t>
      </w:r>
      <w:bookmarkEnd w:id="7"/>
      <w:r w:rsidR="00B138F6">
        <w:t>.)</w:t>
      </w:r>
      <w:r>
        <w:rPr>
          <w:rStyle w:val="FootnoteReference"/>
        </w:rPr>
        <w:footnoteReference w:id="6"/>
      </w:r>
    </w:p>
    <w:p w14:paraId="53FB6861" w14:textId="77777777" w:rsidR="001B6991" w:rsidRPr="00837317" w:rsidRDefault="007742F5" w:rsidP="00837317">
      <w:pPr>
        <w:pStyle w:val="Heading1"/>
      </w:pPr>
      <w:bookmarkStart w:id="8" w:name="_Toc134627235"/>
      <w:bookmarkStart w:id="9" w:name="_Toc135051344"/>
      <w:bookmarkStart w:id="10" w:name="_Toc135058483"/>
      <w:bookmarkStart w:id="11" w:name="_Toc123211637"/>
      <w:bookmarkStart w:id="12" w:name="_Toc123211800"/>
      <w:r w:rsidRPr="00837317">
        <w:lastRenderedPageBreak/>
        <w:t>I.</w:t>
      </w:r>
      <w:bookmarkStart w:id="13" w:name="_Toc134627236"/>
      <w:bookmarkStart w:id="14" w:name="_Toc135051345"/>
      <w:bookmarkStart w:id="15" w:name="_Toc135058484"/>
      <w:bookmarkEnd w:id="8"/>
      <w:bookmarkEnd w:id="9"/>
      <w:bookmarkEnd w:id="10"/>
      <w:r w:rsidR="00CF64EC">
        <w:t xml:space="preserve">  </w:t>
      </w:r>
      <w:r w:rsidRPr="00837317">
        <w:t xml:space="preserve">Factual and </w:t>
      </w:r>
      <w:r w:rsidR="00A102A7" w:rsidRPr="00837317">
        <w:t>P</w:t>
      </w:r>
      <w:r w:rsidRPr="00837317">
        <w:t xml:space="preserve">rocedural </w:t>
      </w:r>
      <w:r w:rsidR="00A102A7" w:rsidRPr="00837317">
        <w:t>B</w:t>
      </w:r>
      <w:r w:rsidRPr="00837317">
        <w:t>ackground</w:t>
      </w:r>
      <w:bookmarkEnd w:id="11"/>
      <w:bookmarkEnd w:id="12"/>
      <w:r>
        <w:rPr>
          <w:rStyle w:val="FootnoteReference"/>
          <w:b/>
          <w:bCs/>
        </w:rPr>
        <w:footnoteReference w:id="7"/>
      </w:r>
      <w:bookmarkEnd w:id="13"/>
      <w:bookmarkEnd w:id="14"/>
      <w:bookmarkEnd w:id="15"/>
    </w:p>
    <w:p w14:paraId="53FB6862" w14:textId="77777777" w:rsidR="00A042EB" w:rsidRPr="00837317" w:rsidRDefault="007742F5" w:rsidP="00837317">
      <w:pPr>
        <w:ind w:firstLine="720"/>
      </w:pPr>
      <w:r>
        <w:t>Royalty</w:t>
      </w:r>
      <w:r w:rsidR="00CB2134" w:rsidRPr="00837317">
        <w:t xml:space="preserve"> </w:t>
      </w:r>
      <w:r w:rsidR="00B44043" w:rsidRPr="00837317">
        <w:t>operated</w:t>
      </w:r>
      <w:r w:rsidR="0008123A" w:rsidRPr="00837317">
        <w:t xml:space="preserve"> </w:t>
      </w:r>
      <w:r w:rsidR="0077197C" w:rsidRPr="00837317">
        <w:t xml:space="preserve">two </w:t>
      </w:r>
      <w:r w:rsidR="0008123A" w:rsidRPr="00837317">
        <w:t xml:space="preserve">facilities </w:t>
      </w:r>
      <w:r w:rsidR="0077197C" w:rsidRPr="00837317">
        <w:t xml:space="preserve">relevant here:  one located on Derian Avenue (Derian) and the other on Dyer Road (Dyer) in Orange County.  </w:t>
      </w:r>
      <w:r w:rsidR="00D55F0C" w:rsidRPr="00837317">
        <w:t>(</w:t>
      </w:r>
      <w:bookmarkStart w:id="17" w:name="dabmci_9997b9695e45434cbfcc71f61214cb47"/>
      <w:r w:rsidR="00D55F0C" w:rsidRPr="00837317">
        <w:rPr>
          <w:i/>
          <w:iCs/>
        </w:rPr>
        <w:t>Estrada</w:t>
      </w:r>
      <w:r w:rsidR="00D55F0C" w:rsidRPr="00837317">
        <w:t>,</w:t>
      </w:r>
      <w:r w:rsidR="00AB488F" w:rsidRPr="00837317">
        <w:t xml:space="preserve"> </w:t>
      </w:r>
      <w:r w:rsidR="00D55F0C" w:rsidRPr="00837317">
        <w:rPr>
          <w:i/>
          <w:iCs/>
        </w:rPr>
        <w:t>supra</w:t>
      </w:r>
      <w:r w:rsidR="00D55F0C" w:rsidRPr="00837317">
        <w:t>, 76</w:t>
      </w:r>
      <w:r w:rsidR="001B7E2B" w:rsidRPr="00837317">
        <w:t> </w:t>
      </w:r>
      <w:r w:rsidR="00D55F0C" w:rsidRPr="00837317">
        <w:t>Cal.App.5th at p.</w:t>
      </w:r>
      <w:r w:rsidR="00AA55D3" w:rsidRPr="00837317">
        <w:t> </w:t>
      </w:r>
      <w:r w:rsidR="00D55F0C" w:rsidRPr="00837317">
        <w:t>698</w:t>
      </w:r>
      <w:bookmarkEnd w:id="17"/>
      <w:r w:rsidR="00D55F0C" w:rsidRPr="00837317">
        <w:t>.)</w:t>
      </w:r>
      <w:r w:rsidR="0008123A" w:rsidRPr="00837317">
        <w:t xml:space="preserve"> </w:t>
      </w:r>
      <w:r w:rsidR="004F7052" w:rsidRPr="00837317">
        <w:t xml:space="preserve"> </w:t>
      </w:r>
    </w:p>
    <w:p w14:paraId="53FB6863" w14:textId="77777777" w:rsidR="0008123A" w:rsidRPr="00837317" w:rsidRDefault="007742F5" w:rsidP="00837317">
      <w:pPr>
        <w:ind w:firstLine="720"/>
      </w:pPr>
      <w:r w:rsidRPr="00837317">
        <w:t xml:space="preserve">Plaintiff Jorge </w:t>
      </w:r>
      <w:r w:rsidR="00531216">
        <w:t xml:space="preserve">Luis </w:t>
      </w:r>
      <w:r w:rsidRPr="00837317">
        <w:t xml:space="preserve">Estrada worked at Derian.  </w:t>
      </w:r>
      <w:r w:rsidR="00ED1A3A" w:rsidRPr="00837317">
        <w:t>(</w:t>
      </w:r>
      <w:bookmarkStart w:id="18" w:name="dabmci_83fd8584e2f64797a52bc62f7a390436"/>
      <w:r w:rsidR="00ED1A3A" w:rsidRPr="00837317">
        <w:rPr>
          <w:i/>
          <w:iCs/>
        </w:rPr>
        <w:t>Estrada, supra</w:t>
      </w:r>
      <w:r w:rsidR="00ED1A3A" w:rsidRPr="00837317">
        <w:t>, 76</w:t>
      </w:r>
      <w:r w:rsidR="001B7E2B" w:rsidRPr="00837317">
        <w:t> </w:t>
      </w:r>
      <w:r w:rsidR="00ED1A3A" w:rsidRPr="00837317">
        <w:t>Cal.App.5th at p.</w:t>
      </w:r>
      <w:r w:rsidR="00AB488F" w:rsidRPr="00837317">
        <w:t> </w:t>
      </w:r>
      <w:r w:rsidR="00ED1A3A" w:rsidRPr="00837317">
        <w:t>698</w:t>
      </w:r>
      <w:bookmarkEnd w:id="18"/>
      <w:r w:rsidR="00ED1A3A" w:rsidRPr="00837317">
        <w:t xml:space="preserve">.) </w:t>
      </w:r>
      <w:r w:rsidR="00712C03" w:rsidRPr="00837317">
        <w:t xml:space="preserve"> </w:t>
      </w:r>
      <w:r w:rsidRPr="00837317">
        <w:t>Estrada fi</w:t>
      </w:r>
      <w:r w:rsidRPr="00837317">
        <w:t xml:space="preserve">led a complaint against Royalty alleging various claims, including one asserting </w:t>
      </w:r>
      <w:r w:rsidR="005A322A" w:rsidRPr="00837317">
        <w:t xml:space="preserve">that Royalty violated </w:t>
      </w:r>
      <w:r w:rsidRPr="00837317">
        <w:t xml:space="preserve">Labor Code provisions </w:t>
      </w:r>
      <w:r w:rsidR="009D611D" w:rsidRPr="00837317">
        <w:t xml:space="preserve">requiring that it </w:t>
      </w:r>
      <w:r w:rsidR="000771D7" w:rsidRPr="00837317">
        <w:t xml:space="preserve">provide first </w:t>
      </w:r>
      <w:r w:rsidR="009D611D" w:rsidRPr="00837317">
        <w:t xml:space="preserve">and second </w:t>
      </w:r>
      <w:r w:rsidR="000771D7" w:rsidRPr="00837317">
        <w:t>meal periods</w:t>
      </w:r>
      <w:r w:rsidR="00FC12C0" w:rsidRPr="00837317">
        <w:t>,</w:t>
      </w:r>
      <w:r>
        <w:rPr>
          <w:rStyle w:val="FootnoteReference"/>
        </w:rPr>
        <w:footnoteReference w:id="8"/>
      </w:r>
      <w:r w:rsidR="00FC12C0" w:rsidRPr="00837317">
        <w:t xml:space="preserve"> and</w:t>
      </w:r>
      <w:r w:rsidRPr="00837317">
        <w:t xml:space="preserve"> one seeking PAGA penalties for various alleged Labor Code violations</w:t>
      </w:r>
      <w:r w:rsidRPr="00837317">
        <w:t>.</w:t>
      </w:r>
      <w:r w:rsidR="00712C03" w:rsidRPr="00837317">
        <w:t xml:space="preserve"> </w:t>
      </w:r>
      <w:r w:rsidR="00E10B56" w:rsidRPr="00837317">
        <w:t xml:space="preserve"> (</w:t>
      </w:r>
      <w:bookmarkStart w:id="22" w:name="dabmci_06d89d077265475db287ec23ad7ac480"/>
      <w:r w:rsidR="00DC5E7C" w:rsidRPr="00837317">
        <w:rPr>
          <w:i/>
          <w:iCs/>
        </w:rPr>
        <w:t>Estrada</w:t>
      </w:r>
      <w:r w:rsidR="00DC5E7C" w:rsidRPr="00837317">
        <w:t>, at p.</w:t>
      </w:r>
      <w:r w:rsidR="00AB488F" w:rsidRPr="00837317">
        <w:t> </w:t>
      </w:r>
      <w:r w:rsidR="00DC5E7C" w:rsidRPr="00837317">
        <w:t>698</w:t>
      </w:r>
      <w:bookmarkEnd w:id="22"/>
      <w:r w:rsidR="00E10B56" w:rsidRPr="00837317">
        <w:t>.)</w:t>
      </w:r>
    </w:p>
    <w:p w14:paraId="53FB6864" w14:textId="77777777" w:rsidR="00D82E2C" w:rsidRPr="00837317" w:rsidRDefault="007742F5" w:rsidP="00837317">
      <w:pPr>
        <w:ind w:firstLine="720"/>
      </w:pPr>
      <w:r w:rsidRPr="00837317">
        <w:t xml:space="preserve">Estrada and plaintiff Paulina Medina, a former Royalty employee </w:t>
      </w:r>
      <w:r w:rsidR="00C07625" w:rsidRPr="00837317">
        <w:t xml:space="preserve">who worked </w:t>
      </w:r>
      <w:r w:rsidRPr="00837317">
        <w:t xml:space="preserve">at Dyer, filed a second amended complaint that realleged Estrada’s individual claims as class claims and retained the PAGA claim from the original complaint.  </w:t>
      </w:r>
      <w:r w:rsidR="00E10B56" w:rsidRPr="00837317">
        <w:t>(</w:t>
      </w:r>
      <w:bookmarkStart w:id="23" w:name="dabmci_d52fb55fbb3c4fa58a1968675ff063bd"/>
      <w:r w:rsidR="00E10B56" w:rsidRPr="00837317">
        <w:rPr>
          <w:i/>
          <w:iCs/>
        </w:rPr>
        <w:t>Estrada</w:t>
      </w:r>
      <w:r w:rsidR="00E10B56" w:rsidRPr="00837317">
        <w:t>,</w:t>
      </w:r>
      <w:r w:rsidR="00E10B56" w:rsidRPr="00837317">
        <w:rPr>
          <w:i/>
          <w:iCs/>
        </w:rPr>
        <w:t xml:space="preserve"> supra</w:t>
      </w:r>
      <w:r w:rsidR="00E10B56" w:rsidRPr="00837317">
        <w:t>, 76</w:t>
      </w:r>
      <w:r w:rsidR="0077197C" w:rsidRPr="00837317">
        <w:t> </w:t>
      </w:r>
      <w:r w:rsidR="00E10B56" w:rsidRPr="00837317">
        <w:t>Cal.App.5th at p.</w:t>
      </w:r>
      <w:r w:rsidR="00AB488F" w:rsidRPr="00837317">
        <w:t> </w:t>
      </w:r>
      <w:r w:rsidR="00E10B56" w:rsidRPr="00837317">
        <w:t>698</w:t>
      </w:r>
      <w:bookmarkEnd w:id="23"/>
      <w:r w:rsidR="00E10B56" w:rsidRPr="00837317">
        <w:t xml:space="preserve">.)  </w:t>
      </w:r>
      <w:r w:rsidR="00C00DA3" w:rsidRPr="00837317">
        <w:t xml:space="preserve">Thereafter, </w:t>
      </w:r>
      <w:r w:rsidRPr="00837317">
        <w:t>Estrada, Medina</w:t>
      </w:r>
      <w:r w:rsidR="00FD1F0C" w:rsidRPr="00837317">
        <w:t>,</w:t>
      </w:r>
      <w:r w:rsidRPr="00837317">
        <w:t xml:space="preserve"> and 11 other plaintiffs</w:t>
      </w:r>
      <w:r w:rsidRPr="00837317">
        <w:t xml:space="preserve"> filed the operative third amended complaint.  </w:t>
      </w:r>
      <w:r w:rsidR="00AA7548" w:rsidRPr="00837317">
        <w:t>(</w:t>
      </w:r>
      <w:bookmarkStart w:id="24" w:name="dabmci_d6d2e50f31b046bca998b1a2b3c5ebd4"/>
      <w:r w:rsidR="00AA7548" w:rsidRPr="00837317">
        <w:rPr>
          <w:i/>
          <w:iCs/>
        </w:rPr>
        <w:t>Id</w:t>
      </w:r>
      <w:r w:rsidR="00AA7548" w:rsidRPr="00837317">
        <w:t>. at p.</w:t>
      </w:r>
      <w:r w:rsidR="00AB488F" w:rsidRPr="00837317">
        <w:t> </w:t>
      </w:r>
      <w:r w:rsidR="00AA7548" w:rsidRPr="00837317">
        <w:t>699</w:t>
      </w:r>
      <w:bookmarkEnd w:id="24"/>
      <w:r w:rsidR="00AA7548" w:rsidRPr="00837317">
        <w:t xml:space="preserve">.)  </w:t>
      </w:r>
      <w:r w:rsidRPr="00837317">
        <w:t>Th</w:t>
      </w:r>
      <w:r w:rsidR="00C00DA3" w:rsidRPr="00837317">
        <w:t xml:space="preserve">e third amended </w:t>
      </w:r>
      <w:r w:rsidRPr="00837317">
        <w:t xml:space="preserve">complaint alleged a total of seven class claims, one </w:t>
      </w:r>
      <w:r w:rsidRPr="00837317">
        <w:lastRenderedPageBreak/>
        <w:t xml:space="preserve">which was based on </w:t>
      </w:r>
      <w:r w:rsidR="00991CBB" w:rsidRPr="00837317">
        <w:t xml:space="preserve">the failure to provide first and second </w:t>
      </w:r>
      <w:r w:rsidRPr="00837317">
        <w:t>meal period</w:t>
      </w:r>
      <w:r w:rsidR="00991CBB" w:rsidRPr="00837317">
        <w:t>s</w:t>
      </w:r>
      <w:r w:rsidRPr="00837317">
        <w:t>, and one which sought PAGA penalties for various</w:t>
      </w:r>
      <w:r w:rsidRPr="00837317">
        <w:t xml:space="preserve"> Labor Code violations, including those related to meal periods.</w:t>
      </w:r>
      <w:r w:rsidR="00C00DA3" w:rsidRPr="00837317">
        <w:t xml:space="preserve">  </w:t>
      </w:r>
      <w:r w:rsidR="00AA7548" w:rsidRPr="00837317">
        <w:t>(</w:t>
      </w:r>
      <w:bookmarkStart w:id="25" w:name="dabmci_8b0ee17637e949fa82dee811a54ef960"/>
      <w:r w:rsidR="00AA7548" w:rsidRPr="00837317">
        <w:rPr>
          <w:i/>
          <w:iCs/>
        </w:rPr>
        <w:t>I</w:t>
      </w:r>
      <w:r w:rsidR="00DF55FD" w:rsidRPr="00837317">
        <w:rPr>
          <w:i/>
          <w:iCs/>
        </w:rPr>
        <w:t>bi</w:t>
      </w:r>
      <w:r w:rsidR="00AA7548" w:rsidRPr="00837317">
        <w:rPr>
          <w:i/>
          <w:iCs/>
        </w:rPr>
        <w:t>d</w:t>
      </w:r>
      <w:r w:rsidR="00AA7548" w:rsidRPr="00837317">
        <w:t>.</w:t>
      </w:r>
      <w:bookmarkEnd w:id="25"/>
      <w:r w:rsidR="00AA7548" w:rsidRPr="00837317">
        <w:t>)</w:t>
      </w:r>
    </w:p>
    <w:p w14:paraId="53FB6865" w14:textId="77777777" w:rsidR="00D53987" w:rsidRPr="00837317" w:rsidRDefault="007742F5" w:rsidP="00837317">
      <w:pPr>
        <w:ind w:firstLine="720"/>
      </w:pPr>
      <w:r w:rsidRPr="00837317">
        <w:t>Several named plaintiffs moved for class certification in June 2017.</w:t>
      </w:r>
      <w:r w:rsidR="00EF2EFA" w:rsidRPr="00837317">
        <w:t xml:space="preserve">  (</w:t>
      </w:r>
      <w:bookmarkStart w:id="26" w:name="dabmci_728eb2a2dc09456f9145685ac64ff47d"/>
      <w:r w:rsidR="00EF2EFA" w:rsidRPr="00837317">
        <w:rPr>
          <w:i/>
          <w:iCs/>
        </w:rPr>
        <w:t>Estrada</w:t>
      </w:r>
      <w:r w:rsidR="00EF2EFA" w:rsidRPr="00837317">
        <w:t>,</w:t>
      </w:r>
      <w:r w:rsidR="00AB488F" w:rsidRPr="00837317">
        <w:t xml:space="preserve"> </w:t>
      </w:r>
      <w:r w:rsidR="00EF2EFA" w:rsidRPr="00837317">
        <w:rPr>
          <w:i/>
          <w:iCs/>
        </w:rPr>
        <w:t>supra</w:t>
      </w:r>
      <w:r w:rsidR="00EF2EFA" w:rsidRPr="00837317">
        <w:t>, 76</w:t>
      </w:r>
      <w:r w:rsidR="009D585B" w:rsidRPr="00837317">
        <w:t> </w:t>
      </w:r>
      <w:r w:rsidR="00EF2EFA" w:rsidRPr="00837317">
        <w:t>Cal.App.5th at p.</w:t>
      </w:r>
      <w:r w:rsidR="00AB488F" w:rsidRPr="00837317">
        <w:t> </w:t>
      </w:r>
      <w:r w:rsidR="00EF2EFA" w:rsidRPr="00837317">
        <w:t>700</w:t>
      </w:r>
      <w:bookmarkEnd w:id="26"/>
      <w:r w:rsidR="00EF2EFA" w:rsidRPr="00837317">
        <w:t xml:space="preserve">.)  </w:t>
      </w:r>
      <w:r w:rsidRPr="00837317">
        <w:t xml:space="preserve">As relevant here, the </w:t>
      </w:r>
      <w:r w:rsidR="00156E8D" w:rsidRPr="00837317">
        <w:t xml:space="preserve">trial </w:t>
      </w:r>
      <w:r w:rsidRPr="00837317">
        <w:t xml:space="preserve">court certified a Dyer/Derian class composed of former nonexempt hourly workers who worked at the two facilities </w:t>
      </w:r>
      <w:r w:rsidR="00156E8D" w:rsidRPr="00837317">
        <w:t>between</w:t>
      </w:r>
      <w:r w:rsidRPr="00837317">
        <w:t xml:space="preserve"> December</w:t>
      </w:r>
      <w:r w:rsidR="009D585B" w:rsidRPr="00837317">
        <w:t> </w:t>
      </w:r>
      <w:r w:rsidRPr="00837317">
        <w:t>13, 2009</w:t>
      </w:r>
      <w:r w:rsidR="0032429B">
        <w:t>,</w:t>
      </w:r>
      <w:r w:rsidRPr="00837317">
        <w:t xml:space="preserve"> </w:t>
      </w:r>
      <w:r w:rsidR="00156E8D" w:rsidRPr="00837317">
        <w:t>and</w:t>
      </w:r>
      <w:r w:rsidRPr="00837317">
        <w:t xml:space="preserve"> June</w:t>
      </w:r>
      <w:r w:rsidR="009D585B" w:rsidRPr="00837317">
        <w:t> </w:t>
      </w:r>
      <w:r w:rsidRPr="00837317">
        <w:t xml:space="preserve">14, 2017.  </w:t>
      </w:r>
      <w:r w:rsidR="001C2B80" w:rsidRPr="00837317">
        <w:t>(</w:t>
      </w:r>
      <w:bookmarkStart w:id="27" w:name="dabmci_221f943ffee54486aca11ce6835ef13e"/>
      <w:r w:rsidR="001C2B80" w:rsidRPr="00837317">
        <w:rPr>
          <w:i/>
          <w:iCs/>
        </w:rPr>
        <w:t>Ibid</w:t>
      </w:r>
      <w:r w:rsidR="001C2B80" w:rsidRPr="00837317">
        <w:t>.</w:t>
      </w:r>
      <w:bookmarkEnd w:id="27"/>
      <w:r w:rsidR="001C2B80" w:rsidRPr="00837317">
        <w:t>)</w:t>
      </w:r>
      <w:r w:rsidR="0050494A">
        <w:t xml:space="preserve">  </w:t>
      </w:r>
      <w:r w:rsidRPr="00837317">
        <w:t>The</w:t>
      </w:r>
      <w:r w:rsidR="00C90FA0" w:rsidRPr="00837317">
        <w:t xml:space="preserve"> court also certified three</w:t>
      </w:r>
      <w:r w:rsidRPr="00837317">
        <w:t xml:space="preserve"> Dyer/Derian </w:t>
      </w:r>
      <w:r w:rsidR="00C90FA0" w:rsidRPr="00837317">
        <w:t>sub</w:t>
      </w:r>
      <w:r w:rsidRPr="00837317">
        <w:t>class</w:t>
      </w:r>
      <w:r w:rsidR="00C90FA0" w:rsidRPr="00837317">
        <w:t>es,</w:t>
      </w:r>
      <w:r w:rsidRPr="00837317">
        <w:t xml:space="preserve"> includ</w:t>
      </w:r>
      <w:r w:rsidR="00C90FA0" w:rsidRPr="00837317">
        <w:t>ing</w:t>
      </w:r>
      <w:r w:rsidRPr="00837317">
        <w:t xml:space="preserve"> a meal period subclass</w:t>
      </w:r>
      <w:r w:rsidRPr="00837317">
        <w:t xml:space="preserve"> to determine whether </w:t>
      </w:r>
      <w:r w:rsidR="00C90FA0" w:rsidRPr="00837317">
        <w:t>“</w:t>
      </w:r>
      <w:r w:rsidRPr="00837317">
        <w:t>class members were provided timely first meal periods and/or deprived of second meal periods.</w:t>
      </w:r>
      <w:r w:rsidR="00C90FA0" w:rsidRPr="00837317">
        <w:t>”</w:t>
      </w:r>
      <w:r w:rsidRPr="00837317">
        <w:t xml:space="preserve"> </w:t>
      </w:r>
      <w:r w:rsidR="00CE3819" w:rsidRPr="00837317">
        <w:t xml:space="preserve"> </w:t>
      </w:r>
      <w:r w:rsidR="007F6ABC" w:rsidRPr="00837317">
        <w:t>(</w:t>
      </w:r>
      <w:bookmarkStart w:id="28" w:name="dabmci_baa9f36ca0cb4e0da6009389ec007720"/>
      <w:r w:rsidR="007F6ABC" w:rsidRPr="00837317">
        <w:rPr>
          <w:i/>
          <w:iCs/>
        </w:rPr>
        <w:t>Ibid</w:t>
      </w:r>
      <w:r w:rsidR="007F6ABC" w:rsidRPr="00837317">
        <w:t>.</w:t>
      </w:r>
      <w:bookmarkEnd w:id="28"/>
      <w:r w:rsidR="007F6ABC" w:rsidRPr="00837317">
        <w:t>)</w:t>
      </w:r>
    </w:p>
    <w:p w14:paraId="53FB6866" w14:textId="77777777" w:rsidR="00D53987" w:rsidRPr="00837317" w:rsidRDefault="007742F5" w:rsidP="00837317">
      <w:pPr>
        <w:ind w:firstLine="720"/>
      </w:pPr>
      <w:r w:rsidRPr="00837317">
        <w:t>The trial court held a bench trial on plaintiffs</w:t>
      </w:r>
      <w:r w:rsidR="00436187" w:rsidRPr="00837317">
        <w:t>’</w:t>
      </w:r>
      <w:r w:rsidRPr="00837317">
        <w:t xml:space="preserve"> claim</w:t>
      </w:r>
      <w:r w:rsidR="00436187" w:rsidRPr="00837317">
        <w:t>s</w:t>
      </w:r>
      <w:r w:rsidR="00A042EB" w:rsidRPr="00837317">
        <w:t>.  P</w:t>
      </w:r>
      <w:r w:rsidRPr="00837317">
        <w:t xml:space="preserve">laintiffs presented </w:t>
      </w:r>
      <w:r w:rsidR="005B0213" w:rsidRPr="00837317">
        <w:t>“live testimony from 12 of the 13 named plaintiffs, deposition testimony from four different managers and officers of Royalty, live testimony from two of Royalty</w:t>
      </w:r>
      <w:r w:rsidR="00C041F1" w:rsidRPr="00837317">
        <w:t>’</w:t>
      </w:r>
      <w:r w:rsidR="005B0213" w:rsidRPr="00837317">
        <w:t>s human resources employees, and live testimony from an expert witness.”</w:t>
      </w:r>
      <w:r w:rsidR="00436187" w:rsidRPr="00837317">
        <w:t xml:space="preserve"> </w:t>
      </w:r>
      <w:r w:rsidR="005B0213" w:rsidRPr="00837317">
        <w:t xml:space="preserve"> </w:t>
      </w:r>
      <w:r w:rsidR="00404605" w:rsidRPr="00837317">
        <w:t>(</w:t>
      </w:r>
      <w:bookmarkStart w:id="29" w:name="dabmci_1afed4a6190b4f77bf6917395282f44c"/>
      <w:r w:rsidR="00404605" w:rsidRPr="00837317">
        <w:rPr>
          <w:i/>
          <w:iCs/>
        </w:rPr>
        <w:t>Estrada</w:t>
      </w:r>
      <w:r w:rsidR="00404605" w:rsidRPr="00837317">
        <w:t>,</w:t>
      </w:r>
      <w:r w:rsidR="00AB488F" w:rsidRPr="00837317">
        <w:t xml:space="preserve"> </w:t>
      </w:r>
      <w:r w:rsidR="00404605" w:rsidRPr="00837317">
        <w:rPr>
          <w:i/>
          <w:iCs/>
        </w:rPr>
        <w:t>supra</w:t>
      </w:r>
      <w:r w:rsidR="00404605" w:rsidRPr="00837317">
        <w:t>, 76</w:t>
      </w:r>
      <w:r w:rsidR="0077197C" w:rsidRPr="00837317">
        <w:t> </w:t>
      </w:r>
      <w:r w:rsidR="00404605" w:rsidRPr="00837317">
        <w:t>Cal.App.5th at p.</w:t>
      </w:r>
      <w:r w:rsidR="00AB488F" w:rsidRPr="00837317">
        <w:t> </w:t>
      </w:r>
      <w:r w:rsidR="00404605" w:rsidRPr="00837317">
        <w:t>701</w:t>
      </w:r>
      <w:bookmarkEnd w:id="29"/>
      <w:r w:rsidR="00404605" w:rsidRPr="00837317">
        <w:t xml:space="preserve">.)  </w:t>
      </w:r>
      <w:r w:rsidR="00916EAC" w:rsidRPr="00837317">
        <w:t xml:space="preserve">In defense, </w:t>
      </w:r>
      <w:r w:rsidRPr="00837317">
        <w:t>Royalty presented testimony from two former employees and an expert witness.</w:t>
      </w:r>
      <w:r w:rsidR="00404605" w:rsidRPr="00837317">
        <w:t xml:space="preserve">  (</w:t>
      </w:r>
      <w:bookmarkStart w:id="30" w:name="dabmci_e1c070edfbca4fd79521a6e9b62a9b93"/>
      <w:r w:rsidR="00404605" w:rsidRPr="00837317">
        <w:rPr>
          <w:i/>
          <w:iCs/>
        </w:rPr>
        <w:t>Ibid</w:t>
      </w:r>
      <w:r w:rsidR="00404605" w:rsidRPr="00837317">
        <w:t>.</w:t>
      </w:r>
      <w:bookmarkEnd w:id="30"/>
      <w:r w:rsidR="00404605" w:rsidRPr="00837317">
        <w:t>)</w:t>
      </w:r>
    </w:p>
    <w:p w14:paraId="53FB6867" w14:textId="77777777" w:rsidR="00564D0A" w:rsidRPr="00837317" w:rsidRDefault="007742F5" w:rsidP="00837317">
      <w:pPr>
        <w:ind w:firstLine="720"/>
      </w:pPr>
      <w:bookmarkStart w:id="31" w:name="_Toc123211644"/>
      <w:bookmarkStart w:id="32" w:name="_Toc123211807"/>
      <w:r w:rsidRPr="00837317">
        <w:t xml:space="preserve">Following the presentation of evidence, the </w:t>
      </w:r>
      <w:r w:rsidR="00B11109" w:rsidRPr="00837317">
        <w:t xml:space="preserve">trial </w:t>
      </w:r>
      <w:r w:rsidRPr="00837317">
        <w:t xml:space="preserve">court </w:t>
      </w:r>
      <w:r w:rsidR="003333C3" w:rsidRPr="00837317">
        <w:t xml:space="preserve">entered an order </w:t>
      </w:r>
      <w:r w:rsidRPr="00837317">
        <w:t>decertif</w:t>
      </w:r>
      <w:r w:rsidR="003333C3" w:rsidRPr="00837317">
        <w:t>ying</w:t>
      </w:r>
      <w:r w:rsidRPr="00837317">
        <w:t xml:space="preserve"> </w:t>
      </w:r>
      <w:r w:rsidR="00E86770" w:rsidRPr="00837317">
        <w:t xml:space="preserve">the </w:t>
      </w:r>
      <w:r w:rsidR="00B6452C" w:rsidRPr="00837317">
        <w:t>two</w:t>
      </w:r>
      <w:r w:rsidRPr="00837317">
        <w:t xml:space="preserve"> Dyer/Derian </w:t>
      </w:r>
      <w:r w:rsidR="005A094E" w:rsidRPr="00837317">
        <w:t>meal period subclass</w:t>
      </w:r>
      <w:r w:rsidR="00B6452C" w:rsidRPr="00837317">
        <w:t>es</w:t>
      </w:r>
      <w:r w:rsidR="00ED55FE" w:rsidRPr="00837317">
        <w:t xml:space="preserve"> </w:t>
      </w:r>
      <w:r w:rsidR="008411C5" w:rsidRPr="00837317">
        <w:t xml:space="preserve">alleging the </w:t>
      </w:r>
      <w:r w:rsidR="00ED55FE" w:rsidRPr="00837317">
        <w:t>first and second meal period violations,</w:t>
      </w:r>
      <w:r>
        <w:rPr>
          <w:rStyle w:val="FootnoteReference"/>
        </w:rPr>
        <w:footnoteReference w:id="9"/>
      </w:r>
      <w:r w:rsidR="00FE22E9" w:rsidRPr="00837317">
        <w:t xml:space="preserve"> on the ground that there were too many individualized issues to </w:t>
      </w:r>
      <w:r w:rsidR="00FE22E9" w:rsidRPr="00837317">
        <w:lastRenderedPageBreak/>
        <w:t>support class treatment</w:t>
      </w:r>
      <w:r w:rsidR="00237729" w:rsidRPr="00837317">
        <w:t>.</w:t>
      </w:r>
      <w:r w:rsidR="00C367EC">
        <w:t xml:space="preserve">  </w:t>
      </w:r>
      <w:r w:rsidR="00404605" w:rsidRPr="00837317">
        <w:t>(</w:t>
      </w:r>
      <w:bookmarkStart w:id="35" w:name="dabmci_ba556d260bba457d8fd33d8da0928876"/>
      <w:r w:rsidR="00404605" w:rsidRPr="00837317">
        <w:rPr>
          <w:i/>
          <w:iCs/>
        </w:rPr>
        <w:t>Estrada</w:t>
      </w:r>
      <w:r w:rsidR="00404605" w:rsidRPr="00837317">
        <w:t>,</w:t>
      </w:r>
      <w:r w:rsidR="00AB488F" w:rsidRPr="00837317">
        <w:t xml:space="preserve"> </w:t>
      </w:r>
      <w:r w:rsidR="00404605" w:rsidRPr="00837317">
        <w:rPr>
          <w:i/>
          <w:iCs/>
        </w:rPr>
        <w:t>supra</w:t>
      </w:r>
      <w:r w:rsidR="00404605" w:rsidRPr="00837317">
        <w:t>, 76</w:t>
      </w:r>
      <w:r w:rsidR="00A042EB" w:rsidRPr="00837317">
        <w:t> </w:t>
      </w:r>
      <w:r w:rsidR="00404605" w:rsidRPr="00837317">
        <w:t>Cal.App.5th at p.</w:t>
      </w:r>
      <w:r w:rsidR="00AB488F" w:rsidRPr="00837317">
        <w:t> </w:t>
      </w:r>
      <w:r w:rsidR="00404605" w:rsidRPr="00837317">
        <w:t>70</w:t>
      </w:r>
      <w:r w:rsidR="006A4A51" w:rsidRPr="00837317">
        <w:t>2</w:t>
      </w:r>
      <w:bookmarkEnd w:id="35"/>
      <w:r w:rsidR="00404605" w:rsidRPr="00837317">
        <w:t>.)</w:t>
      </w:r>
      <w:r>
        <w:rPr>
          <w:rStyle w:val="FootnoteReference"/>
        </w:rPr>
        <w:footnoteReference w:id="10"/>
      </w:r>
      <w:r w:rsidR="00404605" w:rsidRPr="00837317">
        <w:t xml:space="preserve">  </w:t>
      </w:r>
      <w:r w:rsidR="00F56092" w:rsidRPr="00837317">
        <w:t xml:space="preserve">In the same order, the </w:t>
      </w:r>
      <w:r w:rsidR="003A66C2" w:rsidRPr="00837317">
        <w:t>trial court dismissed</w:t>
      </w:r>
      <w:r w:rsidR="00237729" w:rsidRPr="00837317">
        <w:t xml:space="preserve"> t</w:t>
      </w:r>
      <w:r w:rsidR="003A66C2" w:rsidRPr="00837317">
        <w:t xml:space="preserve">he </w:t>
      </w:r>
      <w:r w:rsidR="00897A16" w:rsidRPr="00837317">
        <w:t xml:space="preserve">PAGA claim seeking penalties for the alleged Dyer/Derian </w:t>
      </w:r>
      <w:r w:rsidR="003A66C2" w:rsidRPr="00837317">
        <w:t xml:space="preserve">meal break-related </w:t>
      </w:r>
      <w:r w:rsidR="00897A16" w:rsidRPr="00837317">
        <w:t xml:space="preserve">violations </w:t>
      </w:r>
      <w:r w:rsidR="0014339D">
        <w:t xml:space="preserve">with respect to persons other than the </w:t>
      </w:r>
      <w:r w:rsidR="00BB6B6E">
        <w:t xml:space="preserve">named </w:t>
      </w:r>
      <w:r w:rsidR="0014339D">
        <w:t xml:space="preserve">plaintiffs </w:t>
      </w:r>
      <w:r w:rsidR="00342F29" w:rsidRPr="00837317">
        <w:t>as being unmanageable.</w:t>
      </w:r>
      <w:r w:rsidR="003B4E47" w:rsidRPr="00837317">
        <w:t xml:space="preserve">  </w:t>
      </w:r>
      <w:r w:rsidR="001C373D" w:rsidRPr="00837317">
        <w:t>(</w:t>
      </w:r>
      <w:bookmarkStart w:id="36" w:name="dabmci_07526f969d824c70bd688470fd592a44"/>
      <w:r w:rsidR="00B529FC">
        <w:rPr>
          <w:i/>
          <w:iCs/>
        </w:rPr>
        <w:t>Estrada</w:t>
      </w:r>
      <w:r w:rsidR="00B529FC">
        <w:t>, at p. 702</w:t>
      </w:r>
      <w:bookmarkEnd w:id="36"/>
      <w:r w:rsidR="001C373D" w:rsidRPr="00837317">
        <w:t>.)</w:t>
      </w:r>
      <w:r>
        <w:rPr>
          <w:rStyle w:val="FootnoteReference"/>
        </w:rPr>
        <w:footnoteReference w:id="11"/>
      </w:r>
      <w:r w:rsidR="00E86770" w:rsidRPr="00837317">
        <w:t xml:space="preserve"> </w:t>
      </w:r>
      <w:r w:rsidR="001C373D" w:rsidRPr="00837317">
        <w:t xml:space="preserve"> </w:t>
      </w:r>
      <w:r w:rsidR="009A5374" w:rsidRPr="00837317">
        <w:t xml:space="preserve">The </w:t>
      </w:r>
      <w:r w:rsidR="00840CDE" w:rsidRPr="00837317">
        <w:t xml:space="preserve">trial </w:t>
      </w:r>
      <w:r w:rsidR="009A5374" w:rsidRPr="00837317">
        <w:t xml:space="preserve">court </w:t>
      </w:r>
      <w:r w:rsidR="00265B0A" w:rsidRPr="00837317">
        <w:t xml:space="preserve">subsequently </w:t>
      </w:r>
      <w:r w:rsidRPr="00837317">
        <w:t>entered judgment</w:t>
      </w:r>
      <w:r w:rsidR="00477F6B" w:rsidRPr="00837317">
        <w:t>.</w:t>
      </w:r>
      <w:r w:rsidR="003B4E47" w:rsidRPr="00837317">
        <w:t xml:space="preserve">  </w:t>
      </w:r>
      <w:r w:rsidR="0049193C" w:rsidRPr="00837317">
        <w:t>(</w:t>
      </w:r>
      <w:bookmarkStart w:id="38" w:name="dabmci_81dbb622f4084990a7b694c53750a5c2"/>
      <w:r w:rsidR="00B529FC">
        <w:rPr>
          <w:i/>
          <w:iCs/>
        </w:rPr>
        <w:t>Estrada</w:t>
      </w:r>
      <w:r w:rsidR="00B529FC">
        <w:t>,</w:t>
      </w:r>
      <w:r w:rsidR="0049193C" w:rsidRPr="00837317">
        <w:t xml:space="preserve"> at p.</w:t>
      </w:r>
      <w:r w:rsidR="00AB488F" w:rsidRPr="00837317">
        <w:t> </w:t>
      </w:r>
      <w:r w:rsidR="00D43E84" w:rsidRPr="00837317">
        <w:t>703</w:t>
      </w:r>
      <w:bookmarkEnd w:id="38"/>
      <w:r w:rsidR="00D43E84" w:rsidRPr="00837317">
        <w:t xml:space="preserve">.)  </w:t>
      </w:r>
      <w:r w:rsidR="00477F6B" w:rsidRPr="00837317">
        <w:t>P</w:t>
      </w:r>
      <w:r w:rsidR="0080712C" w:rsidRPr="00837317">
        <w:t xml:space="preserve">laintiffs </w:t>
      </w:r>
      <w:r w:rsidR="00477C41" w:rsidRPr="00837317">
        <w:t>appealed from the decertification order and the judgmen</w:t>
      </w:r>
      <w:r w:rsidR="00840CDE" w:rsidRPr="00837317">
        <w:t>t.</w:t>
      </w:r>
      <w:r w:rsidR="003B4E47" w:rsidRPr="00837317">
        <w:t xml:space="preserve">  </w:t>
      </w:r>
      <w:r w:rsidR="001C373D" w:rsidRPr="00837317">
        <w:t>(</w:t>
      </w:r>
      <w:bookmarkStart w:id="39" w:name="dabmci_2a559e42f7ba4ce2820a4a3afbf063d1"/>
      <w:r w:rsidR="001C373D" w:rsidRPr="00837317">
        <w:rPr>
          <w:i/>
          <w:iCs/>
        </w:rPr>
        <w:t>I</w:t>
      </w:r>
      <w:r w:rsidR="00D43E84" w:rsidRPr="00837317">
        <w:rPr>
          <w:i/>
          <w:iCs/>
        </w:rPr>
        <w:t>bi</w:t>
      </w:r>
      <w:r w:rsidR="001C373D" w:rsidRPr="00837317">
        <w:rPr>
          <w:i/>
          <w:iCs/>
        </w:rPr>
        <w:t>d</w:t>
      </w:r>
      <w:r w:rsidR="00203160" w:rsidRPr="00837317">
        <w:t>.</w:t>
      </w:r>
      <w:bookmarkEnd w:id="39"/>
      <w:r w:rsidR="00203160" w:rsidRPr="00837317">
        <w:t>)</w:t>
      </w:r>
    </w:p>
    <w:p w14:paraId="53FB6868" w14:textId="77777777" w:rsidR="006802FB" w:rsidRPr="00837317" w:rsidRDefault="007742F5" w:rsidP="00F26DB9">
      <w:pPr>
        <w:ind w:firstLine="720"/>
      </w:pPr>
      <w:r w:rsidRPr="00837317">
        <w:t xml:space="preserve">In the Court of Appeal, </w:t>
      </w:r>
      <w:r w:rsidR="00C374B9" w:rsidRPr="00837317">
        <w:t>plaintiffs</w:t>
      </w:r>
      <w:r w:rsidR="004F3228" w:rsidRPr="00837317">
        <w:t xml:space="preserve"> c</w:t>
      </w:r>
      <w:r w:rsidR="0080712C" w:rsidRPr="00837317">
        <w:t>laim</w:t>
      </w:r>
      <w:r w:rsidR="00C374B9" w:rsidRPr="00837317">
        <w:t>ed</w:t>
      </w:r>
      <w:r w:rsidR="00560932" w:rsidRPr="00837317">
        <w:t xml:space="preserve"> that</w:t>
      </w:r>
      <w:r w:rsidR="0080712C" w:rsidRPr="00837317">
        <w:t xml:space="preserve"> </w:t>
      </w:r>
      <w:r w:rsidR="00A35087" w:rsidRPr="00837317">
        <w:t xml:space="preserve">the </w:t>
      </w:r>
      <w:r w:rsidR="00560932" w:rsidRPr="00837317">
        <w:t xml:space="preserve">trial </w:t>
      </w:r>
      <w:r w:rsidR="00A35087" w:rsidRPr="00837317">
        <w:t xml:space="preserve">court abused its discretion by decertifying the Dyer/Derian </w:t>
      </w:r>
      <w:r w:rsidR="006857CD" w:rsidRPr="00837317">
        <w:t>meal period sub</w:t>
      </w:r>
      <w:r w:rsidR="00A35087" w:rsidRPr="00837317">
        <w:t>class</w:t>
      </w:r>
      <w:r w:rsidR="00D53FAC" w:rsidRPr="00837317">
        <w:t>es</w:t>
      </w:r>
      <w:r w:rsidR="00A35087" w:rsidRPr="00837317">
        <w:t xml:space="preserve"> and erred in dismissing th</w:t>
      </w:r>
      <w:r w:rsidR="00C60CB3" w:rsidRPr="00837317">
        <w:t>e</w:t>
      </w:r>
      <w:r w:rsidR="00F83249" w:rsidRPr="00837317">
        <w:t xml:space="preserve"> subclass</w:t>
      </w:r>
      <w:r w:rsidR="00D53FAC" w:rsidRPr="00837317">
        <w:t>es</w:t>
      </w:r>
      <w:r w:rsidR="00C90FA0" w:rsidRPr="00837317">
        <w:t>’</w:t>
      </w:r>
      <w:r w:rsidR="00063CAA" w:rsidRPr="00837317">
        <w:t xml:space="preserve"> </w:t>
      </w:r>
      <w:r w:rsidR="00A35087" w:rsidRPr="00837317">
        <w:t>PAGA meal period claims on manageability grounds</w:t>
      </w:r>
      <w:r w:rsidR="008E1ED3" w:rsidRPr="00837317">
        <w:t>.</w:t>
      </w:r>
      <w:r w:rsidR="003B4E47" w:rsidRPr="00837317">
        <w:t xml:space="preserve">  </w:t>
      </w:r>
      <w:r w:rsidR="00CF4B47" w:rsidRPr="00837317">
        <w:t>(</w:t>
      </w:r>
      <w:bookmarkStart w:id="40" w:name="dabmci_98a5569e06e04fe8bb8a3cfef731c269"/>
      <w:r w:rsidR="00CF4B47" w:rsidRPr="00837317">
        <w:rPr>
          <w:i/>
          <w:iCs/>
        </w:rPr>
        <w:t>Estrada</w:t>
      </w:r>
      <w:r w:rsidR="00CF4B47" w:rsidRPr="00837317">
        <w:t>,</w:t>
      </w:r>
      <w:r w:rsidR="00AB488F" w:rsidRPr="00837317">
        <w:t xml:space="preserve"> </w:t>
      </w:r>
      <w:r w:rsidR="00CF4B47" w:rsidRPr="00837317">
        <w:rPr>
          <w:i/>
          <w:iCs/>
        </w:rPr>
        <w:t>supra</w:t>
      </w:r>
      <w:r w:rsidR="00CF4B47" w:rsidRPr="00837317">
        <w:t>, 76</w:t>
      </w:r>
      <w:r w:rsidR="003C5CCA" w:rsidRPr="00837317">
        <w:t> </w:t>
      </w:r>
      <w:r w:rsidR="00CF4B47" w:rsidRPr="00837317">
        <w:t>Cal.App.5th at pp.</w:t>
      </w:r>
      <w:r w:rsidR="005736DD" w:rsidRPr="00837317">
        <w:t> </w:t>
      </w:r>
      <w:r w:rsidR="00194006" w:rsidRPr="00837317">
        <w:t>709</w:t>
      </w:r>
      <w:r w:rsidR="00A3174F" w:rsidRPr="00837317">
        <w:t>–</w:t>
      </w:r>
      <w:r w:rsidR="00194006" w:rsidRPr="00837317">
        <w:t>714</w:t>
      </w:r>
      <w:r w:rsidR="00AF69AD" w:rsidRPr="00837317">
        <w:t>, 719–727</w:t>
      </w:r>
      <w:bookmarkEnd w:id="40"/>
      <w:r w:rsidR="00CF4B47" w:rsidRPr="00837317">
        <w:t xml:space="preserve">.) </w:t>
      </w:r>
      <w:r w:rsidR="00194006" w:rsidRPr="00837317">
        <w:t xml:space="preserve"> </w:t>
      </w:r>
      <w:r w:rsidR="002C304B" w:rsidRPr="00837317">
        <w:t>T</w:t>
      </w:r>
      <w:r w:rsidR="00B33FD4" w:rsidRPr="00837317">
        <w:t xml:space="preserve">he Court of Appeal </w:t>
      </w:r>
      <w:r w:rsidR="004153CF" w:rsidRPr="00837317">
        <w:t>agreed with plaintiffs on both issues</w:t>
      </w:r>
      <w:r w:rsidR="007D7DA8" w:rsidRPr="00837317">
        <w:t xml:space="preserve">. </w:t>
      </w:r>
      <w:r w:rsidR="003B4E47" w:rsidRPr="00837317">
        <w:t xml:space="preserve"> </w:t>
      </w:r>
      <w:r w:rsidR="00E35BC5" w:rsidRPr="00837317">
        <w:t>(</w:t>
      </w:r>
      <w:bookmarkStart w:id="41" w:name="dabmci_d16e2b26dfef4abcb837fc42caebf20b"/>
      <w:r w:rsidR="00E35BC5" w:rsidRPr="00837317">
        <w:rPr>
          <w:i/>
          <w:iCs/>
        </w:rPr>
        <w:t>Id</w:t>
      </w:r>
      <w:r w:rsidR="00E35BC5" w:rsidRPr="00837317">
        <w:t>. at</w:t>
      </w:r>
      <w:r w:rsidR="00920803" w:rsidRPr="00837317">
        <w:t xml:space="preserve"> </w:t>
      </w:r>
      <w:r w:rsidR="00442ABC" w:rsidRPr="00837317">
        <w:t>pp.</w:t>
      </w:r>
      <w:r w:rsidR="00AB488F" w:rsidRPr="00837317">
        <w:t> </w:t>
      </w:r>
      <w:r w:rsidR="00442ABC" w:rsidRPr="00837317">
        <w:t>714,</w:t>
      </w:r>
      <w:r w:rsidR="00AB488F" w:rsidRPr="00837317">
        <w:t xml:space="preserve"> </w:t>
      </w:r>
      <w:r w:rsidR="00273074" w:rsidRPr="00837317">
        <w:t>726</w:t>
      </w:r>
      <w:bookmarkEnd w:id="41"/>
      <w:r w:rsidR="00E35BC5" w:rsidRPr="00837317">
        <w:t xml:space="preserve">.)  </w:t>
      </w:r>
      <w:r w:rsidR="007D7DA8" w:rsidRPr="00837317">
        <w:t xml:space="preserve">The Court of Appeal </w:t>
      </w:r>
      <w:r w:rsidR="00973264" w:rsidRPr="00837317">
        <w:t>reversed the trial court</w:t>
      </w:r>
      <w:r w:rsidR="00D865C6" w:rsidRPr="00837317">
        <w:t>’</w:t>
      </w:r>
      <w:r w:rsidR="00973264" w:rsidRPr="00837317">
        <w:t xml:space="preserve">s order </w:t>
      </w:r>
      <w:r w:rsidR="00AA7BE5" w:rsidRPr="00837317">
        <w:t xml:space="preserve">that had </w:t>
      </w:r>
      <w:r w:rsidR="00973264" w:rsidRPr="00837317">
        <w:t>decertifi</w:t>
      </w:r>
      <w:r w:rsidR="00AA7BE5" w:rsidRPr="00837317">
        <w:t>ed</w:t>
      </w:r>
      <w:r w:rsidR="00973264" w:rsidRPr="00837317">
        <w:t xml:space="preserve"> the Dyer/Derian</w:t>
      </w:r>
      <w:r w:rsidR="00C013A1" w:rsidRPr="00837317">
        <w:t xml:space="preserve"> </w:t>
      </w:r>
      <w:r w:rsidR="000D45F8" w:rsidRPr="00837317">
        <w:t xml:space="preserve">meal period </w:t>
      </w:r>
      <w:r w:rsidR="00C013A1" w:rsidRPr="00837317">
        <w:t>subclasses</w:t>
      </w:r>
      <w:r w:rsidR="000D45F8" w:rsidRPr="00837317">
        <w:t xml:space="preserve"> </w:t>
      </w:r>
      <w:r w:rsidR="00973264" w:rsidRPr="00837317">
        <w:t>and dismiss</w:t>
      </w:r>
      <w:r w:rsidR="00AA7BE5" w:rsidRPr="00837317">
        <w:t>ed</w:t>
      </w:r>
      <w:r w:rsidR="00973264" w:rsidRPr="00837317">
        <w:t xml:space="preserve"> th</w:t>
      </w:r>
      <w:r w:rsidR="003A1D17" w:rsidRPr="00837317">
        <w:t>at</w:t>
      </w:r>
      <w:r w:rsidR="00973264" w:rsidRPr="00837317">
        <w:t xml:space="preserve"> portion of the Dyer/Derian PAGA claim based on meal period violations</w:t>
      </w:r>
      <w:r w:rsidR="00830545" w:rsidRPr="00837317">
        <w:t xml:space="preserve">. </w:t>
      </w:r>
      <w:r w:rsidR="00E07EA2" w:rsidRPr="00837317">
        <w:t xml:space="preserve"> (</w:t>
      </w:r>
      <w:bookmarkStart w:id="42" w:name="dabmci_d89f94f5576a4eabb766afced8496cd7"/>
      <w:r w:rsidR="00E07EA2" w:rsidRPr="00837317">
        <w:rPr>
          <w:i/>
          <w:iCs/>
        </w:rPr>
        <w:t>Id</w:t>
      </w:r>
      <w:r w:rsidR="00E07EA2" w:rsidRPr="00837317">
        <w:t>. at p.</w:t>
      </w:r>
      <w:r w:rsidR="00C02621" w:rsidRPr="00837317">
        <w:t> </w:t>
      </w:r>
      <w:r w:rsidR="00E07EA2" w:rsidRPr="00837317">
        <w:t>731</w:t>
      </w:r>
      <w:bookmarkEnd w:id="42"/>
      <w:r w:rsidR="00E07EA2" w:rsidRPr="00837317">
        <w:t xml:space="preserve">.)  </w:t>
      </w:r>
      <w:r w:rsidR="00830545" w:rsidRPr="00837317">
        <w:t xml:space="preserve">The Court of Appeal </w:t>
      </w:r>
      <w:r w:rsidR="005D435B" w:rsidRPr="00837317">
        <w:t xml:space="preserve">directed the trial court to hold a new trial </w:t>
      </w:r>
      <w:r w:rsidR="00973264" w:rsidRPr="00837317">
        <w:t>on both claims</w:t>
      </w:r>
      <w:r w:rsidR="005D435B" w:rsidRPr="00837317">
        <w:t xml:space="preserve"> on remand</w:t>
      </w:r>
      <w:r w:rsidR="00831775">
        <w:t xml:space="preserve">, </w:t>
      </w:r>
      <w:r w:rsidR="0041551C">
        <w:t xml:space="preserve">and </w:t>
      </w:r>
      <w:r w:rsidR="00F26DB9">
        <w:t>added, “[a]</w:t>
      </w:r>
      <w:r w:rsidR="00F26DB9" w:rsidRPr="00F26DB9">
        <w:t>s to both, we leave it in the court</w:t>
      </w:r>
      <w:r w:rsidR="00855132">
        <w:t>’</w:t>
      </w:r>
      <w:r w:rsidR="00F26DB9" w:rsidRPr="00F26DB9">
        <w:t>s discretion to determine whether additional witnesses or other evidence will be allowed in light of the principles set forth in this opinion</w:t>
      </w:r>
      <w:r w:rsidR="00F26DB9">
        <w:t xml:space="preserve">.” </w:t>
      </w:r>
      <w:r w:rsidR="007E3FFC" w:rsidRPr="00837317">
        <w:t xml:space="preserve"> </w:t>
      </w:r>
      <w:r w:rsidR="00DD648F" w:rsidRPr="00837317">
        <w:t>(</w:t>
      </w:r>
      <w:bookmarkStart w:id="43" w:name="dabmci_a1612c988fc04dfb904a83cf7e8a2a5f"/>
      <w:r w:rsidR="00E07EA2" w:rsidRPr="00837317">
        <w:rPr>
          <w:i/>
          <w:iCs/>
        </w:rPr>
        <w:t>Ibid</w:t>
      </w:r>
      <w:r w:rsidR="00DD648F" w:rsidRPr="00837317">
        <w:t>.</w:t>
      </w:r>
      <w:bookmarkEnd w:id="43"/>
      <w:r w:rsidR="00DD648F" w:rsidRPr="00837317">
        <w:t>)</w:t>
      </w:r>
      <w:r w:rsidR="00517545">
        <w:rPr>
          <w:vertAlign w:val="superscript"/>
        </w:rPr>
        <w:t xml:space="preserve"> </w:t>
      </w:r>
    </w:p>
    <w:p w14:paraId="53FB6869" w14:textId="77777777" w:rsidR="00D42F35" w:rsidRPr="00837317" w:rsidRDefault="007742F5" w:rsidP="00837317">
      <w:pPr>
        <w:ind w:firstLine="720"/>
      </w:pPr>
      <w:r w:rsidRPr="00837317">
        <w:lastRenderedPageBreak/>
        <w:t>We granted Royalty’s petition for review</w:t>
      </w:r>
      <w:r w:rsidR="00E4525E" w:rsidRPr="00E4525E">
        <w:rPr>
          <w:rFonts w:ascii="Segoe UI" w:hAnsi="Segoe UI" w:cs="Segoe UI"/>
          <w:sz w:val="18"/>
          <w:szCs w:val="18"/>
        </w:rPr>
        <w:t xml:space="preserve"> </w:t>
      </w:r>
      <w:r w:rsidR="00E4525E" w:rsidRPr="00E4525E">
        <w:t xml:space="preserve">to resolve the issue dividing the appellate courts: </w:t>
      </w:r>
      <w:r w:rsidR="000921C6">
        <w:t xml:space="preserve"> </w:t>
      </w:r>
      <w:r w:rsidR="00E4525E" w:rsidRPr="00E4525E">
        <w:t>whether trial courts have inherent authority to strike a PAGA claim on manageability grounds</w:t>
      </w:r>
      <w:r w:rsidR="006E37F8">
        <w:t>.</w:t>
      </w:r>
    </w:p>
    <w:p w14:paraId="53FB686A" w14:textId="77777777" w:rsidR="001B6991" w:rsidRPr="00837317" w:rsidRDefault="007742F5" w:rsidP="00837317">
      <w:pPr>
        <w:pStyle w:val="Heading1"/>
      </w:pPr>
      <w:bookmarkStart w:id="44" w:name="_Toc134627237"/>
      <w:bookmarkStart w:id="45" w:name="_Toc135051346"/>
      <w:bookmarkStart w:id="46" w:name="_Toc135058485"/>
      <w:bookmarkStart w:id="47" w:name="_Toc123211645"/>
      <w:bookmarkStart w:id="48" w:name="_Toc123211808"/>
      <w:bookmarkEnd w:id="31"/>
      <w:bookmarkEnd w:id="32"/>
      <w:r w:rsidRPr="00837317">
        <w:t>II.</w:t>
      </w:r>
      <w:bookmarkEnd w:id="44"/>
      <w:bookmarkEnd w:id="45"/>
      <w:bookmarkEnd w:id="46"/>
      <w:r w:rsidRPr="00837317">
        <w:t xml:space="preserve"> </w:t>
      </w:r>
      <w:bookmarkStart w:id="49" w:name="_Toc134627238"/>
      <w:bookmarkStart w:id="50" w:name="_Toc135051347"/>
      <w:bookmarkStart w:id="51" w:name="_Toc135058486"/>
      <w:r w:rsidR="00CF64EC">
        <w:t xml:space="preserve"> </w:t>
      </w:r>
      <w:r w:rsidRPr="00837317">
        <w:t>Discussion</w:t>
      </w:r>
      <w:bookmarkEnd w:id="47"/>
      <w:bookmarkEnd w:id="48"/>
      <w:bookmarkEnd w:id="49"/>
      <w:bookmarkEnd w:id="50"/>
      <w:bookmarkEnd w:id="51"/>
    </w:p>
    <w:p w14:paraId="53FB686B" w14:textId="77777777" w:rsidR="00F04DC9" w:rsidRPr="00837317" w:rsidRDefault="007742F5" w:rsidP="0034123D">
      <w:pPr>
        <w:ind w:firstLine="720"/>
      </w:pPr>
      <w:bookmarkStart w:id="52" w:name="_Toc123211646"/>
      <w:bookmarkStart w:id="53" w:name="_Toc123211809"/>
      <w:bookmarkStart w:id="54" w:name="_Hlk133927779"/>
      <w:r w:rsidRPr="00837317">
        <w:t>Royalty and</w:t>
      </w:r>
      <w:r w:rsidR="00CC281E" w:rsidRPr="00837317">
        <w:t xml:space="preserve"> </w:t>
      </w:r>
      <w:r w:rsidRPr="00837317">
        <w:t>amici</w:t>
      </w:r>
      <w:r w:rsidR="00CC281E" w:rsidRPr="00837317">
        <w:t xml:space="preserve"> curiae</w:t>
      </w:r>
      <w:r>
        <w:rPr>
          <w:rStyle w:val="FootnoteReference"/>
        </w:rPr>
        <w:footnoteReference w:id="12"/>
      </w:r>
      <w:r w:rsidRPr="00837317">
        <w:t xml:space="preserve"> claim that California trial courts have inherent authority to strike PAGA claim</w:t>
      </w:r>
      <w:r w:rsidR="00804C74" w:rsidRPr="00837317">
        <w:t>s</w:t>
      </w:r>
      <w:r w:rsidRPr="00837317">
        <w:t xml:space="preserve"> on manageability grounds. </w:t>
      </w:r>
      <w:r w:rsidR="003A20DD" w:rsidRPr="00837317">
        <w:t xml:space="preserve"> </w:t>
      </w:r>
      <w:r w:rsidRPr="00837317">
        <w:t xml:space="preserve">In support of this </w:t>
      </w:r>
      <w:r w:rsidR="00CC281E" w:rsidRPr="00837317">
        <w:t>assertion</w:t>
      </w:r>
      <w:r w:rsidRPr="00837317">
        <w:t xml:space="preserve">, Royalty and amici </w:t>
      </w:r>
      <w:r w:rsidR="00CA4756" w:rsidRPr="00837317">
        <w:t xml:space="preserve">curiae </w:t>
      </w:r>
      <w:r w:rsidR="008D7E9E">
        <w:t xml:space="preserve">raise </w:t>
      </w:r>
      <w:r w:rsidR="00BF19D0">
        <w:t>two primary</w:t>
      </w:r>
      <w:r w:rsidRPr="00837317">
        <w:t xml:space="preserve"> arguments that differ in their conception of the scope of a trial court’s </w:t>
      </w:r>
      <w:r w:rsidRPr="00837317">
        <w:t xml:space="preserve">inherent authority.  Specifically, Royalty and amici </w:t>
      </w:r>
      <w:r w:rsidR="00486D63" w:rsidRPr="00837317">
        <w:t xml:space="preserve">curiae </w:t>
      </w:r>
      <w:r w:rsidRPr="00837317">
        <w:t>argue that a trial court may strike:</w:t>
      </w:r>
      <w:r w:rsidR="00C02621" w:rsidRPr="00837317">
        <w:t xml:space="preserve"> </w:t>
      </w:r>
      <w:r w:rsidR="00652362" w:rsidRPr="00837317">
        <w:t xml:space="preserve"> </w:t>
      </w:r>
      <w:r w:rsidRPr="00837317">
        <w:t>(1)</w:t>
      </w:r>
      <w:r w:rsidR="00C02621" w:rsidRPr="00837317">
        <w:t> </w:t>
      </w:r>
      <w:r w:rsidRPr="00837317">
        <w:rPr>
          <w:i/>
          <w:iCs/>
        </w:rPr>
        <w:t>any claim</w:t>
      </w:r>
      <w:r w:rsidRPr="00837317">
        <w:t xml:space="preserve"> that is unmanageable for reasons of judicial economy;</w:t>
      </w:r>
      <w:r w:rsidR="00CD6B1F">
        <w:t xml:space="preserve"> or</w:t>
      </w:r>
      <w:r w:rsidR="008D7E9E">
        <w:t>, at a minimum,</w:t>
      </w:r>
      <w:r w:rsidRPr="00837317">
        <w:t xml:space="preserve"> (2)</w:t>
      </w:r>
      <w:r w:rsidR="00C02621" w:rsidRPr="00837317">
        <w:t> </w:t>
      </w:r>
      <w:r w:rsidRPr="00837317">
        <w:rPr>
          <w:i/>
          <w:iCs/>
        </w:rPr>
        <w:t>any representative claim</w:t>
      </w:r>
      <w:r w:rsidRPr="00837317">
        <w:t xml:space="preserve"> that is unmanageable, as with class claims </w:t>
      </w:r>
      <w:r w:rsidRPr="00837317">
        <w:t xml:space="preserve">and representative claims brought under a former version of the </w:t>
      </w:r>
      <w:r w:rsidR="001431B6">
        <w:t>u</w:t>
      </w:r>
      <w:r w:rsidRPr="00837317">
        <w:t xml:space="preserve">nfair </w:t>
      </w:r>
      <w:r w:rsidR="001431B6">
        <w:t>c</w:t>
      </w:r>
      <w:r w:rsidRPr="00837317">
        <w:t xml:space="preserve">ompetition </w:t>
      </w:r>
      <w:r w:rsidR="001431B6">
        <w:t>l</w:t>
      </w:r>
      <w:r w:rsidRPr="00837317">
        <w:t xml:space="preserve">aw (UCL) (Bus. &amp; Prof. Code, </w:t>
      </w:r>
      <w:r w:rsidR="00693FF4" w:rsidRPr="00837317">
        <w:t xml:space="preserve">former </w:t>
      </w:r>
      <w:r w:rsidRPr="00837317">
        <w:t>§ 17200 et seq.)</w:t>
      </w:r>
      <w:r w:rsidR="00CD6B1F">
        <w:t xml:space="preserve">. </w:t>
      </w:r>
      <w:r w:rsidR="00DF0FAB">
        <w:t xml:space="preserve"> </w:t>
      </w:r>
      <w:r w:rsidR="00CD6B1F">
        <w:t>Royalty</w:t>
      </w:r>
      <w:r w:rsidR="00DF0FAB">
        <w:t xml:space="preserve"> also </w:t>
      </w:r>
      <w:r w:rsidR="0034123D">
        <w:t>suggests</w:t>
      </w:r>
      <w:r w:rsidR="00DF0FAB">
        <w:t xml:space="preserve"> that </w:t>
      </w:r>
      <w:r w:rsidR="00DF0FAB" w:rsidRPr="006F1E07">
        <w:t>retrial of th</w:t>
      </w:r>
      <w:r w:rsidR="00DF0FAB">
        <w:t>e plaintiffs</w:t>
      </w:r>
      <w:r w:rsidR="00450B08">
        <w:t>’</w:t>
      </w:r>
      <w:r w:rsidR="00DF0FAB" w:rsidRPr="006F1E07">
        <w:t xml:space="preserve"> </w:t>
      </w:r>
      <w:r w:rsidR="004E7CF0">
        <w:t xml:space="preserve">representative </w:t>
      </w:r>
      <w:r w:rsidR="00DF0FAB" w:rsidRPr="006F1E07">
        <w:t xml:space="preserve">PAGA claim </w:t>
      </w:r>
      <w:r w:rsidR="0034123D">
        <w:t>would</w:t>
      </w:r>
      <w:r w:rsidR="00DF0FAB" w:rsidRPr="006F1E07">
        <w:t xml:space="preserve"> violate </w:t>
      </w:r>
      <w:r w:rsidR="00450B08">
        <w:t>Royalty’s</w:t>
      </w:r>
      <w:r w:rsidR="00DF0FAB" w:rsidRPr="006F1E07">
        <w:t xml:space="preserve"> right to </w:t>
      </w:r>
      <w:r w:rsidR="00DF0FAB" w:rsidRPr="005920DF">
        <w:t>due process</w:t>
      </w:r>
      <w:r w:rsidR="00F915E4">
        <w:t xml:space="preserve"> and that </w:t>
      </w:r>
      <w:r w:rsidR="007A60EE">
        <w:t>trial courts must have discretion to strike PAGA claims in order to preserve the due process rights of defe</w:t>
      </w:r>
      <w:r w:rsidR="00A930D9">
        <w:t>n</w:t>
      </w:r>
      <w:r w:rsidR="007A60EE">
        <w:t>dants</w:t>
      </w:r>
      <w:r w:rsidR="00A930D9">
        <w:t xml:space="preserve"> generally</w:t>
      </w:r>
      <w:r w:rsidRPr="00837317">
        <w:t xml:space="preserve">.  After providing an overview of the </w:t>
      </w:r>
      <w:r w:rsidR="00A042EB" w:rsidRPr="00837317">
        <w:t xml:space="preserve">relevant </w:t>
      </w:r>
      <w:r w:rsidRPr="00837317">
        <w:t xml:space="preserve">law, </w:t>
      </w:r>
      <w:r w:rsidR="00373EF7">
        <w:t xml:space="preserve">we </w:t>
      </w:r>
      <w:r w:rsidRPr="00837317">
        <w:t xml:space="preserve">consider each </w:t>
      </w:r>
      <w:r w:rsidR="00A042EB" w:rsidRPr="00837317">
        <w:t xml:space="preserve">argument </w:t>
      </w:r>
      <w:r w:rsidRPr="00837317">
        <w:t xml:space="preserve">in turn. </w:t>
      </w:r>
      <w:r w:rsidR="00C02621" w:rsidRPr="00837317">
        <w:t xml:space="preserve"> </w:t>
      </w:r>
    </w:p>
    <w:p w14:paraId="53FB686C" w14:textId="77777777" w:rsidR="001B6991" w:rsidRPr="00837317" w:rsidRDefault="007742F5" w:rsidP="00837317">
      <w:pPr>
        <w:pStyle w:val="Heading2"/>
        <w:numPr>
          <w:ilvl w:val="0"/>
          <w:numId w:val="5"/>
        </w:numPr>
        <w:tabs>
          <w:tab w:val="clear" w:pos="1152"/>
        </w:tabs>
      </w:pPr>
      <w:bookmarkStart w:id="55" w:name="_Toc134627239"/>
      <w:bookmarkStart w:id="56" w:name="_Toc135051348"/>
      <w:bookmarkStart w:id="57" w:name="_Toc135058487"/>
      <w:bookmarkEnd w:id="52"/>
      <w:bookmarkEnd w:id="53"/>
      <w:r w:rsidRPr="00837317">
        <w:lastRenderedPageBreak/>
        <w:t>G</w:t>
      </w:r>
      <w:r w:rsidR="00B93621" w:rsidRPr="00837317">
        <w:t xml:space="preserve">overning </w:t>
      </w:r>
      <w:r w:rsidRPr="00837317">
        <w:t>L</w:t>
      </w:r>
      <w:r w:rsidR="00B93621" w:rsidRPr="00837317">
        <w:t>aw</w:t>
      </w:r>
      <w:bookmarkEnd w:id="55"/>
      <w:bookmarkEnd w:id="56"/>
      <w:bookmarkEnd w:id="57"/>
    </w:p>
    <w:bookmarkEnd w:id="54"/>
    <w:p w14:paraId="53FB686D" w14:textId="77777777" w:rsidR="001B6991" w:rsidRPr="00837317" w:rsidRDefault="007742F5" w:rsidP="00837317">
      <w:pPr>
        <w:ind w:firstLine="720"/>
      </w:pPr>
      <w:r w:rsidRPr="00837317">
        <w:t>W</w:t>
      </w:r>
      <w:r w:rsidR="00F8399E" w:rsidRPr="00837317">
        <w:t xml:space="preserve">e </w:t>
      </w:r>
      <w:r w:rsidRPr="00837317">
        <w:t xml:space="preserve">begin with </w:t>
      </w:r>
      <w:r w:rsidR="0036743F" w:rsidRPr="00837317">
        <w:t xml:space="preserve">an overview of the three </w:t>
      </w:r>
      <w:r w:rsidR="00D100B9" w:rsidRPr="00837317">
        <w:t xml:space="preserve">areas of law </w:t>
      </w:r>
      <w:r w:rsidR="008C1AB0" w:rsidRPr="00837317">
        <w:t>upon which</w:t>
      </w:r>
      <w:r w:rsidR="00492C32" w:rsidRPr="00837317">
        <w:t xml:space="preserve"> </w:t>
      </w:r>
      <w:r w:rsidRPr="00837317">
        <w:t>Royalty’s and amici</w:t>
      </w:r>
      <w:r w:rsidR="00203DF3" w:rsidRPr="00837317">
        <w:t xml:space="preserve"> curiae</w:t>
      </w:r>
      <w:r w:rsidRPr="00837317">
        <w:t>’s</w:t>
      </w:r>
      <w:r w:rsidR="008C1AB0" w:rsidRPr="00837317">
        <w:t xml:space="preserve"> arguments are </w:t>
      </w:r>
      <w:r w:rsidR="00823161">
        <w:t xml:space="preserve">primarily </w:t>
      </w:r>
      <w:r w:rsidR="008C1AB0" w:rsidRPr="00837317">
        <w:t>based</w:t>
      </w:r>
      <w:r w:rsidR="00D100B9" w:rsidRPr="00837317">
        <w:t>:</w:t>
      </w:r>
      <w:r w:rsidR="009B2E7C" w:rsidRPr="00837317">
        <w:t xml:space="preserve"> </w:t>
      </w:r>
      <w:r w:rsidR="00E7655B" w:rsidRPr="00837317">
        <w:t xml:space="preserve"> </w:t>
      </w:r>
      <w:r w:rsidR="00D100B9" w:rsidRPr="00837317">
        <w:t>Cal</w:t>
      </w:r>
      <w:r w:rsidR="009B2E7C" w:rsidRPr="00837317">
        <w:t>i</w:t>
      </w:r>
      <w:r w:rsidR="00D100B9" w:rsidRPr="00837317">
        <w:t>fornia courts’ inherent auth</w:t>
      </w:r>
      <w:r w:rsidR="009B2E7C" w:rsidRPr="00837317">
        <w:t>orit</w:t>
      </w:r>
      <w:r w:rsidR="00D100B9" w:rsidRPr="00837317">
        <w:t>y, the PAGA statute, and the concept of mana</w:t>
      </w:r>
      <w:r w:rsidR="009B2E7C" w:rsidRPr="00837317">
        <w:t>geability.</w:t>
      </w:r>
    </w:p>
    <w:p w14:paraId="53FB686E" w14:textId="77777777" w:rsidR="001B6991" w:rsidRPr="00837317" w:rsidRDefault="007742F5" w:rsidP="00837317">
      <w:pPr>
        <w:pStyle w:val="Heading3"/>
        <w:tabs>
          <w:tab w:val="clear" w:pos="1584"/>
        </w:tabs>
        <w:rPr>
          <w:i w:val="0"/>
          <w:iCs/>
        </w:rPr>
      </w:pPr>
      <w:bookmarkStart w:id="58" w:name="_Hlk133927834"/>
      <w:bookmarkStart w:id="59" w:name="_Toc123211648"/>
      <w:bookmarkStart w:id="60" w:name="_Toc123211811"/>
      <w:bookmarkStart w:id="61" w:name="_Toc134627240"/>
      <w:bookmarkStart w:id="62" w:name="_Toc135051349"/>
      <w:bookmarkStart w:id="63" w:name="_Toc135058488"/>
      <w:r w:rsidRPr="00837317">
        <w:rPr>
          <w:i w:val="0"/>
          <w:iCs/>
        </w:rPr>
        <w:t>1.</w:t>
      </w:r>
      <w:r w:rsidR="004A149F" w:rsidRPr="00837317">
        <w:rPr>
          <w:i w:val="0"/>
          <w:iCs/>
        </w:rPr>
        <w:t xml:space="preserve">  </w:t>
      </w:r>
      <w:r w:rsidR="004A149F" w:rsidRPr="00837317">
        <w:t>C</w:t>
      </w:r>
      <w:r w:rsidRPr="00837317">
        <w:t xml:space="preserve">ourts’ </w:t>
      </w:r>
      <w:r w:rsidR="004A149F" w:rsidRPr="00837317">
        <w:t>I</w:t>
      </w:r>
      <w:r w:rsidRPr="00837317">
        <w:t xml:space="preserve">nherent </w:t>
      </w:r>
      <w:r w:rsidR="004A149F" w:rsidRPr="00837317">
        <w:t>A</w:t>
      </w:r>
      <w:r w:rsidRPr="00837317">
        <w:t>uthority</w:t>
      </w:r>
      <w:bookmarkEnd w:id="58"/>
      <w:bookmarkEnd w:id="59"/>
      <w:bookmarkEnd w:id="60"/>
      <w:bookmarkEnd w:id="61"/>
      <w:bookmarkEnd w:id="62"/>
      <w:bookmarkEnd w:id="63"/>
    </w:p>
    <w:p w14:paraId="53FB686F" w14:textId="77777777" w:rsidR="00697AD8" w:rsidRPr="00837317" w:rsidRDefault="007742F5" w:rsidP="00837317">
      <w:pPr>
        <w:ind w:firstLine="720"/>
      </w:pPr>
      <w:r w:rsidRPr="00837317">
        <w:t xml:space="preserve">This </w:t>
      </w:r>
      <w:r w:rsidRPr="00837317">
        <w:t>court has</w:t>
      </w:r>
      <w:r w:rsidR="00657899" w:rsidRPr="00837317">
        <w:t xml:space="preserve"> identified</w:t>
      </w:r>
      <w:r w:rsidR="001B6991" w:rsidRPr="00837317">
        <w:t xml:space="preserve"> two </w:t>
      </w:r>
      <w:r w:rsidR="00B2541B" w:rsidRPr="00837317">
        <w:t xml:space="preserve">primary </w:t>
      </w:r>
      <w:r w:rsidR="001B6991" w:rsidRPr="00837317">
        <w:t xml:space="preserve">sources of </w:t>
      </w:r>
      <w:r w:rsidR="00657899" w:rsidRPr="00837317">
        <w:t xml:space="preserve">California courts’ </w:t>
      </w:r>
      <w:r w:rsidR="001B6991" w:rsidRPr="00837317">
        <w:t xml:space="preserve">inherent authority: </w:t>
      </w:r>
      <w:r w:rsidR="004A149F" w:rsidRPr="00837317">
        <w:t xml:space="preserve"> </w:t>
      </w:r>
      <w:r w:rsidR="001B6991" w:rsidRPr="00837317">
        <w:t>“equitable power derived from the historic power of equity courts [citation], and supervisory or administrative powers which all courts possess to enable them to carry out their duties.”  (</w:t>
      </w:r>
      <w:bookmarkStart w:id="64" w:name="dabmci_26867ade6bc74b1cb1e4e261ca8c62b5"/>
      <w:r w:rsidR="001B6991" w:rsidRPr="00837317">
        <w:rPr>
          <w:i/>
          <w:iCs/>
        </w:rPr>
        <w:t>Bauguess v. Paine</w:t>
      </w:r>
      <w:r w:rsidRPr="00837317">
        <w:t xml:space="preserve"> </w:t>
      </w:r>
      <w:r w:rsidR="001B6991" w:rsidRPr="00837317">
        <w:t>(1978)</w:t>
      </w:r>
      <w:r w:rsidR="0032117A" w:rsidRPr="00837317">
        <w:t xml:space="preserve"> </w:t>
      </w:r>
      <w:r w:rsidR="001B6991" w:rsidRPr="00837317">
        <w:t>22</w:t>
      </w:r>
      <w:r w:rsidR="0032117A" w:rsidRPr="00837317">
        <w:t> </w:t>
      </w:r>
      <w:r w:rsidR="001B6991" w:rsidRPr="00837317">
        <w:t>Cal.3d 626, 635 (</w:t>
      </w:r>
      <w:r w:rsidR="001B6991" w:rsidRPr="00837317">
        <w:rPr>
          <w:i/>
          <w:iCs/>
        </w:rPr>
        <w:t>Bauguess</w:t>
      </w:r>
      <w:r w:rsidR="001B6991" w:rsidRPr="00837317">
        <w:t>)</w:t>
      </w:r>
      <w:bookmarkEnd w:id="64"/>
      <w:r w:rsidR="001B6991" w:rsidRPr="00837317">
        <w:t>.)</w:t>
      </w:r>
    </w:p>
    <w:p w14:paraId="53FB6870" w14:textId="77777777" w:rsidR="004A149F" w:rsidRPr="00837317" w:rsidRDefault="007742F5" w:rsidP="00837317">
      <w:pPr>
        <w:ind w:firstLine="720"/>
      </w:pPr>
      <w:r w:rsidRPr="00837317">
        <w:t xml:space="preserve">These two sources of power have translated into two </w:t>
      </w:r>
      <w:r w:rsidR="00CA0D02" w:rsidRPr="00837317">
        <w:t>principal</w:t>
      </w:r>
      <w:r w:rsidR="00FD746F" w:rsidRPr="00837317">
        <w:t xml:space="preserve"> ways in which </w:t>
      </w:r>
      <w:r w:rsidR="001B6991" w:rsidRPr="00837317">
        <w:t>California courts</w:t>
      </w:r>
      <w:r w:rsidR="006D5234" w:rsidRPr="00837317">
        <w:t xml:space="preserve"> have </w:t>
      </w:r>
      <w:r w:rsidR="00FD746F" w:rsidRPr="00837317">
        <w:t xml:space="preserve">exercised </w:t>
      </w:r>
      <w:r w:rsidR="001D1481" w:rsidRPr="00837317">
        <w:t>the</w:t>
      </w:r>
      <w:r w:rsidR="002F2941" w:rsidRPr="00837317">
        <w:t>ir</w:t>
      </w:r>
      <w:r w:rsidR="001D1481" w:rsidRPr="00837317">
        <w:t xml:space="preserve"> </w:t>
      </w:r>
      <w:r w:rsidR="001B6991" w:rsidRPr="00837317">
        <w:t xml:space="preserve">inherent </w:t>
      </w:r>
      <w:r w:rsidR="001D1481" w:rsidRPr="00837317">
        <w:t>authority</w:t>
      </w:r>
      <w:r w:rsidR="00525DB8" w:rsidRPr="00837317">
        <w:t xml:space="preserve">, namely: </w:t>
      </w:r>
      <w:r w:rsidRPr="00837317">
        <w:t xml:space="preserve"> </w:t>
      </w:r>
      <w:r w:rsidR="001B6991" w:rsidRPr="00837317">
        <w:t>(1)</w:t>
      </w:r>
      <w:r w:rsidRPr="00837317">
        <w:t> </w:t>
      </w:r>
      <w:r w:rsidR="001C78F9" w:rsidRPr="00837317">
        <w:t xml:space="preserve">to </w:t>
      </w:r>
      <w:r w:rsidR="0026569A" w:rsidRPr="00837317">
        <w:t>address gaps in the law</w:t>
      </w:r>
      <w:r w:rsidR="00FE4035" w:rsidRPr="00837317">
        <w:t xml:space="preserve"> </w:t>
      </w:r>
      <w:r w:rsidR="00B25B31" w:rsidRPr="00837317">
        <w:t xml:space="preserve">by applying </w:t>
      </w:r>
      <w:r w:rsidR="00AE23D1" w:rsidRPr="00837317">
        <w:t>procedures contained</w:t>
      </w:r>
      <w:r w:rsidR="001B6991" w:rsidRPr="00837317">
        <w:t xml:space="preserve"> </w:t>
      </w:r>
      <w:r w:rsidR="00AE23D1" w:rsidRPr="00837317">
        <w:t xml:space="preserve">in </w:t>
      </w:r>
      <w:r w:rsidR="001B6991" w:rsidRPr="00837317">
        <w:t>related statutory provisions (see</w:t>
      </w:r>
      <w:r w:rsidR="003136BC" w:rsidRPr="00837317">
        <w:t>, e.g.,</w:t>
      </w:r>
      <w:r w:rsidR="001B6991" w:rsidRPr="00837317">
        <w:t xml:space="preserve"> </w:t>
      </w:r>
      <w:bookmarkStart w:id="65" w:name="dabmci_f8e9e802911045b2977a6ace98cf3146"/>
      <w:r w:rsidR="000D2ECF" w:rsidRPr="00837317">
        <w:rPr>
          <w:i/>
          <w:iCs/>
        </w:rPr>
        <w:t xml:space="preserve">People v. Arredondo </w:t>
      </w:r>
      <w:r w:rsidR="000D2ECF" w:rsidRPr="00837317">
        <w:t>(2019) 8</w:t>
      </w:r>
      <w:r w:rsidRPr="00837317">
        <w:t> </w:t>
      </w:r>
      <w:r w:rsidR="000D2ECF" w:rsidRPr="00837317">
        <w:t xml:space="preserve">Cal.5th 694, </w:t>
      </w:r>
      <w:r w:rsidR="00CC281E" w:rsidRPr="00837317">
        <w:t>7</w:t>
      </w:r>
      <w:r w:rsidR="000D2ECF" w:rsidRPr="00837317">
        <w:t>07</w:t>
      </w:r>
      <w:bookmarkEnd w:id="65"/>
      <w:r w:rsidR="000D2ECF" w:rsidRPr="00837317">
        <w:t xml:space="preserve"> [courts may “ ‘</w:t>
      </w:r>
      <w:r w:rsidR="00603487" w:rsidRPr="00837317">
        <w:t> “</w:t>
      </w:r>
      <w:r w:rsidR="000D2ECF" w:rsidRPr="00837317">
        <w:t>create new forms of procedures</w:t>
      </w:r>
      <w:r w:rsidR="00603487" w:rsidRPr="00837317">
        <w:t>”</w:t>
      </w:r>
      <w:r w:rsidR="000D2ECF" w:rsidRPr="00837317">
        <w:t xml:space="preserve"> in the gaps left unaddressed by statutes and the rules of court</w:t>
      </w:r>
      <w:r w:rsidR="00B84B91" w:rsidRPr="00837317">
        <w:t>’ </w:t>
      </w:r>
      <w:r w:rsidR="000D2ECF" w:rsidRPr="00837317">
        <w:t xml:space="preserve">”]; </w:t>
      </w:r>
      <w:bookmarkStart w:id="66" w:name="dabmci_8fb41b9205ac427aa565e17e87a9580f"/>
      <w:r w:rsidR="001B6991" w:rsidRPr="00837317">
        <w:rPr>
          <w:i/>
          <w:iCs/>
        </w:rPr>
        <w:t>In re Cook</w:t>
      </w:r>
      <w:r w:rsidR="001B6991" w:rsidRPr="00837317">
        <w:t xml:space="preserve"> (2019) 7</w:t>
      </w:r>
      <w:r w:rsidRPr="00837317">
        <w:t> </w:t>
      </w:r>
      <w:r w:rsidR="001B6991" w:rsidRPr="00837317">
        <w:t>Cal.5th 439, 446–447</w:t>
      </w:r>
      <w:bookmarkEnd w:id="66"/>
      <w:r w:rsidR="001B6991" w:rsidRPr="00837317">
        <w:t xml:space="preserve"> [courts have inherent authority to apply Pen</w:t>
      </w:r>
      <w:r w:rsidR="00B84B91" w:rsidRPr="00837317">
        <w:t>.</w:t>
      </w:r>
      <w:r w:rsidR="001B6991" w:rsidRPr="00837317">
        <w:t xml:space="preserve"> Code</w:t>
      </w:r>
      <w:r w:rsidR="00B84B91" w:rsidRPr="00837317">
        <w:t>,</w:t>
      </w:r>
      <w:r w:rsidR="001B6991" w:rsidRPr="00837317">
        <w:t xml:space="preserve"> </w:t>
      </w:r>
      <w:r w:rsidR="002803E9" w:rsidRPr="00837317">
        <w:t>§</w:t>
      </w:r>
      <w:r w:rsidRPr="00837317">
        <w:t> </w:t>
      </w:r>
      <w:r w:rsidR="001B6991" w:rsidRPr="00837317">
        <w:t>1203.</w:t>
      </w:r>
      <w:r w:rsidR="00B84B91" w:rsidRPr="00837317">
        <w:t>0</w:t>
      </w:r>
      <w:r w:rsidR="001B6991" w:rsidRPr="00837317">
        <w:t>1 to preserve evidence of youth-related factors for a</w:t>
      </w:r>
      <w:r w:rsidR="00B2541B" w:rsidRPr="00837317">
        <w:t xml:space="preserve"> </w:t>
      </w:r>
      <w:r w:rsidR="001B6991" w:rsidRPr="00837317">
        <w:t>hearing</w:t>
      </w:r>
      <w:r w:rsidR="00B2541B" w:rsidRPr="00837317">
        <w:t xml:space="preserve"> </w:t>
      </w:r>
      <w:r w:rsidR="00BC253E" w:rsidRPr="00837317">
        <w:t xml:space="preserve">to be held </w:t>
      </w:r>
      <w:r w:rsidR="00B2541B" w:rsidRPr="00837317">
        <w:t xml:space="preserve">pursuant to </w:t>
      </w:r>
      <w:bookmarkStart w:id="67" w:name="dabmci_a11ff25485bd46559c757e31ac70a8ba"/>
      <w:r w:rsidR="00B2541B" w:rsidRPr="00837317">
        <w:rPr>
          <w:i/>
          <w:iCs/>
        </w:rPr>
        <w:t>People v. Franklin</w:t>
      </w:r>
      <w:r w:rsidR="00B2541B" w:rsidRPr="00837317">
        <w:t> (2016) 63</w:t>
      </w:r>
      <w:r w:rsidR="00183754" w:rsidRPr="00837317">
        <w:t> </w:t>
      </w:r>
      <w:r w:rsidR="00B2541B" w:rsidRPr="00837317">
        <w:t>Cal.4th 261</w:t>
      </w:r>
      <w:bookmarkEnd w:id="67"/>
      <w:r w:rsidR="001B6991" w:rsidRPr="00837317">
        <w:t>]</w:t>
      </w:r>
      <w:r w:rsidR="00DB6677" w:rsidRPr="00837317">
        <w:t>)</w:t>
      </w:r>
      <w:r w:rsidR="001B6991" w:rsidRPr="00837317">
        <w:t xml:space="preserve">; </w:t>
      </w:r>
      <w:r w:rsidR="00745AB8" w:rsidRPr="00837317">
        <w:t>and</w:t>
      </w:r>
      <w:r w:rsidR="001B6991" w:rsidRPr="00837317">
        <w:t xml:space="preserve"> (2)</w:t>
      </w:r>
      <w:r w:rsidRPr="00837317">
        <w:t> </w:t>
      </w:r>
      <w:r w:rsidR="00FD746F" w:rsidRPr="00837317">
        <w:t xml:space="preserve">to </w:t>
      </w:r>
      <w:r w:rsidR="008F6180" w:rsidRPr="00837317">
        <w:t>adopt</w:t>
      </w:r>
      <w:r w:rsidR="001B6991" w:rsidRPr="00837317">
        <w:t xml:space="preserve"> procedures </w:t>
      </w:r>
      <w:r w:rsidR="0010407B" w:rsidRPr="00837317">
        <w:t xml:space="preserve">necessary </w:t>
      </w:r>
      <w:r w:rsidR="001B6991" w:rsidRPr="00837317">
        <w:t xml:space="preserve">to </w:t>
      </w:r>
      <w:r w:rsidR="0010407B" w:rsidRPr="00837317">
        <w:t xml:space="preserve">perform essential judicial </w:t>
      </w:r>
      <w:r w:rsidR="001B6991" w:rsidRPr="00837317">
        <w:t>function</w:t>
      </w:r>
      <w:r w:rsidR="0010407B" w:rsidRPr="00837317">
        <w:t>s</w:t>
      </w:r>
      <w:r w:rsidR="001B6991" w:rsidRPr="00837317">
        <w:t xml:space="preserve"> (see</w:t>
      </w:r>
      <w:r w:rsidR="003136BC" w:rsidRPr="00837317">
        <w:t xml:space="preserve">, e.g., </w:t>
      </w:r>
      <w:bookmarkStart w:id="68" w:name="dabmci_b077c6c8521b4621bd582727c13e4e16"/>
      <w:r w:rsidR="000F49E4" w:rsidRPr="00837317">
        <w:rPr>
          <w:i/>
          <w:iCs/>
        </w:rPr>
        <w:t>Citizens Utilities Co. v. Superior Court</w:t>
      </w:r>
      <w:r w:rsidR="000F49E4" w:rsidRPr="00837317">
        <w:t> (1963) 59 Cal.2d 805, 813 (</w:t>
      </w:r>
      <w:r w:rsidR="000F49E4" w:rsidRPr="00837317">
        <w:rPr>
          <w:i/>
          <w:iCs/>
        </w:rPr>
        <w:t>Citizens Utilities</w:t>
      </w:r>
      <w:r w:rsidR="000C2E97" w:rsidRPr="00837317">
        <w:t>)</w:t>
      </w:r>
      <w:bookmarkEnd w:id="68"/>
      <w:r w:rsidR="000F49E4" w:rsidRPr="00837317">
        <w:t xml:space="preserve"> [courts have inherent power to determine the appropriate amount of just compensation</w:t>
      </w:r>
      <w:r w:rsidR="000D7A63" w:rsidRPr="00837317">
        <w:t xml:space="preserve"> for inverse condemnation</w:t>
      </w:r>
      <w:r w:rsidR="000F49E4" w:rsidRPr="00837317">
        <w:t xml:space="preserve">]; </w:t>
      </w:r>
      <w:bookmarkStart w:id="69" w:name="dabmci_c9b8acb8240c442cb4660593a0b8cd70"/>
      <w:r w:rsidR="001B6991" w:rsidRPr="00837317">
        <w:rPr>
          <w:i/>
          <w:iCs/>
        </w:rPr>
        <w:t xml:space="preserve">James </w:t>
      </w:r>
      <w:r w:rsidR="00CD3FF5">
        <w:rPr>
          <w:i/>
          <w:iCs/>
        </w:rPr>
        <w:t xml:space="preserve">H. </w:t>
      </w:r>
      <w:r w:rsidR="001B6991" w:rsidRPr="00837317">
        <w:rPr>
          <w:i/>
          <w:iCs/>
        </w:rPr>
        <w:t xml:space="preserve">v. Superior Court </w:t>
      </w:r>
      <w:r w:rsidR="001B6991" w:rsidRPr="00837317">
        <w:t>(1978) 77</w:t>
      </w:r>
      <w:r w:rsidR="000F530F" w:rsidRPr="00837317">
        <w:t> </w:t>
      </w:r>
      <w:r w:rsidR="001B6991" w:rsidRPr="00837317">
        <w:t xml:space="preserve">Cal.App.3d 169, 175 </w:t>
      </w:r>
      <w:r w:rsidR="00355D68" w:rsidRPr="00837317">
        <w:t>(</w:t>
      </w:r>
      <w:r w:rsidR="00355D68" w:rsidRPr="00837317">
        <w:rPr>
          <w:i/>
          <w:iCs/>
        </w:rPr>
        <w:t>James</w:t>
      </w:r>
      <w:r w:rsidR="00E01C61">
        <w:rPr>
          <w:i/>
          <w:iCs/>
        </w:rPr>
        <w:t xml:space="preserve"> H.</w:t>
      </w:r>
      <w:r w:rsidR="00355D68" w:rsidRPr="00837317">
        <w:t>)</w:t>
      </w:r>
      <w:bookmarkEnd w:id="69"/>
      <w:r w:rsidR="00355D68" w:rsidRPr="00837317">
        <w:t xml:space="preserve"> </w:t>
      </w:r>
      <w:r w:rsidR="001B6991" w:rsidRPr="00837317">
        <w:t>[courts have the inherent power to determine a minor’s mental competence])</w:t>
      </w:r>
      <w:r w:rsidR="00EB1935" w:rsidRPr="00837317">
        <w:t>.</w:t>
      </w:r>
    </w:p>
    <w:p w14:paraId="53FB6871" w14:textId="77777777" w:rsidR="008C2849" w:rsidRPr="00837317" w:rsidRDefault="007742F5" w:rsidP="00837317">
      <w:pPr>
        <w:ind w:firstLine="720"/>
      </w:pPr>
      <w:r w:rsidRPr="00837317">
        <w:lastRenderedPageBreak/>
        <w:t>On the other hand</w:t>
      </w:r>
      <w:r w:rsidR="00E71EBC" w:rsidRPr="00837317">
        <w:t xml:space="preserve">, </w:t>
      </w:r>
      <w:r w:rsidR="001B6991" w:rsidRPr="00837317">
        <w:t>“Courts</w:t>
      </w:r>
      <w:r w:rsidR="004A149F" w:rsidRPr="00837317">
        <w:t> </w:t>
      </w:r>
      <w:r w:rsidR="001B6991" w:rsidRPr="00837317">
        <w:t>.</w:t>
      </w:r>
      <w:r w:rsidR="004A149F" w:rsidRPr="00837317">
        <w:t> </w:t>
      </w:r>
      <w:r w:rsidR="001B6991" w:rsidRPr="00837317">
        <w:t>.</w:t>
      </w:r>
      <w:r w:rsidR="004A149F" w:rsidRPr="00837317">
        <w:t> </w:t>
      </w:r>
      <w:r w:rsidR="001B6991" w:rsidRPr="00837317">
        <w:t>.</w:t>
      </w:r>
      <w:r w:rsidR="004A149F" w:rsidRPr="00837317">
        <w:t> </w:t>
      </w:r>
      <w:r w:rsidR="001B6991" w:rsidRPr="00837317">
        <w:t>do not have the authority to adopt procedures or policies that conflict with statutory law</w:t>
      </w:r>
      <w:r w:rsidR="004A149F" w:rsidRPr="00837317">
        <w:t> </w:t>
      </w:r>
      <w:r w:rsidR="001B6991" w:rsidRPr="00837317">
        <w:t>.</w:t>
      </w:r>
      <w:r w:rsidR="004A149F" w:rsidRPr="00837317">
        <w:t> </w:t>
      </w:r>
      <w:r w:rsidR="001B6991" w:rsidRPr="00837317">
        <w:t>.</w:t>
      </w:r>
      <w:r w:rsidR="004A149F" w:rsidRPr="00837317">
        <w:t> </w:t>
      </w:r>
      <w:r w:rsidR="001B6991" w:rsidRPr="00837317">
        <w:t>.</w:t>
      </w:r>
      <w:r w:rsidR="004A149F" w:rsidRPr="00837317">
        <w:t> </w:t>
      </w:r>
      <w:r w:rsidR="001B6991" w:rsidRPr="00837317">
        <w:t xml:space="preserve">.”  </w:t>
      </w:r>
      <w:r w:rsidRPr="00837317">
        <w:t>(</w:t>
      </w:r>
      <w:bookmarkStart w:id="70" w:name="dabmci_cc57ff5b256c493c8f84d79c102e98f8"/>
      <w:r w:rsidRPr="00837317">
        <w:rPr>
          <w:i/>
          <w:iCs/>
        </w:rPr>
        <w:t>Weiss v. People ex rel. Dep</w:t>
      </w:r>
      <w:r w:rsidR="00EB7C48">
        <w:rPr>
          <w:i/>
          <w:iCs/>
        </w:rPr>
        <w:t xml:space="preserve">t. of Transportation </w:t>
      </w:r>
      <w:r w:rsidRPr="00837317">
        <w:t>(2020) 9 Cal.5th 840, 857 (</w:t>
      </w:r>
      <w:r w:rsidRPr="00837317">
        <w:rPr>
          <w:i/>
          <w:iCs/>
        </w:rPr>
        <w:t>Weiss</w:t>
      </w:r>
      <w:r w:rsidRPr="00837317">
        <w:t>)</w:t>
      </w:r>
      <w:bookmarkEnd w:id="70"/>
      <w:r w:rsidRPr="00837317">
        <w:t>.)</w:t>
      </w:r>
      <w:r w:rsidR="001B6991" w:rsidRPr="00837317">
        <w:t xml:space="preserve">  “</w:t>
      </w:r>
      <w:r w:rsidR="004B71FF">
        <w:t> ‘</w:t>
      </w:r>
      <w:r w:rsidR="001B6991" w:rsidRPr="00837317">
        <w:t>[I]nherent powers should never be exercised in such a manner as to nullify existing legislation or frustrate legitimate legislative policy.</w:t>
      </w:r>
      <w:r w:rsidR="004B71FF">
        <w:t>’ </w:t>
      </w:r>
      <w:r w:rsidR="001B6991" w:rsidRPr="00837317">
        <w:t>”  (</w:t>
      </w:r>
      <w:bookmarkStart w:id="71" w:name="dabmci_877db3521b0d4c6882e04e6eaccf75e4"/>
      <w:r w:rsidR="001B6991" w:rsidRPr="00837317">
        <w:rPr>
          <w:i/>
          <w:iCs/>
        </w:rPr>
        <w:t>People v. Mun</w:t>
      </w:r>
      <w:r w:rsidR="00D01F5A" w:rsidRPr="00837317">
        <w:rPr>
          <w:i/>
          <w:iCs/>
        </w:rPr>
        <w:t xml:space="preserve">icipal Court </w:t>
      </w:r>
      <w:r w:rsidR="001B6991" w:rsidRPr="00837317">
        <w:t>(</w:t>
      </w:r>
      <w:r w:rsidR="001B6991" w:rsidRPr="00837317">
        <w:rPr>
          <w:i/>
          <w:iCs/>
        </w:rPr>
        <w:t>Runyan</w:t>
      </w:r>
      <w:r w:rsidR="001B6991" w:rsidRPr="00837317">
        <w:t>)</w:t>
      </w:r>
      <w:r w:rsidR="001B6991" w:rsidRPr="00837317">
        <w:rPr>
          <w:i/>
          <w:iCs/>
        </w:rPr>
        <w:t xml:space="preserve"> </w:t>
      </w:r>
      <w:r w:rsidR="001B6991" w:rsidRPr="00837317">
        <w:t>(1978) 20</w:t>
      </w:r>
      <w:r w:rsidR="00ED47A2" w:rsidRPr="00837317">
        <w:t> </w:t>
      </w:r>
      <w:r w:rsidR="001B6991" w:rsidRPr="00837317">
        <w:t>Cal.3d 523, 528</w:t>
      </w:r>
      <w:r w:rsidR="00A56CC1" w:rsidRPr="00837317">
        <w:t xml:space="preserve"> (</w:t>
      </w:r>
      <w:r w:rsidR="00A56CC1" w:rsidRPr="00837317">
        <w:rPr>
          <w:i/>
          <w:iCs/>
        </w:rPr>
        <w:t>Runyan</w:t>
      </w:r>
      <w:r w:rsidR="00A56CC1" w:rsidRPr="00837317">
        <w:t>)</w:t>
      </w:r>
      <w:bookmarkEnd w:id="71"/>
      <w:r w:rsidR="004B71FF">
        <w:t>, italics omitted</w:t>
      </w:r>
      <w:r w:rsidR="001B6991" w:rsidRPr="00837317">
        <w:t>.)</w:t>
      </w:r>
    </w:p>
    <w:p w14:paraId="53FB6872" w14:textId="77777777" w:rsidR="00BE55F2" w:rsidRPr="00837317" w:rsidRDefault="007742F5" w:rsidP="00837317">
      <w:pPr>
        <w:ind w:firstLine="720"/>
      </w:pPr>
      <w:r w:rsidRPr="00837317">
        <w:t>More specifically, w</w:t>
      </w:r>
      <w:r w:rsidR="001B6991" w:rsidRPr="00837317">
        <w:t xml:space="preserve">here the Legislature has provided for certain procedures in one context, courts </w:t>
      </w:r>
      <w:r w:rsidR="00A042EB" w:rsidRPr="00837317">
        <w:t xml:space="preserve">generally </w:t>
      </w:r>
      <w:r w:rsidR="001B6991" w:rsidRPr="00837317">
        <w:t>lack inherent authority to apply the procedure in a</w:t>
      </w:r>
      <w:r w:rsidR="00A4536B" w:rsidRPr="00837317">
        <w:t xml:space="preserve">n inapposite </w:t>
      </w:r>
      <w:r w:rsidR="001B6991" w:rsidRPr="00837317">
        <w:t>context.  (</w:t>
      </w:r>
      <w:r w:rsidR="0041391B" w:rsidRPr="00837317">
        <w:t xml:space="preserve">See </w:t>
      </w:r>
      <w:bookmarkStart w:id="72" w:name="dabmci_88582297f5cd408abc1b01bc1be7586f"/>
      <w:r w:rsidR="00F96947" w:rsidRPr="00837317">
        <w:rPr>
          <w:i/>
          <w:iCs/>
        </w:rPr>
        <w:t>Weiss</w:t>
      </w:r>
      <w:r w:rsidR="00F96947" w:rsidRPr="00837317">
        <w:t>,</w:t>
      </w:r>
      <w:r w:rsidR="004A149F" w:rsidRPr="00837317">
        <w:t xml:space="preserve"> </w:t>
      </w:r>
      <w:r w:rsidR="00F96947" w:rsidRPr="00837317">
        <w:rPr>
          <w:i/>
          <w:iCs/>
        </w:rPr>
        <w:t>supra</w:t>
      </w:r>
      <w:r w:rsidR="00F96947" w:rsidRPr="00837317">
        <w:t>,</w:t>
      </w:r>
      <w:r w:rsidR="004A149F" w:rsidRPr="00837317">
        <w:t xml:space="preserve"> </w:t>
      </w:r>
      <w:r w:rsidR="00F96947" w:rsidRPr="00837317">
        <w:t>9</w:t>
      </w:r>
      <w:r w:rsidR="004A149F" w:rsidRPr="00837317">
        <w:t> </w:t>
      </w:r>
      <w:r w:rsidR="00F96947" w:rsidRPr="00837317">
        <w:t>Cal.5th at p.</w:t>
      </w:r>
      <w:r w:rsidR="004A149F" w:rsidRPr="00837317">
        <w:t> </w:t>
      </w:r>
      <w:r w:rsidR="00F96947" w:rsidRPr="00837317">
        <w:t>865</w:t>
      </w:r>
      <w:bookmarkEnd w:id="72"/>
      <w:r w:rsidR="00F96947" w:rsidRPr="00837317">
        <w:t xml:space="preserve"> [courts lack inherent authority to import certain eminent domain procedures into inverse condemnation actions]; </w:t>
      </w:r>
      <w:bookmarkStart w:id="73" w:name="dabmci_064cccbdc855453db100c3cc666cad4c"/>
      <w:r w:rsidR="001B6991" w:rsidRPr="00837317">
        <w:rPr>
          <w:i/>
          <w:iCs/>
        </w:rPr>
        <w:t>Kraus v. Trinity Management Services, Inc.</w:t>
      </w:r>
      <w:r w:rsidR="001B6991" w:rsidRPr="00837317">
        <w:t> (2000) 23</w:t>
      </w:r>
      <w:r w:rsidR="00A042EB" w:rsidRPr="00837317">
        <w:t> </w:t>
      </w:r>
      <w:r w:rsidR="001B6991" w:rsidRPr="00837317">
        <w:t>Cal.4th 116, 137 (</w:t>
      </w:r>
      <w:r w:rsidR="001B6991" w:rsidRPr="00837317">
        <w:rPr>
          <w:i/>
          <w:iCs/>
        </w:rPr>
        <w:t>Kraus</w:t>
      </w:r>
      <w:r w:rsidR="001B6991" w:rsidRPr="00837317">
        <w:t>)</w:t>
      </w:r>
      <w:bookmarkEnd w:id="73"/>
      <w:r w:rsidR="001B6991" w:rsidRPr="00837317">
        <w:t xml:space="preserve"> [courts lack inherent authority to “fashion a fluid recovery remedy [in a representative UCL action] when the action has not been certified as </w:t>
      </w:r>
      <w:r w:rsidR="00CA2709" w:rsidRPr="00837317">
        <w:t xml:space="preserve">a </w:t>
      </w:r>
      <w:r w:rsidR="001B6991" w:rsidRPr="00837317">
        <w:t>class action” in part because “the Legislature has not expressly authorized monetary relief other than restitution in UCL actions, but has authorized disgorgement into a</w:t>
      </w:r>
      <w:r w:rsidR="004A149F" w:rsidRPr="00837317">
        <w:t xml:space="preserve"> </w:t>
      </w:r>
      <w:r w:rsidR="001B6991" w:rsidRPr="00837317">
        <w:t>fluid</w:t>
      </w:r>
      <w:r w:rsidR="004A149F" w:rsidRPr="00837317">
        <w:t xml:space="preserve"> </w:t>
      </w:r>
      <w:r w:rsidR="001B6991" w:rsidRPr="00837317">
        <w:t>recovery</w:t>
      </w:r>
      <w:r w:rsidR="004A149F" w:rsidRPr="00837317">
        <w:t xml:space="preserve"> </w:t>
      </w:r>
      <w:r w:rsidR="001B6991" w:rsidRPr="00837317">
        <w:t xml:space="preserve">fund in class actions”]; </w:t>
      </w:r>
      <w:bookmarkStart w:id="74" w:name="dabmci_ea1cdbb1e837410ab28a6cc24af9e3ee"/>
      <w:r w:rsidR="00074D3E" w:rsidRPr="00837317">
        <w:rPr>
          <w:i/>
          <w:iCs/>
        </w:rPr>
        <w:t>Bauguess</w:t>
      </w:r>
      <w:r w:rsidR="00074D3E" w:rsidRPr="00837317">
        <w:t>,</w:t>
      </w:r>
      <w:r w:rsidR="004A149F" w:rsidRPr="00837317">
        <w:t xml:space="preserve"> </w:t>
      </w:r>
      <w:r w:rsidR="00074D3E" w:rsidRPr="00837317">
        <w:rPr>
          <w:i/>
          <w:iCs/>
        </w:rPr>
        <w:t>supra</w:t>
      </w:r>
      <w:r w:rsidR="00074D3E" w:rsidRPr="00837317">
        <w:t>,</w:t>
      </w:r>
      <w:r w:rsidR="004A149F" w:rsidRPr="00837317">
        <w:t xml:space="preserve"> </w:t>
      </w:r>
      <w:r w:rsidR="00074D3E" w:rsidRPr="00837317">
        <w:t>22</w:t>
      </w:r>
      <w:r w:rsidR="004A149F" w:rsidRPr="00837317">
        <w:t> </w:t>
      </w:r>
      <w:r w:rsidR="00074D3E" w:rsidRPr="00837317">
        <w:t>Cal.3d at p.</w:t>
      </w:r>
      <w:r w:rsidR="004A149F" w:rsidRPr="00837317">
        <w:t> </w:t>
      </w:r>
      <w:r w:rsidR="00074D3E" w:rsidRPr="00837317">
        <w:t>637</w:t>
      </w:r>
      <w:bookmarkEnd w:id="74"/>
      <w:r w:rsidR="00074D3E" w:rsidRPr="00837317">
        <w:t xml:space="preserve"> [“</w:t>
      </w:r>
      <w:r w:rsidR="00187383">
        <w:t>I</w:t>
      </w:r>
      <w:r w:rsidR="00074D3E" w:rsidRPr="00837317">
        <w:t>t would be both unnecessary and unwise to permit trial courts to use fee awards as sanctions apart from those situations authorized by statute”].</w:t>
      </w:r>
      <w:r w:rsidR="001B6991" w:rsidRPr="00837317">
        <w:t>)</w:t>
      </w:r>
    </w:p>
    <w:p w14:paraId="53FB6873" w14:textId="77777777" w:rsidR="001B6991" w:rsidRPr="00837317" w:rsidRDefault="007742F5" w:rsidP="00837317">
      <w:pPr>
        <w:ind w:firstLine="720"/>
      </w:pPr>
      <w:r w:rsidRPr="00837317">
        <w:t>A</w:t>
      </w:r>
      <w:r w:rsidR="0098236D" w:rsidRPr="00837317">
        <w:t>nd,</w:t>
      </w:r>
      <w:r w:rsidR="00A042EB" w:rsidRPr="00837317">
        <w:t xml:space="preserve"> </w:t>
      </w:r>
      <w:r w:rsidRPr="00837317">
        <w:t>w</w:t>
      </w:r>
      <w:r w:rsidR="008E63E4" w:rsidRPr="00837317">
        <w:t xml:space="preserve">ith respect to the </w:t>
      </w:r>
      <w:r w:rsidR="00405011" w:rsidRPr="00837317">
        <w:t>form</w:t>
      </w:r>
      <w:r w:rsidR="008E63E4" w:rsidRPr="00837317">
        <w:t xml:space="preserve"> of authority at issue </w:t>
      </w:r>
      <w:r w:rsidR="0098236D" w:rsidRPr="00837317">
        <w:t>here</w:t>
      </w:r>
      <w:r w:rsidR="008E63E4" w:rsidRPr="00837317">
        <w:t xml:space="preserve">, the power to </w:t>
      </w:r>
      <w:r w:rsidR="00A30023" w:rsidRPr="00837317">
        <w:t xml:space="preserve">strike </w:t>
      </w:r>
      <w:r w:rsidR="008E63E4" w:rsidRPr="00837317">
        <w:t>a c</w:t>
      </w:r>
      <w:r w:rsidR="00CC4EE5" w:rsidRPr="00837317">
        <w:t>laim</w:t>
      </w:r>
      <w:r w:rsidR="008E63E4" w:rsidRPr="00837317">
        <w:t xml:space="preserve">, </w:t>
      </w:r>
      <w:r w:rsidR="00E4525E">
        <w:t>w</w:t>
      </w:r>
      <w:r w:rsidRPr="00837317">
        <w:t xml:space="preserve">hile </w:t>
      </w:r>
      <w:r w:rsidR="001969AA">
        <w:t>“</w:t>
      </w:r>
      <w:r w:rsidRPr="00837317">
        <w:t xml:space="preserve">[t]here may be cases </w:t>
      </w:r>
      <w:r w:rsidRPr="00837317">
        <w:t xml:space="preserve">in which the use of a nonstatutory motion procedure to dismiss </w:t>
      </w:r>
      <w:r w:rsidR="008547D3">
        <w:t>a cause of action</w:t>
      </w:r>
      <w:r w:rsidR="009824A6">
        <w:t xml:space="preserve"> </w:t>
      </w:r>
      <w:r w:rsidR="00972229">
        <w:t>before trial</w:t>
      </w:r>
      <w:r w:rsidR="009824A6">
        <w:t xml:space="preserve"> </w:t>
      </w:r>
      <w:r w:rsidRPr="00837317">
        <w:t>is called for,</w:t>
      </w:r>
      <w:r w:rsidR="00CA2709" w:rsidRPr="00837317">
        <w:t> </w:t>
      </w:r>
      <w:r w:rsidR="001358BA" w:rsidRPr="00837317">
        <w:t>.</w:t>
      </w:r>
      <w:r w:rsidR="00CA2709" w:rsidRPr="00837317">
        <w:t> </w:t>
      </w:r>
      <w:r w:rsidR="001358BA" w:rsidRPr="00837317">
        <w:t>.</w:t>
      </w:r>
      <w:r w:rsidR="00CA2709" w:rsidRPr="00837317">
        <w:t> </w:t>
      </w:r>
      <w:r w:rsidR="001358BA" w:rsidRPr="00837317">
        <w:t>.</w:t>
      </w:r>
      <w:r w:rsidR="00CA2709" w:rsidRPr="00837317">
        <w:t> </w:t>
      </w:r>
      <w:r w:rsidRPr="00837317">
        <w:t>courts should be wary of such requests.”  (</w:t>
      </w:r>
      <w:bookmarkStart w:id="75" w:name="dabmci_93e9774a7eb24f73b229d9d3757f95b3"/>
      <w:r w:rsidRPr="00837317">
        <w:rPr>
          <w:i/>
          <w:iCs/>
        </w:rPr>
        <w:t>Weiss</w:t>
      </w:r>
      <w:r w:rsidRPr="00837317">
        <w:t xml:space="preserve">, </w:t>
      </w:r>
      <w:r w:rsidRPr="00837317">
        <w:rPr>
          <w:i/>
          <w:iCs/>
        </w:rPr>
        <w:t>supra</w:t>
      </w:r>
      <w:r w:rsidRPr="00837317">
        <w:t>, 9</w:t>
      </w:r>
      <w:r w:rsidR="00ED47A2" w:rsidRPr="00837317">
        <w:t> </w:t>
      </w:r>
      <w:r w:rsidRPr="00837317">
        <w:t>Cal.5th at p.</w:t>
      </w:r>
      <w:r w:rsidR="00CA2709" w:rsidRPr="00837317">
        <w:t> </w:t>
      </w:r>
      <w:r w:rsidRPr="00837317">
        <w:t>865</w:t>
      </w:r>
      <w:bookmarkEnd w:id="75"/>
      <w:r w:rsidRPr="00837317">
        <w:t>.)</w:t>
      </w:r>
    </w:p>
    <w:p w14:paraId="53FB6874" w14:textId="77777777" w:rsidR="004A149F" w:rsidRPr="00837317" w:rsidRDefault="007742F5" w:rsidP="00837317">
      <w:pPr>
        <w:pStyle w:val="Heading3"/>
        <w:tabs>
          <w:tab w:val="clear" w:pos="1584"/>
        </w:tabs>
        <w:rPr>
          <w:i w:val="0"/>
          <w:iCs/>
        </w:rPr>
      </w:pPr>
      <w:bookmarkStart w:id="76" w:name="_Toc123211652"/>
      <w:bookmarkStart w:id="77" w:name="_Toc123211815"/>
      <w:bookmarkStart w:id="78" w:name="_Toc134627241"/>
      <w:bookmarkStart w:id="79" w:name="_Toc135051350"/>
      <w:bookmarkStart w:id="80" w:name="_Toc135058489"/>
      <w:r w:rsidRPr="00286BC3">
        <w:rPr>
          <w:i w:val="0"/>
          <w:iCs/>
        </w:rPr>
        <w:lastRenderedPageBreak/>
        <w:t>2</w:t>
      </w:r>
      <w:r w:rsidR="001B6991" w:rsidRPr="00286BC3">
        <w:rPr>
          <w:i w:val="0"/>
          <w:iCs/>
        </w:rPr>
        <w:t>.</w:t>
      </w:r>
      <w:r w:rsidR="006527D7" w:rsidRPr="00286BC3">
        <w:rPr>
          <w:i w:val="0"/>
          <w:iCs/>
        </w:rPr>
        <w:t xml:space="preserve">  </w:t>
      </w:r>
      <w:r w:rsidR="001B6991" w:rsidRPr="00286BC3">
        <w:t>PAGA</w:t>
      </w:r>
      <w:bookmarkEnd w:id="76"/>
      <w:bookmarkEnd w:id="77"/>
      <w:bookmarkEnd w:id="78"/>
      <w:bookmarkEnd w:id="79"/>
      <w:bookmarkEnd w:id="80"/>
    </w:p>
    <w:p w14:paraId="53FB6875" w14:textId="77777777" w:rsidR="00E50A53" w:rsidRDefault="007742F5" w:rsidP="00E50A53">
      <w:pPr>
        <w:ind w:firstLine="720"/>
      </w:pPr>
      <w:r w:rsidRPr="00837317">
        <w:t>In 2003, t</w:t>
      </w:r>
      <w:r w:rsidR="00746EDE" w:rsidRPr="00837317">
        <w:t xml:space="preserve">he Legislature enacted </w:t>
      </w:r>
      <w:r w:rsidR="001B6991" w:rsidRPr="00837317">
        <w:t>PAGA to remedy “systemic underenforcement” of the Labor Code.  (</w:t>
      </w:r>
      <w:bookmarkStart w:id="81" w:name="dabmci_73686df6b9c646299378b5ffa4ba1b87"/>
      <w:r w:rsidR="001B6991" w:rsidRPr="00837317">
        <w:rPr>
          <w:i/>
          <w:iCs/>
        </w:rPr>
        <w:t>Williams v. Superior Court</w:t>
      </w:r>
      <w:r w:rsidR="000755E1" w:rsidRPr="00837317">
        <w:t xml:space="preserve"> </w:t>
      </w:r>
      <w:r w:rsidR="001B6991" w:rsidRPr="00837317">
        <w:t>(2017) 3</w:t>
      </w:r>
      <w:r w:rsidR="000F530F" w:rsidRPr="00837317">
        <w:t> </w:t>
      </w:r>
      <w:r w:rsidR="001B6991" w:rsidRPr="00837317">
        <w:t>Cal.5th 531, 545 (</w:t>
      </w:r>
      <w:r w:rsidR="001B6991" w:rsidRPr="00837317">
        <w:rPr>
          <w:i/>
          <w:iCs/>
        </w:rPr>
        <w:t>Williams</w:t>
      </w:r>
      <w:r w:rsidR="001B6991" w:rsidRPr="00837317">
        <w:t>)</w:t>
      </w:r>
      <w:bookmarkEnd w:id="81"/>
      <w:r w:rsidR="001B6991" w:rsidRPr="00837317">
        <w:t>.)</w:t>
      </w:r>
      <w:r w:rsidR="00E218E5" w:rsidRPr="00837317">
        <w:t xml:space="preserve">  </w:t>
      </w:r>
      <w:r w:rsidR="00046576" w:rsidRPr="00837317">
        <w:t xml:space="preserve">PAGA </w:t>
      </w:r>
      <w:r w:rsidR="00E718DD" w:rsidRPr="00837317">
        <w:t xml:space="preserve">provides for </w:t>
      </w:r>
      <w:r w:rsidR="00046576" w:rsidRPr="00837317">
        <w:t>civil penalties for various Labor Code violations and a</w:t>
      </w:r>
      <w:r w:rsidR="00E3279D" w:rsidRPr="00837317">
        <w:t>uthorizes</w:t>
      </w:r>
      <w:r w:rsidR="00046576" w:rsidRPr="00837317">
        <w:t xml:space="preserve"> </w:t>
      </w:r>
      <w:r w:rsidR="00E3279D" w:rsidRPr="00837317">
        <w:t>“</w:t>
      </w:r>
      <w:r w:rsidR="00046576" w:rsidRPr="00837317">
        <w:t xml:space="preserve">aggrieved employees, acting as private attorneys general, to recover [those] penalties.”  </w:t>
      </w:r>
      <w:r w:rsidR="00E3279D" w:rsidRPr="00837317">
        <w:t>(</w:t>
      </w:r>
      <w:bookmarkStart w:id="82" w:name="dabmci_c01787ecae994200ba2250b5bc8ccf96"/>
      <w:r w:rsidR="00E3279D" w:rsidRPr="00837317">
        <w:rPr>
          <w:i/>
          <w:iCs/>
        </w:rPr>
        <w:t>Iskanian v. CLS Transportation Los Angeles, LLC</w:t>
      </w:r>
      <w:r w:rsidR="00E3279D" w:rsidRPr="00837317">
        <w:t xml:space="preserve"> (2014) 59</w:t>
      </w:r>
      <w:r w:rsidR="0087524E" w:rsidRPr="00837317">
        <w:t> </w:t>
      </w:r>
      <w:r w:rsidR="00E3279D" w:rsidRPr="00837317">
        <w:t>Cal.4th 348, 3</w:t>
      </w:r>
      <w:r w:rsidR="00102EC8" w:rsidRPr="00837317">
        <w:t>79</w:t>
      </w:r>
      <w:r w:rsidR="00E3279D" w:rsidRPr="00837317">
        <w:t xml:space="preserve"> (</w:t>
      </w:r>
      <w:r w:rsidR="00E3279D" w:rsidRPr="00837317">
        <w:rPr>
          <w:i/>
          <w:iCs/>
        </w:rPr>
        <w:t>Iskanian</w:t>
      </w:r>
      <w:r w:rsidR="00E3279D" w:rsidRPr="00837317">
        <w:t>)</w:t>
      </w:r>
      <w:bookmarkEnd w:id="82"/>
      <w:r w:rsidR="00E3279D" w:rsidRPr="00837317">
        <w:t xml:space="preserve"> abrogated </w:t>
      </w:r>
      <w:r w:rsidR="00AF69AD" w:rsidRPr="00837317">
        <w:t xml:space="preserve">in part </w:t>
      </w:r>
      <w:r w:rsidR="00E3279D" w:rsidRPr="00837317">
        <w:t xml:space="preserve">on other grounds </w:t>
      </w:r>
      <w:r w:rsidR="001431B6">
        <w:t>in</w:t>
      </w:r>
      <w:r w:rsidR="001431B6" w:rsidRPr="00837317">
        <w:t xml:space="preserve"> </w:t>
      </w:r>
      <w:bookmarkStart w:id="83" w:name="dabmci_4e5549f2303f4d09aa3f2845723877f8"/>
      <w:r w:rsidR="00E3279D" w:rsidRPr="00837317">
        <w:rPr>
          <w:i/>
          <w:iCs/>
        </w:rPr>
        <w:t>Viking River Cruises, Inc. v. Moriana</w:t>
      </w:r>
      <w:r w:rsidR="00E3279D" w:rsidRPr="00837317">
        <w:t xml:space="preserve"> (2022) 596</w:t>
      </w:r>
      <w:r w:rsidR="00B26811" w:rsidRPr="00837317">
        <w:t> </w:t>
      </w:r>
      <w:r w:rsidR="00E3279D" w:rsidRPr="00837317">
        <w:t>U.S.</w:t>
      </w:r>
      <w:r w:rsidR="00714D15" w:rsidRPr="00837317">
        <w:t> </w:t>
      </w:r>
      <w:r w:rsidR="00E3279D" w:rsidRPr="00837317">
        <w:t>___ [142 S.Ct. 1906, 213 L.Ed.2d 179] (</w:t>
      </w:r>
      <w:r w:rsidR="00E3279D" w:rsidRPr="00837317">
        <w:rPr>
          <w:i/>
          <w:iCs/>
        </w:rPr>
        <w:t>Viking River</w:t>
      </w:r>
      <w:r w:rsidR="00E3279D" w:rsidRPr="00837317">
        <w:t>)</w:t>
      </w:r>
      <w:bookmarkEnd w:id="83"/>
      <w:r w:rsidR="008E2B94" w:rsidRPr="00837317">
        <w:t>.)</w:t>
      </w:r>
      <w:r w:rsidR="00AF5035" w:rsidRPr="00837317">
        <w:t xml:space="preserve"> </w:t>
      </w:r>
      <w:r w:rsidR="00A720C1" w:rsidRPr="00837317">
        <w:t xml:space="preserve"> </w:t>
      </w:r>
      <w:r w:rsidR="00630EEA" w:rsidRPr="00837317">
        <w:t>Under the statute, an</w:t>
      </w:r>
      <w:r w:rsidR="00A720C1" w:rsidRPr="00837317">
        <w:t xml:space="preserve"> “</w:t>
      </w:r>
      <w:r w:rsidR="004815AB">
        <w:t> ‘</w:t>
      </w:r>
      <w:r w:rsidR="00A720C1" w:rsidRPr="00837317">
        <w:t>aggrieved employee</w:t>
      </w:r>
      <w:r w:rsidR="004815AB">
        <w:t>’ </w:t>
      </w:r>
      <w:r w:rsidR="00A720C1" w:rsidRPr="00837317">
        <w:t>”</w:t>
      </w:r>
      <w:r w:rsidR="00B270C8">
        <w:t xml:space="preserve"> </w:t>
      </w:r>
      <w:r w:rsidR="00630EEA" w:rsidRPr="00837317">
        <w:t>is</w:t>
      </w:r>
      <w:r w:rsidR="00A720C1" w:rsidRPr="00837317">
        <w:t xml:space="preserve"> “any person who was employed by the alleged violator and against whom one or more of the alleged violations was committed.”  (§ 2699, subd. (c).)</w:t>
      </w:r>
      <w:r w:rsidR="00FD4FE0" w:rsidRPr="00837317">
        <w:t xml:space="preserve">  </w:t>
      </w:r>
    </w:p>
    <w:p w14:paraId="53FB6876" w14:textId="77777777" w:rsidR="00657D96" w:rsidRPr="00837317" w:rsidRDefault="007742F5" w:rsidP="00657A28">
      <w:pPr>
        <w:ind w:firstLine="720"/>
      </w:pPr>
      <w:r>
        <w:t>T</w:t>
      </w:r>
      <w:r w:rsidR="00575AE9" w:rsidRPr="00575AE9">
        <w:t>he term “ ‘[a]ggrieved employee’ .</w:t>
      </w:r>
      <w:r w:rsidR="0032429B">
        <w:t> </w:t>
      </w:r>
      <w:r w:rsidR="00575AE9" w:rsidRPr="00575AE9">
        <w:t>.</w:t>
      </w:r>
      <w:r w:rsidR="0032429B">
        <w:t> </w:t>
      </w:r>
      <w:r w:rsidR="00575AE9" w:rsidRPr="00575AE9">
        <w:t>.</w:t>
      </w:r>
      <w:r w:rsidR="0032429B">
        <w:t> </w:t>
      </w:r>
      <w:r w:rsidR="00575AE9" w:rsidRPr="00575AE9">
        <w:t>. governs not just who has standing to bring a PAGA claim, but also who may recover a share of penalties.”  (</w:t>
      </w:r>
      <w:bookmarkStart w:id="84" w:name="dabmci_e658eaf14a804a24958ed17085ea6268"/>
      <w:r w:rsidR="00370909" w:rsidRPr="00837317">
        <w:rPr>
          <w:i/>
          <w:iCs/>
        </w:rPr>
        <w:t>Kim v. Reins International California, Inc.</w:t>
      </w:r>
      <w:r w:rsidR="00370909" w:rsidRPr="00837317">
        <w:t xml:space="preserve"> (2020) 9 Cal.5th 73, 8</w:t>
      </w:r>
      <w:r w:rsidR="00370909">
        <w:t>7</w:t>
      </w:r>
      <w:r w:rsidR="00370909" w:rsidRPr="00837317">
        <w:t xml:space="preserve"> (</w:t>
      </w:r>
      <w:r w:rsidR="00370909" w:rsidRPr="00837317">
        <w:rPr>
          <w:i/>
          <w:iCs/>
        </w:rPr>
        <w:t>Kim</w:t>
      </w:r>
      <w:r w:rsidR="00370909" w:rsidRPr="00837317">
        <w:t>)</w:t>
      </w:r>
      <w:bookmarkEnd w:id="84"/>
      <w:r w:rsidR="00370909" w:rsidRPr="00837317">
        <w:t>.)</w:t>
      </w:r>
      <w:r w:rsidR="00370909">
        <w:t xml:space="preserve">  </w:t>
      </w:r>
      <w:r w:rsidR="00EF11A9">
        <w:t>And a</w:t>
      </w:r>
      <w:r w:rsidR="00AF5035" w:rsidRPr="00837317">
        <w:t xml:space="preserve"> PAGA plaintiff </w:t>
      </w:r>
      <w:r w:rsidR="000D0955" w:rsidRPr="00837317">
        <w:t>may</w:t>
      </w:r>
      <w:r w:rsidR="00AF5035" w:rsidRPr="00837317">
        <w:t xml:space="preserve"> </w:t>
      </w:r>
      <w:r w:rsidR="00F75A11">
        <w:t>seek</w:t>
      </w:r>
      <w:r w:rsidR="00AF5035" w:rsidRPr="00837317">
        <w:t xml:space="preserve"> penalties for violations involving </w:t>
      </w:r>
      <w:r w:rsidR="00B30FC9">
        <w:t>aggrieved</w:t>
      </w:r>
      <w:r w:rsidR="00EF11A9">
        <w:t xml:space="preserve"> </w:t>
      </w:r>
      <w:r w:rsidR="00AF5035" w:rsidRPr="00837317">
        <w:t>employees other than the PAGA plaintiff.  (</w:t>
      </w:r>
      <w:bookmarkStart w:id="85" w:name="dabmci_998ed757b6f2464aad14f4209b02e712"/>
      <w:r w:rsidR="00AF5035" w:rsidRPr="00837317">
        <w:rPr>
          <w:i/>
          <w:iCs/>
        </w:rPr>
        <w:t>ZB, N.A. v. Superior Court</w:t>
      </w:r>
      <w:r w:rsidR="00AF5035" w:rsidRPr="00837317">
        <w:t xml:space="preserve"> (2019) 8</w:t>
      </w:r>
      <w:r w:rsidR="0087524E" w:rsidRPr="00837317">
        <w:t> </w:t>
      </w:r>
      <w:r w:rsidR="00AF5035" w:rsidRPr="00837317">
        <w:t>Cal.5th 175, 185 (</w:t>
      </w:r>
      <w:r w:rsidR="00AF5035" w:rsidRPr="00837317">
        <w:rPr>
          <w:i/>
          <w:iCs/>
        </w:rPr>
        <w:t>ZB</w:t>
      </w:r>
      <w:r w:rsidR="00AF5035" w:rsidRPr="00837317">
        <w:t>)</w:t>
      </w:r>
      <w:bookmarkEnd w:id="85"/>
      <w:r w:rsidR="00AF5035" w:rsidRPr="00837317">
        <w:t>.)</w:t>
      </w:r>
      <w:r w:rsidR="00422CB1">
        <w:t xml:space="preserve">  </w:t>
      </w:r>
      <w:r w:rsidR="005C4631">
        <w:t xml:space="preserve">We have </w:t>
      </w:r>
      <w:r w:rsidR="009535DC">
        <w:t xml:space="preserve">sometimes </w:t>
      </w:r>
      <w:r w:rsidR="005C4631">
        <w:t xml:space="preserve">referred to this as </w:t>
      </w:r>
      <w:r w:rsidR="00657A28">
        <w:t>a</w:t>
      </w:r>
      <w:r w:rsidR="005C4631">
        <w:t xml:space="preserve"> </w:t>
      </w:r>
      <w:r w:rsidR="000611E8">
        <w:t>“</w:t>
      </w:r>
      <w:r w:rsidR="0032429B">
        <w:t> </w:t>
      </w:r>
      <w:r w:rsidR="00783968">
        <w:t>‘</w:t>
      </w:r>
      <w:r w:rsidR="000611E8">
        <w:t>representative</w:t>
      </w:r>
      <w:r w:rsidR="00783968">
        <w:t>’</w:t>
      </w:r>
      <w:r w:rsidR="0032429B">
        <w:t> </w:t>
      </w:r>
      <w:r w:rsidR="000611E8">
        <w:t xml:space="preserve">” </w:t>
      </w:r>
      <w:r w:rsidR="00783968">
        <w:t>(</w:t>
      </w:r>
      <w:bookmarkStart w:id="86" w:name="dabmci_4893046ccef04c2198d02a7b039d1734"/>
      <w:r w:rsidR="00783968" w:rsidRPr="00333078">
        <w:rPr>
          <w:i/>
          <w:iCs/>
        </w:rPr>
        <w:t>Adolph v. Uber Technologies, Inc.</w:t>
      </w:r>
      <w:r w:rsidR="00783968" w:rsidRPr="00333078">
        <w:t xml:space="preserve"> (2023) 14 Cal.5th 1104, 111</w:t>
      </w:r>
      <w:r w:rsidR="00783968">
        <w:t>8</w:t>
      </w:r>
      <w:bookmarkEnd w:id="86"/>
      <w:r w:rsidR="00783968">
        <w:t xml:space="preserve">, </w:t>
      </w:r>
      <w:r w:rsidR="00BC3882">
        <w:t xml:space="preserve">italics omitted, </w:t>
      </w:r>
      <w:r w:rsidR="00783968">
        <w:t xml:space="preserve">quoting </w:t>
      </w:r>
      <w:bookmarkStart w:id="87" w:name="dabmci_5883f3caf7724c02ba92620451284c75"/>
      <w:r w:rsidR="00783968" w:rsidRPr="00837317">
        <w:rPr>
          <w:i/>
          <w:iCs/>
        </w:rPr>
        <w:t>Iskanian</w:t>
      </w:r>
      <w:r w:rsidR="00783968">
        <w:t xml:space="preserve">, </w:t>
      </w:r>
      <w:r w:rsidR="00783968" w:rsidRPr="00943231">
        <w:rPr>
          <w:i/>
          <w:iCs/>
        </w:rPr>
        <w:t>supra</w:t>
      </w:r>
      <w:r w:rsidR="00783968">
        <w:t xml:space="preserve">, </w:t>
      </w:r>
      <w:r w:rsidR="00887E94">
        <w:t>59 Cal.4th at p. 384</w:t>
      </w:r>
      <w:bookmarkEnd w:id="87"/>
      <w:r w:rsidR="00783968">
        <w:t xml:space="preserve">) </w:t>
      </w:r>
      <w:r w:rsidR="000611E8">
        <w:t xml:space="preserve">or </w:t>
      </w:r>
      <w:r w:rsidR="00CF0A66">
        <w:t>“</w:t>
      </w:r>
      <w:r w:rsidR="005C4631">
        <w:t>non</w:t>
      </w:r>
      <w:r w:rsidR="00666C2E">
        <w:t>-individual</w:t>
      </w:r>
      <w:r w:rsidR="00CF0A66">
        <w:t>”</w:t>
      </w:r>
      <w:r w:rsidR="00666C2E">
        <w:t xml:space="preserve"> </w:t>
      </w:r>
      <w:r w:rsidR="00657A28">
        <w:t>PAGA</w:t>
      </w:r>
      <w:r w:rsidR="00666C2E">
        <w:t xml:space="preserve"> claim</w:t>
      </w:r>
      <w:r w:rsidR="009535DC">
        <w:t xml:space="preserve"> </w:t>
      </w:r>
      <w:r w:rsidR="0076164D">
        <w:t>(</w:t>
      </w:r>
      <w:bookmarkStart w:id="88" w:name="dabmci_729dce30249547bda9dced154e718077"/>
      <w:r w:rsidR="0076164D" w:rsidRPr="00333078">
        <w:rPr>
          <w:i/>
          <w:iCs/>
        </w:rPr>
        <w:t>Adolph</w:t>
      </w:r>
      <w:r w:rsidR="0076164D" w:rsidRPr="00333078">
        <w:t xml:space="preserve">, </w:t>
      </w:r>
      <w:r w:rsidR="0076164D">
        <w:t xml:space="preserve">at p. </w:t>
      </w:r>
      <w:r w:rsidR="0076164D" w:rsidRPr="00333078">
        <w:t>111</w:t>
      </w:r>
      <w:r w:rsidR="0076164D">
        <w:t>4</w:t>
      </w:r>
      <w:bookmarkEnd w:id="88"/>
      <w:r w:rsidR="0076164D">
        <w:t>)</w:t>
      </w:r>
      <w:r w:rsidR="009300D6">
        <w:t>.</w:t>
      </w:r>
    </w:p>
    <w:p w14:paraId="53FB6877" w14:textId="77777777" w:rsidR="00A44A3C" w:rsidRPr="00837317" w:rsidRDefault="007742F5" w:rsidP="00837317">
      <w:pPr>
        <w:ind w:firstLine="720"/>
      </w:pPr>
      <w:r w:rsidRPr="00837317">
        <w:t>C</w:t>
      </w:r>
      <w:r w:rsidR="008E2B94" w:rsidRPr="00837317">
        <w:t>ivil penalties recovered</w:t>
      </w:r>
      <w:r w:rsidRPr="00837317">
        <w:t xml:space="preserve"> on a PAGA </w:t>
      </w:r>
      <w:r w:rsidR="004C20D2">
        <w:t>claim</w:t>
      </w:r>
      <w:r w:rsidRPr="00837317">
        <w:t xml:space="preserve"> </w:t>
      </w:r>
      <w:r w:rsidR="008E2B94" w:rsidRPr="00837317">
        <w:t xml:space="preserve">are split </w:t>
      </w:r>
      <w:r w:rsidR="003C5CE9" w:rsidRPr="00837317">
        <w:t xml:space="preserve">between the state and aggrieved employees. </w:t>
      </w:r>
      <w:r w:rsidR="00B559A9" w:rsidRPr="00837317">
        <w:t xml:space="preserve"> (</w:t>
      </w:r>
      <w:bookmarkStart w:id="89" w:name="dabmci_f404a1017d144465a3237599c5078a60"/>
      <w:r w:rsidR="00B559A9" w:rsidRPr="00837317">
        <w:rPr>
          <w:i/>
          <w:iCs/>
        </w:rPr>
        <w:t>Iskanian</w:t>
      </w:r>
      <w:r w:rsidR="00B559A9" w:rsidRPr="00837317">
        <w:t xml:space="preserve">, </w:t>
      </w:r>
      <w:r w:rsidR="009E54EF" w:rsidRPr="00837317">
        <w:rPr>
          <w:i/>
          <w:iCs/>
        </w:rPr>
        <w:t>supra</w:t>
      </w:r>
      <w:r w:rsidR="009E54EF" w:rsidRPr="00837317">
        <w:t>, 59</w:t>
      </w:r>
      <w:r w:rsidR="00ED47A2" w:rsidRPr="00837317">
        <w:t> </w:t>
      </w:r>
      <w:r w:rsidR="009E54EF" w:rsidRPr="00837317">
        <w:t xml:space="preserve">Cal.4th </w:t>
      </w:r>
      <w:r w:rsidR="00B559A9" w:rsidRPr="00837317">
        <w:t>at p.</w:t>
      </w:r>
      <w:r w:rsidR="00E718DD" w:rsidRPr="00837317">
        <w:t> </w:t>
      </w:r>
      <w:r w:rsidR="00B559A9" w:rsidRPr="00837317">
        <w:t>382</w:t>
      </w:r>
      <w:bookmarkEnd w:id="89"/>
      <w:r w:rsidR="00B559A9" w:rsidRPr="00837317">
        <w:t>;</w:t>
      </w:r>
      <w:r w:rsidR="00417400" w:rsidRPr="00837317">
        <w:t xml:space="preserve"> see § 2699, subd. (i) [75</w:t>
      </w:r>
      <w:r w:rsidR="0087524E" w:rsidRPr="00837317">
        <w:t> </w:t>
      </w:r>
      <w:r w:rsidR="0042504D" w:rsidRPr="00837317">
        <w:t>percent</w:t>
      </w:r>
      <w:r w:rsidR="00417400" w:rsidRPr="00837317">
        <w:t xml:space="preserve"> of civil penalties go to </w:t>
      </w:r>
      <w:r w:rsidR="00705AA3" w:rsidRPr="00837317">
        <w:t>state labor law enforcement agency</w:t>
      </w:r>
      <w:r w:rsidR="00417400" w:rsidRPr="00837317">
        <w:t>, 25</w:t>
      </w:r>
      <w:r w:rsidR="0087524E" w:rsidRPr="00837317">
        <w:t> </w:t>
      </w:r>
      <w:r w:rsidR="0042504D" w:rsidRPr="00837317">
        <w:t>percent</w:t>
      </w:r>
      <w:r w:rsidR="00417400" w:rsidRPr="00837317">
        <w:t xml:space="preserve"> go to aggrieved employees].)</w:t>
      </w:r>
      <w:r w:rsidR="00657D96" w:rsidRPr="00837317">
        <w:t xml:space="preserve">  </w:t>
      </w:r>
      <w:r w:rsidR="001B6991" w:rsidRPr="00837317">
        <w:t>“</w:t>
      </w:r>
      <w:r w:rsidR="002173DF" w:rsidRPr="00837317">
        <w:t>[C]</w:t>
      </w:r>
      <w:r w:rsidR="001B6991" w:rsidRPr="00837317">
        <w:t xml:space="preserve">ivil penalties recovered on the </w:t>
      </w:r>
      <w:r w:rsidR="001B6991" w:rsidRPr="00837317">
        <w:lastRenderedPageBreak/>
        <w:t>state</w:t>
      </w:r>
      <w:r w:rsidR="008B1FE1" w:rsidRPr="00837317">
        <w:t>’</w:t>
      </w:r>
      <w:r w:rsidR="001B6991" w:rsidRPr="00837317">
        <w:t>s behalf are intended to ‘remediate present violations and deter future ones,’</w:t>
      </w:r>
      <w:r w:rsidR="008B1FE1" w:rsidRPr="00837317">
        <w:t xml:space="preserve"> </w:t>
      </w:r>
      <w:r w:rsidR="001B6991" w:rsidRPr="00837317">
        <w:rPr>
          <w:i/>
          <w:iCs/>
        </w:rPr>
        <w:t>not</w:t>
      </w:r>
      <w:r w:rsidR="008B1FE1" w:rsidRPr="00837317">
        <w:t xml:space="preserve"> </w:t>
      </w:r>
      <w:r w:rsidR="001B6991" w:rsidRPr="00837317">
        <w:t xml:space="preserve">to redress employees’ injuries.”  </w:t>
      </w:r>
      <w:r w:rsidR="00D02E43" w:rsidRPr="00837317">
        <w:t>(</w:t>
      </w:r>
      <w:bookmarkStart w:id="90" w:name="dabmci_8fd8e913eb424cfc94a63300b2fc9c7e"/>
      <w:r w:rsidR="00D02E43" w:rsidRPr="00837317">
        <w:rPr>
          <w:i/>
          <w:iCs/>
        </w:rPr>
        <w:t>Kim</w:t>
      </w:r>
      <w:r w:rsidR="00370909">
        <w:rPr>
          <w:i/>
          <w:iCs/>
        </w:rPr>
        <w:t xml:space="preserve">, supra, </w:t>
      </w:r>
      <w:r w:rsidR="00D02E43" w:rsidRPr="00837317">
        <w:t>9</w:t>
      </w:r>
      <w:r w:rsidR="00B26811" w:rsidRPr="00837317">
        <w:t> </w:t>
      </w:r>
      <w:r w:rsidR="00D02E43" w:rsidRPr="00837317">
        <w:t xml:space="preserve">Cal.5th </w:t>
      </w:r>
      <w:r w:rsidR="00370909">
        <w:t>at p. </w:t>
      </w:r>
      <w:r w:rsidR="00D02E43" w:rsidRPr="00837317">
        <w:t>86</w:t>
      </w:r>
      <w:bookmarkEnd w:id="90"/>
      <w:r w:rsidR="00D02E43" w:rsidRPr="00837317">
        <w:t xml:space="preserve">.)  </w:t>
      </w:r>
    </w:p>
    <w:p w14:paraId="53FB6878" w14:textId="77777777" w:rsidR="001B6991" w:rsidRPr="00837317" w:rsidRDefault="007742F5" w:rsidP="005823B0">
      <w:pPr>
        <w:ind w:firstLine="720"/>
      </w:pPr>
      <w:r w:rsidRPr="00837317">
        <w:t>“PAGA suits exhibit virtually none of the procedural characteristics of class actions</w:t>
      </w:r>
      <w:r w:rsidR="00C27A19" w:rsidRPr="00837317">
        <w:t>.</w:t>
      </w:r>
      <w:r w:rsidRPr="00837317">
        <w:t xml:space="preserve">” </w:t>
      </w:r>
      <w:r w:rsidR="00C27A19" w:rsidRPr="00837317">
        <w:t xml:space="preserve"> </w:t>
      </w:r>
      <w:r w:rsidRPr="00837317">
        <w:t>(</w:t>
      </w:r>
      <w:bookmarkStart w:id="91" w:name="dabmci_72b4ecfd55574b608a61725fd6bf2f29"/>
      <w:r w:rsidRPr="00837317">
        <w:rPr>
          <w:i/>
          <w:iCs/>
        </w:rPr>
        <w:t>Viking River</w:t>
      </w:r>
      <w:r w:rsidRPr="00837317">
        <w:t>,</w:t>
      </w:r>
      <w:r w:rsidR="00E718DD" w:rsidRPr="00837317">
        <w:t xml:space="preserve"> </w:t>
      </w:r>
      <w:r w:rsidR="00D4532B" w:rsidRPr="00837317">
        <w:rPr>
          <w:i/>
          <w:iCs/>
        </w:rPr>
        <w:t>supra</w:t>
      </w:r>
      <w:r w:rsidR="00D4532B" w:rsidRPr="00837317">
        <w:t>,</w:t>
      </w:r>
      <w:r w:rsidR="000C01B9" w:rsidRPr="00837317">
        <w:t xml:space="preserve"> </w:t>
      </w:r>
      <w:r w:rsidR="001431B6">
        <w:t>___ U.S. ___ [</w:t>
      </w:r>
      <w:r w:rsidRPr="00837317">
        <w:t>142</w:t>
      </w:r>
      <w:r w:rsidR="0087524E" w:rsidRPr="00837317">
        <w:t> </w:t>
      </w:r>
      <w:r w:rsidRPr="00837317">
        <w:t>S.Ct. at p.</w:t>
      </w:r>
      <w:r w:rsidR="00E718DD" w:rsidRPr="00837317">
        <w:t> </w:t>
      </w:r>
      <w:r w:rsidRPr="00837317">
        <w:t>192</w:t>
      </w:r>
      <w:r w:rsidR="00585624">
        <w:t>0</w:t>
      </w:r>
      <w:r w:rsidR="001431B6">
        <w:t>]</w:t>
      </w:r>
      <w:bookmarkEnd w:id="91"/>
      <w:r w:rsidR="00A06F81" w:rsidRPr="00837317">
        <w:t xml:space="preserve">; see also </w:t>
      </w:r>
      <w:bookmarkStart w:id="92" w:name="dabmci_38275e25be16408b99977b1f38e6812b"/>
      <w:r w:rsidR="00A06F81" w:rsidRPr="00837317">
        <w:rPr>
          <w:i/>
          <w:iCs/>
        </w:rPr>
        <w:t>H</w:t>
      </w:r>
      <w:r w:rsidRPr="00837317">
        <w:rPr>
          <w:i/>
          <w:iCs/>
        </w:rPr>
        <w:t>amilton</w:t>
      </w:r>
      <w:r w:rsidRPr="00837317">
        <w:t xml:space="preserve">, </w:t>
      </w:r>
      <w:r w:rsidR="00697EC4" w:rsidRPr="00837317">
        <w:rPr>
          <w:i/>
          <w:iCs/>
        </w:rPr>
        <w:t>supra</w:t>
      </w:r>
      <w:r w:rsidR="00697EC4" w:rsidRPr="00837317">
        <w:t xml:space="preserve">, </w:t>
      </w:r>
      <w:r w:rsidRPr="00837317">
        <w:t>39</w:t>
      </w:r>
      <w:r w:rsidR="00E718DD" w:rsidRPr="00837317">
        <w:t> </w:t>
      </w:r>
      <w:r w:rsidRPr="00837317">
        <w:t>F.4th at</w:t>
      </w:r>
      <w:r w:rsidR="00E718DD" w:rsidRPr="00837317">
        <w:t xml:space="preserve"> </w:t>
      </w:r>
      <w:r w:rsidRPr="00837317">
        <w:t>pp.</w:t>
      </w:r>
      <w:r w:rsidR="00E718DD" w:rsidRPr="00837317">
        <w:t> </w:t>
      </w:r>
      <w:r w:rsidRPr="00837317">
        <w:t>583, 588</w:t>
      </w:r>
      <w:r w:rsidR="00A06F81" w:rsidRPr="00837317">
        <w:t xml:space="preserve"> [summarizing distinctions]</w:t>
      </w:r>
      <w:bookmarkEnd w:id="92"/>
      <w:r w:rsidR="00A06F81" w:rsidRPr="00837317">
        <w:t>.</w:t>
      </w:r>
      <w:r w:rsidRPr="00837317">
        <w:t>)</w:t>
      </w:r>
      <w:r w:rsidR="00A06F81" w:rsidRPr="00837317">
        <w:t xml:space="preserve">  </w:t>
      </w:r>
      <w:r w:rsidR="00CA36F7">
        <w:t>“</w:t>
      </w:r>
      <w:r w:rsidR="00CA36F7" w:rsidRPr="00CA36F7">
        <w:t xml:space="preserve">A class-action plaintiff can raise a multitude of claims because he or she represents a multitude of absent individuals; a PAGA plaintiff, by contrast, represents a single principal, the </w:t>
      </w:r>
      <w:r w:rsidR="005A230F">
        <w:t>[</w:t>
      </w:r>
      <w:r w:rsidR="005A230F" w:rsidRPr="005A230F">
        <w:t>Labor and Workforce Development Agency</w:t>
      </w:r>
      <w:r w:rsidR="005A230F">
        <w:t xml:space="preserve">] </w:t>
      </w:r>
      <w:r w:rsidR="00CA36F7" w:rsidRPr="00CA36F7">
        <w:t>LWDA, that has a multitude of claims.</w:t>
      </w:r>
      <w:r w:rsidR="00CA36F7">
        <w:t>”</w:t>
      </w:r>
      <w:r w:rsidR="0032429B">
        <w:t xml:space="preserve"> </w:t>
      </w:r>
      <w:r w:rsidR="0032429B" w:rsidRPr="00CA36F7">
        <w:t xml:space="preserve"> </w:t>
      </w:r>
      <w:r w:rsidR="00CA36F7">
        <w:t>(</w:t>
      </w:r>
      <w:bookmarkStart w:id="93" w:name="dabmci_e5af6950074141e686b7a707c4c8f857"/>
      <w:r w:rsidR="00CA36F7" w:rsidRPr="00CA36F7">
        <w:rPr>
          <w:i/>
          <w:iCs/>
        </w:rPr>
        <w:t>Viking River</w:t>
      </w:r>
      <w:r w:rsidR="00CA36F7">
        <w:rPr>
          <w:i/>
          <w:iCs/>
        </w:rPr>
        <w:t xml:space="preserve">, </w:t>
      </w:r>
      <w:r w:rsidR="00CA36F7" w:rsidRPr="00CA36F7">
        <w:t xml:space="preserve">142 S.Ct. </w:t>
      </w:r>
      <w:r w:rsidR="00CA36F7">
        <w:t>at p.</w:t>
      </w:r>
      <w:r w:rsidR="00CA36F7" w:rsidRPr="00CA36F7">
        <w:t xml:space="preserve"> 1920</w:t>
      </w:r>
      <w:bookmarkEnd w:id="93"/>
      <w:r w:rsidR="00CA36F7">
        <w:t>.)</w:t>
      </w:r>
      <w:r w:rsidR="005823B0">
        <w:t xml:space="preserve">  </w:t>
      </w:r>
      <w:r w:rsidR="00022694">
        <w:t>Thus</w:t>
      </w:r>
      <w:r w:rsidR="00A06F81" w:rsidRPr="00837317">
        <w:t xml:space="preserve">, </w:t>
      </w:r>
      <w:r w:rsidR="0033427D">
        <w:t>b</w:t>
      </w:r>
      <w:r w:rsidRPr="00837317">
        <w:t>ecause PAGA actions do not adjudicate individual</w:t>
      </w:r>
      <w:r w:rsidR="009B7593">
        <w:t>ly</w:t>
      </w:r>
      <w:r w:rsidRPr="00837317">
        <w:t xml:space="preserve"> </w:t>
      </w:r>
      <w:r w:rsidR="009B7593">
        <w:t xml:space="preserve">held </w:t>
      </w:r>
      <w:r w:rsidRPr="00837317">
        <w:t>claims</w:t>
      </w:r>
      <w:r w:rsidR="009B7593">
        <w:t>,</w:t>
      </w:r>
      <w:r w:rsidRPr="00837317">
        <w:t xml:space="preserve"> the due process rights of third parties are not paramount.  (</w:t>
      </w:r>
      <w:bookmarkStart w:id="94" w:name="dabmci_0a8f15584ae54d818f982c77ddf879ef"/>
      <w:r w:rsidRPr="00837317">
        <w:rPr>
          <w:i/>
          <w:iCs/>
        </w:rPr>
        <w:t>Viking River</w:t>
      </w:r>
      <w:r w:rsidR="00933F8A" w:rsidRPr="00837317">
        <w:t>,</w:t>
      </w:r>
      <w:r w:rsidR="00E718DD" w:rsidRPr="00837317">
        <w:t xml:space="preserve"> </w:t>
      </w:r>
      <w:r w:rsidRPr="00837317">
        <w:t>at p.</w:t>
      </w:r>
      <w:r w:rsidR="00B26811" w:rsidRPr="00837317">
        <w:t> </w:t>
      </w:r>
      <w:r w:rsidRPr="00837317">
        <w:t>1921</w:t>
      </w:r>
      <w:bookmarkEnd w:id="94"/>
      <w:r w:rsidRPr="00837317">
        <w:t xml:space="preserve">.) </w:t>
      </w:r>
      <w:r w:rsidR="00DD5579" w:rsidRPr="00837317">
        <w:t xml:space="preserve"> </w:t>
      </w:r>
      <w:r w:rsidR="009E3730" w:rsidRPr="00837317">
        <w:t>While “nonparty employees as well as the government are bound by the judgment” in a PAGA action as to a claim for civil penalties, nonparty employees are not bound with respect to “remedies other than civil penalties.”  (</w:t>
      </w:r>
      <w:bookmarkStart w:id="95" w:name="dabmci_b879af8dc7134ae3ac0a5c11789daeda"/>
      <w:r w:rsidR="009E3730" w:rsidRPr="00837317">
        <w:rPr>
          <w:i/>
          <w:iCs/>
        </w:rPr>
        <w:t>Arias</w:t>
      </w:r>
      <w:r w:rsidR="00314243" w:rsidRPr="00837317">
        <w:rPr>
          <w:i/>
          <w:iCs/>
        </w:rPr>
        <w:t xml:space="preserve"> v. Superior Court </w:t>
      </w:r>
      <w:r w:rsidR="00314243" w:rsidRPr="00837317">
        <w:t>(2009)</w:t>
      </w:r>
      <w:r w:rsidR="00E718DD" w:rsidRPr="00837317">
        <w:t xml:space="preserve"> </w:t>
      </w:r>
      <w:r w:rsidR="009E3730" w:rsidRPr="00837317">
        <w:t>46</w:t>
      </w:r>
      <w:r w:rsidR="00E718DD" w:rsidRPr="00837317">
        <w:t> </w:t>
      </w:r>
      <w:r w:rsidR="009E3730" w:rsidRPr="00837317">
        <w:t>Cal.4th</w:t>
      </w:r>
      <w:r w:rsidR="00AA32F9" w:rsidRPr="00837317">
        <w:t xml:space="preserve"> 969,</w:t>
      </w:r>
      <w:r w:rsidR="008701DB">
        <w:t xml:space="preserve"> </w:t>
      </w:r>
      <w:r w:rsidR="009E3730" w:rsidRPr="00837317">
        <w:t>986–987</w:t>
      </w:r>
      <w:r w:rsidR="006C775C">
        <w:t xml:space="preserve"> (</w:t>
      </w:r>
      <w:r w:rsidR="006C775C" w:rsidRPr="00AD5A51">
        <w:rPr>
          <w:i/>
          <w:iCs/>
        </w:rPr>
        <w:t>Arias</w:t>
      </w:r>
      <w:r w:rsidR="006C775C">
        <w:t>)</w:t>
      </w:r>
      <w:bookmarkEnd w:id="95"/>
      <w:r w:rsidR="009E3730" w:rsidRPr="00837317">
        <w:t xml:space="preserve">.) </w:t>
      </w:r>
      <w:r w:rsidR="00DD5579" w:rsidRPr="00837317">
        <w:t xml:space="preserve"> </w:t>
      </w:r>
      <w:r w:rsidR="009E3730" w:rsidRPr="00837317">
        <w:t xml:space="preserve">Moreover, </w:t>
      </w:r>
      <w:r w:rsidRPr="00837317">
        <w:t>“PAGA does not make other potentially aggrieved employees parties or</w:t>
      </w:r>
      <w:r w:rsidR="00E718DD" w:rsidRPr="00837317">
        <w:t xml:space="preserve"> </w:t>
      </w:r>
      <w:r w:rsidRPr="00837317">
        <w:t>clients of plaintiff’s counsel, does not impose on a plaintiff or counsel any express fiduciary obligations, and does not subject a plaintiff or counsel to scrutiny with respect</w:t>
      </w:r>
      <w:r w:rsidR="00E718DD" w:rsidRPr="00837317">
        <w:t xml:space="preserve"> </w:t>
      </w:r>
      <w:r w:rsidRPr="00837317">
        <w:t>to the ability to represent a large class.”</w:t>
      </w:r>
      <w:r w:rsidR="00967949" w:rsidRPr="00837317">
        <w:t xml:space="preserve"> </w:t>
      </w:r>
      <w:r w:rsidRPr="00837317">
        <w:t xml:space="preserve"> (</w:t>
      </w:r>
      <w:bookmarkStart w:id="96" w:name="dabmci_87fb7026066a45b0bd9ca02205daafe1"/>
      <w:r w:rsidRPr="00837317">
        <w:rPr>
          <w:i/>
          <w:iCs/>
        </w:rPr>
        <w:t>Williams</w:t>
      </w:r>
      <w:r w:rsidRPr="00837317">
        <w:t>,</w:t>
      </w:r>
      <w:r w:rsidR="00E718DD" w:rsidRPr="00837317">
        <w:t xml:space="preserve"> </w:t>
      </w:r>
      <w:r w:rsidRPr="00837317">
        <w:rPr>
          <w:i/>
          <w:iCs/>
        </w:rPr>
        <w:t>supra</w:t>
      </w:r>
      <w:r w:rsidRPr="00837317">
        <w:t>,</w:t>
      </w:r>
      <w:r w:rsidR="00E718DD" w:rsidRPr="00837317">
        <w:t xml:space="preserve"> </w:t>
      </w:r>
      <w:r w:rsidRPr="00837317">
        <w:t>3</w:t>
      </w:r>
      <w:r w:rsidR="00E718DD" w:rsidRPr="00837317">
        <w:t> </w:t>
      </w:r>
      <w:r w:rsidRPr="00837317">
        <w:t>Cal.5th at pp.</w:t>
      </w:r>
      <w:r w:rsidR="00E718DD" w:rsidRPr="00837317">
        <w:t> </w:t>
      </w:r>
      <w:r w:rsidRPr="00837317">
        <w:t>546</w:t>
      </w:r>
      <w:r w:rsidR="003D7AD1" w:rsidRPr="00837317">
        <w:t>–</w:t>
      </w:r>
      <w:r w:rsidRPr="00837317">
        <w:t>547</w:t>
      </w:r>
      <w:bookmarkEnd w:id="96"/>
      <w:r w:rsidRPr="00837317">
        <w:t>.)</w:t>
      </w:r>
    </w:p>
    <w:p w14:paraId="53FB6879" w14:textId="77777777" w:rsidR="004A149F" w:rsidRPr="00837317" w:rsidRDefault="007742F5" w:rsidP="00837317">
      <w:pPr>
        <w:pStyle w:val="Heading3"/>
        <w:tabs>
          <w:tab w:val="clear" w:pos="1584"/>
        </w:tabs>
        <w:rPr>
          <w:i w:val="0"/>
          <w:iCs/>
        </w:rPr>
      </w:pPr>
      <w:bookmarkStart w:id="97" w:name="_Toc123211656"/>
      <w:bookmarkStart w:id="98" w:name="_Toc123211819"/>
      <w:bookmarkStart w:id="99" w:name="_Toc134627242"/>
      <w:bookmarkStart w:id="100" w:name="_Toc135051351"/>
      <w:bookmarkStart w:id="101" w:name="_Toc135058490"/>
      <w:r w:rsidRPr="00837317">
        <w:rPr>
          <w:i w:val="0"/>
          <w:iCs/>
        </w:rPr>
        <w:t>3</w:t>
      </w:r>
      <w:r w:rsidR="001B6991" w:rsidRPr="00837317">
        <w:rPr>
          <w:i w:val="0"/>
          <w:iCs/>
        </w:rPr>
        <w:t>.</w:t>
      </w:r>
      <w:r w:rsidRPr="00837317">
        <w:rPr>
          <w:i w:val="0"/>
          <w:iCs/>
        </w:rPr>
        <w:t xml:space="preserve"> </w:t>
      </w:r>
      <w:r w:rsidR="001B6991" w:rsidRPr="00837317">
        <w:rPr>
          <w:i w:val="0"/>
          <w:iCs/>
        </w:rPr>
        <w:t xml:space="preserve"> </w:t>
      </w:r>
      <w:r w:rsidR="001B6991" w:rsidRPr="00837317">
        <w:t>Manageability</w:t>
      </w:r>
      <w:bookmarkEnd w:id="97"/>
      <w:bookmarkEnd w:id="98"/>
      <w:bookmarkEnd w:id="99"/>
      <w:bookmarkEnd w:id="100"/>
      <w:bookmarkEnd w:id="101"/>
    </w:p>
    <w:p w14:paraId="53FB687A" w14:textId="77777777" w:rsidR="00CB738B" w:rsidRPr="00837317" w:rsidRDefault="007742F5" w:rsidP="00837317">
      <w:pPr>
        <w:ind w:firstLine="720"/>
      </w:pPr>
      <w:r w:rsidRPr="00837317">
        <w:t xml:space="preserve">The term </w:t>
      </w:r>
      <w:r w:rsidR="002A25A9" w:rsidRPr="00837317">
        <w:t>“</w:t>
      </w:r>
      <w:r w:rsidRPr="00837317">
        <w:t>m</w:t>
      </w:r>
      <w:r w:rsidR="001B6991" w:rsidRPr="00837317">
        <w:t>anageability</w:t>
      </w:r>
      <w:r w:rsidR="002A25A9" w:rsidRPr="00837317">
        <w:t>”</w:t>
      </w:r>
      <w:r w:rsidR="005F6E7C" w:rsidRPr="00837317">
        <w:t xml:space="preserve"> and variants thereof </w:t>
      </w:r>
      <w:r w:rsidR="001B6991" w:rsidRPr="00837317">
        <w:t>encompass two related but distinct concepts</w:t>
      </w:r>
      <w:bookmarkStart w:id="102" w:name="_Toc123211657"/>
      <w:bookmarkStart w:id="103" w:name="_Toc123211820"/>
      <w:r w:rsidRPr="00837317">
        <w:t>.  First, the term refer</w:t>
      </w:r>
      <w:r w:rsidR="006237A1" w:rsidRPr="00837317">
        <w:t>s</w:t>
      </w:r>
      <w:r w:rsidRPr="00837317">
        <w:t xml:space="preserve"> </w:t>
      </w:r>
      <w:r w:rsidR="006237A1" w:rsidRPr="00837317">
        <w:t xml:space="preserve">generally </w:t>
      </w:r>
      <w:r w:rsidRPr="00837317">
        <w:t xml:space="preserve">to </w:t>
      </w:r>
      <w:r w:rsidR="00402C46" w:rsidRPr="00837317">
        <w:t>t</w:t>
      </w:r>
      <w:r w:rsidR="001B6991" w:rsidRPr="00837317">
        <w:t xml:space="preserve">he degree to which techniques may be used </w:t>
      </w:r>
      <w:r w:rsidR="00FF2D57" w:rsidRPr="00837317">
        <w:t xml:space="preserve">(both before and during trial) </w:t>
      </w:r>
      <w:r w:rsidR="001B6991" w:rsidRPr="00837317">
        <w:t>to fairly and efficiently adjudicate a</w:t>
      </w:r>
      <w:r w:rsidR="00AB6133" w:rsidRPr="00837317">
        <w:t>n</w:t>
      </w:r>
      <w:r w:rsidR="001B6991" w:rsidRPr="00837317">
        <w:t xml:space="preserve"> </w:t>
      </w:r>
      <w:bookmarkEnd w:id="102"/>
      <w:bookmarkEnd w:id="103"/>
      <w:r w:rsidR="005F6E7C" w:rsidRPr="00837317">
        <w:lastRenderedPageBreak/>
        <w:t>action</w:t>
      </w:r>
      <w:r w:rsidR="007A5CEB" w:rsidRPr="00837317">
        <w:t xml:space="preserve">. </w:t>
      </w:r>
      <w:r w:rsidR="005F6E7C" w:rsidRPr="00837317">
        <w:t xml:space="preserve"> (See</w:t>
      </w:r>
      <w:r w:rsidR="00404FE1" w:rsidRPr="00837317">
        <w:t xml:space="preserve">, e.g., </w:t>
      </w:r>
      <w:bookmarkStart w:id="104" w:name="dabmci_4dad5e10f6a4413085c59e0bb4936e43"/>
      <w:r w:rsidR="00F551C3" w:rsidRPr="00837317">
        <w:rPr>
          <w:i/>
          <w:iCs/>
        </w:rPr>
        <w:t>Kesner v. Superior Court</w:t>
      </w:r>
      <w:r w:rsidR="00F551C3" w:rsidRPr="00837317">
        <w:t> (2016) 1</w:t>
      </w:r>
      <w:r w:rsidR="00AA1E00" w:rsidRPr="00837317">
        <w:t> </w:t>
      </w:r>
      <w:r w:rsidR="00F551C3" w:rsidRPr="00837317">
        <w:t>Cal.5th 1132, 1154</w:t>
      </w:r>
      <w:bookmarkEnd w:id="104"/>
      <w:r w:rsidR="00F551C3" w:rsidRPr="00837317">
        <w:t xml:space="preserve"> [“defendants raise legitimate concerns regarding the </w:t>
      </w:r>
      <w:r w:rsidR="00756BB4" w:rsidRPr="00756BB4">
        <w:rPr>
          <w:i/>
          <w:iCs/>
        </w:rPr>
        <w:t>un</w:t>
      </w:r>
      <w:r w:rsidR="00874393" w:rsidRPr="00837317">
        <w:rPr>
          <w:i/>
          <w:iCs/>
        </w:rPr>
        <w:t>manageability</w:t>
      </w:r>
      <w:r w:rsidR="00874393" w:rsidRPr="00837317">
        <w:t xml:space="preserve"> </w:t>
      </w:r>
      <w:r w:rsidR="00F551C3" w:rsidRPr="00837317">
        <w:t>of claims”</w:t>
      </w:r>
      <w:r w:rsidR="00E718DD" w:rsidRPr="00837317">
        <w:t>],</w:t>
      </w:r>
      <w:r w:rsidR="00F551C3" w:rsidRPr="00837317">
        <w:t xml:space="preserve"> italics added; </w:t>
      </w:r>
      <w:bookmarkStart w:id="105" w:name="dabmci_8ea047aa7dff41c69b292386d01eb5d4"/>
      <w:r w:rsidR="00404FE1" w:rsidRPr="00837317">
        <w:rPr>
          <w:i/>
          <w:iCs/>
        </w:rPr>
        <w:t>Platypus Wear, Inc. v. Goldberg</w:t>
      </w:r>
      <w:r w:rsidR="00404FE1" w:rsidRPr="00837317">
        <w:t> (2008) 166</w:t>
      </w:r>
      <w:r w:rsidR="00E718DD" w:rsidRPr="00837317">
        <w:t> </w:t>
      </w:r>
      <w:r w:rsidR="00404FE1" w:rsidRPr="00837317">
        <w:t>Cal.App.4th 772, 778</w:t>
      </w:r>
      <w:bookmarkEnd w:id="105"/>
      <w:r w:rsidR="00404FE1" w:rsidRPr="00837317">
        <w:t xml:space="preserve"> [</w:t>
      </w:r>
      <w:r w:rsidR="00D50565" w:rsidRPr="00837317">
        <w:t>stating that</w:t>
      </w:r>
      <w:r w:rsidR="0032429B">
        <w:t xml:space="preserve"> an</w:t>
      </w:r>
      <w:r w:rsidR="00D50565" w:rsidRPr="00837317">
        <w:t xml:space="preserve"> </w:t>
      </w:r>
      <w:r w:rsidR="005F6E7C" w:rsidRPr="00837317">
        <w:t xml:space="preserve">anti-SLAPP motion might provide a way of making the case more </w:t>
      </w:r>
      <w:r w:rsidR="00103D61" w:rsidRPr="00837317">
        <w:t>“</w:t>
      </w:r>
      <w:r w:rsidR="00FB497A">
        <w:t> </w:t>
      </w:r>
      <w:r w:rsidR="00FB497A" w:rsidRPr="00FB497A">
        <w:t>‘</w:t>
      </w:r>
      <w:r w:rsidR="005F6E7C" w:rsidRPr="00837317">
        <w:rPr>
          <w:i/>
          <w:iCs/>
        </w:rPr>
        <w:t>manageable</w:t>
      </w:r>
      <w:r w:rsidR="00FB497A" w:rsidRPr="00FB497A">
        <w:t>’</w:t>
      </w:r>
      <w:r w:rsidR="00FB497A">
        <w:rPr>
          <w:i/>
          <w:iCs/>
        </w:rPr>
        <w:t> </w:t>
      </w:r>
      <w:r w:rsidR="00103D61" w:rsidRPr="00837317">
        <w:t>”</w:t>
      </w:r>
      <w:r w:rsidR="001F6371" w:rsidRPr="00837317">
        <w:t>],</w:t>
      </w:r>
      <w:r w:rsidR="005F6E7C" w:rsidRPr="00837317">
        <w:t xml:space="preserve"> </w:t>
      </w:r>
      <w:r w:rsidR="00404FE1" w:rsidRPr="00837317">
        <w:t xml:space="preserve">italics added; </w:t>
      </w:r>
      <w:bookmarkStart w:id="106" w:name="dabmci_5609a57ab3184560ab00fe113afac559"/>
      <w:r w:rsidR="00404FE1" w:rsidRPr="00837317">
        <w:rPr>
          <w:i/>
          <w:iCs/>
        </w:rPr>
        <w:t>City of King City v. Community Bank of Central California</w:t>
      </w:r>
      <w:r w:rsidR="00404FE1" w:rsidRPr="00837317">
        <w:t> (2005) 131</w:t>
      </w:r>
      <w:r w:rsidR="001F6371" w:rsidRPr="00837317">
        <w:t> </w:t>
      </w:r>
      <w:r w:rsidR="00404FE1" w:rsidRPr="00837317">
        <w:t>Cal.App.4th 913, 938</w:t>
      </w:r>
      <w:bookmarkEnd w:id="106"/>
      <w:r w:rsidR="00404FE1" w:rsidRPr="00837317">
        <w:t xml:space="preserve"> [</w:t>
      </w:r>
      <w:r w:rsidR="00691F81" w:rsidRPr="00837317">
        <w:t xml:space="preserve">stating that </w:t>
      </w:r>
      <w:r w:rsidR="00D95F6A" w:rsidRPr="00837317">
        <w:t>discovery renders “</w:t>
      </w:r>
      <w:r w:rsidR="00404FE1" w:rsidRPr="00837317">
        <w:t>more</w:t>
      </w:r>
      <w:r w:rsidR="00C94CEF">
        <w:t xml:space="preserve"> </w:t>
      </w:r>
      <w:r w:rsidR="00404FE1" w:rsidRPr="00837317">
        <w:rPr>
          <w:i/>
          <w:iCs/>
        </w:rPr>
        <w:t>manageable</w:t>
      </w:r>
      <w:r w:rsidR="001F6371" w:rsidRPr="00837317">
        <w:t> </w:t>
      </w:r>
      <w:r w:rsidR="00732FB2" w:rsidRPr="00837317">
        <w:t>.</w:t>
      </w:r>
      <w:r w:rsidR="001F6371" w:rsidRPr="00837317">
        <w:t> </w:t>
      </w:r>
      <w:r w:rsidR="00732FB2" w:rsidRPr="00837317">
        <w:t>.</w:t>
      </w:r>
      <w:r w:rsidR="001F6371" w:rsidRPr="00837317">
        <w:t> </w:t>
      </w:r>
      <w:r w:rsidR="00732FB2" w:rsidRPr="00837317">
        <w:t>.</w:t>
      </w:r>
      <w:r w:rsidR="001F6371" w:rsidRPr="00837317">
        <w:t> </w:t>
      </w:r>
      <w:r w:rsidR="00404FE1" w:rsidRPr="00837317">
        <w:t>the points of</w:t>
      </w:r>
      <w:r w:rsidR="001F6371" w:rsidRPr="00837317">
        <w:t xml:space="preserve"> </w:t>
      </w:r>
      <w:r w:rsidR="00404FE1" w:rsidRPr="00837317">
        <w:t>legal</w:t>
      </w:r>
      <w:r w:rsidR="001F6371" w:rsidRPr="00837317">
        <w:t xml:space="preserve"> </w:t>
      </w:r>
      <w:r w:rsidR="00404FE1" w:rsidRPr="00837317">
        <w:t>controversy”</w:t>
      </w:r>
      <w:r w:rsidR="00022D7A" w:rsidRPr="00837317">
        <w:t xml:space="preserve"> in an action</w:t>
      </w:r>
      <w:r w:rsidR="001F6371" w:rsidRPr="00837317">
        <w:t>]</w:t>
      </w:r>
      <w:r w:rsidR="00022D7A" w:rsidRPr="00837317">
        <w:t xml:space="preserve">, </w:t>
      </w:r>
      <w:r w:rsidR="00404FE1" w:rsidRPr="00837317">
        <w:t xml:space="preserve">italics </w:t>
      </w:r>
      <w:r w:rsidR="00FC5CA9">
        <w:t>omitted and added</w:t>
      </w:r>
      <w:r w:rsidR="00BC7D57" w:rsidRPr="00837317">
        <w:t>.)</w:t>
      </w:r>
      <w:r w:rsidR="00404FE1" w:rsidRPr="00837317">
        <w:t xml:space="preserve"> </w:t>
      </w:r>
      <w:r w:rsidR="001F6371" w:rsidRPr="00837317">
        <w:t xml:space="preserve"> </w:t>
      </w:r>
    </w:p>
    <w:p w14:paraId="53FB687B" w14:textId="77777777" w:rsidR="00EE68F8" w:rsidRPr="00837317" w:rsidRDefault="007742F5" w:rsidP="00837317">
      <w:pPr>
        <w:ind w:firstLine="720"/>
      </w:pPr>
      <w:r w:rsidRPr="00837317">
        <w:t xml:space="preserve">Second, </w:t>
      </w:r>
      <w:r w:rsidR="00946598" w:rsidRPr="00837317">
        <w:t xml:space="preserve">the term </w:t>
      </w:r>
      <w:r w:rsidR="009C5D9A" w:rsidRPr="00837317">
        <w:t>“</w:t>
      </w:r>
      <w:r w:rsidR="00946598" w:rsidRPr="00837317">
        <w:t>manageability</w:t>
      </w:r>
      <w:r w:rsidR="009C5D9A" w:rsidRPr="00837317">
        <w:t>”</w:t>
      </w:r>
      <w:r w:rsidRPr="00837317">
        <w:t xml:space="preserve"> </w:t>
      </w:r>
      <w:r w:rsidR="00404FE1" w:rsidRPr="00837317">
        <w:t xml:space="preserve">and its variants </w:t>
      </w:r>
      <w:r w:rsidR="00C15057" w:rsidRPr="00837317">
        <w:t xml:space="preserve">may be </w:t>
      </w:r>
      <w:r w:rsidR="001461B2" w:rsidRPr="00837317">
        <w:t>use</w:t>
      </w:r>
      <w:r w:rsidR="00925D01" w:rsidRPr="00837317">
        <w:t>d</w:t>
      </w:r>
      <w:r w:rsidR="00C15057" w:rsidRPr="00837317">
        <w:t xml:space="preserve"> more specifically </w:t>
      </w:r>
      <w:r w:rsidRPr="00837317">
        <w:t xml:space="preserve">to refer to </w:t>
      </w:r>
      <w:bookmarkStart w:id="107" w:name="_Toc123211658"/>
      <w:bookmarkStart w:id="108" w:name="_Toc123211821"/>
      <w:r w:rsidRPr="00837317">
        <w:t>a</w:t>
      </w:r>
      <w:r w:rsidR="001B6991" w:rsidRPr="00837317">
        <w:t xml:space="preserve"> factor </w:t>
      </w:r>
      <w:r w:rsidR="00925D01" w:rsidRPr="00837317">
        <w:t>utilized</w:t>
      </w:r>
      <w:r w:rsidR="001B6991" w:rsidRPr="00837317">
        <w:t xml:space="preserve"> in determining whether a class may be certified</w:t>
      </w:r>
      <w:r w:rsidR="00CF64EC">
        <w:t>.</w:t>
      </w:r>
      <w:r w:rsidR="001B6991" w:rsidRPr="00837317">
        <w:t xml:space="preserve"> </w:t>
      </w:r>
      <w:r w:rsidR="00B6613D">
        <w:t xml:space="preserve"> </w:t>
      </w:r>
      <w:r w:rsidR="00CF64EC">
        <w:t>This factor</w:t>
      </w:r>
      <w:r w:rsidR="001B6991" w:rsidRPr="00837317">
        <w:t xml:space="preserve"> looks to whether issues pertaining to individual </w:t>
      </w:r>
      <w:r w:rsidR="00FA5E6B" w:rsidRPr="00837317">
        <w:t xml:space="preserve">putative </w:t>
      </w:r>
      <w:r w:rsidR="001B6991" w:rsidRPr="00837317">
        <w:t>class members may be fairly and efficiently adjudicated</w:t>
      </w:r>
      <w:bookmarkEnd w:id="107"/>
      <w:bookmarkEnd w:id="108"/>
      <w:r w:rsidRPr="00837317">
        <w:t>.</w:t>
      </w:r>
      <w:r w:rsidR="00BF70B6" w:rsidRPr="00837317">
        <w:t xml:space="preserve"> </w:t>
      </w:r>
      <w:r w:rsidR="001B6991" w:rsidRPr="00837317">
        <w:t xml:space="preserve"> </w:t>
      </w:r>
      <w:r w:rsidR="000620DE" w:rsidRPr="00837317">
        <w:t xml:space="preserve">Under federal law, </w:t>
      </w:r>
      <w:r w:rsidR="003014A2" w:rsidRPr="00837317">
        <w:t xml:space="preserve">manageability refers to </w:t>
      </w:r>
      <w:r w:rsidR="006B4F29" w:rsidRPr="00837317">
        <w:t xml:space="preserve">the </w:t>
      </w:r>
      <w:r w:rsidR="00D94051" w:rsidRPr="00837317">
        <w:t>rule</w:t>
      </w:r>
      <w:r w:rsidR="006B4F29" w:rsidRPr="00837317">
        <w:t xml:space="preserve"> that a court consider </w:t>
      </w:r>
      <w:r w:rsidR="008F043C" w:rsidRPr="00837317">
        <w:t>“the likely difficulties in managing a class action”</w:t>
      </w:r>
      <w:r w:rsidR="00F30FB2" w:rsidRPr="00837317">
        <w:t xml:space="preserve"> </w:t>
      </w:r>
      <w:r w:rsidR="00F91F9F" w:rsidRPr="00837317">
        <w:t>in</w:t>
      </w:r>
      <w:r w:rsidR="008F043C" w:rsidRPr="00837317">
        <w:t xml:space="preserve"> determining </w:t>
      </w:r>
      <w:r w:rsidR="0058265A" w:rsidRPr="00837317">
        <w:t xml:space="preserve">whether </w:t>
      </w:r>
      <w:r w:rsidR="00331B79" w:rsidRPr="00837317">
        <w:t xml:space="preserve">the </w:t>
      </w:r>
      <w:r w:rsidR="001B6991" w:rsidRPr="00837317">
        <w:t>class action certification requirements of predominance and superiority are met</w:t>
      </w:r>
      <w:r w:rsidR="00BD1A0B" w:rsidRPr="00837317">
        <w:t>.</w:t>
      </w:r>
      <w:r w:rsidR="005C68EA" w:rsidRPr="00837317">
        <w:t xml:space="preserve">  </w:t>
      </w:r>
      <w:r w:rsidR="001B6991" w:rsidRPr="00837317">
        <w:t>(</w:t>
      </w:r>
      <w:bookmarkStart w:id="109" w:name="dabmci_26c4efc31358472482a69b9c9da3d696"/>
      <w:r w:rsidR="004522B0" w:rsidRPr="00837317">
        <w:t>Fed. Rule</w:t>
      </w:r>
      <w:r w:rsidR="009C5D9A" w:rsidRPr="00837317">
        <w:t>s</w:t>
      </w:r>
      <w:r w:rsidR="004522B0" w:rsidRPr="00837317">
        <w:t xml:space="preserve"> Civ.Proc., rule</w:t>
      </w:r>
      <w:r w:rsidR="00434407" w:rsidRPr="00837317">
        <w:t> </w:t>
      </w:r>
      <w:r w:rsidR="004522B0" w:rsidRPr="00837317">
        <w:t>23(b)(3)(D), 28</w:t>
      </w:r>
      <w:r w:rsidR="00B6613D">
        <w:t> </w:t>
      </w:r>
      <w:r w:rsidR="004522B0" w:rsidRPr="00837317">
        <w:t>U.S.C</w:t>
      </w:r>
      <w:bookmarkEnd w:id="109"/>
      <w:r w:rsidR="004522B0" w:rsidRPr="00837317">
        <w:t xml:space="preserve">.; see </w:t>
      </w:r>
      <w:bookmarkStart w:id="110" w:name="dabmci_b9c7fee56b6c428cb2587e1a6937dc94"/>
      <w:r w:rsidR="001B6991" w:rsidRPr="00837317">
        <w:rPr>
          <w:i/>
          <w:iCs/>
        </w:rPr>
        <w:t>Hamilton</w:t>
      </w:r>
      <w:r w:rsidR="001B6991" w:rsidRPr="00837317">
        <w:t>,</w:t>
      </w:r>
      <w:r w:rsidR="001F6371" w:rsidRPr="00837317">
        <w:t xml:space="preserve"> </w:t>
      </w:r>
      <w:r w:rsidR="001B6991" w:rsidRPr="00837317">
        <w:rPr>
          <w:i/>
          <w:iCs/>
        </w:rPr>
        <w:t>supra</w:t>
      </w:r>
      <w:r w:rsidR="001B6991" w:rsidRPr="00837317">
        <w:t>, 39</w:t>
      </w:r>
      <w:r w:rsidR="00AA1E00" w:rsidRPr="00837317">
        <w:t> </w:t>
      </w:r>
      <w:r w:rsidR="001B6991" w:rsidRPr="00837317">
        <w:t>F.4th at p.</w:t>
      </w:r>
      <w:r w:rsidR="001F6371" w:rsidRPr="00837317">
        <w:t> </w:t>
      </w:r>
      <w:r w:rsidR="001B6991" w:rsidRPr="00837317">
        <w:t>586</w:t>
      </w:r>
      <w:bookmarkEnd w:id="110"/>
      <w:r w:rsidR="001B6991" w:rsidRPr="00837317">
        <w:t>.)</w:t>
      </w:r>
      <w:r>
        <w:rPr>
          <w:rStyle w:val="FootnoteReference"/>
        </w:rPr>
        <w:footnoteReference w:id="13"/>
      </w:r>
      <w:r w:rsidR="004522B0" w:rsidRPr="00837317">
        <w:t xml:space="preserve"> </w:t>
      </w:r>
      <w:r w:rsidR="00010BF5" w:rsidRPr="00837317">
        <w:t xml:space="preserve"> </w:t>
      </w:r>
    </w:p>
    <w:p w14:paraId="53FB687C" w14:textId="77777777" w:rsidR="00E553AF" w:rsidRPr="00837317" w:rsidRDefault="007742F5" w:rsidP="00837317">
      <w:pPr>
        <w:ind w:firstLine="720"/>
      </w:pPr>
      <w:r w:rsidRPr="00837317">
        <w:t xml:space="preserve">Similarly, </w:t>
      </w:r>
      <w:r w:rsidR="003B3DF1" w:rsidRPr="00837317">
        <w:t>in discussing</w:t>
      </w:r>
      <w:r w:rsidR="004B0296" w:rsidRPr="00837317">
        <w:t xml:space="preserve"> Cali</w:t>
      </w:r>
      <w:r w:rsidR="006431D5" w:rsidRPr="00837317">
        <w:t xml:space="preserve">fornia </w:t>
      </w:r>
      <w:r w:rsidR="004A684F" w:rsidRPr="00837317">
        <w:t>law</w:t>
      </w:r>
      <w:r w:rsidR="006431D5" w:rsidRPr="00837317">
        <w:t xml:space="preserve">, </w:t>
      </w:r>
      <w:r w:rsidR="00BB1AE9" w:rsidRPr="00837317">
        <w:t xml:space="preserve">we have </w:t>
      </w:r>
      <w:r w:rsidR="004A684F" w:rsidRPr="00837317">
        <w:t>instructed courts to consider the manageability of a class action</w:t>
      </w:r>
      <w:r w:rsidR="000A6895">
        <w:t xml:space="preserve"> in determining certification</w:t>
      </w:r>
      <w:r w:rsidR="004A684F" w:rsidRPr="00837317">
        <w:t xml:space="preserve">.  </w:t>
      </w:r>
      <w:r w:rsidR="00BA433C" w:rsidRPr="00837317">
        <w:t xml:space="preserve">For example, in </w:t>
      </w:r>
      <w:bookmarkStart w:id="113" w:name="dabmci_aa3b6203fdb544fa85a5caedee4b7e17"/>
      <w:r w:rsidR="00BA433C" w:rsidRPr="00837317">
        <w:rPr>
          <w:i/>
          <w:iCs/>
        </w:rPr>
        <w:t>Duran v. U.S. Bank Nat</w:t>
      </w:r>
      <w:r w:rsidR="00CA79E2" w:rsidRPr="00837317">
        <w:rPr>
          <w:i/>
          <w:iCs/>
        </w:rPr>
        <w:t>ional</w:t>
      </w:r>
      <w:r w:rsidR="00BA433C" w:rsidRPr="00837317">
        <w:rPr>
          <w:i/>
          <w:iCs/>
        </w:rPr>
        <w:t xml:space="preserve"> Assn.</w:t>
      </w:r>
      <w:r w:rsidR="00BA433C" w:rsidRPr="00837317">
        <w:t xml:space="preserve"> (2014) 59</w:t>
      </w:r>
      <w:r w:rsidR="000C01B9" w:rsidRPr="00837317">
        <w:t> </w:t>
      </w:r>
      <w:r w:rsidR="00BA433C" w:rsidRPr="00837317">
        <w:t>Cal.4th 1</w:t>
      </w:r>
      <w:r w:rsidR="00864FC4" w:rsidRPr="00837317">
        <w:t xml:space="preserve"> (</w:t>
      </w:r>
      <w:r w:rsidR="00864FC4" w:rsidRPr="00837317">
        <w:rPr>
          <w:i/>
          <w:iCs/>
        </w:rPr>
        <w:t>Duran</w:t>
      </w:r>
      <w:r w:rsidR="00864FC4" w:rsidRPr="00837317">
        <w:t>)</w:t>
      </w:r>
      <w:bookmarkEnd w:id="113"/>
      <w:r w:rsidR="002B60A0" w:rsidRPr="00837317">
        <w:t xml:space="preserve">, </w:t>
      </w:r>
      <w:r w:rsidR="00BA433C" w:rsidRPr="00837317">
        <w:t xml:space="preserve">we </w:t>
      </w:r>
      <w:r w:rsidR="0075147E" w:rsidRPr="00837317">
        <w:t>stated</w:t>
      </w:r>
      <w:r w:rsidR="00BA433C" w:rsidRPr="00837317">
        <w:t>:</w:t>
      </w:r>
      <w:r w:rsidR="00657453" w:rsidRPr="00837317">
        <w:t xml:space="preserve"> </w:t>
      </w:r>
      <w:r w:rsidR="001F6371" w:rsidRPr="00837317">
        <w:t xml:space="preserve"> </w:t>
      </w:r>
      <w:r w:rsidR="00BB1AE9" w:rsidRPr="00837317">
        <w:t>“</w:t>
      </w:r>
      <w:r w:rsidR="001B6991" w:rsidRPr="00837317">
        <w:t>In certifying a class</w:t>
      </w:r>
      <w:r w:rsidR="003B3DF1" w:rsidRPr="00837317">
        <w:t xml:space="preserve"> </w:t>
      </w:r>
      <w:r w:rsidR="001B6991" w:rsidRPr="00837317">
        <w:t xml:space="preserve">action, the court must also conclude that litigation of individual issues, including those arising from affirmative defenses, can be managed fairly and efficiently.  [Citation.] </w:t>
      </w:r>
      <w:r w:rsidR="006000AC" w:rsidRPr="00837317">
        <w:t xml:space="preserve"> </w:t>
      </w:r>
      <w:r w:rsidR="001B6991" w:rsidRPr="00837317">
        <w:t xml:space="preserve">‘[W]hether in a given case affirmative defenses </w:t>
      </w:r>
      <w:r w:rsidR="001B6991" w:rsidRPr="00837317">
        <w:lastRenderedPageBreak/>
        <w:t>should lead a court to approve or reject certification will hinge on the</w:t>
      </w:r>
      <w:r w:rsidR="00EA49CD" w:rsidRPr="00837317">
        <w:t xml:space="preserve"> </w:t>
      </w:r>
      <w:r w:rsidR="001B6991" w:rsidRPr="00837317">
        <w:t>manageability</w:t>
      </w:r>
      <w:r w:rsidR="00EA49CD" w:rsidRPr="00837317">
        <w:t xml:space="preserve"> </w:t>
      </w:r>
      <w:r w:rsidR="001B6991" w:rsidRPr="00837317">
        <w:t xml:space="preserve">of any individual issues.  [Citation.]’ </w:t>
      </w:r>
      <w:r w:rsidR="006000AC" w:rsidRPr="00837317">
        <w:t xml:space="preserve"> </w:t>
      </w:r>
      <w:r w:rsidR="001B6991" w:rsidRPr="00837317">
        <w:t>[Citation</w:t>
      </w:r>
      <w:r w:rsidR="009C5D9A" w:rsidRPr="00837317">
        <w:t>.</w:t>
      </w:r>
      <w:r w:rsidR="001B6991" w:rsidRPr="00837317">
        <w:t>]</w:t>
      </w:r>
      <w:r w:rsidR="006000AC" w:rsidRPr="00837317">
        <w:t xml:space="preserve"> </w:t>
      </w:r>
      <w:r w:rsidR="00E41272" w:rsidRPr="00837317">
        <w:t xml:space="preserve"> </w:t>
      </w:r>
      <w:r w:rsidR="001B6991" w:rsidRPr="00837317">
        <w:t>In wage and hour cases where a party seeks class certification based on allegations that the employer consistently imposed a uniform policy or de facto practice on class members, the party must still demonstrate that the illegal effects of this conduct can be proven efficiently and manageably within a class setting.”  (</w:t>
      </w:r>
      <w:bookmarkStart w:id="114" w:name="dabmci_920097c1e4964b64b11dc8b2dbdc3233"/>
      <w:r w:rsidR="006000AC" w:rsidRPr="00837317">
        <w:rPr>
          <w:i/>
          <w:iCs/>
        </w:rPr>
        <w:t>Id</w:t>
      </w:r>
      <w:r w:rsidR="006000AC" w:rsidRPr="00837317">
        <w:t>. at p</w:t>
      </w:r>
      <w:r w:rsidR="002B60A0" w:rsidRPr="00837317">
        <w:t>p</w:t>
      </w:r>
      <w:r w:rsidR="006000AC" w:rsidRPr="00837317">
        <w:t>.</w:t>
      </w:r>
      <w:r w:rsidR="001F6371" w:rsidRPr="00837317">
        <w:t> </w:t>
      </w:r>
      <w:r w:rsidR="002B60A0" w:rsidRPr="00837317">
        <w:t>28</w:t>
      </w:r>
      <w:r w:rsidR="003D7AD1" w:rsidRPr="00837317">
        <w:t>–</w:t>
      </w:r>
      <w:r w:rsidR="002B60A0" w:rsidRPr="00837317">
        <w:t>29</w:t>
      </w:r>
      <w:bookmarkEnd w:id="114"/>
      <w:r w:rsidR="003F4E51" w:rsidRPr="00837317">
        <w:t>.</w:t>
      </w:r>
      <w:r w:rsidR="002B60A0" w:rsidRPr="00837317">
        <w:t>)</w:t>
      </w:r>
    </w:p>
    <w:p w14:paraId="53FB687D" w14:textId="77777777" w:rsidR="00C02621" w:rsidRPr="00837317" w:rsidRDefault="007742F5" w:rsidP="00837317">
      <w:pPr>
        <w:pStyle w:val="Heading2"/>
        <w:numPr>
          <w:ilvl w:val="0"/>
          <w:numId w:val="5"/>
        </w:numPr>
        <w:tabs>
          <w:tab w:val="clear" w:pos="1152"/>
        </w:tabs>
      </w:pPr>
      <w:bookmarkStart w:id="115" w:name="_Toc134627243"/>
      <w:bookmarkStart w:id="116" w:name="_Toc135051352"/>
      <w:bookmarkStart w:id="117" w:name="_Toc135058491"/>
      <w:r w:rsidRPr="00837317">
        <w:t xml:space="preserve">Trial </w:t>
      </w:r>
      <w:r w:rsidR="001F6371" w:rsidRPr="00837317">
        <w:t>C</w:t>
      </w:r>
      <w:r w:rsidRPr="00837317">
        <w:t xml:space="preserve">ourts </w:t>
      </w:r>
      <w:r w:rsidR="001F6371" w:rsidRPr="00837317">
        <w:t>L</w:t>
      </w:r>
      <w:r w:rsidRPr="00837317">
        <w:t xml:space="preserve">ack </w:t>
      </w:r>
      <w:r w:rsidR="001F6371" w:rsidRPr="00837317">
        <w:t>I</w:t>
      </w:r>
      <w:r w:rsidRPr="00837317">
        <w:t xml:space="preserve">nherent </w:t>
      </w:r>
      <w:r w:rsidR="001F6371" w:rsidRPr="00837317">
        <w:t>A</w:t>
      </w:r>
      <w:r w:rsidRPr="00837317">
        <w:t xml:space="preserve">uthority to </w:t>
      </w:r>
      <w:r w:rsidR="001F6371" w:rsidRPr="00837317">
        <w:t>S</w:t>
      </w:r>
      <w:r w:rsidRPr="00837317">
        <w:t xml:space="preserve">trike a PAGA </w:t>
      </w:r>
      <w:r w:rsidR="001F6371" w:rsidRPr="00837317">
        <w:t>C</w:t>
      </w:r>
      <w:r w:rsidRPr="00837317">
        <w:t xml:space="preserve">laim </w:t>
      </w:r>
      <w:r w:rsidRPr="00837317">
        <w:t xml:space="preserve">on </w:t>
      </w:r>
      <w:r w:rsidR="001F6371" w:rsidRPr="00837317">
        <w:t>M</w:t>
      </w:r>
      <w:r w:rsidRPr="00837317">
        <w:t xml:space="preserve">anageability </w:t>
      </w:r>
      <w:r w:rsidR="001F6371" w:rsidRPr="00837317">
        <w:t>G</w:t>
      </w:r>
      <w:r w:rsidRPr="00837317">
        <w:t>rounds</w:t>
      </w:r>
      <w:bookmarkEnd w:id="115"/>
      <w:bookmarkEnd w:id="116"/>
      <w:bookmarkEnd w:id="117"/>
      <w:r w:rsidR="00BA4AB6" w:rsidRPr="00837317">
        <w:t xml:space="preserve"> Based on Judicial Economy</w:t>
      </w:r>
    </w:p>
    <w:p w14:paraId="53FB687E" w14:textId="77777777" w:rsidR="004E44B9" w:rsidRPr="001C64C1" w:rsidRDefault="007742F5" w:rsidP="001C64C1">
      <w:pPr>
        <w:ind w:firstLine="720"/>
        <w:rPr>
          <w:highlight w:val="green"/>
        </w:rPr>
      </w:pPr>
      <w:r w:rsidRPr="00837317">
        <w:t xml:space="preserve">Royalty and some amici </w:t>
      </w:r>
      <w:r w:rsidR="00203DF3" w:rsidRPr="00837317">
        <w:t xml:space="preserve">curiae </w:t>
      </w:r>
      <w:r w:rsidRPr="00837317">
        <w:t xml:space="preserve">claim that trial courts have broad inherent authority to strike </w:t>
      </w:r>
      <w:r w:rsidRPr="00837317">
        <w:rPr>
          <w:i/>
          <w:iCs/>
        </w:rPr>
        <w:t>any type of claim</w:t>
      </w:r>
      <w:r w:rsidRPr="00837317">
        <w:t>, irrespective of its nature, to foster judicial economy</w:t>
      </w:r>
      <w:r w:rsidR="000E4333">
        <w:t xml:space="preserve">.  </w:t>
      </w:r>
      <w:r w:rsidRPr="00837317">
        <w:t xml:space="preserve">Specifically, Royalty broadly asserts, </w:t>
      </w:r>
      <w:r w:rsidR="008E03C5">
        <w:t>the power to strike a claim “</w:t>
      </w:r>
      <w:r w:rsidRPr="00837317">
        <w:t xml:space="preserve">is . . . an inherent power of the court </w:t>
      </w:r>
      <w:r w:rsidRPr="00837317">
        <w:rPr>
          <w:i/>
          <w:iCs/>
        </w:rPr>
        <w:t>in every case</w:t>
      </w:r>
      <w:r w:rsidRPr="00837317">
        <w:t>.”</w:t>
      </w:r>
      <w:r w:rsidR="00690317">
        <w:t xml:space="preserve">  </w:t>
      </w:r>
      <w:r w:rsidRPr="00837317">
        <w:t>(Italics added.)</w:t>
      </w:r>
      <w:r w:rsidR="00486662">
        <w:t xml:space="preserve">  </w:t>
      </w:r>
      <w:r w:rsidRPr="00837317">
        <w:t xml:space="preserve">According to Royalty, trial courts may exercise such power to strike claims to “preserve judicial resources [and </w:t>
      </w:r>
      <w:r w:rsidRPr="00837317">
        <w:t>to] prevent trials from becoming excessively complex and time-consuming.”</w:t>
      </w:r>
    </w:p>
    <w:p w14:paraId="53FB687F" w14:textId="77777777" w:rsidR="002952B0" w:rsidRPr="00837317" w:rsidRDefault="007742F5" w:rsidP="00837317">
      <w:pPr>
        <w:ind w:firstLine="720"/>
      </w:pPr>
      <w:r w:rsidRPr="00837317">
        <w:rPr>
          <w:bCs/>
        </w:rPr>
        <w:t xml:space="preserve">Contrary to Royalty’s contention that trial courts possess a broad and general power to dismiss claims in the name of judicial economy, our case law has recognized that the inherent </w:t>
      </w:r>
      <w:r w:rsidRPr="00837317">
        <w:rPr>
          <w:bCs/>
        </w:rPr>
        <w:t xml:space="preserve">authority of trial courts to dismiss claims is limited and operates in circumstances that are not present </w:t>
      </w:r>
      <w:r w:rsidR="000C01B9" w:rsidRPr="00837317">
        <w:rPr>
          <w:bCs/>
        </w:rPr>
        <w:t>here</w:t>
      </w:r>
      <w:r w:rsidRPr="00837317">
        <w:rPr>
          <w:bCs/>
        </w:rPr>
        <w:t>.  We explained the limits of a court’s “</w:t>
      </w:r>
      <w:r w:rsidRPr="00837317">
        <w:t xml:space="preserve">inherent discretionary power to dismiss claims with prejudice” in </w:t>
      </w:r>
      <w:bookmarkStart w:id="118" w:name="dabmci_2437b4c8b97e4c999c11838be582e61f"/>
      <w:r w:rsidRPr="00837317">
        <w:rPr>
          <w:i/>
          <w:iCs/>
        </w:rPr>
        <w:t>Lyons v. Wickhorst</w:t>
      </w:r>
      <w:r w:rsidRPr="00837317">
        <w:t xml:space="preserve"> (1986) 42 Cal.3d 911</w:t>
      </w:r>
      <w:r w:rsidR="00F3197D">
        <w:t>, 915</w:t>
      </w:r>
      <w:r w:rsidRPr="00837317">
        <w:t xml:space="preserve"> (</w:t>
      </w:r>
      <w:r w:rsidRPr="00837317">
        <w:rPr>
          <w:i/>
          <w:iCs/>
        </w:rPr>
        <w:t>Lyons</w:t>
      </w:r>
      <w:r w:rsidRPr="00837317">
        <w:t>)</w:t>
      </w:r>
      <w:bookmarkEnd w:id="118"/>
      <w:r w:rsidRPr="00837317">
        <w:t>.  There we explained that the inherent power of a trial court to dismiss claims “has in the past been confined to two types of situations:  (1) the plaintiff has failed to prosecute diligently [citation]; or (2) the complaint has been shown t</w:t>
      </w:r>
      <w:r w:rsidRPr="00837317">
        <w:t xml:space="preserve">o be ‘fictitious or sham’ such that the plaintiff has no valid cause of </w:t>
      </w:r>
      <w:r w:rsidRPr="00837317">
        <w:lastRenderedPageBreak/>
        <w:t>action.”  (</w:t>
      </w:r>
      <w:bookmarkStart w:id="119" w:name="dabmci_03d283a884c84b6fbfe58c6533bac5ad"/>
      <w:r w:rsidR="00325D77" w:rsidRPr="00837317">
        <w:rPr>
          <w:i/>
          <w:iCs/>
        </w:rPr>
        <w:t>I</w:t>
      </w:r>
      <w:r w:rsidR="000C784A">
        <w:rPr>
          <w:i/>
          <w:iCs/>
        </w:rPr>
        <w:t>bid</w:t>
      </w:r>
      <w:r w:rsidRPr="00837317">
        <w:t>.</w:t>
      </w:r>
      <w:bookmarkEnd w:id="119"/>
      <w:r w:rsidRPr="00837317">
        <w:t>)  In concluding that a trial court lacked</w:t>
      </w:r>
      <w:r w:rsidRPr="00837317">
        <w:rPr>
          <w:i/>
          <w:iCs/>
        </w:rPr>
        <w:t xml:space="preserve"> </w:t>
      </w:r>
      <w:r w:rsidRPr="00837317">
        <w:t>inherent authority to dismiss a plaintiff’s action for failing to participate in a judicial arbitration proceeding, we emphas</w:t>
      </w:r>
      <w:r w:rsidRPr="00837317">
        <w:t xml:space="preserve">ized in </w:t>
      </w:r>
      <w:bookmarkStart w:id="120" w:name="dabmci_9fc2221245d9402fa3083a409f385111"/>
      <w:r w:rsidRPr="00837317">
        <w:rPr>
          <w:i/>
          <w:iCs/>
        </w:rPr>
        <w:t>Lyons</w:t>
      </w:r>
      <w:bookmarkEnd w:id="120"/>
      <w:r w:rsidRPr="00837317">
        <w:t xml:space="preserve"> that “although the discretionary power to dismiss with prejudice has been upheld in this state, its use has been </w:t>
      </w:r>
      <w:r w:rsidRPr="00837317">
        <w:rPr>
          <w:i/>
          <w:iCs/>
        </w:rPr>
        <w:t>tightly circumscribed</w:t>
      </w:r>
      <w:r w:rsidRPr="00837317">
        <w:t>.”  (</w:t>
      </w:r>
      <w:bookmarkStart w:id="121" w:name="dabmci_d2e559e02f6946b680607f56d7ab1ec1"/>
      <w:r w:rsidRPr="00837317">
        <w:rPr>
          <w:i/>
          <w:iCs/>
        </w:rPr>
        <w:t>Id</w:t>
      </w:r>
      <w:r w:rsidRPr="00837317">
        <w:t>. at p. 916</w:t>
      </w:r>
      <w:bookmarkEnd w:id="121"/>
      <w:r w:rsidR="000C784A">
        <w:t>, italics added</w:t>
      </w:r>
      <w:r w:rsidRPr="00837317">
        <w:t xml:space="preserve">; see also </w:t>
      </w:r>
      <w:r w:rsidRPr="006D7246">
        <w:t>6 Witkin, Cal. Proc</w:t>
      </w:r>
      <w:r w:rsidR="000C784A" w:rsidRPr="006D7246">
        <w:t>edure</w:t>
      </w:r>
      <w:r w:rsidRPr="006D7246">
        <w:t xml:space="preserve"> (6th ed. 2023) Proceedings Without Tria</w:t>
      </w:r>
      <w:r w:rsidRPr="006D7246">
        <w:t>l, § 329</w:t>
      </w:r>
      <w:r w:rsidRPr="00837317">
        <w:t xml:space="preserve"> [citing </w:t>
      </w:r>
      <w:bookmarkStart w:id="122" w:name="dabmci_9687aaf7afe1443f8c14b9b0d10cdf66"/>
      <w:r w:rsidRPr="00837317">
        <w:rPr>
          <w:i/>
          <w:iCs/>
        </w:rPr>
        <w:t>Lyons</w:t>
      </w:r>
      <w:bookmarkEnd w:id="122"/>
      <w:r w:rsidRPr="00837317">
        <w:t xml:space="preserve"> and stating “[t]he trial court’s inherent power to dismiss is circumscribed”].)</w:t>
      </w:r>
      <w:r>
        <w:rPr>
          <w:rStyle w:val="FootnoteReference"/>
        </w:rPr>
        <w:footnoteReference w:id="14"/>
      </w:r>
    </w:p>
    <w:p w14:paraId="53FB6880" w14:textId="77777777" w:rsidR="002952B0" w:rsidRPr="00837317" w:rsidRDefault="007742F5" w:rsidP="00837317">
      <w:pPr>
        <w:ind w:firstLine="720"/>
        <w:rPr>
          <w:bCs/>
        </w:rPr>
      </w:pPr>
      <w:r w:rsidRPr="00837317">
        <w:t xml:space="preserve">Our holding in </w:t>
      </w:r>
      <w:bookmarkStart w:id="127" w:name="dabmci_89effdc8a64e40b18cadfb105fbd7983"/>
      <w:r w:rsidRPr="00837317">
        <w:rPr>
          <w:i/>
          <w:iCs/>
        </w:rPr>
        <w:t>Lyons</w:t>
      </w:r>
      <w:bookmarkEnd w:id="127"/>
      <w:r w:rsidRPr="00837317">
        <w:rPr>
          <w:i/>
          <w:iCs/>
        </w:rPr>
        <w:t xml:space="preserve"> </w:t>
      </w:r>
      <w:r w:rsidRPr="00837317">
        <w:t>that trial courts possess only a “tightly circumscribed” inherent power to dismiss with prejudice (</w:t>
      </w:r>
      <w:bookmarkStart w:id="128" w:name="dabmci_bbfff69c3f6b44d4be1f5f4766110445"/>
      <w:r w:rsidRPr="00837317">
        <w:rPr>
          <w:i/>
          <w:iCs/>
        </w:rPr>
        <w:t>Lyons</w:t>
      </w:r>
      <w:r w:rsidRPr="00837317">
        <w:t xml:space="preserve">, </w:t>
      </w:r>
      <w:r w:rsidRPr="00837317">
        <w:rPr>
          <w:i/>
          <w:iCs/>
        </w:rPr>
        <w:t>supra</w:t>
      </w:r>
      <w:r w:rsidRPr="00837317">
        <w:t xml:space="preserve">, </w:t>
      </w:r>
      <w:r w:rsidRPr="00837317">
        <w:t>42 Cal.3d at p. 916</w:t>
      </w:r>
      <w:bookmarkEnd w:id="128"/>
      <w:r w:rsidRPr="00837317">
        <w:t xml:space="preserve">) is consistent with this court’s refusal to recognize even lesser forms of inherent power.  For example, in </w:t>
      </w:r>
      <w:bookmarkStart w:id="129" w:name="dabmci_0d3064742b8d48b7a22d273716481ac9"/>
      <w:r w:rsidRPr="00837317">
        <w:rPr>
          <w:i/>
          <w:iCs/>
        </w:rPr>
        <w:t>Bauguess</w:t>
      </w:r>
      <w:bookmarkEnd w:id="129"/>
      <w:r w:rsidRPr="00837317">
        <w:t xml:space="preserve">, </w:t>
      </w:r>
      <w:r w:rsidR="000C01B9" w:rsidRPr="00837317">
        <w:t xml:space="preserve">we </w:t>
      </w:r>
      <w:r w:rsidRPr="00837317">
        <w:t xml:space="preserve">concluded that trial courts lack inherent authority to award attorney fees as a sanction for misconduct, </w:t>
      </w:r>
      <w:r w:rsidRPr="00837317">
        <w:t>reasoning that it was “unnecessary and unwise to permit trial courts to use fee awards as sanctions apart from those situations authorized by statute.”  (</w:t>
      </w:r>
      <w:bookmarkStart w:id="130" w:name="dabmci_b196784b3537467fbbd5b67669536ba2"/>
      <w:r w:rsidRPr="00837317">
        <w:rPr>
          <w:i/>
          <w:iCs/>
        </w:rPr>
        <w:t>Bauguess</w:t>
      </w:r>
      <w:r w:rsidRPr="00837317">
        <w:t xml:space="preserve">, </w:t>
      </w:r>
      <w:r w:rsidRPr="00837317">
        <w:rPr>
          <w:i/>
          <w:iCs/>
        </w:rPr>
        <w:t>supra</w:t>
      </w:r>
      <w:r w:rsidRPr="00837317">
        <w:t>, 22 Cal.3d at p. 637</w:t>
      </w:r>
      <w:bookmarkEnd w:id="130"/>
      <w:r w:rsidRPr="00837317">
        <w:t>.)  We observed, “</w:t>
      </w:r>
      <w:r w:rsidR="00581F0C" w:rsidRPr="00837317">
        <w:t>I</w:t>
      </w:r>
      <w:r w:rsidRPr="00837317">
        <w:t>f this court were to hold that trial courts hav</w:t>
      </w:r>
      <w:r w:rsidRPr="00837317">
        <w:t xml:space="preserve">e the inherent power to impose sanctions in </w:t>
      </w:r>
      <w:r w:rsidRPr="00837317">
        <w:lastRenderedPageBreak/>
        <w:t>the form of attorney’s fees for alleged misconduct, trial courts would be given a power without procedural limits and potentially subject to abuse.”  (</w:t>
      </w:r>
      <w:bookmarkStart w:id="131" w:name="dabmci_b561fa05fbbc486a8b67c5568d9bf8e8"/>
      <w:r w:rsidRPr="00837317">
        <w:rPr>
          <w:i/>
          <w:iCs/>
        </w:rPr>
        <w:t>Id</w:t>
      </w:r>
      <w:r w:rsidRPr="00837317">
        <w:t>. at p. 638</w:t>
      </w:r>
      <w:bookmarkEnd w:id="131"/>
      <w:r w:rsidRPr="00837317">
        <w:t xml:space="preserve">.)  </w:t>
      </w:r>
    </w:p>
    <w:p w14:paraId="53FB6881" w14:textId="77777777" w:rsidR="002952B0" w:rsidRPr="00837317" w:rsidRDefault="007742F5" w:rsidP="00837317">
      <w:pPr>
        <w:ind w:firstLine="720"/>
      </w:pPr>
      <w:r w:rsidRPr="00837317">
        <w:rPr>
          <w:bCs/>
        </w:rPr>
        <w:t>In sum, there is no inherent authority that</w:t>
      </w:r>
      <w:r w:rsidRPr="00837317">
        <w:rPr>
          <w:bCs/>
        </w:rPr>
        <w:t xml:space="preserve"> sweeps as broadly as Royalty would have us hold.  </w:t>
      </w:r>
      <w:r w:rsidRPr="00837317">
        <w:t xml:space="preserve">Contrary to Royalty’s claim that all courts have </w:t>
      </w:r>
      <w:r w:rsidRPr="00837317">
        <w:rPr>
          <w:i/>
          <w:iCs/>
        </w:rPr>
        <w:t>broad</w:t>
      </w:r>
      <w:r w:rsidRPr="00837317">
        <w:t xml:space="preserve"> inherent powers to dismiss claims on judicial economy grounds, we held in </w:t>
      </w:r>
      <w:bookmarkStart w:id="132" w:name="dabmci_e29b94561404404aaf1aede126ca3102"/>
      <w:r w:rsidRPr="00837317">
        <w:rPr>
          <w:i/>
          <w:iCs/>
        </w:rPr>
        <w:t>Lyons</w:t>
      </w:r>
      <w:bookmarkEnd w:id="132"/>
      <w:r w:rsidRPr="00837317">
        <w:t xml:space="preserve"> that trial courts possess only a </w:t>
      </w:r>
      <w:r w:rsidRPr="00837317">
        <w:rPr>
          <w:i/>
          <w:iCs/>
        </w:rPr>
        <w:t>narrow</w:t>
      </w:r>
      <w:r w:rsidRPr="00837317">
        <w:t xml:space="preserve"> inherent authority to dismiss </w:t>
      </w:r>
      <w:r w:rsidRPr="00837317">
        <w:t>claims based on limited circumstances undisputedly not present in this case (</w:t>
      </w:r>
      <w:r w:rsidR="00CF64EC">
        <w:t>e.g</w:t>
      </w:r>
      <w:r w:rsidRPr="00837317">
        <w:t>., cases involving a failure to prosecute, frivolous claims, or egregious misconduct).</w:t>
      </w:r>
    </w:p>
    <w:p w14:paraId="53FB6882" w14:textId="77777777" w:rsidR="002952B0" w:rsidRPr="00837317" w:rsidRDefault="007742F5" w:rsidP="00837317">
      <w:pPr>
        <w:ind w:firstLine="720"/>
      </w:pPr>
      <w:r w:rsidRPr="00837317">
        <w:t xml:space="preserve">None of the cases cited by Royalty or by amici </w:t>
      </w:r>
      <w:r w:rsidR="00203DF3" w:rsidRPr="00837317">
        <w:t xml:space="preserve">curiae </w:t>
      </w:r>
      <w:r w:rsidRPr="00837317">
        <w:t>supports the contention that courts</w:t>
      </w:r>
      <w:r w:rsidRPr="00837317">
        <w:t xml:space="preserve"> have broad inherent authority to strike</w:t>
      </w:r>
      <w:r w:rsidR="000D58BE">
        <w:t xml:space="preserve"> </w:t>
      </w:r>
      <w:r w:rsidRPr="00837317">
        <w:t xml:space="preserve">claims to serve judicial economy.  Notably, </w:t>
      </w:r>
      <w:r w:rsidR="00277BCD" w:rsidRPr="00837317">
        <w:t xml:space="preserve">aside from </w:t>
      </w:r>
      <w:r w:rsidR="00277BCD" w:rsidRPr="00837317">
        <w:rPr>
          <w:i/>
          <w:iCs/>
        </w:rPr>
        <w:t>Stephen Slesinger</w:t>
      </w:r>
      <w:r w:rsidR="00277BCD" w:rsidRPr="00837317">
        <w:t>, discu</w:t>
      </w:r>
      <w:r w:rsidR="00E038CE" w:rsidRPr="00837317">
        <w:t>ss</w:t>
      </w:r>
      <w:r w:rsidR="00277BCD" w:rsidRPr="00837317">
        <w:t xml:space="preserve">ed in </w:t>
      </w:r>
      <w:r w:rsidR="00277BCD" w:rsidRPr="00CF0013">
        <w:t>f</w:t>
      </w:r>
      <w:r w:rsidR="0041763C" w:rsidRPr="00CF0013">
        <w:t>ootnote</w:t>
      </w:r>
      <w:r w:rsidR="00E038CE" w:rsidRPr="00CF0013">
        <w:t xml:space="preserve"> </w:t>
      </w:r>
      <w:r w:rsidR="00B64149" w:rsidRPr="00CF0013">
        <w:t>1</w:t>
      </w:r>
      <w:r w:rsidR="00C27DBD">
        <w:t>3</w:t>
      </w:r>
      <w:r w:rsidR="00E038CE" w:rsidRPr="00CF0013">
        <w:t xml:space="preserve"> </w:t>
      </w:r>
      <w:bookmarkStart w:id="133" w:name="dabmci_a3e6fa25acaf4751bcabbc363c131948"/>
      <w:r w:rsidR="00E038CE" w:rsidRPr="00CF0013">
        <w:rPr>
          <w:i/>
          <w:iCs/>
        </w:rPr>
        <w:t>ante</w:t>
      </w:r>
      <w:r w:rsidR="00E038CE" w:rsidRPr="00837317">
        <w:t>,</w:t>
      </w:r>
      <w:bookmarkEnd w:id="133"/>
      <w:r w:rsidR="00E038CE" w:rsidRPr="00837317">
        <w:t xml:space="preserve"> none</w:t>
      </w:r>
      <w:r w:rsidR="00925173" w:rsidRPr="00837317">
        <w:t xml:space="preserve"> </w:t>
      </w:r>
      <w:r w:rsidRPr="00837317">
        <w:t>of the</w:t>
      </w:r>
      <w:r w:rsidR="008A31E3">
        <w:t>se</w:t>
      </w:r>
      <w:r w:rsidRPr="00837317">
        <w:t xml:space="preserve"> cases</w:t>
      </w:r>
      <w:r w:rsidR="005D4764" w:rsidRPr="00837317">
        <w:t xml:space="preserve"> </w:t>
      </w:r>
      <w:r w:rsidRPr="00837317">
        <w:t xml:space="preserve">addressed whether a court had the inherent power to strike a claim.  (See, e.g., </w:t>
      </w:r>
      <w:bookmarkStart w:id="134" w:name="dabmci_06f34383abbd4d229b45fc74b1452354"/>
      <w:r w:rsidRPr="00837317">
        <w:rPr>
          <w:i/>
          <w:iCs/>
        </w:rPr>
        <w:t>Cohn v. C</w:t>
      </w:r>
      <w:r w:rsidRPr="00837317">
        <w:rPr>
          <w:i/>
          <w:iCs/>
        </w:rPr>
        <w:t>orinthian Colleges, Inc.</w:t>
      </w:r>
      <w:r w:rsidRPr="00837317">
        <w:t xml:space="preserve"> (2008) 169 Cal.App.4th 523, 531</w:t>
      </w:r>
      <w:bookmarkEnd w:id="134"/>
      <w:r w:rsidRPr="00837317">
        <w:t xml:space="preserve"> [considering a court’s inherent authority to accept an oral application to expedite discovery prior to a motion for summary judgment]; </w:t>
      </w:r>
      <w:bookmarkStart w:id="135" w:name="dabmci_dd3fae010bfc46dbbdfd8b72e74e9e8f"/>
      <w:r w:rsidRPr="00837317">
        <w:rPr>
          <w:i/>
          <w:iCs/>
        </w:rPr>
        <w:t xml:space="preserve">Asbestos Claims Facility v. Berry &amp; Berry </w:t>
      </w:r>
      <w:r w:rsidRPr="00837317">
        <w:t>(1990) 219 Cal.App.3d 9, 23</w:t>
      </w:r>
      <w:bookmarkEnd w:id="135"/>
      <w:r w:rsidRPr="00837317">
        <w:t xml:space="preserve"> [considering a court’s inherent power to appoint d</w:t>
      </w:r>
      <w:r w:rsidRPr="00837317">
        <w:t xml:space="preserve">efense counsel]; </w:t>
      </w:r>
      <w:bookmarkStart w:id="136" w:name="dabmci_20f5d20d561548cca46cc4fd52a00d3f"/>
      <w:r w:rsidRPr="00837317">
        <w:rPr>
          <w:i/>
          <w:iCs/>
        </w:rPr>
        <w:t xml:space="preserve">Peat, Marwick, Mitchell &amp; Co. v. Superior Court </w:t>
      </w:r>
      <w:r w:rsidRPr="00837317">
        <w:t>(1988) 200 Cal.App.3d 272, 289</w:t>
      </w:r>
      <w:bookmarkEnd w:id="136"/>
      <w:r w:rsidRPr="00837317">
        <w:t xml:space="preserve"> [discussing a court’s inherent power to preclude the presentation of evidence as a sanction for litigation abuse]; </w:t>
      </w:r>
      <w:bookmarkStart w:id="137" w:name="dabmci_ca8ca795c6e24cf794c16f25e55eeb71"/>
      <w:r w:rsidRPr="00837317">
        <w:rPr>
          <w:i/>
          <w:iCs/>
        </w:rPr>
        <w:t xml:space="preserve">Adamson v. Superior Court </w:t>
      </w:r>
      <w:r w:rsidRPr="00837317">
        <w:t>(1980) 113</w:t>
      </w:r>
      <w:r w:rsidR="000C01B9" w:rsidRPr="00837317">
        <w:t> </w:t>
      </w:r>
      <w:r w:rsidRPr="00837317">
        <w:t>Cal.App.</w:t>
      </w:r>
      <w:r w:rsidRPr="00837317">
        <w:t>3d 505, 509</w:t>
      </w:r>
      <w:bookmarkEnd w:id="137"/>
      <w:r w:rsidRPr="00837317">
        <w:t xml:space="preserve"> [considering a court’s inherent power to grant rehearing]; </w:t>
      </w:r>
      <w:bookmarkStart w:id="138" w:name="dabmci_e41f8ff478254880a9b204931302fa37"/>
      <w:r w:rsidRPr="00837317">
        <w:rPr>
          <w:i/>
          <w:iCs/>
        </w:rPr>
        <w:t>James</w:t>
      </w:r>
      <w:r w:rsidR="007B0133">
        <w:rPr>
          <w:i/>
          <w:iCs/>
        </w:rPr>
        <w:t xml:space="preserve"> H.</w:t>
      </w:r>
      <w:r w:rsidRPr="00837317">
        <w:t xml:space="preserve">, </w:t>
      </w:r>
      <w:r w:rsidRPr="00837317">
        <w:rPr>
          <w:i/>
          <w:iCs/>
        </w:rPr>
        <w:t>supra</w:t>
      </w:r>
      <w:r w:rsidRPr="00837317">
        <w:t>, 77 Cal.App.3d at p. 172</w:t>
      </w:r>
      <w:bookmarkEnd w:id="138"/>
      <w:r w:rsidRPr="00837317">
        <w:t xml:space="preserve"> [considering a court’s inherent power to order a competency hearing for </w:t>
      </w:r>
      <w:r w:rsidR="00FA3D4F">
        <w:t xml:space="preserve">a </w:t>
      </w:r>
      <w:r w:rsidRPr="00837317">
        <w:t xml:space="preserve">juvenile]; </w:t>
      </w:r>
      <w:bookmarkStart w:id="139" w:name="dabmci_9a838a0bf8cf42a18fe2a4e9b1c9360a"/>
      <w:r w:rsidRPr="00837317">
        <w:rPr>
          <w:i/>
          <w:iCs/>
        </w:rPr>
        <w:t xml:space="preserve">Venice Canals Resident Home Owners Assn. v. Superior Court </w:t>
      </w:r>
      <w:r w:rsidRPr="00837317">
        <w:t>(1977) 72 Cal.App.3d 675,</w:t>
      </w:r>
      <w:r w:rsidRPr="00837317">
        <w:rPr>
          <w:i/>
          <w:iCs/>
        </w:rPr>
        <w:t xml:space="preserve"> </w:t>
      </w:r>
      <w:r w:rsidRPr="00837317">
        <w:t>680</w:t>
      </w:r>
      <w:bookmarkEnd w:id="139"/>
      <w:r w:rsidRPr="00837317">
        <w:t xml:space="preserve"> [discussing a court’s inherent </w:t>
      </w:r>
      <w:r w:rsidRPr="00837317">
        <w:lastRenderedPageBreak/>
        <w:t>power to require the posting of a bond].)  And, in some of the cited cases, this court declined to conclude that the trial court possessed the inherent authority to take the action at issue in th</w:t>
      </w:r>
      <w:r w:rsidRPr="00837317">
        <w:t>e case.  (</w:t>
      </w:r>
      <w:bookmarkStart w:id="140" w:name="dabmci_ec3accbf78a44305a51a1bf626c97794"/>
      <w:r w:rsidRPr="00837317">
        <w:rPr>
          <w:i/>
          <w:iCs/>
        </w:rPr>
        <w:t>Bauguess</w:t>
      </w:r>
      <w:r w:rsidRPr="00837317">
        <w:t xml:space="preserve">, </w:t>
      </w:r>
      <w:r w:rsidRPr="00837317">
        <w:rPr>
          <w:i/>
          <w:iCs/>
        </w:rPr>
        <w:t>supra</w:t>
      </w:r>
      <w:r w:rsidRPr="00837317">
        <w:t>, 22 Cal.3d at p. 638</w:t>
      </w:r>
      <w:bookmarkEnd w:id="140"/>
      <w:r w:rsidRPr="00837317">
        <w:t xml:space="preserve">; </w:t>
      </w:r>
      <w:bookmarkStart w:id="141" w:name="dabmci_90a58358f6974eb991d282db15aebb81"/>
      <w:r w:rsidRPr="00837317">
        <w:rPr>
          <w:i/>
          <w:iCs/>
        </w:rPr>
        <w:t xml:space="preserve">Rutherford v. Owens-Illinois, Inc. </w:t>
      </w:r>
      <w:r w:rsidRPr="00837317">
        <w:t>(1997) 16 Cal.4th 953, 96</w:t>
      </w:r>
      <w:r w:rsidR="00EA686C">
        <w:t>7</w:t>
      </w:r>
      <w:bookmarkEnd w:id="141"/>
      <w:r w:rsidRPr="00837317">
        <w:t xml:space="preserve"> [stating “ ‘trial judges have no authority to issue courtroom local rules which conflict with any statute’ or are ‘inconsistent with law’ ”].)</w:t>
      </w:r>
    </w:p>
    <w:p w14:paraId="53FB6883" w14:textId="77777777" w:rsidR="002952B0" w:rsidRPr="00837317" w:rsidRDefault="007742F5" w:rsidP="00837317">
      <w:pPr>
        <w:ind w:firstLine="720"/>
      </w:pPr>
      <w:r w:rsidRPr="00837317">
        <w:t>Our</w:t>
      </w:r>
      <w:r w:rsidRPr="00837317">
        <w:t xml:space="preserve"> cases holding that courts possess some limited amount of inherent authority </w:t>
      </w:r>
      <w:r w:rsidR="00CF64EC">
        <w:t xml:space="preserve">in other respects </w:t>
      </w:r>
      <w:r w:rsidRPr="00837317">
        <w:t>do not support Royalty’s contention that trial courts possess broad inherent authority to strike a claim</w:t>
      </w:r>
      <w:r w:rsidR="001D5AED">
        <w:t xml:space="preserve"> </w:t>
      </w:r>
      <w:r w:rsidRPr="00837317">
        <w:t xml:space="preserve">for judicial economy reasons.  In </w:t>
      </w:r>
      <w:bookmarkStart w:id="142" w:name="dabmci_ffd4f24a19b64edab473a7681b6309a2"/>
      <w:r w:rsidRPr="00837317">
        <w:rPr>
          <w:i/>
          <w:iCs/>
        </w:rPr>
        <w:t>Addison v. State of Ca</w:t>
      </w:r>
      <w:r w:rsidRPr="00837317">
        <w:rPr>
          <w:i/>
          <w:iCs/>
        </w:rPr>
        <w:t xml:space="preserve">lifornia </w:t>
      </w:r>
      <w:r w:rsidRPr="00837317">
        <w:t>(1978) 21</w:t>
      </w:r>
      <w:r w:rsidR="000C01B9" w:rsidRPr="00837317">
        <w:t> </w:t>
      </w:r>
      <w:r w:rsidRPr="00837317">
        <w:t>Cal.3d 313</w:t>
      </w:r>
      <w:bookmarkEnd w:id="142"/>
      <w:r w:rsidRPr="00837317">
        <w:t xml:space="preserve">, we “appl[ied] the well established doctrine of ‘equitable tolling’ ” </w:t>
      </w:r>
      <w:r w:rsidR="00E208A0">
        <w:t>(</w:t>
      </w:r>
      <w:bookmarkStart w:id="143" w:name="dabmci_c81e7a6b42e04e9381c5212eb05fb243"/>
      <w:r w:rsidR="00E208A0" w:rsidRPr="00E208A0">
        <w:rPr>
          <w:i/>
          <w:iCs/>
        </w:rPr>
        <w:t>id</w:t>
      </w:r>
      <w:r w:rsidR="00E208A0">
        <w:t>. at p.</w:t>
      </w:r>
      <w:r w:rsidR="009643D4">
        <w:t> </w:t>
      </w:r>
      <w:r w:rsidR="00E208A0">
        <w:t>316</w:t>
      </w:r>
      <w:bookmarkEnd w:id="143"/>
      <w:r w:rsidR="00E208A0">
        <w:t>)</w:t>
      </w:r>
      <w:r w:rsidR="009643D4">
        <w:t>,</w:t>
      </w:r>
      <w:r w:rsidR="00E208A0">
        <w:t xml:space="preserve"> </w:t>
      </w:r>
      <w:r w:rsidRPr="00837317">
        <w:t>which we explained had grown from our power to “formulate rules of procedure where justice demands it,” to ensure that “technical forfeitur</w:t>
      </w:r>
      <w:r w:rsidRPr="00837317">
        <w:t>es .</w:t>
      </w:r>
      <w:r w:rsidR="00253FB0">
        <w:t> </w:t>
      </w:r>
      <w:r w:rsidRPr="00837317">
        <w:t>.</w:t>
      </w:r>
      <w:r w:rsidR="00253FB0">
        <w:t> </w:t>
      </w:r>
      <w:r w:rsidRPr="00837317">
        <w:t>. [do not] unjustifiably prevent a trial on the merits” (</w:t>
      </w:r>
      <w:bookmarkStart w:id="144" w:name="dabmci_22a0a53e21664a9c8a1d85b5e31bfd8f"/>
      <w:r w:rsidR="004B1D08">
        <w:rPr>
          <w:i/>
          <w:iCs/>
        </w:rPr>
        <w:t>i</w:t>
      </w:r>
      <w:r w:rsidRPr="00837317">
        <w:rPr>
          <w:i/>
          <w:iCs/>
        </w:rPr>
        <w:t>d</w:t>
      </w:r>
      <w:r w:rsidRPr="00837317">
        <w:t>. at p. 319</w:t>
      </w:r>
      <w:bookmarkEnd w:id="144"/>
      <w:r w:rsidRPr="00837317">
        <w:t>)</w:t>
      </w:r>
      <w:r w:rsidR="004B1D08">
        <w:t>.</w:t>
      </w:r>
      <w:r w:rsidRPr="00837317">
        <w:t xml:space="preserve">  And, in </w:t>
      </w:r>
      <w:bookmarkStart w:id="145" w:name="dabmci_29193ad8d3ac49ca89eef73d074c1c08"/>
      <w:r w:rsidRPr="00837317">
        <w:rPr>
          <w:i/>
          <w:iCs/>
        </w:rPr>
        <w:t>Citizens Utilities</w:t>
      </w:r>
      <w:bookmarkEnd w:id="145"/>
      <w:r w:rsidRPr="00837317">
        <w:t>, we upheld a limited inherent power of courts to devise a procedure to assess the value of condemned property as of the date of trial and not merely</w:t>
      </w:r>
      <w:r w:rsidRPr="00837317">
        <w:t xml:space="preserve"> as of the date of the summons (as provided by statute) after noting that constitutional provisions for the payment of the taking of public property were “self-executing,” and that it had </w:t>
      </w:r>
      <w:r w:rsidR="008C3ABD">
        <w:t>“</w:t>
      </w:r>
      <w:r w:rsidRPr="00837317">
        <w:t>been held, in inverse condemnation cases, that inherent power is re</w:t>
      </w:r>
      <w:r w:rsidRPr="00837317">
        <w:t>posed in the trial court to provide for the assessment of just compensation in situations not within the purview of existing statutory provisions.”  (</w:t>
      </w:r>
      <w:bookmarkStart w:id="146" w:name="dabmci_c96433f675a2467ea38dc3def7757d4b"/>
      <w:r w:rsidRPr="00837317">
        <w:rPr>
          <w:i/>
          <w:iCs/>
        </w:rPr>
        <w:t>Citizens Utilities</w:t>
      </w:r>
      <w:r w:rsidRPr="00837317">
        <w:t xml:space="preserve">, </w:t>
      </w:r>
      <w:r w:rsidRPr="00837317">
        <w:rPr>
          <w:i/>
          <w:iCs/>
        </w:rPr>
        <w:t>supra</w:t>
      </w:r>
      <w:r w:rsidRPr="00837317">
        <w:t>, 59 Cal.2d at p. 812</w:t>
      </w:r>
      <w:bookmarkEnd w:id="146"/>
      <w:r w:rsidRPr="00837317">
        <w:t>.)  This court’s formulation of rules of procedure to facili</w:t>
      </w:r>
      <w:r w:rsidRPr="00837317">
        <w:t>tate the trial of causes on the merits (</w:t>
      </w:r>
      <w:r w:rsidRPr="00837317">
        <w:rPr>
          <w:i/>
          <w:iCs/>
        </w:rPr>
        <w:t>Addison</w:t>
      </w:r>
      <w:r w:rsidRPr="00837317">
        <w:t>), and to devise a procedure to adjudicate certain claims (</w:t>
      </w:r>
      <w:r w:rsidRPr="00837317">
        <w:rPr>
          <w:i/>
          <w:iCs/>
        </w:rPr>
        <w:t>Citizens Utilities</w:t>
      </w:r>
      <w:r w:rsidRPr="00837317">
        <w:t xml:space="preserve">) bear no resemblance to the broad power to </w:t>
      </w:r>
      <w:r w:rsidRPr="00837317">
        <w:lastRenderedPageBreak/>
        <w:t xml:space="preserve">strike a </w:t>
      </w:r>
      <w:r w:rsidR="001D5AED">
        <w:t xml:space="preserve">claim </w:t>
      </w:r>
      <w:r w:rsidRPr="00837317">
        <w:t xml:space="preserve">for judicial convenience that Royalty and amici </w:t>
      </w:r>
      <w:r w:rsidR="00203DF3" w:rsidRPr="00837317">
        <w:t xml:space="preserve">curiae </w:t>
      </w:r>
      <w:r w:rsidRPr="00837317">
        <w:t xml:space="preserve">argue for here.  </w:t>
      </w:r>
    </w:p>
    <w:p w14:paraId="53FB6884" w14:textId="77777777" w:rsidR="002952B0" w:rsidRPr="00837317" w:rsidRDefault="007742F5" w:rsidP="00837317">
      <w:pPr>
        <w:ind w:firstLine="720"/>
      </w:pPr>
      <w:r w:rsidRPr="00837317">
        <w:t xml:space="preserve">Similarly, none of the statutes cited by Royalty and amici </w:t>
      </w:r>
      <w:r w:rsidR="00203DF3" w:rsidRPr="00837317">
        <w:t xml:space="preserve">curiae </w:t>
      </w:r>
      <w:r w:rsidRPr="00837317">
        <w:t>reveals the broad inherent authority that Royalty and amici</w:t>
      </w:r>
      <w:r w:rsidR="00203DF3" w:rsidRPr="00837317">
        <w:t xml:space="preserve"> curiae</w:t>
      </w:r>
      <w:r w:rsidRPr="00837317">
        <w:t xml:space="preserve"> claim trial courts possess.  For example, while Ro</w:t>
      </w:r>
      <w:r w:rsidRPr="00837317">
        <w:t>yalty cites Code of Civil Procedure sections 128 and 187,</w:t>
      </w:r>
      <w:r>
        <w:rPr>
          <w:rStyle w:val="FootnoteReference"/>
        </w:rPr>
        <w:footnoteReference w:id="15"/>
      </w:r>
      <w:r w:rsidRPr="00837317">
        <w:t xml:space="preserve"> neither statute refers to a court’s inherent power to strike a claim</w:t>
      </w:r>
      <w:r w:rsidR="00C169F2">
        <w:t xml:space="preserve"> due to manageability concerns</w:t>
      </w:r>
      <w:r w:rsidR="00A41B85">
        <w:t>,</w:t>
      </w:r>
      <w:r w:rsidR="001D5AED">
        <w:t xml:space="preserve"> </w:t>
      </w:r>
      <w:r w:rsidRPr="00837317">
        <w:t>and Royalty does not offer any argument demonstrating that this sort of power is implied by such</w:t>
      </w:r>
      <w:r w:rsidRPr="00837317">
        <w:t xml:space="preserve"> statutes.</w:t>
      </w:r>
      <w:r>
        <w:rPr>
          <w:rStyle w:val="FootnoteReference"/>
        </w:rPr>
        <w:footnoteReference w:id="16"/>
      </w:r>
    </w:p>
    <w:p w14:paraId="53FB6885" w14:textId="77777777" w:rsidR="00767974" w:rsidRDefault="007742F5" w:rsidP="00837317">
      <w:pPr>
        <w:ind w:firstLine="720"/>
      </w:pPr>
      <w:r w:rsidRPr="00837317">
        <w:lastRenderedPageBreak/>
        <w:t xml:space="preserve">The statutes cited by amici </w:t>
      </w:r>
      <w:r w:rsidR="00203DF3" w:rsidRPr="00837317">
        <w:t xml:space="preserve">curiae </w:t>
      </w:r>
      <w:r w:rsidRPr="00837317">
        <w:t>are also inapposite.  (See Code Civ</w:t>
      </w:r>
      <w:r w:rsidR="00D00B65" w:rsidRPr="00837317">
        <w:t>.</w:t>
      </w:r>
      <w:r w:rsidRPr="00837317">
        <w:t xml:space="preserve"> Proc</w:t>
      </w:r>
      <w:r w:rsidR="00D00B65" w:rsidRPr="00837317">
        <w:t>.</w:t>
      </w:r>
      <w:r w:rsidRPr="00837317">
        <w:t xml:space="preserve">, §§ 583.150, 581, subd. (m).)  While Code of Civil Procedure section 583.150 states that it </w:t>
      </w:r>
      <w:r w:rsidR="00206F7A">
        <w:t>“</w:t>
      </w:r>
      <w:r w:rsidRPr="00837317">
        <w:t>does not limit or affect the authority of a court to dismiss an action o</w:t>
      </w:r>
      <w:r w:rsidRPr="00837317">
        <w:t>r impose other sanctions . . . under inherent authority of the court,” that provision does not purport to describe the extent of such inherent authority in any manner.  Code of Civil Procedure section 583.150 also pertains to the dismissal of a case for de</w:t>
      </w:r>
      <w:r w:rsidRPr="00837317">
        <w:t>lay in prosecution, which</w:t>
      </w:r>
      <w:r w:rsidR="004E1594">
        <w:t>,</w:t>
      </w:r>
      <w:r w:rsidRPr="00837317">
        <w:t xml:space="preserve"> as discussed </w:t>
      </w:r>
      <w:bookmarkStart w:id="148" w:name="dabmci_62870b636c2341be9a9a7c3609fd50e4"/>
      <w:r w:rsidRPr="00837317">
        <w:rPr>
          <w:i/>
          <w:iCs/>
        </w:rPr>
        <w:t>ante</w:t>
      </w:r>
      <w:r w:rsidRPr="00837317">
        <w:t>,</w:t>
      </w:r>
      <w:bookmarkEnd w:id="148"/>
      <w:r w:rsidRPr="00837317">
        <w:t xml:space="preserve"> is one of the narrow grounds upon which courts </w:t>
      </w:r>
      <w:r w:rsidRPr="00837317">
        <w:rPr>
          <w:i/>
          <w:iCs/>
        </w:rPr>
        <w:t>do</w:t>
      </w:r>
      <w:r w:rsidRPr="00837317">
        <w:t xml:space="preserve"> have inherent dismissal authority.  </w:t>
      </w:r>
    </w:p>
    <w:p w14:paraId="53FB6886" w14:textId="77777777" w:rsidR="002952B0" w:rsidRPr="00837317" w:rsidRDefault="007742F5" w:rsidP="00837317">
      <w:pPr>
        <w:ind w:firstLine="720"/>
      </w:pPr>
      <w:r w:rsidRPr="00837317">
        <w:t>The other statute cited by amici</w:t>
      </w:r>
      <w:r w:rsidR="00203DF3" w:rsidRPr="00837317">
        <w:t xml:space="preserve"> curiae</w:t>
      </w:r>
      <w:r w:rsidRPr="00837317">
        <w:t>, Code of Civil Procedure section 581</w:t>
      </w:r>
      <w:r w:rsidR="00AB340B" w:rsidRPr="00837317">
        <w:t xml:space="preserve">, </w:t>
      </w:r>
      <w:r w:rsidR="00176FE5" w:rsidRPr="00837317">
        <w:t>enumerates specific bases</w:t>
      </w:r>
      <w:r w:rsidR="00033ADF" w:rsidRPr="00837317">
        <w:t xml:space="preserve"> for which a trial court may dismiss </w:t>
      </w:r>
      <w:r w:rsidR="00556F2E" w:rsidRPr="00837317">
        <w:t>an action, complaint, or cause of action</w:t>
      </w:r>
      <w:r w:rsidR="0015284B" w:rsidRPr="00837317">
        <w:t xml:space="preserve">. </w:t>
      </w:r>
      <w:r w:rsidR="00176FE5" w:rsidRPr="00837317">
        <w:t xml:space="preserve"> (</w:t>
      </w:r>
      <w:r w:rsidR="0015284B" w:rsidRPr="00837317">
        <w:t>S</w:t>
      </w:r>
      <w:r w:rsidR="0009165A" w:rsidRPr="00837317">
        <w:t xml:space="preserve">ee, </w:t>
      </w:r>
      <w:r w:rsidR="00176FE5" w:rsidRPr="00837317">
        <w:t>e.g</w:t>
      </w:r>
      <w:r w:rsidR="0009165A" w:rsidRPr="00837317">
        <w:t>.</w:t>
      </w:r>
      <w:r w:rsidR="00D330DE">
        <w:t>,</w:t>
      </w:r>
      <w:r w:rsidR="0009165A" w:rsidRPr="00837317">
        <w:t xml:space="preserve"> </w:t>
      </w:r>
      <w:bookmarkStart w:id="149" w:name="dabmci_0eb8b62c0cbf495796e853f76dbd2e2d"/>
      <w:r w:rsidR="00D330DE">
        <w:rPr>
          <w:i/>
          <w:iCs/>
        </w:rPr>
        <w:t>i</w:t>
      </w:r>
      <w:r w:rsidR="00DF38DE" w:rsidRPr="00837317">
        <w:rPr>
          <w:i/>
          <w:iCs/>
        </w:rPr>
        <w:t>d</w:t>
      </w:r>
      <w:r w:rsidR="00DF38DE" w:rsidRPr="00837317">
        <w:t>.</w:t>
      </w:r>
      <w:bookmarkEnd w:id="149"/>
      <w:r w:rsidR="00DF38DE" w:rsidRPr="00837317">
        <w:t>, subd. (b)(</w:t>
      </w:r>
      <w:r w:rsidR="00A81ED2">
        <w:t>3</w:t>
      </w:r>
      <w:r w:rsidR="00DF38DE" w:rsidRPr="00837317">
        <w:t>) [specifying that action may</w:t>
      </w:r>
      <w:r w:rsidR="007941EE" w:rsidRPr="00837317">
        <w:t xml:space="preserve"> </w:t>
      </w:r>
      <w:r w:rsidR="00DF38DE" w:rsidRPr="00837317">
        <w:t>be dismissed “[b]</w:t>
      </w:r>
      <w:r w:rsidR="0009165A" w:rsidRPr="00837317">
        <w:t>y the court, without prejudice, when no party appears for trial following 30 days</w:t>
      </w:r>
      <w:r w:rsidR="00AB0549" w:rsidRPr="00837317">
        <w:t>’</w:t>
      </w:r>
      <w:r w:rsidR="0009165A" w:rsidRPr="00837317">
        <w:t xml:space="preserve"> notice of time and place of trial</w:t>
      </w:r>
      <w:r w:rsidR="00DF38DE" w:rsidRPr="00837317">
        <w:t>”].)</w:t>
      </w:r>
      <w:r w:rsidR="00AB340B" w:rsidRPr="00837317">
        <w:t xml:space="preserve">  Code of Civil Procedure section 581, </w:t>
      </w:r>
      <w:r w:rsidR="00264A0D" w:rsidRPr="00837317">
        <w:t>s</w:t>
      </w:r>
      <w:r w:rsidR="00AB340B" w:rsidRPr="00837317">
        <w:t>ubdivision (m)</w:t>
      </w:r>
      <w:r w:rsidR="00C0465F" w:rsidRPr="00837317">
        <w:t>, which amici curiae specifically reference,</w:t>
      </w:r>
      <w:r w:rsidR="00B955CF" w:rsidRPr="00837317">
        <w:t xml:space="preserve"> </w:t>
      </w:r>
      <w:r w:rsidR="00092056" w:rsidRPr="00837317">
        <w:t>includes</w:t>
      </w:r>
      <w:r w:rsidR="00D34658" w:rsidRPr="00837317">
        <w:t xml:space="preserve"> a caveat providing that </w:t>
      </w:r>
      <w:r w:rsidR="00264078">
        <w:t xml:space="preserve">the provisions of </w:t>
      </w:r>
      <w:r w:rsidR="00264078" w:rsidRPr="00264078">
        <w:t>Code of Civil Procedure section 581</w:t>
      </w:r>
      <w:r w:rsidR="00264078">
        <w:t xml:space="preserve"> are </w:t>
      </w:r>
      <w:r w:rsidR="00D34658" w:rsidRPr="00837317">
        <w:t>not the exclusive grounds for dismissal.</w:t>
      </w:r>
      <w:r>
        <w:rPr>
          <w:rStyle w:val="FootnoteReference"/>
        </w:rPr>
        <w:footnoteReference w:id="17"/>
      </w:r>
      <w:r w:rsidR="00092056" w:rsidRPr="00837317">
        <w:t xml:space="preserve">  </w:t>
      </w:r>
      <w:r w:rsidR="00B11BA1" w:rsidRPr="00837317">
        <w:t xml:space="preserve">However, </w:t>
      </w:r>
      <w:r w:rsidR="00092056" w:rsidRPr="00837317">
        <w:t xml:space="preserve">neither the statute generally, nor subdivision (m) </w:t>
      </w:r>
      <w:r w:rsidR="00AB0549" w:rsidRPr="00837317">
        <w:t>in particular, confers</w:t>
      </w:r>
      <w:r w:rsidR="00092056" w:rsidRPr="00837317">
        <w:t xml:space="preserve"> </w:t>
      </w:r>
      <w:r w:rsidR="008C5400" w:rsidRPr="00837317">
        <w:t>a</w:t>
      </w:r>
      <w:r w:rsidR="00092056" w:rsidRPr="00837317">
        <w:t xml:space="preserve"> broad </w:t>
      </w:r>
      <w:r w:rsidR="00A56EF9" w:rsidRPr="00837317">
        <w:t xml:space="preserve">discretionary </w:t>
      </w:r>
      <w:r w:rsidR="00092056" w:rsidRPr="00837317">
        <w:t xml:space="preserve">power to dismiss </w:t>
      </w:r>
      <w:r w:rsidR="00A56EF9" w:rsidRPr="00837317">
        <w:t>upon trial courts</w:t>
      </w:r>
      <w:r w:rsidRPr="00837317">
        <w:t>.</w:t>
      </w:r>
      <w:r w:rsidR="00AB0549" w:rsidRPr="00837317">
        <w:t xml:space="preserve"> </w:t>
      </w:r>
      <w:r w:rsidRPr="00837317">
        <w:t xml:space="preserve"> Thus, we are not persuaded that Code of Civil Procedure section 581, subdivision (m) demonstrates </w:t>
      </w:r>
      <w:r w:rsidRPr="00837317">
        <w:t>that courts possess the inherent authority to strike claims advanced here.</w:t>
      </w:r>
    </w:p>
    <w:p w14:paraId="53FB6887" w14:textId="77777777" w:rsidR="002952B0" w:rsidRPr="00837317" w:rsidRDefault="007742F5" w:rsidP="00837317">
      <w:pPr>
        <w:ind w:firstLine="720"/>
      </w:pPr>
      <w:r w:rsidRPr="00837317">
        <w:lastRenderedPageBreak/>
        <w:t>Royalty also offers two hypothetical actions to support its claim that trial courts have inherent authority to strike claims on manageability grounds.  Neither hypothetical advances</w:t>
      </w:r>
      <w:r w:rsidRPr="00837317">
        <w:t xml:space="preserve"> Royalty’s argument. </w:t>
      </w:r>
    </w:p>
    <w:p w14:paraId="53FB6888" w14:textId="77777777" w:rsidR="002952B0" w:rsidRPr="00837317" w:rsidRDefault="007742F5" w:rsidP="00837317">
      <w:pPr>
        <w:ind w:firstLine="720"/>
      </w:pPr>
      <w:r w:rsidRPr="00837317">
        <w:t>First, Royalty posits a hypothetical case involving a plaintiff who, in a single action, seeks to join multiple claims arising out of different facts, premised on different legal theories, against several different defendants.</w:t>
      </w:r>
      <w:r w:rsidR="00CA5439">
        <w:t xml:space="preserve">  </w:t>
      </w:r>
      <w:r w:rsidRPr="00837317">
        <w:t>Royalt</w:t>
      </w:r>
      <w:r w:rsidRPr="00837317">
        <w:t xml:space="preserve">y asserts that while “[f]acially, there is no bar” against joining such claims in an action, a </w:t>
      </w:r>
      <w:r w:rsidR="006438D9">
        <w:t>“</w:t>
      </w:r>
      <w:r w:rsidRPr="00837317">
        <w:t xml:space="preserve">court would likely, </w:t>
      </w:r>
      <w:r w:rsidRPr="00837317">
        <w:rPr>
          <w:i/>
          <w:iCs/>
        </w:rPr>
        <w:t>sua sponte</w:t>
      </w:r>
      <w:r w:rsidRPr="00837317">
        <w:t>, dismiss certain claims and defendants without prejudice” pursuant to its inherent power to manage the action.</w:t>
      </w:r>
      <w:r w:rsidR="00CA5439">
        <w:t xml:space="preserve">  </w:t>
      </w:r>
      <w:r w:rsidRPr="00837317">
        <w:t xml:space="preserve">Contrary to Royalty’s assertion, there </w:t>
      </w:r>
      <w:r w:rsidRPr="00837317">
        <w:rPr>
          <w:i/>
          <w:iCs/>
        </w:rPr>
        <w:t>is</w:t>
      </w:r>
      <w:r w:rsidRPr="00837317">
        <w:t xml:space="preserve"> a bar against the joinder proposed in its hypothetical.  Code of Civil Procedure section 379 requires that “</w:t>
      </w:r>
      <w:r w:rsidRPr="00837317">
        <w:rPr>
          <w:i/>
          <w:iCs/>
        </w:rPr>
        <w:t>at least one</w:t>
      </w:r>
      <w:r w:rsidRPr="00837317">
        <w:t> of the causes of action joined must affect </w:t>
      </w:r>
      <w:r w:rsidRPr="00837317">
        <w:rPr>
          <w:i/>
          <w:iCs/>
        </w:rPr>
        <w:t>all</w:t>
      </w:r>
      <w:r w:rsidRPr="00837317">
        <w:t> of the defendants.”  (</w:t>
      </w:r>
      <w:bookmarkStart w:id="150" w:name="_Hlk152666708"/>
      <w:r w:rsidRPr="007C59E8">
        <w:t>Weil &amp; Brown, Cal. Pract</w:t>
      </w:r>
      <w:r w:rsidRPr="007C59E8">
        <w:t>ice Guide:  Civil Procedure Before Trial (The Rutter Group 2021</w:t>
      </w:r>
      <w:r w:rsidRPr="004B52EC">
        <w:t>) ¶ 6</w:t>
      </w:r>
      <w:r w:rsidR="009913D2">
        <w:t>:</w:t>
      </w:r>
      <w:r w:rsidRPr="004B52EC">
        <w:t>269</w:t>
      </w:r>
      <w:bookmarkEnd w:id="150"/>
      <w:r w:rsidRPr="00837317">
        <w:t xml:space="preserve"> (Civil Procedure Before Trial).)</w:t>
      </w:r>
      <w:r>
        <w:rPr>
          <w:rStyle w:val="FootnoteReference"/>
        </w:rPr>
        <w:footnoteReference w:id="18"/>
      </w:r>
      <w:r w:rsidRPr="00837317">
        <w:t xml:space="preserve">  Thus, a trial court would be authorized to dismiss such unrelated claims against different defendants pursuant to a statute, rather than pursuant t</w:t>
      </w:r>
      <w:r w:rsidRPr="00837317">
        <w:t xml:space="preserve">o an inherent authority to manage the action.  </w:t>
      </w:r>
    </w:p>
    <w:p w14:paraId="53FB6889" w14:textId="77777777" w:rsidR="002952B0" w:rsidRPr="00837317" w:rsidRDefault="007742F5" w:rsidP="00837317">
      <w:pPr>
        <w:ind w:firstLine="720"/>
      </w:pPr>
      <w:r w:rsidRPr="00837317">
        <w:lastRenderedPageBreak/>
        <w:t>Royalty offers a second hypothetical of a plaintiff bringing unrelated claims against the same defendant.  Again, Royalty contends that a court could exercise its inherent authority to require that such claim</w:t>
      </w:r>
      <w:r w:rsidRPr="00837317">
        <w:t>s be brought as “separate actions” and that a court could dismiss such claims without prejudice if the plaintiff refused to do so.</w:t>
      </w:r>
      <w:r w:rsidR="00CA5439">
        <w:t xml:space="preserve">  </w:t>
      </w:r>
      <w:r w:rsidRPr="00837317">
        <w:t>However, a statute would govern a trial court’s joinder determination in this instance as well.  Code of Civil Procedure sec</w:t>
      </w:r>
      <w:r w:rsidRPr="00837317">
        <w:t>tion 1048, subdivision (b) specifically authorizes a trial court to order “a separate trial of any cause of action . . . or of any number of causes of action” in the “furtherance of convenience or to avoid prejudice, or when separate trials will be conduci</w:t>
      </w:r>
      <w:r w:rsidRPr="00837317">
        <w:t>ve to expedition and economy.”</w:t>
      </w:r>
      <w:r>
        <w:rPr>
          <w:rStyle w:val="FootnoteReference"/>
        </w:rPr>
        <w:footnoteReference w:id="19"/>
      </w:r>
      <w:r w:rsidRPr="00837317">
        <w:t xml:space="preserve">  </w:t>
      </w:r>
    </w:p>
    <w:p w14:paraId="53FB688A" w14:textId="77777777" w:rsidR="002952B0" w:rsidRDefault="007742F5" w:rsidP="00837317">
      <w:pPr>
        <w:ind w:firstLine="720"/>
      </w:pPr>
      <w:r w:rsidRPr="00837317">
        <w:t>Royalty contends that its hypotheticals “demolish[] the idea” that courts lack a broad inherent power to dismiss any claim on manageability grounds.</w:t>
      </w:r>
      <w:r w:rsidR="00CA5439">
        <w:t xml:space="preserve">  </w:t>
      </w:r>
      <w:r w:rsidRPr="00837317">
        <w:t>However, rather than demonstrating that trial courts possess a freewhee</w:t>
      </w:r>
      <w:r w:rsidRPr="00837317">
        <w:t>ling inherent authority to develop joinder rules for each action they face, Royalty’s hypotheticals reveal only that California statutory law provides the applicable procedural rules governing the joinder issues that Royalty presents.</w:t>
      </w:r>
    </w:p>
    <w:p w14:paraId="53FB688B" w14:textId="77777777" w:rsidR="00E1619F" w:rsidRPr="00FA218D" w:rsidRDefault="007742F5" w:rsidP="00FA218D">
      <w:pPr>
        <w:ind w:firstLine="720"/>
        <w:rPr>
          <w:highlight w:val="green"/>
        </w:rPr>
      </w:pPr>
      <w:r>
        <w:t>Finally, a</w:t>
      </w:r>
      <w:r w:rsidRPr="00FF4A77">
        <w:t>t oral argu</w:t>
      </w:r>
      <w:r w:rsidRPr="00FF4A77">
        <w:t xml:space="preserve">ment, </w:t>
      </w:r>
      <w:r>
        <w:t xml:space="preserve">while </w:t>
      </w:r>
      <w:r w:rsidRPr="00FF4A77">
        <w:t xml:space="preserve">Royalty’s counsel argued that PAGA cases should “not be treated differently,” and that </w:t>
      </w:r>
      <w:r w:rsidRPr="00FF4A77">
        <w:lastRenderedPageBreak/>
        <w:t xml:space="preserve">this court should “leave trial courts </w:t>
      </w:r>
      <w:r w:rsidR="0040093D">
        <w:t xml:space="preserve">. . . </w:t>
      </w:r>
      <w:r w:rsidRPr="00FF4A77">
        <w:t xml:space="preserve">with their full toolbox,” counsel did not </w:t>
      </w:r>
      <w:r w:rsidR="0072613A">
        <w:t>refer to</w:t>
      </w:r>
      <w:r w:rsidRPr="00FF4A77">
        <w:t xml:space="preserve"> any cases in which </w:t>
      </w:r>
      <w:r w:rsidR="003B227E">
        <w:t>courts</w:t>
      </w:r>
      <w:r w:rsidRPr="00FF4A77">
        <w:t xml:space="preserve"> have recognized a broad inherent pow</w:t>
      </w:r>
      <w:r w:rsidRPr="00FF4A77">
        <w:t xml:space="preserve">er to strike a claim to foster judicial economy.  </w:t>
      </w:r>
      <w:r w:rsidR="003438F7">
        <w:t xml:space="preserve">And, as noted </w:t>
      </w:r>
      <w:r w:rsidR="003438F7" w:rsidRPr="0072613A">
        <w:rPr>
          <w:i/>
          <w:iCs/>
        </w:rPr>
        <w:t>ante</w:t>
      </w:r>
      <w:r w:rsidR="003438F7">
        <w:t xml:space="preserve">, </w:t>
      </w:r>
      <w:r w:rsidRPr="00FF4A77">
        <w:t>neither Royalty nor supporting amici curiae have cited</w:t>
      </w:r>
      <w:r w:rsidR="003438F7">
        <w:t xml:space="preserve"> in their briefs</w:t>
      </w:r>
      <w:r w:rsidRPr="00FF4A77">
        <w:t>, nor has our research uncovered, any other circumstance in which we have concluded that trial courts possess such a</w:t>
      </w:r>
      <w:r w:rsidRPr="00FF4A77">
        <w:t>n inherent power to strike a claim.</w:t>
      </w:r>
      <w:r>
        <w:t xml:space="preserve">  </w:t>
      </w:r>
      <w:r w:rsidRPr="00A806C6">
        <w:t>Thus, contrary to Royalty’s contention that this case is about “tak</w:t>
      </w:r>
      <w:r w:rsidR="00946CA2">
        <w:t>[</w:t>
      </w:r>
      <w:r w:rsidRPr="00A806C6">
        <w:t>ing</w:t>
      </w:r>
      <w:r w:rsidR="00946CA2">
        <w:t>]</w:t>
      </w:r>
      <w:r w:rsidRPr="00A806C6">
        <w:t xml:space="preserve"> away” a power that trial courts generally possess, Royalty would have </w:t>
      </w:r>
      <w:r>
        <w:t>this court</w:t>
      </w:r>
      <w:r w:rsidRPr="00A806C6">
        <w:t xml:space="preserve"> sanction a broad new power that we have </w:t>
      </w:r>
      <w:r w:rsidR="00B60242" w:rsidRPr="00A806C6">
        <w:t>never</w:t>
      </w:r>
      <w:r w:rsidRPr="00A806C6">
        <w:t xml:space="preserve"> </w:t>
      </w:r>
      <w:r w:rsidR="00B60242">
        <w:t xml:space="preserve">before </w:t>
      </w:r>
      <w:r w:rsidRPr="00A806C6">
        <w:t>recognized.</w:t>
      </w:r>
      <w:r>
        <w:t xml:space="preserve"> </w:t>
      </w:r>
      <w:r>
        <w:t xml:space="preserve"> For the reasons </w:t>
      </w:r>
      <w:r w:rsidR="00FA218D">
        <w:t>discussed above</w:t>
      </w:r>
      <w:r w:rsidR="0039532D">
        <w:t>,</w:t>
      </w:r>
      <w:r w:rsidR="00FA218D">
        <w:t xml:space="preserve"> </w:t>
      </w:r>
      <w:r>
        <w:t>we decline to do so.</w:t>
      </w:r>
    </w:p>
    <w:p w14:paraId="53FB688C" w14:textId="77777777" w:rsidR="00BA4AB6" w:rsidRPr="00837317" w:rsidRDefault="007742F5" w:rsidP="00837317">
      <w:pPr>
        <w:pStyle w:val="Heading2"/>
        <w:numPr>
          <w:ilvl w:val="0"/>
          <w:numId w:val="5"/>
        </w:numPr>
        <w:tabs>
          <w:tab w:val="clear" w:pos="1152"/>
        </w:tabs>
      </w:pPr>
      <w:r w:rsidRPr="00837317">
        <w:t xml:space="preserve">Class Action </w:t>
      </w:r>
      <w:r w:rsidR="002952B0" w:rsidRPr="00837317">
        <w:t xml:space="preserve">Manageability </w:t>
      </w:r>
      <w:r w:rsidRPr="00837317">
        <w:t>Requirement</w:t>
      </w:r>
      <w:r w:rsidR="002952B0" w:rsidRPr="00837317">
        <w:t>s</w:t>
      </w:r>
      <w:r w:rsidRPr="00837317">
        <w:t xml:space="preserve"> Cannot </w:t>
      </w:r>
      <w:r w:rsidR="001C2B73">
        <w:t>B</w:t>
      </w:r>
      <w:r w:rsidRPr="00837317">
        <w:t xml:space="preserve">e </w:t>
      </w:r>
      <w:r w:rsidR="008549D6" w:rsidRPr="00837317">
        <w:t>G</w:t>
      </w:r>
      <w:r w:rsidRPr="00837317">
        <w:t xml:space="preserve">rafted </w:t>
      </w:r>
      <w:r w:rsidR="001C2B73">
        <w:t>o</w:t>
      </w:r>
      <w:r w:rsidR="002952B0" w:rsidRPr="00837317">
        <w:t xml:space="preserve">nto </w:t>
      </w:r>
      <w:r w:rsidRPr="00837317">
        <w:t xml:space="preserve">PAGA </w:t>
      </w:r>
      <w:r w:rsidR="002952B0" w:rsidRPr="00837317">
        <w:t>C</w:t>
      </w:r>
      <w:r w:rsidRPr="00837317">
        <w:t xml:space="preserve">laims  </w:t>
      </w:r>
    </w:p>
    <w:p w14:paraId="53FB688D" w14:textId="77777777" w:rsidR="002952B0" w:rsidRPr="00837317" w:rsidRDefault="007742F5" w:rsidP="00837317">
      <w:pPr>
        <w:ind w:firstLine="720"/>
        <w:rPr>
          <w:bCs/>
        </w:rPr>
      </w:pPr>
      <w:r w:rsidRPr="00837317">
        <w:rPr>
          <w:bCs/>
        </w:rPr>
        <w:t xml:space="preserve">We </w:t>
      </w:r>
      <w:r w:rsidR="00B91F0A">
        <w:rPr>
          <w:bCs/>
        </w:rPr>
        <w:t xml:space="preserve">also </w:t>
      </w:r>
      <w:r w:rsidRPr="00837317">
        <w:rPr>
          <w:bCs/>
        </w:rPr>
        <w:t xml:space="preserve">reject Royalty’s narrower argument that trial courts possess </w:t>
      </w:r>
      <w:r w:rsidR="00ED5B50" w:rsidRPr="00837317">
        <w:rPr>
          <w:bCs/>
        </w:rPr>
        <w:t>the</w:t>
      </w:r>
      <w:r w:rsidRPr="00837317">
        <w:rPr>
          <w:bCs/>
        </w:rPr>
        <w:t xml:space="preserve"> power to dismiss </w:t>
      </w:r>
      <w:r w:rsidRPr="00837317">
        <w:rPr>
          <w:bCs/>
          <w:i/>
          <w:iCs/>
        </w:rPr>
        <w:t>PAGA claims</w:t>
      </w:r>
      <w:r w:rsidR="00ED5B50" w:rsidRPr="00837317">
        <w:rPr>
          <w:bCs/>
        </w:rPr>
        <w:t xml:space="preserve">, </w:t>
      </w:r>
      <w:r w:rsidR="00125918" w:rsidRPr="00837317">
        <w:rPr>
          <w:bCs/>
        </w:rPr>
        <w:t>in particular</w:t>
      </w:r>
      <w:r w:rsidR="00ED5B50" w:rsidRPr="00837317">
        <w:rPr>
          <w:bCs/>
        </w:rPr>
        <w:t>,</w:t>
      </w:r>
      <w:r w:rsidR="00125918" w:rsidRPr="00837317">
        <w:rPr>
          <w:bCs/>
        </w:rPr>
        <w:t xml:space="preserve"> </w:t>
      </w:r>
      <w:r w:rsidRPr="00837317">
        <w:rPr>
          <w:bCs/>
        </w:rPr>
        <w:t>on manageability grounds</w:t>
      </w:r>
      <w:r w:rsidR="00125918" w:rsidRPr="00837317">
        <w:rPr>
          <w:bCs/>
        </w:rPr>
        <w:t xml:space="preserve"> — just </w:t>
      </w:r>
      <w:r w:rsidRPr="00837317">
        <w:rPr>
          <w:bCs/>
        </w:rPr>
        <w:t xml:space="preserve">as they do with </w:t>
      </w:r>
      <w:r w:rsidRPr="00837317">
        <w:t>class claims</w:t>
      </w:r>
      <w:r w:rsidRPr="00837317">
        <w:rPr>
          <w:bCs/>
        </w:rPr>
        <w:t>.</w:t>
      </w:r>
      <w:r>
        <w:rPr>
          <w:rStyle w:val="FootnoteReference"/>
        </w:rPr>
        <w:footnoteReference w:id="20"/>
      </w:r>
    </w:p>
    <w:p w14:paraId="53FB688E" w14:textId="77777777" w:rsidR="002952B0" w:rsidRPr="00837317" w:rsidRDefault="007742F5" w:rsidP="00837317">
      <w:pPr>
        <w:pStyle w:val="Heading3"/>
        <w:rPr>
          <w:i w:val="0"/>
          <w:iCs/>
        </w:rPr>
      </w:pPr>
      <w:r w:rsidRPr="00837317">
        <w:rPr>
          <w:i w:val="0"/>
          <w:iCs/>
        </w:rPr>
        <w:t xml:space="preserve">1.  </w:t>
      </w:r>
      <w:r w:rsidRPr="00837317">
        <w:t xml:space="preserve">Structural </w:t>
      </w:r>
      <w:r w:rsidR="00A1714E" w:rsidRPr="00837317">
        <w:t>D</w:t>
      </w:r>
      <w:r w:rsidRPr="00837317">
        <w:t>ifferences</w:t>
      </w:r>
    </w:p>
    <w:p w14:paraId="53FB688F" w14:textId="77777777" w:rsidR="002952B0" w:rsidRPr="00837317" w:rsidRDefault="007742F5" w:rsidP="00837317">
      <w:pPr>
        <w:ind w:firstLine="720"/>
      </w:pPr>
      <w:r w:rsidRPr="00837317">
        <w:rPr>
          <w:bCs/>
        </w:rPr>
        <w:t xml:space="preserve">We conclude that </w:t>
      </w:r>
      <w:r w:rsidRPr="00837317">
        <w:t>c</w:t>
      </w:r>
      <w:r w:rsidR="00734836" w:rsidRPr="00837317">
        <w:t>lass claims differ significantly from PAGA claims in ways that make it inappropriate to impose a class action-based manageability requirement on PAGA actions.</w:t>
      </w:r>
    </w:p>
    <w:p w14:paraId="53FB6890" w14:textId="77777777" w:rsidR="00DA1FDA" w:rsidRPr="00837317" w:rsidRDefault="007742F5" w:rsidP="001E231F">
      <w:pPr>
        <w:ind w:firstLine="720"/>
      </w:pPr>
      <w:r w:rsidRPr="00837317">
        <w:t xml:space="preserve">First, manageability bears upon </w:t>
      </w:r>
      <w:r w:rsidR="0098089D">
        <w:t>questions</w:t>
      </w:r>
      <w:r w:rsidR="00626475">
        <w:t xml:space="preserve"> </w:t>
      </w:r>
      <w:r w:rsidRPr="00837317">
        <w:t>of superiority and the predominance of common issues</w:t>
      </w:r>
      <w:r w:rsidR="00626475">
        <w:t xml:space="preserve">, </w:t>
      </w:r>
      <w:r w:rsidR="0098089D">
        <w:t>requirements</w:t>
      </w:r>
      <w:r w:rsidR="00626475">
        <w:t xml:space="preserve"> </w:t>
      </w:r>
      <w:r w:rsidR="00826E58">
        <w:t xml:space="preserve">unique </w:t>
      </w:r>
      <w:r w:rsidR="00826E58">
        <w:lastRenderedPageBreak/>
        <w:t>to the class action conte</w:t>
      </w:r>
      <w:r w:rsidR="0098089D">
        <w:t>x</w:t>
      </w:r>
      <w:r w:rsidR="00826E58">
        <w:t>t</w:t>
      </w:r>
      <w:r w:rsidRPr="00837317">
        <w:t>.</w:t>
      </w:r>
      <w:r w:rsidR="001E231F">
        <w:t xml:space="preserve">  </w:t>
      </w:r>
      <w:r w:rsidRPr="00837317">
        <w:t>Under federal law, manageability had its primary origin as a factor in determining whether the Rule 23(b)(3) class action requirements of predominance and superiority have been met.</w:t>
      </w:r>
      <w:r>
        <w:rPr>
          <w:rStyle w:val="FootnoteReference"/>
        </w:rPr>
        <w:footnoteReference w:id="21"/>
      </w:r>
      <w:r w:rsidRPr="00837317">
        <w:t xml:space="preserve">  (See </w:t>
      </w:r>
      <w:bookmarkStart w:id="152" w:name="dabmci_2f2214cf21a94b4c8ec49a172a9e1ab5"/>
      <w:r w:rsidRPr="00837317">
        <w:rPr>
          <w:i/>
          <w:iCs/>
        </w:rPr>
        <w:t>Hamilton</w:t>
      </w:r>
      <w:r w:rsidRPr="00837317">
        <w:t xml:space="preserve">, </w:t>
      </w:r>
      <w:r w:rsidRPr="00837317">
        <w:rPr>
          <w:i/>
          <w:iCs/>
        </w:rPr>
        <w:t>supra</w:t>
      </w:r>
      <w:r w:rsidRPr="00837317">
        <w:t>, 39</w:t>
      </w:r>
      <w:r w:rsidR="000155FE" w:rsidRPr="00837317">
        <w:t> </w:t>
      </w:r>
      <w:r w:rsidRPr="00837317">
        <w:t>F.4th at p. 588</w:t>
      </w:r>
      <w:bookmarkEnd w:id="152"/>
      <w:r w:rsidRPr="00837317">
        <w:t xml:space="preserve"> [“The managea</w:t>
      </w:r>
      <w:r w:rsidRPr="00837317">
        <w:t>bility requirement, a subsidiary component of the predominance and superiority inquiries, was thus specifically devised to address concerns arising from the aggregation of individual claims for money damages”]; accord</w:t>
      </w:r>
      <w:r w:rsidR="001431B6">
        <w:t>,</w:t>
      </w:r>
      <w:r w:rsidRPr="00837317">
        <w:t xml:space="preserve"> </w:t>
      </w:r>
      <w:bookmarkStart w:id="153" w:name="_Hlk152666781"/>
      <w:r w:rsidRPr="001E445A">
        <w:t xml:space="preserve">7AA Wright </w:t>
      </w:r>
      <w:r w:rsidR="00A866EA" w:rsidRPr="001E445A">
        <w:t>et al.</w:t>
      </w:r>
      <w:r w:rsidRPr="001E445A">
        <w:t xml:space="preserve">, Federal Practice </w:t>
      </w:r>
      <w:r w:rsidR="00FA3D4F">
        <w:t>a</w:t>
      </w:r>
      <w:r w:rsidRPr="001E445A">
        <w:t xml:space="preserve">nd Procedure (3d ed. 2023) </w:t>
      </w:r>
      <w:r w:rsidR="007F546B" w:rsidRPr="001E445A">
        <w:t xml:space="preserve">Civil, </w:t>
      </w:r>
      <w:r w:rsidRPr="001E445A">
        <w:t>§ 1780</w:t>
      </w:r>
      <w:bookmarkEnd w:id="153"/>
      <w:r w:rsidRPr="00837317">
        <w:t xml:space="preserve"> [discussing the manageability criterion and its ability to help the court “in determining whether questions of law or fact common to the members of the class predominate”]; </w:t>
      </w:r>
      <w:bookmarkStart w:id="154" w:name="_Hlk152666793"/>
      <w:r w:rsidRPr="001E445A">
        <w:t>2 Rubenstein, Newberg and Rubenstein on Cl</w:t>
      </w:r>
      <w:r w:rsidRPr="001E445A">
        <w:t>ass Actions (6th ed. 2022) § 4:72</w:t>
      </w:r>
      <w:bookmarkEnd w:id="154"/>
      <w:r w:rsidRPr="00837317">
        <w:t xml:space="preserve"> [“The manageability factor ‘encompasses the whole range of practical problems that may render the class action format inappropriate for a particular suit,’ ” and is “by the far, the most critical concern in determining whe</w:t>
      </w:r>
      <w:r w:rsidRPr="00837317">
        <w:t>ther a class action is a superior means of adjudication”].)</w:t>
      </w:r>
      <w:r>
        <w:rPr>
          <w:rStyle w:val="FootnoteReference"/>
        </w:rPr>
        <w:footnoteReference w:id="22"/>
      </w:r>
      <w:r w:rsidRPr="00837317">
        <w:t xml:space="preserve">  </w:t>
      </w:r>
    </w:p>
    <w:p w14:paraId="53FB6891" w14:textId="77777777" w:rsidR="00DA1FDA" w:rsidRPr="00837317" w:rsidRDefault="007742F5" w:rsidP="00837317">
      <w:pPr>
        <w:ind w:firstLine="720"/>
      </w:pPr>
      <w:r w:rsidRPr="00837317">
        <w:lastRenderedPageBreak/>
        <w:t xml:space="preserve">Similarly, under California law, in determining whether a class action may be maintained, courts consider whether common issues predominate and whether a class action is a superior method of adjudication.  (See </w:t>
      </w:r>
      <w:bookmarkStart w:id="159" w:name="dabmci_dcb71865c1304950adf4cc1a88151eae"/>
      <w:r w:rsidRPr="00837317">
        <w:rPr>
          <w:i/>
          <w:iCs/>
        </w:rPr>
        <w:t>Washington Mutual Bank v. Superior Court</w:t>
      </w:r>
      <w:r w:rsidRPr="00837317">
        <w:t xml:space="preserve"> (200</w:t>
      </w:r>
      <w:r w:rsidRPr="00837317">
        <w:t>1) 24 Cal.4th 906, 913–914 (</w:t>
      </w:r>
      <w:r w:rsidRPr="00837317">
        <w:rPr>
          <w:i/>
          <w:iCs/>
        </w:rPr>
        <w:t>Washington Mutual</w:t>
      </w:r>
      <w:r w:rsidRPr="00837317">
        <w:t>)</w:t>
      </w:r>
      <w:bookmarkEnd w:id="159"/>
      <w:r w:rsidRPr="00837317">
        <w:t xml:space="preserve">.)  Manageability is considered in connection with such inquiries.  (See </w:t>
      </w:r>
      <w:bookmarkStart w:id="160" w:name="dabmci_51f9581a773b46baa2a3f6cd03c8a2c1"/>
      <w:r w:rsidRPr="00837317">
        <w:rPr>
          <w:i/>
          <w:iCs/>
        </w:rPr>
        <w:t>Duran</w:t>
      </w:r>
      <w:r w:rsidRPr="00837317">
        <w:t xml:space="preserve">, </w:t>
      </w:r>
      <w:r w:rsidRPr="00837317">
        <w:rPr>
          <w:i/>
          <w:iCs/>
        </w:rPr>
        <w:t>supra</w:t>
      </w:r>
      <w:r w:rsidRPr="00837317">
        <w:t>, 59 Cal.4th at p. 29</w:t>
      </w:r>
      <w:bookmarkEnd w:id="160"/>
      <w:r w:rsidRPr="00837317">
        <w:t xml:space="preserve"> [“In considering whether a class action is a superior device for resolving a controversy, the manageabi</w:t>
      </w:r>
      <w:r w:rsidRPr="00837317">
        <w:t xml:space="preserve">lity of individual issues is just as important as the existence of common questions uniting the proposed class”]; </w:t>
      </w:r>
      <w:bookmarkStart w:id="161" w:name="_Hlk152666751"/>
      <w:r w:rsidRPr="007C59E8">
        <w:t>Civil Procedure Before Trial</w:t>
      </w:r>
      <w:r w:rsidRPr="00837317">
        <w:t xml:space="preserve">, </w:t>
      </w:r>
      <w:r w:rsidRPr="00837317">
        <w:rPr>
          <w:i/>
          <w:iCs/>
        </w:rPr>
        <w:t>supra</w:t>
      </w:r>
      <w:r w:rsidRPr="00837317">
        <w:t>, ¶ 14:11.10</w:t>
      </w:r>
      <w:bookmarkEnd w:id="161"/>
      <w:r w:rsidRPr="00837317">
        <w:t xml:space="preserve"> [“The proponent of class certification must demonstrate that the proposed class action is mana</w:t>
      </w:r>
      <w:r w:rsidRPr="00837317">
        <w:t xml:space="preserve">geable,” which “requires the trial court ‘to carefully weigh the respective </w:t>
      </w:r>
      <w:r w:rsidRPr="00C54C99">
        <w:rPr>
          <w:i/>
          <w:iCs/>
        </w:rPr>
        <w:t>benefits and burdens</w:t>
      </w:r>
      <w:r w:rsidRPr="00837317">
        <w:t xml:space="preserve"> of a class action, and to permit its maintenance only where substantial benefits will be accrued by both litigants and the courts alike’ ”].)</w:t>
      </w:r>
    </w:p>
    <w:p w14:paraId="53FB6892" w14:textId="77777777" w:rsidR="00DA1FDA" w:rsidRPr="00837317" w:rsidRDefault="007742F5" w:rsidP="00CE7292">
      <w:pPr>
        <w:ind w:firstLine="720"/>
      </w:pPr>
      <w:r w:rsidRPr="00837317">
        <w:t>In contrast,</w:t>
      </w:r>
      <w:r w:rsidR="000155FE" w:rsidRPr="00837317">
        <w:t xml:space="preserve"> </w:t>
      </w:r>
      <w:r w:rsidRPr="00837317">
        <w:t xml:space="preserve">“an </w:t>
      </w:r>
      <w:r w:rsidRPr="00837317">
        <w:t>employee’s representative action against an employer . . . seeking civil penalties under [PAGA]” need not “satisfy class action requirements.”  (</w:t>
      </w:r>
      <w:bookmarkStart w:id="162" w:name="dabmci_556ed7f0ec9e4b4ea1b4949b4a174aab"/>
      <w:r w:rsidRPr="00837317">
        <w:rPr>
          <w:i/>
          <w:iCs/>
        </w:rPr>
        <w:t>Arias</w:t>
      </w:r>
      <w:r w:rsidRPr="00837317">
        <w:t xml:space="preserve">, </w:t>
      </w:r>
      <w:r w:rsidRPr="00837317">
        <w:rPr>
          <w:i/>
          <w:iCs/>
        </w:rPr>
        <w:t>supra</w:t>
      </w:r>
      <w:r w:rsidRPr="00837317">
        <w:t>, 46 Cal.4th at p. 975</w:t>
      </w:r>
      <w:bookmarkEnd w:id="162"/>
      <w:r w:rsidRPr="00837317">
        <w:t>.)  Specifically, there is no requirement that a plaintiff establish predomin</w:t>
      </w:r>
      <w:r w:rsidRPr="00837317">
        <w:t xml:space="preserve">ance </w:t>
      </w:r>
      <w:r w:rsidR="00C169F2">
        <w:t xml:space="preserve">of common issues </w:t>
      </w:r>
      <w:r w:rsidRPr="00837317">
        <w:t xml:space="preserve">to state a PAGA claim.  (See </w:t>
      </w:r>
      <w:bookmarkStart w:id="163" w:name="dabmci_fc2aa37f445d448ea2252412106c6895"/>
      <w:r w:rsidRPr="00837317">
        <w:rPr>
          <w:i/>
          <w:iCs/>
        </w:rPr>
        <w:t>Wesson</w:t>
      </w:r>
      <w:r w:rsidRPr="00837317">
        <w:t xml:space="preserve">, </w:t>
      </w:r>
      <w:r w:rsidRPr="00837317">
        <w:rPr>
          <w:i/>
          <w:iCs/>
        </w:rPr>
        <w:t>supra</w:t>
      </w:r>
      <w:r w:rsidRPr="00837317">
        <w:t>, 68 Cal.App.5th at p. 766</w:t>
      </w:r>
      <w:bookmarkEnd w:id="163"/>
      <w:r w:rsidRPr="00837317">
        <w:t>.)</w:t>
      </w:r>
      <w:r w:rsidR="00CE7292">
        <w:t xml:space="preserve">  </w:t>
      </w:r>
      <w:r w:rsidRPr="00837317">
        <w:t xml:space="preserve">Likewise, there is no authority suggesting that superiority is a requirement for a </w:t>
      </w:r>
      <w:r w:rsidR="00C169F2">
        <w:t xml:space="preserve">representative </w:t>
      </w:r>
      <w:r w:rsidRPr="00837317">
        <w:t xml:space="preserve">PAGA action.  On the contrary, PAGA is based on the </w:t>
      </w:r>
      <w:r w:rsidRPr="00837317">
        <w:t xml:space="preserve">Legislature’s intent to maximize the </w:t>
      </w:r>
      <w:r w:rsidRPr="00837317">
        <w:lastRenderedPageBreak/>
        <w:t>enforcement of labor laws.  (</w:t>
      </w:r>
      <w:bookmarkStart w:id="164" w:name="dabmci_f5469dcbf4dc4fbdabbc825be799b689"/>
      <w:r w:rsidRPr="00837317">
        <w:rPr>
          <w:i/>
          <w:iCs/>
        </w:rPr>
        <w:t>ZB</w:t>
      </w:r>
      <w:r w:rsidRPr="00837317">
        <w:t xml:space="preserve">, </w:t>
      </w:r>
      <w:r w:rsidRPr="00837317">
        <w:rPr>
          <w:i/>
          <w:iCs/>
        </w:rPr>
        <w:t>supra</w:t>
      </w:r>
      <w:r w:rsidRPr="00837317">
        <w:t>, 8 Cal.5th at p. 184</w:t>
      </w:r>
      <w:bookmarkEnd w:id="164"/>
      <w:r w:rsidRPr="00837317">
        <w:t xml:space="preserve">.)  PAGA’s legislative history also reveals </w:t>
      </w:r>
      <w:r w:rsidR="00C169F2">
        <w:t>that</w:t>
      </w:r>
      <w:r w:rsidR="005A78AC">
        <w:t xml:space="preserve"> </w:t>
      </w:r>
      <w:r w:rsidRPr="00837317">
        <w:t>the Legislature wanted to seek to “achieve maximum compliance with state labor laws.”  (</w:t>
      </w:r>
      <w:bookmarkStart w:id="165" w:name="dabmci_716977e3052546ddb75b18560f14b283"/>
      <w:r w:rsidRPr="00837317">
        <w:rPr>
          <w:i/>
          <w:iCs/>
        </w:rPr>
        <w:t>Arias</w:t>
      </w:r>
      <w:r w:rsidRPr="00837317">
        <w:t xml:space="preserve">, </w:t>
      </w:r>
      <w:r w:rsidRPr="00837317">
        <w:rPr>
          <w:i/>
          <w:iCs/>
        </w:rPr>
        <w:t>supra</w:t>
      </w:r>
      <w:r w:rsidRPr="00837317">
        <w:t>, 46 Cal.4t</w:t>
      </w:r>
      <w:r w:rsidRPr="00837317">
        <w:t>h at p. 980</w:t>
      </w:r>
      <w:bookmarkEnd w:id="165"/>
      <w:r w:rsidRPr="00837317">
        <w:t xml:space="preserve">; see </w:t>
      </w:r>
      <w:bookmarkStart w:id="166" w:name="dabmci_7ea8d8ab65394cb3a234a28fe119184b"/>
      <w:r w:rsidRPr="00837317">
        <w:rPr>
          <w:i/>
          <w:iCs/>
        </w:rPr>
        <w:t>Wood v. Kaiser Foundation Hospitals</w:t>
      </w:r>
      <w:r w:rsidRPr="00837317">
        <w:t xml:space="preserve"> (2023) 88 Cal.App.5th 742, 758 (</w:t>
      </w:r>
      <w:r w:rsidRPr="00837317">
        <w:rPr>
          <w:i/>
          <w:iCs/>
        </w:rPr>
        <w:t>Wood</w:t>
      </w:r>
      <w:r w:rsidRPr="00837317">
        <w:t>)</w:t>
      </w:r>
      <w:bookmarkEnd w:id="166"/>
      <w:r w:rsidRPr="00837317">
        <w:t xml:space="preserve"> [explaining that the Legislature was concerned with massive underenforcement of labor laws causing state revenue losses].)  A legislative intent to maximize the enfo</w:t>
      </w:r>
      <w:r w:rsidRPr="00837317">
        <w:t xml:space="preserve">rcement of labor laws is </w:t>
      </w:r>
      <w:r w:rsidR="00264078">
        <w:t xml:space="preserve">in tension with </w:t>
      </w:r>
      <w:r w:rsidRPr="00837317">
        <w:t>the class action superiority requirement, which requires a court to “ ‘</w:t>
      </w:r>
      <w:r w:rsidR="008D6917">
        <w:t> “</w:t>
      </w:r>
      <w:r w:rsidRPr="00837317">
        <w:t>carefully weigh respective benefits and burdens and to allow maintenance of the class action only where substantial benefits accrue both to li</w:t>
      </w:r>
      <w:r w:rsidRPr="00837317">
        <w:t>tigants and the courts.</w:t>
      </w:r>
      <w:r w:rsidR="00B42C14">
        <w:t>” </w:t>
      </w:r>
      <w:r w:rsidRPr="00837317">
        <w:t>’ ”  (</w:t>
      </w:r>
      <w:bookmarkStart w:id="167" w:name="dabmci_aae3bbd4c7f346c88e95b41a446f93eb"/>
      <w:r w:rsidRPr="00837317">
        <w:rPr>
          <w:i/>
          <w:iCs/>
        </w:rPr>
        <w:t>Linder v. Thrifty Oil Co.</w:t>
      </w:r>
      <w:r w:rsidRPr="00837317">
        <w:t xml:space="preserve"> (2000) 23</w:t>
      </w:r>
      <w:r w:rsidR="00C258D7" w:rsidRPr="00837317">
        <w:t> </w:t>
      </w:r>
      <w:r w:rsidRPr="00837317">
        <w:t>Cal.4th 429, 435 (</w:t>
      </w:r>
      <w:r w:rsidRPr="00837317">
        <w:rPr>
          <w:i/>
          <w:iCs/>
        </w:rPr>
        <w:t>Linder</w:t>
      </w:r>
      <w:r w:rsidRPr="00837317">
        <w:t>)</w:t>
      </w:r>
      <w:bookmarkEnd w:id="167"/>
      <w:r w:rsidRPr="00837317">
        <w:t>.)</w:t>
      </w:r>
    </w:p>
    <w:p w14:paraId="53FB6893" w14:textId="77777777" w:rsidR="00DA1FDA" w:rsidRPr="00837317" w:rsidRDefault="007742F5" w:rsidP="00837317">
      <w:pPr>
        <w:ind w:firstLine="720"/>
      </w:pPr>
      <w:r w:rsidRPr="00837317">
        <w:t xml:space="preserve">Thus, we are not persuaded by amici </w:t>
      </w:r>
      <w:r w:rsidR="00203DF3" w:rsidRPr="00837317">
        <w:t>curiae</w:t>
      </w:r>
      <w:r w:rsidR="00F2767D" w:rsidRPr="00837317">
        <w:t>’s</w:t>
      </w:r>
      <w:r w:rsidR="00203DF3" w:rsidRPr="00837317">
        <w:t xml:space="preserve"> </w:t>
      </w:r>
      <w:r w:rsidRPr="00837317">
        <w:t>argument that “</w:t>
      </w:r>
      <w:r w:rsidR="00505809">
        <w:t>i</w:t>
      </w:r>
      <w:r w:rsidRPr="00837317">
        <w:t>f class action plaintiffs cannot manageably prove their claims on a classwide basis, there is no rat</w:t>
      </w:r>
      <w:r w:rsidRPr="00837317">
        <w:t>ional basis for allowing PAGA plaintiffs to demand that trial courts try unmanageable PAGA claims.”</w:t>
      </w:r>
      <w:r w:rsidR="00C25338">
        <w:t xml:space="preserve">  </w:t>
      </w:r>
      <w:r w:rsidRPr="00837317">
        <w:t>As outlined above, manageability in the class action context is a factor in demonstrating that class-wide issues predominate and that a class action is sup</w:t>
      </w:r>
      <w:r w:rsidRPr="00837317">
        <w:t>erior to individual actions.</w:t>
      </w:r>
      <w:r w:rsidR="00012770">
        <w:t xml:space="preserve">  </w:t>
      </w:r>
      <w:bookmarkStart w:id="168" w:name="_Hlk155090125"/>
      <w:r w:rsidRPr="00837317">
        <w:t xml:space="preserve">Given </w:t>
      </w:r>
      <w:bookmarkStart w:id="169" w:name="_Hlk155090096"/>
      <w:r w:rsidRPr="00837317">
        <w:t xml:space="preserve">that a PAGA plaintiff need not demonstrate that common issues predominate or that </w:t>
      </w:r>
      <w:r w:rsidR="003D73C9">
        <w:t xml:space="preserve">a </w:t>
      </w:r>
      <w:r w:rsidRPr="00837317">
        <w:t xml:space="preserve">representative </w:t>
      </w:r>
      <w:r w:rsidR="000838AE">
        <w:t>or non-indiv</w:t>
      </w:r>
      <w:r w:rsidR="003D73C9">
        <w:t xml:space="preserve">idual </w:t>
      </w:r>
      <w:r w:rsidRPr="00837317">
        <w:t xml:space="preserve">PAGA claim is superior to other forms of adjudication, </w:t>
      </w:r>
      <w:r w:rsidR="00C169F2">
        <w:t xml:space="preserve">the requirement that </w:t>
      </w:r>
      <w:r w:rsidRPr="00837317">
        <w:t>a plaintiff demonstrate the</w:t>
      </w:r>
      <w:r w:rsidRPr="00837317">
        <w:t xml:space="preserve"> manageability of a </w:t>
      </w:r>
      <w:r w:rsidRPr="00837317">
        <w:rPr>
          <w:i/>
          <w:iCs/>
        </w:rPr>
        <w:t xml:space="preserve">class </w:t>
      </w:r>
      <w:r w:rsidRPr="00837317">
        <w:t xml:space="preserve">claim does not </w:t>
      </w:r>
      <w:r w:rsidR="004D1A72">
        <w:t xml:space="preserve">establish </w:t>
      </w:r>
      <w:r w:rsidR="00C169F2">
        <w:t xml:space="preserve">a similar manageability requirement for any </w:t>
      </w:r>
      <w:r w:rsidRPr="00837317">
        <w:t xml:space="preserve">related </w:t>
      </w:r>
      <w:r w:rsidRPr="00837317">
        <w:rPr>
          <w:i/>
          <w:iCs/>
        </w:rPr>
        <w:t>PAGA</w:t>
      </w:r>
      <w:r w:rsidRPr="00837317">
        <w:t xml:space="preserve"> claim.</w:t>
      </w:r>
      <w:bookmarkEnd w:id="168"/>
      <w:bookmarkEnd w:id="169"/>
    </w:p>
    <w:p w14:paraId="53FB6894" w14:textId="77777777" w:rsidR="00875495" w:rsidRPr="00837317" w:rsidRDefault="007742F5" w:rsidP="00837317">
      <w:pPr>
        <w:ind w:firstLine="720"/>
      </w:pPr>
      <w:r w:rsidRPr="00837317">
        <w:t>Further, manageability, when considered as a factor in determining the propriety of class certification, is considered in connection with oth</w:t>
      </w:r>
      <w:r w:rsidRPr="00837317">
        <w:t xml:space="preserve">er factors.  (See </w:t>
      </w:r>
      <w:r w:rsidR="000F417B" w:rsidRPr="001E445A">
        <w:t xml:space="preserve">2 </w:t>
      </w:r>
      <w:r w:rsidRPr="001E445A">
        <w:t xml:space="preserve">Rubenstein, Newberg and </w:t>
      </w:r>
      <w:r w:rsidRPr="001E445A">
        <w:lastRenderedPageBreak/>
        <w:t>Rubenstein on Class Actions</w:t>
      </w:r>
      <w:r w:rsidRPr="00837317">
        <w:t xml:space="preserve">, </w:t>
      </w:r>
      <w:r w:rsidRPr="00837317">
        <w:rPr>
          <w:i/>
          <w:iCs/>
        </w:rPr>
        <w:t>supra</w:t>
      </w:r>
      <w:r w:rsidRPr="00837317">
        <w:t xml:space="preserve">, at § 4:72 [“the question that courts consider when they analyze manageability is not whether a class action is manageable in the abstract but how the problems that might occur </w:t>
      </w:r>
      <w:r w:rsidRPr="00837317">
        <w:t>in managing a class suit compare to the problems that would occur in managing litigation without a class suit”]</w:t>
      </w:r>
      <w:r w:rsidR="002B2076" w:rsidRPr="00837317">
        <w:t xml:space="preserve">.)  </w:t>
      </w:r>
      <w:r w:rsidR="0057528E" w:rsidRPr="00837317">
        <w:t>However</w:t>
      </w:r>
      <w:r w:rsidR="00000FF6" w:rsidRPr="00837317">
        <w:t xml:space="preserve">, </w:t>
      </w:r>
      <w:r w:rsidR="00795510" w:rsidRPr="00837317">
        <w:t xml:space="preserve">while </w:t>
      </w:r>
      <w:r w:rsidR="00474CCC" w:rsidRPr="00837317">
        <w:t xml:space="preserve">a </w:t>
      </w:r>
      <w:r w:rsidR="00795510" w:rsidRPr="00837317">
        <w:t xml:space="preserve">trial court may deny certification </w:t>
      </w:r>
      <w:r w:rsidR="0078562E" w:rsidRPr="00837317">
        <w:t xml:space="preserve">or decertify a class </w:t>
      </w:r>
      <w:r w:rsidR="00795510" w:rsidRPr="00837317">
        <w:t>if it would not be feasible to manage the individual issues in a class action trial</w:t>
      </w:r>
      <w:r w:rsidR="00474CCC" w:rsidRPr="00837317">
        <w:t xml:space="preserve">, </w:t>
      </w:r>
      <w:r w:rsidR="00795510" w:rsidRPr="00837317">
        <w:t xml:space="preserve">denial of certification or decertification is not an option </w:t>
      </w:r>
      <w:r w:rsidR="005215C5">
        <w:t xml:space="preserve">for a trial court </w:t>
      </w:r>
      <w:r w:rsidR="00E717BE">
        <w:t>when</w:t>
      </w:r>
      <w:r w:rsidR="005215C5">
        <w:t xml:space="preserve"> adjudicating a </w:t>
      </w:r>
      <w:r w:rsidR="00795510" w:rsidRPr="00837317">
        <w:t>PAGA</w:t>
      </w:r>
      <w:r w:rsidR="005215C5">
        <w:t xml:space="preserve"> claim</w:t>
      </w:r>
      <w:r w:rsidR="00795510" w:rsidRPr="00837317">
        <w:t>.</w:t>
      </w:r>
      <w:r w:rsidR="0078562E" w:rsidRPr="00837317">
        <w:t xml:space="preserve">  Further</w:t>
      </w:r>
      <w:r w:rsidRPr="00837317">
        <w:t>, imposing “a freestanding manageability requirement” as to PAGA claims “ ‘would invite courts to consider the adminis</w:t>
      </w:r>
      <w:r w:rsidRPr="00837317">
        <w:t>trative burdens</w:t>
      </w:r>
      <w:r w:rsidR="00D83C3E" w:rsidRPr="00837317">
        <w:t>’</w:t>
      </w:r>
      <w:r w:rsidRPr="00837317">
        <w:t xml:space="preserve"> of </w:t>
      </w:r>
      <w:r w:rsidR="002F1CDB">
        <w:t>the action</w:t>
      </w:r>
      <w:r w:rsidRPr="00837317">
        <w:t xml:space="preserve"> </w:t>
      </w:r>
      <w:r w:rsidR="00E00842" w:rsidRPr="00837317">
        <w:t>‘</w:t>
      </w:r>
      <w:r w:rsidRPr="00837317">
        <w:t>in a vacuum.’ ”  (</w:t>
      </w:r>
      <w:bookmarkStart w:id="170" w:name="dabmci_88d48ddffd3546a9ab09f43eb7d50582"/>
      <w:r w:rsidRPr="00837317">
        <w:rPr>
          <w:i/>
          <w:iCs/>
        </w:rPr>
        <w:t>Hamilton</w:t>
      </w:r>
      <w:r w:rsidRPr="00837317">
        <w:t xml:space="preserve">, </w:t>
      </w:r>
      <w:r w:rsidRPr="00837317">
        <w:rPr>
          <w:i/>
          <w:iCs/>
        </w:rPr>
        <w:t>supra</w:t>
      </w:r>
      <w:r w:rsidRPr="00837317">
        <w:t>, 39</w:t>
      </w:r>
      <w:r w:rsidR="00C258D7" w:rsidRPr="00837317">
        <w:t> </w:t>
      </w:r>
      <w:r w:rsidRPr="00837317">
        <w:t>F.4th at p. 589</w:t>
      </w:r>
      <w:bookmarkEnd w:id="170"/>
      <w:r w:rsidRPr="00837317">
        <w:t>.)  In other words, while a manageability determination in the class action context is part of the consideration of the costs and benefits of class adjudication as opposed</w:t>
      </w:r>
      <w:r w:rsidRPr="00837317">
        <w:t xml:space="preserve"> to other methods for resolving the controversy (</w:t>
      </w:r>
      <w:bookmarkStart w:id="171" w:name="dabmci_ea80f26d7254446cbb61ed4ad3dc1c8e"/>
      <w:r w:rsidRPr="00837317">
        <w:rPr>
          <w:i/>
          <w:iCs/>
        </w:rPr>
        <w:t>Briseno v. ConAgra Foods, Inc.</w:t>
      </w:r>
      <w:r w:rsidRPr="00837317">
        <w:t> (9th Cir. 2017) 844 F.3d 1121, 1128</w:t>
      </w:r>
      <w:bookmarkEnd w:id="171"/>
      <w:r w:rsidRPr="00837317">
        <w:t>), to apply a separate manageability requirement in the PAGA context apart from a consideration of any other factors that might favor represe</w:t>
      </w:r>
      <w:r w:rsidRPr="00837317">
        <w:t>ntative litigation would be to apply the manageability criterion in a way it does not apply in the class action context.  And, applying a manageability requirement in such a unidirectional fashion in the PAGA context could predictably lead to “the dismissa</w:t>
      </w:r>
      <w:r w:rsidRPr="00837317">
        <w:t>l of many PAGA cases” (</w:t>
      </w:r>
      <w:bookmarkStart w:id="172" w:name="dabmci_77678a805e254445af129b4452af516e"/>
      <w:r w:rsidRPr="00837317">
        <w:rPr>
          <w:i/>
          <w:iCs/>
        </w:rPr>
        <w:t>Hamilton</w:t>
      </w:r>
      <w:r w:rsidRPr="00837317">
        <w:t>, at p. 589</w:t>
      </w:r>
      <w:bookmarkEnd w:id="172"/>
      <w:r w:rsidRPr="00837317">
        <w:t>) in contravention of the Legislature’s intent to have the statute maximize the enforcement of labor laws (</w:t>
      </w:r>
      <w:r w:rsidR="00E62892" w:rsidRPr="00837317">
        <w:t>s</w:t>
      </w:r>
      <w:r w:rsidRPr="00837317">
        <w:t xml:space="preserve">ee </w:t>
      </w:r>
      <w:bookmarkStart w:id="173" w:name="dabmci_80cc304848694cad96143484d4ce3a35"/>
      <w:r w:rsidRPr="00837317">
        <w:rPr>
          <w:i/>
          <w:iCs/>
        </w:rPr>
        <w:t>ZB</w:t>
      </w:r>
      <w:r w:rsidRPr="00837317">
        <w:t xml:space="preserve">, </w:t>
      </w:r>
      <w:r w:rsidRPr="00837317">
        <w:rPr>
          <w:i/>
          <w:iCs/>
        </w:rPr>
        <w:t>supra</w:t>
      </w:r>
      <w:r w:rsidRPr="00837317">
        <w:t>, 8 Cal.5th at p. 184</w:t>
      </w:r>
      <w:bookmarkEnd w:id="173"/>
      <w:r w:rsidRPr="00837317">
        <w:t>)</w:t>
      </w:r>
      <w:r w:rsidR="00E62892" w:rsidRPr="00837317">
        <w:t>.</w:t>
      </w:r>
    </w:p>
    <w:p w14:paraId="53FB6895" w14:textId="77777777" w:rsidR="00993302" w:rsidRPr="00837317" w:rsidRDefault="007742F5" w:rsidP="00837317">
      <w:pPr>
        <w:ind w:firstLine="720"/>
      </w:pPr>
      <w:r>
        <w:t>In this case,</w:t>
      </w:r>
      <w:r w:rsidRPr="00837317">
        <w:t xml:space="preserve"> the trial court ruled that the Dyer and Derian meal brea</w:t>
      </w:r>
      <w:r w:rsidRPr="00837317">
        <w:t>k subclasses had to be decertified because “Plaintiffs fail to satisfy their burden to establish commonality or predominance.”</w:t>
      </w:r>
      <w:r w:rsidR="00C25338">
        <w:t xml:space="preserve">  </w:t>
      </w:r>
      <w:r w:rsidRPr="00837317">
        <w:t xml:space="preserve">Then, notwithstanding that commonality and </w:t>
      </w:r>
      <w:r w:rsidRPr="00837317">
        <w:lastRenderedPageBreak/>
        <w:t>predominance are not PAGA requirements, the trial court summarily concluded, “The mea</w:t>
      </w:r>
      <w:r w:rsidRPr="00837317">
        <w:t>l break-related claims that Plaintiffs bring for the Dyer and Derian locations under [PAGA], are also dismissed because, for the various reasons noted above, there are numerous individualized issues that render Plaintiffs’ PAGA meal break claims unmanageab</w:t>
      </w:r>
      <w:r w:rsidRPr="00837317">
        <w:t xml:space="preserve">le.”  We reject a rule that would likely result in courts relying on </w:t>
      </w:r>
      <w:r w:rsidRPr="00837317">
        <w:rPr>
          <w:i/>
          <w:iCs/>
        </w:rPr>
        <w:t>class action</w:t>
      </w:r>
      <w:r w:rsidRPr="00837317">
        <w:t xml:space="preserve"> manageability determinations in striking </w:t>
      </w:r>
      <w:r w:rsidRPr="00837317">
        <w:rPr>
          <w:i/>
          <w:iCs/>
        </w:rPr>
        <w:t>PAGA</w:t>
      </w:r>
      <w:r w:rsidRPr="00837317">
        <w:t xml:space="preserve"> claims, even where the primary factors driving the class manageability determination (e.g., predominance and superiority) have n</w:t>
      </w:r>
      <w:r w:rsidRPr="00837317">
        <w:t xml:space="preserve">o applicability in the PAGA context.  </w:t>
      </w:r>
    </w:p>
    <w:p w14:paraId="53FB6896" w14:textId="77777777" w:rsidR="00150413" w:rsidRPr="00837317" w:rsidRDefault="007742F5" w:rsidP="00D646E8">
      <w:pPr>
        <w:ind w:firstLine="720"/>
      </w:pPr>
      <w:r w:rsidRPr="00837317">
        <w:t xml:space="preserve">Our decision in </w:t>
      </w:r>
      <w:bookmarkStart w:id="174" w:name="dabmci_51b4db6347e64da1b516e93e91d23122"/>
      <w:r w:rsidRPr="00837317">
        <w:rPr>
          <w:i/>
          <w:iCs/>
        </w:rPr>
        <w:t>Williams</w:t>
      </w:r>
      <w:bookmarkEnd w:id="174"/>
      <w:r w:rsidRPr="00837317">
        <w:t xml:space="preserve"> did not impose a manageability requirement on PAGA actions.  While in </w:t>
      </w:r>
      <w:bookmarkStart w:id="175" w:name="dabmci_7676be5415214ab2aafc3a40996b23a6"/>
      <w:r w:rsidRPr="00837317">
        <w:rPr>
          <w:i/>
          <w:iCs/>
        </w:rPr>
        <w:t>Williams</w:t>
      </w:r>
      <w:bookmarkEnd w:id="175"/>
      <w:r w:rsidRPr="00837317">
        <w:t xml:space="preserve"> we stated that a PAGA plaintiff’s ability to offer evidence of uniform policies “is one way a plaintiff might see</w:t>
      </w:r>
      <w:r w:rsidRPr="00837317">
        <w:t xml:space="preserve">k to render trial of the action </w:t>
      </w:r>
      <w:r w:rsidRPr="00837317">
        <w:rPr>
          <w:i/>
          <w:iCs/>
        </w:rPr>
        <w:t>manageable</w:t>
      </w:r>
      <w:r w:rsidRPr="00837317">
        <w:t xml:space="preserve">” </w:t>
      </w:r>
      <w:r w:rsidR="00AD0934" w:rsidRPr="00837317">
        <w:t>(</w:t>
      </w:r>
      <w:bookmarkStart w:id="176" w:name="dabmci_85e7b5cf216d4d9e84a73f73d0c4adc3"/>
      <w:r w:rsidR="00AD0934" w:rsidRPr="00837317">
        <w:rPr>
          <w:i/>
          <w:iCs/>
        </w:rPr>
        <w:t>Williams</w:t>
      </w:r>
      <w:r w:rsidR="00AD0934" w:rsidRPr="00837317">
        <w:t xml:space="preserve">, </w:t>
      </w:r>
      <w:r w:rsidR="00AD0934" w:rsidRPr="00837317">
        <w:rPr>
          <w:i/>
          <w:iCs/>
        </w:rPr>
        <w:t>supra</w:t>
      </w:r>
      <w:r w:rsidR="00AD0934" w:rsidRPr="00837317">
        <w:t>, 3 Cal.5th at p. 559</w:t>
      </w:r>
      <w:bookmarkEnd w:id="176"/>
      <w:r w:rsidR="00AD0934" w:rsidRPr="00837317">
        <w:t xml:space="preserve">, italics added), </w:t>
      </w:r>
      <w:r w:rsidR="00DC310B" w:rsidRPr="00837317">
        <w:t xml:space="preserve">we did not hold that a court could </w:t>
      </w:r>
      <w:r w:rsidR="00DC310B" w:rsidRPr="00837317">
        <w:rPr>
          <w:i/>
          <w:iCs/>
        </w:rPr>
        <w:t>strike</w:t>
      </w:r>
      <w:r w:rsidR="00DC310B" w:rsidRPr="00837317">
        <w:t xml:space="preserve"> a PAGA claim for manageability reasons.  Rather, </w:t>
      </w:r>
      <w:r w:rsidR="00DC310B" w:rsidRPr="00837317">
        <w:rPr>
          <w:i/>
          <w:iCs/>
        </w:rPr>
        <w:t>Williams</w:t>
      </w:r>
      <w:r w:rsidR="00DC310B" w:rsidRPr="00837317">
        <w:t xml:space="preserve"> stands for the unremarkable proposition that </w:t>
      </w:r>
      <w:r w:rsidR="00332FDE" w:rsidRPr="00837317">
        <w:t xml:space="preserve">trial </w:t>
      </w:r>
      <w:r w:rsidR="003A22E8" w:rsidRPr="00837317">
        <w:t>participants</w:t>
      </w:r>
      <w:r w:rsidRPr="00837317">
        <w:t xml:space="preserve"> should endeavor in all cases (including PAGA cases) to ensure that a case is efficiently adjudicated.</w:t>
      </w:r>
      <w:r w:rsidR="003A22E8" w:rsidRPr="00837317">
        <w:t xml:space="preserve">  We unequivocally endorse that proposition</w:t>
      </w:r>
      <w:r w:rsidR="004F3823" w:rsidRPr="00837317">
        <w:t xml:space="preserve">.  However, stating that </w:t>
      </w:r>
      <w:r w:rsidR="004F3823" w:rsidRPr="00D85534">
        <w:t>all trial participants</w:t>
      </w:r>
      <w:r w:rsidR="004F3823" w:rsidRPr="00837317">
        <w:t xml:space="preserve"> must endeavor to </w:t>
      </w:r>
      <w:r w:rsidR="00415C83" w:rsidRPr="00837317">
        <w:t>fairly and efficiently adjudicate an action</w:t>
      </w:r>
      <w:r w:rsidR="009A0999" w:rsidRPr="00837317">
        <w:t xml:space="preserve"> is distinct from concluding that trial courts </w:t>
      </w:r>
      <w:r w:rsidR="002A7321" w:rsidRPr="00837317">
        <w:t>may strike a PAGA claim</w:t>
      </w:r>
      <w:r w:rsidR="0096356D">
        <w:t xml:space="preserve"> </w:t>
      </w:r>
      <w:r w:rsidR="002A7321" w:rsidRPr="00837317">
        <w:t>for manageability reasons.</w:t>
      </w:r>
      <w:r w:rsidR="008E1BA3">
        <w:t xml:space="preserve">  </w:t>
      </w:r>
      <w:r w:rsidR="00527386" w:rsidRPr="00527386">
        <w:t>(</w:t>
      </w:r>
      <w:r w:rsidR="00040F40">
        <w:t>S</w:t>
      </w:r>
      <w:r w:rsidR="00040F40" w:rsidRPr="00837317">
        <w:t xml:space="preserve">ee </w:t>
      </w:r>
      <w:bookmarkStart w:id="177" w:name="dabmci_b626335bd1d8425ea172c24b8ef705f1"/>
      <w:r w:rsidR="00AC3DD1">
        <w:rPr>
          <w:i/>
          <w:iCs/>
        </w:rPr>
        <w:t>ante</w:t>
      </w:r>
      <w:r w:rsidR="00C865C6">
        <w:rPr>
          <w:i/>
          <w:iCs/>
        </w:rPr>
        <w:t>,</w:t>
      </w:r>
      <w:r w:rsidR="00AC3DD1" w:rsidRPr="00837317">
        <w:t xml:space="preserve"> </w:t>
      </w:r>
      <w:r w:rsidR="00040F40" w:rsidRPr="00837317">
        <w:t>at p. 10</w:t>
      </w:r>
      <w:bookmarkEnd w:id="177"/>
      <w:r w:rsidR="00040F40">
        <w:t xml:space="preserve"> </w:t>
      </w:r>
      <w:r w:rsidR="00527386" w:rsidRPr="00527386">
        <w:t>[noting that the “term ‘manageability’ and variants thereof encompass two related but distinct concepts”]</w:t>
      </w:r>
      <w:r w:rsidR="00AB1371">
        <w:t xml:space="preserve">.)  While </w:t>
      </w:r>
      <w:r w:rsidR="000A0CA1" w:rsidRPr="00D85534">
        <w:t xml:space="preserve">trial </w:t>
      </w:r>
      <w:r w:rsidR="002A58F6" w:rsidRPr="00D85534">
        <w:t>courts</w:t>
      </w:r>
      <w:r w:rsidR="002A58F6">
        <w:t xml:space="preserve"> shall endeavor to efficiently manage PAGA cases, just as they must </w:t>
      </w:r>
      <w:r w:rsidR="00C92732">
        <w:t xml:space="preserve">manage </w:t>
      </w:r>
      <w:r w:rsidR="00C32CCE" w:rsidRPr="00C32CCE">
        <w:rPr>
          <w:i/>
          <w:iCs/>
        </w:rPr>
        <w:t>any</w:t>
      </w:r>
      <w:r w:rsidR="00C32CCE" w:rsidRPr="00C32CCE">
        <w:t xml:space="preserve"> complex cas</w:t>
      </w:r>
      <w:r w:rsidR="00C92732">
        <w:t xml:space="preserve">e, </w:t>
      </w:r>
      <w:r w:rsidR="00E01DA1">
        <w:t>it makes little sense to impose</w:t>
      </w:r>
      <w:r w:rsidR="00D44A0D">
        <w:t xml:space="preserve"> a class action manageability requirement on PAGA </w:t>
      </w:r>
      <w:r w:rsidR="003F3EA9">
        <w:t xml:space="preserve">claims </w:t>
      </w:r>
      <w:r w:rsidR="00B9577D">
        <w:t xml:space="preserve">when </w:t>
      </w:r>
      <w:r w:rsidR="003F3EA9">
        <w:t xml:space="preserve">such a </w:t>
      </w:r>
      <w:r w:rsidR="003F3EA9">
        <w:lastRenderedPageBreak/>
        <w:t xml:space="preserve">requirement is relevant to the class certification procedure </w:t>
      </w:r>
      <w:r w:rsidR="00B9577D">
        <w:t xml:space="preserve">but </w:t>
      </w:r>
      <w:r w:rsidR="003F3EA9">
        <w:t xml:space="preserve">has no applicability to </w:t>
      </w:r>
      <w:r w:rsidR="006B3C05">
        <w:t xml:space="preserve">a </w:t>
      </w:r>
      <w:r w:rsidR="003F3EA9">
        <w:t>PAGA claim.</w:t>
      </w:r>
    </w:p>
    <w:p w14:paraId="53FB6897" w14:textId="77777777" w:rsidR="00734836" w:rsidRPr="00837317" w:rsidRDefault="007742F5" w:rsidP="00837317">
      <w:pPr>
        <w:ind w:firstLine="720"/>
      </w:pPr>
      <w:r w:rsidRPr="00837317">
        <w:t xml:space="preserve">Second, unlike class claims, PAGA claims are effectively administrative enforcement </w:t>
      </w:r>
      <w:r w:rsidRPr="00837317">
        <w:t>actions,</w:t>
      </w:r>
      <w:r w:rsidR="00BF19D0">
        <w:t xml:space="preserve"> </w:t>
      </w:r>
      <w:r w:rsidRPr="00837317">
        <w:t xml:space="preserve">and </w:t>
      </w:r>
      <w:r w:rsidR="00E2069A" w:rsidRPr="00837317">
        <w:t>imposing a manageability requirement</w:t>
      </w:r>
      <w:r w:rsidR="0035403C" w:rsidRPr="00837317">
        <w:t xml:space="preserve"> would </w:t>
      </w:r>
      <w:r w:rsidR="00970A54" w:rsidRPr="00837317">
        <w:t xml:space="preserve">impede the effectiveness of such actions. </w:t>
      </w:r>
      <w:r w:rsidR="00AC398B" w:rsidRPr="00837317">
        <w:t xml:space="preserve"> </w:t>
      </w:r>
      <w:r w:rsidR="00104BAD" w:rsidRPr="00837317">
        <w:t>“Hurdles that impede the effective prosecution of representative PAGA actions undermine the Legislature’s objectives.”  (</w:t>
      </w:r>
      <w:bookmarkStart w:id="178" w:name="dabmci_11bf7d2828d3410681e8cf7d97a2d2a8"/>
      <w:r w:rsidR="00104BAD" w:rsidRPr="00837317">
        <w:rPr>
          <w:i/>
          <w:iCs/>
        </w:rPr>
        <w:t>Williams</w:t>
      </w:r>
      <w:r w:rsidR="00104BAD" w:rsidRPr="00837317">
        <w:t xml:space="preserve">, </w:t>
      </w:r>
      <w:r w:rsidR="00104BAD" w:rsidRPr="00837317">
        <w:rPr>
          <w:i/>
          <w:iCs/>
        </w:rPr>
        <w:t>supra</w:t>
      </w:r>
      <w:r w:rsidR="00104BAD" w:rsidRPr="00837317">
        <w:t>, 3 Cal.5th at p. 548</w:t>
      </w:r>
      <w:bookmarkEnd w:id="178"/>
      <w:r w:rsidR="00A101E9" w:rsidRPr="00837317">
        <w:t xml:space="preserve">; see also </w:t>
      </w:r>
      <w:bookmarkStart w:id="179" w:name="dabmci_a094c222a0544ce88a90e8007a7f9c9b"/>
      <w:r w:rsidR="00A101E9" w:rsidRPr="00837317">
        <w:rPr>
          <w:i/>
          <w:iCs/>
        </w:rPr>
        <w:t>Kim</w:t>
      </w:r>
      <w:r w:rsidR="00A101E9" w:rsidRPr="00837317">
        <w:t xml:space="preserve">, </w:t>
      </w:r>
      <w:r w:rsidR="00A101E9" w:rsidRPr="00837317">
        <w:rPr>
          <w:i/>
          <w:iCs/>
        </w:rPr>
        <w:t>supra</w:t>
      </w:r>
      <w:r w:rsidR="00A101E9" w:rsidRPr="00837317">
        <w:t>, 9 Cal.5th at p. 89</w:t>
      </w:r>
      <w:bookmarkEnd w:id="179"/>
      <w:r w:rsidR="00A101E9" w:rsidRPr="00837317">
        <w:t xml:space="preserve"> [</w:t>
      </w:r>
      <w:r w:rsidR="004E0684" w:rsidRPr="00837317">
        <w:t>“the very reason the Legislature enacted PAGA was to enhance enforcement of provisions punishable only through government-initiated proceedings”</w:t>
      </w:r>
      <w:r w:rsidR="003159B4" w:rsidRPr="00837317">
        <w:t>].)</w:t>
      </w:r>
      <w:r w:rsidR="004E0684" w:rsidRPr="00837317">
        <w:t xml:space="preserve">  </w:t>
      </w:r>
    </w:p>
    <w:p w14:paraId="53FB6898" w14:textId="77777777" w:rsidR="00063F11" w:rsidRPr="00837317" w:rsidRDefault="007742F5" w:rsidP="00837317">
      <w:pPr>
        <w:ind w:firstLine="720"/>
      </w:pPr>
      <w:r w:rsidRPr="00837317">
        <w:t>Royalty contends that such reasoning “overlooks the very differ</w:t>
      </w:r>
      <w:r w:rsidRPr="00837317">
        <w:t>ent incentives that exist in privately-brought PAGA actions as compared to LWDA enforcement actions.”</w:t>
      </w:r>
      <w:r w:rsidR="00C25338">
        <w:t xml:space="preserve">  </w:t>
      </w:r>
      <w:r w:rsidRPr="00837317">
        <w:t>Specifically, Royalty maintains that PAGA’s one-way attorney fees provision incentivizes plaintiffs’ lawyers to bring PAGA claims in ways that differ fro</w:t>
      </w:r>
      <w:r w:rsidRPr="00837317">
        <w:t xml:space="preserve">m “a state agency with ‘scarce resources [for] an investigation.’ ”  </w:t>
      </w:r>
      <w:r w:rsidR="002407B7" w:rsidRPr="00837317">
        <w:t>We are not persuaded by this reasoning</w:t>
      </w:r>
      <w:r w:rsidR="00AC3DD1">
        <w:t>,</w:t>
      </w:r>
      <w:r w:rsidR="002407B7" w:rsidRPr="00837317">
        <w:t xml:space="preserve"> which focuses on the wisdom of PAGA’s attorney fee</w:t>
      </w:r>
      <w:r w:rsidR="004A7CE7" w:rsidRPr="00837317">
        <w:t>s</w:t>
      </w:r>
      <w:r w:rsidR="002407B7" w:rsidRPr="00837317">
        <w:t xml:space="preserve"> provision — </w:t>
      </w:r>
      <w:r w:rsidR="00113B2F">
        <w:t xml:space="preserve">a </w:t>
      </w:r>
      <w:r w:rsidR="002407B7" w:rsidRPr="00837317">
        <w:t>concern better addressed to the Legislature.</w:t>
      </w:r>
      <w:r>
        <w:rPr>
          <w:rStyle w:val="FootnoteReference"/>
        </w:rPr>
        <w:footnoteReference w:id="23"/>
      </w:r>
    </w:p>
    <w:p w14:paraId="53FB6899" w14:textId="77777777" w:rsidR="00063F11" w:rsidRPr="00837317" w:rsidRDefault="007742F5" w:rsidP="00837317">
      <w:pPr>
        <w:ind w:firstLine="720"/>
      </w:pPr>
      <w:r w:rsidRPr="00837317">
        <w:lastRenderedPageBreak/>
        <w:t xml:space="preserve">Third, unlike with class actions, a court’s authority to provide relief under PAGA is subject to specific statutory provisions that </w:t>
      </w:r>
      <w:r w:rsidR="007243EE" w:rsidRPr="00837317">
        <w:t xml:space="preserve">make </w:t>
      </w:r>
      <w:r w:rsidRPr="00837317">
        <w:t xml:space="preserve">it inappropriate to impose a manageability requirement on PAGA claims.  </w:t>
      </w:r>
    </w:p>
    <w:p w14:paraId="53FB689A" w14:textId="77777777" w:rsidR="00DC0271" w:rsidRPr="00837317" w:rsidRDefault="007742F5" w:rsidP="00837317">
      <w:pPr>
        <w:ind w:firstLine="720"/>
      </w:pPr>
      <w:r w:rsidRPr="00837317">
        <w:t>Specifically, section 2699, subdivision (e)(1)</w:t>
      </w:r>
      <w:r w:rsidRPr="00837317">
        <w:t xml:space="preserve"> links a court’s authority to “assess a civil penalty” to the LWDA’s authority to “assess a civil penalty” by specifying that a court’s authority is “subject to the same limitations and conditions” as </w:t>
      </w:r>
      <w:r w:rsidR="00AC3DD1">
        <w:t>those</w:t>
      </w:r>
      <w:r w:rsidR="00AC3DD1" w:rsidRPr="00837317">
        <w:t xml:space="preserve"> </w:t>
      </w:r>
      <w:r w:rsidRPr="00837317">
        <w:t>placed upon the LWDA.</w:t>
      </w:r>
      <w:r>
        <w:rPr>
          <w:rStyle w:val="FootnoteReference"/>
        </w:rPr>
        <w:footnoteReference w:id="24"/>
      </w:r>
      <w:r w:rsidRPr="00837317">
        <w:t xml:space="preserve">  </w:t>
      </w:r>
      <w:r w:rsidR="00046CF7">
        <w:t>W</w:t>
      </w:r>
      <w:r w:rsidRPr="00837317">
        <w:t>e are aware of no autho</w:t>
      </w:r>
      <w:r w:rsidRPr="00837317">
        <w:t xml:space="preserve">rity that imposes a manageability limitation on the LWDA’s authority to assess a civil penalty.  Thus, the text of section 2699, subdivision (e)(1) further supports our conclusion that a PAGA plaintiff should not </w:t>
      </w:r>
      <w:r w:rsidRPr="00837317">
        <w:lastRenderedPageBreak/>
        <w:t>be subject to such a requirement when it se</w:t>
      </w:r>
      <w:r w:rsidRPr="00837317">
        <w:t>eks a penalty on the LWDA’s behalf.</w:t>
      </w:r>
    </w:p>
    <w:p w14:paraId="53FB689B" w14:textId="77777777" w:rsidR="00DC0271" w:rsidRPr="00837317" w:rsidRDefault="007742F5" w:rsidP="00837317">
      <w:pPr>
        <w:ind w:firstLine="720"/>
        <w:rPr>
          <w:rFonts w:eastAsiaTheme="minorHAnsi"/>
          <w:bCs/>
          <w:szCs w:val="26"/>
        </w:rPr>
      </w:pPr>
      <w:r w:rsidRPr="00837317">
        <w:t>We are not persuaded by amici</w:t>
      </w:r>
      <w:r w:rsidR="00203DF3" w:rsidRPr="00837317">
        <w:t xml:space="preserve"> curiae</w:t>
      </w:r>
      <w:r w:rsidRPr="00837317">
        <w:t>’s argument that section 2699, subdivision (e)(1) should be interpreted to “mean that if the LWDA has discretion to not take enforcement action after investigation, then trial courts h</w:t>
      </w:r>
      <w:r w:rsidRPr="00837317">
        <w:t>ave discretion to do so as well.”</w:t>
      </w:r>
      <w:r w:rsidR="00C25338">
        <w:t xml:space="preserve">  </w:t>
      </w:r>
      <w:r w:rsidRPr="00837317">
        <w:t xml:space="preserve">(Citing </w:t>
      </w:r>
      <w:bookmarkStart w:id="184" w:name="dabmci_c44dcd048495474ebe7f6f17873e2e5f"/>
      <w:r w:rsidRPr="00837317">
        <w:rPr>
          <w:i/>
          <w:iCs/>
        </w:rPr>
        <w:t>Painting &amp; Drywall Work Preservation Fund, Inc. v. Aubry</w:t>
      </w:r>
      <w:r w:rsidRPr="00837317">
        <w:t xml:space="preserve"> (1988) 206 Cal.App.3d 682, 687</w:t>
      </w:r>
      <w:bookmarkEnd w:id="184"/>
      <w:r w:rsidRPr="00837317">
        <w:t xml:space="preserve"> [“the Labor Commissioner has discretion to determine which investigations to conduct”].)  The judicial and administrative aut</w:t>
      </w:r>
      <w:r w:rsidRPr="00837317">
        <w:t xml:space="preserve">hority that is linked in section 2699, subdivision (e)(1) is discretion in “assess[ing] a civil penalty.”  While courts and the LWDA share discretion in </w:t>
      </w:r>
      <w:r w:rsidRPr="00837317">
        <w:rPr>
          <w:i/>
          <w:iCs/>
        </w:rPr>
        <w:t>assessing a civil penalty</w:t>
      </w:r>
      <w:r w:rsidRPr="00837317">
        <w:t xml:space="preserve">, amici </w:t>
      </w:r>
      <w:r w:rsidR="00203DF3" w:rsidRPr="00837317">
        <w:t xml:space="preserve">curiae </w:t>
      </w:r>
      <w:r w:rsidRPr="00837317">
        <w:t>point to nothing in PAGA’s text or legislative history suggesti</w:t>
      </w:r>
      <w:r w:rsidRPr="00837317">
        <w:t xml:space="preserve">ng courts have the power to shape which cases can be </w:t>
      </w:r>
      <w:r w:rsidRPr="00837317">
        <w:rPr>
          <w:i/>
          <w:iCs/>
        </w:rPr>
        <w:t>investigated and enforced</w:t>
      </w:r>
      <w:r w:rsidRPr="00837317">
        <w:t>.  These types of enforcement decisions are matters within the LWDA’s discretion, not that of the courts.  The fact that LWDA can exercise a form of prosecutorial discretion in d</w:t>
      </w:r>
      <w:r w:rsidRPr="00837317">
        <w:t>etermining whether to take enforcement action does not mean that courts can exercise judicial power to strike</w:t>
      </w:r>
      <w:r w:rsidR="002F4F3F">
        <w:t xml:space="preserve"> </w:t>
      </w:r>
      <w:r w:rsidRPr="00837317">
        <w:t xml:space="preserve">a PAGA claim on manageability grounds.  We decline to interpret section 2699, subdivision (e)(1) in such a counterintuitive fashion.  </w:t>
      </w:r>
    </w:p>
    <w:p w14:paraId="53FB689C" w14:textId="77777777" w:rsidR="00DC0271" w:rsidRPr="00837317" w:rsidRDefault="007742F5" w:rsidP="00837317">
      <w:pPr>
        <w:ind w:firstLine="720"/>
      </w:pPr>
      <w:r w:rsidRPr="00837317">
        <w:t>In sum, the</w:t>
      </w:r>
      <w:r w:rsidR="00947E85">
        <w:t>se</w:t>
      </w:r>
      <w:r w:rsidRPr="00837317">
        <w:t xml:space="preserve"> three structural differences between class</w:t>
      </w:r>
      <w:r w:rsidR="00397A17">
        <w:t xml:space="preserve"> action</w:t>
      </w:r>
      <w:r w:rsidR="00B4752D">
        <w:t>s</w:t>
      </w:r>
      <w:r w:rsidRPr="00837317">
        <w:t xml:space="preserve"> and PAGA claims support the conclusion that importing the class action manageability requirement into the PAGA context would be improper because it would “</w:t>
      </w:r>
      <w:r w:rsidR="00A76E74">
        <w:t> ‘</w:t>
      </w:r>
      <w:r w:rsidRPr="00837317">
        <w:t>frustrate legitimate legislative policy.</w:t>
      </w:r>
      <w:r w:rsidR="00A76E74">
        <w:t>’ </w:t>
      </w:r>
      <w:r w:rsidRPr="00837317">
        <w:t xml:space="preserve">”  </w:t>
      </w:r>
      <w:r w:rsidRPr="00837317">
        <w:t>(</w:t>
      </w:r>
      <w:bookmarkStart w:id="185" w:name="dabmci_58fcff0fe44248c9a7a28185f0934b96"/>
      <w:r w:rsidRPr="00837317">
        <w:rPr>
          <w:i/>
          <w:iCs/>
        </w:rPr>
        <w:t>Runyan</w:t>
      </w:r>
      <w:r w:rsidRPr="00837317">
        <w:t xml:space="preserve">, </w:t>
      </w:r>
      <w:r w:rsidRPr="00837317">
        <w:rPr>
          <w:i/>
          <w:iCs/>
        </w:rPr>
        <w:t>supra</w:t>
      </w:r>
      <w:r w:rsidRPr="00837317">
        <w:t>, 20 Cal.3d at p. 528</w:t>
      </w:r>
      <w:bookmarkEnd w:id="185"/>
      <w:r w:rsidRPr="00837317">
        <w:t>, italics omitted.)</w:t>
      </w:r>
      <w:r w:rsidR="007D12EC" w:rsidRPr="00837317">
        <w:t xml:space="preserve">  </w:t>
      </w:r>
    </w:p>
    <w:p w14:paraId="53FB689D" w14:textId="77777777" w:rsidR="007D12EC" w:rsidRPr="00837317" w:rsidRDefault="007742F5" w:rsidP="00837317">
      <w:pPr>
        <w:pStyle w:val="Heading3"/>
        <w:rPr>
          <w:i w:val="0"/>
          <w:iCs/>
        </w:rPr>
      </w:pPr>
      <w:r w:rsidRPr="00837317">
        <w:rPr>
          <w:i w:val="0"/>
          <w:iCs/>
        </w:rPr>
        <w:lastRenderedPageBreak/>
        <w:t xml:space="preserve">2.  </w:t>
      </w:r>
      <w:r w:rsidRPr="00837317">
        <w:t>Differing Jurisprudential Histories</w:t>
      </w:r>
    </w:p>
    <w:p w14:paraId="53FB689E" w14:textId="77777777" w:rsidR="002952B0" w:rsidRPr="00837317" w:rsidRDefault="007742F5" w:rsidP="00837317">
      <w:pPr>
        <w:ind w:firstLine="720"/>
      </w:pPr>
      <w:r w:rsidRPr="00837317">
        <w:t xml:space="preserve">The differing jurisprudential histories of class actions and PAGA claims also support application of a manageability requirement as to the former but not the latter.  (See </w:t>
      </w:r>
      <w:bookmarkStart w:id="186" w:name="dabmci_9f229ba0a7e941358eaa4574acea8cf5"/>
      <w:r w:rsidRPr="00837317">
        <w:rPr>
          <w:i/>
          <w:iCs/>
        </w:rPr>
        <w:t>Kraus</w:t>
      </w:r>
      <w:r w:rsidRPr="00837317">
        <w:t xml:space="preserve">, </w:t>
      </w:r>
      <w:r w:rsidRPr="00837317">
        <w:rPr>
          <w:i/>
          <w:iCs/>
        </w:rPr>
        <w:t>supra</w:t>
      </w:r>
      <w:r w:rsidRPr="00837317">
        <w:t>, 23 Cal.4th at p. 138</w:t>
      </w:r>
      <w:bookmarkEnd w:id="186"/>
      <w:r w:rsidRPr="00837317">
        <w:t xml:space="preserve"> [recognizing that the jurisprudential basis of an</w:t>
      </w:r>
      <w:r w:rsidRPr="00837317">
        <w:t xml:space="preserve"> action is an important characteristic in determining the scope of a court’s inherent powers in stating that “because a UCL action is one in equity,” the court could “decline to entertain the action as a representative suit”].)</w:t>
      </w:r>
      <w:r>
        <w:rPr>
          <w:rStyle w:val="FootnoteReference"/>
        </w:rPr>
        <w:footnoteReference w:id="25"/>
      </w:r>
      <w:r w:rsidRPr="00837317">
        <w:t xml:space="preserve">  </w:t>
      </w:r>
    </w:p>
    <w:p w14:paraId="53FB689F" w14:textId="77777777" w:rsidR="009F7E35" w:rsidRPr="00837317" w:rsidRDefault="007742F5" w:rsidP="00837317">
      <w:pPr>
        <w:ind w:firstLine="720"/>
      </w:pPr>
      <w:r w:rsidRPr="00837317">
        <w:t>We have previously descr</w:t>
      </w:r>
      <w:r w:rsidRPr="00837317">
        <w:t>ibed Code of Civil Procedure section 382 as “authorizing” class actions.  (</w:t>
      </w:r>
      <w:bookmarkStart w:id="188" w:name="dabmci_d140f02cf3c2435c8711abe432ee942a"/>
      <w:r w:rsidRPr="00837317">
        <w:rPr>
          <w:i/>
          <w:iCs/>
        </w:rPr>
        <w:t>Arias</w:t>
      </w:r>
      <w:r w:rsidRPr="00837317">
        <w:t xml:space="preserve">, </w:t>
      </w:r>
      <w:r w:rsidRPr="00837317">
        <w:rPr>
          <w:i/>
          <w:iCs/>
        </w:rPr>
        <w:t>supra</w:t>
      </w:r>
      <w:r w:rsidRPr="00837317">
        <w:t>, 46 Cal.4th at p. 978</w:t>
      </w:r>
      <w:bookmarkEnd w:id="188"/>
      <w:r w:rsidRPr="00837317">
        <w:t>.)  However, the history of class actions in California is considerably more complicated.  Code of Civil Procedure section 382 “is based upon the e</w:t>
      </w:r>
      <w:r w:rsidRPr="00837317">
        <w:t>quitable doctrine of virtual representation which ‘ “rests upon considerations of necessity and paramount convenience, and was adopted to prevent a failure of justice.” ’ ”  (</w:t>
      </w:r>
      <w:bookmarkStart w:id="189" w:name="dabmci_9a1696efafb041f1960e65f68021aa0c"/>
      <w:r w:rsidRPr="00837317">
        <w:rPr>
          <w:i/>
          <w:iCs/>
        </w:rPr>
        <w:t>Daar v. Yellow Cab Co.</w:t>
      </w:r>
      <w:r w:rsidRPr="00837317">
        <w:t xml:space="preserve"> (1967) 67 Cal.2d 695, 703–704 (</w:t>
      </w:r>
      <w:r w:rsidRPr="00837317">
        <w:rPr>
          <w:i/>
          <w:iCs/>
        </w:rPr>
        <w:t>Daar</w:t>
      </w:r>
      <w:r w:rsidRPr="00837317">
        <w:t>)</w:t>
      </w:r>
      <w:bookmarkEnd w:id="189"/>
      <w:r w:rsidRPr="00837317">
        <w:t xml:space="preserve">; see </w:t>
      </w:r>
      <w:bookmarkStart w:id="190" w:name="dabmci_723d40baa7f1473f947b2466fc935b99"/>
      <w:r w:rsidRPr="00837317">
        <w:rPr>
          <w:i/>
          <w:iCs/>
        </w:rPr>
        <w:t>Hernandez v. Res</w:t>
      </w:r>
      <w:r w:rsidRPr="00837317">
        <w:rPr>
          <w:i/>
          <w:iCs/>
        </w:rPr>
        <w:t xml:space="preserve">toration Hardware, Inc. </w:t>
      </w:r>
      <w:r w:rsidRPr="00837317">
        <w:t>(2018) 4 Cal.5th 260, 266 (</w:t>
      </w:r>
      <w:r w:rsidRPr="00837317">
        <w:rPr>
          <w:i/>
          <w:iCs/>
        </w:rPr>
        <w:t>Hernandez</w:t>
      </w:r>
      <w:r w:rsidRPr="00837317">
        <w:t>)</w:t>
      </w:r>
      <w:bookmarkEnd w:id="190"/>
      <w:r w:rsidRPr="00837317">
        <w:t xml:space="preserve"> [stating that “</w:t>
      </w:r>
      <w:r w:rsidR="00C01561">
        <w:t>[</w:t>
      </w:r>
      <w:r w:rsidRPr="00837317">
        <w:t>t</w:t>
      </w:r>
      <w:r w:rsidR="00C01561">
        <w:t>]</w:t>
      </w:r>
      <w:r w:rsidRPr="00837317">
        <w:t xml:space="preserve">he class action is codified in </w:t>
      </w:r>
      <w:r w:rsidR="004C02C8" w:rsidRPr="00837317">
        <w:t xml:space="preserve">[Code of Civil Procedure] </w:t>
      </w:r>
      <w:r w:rsidRPr="00837317">
        <w:t>section 382,” and “is a product of the court’s equitable jurisdiction that rests on considerations of necessity, conven</w:t>
      </w:r>
      <w:r w:rsidRPr="00837317">
        <w:t xml:space="preserve">ience, and the belief that in large cases, the class action will prevent a failure of justice”].)  </w:t>
      </w:r>
    </w:p>
    <w:p w14:paraId="53FB68A0" w14:textId="77777777" w:rsidR="009F7E35" w:rsidRPr="00837317" w:rsidRDefault="007742F5" w:rsidP="00837317">
      <w:pPr>
        <w:ind w:firstLine="720"/>
      </w:pPr>
      <w:r w:rsidRPr="00837317">
        <w:lastRenderedPageBreak/>
        <w:t xml:space="preserve">As the Court of Appeal in </w:t>
      </w:r>
      <w:bookmarkStart w:id="191" w:name="dabmci_d88a92c5ce5c4215a33e6142295c7505"/>
      <w:r w:rsidRPr="00837317">
        <w:rPr>
          <w:i/>
          <w:iCs/>
        </w:rPr>
        <w:t>Farrar v. Franchise Tax Bd.</w:t>
      </w:r>
      <w:r w:rsidRPr="00837317">
        <w:t xml:space="preserve"> (1993) 15 Cal.App.4th 10</w:t>
      </w:r>
      <w:bookmarkEnd w:id="191"/>
      <w:r w:rsidRPr="00837317">
        <w:t xml:space="preserve"> observed, “Its general but limited codification in Code of Civil Procedure se</w:t>
      </w:r>
      <w:r w:rsidRPr="00837317">
        <w:t>ction 382 notwithstanding, the class action retains the essence of its origins as an invention of equity.</w:t>
      </w:r>
      <w:r w:rsidR="00443ED5">
        <w:t xml:space="preserve">  [Citations.]  </w:t>
      </w:r>
      <w:r w:rsidRPr="00837317">
        <w:t>Our Supreme Court has reinforced this heritage by urging trial courts to adopt flexible and innovative procedures from common law sourc</w:t>
      </w:r>
      <w:r w:rsidRPr="00837317">
        <w:t>es and analogous statutes.”  (</w:t>
      </w:r>
      <w:bookmarkStart w:id="192" w:name="dabmci_5603a0da8e614a96a02486c805a0d204"/>
      <w:r w:rsidRPr="00837317">
        <w:rPr>
          <w:i/>
          <w:iCs/>
        </w:rPr>
        <w:t>Id</w:t>
      </w:r>
      <w:r w:rsidRPr="00837317">
        <w:t>. at p. 17</w:t>
      </w:r>
      <w:r w:rsidR="004D2026">
        <w:t xml:space="preserve">, fn. </w:t>
      </w:r>
      <w:bookmarkEnd w:id="192"/>
      <w:r w:rsidR="004D2026">
        <w:t>omitted</w:t>
      </w:r>
      <w:r w:rsidRPr="00837317">
        <w:t xml:space="preserve">; cf. </w:t>
      </w:r>
      <w:bookmarkStart w:id="193" w:name="dabmci_ef8851ada4ff4e92957fa6d7ef599b96"/>
      <w:r w:rsidRPr="00837317">
        <w:rPr>
          <w:i/>
          <w:iCs/>
        </w:rPr>
        <w:t>Fireside Bank v. Superior Court</w:t>
      </w:r>
      <w:r w:rsidRPr="00837317">
        <w:t xml:space="preserve"> (2007) 40 Cal.4th 1069, 1084 (</w:t>
      </w:r>
      <w:r w:rsidRPr="00837317">
        <w:rPr>
          <w:i/>
          <w:iCs/>
        </w:rPr>
        <w:t>Fireside Bank</w:t>
      </w:r>
      <w:r w:rsidRPr="00837317">
        <w:t>)</w:t>
      </w:r>
      <w:bookmarkEnd w:id="193"/>
      <w:r w:rsidRPr="00837317">
        <w:t xml:space="preserve"> [“As class actions are originally creatures of equity</w:t>
      </w:r>
      <w:r w:rsidR="00712CAC">
        <w:t xml:space="preserve"> [citation]</w:t>
      </w:r>
      <w:r w:rsidRPr="00837317">
        <w:t>, so the rules for administering them must be equitabl</w:t>
      </w:r>
      <w:r w:rsidRPr="00837317">
        <w:t xml:space="preserve">e”].)  </w:t>
      </w:r>
    </w:p>
    <w:p w14:paraId="53FB68A1" w14:textId="77777777" w:rsidR="009F7E35" w:rsidRPr="00837317" w:rsidRDefault="007742F5" w:rsidP="00837317">
      <w:pPr>
        <w:ind w:firstLine="720"/>
      </w:pPr>
      <w:r w:rsidRPr="00837317">
        <w:t>The common law equitable basis of class actions in California explains why this state’s class action jurisprudence has not been limited by the literal terms of Code of Civil Procedure section 382.  As Justice Werdegar observed in her concurrence in</w:t>
      </w:r>
      <w:r w:rsidRPr="00837317">
        <w:t xml:space="preserve"> </w:t>
      </w:r>
      <w:bookmarkStart w:id="194" w:name="dabmci_84b937abc6aa466e9b1bff7fbd57b576"/>
      <w:r w:rsidRPr="00837317">
        <w:rPr>
          <w:i/>
          <w:iCs/>
        </w:rPr>
        <w:t>Arias</w:t>
      </w:r>
      <w:bookmarkEnd w:id="194"/>
      <w:r w:rsidRPr="00837317">
        <w:t>, “</w:t>
      </w:r>
      <w:r w:rsidR="0035191F">
        <w:t>[</w:t>
      </w:r>
      <w:r w:rsidRPr="00837317">
        <w:t>Code of Civil Procedure</w:t>
      </w:r>
      <w:r w:rsidR="0035191F">
        <w:t>]</w:t>
      </w:r>
      <w:r w:rsidRPr="00837317">
        <w:t xml:space="preserve"> section 382 . . . says nothing about</w:t>
      </w:r>
      <w:r w:rsidR="00151FD2">
        <w:t xml:space="preserve"> </w:t>
      </w:r>
      <w:r w:rsidRPr="00837317">
        <w:t>[several]</w:t>
      </w:r>
      <w:r w:rsidR="00151FD2">
        <w:t xml:space="preserve"> </w:t>
      </w:r>
      <w:r w:rsidRPr="00837317">
        <w:t>important requirements such as the existence of common questions of law, the typicality of claims, the ability of the named plaintiff to provide fair and adequate representat</w:t>
      </w:r>
      <w:r w:rsidRPr="00837317">
        <w:t xml:space="preserve">ion, the superiority of a class action over other methods of adjudication, </w:t>
      </w:r>
      <w:r w:rsidRPr="00837317">
        <w:rPr>
          <w:i/>
          <w:iCs/>
        </w:rPr>
        <w:t>the likely difficulties of managing a class action</w:t>
      </w:r>
      <w:r w:rsidRPr="00837317">
        <w:t>, and the requirement of notice.”</w:t>
      </w:r>
      <w:r>
        <w:rPr>
          <w:rStyle w:val="FootnoteReference"/>
        </w:rPr>
        <w:footnoteReference w:id="26"/>
      </w:r>
      <w:r w:rsidRPr="00837317">
        <w:t xml:space="preserve">  (</w:t>
      </w:r>
      <w:bookmarkStart w:id="196" w:name="dabmci_b5e0d51837d844689bfeb2d8eedfcaf5"/>
      <w:r w:rsidRPr="00837317">
        <w:rPr>
          <w:i/>
          <w:iCs/>
        </w:rPr>
        <w:t>Arias</w:t>
      </w:r>
      <w:r w:rsidRPr="00837317">
        <w:t xml:space="preserve">, </w:t>
      </w:r>
      <w:r w:rsidRPr="00837317">
        <w:rPr>
          <w:i/>
          <w:iCs/>
        </w:rPr>
        <w:t>supra</w:t>
      </w:r>
      <w:r w:rsidRPr="00837317">
        <w:t>, 46 Cal.4th at p. 989</w:t>
      </w:r>
      <w:r w:rsidR="00971BE9">
        <w:t>, fn. 3</w:t>
      </w:r>
      <w:bookmarkEnd w:id="196"/>
      <w:r w:rsidR="00971BE9">
        <w:t xml:space="preserve"> </w:t>
      </w:r>
      <w:r w:rsidRPr="00837317">
        <w:t xml:space="preserve">(conc. opn. of Werdegar, J.), italics </w:t>
      </w:r>
      <w:r w:rsidRPr="00837317">
        <w:t>added.)</w:t>
      </w:r>
    </w:p>
    <w:p w14:paraId="53FB68A2" w14:textId="77777777" w:rsidR="009F7E35" w:rsidRPr="00837317" w:rsidRDefault="007742F5" w:rsidP="00837317">
      <w:pPr>
        <w:ind w:firstLine="720"/>
      </w:pPr>
      <w:r w:rsidRPr="00837317">
        <w:lastRenderedPageBreak/>
        <w:t>In addition, Code of Civil Procedure section 382 contains but a single sentence that provides scant legislative guidance regarding the multitude of procedural questions that arise in such complex actions.</w:t>
      </w:r>
      <w:r>
        <w:rPr>
          <w:rStyle w:val="FootnoteReference"/>
        </w:rPr>
        <w:footnoteReference w:id="27"/>
      </w:r>
      <w:r w:rsidRPr="00837317">
        <w:t xml:space="preserve">  The statute’s brevity, when considered i</w:t>
      </w:r>
      <w:r w:rsidRPr="00837317">
        <w:t xml:space="preserve">n light of the inherent complexities of class suits, supports the need for courts to exercise inherent authority in this context.  (See, e.g., </w:t>
      </w:r>
      <w:bookmarkStart w:id="198" w:name="dabmci_9c416fd8676447b7b145ef274583646d"/>
      <w:r w:rsidRPr="00837317">
        <w:rPr>
          <w:i/>
        </w:rPr>
        <w:t>Weiss</w:t>
      </w:r>
      <w:r w:rsidRPr="00837317">
        <w:t xml:space="preserve">, </w:t>
      </w:r>
      <w:r w:rsidRPr="00837317">
        <w:rPr>
          <w:i/>
          <w:iCs/>
        </w:rPr>
        <w:t>supra</w:t>
      </w:r>
      <w:r w:rsidRPr="00837317">
        <w:t>, 9 Cal.5th at p. 863</w:t>
      </w:r>
      <w:bookmarkEnd w:id="198"/>
      <w:r w:rsidRPr="00837317">
        <w:t xml:space="preserve"> [stating that trial courts’ inherent authority “ ‘ “arises from necessity where</w:t>
      </w:r>
      <w:r w:rsidRPr="00837317">
        <w:t xml:space="preserve">, in the absence of any previously established procedural rule, rights would be lost or the court would be unable to function” ’ ”].) </w:t>
      </w:r>
      <w:r w:rsidR="007243EE" w:rsidRPr="00837317">
        <w:t xml:space="preserve"> </w:t>
      </w:r>
    </w:p>
    <w:p w14:paraId="53FB68A3" w14:textId="77777777" w:rsidR="009F7E35" w:rsidRPr="00837317" w:rsidRDefault="007742F5" w:rsidP="00837317">
      <w:pPr>
        <w:ind w:firstLine="720"/>
      </w:pPr>
      <w:r w:rsidRPr="00837317">
        <w:t>Unlike class actions, PAGA actions are not “originally creatures of equity” (</w:t>
      </w:r>
      <w:bookmarkStart w:id="199" w:name="dabmci_9d29e9bb0fa841ef8e59be9c6defc00e"/>
      <w:r w:rsidRPr="00837317">
        <w:rPr>
          <w:i/>
          <w:iCs/>
        </w:rPr>
        <w:t>Fireside Bank</w:t>
      </w:r>
      <w:r w:rsidRPr="00837317">
        <w:t xml:space="preserve">, </w:t>
      </w:r>
      <w:r w:rsidRPr="00837317">
        <w:rPr>
          <w:i/>
          <w:iCs/>
        </w:rPr>
        <w:t>supra</w:t>
      </w:r>
      <w:r w:rsidRPr="00837317">
        <w:t>, 40 Cal.4th at p. 1084</w:t>
      </w:r>
      <w:bookmarkEnd w:id="199"/>
      <w:r w:rsidRPr="00837317">
        <w:t>), and PAGA does not “codif[y]” a preexisting common law equitable doctrine (</w:t>
      </w:r>
      <w:bookmarkStart w:id="200" w:name="dabmci_dff54897f42f462a9b75d95281abcd21"/>
      <w:r w:rsidRPr="00837317">
        <w:rPr>
          <w:i/>
          <w:iCs/>
        </w:rPr>
        <w:t>Hernandez</w:t>
      </w:r>
      <w:r w:rsidRPr="00837317">
        <w:t xml:space="preserve">, </w:t>
      </w:r>
      <w:r w:rsidRPr="00837317">
        <w:rPr>
          <w:i/>
          <w:iCs/>
        </w:rPr>
        <w:t>supra</w:t>
      </w:r>
      <w:r w:rsidRPr="00837317">
        <w:t>, 4 Cal.5th at p. 266</w:t>
      </w:r>
      <w:bookmarkEnd w:id="200"/>
      <w:r w:rsidRPr="00837317">
        <w:t xml:space="preserve">; cf. </w:t>
      </w:r>
      <w:bookmarkStart w:id="201" w:name="dabmci_bee6714e95b84536bb26753f1efdfaa4"/>
      <w:r w:rsidRPr="00837317">
        <w:rPr>
          <w:i/>
          <w:iCs/>
        </w:rPr>
        <w:t>LaFace</w:t>
      </w:r>
      <w:r w:rsidRPr="00837317">
        <w:t xml:space="preserve">, </w:t>
      </w:r>
      <w:r w:rsidRPr="00837317">
        <w:rPr>
          <w:i/>
          <w:iCs/>
        </w:rPr>
        <w:t>supra</w:t>
      </w:r>
      <w:r w:rsidRPr="00837317">
        <w:t>, 75 Cal.App.5th at p. 400</w:t>
      </w:r>
      <w:bookmarkEnd w:id="201"/>
      <w:r w:rsidRPr="00837317">
        <w:t xml:space="preserve"> [concluding that </w:t>
      </w:r>
      <w:r w:rsidRPr="00837317">
        <w:lastRenderedPageBreak/>
        <w:t>PAGA is “unlike any pre-1850 common law action”])</w:t>
      </w:r>
      <w:r w:rsidR="00C27DFF" w:rsidRPr="00837317">
        <w:t>.</w:t>
      </w:r>
      <w:r w:rsidRPr="00837317">
        <w:t xml:space="preserve">  </w:t>
      </w:r>
      <w:r w:rsidRPr="00B807EC">
        <w:t xml:space="preserve">The statute and the rights </w:t>
      </w:r>
      <w:r w:rsidRPr="00B807EC">
        <w:t xml:space="preserve">it creates </w:t>
      </w:r>
      <w:r w:rsidR="00801ECC">
        <w:t>have been described as unique.</w:t>
      </w:r>
      <w:r>
        <w:rPr>
          <w:rStyle w:val="FootnoteReference"/>
        </w:rPr>
        <w:footnoteReference w:id="28"/>
      </w:r>
      <w:r w:rsidRPr="00837317">
        <w:t xml:space="preserve">  And, in contrast to the inexhaustive nature of Code of Civil Procedure section 382, the Legislature provided </w:t>
      </w:r>
      <w:r w:rsidR="00E95F17">
        <w:t xml:space="preserve">comparatively </w:t>
      </w:r>
      <w:r w:rsidRPr="00837317">
        <w:t>detailed statutory requirements for maintaining a PAGA claim.  (See</w:t>
      </w:r>
      <w:r w:rsidR="007B68BC">
        <w:t xml:space="preserve"> </w:t>
      </w:r>
      <w:r w:rsidR="000D14A9" w:rsidRPr="00837317">
        <w:t xml:space="preserve">Lab. Code, </w:t>
      </w:r>
      <w:r w:rsidR="009F698F" w:rsidRPr="00837317">
        <w:rPr>
          <w:rFonts w:cstheme="minorHAnsi"/>
        </w:rPr>
        <w:t>§</w:t>
      </w:r>
      <w:r w:rsidRPr="00837317">
        <w:rPr>
          <w:rFonts w:cstheme="minorHAnsi"/>
        </w:rPr>
        <w:t>§</w:t>
      </w:r>
      <w:r w:rsidRPr="00837317">
        <w:t> </w:t>
      </w:r>
      <w:r w:rsidR="009F698F">
        <w:t xml:space="preserve">2699, </w:t>
      </w:r>
      <w:r w:rsidRPr="00837317">
        <w:t xml:space="preserve">2699.3.) </w:t>
      </w:r>
      <w:r w:rsidR="0002284D">
        <w:t xml:space="preserve"> </w:t>
      </w:r>
      <w:r w:rsidRPr="00837317">
        <w:t>Manageability, however, is not one of the requirements and we see little reason to presume that the Legislature would intend for courts to have broad extra-statutory inherent authority to strike</w:t>
      </w:r>
      <w:r w:rsidR="00C1480A">
        <w:t xml:space="preserve"> </w:t>
      </w:r>
      <w:r w:rsidRPr="00837317">
        <w:t>PAGA claims that the Legislature has itself authori</w:t>
      </w:r>
      <w:r w:rsidRPr="00837317">
        <w:t>zed.  “[A]s a general practice, we leave to the Legislature the adoption and amendment of statewide rules governing trial court proceedings.”  (</w:t>
      </w:r>
      <w:bookmarkStart w:id="204" w:name="dabmci_8f007b3a6f214505b1fe2e164df0070d"/>
      <w:r w:rsidRPr="00837317">
        <w:rPr>
          <w:i/>
          <w:iCs/>
        </w:rPr>
        <w:t>Weiss</w:t>
      </w:r>
      <w:r w:rsidRPr="00837317">
        <w:t xml:space="preserve">, </w:t>
      </w:r>
      <w:r w:rsidRPr="00837317">
        <w:rPr>
          <w:i/>
          <w:iCs/>
        </w:rPr>
        <w:t>supra</w:t>
      </w:r>
      <w:r w:rsidRPr="00837317">
        <w:t>, 9 Cal.5th at p. 857</w:t>
      </w:r>
      <w:bookmarkEnd w:id="204"/>
      <w:r w:rsidRPr="00837317">
        <w:t>.)</w:t>
      </w:r>
    </w:p>
    <w:p w14:paraId="53FB68A4" w14:textId="77777777" w:rsidR="009F7E35" w:rsidRPr="00837317" w:rsidRDefault="007742F5" w:rsidP="00837317">
      <w:pPr>
        <w:ind w:firstLine="720"/>
      </w:pPr>
      <w:r w:rsidRPr="00837317">
        <w:t xml:space="preserve">Further, </w:t>
      </w:r>
      <w:r w:rsidR="008F2536" w:rsidRPr="00837317">
        <w:t>under PAGA,</w:t>
      </w:r>
      <w:r w:rsidR="00CF7F0B" w:rsidRPr="00837317">
        <w:t xml:space="preserve"> </w:t>
      </w:r>
      <w:r w:rsidR="00D902A6" w:rsidRPr="00837317">
        <w:t>“[e]mployees who were subjected to at least one unlawful practice have standing to serve as PAGA representatives even if they did not personally experience each and every alleged violation” (</w:t>
      </w:r>
      <w:bookmarkStart w:id="205" w:name="dabmci_64d615d51b9346dd8f222dabb50146ac"/>
      <w:r w:rsidR="00D902A6" w:rsidRPr="00837317">
        <w:rPr>
          <w:i/>
          <w:iCs/>
        </w:rPr>
        <w:t>Kim</w:t>
      </w:r>
      <w:r w:rsidR="00D902A6" w:rsidRPr="00837317">
        <w:t xml:space="preserve">, </w:t>
      </w:r>
      <w:r w:rsidR="00D902A6" w:rsidRPr="00837317">
        <w:rPr>
          <w:i/>
          <w:iCs/>
        </w:rPr>
        <w:t>supra</w:t>
      </w:r>
      <w:r w:rsidR="00D902A6" w:rsidRPr="00837317">
        <w:t>, 9 Cal.5th at p. 85</w:t>
      </w:r>
      <w:bookmarkEnd w:id="205"/>
      <w:r w:rsidR="00D902A6" w:rsidRPr="00837317">
        <w:t xml:space="preserve">) and </w:t>
      </w:r>
      <w:r w:rsidRPr="00837317">
        <w:t xml:space="preserve">a PAGA plaintiff may seek to recover civil penalties from an employer </w:t>
      </w:r>
      <w:r w:rsidRPr="00837317">
        <w:t>based on violations committed against the plaintiff and other employees without demonstrating that the violations stem from a uniform policy</w:t>
      </w:r>
      <w:r w:rsidR="00D902A6" w:rsidRPr="00837317">
        <w:t xml:space="preserve"> </w:t>
      </w:r>
      <w:r w:rsidR="004402AE" w:rsidRPr="00837317">
        <w:t>(</w:t>
      </w:r>
      <w:bookmarkStart w:id="206" w:name="dabmci_b9bbfa6daf1e4fc09d9b11acb181a988"/>
      <w:r w:rsidR="004402AE" w:rsidRPr="00837317">
        <w:rPr>
          <w:i/>
          <w:iCs/>
        </w:rPr>
        <w:t>Williams</w:t>
      </w:r>
      <w:r w:rsidR="004402AE" w:rsidRPr="00837317">
        <w:t xml:space="preserve">, </w:t>
      </w:r>
      <w:r w:rsidR="004402AE" w:rsidRPr="00837317">
        <w:rPr>
          <w:i/>
          <w:iCs/>
        </w:rPr>
        <w:t>supra</w:t>
      </w:r>
      <w:r w:rsidR="004402AE" w:rsidRPr="00837317">
        <w:t>, 3 Cal.5th at p. 559</w:t>
      </w:r>
      <w:bookmarkEnd w:id="206"/>
      <w:r w:rsidR="004402AE" w:rsidRPr="00837317">
        <w:t>)</w:t>
      </w:r>
      <w:r w:rsidR="00067867">
        <w:t>.</w:t>
      </w:r>
      <w:r w:rsidR="00F83BE4" w:rsidRPr="00837317">
        <w:t xml:space="preserve"> </w:t>
      </w:r>
      <w:r w:rsidR="003803C1" w:rsidRPr="00837317">
        <w:t xml:space="preserve"> </w:t>
      </w:r>
      <w:r w:rsidR="001923F8" w:rsidRPr="00717EED">
        <w:t>Thus</w:t>
      </w:r>
      <w:r w:rsidR="001923F8" w:rsidRPr="00837317">
        <w:t>, our precedent makes clear that</w:t>
      </w:r>
      <w:r w:rsidR="00716A04" w:rsidRPr="00837317">
        <w:t xml:space="preserve"> </w:t>
      </w:r>
      <w:r w:rsidR="004C725F" w:rsidRPr="00837317">
        <w:t>PAGA</w:t>
      </w:r>
      <w:r w:rsidR="00716A04" w:rsidRPr="00837317">
        <w:t xml:space="preserve"> permits a </w:t>
      </w:r>
      <w:r w:rsidR="004655E8" w:rsidRPr="00837317">
        <w:t>plaintiff to have representation</w:t>
      </w:r>
      <w:r w:rsidR="001923F8" w:rsidRPr="00837317">
        <w:t>al</w:t>
      </w:r>
      <w:r w:rsidR="004655E8" w:rsidRPr="00837317">
        <w:t xml:space="preserve"> standing to seek penalties on behalf of </w:t>
      </w:r>
      <w:r w:rsidR="004C725F" w:rsidRPr="00837317">
        <w:t>individuals</w:t>
      </w:r>
      <w:r w:rsidR="004655E8" w:rsidRPr="00837317">
        <w:t xml:space="preserve"> who </w:t>
      </w:r>
      <w:r w:rsidR="00212055" w:rsidRPr="00837317">
        <w:t xml:space="preserve">have allegedly suffered </w:t>
      </w:r>
      <w:r w:rsidR="00B37CB3" w:rsidRPr="00837317">
        <w:t>violations that</w:t>
      </w:r>
      <w:r w:rsidR="004655E8" w:rsidRPr="00837317">
        <w:t xml:space="preserve"> vary widely</w:t>
      </w:r>
      <w:r w:rsidR="001923F8" w:rsidRPr="00837317">
        <w:t xml:space="preserve"> in nature.</w:t>
      </w:r>
      <w:r w:rsidR="004655E8" w:rsidRPr="00837317">
        <w:t xml:space="preserve"> </w:t>
      </w:r>
      <w:r w:rsidR="00E71053">
        <w:t xml:space="preserve"> </w:t>
      </w:r>
      <w:r w:rsidR="00717EED">
        <w:t>T</w:t>
      </w:r>
      <w:r w:rsidR="008F2536" w:rsidRPr="00837317">
        <w:t>o</w:t>
      </w:r>
      <w:r w:rsidR="000D3AE4" w:rsidRPr="00837317">
        <w:t xml:space="preserve"> permit the striking</w:t>
      </w:r>
      <w:r w:rsidR="00626885">
        <w:t xml:space="preserve"> </w:t>
      </w:r>
      <w:r w:rsidR="000D3AE4" w:rsidRPr="00837317">
        <w:t xml:space="preserve">of such claims </w:t>
      </w:r>
      <w:r w:rsidR="00212055" w:rsidRPr="00837317">
        <w:t xml:space="preserve">merely </w:t>
      </w:r>
      <w:r w:rsidR="00A72BA8" w:rsidRPr="00837317">
        <w:t xml:space="preserve">because they require individual determination would </w:t>
      </w:r>
      <w:r w:rsidR="00A72BA8" w:rsidRPr="00837317">
        <w:lastRenderedPageBreak/>
        <w:t xml:space="preserve">deprive the State of the </w:t>
      </w:r>
      <w:r w:rsidR="00212055" w:rsidRPr="00837317">
        <w:t xml:space="preserve">very </w:t>
      </w:r>
      <w:r w:rsidR="00A72BA8" w:rsidRPr="00837317">
        <w:t>remedy the Legislature has authorized and would thereby defeat the purpose of the statute.</w:t>
      </w:r>
      <w:r w:rsidR="00D72403" w:rsidRPr="00837317">
        <w:t xml:space="preserve">  </w:t>
      </w:r>
      <w:r w:rsidR="001A6C82" w:rsidRPr="00837317">
        <w:t>This too supports the conclusion that</w:t>
      </w:r>
      <w:r w:rsidR="00160A55" w:rsidRPr="00837317">
        <w:t xml:space="preserve"> courts lack the inherent power to strik</w:t>
      </w:r>
      <w:r w:rsidR="00E71053">
        <w:t xml:space="preserve">e </w:t>
      </w:r>
      <w:r w:rsidR="00616416" w:rsidRPr="00837317">
        <w:t>PAGA claims</w:t>
      </w:r>
      <w:r w:rsidR="00067867">
        <w:t xml:space="preserve"> on manageability grounds</w:t>
      </w:r>
      <w:r w:rsidR="003803C1" w:rsidRPr="00837317">
        <w:t xml:space="preserve">. </w:t>
      </w:r>
      <w:r w:rsidR="00067867">
        <w:t xml:space="preserve"> </w:t>
      </w:r>
      <w:r w:rsidR="003803C1" w:rsidRPr="00837317">
        <w:t xml:space="preserve">(See </w:t>
      </w:r>
      <w:bookmarkStart w:id="207" w:name="dabmci_ee567a62c0424665b797a07115040ab1"/>
      <w:r w:rsidRPr="00837317">
        <w:rPr>
          <w:i/>
          <w:iCs/>
        </w:rPr>
        <w:t>Weiss</w:t>
      </w:r>
      <w:r w:rsidRPr="00837317">
        <w:t xml:space="preserve">, </w:t>
      </w:r>
      <w:r w:rsidRPr="00837317">
        <w:rPr>
          <w:i/>
          <w:iCs/>
        </w:rPr>
        <w:t>supra</w:t>
      </w:r>
      <w:r w:rsidRPr="00837317">
        <w:t xml:space="preserve">, 9 Cal.5th at </w:t>
      </w:r>
      <w:r w:rsidRPr="00837317">
        <w:t>p. 857</w:t>
      </w:r>
      <w:bookmarkEnd w:id="207"/>
      <w:r w:rsidRPr="00837317">
        <w:t xml:space="preserve"> [courts lack inherent authority to act in ways that conflict with statutes].)</w:t>
      </w:r>
      <w:r w:rsidR="002062A3">
        <w:t xml:space="preserve">  </w:t>
      </w:r>
      <w:r w:rsidR="002062A3" w:rsidRPr="002062A3">
        <w:t>In addition, the Legislature</w:t>
      </w:r>
      <w:r w:rsidR="002062A3">
        <w:t>’</w:t>
      </w:r>
      <w:r w:rsidR="002062A3" w:rsidRPr="002062A3">
        <w:t xml:space="preserve">s choice to authorize civil penalties rather than damages for a PAGA violation </w:t>
      </w:r>
      <w:r w:rsidR="002062A3">
        <w:t xml:space="preserve">may </w:t>
      </w:r>
      <w:r w:rsidR="002062A3" w:rsidRPr="002062A3">
        <w:t>help to lessen the manageability concerns inherent with these actions.</w:t>
      </w:r>
      <w:r w:rsidR="00183105">
        <w:t xml:space="preserve"> </w:t>
      </w:r>
      <w:r w:rsidR="002062A3" w:rsidRPr="002062A3">
        <w:t xml:space="preserve"> For although some individualized assessment is required to determine whether a violation occurred and the number of aggrieved employees, </w:t>
      </w:r>
      <w:r w:rsidR="002062A3">
        <w:t>a PAGA</w:t>
      </w:r>
      <w:r w:rsidR="002062A3" w:rsidRPr="002062A3">
        <w:t xml:space="preserve"> penalty is not keyed to the degree or quality of an individual</w:t>
      </w:r>
      <w:r w:rsidR="002062A3">
        <w:t>’</w:t>
      </w:r>
      <w:r w:rsidR="002062A3" w:rsidRPr="002062A3">
        <w:t xml:space="preserve">s injury, as is often the case with a damages remedy. </w:t>
      </w:r>
      <w:r w:rsidR="002062A3">
        <w:t xml:space="preserve"> </w:t>
      </w:r>
      <w:r w:rsidR="002062A3" w:rsidRPr="002062A3">
        <w:t>(See § 2699, subd. (f).)</w:t>
      </w:r>
    </w:p>
    <w:p w14:paraId="53FB68A5" w14:textId="77777777" w:rsidR="004B3578" w:rsidRPr="00837317" w:rsidRDefault="007742F5" w:rsidP="00837317">
      <w:pPr>
        <w:ind w:firstLine="720"/>
      </w:pPr>
      <w:bookmarkStart w:id="208" w:name="_Toc123211687"/>
      <w:bookmarkStart w:id="209" w:name="_Toc123211850"/>
      <w:bookmarkStart w:id="210" w:name="_Toc134627257"/>
      <w:bookmarkStart w:id="211" w:name="_Toc135051366"/>
      <w:bookmarkStart w:id="212" w:name="_Toc135058505"/>
      <w:r w:rsidRPr="00837317">
        <w:t>Class actions and PAGA actions also differ with respect to the relevance of federal law</w:t>
      </w:r>
      <w:bookmarkEnd w:id="208"/>
      <w:bookmarkEnd w:id="209"/>
      <w:bookmarkEnd w:id="210"/>
      <w:bookmarkEnd w:id="211"/>
      <w:bookmarkEnd w:id="212"/>
      <w:r w:rsidRPr="00837317">
        <w:t xml:space="preserve">.  California class action jurisprudence has long looked to federal law.  (See, e.g., </w:t>
      </w:r>
      <w:bookmarkStart w:id="213" w:name="dabmci_a82502d0f55d49158935a93ae4977446"/>
      <w:r w:rsidRPr="00837317">
        <w:rPr>
          <w:i/>
          <w:iCs/>
        </w:rPr>
        <w:t>Brinker</w:t>
      </w:r>
      <w:r w:rsidRPr="00837317">
        <w:t xml:space="preserve">, </w:t>
      </w:r>
      <w:r w:rsidRPr="00837317">
        <w:rPr>
          <w:i/>
          <w:iCs/>
        </w:rPr>
        <w:t>supra</w:t>
      </w:r>
      <w:r w:rsidRPr="00837317">
        <w:t>, 53 Cal.4th at p. 1021</w:t>
      </w:r>
      <w:bookmarkEnd w:id="213"/>
      <w:r w:rsidRPr="00837317">
        <w:t xml:space="preserve"> </w:t>
      </w:r>
      <w:r w:rsidRPr="00837317">
        <w:t>[“Drawing on . . .</w:t>
      </w:r>
      <w:r w:rsidRPr="00837317">
        <w:rPr>
          <w:i/>
          <w:iCs/>
        </w:rPr>
        <w:t> </w:t>
      </w:r>
      <w:r w:rsidRPr="00837317">
        <w:t xml:space="preserve">federal precedent, we have articulated clear requirements for the certification of a class”]; </w:t>
      </w:r>
      <w:bookmarkStart w:id="214" w:name="dabmci_83d59d24f1384a718d30d6950edc02cd"/>
      <w:r w:rsidRPr="00837317">
        <w:rPr>
          <w:i/>
          <w:iCs/>
        </w:rPr>
        <w:t>In re Tobacco II Cases</w:t>
      </w:r>
      <w:r w:rsidRPr="00837317">
        <w:t> (2009) 46 Cal.4th 298, 318</w:t>
      </w:r>
      <w:bookmarkEnd w:id="214"/>
      <w:r w:rsidRPr="00837317">
        <w:t xml:space="preserve"> [“This is demonstrated by federal law, to which we look when seeking guidance on issues of cl</w:t>
      </w:r>
      <w:r w:rsidRPr="00837317">
        <w:t xml:space="preserve">ass action procedure”]; </w:t>
      </w:r>
      <w:bookmarkStart w:id="215" w:name="dabmci_ef972cfba49544078d68c8c8ff89c167"/>
      <w:r w:rsidRPr="00837317">
        <w:rPr>
          <w:i/>
          <w:iCs/>
        </w:rPr>
        <w:t>Washington Mutual</w:t>
      </w:r>
      <w:r w:rsidRPr="00837317">
        <w:t xml:space="preserve">, </w:t>
      </w:r>
      <w:r w:rsidRPr="00837317">
        <w:rPr>
          <w:i/>
          <w:iCs/>
        </w:rPr>
        <w:t>supra</w:t>
      </w:r>
      <w:r w:rsidRPr="00837317">
        <w:t>, 24 Cal.4th at p. 922</w:t>
      </w:r>
      <w:bookmarkEnd w:id="215"/>
      <w:r w:rsidR="00A87975">
        <w:t xml:space="preserve"> </w:t>
      </w:r>
      <w:r w:rsidRPr="00837317">
        <w:t xml:space="preserve">[“we may look to the procedures governing federal class actions under [Rule 23] for guidance”]; </w:t>
      </w:r>
      <w:bookmarkStart w:id="216" w:name="dabmci_97ea26f32eb54b7bb7c7f3fa62712c49"/>
      <w:r w:rsidRPr="00837317">
        <w:rPr>
          <w:i/>
          <w:iCs/>
        </w:rPr>
        <w:t>Vasquez v. Superior Court</w:t>
      </w:r>
      <w:r w:rsidRPr="00837317">
        <w:t> (1971) 4 Cal.3d 800, 821 [“In the event of a hiatus, [Rule 23]</w:t>
      </w:r>
      <w:bookmarkEnd w:id="216"/>
      <w:r w:rsidRPr="00837317">
        <w:t xml:space="preserve"> </w:t>
      </w:r>
      <w:r w:rsidRPr="00837317">
        <w:t xml:space="preserve">prescribes procedural devices which a trial court may find useful”].)  And federal class action law contains an </w:t>
      </w:r>
      <w:r w:rsidRPr="00837317">
        <w:rPr>
          <w:i/>
          <w:iCs/>
        </w:rPr>
        <w:t>express</w:t>
      </w:r>
      <w:r w:rsidRPr="00837317">
        <w:t xml:space="preserve"> manageability requirement for Rule 23(b)(3) actions that instructs courts to consider “the likely difficulties in managing a class actio</w:t>
      </w:r>
      <w:r w:rsidRPr="00837317">
        <w:t>n</w:t>
      </w:r>
      <w:r w:rsidRPr="00837317">
        <w:rPr>
          <w:i/>
          <w:iCs/>
        </w:rPr>
        <w:t>.</w:t>
      </w:r>
      <w:r w:rsidRPr="00837317">
        <w:t xml:space="preserve">”  (Rule 23(b)(3)(d).)  </w:t>
      </w:r>
    </w:p>
    <w:p w14:paraId="53FB68A6" w14:textId="77777777" w:rsidR="004B3578" w:rsidRPr="00837317" w:rsidRDefault="007742F5" w:rsidP="00837317">
      <w:pPr>
        <w:ind w:firstLine="720"/>
      </w:pPr>
      <w:r w:rsidRPr="00837317">
        <w:lastRenderedPageBreak/>
        <w:t xml:space="preserve">In contrast, there is no federal PAGA analogue.  Rather, PAGA case law is exclusively rooted in the application of our Legislature’s enactment, which, as noted above, lacks a manageability requirement.  </w:t>
      </w:r>
    </w:p>
    <w:p w14:paraId="53FB68A7" w14:textId="77777777" w:rsidR="00214175" w:rsidRPr="00837317" w:rsidRDefault="007742F5" w:rsidP="00837317">
      <w:pPr>
        <w:ind w:firstLine="720"/>
      </w:pPr>
      <w:r w:rsidRPr="00837317">
        <w:t>In sum, class action requ</w:t>
      </w:r>
      <w:r w:rsidRPr="00837317">
        <w:t xml:space="preserve">irements, including manageability, developed in large measure from California courts’ assertion of their inherent </w:t>
      </w:r>
      <w:r w:rsidRPr="00837317">
        <w:rPr>
          <w:i/>
          <w:iCs/>
        </w:rPr>
        <w:t>equitable</w:t>
      </w:r>
      <w:r w:rsidRPr="00837317">
        <w:t xml:space="preserve"> powers as informed by federal law.  In contrast, a PAGA claim is a pure </w:t>
      </w:r>
      <w:r w:rsidRPr="00837317">
        <w:rPr>
          <w:i/>
          <w:iCs/>
        </w:rPr>
        <w:t>statutory</w:t>
      </w:r>
      <w:r w:rsidRPr="00837317">
        <w:t xml:space="preserve"> </w:t>
      </w:r>
      <w:r w:rsidR="00736826">
        <w:t>claim</w:t>
      </w:r>
      <w:r w:rsidRPr="00837317">
        <w:t xml:space="preserve"> arising under California law.  This differin</w:t>
      </w:r>
      <w:r w:rsidRPr="00837317">
        <w:t>g doctrinal basis for class and PAGA actions serves as an additional reason to conclude that trial courts lack inherent authority to impose a manageability requirement in PAGA actions.</w:t>
      </w:r>
      <w:r w:rsidR="008549D6" w:rsidRPr="00837317">
        <w:t xml:space="preserve">  </w:t>
      </w:r>
    </w:p>
    <w:p w14:paraId="53FB68A8" w14:textId="77777777" w:rsidR="008549D6" w:rsidRPr="00837317" w:rsidRDefault="007742F5" w:rsidP="00837317">
      <w:pPr>
        <w:ind w:firstLine="720"/>
      </w:pPr>
      <w:r w:rsidRPr="00837317">
        <w:t>For all these reasons, we conclude the Court of Appeal properly deter</w:t>
      </w:r>
      <w:r w:rsidRPr="00837317">
        <w:t xml:space="preserve">mined that a trial court’s authority to limit </w:t>
      </w:r>
      <w:r w:rsidRPr="00837317">
        <w:rPr>
          <w:i/>
          <w:iCs/>
        </w:rPr>
        <w:t>class</w:t>
      </w:r>
      <w:r w:rsidRPr="00837317">
        <w:t xml:space="preserve"> claims on manageability grounds does not support the conclusion that trial courts also possess inherent authority to strike</w:t>
      </w:r>
      <w:r w:rsidR="00120B34">
        <w:t xml:space="preserve"> </w:t>
      </w:r>
      <w:r w:rsidRPr="00837317">
        <w:rPr>
          <w:i/>
          <w:iCs/>
        </w:rPr>
        <w:t>PAGA</w:t>
      </w:r>
      <w:r w:rsidRPr="00837317">
        <w:t xml:space="preserve"> claims on manageability grounds.</w:t>
      </w:r>
    </w:p>
    <w:p w14:paraId="53FB68A9" w14:textId="77777777" w:rsidR="002952B0" w:rsidRPr="00837317" w:rsidRDefault="007742F5" w:rsidP="00837317">
      <w:pPr>
        <w:pStyle w:val="Heading2"/>
        <w:numPr>
          <w:ilvl w:val="0"/>
          <w:numId w:val="5"/>
        </w:numPr>
        <w:tabs>
          <w:tab w:val="clear" w:pos="1152"/>
        </w:tabs>
      </w:pPr>
      <w:r w:rsidRPr="00837317">
        <w:t>Representative UCL</w:t>
      </w:r>
      <w:r w:rsidRPr="00837317">
        <w:t xml:space="preserve"> Claims Are Inapposite</w:t>
      </w:r>
    </w:p>
    <w:p w14:paraId="53FB68AA" w14:textId="77777777" w:rsidR="00DF6089" w:rsidRPr="00837317" w:rsidRDefault="007742F5" w:rsidP="00837317">
      <w:pPr>
        <w:ind w:firstLine="720"/>
      </w:pPr>
      <w:r w:rsidRPr="00837317">
        <w:t xml:space="preserve">Royalty and amicus </w:t>
      </w:r>
      <w:r w:rsidR="00203DF3" w:rsidRPr="00837317">
        <w:t xml:space="preserve">curiae </w:t>
      </w:r>
      <w:r w:rsidR="00A82FB8">
        <w:t>Chamber of Commerce</w:t>
      </w:r>
      <w:r w:rsidRPr="00837317">
        <w:t xml:space="preserve"> claim that </w:t>
      </w:r>
      <w:r w:rsidR="007572D7">
        <w:t xml:space="preserve">appellate </w:t>
      </w:r>
      <w:r w:rsidRPr="00837317">
        <w:t xml:space="preserve">courts have recognized that trial courts have the broad inherent authority to strike pre-2004 UCL representative </w:t>
      </w:r>
      <w:r w:rsidRPr="00837317">
        <w:lastRenderedPageBreak/>
        <w:t>claims,</w:t>
      </w:r>
      <w:r>
        <w:rPr>
          <w:rStyle w:val="FootnoteReference"/>
        </w:rPr>
        <w:footnoteReference w:id="29"/>
      </w:r>
      <w:r w:rsidRPr="00837317">
        <w:t xml:space="preserve"> and that courts have similar inherent autho</w:t>
      </w:r>
      <w:r w:rsidRPr="00837317">
        <w:t>rity to strike PAGA claims.</w:t>
      </w:r>
      <w:r>
        <w:rPr>
          <w:rStyle w:val="FootnoteReference"/>
        </w:rPr>
        <w:footnoteReference w:id="30"/>
      </w:r>
      <w:r w:rsidRPr="00837317">
        <w:t xml:space="preserve"> </w:t>
      </w:r>
      <w:r w:rsidR="00247366">
        <w:t xml:space="preserve"> </w:t>
      </w:r>
      <w:r w:rsidRPr="00837317">
        <w:t>We are not persuaded</w:t>
      </w:r>
      <w:r w:rsidR="00860D73">
        <w:t xml:space="preserve"> by this argument</w:t>
      </w:r>
      <w:r w:rsidRPr="00837317">
        <w:t>.</w:t>
      </w:r>
      <w:bookmarkStart w:id="220" w:name="_Toc123211691"/>
      <w:bookmarkStart w:id="221" w:name="_Toc123211854"/>
      <w:bookmarkStart w:id="222" w:name="_Toc134627261"/>
      <w:bookmarkStart w:id="223" w:name="_Toc135051370"/>
      <w:bookmarkStart w:id="224" w:name="_Toc135058509"/>
      <w:bookmarkStart w:id="225" w:name="_Hlk133928189"/>
    </w:p>
    <w:p w14:paraId="53FB68AB" w14:textId="77777777" w:rsidR="00FD3CF0" w:rsidRDefault="007742F5" w:rsidP="00837317">
      <w:pPr>
        <w:ind w:firstLine="720"/>
      </w:pPr>
      <w:r w:rsidRPr="00837317">
        <w:t>L</w:t>
      </w:r>
      <w:r w:rsidR="008549D6" w:rsidRPr="00837317">
        <w:t>ike class actions, but unlike PAGA claims, the right to bring a pre-2004 UCL representative claim arose out</w:t>
      </w:r>
      <w:bookmarkEnd w:id="220"/>
      <w:bookmarkEnd w:id="221"/>
      <w:r w:rsidR="008549D6" w:rsidRPr="00837317">
        <w:t xml:space="preserve"> of courts’ exercise of their inherent equitable powers</w:t>
      </w:r>
      <w:bookmarkEnd w:id="222"/>
      <w:bookmarkEnd w:id="223"/>
      <w:bookmarkEnd w:id="224"/>
      <w:r w:rsidR="00072E45" w:rsidRPr="00837317">
        <w:t xml:space="preserve">.  </w:t>
      </w:r>
      <w:bookmarkEnd w:id="225"/>
      <w:r w:rsidR="008549D6" w:rsidRPr="00837317">
        <w:t xml:space="preserve">Specifically, in </w:t>
      </w:r>
      <w:bookmarkStart w:id="226" w:name="dabmci_69d24bc3dfdc4ca19b4f1feccc4e8443"/>
      <w:r w:rsidR="008549D6" w:rsidRPr="00837317">
        <w:rPr>
          <w:i/>
          <w:iCs/>
        </w:rPr>
        <w:t xml:space="preserve">People v. Superior Court </w:t>
      </w:r>
      <w:r w:rsidR="008549D6" w:rsidRPr="00837317">
        <w:t>(</w:t>
      </w:r>
      <w:r w:rsidR="008549D6" w:rsidRPr="00837317">
        <w:rPr>
          <w:i/>
          <w:iCs/>
        </w:rPr>
        <w:t>Jayhill Corp.</w:t>
      </w:r>
      <w:r w:rsidR="008549D6" w:rsidRPr="00837317">
        <w:t>) (1973) 9 Cal.3d 283</w:t>
      </w:r>
      <w:bookmarkEnd w:id="226"/>
      <w:r w:rsidR="008549D6" w:rsidRPr="00837317">
        <w:t xml:space="preserve">, this court concluded that courts had inherent equitable powers to award restitution as ancillary relief in an action seeking an injunction under the UCL as it then existed.  (See </w:t>
      </w:r>
      <w:bookmarkStart w:id="227" w:name="dabmci_d290094998894a5a9ad143e863a43b49"/>
      <w:r w:rsidR="008549D6" w:rsidRPr="00837317">
        <w:rPr>
          <w:i/>
          <w:iCs/>
        </w:rPr>
        <w:t>Jayhill</w:t>
      </w:r>
      <w:r w:rsidR="003F187F" w:rsidRPr="00837317">
        <w:rPr>
          <w:i/>
          <w:iCs/>
        </w:rPr>
        <w:t xml:space="preserve"> Corp.</w:t>
      </w:r>
      <w:r w:rsidR="008549D6" w:rsidRPr="00837317">
        <w:t>, at p. 286</w:t>
      </w:r>
      <w:bookmarkEnd w:id="227"/>
      <w:r w:rsidR="008549D6" w:rsidRPr="00837317">
        <w:t xml:space="preserve"> [“In particular, in an action by the Attorney General under </w:t>
      </w:r>
      <w:r w:rsidR="003F187F" w:rsidRPr="00837317">
        <w:t xml:space="preserve">[Business and Professions Code] </w:t>
      </w:r>
      <w:r w:rsidR="008549D6" w:rsidRPr="00837317">
        <w:t xml:space="preserve">section 17535 a trial court has the inherent power to order, as a form of ancillary relief, that the defendants make or offer to make restitution to the customers found to have been defrauded”].)  </w:t>
      </w:r>
    </w:p>
    <w:p w14:paraId="53FB68AC" w14:textId="77777777" w:rsidR="008549D6" w:rsidRPr="00837317" w:rsidRDefault="007742F5" w:rsidP="00837317">
      <w:pPr>
        <w:ind w:firstLine="720"/>
      </w:pPr>
      <w:r w:rsidRPr="00837317">
        <w:t xml:space="preserve">In </w:t>
      </w:r>
      <w:bookmarkStart w:id="228" w:name="dabmci_ba1d8620f45349069358c110f8b836ce"/>
      <w:r w:rsidRPr="00837317">
        <w:rPr>
          <w:i/>
          <w:iCs/>
        </w:rPr>
        <w:t>Fletcher v. Security Pacific National Bank</w:t>
      </w:r>
      <w:r w:rsidRPr="00837317">
        <w:t xml:space="preserve"> (1979) 23 Cal.3d 442</w:t>
      </w:r>
      <w:bookmarkEnd w:id="228"/>
      <w:r w:rsidRPr="00837317">
        <w:t>, we recognized that a trial court also had the concomitant power to decline to exercise such inherent powers to permit a non-class representative UC</w:t>
      </w:r>
      <w:r w:rsidRPr="00837317">
        <w:t xml:space="preserve">L action and could </w:t>
      </w:r>
      <w:r w:rsidRPr="00837317">
        <w:lastRenderedPageBreak/>
        <w:t>instead require the case to “proceed[] as a class action.”  (</w:t>
      </w:r>
      <w:bookmarkStart w:id="229" w:name="dabmci_c2bea6365d7943fea47ebdf08223f8ae"/>
      <w:r w:rsidRPr="00837317">
        <w:rPr>
          <w:i/>
          <w:iCs/>
        </w:rPr>
        <w:t>Fletcher</w:t>
      </w:r>
      <w:r w:rsidRPr="00837317">
        <w:t>, at p. 454</w:t>
      </w:r>
      <w:bookmarkEnd w:id="229"/>
      <w:r w:rsidRPr="00837317">
        <w:t>.)  We explained, “Before exercising its discretion, the trial court must carefully weigh both the advantages and disadvantages of an individual action again</w:t>
      </w:r>
      <w:r w:rsidRPr="00837317">
        <w:t>st the burdens and benefits of a class proceeding for the underlying suit.”</w:t>
      </w:r>
      <w:r>
        <w:rPr>
          <w:rStyle w:val="FootnoteReference"/>
        </w:rPr>
        <w:footnoteReference w:id="31"/>
      </w:r>
      <w:r w:rsidRPr="00837317">
        <w:t xml:space="preserve">  (</w:t>
      </w:r>
      <w:bookmarkStart w:id="231" w:name="dabmci_2dd6d84c48c94714bc0f6be3dda0678f"/>
      <w:r w:rsidRPr="00837317">
        <w:rPr>
          <w:i/>
          <w:iCs/>
        </w:rPr>
        <w:t>Ibid</w:t>
      </w:r>
      <w:r w:rsidRPr="00837317">
        <w:t>.</w:t>
      </w:r>
      <w:bookmarkEnd w:id="231"/>
      <w:r w:rsidRPr="00837317">
        <w:t xml:space="preserve">; see also </w:t>
      </w:r>
      <w:bookmarkStart w:id="232" w:name="dabmci_6df19d30dc6e4c99813ac9cb58482f6d"/>
      <w:r w:rsidRPr="00837317">
        <w:rPr>
          <w:i/>
          <w:iCs/>
        </w:rPr>
        <w:t>Kraus</w:t>
      </w:r>
      <w:r w:rsidRPr="00837317">
        <w:t xml:space="preserve">, </w:t>
      </w:r>
      <w:r w:rsidRPr="00837317">
        <w:rPr>
          <w:i/>
          <w:iCs/>
        </w:rPr>
        <w:t>supra</w:t>
      </w:r>
      <w:r w:rsidRPr="00837317">
        <w:t>, 23 Cal.4th at p. 138</w:t>
      </w:r>
      <w:bookmarkEnd w:id="232"/>
      <w:r w:rsidRPr="00837317">
        <w:t xml:space="preserve"> [“We note, moreover, that, because a UCL action is one in equity, in any case in which a defendant can demonstrate a potentia</w:t>
      </w:r>
      <w:r w:rsidRPr="00837317">
        <w:t>l for harm or show that the action is not one brought by a competent plaintiff for the benefit of injured parties, the court may decline to entertain the action as a representative suit”].)</w:t>
      </w:r>
    </w:p>
    <w:p w14:paraId="53FB68AD" w14:textId="77777777" w:rsidR="003333E9" w:rsidRDefault="007742F5" w:rsidP="00BE58E7">
      <w:pPr>
        <w:ind w:firstLine="720"/>
      </w:pPr>
      <w:r>
        <w:t xml:space="preserve">Thus, </w:t>
      </w:r>
      <w:r w:rsidR="003401E2">
        <w:t>in considering whether to permit</w:t>
      </w:r>
      <w:r>
        <w:t xml:space="preserve"> pre-2004 </w:t>
      </w:r>
      <w:r w:rsidRPr="00837317">
        <w:t>UCL representative</w:t>
      </w:r>
      <w:r w:rsidRPr="00837317">
        <w:t xml:space="preserve"> claim</w:t>
      </w:r>
      <w:r>
        <w:t xml:space="preserve">s, </w:t>
      </w:r>
      <w:r w:rsidR="00C4413E">
        <w:t xml:space="preserve">courts were free to exercise their inherent equitable powers </w:t>
      </w:r>
      <w:r w:rsidR="00A66957">
        <w:t xml:space="preserve">without concern </w:t>
      </w:r>
      <w:r w:rsidR="003401E2">
        <w:t>about</w:t>
      </w:r>
      <w:r w:rsidR="00A66957">
        <w:t xml:space="preserve"> unduly truncating </w:t>
      </w:r>
      <w:r w:rsidR="009F2EFA">
        <w:t xml:space="preserve">legislative power authorizing such </w:t>
      </w:r>
      <w:r w:rsidR="00C5667F">
        <w:t>claims</w:t>
      </w:r>
      <w:r w:rsidR="009F2EFA">
        <w:t>.</w:t>
      </w:r>
      <w:r>
        <w:t xml:space="preserve">  </w:t>
      </w:r>
      <w:r w:rsidR="008549D6" w:rsidRPr="00837317">
        <w:t xml:space="preserve">In contrast, </w:t>
      </w:r>
      <w:r w:rsidR="009960E7" w:rsidRPr="00837317">
        <w:t xml:space="preserve">as already explained, </w:t>
      </w:r>
      <w:r w:rsidR="008549D6" w:rsidRPr="00837317">
        <w:t xml:space="preserve">the right to bring a statutory </w:t>
      </w:r>
      <w:r w:rsidR="004C20D2">
        <w:t>claim</w:t>
      </w:r>
      <w:r w:rsidR="008549D6" w:rsidRPr="00837317">
        <w:t xml:space="preserve"> under PAGA is not rooted in </w:t>
      </w:r>
      <w:r w:rsidR="00304563">
        <w:t>a</w:t>
      </w:r>
      <w:r w:rsidR="008549D6" w:rsidRPr="00837317">
        <w:t xml:space="preserve"> court’s inherent equitable powers.</w:t>
      </w:r>
      <w:r>
        <w:rPr>
          <w:rStyle w:val="FootnoteReference"/>
        </w:rPr>
        <w:footnoteReference w:id="32"/>
      </w:r>
      <w:r w:rsidR="008549D6" w:rsidRPr="00837317">
        <w:t xml:space="preserve">  Rather, the private right of action provided in PAGA was specifically authorized by the Legislature to counter systematic underenforcement of labor laws.  Thus, the jurisprudential history that serves as the basis for exercising </w:t>
      </w:r>
      <w:r w:rsidR="00A82FB8">
        <w:t xml:space="preserve">judicial </w:t>
      </w:r>
      <w:r w:rsidR="008549D6" w:rsidRPr="00837317">
        <w:t xml:space="preserve">inherent </w:t>
      </w:r>
      <w:r w:rsidR="008549D6" w:rsidRPr="00837317">
        <w:lastRenderedPageBreak/>
        <w:t>powers with respect to pre-2004 UCL representative claims is lacking for PAGA claims.</w:t>
      </w:r>
      <w:r>
        <w:rPr>
          <w:rStyle w:val="FootnoteReference"/>
        </w:rPr>
        <w:footnoteReference w:id="33"/>
      </w:r>
    </w:p>
    <w:p w14:paraId="53FB68AE" w14:textId="2E7BC92C" w:rsidR="00404579" w:rsidRPr="00837317" w:rsidRDefault="00404C92" w:rsidP="00CF17C8">
      <w:pPr>
        <w:pStyle w:val="Heading2"/>
        <w:keepLines/>
        <w:numPr>
          <w:ilvl w:val="0"/>
          <w:numId w:val="5"/>
        </w:numPr>
        <w:tabs>
          <w:tab w:val="clear" w:pos="1152"/>
        </w:tabs>
      </w:pPr>
      <w:r>
        <w:t>Royalty</w:t>
      </w:r>
      <w:r w:rsidR="002102F7">
        <w:t xml:space="preserve"> </w:t>
      </w:r>
      <w:r w:rsidR="00520DC2">
        <w:t>H</w:t>
      </w:r>
      <w:r w:rsidR="002102F7">
        <w:t xml:space="preserve">as </w:t>
      </w:r>
      <w:r w:rsidR="00520DC2">
        <w:t>N</w:t>
      </w:r>
      <w:r w:rsidR="002102F7">
        <w:t xml:space="preserve">ot Demonstrated </w:t>
      </w:r>
      <w:r w:rsidR="00520DC2">
        <w:t>A</w:t>
      </w:r>
      <w:r w:rsidR="002160B8">
        <w:t xml:space="preserve">ny Potential Violation of </w:t>
      </w:r>
      <w:r w:rsidR="00300ADE">
        <w:t>I</w:t>
      </w:r>
      <w:r w:rsidR="002160B8">
        <w:t>ts Right to Due Process</w:t>
      </w:r>
      <w:r w:rsidR="00B70E2C">
        <w:t>,</w:t>
      </w:r>
      <w:r w:rsidR="002160B8">
        <w:t xml:space="preserve"> </w:t>
      </w:r>
      <w:r w:rsidR="00BF48B6">
        <w:t>and</w:t>
      </w:r>
      <w:r w:rsidR="004E28F4">
        <w:t xml:space="preserve"> </w:t>
      </w:r>
      <w:r w:rsidR="00A03EAF">
        <w:t xml:space="preserve">We </w:t>
      </w:r>
      <w:r w:rsidR="006764E0">
        <w:t xml:space="preserve">Decline </w:t>
      </w:r>
      <w:r w:rsidR="00F51E78">
        <w:t xml:space="preserve">To </w:t>
      </w:r>
      <w:r w:rsidR="006764E0">
        <w:t xml:space="preserve">Decide Any Hypothetical Due Process Claims </w:t>
      </w:r>
      <w:r w:rsidR="00837B51">
        <w:t>Not</w:t>
      </w:r>
      <w:r w:rsidR="006764E0">
        <w:t xml:space="preserve"> Presented </w:t>
      </w:r>
      <w:r w:rsidR="000B562F">
        <w:t>in This Case</w:t>
      </w:r>
      <w:r w:rsidR="006764E0">
        <w:t xml:space="preserve"> </w:t>
      </w:r>
    </w:p>
    <w:p w14:paraId="53FB68AF" w14:textId="77777777" w:rsidR="008B4C03" w:rsidRDefault="007742F5" w:rsidP="004E28F4">
      <w:pPr>
        <w:ind w:firstLine="720"/>
      </w:pPr>
      <w:r w:rsidRPr="006F1E07">
        <w:t xml:space="preserve">Royalty’s brief </w:t>
      </w:r>
      <w:r w:rsidR="00D75C11">
        <w:t xml:space="preserve">also </w:t>
      </w:r>
      <w:r w:rsidR="00173A65">
        <w:t xml:space="preserve">could </w:t>
      </w:r>
      <w:r w:rsidRPr="006F1E07">
        <w:t xml:space="preserve">be read to raise the claim that </w:t>
      </w:r>
      <w:r w:rsidR="00B513F3">
        <w:t xml:space="preserve">the </w:t>
      </w:r>
      <w:r w:rsidRPr="006F1E07">
        <w:t>retrial of th</w:t>
      </w:r>
      <w:r w:rsidR="00747AF7">
        <w:t>e plaintiffs</w:t>
      </w:r>
      <w:r w:rsidR="00111101">
        <w:t>’</w:t>
      </w:r>
      <w:r w:rsidRPr="006F1E07">
        <w:t xml:space="preserve"> </w:t>
      </w:r>
      <w:r w:rsidR="00296C9D">
        <w:t xml:space="preserve">representative </w:t>
      </w:r>
      <w:r w:rsidRPr="006F1E07">
        <w:t>PAGA claim mandated by the Court of Appeal w</w:t>
      </w:r>
      <w:r w:rsidR="00973C02">
        <w:t>ill</w:t>
      </w:r>
      <w:r w:rsidRPr="006F1E07">
        <w:t xml:space="preserve"> violate its right to </w:t>
      </w:r>
      <w:r w:rsidRPr="00717EED">
        <w:t>due process</w:t>
      </w:r>
      <w:r w:rsidR="007168A0">
        <w:t xml:space="preserve">.  </w:t>
      </w:r>
      <w:r w:rsidR="0025654B" w:rsidRPr="005F1E2E">
        <w:t>W</w:t>
      </w:r>
      <w:r w:rsidR="007168A0" w:rsidRPr="005F1E2E">
        <w:t>e are unpersuaded</w:t>
      </w:r>
      <w:r w:rsidR="007168A0">
        <w:t xml:space="preserve">. </w:t>
      </w:r>
      <w:r w:rsidRPr="006F1E07">
        <w:t xml:space="preserve"> </w:t>
      </w:r>
    </w:p>
    <w:p w14:paraId="53FB68B0" w14:textId="77777777" w:rsidR="00576464" w:rsidRPr="00837317" w:rsidRDefault="007742F5" w:rsidP="00576464">
      <w:pPr>
        <w:ind w:firstLine="720"/>
      </w:pPr>
      <w:r>
        <w:t>Royalty argues</w:t>
      </w:r>
      <w:r w:rsidR="001755E2">
        <w:t xml:space="preserve"> that</w:t>
      </w:r>
      <w:r w:rsidR="00AB6337">
        <w:t xml:space="preserve"> </w:t>
      </w:r>
      <w:r w:rsidR="00E317D1">
        <w:t>d</w:t>
      </w:r>
      <w:r w:rsidR="00613DDB" w:rsidRPr="00613DDB">
        <w:t>efendants, including employers in class or representative actions, have a</w:t>
      </w:r>
      <w:r w:rsidR="00E317D1">
        <w:t xml:space="preserve"> due process right to present an affirmative defense.</w:t>
      </w:r>
      <w:r w:rsidR="00D14C93">
        <w:t xml:space="preserve">  </w:t>
      </w:r>
      <w:r w:rsidR="00160DAB">
        <w:t xml:space="preserve">(Citing </w:t>
      </w:r>
      <w:bookmarkStart w:id="242" w:name="dabmci_82379d3af714485aa22cfd5b62ba72e0"/>
      <w:r w:rsidR="00A62190" w:rsidRPr="00A62190">
        <w:rPr>
          <w:i/>
          <w:iCs/>
        </w:rPr>
        <w:t xml:space="preserve">Duran, </w:t>
      </w:r>
      <w:r w:rsidR="00160DAB" w:rsidRPr="00A62190">
        <w:rPr>
          <w:i/>
          <w:iCs/>
        </w:rPr>
        <w:t>supra</w:t>
      </w:r>
      <w:r w:rsidR="00160DAB">
        <w:t>,</w:t>
      </w:r>
      <w:r w:rsidR="00160DAB" w:rsidRPr="00160DAB">
        <w:t xml:space="preserve"> 59</w:t>
      </w:r>
      <w:r w:rsidR="000A42E5">
        <w:t> </w:t>
      </w:r>
      <w:r w:rsidR="00160DAB" w:rsidRPr="00160DAB">
        <w:t xml:space="preserve">Cal.4th </w:t>
      </w:r>
      <w:r w:rsidR="00A62190">
        <w:t xml:space="preserve">at p. </w:t>
      </w:r>
      <w:r w:rsidR="00160DAB" w:rsidRPr="00160DAB">
        <w:t>33</w:t>
      </w:r>
      <w:bookmarkEnd w:id="242"/>
      <w:r w:rsidR="00A62190">
        <w:t xml:space="preserve">.) </w:t>
      </w:r>
      <w:r w:rsidR="006D02E4">
        <w:t xml:space="preserve"> </w:t>
      </w:r>
      <w:r>
        <w:t>We a</w:t>
      </w:r>
      <w:r>
        <w:t>gree</w:t>
      </w:r>
      <w:r w:rsidR="002143EA">
        <w:t>.</w:t>
      </w:r>
      <w:r w:rsidR="00803AD6">
        <w:t xml:space="preserve">  In discussing class actions in </w:t>
      </w:r>
      <w:bookmarkStart w:id="243" w:name="dabmci_d8a52877844b4c759eca793572e5c636"/>
      <w:r w:rsidR="00803AD6" w:rsidRPr="00803AD6">
        <w:rPr>
          <w:i/>
          <w:iCs/>
        </w:rPr>
        <w:t>Duran</w:t>
      </w:r>
      <w:bookmarkEnd w:id="243"/>
      <w:r w:rsidR="00803AD6">
        <w:t>, we said</w:t>
      </w:r>
      <w:r w:rsidR="00B70E2C">
        <w:t xml:space="preserve"> that</w:t>
      </w:r>
      <w:r w:rsidR="00A750F4">
        <w:t xml:space="preserve"> </w:t>
      </w:r>
      <w:r w:rsidRPr="00837317">
        <w:t>“defendants must have an opportunity to present proof of their affirmative defenses.</w:t>
      </w:r>
      <w:r w:rsidR="00803AD6">
        <w:t>”</w:t>
      </w:r>
      <w:r w:rsidR="00FF2D5C">
        <w:t xml:space="preserve"> </w:t>
      </w:r>
      <w:r w:rsidR="001A3F8A">
        <w:t xml:space="preserve"> </w:t>
      </w:r>
      <w:r w:rsidR="00FF2D5C">
        <w:t>(</w:t>
      </w:r>
      <w:r w:rsidR="006F1F3E">
        <w:rPr>
          <w:i/>
          <w:iCs/>
        </w:rPr>
        <w:t>Id</w:t>
      </w:r>
      <w:r w:rsidR="006F1F3E" w:rsidRPr="00AD5A51">
        <w:t>.</w:t>
      </w:r>
      <w:r w:rsidR="00FF2D5C">
        <w:t xml:space="preserve"> at p.</w:t>
      </w:r>
      <w:r w:rsidR="000A42E5">
        <w:t> </w:t>
      </w:r>
      <w:r w:rsidR="00FF2D5C">
        <w:t>38.)</w:t>
      </w:r>
      <w:r w:rsidR="003F172D">
        <w:t xml:space="preserve">  The</w:t>
      </w:r>
      <w:r w:rsidR="008923A0">
        <w:t>re</w:t>
      </w:r>
      <w:r w:rsidR="003F172D">
        <w:t xml:space="preserve"> </w:t>
      </w:r>
      <w:r w:rsidR="008923A0" w:rsidRPr="008923A0">
        <w:lastRenderedPageBreak/>
        <w:t>is no reason to think defendants have lesser due process rights in defending against representative</w:t>
      </w:r>
      <w:r w:rsidR="00A624FB">
        <w:t xml:space="preserve"> </w:t>
      </w:r>
      <w:r w:rsidR="008923A0" w:rsidRPr="008923A0">
        <w:t>PAGA claims.</w:t>
      </w:r>
    </w:p>
    <w:p w14:paraId="53FB68B1" w14:textId="77777777" w:rsidR="007F0BCF" w:rsidRDefault="007742F5" w:rsidP="00EB20E3">
      <w:pPr>
        <w:ind w:firstLine="720"/>
      </w:pPr>
      <w:r>
        <w:t xml:space="preserve">However, </w:t>
      </w:r>
      <w:r w:rsidRPr="00837317">
        <w:t xml:space="preserve">we reject Royalty’s and amici curiae’s suggestion that a defendant’s right to present an affirmative defense as recognized in </w:t>
      </w:r>
      <w:bookmarkStart w:id="244" w:name="dabmci_3ac2a2243a8049dcb5403ac3b95225fe"/>
      <w:r w:rsidRPr="00837317">
        <w:rPr>
          <w:i/>
          <w:iCs/>
        </w:rPr>
        <w:t>Duran</w:t>
      </w:r>
      <w:r w:rsidRPr="00837317">
        <w:t xml:space="preserve">, </w:t>
      </w:r>
      <w:r w:rsidRPr="00837317">
        <w:rPr>
          <w:i/>
          <w:iCs/>
        </w:rPr>
        <w:t>supra</w:t>
      </w:r>
      <w:r w:rsidRPr="00837317">
        <w:t>, 59 Cal.4th at page 27</w:t>
      </w:r>
      <w:bookmarkEnd w:id="244"/>
      <w:r w:rsidRPr="00837317">
        <w:t>, carries with it a concomitant right to present t</w:t>
      </w:r>
      <w:r w:rsidRPr="00837317">
        <w:t>he testimon</w:t>
      </w:r>
      <w:r w:rsidR="002B32CA">
        <w:t>y</w:t>
      </w:r>
      <w:r w:rsidRPr="00837317">
        <w:t xml:space="preserve"> of an unlimited number of individual employees in support of such affirmative defense.</w:t>
      </w:r>
      <w:r w:rsidR="006F5385">
        <w:t xml:space="preserve">  </w:t>
      </w:r>
      <w:r w:rsidRPr="00837317">
        <w:t xml:space="preserve">Indeed, in </w:t>
      </w:r>
      <w:bookmarkStart w:id="245" w:name="dabmci_b2de4eafc9384c899d401ba37d0e3747"/>
      <w:r w:rsidRPr="00837317">
        <w:rPr>
          <w:i/>
          <w:iCs/>
        </w:rPr>
        <w:t>Duran</w:t>
      </w:r>
      <w:bookmarkEnd w:id="245"/>
      <w:r w:rsidRPr="00837317">
        <w:t xml:space="preserve">, </w:t>
      </w:r>
      <w:r w:rsidR="001A3F8A">
        <w:t xml:space="preserve">immediately after stating that </w:t>
      </w:r>
      <w:r w:rsidR="001A3F8A" w:rsidRPr="00837317">
        <w:t>“defendants must have an opportunity to present proof of their affirmative defenses</w:t>
      </w:r>
      <w:r w:rsidR="004F0F34">
        <w:t>,</w:t>
      </w:r>
      <w:r w:rsidR="001A3F8A">
        <w:t>”</w:t>
      </w:r>
      <w:r w:rsidR="004F0F34">
        <w:t xml:space="preserve"> we added</w:t>
      </w:r>
      <w:r w:rsidR="00A304F6">
        <w:t xml:space="preserve"> that such adjudication is to occur</w:t>
      </w:r>
      <w:r w:rsidR="00EB20E3">
        <w:t xml:space="preserve"> </w:t>
      </w:r>
      <w:r w:rsidR="00656739">
        <w:t>“</w:t>
      </w:r>
      <w:r w:rsidR="00656739" w:rsidRPr="00656739">
        <w:t>within whatever method the court and the parties fashion to try these issues</w:t>
      </w:r>
      <w:r w:rsidR="00656739">
        <w:t>.”</w:t>
      </w:r>
      <w:r w:rsidR="001A3F8A">
        <w:t xml:space="preserve">  (</w:t>
      </w:r>
      <w:bookmarkStart w:id="246" w:name="dabmci_34db7b4763d8475b88f1cc5b631e89d1"/>
      <w:r w:rsidR="006F1F3E">
        <w:rPr>
          <w:i/>
          <w:iCs/>
        </w:rPr>
        <w:t>Id</w:t>
      </w:r>
      <w:r w:rsidR="006F1F3E" w:rsidRPr="00AD5A51">
        <w:t>.</w:t>
      </w:r>
      <w:r w:rsidR="001A3F8A">
        <w:t xml:space="preserve"> at p. 38</w:t>
      </w:r>
      <w:bookmarkEnd w:id="246"/>
      <w:r w:rsidR="001A3F8A">
        <w:t>.)</w:t>
      </w:r>
    </w:p>
    <w:p w14:paraId="53FB68B2" w14:textId="77777777" w:rsidR="00D06F3C" w:rsidRDefault="007742F5" w:rsidP="00EB20E3">
      <w:pPr>
        <w:ind w:firstLine="720"/>
      </w:pPr>
      <w:r>
        <w:t>In fact</w:t>
      </w:r>
      <w:r w:rsidR="00EB20E3">
        <w:t xml:space="preserve">, we </w:t>
      </w:r>
      <w:r w:rsidR="00792B4C">
        <w:t>suggested</w:t>
      </w:r>
      <w:r w:rsidR="00EB20E3">
        <w:t xml:space="preserve"> </w:t>
      </w:r>
      <w:r w:rsidR="00096FCE" w:rsidRPr="00837317">
        <w:t>that class action defendants</w:t>
      </w:r>
      <w:r w:rsidR="008329BE">
        <w:t xml:space="preserve"> do</w:t>
      </w:r>
      <w:r w:rsidR="00096FCE" w:rsidRPr="00837317">
        <w:t xml:space="preserve"> “</w:t>
      </w:r>
      <w:r w:rsidR="00096FCE" w:rsidRPr="00837317">
        <w:rPr>
          <w:i/>
          <w:iCs/>
        </w:rPr>
        <w:t>not</w:t>
      </w:r>
      <w:r w:rsidR="00096FCE" w:rsidRPr="00837317">
        <w:t xml:space="preserve"> have an unfettered right to present individualized evidence in support of a defense.”  (</w:t>
      </w:r>
      <w:bookmarkStart w:id="247" w:name="dabmci_43955690a0144b54b0d6dd629a6bfa30"/>
      <w:r w:rsidR="009A7261" w:rsidRPr="00837317">
        <w:rPr>
          <w:i/>
          <w:iCs/>
        </w:rPr>
        <w:t>Duran</w:t>
      </w:r>
      <w:r w:rsidR="009A7261" w:rsidRPr="00837317">
        <w:t xml:space="preserve">, </w:t>
      </w:r>
      <w:r w:rsidR="009A7261" w:rsidRPr="00837317">
        <w:rPr>
          <w:i/>
          <w:iCs/>
        </w:rPr>
        <w:t>supra</w:t>
      </w:r>
      <w:r w:rsidR="009A7261" w:rsidRPr="00837317">
        <w:t xml:space="preserve">, 59 Cal.4th </w:t>
      </w:r>
      <w:r w:rsidR="00096FCE" w:rsidRPr="00837317">
        <w:t>at p. 34</w:t>
      </w:r>
      <w:bookmarkEnd w:id="247"/>
      <w:r w:rsidR="00D737B1">
        <w:t>, itali</w:t>
      </w:r>
      <w:r w:rsidR="00366CF7">
        <w:t>c</w:t>
      </w:r>
      <w:r w:rsidR="00D737B1">
        <w:t>s added</w:t>
      </w:r>
      <w:r w:rsidR="00096FCE" w:rsidRPr="00837317">
        <w:t>.)  We also added, “No case, to our knowledge, holds that a defendant has a due process right to litigate an affirmative defense as to each individual class member.”  (</w:t>
      </w:r>
      <w:bookmarkStart w:id="248" w:name="dabmci_afb68c89b94b43209a5b88ae37c573ac"/>
      <w:r w:rsidR="00096FCE" w:rsidRPr="00837317">
        <w:rPr>
          <w:i/>
          <w:iCs/>
        </w:rPr>
        <w:t>Id</w:t>
      </w:r>
      <w:r w:rsidR="00096FCE" w:rsidRPr="00837317">
        <w:t>. at p. 38</w:t>
      </w:r>
      <w:bookmarkEnd w:id="248"/>
      <w:r w:rsidR="00096FCE" w:rsidRPr="00837317">
        <w:t>.)  Further, we emphasized that courts may exercise discretion regarding how to adjudicate such defenses, so long as the defendant is permitted “to introduce its own evidence, both to challenge the plaintiffs’ showing and to reduce overall damages.”  (</w:t>
      </w:r>
      <w:bookmarkStart w:id="249" w:name="dabmci_f24fc742b1484397bc7579d85f0b1fbf"/>
      <w:r w:rsidR="00096FCE" w:rsidRPr="00837317">
        <w:rPr>
          <w:i/>
          <w:iCs/>
        </w:rPr>
        <w:t>Ibid</w:t>
      </w:r>
      <w:r w:rsidR="00096FCE" w:rsidRPr="00837317">
        <w:t>.</w:t>
      </w:r>
      <w:bookmarkEnd w:id="249"/>
      <w:r w:rsidR="00524887">
        <w:t>)</w:t>
      </w:r>
      <w:r w:rsidR="00B73D67">
        <w:t xml:space="preserve">  </w:t>
      </w:r>
      <w:r w:rsidR="00B73D67" w:rsidRPr="00B73D67">
        <w:t>In particular, if plaintiffs seek to prove their claims using a statistical model, we explained that the defendant “must be given a chance to impeach that model or otherwise show that its liability is reduced.”  (</w:t>
      </w:r>
      <w:bookmarkStart w:id="250" w:name="dabmci_5331810095e54862894c060d0ad84970"/>
      <w:r w:rsidR="00B73D67" w:rsidRPr="00B73D67">
        <w:rPr>
          <w:i/>
          <w:iCs/>
        </w:rPr>
        <w:t>Ibid</w:t>
      </w:r>
      <w:r w:rsidR="00B73D67" w:rsidRPr="00B73D67">
        <w:t>.</w:t>
      </w:r>
      <w:bookmarkEnd w:id="250"/>
      <w:r w:rsidR="00B73D67" w:rsidRPr="00B73D67">
        <w:t xml:space="preserve">) </w:t>
      </w:r>
    </w:p>
    <w:p w14:paraId="53FB68B3" w14:textId="77777777" w:rsidR="00AB6337" w:rsidRDefault="007742F5" w:rsidP="00EB20E3">
      <w:pPr>
        <w:ind w:firstLine="720"/>
      </w:pPr>
      <w:r>
        <w:t>Royalty fails to demonstrate why t</w:t>
      </w:r>
      <w:r w:rsidR="00211C20">
        <w:t>he</w:t>
      </w:r>
      <w:r>
        <w:t xml:space="preserve">se limitations on the right to present an affirmative defense </w:t>
      </w:r>
      <w:r w:rsidR="004A589F">
        <w:t xml:space="preserve">in class actions do not also </w:t>
      </w:r>
      <w:r>
        <w:t xml:space="preserve">apply to </w:t>
      </w:r>
      <w:r w:rsidR="00B73D67">
        <w:t xml:space="preserve">the defense of </w:t>
      </w:r>
      <w:r w:rsidR="00211C20" w:rsidRPr="008923A0">
        <w:t xml:space="preserve">representative PAGA claims.  </w:t>
      </w:r>
      <w:r w:rsidR="00D06F3C">
        <w:t>Accordingly, w</w:t>
      </w:r>
      <w:r w:rsidR="00D06F3C" w:rsidRPr="00837317">
        <w:t>e reject Royalty</w:t>
      </w:r>
      <w:r w:rsidR="00ED61FE">
        <w:t>’s</w:t>
      </w:r>
      <w:r w:rsidR="00D06F3C" w:rsidRPr="00837317">
        <w:t xml:space="preserve"> and amici curiae’s contention </w:t>
      </w:r>
      <w:r w:rsidR="00D06F3C" w:rsidRPr="00837317">
        <w:lastRenderedPageBreak/>
        <w:t xml:space="preserve">that certain affirmative defenses </w:t>
      </w:r>
      <w:r w:rsidR="00B93BEE">
        <w:t xml:space="preserve">to </w:t>
      </w:r>
      <w:r w:rsidR="008C08C2">
        <w:t xml:space="preserve">representative </w:t>
      </w:r>
      <w:r w:rsidR="00B93BEE">
        <w:t xml:space="preserve">PAGA claims </w:t>
      </w:r>
      <w:r w:rsidR="00D06F3C" w:rsidRPr="00837317">
        <w:rPr>
          <w:i/>
          <w:iCs/>
        </w:rPr>
        <w:t>require</w:t>
      </w:r>
      <w:r w:rsidR="00D06F3C" w:rsidRPr="00837317">
        <w:t xml:space="preserve"> the testimo</w:t>
      </w:r>
      <w:r w:rsidR="002B32CA">
        <w:t>ny</w:t>
      </w:r>
      <w:r w:rsidR="00D06F3C" w:rsidRPr="00837317">
        <w:t xml:space="preserve"> of </w:t>
      </w:r>
      <w:r w:rsidR="00562294">
        <w:t>nearly all alleged aggrieved employees in a cas</w:t>
      </w:r>
      <w:r w:rsidR="00781707">
        <w:t>e.  We further reject their contention</w:t>
      </w:r>
      <w:r w:rsidR="00D06F3C" w:rsidRPr="00837317">
        <w:t xml:space="preserve"> that to limit the presentation of individual employees’ testimon</w:t>
      </w:r>
      <w:r w:rsidR="002B32CA">
        <w:t>y</w:t>
      </w:r>
      <w:r w:rsidR="00D06F3C" w:rsidRPr="00837317">
        <w:t xml:space="preserve"> in such cases necessarily amounts to an abridgment of the meaningful right to present an affirmative defense and a violation of an employer’s right to due process under </w:t>
      </w:r>
      <w:r w:rsidR="00D06F3C" w:rsidRPr="00837317">
        <w:rPr>
          <w:i/>
          <w:iCs/>
        </w:rPr>
        <w:t>Duran</w:t>
      </w:r>
      <w:r w:rsidR="00D06F3C" w:rsidRPr="00837317">
        <w:t>.</w:t>
      </w:r>
      <w:r w:rsidR="00211C20">
        <w:t xml:space="preserve"> </w:t>
      </w:r>
      <w:r w:rsidR="00211C20" w:rsidRPr="00837317">
        <w:t xml:space="preserve"> </w:t>
      </w:r>
    </w:p>
    <w:p w14:paraId="53FB68B4" w14:textId="77777777" w:rsidR="00C10F4B" w:rsidRDefault="007742F5" w:rsidP="009717FD">
      <w:pPr>
        <w:ind w:firstLine="720"/>
      </w:pPr>
      <w:r>
        <w:t>In light of these principles</w:t>
      </w:r>
      <w:r w:rsidR="00524887">
        <w:t xml:space="preserve">, we </w:t>
      </w:r>
      <w:r>
        <w:t>are unpersuaded by</w:t>
      </w:r>
      <w:r w:rsidR="00013F2E">
        <w:t xml:space="preserve"> </w:t>
      </w:r>
      <w:r w:rsidR="00524887">
        <w:t xml:space="preserve">Royalty’s suggestion that </w:t>
      </w:r>
      <w:r w:rsidR="000301D6" w:rsidRPr="000301D6">
        <w:t xml:space="preserve">retrial of </w:t>
      </w:r>
      <w:r w:rsidR="004F2A2D">
        <w:t>plaintiffs</w:t>
      </w:r>
      <w:r w:rsidR="007252B7">
        <w:t>’</w:t>
      </w:r>
      <w:r w:rsidR="000301D6" w:rsidRPr="000301D6">
        <w:t xml:space="preserve"> </w:t>
      </w:r>
      <w:r w:rsidR="00ED4C30">
        <w:t xml:space="preserve">representative </w:t>
      </w:r>
      <w:r w:rsidR="000301D6" w:rsidRPr="000301D6">
        <w:t xml:space="preserve">PAGA claim would violate </w:t>
      </w:r>
      <w:r w:rsidR="005F1E2E">
        <w:t xml:space="preserve">its </w:t>
      </w:r>
      <w:r w:rsidR="000301D6" w:rsidRPr="000301D6">
        <w:t>right to due process</w:t>
      </w:r>
      <w:r w:rsidR="00CE22B5">
        <w:t>.  Royalty argues</w:t>
      </w:r>
      <w:r w:rsidR="00D27438">
        <w:t xml:space="preserve"> that</w:t>
      </w:r>
      <w:r w:rsidR="008B4C03">
        <w:t xml:space="preserve"> “</w:t>
      </w:r>
      <w:r w:rsidR="008B4C03" w:rsidRPr="002A0C55">
        <w:t>where</w:t>
      </w:r>
      <w:r w:rsidR="008B4C03">
        <w:t xml:space="preserve"> </w:t>
      </w:r>
      <w:r w:rsidR="008B4C03" w:rsidRPr="002A0C55">
        <w:t>determining whether employees’ late or missed meal periods were violations of</w:t>
      </w:r>
      <w:r w:rsidR="008B4C03">
        <w:t xml:space="preserve"> </w:t>
      </w:r>
      <w:r w:rsidR="008B4C03" w:rsidRPr="002A0C55">
        <w:t>the Labor Code will require testimony from each one, the Court of Appeal’s only</w:t>
      </w:r>
      <w:r w:rsidR="008B4C03">
        <w:t xml:space="preserve"> </w:t>
      </w:r>
      <w:r w:rsidR="008B4C03" w:rsidRPr="002A0C55">
        <w:t xml:space="preserve">response is </w:t>
      </w:r>
      <w:r w:rsidR="008B4C03">
        <w:t>‘</w:t>
      </w:r>
      <w:r w:rsidR="008B4C03" w:rsidRPr="002A0C55">
        <w:t>limit witness testimony and other forms of evidence.</w:t>
      </w:r>
      <w:r w:rsidR="008B4C03">
        <w:t xml:space="preserve">’ </w:t>
      </w:r>
      <w:r w:rsidR="008B4C03" w:rsidRPr="002A0C55">
        <w:t xml:space="preserve"> </w:t>
      </w:r>
      <w:r w:rsidR="008B4441">
        <w:t>[Citation</w:t>
      </w:r>
      <w:r w:rsidR="0077671E">
        <w:t>.</w:t>
      </w:r>
      <w:r w:rsidR="008B4441">
        <w:t xml:space="preserve">]  </w:t>
      </w:r>
      <w:r w:rsidR="008B4C03" w:rsidRPr="002A0C55">
        <w:t>This will deprive the PAGA defendant of any meaningful ability to present</w:t>
      </w:r>
      <w:r w:rsidR="008B4C03">
        <w:t xml:space="preserve"> t</w:t>
      </w:r>
      <w:r w:rsidR="008B4C03" w:rsidRPr="002A0C55">
        <w:t>he affirmative defense</w:t>
      </w:r>
      <w:r w:rsidR="0078553B">
        <w:t xml:space="preserve"> </w:t>
      </w:r>
      <w:r w:rsidR="009717FD" w:rsidRPr="009717FD">
        <w:t>that the employee group whom the plaintiff is representing</w:t>
      </w:r>
      <w:r w:rsidR="009717FD">
        <w:t xml:space="preserve"> </w:t>
      </w:r>
      <w:r w:rsidR="009717FD" w:rsidRPr="009717FD">
        <w:t xml:space="preserve">(or many individuals within it) are not </w:t>
      </w:r>
      <w:r w:rsidR="00204D64">
        <w:t>‘</w:t>
      </w:r>
      <w:r w:rsidR="009717FD" w:rsidRPr="009717FD">
        <w:t>aggrieved</w:t>
      </w:r>
      <w:r w:rsidR="00204D64">
        <w:t>’</w:t>
      </w:r>
      <w:r w:rsidR="009717FD" w:rsidRPr="009717FD">
        <w:t xml:space="preserve"> within the meaning of the</w:t>
      </w:r>
      <w:r w:rsidR="009717FD">
        <w:t xml:space="preserve"> </w:t>
      </w:r>
      <w:r w:rsidR="009717FD" w:rsidRPr="009717FD">
        <w:t>statute</w:t>
      </w:r>
      <w:r w:rsidR="008B4C03">
        <w:t>.”</w:t>
      </w:r>
      <w:r w:rsidR="004C05A7">
        <w:t xml:space="preserve">  </w:t>
      </w:r>
    </w:p>
    <w:p w14:paraId="53FB68B5" w14:textId="77777777" w:rsidR="00CF7789" w:rsidRDefault="007742F5" w:rsidP="00892ECC">
      <w:pPr>
        <w:ind w:firstLine="720"/>
      </w:pPr>
      <w:r>
        <w:t xml:space="preserve">In this case, however, it bears emphasis that </w:t>
      </w:r>
      <w:r w:rsidRPr="00BD1A84">
        <w:t>Royalty presented the testimony of just two former employees and one expert witness</w:t>
      </w:r>
      <w:r w:rsidRPr="00CF7789">
        <w:t xml:space="preserve"> </w:t>
      </w:r>
      <w:r>
        <w:t>at the in</w:t>
      </w:r>
      <w:r>
        <w:t>itial trial</w:t>
      </w:r>
      <w:r w:rsidRPr="00BD1A84">
        <w:t xml:space="preserve">. </w:t>
      </w:r>
      <w:r>
        <w:t xml:space="preserve"> T</w:t>
      </w:r>
      <w:r w:rsidRPr="00BD1A84">
        <w:t>he trial court did not prohibit Royalty from calling additional witnesses.</w:t>
      </w:r>
      <w:r>
        <w:t xml:space="preserve">  It was only </w:t>
      </w:r>
      <w:r w:rsidRPr="00835EE1">
        <w:rPr>
          <w:i/>
          <w:iCs/>
        </w:rPr>
        <w:t>after</w:t>
      </w:r>
      <w:r>
        <w:t xml:space="preserve"> the presentation of evidence at trial that </w:t>
      </w:r>
      <w:r w:rsidRPr="00837317">
        <w:t xml:space="preserve">the trial court struck the plaintiffs’ </w:t>
      </w:r>
      <w:r>
        <w:t xml:space="preserve">representative </w:t>
      </w:r>
      <w:r w:rsidRPr="00837317">
        <w:t>PAGA claim</w:t>
      </w:r>
      <w:r>
        <w:t>.</w:t>
      </w:r>
      <w:r>
        <w:rPr>
          <w:rStyle w:val="FootnoteReference"/>
        </w:rPr>
        <w:footnoteReference w:id="34"/>
      </w:r>
      <w:r>
        <w:t xml:space="preserve">  Under these </w:t>
      </w:r>
      <w:r>
        <w:lastRenderedPageBreak/>
        <w:t xml:space="preserve">circumstances, </w:t>
      </w:r>
      <w:r w:rsidR="00D43F00">
        <w:t xml:space="preserve">Royalty has </w:t>
      </w:r>
      <w:r w:rsidR="007553CC">
        <w:t xml:space="preserve">not established that it has a </w:t>
      </w:r>
      <w:r w:rsidR="00D43F00">
        <w:t xml:space="preserve">due process </w:t>
      </w:r>
      <w:r w:rsidR="00D61C21">
        <w:t xml:space="preserve">right to </w:t>
      </w:r>
      <w:r w:rsidR="007553CC">
        <w:t>present the individual testimony of each allegedly aggrieved employee</w:t>
      </w:r>
      <w:r>
        <w:t>.  And i</w:t>
      </w:r>
      <w:r w:rsidR="007553CC">
        <w:t xml:space="preserve">t </w:t>
      </w:r>
      <w:r w:rsidR="00CA4C0A">
        <w:t xml:space="preserve">has not established that </w:t>
      </w:r>
      <w:r w:rsidR="00BD5E84">
        <w:t>the re</w:t>
      </w:r>
      <w:r w:rsidR="00CA4C0A">
        <w:t xml:space="preserve">trial of plaintiffs’ </w:t>
      </w:r>
      <w:r w:rsidR="00ED4C30">
        <w:t xml:space="preserve">representative </w:t>
      </w:r>
      <w:r w:rsidR="00CA4C0A">
        <w:t>PAGA claim would violate its right to due process</w:t>
      </w:r>
      <w:r w:rsidR="00011B0F">
        <w:t xml:space="preserve"> </w:t>
      </w:r>
      <w:r w:rsidR="000420CA">
        <w:t>by failing</w:t>
      </w:r>
      <w:r w:rsidR="00011B0F">
        <w:t xml:space="preserve"> to </w:t>
      </w:r>
      <w:r w:rsidR="000420CA">
        <w:t>permit</w:t>
      </w:r>
      <w:r w:rsidR="00011B0F">
        <w:t xml:space="preserve"> such testimon</w:t>
      </w:r>
      <w:r w:rsidR="002B32CA">
        <w:t>y</w:t>
      </w:r>
      <w:r w:rsidR="00CA4C0A">
        <w:t>.</w:t>
      </w:r>
      <w:r>
        <w:rPr>
          <w:rStyle w:val="FootnoteReference"/>
        </w:rPr>
        <w:footnoteReference w:id="35"/>
      </w:r>
      <w:r w:rsidR="00CD02AB">
        <w:t xml:space="preserve">  </w:t>
      </w:r>
    </w:p>
    <w:p w14:paraId="53FB68B6" w14:textId="77777777" w:rsidR="005F1E2E" w:rsidRDefault="007742F5" w:rsidP="005F1E2E">
      <w:pPr>
        <w:ind w:firstLine="720"/>
      </w:pPr>
      <w:r w:rsidRPr="00837317">
        <w:t xml:space="preserve">Royalty and amici </w:t>
      </w:r>
      <w:r w:rsidR="00203DF3" w:rsidRPr="00837317">
        <w:t xml:space="preserve">curiae </w:t>
      </w:r>
      <w:r w:rsidR="008A506E">
        <w:t xml:space="preserve">also appear to raise the broader </w:t>
      </w:r>
      <w:r w:rsidRPr="00837317">
        <w:t>claim that trial courts have inherent authority to strike a PAGA claim to protect a defendant’s due process rights</w:t>
      </w:r>
      <w:r w:rsidR="008A506E">
        <w:t xml:space="preserve"> generally</w:t>
      </w:r>
      <w:r w:rsidRPr="00837317">
        <w:t>.</w:t>
      </w:r>
      <w:r>
        <w:t xml:space="preserve">  </w:t>
      </w:r>
      <w:r w:rsidRPr="00837317">
        <w:t xml:space="preserve">While certain characteristics of some PAGA </w:t>
      </w:r>
      <w:r w:rsidR="009132FF">
        <w:t>claim</w:t>
      </w:r>
      <w:r w:rsidR="00A440BF">
        <w:t>s</w:t>
      </w:r>
      <w:r w:rsidRPr="00837317">
        <w:t>, occasioned by the statute’s broad standing rules and the lack of need for common proof or class certification, may present trial courts with challenges in ensuring that a defendant’s due process rights a</w:t>
      </w:r>
      <w:r w:rsidRPr="00837317">
        <w:t xml:space="preserve">re preserved, </w:t>
      </w:r>
      <w:r w:rsidR="00402510">
        <w:t xml:space="preserve">we express no opinion as to </w:t>
      </w:r>
      <w:r w:rsidR="006966BA" w:rsidRPr="006966BA">
        <w:t>the hypothetical question</w:t>
      </w:r>
      <w:r w:rsidR="002B58BE">
        <w:t>s</w:t>
      </w:r>
      <w:r w:rsidR="006966BA" w:rsidRPr="006966BA">
        <w:t xml:space="preserve"> of whether</w:t>
      </w:r>
      <w:r w:rsidR="005501E7">
        <w:t>, and under what circumstances,</w:t>
      </w:r>
      <w:r w:rsidR="006966BA" w:rsidRPr="006966BA">
        <w:t xml:space="preserve"> a defendant’s right to due process </w:t>
      </w:r>
      <w:r w:rsidR="007B6CC2">
        <w:t>might</w:t>
      </w:r>
      <w:r w:rsidR="006966BA" w:rsidRPr="006966BA">
        <w:t xml:space="preserve"> </w:t>
      </w:r>
      <w:r w:rsidR="006966BA" w:rsidRPr="00F55477">
        <w:t>ever</w:t>
      </w:r>
      <w:r w:rsidR="006966BA" w:rsidRPr="006966BA">
        <w:t xml:space="preserve"> support striking a PAGA claim</w:t>
      </w:r>
      <w:r w:rsidR="000E6294">
        <w:t xml:space="preserve">.  </w:t>
      </w:r>
    </w:p>
    <w:p w14:paraId="53FB68B7" w14:textId="77777777" w:rsidR="00474292" w:rsidRDefault="007742F5" w:rsidP="005F1E2E">
      <w:pPr>
        <w:ind w:firstLine="720"/>
      </w:pPr>
      <w:r>
        <w:t>W</w:t>
      </w:r>
      <w:r w:rsidR="00BC3E9C">
        <w:t xml:space="preserve">e </w:t>
      </w:r>
      <w:r>
        <w:t xml:space="preserve">also </w:t>
      </w:r>
      <w:r w:rsidR="00BC3E9C">
        <w:t>emphasize</w:t>
      </w:r>
      <w:r w:rsidR="00803031">
        <w:t xml:space="preserve"> </w:t>
      </w:r>
      <w:r w:rsidR="00BC3E9C">
        <w:t>that trial courts have numerous</w:t>
      </w:r>
      <w:r w:rsidR="00315226">
        <w:t xml:space="preserve"> </w:t>
      </w:r>
      <w:r w:rsidR="00BC3E9C">
        <w:t xml:space="preserve">tools that can </w:t>
      </w:r>
      <w:r w:rsidR="00315226">
        <w:t>be used to manage complex cases generally, and PAGA cases in particular</w:t>
      </w:r>
      <w:r w:rsidR="007D4CD3">
        <w:t>,</w:t>
      </w:r>
      <w:r w:rsidR="00315226">
        <w:t xml:space="preserve"> that do not involve striking a PAGA claim.</w:t>
      </w:r>
      <w:r w:rsidR="00E31C91">
        <w:rPr>
          <w:szCs w:val="26"/>
        </w:rPr>
        <w:t xml:space="preserve"> </w:t>
      </w:r>
      <w:r w:rsidR="003E3CC2">
        <w:t xml:space="preserve"> </w:t>
      </w:r>
      <w:r w:rsidR="008E4696">
        <w:t>All of those case management tools remain undisturbed by our decision</w:t>
      </w:r>
      <w:r w:rsidR="005F1E2E">
        <w:t xml:space="preserve"> in this case</w:t>
      </w:r>
      <w:r w:rsidR="008E4696">
        <w:t>.</w:t>
      </w:r>
      <w:r>
        <w:rPr>
          <w:rStyle w:val="FootnoteReference"/>
          <w:szCs w:val="26"/>
        </w:rPr>
        <w:footnoteReference w:id="36"/>
      </w:r>
      <w:r w:rsidR="008E4696">
        <w:t xml:space="preserve">  </w:t>
      </w:r>
      <w:r w:rsidR="00934870">
        <w:t xml:space="preserve">To that end we note that </w:t>
      </w:r>
      <w:r w:rsidR="00170108">
        <w:t>t</w:t>
      </w:r>
      <w:r w:rsidR="003746D3" w:rsidRPr="00D222E9">
        <w:t xml:space="preserve">he Judicial </w:t>
      </w:r>
      <w:r w:rsidR="003746D3" w:rsidRPr="00D222E9">
        <w:lastRenderedPageBreak/>
        <w:t xml:space="preserve">Council has described </w:t>
      </w:r>
      <w:r w:rsidR="0004461E">
        <w:t>ma</w:t>
      </w:r>
      <w:r w:rsidR="006062B6">
        <w:t>n</w:t>
      </w:r>
      <w:r w:rsidR="0004461E">
        <w:t xml:space="preserve">y of the </w:t>
      </w:r>
      <w:r w:rsidR="00F30D9F">
        <w:t xml:space="preserve">tools that </w:t>
      </w:r>
      <w:r w:rsidR="0004461E">
        <w:t>courts may</w:t>
      </w:r>
      <w:r w:rsidR="003746D3" w:rsidRPr="00D222E9">
        <w:t xml:space="preserve"> </w:t>
      </w:r>
      <w:r w:rsidR="00F30D9F">
        <w:t xml:space="preserve">use in </w:t>
      </w:r>
      <w:r w:rsidR="003746D3" w:rsidRPr="00D222E9">
        <w:t>manag</w:t>
      </w:r>
      <w:r w:rsidR="00F30D9F">
        <w:t>ing</w:t>
      </w:r>
      <w:r w:rsidR="003746D3" w:rsidRPr="00D222E9">
        <w:t xml:space="preserve"> discovery, </w:t>
      </w:r>
      <w:r w:rsidR="00113B2F">
        <w:t xml:space="preserve">other </w:t>
      </w:r>
      <w:r w:rsidR="003746D3" w:rsidRPr="00D222E9">
        <w:t>pretrial</w:t>
      </w:r>
      <w:r w:rsidR="00113B2F">
        <w:t xml:space="preserve"> proceedings</w:t>
      </w:r>
      <w:r w:rsidR="00300ADE">
        <w:t>,</w:t>
      </w:r>
      <w:r w:rsidR="003746D3" w:rsidRPr="00D222E9">
        <w:t xml:space="preserve"> and </w:t>
      </w:r>
      <w:r w:rsidR="00113B2F">
        <w:t xml:space="preserve">the </w:t>
      </w:r>
      <w:r w:rsidR="003746D3" w:rsidRPr="00D222E9">
        <w:t>trial of complex cases</w:t>
      </w:r>
      <w:r w:rsidR="00AF6F68">
        <w:t>, including cases involving PAGA claims</w:t>
      </w:r>
      <w:r w:rsidR="003746D3" w:rsidRPr="00D222E9">
        <w:t xml:space="preserve">. </w:t>
      </w:r>
      <w:r w:rsidR="0004461E">
        <w:t xml:space="preserve"> </w:t>
      </w:r>
      <w:r w:rsidR="003746D3" w:rsidRPr="00D222E9">
        <w:t>(</w:t>
      </w:r>
      <w:bookmarkStart w:id="253" w:name="_Hlk151387794"/>
      <w:r w:rsidR="0004461E">
        <w:t xml:space="preserve">See </w:t>
      </w:r>
      <w:r w:rsidR="000E2BF4">
        <w:t xml:space="preserve">generally </w:t>
      </w:r>
      <w:r w:rsidR="003746D3" w:rsidRPr="00D222E9">
        <w:t>Judicial Council of Cal., Deskbook on the Management of Complex Civil Litigation (2016)</w:t>
      </w:r>
      <w:bookmarkEnd w:id="253"/>
      <w:r w:rsidR="00553FBA">
        <w:t xml:space="preserve"> (Deskbook)</w:t>
      </w:r>
      <w:r w:rsidR="00FE6275">
        <w:t xml:space="preserve">; see </w:t>
      </w:r>
      <w:bookmarkStart w:id="254" w:name="dabmci_bc59ba03975e417bab1598569df158f3"/>
      <w:r w:rsidR="00FE6275" w:rsidRPr="00B24E7C">
        <w:rPr>
          <w:i/>
          <w:iCs/>
        </w:rPr>
        <w:t>id</w:t>
      </w:r>
      <w:r w:rsidR="00FE6275">
        <w:t>.</w:t>
      </w:r>
      <w:bookmarkEnd w:id="254"/>
      <w:r w:rsidR="00FE6275">
        <w:t xml:space="preserve"> </w:t>
      </w:r>
      <w:r w:rsidR="00B24E7C">
        <w:t xml:space="preserve">at </w:t>
      </w:r>
      <w:r w:rsidR="00F51E78">
        <w:t xml:space="preserve">ch. </w:t>
      </w:r>
      <w:r w:rsidR="000E2BF4">
        <w:t>5</w:t>
      </w:r>
      <w:r w:rsidR="00FE6275">
        <w:t>.</w:t>
      </w:r>
      <w:r w:rsidR="006927C6">
        <w:t>I. [discussing PAGA litigation]</w:t>
      </w:r>
      <w:r w:rsidR="003746D3" w:rsidRPr="00D222E9">
        <w:t>.)</w:t>
      </w:r>
      <w:r>
        <w:rPr>
          <w:rStyle w:val="FootnoteReference"/>
        </w:rPr>
        <w:footnoteReference w:id="37"/>
      </w:r>
    </w:p>
    <w:p w14:paraId="53FB68B8" w14:textId="77777777" w:rsidR="00B518F5" w:rsidRPr="007C05E9" w:rsidRDefault="007742F5" w:rsidP="00B518F5">
      <w:pPr>
        <w:ind w:firstLine="720"/>
      </w:pPr>
      <w:bookmarkStart w:id="255" w:name="_Hlk152083548"/>
      <w:r w:rsidRPr="007C05E9">
        <w:t xml:space="preserve">Indeed, in cases involving many employees or </w:t>
      </w:r>
      <w:r w:rsidR="00F70BD0">
        <w:t xml:space="preserve">distinct types of </w:t>
      </w:r>
      <w:r w:rsidRPr="007C05E9">
        <w:t>violations over a long period of time</w:t>
      </w:r>
      <w:r w:rsidR="00F70BD0">
        <w:t xml:space="preserve"> or in different locations</w:t>
      </w:r>
      <w:r w:rsidRPr="007C05E9">
        <w:t xml:space="preserve">, </w:t>
      </w:r>
      <w:r w:rsidR="00717EED">
        <w:t>the adjudication of</w:t>
      </w:r>
      <w:r w:rsidRPr="007C05E9">
        <w:t xml:space="preserve"> </w:t>
      </w:r>
      <w:r w:rsidR="00AA042C">
        <w:t>PAGA claims</w:t>
      </w:r>
      <w:r w:rsidRPr="007C05E9">
        <w:t xml:space="preserve"> </w:t>
      </w:r>
      <w:r w:rsidR="00717EED">
        <w:t>may benefit from evidence</w:t>
      </w:r>
      <w:r w:rsidR="003B59F2" w:rsidRPr="007C05E9">
        <w:t xml:space="preserve"> other than, or in addition to, individual testimonies. </w:t>
      </w:r>
      <w:bookmarkEnd w:id="255"/>
      <w:r w:rsidR="008E4696">
        <w:t xml:space="preserve"> </w:t>
      </w:r>
      <w:r w:rsidR="00610AD0" w:rsidRPr="007C05E9">
        <w:t>W</w:t>
      </w:r>
      <w:r w:rsidR="00F5778C" w:rsidRPr="007C05E9">
        <w:t xml:space="preserve">ith respect to the alleged Labor Code violation at issue in this case, we have </w:t>
      </w:r>
      <w:r w:rsidR="00F03E91" w:rsidRPr="007C05E9">
        <w:t xml:space="preserve">recently </w:t>
      </w:r>
      <w:r w:rsidR="00F5778C" w:rsidRPr="007C05E9">
        <w:t xml:space="preserve">held that, when adjudicating the affirmative defense of waiver to a meal break claim in the class </w:t>
      </w:r>
      <w:r w:rsidR="005F1E2E">
        <w:t xml:space="preserve">action </w:t>
      </w:r>
      <w:r w:rsidR="00F5778C" w:rsidRPr="007C05E9">
        <w:t>context, “ ‘Representative testimony, surveys, and statistical analysis,’ along with other types of evidence, ‘are available as tools to render manageable determinations of the extent of liability.’  (</w:t>
      </w:r>
      <w:bookmarkStart w:id="256" w:name="dabmci_05a76c200cb44c9e905179d1313596a7"/>
      <w:r w:rsidR="00F5778C" w:rsidRPr="007C05E9">
        <w:rPr>
          <w:i/>
          <w:iCs/>
        </w:rPr>
        <w:t>Brinker</w:t>
      </w:r>
      <w:r w:rsidR="00F5778C" w:rsidRPr="007C05E9">
        <w:t xml:space="preserve">, </w:t>
      </w:r>
      <w:r w:rsidR="00F5778C" w:rsidRPr="007C05E9">
        <w:rPr>
          <w:i/>
          <w:iCs/>
        </w:rPr>
        <w:t>supra</w:t>
      </w:r>
      <w:r w:rsidR="00F5778C" w:rsidRPr="007C05E9">
        <w:t>, 53 Cal.4th at p. 1054</w:t>
      </w:r>
      <w:bookmarkEnd w:id="256"/>
      <w:r w:rsidR="00F5778C" w:rsidRPr="007C05E9">
        <w:t xml:space="preserve"> (conc. opn. of Werdegar, J.).)”  (</w:t>
      </w:r>
      <w:bookmarkStart w:id="257" w:name="dabmci_f0cc4a03d79244929912ea8fb43139a2"/>
      <w:r w:rsidR="00F5778C" w:rsidRPr="007C05E9">
        <w:rPr>
          <w:i/>
          <w:iCs/>
        </w:rPr>
        <w:t>Donohue v. AMN Serv</w:t>
      </w:r>
      <w:r w:rsidR="00ED75A4">
        <w:rPr>
          <w:i/>
          <w:iCs/>
        </w:rPr>
        <w:t>ices</w:t>
      </w:r>
      <w:r w:rsidR="00F5778C" w:rsidRPr="007C05E9">
        <w:rPr>
          <w:i/>
          <w:iCs/>
        </w:rPr>
        <w:t>, LLC</w:t>
      </w:r>
      <w:r w:rsidR="00F5778C" w:rsidRPr="007C05E9">
        <w:t xml:space="preserve"> (2021) 11 Cal.5th 58, 77 (</w:t>
      </w:r>
      <w:r w:rsidR="00F5778C" w:rsidRPr="007C05E9">
        <w:rPr>
          <w:i/>
          <w:iCs/>
        </w:rPr>
        <w:t>Donohue</w:t>
      </w:r>
      <w:r w:rsidR="00F5778C" w:rsidRPr="007C05E9">
        <w:t>)</w:t>
      </w:r>
      <w:bookmarkEnd w:id="257"/>
      <w:r w:rsidR="00F5778C" w:rsidRPr="007C05E9">
        <w:t>.)</w:t>
      </w:r>
      <w:r>
        <w:rPr>
          <w:rStyle w:val="FootnoteReference"/>
        </w:rPr>
        <w:footnoteReference w:id="38"/>
      </w:r>
    </w:p>
    <w:p w14:paraId="53FB68B9" w14:textId="77777777" w:rsidR="003A6490" w:rsidRDefault="007742F5" w:rsidP="00FA01FF">
      <w:pPr>
        <w:ind w:firstLine="720"/>
      </w:pPr>
      <w:r w:rsidRPr="007C05E9">
        <w:lastRenderedPageBreak/>
        <w:t xml:space="preserve">Such tools may </w:t>
      </w:r>
      <w:r w:rsidR="007C05E9" w:rsidRPr="007C05E9">
        <w:t xml:space="preserve">also </w:t>
      </w:r>
      <w:r w:rsidRPr="007C05E9">
        <w:t xml:space="preserve">be used to help efficiently adjudicate </w:t>
      </w:r>
      <w:r w:rsidR="00D169D4">
        <w:t xml:space="preserve">PAGA cases, including </w:t>
      </w:r>
      <w:r w:rsidRPr="007C05E9">
        <w:t xml:space="preserve">affirmative defenses </w:t>
      </w:r>
      <w:r w:rsidR="008E4696">
        <w:t xml:space="preserve">to </w:t>
      </w:r>
      <w:r w:rsidR="00647A09">
        <w:t xml:space="preserve">alleged </w:t>
      </w:r>
      <w:r w:rsidR="008E4696">
        <w:t xml:space="preserve">PAGA </w:t>
      </w:r>
      <w:r w:rsidR="00647A09">
        <w:t>violations</w:t>
      </w:r>
      <w:r w:rsidRPr="007C05E9">
        <w:t xml:space="preserve">.  </w:t>
      </w:r>
      <w:r w:rsidR="006822F6" w:rsidRPr="007C05E9">
        <w:t xml:space="preserve">Indeed, </w:t>
      </w:r>
      <w:r w:rsidRPr="007C05E9">
        <w:t>given</w:t>
      </w:r>
      <w:r w:rsidRPr="007C05E9">
        <w:t xml:space="preserve"> that the purpose of the recovery of civil penalties in a PAGA action is to “ ‘remediate present violations and deter future ones’ ” rather than to “redress employees’ injuries” (</w:t>
      </w:r>
      <w:bookmarkStart w:id="262" w:name="dabmci_16591a550d5f45309e5e0cad678095ff"/>
      <w:r w:rsidRPr="007C05E9">
        <w:rPr>
          <w:i/>
          <w:iCs/>
        </w:rPr>
        <w:t>Kim</w:t>
      </w:r>
      <w:r w:rsidRPr="008E4696">
        <w:t>,</w:t>
      </w:r>
      <w:r w:rsidRPr="007C05E9">
        <w:rPr>
          <w:i/>
          <w:iCs/>
        </w:rPr>
        <w:t xml:space="preserve"> supra</w:t>
      </w:r>
      <w:r w:rsidRPr="008E4696">
        <w:t>,</w:t>
      </w:r>
      <w:r w:rsidR="008E4696">
        <w:t xml:space="preserve"> </w:t>
      </w:r>
      <w:r w:rsidRPr="007C05E9">
        <w:t>9</w:t>
      </w:r>
      <w:r w:rsidR="008E4696">
        <w:t> </w:t>
      </w:r>
      <w:r w:rsidRPr="007C05E9">
        <w:t>Cal.5th at p. 86</w:t>
      </w:r>
      <w:bookmarkEnd w:id="262"/>
      <w:r w:rsidRPr="007C05E9">
        <w:t>), statistical methods “designed to reveal gene</w:t>
      </w:r>
      <w:r w:rsidRPr="007C05E9">
        <w:t>ralized characteristics of a population” seem particularly appropriate for use in adjudicating such claims</w:t>
      </w:r>
      <w:r w:rsidR="000D3CEC">
        <w:t xml:space="preserve">.  </w:t>
      </w:r>
      <w:r w:rsidRPr="007C05E9">
        <w:t>(</w:t>
      </w:r>
      <w:bookmarkStart w:id="263" w:name="dabmci_61bc88250be340779db6ddb5583ec124"/>
      <w:r w:rsidRPr="007C05E9">
        <w:rPr>
          <w:i/>
          <w:iCs/>
        </w:rPr>
        <w:t>Duran</w:t>
      </w:r>
      <w:r w:rsidRPr="007C05E9">
        <w:t xml:space="preserve">, </w:t>
      </w:r>
      <w:r w:rsidRPr="007C05E9">
        <w:rPr>
          <w:i/>
          <w:iCs/>
        </w:rPr>
        <w:t>supra</w:t>
      </w:r>
      <w:r w:rsidRPr="007C05E9">
        <w:t>, 59</w:t>
      </w:r>
      <w:r w:rsidR="008E4696">
        <w:t> </w:t>
      </w:r>
      <w:r w:rsidRPr="007C05E9">
        <w:t>Cal.4th at p.</w:t>
      </w:r>
      <w:r w:rsidR="008E4696">
        <w:t> </w:t>
      </w:r>
      <w:r w:rsidRPr="007C05E9">
        <w:t>55</w:t>
      </w:r>
      <w:bookmarkEnd w:id="263"/>
      <w:r w:rsidRPr="007C05E9">
        <w:t xml:space="preserve"> (conc. opn. of Liu, J.)</w:t>
      </w:r>
      <w:r w:rsidR="008E4696">
        <w:t>.</w:t>
      </w:r>
      <w:r w:rsidRPr="007C05E9">
        <w:t xml:space="preserve">)  </w:t>
      </w:r>
      <w:r w:rsidR="00717EED" w:rsidRPr="00717EED">
        <w:t>In other words, evidence that reveals the “generalized characteristics” of a population (</w:t>
      </w:r>
      <w:bookmarkStart w:id="264" w:name="dabmci_70d058eece0341fdb04bdc5403290d4a"/>
      <w:r w:rsidR="00717EED" w:rsidRPr="00717EED">
        <w:rPr>
          <w:i/>
          <w:iCs/>
        </w:rPr>
        <w:t>ibid</w:t>
      </w:r>
      <w:r w:rsidR="00717EED" w:rsidRPr="00717EED">
        <w:t>.</w:t>
      </w:r>
      <w:bookmarkEnd w:id="264"/>
      <w:r w:rsidR="00717EED" w:rsidRPr="00717EED">
        <w:t>) may be useful to</w:t>
      </w:r>
      <w:r w:rsidR="00D169D4" w:rsidRPr="00D169D4">
        <w:t xml:space="preserve"> estimate the number of aggrieved employees, even if such evidence cannot demonstrate the extent of any particular injury</w:t>
      </w:r>
      <w:r w:rsidR="00D169D4">
        <w:t>.</w:t>
      </w:r>
    </w:p>
    <w:p w14:paraId="53FB68BA" w14:textId="77777777" w:rsidR="00F370EE" w:rsidRDefault="007742F5" w:rsidP="00A8703F">
      <w:pPr>
        <w:ind w:firstLine="720"/>
      </w:pPr>
      <w:r>
        <w:t>We also emphasize that o</w:t>
      </w:r>
      <w:r w:rsidRPr="00D05876">
        <w:t>ur holding that trial courts lack inherent authority</w:t>
      </w:r>
      <w:r w:rsidRPr="00D05876">
        <w:t xml:space="preserve"> to strike a PAGA claim on manageability grounds does not preclude trial courts from limiting the types of evidence a plaintiff may present or using other tools to assure that a PAGA claim</w:t>
      </w:r>
      <w:r>
        <w:t xml:space="preserve"> </w:t>
      </w:r>
      <w:r w:rsidRPr="00D05876">
        <w:t>can</w:t>
      </w:r>
      <w:r>
        <w:t xml:space="preserve"> </w:t>
      </w:r>
      <w:r w:rsidRPr="00D05876">
        <w:t>be</w:t>
      </w:r>
      <w:r>
        <w:t xml:space="preserve"> </w:t>
      </w:r>
      <w:r w:rsidRPr="00D05876">
        <w:t>effectivel</w:t>
      </w:r>
      <w:r>
        <w:t xml:space="preserve">y </w:t>
      </w:r>
      <w:r w:rsidRPr="00D05876">
        <w:t>tried.</w:t>
      </w:r>
      <w:r>
        <w:t xml:space="preserve">  </w:t>
      </w:r>
      <w:r w:rsidRPr="00D05876">
        <w:t>(See</w:t>
      </w:r>
      <w:r>
        <w:t xml:space="preserve"> </w:t>
      </w:r>
      <w:bookmarkStart w:id="265" w:name="dabmci_d99a02d1c0284e7e8886ecc2173f1a7a"/>
      <w:r w:rsidRPr="00D05876">
        <w:rPr>
          <w:i/>
          <w:iCs/>
        </w:rPr>
        <w:t>Estrada,</w:t>
      </w:r>
      <w:r>
        <w:rPr>
          <w:i/>
          <w:iCs/>
        </w:rPr>
        <w:t xml:space="preserve"> </w:t>
      </w:r>
      <w:r w:rsidRPr="00D05876">
        <w:rPr>
          <w:i/>
          <w:iCs/>
        </w:rPr>
        <w:t>supra,</w:t>
      </w:r>
      <w:r>
        <w:rPr>
          <w:i/>
          <w:iCs/>
        </w:rPr>
        <w:t xml:space="preserve"> </w:t>
      </w:r>
      <w:r w:rsidRPr="00D05876">
        <w:t>76</w:t>
      </w:r>
      <w:r>
        <w:t> </w:t>
      </w:r>
      <w:r w:rsidRPr="00D05876">
        <w:t>Cal.App.5th</w:t>
      </w:r>
      <w:r>
        <w:t xml:space="preserve"> </w:t>
      </w:r>
      <w:r w:rsidRPr="00D05876">
        <w:t>at</w:t>
      </w:r>
      <w:r>
        <w:t xml:space="preserve"> </w:t>
      </w:r>
      <w:r w:rsidRPr="00D05876">
        <w:t>p</w:t>
      </w:r>
      <w:r w:rsidRPr="00D05876">
        <w:t>.</w:t>
      </w:r>
      <w:r>
        <w:t> </w:t>
      </w:r>
      <w:r w:rsidRPr="00D05876">
        <w:t>713</w:t>
      </w:r>
      <w:bookmarkEnd w:id="265"/>
      <w:r w:rsidRPr="00D05876">
        <w:t xml:space="preserve"> [“courts may,</w:t>
      </w:r>
      <w:r>
        <w:t xml:space="preserve"> </w:t>
      </w:r>
      <w:r w:rsidRPr="00D05876">
        <w:t>where appropriate and within reason, limit witness testimony and other forms of evidence when determining the number of violations that occurred and the amount of penalties to assess”]</w:t>
      </w:r>
      <w:r w:rsidR="0007125F">
        <w:t xml:space="preserve">; </w:t>
      </w:r>
      <w:bookmarkStart w:id="266" w:name="dabmci_2bf82f64ec58465eb2efee7efb155e84"/>
      <w:r w:rsidR="00A8703F" w:rsidRPr="0007125F">
        <w:rPr>
          <w:i/>
          <w:iCs/>
        </w:rPr>
        <w:t>Woodwort</w:t>
      </w:r>
      <w:r w:rsidR="00A8703F">
        <w:rPr>
          <w:i/>
          <w:iCs/>
        </w:rPr>
        <w:t xml:space="preserve">h, supra, </w:t>
      </w:r>
      <w:r w:rsidR="00A8703F" w:rsidRPr="0007125F">
        <w:t xml:space="preserve">93 Cal.App.5th </w:t>
      </w:r>
      <w:r w:rsidR="00A8703F">
        <w:t>at p.</w:t>
      </w:r>
      <w:r w:rsidR="00A8703F" w:rsidRPr="0007125F">
        <w:t xml:space="preserve"> 1070</w:t>
      </w:r>
      <w:r w:rsidR="00A00E18">
        <w:t>, review granted</w:t>
      </w:r>
      <w:bookmarkEnd w:id="266"/>
      <w:r w:rsidR="00A8703F">
        <w:t xml:space="preserve"> </w:t>
      </w:r>
      <w:r w:rsidR="0007125F">
        <w:t>[courts “</w:t>
      </w:r>
      <w:r w:rsidR="0007125F" w:rsidRPr="0007125F">
        <w:t xml:space="preserve">may </w:t>
      </w:r>
      <w:r w:rsidR="0007125F" w:rsidRPr="0007125F">
        <w:lastRenderedPageBreak/>
        <w:t>limit the evidence to be presented at trial or otherwise limit the scope of the PAGA claim, but they may not strike the claim altogether</w:t>
      </w:r>
      <w:r w:rsidR="00A8703F">
        <w:t>”]</w:t>
      </w:r>
      <w:r w:rsidRPr="00D05876">
        <w:t>.</w:t>
      </w:r>
      <w:r w:rsidR="00933F17">
        <w:t>)</w:t>
      </w:r>
      <w:r>
        <w:rPr>
          <w:rStyle w:val="FootnoteReference"/>
        </w:rPr>
        <w:footnoteReference w:id="39"/>
      </w:r>
    </w:p>
    <w:p w14:paraId="53FB68BB" w14:textId="77777777" w:rsidR="00B46ACE" w:rsidRDefault="007742F5" w:rsidP="00A8703F">
      <w:pPr>
        <w:ind w:firstLine="720"/>
      </w:pPr>
      <w:r w:rsidRPr="00B46ACE">
        <w:t xml:space="preserve">In addition, as the Court of Appeal observed, since </w:t>
      </w:r>
      <w:r w:rsidR="002F4115">
        <w:t>the</w:t>
      </w:r>
      <w:r w:rsidRPr="00B46ACE">
        <w:t xml:space="preserve"> plaintiff has the burden of proving </w:t>
      </w:r>
      <w:r w:rsidR="002F4115">
        <w:t xml:space="preserve">a </w:t>
      </w:r>
      <w:r w:rsidRPr="00B46ACE">
        <w:t xml:space="preserve">PAGA claim and </w:t>
      </w:r>
      <w:r w:rsidR="002F4115">
        <w:t xml:space="preserve">the </w:t>
      </w:r>
      <w:r w:rsidRPr="00B46ACE">
        <w:t xml:space="preserve">trial court may limit the presentation of evidence, it behooves </w:t>
      </w:r>
      <w:r w:rsidR="002F4115">
        <w:t>the</w:t>
      </w:r>
      <w:r w:rsidRPr="00B46ACE">
        <w:t xml:space="preserve"> PAGA plaintiff to ensure that trial of the action is manageable so the maxi</w:t>
      </w:r>
      <w:r w:rsidRPr="00B46ACE">
        <w:t xml:space="preserve">mum number of potential violations may be established.  (See </w:t>
      </w:r>
      <w:bookmarkStart w:id="267" w:name="dabmci_6fab9bd9730248f58d9de8025223b500"/>
      <w:r w:rsidRPr="00B46ACE">
        <w:rPr>
          <w:i/>
          <w:iCs/>
        </w:rPr>
        <w:t>Estrada, supra</w:t>
      </w:r>
      <w:r w:rsidRPr="00B46ACE">
        <w:t>, 76 Cal.App.5th at p. 713</w:t>
      </w:r>
      <w:bookmarkEnd w:id="267"/>
      <w:r w:rsidRPr="00B46ACE">
        <w:t xml:space="preserve"> [noting that a trial court’s power to limit </w:t>
      </w:r>
      <w:r w:rsidR="00004BC3">
        <w:t xml:space="preserve">the presentation of </w:t>
      </w:r>
      <w:r w:rsidRPr="00B46ACE">
        <w:t>evidence may “encourage plaintiffs’ counsel to be prudent in their approach to PAGA claims</w:t>
      </w:r>
      <w:r w:rsidRPr="00B46ACE">
        <w:t xml:space="preserve"> and .</w:t>
      </w:r>
      <w:r w:rsidR="002B635F">
        <w:t> </w:t>
      </w:r>
      <w:r w:rsidRPr="00B46ACE">
        <w:t>.</w:t>
      </w:r>
      <w:r w:rsidR="002B635F">
        <w:t> </w:t>
      </w:r>
      <w:r w:rsidRPr="00B46ACE">
        <w:t>. ensure they can efficiently prove alleged violations to unrepresented employees,” since “[i]f a plaintiff alleges widespread violations of the Labor Code by an employer in a PAGA action but cannot prove them in an efficient manner, it does not s</w:t>
      </w:r>
      <w:r w:rsidRPr="00B46ACE">
        <w:t>eem unreasonable for the punishment assessed to be minimal”].)</w:t>
      </w:r>
    </w:p>
    <w:p w14:paraId="53FB68BC" w14:textId="77777777" w:rsidR="00484ECF" w:rsidRDefault="007742F5" w:rsidP="003A6490">
      <w:pPr>
        <w:ind w:firstLine="720"/>
      </w:pPr>
      <w:r>
        <w:t xml:space="preserve">And, of course, </w:t>
      </w:r>
      <w:r w:rsidRPr="0015039E">
        <w:t xml:space="preserve">a </w:t>
      </w:r>
      <w:r>
        <w:t xml:space="preserve">trial </w:t>
      </w:r>
      <w:r w:rsidRPr="0015039E">
        <w:t xml:space="preserve">court may issue substantive rulings, including those on demurrer, or on motions for summary judgment or judgment notwithstanding the verdict, </w:t>
      </w:r>
      <w:r w:rsidR="00F94A95">
        <w:t xml:space="preserve">provided for in </w:t>
      </w:r>
      <w:r>
        <w:t>the Code of</w:t>
      </w:r>
      <w:r w:rsidR="00F94A95">
        <w:t xml:space="preserve"> Civil Procedure </w:t>
      </w:r>
      <w:r w:rsidRPr="0015039E">
        <w:t>to fairly and efficiently adjudicate an action in cases in which a plaintiff pleads the claim in such an overbroad or unspecific manner that the plaintiff is unable to prove liability as to all or most employees.</w:t>
      </w:r>
      <w:r>
        <w:rPr>
          <w:rStyle w:val="FootnoteReference"/>
        </w:rPr>
        <w:footnoteReference w:id="40"/>
      </w:r>
    </w:p>
    <w:p w14:paraId="53FB68BD" w14:textId="77777777" w:rsidR="00CB2986" w:rsidRPr="00204D6D" w:rsidRDefault="007742F5" w:rsidP="00412613">
      <w:pPr>
        <w:ind w:firstLine="720"/>
        <w:rPr>
          <w:szCs w:val="26"/>
        </w:rPr>
      </w:pPr>
      <w:r>
        <w:rPr>
          <w:szCs w:val="26"/>
        </w:rPr>
        <w:lastRenderedPageBreak/>
        <w:t xml:space="preserve">In </w:t>
      </w:r>
      <w:r w:rsidR="00D6566F">
        <w:rPr>
          <w:szCs w:val="26"/>
        </w:rPr>
        <w:t>sum</w:t>
      </w:r>
      <w:r w:rsidR="006C48DE">
        <w:rPr>
          <w:szCs w:val="26"/>
        </w:rPr>
        <w:t xml:space="preserve">, </w:t>
      </w:r>
      <w:r w:rsidR="00FA605B" w:rsidRPr="00FA605B">
        <w:rPr>
          <w:szCs w:val="26"/>
        </w:rPr>
        <w:t xml:space="preserve">Justice Tobriner once said that </w:t>
      </w:r>
      <w:r w:rsidR="0005553E">
        <w:rPr>
          <w:szCs w:val="26"/>
        </w:rPr>
        <w:t>“[</w:t>
      </w:r>
      <w:r w:rsidR="00FA605B" w:rsidRPr="00FA605B">
        <w:rPr>
          <w:szCs w:val="26"/>
        </w:rPr>
        <w:t>n</w:t>
      </w:r>
      <w:r w:rsidR="0005553E">
        <w:rPr>
          <w:szCs w:val="26"/>
        </w:rPr>
        <w:t>]</w:t>
      </w:r>
      <w:r w:rsidR="00FA605B" w:rsidRPr="00FA605B">
        <w:rPr>
          <w:szCs w:val="26"/>
        </w:rPr>
        <w:t xml:space="preserve">o </w:t>
      </w:r>
      <w:r w:rsidR="0005553E" w:rsidRPr="0005553E">
        <w:rPr>
          <w:szCs w:val="26"/>
        </w:rPr>
        <w:t>class</w:t>
      </w:r>
      <w:r w:rsidR="0005553E">
        <w:rPr>
          <w:i/>
          <w:iCs/>
          <w:szCs w:val="26"/>
        </w:rPr>
        <w:t xml:space="preserve"> </w:t>
      </w:r>
      <w:r w:rsidR="00FA605B" w:rsidRPr="00FA605B">
        <w:rPr>
          <w:szCs w:val="26"/>
        </w:rPr>
        <w:t>action is inherently unmanageable,” because “a court</w:t>
      </w:r>
      <w:r w:rsidR="00FA605B">
        <w:rPr>
          <w:szCs w:val="26"/>
        </w:rPr>
        <w:t xml:space="preserve"> </w:t>
      </w:r>
      <w:r w:rsidR="00FA605B" w:rsidRPr="00FA605B">
        <w:rPr>
          <w:szCs w:val="26"/>
        </w:rPr>
        <w:t>always has access to a variety of techniques” to render the action manageable</w:t>
      </w:r>
      <w:r w:rsidR="004040B2">
        <w:rPr>
          <w:szCs w:val="26"/>
        </w:rPr>
        <w:t>,</w:t>
      </w:r>
      <w:r w:rsidR="00FA605B" w:rsidRPr="00FA605B">
        <w:rPr>
          <w:szCs w:val="26"/>
        </w:rPr>
        <w:t xml:space="preserve"> and “</w:t>
      </w:r>
      <w:r w:rsidR="002A293D">
        <w:rPr>
          <w:szCs w:val="26"/>
        </w:rPr>
        <w:t>[</w:t>
      </w:r>
      <w:r w:rsidR="00FA605B" w:rsidRPr="00FA605B">
        <w:rPr>
          <w:szCs w:val="26"/>
        </w:rPr>
        <w:t>t</w:t>
      </w:r>
      <w:r w:rsidR="002A293D">
        <w:rPr>
          <w:szCs w:val="26"/>
        </w:rPr>
        <w:t>]</w:t>
      </w:r>
      <w:r w:rsidR="00FA605B" w:rsidRPr="00FA605B">
        <w:rPr>
          <w:szCs w:val="26"/>
        </w:rPr>
        <w:t>he critical</w:t>
      </w:r>
      <w:r w:rsidR="0033199B">
        <w:rPr>
          <w:szCs w:val="26"/>
        </w:rPr>
        <w:t xml:space="preserve"> </w:t>
      </w:r>
      <w:r w:rsidR="00FA605B" w:rsidRPr="00FA605B">
        <w:rPr>
          <w:szCs w:val="26"/>
        </w:rPr>
        <w:t>question</w:t>
      </w:r>
      <w:r w:rsidR="0075638E">
        <w:rPr>
          <w:szCs w:val="26"/>
        </w:rPr>
        <w:t xml:space="preserve"> </w:t>
      </w:r>
      <w:r w:rsidR="00FA605B" w:rsidRPr="00FA605B">
        <w:rPr>
          <w:szCs w:val="26"/>
        </w:rPr>
        <w:t>.</w:t>
      </w:r>
      <w:r w:rsidR="0075638E">
        <w:rPr>
          <w:szCs w:val="26"/>
        </w:rPr>
        <w:t> </w:t>
      </w:r>
      <w:r w:rsidR="00FA605B" w:rsidRPr="00FA605B">
        <w:rPr>
          <w:szCs w:val="26"/>
        </w:rPr>
        <w:t>.</w:t>
      </w:r>
      <w:r w:rsidR="0075638E">
        <w:rPr>
          <w:szCs w:val="26"/>
        </w:rPr>
        <w:t> </w:t>
      </w:r>
      <w:r w:rsidR="00FA605B" w:rsidRPr="00FA605B">
        <w:rPr>
          <w:szCs w:val="26"/>
        </w:rPr>
        <w:t>. is whether the techniques necessary to render .</w:t>
      </w:r>
      <w:r w:rsidR="0075638E">
        <w:rPr>
          <w:szCs w:val="26"/>
        </w:rPr>
        <w:t> </w:t>
      </w:r>
      <w:r w:rsidR="00FA605B" w:rsidRPr="00FA605B">
        <w:rPr>
          <w:szCs w:val="26"/>
        </w:rPr>
        <w:t>.</w:t>
      </w:r>
      <w:r w:rsidR="0075638E">
        <w:rPr>
          <w:szCs w:val="26"/>
        </w:rPr>
        <w:t> </w:t>
      </w:r>
      <w:r w:rsidR="00FA605B" w:rsidRPr="00FA605B">
        <w:rPr>
          <w:szCs w:val="26"/>
        </w:rPr>
        <w:t>. [the] action manageable are</w:t>
      </w:r>
      <w:r w:rsidR="00FA605B">
        <w:rPr>
          <w:szCs w:val="26"/>
        </w:rPr>
        <w:t xml:space="preserve"> </w:t>
      </w:r>
      <w:r w:rsidR="00FA605B" w:rsidRPr="00FA605B">
        <w:rPr>
          <w:szCs w:val="26"/>
        </w:rPr>
        <w:t>unconstitutional</w:t>
      </w:r>
      <w:r w:rsidR="00C162EF">
        <w:rPr>
          <w:szCs w:val="26"/>
        </w:rPr>
        <w:t>,</w:t>
      </w:r>
      <w:r w:rsidR="00C4245A" w:rsidRPr="00C4245A">
        <w:rPr>
          <w:rFonts w:ascii="Source Sans Pro" w:hAnsi="Source Sans Pro"/>
          <w:color w:val="000000"/>
          <w:sz w:val="24"/>
          <w:szCs w:val="24"/>
        </w:rPr>
        <w:t xml:space="preserve"> </w:t>
      </w:r>
      <w:r w:rsidR="00C4245A" w:rsidRPr="00C4245A">
        <w:rPr>
          <w:szCs w:val="26"/>
        </w:rPr>
        <w:t>or so distort the values a particular cause of action is meant to further that class suit would be improper</w:t>
      </w:r>
      <w:r w:rsidR="00FA605B" w:rsidRPr="00FA605B">
        <w:rPr>
          <w:szCs w:val="26"/>
        </w:rPr>
        <w:t>.”</w:t>
      </w:r>
      <w:r w:rsidR="0056158D">
        <w:rPr>
          <w:szCs w:val="26"/>
        </w:rPr>
        <w:t xml:space="preserve"> </w:t>
      </w:r>
      <w:r w:rsidR="00FA605B" w:rsidRPr="00FA605B">
        <w:rPr>
          <w:szCs w:val="26"/>
        </w:rPr>
        <w:t xml:space="preserve"> (</w:t>
      </w:r>
      <w:bookmarkStart w:id="268" w:name="dabmci_eb7a4b8711fb4a2b9679b5bfd719c0f3"/>
      <w:r w:rsidR="00FA605B" w:rsidRPr="00FA605B">
        <w:rPr>
          <w:i/>
          <w:iCs/>
          <w:szCs w:val="26"/>
        </w:rPr>
        <w:t xml:space="preserve">Blue Chip Stamps v. Superior Ct. </w:t>
      </w:r>
      <w:r w:rsidR="00FA605B" w:rsidRPr="00FA605B">
        <w:rPr>
          <w:szCs w:val="26"/>
        </w:rPr>
        <w:t xml:space="preserve">(1976) 18 Cal.3d 381, </w:t>
      </w:r>
      <w:r w:rsidR="00621A6D" w:rsidRPr="00FA605B">
        <w:rPr>
          <w:szCs w:val="26"/>
        </w:rPr>
        <w:t>3</w:t>
      </w:r>
      <w:r w:rsidR="00621A6D">
        <w:rPr>
          <w:szCs w:val="26"/>
        </w:rPr>
        <w:t>90</w:t>
      </w:r>
      <w:r w:rsidR="004350B3">
        <w:rPr>
          <w:szCs w:val="26"/>
        </w:rPr>
        <w:t>, fn.</w:t>
      </w:r>
      <w:r w:rsidR="002F4115">
        <w:rPr>
          <w:szCs w:val="26"/>
        </w:rPr>
        <w:t> </w:t>
      </w:r>
      <w:r w:rsidR="004350B3">
        <w:rPr>
          <w:szCs w:val="26"/>
        </w:rPr>
        <w:t>3</w:t>
      </w:r>
      <w:bookmarkEnd w:id="268"/>
      <w:r w:rsidR="00FA605B" w:rsidRPr="00FA605B">
        <w:rPr>
          <w:szCs w:val="26"/>
        </w:rPr>
        <w:t xml:space="preserve"> (conc. opn. of</w:t>
      </w:r>
      <w:r w:rsidR="00FA605B">
        <w:rPr>
          <w:szCs w:val="26"/>
        </w:rPr>
        <w:t xml:space="preserve"> </w:t>
      </w:r>
      <w:r w:rsidR="00FA605B" w:rsidRPr="00FA605B">
        <w:rPr>
          <w:szCs w:val="26"/>
        </w:rPr>
        <w:t>Tobriner, J.)</w:t>
      </w:r>
      <w:r w:rsidR="0005553E">
        <w:rPr>
          <w:szCs w:val="26"/>
        </w:rPr>
        <w:t xml:space="preserve">.) </w:t>
      </w:r>
      <w:r w:rsidR="00C8203A">
        <w:rPr>
          <w:szCs w:val="26"/>
        </w:rPr>
        <w:t xml:space="preserve"> The same is true with PAGA claims.  </w:t>
      </w:r>
      <w:r w:rsidR="002F4115">
        <w:rPr>
          <w:szCs w:val="26"/>
        </w:rPr>
        <w:t>T</w:t>
      </w:r>
      <w:r w:rsidR="0091239F">
        <w:rPr>
          <w:szCs w:val="26"/>
        </w:rPr>
        <w:t>rial</w:t>
      </w:r>
      <w:r w:rsidR="00FA605B" w:rsidRPr="00FA605B">
        <w:rPr>
          <w:szCs w:val="26"/>
        </w:rPr>
        <w:t xml:space="preserve"> court</w:t>
      </w:r>
      <w:r w:rsidR="0091239F">
        <w:rPr>
          <w:szCs w:val="26"/>
        </w:rPr>
        <w:t>s</w:t>
      </w:r>
      <w:r w:rsidR="00FA605B" w:rsidRPr="00FA605B">
        <w:rPr>
          <w:szCs w:val="26"/>
        </w:rPr>
        <w:t xml:space="preserve"> </w:t>
      </w:r>
      <w:r w:rsidR="002D4005">
        <w:rPr>
          <w:szCs w:val="26"/>
        </w:rPr>
        <w:t>face the sometimes difficult task of employing</w:t>
      </w:r>
      <w:r w:rsidR="00840D06">
        <w:rPr>
          <w:szCs w:val="26"/>
        </w:rPr>
        <w:t xml:space="preserve"> </w:t>
      </w:r>
      <w:r w:rsidR="00C8203A">
        <w:rPr>
          <w:szCs w:val="26"/>
        </w:rPr>
        <w:t xml:space="preserve">case management </w:t>
      </w:r>
      <w:r w:rsidR="00840D06">
        <w:rPr>
          <w:szCs w:val="26"/>
        </w:rPr>
        <w:t xml:space="preserve">techniques </w:t>
      </w:r>
      <w:r w:rsidR="00C8203A">
        <w:rPr>
          <w:szCs w:val="26"/>
        </w:rPr>
        <w:t xml:space="preserve">in a way that </w:t>
      </w:r>
      <w:r w:rsidR="00840D06">
        <w:rPr>
          <w:szCs w:val="26"/>
        </w:rPr>
        <w:t>preserve</w:t>
      </w:r>
      <w:r w:rsidR="004C1DAB">
        <w:rPr>
          <w:szCs w:val="26"/>
        </w:rPr>
        <w:t>s</w:t>
      </w:r>
      <w:r w:rsidR="00840D06">
        <w:rPr>
          <w:szCs w:val="26"/>
        </w:rPr>
        <w:t xml:space="preserve"> the </w:t>
      </w:r>
      <w:r w:rsidR="003D237F">
        <w:rPr>
          <w:szCs w:val="26"/>
        </w:rPr>
        <w:t xml:space="preserve">parties’ </w:t>
      </w:r>
      <w:r w:rsidR="00840D06">
        <w:rPr>
          <w:szCs w:val="26"/>
        </w:rPr>
        <w:t>statutory and constitutional rights</w:t>
      </w:r>
      <w:r w:rsidR="00E66CCC">
        <w:rPr>
          <w:szCs w:val="26"/>
        </w:rPr>
        <w:t>.</w:t>
      </w:r>
      <w:r>
        <w:rPr>
          <w:rStyle w:val="FootnoteReference"/>
          <w:szCs w:val="26"/>
        </w:rPr>
        <w:footnoteReference w:id="41"/>
      </w:r>
      <w:r w:rsidR="003317A5">
        <w:rPr>
          <w:szCs w:val="26"/>
        </w:rPr>
        <w:t xml:space="preserve">  </w:t>
      </w:r>
      <w:r w:rsidR="00EC30D9">
        <w:rPr>
          <w:szCs w:val="26"/>
        </w:rPr>
        <w:t xml:space="preserve">For the reasons we have explained </w:t>
      </w:r>
      <w:bookmarkStart w:id="269" w:name="dabmci_f13c71ff949f4f02b388a240d7739a76"/>
      <w:r w:rsidR="00EC30D9" w:rsidRPr="006C48DE">
        <w:rPr>
          <w:i/>
          <w:iCs/>
          <w:szCs w:val="26"/>
        </w:rPr>
        <w:t>ante</w:t>
      </w:r>
      <w:r w:rsidR="00EC30D9">
        <w:rPr>
          <w:szCs w:val="26"/>
        </w:rPr>
        <w:t>,</w:t>
      </w:r>
      <w:bookmarkEnd w:id="269"/>
      <w:r w:rsidR="00EC30D9">
        <w:rPr>
          <w:szCs w:val="26"/>
        </w:rPr>
        <w:t xml:space="preserve"> s</w:t>
      </w:r>
      <w:r w:rsidR="003317A5">
        <w:rPr>
          <w:szCs w:val="26"/>
        </w:rPr>
        <w:t>triking a PAGA claim on manageability grounds alone</w:t>
      </w:r>
      <w:r w:rsidR="00F94352">
        <w:rPr>
          <w:szCs w:val="26"/>
        </w:rPr>
        <w:t>, as the trial court did in this case,</w:t>
      </w:r>
      <w:r w:rsidR="003317A5">
        <w:rPr>
          <w:szCs w:val="26"/>
        </w:rPr>
        <w:t xml:space="preserve"> is inconsistent with a plaintiff’s statutory right </w:t>
      </w:r>
      <w:r w:rsidR="00F8131E">
        <w:rPr>
          <w:szCs w:val="26"/>
        </w:rPr>
        <w:t>to bring such a claim</w:t>
      </w:r>
      <w:r w:rsidR="00EC30D9">
        <w:rPr>
          <w:szCs w:val="26"/>
        </w:rPr>
        <w:t xml:space="preserve"> and is beyond a trial court’s inherent authority</w:t>
      </w:r>
      <w:r w:rsidR="00F8131E">
        <w:rPr>
          <w:szCs w:val="26"/>
        </w:rPr>
        <w:t xml:space="preserve">.  </w:t>
      </w:r>
      <w:r w:rsidR="006C48DE">
        <w:rPr>
          <w:szCs w:val="26"/>
        </w:rPr>
        <w:t>And</w:t>
      </w:r>
      <w:r w:rsidR="002F4115">
        <w:rPr>
          <w:szCs w:val="26"/>
        </w:rPr>
        <w:t xml:space="preserve"> while we do not foreclose the possibility that </w:t>
      </w:r>
      <w:r w:rsidR="00FA605B" w:rsidRPr="00FA605B">
        <w:rPr>
          <w:szCs w:val="26"/>
        </w:rPr>
        <w:t xml:space="preserve">a defendant </w:t>
      </w:r>
      <w:r w:rsidR="002F4115">
        <w:rPr>
          <w:szCs w:val="26"/>
        </w:rPr>
        <w:t xml:space="preserve">could </w:t>
      </w:r>
      <w:r w:rsidR="00FA605B" w:rsidRPr="00FA605B">
        <w:rPr>
          <w:szCs w:val="26"/>
        </w:rPr>
        <w:t xml:space="preserve">demonstrate that </w:t>
      </w:r>
      <w:r w:rsidR="00DA462A">
        <w:rPr>
          <w:szCs w:val="26"/>
        </w:rPr>
        <w:t>a trial court’s</w:t>
      </w:r>
      <w:r w:rsidR="00FA605B" w:rsidRPr="00FA605B">
        <w:rPr>
          <w:szCs w:val="26"/>
        </w:rPr>
        <w:t xml:space="preserve"> use of case</w:t>
      </w:r>
      <w:r w:rsidR="00E530F4">
        <w:rPr>
          <w:szCs w:val="26"/>
        </w:rPr>
        <w:t xml:space="preserve"> </w:t>
      </w:r>
      <w:r w:rsidR="00FA605B" w:rsidRPr="00FA605B">
        <w:rPr>
          <w:szCs w:val="26"/>
        </w:rPr>
        <w:t xml:space="preserve">management techniques so abridged the defendant’s right to present a defense that </w:t>
      </w:r>
      <w:r w:rsidR="00424397">
        <w:rPr>
          <w:szCs w:val="26"/>
        </w:rPr>
        <w:t xml:space="preserve">its right to </w:t>
      </w:r>
      <w:r w:rsidR="00FA605B" w:rsidRPr="00FA605B">
        <w:rPr>
          <w:szCs w:val="26"/>
        </w:rPr>
        <w:t xml:space="preserve">due process </w:t>
      </w:r>
      <w:r w:rsidR="00053427">
        <w:rPr>
          <w:szCs w:val="26"/>
        </w:rPr>
        <w:t>wa</w:t>
      </w:r>
      <w:r w:rsidR="00FA605B" w:rsidRPr="00FA605B">
        <w:rPr>
          <w:szCs w:val="26"/>
        </w:rPr>
        <w:t>s</w:t>
      </w:r>
      <w:r w:rsidR="00E530F4">
        <w:rPr>
          <w:szCs w:val="26"/>
        </w:rPr>
        <w:t xml:space="preserve"> </w:t>
      </w:r>
      <w:r w:rsidR="00FA605B" w:rsidRPr="00FA605B">
        <w:rPr>
          <w:szCs w:val="26"/>
        </w:rPr>
        <w:t>violated</w:t>
      </w:r>
      <w:r w:rsidR="00F37503">
        <w:rPr>
          <w:szCs w:val="26"/>
        </w:rPr>
        <w:t xml:space="preserve">, that showing </w:t>
      </w:r>
      <w:r w:rsidR="00D411B6">
        <w:rPr>
          <w:szCs w:val="26"/>
        </w:rPr>
        <w:t>has not been made here.</w:t>
      </w:r>
      <w:r>
        <w:rPr>
          <w:rStyle w:val="FootnoteReference"/>
          <w:szCs w:val="26"/>
        </w:rPr>
        <w:footnoteReference w:id="42"/>
      </w:r>
    </w:p>
    <w:p w14:paraId="53FB68BE" w14:textId="21377396" w:rsidR="00CB2986" w:rsidRPr="00837317" w:rsidRDefault="007742F5" w:rsidP="003B7766">
      <w:pPr>
        <w:pStyle w:val="Heading2"/>
        <w:numPr>
          <w:ilvl w:val="0"/>
          <w:numId w:val="5"/>
        </w:numPr>
        <w:tabs>
          <w:tab w:val="clear" w:pos="1152"/>
        </w:tabs>
      </w:pPr>
      <w:bookmarkStart w:id="270" w:name="_Toc123211697"/>
      <w:bookmarkStart w:id="271" w:name="_Toc123211860"/>
      <w:bookmarkStart w:id="272" w:name="_Toc134627263"/>
      <w:bookmarkStart w:id="273" w:name="_Toc135051372"/>
      <w:bookmarkStart w:id="274" w:name="_Toc135058511"/>
      <w:r w:rsidRPr="00837317">
        <w:lastRenderedPageBreak/>
        <w:t>Conclusion</w:t>
      </w:r>
    </w:p>
    <w:bookmarkEnd w:id="270"/>
    <w:bookmarkEnd w:id="271"/>
    <w:bookmarkEnd w:id="272"/>
    <w:bookmarkEnd w:id="273"/>
    <w:bookmarkEnd w:id="274"/>
    <w:p w14:paraId="53FB68BF" w14:textId="77777777" w:rsidR="001B6991" w:rsidRPr="00837317" w:rsidRDefault="007742F5" w:rsidP="00837317">
      <w:pPr>
        <w:ind w:firstLine="720"/>
      </w:pPr>
      <w:r>
        <w:t xml:space="preserve">We acknowledge the challenges presented by complex cases, including </w:t>
      </w:r>
      <w:r w:rsidR="00F16B70">
        <w:t xml:space="preserve">representative </w:t>
      </w:r>
      <w:r>
        <w:t>PAGA actions, and we leave undisturbed various case management tools designed to ensure that these cases are efficiently, fairly, and effectively tried.  Nonetheless, there are limits to a trial court’s discretion when determining how to balance the intere</w:t>
      </w:r>
      <w:r>
        <w:t xml:space="preserve">sts of the parties before it.  </w:t>
      </w:r>
      <w:r w:rsidR="00CB2986" w:rsidRPr="00837317">
        <w:t>W</w:t>
      </w:r>
      <w:r w:rsidRPr="00837317">
        <w:t>e hold that the Court of Appeal properly concluded that a trial court “cannot dismiss a PAGA claim based on manageability.”  (</w:t>
      </w:r>
      <w:bookmarkStart w:id="275" w:name="dabmci_88388a0a01db4db599802944124dc8e1"/>
      <w:r w:rsidRPr="00837317">
        <w:rPr>
          <w:i/>
          <w:iCs/>
        </w:rPr>
        <w:t>Estrada</w:t>
      </w:r>
      <w:r w:rsidRPr="00837317">
        <w:t>,</w:t>
      </w:r>
      <w:r w:rsidR="007753B5" w:rsidRPr="00837317">
        <w:t xml:space="preserve"> </w:t>
      </w:r>
      <w:r w:rsidRPr="00837317">
        <w:rPr>
          <w:i/>
          <w:iCs/>
        </w:rPr>
        <w:t>supra</w:t>
      </w:r>
      <w:r w:rsidRPr="00837317">
        <w:t>,</w:t>
      </w:r>
      <w:r w:rsidR="007753B5" w:rsidRPr="00837317">
        <w:t xml:space="preserve"> </w:t>
      </w:r>
      <w:r w:rsidRPr="00837317">
        <w:t>76</w:t>
      </w:r>
      <w:r w:rsidR="007753B5" w:rsidRPr="00837317">
        <w:t> </w:t>
      </w:r>
      <w:r w:rsidRPr="00837317">
        <w:t>Cal.App.5th at p.</w:t>
      </w:r>
      <w:r w:rsidR="007753B5" w:rsidRPr="00837317">
        <w:t> </w:t>
      </w:r>
      <w:r w:rsidRPr="00837317">
        <w:t>709</w:t>
      </w:r>
      <w:bookmarkEnd w:id="275"/>
      <w:r w:rsidRPr="00837317">
        <w:t xml:space="preserve">.)  Accordingly, we further conclude that the Court of </w:t>
      </w:r>
      <w:r w:rsidRPr="00837317">
        <w:t>Appeal properly reversed the trial court’s order dismissing</w:t>
      </w:r>
      <w:r w:rsidR="00BA01BB" w:rsidRPr="00837317">
        <w:t>, on manageability grounds,</w:t>
      </w:r>
      <w:r w:rsidRPr="00837317">
        <w:t xml:space="preserve"> that portion of the plaintiffs’ Dyer/Derian PAGA claim based on meal period violations and properly remanded for a new trial on this claim.  (</w:t>
      </w:r>
      <w:bookmarkStart w:id="276" w:name="dabmci_72a825c66cb2424bb7fa05d4baa8d379"/>
      <w:r w:rsidRPr="00837317">
        <w:rPr>
          <w:i/>
          <w:iCs/>
        </w:rPr>
        <w:t>Id</w:t>
      </w:r>
      <w:r w:rsidRPr="00837317">
        <w:t>. at p.</w:t>
      </w:r>
      <w:r w:rsidR="007753B5" w:rsidRPr="00837317">
        <w:t> </w:t>
      </w:r>
      <w:r w:rsidRPr="00837317">
        <w:t>731</w:t>
      </w:r>
      <w:bookmarkEnd w:id="276"/>
      <w:r w:rsidRPr="00837317">
        <w:t>.)</w:t>
      </w:r>
      <w:r w:rsidR="002F4115">
        <w:t xml:space="preserve">  </w:t>
      </w:r>
    </w:p>
    <w:p w14:paraId="53FB68C0" w14:textId="77777777" w:rsidR="001B6991" w:rsidRPr="00837317" w:rsidRDefault="007742F5" w:rsidP="00005009">
      <w:pPr>
        <w:pStyle w:val="Heading1"/>
      </w:pPr>
      <w:bookmarkStart w:id="277" w:name="_Toc134627264"/>
      <w:bookmarkStart w:id="278" w:name="_Toc135051373"/>
      <w:bookmarkStart w:id="279" w:name="_Toc135058512"/>
      <w:bookmarkStart w:id="280" w:name="_Toc123211698"/>
      <w:bookmarkStart w:id="281" w:name="_Toc123211861"/>
      <w:r w:rsidRPr="00837317">
        <w:t>I</w:t>
      </w:r>
      <w:r w:rsidR="00504100" w:rsidRPr="00837317">
        <w:t>II</w:t>
      </w:r>
      <w:r w:rsidRPr="00837317">
        <w:t>.</w:t>
      </w:r>
      <w:bookmarkEnd w:id="277"/>
      <w:bookmarkEnd w:id="278"/>
      <w:bookmarkEnd w:id="279"/>
      <w:r w:rsidRPr="00837317">
        <w:t xml:space="preserve"> </w:t>
      </w:r>
      <w:bookmarkStart w:id="282" w:name="_Toc134627265"/>
      <w:bookmarkStart w:id="283" w:name="_Toc135051374"/>
      <w:bookmarkStart w:id="284" w:name="_Toc135058513"/>
      <w:r w:rsidR="00CF64EC">
        <w:t xml:space="preserve"> </w:t>
      </w:r>
      <w:r w:rsidRPr="00837317">
        <w:t>Dis</w:t>
      </w:r>
      <w:r w:rsidRPr="00837317">
        <w:t>position</w:t>
      </w:r>
      <w:bookmarkEnd w:id="280"/>
      <w:bookmarkEnd w:id="281"/>
      <w:bookmarkEnd w:id="282"/>
      <w:bookmarkEnd w:id="283"/>
      <w:bookmarkEnd w:id="284"/>
      <w:r w:rsidRPr="00837317">
        <w:t xml:space="preserve"> </w:t>
      </w:r>
    </w:p>
    <w:p w14:paraId="53FB68C1" w14:textId="77777777" w:rsidR="001B6991" w:rsidRPr="00837317" w:rsidRDefault="007742F5" w:rsidP="00AD5A51">
      <w:pPr>
        <w:keepNext/>
        <w:ind w:firstLine="720"/>
      </w:pPr>
      <w:r>
        <w:t>W</w:t>
      </w:r>
      <w:r w:rsidR="00AB6CD5" w:rsidRPr="00837317">
        <w:t>e affirm t</w:t>
      </w:r>
      <w:r w:rsidRPr="00837317">
        <w:t>he Court of Appeal</w:t>
      </w:r>
      <w:r w:rsidR="00D2464B">
        <w:t>’s judg</w:t>
      </w:r>
      <w:r w:rsidR="00EE2225">
        <w:t>ment</w:t>
      </w:r>
      <w:r w:rsidRPr="00837317">
        <w:t>.</w:t>
      </w:r>
    </w:p>
    <w:p w14:paraId="53FB68C2" w14:textId="77777777" w:rsidR="00AB6CD5" w:rsidRDefault="007742F5" w:rsidP="00AD5A51">
      <w:pPr>
        <w:keepNext/>
        <w:spacing w:before="240"/>
        <w:ind w:left="5760" w:hanging="450"/>
        <w:rPr>
          <w:b/>
        </w:rPr>
      </w:pPr>
      <w:r w:rsidRPr="00837317">
        <w:rPr>
          <w:b/>
        </w:rPr>
        <w:t>GUERRERO, C. J.</w:t>
      </w:r>
    </w:p>
    <w:p w14:paraId="53FB68C3" w14:textId="77777777" w:rsidR="00885D70" w:rsidRDefault="007742F5" w:rsidP="001A17A5">
      <w:pPr>
        <w:spacing w:before="240"/>
        <w:rPr>
          <w:b/>
          <w:bCs/>
        </w:rPr>
      </w:pPr>
      <w:r w:rsidRPr="00885D70">
        <w:rPr>
          <w:b/>
          <w:bCs/>
        </w:rPr>
        <w:t>We Concur:</w:t>
      </w:r>
    </w:p>
    <w:p w14:paraId="53FB68C4" w14:textId="77777777" w:rsidR="00D72135" w:rsidRDefault="007742F5" w:rsidP="00C50E48">
      <w:pPr>
        <w:spacing w:after="0" w:line="240" w:lineRule="auto"/>
        <w:rPr>
          <w:b/>
          <w:lang w:val="it-IT"/>
        </w:rPr>
      </w:pPr>
      <w:r w:rsidRPr="000413AA">
        <w:rPr>
          <w:b/>
          <w:lang w:val="it-IT"/>
        </w:rPr>
        <w:t>CORRIGAN, J.</w:t>
      </w:r>
    </w:p>
    <w:p w14:paraId="53FB68C5" w14:textId="77777777" w:rsidR="00D72135" w:rsidRDefault="007742F5" w:rsidP="00C50E48">
      <w:pPr>
        <w:spacing w:after="0" w:line="240" w:lineRule="auto"/>
        <w:rPr>
          <w:b/>
          <w:lang w:val="it-IT"/>
        </w:rPr>
      </w:pPr>
      <w:r>
        <w:rPr>
          <w:b/>
          <w:lang w:val="it-IT"/>
        </w:rPr>
        <w:t>LIU, J.</w:t>
      </w:r>
    </w:p>
    <w:p w14:paraId="53FB68C6" w14:textId="77777777" w:rsidR="00D72135" w:rsidRPr="000413AA" w:rsidRDefault="007742F5" w:rsidP="00C50E48">
      <w:pPr>
        <w:spacing w:after="0" w:line="240" w:lineRule="auto"/>
        <w:rPr>
          <w:b/>
          <w:lang w:val="it-IT"/>
        </w:rPr>
      </w:pPr>
      <w:r>
        <w:rPr>
          <w:b/>
          <w:lang w:val="it-IT"/>
        </w:rPr>
        <w:t>KRUGER, J.</w:t>
      </w:r>
    </w:p>
    <w:p w14:paraId="53FB68C7" w14:textId="77777777" w:rsidR="00D72135" w:rsidRPr="000413AA" w:rsidRDefault="007742F5" w:rsidP="00C50E48">
      <w:pPr>
        <w:spacing w:after="0" w:line="240" w:lineRule="auto"/>
        <w:jc w:val="left"/>
        <w:rPr>
          <w:b/>
        </w:rPr>
      </w:pPr>
      <w:r w:rsidRPr="000413AA">
        <w:rPr>
          <w:b/>
        </w:rPr>
        <w:t>GROBAN, J.</w:t>
      </w:r>
    </w:p>
    <w:p w14:paraId="53FB68C8" w14:textId="77777777" w:rsidR="00D72135" w:rsidRPr="000413AA" w:rsidRDefault="007742F5" w:rsidP="00C50E48">
      <w:pPr>
        <w:spacing w:after="0" w:line="240" w:lineRule="auto"/>
        <w:jc w:val="left"/>
        <w:rPr>
          <w:b/>
        </w:rPr>
      </w:pPr>
      <w:r w:rsidRPr="000413AA">
        <w:rPr>
          <w:b/>
        </w:rPr>
        <w:t>JENKINS, J.</w:t>
      </w:r>
    </w:p>
    <w:p w14:paraId="53FB68C9" w14:textId="77777777" w:rsidR="00D72135" w:rsidRDefault="007742F5" w:rsidP="00C50E48">
      <w:pPr>
        <w:spacing w:after="0" w:line="240" w:lineRule="auto"/>
        <w:jc w:val="left"/>
        <w:rPr>
          <w:b/>
        </w:rPr>
      </w:pPr>
      <w:r w:rsidRPr="000413AA">
        <w:rPr>
          <w:b/>
        </w:rPr>
        <w:t>EVANS, J.</w:t>
      </w:r>
    </w:p>
    <w:p w14:paraId="507ACB41" w14:textId="77777777" w:rsidR="008C4FC2" w:rsidRDefault="008C4FC2" w:rsidP="00D72135">
      <w:pPr>
        <w:spacing w:after="0" w:line="240" w:lineRule="auto"/>
        <w:jc w:val="left"/>
        <w:rPr>
          <w:b/>
        </w:rPr>
        <w:sectPr w:rsidR="008C4FC2" w:rsidSect="00837317">
          <w:footerReference w:type="first" r:id="rId13"/>
          <w:pgSz w:w="12240" w:h="15840"/>
          <w:pgMar w:top="1800" w:right="2160" w:bottom="1440" w:left="2160" w:header="720" w:footer="720" w:gutter="0"/>
          <w:pgNumType w:start="1"/>
          <w:cols w:space="720"/>
          <w:titlePg/>
          <w:docGrid w:linePitch="367"/>
        </w:sectPr>
      </w:pPr>
    </w:p>
    <w:p w14:paraId="7E814111" w14:textId="77777777" w:rsidR="008C4FC2" w:rsidRPr="008C4FC2" w:rsidRDefault="008C4FC2" w:rsidP="008C4FC2">
      <w:pPr>
        <w:spacing w:after="0" w:line="240" w:lineRule="auto"/>
        <w:jc w:val="left"/>
        <w:rPr>
          <w:i/>
          <w:sz w:val="24"/>
          <w:szCs w:val="24"/>
        </w:rPr>
      </w:pPr>
      <w:r w:rsidRPr="008C4FC2">
        <w:rPr>
          <w:i/>
          <w:sz w:val="24"/>
          <w:szCs w:val="24"/>
        </w:rPr>
        <w:lastRenderedPageBreak/>
        <w:t>See next page for addresses and telephone numbers for counsel who argued in Supreme Court.</w:t>
      </w:r>
    </w:p>
    <w:p w14:paraId="3FAA337E" w14:textId="77777777" w:rsidR="008C4FC2" w:rsidRPr="008C4FC2" w:rsidRDefault="008C4FC2" w:rsidP="008C4FC2">
      <w:pPr>
        <w:spacing w:after="0" w:line="240" w:lineRule="auto"/>
        <w:jc w:val="left"/>
        <w:rPr>
          <w:i/>
          <w:sz w:val="24"/>
          <w:szCs w:val="24"/>
        </w:rPr>
      </w:pPr>
    </w:p>
    <w:p w14:paraId="7F864E99" w14:textId="77777777" w:rsidR="008C4FC2" w:rsidRPr="008C4FC2" w:rsidRDefault="008C4FC2" w:rsidP="008C4FC2">
      <w:pPr>
        <w:spacing w:after="0" w:line="240" w:lineRule="auto"/>
        <w:jc w:val="left"/>
        <w:rPr>
          <w:bCs/>
          <w:sz w:val="24"/>
          <w:szCs w:val="24"/>
        </w:rPr>
      </w:pPr>
      <w:r w:rsidRPr="008C4FC2">
        <w:rPr>
          <w:b/>
          <w:sz w:val="24"/>
          <w:szCs w:val="24"/>
        </w:rPr>
        <w:t xml:space="preserve">Name of Opinion  </w:t>
      </w:r>
      <w:r w:rsidRPr="008C4FC2">
        <w:rPr>
          <w:bCs/>
          <w:sz w:val="24"/>
          <w:szCs w:val="24"/>
        </w:rPr>
        <w:t>Estrada v. Royalty Carpet Mills, Inc.</w:t>
      </w:r>
    </w:p>
    <w:p w14:paraId="5E823E03" w14:textId="77777777" w:rsidR="008C4FC2" w:rsidRPr="008C4FC2" w:rsidRDefault="008C4FC2" w:rsidP="008C4FC2">
      <w:pPr>
        <w:spacing w:after="0" w:line="240" w:lineRule="auto"/>
        <w:jc w:val="left"/>
        <w:rPr>
          <w:b/>
          <w:sz w:val="24"/>
          <w:szCs w:val="24"/>
        </w:rPr>
      </w:pPr>
      <w:r w:rsidRPr="008C4FC2">
        <w:rPr>
          <w:b/>
          <w:sz w:val="24"/>
          <w:szCs w:val="24"/>
        </w:rPr>
        <w:t xml:space="preserve">__________________________________________________________ </w:t>
      </w:r>
    </w:p>
    <w:p w14:paraId="4591F1CD" w14:textId="77777777" w:rsidR="008C4FC2" w:rsidRPr="008C4FC2" w:rsidRDefault="008C4FC2" w:rsidP="008C4FC2">
      <w:pPr>
        <w:spacing w:after="0" w:line="240" w:lineRule="auto"/>
        <w:jc w:val="left"/>
        <w:rPr>
          <w:b/>
          <w:sz w:val="24"/>
          <w:szCs w:val="24"/>
        </w:rPr>
      </w:pPr>
    </w:p>
    <w:p w14:paraId="0AF610DB" w14:textId="77777777" w:rsidR="008C4FC2" w:rsidRPr="008C4FC2" w:rsidRDefault="008C4FC2" w:rsidP="008C4FC2">
      <w:pPr>
        <w:spacing w:after="0" w:line="240" w:lineRule="auto"/>
        <w:jc w:val="left"/>
        <w:rPr>
          <w:sz w:val="24"/>
          <w:szCs w:val="24"/>
        </w:rPr>
      </w:pPr>
      <w:r w:rsidRPr="008C4FC2">
        <w:rPr>
          <w:b/>
          <w:bCs/>
          <w:sz w:val="24"/>
          <w:szCs w:val="24"/>
          <w:u w:val="single"/>
        </w:rPr>
        <w:t>Procedural Posture</w:t>
      </w:r>
      <w:r w:rsidRPr="008C4FC2">
        <w:rPr>
          <w:b/>
          <w:bCs/>
          <w:sz w:val="24"/>
          <w:szCs w:val="24"/>
        </w:rPr>
        <w:t xml:space="preserve"> </w:t>
      </w:r>
      <w:r w:rsidRPr="008C4FC2">
        <w:rPr>
          <w:sz w:val="24"/>
          <w:szCs w:val="24"/>
        </w:rPr>
        <w:t>(see XX below)</w:t>
      </w:r>
    </w:p>
    <w:p w14:paraId="1CF14AB2" w14:textId="77777777" w:rsidR="008C4FC2" w:rsidRPr="008C4FC2" w:rsidRDefault="008C4FC2" w:rsidP="008C4FC2">
      <w:pPr>
        <w:spacing w:after="0" w:line="240" w:lineRule="auto"/>
        <w:jc w:val="left"/>
        <w:rPr>
          <w:sz w:val="24"/>
          <w:szCs w:val="24"/>
        </w:rPr>
      </w:pPr>
      <w:r w:rsidRPr="008C4FC2">
        <w:rPr>
          <w:b/>
          <w:bCs/>
          <w:sz w:val="24"/>
          <w:szCs w:val="24"/>
        </w:rPr>
        <w:t>Original Appeal</w:t>
      </w:r>
      <w:r w:rsidRPr="008C4FC2">
        <w:rPr>
          <w:sz w:val="24"/>
          <w:szCs w:val="24"/>
        </w:rPr>
        <w:t xml:space="preserve"> </w:t>
      </w:r>
    </w:p>
    <w:p w14:paraId="6FCB5DC9" w14:textId="77777777" w:rsidR="008C4FC2" w:rsidRPr="008C4FC2" w:rsidRDefault="008C4FC2" w:rsidP="008C4FC2">
      <w:pPr>
        <w:spacing w:after="0" w:line="240" w:lineRule="auto"/>
        <w:jc w:val="left"/>
        <w:rPr>
          <w:b/>
          <w:bCs/>
          <w:sz w:val="24"/>
          <w:szCs w:val="24"/>
        </w:rPr>
      </w:pPr>
      <w:r w:rsidRPr="008C4FC2">
        <w:rPr>
          <w:b/>
          <w:bCs/>
          <w:sz w:val="24"/>
          <w:szCs w:val="24"/>
        </w:rPr>
        <w:t>Original Proceeding</w:t>
      </w:r>
    </w:p>
    <w:p w14:paraId="67D9E107" w14:textId="77777777" w:rsidR="008C4FC2" w:rsidRPr="008C4FC2" w:rsidRDefault="008C4FC2" w:rsidP="008C4FC2">
      <w:pPr>
        <w:spacing w:after="0" w:line="240" w:lineRule="auto"/>
        <w:jc w:val="left"/>
        <w:rPr>
          <w:sz w:val="24"/>
          <w:szCs w:val="24"/>
        </w:rPr>
      </w:pPr>
      <w:r w:rsidRPr="008C4FC2">
        <w:rPr>
          <w:b/>
          <w:bCs/>
          <w:sz w:val="24"/>
          <w:szCs w:val="24"/>
        </w:rPr>
        <w:t>Review Granted</w:t>
      </w:r>
      <w:r w:rsidRPr="008C4FC2">
        <w:rPr>
          <w:sz w:val="24"/>
          <w:szCs w:val="24"/>
        </w:rPr>
        <w:t xml:space="preserve"> </w:t>
      </w:r>
      <w:r w:rsidRPr="008C4FC2">
        <w:rPr>
          <w:b/>
          <w:bCs/>
          <w:sz w:val="24"/>
          <w:szCs w:val="24"/>
        </w:rPr>
        <w:t xml:space="preserve">(published) </w:t>
      </w:r>
      <w:r w:rsidRPr="008C4FC2">
        <w:rPr>
          <w:sz w:val="24"/>
          <w:szCs w:val="24"/>
        </w:rPr>
        <w:t>XX 76 Cal.App.5th 685</w:t>
      </w:r>
    </w:p>
    <w:p w14:paraId="2C9AB0DF" w14:textId="77777777" w:rsidR="008C4FC2" w:rsidRPr="008C4FC2" w:rsidRDefault="008C4FC2" w:rsidP="008C4FC2">
      <w:pPr>
        <w:spacing w:after="0" w:line="240" w:lineRule="auto"/>
        <w:jc w:val="left"/>
        <w:rPr>
          <w:sz w:val="24"/>
          <w:szCs w:val="24"/>
        </w:rPr>
      </w:pPr>
      <w:r w:rsidRPr="008C4FC2">
        <w:rPr>
          <w:b/>
          <w:bCs/>
          <w:sz w:val="24"/>
          <w:szCs w:val="24"/>
        </w:rPr>
        <w:t xml:space="preserve">Review Granted (unpublished) </w:t>
      </w:r>
    </w:p>
    <w:p w14:paraId="458020FF" w14:textId="77777777" w:rsidR="008C4FC2" w:rsidRPr="008C4FC2" w:rsidRDefault="008C4FC2" w:rsidP="008C4FC2">
      <w:pPr>
        <w:spacing w:after="0" w:line="240" w:lineRule="auto"/>
        <w:jc w:val="left"/>
        <w:rPr>
          <w:b/>
          <w:bCs/>
          <w:sz w:val="24"/>
          <w:szCs w:val="24"/>
        </w:rPr>
      </w:pPr>
      <w:r w:rsidRPr="008C4FC2">
        <w:rPr>
          <w:b/>
          <w:bCs/>
          <w:sz w:val="24"/>
          <w:szCs w:val="24"/>
        </w:rPr>
        <w:t>Rehearing Granted</w:t>
      </w:r>
    </w:p>
    <w:p w14:paraId="5F7EA323" w14:textId="77777777" w:rsidR="008C4FC2" w:rsidRPr="008C4FC2" w:rsidRDefault="008C4FC2" w:rsidP="008C4FC2">
      <w:pPr>
        <w:spacing w:after="0" w:line="240" w:lineRule="auto"/>
        <w:jc w:val="left"/>
        <w:rPr>
          <w:b/>
          <w:sz w:val="24"/>
          <w:szCs w:val="24"/>
        </w:rPr>
      </w:pPr>
      <w:r w:rsidRPr="008C4FC2">
        <w:rPr>
          <w:b/>
          <w:sz w:val="24"/>
          <w:szCs w:val="24"/>
        </w:rPr>
        <w:t xml:space="preserve">__________________________________________________________ </w:t>
      </w:r>
    </w:p>
    <w:p w14:paraId="18456104" w14:textId="77777777" w:rsidR="008C4FC2" w:rsidRPr="008C4FC2" w:rsidRDefault="008C4FC2" w:rsidP="008C4FC2">
      <w:pPr>
        <w:spacing w:after="0" w:line="240" w:lineRule="auto"/>
        <w:jc w:val="left"/>
        <w:rPr>
          <w:b/>
          <w:sz w:val="24"/>
          <w:szCs w:val="24"/>
        </w:rPr>
      </w:pPr>
    </w:p>
    <w:p w14:paraId="38A78E20" w14:textId="77777777" w:rsidR="008C4FC2" w:rsidRPr="008C4FC2" w:rsidRDefault="008C4FC2" w:rsidP="008C4FC2">
      <w:pPr>
        <w:spacing w:after="0" w:line="240" w:lineRule="auto"/>
        <w:jc w:val="left"/>
        <w:rPr>
          <w:bCs/>
          <w:sz w:val="24"/>
          <w:szCs w:val="24"/>
        </w:rPr>
      </w:pPr>
      <w:r w:rsidRPr="008C4FC2">
        <w:rPr>
          <w:b/>
          <w:sz w:val="24"/>
          <w:szCs w:val="24"/>
        </w:rPr>
        <w:t>Opinion No.</w:t>
      </w:r>
      <w:r w:rsidRPr="008C4FC2">
        <w:rPr>
          <w:sz w:val="24"/>
          <w:szCs w:val="24"/>
        </w:rPr>
        <w:t xml:space="preserve"> S274340</w:t>
      </w:r>
    </w:p>
    <w:p w14:paraId="0F0439E5" w14:textId="77777777" w:rsidR="008C4FC2" w:rsidRPr="008C4FC2" w:rsidRDefault="008C4FC2" w:rsidP="008C4FC2">
      <w:pPr>
        <w:spacing w:after="0" w:line="240" w:lineRule="auto"/>
        <w:jc w:val="left"/>
        <w:rPr>
          <w:bCs/>
          <w:sz w:val="24"/>
          <w:szCs w:val="24"/>
        </w:rPr>
      </w:pPr>
      <w:r w:rsidRPr="008C4FC2">
        <w:rPr>
          <w:b/>
          <w:sz w:val="24"/>
          <w:szCs w:val="24"/>
        </w:rPr>
        <w:t>Date Filed:</w:t>
      </w:r>
      <w:r w:rsidRPr="008C4FC2">
        <w:rPr>
          <w:sz w:val="24"/>
          <w:szCs w:val="24"/>
        </w:rPr>
        <w:t xml:space="preserve">  January 18, 2024</w:t>
      </w:r>
    </w:p>
    <w:p w14:paraId="302DB89F" w14:textId="77777777" w:rsidR="008C4FC2" w:rsidRPr="008C4FC2" w:rsidRDefault="008C4FC2" w:rsidP="008C4FC2">
      <w:pPr>
        <w:spacing w:after="0" w:line="240" w:lineRule="auto"/>
        <w:jc w:val="left"/>
        <w:rPr>
          <w:b/>
          <w:sz w:val="24"/>
          <w:szCs w:val="24"/>
        </w:rPr>
      </w:pPr>
      <w:r w:rsidRPr="008C4FC2">
        <w:rPr>
          <w:b/>
          <w:sz w:val="24"/>
          <w:szCs w:val="24"/>
        </w:rPr>
        <w:t xml:space="preserve">__________________________________________________________ </w:t>
      </w:r>
    </w:p>
    <w:p w14:paraId="6510689A" w14:textId="77777777" w:rsidR="008C4FC2" w:rsidRPr="008C4FC2" w:rsidRDefault="008C4FC2" w:rsidP="008C4FC2">
      <w:pPr>
        <w:spacing w:after="0" w:line="240" w:lineRule="auto"/>
        <w:jc w:val="left"/>
        <w:rPr>
          <w:b/>
          <w:sz w:val="24"/>
          <w:szCs w:val="24"/>
        </w:rPr>
      </w:pPr>
    </w:p>
    <w:p w14:paraId="4189C8AB" w14:textId="77777777" w:rsidR="008C4FC2" w:rsidRPr="008C4FC2" w:rsidRDefault="008C4FC2" w:rsidP="008C4FC2">
      <w:pPr>
        <w:spacing w:after="0" w:line="240" w:lineRule="auto"/>
        <w:jc w:val="left"/>
        <w:rPr>
          <w:bCs/>
          <w:sz w:val="24"/>
          <w:szCs w:val="24"/>
        </w:rPr>
      </w:pPr>
      <w:r w:rsidRPr="008C4FC2">
        <w:rPr>
          <w:b/>
          <w:sz w:val="24"/>
          <w:szCs w:val="24"/>
        </w:rPr>
        <w:t xml:space="preserve">Court:  </w:t>
      </w:r>
      <w:r w:rsidRPr="008C4FC2">
        <w:rPr>
          <w:bCs/>
          <w:sz w:val="24"/>
          <w:szCs w:val="24"/>
        </w:rPr>
        <w:t>Superior</w:t>
      </w:r>
    </w:p>
    <w:p w14:paraId="5DE4111A" w14:textId="77777777" w:rsidR="008C4FC2" w:rsidRPr="008C4FC2" w:rsidRDefault="008C4FC2" w:rsidP="008C4FC2">
      <w:pPr>
        <w:spacing w:after="0" w:line="240" w:lineRule="auto"/>
        <w:jc w:val="left"/>
        <w:rPr>
          <w:bCs/>
          <w:sz w:val="24"/>
          <w:szCs w:val="24"/>
        </w:rPr>
      </w:pPr>
      <w:r w:rsidRPr="008C4FC2">
        <w:rPr>
          <w:b/>
          <w:sz w:val="24"/>
          <w:szCs w:val="24"/>
        </w:rPr>
        <w:t xml:space="preserve">County:  </w:t>
      </w:r>
      <w:r w:rsidRPr="008C4FC2">
        <w:rPr>
          <w:bCs/>
          <w:sz w:val="24"/>
          <w:szCs w:val="24"/>
        </w:rPr>
        <w:t>Orange</w:t>
      </w:r>
    </w:p>
    <w:p w14:paraId="1170E924" w14:textId="77777777" w:rsidR="008C4FC2" w:rsidRPr="008C4FC2" w:rsidRDefault="008C4FC2" w:rsidP="008C4FC2">
      <w:pPr>
        <w:spacing w:after="0" w:line="240" w:lineRule="auto"/>
        <w:ind w:left="720" w:hanging="720"/>
        <w:jc w:val="left"/>
        <w:rPr>
          <w:bCs/>
          <w:sz w:val="24"/>
          <w:szCs w:val="24"/>
        </w:rPr>
      </w:pPr>
      <w:r w:rsidRPr="008C4FC2">
        <w:rPr>
          <w:b/>
          <w:sz w:val="24"/>
          <w:szCs w:val="24"/>
        </w:rPr>
        <w:t xml:space="preserve">Judge: </w:t>
      </w:r>
      <w:r w:rsidRPr="008C4FC2">
        <w:rPr>
          <w:bCs/>
          <w:sz w:val="24"/>
          <w:szCs w:val="24"/>
        </w:rPr>
        <w:t xml:space="preserve"> Randall J. Sherman</w:t>
      </w:r>
    </w:p>
    <w:p w14:paraId="33ACC3A0" w14:textId="77777777" w:rsidR="008C4FC2" w:rsidRPr="008C4FC2" w:rsidRDefault="008C4FC2" w:rsidP="008C4FC2">
      <w:pPr>
        <w:spacing w:after="0" w:line="240" w:lineRule="auto"/>
        <w:jc w:val="left"/>
        <w:rPr>
          <w:b/>
          <w:sz w:val="24"/>
          <w:szCs w:val="24"/>
        </w:rPr>
      </w:pPr>
      <w:r w:rsidRPr="008C4FC2">
        <w:rPr>
          <w:b/>
          <w:sz w:val="24"/>
          <w:szCs w:val="24"/>
        </w:rPr>
        <w:t xml:space="preserve">__________________________________________________________  </w:t>
      </w:r>
    </w:p>
    <w:p w14:paraId="05D997C9" w14:textId="77777777" w:rsidR="008C4FC2" w:rsidRPr="008C4FC2" w:rsidRDefault="008C4FC2" w:rsidP="008C4FC2">
      <w:pPr>
        <w:spacing w:after="0" w:line="240" w:lineRule="auto"/>
        <w:jc w:val="left"/>
        <w:rPr>
          <w:b/>
          <w:sz w:val="24"/>
          <w:szCs w:val="24"/>
        </w:rPr>
      </w:pPr>
    </w:p>
    <w:p w14:paraId="07A0B883" w14:textId="77777777" w:rsidR="008C4FC2" w:rsidRPr="008C4FC2" w:rsidRDefault="008C4FC2" w:rsidP="008C4FC2">
      <w:pPr>
        <w:spacing w:after="0" w:line="240" w:lineRule="auto"/>
        <w:jc w:val="left"/>
        <w:rPr>
          <w:b/>
          <w:sz w:val="24"/>
          <w:szCs w:val="24"/>
        </w:rPr>
      </w:pPr>
      <w:r w:rsidRPr="008C4FC2">
        <w:rPr>
          <w:b/>
          <w:sz w:val="24"/>
          <w:szCs w:val="24"/>
        </w:rPr>
        <w:t>Counsel:</w:t>
      </w:r>
    </w:p>
    <w:p w14:paraId="3BD33FCC" w14:textId="77777777" w:rsidR="008C4FC2" w:rsidRPr="008C4FC2" w:rsidRDefault="008C4FC2" w:rsidP="008C4FC2">
      <w:pPr>
        <w:spacing w:after="0" w:line="240" w:lineRule="auto"/>
        <w:jc w:val="left"/>
        <w:rPr>
          <w:b/>
          <w:sz w:val="24"/>
          <w:szCs w:val="24"/>
        </w:rPr>
      </w:pPr>
    </w:p>
    <w:p w14:paraId="32435684" w14:textId="77777777" w:rsidR="008C4FC2" w:rsidRPr="008C4FC2" w:rsidRDefault="008C4FC2" w:rsidP="008C4FC2">
      <w:pPr>
        <w:spacing w:after="0" w:line="240" w:lineRule="auto"/>
        <w:jc w:val="left"/>
        <w:rPr>
          <w:color w:val="212121"/>
          <w:sz w:val="24"/>
          <w:szCs w:val="24"/>
          <w:shd w:val="clear" w:color="auto" w:fill="FFFFFF"/>
        </w:rPr>
      </w:pPr>
      <w:r w:rsidRPr="008C4FC2">
        <w:rPr>
          <w:color w:val="212121"/>
          <w:sz w:val="24"/>
          <w:szCs w:val="24"/>
          <w:shd w:val="clear" w:color="auto" w:fill="FFFFFF"/>
        </w:rPr>
        <w:t>Ginez, Steinmetz &amp; Associates, Rudy Ginez, Jr.; CE Smith Law Firm and Clifton E. Smith for Plaintiffs and Appellants.</w:t>
      </w:r>
    </w:p>
    <w:p w14:paraId="5C5AE4E3" w14:textId="77777777" w:rsidR="008C4FC2" w:rsidRPr="008C4FC2" w:rsidRDefault="008C4FC2" w:rsidP="008C4FC2">
      <w:pPr>
        <w:spacing w:after="0" w:line="240" w:lineRule="auto"/>
        <w:jc w:val="left"/>
        <w:rPr>
          <w:color w:val="212121"/>
          <w:sz w:val="24"/>
          <w:szCs w:val="24"/>
          <w:shd w:val="clear" w:color="auto" w:fill="FFFFFF"/>
        </w:rPr>
      </w:pPr>
    </w:p>
    <w:p w14:paraId="260BB7A0" w14:textId="77777777" w:rsidR="008C4FC2" w:rsidRPr="008C4FC2" w:rsidRDefault="008C4FC2" w:rsidP="008C4FC2">
      <w:pPr>
        <w:spacing w:after="0" w:line="240" w:lineRule="auto"/>
        <w:jc w:val="left"/>
        <w:rPr>
          <w:color w:val="212121"/>
          <w:sz w:val="24"/>
          <w:szCs w:val="24"/>
          <w:shd w:val="clear" w:color="auto" w:fill="FFFFFF"/>
        </w:rPr>
      </w:pPr>
      <w:r w:rsidRPr="008C4FC2">
        <w:rPr>
          <w:color w:val="212121"/>
          <w:sz w:val="24"/>
          <w:szCs w:val="24"/>
          <w:shd w:val="clear" w:color="auto" w:fill="FFFFFF"/>
        </w:rPr>
        <w:t>Baker &amp; Hostetler, Joseph L. Chairez, Daniel F. Lula, Vartan S. Madoyan, Joseph S. Persoff, David B. Rivkin, Jr., and Andrew M. Grossman for Defendant and Appellant.</w:t>
      </w:r>
    </w:p>
    <w:p w14:paraId="2A9042D4" w14:textId="77777777" w:rsidR="008C4FC2" w:rsidRPr="008C4FC2" w:rsidRDefault="008C4FC2" w:rsidP="008C4FC2">
      <w:pPr>
        <w:spacing w:after="0" w:line="240" w:lineRule="auto"/>
        <w:jc w:val="left"/>
        <w:rPr>
          <w:color w:val="212121"/>
          <w:sz w:val="24"/>
          <w:szCs w:val="24"/>
          <w:shd w:val="clear" w:color="auto" w:fill="FFFFFF"/>
        </w:rPr>
      </w:pPr>
    </w:p>
    <w:p w14:paraId="7B60805A" w14:textId="77777777" w:rsidR="008C4FC2" w:rsidRPr="008C4FC2" w:rsidRDefault="008C4FC2" w:rsidP="008C4FC2">
      <w:pPr>
        <w:spacing w:after="0" w:line="240" w:lineRule="auto"/>
        <w:jc w:val="left"/>
        <w:rPr>
          <w:color w:val="212121"/>
          <w:sz w:val="24"/>
          <w:szCs w:val="24"/>
          <w:shd w:val="clear" w:color="auto" w:fill="FFFFFF"/>
        </w:rPr>
      </w:pPr>
      <w:r w:rsidRPr="008C4FC2">
        <w:rPr>
          <w:color w:val="212121"/>
          <w:sz w:val="24"/>
          <w:szCs w:val="24"/>
          <w:shd w:val="clear" w:color="auto" w:fill="FFFFFF"/>
        </w:rPr>
        <w:t>Shaw Koepke &amp; Satter and Jens B. Koepke for Board of Trustees of the California State University as Amicus Curiae on behalf of Defendant and Appellant.</w:t>
      </w:r>
    </w:p>
    <w:p w14:paraId="4028E585" w14:textId="77777777" w:rsidR="008C4FC2" w:rsidRPr="008C4FC2" w:rsidRDefault="008C4FC2" w:rsidP="008C4FC2">
      <w:pPr>
        <w:spacing w:after="0" w:line="240" w:lineRule="auto"/>
        <w:jc w:val="left"/>
        <w:rPr>
          <w:color w:val="212121"/>
          <w:sz w:val="24"/>
          <w:szCs w:val="24"/>
          <w:shd w:val="clear" w:color="auto" w:fill="FFFFFF"/>
        </w:rPr>
      </w:pPr>
    </w:p>
    <w:p w14:paraId="7BF9FDA6" w14:textId="77777777" w:rsidR="008C4FC2" w:rsidRPr="008C4FC2" w:rsidRDefault="008C4FC2" w:rsidP="008C4FC2">
      <w:pPr>
        <w:spacing w:after="0" w:line="240" w:lineRule="auto"/>
        <w:jc w:val="left"/>
        <w:rPr>
          <w:color w:val="212121"/>
          <w:sz w:val="24"/>
          <w:szCs w:val="24"/>
          <w:shd w:val="clear" w:color="auto" w:fill="FFFFFF"/>
        </w:rPr>
      </w:pPr>
      <w:r w:rsidRPr="008C4FC2">
        <w:rPr>
          <w:color w:val="212121"/>
          <w:sz w:val="24"/>
          <w:szCs w:val="24"/>
          <w:shd w:val="clear" w:color="auto" w:fill="FFFFFF"/>
        </w:rPr>
        <w:t>Munger, Tolles &amp; Olson, Malcolm A. Heinicke, Katherine M. Forster and Minkee Sohn for Chamber of Commerce of the United States of America, California Chamber of Commerce, National Retail Federation and Retail Litigation Center Inc. as Amici Curiae on behalf of Defendant and Appellant.</w:t>
      </w:r>
    </w:p>
    <w:p w14:paraId="4084BD72" w14:textId="77777777" w:rsidR="008C4FC2" w:rsidRPr="008C4FC2" w:rsidRDefault="008C4FC2" w:rsidP="008C4FC2">
      <w:pPr>
        <w:spacing w:after="0" w:line="240" w:lineRule="auto"/>
        <w:jc w:val="left"/>
        <w:rPr>
          <w:color w:val="212121"/>
          <w:sz w:val="24"/>
          <w:szCs w:val="24"/>
          <w:shd w:val="clear" w:color="auto" w:fill="FFFFFF"/>
        </w:rPr>
      </w:pPr>
    </w:p>
    <w:p w14:paraId="3F6486DF" w14:textId="77777777" w:rsidR="008C4FC2" w:rsidRPr="008C4FC2" w:rsidRDefault="008C4FC2" w:rsidP="008C4FC2">
      <w:pPr>
        <w:spacing w:after="0" w:line="240" w:lineRule="auto"/>
        <w:jc w:val="left"/>
        <w:rPr>
          <w:color w:val="212121"/>
          <w:sz w:val="24"/>
          <w:szCs w:val="24"/>
          <w:shd w:val="clear" w:color="auto" w:fill="FFFFFF"/>
        </w:rPr>
      </w:pPr>
      <w:r w:rsidRPr="008C4FC2">
        <w:rPr>
          <w:color w:val="212121"/>
          <w:sz w:val="24"/>
          <w:szCs w:val="24"/>
          <w:shd w:val="clear" w:color="auto" w:fill="FFFFFF"/>
        </w:rPr>
        <w:lastRenderedPageBreak/>
        <w:t>DLA Piper, Julie Dunne and Matthew Riley for Employers Group and California Employment Law Counsel as Amici Curiae on behalf of Defendant and Appellant.</w:t>
      </w:r>
      <w:r w:rsidRPr="008C4FC2">
        <w:rPr>
          <w:color w:val="212121"/>
          <w:sz w:val="24"/>
          <w:szCs w:val="24"/>
          <w:shd w:val="clear" w:color="auto" w:fill="FFFFFF"/>
        </w:rPr>
        <w:br w:type="page"/>
      </w:r>
      <w:r w:rsidRPr="008C4FC2">
        <w:rPr>
          <w:b/>
          <w:sz w:val="24"/>
          <w:szCs w:val="24"/>
        </w:rPr>
        <w:lastRenderedPageBreak/>
        <w:t xml:space="preserve">Counsel who argued in Supreme Court (not intended for publication with opinion): </w:t>
      </w:r>
    </w:p>
    <w:p w14:paraId="0E96E54B" w14:textId="77777777" w:rsidR="008C4FC2" w:rsidRPr="008C4FC2" w:rsidRDefault="008C4FC2" w:rsidP="008C4FC2">
      <w:pPr>
        <w:spacing w:after="0" w:line="240" w:lineRule="auto"/>
        <w:jc w:val="left"/>
        <w:rPr>
          <w:sz w:val="24"/>
          <w:szCs w:val="24"/>
        </w:rPr>
      </w:pPr>
    </w:p>
    <w:p w14:paraId="4DE71E46" w14:textId="77777777" w:rsidR="008C4FC2" w:rsidRPr="008C4FC2" w:rsidRDefault="008C4FC2" w:rsidP="008C4FC2">
      <w:pPr>
        <w:spacing w:after="0" w:line="240" w:lineRule="auto"/>
        <w:jc w:val="left"/>
        <w:rPr>
          <w:sz w:val="24"/>
          <w:szCs w:val="24"/>
        </w:rPr>
      </w:pPr>
      <w:r w:rsidRPr="008C4FC2">
        <w:rPr>
          <w:sz w:val="24"/>
          <w:szCs w:val="24"/>
        </w:rPr>
        <w:t>Clifton E. Smith</w:t>
      </w:r>
    </w:p>
    <w:p w14:paraId="36814DD4" w14:textId="77777777" w:rsidR="008C4FC2" w:rsidRPr="008C4FC2" w:rsidRDefault="008C4FC2" w:rsidP="008C4FC2">
      <w:pPr>
        <w:spacing w:after="0" w:line="240" w:lineRule="auto"/>
        <w:jc w:val="left"/>
        <w:rPr>
          <w:sz w:val="24"/>
          <w:szCs w:val="24"/>
        </w:rPr>
      </w:pPr>
      <w:r w:rsidRPr="008C4FC2">
        <w:rPr>
          <w:sz w:val="24"/>
          <w:szCs w:val="24"/>
        </w:rPr>
        <w:t>CE Smith Law Firm</w:t>
      </w:r>
    </w:p>
    <w:p w14:paraId="19939529" w14:textId="77777777" w:rsidR="008C4FC2" w:rsidRPr="008C4FC2" w:rsidRDefault="008C4FC2" w:rsidP="008C4FC2">
      <w:pPr>
        <w:spacing w:after="0" w:line="240" w:lineRule="auto"/>
        <w:jc w:val="left"/>
        <w:rPr>
          <w:sz w:val="24"/>
          <w:szCs w:val="24"/>
        </w:rPr>
      </w:pPr>
      <w:r w:rsidRPr="008C4FC2">
        <w:rPr>
          <w:sz w:val="24"/>
          <w:szCs w:val="24"/>
        </w:rPr>
        <w:t>1117 Village Drive</w:t>
      </w:r>
    </w:p>
    <w:p w14:paraId="4DCE02E3" w14:textId="77777777" w:rsidR="008C4FC2" w:rsidRPr="008C4FC2" w:rsidRDefault="008C4FC2" w:rsidP="008C4FC2">
      <w:pPr>
        <w:spacing w:after="0" w:line="240" w:lineRule="auto"/>
        <w:jc w:val="left"/>
        <w:rPr>
          <w:sz w:val="24"/>
          <w:szCs w:val="24"/>
        </w:rPr>
      </w:pPr>
      <w:r w:rsidRPr="008C4FC2">
        <w:rPr>
          <w:sz w:val="24"/>
          <w:szCs w:val="24"/>
        </w:rPr>
        <w:t>Oceanside, CA 92057</w:t>
      </w:r>
    </w:p>
    <w:p w14:paraId="735192C2" w14:textId="77777777" w:rsidR="008C4FC2" w:rsidRPr="008C4FC2" w:rsidRDefault="008C4FC2" w:rsidP="008C4FC2">
      <w:pPr>
        <w:spacing w:after="0" w:line="240" w:lineRule="auto"/>
        <w:jc w:val="left"/>
        <w:rPr>
          <w:sz w:val="24"/>
          <w:szCs w:val="24"/>
        </w:rPr>
      </w:pPr>
      <w:r w:rsidRPr="008C4FC2">
        <w:rPr>
          <w:sz w:val="24"/>
          <w:szCs w:val="24"/>
        </w:rPr>
        <w:t>(760) 754-5472</w:t>
      </w:r>
    </w:p>
    <w:p w14:paraId="1B780395" w14:textId="77777777" w:rsidR="008C4FC2" w:rsidRPr="008C4FC2" w:rsidRDefault="008C4FC2" w:rsidP="008C4FC2">
      <w:pPr>
        <w:spacing w:after="0" w:line="240" w:lineRule="auto"/>
        <w:jc w:val="left"/>
        <w:rPr>
          <w:sz w:val="24"/>
          <w:szCs w:val="24"/>
        </w:rPr>
      </w:pPr>
    </w:p>
    <w:p w14:paraId="662E1C34" w14:textId="77777777" w:rsidR="008C4FC2" w:rsidRPr="008C4FC2" w:rsidRDefault="008C4FC2" w:rsidP="008C4FC2">
      <w:pPr>
        <w:spacing w:after="0" w:line="240" w:lineRule="auto"/>
        <w:jc w:val="left"/>
        <w:rPr>
          <w:sz w:val="24"/>
          <w:szCs w:val="24"/>
        </w:rPr>
      </w:pPr>
      <w:r w:rsidRPr="008C4FC2">
        <w:rPr>
          <w:sz w:val="24"/>
          <w:szCs w:val="24"/>
        </w:rPr>
        <w:t>Daniel F. Lula</w:t>
      </w:r>
    </w:p>
    <w:p w14:paraId="11FCF61F" w14:textId="77777777" w:rsidR="008C4FC2" w:rsidRPr="008C4FC2" w:rsidRDefault="008C4FC2" w:rsidP="008C4FC2">
      <w:pPr>
        <w:spacing w:after="0" w:line="240" w:lineRule="auto"/>
        <w:jc w:val="left"/>
        <w:rPr>
          <w:color w:val="212121"/>
          <w:sz w:val="24"/>
          <w:szCs w:val="24"/>
          <w:shd w:val="clear" w:color="auto" w:fill="FFFFFF"/>
        </w:rPr>
      </w:pPr>
      <w:r w:rsidRPr="008C4FC2">
        <w:rPr>
          <w:color w:val="212121"/>
          <w:sz w:val="24"/>
          <w:szCs w:val="24"/>
          <w:shd w:val="clear" w:color="auto" w:fill="FFFFFF"/>
        </w:rPr>
        <w:t>Baker &amp; Hostetler LLP</w:t>
      </w:r>
    </w:p>
    <w:p w14:paraId="307AC713" w14:textId="77777777" w:rsidR="008C4FC2" w:rsidRPr="008C4FC2" w:rsidRDefault="008C4FC2" w:rsidP="008C4FC2">
      <w:pPr>
        <w:spacing w:after="0" w:line="240" w:lineRule="auto"/>
        <w:jc w:val="left"/>
        <w:rPr>
          <w:sz w:val="24"/>
          <w:szCs w:val="24"/>
        </w:rPr>
      </w:pPr>
      <w:r w:rsidRPr="008C4FC2">
        <w:rPr>
          <w:sz w:val="24"/>
          <w:szCs w:val="24"/>
        </w:rPr>
        <w:t>600 Anton Boulevard, Suite 900</w:t>
      </w:r>
    </w:p>
    <w:p w14:paraId="7133E623" w14:textId="77777777" w:rsidR="008C4FC2" w:rsidRPr="008C4FC2" w:rsidRDefault="008C4FC2" w:rsidP="008C4FC2">
      <w:pPr>
        <w:spacing w:after="0" w:line="240" w:lineRule="auto"/>
        <w:jc w:val="left"/>
        <w:rPr>
          <w:sz w:val="24"/>
          <w:szCs w:val="24"/>
        </w:rPr>
      </w:pPr>
      <w:r w:rsidRPr="008C4FC2">
        <w:rPr>
          <w:sz w:val="24"/>
          <w:szCs w:val="24"/>
        </w:rPr>
        <w:t xml:space="preserve">Costa Mesa, CA 92626 </w:t>
      </w:r>
    </w:p>
    <w:p w14:paraId="6F10BC6E" w14:textId="77777777" w:rsidR="008C4FC2" w:rsidRPr="008C4FC2" w:rsidRDefault="008C4FC2" w:rsidP="008C4FC2">
      <w:pPr>
        <w:spacing w:after="0" w:line="240" w:lineRule="auto"/>
        <w:jc w:val="left"/>
        <w:rPr>
          <w:sz w:val="24"/>
          <w:szCs w:val="24"/>
        </w:rPr>
      </w:pPr>
      <w:r w:rsidRPr="008C4FC2">
        <w:rPr>
          <w:sz w:val="24"/>
          <w:szCs w:val="24"/>
        </w:rPr>
        <w:t>(714) 966-8890</w:t>
      </w:r>
    </w:p>
    <w:p w14:paraId="7019C191" w14:textId="77777777" w:rsidR="008C4FC2" w:rsidRPr="008C4FC2" w:rsidRDefault="008C4FC2" w:rsidP="008C4FC2">
      <w:pPr>
        <w:spacing w:after="0" w:line="240" w:lineRule="auto"/>
        <w:jc w:val="left"/>
        <w:rPr>
          <w:sz w:val="24"/>
          <w:szCs w:val="24"/>
        </w:rPr>
      </w:pPr>
    </w:p>
    <w:p w14:paraId="2723D063" w14:textId="77777777" w:rsidR="008C4FC2" w:rsidRPr="008C4FC2" w:rsidRDefault="008C4FC2" w:rsidP="008C4FC2">
      <w:pPr>
        <w:spacing w:after="0" w:line="240" w:lineRule="auto"/>
        <w:jc w:val="left"/>
        <w:rPr>
          <w:color w:val="212121"/>
          <w:sz w:val="24"/>
          <w:szCs w:val="24"/>
          <w:shd w:val="clear" w:color="auto" w:fill="FFFFFF"/>
        </w:rPr>
      </w:pPr>
      <w:r w:rsidRPr="008C4FC2">
        <w:rPr>
          <w:color w:val="212121"/>
          <w:sz w:val="24"/>
          <w:szCs w:val="24"/>
          <w:shd w:val="clear" w:color="auto" w:fill="FFFFFF"/>
        </w:rPr>
        <w:t>Malcolm A. Heinicke</w:t>
      </w:r>
    </w:p>
    <w:p w14:paraId="23FE316B" w14:textId="77777777" w:rsidR="008C4FC2" w:rsidRPr="008C4FC2" w:rsidRDefault="008C4FC2" w:rsidP="008C4FC2">
      <w:pPr>
        <w:spacing w:after="0" w:line="240" w:lineRule="auto"/>
        <w:jc w:val="left"/>
        <w:rPr>
          <w:color w:val="212121"/>
          <w:sz w:val="24"/>
          <w:szCs w:val="24"/>
          <w:shd w:val="clear" w:color="auto" w:fill="FFFFFF"/>
        </w:rPr>
      </w:pPr>
      <w:r w:rsidRPr="008C4FC2">
        <w:rPr>
          <w:color w:val="212121"/>
          <w:sz w:val="24"/>
          <w:szCs w:val="24"/>
          <w:shd w:val="clear" w:color="auto" w:fill="FFFFFF"/>
        </w:rPr>
        <w:t>Munger, Tolles &amp; Olson LLP</w:t>
      </w:r>
    </w:p>
    <w:p w14:paraId="69BAAC56" w14:textId="77777777" w:rsidR="008C4FC2" w:rsidRPr="008C4FC2" w:rsidRDefault="008C4FC2" w:rsidP="008C4FC2">
      <w:pPr>
        <w:spacing w:after="0" w:line="240" w:lineRule="auto"/>
        <w:jc w:val="left"/>
        <w:rPr>
          <w:sz w:val="24"/>
          <w:szCs w:val="24"/>
        </w:rPr>
      </w:pPr>
      <w:r w:rsidRPr="008C4FC2">
        <w:rPr>
          <w:sz w:val="24"/>
          <w:szCs w:val="24"/>
        </w:rPr>
        <w:t xml:space="preserve">560 Mission Street, 27th Floor </w:t>
      </w:r>
    </w:p>
    <w:p w14:paraId="3972509C" w14:textId="77777777" w:rsidR="008C4FC2" w:rsidRPr="008C4FC2" w:rsidRDefault="008C4FC2" w:rsidP="008C4FC2">
      <w:pPr>
        <w:spacing w:after="0" w:line="240" w:lineRule="auto"/>
        <w:jc w:val="left"/>
        <w:rPr>
          <w:sz w:val="24"/>
          <w:szCs w:val="24"/>
        </w:rPr>
      </w:pPr>
      <w:r w:rsidRPr="008C4FC2">
        <w:rPr>
          <w:sz w:val="24"/>
          <w:szCs w:val="24"/>
        </w:rPr>
        <w:t>San Francisco, CA 94105-2907</w:t>
      </w:r>
    </w:p>
    <w:p w14:paraId="718B43B1" w14:textId="77777777" w:rsidR="008C4FC2" w:rsidRPr="008C4FC2" w:rsidRDefault="008C4FC2" w:rsidP="008C4FC2">
      <w:pPr>
        <w:spacing w:after="0" w:line="240" w:lineRule="auto"/>
        <w:jc w:val="left"/>
        <w:rPr>
          <w:sz w:val="24"/>
          <w:szCs w:val="24"/>
        </w:rPr>
      </w:pPr>
      <w:r w:rsidRPr="008C4FC2">
        <w:rPr>
          <w:sz w:val="24"/>
          <w:szCs w:val="24"/>
        </w:rPr>
        <w:t>(415) 512-4029</w:t>
      </w:r>
    </w:p>
    <w:p w14:paraId="710B45DA" w14:textId="77777777" w:rsidR="008C4FC2" w:rsidRPr="00837317" w:rsidRDefault="008C4FC2" w:rsidP="00D72135">
      <w:pPr>
        <w:spacing w:after="0" w:line="240" w:lineRule="auto"/>
        <w:jc w:val="left"/>
        <w:rPr>
          <w:b/>
        </w:rPr>
      </w:pPr>
    </w:p>
    <w:sectPr w:rsidR="008C4FC2" w:rsidRPr="00837317" w:rsidSect="00EC2BB8">
      <w:headerReference w:type="default" r:id="rId14"/>
      <w:footerReference w:type="default" r:id="rId15"/>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68D5" w14:textId="77777777" w:rsidR="00000000" w:rsidRDefault="007742F5">
      <w:pPr>
        <w:spacing w:after="0" w:line="240" w:lineRule="auto"/>
      </w:pPr>
      <w:r>
        <w:separator/>
      </w:r>
    </w:p>
  </w:endnote>
  <w:endnote w:type="continuationSeparator" w:id="0">
    <w:p w14:paraId="53FB68D7" w14:textId="77777777" w:rsidR="00000000" w:rsidRDefault="0077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68D0" w14:textId="77777777" w:rsidR="00652959" w:rsidRDefault="007742F5">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68D1" w14:textId="77777777" w:rsidR="00837317" w:rsidRDefault="007742F5">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A4A5" w14:textId="6F9748BF" w:rsidR="008C4FC2" w:rsidRPr="008C4FC2" w:rsidRDefault="008C4FC2" w:rsidP="008C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68CA" w14:textId="77777777" w:rsidR="00392FBC" w:rsidRDefault="007742F5">
      <w:r>
        <w:separator/>
      </w:r>
    </w:p>
  </w:footnote>
  <w:footnote w:type="continuationSeparator" w:id="0">
    <w:p w14:paraId="53FB68CB" w14:textId="77777777" w:rsidR="00392FBC" w:rsidRDefault="007742F5">
      <w:pPr>
        <w:rPr>
          <w:sz w:val="22"/>
        </w:rPr>
      </w:pPr>
      <w:r>
        <w:continuationSeparator/>
      </w:r>
    </w:p>
  </w:footnote>
  <w:footnote w:type="continuationNotice" w:id="1">
    <w:p w14:paraId="53FB68CC" w14:textId="77777777" w:rsidR="00392FBC" w:rsidRDefault="00392FBC">
      <w:pPr>
        <w:jc w:val="right"/>
        <w:rPr>
          <w:i/>
          <w:sz w:val="20"/>
        </w:rPr>
      </w:pPr>
    </w:p>
  </w:footnote>
  <w:footnote w:id="2">
    <w:p w14:paraId="53FB68D2" w14:textId="77777777" w:rsidR="008116D6" w:rsidRDefault="007742F5">
      <w:pPr>
        <w:pStyle w:val="FootnoteText"/>
      </w:pPr>
      <w:r>
        <w:rPr>
          <w:rStyle w:val="FootnoteReference"/>
        </w:rPr>
        <w:footnoteRef/>
      </w:r>
      <w:r>
        <w:t xml:space="preserve"> </w:t>
      </w:r>
      <w:r w:rsidR="001466AA">
        <w:tab/>
        <w:t>By</w:t>
      </w:r>
      <w:r w:rsidR="001466AA" w:rsidRPr="001E1D55">
        <w:t xml:space="preserve"> “strike</w:t>
      </w:r>
      <w:r w:rsidR="001466AA">
        <w:t>,</w:t>
      </w:r>
      <w:r w:rsidR="001466AA" w:rsidRPr="001E1D55">
        <w:t xml:space="preserve">” </w:t>
      </w:r>
      <w:r w:rsidR="001466AA">
        <w:t>we mean to</w:t>
      </w:r>
      <w:r w:rsidR="001466AA" w:rsidRPr="001E1D55">
        <w:t xml:space="preserve"> dismiss with prejudice.</w:t>
      </w:r>
    </w:p>
  </w:footnote>
  <w:footnote w:id="3">
    <w:p w14:paraId="53FB68D3" w14:textId="77777777" w:rsidR="005825AB" w:rsidRPr="00D03F55" w:rsidRDefault="007742F5" w:rsidP="00837317">
      <w:pPr>
        <w:pStyle w:val="FootnoteText"/>
      </w:pPr>
      <w:r w:rsidRPr="00D03F55">
        <w:rPr>
          <w:rStyle w:val="FootnoteReference"/>
        </w:rPr>
        <w:footnoteRef/>
      </w:r>
      <w:r w:rsidRPr="00D03F55">
        <w:t xml:space="preserve"> </w:t>
      </w:r>
      <w:r w:rsidRPr="00D03F55">
        <w:tab/>
        <w:t xml:space="preserve">Unless otherwise specified, all </w:t>
      </w:r>
      <w:r w:rsidRPr="00D03F55">
        <w:t>subsequent statutory references are to the Labor Code.</w:t>
      </w:r>
    </w:p>
  </w:footnote>
  <w:footnote w:id="4">
    <w:p w14:paraId="53FB68D4" w14:textId="77777777" w:rsidR="005727B0" w:rsidRDefault="007742F5">
      <w:pPr>
        <w:pStyle w:val="FootnoteText"/>
      </w:pPr>
      <w:r>
        <w:rPr>
          <w:rStyle w:val="FootnoteReference"/>
        </w:rPr>
        <w:footnoteRef/>
      </w:r>
      <w:r>
        <w:t xml:space="preserve"> </w:t>
      </w:r>
      <w:r>
        <w:tab/>
      </w:r>
      <w:r w:rsidRPr="005727B0">
        <w:t xml:space="preserve">After we granted review, the </w:t>
      </w:r>
      <w:r w:rsidR="00E65F70">
        <w:t xml:space="preserve">United States Court of Appeals for the </w:t>
      </w:r>
      <w:r w:rsidRPr="005727B0">
        <w:t xml:space="preserve">Ninth Circuit resolved a similar split among federal district courts applying California law and held, “In light of the structure </w:t>
      </w:r>
      <w:r w:rsidRPr="005727B0">
        <w:t xml:space="preserve">and purpose of PAGA, we conclude that imposing a manageability requirement in PAGA cases . . . would not constitute a reasonable response to a specific problem and would contradict California law by running afoul of the key features of </w:t>
      </w:r>
      <w:bookmarkStart w:id="4" w:name="dabmci_eb4134dc091b4c17b9582b4b481ca148"/>
      <w:r w:rsidRPr="005727B0">
        <w:t>PAGA actions.”  (</w:t>
      </w:r>
      <w:r w:rsidRPr="005727B0">
        <w:rPr>
          <w:i/>
          <w:iCs/>
        </w:rPr>
        <w:t>Ham</w:t>
      </w:r>
      <w:r w:rsidRPr="005727B0">
        <w:rPr>
          <w:i/>
          <w:iCs/>
        </w:rPr>
        <w:t>ilton v. Wal-Mart Stores, Inc.</w:t>
      </w:r>
      <w:r w:rsidRPr="005727B0">
        <w:t xml:space="preserve"> (9th Cir. 2022) 39 F.4th 575, 587 (</w:t>
      </w:r>
      <w:r w:rsidRPr="005727B0">
        <w:rPr>
          <w:i/>
          <w:iCs/>
        </w:rPr>
        <w:t>Hamilton</w:t>
      </w:r>
      <w:r w:rsidRPr="005727B0">
        <w:t>)</w:t>
      </w:r>
      <w:bookmarkEnd w:id="4"/>
      <w:r w:rsidRPr="005727B0">
        <w:t xml:space="preserve">; </w:t>
      </w:r>
      <w:bookmarkStart w:id="5" w:name="dabmci_747a20b44c634ac893538aaf3f0db206"/>
      <w:r w:rsidRPr="005727B0">
        <w:rPr>
          <w:i/>
          <w:iCs/>
        </w:rPr>
        <w:t>id</w:t>
      </w:r>
      <w:r w:rsidRPr="005727B0">
        <w:t>. at p. 590</w:t>
      </w:r>
      <w:bookmarkEnd w:id="5"/>
      <w:r w:rsidRPr="005727B0">
        <w:t xml:space="preserve"> [“The [manageability] requirement cannot be imposed in PAGA actions under the guise of a court’s inherent powers”].)</w:t>
      </w:r>
    </w:p>
  </w:footnote>
  <w:footnote w:id="5">
    <w:p w14:paraId="53FB68D5" w14:textId="77777777" w:rsidR="004138A7" w:rsidRPr="00D03F55" w:rsidRDefault="007742F5" w:rsidP="004138A7">
      <w:pPr>
        <w:pStyle w:val="FootnoteText"/>
        <w:rPr>
          <w:szCs w:val="26"/>
        </w:rPr>
      </w:pPr>
      <w:r w:rsidRPr="00D03F55">
        <w:rPr>
          <w:rStyle w:val="FootnoteReference"/>
          <w:szCs w:val="26"/>
        </w:rPr>
        <w:footnoteRef/>
      </w:r>
      <w:r w:rsidRPr="00D03F55">
        <w:rPr>
          <w:szCs w:val="26"/>
        </w:rPr>
        <w:t xml:space="preserve"> </w:t>
      </w:r>
      <w:r w:rsidRPr="00D03F55">
        <w:rPr>
          <w:szCs w:val="26"/>
        </w:rPr>
        <w:tab/>
      </w:r>
      <w:r>
        <w:rPr>
          <w:szCs w:val="26"/>
        </w:rPr>
        <w:t>W</w:t>
      </w:r>
      <w:r w:rsidRPr="00D03F55">
        <w:rPr>
          <w:szCs w:val="26"/>
        </w:rPr>
        <w:t xml:space="preserve">e disapprove </w:t>
      </w:r>
      <w:r w:rsidR="001007A5">
        <w:rPr>
          <w:szCs w:val="26"/>
        </w:rPr>
        <w:t xml:space="preserve">the </w:t>
      </w:r>
      <w:r w:rsidRPr="00D03F55">
        <w:rPr>
          <w:i/>
          <w:iCs/>
          <w:szCs w:val="26"/>
        </w:rPr>
        <w:t>Wesson</w:t>
      </w:r>
      <w:r w:rsidR="001007A5">
        <w:rPr>
          <w:i/>
          <w:iCs/>
          <w:szCs w:val="26"/>
        </w:rPr>
        <w:t xml:space="preserve"> </w:t>
      </w:r>
      <w:r w:rsidR="001007A5" w:rsidRPr="001007A5">
        <w:rPr>
          <w:szCs w:val="26"/>
        </w:rPr>
        <w:t>court</w:t>
      </w:r>
      <w:r w:rsidRPr="001007A5">
        <w:rPr>
          <w:szCs w:val="26"/>
        </w:rPr>
        <w:t>’s</w:t>
      </w:r>
      <w:r w:rsidRPr="00D03F55">
        <w:rPr>
          <w:szCs w:val="26"/>
        </w:rPr>
        <w:t xml:space="preserve"> conclusion that “trial courts . . . if necessary, may preclude the use of this procedural device [i.e., a PAGA claim].”  (</w:t>
      </w:r>
      <w:bookmarkStart w:id="6" w:name="dabmci_49351dd5a1b8451ab1386aed1294b0d9"/>
      <w:r w:rsidRPr="00D03F55">
        <w:rPr>
          <w:i/>
          <w:iCs/>
          <w:szCs w:val="26"/>
        </w:rPr>
        <w:t>Wesson</w:t>
      </w:r>
      <w:r w:rsidR="00005009">
        <w:rPr>
          <w:i/>
          <w:iCs/>
          <w:szCs w:val="26"/>
        </w:rPr>
        <w:t xml:space="preserve"> v. Staples the Office Superstore, LLC</w:t>
      </w:r>
      <w:r w:rsidRPr="00D03F55">
        <w:rPr>
          <w:szCs w:val="26"/>
        </w:rPr>
        <w:t xml:space="preserve">, </w:t>
      </w:r>
      <w:r w:rsidRPr="00D03F55">
        <w:rPr>
          <w:i/>
          <w:iCs/>
          <w:szCs w:val="26"/>
        </w:rPr>
        <w:t>supra</w:t>
      </w:r>
      <w:r w:rsidRPr="00D03F55">
        <w:rPr>
          <w:szCs w:val="26"/>
        </w:rPr>
        <w:t>, 68 Cal.App.5th at p. 767</w:t>
      </w:r>
      <w:bookmarkEnd w:id="6"/>
      <w:r w:rsidRPr="00D03F55">
        <w:rPr>
          <w:szCs w:val="26"/>
        </w:rPr>
        <w:t>.)</w:t>
      </w:r>
    </w:p>
  </w:footnote>
  <w:footnote w:id="6">
    <w:p w14:paraId="53FB68D6" w14:textId="77777777" w:rsidR="00DA381B" w:rsidRDefault="007742F5" w:rsidP="00DA381B">
      <w:pPr>
        <w:pStyle w:val="FootnoteText"/>
      </w:pPr>
      <w:r>
        <w:rPr>
          <w:rStyle w:val="FootnoteReference"/>
        </w:rPr>
        <w:footnoteRef/>
      </w:r>
      <w:r>
        <w:t xml:space="preserve"> </w:t>
      </w:r>
      <w:r>
        <w:tab/>
        <w:t xml:space="preserve">As we explain in part II.E., </w:t>
      </w:r>
      <w:r w:rsidRPr="00520FE4">
        <w:rPr>
          <w:i/>
          <w:iCs/>
        </w:rPr>
        <w:t>post</w:t>
      </w:r>
      <w:r>
        <w:t>, we also conclud</w:t>
      </w:r>
      <w:r>
        <w:t>e that</w:t>
      </w:r>
      <w:r w:rsidRPr="007F7BDA">
        <w:t xml:space="preserve"> defendant Royalty Carpet Mills, Inc. (Royalty) has not demonstrated </w:t>
      </w:r>
      <w:r w:rsidR="00F404B4" w:rsidRPr="00F404B4">
        <w:t xml:space="preserve">any potential violation of its right to </w:t>
      </w:r>
      <w:r w:rsidR="00F404B4" w:rsidRPr="00466E05">
        <w:t>due process</w:t>
      </w:r>
      <w:r w:rsidR="004879BC" w:rsidRPr="00466E05">
        <w:t xml:space="preserve"> </w:t>
      </w:r>
      <w:r w:rsidR="004879BC">
        <w:t xml:space="preserve">occasioned by the Court of Appeal’s </w:t>
      </w:r>
      <w:r w:rsidR="00A70E32">
        <w:t>reversal of the trial court’s striking of plaintiffs</w:t>
      </w:r>
      <w:r w:rsidR="00A61FBB">
        <w:t>’</w:t>
      </w:r>
      <w:r w:rsidR="00A70E32">
        <w:t xml:space="preserve"> representative PAGA claim</w:t>
      </w:r>
      <w:r>
        <w:t>.  However, we</w:t>
      </w:r>
      <w:r>
        <w:t xml:space="preserve"> do not decide the hypothetical question</w:t>
      </w:r>
      <w:r w:rsidR="008D7E9E">
        <w:t>s</w:t>
      </w:r>
      <w:r>
        <w:t xml:space="preserve"> of </w:t>
      </w:r>
      <w:r w:rsidRPr="007F7BDA">
        <w:t xml:space="preserve">whether </w:t>
      </w:r>
      <w:r>
        <w:t xml:space="preserve">a defendant’s right to due process </w:t>
      </w:r>
      <w:r w:rsidRPr="007F7BDA">
        <w:t xml:space="preserve">can </w:t>
      </w:r>
      <w:r w:rsidRPr="00035EE4">
        <w:rPr>
          <w:i/>
          <w:iCs/>
        </w:rPr>
        <w:t>ever</w:t>
      </w:r>
      <w:r w:rsidRPr="007F7BDA">
        <w:t xml:space="preserve"> support striking a PAGA cla</w:t>
      </w:r>
      <w:r>
        <w:t>im</w:t>
      </w:r>
      <w:r w:rsidR="008D7E9E">
        <w:t>, and if so, the circumstances under which such striking would be appropriate</w:t>
      </w:r>
      <w:r>
        <w:t>.</w:t>
      </w:r>
    </w:p>
  </w:footnote>
  <w:footnote w:id="7">
    <w:p w14:paraId="53FB68D7" w14:textId="77777777" w:rsidR="003E68CE" w:rsidRPr="00D03F55" w:rsidRDefault="007742F5" w:rsidP="00837317">
      <w:pPr>
        <w:pStyle w:val="FootnoteText"/>
      </w:pPr>
      <w:r w:rsidRPr="00D03F55">
        <w:rPr>
          <w:rStyle w:val="FootnoteReference"/>
        </w:rPr>
        <w:footnoteRef/>
      </w:r>
      <w:r w:rsidRPr="00D03F55">
        <w:t xml:space="preserve"> </w:t>
      </w:r>
      <w:r w:rsidRPr="00D03F55">
        <w:tab/>
      </w:r>
      <w:r w:rsidR="00562845" w:rsidRPr="00D03F55">
        <w:t xml:space="preserve">Our factual and procedural background is drawn primarily from the </w:t>
      </w:r>
      <w:r w:rsidR="00C901F3" w:rsidRPr="00D03F55">
        <w:t xml:space="preserve">Court of Appeal’s opinion.  (See </w:t>
      </w:r>
      <w:bookmarkStart w:id="16" w:name="dabmci_f606e016c2ed4d37bc9e7409abbf581a"/>
      <w:r w:rsidR="00C901F3" w:rsidRPr="00D03F55">
        <w:rPr>
          <w:i/>
          <w:iCs/>
        </w:rPr>
        <w:t>Estrada</w:t>
      </w:r>
      <w:r w:rsidR="00C901F3" w:rsidRPr="00D03F55">
        <w:t>,</w:t>
      </w:r>
      <w:r w:rsidR="00C901F3" w:rsidRPr="00D03F55">
        <w:rPr>
          <w:i/>
          <w:iCs/>
        </w:rPr>
        <w:t xml:space="preserve"> supra</w:t>
      </w:r>
      <w:r w:rsidR="00C901F3" w:rsidRPr="00D03F55">
        <w:t>, 76 Cal.App.5th at pp.</w:t>
      </w:r>
      <w:r w:rsidR="00504100" w:rsidRPr="00D03F55">
        <w:t> </w:t>
      </w:r>
      <w:r w:rsidR="007D24E6" w:rsidRPr="00D03F55">
        <w:t>698</w:t>
      </w:r>
      <w:r w:rsidR="003D7AD1" w:rsidRPr="00D03F55">
        <w:t>–</w:t>
      </w:r>
      <w:r w:rsidR="007D24E6" w:rsidRPr="00D03F55">
        <w:t>703</w:t>
      </w:r>
      <w:bookmarkEnd w:id="16"/>
      <w:r w:rsidR="00C901F3" w:rsidRPr="00D03F55">
        <w:t>.)</w:t>
      </w:r>
    </w:p>
  </w:footnote>
  <w:footnote w:id="8">
    <w:p w14:paraId="53FB68D8" w14:textId="77777777" w:rsidR="000771D7" w:rsidRPr="00D03F55" w:rsidRDefault="007742F5" w:rsidP="00837317">
      <w:pPr>
        <w:pStyle w:val="FootnoteText"/>
      </w:pPr>
      <w:r w:rsidRPr="00D03F55">
        <w:rPr>
          <w:rStyle w:val="FootnoteReference"/>
        </w:rPr>
        <w:footnoteRef/>
      </w:r>
      <w:r w:rsidRPr="00D03F55">
        <w:t xml:space="preserve"> </w:t>
      </w:r>
      <w:r w:rsidRPr="00D03F55">
        <w:tab/>
      </w:r>
      <w:r w:rsidR="00CA2096">
        <w:t>A</w:t>
      </w:r>
      <w:r w:rsidR="000854CC" w:rsidRPr="00D03F55">
        <w:t xml:space="preserve"> California employer </w:t>
      </w:r>
      <w:r w:rsidR="00F31BB7" w:rsidRPr="00D03F55">
        <w:t>must generally provide “a first meal period no later than the end of an employee</w:t>
      </w:r>
      <w:r w:rsidR="00320D9A" w:rsidRPr="00D03F55">
        <w:t>’</w:t>
      </w:r>
      <w:r w:rsidR="00F31BB7" w:rsidRPr="00D03F55">
        <w:t>s fifth hour of work, and a second meal period</w:t>
      </w:r>
      <w:r w:rsidR="00751D06" w:rsidRPr="00D03F55">
        <w:t xml:space="preserve"> </w:t>
      </w:r>
      <w:r w:rsidR="00F31BB7" w:rsidRPr="00D03F55">
        <w:t>no later</w:t>
      </w:r>
      <w:r w:rsidR="00AB488F" w:rsidRPr="00D03F55">
        <w:t xml:space="preserve"> </w:t>
      </w:r>
      <w:r w:rsidR="00F31BB7" w:rsidRPr="00D03F55">
        <w:t>than the end of an employee</w:t>
      </w:r>
      <w:r w:rsidR="00320D9A" w:rsidRPr="00D03F55">
        <w:t>’</w:t>
      </w:r>
      <w:r w:rsidR="00F31BB7" w:rsidRPr="00D03F55">
        <w:t xml:space="preserve">s 10th hour of work.” </w:t>
      </w:r>
      <w:r w:rsidR="000854CC" w:rsidRPr="00D03F55">
        <w:t xml:space="preserve"> (</w:t>
      </w:r>
      <w:bookmarkStart w:id="19" w:name="dabmci_8e43001b1d5741889da700ede64177ec"/>
      <w:r w:rsidR="007A030B" w:rsidRPr="00B576CC">
        <w:rPr>
          <w:i/>
          <w:iCs/>
        </w:rPr>
        <w:t>Brinker Restaurant Corp. v. Superior Court</w:t>
      </w:r>
      <w:r w:rsidR="007A030B">
        <w:t xml:space="preserve"> (2012) 53 Cal.4th 1004, 1041</w:t>
      </w:r>
      <w:r w:rsidR="006A0773">
        <w:t xml:space="preserve"> (</w:t>
      </w:r>
      <w:r w:rsidR="006A0773" w:rsidRPr="00B576CC">
        <w:rPr>
          <w:i/>
          <w:iCs/>
        </w:rPr>
        <w:t>Brinker</w:t>
      </w:r>
      <w:r w:rsidR="006A0773">
        <w:t>)</w:t>
      </w:r>
      <w:bookmarkEnd w:id="19"/>
      <w:r w:rsidR="006A0773">
        <w:t>.)</w:t>
      </w:r>
      <w:r w:rsidR="00F31BB7" w:rsidRPr="00D03F55">
        <w:t xml:space="preserve"> </w:t>
      </w:r>
      <w:r w:rsidR="000854CC" w:rsidRPr="00D03F55">
        <w:t xml:space="preserve"> </w:t>
      </w:r>
      <w:r w:rsidR="00F31BB7" w:rsidRPr="00D03F55">
        <w:t>In </w:t>
      </w:r>
      <w:bookmarkStart w:id="20" w:name="dabmci_f887021f2d1c45458862588afdb24bbc"/>
      <w:r w:rsidR="00F31BB7" w:rsidRPr="00D03F55">
        <w:rPr>
          <w:i/>
          <w:iCs/>
        </w:rPr>
        <w:t>Brinker</w:t>
      </w:r>
      <w:bookmarkEnd w:id="20"/>
      <w:r w:rsidR="00F31BB7" w:rsidRPr="00D03F55">
        <w:t xml:space="preserve">, we </w:t>
      </w:r>
      <w:r w:rsidR="006D1A96" w:rsidRPr="00D03F55">
        <w:t>clarified</w:t>
      </w:r>
      <w:r w:rsidR="00F31BB7" w:rsidRPr="00D03F55">
        <w:t xml:space="preserve"> that an “employer satisfies this obligation if it relieves its employees of all duty, relinquishes control over their activities and permits them a reasonable opportunity to take an uninterrupted 30-minute break, and does not impede or discourage them from doing so</w:t>
      </w:r>
      <w:r w:rsidR="00EC3A7A" w:rsidRPr="00D03F55">
        <w:t xml:space="preserve">.”  </w:t>
      </w:r>
      <w:r w:rsidR="00F31BB7" w:rsidRPr="00D03F55">
        <w:t>(</w:t>
      </w:r>
      <w:bookmarkStart w:id="21" w:name="dabmci_b35f60e4e22e479eb549d367c22c4a7e"/>
      <w:r w:rsidR="00F31BB7" w:rsidRPr="00D03F55">
        <w:rPr>
          <w:i/>
          <w:iCs/>
        </w:rPr>
        <w:t>Id</w:t>
      </w:r>
      <w:r w:rsidR="00F31BB7" w:rsidRPr="00D03F55">
        <w:t>.</w:t>
      </w:r>
      <w:r w:rsidR="00AB488F" w:rsidRPr="00D03F55">
        <w:t xml:space="preserve"> </w:t>
      </w:r>
      <w:r w:rsidR="00F31BB7" w:rsidRPr="00D03F55">
        <w:t>at p.</w:t>
      </w:r>
      <w:r w:rsidR="007D14A9" w:rsidRPr="00D03F55">
        <w:t> </w:t>
      </w:r>
      <w:r w:rsidR="00F31BB7" w:rsidRPr="00D03F55">
        <w:t>1040</w:t>
      </w:r>
      <w:bookmarkEnd w:id="21"/>
      <w:r w:rsidR="00F31BB7" w:rsidRPr="00D03F55">
        <w:t>.)</w:t>
      </w:r>
    </w:p>
  </w:footnote>
  <w:footnote w:id="9">
    <w:p w14:paraId="53FB68D9" w14:textId="77777777" w:rsidR="00703764" w:rsidRPr="00D03F55" w:rsidRDefault="007742F5" w:rsidP="00837317">
      <w:pPr>
        <w:pStyle w:val="FootnoteText"/>
      </w:pPr>
      <w:r w:rsidRPr="00D03F55">
        <w:rPr>
          <w:rStyle w:val="FootnoteReference"/>
        </w:rPr>
        <w:footnoteRef/>
      </w:r>
      <w:r w:rsidRPr="00D03F55">
        <w:t xml:space="preserve"> </w:t>
      </w:r>
      <w:r w:rsidRPr="00D03F55">
        <w:tab/>
        <w:t xml:space="preserve">The Court of Appeal </w:t>
      </w:r>
      <w:r w:rsidR="00D57D00" w:rsidRPr="00D03F55">
        <w:t>noted</w:t>
      </w:r>
      <w:r w:rsidRPr="00D03F55">
        <w:t xml:space="preserve">, </w:t>
      </w:r>
      <w:r w:rsidR="00091A93" w:rsidRPr="00D03F55">
        <w:t>“Though the court</w:t>
      </w:r>
      <w:r w:rsidR="00FB6652" w:rsidRPr="00D03F55">
        <w:t>’</w:t>
      </w:r>
      <w:r w:rsidR="00091A93" w:rsidRPr="00D03F55">
        <w:t>s initial certification order created a single meal period subclass, the court’s decertification order appears to treat the first and second meal period issues as two separate subclasses.”  (</w:t>
      </w:r>
      <w:bookmarkStart w:id="33" w:name="dabmci_29009b54571743f7b36d7e30e528b329"/>
      <w:r w:rsidR="00091A93" w:rsidRPr="00D03F55">
        <w:rPr>
          <w:i/>
          <w:iCs/>
        </w:rPr>
        <w:t>Estrada</w:t>
      </w:r>
      <w:r w:rsidR="00091A93" w:rsidRPr="00D03F55">
        <w:t>,</w:t>
      </w:r>
      <w:r w:rsidR="00AB488F" w:rsidRPr="00D03F55">
        <w:t xml:space="preserve"> </w:t>
      </w:r>
      <w:r w:rsidR="00091A93" w:rsidRPr="00D03F55">
        <w:rPr>
          <w:i/>
          <w:iCs/>
        </w:rPr>
        <w:t>supra</w:t>
      </w:r>
      <w:r w:rsidR="00091A93" w:rsidRPr="00D03F55">
        <w:t>,</w:t>
      </w:r>
      <w:r w:rsidR="00AB488F" w:rsidRPr="00D03F55">
        <w:t xml:space="preserve"> </w:t>
      </w:r>
      <w:r w:rsidR="00091A93" w:rsidRPr="00D03F55">
        <w:t>76</w:t>
      </w:r>
      <w:r w:rsidR="0077197C" w:rsidRPr="00D03F55">
        <w:t> </w:t>
      </w:r>
      <w:r w:rsidR="00091A93" w:rsidRPr="00D03F55">
        <w:t>Cal.App.5th at p.</w:t>
      </w:r>
      <w:r w:rsidR="00AB488F" w:rsidRPr="00D03F55">
        <w:t> </w:t>
      </w:r>
      <w:r w:rsidR="00091A93" w:rsidRPr="00D03F55">
        <w:t>719</w:t>
      </w:r>
      <w:r w:rsidR="00FB6652" w:rsidRPr="00D03F55">
        <w:t>, fn.</w:t>
      </w:r>
      <w:r w:rsidR="00AB488F" w:rsidRPr="00D03F55">
        <w:t> </w:t>
      </w:r>
      <w:r w:rsidR="00FB6652" w:rsidRPr="00D03F55">
        <w:t>10</w:t>
      </w:r>
      <w:bookmarkEnd w:id="33"/>
      <w:r w:rsidR="00091A93" w:rsidRPr="00D03F55">
        <w:t xml:space="preserve">.)  </w:t>
      </w:r>
      <w:r w:rsidR="0081483E" w:rsidRPr="00D03F55">
        <w:t xml:space="preserve">Thus, we </w:t>
      </w:r>
      <w:r w:rsidR="00002A85" w:rsidRPr="00D03F55">
        <w:t>refer</w:t>
      </w:r>
      <w:r w:rsidR="00091A93" w:rsidRPr="00D03F55">
        <w:t xml:space="preserve"> </w:t>
      </w:r>
      <w:r w:rsidR="00C67413" w:rsidRPr="00D03F55">
        <w:t xml:space="preserve">to </w:t>
      </w:r>
      <w:r w:rsidR="00091A93" w:rsidRPr="00D03F55">
        <w:t xml:space="preserve">these </w:t>
      </w:r>
      <w:r w:rsidR="00FB6652" w:rsidRPr="00D03F55">
        <w:t>“</w:t>
      </w:r>
      <w:r w:rsidR="00091A93" w:rsidRPr="00D03F55">
        <w:t>as separate subclasses.</w:t>
      </w:r>
      <w:r w:rsidR="00FB6652" w:rsidRPr="00D03F55">
        <w:t xml:space="preserve">” </w:t>
      </w:r>
      <w:r w:rsidR="00C60CB3" w:rsidRPr="00D03F55">
        <w:t xml:space="preserve"> </w:t>
      </w:r>
      <w:r w:rsidR="00FB6652" w:rsidRPr="00D03F55">
        <w:t>(</w:t>
      </w:r>
      <w:bookmarkStart w:id="34" w:name="dabmci_66347f6b503a415e8a69a08f61c643e9"/>
      <w:r w:rsidR="00FB6652" w:rsidRPr="00D03F55">
        <w:rPr>
          <w:i/>
          <w:iCs/>
        </w:rPr>
        <w:t>Ibid</w:t>
      </w:r>
      <w:r w:rsidR="00FB6652" w:rsidRPr="00D03F55">
        <w:t>.</w:t>
      </w:r>
      <w:bookmarkEnd w:id="34"/>
      <w:r w:rsidR="008F6DD6" w:rsidRPr="00D03F55">
        <w:t>)</w:t>
      </w:r>
    </w:p>
  </w:footnote>
  <w:footnote w:id="10">
    <w:p w14:paraId="53FB68DA" w14:textId="77777777" w:rsidR="00C367EC" w:rsidRPr="00D03F55" w:rsidRDefault="007742F5" w:rsidP="00C367EC">
      <w:pPr>
        <w:pStyle w:val="FootnoteText"/>
      </w:pPr>
      <w:r w:rsidRPr="00D03F55">
        <w:rPr>
          <w:rStyle w:val="FootnoteReference"/>
        </w:rPr>
        <w:footnoteRef/>
      </w:r>
      <w:r w:rsidRPr="00D03F55">
        <w:t xml:space="preserve"> </w:t>
      </w:r>
      <w:r w:rsidRPr="00D03F55">
        <w:tab/>
        <w:t>In explaining the nature of these individualized issues, the trial court’s decertification order note</w:t>
      </w:r>
      <w:r w:rsidR="004F6A29">
        <w:t>d</w:t>
      </w:r>
      <w:r w:rsidRPr="00D03F55">
        <w:t xml:space="preserve"> that “employee choice was a significant factor with respect to taking meal breaks.”  </w:t>
      </w:r>
    </w:p>
  </w:footnote>
  <w:footnote w:id="11">
    <w:p w14:paraId="53FB68DB" w14:textId="77777777" w:rsidR="001E7B29" w:rsidRDefault="007742F5" w:rsidP="0014339D">
      <w:pPr>
        <w:pStyle w:val="FootnoteText"/>
      </w:pPr>
      <w:r>
        <w:rPr>
          <w:rStyle w:val="FootnoteReference"/>
        </w:rPr>
        <w:footnoteRef/>
      </w:r>
      <w:r>
        <w:t xml:space="preserve"> </w:t>
      </w:r>
      <w:r w:rsidR="0014339D">
        <w:tab/>
      </w:r>
      <w:r w:rsidR="00804B32">
        <w:t xml:space="preserve">However, </w:t>
      </w:r>
      <w:r w:rsidR="00983266">
        <w:t xml:space="preserve">with one exception, </w:t>
      </w:r>
      <w:r w:rsidR="00804B32">
        <w:t>the trial court “</w:t>
      </w:r>
      <w:r w:rsidR="0014339D" w:rsidRPr="0014339D">
        <w:t>found the named Dyer/Derian plaintiffs had established individual PAGA violations</w:t>
      </w:r>
      <w:r w:rsidR="000921C6">
        <w:t>”</w:t>
      </w:r>
      <w:r w:rsidR="0014339D" w:rsidRPr="0014339D">
        <w:t xml:space="preserve"> and </w:t>
      </w:r>
      <w:r w:rsidR="000921C6">
        <w:t xml:space="preserve">therefore </w:t>
      </w:r>
      <w:r w:rsidR="0014339D" w:rsidRPr="0014339D">
        <w:t xml:space="preserve">awarded </w:t>
      </w:r>
      <w:r w:rsidR="00AF5E45">
        <w:t xml:space="preserve">them </w:t>
      </w:r>
      <w:r w:rsidR="0014339D" w:rsidRPr="0014339D">
        <w:t>penalties.</w:t>
      </w:r>
      <w:r w:rsidR="00B3726B">
        <w:t xml:space="preserve">  </w:t>
      </w:r>
      <w:r w:rsidR="0014339D">
        <w:t>(</w:t>
      </w:r>
      <w:bookmarkStart w:id="37" w:name="dabmci_112f814946bc4e73974a4eae63da914e"/>
      <w:r w:rsidR="0014339D" w:rsidRPr="0014339D">
        <w:rPr>
          <w:i/>
          <w:iCs/>
        </w:rPr>
        <w:t>Estrada</w:t>
      </w:r>
      <w:r w:rsidR="0014339D">
        <w:rPr>
          <w:i/>
          <w:iCs/>
        </w:rPr>
        <w:t xml:space="preserve">, supra, </w:t>
      </w:r>
      <w:r w:rsidR="0014339D" w:rsidRPr="0014339D">
        <w:t xml:space="preserve">76 Cal.App.5th </w:t>
      </w:r>
      <w:r w:rsidR="0014339D">
        <w:t>at p.</w:t>
      </w:r>
      <w:r w:rsidR="000921C6">
        <w:t> </w:t>
      </w:r>
      <w:r w:rsidR="0014339D" w:rsidRPr="0014339D">
        <w:t>703</w:t>
      </w:r>
      <w:bookmarkEnd w:id="37"/>
      <w:r w:rsidR="0014339D">
        <w:t>.)</w:t>
      </w:r>
    </w:p>
  </w:footnote>
  <w:footnote w:id="12">
    <w:p w14:paraId="53FB68DC" w14:textId="77777777" w:rsidR="00DB0817" w:rsidRPr="00D03F55" w:rsidRDefault="007742F5" w:rsidP="00837317">
      <w:pPr>
        <w:pStyle w:val="FootnoteText"/>
      </w:pPr>
      <w:r w:rsidRPr="00D03F55">
        <w:rPr>
          <w:rStyle w:val="FootnoteReference"/>
        </w:rPr>
        <w:footnoteRef/>
      </w:r>
      <w:r w:rsidR="00504100" w:rsidRPr="00D03F55">
        <w:tab/>
      </w:r>
      <w:r w:rsidRPr="00D03F55">
        <w:t xml:space="preserve">We have received amicus curiae briefs supporting Royalty from: </w:t>
      </w:r>
      <w:r w:rsidR="004A149F" w:rsidRPr="00D03F55">
        <w:t xml:space="preserve"> </w:t>
      </w:r>
      <w:r w:rsidRPr="00D03F55">
        <w:t>(1)</w:t>
      </w:r>
      <w:r w:rsidR="004A149F" w:rsidRPr="00D03F55">
        <w:t> </w:t>
      </w:r>
      <w:r w:rsidR="00113B2F">
        <w:t xml:space="preserve">the </w:t>
      </w:r>
      <w:r w:rsidRPr="00D03F55">
        <w:t>Board of Trustees of the California State University; (2)</w:t>
      </w:r>
      <w:r w:rsidR="004A149F" w:rsidRPr="00D03F55">
        <w:t> </w:t>
      </w:r>
      <w:r w:rsidR="00113B2F">
        <w:t xml:space="preserve">the </w:t>
      </w:r>
      <w:r w:rsidRPr="00D03F55">
        <w:t>Employers Group and California Employment Law Counsel; and (3)</w:t>
      </w:r>
      <w:r w:rsidR="004A149F" w:rsidRPr="00D03F55">
        <w:t> </w:t>
      </w:r>
      <w:r w:rsidR="00113B2F">
        <w:t xml:space="preserve">the </w:t>
      </w:r>
      <w:r w:rsidRPr="00D03F55">
        <w:t>Chamber of Commerce of the United States of America, Ca</w:t>
      </w:r>
      <w:r w:rsidRPr="00D03F55">
        <w:t>lifornia Chamber of Commerce, National Retail Federation, and Retail Litigation Center, Inc</w:t>
      </w:r>
      <w:r w:rsidR="00373EF7">
        <w:t>.</w:t>
      </w:r>
      <w:r w:rsidR="00E61A17">
        <w:t xml:space="preserve"> (Chamber of Commerce)</w:t>
      </w:r>
      <w:r w:rsidRPr="00D03F55">
        <w:t xml:space="preserve">.  </w:t>
      </w:r>
    </w:p>
  </w:footnote>
  <w:footnote w:id="13">
    <w:p w14:paraId="53FB68DD" w14:textId="77777777" w:rsidR="004522B0" w:rsidRPr="00D03F55" w:rsidRDefault="007742F5" w:rsidP="00837317">
      <w:pPr>
        <w:pStyle w:val="FootnoteText"/>
        <w:rPr>
          <w:rFonts w:cstheme="minorHAnsi"/>
          <w:szCs w:val="26"/>
        </w:rPr>
      </w:pPr>
      <w:r w:rsidRPr="00D03F55">
        <w:rPr>
          <w:rStyle w:val="FootnoteReference"/>
          <w:rFonts w:cstheme="minorHAnsi"/>
          <w:szCs w:val="26"/>
        </w:rPr>
        <w:footnoteRef/>
      </w:r>
      <w:r w:rsidRPr="00D03F55">
        <w:rPr>
          <w:rFonts w:cstheme="minorHAnsi"/>
          <w:szCs w:val="26"/>
        </w:rPr>
        <w:tab/>
        <w:t>All subsequent references to “</w:t>
      </w:r>
      <w:bookmarkStart w:id="111" w:name="dabmci_5350f58b29284df8bfe795539ec33e83"/>
      <w:r w:rsidRPr="00D03F55">
        <w:rPr>
          <w:rFonts w:cstheme="minorHAnsi"/>
          <w:szCs w:val="26"/>
        </w:rPr>
        <w:t>Rule 23</w:t>
      </w:r>
      <w:bookmarkEnd w:id="111"/>
      <w:r w:rsidRPr="00D03F55">
        <w:rPr>
          <w:rFonts w:cstheme="minorHAnsi"/>
          <w:szCs w:val="26"/>
        </w:rPr>
        <w:t xml:space="preserve">” and its subparts are to </w:t>
      </w:r>
      <w:bookmarkStart w:id="112" w:name="dabmci_cdea591039754be2b935843bcba03f11"/>
      <w:r w:rsidRPr="00D03F55">
        <w:rPr>
          <w:rFonts w:cstheme="minorHAnsi"/>
          <w:szCs w:val="26"/>
        </w:rPr>
        <w:t>Rule 23 of the Federal Rules of Civil Procedure</w:t>
      </w:r>
      <w:bookmarkEnd w:id="112"/>
      <w:r w:rsidRPr="00D03F55">
        <w:rPr>
          <w:rFonts w:cstheme="minorHAnsi"/>
          <w:szCs w:val="26"/>
        </w:rPr>
        <w:t xml:space="preserve"> (28 U.S.C.).</w:t>
      </w:r>
      <w:r w:rsidR="001F6371" w:rsidRPr="00D03F55">
        <w:rPr>
          <w:rFonts w:cstheme="minorHAnsi"/>
          <w:szCs w:val="26"/>
        </w:rPr>
        <w:t xml:space="preserve">  </w:t>
      </w:r>
    </w:p>
  </w:footnote>
  <w:footnote w:id="14">
    <w:p w14:paraId="53FB68DE" w14:textId="77777777" w:rsidR="002952B0" w:rsidRPr="00D03F55" w:rsidRDefault="007742F5" w:rsidP="00837317">
      <w:pPr>
        <w:pStyle w:val="FootnoteText"/>
      </w:pPr>
      <w:r w:rsidRPr="00D03F55">
        <w:rPr>
          <w:rStyle w:val="FootnoteReference"/>
        </w:rPr>
        <w:footnoteRef/>
      </w:r>
      <w:r w:rsidRPr="00D03F55">
        <w:t xml:space="preserve"> </w:t>
      </w:r>
      <w:r w:rsidRPr="00D03F55">
        <w:tab/>
        <w:t>Royalty</w:t>
      </w:r>
      <w:r w:rsidRPr="00D03F55">
        <w:t xml:space="preserve"> relies on </w:t>
      </w:r>
      <w:bookmarkStart w:id="123" w:name="dabmci_3c13703174d8449897cc089f03f7b49a"/>
      <w:r w:rsidRPr="00D03F55">
        <w:rPr>
          <w:i/>
          <w:iCs/>
        </w:rPr>
        <w:t>Stephen Slesinger, Inc. v. Walt Disney Co.</w:t>
      </w:r>
      <w:r w:rsidRPr="00D03F55">
        <w:t> (2007) 155 Cal.App.4th 736</w:t>
      </w:r>
      <w:bookmarkEnd w:id="123"/>
      <w:r w:rsidRPr="00D03F55">
        <w:t>, where the court held “that when the plaintiff has engaged in misconduct during the course of the litigation that is deliberate, that is egregious, and that renders any remedy</w:t>
      </w:r>
      <w:r w:rsidRPr="00D03F55">
        <w:t xml:space="preserve"> short of dismissal inadequate to preserve the fairness of the trial, the trial court has the inherent power to dismiss the action.”  (</w:t>
      </w:r>
      <w:bookmarkStart w:id="124" w:name="dabmci_2cc4468cd6af4897ae1ba3399f94cb81"/>
      <w:r w:rsidRPr="00D03F55">
        <w:rPr>
          <w:i/>
          <w:iCs/>
        </w:rPr>
        <w:t>Id</w:t>
      </w:r>
      <w:r w:rsidRPr="00D03F55">
        <w:t>. at p. 764</w:t>
      </w:r>
      <w:bookmarkEnd w:id="124"/>
      <w:r w:rsidRPr="00D03F55">
        <w:t xml:space="preserve">.)  But nothing in </w:t>
      </w:r>
      <w:bookmarkStart w:id="125" w:name="dabmci_433b235a74e54034aef5e37b567b7b93"/>
      <w:r w:rsidRPr="00D03F55">
        <w:rPr>
          <w:i/>
          <w:iCs/>
        </w:rPr>
        <w:t>Stephen Slesinger</w:t>
      </w:r>
      <w:bookmarkEnd w:id="125"/>
      <w:r w:rsidRPr="00D03F55">
        <w:rPr>
          <w:i/>
          <w:iCs/>
        </w:rPr>
        <w:t xml:space="preserve"> </w:t>
      </w:r>
      <w:r w:rsidRPr="00D03F55">
        <w:t>supports a broad inherent judicial power to dismiss a claim to “preserv</w:t>
      </w:r>
      <w:r w:rsidRPr="00D03F55">
        <w:t>e judicial resources [and to] prevent trials from becoming excessively complex and time-consuming,” as Royalty contends.</w:t>
      </w:r>
      <w:r w:rsidR="00703764">
        <w:t xml:space="preserve">  </w:t>
      </w:r>
      <w:r w:rsidRPr="00D03F55">
        <w:t xml:space="preserve">On the contrary, the </w:t>
      </w:r>
      <w:r w:rsidRPr="00D03F55">
        <w:rPr>
          <w:i/>
          <w:iCs/>
        </w:rPr>
        <w:t xml:space="preserve">Stephen Slesinger </w:t>
      </w:r>
      <w:r w:rsidRPr="00D03F55">
        <w:t xml:space="preserve">court “emphasize[d] that dismissal is </w:t>
      </w:r>
      <w:r w:rsidRPr="00D03F55">
        <w:rPr>
          <w:i/>
          <w:iCs/>
        </w:rPr>
        <w:t>always</w:t>
      </w:r>
      <w:r w:rsidRPr="00D03F55">
        <w:t xml:space="preserve"> a drastic remedy to be employed </w:t>
      </w:r>
      <w:r w:rsidRPr="00D03F55">
        <w:rPr>
          <w:i/>
          <w:iCs/>
        </w:rPr>
        <w:t>only</w:t>
      </w:r>
      <w:r w:rsidRPr="00D03F55">
        <w:t xml:space="preserve"> in the rarest of circumstances.”  (</w:t>
      </w:r>
      <w:bookmarkStart w:id="126" w:name="dabmci_8d1aef983d474ec0b9377e5364eca9f1"/>
      <w:r w:rsidRPr="00D03F55">
        <w:rPr>
          <w:i/>
          <w:iCs/>
        </w:rPr>
        <w:t>Id</w:t>
      </w:r>
      <w:r w:rsidRPr="00D03F55">
        <w:t>. at p. </w:t>
      </w:r>
      <w:r w:rsidR="002C2DAB">
        <w:t>764</w:t>
      </w:r>
      <w:bookmarkEnd w:id="126"/>
      <w:r w:rsidR="002C2DAB">
        <w:t>.</w:t>
      </w:r>
      <w:r w:rsidRPr="00D03F55">
        <w:t>)</w:t>
      </w:r>
    </w:p>
  </w:footnote>
  <w:footnote w:id="15">
    <w:p w14:paraId="53FB68DF" w14:textId="77777777" w:rsidR="002952B0" w:rsidRPr="00D03F55" w:rsidRDefault="007742F5" w:rsidP="00837317">
      <w:pPr>
        <w:pStyle w:val="FootnoteText"/>
      </w:pPr>
      <w:r w:rsidRPr="00D03F55">
        <w:rPr>
          <w:rStyle w:val="FootnoteReference"/>
        </w:rPr>
        <w:footnoteRef/>
      </w:r>
      <w:r w:rsidRPr="00D03F55">
        <w:t xml:space="preserve"> </w:t>
      </w:r>
      <w:r w:rsidRPr="00D03F55">
        <w:tab/>
      </w:r>
      <w:r w:rsidRPr="00D03F55">
        <w:rPr>
          <w:szCs w:val="26"/>
        </w:rPr>
        <w:t>Code of Civil Procedure section 128, subdivision (a) specifies a series of powers that every court possesses, including “[t]o preserve and enforce order in its imme</w:t>
      </w:r>
      <w:r w:rsidRPr="00D03F55">
        <w:rPr>
          <w:szCs w:val="26"/>
        </w:rPr>
        <w:t>diate presence,” “[t]o enforce order in the proceedings before it,” “[t]o provide for the orderly conduct of proceedings before it,” “[t]o compel obedience to its judgments,” “[t]o control in furtherance of justice, the conduct of its ministerial officers,</w:t>
      </w:r>
      <w:r w:rsidRPr="00D03F55">
        <w:rPr>
          <w:szCs w:val="26"/>
        </w:rPr>
        <w:t>”</w:t>
      </w:r>
      <w:r w:rsidRPr="00D03F55">
        <w:rPr>
          <w:color w:val="000000"/>
          <w:szCs w:val="26"/>
        </w:rPr>
        <w:t xml:space="preserve"> “</w:t>
      </w:r>
      <w:r w:rsidRPr="00D03F55">
        <w:rPr>
          <w:szCs w:val="26"/>
        </w:rPr>
        <w:t>[t]o compel the attendance of persons to testify,” “[t]o administer oaths,” and “[t]o amend and control its process and orders so as to make them conform to law and justice.”</w:t>
      </w:r>
      <w:r w:rsidRPr="00D03F55">
        <w:t xml:space="preserve"> </w:t>
      </w:r>
    </w:p>
    <w:p w14:paraId="53FB68E0" w14:textId="77777777" w:rsidR="002952B0" w:rsidRPr="00D03F55" w:rsidRDefault="007742F5" w:rsidP="00837317">
      <w:pPr>
        <w:pStyle w:val="FootnoteText"/>
      </w:pPr>
      <w:r w:rsidRPr="00D03F55">
        <w:tab/>
        <w:t xml:space="preserve">Code of Civil Procedure section 187 provides, “When jurisdiction is, by the </w:t>
      </w:r>
      <w:r w:rsidRPr="00D03F55">
        <w:t xml:space="preserve">Constitution or this Code, or by any other statute, conferred on a Court or judicial officer, all the means necessary to carry it into effect are also given; and in the exercise of this jurisdiction, if the course of proceeding be not specifically pointed </w:t>
      </w:r>
      <w:r w:rsidRPr="00D03F55">
        <w:t>out by this Code or the statute, any suitable process or mode of proceeding may be adopted which may appear most conformable to the spirit of this Code.”</w:t>
      </w:r>
    </w:p>
  </w:footnote>
  <w:footnote w:id="16">
    <w:p w14:paraId="53FB68E1" w14:textId="77777777" w:rsidR="002952B0" w:rsidRPr="00D03F55" w:rsidRDefault="007742F5" w:rsidP="00837317">
      <w:pPr>
        <w:pStyle w:val="FootnoteText"/>
      </w:pPr>
      <w:r w:rsidRPr="00D03F55">
        <w:rPr>
          <w:rStyle w:val="FootnoteReference"/>
        </w:rPr>
        <w:footnoteRef/>
      </w:r>
      <w:r w:rsidRPr="00D03F55">
        <w:t xml:space="preserve"> </w:t>
      </w:r>
      <w:r w:rsidRPr="00D03F55">
        <w:tab/>
      </w:r>
      <w:r w:rsidRPr="00D03F55">
        <w:rPr>
          <w:rFonts w:cstheme="minorHAnsi"/>
          <w:szCs w:val="26"/>
        </w:rPr>
        <w:t xml:space="preserve">Royalty also cites </w:t>
      </w:r>
      <w:r w:rsidR="003228FA" w:rsidRPr="002802BD">
        <w:rPr>
          <w:rFonts w:cstheme="minorHAnsi"/>
          <w:szCs w:val="26"/>
        </w:rPr>
        <w:t xml:space="preserve">California </w:t>
      </w:r>
      <w:bookmarkStart w:id="147" w:name="dabmci_70e16222de40464d898e360b63a36a37"/>
      <w:r w:rsidRPr="002802BD">
        <w:rPr>
          <w:rFonts w:cstheme="minorHAnsi"/>
          <w:szCs w:val="26"/>
        </w:rPr>
        <w:t>Standards of Judicial Administration</w:t>
      </w:r>
      <w:r w:rsidRPr="00D03F55">
        <w:rPr>
          <w:rFonts w:cstheme="minorHAnsi"/>
          <w:szCs w:val="26"/>
        </w:rPr>
        <w:t xml:space="preserve">, </w:t>
      </w:r>
      <w:r w:rsidR="00881DB5">
        <w:rPr>
          <w:rFonts w:cstheme="minorHAnsi"/>
          <w:szCs w:val="26"/>
        </w:rPr>
        <w:t>s</w:t>
      </w:r>
      <w:r w:rsidRPr="00D03F55">
        <w:rPr>
          <w:rFonts w:cstheme="minorHAnsi"/>
          <w:szCs w:val="26"/>
        </w:rPr>
        <w:t>tandard 3.10(a)</w:t>
      </w:r>
      <w:bookmarkEnd w:id="147"/>
      <w:r w:rsidRPr="00D03F55">
        <w:rPr>
          <w:rFonts w:cstheme="minorHAnsi"/>
          <w:szCs w:val="26"/>
        </w:rPr>
        <w:t>, which provide</w:t>
      </w:r>
      <w:r w:rsidRPr="00D03F55">
        <w:rPr>
          <w:rFonts w:cstheme="minorHAnsi"/>
          <w:szCs w:val="26"/>
        </w:rPr>
        <w:t>s, “In complex litigation, judicial management should begin early and be applied continuously and actively, based on knowledge of the circumstances of each case.”  However, this standard neither identifies any inherent authority nor establishes that courts</w:t>
      </w:r>
      <w:r w:rsidRPr="00D03F55">
        <w:rPr>
          <w:rFonts w:cstheme="minorHAnsi"/>
          <w:szCs w:val="26"/>
        </w:rPr>
        <w:t xml:space="preserve"> have the power to strike claims to foster judicial management.</w:t>
      </w:r>
    </w:p>
  </w:footnote>
  <w:footnote w:id="17">
    <w:p w14:paraId="53FB68E2" w14:textId="77777777" w:rsidR="00092056" w:rsidRPr="00D03F55" w:rsidRDefault="007742F5" w:rsidP="00837317">
      <w:pPr>
        <w:pStyle w:val="FootnoteText"/>
      </w:pPr>
      <w:r w:rsidRPr="00D03F55">
        <w:rPr>
          <w:rStyle w:val="FootnoteReference"/>
        </w:rPr>
        <w:footnoteRef/>
      </w:r>
      <w:r w:rsidRPr="00D03F55">
        <w:tab/>
        <w:t xml:space="preserve">Code of Civil Procedure section 581, subdivision (m) provides, </w:t>
      </w:r>
      <w:r w:rsidRPr="00D03F55">
        <w:rPr>
          <w:vertAlign w:val="superscript"/>
        </w:rPr>
        <w:t>“</w:t>
      </w:r>
      <w:r w:rsidRPr="00D03F55">
        <w:t>The provisions of this section shall not be deemed to be an exclusive enumeration of the court’s power to dismiss an action or</w:t>
      </w:r>
      <w:r w:rsidRPr="00D03F55">
        <w:t xml:space="preserve"> dismiss a complaint as to a defendant.”</w:t>
      </w:r>
    </w:p>
  </w:footnote>
  <w:footnote w:id="18">
    <w:p w14:paraId="53FB68E3" w14:textId="77777777" w:rsidR="002952B0" w:rsidRPr="00D03F55" w:rsidRDefault="007742F5" w:rsidP="00837317">
      <w:pPr>
        <w:pStyle w:val="FootnoteText"/>
        <w:rPr>
          <w:rFonts w:cstheme="minorHAnsi"/>
          <w:szCs w:val="26"/>
        </w:rPr>
      </w:pPr>
      <w:r w:rsidRPr="00D03F55">
        <w:rPr>
          <w:rStyle w:val="FootnoteReference"/>
          <w:rFonts w:cstheme="minorHAnsi"/>
          <w:szCs w:val="26"/>
        </w:rPr>
        <w:footnoteRef/>
      </w:r>
      <w:r w:rsidRPr="00D03F55">
        <w:rPr>
          <w:rFonts w:cstheme="minorHAnsi"/>
          <w:szCs w:val="26"/>
        </w:rPr>
        <w:tab/>
        <w:t>Code of Civil Procedure section 379 provides in relevant part:  “(a) All persons may be joined in one action as defendants if there is asserted against them:</w:t>
      </w:r>
      <w:r w:rsidR="00083569">
        <w:rPr>
          <w:rFonts w:cstheme="minorHAnsi"/>
          <w:szCs w:val="26"/>
        </w:rPr>
        <w:t xml:space="preserve"> </w:t>
      </w:r>
      <w:r w:rsidR="00A846AF">
        <w:rPr>
          <w:rFonts w:cstheme="minorHAnsi"/>
          <w:szCs w:val="26"/>
        </w:rPr>
        <w:t xml:space="preserve"> </w:t>
      </w:r>
      <w:r w:rsidR="00083569" w:rsidRPr="00083569">
        <w:rPr>
          <w:rFonts w:cstheme="minorHAnsi"/>
          <w:szCs w:val="26"/>
        </w:rPr>
        <w:t>[¶]</w:t>
      </w:r>
      <w:r w:rsidR="00083569">
        <w:rPr>
          <w:rFonts w:cstheme="minorHAnsi"/>
          <w:szCs w:val="26"/>
        </w:rPr>
        <w:t xml:space="preserve">  </w:t>
      </w:r>
      <w:r w:rsidRPr="00D03F55">
        <w:rPr>
          <w:rFonts w:cstheme="minorHAnsi"/>
          <w:szCs w:val="26"/>
        </w:rPr>
        <w:t>(1) Any right to relief jointly, severally, or in</w:t>
      </w:r>
      <w:r w:rsidRPr="00D03F55">
        <w:rPr>
          <w:rFonts w:cstheme="minorHAnsi"/>
          <w:szCs w:val="26"/>
        </w:rPr>
        <w:t xml:space="preserve"> the alternative, in respect of or arising out of the same transaction, occurrence, or series of transactions or occurrences and if </w:t>
      </w:r>
      <w:r w:rsidRPr="00D03F55">
        <w:rPr>
          <w:rFonts w:cstheme="minorHAnsi"/>
          <w:i/>
          <w:iCs/>
          <w:szCs w:val="26"/>
        </w:rPr>
        <w:t>any question of law or fact common to all these persons will arise in the action</w:t>
      </w:r>
      <w:r w:rsidRPr="00D03F55">
        <w:rPr>
          <w:rFonts w:cstheme="minorHAnsi"/>
          <w:szCs w:val="26"/>
        </w:rPr>
        <w:t xml:space="preserve">; or </w:t>
      </w:r>
      <w:r w:rsidR="000D022D">
        <w:rPr>
          <w:rFonts w:cstheme="minorHAnsi"/>
          <w:szCs w:val="26"/>
        </w:rPr>
        <w:t xml:space="preserve"> </w:t>
      </w:r>
      <w:r w:rsidR="000D022D" w:rsidRPr="00083569">
        <w:rPr>
          <w:rFonts w:cstheme="minorHAnsi"/>
          <w:szCs w:val="26"/>
        </w:rPr>
        <w:t>[¶]</w:t>
      </w:r>
      <w:r w:rsidR="000D022D" w:rsidRPr="00D03F55">
        <w:rPr>
          <w:rFonts w:cstheme="minorHAnsi"/>
          <w:szCs w:val="26"/>
        </w:rPr>
        <w:t xml:space="preserve"> </w:t>
      </w:r>
      <w:r w:rsidR="000D022D">
        <w:rPr>
          <w:rFonts w:cstheme="minorHAnsi"/>
          <w:szCs w:val="26"/>
        </w:rPr>
        <w:t xml:space="preserve"> </w:t>
      </w:r>
      <w:r w:rsidRPr="00D03F55">
        <w:rPr>
          <w:rFonts w:cstheme="minorHAnsi"/>
          <w:szCs w:val="26"/>
        </w:rPr>
        <w:t xml:space="preserve">(2) A claim, right, or </w:t>
      </w:r>
      <w:r w:rsidRPr="00D03F55">
        <w:rPr>
          <w:rFonts w:cstheme="minorHAnsi"/>
          <w:szCs w:val="26"/>
        </w:rPr>
        <w:t>interest adverse to them in the property or controversy which is the subject of the action.”  (Italics added.)</w:t>
      </w:r>
    </w:p>
  </w:footnote>
  <w:footnote w:id="19">
    <w:p w14:paraId="53FB68E4" w14:textId="77777777" w:rsidR="002952B0" w:rsidRPr="00D03F55" w:rsidRDefault="007742F5" w:rsidP="00837317">
      <w:pPr>
        <w:pStyle w:val="FootnoteText"/>
        <w:rPr>
          <w:rFonts w:cstheme="minorHAnsi"/>
          <w:szCs w:val="26"/>
        </w:rPr>
      </w:pPr>
      <w:r w:rsidRPr="00D03F55">
        <w:rPr>
          <w:rStyle w:val="FootnoteReference"/>
          <w:rFonts w:cstheme="minorHAnsi"/>
          <w:szCs w:val="26"/>
        </w:rPr>
        <w:footnoteRef/>
      </w:r>
      <w:r w:rsidRPr="00D03F55">
        <w:rPr>
          <w:rFonts w:cstheme="minorHAnsi"/>
          <w:szCs w:val="26"/>
        </w:rPr>
        <w:t xml:space="preserve"> </w:t>
      </w:r>
      <w:r w:rsidRPr="00D03F55">
        <w:rPr>
          <w:rFonts w:cstheme="minorHAnsi"/>
          <w:szCs w:val="26"/>
        </w:rPr>
        <w:tab/>
        <w:t>Code of Civil Procedure section 1048, subdivision (b) provides, “The court, in furtherance of convenience or to avoid prejudice, or when separ</w:t>
      </w:r>
      <w:r w:rsidRPr="00D03F55">
        <w:rPr>
          <w:rFonts w:cstheme="minorHAnsi"/>
          <w:szCs w:val="26"/>
        </w:rPr>
        <w:t>ate trials will be conducive to expedition and economy, may order a separate trial of any cause of action, including a cause of action asserted in a cross-complaint, or of any separate issue or of any number of causes of action or issues, preserving the ri</w:t>
      </w:r>
      <w:r w:rsidRPr="00D03F55">
        <w:rPr>
          <w:rFonts w:cstheme="minorHAnsi"/>
          <w:szCs w:val="26"/>
        </w:rPr>
        <w:t>ght of trial by jury required by the Constitution or a statute of this state or of the United States.”</w:t>
      </w:r>
    </w:p>
  </w:footnote>
  <w:footnote w:id="20">
    <w:p w14:paraId="53FB68E5" w14:textId="77777777" w:rsidR="00734836" w:rsidRPr="00D03F55" w:rsidRDefault="007742F5" w:rsidP="00837317">
      <w:pPr>
        <w:pStyle w:val="FootnoteText"/>
      </w:pPr>
      <w:r w:rsidRPr="00D03F55">
        <w:rPr>
          <w:rStyle w:val="FootnoteReference"/>
        </w:rPr>
        <w:footnoteRef/>
      </w:r>
      <w:r w:rsidRPr="00D03F55">
        <w:t xml:space="preserve"> </w:t>
      </w:r>
      <w:r w:rsidRPr="00D03F55">
        <w:tab/>
        <w:t>As Royalty puts it, “Just because PAGA suits ‘are not class actions’ [</w:t>
      </w:r>
      <w:r w:rsidR="00C678CF">
        <w:t>(</w:t>
      </w:r>
      <w:bookmarkStart w:id="151" w:name="dabmci_04721f1d1b774c9e8727a9dd2b89cc34"/>
      <w:r w:rsidRPr="00D03F55">
        <w:rPr>
          <w:i/>
          <w:iCs/>
        </w:rPr>
        <w:t>Estrada</w:t>
      </w:r>
      <w:r w:rsidRPr="00D03F55">
        <w:t>,</w:t>
      </w:r>
      <w:r w:rsidRPr="00D03F55">
        <w:rPr>
          <w:i/>
          <w:iCs/>
        </w:rPr>
        <w:t xml:space="preserve"> supra</w:t>
      </w:r>
      <w:r w:rsidRPr="00D03F55">
        <w:t>, 76</w:t>
      </w:r>
      <w:r w:rsidR="000155FE" w:rsidRPr="00D03F55">
        <w:t> </w:t>
      </w:r>
      <w:r w:rsidRPr="00D03F55">
        <w:t>Cal.App.5th at p. 69</w:t>
      </w:r>
      <w:r w:rsidR="002F50E7">
        <w:t>7</w:t>
      </w:r>
      <w:bookmarkEnd w:id="151"/>
      <w:r w:rsidR="00C678CF">
        <w:t>)</w:t>
      </w:r>
      <w:r w:rsidRPr="00D03F55">
        <w:t xml:space="preserve">] — a statement with which no-one can </w:t>
      </w:r>
      <w:r w:rsidRPr="00D03F55">
        <w:t>disagree — does not mean that they are exempt from all requirements that class actions are subject to</w:t>
      </w:r>
      <w:r w:rsidR="00B615C3">
        <w:t> </w:t>
      </w:r>
      <w:r w:rsidRPr="00D03F55">
        <w:t>.</w:t>
      </w:r>
      <w:r w:rsidR="00575A3C">
        <w:t> </w:t>
      </w:r>
      <w:r w:rsidRPr="00D03F55">
        <w:t>.</w:t>
      </w:r>
      <w:r w:rsidR="00575A3C">
        <w:t> </w:t>
      </w:r>
      <w:r w:rsidRPr="00D03F55">
        <w:t>.</w:t>
      </w:r>
      <w:r w:rsidR="00575A3C">
        <w:t> </w:t>
      </w:r>
      <w:r w:rsidRPr="00D03F55">
        <w:t>.</w:t>
      </w:r>
      <w:r w:rsidRPr="00D03F55">
        <w:rPr>
          <w:rFonts w:ascii="TimesNewRomanPSMT" w:hAnsi="TimesNewRomanPSMT" w:cs="TimesNewRomanPSMT"/>
          <w:szCs w:val="26"/>
        </w:rPr>
        <w:t xml:space="preserve"> </w:t>
      </w:r>
      <w:r w:rsidR="00C968A1">
        <w:rPr>
          <w:rFonts w:ascii="TimesNewRomanPSMT" w:hAnsi="TimesNewRomanPSMT" w:cs="TimesNewRomanPSMT"/>
          <w:szCs w:val="26"/>
        </w:rPr>
        <w:t xml:space="preserve"> </w:t>
      </w:r>
      <w:r w:rsidRPr="00D03F55">
        <w:t>There are good reasons why both class actions and PAGA suits can and should be subject to overlapping requirements — such as . . . manageability.</w:t>
      </w:r>
      <w:r w:rsidRPr="00D03F55">
        <w:t>”</w:t>
      </w:r>
    </w:p>
  </w:footnote>
  <w:footnote w:id="21">
    <w:p w14:paraId="53FB68E6" w14:textId="77777777" w:rsidR="00DA1FDA" w:rsidRPr="00D03F55" w:rsidRDefault="007742F5" w:rsidP="00837317">
      <w:pPr>
        <w:pStyle w:val="FootnoteText"/>
        <w:rPr>
          <w:rFonts w:cstheme="minorHAnsi"/>
          <w:szCs w:val="26"/>
        </w:rPr>
      </w:pPr>
      <w:r w:rsidRPr="00D03F55">
        <w:rPr>
          <w:rStyle w:val="FootnoteReference"/>
          <w:rFonts w:cstheme="minorHAnsi"/>
          <w:szCs w:val="26"/>
        </w:rPr>
        <w:footnoteRef/>
      </w:r>
      <w:r w:rsidRPr="00D03F55">
        <w:rPr>
          <w:rFonts w:cstheme="minorHAnsi"/>
          <w:b/>
          <w:bCs/>
          <w:szCs w:val="26"/>
        </w:rPr>
        <w:t xml:space="preserve"> </w:t>
      </w:r>
      <w:r w:rsidRPr="00D03F55">
        <w:rPr>
          <w:rFonts w:cstheme="minorHAnsi"/>
          <w:szCs w:val="26"/>
        </w:rPr>
        <w:tab/>
      </w:r>
      <w:r w:rsidRPr="00D03F55">
        <w:t>Rule 23(b) provides in relevant part:  “A class action may be maintained if Rule 23(a) is satisfied and if:</w:t>
      </w:r>
      <w:r w:rsidR="00AF3FFB">
        <w:t xml:space="preserve"> </w:t>
      </w:r>
      <w:r w:rsidRPr="00D03F55">
        <w:t xml:space="preserve"> [¶] .</w:t>
      </w:r>
      <w:r w:rsidR="001C2B73">
        <w:t> </w:t>
      </w:r>
      <w:r w:rsidRPr="00D03F55">
        <w:t>.</w:t>
      </w:r>
      <w:r w:rsidR="001C2B73">
        <w:t> </w:t>
      </w:r>
      <w:r w:rsidRPr="00D03F55">
        <w:t>. [¶]</w:t>
      </w:r>
      <w:r w:rsidR="00AF3FFB">
        <w:t xml:space="preserve"> </w:t>
      </w:r>
      <w:r w:rsidRPr="00D03F55">
        <w:t xml:space="preserve"> (3) the court finds that the questions of law or fact common to class members predominate over any questions affecting only individual members, and that a class action is superior to other available methods for fairly and efficiently adjudicating the cont</w:t>
      </w:r>
      <w:r w:rsidRPr="00D03F55">
        <w:t xml:space="preserve">roversy.  The matters pertinent to these findings include: </w:t>
      </w:r>
      <w:r w:rsidR="00F009A4">
        <w:t xml:space="preserve"> </w:t>
      </w:r>
      <w:r w:rsidR="00F009A4" w:rsidRPr="00083569">
        <w:rPr>
          <w:rFonts w:cstheme="minorHAnsi"/>
          <w:szCs w:val="26"/>
        </w:rPr>
        <w:t>[¶]</w:t>
      </w:r>
      <w:r w:rsidR="00C865C6">
        <w:t> </w:t>
      </w:r>
      <w:r w:rsidRPr="00D03F55">
        <w:t>.</w:t>
      </w:r>
      <w:r w:rsidR="001C2B73">
        <w:t> </w:t>
      </w:r>
      <w:r w:rsidRPr="00D03F55">
        <w:t>.</w:t>
      </w:r>
      <w:r w:rsidR="001C2B73">
        <w:t> </w:t>
      </w:r>
      <w:r w:rsidRPr="00D03F55">
        <w:t xml:space="preserve">. [¶]  </w:t>
      </w:r>
      <w:r w:rsidRPr="00CF64EC">
        <w:t>(D)</w:t>
      </w:r>
      <w:r w:rsidRPr="00D03F55">
        <w:rPr>
          <w:b/>
          <w:bCs/>
        </w:rPr>
        <w:t xml:space="preserve"> </w:t>
      </w:r>
      <w:r w:rsidRPr="00D03F55">
        <w:rPr>
          <w:i/>
          <w:iCs/>
        </w:rPr>
        <w:t>the likely difficulties in managing a class action</w:t>
      </w:r>
      <w:r w:rsidRPr="00D03F55">
        <w:t>.”  (Italics added.)</w:t>
      </w:r>
    </w:p>
  </w:footnote>
  <w:footnote w:id="22">
    <w:p w14:paraId="53FB68E7" w14:textId="77777777" w:rsidR="00DA1FDA" w:rsidRPr="00D03F55" w:rsidRDefault="007742F5" w:rsidP="00837317">
      <w:pPr>
        <w:pStyle w:val="FootnoteText"/>
      </w:pPr>
      <w:r w:rsidRPr="00D03F55">
        <w:rPr>
          <w:rStyle w:val="FootnoteReference"/>
        </w:rPr>
        <w:footnoteRef/>
      </w:r>
      <w:r w:rsidRPr="00D03F55">
        <w:t xml:space="preserve"> </w:t>
      </w:r>
      <w:bookmarkStart w:id="155" w:name="_Hlk128556478"/>
      <w:r w:rsidRPr="00D03F55">
        <w:tab/>
      </w:r>
      <w:bookmarkEnd w:id="155"/>
      <w:r w:rsidRPr="00D03F55">
        <w:rPr>
          <w:rFonts w:cstheme="minorHAnsi"/>
          <w:szCs w:val="26"/>
        </w:rPr>
        <w:t>Class actions may be brought for purposes other than those enumerated in Rule</w:t>
      </w:r>
      <w:r w:rsidR="00C258D7" w:rsidRPr="00D03F55">
        <w:rPr>
          <w:rFonts w:cstheme="minorHAnsi"/>
          <w:szCs w:val="26"/>
        </w:rPr>
        <w:t> </w:t>
      </w:r>
      <w:r w:rsidRPr="00D03F55">
        <w:rPr>
          <w:rFonts w:cstheme="minorHAnsi"/>
          <w:szCs w:val="26"/>
        </w:rPr>
        <w:t>23(b)(3), including where</w:t>
      </w:r>
      <w:r w:rsidRPr="00D03F55">
        <w:rPr>
          <w:rFonts w:cstheme="minorHAnsi"/>
          <w:szCs w:val="26"/>
        </w:rPr>
        <w:t xml:space="preserve"> prosecuting separate actions would either risk inconsistent adjudications among class members or would substantially impede individual class members’ ability to protect their interests (Rule</w:t>
      </w:r>
      <w:r w:rsidR="00C258D7" w:rsidRPr="00D03F55">
        <w:rPr>
          <w:rFonts w:cstheme="minorHAnsi"/>
          <w:szCs w:val="26"/>
        </w:rPr>
        <w:t> </w:t>
      </w:r>
      <w:r w:rsidRPr="00D03F55">
        <w:rPr>
          <w:rFonts w:cstheme="minorHAnsi"/>
          <w:szCs w:val="26"/>
        </w:rPr>
        <w:t>23(b)(1)) and where a party is requesting indivisible injunctive</w:t>
      </w:r>
      <w:r w:rsidRPr="00D03F55">
        <w:rPr>
          <w:rFonts w:cstheme="minorHAnsi"/>
          <w:szCs w:val="26"/>
        </w:rPr>
        <w:t xml:space="preserve"> or declaratory relief (Rule 23(b)(2)).  </w:t>
      </w:r>
      <w:bookmarkStart w:id="156" w:name="_Hlk152145194"/>
      <w:r w:rsidR="00012770">
        <w:rPr>
          <w:rFonts w:cstheme="minorHAnsi"/>
          <w:szCs w:val="26"/>
        </w:rPr>
        <w:t>In</w:t>
      </w:r>
      <w:r w:rsidRPr="00D03F55">
        <w:rPr>
          <w:rFonts w:cstheme="minorHAnsi"/>
          <w:szCs w:val="26"/>
        </w:rPr>
        <w:t xml:space="preserve"> the Ninth Circuit, class actions brought under Rule 23(b)(1) or (b)(2) are not subject to a manageability requirement.  (</w:t>
      </w:r>
      <w:bookmarkStart w:id="157" w:name="dabmci_87df9afb2dcd4de89b5d31d54d1023c8"/>
      <w:r w:rsidRPr="00D03F55">
        <w:rPr>
          <w:rFonts w:cstheme="minorHAnsi"/>
          <w:i/>
          <w:iCs/>
          <w:szCs w:val="26"/>
        </w:rPr>
        <w:t>Hamilton</w:t>
      </w:r>
      <w:r w:rsidRPr="00D03F55">
        <w:rPr>
          <w:rFonts w:cstheme="minorHAnsi"/>
          <w:szCs w:val="26"/>
        </w:rPr>
        <w:t xml:space="preserve">, </w:t>
      </w:r>
      <w:r w:rsidRPr="00D03F55">
        <w:rPr>
          <w:rFonts w:cstheme="minorHAnsi"/>
          <w:i/>
          <w:iCs/>
          <w:szCs w:val="26"/>
        </w:rPr>
        <w:t>supra</w:t>
      </w:r>
      <w:r w:rsidRPr="00D03F55">
        <w:rPr>
          <w:rFonts w:cstheme="minorHAnsi"/>
          <w:szCs w:val="26"/>
        </w:rPr>
        <w:t>, 39 F.4th at p. 588</w:t>
      </w:r>
      <w:bookmarkStart w:id="158" w:name="_Hlk152145142"/>
      <w:bookmarkEnd w:id="157"/>
      <w:r w:rsidRPr="00D03F55">
        <w:rPr>
          <w:rFonts w:cstheme="minorHAnsi"/>
          <w:szCs w:val="26"/>
        </w:rPr>
        <w:t>.)</w:t>
      </w:r>
    </w:p>
    <w:bookmarkEnd w:id="156"/>
    <w:bookmarkEnd w:id="158"/>
  </w:footnote>
  <w:footnote w:id="23">
    <w:p w14:paraId="53FB68E8" w14:textId="77777777" w:rsidR="003F5D0C" w:rsidRDefault="007742F5" w:rsidP="00253FB0">
      <w:pPr>
        <w:pStyle w:val="FootnoteText"/>
        <w:spacing w:after="0"/>
        <w:rPr>
          <w:rFonts w:cstheme="minorHAnsi"/>
          <w:szCs w:val="26"/>
        </w:rPr>
      </w:pPr>
      <w:r w:rsidRPr="00D03F55">
        <w:rPr>
          <w:rStyle w:val="FootnoteReference"/>
          <w:rFonts w:cstheme="minorHAnsi"/>
          <w:szCs w:val="26"/>
        </w:rPr>
        <w:footnoteRef/>
      </w:r>
      <w:r w:rsidRPr="00D03F55">
        <w:rPr>
          <w:rFonts w:cstheme="minorHAnsi"/>
          <w:szCs w:val="26"/>
        </w:rPr>
        <w:t xml:space="preserve"> </w:t>
      </w:r>
      <w:r w:rsidRPr="00D03F55">
        <w:rPr>
          <w:rFonts w:cstheme="minorHAnsi"/>
          <w:szCs w:val="26"/>
        </w:rPr>
        <w:tab/>
      </w:r>
      <w:r w:rsidR="00063F11" w:rsidRPr="00D03F55">
        <w:rPr>
          <w:rFonts w:cstheme="minorHAnsi"/>
          <w:szCs w:val="26"/>
        </w:rPr>
        <w:t>Differences of opinion regarding PAGA’s attorney fee</w:t>
      </w:r>
      <w:r w:rsidR="00C636DD">
        <w:rPr>
          <w:rFonts w:cstheme="minorHAnsi"/>
          <w:szCs w:val="26"/>
        </w:rPr>
        <w:t>s</w:t>
      </w:r>
      <w:r w:rsidR="00063F11" w:rsidRPr="00D03F55">
        <w:rPr>
          <w:rFonts w:cstheme="minorHAnsi"/>
          <w:szCs w:val="26"/>
        </w:rPr>
        <w:t xml:space="preserve"> provision are not new.  (</w:t>
      </w:r>
      <w:r w:rsidRPr="00D03F55">
        <w:rPr>
          <w:rFonts w:cstheme="minorHAnsi"/>
          <w:szCs w:val="26"/>
        </w:rPr>
        <w:t xml:space="preserve">See </w:t>
      </w:r>
      <w:bookmarkStart w:id="180" w:name="_Hlk152666827"/>
      <w:r w:rsidRPr="009913D2">
        <w:rPr>
          <w:rFonts w:cstheme="minorHAnsi"/>
          <w:szCs w:val="26"/>
        </w:rPr>
        <w:t>Simmons et al., California Private Attorneys General Act (PAGA) Litigation and Compliance Manual (</w:t>
      </w:r>
      <w:r w:rsidR="00FA08BE" w:rsidRPr="009913D2">
        <w:rPr>
          <w:rFonts w:cstheme="minorHAnsi"/>
          <w:szCs w:val="26"/>
        </w:rPr>
        <w:t xml:space="preserve">Cont.Ed.Bar. </w:t>
      </w:r>
      <w:r w:rsidRPr="009913D2">
        <w:rPr>
          <w:rFonts w:cstheme="minorHAnsi"/>
          <w:szCs w:val="26"/>
        </w:rPr>
        <w:t>3d ed. 2023) § 1.2</w:t>
      </w:r>
      <w:bookmarkEnd w:id="180"/>
      <w:r w:rsidRPr="00D03F55">
        <w:rPr>
          <w:rFonts w:cstheme="minorHAnsi"/>
          <w:szCs w:val="26"/>
        </w:rPr>
        <w:t xml:space="preserve"> [discussing PAGA’s attorney fee</w:t>
      </w:r>
      <w:r w:rsidR="00C636DD">
        <w:rPr>
          <w:rFonts w:cstheme="minorHAnsi"/>
          <w:szCs w:val="26"/>
        </w:rPr>
        <w:t>s</w:t>
      </w:r>
      <w:r w:rsidRPr="00D03F55">
        <w:rPr>
          <w:rFonts w:cstheme="minorHAnsi"/>
          <w:szCs w:val="26"/>
        </w:rPr>
        <w:t xml:space="preserve"> provision and stating</w:t>
      </w:r>
      <w:r w:rsidR="00045687">
        <w:rPr>
          <w:rFonts w:cstheme="minorHAnsi"/>
          <w:szCs w:val="26"/>
        </w:rPr>
        <w:t>,</w:t>
      </w:r>
      <w:r w:rsidRPr="00D03F55">
        <w:rPr>
          <w:rFonts w:cstheme="minorHAnsi"/>
          <w:szCs w:val="26"/>
        </w:rPr>
        <w:t xml:space="preserve"> “The perception of PAGA thus varies based on the prism through which it is examined”]; compare Deutsch et al., </w:t>
      </w:r>
      <w:r w:rsidRPr="00D03F55">
        <w:rPr>
          <w:rFonts w:cstheme="minorHAnsi"/>
          <w:i/>
          <w:iCs/>
          <w:szCs w:val="26"/>
        </w:rPr>
        <w:t>California’s Hero Labor Law:  The Private Attorneys General Act Fights Wage Theft and Recovers Millions from Lawbreaking Corporations</w:t>
      </w:r>
      <w:r w:rsidRPr="00D03F55">
        <w:rPr>
          <w:rFonts w:cstheme="minorHAnsi"/>
          <w:szCs w:val="26"/>
        </w:rPr>
        <w:t xml:space="preserve"> (Feb. 1, 2</w:t>
      </w:r>
      <w:r w:rsidRPr="00D03F55">
        <w:rPr>
          <w:rFonts w:cstheme="minorHAnsi"/>
          <w:szCs w:val="26"/>
        </w:rPr>
        <w:t xml:space="preserve">020) UCLA </w:t>
      </w:r>
      <w:r w:rsidR="00BB0D18">
        <w:rPr>
          <w:rFonts w:cstheme="minorHAnsi"/>
          <w:szCs w:val="26"/>
        </w:rPr>
        <w:t>Labor Center Rep.</w:t>
      </w:r>
      <w:r w:rsidRPr="00D03F55">
        <w:rPr>
          <w:rFonts w:cstheme="minorHAnsi"/>
          <w:szCs w:val="26"/>
        </w:rPr>
        <w:t xml:space="preserve">, p. 7 </w:t>
      </w:r>
      <w:r w:rsidR="003A78A0" w:rsidRPr="00710DE9">
        <w:rPr>
          <w:rFonts w:cstheme="minorHAnsi"/>
          <w:szCs w:val="26"/>
        </w:rPr>
        <w:t xml:space="preserve"> </w:t>
      </w:r>
      <w:r w:rsidRPr="00D03F55">
        <w:rPr>
          <w:rFonts w:cstheme="minorHAnsi"/>
          <w:szCs w:val="26"/>
        </w:rPr>
        <w:t xml:space="preserve">[“PAGA expands enforcement capacity by tapping the expertise of private attorneys and increasing California Labor Code compliance”] </w:t>
      </w:r>
      <w:r w:rsidR="00F51E78" w:rsidRPr="00710DE9">
        <w:rPr>
          <w:rFonts w:cstheme="minorHAnsi"/>
          <w:szCs w:val="26"/>
        </w:rPr>
        <w:t>&lt;https://</w:t>
      </w:r>
    </w:p>
    <w:p w14:paraId="53FB68E9" w14:textId="77777777" w:rsidR="0050563D" w:rsidRDefault="007742F5" w:rsidP="0050563D">
      <w:pPr>
        <w:pStyle w:val="FootnoteText"/>
        <w:spacing w:after="0"/>
        <w:rPr>
          <w:rFonts w:cstheme="minorHAnsi"/>
          <w:szCs w:val="26"/>
        </w:rPr>
      </w:pPr>
      <w:r w:rsidRPr="00710DE9">
        <w:rPr>
          <w:rFonts w:cstheme="minorHAnsi"/>
          <w:szCs w:val="26"/>
        </w:rPr>
        <w:t xml:space="preserve">www.labor.ucla.edu/wp-content/uploads/2020/02/UCLA-Labor-Center-Report_WEB.pdf&gt; [as of </w:t>
      </w:r>
      <w:r w:rsidR="0025025C">
        <w:rPr>
          <w:rFonts w:cstheme="minorHAnsi"/>
          <w:szCs w:val="26"/>
        </w:rPr>
        <w:t>January 18, 2024</w:t>
      </w:r>
      <w:r w:rsidRPr="00710DE9">
        <w:rPr>
          <w:rFonts w:cstheme="minorHAnsi"/>
          <w:szCs w:val="26"/>
        </w:rPr>
        <w:t>]</w:t>
      </w:r>
      <w:r w:rsidR="0014107C">
        <w:rPr>
          <w:rFonts w:cstheme="minorHAnsi"/>
          <w:szCs w:val="26"/>
        </w:rPr>
        <w:t xml:space="preserve"> </w:t>
      </w:r>
      <w:r w:rsidR="004E0684" w:rsidRPr="00D03F55">
        <w:rPr>
          <w:rFonts w:cstheme="minorHAnsi"/>
          <w:szCs w:val="26"/>
        </w:rPr>
        <w:t xml:space="preserve">with </w:t>
      </w:r>
      <w:bookmarkStart w:id="181" w:name="_Hlk152666854"/>
      <w:r w:rsidR="004E0684" w:rsidRPr="009913D2">
        <w:rPr>
          <w:rFonts w:cstheme="minorHAnsi"/>
          <w:szCs w:val="26"/>
        </w:rPr>
        <w:t xml:space="preserve">Simmons et al., </w:t>
      </w:r>
      <w:r w:rsidR="004E0684" w:rsidRPr="009913D2">
        <w:rPr>
          <w:rFonts w:cstheme="minorHAnsi"/>
          <w:i/>
          <w:iCs/>
          <w:szCs w:val="26"/>
        </w:rPr>
        <w:t xml:space="preserve">California Private Attorneys General Act </w:t>
      </w:r>
      <w:r w:rsidR="004E0684" w:rsidRPr="009913D2">
        <w:rPr>
          <w:rFonts w:cstheme="minorHAnsi"/>
          <w:szCs w:val="26"/>
        </w:rPr>
        <w:t>(</w:t>
      </w:r>
      <w:r w:rsidR="004E0684" w:rsidRPr="009913D2">
        <w:rPr>
          <w:rFonts w:cstheme="minorHAnsi"/>
          <w:i/>
          <w:iCs/>
          <w:szCs w:val="26"/>
        </w:rPr>
        <w:t>PAGA</w:t>
      </w:r>
      <w:r w:rsidR="004E0684" w:rsidRPr="009913D2">
        <w:rPr>
          <w:rFonts w:cstheme="minorHAnsi"/>
          <w:szCs w:val="26"/>
        </w:rPr>
        <w:t>)</w:t>
      </w:r>
      <w:r w:rsidR="004E0684" w:rsidRPr="009913D2">
        <w:rPr>
          <w:rFonts w:cstheme="minorHAnsi"/>
          <w:i/>
          <w:iCs/>
          <w:szCs w:val="26"/>
        </w:rPr>
        <w:t xml:space="preserve"> Litigation and Compliance Manual</w:t>
      </w:r>
      <w:r w:rsidR="004E0684" w:rsidRPr="009913D2">
        <w:rPr>
          <w:rFonts w:cstheme="minorHAnsi"/>
          <w:szCs w:val="26"/>
        </w:rPr>
        <w:t xml:space="preserve">, </w:t>
      </w:r>
      <w:r w:rsidR="004E0684" w:rsidRPr="009913D2">
        <w:rPr>
          <w:rFonts w:cstheme="minorHAnsi"/>
          <w:i/>
          <w:iCs/>
          <w:szCs w:val="26"/>
        </w:rPr>
        <w:t>supra</w:t>
      </w:r>
      <w:r w:rsidR="004E0684" w:rsidRPr="009913D2">
        <w:rPr>
          <w:rFonts w:cstheme="minorHAnsi"/>
          <w:szCs w:val="26"/>
        </w:rPr>
        <w:t>, Preface</w:t>
      </w:r>
      <w:r w:rsidR="004E0684" w:rsidRPr="00D03F55">
        <w:rPr>
          <w:rFonts w:cstheme="minorHAnsi"/>
          <w:szCs w:val="26"/>
        </w:rPr>
        <w:t xml:space="preserve"> </w:t>
      </w:r>
      <w:bookmarkEnd w:id="181"/>
      <w:r w:rsidR="004E0684" w:rsidRPr="00D03F55">
        <w:rPr>
          <w:rFonts w:cstheme="minorHAnsi"/>
          <w:szCs w:val="26"/>
        </w:rPr>
        <w:t xml:space="preserve">[“plaintiffs are able to leverage PAGA’s one-way attorney’s </w:t>
      </w:r>
      <w:bookmarkStart w:id="182" w:name="LPHit2"/>
      <w:bookmarkEnd w:id="182"/>
      <w:r w:rsidR="004E0684" w:rsidRPr="00D03F55">
        <w:rPr>
          <w:rFonts w:cstheme="minorHAnsi"/>
          <w:szCs w:val="26"/>
        </w:rPr>
        <w:t xml:space="preserve">fee provision and penalty structure to their advantage because they have no concern regarding an adverse </w:t>
      </w:r>
      <w:bookmarkStart w:id="183" w:name="LPHit3"/>
      <w:bookmarkEnd w:id="183"/>
      <w:r w:rsidR="004E0684" w:rsidRPr="00D03F55">
        <w:rPr>
          <w:rFonts w:cstheme="minorHAnsi"/>
          <w:szCs w:val="26"/>
        </w:rPr>
        <w:t>fee award,” and “[a]s a result, many employers encounter pressure to settle PAGA cases, even when they believe they have done nothing wrong, because they wish to avoid the substantial costs of defending litigation that presents a risk of paying both sides’ attorney’s fees”].</w:t>
      </w:r>
      <w:r w:rsidR="00063F11" w:rsidRPr="00D03F55">
        <w:rPr>
          <w:rFonts w:cstheme="minorHAnsi"/>
          <w:szCs w:val="26"/>
        </w:rPr>
        <w:t>)</w:t>
      </w:r>
      <w:r w:rsidR="00F11003">
        <w:rPr>
          <w:rFonts w:cstheme="minorHAnsi"/>
          <w:szCs w:val="26"/>
        </w:rPr>
        <w:t xml:space="preserve">  </w:t>
      </w:r>
      <w:r w:rsidR="00113B2F">
        <w:rPr>
          <w:rFonts w:cstheme="minorHAnsi"/>
          <w:szCs w:val="26"/>
        </w:rPr>
        <w:t>This</w:t>
      </w:r>
      <w:r w:rsidR="00113B2F" w:rsidRPr="000438F1">
        <w:rPr>
          <w:rFonts w:cstheme="minorHAnsi"/>
          <w:szCs w:val="26"/>
        </w:rPr>
        <w:t xml:space="preserve"> </w:t>
      </w:r>
      <w:r w:rsidR="000438F1" w:rsidRPr="000438F1">
        <w:rPr>
          <w:rFonts w:cstheme="minorHAnsi"/>
          <w:szCs w:val="26"/>
        </w:rPr>
        <w:t xml:space="preserve">internet citation </w:t>
      </w:r>
      <w:r w:rsidR="00113B2F">
        <w:rPr>
          <w:rFonts w:cstheme="minorHAnsi"/>
          <w:szCs w:val="26"/>
        </w:rPr>
        <w:t>is</w:t>
      </w:r>
      <w:r w:rsidR="000438F1" w:rsidRPr="000438F1">
        <w:rPr>
          <w:rFonts w:cstheme="minorHAnsi"/>
          <w:szCs w:val="26"/>
        </w:rPr>
        <w:t xml:space="preserve"> archived by year, docket number,</w:t>
      </w:r>
      <w:r w:rsidR="00F11003">
        <w:rPr>
          <w:rFonts w:cstheme="minorHAnsi"/>
          <w:szCs w:val="26"/>
        </w:rPr>
        <w:t xml:space="preserve"> </w:t>
      </w:r>
      <w:r w:rsidR="000438F1" w:rsidRPr="000438F1">
        <w:rPr>
          <w:rFonts w:cstheme="minorHAnsi"/>
          <w:szCs w:val="26"/>
        </w:rPr>
        <w:t>and case name at</w:t>
      </w:r>
      <w:r w:rsidR="00F11003">
        <w:rPr>
          <w:rFonts w:cstheme="minorHAnsi"/>
          <w:szCs w:val="26"/>
        </w:rPr>
        <w:t xml:space="preserve"> </w:t>
      </w:r>
      <w:r w:rsidR="000438F1" w:rsidRPr="000438F1">
        <w:rPr>
          <w:rFonts w:cstheme="minorHAnsi"/>
          <w:szCs w:val="26"/>
        </w:rPr>
        <w:t>&lt;http://www.courts.ca.gov/</w:t>
      </w:r>
    </w:p>
    <w:p w14:paraId="53FB68EA" w14:textId="77777777" w:rsidR="004E0684" w:rsidRPr="00D03F55" w:rsidRDefault="007742F5" w:rsidP="0050563D">
      <w:pPr>
        <w:pStyle w:val="FootnoteText"/>
        <w:rPr>
          <w:rFonts w:cstheme="minorHAnsi"/>
          <w:szCs w:val="26"/>
        </w:rPr>
      </w:pPr>
      <w:r w:rsidRPr="000438F1">
        <w:rPr>
          <w:rFonts w:cstheme="minorHAnsi"/>
          <w:szCs w:val="26"/>
        </w:rPr>
        <w:t>38324.htm&gt;.</w:t>
      </w:r>
    </w:p>
  </w:footnote>
  <w:footnote w:id="24">
    <w:p w14:paraId="53FB68EB" w14:textId="77777777" w:rsidR="00DC0271" w:rsidRPr="00D03F55" w:rsidRDefault="007742F5" w:rsidP="00C14223">
      <w:pPr>
        <w:pStyle w:val="FootnoteText"/>
        <w:rPr>
          <w:rFonts w:cstheme="minorHAnsi"/>
          <w:szCs w:val="26"/>
        </w:rPr>
      </w:pPr>
      <w:r w:rsidRPr="00D03F55">
        <w:rPr>
          <w:rStyle w:val="FootnoteReference"/>
          <w:rFonts w:cstheme="minorHAnsi"/>
          <w:szCs w:val="26"/>
        </w:rPr>
        <w:footnoteRef/>
      </w:r>
      <w:r w:rsidRPr="00D03F55">
        <w:rPr>
          <w:rFonts w:cstheme="minorHAnsi"/>
          <w:szCs w:val="26"/>
        </w:rPr>
        <w:t xml:space="preserve">  </w:t>
      </w:r>
      <w:r w:rsidRPr="00D03F55">
        <w:rPr>
          <w:rFonts w:cstheme="minorHAnsi"/>
          <w:szCs w:val="26"/>
        </w:rPr>
        <w:tab/>
        <w:t>Section 2699, subdivision (e) provides in relevant part:</w:t>
      </w:r>
      <w:r w:rsidR="00570775">
        <w:rPr>
          <w:rFonts w:cstheme="minorHAnsi"/>
          <w:szCs w:val="26"/>
        </w:rPr>
        <w:t xml:space="preserve">  </w:t>
      </w:r>
      <w:r w:rsidRPr="00D03F55">
        <w:rPr>
          <w:rFonts w:cstheme="minorHAnsi"/>
          <w:szCs w:val="26"/>
        </w:rPr>
        <w:t>“(1) For purposes of this part, whenever the Labor and Workforce Development Agency, or any of its departments, divisions, commissions, boards, agencies, o</w:t>
      </w:r>
      <w:r w:rsidRPr="00D03F55">
        <w:rPr>
          <w:rFonts w:cstheme="minorHAnsi"/>
          <w:szCs w:val="26"/>
        </w:rPr>
        <w:t>r employees, has discretion to assess a civil penalty, a court is authorized to exercise the same discretion, subject to the same limitations and conditions, to assess a civil penalty.”</w:t>
      </w:r>
    </w:p>
  </w:footnote>
  <w:footnote w:id="25">
    <w:p w14:paraId="53FB68EC" w14:textId="77777777" w:rsidR="001D718C" w:rsidRPr="00D03F55" w:rsidRDefault="007742F5" w:rsidP="00837317">
      <w:pPr>
        <w:pStyle w:val="FootnoteText"/>
      </w:pPr>
      <w:r w:rsidRPr="00D03F55">
        <w:rPr>
          <w:rStyle w:val="FootnoteReference"/>
        </w:rPr>
        <w:footnoteRef/>
      </w:r>
      <w:r w:rsidRPr="00D03F55">
        <w:t xml:space="preserve"> </w:t>
      </w:r>
      <w:r w:rsidRPr="00D03F55">
        <w:tab/>
        <w:t xml:space="preserve">Thus, we are not persuaded by </w:t>
      </w:r>
      <w:r w:rsidRPr="00D03F55">
        <w:rPr>
          <w:i/>
          <w:iCs/>
        </w:rPr>
        <w:t>Wesson</w:t>
      </w:r>
      <w:r w:rsidRPr="00D03F55">
        <w:t>’s suggestion that the adoption</w:t>
      </w:r>
      <w:r w:rsidRPr="00D03F55">
        <w:t xml:space="preserve"> of a manageability requirement in the class action context — notwithstanding the fact that “Code of Civil Procedure section 382</w:t>
      </w:r>
      <w:r w:rsidR="00F51E78">
        <w:t> . . .</w:t>
      </w:r>
      <w:r w:rsidR="00C94495">
        <w:t> </w:t>
      </w:r>
      <w:r w:rsidRPr="00D03F55">
        <w:t>contains no such requirement” — supports imposing a manageability requirement as to PAGA claims.  (</w:t>
      </w:r>
      <w:bookmarkStart w:id="187" w:name="dabmci_8117ef86ec3d4780a80d56f4ad54ac11"/>
      <w:r w:rsidRPr="00D03F55">
        <w:rPr>
          <w:i/>
          <w:iCs/>
        </w:rPr>
        <w:t>Wesson</w:t>
      </w:r>
      <w:r w:rsidRPr="00D03F55">
        <w:t xml:space="preserve">, </w:t>
      </w:r>
      <w:r w:rsidRPr="00D03F55">
        <w:rPr>
          <w:i/>
          <w:iCs/>
        </w:rPr>
        <w:t>supra</w:t>
      </w:r>
      <w:r w:rsidRPr="00D03F55">
        <w:t>, 68 Cal.</w:t>
      </w:r>
      <w:r w:rsidRPr="00D03F55">
        <w:t>App.5th at p. 764</w:t>
      </w:r>
      <w:bookmarkEnd w:id="187"/>
      <w:r w:rsidRPr="00D03F55">
        <w:t>.)</w:t>
      </w:r>
    </w:p>
  </w:footnote>
  <w:footnote w:id="26">
    <w:p w14:paraId="53FB68ED" w14:textId="77777777" w:rsidR="009F7E35" w:rsidRPr="00D03F55" w:rsidRDefault="007742F5" w:rsidP="00837317">
      <w:pPr>
        <w:pStyle w:val="FootnoteText"/>
        <w:rPr>
          <w:rFonts w:cstheme="minorHAnsi"/>
          <w:szCs w:val="26"/>
        </w:rPr>
      </w:pPr>
      <w:r w:rsidRPr="00D03F55">
        <w:rPr>
          <w:rStyle w:val="FootnoteReference"/>
          <w:rFonts w:cstheme="minorHAnsi"/>
          <w:szCs w:val="26"/>
        </w:rPr>
        <w:footnoteRef/>
      </w:r>
      <w:r w:rsidRPr="00D03F55">
        <w:rPr>
          <w:rFonts w:cstheme="minorHAnsi"/>
          <w:szCs w:val="26"/>
        </w:rPr>
        <w:t xml:space="preserve">  </w:t>
      </w:r>
      <w:r w:rsidRPr="00D03F55">
        <w:rPr>
          <w:rFonts w:cstheme="minorHAnsi"/>
          <w:szCs w:val="26"/>
        </w:rPr>
        <w:tab/>
        <w:t>Code of Civil Procedure section 382 provides in full, “If the consent of any one who should have been joined as plaintiff cannot be obtained, he may be made a defendant, the reason thereof being stated in the complaint; and when the</w:t>
      </w:r>
      <w:r w:rsidRPr="00D03F55">
        <w:rPr>
          <w:rFonts w:cstheme="minorHAnsi"/>
          <w:szCs w:val="26"/>
        </w:rPr>
        <w:t xml:space="preserve"> question is one of a common or general interest, of many persons, or</w:t>
      </w:r>
      <w:r w:rsidRPr="00D03F55">
        <w:rPr>
          <w:rFonts w:cstheme="minorHAnsi"/>
          <w:i/>
          <w:iCs/>
          <w:szCs w:val="26"/>
        </w:rPr>
        <w:t xml:space="preserve"> </w:t>
      </w:r>
      <w:r w:rsidRPr="00D03F55">
        <w:rPr>
          <w:rFonts w:cstheme="minorHAnsi"/>
          <w:szCs w:val="26"/>
        </w:rPr>
        <w:t xml:space="preserve">when the parties are numerous, and it is impracticable to bring them all before the court, one or more may sue or defend for the benefit of all.”  </w:t>
      </w:r>
    </w:p>
    <w:p w14:paraId="53FB68EE" w14:textId="77777777" w:rsidR="009F7E35" w:rsidRPr="00D03F55" w:rsidRDefault="007742F5" w:rsidP="00837317">
      <w:pPr>
        <w:pStyle w:val="FootnoteText"/>
        <w:ind w:firstLine="720"/>
        <w:rPr>
          <w:rFonts w:cstheme="minorHAnsi"/>
          <w:szCs w:val="26"/>
        </w:rPr>
      </w:pPr>
      <w:r w:rsidRPr="00D03F55">
        <w:rPr>
          <w:rFonts w:cstheme="minorHAnsi"/>
          <w:szCs w:val="26"/>
        </w:rPr>
        <w:t xml:space="preserve">Even when this single sentence </w:t>
      </w:r>
      <w:r w:rsidRPr="00D03F55">
        <w:rPr>
          <w:rFonts w:cstheme="minorHAnsi"/>
          <w:i/>
          <w:iCs/>
          <w:szCs w:val="26"/>
        </w:rPr>
        <w:t>does</w:t>
      </w:r>
      <w:r w:rsidRPr="00D03F55">
        <w:rPr>
          <w:rFonts w:cstheme="minorHAnsi"/>
          <w:szCs w:val="26"/>
        </w:rPr>
        <w:t xml:space="preserve"> pr</w:t>
      </w:r>
      <w:r w:rsidRPr="00D03F55">
        <w:rPr>
          <w:rFonts w:cstheme="minorHAnsi"/>
          <w:szCs w:val="26"/>
        </w:rPr>
        <w:t>ovide apparently clear answers, we have concluded that such text does not necessarily govern class action procedure.  For example, notwithstanding Code of Civil Procedure section 382’s use of the disjunctive term “or,” this court explained that “[a]lthough</w:t>
      </w:r>
      <w:r w:rsidRPr="00D03F55">
        <w:rPr>
          <w:rFonts w:cstheme="minorHAnsi"/>
          <w:szCs w:val="26"/>
        </w:rPr>
        <w:t xml:space="preserve"> the statute [Code of Civil Procedure section 382] appears to speak in the alternative, it uniformly has been held that two requirements must be met in order to sustain any class action:  (1) there must be an ascertainable class [citations]</w:t>
      </w:r>
      <w:r w:rsidR="00B902A1">
        <w:rPr>
          <w:rFonts w:cstheme="minorHAnsi"/>
          <w:szCs w:val="26"/>
        </w:rPr>
        <w:t>;</w:t>
      </w:r>
      <w:r w:rsidRPr="00D03F55">
        <w:rPr>
          <w:rFonts w:cstheme="minorHAnsi"/>
          <w:szCs w:val="26"/>
        </w:rPr>
        <w:t xml:space="preserve"> </w:t>
      </w:r>
      <w:r w:rsidRPr="00D03F55">
        <w:rPr>
          <w:rFonts w:cstheme="minorHAnsi"/>
          <w:i/>
          <w:iCs/>
          <w:szCs w:val="26"/>
        </w:rPr>
        <w:t>and</w:t>
      </w:r>
      <w:r w:rsidRPr="00D03F55">
        <w:rPr>
          <w:rFonts w:cstheme="minorHAnsi"/>
          <w:szCs w:val="26"/>
        </w:rPr>
        <w:t xml:space="preserve"> (2) there must be a well</w:t>
      </w:r>
      <w:r w:rsidR="00D6018E">
        <w:rPr>
          <w:rFonts w:cstheme="minorHAnsi"/>
          <w:szCs w:val="26"/>
        </w:rPr>
        <w:t xml:space="preserve"> </w:t>
      </w:r>
      <w:r w:rsidRPr="00D03F55">
        <w:rPr>
          <w:rFonts w:cstheme="minorHAnsi"/>
          <w:szCs w:val="26"/>
        </w:rPr>
        <w:t>defined community of interest in the questions of law and fact involved affecting the parties to be represented.”  (</w:t>
      </w:r>
      <w:bookmarkStart w:id="195" w:name="dabmci_f74b49bb74a644b6adb33f1f3c9726a7"/>
      <w:r w:rsidRPr="00D03F55">
        <w:rPr>
          <w:rFonts w:cstheme="minorHAnsi"/>
          <w:i/>
          <w:iCs/>
          <w:szCs w:val="26"/>
        </w:rPr>
        <w:t>Daar</w:t>
      </w:r>
      <w:r w:rsidRPr="00D03F55">
        <w:rPr>
          <w:rFonts w:cstheme="minorHAnsi"/>
          <w:szCs w:val="26"/>
        </w:rPr>
        <w:t xml:space="preserve">, </w:t>
      </w:r>
      <w:r w:rsidRPr="00D03F55">
        <w:rPr>
          <w:rFonts w:cstheme="minorHAnsi"/>
          <w:i/>
          <w:iCs/>
          <w:szCs w:val="26"/>
        </w:rPr>
        <w:t>supra</w:t>
      </w:r>
      <w:r w:rsidRPr="00D03F55">
        <w:rPr>
          <w:rFonts w:cstheme="minorHAnsi"/>
          <w:szCs w:val="26"/>
        </w:rPr>
        <w:t>, 67 Cal.2d at p. 704</w:t>
      </w:r>
      <w:bookmarkEnd w:id="195"/>
      <w:r w:rsidRPr="00D03F55">
        <w:rPr>
          <w:rFonts w:cstheme="minorHAnsi"/>
          <w:szCs w:val="26"/>
        </w:rPr>
        <w:t xml:space="preserve">, italics added.)  </w:t>
      </w:r>
    </w:p>
  </w:footnote>
  <w:footnote w:id="27">
    <w:p w14:paraId="53FB68EF" w14:textId="77777777" w:rsidR="009F7E35" w:rsidRPr="00D03F55" w:rsidRDefault="007742F5" w:rsidP="00837317">
      <w:pPr>
        <w:pStyle w:val="FootnoteText"/>
      </w:pPr>
      <w:r w:rsidRPr="00D03F55">
        <w:rPr>
          <w:rStyle w:val="FootnoteReference"/>
        </w:rPr>
        <w:footnoteRef/>
      </w:r>
      <w:r w:rsidRPr="00D03F55">
        <w:t xml:space="preserve"> </w:t>
      </w:r>
      <w:r w:rsidRPr="00D03F55">
        <w:tab/>
        <w:t>The Judicial Council has adopted rules governing some aspec</w:t>
      </w:r>
      <w:r w:rsidRPr="00D03F55">
        <w:t xml:space="preserve">ts of class action procedure.  (See </w:t>
      </w:r>
      <w:bookmarkStart w:id="197" w:name="dabmci_982aee7d33b649589584c1282e46641f"/>
      <w:r w:rsidRPr="00D03F55">
        <w:t>Cal. Rules of Court, rule 3.760</w:t>
      </w:r>
      <w:bookmarkEnd w:id="197"/>
      <w:r w:rsidRPr="00D03F55">
        <w:t xml:space="preserve"> et seq.)</w:t>
      </w:r>
    </w:p>
  </w:footnote>
  <w:footnote w:id="28">
    <w:p w14:paraId="53FB68F0" w14:textId="77777777" w:rsidR="009F7E35" w:rsidRPr="00D03F55" w:rsidRDefault="007742F5" w:rsidP="00837317">
      <w:pPr>
        <w:pStyle w:val="FootnoteText"/>
        <w:rPr>
          <w:i/>
          <w:iCs/>
        </w:rPr>
      </w:pPr>
      <w:r w:rsidRPr="00D03F55">
        <w:rPr>
          <w:rStyle w:val="FootnoteReference"/>
        </w:rPr>
        <w:footnoteRef/>
      </w:r>
      <w:r w:rsidRPr="00D03F55">
        <w:tab/>
        <w:t>For example, one Court of Appeal observed that there are “some unique aspects to the PAGA agency relationship.”  (</w:t>
      </w:r>
      <w:bookmarkStart w:id="202" w:name="dabmci_2269ab5dce3d4145865fceb444686673"/>
      <w:r w:rsidRPr="00D03F55">
        <w:rPr>
          <w:i/>
          <w:iCs/>
        </w:rPr>
        <w:t>Wood</w:t>
      </w:r>
      <w:r w:rsidRPr="00D03F55">
        <w:t xml:space="preserve">, </w:t>
      </w:r>
      <w:r w:rsidRPr="00D03F55">
        <w:rPr>
          <w:i/>
          <w:iCs/>
        </w:rPr>
        <w:t>supra</w:t>
      </w:r>
      <w:r w:rsidRPr="00D03F55">
        <w:t>, 88 Cal.App.5th at p. 75</w:t>
      </w:r>
      <w:r w:rsidR="00E4737D">
        <w:t>3</w:t>
      </w:r>
      <w:r w:rsidRPr="00D03F55">
        <w:t>, fn. 8</w:t>
      </w:r>
      <w:bookmarkEnd w:id="202"/>
      <w:r w:rsidRPr="00D03F55">
        <w:t xml:space="preserve">.)  PAGA penalties </w:t>
      </w:r>
      <w:r w:rsidRPr="00D03F55">
        <w:t>have also been described as “unique.”  (</w:t>
      </w:r>
      <w:bookmarkStart w:id="203" w:name="dabmci_e13b58d323d04b5490af91dc79567083"/>
      <w:r w:rsidRPr="00D03F55">
        <w:rPr>
          <w:i/>
          <w:iCs/>
        </w:rPr>
        <w:t>Provost v. YourMechanic, Inc</w:t>
      </w:r>
      <w:r w:rsidRPr="00D03F55">
        <w:t>. (2020) 55 Cal.App.5th 982, 991</w:t>
      </w:r>
      <w:bookmarkEnd w:id="203"/>
      <w:r w:rsidRPr="00D03F55">
        <w:t>.)</w:t>
      </w:r>
    </w:p>
  </w:footnote>
  <w:footnote w:id="29">
    <w:p w14:paraId="53FB68F1" w14:textId="77777777" w:rsidR="00E52481" w:rsidRPr="00D03F55" w:rsidRDefault="007742F5" w:rsidP="00837317">
      <w:pPr>
        <w:pStyle w:val="FootnoteText"/>
      </w:pPr>
      <w:r w:rsidRPr="00D03F55">
        <w:rPr>
          <w:rStyle w:val="FootnoteReference"/>
        </w:rPr>
        <w:footnoteRef/>
      </w:r>
      <w:r w:rsidRPr="00D03F55">
        <w:t xml:space="preserve"> </w:t>
      </w:r>
      <w:r w:rsidRPr="00D03F55">
        <w:tab/>
        <w:t>By “pre-2004</w:t>
      </w:r>
      <w:r w:rsidRPr="00D03F55">
        <w:rPr>
          <w:i/>
          <w:iCs/>
        </w:rPr>
        <w:t xml:space="preserve"> </w:t>
      </w:r>
      <w:r w:rsidRPr="00D03F55">
        <w:t xml:space="preserve">UCL representative claims,” we refer to representative claims brought under a former version of the UCL that were </w:t>
      </w:r>
      <w:r w:rsidRPr="00D03F55">
        <w:rPr>
          <w:i/>
          <w:iCs/>
        </w:rPr>
        <w:t>not</w:t>
      </w:r>
      <w:r w:rsidRPr="00D03F55">
        <w:t xml:space="preserve"> class actions.  In </w:t>
      </w:r>
      <w:r w:rsidRPr="00D03F55">
        <w:t xml:space="preserve">2004, the voters enacted Proposition 64 and amended the UCL to require </w:t>
      </w:r>
      <w:r w:rsidR="007242F9">
        <w:t xml:space="preserve">that </w:t>
      </w:r>
      <w:r w:rsidR="00B719FB">
        <w:t>“</w:t>
      </w:r>
      <w:r w:rsidR="00882A19" w:rsidRPr="00882A19">
        <w:t xml:space="preserve">private plaintiffs bringing representative actions comply with class actions procedures and requirements developed under </w:t>
      </w:r>
      <w:r w:rsidR="007D6BA1">
        <w:t xml:space="preserve">Code of Civil Procedure </w:t>
      </w:r>
      <w:r w:rsidR="00882A19" w:rsidRPr="00882A19">
        <w:t>section 382.</w:t>
      </w:r>
      <w:r>
        <w:t>”  (</w:t>
      </w:r>
      <w:bookmarkStart w:id="217" w:name="dabmci_2eab665f5f264e4aa2e53c91eff7be95"/>
      <w:r w:rsidR="00882A19" w:rsidRPr="00882A19">
        <w:rPr>
          <w:i/>
          <w:iCs/>
        </w:rPr>
        <w:t>California Medical Assn. v. Aetna Health of California Inc.</w:t>
      </w:r>
      <w:r w:rsidR="00882A19" w:rsidRPr="00882A19">
        <w:t xml:space="preserve"> (2023) 14 Cal.5th 1075, 1092</w:t>
      </w:r>
      <w:bookmarkEnd w:id="217"/>
      <w:r w:rsidR="00882A19">
        <w:t xml:space="preserve">, citing </w:t>
      </w:r>
      <w:bookmarkStart w:id="218" w:name="dabmci_b4fc562861e44dfe86c41545e372e891"/>
      <w:r w:rsidRPr="00D03F55">
        <w:rPr>
          <w:i/>
          <w:iCs/>
        </w:rPr>
        <w:t>Arias, supra</w:t>
      </w:r>
      <w:r w:rsidRPr="00D03F55">
        <w:t>, 46</w:t>
      </w:r>
      <w:r w:rsidR="00370B9A" w:rsidRPr="00D03F55">
        <w:t> </w:t>
      </w:r>
      <w:r w:rsidRPr="00D03F55">
        <w:t>Cal.4th at p</w:t>
      </w:r>
      <w:r>
        <w:t>p</w:t>
      </w:r>
      <w:r w:rsidRPr="00D03F55">
        <w:t>.</w:t>
      </w:r>
      <w:r w:rsidR="00370B9A" w:rsidRPr="00D03F55">
        <w:t> </w:t>
      </w:r>
      <w:r>
        <w:t>977–</w:t>
      </w:r>
      <w:r w:rsidRPr="00D03F55">
        <w:t>980</w:t>
      </w:r>
      <w:bookmarkEnd w:id="218"/>
      <w:r w:rsidRPr="00D03F55">
        <w:t>.</w:t>
      </w:r>
      <w:r w:rsidR="009814B7">
        <w:t>)</w:t>
      </w:r>
    </w:p>
  </w:footnote>
  <w:footnote w:id="30">
    <w:p w14:paraId="53FB68F2" w14:textId="77777777" w:rsidR="008549D6" w:rsidRPr="00D03F55" w:rsidRDefault="007742F5" w:rsidP="00837317">
      <w:pPr>
        <w:pStyle w:val="FootnoteText"/>
        <w:rPr>
          <w:szCs w:val="26"/>
        </w:rPr>
      </w:pPr>
      <w:r w:rsidRPr="00D03F55">
        <w:rPr>
          <w:rStyle w:val="FootnoteReference"/>
          <w:szCs w:val="26"/>
        </w:rPr>
        <w:footnoteRef/>
      </w:r>
      <w:r w:rsidRPr="00D03F55">
        <w:rPr>
          <w:szCs w:val="26"/>
        </w:rPr>
        <w:t xml:space="preserve"> </w:t>
      </w:r>
      <w:r w:rsidRPr="00D03F55">
        <w:rPr>
          <w:szCs w:val="26"/>
        </w:rPr>
        <w:tab/>
      </w:r>
      <w:r w:rsidRPr="00D03F55">
        <w:rPr>
          <w:szCs w:val="26"/>
        </w:rPr>
        <w:t xml:space="preserve">While Royalty alludes to this argument by citing one case involving a pre-2004 UCL representative claim, </w:t>
      </w:r>
      <w:bookmarkStart w:id="219" w:name="dabmci_ebcabe1a54e74cde8391e2745948320e"/>
      <w:r w:rsidRPr="00D03F55">
        <w:rPr>
          <w:i/>
          <w:iCs/>
          <w:szCs w:val="26"/>
        </w:rPr>
        <w:t>South Bay Chevrolet v. Gen. Motors Acceptance Corp</w:t>
      </w:r>
      <w:r w:rsidRPr="00D03F55">
        <w:rPr>
          <w:szCs w:val="26"/>
        </w:rPr>
        <w:t>. (1999) 72 Cal.App.4th 861</w:t>
      </w:r>
      <w:r w:rsidR="00106BBE">
        <w:rPr>
          <w:szCs w:val="26"/>
        </w:rPr>
        <w:t xml:space="preserve"> </w:t>
      </w:r>
      <w:r w:rsidRPr="00D03F55">
        <w:rPr>
          <w:szCs w:val="26"/>
        </w:rPr>
        <w:t>(</w:t>
      </w:r>
      <w:r w:rsidRPr="00D03F55">
        <w:rPr>
          <w:i/>
          <w:iCs/>
          <w:szCs w:val="26"/>
        </w:rPr>
        <w:t>South Bay</w:t>
      </w:r>
      <w:r w:rsidRPr="00D03F55">
        <w:rPr>
          <w:szCs w:val="26"/>
        </w:rPr>
        <w:t>)</w:t>
      </w:r>
      <w:bookmarkEnd w:id="219"/>
      <w:r w:rsidRPr="00D03F55">
        <w:rPr>
          <w:szCs w:val="26"/>
        </w:rPr>
        <w:t>, the Chamber of Commerce’s amicus</w:t>
      </w:r>
      <w:r w:rsidR="00203DF3">
        <w:rPr>
          <w:szCs w:val="26"/>
        </w:rPr>
        <w:t xml:space="preserve"> curiae</w:t>
      </w:r>
      <w:r w:rsidRPr="00D03F55">
        <w:rPr>
          <w:szCs w:val="26"/>
        </w:rPr>
        <w:t xml:space="preserve"> brief fully develops</w:t>
      </w:r>
      <w:r w:rsidRPr="00D03F55">
        <w:rPr>
          <w:szCs w:val="26"/>
        </w:rPr>
        <w:t xml:space="preserve"> the argument.</w:t>
      </w:r>
    </w:p>
  </w:footnote>
  <w:footnote w:id="31">
    <w:p w14:paraId="53FB68F3" w14:textId="77777777" w:rsidR="008549D6" w:rsidRPr="00D03F55" w:rsidRDefault="007742F5" w:rsidP="00837317">
      <w:pPr>
        <w:pStyle w:val="FootnoteText"/>
      </w:pPr>
      <w:r w:rsidRPr="00D03F55">
        <w:rPr>
          <w:rStyle w:val="FootnoteReference"/>
        </w:rPr>
        <w:footnoteRef/>
      </w:r>
      <w:r w:rsidRPr="00D03F55">
        <w:t xml:space="preserve"> </w:t>
      </w:r>
      <w:r w:rsidRPr="00D03F55">
        <w:tab/>
        <w:t xml:space="preserve">Such requirement closely parallels the superiority requirement in our class action jurisprudence.  (See </w:t>
      </w:r>
      <w:bookmarkStart w:id="230" w:name="dabmci_721a83272ccf49faa5c24bb0055a7dae"/>
      <w:r w:rsidRPr="00D03F55">
        <w:rPr>
          <w:i/>
          <w:iCs/>
        </w:rPr>
        <w:t>Linder</w:t>
      </w:r>
      <w:r w:rsidRPr="00D03F55">
        <w:t xml:space="preserve">, </w:t>
      </w:r>
      <w:r w:rsidRPr="00D03F55">
        <w:rPr>
          <w:i/>
          <w:iCs/>
        </w:rPr>
        <w:t>supra</w:t>
      </w:r>
      <w:r w:rsidRPr="00D03F55">
        <w:t>, 23 Cal.4th at p. 435</w:t>
      </w:r>
      <w:bookmarkEnd w:id="230"/>
      <w:r w:rsidRPr="00D03F55">
        <w:t xml:space="preserve"> [trial courts are required to “ ‘ “carefully weigh respective benefits and burdens and to allow ma</w:t>
      </w:r>
      <w:r w:rsidRPr="00D03F55">
        <w:t>intenance of the class action only where substantial benefits accrue both to litigants and the courts” ’ ”].)</w:t>
      </w:r>
    </w:p>
  </w:footnote>
  <w:footnote w:id="32">
    <w:p w14:paraId="53FB68F4" w14:textId="77777777" w:rsidR="008549D6" w:rsidRPr="00D03F55" w:rsidRDefault="007742F5" w:rsidP="00837317">
      <w:pPr>
        <w:pStyle w:val="FootnoteText"/>
        <w:rPr>
          <w:rFonts w:cstheme="minorHAnsi"/>
          <w:szCs w:val="26"/>
        </w:rPr>
      </w:pPr>
      <w:r w:rsidRPr="00D03F55">
        <w:rPr>
          <w:rStyle w:val="FootnoteReference"/>
          <w:rFonts w:cstheme="minorHAnsi"/>
          <w:szCs w:val="26"/>
        </w:rPr>
        <w:footnoteRef/>
      </w:r>
      <w:r w:rsidRPr="00D03F55">
        <w:rPr>
          <w:rFonts w:cstheme="minorHAnsi"/>
          <w:szCs w:val="26"/>
        </w:rPr>
        <w:tab/>
        <w:t xml:space="preserve">In </w:t>
      </w:r>
      <w:bookmarkStart w:id="233" w:name="dabmci_f324660638474456a0bcb14008236c58"/>
      <w:r w:rsidRPr="00D03F55">
        <w:rPr>
          <w:rFonts w:cstheme="minorHAnsi"/>
          <w:i/>
          <w:iCs/>
          <w:szCs w:val="26"/>
        </w:rPr>
        <w:t>LaFace</w:t>
      </w:r>
      <w:bookmarkEnd w:id="233"/>
      <w:r w:rsidRPr="00D03F55">
        <w:rPr>
          <w:rFonts w:cstheme="minorHAnsi"/>
          <w:szCs w:val="26"/>
        </w:rPr>
        <w:t>, the Court of Appeal concluded that there is no right to a jury trial in a PAGA action, in part, because it is equitable in nature.  (</w:t>
      </w:r>
      <w:bookmarkStart w:id="234" w:name="dabmci_1ac99227de3f427588a8242e935f0acb"/>
      <w:r w:rsidRPr="00D03F55">
        <w:rPr>
          <w:rFonts w:cstheme="minorHAnsi"/>
          <w:i/>
          <w:iCs/>
          <w:szCs w:val="26"/>
        </w:rPr>
        <w:t>LaFace</w:t>
      </w:r>
      <w:r w:rsidRPr="00D03F55">
        <w:rPr>
          <w:rFonts w:cstheme="minorHAnsi"/>
          <w:szCs w:val="26"/>
        </w:rPr>
        <w:t xml:space="preserve">, </w:t>
      </w:r>
      <w:r w:rsidRPr="00D03F55">
        <w:rPr>
          <w:rFonts w:cstheme="minorHAnsi"/>
          <w:i/>
          <w:iCs/>
          <w:szCs w:val="26"/>
        </w:rPr>
        <w:t>supra</w:t>
      </w:r>
      <w:r w:rsidRPr="00D03F55">
        <w:rPr>
          <w:rFonts w:cstheme="minorHAnsi"/>
          <w:szCs w:val="26"/>
        </w:rPr>
        <w:t>, 75 Cal.App.5th at p. 402</w:t>
      </w:r>
      <w:bookmarkEnd w:id="234"/>
      <w:r w:rsidRPr="00D03F55">
        <w:rPr>
          <w:rFonts w:cstheme="minorHAnsi"/>
          <w:szCs w:val="26"/>
        </w:rPr>
        <w:t xml:space="preserve">.)  However, </w:t>
      </w:r>
      <w:r w:rsidRPr="00D03F55">
        <w:rPr>
          <w:rFonts w:cstheme="minorHAnsi"/>
          <w:i/>
          <w:iCs/>
          <w:szCs w:val="26"/>
        </w:rPr>
        <w:t>LaFace</w:t>
      </w:r>
      <w:r w:rsidRPr="00D03F55">
        <w:rPr>
          <w:rFonts w:cstheme="minorHAnsi"/>
          <w:szCs w:val="26"/>
        </w:rPr>
        <w:t xml:space="preserve"> does not suggest that a PAGA action arose from the courts’ exercise of their inherent equitable powers.</w:t>
      </w:r>
    </w:p>
  </w:footnote>
  <w:footnote w:id="33">
    <w:p w14:paraId="53FB68F5" w14:textId="77777777" w:rsidR="00C2093A" w:rsidRPr="00BD3AC5" w:rsidRDefault="007742F5" w:rsidP="00985E11">
      <w:pPr>
        <w:pStyle w:val="FootnoteText"/>
        <w:rPr>
          <w:szCs w:val="26"/>
        </w:rPr>
      </w:pPr>
      <w:r>
        <w:rPr>
          <w:rStyle w:val="FootnoteReference"/>
        </w:rPr>
        <w:footnoteRef/>
      </w:r>
      <w:r>
        <w:t xml:space="preserve"> </w:t>
      </w:r>
      <w:r>
        <w:tab/>
      </w:r>
      <w:r w:rsidR="00985E11" w:rsidRPr="00985E11">
        <w:rPr>
          <w:szCs w:val="26"/>
        </w:rPr>
        <w:t xml:space="preserve">At oral argument, counsel for amicus curiae Chamber of Commerce noted that the </w:t>
      </w:r>
      <w:r w:rsidR="00985E11" w:rsidRPr="00985E11">
        <w:rPr>
          <w:i/>
          <w:iCs/>
          <w:szCs w:val="26"/>
        </w:rPr>
        <w:t>Wesson</w:t>
      </w:r>
      <w:r w:rsidR="00985E11" w:rsidRPr="00985E11">
        <w:rPr>
          <w:szCs w:val="26"/>
        </w:rPr>
        <w:t xml:space="preserve"> court perceived </w:t>
      </w:r>
      <w:bookmarkStart w:id="235" w:name="dabmci_605875351dcb4fb98bd6e5c448076a78"/>
      <w:r w:rsidR="00985E11" w:rsidRPr="00985E11">
        <w:rPr>
          <w:i/>
          <w:iCs/>
          <w:szCs w:val="26"/>
        </w:rPr>
        <w:t>South Bay, supra</w:t>
      </w:r>
      <w:r w:rsidR="00985E11" w:rsidRPr="00985E11">
        <w:rPr>
          <w:szCs w:val="26"/>
        </w:rPr>
        <w:t>, 72 Cal.App.4th 861</w:t>
      </w:r>
      <w:bookmarkEnd w:id="235"/>
      <w:r w:rsidR="00985E11" w:rsidRPr="00985E11">
        <w:rPr>
          <w:szCs w:val="26"/>
        </w:rPr>
        <w:t xml:space="preserve">, a decision involving a pre-2004 UCL representative claim, as persuasive authority regarding the PAGA issue before us. </w:t>
      </w:r>
      <w:r w:rsidR="00985E11">
        <w:rPr>
          <w:szCs w:val="26"/>
        </w:rPr>
        <w:t xml:space="preserve"> </w:t>
      </w:r>
      <w:r w:rsidR="00985E11" w:rsidRPr="00985E11">
        <w:rPr>
          <w:szCs w:val="26"/>
        </w:rPr>
        <w:t xml:space="preserve">We conclude otherwise. </w:t>
      </w:r>
      <w:r w:rsidR="00985E11">
        <w:rPr>
          <w:szCs w:val="26"/>
        </w:rPr>
        <w:t xml:space="preserve"> </w:t>
      </w:r>
      <w:r w:rsidR="00985E11" w:rsidRPr="00985E11">
        <w:rPr>
          <w:szCs w:val="26"/>
        </w:rPr>
        <w:t xml:space="preserve">In </w:t>
      </w:r>
      <w:bookmarkStart w:id="236" w:name="dabmci_da31bec66e9e4c6d988a6728dda77852"/>
      <w:r w:rsidR="00985E11" w:rsidRPr="00985E11">
        <w:rPr>
          <w:i/>
          <w:iCs/>
          <w:szCs w:val="26"/>
        </w:rPr>
        <w:t>South Bay</w:t>
      </w:r>
      <w:bookmarkEnd w:id="236"/>
      <w:r w:rsidR="00985E11" w:rsidRPr="00985E11">
        <w:rPr>
          <w:szCs w:val="26"/>
        </w:rPr>
        <w:t xml:space="preserve">, the Court of Appeal upheld a trial court’s exercise of its inherent equitable powers in determining a plaintiff car dealership had failed to show that the harm the defendant allegedly had caused was “sufficiently uniform” to support adjudication in a representative action under the UCL. </w:t>
      </w:r>
      <w:r w:rsidR="00ED61FE">
        <w:rPr>
          <w:szCs w:val="26"/>
        </w:rPr>
        <w:t xml:space="preserve"> </w:t>
      </w:r>
      <w:r w:rsidR="00985E11" w:rsidRPr="00985E11">
        <w:rPr>
          <w:szCs w:val="26"/>
        </w:rPr>
        <w:t>(</w:t>
      </w:r>
      <w:bookmarkStart w:id="237" w:name="dabmci_f05ac12eb8a94b9e942485d4fd582742"/>
      <w:r w:rsidR="00985E11" w:rsidRPr="00985E11">
        <w:rPr>
          <w:i/>
          <w:iCs/>
          <w:szCs w:val="26"/>
        </w:rPr>
        <w:t>South Bay</w:t>
      </w:r>
      <w:r w:rsidR="00985E11" w:rsidRPr="00985E11">
        <w:rPr>
          <w:szCs w:val="26"/>
        </w:rPr>
        <w:t>, at p. 897</w:t>
      </w:r>
      <w:bookmarkEnd w:id="237"/>
      <w:r w:rsidR="00985E11" w:rsidRPr="00985E11">
        <w:rPr>
          <w:szCs w:val="26"/>
        </w:rPr>
        <w:t xml:space="preserve">.) </w:t>
      </w:r>
      <w:r w:rsidR="001A17A5">
        <w:rPr>
          <w:szCs w:val="26"/>
        </w:rPr>
        <w:t xml:space="preserve"> </w:t>
      </w:r>
      <w:r w:rsidR="00985E11" w:rsidRPr="00985E11">
        <w:rPr>
          <w:szCs w:val="26"/>
        </w:rPr>
        <w:t xml:space="preserve">However, since a “uniform policy . . . is </w:t>
      </w:r>
      <w:r w:rsidR="00985E11" w:rsidRPr="00985E11">
        <w:rPr>
          <w:i/>
          <w:iCs/>
          <w:szCs w:val="26"/>
        </w:rPr>
        <w:t>not</w:t>
      </w:r>
      <w:r w:rsidR="00985E11" w:rsidRPr="00985E11">
        <w:rPr>
          <w:szCs w:val="26"/>
        </w:rPr>
        <w:t xml:space="preserve"> a condition” of a statutory claim under PAGA (</w:t>
      </w:r>
      <w:bookmarkStart w:id="238" w:name="dabmci_e58db16d1e0e47a993e0701102353294"/>
      <w:r w:rsidR="00985E11" w:rsidRPr="00985E11">
        <w:rPr>
          <w:i/>
          <w:iCs/>
          <w:szCs w:val="26"/>
        </w:rPr>
        <w:t xml:space="preserve">Williams, </w:t>
      </w:r>
      <w:r w:rsidR="006C775C">
        <w:rPr>
          <w:i/>
          <w:iCs/>
          <w:szCs w:val="26"/>
        </w:rPr>
        <w:t>supra</w:t>
      </w:r>
      <w:r w:rsidR="006C775C" w:rsidRPr="00AD5A51">
        <w:rPr>
          <w:szCs w:val="26"/>
        </w:rPr>
        <w:t>,</w:t>
      </w:r>
      <w:r w:rsidR="006C775C">
        <w:rPr>
          <w:i/>
          <w:iCs/>
          <w:szCs w:val="26"/>
        </w:rPr>
        <w:t xml:space="preserve"> </w:t>
      </w:r>
      <w:r w:rsidR="006C775C">
        <w:rPr>
          <w:szCs w:val="26"/>
        </w:rPr>
        <w:t xml:space="preserve">3 Cal.5th </w:t>
      </w:r>
      <w:r w:rsidR="00985E11" w:rsidRPr="006C775C">
        <w:rPr>
          <w:szCs w:val="26"/>
        </w:rPr>
        <w:t>at</w:t>
      </w:r>
      <w:r w:rsidR="00985E11" w:rsidRPr="00985E11">
        <w:rPr>
          <w:szCs w:val="26"/>
        </w:rPr>
        <w:t xml:space="preserve"> p.</w:t>
      </w:r>
      <w:r w:rsidR="00AD5A51">
        <w:rPr>
          <w:szCs w:val="26"/>
        </w:rPr>
        <w:t> </w:t>
      </w:r>
      <w:r w:rsidR="00985E11" w:rsidRPr="00985E11">
        <w:rPr>
          <w:szCs w:val="26"/>
        </w:rPr>
        <w:t>559</w:t>
      </w:r>
      <w:bookmarkEnd w:id="238"/>
      <w:r w:rsidR="00985E11" w:rsidRPr="00985E11">
        <w:rPr>
          <w:szCs w:val="26"/>
        </w:rPr>
        <w:t xml:space="preserve">, italics added), the significance that the </w:t>
      </w:r>
      <w:r w:rsidR="00985E11" w:rsidRPr="00985E11">
        <w:rPr>
          <w:i/>
          <w:iCs/>
          <w:szCs w:val="26"/>
        </w:rPr>
        <w:t>South Bay</w:t>
      </w:r>
      <w:r w:rsidR="00985E11" w:rsidRPr="00985E11">
        <w:rPr>
          <w:szCs w:val="26"/>
        </w:rPr>
        <w:t xml:space="preserve"> court accorded to the lack of a “sufficiently uniform” harm makes that decision inapposite. </w:t>
      </w:r>
      <w:r w:rsidR="00ED61FE">
        <w:rPr>
          <w:szCs w:val="26"/>
        </w:rPr>
        <w:t xml:space="preserve"> </w:t>
      </w:r>
      <w:r w:rsidR="00985E11" w:rsidRPr="00985E11">
        <w:rPr>
          <w:szCs w:val="26"/>
        </w:rPr>
        <w:t>(</w:t>
      </w:r>
      <w:bookmarkStart w:id="239" w:name="dabmci_73ff2ee52e9a44859953ba94b412c0c6"/>
      <w:r w:rsidR="00985E11" w:rsidRPr="00985E11">
        <w:rPr>
          <w:i/>
          <w:iCs/>
          <w:szCs w:val="26"/>
        </w:rPr>
        <w:t>South Bay</w:t>
      </w:r>
      <w:r w:rsidR="00985E11" w:rsidRPr="00985E11">
        <w:rPr>
          <w:szCs w:val="26"/>
        </w:rPr>
        <w:t>, at p. 897</w:t>
      </w:r>
      <w:bookmarkEnd w:id="239"/>
      <w:r w:rsidR="00985E11" w:rsidRPr="00985E11">
        <w:rPr>
          <w:szCs w:val="26"/>
        </w:rPr>
        <w:t xml:space="preserve">.) </w:t>
      </w:r>
      <w:r w:rsidR="001A17A5">
        <w:rPr>
          <w:szCs w:val="26"/>
        </w:rPr>
        <w:t xml:space="preserve"> </w:t>
      </w:r>
      <w:r w:rsidR="00985E11" w:rsidRPr="00985E11">
        <w:rPr>
          <w:szCs w:val="26"/>
        </w:rPr>
        <w:t xml:space="preserve">Accordingly, we conclude that the </w:t>
      </w:r>
      <w:r w:rsidR="00985E11" w:rsidRPr="00985E11">
        <w:rPr>
          <w:i/>
          <w:iCs/>
          <w:szCs w:val="26"/>
        </w:rPr>
        <w:t>Wesson</w:t>
      </w:r>
      <w:r w:rsidR="00985E11" w:rsidRPr="00985E11">
        <w:rPr>
          <w:szCs w:val="26"/>
        </w:rPr>
        <w:t xml:space="preserve"> court’s reliance on </w:t>
      </w:r>
      <w:bookmarkStart w:id="240" w:name="dabmci_507fca50b4e74b8995c0074118fea0b5"/>
      <w:r w:rsidR="00985E11" w:rsidRPr="00985E11">
        <w:rPr>
          <w:i/>
          <w:iCs/>
          <w:szCs w:val="26"/>
        </w:rPr>
        <w:t>South Bay</w:t>
      </w:r>
      <w:bookmarkEnd w:id="240"/>
      <w:r w:rsidR="00985E11" w:rsidRPr="00985E11">
        <w:rPr>
          <w:szCs w:val="26"/>
        </w:rPr>
        <w:t xml:space="preserve">, echoed by Royalty </w:t>
      </w:r>
      <w:r w:rsidR="00985E11">
        <w:rPr>
          <w:szCs w:val="26"/>
        </w:rPr>
        <w:t>(see fn.</w:t>
      </w:r>
      <w:r w:rsidR="0035268A">
        <w:rPr>
          <w:szCs w:val="26"/>
        </w:rPr>
        <w:t> </w:t>
      </w:r>
      <w:r w:rsidR="00985E11">
        <w:rPr>
          <w:szCs w:val="26"/>
        </w:rPr>
        <w:t>2</w:t>
      </w:r>
      <w:r w:rsidR="00C27DBD">
        <w:rPr>
          <w:szCs w:val="26"/>
        </w:rPr>
        <w:t>9</w:t>
      </w:r>
      <w:r w:rsidR="00985E11">
        <w:rPr>
          <w:szCs w:val="26"/>
        </w:rPr>
        <w:t xml:space="preserve">, </w:t>
      </w:r>
      <w:bookmarkStart w:id="241" w:name="dabmci_842692ecf0404db1bca7374c0f7f3f14"/>
      <w:r w:rsidR="00985E11" w:rsidRPr="00985E11">
        <w:rPr>
          <w:i/>
          <w:iCs/>
          <w:szCs w:val="26"/>
        </w:rPr>
        <w:t>ante</w:t>
      </w:r>
      <w:r w:rsidR="00985E11">
        <w:rPr>
          <w:szCs w:val="26"/>
        </w:rPr>
        <w:t>)</w:t>
      </w:r>
      <w:bookmarkEnd w:id="241"/>
      <w:r w:rsidR="00985E11">
        <w:rPr>
          <w:szCs w:val="26"/>
        </w:rPr>
        <w:t xml:space="preserve"> </w:t>
      </w:r>
      <w:r w:rsidR="00985E11" w:rsidRPr="00985E11">
        <w:rPr>
          <w:szCs w:val="26"/>
        </w:rPr>
        <w:t>and amicus curiae, is unpersuasive.</w:t>
      </w:r>
    </w:p>
  </w:footnote>
  <w:footnote w:id="34">
    <w:p w14:paraId="53FB68F6" w14:textId="77777777" w:rsidR="00CF7789" w:rsidRDefault="007742F5" w:rsidP="00CF7789">
      <w:pPr>
        <w:pStyle w:val="FootnoteText"/>
      </w:pPr>
      <w:r>
        <w:rPr>
          <w:rStyle w:val="FootnoteReference"/>
        </w:rPr>
        <w:footnoteRef/>
      </w:r>
      <w:r>
        <w:t xml:space="preserve"> </w:t>
      </w:r>
      <w:r>
        <w:tab/>
        <w:t>As n</w:t>
      </w:r>
      <w:r>
        <w:t xml:space="preserve">oted in part I, </w:t>
      </w:r>
      <w:bookmarkStart w:id="251" w:name="dabmci_320113f16d9849aeb8da1919d0a27dec"/>
      <w:r w:rsidRPr="00B826C4">
        <w:rPr>
          <w:i/>
          <w:iCs/>
        </w:rPr>
        <w:t>ante</w:t>
      </w:r>
      <w:r>
        <w:t>,</w:t>
      </w:r>
      <w:bookmarkEnd w:id="251"/>
      <w:r>
        <w:t xml:space="preserve"> the Court of Appeal stated that the trial court had discretion whether to allow “</w:t>
      </w:r>
      <w:r w:rsidRPr="00F47B7E">
        <w:t>additional witnesses or other evidence</w:t>
      </w:r>
      <w:r>
        <w:t>”</w:t>
      </w:r>
      <w:r w:rsidRPr="00F47B7E">
        <w:t xml:space="preserve"> </w:t>
      </w:r>
      <w:r>
        <w:t>on remand.  (</w:t>
      </w:r>
      <w:bookmarkStart w:id="252" w:name="dabmci_2b94099c30044998b5f663fc7effbfcb"/>
      <w:r w:rsidRPr="00F47B7E">
        <w:rPr>
          <w:i/>
          <w:iCs/>
        </w:rPr>
        <w:t>Estrada</w:t>
      </w:r>
      <w:r>
        <w:rPr>
          <w:i/>
          <w:iCs/>
        </w:rPr>
        <w:t>, supra</w:t>
      </w:r>
      <w:r w:rsidRPr="00CF7789">
        <w:t>,</w:t>
      </w:r>
      <w:r>
        <w:t xml:space="preserve"> </w:t>
      </w:r>
      <w:r w:rsidRPr="00F47B7E">
        <w:t>76</w:t>
      </w:r>
      <w:r>
        <w:t> </w:t>
      </w:r>
      <w:r w:rsidRPr="00F47B7E">
        <w:t xml:space="preserve">Cal.App.5th </w:t>
      </w:r>
      <w:r>
        <w:t>at p. </w:t>
      </w:r>
      <w:r w:rsidRPr="00F47B7E">
        <w:t>731</w:t>
      </w:r>
      <w:bookmarkEnd w:id="252"/>
      <w:r>
        <w:t xml:space="preserve">.)  Royalty raises no claim in this court as to this </w:t>
      </w:r>
      <w:r>
        <w:t>aspect of the Court of Appeal’s disposition.</w:t>
      </w:r>
    </w:p>
  </w:footnote>
  <w:footnote w:id="35">
    <w:p w14:paraId="53FB68F7" w14:textId="77777777" w:rsidR="00F9247A" w:rsidRDefault="007742F5" w:rsidP="008F4FDE">
      <w:pPr>
        <w:pStyle w:val="FootnoteText"/>
      </w:pPr>
      <w:r w:rsidRPr="00D03F55">
        <w:rPr>
          <w:rStyle w:val="FootnoteReference"/>
        </w:rPr>
        <w:footnoteRef/>
      </w:r>
      <w:r w:rsidRPr="00D03F55">
        <w:t xml:space="preserve"> </w:t>
      </w:r>
      <w:r w:rsidRPr="00D03F55">
        <w:tab/>
        <w:t>By the same token, plaintiffs also do not have an unfettered right to present an unlimited number of witnesses.  Indeed, in the Court of Appeal below, it was plaintiffs who claimed that the trial court had er</w:t>
      </w:r>
      <w:r w:rsidRPr="00D03F55">
        <w:t>red in refusing to allow them to call all their proposed witnesses with respect to the Dyer/Derian meal period subclasses.</w:t>
      </w:r>
    </w:p>
  </w:footnote>
  <w:footnote w:id="36">
    <w:p w14:paraId="53FB68F8" w14:textId="77777777" w:rsidR="008E4696" w:rsidRDefault="007742F5" w:rsidP="008E4696">
      <w:pPr>
        <w:pStyle w:val="FootnoteText"/>
      </w:pPr>
      <w:r>
        <w:rPr>
          <w:rStyle w:val="FootnoteReference"/>
        </w:rPr>
        <w:footnoteRef/>
      </w:r>
      <w:r>
        <w:t xml:space="preserve">  </w:t>
      </w:r>
      <w:r>
        <w:tab/>
      </w:r>
      <w:r w:rsidRPr="00E31C91">
        <w:t xml:space="preserve">We have concluded that </w:t>
      </w:r>
      <w:r w:rsidRPr="00E31C91">
        <w:rPr>
          <w:i/>
          <w:iCs/>
        </w:rPr>
        <w:t>manageability</w:t>
      </w:r>
      <w:r w:rsidRPr="00E31C91">
        <w:t xml:space="preserve"> is an improper basis upon which to strike a PAGA claim and </w:t>
      </w:r>
      <w:r>
        <w:t xml:space="preserve">that </w:t>
      </w:r>
      <w:r w:rsidRPr="00E31C91">
        <w:t>any striking of a PAGA claim</w:t>
      </w:r>
      <w:r w:rsidRPr="00E31C91">
        <w:t xml:space="preserve"> to protect a defendant’s </w:t>
      </w:r>
      <w:r w:rsidRPr="00E31C91">
        <w:rPr>
          <w:i/>
          <w:iCs/>
        </w:rPr>
        <w:t>due process</w:t>
      </w:r>
      <w:r w:rsidRPr="00E31C91">
        <w:t xml:space="preserve"> right would </w:t>
      </w:r>
      <w:r w:rsidR="00B73D67">
        <w:t xml:space="preserve">derive from </w:t>
      </w:r>
      <w:r w:rsidRPr="00E31C91">
        <w:t xml:space="preserve">a narrow authority of last resort to protect </w:t>
      </w:r>
      <w:r>
        <w:t xml:space="preserve">a </w:t>
      </w:r>
      <w:r w:rsidRPr="00E31C91">
        <w:t xml:space="preserve">constitutional right rather than the broad discretionary authority recognized by the </w:t>
      </w:r>
      <w:r w:rsidRPr="00E31C91">
        <w:rPr>
          <w:i/>
          <w:iCs/>
        </w:rPr>
        <w:t xml:space="preserve">Wesson </w:t>
      </w:r>
      <w:r w:rsidRPr="00E31C91">
        <w:t xml:space="preserve">court. </w:t>
      </w:r>
      <w:r>
        <w:t xml:space="preserve"> </w:t>
      </w:r>
    </w:p>
  </w:footnote>
  <w:footnote w:id="37">
    <w:p w14:paraId="53FB68F9" w14:textId="77777777" w:rsidR="008A62CF" w:rsidRDefault="007742F5">
      <w:pPr>
        <w:pStyle w:val="FootnoteText"/>
      </w:pPr>
      <w:r>
        <w:rPr>
          <w:rStyle w:val="FootnoteReference"/>
        </w:rPr>
        <w:footnoteRef/>
      </w:r>
      <w:r>
        <w:t xml:space="preserve"> </w:t>
      </w:r>
      <w:r>
        <w:tab/>
      </w:r>
      <w:r w:rsidR="00012770">
        <w:t>A</w:t>
      </w:r>
      <w:r w:rsidR="00DE76B5">
        <w:t>mong the</w:t>
      </w:r>
      <w:r w:rsidR="009A35B3">
        <w:t xml:space="preserve"> sources </w:t>
      </w:r>
      <w:r w:rsidR="007E4F27">
        <w:t>that</w:t>
      </w:r>
      <w:r w:rsidR="002E5FF4">
        <w:t xml:space="preserve"> </w:t>
      </w:r>
      <w:r w:rsidR="007E4F27">
        <w:t xml:space="preserve">the </w:t>
      </w:r>
      <w:r w:rsidR="002E5FF4">
        <w:t xml:space="preserve">Deskbook cites </w:t>
      </w:r>
      <w:r>
        <w:t>i</w:t>
      </w:r>
      <w:r>
        <w:t>s th</w:t>
      </w:r>
      <w:r w:rsidR="003B384B">
        <w:t xml:space="preserve">e </w:t>
      </w:r>
      <w:r w:rsidR="00F1138C" w:rsidRPr="00F1138C">
        <w:t>Federal</w:t>
      </w:r>
      <w:r>
        <w:t xml:space="preserve"> </w:t>
      </w:r>
      <w:r w:rsidR="00F1138C" w:rsidRPr="00F1138C">
        <w:t>Judicial Center’s</w:t>
      </w:r>
      <w:r>
        <w:t xml:space="preserve"> </w:t>
      </w:r>
      <w:r w:rsidR="00F1138C" w:rsidRPr="008A62CF">
        <w:t>Manual</w:t>
      </w:r>
      <w:r>
        <w:t xml:space="preserve"> </w:t>
      </w:r>
      <w:r w:rsidR="00F1138C" w:rsidRPr="008A62CF">
        <w:t>for</w:t>
      </w:r>
      <w:r>
        <w:t xml:space="preserve"> </w:t>
      </w:r>
      <w:r w:rsidR="00F1138C" w:rsidRPr="008A62CF">
        <w:t>Complex</w:t>
      </w:r>
      <w:r>
        <w:t xml:space="preserve"> </w:t>
      </w:r>
      <w:r w:rsidR="00F1138C" w:rsidRPr="00F1138C">
        <w:t>Litigation,</w:t>
      </w:r>
      <w:r w:rsidR="00F1138C">
        <w:t xml:space="preserve"> </w:t>
      </w:r>
      <w:r w:rsidR="00F1138C" w:rsidRPr="00F1138C">
        <w:t>Fourth Edition (2004)</w:t>
      </w:r>
      <w:r>
        <w:t>.</w:t>
      </w:r>
      <w:r w:rsidR="007E4F27" w:rsidRPr="007E4F27">
        <w:t xml:space="preserve"> </w:t>
      </w:r>
      <w:r w:rsidR="00012770">
        <w:t xml:space="preserve"> </w:t>
      </w:r>
      <w:r w:rsidR="00EF7995">
        <w:t>(</w:t>
      </w:r>
      <w:r w:rsidR="00681441">
        <w:t>See</w:t>
      </w:r>
      <w:r w:rsidR="00BF542F">
        <w:t xml:space="preserve">, e.g., </w:t>
      </w:r>
      <w:r w:rsidR="00EF7995">
        <w:t xml:space="preserve">Deskbook, </w:t>
      </w:r>
      <w:r w:rsidR="00EF7995" w:rsidRPr="00AD5A51">
        <w:rPr>
          <w:i/>
          <w:iCs/>
        </w:rPr>
        <w:t>supra</w:t>
      </w:r>
      <w:r w:rsidR="00EF7995">
        <w:t xml:space="preserve">, </w:t>
      </w:r>
      <w:r w:rsidR="00681441">
        <w:t xml:space="preserve">§ 2.03.)  </w:t>
      </w:r>
      <w:r w:rsidR="003B384B">
        <w:t>This 786</w:t>
      </w:r>
      <w:r w:rsidR="008E4696">
        <w:t>-</w:t>
      </w:r>
      <w:r w:rsidR="003B384B">
        <w:t xml:space="preserve">page treatise contains numerous </w:t>
      </w:r>
      <w:r w:rsidR="00D50974">
        <w:t xml:space="preserve">case management techniques for complex cases.  </w:t>
      </w:r>
      <w:r w:rsidR="007E4F27">
        <w:t xml:space="preserve">We express no opinion </w:t>
      </w:r>
      <w:r w:rsidR="005F1E2E">
        <w:t xml:space="preserve">regarding </w:t>
      </w:r>
      <w:r w:rsidR="007E4F27">
        <w:t xml:space="preserve">the use of </w:t>
      </w:r>
      <w:r w:rsidR="005F1E2E">
        <w:t xml:space="preserve">these </w:t>
      </w:r>
      <w:r w:rsidR="00D50974">
        <w:t>technique</w:t>
      </w:r>
      <w:r w:rsidR="005F1E2E">
        <w:t>s</w:t>
      </w:r>
      <w:r w:rsidR="007E4F27">
        <w:t xml:space="preserve"> in any particular case.</w:t>
      </w:r>
    </w:p>
  </w:footnote>
  <w:footnote w:id="38">
    <w:p w14:paraId="53FB68FA" w14:textId="77777777" w:rsidR="00F5778C" w:rsidRPr="00D03F55" w:rsidRDefault="007742F5" w:rsidP="00F5778C">
      <w:pPr>
        <w:pStyle w:val="FootnoteText"/>
        <w:rPr>
          <w:szCs w:val="26"/>
        </w:rPr>
      </w:pPr>
      <w:r w:rsidRPr="00D03F55">
        <w:rPr>
          <w:rStyle w:val="FootnoteReference"/>
        </w:rPr>
        <w:footnoteRef/>
      </w:r>
      <w:r w:rsidRPr="00D03F55">
        <w:t xml:space="preserve"> </w:t>
      </w:r>
      <w:r w:rsidRPr="00D03F55">
        <w:tab/>
      </w:r>
      <w:r w:rsidRPr="00D03F55">
        <w:rPr>
          <w:szCs w:val="26"/>
        </w:rPr>
        <w:t xml:space="preserve">In </w:t>
      </w:r>
      <w:bookmarkStart w:id="258" w:name="dabmci_01f3743622aa4d539e6b86d3f2a9969d"/>
      <w:r w:rsidRPr="00D03F55">
        <w:rPr>
          <w:i/>
          <w:iCs/>
          <w:szCs w:val="26"/>
        </w:rPr>
        <w:t>Donohue</w:t>
      </w:r>
      <w:bookmarkEnd w:id="258"/>
      <w:r w:rsidRPr="00D03F55">
        <w:rPr>
          <w:szCs w:val="26"/>
        </w:rPr>
        <w:t xml:space="preserve">, which we decided after the trial court decertified the Dyer/Derian meal period subclasses (see </w:t>
      </w:r>
      <w:bookmarkStart w:id="259" w:name="dabmci_5d3d80538bba41ba9c76ee42967cedd8"/>
      <w:r w:rsidRPr="00D03F55">
        <w:rPr>
          <w:i/>
          <w:iCs/>
          <w:szCs w:val="26"/>
        </w:rPr>
        <w:t>Estrada</w:t>
      </w:r>
      <w:r w:rsidRPr="00D03F55">
        <w:rPr>
          <w:szCs w:val="26"/>
        </w:rPr>
        <w:t xml:space="preserve">, </w:t>
      </w:r>
      <w:r w:rsidRPr="00D03F55">
        <w:rPr>
          <w:i/>
          <w:iCs/>
          <w:szCs w:val="26"/>
        </w:rPr>
        <w:t>supra</w:t>
      </w:r>
      <w:r w:rsidRPr="00D03F55">
        <w:rPr>
          <w:szCs w:val="26"/>
        </w:rPr>
        <w:t>,</w:t>
      </w:r>
      <w:r w:rsidRPr="00D03F55">
        <w:rPr>
          <w:szCs w:val="26"/>
        </w:rPr>
        <w:t xml:space="preserve"> 76 Cal.App.5th at p. 719</w:t>
      </w:r>
      <w:bookmarkEnd w:id="259"/>
      <w:r w:rsidRPr="00D03F55">
        <w:rPr>
          <w:szCs w:val="26"/>
        </w:rPr>
        <w:t>), we concluded that “time records showing noncompliant meal periods raise a rebuttable presumption of meal period violations at summary judgment.”  (</w:t>
      </w:r>
      <w:bookmarkStart w:id="260" w:name="dabmci_f0dba2a4956946949e8f71778ffc97d4"/>
      <w:r w:rsidRPr="00D03F55">
        <w:rPr>
          <w:i/>
          <w:iCs/>
          <w:szCs w:val="26"/>
        </w:rPr>
        <w:t>Donohue</w:t>
      </w:r>
      <w:r w:rsidRPr="00D03F55">
        <w:rPr>
          <w:szCs w:val="26"/>
        </w:rPr>
        <w:t xml:space="preserve">, </w:t>
      </w:r>
      <w:r w:rsidRPr="00D03F55">
        <w:rPr>
          <w:i/>
          <w:iCs/>
          <w:szCs w:val="26"/>
        </w:rPr>
        <w:t>supra</w:t>
      </w:r>
      <w:r w:rsidRPr="00D03F55">
        <w:rPr>
          <w:szCs w:val="26"/>
        </w:rPr>
        <w:t>, 11 Cal.5th at p. 74</w:t>
      </w:r>
      <w:bookmarkEnd w:id="260"/>
      <w:r w:rsidRPr="00D03F55">
        <w:rPr>
          <w:szCs w:val="26"/>
        </w:rPr>
        <w:t>.)  The Court of Appeal in this case “reverse[</w:t>
      </w:r>
      <w:r w:rsidRPr="00D03F55">
        <w:rPr>
          <w:szCs w:val="26"/>
        </w:rPr>
        <w:t xml:space="preserve">d] the [trial] court’s decertification order [as to the Dyer/Derian meal period subclasses] and remand[ed] this case so these claims may be retried in light of the </w:t>
      </w:r>
      <w:r w:rsidRPr="00D03F55">
        <w:rPr>
          <w:i/>
          <w:iCs/>
          <w:szCs w:val="26"/>
        </w:rPr>
        <w:t>Donohue</w:t>
      </w:r>
      <w:r w:rsidRPr="00D03F55">
        <w:rPr>
          <w:szCs w:val="26"/>
        </w:rPr>
        <w:t xml:space="preserve"> presumption.”  (</w:t>
      </w:r>
      <w:r w:rsidRPr="00D03F55">
        <w:rPr>
          <w:i/>
          <w:iCs/>
          <w:szCs w:val="26"/>
        </w:rPr>
        <w:t>Estrada</w:t>
      </w:r>
      <w:r w:rsidRPr="00D03F55">
        <w:rPr>
          <w:szCs w:val="26"/>
        </w:rPr>
        <w:t xml:space="preserve">, </w:t>
      </w:r>
      <w:bookmarkStart w:id="261" w:name="dabmci_b8075d19a15043c4b1df6601c781b489"/>
      <w:r w:rsidRPr="00D03F55">
        <w:rPr>
          <w:szCs w:val="26"/>
        </w:rPr>
        <w:t>at p. 719</w:t>
      </w:r>
      <w:bookmarkEnd w:id="261"/>
      <w:r w:rsidRPr="00D03F55">
        <w:rPr>
          <w:szCs w:val="26"/>
        </w:rPr>
        <w:t>.)</w:t>
      </w:r>
    </w:p>
  </w:footnote>
  <w:footnote w:id="39">
    <w:p w14:paraId="53FB68FB" w14:textId="77777777" w:rsidR="00F772FE" w:rsidRDefault="007742F5">
      <w:pPr>
        <w:pStyle w:val="FootnoteText"/>
      </w:pPr>
      <w:r>
        <w:rPr>
          <w:rStyle w:val="FootnoteReference"/>
        </w:rPr>
        <w:footnoteRef/>
      </w:r>
      <w:r>
        <w:t xml:space="preserve"> </w:t>
      </w:r>
      <w:r>
        <w:tab/>
        <w:t xml:space="preserve">Plaintiffs also acknowledge that </w:t>
      </w:r>
      <w:r w:rsidR="00EC3D09">
        <w:t>“</w:t>
      </w:r>
      <w:r w:rsidRPr="00ED797A">
        <w:t xml:space="preserve">the trial </w:t>
      </w:r>
      <w:r w:rsidRPr="00ED797A">
        <w:t xml:space="preserve">court is not powerless to manage the entire </w:t>
      </w:r>
      <w:r w:rsidRPr="00852057">
        <w:rPr>
          <w:i/>
          <w:iCs/>
        </w:rPr>
        <w:t>Estrada</w:t>
      </w:r>
      <w:r w:rsidRPr="00ED797A">
        <w:t xml:space="preserve"> action, including the PAGA claims</w:t>
      </w:r>
      <w:r>
        <w:t xml:space="preserve">.”  </w:t>
      </w:r>
    </w:p>
  </w:footnote>
  <w:footnote w:id="40">
    <w:p w14:paraId="53FB68FC" w14:textId="77777777" w:rsidR="00F55CAF" w:rsidRDefault="007742F5" w:rsidP="00A65B2D">
      <w:pPr>
        <w:spacing w:line="300" w:lineRule="exact"/>
      </w:pPr>
      <w:r>
        <w:rPr>
          <w:rStyle w:val="FootnoteReference"/>
        </w:rPr>
        <w:footnoteRef/>
      </w:r>
      <w:r>
        <w:t xml:space="preserve"> </w:t>
      </w:r>
      <w:r>
        <w:tab/>
      </w:r>
      <w:r w:rsidR="007C58EC">
        <w:t>O</w:t>
      </w:r>
      <w:r w:rsidR="00457B84" w:rsidRPr="00150E56">
        <w:t>ur discussion of the types of tools that a trial court may use to manage a PAGA claim is illustrative rather than exhaustive.</w:t>
      </w:r>
    </w:p>
  </w:footnote>
  <w:footnote w:id="41">
    <w:p w14:paraId="53FB68FD" w14:textId="77777777" w:rsidR="00900673" w:rsidRDefault="007742F5">
      <w:pPr>
        <w:pStyle w:val="FootnoteText"/>
      </w:pPr>
      <w:r>
        <w:rPr>
          <w:rStyle w:val="FootnoteReference"/>
        </w:rPr>
        <w:footnoteRef/>
      </w:r>
      <w:r>
        <w:t xml:space="preserve"> </w:t>
      </w:r>
      <w:r>
        <w:tab/>
        <w:t>I</w:t>
      </w:r>
      <w:r w:rsidRPr="00F55CAF">
        <w:t xml:space="preserve">n considering the </w:t>
      </w:r>
      <w:r>
        <w:t>potentially la</w:t>
      </w:r>
      <w:r>
        <w:t>rge amount of</w:t>
      </w:r>
      <w:r w:rsidRPr="00F55CAF">
        <w:t xml:space="preserve"> judicial resources that it may take to manage </w:t>
      </w:r>
      <w:r>
        <w:t>a</w:t>
      </w:r>
      <w:r w:rsidRPr="00F55CAF">
        <w:t xml:space="preserve"> </w:t>
      </w:r>
      <w:r>
        <w:t xml:space="preserve">single </w:t>
      </w:r>
      <w:r w:rsidRPr="00F55CAF">
        <w:t>representative PAGA action</w:t>
      </w:r>
      <w:r w:rsidR="008677CC">
        <w:t>,</w:t>
      </w:r>
      <w:r w:rsidRPr="00F55CAF">
        <w:t xml:space="preserve"> one must </w:t>
      </w:r>
      <w:r>
        <w:t xml:space="preserve">also </w:t>
      </w:r>
      <w:r w:rsidRPr="00F55CAF">
        <w:t xml:space="preserve">bear in mind that such action may </w:t>
      </w:r>
      <w:r>
        <w:t>reduce</w:t>
      </w:r>
      <w:r w:rsidRPr="00F55CAF">
        <w:t xml:space="preserve"> </w:t>
      </w:r>
      <w:r>
        <w:t xml:space="preserve">the judicial resources that would otherwise be expended to manage many </w:t>
      </w:r>
      <w:r w:rsidRPr="00F55CAF">
        <w:t xml:space="preserve">individual PAGA </w:t>
      </w:r>
      <w:r>
        <w:t>claims</w:t>
      </w:r>
      <w:r w:rsidRPr="00F55CAF">
        <w:t xml:space="preserve"> and prevent the underenforcement of California law.</w:t>
      </w:r>
    </w:p>
  </w:footnote>
  <w:footnote w:id="42">
    <w:p w14:paraId="53FB68FE" w14:textId="77777777" w:rsidR="00A26FC2" w:rsidRDefault="007742F5">
      <w:pPr>
        <w:pStyle w:val="FootnoteText"/>
      </w:pPr>
      <w:r>
        <w:rPr>
          <w:rStyle w:val="FootnoteReference"/>
        </w:rPr>
        <w:footnoteRef/>
      </w:r>
      <w:r>
        <w:t xml:space="preserve"> </w:t>
      </w:r>
      <w:r>
        <w:tab/>
      </w:r>
      <w:r w:rsidR="00D169D4">
        <w:t>Similarly</w:t>
      </w:r>
      <w:r w:rsidRPr="00A26FC2">
        <w:t>,</w:t>
      </w:r>
      <w:r w:rsidR="00833E81">
        <w:t xml:space="preserve"> </w:t>
      </w:r>
      <w:r w:rsidRPr="00A26FC2">
        <w:t>it may also be possible for a plaintiff</w:t>
      </w:r>
      <w:r w:rsidRPr="00FA605B">
        <w:t xml:space="preserve"> to demonstrate that the use of such case</w:t>
      </w:r>
      <w:r w:rsidRPr="00A26FC2">
        <w:t xml:space="preserve"> </w:t>
      </w:r>
      <w:r w:rsidRPr="00FA605B">
        <w:t>management tech</w:t>
      </w:r>
      <w:r w:rsidRPr="00FA605B">
        <w:t xml:space="preserve">niques so abridged </w:t>
      </w:r>
      <w:r w:rsidR="00713883">
        <w:t>th</w:t>
      </w:r>
      <w:r w:rsidR="002F4115">
        <w:t>e</w:t>
      </w:r>
      <w:r w:rsidRPr="00FA605B">
        <w:t xml:space="preserve"> right to present</w:t>
      </w:r>
      <w:r w:rsidRPr="00A26FC2">
        <w:t xml:space="preserve"> </w:t>
      </w:r>
      <w:r w:rsidR="003255C5">
        <w:t xml:space="preserve">the plaintiff’s </w:t>
      </w:r>
      <w:r w:rsidRPr="00A26FC2">
        <w:t>case that the trial court will have erred.</w:t>
      </w:r>
      <w:r w:rsidR="00A06E74">
        <w:t xml:space="preserve">  </w:t>
      </w:r>
      <w:r w:rsidR="003A5855">
        <w:t xml:space="preserve">However, we have no occasion to address this </w:t>
      </w:r>
      <w:r w:rsidR="008E7B78">
        <w:t xml:space="preserve">issue in </w:t>
      </w:r>
      <w:r w:rsidR="004A7E32">
        <w:t>this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68CD" w14:textId="77777777" w:rsidR="00837317" w:rsidRDefault="007742F5">
    <w:pPr>
      <w:pStyle w:val="Header"/>
    </w:pPr>
    <w:r>
      <w:t>ESTRADA v. ROYALTY CARPET MILLS, INC.</w:t>
    </w:r>
  </w:p>
  <w:p w14:paraId="53FB68CE" w14:textId="77777777" w:rsidR="00837317" w:rsidRDefault="007742F5">
    <w:pPr>
      <w:pStyle w:val="Header"/>
    </w:pPr>
    <w:r>
      <w:t xml:space="preserve">Opinion of the Court by </w:t>
    </w:r>
    <w:r>
      <w:t>Guerrero, C. J.</w:t>
    </w:r>
  </w:p>
  <w:p w14:paraId="53FB68CF" w14:textId="77777777" w:rsidR="00837317" w:rsidRDefault="00837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621D" w14:textId="77777777" w:rsidR="008C4FC2" w:rsidRPr="00E972E8" w:rsidRDefault="008C4FC2" w:rsidP="00E97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873"/>
    <w:multiLevelType w:val="hybridMultilevel"/>
    <w:tmpl w:val="1AB85116"/>
    <w:lvl w:ilvl="0" w:tplc="EA344BDA">
      <w:start w:val="1"/>
      <w:numFmt w:val="decimal"/>
      <w:lvlText w:val="%1."/>
      <w:lvlJc w:val="left"/>
      <w:pPr>
        <w:ind w:left="1440" w:hanging="360"/>
      </w:pPr>
      <w:rPr>
        <w:rFonts w:hint="default"/>
        <w:b/>
        <w:bCs/>
      </w:rPr>
    </w:lvl>
    <w:lvl w:ilvl="1" w:tplc="80666456" w:tentative="1">
      <w:start w:val="1"/>
      <w:numFmt w:val="lowerLetter"/>
      <w:lvlText w:val="%2."/>
      <w:lvlJc w:val="left"/>
      <w:pPr>
        <w:ind w:left="2160" w:hanging="360"/>
      </w:pPr>
    </w:lvl>
    <w:lvl w:ilvl="2" w:tplc="AFF4C326" w:tentative="1">
      <w:start w:val="1"/>
      <w:numFmt w:val="lowerRoman"/>
      <w:lvlText w:val="%3."/>
      <w:lvlJc w:val="right"/>
      <w:pPr>
        <w:ind w:left="2880" w:hanging="180"/>
      </w:pPr>
    </w:lvl>
    <w:lvl w:ilvl="3" w:tplc="178E1B08" w:tentative="1">
      <w:start w:val="1"/>
      <w:numFmt w:val="decimal"/>
      <w:lvlText w:val="%4."/>
      <w:lvlJc w:val="left"/>
      <w:pPr>
        <w:ind w:left="3600" w:hanging="360"/>
      </w:pPr>
    </w:lvl>
    <w:lvl w:ilvl="4" w:tplc="71A8D2FE" w:tentative="1">
      <w:start w:val="1"/>
      <w:numFmt w:val="lowerLetter"/>
      <w:lvlText w:val="%5."/>
      <w:lvlJc w:val="left"/>
      <w:pPr>
        <w:ind w:left="4320" w:hanging="360"/>
      </w:pPr>
    </w:lvl>
    <w:lvl w:ilvl="5" w:tplc="04F2F746" w:tentative="1">
      <w:start w:val="1"/>
      <w:numFmt w:val="lowerRoman"/>
      <w:lvlText w:val="%6."/>
      <w:lvlJc w:val="right"/>
      <w:pPr>
        <w:ind w:left="5040" w:hanging="180"/>
      </w:pPr>
    </w:lvl>
    <w:lvl w:ilvl="6" w:tplc="FACAD5E4" w:tentative="1">
      <w:start w:val="1"/>
      <w:numFmt w:val="decimal"/>
      <w:lvlText w:val="%7."/>
      <w:lvlJc w:val="left"/>
      <w:pPr>
        <w:ind w:left="5760" w:hanging="360"/>
      </w:pPr>
    </w:lvl>
    <w:lvl w:ilvl="7" w:tplc="3BEC4ED4" w:tentative="1">
      <w:start w:val="1"/>
      <w:numFmt w:val="lowerLetter"/>
      <w:lvlText w:val="%8."/>
      <w:lvlJc w:val="left"/>
      <w:pPr>
        <w:ind w:left="6480" w:hanging="360"/>
      </w:pPr>
    </w:lvl>
    <w:lvl w:ilvl="8" w:tplc="9CD06628" w:tentative="1">
      <w:start w:val="1"/>
      <w:numFmt w:val="lowerRoman"/>
      <w:lvlText w:val="%9."/>
      <w:lvlJc w:val="right"/>
      <w:pPr>
        <w:ind w:left="7200" w:hanging="180"/>
      </w:pPr>
    </w:lvl>
  </w:abstractNum>
  <w:abstractNum w:abstractNumId="1" w15:restartNumberingAfterBreak="0">
    <w:nsid w:val="125B5909"/>
    <w:multiLevelType w:val="hybridMultilevel"/>
    <w:tmpl w:val="425C2564"/>
    <w:lvl w:ilvl="0" w:tplc="40823082">
      <w:numFmt w:val="bullet"/>
      <w:lvlText w:val=""/>
      <w:lvlJc w:val="left"/>
      <w:pPr>
        <w:ind w:left="720" w:hanging="360"/>
      </w:pPr>
      <w:rPr>
        <w:rFonts w:ascii="MS Mincho" w:eastAsia="MS Mincho" w:hAnsi="MS Mincho" w:cs="Times New Roman" w:hint="eastAsia"/>
      </w:rPr>
    </w:lvl>
    <w:lvl w:ilvl="1" w:tplc="46F46604" w:tentative="1">
      <w:start w:val="1"/>
      <w:numFmt w:val="bullet"/>
      <w:lvlText w:val="o"/>
      <w:lvlJc w:val="left"/>
      <w:pPr>
        <w:ind w:left="1440" w:hanging="360"/>
      </w:pPr>
      <w:rPr>
        <w:rFonts w:ascii="Courier New" w:hAnsi="Courier New" w:cs="Courier New" w:hint="default"/>
      </w:rPr>
    </w:lvl>
    <w:lvl w:ilvl="2" w:tplc="1604DFFA" w:tentative="1">
      <w:start w:val="1"/>
      <w:numFmt w:val="bullet"/>
      <w:lvlText w:val=""/>
      <w:lvlJc w:val="left"/>
      <w:pPr>
        <w:ind w:left="2160" w:hanging="360"/>
      </w:pPr>
      <w:rPr>
        <w:rFonts w:ascii="Wingdings" w:hAnsi="Wingdings" w:hint="default"/>
      </w:rPr>
    </w:lvl>
    <w:lvl w:ilvl="3" w:tplc="3A683250" w:tentative="1">
      <w:start w:val="1"/>
      <w:numFmt w:val="bullet"/>
      <w:lvlText w:val=""/>
      <w:lvlJc w:val="left"/>
      <w:pPr>
        <w:ind w:left="2880" w:hanging="360"/>
      </w:pPr>
      <w:rPr>
        <w:rFonts w:ascii="Symbol" w:hAnsi="Symbol" w:hint="default"/>
      </w:rPr>
    </w:lvl>
    <w:lvl w:ilvl="4" w:tplc="9E12B400" w:tentative="1">
      <w:start w:val="1"/>
      <w:numFmt w:val="bullet"/>
      <w:lvlText w:val="o"/>
      <w:lvlJc w:val="left"/>
      <w:pPr>
        <w:ind w:left="3600" w:hanging="360"/>
      </w:pPr>
      <w:rPr>
        <w:rFonts w:ascii="Courier New" w:hAnsi="Courier New" w:cs="Courier New" w:hint="default"/>
      </w:rPr>
    </w:lvl>
    <w:lvl w:ilvl="5" w:tplc="04A0E984" w:tentative="1">
      <w:start w:val="1"/>
      <w:numFmt w:val="bullet"/>
      <w:lvlText w:val=""/>
      <w:lvlJc w:val="left"/>
      <w:pPr>
        <w:ind w:left="4320" w:hanging="360"/>
      </w:pPr>
      <w:rPr>
        <w:rFonts w:ascii="Wingdings" w:hAnsi="Wingdings" w:hint="default"/>
      </w:rPr>
    </w:lvl>
    <w:lvl w:ilvl="6" w:tplc="14D2282E" w:tentative="1">
      <w:start w:val="1"/>
      <w:numFmt w:val="bullet"/>
      <w:lvlText w:val=""/>
      <w:lvlJc w:val="left"/>
      <w:pPr>
        <w:ind w:left="5040" w:hanging="360"/>
      </w:pPr>
      <w:rPr>
        <w:rFonts w:ascii="Symbol" w:hAnsi="Symbol" w:hint="default"/>
      </w:rPr>
    </w:lvl>
    <w:lvl w:ilvl="7" w:tplc="D6868CDE" w:tentative="1">
      <w:start w:val="1"/>
      <w:numFmt w:val="bullet"/>
      <w:lvlText w:val="o"/>
      <w:lvlJc w:val="left"/>
      <w:pPr>
        <w:ind w:left="5760" w:hanging="360"/>
      </w:pPr>
      <w:rPr>
        <w:rFonts w:ascii="Courier New" w:hAnsi="Courier New" w:cs="Courier New" w:hint="default"/>
      </w:rPr>
    </w:lvl>
    <w:lvl w:ilvl="8" w:tplc="88E2A8E4" w:tentative="1">
      <w:start w:val="1"/>
      <w:numFmt w:val="bullet"/>
      <w:lvlText w:val=""/>
      <w:lvlJc w:val="left"/>
      <w:pPr>
        <w:ind w:left="6480" w:hanging="360"/>
      </w:pPr>
      <w:rPr>
        <w:rFonts w:ascii="Wingdings" w:hAnsi="Wingdings" w:hint="default"/>
      </w:rPr>
    </w:lvl>
  </w:abstractNum>
  <w:abstractNum w:abstractNumId="2" w15:restartNumberingAfterBreak="0">
    <w:nsid w:val="1DDA595F"/>
    <w:multiLevelType w:val="hybridMultilevel"/>
    <w:tmpl w:val="C93C8A4A"/>
    <w:lvl w:ilvl="0" w:tplc="5AD86CD8">
      <w:start w:val="1"/>
      <w:numFmt w:val="bullet"/>
      <w:lvlText w:val=""/>
      <w:lvlJc w:val="left"/>
      <w:pPr>
        <w:ind w:left="720" w:hanging="360"/>
      </w:pPr>
      <w:rPr>
        <w:rFonts w:ascii="Symbol" w:hAnsi="Symbol" w:hint="default"/>
      </w:rPr>
    </w:lvl>
    <w:lvl w:ilvl="1" w:tplc="FE84CE62" w:tentative="1">
      <w:start w:val="1"/>
      <w:numFmt w:val="bullet"/>
      <w:lvlText w:val="o"/>
      <w:lvlJc w:val="left"/>
      <w:pPr>
        <w:ind w:left="1440" w:hanging="360"/>
      </w:pPr>
      <w:rPr>
        <w:rFonts w:ascii="Courier New" w:hAnsi="Courier New" w:cs="Courier New" w:hint="default"/>
      </w:rPr>
    </w:lvl>
    <w:lvl w:ilvl="2" w:tplc="027C926C" w:tentative="1">
      <w:start w:val="1"/>
      <w:numFmt w:val="bullet"/>
      <w:lvlText w:val=""/>
      <w:lvlJc w:val="left"/>
      <w:pPr>
        <w:ind w:left="2160" w:hanging="360"/>
      </w:pPr>
      <w:rPr>
        <w:rFonts w:ascii="Wingdings" w:hAnsi="Wingdings" w:hint="default"/>
      </w:rPr>
    </w:lvl>
    <w:lvl w:ilvl="3" w:tplc="D2CEAE46" w:tentative="1">
      <w:start w:val="1"/>
      <w:numFmt w:val="bullet"/>
      <w:lvlText w:val=""/>
      <w:lvlJc w:val="left"/>
      <w:pPr>
        <w:ind w:left="2880" w:hanging="360"/>
      </w:pPr>
      <w:rPr>
        <w:rFonts w:ascii="Symbol" w:hAnsi="Symbol" w:hint="default"/>
      </w:rPr>
    </w:lvl>
    <w:lvl w:ilvl="4" w:tplc="231C4C2A" w:tentative="1">
      <w:start w:val="1"/>
      <w:numFmt w:val="bullet"/>
      <w:lvlText w:val="o"/>
      <w:lvlJc w:val="left"/>
      <w:pPr>
        <w:ind w:left="3600" w:hanging="360"/>
      </w:pPr>
      <w:rPr>
        <w:rFonts w:ascii="Courier New" w:hAnsi="Courier New" w:cs="Courier New" w:hint="default"/>
      </w:rPr>
    </w:lvl>
    <w:lvl w:ilvl="5" w:tplc="3B78E328" w:tentative="1">
      <w:start w:val="1"/>
      <w:numFmt w:val="bullet"/>
      <w:lvlText w:val=""/>
      <w:lvlJc w:val="left"/>
      <w:pPr>
        <w:ind w:left="4320" w:hanging="360"/>
      </w:pPr>
      <w:rPr>
        <w:rFonts w:ascii="Wingdings" w:hAnsi="Wingdings" w:hint="default"/>
      </w:rPr>
    </w:lvl>
    <w:lvl w:ilvl="6" w:tplc="0C0C9076" w:tentative="1">
      <w:start w:val="1"/>
      <w:numFmt w:val="bullet"/>
      <w:lvlText w:val=""/>
      <w:lvlJc w:val="left"/>
      <w:pPr>
        <w:ind w:left="5040" w:hanging="360"/>
      </w:pPr>
      <w:rPr>
        <w:rFonts w:ascii="Symbol" w:hAnsi="Symbol" w:hint="default"/>
      </w:rPr>
    </w:lvl>
    <w:lvl w:ilvl="7" w:tplc="768C49D8" w:tentative="1">
      <w:start w:val="1"/>
      <w:numFmt w:val="bullet"/>
      <w:lvlText w:val="o"/>
      <w:lvlJc w:val="left"/>
      <w:pPr>
        <w:ind w:left="5760" w:hanging="360"/>
      </w:pPr>
      <w:rPr>
        <w:rFonts w:ascii="Courier New" w:hAnsi="Courier New" w:cs="Courier New" w:hint="default"/>
      </w:rPr>
    </w:lvl>
    <w:lvl w:ilvl="8" w:tplc="5F443416" w:tentative="1">
      <w:start w:val="1"/>
      <w:numFmt w:val="bullet"/>
      <w:lvlText w:val=""/>
      <w:lvlJc w:val="left"/>
      <w:pPr>
        <w:ind w:left="6480" w:hanging="360"/>
      </w:pPr>
      <w:rPr>
        <w:rFonts w:ascii="Wingdings" w:hAnsi="Wingdings" w:hint="default"/>
      </w:rPr>
    </w:lvl>
  </w:abstractNum>
  <w:abstractNum w:abstractNumId="3" w15:restartNumberingAfterBreak="0">
    <w:nsid w:val="3F932BF2"/>
    <w:multiLevelType w:val="hybridMultilevel"/>
    <w:tmpl w:val="4956E23E"/>
    <w:lvl w:ilvl="0" w:tplc="C61EDF62">
      <w:start w:val="1"/>
      <w:numFmt w:val="upperLetter"/>
      <w:lvlText w:val="%1."/>
      <w:lvlJc w:val="left"/>
      <w:pPr>
        <w:ind w:left="1080" w:hanging="360"/>
      </w:pPr>
      <w:rPr>
        <w:rFonts w:hint="default"/>
      </w:rPr>
    </w:lvl>
    <w:lvl w:ilvl="1" w:tplc="5FBC0940" w:tentative="1">
      <w:start w:val="1"/>
      <w:numFmt w:val="lowerLetter"/>
      <w:lvlText w:val="%2."/>
      <w:lvlJc w:val="left"/>
      <w:pPr>
        <w:ind w:left="1800" w:hanging="360"/>
      </w:pPr>
    </w:lvl>
    <w:lvl w:ilvl="2" w:tplc="58AC3C94" w:tentative="1">
      <w:start w:val="1"/>
      <w:numFmt w:val="lowerRoman"/>
      <w:lvlText w:val="%3."/>
      <w:lvlJc w:val="right"/>
      <w:pPr>
        <w:ind w:left="2520" w:hanging="180"/>
      </w:pPr>
    </w:lvl>
    <w:lvl w:ilvl="3" w:tplc="51327310" w:tentative="1">
      <w:start w:val="1"/>
      <w:numFmt w:val="decimal"/>
      <w:lvlText w:val="%4."/>
      <w:lvlJc w:val="left"/>
      <w:pPr>
        <w:ind w:left="3240" w:hanging="360"/>
      </w:pPr>
    </w:lvl>
    <w:lvl w:ilvl="4" w:tplc="8D3CDF30" w:tentative="1">
      <w:start w:val="1"/>
      <w:numFmt w:val="lowerLetter"/>
      <w:lvlText w:val="%5."/>
      <w:lvlJc w:val="left"/>
      <w:pPr>
        <w:ind w:left="3960" w:hanging="360"/>
      </w:pPr>
    </w:lvl>
    <w:lvl w:ilvl="5" w:tplc="B36E1056" w:tentative="1">
      <w:start w:val="1"/>
      <w:numFmt w:val="lowerRoman"/>
      <w:lvlText w:val="%6."/>
      <w:lvlJc w:val="right"/>
      <w:pPr>
        <w:ind w:left="4680" w:hanging="180"/>
      </w:pPr>
    </w:lvl>
    <w:lvl w:ilvl="6" w:tplc="0ECE387A" w:tentative="1">
      <w:start w:val="1"/>
      <w:numFmt w:val="decimal"/>
      <w:lvlText w:val="%7."/>
      <w:lvlJc w:val="left"/>
      <w:pPr>
        <w:ind w:left="5400" w:hanging="360"/>
      </w:pPr>
    </w:lvl>
    <w:lvl w:ilvl="7" w:tplc="EC5632EE" w:tentative="1">
      <w:start w:val="1"/>
      <w:numFmt w:val="lowerLetter"/>
      <w:lvlText w:val="%8."/>
      <w:lvlJc w:val="left"/>
      <w:pPr>
        <w:ind w:left="6120" w:hanging="360"/>
      </w:pPr>
    </w:lvl>
    <w:lvl w:ilvl="8" w:tplc="54A4AD7A" w:tentative="1">
      <w:start w:val="1"/>
      <w:numFmt w:val="lowerRoman"/>
      <w:lvlText w:val="%9."/>
      <w:lvlJc w:val="right"/>
      <w:pPr>
        <w:ind w:left="6840" w:hanging="180"/>
      </w:pPr>
    </w:lvl>
  </w:abstractNum>
  <w:abstractNum w:abstractNumId="4" w15:restartNumberingAfterBreak="0">
    <w:nsid w:val="41D67AE7"/>
    <w:multiLevelType w:val="hybridMultilevel"/>
    <w:tmpl w:val="7A349796"/>
    <w:lvl w:ilvl="0" w:tplc="0A6E9BC4">
      <w:start w:val="1"/>
      <w:numFmt w:val="bullet"/>
      <w:lvlText w:val=""/>
      <w:lvlJc w:val="left"/>
      <w:pPr>
        <w:ind w:left="720" w:hanging="360"/>
      </w:pPr>
      <w:rPr>
        <w:rFonts w:ascii="Symbol" w:hAnsi="Symbol" w:hint="default"/>
      </w:rPr>
    </w:lvl>
    <w:lvl w:ilvl="1" w:tplc="3B626F16" w:tentative="1">
      <w:start w:val="1"/>
      <w:numFmt w:val="bullet"/>
      <w:lvlText w:val="o"/>
      <w:lvlJc w:val="left"/>
      <w:pPr>
        <w:ind w:left="1440" w:hanging="360"/>
      </w:pPr>
      <w:rPr>
        <w:rFonts w:ascii="Courier New" w:hAnsi="Courier New" w:cs="Courier New" w:hint="default"/>
      </w:rPr>
    </w:lvl>
    <w:lvl w:ilvl="2" w:tplc="279AAA68" w:tentative="1">
      <w:start w:val="1"/>
      <w:numFmt w:val="bullet"/>
      <w:lvlText w:val=""/>
      <w:lvlJc w:val="left"/>
      <w:pPr>
        <w:ind w:left="2160" w:hanging="360"/>
      </w:pPr>
      <w:rPr>
        <w:rFonts w:ascii="Wingdings" w:hAnsi="Wingdings" w:hint="default"/>
      </w:rPr>
    </w:lvl>
    <w:lvl w:ilvl="3" w:tplc="D4EA8BB2" w:tentative="1">
      <w:start w:val="1"/>
      <w:numFmt w:val="bullet"/>
      <w:lvlText w:val=""/>
      <w:lvlJc w:val="left"/>
      <w:pPr>
        <w:ind w:left="2880" w:hanging="360"/>
      </w:pPr>
      <w:rPr>
        <w:rFonts w:ascii="Symbol" w:hAnsi="Symbol" w:hint="default"/>
      </w:rPr>
    </w:lvl>
    <w:lvl w:ilvl="4" w:tplc="A79CAA5C" w:tentative="1">
      <w:start w:val="1"/>
      <w:numFmt w:val="bullet"/>
      <w:lvlText w:val="o"/>
      <w:lvlJc w:val="left"/>
      <w:pPr>
        <w:ind w:left="3600" w:hanging="360"/>
      </w:pPr>
      <w:rPr>
        <w:rFonts w:ascii="Courier New" w:hAnsi="Courier New" w:cs="Courier New" w:hint="default"/>
      </w:rPr>
    </w:lvl>
    <w:lvl w:ilvl="5" w:tplc="16D42C7C" w:tentative="1">
      <w:start w:val="1"/>
      <w:numFmt w:val="bullet"/>
      <w:lvlText w:val=""/>
      <w:lvlJc w:val="left"/>
      <w:pPr>
        <w:ind w:left="4320" w:hanging="360"/>
      </w:pPr>
      <w:rPr>
        <w:rFonts w:ascii="Wingdings" w:hAnsi="Wingdings" w:hint="default"/>
      </w:rPr>
    </w:lvl>
    <w:lvl w:ilvl="6" w:tplc="DF44CBB2" w:tentative="1">
      <w:start w:val="1"/>
      <w:numFmt w:val="bullet"/>
      <w:lvlText w:val=""/>
      <w:lvlJc w:val="left"/>
      <w:pPr>
        <w:ind w:left="5040" w:hanging="360"/>
      </w:pPr>
      <w:rPr>
        <w:rFonts w:ascii="Symbol" w:hAnsi="Symbol" w:hint="default"/>
      </w:rPr>
    </w:lvl>
    <w:lvl w:ilvl="7" w:tplc="EF7C129E" w:tentative="1">
      <w:start w:val="1"/>
      <w:numFmt w:val="bullet"/>
      <w:lvlText w:val="o"/>
      <w:lvlJc w:val="left"/>
      <w:pPr>
        <w:ind w:left="5760" w:hanging="360"/>
      </w:pPr>
      <w:rPr>
        <w:rFonts w:ascii="Courier New" w:hAnsi="Courier New" w:cs="Courier New" w:hint="default"/>
      </w:rPr>
    </w:lvl>
    <w:lvl w:ilvl="8" w:tplc="83DACC7A" w:tentative="1">
      <w:start w:val="1"/>
      <w:numFmt w:val="bullet"/>
      <w:lvlText w:val=""/>
      <w:lvlJc w:val="left"/>
      <w:pPr>
        <w:ind w:left="6480" w:hanging="360"/>
      </w:pPr>
      <w:rPr>
        <w:rFonts w:ascii="Wingdings" w:hAnsi="Wingdings" w:hint="default"/>
      </w:rPr>
    </w:lvl>
  </w:abstractNum>
  <w:abstractNum w:abstractNumId="5" w15:restartNumberingAfterBreak="0">
    <w:nsid w:val="48CC0BA8"/>
    <w:multiLevelType w:val="hybridMultilevel"/>
    <w:tmpl w:val="9ED868F0"/>
    <w:lvl w:ilvl="0" w:tplc="66D0CDA6">
      <w:start w:val="1"/>
      <w:numFmt w:val="decimal"/>
      <w:lvlText w:val="%1."/>
      <w:lvlJc w:val="left"/>
      <w:pPr>
        <w:ind w:left="1440" w:hanging="360"/>
      </w:pPr>
      <w:rPr>
        <w:rFonts w:hint="default"/>
        <w:b w:val="0"/>
        <w:bCs w:val="0"/>
        <w:i w:val="0"/>
        <w:iCs/>
      </w:rPr>
    </w:lvl>
    <w:lvl w:ilvl="1" w:tplc="03F29BF4" w:tentative="1">
      <w:start w:val="1"/>
      <w:numFmt w:val="lowerLetter"/>
      <w:lvlText w:val="%2."/>
      <w:lvlJc w:val="left"/>
      <w:pPr>
        <w:ind w:left="2160" w:hanging="360"/>
      </w:pPr>
    </w:lvl>
    <w:lvl w:ilvl="2" w:tplc="4B08D988" w:tentative="1">
      <w:start w:val="1"/>
      <w:numFmt w:val="lowerRoman"/>
      <w:lvlText w:val="%3."/>
      <w:lvlJc w:val="right"/>
      <w:pPr>
        <w:ind w:left="2880" w:hanging="180"/>
      </w:pPr>
    </w:lvl>
    <w:lvl w:ilvl="3" w:tplc="D21E5E56" w:tentative="1">
      <w:start w:val="1"/>
      <w:numFmt w:val="decimal"/>
      <w:lvlText w:val="%4."/>
      <w:lvlJc w:val="left"/>
      <w:pPr>
        <w:ind w:left="3600" w:hanging="360"/>
      </w:pPr>
    </w:lvl>
    <w:lvl w:ilvl="4" w:tplc="7C9C0F3A" w:tentative="1">
      <w:start w:val="1"/>
      <w:numFmt w:val="lowerLetter"/>
      <w:lvlText w:val="%5."/>
      <w:lvlJc w:val="left"/>
      <w:pPr>
        <w:ind w:left="4320" w:hanging="360"/>
      </w:pPr>
    </w:lvl>
    <w:lvl w:ilvl="5" w:tplc="AA2CCD2A" w:tentative="1">
      <w:start w:val="1"/>
      <w:numFmt w:val="lowerRoman"/>
      <w:lvlText w:val="%6."/>
      <w:lvlJc w:val="right"/>
      <w:pPr>
        <w:ind w:left="5040" w:hanging="180"/>
      </w:pPr>
    </w:lvl>
    <w:lvl w:ilvl="6" w:tplc="4112E0FC" w:tentative="1">
      <w:start w:val="1"/>
      <w:numFmt w:val="decimal"/>
      <w:lvlText w:val="%7."/>
      <w:lvlJc w:val="left"/>
      <w:pPr>
        <w:ind w:left="5760" w:hanging="360"/>
      </w:pPr>
    </w:lvl>
    <w:lvl w:ilvl="7" w:tplc="B5A86D74" w:tentative="1">
      <w:start w:val="1"/>
      <w:numFmt w:val="lowerLetter"/>
      <w:lvlText w:val="%8."/>
      <w:lvlJc w:val="left"/>
      <w:pPr>
        <w:ind w:left="6480" w:hanging="360"/>
      </w:pPr>
    </w:lvl>
    <w:lvl w:ilvl="8" w:tplc="9452B0AA" w:tentative="1">
      <w:start w:val="1"/>
      <w:numFmt w:val="lowerRoman"/>
      <w:lvlText w:val="%9."/>
      <w:lvlJc w:val="right"/>
      <w:pPr>
        <w:ind w:left="7200" w:hanging="180"/>
      </w:pPr>
    </w:lvl>
  </w:abstractNum>
  <w:abstractNum w:abstractNumId="6" w15:restartNumberingAfterBreak="0">
    <w:nsid w:val="55A2748F"/>
    <w:multiLevelType w:val="hybridMultilevel"/>
    <w:tmpl w:val="9ED868F0"/>
    <w:lvl w:ilvl="0" w:tplc="4A9A5632">
      <w:start w:val="1"/>
      <w:numFmt w:val="decimal"/>
      <w:lvlText w:val="%1."/>
      <w:lvlJc w:val="left"/>
      <w:pPr>
        <w:ind w:left="1440" w:hanging="360"/>
      </w:pPr>
      <w:rPr>
        <w:rFonts w:hint="default"/>
        <w:b w:val="0"/>
        <w:bCs w:val="0"/>
        <w:i w:val="0"/>
        <w:iCs/>
      </w:rPr>
    </w:lvl>
    <w:lvl w:ilvl="1" w:tplc="176039A8" w:tentative="1">
      <w:start w:val="1"/>
      <w:numFmt w:val="lowerLetter"/>
      <w:lvlText w:val="%2."/>
      <w:lvlJc w:val="left"/>
      <w:pPr>
        <w:ind w:left="2160" w:hanging="360"/>
      </w:pPr>
    </w:lvl>
    <w:lvl w:ilvl="2" w:tplc="43ACA870" w:tentative="1">
      <w:start w:val="1"/>
      <w:numFmt w:val="lowerRoman"/>
      <w:lvlText w:val="%3."/>
      <w:lvlJc w:val="right"/>
      <w:pPr>
        <w:ind w:left="2880" w:hanging="180"/>
      </w:pPr>
    </w:lvl>
    <w:lvl w:ilvl="3" w:tplc="787CCE2A" w:tentative="1">
      <w:start w:val="1"/>
      <w:numFmt w:val="decimal"/>
      <w:lvlText w:val="%4."/>
      <w:lvlJc w:val="left"/>
      <w:pPr>
        <w:ind w:left="3600" w:hanging="360"/>
      </w:pPr>
    </w:lvl>
    <w:lvl w:ilvl="4" w:tplc="BAC0CC9C" w:tentative="1">
      <w:start w:val="1"/>
      <w:numFmt w:val="lowerLetter"/>
      <w:lvlText w:val="%5."/>
      <w:lvlJc w:val="left"/>
      <w:pPr>
        <w:ind w:left="4320" w:hanging="360"/>
      </w:pPr>
    </w:lvl>
    <w:lvl w:ilvl="5" w:tplc="19785A6E" w:tentative="1">
      <w:start w:val="1"/>
      <w:numFmt w:val="lowerRoman"/>
      <w:lvlText w:val="%6."/>
      <w:lvlJc w:val="right"/>
      <w:pPr>
        <w:ind w:left="5040" w:hanging="180"/>
      </w:pPr>
    </w:lvl>
    <w:lvl w:ilvl="6" w:tplc="ADBEBF10" w:tentative="1">
      <w:start w:val="1"/>
      <w:numFmt w:val="decimal"/>
      <w:lvlText w:val="%7."/>
      <w:lvlJc w:val="left"/>
      <w:pPr>
        <w:ind w:left="5760" w:hanging="360"/>
      </w:pPr>
    </w:lvl>
    <w:lvl w:ilvl="7" w:tplc="5FF811A4" w:tentative="1">
      <w:start w:val="1"/>
      <w:numFmt w:val="lowerLetter"/>
      <w:lvlText w:val="%8."/>
      <w:lvlJc w:val="left"/>
      <w:pPr>
        <w:ind w:left="6480" w:hanging="360"/>
      </w:pPr>
    </w:lvl>
    <w:lvl w:ilvl="8" w:tplc="458ED55C" w:tentative="1">
      <w:start w:val="1"/>
      <w:numFmt w:val="lowerRoman"/>
      <w:lvlText w:val="%9."/>
      <w:lvlJc w:val="right"/>
      <w:pPr>
        <w:ind w:left="7200" w:hanging="180"/>
      </w:pPr>
    </w:lvl>
  </w:abstractNum>
  <w:abstractNum w:abstractNumId="7" w15:restartNumberingAfterBreak="0">
    <w:nsid w:val="5CF45636"/>
    <w:multiLevelType w:val="hybridMultilevel"/>
    <w:tmpl w:val="1E1A368C"/>
    <w:lvl w:ilvl="0" w:tplc="9AD45974">
      <w:start w:val="1"/>
      <w:numFmt w:val="bullet"/>
      <w:lvlText w:val=""/>
      <w:lvlJc w:val="left"/>
      <w:pPr>
        <w:ind w:left="720" w:hanging="360"/>
      </w:pPr>
      <w:rPr>
        <w:rFonts w:ascii="Symbol" w:hAnsi="Symbol" w:hint="default"/>
      </w:rPr>
    </w:lvl>
    <w:lvl w:ilvl="1" w:tplc="48846400">
      <w:start w:val="1"/>
      <w:numFmt w:val="bullet"/>
      <w:lvlText w:val="o"/>
      <w:lvlJc w:val="left"/>
      <w:pPr>
        <w:ind w:left="1440" w:hanging="360"/>
      </w:pPr>
      <w:rPr>
        <w:rFonts w:ascii="Courier New" w:hAnsi="Courier New" w:cs="Courier New" w:hint="default"/>
      </w:rPr>
    </w:lvl>
    <w:lvl w:ilvl="2" w:tplc="E38C1F8C">
      <w:start w:val="1"/>
      <w:numFmt w:val="bullet"/>
      <w:lvlText w:val=""/>
      <w:lvlJc w:val="left"/>
      <w:pPr>
        <w:ind w:left="2160" w:hanging="360"/>
      </w:pPr>
      <w:rPr>
        <w:rFonts w:ascii="Wingdings" w:hAnsi="Wingdings" w:hint="default"/>
      </w:rPr>
    </w:lvl>
    <w:lvl w:ilvl="3" w:tplc="9A7E5B4A">
      <w:start w:val="1"/>
      <w:numFmt w:val="bullet"/>
      <w:lvlText w:val=""/>
      <w:lvlJc w:val="left"/>
      <w:pPr>
        <w:ind w:left="2880" w:hanging="360"/>
      </w:pPr>
      <w:rPr>
        <w:rFonts w:ascii="Symbol" w:hAnsi="Symbol" w:hint="default"/>
      </w:rPr>
    </w:lvl>
    <w:lvl w:ilvl="4" w:tplc="B5ECD0EA">
      <w:start w:val="1"/>
      <w:numFmt w:val="bullet"/>
      <w:lvlText w:val="o"/>
      <w:lvlJc w:val="left"/>
      <w:pPr>
        <w:ind w:left="3600" w:hanging="360"/>
      </w:pPr>
      <w:rPr>
        <w:rFonts w:ascii="Courier New" w:hAnsi="Courier New" w:cs="Courier New" w:hint="default"/>
      </w:rPr>
    </w:lvl>
    <w:lvl w:ilvl="5" w:tplc="1D32490C">
      <w:start w:val="1"/>
      <w:numFmt w:val="bullet"/>
      <w:lvlText w:val=""/>
      <w:lvlJc w:val="left"/>
      <w:pPr>
        <w:ind w:left="4320" w:hanging="360"/>
      </w:pPr>
      <w:rPr>
        <w:rFonts w:ascii="Wingdings" w:hAnsi="Wingdings" w:hint="default"/>
      </w:rPr>
    </w:lvl>
    <w:lvl w:ilvl="6" w:tplc="CFDCC562">
      <w:start w:val="1"/>
      <w:numFmt w:val="bullet"/>
      <w:lvlText w:val=""/>
      <w:lvlJc w:val="left"/>
      <w:pPr>
        <w:ind w:left="5040" w:hanging="360"/>
      </w:pPr>
      <w:rPr>
        <w:rFonts w:ascii="Symbol" w:hAnsi="Symbol" w:hint="default"/>
      </w:rPr>
    </w:lvl>
    <w:lvl w:ilvl="7" w:tplc="B4941186">
      <w:start w:val="1"/>
      <w:numFmt w:val="bullet"/>
      <w:lvlText w:val="o"/>
      <w:lvlJc w:val="left"/>
      <w:pPr>
        <w:ind w:left="5760" w:hanging="360"/>
      </w:pPr>
      <w:rPr>
        <w:rFonts w:ascii="Courier New" w:hAnsi="Courier New" w:cs="Courier New" w:hint="default"/>
      </w:rPr>
    </w:lvl>
    <w:lvl w:ilvl="8" w:tplc="7D606F88">
      <w:start w:val="1"/>
      <w:numFmt w:val="bullet"/>
      <w:lvlText w:val=""/>
      <w:lvlJc w:val="left"/>
      <w:pPr>
        <w:ind w:left="6480" w:hanging="360"/>
      </w:pPr>
      <w:rPr>
        <w:rFonts w:ascii="Wingdings" w:hAnsi="Wingdings" w:hint="default"/>
      </w:rPr>
    </w:lvl>
  </w:abstractNum>
  <w:abstractNum w:abstractNumId="8" w15:restartNumberingAfterBreak="0">
    <w:nsid w:val="60223959"/>
    <w:multiLevelType w:val="hybridMultilevel"/>
    <w:tmpl w:val="4008045E"/>
    <w:lvl w:ilvl="0" w:tplc="546E6C34">
      <w:start w:val="1"/>
      <w:numFmt w:val="decimal"/>
      <w:lvlText w:val="%1."/>
      <w:lvlJc w:val="left"/>
      <w:pPr>
        <w:ind w:left="1080" w:hanging="720"/>
      </w:pPr>
    </w:lvl>
    <w:lvl w:ilvl="1" w:tplc="9FBC6810">
      <w:start w:val="1"/>
      <w:numFmt w:val="lowerLetter"/>
      <w:lvlText w:val="%2."/>
      <w:lvlJc w:val="left"/>
      <w:pPr>
        <w:ind w:left="1440" w:hanging="360"/>
      </w:pPr>
    </w:lvl>
    <w:lvl w:ilvl="2" w:tplc="B14419D0">
      <w:start w:val="1"/>
      <w:numFmt w:val="lowerRoman"/>
      <w:lvlText w:val="%3."/>
      <w:lvlJc w:val="right"/>
      <w:pPr>
        <w:ind w:left="2160" w:hanging="180"/>
      </w:pPr>
    </w:lvl>
    <w:lvl w:ilvl="3" w:tplc="AF501DD2">
      <w:start w:val="1"/>
      <w:numFmt w:val="decimal"/>
      <w:lvlText w:val="%4."/>
      <w:lvlJc w:val="left"/>
      <w:pPr>
        <w:ind w:left="2880" w:hanging="360"/>
      </w:pPr>
    </w:lvl>
    <w:lvl w:ilvl="4" w:tplc="6D024AF2">
      <w:start w:val="1"/>
      <w:numFmt w:val="lowerLetter"/>
      <w:lvlText w:val="%5."/>
      <w:lvlJc w:val="left"/>
      <w:pPr>
        <w:ind w:left="3600" w:hanging="360"/>
      </w:pPr>
    </w:lvl>
    <w:lvl w:ilvl="5" w:tplc="AC56DE76">
      <w:start w:val="1"/>
      <w:numFmt w:val="lowerRoman"/>
      <w:lvlText w:val="%6."/>
      <w:lvlJc w:val="right"/>
      <w:pPr>
        <w:ind w:left="4320" w:hanging="180"/>
      </w:pPr>
    </w:lvl>
    <w:lvl w:ilvl="6" w:tplc="1200DBB8">
      <w:start w:val="1"/>
      <w:numFmt w:val="decimal"/>
      <w:lvlText w:val="%7."/>
      <w:lvlJc w:val="left"/>
      <w:pPr>
        <w:ind w:left="5040" w:hanging="360"/>
      </w:pPr>
    </w:lvl>
    <w:lvl w:ilvl="7" w:tplc="C27C8442">
      <w:start w:val="1"/>
      <w:numFmt w:val="lowerLetter"/>
      <w:lvlText w:val="%8."/>
      <w:lvlJc w:val="left"/>
      <w:pPr>
        <w:ind w:left="5760" w:hanging="360"/>
      </w:pPr>
    </w:lvl>
    <w:lvl w:ilvl="8" w:tplc="7B0E505C">
      <w:start w:val="1"/>
      <w:numFmt w:val="lowerRoman"/>
      <w:lvlText w:val="%9."/>
      <w:lvlJc w:val="right"/>
      <w:pPr>
        <w:ind w:left="6480" w:hanging="180"/>
      </w:pPr>
    </w:lvl>
  </w:abstractNum>
  <w:abstractNum w:abstractNumId="9" w15:restartNumberingAfterBreak="0">
    <w:nsid w:val="713269E3"/>
    <w:multiLevelType w:val="hybridMultilevel"/>
    <w:tmpl w:val="6F72E632"/>
    <w:lvl w:ilvl="0" w:tplc="A3A8FE22">
      <w:start w:val="3"/>
      <w:numFmt w:val="decimal"/>
      <w:lvlText w:val="%1."/>
      <w:lvlJc w:val="left"/>
      <w:pPr>
        <w:ind w:left="1440" w:hanging="360"/>
      </w:pPr>
      <w:rPr>
        <w:rFonts w:hint="default"/>
      </w:rPr>
    </w:lvl>
    <w:lvl w:ilvl="1" w:tplc="E7D46290" w:tentative="1">
      <w:start w:val="1"/>
      <w:numFmt w:val="lowerLetter"/>
      <w:lvlText w:val="%2."/>
      <w:lvlJc w:val="left"/>
      <w:pPr>
        <w:ind w:left="2160" w:hanging="360"/>
      </w:pPr>
    </w:lvl>
    <w:lvl w:ilvl="2" w:tplc="9D4E4BCC" w:tentative="1">
      <w:start w:val="1"/>
      <w:numFmt w:val="lowerRoman"/>
      <w:lvlText w:val="%3."/>
      <w:lvlJc w:val="right"/>
      <w:pPr>
        <w:ind w:left="2880" w:hanging="180"/>
      </w:pPr>
    </w:lvl>
    <w:lvl w:ilvl="3" w:tplc="34445E92" w:tentative="1">
      <w:start w:val="1"/>
      <w:numFmt w:val="decimal"/>
      <w:lvlText w:val="%4."/>
      <w:lvlJc w:val="left"/>
      <w:pPr>
        <w:ind w:left="3600" w:hanging="360"/>
      </w:pPr>
    </w:lvl>
    <w:lvl w:ilvl="4" w:tplc="7E98E976" w:tentative="1">
      <w:start w:val="1"/>
      <w:numFmt w:val="lowerLetter"/>
      <w:lvlText w:val="%5."/>
      <w:lvlJc w:val="left"/>
      <w:pPr>
        <w:ind w:left="4320" w:hanging="360"/>
      </w:pPr>
    </w:lvl>
    <w:lvl w:ilvl="5" w:tplc="05F268EA" w:tentative="1">
      <w:start w:val="1"/>
      <w:numFmt w:val="lowerRoman"/>
      <w:lvlText w:val="%6."/>
      <w:lvlJc w:val="right"/>
      <w:pPr>
        <w:ind w:left="5040" w:hanging="180"/>
      </w:pPr>
    </w:lvl>
    <w:lvl w:ilvl="6" w:tplc="6518BCC4" w:tentative="1">
      <w:start w:val="1"/>
      <w:numFmt w:val="decimal"/>
      <w:lvlText w:val="%7."/>
      <w:lvlJc w:val="left"/>
      <w:pPr>
        <w:ind w:left="5760" w:hanging="360"/>
      </w:pPr>
    </w:lvl>
    <w:lvl w:ilvl="7" w:tplc="39B2E53E" w:tentative="1">
      <w:start w:val="1"/>
      <w:numFmt w:val="lowerLetter"/>
      <w:lvlText w:val="%8."/>
      <w:lvlJc w:val="left"/>
      <w:pPr>
        <w:ind w:left="6480" w:hanging="360"/>
      </w:pPr>
    </w:lvl>
    <w:lvl w:ilvl="8" w:tplc="FB2EDA9E" w:tentative="1">
      <w:start w:val="1"/>
      <w:numFmt w:val="lowerRoman"/>
      <w:lvlText w:val="%9."/>
      <w:lvlJc w:val="right"/>
      <w:pPr>
        <w:ind w:left="7200" w:hanging="180"/>
      </w:pPr>
    </w:lvl>
  </w:abstractNum>
  <w:abstractNum w:abstractNumId="10" w15:restartNumberingAfterBreak="0">
    <w:nsid w:val="76DD5604"/>
    <w:multiLevelType w:val="hybridMultilevel"/>
    <w:tmpl w:val="5678D32C"/>
    <w:lvl w:ilvl="0" w:tplc="0F80E558">
      <w:start w:val="1"/>
      <w:numFmt w:val="lowerLetter"/>
      <w:lvlText w:val="%1."/>
      <w:lvlJc w:val="left"/>
      <w:pPr>
        <w:ind w:left="1800" w:hanging="360"/>
      </w:pPr>
      <w:rPr>
        <w:rFonts w:hint="default"/>
        <w:i w:val="0"/>
      </w:rPr>
    </w:lvl>
    <w:lvl w:ilvl="1" w:tplc="105E67B0" w:tentative="1">
      <w:start w:val="1"/>
      <w:numFmt w:val="lowerLetter"/>
      <w:lvlText w:val="%2."/>
      <w:lvlJc w:val="left"/>
      <w:pPr>
        <w:ind w:left="2520" w:hanging="360"/>
      </w:pPr>
    </w:lvl>
    <w:lvl w:ilvl="2" w:tplc="699612FC" w:tentative="1">
      <w:start w:val="1"/>
      <w:numFmt w:val="lowerRoman"/>
      <w:lvlText w:val="%3."/>
      <w:lvlJc w:val="right"/>
      <w:pPr>
        <w:ind w:left="3240" w:hanging="180"/>
      </w:pPr>
    </w:lvl>
    <w:lvl w:ilvl="3" w:tplc="9D8A1FCE" w:tentative="1">
      <w:start w:val="1"/>
      <w:numFmt w:val="decimal"/>
      <w:lvlText w:val="%4."/>
      <w:lvlJc w:val="left"/>
      <w:pPr>
        <w:ind w:left="3960" w:hanging="360"/>
      </w:pPr>
    </w:lvl>
    <w:lvl w:ilvl="4" w:tplc="89EE0EB4" w:tentative="1">
      <w:start w:val="1"/>
      <w:numFmt w:val="lowerLetter"/>
      <w:lvlText w:val="%5."/>
      <w:lvlJc w:val="left"/>
      <w:pPr>
        <w:ind w:left="4680" w:hanging="360"/>
      </w:pPr>
    </w:lvl>
    <w:lvl w:ilvl="5" w:tplc="6A34E9F0" w:tentative="1">
      <w:start w:val="1"/>
      <w:numFmt w:val="lowerRoman"/>
      <w:lvlText w:val="%6."/>
      <w:lvlJc w:val="right"/>
      <w:pPr>
        <w:ind w:left="5400" w:hanging="180"/>
      </w:pPr>
    </w:lvl>
    <w:lvl w:ilvl="6" w:tplc="43101080" w:tentative="1">
      <w:start w:val="1"/>
      <w:numFmt w:val="decimal"/>
      <w:lvlText w:val="%7."/>
      <w:lvlJc w:val="left"/>
      <w:pPr>
        <w:ind w:left="6120" w:hanging="360"/>
      </w:pPr>
    </w:lvl>
    <w:lvl w:ilvl="7" w:tplc="6116F9FE" w:tentative="1">
      <w:start w:val="1"/>
      <w:numFmt w:val="lowerLetter"/>
      <w:lvlText w:val="%8."/>
      <w:lvlJc w:val="left"/>
      <w:pPr>
        <w:ind w:left="6840" w:hanging="360"/>
      </w:pPr>
    </w:lvl>
    <w:lvl w:ilvl="8" w:tplc="35C662C2" w:tentative="1">
      <w:start w:val="1"/>
      <w:numFmt w:val="lowerRoman"/>
      <w:lvlText w:val="%9."/>
      <w:lvlJc w:val="right"/>
      <w:pPr>
        <w:ind w:left="7560" w:hanging="180"/>
      </w:pPr>
    </w:lvl>
  </w:abstractNum>
  <w:abstractNum w:abstractNumId="11" w15:restartNumberingAfterBreak="0">
    <w:nsid w:val="7DFB645B"/>
    <w:multiLevelType w:val="hybridMultilevel"/>
    <w:tmpl w:val="4B1275C0"/>
    <w:lvl w:ilvl="0" w:tplc="03229B46">
      <w:start w:val="2"/>
      <w:numFmt w:val="bullet"/>
      <w:lvlText w:val="-"/>
      <w:lvlJc w:val="left"/>
      <w:pPr>
        <w:ind w:left="4740" w:hanging="360"/>
      </w:pPr>
      <w:rPr>
        <w:rFonts w:ascii="Times New Roman" w:eastAsiaTheme="minorHAnsi" w:hAnsi="Times New Roman" w:cs="Times New Roman" w:hint="default"/>
      </w:rPr>
    </w:lvl>
    <w:lvl w:ilvl="1" w:tplc="4C06F7C8" w:tentative="1">
      <w:start w:val="1"/>
      <w:numFmt w:val="bullet"/>
      <w:lvlText w:val="o"/>
      <w:lvlJc w:val="left"/>
      <w:pPr>
        <w:ind w:left="5460" w:hanging="360"/>
      </w:pPr>
      <w:rPr>
        <w:rFonts w:ascii="Courier New" w:hAnsi="Courier New" w:cs="Courier New" w:hint="default"/>
      </w:rPr>
    </w:lvl>
    <w:lvl w:ilvl="2" w:tplc="6994C04A" w:tentative="1">
      <w:start w:val="1"/>
      <w:numFmt w:val="bullet"/>
      <w:lvlText w:val=""/>
      <w:lvlJc w:val="left"/>
      <w:pPr>
        <w:ind w:left="6180" w:hanging="360"/>
      </w:pPr>
      <w:rPr>
        <w:rFonts w:ascii="Wingdings" w:hAnsi="Wingdings" w:hint="default"/>
      </w:rPr>
    </w:lvl>
    <w:lvl w:ilvl="3" w:tplc="75162E12" w:tentative="1">
      <w:start w:val="1"/>
      <w:numFmt w:val="bullet"/>
      <w:lvlText w:val=""/>
      <w:lvlJc w:val="left"/>
      <w:pPr>
        <w:ind w:left="6900" w:hanging="360"/>
      </w:pPr>
      <w:rPr>
        <w:rFonts w:ascii="Symbol" w:hAnsi="Symbol" w:hint="default"/>
      </w:rPr>
    </w:lvl>
    <w:lvl w:ilvl="4" w:tplc="E268638C" w:tentative="1">
      <w:start w:val="1"/>
      <w:numFmt w:val="bullet"/>
      <w:lvlText w:val="o"/>
      <w:lvlJc w:val="left"/>
      <w:pPr>
        <w:ind w:left="7620" w:hanging="360"/>
      </w:pPr>
      <w:rPr>
        <w:rFonts w:ascii="Courier New" w:hAnsi="Courier New" w:cs="Courier New" w:hint="default"/>
      </w:rPr>
    </w:lvl>
    <w:lvl w:ilvl="5" w:tplc="91A4A4CA" w:tentative="1">
      <w:start w:val="1"/>
      <w:numFmt w:val="bullet"/>
      <w:lvlText w:val=""/>
      <w:lvlJc w:val="left"/>
      <w:pPr>
        <w:ind w:left="8340" w:hanging="360"/>
      </w:pPr>
      <w:rPr>
        <w:rFonts w:ascii="Wingdings" w:hAnsi="Wingdings" w:hint="default"/>
      </w:rPr>
    </w:lvl>
    <w:lvl w:ilvl="6" w:tplc="85629776" w:tentative="1">
      <w:start w:val="1"/>
      <w:numFmt w:val="bullet"/>
      <w:lvlText w:val=""/>
      <w:lvlJc w:val="left"/>
      <w:pPr>
        <w:ind w:left="9060" w:hanging="360"/>
      </w:pPr>
      <w:rPr>
        <w:rFonts w:ascii="Symbol" w:hAnsi="Symbol" w:hint="default"/>
      </w:rPr>
    </w:lvl>
    <w:lvl w:ilvl="7" w:tplc="F4F644E8" w:tentative="1">
      <w:start w:val="1"/>
      <w:numFmt w:val="bullet"/>
      <w:lvlText w:val="o"/>
      <w:lvlJc w:val="left"/>
      <w:pPr>
        <w:ind w:left="9780" w:hanging="360"/>
      </w:pPr>
      <w:rPr>
        <w:rFonts w:ascii="Courier New" w:hAnsi="Courier New" w:cs="Courier New" w:hint="default"/>
      </w:rPr>
    </w:lvl>
    <w:lvl w:ilvl="8" w:tplc="FB78B3F0" w:tentative="1">
      <w:start w:val="1"/>
      <w:numFmt w:val="bullet"/>
      <w:lvlText w:val=""/>
      <w:lvlJc w:val="left"/>
      <w:pPr>
        <w:ind w:left="10500" w:hanging="360"/>
      </w:pPr>
      <w:rPr>
        <w:rFonts w:ascii="Wingdings" w:hAnsi="Wingdings" w:hint="default"/>
      </w:rPr>
    </w:lvl>
  </w:abstractNum>
  <w:num w:numId="1" w16cid:durableId="1200317435">
    <w:abstractNumId w:val="11"/>
  </w:num>
  <w:num w:numId="2" w16cid:durableId="1891914596">
    <w:abstractNumId w:val="4"/>
  </w:num>
  <w:num w:numId="3" w16cid:durableId="627666306">
    <w:abstractNumId w:val="1"/>
  </w:num>
  <w:num w:numId="4" w16cid:durableId="1975871818">
    <w:abstractNumId w:val="2"/>
  </w:num>
  <w:num w:numId="5" w16cid:durableId="1433359105">
    <w:abstractNumId w:val="3"/>
  </w:num>
  <w:num w:numId="6" w16cid:durableId="2098281486">
    <w:abstractNumId w:val="5"/>
  </w:num>
  <w:num w:numId="7" w16cid:durableId="1769154486">
    <w:abstractNumId w:val="10"/>
  </w:num>
  <w:num w:numId="8" w16cid:durableId="1988706846">
    <w:abstractNumId w:val="0"/>
  </w:num>
  <w:num w:numId="9" w16cid:durableId="1095902942">
    <w:abstractNumId w:val="6"/>
  </w:num>
  <w:num w:numId="10" w16cid:durableId="1373380095">
    <w:abstractNumId w:val="9"/>
  </w:num>
  <w:num w:numId="11" w16cid:durableId="18563820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9913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01"/>
    <w:rsid w:val="00000FF6"/>
    <w:rsid w:val="000018D2"/>
    <w:rsid w:val="00001D61"/>
    <w:rsid w:val="00002A7C"/>
    <w:rsid w:val="00002A85"/>
    <w:rsid w:val="000032E1"/>
    <w:rsid w:val="000038EC"/>
    <w:rsid w:val="00003947"/>
    <w:rsid w:val="00004776"/>
    <w:rsid w:val="00004BC3"/>
    <w:rsid w:val="00004D2E"/>
    <w:rsid w:val="00005009"/>
    <w:rsid w:val="000050A0"/>
    <w:rsid w:val="00007331"/>
    <w:rsid w:val="000078BA"/>
    <w:rsid w:val="00007FE9"/>
    <w:rsid w:val="00010362"/>
    <w:rsid w:val="00010BF5"/>
    <w:rsid w:val="00010E1B"/>
    <w:rsid w:val="000113D7"/>
    <w:rsid w:val="00011B0F"/>
    <w:rsid w:val="00011D4A"/>
    <w:rsid w:val="00011DE7"/>
    <w:rsid w:val="00011E41"/>
    <w:rsid w:val="00012770"/>
    <w:rsid w:val="0001283F"/>
    <w:rsid w:val="00013F2E"/>
    <w:rsid w:val="000155FE"/>
    <w:rsid w:val="000156B5"/>
    <w:rsid w:val="0001622C"/>
    <w:rsid w:val="0001641C"/>
    <w:rsid w:val="000166AD"/>
    <w:rsid w:val="0001670B"/>
    <w:rsid w:val="00016D31"/>
    <w:rsid w:val="000204EB"/>
    <w:rsid w:val="00020DD7"/>
    <w:rsid w:val="00020F0B"/>
    <w:rsid w:val="00021973"/>
    <w:rsid w:val="00022310"/>
    <w:rsid w:val="00022694"/>
    <w:rsid w:val="0002284D"/>
    <w:rsid w:val="00022D7A"/>
    <w:rsid w:val="00023732"/>
    <w:rsid w:val="00024581"/>
    <w:rsid w:val="000246EF"/>
    <w:rsid w:val="00025C40"/>
    <w:rsid w:val="00026CD7"/>
    <w:rsid w:val="000301D6"/>
    <w:rsid w:val="0003034E"/>
    <w:rsid w:val="0003076E"/>
    <w:rsid w:val="00030D18"/>
    <w:rsid w:val="0003134F"/>
    <w:rsid w:val="0003163D"/>
    <w:rsid w:val="00032E06"/>
    <w:rsid w:val="00033ADF"/>
    <w:rsid w:val="00033CCB"/>
    <w:rsid w:val="0003413A"/>
    <w:rsid w:val="0003513D"/>
    <w:rsid w:val="00035EA2"/>
    <w:rsid w:val="00035EE4"/>
    <w:rsid w:val="000363AF"/>
    <w:rsid w:val="00037022"/>
    <w:rsid w:val="00037E05"/>
    <w:rsid w:val="000407A2"/>
    <w:rsid w:val="00040F40"/>
    <w:rsid w:val="000413AA"/>
    <w:rsid w:val="0004168E"/>
    <w:rsid w:val="000420CA"/>
    <w:rsid w:val="00042767"/>
    <w:rsid w:val="00043121"/>
    <w:rsid w:val="000438F1"/>
    <w:rsid w:val="000439B5"/>
    <w:rsid w:val="00043A50"/>
    <w:rsid w:val="00044489"/>
    <w:rsid w:val="0004461E"/>
    <w:rsid w:val="00044D74"/>
    <w:rsid w:val="000453C9"/>
    <w:rsid w:val="00045687"/>
    <w:rsid w:val="00045CD0"/>
    <w:rsid w:val="00046151"/>
    <w:rsid w:val="00046576"/>
    <w:rsid w:val="00046CF7"/>
    <w:rsid w:val="000472E6"/>
    <w:rsid w:val="00047A25"/>
    <w:rsid w:val="0005005C"/>
    <w:rsid w:val="00050FEA"/>
    <w:rsid w:val="00051C3E"/>
    <w:rsid w:val="000522F7"/>
    <w:rsid w:val="00052C56"/>
    <w:rsid w:val="00053427"/>
    <w:rsid w:val="000538DD"/>
    <w:rsid w:val="00053A6A"/>
    <w:rsid w:val="00053CD8"/>
    <w:rsid w:val="00055317"/>
    <w:rsid w:val="0005553E"/>
    <w:rsid w:val="000565D6"/>
    <w:rsid w:val="00056FF7"/>
    <w:rsid w:val="00057728"/>
    <w:rsid w:val="000609AC"/>
    <w:rsid w:val="00060C82"/>
    <w:rsid w:val="00061164"/>
    <w:rsid w:val="000611E8"/>
    <w:rsid w:val="00061687"/>
    <w:rsid w:val="00061D23"/>
    <w:rsid w:val="000620DE"/>
    <w:rsid w:val="0006307D"/>
    <w:rsid w:val="00063CAA"/>
    <w:rsid w:val="00063F11"/>
    <w:rsid w:val="00064262"/>
    <w:rsid w:val="00064537"/>
    <w:rsid w:val="00064DF3"/>
    <w:rsid w:val="00065C9C"/>
    <w:rsid w:val="00065E1C"/>
    <w:rsid w:val="00066BE6"/>
    <w:rsid w:val="00066FF9"/>
    <w:rsid w:val="00067867"/>
    <w:rsid w:val="000700ED"/>
    <w:rsid w:val="00070641"/>
    <w:rsid w:val="000710CA"/>
    <w:rsid w:val="0007125F"/>
    <w:rsid w:val="00072AFD"/>
    <w:rsid w:val="00072C06"/>
    <w:rsid w:val="00072D9A"/>
    <w:rsid w:val="00072E45"/>
    <w:rsid w:val="00073867"/>
    <w:rsid w:val="00074440"/>
    <w:rsid w:val="00074D3E"/>
    <w:rsid w:val="000755E1"/>
    <w:rsid w:val="0007684B"/>
    <w:rsid w:val="000771D7"/>
    <w:rsid w:val="00077905"/>
    <w:rsid w:val="00080AEE"/>
    <w:rsid w:val="00080E82"/>
    <w:rsid w:val="00081226"/>
    <w:rsid w:val="0008123A"/>
    <w:rsid w:val="00081351"/>
    <w:rsid w:val="00082161"/>
    <w:rsid w:val="00083569"/>
    <w:rsid w:val="000838AE"/>
    <w:rsid w:val="00083A65"/>
    <w:rsid w:val="00084646"/>
    <w:rsid w:val="0008478F"/>
    <w:rsid w:val="00085035"/>
    <w:rsid w:val="000854CC"/>
    <w:rsid w:val="00085518"/>
    <w:rsid w:val="000864C2"/>
    <w:rsid w:val="00086E5C"/>
    <w:rsid w:val="00090AC7"/>
    <w:rsid w:val="000912F4"/>
    <w:rsid w:val="0009165A"/>
    <w:rsid w:val="00091A93"/>
    <w:rsid w:val="00092056"/>
    <w:rsid w:val="0009208F"/>
    <w:rsid w:val="000920D7"/>
    <w:rsid w:val="000921C6"/>
    <w:rsid w:val="000932F9"/>
    <w:rsid w:val="000935EB"/>
    <w:rsid w:val="000937AA"/>
    <w:rsid w:val="000937CD"/>
    <w:rsid w:val="00094251"/>
    <w:rsid w:val="00095707"/>
    <w:rsid w:val="00095841"/>
    <w:rsid w:val="000967EB"/>
    <w:rsid w:val="00096FCE"/>
    <w:rsid w:val="000974D6"/>
    <w:rsid w:val="00097640"/>
    <w:rsid w:val="00097679"/>
    <w:rsid w:val="00097ED3"/>
    <w:rsid w:val="00097F39"/>
    <w:rsid w:val="000A028C"/>
    <w:rsid w:val="000A0A24"/>
    <w:rsid w:val="000A0A2C"/>
    <w:rsid w:val="000A0CA1"/>
    <w:rsid w:val="000A1516"/>
    <w:rsid w:val="000A2EDF"/>
    <w:rsid w:val="000A31D4"/>
    <w:rsid w:val="000A39A8"/>
    <w:rsid w:val="000A42E5"/>
    <w:rsid w:val="000A4AB3"/>
    <w:rsid w:val="000A503A"/>
    <w:rsid w:val="000A6895"/>
    <w:rsid w:val="000A6C4F"/>
    <w:rsid w:val="000A6F57"/>
    <w:rsid w:val="000A76CF"/>
    <w:rsid w:val="000A7A3A"/>
    <w:rsid w:val="000A7BF3"/>
    <w:rsid w:val="000A7E3A"/>
    <w:rsid w:val="000B22E7"/>
    <w:rsid w:val="000B3FFA"/>
    <w:rsid w:val="000B48E9"/>
    <w:rsid w:val="000B4B81"/>
    <w:rsid w:val="000B562F"/>
    <w:rsid w:val="000B5874"/>
    <w:rsid w:val="000B6CE8"/>
    <w:rsid w:val="000B7252"/>
    <w:rsid w:val="000B742A"/>
    <w:rsid w:val="000B76A9"/>
    <w:rsid w:val="000C01B9"/>
    <w:rsid w:val="000C0541"/>
    <w:rsid w:val="000C27C0"/>
    <w:rsid w:val="000C2E97"/>
    <w:rsid w:val="000C3CAA"/>
    <w:rsid w:val="000C3EF3"/>
    <w:rsid w:val="000C48A4"/>
    <w:rsid w:val="000C491E"/>
    <w:rsid w:val="000C5827"/>
    <w:rsid w:val="000C5952"/>
    <w:rsid w:val="000C6223"/>
    <w:rsid w:val="000C63F6"/>
    <w:rsid w:val="000C657D"/>
    <w:rsid w:val="000C6838"/>
    <w:rsid w:val="000C784A"/>
    <w:rsid w:val="000D022D"/>
    <w:rsid w:val="000D0955"/>
    <w:rsid w:val="000D14A9"/>
    <w:rsid w:val="000D1CB5"/>
    <w:rsid w:val="000D1D23"/>
    <w:rsid w:val="000D22C9"/>
    <w:rsid w:val="000D279C"/>
    <w:rsid w:val="000D2E56"/>
    <w:rsid w:val="000D2ECF"/>
    <w:rsid w:val="000D2FEE"/>
    <w:rsid w:val="000D354D"/>
    <w:rsid w:val="000D3920"/>
    <w:rsid w:val="000D3AE4"/>
    <w:rsid w:val="000D3BE4"/>
    <w:rsid w:val="000D3CEC"/>
    <w:rsid w:val="000D45F8"/>
    <w:rsid w:val="000D461A"/>
    <w:rsid w:val="000D58BE"/>
    <w:rsid w:val="000D5A85"/>
    <w:rsid w:val="000D66C3"/>
    <w:rsid w:val="000D6B01"/>
    <w:rsid w:val="000D7928"/>
    <w:rsid w:val="000D7A63"/>
    <w:rsid w:val="000D7C96"/>
    <w:rsid w:val="000D7FEB"/>
    <w:rsid w:val="000E0CEA"/>
    <w:rsid w:val="000E1703"/>
    <w:rsid w:val="000E1A50"/>
    <w:rsid w:val="000E1DDC"/>
    <w:rsid w:val="000E2479"/>
    <w:rsid w:val="000E2BF4"/>
    <w:rsid w:val="000E2FEE"/>
    <w:rsid w:val="000E30EE"/>
    <w:rsid w:val="000E34AB"/>
    <w:rsid w:val="000E3A4F"/>
    <w:rsid w:val="000E4333"/>
    <w:rsid w:val="000E5350"/>
    <w:rsid w:val="000E5959"/>
    <w:rsid w:val="000E6294"/>
    <w:rsid w:val="000F00B0"/>
    <w:rsid w:val="000F0C6C"/>
    <w:rsid w:val="000F0DEA"/>
    <w:rsid w:val="000F2125"/>
    <w:rsid w:val="000F2A49"/>
    <w:rsid w:val="000F3C08"/>
    <w:rsid w:val="000F417B"/>
    <w:rsid w:val="000F4382"/>
    <w:rsid w:val="000F49E4"/>
    <w:rsid w:val="000F4F1F"/>
    <w:rsid w:val="000F530F"/>
    <w:rsid w:val="000F56C0"/>
    <w:rsid w:val="000F5734"/>
    <w:rsid w:val="000F641E"/>
    <w:rsid w:val="000F65F3"/>
    <w:rsid w:val="000F6BF8"/>
    <w:rsid w:val="000F73C3"/>
    <w:rsid w:val="000F7458"/>
    <w:rsid w:val="000F7F33"/>
    <w:rsid w:val="00100279"/>
    <w:rsid w:val="001007A5"/>
    <w:rsid w:val="0010182B"/>
    <w:rsid w:val="001029FA"/>
    <w:rsid w:val="00102EC8"/>
    <w:rsid w:val="0010354D"/>
    <w:rsid w:val="001036EC"/>
    <w:rsid w:val="00103D61"/>
    <w:rsid w:val="0010407B"/>
    <w:rsid w:val="00104948"/>
    <w:rsid w:val="00104BAD"/>
    <w:rsid w:val="00104EA8"/>
    <w:rsid w:val="00105163"/>
    <w:rsid w:val="00105798"/>
    <w:rsid w:val="00105967"/>
    <w:rsid w:val="00105C72"/>
    <w:rsid w:val="0010626F"/>
    <w:rsid w:val="00106BBE"/>
    <w:rsid w:val="00107779"/>
    <w:rsid w:val="00107D3D"/>
    <w:rsid w:val="00111101"/>
    <w:rsid w:val="00111CAD"/>
    <w:rsid w:val="00112E8A"/>
    <w:rsid w:val="0011326E"/>
    <w:rsid w:val="00113B2F"/>
    <w:rsid w:val="00113BE4"/>
    <w:rsid w:val="00114046"/>
    <w:rsid w:val="0011489C"/>
    <w:rsid w:val="00114A52"/>
    <w:rsid w:val="00114D23"/>
    <w:rsid w:val="001167A8"/>
    <w:rsid w:val="00117C54"/>
    <w:rsid w:val="001205DD"/>
    <w:rsid w:val="00120B34"/>
    <w:rsid w:val="00121518"/>
    <w:rsid w:val="00121E5B"/>
    <w:rsid w:val="00122CF3"/>
    <w:rsid w:val="00122EF3"/>
    <w:rsid w:val="00123C82"/>
    <w:rsid w:val="001245DD"/>
    <w:rsid w:val="00124AE1"/>
    <w:rsid w:val="00125152"/>
    <w:rsid w:val="00125208"/>
    <w:rsid w:val="001258BF"/>
    <w:rsid w:val="00125918"/>
    <w:rsid w:val="001301BF"/>
    <w:rsid w:val="001304B6"/>
    <w:rsid w:val="00131655"/>
    <w:rsid w:val="001324D0"/>
    <w:rsid w:val="001338ED"/>
    <w:rsid w:val="00133B85"/>
    <w:rsid w:val="00134867"/>
    <w:rsid w:val="00134A08"/>
    <w:rsid w:val="00134B8C"/>
    <w:rsid w:val="00134D9C"/>
    <w:rsid w:val="001354E2"/>
    <w:rsid w:val="001358BA"/>
    <w:rsid w:val="001362D2"/>
    <w:rsid w:val="0014038B"/>
    <w:rsid w:val="001406BD"/>
    <w:rsid w:val="001407A4"/>
    <w:rsid w:val="00140F88"/>
    <w:rsid w:val="0014107C"/>
    <w:rsid w:val="0014156A"/>
    <w:rsid w:val="0014208A"/>
    <w:rsid w:val="001423C9"/>
    <w:rsid w:val="00142BB7"/>
    <w:rsid w:val="001431B0"/>
    <w:rsid w:val="001431B6"/>
    <w:rsid w:val="0014339D"/>
    <w:rsid w:val="00143811"/>
    <w:rsid w:val="001440DC"/>
    <w:rsid w:val="001443F5"/>
    <w:rsid w:val="0014452D"/>
    <w:rsid w:val="00144C51"/>
    <w:rsid w:val="0014566B"/>
    <w:rsid w:val="0014575A"/>
    <w:rsid w:val="00145E8C"/>
    <w:rsid w:val="001461B2"/>
    <w:rsid w:val="001466AA"/>
    <w:rsid w:val="0015039E"/>
    <w:rsid w:val="00150413"/>
    <w:rsid w:val="00150B8C"/>
    <w:rsid w:val="00150DE0"/>
    <w:rsid w:val="00150E56"/>
    <w:rsid w:val="00151F6F"/>
    <w:rsid w:val="00151FD2"/>
    <w:rsid w:val="0015215B"/>
    <w:rsid w:val="0015284B"/>
    <w:rsid w:val="001529F6"/>
    <w:rsid w:val="00152B93"/>
    <w:rsid w:val="001538B2"/>
    <w:rsid w:val="00154A1C"/>
    <w:rsid w:val="00154C69"/>
    <w:rsid w:val="0015509E"/>
    <w:rsid w:val="00155222"/>
    <w:rsid w:val="00156E8D"/>
    <w:rsid w:val="0015723B"/>
    <w:rsid w:val="001574E0"/>
    <w:rsid w:val="001600FA"/>
    <w:rsid w:val="001609CC"/>
    <w:rsid w:val="00160A55"/>
    <w:rsid w:val="00160DAB"/>
    <w:rsid w:val="00160EA4"/>
    <w:rsid w:val="00161FB6"/>
    <w:rsid w:val="00162C4B"/>
    <w:rsid w:val="00163256"/>
    <w:rsid w:val="001639DB"/>
    <w:rsid w:val="001648FC"/>
    <w:rsid w:val="00165E50"/>
    <w:rsid w:val="0016641B"/>
    <w:rsid w:val="001669C6"/>
    <w:rsid w:val="00166AEC"/>
    <w:rsid w:val="00166C99"/>
    <w:rsid w:val="00167473"/>
    <w:rsid w:val="00167AAD"/>
    <w:rsid w:val="00167FCC"/>
    <w:rsid w:val="00170108"/>
    <w:rsid w:val="00170392"/>
    <w:rsid w:val="0017056F"/>
    <w:rsid w:val="00170D33"/>
    <w:rsid w:val="00170F50"/>
    <w:rsid w:val="001712C7"/>
    <w:rsid w:val="00171FDB"/>
    <w:rsid w:val="00172642"/>
    <w:rsid w:val="0017271E"/>
    <w:rsid w:val="001735EE"/>
    <w:rsid w:val="00173A65"/>
    <w:rsid w:val="00174209"/>
    <w:rsid w:val="001755D7"/>
    <w:rsid w:val="001755E2"/>
    <w:rsid w:val="0017667A"/>
    <w:rsid w:val="00176EDF"/>
    <w:rsid w:val="00176FE5"/>
    <w:rsid w:val="001776C7"/>
    <w:rsid w:val="0018021A"/>
    <w:rsid w:val="00180A22"/>
    <w:rsid w:val="0018176A"/>
    <w:rsid w:val="00182205"/>
    <w:rsid w:val="00182F97"/>
    <w:rsid w:val="00183105"/>
    <w:rsid w:val="001834EF"/>
    <w:rsid w:val="001836C0"/>
    <w:rsid w:val="00183754"/>
    <w:rsid w:val="00185BAA"/>
    <w:rsid w:val="001860F7"/>
    <w:rsid w:val="00186EDE"/>
    <w:rsid w:val="00187383"/>
    <w:rsid w:val="00187958"/>
    <w:rsid w:val="00187B0C"/>
    <w:rsid w:val="00187B6A"/>
    <w:rsid w:val="00191C42"/>
    <w:rsid w:val="001923F8"/>
    <w:rsid w:val="001925FF"/>
    <w:rsid w:val="00193C16"/>
    <w:rsid w:val="00193CAA"/>
    <w:rsid w:val="00194006"/>
    <w:rsid w:val="0019524F"/>
    <w:rsid w:val="00195B64"/>
    <w:rsid w:val="001969AA"/>
    <w:rsid w:val="00197349"/>
    <w:rsid w:val="0019798A"/>
    <w:rsid w:val="001A0EA8"/>
    <w:rsid w:val="001A17A5"/>
    <w:rsid w:val="001A2000"/>
    <w:rsid w:val="001A2F02"/>
    <w:rsid w:val="001A3ACC"/>
    <w:rsid w:val="001A3F8A"/>
    <w:rsid w:val="001A4010"/>
    <w:rsid w:val="001A4169"/>
    <w:rsid w:val="001A55D9"/>
    <w:rsid w:val="001A55E0"/>
    <w:rsid w:val="001A5835"/>
    <w:rsid w:val="001A6443"/>
    <w:rsid w:val="001A6820"/>
    <w:rsid w:val="001A6C82"/>
    <w:rsid w:val="001A751E"/>
    <w:rsid w:val="001A7713"/>
    <w:rsid w:val="001B0D06"/>
    <w:rsid w:val="001B1564"/>
    <w:rsid w:val="001B1646"/>
    <w:rsid w:val="001B2285"/>
    <w:rsid w:val="001B238C"/>
    <w:rsid w:val="001B3C2A"/>
    <w:rsid w:val="001B4920"/>
    <w:rsid w:val="001B4C44"/>
    <w:rsid w:val="001B4C8F"/>
    <w:rsid w:val="001B6991"/>
    <w:rsid w:val="001B7E2B"/>
    <w:rsid w:val="001C03F0"/>
    <w:rsid w:val="001C06DA"/>
    <w:rsid w:val="001C0AE5"/>
    <w:rsid w:val="001C11F1"/>
    <w:rsid w:val="001C2B73"/>
    <w:rsid w:val="001C2B80"/>
    <w:rsid w:val="001C2F3B"/>
    <w:rsid w:val="001C373D"/>
    <w:rsid w:val="001C4D4D"/>
    <w:rsid w:val="001C604C"/>
    <w:rsid w:val="001C6377"/>
    <w:rsid w:val="001C64C1"/>
    <w:rsid w:val="001C78C4"/>
    <w:rsid w:val="001C78F9"/>
    <w:rsid w:val="001D1481"/>
    <w:rsid w:val="001D262B"/>
    <w:rsid w:val="001D2F93"/>
    <w:rsid w:val="001D42DD"/>
    <w:rsid w:val="001D4D51"/>
    <w:rsid w:val="001D5223"/>
    <w:rsid w:val="001D56B2"/>
    <w:rsid w:val="001D5AED"/>
    <w:rsid w:val="001D5D29"/>
    <w:rsid w:val="001D631B"/>
    <w:rsid w:val="001D65D3"/>
    <w:rsid w:val="001D7095"/>
    <w:rsid w:val="001D718C"/>
    <w:rsid w:val="001D7F54"/>
    <w:rsid w:val="001E062A"/>
    <w:rsid w:val="001E0BDD"/>
    <w:rsid w:val="001E1C47"/>
    <w:rsid w:val="001E1CFA"/>
    <w:rsid w:val="001E1D55"/>
    <w:rsid w:val="001E231F"/>
    <w:rsid w:val="001E2BDC"/>
    <w:rsid w:val="001E3153"/>
    <w:rsid w:val="001E3B4F"/>
    <w:rsid w:val="001E3C35"/>
    <w:rsid w:val="001E439B"/>
    <w:rsid w:val="001E445A"/>
    <w:rsid w:val="001E6983"/>
    <w:rsid w:val="001E6E6B"/>
    <w:rsid w:val="001E7B29"/>
    <w:rsid w:val="001F01F3"/>
    <w:rsid w:val="001F06B9"/>
    <w:rsid w:val="001F1807"/>
    <w:rsid w:val="001F1E6A"/>
    <w:rsid w:val="001F33B4"/>
    <w:rsid w:val="001F39DA"/>
    <w:rsid w:val="001F3EDB"/>
    <w:rsid w:val="001F3F48"/>
    <w:rsid w:val="001F4139"/>
    <w:rsid w:val="001F42ED"/>
    <w:rsid w:val="001F4419"/>
    <w:rsid w:val="001F5EA9"/>
    <w:rsid w:val="001F6003"/>
    <w:rsid w:val="001F6371"/>
    <w:rsid w:val="001F6A59"/>
    <w:rsid w:val="001F6D18"/>
    <w:rsid w:val="001F6E33"/>
    <w:rsid w:val="001F7A2E"/>
    <w:rsid w:val="00200B70"/>
    <w:rsid w:val="00202379"/>
    <w:rsid w:val="00202BD0"/>
    <w:rsid w:val="00203160"/>
    <w:rsid w:val="00203192"/>
    <w:rsid w:val="00203B04"/>
    <w:rsid w:val="00203B8B"/>
    <w:rsid w:val="00203DF3"/>
    <w:rsid w:val="00204AAB"/>
    <w:rsid w:val="00204B57"/>
    <w:rsid w:val="00204D64"/>
    <w:rsid w:val="00204D6D"/>
    <w:rsid w:val="002062A3"/>
    <w:rsid w:val="00206634"/>
    <w:rsid w:val="00206EB9"/>
    <w:rsid w:val="00206F7A"/>
    <w:rsid w:val="00207866"/>
    <w:rsid w:val="00207A6B"/>
    <w:rsid w:val="002102F7"/>
    <w:rsid w:val="0021036C"/>
    <w:rsid w:val="00210488"/>
    <w:rsid w:val="002110B2"/>
    <w:rsid w:val="0021127B"/>
    <w:rsid w:val="0021158A"/>
    <w:rsid w:val="00211A24"/>
    <w:rsid w:val="00211C20"/>
    <w:rsid w:val="00212055"/>
    <w:rsid w:val="002121C7"/>
    <w:rsid w:val="00212A95"/>
    <w:rsid w:val="00213023"/>
    <w:rsid w:val="00213755"/>
    <w:rsid w:val="00214175"/>
    <w:rsid w:val="002143EA"/>
    <w:rsid w:val="0021480D"/>
    <w:rsid w:val="00215453"/>
    <w:rsid w:val="00215BB9"/>
    <w:rsid w:val="002160B8"/>
    <w:rsid w:val="00216C6F"/>
    <w:rsid w:val="002172E6"/>
    <w:rsid w:val="002173DF"/>
    <w:rsid w:val="0022008B"/>
    <w:rsid w:val="00221166"/>
    <w:rsid w:val="00221811"/>
    <w:rsid w:val="0022271D"/>
    <w:rsid w:val="0022330D"/>
    <w:rsid w:val="0022416A"/>
    <w:rsid w:val="00224B37"/>
    <w:rsid w:val="00224FF9"/>
    <w:rsid w:val="00225D32"/>
    <w:rsid w:val="00227B31"/>
    <w:rsid w:val="00227DA0"/>
    <w:rsid w:val="002310A1"/>
    <w:rsid w:val="00233161"/>
    <w:rsid w:val="00233500"/>
    <w:rsid w:val="002335AE"/>
    <w:rsid w:val="0023471F"/>
    <w:rsid w:val="00237592"/>
    <w:rsid w:val="002375D4"/>
    <w:rsid w:val="00237729"/>
    <w:rsid w:val="002407B7"/>
    <w:rsid w:val="00240A4A"/>
    <w:rsid w:val="00241416"/>
    <w:rsid w:val="00243BED"/>
    <w:rsid w:val="00243CB0"/>
    <w:rsid w:val="00243F0A"/>
    <w:rsid w:val="002440F4"/>
    <w:rsid w:val="0024423B"/>
    <w:rsid w:val="002453B0"/>
    <w:rsid w:val="0024553A"/>
    <w:rsid w:val="0024623A"/>
    <w:rsid w:val="00247366"/>
    <w:rsid w:val="0024738C"/>
    <w:rsid w:val="0024755E"/>
    <w:rsid w:val="002476E2"/>
    <w:rsid w:val="00247A6D"/>
    <w:rsid w:val="00247B7F"/>
    <w:rsid w:val="00247C32"/>
    <w:rsid w:val="00250248"/>
    <w:rsid w:val="0025025C"/>
    <w:rsid w:val="002508D7"/>
    <w:rsid w:val="00251372"/>
    <w:rsid w:val="00251479"/>
    <w:rsid w:val="002515AB"/>
    <w:rsid w:val="00251C57"/>
    <w:rsid w:val="00251DD2"/>
    <w:rsid w:val="0025261B"/>
    <w:rsid w:val="00253952"/>
    <w:rsid w:val="00253CCB"/>
    <w:rsid w:val="00253FB0"/>
    <w:rsid w:val="002556F8"/>
    <w:rsid w:val="00256303"/>
    <w:rsid w:val="0025654B"/>
    <w:rsid w:val="002565CF"/>
    <w:rsid w:val="002567B4"/>
    <w:rsid w:val="00256BC8"/>
    <w:rsid w:val="00257039"/>
    <w:rsid w:val="002576BD"/>
    <w:rsid w:val="00257D7D"/>
    <w:rsid w:val="00257E2E"/>
    <w:rsid w:val="00260007"/>
    <w:rsid w:val="00260F01"/>
    <w:rsid w:val="00261AC4"/>
    <w:rsid w:val="00261D58"/>
    <w:rsid w:val="002622A5"/>
    <w:rsid w:val="0026265B"/>
    <w:rsid w:val="0026298F"/>
    <w:rsid w:val="00263474"/>
    <w:rsid w:val="00263D2D"/>
    <w:rsid w:val="00264078"/>
    <w:rsid w:val="0026411A"/>
    <w:rsid w:val="00264573"/>
    <w:rsid w:val="002646CB"/>
    <w:rsid w:val="00264A0D"/>
    <w:rsid w:val="00264B15"/>
    <w:rsid w:val="0026539C"/>
    <w:rsid w:val="0026569A"/>
    <w:rsid w:val="00265AE1"/>
    <w:rsid w:val="00265B0A"/>
    <w:rsid w:val="00266B06"/>
    <w:rsid w:val="00266DE9"/>
    <w:rsid w:val="00266E80"/>
    <w:rsid w:val="00267006"/>
    <w:rsid w:val="00267AE4"/>
    <w:rsid w:val="00270121"/>
    <w:rsid w:val="00270DC4"/>
    <w:rsid w:val="00271FCA"/>
    <w:rsid w:val="00272274"/>
    <w:rsid w:val="002723BE"/>
    <w:rsid w:val="00272581"/>
    <w:rsid w:val="00273074"/>
    <w:rsid w:val="00273611"/>
    <w:rsid w:val="00273C8B"/>
    <w:rsid w:val="00273CB0"/>
    <w:rsid w:val="00273DEA"/>
    <w:rsid w:val="00273F86"/>
    <w:rsid w:val="00274033"/>
    <w:rsid w:val="00274E54"/>
    <w:rsid w:val="00274EFE"/>
    <w:rsid w:val="00275199"/>
    <w:rsid w:val="00276B7E"/>
    <w:rsid w:val="00277600"/>
    <w:rsid w:val="00277921"/>
    <w:rsid w:val="00277BCD"/>
    <w:rsid w:val="002802BD"/>
    <w:rsid w:val="002803E9"/>
    <w:rsid w:val="00280719"/>
    <w:rsid w:val="00280CC7"/>
    <w:rsid w:val="00281B59"/>
    <w:rsid w:val="00281F6F"/>
    <w:rsid w:val="00281FFC"/>
    <w:rsid w:val="002822AB"/>
    <w:rsid w:val="00282791"/>
    <w:rsid w:val="00282BE7"/>
    <w:rsid w:val="00282DF6"/>
    <w:rsid w:val="002837A7"/>
    <w:rsid w:val="00285738"/>
    <w:rsid w:val="00286B69"/>
    <w:rsid w:val="00286BC3"/>
    <w:rsid w:val="0028770D"/>
    <w:rsid w:val="00290403"/>
    <w:rsid w:val="0029093B"/>
    <w:rsid w:val="00291E0E"/>
    <w:rsid w:val="00292979"/>
    <w:rsid w:val="00292AF0"/>
    <w:rsid w:val="00292E04"/>
    <w:rsid w:val="00293931"/>
    <w:rsid w:val="002947E2"/>
    <w:rsid w:val="00294F58"/>
    <w:rsid w:val="002952B0"/>
    <w:rsid w:val="00295CF4"/>
    <w:rsid w:val="00295EF7"/>
    <w:rsid w:val="002962ED"/>
    <w:rsid w:val="00296607"/>
    <w:rsid w:val="0029669F"/>
    <w:rsid w:val="00296704"/>
    <w:rsid w:val="002967F4"/>
    <w:rsid w:val="00296C9D"/>
    <w:rsid w:val="0029725B"/>
    <w:rsid w:val="00297FC8"/>
    <w:rsid w:val="002A041C"/>
    <w:rsid w:val="002A0C55"/>
    <w:rsid w:val="002A1398"/>
    <w:rsid w:val="002A142C"/>
    <w:rsid w:val="002A18B5"/>
    <w:rsid w:val="002A1C2F"/>
    <w:rsid w:val="002A25A9"/>
    <w:rsid w:val="002A27E4"/>
    <w:rsid w:val="002A293D"/>
    <w:rsid w:val="002A2E03"/>
    <w:rsid w:val="002A3A78"/>
    <w:rsid w:val="002A5124"/>
    <w:rsid w:val="002A5435"/>
    <w:rsid w:val="002A58F6"/>
    <w:rsid w:val="002A7321"/>
    <w:rsid w:val="002A7342"/>
    <w:rsid w:val="002B05C2"/>
    <w:rsid w:val="002B0F38"/>
    <w:rsid w:val="002B0FFB"/>
    <w:rsid w:val="002B1AC6"/>
    <w:rsid w:val="002B1CBE"/>
    <w:rsid w:val="002B2076"/>
    <w:rsid w:val="002B23C6"/>
    <w:rsid w:val="002B32CA"/>
    <w:rsid w:val="002B3980"/>
    <w:rsid w:val="002B3DC6"/>
    <w:rsid w:val="002B42B9"/>
    <w:rsid w:val="002B42C5"/>
    <w:rsid w:val="002B4479"/>
    <w:rsid w:val="002B47D5"/>
    <w:rsid w:val="002B4A22"/>
    <w:rsid w:val="002B4C9A"/>
    <w:rsid w:val="002B5199"/>
    <w:rsid w:val="002B5209"/>
    <w:rsid w:val="002B58BE"/>
    <w:rsid w:val="002B60A0"/>
    <w:rsid w:val="002B635F"/>
    <w:rsid w:val="002B6570"/>
    <w:rsid w:val="002C09A0"/>
    <w:rsid w:val="002C09EF"/>
    <w:rsid w:val="002C0B9C"/>
    <w:rsid w:val="002C28D6"/>
    <w:rsid w:val="002C2DAB"/>
    <w:rsid w:val="002C304B"/>
    <w:rsid w:val="002C3058"/>
    <w:rsid w:val="002C324C"/>
    <w:rsid w:val="002C33FD"/>
    <w:rsid w:val="002C3640"/>
    <w:rsid w:val="002C70A7"/>
    <w:rsid w:val="002C7E32"/>
    <w:rsid w:val="002D0830"/>
    <w:rsid w:val="002D3E39"/>
    <w:rsid w:val="002D4005"/>
    <w:rsid w:val="002D42A9"/>
    <w:rsid w:val="002D4876"/>
    <w:rsid w:val="002D4B57"/>
    <w:rsid w:val="002D4C72"/>
    <w:rsid w:val="002D4E81"/>
    <w:rsid w:val="002D53A5"/>
    <w:rsid w:val="002D5664"/>
    <w:rsid w:val="002D6749"/>
    <w:rsid w:val="002D67CB"/>
    <w:rsid w:val="002D69B5"/>
    <w:rsid w:val="002D7CA5"/>
    <w:rsid w:val="002E07D6"/>
    <w:rsid w:val="002E1553"/>
    <w:rsid w:val="002E2304"/>
    <w:rsid w:val="002E3C56"/>
    <w:rsid w:val="002E4F1A"/>
    <w:rsid w:val="002E5C86"/>
    <w:rsid w:val="002E5FF4"/>
    <w:rsid w:val="002E6060"/>
    <w:rsid w:val="002E61AB"/>
    <w:rsid w:val="002E69BF"/>
    <w:rsid w:val="002E71D4"/>
    <w:rsid w:val="002E778B"/>
    <w:rsid w:val="002E7D59"/>
    <w:rsid w:val="002F02FE"/>
    <w:rsid w:val="002F0433"/>
    <w:rsid w:val="002F0964"/>
    <w:rsid w:val="002F0C06"/>
    <w:rsid w:val="002F0C3B"/>
    <w:rsid w:val="002F0FB1"/>
    <w:rsid w:val="002F1130"/>
    <w:rsid w:val="002F183C"/>
    <w:rsid w:val="002F1CDB"/>
    <w:rsid w:val="002F225C"/>
    <w:rsid w:val="002F2941"/>
    <w:rsid w:val="002F2950"/>
    <w:rsid w:val="002F380A"/>
    <w:rsid w:val="002F3A52"/>
    <w:rsid w:val="002F4115"/>
    <w:rsid w:val="002F4C27"/>
    <w:rsid w:val="002F4F34"/>
    <w:rsid w:val="002F4F3F"/>
    <w:rsid w:val="002F50E7"/>
    <w:rsid w:val="002F5EE0"/>
    <w:rsid w:val="002F661C"/>
    <w:rsid w:val="002F6CFC"/>
    <w:rsid w:val="002F76BE"/>
    <w:rsid w:val="002F7FB9"/>
    <w:rsid w:val="002F7FC6"/>
    <w:rsid w:val="003006E3"/>
    <w:rsid w:val="00300762"/>
    <w:rsid w:val="00300ADE"/>
    <w:rsid w:val="00300F27"/>
    <w:rsid w:val="003013BA"/>
    <w:rsid w:val="003014A2"/>
    <w:rsid w:val="00301773"/>
    <w:rsid w:val="00301805"/>
    <w:rsid w:val="00302475"/>
    <w:rsid w:val="00303308"/>
    <w:rsid w:val="003039FF"/>
    <w:rsid w:val="00303EEB"/>
    <w:rsid w:val="0030413C"/>
    <w:rsid w:val="00304563"/>
    <w:rsid w:val="003048A5"/>
    <w:rsid w:val="00305F2D"/>
    <w:rsid w:val="00306315"/>
    <w:rsid w:val="0030687B"/>
    <w:rsid w:val="00306DC5"/>
    <w:rsid w:val="003070BC"/>
    <w:rsid w:val="00310F80"/>
    <w:rsid w:val="00311117"/>
    <w:rsid w:val="00311705"/>
    <w:rsid w:val="00311A7A"/>
    <w:rsid w:val="0031247A"/>
    <w:rsid w:val="003136BC"/>
    <w:rsid w:val="00313765"/>
    <w:rsid w:val="00313A36"/>
    <w:rsid w:val="00313F37"/>
    <w:rsid w:val="00314046"/>
    <w:rsid w:val="00314243"/>
    <w:rsid w:val="003142EE"/>
    <w:rsid w:val="00314A42"/>
    <w:rsid w:val="00314CFE"/>
    <w:rsid w:val="00315226"/>
    <w:rsid w:val="00315838"/>
    <w:rsid w:val="003159B4"/>
    <w:rsid w:val="00316458"/>
    <w:rsid w:val="003166AA"/>
    <w:rsid w:val="003169A7"/>
    <w:rsid w:val="003174D3"/>
    <w:rsid w:val="0032018C"/>
    <w:rsid w:val="00320823"/>
    <w:rsid w:val="00320D9A"/>
    <w:rsid w:val="0032117A"/>
    <w:rsid w:val="00322290"/>
    <w:rsid w:val="003228FA"/>
    <w:rsid w:val="00323032"/>
    <w:rsid w:val="003232DB"/>
    <w:rsid w:val="0032335D"/>
    <w:rsid w:val="0032429B"/>
    <w:rsid w:val="00325599"/>
    <w:rsid w:val="003255A0"/>
    <w:rsid w:val="003255C5"/>
    <w:rsid w:val="0032574C"/>
    <w:rsid w:val="00325D77"/>
    <w:rsid w:val="00325EC7"/>
    <w:rsid w:val="00326AB0"/>
    <w:rsid w:val="00327BBC"/>
    <w:rsid w:val="003308EC"/>
    <w:rsid w:val="00331703"/>
    <w:rsid w:val="003317A5"/>
    <w:rsid w:val="0033199B"/>
    <w:rsid w:val="00331B79"/>
    <w:rsid w:val="00331C8C"/>
    <w:rsid w:val="00332FDE"/>
    <w:rsid w:val="00333078"/>
    <w:rsid w:val="003333C3"/>
    <w:rsid w:val="003333E9"/>
    <w:rsid w:val="0033375B"/>
    <w:rsid w:val="0033427D"/>
    <w:rsid w:val="00335178"/>
    <w:rsid w:val="00335F1F"/>
    <w:rsid w:val="003363A8"/>
    <w:rsid w:val="00336B43"/>
    <w:rsid w:val="003370AD"/>
    <w:rsid w:val="00337633"/>
    <w:rsid w:val="003377AF"/>
    <w:rsid w:val="00337890"/>
    <w:rsid w:val="003401E2"/>
    <w:rsid w:val="0034123D"/>
    <w:rsid w:val="00341C78"/>
    <w:rsid w:val="00342F29"/>
    <w:rsid w:val="003438C5"/>
    <w:rsid w:val="003438F7"/>
    <w:rsid w:val="00344D51"/>
    <w:rsid w:val="00344FB0"/>
    <w:rsid w:val="00345131"/>
    <w:rsid w:val="00345714"/>
    <w:rsid w:val="00350A71"/>
    <w:rsid w:val="00350DAD"/>
    <w:rsid w:val="0035191F"/>
    <w:rsid w:val="0035268A"/>
    <w:rsid w:val="00352E02"/>
    <w:rsid w:val="00353305"/>
    <w:rsid w:val="00353490"/>
    <w:rsid w:val="003537FE"/>
    <w:rsid w:val="003538E2"/>
    <w:rsid w:val="00353965"/>
    <w:rsid w:val="00353A09"/>
    <w:rsid w:val="0035403C"/>
    <w:rsid w:val="0035451A"/>
    <w:rsid w:val="003545D1"/>
    <w:rsid w:val="00355D68"/>
    <w:rsid w:val="0035723E"/>
    <w:rsid w:val="00357EB6"/>
    <w:rsid w:val="003617B2"/>
    <w:rsid w:val="00361954"/>
    <w:rsid w:val="003627F9"/>
    <w:rsid w:val="00364051"/>
    <w:rsid w:val="0036595D"/>
    <w:rsid w:val="00365B1E"/>
    <w:rsid w:val="00366CE7"/>
    <w:rsid w:val="00366CF7"/>
    <w:rsid w:val="00367044"/>
    <w:rsid w:val="0036743F"/>
    <w:rsid w:val="00367A86"/>
    <w:rsid w:val="00370510"/>
    <w:rsid w:val="00370909"/>
    <w:rsid w:val="00370B84"/>
    <w:rsid w:val="00370B9A"/>
    <w:rsid w:val="00370E00"/>
    <w:rsid w:val="00371420"/>
    <w:rsid w:val="00372AC5"/>
    <w:rsid w:val="00373113"/>
    <w:rsid w:val="00373EF7"/>
    <w:rsid w:val="003746D3"/>
    <w:rsid w:val="003751A6"/>
    <w:rsid w:val="00375D36"/>
    <w:rsid w:val="00375E56"/>
    <w:rsid w:val="00375EFE"/>
    <w:rsid w:val="003762C0"/>
    <w:rsid w:val="003769F2"/>
    <w:rsid w:val="00376A1C"/>
    <w:rsid w:val="00376B6C"/>
    <w:rsid w:val="003773BC"/>
    <w:rsid w:val="00377790"/>
    <w:rsid w:val="00377BEF"/>
    <w:rsid w:val="003803C1"/>
    <w:rsid w:val="003805B2"/>
    <w:rsid w:val="00380AE8"/>
    <w:rsid w:val="00381EFD"/>
    <w:rsid w:val="00381F57"/>
    <w:rsid w:val="003825C5"/>
    <w:rsid w:val="0038282F"/>
    <w:rsid w:val="00382B51"/>
    <w:rsid w:val="00382BC6"/>
    <w:rsid w:val="00382F26"/>
    <w:rsid w:val="00385154"/>
    <w:rsid w:val="00386A3B"/>
    <w:rsid w:val="00386AE7"/>
    <w:rsid w:val="00386C65"/>
    <w:rsid w:val="0039127E"/>
    <w:rsid w:val="00391A2A"/>
    <w:rsid w:val="00392E38"/>
    <w:rsid w:val="00392FBC"/>
    <w:rsid w:val="003934DB"/>
    <w:rsid w:val="00393DE6"/>
    <w:rsid w:val="00393EFB"/>
    <w:rsid w:val="00394A13"/>
    <w:rsid w:val="00394AC6"/>
    <w:rsid w:val="00394B8A"/>
    <w:rsid w:val="0039532D"/>
    <w:rsid w:val="00396010"/>
    <w:rsid w:val="003962AE"/>
    <w:rsid w:val="00396BE8"/>
    <w:rsid w:val="00396CE3"/>
    <w:rsid w:val="003974EF"/>
    <w:rsid w:val="00397A17"/>
    <w:rsid w:val="003A04B6"/>
    <w:rsid w:val="003A1D17"/>
    <w:rsid w:val="003A20DD"/>
    <w:rsid w:val="003A22E8"/>
    <w:rsid w:val="003A2995"/>
    <w:rsid w:val="003A2AF6"/>
    <w:rsid w:val="003A2DE2"/>
    <w:rsid w:val="003A2E9C"/>
    <w:rsid w:val="003A3973"/>
    <w:rsid w:val="003A3F27"/>
    <w:rsid w:val="003A4D21"/>
    <w:rsid w:val="003A4F9F"/>
    <w:rsid w:val="003A5148"/>
    <w:rsid w:val="003A5614"/>
    <w:rsid w:val="003A5855"/>
    <w:rsid w:val="003A6354"/>
    <w:rsid w:val="003A6490"/>
    <w:rsid w:val="003A65BF"/>
    <w:rsid w:val="003A66C2"/>
    <w:rsid w:val="003A6CD0"/>
    <w:rsid w:val="003A78A0"/>
    <w:rsid w:val="003B01EA"/>
    <w:rsid w:val="003B022A"/>
    <w:rsid w:val="003B0D54"/>
    <w:rsid w:val="003B1E80"/>
    <w:rsid w:val="003B1F27"/>
    <w:rsid w:val="003B227E"/>
    <w:rsid w:val="003B2539"/>
    <w:rsid w:val="003B27E1"/>
    <w:rsid w:val="003B358D"/>
    <w:rsid w:val="003B384B"/>
    <w:rsid w:val="003B3D36"/>
    <w:rsid w:val="003B3DCD"/>
    <w:rsid w:val="003B3DF1"/>
    <w:rsid w:val="003B472B"/>
    <w:rsid w:val="003B475D"/>
    <w:rsid w:val="003B4CF9"/>
    <w:rsid w:val="003B4E47"/>
    <w:rsid w:val="003B59F2"/>
    <w:rsid w:val="003B5C43"/>
    <w:rsid w:val="003B64EE"/>
    <w:rsid w:val="003B6AA3"/>
    <w:rsid w:val="003B71F1"/>
    <w:rsid w:val="003B7766"/>
    <w:rsid w:val="003B78A8"/>
    <w:rsid w:val="003C0796"/>
    <w:rsid w:val="003C09A0"/>
    <w:rsid w:val="003C1491"/>
    <w:rsid w:val="003C30E0"/>
    <w:rsid w:val="003C326C"/>
    <w:rsid w:val="003C4102"/>
    <w:rsid w:val="003C46A5"/>
    <w:rsid w:val="003C4862"/>
    <w:rsid w:val="003C5039"/>
    <w:rsid w:val="003C57AD"/>
    <w:rsid w:val="003C5CCA"/>
    <w:rsid w:val="003C5CE9"/>
    <w:rsid w:val="003C5ED6"/>
    <w:rsid w:val="003C766C"/>
    <w:rsid w:val="003C7B3B"/>
    <w:rsid w:val="003C7C85"/>
    <w:rsid w:val="003D0086"/>
    <w:rsid w:val="003D0870"/>
    <w:rsid w:val="003D21CE"/>
    <w:rsid w:val="003D237F"/>
    <w:rsid w:val="003D2695"/>
    <w:rsid w:val="003D27CB"/>
    <w:rsid w:val="003D2C74"/>
    <w:rsid w:val="003D2EA4"/>
    <w:rsid w:val="003D326A"/>
    <w:rsid w:val="003D4873"/>
    <w:rsid w:val="003D5061"/>
    <w:rsid w:val="003D5BA6"/>
    <w:rsid w:val="003D6251"/>
    <w:rsid w:val="003D73C9"/>
    <w:rsid w:val="003D7AD1"/>
    <w:rsid w:val="003D7E82"/>
    <w:rsid w:val="003E0AB3"/>
    <w:rsid w:val="003E0B09"/>
    <w:rsid w:val="003E1FC0"/>
    <w:rsid w:val="003E2288"/>
    <w:rsid w:val="003E259C"/>
    <w:rsid w:val="003E2D23"/>
    <w:rsid w:val="003E2F8C"/>
    <w:rsid w:val="003E3CC2"/>
    <w:rsid w:val="003E491A"/>
    <w:rsid w:val="003E50A3"/>
    <w:rsid w:val="003E68CE"/>
    <w:rsid w:val="003E6B06"/>
    <w:rsid w:val="003F005D"/>
    <w:rsid w:val="003F05EF"/>
    <w:rsid w:val="003F118B"/>
    <w:rsid w:val="003F172D"/>
    <w:rsid w:val="003F187F"/>
    <w:rsid w:val="003F1D3A"/>
    <w:rsid w:val="003F2EFC"/>
    <w:rsid w:val="003F3E76"/>
    <w:rsid w:val="003F3EA9"/>
    <w:rsid w:val="003F3F40"/>
    <w:rsid w:val="003F45F3"/>
    <w:rsid w:val="003F4799"/>
    <w:rsid w:val="003F4E51"/>
    <w:rsid w:val="003F5069"/>
    <w:rsid w:val="003F53DC"/>
    <w:rsid w:val="003F59B3"/>
    <w:rsid w:val="003F5D0C"/>
    <w:rsid w:val="003F6F6F"/>
    <w:rsid w:val="003F796C"/>
    <w:rsid w:val="003F7E55"/>
    <w:rsid w:val="00400101"/>
    <w:rsid w:val="0040093D"/>
    <w:rsid w:val="00400990"/>
    <w:rsid w:val="004012C4"/>
    <w:rsid w:val="004017AD"/>
    <w:rsid w:val="00401853"/>
    <w:rsid w:val="00402510"/>
    <w:rsid w:val="00402A04"/>
    <w:rsid w:val="00402C46"/>
    <w:rsid w:val="0040366A"/>
    <w:rsid w:val="004040B2"/>
    <w:rsid w:val="00404579"/>
    <w:rsid w:val="00404605"/>
    <w:rsid w:val="004046EE"/>
    <w:rsid w:val="0040474E"/>
    <w:rsid w:val="004048DD"/>
    <w:rsid w:val="00404C92"/>
    <w:rsid w:val="00404FE1"/>
    <w:rsid w:val="00405011"/>
    <w:rsid w:val="00405395"/>
    <w:rsid w:val="00406102"/>
    <w:rsid w:val="00407B76"/>
    <w:rsid w:val="0041153F"/>
    <w:rsid w:val="004115BF"/>
    <w:rsid w:val="004116A6"/>
    <w:rsid w:val="00412613"/>
    <w:rsid w:val="00412745"/>
    <w:rsid w:val="00413463"/>
    <w:rsid w:val="00413694"/>
    <w:rsid w:val="004138A7"/>
    <w:rsid w:val="0041391B"/>
    <w:rsid w:val="004139B7"/>
    <w:rsid w:val="00414C30"/>
    <w:rsid w:val="004153CF"/>
    <w:rsid w:val="0041551C"/>
    <w:rsid w:val="00415A90"/>
    <w:rsid w:val="00415C83"/>
    <w:rsid w:val="00417400"/>
    <w:rsid w:val="00417621"/>
    <w:rsid w:val="0041763C"/>
    <w:rsid w:val="00420436"/>
    <w:rsid w:val="00420918"/>
    <w:rsid w:val="00421D3D"/>
    <w:rsid w:val="00421DD0"/>
    <w:rsid w:val="0042234E"/>
    <w:rsid w:val="00422616"/>
    <w:rsid w:val="00422CB1"/>
    <w:rsid w:val="00422D1F"/>
    <w:rsid w:val="00422F18"/>
    <w:rsid w:val="00423E6D"/>
    <w:rsid w:val="00424350"/>
    <w:rsid w:val="00424397"/>
    <w:rsid w:val="00424EA3"/>
    <w:rsid w:val="0042504D"/>
    <w:rsid w:val="004267B1"/>
    <w:rsid w:val="00426F21"/>
    <w:rsid w:val="00427A07"/>
    <w:rsid w:val="0043095E"/>
    <w:rsid w:val="00432406"/>
    <w:rsid w:val="00432DAE"/>
    <w:rsid w:val="00433F1D"/>
    <w:rsid w:val="00434177"/>
    <w:rsid w:val="00434360"/>
    <w:rsid w:val="00434407"/>
    <w:rsid w:val="004350B3"/>
    <w:rsid w:val="00435BC1"/>
    <w:rsid w:val="00435C64"/>
    <w:rsid w:val="00436187"/>
    <w:rsid w:val="00436495"/>
    <w:rsid w:val="0043651C"/>
    <w:rsid w:val="004366E3"/>
    <w:rsid w:val="0043740C"/>
    <w:rsid w:val="004402AE"/>
    <w:rsid w:val="00440484"/>
    <w:rsid w:val="0044151C"/>
    <w:rsid w:val="00442ABC"/>
    <w:rsid w:val="00443ED5"/>
    <w:rsid w:val="00443F94"/>
    <w:rsid w:val="004455CB"/>
    <w:rsid w:val="004465C4"/>
    <w:rsid w:val="00447536"/>
    <w:rsid w:val="00447B7D"/>
    <w:rsid w:val="00450B08"/>
    <w:rsid w:val="004522B0"/>
    <w:rsid w:val="00452A91"/>
    <w:rsid w:val="00452FF7"/>
    <w:rsid w:val="0045378E"/>
    <w:rsid w:val="004539DA"/>
    <w:rsid w:val="00455997"/>
    <w:rsid w:val="00455C01"/>
    <w:rsid w:val="00456307"/>
    <w:rsid w:val="00456DE0"/>
    <w:rsid w:val="00456EEF"/>
    <w:rsid w:val="00457B84"/>
    <w:rsid w:val="004602AE"/>
    <w:rsid w:val="00460406"/>
    <w:rsid w:val="0046196E"/>
    <w:rsid w:val="00463B9F"/>
    <w:rsid w:val="00464240"/>
    <w:rsid w:val="004655E8"/>
    <w:rsid w:val="00465DBB"/>
    <w:rsid w:val="00466E05"/>
    <w:rsid w:val="00466EFE"/>
    <w:rsid w:val="004678D0"/>
    <w:rsid w:val="00470DAD"/>
    <w:rsid w:val="004711A1"/>
    <w:rsid w:val="004720F9"/>
    <w:rsid w:val="00472122"/>
    <w:rsid w:val="004736A1"/>
    <w:rsid w:val="00474292"/>
    <w:rsid w:val="0047480C"/>
    <w:rsid w:val="00474C17"/>
    <w:rsid w:val="00474CCC"/>
    <w:rsid w:val="004759B3"/>
    <w:rsid w:val="00476A3C"/>
    <w:rsid w:val="00476CF3"/>
    <w:rsid w:val="00476D71"/>
    <w:rsid w:val="00476F4B"/>
    <w:rsid w:val="00477576"/>
    <w:rsid w:val="00477C41"/>
    <w:rsid w:val="00477F6B"/>
    <w:rsid w:val="004815AB"/>
    <w:rsid w:val="00481706"/>
    <w:rsid w:val="00481917"/>
    <w:rsid w:val="00482196"/>
    <w:rsid w:val="00482397"/>
    <w:rsid w:val="00482535"/>
    <w:rsid w:val="0048276E"/>
    <w:rsid w:val="0048382C"/>
    <w:rsid w:val="004845ED"/>
    <w:rsid w:val="00484634"/>
    <w:rsid w:val="0048475F"/>
    <w:rsid w:val="00484ECF"/>
    <w:rsid w:val="004854A6"/>
    <w:rsid w:val="00486662"/>
    <w:rsid w:val="00486B7E"/>
    <w:rsid w:val="00486D63"/>
    <w:rsid w:val="00487605"/>
    <w:rsid w:val="004879BC"/>
    <w:rsid w:val="004912C1"/>
    <w:rsid w:val="0049193C"/>
    <w:rsid w:val="00492C32"/>
    <w:rsid w:val="00493D0B"/>
    <w:rsid w:val="00494103"/>
    <w:rsid w:val="00494A2E"/>
    <w:rsid w:val="004960B5"/>
    <w:rsid w:val="004960F7"/>
    <w:rsid w:val="0049617A"/>
    <w:rsid w:val="004969FE"/>
    <w:rsid w:val="00496ACF"/>
    <w:rsid w:val="00496E9D"/>
    <w:rsid w:val="004A12D3"/>
    <w:rsid w:val="004A149F"/>
    <w:rsid w:val="004A1D92"/>
    <w:rsid w:val="004A2A72"/>
    <w:rsid w:val="004A2D7D"/>
    <w:rsid w:val="004A3D4C"/>
    <w:rsid w:val="004A5618"/>
    <w:rsid w:val="004A589F"/>
    <w:rsid w:val="004A59FF"/>
    <w:rsid w:val="004A684F"/>
    <w:rsid w:val="004A6E09"/>
    <w:rsid w:val="004A78E3"/>
    <w:rsid w:val="004A7CDD"/>
    <w:rsid w:val="004A7CE7"/>
    <w:rsid w:val="004A7E32"/>
    <w:rsid w:val="004A7F53"/>
    <w:rsid w:val="004A7F5D"/>
    <w:rsid w:val="004B0296"/>
    <w:rsid w:val="004B10B7"/>
    <w:rsid w:val="004B14E7"/>
    <w:rsid w:val="004B1D08"/>
    <w:rsid w:val="004B262F"/>
    <w:rsid w:val="004B2C90"/>
    <w:rsid w:val="004B2F88"/>
    <w:rsid w:val="004B316C"/>
    <w:rsid w:val="004B3578"/>
    <w:rsid w:val="004B38A4"/>
    <w:rsid w:val="004B3CE8"/>
    <w:rsid w:val="004B3FBB"/>
    <w:rsid w:val="004B4475"/>
    <w:rsid w:val="004B453C"/>
    <w:rsid w:val="004B523F"/>
    <w:rsid w:val="004B52EC"/>
    <w:rsid w:val="004B5757"/>
    <w:rsid w:val="004B71FF"/>
    <w:rsid w:val="004B753D"/>
    <w:rsid w:val="004C02C8"/>
    <w:rsid w:val="004C04B4"/>
    <w:rsid w:val="004C05A7"/>
    <w:rsid w:val="004C096E"/>
    <w:rsid w:val="004C1436"/>
    <w:rsid w:val="004C1B36"/>
    <w:rsid w:val="004C1DAB"/>
    <w:rsid w:val="004C20D2"/>
    <w:rsid w:val="004C210E"/>
    <w:rsid w:val="004C2606"/>
    <w:rsid w:val="004C3354"/>
    <w:rsid w:val="004C3FA6"/>
    <w:rsid w:val="004C52B2"/>
    <w:rsid w:val="004C65D2"/>
    <w:rsid w:val="004C6930"/>
    <w:rsid w:val="004C6D7C"/>
    <w:rsid w:val="004C6D80"/>
    <w:rsid w:val="004C6F15"/>
    <w:rsid w:val="004C725F"/>
    <w:rsid w:val="004C76DD"/>
    <w:rsid w:val="004C78D0"/>
    <w:rsid w:val="004C7C5A"/>
    <w:rsid w:val="004D0B32"/>
    <w:rsid w:val="004D1354"/>
    <w:rsid w:val="004D1A72"/>
    <w:rsid w:val="004D2006"/>
    <w:rsid w:val="004D2026"/>
    <w:rsid w:val="004D2574"/>
    <w:rsid w:val="004D33C8"/>
    <w:rsid w:val="004D42F2"/>
    <w:rsid w:val="004D4357"/>
    <w:rsid w:val="004D44CA"/>
    <w:rsid w:val="004D72D2"/>
    <w:rsid w:val="004D7C2C"/>
    <w:rsid w:val="004D7E31"/>
    <w:rsid w:val="004E0684"/>
    <w:rsid w:val="004E1594"/>
    <w:rsid w:val="004E1A47"/>
    <w:rsid w:val="004E28F4"/>
    <w:rsid w:val="004E3131"/>
    <w:rsid w:val="004E3643"/>
    <w:rsid w:val="004E39AE"/>
    <w:rsid w:val="004E44B9"/>
    <w:rsid w:val="004E4F29"/>
    <w:rsid w:val="004E4FE4"/>
    <w:rsid w:val="004E5D14"/>
    <w:rsid w:val="004E5F3C"/>
    <w:rsid w:val="004E6664"/>
    <w:rsid w:val="004E742A"/>
    <w:rsid w:val="004E745C"/>
    <w:rsid w:val="004E7659"/>
    <w:rsid w:val="004E7B51"/>
    <w:rsid w:val="004E7CF0"/>
    <w:rsid w:val="004F04D0"/>
    <w:rsid w:val="004F067D"/>
    <w:rsid w:val="004F0C80"/>
    <w:rsid w:val="004F0F34"/>
    <w:rsid w:val="004F10F1"/>
    <w:rsid w:val="004F1A8D"/>
    <w:rsid w:val="004F1E2D"/>
    <w:rsid w:val="004F2A2D"/>
    <w:rsid w:val="004F3228"/>
    <w:rsid w:val="004F3478"/>
    <w:rsid w:val="004F3823"/>
    <w:rsid w:val="004F4629"/>
    <w:rsid w:val="004F4F79"/>
    <w:rsid w:val="004F5931"/>
    <w:rsid w:val="004F62C3"/>
    <w:rsid w:val="004F67CA"/>
    <w:rsid w:val="004F6A29"/>
    <w:rsid w:val="004F6AF1"/>
    <w:rsid w:val="004F7052"/>
    <w:rsid w:val="004F7EBB"/>
    <w:rsid w:val="005013F7"/>
    <w:rsid w:val="00503209"/>
    <w:rsid w:val="00504100"/>
    <w:rsid w:val="005042AE"/>
    <w:rsid w:val="00504347"/>
    <w:rsid w:val="0050494A"/>
    <w:rsid w:val="00505255"/>
    <w:rsid w:val="0050563D"/>
    <w:rsid w:val="00505809"/>
    <w:rsid w:val="00506284"/>
    <w:rsid w:val="00506E22"/>
    <w:rsid w:val="00507565"/>
    <w:rsid w:val="00507E1E"/>
    <w:rsid w:val="00512CF6"/>
    <w:rsid w:val="0051513E"/>
    <w:rsid w:val="005158A4"/>
    <w:rsid w:val="00516543"/>
    <w:rsid w:val="00516DE0"/>
    <w:rsid w:val="00517545"/>
    <w:rsid w:val="00520112"/>
    <w:rsid w:val="005202ED"/>
    <w:rsid w:val="00520DC2"/>
    <w:rsid w:val="00520FE4"/>
    <w:rsid w:val="005210FF"/>
    <w:rsid w:val="005215C5"/>
    <w:rsid w:val="00521D0B"/>
    <w:rsid w:val="00521D9E"/>
    <w:rsid w:val="00522067"/>
    <w:rsid w:val="00522E08"/>
    <w:rsid w:val="00523363"/>
    <w:rsid w:val="00523A94"/>
    <w:rsid w:val="00523AC9"/>
    <w:rsid w:val="005240AA"/>
    <w:rsid w:val="00524887"/>
    <w:rsid w:val="005248F6"/>
    <w:rsid w:val="00524C3F"/>
    <w:rsid w:val="00525DB8"/>
    <w:rsid w:val="00526E92"/>
    <w:rsid w:val="00527386"/>
    <w:rsid w:val="005273B0"/>
    <w:rsid w:val="005276EC"/>
    <w:rsid w:val="0053090B"/>
    <w:rsid w:val="00530C56"/>
    <w:rsid w:val="00531216"/>
    <w:rsid w:val="005322F2"/>
    <w:rsid w:val="00532635"/>
    <w:rsid w:val="00532C0C"/>
    <w:rsid w:val="00532FA1"/>
    <w:rsid w:val="00533D3D"/>
    <w:rsid w:val="0053434D"/>
    <w:rsid w:val="00534766"/>
    <w:rsid w:val="0053491D"/>
    <w:rsid w:val="00534D47"/>
    <w:rsid w:val="0053759E"/>
    <w:rsid w:val="00537DCA"/>
    <w:rsid w:val="0054061B"/>
    <w:rsid w:val="00540D6F"/>
    <w:rsid w:val="005420E7"/>
    <w:rsid w:val="00543431"/>
    <w:rsid w:val="00543DB2"/>
    <w:rsid w:val="005447A3"/>
    <w:rsid w:val="00544F57"/>
    <w:rsid w:val="00545452"/>
    <w:rsid w:val="005454AF"/>
    <w:rsid w:val="00545570"/>
    <w:rsid w:val="00545C18"/>
    <w:rsid w:val="0054765A"/>
    <w:rsid w:val="005501E7"/>
    <w:rsid w:val="00550FC0"/>
    <w:rsid w:val="0055238A"/>
    <w:rsid w:val="00553446"/>
    <w:rsid w:val="00553610"/>
    <w:rsid w:val="005536D1"/>
    <w:rsid w:val="00553FBA"/>
    <w:rsid w:val="0055526C"/>
    <w:rsid w:val="005558DF"/>
    <w:rsid w:val="00556F2E"/>
    <w:rsid w:val="005571C4"/>
    <w:rsid w:val="00560932"/>
    <w:rsid w:val="0056158D"/>
    <w:rsid w:val="00562102"/>
    <w:rsid w:val="00562294"/>
    <w:rsid w:val="00562409"/>
    <w:rsid w:val="0056281F"/>
    <w:rsid w:val="00562845"/>
    <w:rsid w:val="005630CB"/>
    <w:rsid w:val="00563E6C"/>
    <w:rsid w:val="00564D0A"/>
    <w:rsid w:val="005651D0"/>
    <w:rsid w:val="005652AD"/>
    <w:rsid w:val="00565E28"/>
    <w:rsid w:val="0056715F"/>
    <w:rsid w:val="00570775"/>
    <w:rsid w:val="00570D90"/>
    <w:rsid w:val="00571827"/>
    <w:rsid w:val="00571B2D"/>
    <w:rsid w:val="005727B0"/>
    <w:rsid w:val="005736DD"/>
    <w:rsid w:val="00573786"/>
    <w:rsid w:val="0057423B"/>
    <w:rsid w:val="0057528E"/>
    <w:rsid w:val="0057567A"/>
    <w:rsid w:val="00575A3C"/>
    <w:rsid w:val="00575AE9"/>
    <w:rsid w:val="00576054"/>
    <w:rsid w:val="0057634E"/>
    <w:rsid w:val="00576464"/>
    <w:rsid w:val="005767E3"/>
    <w:rsid w:val="0057723C"/>
    <w:rsid w:val="00577E0E"/>
    <w:rsid w:val="00577E1C"/>
    <w:rsid w:val="00577F4E"/>
    <w:rsid w:val="005802DD"/>
    <w:rsid w:val="005802FC"/>
    <w:rsid w:val="005809C9"/>
    <w:rsid w:val="00581E12"/>
    <w:rsid w:val="00581F0C"/>
    <w:rsid w:val="005823B0"/>
    <w:rsid w:val="005825AB"/>
    <w:rsid w:val="0058265A"/>
    <w:rsid w:val="005833E2"/>
    <w:rsid w:val="005840BD"/>
    <w:rsid w:val="00585470"/>
    <w:rsid w:val="00585624"/>
    <w:rsid w:val="00585CC9"/>
    <w:rsid w:val="005864BF"/>
    <w:rsid w:val="0058654D"/>
    <w:rsid w:val="00586D27"/>
    <w:rsid w:val="005875BC"/>
    <w:rsid w:val="00587EF5"/>
    <w:rsid w:val="00590048"/>
    <w:rsid w:val="00590167"/>
    <w:rsid w:val="0059041B"/>
    <w:rsid w:val="005904DE"/>
    <w:rsid w:val="005920DF"/>
    <w:rsid w:val="00592495"/>
    <w:rsid w:val="00592B64"/>
    <w:rsid w:val="005935E4"/>
    <w:rsid w:val="00594ACD"/>
    <w:rsid w:val="00594E67"/>
    <w:rsid w:val="00595DFF"/>
    <w:rsid w:val="00595E81"/>
    <w:rsid w:val="005973C5"/>
    <w:rsid w:val="0059779D"/>
    <w:rsid w:val="005A0135"/>
    <w:rsid w:val="005A064D"/>
    <w:rsid w:val="005A094E"/>
    <w:rsid w:val="005A0ABE"/>
    <w:rsid w:val="005A127F"/>
    <w:rsid w:val="005A230F"/>
    <w:rsid w:val="005A23C0"/>
    <w:rsid w:val="005A26CC"/>
    <w:rsid w:val="005A2E11"/>
    <w:rsid w:val="005A322A"/>
    <w:rsid w:val="005A3489"/>
    <w:rsid w:val="005A44E2"/>
    <w:rsid w:val="005A5C00"/>
    <w:rsid w:val="005A6100"/>
    <w:rsid w:val="005A65D8"/>
    <w:rsid w:val="005A78AC"/>
    <w:rsid w:val="005B0213"/>
    <w:rsid w:val="005B031D"/>
    <w:rsid w:val="005B0F46"/>
    <w:rsid w:val="005B1204"/>
    <w:rsid w:val="005B23A8"/>
    <w:rsid w:val="005B2763"/>
    <w:rsid w:val="005B2953"/>
    <w:rsid w:val="005B3402"/>
    <w:rsid w:val="005B3548"/>
    <w:rsid w:val="005B3749"/>
    <w:rsid w:val="005B3A0C"/>
    <w:rsid w:val="005B5B5A"/>
    <w:rsid w:val="005B6BD0"/>
    <w:rsid w:val="005B739A"/>
    <w:rsid w:val="005B78CB"/>
    <w:rsid w:val="005B7E46"/>
    <w:rsid w:val="005C036A"/>
    <w:rsid w:val="005C09CD"/>
    <w:rsid w:val="005C09DE"/>
    <w:rsid w:val="005C11D7"/>
    <w:rsid w:val="005C20B6"/>
    <w:rsid w:val="005C25B0"/>
    <w:rsid w:val="005C4113"/>
    <w:rsid w:val="005C4631"/>
    <w:rsid w:val="005C5110"/>
    <w:rsid w:val="005C5A37"/>
    <w:rsid w:val="005C5B2D"/>
    <w:rsid w:val="005C6315"/>
    <w:rsid w:val="005C6321"/>
    <w:rsid w:val="005C68EA"/>
    <w:rsid w:val="005D029D"/>
    <w:rsid w:val="005D1428"/>
    <w:rsid w:val="005D290B"/>
    <w:rsid w:val="005D2A2D"/>
    <w:rsid w:val="005D4111"/>
    <w:rsid w:val="005D435B"/>
    <w:rsid w:val="005D43ED"/>
    <w:rsid w:val="005D4764"/>
    <w:rsid w:val="005D4799"/>
    <w:rsid w:val="005D48A1"/>
    <w:rsid w:val="005D48C5"/>
    <w:rsid w:val="005D4C27"/>
    <w:rsid w:val="005D577C"/>
    <w:rsid w:val="005D5A11"/>
    <w:rsid w:val="005D6C22"/>
    <w:rsid w:val="005D6DF4"/>
    <w:rsid w:val="005D7579"/>
    <w:rsid w:val="005E022B"/>
    <w:rsid w:val="005E06E1"/>
    <w:rsid w:val="005E0BA4"/>
    <w:rsid w:val="005E0F55"/>
    <w:rsid w:val="005E1DF6"/>
    <w:rsid w:val="005E2395"/>
    <w:rsid w:val="005E447C"/>
    <w:rsid w:val="005E58AB"/>
    <w:rsid w:val="005E6755"/>
    <w:rsid w:val="005E6F0F"/>
    <w:rsid w:val="005F08DD"/>
    <w:rsid w:val="005F12FE"/>
    <w:rsid w:val="005F16EF"/>
    <w:rsid w:val="005F1E2E"/>
    <w:rsid w:val="005F3C63"/>
    <w:rsid w:val="005F4316"/>
    <w:rsid w:val="005F46FA"/>
    <w:rsid w:val="005F4A37"/>
    <w:rsid w:val="005F4A88"/>
    <w:rsid w:val="005F50E0"/>
    <w:rsid w:val="005F56DF"/>
    <w:rsid w:val="005F58DA"/>
    <w:rsid w:val="005F595A"/>
    <w:rsid w:val="005F6E7C"/>
    <w:rsid w:val="005F700B"/>
    <w:rsid w:val="006000AC"/>
    <w:rsid w:val="00600E32"/>
    <w:rsid w:val="00601087"/>
    <w:rsid w:val="00601677"/>
    <w:rsid w:val="00601849"/>
    <w:rsid w:val="00602088"/>
    <w:rsid w:val="006021B7"/>
    <w:rsid w:val="00602D0B"/>
    <w:rsid w:val="00603252"/>
    <w:rsid w:val="00603487"/>
    <w:rsid w:val="00604B33"/>
    <w:rsid w:val="00605201"/>
    <w:rsid w:val="006062B6"/>
    <w:rsid w:val="006067FC"/>
    <w:rsid w:val="00610AD0"/>
    <w:rsid w:val="00610D8A"/>
    <w:rsid w:val="006114CA"/>
    <w:rsid w:val="00611F57"/>
    <w:rsid w:val="00612C8B"/>
    <w:rsid w:val="006133EE"/>
    <w:rsid w:val="006134D1"/>
    <w:rsid w:val="00613BF1"/>
    <w:rsid w:val="00613DDB"/>
    <w:rsid w:val="00613F46"/>
    <w:rsid w:val="00614092"/>
    <w:rsid w:val="006145F1"/>
    <w:rsid w:val="00614933"/>
    <w:rsid w:val="00614EAB"/>
    <w:rsid w:val="00614F5A"/>
    <w:rsid w:val="00615693"/>
    <w:rsid w:val="0061606B"/>
    <w:rsid w:val="00616113"/>
    <w:rsid w:val="00616416"/>
    <w:rsid w:val="00616727"/>
    <w:rsid w:val="00617437"/>
    <w:rsid w:val="006175DB"/>
    <w:rsid w:val="00617614"/>
    <w:rsid w:val="00617B17"/>
    <w:rsid w:val="00620221"/>
    <w:rsid w:val="0062057F"/>
    <w:rsid w:val="006206A6"/>
    <w:rsid w:val="00621A0B"/>
    <w:rsid w:val="00621A6D"/>
    <w:rsid w:val="00621C8B"/>
    <w:rsid w:val="006221B9"/>
    <w:rsid w:val="00622E38"/>
    <w:rsid w:val="006231B8"/>
    <w:rsid w:val="006237A1"/>
    <w:rsid w:val="00624ECB"/>
    <w:rsid w:val="00625524"/>
    <w:rsid w:val="00625DC5"/>
    <w:rsid w:val="00625FD0"/>
    <w:rsid w:val="00626026"/>
    <w:rsid w:val="0062613F"/>
    <w:rsid w:val="00626475"/>
    <w:rsid w:val="00626885"/>
    <w:rsid w:val="00626BA9"/>
    <w:rsid w:val="006302E0"/>
    <w:rsid w:val="00630BED"/>
    <w:rsid w:val="00630EEA"/>
    <w:rsid w:val="006318C7"/>
    <w:rsid w:val="0063207E"/>
    <w:rsid w:val="006322F5"/>
    <w:rsid w:val="006337B8"/>
    <w:rsid w:val="00633A5F"/>
    <w:rsid w:val="00634421"/>
    <w:rsid w:val="00634BE5"/>
    <w:rsid w:val="00635060"/>
    <w:rsid w:val="006354B7"/>
    <w:rsid w:val="0063618A"/>
    <w:rsid w:val="00636B3C"/>
    <w:rsid w:val="006405FC"/>
    <w:rsid w:val="0064079A"/>
    <w:rsid w:val="0064126C"/>
    <w:rsid w:val="006414CB"/>
    <w:rsid w:val="006431D5"/>
    <w:rsid w:val="006438D9"/>
    <w:rsid w:val="00644289"/>
    <w:rsid w:val="00644B78"/>
    <w:rsid w:val="00645325"/>
    <w:rsid w:val="00645EE8"/>
    <w:rsid w:val="00646333"/>
    <w:rsid w:val="006464B3"/>
    <w:rsid w:val="006473C0"/>
    <w:rsid w:val="006478C6"/>
    <w:rsid w:val="00647A09"/>
    <w:rsid w:val="00650A78"/>
    <w:rsid w:val="00651DDD"/>
    <w:rsid w:val="00652098"/>
    <w:rsid w:val="00652362"/>
    <w:rsid w:val="006523FA"/>
    <w:rsid w:val="006527D7"/>
    <w:rsid w:val="00652959"/>
    <w:rsid w:val="006530E7"/>
    <w:rsid w:val="006536A3"/>
    <w:rsid w:val="00654069"/>
    <w:rsid w:val="00654B7D"/>
    <w:rsid w:val="00656739"/>
    <w:rsid w:val="00657453"/>
    <w:rsid w:val="00657899"/>
    <w:rsid w:val="00657996"/>
    <w:rsid w:val="00657A28"/>
    <w:rsid w:val="00657B1F"/>
    <w:rsid w:val="00657D96"/>
    <w:rsid w:val="006600F3"/>
    <w:rsid w:val="00660590"/>
    <w:rsid w:val="006613F2"/>
    <w:rsid w:val="00661A64"/>
    <w:rsid w:val="00661DDD"/>
    <w:rsid w:val="00662031"/>
    <w:rsid w:val="0066399B"/>
    <w:rsid w:val="00663C8B"/>
    <w:rsid w:val="00663D26"/>
    <w:rsid w:val="006648FB"/>
    <w:rsid w:val="00665DB4"/>
    <w:rsid w:val="00666C2E"/>
    <w:rsid w:val="00666CAE"/>
    <w:rsid w:val="00667DD9"/>
    <w:rsid w:val="00667F72"/>
    <w:rsid w:val="0067200F"/>
    <w:rsid w:val="0067253E"/>
    <w:rsid w:val="006740D1"/>
    <w:rsid w:val="00674862"/>
    <w:rsid w:val="00675799"/>
    <w:rsid w:val="006757C1"/>
    <w:rsid w:val="00675DCF"/>
    <w:rsid w:val="006764E0"/>
    <w:rsid w:val="00676797"/>
    <w:rsid w:val="006769E1"/>
    <w:rsid w:val="00676B09"/>
    <w:rsid w:val="00676E62"/>
    <w:rsid w:val="00677DFA"/>
    <w:rsid w:val="00680005"/>
    <w:rsid w:val="006802FB"/>
    <w:rsid w:val="00681441"/>
    <w:rsid w:val="006822EC"/>
    <w:rsid w:val="006822F6"/>
    <w:rsid w:val="00682DFB"/>
    <w:rsid w:val="006830B7"/>
    <w:rsid w:val="00683630"/>
    <w:rsid w:val="00684EF5"/>
    <w:rsid w:val="00685236"/>
    <w:rsid w:val="006857CD"/>
    <w:rsid w:val="00685DD6"/>
    <w:rsid w:val="006862CB"/>
    <w:rsid w:val="006864B3"/>
    <w:rsid w:val="00686CA3"/>
    <w:rsid w:val="00687311"/>
    <w:rsid w:val="0068764E"/>
    <w:rsid w:val="00690317"/>
    <w:rsid w:val="0069075F"/>
    <w:rsid w:val="006908B9"/>
    <w:rsid w:val="00691454"/>
    <w:rsid w:val="00691C57"/>
    <w:rsid w:val="00691F81"/>
    <w:rsid w:val="00691FE4"/>
    <w:rsid w:val="006927C6"/>
    <w:rsid w:val="00693325"/>
    <w:rsid w:val="0069363A"/>
    <w:rsid w:val="00693FF4"/>
    <w:rsid w:val="006944EB"/>
    <w:rsid w:val="00694E48"/>
    <w:rsid w:val="006953E1"/>
    <w:rsid w:val="00695804"/>
    <w:rsid w:val="00696245"/>
    <w:rsid w:val="00696250"/>
    <w:rsid w:val="006966BA"/>
    <w:rsid w:val="006967B0"/>
    <w:rsid w:val="006968E3"/>
    <w:rsid w:val="0069761B"/>
    <w:rsid w:val="00697AD8"/>
    <w:rsid w:val="00697EC4"/>
    <w:rsid w:val="006A06BF"/>
    <w:rsid w:val="006A0773"/>
    <w:rsid w:val="006A2EE0"/>
    <w:rsid w:val="006A31C5"/>
    <w:rsid w:val="006A38A2"/>
    <w:rsid w:val="006A3A12"/>
    <w:rsid w:val="006A3D04"/>
    <w:rsid w:val="006A424C"/>
    <w:rsid w:val="006A446F"/>
    <w:rsid w:val="006A4643"/>
    <w:rsid w:val="006A4A51"/>
    <w:rsid w:val="006A5455"/>
    <w:rsid w:val="006A5A78"/>
    <w:rsid w:val="006A643B"/>
    <w:rsid w:val="006A68C5"/>
    <w:rsid w:val="006A761F"/>
    <w:rsid w:val="006A7B2B"/>
    <w:rsid w:val="006A7ECE"/>
    <w:rsid w:val="006B03FB"/>
    <w:rsid w:val="006B06F0"/>
    <w:rsid w:val="006B3C05"/>
    <w:rsid w:val="006B4887"/>
    <w:rsid w:val="006B4F29"/>
    <w:rsid w:val="006B5B9D"/>
    <w:rsid w:val="006B5F66"/>
    <w:rsid w:val="006B71E8"/>
    <w:rsid w:val="006B7DF7"/>
    <w:rsid w:val="006C15DA"/>
    <w:rsid w:val="006C2050"/>
    <w:rsid w:val="006C226F"/>
    <w:rsid w:val="006C2281"/>
    <w:rsid w:val="006C22D1"/>
    <w:rsid w:val="006C2531"/>
    <w:rsid w:val="006C4782"/>
    <w:rsid w:val="006C48DE"/>
    <w:rsid w:val="006C5131"/>
    <w:rsid w:val="006C5B4E"/>
    <w:rsid w:val="006C6C60"/>
    <w:rsid w:val="006C6E91"/>
    <w:rsid w:val="006C6F74"/>
    <w:rsid w:val="006C728B"/>
    <w:rsid w:val="006C775C"/>
    <w:rsid w:val="006C7FE5"/>
    <w:rsid w:val="006D02E4"/>
    <w:rsid w:val="006D07CE"/>
    <w:rsid w:val="006D1026"/>
    <w:rsid w:val="006D127E"/>
    <w:rsid w:val="006D14EF"/>
    <w:rsid w:val="006D19DA"/>
    <w:rsid w:val="006D1A96"/>
    <w:rsid w:val="006D1B15"/>
    <w:rsid w:val="006D1CEE"/>
    <w:rsid w:val="006D24FF"/>
    <w:rsid w:val="006D3608"/>
    <w:rsid w:val="006D3F38"/>
    <w:rsid w:val="006D41FE"/>
    <w:rsid w:val="006D5234"/>
    <w:rsid w:val="006D5F7D"/>
    <w:rsid w:val="006D62B9"/>
    <w:rsid w:val="006D6A37"/>
    <w:rsid w:val="006D7246"/>
    <w:rsid w:val="006D7B02"/>
    <w:rsid w:val="006E124B"/>
    <w:rsid w:val="006E1680"/>
    <w:rsid w:val="006E2467"/>
    <w:rsid w:val="006E297B"/>
    <w:rsid w:val="006E3463"/>
    <w:rsid w:val="006E370E"/>
    <w:rsid w:val="006E37F8"/>
    <w:rsid w:val="006E3A9F"/>
    <w:rsid w:val="006E4CED"/>
    <w:rsid w:val="006E4ED6"/>
    <w:rsid w:val="006E51C1"/>
    <w:rsid w:val="006E5299"/>
    <w:rsid w:val="006E54D3"/>
    <w:rsid w:val="006E62D6"/>
    <w:rsid w:val="006E6381"/>
    <w:rsid w:val="006E7D97"/>
    <w:rsid w:val="006F0A46"/>
    <w:rsid w:val="006F0A60"/>
    <w:rsid w:val="006F187B"/>
    <w:rsid w:val="006F1E07"/>
    <w:rsid w:val="006F1F3E"/>
    <w:rsid w:val="006F36A5"/>
    <w:rsid w:val="006F52B8"/>
    <w:rsid w:val="006F5385"/>
    <w:rsid w:val="006F5E73"/>
    <w:rsid w:val="006F69FE"/>
    <w:rsid w:val="006F7906"/>
    <w:rsid w:val="007025D0"/>
    <w:rsid w:val="0070292F"/>
    <w:rsid w:val="00702C27"/>
    <w:rsid w:val="00702D6E"/>
    <w:rsid w:val="00703764"/>
    <w:rsid w:val="007038BE"/>
    <w:rsid w:val="00703F54"/>
    <w:rsid w:val="00704308"/>
    <w:rsid w:val="007047FB"/>
    <w:rsid w:val="00704BEC"/>
    <w:rsid w:val="007051BF"/>
    <w:rsid w:val="00705355"/>
    <w:rsid w:val="00705AA3"/>
    <w:rsid w:val="00705EAB"/>
    <w:rsid w:val="007067EC"/>
    <w:rsid w:val="00706B77"/>
    <w:rsid w:val="00706F91"/>
    <w:rsid w:val="00710C0A"/>
    <w:rsid w:val="00710DE9"/>
    <w:rsid w:val="0071218C"/>
    <w:rsid w:val="00712C03"/>
    <w:rsid w:val="00712CAC"/>
    <w:rsid w:val="00712D2B"/>
    <w:rsid w:val="00712E41"/>
    <w:rsid w:val="0071312D"/>
    <w:rsid w:val="00713883"/>
    <w:rsid w:val="00713E70"/>
    <w:rsid w:val="007143A1"/>
    <w:rsid w:val="007148C2"/>
    <w:rsid w:val="00714D15"/>
    <w:rsid w:val="00715626"/>
    <w:rsid w:val="00715F99"/>
    <w:rsid w:val="007168A0"/>
    <w:rsid w:val="00716A04"/>
    <w:rsid w:val="00716FC3"/>
    <w:rsid w:val="007173C8"/>
    <w:rsid w:val="00717575"/>
    <w:rsid w:val="00717589"/>
    <w:rsid w:val="00717E62"/>
    <w:rsid w:val="00717EED"/>
    <w:rsid w:val="00720401"/>
    <w:rsid w:val="007207D1"/>
    <w:rsid w:val="00721BEA"/>
    <w:rsid w:val="00722EE2"/>
    <w:rsid w:val="00722F75"/>
    <w:rsid w:val="00723180"/>
    <w:rsid w:val="00723670"/>
    <w:rsid w:val="007237A1"/>
    <w:rsid w:val="007242F9"/>
    <w:rsid w:val="007243EE"/>
    <w:rsid w:val="00724E00"/>
    <w:rsid w:val="007252B7"/>
    <w:rsid w:val="0072613A"/>
    <w:rsid w:val="00726FCE"/>
    <w:rsid w:val="00727472"/>
    <w:rsid w:val="007300D2"/>
    <w:rsid w:val="00730D79"/>
    <w:rsid w:val="00731DF3"/>
    <w:rsid w:val="00731F32"/>
    <w:rsid w:val="0073288A"/>
    <w:rsid w:val="00732EE8"/>
    <w:rsid w:val="00732FB2"/>
    <w:rsid w:val="00733A5E"/>
    <w:rsid w:val="007343FF"/>
    <w:rsid w:val="00734836"/>
    <w:rsid w:val="00734DD4"/>
    <w:rsid w:val="0073567B"/>
    <w:rsid w:val="00735A5D"/>
    <w:rsid w:val="00735F15"/>
    <w:rsid w:val="00736826"/>
    <w:rsid w:val="007379B4"/>
    <w:rsid w:val="00737C98"/>
    <w:rsid w:val="007408E6"/>
    <w:rsid w:val="007418E5"/>
    <w:rsid w:val="00741EB7"/>
    <w:rsid w:val="00743CD5"/>
    <w:rsid w:val="00743D33"/>
    <w:rsid w:val="00743F73"/>
    <w:rsid w:val="00745470"/>
    <w:rsid w:val="00745AB8"/>
    <w:rsid w:val="00746766"/>
    <w:rsid w:val="00746EDE"/>
    <w:rsid w:val="0074792D"/>
    <w:rsid w:val="00747AF7"/>
    <w:rsid w:val="00747E39"/>
    <w:rsid w:val="00750AF5"/>
    <w:rsid w:val="0075147E"/>
    <w:rsid w:val="00751B48"/>
    <w:rsid w:val="00751D06"/>
    <w:rsid w:val="00751FD9"/>
    <w:rsid w:val="007522AC"/>
    <w:rsid w:val="007529D6"/>
    <w:rsid w:val="007532E8"/>
    <w:rsid w:val="007540A5"/>
    <w:rsid w:val="00754557"/>
    <w:rsid w:val="00754565"/>
    <w:rsid w:val="0075475D"/>
    <w:rsid w:val="00754A2B"/>
    <w:rsid w:val="00754DDB"/>
    <w:rsid w:val="00755212"/>
    <w:rsid w:val="00755244"/>
    <w:rsid w:val="007553CC"/>
    <w:rsid w:val="0075586B"/>
    <w:rsid w:val="0075638E"/>
    <w:rsid w:val="007567D4"/>
    <w:rsid w:val="00756BB4"/>
    <w:rsid w:val="00756DED"/>
    <w:rsid w:val="00757094"/>
    <w:rsid w:val="007572D7"/>
    <w:rsid w:val="007574E2"/>
    <w:rsid w:val="0075796E"/>
    <w:rsid w:val="0076164D"/>
    <w:rsid w:val="00762504"/>
    <w:rsid w:val="00762B0F"/>
    <w:rsid w:val="00763AEF"/>
    <w:rsid w:val="0076455D"/>
    <w:rsid w:val="007663C1"/>
    <w:rsid w:val="00766C03"/>
    <w:rsid w:val="00766D65"/>
    <w:rsid w:val="00767129"/>
    <w:rsid w:val="007672A4"/>
    <w:rsid w:val="00767667"/>
    <w:rsid w:val="00767835"/>
    <w:rsid w:val="00767974"/>
    <w:rsid w:val="00767BC1"/>
    <w:rsid w:val="00770027"/>
    <w:rsid w:val="00770183"/>
    <w:rsid w:val="0077197C"/>
    <w:rsid w:val="00773328"/>
    <w:rsid w:val="007742F5"/>
    <w:rsid w:val="00774364"/>
    <w:rsid w:val="007753B5"/>
    <w:rsid w:val="0077671E"/>
    <w:rsid w:val="00777033"/>
    <w:rsid w:val="00780E52"/>
    <w:rsid w:val="00781707"/>
    <w:rsid w:val="00781711"/>
    <w:rsid w:val="007824BB"/>
    <w:rsid w:val="00782CA0"/>
    <w:rsid w:val="007830CD"/>
    <w:rsid w:val="00783207"/>
    <w:rsid w:val="00783968"/>
    <w:rsid w:val="0078553B"/>
    <w:rsid w:val="0078562E"/>
    <w:rsid w:val="007856D3"/>
    <w:rsid w:val="00785CD1"/>
    <w:rsid w:val="00785F59"/>
    <w:rsid w:val="007862C6"/>
    <w:rsid w:val="00786362"/>
    <w:rsid w:val="00786547"/>
    <w:rsid w:val="00787452"/>
    <w:rsid w:val="007875BB"/>
    <w:rsid w:val="00787B08"/>
    <w:rsid w:val="00790754"/>
    <w:rsid w:val="00790E5D"/>
    <w:rsid w:val="00791813"/>
    <w:rsid w:val="0079245B"/>
    <w:rsid w:val="00792B4C"/>
    <w:rsid w:val="007938B3"/>
    <w:rsid w:val="007940B5"/>
    <w:rsid w:val="007941EE"/>
    <w:rsid w:val="00794C9A"/>
    <w:rsid w:val="00795510"/>
    <w:rsid w:val="00795719"/>
    <w:rsid w:val="00795835"/>
    <w:rsid w:val="00795C39"/>
    <w:rsid w:val="00795CAB"/>
    <w:rsid w:val="00795CCA"/>
    <w:rsid w:val="007A030B"/>
    <w:rsid w:val="007A2711"/>
    <w:rsid w:val="007A27A4"/>
    <w:rsid w:val="007A2F7B"/>
    <w:rsid w:val="007A404E"/>
    <w:rsid w:val="007A408C"/>
    <w:rsid w:val="007A47DA"/>
    <w:rsid w:val="007A569A"/>
    <w:rsid w:val="007A5873"/>
    <w:rsid w:val="007A5C62"/>
    <w:rsid w:val="007A5CC9"/>
    <w:rsid w:val="007A5CEB"/>
    <w:rsid w:val="007A60EE"/>
    <w:rsid w:val="007A6313"/>
    <w:rsid w:val="007A6422"/>
    <w:rsid w:val="007A6A42"/>
    <w:rsid w:val="007A6FCF"/>
    <w:rsid w:val="007A73ED"/>
    <w:rsid w:val="007A7A9F"/>
    <w:rsid w:val="007B0133"/>
    <w:rsid w:val="007B0320"/>
    <w:rsid w:val="007B076B"/>
    <w:rsid w:val="007B0D1B"/>
    <w:rsid w:val="007B2277"/>
    <w:rsid w:val="007B26A8"/>
    <w:rsid w:val="007B2D0A"/>
    <w:rsid w:val="007B3ADF"/>
    <w:rsid w:val="007B3C36"/>
    <w:rsid w:val="007B468E"/>
    <w:rsid w:val="007B4C2D"/>
    <w:rsid w:val="007B4E6B"/>
    <w:rsid w:val="007B5350"/>
    <w:rsid w:val="007B5DD7"/>
    <w:rsid w:val="007B5F62"/>
    <w:rsid w:val="007B6048"/>
    <w:rsid w:val="007B686C"/>
    <w:rsid w:val="007B68BC"/>
    <w:rsid w:val="007B6B5C"/>
    <w:rsid w:val="007B6CC2"/>
    <w:rsid w:val="007B7F4D"/>
    <w:rsid w:val="007C02AF"/>
    <w:rsid w:val="007C05E9"/>
    <w:rsid w:val="007C0AB1"/>
    <w:rsid w:val="007C328A"/>
    <w:rsid w:val="007C3EBB"/>
    <w:rsid w:val="007C42B7"/>
    <w:rsid w:val="007C4FD0"/>
    <w:rsid w:val="007C57AF"/>
    <w:rsid w:val="007C58EC"/>
    <w:rsid w:val="007C59E8"/>
    <w:rsid w:val="007D0B2F"/>
    <w:rsid w:val="007D0E1E"/>
    <w:rsid w:val="007D12EC"/>
    <w:rsid w:val="007D140D"/>
    <w:rsid w:val="007D1474"/>
    <w:rsid w:val="007D14A9"/>
    <w:rsid w:val="007D1912"/>
    <w:rsid w:val="007D1A7C"/>
    <w:rsid w:val="007D24E6"/>
    <w:rsid w:val="007D2B0F"/>
    <w:rsid w:val="007D2FF4"/>
    <w:rsid w:val="007D3AE3"/>
    <w:rsid w:val="007D4900"/>
    <w:rsid w:val="007D4CD3"/>
    <w:rsid w:val="007D627A"/>
    <w:rsid w:val="007D666B"/>
    <w:rsid w:val="007D697D"/>
    <w:rsid w:val="007D6A5F"/>
    <w:rsid w:val="007D6BA1"/>
    <w:rsid w:val="007D7DA8"/>
    <w:rsid w:val="007D7DAB"/>
    <w:rsid w:val="007D7F43"/>
    <w:rsid w:val="007E05A5"/>
    <w:rsid w:val="007E0EDE"/>
    <w:rsid w:val="007E1AA6"/>
    <w:rsid w:val="007E1B5B"/>
    <w:rsid w:val="007E3E3A"/>
    <w:rsid w:val="007E3FFC"/>
    <w:rsid w:val="007E4F27"/>
    <w:rsid w:val="007E5101"/>
    <w:rsid w:val="007E6452"/>
    <w:rsid w:val="007E752C"/>
    <w:rsid w:val="007E7EA8"/>
    <w:rsid w:val="007F0186"/>
    <w:rsid w:val="007F0872"/>
    <w:rsid w:val="007F0BCF"/>
    <w:rsid w:val="007F14F5"/>
    <w:rsid w:val="007F28AF"/>
    <w:rsid w:val="007F2A7B"/>
    <w:rsid w:val="007F2C51"/>
    <w:rsid w:val="007F2EC0"/>
    <w:rsid w:val="007F38D3"/>
    <w:rsid w:val="007F4A81"/>
    <w:rsid w:val="007F4ED5"/>
    <w:rsid w:val="007F546B"/>
    <w:rsid w:val="007F5563"/>
    <w:rsid w:val="007F6ABC"/>
    <w:rsid w:val="007F6BCC"/>
    <w:rsid w:val="007F6C09"/>
    <w:rsid w:val="007F6D9F"/>
    <w:rsid w:val="007F7A07"/>
    <w:rsid w:val="007F7BDA"/>
    <w:rsid w:val="00800CAC"/>
    <w:rsid w:val="008013F7"/>
    <w:rsid w:val="00801ECC"/>
    <w:rsid w:val="00802183"/>
    <w:rsid w:val="00802A4E"/>
    <w:rsid w:val="00803031"/>
    <w:rsid w:val="00803AD6"/>
    <w:rsid w:val="00803D1A"/>
    <w:rsid w:val="00804B32"/>
    <w:rsid w:val="00804C74"/>
    <w:rsid w:val="008050E9"/>
    <w:rsid w:val="008061F3"/>
    <w:rsid w:val="008065F2"/>
    <w:rsid w:val="008066F7"/>
    <w:rsid w:val="0080712C"/>
    <w:rsid w:val="00810DD1"/>
    <w:rsid w:val="00811154"/>
    <w:rsid w:val="008111B4"/>
    <w:rsid w:val="008116D6"/>
    <w:rsid w:val="008119E4"/>
    <w:rsid w:val="00811EF2"/>
    <w:rsid w:val="008123C3"/>
    <w:rsid w:val="00813485"/>
    <w:rsid w:val="00814491"/>
    <w:rsid w:val="0081457D"/>
    <w:rsid w:val="00814688"/>
    <w:rsid w:val="0081483E"/>
    <w:rsid w:val="00814F2A"/>
    <w:rsid w:val="008164C8"/>
    <w:rsid w:val="00816847"/>
    <w:rsid w:val="00816F41"/>
    <w:rsid w:val="00820908"/>
    <w:rsid w:val="00821129"/>
    <w:rsid w:val="00821D9F"/>
    <w:rsid w:val="008221F7"/>
    <w:rsid w:val="008226A2"/>
    <w:rsid w:val="00822E4D"/>
    <w:rsid w:val="00822F93"/>
    <w:rsid w:val="00823161"/>
    <w:rsid w:val="008232A8"/>
    <w:rsid w:val="00823638"/>
    <w:rsid w:val="00823FD7"/>
    <w:rsid w:val="00824E36"/>
    <w:rsid w:val="00824EBE"/>
    <w:rsid w:val="008255A2"/>
    <w:rsid w:val="00826159"/>
    <w:rsid w:val="008265F0"/>
    <w:rsid w:val="00826C66"/>
    <w:rsid w:val="00826E58"/>
    <w:rsid w:val="00826EB8"/>
    <w:rsid w:val="0082757E"/>
    <w:rsid w:val="0082777A"/>
    <w:rsid w:val="00827AE6"/>
    <w:rsid w:val="008300D7"/>
    <w:rsid w:val="008304ED"/>
    <w:rsid w:val="00830545"/>
    <w:rsid w:val="00831775"/>
    <w:rsid w:val="00831E51"/>
    <w:rsid w:val="008327A0"/>
    <w:rsid w:val="008329BE"/>
    <w:rsid w:val="00833E81"/>
    <w:rsid w:val="008342B3"/>
    <w:rsid w:val="00834321"/>
    <w:rsid w:val="008343C2"/>
    <w:rsid w:val="00835028"/>
    <w:rsid w:val="00835EE1"/>
    <w:rsid w:val="00836567"/>
    <w:rsid w:val="0083723D"/>
    <w:rsid w:val="00837317"/>
    <w:rsid w:val="00837B51"/>
    <w:rsid w:val="00837D99"/>
    <w:rsid w:val="00840532"/>
    <w:rsid w:val="0084090D"/>
    <w:rsid w:val="00840CDE"/>
    <w:rsid w:val="00840D06"/>
    <w:rsid w:val="008411C5"/>
    <w:rsid w:val="008414E6"/>
    <w:rsid w:val="0084178E"/>
    <w:rsid w:val="00841DA8"/>
    <w:rsid w:val="00842174"/>
    <w:rsid w:val="008426EB"/>
    <w:rsid w:val="00842B55"/>
    <w:rsid w:val="0084372F"/>
    <w:rsid w:val="008441DB"/>
    <w:rsid w:val="00844548"/>
    <w:rsid w:val="00844668"/>
    <w:rsid w:val="0084513D"/>
    <w:rsid w:val="008456F0"/>
    <w:rsid w:val="00845A2A"/>
    <w:rsid w:val="008466DF"/>
    <w:rsid w:val="008473F5"/>
    <w:rsid w:val="00847669"/>
    <w:rsid w:val="0084780B"/>
    <w:rsid w:val="00847D9A"/>
    <w:rsid w:val="0085005A"/>
    <w:rsid w:val="00850CCC"/>
    <w:rsid w:val="0085202E"/>
    <w:rsid w:val="00852057"/>
    <w:rsid w:val="008529B7"/>
    <w:rsid w:val="008529E6"/>
    <w:rsid w:val="00852E47"/>
    <w:rsid w:val="00852E8D"/>
    <w:rsid w:val="00853F6C"/>
    <w:rsid w:val="00854217"/>
    <w:rsid w:val="008547D3"/>
    <w:rsid w:val="008549D6"/>
    <w:rsid w:val="00855132"/>
    <w:rsid w:val="00855560"/>
    <w:rsid w:val="00855FCC"/>
    <w:rsid w:val="00856B73"/>
    <w:rsid w:val="008571AA"/>
    <w:rsid w:val="008571AC"/>
    <w:rsid w:val="00857816"/>
    <w:rsid w:val="008604A5"/>
    <w:rsid w:val="008607F1"/>
    <w:rsid w:val="00860CD4"/>
    <w:rsid w:val="00860D73"/>
    <w:rsid w:val="008614FD"/>
    <w:rsid w:val="0086170B"/>
    <w:rsid w:val="008618E4"/>
    <w:rsid w:val="00862247"/>
    <w:rsid w:val="00862C0A"/>
    <w:rsid w:val="00863CB9"/>
    <w:rsid w:val="00864342"/>
    <w:rsid w:val="00864739"/>
    <w:rsid w:val="00864FC4"/>
    <w:rsid w:val="00865128"/>
    <w:rsid w:val="00866622"/>
    <w:rsid w:val="00866EB6"/>
    <w:rsid w:val="008677CC"/>
    <w:rsid w:val="00867CB7"/>
    <w:rsid w:val="008701DB"/>
    <w:rsid w:val="008708B7"/>
    <w:rsid w:val="008717C2"/>
    <w:rsid w:val="00871E8C"/>
    <w:rsid w:val="0087264A"/>
    <w:rsid w:val="00872B1B"/>
    <w:rsid w:val="00873C11"/>
    <w:rsid w:val="00873D32"/>
    <w:rsid w:val="00874393"/>
    <w:rsid w:val="008743FE"/>
    <w:rsid w:val="0087478F"/>
    <w:rsid w:val="0087524E"/>
    <w:rsid w:val="00875495"/>
    <w:rsid w:val="00875588"/>
    <w:rsid w:val="00876781"/>
    <w:rsid w:val="008805DE"/>
    <w:rsid w:val="008808B5"/>
    <w:rsid w:val="00880CB1"/>
    <w:rsid w:val="008810B5"/>
    <w:rsid w:val="008813D5"/>
    <w:rsid w:val="008817F5"/>
    <w:rsid w:val="008818C2"/>
    <w:rsid w:val="00881DB5"/>
    <w:rsid w:val="00881FDC"/>
    <w:rsid w:val="00882A19"/>
    <w:rsid w:val="00883B0E"/>
    <w:rsid w:val="008842D5"/>
    <w:rsid w:val="0088577F"/>
    <w:rsid w:val="00885D70"/>
    <w:rsid w:val="0088616C"/>
    <w:rsid w:val="00886622"/>
    <w:rsid w:val="0088740F"/>
    <w:rsid w:val="00887E94"/>
    <w:rsid w:val="00890395"/>
    <w:rsid w:val="0089062A"/>
    <w:rsid w:val="00890750"/>
    <w:rsid w:val="00890B82"/>
    <w:rsid w:val="00890CC2"/>
    <w:rsid w:val="00890F77"/>
    <w:rsid w:val="00891BD0"/>
    <w:rsid w:val="008923A0"/>
    <w:rsid w:val="008928A4"/>
    <w:rsid w:val="00892ECC"/>
    <w:rsid w:val="00893AC4"/>
    <w:rsid w:val="00896FCE"/>
    <w:rsid w:val="00896FDB"/>
    <w:rsid w:val="00897124"/>
    <w:rsid w:val="00897435"/>
    <w:rsid w:val="008977A1"/>
    <w:rsid w:val="00897A16"/>
    <w:rsid w:val="008A09BB"/>
    <w:rsid w:val="008A24F4"/>
    <w:rsid w:val="008A260E"/>
    <w:rsid w:val="008A27F3"/>
    <w:rsid w:val="008A291E"/>
    <w:rsid w:val="008A31E3"/>
    <w:rsid w:val="008A3C1F"/>
    <w:rsid w:val="008A3F31"/>
    <w:rsid w:val="008A427A"/>
    <w:rsid w:val="008A506E"/>
    <w:rsid w:val="008A5384"/>
    <w:rsid w:val="008A5D7E"/>
    <w:rsid w:val="008A6100"/>
    <w:rsid w:val="008A62CF"/>
    <w:rsid w:val="008A63C4"/>
    <w:rsid w:val="008A648A"/>
    <w:rsid w:val="008A6B95"/>
    <w:rsid w:val="008A6E41"/>
    <w:rsid w:val="008A72A8"/>
    <w:rsid w:val="008A7B86"/>
    <w:rsid w:val="008B04DA"/>
    <w:rsid w:val="008B0E10"/>
    <w:rsid w:val="008B19AF"/>
    <w:rsid w:val="008B1FE1"/>
    <w:rsid w:val="008B3D9E"/>
    <w:rsid w:val="008B4441"/>
    <w:rsid w:val="008B4591"/>
    <w:rsid w:val="008B47F5"/>
    <w:rsid w:val="008B4C03"/>
    <w:rsid w:val="008B5233"/>
    <w:rsid w:val="008B535E"/>
    <w:rsid w:val="008B57CE"/>
    <w:rsid w:val="008B61AE"/>
    <w:rsid w:val="008C08C2"/>
    <w:rsid w:val="008C0AC8"/>
    <w:rsid w:val="008C17A4"/>
    <w:rsid w:val="008C1AB0"/>
    <w:rsid w:val="008C1CFE"/>
    <w:rsid w:val="008C2849"/>
    <w:rsid w:val="008C2A38"/>
    <w:rsid w:val="008C2E57"/>
    <w:rsid w:val="008C377A"/>
    <w:rsid w:val="008C3ABD"/>
    <w:rsid w:val="008C3E2E"/>
    <w:rsid w:val="008C4581"/>
    <w:rsid w:val="008C4FC2"/>
    <w:rsid w:val="008C526F"/>
    <w:rsid w:val="008C5400"/>
    <w:rsid w:val="008C5622"/>
    <w:rsid w:val="008C583F"/>
    <w:rsid w:val="008C608B"/>
    <w:rsid w:val="008C6FCB"/>
    <w:rsid w:val="008C7159"/>
    <w:rsid w:val="008D0567"/>
    <w:rsid w:val="008D154F"/>
    <w:rsid w:val="008D19C5"/>
    <w:rsid w:val="008D24DD"/>
    <w:rsid w:val="008D3DBF"/>
    <w:rsid w:val="008D4431"/>
    <w:rsid w:val="008D4644"/>
    <w:rsid w:val="008D4D64"/>
    <w:rsid w:val="008D577F"/>
    <w:rsid w:val="008D5918"/>
    <w:rsid w:val="008D5C00"/>
    <w:rsid w:val="008D6917"/>
    <w:rsid w:val="008D73C6"/>
    <w:rsid w:val="008D7A71"/>
    <w:rsid w:val="008D7E9E"/>
    <w:rsid w:val="008E03C5"/>
    <w:rsid w:val="008E0BD6"/>
    <w:rsid w:val="008E1493"/>
    <w:rsid w:val="008E15AC"/>
    <w:rsid w:val="008E1BA3"/>
    <w:rsid w:val="008E1ED3"/>
    <w:rsid w:val="008E2771"/>
    <w:rsid w:val="008E2B94"/>
    <w:rsid w:val="008E3911"/>
    <w:rsid w:val="008E462C"/>
    <w:rsid w:val="008E4696"/>
    <w:rsid w:val="008E5CD8"/>
    <w:rsid w:val="008E63E4"/>
    <w:rsid w:val="008E65C4"/>
    <w:rsid w:val="008E66D9"/>
    <w:rsid w:val="008E6DF6"/>
    <w:rsid w:val="008E6E56"/>
    <w:rsid w:val="008E70BC"/>
    <w:rsid w:val="008E7573"/>
    <w:rsid w:val="008E7B78"/>
    <w:rsid w:val="008F043C"/>
    <w:rsid w:val="008F047D"/>
    <w:rsid w:val="008F09E4"/>
    <w:rsid w:val="008F195D"/>
    <w:rsid w:val="008F2536"/>
    <w:rsid w:val="008F28F6"/>
    <w:rsid w:val="008F343C"/>
    <w:rsid w:val="008F3663"/>
    <w:rsid w:val="008F3C32"/>
    <w:rsid w:val="008F3D90"/>
    <w:rsid w:val="008F431E"/>
    <w:rsid w:val="008F4FDE"/>
    <w:rsid w:val="008F54D2"/>
    <w:rsid w:val="008F567C"/>
    <w:rsid w:val="008F6180"/>
    <w:rsid w:val="008F6DD6"/>
    <w:rsid w:val="008F6EFE"/>
    <w:rsid w:val="008F7836"/>
    <w:rsid w:val="0090009D"/>
    <w:rsid w:val="009000E0"/>
    <w:rsid w:val="009002B7"/>
    <w:rsid w:val="00900673"/>
    <w:rsid w:val="00900BF9"/>
    <w:rsid w:val="00901983"/>
    <w:rsid w:val="00902F0B"/>
    <w:rsid w:val="0090307B"/>
    <w:rsid w:val="00903C7B"/>
    <w:rsid w:val="00903CB8"/>
    <w:rsid w:val="0090502D"/>
    <w:rsid w:val="00905427"/>
    <w:rsid w:val="00905DEA"/>
    <w:rsid w:val="00905F63"/>
    <w:rsid w:val="00906692"/>
    <w:rsid w:val="009077E8"/>
    <w:rsid w:val="0090787C"/>
    <w:rsid w:val="00911D1C"/>
    <w:rsid w:val="0091239F"/>
    <w:rsid w:val="00912F86"/>
    <w:rsid w:val="009132FF"/>
    <w:rsid w:val="00914061"/>
    <w:rsid w:val="0091491B"/>
    <w:rsid w:val="00914E52"/>
    <w:rsid w:val="009154BB"/>
    <w:rsid w:val="009165C5"/>
    <w:rsid w:val="009166E8"/>
    <w:rsid w:val="00916E2F"/>
    <w:rsid w:val="00916EAC"/>
    <w:rsid w:val="009173D7"/>
    <w:rsid w:val="00920082"/>
    <w:rsid w:val="0092053C"/>
    <w:rsid w:val="00920803"/>
    <w:rsid w:val="009215C6"/>
    <w:rsid w:val="00923A28"/>
    <w:rsid w:val="009248AC"/>
    <w:rsid w:val="00925173"/>
    <w:rsid w:val="00925D01"/>
    <w:rsid w:val="0092646F"/>
    <w:rsid w:val="00926685"/>
    <w:rsid w:val="00926909"/>
    <w:rsid w:val="00926C45"/>
    <w:rsid w:val="009277F3"/>
    <w:rsid w:val="009279C4"/>
    <w:rsid w:val="009300D6"/>
    <w:rsid w:val="00930137"/>
    <w:rsid w:val="009307E4"/>
    <w:rsid w:val="00930B4B"/>
    <w:rsid w:val="00930CFD"/>
    <w:rsid w:val="00930ED6"/>
    <w:rsid w:val="00931920"/>
    <w:rsid w:val="00932509"/>
    <w:rsid w:val="009328C2"/>
    <w:rsid w:val="009328E6"/>
    <w:rsid w:val="00933128"/>
    <w:rsid w:val="00933C90"/>
    <w:rsid w:val="00933F17"/>
    <w:rsid w:val="00933F8A"/>
    <w:rsid w:val="00934870"/>
    <w:rsid w:val="00934B1C"/>
    <w:rsid w:val="009356E3"/>
    <w:rsid w:val="00936498"/>
    <w:rsid w:val="00937C49"/>
    <w:rsid w:val="009402EB"/>
    <w:rsid w:val="009406A4"/>
    <w:rsid w:val="0094071C"/>
    <w:rsid w:val="009416B3"/>
    <w:rsid w:val="00941972"/>
    <w:rsid w:val="00941EE3"/>
    <w:rsid w:val="00942564"/>
    <w:rsid w:val="00942936"/>
    <w:rsid w:val="00942E36"/>
    <w:rsid w:val="00943231"/>
    <w:rsid w:val="009436DC"/>
    <w:rsid w:val="009460AB"/>
    <w:rsid w:val="00946517"/>
    <w:rsid w:val="00946598"/>
    <w:rsid w:val="00946CA2"/>
    <w:rsid w:val="009473DF"/>
    <w:rsid w:val="00947BAF"/>
    <w:rsid w:val="00947E85"/>
    <w:rsid w:val="009507A7"/>
    <w:rsid w:val="00950E72"/>
    <w:rsid w:val="0095101D"/>
    <w:rsid w:val="00951D32"/>
    <w:rsid w:val="0095240F"/>
    <w:rsid w:val="00952ABE"/>
    <w:rsid w:val="009535DC"/>
    <w:rsid w:val="00953C4C"/>
    <w:rsid w:val="0095573D"/>
    <w:rsid w:val="00955BEE"/>
    <w:rsid w:val="00955F79"/>
    <w:rsid w:val="00956441"/>
    <w:rsid w:val="00960FCC"/>
    <w:rsid w:val="00961466"/>
    <w:rsid w:val="00961D7F"/>
    <w:rsid w:val="009625C5"/>
    <w:rsid w:val="0096356D"/>
    <w:rsid w:val="009643D4"/>
    <w:rsid w:val="00964788"/>
    <w:rsid w:val="009666A2"/>
    <w:rsid w:val="00967485"/>
    <w:rsid w:val="009675E8"/>
    <w:rsid w:val="00967949"/>
    <w:rsid w:val="00967C88"/>
    <w:rsid w:val="00967D08"/>
    <w:rsid w:val="00970205"/>
    <w:rsid w:val="00970986"/>
    <w:rsid w:val="00970A54"/>
    <w:rsid w:val="009710DE"/>
    <w:rsid w:val="00971141"/>
    <w:rsid w:val="009711D8"/>
    <w:rsid w:val="00971571"/>
    <w:rsid w:val="009717FD"/>
    <w:rsid w:val="00971BE9"/>
    <w:rsid w:val="00972229"/>
    <w:rsid w:val="00972BE3"/>
    <w:rsid w:val="00972BEB"/>
    <w:rsid w:val="00972E17"/>
    <w:rsid w:val="00973264"/>
    <w:rsid w:val="00973B3D"/>
    <w:rsid w:val="00973C02"/>
    <w:rsid w:val="00974BF0"/>
    <w:rsid w:val="0097587D"/>
    <w:rsid w:val="009759BB"/>
    <w:rsid w:val="009760B0"/>
    <w:rsid w:val="00977A3C"/>
    <w:rsid w:val="0098089D"/>
    <w:rsid w:val="00980BFC"/>
    <w:rsid w:val="00980C0D"/>
    <w:rsid w:val="0098113D"/>
    <w:rsid w:val="009814B7"/>
    <w:rsid w:val="00981C93"/>
    <w:rsid w:val="009820D0"/>
    <w:rsid w:val="0098236D"/>
    <w:rsid w:val="009824A6"/>
    <w:rsid w:val="00983266"/>
    <w:rsid w:val="00984ACF"/>
    <w:rsid w:val="00984C30"/>
    <w:rsid w:val="00984DBA"/>
    <w:rsid w:val="00984FB6"/>
    <w:rsid w:val="00985A38"/>
    <w:rsid w:val="00985E11"/>
    <w:rsid w:val="009870E0"/>
    <w:rsid w:val="0099109F"/>
    <w:rsid w:val="009913D2"/>
    <w:rsid w:val="0099142A"/>
    <w:rsid w:val="00991CBB"/>
    <w:rsid w:val="009920FD"/>
    <w:rsid w:val="0099321C"/>
    <w:rsid w:val="00993302"/>
    <w:rsid w:val="00995CE5"/>
    <w:rsid w:val="00995F25"/>
    <w:rsid w:val="009960E7"/>
    <w:rsid w:val="0099680C"/>
    <w:rsid w:val="0099744B"/>
    <w:rsid w:val="00997466"/>
    <w:rsid w:val="009976E2"/>
    <w:rsid w:val="009A03C9"/>
    <w:rsid w:val="009A0960"/>
    <w:rsid w:val="009A0999"/>
    <w:rsid w:val="009A2BDB"/>
    <w:rsid w:val="009A2F0F"/>
    <w:rsid w:val="009A35B3"/>
    <w:rsid w:val="009A3BF3"/>
    <w:rsid w:val="009A4215"/>
    <w:rsid w:val="009A4C25"/>
    <w:rsid w:val="009A4FD2"/>
    <w:rsid w:val="009A5069"/>
    <w:rsid w:val="009A527E"/>
    <w:rsid w:val="009A5374"/>
    <w:rsid w:val="009A5559"/>
    <w:rsid w:val="009A5773"/>
    <w:rsid w:val="009A6B8F"/>
    <w:rsid w:val="009A6DC3"/>
    <w:rsid w:val="009A7261"/>
    <w:rsid w:val="009A76A0"/>
    <w:rsid w:val="009B1008"/>
    <w:rsid w:val="009B2E7C"/>
    <w:rsid w:val="009B38A8"/>
    <w:rsid w:val="009B38E0"/>
    <w:rsid w:val="009B3A41"/>
    <w:rsid w:val="009B3E05"/>
    <w:rsid w:val="009B43AC"/>
    <w:rsid w:val="009B4A56"/>
    <w:rsid w:val="009B4D20"/>
    <w:rsid w:val="009B5D62"/>
    <w:rsid w:val="009B5DCB"/>
    <w:rsid w:val="009B65E2"/>
    <w:rsid w:val="009B6D69"/>
    <w:rsid w:val="009B746F"/>
    <w:rsid w:val="009B7593"/>
    <w:rsid w:val="009B75EE"/>
    <w:rsid w:val="009C07C2"/>
    <w:rsid w:val="009C0DA1"/>
    <w:rsid w:val="009C145A"/>
    <w:rsid w:val="009C43FE"/>
    <w:rsid w:val="009C493C"/>
    <w:rsid w:val="009C57E1"/>
    <w:rsid w:val="009C58B2"/>
    <w:rsid w:val="009C5D9A"/>
    <w:rsid w:val="009C5EA9"/>
    <w:rsid w:val="009C6550"/>
    <w:rsid w:val="009C6E01"/>
    <w:rsid w:val="009D0A70"/>
    <w:rsid w:val="009D1154"/>
    <w:rsid w:val="009D1563"/>
    <w:rsid w:val="009D1728"/>
    <w:rsid w:val="009D226A"/>
    <w:rsid w:val="009D364E"/>
    <w:rsid w:val="009D391C"/>
    <w:rsid w:val="009D3F5E"/>
    <w:rsid w:val="009D521E"/>
    <w:rsid w:val="009D540A"/>
    <w:rsid w:val="009D585B"/>
    <w:rsid w:val="009D611D"/>
    <w:rsid w:val="009D6CA0"/>
    <w:rsid w:val="009E055B"/>
    <w:rsid w:val="009E079B"/>
    <w:rsid w:val="009E0E0C"/>
    <w:rsid w:val="009E20EE"/>
    <w:rsid w:val="009E2C44"/>
    <w:rsid w:val="009E3730"/>
    <w:rsid w:val="009E477C"/>
    <w:rsid w:val="009E48B5"/>
    <w:rsid w:val="009E5232"/>
    <w:rsid w:val="009E54EF"/>
    <w:rsid w:val="009E59CE"/>
    <w:rsid w:val="009E60E6"/>
    <w:rsid w:val="009E7182"/>
    <w:rsid w:val="009E7AF6"/>
    <w:rsid w:val="009E7B20"/>
    <w:rsid w:val="009E7C3C"/>
    <w:rsid w:val="009F0FC2"/>
    <w:rsid w:val="009F14A4"/>
    <w:rsid w:val="009F2EFA"/>
    <w:rsid w:val="009F3549"/>
    <w:rsid w:val="009F389E"/>
    <w:rsid w:val="009F3F84"/>
    <w:rsid w:val="009F4888"/>
    <w:rsid w:val="009F57FE"/>
    <w:rsid w:val="009F5F49"/>
    <w:rsid w:val="009F687F"/>
    <w:rsid w:val="009F6896"/>
    <w:rsid w:val="009F698F"/>
    <w:rsid w:val="009F7E35"/>
    <w:rsid w:val="00A0063E"/>
    <w:rsid w:val="00A00E18"/>
    <w:rsid w:val="00A014B4"/>
    <w:rsid w:val="00A01BF2"/>
    <w:rsid w:val="00A037E5"/>
    <w:rsid w:val="00A03EAF"/>
    <w:rsid w:val="00A040B7"/>
    <w:rsid w:val="00A042EB"/>
    <w:rsid w:val="00A06A05"/>
    <w:rsid w:val="00A06E74"/>
    <w:rsid w:val="00A06F81"/>
    <w:rsid w:val="00A073A3"/>
    <w:rsid w:val="00A101E9"/>
    <w:rsid w:val="00A102A7"/>
    <w:rsid w:val="00A10C08"/>
    <w:rsid w:val="00A110C2"/>
    <w:rsid w:val="00A118FD"/>
    <w:rsid w:val="00A11A20"/>
    <w:rsid w:val="00A12322"/>
    <w:rsid w:val="00A123CA"/>
    <w:rsid w:val="00A1245C"/>
    <w:rsid w:val="00A1266C"/>
    <w:rsid w:val="00A133DB"/>
    <w:rsid w:val="00A13E68"/>
    <w:rsid w:val="00A156CB"/>
    <w:rsid w:val="00A15A1C"/>
    <w:rsid w:val="00A164D6"/>
    <w:rsid w:val="00A16C9A"/>
    <w:rsid w:val="00A1714E"/>
    <w:rsid w:val="00A1753A"/>
    <w:rsid w:val="00A17E81"/>
    <w:rsid w:val="00A2055C"/>
    <w:rsid w:val="00A20E9C"/>
    <w:rsid w:val="00A21A19"/>
    <w:rsid w:val="00A22D0E"/>
    <w:rsid w:val="00A234A2"/>
    <w:rsid w:val="00A238A9"/>
    <w:rsid w:val="00A248E5"/>
    <w:rsid w:val="00A26ABB"/>
    <w:rsid w:val="00A26B71"/>
    <w:rsid w:val="00A26E6D"/>
    <w:rsid w:val="00A26FC2"/>
    <w:rsid w:val="00A274B9"/>
    <w:rsid w:val="00A27DA6"/>
    <w:rsid w:val="00A30023"/>
    <w:rsid w:val="00A304F6"/>
    <w:rsid w:val="00A30CCD"/>
    <w:rsid w:val="00A31162"/>
    <w:rsid w:val="00A31701"/>
    <w:rsid w:val="00A3174F"/>
    <w:rsid w:val="00A31EB1"/>
    <w:rsid w:val="00A320AE"/>
    <w:rsid w:val="00A3253F"/>
    <w:rsid w:val="00A32A73"/>
    <w:rsid w:val="00A32CAF"/>
    <w:rsid w:val="00A32DBB"/>
    <w:rsid w:val="00A33507"/>
    <w:rsid w:val="00A35087"/>
    <w:rsid w:val="00A37337"/>
    <w:rsid w:val="00A404C1"/>
    <w:rsid w:val="00A406BB"/>
    <w:rsid w:val="00A40D44"/>
    <w:rsid w:val="00A41B85"/>
    <w:rsid w:val="00A425CC"/>
    <w:rsid w:val="00A426EC"/>
    <w:rsid w:val="00A42793"/>
    <w:rsid w:val="00A43B84"/>
    <w:rsid w:val="00A440BF"/>
    <w:rsid w:val="00A442AE"/>
    <w:rsid w:val="00A44A3C"/>
    <w:rsid w:val="00A44B2F"/>
    <w:rsid w:val="00A44D2B"/>
    <w:rsid w:val="00A44D3B"/>
    <w:rsid w:val="00A4536B"/>
    <w:rsid w:val="00A45A6D"/>
    <w:rsid w:val="00A45C97"/>
    <w:rsid w:val="00A47B43"/>
    <w:rsid w:val="00A51037"/>
    <w:rsid w:val="00A51EBB"/>
    <w:rsid w:val="00A526F8"/>
    <w:rsid w:val="00A528D2"/>
    <w:rsid w:val="00A53F1F"/>
    <w:rsid w:val="00A5411B"/>
    <w:rsid w:val="00A54D57"/>
    <w:rsid w:val="00A55007"/>
    <w:rsid w:val="00A5594C"/>
    <w:rsid w:val="00A56CC1"/>
    <w:rsid w:val="00A56EF9"/>
    <w:rsid w:val="00A578B4"/>
    <w:rsid w:val="00A6091E"/>
    <w:rsid w:val="00A61077"/>
    <w:rsid w:val="00A61CDA"/>
    <w:rsid w:val="00A61FBB"/>
    <w:rsid w:val="00A62190"/>
    <w:rsid w:val="00A621DF"/>
    <w:rsid w:val="00A62259"/>
    <w:rsid w:val="00A62282"/>
    <w:rsid w:val="00A624FB"/>
    <w:rsid w:val="00A6275E"/>
    <w:rsid w:val="00A63DE7"/>
    <w:rsid w:val="00A65451"/>
    <w:rsid w:val="00A65617"/>
    <w:rsid w:val="00A65B2D"/>
    <w:rsid w:val="00A66957"/>
    <w:rsid w:val="00A67062"/>
    <w:rsid w:val="00A673C7"/>
    <w:rsid w:val="00A70E32"/>
    <w:rsid w:val="00A7127C"/>
    <w:rsid w:val="00A720C1"/>
    <w:rsid w:val="00A724A5"/>
    <w:rsid w:val="00A725F2"/>
    <w:rsid w:val="00A7296E"/>
    <w:rsid w:val="00A72BA8"/>
    <w:rsid w:val="00A731BB"/>
    <w:rsid w:val="00A73CF2"/>
    <w:rsid w:val="00A7429F"/>
    <w:rsid w:val="00A750F4"/>
    <w:rsid w:val="00A759AB"/>
    <w:rsid w:val="00A76E74"/>
    <w:rsid w:val="00A77FCE"/>
    <w:rsid w:val="00A803FA"/>
    <w:rsid w:val="00A806C6"/>
    <w:rsid w:val="00A807C9"/>
    <w:rsid w:val="00A81506"/>
    <w:rsid w:val="00A81ED2"/>
    <w:rsid w:val="00A820A2"/>
    <w:rsid w:val="00A82245"/>
    <w:rsid w:val="00A8246E"/>
    <w:rsid w:val="00A829E7"/>
    <w:rsid w:val="00A82A19"/>
    <w:rsid w:val="00A82A4C"/>
    <w:rsid w:val="00A82FB8"/>
    <w:rsid w:val="00A83B6E"/>
    <w:rsid w:val="00A845C6"/>
    <w:rsid w:val="00A846AF"/>
    <w:rsid w:val="00A84878"/>
    <w:rsid w:val="00A85512"/>
    <w:rsid w:val="00A858D9"/>
    <w:rsid w:val="00A85CC2"/>
    <w:rsid w:val="00A866EA"/>
    <w:rsid w:val="00A86FBA"/>
    <w:rsid w:val="00A8703F"/>
    <w:rsid w:val="00A8707B"/>
    <w:rsid w:val="00A87975"/>
    <w:rsid w:val="00A87D43"/>
    <w:rsid w:val="00A90792"/>
    <w:rsid w:val="00A92BE6"/>
    <w:rsid w:val="00A930D9"/>
    <w:rsid w:val="00A93420"/>
    <w:rsid w:val="00A93730"/>
    <w:rsid w:val="00A93E73"/>
    <w:rsid w:val="00A93FC8"/>
    <w:rsid w:val="00A94280"/>
    <w:rsid w:val="00A94CC9"/>
    <w:rsid w:val="00A95F4C"/>
    <w:rsid w:val="00A9621A"/>
    <w:rsid w:val="00A97100"/>
    <w:rsid w:val="00AA042C"/>
    <w:rsid w:val="00AA0747"/>
    <w:rsid w:val="00AA0E10"/>
    <w:rsid w:val="00AA1E00"/>
    <w:rsid w:val="00AA32F9"/>
    <w:rsid w:val="00AA39A1"/>
    <w:rsid w:val="00AA4499"/>
    <w:rsid w:val="00AA55D3"/>
    <w:rsid w:val="00AA58B4"/>
    <w:rsid w:val="00AA6095"/>
    <w:rsid w:val="00AA6960"/>
    <w:rsid w:val="00AA6F54"/>
    <w:rsid w:val="00AA7345"/>
    <w:rsid w:val="00AA7548"/>
    <w:rsid w:val="00AA7639"/>
    <w:rsid w:val="00AA7BE5"/>
    <w:rsid w:val="00AB0549"/>
    <w:rsid w:val="00AB1371"/>
    <w:rsid w:val="00AB1539"/>
    <w:rsid w:val="00AB1891"/>
    <w:rsid w:val="00AB1B2F"/>
    <w:rsid w:val="00AB1DDF"/>
    <w:rsid w:val="00AB1E08"/>
    <w:rsid w:val="00AB27B4"/>
    <w:rsid w:val="00AB2CF2"/>
    <w:rsid w:val="00AB2F92"/>
    <w:rsid w:val="00AB340B"/>
    <w:rsid w:val="00AB40DA"/>
    <w:rsid w:val="00AB47B9"/>
    <w:rsid w:val="00AB488F"/>
    <w:rsid w:val="00AB49F6"/>
    <w:rsid w:val="00AB503E"/>
    <w:rsid w:val="00AB5788"/>
    <w:rsid w:val="00AB6133"/>
    <w:rsid w:val="00AB6337"/>
    <w:rsid w:val="00AB68C3"/>
    <w:rsid w:val="00AB6CD5"/>
    <w:rsid w:val="00AC11D9"/>
    <w:rsid w:val="00AC1523"/>
    <w:rsid w:val="00AC193C"/>
    <w:rsid w:val="00AC310E"/>
    <w:rsid w:val="00AC355E"/>
    <w:rsid w:val="00AC398B"/>
    <w:rsid w:val="00AC3CA2"/>
    <w:rsid w:val="00AC3DD1"/>
    <w:rsid w:val="00AC3EFA"/>
    <w:rsid w:val="00AC406E"/>
    <w:rsid w:val="00AC42A3"/>
    <w:rsid w:val="00AC483A"/>
    <w:rsid w:val="00AC4B03"/>
    <w:rsid w:val="00AC5169"/>
    <w:rsid w:val="00AC5BE2"/>
    <w:rsid w:val="00AC608A"/>
    <w:rsid w:val="00AC61B2"/>
    <w:rsid w:val="00AC7943"/>
    <w:rsid w:val="00AD0934"/>
    <w:rsid w:val="00AD135E"/>
    <w:rsid w:val="00AD1764"/>
    <w:rsid w:val="00AD1F61"/>
    <w:rsid w:val="00AD2E08"/>
    <w:rsid w:val="00AD307A"/>
    <w:rsid w:val="00AD3AA1"/>
    <w:rsid w:val="00AD3E3A"/>
    <w:rsid w:val="00AD47D9"/>
    <w:rsid w:val="00AD484B"/>
    <w:rsid w:val="00AD599D"/>
    <w:rsid w:val="00AD5A51"/>
    <w:rsid w:val="00AD6395"/>
    <w:rsid w:val="00AD6A67"/>
    <w:rsid w:val="00AD700B"/>
    <w:rsid w:val="00AD7C4A"/>
    <w:rsid w:val="00AE0E63"/>
    <w:rsid w:val="00AE0FC3"/>
    <w:rsid w:val="00AE1B64"/>
    <w:rsid w:val="00AE23D1"/>
    <w:rsid w:val="00AE28EA"/>
    <w:rsid w:val="00AE3054"/>
    <w:rsid w:val="00AE34AB"/>
    <w:rsid w:val="00AE5885"/>
    <w:rsid w:val="00AE5A72"/>
    <w:rsid w:val="00AE697E"/>
    <w:rsid w:val="00AE6C92"/>
    <w:rsid w:val="00AE6C97"/>
    <w:rsid w:val="00AE7876"/>
    <w:rsid w:val="00AE794B"/>
    <w:rsid w:val="00AF08EA"/>
    <w:rsid w:val="00AF1161"/>
    <w:rsid w:val="00AF1479"/>
    <w:rsid w:val="00AF1A09"/>
    <w:rsid w:val="00AF2C49"/>
    <w:rsid w:val="00AF3611"/>
    <w:rsid w:val="00AF3723"/>
    <w:rsid w:val="00AF37EE"/>
    <w:rsid w:val="00AF3949"/>
    <w:rsid w:val="00AF3FFB"/>
    <w:rsid w:val="00AF4A2E"/>
    <w:rsid w:val="00AF5035"/>
    <w:rsid w:val="00AF532D"/>
    <w:rsid w:val="00AF5B42"/>
    <w:rsid w:val="00AF5BD5"/>
    <w:rsid w:val="00AF5E45"/>
    <w:rsid w:val="00AF6746"/>
    <w:rsid w:val="00AF69AD"/>
    <w:rsid w:val="00AF6C82"/>
    <w:rsid w:val="00AF6E8F"/>
    <w:rsid w:val="00AF6F68"/>
    <w:rsid w:val="00AF6FA8"/>
    <w:rsid w:val="00AF74FA"/>
    <w:rsid w:val="00B00D22"/>
    <w:rsid w:val="00B011FC"/>
    <w:rsid w:val="00B01931"/>
    <w:rsid w:val="00B01D8D"/>
    <w:rsid w:val="00B01EDF"/>
    <w:rsid w:val="00B039D3"/>
    <w:rsid w:val="00B039F7"/>
    <w:rsid w:val="00B05176"/>
    <w:rsid w:val="00B05374"/>
    <w:rsid w:val="00B05B65"/>
    <w:rsid w:val="00B0652C"/>
    <w:rsid w:val="00B06A41"/>
    <w:rsid w:val="00B06B19"/>
    <w:rsid w:val="00B0732F"/>
    <w:rsid w:val="00B07420"/>
    <w:rsid w:val="00B10CAB"/>
    <w:rsid w:val="00B11109"/>
    <w:rsid w:val="00B1136A"/>
    <w:rsid w:val="00B11BA1"/>
    <w:rsid w:val="00B11DC7"/>
    <w:rsid w:val="00B12827"/>
    <w:rsid w:val="00B12846"/>
    <w:rsid w:val="00B1288D"/>
    <w:rsid w:val="00B12899"/>
    <w:rsid w:val="00B12C22"/>
    <w:rsid w:val="00B12CCA"/>
    <w:rsid w:val="00B136F5"/>
    <w:rsid w:val="00B138F6"/>
    <w:rsid w:val="00B13DC8"/>
    <w:rsid w:val="00B143E2"/>
    <w:rsid w:val="00B14802"/>
    <w:rsid w:val="00B148E5"/>
    <w:rsid w:val="00B1675A"/>
    <w:rsid w:val="00B203DF"/>
    <w:rsid w:val="00B20F47"/>
    <w:rsid w:val="00B212D7"/>
    <w:rsid w:val="00B2185E"/>
    <w:rsid w:val="00B21C5B"/>
    <w:rsid w:val="00B21E91"/>
    <w:rsid w:val="00B23166"/>
    <w:rsid w:val="00B233EE"/>
    <w:rsid w:val="00B24021"/>
    <w:rsid w:val="00B24D71"/>
    <w:rsid w:val="00B24E7C"/>
    <w:rsid w:val="00B2530D"/>
    <w:rsid w:val="00B2541B"/>
    <w:rsid w:val="00B25516"/>
    <w:rsid w:val="00B25644"/>
    <w:rsid w:val="00B25B31"/>
    <w:rsid w:val="00B260B1"/>
    <w:rsid w:val="00B26811"/>
    <w:rsid w:val="00B269AC"/>
    <w:rsid w:val="00B270C8"/>
    <w:rsid w:val="00B301E0"/>
    <w:rsid w:val="00B30FC9"/>
    <w:rsid w:val="00B31323"/>
    <w:rsid w:val="00B323ED"/>
    <w:rsid w:val="00B32465"/>
    <w:rsid w:val="00B33958"/>
    <w:rsid w:val="00B33FD4"/>
    <w:rsid w:val="00B3446A"/>
    <w:rsid w:val="00B34FEF"/>
    <w:rsid w:val="00B357CC"/>
    <w:rsid w:val="00B3726B"/>
    <w:rsid w:val="00B37CB3"/>
    <w:rsid w:val="00B37E7D"/>
    <w:rsid w:val="00B37FD0"/>
    <w:rsid w:val="00B40210"/>
    <w:rsid w:val="00B4154B"/>
    <w:rsid w:val="00B41917"/>
    <w:rsid w:val="00B41A9D"/>
    <w:rsid w:val="00B42BC2"/>
    <w:rsid w:val="00B42C14"/>
    <w:rsid w:val="00B44043"/>
    <w:rsid w:val="00B449E8"/>
    <w:rsid w:val="00B45106"/>
    <w:rsid w:val="00B45A9A"/>
    <w:rsid w:val="00B45B2E"/>
    <w:rsid w:val="00B4606E"/>
    <w:rsid w:val="00B46ACE"/>
    <w:rsid w:val="00B4752D"/>
    <w:rsid w:val="00B503AF"/>
    <w:rsid w:val="00B51177"/>
    <w:rsid w:val="00B513F3"/>
    <w:rsid w:val="00B51440"/>
    <w:rsid w:val="00B518F5"/>
    <w:rsid w:val="00B51ADB"/>
    <w:rsid w:val="00B51F6D"/>
    <w:rsid w:val="00B5208B"/>
    <w:rsid w:val="00B52695"/>
    <w:rsid w:val="00B529FC"/>
    <w:rsid w:val="00B5375E"/>
    <w:rsid w:val="00B53C0F"/>
    <w:rsid w:val="00B54908"/>
    <w:rsid w:val="00B54D5F"/>
    <w:rsid w:val="00B54F68"/>
    <w:rsid w:val="00B559A9"/>
    <w:rsid w:val="00B5627D"/>
    <w:rsid w:val="00B576CC"/>
    <w:rsid w:val="00B60242"/>
    <w:rsid w:val="00B602A0"/>
    <w:rsid w:val="00B615C3"/>
    <w:rsid w:val="00B61D08"/>
    <w:rsid w:val="00B627F5"/>
    <w:rsid w:val="00B6302F"/>
    <w:rsid w:val="00B63150"/>
    <w:rsid w:val="00B63B96"/>
    <w:rsid w:val="00B64149"/>
    <w:rsid w:val="00B64520"/>
    <w:rsid w:val="00B6452C"/>
    <w:rsid w:val="00B652D8"/>
    <w:rsid w:val="00B65725"/>
    <w:rsid w:val="00B6613D"/>
    <w:rsid w:val="00B66D32"/>
    <w:rsid w:val="00B67279"/>
    <w:rsid w:val="00B67529"/>
    <w:rsid w:val="00B6754C"/>
    <w:rsid w:val="00B7068A"/>
    <w:rsid w:val="00B706F1"/>
    <w:rsid w:val="00B70E2C"/>
    <w:rsid w:val="00B714A5"/>
    <w:rsid w:val="00B719FB"/>
    <w:rsid w:val="00B71C66"/>
    <w:rsid w:val="00B71EFD"/>
    <w:rsid w:val="00B72411"/>
    <w:rsid w:val="00B72740"/>
    <w:rsid w:val="00B72BCA"/>
    <w:rsid w:val="00B72FF4"/>
    <w:rsid w:val="00B731EC"/>
    <w:rsid w:val="00B7335B"/>
    <w:rsid w:val="00B738C8"/>
    <w:rsid w:val="00B73D67"/>
    <w:rsid w:val="00B74026"/>
    <w:rsid w:val="00B7428C"/>
    <w:rsid w:val="00B748B8"/>
    <w:rsid w:val="00B74D81"/>
    <w:rsid w:val="00B74E20"/>
    <w:rsid w:val="00B757AE"/>
    <w:rsid w:val="00B757C2"/>
    <w:rsid w:val="00B7632D"/>
    <w:rsid w:val="00B767D5"/>
    <w:rsid w:val="00B76B88"/>
    <w:rsid w:val="00B777AB"/>
    <w:rsid w:val="00B777DA"/>
    <w:rsid w:val="00B80065"/>
    <w:rsid w:val="00B807EC"/>
    <w:rsid w:val="00B81CA6"/>
    <w:rsid w:val="00B822FC"/>
    <w:rsid w:val="00B8261A"/>
    <w:rsid w:val="00B826C4"/>
    <w:rsid w:val="00B828B3"/>
    <w:rsid w:val="00B828F1"/>
    <w:rsid w:val="00B82E0C"/>
    <w:rsid w:val="00B83EC8"/>
    <w:rsid w:val="00B8419F"/>
    <w:rsid w:val="00B843B6"/>
    <w:rsid w:val="00B84B91"/>
    <w:rsid w:val="00B86102"/>
    <w:rsid w:val="00B90278"/>
    <w:rsid w:val="00B902A1"/>
    <w:rsid w:val="00B9035B"/>
    <w:rsid w:val="00B9052A"/>
    <w:rsid w:val="00B90868"/>
    <w:rsid w:val="00B90C42"/>
    <w:rsid w:val="00B913D2"/>
    <w:rsid w:val="00B91F0A"/>
    <w:rsid w:val="00B93621"/>
    <w:rsid w:val="00B93BEE"/>
    <w:rsid w:val="00B93D3C"/>
    <w:rsid w:val="00B943A4"/>
    <w:rsid w:val="00B9485C"/>
    <w:rsid w:val="00B94F2E"/>
    <w:rsid w:val="00B952AC"/>
    <w:rsid w:val="00B955CF"/>
    <w:rsid w:val="00B9577D"/>
    <w:rsid w:val="00B95A96"/>
    <w:rsid w:val="00B974E3"/>
    <w:rsid w:val="00B97ADC"/>
    <w:rsid w:val="00B97D2D"/>
    <w:rsid w:val="00B97F69"/>
    <w:rsid w:val="00BA002A"/>
    <w:rsid w:val="00BA01BB"/>
    <w:rsid w:val="00BA03F9"/>
    <w:rsid w:val="00BA0896"/>
    <w:rsid w:val="00BA107A"/>
    <w:rsid w:val="00BA15E1"/>
    <w:rsid w:val="00BA29FF"/>
    <w:rsid w:val="00BA3A6D"/>
    <w:rsid w:val="00BA3AEC"/>
    <w:rsid w:val="00BA3B7B"/>
    <w:rsid w:val="00BA433C"/>
    <w:rsid w:val="00BA4AB6"/>
    <w:rsid w:val="00BA5780"/>
    <w:rsid w:val="00BA58C6"/>
    <w:rsid w:val="00BA60E9"/>
    <w:rsid w:val="00BA7B34"/>
    <w:rsid w:val="00BA7F1E"/>
    <w:rsid w:val="00BB0D18"/>
    <w:rsid w:val="00BB1152"/>
    <w:rsid w:val="00BB1462"/>
    <w:rsid w:val="00BB19B0"/>
    <w:rsid w:val="00BB1AE9"/>
    <w:rsid w:val="00BB2082"/>
    <w:rsid w:val="00BB2122"/>
    <w:rsid w:val="00BB23D3"/>
    <w:rsid w:val="00BB29E1"/>
    <w:rsid w:val="00BB2A24"/>
    <w:rsid w:val="00BB3BAE"/>
    <w:rsid w:val="00BB4342"/>
    <w:rsid w:val="00BB5606"/>
    <w:rsid w:val="00BB690E"/>
    <w:rsid w:val="00BB6B6E"/>
    <w:rsid w:val="00BB74D8"/>
    <w:rsid w:val="00BC0B3D"/>
    <w:rsid w:val="00BC0E77"/>
    <w:rsid w:val="00BC10B5"/>
    <w:rsid w:val="00BC10EE"/>
    <w:rsid w:val="00BC1DC3"/>
    <w:rsid w:val="00BC1F34"/>
    <w:rsid w:val="00BC253E"/>
    <w:rsid w:val="00BC274A"/>
    <w:rsid w:val="00BC32B0"/>
    <w:rsid w:val="00BC33A2"/>
    <w:rsid w:val="00BC346A"/>
    <w:rsid w:val="00BC375A"/>
    <w:rsid w:val="00BC3882"/>
    <w:rsid w:val="00BC3E9C"/>
    <w:rsid w:val="00BC46DD"/>
    <w:rsid w:val="00BC4865"/>
    <w:rsid w:val="00BC48EA"/>
    <w:rsid w:val="00BC493C"/>
    <w:rsid w:val="00BC54D6"/>
    <w:rsid w:val="00BC6B4C"/>
    <w:rsid w:val="00BC6C4A"/>
    <w:rsid w:val="00BC7489"/>
    <w:rsid w:val="00BC7A2D"/>
    <w:rsid w:val="00BC7D57"/>
    <w:rsid w:val="00BD01A4"/>
    <w:rsid w:val="00BD0E04"/>
    <w:rsid w:val="00BD0E1A"/>
    <w:rsid w:val="00BD1A0B"/>
    <w:rsid w:val="00BD1A84"/>
    <w:rsid w:val="00BD1B4D"/>
    <w:rsid w:val="00BD388E"/>
    <w:rsid w:val="00BD3AC5"/>
    <w:rsid w:val="00BD496E"/>
    <w:rsid w:val="00BD4A81"/>
    <w:rsid w:val="00BD5A90"/>
    <w:rsid w:val="00BD5E3D"/>
    <w:rsid w:val="00BD5E84"/>
    <w:rsid w:val="00BD6922"/>
    <w:rsid w:val="00BD6A9C"/>
    <w:rsid w:val="00BD7DC4"/>
    <w:rsid w:val="00BE06F6"/>
    <w:rsid w:val="00BE07B5"/>
    <w:rsid w:val="00BE0B71"/>
    <w:rsid w:val="00BE18DC"/>
    <w:rsid w:val="00BE1CE1"/>
    <w:rsid w:val="00BE1D12"/>
    <w:rsid w:val="00BE1EE6"/>
    <w:rsid w:val="00BE223D"/>
    <w:rsid w:val="00BE25DA"/>
    <w:rsid w:val="00BE3B40"/>
    <w:rsid w:val="00BE42CB"/>
    <w:rsid w:val="00BE55F2"/>
    <w:rsid w:val="00BE58E7"/>
    <w:rsid w:val="00BE64DA"/>
    <w:rsid w:val="00BE7189"/>
    <w:rsid w:val="00BE7AA6"/>
    <w:rsid w:val="00BE7C0B"/>
    <w:rsid w:val="00BE7EB5"/>
    <w:rsid w:val="00BF024F"/>
    <w:rsid w:val="00BF073E"/>
    <w:rsid w:val="00BF122F"/>
    <w:rsid w:val="00BF183A"/>
    <w:rsid w:val="00BF19D0"/>
    <w:rsid w:val="00BF2260"/>
    <w:rsid w:val="00BF3A5B"/>
    <w:rsid w:val="00BF42FD"/>
    <w:rsid w:val="00BF48B6"/>
    <w:rsid w:val="00BF4E3C"/>
    <w:rsid w:val="00BF542F"/>
    <w:rsid w:val="00BF553E"/>
    <w:rsid w:val="00BF584B"/>
    <w:rsid w:val="00BF645B"/>
    <w:rsid w:val="00BF6538"/>
    <w:rsid w:val="00BF657A"/>
    <w:rsid w:val="00BF66EA"/>
    <w:rsid w:val="00BF6843"/>
    <w:rsid w:val="00BF70B6"/>
    <w:rsid w:val="00C00B84"/>
    <w:rsid w:val="00C00BE9"/>
    <w:rsid w:val="00C00DA3"/>
    <w:rsid w:val="00C013A1"/>
    <w:rsid w:val="00C01561"/>
    <w:rsid w:val="00C02100"/>
    <w:rsid w:val="00C02621"/>
    <w:rsid w:val="00C03839"/>
    <w:rsid w:val="00C03A7C"/>
    <w:rsid w:val="00C03EB6"/>
    <w:rsid w:val="00C041F1"/>
    <w:rsid w:val="00C0465F"/>
    <w:rsid w:val="00C0471E"/>
    <w:rsid w:val="00C04AD1"/>
    <w:rsid w:val="00C05009"/>
    <w:rsid w:val="00C065F2"/>
    <w:rsid w:val="00C074A5"/>
    <w:rsid w:val="00C07625"/>
    <w:rsid w:val="00C105D3"/>
    <w:rsid w:val="00C10F4B"/>
    <w:rsid w:val="00C119D6"/>
    <w:rsid w:val="00C12583"/>
    <w:rsid w:val="00C12923"/>
    <w:rsid w:val="00C1296D"/>
    <w:rsid w:val="00C130A2"/>
    <w:rsid w:val="00C14223"/>
    <w:rsid w:val="00C1480A"/>
    <w:rsid w:val="00C15057"/>
    <w:rsid w:val="00C15455"/>
    <w:rsid w:val="00C15A6C"/>
    <w:rsid w:val="00C162EF"/>
    <w:rsid w:val="00C163A1"/>
    <w:rsid w:val="00C1646D"/>
    <w:rsid w:val="00C16728"/>
    <w:rsid w:val="00C169F2"/>
    <w:rsid w:val="00C16B64"/>
    <w:rsid w:val="00C17BD6"/>
    <w:rsid w:val="00C17CBA"/>
    <w:rsid w:val="00C203E6"/>
    <w:rsid w:val="00C2057F"/>
    <w:rsid w:val="00C2093A"/>
    <w:rsid w:val="00C20AA4"/>
    <w:rsid w:val="00C21379"/>
    <w:rsid w:val="00C21459"/>
    <w:rsid w:val="00C22C26"/>
    <w:rsid w:val="00C234D2"/>
    <w:rsid w:val="00C24B01"/>
    <w:rsid w:val="00C25338"/>
    <w:rsid w:val="00C258D7"/>
    <w:rsid w:val="00C25C3C"/>
    <w:rsid w:val="00C27A19"/>
    <w:rsid w:val="00C27DBD"/>
    <w:rsid w:val="00C27DFF"/>
    <w:rsid w:val="00C30D19"/>
    <w:rsid w:val="00C30DF3"/>
    <w:rsid w:val="00C30F0C"/>
    <w:rsid w:val="00C312D8"/>
    <w:rsid w:val="00C3178D"/>
    <w:rsid w:val="00C3188B"/>
    <w:rsid w:val="00C32CCE"/>
    <w:rsid w:val="00C330AA"/>
    <w:rsid w:val="00C334C9"/>
    <w:rsid w:val="00C336A7"/>
    <w:rsid w:val="00C33B18"/>
    <w:rsid w:val="00C34017"/>
    <w:rsid w:val="00C3496E"/>
    <w:rsid w:val="00C34B9A"/>
    <w:rsid w:val="00C3564E"/>
    <w:rsid w:val="00C3619B"/>
    <w:rsid w:val="00C367EC"/>
    <w:rsid w:val="00C37420"/>
    <w:rsid w:val="00C374B9"/>
    <w:rsid w:val="00C37FA2"/>
    <w:rsid w:val="00C41A01"/>
    <w:rsid w:val="00C42326"/>
    <w:rsid w:val="00C4245A"/>
    <w:rsid w:val="00C4413E"/>
    <w:rsid w:val="00C45572"/>
    <w:rsid w:val="00C461FD"/>
    <w:rsid w:val="00C46556"/>
    <w:rsid w:val="00C47140"/>
    <w:rsid w:val="00C479E0"/>
    <w:rsid w:val="00C5031A"/>
    <w:rsid w:val="00C505C0"/>
    <w:rsid w:val="00C50B8E"/>
    <w:rsid w:val="00C50E48"/>
    <w:rsid w:val="00C512DF"/>
    <w:rsid w:val="00C51F3F"/>
    <w:rsid w:val="00C522D8"/>
    <w:rsid w:val="00C54434"/>
    <w:rsid w:val="00C546BB"/>
    <w:rsid w:val="00C54C99"/>
    <w:rsid w:val="00C55428"/>
    <w:rsid w:val="00C557D4"/>
    <w:rsid w:val="00C55C88"/>
    <w:rsid w:val="00C5621C"/>
    <w:rsid w:val="00C5667F"/>
    <w:rsid w:val="00C5747F"/>
    <w:rsid w:val="00C576DD"/>
    <w:rsid w:val="00C6065D"/>
    <w:rsid w:val="00C60CB3"/>
    <w:rsid w:val="00C61B60"/>
    <w:rsid w:val="00C61C80"/>
    <w:rsid w:val="00C620E4"/>
    <w:rsid w:val="00C622D6"/>
    <w:rsid w:val="00C6275C"/>
    <w:rsid w:val="00C6357A"/>
    <w:rsid w:val="00C636DD"/>
    <w:rsid w:val="00C638DF"/>
    <w:rsid w:val="00C63C55"/>
    <w:rsid w:val="00C653AC"/>
    <w:rsid w:val="00C663BB"/>
    <w:rsid w:val="00C664F6"/>
    <w:rsid w:val="00C66864"/>
    <w:rsid w:val="00C66BE4"/>
    <w:rsid w:val="00C6718B"/>
    <w:rsid w:val="00C67413"/>
    <w:rsid w:val="00C678CF"/>
    <w:rsid w:val="00C7026D"/>
    <w:rsid w:val="00C71053"/>
    <w:rsid w:val="00C71475"/>
    <w:rsid w:val="00C71939"/>
    <w:rsid w:val="00C72298"/>
    <w:rsid w:val="00C730C4"/>
    <w:rsid w:val="00C73274"/>
    <w:rsid w:val="00C7459E"/>
    <w:rsid w:val="00C74E3F"/>
    <w:rsid w:val="00C74F64"/>
    <w:rsid w:val="00C751CE"/>
    <w:rsid w:val="00C7563B"/>
    <w:rsid w:val="00C756F5"/>
    <w:rsid w:val="00C75D08"/>
    <w:rsid w:val="00C7707A"/>
    <w:rsid w:val="00C77814"/>
    <w:rsid w:val="00C80173"/>
    <w:rsid w:val="00C803CA"/>
    <w:rsid w:val="00C80C33"/>
    <w:rsid w:val="00C8118F"/>
    <w:rsid w:val="00C81FC9"/>
    <w:rsid w:val="00C8203A"/>
    <w:rsid w:val="00C824DA"/>
    <w:rsid w:val="00C828C4"/>
    <w:rsid w:val="00C82C12"/>
    <w:rsid w:val="00C8427B"/>
    <w:rsid w:val="00C865C6"/>
    <w:rsid w:val="00C879BE"/>
    <w:rsid w:val="00C901F3"/>
    <w:rsid w:val="00C90912"/>
    <w:rsid w:val="00C90C06"/>
    <w:rsid w:val="00C90CA0"/>
    <w:rsid w:val="00C90FA0"/>
    <w:rsid w:val="00C9171F"/>
    <w:rsid w:val="00C917DF"/>
    <w:rsid w:val="00C9182C"/>
    <w:rsid w:val="00C92732"/>
    <w:rsid w:val="00C92D96"/>
    <w:rsid w:val="00C934C9"/>
    <w:rsid w:val="00C93A33"/>
    <w:rsid w:val="00C93C18"/>
    <w:rsid w:val="00C94495"/>
    <w:rsid w:val="00C94801"/>
    <w:rsid w:val="00C94CEF"/>
    <w:rsid w:val="00C9556E"/>
    <w:rsid w:val="00C968A1"/>
    <w:rsid w:val="00C96B68"/>
    <w:rsid w:val="00C9748D"/>
    <w:rsid w:val="00CA020E"/>
    <w:rsid w:val="00CA05FE"/>
    <w:rsid w:val="00CA0678"/>
    <w:rsid w:val="00CA0BE0"/>
    <w:rsid w:val="00CA0D02"/>
    <w:rsid w:val="00CA1CA0"/>
    <w:rsid w:val="00CA1CB4"/>
    <w:rsid w:val="00CA2096"/>
    <w:rsid w:val="00CA20F5"/>
    <w:rsid w:val="00CA2709"/>
    <w:rsid w:val="00CA2F9F"/>
    <w:rsid w:val="00CA36F7"/>
    <w:rsid w:val="00CA4093"/>
    <w:rsid w:val="00CA40EA"/>
    <w:rsid w:val="00CA462A"/>
    <w:rsid w:val="00CA4756"/>
    <w:rsid w:val="00CA4AB4"/>
    <w:rsid w:val="00CA4C0A"/>
    <w:rsid w:val="00CA5439"/>
    <w:rsid w:val="00CA5EDD"/>
    <w:rsid w:val="00CA6249"/>
    <w:rsid w:val="00CA6287"/>
    <w:rsid w:val="00CA6AEE"/>
    <w:rsid w:val="00CA6C8E"/>
    <w:rsid w:val="00CA77D4"/>
    <w:rsid w:val="00CA79E2"/>
    <w:rsid w:val="00CB01AE"/>
    <w:rsid w:val="00CB04C8"/>
    <w:rsid w:val="00CB07BC"/>
    <w:rsid w:val="00CB113F"/>
    <w:rsid w:val="00CB18E3"/>
    <w:rsid w:val="00CB2134"/>
    <w:rsid w:val="00CB26B4"/>
    <w:rsid w:val="00CB2986"/>
    <w:rsid w:val="00CB2EE1"/>
    <w:rsid w:val="00CB3E0D"/>
    <w:rsid w:val="00CB411A"/>
    <w:rsid w:val="00CB42E1"/>
    <w:rsid w:val="00CB55C6"/>
    <w:rsid w:val="00CB5970"/>
    <w:rsid w:val="00CB5C5E"/>
    <w:rsid w:val="00CB738B"/>
    <w:rsid w:val="00CB7CEC"/>
    <w:rsid w:val="00CC0C68"/>
    <w:rsid w:val="00CC0CFF"/>
    <w:rsid w:val="00CC20B8"/>
    <w:rsid w:val="00CC2270"/>
    <w:rsid w:val="00CC281E"/>
    <w:rsid w:val="00CC3423"/>
    <w:rsid w:val="00CC3744"/>
    <w:rsid w:val="00CC4315"/>
    <w:rsid w:val="00CC4BF7"/>
    <w:rsid w:val="00CC4EE5"/>
    <w:rsid w:val="00CC4EF3"/>
    <w:rsid w:val="00CC63A8"/>
    <w:rsid w:val="00CC6525"/>
    <w:rsid w:val="00CC6D95"/>
    <w:rsid w:val="00CC7119"/>
    <w:rsid w:val="00CC7A81"/>
    <w:rsid w:val="00CC7B65"/>
    <w:rsid w:val="00CD02AB"/>
    <w:rsid w:val="00CD0A6A"/>
    <w:rsid w:val="00CD3A8A"/>
    <w:rsid w:val="00CD3FF5"/>
    <w:rsid w:val="00CD48F1"/>
    <w:rsid w:val="00CD4C31"/>
    <w:rsid w:val="00CD5D70"/>
    <w:rsid w:val="00CD61FB"/>
    <w:rsid w:val="00CD6219"/>
    <w:rsid w:val="00CD6B1F"/>
    <w:rsid w:val="00CD7204"/>
    <w:rsid w:val="00CD7367"/>
    <w:rsid w:val="00CD73BC"/>
    <w:rsid w:val="00CE017A"/>
    <w:rsid w:val="00CE18EB"/>
    <w:rsid w:val="00CE1CFB"/>
    <w:rsid w:val="00CE205C"/>
    <w:rsid w:val="00CE22B5"/>
    <w:rsid w:val="00CE29B1"/>
    <w:rsid w:val="00CE2AAF"/>
    <w:rsid w:val="00CE2BCA"/>
    <w:rsid w:val="00CE3544"/>
    <w:rsid w:val="00CE3819"/>
    <w:rsid w:val="00CE4048"/>
    <w:rsid w:val="00CE4901"/>
    <w:rsid w:val="00CE5760"/>
    <w:rsid w:val="00CE6093"/>
    <w:rsid w:val="00CE60FD"/>
    <w:rsid w:val="00CE7292"/>
    <w:rsid w:val="00CF0013"/>
    <w:rsid w:val="00CF02F5"/>
    <w:rsid w:val="00CF0A66"/>
    <w:rsid w:val="00CF0AE7"/>
    <w:rsid w:val="00CF0DE5"/>
    <w:rsid w:val="00CF17C8"/>
    <w:rsid w:val="00CF1D65"/>
    <w:rsid w:val="00CF26F5"/>
    <w:rsid w:val="00CF2CA2"/>
    <w:rsid w:val="00CF3A60"/>
    <w:rsid w:val="00CF3B8A"/>
    <w:rsid w:val="00CF3D21"/>
    <w:rsid w:val="00CF3DBA"/>
    <w:rsid w:val="00CF4B47"/>
    <w:rsid w:val="00CF5C47"/>
    <w:rsid w:val="00CF64EC"/>
    <w:rsid w:val="00CF6E62"/>
    <w:rsid w:val="00CF6E9C"/>
    <w:rsid w:val="00CF7789"/>
    <w:rsid w:val="00CF7B2D"/>
    <w:rsid w:val="00CF7F0B"/>
    <w:rsid w:val="00D009B5"/>
    <w:rsid w:val="00D00A85"/>
    <w:rsid w:val="00D00B01"/>
    <w:rsid w:val="00D00B65"/>
    <w:rsid w:val="00D00D9A"/>
    <w:rsid w:val="00D0144A"/>
    <w:rsid w:val="00D01F5A"/>
    <w:rsid w:val="00D0212F"/>
    <w:rsid w:val="00D0297E"/>
    <w:rsid w:val="00D02E43"/>
    <w:rsid w:val="00D037AB"/>
    <w:rsid w:val="00D03F55"/>
    <w:rsid w:val="00D04302"/>
    <w:rsid w:val="00D049F4"/>
    <w:rsid w:val="00D04F29"/>
    <w:rsid w:val="00D0558A"/>
    <w:rsid w:val="00D05876"/>
    <w:rsid w:val="00D067D9"/>
    <w:rsid w:val="00D06F3C"/>
    <w:rsid w:val="00D06F47"/>
    <w:rsid w:val="00D07521"/>
    <w:rsid w:val="00D07F25"/>
    <w:rsid w:val="00D100B9"/>
    <w:rsid w:val="00D101E9"/>
    <w:rsid w:val="00D109EE"/>
    <w:rsid w:val="00D10EB3"/>
    <w:rsid w:val="00D112BB"/>
    <w:rsid w:val="00D1221F"/>
    <w:rsid w:val="00D13A70"/>
    <w:rsid w:val="00D1403B"/>
    <w:rsid w:val="00D14C93"/>
    <w:rsid w:val="00D14F3D"/>
    <w:rsid w:val="00D15624"/>
    <w:rsid w:val="00D156E8"/>
    <w:rsid w:val="00D169D4"/>
    <w:rsid w:val="00D173CE"/>
    <w:rsid w:val="00D17A2E"/>
    <w:rsid w:val="00D17DB1"/>
    <w:rsid w:val="00D222E2"/>
    <w:rsid w:val="00D222E9"/>
    <w:rsid w:val="00D22BBB"/>
    <w:rsid w:val="00D23DFE"/>
    <w:rsid w:val="00D2452E"/>
    <w:rsid w:val="00D2456C"/>
    <w:rsid w:val="00D2464B"/>
    <w:rsid w:val="00D249FF"/>
    <w:rsid w:val="00D25A0D"/>
    <w:rsid w:val="00D25D00"/>
    <w:rsid w:val="00D25EFB"/>
    <w:rsid w:val="00D25FDA"/>
    <w:rsid w:val="00D26830"/>
    <w:rsid w:val="00D2695F"/>
    <w:rsid w:val="00D26A08"/>
    <w:rsid w:val="00D27438"/>
    <w:rsid w:val="00D275CE"/>
    <w:rsid w:val="00D27C62"/>
    <w:rsid w:val="00D304B1"/>
    <w:rsid w:val="00D307B2"/>
    <w:rsid w:val="00D3093A"/>
    <w:rsid w:val="00D319CE"/>
    <w:rsid w:val="00D31BA9"/>
    <w:rsid w:val="00D32398"/>
    <w:rsid w:val="00D32423"/>
    <w:rsid w:val="00D330DE"/>
    <w:rsid w:val="00D34337"/>
    <w:rsid w:val="00D34658"/>
    <w:rsid w:val="00D347BA"/>
    <w:rsid w:val="00D35523"/>
    <w:rsid w:val="00D35AD0"/>
    <w:rsid w:val="00D378DB"/>
    <w:rsid w:val="00D40129"/>
    <w:rsid w:val="00D411B6"/>
    <w:rsid w:val="00D4133A"/>
    <w:rsid w:val="00D41809"/>
    <w:rsid w:val="00D4208E"/>
    <w:rsid w:val="00D427FB"/>
    <w:rsid w:val="00D42F35"/>
    <w:rsid w:val="00D43E84"/>
    <w:rsid w:val="00D43F00"/>
    <w:rsid w:val="00D44A0D"/>
    <w:rsid w:val="00D44C60"/>
    <w:rsid w:val="00D44D5A"/>
    <w:rsid w:val="00D4532B"/>
    <w:rsid w:val="00D4565C"/>
    <w:rsid w:val="00D46727"/>
    <w:rsid w:val="00D46ADA"/>
    <w:rsid w:val="00D46CCF"/>
    <w:rsid w:val="00D46F52"/>
    <w:rsid w:val="00D478F2"/>
    <w:rsid w:val="00D47937"/>
    <w:rsid w:val="00D50565"/>
    <w:rsid w:val="00D50974"/>
    <w:rsid w:val="00D521D2"/>
    <w:rsid w:val="00D52A43"/>
    <w:rsid w:val="00D531EB"/>
    <w:rsid w:val="00D5346B"/>
    <w:rsid w:val="00D53722"/>
    <w:rsid w:val="00D53987"/>
    <w:rsid w:val="00D53AB3"/>
    <w:rsid w:val="00D53FAC"/>
    <w:rsid w:val="00D5524E"/>
    <w:rsid w:val="00D55D4F"/>
    <w:rsid w:val="00D55DCC"/>
    <w:rsid w:val="00D55F0C"/>
    <w:rsid w:val="00D56088"/>
    <w:rsid w:val="00D5612B"/>
    <w:rsid w:val="00D562AF"/>
    <w:rsid w:val="00D579F6"/>
    <w:rsid w:val="00D57D00"/>
    <w:rsid w:val="00D6018E"/>
    <w:rsid w:val="00D61242"/>
    <w:rsid w:val="00D61372"/>
    <w:rsid w:val="00D61BA4"/>
    <w:rsid w:val="00D61C21"/>
    <w:rsid w:val="00D62B22"/>
    <w:rsid w:val="00D64259"/>
    <w:rsid w:val="00D646E8"/>
    <w:rsid w:val="00D64768"/>
    <w:rsid w:val="00D65463"/>
    <w:rsid w:val="00D6566F"/>
    <w:rsid w:val="00D6568C"/>
    <w:rsid w:val="00D65DAA"/>
    <w:rsid w:val="00D66712"/>
    <w:rsid w:val="00D66A90"/>
    <w:rsid w:val="00D67681"/>
    <w:rsid w:val="00D70121"/>
    <w:rsid w:val="00D716E5"/>
    <w:rsid w:val="00D72135"/>
    <w:rsid w:val="00D72403"/>
    <w:rsid w:val="00D7266E"/>
    <w:rsid w:val="00D73040"/>
    <w:rsid w:val="00D737B1"/>
    <w:rsid w:val="00D738A6"/>
    <w:rsid w:val="00D73B43"/>
    <w:rsid w:val="00D74C18"/>
    <w:rsid w:val="00D75C11"/>
    <w:rsid w:val="00D8060C"/>
    <w:rsid w:val="00D80B44"/>
    <w:rsid w:val="00D812B1"/>
    <w:rsid w:val="00D82E2C"/>
    <w:rsid w:val="00D832F9"/>
    <w:rsid w:val="00D83A9B"/>
    <w:rsid w:val="00D83BCA"/>
    <w:rsid w:val="00D83C3E"/>
    <w:rsid w:val="00D84089"/>
    <w:rsid w:val="00D84AEA"/>
    <w:rsid w:val="00D85331"/>
    <w:rsid w:val="00D85534"/>
    <w:rsid w:val="00D8653E"/>
    <w:rsid w:val="00D8655B"/>
    <w:rsid w:val="00D865C6"/>
    <w:rsid w:val="00D87BD8"/>
    <w:rsid w:val="00D902A6"/>
    <w:rsid w:val="00D903BF"/>
    <w:rsid w:val="00D90E24"/>
    <w:rsid w:val="00D916CF"/>
    <w:rsid w:val="00D91826"/>
    <w:rsid w:val="00D91B6A"/>
    <w:rsid w:val="00D9266A"/>
    <w:rsid w:val="00D92BBA"/>
    <w:rsid w:val="00D94051"/>
    <w:rsid w:val="00D9419C"/>
    <w:rsid w:val="00D945FD"/>
    <w:rsid w:val="00D95DCD"/>
    <w:rsid w:val="00D95F6A"/>
    <w:rsid w:val="00D95FEA"/>
    <w:rsid w:val="00D96814"/>
    <w:rsid w:val="00D97505"/>
    <w:rsid w:val="00D97A71"/>
    <w:rsid w:val="00DA0348"/>
    <w:rsid w:val="00DA1AF5"/>
    <w:rsid w:val="00DA1FDA"/>
    <w:rsid w:val="00DA2838"/>
    <w:rsid w:val="00DA2C22"/>
    <w:rsid w:val="00DA2EBD"/>
    <w:rsid w:val="00DA2FCC"/>
    <w:rsid w:val="00DA3362"/>
    <w:rsid w:val="00DA3664"/>
    <w:rsid w:val="00DA381B"/>
    <w:rsid w:val="00DA40BF"/>
    <w:rsid w:val="00DA462A"/>
    <w:rsid w:val="00DA55F9"/>
    <w:rsid w:val="00DB0817"/>
    <w:rsid w:val="00DB1581"/>
    <w:rsid w:val="00DB17A7"/>
    <w:rsid w:val="00DB22D6"/>
    <w:rsid w:val="00DB24EB"/>
    <w:rsid w:val="00DB2B8E"/>
    <w:rsid w:val="00DB3418"/>
    <w:rsid w:val="00DB4B04"/>
    <w:rsid w:val="00DB5479"/>
    <w:rsid w:val="00DB5B61"/>
    <w:rsid w:val="00DB5CAD"/>
    <w:rsid w:val="00DB5CB0"/>
    <w:rsid w:val="00DB663A"/>
    <w:rsid w:val="00DB6677"/>
    <w:rsid w:val="00DB6C0B"/>
    <w:rsid w:val="00DB7089"/>
    <w:rsid w:val="00DB7555"/>
    <w:rsid w:val="00DB7FD9"/>
    <w:rsid w:val="00DC0271"/>
    <w:rsid w:val="00DC069A"/>
    <w:rsid w:val="00DC1921"/>
    <w:rsid w:val="00DC21E1"/>
    <w:rsid w:val="00DC258D"/>
    <w:rsid w:val="00DC2DA8"/>
    <w:rsid w:val="00DC310B"/>
    <w:rsid w:val="00DC3585"/>
    <w:rsid w:val="00DC3AEC"/>
    <w:rsid w:val="00DC4196"/>
    <w:rsid w:val="00DC5433"/>
    <w:rsid w:val="00DC5E7C"/>
    <w:rsid w:val="00DC6B76"/>
    <w:rsid w:val="00DC6DA4"/>
    <w:rsid w:val="00DC6E3E"/>
    <w:rsid w:val="00DC7D13"/>
    <w:rsid w:val="00DD0174"/>
    <w:rsid w:val="00DD0EAE"/>
    <w:rsid w:val="00DD11D8"/>
    <w:rsid w:val="00DD211A"/>
    <w:rsid w:val="00DD29D0"/>
    <w:rsid w:val="00DD32B5"/>
    <w:rsid w:val="00DD3501"/>
    <w:rsid w:val="00DD3F4E"/>
    <w:rsid w:val="00DD479F"/>
    <w:rsid w:val="00DD5579"/>
    <w:rsid w:val="00DD5FDF"/>
    <w:rsid w:val="00DD6214"/>
    <w:rsid w:val="00DD622B"/>
    <w:rsid w:val="00DD648F"/>
    <w:rsid w:val="00DD6601"/>
    <w:rsid w:val="00DD7FE0"/>
    <w:rsid w:val="00DE0BED"/>
    <w:rsid w:val="00DE0E56"/>
    <w:rsid w:val="00DE1428"/>
    <w:rsid w:val="00DE2619"/>
    <w:rsid w:val="00DE2D36"/>
    <w:rsid w:val="00DE3571"/>
    <w:rsid w:val="00DE3E59"/>
    <w:rsid w:val="00DE42D6"/>
    <w:rsid w:val="00DE4502"/>
    <w:rsid w:val="00DE59DF"/>
    <w:rsid w:val="00DE6B1A"/>
    <w:rsid w:val="00DE6FFF"/>
    <w:rsid w:val="00DE7266"/>
    <w:rsid w:val="00DE76B5"/>
    <w:rsid w:val="00DE7B86"/>
    <w:rsid w:val="00DE7C58"/>
    <w:rsid w:val="00DF01D7"/>
    <w:rsid w:val="00DF0F12"/>
    <w:rsid w:val="00DF0FAB"/>
    <w:rsid w:val="00DF1AA5"/>
    <w:rsid w:val="00DF2338"/>
    <w:rsid w:val="00DF35E5"/>
    <w:rsid w:val="00DF38DE"/>
    <w:rsid w:val="00DF5274"/>
    <w:rsid w:val="00DF55FD"/>
    <w:rsid w:val="00DF564F"/>
    <w:rsid w:val="00DF6089"/>
    <w:rsid w:val="00E000B4"/>
    <w:rsid w:val="00E00842"/>
    <w:rsid w:val="00E00863"/>
    <w:rsid w:val="00E01C61"/>
    <w:rsid w:val="00E01DA1"/>
    <w:rsid w:val="00E0324A"/>
    <w:rsid w:val="00E035C7"/>
    <w:rsid w:val="00E038CE"/>
    <w:rsid w:val="00E03C11"/>
    <w:rsid w:val="00E03CE9"/>
    <w:rsid w:val="00E03F21"/>
    <w:rsid w:val="00E03F77"/>
    <w:rsid w:val="00E05254"/>
    <w:rsid w:val="00E05F3E"/>
    <w:rsid w:val="00E06A8B"/>
    <w:rsid w:val="00E071B2"/>
    <w:rsid w:val="00E076CF"/>
    <w:rsid w:val="00E07A3F"/>
    <w:rsid w:val="00E07B1E"/>
    <w:rsid w:val="00E07EA2"/>
    <w:rsid w:val="00E10290"/>
    <w:rsid w:val="00E10B56"/>
    <w:rsid w:val="00E11812"/>
    <w:rsid w:val="00E11AD1"/>
    <w:rsid w:val="00E1208A"/>
    <w:rsid w:val="00E12111"/>
    <w:rsid w:val="00E12198"/>
    <w:rsid w:val="00E12E1D"/>
    <w:rsid w:val="00E13891"/>
    <w:rsid w:val="00E13B83"/>
    <w:rsid w:val="00E14228"/>
    <w:rsid w:val="00E147F0"/>
    <w:rsid w:val="00E14B13"/>
    <w:rsid w:val="00E150DF"/>
    <w:rsid w:val="00E15272"/>
    <w:rsid w:val="00E15324"/>
    <w:rsid w:val="00E15978"/>
    <w:rsid w:val="00E1619F"/>
    <w:rsid w:val="00E165D9"/>
    <w:rsid w:val="00E170E6"/>
    <w:rsid w:val="00E1773D"/>
    <w:rsid w:val="00E2069A"/>
    <w:rsid w:val="00E208A0"/>
    <w:rsid w:val="00E20E06"/>
    <w:rsid w:val="00E218E5"/>
    <w:rsid w:val="00E21F77"/>
    <w:rsid w:val="00E2201E"/>
    <w:rsid w:val="00E22115"/>
    <w:rsid w:val="00E2211D"/>
    <w:rsid w:val="00E229B0"/>
    <w:rsid w:val="00E23AEA"/>
    <w:rsid w:val="00E23E87"/>
    <w:rsid w:val="00E253AD"/>
    <w:rsid w:val="00E25854"/>
    <w:rsid w:val="00E268B9"/>
    <w:rsid w:val="00E26CA4"/>
    <w:rsid w:val="00E2723A"/>
    <w:rsid w:val="00E27B63"/>
    <w:rsid w:val="00E27D71"/>
    <w:rsid w:val="00E31642"/>
    <w:rsid w:val="00E317D1"/>
    <w:rsid w:val="00E31C91"/>
    <w:rsid w:val="00E31FDE"/>
    <w:rsid w:val="00E3279D"/>
    <w:rsid w:val="00E32995"/>
    <w:rsid w:val="00E3368D"/>
    <w:rsid w:val="00E3372B"/>
    <w:rsid w:val="00E354D1"/>
    <w:rsid w:val="00E35639"/>
    <w:rsid w:val="00E3586A"/>
    <w:rsid w:val="00E35BC5"/>
    <w:rsid w:val="00E36510"/>
    <w:rsid w:val="00E36C7E"/>
    <w:rsid w:val="00E36CEC"/>
    <w:rsid w:val="00E37D76"/>
    <w:rsid w:val="00E406C9"/>
    <w:rsid w:val="00E41272"/>
    <w:rsid w:val="00E4130A"/>
    <w:rsid w:val="00E41BDB"/>
    <w:rsid w:val="00E42332"/>
    <w:rsid w:val="00E42DBA"/>
    <w:rsid w:val="00E4359E"/>
    <w:rsid w:val="00E43C5E"/>
    <w:rsid w:val="00E4434E"/>
    <w:rsid w:val="00E44776"/>
    <w:rsid w:val="00E4525E"/>
    <w:rsid w:val="00E4737D"/>
    <w:rsid w:val="00E476F5"/>
    <w:rsid w:val="00E502E4"/>
    <w:rsid w:val="00E503E1"/>
    <w:rsid w:val="00E5078D"/>
    <w:rsid w:val="00E50A53"/>
    <w:rsid w:val="00E51556"/>
    <w:rsid w:val="00E51F0F"/>
    <w:rsid w:val="00E52209"/>
    <w:rsid w:val="00E52481"/>
    <w:rsid w:val="00E52AC1"/>
    <w:rsid w:val="00E52B5B"/>
    <w:rsid w:val="00E530F4"/>
    <w:rsid w:val="00E53830"/>
    <w:rsid w:val="00E53B59"/>
    <w:rsid w:val="00E54C08"/>
    <w:rsid w:val="00E551DC"/>
    <w:rsid w:val="00E553AF"/>
    <w:rsid w:val="00E5564E"/>
    <w:rsid w:val="00E55F3B"/>
    <w:rsid w:val="00E560F3"/>
    <w:rsid w:val="00E561F4"/>
    <w:rsid w:val="00E56F73"/>
    <w:rsid w:val="00E61039"/>
    <w:rsid w:val="00E61A17"/>
    <w:rsid w:val="00E61CD5"/>
    <w:rsid w:val="00E61F69"/>
    <w:rsid w:val="00E626FB"/>
    <w:rsid w:val="00E62892"/>
    <w:rsid w:val="00E62EEB"/>
    <w:rsid w:val="00E637DE"/>
    <w:rsid w:val="00E656C9"/>
    <w:rsid w:val="00E65E4D"/>
    <w:rsid w:val="00E65F70"/>
    <w:rsid w:val="00E66015"/>
    <w:rsid w:val="00E66CCC"/>
    <w:rsid w:val="00E67E3D"/>
    <w:rsid w:val="00E67EBC"/>
    <w:rsid w:val="00E71053"/>
    <w:rsid w:val="00E71191"/>
    <w:rsid w:val="00E717BE"/>
    <w:rsid w:val="00E718DD"/>
    <w:rsid w:val="00E71EBC"/>
    <w:rsid w:val="00E71EFB"/>
    <w:rsid w:val="00E72BA6"/>
    <w:rsid w:val="00E72DAC"/>
    <w:rsid w:val="00E731F1"/>
    <w:rsid w:val="00E73DBD"/>
    <w:rsid w:val="00E73FF4"/>
    <w:rsid w:val="00E74043"/>
    <w:rsid w:val="00E74C15"/>
    <w:rsid w:val="00E75877"/>
    <w:rsid w:val="00E75C5D"/>
    <w:rsid w:val="00E7655B"/>
    <w:rsid w:val="00E76924"/>
    <w:rsid w:val="00E77455"/>
    <w:rsid w:val="00E809CB"/>
    <w:rsid w:val="00E8142D"/>
    <w:rsid w:val="00E81C44"/>
    <w:rsid w:val="00E822CA"/>
    <w:rsid w:val="00E82702"/>
    <w:rsid w:val="00E82F05"/>
    <w:rsid w:val="00E831E9"/>
    <w:rsid w:val="00E8342A"/>
    <w:rsid w:val="00E84E49"/>
    <w:rsid w:val="00E86770"/>
    <w:rsid w:val="00E86FA1"/>
    <w:rsid w:val="00E87480"/>
    <w:rsid w:val="00E87CAF"/>
    <w:rsid w:val="00E920B8"/>
    <w:rsid w:val="00E9301B"/>
    <w:rsid w:val="00E93DAF"/>
    <w:rsid w:val="00E949CD"/>
    <w:rsid w:val="00E95B6A"/>
    <w:rsid w:val="00E95F17"/>
    <w:rsid w:val="00E9693A"/>
    <w:rsid w:val="00E97046"/>
    <w:rsid w:val="00E972E8"/>
    <w:rsid w:val="00EA0087"/>
    <w:rsid w:val="00EA133F"/>
    <w:rsid w:val="00EA24A3"/>
    <w:rsid w:val="00EA28AA"/>
    <w:rsid w:val="00EA2F68"/>
    <w:rsid w:val="00EA49CD"/>
    <w:rsid w:val="00EA5018"/>
    <w:rsid w:val="00EA62A0"/>
    <w:rsid w:val="00EA686C"/>
    <w:rsid w:val="00EA738D"/>
    <w:rsid w:val="00EA780C"/>
    <w:rsid w:val="00EA7F59"/>
    <w:rsid w:val="00EB085D"/>
    <w:rsid w:val="00EB14E1"/>
    <w:rsid w:val="00EB16D7"/>
    <w:rsid w:val="00EB1935"/>
    <w:rsid w:val="00EB1D0D"/>
    <w:rsid w:val="00EB20E3"/>
    <w:rsid w:val="00EB2571"/>
    <w:rsid w:val="00EB27BE"/>
    <w:rsid w:val="00EB3282"/>
    <w:rsid w:val="00EB34E7"/>
    <w:rsid w:val="00EB3782"/>
    <w:rsid w:val="00EB3A2D"/>
    <w:rsid w:val="00EB4DC6"/>
    <w:rsid w:val="00EB52F2"/>
    <w:rsid w:val="00EB60DF"/>
    <w:rsid w:val="00EB7C48"/>
    <w:rsid w:val="00EB7D1F"/>
    <w:rsid w:val="00EB7FBF"/>
    <w:rsid w:val="00EC11EB"/>
    <w:rsid w:val="00EC30D9"/>
    <w:rsid w:val="00EC3A7A"/>
    <w:rsid w:val="00EC3D09"/>
    <w:rsid w:val="00EC440B"/>
    <w:rsid w:val="00EC470C"/>
    <w:rsid w:val="00EC52DA"/>
    <w:rsid w:val="00EC59F6"/>
    <w:rsid w:val="00EC5DFD"/>
    <w:rsid w:val="00EC5E4B"/>
    <w:rsid w:val="00EC6A27"/>
    <w:rsid w:val="00EC6B29"/>
    <w:rsid w:val="00EC711B"/>
    <w:rsid w:val="00ED055D"/>
    <w:rsid w:val="00ED1987"/>
    <w:rsid w:val="00ED1A3A"/>
    <w:rsid w:val="00ED2AD5"/>
    <w:rsid w:val="00ED304D"/>
    <w:rsid w:val="00ED3BD2"/>
    <w:rsid w:val="00ED44F9"/>
    <w:rsid w:val="00ED47A2"/>
    <w:rsid w:val="00ED4C30"/>
    <w:rsid w:val="00ED55FE"/>
    <w:rsid w:val="00ED5B25"/>
    <w:rsid w:val="00ED5B50"/>
    <w:rsid w:val="00ED61FE"/>
    <w:rsid w:val="00ED6DF0"/>
    <w:rsid w:val="00ED75A4"/>
    <w:rsid w:val="00ED760C"/>
    <w:rsid w:val="00ED797A"/>
    <w:rsid w:val="00ED7D97"/>
    <w:rsid w:val="00EE0499"/>
    <w:rsid w:val="00EE0CB2"/>
    <w:rsid w:val="00EE1C39"/>
    <w:rsid w:val="00EE2225"/>
    <w:rsid w:val="00EE2F24"/>
    <w:rsid w:val="00EE40AF"/>
    <w:rsid w:val="00EE4B9E"/>
    <w:rsid w:val="00EE4E90"/>
    <w:rsid w:val="00EE51DD"/>
    <w:rsid w:val="00EE569B"/>
    <w:rsid w:val="00EE5B4B"/>
    <w:rsid w:val="00EE5BA2"/>
    <w:rsid w:val="00EE68F8"/>
    <w:rsid w:val="00EE6DF3"/>
    <w:rsid w:val="00EE7B0B"/>
    <w:rsid w:val="00EE7B2B"/>
    <w:rsid w:val="00EF0F78"/>
    <w:rsid w:val="00EF11A9"/>
    <w:rsid w:val="00EF17E6"/>
    <w:rsid w:val="00EF1E86"/>
    <w:rsid w:val="00EF21AC"/>
    <w:rsid w:val="00EF2312"/>
    <w:rsid w:val="00EF2934"/>
    <w:rsid w:val="00EF2EFA"/>
    <w:rsid w:val="00EF30CF"/>
    <w:rsid w:val="00EF33C5"/>
    <w:rsid w:val="00EF33FD"/>
    <w:rsid w:val="00EF354E"/>
    <w:rsid w:val="00EF375F"/>
    <w:rsid w:val="00EF3D09"/>
    <w:rsid w:val="00EF4078"/>
    <w:rsid w:val="00EF5040"/>
    <w:rsid w:val="00EF5F48"/>
    <w:rsid w:val="00EF664C"/>
    <w:rsid w:val="00EF7048"/>
    <w:rsid w:val="00EF7995"/>
    <w:rsid w:val="00F007CF"/>
    <w:rsid w:val="00F009A4"/>
    <w:rsid w:val="00F00FE5"/>
    <w:rsid w:val="00F0160E"/>
    <w:rsid w:val="00F01A00"/>
    <w:rsid w:val="00F01A33"/>
    <w:rsid w:val="00F01CF2"/>
    <w:rsid w:val="00F0304C"/>
    <w:rsid w:val="00F037DC"/>
    <w:rsid w:val="00F03E91"/>
    <w:rsid w:val="00F0411E"/>
    <w:rsid w:val="00F04DC9"/>
    <w:rsid w:val="00F04E68"/>
    <w:rsid w:val="00F0554C"/>
    <w:rsid w:val="00F05A10"/>
    <w:rsid w:val="00F05D6A"/>
    <w:rsid w:val="00F05E83"/>
    <w:rsid w:val="00F064EB"/>
    <w:rsid w:val="00F069CC"/>
    <w:rsid w:val="00F06B42"/>
    <w:rsid w:val="00F104FC"/>
    <w:rsid w:val="00F10814"/>
    <w:rsid w:val="00F108AC"/>
    <w:rsid w:val="00F10B76"/>
    <w:rsid w:val="00F10D00"/>
    <w:rsid w:val="00F11003"/>
    <w:rsid w:val="00F1138C"/>
    <w:rsid w:val="00F11481"/>
    <w:rsid w:val="00F11937"/>
    <w:rsid w:val="00F11A07"/>
    <w:rsid w:val="00F11E47"/>
    <w:rsid w:val="00F11EFE"/>
    <w:rsid w:val="00F12EFE"/>
    <w:rsid w:val="00F1402E"/>
    <w:rsid w:val="00F1461D"/>
    <w:rsid w:val="00F1479E"/>
    <w:rsid w:val="00F15C24"/>
    <w:rsid w:val="00F15D3E"/>
    <w:rsid w:val="00F16840"/>
    <w:rsid w:val="00F16B70"/>
    <w:rsid w:val="00F17276"/>
    <w:rsid w:val="00F17990"/>
    <w:rsid w:val="00F17D34"/>
    <w:rsid w:val="00F20350"/>
    <w:rsid w:val="00F204C1"/>
    <w:rsid w:val="00F22B55"/>
    <w:rsid w:val="00F22BA3"/>
    <w:rsid w:val="00F2495D"/>
    <w:rsid w:val="00F25170"/>
    <w:rsid w:val="00F25252"/>
    <w:rsid w:val="00F2585E"/>
    <w:rsid w:val="00F25914"/>
    <w:rsid w:val="00F25ADA"/>
    <w:rsid w:val="00F269EC"/>
    <w:rsid w:val="00F26DB9"/>
    <w:rsid w:val="00F26FCC"/>
    <w:rsid w:val="00F271D7"/>
    <w:rsid w:val="00F2767D"/>
    <w:rsid w:val="00F30013"/>
    <w:rsid w:val="00F3010B"/>
    <w:rsid w:val="00F3090D"/>
    <w:rsid w:val="00F30B4E"/>
    <w:rsid w:val="00F30D9F"/>
    <w:rsid w:val="00F30F3D"/>
    <w:rsid w:val="00F30FB2"/>
    <w:rsid w:val="00F3128E"/>
    <w:rsid w:val="00F3168A"/>
    <w:rsid w:val="00F3197D"/>
    <w:rsid w:val="00F31BB7"/>
    <w:rsid w:val="00F31DD8"/>
    <w:rsid w:val="00F31F79"/>
    <w:rsid w:val="00F32817"/>
    <w:rsid w:val="00F32A58"/>
    <w:rsid w:val="00F33642"/>
    <w:rsid w:val="00F348BD"/>
    <w:rsid w:val="00F35D3F"/>
    <w:rsid w:val="00F36CD6"/>
    <w:rsid w:val="00F370EE"/>
    <w:rsid w:val="00F37503"/>
    <w:rsid w:val="00F37614"/>
    <w:rsid w:val="00F37B25"/>
    <w:rsid w:val="00F37F7E"/>
    <w:rsid w:val="00F37FBC"/>
    <w:rsid w:val="00F404B4"/>
    <w:rsid w:val="00F40632"/>
    <w:rsid w:val="00F41CD4"/>
    <w:rsid w:val="00F4225C"/>
    <w:rsid w:val="00F428AD"/>
    <w:rsid w:val="00F42D31"/>
    <w:rsid w:val="00F431F7"/>
    <w:rsid w:val="00F4326A"/>
    <w:rsid w:val="00F43623"/>
    <w:rsid w:val="00F43A22"/>
    <w:rsid w:val="00F44F7A"/>
    <w:rsid w:val="00F45251"/>
    <w:rsid w:val="00F45623"/>
    <w:rsid w:val="00F45897"/>
    <w:rsid w:val="00F45E2B"/>
    <w:rsid w:val="00F46241"/>
    <w:rsid w:val="00F46437"/>
    <w:rsid w:val="00F47740"/>
    <w:rsid w:val="00F47B7E"/>
    <w:rsid w:val="00F50646"/>
    <w:rsid w:val="00F51234"/>
    <w:rsid w:val="00F5157B"/>
    <w:rsid w:val="00F51D32"/>
    <w:rsid w:val="00F51E78"/>
    <w:rsid w:val="00F52C62"/>
    <w:rsid w:val="00F52E8A"/>
    <w:rsid w:val="00F53E88"/>
    <w:rsid w:val="00F551C3"/>
    <w:rsid w:val="00F55477"/>
    <w:rsid w:val="00F55CAF"/>
    <w:rsid w:val="00F55D3B"/>
    <w:rsid w:val="00F56092"/>
    <w:rsid w:val="00F56B4F"/>
    <w:rsid w:val="00F57471"/>
    <w:rsid w:val="00F5778C"/>
    <w:rsid w:val="00F608DE"/>
    <w:rsid w:val="00F616D6"/>
    <w:rsid w:val="00F617FB"/>
    <w:rsid w:val="00F6189F"/>
    <w:rsid w:val="00F61E68"/>
    <w:rsid w:val="00F622CA"/>
    <w:rsid w:val="00F63016"/>
    <w:rsid w:val="00F632BC"/>
    <w:rsid w:val="00F639E2"/>
    <w:rsid w:val="00F63A81"/>
    <w:rsid w:val="00F65081"/>
    <w:rsid w:val="00F652C7"/>
    <w:rsid w:val="00F6567E"/>
    <w:rsid w:val="00F65B3A"/>
    <w:rsid w:val="00F66413"/>
    <w:rsid w:val="00F6720F"/>
    <w:rsid w:val="00F673EE"/>
    <w:rsid w:val="00F701D9"/>
    <w:rsid w:val="00F70207"/>
    <w:rsid w:val="00F70BD0"/>
    <w:rsid w:val="00F7125C"/>
    <w:rsid w:val="00F715BA"/>
    <w:rsid w:val="00F71831"/>
    <w:rsid w:val="00F72371"/>
    <w:rsid w:val="00F734DE"/>
    <w:rsid w:val="00F73B27"/>
    <w:rsid w:val="00F73C73"/>
    <w:rsid w:val="00F74384"/>
    <w:rsid w:val="00F747CF"/>
    <w:rsid w:val="00F74828"/>
    <w:rsid w:val="00F74A70"/>
    <w:rsid w:val="00F758B1"/>
    <w:rsid w:val="00F75A11"/>
    <w:rsid w:val="00F75E23"/>
    <w:rsid w:val="00F772FE"/>
    <w:rsid w:val="00F80D31"/>
    <w:rsid w:val="00F80D33"/>
    <w:rsid w:val="00F81222"/>
    <w:rsid w:val="00F812F7"/>
    <w:rsid w:val="00F8131E"/>
    <w:rsid w:val="00F83249"/>
    <w:rsid w:val="00F8399E"/>
    <w:rsid w:val="00F83BE4"/>
    <w:rsid w:val="00F84366"/>
    <w:rsid w:val="00F85153"/>
    <w:rsid w:val="00F85C5E"/>
    <w:rsid w:val="00F85C5F"/>
    <w:rsid w:val="00F85FB8"/>
    <w:rsid w:val="00F8635E"/>
    <w:rsid w:val="00F86A3E"/>
    <w:rsid w:val="00F87748"/>
    <w:rsid w:val="00F909C8"/>
    <w:rsid w:val="00F90D31"/>
    <w:rsid w:val="00F915D1"/>
    <w:rsid w:val="00F915E4"/>
    <w:rsid w:val="00F91B68"/>
    <w:rsid w:val="00F91F9F"/>
    <w:rsid w:val="00F9247A"/>
    <w:rsid w:val="00F935F7"/>
    <w:rsid w:val="00F9392D"/>
    <w:rsid w:val="00F93BFB"/>
    <w:rsid w:val="00F94352"/>
    <w:rsid w:val="00F94A95"/>
    <w:rsid w:val="00F96673"/>
    <w:rsid w:val="00F96947"/>
    <w:rsid w:val="00FA01FF"/>
    <w:rsid w:val="00FA08BE"/>
    <w:rsid w:val="00FA17C9"/>
    <w:rsid w:val="00FA1F2A"/>
    <w:rsid w:val="00FA1FD8"/>
    <w:rsid w:val="00FA2076"/>
    <w:rsid w:val="00FA218D"/>
    <w:rsid w:val="00FA303E"/>
    <w:rsid w:val="00FA304E"/>
    <w:rsid w:val="00FA3271"/>
    <w:rsid w:val="00FA32AE"/>
    <w:rsid w:val="00FA367D"/>
    <w:rsid w:val="00FA3B39"/>
    <w:rsid w:val="00FA3D4F"/>
    <w:rsid w:val="00FA3EA3"/>
    <w:rsid w:val="00FA44DA"/>
    <w:rsid w:val="00FA49DE"/>
    <w:rsid w:val="00FA5A62"/>
    <w:rsid w:val="00FA5D84"/>
    <w:rsid w:val="00FA5E6B"/>
    <w:rsid w:val="00FA5EB9"/>
    <w:rsid w:val="00FA605B"/>
    <w:rsid w:val="00FA6459"/>
    <w:rsid w:val="00FA6855"/>
    <w:rsid w:val="00FA72E4"/>
    <w:rsid w:val="00FA7396"/>
    <w:rsid w:val="00FA7636"/>
    <w:rsid w:val="00FA77E6"/>
    <w:rsid w:val="00FB0092"/>
    <w:rsid w:val="00FB0F41"/>
    <w:rsid w:val="00FB0F91"/>
    <w:rsid w:val="00FB1CFF"/>
    <w:rsid w:val="00FB2231"/>
    <w:rsid w:val="00FB497A"/>
    <w:rsid w:val="00FB4C01"/>
    <w:rsid w:val="00FB5392"/>
    <w:rsid w:val="00FB557C"/>
    <w:rsid w:val="00FB5A38"/>
    <w:rsid w:val="00FB5E86"/>
    <w:rsid w:val="00FB6652"/>
    <w:rsid w:val="00FC0F00"/>
    <w:rsid w:val="00FC12C0"/>
    <w:rsid w:val="00FC12F3"/>
    <w:rsid w:val="00FC13EA"/>
    <w:rsid w:val="00FC15B1"/>
    <w:rsid w:val="00FC1F9B"/>
    <w:rsid w:val="00FC210E"/>
    <w:rsid w:val="00FC22D0"/>
    <w:rsid w:val="00FC2575"/>
    <w:rsid w:val="00FC466C"/>
    <w:rsid w:val="00FC5491"/>
    <w:rsid w:val="00FC5CA9"/>
    <w:rsid w:val="00FC5DD8"/>
    <w:rsid w:val="00FC5E91"/>
    <w:rsid w:val="00FC6457"/>
    <w:rsid w:val="00FC7092"/>
    <w:rsid w:val="00FC7815"/>
    <w:rsid w:val="00FC78DF"/>
    <w:rsid w:val="00FD06CD"/>
    <w:rsid w:val="00FD1059"/>
    <w:rsid w:val="00FD1F0C"/>
    <w:rsid w:val="00FD266D"/>
    <w:rsid w:val="00FD2846"/>
    <w:rsid w:val="00FD348C"/>
    <w:rsid w:val="00FD3CF0"/>
    <w:rsid w:val="00FD3E53"/>
    <w:rsid w:val="00FD3EF1"/>
    <w:rsid w:val="00FD4926"/>
    <w:rsid w:val="00FD4A24"/>
    <w:rsid w:val="00FD4D33"/>
    <w:rsid w:val="00FD4FE0"/>
    <w:rsid w:val="00FD529B"/>
    <w:rsid w:val="00FD68A3"/>
    <w:rsid w:val="00FD6902"/>
    <w:rsid w:val="00FD7102"/>
    <w:rsid w:val="00FD746F"/>
    <w:rsid w:val="00FD7D35"/>
    <w:rsid w:val="00FD7F7A"/>
    <w:rsid w:val="00FE14B8"/>
    <w:rsid w:val="00FE15FF"/>
    <w:rsid w:val="00FE1800"/>
    <w:rsid w:val="00FE1DBD"/>
    <w:rsid w:val="00FE1FF4"/>
    <w:rsid w:val="00FE2173"/>
    <w:rsid w:val="00FE22E9"/>
    <w:rsid w:val="00FE29F1"/>
    <w:rsid w:val="00FE3762"/>
    <w:rsid w:val="00FE4035"/>
    <w:rsid w:val="00FE4FB9"/>
    <w:rsid w:val="00FE5372"/>
    <w:rsid w:val="00FE5974"/>
    <w:rsid w:val="00FE6275"/>
    <w:rsid w:val="00FE7F3F"/>
    <w:rsid w:val="00FF0D64"/>
    <w:rsid w:val="00FF104A"/>
    <w:rsid w:val="00FF112A"/>
    <w:rsid w:val="00FF2C31"/>
    <w:rsid w:val="00FF2D57"/>
    <w:rsid w:val="00FF2D5C"/>
    <w:rsid w:val="00FF395B"/>
    <w:rsid w:val="00FF421D"/>
    <w:rsid w:val="00FF49B5"/>
    <w:rsid w:val="00FF4A77"/>
    <w:rsid w:val="00FF5598"/>
    <w:rsid w:val="00FF5F53"/>
    <w:rsid w:val="00FF6271"/>
    <w:rsid w:val="00FF7550"/>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17"/>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837317"/>
    <w:pPr>
      <w:keepNext/>
      <w:spacing w:before="140" w:line="240" w:lineRule="atLeast"/>
      <w:jc w:val="center"/>
      <w:outlineLvl w:val="0"/>
    </w:pPr>
    <w:rPr>
      <w:b/>
      <w:smallCaps/>
    </w:rPr>
  </w:style>
  <w:style w:type="paragraph" w:styleId="Heading2">
    <w:name w:val="heading 2"/>
    <w:basedOn w:val="Normal"/>
    <w:next w:val="Normal"/>
    <w:link w:val="Heading2Char"/>
    <w:qFormat/>
    <w:rsid w:val="0083731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837317"/>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837317"/>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837317"/>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unhideWhenUsed/>
    <w:qFormat/>
    <w:rsid w:val="001B6991"/>
    <w:pPr>
      <w:spacing w:before="240" w:after="60"/>
      <w:ind w:left="3600"/>
      <w:outlineLvl w:val="5"/>
    </w:pPr>
    <w:rPr>
      <w:rFonts w:asciiTheme="minorHAnsi" w:eastAsiaTheme="minorHAnsi" w:hAnsiTheme="minorHAnsi"/>
      <w:bCs/>
      <w:szCs w:val="26"/>
    </w:rPr>
  </w:style>
  <w:style w:type="paragraph" w:styleId="Heading7">
    <w:name w:val="heading 7"/>
    <w:basedOn w:val="Normal"/>
    <w:next w:val="Normal"/>
    <w:link w:val="Heading7Char"/>
    <w:uiPriority w:val="9"/>
    <w:semiHidden/>
    <w:unhideWhenUsed/>
    <w:qFormat/>
    <w:rsid w:val="001B6991"/>
    <w:pPr>
      <w:spacing w:before="240" w:after="60"/>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1B6991"/>
    <w:pPr>
      <w:spacing w:before="240" w:after="60"/>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1B6991"/>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37317"/>
    <w:pPr>
      <w:ind w:left="720"/>
    </w:pPr>
  </w:style>
  <w:style w:type="paragraph" w:styleId="Footer">
    <w:name w:val="footer"/>
    <w:basedOn w:val="Normal"/>
    <w:link w:val="FooterChar"/>
    <w:qFormat/>
    <w:rsid w:val="00837317"/>
    <w:pPr>
      <w:tabs>
        <w:tab w:val="center" w:pos="3960"/>
        <w:tab w:val="right" w:pos="10080"/>
      </w:tabs>
      <w:spacing w:after="0" w:line="240" w:lineRule="auto"/>
      <w:jc w:val="center"/>
    </w:pPr>
    <w:rPr>
      <w:sz w:val="22"/>
    </w:rPr>
  </w:style>
  <w:style w:type="paragraph" w:styleId="Header">
    <w:name w:val="header"/>
    <w:basedOn w:val="Normal"/>
    <w:link w:val="HeaderChar"/>
    <w:qFormat/>
    <w:rsid w:val="0083731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37317"/>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837317"/>
    <w:pPr>
      <w:spacing w:line="300" w:lineRule="exact"/>
    </w:pPr>
  </w:style>
  <w:style w:type="paragraph" w:customStyle="1" w:styleId="Title1">
    <w:name w:val="Title1"/>
    <w:basedOn w:val="Normal"/>
    <w:rsid w:val="00837317"/>
    <w:pPr>
      <w:tabs>
        <w:tab w:val="left" w:pos="5760"/>
        <w:tab w:val="left" w:pos="6480"/>
      </w:tabs>
      <w:spacing w:line="240" w:lineRule="atLeast"/>
    </w:pPr>
  </w:style>
  <w:style w:type="paragraph" w:customStyle="1" w:styleId="Recommend">
    <w:name w:val="Recommend"/>
    <w:basedOn w:val="Normal"/>
    <w:rsid w:val="00837317"/>
  </w:style>
  <w:style w:type="paragraph" w:customStyle="1" w:styleId="Summary">
    <w:name w:val="Summary"/>
    <w:basedOn w:val="Normal"/>
    <w:rsid w:val="00837317"/>
    <w:pPr>
      <w:ind w:left="2160" w:hanging="2160"/>
    </w:pPr>
  </w:style>
  <w:style w:type="paragraph" w:customStyle="1" w:styleId="Text">
    <w:name w:val="Text"/>
    <w:basedOn w:val="Normal"/>
    <w:rsid w:val="00837317"/>
    <w:pPr>
      <w:tabs>
        <w:tab w:val="left" w:pos="720"/>
        <w:tab w:val="left" w:pos="1440"/>
        <w:tab w:val="left" w:pos="2160"/>
        <w:tab w:val="center" w:pos="4320"/>
      </w:tabs>
      <w:spacing w:line="480" w:lineRule="atLeast"/>
      <w:ind w:firstLine="540"/>
    </w:pPr>
  </w:style>
  <w:style w:type="paragraph" w:styleId="Date">
    <w:name w:val="Date"/>
    <w:basedOn w:val="Normal"/>
    <w:semiHidden/>
    <w:rsid w:val="00837317"/>
    <w:pPr>
      <w:jc w:val="right"/>
    </w:pPr>
  </w:style>
  <w:style w:type="character" w:styleId="PageNumber">
    <w:name w:val="page number"/>
    <w:basedOn w:val="DefaultParagraphFont"/>
    <w:semiHidden/>
    <w:rsid w:val="00837317"/>
  </w:style>
  <w:style w:type="paragraph" w:customStyle="1" w:styleId="subject">
    <w:name w:val="subject"/>
    <w:basedOn w:val="Normal"/>
    <w:rsid w:val="00837317"/>
    <w:pPr>
      <w:tabs>
        <w:tab w:val="left" w:pos="1008"/>
      </w:tabs>
      <w:ind w:left="990" w:hanging="990"/>
    </w:pPr>
    <w:rPr>
      <w:b/>
    </w:rPr>
  </w:style>
  <w:style w:type="paragraph" w:customStyle="1" w:styleId="Titles">
    <w:name w:val="Titles"/>
    <w:basedOn w:val="Normal"/>
    <w:rsid w:val="00837317"/>
    <w:pPr>
      <w:tabs>
        <w:tab w:val="left" w:pos="2160"/>
      </w:tabs>
      <w:ind w:left="2160" w:hanging="2160"/>
    </w:pPr>
    <w:rPr>
      <w:b/>
    </w:rPr>
  </w:style>
  <w:style w:type="paragraph" w:styleId="TOAHeading">
    <w:name w:val="toa heading"/>
    <w:basedOn w:val="Normal"/>
    <w:next w:val="Normal"/>
    <w:semiHidden/>
    <w:rsid w:val="00837317"/>
    <w:pPr>
      <w:spacing w:before="120"/>
    </w:pPr>
    <w:rPr>
      <w:b/>
    </w:rPr>
  </w:style>
  <w:style w:type="paragraph" w:styleId="TOC1">
    <w:name w:val="toc 1"/>
    <w:basedOn w:val="Normal"/>
    <w:next w:val="Normal"/>
    <w:autoRedefine/>
    <w:rsid w:val="00837317"/>
  </w:style>
  <w:style w:type="paragraph" w:styleId="TOC2">
    <w:name w:val="toc 2"/>
    <w:basedOn w:val="Normal"/>
    <w:next w:val="Normal"/>
    <w:autoRedefine/>
    <w:rsid w:val="00837317"/>
    <w:pPr>
      <w:ind w:left="259"/>
    </w:pPr>
  </w:style>
  <w:style w:type="paragraph" w:styleId="TOC3">
    <w:name w:val="toc 3"/>
    <w:basedOn w:val="Normal"/>
    <w:next w:val="Normal"/>
    <w:autoRedefine/>
    <w:rsid w:val="00837317"/>
    <w:pPr>
      <w:ind w:left="520"/>
    </w:pPr>
  </w:style>
  <w:style w:type="paragraph" w:styleId="TOC4">
    <w:name w:val="toc 4"/>
    <w:basedOn w:val="Normal"/>
    <w:next w:val="Normal"/>
    <w:autoRedefine/>
    <w:rsid w:val="00837317"/>
    <w:pPr>
      <w:ind w:left="780"/>
    </w:pPr>
  </w:style>
  <w:style w:type="paragraph" w:styleId="TOC5">
    <w:name w:val="toc 5"/>
    <w:basedOn w:val="Normal"/>
    <w:next w:val="Normal"/>
    <w:autoRedefine/>
    <w:rsid w:val="00837317"/>
    <w:pPr>
      <w:ind w:left="1040"/>
    </w:pPr>
  </w:style>
  <w:style w:type="paragraph" w:styleId="TOC6">
    <w:name w:val="toc 6"/>
    <w:basedOn w:val="Normal"/>
    <w:next w:val="Normal"/>
    <w:autoRedefine/>
    <w:rsid w:val="00837317"/>
    <w:pPr>
      <w:ind w:left="1300"/>
    </w:pPr>
  </w:style>
  <w:style w:type="paragraph" w:styleId="TOC7">
    <w:name w:val="toc 7"/>
    <w:basedOn w:val="Normal"/>
    <w:next w:val="Normal"/>
    <w:autoRedefine/>
    <w:semiHidden/>
    <w:rsid w:val="00837317"/>
    <w:pPr>
      <w:ind w:left="1560"/>
    </w:pPr>
  </w:style>
  <w:style w:type="paragraph" w:styleId="TOC8">
    <w:name w:val="toc 8"/>
    <w:basedOn w:val="Normal"/>
    <w:next w:val="Normal"/>
    <w:autoRedefine/>
    <w:semiHidden/>
    <w:rsid w:val="00837317"/>
    <w:pPr>
      <w:ind w:left="1820"/>
    </w:pPr>
  </w:style>
  <w:style w:type="paragraph" w:styleId="TOC9">
    <w:name w:val="toc 9"/>
    <w:basedOn w:val="Normal"/>
    <w:next w:val="Normal"/>
    <w:autoRedefine/>
    <w:semiHidden/>
    <w:rsid w:val="00837317"/>
    <w:pPr>
      <w:ind w:left="2080"/>
    </w:pPr>
  </w:style>
  <w:style w:type="paragraph" w:customStyle="1" w:styleId="Contents">
    <w:name w:val="Contents"/>
    <w:basedOn w:val="Normal"/>
    <w:rsid w:val="00837317"/>
    <w:pPr>
      <w:jc w:val="center"/>
    </w:pPr>
    <w:rPr>
      <w:b/>
      <w:spacing w:val="100"/>
    </w:rPr>
  </w:style>
  <w:style w:type="character" w:customStyle="1" w:styleId="Heading6Char">
    <w:name w:val="Heading 6 Char"/>
    <w:basedOn w:val="DefaultParagraphFont"/>
    <w:link w:val="Heading6"/>
    <w:uiPriority w:val="9"/>
    <w:rsid w:val="001B6991"/>
    <w:rPr>
      <w:rFonts w:asciiTheme="minorHAnsi" w:eastAsiaTheme="minorHAnsi" w:hAnsiTheme="minorHAnsi"/>
      <w:bCs/>
      <w:sz w:val="26"/>
      <w:szCs w:val="26"/>
    </w:rPr>
  </w:style>
  <w:style w:type="character" w:customStyle="1" w:styleId="Heading7Char">
    <w:name w:val="Heading 7 Char"/>
    <w:basedOn w:val="DefaultParagraphFont"/>
    <w:link w:val="Heading7"/>
    <w:uiPriority w:val="9"/>
    <w:semiHidden/>
    <w:rsid w:val="001B6991"/>
    <w:rPr>
      <w:rFonts w:asciiTheme="minorHAnsi" w:eastAsiaTheme="minorHAnsi" w:hAnsiTheme="minorHAnsi"/>
      <w:sz w:val="24"/>
      <w:szCs w:val="24"/>
    </w:rPr>
  </w:style>
  <w:style w:type="character" w:customStyle="1" w:styleId="Heading8Char">
    <w:name w:val="Heading 8 Char"/>
    <w:basedOn w:val="DefaultParagraphFont"/>
    <w:link w:val="Heading8"/>
    <w:uiPriority w:val="9"/>
    <w:semiHidden/>
    <w:rsid w:val="001B6991"/>
    <w:rPr>
      <w:rFonts w:asciiTheme="minorHAnsi" w:eastAsiaTheme="minorHAnsi" w:hAnsiTheme="minorHAnsi"/>
      <w:i/>
      <w:iCs/>
      <w:sz w:val="24"/>
      <w:szCs w:val="24"/>
    </w:rPr>
  </w:style>
  <w:style w:type="character" w:customStyle="1" w:styleId="Heading9Char">
    <w:name w:val="Heading 9 Char"/>
    <w:basedOn w:val="DefaultParagraphFont"/>
    <w:link w:val="Heading9"/>
    <w:uiPriority w:val="9"/>
    <w:semiHidden/>
    <w:rsid w:val="001B6991"/>
    <w:rPr>
      <w:rFonts w:asciiTheme="majorHAnsi" w:eastAsiaTheme="majorEastAsia" w:hAnsiTheme="majorHAnsi"/>
      <w:sz w:val="26"/>
      <w:szCs w:val="26"/>
    </w:rPr>
  </w:style>
  <w:style w:type="character" w:customStyle="1" w:styleId="Heading1Char">
    <w:name w:val="Heading 1 Char"/>
    <w:basedOn w:val="DefaultParagraphFont"/>
    <w:link w:val="Heading1"/>
    <w:rsid w:val="001B6991"/>
    <w:rPr>
      <w:rFonts w:ascii="Century Schoolbook" w:hAnsi="Century Schoolbook"/>
      <w:b/>
      <w:smallCaps/>
      <w:sz w:val="27"/>
    </w:rPr>
  </w:style>
  <w:style w:type="character" w:customStyle="1" w:styleId="Heading2Char">
    <w:name w:val="Heading 2 Char"/>
    <w:basedOn w:val="DefaultParagraphFont"/>
    <w:link w:val="Heading2"/>
    <w:rsid w:val="001B6991"/>
    <w:rPr>
      <w:rFonts w:ascii="Century Schoolbook" w:hAnsi="Century Schoolbook"/>
      <w:b/>
      <w:sz w:val="27"/>
    </w:rPr>
  </w:style>
  <w:style w:type="character" w:customStyle="1" w:styleId="Heading3Char">
    <w:name w:val="Heading 3 Char"/>
    <w:basedOn w:val="DefaultParagraphFont"/>
    <w:link w:val="Heading3"/>
    <w:rsid w:val="001B6991"/>
    <w:rPr>
      <w:rFonts w:ascii="Century Schoolbook" w:hAnsi="Century Schoolbook"/>
      <w:i/>
      <w:sz w:val="27"/>
    </w:rPr>
  </w:style>
  <w:style w:type="paragraph" w:styleId="Title">
    <w:name w:val="Title"/>
    <w:basedOn w:val="Normal"/>
    <w:next w:val="Normal"/>
    <w:link w:val="TitleChar"/>
    <w:uiPriority w:val="10"/>
    <w:qFormat/>
    <w:rsid w:val="001B69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69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6991"/>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1B6991"/>
    <w:rPr>
      <w:rFonts w:asciiTheme="majorHAnsi" w:eastAsiaTheme="majorEastAsia" w:hAnsiTheme="majorHAnsi"/>
      <w:sz w:val="24"/>
      <w:szCs w:val="24"/>
    </w:rPr>
  </w:style>
  <w:style w:type="paragraph" w:styleId="TOCHeading">
    <w:name w:val="TOC Heading"/>
    <w:basedOn w:val="Heading1"/>
    <w:next w:val="Normal"/>
    <w:uiPriority w:val="39"/>
    <w:unhideWhenUsed/>
    <w:qFormat/>
    <w:rsid w:val="001B6991"/>
    <w:pPr>
      <w:spacing w:before="240" w:after="60" w:line="240" w:lineRule="auto"/>
      <w:jc w:val="left"/>
      <w:outlineLvl w:val="9"/>
    </w:pPr>
    <w:rPr>
      <w:rFonts w:eastAsiaTheme="majorEastAsia"/>
      <w:b w:val="0"/>
      <w:bCs/>
      <w:smallCaps w:val="0"/>
      <w:kern w:val="32"/>
      <w:szCs w:val="32"/>
    </w:rPr>
  </w:style>
  <w:style w:type="character" w:customStyle="1" w:styleId="HeaderChar">
    <w:name w:val="Header Char"/>
    <w:basedOn w:val="DefaultParagraphFont"/>
    <w:link w:val="Header"/>
    <w:rsid w:val="001B6991"/>
    <w:rPr>
      <w:rFonts w:ascii="Century Schoolbook" w:hAnsi="Century Schoolbook"/>
      <w:sz w:val="22"/>
    </w:rPr>
  </w:style>
  <w:style w:type="character" w:customStyle="1" w:styleId="FooterChar">
    <w:name w:val="Footer Char"/>
    <w:basedOn w:val="DefaultParagraphFont"/>
    <w:link w:val="Footer"/>
    <w:rsid w:val="001B6991"/>
    <w:rPr>
      <w:rFonts w:ascii="Century Schoolbook" w:hAnsi="Century Schoolbook"/>
      <w:sz w:val="22"/>
    </w:rPr>
  </w:style>
  <w:style w:type="character" w:customStyle="1" w:styleId="FootnoteTextChar">
    <w:name w:val="Footnote Text Char"/>
    <w:basedOn w:val="DefaultParagraphFont"/>
    <w:link w:val="FootnoteText"/>
    <w:uiPriority w:val="99"/>
    <w:rsid w:val="001B6991"/>
    <w:rPr>
      <w:rFonts w:ascii="Century Schoolbook" w:hAnsi="Century Schoolbook"/>
      <w:sz w:val="27"/>
    </w:rPr>
  </w:style>
  <w:style w:type="paragraph" w:styleId="ListParagraph">
    <w:name w:val="List Paragraph"/>
    <w:basedOn w:val="Normal"/>
    <w:uiPriority w:val="34"/>
    <w:rsid w:val="001B6991"/>
    <w:pPr>
      <w:ind w:left="720"/>
      <w:contextualSpacing/>
    </w:pPr>
    <w:rPr>
      <w:rFonts w:asciiTheme="minorHAnsi" w:eastAsiaTheme="minorHAnsi" w:hAnsiTheme="minorHAnsi"/>
      <w:szCs w:val="24"/>
    </w:rPr>
  </w:style>
  <w:style w:type="character" w:styleId="Hyperlink">
    <w:name w:val="Hyperlink"/>
    <w:basedOn w:val="DefaultParagraphFont"/>
    <w:uiPriority w:val="99"/>
    <w:unhideWhenUsed/>
    <w:rsid w:val="001B6991"/>
    <w:rPr>
      <w:color w:val="0000FF" w:themeColor="hyperlink"/>
      <w:u w:val="single"/>
    </w:rPr>
  </w:style>
  <w:style w:type="character" w:customStyle="1" w:styleId="UnresolvedMention1">
    <w:name w:val="Unresolved Mention1"/>
    <w:basedOn w:val="DefaultParagraphFont"/>
    <w:uiPriority w:val="99"/>
    <w:semiHidden/>
    <w:unhideWhenUsed/>
    <w:rsid w:val="001B6991"/>
    <w:rPr>
      <w:color w:val="605E5C"/>
      <w:shd w:val="clear" w:color="auto" w:fill="E1DFDD"/>
    </w:rPr>
  </w:style>
  <w:style w:type="character" w:styleId="FollowedHyperlink">
    <w:name w:val="FollowedHyperlink"/>
    <w:basedOn w:val="DefaultParagraphFont"/>
    <w:uiPriority w:val="99"/>
    <w:semiHidden/>
    <w:unhideWhenUsed/>
    <w:rsid w:val="001B6991"/>
    <w:rPr>
      <w:color w:val="800080" w:themeColor="followedHyperlink"/>
      <w:u w:val="single"/>
    </w:rPr>
  </w:style>
  <w:style w:type="character" w:customStyle="1" w:styleId="Heading4Char">
    <w:name w:val="Heading 4 Char"/>
    <w:basedOn w:val="DefaultParagraphFont"/>
    <w:link w:val="Heading4"/>
    <w:rsid w:val="001B6991"/>
    <w:rPr>
      <w:rFonts w:ascii="Century Schoolbook" w:hAnsi="Century Schoolbook"/>
      <w:i/>
      <w:sz w:val="27"/>
    </w:rPr>
  </w:style>
  <w:style w:type="character" w:customStyle="1" w:styleId="Heading5Char">
    <w:name w:val="Heading 5 Char"/>
    <w:basedOn w:val="DefaultParagraphFont"/>
    <w:link w:val="Heading5"/>
    <w:rsid w:val="001B6991"/>
    <w:rPr>
      <w:rFonts w:ascii="Century Schoolbook" w:hAnsi="Century Schoolbook"/>
      <w:i/>
      <w:sz w:val="27"/>
    </w:rPr>
  </w:style>
  <w:style w:type="paragraph" w:styleId="Revision">
    <w:name w:val="Revision"/>
    <w:hidden/>
    <w:uiPriority w:val="99"/>
    <w:semiHidden/>
    <w:rsid w:val="00F11937"/>
    <w:rPr>
      <w:sz w:val="26"/>
    </w:rPr>
  </w:style>
  <w:style w:type="character" w:styleId="CommentReference">
    <w:name w:val="annotation reference"/>
    <w:basedOn w:val="DefaultParagraphFont"/>
    <w:uiPriority w:val="99"/>
    <w:semiHidden/>
    <w:unhideWhenUsed/>
    <w:rsid w:val="00F11937"/>
    <w:rPr>
      <w:sz w:val="16"/>
      <w:szCs w:val="16"/>
    </w:rPr>
  </w:style>
  <w:style w:type="paragraph" w:styleId="CommentText">
    <w:name w:val="annotation text"/>
    <w:basedOn w:val="Normal"/>
    <w:link w:val="CommentTextChar"/>
    <w:uiPriority w:val="99"/>
    <w:unhideWhenUsed/>
    <w:rsid w:val="00F11937"/>
    <w:rPr>
      <w:sz w:val="20"/>
    </w:rPr>
  </w:style>
  <w:style w:type="character" w:customStyle="1" w:styleId="CommentTextChar">
    <w:name w:val="Comment Text Char"/>
    <w:basedOn w:val="DefaultParagraphFont"/>
    <w:link w:val="CommentText"/>
    <w:uiPriority w:val="99"/>
    <w:rsid w:val="00F11937"/>
  </w:style>
  <w:style w:type="paragraph" w:styleId="CommentSubject">
    <w:name w:val="annotation subject"/>
    <w:basedOn w:val="CommentText"/>
    <w:next w:val="CommentText"/>
    <w:link w:val="CommentSubjectChar"/>
    <w:uiPriority w:val="99"/>
    <w:semiHidden/>
    <w:unhideWhenUsed/>
    <w:rsid w:val="00F11937"/>
    <w:rPr>
      <w:b/>
      <w:bCs/>
    </w:rPr>
  </w:style>
  <w:style w:type="character" w:customStyle="1" w:styleId="CommentSubjectChar">
    <w:name w:val="Comment Subject Char"/>
    <w:basedOn w:val="CommentTextChar"/>
    <w:link w:val="CommentSubject"/>
    <w:uiPriority w:val="99"/>
    <w:semiHidden/>
    <w:rsid w:val="00F11937"/>
    <w:rPr>
      <w:b/>
      <w:bCs/>
    </w:rPr>
  </w:style>
  <w:style w:type="paragraph" w:styleId="BodyText">
    <w:name w:val="Body Text"/>
    <w:basedOn w:val="Normal"/>
    <w:link w:val="BodyTextChar"/>
    <w:qFormat/>
    <w:rsid w:val="00837317"/>
  </w:style>
  <w:style w:type="character" w:customStyle="1" w:styleId="BodyTextChar">
    <w:name w:val="Body Text Char"/>
    <w:basedOn w:val="DefaultParagraphFont"/>
    <w:link w:val="BodyText"/>
    <w:rsid w:val="00837317"/>
    <w:rPr>
      <w:rFonts w:ascii="Century Schoolbook" w:hAnsi="Century Schoolbook"/>
      <w:sz w:val="27"/>
    </w:rPr>
  </w:style>
  <w:style w:type="character" w:customStyle="1" w:styleId="normaltextrun">
    <w:name w:val="normaltextrun"/>
    <w:basedOn w:val="DefaultParagraphFont"/>
    <w:rsid w:val="00D7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ACB085B5C1B4F973CBBD4141051A1" ma:contentTypeVersion="14" ma:contentTypeDescription="Create a new document." ma:contentTypeScope="" ma:versionID="5027090cae0ea461f4b4432face9541a">
  <xsd:schema xmlns:xsd="http://www.w3.org/2001/XMLSchema" xmlns:xs="http://www.w3.org/2001/XMLSchema" xmlns:p="http://schemas.microsoft.com/office/2006/metadata/properties" xmlns:ns2="e0111a4a-988a-4bc5-8aab-c90f8f42b0e4" xmlns:ns3="0ba41d90-3ac8-4a26-862e-7298d9436678" targetNamespace="http://schemas.microsoft.com/office/2006/metadata/properties" ma:root="true" ma:fieldsID="4b3c0780aae823c76aed4600faaa21ca" ns2:_="" ns3:_="">
    <xsd:import namespace="e0111a4a-988a-4bc5-8aab-c90f8f42b0e4"/>
    <xsd:import namespace="0ba41d90-3ac8-4a26-862e-7298d9436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1a4a-988a-4bc5-8aab-c90f8f42b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24eaa-6349-497e-96ac-f07fd2ffae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41d90-3ac8-4a26-862e-7298d9436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6e0934a-7ea7-4d27-b124-0ba66f2f6efc}" ma:internalName="TaxCatchAll" ma:showField="CatchAllData" ma:web="0ba41d90-3ac8-4a26-862e-7298d94366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111a4a-988a-4bc5-8aab-c90f8f42b0e4">
      <Terms xmlns="http://schemas.microsoft.com/office/infopath/2007/PartnerControls"/>
    </lcf76f155ced4ddcb4097134ff3c332f>
    <TaxCatchAll xmlns="0ba41d90-3ac8-4a26-862e-7298d94366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FAA6-3BB5-4D08-94ED-99ECC0BA3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1a4a-988a-4bc5-8aab-c90f8f42b0e4"/>
    <ds:schemaRef ds:uri="0ba41d90-3ac8-4a26-862e-7298d9436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6861F-44B6-47FE-9E7B-85DB8C37994D}">
  <ds:schemaRefs>
    <ds:schemaRef ds:uri="http://schemas.microsoft.com/office/2006/metadata/properties"/>
    <ds:schemaRef ds:uri="http://schemas.microsoft.com/office/infopath/2007/PartnerControls"/>
    <ds:schemaRef ds:uri="e0111a4a-988a-4bc5-8aab-c90f8f42b0e4"/>
    <ds:schemaRef ds:uri="0ba41d90-3ac8-4a26-862e-7298d9436678"/>
  </ds:schemaRefs>
</ds:datastoreItem>
</file>

<file path=customXml/itemProps3.xml><?xml version="1.0" encoding="utf-8"?>
<ds:datastoreItem xmlns:ds="http://schemas.openxmlformats.org/officeDocument/2006/customXml" ds:itemID="{5F7D2293-4F75-47BB-88ED-0B328A8857C7}">
  <ds:schemaRefs>
    <ds:schemaRef ds:uri="http://schemas.microsoft.com/sharepoint/v3/contenttype/forms"/>
  </ds:schemaRefs>
</ds:datastoreItem>
</file>

<file path=customXml/itemProps4.xml><?xml version="1.0" encoding="utf-8"?>
<ds:datastoreItem xmlns:ds="http://schemas.openxmlformats.org/officeDocument/2006/customXml" ds:itemID="{F8E6E328-8609-4628-BE55-6A8DA667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9641</Words>
  <Characters>54954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2024-01-17T17:53:00Z</dcterms:created>
  <dcterms:modified xsi:type="dcterms:W3CDTF">2024-01-17T18:43:00Z</dcterms:modified>
</cp:coreProperties>
</file>