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B9BA" w14:textId="64B7687B" w:rsidR="008E6AAD" w:rsidRDefault="00C01336" w:rsidP="00C01336">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2C342CB5" w14:textId="68A3EC99" w:rsidR="00C01336" w:rsidRDefault="00C01336" w:rsidP="00C01336">
      <w:pPr>
        <w:tabs>
          <w:tab w:val="left" w:pos="1440"/>
          <w:tab w:val="left" w:pos="4680"/>
          <w:tab w:val="center" w:pos="7200"/>
        </w:tabs>
        <w:spacing w:after="0"/>
        <w:jc w:val="center"/>
      </w:pPr>
    </w:p>
    <w:p w14:paraId="73B8A968" w14:textId="31BE9EC6" w:rsidR="00C01336" w:rsidRDefault="00C01336" w:rsidP="00C01336">
      <w:pPr>
        <w:tabs>
          <w:tab w:val="left" w:pos="1440"/>
          <w:tab w:val="left" w:pos="4680"/>
          <w:tab w:val="center" w:pos="7200"/>
        </w:tabs>
        <w:spacing w:after="0"/>
        <w:jc w:val="center"/>
      </w:pPr>
      <w:r>
        <w:t>THE PEOPLE,</w:t>
      </w:r>
    </w:p>
    <w:p w14:paraId="299DE362" w14:textId="24EBC1C2" w:rsidR="00C01336" w:rsidRDefault="00C01336" w:rsidP="00C01336">
      <w:pPr>
        <w:tabs>
          <w:tab w:val="left" w:pos="1440"/>
          <w:tab w:val="left" w:pos="4680"/>
          <w:tab w:val="center" w:pos="7200"/>
        </w:tabs>
        <w:spacing w:after="0"/>
        <w:jc w:val="center"/>
      </w:pPr>
      <w:r>
        <w:t>Plaintiff and Respondent,</w:t>
      </w:r>
    </w:p>
    <w:p w14:paraId="0375037A" w14:textId="639466FF" w:rsidR="00C01336" w:rsidRDefault="00C01336" w:rsidP="00C01336">
      <w:pPr>
        <w:tabs>
          <w:tab w:val="left" w:pos="1440"/>
          <w:tab w:val="left" w:pos="4680"/>
          <w:tab w:val="center" w:pos="7200"/>
        </w:tabs>
        <w:spacing w:after="0"/>
        <w:jc w:val="center"/>
      </w:pPr>
      <w:r>
        <w:t>v.</w:t>
      </w:r>
    </w:p>
    <w:p w14:paraId="4F40425E" w14:textId="5A72AE4A" w:rsidR="00C01336" w:rsidRDefault="00C01336" w:rsidP="00C01336">
      <w:pPr>
        <w:tabs>
          <w:tab w:val="left" w:pos="1440"/>
          <w:tab w:val="left" w:pos="4680"/>
          <w:tab w:val="center" w:pos="7200"/>
        </w:tabs>
        <w:spacing w:after="0"/>
        <w:jc w:val="center"/>
      </w:pPr>
      <w:r>
        <w:t>ROBERT COOPER,</w:t>
      </w:r>
    </w:p>
    <w:p w14:paraId="7C95351B" w14:textId="3B3248CB" w:rsidR="00C01336" w:rsidRDefault="00C01336" w:rsidP="00C01336">
      <w:pPr>
        <w:tabs>
          <w:tab w:val="left" w:pos="1440"/>
          <w:tab w:val="left" w:pos="4680"/>
          <w:tab w:val="center" w:pos="7200"/>
        </w:tabs>
        <w:spacing w:after="0"/>
        <w:jc w:val="center"/>
      </w:pPr>
      <w:r>
        <w:t>Defendant and Appellant.</w:t>
      </w:r>
    </w:p>
    <w:p w14:paraId="5B146BE3" w14:textId="397BCC71" w:rsidR="00C01336" w:rsidRDefault="00C01336" w:rsidP="00C01336">
      <w:pPr>
        <w:tabs>
          <w:tab w:val="left" w:pos="1440"/>
          <w:tab w:val="left" w:pos="4680"/>
          <w:tab w:val="center" w:pos="7200"/>
        </w:tabs>
        <w:spacing w:after="0"/>
        <w:jc w:val="center"/>
      </w:pPr>
    </w:p>
    <w:p w14:paraId="5D5ED0E2" w14:textId="6AFE2715" w:rsidR="00C01336" w:rsidRDefault="00C01336" w:rsidP="00C01336">
      <w:pPr>
        <w:tabs>
          <w:tab w:val="left" w:pos="1440"/>
          <w:tab w:val="left" w:pos="4680"/>
          <w:tab w:val="center" w:pos="7200"/>
        </w:tabs>
        <w:spacing w:after="0"/>
        <w:jc w:val="center"/>
      </w:pPr>
      <w:r>
        <w:t>S273134</w:t>
      </w:r>
    </w:p>
    <w:p w14:paraId="332E2DEA" w14:textId="0DA44965" w:rsidR="00C01336" w:rsidRDefault="00C01336" w:rsidP="00C01336">
      <w:pPr>
        <w:tabs>
          <w:tab w:val="left" w:pos="1440"/>
          <w:tab w:val="left" w:pos="4680"/>
          <w:tab w:val="center" w:pos="7200"/>
        </w:tabs>
        <w:spacing w:after="0"/>
        <w:jc w:val="center"/>
      </w:pPr>
    </w:p>
    <w:p w14:paraId="72A063EE" w14:textId="7B4E45EA" w:rsidR="00C01336" w:rsidRDefault="00C01336" w:rsidP="00C01336">
      <w:pPr>
        <w:tabs>
          <w:tab w:val="left" w:pos="1440"/>
          <w:tab w:val="left" w:pos="4680"/>
          <w:tab w:val="center" w:pos="7200"/>
        </w:tabs>
        <w:spacing w:after="0"/>
        <w:jc w:val="center"/>
      </w:pPr>
      <w:r>
        <w:t>Second Appellate District, Division Six</w:t>
      </w:r>
    </w:p>
    <w:p w14:paraId="04DD230A" w14:textId="2DF6FBF0" w:rsidR="00C01336" w:rsidRDefault="00C01336" w:rsidP="00C01336">
      <w:pPr>
        <w:tabs>
          <w:tab w:val="left" w:pos="1440"/>
          <w:tab w:val="left" w:pos="4680"/>
          <w:tab w:val="center" w:pos="7200"/>
        </w:tabs>
        <w:spacing w:after="0"/>
        <w:jc w:val="center"/>
      </w:pPr>
      <w:r>
        <w:t>B304490</w:t>
      </w:r>
    </w:p>
    <w:p w14:paraId="6C8F5CAA" w14:textId="52E2D83F" w:rsidR="00C01336" w:rsidRDefault="00C01336" w:rsidP="00C01336">
      <w:pPr>
        <w:tabs>
          <w:tab w:val="left" w:pos="1440"/>
          <w:tab w:val="left" w:pos="4680"/>
          <w:tab w:val="center" w:pos="7200"/>
        </w:tabs>
        <w:spacing w:after="0"/>
        <w:jc w:val="center"/>
      </w:pPr>
    </w:p>
    <w:p w14:paraId="638ED7B4" w14:textId="772BEB7E" w:rsidR="00C01336" w:rsidRDefault="00165F80" w:rsidP="00C01336">
      <w:pPr>
        <w:tabs>
          <w:tab w:val="left" w:pos="1440"/>
          <w:tab w:val="left" w:pos="4680"/>
          <w:tab w:val="center" w:pos="7200"/>
        </w:tabs>
        <w:spacing w:after="0"/>
        <w:jc w:val="center"/>
      </w:pPr>
      <w:r>
        <w:t>Los Angeles</w:t>
      </w:r>
      <w:r w:rsidR="00C01336">
        <w:t xml:space="preserve"> County Superior Court</w:t>
      </w:r>
    </w:p>
    <w:p w14:paraId="22DE1216" w14:textId="12154AC5" w:rsidR="00C01336" w:rsidRDefault="00C01336" w:rsidP="00C01336">
      <w:pPr>
        <w:tabs>
          <w:tab w:val="left" w:pos="1440"/>
          <w:tab w:val="left" w:pos="4680"/>
          <w:tab w:val="center" w:pos="7200"/>
        </w:tabs>
        <w:spacing w:after="0"/>
        <w:jc w:val="center"/>
      </w:pPr>
      <w:r>
        <w:t>TA140718</w:t>
      </w:r>
    </w:p>
    <w:p w14:paraId="55E211C0" w14:textId="5CCFD6B4" w:rsidR="00C01336" w:rsidRDefault="00C01336" w:rsidP="00C01336">
      <w:pPr>
        <w:pBdr>
          <w:bottom w:val="single" w:sz="4" w:space="1" w:color="auto"/>
        </w:pBdr>
        <w:tabs>
          <w:tab w:val="left" w:pos="1440"/>
          <w:tab w:val="left" w:pos="4680"/>
          <w:tab w:val="center" w:pos="7200"/>
        </w:tabs>
        <w:spacing w:after="0"/>
        <w:jc w:val="center"/>
      </w:pPr>
    </w:p>
    <w:p w14:paraId="2C6C9D12" w14:textId="5DD281AC" w:rsidR="00C01336" w:rsidRDefault="00C01336" w:rsidP="00C01336">
      <w:pPr>
        <w:tabs>
          <w:tab w:val="left" w:pos="1440"/>
          <w:tab w:val="left" w:pos="4680"/>
          <w:tab w:val="center" w:pos="7200"/>
        </w:tabs>
        <w:spacing w:after="0"/>
        <w:jc w:val="center"/>
      </w:pPr>
    </w:p>
    <w:p w14:paraId="6FC57DEC" w14:textId="097688CB" w:rsidR="00C01336" w:rsidRDefault="00872FDF" w:rsidP="00C01336">
      <w:pPr>
        <w:tabs>
          <w:tab w:val="left" w:pos="1440"/>
          <w:tab w:val="left" w:pos="4680"/>
          <w:tab w:val="center" w:pos="7200"/>
        </w:tabs>
        <w:spacing w:after="0"/>
        <w:jc w:val="center"/>
      </w:pPr>
      <w:r>
        <w:t>May 25,</w:t>
      </w:r>
      <w:r w:rsidR="00C01336">
        <w:t xml:space="preserve"> 2023</w:t>
      </w:r>
    </w:p>
    <w:p w14:paraId="18C2C796" w14:textId="036F9359" w:rsidR="00C01336" w:rsidRDefault="00C01336" w:rsidP="00C01336">
      <w:pPr>
        <w:tabs>
          <w:tab w:val="left" w:pos="1440"/>
          <w:tab w:val="left" w:pos="4680"/>
          <w:tab w:val="center" w:pos="7200"/>
        </w:tabs>
        <w:spacing w:after="0"/>
        <w:jc w:val="center"/>
      </w:pPr>
    </w:p>
    <w:p w14:paraId="6A74663E" w14:textId="5691B11C" w:rsidR="00C01336" w:rsidRDefault="00C01336" w:rsidP="00C01336">
      <w:pPr>
        <w:tabs>
          <w:tab w:val="left" w:pos="1440"/>
          <w:tab w:val="left" w:pos="4680"/>
          <w:tab w:val="center" w:pos="7200"/>
        </w:tabs>
        <w:spacing w:after="0"/>
        <w:jc w:val="left"/>
      </w:pPr>
      <w:r>
        <w:t xml:space="preserve">Justice Groban authored the opinion of the Court, in which </w:t>
      </w:r>
      <w:r w:rsidR="00872FDF" w:rsidRPr="00077BAA">
        <w:rPr>
          <w:szCs w:val="27"/>
        </w:rPr>
        <w:t xml:space="preserve">Chief Justice Guerrero and Justices Corrigan, </w:t>
      </w:r>
      <w:r w:rsidR="00872FDF">
        <w:rPr>
          <w:szCs w:val="27"/>
        </w:rPr>
        <w:t xml:space="preserve">Liu, </w:t>
      </w:r>
      <w:r w:rsidR="00872FDF" w:rsidRPr="00077BAA">
        <w:rPr>
          <w:szCs w:val="27"/>
        </w:rPr>
        <w:t>Kruger, Jenkins,</w:t>
      </w:r>
      <w:r w:rsidR="00872FDF" w:rsidRPr="00077BAA">
        <w:t xml:space="preserve"> and </w:t>
      </w:r>
      <w:r w:rsidR="00872FDF">
        <w:rPr>
          <w:szCs w:val="27"/>
        </w:rPr>
        <w:t>Evans</w:t>
      </w:r>
      <w:r>
        <w:t xml:space="preserve"> concurred.</w:t>
      </w:r>
    </w:p>
    <w:p w14:paraId="495F8ED5" w14:textId="77777777" w:rsidR="00C01336" w:rsidRPr="00C01336" w:rsidRDefault="00C01336" w:rsidP="00C01336">
      <w:pPr>
        <w:pBdr>
          <w:bottom w:val="single" w:sz="4" w:space="1" w:color="auto"/>
        </w:pBdr>
        <w:tabs>
          <w:tab w:val="left" w:pos="1440"/>
          <w:tab w:val="left" w:pos="4680"/>
          <w:tab w:val="center" w:pos="7200"/>
        </w:tabs>
        <w:spacing w:line="480" w:lineRule="atLeast"/>
        <w:jc w:val="left"/>
      </w:pPr>
      <w:bookmarkStart w:id="1" w:name="Return"/>
      <w:bookmarkEnd w:id="1"/>
    </w:p>
    <w:p w14:paraId="5EC400DB" w14:textId="77777777" w:rsidR="00C01336" w:rsidRDefault="00C01336">
      <w:pPr>
        <w:tabs>
          <w:tab w:val="left" w:pos="1440"/>
          <w:tab w:val="left" w:pos="4680"/>
          <w:tab w:val="center" w:pos="7200"/>
        </w:tabs>
        <w:spacing w:line="480" w:lineRule="atLeast"/>
        <w:sectPr w:rsidR="00C01336" w:rsidSect="001D25C0">
          <w:headerReference w:type="default" r:id="rId8"/>
          <w:footerReference w:type="default" r:id="rId9"/>
          <w:pgSz w:w="12240" w:h="15840"/>
          <w:pgMar w:top="1800" w:right="2160" w:bottom="1440" w:left="2160" w:header="720" w:footer="720" w:gutter="0"/>
          <w:cols w:space="720"/>
          <w:titlePg/>
          <w:docGrid w:linePitch="367"/>
        </w:sectPr>
      </w:pPr>
    </w:p>
    <w:p w14:paraId="6B4D8F2B" w14:textId="04416755" w:rsidR="00C01336" w:rsidRDefault="00C01336" w:rsidP="00C01336">
      <w:pPr>
        <w:tabs>
          <w:tab w:val="left" w:pos="1440"/>
          <w:tab w:val="left" w:pos="4680"/>
          <w:tab w:val="center" w:pos="7200"/>
        </w:tabs>
        <w:jc w:val="center"/>
      </w:pPr>
      <w:r>
        <w:lastRenderedPageBreak/>
        <w:t>PEOPLE v. COOPER</w:t>
      </w:r>
    </w:p>
    <w:p w14:paraId="586070EA" w14:textId="3DC4F37F" w:rsidR="00C01336" w:rsidRDefault="00C01336" w:rsidP="00C01336">
      <w:pPr>
        <w:tabs>
          <w:tab w:val="left" w:pos="1440"/>
          <w:tab w:val="left" w:pos="4680"/>
          <w:tab w:val="center" w:pos="7200"/>
        </w:tabs>
        <w:jc w:val="center"/>
      </w:pPr>
      <w:r>
        <w:t>S273134</w:t>
      </w:r>
    </w:p>
    <w:p w14:paraId="47BE2D8C" w14:textId="65E6289A" w:rsidR="00C01336" w:rsidRDefault="00C01336" w:rsidP="00C01336">
      <w:pPr>
        <w:tabs>
          <w:tab w:val="left" w:pos="1440"/>
          <w:tab w:val="left" w:pos="4680"/>
          <w:tab w:val="center" w:pos="7200"/>
        </w:tabs>
        <w:jc w:val="center"/>
      </w:pPr>
    </w:p>
    <w:p w14:paraId="49B0867E" w14:textId="55A3AA4F" w:rsidR="00C01336" w:rsidRDefault="00C01336" w:rsidP="00C01336">
      <w:pPr>
        <w:tabs>
          <w:tab w:val="left" w:pos="1440"/>
          <w:tab w:val="left" w:pos="4680"/>
          <w:tab w:val="center" w:pos="7200"/>
        </w:tabs>
        <w:jc w:val="center"/>
      </w:pPr>
      <w:r>
        <w:t>Opinion of the Court by Groban, J.</w:t>
      </w:r>
    </w:p>
    <w:p w14:paraId="02C96DBF" w14:textId="77777777" w:rsidR="00C01336" w:rsidRPr="00C01336" w:rsidRDefault="00C01336" w:rsidP="00C01336">
      <w:pPr>
        <w:tabs>
          <w:tab w:val="left" w:pos="1440"/>
          <w:tab w:val="left" w:pos="4680"/>
          <w:tab w:val="center" w:pos="7200"/>
        </w:tabs>
        <w:jc w:val="center"/>
      </w:pPr>
    </w:p>
    <w:p w14:paraId="4D8AD359" w14:textId="337F822E" w:rsidR="00657013" w:rsidRPr="00C01336" w:rsidRDefault="000C1A62" w:rsidP="00C01336">
      <w:pPr>
        <w:pStyle w:val="Text"/>
        <w:spacing w:line="400" w:lineRule="exact"/>
        <w:ind w:firstLine="720"/>
      </w:pPr>
      <w:bookmarkStart w:id="2" w:name="mainstory"/>
      <w:bookmarkEnd w:id="2"/>
      <w:r w:rsidRPr="00C01336">
        <w:t>Assembly Bill No. 333</w:t>
      </w:r>
      <w:r w:rsidR="009C6017">
        <w:t xml:space="preserve"> (2021</w:t>
      </w:r>
      <w:r w:rsidR="009C6017" w:rsidRPr="00C01336">
        <w:t>–</w:t>
      </w:r>
      <w:r w:rsidR="009C6017">
        <w:t>2022 Reg. Sess.)</w:t>
      </w:r>
      <w:r w:rsidRPr="00C01336">
        <w:t xml:space="preserve"> (</w:t>
      </w:r>
      <w:r w:rsidR="003D7C07">
        <w:t xml:space="preserve">Assembly Bill </w:t>
      </w:r>
      <w:r w:rsidRPr="00C01336">
        <w:t>333)</w:t>
      </w:r>
      <w:r w:rsidR="004E28D0" w:rsidRPr="00C01336">
        <w:t>,</w:t>
      </w:r>
      <w:r w:rsidR="000B4778" w:rsidRPr="00C01336">
        <w:t xml:space="preserve"> </w:t>
      </w:r>
      <w:r w:rsidRPr="00C01336">
        <w:t xml:space="preserve">effective January 1, 2022, amended the </w:t>
      </w:r>
      <w:r w:rsidR="00D944D3" w:rsidRPr="00C01336">
        <w:t xml:space="preserve">substantive </w:t>
      </w:r>
      <w:r w:rsidR="001F2152" w:rsidRPr="00C01336">
        <w:t xml:space="preserve">offense of active participation “in a criminal street gang” as well as the </w:t>
      </w:r>
      <w:r w:rsidR="000B4778" w:rsidRPr="00C01336">
        <w:t>sentencing</w:t>
      </w:r>
      <w:r w:rsidRPr="00C01336">
        <w:t xml:space="preserve"> enhancement</w:t>
      </w:r>
      <w:r w:rsidR="00302654" w:rsidRPr="00C01336">
        <w:t xml:space="preserve"> </w:t>
      </w:r>
      <w:r w:rsidR="00ED12C8" w:rsidRPr="00C01336">
        <w:t xml:space="preserve">available </w:t>
      </w:r>
      <w:r w:rsidR="001F2152" w:rsidRPr="00C01336">
        <w:t>for</w:t>
      </w:r>
      <w:r w:rsidR="004E28D0" w:rsidRPr="00C01336">
        <w:t xml:space="preserve"> </w:t>
      </w:r>
      <w:r w:rsidR="00302654" w:rsidRPr="00C01336">
        <w:t xml:space="preserve">a </w:t>
      </w:r>
      <w:r w:rsidR="004E28D0" w:rsidRPr="00C01336">
        <w:t>felony</w:t>
      </w:r>
      <w:r w:rsidR="001F2152" w:rsidRPr="00C01336">
        <w:t xml:space="preserve"> committed</w:t>
      </w:r>
      <w:r w:rsidR="00302654" w:rsidRPr="00C01336">
        <w:t xml:space="preserve"> “for the benefit of, at the direction of, or in association with a criminal street gang, with the specific intent to promote, further, or assist in criminal conduct by gang members.”</w:t>
      </w:r>
      <w:r w:rsidR="000B4778" w:rsidRPr="00C01336">
        <w:t xml:space="preserve"> </w:t>
      </w:r>
      <w:r w:rsidR="00302654" w:rsidRPr="00C01336">
        <w:t xml:space="preserve"> (</w:t>
      </w:r>
      <w:r w:rsidR="00BA4B7D" w:rsidRPr="00C01336">
        <w:t xml:space="preserve">Stats. 2021, ch. 699, § 3; </w:t>
      </w:r>
      <w:r w:rsidR="00D944D3" w:rsidRPr="00C01336">
        <w:t xml:space="preserve">Pen Code, </w:t>
      </w:r>
      <w:r w:rsidR="00302654" w:rsidRPr="00C01336">
        <w:t>§ 186.22, subd</w:t>
      </w:r>
      <w:r w:rsidR="00D944D3" w:rsidRPr="00C01336">
        <w:t>s</w:t>
      </w:r>
      <w:r w:rsidR="00302654" w:rsidRPr="00C01336">
        <w:t xml:space="preserve">. </w:t>
      </w:r>
      <w:r w:rsidR="00D944D3" w:rsidRPr="00C01336">
        <w:t xml:space="preserve">(a), </w:t>
      </w:r>
      <w:r w:rsidR="00302654" w:rsidRPr="00C01336">
        <w:t>(b)(1)</w:t>
      </w:r>
      <w:r w:rsidR="000B4778" w:rsidRPr="00C01336">
        <w:t>.)</w:t>
      </w:r>
      <w:r w:rsidR="00D944D3" w:rsidRPr="00C01336">
        <w:rPr>
          <w:rStyle w:val="FootnoteReference"/>
        </w:rPr>
        <w:footnoteReference w:id="2"/>
      </w:r>
      <w:r w:rsidRPr="00C01336">
        <w:t xml:space="preserve">  </w:t>
      </w:r>
      <w:r w:rsidR="00605C74" w:rsidRPr="00C01336">
        <w:t xml:space="preserve">Among other changes, </w:t>
      </w:r>
      <w:r w:rsidR="00302654" w:rsidRPr="00C01336">
        <w:t>A</w:t>
      </w:r>
      <w:r w:rsidR="003D7C07">
        <w:t xml:space="preserve">ssembly </w:t>
      </w:r>
      <w:r w:rsidR="00302654" w:rsidRPr="00C01336">
        <w:t>B</w:t>
      </w:r>
      <w:r w:rsidR="003D7C07">
        <w:t>ill</w:t>
      </w:r>
      <w:r w:rsidR="00302654" w:rsidRPr="00C01336">
        <w:t xml:space="preserve"> 333 </w:t>
      </w:r>
      <w:r w:rsidR="00700CE2" w:rsidRPr="00C01336">
        <w:t xml:space="preserve">now </w:t>
      </w:r>
      <w:r w:rsidR="00EE5F1C" w:rsidRPr="00C01336">
        <w:t>requires</w:t>
      </w:r>
      <w:r w:rsidR="000274EB" w:rsidRPr="00C01336">
        <w:t xml:space="preserve"> that</w:t>
      </w:r>
      <w:r w:rsidR="00302654" w:rsidRPr="00C01336">
        <w:t>,</w:t>
      </w:r>
      <w:r w:rsidR="000274EB" w:rsidRPr="00C01336">
        <w:t xml:space="preserve"> </w:t>
      </w:r>
      <w:r w:rsidR="00075A1E" w:rsidRPr="00C01336">
        <w:t>in order to demonstrate a pattern of criminal gang activity for the purpose of establishing a criminal street gang</w:t>
      </w:r>
      <w:r w:rsidR="009A548E" w:rsidRPr="00C01336">
        <w:t>,</w:t>
      </w:r>
      <w:r w:rsidR="00302654" w:rsidRPr="00C01336">
        <w:t xml:space="preserve"> </w:t>
      </w:r>
      <w:r w:rsidR="00EE5F1C" w:rsidRPr="00C01336">
        <w:t xml:space="preserve">the prosecution </w:t>
      </w:r>
      <w:r w:rsidR="00302654" w:rsidRPr="00C01336">
        <w:t xml:space="preserve">must </w:t>
      </w:r>
      <w:r w:rsidRPr="00C01336">
        <w:t>prove</w:t>
      </w:r>
      <w:r w:rsidR="000274EB" w:rsidRPr="00C01336">
        <w:t xml:space="preserve"> that</w:t>
      </w:r>
      <w:r w:rsidRPr="00C01336">
        <w:t xml:space="preserve"> </w:t>
      </w:r>
      <w:r w:rsidR="009F7939" w:rsidRPr="00C01336">
        <w:t xml:space="preserve">the </w:t>
      </w:r>
      <w:r w:rsidRPr="00C01336">
        <w:t>two predicate offenses “commonly benefited a criminal street gang, and the common benefit from the offenses is more than reputational.”  (§ 186.22, subd. (e)</w:t>
      </w:r>
      <w:r w:rsidR="00F929CD">
        <w:t>(1)</w:t>
      </w:r>
      <w:r w:rsidRPr="00C01336">
        <w:t>.)</w:t>
      </w:r>
      <w:r w:rsidR="001F2152" w:rsidRPr="00C01336">
        <w:rPr>
          <w:rStyle w:val="FootnoteReference"/>
        </w:rPr>
        <w:footnoteReference w:id="3"/>
      </w:r>
      <w:r w:rsidRPr="00C01336">
        <w:t xml:space="preserve">  </w:t>
      </w:r>
    </w:p>
    <w:p w14:paraId="324D0C02" w14:textId="2CB4B10B" w:rsidR="000C1A62" w:rsidRPr="00C01336" w:rsidRDefault="00F939BE" w:rsidP="00C01336">
      <w:pPr>
        <w:pStyle w:val="Text"/>
        <w:spacing w:line="400" w:lineRule="exact"/>
        <w:ind w:firstLine="720"/>
      </w:pPr>
      <w:r w:rsidRPr="00C01336">
        <w:lastRenderedPageBreak/>
        <w:t>Defendant</w:t>
      </w:r>
      <w:r w:rsidR="0056597E" w:rsidRPr="00C01336">
        <w:t xml:space="preserve"> Robert Cooper </w:t>
      </w:r>
      <w:r w:rsidRPr="00C01336">
        <w:t>was convicted of</w:t>
      </w:r>
      <w:r w:rsidR="0056597E" w:rsidRPr="00C01336">
        <w:t xml:space="preserve"> </w:t>
      </w:r>
      <w:r w:rsidR="00A05F76" w:rsidRPr="00C01336">
        <w:t xml:space="preserve">first degree murder (§ 187, subd. (a)) </w:t>
      </w:r>
      <w:r w:rsidRPr="00C01336">
        <w:t>with</w:t>
      </w:r>
      <w:r w:rsidR="00A05F76" w:rsidRPr="00C01336">
        <w:t xml:space="preserve"> gang (§ 186.22, subd. (b)(1)(C)) and firearm enhancements</w:t>
      </w:r>
      <w:r w:rsidRPr="00C01336">
        <w:t xml:space="preserve"> (§§ 186.22, subd. (b), 12022.53, subds. (b)–(e)), and a prior strike </w:t>
      </w:r>
      <w:r w:rsidR="00ED4703" w:rsidRPr="00C01336">
        <w:t>conviction</w:t>
      </w:r>
      <w:r w:rsidRPr="00C01336">
        <w:t xml:space="preserve"> (§§ 667, subds. (b)–(i)</w:t>
      </w:r>
      <w:r w:rsidR="00FF5294">
        <w:t>,</w:t>
      </w:r>
      <w:r w:rsidRPr="00C01336">
        <w:t xml:space="preserve"> 1170.12, subds. (a)–(d))</w:t>
      </w:r>
      <w:r w:rsidR="00444116">
        <w:t>.</w:t>
      </w:r>
      <w:r w:rsidRPr="00C01336">
        <w:t xml:space="preserve">  </w:t>
      </w:r>
      <w:r w:rsidR="000C1A62" w:rsidRPr="00C01336">
        <w:t xml:space="preserve">We granted review in this case to determine whether any of Cooper’s sentencing enhancements must be vacated due to </w:t>
      </w:r>
      <w:r w:rsidR="007224E9" w:rsidRPr="00C01336">
        <w:t>this</w:t>
      </w:r>
      <w:r w:rsidR="000C1A62" w:rsidRPr="00C01336">
        <w:t xml:space="preserve"> recent statutory change</w:t>
      </w:r>
      <w:r w:rsidR="00DC3295" w:rsidRPr="00C01336">
        <w:t xml:space="preserve"> to section 186.22</w:t>
      </w:r>
      <w:r w:rsidR="007224E9" w:rsidRPr="00C01336">
        <w:t>.</w:t>
      </w:r>
      <w:r w:rsidR="006D3896" w:rsidRPr="00C01336">
        <w:rPr>
          <w:rStyle w:val="FootnoteReference"/>
        </w:rPr>
        <w:footnoteReference w:id="4"/>
      </w:r>
      <w:r w:rsidR="007224E9" w:rsidRPr="00C01336">
        <w:t xml:space="preserve">  The parties </w:t>
      </w:r>
      <w:r w:rsidR="00137C46" w:rsidRPr="00C01336">
        <w:t xml:space="preserve">as well as the Court of Appeal below all </w:t>
      </w:r>
      <w:r w:rsidR="007224E9" w:rsidRPr="00C01336">
        <w:t xml:space="preserve">agree that Cooper’s jury was instructed under the prior law, that the new </w:t>
      </w:r>
      <w:r w:rsidR="00532090" w:rsidRPr="00C01336">
        <w:t xml:space="preserve">requirements in section 186.22 </w:t>
      </w:r>
      <w:r w:rsidR="007224E9" w:rsidRPr="00C01336">
        <w:t>appl</w:t>
      </w:r>
      <w:r w:rsidR="00532090" w:rsidRPr="00C01336">
        <w:t>y</w:t>
      </w:r>
      <w:r w:rsidR="007224E9" w:rsidRPr="00C01336">
        <w:t xml:space="preserve"> retroactively to </w:t>
      </w:r>
      <w:r w:rsidR="00532090" w:rsidRPr="00C01336">
        <w:t>Cooper’s</w:t>
      </w:r>
      <w:r w:rsidR="007224E9" w:rsidRPr="00C01336">
        <w:t xml:space="preserve"> case on appeal</w:t>
      </w:r>
      <w:r w:rsidR="009948CC" w:rsidRPr="00C01336">
        <w:t xml:space="preserve"> under </w:t>
      </w:r>
      <w:r w:rsidR="009948CC" w:rsidRPr="00C01336">
        <w:rPr>
          <w:i/>
          <w:iCs/>
        </w:rPr>
        <w:t>In re Estrada</w:t>
      </w:r>
      <w:r w:rsidR="009948CC" w:rsidRPr="00C01336">
        <w:t xml:space="preserve"> (1965) 63</w:t>
      </w:r>
      <w:r w:rsidR="002A36CD" w:rsidRPr="00C01336">
        <w:t> </w:t>
      </w:r>
      <w:r w:rsidR="009948CC" w:rsidRPr="00C01336">
        <w:t>Cal.2d 740</w:t>
      </w:r>
      <w:r w:rsidR="007224E9" w:rsidRPr="00C01336">
        <w:t xml:space="preserve">, and that </w:t>
      </w:r>
      <w:r w:rsidR="004243F7" w:rsidRPr="00C01336">
        <w:t xml:space="preserve">the prejudice from the instructional error is assessed under </w:t>
      </w:r>
      <w:r w:rsidR="004243F7" w:rsidRPr="00C01336">
        <w:rPr>
          <w:i/>
          <w:iCs/>
        </w:rPr>
        <w:t>Chapman v. California</w:t>
      </w:r>
      <w:r w:rsidR="004243F7" w:rsidRPr="00C01336">
        <w:t xml:space="preserve"> (1967) 386</w:t>
      </w:r>
      <w:r w:rsidR="002A36CD" w:rsidRPr="00C01336">
        <w:t> </w:t>
      </w:r>
      <w:r w:rsidR="004243F7" w:rsidRPr="00C01336">
        <w:t>U.S. 18 (</w:t>
      </w:r>
      <w:r w:rsidR="004243F7" w:rsidRPr="00C01336">
        <w:rPr>
          <w:i/>
          <w:iCs/>
        </w:rPr>
        <w:t>Chapman</w:t>
      </w:r>
      <w:r w:rsidR="004243F7" w:rsidRPr="00C01336">
        <w:t>)</w:t>
      </w:r>
      <w:r w:rsidR="007224E9" w:rsidRPr="00C01336">
        <w:t xml:space="preserve">.  </w:t>
      </w:r>
      <w:r w:rsidR="00A2089C" w:rsidRPr="00C01336">
        <w:t xml:space="preserve">(See </w:t>
      </w:r>
      <w:r w:rsidR="00A2089C" w:rsidRPr="00C01336">
        <w:rPr>
          <w:i/>
          <w:iCs/>
        </w:rPr>
        <w:t>People v. Tran</w:t>
      </w:r>
      <w:r w:rsidR="00A2089C" w:rsidRPr="00C01336">
        <w:t xml:space="preserve"> (2022) 13</w:t>
      </w:r>
      <w:r w:rsidR="00EE532F" w:rsidRPr="00C01336">
        <w:t> </w:t>
      </w:r>
      <w:r w:rsidR="00A2089C" w:rsidRPr="00C01336">
        <w:t>Cal.5th 1169, 1207</w:t>
      </w:r>
      <w:r w:rsidR="00B22D38" w:rsidRPr="00C01336">
        <w:t xml:space="preserve"> [</w:t>
      </w:r>
      <w:r w:rsidR="00804BE0" w:rsidRPr="00C01336">
        <w:t xml:space="preserve">the rule of </w:t>
      </w:r>
      <w:r w:rsidR="00804BE0" w:rsidRPr="00C01336">
        <w:rPr>
          <w:i/>
          <w:iCs/>
        </w:rPr>
        <w:t>Estrada</w:t>
      </w:r>
      <w:r w:rsidR="00804BE0" w:rsidRPr="00C01336">
        <w:t xml:space="preserve"> applies to A</w:t>
      </w:r>
      <w:r w:rsidR="009C6017">
        <w:t xml:space="preserve">ssem. </w:t>
      </w:r>
      <w:r w:rsidR="00804BE0" w:rsidRPr="00C01336">
        <w:t>B</w:t>
      </w:r>
      <w:r w:rsidR="009C6017">
        <w:t>ill</w:t>
      </w:r>
      <w:r w:rsidR="00804BE0" w:rsidRPr="00C01336">
        <w:t xml:space="preserve"> 333’s changes to </w:t>
      </w:r>
      <w:r w:rsidR="00B377F0" w:rsidRPr="00C01336">
        <w:t>§</w:t>
      </w:r>
      <w:r w:rsidR="00804BE0" w:rsidRPr="00C01336">
        <w:t xml:space="preserve"> 186.22 and </w:t>
      </w:r>
      <w:r w:rsidR="00CD6B15" w:rsidRPr="00C01336">
        <w:t>any</w:t>
      </w:r>
      <w:r w:rsidR="00804BE0" w:rsidRPr="00C01336">
        <w:t xml:space="preserve"> instructional error </w:t>
      </w:r>
      <w:r w:rsidR="00A52347" w:rsidRPr="00C01336">
        <w:t>resulting from the change in law</w:t>
      </w:r>
      <w:r w:rsidR="00CD6B15" w:rsidRPr="00C01336">
        <w:t xml:space="preserve"> </w:t>
      </w:r>
      <w:r w:rsidR="00804BE0" w:rsidRPr="00C01336">
        <w:t xml:space="preserve">is assessed under </w:t>
      </w:r>
      <w:r w:rsidR="00804BE0" w:rsidRPr="00C01336">
        <w:rPr>
          <w:i/>
          <w:iCs/>
        </w:rPr>
        <w:t>Chapman</w:t>
      </w:r>
      <w:r w:rsidR="00B22D38" w:rsidRPr="00C01336">
        <w:t>]</w:t>
      </w:r>
      <w:r w:rsidR="00A2089C" w:rsidRPr="00C01336">
        <w:t xml:space="preserve">.)  </w:t>
      </w:r>
      <w:r w:rsidR="007224E9" w:rsidRPr="00C01336">
        <w:t>Applying th</w:t>
      </w:r>
      <w:r w:rsidR="004243F7" w:rsidRPr="00C01336">
        <w:t xml:space="preserve">e </w:t>
      </w:r>
      <w:r w:rsidR="004243F7" w:rsidRPr="00C01336">
        <w:rPr>
          <w:i/>
          <w:iCs/>
        </w:rPr>
        <w:t>Chapman</w:t>
      </w:r>
      <w:r w:rsidR="007224E9" w:rsidRPr="00C01336">
        <w:t xml:space="preserve"> standard, we</w:t>
      </w:r>
      <w:r w:rsidR="00277AEA" w:rsidRPr="00C01336">
        <w:t xml:space="preserve"> hold</w:t>
      </w:r>
      <w:r w:rsidR="007224E9" w:rsidRPr="00C01336">
        <w:t xml:space="preserve"> </w:t>
      </w:r>
      <w:r w:rsidR="00277AEA" w:rsidRPr="00C01336">
        <w:t xml:space="preserve">that the failure to instruct </w:t>
      </w:r>
      <w:r w:rsidR="007224E9" w:rsidRPr="00C01336">
        <w:t xml:space="preserve">that </w:t>
      </w:r>
      <w:r w:rsidR="00277AEA" w:rsidRPr="00C01336">
        <w:t xml:space="preserve">the </w:t>
      </w:r>
      <w:r w:rsidR="00E60763" w:rsidRPr="00C01336">
        <w:t xml:space="preserve">alleged </w:t>
      </w:r>
      <w:r w:rsidR="00277AEA" w:rsidRPr="00C01336">
        <w:t xml:space="preserve">predicate offenses must have “commonly benefited” the gang in a “more than reputational” manner </w:t>
      </w:r>
      <w:r w:rsidR="00142D09" w:rsidRPr="00C01336">
        <w:t>(§ 186.22, subd. (e)</w:t>
      </w:r>
      <w:r w:rsidR="00B377F0">
        <w:t>(1)</w:t>
      </w:r>
      <w:r w:rsidR="00142D09" w:rsidRPr="00C01336">
        <w:t xml:space="preserve">) </w:t>
      </w:r>
      <w:r w:rsidR="00277AEA" w:rsidRPr="00C01336">
        <w:t>was not harmless beyond a reasonable doubt</w:t>
      </w:r>
      <w:r w:rsidR="00142D09" w:rsidRPr="00C01336">
        <w:rPr>
          <w:i/>
          <w:iCs/>
        </w:rPr>
        <w:t>.</w:t>
      </w:r>
      <w:r w:rsidR="00142D09" w:rsidRPr="00C01336">
        <w:t xml:space="preserve">  </w:t>
      </w:r>
      <w:r w:rsidR="004243F7" w:rsidRPr="00C01336">
        <w:t xml:space="preserve">Here, </w:t>
      </w:r>
      <w:r w:rsidR="004B0436" w:rsidRPr="00C01336">
        <w:t>the record</w:t>
      </w:r>
      <w:r w:rsidR="00B41696" w:rsidRPr="00C01336">
        <w:t xml:space="preserve"> contains evidence that could rationally lead to a contrary finding</w:t>
      </w:r>
      <w:r w:rsidR="004B0436" w:rsidRPr="00C01336">
        <w:t xml:space="preserve"> </w:t>
      </w:r>
      <w:r w:rsidR="00FD5A1A" w:rsidRPr="00C01336">
        <w:t xml:space="preserve">regarding </w:t>
      </w:r>
      <w:r w:rsidR="00B41696" w:rsidRPr="00C01336">
        <w:t xml:space="preserve">whether </w:t>
      </w:r>
      <w:r w:rsidR="004243F7" w:rsidRPr="00C01336">
        <w:t>the gang</w:t>
      </w:r>
      <w:r w:rsidR="00DB1A5A" w:rsidRPr="00C01336">
        <w:t xml:space="preserve"> as a whole</w:t>
      </w:r>
      <w:r w:rsidR="004243F7" w:rsidRPr="00C01336">
        <w:t xml:space="preserve"> (as opposed to the predicate offender</w:t>
      </w:r>
      <w:r w:rsidR="000274EB" w:rsidRPr="00C01336">
        <w:t>s</w:t>
      </w:r>
      <w:r w:rsidR="00DB1A5A" w:rsidRPr="00C01336">
        <w:t xml:space="preserve"> themselves</w:t>
      </w:r>
      <w:r w:rsidR="004243F7" w:rsidRPr="00C01336">
        <w:t>) benefited from the offense</w:t>
      </w:r>
      <w:r w:rsidR="000274EB" w:rsidRPr="00C01336">
        <w:t>s</w:t>
      </w:r>
      <w:r w:rsidR="0075284A" w:rsidRPr="00C01336">
        <w:t xml:space="preserve"> in a nonreputational manner</w:t>
      </w:r>
      <w:r w:rsidR="004243F7" w:rsidRPr="00C01336">
        <w:t xml:space="preserve">.  </w:t>
      </w:r>
      <w:r w:rsidR="00A2089C" w:rsidRPr="00C01336">
        <w:t>W</w:t>
      </w:r>
      <w:r w:rsidR="004243F7" w:rsidRPr="00C01336">
        <w:t xml:space="preserve">e reverse Cooper’s gang enhancement, as well as </w:t>
      </w:r>
      <w:r w:rsidR="00165B9F" w:rsidRPr="00C01336">
        <w:t>the</w:t>
      </w:r>
      <w:r w:rsidR="004243F7" w:rsidRPr="00C01336">
        <w:t xml:space="preserve"> firearm enhancement that is contingent upon the gang enhancement, and remand the </w:t>
      </w:r>
      <w:r w:rsidR="006523CE" w:rsidRPr="00C01336">
        <w:t xml:space="preserve">case to </w:t>
      </w:r>
      <w:r w:rsidR="006523CE" w:rsidRPr="00C01336">
        <w:lastRenderedPageBreak/>
        <w:t xml:space="preserve">the Court of Appeal with instructions to remand the case to the superior court </w:t>
      </w:r>
      <w:r w:rsidR="004243F7" w:rsidRPr="00C01336">
        <w:t>for any retrial of the same.</w:t>
      </w:r>
    </w:p>
    <w:p w14:paraId="2C8418D2" w14:textId="40969877" w:rsidR="004243F7" w:rsidRPr="00C01336" w:rsidRDefault="004243F7" w:rsidP="00724B44">
      <w:pPr>
        <w:pStyle w:val="Text"/>
        <w:spacing w:line="400" w:lineRule="exact"/>
        <w:ind w:firstLine="0"/>
        <w:jc w:val="center"/>
      </w:pPr>
      <w:r w:rsidRPr="00C01336">
        <w:t>I. Background</w:t>
      </w:r>
    </w:p>
    <w:p w14:paraId="3463556E" w14:textId="2113D047" w:rsidR="00945BA8" w:rsidRPr="00C01336" w:rsidRDefault="00B028DA" w:rsidP="00C01336">
      <w:pPr>
        <w:pStyle w:val="Text"/>
        <w:spacing w:line="400" w:lineRule="exact"/>
        <w:ind w:firstLine="720"/>
      </w:pPr>
      <w:r w:rsidRPr="00C01336">
        <w:t>Cooper was a member of the Lu</w:t>
      </w:r>
      <w:r w:rsidR="00D14E49" w:rsidRPr="00C01336">
        <w:t>e</w:t>
      </w:r>
      <w:r w:rsidRPr="00C01336">
        <w:t>ders Park gang.</w:t>
      </w:r>
      <w:r w:rsidRPr="00C01336">
        <w:rPr>
          <w:rStyle w:val="FootnoteReference"/>
        </w:rPr>
        <w:footnoteReference w:id="5"/>
      </w:r>
      <w:r w:rsidRPr="00C01336">
        <w:t xml:space="preserve">  Nicos Mathis and Monique Peterson were members of a rival gang, Mob Piru.  </w:t>
      </w:r>
      <w:r w:rsidR="00192AD4" w:rsidRPr="00C01336">
        <w:t>On October 24, 2012, the</w:t>
      </w:r>
      <w:r w:rsidR="008723AD" w:rsidRPr="00C01336">
        <w:t xml:space="preserve"> </w:t>
      </w:r>
      <w:r w:rsidR="00D42E9D" w:rsidRPr="00C01336">
        <w:t xml:space="preserve">three </w:t>
      </w:r>
      <w:r w:rsidRPr="00C01336">
        <w:t xml:space="preserve">were </w:t>
      </w:r>
      <w:r w:rsidR="00D42E9D" w:rsidRPr="00C01336">
        <w:t xml:space="preserve">all </w:t>
      </w:r>
      <w:r w:rsidRPr="00C01336">
        <w:t>in Gonzales Park in Compton</w:t>
      </w:r>
      <w:r w:rsidR="00B6706F" w:rsidRPr="00C01336">
        <w:t xml:space="preserve"> with a large group of people</w:t>
      </w:r>
      <w:r w:rsidRPr="00C01336">
        <w:t>.</w:t>
      </w:r>
      <w:r w:rsidR="00C82849" w:rsidRPr="00C01336">
        <w:t xml:space="preserve">  Mathis challenged Cooper to a fight, but Cooper declined and walked away.</w:t>
      </w:r>
    </w:p>
    <w:p w14:paraId="57ED0242" w14:textId="13142CFF" w:rsidR="00C82849" w:rsidRPr="00C01336" w:rsidRDefault="00C82849" w:rsidP="00C01336">
      <w:pPr>
        <w:pStyle w:val="Text"/>
        <w:spacing w:line="400" w:lineRule="exact"/>
        <w:ind w:firstLine="720"/>
      </w:pPr>
      <w:r w:rsidRPr="00C01336">
        <w:t xml:space="preserve">About 20 minutes later, a Buick drove into the park. </w:t>
      </w:r>
      <w:r w:rsidR="00580370" w:rsidRPr="00C01336">
        <w:t xml:space="preserve"> </w:t>
      </w:r>
      <w:r w:rsidRPr="00C01336">
        <w:t>Peterson recognized the two occupants of the Buick as Lu</w:t>
      </w:r>
      <w:r w:rsidR="00D14E49" w:rsidRPr="00C01336">
        <w:t>e</w:t>
      </w:r>
      <w:r w:rsidRPr="00C01336">
        <w:t xml:space="preserve">ders Park gang members and urged Mathis to leave.  Mathis refused </w:t>
      </w:r>
      <w:r w:rsidR="00945BA8" w:rsidRPr="00C01336">
        <w:t xml:space="preserve">to leave </w:t>
      </w:r>
      <w:r w:rsidRPr="00C01336">
        <w:t>because he was waiting for a fellow gang member</w:t>
      </w:r>
      <w:r w:rsidR="00BA2F51" w:rsidRPr="00C01336">
        <w:t xml:space="preserve"> nicknamed </w:t>
      </w:r>
      <w:r w:rsidR="00DE2F46">
        <w:t>“</w:t>
      </w:r>
      <w:r w:rsidRPr="00C01336">
        <w:t>Hit Man.</w:t>
      </w:r>
      <w:r w:rsidR="00DE2F46">
        <w:t>”</w:t>
      </w:r>
      <w:r w:rsidRPr="00C01336">
        <w:t xml:space="preserve">  Eventually Mathis drove away </w:t>
      </w:r>
      <w:r w:rsidR="00945BA8" w:rsidRPr="00C01336">
        <w:t xml:space="preserve">looking for Hit Man </w:t>
      </w:r>
      <w:r w:rsidRPr="00C01336">
        <w:t>with Peterson and two other friend</w:t>
      </w:r>
      <w:r w:rsidR="00D42E9D" w:rsidRPr="00C01336">
        <w:t>s</w:t>
      </w:r>
      <w:r w:rsidRPr="00C01336">
        <w:t xml:space="preserve">.  Mathis pulled over on the street where Hit Man had </w:t>
      </w:r>
      <w:r w:rsidR="003058B4" w:rsidRPr="00C01336">
        <w:t xml:space="preserve">told him </w:t>
      </w:r>
      <w:r w:rsidRPr="00C01336">
        <w:t>to meet.</w:t>
      </w:r>
      <w:r w:rsidR="00D42E9D" w:rsidRPr="00C01336">
        <w:t xml:space="preserve"> </w:t>
      </w:r>
      <w:r w:rsidRPr="00C01336">
        <w:t xml:space="preserve"> Peterson heard gunshots, and told Mathis to drive away, but they remained </w:t>
      </w:r>
      <w:r w:rsidR="00D42E9D" w:rsidRPr="00C01336">
        <w:t>parked</w:t>
      </w:r>
      <w:r w:rsidRPr="00C01336">
        <w:t>.</w:t>
      </w:r>
    </w:p>
    <w:p w14:paraId="3E8A2912" w14:textId="48B7A4C8" w:rsidR="00C82849" w:rsidRPr="00C01336" w:rsidRDefault="005434D8" w:rsidP="00C01336">
      <w:pPr>
        <w:pStyle w:val="Text"/>
        <w:spacing w:line="400" w:lineRule="exact"/>
        <w:ind w:firstLine="720"/>
      </w:pPr>
      <w:bookmarkStart w:id="3" w:name="_Hlk131586323"/>
      <w:r w:rsidRPr="00C01336">
        <w:rPr>
          <w:szCs w:val="26"/>
        </w:rPr>
        <w:t>Peterson testified that she turned and saw two cars pull up, the Buick and an Infiniti.</w:t>
      </w:r>
      <w:r w:rsidR="004228F7" w:rsidRPr="00C01336">
        <w:rPr>
          <w:szCs w:val="26"/>
        </w:rPr>
        <w:t xml:space="preserve"> </w:t>
      </w:r>
      <w:r w:rsidRPr="00C01336">
        <w:rPr>
          <w:szCs w:val="26"/>
        </w:rPr>
        <w:t xml:space="preserve"> Cooper, “Mousey,” and “Honcho” were in the Infiniti. </w:t>
      </w:r>
      <w:r w:rsidR="000D6048" w:rsidRPr="00C01336">
        <w:rPr>
          <w:szCs w:val="26"/>
        </w:rPr>
        <w:t xml:space="preserve"> </w:t>
      </w:r>
      <w:r w:rsidRPr="00C01336">
        <w:rPr>
          <w:szCs w:val="26"/>
        </w:rPr>
        <w:t>She saw two guns fire toward the vehicle she was in</w:t>
      </w:r>
      <w:r w:rsidR="006327CB" w:rsidRPr="00C01336">
        <w:rPr>
          <w:szCs w:val="26"/>
        </w:rPr>
        <w:t>.  One of the guns was fired</w:t>
      </w:r>
      <w:r w:rsidRPr="00C01336">
        <w:rPr>
          <w:szCs w:val="26"/>
        </w:rPr>
        <w:t xml:space="preserve"> from the front passenger side of the Infiniti and the other from the rear passenger side.</w:t>
      </w:r>
      <w:r w:rsidR="000D6048" w:rsidRPr="00C01336">
        <w:rPr>
          <w:szCs w:val="26"/>
        </w:rPr>
        <w:t xml:space="preserve">  </w:t>
      </w:r>
      <w:bookmarkEnd w:id="3"/>
      <w:r w:rsidR="00C82849" w:rsidRPr="00C01336">
        <w:t xml:space="preserve">The Buick crashed into Mathis’s car but drove away. </w:t>
      </w:r>
      <w:r w:rsidR="00945BA8" w:rsidRPr="00C01336">
        <w:t xml:space="preserve"> </w:t>
      </w:r>
      <w:r w:rsidR="00C82849" w:rsidRPr="00C01336">
        <w:t xml:space="preserve">Mathis was shot </w:t>
      </w:r>
      <w:r w:rsidR="00AC6453" w:rsidRPr="00C01336">
        <w:t xml:space="preserve">once </w:t>
      </w:r>
      <w:r w:rsidR="00C82849" w:rsidRPr="00C01336">
        <w:t>in the head and four times in the body and later died of his wounds in the hospital.</w:t>
      </w:r>
    </w:p>
    <w:p w14:paraId="4065DEFA" w14:textId="71A290F8" w:rsidR="001F629A" w:rsidRPr="00C01336" w:rsidRDefault="001F629A" w:rsidP="00C01336">
      <w:pPr>
        <w:pStyle w:val="Text"/>
        <w:spacing w:line="400" w:lineRule="exact"/>
        <w:ind w:firstLine="720"/>
      </w:pPr>
      <w:r w:rsidRPr="00C01336">
        <w:lastRenderedPageBreak/>
        <w:t xml:space="preserve">An information </w:t>
      </w:r>
      <w:r w:rsidR="00657013" w:rsidRPr="00C01336">
        <w:t xml:space="preserve">charged </w:t>
      </w:r>
      <w:r w:rsidRPr="00C01336">
        <w:t xml:space="preserve">Cooper </w:t>
      </w:r>
      <w:r w:rsidR="00657013" w:rsidRPr="00C01336">
        <w:t xml:space="preserve">with </w:t>
      </w:r>
      <w:r w:rsidRPr="00C01336">
        <w:t xml:space="preserve">conspiracy to commit murder (§ 182, subd. (a)(1)); </w:t>
      </w:r>
      <w:r w:rsidR="00ED4703" w:rsidRPr="00C01336">
        <w:t xml:space="preserve">the </w:t>
      </w:r>
      <w:r w:rsidRPr="00C01336">
        <w:t xml:space="preserve">murder </w:t>
      </w:r>
      <w:r w:rsidR="00ED4703" w:rsidRPr="00C01336">
        <w:t xml:space="preserve">of Mathis </w:t>
      </w:r>
      <w:r w:rsidRPr="00C01336">
        <w:t>(§ 187, subd. (a))</w:t>
      </w:r>
      <w:r w:rsidR="00ED4703" w:rsidRPr="00C01336">
        <w:t xml:space="preserve">; and three counts of </w:t>
      </w:r>
      <w:r w:rsidRPr="00C01336">
        <w:t>attempted murder (§§ 664</w:t>
      </w:r>
      <w:r w:rsidR="00E20D18">
        <w:t xml:space="preserve">, </w:t>
      </w:r>
      <w:r w:rsidRPr="00C01336">
        <w:t>187, subd. (a))</w:t>
      </w:r>
      <w:r w:rsidR="00ED4703" w:rsidRPr="00C01336">
        <w:t xml:space="preserve">.  </w:t>
      </w:r>
      <w:r w:rsidR="00165B9F" w:rsidRPr="00C01336">
        <w:t>Each</w:t>
      </w:r>
      <w:r w:rsidR="00ED4703" w:rsidRPr="00C01336">
        <w:t xml:space="preserve"> count</w:t>
      </w:r>
      <w:r w:rsidR="00165B9F" w:rsidRPr="00C01336">
        <w:t xml:space="preserve"> also alleged </w:t>
      </w:r>
      <w:r w:rsidRPr="00C01336">
        <w:t xml:space="preserve">firearm allegations </w:t>
      </w:r>
      <w:r w:rsidR="00ED4703" w:rsidRPr="00C01336">
        <w:t>(§ </w:t>
      </w:r>
      <w:r w:rsidRPr="00C01336">
        <w:t>12022.53, subds</w:t>
      </w:r>
      <w:r w:rsidR="00724B44">
        <w:t>.</w:t>
      </w:r>
      <w:r w:rsidRPr="00C01336">
        <w:t xml:space="preserve"> (b), (c), (d), </w:t>
      </w:r>
      <w:r w:rsidR="00E20D18">
        <w:t>&amp;</w:t>
      </w:r>
      <w:r w:rsidR="00E20D18" w:rsidRPr="00C01336">
        <w:t xml:space="preserve"> </w:t>
      </w:r>
      <w:r w:rsidRPr="00C01336">
        <w:t>(e)(1)</w:t>
      </w:r>
      <w:r w:rsidR="00ED4703" w:rsidRPr="00C01336">
        <w:t>)</w:t>
      </w:r>
      <w:r w:rsidRPr="00C01336">
        <w:t xml:space="preserve">, and </w:t>
      </w:r>
      <w:r w:rsidR="00165B9F" w:rsidRPr="00C01336">
        <w:t>that the</w:t>
      </w:r>
      <w:r w:rsidRPr="00C01336">
        <w:t xml:space="preserve"> crimes were committed for the benefit of, at the direction of, or in association with a gang</w:t>
      </w:r>
      <w:r w:rsidR="00ED4703" w:rsidRPr="00C01336">
        <w:t xml:space="preserve"> (§ </w:t>
      </w:r>
      <w:r w:rsidRPr="00C01336">
        <w:t xml:space="preserve">186.22, </w:t>
      </w:r>
      <w:r w:rsidR="00ED4703" w:rsidRPr="00C01336">
        <w:t>subd.</w:t>
      </w:r>
      <w:r w:rsidRPr="00C01336">
        <w:t xml:space="preserve"> (b)(1)(C)</w:t>
      </w:r>
      <w:r w:rsidR="00ED4703" w:rsidRPr="00C01336">
        <w:t>)</w:t>
      </w:r>
      <w:r w:rsidRPr="00C01336">
        <w:t xml:space="preserve">. </w:t>
      </w:r>
      <w:r w:rsidR="00ED4703" w:rsidRPr="00C01336">
        <w:t xml:space="preserve"> </w:t>
      </w:r>
      <w:r w:rsidRPr="00C01336">
        <w:t xml:space="preserve">The information also alleged </w:t>
      </w:r>
      <w:r w:rsidR="00ED4703" w:rsidRPr="00C01336">
        <w:t>a</w:t>
      </w:r>
      <w:r w:rsidRPr="00C01336">
        <w:t xml:space="preserve"> prior strike conviction </w:t>
      </w:r>
      <w:r w:rsidR="00165B9F" w:rsidRPr="00C01336">
        <w:t>(§§ 667, subds. (b)–(i)</w:t>
      </w:r>
      <w:r w:rsidR="00E20D18">
        <w:t>,</w:t>
      </w:r>
      <w:r w:rsidR="00165B9F" w:rsidRPr="00C01336">
        <w:t xml:space="preserve"> 1170.12, subds. (a)–(d)).</w:t>
      </w:r>
    </w:p>
    <w:p w14:paraId="7C972696" w14:textId="1741F83E" w:rsidR="00075A1E" w:rsidRPr="00C01336" w:rsidRDefault="005E3663" w:rsidP="00C01336">
      <w:pPr>
        <w:pStyle w:val="Text"/>
        <w:spacing w:line="400" w:lineRule="exact"/>
        <w:ind w:firstLine="720"/>
        <w:rPr>
          <w:szCs w:val="26"/>
        </w:rPr>
      </w:pPr>
      <w:r w:rsidRPr="00C01336">
        <w:t>A</w:t>
      </w:r>
      <w:r w:rsidR="00075A1E" w:rsidRPr="00C01336">
        <w:t xml:space="preserve"> jury</w:t>
      </w:r>
      <w:r w:rsidRPr="00C01336">
        <w:t xml:space="preserve"> initially</w:t>
      </w:r>
      <w:r w:rsidR="00075A1E" w:rsidRPr="00C01336">
        <w:t xml:space="preserve"> acquitted </w:t>
      </w:r>
      <w:r w:rsidRPr="00C01336">
        <w:t>Cooper</w:t>
      </w:r>
      <w:r w:rsidR="00075A1E" w:rsidRPr="00C01336">
        <w:t xml:space="preserve"> of three counts of attempted murder </w:t>
      </w:r>
      <w:r w:rsidRPr="00C01336">
        <w:t>(§§ 664</w:t>
      </w:r>
      <w:r w:rsidR="00E20D18">
        <w:t xml:space="preserve">, </w:t>
      </w:r>
      <w:r w:rsidRPr="00C01336">
        <w:t>187, subd. (a)), but</w:t>
      </w:r>
      <w:r w:rsidR="00075A1E" w:rsidRPr="00C01336">
        <w:t xml:space="preserve"> hung on a murder count </w:t>
      </w:r>
      <w:r w:rsidRPr="00C01336">
        <w:rPr>
          <w:szCs w:val="26"/>
        </w:rPr>
        <w:t xml:space="preserve">(§ 187, subd. (a)) </w:t>
      </w:r>
      <w:r w:rsidR="00075A1E" w:rsidRPr="00C01336">
        <w:t>and conspiracy to commit murder count</w:t>
      </w:r>
      <w:r w:rsidRPr="00C01336">
        <w:t xml:space="preserve"> </w:t>
      </w:r>
      <w:r w:rsidRPr="00C01336">
        <w:rPr>
          <w:szCs w:val="26"/>
        </w:rPr>
        <w:t xml:space="preserve">(§ 182, subd. (a)(1)).  A retrial was held on the murder count only, with </w:t>
      </w:r>
      <w:r w:rsidR="00ED4703" w:rsidRPr="00C01336">
        <w:rPr>
          <w:szCs w:val="26"/>
        </w:rPr>
        <w:t xml:space="preserve">the </w:t>
      </w:r>
      <w:r w:rsidR="009F7939" w:rsidRPr="00C01336">
        <w:rPr>
          <w:szCs w:val="26"/>
        </w:rPr>
        <w:t>gang</w:t>
      </w:r>
      <w:r w:rsidRPr="00C01336">
        <w:rPr>
          <w:szCs w:val="26"/>
        </w:rPr>
        <w:t xml:space="preserve"> </w:t>
      </w:r>
      <w:r w:rsidR="009F7939" w:rsidRPr="00C01336">
        <w:t xml:space="preserve">(§ 186.22, subd. (b)(1)) </w:t>
      </w:r>
      <w:r w:rsidRPr="00C01336">
        <w:rPr>
          <w:szCs w:val="26"/>
        </w:rPr>
        <w:t xml:space="preserve">and </w:t>
      </w:r>
      <w:r w:rsidR="009F7939" w:rsidRPr="00C01336">
        <w:rPr>
          <w:szCs w:val="26"/>
        </w:rPr>
        <w:t>firearm</w:t>
      </w:r>
      <w:r w:rsidRPr="00C01336">
        <w:rPr>
          <w:szCs w:val="26"/>
        </w:rPr>
        <w:t xml:space="preserve"> enhancements alleged </w:t>
      </w:r>
      <w:r w:rsidR="00CC5589" w:rsidRPr="00C01336">
        <w:rPr>
          <w:szCs w:val="26"/>
        </w:rPr>
        <w:t xml:space="preserve">as before </w:t>
      </w:r>
      <w:r w:rsidR="009F7939" w:rsidRPr="00C01336">
        <w:t>(§ 12022.53, subds. (b)–(e))</w:t>
      </w:r>
      <w:r w:rsidRPr="00C01336">
        <w:rPr>
          <w:szCs w:val="26"/>
        </w:rPr>
        <w:t xml:space="preserve">.  </w:t>
      </w:r>
      <w:r w:rsidR="00743FE2" w:rsidRPr="00C01336">
        <w:t>The</w:t>
      </w:r>
      <w:r w:rsidR="00075A1E" w:rsidRPr="00C01336">
        <w:t xml:space="preserve"> jury </w:t>
      </w:r>
      <w:r w:rsidR="00743FE2" w:rsidRPr="00C01336">
        <w:t xml:space="preserve">then </w:t>
      </w:r>
      <w:r w:rsidR="00075A1E" w:rsidRPr="00C01336">
        <w:t xml:space="preserve">convicted Cooper of </w:t>
      </w:r>
      <w:r w:rsidRPr="00C01336">
        <w:t>first degree</w:t>
      </w:r>
      <w:r w:rsidR="00075A1E" w:rsidRPr="00C01336">
        <w:t xml:space="preserve"> murder (§ 187, subd. (a)) and found true </w:t>
      </w:r>
      <w:r w:rsidR="009F7939" w:rsidRPr="00C01336">
        <w:t xml:space="preserve">the </w:t>
      </w:r>
      <w:r w:rsidR="00075A1E" w:rsidRPr="00C01336">
        <w:t xml:space="preserve">gang (§ 186.22, subd. (b)(1)) and firearm enhancements (§ 12022.53, subds. (b)–(e)).  </w:t>
      </w:r>
      <w:r w:rsidR="00285622" w:rsidRPr="00C01336">
        <w:t xml:space="preserve">The trial court accepted </w:t>
      </w:r>
      <w:r w:rsidR="00075A1E" w:rsidRPr="00C01336">
        <w:t>Cooper</w:t>
      </w:r>
      <w:r w:rsidR="00285622" w:rsidRPr="00C01336">
        <w:t>’s</w:t>
      </w:r>
      <w:r w:rsidR="00075A1E" w:rsidRPr="00C01336">
        <w:t xml:space="preserve"> </w:t>
      </w:r>
      <w:r w:rsidR="002A3F47" w:rsidRPr="00C01336">
        <w:t>admi</w:t>
      </w:r>
      <w:r w:rsidR="00285622" w:rsidRPr="00C01336">
        <w:t>ssion</w:t>
      </w:r>
      <w:r w:rsidR="002A3F47" w:rsidRPr="00C01336">
        <w:t xml:space="preserve"> that he </w:t>
      </w:r>
      <w:r w:rsidR="00075A1E" w:rsidRPr="00C01336">
        <w:t>had suffered a prior strike</w:t>
      </w:r>
      <w:r w:rsidR="004B37E3" w:rsidRPr="00C01336">
        <w:t xml:space="preserve"> </w:t>
      </w:r>
      <w:r w:rsidR="00ED4703" w:rsidRPr="00C01336">
        <w:t>conviction</w:t>
      </w:r>
      <w:r w:rsidR="002A3F47" w:rsidRPr="00C01336">
        <w:t>.</w:t>
      </w:r>
      <w:r w:rsidR="00075A1E" w:rsidRPr="00C01336">
        <w:t xml:space="preserve"> </w:t>
      </w:r>
      <w:r w:rsidR="002A3F47" w:rsidRPr="00C01336">
        <w:t xml:space="preserve"> </w:t>
      </w:r>
      <w:r w:rsidR="00075A1E" w:rsidRPr="00C01336">
        <w:t>(§§ 667, subds. (b)–(i)</w:t>
      </w:r>
      <w:r w:rsidR="00E20D18">
        <w:t>,</w:t>
      </w:r>
      <w:r w:rsidR="00075A1E" w:rsidRPr="00C01336">
        <w:t xml:space="preserve"> 1170.12, subds. (a)–(d)</w:t>
      </w:r>
      <w:r w:rsidR="002A3F47" w:rsidRPr="00C01336">
        <w:t>.</w:t>
      </w:r>
      <w:r w:rsidR="00075A1E" w:rsidRPr="00C01336">
        <w:t xml:space="preserve">) </w:t>
      </w:r>
      <w:r w:rsidR="002A3F47" w:rsidRPr="00C01336">
        <w:t xml:space="preserve"> The trial court </w:t>
      </w:r>
      <w:r w:rsidR="00075A1E" w:rsidRPr="00C01336">
        <w:t xml:space="preserve">sentenced </w:t>
      </w:r>
      <w:r w:rsidR="00CC5589" w:rsidRPr="00C01336">
        <w:t>Cooper</w:t>
      </w:r>
      <w:r w:rsidR="00075A1E" w:rsidRPr="00C01336">
        <w:t xml:space="preserve"> to 75 years to life in prison, consisting of 25 years to life for the murder, doubled by the strike, plus a consecutive 25 years to life for the firearm enhancement</w:t>
      </w:r>
      <w:r w:rsidR="00743FE2" w:rsidRPr="00C01336">
        <w:t xml:space="preserve"> pursuant to section 12022.53, subdivisions (d) and (e)(1).  The</w:t>
      </w:r>
      <w:r w:rsidR="00CC5589" w:rsidRPr="00C01336">
        <w:t xml:space="preserve"> trial</w:t>
      </w:r>
      <w:r w:rsidR="00743FE2" w:rsidRPr="00C01336">
        <w:t xml:space="preserve"> court stayed the remaining gun and gang enhancements.</w:t>
      </w:r>
    </w:p>
    <w:p w14:paraId="6EB46EB0" w14:textId="2DE4C65D" w:rsidR="00850B1B" w:rsidRPr="00C01336" w:rsidRDefault="00743FE2" w:rsidP="00C01336">
      <w:pPr>
        <w:pStyle w:val="Text"/>
        <w:spacing w:line="400" w:lineRule="exact"/>
        <w:ind w:firstLine="720"/>
      </w:pPr>
      <w:r w:rsidRPr="00C01336">
        <w:t>At the retrial, the</w:t>
      </w:r>
      <w:r w:rsidR="00137C46" w:rsidRPr="00C01336">
        <w:t xml:space="preserve"> jury was instructed </w:t>
      </w:r>
      <w:r w:rsidR="0039645F" w:rsidRPr="00C01336">
        <w:t xml:space="preserve">on the gang enhancement </w:t>
      </w:r>
      <w:r w:rsidRPr="00C01336">
        <w:t xml:space="preserve">pursuant to the former section 186.22 </w:t>
      </w:r>
      <w:r w:rsidR="0039645F" w:rsidRPr="00C01336">
        <w:t xml:space="preserve">with CALCRIM </w:t>
      </w:r>
      <w:r w:rsidR="00F86E73">
        <w:t xml:space="preserve">No. </w:t>
      </w:r>
      <w:r w:rsidR="0039645F" w:rsidRPr="00C01336">
        <w:t>1401</w:t>
      </w:r>
      <w:r w:rsidR="00137C46" w:rsidRPr="00C01336">
        <w:t xml:space="preserve">.  </w:t>
      </w:r>
      <w:r w:rsidR="00574464" w:rsidRPr="00C01336">
        <w:t xml:space="preserve">The jury was instructed that to prove the gang enhancement, the prosecution must prove the “defendant committed or attempted to commit the crime for the benefit of, </w:t>
      </w:r>
      <w:r w:rsidR="00574464" w:rsidRPr="00C01336">
        <w:lastRenderedPageBreak/>
        <w:t xml:space="preserve">at the direction of, or in association with a criminal street gang; and [¶] That the defendant intended to assist, further, or promote criminal conduct by gang members.”  The jury was instructed </w:t>
      </w:r>
      <w:r w:rsidR="00245E6D" w:rsidRPr="00C01336">
        <w:t>that</w:t>
      </w:r>
      <w:r w:rsidR="00574464" w:rsidRPr="00C01336">
        <w:t xml:space="preserve"> the definition </w:t>
      </w:r>
      <w:r w:rsidR="00245E6D" w:rsidRPr="00C01336">
        <w:t xml:space="preserve">of </w:t>
      </w:r>
      <w:r w:rsidR="00574464" w:rsidRPr="00C01336">
        <w:t xml:space="preserve">a “criminal street gang” </w:t>
      </w:r>
      <w:r w:rsidR="00245E6D" w:rsidRPr="00C01336">
        <w:t xml:space="preserve">requires </w:t>
      </w:r>
      <w:r w:rsidR="00574464" w:rsidRPr="00C01336">
        <w:t xml:space="preserve">a “pattern of gang activity” </w:t>
      </w:r>
      <w:r w:rsidR="00245E6D" w:rsidRPr="00C01336">
        <w:t>and “as one or more of its primary activities,</w:t>
      </w:r>
      <w:r w:rsidR="00F12889" w:rsidRPr="00C01336">
        <w:t>”</w:t>
      </w:r>
      <w:r w:rsidR="00245E6D" w:rsidRPr="00C01336">
        <w:t xml:space="preserve"> the commission of </w:t>
      </w:r>
      <w:r w:rsidR="00F12889" w:rsidRPr="00C01336">
        <w:t xml:space="preserve">the predicate offenses of </w:t>
      </w:r>
      <w:r w:rsidR="00245E6D" w:rsidRPr="00C01336">
        <w:t xml:space="preserve">robbery and </w:t>
      </w:r>
      <w:r w:rsidR="00DE1A89" w:rsidRPr="00C01336">
        <w:t xml:space="preserve">the </w:t>
      </w:r>
      <w:r w:rsidR="00245E6D" w:rsidRPr="00C01336">
        <w:t>sales of narcotics</w:t>
      </w:r>
      <w:r w:rsidR="00F12889" w:rsidRPr="00C01336">
        <w:t xml:space="preserve">.  </w:t>
      </w:r>
      <w:r w:rsidR="00C44F90" w:rsidRPr="00C01336">
        <w:t>To</w:t>
      </w:r>
      <w:r w:rsidR="00574464" w:rsidRPr="00C01336">
        <w:t xml:space="preserve"> establish a “pattern of gang activity,” </w:t>
      </w:r>
      <w:r w:rsidR="00C44F90" w:rsidRPr="00C01336">
        <w:t xml:space="preserve">the prosecution must prove </w:t>
      </w:r>
      <w:r w:rsidR="00245E6D" w:rsidRPr="00C01336">
        <w:t>“</w:t>
      </w:r>
      <w:r w:rsidR="00574464" w:rsidRPr="00C01336">
        <w:t>at least one of</w:t>
      </w:r>
      <w:r w:rsidR="00245E6D" w:rsidRPr="00C01336">
        <w:t>”</w:t>
      </w:r>
      <w:r w:rsidR="00574464" w:rsidRPr="00C01336">
        <w:t xml:space="preserve"> the </w:t>
      </w:r>
      <w:r w:rsidR="00DE1A89" w:rsidRPr="00C01336">
        <w:t xml:space="preserve">predicate </w:t>
      </w:r>
      <w:r w:rsidR="00574464" w:rsidRPr="00C01336">
        <w:t xml:space="preserve">robbery and </w:t>
      </w:r>
      <w:r w:rsidR="00BC3464" w:rsidRPr="00C01336">
        <w:t xml:space="preserve">the </w:t>
      </w:r>
      <w:r w:rsidR="00574464" w:rsidRPr="00C01336">
        <w:t>sales of narcotics</w:t>
      </w:r>
      <w:r w:rsidR="00BC3464" w:rsidRPr="00C01336">
        <w:t xml:space="preserve"> </w:t>
      </w:r>
      <w:r w:rsidR="00DE1A89" w:rsidRPr="00C01336">
        <w:t>offenses</w:t>
      </w:r>
      <w:r w:rsidR="00574464" w:rsidRPr="00C01336">
        <w:t xml:space="preserve"> and that the offenses “were committed on separate occasions or were personally committed by two or more persons.”  </w:t>
      </w:r>
      <w:r w:rsidR="00091129" w:rsidRPr="00C01336">
        <w:t>Pursuant to the former law, the jury was instructed that the predicate offenses “if any, that establish a pattern of criminal gang activity, need not be gang-related.”  The jury was not instructed</w:t>
      </w:r>
      <w:r w:rsidR="002107B6" w:rsidRPr="00C01336">
        <w:t>, as A</w:t>
      </w:r>
      <w:r w:rsidR="009C6017">
        <w:t xml:space="preserve">ssembly </w:t>
      </w:r>
      <w:r w:rsidR="002107B6" w:rsidRPr="00C01336">
        <w:t>B</w:t>
      </w:r>
      <w:r w:rsidR="009C6017">
        <w:t>ill</w:t>
      </w:r>
      <w:r w:rsidR="002107B6" w:rsidRPr="00C01336">
        <w:t xml:space="preserve"> 333 now requires,</w:t>
      </w:r>
      <w:r w:rsidR="00091129" w:rsidRPr="00C01336">
        <w:t xml:space="preserve"> that the predicate offenses</w:t>
      </w:r>
      <w:r w:rsidR="002107B6" w:rsidRPr="00C01336">
        <w:t>, if any, must have “commonly benefited [the] criminal street gang, and the common benefit from the offenses is more than reputational.”  (§ 186.22, subd. (e)</w:t>
      </w:r>
      <w:r w:rsidR="00F86E73">
        <w:t>(1)</w:t>
      </w:r>
      <w:r w:rsidR="002107B6" w:rsidRPr="00C01336">
        <w:t>.)</w:t>
      </w:r>
    </w:p>
    <w:p w14:paraId="49651C5B" w14:textId="41DB0978" w:rsidR="00561BC6" w:rsidRPr="00C01336" w:rsidRDefault="002E14C2" w:rsidP="00C01336">
      <w:pPr>
        <w:pStyle w:val="Text"/>
        <w:spacing w:line="400" w:lineRule="exact"/>
        <w:ind w:firstLine="720"/>
      </w:pPr>
      <w:r w:rsidRPr="00C01336">
        <w:t>The</w:t>
      </w:r>
      <w:r w:rsidR="00137C46" w:rsidRPr="00C01336">
        <w:t xml:space="preserve"> records of conviction and gang expert testimony establishing the predicate offenses at </w:t>
      </w:r>
      <w:r w:rsidR="00765118" w:rsidRPr="00C01336">
        <w:t>the re</w:t>
      </w:r>
      <w:r w:rsidR="00137C46" w:rsidRPr="00C01336">
        <w:t xml:space="preserve">trial show that two </w:t>
      </w:r>
      <w:r w:rsidR="00B6565E" w:rsidRPr="00C01336">
        <w:t>Lu</w:t>
      </w:r>
      <w:r w:rsidR="00D14E49" w:rsidRPr="00C01336">
        <w:t>e</w:t>
      </w:r>
      <w:r w:rsidR="00B6565E" w:rsidRPr="00C01336">
        <w:t xml:space="preserve">ders Park </w:t>
      </w:r>
      <w:r w:rsidR="00137C46" w:rsidRPr="00C01336">
        <w:t>gang members committed one crime each</w:t>
      </w:r>
      <w:r w:rsidR="000049E0" w:rsidRPr="00C01336">
        <w:t>: Ricky Lee Vaughn committed a</w:t>
      </w:r>
      <w:r w:rsidR="00137C46" w:rsidRPr="00C01336">
        <w:t xml:space="preserve"> robbery</w:t>
      </w:r>
      <w:r w:rsidR="00B6565E" w:rsidRPr="00C01336">
        <w:t xml:space="preserve"> in violation of section 211</w:t>
      </w:r>
      <w:r w:rsidR="00137C46" w:rsidRPr="00C01336">
        <w:t xml:space="preserve"> </w:t>
      </w:r>
      <w:r w:rsidR="00BC6F91" w:rsidRPr="00C01336">
        <w:t xml:space="preserve">in 2012 </w:t>
      </w:r>
      <w:r w:rsidR="00137C46" w:rsidRPr="00C01336">
        <w:t xml:space="preserve">and </w:t>
      </w:r>
      <w:r w:rsidR="000049E0" w:rsidRPr="00C01336">
        <w:t xml:space="preserve">Donald Wayne Mahan </w:t>
      </w:r>
      <w:r w:rsidR="00937DA3" w:rsidRPr="00C01336">
        <w:t>sold</w:t>
      </w:r>
      <w:r w:rsidR="00137C46" w:rsidRPr="00C01336">
        <w:t xml:space="preserve"> narcotics </w:t>
      </w:r>
      <w:r w:rsidR="00B6565E" w:rsidRPr="00C01336">
        <w:t xml:space="preserve">in violation of Health </w:t>
      </w:r>
      <w:r w:rsidR="005D5F51">
        <w:t>and</w:t>
      </w:r>
      <w:r w:rsidR="00B6565E" w:rsidRPr="00C01336">
        <w:t xml:space="preserve"> Safety Code section </w:t>
      </w:r>
      <w:r w:rsidR="00932EEF" w:rsidRPr="00C01336">
        <w:t>11351.5</w:t>
      </w:r>
      <w:r w:rsidR="00BC6F91" w:rsidRPr="00C01336">
        <w:t xml:space="preserve"> in 201</w:t>
      </w:r>
      <w:r w:rsidR="00B6565E" w:rsidRPr="00C01336">
        <w:t>2</w:t>
      </w:r>
      <w:r w:rsidR="00137C46" w:rsidRPr="00C01336">
        <w:t>.</w:t>
      </w:r>
      <w:r w:rsidR="0038761B" w:rsidRPr="00C01336">
        <w:rPr>
          <w:rStyle w:val="FootnoteReference"/>
        </w:rPr>
        <w:footnoteReference w:id="6"/>
      </w:r>
      <w:r w:rsidR="00137C46" w:rsidRPr="00C01336">
        <w:t xml:space="preserve">  </w:t>
      </w:r>
      <w:r w:rsidR="00561BC6" w:rsidRPr="00C01336">
        <w:t>The gang expert testified that both Vaughn and Mahan are Lu</w:t>
      </w:r>
      <w:r w:rsidR="00D14E49" w:rsidRPr="00C01336">
        <w:t>e</w:t>
      </w:r>
      <w:r w:rsidR="00561BC6" w:rsidRPr="00C01336">
        <w:t>ders Park gang members</w:t>
      </w:r>
      <w:r w:rsidR="004F0C36" w:rsidRPr="00C01336">
        <w:t xml:space="preserve">.  The gang expert had contacted Vaughn “numerous times” and Vaughn has “identified himself as a </w:t>
      </w:r>
      <w:r w:rsidR="00D14E49" w:rsidRPr="00C01336">
        <w:lastRenderedPageBreak/>
        <w:t>[</w:t>
      </w:r>
      <w:r w:rsidR="004F0C36" w:rsidRPr="00C01336">
        <w:t>Lu</w:t>
      </w:r>
      <w:r w:rsidR="00D14E49" w:rsidRPr="00C01336">
        <w:t>e</w:t>
      </w:r>
      <w:r w:rsidR="004F0C36" w:rsidRPr="00C01336">
        <w:t>ders</w:t>
      </w:r>
      <w:r w:rsidR="00D14E49" w:rsidRPr="00C01336">
        <w:t>]</w:t>
      </w:r>
      <w:r w:rsidR="004F0C36" w:rsidRPr="00C01336">
        <w:t xml:space="preserve"> Park Piru gang member.” </w:t>
      </w:r>
      <w:r w:rsidR="00827B1D">
        <w:t xml:space="preserve">The gang expert testified that </w:t>
      </w:r>
      <w:r w:rsidR="004F0C36" w:rsidRPr="00C01336">
        <w:t>Mahan</w:t>
      </w:r>
      <w:r w:rsidR="00ED375A" w:rsidRPr="00C01336">
        <w:t xml:space="preserve">’s son </w:t>
      </w:r>
      <w:r w:rsidR="00913106">
        <w:t>“</w:t>
      </w:r>
      <w:r w:rsidR="00ED375A" w:rsidRPr="00C01336">
        <w:t>Doc</w:t>
      </w:r>
      <w:r w:rsidR="00913106">
        <w:t>”</w:t>
      </w:r>
      <w:r w:rsidR="004F0C36" w:rsidRPr="00C01336">
        <w:t xml:space="preserve"> is “[p]robably the most senior </w:t>
      </w:r>
      <w:r w:rsidR="00D14E49" w:rsidRPr="00C01336">
        <w:t>[</w:t>
      </w:r>
      <w:r w:rsidR="004F0C36" w:rsidRPr="00C01336">
        <w:t>Lu</w:t>
      </w:r>
      <w:r w:rsidR="00D14E49" w:rsidRPr="00C01336">
        <w:t>e</w:t>
      </w:r>
      <w:r w:rsidR="004F0C36" w:rsidRPr="00C01336">
        <w:t>ders</w:t>
      </w:r>
      <w:r w:rsidR="00D14E49" w:rsidRPr="00C01336">
        <w:t>]</w:t>
      </w:r>
      <w:r w:rsidR="004F0C36" w:rsidRPr="00C01336">
        <w:t xml:space="preserve"> Park Piru gang member on the street right now.”  </w:t>
      </w:r>
      <w:r w:rsidR="00827B1D">
        <w:t>He</w:t>
      </w:r>
      <w:r w:rsidR="00137C46" w:rsidRPr="00C01336">
        <w:t xml:space="preserve"> </w:t>
      </w:r>
      <w:r w:rsidR="00561BC6" w:rsidRPr="00C01336">
        <w:t xml:space="preserve">also </w:t>
      </w:r>
      <w:r w:rsidR="00137C46" w:rsidRPr="00C01336">
        <w:t xml:space="preserve">testified that </w:t>
      </w:r>
      <w:r w:rsidR="000049E0" w:rsidRPr="00C01336">
        <w:t>the Lu</w:t>
      </w:r>
      <w:r w:rsidR="00D14E49" w:rsidRPr="00C01336">
        <w:t>e</w:t>
      </w:r>
      <w:r w:rsidR="000049E0" w:rsidRPr="00C01336">
        <w:t xml:space="preserve">ders Park gang claims territory in Compton and its </w:t>
      </w:r>
      <w:r w:rsidR="00137C46" w:rsidRPr="00C01336">
        <w:t xml:space="preserve">primary activities are “theft, burglary, robbery, vehicle theft, narcotic sales, narcotic possession, weapons sales, weapons possession, assault to murder.”  </w:t>
      </w:r>
      <w:r w:rsidR="0042717A" w:rsidRPr="00C01336">
        <w:t>The gang expert</w:t>
      </w:r>
      <w:r w:rsidR="000049E0" w:rsidRPr="00C01336">
        <w:t xml:space="preserve"> explained that </w:t>
      </w:r>
      <w:r w:rsidR="0070775B" w:rsidRPr="00C01336">
        <w:t>“</w:t>
      </w:r>
      <w:r w:rsidR="000049E0" w:rsidRPr="00C01336">
        <w:t>most gang members play that role of a gang member and act hard</w:t>
      </w:r>
      <w:r w:rsidR="0070775B" w:rsidRPr="00C01336">
        <w:t>.  But there’s a specific group within each specific gang that are really your most active guys</w:t>
      </w:r>
      <w:r w:rsidR="000049E0" w:rsidRPr="00C01336">
        <w:t>.</w:t>
      </w:r>
      <w:r w:rsidR="0070775B" w:rsidRPr="00C01336">
        <w:t>”</w:t>
      </w:r>
      <w:r w:rsidR="0042717A" w:rsidRPr="00C01336">
        <w:t xml:space="preserve"> </w:t>
      </w:r>
      <w:r w:rsidR="000049E0" w:rsidRPr="00C01336">
        <w:t xml:space="preserve"> </w:t>
      </w:r>
      <w:r w:rsidR="00827B1D">
        <w:t xml:space="preserve">He added: </w:t>
      </w:r>
      <w:r w:rsidR="00B43B0D" w:rsidRPr="00C01336">
        <w:t xml:space="preserve">“They’re out there going on missions, they’re doing shootings, they’re doing robberies, they function to do gang banging things.  And that gets that gang’s name out there.”  </w:t>
      </w:r>
      <w:r w:rsidR="00827B1D">
        <w:t>The gang expert further testified that t</w:t>
      </w:r>
      <w:r w:rsidR="00B43B0D" w:rsidRPr="00C01336">
        <w:t>hrough</w:t>
      </w:r>
      <w:r w:rsidR="000049E0" w:rsidRPr="00C01336">
        <w:t xml:space="preserve"> the generations, Lu</w:t>
      </w:r>
      <w:r w:rsidR="00D14E49" w:rsidRPr="00C01336">
        <w:t>e</w:t>
      </w:r>
      <w:r w:rsidR="000049E0" w:rsidRPr="00C01336">
        <w:t>ders Park has had “different groups that do robberies, shootings, run girls, [and] sell narcotics.”</w:t>
      </w:r>
      <w:r w:rsidR="0042717A" w:rsidRPr="00C01336">
        <w:t xml:space="preserve"> </w:t>
      </w:r>
    </w:p>
    <w:p w14:paraId="2B778FB9" w14:textId="02161CCB" w:rsidR="00F84CFB" w:rsidRPr="00C01336" w:rsidRDefault="00D42E9D" w:rsidP="00C01336">
      <w:pPr>
        <w:pStyle w:val="Text"/>
        <w:spacing w:line="400" w:lineRule="exact"/>
        <w:ind w:firstLine="720"/>
      </w:pPr>
      <w:r w:rsidRPr="00C01336">
        <w:t>In response to a hypothetical question</w:t>
      </w:r>
      <w:r w:rsidR="00A5441A" w:rsidRPr="00C01336">
        <w:t xml:space="preserve">, </w:t>
      </w:r>
      <w:r w:rsidR="00C7499B" w:rsidRPr="00C01336">
        <w:t>the gang expert</w:t>
      </w:r>
      <w:r w:rsidRPr="00C01336">
        <w:t xml:space="preserve"> </w:t>
      </w:r>
      <w:r w:rsidR="00A5441A" w:rsidRPr="00C01336">
        <w:t>testified to how the underlying murder benefited the gang, but did not testify as to how the alleged predicate offenses benefited the gang</w:t>
      </w:r>
      <w:r w:rsidRPr="00C01336">
        <w:t xml:space="preserve">.  </w:t>
      </w:r>
      <w:r w:rsidR="00850B1B" w:rsidRPr="00C01336">
        <w:t>The gang expert</w:t>
      </w:r>
      <w:r w:rsidR="00561BC6" w:rsidRPr="00C01336">
        <w:t xml:space="preserve"> </w:t>
      </w:r>
      <w:r w:rsidR="0039448D" w:rsidRPr="00C01336">
        <w:t>explained</w:t>
      </w:r>
      <w:r w:rsidR="00A5441A" w:rsidRPr="00C01336">
        <w:t xml:space="preserve"> </w:t>
      </w:r>
      <w:r w:rsidR="00561BC6" w:rsidRPr="00C01336">
        <w:t xml:space="preserve">that </w:t>
      </w:r>
      <w:r w:rsidR="00A5441A" w:rsidRPr="00C01336">
        <w:t xml:space="preserve">a murder like the one in this case would </w:t>
      </w:r>
      <w:r w:rsidR="00561BC6" w:rsidRPr="00C01336">
        <w:t>benefit the gang by eliminating a rival</w:t>
      </w:r>
      <w:r w:rsidR="009F64A9" w:rsidRPr="00C01336">
        <w:t xml:space="preserve"> and </w:t>
      </w:r>
      <w:r w:rsidR="00A5441A" w:rsidRPr="00C01336">
        <w:t>by maintaining</w:t>
      </w:r>
      <w:r w:rsidR="009F64A9" w:rsidRPr="00C01336">
        <w:t xml:space="preserve"> respect</w:t>
      </w:r>
      <w:r w:rsidR="00E60763" w:rsidRPr="00C01336">
        <w:t>, but that money is the “number one” gang function</w:t>
      </w:r>
      <w:r w:rsidR="00561BC6" w:rsidRPr="00C01336">
        <w:t>.</w:t>
      </w:r>
    </w:p>
    <w:p w14:paraId="46F561A3" w14:textId="064DFE7C" w:rsidR="000049E0" w:rsidRPr="00C01336" w:rsidRDefault="00037942" w:rsidP="00C01336">
      <w:pPr>
        <w:pStyle w:val="Text"/>
        <w:spacing w:line="400" w:lineRule="exact"/>
        <w:ind w:firstLine="720"/>
      </w:pPr>
      <w:r w:rsidRPr="00C01336">
        <w:t xml:space="preserve">During </w:t>
      </w:r>
      <w:r w:rsidR="00C70E14" w:rsidRPr="00C01336">
        <w:t xml:space="preserve">the pendency of </w:t>
      </w:r>
      <w:r w:rsidRPr="00C01336">
        <w:t>Cooper’s appeal, A</w:t>
      </w:r>
      <w:r w:rsidR="009C6017">
        <w:t xml:space="preserve">ssembly </w:t>
      </w:r>
      <w:r w:rsidRPr="00C01336">
        <w:t>B</w:t>
      </w:r>
      <w:r w:rsidR="009C6017">
        <w:t>ill</w:t>
      </w:r>
      <w:r w:rsidRPr="00C01336">
        <w:t xml:space="preserve"> 333 amended section 186.22’s definition of a “criminal street gang” to require proof of additional elements.  </w:t>
      </w:r>
      <w:r w:rsidR="00A5441A" w:rsidRPr="00C01336">
        <w:t xml:space="preserve">As relevant here, in order to prove “a pattern of criminal gang activity” for the purpose of establishing a criminal street gang, the prosecution must now prove </w:t>
      </w:r>
      <w:r w:rsidR="00EC4184" w:rsidRPr="00C01336">
        <w:t xml:space="preserve">both </w:t>
      </w:r>
      <w:r w:rsidR="00A5441A" w:rsidRPr="00C01336">
        <w:t xml:space="preserve">that the </w:t>
      </w:r>
      <w:r w:rsidR="00DB2C24" w:rsidRPr="00C01336">
        <w:t xml:space="preserve">required </w:t>
      </w:r>
      <w:r w:rsidR="00A5441A" w:rsidRPr="00C01336">
        <w:t>predicate offenses “commonly benefited [the] criminal street gang</w:t>
      </w:r>
      <w:r w:rsidR="00EC4184" w:rsidRPr="00C01336">
        <w:t>” and that</w:t>
      </w:r>
      <w:r w:rsidR="00A5441A" w:rsidRPr="00C01336">
        <w:t xml:space="preserve"> </w:t>
      </w:r>
      <w:r w:rsidR="00EC4184" w:rsidRPr="00C01336">
        <w:t>“</w:t>
      </w:r>
      <w:r w:rsidR="00A5441A" w:rsidRPr="00C01336">
        <w:t xml:space="preserve">the common benefit from the offenses is more than reputational.”  </w:t>
      </w:r>
      <w:r w:rsidR="00A5441A" w:rsidRPr="00C01336">
        <w:lastRenderedPageBreak/>
        <w:t xml:space="preserve">(Stats. 2021, ch. 699, § 3; § 186.22, subd. (e)(1).)  </w:t>
      </w:r>
      <w:r w:rsidRPr="00C01336">
        <w:t>A</w:t>
      </w:r>
      <w:r w:rsidR="009C6017">
        <w:t xml:space="preserve">ssembly </w:t>
      </w:r>
      <w:r w:rsidRPr="00C01336">
        <w:t>B</w:t>
      </w:r>
      <w:r w:rsidR="009C6017">
        <w:t>ill</w:t>
      </w:r>
      <w:r w:rsidRPr="00C01336">
        <w:t xml:space="preserve"> 333 clarifies that “</w:t>
      </w:r>
      <w:r w:rsidR="00FF38F6" w:rsidRPr="00C01336">
        <w:t>E</w:t>
      </w:r>
      <w:r w:rsidRPr="00C01336">
        <w:t>xamples of a common benefit that are more than reputational may include, but are not limited to, financial gain or motivation, retaliation, targeting a perceived or actual gang rival, or intimidation or silencing of a potential current or previous witness or informant.”  (Stats. 2021, ch. 699, § 3; § 186.22, subd. (g).)</w:t>
      </w:r>
      <w:r w:rsidR="00DB2C24" w:rsidRPr="00C01336">
        <w:rPr>
          <w:rStyle w:val="FootnoteReference"/>
        </w:rPr>
        <w:footnoteReference w:id="7"/>
      </w:r>
      <w:r w:rsidRPr="00C01336">
        <w:t xml:space="preserve">  </w:t>
      </w:r>
    </w:p>
    <w:p w14:paraId="75C4941D" w14:textId="0B070A1A" w:rsidR="00137C46" w:rsidRPr="00C01336" w:rsidRDefault="00137C46" w:rsidP="00C01336">
      <w:pPr>
        <w:pStyle w:val="Text"/>
        <w:spacing w:line="400" w:lineRule="exact"/>
        <w:ind w:firstLine="720"/>
      </w:pPr>
      <w:r w:rsidRPr="00C01336">
        <w:t xml:space="preserve">Based upon </w:t>
      </w:r>
      <w:r w:rsidR="00605C74" w:rsidRPr="00C01336">
        <w:t>the</w:t>
      </w:r>
      <w:r w:rsidRPr="00C01336">
        <w:t xml:space="preserve"> evidence</w:t>
      </w:r>
      <w:r w:rsidR="001D4219" w:rsidRPr="00C01336">
        <w:t xml:space="preserve"> presented</w:t>
      </w:r>
      <w:r w:rsidR="00037942" w:rsidRPr="00C01336">
        <w:t xml:space="preserve"> at the retrial</w:t>
      </w:r>
      <w:r w:rsidRPr="00C01336">
        <w:t>, the Court of Appeal</w:t>
      </w:r>
      <w:r w:rsidR="00561BC6" w:rsidRPr="00C01336">
        <w:t xml:space="preserve"> found </w:t>
      </w:r>
      <w:r w:rsidR="00E60763" w:rsidRPr="00C01336">
        <w:t xml:space="preserve">that the </w:t>
      </w:r>
      <w:r w:rsidR="00115E2F" w:rsidRPr="00C01336">
        <w:t>absence</w:t>
      </w:r>
      <w:r w:rsidR="00AE56BC" w:rsidRPr="00C01336">
        <w:t xml:space="preserve"> of</w:t>
      </w:r>
      <w:r w:rsidR="00E60763" w:rsidRPr="00C01336">
        <w:t xml:space="preserve"> </w:t>
      </w:r>
      <w:r w:rsidR="00203D71" w:rsidRPr="00C01336">
        <w:t xml:space="preserve">a jury </w:t>
      </w:r>
      <w:r w:rsidR="00E60763" w:rsidRPr="00C01336">
        <w:t>instruct</w:t>
      </w:r>
      <w:r w:rsidR="00AE56BC" w:rsidRPr="00C01336">
        <w:t>ion</w:t>
      </w:r>
      <w:r w:rsidR="00E60763" w:rsidRPr="00C01336">
        <w:t xml:space="preserve"> on the new requirement that the alleged predicate offenses must have “commonly benefited” the gang in a “more than reputational” manner (§ 186.22, subd. (e)</w:t>
      </w:r>
      <w:r w:rsidR="005543A4">
        <w:t>(1)</w:t>
      </w:r>
      <w:r w:rsidR="00E60763" w:rsidRPr="00C01336">
        <w:t xml:space="preserve">) was harmless beyond a reasonable doubt.  </w:t>
      </w:r>
      <w:r w:rsidR="00561BC6" w:rsidRPr="00C01336">
        <w:t xml:space="preserve">The Court of Appeal </w:t>
      </w:r>
      <w:r w:rsidR="00A91275" w:rsidRPr="00C01336">
        <w:t>reasoned</w:t>
      </w:r>
      <w:r w:rsidRPr="00C01336">
        <w:t xml:space="preserve"> that</w:t>
      </w:r>
      <w:r w:rsidR="00C7499B" w:rsidRPr="00C01336">
        <w:t xml:space="preserve"> the gang expert</w:t>
      </w:r>
      <w:r w:rsidRPr="00C01336">
        <w:t xml:space="preserve"> </w:t>
      </w:r>
      <w:r w:rsidR="00C7499B" w:rsidRPr="00C01336">
        <w:t>“</w:t>
      </w:r>
      <w:r w:rsidRPr="00C01336">
        <w:t xml:space="preserve">testified that the offenses were committed by </w:t>
      </w:r>
      <w:r w:rsidR="00D14E49" w:rsidRPr="00C01336">
        <w:t>[</w:t>
      </w:r>
      <w:r w:rsidRPr="00C01336">
        <w:t>Lu</w:t>
      </w:r>
      <w:r w:rsidR="00D14E49" w:rsidRPr="00C01336">
        <w:t>e</w:t>
      </w:r>
      <w:r w:rsidRPr="00C01336">
        <w:t>ders</w:t>
      </w:r>
      <w:r w:rsidR="00D14E49" w:rsidRPr="00C01336">
        <w:t>]</w:t>
      </w:r>
      <w:r w:rsidRPr="00C01336">
        <w:t xml:space="preserve"> Park gang members and that robbery and sale of narcotics are some of the gang’s primary activities.  The evidence was uncontradicted.  The benefit to the gang of robbery and sale of narcotics is more than reputational.” </w:t>
      </w:r>
      <w:r w:rsidR="001672A7" w:rsidRPr="00C01336">
        <w:t xml:space="preserve"> </w:t>
      </w:r>
      <w:r w:rsidR="00F45B2A" w:rsidRPr="00C01336">
        <w:t>(</w:t>
      </w:r>
      <w:r w:rsidR="00F45B2A" w:rsidRPr="00C01336">
        <w:rPr>
          <w:i/>
          <w:iCs/>
        </w:rPr>
        <w:t>People v. Cooper</w:t>
      </w:r>
      <w:r w:rsidR="00F45B2A" w:rsidRPr="00C01336">
        <w:t xml:space="preserve"> (Jan. 14, 2022, B304490) </w:t>
      </w:r>
      <w:r w:rsidR="00EE4A1E">
        <w:t>[nonpub. opn.]</w:t>
      </w:r>
      <w:r w:rsidR="00F45B2A" w:rsidRPr="00C01336">
        <w:t xml:space="preserve">.)  </w:t>
      </w:r>
      <w:r w:rsidRPr="00C01336">
        <w:t>We granted review.</w:t>
      </w:r>
    </w:p>
    <w:p w14:paraId="09718283" w14:textId="56227492" w:rsidR="00BA2F51" w:rsidRPr="00C01336" w:rsidRDefault="00BA2F51" w:rsidP="00165F80">
      <w:pPr>
        <w:pStyle w:val="Text"/>
        <w:keepNext/>
        <w:spacing w:line="400" w:lineRule="exact"/>
        <w:ind w:firstLine="0"/>
        <w:jc w:val="center"/>
      </w:pPr>
      <w:r w:rsidRPr="00C01336">
        <w:t>II. Discussion</w:t>
      </w:r>
    </w:p>
    <w:p w14:paraId="676F3D6C" w14:textId="1CF0FC46" w:rsidR="00137C46" w:rsidRPr="00C01336" w:rsidRDefault="009948CC" w:rsidP="00165F80">
      <w:pPr>
        <w:pStyle w:val="Text"/>
        <w:keepNext/>
        <w:spacing w:line="400" w:lineRule="exact"/>
        <w:ind w:firstLine="720"/>
      </w:pPr>
      <w:r w:rsidRPr="00C01336">
        <w:t>Cooper argues that the Court of Appeal erred in finding that the</w:t>
      </w:r>
      <w:r w:rsidR="00AE56BC" w:rsidRPr="00C01336">
        <w:t xml:space="preserve"> lack of </w:t>
      </w:r>
      <w:r w:rsidR="00727B65" w:rsidRPr="00C01336">
        <w:t xml:space="preserve">jury </w:t>
      </w:r>
      <w:r w:rsidRPr="00C01336">
        <w:t>instruction</w:t>
      </w:r>
      <w:r w:rsidR="00727B65" w:rsidRPr="00C01336">
        <w:t xml:space="preserve"> o</w:t>
      </w:r>
      <w:r w:rsidR="00AE56BC" w:rsidRPr="00C01336">
        <w:t xml:space="preserve">n </w:t>
      </w:r>
      <w:r w:rsidR="00037942" w:rsidRPr="00C01336">
        <w:t>A</w:t>
      </w:r>
      <w:r w:rsidR="009C6017">
        <w:t xml:space="preserve">ssembly </w:t>
      </w:r>
      <w:r w:rsidR="00037942" w:rsidRPr="00C01336">
        <w:t>B</w:t>
      </w:r>
      <w:r w:rsidR="009C6017">
        <w:t>ill</w:t>
      </w:r>
      <w:r w:rsidR="00037942" w:rsidRPr="00C01336">
        <w:t xml:space="preserve"> 333</w:t>
      </w:r>
      <w:r w:rsidR="00727B65" w:rsidRPr="00C01336">
        <w:t>’s new elements</w:t>
      </w:r>
      <w:r w:rsidRPr="00C01336">
        <w:t xml:space="preserve"> was harmless.  </w:t>
      </w:r>
      <w:r w:rsidR="00037942" w:rsidRPr="00C01336">
        <w:t>Here, the</w:t>
      </w:r>
      <w:r w:rsidRPr="00C01336">
        <w:t xml:space="preserve"> </w:t>
      </w:r>
      <w:r w:rsidR="00822070" w:rsidRPr="00C01336">
        <w:t>jury was never instructed</w:t>
      </w:r>
      <w:r w:rsidR="00037942" w:rsidRPr="00C01336">
        <w:t xml:space="preserve"> </w:t>
      </w:r>
      <w:r w:rsidR="00822070" w:rsidRPr="00C01336">
        <w:lastRenderedPageBreak/>
        <w:t>that</w:t>
      </w:r>
      <w:r w:rsidR="00037942" w:rsidRPr="00C01336">
        <w:t>, as A</w:t>
      </w:r>
      <w:r w:rsidR="009C6017">
        <w:t xml:space="preserve">ssembly </w:t>
      </w:r>
      <w:r w:rsidR="00037942" w:rsidRPr="00C01336">
        <w:t>B</w:t>
      </w:r>
      <w:r w:rsidR="009C6017">
        <w:t>ill</w:t>
      </w:r>
      <w:r w:rsidR="00037942" w:rsidRPr="00C01336">
        <w:t xml:space="preserve"> 333 now requires,</w:t>
      </w:r>
      <w:r w:rsidR="006D51AC" w:rsidRPr="00C01336">
        <w:t xml:space="preserve"> </w:t>
      </w:r>
      <w:r w:rsidR="00822070" w:rsidRPr="00C01336">
        <w:t>the predicate</w:t>
      </w:r>
      <w:r w:rsidR="00037942" w:rsidRPr="00C01336">
        <w:t xml:space="preserve"> offense</w:t>
      </w:r>
      <w:r w:rsidR="00822070" w:rsidRPr="00C01336">
        <w:t xml:space="preserve">s must </w:t>
      </w:r>
      <w:r w:rsidR="008C6F9A" w:rsidRPr="00C01336">
        <w:t xml:space="preserve">have </w:t>
      </w:r>
      <w:r w:rsidR="006D51AC" w:rsidRPr="00C01336">
        <w:t xml:space="preserve">“commonly benefited </w:t>
      </w:r>
      <w:r w:rsidR="006D718E" w:rsidRPr="00C01336">
        <w:t>[the]</w:t>
      </w:r>
      <w:r w:rsidR="006D51AC" w:rsidRPr="00C01336">
        <w:t xml:space="preserve"> criminal street gang, and the common benefit from the offenses is more than reputational.”</w:t>
      </w:r>
      <w:r w:rsidR="00822070" w:rsidRPr="00C01336">
        <w:t xml:space="preserve"> </w:t>
      </w:r>
      <w:r w:rsidR="006D51AC" w:rsidRPr="00C01336">
        <w:t xml:space="preserve"> </w:t>
      </w:r>
      <w:r w:rsidR="00822070" w:rsidRPr="00C01336">
        <w:t xml:space="preserve">(§ 186.22, subd. (e)(1).)  </w:t>
      </w:r>
      <w:r w:rsidR="00A820CC" w:rsidRPr="00C01336">
        <w:t>W</w:t>
      </w:r>
      <w:r w:rsidR="006D51AC" w:rsidRPr="00C01336">
        <w:t>e</w:t>
      </w:r>
      <w:r w:rsidR="00037942" w:rsidRPr="00C01336">
        <w:t xml:space="preserve"> agree with Cooper and </w:t>
      </w:r>
      <w:r w:rsidR="006D51AC" w:rsidRPr="00C01336">
        <w:t xml:space="preserve">find </w:t>
      </w:r>
      <w:r w:rsidR="008041EF" w:rsidRPr="00C01336">
        <w:t xml:space="preserve">that the </w:t>
      </w:r>
      <w:r w:rsidR="00115E2F" w:rsidRPr="00C01336">
        <w:t>absence</w:t>
      </w:r>
      <w:r w:rsidR="00AE56BC" w:rsidRPr="00C01336">
        <w:t xml:space="preserve"> of jury</w:t>
      </w:r>
      <w:r w:rsidR="008041EF" w:rsidRPr="00C01336">
        <w:t xml:space="preserve"> instruct</w:t>
      </w:r>
      <w:r w:rsidR="00AE56BC" w:rsidRPr="00C01336">
        <w:t>ion</w:t>
      </w:r>
      <w:r w:rsidR="008041EF" w:rsidRPr="00C01336">
        <w:t xml:space="preserve"> on this new requirement was not harmless beyond a reasonable doubt.</w:t>
      </w:r>
    </w:p>
    <w:p w14:paraId="2658BD83" w14:textId="6959DFEC" w:rsidR="001C36B7" w:rsidRPr="00C01336" w:rsidRDefault="002F7299" w:rsidP="00C01336">
      <w:pPr>
        <w:pStyle w:val="Text"/>
        <w:spacing w:line="400" w:lineRule="exact"/>
        <w:ind w:firstLine="720"/>
      </w:pPr>
      <w:r w:rsidRPr="00C01336">
        <w:rPr>
          <w:i/>
          <w:iCs/>
        </w:rPr>
        <w:t>Chapman</w:t>
      </w:r>
      <w:r w:rsidRPr="00C01336">
        <w:t xml:space="preserve"> holds “that before a federal constitutional error can be held harmless, the court must be able to declare a belief that it was harmless beyond a reasonable doubt.”</w:t>
      </w:r>
      <w:r w:rsidR="00DE1A89" w:rsidRPr="00C01336">
        <w:t xml:space="preserve"> </w:t>
      </w:r>
      <w:r w:rsidRPr="00C01336">
        <w:t xml:space="preserve"> (</w:t>
      </w:r>
      <w:r w:rsidRPr="00C01336">
        <w:rPr>
          <w:i/>
          <w:iCs/>
        </w:rPr>
        <w:t>Chapman, supra</w:t>
      </w:r>
      <w:r w:rsidRPr="00C01336">
        <w:t>, 386</w:t>
      </w:r>
      <w:r w:rsidR="005F157D" w:rsidRPr="00C01336">
        <w:t> </w:t>
      </w:r>
      <w:r w:rsidRPr="00C01336">
        <w:t>U.S. at p.</w:t>
      </w:r>
      <w:r w:rsidR="005F157D" w:rsidRPr="00C01336">
        <w:t> </w:t>
      </w:r>
      <w:r w:rsidRPr="00C01336">
        <w:t xml:space="preserve">24.) </w:t>
      </w:r>
      <w:r w:rsidR="00CB3DC8" w:rsidRPr="00C01336">
        <w:t xml:space="preserve"> </w:t>
      </w:r>
      <w:r w:rsidR="00E41AE3" w:rsidRPr="00C01336">
        <w:t>The</w:t>
      </w:r>
      <w:r w:rsidR="00727B65" w:rsidRPr="00C01336">
        <w:t xml:space="preserve"> jury</w:t>
      </w:r>
      <w:r w:rsidR="00E41AE3" w:rsidRPr="00C01336">
        <w:t xml:space="preserve"> instruction here implicates Cooper’s due process rights by lessening the prosecution’s burden to prove elements of the crime.  (See </w:t>
      </w:r>
      <w:r w:rsidR="00E41AE3" w:rsidRPr="00C01336">
        <w:rPr>
          <w:i/>
          <w:iCs/>
        </w:rPr>
        <w:t xml:space="preserve">People v. Harris </w:t>
      </w:r>
      <w:r w:rsidR="00E41AE3" w:rsidRPr="00C01336">
        <w:t>(1994) 9</w:t>
      </w:r>
      <w:r w:rsidR="00BE6A63" w:rsidRPr="00C01336">
        <w:t> </w:t>
      </w:r>
      <w:r w:rsidR="00E41AE3" w:rsidRPr="00C01336">
        <w:t xml:space="preserve">Cal.4th 407, 438 [“jury instructions in a state criminal trial omitting the requirement of proof of every element of a crime </w:t>
      </w:r>
      <w:r w:rsidR="00E41AE3" w:rsidRPr="00165F80">
        <w:rPr>
          <w:i/>
          <w:iCs/>
        </w:rPr>
        <w:t>beyond a reasonable doubt</w:t>
      </w:r>
      <w:r w:rsidR="00E41AE3" w:rsidRPr="00C01336">
        <w:t xml:space="preserve"> are erroneous under the Fourteenth Amendment’s due process clause”].)  </w:t>
      </w:r>
      <w:r w:rsidR="00EE5750" w:rsidRPr="00C01336">
        <w:t>The due process</w:t>
      </w:r>
      <w:r w:rsidR="005E4955" w:rsidRPr="00C01336">
        <w:t xml:space="preserve"> </w:t>
      </w:r>
      <w:r w:rsidR="00EE5750" w:rsidRPr="00C01336">
        <w:t>“</w:t>
      </w:r>
      <w:r w:rsidR="005E4955" w:rsidRPr="00C01336">
        <w:t>requirement of proof beyond a reasonable doubt and the Sixth Amendment requirement of a jury verdict are interrelated</w:t>
      </w:r>
      <w:r w:rsidR="0016002F" w:rsidRPr="00C01336">
        <w:t>.</w:t>
      </w:r>
      <w:r w:rsidR="005E4955" w:rsidRPr="00C01336">
        <w:t>”</w:t>
      </w:r>
      <w:r w:rsidR="0016002F" w:rsidRPr="00C01336">
        <w:t>  (</w:t>
      </w:r>
      <w:r w:rsidR="0016002F" w:rsidRPr="00C01336">
        <w:rPr>
          <w:i/>
          <w:iCs/>
        </w:rPr>
        <w:t>Sullivan v. Louisiana</w:t>
      </w:r>
      <w:r w:rsidR="0016002F" w:rsidRPr="00C01336">
        <w:t xml:space="preserve"> (1993) 508</w:t>
      </w:r>
      <w:r w:rsidR="00EE532F" w:rsidRPr="00C01336">
        <w:t> </w:t>
      </w:r>
      <w:r w:rsidR="0016002F" w:rsidRPr="00C01336">
        <w:t xml:space="preserve">U.S. 275, 278.)  </w:t>
      </w:r>
      <w:r w:rsidR="00E41AE3" w:rsidRPr="00C01336">
        <w:rPr>
          <w:i/>
          <w:iCs/>
        </w:rPr>
        <w:t>Chapman</w:t>
      </w:r>
      <w:r w:rsidR="00E41AE3" w:rsidRPr="00C01336">
        <w:t xml:space="preserve"> applies to a jury instruction that omits an element of an offense.  (</w:t>
      </w:r>
      <w:r w:rsidR="00E41AE3" w:rsidRPr="00C01336">
        <w:rPr>
          <w:i/>
          <w:iCs/>
        </w:rPr>
        <w:t>Neder v. U</w:t>
      </w:r>
      <w:r w:rsidR="00C53823">
        <w:rPr>
          <w:i/>
          <w:iCs/>
        </w:rPr>
        <w:t xml:space="preserve">nited </w:t>
      </w:r>
      <w:r w:rsidR="00E41AE3" w:rsidRPr="00C01336">
        <w:rPr>
          <w:i/>
          <w:iCs/>
        </w:rPr>
        <w:t>S</w:t>
      </w:r>
      <w:r w:rsidR="00C53823">
        <w:rPr>
          <w:i/>
          <w:iCs/>
        </w:rPr>
        <w:t>tates</w:t>
      </w:r>
      <w:r w:rsidR="00E41AE3" w:rsidRPr="00C01336">
        <w:t xml:space="preserve"> (1999) 527</w:t>
      </w:r>
      <w:r w:rsidR="00BE6A63" w:rsidRPr="00C01336">
        <w:t> </w:t>
      </w:r>
      <w:r w:rsidR="00E41AE3" w:rsidRPr="00C01336">
        <w:t xml:space="preserve">U.S. 1, 4.) </w:t>
      </w:r>
      <w:bookmarkStart w:id="4" w:name="_Hlk123034949"/>
      <w:r w:rsidR="00425FA8" w:rsidRPr="00C01336">
        <w:t xml:space="preserve"> </w:t>
      </w:r>
      <w:bookmarkEnd w:id="4"/>
      <w:r w:rsidR="0019332C">
        <w:t>When a</w:t>
      </w:r>
      <w:r w:rsidR="0019332C" w:rsidRPr="00C01336">
        <w:t xml:space="preserve"> </w:t>
      </w:r>
      <w:r w:rsidR="00727B65" w:rsidRPr="00C01336">
        <w:t xml:space="preserve">jury instruction </w:t>
      </w:r>
      <w:r w:rsidR="0019332C">
        <w:t xml:space="preserve">has </w:t>
      </w:r>
      <w:r w:rsidR="0019332C" w:rsidRPr="00C01336">
        <w:t>omitt</w:t>
      </w:r>
      <w:r w:rsidR="0019332C">
        <w:t>ed</w:t>
      </w:r>
      <w:r w:rsidR="0019332C" w:rsidRPr="00C01336">
        <w:t xml:space="preserve"> </w:t>
      </w:r>
      <w:r w:rsidR="00727B65" w:rsidRPr="00C01336">
        <w:t xml:space="preserve">an element of </w:t>
      </w:r>
      <w:r w:rsidR="007B0EC1" w:rsidRPr="00C01336">
        <w:t xml:space="preserve">an </w:t>
      </w:r>
      <w:r w:rsidR="00727B65" w:rsidRPr="00C01336">
        <w:t>offense</w:t>
      </w:r>
      <w:r w:rsidR="0019332C">
        <w:t>, our task</w:t>
      </w:r>
      <w:r w:rsidR="00727B65" w:rsidRPr="00C01336">
        <w:t xml:space="preserve"> </w:t>
      </w:r>
      <w:r w:rsidR="0019332C">
        <w:t>“</w:t>
      </w:r>
      <w:r w:rsidR="00FC17AE" w:rsidRPr="00C01336">
        <w:t xml:space="preserve">is to </w:t>
      </w:r>
      <w:r w:rsidR="00EE5750" w:rsidRPr="00C01336">
        <w:t>determine ‘whether the record contains evidence that could rationally lead to a contrary finding with respect to the omitted element</w:t>
      </w:r>
      <w:r w:rsidR="00FC17AE" w:rsidRPr="00C01336">
        <w:t>.</w:t>
      </w:r>
      <w:r w:rsidR="00EE5750" w:rsidRPr="00C01336">
        <w:t>’ ”  (</w:t>
      </w:r>
      <w:r w:rsidR="0019332C" w:rsidRPr="00C01336">
        <w:rPr>
          <w:i/>
          <w:iCs/>
        </w:rPr>
        <w:t>People v. Mil</w:t>
      </w:r>
      <w:r w:rsidR="0019332C" w:rsidRPr="00C01336">
        <w:t xml:space="preserve"> (2012) 53 Cal.4th 400, 417 (</w:t>
      </w:r>
      <w:r w:rsidR="0019332C" w:rsidRPr="00C01336">
        <w:rPr>
          <w:i/>
          <w:iCs/>
        </w:rPr>
        <w:t>Mil</w:t>
      </w:r>
      <w:r w:rsidR="0019332C" w:rsidRPr="00C01336">
        <w:t>)</w:t>
      </w:r>
      <w:r w:rsidR="00EE5750" w:rsidRPr="00C01336">
        <w:t xml:space="preserve">, quoting </w:t>
      </w:r>
      <w:r w:rsidR="00EE5750" w:rsidRPr="00C01336">
        <w:rPr>
          <w:i/>
          <w:iCs/>
        </w:rPr>
        <w:t xml:space="preserve">Neder, </w:t>
      </w:r>
      <w:r w:rsidR="00EE5750" w:rsidRPr="00C01336">
        <w:t>at p.</w:t>
      </w:r>
      <w:r w:rsidR="00EE532F" w:rsidRPr="00C01336">
        <w:t> </w:t>
      </w:r>
      <w:r w:rsidR="00EE5750" w:rsidRPr="00C01336">
        <w:t>19</w:t>
      </w:r>
      <w:r w:rsidR="00FC17AE" w:rsidRPr="00C01336">
        <w:t>.</w:t>
      </w:r>
      <w:r w:rsidR="00EE5750" w:rsidRPr="00C01336">
        <w:t>)</w:t>
      </w:r>
      <w:r w:rsidR="0097457A" w:rsidRPr="00C01336">
        <w:rPr>
          <w:rStyle w:val="FootnoteReference"/>
        </w:rPr>
        <w:footnoteReference w:id="8"/>
      </w:r>
      <w:r w:rsidR="00EE5750" w:rsidRPr="00C01336">
        <w:t xml:space="preserve">  </w:t>
      </w:r>
    </w:p>
    <w:p w14:paraId="3A99EBB3" w14:textId="3D2BBE48" w:rsidR="00ED375A" w:rsidRPr="00C01336" w:rsidRDefault="00CC220E" w:rsidP="00C01336">
      <w:pPr>
        <w:pStyle w:val="Text"/>
        <w:spacing w:line="400" w:lineRule="exact"/>
        <w:ind w:firstLine="720"/>
      </w:pPr>
      <w:r w:rsidRPr="00C01336">
        <w:lastRenderedPageBreak/>
        <w:t>Since A</w:t>
      </w:r>
      <w:r w:rsidR="009C6017">
        <w:t xml:space="preserve">ssembly </w:t>
      </w:r>
      <w:r w:rsidRPr="00C01336">
        <w:t>B</w:t>
      </w:r>
      <w:r w:rsidR="009C6017">
        <w:t>ill</w:t>
      </w:r>
      <w:r w:rsidRPr="00C01336">
        <w:t xml:space="preserve"> 333’s new elements did not exist at the time of Cooper’s trial, the prosecution made no attempt to prove that the alleged predicate offenses provided a more than reputational common benefit to the gang and Cooper made no such concession.  Instead, t</w:t>
      </w:r>
      <w:r w:rsidR="00167FA1" w:rsidRPr="00C01336">
        <w:t>he</w:t>
      </w:r>
      <w:r w:rsidR="003C41F4" w:rsidRPr="00C01336">
        <w:t xml:space="preserve"> records of conviction and gang expert testimony establishing the predicate offenses at </w:t>
      </w:r>
      <w:r w:rsidR="006926F2" w:rsidRPr="00C01336">
        <w:t>the re</w:t>
      </w:r>
      <w:r w:rsidR="003C41F4" w:rsidRPr="00C01336">
        <w:t xml:space="preserve">trial </w:t>
      </w:r>
      <w:r w:rsidRPr="00C01336">
        <w:t xml:space="preserve">merely </w:t>
      </w:r>
      <w:r w:rsidR="003C41F4" w:rsidRPr="00C01336">
        <w:t>show that two Lu</w:t>
      </w:r>
      <w:r w:rsidR="00D14E49" w:rsidRPr="00C01336">
        <w:t>e</w:t>
      </w:r>
      <w:r w:rsidR="003C41F4" w:rsidRPr="00C01336">
        <w:t xml:space="preserve">ders Park gang members committed one crime each: </w:t>
      </w:r>
      <w:r w:rsidR="006F63D8" w:rsidRPr="00C01336">
        <w:t xml:space="preserve">Ricky </w:t>
      </w:r>
      <w:r w:rsidR="00856144" w:rsidRPr="00C01336">
        <w:t xml:space="preserve">Vaughn committed a robbery in 2012 and </w:t>
      </w:r>
      <w:r w:rsidR="006F63D8" w:rsidRPr="00C01336">
        <w:t xml:space="preserve">Donald </w:t>
      </w:r>
      <w:r w:rsidR="00856144" w:rsidRPr="00C01336">
        <w:t>Mahan sold narcotics in 2012</w:t>
      </w:r>
      <w:r w:rsidR="003C41F4" w:rsidRPr="00C01336">
        <w:t>.  The gang expert also testified that Lu</w:t>
      </w:r>
      <w:r w:rsidR="00D14E49" w:rsidRPr="00C01336">
        <w:t>e</w:t>
      </w:r>
      <w:r w:rsidR="003C41F4" w:rsidRPr="00C01336">
        <w:t xml:space="preserve">ders Park’s primary activities are “theft, burglary, robbery, vehicle theft, narcotic sales, narcotic possession, weapons sales, weapons possession, assault to murder.”  </w:t>
      </w:r>
      <w:r w:rsidR="001F232E" w:rsidRPr="00C01336">
        <w:t>The</w:t>
      </w:r>
      <w:r w:rsidR="009A309A" w:rsidRPr="00C01336">
        <w:t xml:space="preserve"> Attorney General </w:t>
      </w:r>
      <w:r w:rsidR="001F232E" w:rsidRPr="00C01336">
        <w:t>suggests</w:t>
      </w:r>
      <w:r w:rsidR="009A309A" w:rsidRPr="00C01336">
        <w:t xml:space="preserve">, and </w:t>
      </w:r>
      <w:r w:rsidR="00CA1286" w:rsidRPr="00C01336">
        <w:t>t</w:t>
      </w:r>
      <w:r w:rsidR="001D4219" w:rsidRPr="00C01336">
        <w:t xml:space="preserve">he Court of Appeal </w:t>
      </w:r>
      <w:r w:rsidR="009A7379" w:rsidRPr="00C01336">
        <w:t xml:space="preserve">appears to have </w:t>
      </w:r>
      <w:r w:rsidR="002D3041" w:rsidRPr="00C01336">
        <w:t>concluded</w:t>
      </w:r>
      <w:r w:rsidR="00CD14ED" w:rsidRPr="00C01336">
        <w:t>,</w:t>
      </w:r>
      <w:r w:rsidR="002D3041" w:rsidRPr="00C01336">
        <w:t xml:space="preserve"> </w:t>
      </w:r>
      <w:r w:rsidR="001D4219" w:rsidRPr="00C01336">
        <w:t xml:space="preserve">that </w:t>
      </w:r>
      <w:r w:rsidR="00117D59" w:rsidRPr="00C01336">
        <w:t xml:space="preserve">crimes that </w:t>
      </w:r>
      <w:r w:rsidR="009A7379" w:rsidRPr="00C01336">
        <w:t xml:space="preserve">have </w:t>
      </w:r>
      <w:r w:rsidR="00BC3464" w:rsidRPr="00C01336">
        <w:t xml:space="preserve">an </w:t>
      </w:r>
      <w:r w:rsidR="009A7379" w:rsidRPr="00C01336">
        <w:t xml:space="preserve">inherent financial benefit and </w:t>
      </w:r>
      <w:r w:rsidR="001D4219" w:rsidRPr="00C01336">
        <w:t xml:space="preserve">that </w:t>
      </w:r>
      <w:r w:rsidR="009A7379" w:rsidRPr="00C01336">
        <w:t xml:space="preserve">are identified as the gang’s primary activities </w:t>
      </w:r>
      <w:r w:rsidR="007762AE" w:rsidRPr="00C01336">
        <w:t xml:space="preserve">qualify as a common benefit </w:t>
      </w:r>
      <w:r w:rsidR="00167FA1" w:rsidRPr="00C01336">
        <w:t xml:space="preserve">to the gang </w:t>
      </w:r>
      <w:r w:rsidR="007762AE" w:rsidRPr="00C01336">
        <w:t>that is</w:t>
      </w:r>
      <w:r w:rsidR="001D4219" w:rsidRPr="00C01336">
        <w:t xml:space="preserve"> “more than reputational” </w:t>
      </w:r>
      <w:r w:rsidR="009A7379" w:rsidRPr="00C01336">
        <w:t>under A</w:t>
      </w:r>
      <w:r w:rsidR="009C6017">
        <w:t xml:space="preserve">ssembly </w:t>
      </w:r>
      <w:r w:rsidR="009A7379" w:rsidRPr="00C01336">
        <w:t>B</w:t>
      </w:r>
      <w:r w:rsidR="009C6017">
        <w:t>ill</w:t>
      </w:r>
      <w:r w:rsidR="009A7379" w:rsidRPr="00C01336">
        <w:t xml:space="preserve"> 333.</w:t>
      </w:r>
      <w:r w:rsidR="001D4219" w:rsidRPr="00C01336">
        <w:t xml:space="preserve">  </w:t>
      </w:r>
      <w:r w:rsidR="00E60763" w:rsidRPr="00C01336">
        <w:t xml:space="preserve">(See </w:t>
      </w:r>
      <w:r w:rsidR="00794EFD" w:rsidRPr="00C01336">
        <w:rPr>
          <w:i/>
          <w:iCs/>
        </w:rPr>
        <w:t>People v. Cooper</w:t>
      </w:r>
      <w:r w:rsidR="00693C83">
        <w:t xml:space="preserve">, </w:t>
      </w:r>
      <w:r w:rsidR="00693C83">
        <w:rPr>
          <w:i/>
          <w:iCs/>
        </w:rPr>
        <w:t>supra</w:t>
      </w:r>
      <w:r w:rsidR="00693C83">
        <w:t>,</w:t>
      </w:r>
      <w:r w:rsidR="00794EFD" w:rsidRPr="00C01336">
        <w:t xml:space="preserve"> B304490</w:t>
      </w:r>
      <w:r w:rsidR="00E60763" w:rsidRPr="00C01336">
        <w:t xml:space="preserve"> [“The benefit to the gang of robbery and sale of narcotics is more than reputational”].)</w:t>
      </w:r>
      <w:r w:rsidR="00865D54" w:rsidRPr="00C01336">
        <w:t xml:space="preserve"> </w:t>
      </w:r>
      <w:r w:rsidR="00E60763" w:rsidRPr="00C01336">
        <w:t xml:space="preserve"> </w:t>
      </w:r>
      <w:r w:rsidR="007762AE" w:rsidRPr="00C01336">
        <w:t xml:space="preserve">However, the record does not disclose the circumstances surrounding the predicate offenses and the prosecution never introduced any evidence </w:t>
      </w:r>
      <w:r w:rsidR="006926F2" w:rsidRPr="00C01336">
        <w:t xml:space="preserve">about </w:t>
      </w:r>
      <w:r w:rsidR="007762AE" w:rsidRPr="00C01336">
        <w:t xml:space="preserve">how the gang commonly benefited from them.  While robbery and the sale of narcotics typically provide a financial benefit to the </w:t>
      </w:r>
      <w:r w:rsidR="007762AE" w:rsidRPr="00C01336">
        <w:rPr>
          <w:i/>
          <w:iCs/>
        </w:rPr>
        <w:t>offender</w:t>
      </w:r>
      <w:r w:rsidR="007762AE" w:rsidRPr="00C01336">
        <w:t xml:space="preserve">, </w:t>
      </w:r>
      <w:r w:rsidR="0096584D" w:rsidRPr="00C01336">
        <w:t xml:space="preserve">the record </w:t>
      </w:r>
      <w:r w:rsidR="00B07A86" w:rsidRPr="00C01336">
        <w:t xml:space="preserve">contains evidence that could rationally lead to a contrary finding regarding whether </w:t>
      </w:r>
      <w:r w:rsidR="007762AE" w:rsidRPr="00C01336">
        <w:t xml:space="preserve">the fruits of the offenses were intended to or </w:t>
      </w:r>
      <w:r w:rsidR="007762AE" w:rsidRPr="00C01336">
        <w:lastRenderedPageBreak/>
        <w:t xml:space="preserve">did benefit the </w:t>
      </w:r>
      <w:r w:rsidR="007762AE" w:rsidRPr="00C01336">
        <w:rPr>
          <w:i/>
          <w:iCs/>
        </w:rPr>
        <w:t>gang</w:t>
      </w:r>
      <w:r w:rsidR="005056DA" w:rsidRPr="00C01336">
        <w:rPr>
          <w:i/>
          <w:iCs/>
        </w:rPr>
        <w:t xml:space="preserve"> as a whole</w:t>
      </w:r>
      <w:r w:rsidR="007762AE" w:rsidRPr="00C01336">
        <w:t xml:space="preserve">.  </w:t>
      </w:r>
      <w:r w:rsidR="00E56C92" w:rsidRPr="00C01336">
        <w:t>As the Attorney General concedes, robbery and narcotics sales “may of course be committed by gang members only for personal gain (which, relatedly, may benefit the gang only reputationally).”  Indeed</w:t>
      </w:r>
      <w:r w:rsidR="00711ED7" w:rsidRPr="00C01336">
        <w:t>,</w:t>
      </w:r>
      <w:r w:rsidR="00A3751F" w:rsidRPr="00C01336">
        <w:t xml:space="preserve"> “[n]ot every crime committed by gang members is related to a gang</w:t>
      </w:r>
      <w:r w:rsidR="0063373D" w:rsidRPr="00C01336">
        <w:t>.</w:t>
      </w:r>
      <w:r w:rsidR="00A3751F" w:rsidRPr="00C01336">
        <w:t xml:space="preserve">” </w:t>
      </w:r>
      <w:r w:rsidR="0063373D" w:rsidRPr="00C01336">
        <w:t xml:space="preserve"> </w:t>
      </w:r>
      <w:r w:rsidR="00A3751F" w:rsidRPr="00C01336">
        <w:t>(</w:t>
      </w:r>
      <w:r w:rsidR="00A3751F" w:rsidRPr="00C01336">
        <w:rPr>
          <w:i/>
          <w:iCs/>
        </w:rPr>
        <w:t>People v. Albillar</w:t>
      </w:r>
      <w:r w:rsidR="00A3751F" w:rsidRPr="00C01336">
        <w:t xml:space="preserve"> (2010) 51 Cal.4th 47, 60</w:t>
      </w:r>
      <w:r w:rsidR="0063373D" w:rsidRPr="00C01336">
        <w:t>.</w:t>
      </w:r>
      <w:r w:rsidR="00A3751F" w:rsidRPr="00C01336">
        <w:t xml:space="preserve">)  </w:t>
      </w:r>
      <w:r w:rsidR="009A309A" w:rsidRPr="00C01336">
        <w:t>In this way, the</w:t>
      </w:r>
      <w:r w:rsidR="00FF57FA" w:rsidRPr="00C01336">
        <w:t xml:space="preserve"> question of whether an offense is within the gang’s primary activities is distinct from the question of whether a particular offense has “commonly benefited a criminal street gang.”  </w:t>
      </w:r>
      <w:r w:rsidR="00C868C0" w:rsidRPr="00C01336">
        <w:t>(§</w:t>
      </w:r>
      <w:r w:rsidR="00856144" w:rsidRPr="00C01336">
        <w:t> </w:t>
      </w:r>
      <w:r w:rsidR="00C868C0" w:rsidRPr="00C01336">
        <w:t xml:space="preserve">186.22, subd. (e)(1).)  </w:t>
      </w:r>
      <w:r w:rsidR="00FF57FA" w:rsidRPr="00C01336">
        <w:t xml:space="preserve">A jury determination regarding the gang’s primary activities merely constitutes a conclusion about the types of activities in which a gang typically engages, whereas the question about a common benefit asks about how the specific predicate offense actually benefited the gang.  </w:t>
      </w:r>
      <w:r w:rsidR="008636AB" w:rsidRPr="00C01336">
        <w:t>(</w:t>
      </w:r>
      <w:r w:rsidR="00C82C14" w:rsidRPr="00C01336">
        <w:t xml:space="preserve">See </w:t>
      </w:r>
      <w:r w:rsidR="00101663" w:rsidRPr="00C01336">
        <w:rPr>
          <w:i/>
          <w:iCs/>
        </w:rPr>
        <w:t>People v. E.H.</w:t>
      </w:r>
      <w:r w:rsidR="00101663" w:rsidRPr="00C01336">
        <w:t xml:space="preserve"> (2022) 75 Cal.App.5th 467, 473, 478–480 (</w:t>
      </w:r>
      <w:r w:rsidR="00101663" w:rsidRPr="00C01336">
        <w:rPr>
          <w:i/>
          <w:iCs/>
        </w:rPr>
        <w:t>E.H.</w:t>
      </w:r>
      <w:r w:rsidR="00101663" w:rsidRPr="00C01336">
        <w:t>)</w:t>
      </w:r>
      <w:r w:rsidR="00C82C14" w:rsidRPr="00C01336">
        <w:t xml:space="preserve"> </w:t>
      </w:r>
      <w:r w:rsidR="008636AB" w:rsidRPr="00C01336">
        <w:t>[</w:t>
      </w:r>
      <w:r w:rsidR="000A4580" w:rsidRPr="00C01336">
        <w:t xml:space="preserve">finding that though </w:t>
      </w:r>
      <w:r w:rsidR="008636AB" w:rsidRPr="00C01336">
        <w:t xml:space="preserve">the </w:t>
      </w:r>
      <w:r w:rsidR="000A4580" w:rsidRPr="00C01336">
        <w:t xml:space="preserve">predicate offenses included crimes that could, in theory, provide a monetary benefit to the gang, the evidence did not show that these predicate offenses </w:t>
      </w:r>
      <w:r w:rsidR="000A4580" w:rsidRPr="00C01336">
        <w:rPr>
          <w:i/>
          <w:iCs/>
        </w:rPr>
        <w:t>actually</w:t>
      </w:r>
      <w:r w:rsidR="000A4580" w:rsidRPr="00C01336">
        <w:t xml:space="preserve"> benefited the gang</w:t>
      </w:r>
      <w:r w:rsidR="008636AB" w:rsidRPr="00C01336">
        <w:t>].</w:t>
      </w:r>
      <w:r w:rsidR="000A4580" w:rsidRPr="00C01336">
        <w:t xml:space="preserve">)  </w:t>
      </w:r>
      <w:r w:rsidR="000F22D9" w:rsidRPr="00C01336">
        <w:t xml:space="preserve">Furthermore, the jury </w:t>
      </w:r>
      <w:r w:rsidR="00101663" w:rsidRPr="00C01336">
        <w:t xml:space="preserve">here </w:t>
      </w:r>
      <w:r w:rsidR="000F22D9" w:rsidRPr="00C01336">
        <w:t xml:space="preserve">was specifically instructed </w:t>
      </w:r>
      <w:r w:rsidR="00827B1D" w:rsidRPr="00C01336">
        <w:t xml:space="preserve">that the predicate offenses </w:t>
      </w:r>
      <w:r w:rsidR="00827B1D" w:rsidRPr="00724B44">
        <w:t>“that establish a pattern of criminal gang activity[] need not be gang-related</w:t>
      </w:r>
      <w:r w:rsidR="00827B1D">
        <w:t>,</w:t>
      </w:r>
      <w:r w:rsidR="00827B1D" w:rsidRPr="00724B44">
        <w:t>”</w:t>
      </w:r>
      <w:r w:rsidR="00827B1D" w:rsidRPr="00C01336">
        <w:t xml:space="preserve">  </w:t>
      </w:r>
      <w:r w:rsidR="00827B1D">
        <w:t>in accordance with</w:t>
      </w:r>
      <w:r w:rsidR="00827B1D" w:rsidRPr="00C01336">
        <w:t xml:space="preserve"> </w:t>
      </w:r>
      <w:r w:rsidR="001F232E" w:rsidRPr="00C01336">
        <w:t xml:space="preserve">the </w:t>
      </w:r>
      <w:r w:rsidR="0046784F" w:rsidRPr="00C01336">
        <w:t>former</w:t>
      </w:r>
      <w:r w:rsidR="00A64858" w:rsidRPr="00C01336">
        <w:t xml:space="preserve"> law </w:t>
      </w:r>
      <w:r w:rsidR="005F6CF2" w:rsidRPr="00C01336">
        <w:t xml:space="preserve">as </w:t>
      </w:r>
      <w:r w:rsidR="0046784F" w:rsidRPr="00C01336">
        <w:t xml:space="preserve">set forth in </w:t>
      </w:r>
      <w:r w:rsidR="00A64858" w:rsidRPr="00C01336">
        <w:rPr>
          <w:i/>
          <w:iCs/>
        </w:rPr>
        <w:t>People v. Gardeley</w:t>
      </w:r>
      <w:r w:rsidR="00A64858" w:rsidRPr="00C01336">
        <w:t xml:space="preserve"> (1996) 14 Cal.4th 605</w:t>
      </w:r>
      <w:r w:rsidR="0046784F" w:rsidRPr="00C01336">
        <w:t>, 621–622</w:t>
      </w:r>
      <w:r w:rsidR="00312E11" w:rsidRPr="00C01336">
        <w:t>, disapproved</w:t>
      </w:r>
      <w:r w:rsidR="00405796" w:rsidRPr="00C01336">
        <w:t xml:space="preserve"> </w:t>
      </w:r>
      <w:r w:rsidR="00643309" w:rsidRPr="00C01336">
        <w:t>of on other grounds</w:t>
      </w:r>
      <w:r w:rsidR="00312E11" w:rsidRPr="00C01336">
        <w:t xml:space="preserve"> by </w:t>
      </w:r>
      <w:r w:rsidR="00312E11" w:rsidRPr="00C01336">
        <w:rPr>
          <w:i/>
          <w:iCs/>
        </w:rPr>
        <w:t>People v. Sanchez</w:t>
      </w:r>
      <w:r w:rsidR="00312E11" w:rsidRPr="00C01336">
        <w:t xml:space="preserve"> (2016) 63</w:t>
      </w:r>
      <w:r w:rsidR="00A8396E" w:rsidRPr="00C01336">
        <w:t> </w:t>
      </w:r>
      <w:r w:rsidR="00312E11" w:rsidRPr="00C01336">
        <w:t>Cal.4th 665</w:t>
      </w:r>
      <w:r w:rsidR="0046784F" w:rsidRPr="00C01336">
        <w:t>,</w:t>
      </w:r>
      <w:r w:rsidR="00312E11" w:rsidRPr="00C01336">
        <w:t xml:space="preserve"> 686, fn. 13</w:t>
      </w:r>
      <w:r w:rsidR="00827B1D">
        <w:t>.</w:t>
      </w:r>
      <w:r w:rsidR="001F232E" w:rsidRPr="00C01336">
        <w:t xml:space="preserve">  </w:t>
      </w:r>
      <w:r w:rsidR="005F6CF2" w:rsidRPr="00C01336">
        <w:t>This instruction directly contradicts</w:t>
      </w:r>
      <w:r w:rsidR="0046784F" w:rsidRPr="00C01336">
        <w:t xml:space="preserve"> A</w:t>
      </w:r>
      <w:r w:rsidR="009C6017">
        <w:t xml:space="preserve">ssembly </w:t>
      </w:r>
      <w:r w:rsidR="0046784F" w:rsidRPr="00C01336">
        <w:t>B</w:t>
      </w:r>
      <w:r w:rsidR="009C6017">
        <w:t>ill</w:t>
      </w:r>
      <w:r w:rsidR="0046784F" w:rsidRPr="00C01336">
        <w:t xml:space="preserve"> 333</w:t>
      </w:r>
      <w:r w:rsidR="005F6CF2" w:rsidRPr="00C01336">
        <w:t xml:space="preserve">’s new requirement </w:t>
      </w:r>
      <w:r w:rsidR="0046784F" w:rsidRPr="00C01336">
        <w:t>that the predicate offenses “commonly benefited [the</w:t>
      </w:r>
      <w:r w:rsidR="008D0F77" w:rsidRPr="00C01336">
        <w:t>]</w:t>
      </w:r>
      <w:r w:rsidR="0046784F" w:rsidRPr="00C01336">
        <w:t xml:space="preserve"> criminal street gang, and the common benefit from the offenses is more than reputational.”  (§ 186.22, subd. (e)(1).)  </w:t>
      </w:r>
      <w:r w:rsidR="00916D65" w:rsidRPr="00C01336">
        <w:t>Based upon the record, a jury could</w:t>
      </w:r>
      <w:r w:rsidR="00856144" w:rsidRPr="00C01336">
        <w:t xml:space="preserve"> have</w:t>
      </w:r>
      <w:r w:rsidR="00916D65" w:rsidRPr="00C01336">
        <w:t xml:space="preserve"> reasonably conclude</w:t>
      </w:r>
      <w:r w:rsidR="00856144" w:rsidRPr="00C01336">
        <w:t>d</w:t>
      </w:r>
      <w:r w:rsidR="00916D65" w:rsidRPr="00C01336">
        <w:t xml:space="preserve"> that the predicate offenses at issue were committed for personal gain alone.</w:t>
      </w:r>
    </w:p>
    <w:p w14:paraId="08201FED" w14:textId="2527DBBE" w:rsidR="0077617E" w:rsidRPr="00C01336" w:rsidRDefault="0077617E" w:rsidP="00C01336">
      <w:pPr>
        <w:pStyle w:val="Text"/>
        <w:spacing w:line="400" w:lineRule="exact"/>
      </w:pPr>
      <w:r w:rsidRPr="00C01336">
        <w:lastRenderedPageBreak/>
        <w:t xml:space="preserve">Moreover, the Attorney General’s interpretation would render superfluous much of the new amendment that requires both that predicate offenses “commonly benefited” the gang and that the common benefit is “more than reputational.”  (§ 186.22, subd. (e)(1).)  </w:t>
      </w:r>
      <w:r w:rsidRPr="00C01336">
        <w:rPr>
          <w:szCs w:val="26"/>
        </w:rPr>
        <w:t>Section 186.22, subdivision (e)(1) lists numerous predicate offenses that typically involve a financial benefit to the offender.</w:t>
      </w:r>
      <w:r w:rsidRPr="00C01336">
        <w:rPr>
          <w:rStyle w:val="FootnoteReference"/>
          <w:szCs w:val="26"/>
        </w:rPr>
        <w:footnoteReference w:id="9"/>
      </w:r>
      <w:r w:rsidRPr="00C01336">
        <w:rPr>
          <w:szCs w:val="26"/>
        </w:rPr>
        <w:t xml:space="preserve">  </w:t>
      </w:r>
      <w:r w:rsidRPr="00C01336">
        <w:t>Prior to the amendments, section 186.22, subdivisions (e)(1) and (f), which define “pattern of criminal gang activity” and “a criminal street gang,” have long required that the gang must have “as one of its primary activities the commission of one or more of” the enumerated predicate offenses.  (§ 186.22, subd. (f</w:t>
      </w:r>
      <w:r w:rsidRPr="00C01336">
        <w:rPr>
          <w:szCs w:val="26"/>
        </w:rPr>
        <w:t xml:space="preserve">).)  </w:t>
      </w:r>
      <w:r w:rsidRPr="00C01336">
        <w:t xml:space="preserve">The Legislature then decided to amend section 186.22 to require a heightened showing both that the predicate offenses “commonly benefited a criminal street gang” and that the common benefit is “more than reputational.”  (§ 186.22, subd. (e)(1).)  If all that were required to prove a predicate offense is that the prosecution show that the gang member committed as one of the gang’s primary activities any one of the enumerated predicate offenses that typically involve a financial benefit, then the additional requirement that the predicate offenses also “commonly benefited a criminal street gang” in a “more than reputational” manner would be mere surplusage.  Finally, such an interpretation is inconsistent with the legislative history indicating </w:t>
      </w:r>
      <w:r w:rsidRPr="00C01336">
        <w:rPr>
          <w:szCs w:val="26"/>
        </w:rPr>
        <w:t xml:space="preserve">the Legislature was concerned </w:t>
      </w:r>
      <w:r w:rsidRPr="00C01336">
        <w:rPr>
          <w:szCs w:val="26"/>
        </w:rPr>
        <w:lastRenderedPageBreak/>
        <w:t xml:space="preserve">with “lax” interpretations of the prior law that allowed for overly expansive application of gang enhancements </w:t>
      </w:r>
      <w:r w:rsidRPr="00C01336">
        <w:t>(</w:t>
      </w:r>
      <w:r w:rsidR="007E37C9">
        <w:t>S</w:t>
      </w:r>
      <w:r w:rsidRPr="00C01336">
        <w:t xml:space="preserve">tats. 2021, ch. 699, § 2) </w:t>
      </w:r>
      <w:r w:rsidRPr="00C01336">
        <w:rPr>
          <w:szCs w:val="26"/>
        </w:rPr>
        <w:t xml:space="preserve">and therefore sought to amend the law by “making the standards for applying a gang enhancement more rigorous.”  </w:t>
      </w:r>
      <w:r w:rsidRPr="00C01336">
        <w:t>(Sen. Com. on Public Safety</w:t>
      </w:r>
      <w:r w:rsidR="009C6017">
        <w:t>,</w:t>
      </w:r>
      <w:r w:rsidRPr="00C01336">
        <w:t xml:space="preserve"> Analysis of A</w:t>
      </w:r>
      <w:r w:rsidR="009C6017">
        <w:t>ssem</w:t>
      </w:r>
      <w:r w:rsidR="007E37C9">
        <w:t>.</w:t>
      </w:r>
      <w:r w:rsidR="009C6017">
        <w:t xml:space="preserve"> </w:t>
      </w:r>
      <w:r w:rsidRPr="00C01336">
        <w:t>B</w:t>
      </w:r>
      <w:r w:rsidR="009C6017">
        <w:t>ill</w:t>
      </w:r>
      <w:r w:rsidRPr="00C01336">
        <w:t xml:space="preserve"> 333, </w:t>
      </w:r>
      <w:r w:rsidR="007E37C9">
        <w:t xml:space="preserve">as amended </w:t>
      </w:r>
      <w:r w:rsidRPr="00C01336">
        <w:t>May 28, 2021, p. 6.)</w:t>
      </w:r>
      <w:r w:rsidRPr="00C01336">
        <w:rPr>
          <w:rStyle w:val="FootnoteReference"/>
        </w:rPr>
        <w:footnoteReference w:id="10"/>
      </w:r>
    </w:p>
    <w:p w14:paraId="72AE48A4" w14:textId="277017D7" w:rsidR="006F63D8" w:rsidRPr="00C01336" w:rsidRDefault="006F63D8" w:rsidP="00C01336">
      <w:pPr>
        <w:pStyle w:val="Text"/>
        <w:spacing w:line="400" w:lineRule="exact"/>
        <w:ind w:firstLine="720"/>
      </w:pPr>
      <w:r w:rsidRPr="00C01336">
        <w:t xml:space="preserve">The Attorney General tries to save </w:t>
      </w:r>
      <w:r w:rsidR="00B5719D">
        <w:t>his</w:t>
      </w:r>
      <w:r w:rsidRPr="00C01336">
        <w:t xml:space="preserve"> argument by claiming that because Mahan was a “ ‘senior’ ” member of the gang and Vaughn was “a well-known” member, a reasonable inference is that Mahan and Vaughn were among the “most active” gang members committing the gang’s primary activities, making it in turn reasonable to infer that they committed the predicate offenses for the common benefit of the gang.  However, </w:t>
      </w:r>
      <w:r w:rsidR="00805AB3" w:rsidRPr="00C01336">
        <w:t>even assuming arguendo that senior or well</w:t>
      </w:r>
      <w:r w:rsidR="001A17D2" w:rsidRPr="00C01336">
        <w:noBreakHyphen/>
      </w:r>
      <w:r w:rsidR="00805AB3" w:rsidRPr="00C01336">
        <w:t>known gang member</w:t>
      </w:r>
      <w:r w:rsidR="001A17D2" w:rsidRPr="00C01336">
        <w:t>ship</w:t>
      </w:r>
      <w:r w:rsidR="00805AB3" w:rsidRPr="00C01336">
        <w:t xml:space="preserve"> could possibly be evidence that predicate offenses commonly benefited the gang, </w:t>
      </w:r>
      <w:r w:rsidRPr="00C01336">
        <w:t>the record does not support the Attorney General’s characterization of Mahan and Vaughn as senior or well</w:t>
      </w:r>
      <w:r w:rsidR="00B5719D">
        <w:t>-</w:t>
      </w:r>
      <w:r w:rsidRPr="00C01336">
        <w:t>know</w:t>
      </w:r>
      <w:r w:rsidR="00B5719D">
        <w:t>n</w:t>
      </w:r>
      <w:r w:rsidRPr="00C01336">
        <w:t xml:space="preserve"> members of the gang.  Rather, the gang expert testified, when asked if he </w:t>
      </w:r>
      <w:r w:rsidR="00537D27" w:rsidRPr="00C01336">
        <w:t xml:space="preserve">was </w:t>
      </w:r>
      <w:r w:rsidRPr="00C01336">
        <w:t xml:space="preserve">familiar with Mahan, that “I know Doc, his son.  Doc’s a [Lueders] Park Piru gang member.  </w:t>
      </w:r>
      <w:r w:rsidRPr="00C01336">
        <w:lastRenderedPageBreak/>
        <w:t xml:space="preserve">Probably the most senior [Lueders] Park Piru gang member on the street right now.  Been a long time in prison.  I think he’s been out maybe three or four years now.  But just saw him a couple weeks ago.  Probably there today.  He sets up on Saunders and Bradfield and goes to sell his narcotics.”  The </w:t>
      </w:r>
      <w:r w:rsidR="00537D27" w:rsidRPr="00C01336">
        <w:t>most plausible read</w:t>
      </w:r>
      <w:r w:rsidRPr="00C01336">
        <w:t xml:space="preserve"> of this testimony is that the gang expert testified that Mahan’s son (and not Mahan himself) was “the most senior” Lueders Park gang member</w:t>
      </w:r>
      <w:r w:rsidR="001F0FBA" w:rsidRPr="00C01336">
        <w:t>.</w:t>
      </w:r>
      <w:r w:rsidRPr="00C01336">
        <w:t xml:space="preserve"> </w:t>
      </w:r>
      <w:r w:rsidR="001F0FBA" w:rsidRPr="00C01336">
        <w:t xml:space="preserve"> At a</w:t>
      </w:r>
      <w:r w:rsidRPr="00C01336">
        <w:t xml:space="preserve"> minimum, </w:t>
      </w:r>
      <w:r w:rsidR="007F7A0D" w:rsidRPr="00C01336">
        <w:t xml:space="preserve">this testimony does not allow us to </w:t>
      </w:r>
      <w:r w:rsidR="00D91100" w:rsidRPr="00C01336">
        <w:t>conclude</w:t>
      </w:r>
      <w:r w:rsidRPr="00C01336">
        <w:t xml:space="preserve"> </w:t>
      </w:r>
      <w:r w:rsidR="00D91100" w:rsidRPr="00C01336">
        <w:t xml:space="preserve">beyond a reasonable </w:t>
      </w:r>
      <w:r w:rsidR="00D065CF">
        <w:t xml:space="preserve">doubt </w:t>
      </w:r>
      <w:r w:rsidRPr="00C01336">
        <w:t xml:space="preserve">that the gang expert was referring to Mahan himself.  Moreover, to the </w:t>
      </w:r>
      <w:r w:rsidR="00312E11" w:rsidRPr="00C01336">
        <w:t>extent</w:t>
      </w:r>
      <w:r w:rsidRPr="00C01336">
        <w:t xml:space="preserve"> the Attorney General is suggesting that we can determine beyond a reasonable doubt that Mahan was a senior gang member simply because a family member was a senior gang member, we reject that argument out of hand.  </w:t>
      </w:r>
      <w:r w:rsidR="007F7A0D" w:rsidRPr="00C01336">
        <w:t xml:space="preserve">As for Ricky Vaughn, though the Attorney General contends that the gang expert </w:t>
      </w:r>
      <w:r w:rsidR="008636AB" w:rsidRPr="00C01336">
        <w:t>characterized</w:t>
      </w:r>
      <w:r w:rsidR="007F7A0D" w:rsidRPr="00C01336">
        <w:t xml:space="preserve"> him as a “well</w:t>
      </w:r>
      <w:r w:rsidR="000B24F6" w:rsidRPr="00C01336">
        <w:t>-</w:t>
      </w:r>
      <w:r w:rsidR="007F7A0D" w:rsidRPr="00C01336">
        <w:t xml:space="preserve">known” gang member, the </w:t>
      </w:r>
      <w:r w:rsidR="00A654F3" w:rsidRPr="00C01336">
        <w:t xml:space="preserve">gang </w:t>
      </w:r>
      <w:r w:rsidR="007F7A0D" w:rsidRPr="00C01336">
        <w:t>expert</w:t>
      </w:r>
      <w:r w:rsidR="00537D27" w:rsidRPr="00C01336">
        <w:t xml:space="preserve"> actually</w:t>
      </w:r>
      <w:r w:rsidR="007F7A0D" w:rsidRPr="00C01336">
        <w:t xml:space="preserve"> testified that</w:t>
      </w:r>
      <w:r w:rsidRPr="00C01336">
        <w:t xml:space="preserve"> “I’ve contacted Ricky numerous times.  I’ve spoken to Ricky.  He identified himself as a [Lueders] Park Piru gang member.  I’ve taken photographs of him throwing up the [Lueders] Park Piru Hand sign.  [¶]  I’ve recently assisted on another case where Ricky Lee Vaughn has identified himself as a [Lueders] Park Piru gang member again.”  </w:t>
      </w:r>
      <w:r w:rsidR="00324CC4" w:rsidRPr="00C01336">
        <w:t>Again, even assuming arguendo that senior or well</w:t>
      </w:r>
      <w:r w:rsidR="00324CC4" w:rsidRPr="00C01336">
        <w:noBreakHyphen/>
        <w:t xml:space="preserve">known gang membership could possibly be evidence that predicate offenses commonly benefited the gang, this </w:t>
      </w:r>
      <w:r w:rsidR="0030701C" w:rsidRPr="00C01336">
        <w:t>testimony</w:t>
      </w:r>
      <w:r w:rsidR="00324CC4" w:rsidRPr="00C01336">
        <w:t xml:space="preserve"> </w:t>
      </w:r>
      <w:r w:rsidR="0030701C" w:rsidRPr="00C01336">
        <w:t xml:space="preserve">does not </w:t>
      </w:r>
      <w:r w:rsidR="00324CC4" w:rsidRPr="00C01336">
        <w:t xml:space="preserve">support the Attorney General’s characterization.  </w:t>
      </w:r>
      <w:r w:rsidRPr="00C01336">
        <w:t xml:space="preserve">The </w:t>
      </w:r>
      <w:r w:rsidR="00A62C5A" w:rsidRPr="00C01336">
        <w:t>gang expert</w:t>
      </w:r>
      <w:r w:rsidR="00324CC4" w:rsidRPr="00C01336">
        <w:t xml:space="preserve"> </w:t>
      </w:r>
      <w:r w:rsidR="00A62C5A" w:rsidRPr="00C01336">
        <w:t xml:space="preserve">testified </w:t>
      </w:r>
      <w:r w:rsidR="00324CC4" w:rsidRPr="00C01336">
        <w:t xml:space="preserve">not that </w:t>
      </w:r>
      <w:r w:rsidR="00A654F3" w:rsidRPr="00C01336">
        <w:t xml:space="preserve">Vaughn </w:t>
      </w:r>
      <w:r w:rsidR="00324CC4" w:rsidRPr="00C01336">
        <w:t xml:space="preserve">was a </w:t>
      </w:r>
      <w:r w:rsidR="00A654F3" w:rsidRPr="00C01336">
        <w:t>well-known</w:t>
      </w:r>
      <w:r w:rsidR="00324CC4" w:rsidRPr="00C01336">
        <w:t xml:space="preserve"> </w:t>
      </w:r>
      <w:r w:rsidR="00537D27" w:rsidRPr="00C01336">
        <w:t xml:space="preserve">or senior </w:t>
      </w:r>
      <w:r w:rsidR="00324CC4" w:rsidRPr="00C01336">
        <w:t>gang member</w:t>
      </w:r>
      <w:r w:rsidR="00A654F3" w:rsidRPr="00C01336">
        <w:t xml:space="preserve">, but </w:t>
      </w:r>
      <w:r w:rsidR="00537D27" w:rsidRPr="00C01336">
        <w:t xml:space="preserve">simply </w:t>
      </w:r>
      <w:r w:rsidR="00A654F3" w:rsidRPr="00C01336">
        <w:t>that</w:t>
      </w:r>
      <w:r w:rsidRPr="00C01336">
        <w:t xml:space="preserve"> </w:t>
      </w:r>
      <w:r w:rsidR="00324CC4" w:rsidRPr="00C01336">
        <w:t xml:space="preserve">Vaughn was known to the gang expert </w:t>
      </w:r>
      <w:r w:rsidR="00A654F3" w:rsidRPr="00C01336">
        <w:t>thr</w:t>
      </w:r>
      <w:r w:rsidR="00324CC4" w:rsidRPr="00C01336">
        <w:t xml:space="preserve">ough several </w:t>
      </w:r>
      <w:r w:rsidR="00537D27" w:rsidRPr="00C01336">
        <w:t xml:space="preserve">prior </w:t>
      </w:r>
      <w:r w:rsidR="00324CC4" w:rsidRPr="00C01336">
        <w:t>contacts with him</w:t>
      </w:r>
      <w:r w:rsidRPr="00C01336">
        <w:t>.</w:t>
      </w:r>
    </w:p>
    <w:p w14:paraId="36973435" w14:textId="62649D65" w:rsidR="00AD4E17" w:rsidRPr="00C01336" w:rsidRDefault="00D07660" w:rsidP="00C01336">
      <w:pPr>
        <w:pStyle w:val="Text"/>
        <w:spacing w:line="400" w:lineRule="exact"/>
      </w:pPr>
      <w:r w:rsidRPr="00C01336">
        <w:t>In sum, t</w:t>
      </w:r>
      <w:r w:rsidR="00BC09E2" w:rsidRPr="00C01336">
        <w:t xml:space="preserve">he grand total of evidence relied on by the Attorney General for proving </w:t>
      </w:r>
      <w:r w:rsidR="00897EA5" w:rsidRPr="00C01336">
        <w:t xml:space="preserve">that the alleged predicate offenses provided </w:t>
      </w:r>
      <w:r w:rsidR="00897EA5" w:rsidRPr="00C01336">
        <w:lastRenderedPageBreak/>
        <w:t>a common benefit</w:t>
      </w:r>
      <w:r w:rsidR="003612B0" w:rsidRPr="00C01336">
        <w:t xml:space="preserve"> that is more than reputational</w:t>
      </w:r>
      <w:r w:rsidR="00897EA5" w:rsidRPr="00C01336">
        <w:t xml:space="preserve"> to the gang</w:t>
      </w:r>
      <w:r w:rsidR="00BC09E2" w:rsidRPr="00C01336">
        <w:t xml:space="preserve"> is that there was a robbery </w:t>
      </w:r>
      <w:r w:rsidR="00897EA5" w:rsidRPr="00C01336">
        <w:t xml:space="preserve">and </w:t>
      </w:r>
      <w:r w:rsidR="00DE1A89" w:rsidRPr="00C01336">
        <w:t xml:space="preserve">a </w:t>
      </w:r>
      <w:r w:rsidR="00897EA5" w:rsidRPr="00C01336">
        <w:t xml:space="preserve">sale of narcotics </w:t>
      </w:r>
      <w:r w:rsidR="00BC09E2" w:rsidRPr="00C01336">
        <w:t>by gang member</w:t>
      </w:r>
      <w:r w:rsidR="00897EA5" w:rsidRPr="00C01336">
        <w:t>s</w:t>
      </w:r>
      <w:r w:rsidR="00BC09E2" w:rsidRPr="00C01336">
        <w:t xml:space="preserve"> and that a primary activity of the gang is to commit robberies</w:t>
      </w:r>
      <w:r w:rsidR="00897EA5" w:rsidRPr="00C01336">
        <w:t xml:space="preserve"> and the sale of narcotics</w:t>
      </w:r>
      <w:r w:rsidR="00BC09E2" w:rsidRPr="00C01336">
        <w:t xml:space="preserve">.  </w:t>
      </w:r>
      <w:r w:rsidR="003F135C" w:rsidRPr="00C01336">
        <w:t xml:space="preserve">Under </w:t>
      </w:r>
      <w:r w:rsidR="00117D59" w:rsidRPr="00C01336">
        <w:t>these circumstances</w:t>
      </w:r>
      <w:r w:rsidR="00FF57FA" w:rsidRPr="00C01336">
        <w:t>, we cannot conclude “beyond a reasonable doubt that the error complained of did not contribute to the verdict obtained.”  (</w:t>
      </w:r>
      <w:r w:rsidR="00FF57FA" w:rsidRPr="00C01336">
        <w:rPr>
          <w:i/>
          <w:iCs/>
        </w:rPr>
        <w:t xml:space="preserve">Chapman, </w:t>
      </w:r>
      <w:r w:rsidR="00C868C0" w:rsidRPr="00C01336">
        <w:rPr>
          <w:i/>
          <w:iCs/>
        </w:rPr>
        <w:t>supra</w:t>
      </w:r>
      <w:r w:rsidR="00C868C0" w:rsidRPr="00C01336">
        <w:t>,</w:t>
      </w:r>
      <w:r w:rsidR="009E7400" w:rsidRPr="00C01336">
        <w:t xml:space="preserve"> 386</w:t>
      </w:r>
      <w:r w:rsidR="00C2597E" w:rsidRPr="00C01336">
        <w:t> </w:t>
      </w:r>
      <w:r w:rsidR="009E7400" w:rsidRPr="00C01336">
        <w:t>U.S.</w:t>
      </w:r>
      <w:r w:rsidR="00C868C0" w:rsidRPr="00C01336">
        <w:t xml:space="preserve"> </w:t>
      </w:r>
      <w:r w:rsidR="00FF57FA" w:rsidRPr="00C01336">
        <w:t>at p.</w:t>
      </w:r>
      <w:r w:rsidR="00C2597E" w:rsidRPr="00C01336">
        <w:t> </w:t>
      </w:r>
      <w:r w:rsidR="00FF57FA" w:rsidRPr="00C01336">
        <w:t>24.)</w:t>
      </w:r>
      <w:r w:rsidR="00AA7CC6" w:rsidRPr="00C01336">
        <w:rPr>
          <w:rStyle w:val="FootnoteReference"/>
        </w:rPr>
        <w:footnoteReference w:id="11"/>
      </w:r>
      <w:r w:rsidR="00FF57FA" w:rsidRPr="00C01336">
        <w:t xml:space="preserve">  </w:t>
      </w:r>
    </w:p>
    <w:p w14:paraId="0A170107" w14:textId="32B05085" w:rsidR="004070A0" w:rsidRPr="00C01336" w:rsidRDefault="004070A0" w:rsidP="00165F80">
      <w:pPr>
        <w:pStyle w:val="Text"/>
        <w:keepNext/>
        <w:spacing w:line="400" w:lineRule="exact"/>
        <w:ind w:firstLine="0"/>
        <w:jc w:val="center"/>
      </w:pPr>
      <w:r w:rsidRPr="00C01336">
        <w:t>III. Disposition</w:t>
      </w:r>
    </w:p>
    <w:p w14:paraId="025AC825" w14:textId="58CB8D96" w:rsidR="00C57315" w:rsidRDefault="008F27DF" w:rsidP="00165F80">
      <w:pPr>
        <w:pStyle w:val="Text"/>
        <w:keepNext/>
        <w:spacing w:line="400" w:lineRule="exact"/>
        <w:ind w:firstLine="0"/>
        <w:rPr>
          <w:szCs w:val="26"/>
        </w:rPr>
      </w:pPr>
      <w:r w:rsidRPr="00C01336">
        <w:t xml:space="preserve"> </w:t>
      </w:r>
      <w:r w:rsidR="00AA7CC6" w:rsidRPr="00C01336">
        <w:tab/>
      </w:r>
      <w:r w:rsidR="00C57315" w:rsidRPr="00C01336">
        <w:t xml:space="preserve">For the </w:t>
      </w:r>
      <w:r w:rsidR="00D70488" w:rsidRPr="00C01336">
        <w:t>above</w:t>
      </w:r>
      <w:r w:rsidR="00C57315" w:rsidRPr="00C01336">
        <w:t xml:space="preserve"> reasons, </w:t>
      </w:r>
      <w:r w:rsidR="00C57315" w:rsidRPr="00C01336">
        <w:rPr>
          <w:szCs w:val="26"/>
        </w:rPr>
        <w:t>we reverse the Court of Appeal’s affirmance of Cooper’s gang enhancement.</w:t>
      </w:r>
      <w:r w:rsidR="00C57315" w:rsidRPr="00C01336">
        <w:rPr>
          <w:rStyle w:val="FootnoteReference"/>
          <w:szCs w:val="26"/>
        </w:rPr>
        <w:footnoteReference w:id="12"/>
      </w:r>
      <w:r w:rsidR="00C57315" w:rsidRPr="00C01336">
        <w:t xml:space="preserve">  Since</w:t>
      </w:r>
      <w:r w:rsidR="003F6EC7" w:rsidRPr="00C01336">
        <w:rPr>
          <w:szCs w:val="26"/>
        </w:rPr>
        <w:t xml:space="preserve"> the</w:t>
      </w:r>
      <w:r w:rsidR="00173F62" w:rsidRPr="00C01336">
        <w:rPr>
          <w:szCs w:val="26"/>
        </w:rPr>
        <w:t xml:space="preserve"> firearm </w:t>
      </w:r>
      <w:r w:rsidR="00173F62" w:rsidRPr="00C01336">
        <w:rPr>
          <w:szCs w:val="26"/>
        </w:rPr>
        <w:lastRenderedPageBreak/>
        <w:t>enhancement alleged under section 12022.53,</w:t>
      </w:r>
      <w:r w:rsidR="009A7379" w:rsidRPr="00C01336">
        <w:rPr>
          <w:szCs w:val="26"/>
        </w:rPr>
        <w:t xml:space="preserve"> </w:t>
      </w:r>
      <w:r w:rsidR="00173F62" w:rsidRPr="00C01336">
        <w:rPr>
          <w:szCs w:val="26"/>
        </w:rPr>
        <w:t xml:space="preserve">subdivision (e)(1), </w:t>
      </w:r>
      <w:r w:rsidR="003F6EC7" w:rsidRPr="00C01336">
        <w:rPr>
          <w:szCs w:val="26"/>
        </w:rPr>
        <w:t>is</w:t>
      </w:r>
      <w:r w:rsidR="00173F62" w:rsidRPr="00C01336">
        <w:rPr>
          <w:szCs w:val="26"/>
        </w:rPr>
        <w:t xml:space="preserve"> contingent on a true finding </w:t>
      </w:r>
      <w:r w:rsidR="00C57315" w:rsidRPr="00C01336">
        <w:rPr>
          <w:szCs w:val="26"/>
        </w:rPr>
        <w:t xml:space="preserve">on the gang enhancement </w:t>
      </w:r>
      <w:r w:rsidR="00173F62" w:rsidRPr="00C01336">
        <w:rPr>
          <w:szCs w:val="26"/>
        </w:rPr>
        <w:t>under</w:t>
      </w:r>
      <w:r w:rsidR="009A7379" w:rsidRPr="00C01336">
        <w:rPr>
          <w:szCs w:val="26"/>
        </w:rPr>
        <w:t xml:space="preserve"> </w:t>
      </w:r>
      <w:r w:rsidR="00173F62" w:rsidRPr="00C01336">
        <w:rPr>
          <w:szCs w:val="26"/>
        </w:rPr>
        <w:t>section 186.22</w:t>
      </w:r>
      <w:r w:rsidR="00C57315" w:rsidRPr="00C01336">
        <w:rPr>
          <w:szCs w:val="26"/>
        </w:rPr>
        <w:t>, we reverse the Court of Appeal’s affirmance of th</w:t>
      </w:r>
      <w:r w:rsidR="00DE1A89" w:rsidRPr="00C01336">
        <w:rPr>
          <w:szCs w:val="26"/>
        </w:rPr>
        <w:t>at</w:t>
      </w:r>
      <w:r w:rsidR="00C57315" w:rsidRPr="00C01336">
        <w:rPr>
          <w:szCs w:val="26"/>
        </w:rPr>
        <w:t xml:space="preserve"> firearm enhancement as well</w:t>
      </w:r>
      <w:r w:rsidR="004070A0" w:rsidRPr="00C01336">
        <w:rPr>
          <w:szCs w:val="26"/>
        </w:rPr>
        <w:t xml:space="preserve">, and remand </w:t>
      </w:r>
      <w:r w:rsidR="006523CE" w:rsidRPr="00C01336">
        <w:rPr>
          <w:szCs w:val="26"/>
        </w:rPr>
        <w:t xml:space="preserve">the case to the Court of Appeal with instructions to remand the case to the superior court </w:t>
      </w:r>
      <w:r w:rsidR="004070A0" w:rsidRPr="00C01336">
        <w:rPr>
          <w:szCs w:val="26"/>
        </w:rPr>
        <w:t>for any retrial of the same</w:t>
      </w:r>
      <w:r w:rsidR="00C57315" w:rsidRPr="00C01336">
        <w:rPr>
          <w:szCs w:val="26"/>
        </w:rPr>
        <w:t>.</w:t>
      </w:r>
      <w:r w:rsidR="00C57315" w:rsidRPr="00C01336">
        <w:t xml:space="preserve">  </w:t>
      </w:r>
      <w:r w:rsidR="00173F62" w:rsidRPr="00C01336">
        <w:rPr>
          <w:szCs w:val="26"/>
        </w:rPr>
        <w:t xml:space="preserve">(See </w:t>
      </w:r>
      <w:r w:rsidR="00173F62" w:rsidRPr="00C01336">
        <w:rPr>
          <w:i/>
          <w:iCs/>
          <w:szCs w:val="26"/>
        </w:rPr>
        <w:t>Lopez</w:t>
      </w:r>
      <w:r w:rsidR="00173F62" w:rsidRPr="00165F80">
        <w:rPr>
          <w:szCs w:val="26"/>
        </w:rPr>
        <w:t>,</w:t>
      </w:r>
      <w:r w:rsidR="00173F62" w:rsidRPr="00C01336">
        <w:rPr>
          <w:i/>
          <w:iCs/>
          <w:szCs w:val="26"/>
        </w:rPr>
        <w:t xml:space="preserve"> supra</w:t>
      </w:r>
      <w:r w:rsidR="00173F62" w:rsidRPr="00C01336">
        <w:rPr>
          <w:szCs w:val="26"/>
        </w:rPr>
        <w:t>, 73</w:t>
      </w:r>
      <w:r w:rsidR="00023F12" w:rsidRPr="00C01336">
        <w:rPr>
          <w:szCs w:val="26"/>
        </w:rPr>
        <w:t> </w:t>
      </w:r>
      <w:r w:rsidR="00173F62" w:rsidRPr="00C01336">
        <w:rPr>
          <w:szCs w:val="26"/>
        </w:rPr>
        <w:t xml:space="preserve">Cal.App.5th </w:t>
      </w:r>
      <w:r w:rsidR="000F28AB" w:rsidRPr="00C01336">
        <w:rPr>
          <w:szCs w:val="26"/>
        </w:rPr>
        <w:t>at pp.</w:t>
      </w:r>
      <w:r w:rsidR="00580370" w:rsidRPr="00C01336">
        <w:rPr>
          <w:szCs w:val="26"/>
        </w:rPr>
        <w:t> </w:t>
      </w:r>
      <w:r w:rsidR="00173F62" w:rsidRPr="00C01336">
        <w:rPr>
          <w:szCs w:val="26"/>
        </w:rPr>
        <w:t>346</w:t>
      </w:r>
      <w:r w:rsidR="00C57315" w:rsidRPr="00C01336">
        <w:rPr>
          <w:szCs w:val="26"/>
        </w:rPr>
        <w:t>–3</w:t>
      </w:r>
      <w:r w:rsidR="00173F62" w:rsidRPr="00C01336">
        <w:rPr>
          <w:szCs w:val="26"/>
        </w:rPr>
        <w:t>48</w:t>
      </w:r>
      <w:r w:rsidR="00D14E49" w:rsidRPr="00C01336">
        <w:rPr>
          <w:szCs w:val="26"/>
        </w:rPr>
        <w:t xml:space="preserve">; </w:t>
      </w:r>
      <w:r w:rsidR="00D14E49" w:rsidRPr="00C01336">
        <w:rPr>
          <w:i/>
          <w:iCs/>
          <w:szCs w:val="26"/>
        </w:rPr>
        <w:t>E.H.</w:t>
      </w:r>
      <w:r w:rsidR="00D14E49" w:rsidRPr="00165F80">
        <w:rPr>
          <w:szCs w:val="26"/>
        </w:rPr>
        <w:t>,</w:t>
      </w:r>
      <w:r w:rsidR="00D14E49" w:rsidRPr="00C01336">
        <w:rPr>
          <w:i/>
          <w:iCs/>
          <w:szCs w:val="26"/>
        </w:rPr>
        <w:t xml:space="preserve"> supra</w:t>
      </w:r>
      <w:r w:rsidR="00D14E49" w:rsidRPr="00C01336">
        <w:rPr>
          <w:szCs w:val="26"/>
        </w:rPr>
        <w:t>, 75 Cal.App.5th at p. 480 [“The proper remedy for this type of failure of proof — where newly required elements were ‘never tried’ to the jury — is to remand and give the People an opportunity to retry the affected charges”]</w:t>
      </w:r>
      <w:r w:rsidR="00173F62" w:rsidRPr="00C01336">
        <w:rPr>
          <w:szCs w:val="26"/>
        </w:rPr>
        <w:t>.)</w:t>
      </w:r>
      <w:bookmarkStart w:id="5" w:name="author"/>
      <w:bookmarkStart w:id="6" w:name="initials"/>
      <w:bookmarkEnd w:id="5"/>
      <w:bookmarkEnd w:id="6"/>
    </w:p>
    <w:p w14:paraId="1403A529" w14:textId="6AE3DE6C" w:rsidR="000D47B6" w:rsidRDefault="000D47B6" w:rsidP="000D47B6">
      <w:pPr>
        <w:pStyle w:val="Text"/>
        <w:spacing w:line="400" w:lineRule="exact"/>
        <w:ind w:firstLine="0"/>
        <w:rPr>
          <w:szCs w:val="26"/>
        </w:rPr>
      </w:pPr>
    </w:p>
    <w:p w14:paraId="128406D1" w14:textId="1762C7FA" w:rsidR="000D47B6" w:rsidRPr="00755062" w:rsidRDefault="000D47B6" w:rsidP="000D47B6">
      <w:pPr>
        <w:pStyle w:val="Text"/>
        <w:spacing w:line="400" w:lineRule="exact"/>
        <w:ind w:right="-360" w:firstLine="0"/>
        <w:jc w:val="center"/>
        <w:rPr>
          <w:szCs w:val="27"/>
        </w:rPr>
      </w:pPr>
      <w:r>
        <w:rPr>
          <w:b/>
          <w:smallCaps/>
          <w:szCs w:val="27"/>
        </w:rPr>
        <w:tab/>
      </w:r>
      <w:r>
        <w:rPr>
          <w:b/>
          <w:smallCaps/>
          <w:szCs w:val="27"/>
        </w:rPr>
        <w:tab/>
      </w:r>
      <w:r>
        <w:rPr>
          <w:b/>
          <w:smallCaps/>
          <w:szCs w:val="27"/>
        </w:rPr>
        <w:tab/>
      </w:r>
      <w:r>
        <w:rPr>
          <w:b/>
          <w:smallCaps/>
          <w:szCs w:val="27"/>
        </w:rPr>
        <w:tab/>
      </w:r>
      <w:r>
        <w:rPr>
          <w:b/>
          <w:smallCaps/>
          <w:szCs w:val="27"/>
        </w:rPr>
        <w:tab/>
      </w:r>
      <w:r w:rsidRPr="00755062">
        <w:rPr>
          <w:b/>
          <w:smallCaps/>
          <w:szCs w:val="27"/>
        </w:rPr>
        <w:t>GROBAN, J.</w:t>
      </w:r>
    </w:p>
    <w:p w14:paraId="6E064B4D" w14:textId="77777777" w:rsidR="000D47B6" w:rsidRDefault="000D47B6" w:rsidP="000D47B6">
      <w:pPr>
        <w:rPr>
          <w:b/>
        </w:rPr>
      </w:pPr>
    </w:p>
    <w:p w14:paraId="5D6EF470" w14:textId="77777777" w:rsidR="00872FDF" w:rsidRPr="00077BAA" w:rsidRDefault="00872FDF" w:rsidP="00872FDF">
      <w:pPr>
        <w:rPr>
          <w:b/>
        </w:rPr>
      </w:pPr>
      <w:r w:rsidRPr="00077BAA">
        <w:rPr>
          <w:b/>
        </w:rPr>
        <w:t>We Concur:</w:t>
      </w:r>
    </w:p>
    <w:p w14:paraId="04A45DAF" w14:textId="77777777" w:rsidR="00872FDF" w:rsidRPr="00077BAA" w:rsidRDefault="00872FDF" w:rsidP="00872FDF">
      <w:pPr>
        <w:spacing w:after="0" w:line="240" w:lineRule="auto"/>
        <w:jc w:val="left"/>
        <w:rPr>
          <w:b/>
        </w:rPr>
      </w:pPr>
      <w:r w:rsidRPr="00077BAA">
        <w:rPr>
          <w:b/>
        </w:rPr>
        <w:t>GUERRERO, C.</w:t>
      </w:r>
      <w:r>
        <w:rPr>
          <w:b/>
        </w:rPr>
        <w:t> </w:t>
      </w:r>
      <w:r w:rsidRPr="00077BAA">
        <w:rPr>
          <w:b/>
        </w:rPr>
        <w:t>J.</w:t>
      </w:r>
    </w:p>
    <w:p w14:paraId="30AAB2C1" w14:textId="77777777" w:rsidR="00872FDF" w:rsidRPr="00077BAA" w:rsidRDefault="00872FDF" w:rsidP="00872FDF">
      <w:pPr>
        <w:spacing w:after="0" w:line="240" w:lineRule="auto"/>
        <w:rPr>
          <w:b/>
          <w:lang w:val="it-IT"/>
        </w:rPr>
      </w:pPr>
      <w:r w:rsidRPr="00077BAA">
        <w:rPr>
          <w:b/>
          <w:lang w:val="it-IT"/>
        </w:rPr>
        <w:t>CORRIGAN, J.</w:t>
      </w:r>
    </w:p>
    <w:p w14:paraId="1F986816" w14:textId="77777777" w:rsidR="00872FDF" w:rsidRPr="00077BAA" w:rsidRDefault="00872FDF" w:rsidP="00872FDF">
      <w:pPr>
        <w:spacing w:after="0" w:line="240" w:lineRule="auto"/>
        <w:jc w:val="left"/>
        <w:rPr>
          <w:b/>
        </w:rPr>
      </w:pPr>
      <w:r>
        <w:rPr>
          <w:b/>
        </w:rPr>
        <w:t>LIU</w:t>
      </w:r>
      <w:r w:rsidRPr="00077BAA">
        <w:rPr>
          <w:b/>
        </w:rPr>
        <w:t>, J.</w:t>
      </w:r>
    </w:p>
    <w:p w14:paraId="34DDE2E5" w14:textId="77777777" w:rsidR="00872FDF" w:rsidRPr="00077BAA" w:rsidRDefault="00872FDF" w:rsidP="00872FDF">
      <w:pPr>
        <w:spacing w:after="0" w:line="240" w:lineRule="auto"/>
        <w:jc w:val="left"/>
        <w:rPr>
          <w:b/>
          <w:lang w:val="it-IT"/>
        </w:rPr>
      </w:pPr>
      <w:r w:rsidRPr="00077BAA">
        <w:rPr>
          <w:b/>
          <w:lang w:val="it-IT"/>
        </w:rPr>
        <w:t>KRUGER, J.</w:t>
      </w:r>
    </w:p>
    <w:p w14:paraId="3F5628EF" w14:textId="77777777" w:rsidR="00872FDF" w:rsidRPr="00077BAA" w:rsidRDefault="00872FDF" w:rsidP="00872FDF">
      <w:pPr>
        <w:spacing w:after="0" w:line="240" w:lineRule="auto"/>
        <w:jc w:val="left"/>
        <w:rPr>
          <w:b/>
        </w:rPr>
      </w:pPr>
      <w:r w:rsidRPr="00077BAA">
        <w:rPr>
          <w:b/>
        </w:rPr>
        <w:t>JENKINS, J.</w:t>
      </w:r>
    </w:p>
    <w:p w14:paraId="42D8CED8" w14:textId="7EF49EA1" w:rsidR="000D47B6" w:rsidRDefault="00872FDF" w:rsidP="002771A4">
      <w:pPr>
        <w:pStyle w:val="Text"/>
        <w:spacing w:after="0" w:line="240" w:lineRule="auto"/>
        <w:ind w:firstLine="0"/>
        <w:rPr>
          <w:b/>
        </w:rPr>
      </w:pPr>
      <w:r>
        <w:rPr>
          <w:b/>
          <w:lang w:val="it-IT"/>
        </w:rPr>
        <w:t>EVANS</w:t>
      </w:r>
      <w:r w:rsidRPr="00077BAA">
        <w:rPr>
          <w:b/>
        </w:rPr>
        <w:t>,</w:t>
      </w:r>
      <w:r>
        <w:rPr>
          <w:b/>
        </w:rPr>
        <w:t xml:space="preserve"> J.</w:t>
      </w:r>
    </w:p>
    <w:p w14:paraId="54D8E166" w14:textId="77777777" w:rsidR="003A6833" w:rsidRDefault="003A6833" w:rsidP="00872FDF">
      <w:pPr>
        <w:pStyle w:val="Text"/>
        <w:spacing w:line="400" w:lineRule="exact"/>
        <w:ind w:firstLine="0"/>
        <w:sectPr w:rsidR="003A6833" w:rsidSect="00235FB0">
          <w:footerReference w:type="first" r:id="rId10"/>
          <w:pgSz w:w="12240" w:h="15840"/>
          <w:pgMar w:top="1800" w:right="2160" w:bottom="1440" w:left="2160" w:header="720" w:footer="720" w:gutter="0"/>
          <w:pgNumType w:start="1"/>
          <w:cols w:space="720"/>
          <w:titlePg/>
          <w:docGrid w:linePitch="367"/>
        </w:sectPr>
      </w:pPr>
    </w:p>
    <w:p w14:paraId="5481CC8E" w14:textId="77777777" w:rsidR="003A6833" w:rsidRPr="003A6833" w:rsidRDefault="003A6833" w:rsidP="003A6833">
      <w:pPr>
        <w:spacing w:after="0" w:line="240" w:lineRule="auto"/>
        <w:jc w:val="left"/>
        <w:rPr>
          <w:i/>
          <w:sz w:val="24"/>
          <w:szCs w:val="24"/>
        </w:rPr>
      </w:pPr>
      <w:r w:rsidRPr="003A6833">
        <w:rPr>
          <w:i/>
          <w:sz w:val="24"/>
          <w:szCs w:val="24"/>
        </w:rPr>
        <w:lastRenderedPageBreak/>
        <w:t>See next page for addresses and telephone numbers for counsel who argued in Supreme Court.</w:t>
      </w:r>
    </w:p>
    <w:p w14:paraId="12913CAE" w14:textId="77777777" w:rsidR="003A6833" w:rsidRPr="003A6833" w:rsidRDefault="003A6833" w:rsidP="003A6833">
      <w:pPr>
        <w:spacing w:after="0" w:line="240" w:lineRule="auto"/>
        <w:jc w:val="left"/>
        <w:rPr>
          <w:i/>
          <w:sz w:val="24"/>
          <w:szCs w:val="24"/>
        </w:rPr>
      </w:pPr>
    </w:p>
    <w:p w14:paraId="68D19190" w14:textId="77777777" w:rsidR="003A6833" w:rsidRPr="003A6833" w:rsidRDefault="003A6833" w:rsidP="003A6833">
      <w:pPr>
        <w:spacing w:after="0" w:line="240" w:lineRule="auto"/>
        <w:jc w:val="left"/>
        <w:rPr>
          <w:bCs/>
          <w:sz w:val="24"/>
          <w:szCs w:val="24"/>
        </w:rPr>
      </w:pPr>
      <w:r w:rsidRPr="003A6833">
        <w:rPr>
          <w:b/>
          <w:sz w:val="24"/>
          <w:szCs w:val="24"/>
        </w:rPr>
        <w:t xml:space="preserve">Name of Opinion  </w:t>
      </w:r>
      <w:r w:rsidRPr="003A6833">
        <w:rPr>
          <w:bCs/>
          <w:sz w:val="24"/>
          <w:szCs w:val="24"/>
        </w:rPr>
        <w:t>People v. Cooper</w:t>
      </w:r>
    </w:p>
    <w:p w14:paraId="4ACA1D8D" w14:textId="77777777" w:rsidR="003A6833" w:rsidRPr="003A6833" w:rsidRDefault="003A6833" w:rsidP="003A6833">
      <w:pPr>
        <w:spacing w:after="0" w:line="240" w:lineRule="auto"/>
        <w:jc w:val="left"/>
        <w:rPr>
          <w:b/>
          <w:sz w:val="24"/>
          <w:szCs w:val="24"/>
        </w:rPr>
      </w:pPr>
      <w:r w:rsidRPr="003A6833">
        <w:rPr>
          <w:b/>
          <w:sz w:val="24"/>
          <w:szCs w:val="24"/>
        </w:rPr>
        <w:t xml:space="preserve">__________________________________________________________ </w:t>
      </w:r>
    </w:p>
    <w:p w14:paraId="46DC74B4" w14:textId="77777777" w:rsidR="003A6833" w:rsidRPr="003A6833" w:rsidRDefault="003A6833" w:rsidP="003A6833">
      <w:pPr>
        <w:spacing w:after="0" w:line="240" w:lineRule="auto"/>
        <w:jc w:val="left"/>
        <w:rPr>
          <w:b/>
          <w:sz w:val="24"/>
          <w:szCs w:val="24"/>
        </w:rPr>
      </w:pPr>
    </w:p>
    <w:p w14:paraId="1275E600" w14:textId="77777777" w:rsidR="003A6833" w:rsidRPr="003A6833" w:rsidRDefault="003A6833" w:rsidP="003A6833">
      <w:pPr>
        <w:spacing w:after="0" w:line="240" w:lineRule="auto"/>
        <w:jc w:val="left"/>
        <w:rPr>
          <w:sz w:val="24"/>
          <w:szCs w:val="24"/>
        </w:rPr>
      </w:pPr>
      <w:r w:rsidRPr="003A6833">
        <w:rPr>
          <w:b/>
          <w:bCs/>
          <w:sz w:val="24"/>
          <w:szCs w:val="24"/>
          <w:u w:val="single"/>
        </w:rPr>
        <w:t>Procedural Posture</w:t>
      </w:r>
      <w:r w:rsidRPr="003A6833">
        <w:rPr>
          <w:b/>
          <w:bCs/>
          <w:sz w:val="24"/>
          <w:szCs w:val="24"/>
        </w:rPr>
        <w:t xml:space="preserve"> </w:t>
      </w:r>
      <w:r w:rsidRPr="003A6833">
        <w:rPr>
          <w:sz w:val="24"/>
          <w:szCs w:val="24"/>
        </w:rPr>
        <w:t>(see XX below)</w:t>
      </w:r>
    </w:p>
    <w:p w14:paraId="500541DA" w14:textId="77777777" w:rsidR="003A6833" w:rsidRPr="003A6833" w:rsidRDefault="003A6833" w:rsidP="003A6833">
      <w:pPr>
        <w:spacing w:after="0" w:line="240" w:lineRule="auto"/>
        <w:jc w:val="left"/>
        <w:rPr>
          <w:sz w:val="24"/>
          <w:szCs w:val="24"/>
        </w:rPr>
      </w:pPr>
      <w:r w:rsidRPr="003A6833">
        <w:rPr>
          <w:b/>
          <w:bCs/>
          <w:sz w:val="24"/>
          <w:szCs w:val="24"/>
        </w:rPr>
        <w:t>Original Appeal</w:t>
      </w:r>
      <w:r w:rsidRPr="003A6833">
        <w:rPr>
          <w:sz w:val="24"/>
          <w:szCs w:val="24"/>
        </w:rPr>
        <w:t xml:space="preserve"> </w:t>
      </w:r>
    </w:p>
    <w:p w14:paraId="74BC1658" w14:textId="77777777" w:rsidR="003A6833" w:rsidRPr="003A6833" w:rsidRDefault="003A6833" w:rsidP="003A6833">
      <w:pPr>
        <w:spacing w:after="0" w:line="240" w:lineRule="auto"/>
        <w:jc w:val="left"/>
        <w:rPr>
          <w:b/>
          <w:bCs/>
          <w:sz w:val="24"/>
          <w:szCs w:val="24"/>
        </w:rPr>
      </w:pPr>
      <w:r w:rsidRPr="003A6833">
        <w:rPr>
          <w:b/>
          <w:bCs/>
          <w:sz w:val="24"/>
          <w:szCs w:val="24"/>
        </w:rPr>
        <w:t>Original Proceeding</w:t>
      </w:r>
    </w:p>
    <w:p w14:paraId="6EB2191D" w14:textId="77777777" w:rsidR="003A6833" w:rsidRPr="003A6833" w:rsidRDefault="003A6833" w:rsidP="003A6833">
      <w:pPr>
        <w:spacing w:after="0" w:line="240" w:lineRule="auto"/>
        <w:jc w:val="left"/>
        <w:rPr>
          <w:sz w:val="24"/>
          <w:szCs w:val="24"/>
        </w:rPr>
      </w:pPr>
      <w:r w:rsidRPr="003A6833">
        <w:rPr>
          <w:b/>
          <w:bCs/>
          <w:sz w:val="24"/>
          <w:szCs w:val="24"/>
        </w:rPr>
        <w:t>Review Granted</w:t>
      </w:r>
      <w:r w:rsidRPr="003A6833">
        <w:rPr>
          <w:sz w:val="24"/>
          <w:szCs w:val="24"/>
        </w:rPr>
        <w:t xml:space="preserve"> </w:t>
      </w:r>
      <w:r w:rsidRPr="003A6833">
        <w:rPr>
          <w:b/>
          <w:bCs/>
          <w:sz w:val="24"/>
          <w:szCs w:val="24"/>
        </w:rPr>
        <w:t>(published)</w:t>
      </w:r>
    </w:p>
    <w:p w14:paraId="417A6426" w14:textId="77777777" w:rsidR="003A6833" w:rsidRPr="003A6833" w:rsidRDefault="003A6833" w:rsidP="003A6833">
      <w:pPr>
        <w:spacing w:after="0" w:line="240" w:lineRule="auto"/>
        <w:jc w:val="left"/>
        <w:rPr>
          <w:sz w:val="24"/>
          <w:szCs w:val="24"/>
        </w:rPr>
      </w:pPr>
      <w:r w:rsidRPr="003A6833">
        <w:rPr>
          <w:b/>
          <w:bCs/>
          <w:sz w:val="24"/>
          <w:szCs w:val="24"/>
        </w:rPr>
        <w:t xml:space="preserve">Review Granted (unpublished) </w:t>
      </w:r>
      <w:r w:rsidRPr="003A6833">
        <w:rPr>
          <w:sz w:val="24"/>
          <w:szCs w:val="24"/>
        </w:rPr>
        <w:t>XX NP opn. filed 1/14/22 – 2d Dist., Div. 6</w:t>
      </w:r>
    </w:p>
    <w:p w14:paraId="0F60CDF7" w14:textId="77777777" w:rsidR="003A6833" w:rsidRPr="003A6833" w:rsidRDefault="003A6833" w:rsidP="003A6833">
      <w:pPr>
        <w:spacing w:after="0" w:line="240" w:lineRule="auto"/>
        <w:jc w:val="left"/>
        <w:rPr>
          <w:b/>
          <w:bCs/>
          <w:sz w:val="24"/>
          <w:szCs w:val="24"/>
        </w:rPr>
      </w:pPr>
      <w:r w:rsidRPr="003A6833">
        <w:rPr>
          <w:b/>
          <w:bCs/>
          <w:sz w:val="24"/>
          <w:szCs w:val="24"/>
        </w:rPr>
        <w:t>Rehearing Granted</w:t>
      </w:r>
    </w:p>
    <w:p w14:paraId="0FCA2D23" w14:textId="77777777" w:rsidR="003A6833" w:rsidRPr="003A6833" w:rsidRDefault="003A6833" w:rsidP="003A6833">
      <w:pPr>
        <w:spacing w:after="0" w:line="240" w:lineRule="auto"/>
        <w:jc w:val="left"/>
        <w:rPr>
          <w:b/>
          <w:sz w:val="24"/>
          <w:szCs w:val="24"/>
        </w:rPr>
      </w:pPr>
      <w:r w:rsidRPr="003A6833">
        <w:rPr>
          <w:b/>
          <w:sz w:val="24"/>
          <w:szCs w:val="24"/>
        </w:rPr>
        <w:t xml:space="preserve">__________________________________________________________ </w:t>
      </w:r>
    </w:p>
    <w:p w14:paraId="5A32583A" w14:textId="77777777" w:rsidR="003A6833" w:rsidRPr="003A6833" w:rsidRDefault="003A6833" w:rsidP="003A6833">
      <w:pPr>
        <w:spacing w:after="0" w:line="240" w:lineRule="auto"/>
        <w:jc w:val="left"/>
        <w:rPr>
          <w:b/>
          <w:sz w:val="24"/>
          <w:szCs w:val="24"/>
        </w:rPr>
      </w:pPr>
    </w:p>
    <w:p w14:paraId="586F91F8" w14:textId="77777777" w:rsidR="003A6833" w:rsidRPr="003A6833" w:rsidRDefault="003A6833" w:rsidP="003A6833">
      <w:pPr>
        <w:spacing w:after="0" w:line="240" w:lineRule="auto"/>
        <w:jc w:val="left"/>
        <w:rPr>
          <w:bCs/>
          <w:sz w:val="24"/>
          <w:szCs w:val="24"/>
        </w:rPr>
      </w:pPr>
      <w:r w:rsidRPr="003A6833">
        <w:rPr>
          <w:b/>
          <w:sz w:val="24"/>
          <w:szCs w:val="24"/>
        </w:rPr>
        <w:t>Opinion No.</w:t>
      </w:r>
      <w:r w:rsidRPr="003A6833">
        <w:rPr>
          <w:sz w:val="24"/>
          <w:szCs w:val="24"/>
        </w:rPr>
        <w:t xml:space="preserve"> S273134</w:t>
      </w:r>
    </w:p>
    <w:p w14:paraId="4B3FBC52" w14:textId="77777777" w:rsidR="003A6833" w:rsidRPr="003A6833" w:rsidRDefault="003A6833" w:rsidP="003A6833">
      <w:pPr>
        <w:spacing w:after="0" w:line="240" w:lineRule="auto"/>
        <w:jc w:val="left"/>
        <w:rPr>
          <w:bCs/>
          <w:sz w:val="24"/>
          <w:szCs w:val="24"/>
        </w:rPr>
      </w:pPr>
      <w:r w:rsidRPr="003A6833">
        <w:rPr>
          <w:b/>
          <w:sz w:val="24"/>
          <w:szCs w:val="24"/>
        </w:rPr>
        <w:t>Date Filed:</w:t>
      </w:r>
      <w:r w:rsidRPr="003A6833">
        <w:rPr>
          <w:sz w:val="24"/>
          <w:szCs w:val="24"/>
        </w:rPr>
        <w:t xml:space="preserve">  May 25, 2023</w:t>
      </w:r>
    </w:p>
    <w:p w14:paraId="67287ED6" w14:textId="77777777" w:rsidR="003A6833" w:rsidRPr="003A6833" w:rsidRDefault="003A6833" w:rsidP="003A6833">
      <w:pPr>
        <w:spacing w:after="0" w:line="240" w:lineRule="auto"/>
        <w:jc w:val="left"/>
        <w:rPr>
          <w:b/>
          <w:sz w:val="24"/>
          <w:szCs w:val="24"/>
        </w:rPr>
      </w:pPr>
      <w:r w:rsidRPr="003A6833">
        <w:rPr>
          <w:b/>
          <w:sz w:val="24"/>
          <w:szCs w:val="24"/>
        </w:rPr>
        <w:t xml:space="preserve">__________________________________________________________ </w:t>
      </w:r>
    </w:p>
    <w:p w14:paraId="1796CAE9" w14:textId="77777777" w:rsidR="003A6833" w:rsidRPr="003A6833" w:rsidRDefault="003A6833" w:rsidP="003A6833">
      <w:pPr>
        <w:spacing w:after="0" w:line="240" w:lineRule="auto"/>
        <w:jc w:val="left"/>
        <w:rPr>
          <w:b/>
          <w:sz w:val="24"/>
          <w:szCs w:val="24"/>
        </w:rPr>
      </w:pPr>
    </w:p>
    <w:p w14:paraId="0EF30718" w14:textId="77777777" w:rsidR="003A6833" w:rsidRPr="003A6833" w:rsidRDefault="003A6833" w:rsidP="003A6833">
      <w:pPr>
        <w:spacing w:after="0" w:line="240" w:lineRule="auto"/>
        <w:jc w:val="left"/>
        <w:rPr>
          <w:bCs/>
          <w:sz w:val="24"/>
          <w:szCs w:val="24"/>
        </w:rPr>
      </w:pPr>
      <w:r w:rsidRPr="003A6833">
        <w:rPr>
          <w:b/>
          <w:sz w:val="24"/>
          <w:szCs w:val="24"/>
        </w:rPr>
        <w:t xml:space="preserve">Court:  </w:t>
      </w:r>
      <w:r w:rsidRPr="003A6833">
        <w:rPr>
          <w:bCs/>
          <w:sz w:val="24"/>
          <w:szCs w:val="24"/>
        </w:rPr>
        <w:t>Superior</w:t>
      </w:r>
      <w:r w:rsidRPr="003A6833">
        <w:rPr>
          <w:b/>
          <w:sz w:val="24"/>
          <w:szCs w:val="24"/>
        </w:rPr>
        <w:t xml:space="preserve"> </w:t>
      </w:r>
    </w:p>
    <w:p w14:paraId="1C63CAE9" w14:textId="77777777" w:rsidR="003A6833" w:rsidRPr="003A6833" w:rsidRDefault="003A6833" w:rsidP="003A6833">
      <w:pPr>
        <w:spacing w:after="0" w:line="240" w:lineRule="auto"/>
        <w:jc w:val="left"/>
        <w:rPr>
          <w:bCs/>
          <w:sz w:val="24"/>
          <w:szCs w:val="24"/>
        </w:rPr>
      </w:pPr>
      <w:r w:rsidRPr="003A6833">
        <w:rPr>
          <w:b/>
          <w:sz w:val="24"/>
          <w:szCs w:val="24"/>
        </w:rPr>
        <w:t xml:space="preserve">County:  </w:t>
      </w:r>
      <w:r w:rsidRPr="003A6833">
        <w:rPr>
          <w:bCs/>
          <w:sz w:val="24"/>
          <w:szCs w:val="24"/>
        </w:rPr>
        <w:t>Los Angeles</w:t>
      </w:r>
    </w:p>
    <w:p w14:paraId="3B6C000C" w14:textId="77777777" w:rsidR="003A6833" w:rsidRPr="003A6833" w:rsidRDefault="003A6833" w:rsidP="003A6833">
      <w:pPr>
        <w:spacing w:after="0" w:line="240" w:lineRule="auto"/>
        <w:ind w:left="720" w:hanging="720"/>
        <w:jc w:val="left"/>
        <w:rPr>
          <w:bCs/>
          <w:sz w:val="24"/>
          <w:szCs w:val="24"/>
        </w:rPr>
      </w:pPr>
      <w:r w:rsidRPr="003A6833">
        <w:rPr>
          <w:b/>
          <w:sz w:val="24"/>
          <w:szCs w:val="24"/>
        </w:rPr>
        <w:t xml:space="preserve">Judge: </w:t>
      </w:r>
      <w:r w:rsidRPr="003A6833">
        <w:rPr>
          <w:bCs/>
          <w:sz w:val="24"/>
          <w:szCs w:val="24"/>
        </w:rPr>
        <w:t xml:space="preserve"> Allen Joseph Webster, Jr.</w:t>
      </w:r>
    </w:p>
    <w:p w14:paraId="394A9710" w14:textId="77777777" w:rsidR="003A6833" w:rsidRPr="003A6833" w:rsidRDefault="003A6833" w:rsidP="003A6833">
      <w:pPr>
        <w:spacing w:after="0" w:line="240" w:lineRule="auto"/>
        <w:jc w:val="left"/>
        <w:rPr>
          <w:b/>
          <w:sz w:val="24"/>
          <w:szCs w:val="24"/>
        </w:rPr>
      </w:pPr>
      <w:r w:rsidRPr="003A6833">
        <w:rPr>
          <w:b/>
          <w:sz w:val="24"/>
          <w:szCs w:val="24"/>
        </w:rPr>
        <w:t xml:space="preserve">__________________________________________________________  </w:t>
      </w:r>
    </w:p>
    <w:p w14:paraId="7D921E52" w14:textId="77777777" w:rsidR="003A6833" w:rsidRPr="003A6833" w:rsidRDefault="003A6833" w:rsidP="003A6833">
      <w:pPr>
        <w:spacing w:after="0" w:line="240" w:lineRule="auto"/>
        <w:jc w:val="left"/>
        <w:rPr>
          <w:b/>
          <w:sz w:val="24"/>
          <w:szCs w:val="24"/>
        </w:rPr>
      </w:pPr>
    </w:p>
    <w:p w14:paraId="69A22400" w14:textId="77777777" w:rsidR="003A6833" w:rsidRPr="003A6833" w:rsidRDefault="003A6833" w:rsidP="003A6833">
      <w:pPr>
        <w:spacing w:after="0" w:line="240" w:lineRule="auto"/>
        <w:jc w:val="left"/>
        <w:rPr>
          <w:b/>
          <w:sz w:val="24"/>
          <w:szCs w:val="24"/>
        </w:rPr>
      </w:pPr>
      <w:r w:rsidRPr="003A6833">
        <w:rPr>
          <w:b/>
          <w:sz w:val="24"/>
          <w:szCs w:val="24"/>
        </w:rPr>
        <w:t>Counsel:</w:t>
      </w:r>
    </w:p>
    <w:p w14:paraId="0C4C09B7" w14:textId="77777777" w:rsidR="003A6833" w:rsidRPr="003A6833" w:rsidRDefault="003A6833" w:rsidP="003A6833">
      <w:pPr>
        <w:spacing w:after="0" w:line="240" w:lineRule="auto"/>
        <w:jc w:val="left"/>
        <w:rPr>
          <w:bCs/>
          <w:sz w:val="24"/>
          <w:szCs w:val="24"/>
        </w:rPr>
      </w:pPr>
    </w:p>
    <w:p w14:paraId="5C1D72AB" w14:textId="77777777" w:rsidR="003A6833" w:rsidRPr="003A6833" w:rsidRDefault="003A6833" w:rsidP="003A6833">
      <w:pPr>
        <w:spacing w:after="0" w:line="240" w:lineRule="auto"/>
        <w:jc w:val="left"/>
        <w:rPr>
          <w:color w:val="212121"/>
          <w:sz w:val="24"/>
          <w:szCs w:val="24"/>
          <w:shd w:val="clear" w:color="auto" w:fill="FFFFFF"/>
        </w:rPr>
      </w:pPr>
      <w:r w:rsidRPr="003A6833">
        <w:rPr>
          <w:color w:val="212121"/>
          <w:sz w:val="24"/>
          <w:szCs w:val="24"/>
          <w:shd w:val="clear" w:color="auto" w:fill="FFFFFF"/>
        </w:rPr>
        <w:t>Elizabeth K. Horowitz, under appointment by the Supreme Court, for Defendant and Appellant.</w:t>
      </w:r>
    </w:p>
    <w:p w14:paraId="70C4E502" w14:textId="77777777" w:rsidR="003A6833" w:rsidRPr="003A6833" w:rsidRDefault="003A6833" w:rsidP="003A6833">
      <w:pPr>
        <w:spacing w:after="0" w:line="240" w:lineRule="auto"/>
        <w:jc w:val="left"/>
        <w:rPr>
          <w:color w:val="212121"/>
          <w:sz w:val="24"/>
          <w:szCs w:val="24"/>
          <w:shd w:val="clear" w:color="auto" w:fill="FFFFFF"/>
        </w:rPr>
      </w:pPr>
    </w:p>
    <w:p w14:paraId="4C92643A" w14:textId="77777777" w:rsidR="003A6833" w:rsidRPr="003A6833" w:rsidRDefault="003A6833" w:rsidP="003A6833">
      <w:pPr>
        <w:spacing w:after="0" w:line="240" w:lineRule="auto"/>
        <w:jc w:val="left"/>
        <w:rPr>
          <w:color w:val="212121"/>
          <w:sz w:val="24"/>
          <w:szCs w:val="24"/>
          <w:shd w:val="clear" w:color="auto" w:fill="FFFFFF"/>
        </w:rPr>
      </w:pPr>
      <w:r w:rsidRPr="003A6833">
        <w:rPr>
          <w:color w:val="212121"/>
          <w:sz w:val="24"/>
          <w:szCs w:val="24"/>
          <w:shd w:val="clear" w:color="auto" w:fill="FFFFFF"/>
        </w:rPr>
        <w:t>Rob Bonta, Attorney General, Lance E. Winters, Chief Assistant Attorney General, Susan Sullivan Pithey, Assistant Attorney General, Michael C. Keller, Idan Ivri and Charles S. Lee, Deputy Attorneys General, for Plaintiff and Respondent.</w:t>
      </w:r>
    </w:p>
    <w:p w14:paraId="271BF17E" w14:textId="77777777" w:rsidR="003A6833" w:rsidRPr="003A6833" w:rsidRDefault="003A6833" w:rsidP="003A6833">
      <w:pPr>
        <w:spacing w:after="0" w:line="240" w:lineRule="auto"/>
        <w:jc w:val="left"/>
        <w:rPr>
          <w:color w:val="212121"/>
          <w:sz w:val="24"/>
          <w:szCs w:val="24"/>
          <w:shd w:val="clear" w:color="auto" w:fill="FFFFFF"/>
        </w:rPr>
      </w:pPr>
    </w:p>
    <w:p w14:paraId="760C423E" w14:textId="77777777" w:rsidR="003A6833" w:rsidRPr="003A6833" w:rsidRDefault="003A6833" w:rsidP="003A6833">
      <w:pPr>
        <w:spacing w:after="0" w:line="240" w:lineRule="auto"/>
        <w:jc w:val="left"/>
        <w:rPr>
          <w:b/>
          <w:sz w:val="24"/>
          <w:szCs w:val="24"/>
        </w:rPr>
      </w:pPr>
      <w:r w:rsidRPr="003A6833">
        <w:rPr>
          <w:color w:val="212121"/>
          <w:sz w:val="24"/>
          <w:szCs w:val="24"/>
          <w:shd w:val="clear" w:color="auto" w:fill="FFFFFF"/>
        </w:rPr>
        <w:br w:type="page"/>
      </w:r>
      <w:r w:rsidRPr="003A6833">
        <w:rPr>
          <w:b/>
          <w:sz w:val="24"/>
          <w:szCs w:val="24"/>
        </w:rPr>
        <w:lastRenderedPageBreak/>
        <w:t>Counsel who argued in Supreme Court (not intended for publication with opinion):</w:t>
      </w:r>
    </w:p>
    <w:p w14:paraId="4F562BB3" w14:textId="77777777" w:rsidR="003A6833" w:rsidRPr="003A6833" w:rsidRDefault="003A6833" w:rsidP="003A6833">
      <w:pPr>
        <w:spacing w:after="0" w:line="240" w:lineRule="auto"/>
        <w:jc w:val="left"/>
        <w:rPr>
          <w:b/>
          <w:sz w:val="24"/>
          <w:szCs w:val="24"/>
        </w:rPr>
      </w:pPr>
    </w:p>
    <w:p w14:paraId="37D75083" w14:textId="77777777" w:rsidR="003A6833" w:rsidRPr="003A6833" w:rsidRDefault="003A6833" w:rsidP="003A6833">
      <w:pPr>
        <w:spacing w:after="0" w:line="240" w:lineRule="auto"/>
        <w:jc w:val="left"/>
        <w:rPr>
          <w:sz w:val="24"/>
          <w:szCs w:val="24"/>
        </w:rPr>
      </w:pPr>
      <w:r w:rsidRPr="003A6833">
        <w:rPr>
          <w:sz w:val="24"/>
          <w:szCs w:val="24"/>
        </w:rPr>
        <w:t>Elizabeth K. Horowitz</w:t>
      </w:r>
    </w:p>
    <w:p w14:paraId="5A388D4D" w14:textId="77777777" w:rsidR="003A6833" w:rsidRPr="003A6833" w:rsidRDefault="003A6833" w:rsidP="003A6833">
      <w:pPr>
        <w:spacing w:after="0" w:line="240" w:lineRule="auto"/>
        <w:jc w:val="left"/>
        <w:rPr>
          <w:sz w:val="24"/>
          <w:szCs w:val="24"/>
        </w:rPr>
      </w:pPr>
      <w:r w:rsidRPr="003A6833">
        <w:rPr>
          <w:sz w:val="24"/>
          <w:szCs w:val="24"/>
        </w:rPr>
        <w:t>Law Office of Elizabeth K. Horowitz, Inc.</w:t>
      </w:r>
    </w:p>
    <w:p w14:paraId="4691A966" w14:textId="77777777" w:rsidR="003A6833" w:rsidRPr="003A6833" w:rsidRDefault="003A6833" w:rsidP="003A6833">
      <w:pPr>
        <w:spacing w:after="0" w:line="240" w:lineRule="auto"/>
        <w:jc w:val="left"/>
        <w:rPr>
          <w:sz w:val="24"/>
          <w:szCs w:val="24"/>
        </w:rPr>
      </w:pPr>
      <w:r w:rsidRPr="003A6833">
        <w:rPr>
          <w:sz w:val="24"/>
          <w:szCs w:val="24"/>
        </w:rPr>
        <w:t>5272 South Lewis Avenue, Suite 256</w:t>
      </w:r>
    </w:p>
    <w:p w14:paraId="5D1C9382" w14:textId="77777777" w:rsidR="003A6833" w:rsidRPr="003A6833" w:rsidRDefault="003A6833" w:rsidP="003A6833">
      <w:pPr>
        <w:spacing w:after="0" w:line="240" w:lineRule="auto"/>
        <w:jc w:val="left"/>
        <w:rPr>
          <w:sz w:val="24"/>
          <w:szCs w:val="24"/>
        </w:rPr>
      </w:pPr>
      <w:r w:rsidRPr="003A6833">
        <w:rPr>
          <w:sz w:val="24"/>
          <w:szCs w:val="24"/>
        </w:rPr>
        <w:t>Tulsa, OK 74105</w:t>
      </w:r>
    </w:p>
    <w:p w14:paraId="2C53B9D2" w14:textId="77777777" w:rsidR="003A6833" w:rsidRPr="003A6833" w:rsidRDefault="003A6833" w:rsidP="003A6833">
      <w:pPr>
        <w:spacing w:after="0" w:line="240" w:lineRule="auto"/>
        <w:jc w:val="left"/>
        <w:rPr>
          <w:sz w:val="24"/>
          <w:szCs w:val="24"/>
        </w:rPr>
      </w:pPr>
      <w:r w:rsidRPr="003A6833">
        <w:rPr>
          <w:sz w:val="24"/>
          <w:szCs w:val="24"/>
        </w:rPr>
        <w:t>(424) 543-4710</w:t>
      </w:r>
    </w:p>
    <w:p w14:paraId="230C6DBB" w14:textId="77777777" w:rsidR="003A6833" w:rsidRPr="003A6833" w:rsidRDefault="003A6833" w:rsidP="003A6833">
      <w:pPr>
        <w:spacing w:after="0" w:line="240" w:lineRule="auto"/>
        <w:jc w:val="left"/>
        <w:rPr>
          <w:sz w:val="24"/>
          <w:szCs w:val="24"/>
        </w:rPr>
      </w:pPr>
    </w:p>
    <w:p w14:paraId="2EDA5A81" w14:textId="77777777" w:rsidR="003A6833" w:rsidRPr="003A6833" w:rsidRDefault="003A6833" w:rsidP="003A6833">
      <w:pPr>
        <w:spacing w:after="0" w:line="240" w:lineRule="auto"/>
        <w:jc w:val="left"/>
        <w:rPr>
          <w:color w:val="212121"/>
          <w:sz w:val="24"/>
          <w:szCs w:val="24"/>
          <w:shd w:val="clear" w:color="auto" w:fill="FFFFFF"/>
        </w:rPr>
      </w:pPr>
      <w:r w:rsidRPr="003A6833">
        <w:rPr>
          <w:color w:val="212121"/>
          <w:sz w:val="24"/>
          <w:szCs w:val="24"/>
          <w:shd w:val="clear" w:color="auto" w:fill="FFFFFF"/>
        </w:rPr>
        <w:t>Charles S. Lee</w:t>
      </w:r>
    </w:p>
    <w:p w14:paraId="09CEC9DA" w14:textId="77777777" w:rsidR="003A6833" w:rsidRPr="003A6833" w:rsidRDefault="003A6833" w:rsidP="003A6833">
      <w:pPr>
        <w:spacing w:after="0" w:line="240" w:lineRule="auto"/>
        <w:jc w:val="left"/>
        <w:rPr>
          <w:color w:val="212121"/>
          <w:sz w:val="24"/>
          <w:szCs w:val="24"/>
          <w:shd w:val="clear" w:color="auto" w:fill="FFFFFF"/>
        </w:rPr>
      </w:pPr>
      <w:r w:rsidRPr="003A6833">
        <w:rPr>
          <w:color w:val="212121"/>
          <w:sz w:val="24"/>
          <w:szCs w:val="24"/>
          <w:shd w:val="clear" w:color="auto" w:fill="FFFFFF"/>
        </w:rPr>
        <w:t>Deputy Attorney General</w:t>
      </w:r>
    </w:p>
    <w:p w14:paraId="5D227281" w14:textId="77777777" w:rsidR="003A6833" w:rsidRPr="003A6833" w:rsidRDefault="003A6833" w:rsidP="003A6833">
      <w:pPr>
        <w:spacing w:after="0" w:line="240" w:lineRule="auto"/>
        <w:jc w:val="left"/>
        <w:rPr>
          <w:color w:val="212121"/>
          <w:sz w:val="24"/>
          <w:szCs w:val="24"/>
          <w:shd w:val="clear" w:color="auto" w:fill="FFFFFF"/>
        </w:rPr>
      </w:pPr>
      <w:r w:rsidRPr="003A6833">
        <w:rPr>
          <w:color w:val="212121"/>
          <w:sz w:val="24"/>
          <w:szCs w:val="24"/>
          <w:shd w:val="clear" w:color="auto" w:fill="FFFFFF"/>
        </w:rPr>
        <w:t>300 South Spring Street, Suite 1702</w:t>
      </w:r>
    </w:p>
    <w:p w14:paraId="0D8FB58E" w14:textId="77777777" w:rsidR="003A6833" w:rsidRPr="003A6833" w:rsidRDefault="003A6833" w:rsidP="003A6833">
      <w:pPr>
        <w:spacing w:after="0" w:line="240" w:lineRule="auto"/>
        <w:jc w:val="left"/>
        <w:rPr>
          <w:color w:val="212121"/>
          <w:sz w:val="24"/>
          <w:szCs w:val="24"/>
          <w:shd w:val="clear" w:color="auto" w:fill="FFFFFF"/>
        </w:rPr>
      </w:pPr>
      <w:r w:rsidRPr="003A6833">
        <w:rPr>
          <w:color w:val="212121"/>
          <w:sz w:val="24"/>
          <w:szCs w:val="24"/>
          <w:shd w:val="clear" w:color="auto" w:fill="FFFFFF"/>
        </w:rPr>
        <w:t>Los Angeles, CA 90013</w:t>
      </w:r>
    </w:p>
    <w:p w14:paraId="5D34B145" w14:textId="77777777" w:rsidR="003A6833" w:rsidRPr="003A6833" w:rsidRDefault="003A6833" w:rsidP="003A6833">
      <w:pPr>
        <w:spacing w:after="0" w:line="240" w:lineRule="auto"/>
        <w:jc w:val="left"/>
        <w:rPr>
          <w:sz w:val="24"/>
          <w:szCs w:val="24"/>
        </w:rPr>
      </w:pPr>
      <w:r w:rsidRPr="003A6833">
        <w:rPr>
          <w:color w:val="212121"/>
          <w:sz w:val="24"/>
          <w:szCs w:val="24"/>
          <w:shd w:val="clear" w:color="auto" w:fill="FFFFFF"/>
        </w:rPr>
        <w:t>(213) 269-6068</w:t>
      </w:r>
    </w:p>
    <w:p w14:paraId="1192C96A" w14:textId="77777777" w:rsidR="003A6833" w:rsidRPr="000D47B6" w:rsidRDefault="003A6833" w:rsidP="00872FDF">
      <w:pPr>
        <w:pStyle w:val="Text"/>
        <w:spacing w:line="400" w:lineRule="exact"/>
        <w:ind w:firstLine="0"/>
      </w:pPr>
    </w:p>
    <w:sectPr w:rsidR="003A6833" w:rsidRPr="000D47B6"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E5A5" w14:textId="77777777" w:rsidR="00AD0957" w:rsidRDefault="00AD0957">
      <w:r>
        <w:separator/>
      </w:r>
    </w:p>
  </w:endnote>
  <w:endnote w:type="continuationSeparator" w:id="0">
    <w:p w14:paraId="4CD380EA" w14:textId="77777777" w:rsidR="00AD0957" w:rsidRDefault="00AD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E13" w14:textId="77777777" w:rsidR="008E6AAD" w:rsidRDefault="006C7EBA">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081062"/>
      <w:docPartObj>
        <w:docPartGallery w:val="Page Numbers (Bottom of Page)"/>
        <w:docPartUnique/>
      </w:docPartObj>
    </w:sdtPr>
    <w:sdtEndPr>
      <w:rPr>
        <w:noProof/>
      </w:rPr>
    </w:sdtEndPr>
    <w:sdtContent>
      <w:p w14:paraId="306D31EF" w14:textId="2B55DFF0" w:rsidR="00235FB0" w:rsidRDefault="00235FB0">
        <w:pPr>
          <w:pStyle w:val="Foo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2D4B" w14:textId="77777777" w:rsidR="00BD7075" w:rsidRDefault="000A2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45CB" w14:textId="77777777" w:rsidR="00BD7075" w:rsidRDefault="000A20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73F9" w14:textId="77777777" w:rsidR="00BD7075" w:rsidRDefault="000A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A351" w14:textId="77777777" w:rsidR="00AD0957" w:rsidRDefault="00AD0957">
      <w:r>
        <w:separator/>
      </w:r>
    </w:p>
  </w:footnote>
  <w:footnote w:type="continuationSeparator" w:id="0">
    <w:p w14:paraId="493F2B00" w14:textId="43BF0C31" w:rsidR="00AD0957" w:rsidRDefault="00C01336">
      <w:pPr>
        <w:rPr>
          <w:sz w:val="22"/>
        </w:rPr>
      </w:pPr>
      <w:r>
        <w:continuationSeparator/>
      </w:r>
    </w:p>
  </w:footnote>
  <w:footnote w:type="continuationNotice" w:id="1">
    <w:p w14:paraId="0C7E9D01" w14:textId="13437AC3" w:rsidR="00AD0957" w:rsidRDefault="00AD0957">
      <w:pPr>
        <w:jc w:val="right"/>
        <w:rPr>
          <w:i/>
          <w:sz w:val="20"/>
        </w:rPr>
      </w:pPr>
    </w:p>
  </w:footnote>
  <w:footnote w:id="2">
    <w:p w14:paraId="773D23DB" w14:textId="77777777" w:rsidR="00D944D3" w:rsidRDefault="00D944D3" w:rsidP="00C01336">
      <w:pPr>
        <w:pStyle w:val="FootnoteText"/>
      </w:pPr>
      <w:r>
        <w:rPr>
          <w:rStyle w:val="FootnoteReference"/>
        </w:rPr>
        <w:footnoteRef/>
      </w:r>
      <w:r>
        <w:t xml:space="preserve"> </w:t>
      </w:r>
      <w:r>
        <w:tab/>
        <w:t xml:space="preserve"> All further unspecified statutory references are to the Penal Code.</w:t>
      </w:r>
    </w:p>
  </w:footnote>
  <w:footnote w:id="3">
    <w:p w14:paraId="688855CF" w14:textId="18AF05B1" w:rsidR="001F2152" w:rsidRDefault="001F2152" w:rsidP="001F2152">
      <w:pPr>
        <w:pStyle w:val="FootnoteText"/>
      </w:pPr>
      <w:r>
        <w:rPr>
          <w:rStyle w:val="FootnoteReference"/>
        </w:rPr>
        <w:footnoteRef/>
      </w:r>
      <w:r>
        <w:t xml:space="preserve"> </w:t>
      </w:r>
      <w:r>
        <w:tab/>
      </w:r>
      <w:r w:rsidR="00142D09">
        <w:t>In order to establish that a gang is in fact a</w:t>
      </w:r>
      <w:r w:rsidR="004A0790">
        <w:t xml:space="preserve"> criminal street</w:t>
      </w:r>
      <w:r w:rsidR="00142D09">
        <w:t xml:space="preserve"> gang within the meaning of the </w:t>
      </w:r>
      <w:r w:rsidR="00F929CD">
        <w:t xml:space="preserve">California </w:t>
      </w:r>
      <w:r w:rsidR="004A0790">
        <w:t xml:space="preserve">Street Terrorism Enforcement and Prevention </w:t>
      </w:r>
      <w:r w:rsidR="00165B9F">
        <w:t>Act</w:t>
      </w:r>
      <w:r w:rsidR="00F929CD">
        <w:t xml:space="preserve"> (STEP Act)</w:t>
      </w:r>
      <w:r w:rsidR="00142D09">
        <w:t>, the prosecution must</w:t>
      </w:r>
      <w:r w:rsidR="004A0790">
        <w:t xml:space="preserve"> prove</w:t>
      </w:r>
      <w:r w:rsidR="00142D09">
        <w:t xml:space="preserve"> that gang members “</w:t>
      </w:r>
      <w:r w:rsidR="00142D09" w:rsidRPr="00142D09">
        <w:t>collectively engage in, or have engaged in, a pattern of criminal gang activity</w:t>
      </w:r>
      <w:r w:rsidR="00142D09">
        <w:t xml:space="preserve">.”  (§ 186.22, subd. (f).)  </w:t>
      </w:r>
      <w:r w:rsidR="004A0790">
        <w:t xml:space="preserve">We </w:t>
      </w:r>
      <w:r>
        <w:t xml:space="preserve">refer to the offenses </w:t>
      </w:r>
      <w:r w:rsidR="004A0790" w:rsidRPr="00EF7272">
        <w:t>that</w:t>
      </w:r>
      <w:r w:rsidR="004A0790">
        <w:t xml:space="preserve"> are used to</w:t>
      </w:r>
      <w:r w:rsidR="004A0790" w:rsidRPr="00EF7272">
        <w:t xml:space="preserve"> establish “</w:t>
      </w:r>
      <w:r w:rsidRPr="00EF7272">
        <w:t>a pattern of criminal gang activity</w:t>
      </w:r>
      <w:r w:rsidR="004A0790" w:rsidRPr="004A0790">
        <w:t>”</w:t>
      </w:r>
      <w:r w:rsidR="00AE14E8">
        <w:t xml:space="preserve"> </w:t>
      </w:r>
      <w:r>
        <w:t xml:space="preserve">under the </w:t>
      </w:r>
      <w:r w:rsidR="004A0790">
        <w:t>STEP</w:t>
      </w:r>
      <w:r>
        <w:t xml:space="preserve"> Act as predicate offenses.  (</w:t>
      </w:r>
      <w:r w:rsidR="00ED12C8" w:rsidRPr="00ED12C8">
        <w:t>§ 186.20 et seq.</w:t>
      </w:r>
      <w:r w:rsidR="00ED12C8">
        <w:t xml:space="preserve">; see </w:t>
      </w:r>
      <w:r w:rsidRPr="001F2152">
        <w:rPr>
          <w:i/>
          <w:iCs/>
        </w:rPr>
        <w:t>People v. Valencia</w:t>
      </w:r>
      <w:r>
        <w:t xml:space="preserve"> (2021) 11</w:t>
      </w:r>
      <w:r w:rsidR="00C23131">
        <w:t> </w:t>
      </w:r>
      <w:r>
        <w:t>Cal.5th 818, 829</w:t>
      </w:r>
      <w:r w:rsidR="00214326">
        <w:t>.)</w:t>
      </w:r>
      <w:r w:rsidR="00FD5A1A">
        <w:t xml:space="preserve"> </w:t>
      </w:r>
    </w:p>
  </w:footnote>
  <w:footnote w:id="4">
    <w:p w14:paraId="72ABED1E" w14:textId="4B370372" w:rsidR="006D3896" w:rsidRDefault="006D3896" w:rsidP="00C01336">
      <w:pPr>
        <w:pStyle w:val="FootnoteText"/>
      </w:pPr>
      <w:r>
        <w:rPr>
          <w:rStyle w:val="FootnoteReference"/>
        </w:rPr>
        <w:footnoteRef/>
      </w:r>
      <w:r>
        <w:t xml:space="preserve"> </w:t>
      </w:r>
      <w:r>
        <w:tab/>
        <w:t>Cooper’s first degree murder conviction is not at issue in this appeal.</w:t>
      </w:r>
    </w:p>
  </w:footnote>
  <w:footnote w:id="5">
    <w:p w14:paraId="739DCF4B" w14:textId="0B8D971D" w:rsidR="00B028DA" w:rsidRDefault="00B028DA" w:rsidP="00C01336">
      <w:pPr>
        <w:pStyle w:val="FootnoteText"/>
      </w:pPr>
      <w:r>
        <w:rPr>
          <w:rStyle w:val="FootnoteReference"/>
        </w:rPr>
        <w:footnoteRef/>
      </w:r>
      <w:r>
        <w:t xml:space="preserve"> </w:t>
      </w:r>
      <w:r>
        <w:tab/>
      </w:r>
      <w:r w:rsidRPr="00755B09">
        <w:t>The brief summary of facts is drawn from the Court of Appeal’s opinion</w:t>
      </w:r>
      <w:r>
        <w:t>.</w:t>
      </w:r>
    </w:p>
  </w:footnote>
  <w:footnote w:id="6">
    <w:p w14:paraId="02CBDC89" w14:textId="2180EC52" w:rsidR="0038761B" w:rsidRDefault="0038761B" w:rsidP="00C01336">
      <w:pPr>
        <w:pStyle w:val="FootnoteText"/>
      </w:pPr>
      <w:r>
        <w:rPr>
          <w:rStyle w:val="FootnoteReference"/>
        </w:rPr>
        <w:footnoteRef/>
      </w:r>
      <w:r>
        <w:t xml:space="preserve"> </w:t>
      </w:r>
      <w:r>
        <w:tab/>
        <w:t xml:space="preserve">The Court of Appeal states this </w:t>
      </w:r>
      <w:r w:rsidR="007B7D60">
        <w:t xml:space="preserve">narcotics sale </w:t>
      </w:r>
      <w:r>
        <w:t xml:space="preserve">occurred in 2016, but the record of conviction and gang expert testimony reflect </w:t>
      </w:r>
      <w:r w:rsidR="007B7D60">
        <w:t>it occurred in 2012.</w:t>
      </w:r>
    </w:p>
  </w:footnote>
  <w:footnote w:id="7">
    <w:p w14:paraId="31B53309" w14:textId="0D7A2441" w:rsidR="00DB2C24" w:rsidRDefault="00DB2C24" w:rsidP="00C01336">
      <w:pPr>
        <w:pStyle w:val="FootnoteText"/>
      </w:pPr>
      <w:r>
        <w:rPr>
          <w:rStyle w:val="FootnoteReference"/>
        </w:rPr>
        <w:footnoteRef/>
      </w:r>
      <w:r>
        <w:t xml:space="preserve"> </w:t>
      </w:r>
      <w:r>
        <w:tab/>
        <w:t>A</w:t>
      </w:r>
      <w:r w:rsidR="009C6017">
        <w:t xml:space="preserve">ssembly </w:t>
      </w:r>
      <w:r>
        <w:t>B</w:t>
      </w:r>
      <w:r w:rsidR="009C6017">
        <w:t>ill</w:t>
      </w:r>
      <w:r>
        <w:t xml:space="preserve"> 333 also </w:t>
      </w:r>
      <w:r w:rsidR="00BC3464">
        <w:t>made several other changes to section 186.22 that are not at issue in this appeal</w:t>
      </w:r>
      <w:r w:rsidR="00E55ADD">
        <w:t>.  These changes</w:t>
      </w:r>
      <w:r w:rsidR="006D3C7B">
        <w:t xml:space="preserve"> includ</w:t>
      </w:r>
      <w:r w:rsidR="00E55ADD">
        <w:t>ed</w:t>
      </w:r>
      <w:r w:rsidR="006D3C7B">
        <w:t xml:space="preserve"> </w:t>
      </w:r>
      <w:r>
        <w:t>narrow</w:t>
      </w:r>
      <w:r w:rsidR="006D3C7B">
        <w:t>ing</w:t>
      </w:r>
      <w:r>
        <w:t xml:space="preserve"> the definition of “criminal street gang” to “an ongoing, organized association or group of three or more persons,” whose members “</w:t>
      </w:r>
      <w:r w:rsidRPr="00173F62">
        <w:rPr>
          <w:i/>
          <w:iCs/>
        </w:rPr>
        <w:t>collectively</w:t>
      </w:r>
      <w:r>
        <w:t xml:space="preserve">,” rather than just individually, “engage in, or have engaged in, a pattern of criminal gang activity.”  (§ 186.22, subd. (f), </w:t>
      </w:r>
      <w:r w:rsidR="005543A4">
        <w:t xml:space="preserve">italics </w:t>
      </w:r>
      <w:r>
        <w:t>added.)</w:t>
      </w:r>
    </w:p>
  </w:footnote>
  <w:footnote w:id="8">
    <w:p w14:paraId="6FE8187A" w14:textId="6E437C69" w:rsidR="0097457A" w:rsidRDefault="0097457A" w:rsidP="00C01336">
      <w:pPr>
        <w:pStyle w:val="FootnoteText"/>
      </w:pPr>
      <w:r>
        <w:rPr>
          <w:rStyle w:val="FootnoteReference"/>
        </w:rPr>
        <w:footnoteRef/>
      </w:r>
      <w:r>
        <w:t xml:space="preserve"> </w:t>
      </w:r>
      <w:r>
        <w:tab/>
      </w:r>
      <w:r w:rsidRPr="00643309">
        <w:t xml:space="preserve">The Attorney General incorrectly characterizes the </w:t>
      </w:r>
      <w:r w:rsidRPr="00643309">
        <w:rPr>
          <w:i/>
          <w:iCs/>
        </w:rPr>
        <w:t>Chapman</w:t>
      </w:r>
      <w:r w:rsidRPr="00643309">
        <w:t xml:space="preserve"> inquiry before us as asking whether the jury could draw a reasonable inference that the alleged predicate offenses commonly benefited the gang.  This, however, is not the proper standard.  As noted above, our task “is to determine ‘whether the record contains evidence that could rationally lead to a contrary finding with respect to the omitted element.’ ”  (</w:t>
      </w:r>
      <w:r w:rsidRPr="00643309">
        <w:rPr>
          <w:i/>
          <w:iCs/>
        </w:rPr>
        <w:t>Mil, supra</w:t>
      </w:r>
      <w:r w:rsidRPr="00643309">
        <w:t>, 53 Cal.4th at p.</w:t>
      </w:r>
      <w:r w:rsidR="00EE532F">
        <w:t> </w:t>
      </w:r>
      <w:r w:rsidRPr="00643309">
        <w:t>417</w:t>
      </w:r>
      <w:r>
        <w:t>.)</w:t>
      </w:r>
      <w:r w:rsidRPr="00643309">
        <w:t xml:space="preserve"> </w:t>
      </w:r>
    </w:p>
  </w:footnote>
  <w:footnote w:id="9">
    <w:p w14:paraId="063A8F3E" w14:textId="17E23BCA" w:rsidR="0077617E" w:rsidRDefault="0077617E" w:rsidP="00C01336">
      <w:pPr>
        <w:pStyle w:val="FootnoteText"/>
      </w:pPr>
      <w:r>
        <w:rPr>
          <w:rStyle w:val="FootnoteReference"/>
        </w:rPr>
        <w:footnoteRef/>
      </w:r>
      <w:r>
        <w:t xml:space="preserve"> </w:t>
      </w:r>
      <w:r>
        <w:tab/>
        <w:t>Specifically, the list of predicate offenses in section 186.22, subdivision (e)(1) includes: robbery (§ 211 et seq.), sale or possession for sale of a controlled substances (Health &amp; Saf. Code, § </w:t>
      </w:r>
      <w:r w:rsidRPr="009E5FE0">
        <w:t>11007</w:t>
      </w:r>
      <w:r>
        <w:t xml:space="preserve">), grand theft (§ 487), grand theft of a firearm or vehicle (§ 487, subd. (d)), burglary (§ 459), money laundering (§ 186.10), felony extortion (§§ 518, 520), carjacking (§ 215), sale of a firearm (§ 27500 et seq.), </w:t>
      </w:r>
      <w:r w:rsidR="00412921">
        <w:t xml:space="preserve">and </w:t>
      </w:r>
      <w:r>
        <w:t>vehicle theft (Veh. Code, § 10851).</w:t>
      </w:r>
    </w:p>
  </w:footnote>
  <w:footnote w:id="10">
    <w:p w14:paraId="06AA3A68" w14:textId="6ACDC72D" w:rsidR="0077617E" w:rsidRDefault="0077617E" w:rsidP="00C01336">
      <w:pPr>
        <w:pStyle w:val="FootnoteText"/>
      </w:pPr>
      <w:r>
        <w:rPr>
          <w:rStyle w:val="FootnoteReference"/>
        </w:rPr>
        <w:footnoteRef/>
      </w:r>
      <w:r>
        <w:t xml:space="preserve"> </w:t>
      </w:r>
      <w:r>
        <w:tab/>
        <w:t>At oral argument, defense counsel acknowledged that one interpretation of A</w:t>
      </w:r>
      <w:r w:rsidR="009C6017">
        <w:t xml:space="preserve">ssembly </w:t>
      </w:r>
      <w:r>
        <w:t>B</w:t>
      </w:r>
      <w:r w:rsidR="009C6017">
        <w:t>ill</w:t>
      </w:r>
      <w:r>
        <w:t xml:space="preserve"> 333 is that, though the evidence presented here does not suffice, it is permissible, as a general matter, to use circumstantial evidence to prove a common benefit that is more than reputational.  It is also worth noting that a financial gain</w:t>
      </w:r>
      <w:r w:rsidRPr="00F614EC">
        <w:t xml:space="preserve"> </w:t>
      </w:r>
      <w:r>
        <w:t>is not the only way that the prosecution can prove a more than reputational common benefit to the gang.  A</w:t>
      </w:r>
      <w:r w:rsidR="009C6017">
        <w:t xml:space="preserve">ssembly </w:t>
      </w:r>
      <w:r>
        <w:t>B</w:t>
      </w:r>
      <w:r w:rsidR="009C6017">
        <w:t>ill</w:t>
      </w:r>
      <w:r>
        <w:t xml:space="preserve"> 333 provides several </w:t>
      </w:r>
      <w:r w:rsidR="00205B6A">
        <w:t xml:space="preserve">other </w:t>
      </w:r>
      <w:r>
        <w:t xml:space="preserve">examples of a more than reputational common benefit, including, but not limited to, </w:t>
      </w:r>
      <w:r w:rsidRPr="00A654F3">
        <w:t>“</w:t>
      </w:r>
      <w:r w:rsidRPr="00724B44">
        <w:t>retaliation, targeting a perceived or actual gang rival, or intimidation or silencing of a potential current or previous witness or informant.”  (§ 186</w:t>
      </w:r>
      <w:r w:rsidR="000D47B6" w:rsidRPr="00724B44">
        <w:t>.22</w:t>
      </w:r>
      <w:r w:rsidRPr="00724B44">
        <w:t>, subd. (g).)</w:t>
      </w:r>
    </w:p>
  </w:footnote>
  <w:footnote w:id="11">
    <w:p w14:paraId="282A11E1" w14:textId="09052CD8" w:rsidR="00AA7CC6" w:rsidRDefault="00AA7CC6">
      <w:pPr>
        <w:pStyle w:val="FootnoteText"/>
      </w:pPr>
      <w:r>
        <w:rPr>
          <w:rStyle w:val="FootnoteReference"/>
        </w:rPr>
        <w:footnoteRef/>
      </w:r>
      <w:r>
        <w:t xml:space="preserve"> </w:t>
      </w:r>
      <w:r>
        <w:tab/>
      </w:r>
      <w:r w:rsidRPr="00AA7CC6">
        <w:t>As Cooper argues, the Court of Appeal’s holding is an anomaly among opinions considering A</w:t>
      </w:r>
      <w:r w:rsidR="009C6017">
        <w:t xml:space="preserve">ssembly </w:t>
      </w:r>
      <w:r w:rsidRPr="00AA7CC6">
        <w:t>B</w:t>
      </w:r>
      <w:r w:rsidR="009C6017">
        <w:t>ill</w:t>
      </w:r>
      <w:r w:rsidRPr="00AA7CC6">
        <w:t xml:space="preserve"> 333 and which have reversed gang enhancements.  (E.g., </w:t>
      </w:r>
      <w:r w:rsidRPr="00AA7CC6">
        <w:rPr>
          <w:i/>
          <w:iCs/>
        </w:rPr>
        <w:t>E.H.</w:t>
      </w:r>
      <w:r w:rsidR="00101663" w:rsidRPr="00A654F3">
        <w:rPr>
          <w:i/>
          <w:iCs/>
        </w:rPr>
        <w:t>, supra</w:t>
      </w:r>
      <w:r w:rsidR="00101663">
        <w:t xml:space="preserve">, </w:t>
      </w:r>
      <w:r w:rsidRPr="00AA7CC6">
        <w:t>75</w:t>
      </w:r>
      <w:r w:rsidR="00023F12">
        <w:t> </w:t>
      </w:r>
      <w:r w:rsidRPr="00AA7CC6">
        <w:t>Cal.</w:t>
      </w:r>
      <w:r w:rsidR="00C47872">
        <w:t>App.</w:t>
      </w:r>
      <w:r w:rsidRPr="00AA7CC6">
        <w:t xml:space="preserve">5th </w:t>
      </w:r>
      <w:r w:rsidR="00101663">
        <w:t>at pp.</w:t>
      </w:r>
      <w:r w:rsidRPr="00AA7CC6">
        <w:t xml:space="preserve"> 476–480; </w:t>
      </w:r>
      <w:r w:rsidR="00724B44">
        <w:rPr>
          <w:i/>
          <w:iCs/>
        </w:rPr>
        <w:t xml:space="preserve">People v. </w:t>
      </w:r>
      <w:r w:rsidRPr="00AA7CC6">
        <w:rPr>
          <w:i/>
          <w:iCs/>
        </w:rPr>
        <w:t>Lopez</w:t>
      </w:r>
      <w:r w:rsidR="00407A08">
        <w:t xml:space="preserve"> (2021)</w:t>
      </w:r>
      <w:r w:rsidRPr="00AA7CC6">
        <w:rPr>
          <w:i/>
          <w:iCs/>
        </w:rPr>
        <w:t xml:space="preserve"> </w:t>
      </w:r>
      <w:r w:rsidRPr="00AA7CC6">
        <w:t>73</w:t>
      </w:r>
      <w:r w:rsidR="00724B44">
        <w:t> </w:t>
      </w:r>
      <w:r w:rsidRPr="00AA7CC6">
        <w:t xml:space="preserve">Cal.App.5th </w:t>
      </w:r>
      <w:r w:rsidR="00724B44">
        <w:t xml:space="preserve">327, </w:t>
      </w:r>
      <w:r w:rsidRPr="00AA7CC6">
        <w:t>343–346</w:t>
      </w:r>
      <w:r w:rsidR="00407A08">
        <w:t xml:space="preserve"> (</w:t>
      </w:r>
      <w:r w:rsidR="00407A08">
        <w:rPr>
          <w:i/>
          <w:iCs/>
        </w:rPr>
        <w:t>Lopez</w:t>
      </w:r>
      <w:r w:rsidR="00407A08">
        <w:t>)</w:t>
      </w:r>
      <w:r w:rsidRPr="00AA7CC6">
        <w:t xml:space="preserve">; </w:t>
      </w:r>
      <w:r w:rsidRPr="00AA7CC6">
        <w:rPr>
          <w:i/>
          <w:iCs/>
        </w:rPr>
        <w:t>People v. Sek</w:t>
      </w:r>
      <w:r w:rsidRPr="00AA7CC6">
        <w:t xml:space="preserve"> (2022) 74</w:t>
      </w:r>
      <w:r w:rsidR="00023F12">
        <w:t> </w:t>
      </w:r>
      <w:r w:rsidRPr="00AA7CC6">
        <w:t xml:space="preserve">Cal.App.5th 657, 664–670; </w:t>
      </w:r>
      <w:r w:rsidRPr="00AA7CC6">
        <w:rPr>
          <w:i/>
          <w:iCs/>
        </w:rPr>
        <w:t xml:space="preserve">People v. Rodriguez </w:t>
      </w:r>
      <w:r w:rsidRPr="00AA7CC6">
        <w:t>(2022) 75</w:t>
      </w:r>
      <w:r w:rsidR="00023F12">
        <w:t> </w:t>
      </w:r>
      <w:r w:rsidRPr="00AA7CC6">
        <w:t xml:space="preserve">Cal.App.5th 816, 822–823; </w:t>
      </w:r>
      <w:r w:rsidRPr="00AA7CC6">
        <w:rPr>
          <w:i/>
          <w:iCs/>
        </w:rPr>
        <w:t>People v. Vasquez</w:t>
      </w:r>
      <w:r w:rsidRPr="00AA7CC6">
        <w:t xml:space="preserve"> (2022) 74</w:t>
      </w:r>
      <w:r w:rsidR="00023F12">
        <w:t> </w:t>
      </w:r>
      <w:r w:rsidRPr="00AA7CC6">
        <w:t>Cal.App.5th 1021, 1032–1033.)  In each case, the predicate offenses and the evidence supporting them are different and, as the Attorney General maintains, these decisions have distinguishing features.  Nevertheless, though we do not her</w:t>
      </w:r>
      <w:r w:rsidR="003F135C">
        <w:t>e</w:t>
      </w:r>
      <w:r w:rsidRPr="00AA7CC6">
        <w:t xml:space="preserve"> decide the unique facts of those cases, Cooper is correct that in each case the Court of Appeal reversed a gang enhancement after the enactment of A</w:t>
      </w:r>
      <w:r w:rsidR="009C6017">
        <w:t xml:space="preserve">ssembly </w:t>
      </w:r>
      <w:r w:rsidRPr="00AA7CC6">
        <w:t>B</w:t>
      </w:r>
      <w:r w:rsidR="009C6017">
        <w:t>ill</w:t>
      </w:r>
      <w:r w:rsidRPr="00AA7CC6">
        <w:t xml:space="preserve"> 333 for a trial that occurred without A</w:t>
      </w:r>
      <w:r w:rsidR="009C6017">
        <w:t xml:space="preserve">ssembly </w:t>
      </w:r>
      <w:r w:rsidRPr="00AA7CC6">
        <w:t>B</w:t>
      </w:r>
      <w:r w:rsidR="009C6017">
        <w:t>ill</w:t>
      </w:r>
      <w:r w:rsidRPr="00AA7CC6">
        <w:t xml:space="preserve"> 333’s guidance.  Indeed, the decision below is the only Court of Appeal opinion </w:t>
      </w:r>
      <w:r w:rsidR="006E2C51">
        <w:t xml:space="preserve">cited in the </w:t>
      </w:r>
      <w:r w:rsidR="00805AB3">
        <w:t xml:space="preserve">parties’ </w:t>
      </w:r>
      <w:r w:rsidR="006E2C51">
        <w:t xml:space="preserve">briefing </w:t>
      </w:r>
      <w:r w:rsidRPr="00AA7CC6">
        <w:t>affirming a gang enhancement after the enactment of A</w:t>
      </w:r>
      <w:r w:rsidR="009C6017">
        <w:t xml:space="preserve">ssembly </w:t>
      </w:r>
      <w:r w:rsidRPr="00AA7CC6">
        <w:t>B</w:t>
      </w:r>
      <w:r w:rsidR="009C6017">
        <w:t>ill</w:t>
      </w:r>
      <w:r w:rsidRPr="00AA7CC6">
        <w:t xml:space="preserve"> 333 for a trial that occurred before A</w:t>
      </w:r>
      <w:r w:rsidR="009C6017">
        <w:t xml:space="preserve">ssembly </w:t>
      </w:r>
      <w:r w:rsidRPr="00AA7CC6">
        <w:t>B</w:t>
      </w:r>
      <w:r w:rsidR="009C6017">
        <w:t>ill</w:t>
      </w:r>
      <w:r w:rsidRPr="00AA7CC6">
        <w:t xml:space="preserve"> 333 was enacted.</w:t>
      </w:r>
    </w:p>
  </w:footnote>
  <w:footnote w:id="12">
    <w:p w14:paraId="7E725D4F" w14:textId="03E78317" w:rsidR="00C57315" w:rsidRDefault="00C57315" w:rsidP="00C01336">
      <w:pPr>
        <w:pStyle w:val="FootnoteText"/>
      </w:pPr>
      <w:r>
        <w:rPr>
          <w:rStyle w:val="FootnoteReference"/>
        </w:rPr>
        <w:footnoteRef/>
      </w:r>
      <w:r>
        <w:t xml:space="preserve"> </w:t>
      </w:r>
      <w:r>
        <w:tab/>
      </w:r>
      <w:r w:rsidR="00E55ADD">
        <w:t xml:space="preserve">As noted above, </w:t>
      </w:r>
      <w:r>
        <w:t>A</w:t>
      </w:r>
      <w:r w:rsidR="009C6017">
        <w:t xml:space="preserve">ssembly </w:t>
      </w:r>
      <w:r>
        <w:t>B</w:t>
      </w:r>
      <w:r w:rsidR="009C6017">
        <w:t>ill</w:t>
      </w:r>
      <w:r>
        <w:t xml:space="preserve"> 333 also requires that gang members “collectively” engage in a pattern of criminal gang activity under section 186.22, subdivision (f).  Cooper requests that if we do not reverse the gang enhancement based upon the new requirement that the predicate offenses commonly benefit the gang in a more than reputational way, that we instead remand the case to the Court of Appeal so that the failure to instruct on the element of collective action by the gang can be briefed there.  Cooper has also filed a motion for eventual remand or, alternatively, to expand the issues on review based upon similar reasons.  Since </w:t>
      </w:r>
      <w:r w:rsidR="00A820CC">
        <w:t xml:space="preserve">we are </w:t>
      </w:r>
      <w:r>
        <w:t xml:space="preserve">reversing Cooper’s </w:t>
      </w:r>
      <w:r w:rsidR="00A820CC">
        <w:t xml:space="preserve">gang </w:t>
      </w:r>
      <w:r>
        <w:t xml:space="preserve">enhancement on the issue that we granted review upon, Cooper’s requests that we remand or expand the issues based upon another theory </w:t>
      </w:r>
      <w:r w:rsidR="00A820CC">
        <w:t>is</w:t>
      </w:r>
      <w:r>
        <w:t xml:space="preserve"> rendered moot.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1FA" w14:textId="0525CA6A" w:rsidR="00C01336" w:rsidRDefault="00C01336">
    <w:pPr>
      <w:pStyle w:val="Header"/>
    </w:pPr>
    <w:r>
      <w:t>PEOPLE v. COOPER</w:t>
    </w:r>
  </w:p>
  <w:p w14:paraId="52425250" w14:textId="5CDAB7FF" w:rsidR="00C01336" w:rsidRDefault="00C01336">
    <w:pPr>
      <w:pStyle w:val="Header"/>
    </w:pPr>
    <w:r>
      <w:t>Opinion of the Court by Groban, J.</w:t>
    </w:r>
  </w:p>
  <w:p w14:paraId="4DD18A5A" w14:textId="77777777" w:rsidR="00C01336" w:rsidRDefault="00C0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961B" w14:textId="77777777" w:rsidR="00BD7075" w:rsidRDefault="000A2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4AB7" w14:textId="77777777" w:rsidR="00BD7075" w:rsidRDefault="000A2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A408" w14:textId="77777777" w:rsidR="00BD7075" w:rsidRDefault="000A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BB0"/>
    <w:multiLevelType w:val="hybridMultilevel"/>
    <w:tmpl w:val="C630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0195C"/>
    <w:multiLevelType w:val="hybridMultilevel"/>
    <w:tmpl w:val="4548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28778">
    <w:abstractNumId w:val="0"/>
  </w:num>
  <w:num w:numId="2" w16cid:durableId="1953703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printFractionalCharacterWidth/>
  <w:activeWritingStyle w:appName="MSWord" w:lang="en-US" w:vendorID="64" w:dllVersion="5" w:nlCheck="1" w:checkStyle="1"/>
  <w:activeWritingStyle w:appName="MSWord" w:lang="en-US" w:vendorID="64" w:dllVersion="0"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82"/>
    <w:rsid w:val="000049E0"/>
    <w:rsid w:val="000050CE"/>
    <w:rsid w:val="00007D97"/>
    <w:rsid w:val="00010604"/>
    <w:rsid w:val="00012734"/>
    <w:rsid w:val="000178A5"/>
    <w:rsid w:val="0002219B"/>
    <w:rsid w:val="00023F12"/>
    <w:rsid w:val="000274EB"/>
    <w:rsid w:val="00027B76"/>
    <w:rsid w:val="0003051E"/>
    <w:rsid w:val="0003089B"/>
    <w:rsid w:val="0003440A"/>
    <w:rsid w:val="00037942"/>
    <w:rsid w:val="00043B0A"/>
    <w:rsid w:val="000474EC"/>
    <w:rsid w:val="00062179"/>
    <w:rsid w:val="00067537"/>
    <w:rsid w:val="00070629"/>
    <w:rsid w:val="00075A1E"/>
    <w:rsid w:val="00080DBC"/>
    <w:rsid w:val="000822C7"/>
    <w:rsid w:val="00087E31"/>
    <w:rsid w:val="00091129"/>
    <w:rsid w:val="000A3C83"/>
    <w:rsid w:val="000A4580"/>
    <w:rsid w:val="000B1C49"/>
    <w:rsid w:val="000B24F6"/>
    <w:rsid w:val="000B280D"/>
    <w:rsid w:val="000B4778"/>
    <w:rsid w:val="000C1A62"/>
    <w:rsid w:val="000C4E02"/>
    <w:rsid w:val="000D4256"/>
    <w:rsid w:val="000D47B6"/>
    <w:rsid w:val="000D6048"/>
    <w:rsid w:val="000D702E"/>
    <w:rsid w:val="000E5BF6"/>
    <w:rsid w:val="000F22D9"/>
    <w:rsid w:val="000F28AB"/>
    <w:rsid w:val="000F2C43"/>
    <w:rsid w:val="000F5422"/>
    <w:rsid w:val="00101663"/>
    <w:rsid w:val="0011106A"/>
    <w:rsid w:val="00113984"/>
    <w:rsid w:val="001155A5"/>
    <w:rsid w:val="00115E2F"/>
    <w:rsid w:val="00117D59"/>
    <w:rsid w:val="00137C46"/>
    <w:rsid w:val="00142D09"/>
    <w:rsid w:val="00146D9C"/>
    <w:rsid w:val="001472B7"/>
    <w:rsid w:val="00154454"/>
    <w:rsid w:val="00157B51"/>
    <w:rsid w:val="0016002F"/>
    <w:rsid w:val="00165B9F"/>
    <w:rsid w:val="00165F80"/>
    <w:rsid w:val="001672A7"/>
    <w:rsid w:val="001672EB"/>
    <w:rsid w:val="00167FA1"/>
    <w:rsid w:val="00172B86"/>
    <w:rsid w:val="00173F62"/>
    <w:rsid w:val="00175860"/>
    <w:rsid w:val="00181F2E"/>
    <w:rsid w:val="00182182"/>
    <w:rsid w:val="00187406"/>
    <w:rsid w:val="00192AD4"/>
    <w:rsid w:val="00192BC0"/>
    <w:rsid w:val="0019332C"/>
    <w:rsid w:val="00194A46"/>
    <w:rsid w:val="00195821"/>
    <w:rsid w:val="00196B8B"/>
    <w:rsid w:val="001A17D2"/>
    <w:rsid w:val="001A3E10"/>
    <w:rsid w:val="001B0E85"/>
    <w:rsid w:val="001B1947"/>
    <w:rsid w:val="001B3FE9"/>
    <w:rsid w:val="001C21B8"/>
    <w:rsid w:val="001C2FFF"/>
    <w:rsid w:val="001C36B7"/>
    <w:rsid w:val="001D25C0"/>
    <w:rsid w:val="001D4219"/>
    <w:rsid w:val="001D687E"/>
    <w:rsid w:val="001E4602"/>
    <w:rsid w:val="001F0FBA"/>
    <w:rsid w:val="001F2152"/>
    <w:rsid w:val="001F232E"/>
    <w:rsid w:val="001F4B15"/>
    <w:rsid w:val="001F629A"/>
    <w:rsid w:val="00203D71"/>
    <w:rsid w:val="00205B6A"/>
    <w:rsid w:val="002107B6"/>
    <w:rsid w:val="00214326"/>
    <w:rsid w:val="002211E2"/>
    <w:rsid w:val="00230FFE"/>
    <w:rsid w:val="002318FD"/>
    <w:rsid w:val="00235FB0"/>
    <w:rsid w:val="00241E87"/>
    <w:rsid w:val="00245E6D"/>
    <w:rsid w:val="002513E2"/>
    <w:rsid w:val="00252806"/>
    <w:rsid w:val="00260A5C"/>
    <w:rsid w:val="00271AC3"/>
    <w:rsid w:val="002771A4"/>
    <w:rsid w:val="00277AEA"/>
    <w:rsid w:val="00285622"/>
    <w:rsid w:val="002866EC"/>
    <w:rsid w:val="002915F2"/>
    <w:rsid w:val="00296598"/>
    <w:rsid w:val="002A36CD"/>
    <w:rsid w:val="002A3F47"/>
    <w:rsid w:val="002A752B"/>
    <w:rsid w:val="002B00EE"/>
    <w:rsid w:val="002B1BE4"/>
    <w:rsid w:val="002B2E56"/>
    <w:rsid w:val="002B685D"/>
    <w:rsid w:val="002C1167"/>
    <w:rsid w:val="002C46A0"/>
    <w:rsid w:val="002D28D2"/>
    <w:rsid w:val="002D3041"/>
    <w:rsid w:val="002D7295"/>
    <w:rsid w:val="002E14C2"/>
    <w:rsid w:val="002E40E8"/>
    <w:rsid w:val="002E592C"/>
    <w:rsid w:val="002E793C"/>
    <w:rsid w:val="002F0233"/>
    <w:rsid w:val="002F18EF"/>
    <w:rsid w:val="002F71FE"/>
    <w:rsid w:val="002F7299"/>
    <w:rsid w:val="00302654"/>
    <w:rsid w:val="003058B4"/>
    <w:rsid w:val="0030701C"/>
    <w:rsid w:val="0030789A"/>
    <w:rsid w:val="00307EB3"/>
    <w:rsid w:val="003122E7"/>
    <w:rsid w:val="00312E11"/>
    <w:rsid w:val="00313893"/>
    <w:rsid w:val="00317887"/>
    <w:rsid w:val="00320550"/>
    <w:rsid w:val="00322414"/>
    <w:rsid w:val="00324CC4"/>
    <w:rsid w:val="00326914"/>
    <w:rsid w:val="003338A2"/>
    <w:rsid w:val="00344934"/>
    <w:rsid w:val="00347AE9"/>
    <w:rsid w:val="003612B0"/>
    <w:rsid w:val="00361976"/>
    <w:rsid w:val="00362697"/>
    <w:rsid w:val="0038761B"/>
    <w:rsid w:val="0039448D"/>
    <w:rsid w:val="0039645F"/>
    <w:rsid w:val="003A6833"/>
    <w:rsid w:val="003C247C"/>
    <w:rsid w:val="003C41F4"/>
    <w:rsid w:val="003C5B97"/>
    <w:rsid w:val="003C666E"/>
    <w:rsid w:val="003C69B1"/>
    <w:rsid w:val="003C6C27"/>
    <w:rsid w:val="003D39C3"/>
    <w:rsid w:val="003D7C07"/>
    <w:rsid w:val="003F135C"/>
    <w:rsid w:val="003F652C"/>
    <w:rsid w:val="003F6EC7"/>
    <w:rsid w:val="00403486"/>
    <w:rsid w:val="00405796"/>
    <w:rsid w:val="004070A0"/>
    <w:rsid w:val="00407A08"/>
    <w:rsid w:val="00412921"/>
    <w:rsid w:val="0041309E"/>
    <w:rsid w:val="00417C32"/>
    <w:rsid w:val="00417C88"/>
    <w:rsid w:val="004228F7"/>
    <w:rsid w:val="004243F7"/>
    <w:rsid w:val="00425FA8"/>
    <w:rsid w:val="0042717A"/>
    <w:rsid w:val="004304B4"/>
    <w:rsid w:val="00433690"/>
    <w:rsid w:val="00437E71"/>
    <w:rsid w:val="00444116"/>
    <w:rsid w:val="004442D4"/>
    <w:rsid w:val="00447DF9"/>
    <w:rsid w:val="004500D5"/>
    <w:rsid w:val="00450406"/>
    <w:rsid w:val="004567EB"/>
    <w:rsid w:val="0046784F"/>
    <w:rsid w:val="0048116A"/>
    <w:rsid w:val="00481581"/>
    <w:rsid w:val="004A0790"/>
    <w:rsid w:val="004A2FF3"/>
    <w:rsid w:val="004A44B2"/>
    <w:rsid w:val="004A7314"/>
    <w:rsid w:val="004B0436"/>
    <w:rsid w:val="004B37E3"/>
    <w:rsid w:val="004B76AD"/>
    <w:rsid w:val="004C1DCC"/>
    <w:rsid w:val="004D1DA1"/>
    <w:rsid w:val="004D2A46"/>
    <w:rsid w:val="004D61D8"/>
    <w:rsid w:val="004D76A3"/>
    <w:rsid w:val="004E28D0"/>
    <w:rsid w:val="004E573B"/>
    <w:rsid w:val="004F0C36"/>
    <w:rsid w:val="005056DA"/>
    <w:rsid w:val="00505BA1"/>
    <w:rsid w:val="005265A7"/>
    <w:rsid w:val="00532090"/>
    <w:rsid w:val="00532C2C"/>
    <w:rsid w:val="00535518"/>
    <w:rsid w:val="00537D27"/>
    <w:rsid w:val="005434D8"/>
    <w:rsid w:val="00544423"/>
    <w:rsid w:val="00547364"/>
    <w:rsid w:val="005543A4"/>
    <w:rsid w:val="00555D23"/>
    <w:rsid w:val="005577F7"/>
    <w:rsid w:val="00561BC6"/>
    <w:rsid w:val="00561FCE"/>
    <w:rsid w:val="0056597E"/>
    <w:rsid w:val="00572219"/>
    <w:rsid w:val="00574464"/>
    <w:rsid w:val="00575B85"/>
    <w:rsid w:val="00575C37"/>
    <w:rsid w:val="00576E09"/>
    <w:rsid w:val="00580370"/>
    <w:rsid w:val="00581707"/>
    <w:rsid w:val="005828A8"/>
    <w:rsid w:val="0058421B"/>
    <w:rsid w:val="005925C9"/>
    <w:rsid w:val="00593006"/>
    <w:rsid w:val="00597C7B"/>
    <w:rsid w:val="005A215C"/>
    <w:rsid w:val="005B30E1"/>
    <w:rsid w:val="005B7F31"/>
    <w:rsid w:val="005C0A28"/>
    <w:rsid w:val="005C5067"/>
    <w:rsid w:val="005C702C"/>
    <w:rsid w:val="005D13DB"/>
    <w:rsid w:val="005D1F58"/>
    <w:rsid w:val="005D438F"/>
    <w:rsid w:val="005D5F51"/>
    <w:rsid w:val="005E3663"/>
    <w:rsid w:val="005E4955"/>
    <w:rsid w:val="005F157D"/>
    <w:rsid w:val="005F6CF2"/>
    <w:rsid w:val="006026CB"/>
    <w:rsid w:val="00603D6B"/>
    <w:rsid w:val="00605C74"/>
    <w:rsid w:val="00617B2C"/>
    <w:rsid w:val="00624396"/>
    <w:rsid w:val="0062492E"/>
    <w:rsid w:val="006327CB"/>
    <w:rsid w:val="0063373D"/>
    <w:rsid w:val="0063595A"/>
    <w:rsid w:val="00643309"/>
    <w:rsid w:val="006460C4"/>
    <w:rsid w:val="00650FA4"/>
    <w:rsid w:val="006523CE"/>
    <w:rsid w:val="00654E6F"/>
    <w:rsid w:val="00657013"/>
    <w:rsid w:val="00660F03"/>
    <w:rsid w:val="00663F27"/>
    <w:rsid w:val="00665F12"/>
    <w:rsid w:val="00672C99"/>
    <w:rsid w:val="00674EDF"/>
    <w:rsid w:val="006848E4"/>
    <w:rsid w:val="00685440"/>
    <w:rsid w:val="006874D9"/>
    <w:rsid w:val="00691BDA"/>
    <w:rsid w:val="006926F2"/>
    <w:rsid w:val="00693C83"/>
    <w:rsid w:val="00693F09"/>
    <w:rsid w:val="00696675"/>
    <w:rsid w:val="006A7942"/>
    <w:rsid w:val="006B2C66"/>
    <w:rsid w:val="006C00D8"/>
    <w:rsid w:val="006C6EAA"/>
    <w:rsid w:val="006C7EBA"/>
    <w:rsid w:val="006D032B"/>
    <w:rsid w:val="006D108B"/>
    <w:rsid w:val="006D3896"/>
    <w:rsid w:val="006D3C7B"/>
    <w:rsid w:val="006D45DF"/>
    <w:rsid w:val="006D51AC"/>
    <w:rsid w:val="006D718E"/>
    <w:rsid w:val="006E2C51"/>
    <w:rsid w:val="006E5334"/>
    <w:rsid w:val="006E6E70"/>
    <w:rsid w:val="006F4895"/>
    <w:rsid w:val="006F63D8"/>
    <w:rsid w:val="006F7418"/>
    <w:rsid w:val="00700CE2"/>
    <w:rsid w:val="00703501"/>
    <w:rsid w:val="0070775B"/>
    <w:rsid w:val="0071161F"/>
    <w:rsid w:val="00711ED7"/>
    <w:rsid w:val="0071648B"/>
    <w:rsid w:val="00716FB8"/>
    <w:rsid w:val="007179F2"/>
    <w:rsid w:val="00720A62"/>
    <w:rsid w:val="007224E9"/>
    <w:rsid w:val="00724B44"/>
    <w:rsid w:val="0072722F"/>
    <w:rsid w:val="00727B65"/>
    <w:rsid w:val="0073585A"/>
    <w:rsid w:val="007405D6"/>
    <w:rsid w:val="00743FE2"/>
    <w:rsid w:val="0074607B"/>
    <w:rsid w:val="00750FC3"/>
    <w:rsid w:val="0075284A"/>
    <w:rsid w:val="00755B09"/>
    <w:rsid w:val="007642A2"/>
    <w:rsid w:val="007650F3"/>
    <w:rsid w:val="00765118"/>
    <w:rsid w:val="00766E47"/>
    <w:rsid w:val="00773658"/>
    <w:rsid w:val="007749D5"/>
    <w:rsid w:val="0077617E"/>
    <w:rsid w:val="007762AE"/>
    <w:rsid w:val="00780613"/>
    <w:rsid w:val="00794EFD"/>
    <w:rsid w:val="007B0EC1"/>
    <w:rsid w:val="007B38C8"/>
    <w:rsid w:val="007B7D60"/>
    <w:rsid w:val="007C0403"/>
    <w:rsid w:val="007C1C00"/>
    <w:rsid w:val="007C48D1"/>
    <w:rsid w:val="007D0707"/>
    <w:rsid w:val="007D191E"/>
    <w:rsid w:val="007D56D9"/>
    <w:rsid w:val="007E37C9"/>
    <w:rsid w:val="007E3DB2"/>
    <w:rsid w:val="007E5319"/>
    <w:rsid w:val="007E71BA"/>
    <w:rsid w:val="007F5CC2"/>
    <w:rsid w:val="007F71EA"/>
    <w:rsid w:val="007F7A0D"/>
    <w:rsid w:val="00802BF9"/>
    <w:rsid w:val="008041EF"/>
    <w:rsid w:val="00804BE0"/>
    <w:rsid w:val="00805AB3"/>
    <w:rsid w:val="008131E4"/>
    <w:rsid w:val="00820182"/>
    <w:rsid w:val="00820891"/>
    <w:rsid w:val="00822070"/>
    <w:rsid w:val="008276AE"/>
    <w:rsid w:val="00827B1D"/>
    <w:rsid w:val="0083312F"/>
    <w:rsid w:val="008342F1"/>
    <w:rsid w:val="0084439B"/>
    <w:rsid w:val="0084650B"/>
    <w:rsid w:val="00850B1B"/>
    <w:rsid w:val="00854D23"/>
    <w:rsid w:val="00856144"/>
    <w:rsid w:val="008636AB"/>
    <w:rsid w:val="00864473"/>
    <w:rsid w:val="00865154"/>
    <w:rsid w:val="00865D54"/>
    <w:rsid w:val="008723AD"/>
    <w:rsid w:val="00872AB2"/>
    <w:rsid w:val="00872FDF"/>
    <w:rsid w:val="00897EA5"/>
    <w:rsid w:val="008A5167"/>
    <w:rsid w:val="008A6BD7"/>
    <w:rsid w:val="008B2BF7"/>
    <w:rsid w:val="008C0F6C"/>
    <w:rsid w:val="008C13DD"/>
    <w:rsid w:val="008C3AF4"/>
    <w:rsid w:val="008C6F9A"/>
    <w:rsid w:val="008C7C6D"/>
    <w:rsid w:val="008D0F77"/>
    <w:rsid w:val="008D4105"/>
    <w:rsid w:val="008E47B7"/>
    <w:rsid w:val="008E4B88"/>
    <w:rsid w:val="008E68D7"/>
    <w:rsid w:val="008E6AAD"/>
    <w:rsid w:val="008F27DF"/>
    <w:rsid w:val="008F3C50"/>
    <w:rsid w:val="00902C51"/>
    <w:rsid w:val="00905E28"/>
    <w:rsid w:val="00911DB0"/>
    <w:rsid w:val="00913106"/>
    <w:rsid w:val="00916D65"/>
    <w:rsid w:val="0091773B"/>
    <w:rsid w:val="00921668"/>
    <w:rsid w:val="00927E59"/>
    <w:rsid w:val="00931FC3"/>
    <w:rsid w:val="00932EEF"/>
    <w:rsid w:val="00934DA0"/>
    <w:rsid w:val="00937DA3"/>
    <w:rsid w:val="0094461F"/>
    <w:rsid w:val="00945BA8"/>
    <w:rsid w:val="00947B80"/>
    <w:rsid w:val="00952C12"/>
    <w:rsid w:val="00952E78"/>
    <w:rsid w:val="0096584D"/>
    <w:rsid w:val="0097350C"/>
    <w:rsid w:val="0097457A"/>
    <w:rsid w:val="00986E19"/>
    <w:rsid w:val="00991D7B"/>
    <w:rsid w:val="009946F2"/>
    <w:rsid w:val="009948CC"/>
    <w:rsid w:val="009A11D5"/>
    <w:rsid w:val="009A309A"/>
    <w:rsid w:val="009A548E"/>
    <w:rsid w:val="009A7379"/>
    <w:rsid w:val="009B0664"/>
    <w:rsid w:val="009B3061"/>
    <w:rsid w:val="009C0012"/>
    <w:rsid w:val="009C0295"/>
    <w:rsid w:val="009C3DD1"/>
    <w:rsid w:val="009C6017"/>
    <w:rsid w:val="009D0D6E"/>
    <w:rsid w:val="009E077A"/>
    <w:rsid w:val="009E63E4"/>
    <w:rsid w:val="009E7400"/>
    <w:rsid w:val="009F64A9"/>
    <w:rsid w:val="009F7939"/>
    <w:rsid w:val="00A05F76"/>
    <w:rsid w:val="00A06F38"/>
    <w:rsid w:val="00A2089C"/>
    <w:rsid w:val="00A20EDC"/>
    <w:rsid w:val="00A26B31"/>
    <w:rsid w:val="00A3418A"/>
    <w:rsid w:val="00A3751F"/>
    <w:rsid w:val="00A430A0"/>
    <w:rsid w:val="00A44FD5"/>
    <w:rsid w:val="00A52347"/>
    <w:rsid w:val="00A53FCB"/>
    <w:rsid w:val="00A5441A"/>
    <w:rsid w:val="00A62C5A"/>
    <w:rsid w:val="00A64858"/>
    <w:rsid w:val="00A654F3"/>
    <w:rsid w:val="00A675A0"/>
    <w:rsid w:val="00A7737F"/>
    <w:rsid w:val="00A820CC"/>
    <w:rsid w:val="00A8396E"/>
    <w:rsid w:val="00A84209"/>
    <w:rsid w:val="00A911B0"/>
    <w:rsid w:val="00A91275"/>
    <w:rsid w:val="00AA68CC"/>
    <w:rsid w:val="00AA7CC6"/>
    <w:rsid w:val="00AB3A97"/>
    <w:rsid w:val="00AC2BDB"/>
    <w:rsid w:val="00AC2C92"/>
    <w:rsid w:val="00AC6453"/>
    <w:rsid w:val="00AD0957"/>
    <w:rsid w:val="00AD4E17"/>
    <w:rsid w:val="00AE14E8"/>
    <w:rsid w:val="00AE56BC"/>
    <w:rsid w:val="00AF642D"/>
    <w:rsid w:val="00B028DA"/>
    <w:rsid w:val="00B07A86"/>
    <w:rsid w:val="00B13A5C"/>
    <w:rsid w:val="00B22D38"/>
    <w:rsid w:val="00B23457"/>
    <w:rsid w:val="00B30A16"/>
    <w:rsid w:val="00B323B4"/>
    <w:rsid w:val="00B377F0"/>
    <w:rsid w:val="00B41696"/>
    <w:rsid w:val="00B43B0D"/>
    <w:rsid w:val="00B43FE9"/>
    <w:rsid w:val="00B442FD"/>
    <w:rsid w:val="00B54DFE"/>
    <w:rsid w:val="00B5719D"/>
    <w:rsid w:val="00B61729"/>
    <w:rsid w:val="00B620E2"/>
    <w:rsid w:val="00B6565E"/>
    <w:rsid w:val="00B65D04"/>
    <w:rsid w:val="00B6706F"/>
    <w:rsid w:val="00B84520"/>
    <w:rsid w:val="00BA2F51"/>
    <w:rsid w:val="00BA4B7D"/>
    <w:rsid w:val="00BA5771"/>
    <w:rsid w:val="00BB2218"/>
    <w:rsid w:val="00BB232C"/>
    <w:rsid w:val="00BC09E2"/>
    <w:rsid w:val="00BC3464"/>
    <w:rsid w:val="00BC58CE"/>
    <w:rsid w:val="00BC6F91"/>
    <w:rsid w:val="00BD59B7"/>
    <w:rsid w:val="00BD6C33"/>
    <w:rsid w:val="00BD7266"/>
    <w:rsid w:val="00BE6799"/>
    <w:rsid w:val="00BE6A63"/>
    <w:rsid w:val="00C01336"/>
    <w:rsid w:val="00C0440B"/>
    <w:rsid w:val="00C07A7F"/>
    <w:rsid w:val="00C10A9A"/>
    <w:rsid w:val="00C14E9C"/>
    <w:rsid w:val="00C22597"/>
    <w:rsid w:val="00C23131"/>
    <w:rsid w:val="00C24530"/>
    <w:rsid w:val="00C2597E"/>
    <w:rsid w:val="00C42BC4"/>
    <w:rsid w:val="00C44F90"/>
    <w:rsid w:val="00C46EF0"/>
    <w:rsid w:val="00C47872"/>
    <w:rsid w:val="00C517AB"/>
    <w:rsid w:val="00C53823"/>
    <w:rsid w:val="00C57315"/>
    <w:rsid w:val="00C70E14"/>
    <w:rsid w:val="00C7499B"/>
    <w:rsid w:val="00C76273"/>
    <w:rsid w:val="00C80B11"/>
    <w:rsid w:val="00C82849"/>
    <w:rsid w:val="00C82C14"/>
    <w:rsid w:val="00C84053"/>
    <w:rsid w:val="00C868C0"/>
    <w:rsid w:val="00C87206"/>
    <w:rsid w:val="00C9039D"/>
    <w:rsid w:val="00CA1286"/>
    <w:rsid w:val="00CA5D9A"/>
    <w:rsid w:val="00CA7EF0"/>
    <w:rsid w:val="00CB3DC8"/>
    <w:rsid w:val="00CB435A"/>
    <w:rsid w:val="00CB4A09"/>
    <w:rsid w:val="00CC1887"/>
    <w:rsid w:val="00CC220E"/>
    <w:rsid w:val="00CC2F25"/>
    <w:rsid w:val="00CC5589"/>
    <w:rsid w:val="00CD14ED"/>
    <w:rsid w:val="00CD6064"/>
    <w:rsid w:val="00CD6B15"/>
    <w:rsid w:val="00CF3472"/>
    <w:rsid w:val="00D065CF"/>
    <w:rsid w:val="00D07660"/>
    <w:rsid w:val="00D14E49"/>
    <w:rsid w:val="00D176F9"/>
    <w:rsid w:val="00D245CD"/>
    <w:rsid w:val="00D264F7"/>
    <w:rsid w:val="00D31423"/>
    <w:rsid w:val="00D42E9D"/>
    <w:rsid w:val="00D565D4"/>
    <w:rsid w:val="00D56981"/>
    <w:rsid w:val="00D70488"/>
    <w:rsid w:val="00D814F5"/>
    <w:rsid w:val="00D82F29"/>
    <w:rsid w:val="00D91100"/>
    <w:rsid w:val="00D92389"/>
    <w:rsid w:val="00D93070"/>
    <w:rsid w:val="00D93486"/>
    <w:rsid w:val="00D944D3"/>
    <w:rsid w:val="00DA770F"/>
    <w:rsid w:val="00DB1A5A"/>
    <w:rsid w:val="00DB2C24"/>
    <w:rsid w:val="00DB5C43"/>
    <w:rsid w:val="00DC3295"/>
    <w:rsid w:val="00DD4996"/>
    <w:rsid w:val="00DE1A89"/>
    <w:rsid w:val="00DE2F46"/>
    <w:rsid w:val="00E03BE1"/>
    <w:rsid w:val="00E15FD4"/>
    <w:rsid w:val="00E16929"/>
    <w:rsid w:val="00E20D18"/>
    <w:rsid w:val="00E364B0"/>
    <w:rsid w:val="00E41AE3"/>
    <w:rsid w:val="00E41E57"/>
    <w:rsid w:val="00E53FFB"/>
    <w:rsid w:val="00E543E3"/>
    <w:rsid w:val="00E55ADD"/>
    <w:rsid w:val="00E56C92"/>
    <w:rsid w:val="00E6013D"/>
    <w:rsid w:val="00E60763"/>
    <w:rsid w:val="00E60AF5"/>
    <w:rsid w:val="00E673C2"/>
    <w:rsid w:val="00E73DED"/>
    <w:rsid w:val="00E7700F"/>
    <w:rsid w:val="00E7701A"/>
    <w:rsid w:val="00E80F6A"/>
    <w:rsid w:val="00E8576D"/>
    <w:rsid w:val="00E9398D"/>
    <w:rsid w:val="00EA02BA"/>
    <w:rsid w:val="00EA0DF6"/>
    <w:rsid w:val="00EA1D3E"/>
    <w:rsid w:val="00EA3316"/>
    <w:rsid w:val="00EA33AA"/>
    <w:rsid w:val="00EB3624"/>
    <w:rsid w:val="00EC0022"/>
    <w:rsid w:val="00EC2D82"/>
    <w:rsid w:val="00EC4184"/>
    <w:rsid w:val="00EC4287"/>
    <w:rsid w:val="00ED12C8"/>
    <w:rsid w:val="00ED375A"/>
    <w:rsid w:val="00ED3E88"/>
    <w:rsid w:val="00ED4703"/>
    <w:rsid w:val="00EE4A1E"/>
    <w:rsid w:val="00EE532F"/>
    <w:rsid w:val="00EE5750"/>
    <w:rsid w:val="00EE5F1C"/>
    <w:rsid w:val="00EF6273"/>
    <w:rsid w:val="00EF7272"/>
    <w:rsid w:val="00F00124"/>
    <w:rsid w:val="00F06690"/>
    <w:rsid w:val="00F12889"/>
    <w:rsid w:val="00F1292E"/>
    <w:rsid w:val="00F15A41"/>
    <w:rsid w:val="00F24278"/>
    <w:rsid w:val="00F26C32"/>
    <w:rsid w:val="00F31C27"/>
    <w:rsid w:val="00F353A8"/>
    <w:rsid w:val="00F42D42"/>
    <w:rsid w:val="00F45B2A"/>
    <w:rsid w:val="00F52DD2"/>
    <w:rsid w:val="00F54375"/>
    <w:rsid w:val="00F54B41"/>
    <w:rsid w:val="00F614EC"/>
    <w:rsid w:val="00F617BB"/>
    <w:rsid w:val="00F63880"/>
    <w:rsid w:val="00F70FBD"/>
    <w:rsid w:val="00F84CFB"/>
    <w:rsid w:val="00F86E73"/>
    <w:rsid w:val="00F8719A"/>
    <w:rsid w:val="00F8723B"/>
    <w:rsid w:val="00F920E7"/>
    <w:rsid w:val="00F929CD"/>
    <w:rsid w:val="00F939BE"/>
    <w:rsid w:val="00F96A01"/>
    <w:rsid w:val="00FA1813"/>
    <w:rsid w:val="00FA2573"/>
    <w:rsid w:val="00FA572C"/>
    <w:rsid w:val="00FC1027"/>
    <w:rsid w:val="00FC17AE"/>
    <w:rsid w:val="00FD0886"/>
    <w:rsid w:val="00FD35AE"/>
    <w:rsid w:val="00FD5A1A"/>
    <w:rsid w:val="00FD63AF"/>
    <w:rsid w:val="00FE3960"/>
    <w:rsid w:val="00FF03D7"/>
    <w:rsid w:val="00FF38F6"/>
    <w:rsid w:val="00FF5294"/>
    <w:rsid w:val="00FF57FA"/>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F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36"/>
    <w:pPr>
      <w:spacing w:after="100" w:line="400" w:lineRule="exact"/>
      <w:jc w:val="both"/>
    </w:pPr>
    <w:rPr>
      <w:rFonts w:ascii="Century Schoolbook" w:hAnsi="Century Schoolbook"/>
      <w:sz w:val="27"/>
    </w:rPr>
  </w:style>
  <w:style w:type="paragraph" w:styleId="Heading1">
    <w:name w:val="heading 1"/>
    <w:basedOn w:val="Normal"/>
    <w:next w:val="Normal"/>
    <w:qFormat/>
    <w:rsid w:val="00C01336"/>
    <w:pPr>
      <w:keepNext/>
      <w:spacing w:before="140" w:line="240" w:lineRule="atLeast"/>
      <w:jc w:val="center"/>
      <w:outlineLvl w:val="0"/>
    </w:pPr>
    <w:rPr>
      <w:b/>
      <w:smallCaps/>
    </w:rPr>
  </w:style>
  <w:style w:type="paragraph" w:styleId="Heading2">
    <w:name w:val="heading 2"/>
    <w:basedOn w:val="Normal"/>
    <w:next w:val="Normal"/>
    <w:qFormat/>
    <w:rsid w:val="00C0133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01336"/>
    <w:pPr>
      <w:keepNext/>
      <w:tabs>
        <w:tab w:val="left" w:pos="1584"/>
      </w:tabs>
      <w:spacing w:before="140" w:line="240" w:lineRule="atLeast"/>
      <w:ind w:left="1584" w:hanging="432"/>
      <w:jc w:val="left"/>
      <w:outlineLvl w:val="2"/>
    </w:pPr>
    <w:rPr>
      <w:i/>
    </w:rPr>
  </w:style>
  <w:style w:type="paragraph" w:styleId="Heading4">
    <w:name w:val="heading 4"/>
    <w:basedOn w:val="Normal"/>
    <w:rsid w:val="00C01336"/>
    <w:pPr>
      <w:keepNext/>
      <w:tabs>
        <w:tab w:val="left" w:pos="2016"/>
      </w:tabs>
      <w:spacing w:before="140" w:line="240" w:lineRule="atLeast"/>
      <w:ind w:left="2016" w:hanging="432"/>
      <w:jc w:val="left"/>
      <w:outlineLvl w:val="3"/>
    </w:pPr>
    <w:rPr>
      <w:i/>
    </w:rPr>
  </w:style>
  <w:style w:type="paragraph" w:styleId="Heading5">
    <w:name w:val="heading 5"/>
    <w:basedOn w:val="Normal"/>
    <w:rsid w:val="00C0133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01336"/>
    <w:pPr>
      <w:ind w:left="720"/>
    </w:pPr>
  </w:style>
  <w:style w:type="paragraph" w:styleId="Footer">
    <w:name w:val="footer"/>
    <w:basedOn w:val="Normal"/>
    <w:link w:val="FooterChar"/>
    <w:uiPriority w:val="99"/>
    <w:qFormat/>
    <w:rsid w:val="00C01336"/>
    <w:pPr>
      <w:tabs>
        <w:tab w:val="center" w:pos="3960"/>
        <w:tab w:val="right" w:pos="10080"/>
      </w:tabs>
      <w:spacing w:after="0" w:line="240" w:lineRule="auto"/>
      <w:jc w:val="center"/>
    </w:pPr>
    <w:rPr>
      <w:sz w:val="22"/>
    </w:rPr>
  </w:style>
  <w:style w:type="paragraph" w:styleId="Header">
    <w:name w:val="header"/>
    <w:basedOn w:val="Normal"/>
    <w:qFormat/>
    <w:rsid w:val="00C0133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01336"/>
    <w:rPr>
      <w:rFonts w:ascii="Century Schoolbook" w:hAnsi="Century Schoolbook"/>
      <w:b/>
      <w:i w:val="0"/>
      <w:position w:val="4"/>
      <w:sz w:val="27"/>
      <w:vertAlign w:val="superscript"/>
    </w:rPr>
  </w:style>
  <w:style w:type="paragraph" w:styleId="FootnoteText">
    <w:name w:val="footnote text"/>
    <w:basedOn w:val="Normal"/>
    <w:rsid w:val="00C01336"/>
    <w:pPr>
      <w:spacing w:line="300" w:lineRule="exact"/>
    </w:pPr>
  </w:style>
  <w:style w:type="paragraph" w:customStyle="1" w:styleId="Title1">
    <w:name w:val="Title1"/>
    <w:basedOn w:val="Normal"/>
    <w:rsid w:val="00C01336"/>
    <w:pPr>
      <w:tabs>
        <w:tab w:val="left" w:pos="5760"/>
        <w:tab w:val="left" w:pos="6480"/>
      </w:tabs>
      <w:spacing w:line="240" w:lineRule="atLeast"/>
    </w:pPr>
  </w:style>
  <w:style w:type="paragraph" w:customStyle="1" w:styleId="Recommend">
    <w:name w:val="Recommend"/>
    <w:basedOn w:val="Normal"/>
    <w:rsid w:val="00C01336"/>
  </w:style>
  <w:style w:type="paragraph" w:customStyle="1" w:styleId="Summary">
    <w:name w:val="Summary"/>
    <w:basedOn w:val="Normal"/>
    <w:rsid w:val="00C01336"/>
    <w:pPr>
      <w:ind w:left="2160" w:hanging="2160"/>
    </w:pPr>
  </w:style>
  <w:style w:type="paragraph" w:customStyle="1" w:styleId="Text">
    <w:name w:val="Text"/>
    <w:basedOn w:val="Normal"/>
    <w:link w:val="TextChar"/>
    <w:rsid w:val="00C01336"/>
    <w:pPr>
      <w:tabs>
        <w:tab w:val="left" w:pos="720"/>
        <w:tab w:val="left" w:pos="1440"/>
        <w:tab w:val="left" w:pos="2160"/>
        <w:tab w:val="center" w:pos="4320"/>
      </w:tabs>
      <w:spacing w:line="480" w:lineRule="atLeast"/>
      <w:ind w:firstLine="540"/>
    </w:pPr>
  </w:style>
  <w:style w:type="paragraph" w:styleId="Date">
    <w:name w:val="Date"/>
    <w:basedOn w:val="Normal"/>
    <w:semiHidden/>
    <w:rsid w:val="00C01336"/>
    <w:pPr>
      <w:jc w:val="right"/>
    </w:pPr>
  </w:style>
  <w:style w:type="character" w:styleId="PageNumber">
    <w:name w:val="page number"/>
    <w:basedOn w:val="DefaultParagraphFont"/>
    <w:semiHidden/>
    <w:rsid w:val="00C01336"/>
  </w:style>
  <w:style w:type="paragraph" w:customStyle="1" w:styleId="subject">
    <w:name w:val="subject"/>
    <w:basedOn w:val="Normal"/>
    <w:rsid w:val="00C01336"/>
    <w:pPr>
      <w:tabs>
        <w:tab w:val="left" w:pos="1008"/>
      </w:tabs>
      <w:ind w:left="990" w:hanging="990"/>
    </w:pPr>
    <w:rPr>
      <w:b/>
    </w:rPr>
  </w:style>
  <w:style w:type="paragraph" w:customStyle="1" w:styleId="Titles">
    <w:name w:val="Titles"/>
    <w:basedOn w:val="Normal"/>
    <w:rsid w:val="00C01336"/>
    <w:pPr>
      <w:tabs>
        <w:tab w:val="left" w:pos="2160"/>
      </w:tabs>
      <w:ind w:left="2160" w:hanging="2160"/>
    </w:pPr>
    <w:rPr>
      <w:b/>
    </w:rPr>
  </w:style>
  <w:style w:type="paragraph" w:styleId="TOAHeading">
    <w:name w:val="toa heading"/>
    <w:basedOn w:val="Normal"/>
    <w:next w:val="Normal"/>
    <w:semiHidden/>
    <w:rsid w:val="00C01336"/>
    <w:pPr>
      <w:spacing w:before="120"/>
    </w:pPr>
    <w:rPr>
      <w:b/>
    </w:rPr>
  </w:style>
  <w:style w:type="paragraph" w:styleId="TOC1">
    <w:name w:val="toc 1"/>
    <w:basedOn w:val="Normal"/>
    <w:next w:val="Normal"/>
    <w:autoRedefine/>
    <w:semiHidden/>
    <w:rsid w:val="00C01336"/>
  </w:style>
  <w:style w:type="paragraph" w:styleId="TOC2">
    <w:name w:val="toc 2"/>
    <w:basedOn w:val="Normal"/>
    <w:next w:val="Normal"/>
    <w:autoRedefine/>
    <w:semiHidden/>
    <w:rsid w:val="00C01336"/>
    <w:pPr>
      <w:ind w:left="259"/>
    </w:pPr>
  </w:style>
  <w:style w:type="paragraph" w:styleId="TOC3">
    <w:name w:val="toc 3"/>
    <w:basedOn w:val="Normal"/>
    <w:next w:val="Normal"/>
    <w:autoRedefine/>
    <w:semiHidden/>
    <w:rsid w:val="00C01336"/>
    <w:pPr>
      <w:ind w:left="520"/>
    </w:pPr>
  </w:style>
  <w:style w:type="paragraph" w:styleId="TOC4">
    <w:name w:val="toc 4"/>
    <w:basedOn w:val="Normal"/>
    <w:next w:val="Normal"/>
    <w:autoRedefine/>
    <w:semiHidden/>
    <w:rsid w:val="00C01336"/>
    <w:pPr>
      <w:ind w:left="780"/>
    </w:pPr>
  </w:style>
  <w:style w:type="paragraph" w:styleId="TOC5">
    <w:name w:val="toc 5"/>
    <w:basedOn w:val="Normal"/>
    <w:next w:val="Normal"/>
    <w:autoRedefine/>
    <w:semiHidden/>
    <w:rsid w:val="00C01336"/>
    <w:pPr>
      <w:ind w:left="1040"/>
    </w:pPr>
  </w:style>
  <w:style w:type="paragraph" w:styleId="TOC6">
    <w:name w:val="toc 6"/>
    <w:basedOn w:val="Normal"/>
    <w:next w:val="Normal"/>
    <w:autoRedefine/>
    <w:semiHidden/>
    <w:rsid w:val="00C01336"/>
    <w:pPr>
      <w:ind w:left="1300"/>
    </w:pPr>
  </w:style>
  <w:style w:type="paragraph" w:styleId="TOC7">
    <w:name w:val="toc 7"/>
    <w:basedOn w:val="Normal"/>
    <w:next w:val="Normal"/>
    <w:autoRedefine/>
    <w:semiHidden/>
    <w:rsid w:val="00C01336"/>
    <w:pPr>
      <w:ind w:left="1560"/>
    </w:pPr>
  </w:style>
  <w:style w:type="paragraph" w:styleId="TOC8">
    <w:name w:val="toc 8"/>
    <w:basedOn w:val="Normal"/>
    <w:next w:val="Normal"/>
    <w:autoRedefine/>
    <w:semiHidden/>
    <w:rsid w:val="00C01336"/>
    <w:pPr>
      <w:ind w:left="1820"/>
    </w:pPr>
  </w:style>
  <w:style w:type="paragraph" w:styleId="TOC9">
    <w:name w:val="toc 9"/>
    <w:basedOn w:val="Normal"/>
    <w:next w:val="Normal"/>
    <w:autoRedefine/>
    <w:semiHidden/>
    <w:rsid w:val="00C01336"/>
    <w:pPr>
      <w:ind w:left="2080"/>
    </w:pPr>
  </w:style>
  <w:style w:type="paragraph" w:customStyle="1" w:styleId="Contents">
    <w:name w:val="Contents"/>
    <w:basedOn w:val="Normal"/>
    <w:rsid w:val="00C01336"/>
    <w:pPr>
      <w:jc w:val="center"/>
    </w:pPr>
    <w:rPr>
      <w:b/>
      <w:spacing w:val="100"/>
    </w:rPr>
  </w:style>
  <w:style w:type="character" w:customStyle="1" w:styleId="TextChar">
    <w:name w:val="Text Char"/>
    <w:basedOn w:val="DefaultParagraphFont"/>
    <w:link w:val="Text"/>
    <w:locked/>
    <w:rsid w:val="000C1A62"/>
    <w:rPr>
      <w:rFonts w:ascii="Century Schoolbook" w:hAnsi="Century Schoolbook"/>
      <w:sz w:val="27"/>
    </w:rPr>
  </w:style>
  <w:style w:type="character" w:styleId="Hyperlink">
    <w:name w:val="Hyperlink"/>
    <w:basedOn w:val="DefaultParagraphFont"/>
    <w:uiPriority w:val="99"/>
    <w:unhideWhenUsed/>
    <w:rsid w:val="000C1A62"/>
    <w:rPr>
      <w:color w:val="0000FF" w:themeColor="hyperlink"/>
      <w:u w:val="single"/>
    </w:rPr>
  </w:style>
  <w:style w:type="character" w:styleId="FollowedHyperlink">
    <w:name w:val="FollowedHyperlink"/>
    <w:basedOn w:val="DefaultParagraphFont"/>
    <w:uiPriority w:val="99"/>
    <w:semiHidden/>
    <w:unhideWhenUsed/>
    <w:rsid w:val="0003051E"/>
    <w:rPr>
      <w:color w:val="800080" w:themeColor="followedHyperlink"/>
      <w:u w:val="single"/>
    </w:rPr>
  </w:style>
  <w:style w:type="character" w:styleId="CommentReference">
    <w:name w:val="annotation reference"/>
    <w:basedOn w:val="DefaultParagraphFont"/>
    <w:uiPriority w:val="99"/>
    <w:semiHidden/>
    <w:unhideWhenUsed/>
    <w:rsid w:val="00B6565E"/>
    <w:rPr>
      <w:sz w:val="16"/>
      <w:szCs w:val="16"/>
    </w:rPr>
  </w:style>
  <w:style w:type="paragraph" w:styleId="CommentText">
    <w:name w:val="annotation text"/>
    <w:basedOn w:val="Normal"/>
    <w:link w:val="CommentTextChar"/>
    <w:uiPriority w:val="99"/>
    <w:unhideWhenUsed/>
    <w:rsid w:val="00B6565E"/>
    <w:rPr>
      <w:sz w:val="20"/>
    </w:rPr>
  </w:style>
  <w:style w:type="character" w:customStyle="1" w:styleId="CommentTextChar">
    <w:name w:val="Comment Text Char"/>
    <w:basedOn w:val="DefaultParagraphFont"/>
    <w:link w:val="CommentText"/>
    <w:uiPriority w:val="99"/>
    <w:rsid w:val="00B6565E"/>
  </w:style>
  <w:style w:type="paragraph" w:styleId="CommentSubject">
    <w:name w:val="annotation subject"/>
    <w:basedOn w:val="CommentText"/>
    <w:next w:val="CommentText"/>
    <w:link w:val="CommentSubjectChar"/>
    <w:uiPriority w:val="99"/>
    <w:semiHidden/>
    <w:unhideWhenUsed/>
    <w:rsid w:val="00B6565E"/>
    <w:rPr>
      <w:b/>
      <w:bCs/>
    </w:rPr>
  </w:style>
  <w:style w:type="character" w:customStyle="1" w:styleId="CommentSubjectChar">
    <w:name w:val="Comment Subject Char"/>
    <w:basedOn w:val="CommentTextChar"/>
    <w:link w:val="CommentSubject"/>
    <w:uiPriority w:val="99"/>
    <w:semiHidden/>
    <w:rsid w:val="00B6565E"/>
    <w:rPr>
      <w:b/>
      <w:bCs/>
    </w:rPr>
  </w:style>
  <w:style w:type="paragraph" w:styleId="Revision">
    <w:name w:val="Revision"/>
    <w:hidden/>
    <w:uiPriority w:val="99"/>
    <w:semiHidden/>
    <w:rsid w:val="00B6565E"/>
    <w:rPr>
      <w:sz w:val="26"/>
    </w:rPr>
  </w:style>
  <w:style w:type="character" w:styleId="UnresolvedMention">
    <w:name w:val="Unresolved Mention"/>
    <w:basedOn w:val="DefaultParagraphFont"/>
    <w:uiPriority w:val="99"/>
    <w:semiHidden/>
    <w:unhideWhenUsed/>
    <w:rsid w:val="00067537"/>
    <w:rPr>
      <w:color w:val="605E5C"/>
      <w:shd w:val="clear" w:color="auto" w:fill="E1DFDD"/>
    </w:rPr>
  </w:style>
  <w:style w:type="paragraph" w:styleId="BodyText">
    <w:name w:val="Body Text"/>
    <w:basedOn w:val="Normal"/>
    <w:link w:val="BodyTextChar"/>
    <w:qFormat/>
    <w:rsid w:val="00C01336"/>
  </w:style>
  <w:style w:type="character" w:customStyle="1" w:styleId="BodyTextChar">
    <w:name w:val="Body Text Char"/>
    <w:basedOn w:val="DefaultParagraphFont"/>
    <w:link w:val="BodyText"/>
    <w:rsid w:val="00C01336"/>
    <w:rPr>
      <w:rFonts w:ascii="Century Schoolbook" w:hAnsi="Century Schoolbook"/>
      <w:sz w:val="27"/>
    </w:rPr>
  </w:style>
  <w:style w:type="character" w:customStyle="1" w:styleId="FooterChar">
    <w:name w:val="Footer Char"/>
    <w:basedOn w:val="DefaultParagraphFont"/>
    <w:link w:val="Footer"/>
    <w:uiPriority w:val="99"/>
    <w:rsid w:val="001D25C0"/>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4382">
      <w:bodyDiv w:val="1"/>
      <w:marLeft w:val="0"/>
      <w:marRight w:val="0"/>
      <w:marTop w:val="0"/>
      <w:marBottom w:val="0"/>
      <w:divBdr>
        <w:top w:val="none" w:sz="0" w:space="0" w:color="auto"/>
        <w:left w:val="none" w:sz="0" w:space="0" w:color="auto"/>
        <w:bottom w:val="none" w:sz="0" w:space="0" w:color="auto"/>
        <w:right w:val="none" w:sz="0" w:space="0" w:color="auto"/>
      </w:divBdr>
    </w:div>
    <w:div w:id="1963341424">
      <w:bodyDiv w:val="1"/>
      <w:marLeft w:val="0"/>
      <w:marRight w:val="0"/>
      <w:marTop w:val="0"/>
      <w:marBottom w:val="0"/>
      <w:divBdr>
        <w:top w:val="none" w:sz="0" w:space="0" w:color="auto"/>
        <w:left w:val="none" w:sz="0" w:space="0" w:color="auto"/>
        <w:bottom w:val="none" w:sz="0" w:space="0" w:color="auto"/>
        <w:right w:val="none" w:sz="0" w:space="0" w:color="auto"/>
      </w:divBdr>
    </w:div>
    <w:div w:id="20236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AB53-3C19-44B3-B1D3-DA0E7A31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3686</Words>
  <Characters>19478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2023-05-24T17:30:00Z</dcterms:created>
  <dcterms:modified xsi:type="dcterms:W3CDTF">2023-05-24T17:33:00Z</dcterms:modified>
</cp:coreProperties>
</file>