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F08D" w14:textId="77777777" w:rsidR="00781AC4" w:rsidRPr="00A415D3" w:rsidRDefault="00AE6959" w:rsidP="00781AC4">
      <w:pPr>
        <w:spacing w:after="0"/>
        <w:jc w:val="center"/>
        <w:rPr>
          <w:sz w:val="36"/>
        </w:rPr>
      </w:pPr>
      <w:r w:rsidRPr="00A415D3">
        <w:rPr>
          <w:b/>
          <w:sz w:val="36"/>
        </w:rPr>
        <w:t>IN THE SUPREME COURT OF CALIFORNIA</w:t>
      </w:r>
    </w:p>
    <w:p w14:paraId="3F29F08E" w14:textId="77777777" w:rsidR="00781AC4" w:rsidRPr="00A415D3" w:rsidRDefault="00781AC4" w:rsidP="00781AC4">
      <w:pPr>
        <w:spacing w:after="0"/>
        <w:jc w:val="center"/>
      </w:pPr>
    </w:p>
    <w:p w14:paraId="3F29F08F" w14:textId="77777777" w:rsidR="00781AC4" w:rsidRPr="00A415D3" w:rsidRDefault="00AE6959" w:rsidP="00781AC4">
      <w:pPr>
        <w:spacing w:after="0"/>
        <w:jc w:val="center"/>
      </w:pPr>
      <w:r w:rsidRPr="00A415D3">
        <w:t>MARIO RODRIGUEZ,</w:t>
      </w:r>
    </w:p>
    <w:p w14:paraId="3F29F090" w14:textId="77777777" w:rsidR="00781AC4" w:rsidRPr="00A415D3" w:rsidRDefault="00AE6959" w:rsidP="00781AC4">
      <w:pPr>
        <w:spacing w:after="0"/>
        <w:jc w:val="center"/>
      </w:pPr>
      <w:r w:rsidRPr="00A415D3">
        <w:t>Petitioner</w:t>
      </w:r>
      <w:r w:rsidR="00E47AE5" w:rsidRPr="00A415D3">
        <w:t>,</w:t>
      </w:r>
    </w:p>
    <w:p w14:paraId="3F29F091" w14:textId="77777777" w:rsidR="00781AC4" w:rsidRPr="00A415D3" w:rsidRDefault="00AE6959" w:rsidP="00781AC4">
      <w:pPr>
        <w:spacing w:after="0"/>
        <w:jc w:val="center"/>
      </w:pPr>
      <w:r w:rsidRPr="00A415D3">
        <w:t>v.</w:t>
      </w:r>
    </w:p>
    <w:p w14:paraId="3F29F092" w14:textId="77777777" w:rsidR="00781AC4" w:rsidRPr="00A415D3" w:rsidRDefault="00AE6959" w:rsidP="00781AC4">
      <w:pPr>
        <w:spacing w:after="0"/>
        <w:jc w:val="center"/>
      </w:pPr>
      <w:r>
        <w:t xml:space="preserve">THE </w:t>
      </w:r>
      <w:r w:rsidRPr="00A415D3">
        <w:t>SUPERIOR COURT OF SANTA CLARA COUNTY,</w:t>
      </w:r>
    </w:p>
    <w:p w14:paraId="3F29F093" w14:textId="77777777" w:rsidR="00781AC4" w:rsidRPr="00A415D3" w:rsidRDefault="00AE6959" w:rsidP="00781AC4">
      <w:pPr>
        <w:spacing w:after="120"/>
        <w:jc w:val="center"/>
      </w:pPr>
      <w:r w:rsidRPr="00A415D3">
        <w:t>Respondent;</w:t>
      </w:r>
    </w:p>
    <w:p w14:paraId="3F29F094" w14:textId="77777777" w:rsidR="00781AC4" w:rsidRPr="00A415D3" w:rsidRDefault="00AE6959" w:rsidP="00781AC4">
      <w:pPr>
        <w:spacing w:after="0"/>
        <w:jc w:val="center"/>
      </w:pPr>
      <w:r w:rsidRPr="00A415D3">
        <w:t>THE PEOPLE,</w:t>
      </w:r>
    </w:p>
    <w:p w14:paraId="3F29F095" w14:textId="77777777" w:rsidR="00781AC4" w:rsidRPr="00A415D3" w:rsidRDefault="00AE6959" w:rsidP="00781AC4">
      <w:pPr>
        <w:spacing w:after="0"/>
        <w:jc w:val="center"/>
      </w:pPr>
      <w:r w:rsidRPr="00A415D3">
        <w:t>Real Party in Interest.</w:t>
      </w:r>
    </w:p>
    <w:p w14:paraId="3F29F096" w14:textId="77777777" w:rsidR="00781AC4" w:rsidRPr="00A415D3" w:rsidRDefault="00781AC4" w:rsidP="00781AC4">
      <w:pPr>
        <w:spacing w:after="0"/>
        <w:jc w:val="center"/>
      </w:pPr>
    </w:p>
    <w:p w14:paraId="3F29F097" w14:textId="77777777" w:rsidR="00781AC4" w:rsidRPr="00A415D3" w:rsidRDefault="00AE6959" w:rsidP="00781AC4">
      <w:pPr>
        <w:spacing w:after="0"/>
        <w:jc w:val="center"/>
      </w:pPr>
      <w:r w:rsidRPr="00A415D3">
        <w:t>S272129</w:t>
      </w:r>
    </w:p>
    <w:p w14:paraId="3F29F098" w14:textId="77777777" w:rsidR="00781AC4" w:rsidRPr="00A415D3" w:rsidRDefault="00781AC4" w:rsidP="00781AC4">
      <w:pPr>
        <w:spacing w:after="0"/>
        <w:jc w:val="center"/>
      </w:pPr>
    </w:p>
    <w:p w14:paraId="3F29F099" w14:textId="77777777" w:rsidR="00781AC4" w:rsidRPr="00A415D3" w:rsidRDefault="00AE6959" w:rsidP="00781AC4">
      <w:pPr>
        <w:spacing w:after="0"/>
        <w:jc w:val="center"/>
      </w:pPr>
      <w:r w:rsidRPr="00A415D3">
        <w:t>Sixth Appellate District</w:t>
      </w:r>
    </w:p>
    <w:p w14:paraId="3F29F09A" w14:textId="77777777" w:rsidR="00781AC4" w:rsidRPr="00A415D3" w:rsidRDefault="00AE6959" w:rsidP="00781AC4">
      <w:pPr>
        <w:spacing w:after="0"/>
        <w:jc w:val="center"/>
      </w:pPr>
      <w:r w:rsidRPr="00A415D3">
        <w:t>H049016</w:t>
      </w:r>
    </w:p>
    <w:p w14:paraId="3F29F09B" w14:textId="77777777" w:rsidR="00781AC4" w:rsidRPr="00A415D3" w:rsidRDefault="00781AC4" w:rsidP="00781AC4">
      <w:pPr>
        <w:spacing w:after="0"/>
        <w:jc w:val="center"/>
      </w:pPr>
    </w:p>
    <w:p w14:paraId="3F29F09C" w14:textId="77777777" w:rsidR="00781AC4" w:rsidRPr="00A415D3" w:rsidRDefault="00AE6959" w:rsidP="00781AC4">
      <w:pPr>
        <w:spacing w:after="0"/>
        <w:jc w:val="center"/>
      </w:pPr>
      <w:r w:rsidRPr="00A415D3">
        <w:t>Santa Clara County Superior Court</w:t>
      </w:r>
    </w:p>
    <w:p w14:paraId="3F29F09D" w14:textId="77777777" w:rsidR="00781AC4" w:rsidRPr="00A415D3" w:rsidRDefault="00AE6959" w:rsidP="00781AC4">
      <w:pPr>
        <w:pBdr>
          <w:bottom w:val="single" w:sz="4" w:space="1" w:color="auto"/>
        </w:pBdr>
        <w:spacing w:after="0"/>
        <w:jc w:val="center"/>
      </w:pPr>
      <w:r w:rsidRPr="00A415D3">
        <w:t xml:space="preserve">C1647395, </w:t>
      </w:r>
      <w:r w:rsidRPr="00A415D3">
        <w:t>C1650275</w:t>
      </w:r>
    </w:p>
    <w:p w14:paraId="3F29F09E" w14:textId="77777777" w:rsidR="00781AC4" w:rsidRPr="00A415D3" w:rsidRDefault="00781AC4" w:rsidP="00781AC4">
      <w:pPr>
        <w:pBdr>
          <w:bottom w:val="single" w:sz="4" w:space="1" w:color="auto"/>
        </w:pBdr>
        <w:spacing w:after="0"/>
        <w:jc w:val="center"/>
      </w:pPr>
    </w:p>
    <w:p w14:paraId="3F29F09F" w14:textId="77777777" w:rsidR="00781AC4" w:rsidRPr="00A415D3" w:rsidRDefault="00781AC4" w:rsidP="00781AC4">
      <w:pPr>
        <w:spacing w:after="0"/>
        <w:jc w:val="center"/>
      </w:pPr>
    </w:p>
    <w:p w14:paraId="3F29F0A0" w14:textId="77777777" w:rsidR="00781AC4" w:rsidRPr="00A415D3" w:rsidRDefault="00AE6959" w:rsidP="00781AC4">
      <w:pPr>
        <w:spacing w:after="0"/>
        <w:jc w:val="center"/>
      </w:pPr>
      <w:r>
        <w:t>December 14</w:t>
      </w:r>
      <w:r w:rsidRPr="00A415D3">
        <w:t>, 2023</w:t>
      </w:r>
    </w:p>
    <w:p w14:paraId="3F29F0A1" w14:textId="77777777" w:rsidR="00781AC4" w:rsidRPr="00A415D3" w:rsidRDefault="00781AC4" w:rsidP="00781AC4">
      <w:pPr>
        <w:spacing w:after="0"/>
        <w:jc w:val="center"/>
      </w:pPr>
    </w:p>
    <w:p w14:paraId="3F29F0A2" w14:textId="77777777" w:rsidR="00781AC4" w:rsidRPr="00A415D3" w:rsidRDefault="00AE6959" w:rsidP="00781AC4">
      <w:pPr>
        <w:spacing w:after="0"/>
        <w:jc w:val="left"/>
      </w:pPr>
      <w:r w:rsidRPr="00A415D3">
        <w:t xml:space="preserve">Chief Justice Guerrero authored the opinion of the Court, in which </w:t>
      </w:r>
      <w:r w:rsidR="00B3431F">
        <w:t>Justices Corrigan, Liu, Kruger, Groban, Jenkins, and Evans</w:t>
      </w:r>
      <w:r w:rsidRPr="00A415D3">
        <w:t xml:space="preserve"> concurred.</w:t>
      </w:r>
    </w:p>
    <w:p w14:paraId="3F29F0A4" w14:textId="77777777" w:rsidR="00781AC4" w:rsidRPr="00A415D3" w:rsidRDefault="00781AC4" w:rsidP="00781AC4">
      <w:pPr>
        <w:pBdr>
          <w:bottom w:val="single" w:sz="4" w:space="1" w:color="auto"/>
        </w:pBdr>
        <w:spacing w:after="0"/>
        <w:jc w:val="left"/>
      </w:pPr>
    </w:p>
    <w:p w14:paraId="3F29F0A5" w14:textId="77777777" w:rsidR="00781AC4" w:rsidRPr="00A415D3" w:rsidRDefault="00781AC4" w:rsidP="00781AC4">
      <w:pPr>
        <w:pBdr>
          <w:bottom w:val="single" w:sz="4" w:space="1" w:color="auto"/>
        </w:pBdr>
        <w:jc w:val="left"/>
        <w:sectPr w:rsidR="00781AC4" w:rsidRPr="00A415D3" w:rsidSect="00572F57">
          <w:headerReference w:type="default" r:id="rId8"/>
          <w:footerReference w:type="default" r:id="rId9"/>
          <w:pgSz w:w="12240" w:h="15840"/>
          <w:pgMar w:top="1800" w:right="2160" w:bottom="1440" w:left="2160" w:header="720" w:footer="720" w:gutter="0"/>
          <w:cols w:space="720"/>
          <w:titlePg/>
          <w:docGrid w:linePitch="367"/>
        </w:sectPr>
      </w:pPr>
      <w:bookmarkStart w:id="0" w:name="Return"/>
      <w:bookmarkEnd w:id="0"/>
    </w:p>
    <w:p w14:paraId="3F29F0A6" w14:textId="77777777" w:rsidR="00781AC4" w:rsidRPr="00A415D3" w:rsidRDefault="00AE6959" w:rsidP="00781AC4">
      <w:pPr>
        <w:tabs>
          <w:tab w:val="left" w:pos="1440"/>
        </w:tabs>
        <w:spacing w:before="240"/>
        <w:jc w:val="center"/>
        <w:rPr>
          <w:bCs/>
          <w:caps/>
        </w:rPr>
      </w:pPr>
      <w:r w:rsidRPr="00A415D3">
        <w:rPr>
          <w:bCs/>
          <w:caps/>
        </w:rPr>
        <w:lastRenderedPageBreak/>
        <w:t xml:space="preserve">rodriguez </w:t>
      </w:r>
      <w:r w:rsidRPr="00A415D3">
        <w:rPr>
          <w:bCs/>
        </w:rPr>
        <w:t>v</w:t>
      </w:r>
      <w:r w:rsidRPr="00A415D3">
        <w:rPr>
          <w:bCs/>
          <w:caps/>
        </w:rPr>
        <w:t>. superior court</w:t>
      </w:r>
    </w:p>
    <w:p w14:paraId="3F29F0A7" w14:textId="77777777" w:rsidR="00781AC4" w:rsidRPr="00A415D3" w:rsidRDefault="00AE6959" w:rsidP="00781AC4">
      <w:pPr>
        <w:tabs>
          <w:tab w:val="left" w:pos="1440"/>
        </w:tabs>
        <w:spacing w:before="240"/>
        <w:jc w:val="center"/>
        <w:rPr>
          <w:bCs/>
          <w:caps/>
        </w:rPr>
      </w:pPr>
      <w:r w:rsidRPr="00A415D3">
        <w:rPr>
          <w:bCs/>
          <w:caps/>
        </w:rPr>
        <w:t>S272129</w:t>
      </w:r>
    </w:p>
    <w:p w14:paraId="3F29F0A8" w14:textId="77777777" w:rsidR="00781AC4" w:rsidRPr="00A415D3" w:rsidRDefault="00781AC4" w:rsidP="00781AC4">
      <w:pPr>
        <w:tabs>
          <w:tab w:val="left" w:pos="1440"/>
        </w:tabs>
        <w:spacing w:before="240"/>
        <w:jc w:val="center"/>
        <w:rPr>
          <w:b/>
          <w:caps/>
        </w:rPr>
      </w:pPr>
    </w:p>
    <w:p w14:paraId="3F29F0A9" w14:textId="77777777" w:rsidR="00781AC4" w:rsidRPr="00A415D3" w:rsidRDefault="00AE6959" w:rsidP="00781AC4">
      <w:pPr>
        <w:tabs>
          <w:tab w:val="left" w:pos="1440"/>
        </w:tabs>
        <w:spacing w:before="240"/>
        <w:jc w:val="center"/>
        <w:rPr>
          <w:bCs/>
          <w:caps/>
        </w:rPr>
      </w:pPr>
      <w:r w:rsidRPr="00A415D3">
        <w:rPr>
          <w:bCs/>
        </w:rPr>
        <w:t>Opinion of the Court by Guerrero, C. J.</w:t>
      </w:r>
    </w:p>
    <w:p w14:paraId="3F29F0AA" w14:textId="77777777" w:rsidR="005B6235" w:rsidRPr="00A415D3" w:rsidRDefault="005B6235" w:rsidP="00781AC4">
      <w:pPr>
        <w:tabs>
          <w:tab w:val="left" w:pos="1440"/>
          <w:tab w:val="left" w:pos="4680"/>
          <w:tab w:val="center" w:pos="7200"/>
        </w:tabs>
        <w:jc w:val="center"/>
      </w:pPr>
    </w:p>
    <w:p w14:paraId="3F29F0AB" w14:textId="77777777" w:rsidR="00B75CCC" w:rsidRPr="00A415D3" w:rsidRDefault="00AE6959" w:rsidP="00560442">
      <w:pPr>
        <w:ind w:firstLine="720"/>
      </w:pPr>
      <w:r w:rsidRPr="00A415D3">
        <w:t xml:space="preserve">A criminal defendant cannot be tried while mentally incompetent.  </w:t>
      </w:r>
      <w:r w:rsidR="0093448D" w:rsidRPr="00A415D3">
        <w:t>(Pen. Code, §</w:t>
      </w:r>
      <w:r w:rsidR="002C138B" w:rsidRPr="00A415D3">
        <w:t> </w:t>
      </w:r>
      <w:r w:rsidR="0093448D" w:rsidRPr="00A415D3">
        <w:t>1367, subd. (a).)</w:t>
      </w:r>
      <w:r>
        <w:rPr>
          <w:b/>
          <w:bCs/>
          <w:vertAlign w:val="superscript"/>
        </w:rPr>
        <w:footnoteReference w:id="2"/>
      </w:r>
      <w:r w:rsidR="0093448D" w:rsidRPr="00A415D3">
        <w:t xml:space="preserve">  </w:t>
      </w:r>
      <w:r w:rsidR="00E341D4" w:rsidRPr="00A415D3">
        <w:t>Although s</w:t>
      </w:r>
      <w:r w:rsidRPr="00A415D3">
        <w:t xml:space="preserve">uch </w:t>
      </w:r>
      <w:r w:rsidR="00806B59" w:rsidRPr="00A415D3">
        <w:t>defendants</w:t>
      </w:r>
      <w:r w:rsidRPr="00A415D3">
        <w:t xml:space="preserve"> may be involuntarily committed for the purpose of restoring </w:t>
      </w:r>
      <w:r w:rsidR="00913EA9" w:rsidRPr="00A415D3">
        <w:t>their</w:t>
      </w:r>
      <w:r w:rsidRPr="00A415D3">
        <w:t xml:space="preserve"> competency</w:t>
      </w:r>
      <w:r w:rsidR="00253A68" w:rsidRPr="00A415D3">
        <w:t xml:space="preserve"> (see §</w:t>
      </w:r>
      <w:r w:rsidR="00C91272" w:rsidRPr="00A415D3">
        <w:t> </w:t>
      </w:r>
      <w:r w:rsidR="00253A68" w:rsidRPr="00A415D3">
        <w:t xml:space="preserve">1370; </w:t>
      </w:r>
      <w:r w:rsidR="00253A68" w:rsidRPr="00A415D3">
        <w:rPr>
          <w:i/>
          <w:iCs/>
        </w:rPr>
        <w:t>Jackson v. Superior Court</w:t>
      </w:r>
      <w:r w:rsidR="00253A68" w:rsidRPr="00A415D3">
        <w:t> (2017) 4</w:t>
      </w:r>
      <w:r w:rsidR="00C45EDC" w:rsidRPr="00A415D3">
        <w:t> </w:t>
      </w:r>
      <w:r w:rsidR="00253A68" w:rsidRPr="00A415D3">
        <w:t>Cal.5th 96, 100</w:t>
      </w:r>
      <w:r w:rsidR="0035144B" w:rsidRPr="00A415D3">
        <w:t>–</w:t>
      </w:r>
      <w:r w:rsidR="00253A68" w:rsidRPr="00A415D3">
        <w:t>101)</w:t>
      </w:r>
      <w:r w:rsidR="000A2A1D" w:rsidRPr="00A415D3">
        <w:t xml:space="preserve">, </w:t>
      </w:r>
      <w:r w:rsidR="00E341D4" w:rsidRPr="00A415D3">
        <w:t xml:space="preserve">the commitment may not last </w:t>
      </w:r>
      <w:r w:rsidR="000A2A1D" w:rsidRPr="00A415D3">
        <w:t>indefinitely</w:t>
      </w:r>
      <w:r w:rsidR="00C54542" w:rsidRPr="00A415D3">
        <w:t xml:space="preserve"> (§ 1370, subd. (c)(1); </w:t>
      </w:r>
      <w:r w:rsidR="00C54542" w:rsidRPr="00A415D3">
        <w:rPr>
          <w:i/>
          <w:iCs/>
        </w:rPr>
        <w:t>Jackson v. Indiana</w:t>
      </w:r>
      <w:r w:rsidR="00C54542" w:rsidRPr="00A415D3">
        <w:t xml:space="preserve"> (1972) 406 U.S. 715, 720; </w:t>
      </w:r>
      <w:r w:rsidR="00C54542" w:rsidRPr="00A415D3">
        <w:rPr>
          <w:i/>
          <w:iCs/>
        </w:rPr>
        <w:t>In re Davis</w:t>
      </w:r>
      <w:r w:rsidR="00C54542" w:rsidRPr="00A415D3">
        <w:t> (1973) 8 Cal.3d 798, 801 (</w:t>
      </w:r>
      <w:r w:rsidR="00C54542" w:rsidRPr="00A415D3">
        <w:rPr>
          <w:i/>
          <w:iCs/>
        </w:rPr>
        <w:t>Davis</w:t>
      </w:r>
      <w:r w:rsidR="00C54542" w:rsidRPr="00A415D3">
        <w:t>))</w:t>
      </w:r>
      <w:r w:rsidR="000A2A1D" w:rsidRPr="00A415D3">
        <w:t xml:space="preserve">.  </w:t>
      </w:r>
      <w:r w:rsidR="00E341D4" w:rsidRPr="00A415D3">
        <w:t xml:space="preserve">The statutory scheme governing competency proceedings </w:t>
      </w:r>
      <w:r w:rsidR="00452643" w:rsidRPr="00A415D3">
        <w:t>limit</w:t>
      </w:r>
      <w:r w:rsidR="00B81ACA" w:rsidRPr="00A415D3">
        <w:t>s</w:t>
      </w:r>
      <w:r w:rsidR="00452643" w:rsidRPr="00A415D3">
        <w:t xml:space="preserve"> the term of </w:t>
      </w:r>
      <w:r w:rsidR="00E341D4" w:rsidRPr="00A415D3">
        <w:t>co</w:t>
      </w:r>
      <w:r w:rsidR="00452643" w:rsidRPr="00A415D3">
        <w:t>mmitment</w:t>
      </w:r>
      <w:r w:rsidR="00E341D4" w:rsidRPr="00A415D3">
        <w:t xml:space="preserve">.  </w:t>
      </w:r>
      <w:r w:rsidR="000E2426" w:rsidRPr="00A415D3">
        <w:t>F</w:t>
      </w:r>
      <w:r w:rsidR="000A2A1D" w:rsidRPr="00A415D3">
        <w:t>or individual</w:t>
      </w:r>
      <w:r w:rsidR="00B81ACA" w:rsidRPr="00A415D3">
        <w:t>s</w:t>
      </w:r>
      <w:r w:rsidR="000A2A1D" w:rsidRPr="00A415D3">
        <w:t xml:space="preserve"> like defendant Mario Rodriguez charged with </w:t>
      </w:r>
      <w:r w:rsidR="00E0714C" w:rsidRPr="00A415D3">
        <w:t xml:space="preserve">offenses </w:t>
      </w:r>
      <w:r w:rsidR="009D2D02" w:rsidRPr="00A415D3">
        <w:t xml:space="preserve">that </w:t>
      </w:r>
      <w:r w:rsidR="00BB5411" w:rsidRPr="00A415D3">
        <w:t xml:space="preserve">carry a </w:t>
      </w:r>
      <w:r w:rsidR="00E0714C" w:rsidRPr="00A415D3">
        <w:t>maximum sentence exceed</w:t>
      </w:r>
      <w:r w:rsidR="009D2D02" w:rsidRPr="00A415D3">
        <w:t>ing</w:t>
      </w:r>
      <w:r w:rsidR="00E0714C" w:rsidRPr="00A415D3">
        <w:t xml:space="preserve"> two years</w:t>
      </w:r>
      <w:r w:rsidR="000A2A1D" w:rsidRPr="00A415D3">
        <w:t>, the period of commitment</w:t>
      </w:r>
      <w:r w:rsidR="00BD09EA" w:rsidRPr="00A415D3">
        <w:t xml:space="preserve"> due to incompetency</w:t>
      </w:r>
      <w:r w:rsidR="000A2A1D" w:rsidRPr="00A415D3">
        <w:t xml:space="preserve"> </w:t>
      </w:r>
      <w:r w:rsidR="000E2426" w:rsidRPr="00A415D3">
        <w:t xml:space="preserve">is limited </w:t>
      </w:r>
      <w:r w:rsidR="000A2A1D" w:rsidRPr="00A415D3">
        <w:t>to two years.</w:t>
      </w:r>
      <w:r w:rsidR="000E2426" w:rsidRPr="00A415D3">
        <w:t xml:space="preserve">  (See § 1370, subd. (c)(1).)  </w:t>
      </w:r>
    </w:p>
    <w:p w14:paraId="3F29F0AC" w14:textId="77777777" w:rsidR="006772DE" w:rsidRPr="00A415D3" w:rsidRDefault="00AE6959" w:rsidP="00B324F3">
      <w:pPr>
        <w:ind w:firstLine="720"/>
      </w:pPr>
      <w:r w:rsidRPr="00A415D3">
        <w:t xml:space="preserve">In this case, Rodriguez was adjudged incompetent, committed to a </w:t>
      </w:r>
      <w:r w:rsidR="00A2030A" w:rsidRPr="00A415D3">
        <w:t xml:space="preserve">state hospital, and </w:t>
      </w:r>
      <w:r w:rsidR="00773DFF" w:rsidRPr="00A415D3">
        <w:t xml:space="preserve">then </w:t>
      </w:r>
      <w:r w:rsidR="00A2030A" w:rsidRPr="00A415D3">
        <w:t xml:space="preserve">returned to court when a medical director of the hospital </w:t>
      </w:r>
      <w:r w:rsidR="008E23EF" w:rsidRPr="00A415D3">
        <w:t xml:space="preserve">filed a certificate </w:t>
      </w:r>
      <w:r w:rsidR="006E6EB9" w:rsidRPr="00A415D3">
        <w:t xml:space="preserve">indicating he was </w:t>
      </w:r>
      <w:r w:rsidR="00A2030A" w:rsidRPr="00A415D3">
        <w:t xml:space="preserve">restored to competency.  </w:t>
      </w:r>
      <w:r w:rsidR="008F7540" w:rsidRPr="00A415D3">
        <w:t xml:space="preserve">(See </w:t>
      </w:r>
      <w:r w:rsidR="00DB3295" w:rsidRPr="00A415D3">
        <w:t>§ 1372, subd. (a)(1)</w:t>
      </w:r>
      <w:r w:rsidR="008F7540" w:rsidRPr="00A415D3">
        <w:t xml:space="preserve">.)  </w:t>
      </w:r>
      <w:r w:rsidR="00812835" w:rsidRPr="00A415D3">
        <w:t>T</w:t>
      </w:r>
      <w:r w:rsidR="00A2030A" w:rsidRPr="00A415D3">
        <w:t xml:space="preserve">he certificate was filed within the </w:t>
      </w:r>
      <w:r w:rsidR="000E2426" w:rsidRPr="00A415D3">
        <w:t xml:space="preserve">two-year </w:t>
      </w:r>
      <w:r w:rsidR="00A2030A" w:rsidRPr="00A415D3">
        <w:t>time limit specified by section</w:t>
      </w:r>
      <w:r w:rsidR="00FF1E46" w:rsidRPr="00A415D3">
        <w:t> </w:t>
      </w:r>
      <w:r w:rsidR="00A2030A" w:rsidRPr="00A415D3">
        <w:t>1370</w:t>
      </w:r>
      <w:r w:rsidR="000E2426" w:rsidRPr="00A415D3">
        <w:t xml:space="preserve">, subdivision </w:t>
      </w:r>
      <w:r w:rsidR="00A2030A" w:rsidRPr="00A415D3">
        <w:t>(c)(1)</w:t>
      </w:r>
      <w:r w:rsidR="000E2426" w:rsidRPr="00A415D3">
        <w:t xml:space="preserve"> (section 1370(c)(1))</w:t>
      </w:r>
      <w:r w:rsidR="00F91834" w:rsidRPr="00A415D3">
        <w:t xml:space="preserve">.  By statute, the court </w:t>
      </w:r>
      <w:r w:rsidR="00AD5649" w:rsidRPr="00A415D3">
        <w:t xml:space="preserve">was supposed to </w:t>
      </w:r>
      <w:r w:rsidR="00F91834" w:rsidRPr="00A415D3">
        <w:t>determine whether to approve the certificate</w:t>
      </w:r>
      <w:r w:rsidR="00FF1E46" w:rsidRPr="00A415D3">
        <w:t> </w:t>
      </w:r>
      <w:r w:rsidR="00F91834" w:rsidRPr="00A415D3">
        <w:t xml:space="preserve">— that is, decide “whether or not” Rodriguez has </w:t>
      </w:r>
      <w:r w:rsidR="00F91834" w:rsidRPr="00A415D3">
        <w:lastRenderedPageBreak/>
        <w:t xml:space="preserve">“recovered competence.”  (§ 1372, subd. (c)(1).)  </w:t>
      </w:r>
      <w:r w:rsidR="002F5098" w:rsidRPr="00A415D3">
        <w:t xml:space="preserve">However, </w:t>
      </w:r>
      <w:r w:rsidR="00FD4F9F" w:rsidRPr="00A415D3">
        <w:t>p</w:t>
      </w:r>
      <w:r w:rsidR="00DB3295" w:rsidRPr="00A415D3">
        <w:t xml:space="preserve">rimarily </w:t>
      </w:r>
      <w:r w:rsidR="00A2030A" w:rsidRPr="00A415D3">
        <w:t xml:space="preserve">because of </w:t>
      </w:r>
      <w:r w:rsidR="00CD27A6" w:rsidRPr="00A415D3">
        <w:t xml:space="preserve">restrictions on court operations due to </w:t>
      </w:r>
      <w:r w:rsidR="00A2030A" w:rsidRPr="00A415D3">
        <w:t xml:space="preserve">the COVID-19 pandemic, Rodriguez did not receive </w:t>
      </w:r>
      <w:r w:rsidR="00AD5649" w:rsidRPr="00A415D3">
        <w:t xml:space="preserve">such </w:t>
      </w:r>
      <w:r w:rsidR="00A2030A" w:rsidRPr="00A415D3">
        <w:t>a hearing within the two-year period of section 1370(c)(1).</w:t>
      </w:r>
      <w:r w:rsidRPr="00A415D3">
        <w:t xml:space="preserve">  </w:t>
      </w:r>
      <w:r w:rsidR="003F2299" w:rsidRPr="00A415D3">
        <w:t xml:space="preserve">Claiming the time for commitment had run out, </w:t>
      </w:r>
      <w:r w:rsidRPr="00A415D3">
        <w:t>Rodriguez</w:t>
      </w:r>
      <w:r w:rsidR="00FD4F9F" w:rsidRPr="00A415D3">
        <w:t xml:space="preserve"> </w:t>
      </w:r>
      <w:r w:rsidRPr="00A415D3">
        <w:t>moved to dismiss</w:t>
      </w:r>
      <w:r w:rsidR="002F5098" w:rsidRPr="00A415D3">
        <w:t xml:space="preserve"> the charges </w:t>
      </w:r>
      <w:r w:rsidR="00FF1E46" w:rsidRPr="00A415D3">
        <w:t xml:space="preserve">against </w:t>
      </w:r>
      <w:r w:rsidR="002F5098" w:rsidRPr="00A415D3">
        <w:t xml:space="preserve">him.  The Court of Appeal rejected </w:t>
      </w:r>
      <w:r w:rsidR="00C370A2" w:rsidRPr="00A415D3">
        <w:t xml:space="preserve">his claim.  It </w:t>
      </w:r>
      <w:r w:rsidR="002F5098" w:rsidRPr="00A415D3">
        <w:t>h</w:t>
      </w:r>
      <w:r w:rsidR="00C370A2" w:rsidRPr="00A415D3">
        <w:t>e</w:t>
      </w:r>
      <w:r w:rsidR="002F5098" w:rsidRPr="00A415D3">
        <w:t xml:space="preserve">ld that time had not run out because a commitment ends </w:t>
      </w:r>
      <w:r w:rsidR="00CD27A6" w:rsidRPr="00A415D3">
        <w:t xml:space="preserve">when </w:t>
      </w:r>
      <w:r w:rsidR="002F5098" w:rsidRPr="00A415D3">
        <w:t>a certificate of restoration</w:t>
      </w:r>
      <w:r w:rsidR="0075451F" w:rsidRPr="00A415D3">
        <w:t xml:space="preserve"> </w:t>
      </w:r>
      <w:r w:rsidR="00CD27A6" w:rsidRPr="00A415D3">
        <w:t xml:space="preserve">is filed, not when </w:t>
      </w:r>
      <w:r w:rsidR="0075451F" w:rsidRPr="00A415D3">
        <w:t xml:space="preserve">the court </w:t>
      </w:r>
      <w:r w:rsidR="00CD27A6" w:rsidRPr="00A415D3">
        <w:t xml:space="preserve">determines </w:t>
      </w:r>
      <w:r w:rsidR="0075451F" w:rsidRPr="00A415D3">
        <w:t>whether the defendant has been restored to competence</w:t>
      </w:r>
      <w:r w:rsidR="002F5098" w:rsidRPr="00A415D3">
        <w:t>.  (</w:t>
      </w:r>
      <w:r w:rsidR="002F5098" w:rsidRPr="00A415D3">
        <w:rPr>
          <w:i/>
          <w:iCs/>
        </w:rPr>
        <w:t>Rodriguez v. Superior Court</w:t>
      </w:r>
      <w:r w:rsidR="00FE6A17">
        <w:t xml:space="preserve"> </w:t>
      </w:r>
      <w:r w:rsidR="002F5098" w:rsidRPr="00A415D3">
        <w:t>(2021) 70 Cal.App.5th 628, 652 (</w:t>
      </w:r>
      <w:r w:rsidR="002F5098" w:rsidRPr="00A415D3">
        <w:rPr>
          <w:i/>
          <w:iCs/>
        </w:rPr>
        <w:t>Rodriguez</w:t>
      </w:r>
      <w:r w:rsidR="002F5098" w:rsidRPr="00A415D3">
        <w:t>).)</w:t>
      </w:r>
    </w:p>
    <w:p w14:paraId="3F29F0AD" w14:textId="77777777" w:rsidR="00773DFF" w:rsidRPr="00A415D3" w:rsidRDefault="00AE6959" w:rsidP="00F45105">
      <w:pPr>
        <w:ind w:firstLine="720"/>
      </w:pPr>
      <w:r w:rsidRPr="00A415D3">
        <w:t>The parties ask us to resolve a question of statutory interpretation</w:t>
      </w:r>
      <w:r w:rsidR="000E2426" w:rsidRPr="00A415D3">
        <w:t>:</w:t>
      </w:r>
      <w:r w:rsidRPr="00A415D3">
        <w:t xml:space="preserve">  </w:t>
      </w:r>
      <w:bookmarkStart w:id="1" w:name="_Hlk147751996"/>
      <w:r w:rsidR="002967FA" w:rsidRPr="00A415D3">
        <w:t>For purposes of calculating the maximum commitment period under section 1370(c)(1)</w:t>
      </w:r>
      <w:r w:rsidR="00F45105" w:rsidRPr="00A415D3">
        <w:t xml:space="preserve">, does an incompetency </w:t>
      </w:r>
      <w:r w:rsidR="00BE3D91" w:rsidRPr="00A415D3">
        <w:t>commitment en</w:t>
      </w:r>
      <w:r w:rsidR="00F45105" w:rsidRPr="00A415D3">
        <w:t>d</w:t>
      </w:r>
      <w:r w:rsidR="00BE3D91" w:rsidRPr="00A415D3">
        <w:t xml:space="preserve"> when </w:t>
      </w:r>
      <w:r w:rsidR="005B61C2" w:rsidRPr="00A415D3">
        <w:t xml:space="preserve">the </w:t>
      </w:r>
      <w:r w:rsidR="00BE3D91" w:rsidRPr="00A415D3">
        <w:t xml:space="preserve">medical </w:t>
      </w:r>
      <w:r w:rsidR="005B61C2" w:rsidRPr="00A415D3">
        <w:t xml:space="preserve">treatment provider </w:t>
      </w:r>
      <w:r w:rsidR="00BE3D91" w:rsidRPr="00A415D3">
        <w:t xml:space="preserve">informs </w:t>
      </w:r>
      <w:r w:rsidR="000E2426" w:rsidRPr="00A415D3">
        <w:t>the</w:t>
      </w:r>
      <w:r w:rsidR="00BE3D91" w:rsidRPr="00A415D3">
        <w:t xml:space="preserve"> court that </w:t>
      </w:r>
      <w:r w:rsidR="008820AB" w:rsidRPr="00A415D3">
        <w:t>the</w:t>
      </w:r>
      <w:r w:rsidR="00BE3D91" w:rsidRPr="00A415D3">
        <w:t xml:space="preserve"> defendant has regained competency by filing a certificate of restoration</w:t>
      </w:r>
      <w:r w:rsidR="00BE0D43" w:rsidRPr="00A415D3">
        <w:t>,</w:t>
      </w:r>
      <w:r w:rsidR="00BE3D91" w:rsidRPr="00A415D3">
        <w:t xml:space="preserve"> </w:t>
      </w:r>
      <w:r w:rsidR="00BE0D43" w:rsidRPr="00A415D3">
        <w:t xml:space="preserve">or </w:t>
      </w:r>
      <w:r w:rsidR="00F45105" w:rsidRPr="00A415D3">
        <w:t xml:space="preserve">does </w:t>
      </w:r>
      <w:r w:rsidR="00BE0D43" w:rsidRPr="00A415D3">
        <w:t xml:space="preserve">the commitment end only when </w:t>
      </w:r>
      <w:r w:rsidR="000E2426" w:rsidRPr="00A415D3">
        <w:t>the</w:t>
      </w:r>
      <w:r w:rsidR="00BE0D43" w:rsidRPr="00A415D3">
        <w:t xml:space="preserve"> court </w:t>
      </w:r>
      <w:r w:rsidR="003E68B4" w:rsidRPr="00A415D3">
        <w:t xml:space="preserve">has determined whether </w:t>
      </w:r>
      <w:r w:rsidR="00BE0D43" w:rsidRPr="00A415D3">
        <w:t>the defendant has been restored to competency</w:t>
      </w:r>
      <w:r w:rsidR="00F45105" w:rsidRPr="00A415D3">
        <w:t>?</w:t>
      </w:r>
      <w:bookmarkEnd w:id="1"/>
      <w:r w:rsidR="00BE0D43" w:rsidRPr="00A415D3">
        <w:t xml:space="preserve"> </w:t>
      </w:r>
      <w:r w:rsidR="006F08F1" w:rsidRPr="00A415D3">
        <w:t xml:space="preserve"> </w:t>
      </w:r>
      <w:r w:rsidRPr="00A415D3">
        <w:t xml:space="preserve">We resolve this question by </w:t>
      </w:r>
      <w:bookmarkStart w:id="2" w:name="_Hlk147751664"/>
      <w:r w:rsidRPr="00A415D3">
        <w:t xml:space="preserve">determining </w:t>
      </w:r>
      <w:r w:rsidR="00B324F3" w:rsidRPr="00A415D3">
        <w:t>whether the period between the filing of the certificate</w:t>
      </w:r>
      <w:r w:rsidR="003F2299" w:rsidRPr="00A415D3">
        <w:t>,</w:t>
      </w:r>
      <w:r w:rsidR="00B324F3" w:rsidRPr="00A415D3">
        <w:t xml:space="preserve"> and the court’s ruling on that certificate</w:t>
      </w:r>
      <w:r w:rsidR="003F2299" w:rsidRPr="00A415D3">
        <w:t>,</w:t>
      </w:r>
      <w:r w:rsidR="00B324F3" w:rsidRPr="00A415D3">
        <w:t xml:space="preserve"> is covered by section 1370(c)(1)’s two-year limit</w:t>
      </w:r>
      <w:bookmarkEnd w:id="2"/>
      <w:r w:rsidR="00B324F3" w:rsidRPr="00A415D3">
        <w:t>.</w:t>
      </w:r>
      <w:r w:rsidR="000E2426" w:rsidRPr="00A415D3">
        <w:t xml:space="preserve">  </w:t>
      </w:r>
      <w:r w:rsidR="003F2299" w:rsidRPr="00A415D3">
        <w:t>And w</w:t>
      </w:r>
      <w:r w:rsidR="000E2426" w:rsidRPr="00A415D3">
        <w:t xml:space="preserve">e conclude this period is </w:t>
      </w:r>
      <w:r w:rsidR="00BD1F47">
        <w:t>not excluded from</w:t>
      </w:r>
      <w:r w:rsidR="000E2426" w:rsidRPr="00A415D3">
        <w:t xml:space="preserve"> the two-year limit.</w:t>
      </w:r>
    </w:p>
    <w:p w14:paraId="3F29F0AE" w14:textId="77777777" w:rsidR="00C510ED" w:rsidRPr="00A415D3" w:rsidRDefault="00AE6959" w:rsidP="00560442">
      <w:pPr>
        <w:ind w:firstLine="720"/>
      </w:pPr>
      <w:r w:rsidRPr="00A415D3">
        <w:t xml:space="preserve">Because </w:t>
      </w:r>
      <w:r w:rsidR="005000D4" w:rsidRPr="00A415D3">
        <w:t>we</w:t>
      </w:r>
      <w:r w:rsidRPr="00A415D3">
        <w:t xml:space="preserve"> </w:t>
      </w:r>
      <w:r w:rsidR="000E2426" w:rsidRPr="00A415D3">
        <w:t xml:space="preserve">reject the Court of Appeal’s </w:t>
      </w:r>
      <w:r w:rsidRPr="00A415D3">
        <w:t>concl</w:t>
      </w:r>
      <w:r w:rsidRPr="00A415D3">
        <w:t>u</w:t>
      </w:r>
      <w:r w:rsidR="000E2426" w:rsidRPr="00A415D3">
        <w:t>sion</w:t>
      </w:r>
      <w:r w:rsidRPr="00A415D3">
        <w:t xml:space="preserve"> that an incompetency </w:t>
      </w:r>
      <w:r w:rsidR="0019720D" w:rsidRPr="00A415D3">
        <w:t xml:space="preserve">commitment </w:t>
      </w:r>
      <w:r w:rsidR="00E02A54" w:rsidRPr="00A415D3">
        <w:t>end</w:t>
      </w:r>
      <w:r w:rsidR="000E2426" w:rsidRPr="00A415D3">
        <w:t>s</w:t>
      </w:r>
      <w:r w:rsidR="00E02A54" w:rsidRPr="00A415D3">
        <w:t xml:space="preserve"> with </w:t>
      </w:r>
      <w:r w:rsidR="00F50D3F" w:rsidRPr="00A415D3">
        <w:t>the</w:t>
      </w:r>
      <w:r w:rsidR="00E02A54" w:rsidRPr="00A415D3">
        <w:t xml:space="preserve"> filing of a certificate of restoration</w:t>
      </w:r>
      <w:r w:rsidRPr="00A415D3">
        <w:t xml:space="preserve">, we </w:t>
      </w:r>
      <w:r w:rsidR="00E02A54" w:rsidRPr="00A415D3">
        <w:t>reverse the</w:t>
      </w:r>
      <w:r w:rsidR="009D2D02" w:rsidRPr="00A415D3">
        <w:t xml:space="preserve"> judgment of the</w:t>
      </w:r>
      <w:r w:rsidR="00E02A54" w:rsidRPr="00A415D3">
        <w:t xml:space="preserve"> Court of Appeal.</w:t>
      </w:r>
      <w:r w:rsidR="008F103C" w:rsidRPr="00A415D3">
        <w:t xml:space="preserve">  We remand with instructions for the Court of Appeal to </w:t>
      </w:r>
      <w:r w:rsidR="00C24C03" w:rsidRPr="00A415D3">
        <w:t>consider</w:t>
      </w:r>
      <w:r w:rsidR="00392A1E" w:rsidRPr="00A415D3">
        <w:t xml:space="preserve"> issues that remain outstanding, </w:t>
      </w:r>
      <w:r w:rsidR="00C24C03" w:rsidRPr="00A415D3">
        <w:t xml:space="preserve">including whether Rodriguez’s aggregate commitments have </w:t>
      </w:r>
      <w:r w:rsidR="00361075" w:rsidRPr="00A415D3">
        <w:t xml:space="preserve">exceeded </w:t>
      </w:r>
      <w:r w:rsidR="00C24C03" w:rsidRPr="00A415D3">
        <w:t>the limit set by section 1370(c)(1) and</w:t>
      </w:r>
      <w:r w:rsidR="00361075" w:rsidRPr="00A415D3">
        <w:t xml:space="preserve"> </w:t>
      </w:r>
      <w:r w:rsidR="00C24C03" w:rsidRPr="00A415D3">
        <w:t xml:space="preserve">what remedy he may be entitled to </w:t>
      </w:r>
      <w:r w:rsidR="00361075" w:rsidRPr="00A415D3">
        <w:t>if the limit has been exceeded</w:t>
      </w:r>
      <w:r w:rsidR="00C24C03" w:rsidRPr="00A415D3">
        <w:t>.</w:t>
      </w:r>
      <w:r w:rsidR="009C5B64" w:rsidRPr="00A415D3">
        <w:t xml:space="preserve">  (See, e.g., </w:t>
      </w:r>
      <w:r w:rsidR="009C5B64" w:rsidRPr="00A415D3">
        <w:rPr>
          <w:i/>
          <w:iCs/>
        </w:rPr>
        <w:t>Camacho v. Superior Court</w:t>
      </w:r>
      <w:r w:rsidR="009C6FE5" w:rsidRPr="00A415D3">
        <w:rPr>
          <w:i/>
          <w:iCs/>
        </w:rPr>
        <w:t xml:space="preserve"> </w:t>
      </w:r>
      <w:r w:rsidR="009C6FE5" w:rsidRPr="00A415D3">
        <w:t>(</w:t>
      </w:r>
      <w:r w:rsidR="009C5B64" w:rsidRPr="00A415D3">
        <w:t xml:space="preserve">2023) </w:t>
      </w:r>
      <w:r w:rsidR="002147AE" w:rsidRPr="00A415D3">
        <w:rPr>
          <w:rStyle w:val="acb"/>
        </w:rPr>
        <w:t>15 Cal.5th 354</w:t>
      </w:r>
      <w:r w:rsidR="002147AE" w:rsidRPr="00A415D3">
        <w:t xml:space="preserve">, </w:t>
      </w:r>
      <w:r w:rsidR="002E0510" w:rsidRPr="00A415D3">
        <w:t xml:space="preserve">382–390 &amp; fn. 5 </w:t>
      </w:r>
      <w:r w:rsidR="007755F2" w:rsidRPr="00A415D3">
        <w:t>(</w:t>
      </w:r>
      <w:r w:rsidR="007755F2" w:rsidRPr="00A415D3">
        <w:rPr>
          <w:i/>
          <w:iCs/>
        </w:rPr>
        <w:t>Camacho</w:t>
      </w:r>
      <w:r w:rsidR="007755F2" w:rsidRPr="00A415D3">
        <w:t>)</w:t>
      </w:r>
      <w:r w:rsidR="00437C73" w:rsidRPr="00A415D3">
        <w:t xml:space="preserve">; </w:t>
      </w:r>
      <w:r w:rsidR="00437C73" w:rsidRPr="00A415D3">
        <w:rPr>
          <w:i/>
          <w:iCs/>
        </w:rPr>
        <w:t>Jackson v. Superior Court</w:t>
      </w:r>
      <w:r w:rsidR="00437C73" w:rsidRPr="00A415D3">
        <w:t xml:space="preserve">, </w:t>
      </w:r>
      <w:r w:rsidR="00437C73" w:rsidRPr="00A415D3">
        <w:rPr>
          <w:i/>
          <w:iCs/>
        </w:rPr>
        <w:t>supra</w:t>
      </w:r>
      <w:r w:rsidR="00437C73" w:rsidRPr="00A415D3">
        <w:t xml:space="preserve">, </w:t>
      </w:r>
      <w:r w:rsidR="002E0510" w:rsidRPr="00A415D3">
        <w:rPr>
          <w:rStyle w:val="acb"/>
        </w:rPr>
        <w:t>4 Cal.5th at p.</w:t>
      </w:r>
      <w:r w:rsidR="008257F8" w:rsidRPr="00A415D3">
        <w:rPr>
          <w:rStyle w:val="acb"/>
        </w:rPr>
        <w:t> 106</w:t>
      </w:r>
      <w:r w:rsidR="009C5B64" w:rsidRPr="00A415D3">
        <w:t>.)</w:t>
      </w:r>
    </w:p>
    <w:p w14:paraId="3F29F0AF" w14:textId="77777777" w:rsidR="00EE45D6" w:rsidRPr="00A415D3" w:rsidRDefault="00AE6959" w:rsidP="00560442">
      <w:pPr>
        <w:pStyle w:val="Heading1"/>
      </w:pPr>
      <w:r w:rsidRPr="00A415D3">
        <w:t xml:space="preserve">I.  </w:t>
      </w:r>
      <w:r w:rsidR="002B42A7" w:rsidRPr="00A415D3">
        <w:t>Factual and Procedural Background</w:t>
      </w:r>
    </w:p>
    <w:p w14:paraId="3F29F0B0" w14:textId="77777777" w:rsidR="00B75CCC" w:rsidRPr="00A415D3" w:rsidRDefault="00AE6959" w:rsidP="00560442">
      <w:pPr>
        <w:ind w:firstLine="720"/>
      </w:pPr>
      <w:r w:rsidRPr="00A415D3">
        <w:t>In December 2016, the</w:t>
      </w:r>
      <w:r w:rsidR="00651EED" w:rsidRPr="00A415D3">
        <w:t xml:space="preserve"> Santa Clara County District Attorney charge</w:t>
      </w:r>
      <w:r w:rsidR="00AA5D8D" w:rsidRPr="00A415D3">
        <w:t>d</w:t>
      </w:r>
      <w:r w:rsidR="00651EED" w:rsidRPr="00A415D3">
        <w:t xml:space="preserve"> Rodriguez with </w:t>
      </w:r>
      <w:r w:rsidR="00052E49" w:rsidRPr="00A415D3">
        <w:t>several</w:t>
      </w:r>
      <w:r w:rsidR="00651EED" w:rsidRPr="00A415D3">
        <w:t xml:space="preserve"> felonies</w:t>
      </w:r>
      <w:r w:rsidR="00567727" w:rsidRPr="00A415D3">
        <w:t xml:space="preserve">, </w:t>
      </w:r>
      <w:r w:rsidR="009D2D02" w:rsidRPr="00A415D3">
        <w:t xml:space="preserve">each </w:t>
      </w:r>
      <w:r w:rsidR="002678F7" w:rsidRPr="00A415D3">
        <w:t>carry</w:t>
      </w:r>
      <w:r w:rsidR="00567727" w:rsidRPr="00A415D3">
        <w:t>ing</w:t>
      </w:r>
      <w:r w:rsidR="002678F7" w:rsidRPr="00A415D3">
        <w:t xml:space="preserve"> </w:t>
      </w:r>
      <w:r w:rsidR="00A90BFF" w:rsidRPr="00A415D3">
        <w:t xml:space="preserve">a </w:t>
      </w:r>
      <w:r w:rsidR="002678F7" w:rsidRPr="00A415D3">
        <w:t>maximum sentence in excess of two years imprisonment.  The</w:t>
      </w:r>
      <w:r w:rsidR="0019720D" w:rsidRPr="00A415D3">
        <w:t xml:space="preserve"> charged offenses</w:t>
      </w:r>
      <w:r w:rsidR="002678F7" w:rsidRPr="00A415D3">
        <w:t xml:space="preserve"> include</w:t>
      </w:r>
      <w:r w:rsidR="00276926" w:rsidRPr="00A415D3">
        <w:t>d</w:t>
      </w:r>
      <w:r w:rsidR="00891F64" w:rsidRPr="00A415D3">
        <w:t xml:space="preserve"> </w:t>
      </w:r>
      <w:r w:rsidR="003969AB" w:rsidRPr="00A415D3">
        <w:t>assault with a deadly weapon</w:t>
      </w:r>
      <w:r w:rsidR="002678F7" w:rsidRPr="00A415D3">
        <w:t xml:space="preserve"> (§</w:t>
      </w:r>
      <w:r w:rsidR="00C91272" w:rsidRPr="00A415D3">
        <w:t> </w:t>
      </w:r>
      <w:r w:rsidR="002678F7" w:rsidRPr="00A415D3">
        <w:t>245, subd.</w:t>
      </w:r>
      <w:r w:rsidR="00052E49" w:rsidRPr="00A415D3">
        <w:t> </w:t>
      </w:r>
      <w:r w:rsidR="002678F7" w:rsidRPr="00A415D3">
        <w:t xml:space="preserve">(a)(1) [maximum punishment of </w:t>
      </w:r>
      <w:r w:rsidR="001601B8" w:rsidRPr="00A415D3">
        <w:t>four years in state prison</w:t>
      </w:r>
      <w:r w:rsidR="002678F7" w:rsidRPr="00A415D3">
        <w:t>])</w:t>
      </w:r>
      <w:r w:rsidR="003969AB" w:rsidRPr="00A415D3">
        <w:t>; oral copulation by force, violence, duress, menace, or fear</w:t>
      </w:r>
      <w:r w:rsidR="002678F7" w:rsidRPr="00A415D3">
        <w:t xml:space="preserve"> (§</w:t>
      </w:r>
      <w:r w:rsidR="00C91272" w:rsidRPr="00A415D3">
        <w:t> </w:t>
      </w:r>
      <w:r w:rsidR="002678F7" w:rsidRPr="00A415D3">
        <w:t xml:space="preserve">287, subd. </w:t>
      </w:r>
      <w:r w:rsidR="00777785" w:rsidRPr="00A415D3">
        <w:t>(c)</w:t>
      </w:r>
      <w:r w:rsidR="002678F7" w:rsidRPr="00A415D3">
        <w:t>(2)(A)</w:t>
      </w:r>
      <w:r w:rsidR="001601B8" w:rsidRPr="00A415D3">
        <w:t xml:space="preserve"> [maximum punishment of eight years in state prison]</w:t>
      </w:r>
      <w:r w:rsidR="002678F7" w:rsidRPr="00A415D3">
        <w:t>)</w:t>
      </w:r>
      <w:r w:rsidR="003969AB" w:rsidRPr="00A415D3">
        <w:t xml:space="preserve">; rape by force, violence, duress, </w:t>
      </w:r>
      <w:r w:rsidR="009B22E7" w:rsidRPr="00A415D3">
        <w:t>menace,</w:t>
      </w:r>
      <w:r w:rsidR="003969AB" w:rsidRPr="00A415D3">
        <w:t xml:space="preserve"> or fear</w:t>
      </w:r>
      <w:r w:rsidR="002678F7" w:rsidRPr="00A415D3">
        <w:t xml:space="preserve"> (</w:t>
      </w:r>
      <w:r w:rsidR="00340789" w:rsidRPr="00A415D3">
        <w:t>§</w:t>
      </w:r>
      <w:r w:rsidR="001601B8" w:rsidRPr="00A415D3">
        <w:t>§</w:t>
      </w:r>
      <w:r w:rsidR="00C91272" w:rsidRPr="00A415D3">
        <w:t> </w:t>
      </w:r>
      <w:r w:rsidR="001601B8" w:rsidRPr="00A415D3">
        <w:t>261, subd.</w:t>
      </w:r>
      <w:r w:rsidR="00276926" w:rsidRPr="00A415D3">
        <w:t> </w:t>
      </w:r>
      <w:r w:rsidR="001601B8" w:rsidRPr="00A415D3">
        <w:t>(a)(2)</w:t>
      </w:r>
      <w:r w:rsidR="00340789" w:rsidRPr="00A415D3">
        <w:t>,</w:t>
      </w:r>
      <w:r w:rsidR="0017210C" w:rsidRPr="00A415D3">
        <w:t xml:space="preserve"> </w:t>
      </w:r>
      <w:r w:rsidR="001601B8" w:rsidRPr="00A415D3">
        <w:t>264, subd. (a) [eight years])</w:t>
      </w:r>
      <w:r w:rsidR="002678F7" w:rsidRPr="00A415D3">
        <w:t>; and</w:t>
      </w:r>
      <w:r w:rsidR="001601B8" w:rsidRPr="00A415D3">
        <w:t xml:space="preserve"> infliction of corporal injury on</w:t>
      </w:r>
      <w:r w:rsidR="0019720D" w:rsidRPr="00A415D3">
        <w:t xml:space="preserve"> a</w:t>
      </w:r>
      <w:r w:rsidR="001601B8" w:rsidRPr="00A415D3">
        <w:t xml:space="preserve"> present or former spouse,</w:t>
      </w:r>
      <w:r w:rsidR="0019720D" w:rsidRPr="00A415D3">
        <w:t xml:space="preserve"> or a</w:t>
      </w:r>
      <w:r w:rsidR="001601B8" w:rsidRPr="00A415D3">
        <w:t xml:space="preserve"> </w:t>
      </w:r>
      <w:r w:rsidR="00B07423" w:rsidRPr="00A415D3">
        <w:t>present or former</w:t>
      </w:r>
      <w:r w:rsidR="001601B8" w:rsidRPr="00A415D3">
        <w:t xml:space="preserve"> cohabitant (§</w:t>
      </w:r>
      <w:r w:rsidR="00C91272" w:rsidRPr="00A415D3">
        <w:t> </w:t>
      </w:r>
      <w:r w:rsidR="001601B8" w:rsidRPr="00A415D3">
        <w:t>273.5, subd. (a) [four years])</w:t>
      </w:r>
      <w:r w:rsidR="00651EED" w:rsidRPr="00A415D3">
        <w:t xml:space="preserve">.  </w:t>
      </w:r>
      <w:r w:rsidRPr="00A415D3">
        <w:t xml:space="preserve">Rodriguez was held </w:t>
      </w:r>
      <w:r w:rsidR="007D6826" w:rsidRPr="00A415D3">
        <w:t>to</w:t>
      </w:r>
      <w:r w:rsidRPr="00A415D3">
        <w:t xml:space="preserve"> answer on all charges.  </w:t>
      </w:r>
    </w:p>
    <w:p w14:paraId="3F29F0B1" w14:textId="77777777" w:rsidR="00B75CCC" w:rsidRPr="00A415D3" w:rsidRDefault="00AE6959" w:rsidP="00560442">
      <w:pPr>
        <w:ind w:firstLine="720"/>
      </w:pPr>
      <w:r w:rsidRPr="00A415D3">
        <w:t xml:space="preserve">In late 2017, the court declared </w:t>
      </w:r>
      <w:r w:rsidR="00060D15" w:rsidRPr="00A415D3">
        <w:t xml:space="preserve">a doubt as to Rodriguez’s competency, ordered a hearing </w:t>
      </w:r>
      <w:r w:rsidR="00DE3D51" w:rsidRPr="00A415D3">
        <w:t xml:space="preserve">regarding </w:t>
      </w:r>
      <w:r w:rsidR="00060D15" w:rsidRPr="00A415D3">
        <w:t>his competency, and suspended all proceedings.</w:t>
      </w:r>
      <w:r w:rsidR="00B163F7" w:rsidRPr="00A415D3">
        <w:t xml:space="preserve">  </w:t>
      </w:r>
      <w:r w:rsidR="009D07A4" w:rsidRPr="00A415D3">
        <w:t>In May</w:t>
      </w:r>
      <w:r w:rsidR="00060D15" w:rsidRPr="00A415D3">
        <w:t xml:space="preserve"> 2018, the court found Rodriguez not competent to stand trial.  On May</w:t>
      </w:r>
      <w:r w:rsidR="00276926" w:rsidRPr="00A415D3">
        <w:t> </w:t>
      </w:r>
      <w:r w:rsidR="00060D15" w:rsidRPr="00A415D3">
        <w:t xml:space="preserve">24, the court issued </w:t>
      </w:r>
      <w:r w:rsidR="00B163F7" w:rsidRPr="00A415D3">
        <w:t>its</w:t>
      </w:r>
      <w:r w:rsidR="00060D15" w:rsidRPr="00A415D3">
        <w:t xml:space="preserve"> commitment order, </w:t>
      </w:r>
      <w:r w:rsidR="00BA41FA" w:rsidRPr="00A415D3">
        <w:t>directing</w:t>
      </w:r>
      <w:r w:rsidR="00060D15" w:rsidRPr="00A415D3">
        <w:t xml:space="preserve"> that Rodriguez </w:t>
      </w:r>
      <w:r w:rsidR="000A4FF5" w:rsidRPr="00A415D3">
        <w:t xml:space="preserve">“be committed to the </w:t>
      </w:r>
      <w:r w:rsidR="00962361">
        <w:t xml:space="preserve">[State] </w:t>
      </w:r>
      <w:r w:rsidR="003F2299" w:rsidRPr="00A415D3">
        <w:t>Department of State Hospitals</w:t>
      </w:r>
      <w:r w:rsidR="000A4FF5" w:rsidRPr="00A415D3">
        <w:t xml:space="preserve"> for placement in a locked psychiatric facility</w:t>
      </w:r>
      <w:r w:rsidR="00060D15" w:rsidRPr="00A415D3">
        <w:t>.</w:t>
      </w:r>
      <w:r w:rsidR="000A4FF5" w:rsidRPr="00A415D3">
        <w:t>”</w:t>
      </w:r>
      <w:r w:rsidR="00060D15" w:rsidRPr="00A415D3">
        <w:t xml:space="preserve">  </w:t>
      </w:r>
      <w:r w:rsidR="009A5305" w:rsidRPr="00A415D3">
        <w:t>T</w:t>
      </w:r>
      <w:r w:rsidR="00060D15" w:rsidRPr="00A415D3">
        <w:t xml:space="preserve">he order </w:t>
      </w:r>
      <w:r w:rsidR="00276926" w:rsidRPr="00A415D3">
        <w:t xml:space="preserve">specified </w:t>
      </w:r>
      <w:r w:rsidR="00060D15" w:rsidRPr="00A415D3">
        <w:t xml:space="preserve">that </w:t>
      </w:r>
      <w:r w:rsidR="000A4FF5" w:rsidRPr="00A415D3">
        <w:t>“[t]he Sheriff shall redeliver the patient to the Court upon receiving from the state hospital a copy of the certification of mental competency</w:t>
      </w:r>
      <w:r w:rsidR="00060D15" w:rsidRPr="00A415D3">
        <w:t>.</w:t>
      </w:r>
      <w:r w:rsidR="000A4FF5" w:rsidRPr="00A415D3">
        <w:t>”</w:t>
      </w:r>
      <w:r w:rsidR="00060D15" w:rsidRPr="00A415D3">
        <w:t xml:space="preserve">  </w:t>
      </w:r>
      <w:r w:rsidR="000A4FF5" w:rsidRPr="00A415D3">
        <w:t>(See</w:t>
      </w:r>
      <w:r w:rsidR="00AE2F3F" w:rsidRPr="00A415D3">
        <w:t xml:space="preserve"> §</w:t>
      </w:r>
      <w:r w:rsidR="00F07CD4" w:rsidRPr="00A415D3">
        <w:t>§</w:t>
      </w:r>
      <w:r w:rsidR="00C91272" w:rsidRPr="00A415D3">
        <w:t> </w:t>
      </w:r>
      <w:r w:rsidR="00AE2F3F" w:rsidRPr="00A415D3">
        <w:t>1370, subd.</w:t>
      </w:r>
      <w:r w:rsidR="003F2299" w:rsidRPr="00A415D3">
        <w:t xml:space="preserve"> </w:t>
      </w:r>
      <w:r w:rsidR="00AE2F3F" w:rsidRPr="00A415D3">
        <w:t>(a)(1)(C)</w:t>
      </w:r>
      <w:r w:rsidR="00F07CD4" w:rsidRPr="00A415D3">
        <w:t>, 1372, subd. (a)(2)</w:t>
      </w:r>
      <w:r w:rsidR="000A4FF5" w:rsidRPr="00A415D3">
        <w:t xml:space="preserve">.)  </w:t>
      </w:r>
      <w:r w:rsidR="00060D15" w:rsidRPr="00A415D3">
        <w:t xml:space="preserve">The court also ordered </w:t>
      </w:r>
      <w:r w:rsidR="00BE3266" w:rsidRPr="00A415D3">
        <w:t xml:space="preserve">the </w:t>
      </w:r>
      <w:r w:rsidR="00C52269">
        <w:t xml:space="preserve">State </w:t>
      </w:r>
      <w:r w:rsidR="00AE2F3F" w:rsidRPr="00A415D3">
        <w:t xml:space="preserve">Department </w:t>
      </w:r>
      <w:r w:rsidR="00C52269">
        <w:t xml:space="preserve">of State Hospitals (Department) </w:t>
      </w:r>
      <w:r w:rsidR="00BE3266" w:rsidRPr="00A415D3">
        <w:t xml:space="preserve">to </w:t>
      </w:r>
      <w:r w:rsidR="00807380" w:rsidRPr="00A415D3">
        <w:t>“provide a placement for defendant for treatment of his mental illness and restoration of competency by 5:00</w:t>
      </w:r>
      <w:r w:rsidR="00276926" w:rsidRPr="00A415D3">
        <w:t> </w:t>
      </w:r>
      <w:r w:rsidR="00807380" w:rsidRPr="00A415D3">
        <w:t>p.m., June</w:t>
      </w:r>
      <w:r w:rsidR="00276926" w:rsidRPr="00A415D3">
        <w:t> </w:t>
      </w:r>
      <w:r w:rsidR="00807380" w:rsidRPr="00A415D3">
        <w:t xml:space="preserve">29, 2018” and that </w:t>
      </w:r>
      <w:r w:rsidR="00777785" w:rsidRPr="00A415D3">
        <w:t xml:space="preserve">Rodriguez </w:t>
      </w:r>
      <w:r w:rsidR="00807380" w:rsidRPr="00A415D3">
        <w:t>be transported to his placement by that date</w:t>
      </w:r>
      <w:r w:rsidR="00060D15" w:rsidRPr="00A415D3">
        <w:t>.  The record does not indicate when Rodriguez was actually transported or admitted to a state hospital.</w:t>
      </w:r>
    </w:p>
    <w:p w14:paraId="3F29F0B2" w14:textId="77777777" w:rsidR="00B75CCC" w:rsidRPr="00A415D3" w:rsidRDefault="00AE6959" w:rsidP="00560442">
      <w:pPr>
        <w:ind w:firstLine="720"/>
      </w:pPr>
      <w:r w:rsidRPr="00A415D3">
        <w:t xml:space="preserve">On September </w:t>
      </w:r>
      <w:r w:rsidR="00807380" w:rsidRPr="00A415D3">
        <w:t>7</w:t>
      </w:r>
      <w:r w:rsidRPr="00A415D3">
        <w:t xml:space="preserve">, 2018, the </w:t>
      </w:r>
      <w:r w:rsidR="001F48CF" w:rsidRPr="00A415D3">
        <w:t>m</w:t>
      </w:r>
      <w:r w:rsidRPr="00A415D3">
        <w:t xml:space="preserve">edical </w:t>
      </w:r>
      <w:r w:rsidR="001F48CF" w:rsidRPr="00A415D3">
        <w:t>d</w:t>
      </w:r>
      <w:r w:rsidRPr="00A415D3">
        <w:t xml:space="preserve">irector of Atascadero State </w:t>
      </w:r>
      <w:r w:rsidR="00200FE3" w:rsidRPr="00A415D3">
        <w:t>Hospital certified Rodriguez as restored to competency.  The parties stipulate</w:t>
      </w:r>
      <w:r w:rsidR="006F1369" w:rsidRPr="00A415D3">
        <w:t>d</w:t>
      </w:r>
      <w:r w:rsidR="00200FE3" w:rsidRPr="00A415D3">
        <w:t xml:space="preserve"> </w:t>
      </w:r>
      <w:r w:rsidR="006F1369" w:rsidRPr="00A415D3">
        <w:t xml:space="preserve">that </w:t>
      </w:r>
      <w:r w:rsidR="00200FE3" w:rsidRPr="00A415D3">
        <w:t xml:space="preserve">the certificate of restoration was filed </w:t>
      </w:r>
      <w:r w:rsidR="000B7D0C" w:rsidRPr="00A415D3">
        <w:t xml:space="preserve">with the superior court </w:t>
      </w:r>
      <w:r w:rsidR="00200FE3" w:rsidRPr="00A415D3">
        <w:t>the same date.  On September</w:t>
      </w:r>
      <w:r w:rsidR="00276926" w:rsidRPr="00A415D3">
        <w:t> </w:t>
      </w:r>
      <w:r w:rsidR="00200FE3" w:rsidRPr="00A415D3">
        <w:t xml:space="preserve">20, the court </w:t>
      </w:r>
      <w:r w:rsidR="00807380" w:rsidRPr="00A415D3">
        <w:t>found</w:t>
      </w:r>
      <w:r w:rsidR="00200FE3" w:rsidRPr="00A415D3">
        <w:t xml:space="preserve"> Rodriguez </w:t>
      </w:r>
      <w:r w:rsidR="00777785" w:rsidRPr="00A415D3">
        <w:t xml:space="preserve">had </w:t>
      </w:r>
      <w:r w:rsidR="00200FE3" w:rsidRPr="00A415D3">
        <w:t>been restored to competency</w:t>
      </w:r>
      <w:r w:rsidR="00807380" w:rsidRPr="00A415D3">
        <w:t xml:space="preserve"> </w:t>
      </w:r>
      <w:r w:rsidR="00200FE3" w:rsidRPr="00A415D3">
        <w:t>and reinstated criminal proceedings.</w:t>
      </w:r>
    </w:p>
    <w:p w14:paraId="3F29F0B3" w14:textId="77777777" w:rsidR="00B75CCC" w:rsidRPr="00A415D3" w:rsidRDefault="00AE6959" w:rsidP="00560442">
      <w:pPr>
        <w:ind w:firstLine="720"/>
      </w:pPr>
      <w:r w:rsidRPr="00A415D3">
        <w:t>In early January 2019, the court declared a new doubt as to Rodriguez’s competency to</w:t>
      </w:r>
      <w:r w:rsidRPr="00A415D3">
        <w:t xml:space="preserve"> stand trial and again suspended criminal proceedings.  </w:t>
      </w:r>
      <w:r w:rsidR="009D07A4" w:rsidRPr="00A415D3">
        <w:t>In April</w:t>
      </w:r>
      <w:r w:rsidRPr="00A415D3">
        <w:t>, the court found Rodriguez not competent.</w:t>
      </w:r>
    </w:p>
    <w:p w14:paraId="3F29F0B4" w14:textId="77777777" w:rsidR="00B75CCC" w:rsidRPr="00A415D3" w:rsidRDefault="00AE6959" w:rsidP="00560442">
      <w:pPr>
        <w:ind w:firstLine="720"/>
      </w:pPr>
      <w:r w:rsidRPr="00A415D3">
        <w:t xml:space="preserve">On May 16, 2019, the court issued a second commitment order, </w:t>
      </w:r>
      <w:r w:rsidR="00DE4AC9" w:rsidRPr="00A415D3">
        <w:t xml:space="preserve">once more </w:t>
      </w:r>
      <w:r w:rsidRPr="00A415D3">
        <w:t xml:space="preserve">directing that </w:t>
      </w:r>
      <w:r w:rsidR="00807380" w:rsidRPr="00A415D3">
        <w:t xml:space="preserve">Rodriguez be committed to the Department.  </w:t>
      </w:r>
      <w:r w:rsidRPr="00A415D3">
        <w:t>As before, the court</w:t>
      </w:r>
      <w:r w:rsidRPr="00A415D3">
        <w:t xml:space="preserve"> specified a date by which the Department </w:t>
      </w:r>
      <w:r w:rsidR="001967BA" w:rsidRPr="00A415D3">
        <w:t xml:space="preserve">was </w:t>
      </w:r>
      <w:r w:rsidR="00252E74" w:rsidRPr="00A415D3">
        <w:t xml:space="preserve">to </w:t>
      </w:r>
      <w:r w:rsidR="008D1234" w:rsidRPr="00A415D3">
        <w:t>provide a placement</w:t>
      </w:r>
      <w:r w:rsidR="00F154EC" w:rsidRPr="00A415D3">
        <w:t xml:space="preserve"> for Rodriguez</w:t>
      </w:r>
      <w:r w:rsidR="008D1234" w:rsidRPr="00A415D3">
        <w:t xml:space="preserve">, setting that date </w:t>
      </w:r>
      <w:r w:rsidR="001967BA" w:rsidRPr="00A415D3">
        <w:t>as</w:t>
      </w:r>
      <w:r w:rsidR="008D1234" w:rsidRPr="00A415D3">
        <w:t xml:space="preserve"> June</w:t>
      </w:r>
      <w:r w:rsidR="00276926" w:rsidRPr="00A415D3">
        <w:t> </w:t>
      </w:r>
      <w:r w:rsidR="008D1234" w:rsidRPr="00A415D3">
        <w:t xml:space="preserve">14, 2019.  </w:t>
      </w:r>
      <w:r w:rsidR="00B320EA" w:rsidRPr="00A415D3">
        <w:t xml:space="preserve">The court further noted in its commitment order that it found Rodriguez </w:t>
      </w:r>
      <w:r w:rsidR="001967BA" w:rsidRPr="00A415D3">
        <w:t>did “</w:t>
      </w:r>
      <w:r w:rsidR="00B320EA" w:rsidRPr="00A415D3">
        <w:t>not have the capacity to consent to treatment with antipsychotic medication</w:t>
      </w:r>
      <w:r w:rsidR="001967BA" w:rsidRPr="00A415D3">
        <w:t xml:space="preserve">,” and </w:t>
      </w:r>
      <w:r w:rsidR="003F2299" w:rsidRPr="00A415D3">
        <w:t xml:space="preserve">it </w:t>
      </w:r>
      <w:r w:rsidR="001967BA" w:rsidRPr="00A415D3">
        <w:t xml:space="preserve">ordered </w:t>
      </w:r>
      <w:r w:rsidR="00B320EA" w:rsidRPr="00A415D3">
        <w:t>the involuntary administration of antipsychotic medication.</w:t>
      </w:r>
    </w:p>
    <w:p w14:paraId="3F29F0B5" w14:textId="77777777" w:rsidR="00B75CCC" w:rsidRPr="00A415D3" w:rsidRDefault="00AE6959" w:rsidP="00560442">
      <w:pPr>
        <w:ind w:firstLine="720"/>
      </w:pPr>
      <w:r w:rsidRPr="00A415D3">
        <w:t xml:space="preserve">On January 9, 2020, the </w:t>
      </w:r>
      <w:r w:rsidR="001F48CF" w:rsidRPr="00A415D3">
        <w:t>m</w:t>
      </w:r>
      <w:r w:rsidRPr="00A415D3">
        <w:t xml:space="preserve">edical </w:t>
      </w:r>
      <w:r w:rsidR="001F48CF" w:rsidRPr="00A415D3">
        <w:t>d</w:t>
      </w:r>
      <w:r w:rsidRPr="00A415D3">
        <w:t xml:space="preserve">irector of Atascadero State Hospital certified </w:t>
      </w:r>
      <w:r w:rsidR="00B55279" w:rsidRPr="00A415D3">
        <w:t xml:space="preserve">that </w:t>
      </w:r>
      <w:r w:rsidRPr="00A415D3">
        <w:t>Rodriguez was restored to competency.  The parties stipulate</w:t>
      </w:r>
      <w:r w:rsidR="004E25A4" w:rsidRPr="00A415D3">
        <w:t>d</w:t>
      </w:r>
      <w:r w:rsidRPr="00A415D3">
        <w:t xml:space="preserve"> </w:t>
      </w:r>
      <w:r w:rsidR="000E41ED" w:rsidRPr="00A415D3">
        <w:t>the</w:t>
      </w:r>
      <w:r w:rsidRPr="00A415D3">
        <w:t xml:space="preserve"> certificate of restoration was filed </w:t>
      </w:r>
      <w:r w:rsidR="000B7D0C" w:rsidRPr="00A415D3">
        <w:t xml:space="preserve">with the superior court </w:t>
      </w:r>
      <w:r w:rsidRPr="00A415D3">
        <w:t xml:space="preserve">the same date.  </w:t>
      </w:r>
      <w:r w:rsidR="00D3239E" w:rsidRPr="00A415D3">
        <w:t xml:space="preserve">Among </w:t>
      </w:r>
      <w:r w:rsidRPr="00A415D3">
        <w:t xml:space="preserve">the documents transmitted to the court, the </w:t>
      </w:r>
      <w:r w:rsidR="00B320EA" w:rsidRPr="00A415D3">
        <w:t>m</w:t>
      </w:r>
      <w:r w:rsidRPr="00A415D3">
        <w:t xml:space="preserve">edical </w:t>
      </w:r>
      <w:r w:rsidR="00B320EA" w:rsidRPr="00A415D3">
        <w:t>d</w:t>
      </w:r>
      <w:r w:rsidRPr="00A415D3">
        <w:t xml:space="preserve">irector included a letter </w:t>
      </w:r>
      <w:r w:rsidR="001967BA" w:rsidRPr="00A415D3">
        <w:t>stating</w:t>
      </w:r>
      <w:r w:rsidRPr="00A415D3">
        <w:t xml:space="preserve"> that </w:t>
      </w:r>
      <w:r w:rsidR="008D1234" w:rsidRPr="00A415D3">
        <w:t xml:space="preserve">Rodriguez </w:t>
      </w:r>
      <w:r w:rsidR="00C358FA" w:rsidRPr="00A415D3">
        <w:t>wa</w:t>
      </w:r>
      <w:r w:rsidR="008D1234" w:rsidRPr="00A415D3">
        <w:t>s “being returned to court on psychotropic medication</w:t>
      </w:r>
      <w:r w:rsidRPr="00A415D3">
        <w:t>.</w:t>
      </w:r>
      <w:r w:rsidR="008D1234" w:rsidRPr="00A415D3">
        <w:t>”  “It is important,” continued the director, “that [Rodriguez] remain on this medi</w:t>
      </w:r>
      <w:r w:rsidR="00963FDD" w:rsidRPr="00A415D3">
        <w:t>c</w:t>
      </w:r>
      <w:r w:rsidR="008D1234" w:rsidRPr="00A415D3">
        <w:t>ation for his own person</w:t>
      </w:r>
      <w:r w:rsidR="0084603C" w:rsidRPr="00A415D3">
        <w:t>al</w:t>
      </w:r>
      <w:r w:rsidR="008D1234" w:rsidRPr="00A415D3">
        <w:t xml:space="preserve"> benefit and to enable him to be certified [as competent] under Section</w:t>
      </w:r>
      <w:r w:rsidR="00F96F6A" w:rsidRPr="00A415D3">
        <w:t> </w:t>
      </w:r>
      <w:r w:rsidR="008D1234" w:rsidRPr="00A415D3">
        <w:t xml:space="preserve">1372 of the Penal Code.”  </w:t>
      </w:r>
      <w:r w:rsidR="00944517" w:rsidRPr="00A415D3">
        <w:t xml:space="preserve">The date </w:t>
      </w:r>
      <w:r w:rsidR="0019720D" w:rsidRPr="00A415D3">
        <w:t xml:space="preserve">when </w:t>
      </w:r>
      <w:r w:rsidR="00944517" w:rsidRPr="00A415D3">
        <w:t>Rodriguez</w:t>
      </w:r>
      <w:r w:rsidR="0019720D" w:rsidRPr="00A415D3">
        <w:t xml:space="preserve"> was</w:t>
      </w:r>
      <w:r w:rsidR="00944517" w:rsidRPr="00A415D3">
        <w:t xml:space="preserve"> discharge</w:t>
      </w:r>
      <w:r w:rsidR="0019720D" w:rsidRPr="00A415D3">
        <w:t>d</w:t>
      </w:r>
      <w:r w:rsidR="00944517" w:rsidRPr="00A415D3">
        <w:t xml:space="preserve"> from the state hospital does not appear in the record.  </w:t>
      </w:r>
      <w:r w:rsidR="00B64752" w:rsidRPr="00A415D3">
        <w:t>(</w:t>
      </w:r>
      <w:r w:rsidR="00B64752" w:rsidRPr="00A415D3">
        <w:rPr>
          <w:i/>
          <w:iCs/>
        </w:rPr>
        <w:t>Rodriguez</w:t>
      </w:r>
      <w:r w:rsidR="00B64752" w:rsidRPr="00A415D3">
        <w:t xml:space="preserve">, </w:t>
      </w:r>
      <w:r w:rsidR="00B64752" w:rsidRPr="00A415D3">
        <w:rPr>
          <w:i/>
          <w:iCs/>
        </w:rPr>
        <w:t>supra</w:t>
      </w:r>
      <w:r w:rsidR="00B64752" w:rsidRPr="00A415D3">
        <w:t>, 70</w:t>
      </w:r>
      <w:r w:rsidR="008F4FB4" w:rsidRPr="00A415D3">
        <w:t> </w:t>
      </w:r>
      <w:r w:rsidR="00B64752" w:rsidRPr="00A415D3">
        <w:t>Cal.App.5th at p.</w:t>
      </w:r>
      <w:r w:rsidR="00C91272" w:rsidRPr="00A415D3">
        <w:t> </w:t>
      </w:r>
      <w:r w:rsidR="00B64752" w:rsidRPr="00A415D3">
        <w:t>638.)</w:t>
      </w:r>
    </w:p>
    <w:p w14:paraId="3F29F0B6" w14:textId="77777777" w:rsidR="00B75CCC" w:rsidRPr="00A415D3" w:rsidRDefault="00AE6959" w:rsidP="00560442">
      <w:pPr>
        <w:ind w:firstLine="720"/>
      </w:pPr>
      <w:r w:rsidRPr="00A415D3">
        <w:t xml:space="preserve">On January 24, 2020, </w:t>
      </w:r>
      <w:r w:rsidR="00B320EA" w:rsidRPr="00A415D3">
        <w:t>t</w:t>
      </w:r>
      <w:r w:rsidRPr="00A415D3">
        <w:t xml:space="preserve">he court set May 21 as the date for a </w:t>
      </w:r>
      <w:r w:rsidR="00B320EA" w:rsidRPr="00A415D3">
        <w:t xml:space="preserve">contested </w:t>
      </w:r>
      <w:r w:rsidRPr="00A415D3">
        <w:t>hearing on Rodriguez’s competenc</w:t>
      </w:r>
      <w:r w:rsidR="000A508C" w:rsidRPr="00A415D3">
        <w:t>y</w:t>
      </w:r>
      <w:r w:rsidRPr="00A415D3">
        <w:t>.</w:t>
      </w:r>
      <w:r w:rsidR="001432AF" w:rsidRPr="00A415D3">
        <w:t xml:space="preserve">  </w:t>
      </w:r>
      <w:r w:rsidR="009E164A" w:rsidRPr="00A415D3">
        <w:t>In March</w:t>
      </w:r>
      <w:r w:rsidR="001432AF" w:rsidRPr="00A415D3">
        <w:t xml:space="preserve">, the </w:t>
      </w:r>
      <w:r w:rsidR="00F96F6A" w:rsidRPr="00A415D3">
        <w:t>c</w:t>
      </w:r>
      <w:r w:rsidR="001432AF" w:rsidRPr="00A415D3">
        <w:t>ourt suspended almost all its operations due to the COVID-19 pandemic.  As a result, the competency hearing set for May</w:t>
      </w:r>
      <w:r w:rsidR="00BB7266" w:rsidRPr="00A415D3">
        <w:t> </w:t>
      </w:r>
      <w:r w:rsidR="001432AF" w:rsidRPr="00A415D3">
        <w:t>21 did not take place.</w:t>
      </w:r>
    </w:p>
    <w:p w14:paraId="3F29F0B7" w14:textId="77777777" w:rsidR="00B75CCC" w:rsidRPr="00A415D3" w:rsidRDefault="00AE6959" w:rsidP="00560442">
      <w:pPr>
        <w:ind w:firstLine="720"/>
      </w:pPr>
      <w:r w:rsidRPr="00A415D3">
        <w:t xml:space="preserve">On July 17, 2020, </w:t>
      </w:r>
      <w:r w:rsidR="00F83B11" w:rsidRPr="00A415D3">
        <w:t xml:space="preserve">the parties returned to court following </w:t>
      </w:r>
      <w:r w:rsidR="00EB042E" w:rsidRPr="00A415D3">
        <w:t xml:space="preserve">the </w:t>
      </w:r>
      <w:r w:rsidR="00F83B11" w:rsidRPr="00A415D3">
        <w:t xml:space="preserve">relaxation of </w:t>
      </w:r>
      <w:r w:rsidR="002A4BFC" w:rsidRPr="00A415D3">
        <w:t xml:space="preserve">certain </w:t>
      </w:r>
      <w:r w:rsidR="00B67305" w:rsidRPr="00A415D3">
        <w:t>COVID-19 restrictions</w:t>
      </w:r>
      <w:r w:rsidR="00F83B11" w:rsidRPr="00A415D3">
        <w:t xml:space="preserve">.  </w:t>
      </w:r>
      <w:r w:rsidR="004A5C87" w:rsidRPr="00A415D3">
        <w:t>The</w:t>
      </w:r>
      <w:r w:rsidR="00F83B11" w:rsidRPr="00A415D3">
        <w:t xml:space="preserve"> </w:t>
      </w:r>
      <w:r w:rsidR="00792D96" w:rsidRPr="00A415D3">
        <w:t xml:space="preserve">court </w:t>
      </w:r>
      <w:r w:rsidR="00AC0B20" w:rsidRPr="00A415D3">
        <w:t xml:space="preserve">rescheduled </w:t>
      </w:r>
      <w:r w:rsidR="00792D96" w:rsidRPr="00A415D3">
        <w:t xml:space="preserve">the </w:t>
      </w:r>
      <w:r w:rsidR="004A5C87" w:rsidRPr="00A415D3">
        <w:t>competency</w:t>
      </w:r>
      <w:r w:rsidR="00F83B11" w:rsidRPr="00A415D3">
        <w:t xml:space="preserve"> hearing </w:t>
      </w:r>
      <w:r w:rsidR="00AC0B20" w:rsidRPr="00A415D3">
        <w:t xml:space="preserve">for </w:t>
      </w:r>
      <w:r w:rsidR="00F83B11" w:rsidRPr="00A415D3">
        <w:t>August</w:t>
      </w:r>
      <w:r w:rsidR="00BB7266" w:rsidRPr="00A415D3">
        <w:t> </w:t>
      </w:r>
      <w:r w:rsidR="00F83B11" w:rsidRPr="00A415D3">
        <w:t>24</w:t>
      </w:r>
      <w:r w:rsidR="0019720D" w:rsidRPr="00A415D3">
        <w:t>,</w:t>
      </w:r>
      <w:r w:rsidR="009A7AD9" w:rsidRPr="00A415D3">
        <w:t xml:space="preserve"> </w:t>
      </w:r>
      <w:r w:rsidR="0019720D" w:rsidRPr="00A415D3">
        <w:t xml:space="preserve">a date </w:t>
      </w:r>
      <w:r w:rsidR="008022B2" w:rsidRPr="00A415D3">
        <w:t>later</w:t>
      </w:r>
      <w:r w:rsidR="00F83B11" w:rsidRPr="00A415D3">
        <w:t xml:space="preserve"> reset to September</w:t>
      </w:r>
      <w:r w:rsidR="00BB7266" w:rsidRPr="00A415D3">
        <w:t> </w:t>
      </w:r>
      <w:r w:rsidR="00F83B11" w:rsidRPr="00A415D3">
        <w:t xml:space="preserve">21 at the request of both parties.  </w:t>
      </w:r>
      <w:r w:rsidR="0019720D" w:rsidRPr="00A415D3">
        <w:t>The hearing did not occur on that date either</w:t>
      </w:r>
      <w:r w:rsidR="00F83B11" w:rsidRPr="00A415D3">
        <w:t xml:space="preserve">.  </w:t>
      </w:r>
      <w:r w:rsidR="001967BA" w:rsidRPr="00A415D3">
        <w:t xml:space="preserve">Instead, the court </w:t>
      </w:r>
      <w:r w:rsidR="00F83B11" w:rsidRPr="00A415D3">
        <w:t xml:space="preserve">continued </w:t>
      </w:r>
      <w:r w:rsidR="001967BA" w:rsidRPr="00A415D3">
        <w:t xml:space="preserve">the hearing </w:t>
      </w:r>
      <w:r w:rsidR="00F83B11" w:rsidRPr="00A415D3">
        <w:t>to November</w:t>
      </w:r>
      <w:r w:rsidR="00BB7266" w:rsidRPr="00A415D3">
        <w:t> </w:t>
      </w:r>
      <w:r w:rsidR="00F83B11" w:rsidRPr="00A415D3">
        <w:t xml:space="preserve">2 </w:t>
      </w:r>
      <w:r w:rsidR="009A7AD9" w:rsidRPr="00A415D3">
        <w:t>“due to the COVID-19 pandemic and the lack of courtrooms and court resources available</w:t>
      </w:r>
      <w:r w:rsidR="00F83B11" w:rsidRPr="00A415D3">
        <w:t>.</w:t>
      </w:r>
      <w:r w:rsidR="009A7AD9" w:rsidRPr="00A415D3">
        <w:t xml:space="preserve">”  </w:t>
      </w:r>
      <w:r w:rsidR="00843AA8" w:rsidRPr="00A415D3">
        <w:t xml:space="preserve">The court </w:t>
      </w:r>
      <w:r w:rsidR="004F14C9" w:rsidRPr="00A415D3">
        <w:t xml:space="preserve">subsequently </w:t>
      </w:r>
      <w:r w:rsidR="00843AA8" w:rsidRPr="00A415D3">
        <w:t xml:space="preserve">continued the competency hearing several </w:t>
      </w:r>
      <w:r w:rsidR="00971716" w:rsidRPr="00A415D3">
        <w:t xml:space="preserve">times </w:t>
      </w:r>
      <w:r w:rsidR="00843AA8" w:rsidRPr="00A415D3">
        <w:t xml:space="preserve">due to the “pandemic and the </w:t>
      </w:r>
      <w:r w:rsidR="00B52547" w:rsidRPr="00A415D3">
        <w:t xml:space="preserve">[s]uperior </w:t>
      </w:r>
      <w:r w:rsidR="002A4BFC" w:rsidRPr="00A415D3">
        <w:t>[c]</w:t>
      </w:r>
      <w:r w:rsidR="00843AA8" w:rsidRPr="00A415D3">
        <w:t>ourt’s limited trial capacity.”</w:t>
      </w:r>
    </w:p>
    <w:p w14:paraId="3F29F0B8" w14:textId="77777777" w:rsidR="00B75CCC" w:rsidRPr="00A415D3" w:rsidRDefault="00AE6959" w:rsidP="00560442">
      <w:pPr>
        <w:ind w:firstLine="720"/>
      </w:pPr>
      <w:r w:rsidRPr="00A415D3">
        <w:t>In March</w:t>
      </w:r>
      <w:r w:rsidR="00465F7B" w:rsidRPr="00A415D3">
        <w:t xml:space="preserve"> </w:t>
      </w:r>
      <w:r w:rsidR="00270E9A" w:rsidRPr="00A415D3">
        <w:t>2021</w:t>
      </w:r>
      <w:r w:rsidRPr="00A415D3">
        <w:t xml:space="preserve">, Rodriguez filed a motion </w:t>
      </w:r>
      <w:r w:rsidR="00CC1DCE" w:rsidRPr="00A415D3">
        <w:t>to</w:t>
      </w:r>
      <w:r w:rsidRPr="00A415D3">
        <w:t xml:space="preserve"> dismiss</w:t>
      </w:r>
      <w:r w:rsidR="00CE47C5" w:rsidRPr="00A415D3">
        <w:t xml:space="preserve">.  Even though the Department had timely determined that he was competent to stand trial, Rodriguez argued </w:t>
      </w:r>
      <w:r w:rsidRPr="00A415D3">
        <w:t>that</w:t>
      </w:r>
      <w:r w:rsidR="0019720D" w:rsidRPr="00A415D3">
        <w:t xml:space="preserve"> </w:t>
      </w:r>
      <w:r w:rsidR="00CE47C5" w:rsidRPr="00A415D3">
        <w:t xml:space="preserve">he was entitled to a dismissal because </w:t>
      </w:r>
      <w:r w:rsidR="00E04DB9" w:rsidRPr="00A415D3">
        <w:t xml:space="preserve">his commitment </w:t>
      </w:r>
      <w:r w:rsidR="00792D96" w:rsidRPr="00A415D3">
        <w:t xml:space="preserve">had </w:t>
      </w:r>
      <w:r w:rsidR="00E04DB9" w:rsidRPr="00A415D3">
        <w:t>lasted more than two years</w:t>
      </w:r>
      <w:r w:rsidRPr="00A415D3">
        <w:t xml:space="preserve">.  </w:t>
      </w:r>
      <w:r w:rsidR="00E04DB9" w:rsidRPr="00A415D3">
        <w:t>Rodriguez contend</w:t>
      </w:r>
      <w:r w:rsidR="006D7CE5" w:rsidRPr="00A415D3">
        <w:t>ed</w:t>
      </w:r>
      <w:r w:rsidR="00E04DB9" w:rsidRPr="00A415D3">
        <w:t xml:space="preserve"> a commitment must be measured </w:t>
      </w:r>
      <w:r w:rsidR="003D7667" w:rsidRPr="00A415D3">
        <w:t xml:space="preserve">based on </w:t>
      </w:r>
      <w:r w:rsidR="00E04DB9" w:rsidRPr="00A415D3">
        <w:t>“dates from one judicial decision until a second judicial decision</w:t>
      </w:r>
      <w:r w:rsidR="004F722E" w:rsidRPr="00A415D3">
        <w:t>”</w:t>
      </w:r>
      <w:r w:rsidR="00BB7266" w:rsidRPr="00A415D3">
        <w:t> </w:t>
      </w:r>
      <w:r w:rsidR="0019720D" w:rsidRPr="00A415D3">
        <w:t xml:space="preserve">— </w:t>
      </w:r>
      <w:r w:rsidR="000B5A6E" w:rsidRPr="00A415D3">
        <w:t xml:space="preserve">in this case, </w:t>
      </w:r>
      <w:r w:rsidR="004F722E" w:rsidRPr="00A415D3">
        <w:t xml:space="preserve">from the date when </w:t>
      </w:r>
      <w:r w:rsidR="000B5A6E" w:rsidRPr="00A415D3">
        <w:t xml:space="preserve">the </w:t>
      </w:r>
      <w:r w:rsidR="004F722E" w:rsidRPr="00A415D3">
        <w:t xml:space="preserve">court </w:t>
      </w:r>
      <w:r w:rsidR="000B5A6E" w:rsidRPr="00A415D3">
        <w:t>issued the</w:t>
      </w:r>
      <w:r w:rsidR="00A87D57" w:rsidRPr="00A415D3">
        <w:t xml:space="preserve"> </w:t>
      </w:r>
      <w:r w:rsidR="004F722E" w:rsidRPr="00A415D3">
        <w:t xml:space="preserve">commitment order to the date when it </w:t>
      </w:r>
      <w:r w:rsidR="00B81AB8" w:rsidRPr="00A415D3">
        <w:t xml:space="preserve">eventually </w:t>
      </w:r>
      <w:r w:rsidR="004F722E" w:rsidRPr="00A415D3">
        <w:t>approve</w:t>
      </w:r>
      <w:r w:rsidR="0019720D" w:rsidRPr="00A415D3">
        <w:t>d</w:t>
      </w:r>
      <w:r w:rsidR="004F722E" w:rsidRPr="00A415D3">
        <w:t xml:space="preserve"> or reject</w:t>
      </w:r>
      <w:r w:rsidR="0019720D" w:rsidRPr="00A415D3">
        <w:t>ed</w:t>
      </w:r>
      <w:r w:rsidR="00E04DB9" w:rsidRPr="00A415D3">
        <w:t xml:space="preserve"> </w:t>
      </w:r>
      <w:r w:rsidR="004F722E" w:rsidRPr="00A415D3">
        <w:t xml:space="preserve">the certificate of restoration.  </w:t>
      </w:r>
      <w:r w:rsidR="004A5C87" w:rsidRPr="00A415D3">
        <w:t>Rodriguez</w:t>
      </w:r>
      <w:r w:rsidR="002A4BFC" w:rsidRPr="00A415D3">
        <w:t xml:space="preserve"> thus argued his</w:t>
      </w:r>
      <w:r w:rsidR="004F722E" w:rsidRPr="00A415D3">
        <w:t xml:space="preserve"> total commitment period</w:t>
      </w:r>
      <w:r w:rsidR="00ED6C3D" w:rsidRPr="00A415D3">
        <w:t> </w:t>
      </w:r>
      <w:r w:rsidR="003D7667" w:rsidRPr="00A415D3">
        <w:t xml:space="preserve">— </w:t>
      </w:r>
      <w:r w:rsidR="004F722E" w:rsidRPr="00A415D3">
        <w:t>counting days from his first and second commitment</w:t>
      </w:r>
      <w:r w:rsidR="00AC0B20" w:rsidRPr="00A415D3">
        <w:t>s</w:t>
      </w:r>
      <w:r w:rsidR="00ED6C3D" w:rsidRPr="00A415D3">
        <w:t> </w:t>
      </w:r>
      <w:r w:rsidR="003D7667" w:rsidRPr="00A415D3">
        <w:t xml:space="preserve">— </w:t>
      </w:r>
      <w:r w:rsidR="000B5A6E" w:rsidRPr="00A415D3">
        <w:t xml:space="preserve">exceeded </w:t>
      </w:r>
      <w:r w:rsidR="004F722E" w:rsidRPr="00A415D3">
        <w:t>two years</w:t>
      </w:r>
      <w:r w:rsidR="000B5A6E" w:rsidRPr="00A415D3">
        <w:t xml:space="preserve"> and was ongoing</w:t>
      </w:r>
      <w:r w:rsidR="004F722E" w:rsidRPr="00A415D3">
        <w:t xml:space="preserve">.  </w:t>
      </w:r>
      <w:r w:rsidR="00BC6DD2" w:rsidRPr="00A415D3">
        <w:t xml:space="preserve">(See </w:t>
      </w:r>
      <w:r w:rsidR="00BC6DD2" w:rsidRPr="00A415D3">
        <w:rPr>
          <w:i/>
          <w:iCs/>
        </w:rPr>
        <w:t>In re Polk</w:t>
      </w:r>
      <w:r w:rsidR="00131CFF" w:rsidRPr="00A415D3">
        <w:t> </w:t>
      </w:r>
      <w:r w:rsidR="00BC6DD2" w:rsidRPr="00A415D3">
        <w:t>(1999)</w:t>
      </w:r>
      <w:r w:rsidR="00B24D57" w:rsidRPr="00A415D3">
        <w:t xml:space="preserve"> </w:t>
      </w:r>
      <w:r w:rsidR="00BC6DD2" w:rsidRPr="00A415D3">
        <w:t>71</w:t>
      </w:r>
      <w:r w:rsidR="00BB7266" w:rsidRPr="00A415D3">
        <w:t> </w:t>
      </w:r>
      <w:r w:rsidR="00BC6DD2" w:rsidRPr="00A415D3">
        <w:t xml:space="preserve">Cal.App.4th 1230, 1232 </w:t>
      </w:r>
      <w:r w:rsidR="003436B3" w:rsidRPr="00A415D3">
        <w:t>(</w:t>
      </w:r>
      <w:r w:rsidR="003436B3" w:rsidRPr="00A415D3">
        <w:rPr>
          <w:i/>
          <w:iCs/>
        </w:rPr>
        <w:t>Polk</w:t>
      </w:r>
      <w:r w:rsidR="003436B3" w:rsidRPr="00A415D3">
        <w:t xml:space="preserve">) </w:t>
      </w:r>
      <w:r w:rsidR="00BC6DD2" w:rsidRPr="00A415D3">
        <w:t>[holding that the limit on a commitment term “applies to the aggregate of all commitments under the same charges”].)</w:t>
      </w:r>
    </w:p>
    <w:p w14:paraId="3F29F0B9" w14:textId="77777777" w:rsidR="00B75CCC" w:rsidRPr="00A415D3" w:rsidRDefault="00AE6959" w:rsidP="00560442">
      <w:pPr>
        <w:ind w:firstLine="720"/>
      </w:pPr>
      <w:r w:rsidRPr="00A415D3">
        <w:t>On March 16, 2021, t</w:t>
      </w:r>
      <w:r w:rsidR="00B163F7" w:rsidRPr="00A415D3">
        <w:t>he trial court denied the motion</w:t>
      </w:r>
      <w:r w:rsidR="006B5057" w:rsidRPr="00A415D3">
        <w:t xml:space="preserve"> to dismiss</w:t>
      </w:r>
      <w:r w:rsidR="00B163F7" w:rsidRPr="00A415D3">
        <w:t xml:space="preserve">, reasoning that it </w:t>
      </w:r>
      <w:r w:rsidR="000B5A6E" w:rsidRPr="00A415D3">
        <w:t xml:space="preserve">had to </w:t>
      </w:r>
      <w:r w:rsidR="00B163F7" w:rsidRPr="00A415D3">
        <w:t>first determine whether Rodriguez ha</w:t>
      </w:r>
      <w:r w:rsidR="000B5A6E" w:rsidRPr="00A415D3">
        <w:t>d</w:t>
      </w:r>
      <w:r w:rsidR="00B163F7" w:rsidRPr="00A415D3">
        <w:t xml:space="preserve"> regained competency before it c</w:t>
      </w:r>
      <w:r w:rsidR="000B5A6E" w:rsidRPr="00A415D3">
        <w:t>ould</w:t>
      </w:r>
      <w:r w:rsidR="00B163F7" w:rsidRPr="00A415D3">
        <w:t xml:space="preserve"> ascertain whether the statutory two-year limit ha</w:t>
      </w:r>
      <w:r w:rsidR="000B5A6E" w:rsidRPr="00A415D3">
        <w:t>d</w:t>
      </w:r>
      <w:r w:rsidR="00B163F7" w:rsidRPr="00A415D3">
        <w:t xml:space="preserve"> been reached.  </w:t>
      </w:r>
      <w:r w:rsidR="00BC10DC" w:rsidRPr="00A415D3">
        <w:t>T</w:t>
      </w:r>
      <w:r w:rsidR="00B163F7" w:rsidRPr="00A415D3">
        <w:t>he court explained, “</w:t>
      </w:r>
      <w:r w:rsidRPr="00A415D3">
        <w:t xml:space="preserve">the days between the restoration certificate and the restoration hearing </w:t>
      </w:r>
      <w:r w:rsidR="000B5A6E" w:rsidRPr="00A415D3">
        <w:t xml:space="preserve">[would] </w:t>
      </w:r>
      <w:r w:rsidRPr="00A415D3">
        <w:t xml:space="preserve">only count towards the two-year maximum commitment if, in fact, it is determined that </w:t>
      </w:r>
      <w:r w:rsidRPr="00A415D3">
        <w:t>the defendant is not restored to competence</w:t>
      </w:r>
      <w:r w:rsidR="00B163F7" w:rsidRPr="00A415D3">
        <w:t xml:space="preserve">.”  </w:t>
      </w:r>
      <w:r w:rsidRPr="00A415D3">
        <w:t>If instead “the defendant is [judicially determined to be] restored to competence,</w:t>
      </w:r>
      <w:r w:rsidR="001477DC" w:rsidRPr="00A415D3">
        <w:t>” the court continued,</w:t>
      </w:r>
      <w:r w:rsidRPr="00A415D3">
        <w:t xml:space="preserve"> </w:t>
      </w:r>
      <w:r w:rsidR="001477DC" w:rsidRPr="00A415D3">
        <w:t>“</w:t>
      </w:r>
      <w:r w:rsidRPr="00A415D3">
        <w:t>then the date on the certificate of restoration will serve as the date of restoration for purposes of c</w:t>
      </w:r>
      <w:r w:rsidRPr="00A415D3">
        <w:t xml:space="preserve">ounting the days towards the maximum commitment.”  </w:t>
      </w:r>
      <w:r w:rsidR="001A48BE" w:rsidRPr="00A415D3">
        <w:t>After the court announced its decision, Rodriguez’s counsel asked for a continuance</w:t>
      </w:r>
      <w:r w:rsidR="00300B4F" w:rsidRPr="00A415D3">
        <w:t>, requesting that</w:t>
      </w:r>
      <w:r w:rsidR="00E85632" w:rsidRPr="00A415D3">
        <w:t xml:space="preserve"> the</w:t>
      </w:r>
      <w:r w:rsidR="00300B4F" w:rsidRPr="00A415D3">
        <w:t xml:space="preserve"> </w:t>
      </w:r>
      <w:r w:rsidR="001A48BE" w:rsidRPr="00A415D3">
        <w:t>court sign an order so that counsel c</w:t>
      </w:r>
      <w:r w:rsidR="000B5A6E" w:rsidRPr="00A415D3">
        <w:t>ould</w:t>
      </w:r>
      <w:r w:rsidR="001A48BE" w:rsidRPr="00A415D3">
        <w:t xml:space="preserve"> receive Rodriguez’s </w:t>
      </w:r>
      <w:r w:rsidR="0083436E" w:rsidRPr="00A415D3">
        <w:t xml:space="preserve">updated </w:t>
      </w:r>
      <w:r w:rsidR="001A48BE" w:rsidRPr="00A415D3">
        <w:t xml:space="preserve">mental health records </w:t>
      </w:r>
      <w:r w:rsidR="0083436E" w:rsidRPr="00A415D3">
        <w:t>related to his recent placement on “24-hour hold” and “suicide watch” while in county jail.</w:t>
      </w:r>
    </w:p>
    <w:p w14:paraId="3F29F0BA" w14:textId="77777777" w:rsidR="00B75CCC" w:rsidRPr="00A415D3" w:rsidRDefault="00AE6959" w:rsidP="00560442">
      <w:pPr>
        <w:ind w:firstLine="720"/>
      </w:pPr>
      <w:r w:rsidRPr="00A415D3">
        <w:t>B</w:t>
      </w:r>
      <w:r w:rsidR="00B163F7" w:rsidRPr="00A415D3">
        <w:t xml:space="preserve">etween </w:t>
      </w:r>
      <w:r w:rsidR="001A48BE" w:rsidRPr="00A415D3">
        <w:t xml:space="preserve">the date of </w:t>
      </w:r>
      <w:r w:rsidR="00B163F7" w:rsidRPr="00A415D3">
        <w:t xml:space="preserve">the second commitment order and the </w:t>
      </w:r>
      <w:r w:rsidR="001A48BE" w:rsidRPr="00A415D3">
        <w:t>court’s decision on March</w:t>
      </w:r>
      <w:r w:rsidR="00996106" w:rsidRPr="00A415D3">
        <w:t> </w:t>
      </w:r>
      <w:r w:rsidR="001A48BE" w:rsidRPr="00A415D3">
        <w:t>16</w:t>
      </w:r>
      <w:r w:rsidR="008D4D0B" w:rsidRPr="00A415D3">
        <w:t>, 2021</w:t>
      </w:r>
      <w:r w:rsidR="00417B1A" w:rsidRPr="00A415D3">
        <w:t>,</w:t>
      </w:r>
      <w:r w:rsidR="00B163F7" w:rsidRPr="00A415D3">
        <w:t xml:space="preserve"> </w:t>
      </w:r>
      <w:r w:rsidR="00417B1A" w:rsidRPr="00A415D3">
        <w:t xml:space="preserve">a total of </w:t>
      </w:r>
      <w:r w:rsidR="001A48BE" w:rsidRPr="00A415D3">
        <w:t>670</w:t>
      </w:r>
      <w:r w:rsidR="00996106" w:rsidRPr="00A415D3">
        <w:t> </w:t>
      </w:r>
      <w:r w:rsidR="00B163F7" w:rsidRPr="00A415D3">
        <w:t>days</w:t>
      </w:r>
      <w:r w:rsidR="00417B1A" w:rsidRPr="00A415D3">
        <w:t xml:space="preserve"> </w:t>
      </w:r>
      <w:r w:rsidR="0019720D" w:rsidRPr="00A415D3">
        <w:t xml:space="preserve">had </w:t>
      </w:r>
      <w:r w:rsidR="00417B1A" w:rsidRPr="00A415D3">
        <w:t>elapsed</w:t>
      </w:r>
      <w:r w:rsidR="00B163F7" w:rsidRPr="00A415D3">
        <w:t xml:space="preserve">.  </w:t>
      </w:r>
      <w:r w:rsidR="001A48BE" w:rsidRPr="00A415D3">
        <w:t xml:space="preserve">When combined with the </w:t>
      </w:r>
      <w:r w:rsidR="00DA4FAA" w:rsidRPr="00A415D3">
        <w:t xml:space="preserve">period between the first commitment order and the court’s decision </w:t>
      </w:r>
      <w:r w:rsidR="00270E9A" w:rsidRPr="00A415D3">
        <w:t>on September</w:t>
      </w:r>
      <w:r w:rsidR="0093489C" w:rsidRPr="00A415D3">
        <w:t> </w:t>
      </w:r>
      <w:r w:rsidR="00270E9A" w:rsidRPr="00A415D3">
        <w:t>2, 2018</w:t>
      </w:r>
      <w:r w:rsidR="00E358B7">
        <w:t>,</w:t>
      </w:r>
      <w:r w:rsidR="00270E9A" w:rsidRPr="00A415D3">
        <w:t xml:space="preserve"> </w:t>
      </w:r>
      <w:r w:rsidR="00DA4FAA" w:rsidRPr="00A415D3">
        <w:t xml:space="preserve">finding Rodriguez restored to competency, 789 </w:t>
      </w:r>
      <w:r w:rsidR="00D3564B" w:rsidRPr="00A415D3">
        <w:t>days</w:t>
      </w:r>
      <w:r w:rsidR="00ED6C3D" w:rsidRPr="00A415D3">
        <w:t> </w:t>
      </w:r>
      <w:r w:rsidR="00D3564B" w:rsidRPr="00A415D3">
        <w:t>— or more than two years</w:t>
      </w:r>
      <w:r w:rsidR="0093489C" w:rsidRPr="00A415D3">
        <w:t> </w:t>
      </w:r>
      <w:r w:rsidR="00D3564B" w:rsidRPr="00A415D3">
        <w:t>—</w:t>
      </w:r>
      <w:r w:rsidR="00417B1A" w:rsidRPr="00A415D3">
        <w:t xml:space="preserve"> </w:t>
      </w:r>
      <w:r w:rsidR="0019720D" w:rsidRPr="00A415D3">
        <w:t xml:space="preserve">had </w:t>
      </w:r>
      <w:r w:rsidR="00D3564B" w:rsidRPr="00A415D3">
        <w:t>passed.</w:t>
      </w:r>
      <w:r w:rsidR="00354236" w:rsidRPr="00A415D3">
        <w:t xml:space="preserve">  In contrast, if </w:t>
      </w:r>
      <w:r w:rsidR="00417B1A" w:rsidRPr="00A415D3">
        <w:t xml:space="preserve">a </w:t>
      </w:r>
      <w:r w:rsidR="00354236" w:rsidRPr="00A415D3">
        <w:t xml:space="preserve">commitment </w:t>
      </w:r>
      <w:r w:rsidR="00417B1A" w:rsidRPr="00A415D3">
        <w:t>were deemed to</w:t>
      </w:r>
      <w:r w:rsidR="00AC0B20" w:rsidRPr="00A415D3">
        <w:t xml:space="preserve"> begin with a commitment order and</w:t>
      </w:r>
      <w:r w:rsidR="00417B1A" w:rsidRPr="00A415D3">
        <w:t xml:space="preserve"> </w:t>
      </w:r>
      <w:r w:rsidR="00354236" w:rsidRPr="00A415D3">
        <w:t>end upon the filing of a certificate of restoration, Rodriguez had been committed for</w:t>
      </w:r>
      <w:r w:rsidR="00AC0B20" w:rsidRPr="00A415D3">
        <w:t xml:space="preserve"> a total of</w:t>
      </w:r>
      <w:r w:rsidR="00354236" w:rsidRPr="00A415D3">
        <w:t xml:space="preserve"> 344 days — or less than one year — during the two commitment</w:t>
      </w:r>
      <w:r w:rsidR="00996106" w:rsidRPr="00A415D3">
        <w:t>s</w:t>
      </w:r>
      <w:r w:rsidR="00354236" w:rsidRPr="00A415D3">
        <w:t>.</w:t>
      </w:r>
    </w:p>
    <w:p w14:paraId="3F29F0BB" w14:textId="77777777" w:rsidR="00B75CCC" w:rsidRPr="00A415D3" w:rsidRDefault="00AE6959" w:rsidP="00560442">
      <w:pPr>
        <w:ind w:firstLine="720"/>
      </w:pPr>
      <w:r w:rsidRPr="00A415D3">
        <w:t xml:space="preserve">Rodriguez </w:t>
      </w:r>
      <w:r w:rsidR="00BE5711" w:rsidRPr="00A415D3">
        <w:t xml:space="preserve">challenged </w:t>
      </w:r>
      <w:r w:rsidRPr="00A415D3">
        <w:t>the trial court’s denial of his motion t</w:t>
      </w:r>
      <w:r w:rsidRPr="00A415D3">
        <w:t xml:space="preserve">o dismiss by filing a petition for writ of prohibition in the Court of </w:t>
      </w:r>
      <w:r w:rsidR="007511D8" w:rsidRPr="00A415D3">
        <w:t>Appeal</w:t>
      </w:r>
      <w:r w:rsidR="00D3564B" w:rsidRPr="00A415D3">
        <w:t xml:space="preserve">, raising the same argument he </w:t>
      </w:r>
      <w:r w:rsidR="00AC0B20" w:rsidRPr="00A415D3">
        <w:t xml:space="preserve">presented </w:t>
      </w:r>
      <w:r w:rsidR="00D3564B" w:rsidRPr="00A415D3">
        <w:t>in the trial court</w:t>
      </w:r>
      <w:r w:rsidRPr="00A415D3">
        <w:t>.</w:t>
      </w:r>
      <w:r w:rsidR="007511D8" w:rsidRPr="00A415D3">
        <w:t xml:space="preserve">  The</w:t>
      </w:r>
      <w:r w:rsidR="00D3564B" w:rsidRPr="00A415D3">
        <w:t xml:space="preserve"> Court of Appeal rejected the argument, </w:t>
      </w:r>
      <w:r w:rsidR="00AC2B1A" w:rsidRPr="00A415D3">
        <w:t>agreeing with the People that Rodriguez’s commitment ended when the certificate of restoration was filed.  (</w:t>
      </w:r>
      <w:r w:rsidR="00AC2B1A" w:rsidRPr="00A415D3">
        <w:rPr>
          <w:i/>
          <w:iCs/>
        </w:rPr>
        <w:t>Rodriguez</w:t>
      </w:r>
      <w:r w:rsidR="00AC2B1A" w:rsidRPr="00A415D3">
        <w:t xml:space="preserve">, </w:t>
      </w:r>
      <w:r w:rsidR="00AC2B1A" w:rsidRPr="00A415D3">
        <w:rPr>
          <w:i/>
          <w:iCs/>
        </w:rPr>
        <w:t>supra</w:t>
      </w:r>
      <w:r w:rsidR="00AC2B1A" w:rsidRPr="00A415D3">
        <w:t xml:space="preserve">, </w:t>
      </w:r>
      <w:r w:rsidR="009D2006" w:rsidRPr="00A415D3">
        <w:t>70</w:t>
      </w:r>
      <w:r w:rsidR="005E007A" w:rsidRPr="00A415D3">
        <w:t> </w:t>
      </w:r>
      <w:r w:rsidR="009D2006" w:rsidRPr="00A415D3">
        <w:t>Cal.App.5th at p.</w:t>
      </w:r>
      <w:r w:rsidR="00C91272" w:rsidRPr="00A415D3">
        <w:t> </w:t>
      </w:r>
      <w:r w:rsidR="009D2006" w:rsidRPr="00A415D3">
        <w:t>636</w:t>
      </w:r>
      <w:r w:rsidR="00AC2B1A" w:rsidRPr="00A415D3">
        <w:t>.)  Unlike the trial court, the</w:t>
      </w:r>
      <w:r w:rsidR="007511D8" w:rsidRPr="00A415D3">
        <w:t xml:space="preserve"> </w:t>
      </w:r>
      <w:r w:rsidR="00E84663" w:rsidRPr="00A415D3">
        <w:t xml:space="preserve">Court of Appeal </w:t>
      </w:r>
      <w:r w:rsidR="00CC42B8" w:rsidRPr="00A415D3">
        <w:t>concluded</w:t>
      </w:r>
      <w:r w:rsidR="00E84663" w:rsidRPr="00A415D3">
        <w:t xml:space="preserve"> that the filing of the certificate of restoration terminates a commitment regardless of whether the </w:t>
      </w:r>
      <w:r w:rsidR="00CE5C1B" w:rsidRPr="00A415D3">
        <w:t xml:space="preserve">court </w:t>
      </w:r>
      <w:r w:rsidR="0054354A" w:rsidRPr="00A415D3">
        <w:t>subsequently</w:t>
      </w:r>
      <w:r w:rsidR="00E84663" w:rsidRPr="00A415D3">
        <w:t xml:space="preserve"> approve</w:t>
      </w:r>
      <w:r w:rsidR="00456FC2" w:rsidRPr="00A415D3">
        <w:t>s</w:t>
      </w:r>
      <w:r w:rsidR="00E84663" w:rsidRPr="00A415D3">
        <w:t xml:space="preserve"> or reject</w:t>
      </w:r>
      <w:r w:rsidR="00CE5C1B" w:rsidRPr="00A415D3">
        <w:t>s the certificate</w:t>
      </w:r>
      <w:r w:rsidR="00E84663" w:rsidRPr="00A415D3">
        <w:t>.  (</w:t>
      </w:r>
      <w:r w:rsidR="009D2006" w:rsidRPr="00A415D3">
        <w:t xml:space="preserve">See </w:t>
      </w:r>
      <w:r w:rsidR="00E54BF3" w:rsidRPr="00A415D3">
        <w:rPr>
          <w:i/>
          <w:iCs/>
        </w:rPr>
        <w:t>id</w:t>
      </w:r>
      <w:r w:rsidR="00E54BF3" w:rsidRPr="00A415D3">
        <w:t>.</w:t>
      </w:r>
      <w:r w:rsidR="00F91835" w:rsidRPr="00A415D3">
        <w:t xml:space="preserve"> </w:t>
      </w:r>
      <w:r w:rsidR="009D2006" w:rsidRPr="00A415D3">
        <w:t>at p</w:t>
      </w:r>
      <w:r w:rsidR="00AF5B4B" w:rsidRPr="00A415D3">
        <w:t>p</w:t>
      </w:r>
      <w:r w:rsidR="009D2006" w:rsidRPr="00A415D3">
        <w:t>.</w:t>
      </w:r>
      <w:r w:rsidR="00C91272" w:rsidRPr="00A415D3">
        <w:t> </w:t>
      </w:r>
      <w:r w:rsidR="00AF5B4B" w:rsidRPr="00A415D3">
        <w:t>635–</w:t>
      </w:r>
      <w:r w:rsidR="00B52547" w:rsidRPr="00A415D3">
        <w:t>636</w:t>
      </w:r>
      <w:r w:rsidR="00E84663" w:rsidRPr="00A415D3">
        <w:t>.)</w:t>
      </w:r>
    </w:p>
    <w:p w14:paraId="3F29F0BC" w14:textId="77777777" w:rsidR="00B75CCC" w:rsidRPr="00A415D3" w:rsidRDefault="00AE6959" w:rsidP="00560442">
      <w:pPr>
        <w:ind w:firstLine="720"/>
      </w:pPr>
      <w:r w:rsidRPr="00A415D3">
        <w:t xml:space="preserve">In reaching its decision, the </w:t>
      </w:r>
      <w:r w:rsidR="007A2AEC" w:rsidRPr="00A415D3">
        <w:t xml:space="preserve">Court of Appeal disagreed with </w:t>
      </w:r>
      <w:r w:rsidR="007A2AEC" w:rsidRPr="00A415D3">
        <w:rPr>
          <w:i/>
          <w:iCs/>
        </w:rPr>
        <w:t>People v. Carr</w:t>
      </w:r>
      <w:r w:rsidR="00D30276" w:rsidRPr="00A415D3">
        <w:t> </w:t>
      </w:r>
      <w:r w:rsidR="007A2AEC" w:rsidRPr="00A415D3">
        <w:t>(2021) 59</w:t>
      </w:r>
      <w:r w:rsidR="005E007A" w:rsidRPr="00A415D3">
        <w:t> </w:t>
      </w:r>
      <w:r w:rsidR="007A2AEC" w:rsidRPr="00A415D3">
        <w:t>Cal.App.5th 1136 (</w:t>
      </w:r>
      <w:r w:rsidR="007A2AEC" w:rsidRPr="00A415D3">
        <w:rPr>
          <w:i/>
          <w:iCs/>
        </w:rPr>
        <w:t>Carr</w:t>
      </w:r>
      <w:r w:rsidR="007A2AEC" w:rsidRPr="00A415D3">
        <w:t>)</w:t>
      </w:r>
      <w:r w:rsidR="00C91272" w:rsidRPr="00A415D3">
        <w:t xml:space="preserve">, which held that a judicial determination of competency, “not a health official’s certification of competency that initiates court proceedings to consider whether the defendant has regained competency, terminates the defendant’s commitment.”  </w:t>
      </w:r>
      <w:r w:rsidR="007A2AEC" w:rsidRPr="00A415D3">
        <w:t>(</w:t>
      </w:r>
      <w:r w:rsidR="00B52547" w:rsidRPr="00A415D3">
        <w:rPr>
          <w:i/>
          <w:iCs/>
        </w:rPr>
        <w:t>Id</w:t>
      </w:r>
      <w:r w:rsidR="00B52547" w:rsidRPr="00A415D3">
        <w:t xml:space="preserve">. at p. 1140; </w:t>
      </w:r>
      <w:r w:rsidR="007A2AEC" w:rsidRPr="00A415D3">
        <w:rPr>
          <w:i/>
          <w:iCs/>
        </w:rPr>
        <w:t>Rodriguez</w:t>
      </w:r>
      <w:r w:rsidR="007A2AEC" w:rsidRPr="00A415D3">
        <w:t xml:space="preserve">, </w:t>
      </w:r>
      <w:r w:rsidR="007A2AEC" w:rsidRPr="00A415D3">
        <w:rPr>
          <w:i/>
          <w:iCs/>
        </w:rPr>
        <w:t>supra</w:t>
      </w:r>
      <w:r w:rsidR="007A2AEC" w:rsidRPr="00A415D3">
        <w:t>, 70</w:t>
      </w:r>
      <w:r w:rsidR="005E007A" w:rsidRPr="00A415D3">
        <w:t> </w:t>
      </w:r>
      <w:r w:rsidR="007A2AEC" w:rsidRPr="00A415D3">
        <w:t>Cal.App.5th at p.</w:t>
      </w:r>
      <w:r w:rsidR="00C91272" w:rsidRPr="00A415D3">
        <w:t> </w:t>
      </w:r>
      <w:r w:rsidR="007A2AEC" w:rsidRPr="00A415D3">
        <w:t>652.)</w:t>
      </w:r>
    </w:p>
    <w:p w14:paraId="3F29F0BD" w14:textId="77777777" w:rsidR="00E03862" w:rsidRPr="00A415D3" w:rsidRDefault="00AE6959" w:rsidP="00560442">
      <w:pPr>
        <w:ind w:firstLine="720"/>
      </w:pPr>
      <w:r w:rsidRPr="00A415D3">
        <w:t>We granted review to resolve the split in authorit</w:t>
      </w:r>
      <w:r w:rsidR="0019720D" w:rsidRPr="00A415D3">
        <w:t>y</w:t>
      </w:r>
      <w:r w:rsidRPr="00A415D3">
        <w:t>.</w:t>
      </w:r>
      <w:r w:rsidR="005947BF" w:rsidRPr="00A415D3">
        <w:t xml:space="preserve">  </w:t>
      </w:r>
      <w:r w:rsidR="00051CA5" w:rsidRPr="00A415D3">
        <w:t>W</w:t>
      </w:r>
      <w:r w:rsidR="005947BF" w:rsidRPr="00A415D3">
        <w:t xml:space="preserve">e </w:t>
      </w:r>
      <w:r w:rsidR="00CE47C5" w:rsidRPr="00A415D3">
        <w:t xml:space="preserve">now </w:t>
      </w:r>
      <w:r w:rsidR="00EB042E" w:rsidRPr="00A415D3">
        <w:t>reject</w:t>
      </w:r>
      <w:r w:rsidR="005947BF" w:rsidRPr="00A415D3">
        <w:t xml:space="preserve"> the Court of Appeal’s </w:t>
      </w:r>
      <w:r w:rsidR="00B723D0" w:rsidRPr="00A415D3">
        <w:t>holding</w:t>
      </w:r>
      <w:r w:rsidR="005947BF" w:rsidRPr="00A415D3">
        <w:t xml:space="preserve"> that the two-year clock set by section 1370(c)(1) stops with the filing of a certificate of restoration.</w:t>
      </w:r>
      <w:r w:rsidR="00CE47C5" w:rsidRPr="00A415D3">
        <w:t xml:space="preserve">  </w:t>
      </w:r>
    </w:p>
    <w:p w14:paraId="3F29F0BE" w14:textId="77777777" w:rsidR="002B42A7" w:rsidRPr="00A415D3" w:rsidRDefault="00AE6959" w:rsidP="00560442">
      <w:pPr>
        <w:pStyle w:val="Heading1"/>
      </w:pPr>
      <w:r w:rsidRPr="00A415D3">
        <w:t>II.  Discussion</w:t>
      </w:r>
    </w:p>
    <w:p w14:paraId="3F29F0BF" w14:textId="77777777" w:rsidR="00127CF0" w:rsidRPr="00A415D3" w:rsidRDefault="00AE6959" w:rsidP="00560442">
      <w:pPr>
        <w:ind w:firstLine="720"/>
      </w:pPr>
      <w:r w:rsidRPr="00A415D3">
        <w:t xml:space="preserve">To determine </w:t>
      </w:r>
      <w:r w:rsidR="005947BF" w:rsidRPr="00A415D3">
        <w:t xml:space="preserve">whether the running of </w:t>
      </w:r>
      <w:r w:rsidR="00A32934" w:rsidRPr="00A415D3">
        <w:t xml:space="preserve">the </w:t>
      </w:r>
      <w:r w:rsidR="005947BF" w:rsidRPr="00A415D3">
        <w:t xml:space="preserve">clock </w:t>
      </w:r>
      <w:r w:rsidR="00A32934" w:rsidRPr="00A415D3">
        <w:t>set by</w:t>
      </w:r>
      <w:r w:rsidR="005947BF" w:rsidRPr="00A415D3">
        <w:t xml:space="preserve"> section 1370(c)(1) continues past the filing of a certificate of restoration</w:t>
      </w:r>
      <w:r w:rsidRPr="00A415D3">
        <w:t xml:space="preserve">, </w:t>
      </w:r>
      <w:r w:rsidR="00AF5B4B" w:rsidRPr="00A415D3">
        <w:t xml:space="preserve">we </w:t>
      </w:r>
      <w:r w:rsidRPr="00A415D3">
        <w:t>provide an overview of the relevant statutory framework</w:t>
      </w:r>
      <w:r w:rsidR="009E0002" w:rsidRPr="00A415D3">
        <w:t xml:space="preserve">, and then analyze </w:t>
      </w:r>
      <w:r w:rsidRPr="00A415D3">
        <w:t>the text of the governing statute and the context, history, and purpose of the competency scheme.</w:t>
      </w:r>
    </w:p>
    <w:p w14:paraId="3F29F0C0" w14:textId="77777777" w:rsidR="005D24C9" w:rsidRPr="00A415D3" w:rsidRDefault="00AE6959" w:rsidP="00560442">
      <w:pPr>
        <w:pStyle w:val="Heading2"/>
        <w:numPr>
          <w:ilvl w:val="0"/>
          <w:numId w:val="2"/>
        </w:numPr>
      </w:pPr>
      <w:r w:rsidRPr="00A415D3">
        <w:t xml:space="preserve">The </w:t>
      </w:r>
      <w:r w:rsidR="003951B9" w:rsidRPr="00A415D3">
        <w:t>C</w:t>
      </w:r>
      <w:r w:rsidRPr="00A415D3">
        <w:t>ompetency Statut</w:t>
      </w:r>
      <w:r w:rsidR="009A147E" w:rsidRPr="00A415D3">
        <w:t>ory Scheme</w:t>
      </w:r>
    </w:p>
    <w:p w14:paraId="3F29F0C1" w14:textId="77777777" w:rsidR="00A253D9" w:rsidRPr="00A415D3" w:rsidRDefault="00AE6959" w:rsidP="00560442">
      <w:pPr>
        <w:pStyle w:val="Heading3"/>
        <w:numPr>
          <w:ilvl w:val="0"/>
          <w:numId w:val="5"/>
        </w:numPr>
        <w:ind w:left="1584" w:hanging="432"/>
      </w:pPr>
      <w:r w:rsidRPr="00A415D3">
        <w:t>Pre-1974</w:t>
      </w:r>
    </w:p>
    <w:p w14:paraId="3F29F0C2" w14:textId="77777777" w:rsidR="00263E2E" w:rsidRPr="00A415D3" w:rsidRDefault="00AE6959" w:rsidP="00560442">
      <w:pPr>
        <w:ind w:firstLine="720"/>
      </w:pPr>
      <w:r w:rsidRPr="00A415D3">
        <w:t xml:space="preserve">A </w:t>
      </w:r>
      <w:r w:rsidR="009E0002" w:rsidRPr="00A415D3">
        <w:t xml:space="preserve">defendant </w:t>
      </w:r>
      <w:r w:rsidRPr="00A415D3">
        <w:t>is mentally incompetent to st</w:t>
      </w:r>
      <w:r w:rsidRPr="00A415D3">
        <w:t>and trial if “as a result of a mental health disorder or developmental disability, the defendant is unable to understand the nature of the criminal proceedings or to assist counsel in the conduct of a defense in a rational manner.”  (§</w:t>
      </w:r>
      <w:r w:rsidR="00C91272" w:rsidRPr="00A415D3">
        <w:t> </w:t>
      </w:r>
      <w:r w:rsidRPr="00A415D3">
        <w:t>1367, subd. (a).)  P</w:t>
      </w:r>
      <w:r w:rsidRPr="00A415D3">
        <w:t xml:space="preserve">rior to 1974, </w:t>
      </w:r>
      <w:r w:rsidR="0027062E" w:rsidRPr="00A415D3">
        <w:t>“California law provided that persons charged with criminal conduct but found incompetent to stand trial were committed to state hospitals until they became ‘sane’ (i.e., competent).  Because attainment of competence was the sole standard for release the commitments were indefinite, even permanent, so long as incompetence persisted.”  (</w:t>
      </w:r>
      <w:r w:rsidR="0027062E" w:rsidRPr="00A415D3">
        <w:rPr>
          <w:i/>
          <w:iCs/>
        </w:rPr>
        <w:t>Conservatorship of Hofferber</w:t>
      </w:r>
      <w:r w:rsidR="0027062E" w:rsidRPr="00A415D3">
        <w:t> (1980) 28</w:t>
      </w:r>
      <w:r w:rsidR="005E007A" w:rsidRPr="00A415D3">
        <w:t> </w:t>
      </w:r>
      <w:r w:rsidR="0027062E" w:rsidRPr="00A415D3">
        <w:t>Cal.3d 161, 167</w:t>
      </w:r>
      <w:r w:rsidR="001A63A4" w:rsidRPr="00A415D3">
        <w:t xml:space="preserve"> (</w:t>
      </w:r>
      <w:r w:rsidR="001A63A4" w:rsidRPr="00A415D3">
        <w:rPr>
          <w:i/>
          <w:iCs/>
        </w:rPr>
        <w:t>Hofferber</w:t>
      </w:r>
      <w:r w:rsidR="001A63A4" w:rsidRPr="00A415D3">
        <w:t>)</w:t>
      </w:r>
      <w:r w:rsidR="0027062E" w:rsidRPr="00A415D3">
        <w:t>.)</w:t>
      </w:r>
    </w:p>
    <w:p w14:paraId="3F29F0C3" w14:textId="77777777" w:rsidR="00902593" w:rsidRPr="00A415D3" w:rsidRDefault="00AE6959" w:rsidP="00560442">
      <w:pPr>
        <w:ind w:firstLine="720"/>
      </w:pPr>
      <w:r w:rsidRPr="00A415D3">
        <w:t xml:space="preserve">In 1972, however, the United States Supreme Court </w:t>
      </w:r>
      <w:r w:rsidR="00051CA5" w:rsidRPr="00A415D3">
        <w:t xml:space="preserve">held </w:t>
      </w:r>
      <w:r w:rsidR="00E669FA" w:rsidRPr="00A415D3">
        <w:t xml:space="preserve">that “indefinite commitment of a criminal defendant solely on account of his incompetency to stand trial” offends </w:t>
      </w:r>
      <w:r w:rsidR="001F606C" w:rsidRPr="00A415D3">
        <w:t>constitutional guarantees of</w:t>
      </w:r>
      <w:r w:rsidR="00E669FA" w:rsidRPr="00A415D3">
        <w:t xml:space="preserve"> equal protection and due process.  (</w:t>
      </w:r>
      <w:r w:rsidR="00E669FA" w:rsidRPr="00A415D3">
        <w:rPr>
          <w:i/>
          <w:iCs/>
        </w:rPr>
        <w:t>Jackson v. Indiana</w:t>
      </w:r>
      <w:r w:rsidR="00E669FA" w:rsidRPr="00A415D3">
        <w:t xml:space="preserve">, </w:t>
      </w:r>
      <w:r w:rsidR="00E669FA" w:rsidRPr="00A415D3">
        <w:rPr>
          <w:i/>
          <w:iCs/>
        </w:rPr>
        <w:t>supra</w:t>
      </w:r>
      <w:r w:rsidR="00E669FA" w:rsidRPr="00A415D3">
        <w:t>, 406</w:t>
      </w:r>
      <w:r w:rsidR="005E007A" w:rsidRPr="00A415D3">
        <w:t> </w:t>
      </w:r>
      <w:r w:rsidR="00E669FA" w:rsidRPr="00A415D3">
        <w:t>U.S. at p.</w:t>
      </w:r>
      <w:r w:rsidR="00D30276" w:rsidRPr="00A415D3">
        <w:t> </w:t>
      </w:r>
      <w:r w:rsidR="00E669FA" w:rsidRPr="00A415D3">
        <w:t xml:space="preserve">731.)  The court </w:t>
      </w:r>
      <w:r w:rsidR="00051CA5" w:rsidRPr="00A415D3">
        <w:t>explained</w:t>
      </w:r>
      <w:r w:rsidR="001F606C" w:rsidRPr="00A415D3">
        <w:t>, “</w:t>
      </w:r>
      <w:r w:rsidR="00793F00" w:rsidRPr="00A415D3">
        <w:t>[A]</w:t>
      </w:r>
      <w:r w:rsidR="00E669FA" w:rsidRPr="00A415D3">
        <w:t xml:space="preserve"> person charged by a State with a criminal offense who is committed solely on account of his incapacity to proceed to trial cannot be held more than the reasonable period of time necessary to determine whether there is a substantial probability that he will attain that capacity in the foreseeable future.”  (</w:t>
      </w:r>
      <w:r w:rsidR="00E669FA" w:rsidRPr="00A415D3">
        <w:rPr>
          <w:i/>
          <w:iCs/>
        </w:rPr>
        <w:t>Id</w:t>
      </w:r>
      <w:r w:rsidR="00E669FA" w:rsidRPr="00A415D3">
        <w:t>. at p.</w:t>
      </w:r>
      <w:r w:rsidR="005E007A" w:rsidRPr="00A415D3">
        <w:t> </w:t>
      </w:r>
      <w:r w:rsidR="00E669FA" w:rsidRPr="00A415D3">
        <w:t>738.)  “If it is determined that this is not the case</w:t>
      </w:r>
      <w:r w:rsidR="001F606C" w:rsidRPr="00A415D3">
        <w:t>”</w:t>
      </w:r>
      <w:r w:rsidR="00ED6C3D" w:rsidRPr="00A415D3">
        <w:t> </w:t>
      </w:r>
      <w:r w:rsidR="001F606C" w:rsidRPr="00A415D3">
        <w:t>—</w:t>
      </w:r>
      <w:r w:rsidR="00D30276" w:rsidRPr="00A415D3">
        <w:t xml:space="preserve"> </w:t>
      </w:r>
      <w:r w:rsidR="001F606C" w:rsidRPr="00A415D3">
        <w:t>that is</w:t>
      </w:r>
      <w:r w:rsidR="003B2148" w:rsidRPr="00A415D3">
        <w:t>,</w:t>
      </w:r>
      <w:r w:rsidR="001F606C" w:rsidRPr="00A415D3">
        <w:t xml:space="preserve"> the defendant is not likely to </w:t>
      </w:r>
      <w:r w:rsidR="00ED36F8" w:rsidRPr="00A415D3">
        <w:t xml:space="preserve">soon </w:t>
      </w:r>
      <w:r w:rsidR="001F606C" w:rsidRPr="00A415D3">
        <w:t>regain competency</w:t>
      </w:r>
      <w:r w:rsidR="00ED6C3D" w:rsidRPr="00A415D3">
        <w:t> </w:t>
      </w:r>
      <w:r w:rsidR="001F606C" w:rsidRPr="00A415D3">
        <w:t>— “</w:t>
      </w:r>
      <w:r w:rsidR="00E669FA" w:rsidRPr="00A415D3">
        <w:t>then the State must either institute the customary civil commitment proceeding that would be required to commit indefinitely any other citizen, or release the defendant</w:t>
      </w:r>
      <w:r w:rsidR="001F606C" w:rsidRPr="00A415D3">
        <w:t>.”  (</w:t>
      </w:r>
      <w:r w:rsidR="001F606C" w:rsidRPr="00A415D3">
        <w:rPr>
          <w:i/>
          <w:iCs/>
        </w:rPr>
        <w:t>Ibid</w:t>
      </w:r>
      <w:r w:rsidR="001F606C" w:rsidRPr="00A415D3">
        <w:t>.)</w:t>
      </w:r>
    </w:p>
    <w:p w14:paraId="3F29F0C4" w14:textId="77777777" w:rsidR="00685310" w:rsidRPr="00A415D3" w:rsidRDefault="00AE6959" w:rsidP="00560442">
      <w:pPr>
        <w:ind w:firstLine="720"/>
      </w:pPr>
      <w:r w:rsidRPr="00A415D3">
        <w:t xml:space="preserve">The following year, our court “adopt[ed] the rule of the </w:t>
      </w:r>
      <w:r w:rsidRPr="00A415D3">
        <w:rPr>
          <w:i/>
          <w:iCs/>
        </w:rPr>
        <w:t>Jackson</w:t>
      </w:r>
      <w:r w:rsidRPr="00A415D3">
        <w:t xml:space="preserve"> </w:t>
      </w:r>
      <w:r w:rsidR="00BE5711" w:rsidRPr="00A415D3">
        <w:t>[</w:t>
      </w:r>
      <w:r w:rsidR="00BE5711" w:rsidRPr="00A415D3">
        <w:rPr>
          <w:i/>
          <w:iCs/>
        </w:rPr>
        <w:t>v.</w:t>
      </w:r>
      <w:r w:rsidR="00BE5711" w:rsidRPr="00A415D3">
        <w:t xml:space="preserve"> </w:t>
      </w:r>
      <w:r w:rsidR="00BE5711" w:rsidRPr="00A415D3">
        <w:rPr>
          <w:i/>
          <w:iCs/>
        </w:rPr>
        <w:t>Indiana</w:t>
      </w:r>
      <w:r w:rsidR="00BE5711" w:rsidRPr="00A415D3">
        <w:t xml:space="preserve">] </w:t>
      </w:r>
      <w:r w:rsidRPr="00A415D3">
        <w:t>case.”  (</w:t>
      </w:r>
      <w:r w:rsidRPr="00A415D3">
        <w:rPr>
          <w:i/>
          <w:iCs/>
        </w:rPr>
        <w:t>Davis</w:t>
      </w:r>
      <w:r w:rsidRPr="00A415D3">
        <w:t xml:space="preserve">, </w:t>
      </w:r>
      <w:r w:rsidRPr="00A415D3">
        <w:rPr>
          <w:i/>
          <w:iCs/>
        </w:rPr>
        <w:t>supra</w:t>
      </w:r>
      <w:r w:rsidRPr="00A415D3">
        <w:t>, 8</w:t>
      </w:r>
      <w:r w:rsidR="005E007A" w:rsidRPr="00A415D3">
        <w:t> </w:t>
      </w:r>
      <w:r w:rsidRPr="00A415D3">
        <w:t>Cal.3d at p.</w:t>
      </w:r>
      <w:r w:rsidR="00C91272" w:rsidRPr="00A415D3">
        <w:t> </w:t>
      </w:r>
      <w:r w:rsidRPr="00A415D3">
        <w:t xml:space="preserve">801.)  We </w:t>
      </w:r>
      <w:r w:rsidR="009A00D3" w:rsidRPr="00A415D3">
        <w:t xml:space="preserve">further </w:t>
      </w:r>
      <w:r w:rsidRPr="00A415D3">
        <w:t xml:space="preserve">accepted </w:t>
      </w:r>
      <w:r w:rsidR="003B2148" w:rsidRPr="00A415D3">
        <w:t xml:space="preserve">that </w:t>
      </w:r>
      <w:r w:rsidRPr="00A415D3">
        <w:t>“the duration of commitments to state hospitals must bear some reasonable relation to the purpose which originally justified the commitment” (</w:t>
      </w:r>
      <w:r w:rsidRPr="00A415D3">
        <w:rPr>
          <w:i/>
          <w:iCs/>
        </w:rPr>
        <w:t>id</w:t>
      </w:r>
      <w:r w:rsidRPr="00A415D3">
        <w:t>. at p.</w:t>
      </w:r>
      <w:r w:rsidR="005E007A" w:rsidRPr="00A415D3">
        <w:t> </w:t>
      </w:r>
      <w:r w:rsidRPr="00A415D3">
        <w:t>805), which is to “provide observation, car</w:t>
      </w:r>
      <w:r w:rsidRPr="00A415D3">
        <w:t>e and treatment of [the committed individuals’] mental condition, with a view toward restoring their capacity to stand trial” (</w:t>
      </w:r>
      <w:r w:rsidRPr="00A415D3">
        <w:rPr>
          <w:i/>
          <w:iCs/>
        </w:rPr>
        <w:t>id</w:t>
      </w:r>
      <w:r w:rsidRPr="00A415D3">
        <w:t>. at pp.</w:t>
      </w:r>
      <w:r w:rsidR="005E007A" w:rsidRPr="00A415D3">
        <w:t> </w:t>
      </w:r>
      <w:r w:rsidRPr="00A415D3">
        <w:t>805</w:t>
      </w:r>
      <w:r w:rsidR="0035144B" w:rsidRPr="00A415D3">
        <w:t>–</w:t>
      </w:r>
      <w:r w:rsidRPr="00A415D3">
        <w:t>806).</w:t>
      </w:r>
      <w:r w:rsidR="003B2148" w:rsidRPr="00A415D3">
        <w:t xml:space="preserve">  Accordingly, we instructed trial courts to direct hospital authorities to examine </w:t>
      </w:r>
      <w:r w:rsidR="0081697E" w:rsidRPr="00A415D3">
        <w:t xml:space="preserve">the </w:t>
      </w:r>
      <w:r w:rsidR="003B2148" w:rsidRPr="00A415D3">
        <w:t xml:space="preserve">persons committed and periodically report to the courts </w:t>
      </w:r>
      <w:r w:rsidR="00051CA5" w:rsidRPr="00A415D3">
        <w:t xml:space="preserve">on their </w:t>
      </w:r>
      <w:r w:rsidR="003B2148" w:rsidRPr="00A415D3">
        <w:t>progress toward recovery of competency.  We delegated to trial courts the discretion to “decid[e] whether, in a particular case, sufficient progress is being made to justify continued commitment pending trial” but imposed no specific time limits on how long a person may be held in “continued commitment.”  (</w:t>
      </w:r>
      <w:r w:rsidR="003B2148" w:rsidRPr="00A415D3">
        <w:rPr>
          <w:i/>
          <w:iCs/>
        </w:rPr>
        <w:t>Id</w:t>
      </w:r>
      <w:r w:rsidR="003B2148" w:rsidRPr="00A415D3">
        <w:t>. at p.</w:t>
      </w:r>
      <w:r w:rsidR="005E007A" w:rsidRPr="00A415D3">
        <w:t> </w:t>
      </w:r>
      <w:r w:rsidR="003B2148" w:rsidRPr="00A415D3">
        <w:t xml:space="preserve">807.)  </w:t>
      </w:r>
      <w:bookmarkStart w:id="3" w:name="_Hlk141783731"/>
      <w:r w:rsidR="00051CA5" w:rsidRPr="00A415D3">
        <w:t>Consistent with</w:t>
      </w:r>
      <w:r w:rsidR="003B2148" w:rsidRPr="00A415D3">
        <w:t xml:space="preserve"> </w:t>
      </w:r>
      <w:r w:rsidR="003B2148" w:rsidRPr="00A415D3">
        <w:rPr>
          <w:i/>
          <w:iCs/>
        </w:rPr>
        <w:t>Jackson v. Indiana</w:t>
      </w:r>
      <w:r w:rsidR="003B2148" w:rsidRPr="00A415D3">
        <w:t xml:space="preserve">, however, </w:t>
      </w:r>
      <w:r w:rsidR="009C09F0" w:rsidRPr="00A415D3">
        <w:t>we specified that if “there exists no reasonable likelihood that the person will recover his competence to stand trial in the foreseeable future, then the court should either order him released from confinement or initiate appropriate alternative commitment proceedings under the Lanterman-Petris-Short Act</w:t>
      </w:r>
      <w:r w:rsidR="004A5A27" w:rsidRPr="00A415D3">
        <w:t xml:space="preserve"> (Welf. &amp; Inst. Code, § 5000 et seq.</w:t>
      </w:r>
      <w:r w:rsidR="003F4750" w:rsidRPr="00A415D3">
        <w:t>)</w:t>
      </w:r>
      <w:r w:rsidR="000D77DB" w:rsidRPr="00A415D3">
        <w:t>,” California’s civil commitment scheme.</w:t>
      </w:r>
      <w:r w:rsidR="009C09F0" w:rsidRPr="00A415D3">
        <w:t xml:space="preserve">  (</w:t>
      </w:r>
      <w:r w:rsidR="009C09F0" w:rsidRPr="00A415D3">
        <w:rPr>
          <w:i/>
          <w:iCs/>
        </w:rPr>
        <w:t>Ibid</w:t>
      </w:r>
      <w:r w:rsidR="009C09F0" w:rsidRPr="00A415D3">
        <w:t>.)</w:t>
      </w:r>
    </w:p>
    <w:bookmarkEnd w:id="3"/>
    <w:p w14:paraId="3F29F0C5" w14:textId="77777777" w:rsidR="00A253D9" w:rsidRPr="00A415D3" w:rsidRDefault="00AE6959" w:rsidP="00560442">
      <w:pPr>
        <w:pStyle w:val="Heading3"/>
        <w:numPr>
          <w:ilvl w:val="0"/>
          <w:numId w:val="5"/>
        </w:numPr>
        <w:ind w:left="1584" w:hanging="432"/>
      </w:pPr>
      <w:r w:rsidRPr="00A415D3">
        <w:t xml:space="preserve">1974 </w:t>
      </w:r>
      <w:r w:rsidR="00BF21B4" w:rsidRPr="00A415D3">
        <w:t xml:space="preserve">to the </w:t>
      </w:r>
      <w:r w:rsidR="007C3228" w:rsidRPr="00A415D3">
        <w:t>P</w:t>
      </w:r>
      <w:r w:rsidR="00BF21B4" w:rsidRPr="00A415D3">
        <w:t>resent</w:t>
      </w:r>
    </w:p>
    <w:p w14:paraId="3F29F0C6" w14:textId="77777777" w:rsidR="00A85902" w:rsidRPr="00A415D3" w:rsidRDefault="00AE6959" w:rsidP="00560442">
      <w:pPr>
        <w:ind w:firstLine="720"/>
      </w:pPr>
      <w:r w:rsidRPr="00A415D3">
        <w:t xml:space="preserve">In response to </w:t>
      </w:r>
      <w:r w:rsidRPr="00A415D3">
        <w:rPr>
          <w:i/>
          <w:iCs/>
        </w:rPr>
        <w:t>Davis</w:t>
      </w:r>
      <w:r w:rsidRPr="00A415D3">
        <w:t xml:space="preserve">, </w:t>
      </w:r>
      <w:r w:rsidR="00851F9D" w:rsidRPr="00A415D3">
        <w:t xml:space="preserve">the Legislature enacted Assembly Bill </w:t>
      </w:r>
      <w:r w:rsidR="00563FB4" w:rsidRPr="00A415D3">
        <w:t xml:space="preserve">No. </w:t>
      </w:r>
      <w:r w:rsidR="00851F9D" w:rsidRPr="00A415D3">
        <w:t>1529</w:t>
      </w:r>
      <w:r w:rsidR="003B0280" w:rsidRPr="00A415D3">
        <w:t xml:space="preserve"> </w:t>
      </w:r>
      <w:r w:rsidR="00AD0075">
        <w:t xml:space="preserve">(1973–1974 Reg. Sess.) </w:t>
      </w:r>
      <w:r w:rsidR="003B0280" w:rsidRPr="00A415D3">
        <w:t>in 1974</w:t>
      </w:r>
      <w:r w:rsidR="009C09F0" w:rsidRPr="00A415D3">
        <w:t xml:space="preserve">.  </w:t>
      </w:r>
      <w:r w:rsidR="0019720D" w:rsidRPr="00A415D3">
        <w:t>(Stats. 1974, ch.</w:t>
      </w:r>
      <w:r w:rsidR="00C44827">
        <w:t> </w:t>
      </w:r>
      <w:r w:rsidR="0019720D" w:rsidRPr="00A415D3">
        <w:t xml:space="preserve">1511.)  </w:t>
      </w:r>
      <w:r w:rsidR="009C09F0" w:rsidRPr="00A415D3">
        <w:t>Sponsored by Assemblyman Frank Murphy, the bill was designed to “bring California’s statutory provisions into accord</w:t>
      </w:r>
      <w:r w:rsidR="00842D43" w:rsidRPr="00A415D3">
        <w:t xml:space="preserve">” with the guidelines in </w:t>
      </w:r>
      <w:r w:rsidR="005534E4" w:rsidRPr="00A415D3">
        <w:rPr>
          <w:i/>
          <w:iCs/>
        </w:rPr>
        <w:t>Davis</w:t>
      </w:r>
      <w:r w:rsidR="005534E4" w:rsidRPr="00A415D3">
        <w:t xml:space="preserve"> and </w:t>
      </w:r>
      <w:r w:rsidR="005534E4" w:rsidRPr="00A415D3">
        <w:rPr>
          <w:i/>
          <w:iCs/>
        </w:rPr>
        <w:t>Jackson</w:t>
      </w:r>
      <w:r w:rsidR="002B6343" w:rsidRPr="00A415D3">
        <w:rPr>
          <w:i/>
          <w:iCs/>
        </w:rPr>
        <w:t xml:space="preserve"> v. Indiana</w:t>
      </w:r>
      <w:r w:rsidR="00842D43" w:rsidRPr="00A415D3">
        <w:t>.  (</w:t>
      </w:r>
      <w:r w:rsidR="004B29DF" w:rsidRPr="00A415D3">
        <w:t>Stats. 1974, ch. 1511, §</w:t>
      </w:r>
      <w:r w:rsidR="00C91272" w:rsidRPr="00A415D3">
        <w:t> </w:t>
      </w:r>
      <w:r w:rsidR="004B29DF" w:rsidRPr="00A415D3">
        <w:t>1</w:t>
      </w:r>
      <w:r w:rsidR="00E339D4" w:rsidRPr="00A415D3">
        <w:t>6</w:t>
      </w:r>
      <w:r w:rsidR="004B29DF" w:rsidRPr="00A415D3">
        <w:t>, p.</w:t>
      </w:r>
      <w:r w:rsidR="00965FD5" w:rsidRPr="00A415D3">
        <w:t> </w:t>
      </w:r>
      <w:r w:rsidR="004B29DF" w:rsidRPr="00A415D3">
        <w:t>3324</w:t>
      </w:r>
      <w:r w:rsidR="00842D43" w:rsidRPr="00A415D3">
        <w:t>; see also Parker,</w:t>
      </w:r>
      <w:r w:rsidR="003B0280" w:rsidRPr="00A415D3">
        <w:t xml:space="preserve"> </w:t>
      </w:r>
      <w:r w:rsidR="00842D43" w:rsidRPr="00A415D3">
        <w:rPr>
          <w:i/>
          <w:iCs/>
        </w:rPr>
        <w:t xml:space="preserve">California’s New Scheme </w:t>
      </w:r>
      <w:r w:rsidR="00E91E60">
        <w:rPr>
          <w:i/>
          <w:iCs/>
        </w:rPr>
        <w:t>F</w:t>
      </w:r>
      <w:r w:rsidR="00842D43" w:rsidRPr="00A415D3">
        <w:rPr>
          <w:i/>
          <w:iCs/>
        </w:rPr>
        <w:t xml:space="preserve">or </w:t>
      </w:r>
      <w:r w:rsidR="00E91E60">
        <w:rPr>
          <w:i/>
          <w:iCs/>
        </w:rPr>
        <w:t>T</w:t>
      </w:r>
      <w:r w:rsidR="00842D43" w:rsidRPr="00A415D3">
        <w:rPr>
          <w:i/>
          <w:iCs/>
        </w:rPr>
        <w:t xml:space="preserve">he Commitment </w:t>
      </w:r>
      <w:r w:rsidR="00E91E60">
        <w:rPr>
          <w:i/>
          <w:iCs/>
        </w:rPr>
        <w:t>O</w:t>
      </w:r>
      <w:r w:rsidR="00842D43" w:rsidRPr="00A415D3">
        <w:rPr>
          <w:i/>
          <w:iCs/>
        </w:rPr>
        <w:t xml:space="preserve">f Individuals Found Incompetent </w:t>
      </w:r>
      <w:r w:rsidR="00E91E60">
        <w:rPr>
          <w:i/>
          <w:iCs/>
        </w:rPr>
        <w:t>T</w:t>
      </w:r>
      <w:r w:rsidR="00842D43" w:rsidRPr="00A415D3">
        <w:rPr>
          <w:i/>
          <w:iCs/>
        </w:rPr>
        <w:t>o Stand Trial</w:t>
      </w:r>
      <w:r w:rsidR="00842D43" w:rsidRPr="00A415D3">
        <w:t> (1975) 6</w:t>
      </w:r>
      <w:r w:rsidR="005E007A" w:rsidRPr="00A415D3">
        <w:t> </w:t>
      </w:r>
      <w:r w:rsidR="00842D43" w:rsidRPr="00A415D3">
        <w:t>Pacific L.J. 484, 489</w:t>
      </w:r>
      <w:r w:rsidR="000D77DB" w:rsidRPr="00A415D3">
        <w:t xml:space="preserve"> (Parker)</w:t>
      </w:r>
      <w:r w:rsidR="00842D43" w:rsidRPr="00A415D3">
        <w:t>.)</w:t>
      </w:r>
      <w:r w:rsidR="00C938D6" w:rsidRPr="00A415D3">
        <w:t xml:space="preserve">  </w:t>
      </w:r>
      <w:r w:rsidR="003B0280" w:rsidRPr="00A415D3">
        <w:t>T</w:t>
      </w:r>
      <w:r w:rsidRPr="00A415D3">
        <w:t xml:space="preserve">he Legislature specified that a defendant </w:t>
      </w:r>
      <w:r w:rsidR="00BE5711" w:rsidRPr="00A415D3">
        <w:t xml:space="preserve">found </w:t>
      </w:r>
      <w:r w:rsidRPr="00A415D3">
        <w:t xml:space="preserve">incompetent to stand trial cannot be committed for </w:t>
      </w:r>
      <w:r w:rsidR="00D3239E" w:rsidRPr="00A415D3">
        <w:t xml:space="preserve">more than </w:t>
      </w:r>
      <w:r w:rsidRPr="00A415D3">
        <w:t>three years</w:t>
      </w:r>
      <w:r w:rsidR="0037551C" w:rsidRPr="00A415D3">
        <w:t>.  (S</w:t>
      </w:r>
      <w:r w:rsidRPr="00A415D3">
        <w:t>ee</w:t>
      </w:r>
      <w:r w:rsidR="0037551C" w:rsidRPr="00A415D3">
        <w:t xml:space="preserve"> Stats. 1974, ch. 1511, §</w:t>
      </w:r>
      <w:r w:rsidRPr="00A415D3">
        <w:t> </w:t>
      </w:r>
      <w:r w:rsidR="0037551C" w:rsidRPr="00A415D3">
        <w:t>6, p.</w:t>
      </w:r>
      <w:r w:rsidR="00D30276" w:rsidRPr="00A415D3">
        <w:t> </w:t>
      </w:r>
      <w:r w:rsidR="0037551C" w:rsidRPr="00A415D3">
        <w:t xml:space="preserve">3319.)  </w:t>
      </w:r>
      <w:r w:rsidR="00C81522" w:rsidRPr="00A415D3">
        <w:t xml:space="preserve">The Legislature </w:t>
      </w:r>
      <w:r w:rsidR="00BC43EE" w:rsidRPr="00A415D3">
        <w:t>also</w:t>
      </w:r>
      <w:r w:rsidR="00C81522" w:rsidRPr="00A415D3">
        <w:t xml:space="preserve"> provided for the return of a defendant </w:t>
      </w:r>
      <w:r w:rsidR="00BC43EE" w:rsidRPr="00A415D3">
        <w:t>to court if “ha</w:t>
      </w:r>
      <w:r w:rsidR="00C2722B" w:rsidRPr="00A415D3">
        <w:t>[</w:t>
      </w:r>
      <w:r w:rsidR="00BC43EE" w:rsidRPr="00A415D3">
        <w:t>ving] been committed for 18 months</w:t>
      </w:r>
      <w:r w:rsidR="007F71A4" w:rsidRPr="00A415D3">
        <w:t>”</w:t>
      </w:r>
      <w:r w:rsidR="008C5C18" w:rsidRPr="00A415D3">
        <w:t> </w:t>
      </w:r>
      <w:r w:rsidR="007F71A4" w:rsidRPr="00A415D3">
        <w:t>—</w:t>
      </w:r>
      <w:r w:rsidR="007B2C65" w:rsidRPr="00A415D3">
        <w:t xml:space="preserve"> </w:t>
      </w:r>
      <w:r w:rsidR="00EF7BC4" w:rsidRPr="00A415D3">
        <w:t>half of</w:t>
      </w:r>
      <w:r w:rsidR="007B2C65" w:rsidRPr="00A415D3">
        <w:t xml:space="preserve"> a maximum </w:t>
      </w:r>
      <w:r w:rsidR="00D3239E" w:rsidRPr="00A415D3">
        <w:t>three</w:t>
      </w:r>
      <w:r w:rsidR="00D3239E" w:rsidRPr="00A415D3">
        <w:noBreakHyphen/>
        <w:t xml:space="preserve">year </w:t>
      </w:r>
      <w:r w:rsidR="007B2C65" w:rsidRPr="00A415D3">
        <w:t>commitment term</w:t>
      </w:r>
      <w:r w:rsidR="008C5C18" w:rsidRPr="00A415D3">
        <w:t> </w:t>
      </w:r>
      <w:r w:rsidR="007F71A4" w:rsidRPr="00A415D3">
        <w:t>—</w:t>
      </w:r>
      <w:r w:rsidR="00BC43EE" w:rsidRPr="00A415D3">
        <w:t xml:space="preserve"> the </w:t>
      </w:r>
      <w:r w:rsidR="0091474F" w:rsidRPr="00A415D3">
        <w:t xml:space="preserve">defendant </w:t>
      </w:r>
      <w:r w:rsidR="00BC43EE" w:rsidRPr="00A415D3">
        <w:t>is still hospitalized as incompetent.  (</w:t>
      </w:r>
      <w:r w:rsidR="00ED5905" w:rsidRPr="00A415D3">
        <w:rPr>
          <w:i/>
          <w:iCs/>
        </w:rPr>
        <w:t>Ibid</w:t>
      </w:r>
      <w:r w:rsidR="00BC43EE" w:rsidRPr="00A415D3">
        <w:t>.)  Upon return</w:t>
      </w:r>
      <w:r w:rsidR="00E501B5" w:rsidRPr="00A415D3">
        <w:t>ing</w:t>
      </w:r>
      <w:r w:rsidR="00BC43EE" w:rsidRPr="00A415D3">
        <w:t xml:space="preserve"> to court, </w:t>
      </w:r>
      <w:r w:rsidR="0064132A" w:rsidRPr="00A415D3">
        <w:t xml:space="preserve">a hearing is held to determine the defendant’s </w:t>
      </w:r>
      <w:r w:rsidR="00BC43EE" w:rsidRPr="00A415D3">
        <w:t>competency.  (</w:t>
      </w:r>
      <w:r w:rsidR="00BC43EE" w:rsidRPr="00A415D3">
        <w:rPr>
          <w:i/>
          <w:iCs/>
        </w:rPr>
        <w:t>Ibid</w:t>
      </w:r>
      <w:r w:rsidR="00BC43EE" w:rsidRPr="00A415D3">
        <w:t>.)</w:t>
      </w:r>
    </w:p>
    <w:p w14:paraId="3F29F0C7" w14:textId="77777777" w:rsidR="000E112B" w:rsidRPr="00A415D3" w:rsidRDefault="00AE6959" w:rsidP="00560442">
      <w:pPr>
        <w:ind w:firstLine="720"/>
      </w:pPr>
      <w:r w:rsidRPr="00A415D3">
        <w:t xml:space="preserve">As part of the same </w:t>
      </w:r>
      <w:r w:rsidR="004A6998" w:rsidRPr="00A415D3">
        <w:t>enactment</w:t>
      </w:r>
      <w:r w:rsidRPr="00A415D3">
        <w:t xml:space="preserve">, the Legislature </w:t>
      </w:r>
      <w:r w:rsidR="00916EDC" w:rsidRPr="00A415D3">
        <w:t>created</w:t>
      </w:r>
      <w:r w:rsidR="00ED106E" w:rsidRPr="00A415D3">
        <w:t xml:space="preserve"> </w:t>
      </w:r>
      <w:r w:rsidRPr="00A415D3">
        <w:t xml:space="preserve">a </w:t>
      </w:r>
      <w:r w:rsidR="002D3FFD" w:rsidRPr="00A415D3">
        <w:t xml:space="preserve">new type of </w:t>
      </w:r>
      <w:r w:rsidRPr="00A415D3">
        <w:t>conservatorship</w:t>
      </w:r>
      <w:r w:rsidR="005C092A" w:rsidRPr="00A415D3">
        <w:t xml:space="preserve">, referred to as a “Murphy” conservatorship after the sponsor of Assembly Bill No. 1529 </w:t>
      </w:r>
      <w:r w:rsidR="000D6C7B">
        <w:t xml:space="preserve">(1973–1974 Reg. Sess.) </w:t>
      </w:r>
      <w:r w:rsidR="005C092A" w:rsidRPr="00A415D3">
        <w:t xml:space="preserve">(see, e.g., </w:t>
      </w:r>
      <w:r w:rsidR="005C092A" w:rsidRPr="00A415D3">
        <w:rPr>
          <w:i/>
          <w:iCs/>
        </w:rPr>
        <w:t>Jackson v. Superior Court</w:t>
      </w:r>
      <w:r w:rsidR="005C092A" w:rsidRPr="00A415D3">
        <w:t xml:space="preserve">, </w:t>
      </w:r>
      <w:r w:rsidR="005C092A" w:rsidRPr="00A415D3">
        <w:rPr>
          <w:i/>
          <w:iCs/>
        </w:rPr>
        <w:t>supra</w:t>
      </w:r>
      <w:r w:rsidR="005C092A" w:rsidRPr="00A415D3">
        <w:t>, 4 Cal.5th at p. 102)</w:t>
      </w:r>
      <w:r w:rsidR="00051CA5" w:rsidRPr="00A415D3">
        <w:t xml:space="preserve">. </w:t>
      </w:r>
      <w:r w:rsidR="005C092A" w:rsidRPr="00A415D3">
        <w:t xml:space="preserve"> </w:t>
      </w:r>
      <w:r w:rsidR="00051CA5" w:rsidRPr="00A415D3">
        <w:t xml:space="preserve">This </w:t>
      </w:r>
      <w:r w:rsidR="005C092A" w:rsidRPr="00A415D3">
        <w:t xml:space="preserve">allows </w:t>
      </w:r>
      <w:r w:rsidRPr="00A415D3">
        <w:t xml:space="preserve">for </w:t>
      </w:r>
      <w:r w:rsidR="005C092A" w:rsidRPr="00A415D3">
        <w:t xml:space="preserve">a </w:t>
      </w:r>
      <w:r w:rsidR="00051CA5" w:rsidRPr="00A415D3">
        <w:t>one-year</w:t>
      </w:r>
      <w:r w:rsidRPr="00A415D3">
        <w:t xml:space="preserve">, renewable commitment of </w:t>
      </w:r>
      <w:r w:rsidR="005534E4" w:rsidRPr="00A415D3">
        <w:t xml:space="preserve">qualifying </w:t>
      </w:r>
      <w:r w:rsidRPr="00A415D3">
        <w:t>mentally incompetent defendants who have reached</w:t>
      </w:r>
      <w:r w:rsidR="005534E4" w:rsidRPr="00A415D3">
        <w:t xml:space="preserve"> the</w:t>
      </w:r>
      <w:r w:rsidRPr="00A415D3">
        <w:t xml:space="preserve"> maximum</w:t>
      </w:r>
      <w:r w:rsidR="00E501B5" w:rsidRPr="00A415D3">
        <w:t xml:space="preserve"> time</w:t>
      </w:r>
      <w:r w:rsidRPr="00A415D3">
        <w:t xml:space="preserve"> for </w:t>
      </w:r>
      <w:r w:rsidR="00E501B5" w:rsidRPr="00A415D3">
        <w:t>a</w:t>
      </w:r>
      <w:r w:rsidRPr="00A415D3">
        <w:t xml:space="preserve"> commit</w:t>
      </w:r>
      <w:r w:rsidR="00E501B5" w:rsidRPr="00A415D3">
        <w:t>ment</w:t>
      </w:r>
      <w:r w:rsidRPr="00A415D3">
        <w:t xml:space="preserve"> under section</w:t>
      </w:r>
      <w:r w:rsidR="003B0280" w:rsidRPr="00A415D3">
        <w:t> </w:t>
      </w:r>
      <w:r w:rsidRPr="00A415D3">
        <w:t>1370(c)(1</w:t>
      </w:r>
      <w:r w:rsidRPr="00A415D3">
        <w:t>).  (See Stats. 1974, ch.</w:t>
      </w:r>
      <w:r w:rsidR="00C2722B" w:rsidRPr="00A415D3">
        <w:t> </w:t>
      </w:r>
      <w:r w:rsidRPr="00A415D3">
        <w:t>1511, §</w:t>
      </w:r>
      <w:r w:rsidR="005C092A" w:rsidRPr="00A415D3">
        <w:t>§</w:t>
      </w:r>
      <w:r w:rsidRPr="00A415D3">
        <w:t> </w:t>
      </w:r>
      <w:r w:rsidR="005C092A" w:rsidRPr="00A415D3">
        <w:t xml:space="preserve">6, </w:t>
      </w:r>
      <w:r w:rsidRPr="00A415D3">
        <w:t>1</w:t>
      </w:r>
      <w:r w:rsidR="009C6C23" w:rsidRPr="00A415D3">
        <w:t>2</w:t>
      </w:r>
      <w:r w:rsidRPr="00A415D3">
        <w:t>, p</w:t>
      </w:r>
      <w:r w:rsidR="005C092A" w:rsidRPr="00A415D3">
        <w:t>p</w:t>
      </w:r>
      <w:r w:rsidRPr="00A415D3">
        <w:t>. </w:t>
      </w:r>
      <w:r w:rsidR="005C092A" w:rsidRPr="00A415D3">
        <w:t xml:space="preserve">3319, </w:t>
      </w:r>
      <w:r w:rsidRPr="00A415D3">
        <w:t>3322; see also</w:t>
      </w:r>
      <w:r w:rsidR="00D450F0" w:rsidRPr="00A415D3">
        <w:t xml:space="preserve">, e.g., </w:t>
      </w:r>
      <w:r w:rsidR="00D450F0" w:rsidRPr="00A415D3">
        <w:rPr>
          <w:i/>
          <w:iCs/>
        </w:rPr>
        <w:t>Conservatorship of Eric B.</w:t>
      </w:r>
      <w:r w:rsidR="00355270" w:rsidRPr="00A415D3">
        <w:t> </w:t>
      </w:r>
      <w:r w:rsidR="00D450F0" w:rsidRPr="00A415D3">
        <w:t>(2022) 12</w:t>
      </w:r>
      <w:r w:rsidR="00355270" w:rsidRPr="00A415D3">
        <w:t> </w:t>
      </w:r>
      <w:r w:rsidR="00D450F0" w:rsidRPr="00A415D3">
        <w:t>Cal.5th 1085, 1096</w:t>
      </w:r>
      <w:r w:rsidR="0035144B" w:rsidRPr="00A415D3">
        <w:t>–</w:t>
      </w:r>
      <w:r w:rsidR="00D450F0" w:rsidRPr="00A415D3">
        <w:t xml:space="preserve">1097; </w:t>
      </w:r>
      <w:r w:rsidR="00D450F0" w:rsidRPr="00A415D3">
        <w:rPr>
          <w:i/>
          <w:iCs/>
        </w:rPr>
        <w:t>Hofferber</w:t>
      </w:r>
      <w:r w:rsidR="00D450F0" w:rsidRPr="00A415D3">
        <w:t xml:space="preserve">, </w:t>
      </w:r>
      <w:r w:rsidR="00D450F0" w:rsidRPr="00A415D3">
        <w:rPr>
          <w:i/>
          <w:iCs/>
        </w:rPr>
        <w:t>supra</w:t>
      </w:r>
      <w:r w:rsidR="00D450F0" w:rsidRPr="00A415D3">
        <w:t>, 28 Cal.3d at pp.</w:t>
      </w:r>
      <w:r w:rsidR="00D30276" w:rsidRPr="00A415D3">
        <w:t> </w:t>
      </w:r>
      <w:r w:rsidR="00D450F0" w:rsidRPr="00A415D3">
        <w:t>169</w:t>
      </w:r>
      <w:r w:rsidR="0035144B" w:rsidRPr="00A415D3">
        <w:t>–</w:t>
      </w:r>
      <w:r w:rsidR="00D450F0" w:rsidRPr="00A415D3">
        <w:t>170</w:t>
      </w:r>
      <w:r w:rsidRPr="00A415D3">
        <w:t xml:space="preserve">.)  </w:t>
      </w:r>
      <w:r w:rsidR="005C092A" w:rsidRPr="00A415D3">
        <w:t>T</w:t>
      </w:r>
      <w:r w:rsidR="002D3FFD" w:rsidRPr="00A415D3">
        <w:t>his new civil commitment procedure</w:t>
      </w:r>
      <w:r w:rsidR="005C092A" w:rsidRPr="00A415D3">
        <w:t xml:space="preserve">, together with </w:t>
      </w:r>
      <w:r w:rsidR="00066AC1" w:rsidRPr="00A415D3">
        <w:t xml:space="preserve">the </w:t>
      </w:r>
      <w:r w:rsidR="005C092A" w:rsidRPr="00A415D3">
        <w:t>imposition of a maximum commitment period and additional periodic reporting requirements,</w:t>
      </w:r>
      <w:r w:rsidR="002D3FFD" w:rsidRPr="00A415D3">
        <w:t xml:space="preserve"> </w:t>
      </w:r>
      <w:r w:rsidR="009E0002" w:rsidRPr="00A415D3">
        <w:t>sought</w:t>
      </w:r>
      <w:r w:rsidR="002D3FFD" w:rsidRPr="00A415D3">
        <w:t xml:space="preserve"> to “</w:t>
      </w:r>
      <w:r w:rsidR="005C092A" w:rsidRPr="00A415D3">
        <w:t xml:space="preserve">integrate and </w:t>
      </w:r>
      <w:r w:rsidR="002D3FFD" w:rsidRPr="00A415D3">
        <w:t xml:space="preserve">resolve the conflicting concerns of protecting society from dangerous individuals who are not subject to criminal </w:t>
      </w:r>
      <w:r w:rsidR="00DA5F3F" w:rsidRPr="00A415D3">
        <w:t>prosecution </w:t>
      </w:r>
      <w:r w:rsidR="002D3FFD" w:rsidRPr="00A415D3">
        <w:t>.</w:t>
      </w:r>
      <w:r w:rsidR="00296A7A" w:rsidRPr="00A415D3">
        <w:t> </w:t>
      </w:r>
      <w:r w:rsidR="002D3FFD" w:rsidRPr="00A415D3">
        <w:t>.</w:t>
      </w:r>
      <w:r w:rsidR="00296A7A" w:rsidRPr="00A415D3">
        <w:t> </w:t>
      </w:r>
      <w:r w:rsidR="002D3FFD" w:rsidRPr="00A415D3">
        <w:t xml:space="preserve">. and safeguarding the freedom of incompetent criminal defendants who present no threat to the public.”  (Parker, </w:t>
      </w:r>
      <w:r w:rsidR="002D3FFD" w:rsidRPr="00A415D3">
        <w:rPr>
          <w:i/>
          <w:iCs/>
        </w:rPr>
        <w:t>supra</w:t>
      </w:r>
      <w:r w:rsidR="002D3FFD" w:rsidRPr="00A415D3">
        <w:t>, 6 Pacific L.J. at p.</w:t>
      </w:r>
      <w:r w:rsidR="00C91272" w:rsidRPr="00A415D3">
        <w:t> </w:t>
      </w:r>
      <w:r w:rsidR="002D3FFD" w:rsidRPr="00A415D3">
        <w:t>485</w:t>
      </w:r>
      <w:r w:rsidR="00D450F0" w:rsidRPr="00A415D3">
        <w:t xml:space="preserve">; see also, e.g., </w:t>
      </w:r>
      <w:r w:rsidR="00D450F0" w:rsidRPr="00A415D3">
        <w:rPr>
          <w:i/>
          <w:iCs/>
        </w:rPr>
        <w:t>People v. Waterman</w:t>
      </w:r>
      <w:r w:rsidR="00D30276" w:rsidRPr="00A415D3">
        <w:t> </w:t>
      </w:r>
      <w:r w:rsidR="00D450F0" w:rsidRPr="00A415D3">
        <w:t>(1986)</w:t>
      </w:r>
      <w:r w:rsidR="00D30276" w:rsidRPr="00A415D3">
        <w:t xml:space="preserve"> </w:t>
      </w:r>
      <w:r w:rsidR="00D450F0" w:rsidRPr="00A415D3">
        <w:t>42</w:t>
      </w:r>
      <w:r w:rsidR="00D30276" w:rsidRPr="00A415D3">
        <w:t> </w:t>
      </w:r>
      <w:r w:rsidR="00D450F0" w:rsidRPr="00A415D3">
        <w:t>Cal.3d 565, 568</w:t>
      </w:r>
      <w:r w:rsidR="004505DD" w:rsidRPr="00A415D3">
        <w:t xml:space="preserve"> (</w:t>
      </w:r>
      <w:r w:rsidR="004505DD" w:rsidRPr="00A415D3">
        <w:rPr>
          <w:i/>
          <w:iCs/>
        </w:rPr>
        <w:t>Waterman</w:t>
      </w:r>
      <w:r w:rsidR="004505DD" w:rsidRPr="00A415D3">
        <w:t>)</w:t>
      </w:r>
      <w:r w:rsidR="00D450F0" w:rsidRPr="00A415D3">
        <w:t xml:space="preserve">; </w:t>
      </w:r>
      <w:r w:rsidR="00D450F0" w:rsidRPr="00A415D3">
        <w:rPr>
          <w:i/>
          <w:iCs/>
        </w:rPr>
        <w:t>Hofferber</w:t>
      </w:r>
      <w:r w:rsidR="00D450F0" w:rsidRPr="00A415D3">
        <w:t>, at pp.</w:t>
      </w:r>
      <w:r w:rsidR="00D30276" w:rsidRPr="00A415D3">
        <w:t> </w:t>
      </w:r>
      <w:r w:rsidR="00D450F0" w:rsidRPr="00A415D3">
        <w:t>176</w:t>
      </w:r>
      <w:r w:rsidR="0035144B" w:rsidRPr="00A415D3">
        <w:t>–</w:t>
      </w:r>
      <w:r w:rsidR="00D450F0" w:rsidRPr="00A415D3">
        <w:t>177</w:t>
      </w:r>
      <w:r w:rsidR="002D3FFD" w:rsidRPr="00A415D3">
        <w:t>.)</w:t>
      </w:r>
    </w:p>
    <w:p w14:paraId="3F29F0C8" w14:textId="77777777" w:rsidR="00292522" w:rsidRPr="00A415D3" w:rsidRDefault="00AE6959" w:rsidP="00560442">
      <w:pPr>
        <w:ind w:firstLine="720"/>
      </w:pPr>
      <w:r w:rsidRPr="00A415D3">
        <w:t>Th</w:t>
      </w:r>
      <w:r w:rsidR="000E112B" w:rsidRPr="00A415D3">
        <w:t xml:space="preserve">e </w:t>
      </w:r>
      <w:r w:rsidR="00CC5380" w:rsidRPr="00A415D3">
        <w:t>1974 statutory</w:t>
      </w:r>
      <w:r w:rsidRPr="00A415D3">
        <w:t xml:space="preserve"> scheme has been amended numerous times.  </w:t>
      </w:r>
      <w:r w:rsidR="00842D43" w:rsidRPr="00A415D3">
        <w:t>Particularly relevant for our purposes are amendments enacted in 1980 and 20</w:t>
      </w:r>
      <w:r w:rsidR="00D450F0" w:rsidRPr="00A415D3">
        <w:t>1</w:t>
      </w:r>
      <w:r w:rsidR="00842D43" w:rsidRPr="00A415D3">
        <w:t xml:space="preserve">8.  In 1980, </w:t>
      </w:r>
      <w:r w:rsidR="004A6998" w:rsidRPr="00A415D3">
        <w:t>the Legislature</w:t>
      </w:r>
      <w:r w:rsidR="00AD6212" w:rsidRPr="00A415D3">
        <w:t xml:space="preserve"> </w:t>
      </w:r>
      <w:r w:rsidR="004A6998" w:rsidRPr="00A415D3">
        <w:t>amended section 1372</w:t>
      </w:r>
      <w:r w:rsidR="00AD6212" w:rsidRPr="00A415D3">
        <w:t xml:space="preserve"> to </w:t>
      </w:r>
      <w:r w:rsidR="00E501B5" w:rsidRPr="00A415D3">
        <w:t>add</w:t>
      </w:r>
      <w:r w:rsidR="00AD6212" w:rsidRPr="00A415D3">
        <w:t xml:space="preserve"> procedures following the filing of a certificate of </w:t>
      </w:r>
      <w:r w:rsidR="0091474F" w:rsidRPr="00A415D3">
        <w:t xml:space="preserve">restoration </w:t>
      </w:r>
      <w:r w:rsidR="002A711A" w:rsidRPr="00A415D3">
        <w:t xml:space="preserve">of </w:t>
      </w:r>
      <w:r w:rsidR="00AD6212" w:rsidRPr="00A415D3">
        <w:t>competency.  As added, section 1372, subdivision</w:t>
      </w:r>
      <w:r w:rsidR="00E46660" w:rsidRPr="00A415D3">
        <w:t> </w:t>
      </w:r>
      <w:r w:rsidR="00AD6212" w:rsidRPr="00A415D3">
        <w:t>(a)(2) specified that “[u]pon the filing of a certificate of restoration, the defendant shall be returned to the committing court</w:t>
      </w:r>
      <w:r w:rsidR="00C81522" w:rsidRPr="00A415D3">
        <w:t>.</w:t>
      </w:r>
      <w:r w:rsidR="00AD6212" w:rsidRPr="00A415D3">
        <w:t xml:space="preserve">”  (Stats. 1980, ch. 547, § 14, p. 1516.)  </w:t>
      </w:r>
      <w:r w:rsidR="00C81522" w:rsidRPr="00A415D3">
        <w:t>The Legislature also added s</w:t>
      </w:r>
      <w:r w:rsidR="00AD6212" w:rsidRPr="00A415D3">
        <w:t xml:space="preserve">ubdivisions (c) and (d) </w:t>
      </w:r>
      <w:r w:rsidR="00C81522" w:rsidRPr="00A415D3">
        <w:t>to section 1372</w:t>
      </w:r>
      <w:r w:rsidR="009E0002" w:rsidRPr="00A415D3">
        <w:t xml:space="preserve"> at that time</w:t>
      </w:r>
      <w:r w:rsidR="00E501B5" w:rsidRPr="00A415D3">
        <w:t xml:space="preserve">. </w:t>
      </w:r>
      <w:r w:rsidR="00C81522" w:rsidRPr="00A415D3">
        <w:t xml:space="preserve"> </w:t>
      </w:r>
      <w:r w:rsidR="00C30197" w:rsidRPr="00A415D3">
        <w:t>Subdivision (c)</w:t>
      </w:r>
      <w:r w:rsidR="0075319F" w:rsidRPr="00A415D3">
        <w:t xml:space="preserve"> </w:t>
      </w:r>
      <w:r w:rsidR="00E501B5" w:rsidRPr="00A415D3">
        <w:t xml:space="preserve">requires the court to provide notice of </w:t>
      </w:r>
      <w:r w:rsidR="00AD6212" w:rsidRPr="00A415D3">
        <w:t>“the date of any hearing on the defendant’s competence</w:t>
      </w:r>
      <w:r w:rsidR="00E501B5" w:rsidRPr="00A415D3">
        <w:t xml:space="preserve"> and whether or not the defendant was found by the court to have </w:t>
      </w:r>
      <w:r w:rsidR="00C2722B" w:rsidRPr="00A415D3">
        <w:t xml:space="preserve">recovered </w:t>
      </w:r>
      <w:r w:rsidR="00E501B5" w:rsidRPr="00A415D3">
        <w:t>competence</w:t>
      </w:r>
      <w:r w:rsidR="00AD6212" w:rsidRPr="00A415D3">
        <w:t xml:space="preserve">” </w:t>
      </w:r>
      <w:r w:rsidR="00C81522" w:rsidRPr="00A415D3">
        <w:t>when a defendant is returned to court</w:t>
      </w:r>
      <w:r w:rsidR="00E501B5" w:rsidRPr="00A415D3">
        <w:t xml:space="preserve">. </w:t>
      </w:r>
      <w:r w:rsidR="00C81522" w:rsidRPr="00A415D3">
        <w:t xml:space="preserve"> </w:t>
      </w:r>
      <w:r w:rsidR="00E501B5" w:rsidRPr="00A415D3">
        <w:t xml:space="preserve">(Stats. 1980, ch. 547, § 14, p. 1517.)  </w:t>
      </w:r>
      <w:r w:rsidR="00C30197" w:rsidRPr="00A415D3">
        <w:t>Subdivision (d)</w:t>
      </w:r>
      <w:r w:rsidR="00AD6212" w:rsidRPr="00A415D3">
        <w:t xml:space="preserve"> </w:t>
      </w:r>
      <w:r w:rsidR="00E501B5" w:rsidRPr="00A415D3">
        <w:t xml:space="preserve">specifies </w:t>
      </w:r>
      <w:r w:rsidR="00AD6212" w:rsidRPr="00A415D3">
        <w:t>the court’s responsibilit</w:t>
      </w:r>
      <w:r w:rsidR="00E501B5" w:rsidRPr="00A415D3">
        <w:t>ies regarding the defendant’s custodial status</w:t>
      </w:r>
      <w:r w:rsidR="00AD6212" w:rsidRPr="00A415D3">
        <w:t xml:space="preserve"> </w:t>
      </w:r>
      <w:r w:rsidR="00806B0B" w:rsidRPr="00A415D3">
        <w:t>if</w:t>
      </w:r>
      <w:r w:rsidR="00C81522" w:rsidRPr="00A415D3">
        <w:t xml:space="preserve"> it</w:t>
      </w:r>
      <w:r w:rsidR="00AD6212" w:rsidRPr="00A415D3">
        <w:t xml:space="preserve"> approves the certificate of restoration.  </w:t>
      </w:r>
      <w:r w:rsidR="00E501B5" w:rsidRPr="00A415D3">
        <w:t>(</w:t>
      </w:r>
      <w:r w:rsidR="00ED472C" w:rsidRPr="00A415D3">
        <w:t>Stats. 1980, ch. 547, § 14, p. 1517.</w:t>
      </w:r>
      <w:r w:rsidR="00E501B5" w:rsidRPr="00A415D3">
        <w:t>)</w:t>
      </w:r>
    </w:p>
    <w:p w14:paraId="3F29F0C9" w14:textId="77777777" w:rsidR="00622203" w:rsidRPr="00A415D3" w:rsidRDefault="00AE6959" w:rsidP="00560442">
      <w:pPr>
        <w:ind w:firstLine="720"/>
      </w:pPr>
      <w:r w:rsidRPr="00A415D3">
        <w:t xml:space="preserve">In 2018, the Legislature </w:t>
      </w:r>
      <w:r w:rsidR="00877723" w:rsidRPr="00A415D3">
        <w:t xml:space="preserve">reduced the maximum term of commitment from three years to two years.  </w:t>
      </w:r>
      <w:r w:rsidR="00665C91" w:rsidRPr="00A415D3">
        <w:t>(Stats. 2018, ch.</w:t>
      </w:r>
      <w:r w:rsidR="00C2722B" w:rsidRPr="00A415D3">
        <w:t> </w:t>
      </w:r>
      <w:r w:rsidR="00665C91" w:rsidRPr="00A415D3">
        <w:t xml:space="preserve">1008, § 3.)  </w:t>
      </w:r>
      <w:r w:rsidR="00877723" w:rsidRPr="00A415D3">
        <w:t xml:space="preserve">The author of the bill explained </w:t>
      </w:r>
      <w:r w:rsidR="00404C48" w:rsidRPr="00A415D3">
        <w:t>that the legislation</w:t>
      </w:r>
      <w:r w:rsidR="00703076" w:rsidRPr="00A415D3">
        <w:t xml:space="preserve"> was motivated by</w:t>
      </w:r>
      <w:r w:rsidR="00111809" w:rsidRPr="00A415D3">
        <w:t xml:space="preserve"> </w:t>
      </w:r>
      <w:r w:rsidR="00404C48" w:rsidRPr="00A415D3">
        <w:t>(1)</w:t>
      </w:r>
      <w:r w:rsidR="00703076" w:rsidRPr="00A415D3">
        <w:t xml:space="preserve"> the need to reduce “</w:t>
      </w:r>
      <w:r w:rsidR="00C2722B" w:rsidRPr="00A415D3">
        <w:t>[</w:t>
      </w:r>
      <w:r w:rsidR="00703076" w:rsidRPr="00A415D3">
        <w:t>w</w:t>
      </w:r>
      <w:r w:rsidR="00C2722B" w:rsidRPr="00A415D3">
        <w:t>]</w:t>
      </w:r>
      <w:r w:rsidR="00703076" w:rsidRPr="00A415D3">
        <w:t>ait list</w:t>
      </w:r>
      <w:r w:rsidR="00E27181" w:rsidRPr="00A415D3">
        <w:t>s</w:t>
      </w:r>
      <w:r w:rsidR="00703076" w:rsidRPr="00A415D3">
        <w:t xml:space="preserve"> for placements in state-operated treatment facilities,” and (2) </w:t>
      </w:r>
      <w:r w:rsidR="00E501B5" w:rsidRPr="00A415D3">
        <w:t>a reassessment</w:t>
      </w:r>
      <w:r w:rsidR="00EB5007" w:rsidRPr="00A415D3">
        <w:t xml:space="preserve"> of the </w:t>
      </w:r>
      <w:r w:rsidR="00887ED7" w:rsidRPr="00A415D3">
        <w:t xml:space="preserve">maximum </w:t>
      </w:r>
      <w:r w:rsidR="00703076" w:rsidRPr="00A415D3">
        <w:t xml:space="preserve">period of time </w:t>
      </w:r>
      <w:r w:rsidR="00F33BF0" w:rsidRPr="00A415D3">
        <w:t xml:space="preserve">reasonably necessary </w:t>
      </w:r>
      <w:r w:rsidR="00703076" w:rsidRPr="00A415D3">
        <w:t xml:space="preserve">“for restoring a person to competency, or for determining that he or she is not restorable” </w:t>
      </w:r>
      <w:r w:rsidR="00887ED7" w:rsidRPr="00A415D3">
        <w:t xml:space="preserve">in response to advancements in </w:t>
      </w:r>
      <w:r w:rsidR="00B427F1" w:rsidRPr="00A415D3">
        <w:t>“modern medical science</w:t>
      </w:r>
      <w:r w:rsidR="00703076" w:rsidRPr="00A415D3">
        <w:t>.</w:t>
      </w:r>
      <w:r w:rsidR="00B427F1" w:rsidRPr="00A415D3">
        <w:t>”</w:t>
      </w:r>
      <w:r w:rsidR="00703076" w:rsidRPr="00A415D3">
        <w:t xml:space="preserve">  </w:t>
      </w:r>
      <w:r w:rsidR="007B2C65" w:rsidRPr="00A415D3">
        <w:t>(Sen. Com. on Public Safety, Analysis of Sen. Bill No. 1187 (2017–2018 Reg. Sess.)</w:t>
      </w:r>
      <w:r w:rsidR="007D7FE0" w:rsidRPr="00A415D3">
        <w:t xml:space="preserve"> as introduced Feb</w:t>
      </w:r>
      <w:r w:rsidR="007B2C65" w:rsidRPr="00A415D3">
        <w:t>.</w:t>
      </w:r>
      <w:r w:rsidR="00434284" w:rsidRPr="00A415D3">
        <w:t> </w:t>
      </w:r>
      <w:r w:rsidR="007D7FE0" w:rsidRPr="00A415D3">
        <w:t>15</w:t>
      </w:r>
      <w:r w:rsidR="007B2C65" w:rsidRPr="00A415D3">
        <w:t xml:space="preserve">, 2018, </w:t>
      </w:r>
      <w:r w:rsidR="00515DAF" w:rsidRPr="00A415D3">
        <w:t>p</w:t>
      </w:r>
      <w:r w:rsidR="007B2C65" w:rsidRPr="00A415D3">
        <w:t>. </w:t>
      </w:r>
      <w:r w:rsidR="00515DAF" w:rsidRPr="00A415D3">
        <w:t>4</w:t>
      </w:r>
      <w:r w:rsidR="007B2C65" w:rsidRPr="00A415D3">
        <w:t xml:space="preserve">.)  </w:t>
      </w:r>
      <w:r w:rsidRPr="00A415D3">
        <w:t xml:space="preserve">As part of the same bill, the Legislature eliminated the requirement that a </w:t>
      </w:r>
      <w:r w:rsidR="0091474F" w:rsidRPr="00A415D3">
        <w:t xml:space="preserve">defendant </w:t>
      </w:r>
      <w:r w:rsidRPr="00A415D3">
        <w:t xml:space="preserve">who </w:t>
      </w:r>
      <w:r w:rsidR="007D7FE0" w:rsidRPr="00A415D3">
        <w:t>remains</w:t>
      </w:r>
      <w:r w:rsidRPr="00A415D3">
        <w:t xml:space="preserve"> committed </w:t>
      </w:r>
      <w:r w:rsidR="0091474F" w:rsidRPr="00A415D3">
        <w:t xml:space="preserve">for </w:t>
      </w:r>
      <w:r w:rsidRPr="00A415D3">
        <w:t>18</w:t>
      </w:r>
      <w:r w:rsidR="0091474F" w:rsidRPr="00A415D3">
        <w:t> </w:t>
      </w:r>
      <w:r w:rsidRPr="00A415D3">
        <w:t>month</w:t>
      </w:r>
      <w:r w:rsidR="0091474F" w:rsidRPr="00A415D3">
        <w:t>s</w:t>
      </w:r>
      <w:r w:rsidRPr="00A415D3">
        <w:t xml:space="preserve"> be returned to court for a redetermination of competency.  (Stats. 2018, ch.</w:t>
      </w:r>
      <w:r w:rsidR="00D75405" w:rsidRPr="00A415D3">
        <w:t> </w:t>
      </w:r>
      <w:r w:rsidR="003C27F8" w:rsidRPr="00A415D3">
        <w:t>1008</w:t>
      </w:r>
      <w:r w:rsidRPr="00A415D3">
        <w:t>, § </w:t>
      </w:r>
      <w:r w:rsidR="00665C91" w:rsidRPr="00A415D3">
        <w:t>3</w:t>
      </w:r>
      <w:r w:rsidRPr="00A415D3">
        <w:t>.)</w:t>
      </w:r>
    </w:p>
    <w:p w14:paraId="3F29F0CA" w14:textId="77777777" w:rsidR="00BF21B4" w:rsidRPr="00A415D3" w:rsidRDefault="00AE6959" w:rsidP="00560442">
      <w:pPr>
        <w:pStyle w:val="Heading3"/>
        <w:numPr>
          <w:ilvl w:val="0"/>
          <w:numId w:val="5"/>
        </w:numPr>
        <w:ind w:left="1584" w:hanging="432"/>
      </w:pPr>
      <w:r w:rsidRPr="00A415D3">
        <w:t xml:space="preserve">Current </w:t>
      </w:r>
      <w:r w:rsidR="007C3228" w:rsidRPr="00A415D3">
        <w:t>L</w:t>
      </w:r>
      <w:r w:rsidRPr="00A415D3">
        <w:t xml:space="preserve">aw </w:t>
      </w:r>
      <w:r w:rsidR="00CF0262" w:rsidRPr="00A415D3">
        <w:t>G</w:t>
      </w:r>
      <w:r w:rsidRPr="00A415D3">
        <w:t xml:space="preserve">overning </w:t>
      </w:r>
      <w:r w:rsidR="00CF0262" w:rsidRPr="00A415D3">
        <w:t>C</w:t>
      </w:r>
      <w:r w:rsidRPr="00A415D3">
        <w:t>ompetency</w:t>
      </w:r>
    </w:p>
    <w:p w14:paraId="3F29F0CB" w14:textId="77777777" w:rsidR="00A44291" w:rsidRPr="00A415D3" w:rsidRDefault="00AE6959" w:rsidP="00560442">
      <w:pPr>
        <w:ind w:firstLine="720"/>
      </w:pPr>
      <w:r w:rsidRPr="00A415D3">
        <w:t>As it now st</w:t>
      </w:r>
      <w:r w:rsidRPr="00A415D3">
        <w:t>ands, the statutory scheme governing competency works as follows</w:t>
      </w:r>
      <w:r w:rsidR="00E73022" w:rsidRPr="00A415D3">
        <w:t>:</w:t>
      </w:r>
      <w:r w:rsidR="0008336C" w:rsidRPr="00A415D3">
        <w:t xml:space="preserve">  When a doubt arises in the trial </w:t>
      </w:r>
      <w:r w:rsidR="008673D0" w:rsidRPr="00A415D3">
        <w:t xml:space="preserve">court </w:t>
      </w:r>
      <w:r w:rsidR="0008336C" w:rsidRPr="00A415D3">
        <w:t>judge</w:t>
      </w:r>
      <w:r w:rsidR="008673D0" w:rsidRPr="00A415D3">
        <w:t>’s mind</w:t>
      </w:r>
      <w:r w:rsidR="0008336C" w:rsidRPr="00A415D3">
        <w:t xml:space="preserve"> regarding the </w:t>
      </w:r>
      <w:r w:rsidR="00CB5AD7" w:rsidRPr="00A415D3">
        <w:t xml:space="preserve">mental </w:t>
      </w:r>
      <w:r w:rsidR="0008336C" w:rsidRPr="00A415D3">
        <w:t>competency of a criminal defendant, the judge may order a hearing to determine the defendant’s competency.</w:t>
      </w:r>
      <w:r>
        <w:rPr>
          <w:rStyle w:val="FootnoteReference"/>
        </w:rPr>
        <w:footnoteReference w:id="3"/>
      </w:r>
      <w:r w:rsidR="0008336C" w:rsidRPr="00A415D3">
        <w:t xml:space="preserve">  (§</w:t>
      </w:r>
      <w:r w:rsidR="00CB5AD7" w:rsidRPr="00A415D3">
        <w:t xml:space="preserve"> 1368, subds. (a), (b).)  </w:t>
      </w:r>
      <w:r w:rsidR="0008336C" w:rsidRPr="00A415D3">
        <w:t>All criminal proceedings are suspended</w:t>
      </w:r>
      <w:r w:rsidR="005534E4" w:rsidRPr="00A415D3">
        <w:t xml:space="preserve"> once the order issues</w:t>
      </w:r>
      <w:r w:rsidR="0008336C" w:rsidRPr="00A415D3">
        <w:t xml:space="preserve">.  </w:t>
      </w:r>
      <w:r w:rsidR="00CB5AD7" w:rsidRPr="00A415D3">
        <w:t>(</w:t>
      </w:r>
      <w:r w:rsidR="00CB5AD7" w:rsidRPr="00A415D3">
        <w:rPr>
          <w:i/>
          <w:iCs/>
        </w:rPr>
        <w:t>Id</w:t>
      </w:r>
      <w:r w:rsidR="00CB5AD7" w:rsidRPr="00A415D3">
        <w:t>., subd.</w:t>
      </w:r>
      <w:r w:rsidR="008673D0" w:rsidRPr="00A415D3">
        <w:t> </w:t>
      </w:r>
      <w:r w:rsidR="00CB5AD7" w:rsidRPr="00A415D3">
        <w:t xml:space="preserve">(c).)  </w:t>
      </w:r>
      <w:r w:rsidR="0008336C" w:rsidRPr="00A415D3">
        <w:t xml:space="preserve">At the </w:t>
      </w:r>
      <w:r w:rsidR="004E0AD1" w:rsidRPr="00A415D3">
        <w:t xml:space="preserve">competency </w:t>
      </w:r>
      <w:r w:rsidR="0008336C" w:rsidRPr="00A415D3">
        <w:t xml:space="preserve">hearing, </w:t>
      </w:r>
      <w:r w:rsidR="00CB5AD7" w:rsidRPr="00A415D3">
        <w:t xml:space="preserve">the defendant is presumed competent and </w:t>
      </w:r>
      <w:r w:rsidR="007D7FE0" w:rsidRPr="00A415D3">
        <w:t>incompetence must be proved</w:t>
      </w:r>
      <w:r w:rsidR="00CB5AD7" w:rsidRPr="00A415D3">
        <w:t xml:space="preserve"> by a preponderance of the evidence.  (§ 1369, subd. (f); see also </w:t>
      </w:r>
      <w:r w:rsidR="00EF16E3" w:rsidRPr="00A415D3">
        <w:rPr>
          <w:i/>
          <w:iCs/>
        </w:rPr>
        <w:t>Medina v. California</w:t>
      </w:r>
      <w:r w:rsidR="00EF16E3" w:rsidRPr="00A415D3">
        <w:t> (1992) 505 U.S. 437, 446–449, 452–453</w:t>
      </w:r>
      <w:r w:rsidR="00CB5AD7" w:rsidRPr="00A415D3">
        <w:t xml:space="preserve">.)  If a defendant is found incompetent, </w:t>
      </w:r>
      <w:r w:rsidR="00A816FD" w:rsidRPr="00A415D3">
        <w:t>criminal proceedings remain “suspended until the person becomes mentally competent</w:t>
      </w:r>
      <w:r w:rsidR="00632846" w:rsidRPr="00A415D3">
        <w:t>,</w:t>
      </w:r>
      <w:r w:rsidR="001F2E0F" w:rsidRPr="00A415D3">
        <w:t>”</w:t>
      </w:r>
      <w:r w:rsidR="00632846" w:rsidRPr="00A415D3">
        <w:t xml:space="preserve"> and the court issues a commitment order.</w:t>
      </w:r>
      <w:r w:rsidR="00CB5AD7" w:rsidRPr="00A415D3">
        <w:t xml:space="preserve"> </w:t>
      </w:r>
      <w:r w:rsidR="001F2E0F" w:rsidRPr="00A415D3">
        <w:t xml:space="preserve"> </w:t>
      </w:r>
      <w:r w:rsidR="00CB5AD7" w:rsidRPr="00A415D3">
        <w:t xml:space="preserve">(§ 1370, subd. (a)(1)(B).) </w:t>
      </w:r>
      <w:r w:rsidR="006853DC" w:rsidRPr="00A415D3">
        <w:t xml:space="preserve"> </w:t>
      </w:r>
      <w:r w:rsidR="00CB5AD7" w:rsidRPr="00A415D3">
        <w:t>Specifically, “[t]he court shall order that the mentally incompetent defendant be delivered by the sheriff to a State Department of State Hospitals facility, as defined in Section 4100 of the Welfare and Institutions Code, as directed by the State Department of State Hospitals, or to any other available public or private treatment facility, including a community-based residential treatment system approved by the community program director, or their designee, that will promote the defendant’s speedy restoration to mental competence, or placed on outpatient status as specified in Section 1600.”  (</w:t>
      </w:r>
      <w:r w:rsidR="00A842D2" w:rsidRPr="00A415D3">
        <w:t>§ 1370, subd. (a)(1)(B)(i).)</w:t>
      </w:r>
      <w:r w:rsidRPr="00A415D3">
        <w:t xml:space="preserve">  </w:t>
      </w:r>
      <w:r w:rsidR="009B22E7" w:rsidRPr="00A415D3">
        <w:t>After</w:t>
      </w:r>
      <w:r w:rsidR="00A842D2" w:rsidRPr="00A415D3">
        <w:t xml:space="preserve"> the issuance of the commitment order, a defendant who is ordered “delivered . . . to a . . . State Hospitals facility” is to be admitted </w:t>
      </w:r>
      <w:r w:rsidR="00D513F1" w:rsidRPr="00A415D3">
        <w:t xml:space="preserve">to </w:t>
      </w:r>
      <w:r w:rsidRPr="00A415D3">
        <w:t>a state hospital or a facility under contract with the Department.</w:t>
      </w:r>
      <w:r w:rsidR="004C7551" w:rsidRPr="00A415D3">
        <w:t xml:space="preserve">  (</w:t>
      </w:r>
      <w:r w:rsidR="004C7551" w:rsidRPr="00A415D3">
        <w:rPr>
          <w:i/>
          <w:iCs/>
        </w:rPr>
        <w:t>Ibid</w:t>
      </w:r>
      <w:r w:rsidR="004C7551" w:rsidRPr="00A415D3">
        <w:t>.)</w:t>
      </w:r>
    </w:p>
    <w:p w14:paraId="3F29F0CC" w14:textId="77777777" w:rsidR="00A842D2" w:rsidRPr="00A415D3" w:rsidRDefault="00AE6959" w:rsidP="00560442">
      <w:pPr>
        <w:ind w:firstLine="720"/>
      </w:pPr>
      <w:r w:rsidRPr="00A415D3">
        <w:t>Whether admitted to a state hospital</w:t>
      </w:r>
      <w:r w:rsidR="00A87421" w:rsidRPr="00A415D3">
        <w:t xml:space="preserve"> facility</w:t>
      </w:r>
      <w:r w:rsidRPr="00A415D3">
        <w:t xml:space="preserve">, </w:t>
      </w:r>
      <w:r w:rsidR="00A87421" w:rsidRPr="00A415D3">
        <w:t xml:space="preserve">delivered to </w:t>
      </w:r>
      <w:r w:rsidRPr="00A415D3">
        <w:t xml:space="preserve">a community-based residential treatment program, or placed on outpatient status, a </w:t>
      </w:r>
      <w:r w:rsidRPr="00A415D3">
        <w:t>defendant is returned to court</w:t>
      </w:r>
      <w:r w:rsidR="00AD1BDB" w:rsidRPr="00A415D3">
        <w:t xml:space="preserve"> </w:t>
      </w:r>
      <w:r w:rsidR="006111D6" w:rsidRPr="00A415D3">
        <w:t>when any of the following occurs</w:t>
      </w:r>
      <w:r w:rsidR="00396586" w:rsidRPr="00A415D3">
        <w:t xml:space="preserve">:  (1) </w:t>
      </w:r>
      <w:r w:rsidR="00C40499" w:rsidRPr="00A415D3">
        <w:t>a medical director or comparable personnel certifies to the court that the defendant has been restored to competency;</w:t>
      </w:r>
      <w:r>
        <w:rPr>
          <w:b/>
          <w:bCs/>
          <w:vertAlign w:val="superscript"/>
        </w:rPr>
        <w:footnoteReference w:id="4"/>
      </w:r>
      <w:r w:rsidR="00C40499" w:rsidRPr="00A415D3">
        <w:t xml:space="preserve"> </w:t>
      </w:r>
      <w:r w:rsidR="00396586" w:rsidRPr="00A415D3">
        <w:t>(2)</w:t>
      </w:r>
      <w:r w:rsidR="00CF6430" w:rsidRPr="00A415D3">
        <w:t> </w:t>
      </w:r>
      <w:r w:rsidR="00C40499" w:rsidRPr="00A415D3">
        <w:t>an appointed psychiatrist or psychologist opines that the defendant has regained competenc</w:t>
      </w:r>
      <w:r w:rsidR="00F22BDB" w:rsidRPr="00A415D3">
        <w:t>y</w:t>
      </w:r>
      <w:r w:rsidR="00C40499" w:rsidRPr="00A415D3">
        <w:t>;</w:t>
      </w:r>
      <w:r>
        <w:rPr>
          <w:b/>
          <w:bCs/>
          <w:vertAlign w:val="superscript"/>
        </w:rPr>
        <w:footnoteReference w:id="5"/>
      </w:r>
      <w:r w:rsidR="00C40499" w:rsidRPr="00A415D3">
        <w:t xml:space="preserve"> </w:t>
      </w:r>
      <w:r w:rsidR="00396586" w:rsidRPr="00A415D3">
        <w:t>(3)</w:t>
      </w:r>
      <w:r w:rsidR="00CF6430" w:rsidRPr="00A415D3">
        <w:t> </w:t>
      </w:r>
      <w:r w:rsidR="00C40499" w:rsidRPr="00A415D3">
        <w:t>the court determines that “treatment for the defendant’s mental impairment is not being conducted”</w:t>
      </w:r>
      <w:r w:rsidR="00D52135">
        <w:t xml:space="preserve"> (</w:t>
      </w:r>
      <w:r w:rsidR="00D52135" w:rsidRPr="00A415D3">
        <w:t>§ 1370, subd. (</w:t>
      </w:r>
      <w:r w:rsidR="00D52135">
        <w:t>b)(4))</w:t>
      </w:r>
      <w:r w:rsidR="00C40499" w:rsidRPr="00A415D3">
        <w:t>; (4)</w:t>
      </w:r>
      <w:r w:rsidR="00077A5C" w:rsidRPr="00A415D3">
        <w:t> </w:t>
      </w:r>
      <w:r w:rsidR="00C40499" w:rsidRPr="00A415D3">
        <w:t>a medical director or comparable personnel reports to the court that there is no substantial likelihood the defendant will regain competen</w:t>
      </w:r>
      <w:r w:rsidR="00F22BDB" w:rsidRPr="00A415D3">
        <w:t>cy</w:t>
      </w:r>
      <w:r w:rsidR="00C40499" w:rsidRPr="00A415D3">
        <w:t xml:space="preserve"> in the foreseeable future;</w:t>
      </w:r>
      <w:r>
        <w:rPr>
          <w:b/>
          <w:bCs/>
          <w:vertAlign w:val="superscript"/>
        </w:rPr>
        <w:footnoteReference w:id="6"/>
      </w:r>
      <w:r w:rsidR="00C40499" w:rsidRPr="00A415D3">
        <w:t xml:space="preserve"> </w:t>
      </w:r>
      <w:r w:rsidR="00030B6C" w:rsidRPr="00A415D3">
        <w:t xml:space="preserve">or </w:t>
      </w:r>
      <w:r w:rsidR="00396586" w:rsidRPr="00A415D3">
        <w:t>(</w:t>
      </w:r>
      <w:r w:rsidR="00C40499" w:rsidRPr="00A415D3">
        <w:t>5</w:t>
      </w:r>
      <w:r w:rsidR="00396586" w:rsidRPr="00A415D3">
        <w:t>)</w:t>
      </w:r>
      <w:r w:rsidR="00077A5C" w:rsidRPr="00A415D3">
        <w:t> </w:t>
      </w:r>
      <w:r w:rsidR="00AA0EB8" w:rsidRPr="00A415D3">
        <w:t>the maximum commitment period set by section</w:t>
      </w:r>
      <w:r w:rsidR="00077A5C" w:rsidRPr="00A415D3">
        <w:t> </w:t>
      </w:r>
      <w:r w:rsidR="00AA0EB8" w:rsidRPr="00A415D3">
        <w:t>1370(c)(1) has been reached.</w:t>
      </w:r>
      <w:r>
        <w:rPr>
          <w:b/>
          <w:bCs/>
          <w:vertAlign w:val="superscript"/>
        </w:rPr>
        <w:footnoteReference w:id="7"/>
      </w:r>
      <w:r w:rsidR="00E11C2C" w:rsidRPr="00A415D3">
        <w:t xml:space="preserve">  For ease of reference, we sometimes use the term “designated medical professional” through the remainder of this opinion to include the medical director of the Department or any </w:t>
      </w:r>
      <w:r w:rsidR="006E6EB9" w:rsidRPr="00A415D3">
        <w:t xml:space="preserve">relevant </w:t>
      </w:r>
      <w:r w:rsidR="00E11C2C" w:rsidRPr="00A415D3">
        <w:t xml:space="preserve">designee under the competency statutes.  </w:t>
      </w:r>
    </w:p>
    <w:p w14:paraId="3F29F0CD" w14:textId="77777777" w:rsidR="007C6E9D" w:rsidRPr="00A415D3" w:rsidRDefault="00AE6959" w:rsidP="00560442">
      <w:pPr>
        <w:ind w:firstLine="720"/>
      </w:pPr>
      <w:r w:rsidRPr="00A415D3">
        <w:t>Regarding the first path back to court, u</w:t>
      </w:r>
      <w:r w:rsidR="004A1F77" w:rsidRPr="00A415D3">
        <w:t xml:space="preserve">nder </w:t>
      </w:r>
      <w:r w:rsidR="009D1BE4" w:rsidRPr="00A415D3">
        <w:t xml:space="preserve">section 1372, if </w:t>
      </w:r>
      <w:r w:rsidR="006E6EB9" w:rsidRPr="00A415D3">
        <w:t xml:space="preserve">the designated medical professional </w:t>
      </w:r>
      <w:r w:rsidR="009D1BE4" w:rsidRPr="00A415D3">
        <w:t>“determines that the defendant has regained mental competence,” th</w:t>
      </w:r>
      <w:r w:rsidR="00417180" w:rsidRPr="00A415D3">
        <w:t>at</w:t>
      </w:r>
      <w:r w:rsidR="009D1BE4" w:rsidRPr="00A415D3">
        <w:t xml:space="preserve"> person “shall</w:t>
      </w:r>
      <w:r w:rsidR="00B40E51" w:rsidRPr="00A415D3">
        <w:t xml:space="preserve"> immediately</w:t>
      </w:r>
      <w:r w:rsidR="009D1BE4" w:rsidRPr="00A415D3">
        <w:t xml:space="preserve"> certify that fact to the court by filing a certificate of restoration.”  </w:t>
      </w:r>
      <w:r w:rsidR="009457FA" w:rsidRPr="00A415D3">
        <w:t>(§ 1372, subd. (a)(1).)  Within 10</w:t>
      </w:r>
      <w:r w:rsidR="00575900" w:rsidRPr="00A415D3">
        <w:t> </w:t>
      </w:r>
      <w:r w:rsidR="009457FA" w:rsidRPr="00A415D3">
        <w:t xml:space="preserve">days </w:t>
      </w:r>
      <w:r w:rsidR="00516943" w:rsidRPr="00A415D3">
        <w:t>of</w:t>
      </w:r>
      <w:r w:rsidR="009457FA" w:rsidRPr="00A415D3">
        <w:t xml:space="preserve"> the filing of the certificate of restoration, the defendant “shall be returned to the committing court.”  (§ 1372, subd.</w:t>
      </w:r>
      <w:r w:rsidR="00E317C0" w:rsidRPr="00A415D3">
        <w:t> </w:t>
      </w:r>
      <w:r w:rsidR="009457FA" w:rsidRPr="00A415D3">
        <w:t xml:space="preserve">(a)(3)(C).)  </w:t>
      </w:r>
      <w:r w:rsidR="00DB7B62" w:rsidRPr="00A415D3">
        <w:t>“W</w:t>
      </w:r>
      <w:r w:rsidR="00333FDD" w:rsidRPr="00A415D3">
        <w:t>hen a defendant is returned to court with a certification that competence has been regained,” the court shall notify the appropriate personnel “of the date of any hearing on the defendant’s competence and whether or not the defendant was found by the court to have recovered competence.”  (§ 1372, subd. (c)(1).)</w:t>
      </w:r>
    </w:p>
    <w:p w14:paraId="3F29F0CE" w14:textId="77777777" w:rsidR="005E0325" w:rsidRPr="00A415D3" w:rsidRDefault="00AE6959" w:rsidP="003E4E79">
      <w:pPr>
        <w:ind w:firstLine="720"/>
      </w:pPr>
      <w:r w:rsidRPr="00A415D3">
        <w:t xml:space="preserve">Although section 1372 refers to a “hearing on the defendant’s competence” (§ 1372, subd. (c)(1)), it does not “set forth any </w:t>
      </w:r>
      <w:r w:rsidRPr="00A415D3">
        <w:t xml:space="preserve">. . . procedures” for such a hearing.  </w:t>
      </w:r>
      <w:r w:rsidR="003E4E79" w:rsidRPr="00A415D3">
        <w:t>(</w:t>
      </w:r>
      <w:r w:rsidR="003E4E79" w:rsidRPr="00A415D3">
        <w:rPr>
          <w:i/>
          <w:iCs/>
        </w:rPr>
        <w:t>People v. Rells</w:t>
      </w:r>
      <w:r w:rsidR="003E4E79" w:rsidRPr="00A415D3">
        <w:t> (2000) 22 Cal.4th 860, 867 (</w:t>
      </w:r>
      <w:r w:rsidR="003E4E79" w:rsidRPr="00A415D3">
        <w:rPr>
          <w:i/>
          <w:iCs/>
        </w:rPr>
        <w:t>Rells</w:t>
      </w:r>
      <w:r w:rsidR="003E4E79" w:rsidRPr="00A415D3">
        <w:t>)</w:t>
      </w:r>
      <w:r w:rsidRPr="00A415D3">
        <w:t>.)  We have held, however, that “section 1372 allows its gaps to be filled by Penal Code section 1369</w:t>
      </w:r>
      <w:r w:rsidR="00475E1A" w:rsidRPr="00A415D3">
        <w:t>,</w:t>
      </w:r>
      <w:r w:rsidRPr="00A415D3">
        <w:t>”</w:t>
      </w:r>
      <w:r w:rsidR="00475E1A" w:rsidRPr="00A415D3">
        <w:t xml:space="preserve"> which </w:t>
      </w:r>
      <w:r w:rsidR="001B5B8F" w:rsidRPr="00A415D3">
        <w:t>establishes</w:t>
      </w:r>
      <w:r w:rsidR="00475E1A" w:rsidRPr="00A415D3">
        <w:t xml:space="preserve"> the procedures for the initial hearing on the issue of a defendant’s mental competence.</w:t>
      </w:r>
      <w:r w:rsidRPr="00A415D3">
        <w:t xml:space="preserve">  (</w:t>
      </w:r>
      <w:r w:rsidR="001C0B92" w:rsidRPr="00A415D3">
        <w:rPr>
          <w:i/>
          <w:iCs/>
        </w:rPr>
        <w:t>Id</w:t>
      </w:r>
      <w:r w:rsidR="001C0B92" w:rsidRPr="00A415D3">
        <w:t>.</w:t>
      </w:r>
      <w:r w:rsidR="00325DE2" w:rsidRPr="00A415D3">
        <w:t xml:space="preserve"> </w:t>
      </w:r>
      <w:r w:rsidRPr="00A415D3">
        <w:t>at p.</w:t>
      </w:r>
      <w:r w:rsidR="00AE5C63" w:rsidRPr="00A415D3">
        <w:t xml:space="preserve"> 868.)  </w:t>
      </w:r>
      <w:r w:rsidR="00CC3551" w:rsidRPr="00A415D3">
        <w:t>Thus</w:t>
      </w:r>
      <w:r w:rsidR="00AE5C63" w:rsidRPr="00A415D3">
        <w:t xml:space="preserve">, when a defendant returns to court after a certificate of restoration </w:t>
      </w:r>
      <w:r w:rsidR="0064132A" w:rsidRPr="00A415D3">
        <w:t xml:space="preserve">has been </w:t>
      </w:r>
      <w:r w:rsidR="00AE5C63" w:rsidRPr="00A415D3">
        <w:t>filed, the defendant is presumed competent and bears the burden of proving otherwise</w:t>
      </w:r>
      <w:r w:rsidR="006E6EB9" w:rsidRPr="00A415D3">
        <w:t xml:space="preserve"> at a hearing</w:t>
      </w:r>
      <w:r w:rsidR="00AE5C63" w:rsidRPr="00A415D3">
        <w:t xml:space="preserve">.  (See </w:t>
      </w:r>
      <w:r w:rsidR="00AE5C63" w:rsidRPr="00A415D3">
        <w:rPr>
          <w:i/>
          <w:iCs/>
        </w:rPr>
        <w:t>id</w:t>
      </w:r>
      <w:r w:rsidR="00AE5C63" w:rsidRPr="00A415D3">
        <w:t>. at pp.</w:t>
      </w:r>
      <w:r w:rsidR="008918C6" w:rsidRPr="00A415D3">
        <w:t> </w:t>
      </w:r>
      <w:r w:rsidR="00AE5C63" w:rsidRPr="00A415D3">
        <w:t>867</w:t>
      </w:r>
      <w:r w:rsidR="0035144B" w:rsidRPr="00A415D3">
        <w:t>–</w:t>
      </w:r>
      <w:r w:rsidR="00AE5C63" w:rsidRPr="00A415D3">
        <w:t xml:space="preserve">868.) </w:t>
      </w:r>
      <w:r w:rsidR="003B16AA" w:rsidRPr="00A415D3">
        <w:t xml:space="preserve"> </w:t>
      </w:r>
      <w:r w:rsidR="00AE5C63" w:rsidRPr="00A415D3">
        <w:t>“If the committing court approves the certificate of restoration”</w:t>
      </w:r>
      <w:r w:rsidR="00B40E51" w:rsidRPr="00A415D3">
        <w:t xml:space="preserve"> (§ 1372, subd. (d))</w:t>
      </w:r>
      <w:r w:rsidR="00540324" w:rsidRPr="00A415D3">
        <w:t> </w:t>
      </w:r>
      <w:r w:rsidR="00AE5C63" w:rsidRPr="00A415D3">
        <w:t>— th</w:t>
      </w:r>
      <w:r w:rsidR="00516943" w:rsidRPr="00A415D3">
        <w:t xml:space="preserve">us </w:t>
      </w:r>
      <w:r w:rsidR="00AE5C63" w:rsidRPr="00A415D3">
        <w:t>finding the defendant has recovered competenc</w:t>
      </w:r>
      <w:r w:rsidR="00F22BDB" w:rsidRPr="00A415D3">
        <w:t>y</w:t>
      </w:r>
      <w:r w:rsidR="00540324" w:rsidRPr="00A415D3">
        <w:t> </w:t>
      </w:r>
      <w:r w:rsidR="00AE5C63" w:rsidRPr="00A415D3">
        <w:t>— criminal proceedings resume (§ 1370, subd.</w:t>
      </w:r>
      <w:r w:rsidR="00E27181" w:rsidRPr="00A415D3">
        <w:t xml:space="preserve"> </w:t>
      </w:r>
      <w:r w:rsidR="00AE5C63" w:rsidRPr="00A415D3">
        <w:t>(a)(1)(A)) and the court “shall hold a hearing to determine whether the person is entitled to be admitted to bail</w:t>
      </w:r>
      <w:r w:rsidR="00475E1A" w:rsidRPr="00A415D3">
        <w:t xml:space="preserve"> or released on own recognizance status pending conclusion of the proceedings</w:t>
      </w:r>
      <w:r w:rsidR="00AE5C63" w:rsidRPr="00A415D3">
        <w:t>” (§ 1372, subd.</w:t>
      </w:r>
      <w:r w:rsidR="0064132A" w:rsidRPr="00A415D3">
        <w:t> </w:t>
      </w:r>
      <w:r w:rsidR="00AE5C63" w:rsidRPr="00A415D3">
        <w:t>(d))</w:t>
      </w:r>
      <w:r w:rsidR="00B40E51" w:rsidRPr="00A415D3">
        <w:t>.</w:t>
      </w:r>
      <w:r w:rsidR="00AE5C63" w:rsidRPr="00A415D3">
        <w:t xml:space="preserve">  </w:t>
      </w:r>
      <w:r w:rsidR="00D5581B" w:rsidRPr="00A415D3">
        <w:t>T</w:t>
      </w:r>
      <w:r w:rsidR="00AE5C63" w:rsidRPr="00A415D3">
        <w:t>he court</w:t>
      </w:r>
      <w:r w:rsidR="00D5581B" w:rsidRPr="00A415D3">
        <w:t xml:space="preserve"> </w:t>
      </w:r>
      <w:r w:rsidR="002B6DB8" w:rsidRPr="00A415D3">
        <w:t>may</w:t>
      </w:r>
      <w:r w:rsidR="00D5581B" w:rsidRPr="00A415D3">
        <w:t>, however,</w:t>
      </w:r>
      <w:r w:rsidR="00AE5C63" w:rsidRPr="00A415D3">
        <w:t xml:space="preserve"> “reject</w:t>
      </w:r>
      <w:r w:rsidR="00BC6DD2" w:rsidRPr="00A415D3">
        <w:t>[]</w:t>
      </w:r>
      <w:r w:rsidR="00AE5C63" w:rsidRPr="00A415D3">
        <w:t xml:space="preserve"> a certificate of restoration</w:t>
      </w:r>
      <w:r w:rsidR="00516943" w:rsidRPr="00A415D3">
        <w:t xml:space="preserve">” </w:t>
      </w:r>
      <w:r w:rsidR="00D5581B" w:rsidRPr="00A415D3">
        <w:t xml:space="preserve">based on a medical evaluation </w:t>
      </w:r>
      <w:r w:rsidR="00516943" w:rsidRPr="00A415D3">
        <w:t>(§ 1372, subd.</w:t>
      </w:r>
      <w:r w:rsidR="0064132A" w:rsidRPr="00A415D3">
        <w:t> </w:t>
      </w:r>
      <w:r w:rsidR="00516943" w:rsidRPr="00A415D3">
        <w:t>(c)(2)),</w:t>
      </w:r>
      <w:r w:rsidR="002B6DB8" w:rsidRPr="00A415D3">
        <w:t xml:space="preserve"> </w:t>
      </w:r>
      <w:r w:rsidR="00BC6DD2" w:rsidRPr="00A415D3">
        <w:t xml:space="preserve">at which point </w:t>
      </w:r>
      <w:r w:rsidR="00364148" w:rsidRPr="00A415D3">
        <w:t>a</w:t>
      </w:r>
      <w:r w:rsidR="009E6002" w:rsidRPr="00A415D3">
        <w:t xml:space="preserve"> defendant </w:t>
      </w:r>
      <w:r w:rsidR="00364148" w:rsidRPr="00A415D3">
        <w:t xml:space="preserve">may be returned to a treatment facility </w:t>
      </w:r>
      <w:r w:rsidR="002B6DB8" w:rsidRPr="00A415D3">
        <w:t xml:space="preserve">if the maximum </w:t>
      </w:r>
      <w:r w:rsidR="00364148" w:rsidRPr="00A415D3">
        <w:t xml:space="preserve">commitment </w:t>
      </w:r>
      <w:r w:rsidR="00235D6D" w:rsidRPr="00A415D3">
        <w:t xml:space="preserve">period </w:t>
      </w:r>
      <w:r w:rsidR="002B6DB8" w:rsidRPr="00A415D3">
        <w:t>has not</w:t>
      </w:r>
      <w:r w:rsidR="00364148" w:rsidRPr="00A415D3">
        <w:t xml:space="preserve"> yet</w:t>
      </w:r>
      <w:r w:rsidR="002B6DB8" w:rsidRPr="00A415D3">
        <w:t xml:space="preserve"> been reached.</w:t>
      </w:r>
      <w:r w:rsidR="00BC6DD2" w:rsidRPr="00A415D3">
        <w:t xml:space="preserve">  (</w:t>
      </w:r>
      <w:r w:rsidR="00516943" w:rsidRPr="00A415D3">
        <w:t xml:space="preserve">See </w:t>
      </w:r>
      <w:r w:rsidR="002B6DB8" w:rsidRPr="00A415D3">
        <w:t>§ 137</w:t>
      </w:r>
      <w:r w:rsidR="00516943" w:rsidRPr="00A415D3">
        <w:t>0</w:t>
      </w:r>
      <w:r w:rsidR="002B6DB8" w:rsidRPr="00A415D3">
        <w:t>, subd.</w:t>
      </w:r>
      <w:r w:rsidR="0064132A" w:rsidRPr="00A415D3">
        <w:t> </w:t>
      </w:r>
      <w:r w:rsidR="002B6DB8" w:rsidRPr="00A415D3">
        <w:t>(</w:t>
      </w:r>
      <w:r w:rsidR="00516943" w:rsidRPr="00A415D3">
        <w:t>a</w:t>
      </w:r>
      <w:r w:rsidR="002B6DB8" w:rsidRPr="00A415D3">
        <w:t>)(</w:t>
      </w:r>
      <w:r w:rsidR="00516943" w:rsidRPr="00A415D3">
        <w:t>1</w:t>
      </w:r>
      <w:r w:rsidR="002B6DB8" w:rsidRPr="00A415D3">
        <w:t>)</w:t>
      </w:r>
      <w:r w:rsidR="00516943" w:rsidRPr="00A415D3">
        <w:t>(B)</w:t>
      </w:r>
      <w:r w:rsidR="002B6DB8" w:rsidRPr="00A415D3">
        <w:t xml:space="preserve">; </w:t>
      </w:r>
      <w:r w:rsidR="002B6DB8" w:rsidRPr="00A415D3">
        <w:rPr>
          <w:i/>
          <w:iCs/>
        </w:rPr>
        <w:t>Jackson v. Superior Court</w:t>
      </w:r>
      <w:r w:rsidR="002B6DB8" w:rsidRPr="00A415D3">
        <w:t xml:space="preserve">, </w:t>
      </w:r>
      <w:r w:rsidR="002B6DB8" w:rsidRPr="00A415D3">
        <w:rPr>
          <w:i/>
          <w:iCs/>
        </w:rPr>
        <w:t>supra</w:t>
      </w:r>
      <w:r w:rsidR="002B6DB8" w:rsidRPr="00A415D3">
        <w:t>, 4</w:t>
      </w:r>
      <w:r w:rsidR="008918C6" w:rsidRPr="00A415D3">
        <w:t> </w:t>
      </w:r>
      <w:r w:rsidR="002B6DB8" w:rsidRPr="00A415D3">
        <w:t>Cal.5th at p. 106</w:t>
      </w:r>
      <w:r w:rsidR="00BC6DD2" w:rsidRPr="00A415D3">
        <w:t>.)</w:t>
      </w:r>
    </w:p>
    <w:p w14:paraId="3F29F0CF" w14:textId="77777777" w:rsidR="009E0002" w:rsidRPr="00A415D3" w:rsidRDefault="00AE6959" w:rsidP="00560442">
      <w:pPr>
        <w:ind w:firstLine="720"/>
      </w:pPr>
      <w:r w:rsidRPr="00A415D3">
        <w:t xml:space="preserve">Different </w:t>
      </w:r>
      <w:r w:rsidRPr="00A415D3">
        <w:t>procedures apply</w:t>
      </w:r>
      <w:r w:rsidR="00516943" w:rsidRPr="00A415D3">
        <w:t xml:space="preserve"> if </w:t>
      </w:r>
      <w:r w:rsidR="00FB5E39" w:rsidRPr="00A415D3">
        <w:t xml:space="preserve">the </w:t>
      </w:r>
      <w:r w:rsidR="00AA0EB8" w:rsidRPr="00A415D3">
        <w:t>maximum commitment term</w:t>
      </w:r>
      <w:r w:rsidR="00FB5E39" w:rsidRPr="00A415D3">
        <w:t xml:space="preserve"> has been reached</w:t>
      </w:r>
      <w:r w:rsidR="00516943" w:rsidRPr="00A415D3">
        <w:t xml:space="preserve">.  </w:t>
      </w:r>
      <w:r w:rsidR="004F22AC" w:rsidRPr="00A415D3">
        <w:t>As mentioned, s</w:t>
      </w:r>
      <w:r w:rsidR="00516943" w:rsidRPr="00A415D3">
        <w:t>ection 1370(c)(1) prohibits</w:t>
      </w:r>
      <w:r w:rsidR="004F22AC" w:rsidRPr="00A415D3">
        <w:t xml:space="preserve"> commitments lasting more </w:t>
      </w:r>
      <w:r w:rsidR="00540324" w:rsidRPr="00A415D3">
        <w:t xml:space="preserve">than </w:t>
      </w:r>
      <w:r w:rsidR="004F22AC" w:rsidRPr="00A415D3">
        <w:t>two years</w:t>
      </w:r>
      <w:r w:rsidR="000F0191" w:rsidRPr="00A415D3">
        <w:t>.</w:t>
      </w:r>
      <w:r w:rsidR="00FB5E39" w:rsidRPr="00A415D3">
        <w:t xml:space="preserve">  </w:t>
      </w:r>
      <w:r w:rsidR="00BD1F47">
        <w:t xml:space="preserve">If the defendant has not regained competency, the statute </w:t>
      </w:r>
      <w:r w:rsidR="00FB5E39" w:rsidRPr="00A415D3">
        <w:t>does not provide for a hearing to redetermine a defendant’s competency at this point.</w:t>
      </w:r>
      <w:r w:rsidR="00D5581B" w:rsidRPr="00A415D3">
        <w:t xml:space="preserve">  (</w:t>
      </w:r>
      <w:r w:rsidR="00C42F8C" w:rsidRPr="00A415D3">
        <w:t>Accord</w:t>
      </w:r>
      <w:r w:rsidR="00245B80" w:rsidRPr="00A415D3">
        <w:t>,</w:t>
      </w:r>
      <w:r w:rsidR="00D5581B" w:rsidRPr="00A415D3">
        <w:t xml:space="preserve"> </w:t>
      </w:r>
      <w:r w:rsidR="00D5581B" w:rsidRPr="00A415D3">
        <w:rPr>
          <w:i/>
          <w:iCs/>
        </w:rPr>
        <w:t>In re Taitano</w:t>
      </w:r>
      <w:r w:rsidR="00D5581B" w:rsidRPr="00A415D3">
        <w:t> (2017) 13 Cal.App.5th 233, 239</w:t>
      </w:r>
      <w:r w:rsidR="00087A3D" w:rsidRPr="00A415D3">
        <w:t>, 246</w:t>
      </w:r>
      <w:r w:rsidR="00D5581B" w:rsidRPr="00A415D3">
        <w:t xml:space="preserve"> (</w:t>
      </w:r>
      <w:r w:rsidR="00D5581B" w:rsidRPr="00A415D3">
        <w:rPr>
          <w:i/>
          <w:iCs/>
        </w:rPr>
        <w:t>Taitano</w:t>
      </w:r>
      <w:r w:rsidR="00D5581B" w:rsidRPr="00A415D3">
        <w:t xml:space="preserve">) [holding that trial courts are not authorized to hold competency hearings after </w:t>
      </w:r>
      <w:r w:rsidR="00087A3D" w:rsidRPr="00A415D3">
        <w:t>the maximum statutory commitment period has expired where the court “had not received a certification that [the defendant] has been restored to competence by certain mental health officials (including the county medical health director) or the conservator”</w:t>
      </w:r>
      <w:r w:rsidR="00D5581B" w:rsidRPr="00A415D3">
        <w:t xml:space="preserve">]; </w:t>
      </w:r>
      <w:r w:rsidR="00D5581B" w:rsidRPr="00A415D3">
        <w:rPr>
          <w:i/>
          <w:iCs/>
        </w:rPr>
        <w:t>People v. Quiroz</w:t>
      </w:r>
      <w:r w:rsidR="00D5581B" w:rsidRPr="00A415D3">
        <w:t xml:space="preserve"> (2016) 244 Cal.App.4th 1371, </w:t>
      </w:r>
      <w:r w:rsidR="00B40E51" w:rsidRPr="00A415D3">
        <w:t xml:space="preserve">1375 </w:t>
      </w:r>
      <w:r w:rsidR="00D5581B" w:rsidRPr="00A415D3">
        <w:t>(</w:t>
      </w:r>
      <w:r w:rsidR="00D5581B" w:rsidRPr="00A415D3">
        <w:rPr>
          <w:i/>
          <w:iCs/>
        </w:rPr>
        <w:t>Quiroz</w:t>
      </w:r>
      <w:r w:rsidR="00D5581B" w:rsidRPr="00A415D3">
        <w:t>) [</w:t>
      </w:r>
      <w:r w:rsidR="00087A3D" w:rsidRPr="00A415D3">
        <w:t>holding that a trial judge has no power “to convene a competency hearing after a state hospital certifies that a defendant, who has been involuntarily confined for three years due to incompetence to stand trial, is not likely to regain competency”</w:t>
      </w:r>
      <w:r w:rsidR="00D5581B" w:rsidRPr="00A415D3">
        <w:t xml:space="preserve">].)  </w:t>
      </w:r>
      <w:r w:rsidR="00F550C7" w:rsidRPr="00A415D3">
        <w:t>Instead, section</w:t>
      </w:r>
      <w:r w:rsidR="002E29A0" w:rsidRPr="00A415D3">
        <w:t> </w:t>
      </w:r>
      <w:r w:rsidR="00F550C7" w:rsidRPr="00A415D3">
        <w:t xml:space="preserve">1370 directs </w:t>
      </w:r>
      <w:r w:rsidR="00FB5E39" w:rsidRPr="00A415D3">
        <w:t>the committing court to “initiate conservatorship proceedings for the defendant” if</w:t>
      </w:r>
      <w:r w:rsidR="00F550C7" w:rsidRPr="00A415D3">
        <w:t xml:space="preserve"> “it appears to the court that the defendant is gravely disabled</w:t>
      </w:r>
      <w:r w:rsidR="00FB5E39" w:rsidRPr="00A415D3">
        <w:t>.</w:t>
      </w:r>
      <w:r w:rsidR="00F550C7" w:rsidRPr="00A415D3">
        <w:t xml:space="preserve">” </w:t>
      </w:r>
      <w:r w:rsidR="00FB5E39" w:rsidRPr="00A415D3">
        <w:t xml:space="preserve"> (</w:t>
      </w:r>
      <w:r w:rsidR="00F550C7" w:rsidRPr="00A415D3">
        <w:t>§ 1370, subd.</w:t>
      </w:r>
      <w:r w:rsidR="002E29A0" w:rsidRPr="00A415D3">
        <w:t> </w:t>
      </w:r>
      <w:r w:rsidR="00F550C7" w:rsidRPr="00A415D3">
        <w:t>(c)(3).)</w:t>
      </w:r>
    </w:p>
    <w:p w14:paraId="3F29F0D0" w14:textId="77777777" w:rsidR="001C17EF" w:rsidRPr="00A415D3" w:rsidRDefault="00AE6959" w:rsidP="00560442">
      <w:pPr>
        <w:ind w:firstLine="720"/>
      </w:pPr>
      <w:r w:rsidRPr="00A415D3">
        <w:t xml:space="preserve">A defendant is gravely disabled if, “as a result of a mental health disorder,” </w:t>
      </w:r>
      <w:r w:rsidR="00522085" w:rsidRPr="00A415D3">
        <w:t>the defendant</w:t>
      </w:r>
      <w:r w:rsidRPr="00A415D3">
        <w:t xml:space="preserve"> “is unable to provide for his or her basic personal needs for food, clothing, or shelter.”  (Welf. &amp; Inst. Code, § 5008</w:t>
      </w:r>
      <w:r w:rsidR="0075319F" w:rsidRPr="00A415D3">
        <w:t>,</w:t>
      </w:r>
      <w:r w:rsidRPr="00A415D3">
        <w:t xml:space="preserve"> subd. (h)(1)(A).)  Alternatively, a defendant is gravely disabled</w:t>
      </w:r>
      <w:r w:rsidR="00DF12A1" w:rsidRPr="00A415D3">
        <w:t> </w:t>
      </w:r>
      <w:r w:rsidRPr="00A415D3">
        <w:t>— and subject to</w:t>
      </w:r>
      <w:r w:rsidR="005A7282" w:rsidRPr="00A415D3">
        <w:t xml:space="preserve"> </w:t>
      </w:r>
      <w:r w:rsidR="002F2C4A" w:rsidRPr="00A415D3">
        <w:t>a</w:t>
      </w:r>
      <w:r w:rsidRPr="00A415D3">
        <w:t xml:space="preserve"> Murphy conservatorship</w:t>
      </w:r>
      <w:r w:rsidR="00161B40" w:rsidRPr="00A415D3">
        <w:t> </w:t>
      </w:r>
      <w:r w:rsidRPr="00A415D3">
        <w:t xml:space="preserve">— if </w:t>
      </w:r>
      <w:r w:rsidR="00522085" w:rsidRPr="00A415D3">
        <w:t>t</w:t>
      </w:r>
      <w:r w:rsidRPr="00A415D3">
        <w:t xml:space="preserve">he </w:t>
      </w:r>
      <w:r w:rsidR="00522085" w:rsidRPr="00A415D3">
        <w:t xml:space="preserve">defendant </w:t>
      </w:r>
      <w:r w:rsidRPr="00A415D3">
        <w:t>“has be</w:t>
      </w:r>
      <w:r w:rsidRPr="00A415D3">
        <w:t xml:space="preserve">en found mentally incompetent” </w:t>
      </w:r>
      <w:r w:rsidR="00EC4AF7">
        <w:t>(</w:t>
      </w:r>
      <w:r w:rsidR="00EC4AF7">
        <w:rPr>
          <w:i/>
          <w:iCs/>
        </w:rPr>
        <w:t>id</w:t>
      </w:r>
      <w:r w:rsidR="00EC4AF7">
        <w:t xml:space="preserve">., subd. (h)(1)(B)) </w:t>
      </w:r>
      <w:r w:rsidRPr="00A415D3">
        <w:t xml:space="preserve">and </w:t>
      </w:r>
      <w:r w:rsidR="00417180" w:rsidRPr="00A415D3">
        <w:t>certain</w:t>
      </w:r>
      <w:r w:rsidRPr="00A415D3">
        <w:t xml:space="preserve"> facts </w:t>
      </w:r>
      <w:r w:rsidR="00D75B0D" w:rsidRPr="00A415D3">
        <w:t>obtain</w:t>
      </w:r>
      <w:r w:rsidRPr="00A415D3">
        <w:t>, including that “[t]he person represents a substantial danger of physical harm to others by reason of a mental disease, defect, or disorder”</w:t>
      </w:r>
      <w:r w:rsidR="005A7282" w:rsidRPr="00A415D3">
        <w:t xml:space="preserve"> </w:t>
      </w:r>
      <w:r w:rsidRPr="00A415D3">
        <w:t>(</w:t>
      </w:r>
      <w:r w:rsidR="0075319F" w:rsidRPr="00A415D3">
        <w:rPr>
          <w:i/>
          <w:iCs/>
        </w:rPr>
        <w:t>id</w:t>
      </w:r>
      <w:r w:rsidR="00241D69" w:rsidRPr="00A415D3">
        <w:t>.</w:t>
      </w:r>
      <w:r w:rsidR="0075319F" w:rsidRPr="00A415D3">
        <w:t>,</w:t>
      </w:r>
      <w:r w:rsidRPr="00A415D3">
        <w:t xml:space="preserve"> subd. (h)(1)(B)</w:t>
      </w:r>
      <w:r w:rsidR="00C05368">
        <w:t>(iv)</w:t>
      </w:r>
      <w:r w:rsidRPr="00A415D3">
        <w:t>)</w:t>
      </w:r>
      <w:r w:rsidR="005A7282" w:rsidRPr="00A415D3">
        <w:t>.</w:t>
      </w:r>
      <w:r w:rsidRPr="00A415D3">
        <w:t xml:space="preserve">  If </w:t>
      </w:r>
      <w:r w:rsidR="00522085" w:rsidRPr="00A415D3">
        <w:t xml:space="preserve">the defendant </w:t>
      </w:r>
      <w:r w:rsidRPr="00A415D3">
        <w:t xml:space="preserve">is deemed gravely disabled under either definition, </w:t>
      </w:r>
      <w:r w:rsidR="00522085" w:rsidRPr="00A415D3">
        <w:t xml:space="preserve">the defendant </w:t>
      </w:r>
      <w:r w:rsidRPr="00A415D3">
        <w:t xml:space="preserve">may be </w:t>
      </w:r>
      <w:r w:rsidR="00D9516D" w:rsidRPr="00A415D3">
        <w:t>confined</w:t>
      </w:r>
      <w:r w:rsidR="00D93B3F" w:rsidRPr="00A415D3">
        <w:t xml:space="preserve"> as long as “conservatorship is still </w:t>
      </w:r>
      <w:r w:rsidR="00B40E51" w:rsidRPr="00A415D3">
        <w:t>required</w:t>
      </w:r>
      <w:r w:rsidRPr="00A415D3">
        <w:t>.</w:t>
      </w:r>
      <w:r w:rsidR="00D93B3F" w:rsidRPr="00A415D3">
        <w:t>”</w:t>
      </w:r>
      <w:r w:rsidRPr="00A415D3">
        <w:t xml:space="preserve">  (</w:t>
      </w:r>
      <w:r w:rsidR="000A77CA" w:rsidRPr="00A415D3">
        <w:t xml:space="preserve">Welf. &amp; Inst. Code, </w:t>
      </w:r>
      <w:r w:rsidR="00D93B3F" w:rsidRPr="00A415D3">
        <w:t>§ 5361, subd. (b)</w:t>
      </w:r>
      <w:r w:rsidRPr="00A415D3">
        <w:t>.)</w:t>
      </w:r>
      <w:r w:rsidR="005A7282" w:rsidRPr="00A415D3">
        <w:t xml:space="preserve">  On the other hand, </w:t>
      </w:r>
      <w:r w:rsidR="00154782" w:rsidRPr="00A415D3">
        <w:t>“</w:t>
      </w:r>
      <w:r w:rsidR="00D90DCD">
        <w:t>I</w:t>
      </w:r>
      <w:r w:rsidR="00665B75" w:rsidRPr="00A415D3">
        <w:t xml:space="preserve">f </w:t>
      </w:r>
      <w:r w:rsidR="00D93B3F" w:rsidRPr="00A415D3">
        <w:t>the defendant is not gravely disabled, the defendant must be released [citation], and the trial court may dismiss the action in the interest of justice pursuant to section</w:t>
      </w:r>
      <w:r w:rsidR="00522085" w:rsidRPr="00A415D3">
        <w:t> </w:t>
      </w:r>
      <w:r w:rsidR="00D93B3F" w:rsidRPr="00A415D3">
        <w:t>1385 [citations].  Such a dismissal is ‘without prejudice to the initiation of any proceedings that may be appropriate’ under the [Lanterman-Petris-Short] Act.”  (</w:t>
      </w:r>
      <w:r w:rsidR="00D93B3F" w:rsidRPr="00A415D3">
        <w:rPr>
          <w:i/>
          <w:iCs/>
        </w:rPr>
        <w:t>Jackson v. Superior Court</w:t>
      </w:r>
      <w:r w:rsidR="00D93B3F" w:rsidRPr="00A415D3">
        <w:t xml:space="preserve">, </w:t>
      </w:r>
      <w:r w:rsidR="00D93B3F" w:rsidRPr="00A415D3">
        <w:rPr>
          <w:i/>
          <w:iCs/>
        </w:rPr>
        <w:t>supra</w:t>
      </w:r>
      <w:r w:rsidR="00D93B3F" w:rsidRPr="00A415D3">
        <w:t>, 4 Cal.5th at p. 102.)</w:t>
      </w:r>
    </w:p>
    <w:p w14:paraId="3F29F0D1" w14:textId="77777777" w:rsidR="00F64236" w:rsidRPr="00A415D3" w:rsidRDefault="00AE6959" w:rsidP="00560442">
      <w:pPr>
        <w:ind w:firstLine="720"/>
      </w:pPr>
      <w:r w:rsidRPr="00A415D3">
        <w:t xml:space="preserve">To </w:t>
      </w:r>
      <w:r w:rsidR="00522085" w:rsidRPr="00A415D3">
        <w:t>summarize</w:t>
      </w:r>
      <w:r w:rsidR="00417180" w:rsidRPr="00A415D3">
        <w:t xml:space="preserve"> the steps in the commitment process most relevant to the issue before us</w:t>
      </w:r>
      <w:r w:rsidRPr="00A415D3">
        <w:t xml:space="preserve">:  </w:t>
      </w:r>
      <w:r w:rsidR="002F2C4A" w:rsidRPr="00A415D3">
        <w:t xml:space="preserve">A defendant found mentally incompetent to stand trial </w:t>
      </w:r>
      <w:r w:rsidR="00161911" w:rsidRPr="00A415D3">
        <w:t>shall</w:t>
      </w:r>
      <w:r w:rsidR="002F2C4A" w:rsidRPr="00A415D3">
        <w:t xml:space="preserve"> be committed by court order</w:t>
      </w:r>
      <w:r w:rsidRPr="00A415D3">
        <w:t xml:space="preserve">.  </w:t>
      </w:r>
      <w:r w:rsidR="005660D9" w:rsidRPr="00A415D3">
        <w:t xml:space="preserve">(See § 1370.)  </w:t>
      </w:r>
      <w:r w:rsidR="003E4E79" w:rsidRPr="00A415D3">
        <w:t>I</w:t>
      </w:r>
      <w:r w:rsidRPr="00A415D3">
        <w:t xml:space="preserve">f the </w:t>
      </w:r>
      <w:r w:rsidR="006E6EB9" w:rsidRPr="00A415D3">
        <w:t xml:space="preserve">designated medical professional </w:t>
      </w:r>
      <w:r w:rsidR="00246E57" w:rsidRPr="00A415D3">
        <w:t>finds</w:t>
      </w:r>
      <w:r w:rsidRPr="00A415D3">
        <w:t xml:space="preserve"> that the defendant’s competency has been restored, the person files a certificate of restoration, triggering </w:t>
      </w:r>
      <w:r w:rsidR="00417180" w:rsidRPr="00A415D3">
        <w:t>the</w:t>
      </w:r>
      <w:r w:rsidRPr="00A415D3">
        <w:t xml:space="preserve"> defendant’s return to court.  </w:t>
      </w:r>
      <w:r w:rsidR="005660D9" w:rsidRPr="00A415D3">
        <w:t>(See §§ 1370, subd.</w:t>
      </w:r>
      <w:r w:rsidR="006F5D59" w:rsidRPr="00A415D3">
        <w:t> </w:t>
      </w:r>
      <w:r w:rsidR="005660D9" w:rsidRPr="00A415D3">
        <w:t>(a)(1)(C)</w:t>
      </w:r>
      <w:r w:rsidR="00577130" w:rsidRPr="00A415D3">
        <w:t>,</w:t>
      </w:r>
      <w:r w:rsidR="008918C6" w:rsidRPr="00A415D3">
        <w:t xml:space="preserve"> </w:t>
      </w:r>
      <w:r w:rsidR="005660D9" w:rsidRPr="00A415D3">
        <w:t xml:space="preserve">1372.)  </w:t>
      </w:r>
      <w:r w:rsidRPr="00A415D3">
        <w:t xml:space="preserve">Following the defendant’s return, the court holds a hearing to determine </w:t>
      </w:r>
      <w:r w:rsidRPr="00A415D3">
        <w:t xml:space="preserve">whether to approve or reject the certificate.  </w:t>
      </w:r>
      <w:r w:rsidR="005660D9" w:rsidRPr="00A415D3">
        <w:t xml:space="preserve">(See § 1372.)  </w:t>
      </w:r>
      <w:r w:rsidR="009F5DA0" w:rsidRPr="00A415D3">
        <w:t xml:space="preserve">If </w:t>
      </w:r>
      <w:r w:rsidRPr="00A415D3">
        <w:t xml:space="preserve">a defendant </w:t>
      </w:r>
      <w:r w:rsidR="00A7107F" w:rsidRPr="00A415D3">
        <w:t>has not</w:t>
      </w:r>
      <w:r w:rsidRPr="00A415D3">
        <w:t xml:space="preserve"> regain</w:t>
      </w:r>
      <w:r w:rsidR="00A7107F" w:rsidRPr="00A415D3">
        <w:t>ed</w:t>
      </w:r>
      <w:r w:rsidRPr="00A415D3">
        <w:t xml:space="preserve"> competency within two years of the date of commitment, </w:t>
      </w:r>
      <w:r w:rsidR="00417180" w:rsidRPr="00A415D3">
        <w:t>the defendant</w:t>
      </w:r>
      <w:r w:rsidRPr="00A415D3">
        <w:t xml:space="preserve"> </w:t>
      </w:r>
      <w:r w:rsidR="002F2C4A" w:rsidRPr="00A415D3">
        <w:t>is either</w:t>
      </w:r>
      <w:r w:rsidRPr="00A415D3">
        <w:t xml:space="preserve"> released or subject to civil </w:t>
      </w:r>
      <w:r w:rsidR="00417180" w:rsidRPr="00A415D3">
        <w:t xml:space="preserve">conservatorship </w:t>
      </w:r>
      <w:r w:rsidRPr="00A415D3">
        <w:t>proceedings.</w:t>
      </w:r>
      <w:r w:rsidR="005660D9" w:rsidRPr="00A415D3">
        <w:t xml:space="preserve">  (See § 1370, subd. (c); </w:t>
      </w:r>
      <w:r w:rsidR="005660D9" w:rsidRPr="00A415D3">
        <w:rPr>
          <w:i/>
          <w:iCs/>
        </w:rPr>
        <w:t>Jackson v. Superior Court</w:t>
      </w:r>
      <w:r w:rsidR="005660D9" w:rsidRPr="00A415D3">
        <w:t xml:space="preserve">, </w:t>
      </w:r>
      <w:r w:rsidR="005660D9" w:rsidRPr="00A415D3">
        <w:rPr>
          <w:i/>
          <w:iCs/>
        </w:rPr>
        <w:t>supra</w:t>
      </w:r>
      <w:r w:rsidR="005660D9" w:rsidRPr="00A415D3">
        <w:t>, 4 Cal.5th at p. 102.)</w:t>
      </w:r>
    </w:p>
    <w:p w14:paraId="3F29F0D2" w14:textId="77777777" w:rsidR="003E6DAD" w:rsidRPr="00A415D3" w:rsidRDefault="00AE6959" w:rsidP="00560442">
      <w:pPr>
        <w:pStyle w:val="Heading2"/>
        <w:numPr>
          <w:ilvl w:val="0"/>
          <w:numId w:val="2"/>
        </w:numPr>
      </w:pPr>
      <w:r w:rsidRPr="00A415D3">
        <w:t xml:space="preserve">Determining </w:t>
      </w:r>
      <w:r w:rsidR="0046102F" w:rsidRPr="00A415D3">
        <w:t>Whether a Commitment Continues Past the Filing of a Certificate of Restoration</w:t>
      </w:r>
    </w:p>
    <w:p w14:paraId="3F29F0D3" w14:textId="77777777" w:rsidR="00944765" w:rsidRPr="00A415D3" w:rsidRDefault="00AE6959" w:rsidP="00560442">
      <w:pPr>
        <w:ind w:firstLine="720"/>
      </w:pPr>
      <w:r w:rsidRPr="00A415D3">
        <w:t>Because it involves</w:t>
      </w:r>
      <w:r w:rsidR="003B38B5" w:rsidRPr="00A415D3">
        <w:t xml:space="preserve"> </w:t>
      </w:r>
      <w:r w:rsidRPr="00A415D3">
        <w:t>a pure question of law, w</w:t>
      </w:r>
      <w:r w:rsidR="00997EEE" w:rsidRPr="00A415D3">
        <w:t xml:space="preserve">e review de novo the Court of Appeal’s </w:t>
      </w:r>
      <w:r w:rsidR="003B38B5" w:rsidRPr="00A415D3">
        <w:t>conclusion</w:t>
      </w:r>
      <w:r w:rsidRPr="00A415D3">
        <w:t xml:space="preserve"> that </w:t>
      </w:r>
      <w:r w:rsidR="00417180" w:rsidRPr="00A415D3">
        <w:t xml:space="preserve">the </w:t>
      </w:r>
      <w:r w:rsidRPr="00A415D3">
        <w:t>filin</w:t>
      </w:r>
      <w:r w:rsidRPr="00A415D3">
        <w:t xml:space="preserve">g of a certificate of </w:t>
      </w:r>
      <w:r w:rsidR="005660D9" w:rsidRPr="00A415D3">
        <w:t>restoration</w:t>
      </w:r>
      <w:r w:rsidRPr="00A415D3">
        <w:t xml:space="preserve"> terminates an incompetency commitment</w:t>
      </w:r>
      <w:r w:rsidR="00997EEE" w:rsidRPr="00A415D3">
        <w:t xml:space="preserve">.  (See, e.g., </w:t>
      </w:r>
      <w:r w:rsidR="00997EEE" w:rsidRPr="00A415D3">
        <w:rPr>
          <w:i/>
          <w:iCs/>
        </w:rPr>
        <w:t>Rells</w:t>
      </w:r>
      <w:r w:rsidR="00997EEE" w:rsidRPr="00A415D3">
        <w:t xml:space="preserve">, </w:t>
      </w:r>
      <w:r w:rsidR="00997EEE" w:rsidRPr="00A415D3">
        <w:rPr>
          <w:i/>
          <w:iCs/>
        </w:rPr>
        <w:t>supra</w:t>
      </w:r>
      <w:r w:rsidR="00997EEE" w:rsidRPr="00A415D3">
        <w:t>, 22 Cal.4th at p.</w:t>
      </w:r>
      <w:r w:rsidR="008918C6" w:rsidRPr="00A415D3">
        <w:t> </w:t>
      </w:r>
      <w:r w:rsidR="00997EEE" w:rsidRPr="00A415D3">
        <w:t>870</w:t>
      </w:r>
      <w:r w:rsidRPr="00A415D3">
        <w:t xml:space="preserve">.)  </w:t>
      </w:r>
      <w:r w:rsidR="002A5C06" w:rsidRPr="00A415D3">
        <w:t xml:space="preserve">In </w:t>
      </w:r>
      <w:r w:rsidR="003B38B5" w:rsidRPr="00A415D3">
        <w:t>interpret</w:t>
      </w:r>
      <w:r w:rsidR="002A5C06" w:rsidRPr="00A415D3">
        <w:t>ing</w:t>
      </w:r>
      <w:r w:rsidR="003B38B5" w:rsidRPr="00A415D3">
        <w:t xml:space="preserve"> the </w:t>
      </w:r>
      <w:r w:rsidR="00BA3803" w:rsidRPr="00A415D3">
        <w:t xml:space="preserve">competency </w:t>
      </w:r>
      <w:r w:rsidR="003B38B5" w:rsidRPr="00A415D3">
        <w:t xml:space="preserve">statutory scheme, </w:t>
      </w:r>
      <w:r w:rsidR="006A5640" w:rsidRPr="00A415D3">
        <w:t>“ ‘</w:t>
      </w:r>
      <w:r w:rsidR="00CD0EEC" w:rsidRPr="00A415D3">
        <w:t>[O]</w:t>
      </w:r>
      <w:r w:rsidR="006A5640" w:rsidRPr="00A415D3">
        <w:t>ur task is to ascertain the intent of the Legislature so as to effectuate the purpose of the enactment.  [Citation.]  We look first to the words of the statute, which are the most reliable indications of the Legislature’</w:t>
      </w:r>
      <w:r w:rsidR="00417180" w:rsidRPr="00A415D3">
        <w:t>s</w:t>
      </w:r>
      <w:r w:rsidR="006A5640" w:rsidRPr="00A415D3">
        <w:t xml:space="preserve"> intent.  [Citation.]  We construe the words of a statute in context, and harmonize the various parts of an enactment by considering the provision at issue in the context of the statutory framework as a whole.’ ”  (</w:t>
      </w:r>
      <w:r w:rsidR="006A5640" w:rsidRPr="00A415D3">
        <w:rPr>
          <w:i/>
          <w:iCs/>
        </w:rPr>
        <w:t>Kim v. Reins International California, Inc.</w:t>
      </w:r>
      <w:r w:rsidR="006A5640" w:rsidRPr="00A415D3">
        <w:t> (2020) 9</w:t>
      </w:r>
      <w:r w:rsidR="008918C6" w:rsidRPr="00A415D3">
        <w:t> </w:t>
      </w:r>
      <w:r w:rsidR="006A5640" w:rsidRPr="00A415D3">
        <w:t>Cal.5th 73, 83</w:t>
      </w:r>
      <w:r w:rsidR="00660BC6" w:rsidRPr="00A415D3">
        <w:t xml:space="preserve"> (</w:t>
      </w:r>
      <w:r w:rsidR="00660BC6" w:rsidRPr="00A415D3">
        <w:rPr>
          <w:i/>
          <w:iCs/>
        </w:rPr>
        <w:t>Kim</w:t>
      </w:r>
      <w:r w:rsidR="00660BC6" w:rsidRPr="00A415D3">
        <w:t>)</w:t>
      </w:r>
      <w:r w:rsidR="006A5640" w:rsidRPr="00A415D3">
        <w:t>.)  If “</w:t>
      </w:r>
      <w:r w:rsidR="00EC10FB" w:rsidRPr="00A415D3">
        <w:t> </w:t>
      </w:r>
      <w:r w:rsidR="006A5640" w:rsidRPr="00A415D3">
        <w:t>‘the [statutory] language supports more than one reasonable construction, then we may look to extrinsic aids, including the ostensible objects to be achieved and the legislative history.’ ”  (</w:t>
      </w:r>
      <w:r w:rsidR="006A5640" w:rsidRPr="00A415D3">
        <w:rPr>
          <w:i/>
          <w:iCs/>
        </w:rPr>
        <w:t>Ibid</w:t>
      </w:r>
      <w:r w:rsidR="006A5640" w:rsidRPr="00A415D3">
        <w:t>.)</w:t>
      </w:r>
    </w:p>
    <w:p w14:paraId="3F29F0D4" w14:textId="77777777" w:rsidR="0045678D" w:rsidRPr="00A415D3" w:rsidRDefault="00AE6959" w:rsidP="00560442">
      <w:pPr>
        <w:pStyle w:val="Heading3"/>
        <w:numPr>
          <w:ilvl w:val="0"/>
          <w:numId w:val="8"/>
        </w:numPr>
        <w:ind w:left="1584" w:hanging="432"/>
      </w:pPr>
      <w:r w:rsidRPr="00A415D3">
        <w:t xml:space="preserve">The </w:t>
      </w:r>
      <w:r w:rsidR="00617F47" w:rsidRPr="00A415D3">
        <w:t xml:space="preserve">Statutory </w:t>
      </w:r>
      <w:r w:rsidRPr="00A415D3">
        <w:t>Text</w:t>
      </w:r>
      <w:r w:rsidR="00B17CB9" w:rsidRPr="00A415D3">
        <w:t xml:space="preserve"> </w:t>
      </w:r>
      <w:r w:rsidR="00335AB9" w:rsidRPr="00A415D3">
        <w:t xml:space="preserve">Is More </w:t>
      </w:r>
      <w:r w:rsidR="00B17CB9" w:rsidRPr="00A415D3">
        <w:t>Consistent with</w:t>
      </w:r>
      <w:r w:rsidRPr="00A415D3">
        <w:t xml:space="preserve"> Rodriguez’s Position</w:t>
      </w:r>
      <w:r w:rsidR="00B82FFF" w:rsidRPr="00A415D3">
        <w:t xml:space="preserve"> than the People’s </w:t>
      </w:r>
    </w:p>
    <w:p w14:paraId="3F29F0D5" w14:textId="77777777" w:rsidR="00B46884" w:rsidRPr="00A415D3" w:rsidRDefault="00AE6959" w:rsidP="005D5753">
      <w:pPr>
        <w:pStyle w:val="NormalIndent"/>
        <w:ind w:left="0" w:firstLine="720"/>
      </w:pPr>
      <w:r w:rsidRPr="00A415D3">
        <w:t>“T</w:t>
      </w:r>
      <w:r w:rsidR="009C1A66" w:rsidRPr="00A415D3">
        <w:t>he relevant statutes do not explicitly state the point at which an incompetency commitment ends</w:t>
      </w:r>
      <w:r w:rsidR="009A124B" w:rsidRPr="00A415D3">
        <w:t xml:space="preserve">” </w:t>
      </w:r>
      <w:r w:rsidRPr="00A415D3">
        <w:t xml:space="preserve">when a certificate of restoration has been timely filed.  </w:t>
      </w:r>
      <w:r w:rsidR="000656B7" w:rsidRPr="00A415D3">
        <w:t>(</w:t>
      </w:r>
      <w:r w:rsidR="009C1A66" w:rsidRPr="00A415D3">
        <w:rPr>
          <w:i/>
          <w:iCs/>
        </w:rPr>
        <w:t>Carr</w:t>
      </w:r>
      <w:r w:rsidR="009C1A66" w:rsidRPr="00A415D3">
        <w:t xml:space="preserve">, </w:t>
      </w:r>
      <w:r w:rsidR="009C1A66" w:rsidRPr="00A415D3">
        <w:rPr>
          <w:i/>
          <w:iCs/>
        </w:rPr>
        <w:t>supra</w:t>
      </w:r>
      <w:r w:rsidR="009C1A66" w:rsidRPr="00A415D3">
        <w:t>, 59 Cal.App.5th at p. 1144</w:t>
      </w:r>
      <w:r w:rsidRPr="00A415D3">
        <w:t>.</w:t>
      </w:r>
      <w:r w:rsidR="000656B7" w:rsidRPr="00A415D3">
        <w:t>)</w:t>
      </w:r>
      <w:r w:rsidR="003472FA" w:rsidRPr="00A415D3">
        <w:t xml:space="preserve"> </w:t>
      </w:r>
      <w:r w:rsidRPr="00A415D3">
        <w:t xml:space="preserve"> That is, section 1370(c)(1) does not expressly specify when a commitment ends for a defendant who has been certified as restored to competence.  Likewise, section 1</w:t>
      </w:r>
      <w:r w:rsidR="001E330E" w:rsidRPr="00A415D3">
        <w:t>3</w:t>
      </w:r>
      <w:r w:rsidRPr="00A415D3">
        <w:t>72</w:t>
      </w:r>
      <w:r w:rsidR="00705BF3" w:rsidRPr="00A415D3">
        <w:t> </w:t>
      </w:r>
      <w:r w:rsidRPr="00A415D3">
        <w:t xml:space="preserve">— the provision pertaining </w:t>
      </w:r>
      <w:r w:rsidR="00B24567" w:rsidRPr="00A415D3">
        <w:t xml:space="preserve">to </w:t>
      </w:r>
      <w:r w:rsidRPr="00A415D3">
        <w:t>certificates of restoration of competence</w:t>
      </w:r>
      <w:r w:rsidR="00705BF3" w:rsidRPr="00A415D3">
        <w:t> </w:t>
      </w:r>
      <w:r w:rsidRPr="00A415D3">
        <w:t xml:space="preserve">— is silent </w:t>
      </w:r>
      <w:r w:rsidR="00CE3F01" w:rsidRPr="00A415D3">
        <w:t>regarding</w:t>
      </w:r>
      <w:r w:rsidRPr="00A415D3">
        <w:t xml:space="preserve"> how the issuance of the certificate affects the running of the two-year maximum period of </w:t>
      </w:r>
      <w:r w:rsidR="00EA38A6" w:rsidRPr="00A415D3">
        <w:t>commitmen</w:t>
      </w:r>
      <w:r w:rsidRPr="00A415D3">
        <w:t xml:space="preserve">t.  </w:t>
      </w:r>
    </w:p>
    <w:p w14:paraId="3F29F0D6" w14:textId="77777777" w:rsidR="00B46884" w:rsidRPr="00A415D3" w:rsidRDefault="00AE6959" w:rsidP="005D5753">
      <w:pPr>
        <w:pStyle w:val="NormalIndent"/>
        <w:ind w:left="0" w:firstLine="720"/>
      </w:pPr>
      <w:r w:rsidRPr="00A415D3">
        <w:t xml:space="preserve">Nonetheless, </w:t>
      </w:r>
      <w:r w:rsidR="006E6EB9" w:rsidRPr="00A415D3">
        <w:t xml:space="preserve">as </w:t>
      </w:r>
      <w:r w:rsidRPr="00A415D3">
        <w:t xml:space="preserve">we explain below, the crucial competency assessments before and after the filing of the certificate of restoration require </w:t>
      </w:r>
      <w:r w:rsidRPr="00A415D3">
        <w:rPr>
          <w:i/>
          <w:iCs/>
        </w:rPr>
        <w:t>judici</w:t>
      </w:r>
      <w:r w:rsidRPr="00A415D3">
        <w:rPr>
          <w:i/>
          <w:iCs/>
        </w:rPr>
        <w:t>al</w:t>
      </w:r>
      <w:r w:rsidRPr="00A415D3">
        <w:t xml:space="preserve"> action and approval.  The “legal force and effect” of the “filing of the certificate” is simply to “cause[] the defendant to be returned to court for further proceedings” (</w:t>
      </w:r>
      <w:r w:rsidRPr="00A415D3">
        <w:rPr>
          <w:i/>
          <w:iCs/>
        </w:rPr>
        <w:t>Rells</w:t>
      </w:r>
      <w:r w:rsidR="00586334" w:rsidRPr="00A415D3">
        <w:t xml:space="preserve">, </w:t>
      </w:r>
      <w:r w:rsidR="00586334" w:rsidRPr="00A415D3">
        <w:rPr>
          <w:i/>
          <w:iCs/>
        </w:rPr>
        <w:t>supra</w:t>
      </w:r>
      <w:r w:rsidR="00586334" w:rsidRPr="00A415D3">
        <w:t xml:space="preserve">, </w:t>
      </w:r>
      <w:r w:rsidRPr="00A415D3">
        <w:t xml:space="preserve">22 Cal.4th </w:t>
      </w:r>
      <w:r w:rsidR="00586334" w:rsidRPr="00A415D3">
        <w:t>at p. </w:t>
      </w:r>
      <w:r w:rsidRPr="00A415D3">
        <w:t>868; see also § 1372, subd. (a)), and even that re</w:t>
      </w:r>
      <w:r w:rsidRPr="00A415D3">
        <w:t>turn occurs pursuant to a court order.  (See § 1370, subd. (a)(1)(C); § 1372, subd. (a)(2).)  When the court’s central role in competency proceedings is juxtaposed against the limited significance of a certificate of restoration, we conclude the Legislatur</w:t>
      </w:r>
      <w:r w:rsidRPr="00A415D3">
        <w:t>e did not intend for the filing of a certificate to “fix[] . . . the end date for calculation of the commitment treatment period under section 1370(c)(1),” as the court below concluded.  (</w:t>
      </w:r>
      <w:r w:rsidRPr="00A415D3">
        <w:rPr>
          <w:i/>
          <w:iCs/>
        </w:rPr>
        <w:t>Rodriguez</w:t>
      </w:r>
      <w:r w:rsidRPr="00A415D3">
        <w:t xml:space="preserve">, </w:t>
      </w:r>
      <w:r w:rsidRPr="00A415D3">
        <w:rPr>
          <w:i/>
          <w:iCs/>
        </w:rPr>
        <w:t>supra</w:t>
      </w:r>
      <w:r w:rsidRPr="00A415D3">
        <w:t>, 70 Cal.App.5th at p. 652.)</w:t>
      </w:r>
    </w:p>
    <w:p w14:paraId="3F29F0D7" w14:textId="77777777" w:rsidR="00551B99" w:rsidRPr="00A415D3" w:rsidRDefault="00AE6959" w:rsidP="00560442">
      <w:pPr>
        <w:pStyle w:val="Heading4"/>
        <w:numPr>
          <w:ilvl w:val="0"/>
          <w:numId w:val="9"/>
        </w:numPr>
        <w:ind w:left="2016" w:hanging="432"/>
        <w:rPr>
          <w:i w:val="0"/>
          <w:iCs/>
        </w:rPr>
      </w:pPr>
      <w:r w:rsidRPr="00A415D3">
        <w:t xml:space="preserve">The </w:t>
      </w:r>
      <w:r w:rsidR="002576CC" w:rsidRPr="00A415D3">
        <w:t>s</w:t>
      </w:r>
      <w:r w:rsidRPr="00A415D3">
        <w:t xml:space="preserve">tatutory </w:t>
      </w:r>
      <w:r w:rsidR="0020723B" w:rsidRPr="00A415D3">
        <w:t>t</w:t>
      </w:r>
      <w:r w:rsidRPr="00A415D3">
        <w:t xml:space="preserve">ext </w:t>
      </w:r>
      <w:r w:rsidR="00B17CB9" w:rsidRPr="00A415D3">
        <w:t xml:space="preserve">suggests that the two-year clock of section 1370(c)(1) does not stop </w:t>
      </w:r>
      <w:r w:rsidR="00625E3A" w:rsidRPr="00A415D3">
        <w:t>with the</w:t>
      </w:r>
      <w:r w:rsidR="00B17CB9" w:rsidRPr="00A415D3">
        <w:t xml:space="preserve"> filing of a certificate of restoration</w:t>
      </w:r>
    </w:p>
    <w:p w14:paraId="3F29F0D8" w14:textId="77777777" w:rsidR="006E6EB9" w:rsidRPr="00A415D3" w:rsidRDefault="00AE6959" w:rsidP="00560442">
      <w:pPr>
        <w:pStyle w:val="NormalIndent"/>
        <w:ind w:left="0" w:firstLine="720"/>
      </w:pPr>
      <w:r w:rsidRPr="00A415D3">
        <w:t>We begin, “as always, with the text” of the relevant statutes.</w:t>
      </w:r>
      <w:r w:rsidRPr="00A415D3">
        <w:rPr>
          <w:rFonts w:ascii="Source Sans Pro" w:hAnsi="Source Sans Pro"/>
          <w:sz w:val="24"/>
          <w:szCs w:val="24"/>
        </w:rPr>
        <w:t xml:space="preserve">  (</w:t>
      </w:r>
      <w:r w:rsidRPr="00A415D3">
        <w:rPr>
          <w:i/>
          <w:iCs/>
        </w:rPr>
        <w:t>Villanueva v. Fidelity National Title Co.</w:t>
      </w:r>
      <w:r w:rsidRPr="00A415D3">
        <w:t xml:space="preserve"> (2021) 11</w:t>
      </w:r>
      <w:r w:rsidR="00266049" w:rsidRPr="00A415D3">
        <w:t> </w:t>
      </w:r>
      <w:r w:rsidRPr="00A415D3">
        <w:t xml:space="preserve">Cal.5th 104, 114.)  </w:t>
      </w:r>
    </w:p>
    <w:p w14:paraId="3F29F0D9" w14:textId="77777777" w:rsidR="00962FF8" w:rsidRPr="00A415D3" w:rsidRDefault="00AE6959" w:rsidP="006454C6">
      <w:pPr>
        <w:pStyle w:val="NormalIndent"/>
        <w:ind w:left="0" w:firstLine="720"/>
      </w:pPr>
      <w:r w:rsidRPr="00A415D3">
        <w:t>S</w:t>
      </w:r>
      <w:r w:rsidR="009A124B" w:rsidRPr="00A415D3">
        <w:t>ection 1370(c)(1) provides that “[a]t the end of two years from the date of commitment . . . but no later than 90</w:t>
      </w:r>
      <w:r w:rsidR="00FF6A24" w:rsidRPr="00A415D3">
        <w:t> </w:t>
      </w:r>
      <w:r w:rsidR="009A124B" w:rsidRPr="00A415D3">
        <w:t>days prior to the expiration of the defendant’s term of commitment</w:t>
      </w:r>
      <w:r w:rsidR="00B40E51" w:rsidRPr="00A415D3">
        <w:t>,</w:t>
      </w:r>
      <w:r w:rsidR="009A124B" w:rsidRPr="00A415D3">
        <w:t xml:space="preserve"> a defendant who has not recovered mental competence shall be returned to the committing court</w:t>
      </w:r>
      <w:r w:rsidR="00364148" w:rsidRPr="00A415D3">
        <w:t>.</w:t>
      </w:r>
      <w:r w:rsidR="009A124B" w:rsidRPr="00A415D3">
        <w:t xml:space="preserve">” </w:t>
      </w:r>
      <w:r w:rsidR="00364148" w:rsidRPr="00A415D3">
        <w:t xml:space="preserve"> </w:t>
      </w:r>
      <w:r w:rsidR="00241D69" w:rsidRPr="00A415D3">
        <w:t>E</w:t>
      </w:r>
      <w:r w:rsidR="00364148" w:rsidRPr="00A415D3">
        <w:t xml:space="preserve">ven when a certificate of restoration </w:t>
      </w:r>
      <w:r w:rsidR="000E2BFA" w:rsidRPr="00A415D3">
        <w:t xml:space="preserve">of </w:t>
      </w:r>
      <w:r w:rsidR="00364148" w:rsidRPr="00A415D3">
        <w:t>competency has been filed, it is the court’s decision whether to accept a certificate that determines whether criminal proceedings may resume, or whether</w:t>
      </w:r>
      <w:r w:rsidR="00EC10FB" w:rsidRPr="00A415D3">
        <w:t> </w:t>
      </w:r>
      <w:r w:rsidR="00364148" w:rsidRPr="00A415D3">
        <w:t>— if the two-year timeframe has not elapsed</w:t>
      </w:r>
      <w:r w:rsidR="00EC10FB" w:rsidRPr="00A415D3">
        <w:t> </w:t>
      </w:r>
      <w:r w:rsidR="00364148" w:rsidRPr="00A415D3">
        <w:t>—</w:t>
      </w:r>
      <w:r w:rsidR="004B081A" w:rsidRPr="00A415D3">
        <w:t xml:space="preserve"> </w:t>
      </w:r>
      <w:r w:rsidR="00364148" w:rsidRPr="00A415D3">
        <w:t>further treatment is required instead.</w:t>
      </w:r>
      <w:r w:rsidR="0062351F" w:rsidRPr="00A415D3">
        <w:t xml:space="preserve">  A</w:t>
      </w:r>
      <w:r w:rsidR="00C11812" w:rsidRPr="00A415D3">
        <w:t xml:space="preserve"> finding that a defendant</w:t>
      </w:r>
      <w:r w:rsidR="00FF29CA" w:rsidRPr="00A415D3">
        <w:t xml:space="preserve"> </w:t>
      </w:r>
      <w:r w:rsidR="008A321B" w:rsidRPr="00A415D3">
        <w:t>has recovered mental competenc</w:t>
      </w:r>
      <w:r w:rsidR="00F22BDB" w:rsidRPr="00A415D3">
        <w:t>y</w:t>
      </w:r>
      <w:r w:rsidR="00A30DD3" w:rsidRPr="00A415D3">
        <w:t xml:space="preserve"> </w:t>
      </w:r>
      <w:r w:rsidR="00FF29CA" w:rsidRPr="00A415D3">
        <w:t>requires a court</w:t>
      </w:r>
      <w:r w:rsidR="00E131B6" w:rsidRPr="00A415D3">
        <w:t xml:space="preserve"> </w:t>
      </w:r>
      <w:r w:rsidR="00FF29CA" w:rsidRPr="00A415D3">
        <w:t>order</w:t>
      </w:r>
      <w:r w:rsidR="0062351F" w:rsidRPr="00A415D3">
        <w:t>, and</w:t>
      </w:r>
      <w:r w:rsidR="008A321B" w:rsidRPr="00A415D3">
        <w:t xml:space="preserve"> </w:t>
      </w:r>
      <w:r w:rsidR="00011FD9" w:rsidRPr="00A415D3">
        <w:t xml:space="preserve">the court </w:t>
      </w:r>
      <w:r w:rsidR="0071083B" w:rsidRPr="00A415D3">
        <w:t>must act to approve the certificate of restoration even</w:t>
      </w:r>
      <w:r w:rsidR="00FF29CA" w:rsidRPr="00A415D3">
        <w:t xml:space="preserve"> when </w:t>
      </w:r>
      <w:r w:rsidR="0091474F" w:rsidRPr="00A415D3">
        <w:t xml:space="preserve">not </w:t>
      </w:r>
      <w:r w:rsidR="008A321B" w:rsidRPr="00A415D3">
        <w:t>contest</w:t>
      </w:r>
      <w:r w:rsidR="0091474F" w:rsidRPr="00A415D3">
        <w:t>ed</w:t>
      </w:r>
      <w:r w:rsidR="00FF29CA" w:rsidRPr="00A415D3">
        <w:t xml:space="preserve"> </w:t>
      </w:r>
      <w:r w:rsidR="0091474F" w:rsidRPr="00A415D3">
        <w:t>by the parties</w:t>
      </w:r>
      <w:r w:rsidR="0062351F" w:rsidRPr="00A415D3">
        <w:t xml:space="preserve">.  </w:t>
      </w:r>
      <w:r w:rsidR="00001BDC" w:rsidRPr="00A415D3">
        <w:t>(See § 1372, subds.</w:t>
      </w:r>
      <w:r w:rsidR="0091474F" w:rsidRPr="00A415D3">
        <w:t> </w:t>
      </w:r>
      <w:r w:rsidR="00001BDC" w:rsidRPr="00A415D3">
        <w:t>(c)</w:t>
      </w:r>
      <w:r w:rsidR="00CF0262" w:rsidRPr="00A415D3">
        <w:t>,</w:t>
      </w:r>
      <w:r w:rsidR="00001BDC" w:rsidRPr="00A415D3">
        <w:t xml:space="preserve"> (d).)  </w:t>
      </w:r>
      <w:r w:rsidR="00B8623D" w:rsidRPr="00A415D3">
        <w:t>Moreover, b</w:t>
      </w:r>
      <w:r w:rsidR="00A50598" w:rsidRPr="00A415D3">
        <w:t xml:space="preserve">efore the court adjudicates </w:t>
      </w:r>
      <w:r w:rsidR="004B16B4" w:rsidRPr="00A415D3">
        <w:t xml:space="preserve">a defendant </w:t>
      </w:r>
      <w:r w:rsidR="00A50598" w:rsidRPr="00A415D3">
        <w:t xml:space="preserve">competent, </w:t>
      </w:r>
      <w:r w:rsidR="004B16B4" w:rsidRPr="00A415D3">
        <w:t>the defendant cannot</w:t>
      </w:r>
      <w:r w:rsidR="00A50598" w:rsidRPr="00A415D3">
        <w:t xml:space="preserve"> seek bail or otherwise challenge the underlying </w:t>
      </w:r>
      <w:r w:rsidR="0091474F" w:rsidRPr="00A415D3">
        <w:t xml:space="preserve">charges </w:t>
      </w:r>
      <w:r w:rsidR="00A50598" w:rsidRPr="00A415D3">
        <w:t>because criminal proceedings remain suspended.  (See</w:t>
      </w:r>
      <w:r w:rsidR="00A30DD3" w:rsidRPr="00A415D3">
        <w:t xml:space="preserve"> §</w:t>
      </w:r>
      <w:r w:rsidR="00DF0841" w:rsidRPr="00A415D3">
        <w:t>§</w:t>
      </w:r>
      <w:r w:rsidR="00A30DD3" w:rsidRPr="00A415D3">
        <w:t> 137</w:t>
      </w:r>
      <w:r w:rsidR="00E07482" w:rsidRPr="00A415D3">
        <w:t>2</w:t>
      </w:r>
      <w:r w:rsidR="00A30DD3" w:rsidRPr="00A415D3">
        <w:t xml:space="preserve">, </w:t>
      </w:r>
      <w:r w:rsidR="00E07482" w:rsidRPr="00A415D3">
        <w:t>subd. (d)</w:t>
      </w:r>
      <w:r w:rsidR="00B40E51" w:rsidRPr="00A415D3">
        <w:t>,</w:t>
      </w:r>
      <w:r w:rsidR="0003508D" w:rsidRPr="00A415D3">
        <w:t xml:space="preserve"> </w:t>
      </w:r>
      <w:r w:rsidR="00E07482" w:rsidRPr="00A415D3">
        <w:t xml:space="preserve">1370, </w:t>
      </w:r>
      <w:r w:rsidR="00A30DD3" w:rsidRPr="00A415D3">
        <w:t>subd. (a)(1)</w:t>
      </w:r>
      <w:r w:rsidR="00A50598" w:rsidRPr="00A415D3">
        <w:t xml:space="preserve">.)  </w:t>
      </w:r>
      <w:r w:rsidR="00364148" w:rsidRPr="00A415D3">
        <w:t xml:space="preserve">This array of procedures </w:t>
      </w:r>
      <w:r w:rsidR="005D5753" w:rsidRPr="00A415D3">
        <w:t xml:space="preserve">suggests that until the court </w:t>
      </w:r>
      <w:r w:rsidR="00FF6A24" w:rsidRPr="00A415D3">
        <w:t>decides</w:t>
      </w:r>
      <w:r w:rsidR="005D5753" w:rsidRPr="00A415D3">
        <w:t xml:space="preserve"> whether to accept a certificate, the two-year clock on an incompetency commitment (§ 1370(c)(1))</w:t>
      </w:r>
      <w:r w:rsidR="00392A1E" w:rsidRPr="00A415D3">
        <w:t xml:space="preserve"> </w:t>
      </w:r>
      <w:r w:rsidR="00406DFE" w:rsidRPr="00A415D3">
        <w:t xml:space="preserve">has not </w:t>
      </w:r>
      <w:r w:rsidR="005D5753" w:rsidRPr="00A415D3">
        <w:t>stopped</w:t>
      </w:r>
      <w:r w:rsidR="004B16B4" w:rsidRPr="00A415D3">
        <w:t>.</w:t>
      </w:r>
    </w:p>
    <w:p w14:paraId="3F29F0DA" w14:textId="77777777" w:rsidR="00A70354" w:rsidRPr="00A415D3" w:rsidRDefault="00AE6959" w:rsidP="008B7E5D">
      <w:pPr>
        <w:pStyle w:val="NormalIndent"/>
        <w:ind w:left="0" w:firstLine="720"/>
      </w:pPr>
      <w:r w:rsidRPr="00A415D3">
        <w:t xml:space="preserve">Section 1370(c)(1) also requires the defendant’s return to court 90 days before the expiration of </w:t>
      </w:r>
      <w:r w:rsidR="007612A9" w:rsidRPr="00A415D3">
        <w:t xml:space="preserve">the </w:t>
      </w:r>
      <w:r w:rsidRPr="00A415D3">
        <w:t xml:space="preserve">maximum two-year commitment period.  The reservation of a 90-day period cannot be wholly explained by the time it </w:t>
      </w:r>
      <w:r w:rsidR="0091474F" w:rsidRPr="00A415D3">
        <w:t>should</w:t>
      </w:r>
      <w:r w:rsidRPr="00A415D3">
        <w:t xml:space="preserve"> take to transport the defendant. </w:t>
      </w:r>
      <w:r w:rsidRPr="00A415D3">
        <w:t xml:space="preserve"> Section</w:t>
      </w:r>
      <w:r w:rsidR="00F22BDB" w:rsidRPr="00A415D3">
        <w:t> </w:t>
      </w:r>
      <w:r w:rsidRPr="00A415D3">
        <w:t xml:space="preserve">1370 makes clear that </w:t>
      </w:r>
      <w:r w:rsidR="00F22BDB" w:rsidRPr="00A415D3">
        <w:t xml:space="preserve">the defendant must be </w:t>
      </w:r>
      <w:r w:rsidRPr="00A415D3">
        <w:t>transport</w:t>
      </w:r>
      <w:r w:rsidR="00F22BDB" w:rsidRPr="00A415D3">
        <w:t>ed</w:t>
      </w:r>
      <w:r w:rsidRPr="00A415D3">
        <w:t xml:space="preserve"> “without delay” </w:t>
      </w:r>
      <w:r w:rsidR="00C51B1D" w:rsidRPr="00A415D3">
        <w:t>(§ 1370(c)(1)</w:t>
      </w:r>
      <w:r w:rsidR="008B7E5D" w:rsidRPr="00A415D3">
        <w:t>)</w:t>
      </w:r>
      <w:r w:rsidR="00C51B1D" w:rsidRPr="00A415D3">
        <w:t xml:space="preserve">, </w:t>
      </w:r>
      <w:r w:rsidRPr="00A415D3">
        <w:t>“immediate[ly]”</w:t>
      </w:r>
      <w:r w:rsidR="008B7E5D" w:rsidRPr="00A415D3">
        <w:t xml:space="preserve"> (</w:t>
      </w:r>
      <w:r w:rsidR="008B7E5D" w:rsidRPr="00A415D3">
        <w:rPr>
          <w:i/>
          <w:iCs/>
        </w:rPr>
        <w:t>id</w:t>
      </w:r>
      <w:r w:rsidR="008B7E5D" w:rsidRPr="00A415D3">
        <w:t xml:space="preserve">., subd. (c)(2)(A)), </w:t>
      </w:r>
      <w:r w:rsidRPr="00A415D3">
        <w:t>and most concretely, “within 10</w:t>
      </w:r>
      <w:r w:rsidR="00F22BDB" w:rsidRPr="00A415D3">
        <w:t> </w:t>
      </w:r>
      <w:r w:rsidRPr="00A415D3">
        <w:t>calendar days”</w:t>
      </w:r>
      <w:r w:rsidR="008B7E5D" w:rsidRPr="00A415D3">
        <w:t xml:space="preserve"> (</w:t>
      </w:r>
      <w:r w:rsidRPr="00A415D3">
        <w:rPr>
          <w:i/>
          <w:iCs/>
        </w:rPr>
        <w:t>id</w:t>
      </w:r>
      <w:r w:rsidRPr="00A415D3">
        <w:t>., subd.</w:t>
      </w:r>
      <w:r w:rsidR="00F53E6F" w:rsidRPr="00A415D3">
        <w:t> </w:t>
      </w:r>
      <w:r w:rsidRPr="00A415D3">
        <w:t>(c)(2)(B)</w:t>
      </w:r>
      <w:r w:rsidR="008B7E5D" w:rsidRPr="00A415D3">
        <w:t xml:space="preserve">).  </w:t>
      </w:r>
      <w:r w:rsidRPr="00A415D3">
        <w:t xml:space="preserve">The </w:t>
      </w:r>
      <w:r w:rsidR="001761EA" w:rsidRPr="00A415D3">
        <w:t>statute</w:t>
      </w:r>
      <w:r w:rsidRPr="00A415D3">
        <w:t xml:space="preserve"> thus allows </w:t>
      </w:r>
      <w:r w:rsidR="001761EA" w:rsidRPr="00A415D3">
        <w:t xml:space="preserve">time for </w:t>
      </w:r>
      <w:r w:rsidRPr="00A415D3">
        <w:t>necessary subs</w:t>
      </w:r>
      <w:r w:rsidRPr="00A415D3">
        <w:t xml:space="preserve">equent judicial proceedings to be </w:t>
      </w:r>
      <w:r w:rsidR="0091474F" w:rsidRPr="00A415D3">
        <w:t xml:space="preserve">completed </w:t>
      </w:r>
      <w:r w:rsidRPr="00A415D3">
        <w:t xml:space="preserve">before </w:t>
      </w:r>
      <w:r w:rsidR="00F53E6F" w:rsidRPr="00A415D3">
        <w:t xml:space="preserve">reaching </w:t>
      </w:r>
      <w:r w:rsidRPr="00A415D3">
        <w:t>the maximum period of commitment.</w:t>
      </w:r>
    </w:p>
    <w:p w14:paraId="3F29F0DB" w14:textId="77777777" w:rsidR="001761EA" w:rsidRPr="00A415D3" w:rsidRDefault="00AE6959" w:rsidP="00560442">
      <w:pPr>
        <w:pStyle w:val="NormalIndent"/>
        <w:ind w:left="0" w:firstLine="720"/>
      </w:pPr>
      <w:r w:rsidRPr="00A415D3">
        <w:t>It is true the Legislature did not appear to have the issue before us specifically in mind when it amended section 1370(c)(1) in 2014</w:t>
      </w:r>
      <w:r w:rsidR="0008408D" w:rsidRPr="00A415D3">
        <w:t>, effective January 1, 2015,</w:t>
      </w:r>
      <w:r w:rsidRPr="00A415D3">
        <w:t xml:space="preserve"> </w:t>
      </w:r>
      <w:r w:rsidRPr="00A415D3">
        <w:t>to include th</w:t>
      </w:r>
      <w:r w:rsidR="0091474F" w:rsidRPr="00A415D3">
        <w:t>is</w:t>
      </w:r>
      <w:r w:rsidRPr="00A415D3">
        <w:t xml:space="preserve"> 90</w:t>
      </w:r>
      <w:r w:rsidR="00BA4DD2" w:rsidRPr="00A415D3">
        <w:noBreakHyphen/>
      </w:r>
      <w:r w:rsidRPr="00A415D3">
        <w:t>day period.  (See Assem. Com. on Appropriations, Analysis of Assem. Bill No. 2625 (2013–2014 Reg. Sess.) as amended Apr. 24, 2014, p. </w:t>
      </w:r>
      <w:r w:rsidR="00ED7CBE" w:rsidRPr="00A415D3">
        <w:t>1</w:t>
      </w:r>
      <w:r w:rsidR="00B40E51" w:rsidRPr="00A415D3">
        <w:t xml:space="preserve"> </w:t>
      </w:r>
      <w:r w:rsidRPr="00A415D3">
        <w:t xml:space="preserve">[indicating that the language was added with the aim “to reduce the backlog of patients awaiting </w:t>
      </w:r>
      <w:r w:rsidR="009C4A9E" w:rsidRPr="00A415D3">
        <w:t>a</w:t>
      </w:r>
      <w:r w:rsidR="00ED7CBE" w:rsidRPr="00A415D3">
        <w:t xml:space="preserve"> </w:t>
      </w:r>
      <w:r w:rsidRPr="00A415D3">
        <w:t xml:space="preserve">state hospital placement in county jails by ensuring defendants found incompetent to stand trial (IST) who cannot be restored to trial competency are returned to their original county of commitment in a timely manner”].)  Nonetheless, the 90-day window is </w:t>
      </w:r>
      <w:r w:rsidRPr="00A415D3">
        <w:t xml:space="preserve">consistent with Rodriguez’s </w:t>
      </w:r>
      <w:r w:rsidR="009F6DB7" w:rsidRPr="00A415D3">
        <w:t xml:space="preserve">general </w:t>
      </w:r>
      <w:r w:rsidRPr="00A415D3">
        <w:t>position</w:t>
      </w:r>
      <w:r w:rsidR="00BB1CD0" w:rsidRPr="00A415D3">
        <w:t xml:space="preserve"> that some judicial action is necessary to end a commitment period</w:t>
      </w:r>
      <w:r w:rsidRPr="00A415D3">
        <w:t xml:space="preserve">.  </w:t>
      </w:r>
    </w:p>
    <w:p w14:paraId="3F29F0DC" w14:textId="77777777" w:rsidR="007F0529" w:rsidRPr="00A415D3" w:rsidRDefault="00AE6959" w:rsidP="00560442">
      <w:pPr>
        <w:pStyle w:val="Heading4"/>
        <w:numPr>
          <w:ilvl w:val="0"/>
          <w:numId w:val="9"/>
        </w:numPr>
        <w:ind w:left="2016" w:hanging="432"/>
      </w:pPr>
      <w:r w:rsidRPr="00A415D3">
        <w:t xml:space="preserve">The People’s </w:t>
      </w:r>
      <w:r w:rsidR="0020723B" w:rsidRPr="00A415D3">
        <w:t>i</w:t>
      </w:r>
      <w:r w:rsidR="001B52BF" w:rsidRPr="00A415D3">
        <w:t xml:space="preserve">nterpretation of the </w:t>
      </w:r>
      <w:r w:rsidR="0020723B" w:rsidRPr="00A415D3">
        <w:t>s</w:t>
      </w:r>
      <w:r w:rsidR="001B52BF" w:rsidRPr="00A415D3">
        <w:t xml:space="preserve">tatutory </w:t>
      </w:r>
      <w:r w:rsidR="0020723B" w:rsidRPr="00A415D3">
        <w:t>t</w:t>
      </w:r>
      <w:r w:rsidR="001B52BF" w:rsidRPr="00A415D3">
        <w:t>ext</w:t>
      </w:r>
      <w:r w:rsidRPr="00A415D3">
        <w:t xml:space="preserve"> </w:t>
      </w:r>
      <w:r w:rsidR="008A3831" w:rsidRPr="00A415D3">
        <w:t>i</w:t>
      </w:r>
      <w:r w:rsidRPr="00A415D3">
        <w:t xml:space="preserve">s </w:t>
      </w:r>
      <w:r w:rsidR="0020723B" w:rsidRPr="00A415D3">
        <w:t>u</w:t>
      </w:r>
      <w:r w:rsidR="001B52BF" w:rsidRPr="00A415D3">
        <w:t>npersuasive</w:t>
      </w:r>
    </w:p>
    <w:p w14:paraId="3F29F0DD" w14:textId="77777777" w:rsidR="003F4565" w:rsidRPr="00A415D3" w:rsidRDefault="00AE6959" w:rsidP="00560442">
      <w:pPr>
        <w:pStyle w:val="NormalIndent"/>
        <w:ind w:left="0" w:firstLine="720"/>
      </w:pPr>
      <w:r w:rsidRPr="00A415D3">
        <w:t xml:space="preserve">The People’s arguments do not persuade us that </w:t>
      </w:r>
      <w:r w:rsidR="000F0191" w:rsidRPr="00A415D3">
        <w:t xml:space="preserve">“the plain language of the statutory scheme” requires </w:t>
      </w:r>
      <w:r w:rsidR="00B46884" w:rsidRPr="00A415D3">
        <w:t xml:space="preserve">courts to exclude </w:t>
      </w:r>
      <w:r w:rsidR="000F0191" w:rsidRPr="00A415D3">
        <w:t xml:space="preserve">the period following the filing of a certificate of restoration from the two-year maximum commitment period.  </w:t>
      </w:r>
    </w:p>
    <w:p w14:paraId="3F29F0DE" w14:textId="77777777" w:rsidR="00D016D9" w:rsidRPr="00A415D3" w:rsidRDefault="00AE6959" w:rsidP="00560442">
      <w:pPr>
        <w:pStyle w:val="Heading5"/>
        <w:numPr>
          <w:ilvl w:val="0"/>
          <w:numId w:val="20"/>
        </w:numPr>
        <w:ind w:left="2448" w:hanging="432"/>
      </w:pPr>
      <w:r w:rsidRPr="00A415D3">
        <w:t>Section 1372</w:t>
      </w:r>
    </w:p>
    <w:p w14:paraId="3F29F0DF" w14:textId="77777777" w:rsidR="00A50598" w:rsidRPr="00A415D3" w:rsidRDefault="00AE6959" w:rsidP="00560442">
      <w:pPr>
        <w:pStyle w:val="NormalIndent"/>
        <w:ind w:left="0" w:firstLine="720"/>
      </w:pPr>
      <w:r w:rsidRPr="00A415D3">
        <w:t>First, t</w:t>
      </w:r>
      <w:r w:rsidR="00617F47" w:rsidRPr="00A415D3">
        <w:t>he People rely heavily on s</w:t>
      </w:r>
      <w:r w:rsidR="00B31710" w:rsidRPr="00A415D3">
        <w:t>ection 1372</w:t>
      </w:r>
      <w:r w:rsidR="00617F47" w:rsidRPr="00A415D3">
        <w:t xml:space="preserve">’s provisions regarding </w:t>
      </w:r>
      <w:r w:rsidR="00B25714" w:rsidRPr="00A415D3">
        <w:t xml:space="preserve">the </w:t>
      </w:r>
      <w:r w:rsidR="00617F47" w:rsidRPr="00A415D3">
        <w:t xml:space="preserve">certification of restoration </w:t>
      </w:r>
      <w:r w:rsidR="00B25714" w:rsidRPr="00A415D3">
        <w:t>to</w:t>
      </w:r>
      <w:r w:rsidR="000E2BFA" w:rsidRPr="00A415D3">
        <w:t xml:space="preserve"> </w:t>
      </w:r>
      <w:r w:rsidR="00617F47" w:rsidRPr="00A415D3">
        <w:t xml:space="preserve">competence.  </w:t>
      </w:r>
      <w:r w:rsidR="00316758" w:rsidRPr="00A415D3">
        <w:t xml:space="preserve">Yet it is not </w:t>
      </w:r>
      <w:r w:rsidR="006E6EB9" w:rsidRPr="00A415D3">
        <w:t>clear</w:t>
      </w:r>
      <w:r w:rsidR="00316758" w:rsidRPr="00A415D3">
        <w:t xml:space="preserve"> how this section supports the People’s interpretation.  </w:t>
      </w:r>
      <w:r w:rsidR="00617F47" w:rsidRPr="00A415D3">
        <w:t>As previously summarized, section</w:t>
      </w:r>
      <w:r w:rsidR="00E41D5F" w:rsidRPr="00A415D3">
        <w:t> </w:t>
      </w:r>
      <w:r w:rsidR="00617F47" w:rsidRPr="00A415D3">
        <w:t>1372</w:t>
      </w:r>
      <w:r w:rsidR="00674B42" w:rsidRPr="00A415D3">
        <w:t xml:space="preserve"> specif</w:t>
      </w:r>
      <w:r w:rsidR="00CB6751" w:rsidRPr="00A415D3">
        <w:t>ies</w:t>
      </w:r>
      <w:r w:rsidR="00674B42" w:rsidRPr="00A415D3">
        <w:t xml:space="preserve"> that </w:t>
      </w:r>
      <w:r w:rsidR="00AF1448" w:rsidRPr="00A415D3">
        <w:t>“[</w:t>
      </w:r>
      <w:r w:rsidR="002F3664" w:rsidRPr="00A415D3">
        <w:t>i</w:t>
      </w:r>
      <w:r w:rsidR="00AF1448" w:rsidRPr="00A415D3">
        <w:t>]f the medical director of a state hospital</w:t>
      </w:r>
      <w:r w:rsidR="00E16518" w:rsidRPr="00A415D3">
        <w:t xml:space="preserve"> [or other appropriate personnel]</w:t>
      </w:r>
      <w:r w:rsidR="00AF1448" w:rsidRPr="00A415D3">
        <w:t xml:space="preserve"> determines that the defendant has regained mental competence, the director or designee shall immediately certify that fact to the court by filing a certificate of restoration with the court.”  (§ 1372</w:t>
      </w:r>
      <w:r w:rsidR="002F3664" w:rsidRPr="00A415D3">
        <w:t xml:space="preserve">, </w:t>
      </w:r>
      <w:r w:rsidR="00AF1448" w:rsidRPr="00A415D3">
        <w:t>subd.</w:t>
      </w:r>
      <w:r w:rsidR="00CB6751" w:rsidRPr="00A415D3">
        <w:t> </w:t>
      </w:r>
      <w:r w:rsidR="00AF1448" w:rsidRPr="00A415D3">
        <w:t>(a)(1</w:t>
      </w:r>
      <w:r w:rsidR="004A00C2" w:rsidRPr="00A415D3">
        <w:t xml:space="preserve">).)  Because </w:t>
      </w:r>
      <w:r w:rsidR="009E61BA" w:rsidRPr="00A415D3">
        <w:t>t</w:t>
      </w:r>
      <w:r w:rsidR="00ED573D" w:rsidRPr="00A415D3">
        <w:t xml:space="preserve">he court’s </w:t>
      </w:r>
      <w:r w:rsidR="008D6120" w:rsidRPr="00A415D3">
        <w:t xml:space="preserve">initial </w:t>
      </w:r>
      <w:r w:rsidR="00E27258" w:rsidRPr="00A415D3">
        <w:t xml:space="preserve">commitment </w:t>
      </w:r>
      <w:r w:rsidR="00ED573D" w:rsidRPr="00A415D3">
        <w:t xml:space="preserve">order </w:t>
      </w:r>
      <w:r w:rsidR="00316758" w:rsidRPr="00A415D3">
        <w:t>must have</w:t>
      </w:r>
      <w:r w:rsidR="004A00C2" w:rsidRPr="00A415D3">
        <w:t xml:space="preserve"> </w:t>
      </w:r>
      <w:r w:rsidR="00ED573D" w:rsidRPr="00A415D3">
        <w:t>direct</w:t>
      </w:r>
      <w:r w:rsidR="00316758" w:rsidRPr="00A415D3">
        <w:t>ed</w:t>
      </w:r>
      <w:r w:rsidR="00ED573D" w:rsidRPr="00A415D3">
        <w:t xml:space="preserve"> the sheriff to “redeliver the patient to the court . . . upon receiving from the state hospital or treatment facility a copy of the certificate of restoration” (</w:t>
      </w:r>
      <w:r w:rsidR="00ED573D" w:rsidRPr="00A415D3">
        <w:rPr>
          <w:i/>
          <w:iCs/>
        </w:rPr>
        <w:t>id</w:t>
      </w:r>
      <w:r w:rsidR="00ED573D" w:rsidRPr="00A415D3">
        <w:t>., subd.</w:t>
      </w:r>
      <w:r w:rsidR="00CB6751" w:rsidRPr="00A415D3">
        <w:t> </w:t>
      </w:r>
      <w:r w:rsidR="00ED573D" w:rsidRPr="00A415D3">
        <w:t xml:space="preserve">(a)(2)), </w:t>
      </w:r>
      <w:r w:rsidR="002F3664" w:rsidRPr="00A415D3">
        <w:t>“the patient shall be returned to the committing court no later than 10</w:t>
      </w:r>
      <w:r w:rsidR="00E41D5F" w:rsidRPr="00A415D3">
        <w:t> </w:t>
      </w:r>
      <w:r w:rsidR="002F3664" w:rsidRPr="00A415D3">
        <w:t>days following the filing of a certificate of restoration</w:t>
      </w:r>
      <w:r w:rsidR="003A379C" w:rsidRPr="00A415D3">
        <w:t xml:space="preserve">” </w:t>
      </w:r>
      <w:r w:rsidR="002F3664" w:rsidRPr="00A415D3">
        <w:t>(</w:t>
      </w:r>
      <w:r w:rsidR="003A379C" w:rsidRPr="00A415D3">
        <w:rPr>
          <w:i/>
          <w:iCs/>
        </w:rPr>
        <w:t>i</w:t>
      </w:r>
      <w:r w:rsidR="002F3664" w:rsidRPr="00A415D3">
        <w:rPr>
          <w:i/>
          <w:iCs/>
        </w:rPr>
        <w:t>d</w:t>
      </w:r>
      <w:r w:rsidR="002F3664" w:rsidRPr="00A415D3">
        <w:t>., subd. (a)(3)</w:t>
      </w:r>
      <w:r w:rsidR="00560B1B" w:rsidRPr="00A415D3">
        <w:t>(C)</w:t>
      </w:r>
      <w:r w:rsidR="003A379C" w:rsidRPr="00A415D3">
        <w:t>).</w:t>
      </w:r>
      <w:r w:rsidR="00833EC4" w:rsidRPr="00A415D3">
        <w:t xml:space="preserve">  </w:t>
      </w:r>
      <w:r w:rsidR="002F3664" w:rsidRPr="00A415D3">
        <w:t xml:space="preserve">Upon a defendant’s return to court, all further proceedings </w:t>
      </w:r>
      <w:r w:rsidR="00CB6751" w:rsidRPr="00A415D3">
        <w:t>occur</w:t>
      </w:r>
      <w:r w:rsidR="002F3664" w:rsidRPr="00A415D3">
        <w:t xml:space="preserve"> at the court’s </w:t>
      </w:r>
      <w:r w:rsidR="00CF1BD6" w:rsidRPr="00A415D3">
        <w:t>discretion</w:t>
      </w:r>
      <w:r w:rsidR="002F3664" w:rsidRPr="00A415D3">
        <w:t xml:space="preserve">.  </w:t>
      </w:r>
      <w:r w:rsidR="00833EC4" w:rsidRPr="00A415D3">
        <w:t>(See § 1372, subds.</w:t>
      </w:r>
      <w:r w:rsidR="00CB6751" w:rsidRPr="00A415D3">
        <w:t> </w:t>
      </w:r>
      <w:r w:rsidR="00833EC4" w:rsidRPr="00A415D3">
        <w:t>(</w:t>
      </w:r>
      <w:r w:rsidR="00DF0841" w:rsidRPr="00A415D3">
        <w:t>c</w:t>
      </w:r>
      <w:r w:rsidR="00833EC4" w:rsidRPr="00A415D3">
        <w:t>)</w:t>
      </w:r>
      <w:r w:rsidR="0035144B" w:rsidRPr="00A415D3">
        <w:t>–</w:t>
      </w:r>
      <w:r w:rsidR="00833EC4" w:rsidRPr="00A415D3">
        <w:t>(</w:t>
      </w:r>
      <w:r w:rsidR="00DF0841" w:rsidRPr="00A415D3">
        <w:t>e</w:t>
      </w:r>
      <w:r w:rsidR="00833EC4" w:rsidRPr="00A415D3">
        <w:t>).)</w:t>
      </w:r>
      <w:r w:rsidR="00617F47" w:rsidRPr="00A415D3">
        <w:t xml:space="preserve">  </w:t>
      </w:r>
      <w:r w:rsidR="00316758" w:rsidRPr="00A415D3">
        <w:t>In short, s</w:t>
      </w:r>
      <w:r w:rsidR="0026354A" w:rsidRPr="00A415D3">
        <w:t>ection</w:t>
      </w:r>
      <w:r w:rsidR="00CB6751" w:rsidRPr="00A415D3">
        <w:t> </w:t>
      </w:r>
      <w:r w:rsidR="0026354A" w:rsidRPr="00A415D3">
        <w:t xml:space="preserve">1372 specifies what the filing of a certificate of restoration </w:t>
      </w:r>
      <w:r w:rsidR="001661AE" w:rsidRPr="00A415D3">
        <w:t>accomplishes</w:t>
      </w:r>
      <w:r w:rsidR="00224EE2" w:rsidRPr="00A415D3">
        <w:t>:</w:t>
      </w:r>
      <w:r w:rsidRPr="00A415D3">
        <w:t xml:space="preserve"> </w:t>
      </w:r>
      <w:r w:rsidR="00224EE2" w:rsidRPr="00A415D3">
        <w:t xml:space="preserve"> </w:t>
      </w:r>
      <w:r w:rsidR="00F45FC0" w:rsidRPr="00A415D3">
        <w:t>I</w:t>
      </w:r>
      <w:r w:rsidR="0026354A" w:rsidRPr="00A415D3">
        <w:t>t causes the sheriff to “redeliver the patient to the court”</w:t>
      </w:r>
      <w:r w:rsidR="00981C9A" w:rsidRPr="00A415D3">
        <w:t xml:space="preserve"> pursuant to the court order</w:t>
      </w:r>
      <w:r w:rsidR="0026354A" w:rsidRPr="00A415D3">
        <w:t>.  (§ 1372, subd.</w:t>
      </w:r>
      <w:r w:rsidR="00CF1BD6" w:rsidRPr="00A415D3">
        <w:t> </w:t>
      </w:r>
      <w:r w:rsidR="0026354A" w:rsidRPr="00A415D3">
        <w:t>(a)(2)</w:t>
      </w:r>
      <w:r w:rsidR="008E3CA2" w:rsidRPr="00A415D3">
        <w:t>.</w:t>
      </w:r>
      <w:r w:rsidR="0026354A" w:rsidRPr="00A415D3">
        <w:t xml:space="preserve">)  </w:t>
      </w:r>
      <w:r w:rsidR="00F45FC0" w:rsidRPr="00A415D3">
        <w:t>Section</w:t>
      </w:r>
      <w:r w:rsidR="00C7244C" w:rsidRPr="00A415D3">
        <w:t> </w:t>
      </w:r>
      <w:r w:rsidR="00F45FC0" w:rsidRPr="00A415D3">
        <w:t xml:space="preserve">1372 contains no hint that the </w:t>
      </w:r>
      <w:r w:rsidR="000F0191" w:rsidRPr="00A415D3">
        <w:t xml:space="preserve">time between the </w:t>
      </w:r>
      <w:r w:rsidR="00F45FC0" w:rsidRPr="00A415D3">
        <w:t xml:space="preserve">filing of a certificate of restoration </w:t>
      </w:r>
      <w:r w:rsidR="000F0191" w:rsidRPr="00A415D3">
        <w:t xml:space="preserve">and a court’s ruling on the certificate is excluded from the </w:t>
      </w:r>
      <w:r w:rsidR="00F45FC0" w:rsidRPr="00A415D3">
        <w:t>commitment</w:t>
      </w:r>
      <w:r w:rsidR="000F0191" w:rsidRPr="00A415D3">
        <w:t xml:space="preserve"> period</w:t>
      </w:r>
      <w:r w:rsidR="00F45FC0" w:rsidRPr="00A415D3">
        <w:t>.</w:t>
      </w:r>
    </w:p>
    <w:p w14:paraId="3F29F0E0" w14:textId="77777777" w:rsidR="001B52BF" w:rsidRPr="00A415D3" w:rsidRDefault="00AE6959" w:rsidP="00560442">
      <w:pPr>
        <w:pStyle w:val="NormalIndent"/>
        <w:ind w:left="0" w:firstLine="720"/>
      </w:pPr>
      <w:r w:rsidRPr="00A415D3">
        <w:t>T</w:t>
      </w:r>
      <w:r w:rsidR="00F70B7F" w:rsidRPr="00A415D3">
        <w:t xml:space="preserve">he People </w:t>
      </w:r>
      <w:r w:rsidR="00AE762B" w:rsidRPr="00A415D3">
        <w:t>maintain</w:t>
      </w:r>
      <w:r w:rsidR="00F70B7F" w:rsidRPr="00A415D3">
        <w:t xml:space="preserve"> </w:t>
      </w:r>
      <w:r w:rsidR="008D5CBD" w:rsidRPr="00A415D3">
        <w:t xml:space="preserve">that </w:t>
      </w:r>
      <w:r w:rsidR="00F70B7F" w:rsidRPr="00A415D3">
        <w:t>“[n]othing in the plain language of the statutory scheme suggests that the discretionary hearing contemplated by section 1372 falls within the commitment time enumerated in section</w:t>
      </w:r>
      <w:r w:rsidR="00C7244C" w:rsidRPr="00A415D3">
        <w:t> </w:t>
      </w:r>
      <w:r w:rsidR="00F70B7F" w:rsidRPr="00A415D3">
        <w:t xml:space="preserve">1370, subd. (c)(1).”  </w:t>
      </w:r>
      <w:r w:rsidR="006E6EB9" w:rsidRPr="00A415D3">
        <w:t>T</w:t>
      </w:r>
      <w:r w:rsidR="00F70B7F" w:rsidRPr="00A415D3">
        <w:t xml:space="preserve">he </w:t>
      </w:r>
      <w:r w:rsidR="006E6EB9" w:rsidRPr="00A415D3">
        <w:t>C</w:t>
      </w:r>
      <w:r w:rsidR="00F70B7F" w:rsidRPr="00A415D3">
        <w:t xml:space="preserve">ourt </w:t>
      </w:r>
      <w:r w:rsidR="006E6EB9" w:rsidRPr="00A415D3">
        <w:t xml:space="preserve">of Appeal reached the same conclusion.  </w:t>
      </w:r>
      <w:r w:rsidR="00F70B7F" w:rsidRPr="00A415D3">
        <w:t xml:space="preserve">(See </w:t>
      </w:r>
      <w:r w:rsidR="00F70B7F" w:rsidRPr="00A415D3">
        <w:rPr>
          <w:i/>
          <w:iCs/>
        </w:rPr>
        <w:t>Rodriguez</w:t>
      </w:r>
      <w:r w:rsidR="00F70B7F" w:rsidRPr="00A415D3">
        <w:t xml:space="preserve">, </w:t>
      </w:r>
      <w:r w:rsidR="00F70B7F" w:rsidRPr="00A415D3">
        <w:rPr>
          <w:i/>
          <w:iCs/>
        </w:rPr>
        <w:t>supra</w:t>
      </w:r>
      <w:r w:rsidR="00F70B7F" w:rsidRPr="00A415D3">
        <w:t>, 70 Cal.App.5th at p. 650 [“Section</w:t>
      </w:r>
      <w:r w:rsidR="00CF1BD6" w:rsidRPr="00A415D3">
        <w:t> </w:t>
      </w:r>
      <w:r w:rsidR="00F70B7F" w:rsidRPr="00A415D3">
        <w:t>1372 does not explicitly state any timeframe within which the restoration hearing must be held and does not reference section</w:t>
      </w:r>
      <w:r w:rsidR="00CF1BD6" w:rsidRPr="00A415D3">
        <w:t> </w:t>
      </w:r>
      <w:r w:rsidR="00F70B7F" w:rsidRPr="00A415D3">
        <w:t>1370(c)(1)’s two-year maximum for an incompetency commitment”].)</w:t>
      </w:r>
    </w:p>
    <w:p w14:paraId="3F29F0E1" w14:textId="77777777" w:rsidR="00D016D9" w:rsidRPr="00A415D3" w:rsidRDefault="00AE6959" w:rsidP="00560442">
      <w:pPr>
        <w:pStyle w:val="NormalIndent"/>
        <w:ind w:left="0" w:firstLine="720"/>
      </w:pPr>
      <w:r w:rsidRPr="00A415D3">
        <w:t xml:space="preserve">As we have recognized, </w:t>
      </w:r>
      <w:r w:rsidR="00E95BA7" w:rsidRPr="00A415D3">
        <w:t>however</w:t>
      </w:r>
      <w:r w:rsidRPr="00A415D3">
        <w:t xml:space="preserve">, section 1372 “does not set forth any </w:t>
      </w:r>
      <w:r w:rsidR="00DD1891" w:rsidRPr="00A415D3">
        <w:t>. . .</w:t>
      </w:r>
      <w:r w:rsidRPr="00A415D3">
        <w:t xml:space="preserve"> proc</w:t>
      </w:r>
      <w:r w:rsidRPr="00A415D3">
        <w:t>edures whatsoever” to govern the hearing on a defendant’s recovery of mental competenc</w:t>
      </w:r>
      <w:r w:rsidR="00C7244C" w:rsidRPr="00A415D3">
        <w:t>y</w:t>
      </w:r>
      <w:r w:rsidRPr="00A415D3">
        <w:t>.  (</w:t>
      </w:r>
      <w:r w:rsidRPr="00A415D3">
        <w:rPr>
          <w:i/>
          <w:iCs/>
        </w:rPr>
        <w:t>Rells</w:t>
      </w:r>
      <w:r w:rsidRPr="00A415D3">
        <w:t xml:space="preserve">, </w:t>
      </w:r>
      <w:r w:rsidRPr="00A415D3">
        <w:rPr>
          <w:i/>
          <w:iCs/>
        </w:rPr>
        <w:t>supra</w:t>
      </w:r>
      <w:r w:rsidRPr="00A415D3">
        <w:t xml:space="preserve">, 22 Cal.4th at p. 867; see also </w:t>
      </w:r>
      <w:r w:rsidRPr="00A415D3">
        <w:rPr>
          <w:i/>
          <w:iCs/>
        </w:rPr>
        <w:t>People v. Murrell</w:t>
      </w:r>
      <w:r w:rsidRPr="00A415D3">
        <w:t> (1987) 196 Cal.App.3d 822, 826 [observing that “section</w:t>
      </w:r>
      <w:r w:rsidR="00CF1BD6" w:rsidRPr="00A415D3">
        <w:t> </w:t>
      </w:r>
      <w:r w:rsidRPr="00A415D3">
        <w:t>1372 does not directly provide for a hearing w</w:t>
      </w:r>
      <w:r w:rsidRPr="00A415D3">
        <w:t xml:space="preserve">here the defendant may challenge the medical director’s certification of competence” and the legislative intent to provide for such a hearing must be inferred].)  </w:t>
      </w:r>
      <w:r w:rsidR="001B52BF" w:rsidRPr="00A415D3">
        <w:t>Thus,</w:t>
      </w:r>
      <w:r w:rsidRPr="00A415D3">
        <w:t xml:space="preserve"> the fact that section</w:t>
      </w:r>
      <w:r w:rsidR="00BA03E1" w:rsidRPr="00A415D3">
        <w:t> </w:t>
      </w:r>
      <w:r w:rsidRPr="00A415D3">
        <w:t xml:space="preserve">1372 </w:t>
      </w:r>
      <w:r w:rsidR="00BA03E1" w:rsidRPr="00A415D3">
        <w:t xml:space="preserve">does not </w:t>
      </w:r>
      <w:r w:rsidRPr="00A415D3">
        <w:t>mention section</w:t>
      </w:r>
      <w:r w:rsidR="00BA03E1" w:rsidRPr="00A415D3">
        <w:t> </w:t>
      </w:r>
      <w:r w:rsidRPr="00A415D3">
        <w:t>1370(c)(1)’s two-year limit is neit</w:t>
      </w:r>
      <w:r w:rsidRPr="00A415D3">
        <w:t>her surprising nor illuminating.</w:t>
      </w:r>
      <w:r>
        <w:rPr>
          <w:rStyle w:val="FootnoteReference"/>
        </w:rPr>
        <w:footnoteReference w:id="8"/>
      </w:r>
    </w:p>
    <w:p w14:paraId="3F29F0E2" w14:textId="77777777" w:rsidR="00571060" w:rsidRPr="00A415D3" w:rsidRDefault="00AE6959" w:rsidP="00560442">
      <w:pPr>
        <w:pStyle w:val="Heading5"/>
        <w:numPr>
          <w:ilvl w:val="0"/>
          <w:numId w:val="20"/>
        </w:numPr>
        <w:ind w:left="2448" w:hanging="432"/>
      </w:pPr>
      <w:r w:rsidRPr="00A415D3">
        <w:t xml:space="preserve">The </w:t>
      </w:r>
      <w:r w:rsidR="006F3571" w:rsidRPr="00A415D3">
        <w:t>s</w:t>
      </w:r>
      <w:r w:rsidRPr="00A415D3">
        <w:t xml:space="preserve">tatutory </w:t>
      </w:r>
      <w:r w:rsidR="006F3571" w:rsidRPr="00A415D3">
        <w:t>p</w:t>
      </w:r>
      <w:r w:rsidRPr="00A415D3">
        <w:t xml:space="preserve">resumption of </w:t>
      </w:r>
      <w:r w:rsidR="006F3571" w:rsidRPr="00A415D3">
        <w:t>c</w:t>
      </w:r>
      <w:r w:rsidRPr="00A415D3">
        <w:t>ompetence</w:t>
      </w:r>
    </w:p>
    <w:p w14:paraId="3F29F0E3" w14:textId="77777777" w:rsidR="000805F4" w:rsidRPr="00A415D3" w:rsidRDefault="00AE6959" w:rsidP="00560442">
      <w:pPr>
        <w:pStyle w:val="NormalIndent"/>
        <w:ind w:left="0" w:firstLine="720"/>
      </w:pPr>
      <w:r w:rsidRPr="00A415D3">
        <w:t xml:space="preserve">Second, the People rely upon the </w:t>
      </w:r>
      <w:r w:rsidR="00146FB5" w:rsidRPr="00A415D3">
        <w:t xml:space="preserve">presumption of competence </w:t>
      </w:r>
      <w:r w:rsidR="002434BE" w:rsidRPr="00A415D3">
        <w:t>(see § 1369, subd.</w:t>
      </w:r>
      <w:r w:rsidR="00BA03E1" w:rsidRPr="00A415D3">
        <w:t> </w:t>
      </w:r>
      <w:r w:rsidR="002434BE" w:rsidRPr="00A415D3">
        <w:t>(f))</w:t>
      </w:r>
      <w:r w:rsidR="004C6C7C" w:rsidRPr="00A415D3">
        <w:t>, which</w:t>
      </w:r>
      <w:r w:rsidR="00E95BA7" w:rsidRPr="00A415D3">
        <w:t xml:space="preserve"> </w:t>
      </w:r>
      <w:r w:rsidR="004C6C7C" w:rsidRPr="00A415D3">
        <w:t xml:space="preserve">applies </w:t>
      </w:r>
      <w:r w:rsidR="002434BE" w:rsidRPr="00A415D3">
        <w:t xml:space="preserve">at a section 1372 hearing at which a judge determines whether to approve or reject a certificate of restoration.  (See </w:t>
      </w:r>
      <w:r w:rsidR="004C6C7C" w:rsidRPr="00A415D3">
        <w:rPr>
          <w:i/>
          <w:iCs/>
        </w:rPr>
        <w:t>Rells</w:t>
      </w:r>
      <w:r w:rsidR="004C6C7C" w:rsidRPr="00A415D3">
        <w:t xml:space="preserve">, </w:t>
      </w:r>
      <w:r w:rsidR="004C6C7C" w:rsidRPr="00A415D3">
        <w:rPr>
          <w:i/>
          <w:iCs/>
        </w:rPr>
        <w:t>supra</w:t>
      </w:r>
      <w:r w:rsidR="004C6C7C" w:rsidRPr="00A415D3">
        <w:t>, 22</w:t>
      </w:r>
      <w:r w:rsidR="00BA03E1" w:rsidRPr="00A415D3">
        <w:t> </w:t>
      </w:r>
      <w:r w:rsidR="004C6C7C" w:rsidRPr="00A415D3">
        <w:t>Cal.4th at p.</w:t>
      </w:r>
      <w:r w:rsidR="00C7244C" w:rsidRPr="00A415D3">
        <w:t> </w:t>
      </w:r>
      <w:r w:rsidR="004C6C7C" w:rsidRPr="00A415D3">
        <w:t>862</w:t>
      </w:r>
      <w:r w:rsidR="002434BE" w:rsidRPr="00A415D3">
        <w:t xml:space="preserve">.)  </w:t>
      </w:r>
      <w:r w:rsidR="00356B0C" w:rsidRPr="00A415D3">
        <w:t xml:space="preserve">The court below </w:t>
      </w:r>
      <w:r w:rsidR="006F3571" w:rsidRPr="00A415D3">
        <w:t xml:space="preserve">likewise </w:t>
      </w:r>
      <w:r w:rsidR="004C6C7C" w:rsidRPr="00A415D3">
        <w:t xml:space="preserve">relied </w:t>
      </w:r>
      <w:r w:rsidR="00833EC4" w:rsidRPr="00A415D3">
        <w:t xml:space="preserve">on this </w:t>
      </w:r>
      <w:r w:rsidR="004C6C7C" w:rsidRPr="00A415D3">
        <w:t xml:space="preserve">presumption, reasoning that the absence of further treatment </w:t>
      </w:r>
      <w:r w:rsidR="00241D69" w:rsidRPr="00A415D3">
        <w:t>together with</w:t>
      </w:r>
      <w:r w:rsidR="004C6C7C" w:rsidRPr="00A415D3">
        <w:t xml:space="preserve"> the presumption of competence meant that a defendant could no longer be regarded as </w:t>
      </w:r>
      <w:r w:rsidR="00785150" w:rsidRPr="00A415D3">
        <w:t xml:space="preserve">subject to a commitment </w:t>
      </w:r>
      <w:r w:rsidR="004C6C7C" w:rsidRPr="00A415D3">
        <w:t>after the certificate’s filing</w:t>
      </w:r>
      <w:r w:rsidR="004A4330" w:rsidRPr="00A415D3">
        <w:t xml:space="preserve">.  </w:t>
      </w:r>
      <w:r w:rsidR="004C6C7C" w:rsidRPr="00A415D3">
        <w:t>(</w:t>
      </w:r>
      <w:r w:rsidR="004C6C7C" w:rsidRPr="00A415D3">
        <w:rPr>
          <w:i/>
          <w:iCs/>
        </w:rPr>
        <w:t>Rodriguez</w:t>
      </w:r>
      <w:r w:rsidR="004C6C7C" w:rsidRPr="00A415D3">
        <w:t xml:space="preserve">, </w:t>
      </w:r>
      <w:r w:rsidR="004C6C7C" w:rsidRPr="00A415D3">
        <w:rPr>
          <w:i/>
          <w:iCs/>
        </w:rPr>
        <w:t>supra</w:t>
      </w:r>
      <w:r w:rsidR="004C6C7C" w:rsidRPr="00A415D3">
        <w:t>, 70 Cal.App.5th at pp. 653, 655–656.)  But</w:t>
      </w:r>
      <w:r w:rsidR="008439A8" w:rsidRPr="00A415D3">
        <w:t xml:space="preserve"> t</w:t>
      </w:r>
      <w:r w:rsidR="00193237" w:rsidRPr="00A415D3">
        <w:t>here is</w:t>
      </w:r>
      <w:r w:rsidR="004C6C7C" w:rsidRPr="00A415D3">
        <w:t xml:space="preserve"> </w:t>
      </w:r>
      <w:r w:rsidR="00193237" w:rsidRPr="00A415D3">
        <w:t xml:space="preserve">reason to </w:t>
      </w:r>
      <w:r w:rsidR="004C6C7C" w:rsidRPr="00A415D3">
        <w:t>question this analysis</w:t>
      </w:r>
      <w:r w:rsidR="00193237" w:rsidRPr="00A415D3">
        <w:t>.</w:t>
      </w:r>
      <w:r>
        <w:rPr>
          <w:rStyle w:val="FootnoteReference"/>
        </w:rPr>
        <w:footnoteReference w:id="9"/>
      </w:r>
    </w:p>
    <w:p w14:paraId="3F29F0E4" w14:textId="77777777" w:rsidR="00785150" w:rsidRPr="00A415D3" w:rsidRDefault="00AE6959" w:rsidP="00560442">
      <w:pPr>
        <w:pStyle w:val="NormalIndent"/>
        <w:ind w:left="0" w:firstLine="720"/>
      </w:pPr>
      <w:r w:rsidRPr="00A415D3">
        <w:t>The presumption of competence applies at every trial and retrial of a defendant’s competenc</w:t>
      </w:r>
      <w:r w:rsidR="00C7244C" w:rsidRPr="00A415D3">
        <w:t>y</w:t>
      </w:r>
      <w:r w:rsidRPr="00A415D3">
        <w:t xml:space="preserve">, even </w:t>
      </w:r>
      <w:r w:rsidR="005D7B2C" w:rsidRPr="00A415D3">
        <w:t xml:space="preserve">where there is reason to </w:t>
      </w:r>
      <w:r w:rsidR="00CA611F" w:rsidRPr="00A415D3">
        <w:t>doubt</w:t>
      </w:r>
      <w:r w:rsidR="00EA591F" w:rsidRPr="00A415D3">
        <w:t xml:space="preserve"> </w:t>
      </w:r>
      <w:r w:rsidR="005D7B2C" w:rsidRPr="00A415D3">
        <w:t xml:space="preserve">a defendant is competent.  </w:t>
      </w:r>
      <w:r w:rsidRPr="00A415D3">
        <w:t xml:space="preserve">As </w:t>
      </w:r>
      <w:r w:rsidR="005D7B2C" w:rsidRPr="00A415D3">
        <w:t xml:space="preserve">we have </w:t>
      </w:r>
      <w:r w:rsidR="00B14670" w:rsidRPr="00A415D3">
        <w:t xml:space="preserve">previously </w:t>
      </w:r>
      <w:r w:rsidR="005D7B2C" w:rsidRPr="00A415D3">
        <w:t xml:space="preserve">noted, “[t]he presumption that the defendant is mentally competent </w:t>
      </w:r>
      <w:r w:rsidR="00B14670" w:rsidRPr="00A415D3">
        <w:t>. . .</w:t>
      </w:r>
      <w:r w:rsidR="005D7B2C" w:rsidRPr="00A415D3">
        <w:t xml:space="preserve"> is applicable at a trial of the defendant’s mental competence</w:t>
      </w:r>
      <w:r w:rsidR="00B14670" w:rsidRPr="00A415D3">
        <w:t xml:space="preserve">” </w:t>
      </w:r>
      <w:r w:rsidR="005D7B2C" w:rsidRPr="00A415D3">
        <w:t>when a court first declares doubt as to the mental competence of the defendant</w:t>
      </w:r>
      <w:r w:rsidR="00433FAB" w:rsidRPr="00A415D3">
        <w:t>.  (</w:t>
      </w:r>
      <w:r w:rsidR="00433FAB" w:rsidRPr="00A415D3">
        <w:rPr>
          <w:i/>
          <w:iCs/>
        </w:rPr>
        <w:t>Rells</w:t>
      </w:r>
      <w:r w:rsidR="00433FAB" w:rsidRPr="00A415D3">
        <w:t xml:space="preserve">, </w:t>
      </w:r>
      <w:r w:rsidR="00433FAB" w:rsidRPr="00A415D3">
        <w:rPr>
          <w:i/>
          <w:iCs/>
        </w:rPr>
        <w:t>supra</w:t>
      </w:r>
      <w:r w:rsidR="00433FAB" w:rsidRPr="00A415D3">
        <w:t xml:space="preserve">, 22 Cal.4th at p. 867.)  The presumption </w:t>
      </w:r>
      <w:r w:rsidR="00CF1BD6" w:rsidRPr="00A415D3">
        <w:t xml:space="preserve">therefore </w:t>
      </w:r>
      <w:r w:rsidR="00433FAB" w:rsidRPr="00A415D3">
        <w:t>applies</w:t>
      </w:r>
      <w:r w:rsidR="00B14670" w:rsidRPr="00A415D3">
        <w:t xml:space="preserve"> “</w:t>
      </w:r>
      <w:r w:rsidR="005D7B2C" w:rsidRPr="00A415D3">
        <w:rPr>
          <w:i/>
          <w:iCs/>
        </w:rPr>
        <w:t xml:space="preserve">in spite of the fact that </w:t>
      </w:r>
      <w:r w:rsidR="00433FAB" w:rsidRPr="00A415D3">
        <w:rPr>
          <w:i/>
          <w:iCs/>
        </w:rPr>
        <w:t>it</w:t>
      </w:r>
      <w:r w:rsidR="005D7B2C" w:rsidRPr="00A415D3">
        <w:rPr>
          <w:i/>
          <w:iCs/>
        </w:rPr>
        <w:t xml:space="preserve"> may run counter to any doubt expressed by the court and supported by the opinion of </w:t>
      </w:r>
      <w:r w:rsidR="000732A4" w:rsidRPr="00A415D3">
        <w:t>[</w:t>
      </w:r>
      <w:r w:rsidR="000732A4" w:rsidRPr="00A415D3">
        <w:rPr>
          <w:i/>
          <w:iCs/>
        </w:rPr>
        <w:t>the defendant’s</w:t>
      </w:r>
      <w:r w:rsidR="000732A4" w:rsidRPr="00A415D3">
        <w:t>]</w:t>
      </w:r>
      <w:r w:rsidR="005D7B2C" w:rsidRPr="00A415D3">
        <w:rPr>
          <w:i/>
          <w:iCs/>
        </w:rPr>
        <w:t xml:space="preserve"> own counsel</w:t>
      </w:r>
      <w:r w:rsidR="005D7B2C" w:rsidRPr="00A415D3">
        <w:t xml:space="preserve">.”  </w:t>
      </w:r>
      <w:r w:rsidR="00433FAB" w:rsidRPr="00A415D3">
        <w:t>(</w:t>
      </w:r>
      <w:r w:rsidR="00433FAB" w:rsidRPr="00A415D3">
        <w:rPr>
          <w:i/>
          <w:iCs/>
        </w:rPr>
        <w:t>Ibid</w:t>
      </w:r>
      <w:r w:rsidR="004015F1" w:rsidRPr="00A415D3">
        <w:rPr>
          <w:i/>
          <w:iCs/>
        </w:rPr>
        <w:t>.</w:t>
      </w:r>
      <w:r w:rsidR="00433FAB" w:rsidRPr="00A415D3">
        <w:t>)</w:t>
      </w:r>
      <w:r w:rsidR="005D7B2C" w:rsidRPr="00A415D3">
        <w:t xml:space="preserve">  When the statute provided for a defendant</w:t>
      </w:r>
      <w:r w:rsidR="00E95BA7" w:rsidRPr="00A415D3">
        <w:t>’s return</w:t>
      </w:r>
      <w:r w:rsidR="005D7B2C" w:rsidRPr="00A415D3">
        <w:t xml:space="preserve"> </w:t>
      </w:r>
      <w:r w:rsidR="00B14670" w:rsidRPr="00A415D3">
        <w:t xml:space="preserve">to court if the defendant </w:t>
      </w:r>
      <w:r w:rsidR="005204A4" w:rsidRPr="00A415D3">
        <w:t>was</w:t>
      </w:r>
      <w:r w:rsidR="005D7B2C" w:rsidRPr="00A415D3">
        <w:t xml:space="preserve"> still incompetent </w:t>
      </w:r>
      <w:r w:rsidR="005204A4" w:rsidRPr="00A415D3">
        <w:t xml:space="preserve">after </w:t>
      </w:r>
      <w:r w:rsidR="00E95BA7" w:rsidRPr="00A415D3">
        <w:t xml:space="preserve">an </w:t>
      </w:r>
      <w:r w:rsidR="005204A4" w:rsidRPr="00A415D3">
        <w:t>18</w:t>
      </w:r>
      <w:r w:rsidR="00E95BA7" w:rsidRPr="00A415D3">
        <w:t>-</w:t>
      </w:r>
      <w:r w:rsidR="005204A4" w:rsidRPr="00A415D3">
        <w:t>month</w:t>
      </w:r>
      <w:r w:rsidR="00E95BA7" w:rsidRPr="00A415D3">
        <w:t xml:space="preserve"> commitment</w:t>
      </w:r>
      <w:r w:rsidR="000732A4" w:rsidRPr="00A415D3">
        <w:t xml:space="preserve"> </w:t>
      </w:r>
      <w:r w:rsidR="005D7B2C" w:rsidRPr="00A415D3">
        <w:t>(see Stats. 1974, ch.</w:t>
      </w:r>
      <w:r w:rsidR="0073782D" w:rsidRPr="00A415D3">
        <w:t> </w:t>
      </w:r>
      <w:r w:rsidR="005D7B2C" w:rsidRPr="00A415D3">
        <w:t>1511, § 6, p.</w:t>
      </w:r>
      <w:r w:rsidR="00A43988" w:rsidRPr="00A415D3">
        <w:t> </w:t>
      </w:r>
      <w:r w:rsidR="005D7B2C" w:rsidRPr="00A415D3">
        <w:t>3319; former § 1370, subd. (b)(2)), the presumption of competence was likewise applicable at the retrial of the defendant’s competence “</w:t>
      </w:r>
      <w:r w:rsidR="005D7B2C" w:rsidRPr="00A415D3">
        <w:rPr>
          <w:i/>
          <w:iCs/>
        </w:rPr>
        <w:t xml:space="preserve">in spite of the fact that it is inconsistent with his apparent </w:t>
      </w:r>
      <w:r w:rsidR="005D7B2C" w:rsidRPr="00A415D3">
        <w:t>non</w:t>
      </w:r>
      <w:r w:rsidR="005D7B2C" w:rsidRPr="00A415D3">
        <w:rPr>
          <w:i/>
          <w:iCs/>
        </w:rPr>
        <w:t>recovery of mental competence</w:t>
      </w:r>
      <w:r w:rsidR="005D7B2C" w:rsidRPr="00A415D3">
        <w:t>.”  (</w:t>
      </w:r>
      <w:r w:rsidR="005D7B2C" w:rsidRPr="00A415D3">
        <w:rPr>
          <w:i/>
          <w:iCs/>
        </w:rPr>
        <w:t>Rells</w:t>
      </w:r>
      <w:r w:rsidR="005D7B2C" w:rsidRPr="00A415D3">
        <w:t>, at p. 867.)</w:t>
      </w:r>
    </w:p>
    <w:p w14:paraId="3F29F0E5" w14:textId="77777777" w:rsidR="007C595D" w:rsidRPr="00A415D3" w:rsidRDefault="00AE6959" w:rsidP="00560442">
      <w:pPr>
        <w:pStyle w:val="NormalIndent"/>
        <w:ind w:left="0" w:firstLine="720"/>
      </w:pPr>
      <w:r w:rsidRPr="00A415D3">
        <w:t xml:space="preserve">In light of </w:t>
      </w:r>
      <w:r w:rsidR="00241D69" w:rsidRPr="00A415D3">
        <w:t>the foregoing</w:t>
      </w:r>
      <w:r w:rsidR="006A04CC" w:rsidRPr="00A415D3">
        <w:t>, it appears that the Legislature</w:t>
      </w:r>
      <w:r w:rsidR="00BF5E47" w:rsidRPr="00A415D3">
        <w:t xml:space="preserve"> simply</w:t>
      </w:r>
      <w:r w:rsidR="006A04CC" w:rsidRPr="00A415D3">
        <w:t xml:space="preserve"> intended </w:t>
      </w:r>
      <w:r w:rsidR="00093DD4" w:rsidRPr="00A415D3">
        <w:t xml:space="preserve">for </w:t>
      </w:r>
      <w:r w:rsidR="006A04CC" w:rsidRPr="00A415D3">
        <w:t>the presumption of competence to operate as</w:t>
      </w:r>
      <w:r w:rsidR="000805F4" w:rsidRPr="00A415D3">
        <w:t xml:space="preserve"> a principle of law that a court appl</w:t>
      </w:r>
      <w:r w:rsidR="00E95BA7" w:rsidRPr="00A415D3">
        <w:t>ies</w:t>
      </w:r>
      <w:r w:rsidR="000805F4" w:rsidRPr="00A415D3">
        <w:t xml:space="preserve"> in making a competency determination</w:t>
      </w:r>
      <w:r w:rsidR="0030214C" w:rsidRPr="00A415D3">
        <w:t xml:space="preserve"> at any stage</w:t>
      </w:r>
      <w:r w:rsidR="000805F4" w:rsidRPr="00A415D3">
        <w:t>.</w:t>
      </w:r>
      <w:r w:rsidR="006A04CC" w:rsidRPr="00A415D3">
        <w:t xml:space="preserve"> </w:t>
      </w:r>
      <w:r w:rsidR="000805F4" w:rsidRPr="00A415D3">
        <w:t xml:space="preserve"> </w:t>
      </w:r>
      <w:r w:rsidR="00EF16E3" w:rsidRPr="00A415D3">
        <w:t xml:space="preserve">(See </w:t>
      </w:r>
      <w:r w:rsidR="00EF16E3" w:rsidRPr="00A415D3">
        <w:rPr>
          <w:i/>
          <w:iCs/>
        </w:rPr>
        <w:t>Rells</w:t>
      </w:r>
      <w:r w:rsidR="00EF16E3" w:rsidRPr="00A415D3">
        <w:t xml:space="preserve">, </w:t>
      </w:r>
      <w:r w:rsidR="00EF16E3" w:rsidRPr="00A415D3">
        <w:rPr>
          <w:i/>
          <w:iCs/>
        </w:rPr>
        <w:t>supra</w:t>
      </w:r>
      <w:r w:rsidR="00EF16E3" w:rsidRPr="00A415D3">
        <w:t xml:space="preserve">, 22 Cal.4th at p. 862 [stating that the presumption of competence “operates to impose the burden of proof on the party, if any, who claims that the defendant is mentally incompetent, and fixes the weight thereof at preponderance of the evidence”]; </w:t>
      </w:r>
      <w:r w:rsidR="00EF16E3" w:rsidRPr="00A415D3">
        <w:rPr>
          <w:i/>
          <w:iCs/>
        </w:rPr>
        <w:t>Medina</w:t>
      </w:r>
      <w:r w:rsidR="008014AB" w:rsidRPr="00A415D3">
        <w:rPr>
          <w:i/>
          <w:iCs/>
        </w:rPr>
        <w:t xml:space="preserve"> v. California</w:t>
      </w:r>
      <w:r w:rsidR="00EF16E3" w:rsidRPr="00A415D3">
        <w:t xml:space="preserve">, </w:t>
      </w:r>
      <w:r w:rsidR="00EF16E3" w:rsidRPr="00A415D3">
        <w:rPr>
          <w:i/>
          <w:iCs/>
        </w:rPr>
        <w:t>supra</w:t>
      </w:r>
      <w:r w:rsidR="00EF16E3" w:rsidRPr="00A415D3">
        <w:t>, 505 U.S. at p. 449 [explaining that the presumption of competenc</w:t>
      </w:r>
      <w:r w:rsidR="00382FFF" w:rsidRPr="00A415D3">
        <w:t>e</w:t>
      </w:r>
      <w:r w:rsidR="00EF16E3" w:rsidRPr="00A415D3">
        <w:t xml:space="preserve"> has limited legal effect, “affect[ing] competency determinations only in a narrow class of cases where the evidence is in equipoise; that is, where the evidence that a defendant is competent is just as strong as the evidence that he is incompetent”].)  </w:t>
      </w:r>
      <w:r w:rsidR="00785150" w:rsidRPr="00A415D3">
        <w:t xml:space="preserve">It goes too far to </w:t>
      </w:r>
      <w:r w:rsidR="00C12023" w:rsidRPr="00A415D3">
        <w:t xml:space="preserve">conclude </w:t>
      </w:r>
      <w:r w:rsidR="00512D8A" w:rsidRPr="00A415D3">
        <w:t xml:space="preserve">that </w:t>
      </w:r>
      <w:r w:rsidR="00785150" w:rsidRPr="00A415D3">
        <w:t xml:space="preserve">the presumption </w:t>
      </w:r>
      <w:r w:rsidR="00C12023" w:rsidRPr="00A415D3">
        <w:t xml:space="preserve">reflects </w:t>
      </w:r>
      <w:r w:rsidR="00241D69" w:rsidRPr="00A415D3">
        <w:t>the Legislature’s</w:t>
      </w:r>
      <w:r w:rsidR="00785150" w:rsidRPr="00A415D3">
        <w:t xml:space="preserve"> understanding that a commitment ends upon the filing of a certificate of restoration</w:t>
      </w:r>
      <w:r w:rsidR="00263C8D" w:rsidRPr="00A415D3">
        <w:t>.</w:t>
      </w:r>
    </w:p>
    <w:p w14:paraId="3F29F0E6" w14:textId="77777777" w:rsidR="00870F56" w:rsidRPr="00A415D3" w:rsidRDefault="00AE6959" w:rsidP="00560442">
      <w:pPr>
        <w:pStyle w:val="NormalIndent"/>
        <w:ind w:left="0" w:firstLine="720"/>
      </w:pPr>
      <w:r w:rsidRPr="00A415D3">
        <w:t xml:space="preserve">Furthermore, </w:t>
      </w:r>
      <w:r w:rsidR="006A04CC" w:rsidRPr="00A415D3">
        <w:t xml:space="preserve">even when the presumption of competence </w:t>
      </w:r>
      <w:r w:rsidR="00E95BA7" w:rsidRPr="00A415D3">
        <w:t xml:space="preserve">does not run counter to doubts regarding the defendant’s competency — and instead </w:t>
      </w:r>
      <w:r w:rsidR="006A04CC" w:rsidRPr="00A415D3">
        <w:t>“conforms in fact with the certificate of restoration filed by the specified mental health official”</w:t>
      </w:r>
      <w:r w:rsidR="009B064A" w:rsidRPr="00A415D3">
        <w:t xml:space="preserve"> </w:t>
      </w:r>
      <w:r w:rsidR="006A04CC" w:rsidRPr="00A415D3">
        <w:t>(</w:t>
      </w:r>
      <w:r w:rsidR="006A04CC" w:rsidRPr="00A415D3">
        <w:rPr>
          <w:i/>
          <w:iCs/>
        </w:rPr>
        <w:t>Rells</w:t>
      </w:r>
      <w:r w:rsidR="006A04CC" w:rsidRPr="00A415D3">
        <w:t xml:space="preserve">, </w:t>
      </w:r>
      <w:r w:rsidR="006A04CC" w:rsidRPr="00A415D3">
        <w:rPr>
          <w:i/>
          <w:iCs/>
        </w:rPr>
        <w:t>supra</w:t>
      </w:r>
      <w:r w:rsidR="006A04CC" w:rsidRPr="00A415D3">
        <w:t>, 22</w:t>
      </w:r>
      <w:r w:rsidR="009B064A" w:rsidRPr="00A415D3">
        <w:t> </w:t>
      </w:r>
      <w:r w:rsidR="006A04CC" w:rsidRPr="00A415D3">
        <w:t xml:space="preserve">Cal.4th at p. 867, italics </w:t>
      </w:r>
      <w:r w:rsidR="008014AB" w:rsidRPr="00A415D3">
        <w:t>omitted</w:t>
      </w:r>
      <w:r w:rsidR="006A04CC" w:rsidRPr="00A415D3">
        <w:t>)</w:t>
      </w:r>
      <w:r w:rsidR="00E95BA7" w:rsidRPr="00A415D3">
        <w:t xml:space="preserve"> — </w:t>
      </w:r>
      <w:r w:rsidRPr="00A415D3">
        <w:t>t</w:t>
      </w:r>
      <w:r w:rsidR="002F3664" w:rsidRPr="00A415D3">
        <w:t>he</w:t>
      </w:r>
      <w:r w:rsidR="00E95BA7" w:rsidRPr="00A415D3">
        <w:t xml:space="preserve"> </w:t>
      </w:r>
      <w:r w:rsidR="002F3664" w:rsidRPr="00A415D3">
        <w:t xml:space="preserve">court </w:t>
      </w:r>
      <w:r w:rsidR="000C26CF" w:rsidRPr="00A415D3">
        <w:t xml:space="preserve">has the </w:t>
      </w:r>
      <w:r w:rsidR="00B14670" w:rsidRPr="00A415D3">
        <w:t>statutor</w:t>
      </w:r>
      <w:r w:rsidR="000C26CF" w:rsidRPr="00A415D3">
        <w:t>y</w:t>
      </w:r>
      <w:r w:rsidR="00B14670" w:rsidRPr="00A415D3">
        <w:t xml:space="preserve"> authori</w:t>
      </w:r>
      <w:r w:rsidR="000C26CF" w:rsidRPr="00A415D3">
        <w:t>ty</w:t>
      </w:r>
      <w:r w:rsidR="00B14670" w:rsidRPr="00A415D3">
        <w:t xml:space="preserve"> to reject</w:t>
      </w:r>
      <w:r w:rsidR="002F3664" w:rsidRPr="00A415D3">
        <w:t xml:space="preserve"> the </w:t>
      </w:r>
      <w:r w:rsidR="006A04CC" w:rsidRPr="00A415D3">
        <w:t>certification</w:t>
      </w:r>
      <w:r w:rsidR="00785150" w:rsidRPr="00A415D3">
        <w:t xml:space="preserve"> and </w:t>
      </w:r>
      <w:r w:rsidR="00BC3E60" w:rsidRPr="00A415D3">
        <w:t xml:space="preserve">find a defendant </w:t>
      </w:r>
      <w:r w:rsidR="00B14670" w:rsidRPr="00A415D3">
        <w:t>incompetent</w:t>
      </w:r>
      <w:r w:rsidR="00BC3E60" w:rsidRPr="00A415D3">
        <w:t xml:space="preserve"> </w:t>
      </w:r>
      <w:r w:rsidR="00B14670" w:rsidRPr="00A415D3">
        <w:t>(</w:t>
      </w:r>
      <w:r w:rsidR="00560B1B" w:rsidRPr="00A415D3">
        <w:t>s</w:t>
      </w:r>
      <w:r w:rsidR="00B14670" w:rsidRPr="00A415D3">
        <w:t>ee § 1372, subd.</w:t>
      </w:r>
      <w:r w:rsidR="009B064A" w:rsidRPr="00A415D3">
        <w:t> </w:t>
      </w:r>
      <w:r w:rsidR="00B14670" w:rsidRPr="00A415D3">
        <w:t>(c)(2))</w:t>
      </w:r>
      <w:r w:rsidR="00560B1B" w:rsidRPr="00A415D3">
        <w:t>.</w:t>
      </w:r>
      <w:r>
        <w:rPr>
          <w:rStyle w:val="FootnoteReference"/>
        </w:rPr>
        <w:footnoteReference w:id="10"/>
      </w:r>
      <w:r w:rsidR="00B14670" w:rsidRPr="00A415D3">
        <w:t xml:space="preserve">  </w:t>
      </w:r>
      <w:r w:rsidR="00BF0740" w:rsidRPr="00A415D3">
        <w:t xml:space="preserve">Yet, </w:t>
      </w:r>
      <w:r w:rsidR="00AF75E8" w:rsidRPr="00A415D3">
        <w:t>u</w:t>
      </w:r>
      <w:r w:rsidRPr="00A415D3">
        <w:t xml:space="preserve">nder the People’s interpretation, </w:t>
      </w:r>
      <w:r w:rsidR="00785150" w:rsidRPr="00A415D3">
        <w:t xml:space="preserve">even </w:t>
      </w:r>
      <w:r w:rsidRPr="00A415D3">
        <w:t xml:space="preserve">an </w:t>
      </w:r>
      <w:r w:rsidRPr="00A415D3">
        <w:rPr>
          <w:i/>
          <w:iCs/>
        </w:rPr>
        <w:t>erroneous</w:t>
      </w:r>
      <w:r w:rsidRPr="00A415D3">
        <w:t xml:space="preserve"> certificate of restoration terminates an incompetency commitment.  The People offer </w:t>
      </w:r>
      <w:r w:rsidR="006A04CC" w:rsidRPr="00A415D3">
        <w:t>no persuasive</w:t>
      </w:r>
      <w:r w:rsidRPr="00A415D3">
        <w:t xml:space="preserve"> explanation why the Legislature would intend that an incompetent defendant</w:t>
      </w:r>
      <w:r w:rsidR="009A7879" w:rsidRPr="00A415D3">
        <w:t> </w:t>
      </w:r>
      <w:r w:rsidRPr="00A415D3">
        <w:t xml:space="preserve">— who like Rodriguez may be </w:t>
      </w:r>
      <w:r w:rsidR="000C26CF" w:rsidRPr="00A415D3">
        <w:t xml:space="preserve">moved </w:t>
      </w:r>
      <w:r w:rsidRPr="00A415D3">
        <w:t>between a state hospital and the county jail, all the while remaining confined and involuntarily medicated</w:t>
      </w:r>
      <w:r w:rsidR="009A7879" w:rsidRPr="00A415D3">
        <w:t> </w:t>
      </w:r>
      <w:r w:rsidRPr="00A415D3">
        <w:t xml:space="preserve">— should not have such time counted toward the maximum term of commitment merely because his doctor </w:t>
      </w:r>
      <w:r w:rsidR="00C05BD2" w:rsidRPr="00A415D3">
        <w:t>mistakenly</w:t>
      </w:r>
      <w:r w:rsidRPr="00A415D3">
        <w:t xml:space="preserve"> concluded that he has regained comp</w:t>
      </w:r>
      <w:r w:rsidRPr="00A415D3">
        <w:t>etenc</w:t>
      </w:r>
      <w:r w:rsidR="00C7244C" w:rsidRPr="00A415D3">
        <w:t>y</w:t>
      </w:r>
      <w:r w:rsidRPr="00A415D3">
        <w:t>.</w:t>
      </w:r>
    </w:p>
    <w:p w14:paraId="3F29F0E7" w14:textId="77777777" w:rsidR="00D016D9" w:rsidRPr="00A415D3" w:rsidRDefault="00AE6959" w:rsidP="00560442">
      <w:pPr>
        <w:pStyle w:val="Heading5"/>
        <w:numPr>
          <w:ilvl w:val="0"/>
          <w:numId w:val="20"/>
        </w:numPr>
        <w:ind w:left="2448" w:hanging="432"/>
      </w:pPr>
      <w:r w:rsidRPr="00A415D3">
        <w:t>The asserted primacy of location</w:t>
      </w:r>
    </w:p>
    <w:p w14:paraId="3F29F0E8" w14:textId="77777777" w:rsidR="00502B4E" w:rsidRPr="00A415D3" w:rsidRDefault="00AE6959" w:rsidP="00560442">
      <w:pPr>
        <w:pStyle w:val="NormalIndent"/>
        <w:ind w:left="0" w:firstLine="720"/>
      </w:pPr>
      <w:r w:rsidRPr="00A415D3">
        <w:t xml:space="preserve">The People’s third textual argument is based on </w:t>
      </w:r>
      <w:r w:rsidR="00D74024" w:rsidRPr="00A415D3">
        <w:t>section 1370</w:t>
      </w:r>
      <w:r w:rsidRPr="00A415D3">
        <w:t xml:space="preserve">.  </w:t>
      </w:r>
      <w:r w:rsidR="00CB6214" w:rsidRPr="00A415D3">
        <w:t>T</w:t>
      </w:r>
      <w:r w:rsidR="00D74024" w:rsidRPr="00A415D3">
        <w:t>he People</w:t>
      </w:r>
      <w:r w:rsidRPr="00A415D3">
        <w:t xml:space="preserve"> assert that</w:t>
      </w:r>
      <w:r w:rsidR="00D74024" w:rsidRPr="00A415D3">
        <w:t xml:space="preserve"> section</w:t>
      </w:r>
      <w:r w:rsidR="0065107D" w:rsidRPr="00A415D3">
        <w:t> </w:t>
      </w:r>
      <w:r w:rsidR="00D74024" w:rsidRPr="00A415D3">
        <w:t>1370 uses the words “delivered” and “committed” synonymously</w:t>
      </w:r>
      <w:r w:rsidR="00CB6214" w:rsidRPr="00A415D3">
        <w:t xml:space="preserve"> in arguing that a commitment consists only of that period “wherein the defendant is physically placed in the care and custody of the state hospital for restoration treatment</w:t>
      </w:r>
      <w:r w:rsidRPr="00A415D3">
        <w:t>.</w:t>
      </w:r>
      <w:r w:rsidR="00CB6214" w:rsidRPr="00A415D3">
        <w:t>”</w:t>
      </w:r>
      <w:r w:rsidR="00CE1149" w:rsidRPr="00A415D3">
        <w:t xml:space="preserve">  (See § 1370, subd.</w:t>
      </w:r>
      <w:r w:rsidR="008A0861" w:rsidRPr="00A415D3">
        <w:t> </w:t>
      </w:r>
      <w:r w:rsidR="00CE1149" w:rsidRPr="00A415D3">
        <w:t>(a)(1)(B)(i) [</w:t>
      </w:r>
      <w:r w:rsidR="009479E2" w:rsidRPr="00A415D3">
        <w:t xml:space="preserve">specifying that once a defendant is found incompetent, </w:t>
      </w:r>
      <w:r w:rsidR="00CE1149" w:rsidRPr="00A415D3">
        <w:t>“</w:t>
      </w:r>
      <w:r w:rsidR="009479E2" w:rsidRPr="00A415D3">
        <w:t>[t]he court shall order that the mentally incompetent defendant be delivered by the sheriff to a State Department of State Hospitals facility . . . or to any other available public or private treatment facility . . . or placed on outpatient status</w:t>
      </w:r>
      <w:r w:rsidR="00CE1149" w:rsidRPr="00A415D3">
        <w:t xml:space="preserve">”]; </w:t>
      </w:r>
      <w:r w:rsidR="009479E2" w:rsidRPr="00A415D3">
        <w:rPr>
          <w:i/>
          <w:iCs/>
        </w:rPr>
        <w:t>id</w:t>
      </w:r>
      <w:r w:rsidR="009479E2" w:rsidRPr="00A415D3">
        <w:t>., subd.</w:t>
      </w:r>
      <w:r w:rsidR="008A0861" w:rsidRPr="00A415D3">
        <w:t> </w:t>
      </w:r>
      <w:r w:rsidR="009479E2" w:rsidRPr="00A415D3">
        <w:t>(a)(2) [referring to the order made under subdivision (a)(1)(B)(i) as “the order directing that the defendant be committed to the State Department of State Hospitals or other treatment facility or placed on outpatient status”]</w:t>
      </w:r>
      <w:r w:rsidR="00CE1149" w:rsidRPr="00A415D3">
        <w:t xml:space="preserve">.)  </w:t>
      </w:r>
      <w:r w:rsidRPr="00A415D3">
        <w:t>Because a</w:t>
      </w:r>
      <w:r w:rsidRPr="00A415D3">
        <w:t xml:space="preserve"> defendant is “committed” only upon being “delivered” to a treatment facility</w:t>
      </w:r>
      <w:r w:rsidR="00CE1149" w:rsidRPr="00A415D3">
        <w:t xml:space="preserve">, </w:t>
      </w:r>
      <w:r w:rsidR="008B1A86" w:rsidRPr="00A415D3">
        <w:t>the People</w:t>
      </w:r>
      <w:r w:rsidR="008A0861" w:rsidRPr="00A415D3">
        <w:t xml:space="preserve"> maintain</w:t>
      </w:r>
      <w:r w:rsidR="008B1A86" w:rsidRPr="00A415D3">
        <w:t xml:space="preserve">, </w:t>
      </w:r>
      <w:r w:rsidR="009479E2" w:rsidRPr="00A415D3">
        <w:t xml:space="preserve">“the definition of the ‘commitment’ </w:t>
      </w:r>
      <w:r w:rsidR="008E3CA2" w:rsidRPr="00A415D3">
        <w:t>. . .</w:t>
      </w:r>
      <w:r w:rsidR="009479E2" w:rsidRPr="00A415D3">
        <w:t xml:space="preserve"> should not be conflated with the period</w:t>
      </w:r>
      <w:r w:rsidR="002434BE" w:rsidRPr="00A415D3">
        <w:t xml:space="preserve"> </w:t>
      </w:r>
      <w:r w:rsidR="009479E2" w:rsidRPr="00A415D3">
        <w:t xml:space="preserve">of court-adjudged incompetency.”  </w:t>
      </w:r>
      <w:r w:rsidR="007C108B" w:rsidRPr="00A415D3">
        <w:t xml:space="preserve">Instead, according to the People, this language signifies that </w:t>
      </w:r>
      <w:r w:rsidR="00CB6214" w:rsidRPr="00A415D3">
        <w:t xml:space="preserve">it is </w:t>
      </w:r>
      <w:r w:rsidR="007C108B" w:rsidRPr="00A415D3">
        <w:t xml:space="preserve">a defendant’s presence at a treatment facility </w:t>
      </w:r>
      <w:r w:rsidR="00CB6214" w:rsidRPr="00A415D3">
        <w:t>that</w:t>
      </w:r>
      <w:r w:rsidR="007C108B" w:rsidRPr="00A415D3">
        <w:t xml:space="preserve"> constitutes a commitment</w:t>
      </w:r>
      <w:r w:rsidR="008A0861" w:rsidRPr="00A415D3">
        <w:t>.  A</w:t>
      </w:r>
      <w:r w:rsidR="007C108B" w:rsidRPr="00A415D3">
        <w:t>nd</w:t>
      </w:r>
      <w:r w:rsidR="00372430" w:rsidRPr="00A415D3">
        <w:t xml:space="preserve"> because a defendant is transferred back to </w:t>
      </w:r>
      <w:r w:rsidR="000732A4" w:rsidRPr="00A415D3">
        <w:t>county custody</w:t>
      </w:r>
      <w:r w:rsidR="00372430" w:rsidRPr="00A415D3">
        <w:t xml:space="preserve"> after being certified as </w:t>
      </w:r>
      <w:r w:rsidRPr="00A415D3">
        <w:t xml:space="preserve">having been </w:t>
      </w:r>
      <w:r w:rsidR="00372430" w:rsidRPr="00A415D3">
        <w:t>restored to competenc</w:t>
      </w:r>
      <w:r w:rsidR="00C7244C" w:rsidRPr="00A415D3">
        <w:t>y</w:t>
      </w:r>
      <w:r w:rsidR="00372430" w:rsidRPr="00A415D3">
        <w:t xml:space="preserve">, </w:t>
      </w:r>
      <w:r w:rsidR="00CB6214" w:rsidRPr="00A415D3">
        <w:t xml:space="preserve">the People contend, </w:t>
      </w:r>
      <w:r w:rsidR="00372430" w:rsidRPr="00A415D3">
        <w:t xml:space="preserve">the defendant is </w:t>
      </w:r>
      <w:r w:rsidRPr="00A415D3">
        <w:t xml:space="preserve">no longer </w:t>
      </w:r>
      <w:r w:rsidR="00372430" w:rsidRPr="00A415D3">
        <w:t>committed</w:t>
      </w:r>
      <w:r w:rsidR="007C108B" w:rsidRPr="00A415D3">
        <w:t xml:space="preserve"> for purposes of calculating the two-year time limit</w:t>
      </w:r>
      <w:r w:rsidR="00372430" w:rsidRPr="00A415D3">
        <w:t>.</w:t>
      </w:r>
      <w:r w:rsidRPr="00A415D3">
        <w:t xml:space="preserve">  </w:t>
      </w:r>
    </w:p>
    <w:p w14:paraId="3F29F0E9" w14:textId="77777777" w:rsidR="00E435D3" w:rsidRPr="00A415D3" w:rsidRDefault="00AE6959" w:rsidP="00560442">
      <w:pPr>
        <w:pStyle w:val="NormalIndent"/>
        <w:ind w:left="0" w:firstLine="720"/>
      </w:pPr>
      <w:r w:rsidRPr="00A415D3">
        <w:t xml:space="preserve">There are </w:t>
      </w:r>
      <w:r w:rsidR="006E6EB9" w:rsidRPr="00A415D3">
        <w:t xml:space="preserve">significant </w:t>
      </w:r>
      <w:r w:rsidRPr="00A415D3">
        <w:t xml:space="preserve">problems with the People’s argument that commitment only occurs when the defendant is physically present at a treatment facility.  </w:t>
      </w:r>
      <w:r w:rsidR="00A800C0" w:rsidRPr="00A415D3">
        <w:t xml:space="preserve">First, </w:t>
      </w:r>
      <w:r w:rsidR="0021034F" w:rsidRPr="00A415D3">
        <w:t>if location is determinative of whether a defendant is committed, then a commitment should end</w:t>
      </w:r>
      <w:r w:rsidR="00BA4DD2" w:rsidRPr="00A415D3">
        <w:t xml:space="preserve"> with a defendant’s actual transport from the treatment facility back to county custody</w:t>
      </w:r>
      <w:r w:rsidR="00D275A1" w:rsidRPr="00A415D3">
        <w:t> </w:t>
      </w:r>
      <w:r w:rsidR="0021034F" w:rsidRPr="00A415D3">
        <w:t>—</w:t>
      </w:r>
      <w:r w:rsidR="007C6355" w:rsidRPr="00A415D3">
        <w:t xml:space="preserve"> </w:t>
      </w:r>
      <w:r w:rsidR="0021034F" w:rsidRPr="00A415D3">
        <w:t>not with the filing of a certificate of restoration, as the People claim.  Section</w:t>
      </w:r>
      <w:r w:rsidR="00151718" w:rsidRPr="00A415D3">
        <w:t> </w:t>
      </w:r>
      <w:r w:rsidR="0021034F" w:rsidRPr="00A415D3">
        <w:t>1372 makes clear that such transport may take as long as 10</w:t>
      </w:r>
      <w:r w:rsidR="00151718" w:rsidRPr="00A415D3">
        <w:t> </w:t>
      </w:r>
      <w:r w:rsidR="0021034F" w:rsidRPr="00A415D3">
        <w:t>days from the filing of the certificate.  (§ 1372, subd.</w:t>
      </w:r>
      <w:r w:rsidR="00151718" w:rsidRPr="00A415D3">
        <w:t> </w:t>
      </w:r>
      <w:r w:rsidR="0021034F" w:rsidRPr="00A415D3">
        <w:t>(a)(3)(C) [“In all cases, the patient shall be returned to the committing court no later than 10</w:t>
      </w:r>
      <w:r w:rsidR="00552382" w:rsidRPr="00A415D3">
        <w:t> </w:t>
      </w:r>
      <w:r w:rsidR="0021034F" w:rsidRPr="00A415D3">
        <w:t>days following the filing of a certificate of restoration”].)</w:t>
      </w:r>
      <w:r w:rsidR="00195D1B" w:rsidRPr="00A415D3">
        <w:t xml:space="preserve">  </w:t>
      </w:r>
      <w:r w:rsidR="00A27888" w:rsidRPr="00A415D3">
        <w:t>T</w:t>
      </w:r>
      <w:r w:rsidR="00195D1B" w:rsidRPr="00A415D3">
        <w:t xml:space="preserve">he People’s </w:t>
      </w:r>
      <w:r w:rsidR="00151718" w:rsidRPr="00A415D3">
        <w:t>position</w:t>
      </w:r>
      <w:r w:rsidR="00195D1B" w:rsidRPr="00A415D3">
        <w:t xml:space="preserve"> that a commitment ends with the filing of a certificate of restoration is </w:t>
      </w:r>
      <w:r w:rsidR="005E1961" w:rsidRPr="00A415D3">
        <w:t xml:space="preserve">therefore </w:t>
      </w:r>
      <w:r w:rsidR="00195D1B" w:rsidRPr="00A415D3">
        <w:t xml:space="preserve">inconsistent with </w:t>
      </w:r>
      <w:r w:rsidR="00C47CA1" w:rsidRPr="00A415D3">
        <w:t xml:space="preserve">their </w:t>
      </w:r>
      <w:r w:rsidR="00195D1B" w:rsidRPr="00A415D3">
        <w:t xml:space="preserve">own assertion that a commitment consists of </w:t>
      </w:r>
      <w:r w:rsidR="00A265A9" w:rsidRPr="00A415D3">
        <w:t xml:space="preserve">the period </w:t>
      </w:r>
      <w:r w:rsidR="00BA4DD2" w:rsidRPr="00A415D3">
        <w:t xml:space="preserve">when </w:t>
      </w:r>
      <w:r w:rsidR="00195D1B" w:rsidRPr="00A415D3">
        <w:t>a defendant is physically in a treatment facility.</w:t>
      </w:r>
      <w:r>
        <w:rPr>
          <w:rStyle w:val="FootnoteReference"/>
          <w:bCs/>
        </w:rPr>
        <w:footnoteReference w:id="11"/>
      </w:r>
    </w:p>
    <w:p w14:paraId="3F29F0EA" w14:textId="77777777" w:rsidR="00A97212" w:rsidRPr="00A415D3" w:rsidRDefault="00AE6959" w:rsidP="00560442">
      <w:pPr>
        <w:pStyle w:val="NormalIndent"/>
        <w:ind w:left="0" w:firstLine="720"/>
      </w:pPr>
      <w:r w:rsidRPr="00A415D3">
        <w:t>Second, t</w:t>
      </w:r>
      <w:r w:rsidR="00602EA7" w:rsidRPr="00A415D3">
        <w:t>he People’s position</w:t>
      </w:r>
      <w:r w:rsidR="0007176B" w:rsidRPr="00A415D3">
        <w:t xml:space="preserve"> </w:t>
      </w:r>
      <w:r w:rsidR="00F76770" w:rsidRPr="00A415D3">
        <w:t xml:space="preserve">is </w:t>
      </w:r>
      <w:r w:rsidR="0007176B" w:rsidRPr="00A415D3">
        <w:t xml:space="preserve">inconsistent with various </w:t>
      </w:r>
      <w:r w:rsidR="00B27411" w:rsidRPr="00A415D3">
        <w:t xml:space="preserve">statutory </w:t>
      </w:r>
      <w:r w:rsidR="0007176B" w:rsidRPr="00A415D3">
        <w:t xml:space="preserve">provisions </w:t>
      </w:r>
      <w:r w:rsidR="0027008C" w:rsidRPr="00A415D3">
        <w:t xml:space="preserve">relating to competency determinations and proceedings </w:t>
      </w:r>
      <w:r w:rsidR="0007176B" w:rsidRPr="00A415D3">
        <w:t xml:space="preserve">that </w:t>
      </w:r>
      <w:r w:rsidR="00C86B19" w:rsidRPr="00A415D3">
        <w:t xml:space="preserve">treat </w:t>
      </w:r>
      <w:r w:rsidR="0007176B" w:rsidRPr="00A415D3">
        <w:t xml:space="preserve">“commitment” </w:t>
      </w:r>
      <w:r w:rsidR="0027008C" w:rsidRPr="00A415D3">
        <w:t xml:space="preserve">as distinct from events </w:t>
      </w:r>
      <w:r w:rsidR="005E1961" w:rsidRPr="00A415D3">
        <w:t xml:space="preserve">such </w:t>
      </w:r>
      <w:r w:rsidR="0027008C" w:rsidRPr="00A415D3">
        <w:t xml:space="preserve">as </w:t>
      </w:r>
      <w:r w:rsidR="0007176B" w:rsidRPr="00A415D3">
        <w:t>“admission</w:t>
      </w:r>
      <w:r w:rsidR="0000118A" w:rsidRPr="00A415D3">
        <w:t>,” “transfer,” or “confinement</w:t>
      </w:r>
      <w:r w:rsidR="0027008C" w:rsidRPr="00A415D3">
        <w:t>.</w:t>
      </w:r>
      <w:r w:rsidR="0000118A" w:rsidRPr="00A415D3">
        <w:t xml:space="preserve">” </w:t>
      </w:r>
      <w:r w:rsidR="0027008C" w:rsidRPr="00A415D3">
        <w:t xml:space="preserve"> </w:t>
      </w:r>
      <w:r w:rsidR="0007176B" w:rsidRPr="00A415D3">
        <w:t>For example, Welfare and Institutions Code section</w:t>
      </w:r>
      <w:r w:rsidR="00151718" w:rsidRPr="00A415D3">
        <w:t> </w:t>
      </w:r>
      <w:r w:rsidR="0007176B" w:rsidRPr="00A415D3">
        <w:t xml:space="preserve">4335.2 “establish[es] a program for the </w:t>
      </w:r>
      <w:r w:rsidR="00A265A9" w:rsidRPr="00A415D3">
        <w:t>[D</w:t>
      </w:r>
      <w:r w:rsidR="008E3CA2" w:rsidRPr="00A415D3">
        <w:t>]</w:t>
      </w:r>
      <w:r w:rsidR="00A265A9" w:rsidRPr="00A415D3">
        <w:t>epartment</w:t>
      </w:r>
      <w:r w:rsidR="0007176B" w:rsidRPr="00A415D3">
        <w:t xml:space="preserve"> to perform reevaluations primarily through telehealth evaluations for felony incompetent to stand trial (IST) individuals in jail who have been waiting for admission to the</w:t>
      </w:r>
      <w:r w:rsidR="00A265A9" w:rsidRPr="00A415D3">
        <w:t xml:space="preserve"> </w:t>
      </w:r>
      <w:r w:rsidR="008E3CA2" w:rsidRPr="00A415D3">
        <w:t>[D]</w:t>
      </w:r>
      <w:r w:rsidR="00A265A9" w:rsidRPr="00A415D3">
        <w:t>epartment</w:t>
      </w:r>
      <w:r w:rsidR="0007176B" w:rsidRPr="00A415D3">
        <w:t>.”  (Welf. &amp; Inst. Code, § 4335.2, subd.</w:t>
      </w:r>
      <w:r w:rsidR="00151718" w:rsidRPr="00A415D3">
        <w:t> </w:t>
      </w:r>
      <w:r w:rsidR="0007176B" w:rsidRPr="00A415D3">
        <w:t xml:space="preserve">(b).)  Among the stated goals of allowing for such telehealth evaluations is “[t]o permit the </w:t>
      </w:r>
      <w:r w:rsidR="008E3CA2" w:rsidRPr="00A415D3">
        <w:t>[D]</w:t>
      </w:r>
      <w:r w:rsidR="0007176B" w:rsidRPr="00A415D3">
        <w:t xml:space="preserve">epartment to conduct reevaluations of IST defendants </w:t>
      </w:r>
      <w:r w:rsidR="0007176B" w:rsidRPr="00A415D3">
        <w:rPr>
          <w:i/>
          <w:iCs/>
        </w:rPr>
        <w:t xml:space="preserve">committed to the </w:t>
      </w:r>
      <w:r w:rsidR="008E3CA2" w:rsidRPr="00A415D3">
        <w:t>[</w:t>
      </w:r>
      <w:r w:rsidR="008E3CA2" w:rsidRPr="00A415D3">
        <w:rPr>
          <w:i/>
          <w:iCs/>
        </w:rPr>
        <w:t>D</w:t>
      </w:r>
      <w:r w:rsidR="008E3CA2" w:rsidRPr="00A415D3">
        <w:t>]</w:t>
      </w:r>
      <w:r w:rsidR="0007176B" w:rsidRPr="00A415D3">
        <w:rPr>
          <w:i/>
          <w:iCs/>
        </w:rPr>
        <w:t>epartment</w:t>
      </w:r>
      <w:r w:rsidR="0007176B" w:rsidRPr="00A415D3">
        <w:t xml:space="preserve"> and </w:t>
      </w:r>
      <w:r w:rsidR="0007176B" w:rsidRPr="00A415D3">
        <w:rPr>
          <w:i/>
          <w:iCs/>
        </w:rPr>
        <w:t>awaiting admission to</w:t>
      </w:r>
      <w:r w:rsidR="0007176B" w:rsidRPr="00A415D3">
        <w:t xml:space="preserve"> </w:t>
      </w:r>
      <w:r w:rsidR="008E3CA2" w:rsidRPr="00A415D3">
        <w:t>[</w:t>
      </w:r>
      <w:r w:rsidR="008E3CA2" w:rsidRPr="00A415D3">
        <w:rPr>
          <w:i/>
          <w:iCs/>
        </w:rPr>
        <w:t>D</w:t>
      </w:r>
      <w:r w:rsidR="008E3CA2" w:rsidRPr="00A415D3">
        <w:t>]</w:t>
      </w:r>
      <w:r w:rsidR="0007176B" w:rsidRPr="00A415D3">
        <w:rPr>
          <w:i/>
          <w:iCs/>
        </w:rPr>
        <w:t>epartment facilities</w:t>
      </w:r>
      <w:r w:rsidR="0007176B" w:rsidRPr="00A415D3">
        <w:t>.”  (</w:t>
      </w:r>
      <w:r w:rsidR="0007176B" w:rsidRPr="00A415D3">
        <w:rPr>
          <w:i/>
          <w:iCs/>
        </w:rPr>
        <w:t>Id</w:t>
      </w:r>
      <w:r w:rsidR="0007176B" w:rsidRPr="00A415D3">
        <w:t>., subd.</w:t>
      </w:r>
      <w:r w:rsidR="00151718" w:rsidRPr="00A415D3">
        <w:t> </w:t>
      </w:r>
      <w:r w:rsidR="0007176B" w:rsidRPr="00A415D3">
        <w:t>(</w:t>
      </w:r>
      <w:r w:rsidR="00602EA7" w:rsidRPr="00A415D3">
        <w:t>b)(1)</w:t>
      </w:r>
      <w:r w:rsidR="00A265A9" w:rsidRPr="00A415D3">
        <w:t>, italics added</w:t>
      </w:r>
      <w:r w:rsidR="00602EA7" w:rsidRPr="00A415D3">
        <w:t xml:space="preserve">; see also </w:t>
      </w:r>
      <w:r w:rsidR="00602EA7" w:rsidRPr="00A415D3">
        <w:rPr>
          <w:i/>
          <w:iCs/>
        </w:rPr>
        <w:t>id</w:t>
      </w:r>
      <w:r w:rsidR="00602EA7" w:rsidRPr="00A415D3">
        <w:t>., subd.</w:t>
      </w:r>
      <w:r w:rsidR="00151718" w:rsidRPr="00A415D3">
        <w:t> </w:t>
      </w:r>
      <w:r w:rsidR="00602EA7" w:rsidRPr="00A415D3">
        <w:t xml:space="preserve">(c) [“The </w:t>
      </w:r>
      <w:r w:rsidR="008E3CA2" w:rsidRPr="00A415D3">
        <w:t>[D]</w:t>
      </w:r>
      <w:r w:rsidR="00602EA7" w:rsidRPr="00A415D3">
        <w:t xml:space="preserve">epartment, or its designee, have the authority and sole discretion to consider and conduct reevaluations for IST defendants </w:t>
      </w:r>
      <w:r w:rsidR="00602EA7" w:rsidRPr="00A415D3">
        <w:rPr>
          <w:i/>
          <w:iCs/>
        </w:rPr>
        <w:t>committed to and awaiting admission</w:t>
      </w:r>
      <w:r w:rsidR="00602EA7" w:rsidRPr="00A415D3">
        <w:t xml:space="preserve"> to the </w:t>
      </w:r>
      <w:r w:rsidR="008E3CA2" w:rsidRPr="00A415D3">
        <w:t>[D]</w:t>
      </w:r>
      <w:r w:rsidR="00602EA7" w:rsidRPr="00A415D3">
        <w:t>epartment”]</w:t>
      </w:r>
      <w:r w:rsidR="00166096" w:rsidRPr="00A415D3">
        <w:t>, italics added</w:t>
      </w:r>
      <w:r w:rsidR="00151718" w:rsidRPr="00A415D3">
        <w:t>.</w:t>
      </w:r>
      <w:r w:rsidR="00602EA7" w:rsidRPr="00A415D3">
        <w:t>)</w:t>
      </w:r>
      <w:r w:rsidR="007158EA" w:rsidRPr="00A415D3">
        <w:t xml:space="preserve">  This provision suggests that a defendant is deemed committed </w:t>
      </w:r>
      <w:r w:rsidR="00253705" w:rsidRPr="00A415D3">
        <w:t>upon having his or her place of treatment judicially determined</w:t>
      </w:r>
      <w:r w:rsidR="007158EA" w:rsidRPr="00A415D3">
        <w:t>, not when the defendant actually enters a treatment facility.</w:t>
      </w:r>
    </w:p>
    <w:p w14:paraId="3F29F0EB" w14:textId="77777777" w:rsidR="00F04F0D" w:rsidRPr="00A415D3" w:rsidRDefault="00AE6959" w:rsidP="00560442">
      <w:pPr>
        <w:pStyle w:val="NormalIndent"/>
        <w:ind w:left="0" w:firstLine="720"/>
      </w:pPr>
      <w:r w:rsidRPr="00A415D3">
        <w:t>Along the same lines, s</w:t>
      </w:r>
      <w:r w:rsidR="00602EA7" w:rsidRPr="00A415D3">
        <w:t xml:space="preserve">ection 1370 </w:t>
      </w:r>
      <w:r w:rsidR="009111A4" w:rsidRPr="00A415D3">
        <w:t xml:space="preserve">requires </w:t>
      </w:r>
      <w:r w:rsidR="00602EA7" w:rsidRPr="00A415D3">
        <w:t>the Department to “make a written report to the court .</w:t>
      </w:r>
      <w:r w:rsidR="00A8225B" w:rsidRPr="00A415D3">
        <w:t> </w:t>
      </w:r>
      <w:r w:rsidR="00602EA7" w:rsidRPr="00A415D3">
        <w:t>.</w:t>
      </w:r>
      <w:r w:rsidR="00A8225B" w:rsidRPr="00A415D3">
        <w:t> </w:t>
      </w:r>
      <w:r w:rsidR="00602EA7" w:rsidRPr="00A415D3">
        <w:t>. concerning the defendant’s progress toward recovery of mental competence” “[w]ithin 90 days after a commitment made pursuant to subdivision (a).”  (§ 1370, subd. (b)</w:t>
      </w:r>
      <w:r w:rsidR="00110B11">
        <w:t>(1)</w:t>
      </w:r>
      <w:r w:rsidR="00602EA7" w:rsidRPr="00A415D3">
        <w:t>.)  “Commitment</w:t>
      </w:r>
      <w:r w:rsidR="007158EA" w:rsidRPr="00A415D3">
        <w:t>,</w:t>
      </w:r>
      <w:r w:rsidR="00602EA7" w:rsidRPr="00A415D3">
        <w:t>” as used in th</w:t>
      </w:r>
      <w:r w:rsidR="007158EA" w:rsidRPr="00A415D3">
        <w:t>is</w:t>
      </w:r>
      <w:r w:rsidR="00602EA7" w:rsidRPr="00A415D3">
        <w:t xml:space="preserve"> </w:t>
      </w:r>
      <w:r w:rsidR="004C4CD4" w:rsidRPr="00A415D3">
        <w:t>provision</w:t>
      </w:r>
      <w:r w:rsidR="00360D01" w:rsidRPr="00A415D3">
        <w:t> —</w:t>
      </w:r>
      <w:r w:rsidR="0094486E" w:rsidRPr="00A415D3">
        <w:t xml:space="preserve"> i.e., </w:t>
      </w:r>
      <w:r w:rsidR="00A8225B" w:rsidRPr="00A415D3">
        <w:t>“a commitment made pursuant to subdivision (a)</w:t>
      </w:r>
      <w:r w:rsidR="0094486E" w:rsidRPr="00A415D3">
        <w:t>”</w:t>
      </w:r>
      <w:r w:rsidR="00360D01" w:rsidRPr="00A415D3">
        <w:t> —</w:t>
      </w:r>
      <w:r w:rsidR="00571102" w:rsidRPr="00A415D3">
        <w:t xml:space="preserve"> </w:t>
      </w:r>
      <w:r w:rsidR="00602EA7" w:rsidRPr="00A415D3">
        <w:t>refers to the court’s commitment order, and not admission to or physical placement in a state hospital.</w:t>
      </w:r>
      <w:r w:rsidR="005E1961" w:rsidRPr="00A415D3">
        <w:t xml:space="preserve"> </w:t>
      </w:r>
      <w:r w:rsidR="00602EA7" w:rsidRPr="00A415D3">
        <w:t xml:space="preserve"> (</w:t>
      </w:r>
      <w:r w:rsidR="00602EA7" w:rsidRPr="00A415D3">
        <w:rPr>
          <w:i/>
          <w:iCs/>
        </w:rPr>
        <w:t>Ibid</w:t>
      </w:r>
      <w:r w:rsidR="00602EA7" w:rsidRPr="00A415D3">
        <w:t>.)</w:t>
      </w:r>
      <w:r w:rsidR="004A72E2" w:rsidRPr="00A415D3">
        <w:t xml:space="preserve">  </w:t>
      </w:r>
      <w:r w:rsidR="0094486E" w:rsidRPr="00A415D3">
        <w:t>Similarly, o</w:t>
      </w:r>
      <w:r w:rsidR="00C23E14" w:rsidRPr="00A415D3">
        <w:t>ther subdivisions of section</w:t>
      </w:r>
      <w:r w:rsidR="00650098" w:rsidRPr="00A415D3">
        <w:t> </w:t>
      </w:r>
      <w:r w:rsidR="00C23E14" w:rsidRPr="00A415D3">
        <w:t xml:space="preserve">1370 </w:t>
      </w:r>
      <w:r w:rsidR="0000118A" w:rsidRPr="00A415D3">
        <w:t>refer</w:t>
      </w:r>
      <w:r w:rsidR="00C23E14" w:rsidRPr="00A415D3">
        <w:t xml:space="preserve"> </w:t>
      </w:r>
      <w:r w:rsidR="0000118A" w:rsidRPr="00A415D3">
        <w:t xml:space="preserve">to </w:t>
      </w:r>
      <w:r w:rsidR="00C23E14" w:rsidRPr="00A415D3">
        <w:t xml:space="preserve">“commit[ment]” and “confine[ment]” </w:t>
      </w:r>
      <w:r w:rsidR="0000118A" w:rsidRPr="00A415D3">
        <w:t>or “commit[ment]” and “transfer” to a facility as separate events</w:t>
      </w:r>
      <w:r w:rsidR="00C23E14" w:rsidRPr="00A415D3">
        <w:t>.  (See, e.g., § 1370, subd.</w:t>
      </w:r>
      <w:r w:rsidR="00650098" w:rsidRPr="00A415D3">
        <w:t> </w:t>
      </w:r>
      <w:r w:rsidR="00C23E14" w:rsidRPr="00A415D3">
        <w:t xml:space="preserve">(a)(5) [“When directing that the defendant be confined in a State Department of State Hospitals facility pursuant to this subdivision, the court shall commit the defendant to the State Department of State Hospitals”]; </w:t>
      </w:r>
      <w:r w:rsidR="0000118A" w:rsidRPr="00A415D3">
        <w:rPr>
          <w:i/>
          <w:iCs/>
        </w:rPr>
        <w:t>id</w:t>
      </w:r>
      <w:r w:rsidR="0000118A" w:rsidRPr="00A415D3">
        <w:t>., subd.</w:t>
      </w:r>
      <w:r w:rsidR="00650098" w:rsidRPr="00A415D3">
        <w:t> </w:t>
      </w:r>
      <w:r w:rsidR="00C23E14" w:rsidRPr="00A415D3">
        <w:t>(a)(6)</w:t>
      </w:r>
      <w:r w:rsidR="0048751A" w:rsidRPr="00A415D3">
        <w:t>(A)</w:t>
      </w:r>
      <w:r w:rsidR="00C23E14" w:rsidRPr="00A415D3">
        <w:t xml:space="preserve"> [</w:t>
      </w:r>
      <w:r w:rsidR="0000118A" w:rsidRPr="00A415D3">
        <w:t xml:space="preserve">specifying appropriate actions a court may take in the event </w:t>
      </w:r>
      <w:r w:rsidR="00C23E14" w:rsidRPr="00A415D3">
        <w:t>“</w:t>
      </w:r>
      <w:r w:rsidR="0000118A" w:rsidRPr="00A415D3">
        <w:t xml:space="preserve">the defendant is committed or transferred to the State Department of </w:t>
      </w:r>
      <w:r w:rsidR="00773AC7" w:rsidRPr="00A415D3">
        <w:t xml:space="preserve">State </w:t>
      </w:r>
      <w:r w:rsidR="0000118A" w:rsidRPr="00A415D3">
        <w:t>Hospitals pursuant to this section</w:t>
      </w:r>
      <w:r w:rsidR="00C23E14" w:rsidRPr="00A415D3">
        <w:t>”]</w:t>
      </w:r>
      <w:r w:rsidR="0000118A" w:rsidRPr="00A415D3">
        <w:t>.)</w:t>
      </w:r>
      <w:r w:rsidR="0094486E" w:rsidRPr="00A415D3">
        <w:t xml:space="preserve">  A commitment thus does not </w:t>
      </w:r>
      <w:r w:rsidR="0060154B" w:rsidRPr="00A415D3">
        <w:t xml:space="preserve">necessarily </w:t>
      </w:r>
      <w:r w:rsidR="0094486E" w:rsidRPr="00A415D3">
        <w:t xml:space="preserve">coincide with actual presence in a state </w:t>
      </w:r>
      <w:r w:rsidR="0060154B" w:rsidRPr="00A415D3">
        <w:t>treatment facility</w:t>
      </w:r>
      <w:r w:rsidR="0094486E" w:rsidRPr="00A415D3">
        <w:t>.</w:t>
      </w:r>
      <w:r>
        <w:rPr>
          <w:rStyle w:val="FootnoteReference"/>
        </w:rPr>
        <w:footnoteReference w:id="12"/>
      </w:r>
    </w:p>
    <w:p w14:paraId="3F29F0EC" w14:textId="77777777" w:rsidR="00D016D9" w:rsidRPr="00A415D3" w:rsidRDefault="00AE6959" w:rsidP="00560442">
      <w:pPr>
        <w:pStyle w:val="Heading5"/>
        <w:numPr>
          <w:ilvl w:val="0"/>
          <w:numId w:val="20"/>
        </w:numPr>
        <w:ind w:left="2448" w:hanging="432"/>
      </w:pPr>
      <w:r w:rsidRPr="00A415D3">
        <w:t xml:space="preserve">Other </w:t>
      </w:r>
      <w:r w:rsidR="00B330C7" w:rsidRPr="00A415D3">
        <w:t>t</w:t>
      </w:r>
      <w:r w:rsidRPr="00A415D3">
        <w:t xml:space="preserve">extual </w:t>
      </w:r>
      <w:r w:rsidR="00B330C7" w:rsidRPr="00A415D3">
        <w:t>a</w:t>
      </w:r>
      <w:r w:rsidRPr="00A415D3">
        <w:t>rguments</w:t>
      </w:r>
    </w:p>
    <w:p w14:paraId="3F29F0ED" w14:textId="77777777" w:rsidR="006E6EB9" w:rsidRPr="00A415D3" w:rsidRDefault="00AE6959" w:rsidP="00560442">
      <w:pPr>
        <w:pStyle w:val="NormalIndent"/>
        <w:ind w:left="0" w:firstLine="720"/>
      </w:pPr>
      <w:r w:rsidRPr="00A415D3">
        <w:t>The People also</w:t>
      </w:r>
      <w:r w:rsidRPr="00A415D3">
        <w:t xml:space="preserve"> </w:t>
      </w:r>
      <w:r w:rsidR="008E3CA2" w:rsidRPr="00A415D3">
        <w:t xml:space="preserve">rely on </w:t>
      </w:r>
      <w:r w:rsidRPr="00A415D3">
        <w:t>section 1370(c)(1)</w:t>
      </w:r>
      <w:r w:rsidR="008E3CA2" w:rsidRPr="00A415D3">
        <w:t>, which</w:t>
      </w:r>
      <w:r w:rsidRPr="00A415D3">
        <w:t xml:space="preserve"> specifies that “a defendant who has not recovered mental competence shall be returned to the committing court” at the end of a two-year commitment period</w:t>
      </w:r>
      <w:r w:rsidR="008E3CA2" w:rsidRPr="00A415D3">
        <w:t>.  The People argue that the two-year</w:t>
      </w:r>
      <w:r w:rsidRPr="00A415D3">
        <w:t xml:space="preserve"> time limit in section</w:t>
      </w:r>
      <w:r w:rsidR="008E3CA2" w:rsidRPr="00A415D3">
        <w:t> </w:t>
      </w:r>
      <w:r w:rsidRPr="00A415D3">
        <w:t>1370(c)(</w:t>
      </w:r>
      <w:r w:rsidRPr="00A415D3">
        <w:t>1) cannot “apply to court hearings after the defendant has been returned to court pursuant to section</w:t>
      </w:r>
      <w:r w:rsidR="0017795E" w:rsidRPr="00A415D3">
        <w:t> </w:t>
      </w:r>
      <w:r w:rsidRPr="00A415D3">
        <w:t>1372, given that the remedy [under</w:t>
      </w:r>
      <w:r w:rsidR="0017795E" w:rsidRPr="00A415D3">
        <w:t> </w:t>
      </w:r>
      <w:r w:rsidRPr="00A415D3">
        <w:t xml:space="preserve">section 1370(c)(1)] is to return the defendant to </w:t>
      </w:r>
      <w:r w:rsidR="00773AC7" w:rsidRPr="00A415D3">
        <w:t xml:space="preserve">the committing </w:t>
      </w:r>
      <w:r w:rsidRPr="00A415D3">
        <w:t xml:space="preserve">court — an event that has already occurred.”  </w:t>
      </w:r>
    </w:p>
    <w:p w14:paraId="3F29F0EE" w14:textId="77777777" w:rsidR="00D016D9" w:rsidRPr="00A415D3" w:rsidRDefault="00AE6959" w:rsidP="00560442">
      <w:pPr>
        <w:pStyle w:val="NormalIndent"/>
        <w:ind w:left="0" w:firstLine="720"/>
      </w:pPr>
      <w:r w:rsidRPr="00A415D3">
        <w:t>The Peo</w:t>
      </w:r>
      <w:r w:rsidRPr="00A415D3">
        <w:t xml:space="preserve">ple’s </w:t>
      </w:r>
      <w:r w:rsidR="002D680C" w:rsidRPr="00A415D3">
        <w:t xml:space="preserve">interpretation </w:t>
      </w:r>
      <w:r w:rsidR="007A7C1A" w:rsidRPr="00A415D3">
        <w:t xml:space="preserve">fails to recognize </w:t>
      </w:r>
      <w:r w:rsidR="001C50B0" w:rsidRPr="00A415D3">
        <w:t>section 1370(c)(1)</w:t>
      </w:r>
      <w:r w:rsidR="007A7C1A" w:rsidRPr="00A415D3">
        <w:t>’s multiple functions</w:t>
      </w:r>
      <w:r w:rsidRPr="00A415D3">
        <w:t xml:space="preserve">.  </w:t>
      </w:r>
      <w:r w:rsidR="001C50B0" w:rsidRPr="00A415D3">
        <w:t xml:space="preserve">This statute </w:t>
      </w:r>
      <w:r w:rsidRPr="00A415D3">
        <w:t>not only compels the transport of a defendant from one place to another, but also limits the amount of time that a</w:t>
      </w:r>
      <w:r w:rsidR="0017795E" w:rsidRPr="00A415D3">
        <w:t xml:space="preserve"> defendant</w:t>
      </w:r>
      <w:r w:rsidRPr="00A415D3">
        <w:t xml:space="preserve"> may be committed due to incompetency</w:t>
      </w:r>
      <w:r w:rsidRPr="00A415D3">
        <w:t xml:space="preserve">.  </w:t>
      </w:r>
      <w:r w:rsidR="00717F51" w:rsidRPr="00A415D3">
        <w:t>(See § 1370(c)(1) [specifying that “[t]he court shall not order the defendant returned to the custody of the State Department of State Hospitals under the same commitment” if a defendant has reache</w:t>
      </w:r>
      <w:r w:rsidR="0017795E" w:rsidRPr="00A415D3">
        <w:t>d</w:t>
      </w:r>
      <w:r w:rsidR="00717F51" w:rsidRPr="00A415D3">
        <w:t xml:space="preserve"> his maximum term of commitment].)  </w:t>
      </w:r>
      <w:r w:rsidRPr="00A415D3">
        <w:t>Rodriguez seeks the</w:t>
      </w:r>
      <w:r w:rsidRPr="00A415D3">
        <w:t xml:space="preserve"> application of this limit and a declaration that as a </w:t>
      </w:r>
      <w:r w:rsidR="00022FCA" w:rsidRPr="00A415D3">
        <w:t xml:space="preserve">defendant </w:t>
      </w:r>
      <w:r w:rsidRPr="00A415D3">
        <w:t>whose commitment has reached the statutorily</w:t>
      </w:r>
      <w:r w:rsidR="007139EA" w:rsidRPr="00A415D3">
        <w:t xml:space="preserve"> </w:t>
      </w:r>
      <w:r w:rsidRPr="00A415D3">
        <w:t>allowed maximum</w:t>
      </w:r>
      <w:r w:rsidR="007A7C1A" w:rsidRPr="00A415D3">
        <w:t>,</w:t>
      </w:r>
      <w:r w:rsidRPr="00A415D3">
        <w:t xml:space="preserve"> “the court should either order him released from confinement or initiate appropriate alternative commitment proceedings under the Lanterman-Petris-Short Act” (</w:t>
      </w:r>
      <w:r w:rsidRPr="00A415D3">
        <w:rPr>
          <w:i/>
          <w:iCs/>
        </w:rPr>
        <w:t>Davis</w:t>
      </w:r>
      <w:r w:rsidRPr="00A415D3">
        <w:t xml:space="preserve">, </w:t>
      </w:r>
      <w:r w:rsidRPr="00A415D3">
        <w:rPr>
          <w:i/>
          <w:iCs/>
        </w:rPr>
        <w:t>supra</w:t>
      </w:r>
      <w:r w:rsidRPr="00A415D3">
        <w:t>, 8 Cal.3d at p. 807) — neither of which is “an event that has already occurred.</w:t>
      </w:r>
      <w:r w:rsidR="00366F58" w:rsidRPr="00A415D3">
        <w:t>”</w:t>
      </w:r>
      <w:r>
        <w:rPr>
          <w:rStyle w:val="FootnoteReference"/>
        </w:rPr>
        <w:footnoteReference w:id="13"/>
      </w:r>
      <w:r w:rsidRPr="00A415D3">
        <w:t xml:space="preserve"> </w:t>
      </w:r>
      <w:r w:rsidR="00717F51" w:rsidRPr="00A415D3">
        <w:t xml:space="preserve"> </w:t>
      </w:r>
    </w:p>
    <w:p w14:paraId="3F29F0EF" w14:textId="77777777" w:rsidR="00D016D9" w:rsidRPr="00A415D3" w:rsidRDefault="00AE6959" w:rsidP="00560442">
      <w:pPr>
        <w:pStyle w:val="NormalIndent"/>
        <w:ind w:left="0" w:firstLine="720"/>
      </w:pPr>
      <w:r w:rsidRPr="00A415D3">
        <w:t>The People also contend that if we were to “conclud[e] that a court’s competency finding is necessary to terminate [a] commitment,” commitments would last “indefinitely” for certain defendants.  Specifically, the People point to defendants returned to co</w:t>
      </w:r>
      <w:r w:rsidRPr="00A415D3">
        <w:t xml:space="preserve">urt when a </w:t>
      </w:r>
      <w:r w:rsidR="006E6EB9" w:rsidRPr="00A415D3">
        <w:t xml:space="preserve">designated medical professional </w:t>
      </w:r>
      <w:r w:rsidRPr="00A415D3">
        <w:t>reports that “there is no substantial likelihood that the defendant[s] will regain mental competence in the foreseeable future” (§ 1370, subd.</w:t>
      </w:r>
      <w:r w:rsidR="00022FCA" w:rsidRPr="00A415D3">
        <w:t> </w:t>
      </w:r>
      <w:r w:rsidRPr="00A415D3">
        <w:t xml:space="preserve">(b)(1)(A)) and those returned to court after their maximum commitment </w:t>
      </w:r>
      <w:r w:rsidRPr="00A415D3">
        <w:t>term has expired (§ 1370(c)(1)).  The People maintain that because the statutes do not provide for a court hearing to redetermine defendants’ competency when they are returned via these two paths, such hearings would never occur and the defendants “would r</w:t>
      </w:r>
      <w:r w:rsidRPr="00A415D3">
        <w:t xml:space="preserve">emain indefinitely committed.”  (See </w:t>
      </w:r>
      <w:r w:rsidRPr="00A415D3">
        <w:rPr>
          <w:i/>
          <w:iCs/>
        </w:rPr>
        <w:t>Taitano</w:t>
      </w:r>
      <w:r w:rsidRPr="00A415D3">
        <w:t xml:space="preserve">, </w:t>
      </w:r>
      <w:r w:rsidRPr="00A415D3">
        <w:rPr>
          <w:i/>
          <w:iCs/>
        </w:rPr>
        <w:t>supra</w:t>
      </w:r>
      <w:r w:rsidRPr="00A415D3">
        <w:t xml:space="preserve">, 13 Cal.App.5th at p. 239; </w:t>
      </w:r>
      <w:r w:rsidRPr="00A415D3">
        <w:rPr>
          <w:i/>
          <w:iCs/>
        </w:rPr>
        <w:t>Quiroz</w:t>
      </w:r>
      <w:r w:rsidRPr="00A415D3">
        <w:t xml:space="preserve">, </w:t>
      </w:r>
      <w:r w:rsidRPr="00A415D3">
        <w:rPr>
          <w:i/>
          <w:iCs/>
        </w:rPr>
        <w:t>supra</w:t>
      </w:r>
      <w:r w:rsidRPr="00A415D3">
        <w:t>, 244 Cal.App.4th at p. 1374.)</w:t>
      </w:r>
      <w:r w:rsidR="00A17946" w:rsidRPr="00A415D3">
        <w:t xml:space="preserve">  </w:t>
      </w:r>
      <w:r w:rsidR="0064217A" w:rsidRPr="00A415D3">
        <w:t xml:space="preserve">But we are addressing only the limited issue of </w:t>
      </w:r>
      <w:r w:rsidR="00F127EB" w:rsidRPr="00A415D3">
        <w:t>whether</w:t>
      </w:r>
      <w:r w:rsidR="000F0191" w:rsidRPr="00A415D3">
        <w:t xml:space="preserve"> the </w:t>
      </w:r>
      <w:r w:rsidR="00961F2F" w:rsidRPr="00A415D3">
        <w:t xml:space="preserve">interval between </w:t>
      </w:r>
      <w:r w:rsidR="000F0191" w:rsidRPr="00A415D3">
        <w:t>the filing of a certificate of restoration</w:t>
      </w:r>
      <w:r w:rsidR="00961F2F" w:rsidRPr="00A415D3">
        <w:t xml:space="preserve"> and the court’s ruling on it is </w:t>
      </w:r>
      <w:r w:rsidR="00BD1F47">
        <w:t>excluded from</w:t>
      </w:r>
      <w:r w:rsidR="00BD1F47" w:rsidRPr="00A415D3">
        <w:t xml:space="preserve"> </w:t>
      </w:r>
      <w:r w:rsidR="00F127EB" w:rsidRPr="00A415D3">
        <w:t xml:space="preserve">the maximum commitment time set </w:t>
      </w:r>
      <w:r w:rsidR="005203DC" w:rsidRPr="00A415D3">
        <w:t xml:space="preserve">by </w:t>
      </w:r>
      <w:r w:rsidR="00F127EB" w:rsidRPr="00A415D3">
        <w:t>section 1370(c)(1)</w:t>
      </w:r>
      <w:r w:rsidR="00961F2F" w:rsidRPr="00A415D3">
        <w:t xml:space="preserve">.  Our </w:t>
      </w:r>
      <w:r w:rsidR="0064217A" w:rsidRPr="00A415D3">
        <w:t>holding does not mean that defendants returned without such certificates will be committed “indefinitely.”</w:t>
      </w:r>
    </w:p>
    <w:p w14:paraId="3F29F0F0" w14:textId="77777777" w:rsidR="009457F5" w:rsidRPr="00A415D3" w:rsidRDefault="00AE6959" w:rsidP="00560442">
      <w:pPr>
        <w:pStyle w:val="NormalIndent"/>
        <w:ind w:left="0" w:firstLine="720"/>
      </w:pPr>
      <w:r w:rsidRPr="00A415D3">
        <w:t>Finally, in their amicus curiae brief submitted in supp</w:t>
      </w:r>
      <w:r w:rsidRPr="00A415D3">
        <w:t xml:space="preserve">ort of the People, the </w:t>
      </w:r>
      <w:r w:rsidR="00AA2255">
        <w:t xml:space="preserve">State </w:t>
      </w:r>
      <w:r w:rsidRPr="00A415D3">
        <w:t>Department of State Hospitals</w:t>
      </w:r>
      <w:r w:rsidR="00C52FF4">
        <w:t xml:space="preserve"> </w:t>
      </w:r>
      <w:r w:rsidRPr="00A415D3">
        <w:t xml:space="preserve">and the </w:t>
      </w:r>
      <w:r w:rsidR="0058551B">
        <w:t xml:space="preserve">State </w:t>
      </w:r>
      <w:r w:rsidRPr="00A415D3">
        <w:t>Department of Developmental Services make an argument that relies on the timing of when a commitment begins.  According to amici</w:t>
      </w:r>
      <w:r w:rsidR="00AA2F20" w:rsidRPr="00A415D3">
        <w:t xml:space="preserve"> curiae</w:t>
      </w:r>
      <w:r w:rsidRPr="00A415D3">
        <w:t xml:space="preserve">, “[i]t is undisputed that the maximum </w:t>
      </w:r>
      <w:r w:rsidRPr="00A415D3">
        <w:t>commitment period does not include the time before a court conducts an initial competency hearing,” i.e., a hearing under section</w:t>
      </w:r>
      <w:r w:rsidR="00022FCA" w:rsidRPr="00A415D3">
        <w:t> </w:t>
      </w:r>
      <w:r w:rsidRPr="00A415D3">
        <w:t xml:space="preserve">1370.  </w:t>
      </w:r>
      <w:r w:rsidR="008E3CA2" w:rsidRPr="00A415D3">
        <w:t>According to</w:t>
      </w:r>
      <w:r w:rsidRPr="00A415D3">
        <w:t xml:space="preserve"> amici</w:t>
      </w:r>
      <w:r w:rsidR="00AA2F20" w:rsidRPr="00A415D3">
        <w:t xml:space="preserve"> curiae</w:t>
      </w:r>
      <w:r w:rsidRPr="00A415D3">
        <w:t>, “[t]he time between the filing of a certificate of restoration and a section</w:t>
      </w:r>
      <w:r w:rsidR="00CE1BF1" w:rsidRPr="00A415D3">
        <w:t> </w:t>
      </w:r>
      <w:r w:rsidRPr="00A415D3">
        <w:t>1372 hearing sh</w:t>
      </w:r>
      <w:r w:rsidRPr="00A415D3">
        <w:t xml:space="preserve">ould be treated the same way” </w:t>
      </w:r>
      <w:r w:rsidR="008E3CA2" w:rsidRPr="00A415D3">
        <w:t>and excluded from the maximum competency period.</w:t>
      </w:r>
    </w:p>
    <w:p w14:paraId="3F29F0F1" w14:textId="77777777" w:rsidR="009457F5" w:rsidRPr="00A415D3" w:rsidRDefault="00AE6959" w:rsidP="00560442">
      <w:pPr>
        <w:pStyle w:val="NormalIndent"/>
        <w:ind w:left="0" w:firstLine="720"/>
      </w:pPr>
      <w:r w:rsidRPr="00A415D3">
        <w:t xml:space="preserve">But a defendant awaiting a competency hearing under section 1370 differs </w:t>
      </w:r>
      <w:r w:rsidR="00DB179B" w:rsidRPr="00A415D3">
        <w:t xml:space="preserve">in important ways </w:t>
      </w:r>
      <w:r w:rsidRPr="00A415D3">
        <w:t xml:space="preserve">from a defendant awaiting a competency determination under section 1372.  </w:t>
      </w:r>
      <w:r w:rsidR="005E1961" w:rsidRPr="00A415D3">
        <w:t>B</w:t>
      </w:r>
      <w:r w:rsidRPr="00A415D3">
        <w:t>efore a cou</w:t>
      </w:r>
      <w:r w:rsidRPr="00A415D3">
        <w:t>rt conducts an initial competency hearing under section</w:t>
      </w:r>
      <w:r w:rsidR="0038524F" w:rsidRPr="00A415D3">
        <w:t> </w:t>
      </w:r>
      <w:r w:rsidRPr="00A415D3">
        <w:t xml:space="preserve">1370, the defendant has not been legally adjudicated as incompetent.  In contrast, a defendant who has been certified by medical personnel as restored to competency necessarily has been </w:t>
      </w:r>
      <w:r w:rsidR="00665263" w:rsidRPr="00A415D3">
        <w:t xml:space="preserve">previously </w:t>
      </w:r>
      <w:r w:rsidRPr="00A415D3">
        <w:t>det</w:t>
      </w:r>
      <w:r w:rsidRPr="00A415D3">
        <w:t xml:space="preserve">ermined to be incompetent, and until a court makes a competency </w:t>
      </w:r>
      <w:r w:rsidR="005E1961" w:rsidRPr="00A415D3">
        <w:t xml:space="preserve">finding </w:t>
      </w:r>
      <w:r w:rsidRPr="00A415D3">
        <w:t>pursuant to section</w:t>
      </w:r>
      <w:r w:rsidR="0038524F" w:rsidRPr="00A415D3">
        <w:t> </w:t>
      </w:r>
      <w:r w:rsidRPr="00A415D3">
        <w:t xml:space="preserve">1372, the </w:t>
      </w:r>
      <w:r w:rsidR="005E1961" w:rsidRPr="00A415D3">
        <w:t xml:space="preserve">defendant </w:t>
      </w:r>
      <w:r w:rsidRPr="00A415D3">
        <w:t>cannot be treated as legal</w:t>
      </w:r>
      <w:r w:rsidR="005E1961" w:rsidRPr="00A415D3">
        <w:t>ly</w:t>
      </w:r>
      <w:r w:rsidRPr="00A415D3">
        <w:t xml:space="preserve"> competent.  In addition, a </w:t>
      </w:r>
      <w:r w:rsidR="005E1961" w:rsidRPr="00A415D3">
        <w:t xml:space="preserve">defendant who has not been </w:t>
      </w:r>
      <w:r w:rsidRPr="00A415D3">
        <w:t>adjudicated</w:t>
      </w:r>
      <w:r w:rsidR="009C3315" w:rsidRPr="00A415D3">
        <w:t xml:space="preserve"> as</w:t>
      </w:r>
      <w:r w:rsidR="005E1961" w:rsidRPr="00A415D3">
        <w:t xml:space="preserve"> </w:t>
      </w:r>
      <w:r w:rsidRPr="00A415D3">
        <w:t>incompetent may still be released on bail.  (S</w:t>
      </w:r>
      <w:r w:rsidRPr="00A415D3">
        <w:t>ee § 1371.)  A defendant</w:t>
      </w:r>
      <w:r w:rsidR="005E1961" w:rsidRPr="00A415D3">
        <w:t xml:space="preserve"> who has been certified as competent</w:t>
      </w:r>
      <w:r w:rsidRPr="00A415D3">
        <w:t xml:space="preserve">, on the other hand, is ineligible for bail consideration until the court determines </w:t>
      </w:r>
      <w:r w:rsidR="0038524F" w:rsidRPr="00A415D3">
        <w:t xml:space="preserve">the defendant </w:t>
      </w:r>
      <w:r w:rsidRPr="00A415D3">
        <w:t>has regained competenc</w:t>
      </w:r>
      <w:r w:rsidR="00CE1BF1" w:rsidRPr="00A415D3">
        <w:t>y</w:t>
      </w:r>
      <w:r w:rsidRPr="00A415D3">
        <w:t>.  (See § 1372, subd.</w:t>
      </w:r>
      <w:r w:rsidR="0038524F" w:rsidRPr="00A415D3">
        <w:t> </w:t>
      </w:r>
      <w:r w:rsidRPr="00A415D3">
        <w:t>(d).)</w:t>
      </w:r>
    </w:p>
    <w:p w14:paraId="3F29F0F2" w14:textId="77777777" w:rsidR="009457F5" w:rsidRPr="00A415D3" w:rsidRDefault="00AE6959" w:rsidP="00560442">
      <w:pPr>
        <w:pStyle w:val="NormalIndent"/>
        <w:ind w:left="0" w:firstLine="720"/>
      </w:pPr>
      <w:r w:rsidRPr="00A415D3">
        <w:t>In short, the period prior to a competency hea</w:t>
      </w:r>
      <w:r w:rsidRPr="00A415D3">
        <w:t>ring under section 1370 occurs before the period of commitment</w:t>
      </w:r>
      <w:r w:rsidR="0084644F" w:rsidRPr="00A415D3">
        <w:t xml:space="preserve"> and</w:t>
      </w:r>
      <w:r w:rsidRPr="00A415D3">
        <w:t xml:space="preserve"> thus tells us very little about the period of commitment itself.  The fact that “the time before a court conducts an initial competency hearing” under section 1370 </w:t>
      </w:r>
      <w:r w:rsidR="00C050D5" w:rsidRPr="00A415D3">
        <w:t xml:space="preserve">is </w:t>
      </w:r>
      <w:r w:rsidR="00EB1FF9" w:rsidRPr="00A415D3">
        <w:t xml:space="preserve">not counted toward the term of </w:t>
      </w:r>
      <w:r w:rsidRPr="00A415D3">
        <w:t xml:space="preserve">commitment does not persuade </w:t>
      </w:r>
      <w:r w:rsidR="008B45F4" w:rsidRPr="00A415D3">
        <w:t xml:space="preserve">us </w:t>
      </w:r>
      <w:r w:rsidRPr="00A415D3">
        <w:t xml:space="preserve">to </w:t>
      </w:r>
      <w:r w:rsidR="00EB1FF9" w:rsidRPr="00A415D3">
        <w:t xml:space="preserve">likewise </w:t>
      </w:r>
      <w:r w:rsidR="00781B0B" w:rsidRPr="00A415D3">
        <w:t xml:space="preserve">exclude from a maximum period of commitment </w:t>
      </w:r>
      <w:r w:rsidRPr="00A415D3">
        <w:t>the interval before a court conducts a competency hearing under section</w:t>
      </w:r>
      <w:r w:rsidR="007F1FB5" w:rsidRPr="00A415D3">
        <w:t> </w:t>
      </w:r>
      <w:r w:rsidRPr="00A415D3">
        <w:t>1372.</w:t>
      </w:r>
    </w:p>
    <w:p w14:paraId="3F29F0F3" w14:textId="77777777" w:rsidR="00FF21B5" w:rsidRPr="00A415D3" w:rsidRDefault="00AE6959" w:rsidP="00FF21B5">
      <w:pPr>
        <w:pStyle w:val="Heading3"/>
        <w:numPr>
          <w:ilvl w:val="0"/>
          <w:numId w:val="8"/>
        </w:numPr>
        <w:ind w:left="1584" w:hanging="432"/>
      </w:pPr>
      <w:r w:rsidRPr="00A415D3">
        <w:rPr>
          <w:iCs/>
        </w:rPr>
        <w:t>Rodriguez’s Interpretation</w:t>
      </w:r>
      <w:r w:rsidRPr="00A415D3">
        <w:t xml:space="preserve"> Furthers the Purposes of the Statute</w:t>
      </w:r>
    </w:p>
    <w:p w14:paraId="3F29F0F4" w14:textId="77777777" w:rsidR="00E53766" w:rsidRPr="00A415D3" w:rsidRDefault="00AE6959" w:rsidP="00E53766">
      <w:pPr>
        <w:pStyle w:val="NormalIndent"/>
        <w:ind w:left="0" w:firstLine="720"/>
      </w:pPr>
      <w:r w:rsidRPr="00A415D3">
        <w:t xml:space="preserve">The statutory text read in context is consistent with the understanding that the filing of a certificate of restoration does not </w:t>
      </w:r>
      <w:r w:rsidR="00357D97">
        <w:t>stop</w:t>
      </w:r>
      <w:r w:rsidRPr="00A415D3">
        <w:t xml:space="preserve"> the </w:t>
      </w:r>
      <w:r w:rsidR="00357D97">
        <w:t xml:space="preserve">two-year </w:t>
      </w:r>
      <w:r w:rsidRPr="00A415D3">
        <w:t>clock set by section 1370(c)(1).  But because the language of these sta</w:t>
      </w:r>
      <w:r w:rsidRPr="00A415D3">
        <w:t xml:space="preserve">tutes “ ‘supports more than one reasonable construction,’ ” we </w:t>
      </w:r>
      <w:r w:rsidR="00FF21B5" w:rsidRPr="00A415D3">
        <w:t>look for an interpretation of the statute that will best “ ‘effectuate the purpose’ ” of the competency statutory scheme.  (</w:t>
      </w:r>
      <w:r w:rsidR="00FF21B5" w:rsidRPr="00A415D3">
        <w:rPr>
          <w:i/>
          <w:iCs/>
        </w:rPr>
        <w:t>Kim</w:t>
      </w:r>
      <w:r w:rsidR="00FF21B5" w:rsidRPr="00A415D3">
        <w:t xml:space="preserve">, </w:t>
      </w:r>
      <w:r w:rsidR="00FF21B5" w:rsidRPr="00A415D3">
        <w:rPr>
          <w:i/>
          <w:iCs/>
        </w:rPr>
        <w:t>supra</w:t>
      </w:r>
      <w:r w:rsidR="00FF21B5" w:rsidRPr="00A415D3">
        <w:t xml:space="preserve">, 9 Cal.5th at p. 83.)  </w:t>
      </w:r>
      <w:r w:rsidR="00B47E48" w:rsidRPr="00A415D3">
        <w:t>We conclude Rodriguez’s proposed interpretation furthers the purpose of the relevant competency statutes.</w:t>
      </w:r>
    </w:p>
    <w:p w14:paraId="3F29F0F5" w14:textId="77777777" w:rsidR="00840EDB" w:rsidRPr="00A415D3" w:rsidRDefault="00AE6959" w:rsidP="00840EDB">
      <w:pPr>
        <w:pStyle w:val="NormalIndent"/>
        <w:ind w:left="0" w:firstLine="720"/>
      </w:pPr>
      <w:r w:rsidRPr="00A415D3">
        <w:t xml:space="preserve">We have </w:t>
      </w:r>
      <w:r w:rsidR="008B4543" w:rsidRPr="00A415D3">
        <w:t>explained</w:t>
      </w:r>
      <w:r w:rsidRPr="00A415D3">
        <w:t xml:space="preserve"> that “[t]he incompetence program . . . is a special form of pretrial detention” whose “purpose is restoration of a specific mental state without which the criminal pro</w:t>
      </w:r>
      <w:r w:rsidRPr="00A415D3">
        <w:t>cess cannot proceed.”  (</w:t>
      </w:r>
      <w:r w:rsidRPr="00A415D3">
        <w:rPr>
          <w:i/>
          <w:iCs/>
        </w:rPr>
        <w:t>Waterman</w:t>
      </w:r>
      <w:r w:rsidRPr="00A415D3">
        <w:t xml:space="preserve">, </w:t>
      </w:r>
      <w:r w:rsidRPr="00A415D3">
        <w:rPr>
          <w:i/>
          <w:iCs/>
        </w:rPr>
        <w:t>supra</w:t>
      </w:r>
      <w:r w:rsidRPr="00A415D3">
        <w:t xml:space="preserve">, 42 Cal.3d at p. 569, italics omitted.)  In adopting the “incompetence program” in 1974, the Legislature </w:t>
      </w:r>
      <w:r w:rsidR="00BB5791" w:rsidRPr="00A415D3">
        <w:t xml:space="preserve">clearly </w:t>
      </w:r>
      <w:r w:rsidRPr="00A415D3">
        <w:t>intended to limit a defendant’s time in “pretrial detention” and to suspend “the criminal process” so t</w:t>
      </w:r>
      <w:r w:rsidRPr="00A415D3">
        <w:t>hat the defendant can be restored to “a specific mental state.”  (</w:t>
      </w:r>
      <w:r w:rsidRPr="00A415D3">
        <w:rPr>
          <w:i/>
          <w:iCs/>
        </w:rPr>
        <w:t>Ibid</w:t>
      </w:r>
      <w:r w:rsidRPr="00A415D3">
        <w:t>.</w:t>
      </w:r>
      <w:r w:rsidR="00AB4F3F">
        <w:t>, italics omitted</w:t>
      </w:r>
      <w:r w:rsidRPr="00A415D3">
        <w:t xml:space="preserve">; see Stats. 1974, ch. 1511, § 16, </w:t>
      </w:r>
      <w:r w:rsidR="00B150DC">
        <w:t>p</w:t>
      </w:r>
      <w:r w:rsidRPr="00A415D3">
        <w:t>p. </w:t>
      </w:r>
      <w:r w:rsidR="00B150DC">
        <w:t>3323–</w:t>
      </w:r>
      <w:r w:rsidRPr="00A415D3">
        <w:t>3324.)  The Legislature also intended to “eliminate uncertainty among all persons concerned regarding court procedures.”  (S</w:t>
      </w:r>
      <w:r w:rsidRPr="00A415D3">
        <w:t xml:space="preserve">tats. 1974, ch. 1511, § 16, p. 3324.)  This latter goal of providing certainty is evident in the Legislature’s decision to limit the maximum term of commitment to three years (and later two), rather than the “reasonable period of time” mandated under </w:t>
      </w:r>
      <w:r w:rsidRPr="00A415D3">
        <w:rPr>
          <w:i/>
          <w:iCs/>
        </w:rPr>
        <w:t>Davis</w:t>
      </w:r>
      <w:r w:rsidRPr="00A415D3">
        <w:rPr>
          <w:i/>
          <w:iCs/>
        </w:rPr>
        <w:t xml:space="preserve"> </w:t>
      </w:r>
      <w:r w:rsidRPr="00A415D3">
        <w:t xml:space="preserve">and </w:t>
      </w:r>
      <w:r w:rsidRPr="00A415D3">
        <w:rPr>
          <w:i/>
          <w:iCs/>
        </w:rPr>
        <w:t>Jackson v. Indiana</w:t>
      </w:r>
      <w:r w:rsidRPr="00A415D3">
        <w:t>.  (</w:t>
      </w:r>
      <w:r w:rsidRPr="00A415D3">
        <w:rPr>
          <w:i/>
          <w:iCs/>
        </w:rPr>
        <w:t>Davis</w:t>
      </w:r>
      <w:r w:rsidRPr="00A415D3">
        <w:t xml:space="preserve">, </w:t>
      </w:r>
      <w:r w:rsidRPr="00A415D3">
        <w:rPr>
          <w:i/>
          <w:iCs/>
        </w:rPr>
        <w:t>supra</w:t>
      </w:r>
      <w:r w:rsidRPr="00A415D3">
        <w:t xml:space="preserve">, 8 Cal.3d at p. 801; </w:t>
      </w:r>
      <w:r w:rsidRPr="00A415D3">
        <w:rPr>
          <w:i/>
          <w:iCs/>
        </w:rPr>
        <w:t>Jackson v. Indiana</w:t>
      </w:r>
      <w:r w:rsidRPr="00A415D3">
        <w:t xml:space="preserve">, </w:t>
      </w:r>
      <w:r w:rsidRPr="00A415D3">
        <w:rPr>
          <w:i/>
          <w:iCs/>
        </w:rPr>
        <w:t>supra</w:t>
      </w:r>
      <w:r w:rsidRPr="00A415D3">
        <w:t xml:space="preserve">, 406 U.S. at p. 738.)  As we explained in </w:t>
      </w:r>
      <w:r w:rsidRPr="00A415D3">
        <w:rPr>
          <w:i/>
          <w:iCs/>
          <w:szCs w:val="27"/>
        </w:rPr>
        <w:t>Jackson v. Superior Court</w:t>
      </w:r>
      <w:r w:rsidRPr="00A415D3">
        <w:rPr>
          <w:szCs w:val="27"/>
        </w:rPr>
        <w:t xml:space="preserve">, </w:t>
      </w:r>
      <w:r w:rsidRPr="00A415D3">
        <w:t>“the Legislature established the [then] three-year maximum in section 1370(c) to protect defendants’</w:t>
      </w:r>
      <w:r w:rsidRPr="00A415D3">
        <w:t xml:space="preserve"> due process and equal protection rights not to be committed solely because of incompetence for longer than is reasonable.”  </w:t>
      </w:r>
      <w:r w:rsidRPr="00A415D3">
        <w:rPr>
          <w:szCs w:val="27"/>
        </w:rPr>
        <w:t>(</w:t>
      </w:r>
      <w:r w:rsidRPr="00A415D3">
        <w:rPr>
          <w:i/>
          <w:iCs/>
          <w:szCs w:val="27"/>
        </w:rPr>
        <w:t>Jackson v. Superior Court</w:t>
      </w:r>
      <w:r w:rsidRPr="00A415D3">
        <w:rPr>
          <w:szCs w:val="27"/>
        </w:rPr>
        <w:t xml:space="preserve">, </w:t>
      </w:r>
      <w:r w:rsidRPr="00A415D3">
        <w:rPr>
          <w:i/>
          <w:iCs/>
          <w:szCs w:val="27"/>
        </w:rPr>
        <w:t>supra</w:t>
      </w:r>
      <w:r w:rsidRPr="00A415D3">
        <w:rPr>
          <w:szCs w:val="27"/>
        </w:rPr>
        <w:t xml:space="preserve">, 4 Cal.5th at p. 105.)  </w:t>
      </w:r>
    </w:p>
    <w:p w14:paraId="3F29F0F6" w14:textId="77777777" w:rsidR="00840EDB" w:rsidRPr="00A415D3" w:rsidRDefault="00AE6959" w:rsidP="00FF21B5">
      <w:pPr>
        <w:ind w:firstLine="720"/>
      </w:pPr>
      <w:r w:rsidRPr="00A415D3">
        <w:t>Rodriguez’s proposed interpretation </w:t>
      </w:r>
      <w:r w:rsidR="00FF21B5" w:rsidRPr="00A415D3">
        <w:t xml:space="preserve">— </w:t>
      </w:r>
      <w:r w:rsidR="00357D97">
        <w:t xml:space="preserve">specifically, not excluding </w:t>
      </w:r>
      <w:r w:rsidR="00FF21B5" w:rsidRPr="00A415D3">
        <w:t xml:space="preserve">the period between the filing of a certificate of competence, and the court’s ruling on the certificate — is consistent with the Legislature’s intent to limit the period of detention due to incompetency and provide certainty regarding the length of that detention period.  Under this interpretation, incompetent defendants are assured that they cannot be confined </w:t>
      </w:r>
      <w:r w:rsidR="00357D97">
        <w:t xml:space="preserve">simply </w:t>
      </w:r>
      <w:r w:rsidR="00FF21B5" w:rsidRPr="00A415D3">
        <w:t>on account of their inability to proceed to trial for more than a specified</w:t>
      </w:r>
      <w:r w:rsidR="00B47E48" w:rsidRPr="00A415D3">
        <w:t xml:space="preserve"> </w:t>
      </w:r>
      <w:r w:rsidR="00FF21B5" w:rsidRPr="00A415D3">
        <w:t>two</w:t>
      </w:r>
      <w:r w:rsidR="00B47E48" w:rsidRPr="00A415D3">
        <w:t>-</w:t>
      </w:r>
      <w:r w:rsidR="00FF21B5" w:rsidRPr="00A415D3">
        <w:t>year</w:t>
      </w:r>
      <w:r w:rsidR="00B47E48" w:rsidRPr="00A415D3">
        <w:t xml:space="preserve"> period</w:t>
      </w:r>
      <w:r w:rsidR="00FF21B5" w:rsidRPr="00A415D3">
        <w:t xml:space="preserve">.  </w:t>
      </w:r>
    </w:p>
    <w:p w14:paraId="3F29F0F7" w14:textId="77777777" w:rsidR="00F768CD" w:rsidRPr="00A415D3" w:rsidRDefault="00AE6959" w:rsidP="00F768CD">
      <w:pPr>
        <w:ind w:firstLine="720"/>
        <w:rPr>
          <w:szCs w:val="27"/>
        </w:rPr>
      </w:pPr>
      <w:r w:rsidRPr="00A415D3">
        <w:t xml:space="preserve">By contrast, </w:t>
      </w:r>
      <w:r w:rsidR="00FF4B38" w:rsidRPr="00A415D3">
        <w:t>t</w:t>
      </w:r>
      <w:r w:rsidR="00FF21B5" w:rsidRPr="00A415D3">
        <w:t xml:space="preserve">he People’s proposed </w:t>
      </w:r>
      <w:r w:rsidR="00FF4B38" w:rsidRPr="00A415D3">
        <w:t xml:space="preserve">interpretation </w:t>
      </w:r>
      <w:r w:rsidR="00FF21B5" w:rsidRPr="00A415D3">
        <w:t xml:space="preserve">runs counter to the </w:t>
      </w:r>
      <w:r w:rsidR="00FF4B38" w:rsidRPr="00A415D3">
        <w:t>l</w:t>
      </w:r>
      <w:r w:rsidR="00FF21B5" w:rsidRPr="00A415D3">
        <w:t>egislat</w:t>
      </w:r>
      <w:r w:rsidR="00FF4B38" w:rsidRPr="00A415D3">
        <w:t xml:space="preserve">ive goal of limiting a defendant’s confinement “solely because of incompetence.”  </w:t>
      </w:r>
      <w:r w:rsidR="00FF4B38" w:rsidRPr="00A415D3">
        <w:rPr>
          <w:szCs w:val="27"/>
        </w:rPr>
        <w:t>(</w:t>
      </w:r>
      <w:r w:rsidR="00FF4B38" w:rsidRPr="00A415D3">
        <w:rPr>
          <w:i/>
          <w:iCs/>
          <w:szCs w:val="27"/>
        </w:rPr>
        <w:t>Jackson v. Superior Court</w:t>
      </w:r>
      <w:r w:rsidR="00FF4B38" w:rsidRPr="00A415D3">
        <w:rPr>
          <w:szCs w:val="27"/>
        </w:rPr>
        <w:t xml:space="preserve">, </w:t>
      </w:r>
      <w:r w:rsidR="00FF4B38" w:rsidRPr="00A415D3">
        <w:rPr>
          <w:i/>
          <w:iCs/>
          <w:szCs w:val="27"/>
        </w:rPr>
        <w:t>supra</w:t>
      </w:r>
      <w:r w:rsidR="00FF4B38" w:rsidRPr="00A415D3">
        <w:rPr>
          <w:szCs w:val="27"/>
        </w:rPr>
        <w:t xml:space="preserve">, 4 Cal.5th at p. 105.)  </w:t>
      </w:r>
      <w:r w:rsidRPr="00A415D3">
        <w:t>If we were to adopt the People’s interpretation, a d</w:t>
      </w:r>
      <w:r w:rsidRPr="00A415D3">
        <w:t>efendant could be held indefinitely while awaiting a competency hearing</w:t>
      </w:r>
      <w:r w:rsidR="002F3860">
        <w:t>, subject only to the limits imposed by the due process clause</w:t>
      </w:r>
      <w:r w:rsidRPr="00A415D3">
        <w:t xml:space="preserve">.  </w:t>
      </w:r>
      <w:r w:rsidRPr="00A415D3">
        <w:rPr>
          <w:szCs w:val="27"/>
        </w:rPr>
        <w:t>As explained previously, after the filing of a certificate of restoration but before the court adjudicates the defendant</w:t>
      </w:r>
      <w:r w:rsidRPr="00A415D3">
        <w:rPr>
          <w:szCs w:val="27"/>
        </w:rPr>
        <w:t xml:space="preserve"> competent, the defendant cannot seek bail or otherwise challenge the underlying charges because the criminal proceedings remain suspended.  (See §§ 1372, subd. (d), 1370, subd. (a)(1).)  Allowing defendants to remain in this state of limbo</w:t>
      </w:r>
      <w:r w:rsidR="00C67DA4">
        <w:rPr>
          <w:szCs w:val="27"/>
        </w:rPr>
        <w:t xml:space="preserve"> </w:t>
      </w:r>
      <w:r w:rsidRPr="00A415D3">
        <w:rPr>
          <w:szCs w:val="27"/>
        </w:rPr>
        <w:t xml:space="preserve">is contrary to </w:t>
      </w:r>
      <w:r w:rsidRPr="00A415D3">
        <w:rPr>
          <w:szCs w:val="27"/>
        </w:rPr>
        <w:t>the entire statutory scheme.</w:t>
      </w:r>
    </w:p>
    <w:p w14:paraId="3F29F0F8" w14:textId="77777777" w:rsidR="00BC7078" w:rsidRPr="00A415D3" w:rsidRDefault="00AE6959" w:rsidP="005231FD">
      <w:pPr>
        <w:ind w:firstLine="720"/>
      </w:pPr>
      <w:r w:rsidRPr="00A415D3">
        <w:t>The People’s construction would also eliminate any urgency in reaching a determination of competency.  This again runs counter to the Legislature’s intent, in imposing the two-year limit under section 1370(c)(1), to eliminate t</w:t>
      </w:r>
      <w:r w:rsidRPr="00A415D3">
        <w:t xml:space="preserve">he uncertainty inherent in the “reasonable period of time” standard under </w:t>
      </w:r>
      <w:r w:rsidRPr="00A415D3">
        <w:rPr>
          <w:i/>
          <w:iCs/>
        </w:rPr>
        <w:t xml:space="preserve">Davis </w:t>
      </w:r>
      <w:r w:rsidRPr="00A415D3">
        <w:t xml:space="preserve">and </w:t>
      </w:r>
      <w:r w:rsidRPr="00A415D3">
        <w:rPr>
          <w:i/>
          <w:iCs/>
        </w:rPr>
        <w:t>Jackson v. Indiana</w:t>
      </w:r>
      <w:r w:rsidRPr="00A415D3">
        <w:t xml:space="preserve"> and ensure that individuals who may never regain competence are not indefinitely detained with the criminal process suspended.  </w:t>
      </w:r>
    </w:p>
    <w:p w14:paraId="3F29F0F9" w14:textId="77777777" w:rsidR="00FF21B5" w:rsidRPr="00A415D3" w:rsidRDefault="00AE6959" w:rsidP="00FF21B5">
      <w:pPr>
        <w:ind w:firstLine="720"/>
        <w:rPr>
          <w:szCs w:val="27"/>
        </w:rPr>
      </w:pPr>
      <w:r w:rsidRPr="00A415D3">
        <w:rPr>
          <w:szCs w:val="27"/>
        </w:rPr>
        <w:t>Furthermore, the fact th</w:t>
      </w:r>
      <w:r w:rsidRPr="00A415D3">
        <w:rPr>
          <w:szCs w:val="27"/>
        </w:rPr>
        <w:t>at a defendant may continue to receive treatment even post-certification means that some of the period following the filing of the certificate is reasonably seen as a part of the process of treatment to determine whether competence can be, and ultimately i</w:t>
      </w:r>
      <w:r w:rsidRPr="00A415D3">
        <w:rPr>
          <w:szCs w:val="27"/>
        </w:rPr>
        <w:t>s, regained — which is what the statute generally aims to expedite.  (See Stats. 1974, ch.</w:t>
      </w:r>
      <w:r w:rsidR="00F97B6C">
        <w:rPr>
          <w:szCs w:val="27"/>
        </w:rPr>
        <w:t> </w:t>
      </w:r>
      <w:r w:rsidRPr="00A415D3">
        <w:rPr>
          <w:szCs w:val="27"/>
        </w:rPr>
        <w:t xml:space="preserve">1511, § 16, </w:t>
      </w:r>
      <w:r w:rsidR="00F85707">
        <w:rPr>
          <w:szCs w:val="27"/>
        </w:rPr>
        <w:t>p</w:t>
      </w:r>
      <w:r w:rsidRPr="00A415D3">
        <w:rPr>
          <w:szCs w:val="27"/>
        </w:rPr>
        <w:t>p. </w:t>
      </w:r>
      <w:r w:rsidR="00F85707">
        <w:rPr>
          <w:szCs w:val="27"/>
        </w:rPr>
        <w:t>3323–</w:t>
      </w:r>
      <w:r w:rsidRPr="00A415D3">
        <w:rPr>
          <w:szCs w:val="27"/>
        </w:rPr>
        <w:t xml:space="preserve">3324; see also, e.g., </w:t>
      </w:r>
      <w:r w:rsidRPr="00A415D3">
        <w:rPr>
          <w:i/>
          <w:iCs/>
          <w:szCs w:val="27"/>
        </w:rPr>
        <w:t>Davis</w:t>
      </w:r>
      <w:r w:rsidRPr="00A415D3">
        <w:rPr>
          <w:szCs w:val="27"/>
        </w:rPr>
        <w:t xml:space="preserve">, </w:t>
      </w:r>
      <w:r w:rsidRPr="00A415D3">
        <w:rPr>
          <w:i/>
          <w:iCs/>
          <w:szCs w:val="27"/>
        </w:rPr>
        <w:t>supra</w:t>
      </w:r>
      <w:r w:rsidRPr="00A415D3">
        <w:rPr>
          <w:szCs w:val="27"/>
        </w:rPr>
        <w:t xml:space="preserve">, 8 Cal.3d </w:t>
      </w:r>
      <w:r w:rsidR="00A636A7">
        <w:rPr>
          <w:szCs w:val="27"/>
        </w:rPr>
        <w:t>at p. </w:t>
      </w:r>
      <w:r w:rsidRPr="00A415D3">
        <w:rPr>
          <w:szCs w:val="27"/>
        </w:rPr>
        <w:t xml:space="preserve">801; </w:t>
      </w:r>
      <w:r w:rsidRPr="00A415D3">
        <w:rPr>
          <w:i/>
          <w:iCs/>
          <w:szCs w:val="27"/>
        </w:rPr>
        <w:t>Jackson v. Superior Court</w:t>
      </w:r>
      <w:r w:rsidRPr="00A415D3">
        <w:rPr>
          <w:szCs w:val="27"/>
        </w:rPr>
        <w:t xml:space="preserve">, </w:t>
      </w:r>
      <w:r w:rsidRPr="00A415D3">
        <w:rPr>
          <w:i/>
          <w:iCs/>
          <w:szCs w:val="27"/>
        </w:rPr>
        <w:t>supra</w:t>
      </w:r>
      <w:r w:rsidRPr="00A415D3">
        <w:rPr>
          <w:szCs w:val="27"/>
        </w:rPr>
        <w:t xml:space="preserve">, 4 Cal.5th at p. 105.)  Including this period within the limit of section 1370(c)(1) furthers the </w:t>
      </w:r>
      <w:r w:rsidR="005231FD" w:rsidRPr="00A415D3">
        <w:rPr>
          <w:szCs w:val="27"/>
        </w:rPr>
        <w:t xml:space="preserve">legislative intent underlying the competency statutes </w:t>
      </w:r>
      <w:r w:rsidR="00F768CD" w:rsidRPr="00A415D3">
        <w:rPr>
          <w:szCs w:val="27"/>
        </w:rPr>
        <w:t>for this reason as well</w:t>
      </w:r>
      <w:r w:rsidRPr="00A415D3">
        <w:rPr>
          <w:szCs w:val="27"/>
        </w:rPr>
        <w:t>.</w:t>
      </w:r>
    </w:p>
    <w:p w14:paraId="3F29F0FA" w14:textId="77777777" w:rsidR="00FF21B5" w:rsidRPr="00A415D3" w:rsidRDefault="00AE6959" w:rsidP="00FF21B5">
      <w:pPr>
        <w:pStyle w:val="Heading3"/>
        <w:numPr>
          <w:ilvl w:val="0"/>
          <w:numId w:val="8"/>
        </w:numPr>
        <w:ind w:left="1584" w:hanging="432"/>
      </w:pPr>
      <w:r w:rsidRPr="00A415D3">
        <w:t>The Statutory Background Cuts Against the People’s Position</w:t>
      </w:r>
    </w:p>
    <w:p w14:paraId="3F29F0FB" w14:textId="77777777" w:rsidR="00961F2F" w:rsidRPr="00A415D3" w:rsidRDefault="00AE6959" w:rsidP="00961F2F">
      <w:pPr>
        <w:pStyle w:val="NormalIndent"/>
        <w:ind w:left="0" w:firstLine="720"/>
      </w:pPr>
      <w:r w:rsidRPr="00A415D3">
        <w:t>Our interpretation</w:t>
      </w:r>
      <w:r w:rsidRPr="00A415D3">
        <w:t xml:space="preserve"> of the relevant statutes is bolstered by the evolution of the competency scheme, which </w:t>
      </w:r>
      <w:r w:rsidR="00E53766" w:rsidRPr="00A415D3">
        <w:t xml:space="preserve">since 1974 </w:t>
      </w:r>
      <w:r w:rsidRPr="00A415D3">
        <w:t xml:space="preserve">has progressively moved control of incompetent defendants away from </w:t>
      </w:r>
      <w:r w:rsidR="00B47E48" w:rsidRPr="00A415D3">
        <w:t>design</w:t>
      </w:r>
      <w:r w:rsidR="00BB5791" w:rsidRPr="00A415D3">
        <w:t>at</w:t>
      </w:r>
      <w:r w:rsidR="00B47E48" w:rsidRPr="00A415D3">
        <w:t xml:space="preserve">ed </w:t>
      </w:r>
      <w:r w:rsidRPr="00A415D3">
        <w:t xml:space="preserve">medical </w:t>
      </w:r>
      <w:r w:rsidR="00B47E48" w:rsidRPr="00A415D3">
        <w:t xml:space="preserve">professionals </w:t>
      </w:r>
      <w:r w:rsidRPr="00A415D3">
        <w:t>at facilities providing competency restoration services,</w:t>
      </w:r>
      <w:r w:rsidRPr="00A415D3">
        <w:t xml:space="preserve"> and toward supervision by the courts.  </w:t>
      </w:r>
    </w:p>
    <w:p w14:paraId="3F29F0FC" w14:textId="77777777" w:rsidR="00C74F1E" w:rsidRPr="00161FD1" w:rsidRDefault="00AE6959" w:rsidP="00560442">
      <w:pPr>
        <w:pStyle w:val="Heading4"/>
        <w:numPr>
          <w:ilvl w:val="0"/>
          <w:numId w:val="13"/>
        </w:numPr>
        <w:ind w:left="2016" w:hanging="432"/>
      </w:pPr>
      <w:r w:rsidRPr="00161FD1">
        <w:t>The evolution of the competency statutory scheme</w:t>
      </w:r>
    </w:p>
    <w:p w14:paraId="3F29F0FD" w14:textId="77777777" w:rsidR="004E67AA" w:rsidRPr="00A415D3" w:rsidRDefault="00AE6959" w:rsidP="00560442">
      <w:pPr>
        <w:pStyle w:val="NormalIndent"/>
        <w:ind w:left="0" w:firstLine="720"/>
      </w:pPr>
      <w:r w:rsidRPr="00A415D3">
        <w:t>In ending</w:t>
      </w:r>
      <w:r w:rsidR="000F553B" w:rsidRPr="00A415D3">
        <w:t xml:space="preserve"> the indefinite commitment of mentally incompetent defendants</w:t>
      </w:r>
      <w:r w:rsidR="00F55D7A" w:rsidRPr="00A415D3">
        <w:t xml:space="preserve"> in 1974</w:t>
      </w:r>
      <w:r w:rsidRPr="00A415D3">
        <w:t xml:space="preserve">, </w:t>
      </w:r>
      <w:r w:rsidR="007C02D1" w:rsidRPr="00A415D3">
        <w:t xml:space="preserve">the Legislature imposed on </w:t>
      </w:r>
      <w:r w:rsidR="002E2902" w:rsidRPr="00A415D3">
        <w:t xml:space="preserve">the </w:t>
      </w:r>
      <w:r w:rsidR="00B65893" w:rsidRPr="00A415D3">
        <w:t xml:space="preserve">Department </w:t>
      </w:r>
      <w:r w:rsidR="009C7C75" w:rsidRPr="00A415D3">
        <w:t xml:space="preserve">(and other facilities) </w:t>
      </w:r>
      <w:r w:rsidR="007C02D1" w:rsidRPr="00A415D3">
        <w:t xml:space="preserve">the obligation to </w:t>
      </w:r>
      <w:r w:rsidR="00A329A4" w:rsidRPr="00A415D3">
        <w:t>provide</w:t>
      </w:r>
      <w:r w:rsidR="007C02D1" w:rsidRPr="00A415D3">
        <w:t xml:space="preserve"> periodic reports </w:t>
      </w:r>
      <w:r w:rsidR="00D50621" w:rsidRPr="00A415D3">
        <w:t xml:space="preserve">to the court.  </w:t>
      </w:r>
      <w:r w:rsidR="003F174D" w:rsidRPr="00A415D3">
        <w:t>Specifically, the Legislature mandated that</w:t>
      </w:r>
      <w:r w:rsidR="00807CD9" w:rsidRPr="00A415D3">
        <w:t xml:space="preserve"> </w:t>
      </w:r>
      <w:r w:rsidR="00705705" w:rsidRPr="00A415D3">
        <w:t>“</w:t>
      </w:r>
      <w:r w:rsidR="00807CD9" w:rsidRPr="00A415D3">
        <w:t>[w]</w:t>
      </w:r>
      <w:r w:rsidR="00705705" w:rsidRPr="00A415D3">
        <w:t>ithin 90</w:t>
      </w:r>
      <w:r w:rsidR="00074836" w:rsidRPr="00A415D3">
        <w:t> </w:t>
      </w:r>
      <w:r w:rsidR="00705705" w:rsidRPr="00A415D3">
        <w:t>day</w:t>
      </w:r>
      <w:r w:rsidR="00965438" w:rsidRPr="00A415D3">
        <w:t>s</w:t>
      </w:r>
      <w:r w:rsidR="00705705" w:rsidRPr="00A415D3">
        <w:t xml:space="preserve"> of a commitment</w:t>
      </w:r>
      <w:r w:rsidR="00B65893" w:rsidRPr="00A415D3">
        <w:t xml:space="preserve"> </w:t>
      </w:r>
      <w:r w:rsidR="001B5BB0" w:rsidRPr="00A415D3">
        <w:t>. . .</w:t>
      </w:r>
      <w:r w:rsidR="00584CA8" w:rsidRPr="00A415D3">
        <w:t xml:space="preserve"> </w:t>
      </w:r>
      <w:r w:rsidR="00705705" w:rsidRPr="00A415D3">
        <w:t>,</w:t>
      </w:r>
      <w:r w:rsidR="00B65893" w:rsidRPr="00A415D3">
        <w:t xml:space="preserve"> the superintendent of the state hospital or other facility to which the defendant is committed shall make a written report to the court concerning the defendant’s progress toward recovery of his mental competence.</w:t>
      </w:r>
      <w:r w:rsidR="00705705" w:rsidRPr="00A415D3">
        <w:t>”</w:t>
      </w:r>
      <w:r w:rsidR="00B65893" w:rsidRPr="00A415D3">
        <w:t xml:space="preserve">  (Stats. 1974, ch.</w:t>
      </w:r>
      <w:r w:rsidR="008904FC" w:rsidRPr="00A415D3">
        <w:t> </w:t>
      </w:r>
      <w:r w:rsidR="00B65893" w:rsidRPr="00A415D3">
        <w:t>1511, § </w:t>
      </w:r>
      <w:r w:rsidR="009C7C75" w:rsidRPr="00A415D3">
        <w:t>6</w:t>
      </w:r>
      <w:r w:rsidR="00B65893" w:rsidRPr="00A415D3">
        <w:t>, p</w:t>
      </w:r>
      <w:r w:rsidR="009C7C75" w:rsidRPr="00A415D3">
        <w:t>p</w:t>
      </w:r>
      <w:r w:rsidR="00B65893" w:rsidRPr="00A415D3">
        <w:t>. 331</w:t>
      </w:r>
      <w:r w:rsidR="00822E8E" w:rsidRPr="00A415D3">
        <w:t>8</w:t>
      </w:r>
      <w:r w:rsidR="0035144B" w:rsidRPr="00A415D3">
        <w:t>–</w:t>
      </w:r>
      <w:r w:rsidR="00B65893" w:rsidRPr="00A415D3">
        <w:t>331</w:t>
      </w:r>
      <w:r w:rsidR="00822E8E" w:rsidRPr="00A415D3">
        <w:t>9</w:t>
      </w:r>
      <w:r w:rsidR="00B65893" w:rsidRPr="00A415D3">
        <w:t xml:space="preserve">.)  </w:t>
      </w:r>
      <w:r w:rsidR="00822E8E" w:rsidRPr="00A415D3">
        <w:t xml:space="preserve">Only if “the report discloses a substantial likelihood the defendant will </w:t>
      </w:r>
      <w:r w:rsidR="008904FC" w:rsidRPr="00A415D3">
        <w:t xml:space="preserve">regain </w:t>
      </w:r>
      <w:r w:rsidR="00822E8E" w:rsidRPr="00A415D3">
        <w:t xml:space="preserve">his mental competence in the foreseeable future” </w:t>
      </w:r>
      <w:r w:rsidR="00D74D96" w:rsidRPr="00A415D3">
        <w:t>will</w:t>
      </w:r>
      <w:r w:rsidR="00822E8E" w:rsidRPr="00A415D3">
        <w:t xml:space="preserve"> the defendant “remain in the state hospital or other facility.”  (</w:t>
      </w:r>
      <w:bookmarkStart w:id="5" w:name="_Hlk137802815"/>
      <w:r w:rsidRPr="00A415D3">
        <w:rPr>
          <w:i/>
          <w:iCs/>
        </w:rPr>
        <w:t>Id</w:t>
      </w:r>
      <w:r w:rsidRPr="00A415D3">
        <w:t>. at</w:t>
      </w:r>
      <w:r w:rsidR="00F326E7" w:rsidRPr="00A415D3">
        <w:t xml:space="preserve"> p. 3319</w:t>
      </w:r>
      <w:bookmarkEnd w:id="5"/>
      <w:r w:rsidR="00F326E7" w:rsidRPr="00A415D3">
        <w:t>.</w:t>
      </w:r>
      <w:r w:rsidR="00822E8E" w:rsidRPr="00A415D3">
        <w:t xml:space="preserve">)  </w:t>
      </w:r>
      <w:r w:rsidR="00AE28CD" w:rsidRPr="00A415D3">
        <w:t>A</w:t>
      </w:r>
      <w:r w:rsidR="00822E8E" w:rsidRPr="00A415D3">
        <w:t xml:space="preserve">fter the initial report, “at six-month intervals or until the defendant </w:t>
      </w:r>
      <w:r w:rsidR="009C7C75" w:rsidRPr="00A415D3">
        <w:t xml:space="preserve">becomes mentally competent, the superintendent of the hospital or person in charge of the facility shall report to the court </w:t>
      </w:r>
      <w:r w:rsidR="00351AB9" w:rsidRPr="00A415D3">
        <w:t xml:space="preserve">regarding the defendant’s progress.”  </w:t>
      </w:r>
      <w:r w:rsidR="003D1E7D" w:rsidRPr="00A415D3">
        <w:t>(</w:t>
      </w:r>
      <w:r w:rsidR="003D1E7D" w:rsidRPr="00A415D3">
        <w:rPr>
          <w:i/>
          <w:iCs/>
        </w:rPr>
        <w:t>Ibid</w:t>
      </w:r>
      <w:r w:rsidR="003D1E7D" w:rsidRPr="00A415D3">
        <w:t>.)</w:t>
      </w:r>
      <w:r w:rsidR="00000250" w:rsidRPr="00A415D3">
        <w:t xml:space="preserve">  </w:t>
      </w:r>
      <w:r w:rsidR="00351AB9" w:rsidRPr="00A415D3">
        <w:t xml:space="preserve">Should a report at any point indicate that “there is no substantial likelihood that the defendant </w:t>
      </w:r>
      <w:r w:rsidR="00A61C9D" w:rsidRPr="00A415D3">
        <w:t>will regain his mental competence in the foreseeable future, the committing court shall order him to be returned to the court.</w:t>
      </w:r>
      <w:r w:rsidR="00A61C9D" w:rsidRPr="00A415D3">
        <w:rPr>
          <w:szCs w:val="22"/>
        </w:rPr>
        <w:t>”</w:t>
      </w:r>
      <w:r>
        <w:rPr>
          <w:rStyle w:val="FootnoteReference"/>
        </w:rPr>
        <w:footnoteReference w:id="14"/>
      </w:r>
      <w:r w:rsidR="002867EF" w:rsidRPr="00A415D3">
        <w:rPr>
          <w:szCs w:val="22"/>
        </w:rPr>
        <w:t xml:space="preserve">  </w:t>
      </w:r>
      <w:r w:rsidR="002867EF" w:rsidRPr="00A415D3">
        <w:t>(</w:t>
      </w:r>
      <w:r w:rsidR="002867EF" w:rsidRPr="00A415D3">
        <w:rPr>
          <w:i/>
          <w:iCs/>
        </w:rPr>
        <w:t>Ibid</w:t>
      </w:r>
      <w:r w:rsidR="002867EF" w:rsidRPr="00A415D3">
        <w:t>.)</w:t>
      </w:r>
    </w:p>
    <w:p w14:paraId="3F29F0FE" w14:textId="77777777" w:rsidR="00D66FB0" w:rsidRPr="00A415D3" w:rsidRDefault="00AE6959" w:rsidP="00560442">
      <w:pPr>
        <w:pStyle w:val="NormalIndent"/>
        <w:ind w:left="0" w:firstLine="720"/>
      </w:pPr>
      <w:r w:rsidRPr="00A415D3">
        <w:t>In 1980, t</w:t>
      </w:r>
      <w:r w:rsidR="006A6F1D" w:rsidRPr="00A415D3">
        <w:t xml:space="preserve">he Legislature </w:t>
      </w:r>
      <w:r w:rsidR="000D088D" w:rsidRPr="00A415D3">
        <w:t>extended</w:t>
      </w:r>
      <w:r w:rsidR="00000250" w:rsidRPr="00A415D3">
        <w:t xml:space="preserve"> the courts</w:t>
      </w:r>
      <w:r w:rsidR="000D088D" w:rsidRPr="00A415D3">
        <w:t>’</w:t>
      </w:r>
      <w:r w:rsidR="00000250" w:rsidRPr="00A415D3">
        <w:t xml:space="preserve"> role in overseeing competency procedures</w:t>
      </w:r>
      <w:r w:rsidR="000D088D" w:rsidRPr="00A415D3">
        <w:t xml:space="preserve"> by </w:t>
      </w:r>
      <w:r w:rsidR="00CD6888" w:rsidRPr="00A415D3">
        <w:t xml:space="preserve">making them </w:t>
      </w:r>
      <w:r w:rsidR="000D088D" w:rsidRPr="00A415D3">
        <w:t>responsibl</w:t>
      </w:r>
      <w:r w:rsidR="00CD6888" w:rsidRPr="00A415D3">
        <w:t>e</w:t>
      </w:r>
      <w:r w:rsidR="000D088D" w:rsidRPr="00A415D3">
        <w:t xml:space="preserve"> </w:t>
      </w:r>
      <w:r w:rsidR="00CD6888" w:rsidRPr="00A415D3">
        <w:t xml:space="preserve">for </w:t>
      </w:r>
      <w:r w:rsidR="000D088D" w:rsidRPr="00A415D3">
        <w:t xml:space="preserve">determining </w:t>
      </w:r>
      <w:r w:rsidR="00F8551B" w:rsidRPr="00A415D3">
        <w:t>whether a defendant</w:t>
      </w:r>
      <w:r w:rsidR="00AB256A" w:rsidRPr="00A415D3">
        <w:t xml:space="preserve"> has regained competency when the defendant is returned to court </w:t>
      </w:r>
      <w:r w:rsidR="00C249DB" w:rsidRPr="00A415D3">
        <w:t>following the filing of</w:t>
      </w:r>
      <w:r w:rsidR="00AB256A" w:rsidRPr="00A415D3">
        <w:t xml:space="preserve"> a certificate of restoration.  </w:t>
      </w:r>
      <w:r w:rsidR="00344BBF" w:rsidRPr="00A415D3">
        <w:t xml:space="preserve">(See Stats. 1980, ch. 547, § 14, p. 1517.) </w:t>
      </w:r>
      <w:r w:rsidR="00F5403A" w:rsidRPr="00A415D3">
        <w:t xml:space="preserve"> </w:t>
      </w:r>
      <w:r w:rsidR="00CD6888" w:rsidRPr="00A415D3">
        <w:t xml:space="preserve">Before </w:t>
      </w:r>
      <w:r w:rsidR="00F9775F" w:rsidRPr="00A415D3">
        <w:t xml:space="preserve">this amendment, once the </w:t>
      </w:r>
      <w:r w:rsidR="00FF21B5" w:rsidRPr="00A415D3">
        <w:t xml:space="preserve">designated medical professional </w:t>
      </w:r>
      <w:r w:rsidR="009D404F" w:rsidRPr="00A415D3">
        <w:t xml:space="preserve">certified </w:t>
      </w:r>
      <w:r w:rsidR="00F9775F" w:rsidRPr="00A415D3">
        <w:t xml:space="preserve">a defendant as restored to competency, “[t]he defendant </w:t>
      </w:r>
      <w:r w:rsidR="009D404F" w:rsidRPr="00A415D3">
        <w:t>[was]</w:t>
      </w:r>
      <w:r w:rsidR="00F9775F" w:rsidRPr="00A415D3">
        <w:t xml:space="preserve"> then to be tried.”  (</w:t>
      </w:r>
      <w:r w:rsidR="00F9775F" w:rsidRPr="00A415D3">
        <w:rPr>
          <w:i/>
          <w:iCs/>
        </w:rPr>
        <w:t>Ashley</w:t>
      </w:r>
      <w:r w:rsidR="00F9775F" w:rsidRPr="00A415D3">
        <w:t xml:space="preserve">, </w:t>
      </w:r>
      <w:r w:rsidR="00F9775F" w:rsidRPr="00A415D3">
        <w:rPr>
          <w:i/>
          <w:iCs/>
        </w:rPr>
        <w:t>supra</w:t>
      </w:r>
      <w:r w:rsidR="00F9775F" w:rsidRPr="00A415D3">
        <w:t>, 59 Cal.2d at p. 359</w:t>
      </w:r>
      <w:r w:rsidR="002D0916" w:rsidRPr="00A415D3">
        <w:t xml:space="preserve">; see also </w:t>
      </w:r>
      <w:r w:rsidR="000B6CAE" w:rsidRPr="00A415D3">
        <w:t>Stats. 1974, ch.</w:t>
      </w:r>
      <w:r w:rsidR="00A329A4" w:rsidRPr="00A415D3">
        <w:t> </w:t>
      </w:r>
      <w:r w:rsidR="000B6CAE" w:rsidRPr="00A415D3">
        <w:t>1511, § 6, p. </w:t>
      </w:r>
      <w:r w:rsidR="008904FC" w:rsidRPr="00A415D3">
        <w:t>3319</w:t>
      </w:r>
      <w:r w:rsidR="00F9775F" w:rsidRPr="00A415D3">
        <w:t xml:space="preserve">.)  That is, “the final determination” of a defendant’s restoration of competency rested with </w:t>
      </w:r>
      <w:r w:rsidR="00344BBF" w:rsidRPr="00A415D3">
        <w:t xml:space="preserve">the </w:t>
      </w:r>
      <w:r w:rsidR="00FF21B5" w:rsidRPr="00A415D3">
        <w:t>designated medical professional</w:t>
      </w:r>
      <w:r w:rsidR="00344BBF" w:rsidRPr="00A415D3">
        <w:t>.  (</w:t>
      </w:r>
      <w:r w:rsidR="00344BBF" w:rsidRPr="00A415D3">
        <w:rPr>
          <w:i/>
          <w:iCs/>
        </w:rPr>
        <w:t>Phyle</w:t>
      </w:r>
      <w:r w:rsidR="00344BBF" w:rsidRPr="00A415D3">
        <w:t xml:space="preserve">, </w:t>
      </w:r>
      <w:r w:rsidR="00344BBF" w:rsidRPr="00A415D3">
        <w:rPr>
          <w:i/>
          <w:iCs/>
        </w:rPr>
        <w:t>supra</w:t>
      </w:r>
      <w:r w:rsidR="00344BBF" w:rsidRPr="00A415D3">
        <w:t xml:space="preserve">, 30 Cal.2d at p. 849.)  </w:t>
      </w:r>
      <w:r w:rsidR="00871A8F" w:rsidRPr="00A415D3">
        <w:t>The Legislature took away the power to make this “final determination” when it required a court to approve or reject a certificate of restoration.  (</w:t>
      </w:r>
      <w:r w:rsidR="00871A8F" w:rsidRPr="00A415D3">
        <w:rPr>
          <w:i/>
          <w:iCs/>
        </w:rPr>
        <w:t>Ibid</w:t>
      </w:r>
      <w:r w:rsidR="00871A8F" w:rsidRPr="00A415D3">
        <w:t xml:space="preserve">.)  Now, </w:t>
      </w:r>
      <w:r w:rsidR="00FF21B5" w:rsidRPr="00A415D3">
        <w:t>a</w:t>
      </w:r>
      <w:r w:rsidR="00FA7800" w:rsidRPr="00A415D3">
        <w:t xml:space="preserve"> court </w:t>
      </w:r>
      <w:r w:rsidR="00C249DB" w:rsidRPr="00A415D3">
        <w:t xml:space="preserve">may accept </w:t>
      </w:r>
      <w:r w:rsidR="00A623AD" w:rsidRPr="00A415D3">
        <w:t>a</w:t>
      </w:r>
      <w:r w:rsidR="00C249DB" w:rsidRPr="00A415D3">
        <w:t xml:space="preserve"> certificate of restoration, </w:t>
      </w:r>
      <w:r w:rsidR="00A623AD" w:rsidRPr="00A415D3">
        <w:t>finding the defendant competent and allowing criminal proceedings to resume</w:t>
      </w:r>
      <w:r w:rsidR="00FA7800" w:rsidRPr="00A415D3">
        <w:t>.  (See §§ 1372, subd. (c)</w:t>
      </w:r>
      <w:r w:rsidR="003841BE" w:rsidRPr="00A415D3">
        <w:t>,</w:t>
      </w:r>
      <w:r w:rsidR="00FA7800" w:rsidRPr="00A415D3">
        <w:t xml:space="preserve"> 13</w:t>
      </w:r>
      <w:r w:rsidR="001F2861" w:rsidRPr="00A415D3">
        <w:t>70, subd. (a)(1)</w:t>
      </w:r>
      <w:r w:rsidR="00FA7800" w:rsidRPr="00A415D3">
        <w:t>.)</w:t>
      </w:r>
      <w:r w:rsidR="001F2861" w:rsidRPr="00A415D3">
        <w:t xml:space="preserve">  Or, a court may reject a certificate of restoration</w:t>
      </w:r>
      <w:r w:rsidR="003A004A" w:rsidRPr="00A415D3">
        <w:t xml:space="preserve">, finding </w:t>
      </w:r>
      <w:r w:rsidR="001F2861" w:rsidRPr="00A415D3">
        <w:t xml:space="preserve">that </w:t>
      </w:r>
      <w:r w:rsidR="00A623AD" w:rsidRPr="00A415D3">
        <w:t>the</w:t>
      </w:r>
      <w:r w:rsidR="001F2861" w:rsidRPr="00A415D3">
        <w:t xml:space="preserve"> defendant remains incompetent.  (See § 1372, subd. (c)(2).)  In other words, the court may disagree with the </w:t>
      </w:r>
      <w:r w:rsidR="00FF21B5" w:rsidRPr="00A415D3">
        <w:t>designated medical professional</w:t>
      </w:r>
      <w:r w:rsidR="001F2861" w:rsidRPr="00A415D3">
        <w:t>, and it is the court’s judgment that carries legal significance.</w:t>
      </w:r>
      <w:r>
        <w:rPr>
          <w:rStyle w:val="FootnoteReference"/>
        </w:rPr>
        <w:footnoteReference w:id="15"/>
      </w:r>
    </w:p>
    <w:p w14:paraId="3F29F0FF" w14:textId="77777777" w:rsidR="00B927EF" w:rsidRPr="00A415D3" w:rsidRDefault="00AE6959" w:rsidP="00560442">
      <w:pPr>
        <w:pStyle w:val="NormalIndent"/>
        <w:ind w:left="0" w:firstLine="720"/>
      </w:pPr>
      <w:r w:rsidRPr="00A415D3">
        <w:t xml:space="preserve">In addition, </w:t>
      </w:r>
      <w:r w:rsidR="00E74F49" w:rsidRPr="00A415D3">
        <w:t xml:space="preserve">courts are empowered to </w:t>
      </w:r>
      <w:r w:rsidR="00822E8E" w:rsidRPr="00A415D3">
        <w:t xml:space="preserve">remove </w:t>
      </w:r>
      <w:r w:rsidR="0036213B" w:rsidRPr="00A415D3">
        <w:t xml:space="preserve">defendants from their </w:t>
      </w:r>
      <w:r w:rsidR="009827D6" w:rsidRPr="00A415D3">
        <w:t xml:space="preserve">commitment placement </w:t>
      </w:r>
      <w:r w:rsidR="00822E8E" w:rsidRPr="00A415D3">
        <w:t xml:space="preserve">without </w:t>
      </w:r>
      <w:r w:rsidR="009C7C75" w:rsidRPr="00A415D3">
        <w:t xml:space="preserve">input from the </w:t>
      </w:r>
      <w:r w:rsidR="00FF21B5" w:rsidRPr="00A415D3">
        <w:t>designated medical professional</w:t>
      </w:r>
      <w:r w:rsidR="009827D6" w:rsidRPr="00A415D3">
        <w:t>.</w:t>
      </w:r>
      <w:r w:rsidR="00DE203D" w:rsidRPr="00A415D3">
        <w:t xml:space="preserve">  </w:t>
      </w:r>
      <w:r w:rsidR="004F65D5" w:rsidRPr="00A415D3">
        <w:t xml:space="preserve">In </w:t>
      </w:r>
      <w:r w:rsidR="00F172A0" w:rsidRPr="00A415D3">
        <w:t xml:space="preserve">the </w:t>
      </w:r>
      <w:r w:rsidR="004F65D5" w:rsidRPr="00A415D3">
        <w:t xml:space="preserve">1974 enactment, the Legislature declared </w:t>
      </w:r>
      <w:r w:rsidR="00DB487E" w:rsidRPr="00A415D3">
        <w:t xml:space="preserve">that </w:t>
      </w:r>
      <w:r w:rsidR="006F74C9" w:rsidRPr="00A415D3">
        <w:t xml:space="preserve">a defendant </w:t>
      </w:r>
      <w:r w:rsidR="009E5422" w:rsidRPr="00A415D3">
        <w:t xml:space="preserve">“shall be returned to the committing court” if the court determines </w:t>
      </w:r>
      <w:r w:rsidR="003B50F9" w:rsidRPr="00A415D3">
        <w:t xml:space="preserve">that </w:t>
      </w:r>
      <w:r w:rsidR="00CD39A4" w:rsidRPr="00A415D3">
        <w:t xml:space="preserve">“treatment for the defendant’s mental impairment is </w:t>
      </w:r>
      <w:r w:rsidR="00162C79" w:rsidRPr="00A415D3">
        <w:t>[</w:t>
      </w:r>
      <w:r w:rsidR="00CD39A4" w:rsidRPr="00A415D3">
        <w:t>not</w:t>
      </w:r>
      <w:r w:rsidR="00162C79" w:rsidRPr="00A415D3">
        <w:t>]</w:t>
      </w:r>
      <w:r w:rsidR="00CD39A4" w:rsidRPr="00A415D3">
        <w:t xml:space="preserve"> being conducted.”  (</w:t>
      </w:r>
      <w:r w:rsidR="00211DBC" w:rsidRPr="00A415D3">
        <w:t>Stats. 1974, ch. 1511, § </w:t>
      </w:r>
      <w:r w:rsidR="00162C79" w:rsidRPr="00A415D3">
        <w:t>6</w:t>
      </w:r>
      <w:r w:rsidR="00211DBC" w:rsidRPr="00A415D3">
        <w:t>, p. </w:t>
      </w:r>
      <w:r w:rsidR="00162C79" w:rsidRPr="00A415D3">
        <w:t>3319</w:t>
      </w:r>
      <w:r w:rsidR="004F65D5" w:rsidRPr="00A415D3">
        <w:t xml:space="preserve">; </w:t>
      </w:r>
      <w:r w:rsidR="00211DBC" w:rsidRPr="00A415D3">
        <w:t xml:space="preserve">see also </w:t>
      </w:r>
      <w:r w:rsidR="00CD39A4" w:rsidRPr="00A415D3">
        <w:t>§ 1370, subd. (b)(4).)</w:t>
      </w:r>
      <w:r w:rsidR="0036213B" w:rsidRPr="00A415D3">
        <w:t xml:space="preserve">  </w:t>
      </w:r>
      <w:r w:rsidR="004F65D5" w:rsidRPr="00A415D3">
        <w:t>In 2018, the Legislature specified that “[i]f</w:t>
      </w:r>
      <w:r w:rsidR="00162C79" w:rsidRPr="00A415D3">
        <w:t>,</w:t>
      </w:r>
      <w:r w:rsidR="004F65D5" w:rsidRPr="00A415D3">
        <w:t xml:space="preserve"> at any time after the court has declared a defendant incompetent to stand trial,” the court receives “substantial evidence . . . as to create a doubt in the mind of the judge as to the defendant’s current mental </w:t>
      </w:r>
      <w:r w:rsidR="00162C79" w:rsidRPr="00A415D3">
        <w:t>in</w:t>
      </w:r>
      <w:r w:rsidR="004F65D5" w:rsidRPr="00A415D3">
        <w:t>competence,” the court may appoint an expert to examine the defendant.  (</w:t>
      </w:r>
      <w:r w:rsidR="006D7789" w:rsidRPr="00A415D3">
        <w:t xml:space="preserve">§ 1370, subd. (a)(1)(G), added by </w:t>
      </w:r>
      <w:r w:rsidR="00211DBC" w:rsidRPr="00A415D3">
        <w:t>Stats. 2018</w:t>
      </w:r>
      <w:r w:rsidR="00665C91" w:rsidRPr="00A415D3">
        <w:t>,</w:t>
      </w:r>
      <w:r w:rsidR="00211DBC" w:rsidRPr="00A415D3">
        <w:t xml:space="preserve"> ch. 34, § 2</w:t>
      </w:r>
      <w:r w:rsidR="0043142C" w:rsidRPr="00A415D3">
        <w:t>5</w:t>
      </w:r>
      <w:r w:rsidR="004F65D5" w:rsidRPr="00A415D3">
        <w:t xml:space="preserve">.)  </w:t>
      </w:r>
      <w:r w:rsidR="006329D7" w:rsidRPr="00A415D3">
        <w:t xml:space="preserve">If </w:t>
      </w:r>
      <w:r w:rsidR="004F65D5" w:rsidRPr="00A415D3">
        <w:t>the expert opine</w:t>
      </w:r>
      <w:r w:rsidR="006329D7" w:rsidRPr="00A415D3">
        <w:t>s</w:t>
      </w:r>
      <w:r w:rsidR="004F65D5" w:rsidRPr="00A415D3">
        <w:t xml:space="preserve"> that the defendant has regained competenc</w:t>
      </w:r>
      <w:r w:rsidR="007F1FB5" w:rsidRPr="00A415D3">
        <w:t>y</w:t>
      </w:r>
      <w:r w:rsidR="004F65D5" w:rsidRPr="00A415D3">
        <w:t xml:space="preserve">, “the court shall proceed as if a certificate of restoration of competence has been returned,” although no such certificate has been filed by the </w:t>
      </w:r>
      <w:r w:rsidR="00FF21B5" w:rsidRPr="00A415D3">
        <w:t>designated medical professional</w:t>
      </w:r>
      <w:r w:rsidR="004F65D5" w:rsidRPr="00A415D3">
        <w:t>.  (</w:t>
      </w:r>
      <w:r w:rsidR="004F65D5" w:rsidRPr="00A415D3">
        <w:rPr>
          <w:i/>
          <w:iCs/>
        </w:rPr>
        <w:t>Ibid</w:t>
      </w:r>
      <w:r w:rsidR="004F65D5" w:rsidRPr="00A415D3">
        <w:t>.)</w:t>
      </w:r>
      <w:r>
        <w:rPr>
          <w:rStyle w:val="FootnoteReference"/>
        </w:rPr>
        <w:footnoteReference w:id="16"/>
      </w:r>
      <w:r w:rsidR="004F65D5" w:rsidRPr="00A415D3">
        <w:t xml:space="preserve">  </w:t>
      </w:r>
      <w:r w:rsidR="0036213B" w:rsidRPr="00A415D3">
        <w:t xml:space="preserve">Neither of these </w:t>
      </w:r>
      <w:r w:rsidR="006D7789" w:rsidRPr="00A415D3">
        <w:t>procedures</w:t>
      </w:r>
      <w:r w:rsidR="00200C94" w:rsidRPr="00A415D3">
        <w:t xml:space="preserve"> </w:t>
      </w:r>
      <w:r w:rsidR="0036213B" w:rsidRPr="00A415D3">
        <w:t>requires the state hospital</w:t>
      </w:r>
      <w:r w:rsidR="00D33731" w:rsidRPr="00A415D3">
        <w:t xml:space="preserve">’s involvement. </w:t>
      </w:r>
    </w:p>
    <w:p w14:paraId="3F29F100" w14:textId="77777777" w:rsidR="00E45C7A" w:rsidRPr="00A415D3" w:rsidRDefault="00AE6959" w:rsidP="00560442">
      <w:pPr>
        <w:ind w:firstLine="720"/>
      </w:pPr>
      <w:r w:rsidRPr="00A415D3">
        <w:t xml:space="preserve">To summarize:  </w:t>
      </w:r>
      <w:r w:rsidR="006857E4" w:rsidRPr="00A415D3">
        <w:t>Th</w:t>
      </w:r>
      <w:r w:rsidRPr="00A415D3">
        <w:t>rough</w:t>
      </w:r>
      <w:r w:rsidR="006857E4" w:rsidRPr="00A415D3">
        <w:t xml:space="preserve"> </w:t>
      </w:r>
      <w:r w:rsidR="00815FE7" w:rsidRPr="00A415D3">
        <w:t xml:space="preserve">a series of </w:t>
      </w:r>
      <w:r w:rsidRPr="00A415D3">
        <w:t>enactments</w:t>
      </w:r>
      <w:r w:rsidR="006857E4" w:rsidRPr="00A415D3">
        <w:t xml:space="preserve"> </w:t>
      </w:r>
      <w:r w:rsidR="00815FE7" w:rsidRPr="00A415D3">
        <w:t>concerning competency</w:t>
      </w:r>
      <w:r w:rsidR="006857E4" w:rsidRPr="00A415D3">
        <w:t xml:space="preserve"> proceedings, the Legislature has </w:t>
      </w:r>
      <w:r w:rsidR="006D7789" w:rsidRPr="00A415D3">
        <w:t xml:space="preserve">vested </w:t>
      </w:r>
      <w:r w:rsidR="002D78DB" w:rsidRPr="00A415D3">
        <w:t xml:space="preserve">courts </w:t>
      </w:r>
      <w:r w:rsidR="00777ADF" w:rsidRPr="00A415D3">
        <w:t xml:space="preserve">with </w:t>
      </w:r>
      <w:r w:rsidR="0036213B" w:rsidRPr="00A415D3">
        <w:t>responsibility for overseein</w:t>
      </w:r>
      <w:r w:rsidRPr="00A415D3">
        <w:t xml:space="preserve">g </w:t>
      </w:r>
      <w:r w:rsidR="005877C3" w:rsidRPr="00A415D3">
        <w:t>the progress of defendants committed for the purpose of restoring their competency</w:t>
      </w:r>
      <w:r w:rsidRPr="00A415D3">
        <w:t>.</w:t>
      </w:r>
      <w:r w:rsidR="004E67AA" w:rsidRPr="00A415D3">
        <w:t xml:space="preserve">  </w:t>
      </w:r>
      <w:r w:rsidR="009A54E2" w:rsidRPr="00A415D3">
        <w:t>M</w:t>
      </w:r>
      <w:r w:rsidR="004E67AA" w:rsidRPr="00A415D3">
        <w:t>uch of th</w:t>
      </w:r>
      <w:r w:rsidR="002D78DB" w:rsidRPr="00A415D3">
        <w:t>is</w:t>
      </w:r>
      <w:r w:rsidR="004E67AA" w:rsidRPr="00A415D3">
        <w:t xml:space="preserve"> responsibility </w:t>
      </w:r>
      <w:r w:rsidR="002D78DB" w:rsidRPr="00A415D3">
        <w:t xml:space="preserve">previously rested with the Department </w:t>
      </w:r>
      <w:r w:rsidR="006D7789" w:rsidRPr="00A415D3">
        <w:t>and related entities</w:t>
      </w:r>
      <w:r w:rsidR="009A54E2" w:rsidRPr="00A415D3">
        <w:t xml:space="preserve">.  The Legislature, however, has </w:t>
      </w:r>
      <w:r w:rsidR="006D7789" w:rsidRPr="00A415D3">
        <w:t>shifted this authority</w:t>
      </w:r>
      <w:r w:rsidR="009A54E2" w:rsidRPr="00A415D3">
        <w:t xml:space="preserve"> to the courts</w:t>
      </w:r>
      <w:r w:rsidRPr="00A415D3">
        <w:t xml:space="preserve"> </w:t>
      </w:r>
      <w:r w:rsidR="002D78DB" w:rsidRPr="00A415D3">
        <w:t xml:space="preserve">to ensure </w:t>
      </w:r>
      <w:r w:rsidR="00506136" w:rsidRPr="00A415D3">
        <w:t>that</w:t>
      </w:r>
      <w:r w:rsidR="00105E7E" w:rsidRPr="00A415D3">
        <w:t xml:space="preserve"> “a person charged by a State with a criminal offense who is committed solely on account of his incapacity to proceed to trial cannot be held more than the reasonable period of time necessary to determine whether there is a substantial probability that he will attain that capacity in the foreseeable future</w:t>
      </w:r>
      <w:r w:rsidR="00506136" w:rsidRPr="00A415D3">
        <w:t>.</w:t>
      </w:r>
      <w:r w:rsidR="00105E7E" w:rsidRPr="00A415D3">
        <w:t>”  (</w:t>
      </w:r>
      <w:r w:rsidR="00105E7E" w:rsidRPr="00A415D3">
        <w:rPr>
          <w:i/>
          <w:iCs/>
        </w:rPr>
        <w:t>Jackson v. Indiana</w:t>
      </w:r>
      <w:r w:rsidR="00105E7E" w:rsidRPr="00A415D3">
        <w:t xml:space="preserve">, </w:t>
      </w:r>
      <w:r w:rsidR="00105E7E" w:rsidRPr="00A415D3">
        <w:rPr>
          <w:i/>
          <w:iCs/>
        </w:rPr>
        <w:t>supra</w:t>
      </w:r>
      <w:r w:rsidR="00105E7E" w:rsidRPr="00A415D3">
        <w:t>, 406 U.S. at p. 738.)</w:t>
      </w:r>
      <w:r w:rsidR="00506136" w:rsidRPr="00A415D3">
        <w:t xml:space="preserve">  </w:t>
      </w:r>
      <w:r w:rsidR="006D7789" w:rsidRPr="00A415D3">
        <w:t>This sequence</w:t>
      </w:r>
      <w:r w:rsidR="00815FE7" w:rsidRPr="00A415D3">
        <w:t xml:space="preserve"> of amendments </w:t>
      </w:r>
      <w:r w:rsidR="006D7789" w:rsidRPr="00A415D3">
        <w:t xml:space="preserve">cuts against the People’s </w:t>
      </w:r>
      <w:r w:rsidRPr="00A415D3">
        <w:t xml:space="preserve">argument </w:t>
      </w:r>
      <w:r w:rsidR="00FF21B5" w:rsidRPr="00A415D3">
        <w:t xml:space="preserve">and suggests </w:t>
      </w:r>
      <w:r w:rsidRPr="00A415D3">
        <w:t xml:space="preserve">that </w:t>
      </w:r>
      <w:r w:rsidR="00FF21B5" w:rsidRPr="00A415D3">
        <w:t>t</w:t>
      </w:r>
      <w:r w:rsidR="008C6C35" w:rsidRPr="00A415D3">
        <w:t xml:space="preserve">he Legislature did not intend a certificate of restoration filed by a </w:t>
      </w:r>
      <w:r w:rsidR="00FF21B5" w:rsidRPr="00A415D3">
        <w:t xml:space="preserve">designated medical professional </w:t>
      </w:r>
      <w:r w:rsidR="008C6C35" w:rsidRPr="00A415D3">
        <w:t xml:space="preserve">to unilaterally </w:t>
      </w:r>
      <w:r w:rsidR="002F3860">
        <w:t>stop the two-year clock</w:t>
      </w:r>
      <w:r w:rsidR="008C6C35" w:rsidRPr="00A415D3">
        <w:t>.</w:t>
      </w:r>
    </w:p>
    <w:p w14:paraId="3F29F101" w14:textId="77777777" w:rsidR="00E5120D" w:rsidRPr="00A415D3" w:rsidRDefault="00AE6959" w:rsidP="00560442">
      <w:pPr>
        <w:pStyle w:val="Heading4"/>
        <w:numPr>
          <w:ilvl w:val="0"/>
          <w:numId w:val="13"/>
        </w:numPr>
        <w:ind w:left="2016" w:hanging="432"/>
      </w:pPr>
      <w:r w:rsidRPr="00A415D3">
        <w:t xml:space="preserve">The </w:t>
      </w:r>
      <w:r w:rsidR="00974D03" w:rsidRPr="00A415D3">
        <w:t xml:space="preserve">People’s reliance on the </w:t>
      </w:r>
      <w:r w:rsidRPr="00A415D3">
        <w:t>2018 amendment</w:t>
      </w:r>
    </w:p>
    <w:p w14:paraId="3F29F102" w14:textId="77777777" w:rsidR="00891690" w:rsidRPr="00A415D3" w:rsidRDefault="00AE6959" w:rsidP="00560442">
      <w:pPr>
        <w:pStyle w:val="NormalIndent"/>
        <w:ind w:left="0" w:firstLine="720"/>
      </w:pPr>
      <w:r w:rsidRPr="00A415D3">
        <w:t>As mentioned, i</w:t>
      </w:r>
      <w:r w:rsidR="00E5120D" w:rsidRPr="00A415D3">
        <w:t>n 2018, the Legislature shortened the maximum commitment term from three years to two</w:t>
      </w:r>
      <w:r w:rsidRPr="00A415D3">
        <w:t xml:space="preserve"> years</w:t>
      </w:r>
      <w:r w:rsidR="00E5120D" w:rsidRPr="00A415D3">
        <w:t xml:space="preserve">.  </w:t>
      </w:r>
      <w:r w:rsidRPr="00A415D3">
        <w:t>(Stats. 2018, ch. 1008, § </w:t>
      </w:r>
      <w:r w:rsidR="00665C91" w:rsidRPr="00A415D3">
        <w:t>3</w:t>
      </w:r>
      <w:r w:rsidRPr="00A415D3">
        <w:t xml:space="preserve">.)  </w:t>
      </w:r>
      <w:r w:rsidR="00470A71" w:rsidRPr="00A415D3">
        <w:t>The People</w:t>
      </w:r>
      <w:r w:rsidR="00F8634F" w:rsidRPr="00A415D3">
        <w:t xml:space="preserve"> </w:t>
      </w:r>
      <w:r w:rsidR="0098272B" w:rsidRPr="00A415D3">
        <w:t>point to</w:t>
      </w:r>
      <w:r w:rsidR="001155F9" w:rsidRPr="00A415D3">
        <w:t xml:space="preserve"> </w:t>
      </w:r>
      <w:r w:rsidR="006D5EBF" w:rsidRPr="00A415D3">
        <w:t xml:space="preserve">a </w:t>
      </w:r>
      <w:r w:rsidR="001155F9" w:rsidRPr="00A415D3">
        <w:t>summary provided by the Legislative Counsel</w:t>
      </w:r>
      <w:r w:rsidR="00BF707C" w:rsidRPr="00A415D3">
        <w:t>, which</w:t>
      </w:r>
      <w:r w:rsidR="006D5EBF" w:rsidRPr="00A415D3">
        <w:t xml:space="preserve"> stated</w:t>
      </w:r>
      <w:r w:rsidR="001155F9" w:rsidRPr="00A415D3">
        <w:t xml:space="preserve"> that the 2018 bill “would reduce the term for commitment to a treatment facility when a felony </w:t>
      </w:r>
      <w:r w:rsidR="00162C79" w:rsidRPr="00A415D3">
        <w:t>[</w:t>
      </w:r>
      <w:r w:rsidR="00225E4F" w:rsidRPr="00A415D3">
        <w:t>i</w:t>
      </w:r>
      <w:r w:rsidR="001155F9" w:rsidRPr="00A415D3">
        <w:t>s</w:t>
      </w:r>
      <w:r w:rsidR="00162C79" w:rsidRPr="00A415D3">
        <w:t>]</w:t>
      </w:r>
      <w:r w:rsidR="001155F9" w:rsidRPr="00A415D3">
        <w:t xml:space="preserve"> committed to the shorter of 2 years or the period of commitment equal to the maximum term of imprisonment provided by law for the most serious offense charged.”  (Legis. Counsel’s Dig., Sen. Bill No. 1187 (2017</w:t>
      </w:r>
      <w:r w:rsidR="0035144B" w:rsidRPr="00A415D3">
        <w:t>–</w:t>
      </w:r>
      <w:r w:rsidR="001155F9" w:rsidRPr="00A415D3">
        <w:t xml:space="preserve">2018 Reg. Sess.).)  </w:t>
      </w:r>
      <w:r w:rsidR="006749EA" w:rsidRPr="00A415D3">
        <w:t>Relying on</w:t>
      </w:r>
      <w:r w:rsidR="001155F9" w:rsidRPr="00A415D3">
        <w:t xml:space="preserve"> the </w:t>
      </w:r>
      <w:r w:rsidR="00472672" w:rsidRPr="00A415D3">
        <w:t>phrase</w:t>
      </w:r>
      <w:r w:rsidR="001155F9" w:rsidRPr="00A415D3">
        <w:t xml:space="preserve"> “to a treatment facility</w:t>
      </w:r>
      <w:r w:rsidR="0043639B" w:rsidRPr="00A415D3">
        <w:t>”</w:t>
      </w:r>
      <w:r w:rsidR="00AA36A5" w:rsidRPr="00A415D3">
        <w:t xml:space="preserve"> within this summary,</w:t>
      </w:r>
      <w:r w:rsidR="001155F9" w:rsidRPr="00A415D3">
        <w:t xml:space="preserve"> the </w:t>
      </w:r>
      <w:r w:rsidR="0043639B" w:rsidRPr="00A415D3">
        <w:t>People argue that the Legislature did not intend “the maximum commitment to include court hearings that occur when the defendant is no longer receiving restoration treatment and is no longer in the care and custody of the state hospital.”</w:t>
      </w:r>
    </w:p>
    <w:p w14:paraId="3F29F103" w14:textId="77777777" w:rsidR="00DC5CED" w:rsidRPr="00A415D3" w:rsidRDefault="00AE6959" w:rsidP="00560442">
      <w:pPr>
        <w:pStyle w:val="NormalIndent"/>
        <w:ind w:left="0" w:firstLine="720"/>
      </w:pPr>
      <w:r w:rsidRPr="00A415D3">
        <w:t>T</w:t>
      </w:r>
      <w:r w:rsidR="0043639B" w:rsidRPr="00A415D3">
        <w:t xml:space="preserve">o the extent the People are focused </w:t>
      </w:r>
      <w:r w:rsidR="00DB1D33" w:rsidRPr="00A415D3">
        <w:t xml:space="preserve">on </w:t>
      </w:r>
      <w:r w:rsidR="000A5F1E" w:rsidRPr="00A415D3">
        <w:t xml:space="preserve">a defendant being in a </w:t>
      </w:r>
      <w:r w:rsidR="0043639B" w:rsidRPr="00A415D3">
        <w:t xml:space="preserve">“treatment facility” </w:t>
      </w:r>
      <w:r w:rsidR="000A5F1E" w:rsidRPr="00A415D3">
        <w:t>or in</w:t>
      </w:r>
      <w:r w:rsidR="0043639B" w:rsidRPr="00A415D3">
        <w:t xml:space="preserve"> </w:t>
      </w:r>
      <w:r w:rsidR="000A5F1E" w:rsidRPr="00A415D3">
        <w:t xml:space="preserve">the </w:t>
      </w:r>
      <w:r w:rsidR="0043639B" w:rsidRPr="00A415D3">
        <w:t>“custody of the state hospital</w:t>
      </w:r>
      <w:r w:rsidR="003841BE" w:rsidRPr="00A415D3">
        <w:t>,</w:t>
      </w:r>
      <w:r w:rsidR="0043639B" w:rsidRPr="00A415D3">
        <w:t>”</w:t>
      </w:r>
      <w:r w:rsidR="000A5F1E" w:rsidRPr="00A415D3">
        <w:t xml:space="preserve"> </w:t>
      </w:r>
      <w:r w:rsidR="0043639B" w:rsidRPr="00A415D3">
        <w:t xml:space="preserve">the People are </w:t>
      </w:r>
      <w:r w:rsidR="00083B33" w:rsidRPr="00A415D3">
        <w:t xml:space="preserve">again </w:t>
      </w:r>
      <w:r w:rsidR="0043639B" w:rsidRPr="00A415D3">
        <w:t xml:space="preserve">arguing that physical presence in a facility is determinative of commitment.  </w:t>
      </w:r>
      <w:r w:rsidR="00DB1D33" w:rsidRPr="00A415D3">
        <w:t>T</w:t>
      </w:r>
      <w:r w:rsidR="0043639B" w:rsidRPr="00A415D3">
        <w:t xml:space="preserve">he legislative history of the 2018 amendment does not support this </w:t>
      </w:r>
      <w:r w:rsidRPr="00A415D3">
        <w:t>claim</w:t>
      </w:r>
      <w:r w:rsidR="0043639B" w:rsidRPr="00A415D3">
        <w:t>.</w:t>
      </w:r>
      <w:r w:rsidR="004A56DB" w:rsidRPr="00A415D3">
        <w:t xml:space="preserve">  </w:t>
      </w:r>
      <w:r w:rsidRPr="00A415D3">
        <w:t xml:space="preserve">For example, </w:t>
      </w:r>
      <w:r w:rsidR="00815FE7" w:rsidRPr="00A415D3">
        <w:t xml:space="preserve">the </w:t>
      </w:r>
      <w:r w:rsidR="0043639B" w:rsidRPr="00A415D3">
        <w:t xml:space="preserve">Senate Committee </w:t>
      </w:r>
      <w:r w:rsidR="00815FE7" w:rsidRPr="00A415D3">
        <w:t xml:space="preserve">on </w:t>
      </w:r>
      <w:r w:rsidR="0043639B" w:rsidRPr="00A415D3">
        <w:t>Public Safety</w:t>
      </w:r>
      <w:r w:rsidR="00815FE7" w:rsidRPr="00A415D3">
        <w:t>’s analysis of the measure</w:t>
      </w:r>
      <w:r w:rsidR="003E6F08" w:rsidRPr="00A415D3">
        <w:t xml:space="preserve"> </w:t>
      </w:r>
      <w:r w:rsidR="003B1355" w:rsidRPr="00A415D3">
        <w:t xml:space="preserve">simply </w:t>
      </w:r>
      <w:r w:rsidR="003E6F08" w:rsidRPr="00A415D3">
        <w:t>state</w:t>
      </w:r>
      <w:r w:rsidR="002B0427" w:rsidRPr="00A415D3">
        <w:t>d</w:t>
      </w:r>
      <w:r w:rsidR="003E6F08" w:rsidRPr="00A415D3">
        <w:t xml:space="preserve">, </w:t>
      </w:r>
      <w:r w:rsidR="0043639B" w:rsidRPr="00A415D3">
        <w:t xml:space="preserve">“The bill changes the maximum </w:t>
      </w:r>
      <w:r w:rsidR="00460CD9" w:rsidRPr="00A415D3">
        <w:t xml:space="preserve">commitment </w:t>
      </w:r>
      <w:r w:rsidR="0043639B" w:rsidRPr="00A415D3">
        <w:t>term for a felony from three years to two years.”  (Sen. Com. on Public Safety, Analysis of Sen. Bill No. 1187</w:t>
      </w:r>
      <w:r w:rsidR="00D525CB" w:rsidRPr="00A415D3">
        <w:t xml:space="preserve">, </w:t>
      </w:r>
      <w:r w:rsidR="00D525CB" w:rsidRPr="00A415D3">
        <w:rPr>
          <w:i/>
          <w:iCs/>
        </w:rPr>
        <w:t>supra</w:t>
      </w:r>
      <w:r w:rsidR="00D525CB" w:rsidRPr="00A415D3">
        <w:t>, as introduced Feb.</w:t>
      </w:r>
      <w:r w:rsidR="00E03141" w:rsidRPr="00A415D3">
        <w:t> </w:t>
      </w:r>
      <w:r w:rsidR="00D525CB" w:rsidRPr="00A415D3">
        <w:t>15, 2018</w:t>
      </w:r>
      <w:r w:rsidR="0043639B" w:rsidRPr="00A415D3">
        <w:t xml:space="preserve">, p. 5.)  </w:t>
      </w:r>
      <w:r w:rsidR="00691082" w:rsidRPr="00A415D3">
        <w:t>T</w:t>
      </w:r>
      <w:r w:rsidR="0043639B" w:rsidRPr="00A415D3">
        <w:t xml:space="preserve">he analysis </w:t>
      </w:r>
      <w:r w:rsidR="00B37FC8" w:rsidRPr="00A415D3">
        <w:t xml:space="preserve">thus </w:t>
      </w:r>
      <w:r w:rsidR="0043639B" w:rsidRPr="00A415D3">
        <w:t>repeat</w:t>
      </w:r>
      <w:r w:rsidR="002B0427" w:rsidRPr="00A415D3">
        <w:t>ed</w:t>
      </w:r>
      <w:r w:rsidR="0043639B" w:rsidRPr="00A415D3">
        <w:t xml:space="preserve"> the Legislative Counsel’s Digest statement regarding the reduction in the maximum term, but </w:t>
      </w:r>
      <w:r w:rsidRPr="00A415D3">
        <w:t>omitted</w:t>
      </w:r>
      <w:r w:rsidR="0043639B" w:rsidRPr="00A415D3">
        <w:t xml:space="preserve"> the phrase “to a treatment facility</w:t>
      </w:r>
      <w:r w:rsidR="00E1148A" w:rsidRPr="00A415D3">
        <w:t>.”  (Legis. Counsel’s Dig., Sen. Bill No. 1187</w:t>
      </w:r>
      <w:r w:rsidR="00AE6A3B" w:rsidRPr="00A415D3">
        <w:t xml:space="preserve">, </w:t>
      </w:r>
      <w:r w:rsidR="00AE6A3B" w:rsidRPr="00A415D3">
        <w:rPr>
          <w:i/>
          <w:iCs/>
        </w:rPr>
        <w:t>supra</w:t>
      </w:r>
      <w:r w:rsidR="00E1148A" w:rsidRPr="00A415D3">
        <w:t xml:space="preserve">.)  </w:t>
      </w:r>
      <w:r w:rsidR="00D7582B" w:rsidRPr="00A415D3">
        <w:t>Similarly, a</w:t>
      </w:r>
      <w:r w:rsidR="005C651C" w:rsidRPr="00A415D3">
        <w:t xml:space="preserve">nother analysis </w:t>
      </w:r>
      <w:r w:rsidR="00891690" w:rsidRPr="00A415D3">
        <w:t>explain</w:t>
      </w:r>
      <w:r w:rsidR="002B0427" w:rsidRPr="00A415D3">
        <w:t>ed</w:t>
      </w:r>
      <w:r w:rsidR="00891690" w:rsidRPr="00A415D3">
        <w:t xml:space="preserve"> that the bill “reduces the maximum term of commitment to a treatment facility to restore a defendant’s competency from three years to two years.”  (Sen. Rules Com., </w:t>
      </w:r>
      <w:r w:rsidR="00D525CB" w:rsidRPr="00A415D3">
        <w:t xml:space="preserve">Off. of Sen. Floor Analyses, </w:t>
      </w:r>
      <w:r w:rsidR="003F0BA0">
        <w:t>3d reading a</w:t>
      </w:r>
      <w:r w:rsidR="00891690" w:rsidRPr="00A415D3">
        <w:t xml:space="preserve">nalysis of Sen. Bill No. 1187 (2017–2018 Reg. Sess.) </w:t>
      </w:r>
      <w:r w:rsidR="00D525CB" w:rsidRPr="00A415D3">
        <w:t xml:space="preserve">as amended </w:t>
      </w:r>
      <w:r w:rsidR="00891690" w:rsidRPr="00A415D3">
        <w:t>May</w:t>
      </w:r>
      <w:r w:rsidR="00E03141" w:rsidRPr="00A415D3">
        <w:t> </w:t>
      </w:r>
      <w:r w:rsidR="00891690" w:rsidRPr="00A415D3">
        <w:t>2</w:t>
      </w:r>
      <w:r w:rsidR="00D525CB" w:rsidRPr="00A415D3">
        <w:t>5</w:t>
      </w:r>
      <w:r w:rsidR="00891690" w:rsidRPr="00A415D3">
        <w:t>, 2018, p.</w:t>
      </w:r>
      <w:r w:rsidR="00E03141" w:rsidRPr="00A415D3">
        <w:t> </w:t>
      </w:r>
      <w:r w:rsidR="00891690" w:rsidRPr="00A415D3">
        <w:t xml:space="preserve">1.)  </w:t>
      </w:r>
      <w:r w:rsidR="002B0427" w:rsidRPr="00A415D3">
        <w:t xml:space="preserve">Yet the same analysis </w:t>
      </w:r>
      <w:r w:rsidR="00F3327E" w:rsidRPr="00A415D3">
        <w:t xml:space="preserve">also </w:t>
      </w:r>
      <w:r w:rsidR="00891690" w:rsidRPr="00A415D3">
        <w:t>state</w:t>
      </w:r>
      <w:r w:rsidR="00A84391" w:rsidRPr="00A415D3">
        <w:t>d</w:t>
      </w:r>
      <w:r w:rsidR="00891690" w:rsidRPr="00A415D3">
        <w:t xml:space="preserve"> that the</w:t>
      </w:r>
      <w:r w:rsidR="005C651C" w:rsidRPr="00A415D3">
        <w:t xml:space="preserve"> </w:t>
      </w:r>
      <w:r w:rsidR="00891690" w:rsidRPr="00A415D3">
        <w:t xml:space="preserve">bill </w:t>
      </w:r>
      <w:r w:rsidR="005C651C" w:rsidRPr="00A415D3">
        <w:t>“</w:t>
      </w:r>
      <w:r w:rsidR="00891690" w:rsidRPr="00A415D3">
        <w:t>[r]</w:t>
      </w:r>
      <w:r w:rsidR="005C651C" w:rsidRPr="00A415D3">
        <w:t>educes the maximum term of commitment for purposes of restoring a defendant’s mental competency from three years to two years</w:t>
      </w:r>
      <w:r w:rsidR="00AB6331" w:rsidRPr="00A415D3">
        <w:t xml:space="preserve">,” </w:t>
      </w:r>
      <w:r w:rsidRPr="00A415D3">
        <w:t xml:space="preserve">again </w:t>
      </w:r>
      <w:r w:rsidR="00AB6331" w:rsidRPr="00A415D3">
        <w:t>without mentioning treatment facilities.</w:t>
      </w:r>
      <w:r w:rsidR="005C651C" w:rsidRPr="00A415D3">
        <w:t xml:space="preserve">  </w:t>
      </w:r>
      <w:r w:rsidR="00891690" w:rsidRPr="00A415D3">
        <w:t>(</w:t>
      </w:r>
      <w:r w:rsidR="00891690" w:rsidRPr="00A415D3">
        <w:rPr>
          <w:i/>
          <w:iCs/>
        </w:rPr>
        <w:t>Id</w:t>
      </w:r>
      <w:r w:rsidR="00891690" w:rsidRPr="00A415D3">
        <w:t>.</w:t>
      </w:r>
      <w:r w:rsidR="007462A2" w:rsidRPr="00A415D3">
        <w:t xml:space="preserve"> </w:t>
      </w:r>
      <w:r w:rsidR="00891690" w:rsidRPr="00A415D3">
        <w:t>at p.</w:t>
      </w:r>
      <w:r w:rsidR="00E03141" w:rsidRPr="00A415D3">
        <w:t> </w:t>
      </w:r>
      <w:r w:rsidR="00891690" w:rsidRPr="00A415D3">
        <w:t xml:space="preserve">3.)  </w:t>
      </w:r>
      <w:r w:rsidR="00E1148A" w:rsidRPr="00A415D3">
        <w:t xml:space="preserve">The varying language </w:t>
      </w:r>
      <w:r w:rsidR="000C040F" w:rsidRPr="00A415D3">
        <w:t xml:space="preserve">found in the legislative materials </w:t>
      </w:r>
      <w:r w:rsidR="002143C5" w:rsidRPr="00A415D3">
        <w:t xml:space="preserve">does not establish that </w:t>
      </w:r>
      <w:r w:rsidR="0043639B" w:rsidRPr="00A415D3">
        <w:t xml:space="preserve">the legislators understood that only </w:t>
      </w:r>
      <w:r w:rsidR="00AB6331" w:rsidRPr="00A415D3">
        <w:t>time at</w:t>
      </w:r>
      <w:r w:rsidR="0043639B" w:rsidRPr="00A415D3">
        <w:t xml:space="preserve"> </w:t>
      </w:r>
      <w:r w:rsidR="000C040F" w:rsidRPr="00A415D3">
        <w:t xml:space="preserve">treatment </w:t>
      </w:r>
      <w:r w:rsidR="0043639B" w:rsidRPr="00A415D3">
        <w:t xml:space="preserve">facilities </w:t>
      </w:r>
      <w:r w:rsidR="00E1148A" w:rsidRPr="00A415D3">
        <w:t>w</w:t>
      </w:r>
      <w:r w:rsidR="0043639B" w:rsidRPr="00A415D3">
        <w:t>ould be impacted by the bill.</w:t>
      </w:r>
      <w:r w:rsidR="00C93716" w:rsidRPr="00A415D3">
        <w:t xml:space="preserve">  </w:t>
      </w:r>
      <w:r w:rsidRPr="00A415D3">
        <w:t xml:space="preserve">The Legislature </w:t>
      </w:r>
      <w:r w:rsidR="002143C5" w:rsidRPr="00A415D3">
        <w:t xml:space="preserve">instead </w:t>
      </w:r>
      <w:r w:rsidRPr="00A415D3">
        <w:t xml:space="preserve">could have </w:t>
      </w:r>
      <w:r w:rsidR="004B211A" w:rsidRPr="00A415D3">
        <w:t xml:space="preserve">referred to time spent in a facility as a shorthand for the entire time of commitment, without intending to exclude </w:t>
      </w:r>
      <w:r w:rsidR="00320B5F" w:rsidRPr="00A415D3">
        <w:t xml:space="preserve">other </w:t>
      </w:r>
      <w:r w:rsidR="004B211A" w:rsidRPr="00A415D3">
        <w:t xml:space="preserve">time intervals </w:t>
      </w:r>
      <w:r w:rsidR="00076F47" w:rsidRPr="00A415D3">
        <w:t>from counting toward</w:t>
      </w:r>
      <w:r w:rsidR="00974D03" w:rsidRPr="00A415D3">
        <w:t xml:space="preserve"> </w:t>
      </w:r>
      <w:r w:rsidR="004366B1" w:rsidRPr="00A415D3">
        <w:t>the</w:t>
      </w:r>
      <w:r w:rsidR="00974D03" w:rsidRPr="00A415D3">
        <w:t xml:space="preserve"> </w:t>
      </w:r>
      <w:r w:rsidR="002143C5" w:rsidRPr="00A415D3">
        <w:t xml:space="preserve">maximum </w:t>
      </w:r>
      <w:r w:rsidR="004B211A" w:rsidRPr="00A415D3">
        <w:t>commitment</w:t>
      </w:r>
      <w:r w:rsidR="002143C5" w:rsidRPr="00A415D3">
        <w:t xml:space="preserve"> period</w:t>
      </w:r>
      <w:r w:rsidR="004B211A" w:rsidRPr="00A415D3">
        <w:t>.</w:t>
      </w:r>
    </w:p>
    <w:p w14:paraId="3F29F104" w14:textId="77777777" w:rsidR="00C74F1E" w:rsidRPr="00A415D3" w:rsidRDefault="00AE6959" w:rsidP="00560442">
      <w:pPr>
        <w:pStyle w:val="Heading4"/>
        <w:numPr>
          <w:ilvl w:val="0"/>
          <w:numId w:val="13"/>
        </w:numPr>
        <w:ind w:left="2016" w:hanging="432"/>
      </w:pPr>
      <w:r w:rsidRPr="00A415D3">
        <w:t xml:space="preserve">The People’s argument </w:t>
      </w:r>
      <w:r w:rsidR="00B96628" w:rsidRPr="00A415D3">
        <w:t>that treatment is determinative</w:t>
      </w:r>
    </w:p>
    <w:p w14:paraId="3F29F105" w14:textId="77777777" w:rsidR="00B657F4" w:rsidRPr="00A415D3" w:rsidRDefault="00AE6959" w:rsidP="00560442">
      <w:pPr>
        <w:pStyle w:val="NormalIndent"/>
        <w:ind w:left="0" w:firstLine="720"/>
      </w:pPr>
      <w:r w:rsidRPr="00A415D3">
        <w:t>B</w:t>
      </w:r>
      <w:r w:rsidR="00BC426E" w:rsidRPr="00A415D3">
        <w:t>ased largely on</w:t>
      </w:r>
      <w:r w:rsidR="00863EC5" w:rsidRPr="00A415D3">
        <w:t xml:space="preserve"> their</w:t>
      </w:r>
      <w:r w:rsidR="00BC426E" w:rsidRPr="00A415D3">
        <w:t xml:space="preserve"> reading of the legislative history</w:t>
      </w:r>
      <w:r w:rsidR="00D562C8" w:rsidRPr="00A415D3">
        <w:t>, the People</w:t>
      </w:r>
      <w:r w:rsidR="006B13AF" w:rsidRPr="00A415D3">
        <w:t xml:space="preserve"> </w:t>
      </w:r>
      <w:r w:rsidR="00D562C8" w:rsidRPr="00A415D3">
        <w:t>argue</w:t>
      </w:r>
      <w:r w:rsidR="00BC426E" w:rsidRPr="00A415D3">
        <w:t xml:space="preserve"> </w:t>
      </w:r>
      <w:r w:rsidR="00D562C8" w:rsidRPr="00A415D3">
        <w:t xml:space="preserve">that </w:t>
      </w:r>
      <w:r w:rsidR="008E4165" w:rsidRPr="00A415D3">
        <w:t xml:space="preserve">the provision </w:t>
      </w:r>
      <w:r w:rsidR="00CD6956" w:rsidRPr="00A415D3">
        <w:t xml:space="preserve">and termination </w:t>
      </w:r>
      <w:r w:rsidR="008E4165" w:rsidRPr="00A415D3">
        <w:t>of treatment for incompetency marks the beginning and end of an incompetency commitment.</w:t>
      </w:r>
      <w:r>
        <w:rPr>
          <w:rStyle w:val="FootnoteReference"/>
        </w:rPr>
        <w:footnoteReference w:id="17"/>
      </w:r>
      <w:r w:rsidR="006B3647" w:rsidRPr="00A415D3">
        <w:t xml:space="preserve">  </w:t>
      </w:r>
    </w:p>
    <w:p w14:paraId="3F29F106" w14:textId="77777777" w:rsidR="00D562C8" w:rsidRPr="00A415D3" w:rsidRDefault="00AE6959" w:rsidP="00560442">
      <w:pPr>
        <w:pStyle w:val="NormalIndent"/>
        <w:ind w:left="0" w:firstLine="720"/>
      </w:pPr>
      <w:r w:rsidRPr="00A415D3">
        <w:t xml:space="preserve">Underlying the People’s </w:t>
      </w:r>
      <w:r w:rsidR="00D7582B" w:rsidRPr="00A415D3">
        <w:t>equation of treatment with commitment</w:t>
      </w:r>
      <w:r w:rsidR="004E2259" w:rsidRPr="00A415D3">
        <w:t xml:space="preserve"> </w:t>
      </w:r>
      <w:r w:rsidR="0079468B" w:rsidRPr="00A415D3">
        <w:t>are</w:t>
      </w:r>
      <w:r w:rsidR="00C6726B" w:rsidRPr="00A415D3">
        <w:t xml:space="preserve"> the</w:t>
      </w:r>
      <w:r w:rsidR="0079468B" w:rsidRPr="00A415D3">
        <w:t xml:space="preserve"> assumptions that</w:t>
      </w:r>
      <w:r w:rsidRPr="00A415D3">
        <w:t xml:space="preserve"> (</w:t>
      </w:r>
      <w:r w:rsidR="00EA4EF9" w:rsidRPr="00A415D3">
        <w:t>1</w:t>
      </w:r>
      <w:r w:rsidRPr="00A415D3">
        <w:t>)</w:t>
      </w:r>
      <w:r w:rsidR="00CB1F08" w:rsidRPr="00A415D3">
        <w:t> </w:t>
      </w:r>
      <w:r w:rsidRPr="00A415D3">
        <w:t>incompetent defendants</w:t>
      </w:r>
      <w:r w:rsidR="00C6726B" w:rsidRPr="00A415D3">
        <w:t xml:space="preserve"> always</w:t>
      </w:r>
      <w:r w:rsidR="009F0D05" w:rsidRPr="00A415D3">
        <w:t xml:space="preserve"> receive treatment </w:t>
      </w:r>
      <w:r w:rsidRPr="00A415D3">
        <w:t xml:space="preserve">while </w:t>
      </w:r>
      <w:r w:rsidR="000A165C" w:rsidRPr="00A415D3">
        <w:t xml:space="preserve">committed to </w:t>
      </w:r>
      <w:r w:rsidRPr="00A415D3">
        <w:t xml:space="preserve">facilities </w:t>
      </w:r>
      <w:r w:rsidR="000A165C" w:rsidRPr="00A415D3">
        <w:t>like</w:t>
      </w:r>
      <w:r w:rsidRPr="00A415D3">
        <w:t xml:space="preserve"> </w:t>
      </w:r>
      <w:r w:rsidR="000A165C" w:rsidRPr="00A415D3">
        <w:t>a state hospital</w:t>
      </w:r>
      <w:r w:rsidRPr="00A415D3">
        <w:t>, and (</w:t>
      </w:r>
      <w:r w:rsidR="00EA4EF9" w:rsidRPr="00A415D3">
        <w:t>2</w:t>
      </w:r>
      <w:r w:rsidRPr="00A415D3">
        <w:t>)</w:t>
      </w:r>
      <w:r w:rsidR="00CB1F08" w:rsidRPr="00A415D3">
        <w:t> </w:t>
      </w:r>
      <w:r w:rsidRPr="00A415D3">
        <w:t>incompetent defendants</w:t>
      </w:r>
      <w:r w:rsidR="00FE1EEC" w:rsidRPr="00A415D3">
        <w:t xml:space="preserve"> </w:t>
      </w:r>
      <w:r w:rsidR="00C6726B" w:rsidRPr="00A415D3">
        <w:t>never</w:t>
      </w:r>
      <w:r w:rsidR="009F0D05" w:rsidRPr="00A415D3">
        <w:t xml:space="preserve"> receive treatment </w:t>
      </w:r>
      <w:r w:rsidRPr="00A415D3">
        <w:t xml:space="preserve">when they leave the facilities.  </w:t>
      </w:r>
      <w:r w:rsidR="00B657F4" w:rsidRPr="00A415D3">
        <w:t xml:space="preserve">Both </w:t>
      </w:r>
      <w:r w:rsidRPr="00A415D3">
        <w:t>assumption</w:t>
      </w:r>
      <w:r w:rsidR="00B657F4" w:rsidRPr="00A415D3">
        <w:t>s</w:t>
      </w:r>
      <w:r w:rsidRPr="00A415D3">
        <w:t xml:space="preserve"> </w:t>
      </w:r>
      <w:r w:rsidR="00B657F4" w:rsidRPr="00A415D3">
        <w:t xml:space="preserve">are unsupported.  </w:t>
      </w:r>
    </w:p>
    <w:p w14:paraId="3F29F107" w14:textId="77777777" w:rsidR="00B657F4" w:rsidRPr="00A415D3" w:rsidRDefault="00AE6959" w:rsidP="00560442">
      <w:pPr>
        <w:pStyle w:val="NormalIndent"/>
        <w:ind w:left="0" w:firstLine="720"/>
      </w:pPr>
      <w:r w:rsidRPr="00A415D3">
        <w:t>First, the statutory scheme all</w:t>
      </w:r>
      <w:r w:rsidRPr="00A415D3">
        <w:t xml:space="preserve">ows for the possibility that even after a judge or jury finds a defendant incompetent to stand trial and the court orders the defendant committed to the Department, the Department can certify the defendant as restored to competency — without providing any </w:t>
      </w:r>
      <w:r w:rsidRPr="00A415D3">
        <w:t>treatment.  Under Welfare and Institutions Code section</w:t>
      </w:r>
      <w:r w:rsidR="00E03141" w:rsidRPr="00A415D3">
        <w:t> </w:t>
      </w:r>
      <w:r w:rsidRPr="00A415D3">
        <w:t>4335.2, the Department has the “authority and sole discretion to consider and conduct reevaluations for IST defendants committed to and awaiting admission to the department.”  (Welf. &amp; Inst. Code, § 4</w:t>
      </w:r>
      <w:r w:rsidRPr="00A415D3">
        <w:t>335.2, subd.</w:t>
      </w:r>
      <w:r w:rsidR="00E03141" w:rsidRPr="00A415D3">
        <w:t> </w:t>
      </w:r>
      <w:r w:rsidRPr="00A415D3">
        <w:t>(c).)  Such reevaluations are done “primarily through telehealth evaluations.”  (</w:t>
      </w:r>
      <w:r w:rsidRPr="00A415D3">
        <w:rPr>
          <w:i/>
          <w:iCs/>
        </w:rPr>
        <w:t>Id</w:t>
      </w:r>
      <w:r w:rsidRPr="00A415D3">
        <w:t>., subd.</w:t>
      </w:r>
      <w:r w:rsidR="00E03141" w:rsidRPr="00A415D3">
        <w:t> </w:t>
      </w:r>
      <w:r w:rsidRPr="00A415D3">
        <w:t xml:space="preserve">(b).)  If “the department clinician or contracted clinician” </w:t>
      </w:r>
      <w:r w:rsidR="009E5E30">
        <w:t>(</w:t>
      </w:r>
      <w:r w:rsidR="00B1358E">
        <w:t xml:space="preserve">see </w:t>
      </w:r>
      <w:r w:rsidR="009E5E30">
        <w:rPr>
          <w:i/>
          <w:iCs/>
        </w:rPr>
        <w:t>id.</w:t>
      </w:r>
      <w:r w:rsidR="009E5E30">
        <w:t xml:space="preserve">, subd. (d)) </w:t>
      </w:r>
      <w:r w:rsidRPr="00A415D3">
        <w:t xml:space="preserve">conducting the evaluation concludes that the defendant has </w:t>
      </w:r>
      <w:r w:rsidRPr="00A415D3">
        <w:t>regained competenc</w:t>
      </w:r>
      <w:r w:rsidR="00E03141" w:rsidRPr="00A415D3">
        <w:t>y</w:t>
      </w:r>
      <w:r w:rsidRPr="00A415D3">
        <w:t xml:space="preserve"> (</w:t>
      </w:r>
      <w:r w:rsidRPr="00A415D3">
        <w:rPr>
          <w:i/>
          <w:iCs/>
        </w:rPr>
        <w:t>id</w:t>
      </w:r>
      <w:r w:rsidRPr="00A415D3">
        <w:t>., subd.</w:t>
      </w:r>
      <w:r w:rsidR="00E03141" w:rsidRPr="00A415D3">
        <w:t> </w:t>
      </w:r>
      <w:r w:rsidRPr="00A415D3">
        <w:t>(d)(1)), the clinician’s opinion obligates the court to “proceed as if a certificate of restoration of competence has been returned” (Pen. Code, § 1370, subd. (a)(1)(H)(ii)).  In other words, defendant</w:t>
      </w:r>
      <w:r w:rsidR="00F500E5">
        <w:t>s</w:t>
      </w:r>
      <w:r w:rsidRPr="00A415D3">
        <w:t xml:space="preserve"> may be returned to co</w:t>
      </w:r>
      <w:r w:rsidRPr="00A415D3">
        <w:t xml:space="preserve">urt as if </w:t>
      </w:r>
      <w:r w:rsidR="00F500E5">
        <w:t>they have</w:t>
      </w:r>
      <w:r w:rsidRPr="00A415D3">
        <w:t xml:space="preserve"> been certified as restored to competency without any restoration treatment being extended.  (See also </w:t>
      </w:r>
      <w:r w:rsidR="003811AB" w:rsidRPr="00A415D3">
        <w:rPr>
          <w:i/>
          <w:iCs/>
        </w:rPr>
        <w:t>Medina v. Superior Court</w:t>
      </w:r>
      <w:r w:rsidR="003811AB" w:rsidRPr="00A415D3">
        <w:t> (2021) 65 Cal.App.5th 1197, 1225 (</w:t>
      </w:r>
      <w:r w:rsidR="003811AB" w:rsidRPr="00A415D3">
        <w:rPr>
          <w:i/>
          <w:iCs/>
        </w:rPr>
        <w:t>Medina</w:t>
      </w:r>
      <w:r w:rsidR="003811AB" w:rsidRPr="00A415D3">
        <w:t xml:space="preserve">) </w:t>
      </w:r>
      <w:r w:rsidRPr="00A415D3">
        <w:t xml:space="preserve">[“it was not necessary for Medina to have first been provided care </w:t>
      </w:r>
      <w:r w:rsidRPr="00A415D3">
        <w:t xml:space="preserve">and treatment for a certificate of restoration to be filed”]; </w:t>
      </w:r>
      <w:r w:rsidRPr="00A415D3">
        <w:rPr>
          <w:i/>
          <w:iCs/>
        </w:rPr>
        <w:t>Carr v. Superior Court</w:t>
      </w:r>
      <w:r w:rsidRPr="00A415D3">
        <w:t xml:space="preserve"> (2017) 11 Cal.App.5th 264, 272 [similar]; </w:t>
      </w:r>
      <w:r w:rsidRPr="00A415D3">
        <w:rPr>
          <w:i/>
          <w:iCs/>
        </w:rPr>
        <w:t>Contra Costa County</w:t>
      </w:r>
      <w:r w:rsidRPr="00A415D3">
        <w:t xml:space="preserve">, </w:t>
      </w:r>
      <w:r w:rsidRPr="00A415D3">
        <w:rPr>
          <w:i/>
          <w:iCs/>
        </w:rPr>
        <w:t>supra</w:t>
      </w:r>
      <w:r w:rsidRPr="00A415D3">
        <w:t>, 4 Cal.2d at p. 146 [“The medical superintendent of the Stockton state hospital [informed the court] t</w:t>
      </w:r>
      <w:r w:rsidRPr="00A415D3">
        <w:t>hat he believed from the first that the defendant was simulating insanity” and so requested that the defendant be returned to court].)</w:t>
      </w:r>
    </w:p>
    <w:p w14:paraId="3F29F108" w14:textId="77777777" w:rsidR="00963FDD" w:rsidRPr="00A415D3" w:rsidRDefault="00AE6959" w:rsidP="00560442">
      <w:pPr>
        <w:pStyle w:val="NormalIndent"/>
        <w:ind w:left="0" w:firstLine="720"/>
      </w:pPr>
      <w:r w:rsidRPr="00A415D3">
        <w:t xml:space="preserve">Second, also </w:t>
      </w:r>
      <w:r w:rsidR="003E6715" w:rsidRPr="00A415D3">
        <w:t>c</w:t>
      </w:r>
      <w:r w:rsidR="00587F7A" w:rsidRPr="00A415D3">
        <w:t>ontrary to the People’s assertion</w:t>
      </w:r>
      <w:r w:rsidR="0079468B" w:rsidRPr="00A415D3">
        <w:t xml:space="preserve">, treatment </w:t>
      </w:r>
      <w:r w:rsidR="004E2259" w:rsidRPr="00A415D3">
        <w:t xml:space="preserve">may continue even after a defendant </w:t>
      </w:r>
      <w:r w:rsidR="003E6715" w:rsidRPr="00A415D3">
        <w:t xml:space="preserve">has been </w:t>
      </w:r>
      <w:r w:rsidR="004E2259" w:rsidRPr="00A415D3">
        <w:t>certified as restored to competency.</w:t>
      </w:r>
      <w:r w:rsidR="00587F7A" w:rsidRPr="00A415D3">
        <w:t xml:space="preserve">  Section 1370</w:t>
      </w:r>
      <w:r w:rsidR="003E6715" w:rsidRPr="00A415D3">
        <w:t>,</w:t>
      </w:r>
      <w:r w:rsidR="00587F7A" w:rsidRPr="00A415D3">
        <w:t xml:space="preserve"> </w:t>
      </w:r>
      <w:r w:rsidRPr="00A415D3">
        <w:t>subdivision (a)(2)(B)(iii)</w:t>
      </w:r>
      <w:r w:rsidR="003E6715" w:rsidRPr="00A415D3">
        <w:t>,</w:t>
      </w:r>
      <w:r w:rsidRPr="00A415D3">
        <w:t xml:space="preserve"> </w:t>
      </w:r>
      <w:r w:rsidR="00587F7A" w:rsidRPr="00A415D3">
        <w:t xml:space="preserve">permits </w:t>
      </w:r>
      <w:r w:rsidR="00F953DF" w:rsidRPr="00A415D3">
        <w:t xml:space="preserve">continued </w:t>
      </w:r>
      <w:r w:rsidR="00587F7A" w:rsidRPr="00A415D3">
        <w:t>“involuntary administration of antipsychotic medication to the defendant . . . when the defendant returns to county custody</w:t>
      </w:r>
      <w:r w:rsidR="005038D4" w:rsidRPr="00A415D3">
        <w:t xml:space="preserve">” </w:t>
      </w:r>
      <w:r w:rsidR="00587F7A" w:rsidRPr="00A415D3">
        <w:t xml:space="preserve">after a certificate of restoration has been filed.  This is precisely what happened in this case.  When Rodriguez was </w:t>
      </w:r>
      <w:r w:rsidRPr="00A415D3">
        <w:t>certified as competent, the medical director of the state hospital informed the court that Rodriguez was “being returned to court on psychotropic medication.”  The director stressed that R</w:t>
      </w:r>
      <w:r w:rsidRPr="00A415D3">
        <w:t xml:space="preserve">odriguez needed to “remain on this medication . . . to enable him to be certified” as competent.  The record </w:t>
      </w:r>
      <w:r w:rsidR="005E28CE" w:rsidRPr="00A415D3">
        <w:t xml:space="preserve">therefore </w:t>
      </w:r>
      <w:r w:rsidRPr="00A415D3">
        <w:t xml:space="preserve">demonstrates </w:t>
      </w:r>
      <w:r w:rsidR="005E28CE" w:rsidRPr="00A415D3">
        <w:t xml:space="preserve">it was contemplated that Rodriguez’s </w:t>
      </w:r>
      <w:r w:rsidRPr="00A415D3">
        <w:t xml:space="preserve">treatment </w:t>
      </w:r>
      <w:r w:rsidR="005E28CE" w:rsidRPr="00A415D3">
        <w:t xml:space="preserve">would </w:t>
      </w:r>
      <w:r w:rsidRPr="00A415D3">
        <w:t>continue even after he left the state hospital.</w:t>
      </w:r>
    </w:p>
    <w:p w14:paraId="3F29F109" w14:textId="77777777" w:rsidR="00560241" w:rsidRPr="00A415D3" w:rsidRDefault="00AE6959" w:rsidP="008C6C35">
      <w:pPr>
        <w:pStyle w:val="NormalIndent"/>
        <w:ind w:left="0" w:firstLine="720"/>
      </w:pPr>
      <w:r w:rsidRPr="00A415D3">
        <w:t>There are also practica</w:t>
      </w:r>
      <w:r w:rsidRPr="00A415D3">
        <w:t>l problems with the People’s approach.  It would be difficult to calculate exactly how long a defendant has been committed if the provision of treatment determined the length of a commitment.  The provision of treatment does not necessarily coincide with w</w:t>
      </w:r>
      <w:r w:rsidRPr="00A415D3">
        <w:t>here the defendant is located (</w:t>
      </w:r>
      <w:r w:rsidR="0035045A" w:rsidRPr="00A415D3">
        <w:t xml:space="preserve">e.g., </w:t>
      </w:r>
      <w:r w:rsidRPr="00A415D3">
        <w:t>in or outside a treatment facility) or what part of the competency proceedings the defendant is in (</w:t>
      </w:r>
      <w:r w:rsidR="0035045A" w:rsidRPr="00A415D3">
        <w:t xml:space="preserve">e.g., </w:t>
      </w:r>
      <w:r w:rsidRPr="00A415D3">
        <w:t>after a commitment order</w:t>
      </w:r>
      <w:r w:rsidR="00526573" w:rsidRPr="00A415D3">
        <w:t xml:space="preserve"> issues</w:t>
      </w:r>
      <w:r w:rsidRPr="00A415D3">
        <w:t xml:space="preserve"> but before transport, or after a certificate is filed but before transport).  </w:t>
      </w:r>
      <w:r w:rsidR="00167086" w:rsidRPr="00A415D3">
        <w:t>Given these circumstances, i</w:t>
      </w:r>
      <w:r w:rsidRPr="00A415D3">
        <w:t xml:space="preserve">t </w:t>
      </w:r>
      <w:r w:rsidR="00000FCF" w:rsidRPr="00A415D3">
        <w:t xml:space="preserve">is </w:t>
      </w:r>
      <w:r w:rsidRPr="00A415D3">
        <w:t xml:space="preserve">unlikely that the Legislature intended for the provision </w:t>
      </w:r>
      <w:r w:rsidR="00767E65" w:rsidRPr="00A415D3">
        <w:t xml:space="preserve">or cessation </w:t>
      </w:r>
      <w:r w:rsidRPr="00A415D3">
        <w:t xml:space="preserve">of treatment to </w:t>
      </w:r>
      <w:r w:rsidR="00AD31EC" w:rsidRPr="00A415D3">
        <w:t xml:space="preserve">delineate </w:t>
      </w:r>
      <w:r w:rsidR="00767E65" w:rsidRPr="00A415D3">
        <w:t xml:space="preserve">whether the two-year clock set by section 1370(c)(1) </w:t>
      </w:r>
      <w:r w:rsidR="003811AB" w:rsidRPr="00A415D3">
        <w:t>is running</w:t>
      </w:r>
      <w:r w:rsidR="00767E65" w:rsidRPr="00A415D3">
        <w:t>.</w:t>
      </w:r>
    </w:p>
    <w:p w14:paraId="3F29F10A" w14:textId="77777777" w:rsidR="00E53766" w:rsidRPr="00A415D3" w:rsidRDefault="00AE6959" w:rsidP="00E53766">
      <w:pPr>
        <w:pStyle w:val="Heading3"/>
        <w:numPr>
          <w:ilvl w:val="0"/>
          <w:numId w:val="8"/>
        </w:numPr>
        <w:ind w:left="1584" w:hanging="432"/>
      </w:pPr>
      <w:r w:rsidRPr="00A415D3">
        <w:t>The Decisions Cited by the People Do Not Support Their Interpr</w:t>
      </w:r>
      <w:r w:rsidRPr="00A415D3">
        <w:t xml:space="preserve">etation of the Statutory Text </w:t>
      </w:r>
    </w:p>
    <w:p w14:paraId="3F29F10B" w14:textId="77777777" w:rsidR="00E53766" w:rsidRPr="00A415D3" w:rsidRDefault="00AE6959" w:rsidP="00E53766">
      <w:pPr>
        <w:pStyle w:val="NormalIndent"/>
        <w:ind w:left="0" w:firstLine="720"/>
      </w:pPr>
      <w:r w:rsidRPr="00A415D3">
        <w:t xml:space="preserve">We are unconvinced that the decisions cited by the People support their position that only time spent at a treatment facility counts as part of a commitment period.  </w:t>
      </w:r>
    </w:p>
    <w:p w14:paraId="3F29F10C" w14:textId="77777777" w:rsidR="00E53766" w:rsidRPr="00A415D3" w:rsidRDefault="00AE6959" w:rsidP="00E53766">
      <w:pPr>
        <w:pStyle w:val="NormalIndent"/>
        <w:ind w:left="0" w:firstLine="720"/>
      </w:pPr>
      <w:r w:rsidRPr="00A415D3">
        <w:t xml:space="preserve">The court in </w:t>
      </w:r>
      <w:r w:rsidRPr="00A415D3">
        <w:rPr>
          <w:i/>
          <w:iCs/>
        </w:rPr>
        <w:t xml:space="preserve">Medina </w:t>
      </w:r>
      <w:r w:rsidRPr="00A415D3">
        <w:t>stated in dicta that “[i]n the usual c</w:t>
      </w:r>
      <w:r w:rsidRPr="00A415D3">
        <w:t>ase, only days actually spent in commitment at a mental institution or treatment facility are applied to the maximum commitment period.”  (</w:t>
      </w:r>
      <w:r w:rsidR="003811AB" w:rsidRPr="00A415D3">
        <w:rPr>
          <w:i/>
          <w:iCs/>
        </w:rPr>
        <w:t>Medina</w:t>
      </w:r>
      <w:r w:rsidR="003811AB" w:rsidRPr="00A415D3">
        <w:t xml:space="preserve">, </w:t>
      </w:r>
      <w:r w:rsidR="003811AB" w:rsidRPr="00A415D3">
        <w:rPr>
          <w:i/>
          <w:iCs/>
        </w:rPr>
        <w:t>supra</w:t>
      </w:r>
      <w:r w:rsidR="003811AB" w:rsidRPr="00A415D3">
        <w:t xml:space="preserve">, 65 Cal.App.5th at </w:t>
      </w:r>
      <w:r w:rsidRPr="00A415D3">
        <w:t xml:space="preserve">p. 1203.)  The statement, however, was made without any support or elaboration, and </w:t>
      </w:r>
      <w:r w:rsidRPr="00A415D3">
        <w:t>the court emphasized it found the case before it “unusual.”  (</w:t>
      </w:r>
      <w:r w:rsidRPr="00A415D3">
        <w:rPr>
          <w:i/>
          <w:iCs/>
        </w:rPr>
        <w:t>Ibid</w:t>
      </w:r>
      <w:r w:rsidRPr="00A415D3">
        <w:t xml:space="preserve">.)  Specifically, the defendant in </w:t>
      </w:r>
      <w:r w:rsidRPr="00A415D3">
        <w:rPr>
          <w:i/>
          <w:iCs/>
        </w:rPr>
        <w:t>Medina</w:t>
      </w:r>
      <w:r w:rsidRPr="00A415D3">
        <w:t xml:space="preserve"> had not received required treatment due to what the Court of Appeal characterized as a “standoff” between the trial court that issued a commitment o</w:t>
      </w:r>
      <w:r w:rsidRPr="00A415D3">
        <w:t>rder and the authorities responsible for providing treatment, who refused to accept him.  (</w:t>
      </w:r>
      <w:r w:rsidRPr="00A415D3">
        <w:rPr>
          <w:i/>
          <w:iCs/>
        </w:rPr>
        <w:t xml:space="preserve">Id. </w:t>
      </w:r>
      <w:r w:rsidRPr="00A415D3">
        <w:t>at p. 1201.)  The Court of Appeal resolved this impasse, and the defendant’s resulting claim of a due process violation, by including “all days since the date of</w:t>
      </w:r>
      <w:r w:rsidRPr="00A415D3">
        <w:t xml:space="preserve"> the commitment order in which [the defendant] has been in jail, prison, or treatment” (</w:t>
      </w:r>
      <w:r w:rsidRPr="00A415D3">
        <w:rPr>
          <w:i/>
          <w:iCs/>
        </w:rPr>
        <w:t>id</w:t>
      </w:r>
      <w:r w:rsidRPr="00A415D3">
        <w:t xml:space="preserve">. at p. 1203; see </w:t>
      </w:r>
      <w:r w:rsidRPr="00A415D3">
        <w:rPr>
          <w:i/>
          <w:iCs/>
        </w:rPr>
        <w:t>id</w:t>
      </w:r>
      <w:r w:rsidRPr="00A415D3">
        <w:t xml:space="preserve">. at p. 1230) as part of the commitment period.  The </w:t>
      </w:r>
      <w:r w:rsidRPr="00A415D3">
        <w:rPr>
          <w:i/>
          <w:iCs/>
        </w:rPr>
        <w:t>Medina</w:t>
      </w:r>
      <w:r w:rsidRPr="00A415D3">
        <w:t xml:space="preserve"> court was not asked to decide whether a certificate of restoration or a court’s subseq</w:t>
      </w:r>
      <w:r w:rsidRPr="00A415D3">
        <w:t>uent order finding the defendant restored to competency marks the end of a commitment period, because no certificate of restoration was ever filed in that case.  (</w:t>
      </w:r>
      <w:r w:rsidRPr="00A415D3">
        <w:rPr>
          <w:i/>
          <w:iCs/>
        </w:rPr>
        <w:t>Id</w:t>
      </w:r>
      <w:r w:rsidRPr="00A415D3">
        <w:t xml:space="preserve">. at p. 1229.)  Furthermore, that court’s assessment of the “usual” calculations regarding </w:t>
      </w:r>
      <w:r w:rsidRPr="00A415D3">
        <w:t>the time of commitment (</w:t>
      </w:r>
      <w:r w:rsidRPr="00A415D3">
        <w:rPr>
          <w:i/>
          <w:iCs/>
        </w:rPr>
        <w:t>id</w:t>
      </w:r>
      <w:r w:rsidRPr="00A415D3">
        <w:t>. at p. 1203) was inconsequential in light of the remedy the court ultimately adopted.</w:t>
      </w:r>
    </w:p>
    <w:p w14:paraId="3F29F10D" w14:textId="77777777" w:rsidR="00E53766" w:rsidRPr="00A415D3" w:rsidRDefault="00AE6959" w:rsidP="00E53766">
      <w:pPr>
        <w:pStyle w:val="NormalIndent"/>
        <w:ind w:left="0" w:firstLine="720"/>
      </w:pPr>
      <w:r w:rsidRPr="00A415D3">
        <w:t xml:space="preserve">Similarly distinguishable are </w:t>
      </w:r>
      <w:r w:rsidRPr="00A415D3">
        <w:rPr>
          <w:i/>
          <w:iCs/>
        </w:rPr>
        <w:t>People v. G.H.</w:t>
      </w:r>
      <w:r w:rsidRPr="00A415D3">
        <w:t> (2014) 230 Cal.App.4th 1548 (</w:t>
      </w:r>
      <w:r w:rsidRPr="00A415D3">
        <w:rPr>
          <w:i/>
          <w:iCs/>
        </w:rPr>
        <w:t>G.H.</w:t>
      </w:r>
      <w:r w:rsidRPr="00A415D3">
        <w:t xml:space="preserve">) and </w:t>
      </w:r>
      <w:r w:rsidRPr="00A415D3">
        <w:rPr>
          <w:i/>
          <w:iCs/>
        </w:rPr>
        <w:t>People v. Reynolds</w:t>
      </w:r>
      <w:r w:rsidRPr="00A415D3">
        <w:t> (2011) 196 Cal.App.4th 801 (</w:t>
      </w:r>
      <w:r w:rsidRPr="00A415D3">
        <w:rPr>
          <w:i/>
          <w:iCs/>
        </w:rPr>
        <w:t>Reynolds</w:t>
      </w:r>
      <w:r w:rsidRPr="00A415D3">
        <w:t xml:space="preserve">).  </w:t>
      </w:r>
      <w:r w:rsidRPr="00A415D3">
        <w:t xml:space="preserve">Those courts held a defendant’s precommitment custody credits did not apply when calculating the then-applicable three-year maximum statutory limit for a commitment.  (See </w:t>
      </w:r>
      <w:r w:rsidRPr="00A415D3">
        <w:rPr>
          <w:i/>
          <w:iCs/>
        </w:rPr>
        <w:t>G.H</w:t>
      </w:r>
      <w:r w:rsidRPr="00A415D3">
        <w:t xml:space="preserve">., at p. 1553; </w:t>
      </w:r>
      <w:r w:rsidRPr="00A415D3">
        <w:rPr>
          <w:i/>
          <w:iCs/>
        </w:rPr>
        <w:t>Reynolds</w:t>
      </w:r>
      <w:r w:rsidRPr="00A415D3">
        <w:t>, at pp. 803–804, 808–809.)</w:t>
      </w:r>
      <w:r>
        <w:rPr>
          <w:rStyle w:val="FootnoteReference"/>
        </w:rPr>
        <w:footnoteReference w:id="18"/>
      </w:r>
      <w:bookmarkStart w:id="7" w:name="co_pp_sp_7047_621_1"/>
      <w:bookmarkEnd w:id="7"/>
      <w:r w:rsidRPr="00A415D3">
        <w:t xml:space="preserve">  The People and the Court of</w:t>
      </w:r>
      <w:r w:rsidRPr="00A415D3">
        <w:t xml:space="preserve"> Appeal relied on </w:t>
      </w:r>
      <w:r w:rsidRPr="00A415D3">
        <w:rPr>
          <w:i/>
          <w:iCs/>
        </w:rPr>
        <w:t>G.H.</w:t>
      </w:r>
      <w:r w:rsidRPr="00A415D3">
        <w:rPr>
          <w:szCs w:val="26"/>
        </w:rPr>
        <w:t xml:space="preserve"> and </w:t>
      </w:r>
      <w:r w:rsidRPr="00A415D3">
        <w:rPr>
          <w:i/>
          <w:iCs/>
        </w:rPr>
        <w:t xml:space="preserve">Reynolds </w:t>
      </w:r>
      <w:r w:rsidRPr="00A415D3">
        <w:rPr>
          <w:szCs w:val="26"/>
        </w:rPr>
        <w:t xml:space="preserve">in support of the notion </w:t>
      </w:r>
      <w:bookmarkStart w:id="8" w:name="_Hlk143861563"/>
      <w:r w:rsidRPr="00A415D3">
        <w:rPr>
          <w:szCs w:val="27"/>
        </w:rPr>
        <w:t>“that a defendant’s days in custody in which he or she is not being treated for restoration to competence do not count toward the maximum commitment period.” (</w:t>
      </w:r>
      <w:r w:rsidRPr="00A415D3">
        <w:rPr>
          <w:i/>
          <w:iCs/>
          <w:szCs w:val="27"/>
        </w:rPr>
        <w:t>Rodriguez</w:t>
      </w:r>
      <w:r w:rsidRPr="00A415D3">
        <w:rPr>
          <w:szCs w:val="27"/>
        </w:rPr>
        <w:t xml:space="preserve">, </w:t>
      </w:r>
      <w:r w:rsidRPr="00A415D3">
        <w:rPr>
          <w:i/>
          <w:iCs/>
          <w:szCs w:val="27"/>
        </w:rPr>
        <w:t>supra</w:t>
      </w:r>
      <w:r w:rsidRPr="00A415D3">
        <w:rPr>
          <w:szCs w:val="27"/>
        </w:rPr>
        <w:t>, 70</w:t>
      </w:r>
      <w:r w:rsidR="00BA7D4B">
        <w:rPr>
          <w:szCs w:val="27"/>
        </w:rPr>
        <w:t> </w:t>
      </w:r>
      <w:r w:rsidRPr="00A415D3">
        <w:rPr>
          <w:szCs w:val="27"/>
        </w:rPr>
        <w:t xml:space="preserve">Cal.App.5th at p. 654.) </w:t>
      </w:r>
      <w:bookmarkEnd w:id="8"/>
      <w:r w:rsidRPr="00A415D3">
        <w:rPr>
          <w:szCs w:val="27"/>
        </w:rPr>
        <w:t xml:space="preserve"> </w:t>
      </w:r>
      <w:r w:rsidRPr="00A415D3">
        <w:t xml:space="preserve">But here again, </w:t>
      </w:r>
      <w:r w:rsidRPr="00A415D3">
        <w:rPr>
          <w:i/>
          <w:iCs/>
        </w:rPr>
        <w:t>G.H.</w:t>
      </w:r>
      <w:r w:rsidRPr="00A415D3">
        <w:t xml:space="preserve"> and </w:t>
      </w:r>
      <w:r w:rsidRPr="00A415D3">
        <w:rPr>
          <w:i/>
          <w:iCs/>
        </w:rPr>
        <w:t>Reynolds</w:t>
      </w:r>
      <w:r w:rsidRPr="00A415D3">
        <w:t xml:space="preserve"> were focused on an issue different from the one before us.  </w:t>
      </w:r>
      <w:bookmarkStart w:id="9" w:name="_Hlk143861629"/>
      <w:r w:rsidRPr="00A415D3">
        <w:t xml:space="preserve">The analysis in </w:t>
      </w:r>
      <w:r w:rsidRPr="00A415D3">
        <w:rPr>
          <w:i/>
          <w:iCs/>
        </w:rPr>
        <w:t>G.H.</w:t>
      </w:r>
      <w:r w:rsidRPr="00A415D3">
        <w:t xml:space="preserve"> and </w:t>
      </w:r>
      <w:r w:rsidRPr="00A415D3">
        <w:rPr>
          <w:i/>
          <w:iCs/>
        </w:rPr>
        <w:t>Reynolds</w:t>
      </w:r>
      <w:r w:rsidRPr="00A415D3">
        <w:t xml:space="preserve"> centered on how to treat a defendant’s time in custody </w:t>
      </w:r>
      <w:r w:rsidRPr="00A415D3">
        <w:rPr>
          <w:i/>
          <w:iCs/>
        </w:rPr>
        <w:t>prior to</w:t>
      </w:r>
      <w:r w:rsidRPr="00A415D3">
        <w:t xml:space="preserve"> the issuance of a commitment order when</w:t>
      </w:r>
      <w:r w:rsidRPr="00A415D3">
        <w:t xml:space="preserve"> calculating the maximum commitment period under section 1370(c)(1).  By contrast, the court is here asked to address the treatment of custodial time </w:t>
      </w:r>
      <w:r w:rsidRPr="00A415D3">
        <w:rPr>
          <w:i/>
          <w:iCs/>
        </w:rPr>
        <w:t>after</w:t>
      </w:r>
      <w:r w:rsidRPr="00A415D3">
        <w:t xml:space="preserve"> a trial court has ruled a defendant incompetent but </w:t>
      </w:r>
      <w:r w:rsidRPr="00A415D3">
        <w:rPr>
          <w:i/>
          <w:iCs/>
        </w:rPr>
        <w:t>before</w:t>
      </w:r>
      <w:r w:rsidRPr="00A415D3">
        <w:t xml:space="preserve"> ruling on a certificate of restoration</w:t>
      </w:r>
      <w:bookmarkEnd w:id="9"/>
      <w:r w:rsidRPr="00A415D3">
        <w:t xml:space="preserve">.  </w:t>
      </w:r>
      <w:r w:rsidRPr="00A415D3">
        <w:t xml:space="preserve">As we have explained, this distinction is significant and counsels against relying on </w:t>
      </w:r>
      <w:r w:rsidRPr="00A415D3">
        <w:rPr>
          <w:i/>
          <w:iCs/>
        </w:rPr>
        <w:t>G.H.</w:t>
      </w:r>
      <w:r w:rsidRPr="00A415D3">
        <w:t>’s characterization of the commitment period.</w:t>
      </w:r>
      <w:r>
        <w:rPr>
          <w:rStyle w:val="FootnoteReference"/>
          <w:szCs w:val="26"/>
        </w:rPr>
        <w:footnoteReference w:id="19"/>
      </w:r>
    </w:p>
    <w:p w14:paraId="3F29F10E" w14:textId="77777777" w:rsidR="00E53766" w:rsidRPr="00A415D3" w:rsidRDefault="00AE6959" w:rsidP="00E53766">
      <w:pPr>
        <w:pStyle w:val="Heading3"/>
        <w:numPr>
          <w:ilvl w:val="0"/>
          <w:numId w:val="8"/>
        </w:numPr>
        <w:ind w:left="1584" w:hanging="432"/>
      </w:pPr>
      <w:r w:rsidRPr="00A415D3">
        <w:t xml:space="preserve">We Are Not Persuaded by the People’s Remaining Arguments </w:t>
      </w:r>
    </w:p>
    <w:p w14:paraId="3F29F10F" w14:textId="77777777" w:rsidR="009B6AC9" w:rsidRPr="00A415D3" w:rsidRDefault="00AE6959" w:rsidP="00560442">
      <w:pPr>
        <w:ind w:firstLine="720"/>
      </w:pPr>
      <w:r w:rsidRPr="00A415D3">
        <w:t>T</w:t>
      </w:r>
      <w:r w:rsidR="00481EF3" w:rsidRPr="00A415D3">
        <w:t>he People</w:t>
      </w:r>
      <w:r w:rsidRPr="00A415D3">
        <w:t xml:space="preserve"> </w:t>
      </w:r>
      <w:r w:rsidR="00340783" w:rsidRPr="00A415D3">
        <w:t xml:space="preserve">contend </w:t>
      </w:r>
      <w:r w:rsidR="00571F98" w:rsidRPr="00A415D3">
        <w:t>that “</w:t>
      </w:r>
      <w:r w:rsidR="00340783" w:rsidRPr="00A415D3">
        <w:t>absurd and unintended consequences</w:t>
      </w:r>
      <w:r w:rsidR="00571F98" w:rsidRPr="00A415D3">
        <w:t xml:space="preserve">” would </w:t>
      </w:r>
      <w:r w:rsidR="00E318A1" w:rsidRPr="00A415D3">
        <w:t>result</w:t>
      </w:r>
      <w:r w:rsidR="00571F98" w:rsidRPr="00A415D3">
        <w:t xml:space="preserve"> </w:t>
      </w:r>
      <w:r w:rsidR="001B2C4B" w:rsidRPr="00A415D3">
        <w:t xml:space="preserve">if we </w:t>
      </w:r>
      <w:r w:rsidR="00571F98" w:rsidRPr="00A415D3">
        <w:t xml:space="preserve">were </w:t>
      </w:r>
      <w:r w:rsidR="00F96D4E" w:rsidRPr="00A415D3">
        <w:t xml:space="preserve">to </w:t>
      </w:r>
      <w:r w:rsidR="00571F98" w:rsidRPr="00A415D3">
        <w:t>adopt Rodriguez’s</w:t>
      </w:r>
      <w:r w:rsidR="00DB7D38" w:rsidRPr="00A415D3">
        <w:t xml:space="preserve"> interpretation</w:t>
      </w:r>
      <w:r w:rsidR="00571F98" w:rsidRPr="00A415D3">
        <w:t>.</w:t>
      </w:r>
      <w:r w:rsidR="00340783" w:rsidRPr="00A415D3">
        <w:t xml:space="preserve">  </w:t>
      </w:r>
      <w:r w:rsidR="000456C4" w:rsidRPr="00A415D3">
        <w:t>(</w:t>
      </w:r>
      <w:r w:rsidR="003E6715" w:rsidRPr="00A415D3">
        <w:t>See</w:t>
      </w:r>
      <w:r w:rsidR="00AD6743" w:rsidRPr="00A415D3">
        <w:t>, e.g.,</w:t>
      </w:r>
      <w:r w:rsidR="000456C4" w:rsidRPr="00A415D3">
        <w:t xml:space="preserve"> </w:t>
      </w:r>
      <w:r w:rsidR="00F37C13" w:rsidRPr="00A415D3">
        <w:rPr>
          <w:i/>
          <w:iCs/>
        </w:rPr>
        <w:t>Simpson Strong-Tie Co., Inc. v. Gore</w:t>
      </w:r>
      <w:r w:rsidR="00F37C13" w:rsidRPr="00A415D3">
        <w:t> (2010) 49</w:t>
      </w:r>
      <w:r w:rsidR="00F07870" w:rsidRPr="00A415D3">
        <w:t> </w:t>
      </w:r>
      <w:r w:rsidR="00F37C13" w:rsidRPr="00A415D3">
        <w:t>Cal.4th 12, 27 [</w:t>
      </w:r>
      <w:r w:rsidR="005018AE" w:rsidRPr="00A415D3">
        <w:t>“</w:t>
      </w:r>
      <w:r w:rsidR="00F37C13" w:rsidRPr="00A415D3">
        <w:t>we may reject a literal construction that is contrary to the legislative intent apparent in the statute or that would lead to absurd results”]</w:t>
      </w:r>
      <w:r w:rsidR="000456C4" w:rsidRPr="00A415D3">
        <w:t xml:space="preserve">.)  </w:t>
      </w:r>
      <w:r w:rsidR="00DA14F2" w:rsidRPr="00A415D3">
        <w:t>We address each of the People’s arguments in turn.</w:t>
      </w:r>
    </w:p>
    <w:p w14:paraId="3F29F110" w14:textId="77777777" w:rsidR="001E3B48" w:rsidRPr="00A415D3" w:rsidRDefault="00AE6959" w:rsidP="00560442">
      <w:pPr>
        <w:pStyle w:val="Heading4"/>
        <w:numPr>
          <w:ilvl w:val="0"/>
          <w:numId w:val="16"/>
        </w:numPr>
        <w:ind w:left="2016" w:hanging="432"/>
      </w:pPr>
      <w:r w:rsidRPr="00A415D3">
        <w:t>“Arbitrarily truncated” time for treatment</w:t>
      </w:r>
    </w:p>
    <w:p w14:paraId="3F29F111" w14:textId="77777777" w:rsidR="00DA14F2" w:rsidRPr="00A415D3" w:rsidRDefault="00AE6959" w:rsidP="00560442">
      <w:pPr>
        <w:ind w:firstLine="720"/>
      </w:pPr>
      <w:r w:rsidRPr="00A415D3">
        <w:t>The People contend</w:t>
      </w:r>
      <w:r w:rsidR="0061000E" w:rsidRPr="00A415D3">
        <w:t xml:space="preserve"> </w:t>
      </w:r>
      <w:r w:rsidR="00AF2F55" w:rsidRPr="00A415D3">
        <w:t xml:space="preserve">that </w:t>
      </w:r>
      <w:r w:rsidR="0061000E" w:rsidRPr="00A415D3">
        <w:t xml:space="preserve">if a commitment does not terminate with a filing of a certificate of restoration, time “to provide necessary restoration treatment would . . . be arbitrarily truncated” because medical personnel would need to “predict[] whether the defendant will contest the hospital’s certification in the future” </w:t>
      </w:r>
      <w:r w:rsidR="00AF2F55" w:rsidRPr="00A415D3">
        <w:t xml:space="preserve">and </w:t>
      </w:r>
      <w:r w:rsidR="0061000E" w:rsidRPr="00A415D3">
        <w:t>“how much time the defense will require to prepare for such a hearing.”</w:t>
      </w:r>
    </w:p>
    <w:p w14:paraId="3F29F112" w14:textId="77777777" w:rsidR="00DA14F2" w:rsidRPr="00A415D3" w:rsidRDefault="00AE6959" w:rsidP="00560442">
      <w:pPr>
        <w:ind w:firstLine="720"/>
      </w:pPr>
      <w:r w:rsidRPr="00A415D3">
        <w:t>T</w:t>
      </w:r>
      <w:r w:rsidR="00DD5AEA" w:rsidRPr="00A415D3">
        <w:t xml:space="preserve">he People’s argument </w:t>
      </w:r>
      <w:r w:rsidRPr="00A415D3">
        <w:t xml:space="preserve">implies </w:t>
      </w:r>
      <w:r w:rsidR="00DD5AEA" w:rsidRPr="00A415D3">
        <w:t xml:space="preserve">that </w:t>
      </w:r>
      <w:r w:rsidR="0061000E" w:rsidRPr="00A415D3">
        <w:t xml:space="preserve">medical personnel </w:t>
      </w:r>
      <w:r w:rsidR="005F4845">
        <w:t>would take</w:t>
      </w:r>
      <w:r w:rsidR="00625554" w:rsidRPr="00A415D3">
        <w:t xml:space="preserve"> into account the time available until the maximum term of commitment is reached in deciding </w:t>
      </w:r>
      <w:r w:rsidR="001B0A44" w:rsidRPr="00A415D3">
        <w:t xml:space="preserve">when and how to provide </w:t>
      </w:r>
      <w:r w:rsidR="00625554" w:rsidRPr="00A415D3">
        <w:t>treatment</w:t>
      </w:r>
      <w:r w:rsidR="00BC5ECE" w:rsidRPr="00A415D3">
        <w:t xml:space="preserve">, </w:t>
      </w:r>
      <w:r w:rsidR="00295C01" w:rsidRPr="00A415D3">
        <w:t>instead of expeditiously restor</w:t>
      </w:r>
      <w:r w:rsidR="008C6C35" w:rsidRPr="00A415D3">
        <w:t>ing</w:t>
      </w:r>
      <w:r w:rsidR="00295C01" w:rsidRPr="00A415D3">
        <w:t xml:space="preserve"> defendants to competency</w:t>
      </w:r>
      <w:r w:rsidR="00625554" w:rsidRPr="00A415D3">
        <w:t xml:space="preserve">.  </w:t>
      </w:r>
      <w:r w:rsidR="000006F1" w:rsidRPr="00A415D3">
        <w:t>But t</w:t>
      </w:r>
      <w:r w:rsidR="00AF2F55" w:rsidRPr="00A415D3">
        <w:t xml:space="preserve">he Department </w:t>
      </w:r>
      <w:r w:rsidR="003B2FDF" w:rsidRPr="00A415D3">
        <w:t xml:space="preserve">denies it </w:t>
      </w:r>
      <w:r w:rsidR="00E416A1" w:rsidRPr="00A415D3">
        <w:t xml:space="preserve">considers </w:t>
      </w:r>
      <w:r w:rsidR="003B2FDF" w:rsidRPr="00A415D3">
        <w:t>such factors when providing treatment</w:t>
      </w:r>
      <w:r w:rsidR="000006F1" w:rsidRPr="00A415D3">
        <w:t>,</w:t>
      </w:r>
      <w:r w:rsidR="003B2FDF" w:rsidRPr="00A415D3">
        <w:t xml:space="preserve"> </w:t>
      </w:r>
      <w:r w:rsidRPr="00A415D3">
        <w:t xml:space="preserve">and the People offer no evidence to the contrary.  </w:t>
      </w:r>
    </w:p>
    <w:p w14:paraId="3F29F113" w14:textId="77777777" w:rsidR="00AF2F55" w:rsidRPr="00A415D3" w:rsidRDefault="00AE6959" w:rsidP="00560442">
      <w:pPr>
        <w:ind w:firstLine="720"/>
      </w:pPr>
      <w:r w:rsidRPr="00A415D3">
        <w:t xml:space="preserve">According </w:t>
      </w:r>
      <w:r w:rsidRPr="00A415D3">
        <w:t>to t</w:t>
      </w:r>
      <w:r w:rsidR="00DA14F2" w:rsidRPr="00A415D3">
        <w:t>he Department</w:t>
      </w:r>
      <w:r w:rsidRPr="00A415D3">
        <w:t xml:space="preserve">, “[t]he focus of </w:t>
      </w:r>
      <w:r w:rsidR="003841BE" w:rsidRPr="00A415D3">
        <w:t>[the Department’s]</w:t>
      </w:r>
      <w:r w:rsidRPr="00A415D3">
        <w:t xml:space="preserve"> treatment is on restoration of competence in the most expeditious manner possible.”  </w:t>
      </w:r>
      <w:r w:rsidR="00DA14F2" w:rsidRPr="00A415D3">
        <w:t>(See § 1370, subd.</w:t>
      </w:r>
      <w:r w:rsidR="00581373" w:rsidRPr="00A415D3">
        <w:t xml:space="preserve"> </w:t>
      </w:r>
      <w:r w:rsidR="00DA14F2" w:rsidRPr="00A415D3">
        <w:t xml:space="preserve">(a)(1)(B)(i) [specifying that the defendant shall receive treatment “that will promote the defendant’s speedy restoration to mental competence”].)  </w:t>
      </w:r>
      <w:r w:rsidR="0049233E" w:rsidRPr="00A415D3">
        <w:t>I</w:t>
      </w:r>
      <w:r w:rsidRPr="00A415D3">
        <w:t xml:space="preserve">f the Department is providing services </w:t>
      </w:r>
      <w:r w:rsidR="00C04FD5" w:rsidRPr="00A415D3">
        <w:t>to</w:t>
      </w:r>
      <w:r w:rsidRPr="00A415D3">
        <w:t xml:space="preserve"> restore competency “in the most expeditious manner possible</w:t>
      </w:r>
      <w:r w:rsidR="003841BE" w:rsidRPr="00A415D3">
        <w:t>,</w:t>
      </w:r>
      <w:r w:rsidRPr="00A415D3">
        <w:t>” the</w:t>
      </w:r>
      <w:r w:rsidRPr="00A415D3">
        <w:t xml:space="preserve">n it should not matter for purposes of treatment if a defendant may be committed for a maximum of two years or a maximum of two years minus </w:t>
      </w:r>
      <w:r w:rsidR="00581373" w:rsidRPr="00A415D3">
        <w:t xml:space="preserve">the </w:t>
      </w:r>
      <w:r w:rsidRPr="00A415D3">
        <w:t xml:space="preserve">time </w:t>
      </w:r>
      <w:r w:rsidR="00581373" w:rsidRPr="00A415D3">
        <w:t xml:space="preserve">it takes to conduct </w:t>
      </w:r>
      <w:r w:rsidRPr="00A415D3">
        <w:t>the competency hearing under section</w:t>
      </w:r>
      <w:r w:rsidR="00DA14F2" w:rsidRPr="00A415D3">
        <w:t> </w:t>
      </w:r>
      <w:r w:rsidRPr="00A415D3">
        <w:t>1372.  In either case, the Department is extending</w:t>
      </w:r>
      <w:r w:rsidRPr="00A415D3">
        <w:t xml:space="preserve"> </w:t>
      </w:r>
      <w:r w:rsidR="00581373" w:rsidRPr="00A415D3">
        <w:t xml:space="preserve">the </w:t>
      </w:r>
      <w:r w:rsidRPr="00A415D3">
        <w:t xml:space="preserve">treatment </w:t>
      </w:r>
      <w:r w:rsidR="0049233E" w:rsidRPr="00A415D3">
        <w:t>necessary to restore</w:t>
      </w:r>
      <w:r w:rsidRPr="00A415D3">
        <w:t xml:space="preserve"> competency as soon as possible</w:t>
      </w:r>
      <w:r w:rsidR="0049233E" w:rsidRPr="00A415D3">
        <w:t xml:space="preserve">; it </w:t>
      </w:r>
      <w:r w:rsidRPr="00A415D3">
        <w:t>is not basing its treatment on “predict[</w:t>
      </w:r>
      <w:r w:rsidR="00C04FD5" w:rsidRPr="00A415D3">
        <w:t>i</w:t>
      </w:r>
      <w:r w:rsidRPr="00A415D3">
        <w:t xml:space="preserve">ons]” of whether the defendant will contest the certification of competency or how much preparation time will be needed </w:t>
      </w:r>
      <w:r w:rsidR="00DA14F2" w:rsidRPr="00A415D3">
        <w:t>if the matter is contested</w:t>
      </w:r>
      <w:r w:rsidRPr="00A415D3">
        <w:t>.</w:t>
      </w:r>
    </w:p>
    <w:p w14:paraId="3F29F114" w14:textId="77777777" w:rsidR="001E3B48" w:rsidRPr="00A415D3" w:rsidRDefault="00AE6959" w:rsidP="00560442">
      <w:pPr>
        <w:pStyle w:val="Heading4"/>
        <w:numPr>
          <w:ilvl w:val="0"/>
          <w:numId w:val="16"/>
        </w:numPr>
        <w:ind w:left="2016" w:hanging="432"/>
      </w:pPr>
      <w:r w:rsidRPr="00A415D3">
        <w:t>“Delays predicated on defense counsel’s needs”</w:t>
      </w:r>
    </w:p>
    <w:p w14:paraId="3F29F115" w14:textId="77777777" w:rsidR="00E53766" w:rsidRPr="00A415D3" w:rsidRDefault="00AE6959" w:rsidP="00560442">
      <w:pPr>
        <w:ind w:firstLine="720"/>
      </w:pPr>
      <w:r w:rsidRPr="00A415D3">
        <w:t xml:space="preserve">The People further </w:t>
      </w:r>
      <w:r w:rsidR="00544C41" w:rsidRPr="00A415D3">
        <w:t>contend</w:t>
      </w:r>
      <w:r w:rsidRPr="00A415D3">
        <w:t xml:space="preserve"> that</w:t>
      </w:r>
      <w:r w:rsidR="009B310F" w:rsidRPr="00A415D3">
        <w:t xml:space="preserve"> contested competency hearings following the filing of a certificate of restoration are often delayed by defense </w:t>
      </w:r>
      <w:r w:rsidR="00581373" w:rsidRPr="00A415D3">
        <w:t xml:space="preserve">counsel’s </w:t>
      </w:r>
      <w:r w:rsidR="009B310F" w:rsidRPr="00A415D3">
        <w:t xml:space="preserve">need to prepare for </w:t>
      </w:r>
      <w:r w:rsidR="0065106F" w:rsidRPr="00A415D3">
        <w:t>the hearings</w:t>
      </w:r>
      <w:r w:rsidR="009B310F" w:rsidRPr="00A415D3">
        <w:t xml:space="preserve">.  </w:t>
      </w:r>
      <w:r w:rsidR="00872D10" w:rsidRPr="00A415D3">
        <w:t xml:space="preserve">According to the People, </w:t>
      </w:r>
      <w:r w:rsidR="00A83235" w:rsidRPr="00A415D3">
        <w:t>“</w:t>
      </w:r>
      <w:r w:rsidR="00872D10" w:rsidRPr="00A415D3">
        <w:t>[</w:t>
      </w:r>
      <w:r w:rsidR="000F31AD" w:rsidRPr="00A415D3">
        <w:t>i</w:t>
      </w:r>
      <w:r w:rsidR="00872D10" w:rsidRPr="00A415D3">
        <w:t>]</w:t>
      </w:r>
      <w:r w:rsidR="00A83235" w:rsidRPr="00A415D3">
        <w:t>f this court adopted [Rodriguez’s] position,</w:t>
      </w:r>
      <w:r w:rsidR="00872D10" w:rsidRPr="00A415D3">
        <w:t xml:space="preserve"> </w:t>
      </w:r>
      <w:r w:rsidR="00A83235" w:rsidRPr="00A415D3">
        <w:t>the trial court would have no . . . discretion or control in balancing the needs of defense attorneys to adequately prepare on behalf of their clients with concerns of delay.”</w:t>
      </w:r>
      <w:r w:rsidR="008B12A4" w:rsidRPr="00A415D3">
        <w:t xml:space="preserve">  </w:t>
      </w:r>
    </w:p>
    <w:p w14:paraId="3F29F116" w14:textId="77777777" w:rsidR="00D741A0" w:rsidRPr="00A415D3" w:rsidRDefault="00AE6959" w:rsidP="00560442">
      <w:pPr>
        <w:ind w:firstLine="720"/>
      </w:pPr>
      <w:r w:rsidRPr="00A415D3">
        <w:t>A</w:t>
      </w:r>
      <w:r w:rsidR="0008685D" w:rsidRPr="00A415D3">
        <w:t xml:space="preserve">n important </w:t>
      </w:r>
      <w:r w:rsidRPr="00A415D3">
        <w:t>premise</w:t>
      </w:r>
      <w:r w:rsidRPr="00A415D3">
        <w:t xml:space="preserve"> </w:t>
      </w:r>
      <w:r w:rsidR="0008685D" w:rsidRPr="00A415D3">
        <w:t>underlying</w:t>
      </w:r>
      <w:r w:rsidRPr="00A415D3">
        <w:t xml:space="preserve"> the People’s argument is</w:t>
      </w:r>
      <w:r w:rsidR="00544C41" w:rsidRPr="00A415D3">
        <w:t xml:space="preserve"> that the time defense </w:t>
      </w:r>
      <w:r w:rsidR="00581373" w:rsidRPr="00A415D3">
        <w:t>counsel</w:t>
      </w:r>
      <w:r w:rsidR="00544C41" w:rsidRPr="00A415D3">
        <w:t xml:space="preserve"> need to “adequately prepare” would often push the competency hearings past the time limit set by section</w:t>
      </w:r>
      <w:r w:rsidR="003F0BB6" w:rsidRPr="00A415D3">
        <w:t> </w:t>
      </w:r>
      <w:r w:rsidR="00544C41" w:rsidRPr="00A415D3">
        <w:t>1370(c)(1</w:t>
      </w:r>
      <w:r w:rsidR="002F51A4" w:rsidRPr="00A415D3">
        <w:t>)</w:t>
      </w:r>
      <w:r w:rsidR="00544C41" w:rsidRPr="00A415D3">
        <w:t>.</w:t>
      </w:r>
      <w:r w:rsidR="00C23F3D" w:rsidRPr="00A415D3">
        <w:t xml:space="preserve">  </w:t>
      </w:r>
      <w:r w:rsidR="0008685D" w:rsidRPr="00A415D3">
        <w:t>T</w:t>
      </w:r>
      <w:r w:rsidR="00544C41" w:rsidRPr="00A415D3">
        <w:t>he People</w:t>
      </w:r>
      <w:r w:rsidR="0008685D" w:rsidRPr="00A415D3">
        <w:t>, however,</w:t>
      </w:r>
      <w:r w:rsidR="00EE44BB" w:rsidRPr="00A415D3">
        <w:t xml:space="preserve"> have not provided any </w:t>
      </w:r>
      <w:r w:rsidR="0008685D" w:rsidRPr="00A415D3">
        <w:t xml:space="preserve">persuasive </w:t>
      </w:r>
      <w:r w:rsidR="002F51A4" w:rsidRPr="00A415D3">
        <w:t>evidence</w:t>
      </w:r>
      <w:r w:rsidR="0008685D" w:rsidRPr="00A415D3">
        <w:t xml:space="preserve"> </w:t>
      </w:r>
      <w:r w:rsidR="00EE44BB" w:rsidRPr="00A415D3">
        <w:t xml:space="preserve">that a two-year maximum term is likely to be </w:t>
      </w:r>
      <w:r w:rsidR="00F97907" w:rsidRPr="00A415D3">
        <w:t xml:space="preserve">routinely </w:t>
      </w:r>
      <w:r w:rsidR="00EE44BB" w:rsidRPr="00A415D3">
        <w:t>exhausted</w:t>
      </w:r>
      <w:r w:rsidR="00AA6B80" w:rsidRPr="00A415D3">
        <w:t xml:space="preserve"> </w:t>
      </w:r>
      <w:r w:rsidR="00EE44BB" w:rsidRPr="00A415D3">
        <w:t xml:space="preserve">even when postcertification </w:t>
      </w:r>
      <w:r w:rsidR="00F82E9F" w:rsidRPr="00A415D3">
        <w:t xml:space="preserve">judicial </w:t>
      </w:r>
      <w:r w:rsidR="00EE44BB" w:rsidRPr="00A415D3">
        <w:t>proceedings are taken into account</w:t>
      </w:r>
      <w:r w:rsidR="001B0A44" w:rsidRPr="00A415D3">
        <w:t xml:space="preserve">.  </w:t>
      </w:r>
      <w:r w:rsidR="005B033E" w:rsidRPr="00A415D3">
        <w:t xml:space="preserve">Indeed, </w:t>
      </w:r>
      <w:r w:rsidR="0008685D" w:rsidRPr="00A415D3">
        <w:t xml:space="preserve">the </w:t>
      </w:r>
      <w:r w:rsidR="00F97907" w:rsidRPr="00A415D3">
        <w:t xml:space="preserve">available </w:t>
      </w:r>
      <w:r w:rsidR="005B033E" w:rsidRPr="00A415D3">
        <w:t>evidence suggest</w:t>
      </w:r>
      <w:r w:rsidR="00F97907" w:rsidRPr="00A415D3">
        <w:t>s</w:t>
      </w:r>
      <w:r w:rsidR="005B033E" w:rsidRPr="00A415D3">
        <w:t xml:space="preserve"> the contrary</w:t>
      </w:r>
      <w:r w:rsidR="00F97907" w:rsidRPr="00A415D3">
        <w:t xml:space="preserve"> is true</w:t>
      </w:r>
      <w:r w:rsidR="005B033E" w:rsidRPr="00A415D3">
        <w:t xml:space="preserve">.  </w:t>
      </w:r>
      <w:r w:rsidR="006D6ABC" w:rsidRPr="00A415D3">
        <w:t xml:space="preserve">When the Legislature </w:t>
      </w:r>
      <w:r w:rsidR="009B6AC9" w:rsidRPr="00A415D3">
        <w:t>reduced the maximum period of commitment permitted under section</w:t>
      </w:r>
      <w:r w:rsidR="005E28CE" w:rsidRPr="00A415D3">
        <w:t> </w:t>
      </w:r>
      <w:r w:rsidR="009B6AC9" w:rsidRPr="00A415D3">
        <w:t xml:space="preserve">1370(c)(1) from three years to two years, </w:t>
      </w:r>
      <w:r w:rsidR="006D6ABC" w:rsidRPr="00A415D3">
        <w:t xml:space="preserve">it noted that </w:t>
      </w:r>
      <w:r w:rsidR="009B6AC9" w:rsidRPr="00A415D3">
        <w:t>“the vast majority (80</w:t>
      </w:r>
      <w:r w:rsidR="0035144B" w:rsidRPr="00A415D3">
        <w:t>–</w:t>
      </w:r>
      <w:r w:rsidR="009B6AC9" w:rsidRPr="00A415D3">
        <w:t>90%) [of persons committed as mentally incompetent</w:t>
      </w:r>
      <w:r w:rsidR="00B903A2" w:rsidRPr="00A415D3">
        <w:t>]</w:t>
      </w:r>
      <w:r w:rsidR="009B6AC9" w:rsidRPr="00A415D3">
        <w:t xml:space="preserve"> become</w:t>
      </w:r>
      <w:r w:rsidR="00B903A2" w:rsidRPr="00A415D3">
        <w:t>s</w:t>
      </w:r>
      <w:r w:rsidR="009B6AC9" w:rsidRPr="00A415D3">
        <w:t xml:space="preserve"> trial-competent within six months of starting treatment, and nearly all who attain competency do so within a year.”  (Sen. Com. on Public Safety, Analysis of Sen. Bill No. 1187</w:t>
      </w:r>
      <w:r w:rsidR="003E6715" w:rsidRPr="00A415D3">
        <w:t xml:space="preserve">, </w:t>
      </w:r>
      <w:r w:rsidR="003E6715" w:rsidRPr="00A415D3">
        <w:rPr>
          <w:i/>
          <w:iCs/>
        </w:rPr>
        <w:t>supra</w:t>
      </w:r>
      <w:r w:rsidR="003E6715" w:rsidRPr="00A415D3">
        <w:t xml:space="preserve">, </w:t>
      </w:r>
      <w:r w:rsidR="00F97907" w:rsidRPr="00A415D3">
        <w:t xml:space="preserve">as </w:t>
      </w:r>
      <w:r w:rsidR="004B16B4" w:rsidRPr="00A415D3">
        <w:t>introduced</w:t>
      </w:r>
      <w:r w:rsidR="009B6AC9" w:rsidRPr="00A415D3">
        <w:t xml:space="preserve"> </w:t>
      </w:r>
      <w:r w:rsidR="00F97907" w:rsidRPr="00A415D3">
        <w:t>Feb.</w:t>
      </w:r>
      <w:r w:rsidR="005E28CE" w:rsidRPr="00A415D3">
        <w:t> </w:t>
      </w:r>
      <w:r w:rsidR="00F97907" w:rsidRPr="00A415D3">
        <w:t>15</w:t>
      </w:r>
      <w:r w:rsidR="009B6AC9" w:rsidRPr="00A415D3">
        <w:t>, 2018, p. </w:t>
      </w:r>
      <w:r w:rsidR="00AD1E32" w:rsidRPr="00A415D3">
        <w:t>4</w:t>
      </w:r>
      <w:r w:rsidR="005B033E" w:rsidRPr="00A415D3">
        <w:t xml:space="preserve">.)  </w:t>
      </w:r>
      <w:r w:rsidR="00040AB5" w:rsidRPr="00A415D3">
        <w:t>T</w:t>
      </w:r>
      <w:r w:rsidR="005B033E" w:rsidRPr="00A415D3">
        <w:t>he Department likewise acknowledge</w:t>
      </w:r>
      <w:r w:rsidR="008C51BB" w:rsidRPr="00A415D3">
        <w:t>s</w:t>
      </w:r>
      <w:r w:rsidR="005B033E" w:rsidRPr="00A415D3">
        <w:t xml:space="preserve"> that average “treatment time in a state hospital operated by </w:t>
      </w:r>
      <w:r w:rsidR="003841BE" w:rsidRPr="00A415D3">
        <w:t>[the Department</w:t>
      </w:r>
      <w:r w:rsidR="00E46660" w:rsidRPr="00A415D3">
        <w:t xml:space="preserve"> </w:t>
      </w:r>
      <w:r w:rsidR="00997316" w:rsidRPr="00A415D3">
        <w:t>is]</w:t>
      </w:r>
      <w:r w:rsidR="00040AB5" w:rsidRPr="00A415D3">
        <w:t xml:space="preserve"> </w:t>
      </w:r>
      <w:r w:rsidR="005B033E" w:rsidRPr="00A415D3">
        <w:t>270</w:t>
      </w:r>
      <w:r w:rsidR="003F0BB6" w:rsidRPr="00A415D3">
        <w:t> </w:t>
      </w:r>
      <w:r w:rsidR="005B033E" w:rsidRPr="00A415D3">
        <w:t>days before return to court”</w:t>
      </w:r>
      <w:r w:rsidR="00DA14F2" w:rsidRPr="00A415D3">
        <w:t> —</w:t>
      </w:r>
      <w:r w:rsidR="00F82E9F" w:rsidRPr="00A415D3">
        <w:t xml:space="preserve"> </w:t>
      </w:r>
      <w:r w:rsidR="00DA14F2" w:rsidRPr="00A415D3">
        <w:t xml:space="preserve">well below </w:t>
      </w:r>
      <w:r w:rsidRPr="00A415D3">
        <w:t>the</w:t>
      </w:r>
      <w:r w:rsidR="009B6AC9" w:rsidRPr="00A415D3">
        <w:t xml:space="preserve"> two-year limit.</w:t>
      </w:r>
      <w:r>
        <w:rPr>
          <w:rStyle w:val="FootnoteReference"/>
        </w:rPr>
        <w:footnoteReference w:id="20"/>
      </w:r>
    </w:p>
    <w:p w14:paraId="3F29F117" w14:textId="77777777" w:rsidR="009A548A" w:rsidRPr="00A415D3" w:rsidRDefault="00AE6959" w:rsidP="00560442">
      <w:pPr>
        <w:ind w:firstLine="720"/>
      </w:pPr>
      <w:r w:rsidRPr="00A415D3">
        <w:t xml:space="preserve">The Department </w:t>
      </w:r>
      <w:r w:rsidR="008F6AF9" w:rsidRPr="00A415D3">
        <w:t>states</w:t>
      </w:r>
      <w:r w:rsidRPr="00A415D3">
        <w:t xml:space="preserve"> that </w:t>
      </w:r>
      <w:r w:rsidR="003D6A4F" w:rsidRPr="00A415D3">
        <w:t>“</w:t>
      </w:r>
      <w:r w:rsidR="00587DCA" w:rsidRPr="00A415D3">
        <w:t xml:space="preserve">[i]n </w:t>
      </w:r>
      <w:r w:rsidRPr="00A415D3">
        <w:t>[its]</w:t>
      </w:r>
      <w:r w:rsidR="00587DCA" w:rsidRPr="00A415D3">
        <w:t xml:space="preserve"> experience, </w:t>
      </w:r>
      <w:r w:rsidR="003D6A4F" w:rsidRPr="00A415D3">
        <w:t>competency hearings under section</w:t>
      </w:r>
      <w:r w:rsidR="005E28CE" w:rsidRPr="00A415D3">
        <w:t> </w:t>
      </w:r>
      <w:r w:rsidR="003D6A4F" w:rsidRPr="00A415D3">
        <w:t>1372 following a certificate of restoration are often delayed,</w:t>
      </w:r>
      <w:r w:rsidR="00587DCA" w:rsidRPr="00A415D3">
        <w:t xml:space="preserve"> sometimes for a significant length of time</w:t>
      </w:r>
      <w:r w:rsidRPr="00A415D3">
        <w:t xml:space="preserve">.”  </w:t>
      </w:r>
      <w:r w:rsidR="00E53766" w:rsidRPr="00A415D3">
        <w:t>T</w:t>
      </w:r>
      <w:r w:rsidR="003D6A4F" w:rsidRPr="00A415D3">
        <w:t>he only examples of delays that the Department offer</w:t>
      </w:r>
      <w:r w:rsidR="00AF0F88" w:rsidRPr="00A415D3">
        <w:t>s</w:t>
      </w:r>
      <w:r w:rsidR="003D6A4F" w:rsidRPr="00A415D3">
        <w:t xml:space="preserve"> </w:t>
      </w:r>
      <w:r w:rsidR="003B2FDF" w:rsidRPr="00A415D3">
        <w:t xml:space="preserve">are </w:t>
      </w:r>
      <w:r w:rsidR="00313EF3" w:rsidRPr="00A415D3">
        <w:t xml:space="preserve">those occurring in </w:t>
      </w:r>
      <w:r w:rsidR="003D6A4F" w:rsidRPr="00A415D3">
        <w:t xml:space="preserve">this case and </w:t>
      </w:r>
      <w:r w:rsidR="008C5DC7" w:rsidRPr="00A415D3">
        <w:t xml:space="preserve">in </w:t>
      </w:r>
      <w:r w:rsidR="003D6A4F" w:rsidRPr="00A415D3">
        <w:rPr>
          <w:i/>
          <w:iCs/>
        </w:rPr>
        <w:t>Carr</w:t>
      </w:r>
      <w:r w:rsidR="003D6A4F" w:rsidRPr="00A415D3">
        <w:t xml:space="preserve">.  </w:t>
      </w:r>
      <w:r w:rsidR="00E53766" w:rsidRPr="00A415D3">
        <w:t xml:space="preserve">But </w:t>
      </w:r>
      <w:r w:rsidRPr="00A415D3">
        <w:t>th</w:t>
      </w:r>
      <w:r w:rsidR="00F7249E" w:rsidRPr="00A415D3">
        <w:t>e</w:t>
      </w:r>
      <w:r w:rsidRPr="00A415D3">
        <w:t xml:space="preserve"> </w:t>
      </w:r>
      <w:r w:rsidR="008F6AF9" w:rsidRPr="00A415D3">
        <w:t>proceeding</w:t>
      </w:r>
      <w:r w:rsidRPr="00A415D3">
        <w:t xml:space="preserve"> </w:t>
      </w:r>
      <w:r w:rsidR="00F7249E" w:rsidRPr="00A415D3">
        <w:t xml:space="preserve">here </w:t>
      </w:r>
      <w:r w:rsidRPr="00A415D3">
        <w:t>and</w:t>
      </w:r>
      <w:r w:rsidR="00F3328D" w:rsidRPr="00A415D3">
        <w:t xml:space="preserve"> in</w:t>
      </w:r>
      <w:r w:rsidRPr="00A415D3">
        <w:t xml:space="preserve"> </w:t>
      </w:r>
      <w:r w:rsidRPr="00A415D3">
        <w:rPr>
          <w:i/>
          <w:iCs/>
        </w:rPr>
        <w:t xml:space="preserve">Carr </w:t>
      </w:r>
      <w:r w:rsidR="00587DCA" w:rsidRPr="00A415D3">
        <w:t xml:space="preserve">demonstrate how unusual </w:t>
      </w:r>
      <w:r w:rsidR="008F6AF9" w:rsidRPr="00A415D3">
        <w:t>these delays were</w:t>
      </w:r>
      <w:r w:rsidR="00587DCA" w:rsidRPr="00A415D3">
        <w:t>.</w:t>
      </w:r>
    </w:p>
    <w:p w14:paraId="3F29F118" w14:textId="77777777" w:rsidR="007679A8" w:rsidRPr="00A415D3" w:rsidRDefault="00AE6959" w:rsidP="00560442">
      <w:pPr>
        <w:ind w:firstLine="720"/>
      </w:pPr>
      <w:r w:rsidRPr="00A415D3">
        <w:t>T</w:t>
      </w:r>
      <w:r w:rsidR="0008685D" w:rsidRPr="00A415D3">
        <w:t>his case involve</w:t>
      </w:r>
      <w:r w:rsidRPr="00A415D3">
        <w:t>d</w:t>
      </w:r>
      <w:r w:rsidR="0008685D" w:rsidRPr="00A415D3">
        <w:t xml:space="preserve"> extraordinary circumstances relating to </w:t>
      </w:r>
      <w:r w:rsidR="008B1037" w:rsidRPr="00A415D3">
        <w:t xml:space="preserve">the </w:t>
      </w:r>
      <w:r w:rsidR="0008685D" w:rsidRPr="00A415D3">
        <w:t>COVID-19</w:t>
      </w:r>
      <w:r w:rsidR="008B1037" w:rsidRPr="00A415D3">
        <w:t xml:space="preserve"> pandemic</w:t>
      </w:r>
      <w:r w:rsidR="0008685D" w:rsidRPr="00A415D3">
        <w:t xml:space="preserve">.  </w:t>
      </w:r>
      <w:r w:rsidR="008F6AF9" w:rsidRPr="00A415D3">
        <w:t>A</w:t>
      </w:r>
      <w:r w:rsidR="00A528D3" w:rsidRPr="00A415D3">
        <w:t xml:space="preserve">s the People themselves acknowledge, “the continuances in th[is] case [including] the </w:t>
      </w:r>
      <w:r w:rsidR="00A528D3" w:rsidRPr="00A415D3">
        <w:rPr>
          <w:szCs w:val="26"/>
        </w:rPr>
        <w:t xml:space="preserve">final continuance past the two-year mark from the date of commitment, were not due to gamesmanship by either party, or institutional negligence </w:t>
      </w:r>
      <w:r w:rsidR="005018AE" w:rsidRPr="00A415D3">
        <w:rPr>
          <w:szCs w:val="26"/>
        </w:rPr>
        <w:t xml:space="preserve">like </w:t>
      </w:r>
      <w:r w:rsidR="00A528D3" w:rsidRPr="00A415D3">
        <w:rPr>
          <w:szCs w:val="26"/>
        </w:rPr>
        <w:t xml:space="preserve">in </w:t>
      </w:r>
      <w:r w:rsidR="00A528D3" w:rsidRPr="00A415D3">
        <w:rPr>
          <w:i/>
          <w:iCs/>
          <w:szCs w:val="26"/>
        </w:rPr>
        <w:t>Carr</w:t>
      </w:r>
      <w:r w:rsidR="00A528D3" w:rsidRPr="00A415D3">
        <w:rPr>
          <w:szCs w:val="26"/>
        </w:rPr>
        <w:t xml:space="preserve"> . . . but rather because of an unprecedented national emergency and the consequences on court capacity that resulted therefrom.”</w:t>
      </w:r>
    </w:p>
    <w:p w14:paraId="3F29F119" w14:textId="77777777" w:rsidR="00E43289" w:rsidRPr="00A415D3" w:rsidRDefault="00AE6959" w:rsidP="00560442">
      <w:pPr>
        <w:ind w:firstLine="720"/>
        <w:rPr>
          <w:szCs w:val="26"/>
          <w:shd w:val="clear" w:color="auto" w:fill="FFFFFF"/>
        </w:rPr>
      </w:pPr>
      <w:r w:rsidRPr="00A415D3">
        <w:t xml:space="preserve">As for </w:t>
      </w:r>
      <w:r w:rsidRPr="00A415D3">
        <w:rPr>
          <w:i/>
          <w:iCs/>
        </w:rPr>
        <w:t>Carr</w:t>
      </w:r>
      <w:r w:rsidRPr="00A415D3">
        <w:t xml:space="preserve">, </w:t>
      </w:r>
      <w:r w:rsidR="0073752F" w:rsidRPr="00A415D3">
        <w:t xml:space="preserve">the defendant </w:t>
      </w:r>
      <w:r w:rsidR="002846C3" w:rsidRPr="00A415D3">
        <w:t xml:space="preserve">there </w:t>
      </w:r>
      <w:r w:rsidR="0073752F" w:rsidRPr="00A415D3">
        <w:t xml:space="preserve">(Carr) </w:t>
      </w:r>
      <w:r w:rsidR="00357695" w:rsidRPr="00A415D3">
        <w:t xml:space="preserve">spent almost a year in jail waiting </w:t>
      </w:r>
      <w:r w:rsidR="000D4DF7" w:rsidRPr="00A415D3">
        <w:t xml:space="preserve">to be </w:t>
      </w:r>
      <w:r w:rsidR="00357695" w:rsidRPr="00A415D3">
        <w:t>transport</w:t>
      </w:r>
      <w:r w:rsidR="000D4DF7" w:rsidRPr="00A415D3">
        <w:t>ed</w:t>
      </w:r>
      <w:r w:rsidR="00357695" w:rsidRPr="00A415D3">
        <w:t xml:space="preserve"> to a state hospital.  (See </w:t>
      </w:r>
      <w:r w:rsidR="00357695" w:rsidRPr="00A415D3">
        <w:rPr>
          <w:i/>
          <w:iCs/>
        </w:rPr>
        <w:t>Carr</w:t>
      </w:r>
      <w:r w:rsidR="00357695" w:rsidRPr="00A415D3">
        <w:t xml:space="preserve">, </w:t>
      </w:r>
      <w:r w:rsidR="00357695" w:rsidRPr="00A415D3">
        <w:rPr>
          <w:i/>
          <w:iCs/>
        </w:rPr>
        <w:t>supra</w:t>
      </w:r>
      <w:r w:rsidR="00357695" w:rsidRPr="00A415D3">
        <w:t>, 59 Cal.App.5th at pp. 1140</w:t>
      </w:r>
      <w:r w:rsidR="0035144B" w:rsidRPr="00A415D3">
        <w:t>–</w:t>
      </w:r>
      <w:r w:rsidR="00357695" w:rsidRPr="00A415D3">
        <w:t xml:space="preserve">1141.)  Then without ever being transported or receiving any treatment, </w:t>
      </w:r>
      <w:r w:rsidR="00F6765B" w:rsidRPr="00A415D3">
        <w:t>Car</w:t>
      </w:r>
      <w:r w:rsidR="00A214EB" w:rsidRPr="00A415D3">
        <w:t>r</w:t>
      </w:r>
      <w:r w:rsidR="00357695" w:rsidRPr="00A415D3">
        <w:t xml:space="preserve"> was certified as </w:t>
      </w:r>
      <w:r w:rsidR="0073752F" w:rsidRPr="00A415D3">
        <w:t>competent</w:t>
      </w:r>
      <w:r w:rsidR="00357695" w:rsidRPr="00A415D3">
        <w:t xml:space="preserve"> by a Department psychiatrist.  (</w:t>
      </w:r>
      <w:r w:rsidR="00357695" w:rsidRPr="00A415D3">
        <w:rPr>
          <w:i/>
          <w:iCs/>
        </w:rPr>
        <w:t>Id</w:t>
      </w:r>
      <w:r w:rsidR="00357695" w:rsidRPr="00A415D3">
        <w:t xml:space="preserve">. at p. 1141.)  </w:t>
      </w:r>
      <w:r w:rsidR="0073752F" w:rsidRPr="00A415D3">
        <w:t xml:space="preserve">Carr </w:t>
      </w:r>
      <w:r w:rsidR="007B40A9" w:rsidRPr="00A415D3">
        <w:t>petitioned</w:t>
      </w:r>
      <w:r w:rsidR="00357695" w:rsidRPr="00A415D3">
        <w:t xml:space="preserve"> for a writ of mandate, claiming </w:t>
      </w:r>
      <w:r w:rsidR="00076E78" w:rsidRPr="00A415D3">
        <w:t xml:space="preserve">that </w:t>
      </w:r>
      <w:r w:rsidR="00357695" w:rsidRPr="00A415D3">
        <w:t>“ ‘the certification of his competency was employed as a subterfuge to circumvent the state’s obligation to place him in a state hospital.’ ”  (</w:t>
      </w:r>
      <w:r w:rsidR="00357695" w:rsidRPr="00A415D3">
        <w:rPr>
          <w:i/>
          <w:iCs/>
        </w:rPr>
        <w:t>Ibid</w:t>
      </w:r>
      <w:r w:rsidR="00357695" w:rsidRPr="00A415D3">
        <w:t>.)  The Court of Appeal rejected the claim.</w:t>
      </w:r>
      <w:r w:rsidR="00783E6B" w:rsidRPr="00A415D3">
        <w:t xml:space="preserve">  </w:t>
      </w:r>
      <w:r w:rsidR="00783E6B" w:rsidRPr="00A415D3">
        <w:rPr>
          <w:shd w:val="clear" w:color="auto" w:fill="FFFFFF"/>
        </w:rPr>
        <w:t>(</w:t>
      </w:r>
      <w:r w:rsidR="00783E6B" w:rsidRPr="00A415D3">
        <w:rPr>
          <w:i/>
          <w:iCs/>
          <w:shd w:val="clear" w:color="auto" w:fill="FFFFFF"/>
        </w:rPr>
        <w:t>Ibid</w:t>
      </w:r>
      <w:r w:rsidR="00783E6B" w:rsidRPr="00A415D3">
        <w:rPr>
          <w:shd w:val="clear" w:color="auto" w:fill="FFFFFF"/>
        </w:rPr>
        <w:t xml:space="preserve">.)  </w:t>
      </w:r>
      <w:r w:rsidR="00CD4562" w:rsidRPr="00A415D3">
        <w:rPr>
          <w:shd w:val="clear" w:color="auto" w:fill="FFFFFF"/>
        </w:rPr>
        <w:t>More than a year</w:t>
      </w:r>
      <w:r w:rsidR="00783E6B" w:rsidRPr="00A415D3">
        <w:rPr>
          <w:shd w:val="clear" w:color="auto" w:fill="FFFFFF"/>
        </w:rPr>
        <w:t xml:space="preserve"> </w:t>
      </w:r>
      <w:r w:rsidR="00192AF0" w:rsidRPr="00A415D3">
        <w:rPr>
          <w:shd w:val="clear" w:color="auto" w:fill="FFFFFF"/>
        </w:rPr>
        <w:t>later</w:t>
      </w:r>
      <w:r w:rsidR="00CC3DE8" w:rsidRPr="00A415D3">
        <w:rPr>
          <w:shd w:val="clear" w:color="auto" w:fill="FFFFFF"/>
        </w:rPr>
        <w:t xml:space="preserve">, the trial court </w:t>
      </w:r>
      <w:r w:rsidR="00CD4562" w:rsidRPr="00A415D3">
        <w:rPr>
          <w:shd w:val="clear" w:color="auto" w:fill="FFFFFF"/>
        </w:rPr>
        <w:t>concluded that</w:t>
      </w:r>
      <w:r w:rsidR="0073752F" w:rsidRPr="00A415D3">
        <w:rPr>
          <w:shd w:val="clear" w:color="auto" w:fill="FFFFFF"/>
        </w:rPr>
        <w:t xml:space="preserve"> Carr remained incompetent.  (</w:t>
      </w:r>
      <w:r w:rsidR="00CC3DE8" w:rsidRPr="00A415D3">
        <w:rPr>
          <w:i/>
          <w:iCs/>
          <w:shd w:val="clear" w:color="auto" w:fill="FFFFFF"/>
        </w:rPr>
        <w:t>Ibid</w:t>
      </w:r>
      <w:r w:rsidR="0073752F" w:rsidRPr="00A415D3">
        <w:rPr>
          <w:shd w:val="clear" w:color="auto" w:fill="FFFFFF"/>
        </w:rPr>
        <w:t xml:space="preserve">.)  The court again committed Carr to the Department, and he once more waited for transport to </w:t>
      </w:r>
      <w:r w:rsidR="0073752F" w:rsidRPr="00A415D3">
        <w:rPr>
          <w:szCs w:val="26"/>
          <w:shd w:val="clear" w:color="auto" w:fill="FFFFFF"/>
        </w:rPr>
        <w:t>a facility.  (</w:t>
      </w:r>
      <w:r w:rsidR="0073752F" w:rsidRPr="00A415D3">
        <w:rPr>
          <w:i/>
          <w:iCs/>
          <w:szCs w:val="26"/>
          <w:shd w:val="clear" w:color="auto" w:fill="FFFFFF"/>
        </w:rPr>
        <w:t>Ibid</w:t>
      </w:r>
      <w:r w:rsidR="0073752F" w:rsidRPr="00A415D3">
        <w:rPr>
          <w:szCs w:val="26"/>
          <w:shd w:val="clear" w:color="auto" w:fill="FFFFFF"/>
        </w:rPr>
        <w:t>.)  Three months later, while still waiting for transport, “Carr moved for release on the ground he had completed the maximum three-year commitment [then] authorized by law.”  (</w:t>
      </w:r>
      <w:r w:rsidR="0073752F" w:rsidRPr="00A415D3">
        <w:rPr>
          <w:i/>
          <w:iCs/>
          <w:szCs w:val="26"/>
          <w:shd w:val="clear" w:color="auto" w:fill="FFFFFF"/>
        </w:rPr>
        <w:t>Ibid</w:t>
      </w:r>
      <w:r w:rsidR="0073752F" w:rsidRPr="00A415D3">
        <w:rPr>
          <w:szCs w:val="26"/>
          <w:shd w:val="clear" w:color="auto" w:fill="FFFFFF"/>
        </w:rPr>
        <w:t>.)  Th</w:t>
      </w:r>
      <w:r w:rsidR="008F6AF9" w:rsidRPr="00A415D3">
        <w:rPr>
          <w:szCs w:val="26"/>
          <w:shd w:val="clear" w:color="auto" w:fill="FFFFFF"/>
        </w:rPr>
        <w:t>is</w:t>
      </w:r>
      <w:r w:rsidR="0073752F" w:rsidRPr="00A415D3">
        <w:rPr>
          <w:szCs w:val="26"/>
          <w:shd w:val="clear" w:color="auto" w:fill="FFFFFF"/>
        </w:rPr>
        <w:t xml:space="preserve"> procedural history </w:t>
      </w:r>
      <w:r w:rsidR="002B58E0" w:rsidRPr="00A415D3">
        <w:rPr>
          <w:szCs w:val="26"/>
          <w:shd w:val="clear" w:color="auto" w:fill="FFFFFF"/>
        </w:rPr>
        <w:t xml:space="preserve">makes it difficult to infer that delays in holding competency hearings are often </w:t>
      </w:r>
      <w:r w:rsidR="008F6AF9" w:rsidRPr="00A415D3">
        <w:rPr>
          <w:szCs w:val="26"/>
          <w:shd w:val="clear" w:color="auto" w:fill="FFFFFF"/>
        </w:rPr>
        <w:t xml:space="preserve">so </w:t>
      </w:r>
      <w:r w:rsidR="002B58E0" w:rsidRPr="00A415D3">
        <w:rPr>
          <w:szCs w:val="26"/>
          <w:shd w:val="clear" w:color="auto" w:fill="FFFFFF"/>
        </w:rPr>
        <w:t>lengthy</w:t>
      </w:r>
      <w:r w:rsidR="008F6AF9" w:rsidRPr="00A415D3">
        <w:rPr>
          <w:szCs w:val="26"/>
          <w:shd w:val="clear" w:color="auto" w:fill="FFFFFF"/>
        </w:rPr>
        <w:t xml:space="preserve"> that the </w:t>
      </w:r>
      <w:r w:rsidR="002B58E0" w:rsidRPr="00A415D3">
        <w:rPr>
          <w:szCs w:val="26"/>
          <w:shd w:val="clear" w:color="auto" w:fill="FFFFFF"/>
        </w:rPr>
        <w:t xml:space="preserve">two-year limit is </w:t>
      </w:r>
      <w:r w:rsidR="002B6859" w:rsidRPr="00A415D3">
        <w:rPr>
          <w:szCs w:val="26"/>
          <w:shd w:val="clear" w:color="auto" w:fill="FFFFFF"/>
        </w:rPr>
        <w:t xml:space="preserve">likely to be </w:t>
      </w:r>
      <w:r w:rsidR="002B58E0" w:rsidRPr="00A415D3">
        <w:rPr>
          <w:szCs w:val="26"/>
          <w:shd w:val="clear" w:color="auto" w:fill="FFFFFF"/>
        </w:rPr>
        <w:t>exceeded in the normal course.</w:t>
      </w:r>
    </w:p>
    <w:p w14:paraId="3F29F11A" w14:textId="77777777" w:rsidR="00181335" w:rsidRPr="00C67DA4" w:rsidRDefault="00AE6959" w:rsidP="00560442">
      <w:pPr>
        <w:ind w:firstLine="720"/>
      </w:pPr>
      <w:r w:rsidRPr="00A415D3">
        <w:t>More generally, neither the</w:t>
      </w:r>
      <w:r w:rsidRPr="00A415D3">
        <w:t xml:space="preserve"> facts of this case nor those in </w:t>
      </w:r>
      <w:r w:rsidRPr="00A415D3">
        <w:rPr>
          <w:i/>
          <w:iCs/>
        </w:rPr>
        <w:t>Carr</w:t>
      </w:r>
      <w:r w:rsidRPr="00A415D3">
        <w:t xml:space="preserve"> support the assertion that defendants have the incentive to, and routinely, engage in dilatory tactics.  As mentioned, the People acknowledge that the delays that occurred in this case were not attributable to “gamesma</w:t>
      </w:r>
      <w:r w:rsidRPr="00A415D3">
        <w:t xml:space="preserve">nship” by Rodriguez.  The court in </w:t>
      </w:r>
      <w:r w:rsidRPr="00A415D3">
        <w:rPr>
          <w:i/>
          <w:iCs/>
        </w:rPr>
        <w:t>Carr</w:t>
      </w:r>
      <w:r w:rsidRPr="00A415D3">
        <w:t xml:space="preserve"> likewise noted that “there is no basis in this case to infer Carr’s efforts to oppose the certification contributed to his commitment exceeding the three-year maximum.”  (</w:t>
      </w:r>
      <w:r w:rsidRPr="00A415D3">
        <w:rPr>
          <w:i/>
          <w:iCs/>
        </w:rPr>
        <w:t>Carr</w:t>
      </w:r>
      <w:r w:rsidRPr="00A415D3">
        <w:t xml:space="preserve">, </w:t>
      </w:r>
      <w:r w:rsidRPr="00A415D3">
        <w:rPr>
          <w:i/>
          <w:iCs/>
        </w:rPr>
        <w:t>supra</w:t>
      </w:r>
      <w:r w:rsidRPr="00A415D3">
        <w:t xml:space="preserve">, 59 Cal.App.5th at p. 1146.)  If </w:t>
      </w:r>
      <w:r w:rsidRPr="00A415D3">
        <w:t xml:space="preserve">a trial court is concerned that a defendant is requesting continuances for the sole purpose of exhausting the two-year period, the court may take that into consideration when determining whether to grant a continuance.  (Cf. </w:t>
      </w:r>
      <w:r w:rsidRPr="00A415D3">
        <w:rPr>
          <w:i/>
          <w:iCs/>
        </w:rPr>
        <w:t>Camacho</w:t>
      </w:r>
      <w:r w:rsidRPr="00A415D3">
        <w:t xml:space="preserve">, </w:t>
      </w:r>
      <w:r w:rsidRPr="00A415D3">
        <w:rPr>
          <w:i/>
          <w:iCs/>
        </w:rPr>
        <w:t>supra</w:t>
      </w:r>
      <w:r w:rsidRPr="00A415D3">
        <w:t>, 15 Cal.5th at p</w:t>
      </w:r>
      <w:r w:rsidRPr="00A415D3">
        <w:t>. 368 [“underscor[ing] the vital role of trial courts in safeguarding the timely trial right of alleged [sexually violent predators]”].)</w:t>
      </w:r>
    </w:p>
    <w:p w14:paraId="3F29F11B" w14:textId="77777777" w:rsidR="00E53766" w:rsidRPr="00A415D3" w:rsidRDefault="00AE6959" w:rsidP="00560442">
      <w:pPr>
        <w:ind w:firstLine="720"/>
        <w:rPr>
          <w:szCs w:val="26"/>
          <w:shd w:val="clear" w:color="auto" w:fill="FFFFFF"/>
        </w:rPr>
      </w:pPr>
      <w:r>
        <w:t>Finally, the People’s argument assumes that litigation delays attributable to the defense cannot be excluded when deter</w:t>
      </w:r>
      <w:r>
        <w:t>mining whether the two-year period has run out.  We do not decide whether that assumption is correct.  (See pt. II.C</w:t>
      </w:r>
      <w:r w:rsidR="00AE6CD9">
        <w:t>.</w:t>
      </w:r>
      <w:r>
        <w:t xml:space="preserve">, </w:t>
      </w:r>
      <w:r>
        <w:rPr>
          <w:i/>
          <w:iCs/>
        </w:rPr>
        <w:t>post</w:t>
      </w:r>
      <w:r>
        <w:t>.)</w:t>
      </w:r>
    </w:p>
    <w:p w14:paraId="3F29F11C" w14:textId="77777777" w:rsidR="00313EF3" w:rsidRPr="00A415D3" w:rsidRDefault="00AE6959" w:rsidP="00560442">
      <w:pPr>
        <w:pStyle w:val="Heading4"/>
        <w:numPr>
          <w:ilvl w:val="0"/>
          <w:numId w:val="16"/>
        </w:numPr>
        <w:ind w:left="2016" w:hanging="432"/>
        <w:rPr>
          <w:shd w:val="clear" w:color="auto" w:fill="FFFFFF"/>
        </w:rPr>
      </w:pPr>
      <w:r w:rsidRPr="00A415D3">
        <w:rPr>
          <w:shd w:val="clear" w:color="auto" w:fill="FFFFFF"/>
        </w:rPr>
        <w:t>“Competent defendants evading prosecution”</w:t>
      </w:r>
    </w:p>
    <w:p w14:paraId="3F29F11D" w14:textId="77777777" w:rsidR="0039724D" w:rsidRPr="00A415D3" w:rsidRDefault="00AE6959" w:rsidP="00560442">
      <w:pPr>
        <w:ind w:firstLine="720"/>
        <w:rPr>
          <w:szCs w:val="26"/>
        </w:rPr>
      </w:pPr>
      <w:r>
        <w:rPr>
          <w:szCs w:val="26"/>
        </w:rPr>
        <w:t>T</w:t>
      </w:r>
      <w:r w:rsidR="007C176A" w:rsidRPr="00A415D3">
        <w:rPr>
          <w:szCs w:val="26"/>
        </w:rPr>
        <w:t xml:space="preserve">he People contend that </w:t>
      </w:r>
      <w:r w:rsidR="00E447F2" w:rsidRPr="00A415D3">
        <w:rPr>
          <w:szCs w:val="26"/>
        </w:rPr>
        <w:t xml:space="preserve">adopting Rodriguez’s </w:t>
      </w:r>
      <w:r w:rsidR="001E1FE8" w:rsidRPr="00A415D3">
        <w:rPr>
          <w:szCs w:val="26"/>
        </w:rPr>
        <w:t xml:space="preserve">interpretation </w:t>
      </w:r>
      <w:r w:rsidR="00E447F2" w:rsidRPr="00A415D3">
        <w:rPr>
          <w:szCs w:val="26"/>
        </w:rPr>
        <w:t>would “result in presumptively competent defendants evading prosecution” because once section</w:t>
      </w:r>
      <w:r w:rsidR="008C6C35" w:rsidRPr="00A415D3">
        <w:rPr>
          <w:szCs w:val="26"/>
        </w:rPr>
        <w:t xml:space="preserve"> </w:t>
      </w:r>
      <w:r w:rsidR="00E447F2" w:rsidRPr="00A415D3">
        <w:rPr>
          <w:szCs w:val="26"/>
        </w:rPr>
        <w:t xml:space="preserve">1370(c)(1)’s limit has been reached, a defendant must be conserved or released.  </w:t>
      </w:r>
      <w:r w:rsidR="008247AD" w:rsidRPr="00A415D3">
        <w:rPr>
          <w:szCs w:val="26"/>
        </w:rPr>
        <w:t>In its amicus</w:t>
      </w:r>
      <w:r w:rsidR="00D17370" w:rsidRPr="00A415D3">
        <w:rPr>
          <w:szCs w:val="26"/>
        </w:rPr>
        <w:t xml:space="preserve"> curiae</w:t>
      </w:r>
      <w:r w:rsidR="008247AD" w:rsidRPr="00A415D3">
        <w:rPr>
          <w:szCs w:val="26"/>
        </w:rPr>
        <w:t xml:space="preserve"> brief, the </w:t>
      </w:r>
      <w:r w:rsidR="00292514" w:rsidRPr="00A415D3">
        <w:rPr>
          <w:szCs w:val="26"/>
        </w:rPr>
        <w:t xml:space="preserve">San Diego County District Attorney </w:t>
      </w:r>
      <w:r w:rsidR="007C1A38" w:rsidRPr="00A415D3">
        <w:rPr>
          <w:szCs w:val="26"/>
        </w:rPr>
        <w:t>go</w:t>
      </w:r>
      <w:r w:rsidR="008247AD" w:rsidRPr="00A415D3">
        <w:rPr>
          <w:szCs w:val="26"/>
        </w:rPr>
        <w:t>es</w:t>
      </w:r>
      <w:r w:rsidR="007C1A38" w:rsidRPr="00A415D3">
        <w:rPr>
          <w:szCs w:val="26"/>
        </w:rPr>
        <w:t xml:space="preserve"> further, arguing that </w:t>
      </w:r>
      <w:r w:rsidR="008247AD" w:rsidRPr="00A415D3">
        <w:rPr>
          <w:szCs w:val="26"/>
        </w:rPr>
        <w:t>“dangerous criminals” will be released “to the streets.”</w:t>
      </w:r>
      <w:r w:rsidR="007C1A38" w:rsidRPr="00A415D3">
        <w:rPr>
          <w:szCs w:val="26"/>
        </w:rPr>
        <w:t xml:space="preserve">  The statutory scheme, however, </w:t>
      </w:r>
      <w:r w:rsidR="004A6854" w:rsidRPr="00A415D3">
        <w:rPr>
          <w:szCs w:val="26"/>
        </w:rPr>
        <w:t xml:space="preserve">provides </w:t>
      </w:r>
      <w:r w:rsidR="007C1A38" w:rsidRPr="00A415D3">
        <w:rPr>
          <w:szCs w:val="26"/>
        </w:rPr>
        <w:t xml:space="preserve">safeguards </w:t>
      </w:r>
      <w:r w:rsidRPr="00A415D3">
        <w:rPr>
          <w:szCs w:val="26"/>
        </w:rPr>
        <w:t xml:space="preserve">against </w:t>
      </w:r>
      <w:r w:rsidR="004A6854" w:rsidRPr="00A415D3">
        <w:rPr>
          <w:szCs w:val="26"/>
        </w:rPr>
        <w:t>these results</w:t>
      </w:r>
      <w:r w:rsidRPr="00A415D3">
        <w:rPr>
          <w:szCs w:val="26"/>
        </w:rPr>
        <w:t>.</w:t>
      </w:r>
    </w:p>
    <w:p w14:paraId="3F29F11E" w14:textId="77777777" w:rsidR="00954C06" w:rsidRDefault="00AE6959" w:rsidP="00954C06">
      <w:pPr>
        <w:ind w:firstLine="720"/>
        <w:rPr>
          <w:szCs w:val="26"/>
        </w:rPr>
      </w:pPr>
      <w:r w:rsidRPr="00A415D3">
        <w:rPr>
          <w:szCs w:val="26"/>
        </w:rPr>
        <w:t>Individuals whose commitment term</w:t>
      </w:r>
      <w:r w:rsidR="00852C52" w:rsidRPr="00A415D3">
        <w:rPr>
          <w:szCs w:val="26"/>
        </w:rPr>
        <w:t>s</w:t>
      </w:r>
      <w:r w:rsidRPr="00A415D3">
        <w:rPr>
          <w:szCs w:val="26"/>
        </w:rPr>
        <w:t xml:space="preserve"> ha</w:t>
      </w:r>
      <w:r w:rsidR="00852C52" w:rsidRPr="00A415D3">
        <w:rPr>
          <w:szCs w:val="26"/>
        </w:rPr>
        <w:t>ve</w:t>
      </w:r>
      <w:r w:rsidRPr="00A415D3">
        <w:rPr>
          <w:szCs w:val="26"/>
        </w:rPr>
        <w:t xml:space="preserve"> expired need not be released to the community.  Instead,</w:t>
      </w:r>
      <w:r w:rsidR="00567660" w:rsidRPr="00A415D3">
        <w:rPr>
          <w:szCs w:val="26"/>
        </w:rPr>
        <w:t xml:space="preserve"> </w:t>
      </w:r>
      <w:r w:rsidRPr="00A415D3">
        <w:rPr>
          <w:szCs w:val="26"/>
        </w:rPr>
        <w:t>they may be civilly commit</w:t>
      </w:r>
      <w:r w:rsidR="00485F88" w:rsidRPr="00A415D3">
        <w:rPr>
          <w:szCs w:val="26"/>
        </w:rPr>
        <w:t>ted</w:t>
      </w:r>
      <w:r w:rsidRPr="00A415D3">
        <w:rPr>
          <w:szCs w:val="26"/>
        </w:rPr>
        <w:t xml:space="preserve">, </w:t>
      </w:r>
      <w:r w:rsidRPr="00A415D3">
        <w:rPr>
          <w:szCs w:val="26"/>
        </w:rPr>
        <w:t xml:space="preserve">including to long-term conservatorships.  </w:t>
      </w:r>
      <w:r w:rsidR="00407DAD" w:rsidRPr="00A415D3">
        <w:rPr>
          <w:szCs w:val="26"/>
        </w:rPr>
        <w:t>(See § 1370, subd</w:t>
      </w:r>
      <w:r w:rsidR="00F300BD">
        <w:rPr>
          <w:szCs w:val="26"/>
        </w:rPr>
        <w:t>s</w:t>
      </w:r>
      <w:r w:rsidR="00407DAD" w:rsidRPr="00A415D3">
        <w:rPr>
          <w:szCs w:val="26"/>
        </w:rPr>
        <w:t>. (c)(3)</w:t>
      </w:r>
      <w:r w:rsidR="00F300BD">
        <w:rPr>
          <w:szCs w:val="26"/>
        </w:rPr>
        <w:t>, (e)</w:t>
      </w:r>
      <w:r w:rsidR="004505DD" w:rsidRPr="00A415D3">
        <w:rPr>
          <w:szCs w:val="26"/>
        </w:rPr>
        <w:t xml:space="preserve">; </w:t>
      </w:r>
      <w:r w:rsidR="004505DD" w:rsidRPr="00A415D3">
        <w:rPr>
          <w:i/>
          <w:iCs/>
          <w:szCs w:val="26"/>
        </w:rPr>
        <w:t>Waterman</w:t>
      </w:r>
      <w:r w:rsidR="004505DD" w:rsidRPr="00A415D3">
        <w:rPr>
          <w:szCs w:val="26"/>
        </w:rPr>
        <w:t xml:space="preserve">, </w:t>
      </w:r>
      <w:r w:rsidR="004505DD" w:rsidRPr="00A415D3">
        <w:rPr>
          <w:i/>
          <w:iCs/>
          <w:szCs w:val="26"/>
        </w:rPr>
        <w:t>supra</w:t>
      </w:r>
      <w:r w:rsidR="004505DD" w:rsidRPr="00A415D3">
        <w:rPr>
          <w:szCs w:val="26"/>
        </w:rPr>
        <w:t>, 42</w:t>
      </w:r>
      <w:r w:rsidR="005F5FE4" w:rsidRPr="00A415D3">
        <w:rPr>
          <w:szCs w:val="26"/>
        </w:rPr>
        <w:t> </w:t>
      </w:r>
      <w:r w:rsidR="004505DD" w:rsidRPr="00A415D3">
        <w:rPr>
          <w:szCs w:val="26"/>
        </w:rPr>
        <w:t>Cal.3d at p. 568 &amp; fn.</w:t>
      </w:r>
      <w:r w:rsidR="005B01C8" w:rsidRPr="00A415D3">
        <w:rPr>
          <w:szCs w:val="26"/>
        </w:rPr>
        <w:t> </w:t>
      </w:r>
      <w:r w:rsidR="004505DD" w:rsidRPr="00A415D3">
        <w:rPr>
          <w:szCs w:val="26"/>
        </w:rPr>
        <w:t>1</w:t>
      </w:r>
      <w:r w:rsidR="00407DAD" w:rsidRPr="00A415D3">
        <w:rPr>
          <w:szCs w:val="26"/>
        </w:rPr>
        <w:t xml:space="preserve">.)  </w:t>
      </w:r>
      <w:r w:rsidR="00793816" w:rsidRPr="00A415D3">
        <w:rPr>
          <w:szCs w:val="26"/>
        </w:rPr>
        <w:t>Specifically,</w:t>
      </w:r>
      <w:r w:rsidR="00590663" w:rsidRPr="00A415D3">
        <w:rPr>
          <w:szCs w:val="26"/>
        </w:rPr>
        <w:t xml:space="preserve"> a Murphy conservatorship is available </w:t>
      </w:r>
      <w:r w:rsidR="00DD6134" w:rsidRPr="00A415D3">
        <w:rPr>
          <w:szCs w:val="26"/>
        </w:rPr>
        <w:t xml:space="preserve">to keep in custody a criminal defendant who is incompetent to stand trial and </w:t>
      </w:r>
      <w:r w:rsidR="005F5FE4" w:rsidRPr="00A415D3">
        <w:rPr>
          <w:szCs w:val="26"/>
        </w:rPr>
        <w:t xml:space="preserve">who </w:t>
      </w:r>
      <w:r w:rsidR="00DD6134" w:rsidRPr="00A415D3">
        <w:rPr>
          <w:szCs w:val="26"/>
        </w:rPr>
        <w:t>may not be further committed under section</w:t>
      </w:r>
      <w:r w:rsidR="00A0250A" w:rsidRPr="00A415D3">
        <w:rPr>
          <w:szCs w:val="26"/>
        </w:rPr>
        <w:t> </w:t>
      </w:r>
      <w:r w:rsidR="00DD6134" w:rsidRPr="00A415D3">
        <w:rPr>
          <w:szCs w:val="26"/>
        </w:rPr>
        <w:t xml:space="preserve">1370.  </w:t>
      </w:r>
      <w:r w:rsidR="00407DAD" w:rsidRPr="00A415D3">
        <w:rPr>
          <w:szCs w:val="26"/>
        </w:rPr>
        <w:t>(See § 1370, subd. (c)(3).)</w:t>
      </w:r>
      <w:r w:rsidR="003D39B4" w:rsidRPr="00A415D3">
        <w:rPr>
          <w:szCs w:val="26"/>
        </w:rPr>
        <w:t xml:space="preserve">  An incompetent </w:t>
      </w:r>
      <w:bookmarkStart w:id="13" w:name="_Hlk141301341"/>
      <w:r w:rsidR="004A6854" w:rsidRPr="00A415D3">
        <w:rPr>
          <w:szCs w:val="26"/>
        </w:rPr>
        <w:t xml:space="preserve">defendant </w:t>
      </w:r>
      <w:bookmarkEnd w:id="13"/>
      <w:r w:rsidR="003D39B4" w:rsidRPr="00A415D3">
        <w:rPr>
          <w:szCs w:val="26"/>
        </w:rPr>
        <w:t>may be conserved under a Murphy conservatorship i</w:t>
      </w:r>
      <w:r w:rsidR="00292514" w:rsidRPr="00A415D3">
        <w:rPr>
          <w:szCs w:val="26"/>
        </w:rPr>
        <w:t>f</w:t>
      </w:r>
      <w:r w:rsidR="0049674F" w:rsidRPr="00A415D3">
        <w:rPr>
          <w:szCs w:val="26"/>
        </w:rPr>
        <w:t xml:space="preserve">, among other criteria, the </w:t>
      </w:r>
      <w:r w:rsidR="004A6854" w:rsidRPr="00A415D3">
        <w:rPr>
          <w:szCs w:val="26"/>
        </w:rPr>
        <w:t xml:space="preserve">defendant </w:t>
      </w:r>
      <w:r w:rsidR="003D39B4" w:rsidRPr="00A415D3">
        <w:rPr>
          <w:szCs w:val="26"/>
        </w:rPr>
        <w:t>“represents a substantial danger of physical harm to others</w:t>
      </w:r>
      <w:r w:rsidR="0049674F" w:rsidRPr="00A415D3">
        <w:rPr>
          <w:szCs w:val="26"/>
        </w:rPr>
        <w:t>.</w:t>
      </w:r>
      <w:r w:rsidR="003D39B4" w:rsidRPr="00A415D3">
        <w:rPr>
          <w:szCs w:val="26"/>
        </w:rPr>
        <w:t xml:space="preserve">” </w:t>
      </w:r>
      <w:r w:rsidR="0049674F" w:rsidRPr="00A415D3">
        <w:rPr>
          <w:szCs w:val="26"/>
        </w:rPr>
        <w:t xml:space="preserve"> </w:t>
      </w:r>
      <w:r w:rsidR="003D39B4" w:rsidRPr="00A415D3">
        <w:rPr>
          <w:szCs w:val="26"/>
        </w:rPr>
        <w:t>(Welf. &amp; Inst. Code, § 5008, subd. (h)(1)(B)</w:t>
      </w:r>
      <w:r w:rsidR="00F472BD" w:rsidRPr="00A415D3">
        <w:rPr>
          <w:szCs w:val="26"/>
        </w:rPr>
        <w:t>(iv</w:t>
      </w:r>
      <w:r w:rsidR="0049674F" w:rsidRPr="00A415D3">
        <w:rPr>
          <w:szCs w:val="26"/>
        </w:rPr>
        <w:t>).)</w:t>
      </w:r>
      <w:r w:rsidR="003D39B4" w:rsidRPr="00A415D3">
        <w:rPr>
          <w:szCs w:val="26"/>
        </w:rPr>
        <w:t xml:space="preserve"> </w:t>
      </w:r>
      <w:r w:rsidR="0049674F" w:rsidRPr="00A415D3">
        <w:rPr>
          <w:szCs w:val="26"/>
        </w:rPr>
        <w:t xml:space="preserve"> The conservatorship may last as long as the conditions supporting conservatorship persist</w:t>
      </w:r>
      <w:r w:rsidR="003D39B4" w:rsidRPr="00A415D3">
        <w:rPr>
          <w:szCs w:val="26"/>
        </w:rPr>
        <w:t xml:space="preserve">.  (See </w:t>
      </w:r>
      <w:r w:rsidR="00F472BD" w:rsidRPr="00A415D3">
        <w:rPr>
          <w:szCs w:val="26"/>
        </w:rPr>
        <w:t>Welf. &amp; Inst. Code, §</w:t>
      </w:r>
      <w:r w:rsidR="00292514" w:rsidRPr="00A415D3">
        <w:rPr>
          <w:szCs w:val="26"/>
        </w:rPr>
        <w:t> 5361, subd. (b)</w:t>
      </w:r>
      <w:r w:rsidR="00F472BD" w:rsidRPr="00A415D3">
        <w:rPr>
          <w:szCs w:val="26"/>
        </w:rPr>
        <w:t>;</w:t>
      </w:r>
      <w:r w:rsidR="00176616" w:rsidRPr="00A415D3">
        <w:rPr>
          <w:szCs w:val="26"/>
        </w:rPr>
        <w:t xml:space="preserve"> </w:t>
      </w:r>
      <w:r w:rsidR="00E240A9" w:rsidRPr="00A415D3">
        <w:rPr>
          <w:i/>
          <w:iCs/>
        </w:rPr>
        <w:t>Hofferber</w:t>
      </w:r>
      <w:r w:rsidR="00E240A9" w:rsidRPr="00A415D3">
        <w:t xml:space="preserve">, </w:t>
      </w:r>
      <w:r w:rsidR="00E240A9" w:rsidRPr="00A415D3">
        <w:rPr>
          <w:i/>
          <w:iCs/>
        </w:rPr>
        <w:t>supra</w:t>
      </w:r>
      <w:r w:rsidR="00E240A9" w:rsidRPr="00A415D3">
        <w:t>, 28 Cal.3d at p.</w:t>
      </w:r>
      <w:r w:rsidR="005F5FE4" w:rsidRPr="00A415D3">
        <w:t> </w:t>
      </w:r>
      <w:r w:rsidR="00E240A9" w:rsidRPr="00A415D3">
        <w:t xml:space="preserve">170; </w:t>
      </w:r>
      <w:r w:rsidR="00176616" w:rsidRPr="00A415D3">
        <w:t>Parker, </w:t>
      </w:r>
      <w:r w:rsidR="00176616" w:rsidRPr="00A415D3">
        <w:rPr>
          <w:i/>
          <w:iCs/>
        </w:rPr>
        <w:t>supra</w:t>
      </w:r>
      <w:r w:rsidR="00176616" w:rsidRPr="00A415D3">
        <w:t>, 6 Pacific L.J. at pp. 485, 497</w:t>
      </w:r>
      <w:r w:rsidR="00F472BD" w:rsidRPr="00A415D3">
        <w:rPr>
          <w:szCs w:val="26"/>
        </w:rPr>
        <w:t>.)</w:t>
      </w:r>
      <w:r w:rsidR="00292514" w:rsidRPr="00A415D3">
        <w:rPr>
          <w:szCs w:val="26"/>
        </w:rPr>
        <w:t xml:space="preserve">  Accordingly, it is not the case that “dangerous persons” are simply released “to the streets” if they are not committed</w:t>
      </w:r>
      <w:r w:rsidR="0075260E" w:rsidRPr="00A415D3">
        <w:rPr>
          <w:szCs w:val="26"/>
        </w:rPr>
        <w:t xml:space="preserve"> under section</w:t>
      </w:r>
      <w:r w:rsidR="00ED04A9" w:rsidRPr="00A415D3">
        <w:rPr>
          <w:szCs w:val="26"/>
        </w:rPr>
        <w:t> </w:t>
      </w:r>
      <w:r w:rsidR="0075260E" w:rsidRPr="00A415D3">
        <w:rPr>
          <w:szCs w:val="26"/>
        </w:rPr>
        <w:t>1370</w:t>
      </w:r>
      <w:r w:rsidR="00292514" w:rsidRPr="00A415D3">
        <w:rPr>
          <w:szCs w:val="26"/>
        </w:rPr>
        <w:t>.</w:t>
      </w:r>
      <w:r w:rsidR="00181335">
        <w:rPr>
          <w:szCs w:val="26"/>
        </w:rPr>
        <w:t xml:space="preserve">  </w:t>
      </w:r>
      <w:r w:rsidR="00181335" w:rsidRPr="005D2043">
        <w:rPr>
          <w:szCs w:val="26"/>
        </w:rPr>
        <w:t xml:space="preserve">Even when an incompetent criminal defendant is not conserved and felony charges are dismissed, the People may refile charges if they believe the defendant has regained competency.  (See </w:t>
      </w:r>
      <w:r w:rsidR="00181335" w:rsidRPr="005D2043">
        <w:rPr>
          <w:i/>
          <w:iCs/>
          <w:szCs w:val="26"/>
        </w:rPr>
        <w:t>Jackson v. Superior Court</w:t>
      </w:r>
      <w:r w:rsidR="00181335" w:rsidRPr="005D2043">
        <w:rPr>
          <w:szCs w:val="26"/>
        </w:rPr>
        <w:t xml:space="preserve">, </w:t>
      </w:r>
      <w:r w:rsidR="00181335" w:rsidRPr="005D2043">
        <w:rPr>
          <w:i/>
          <w:iCs/>
          <w:szCs w:val="26"/>
        </w:rPr>
        <w:t>supra</w:t>
      </w:r>
      <w:r w:rsidR="00181335" w:rsidRPr="005D2043">
        <w:rPr>
          <w:szCs w:val="26"/>
        </w:rPr>
        <w:t>, 4 Cal.5th at p. 106 [holding that “a defendant may be rearrested, and a trial court may order a new competency hearing, following the prosecution’s dismissal and refiling of felony charges pursuant to section 1387 even if the defendant was previously committed for three years”].)</w:t>
      </w:r>
    </w:p>
    <w:p w14:paraId="3F29F11F" w14:textId="77777777" w:rsidR="00181335" w:rsidRPr="00A415D3" w:rsidRDefault="00AE6959" w:rsidP="00181335">
      <w:pPr>
        <w:ind w:firstLine="720"/>
        <w:rPr>
          <w:szCs w:val="26"/>
        </w:rPr>
      </w:pPr>
      <w:r>
        <w:rPr>
          <w:szCs w:val="26"/>
        </w:rPr>
        <w:t>Finally, the People’s argument assumes that when the two-year period runs out, even a defendant who has been certified as re</w:t>
      </w:r>
      <w:r>
        <w:rPr>
          <w:szCs w:val="26"/>
        </w:rPr>
        <w:t xml:space="preserve">stored to competence must be released.  </w:t>
      </w:r>
      <w:r>
        <w:t>We do not decide whether that assumption is correct either.  (See pt. II.C</w:t>
      </w:r>
      <w:r w:rsidR="00C94110">
        <w:t>.</w:t>
      </w:r>
      <w:r>
        <w:t xml:space="preserve">, </w:t>
      </w:r>
      <w:r>
        <w:rPr>
          <w:i/>
          <w:iCs/>
        </w:rPr>
        <w:t>post</w:t>
      </w:r>
      <w:r>
        <w:t>.)</w:t>
      </w:r>
    </w:p>
    <w:p w14:paraId="3F29F120" w14:textId="77777777" w:rsidR="002A6F05" w:rsidRPr="00A415D3" w:rsidRDefault="00AE6959" w:rsidP="002A6F05">
      <w:pPr>
        <w:pStyle w:val="Heading2"/>
        <w:numPr>
          <w:ilvl w:val="0"/>
          <w:numId w:val="2"/>
        </w:numPr>
      </w:pPr>
      <w:r w:rsidRPr="00A415D3">
        <w:t>Issues to Address on Remand</w:t>
      </w:r>
    </w:p>
    <w:p w14:paraId="3F29F121" w14:textId="77777777" w:rsidR="00CF553B" w:rsidRPr="00A415D3" w:rsidRDefault="00AE6959" w:rsidP="00AA4257">
      <w:pPr>
        <w:ind w:firstLine="720"/>
        <w:rPr>
          <w:szCs w:val="26"/>
        </w:rPr>
      </w:pPr>
      <w:r w:rsidRPr="00A415D3">
        <w:rPr>
          <w:szCs w:val="26"/>
        </w:rPr>
        <w:t>As previously noted, Rodriguez was initially returned to the trial court pursuant to a timely-filed cert</w:t>
      </w:r>
      <w:r w:rsidRPr="00A415D3">
        <w:rPr>
          <w:szCs w:val="26"/>
        </w:rPr>
        <w:t xml:space="preserve">ificate of restoration to competency.  </w:t>
      </w:r>
      <w:r w:rsidRPr="00A415D3">
        <w:t>(See § 1372, subd. (a)(1), (3).)</w:t>
      </w:r>
    </w:p>
    <w:p w14:paraId="3F29F122" w14:textId="77777777" w:rsidR="00DF6E97" w:rsidRPr="00A415D3" w:rsidRDefault="00AE6959" w:rsidP="00AA4257">
      <w:pPr>
        <w:ind w:firstLine="720"/>
        <w:rPr>
          <w:szCs w:val="26"/>
        </w:rPr>
      </w:pPr>
      <w:r w:rsidRPr="00A415D3">
        <w:rPr>
          <w:szCs w:val="26"/>
        </w:rPr>
        <w:t>We have decided the issue of statutory interpretation presented, concluding that section </w:t>
      </w:r>
      <w:r w:rsidRPr="00A415D3">
        <w:t>1370(c)(1)’s two-year maximum commitment period continues past the filing of the certificate, t</w:t>
      </w:r>
      <w:r w:rsidRPr="00A415D3">
        <w:t>hrough the court’s decision whether to accept the certificate.</w:t>
      </w:r>
      <w:r>
        <w:rPr>
          <w:rStyle w:val="FootnoteReference"/>
        </w:rPr>
        <w:footnoteReference w:id="21"/>
      </w:r>
      <w:r w:rsidRPr="00A415D3">
        <w:t xml:space="preserve">  </w:t>
      </w:r>
      <w:r w:rsidR="006A00F7" w:rsidRPr="00A415D3">
        <w:t xml:space="preserve">We are not deciding, however, whether the two-year maximum commitment period was reached here as a result of Rodriguez’s aggregate </w:t>
      </w:r>
      <w:r w:rsidR="00C23F3D" w:rsidRPr="00A415D3">
        <w:t xml:space="preserve">periods of </w:t>
      </w:r>
      <w:r w:rsidR="006A00F7" w:rsidRPr="00A415D3">
        <w:t xml:space="preserve">commitment.  We instead leave that question for the Court of Appeal to address on remand.  </w:t>
      </w:r>
    </w:p>
    <w:p w14:paraId="3F29F123" w14:textId="77777777" w:rsidR="002A6F05" w:rsidRPr="00A415D3" w:rsidRDefault="00AE6959" w:rsidP="00AA4257">
      <w:pPr>
        <w:ind w:firstLine="720"/>
      </w:pPr>
      <w:r w:rsidRPr="00A415D3">
        <w:t>Because the Court of A</w:t>
      </w:r>
      <w:r w:rsidRPr="00A415D3">
        <w:t>ppeal concluded that section 1370(c)</w:t>
      </w:r>
      <w:r w:rsidR="00730D10" w:rsidRPr="00A415D3">
        <w:t>(1)</w:t>
      </w:r>
      <w:r w:rsidRPr="00A415D3">
        <w:t xml:space="preserve">’s two-year period had not run out, it did not need to </w:t>
      </w:r>
      <w:r w:rsidR="00BE6C95" w:rsidRPr="00A415D3">
        <w:t xml:space="preserve">reach </w:t>
      </w:r>
      <w:r w:rsidR="000E24BD">
        <w:t>whether Rodriguez was otherwise entitled to his</w:t>
      </w:r>
      <w:r w:rsidR="00BE6C95" w:rsidRPr="00A415D3">
        <w:t xml:space="preserve"> requested remedy.  It did not need to decide </w:t>
      </w:r>
      <w:r w:rsidRPr="00A415D3">
        <w:t xml:space="preserve">whether Rodriguez would have been entitled to dismissal if the </w:t>
      </w:r>
      <w:r w:rsidRPr="00A415D3">
        <w:t xml:space="preserve">period </w:t>
      </w:r>
      <w:r w:rsidRPr="00A415D3">
        <w:rPr>
          <w:i/>
          <w:iCs/>
        </w:rPr>
        <w:t>had</w:t>
      </w:r>
      <w:r w:rsidRPr="00A415D3">
        <w:t xml:space="preserve"> run out.  </w:t>
      </w:r>
      <w:r w:rsidR="00BE6C95" w:rsidRPr="00A415D3">
        <w:t xml:space="preserve">It did not need to decide whether expiration of the maximum commitment period under section 1370(c)(1) mandates release where the defendant is competent to stand trial.  </w:t>
      </w:r>
      <w:r w:rsidRPr="00A415D3">
        <w:t>The issue of what remedy is available when section 13</w:t>
      </w:r>
      <w:r w:rsidR="00730D10" w:rsidRPr="00A415D3">
        <w:t xml:space="preserve">70(c)(1)’s </w:t>
      </w:r>
      <w:r w:rsidRPr="00A415D3">
        <w:t>t</w:t>
      </w:r>
      <w:r w:rsidRPr="00A415D3">
        <w:t xml:space="preserve">wo-year period </w:t>
      </w:r>
      <w:r w:rsidR="00730D10" w:rsidRPr="00A415D3">
        <w:t>has run out — including whether release or conservatorship are the only appropriate remedies — was not briefed here.</w:t>
      </w:r>
    </w:p>
    <w:p w14:paraId="3F29F124" w14:textId="77777777" w:rsidR="00D03002" w:rsidRPr="00A415D3" w:rsidRDefault="00AE6959" w:rsidP="00D03002">
      <w:pPr>
        <w:ind w:firstLine="720"/>
        <w:rPr>
          <w:szCs w:val="26"/>
        </w:rPr>
      </w:pPr>
      <w:r w:rsidRPr="00A415D3">
        <w:t>We therefore conclude these issues merit consideration on remand to the Court of Appeal.  The appellate court may decide in the first instance what remedy exists if the two-year time limit has been reached — either as a matter of statutory interpretation o</w:t>
      </w:r>
      <w:r w:rsidRPr="00A415D3">
        <w:t xml:space="preserve">r as a constitutional matter.  (Cf. </w:t>
      </w:r>
      <w:r w:rsidRPr="00A415D3">
        <w:rPr>
          <w:i/>
          <w:iCs/>
        </w:rPr>
        <w:t>Jackson v. Superior Court</w:t>
      </w:r>
      <w:r w:rsidRPr="00A415D3">
        <w:t xml:space="preserve">, </w:t>
      </w:r>
      <w:r w:rsidRPr="00A415D3">
        <w:rPr>
          <w:i/>
          <w:iCs/>
        </w:rPr>
        <w:t>supra</w:t>
      </w:r>
      <w:r w:rsidRPr="00A415D3">
        <w:t>, 4 Cal.5th at p. </w:t>
      </w:r>
      <w:r w:rsidR="000B0C69">
        <w:t>10</w:t>
      </w:r>
      <w:r w:rsidR="00370CDA">
        <w:t>6</w:t>
      </w:r>
      <w:r w:rsidRPr="00A415D3">
        <w:t xml:space="preserve">; </w:t>
      </w:r>
      <w:r w:rsidRPr="00A415D3">
        <w:rPr>
          <w:i/>
          <w:iCs/>
        </w:rPr>
        <w:t>Camacho</w:t>
      </w:r>
      <w:r w:rsidRPr="00A415D3">
        <w:t xml:space="preserve">, </w:t>
      </w:r>
      <w:r w:rsidRPr="00A415D3">
        <w:rPr>
          <w:i/>
          <w:iCs/>
        </w:rPr>
        <w:t>supra</w:t>
      </w:r>
      <w:r w:rsidRPr="00A415D3">
        <w:t xml:space="preserve">, </w:t>
      </w:r>
      <w:r w:rsidRPr="00A415D3">
        <w:rPr>
          <w:shd w:val="clear" w:color="auto" w:fill="FFFFFF"/>
        </w:rPr>
        <w:t>15 Cal.5th at pp. </w:t>
      </w:r>
      <w:r w:rsidRPr="00A415D3">
        <w:t xml:space="preserve">378–379, 382 &amp; fn. 5 </w:t>
      </w:r>
      <w:r w:rsidRPr="00A415D3">
        <w:rPr>
          <w:szCs w:val="26"/>
        </w:rPr>
        <w:t xml:space="preserve">[noting </w:t>
      </w:r>
      <w:r w:rsidR="002A6F05" w:rsidRPr="00A415D3">
        <w:rPr>
          <w:szCs w:val="26"/>
        </w:rPr>
        <w:t>that courts in other contexts have suggested there may be other possible remedies for unconstitutional delay, such as an order that proceedings commence forthwith</w:t>
      </w:r>
      <w:r w:rsidRPr="00A415D3">
        <w:rPr>
          <w:szCs w:val="26"/>
        </w:rPr>
        <w:t>].)</w:t>
      </w:r>
    </w:p>
    <w:p w14:paraId="3F29F125" w14:textId="77777777" w:rsidR="00405FA5" w:rsidRPr="00A415D3" w:rsidRDefault="00AE6959" w:rsidP="00D03002">
      <w:pPr>
        <w:ind w:firstLine="720"/>
        <w:rPr>
          <w:szCs w:val="26"/>
        </w:rPr>
      </w:pPr>
      <w:r w:rsidRPr="00A415D3">
        <w:rPr>
          <w:szCs w:val="26"/>
        </w:rPr>
        <w:t>Similarly, we remand to the Court of Appeal to address whether section 1372 hearings may be continued upon good cause such that the period between continuances is tolled for purposes of calcul</w:t>
      </w:r>
      <w:r w:rsidRPr="00A415D3">
        <w:rPr>
          <w:szCs w:val="26"/>
        </w:rPr>
        <w:t xml:space="preserve">ating whether the maximum commitment term </w:t>
      </w:r>
      <w:r w:rsidR="003A3A23" w:rsidRPr="00A415D3">
        <w:rPr>
          <w:szCs w:val="26"/>
        </w:rPr>
        <w:t xml:space="preserve">under section 1370(c)(1) </w:t>
      </w:r>
      <w:r w:rsidRPr="00A415D3">
        <w:rPr>
          <w:szCs w:val="26"/>
        </w:rPr>
        <w:t xml:space="preserve">has been reached.  </w:t>
      </w:r>
      <w:r w:rsidR="00971976" w:rsidRPr="00A415D3">
        <w:rPr>
          <w:szCs w:val="26"/>
        </w:rPr>
        <w:t xml:space="preserve">Stated differently, we do not address here </w:t>
      </w:r>
      <w:r w:rsidR="00971976" w:rsidRPr="00A415D3">
        <w:t xml:space="preserve">whether the two-year clock of section 1370(c)(1) can be paused by good cause continuances that may arise during the period between a defendant’s return to court and the trial court’s determination of competence.  </w:t>
      </w:r>
      <w:r w:rsidRPr="00A415D3">
        <w:rPr>
          <w:szCs w:val="26"/>
        </w:rPr>
        <w:t>Although the issue is mentioned in the parties’ briefing before us, neither the trial court nor the Court of Appeal ruled on it.</w:t>
      </w:r>
      <w:r>
        <w:rPr>
          <w:rStyle w:val="FootnoteReference"/>
          <w:szCs w:val="26"/>
        </w:rPr>
        <w:footnoteReference w:id="22"/>
      </w:r>
      <w:r w:rsidRPr="00A415D3">
        <w:rPr>
          <w:szCs w:val="26"/>
        </w:rPr>
        <w:t xml:space="preserve">  This issue is best addressed in the context of the other issues that remain to be decided in the first instance by the Court of Appeal.  (See Cal. Rules of Court, rule 8.516(b)(3).)  </w:t>
      </w:r>
    </w:p>
    <w:p w14:paraId="3F29F126" w14:textId="77777777" w:rsidR="002A6F05" w:rsidRPr="00A415D3" w:rsidRDefault="00AE6959" w:rsidP="00AA4257">
      <w:pPr>
        <w:ind w:firstLine="720"/>
        <w:rPr>
          <w:szCs w:val="26"/>
        </w:rPr>
      </w:pPr>
      <w:r w:rsidRPr="00A415D3">
        <w:rPr>
          <w:szCs w:val="26"/>
        </w:rPr>
        <w:t>We express no view on whether Rodriguez</w:t>
      </w:r>
      <w:r w:rsidR="006A00F7" w:rsidRPr="00A415D3">
        <w:rPr>
          <w:szCs w:val="26"/>
        </w:rPr>
        <w:t xml:space="preserve"> has reached the maximum two-year commitment period; whether Rodriguez </w:t>
      </w:r>
      <w:r w:rsidRPr="00A415D3">
        <w:rPr>
          <w:szCs w:val="26"/>
        </w:rPr>
        <w:t>is entitled to the remedy of dismissal he seeks</w:t>
      </w:r>
      <w:r w:rsidR="006A00F7" w:rsidRPr="00A415D3">
        <w:rPr>
          <w:szCs w:val="26"/>
        </w:rPr>
        <w:t>;</w:t>
      </w:r>
      <w:r w:rsidRPr="00A415D3">
        <w:rPr>
          <w:szCs w:val="26"/>
        </w:rPr>
        <w:t xml:space="preserve"> or </w:t>
      </w:r>
      <w:r w:rsidR="006A00F7" w:rsidRPr="00A415D3">
        <w:rPr>
          <w:szCs w:val="26"/>
        </w:rPr>
        <w:t xml:space="preserve">whether and how the </w:t>
      </w:r>
      <w:r w:rsidRPr="00A415D3">
        <w:rPr>
          <w:szCs w:val="26"/>
        </w:rPr>
        <w:t>issue of tolling</w:t>
      </w:r>
      <w:r w:rsidR="006A00F7" w:rsidRPr="00A415D3">
        <w:rPr>
          <w:szCs w:val="26"/>
        </w:rPr>
        <w:t xml:space="preserve"> may </w:t>
      </w:r>
      <w:r w:rsidR="003A3A23" w:rsidRPr="00A415D3">
        <w:rPr>
          <w:szCs w:val="26"/>
        </w:rPr>
        <w:t>a</w:t>
      </w:r>
      <w:r w:rsidR="006A00F7" w:rsidRPr="00A415D3">
        <w:rPr>
          <w:szCs w:val="26"/>
        </w:rPr>
        <w:t>ffect Rodriguez’s entitlement to any relief</w:t>
      </w:r>
      <w:r w:rsidRPr="00A415D3">
        <w:rPr>
          <w:szCs w:val="26"/>
        </w:rPr>
        <w:t>.</w:t>
      </w:r>
      <w:r>
        <w:rPr>
          <w:rStyle w:val="FootnoteReference"/>
          <w:szCs w:val="26"/>
        </w:rPr>
        <w:footnoteReference w:id="23"/>
      </w:r>
      <w:r w:rsidRPr="00A415D3">
        <w:rPr>
          <w:szCs w:val="26"/>
        </w:rPr>
        <w:t xml:space="preserve">  </w:t>
      </w:r>
    </w:p>
    <w:p w14:paraId="3F29F127" w14:textId="77777777" w:rsidR="002B42A7" w:rsidRPr="00A415D3" w:rsidRDefault="00AE6959" w:rsidP="00560442">
      <w:pPr>
        <w:pStyle w:val="Heading1"/>
      </w:pPr>
      <w:bookmarkStart w:id="14" w:name="_Toc111570377"/>
      <w:r w:rsidRPr="00A415D3">
        <w:t xml:space="preserve">III.  </w:t>
      </w:r>
      <w:bookmarkEnd w:id="14"/>
      <w:r w:rsidR="003841BE" w:rsidRPr="00A415D3">
        <w:t>Conclusion</w:t>
      </w:r>
    </w:p>
    <w:p w14:paraId="3F29F128" w14:textId="77777777" w:rsidR="0030714E" w:rsidRPr="00A415D3" w:rsidRDefault="00AE6959" w:rsidP="00560442">
      <w:pPr>
        <w:ind w:firstLine="720"/>
      </w:pPr>
      <w:r w:rsidRPr="00A415D3">
        <w:t>W</w:t>
      </w:r>
      <w:r w:rsidR="00E964C3" w:rsidRPr="00A415D3">
        <w:t>e hold that</w:t>
      </w:r>
      <w:r w:rsidR="00E44018" w:rsidRPr="00A415D3">
        <w:t xml:space="preserve"> an incompetency commitment does not end with </w:t>
      </w:r>
      <w:r w:rsidR="005D4602" w:rsidRPr="00A415D3">
        <w:t>the</w:t>
      </w:r>
      <w:r w:rsidR="00E44018" w:rsidRPr="00A415D3">
        <w:t xml:space="preserve"> filing of a certificate of restoration</w:t>
      </w:r>
      <w:r w:rsidR="00E964C3" w:rsidRPr="00A415D3">
        <w:t xml:space="preserve">.  </w:t>
      </w:r>
      <w:r w:rsidR="00E44018" w:rsidRPr="00A415D3">
        <w:t xml:space="preserve">Instead, </w:t>
      </w:r>
      <w:r w:rsidR="000828D0" w:rsidRPr="00A415D3">
        <w:t xml:space="preserve">the two-year maximum commitment period set by </w:t>
      </w:r>
      <w:r w:rsidR="00B43026">
        <w:t xml:space="preserve">Penal Code </w:t>
      </w:r>
      <w:r w:rsidR="000828D0" w:rsidRPr="00A415D3">
        <w:t>section</w:t>
      </w:r>
      <w:r w:rsidR="00BA7D4B">
        <w:t> </w:t>
      </w:r>
      <w:r w:rsidR="000828D0" w:rsidRPr="00A415D3">
        <w:t xml:space="preserve">1370(c)(1) continues past the filing of the certificate and </w:t>
      </w:r>
      <w:r w:rsidR="00954C06" w:rsidRPr="00A415D3">
        <w:t>includes</w:t>
      </w:r>
      <w:r w:rsidR="000828D0" w:rsidRPr="00A415D3">
        <w:t xml:space="preserve"> the time between such filing and the court’s decision whether to accept the certificate</w:t>
      </w:r>
      <w:r w:rsidR="00E44018" w:rsidRPr="00A415D3">
        <w:t xml:space="preserve">.  Accordingly, </w:t>
      </w:r>
      <w:r w:rsidR="00DE1F8A" w:rsidRPr="00A415D3">
        <w:t xml:space="preserve">we </w:t>
      </w:r>
      <w:r w:rsidR="00E964C3" w:rsidRPr="00A415D3">
        <w:t xml:space="preserve">reverse the </w:t>
      </w:r>
      <w:r w:rsidR="007E3496" w:rsidRPr="00A415D3">
        <w:t xml:space="preserve">judgment of the </w:t>
      </w:r>
      <w:r w:rsidR="00E964C3" w:rsidRPr="00A415D3">
        <w:t>Court of Appeal and remand the matter for further proceedings consistent with this opinion</w:t>
      </w:r>
      <w:r w:rsidR="007264C6" w:rsidRPr="00A415D3">
        <w:t>.</w:t>
      </w:r>
    </w:p>
    <w:p w14:paraId="3F29F129" w14:textId="77777777" w:rsidR="00AA698D" w:rsidRPr="00A415D3" w:rsidRDefault="00AE6959" w:rsidP="00560442">
      <w:pPr>
        <w:ind w:firstLine="720"/>
        <w:rPr>
          <w:szCs w:val="26"/>
        </w:rPr>
      </w:pPr>
      <w:r w:rsidRPr="00A415D3">
        <w:t>Upon remand, the court shall consider whether the two-year limit of section 1370(c)(1) was excee</w:t>
      </w:r>
      <w:r w:rsidRPr="00A415D3">
        <w:t xml:space="preserve">ded in this case.  To answer that question, the court </w:t>
      </w:r>
      <w:r w:rsidR="00954C06" w:rsidRPr="00A415D3">
        <w:t>may</w:t>
      </w:r>
      <w:r w:rsidRPr="00A415D3">
        <w:t xml:space="preserve"> consider whether good cause continuances can toll the limit of section 1370(c)(1).  </w:t>
      </w:r>
      <w:r w:rsidR="00437C73" w:rsidRPr="00A415D3">
        <w:t xml:space="preserve">(Cf. </w:t>
      </w:r>
      <w:r w:rsidR="00437C73" w:rsidRPr="00A415D3">
        <w:rPr>
          <w:i/>
          <w:iCs/>
        </w:rPr>
        <w:t>Camacho</w:t>
      </w:r>
      <w:r w:rsidR="00437C73" w:rsidRPr="00A415D3">
        <w:t xml:space="preserve">, </w:t>
      </w:r>
      <w:r w:rsidR="00437C73" w:rsidRPr="00A415D3">
        <w:rPr>
          <w:i/>
          <w:iCs/>
        </w:rPr>
        <w:t>supra</w:t>
      </w:r>
      <w:r w:rsidR="00437C73" w:rsidRPr="00A415D3">
        <w:t xml:space="preserve">, </w:t>
      </w:r>
      <w:r w:rsidR="00726D84" w:rsidRPr="00A415D3">
        <w:rPr>
          <w:shd w:val="clear" w:color="auto" w:fill="FFFFFF"/>
        </w:rPr>
        <w:t>15 Cal.5th at pp. </w:t>
      </w:r>
      <w:r w:rsidR="00726D84" w:rsidRPr="00A415D3">
        <w:t>378–379</w:t>
      </w:r>
      <w:r w:rsidR="00437C73" w:rsidRPr="00A415D3">
        <w:t xml:space="preserve">.)  </w:t>
      </w:r>
      <w:r w:rsidRPr="00A415D3">
        <w:t xml:space="preserve">If the court finds that the two-year statutory period has </w:t>
      </w:r>
      <w:r w:rsidRPr="00A415D3">
        <w:t xml:space="preserve">indeed been exceeded, it shall further consider the nature of the remedy Rodriguez is entitled to at this point.  In particular, the court should examine whether Rodriguez is entitled to dismissal of the charges pending against him or whether other relief </w:t>
      </w:r>
      <w:r w:rsidRPr="00A415D3">
        <w:t>is appropriate.</w:t>
      </w:r>
      <w:r w:rsidR="00437C73" w:rsidRPr="00A415D3">
        <w:t xml:space="preserve">  (</w:t>
      </w:r>
      <w:r w:rsidR="00E15DD7" w:rsidRPr="00A415D3">
        <w:t>Cf.</w:t>
      </w:r>
      <w:r w:rsidR="00D04545" w:rsidRPr="00A415D3">
        <w:t xml:space="preserve"> </w:t>
      </w:r>
      <w:r w:rsidR="00D04545" w:rsidRPr="00A415D3">
        <w:rPr>
          <w:i/>
          <w:iCs/>
        </w:rPr>
        <w:t>Camacho</w:t>
      </w:r>
      <w:r w:rsidR="00D04545" w:rsidRPr="00A415D3">
        <w:t xml:space="preserve">, at p. 382, fn. 5; </w:t>
      </w:r>
      <w:r w:rsidR="00437C73" w:rsidRPr="00A415D3">
        <w:rPr>
          <w:i/>
          <w:iCs/>
        </w:rPr>
        <w:t>Jackson v. Superior Court</w:t>
      </w:r>
      <w:r w:rsidR="00437C73" w:rsidRPr="00A415D3">
        <w:t xml:space="preserve">, </w:t>
      </w:r>
      <w:r w:rsidR="00437C73" w:rsidRPr="00A415D3">
        <w:rPr>
          <w:i/>
          <w:iCs/>
        </w:rPr>
        <w:t>supra</w:t>
      </w:r>
      <w:r w:rsidR="00437C73" w:rsidRPr="00A415D3">
        <w:t xml:space="preserve">, </w:t>
      </w:r>
      <w:r w:rsidR="00934492" w:rsidRPr="00A415D3">
        <w:t>4</w:t>
      </w:r>
      <w:r w:rsidR="006174BD">
        <w:t> </w:t>
      </w:r>
      <w:r w:rsidR="00934492" w:rsidRPr="00A415D3">
        <w:t>Cal.5th at p. 106 [</w:t>
      </w:r>
      <w:r w:rsidR="00E15DD7" w:rsidRPr="00A415D3">
        <w:t xml:space="preserve">holding that </w:t>
      </w:r>
      <w:r w:rsidR="00934492" w:rsidRPr="00A415D3">
        <w:t>“</w:t>
      </w:r>
      <w:r w:rsidR="00E15DD7" w:rsidRPr="00A415D3">
        <w:t>a defendant may be rearrested, and a trial court may order a new competency hearing, following the prosecution’s dismissal and refiling of felony charges pursuant to section 1387 even if the defendant was previously committed for [the statutory maximum period permitted by section 1370(c)(1)]</w:t>
      </w:r>
      <w:r w:rsidR="00934492" w:rsidRPr="00A415D3">
        <w:t>”]</w:t>
      </w:r>
      <w:r w:rsidR="00437C73" w:rsidRPr="00A415D3">
        <w:t>.)</w:t>
      </w:r>
    </w:p>
    <w:p w14:paraId="3F29F12A" w14:textId="77777777" w:rsidR="003267AF" w:rsidRPr="00A415D3" w:rsidRDefault="00AE6959" w:rsidP="007264C6">
      <w:pPr>
        <w:tabs>
          <w:tab w:val="left" w:pos="1440"/>
        </w:tabs>
        <w:jc w:val="right"/>
        <w:rPr>
          <w:b/>
          <w:bCs/>
        </w:rPr>
      </w:pPr>
      <w:r w:rsidRPr="00A415D3">
        <w:rPr>
          <w:b/>
          <w:bCs/>
        </w:rPr>
        <w:tab/>
      </w:r>
      <w:r w:rsidRPr="00A415D3">
        <w:rPr>
          <w:b/>
          <w:bCs/>
        </w:rPr>
        <w:tab/>
      </w:r>
      <w:r w:rsidRPr="00A415D3">
        <w:rPr>
          <w:b/>
          <w:bCs/>
        </w:rPr>
        <w:tab/>
      </w:r>
      <w:r w:rsidRPr="00A415D3">
        <w:rPr>
          <w:b/>
          <w:bCs/>
        </w:rPr>
        <w:tab/>
      </w:r>
      <w:r w:rsidRPr="00A415D3">
        <w:rPr>
          <w:b/>
          <w:bCs/>
        </w:rPr>
        <w:tab/>
      </w:r>
      <w:r w:rsidRPr="00A415D3">
        <w:rPr>
          <w:b/>
          <w:bCs/>
        </w:rPr>
        <w:tab/>
      </w:r>
      <w:r w:rsidRPr="00A415D3">
        <w:rPr>
          <w:b/>
          <w:bCs/>
        </w:rPr>
        <w:tab/>
      </w:r>
      <w:r w:rsidRPr="00A415D3">
        <w:rPr>
          <w:b/>
          <w:bCs/>
        </w:rPr>
        <w:tab/>
      </w:r>
      <w:r w:rsidR="00585A90" w:rsidRPr="00A415D3">
        <w:rPr>
          <w:b/>
          <w:bCs/>
        </w:rPr>
        <w:t>GUERRERO</w:t>
      </w:r>
      <w:r w:rsidR="005D24C9" w:rsidRPr="00A415D3">
        <w:rPr>
          <w:b/>
          <w:bCs/>
        </w:rPr>
        <w:t xml:space="preserve">, </w:t>
      </w:r>
      <w:r w:rsidR="00585A90" w:rsidRPr="00A415D3">
        <w:rPr>
          <w:b/>
          <w:bCs/>
        </w:rPr>
        <w:t>C.</w:t>
      </w:r>
      <w:r w:rsidR="00B737CA" w:rsidRPr="00A415D3">
        <w:rPr>
          <w:b/>
          <w:bCs/>
        </w:rPr>
        <w:t> </w:t>
      </w:r>
      <w:r w:rsidR="005D24C9" w:rsidRPr="00A415D3">
        <w:rPr>
          <w:b/>
          <w:bCs/>
        </w:rPr>
        <w:t>J.</w:t>
      </w:r>
    </w:p>
    <w:p w14:paraId="3F29F12B" w14:textId="77777777" w:rsidR="003D5DE7" w:rsidRDefault="00AE6959" w:rsidP="00A1623B">
      <w:pPr>
        <w:keepNext/>
        <w:spacing w:before="240"/>
        <w:jc w:val="left"/>
        <w:rPr>
          <w:rStyle w:val="normaltextrun"/>
          <w:rFonts w:cstheme="minorHAnsi"/>
          <w:b/>
          <w:szCs w:val="26"/>
          <w:shd w:val="clear" w:color="auto" w:fill="FFFFFF"/>
        </w:rPr>
      </w:pPr>
      <w:r w:rsidRPr="00A415D3">
        <w:rPr>
          <w:rStyle w:val="normaltextrun"/>
          <w:rFonts w:cstheme="minorHAnsi"/>
          <w:b/>
          <w:szCs w:val="26"/>
          <w:shd w:val="clear" w:color="auto" w:fill="FFFFFF"/>
        </w:rPr>
        <w:t>We Concur:</w:t>
      </w:r>
      <w:bookmarkStart w:id="15" w:name="date"/>
      <w:bookmarkEnd w:id="15"/>
    </w:p>
    <w:p w14:paraId="3F29F12C" w14:textId="77777777" w:rsidR="00B3431F" w:rsidRDefault="00AE6959" w:rsidP="00B3431F">
      <w:pPr>
        <w:spacing w:after="0" w:line="240" w:lineRule="auto"/>
        <w:rPr>
          <w:b/>
          <w:lang w:val="it-IT"/>
        </w:rPr>
      </w:pPr>
      <w:r w:rsidRPr="000413AA">
        <w:rPr>
          <w:b/>
          <w:lang w:val="it-IT"/>
        </w:rPr>
        <w:t>CORRIGAN, J.</w:t>
      </w:r>
    </w:p>
    <w:p w14:paraId="3F29F12D" w14:textId="77777777" w:rsidR="00B3431F" w:rsidRDefault="00AE6959" w:rsidP="00B3431F">
      <w:pPr>
        <w:spacing w:after="0" w:line="240" w:lineRule="auto"/>
        <w:rPr>
          <w:b/>
          <w:lang w:val="it-IT"/>
        </w:rPr>
      </w:pPr>
      <w:r>
        <w:rPr>
          <w:b/>
          <w:lang w:val="it-IT"/>
        </w:rPr>
        <w:t>LIU, J.</w:t>
      </w:r>
    </w:p>
    <w:p w14:paraId="3F29F12E" w14:textId="77777777" w:rsidR="00B3431F" w:rsidRPr="000413AA" w:rsidRDefault="00AE6959" w:rsidP="00B3431F">
      <w:pPr>
        <w:spacing w:after="0" w:line="240" w:lineRule="auto"/>
        <w:rPr>
          <w:b/>
          <w:lang w:val="it-IT"/>
        </w:rPr>
      </w:pPr>
      <w:r>
        <w:rPr>
          <w:b/>
          <w:lang w:val="it-IT"/>
        </w:rPr>
        <w:t>KRUGER, J.</w:t>
      </w:r>
    </w:p>
    <w:p w14:paraId="3F29F12F" w14:textId="77777777" w:rsidR="00B3431F" w:rsidRPr="000413AA" w:rsidRDefault="00AE6959" w:rsidP="00B3431F">
      <w:pPr>
        <w:spacing w:after="0" w:line="240" w:lineRule="auto"/>
        <w:jc w:val="left"/>
        <w:rPr>
          <w:b/>
        </w:rPr>
      </w:pPr>
      <w:r w:rsidRPr="000413AA">
        <w:rPr>
          <w:b/>
        </w:rPr>
        <w:t>GROBAN, J.</w:t>
      </w:r>
    </w:p>
    <w:p w14:paraId="3F29F130" w14:textId="77777777" w:rsidR="00B3431F" w:rsidRPr="000413AA" w:rsidRDefault="00AE6959" w:rsidP="00B3431F">
      <w:pPr>
        <w:spacing w:after="0" w:line="240" w:lineRule="auto"/>
        <w:jc w:val="left"/>
        <w:rPr>
          <w:b/>
        </w:rPr>
      </w:pPr>
      <w:r w:rsidRPr="000413AA">
        <w:rPr>
          <w:b/>
        </w:rPr>
        <w:t>JENKINS, J.</w:t>
      </w:r>
    </w:p>
    <w:p w14:paraId="3F29F131" w14:textId="77777777" w:rsidR="00B3431F" w:rsidRDefault="00AE6959" w:rsidP="00B3431F">
      <w:pPr>
        <w:spacing w:after="0" w:line="240" w:lineRule="auto"/>
        <w:jc w:val="left"/>
        <w:rPr>
          <w:b/>
        </w:rPr>
      </w:pPr>
      <w:r w:rsidRPr="000413AA">
        <w:rPr>
          <w:b/>
        </w:rPr>
        <w:t>EVANS, J.</w:t>
      </w:r>
    </w:p>
    <w:p w14:paraId="0A44886A" w14:textId="77777777" w:rsidR="00EA1FBE" w:rsidRDefault="00EA1FBE" w:rsidP="00B3431F">
      <w:pPr>
        <w:spacing w:after="0" w:line="240" w:lineRule="auto"/>
        <w:jc w:val="left"/>
        <w:rPr>
          <w:rStyle w:val="normaltextrun"/>
          <w:b/>
        </w:rPr>
        <w:sectPr w:rsidR="00EA1FBE" w:rsidSect="00560442">
          <w:footerReference w:type="first" r:id="rId10"/>
          <w:pgSz w:w="12240" w:h="15840"/>
          <w:pgMar w:top="1800" w:right="2160" w:bottom="1440" w:left="2160" w:header="720" w:footer="720" w:gutter="0"/>
          <w:pgNumType w:start="1"/>
          <w:cols w:space="720"/>
          <w:titlePg/>
          <w:docGrid w:linePitch="367"/>
        </w:sectPr>
      </w:pPr>
    </w:p>
    <w:p w14:paraId="13E41FAE" w14:textId="77777777" w:rsidR="003B657C" w:rsidRPr="003B657C" w:rsidRDefault="00AE6959" w:rsidP="003B657C">
      <w:pPr>
        <w:spacing w:after="0" w:line="240" w:lineRule="auto"/>
        <w:jc w:val="left"/>
        <w:rPr>
          <w:i/>
          <w:sz w:val="24"/>
          <w:szCs w:val="24"/>
        </w:rPr>
      </w:pPr>
      <w:r w:rsidRPr="003B657C">
        <w:rPr>
          <w:i/>
          <w:sz w:val="24"/>
          <w:szCs w:val="24"/>
        </w:rPr>
        <w:t>See next page for addresses and telephone numbers for counsel who argued in Supreme Court.</w:t>
      </w:r>
    </w:p>
    <w:p w14:paraId="31A01A2C" w14:textId="77777777" w:rsidR="003B657C" w:rsidRPr="003B657C" w:rsidRDefault="003B657C" w:rsidP="003B657C">
      <w:pPr>
        <w:spacing w:after="0" w:line="240" w:lineRule="auto"/>
        <w:jc w:val="left"/>
        <w:rPr>
          <w:i/>
          <w:sz w:val="24"/>
          <w:szCs w:val="24"/>
        </w:rPr>
      </w:pPr>
    </w:p>
    <w:p w14:paraId="6618DA28" w14:textId="77777777" w:rsidR="003B657C" w:rsidRPr="003B657C" w:rsidRDefault="00AE6959" w:rsidP="003B657C">
      <w:pPr>
        <w:spacing w:after="0" w:line="240" w:lineRule="auto"/>
        <w:jc w:val="left"/>
        <w:rPr>
          <w:bCs/>
          <w:sz w:val="24"/>
          <w:szCs w:val="24"/>
        </w:rPr>
      </w:pPr>
      <w:r w:rsidRPr="003B657C">
        <w:rPr>
          <w:b/>
          <w:sz w:val="24"/>
          <w:szCs w:val="24"/>
        </w:rPr>
        <w:t xml:space="preserve">Name of Opinion  </w:t>
      </w:r>
      <w:r w:rsidRPr="003B657C">
        <w:rPr>
          <w:bCs/>
          <w:sz w:val="24"/>
          <w:szCs w:val="24"/>
        </w:rPr>
        <w:t>Rodriguez v. Superior Court</w:t>
      </w:r>
    </w:p>
    <w:p w14:paraId="62761801" w14:textId="77777777" w:rsidR="003B657C" w:rsidRPr="003B657C" w:rsidRDefault="00AE6959" w:rsidP="003B657C">
      <w:pPr>
        <w:spacing w:after="0" w:line="240" w:lineRule="auto"/>
        <w:jc w:val="left"/>
        <w:rPr>
          <w:b/>
          <w:sz w:val="24"/>
          <w:szCs w:val="24"/>
        </w:rPr>
      </w:pPr>
      <w:r w:rsidRPr="003B657C">
        <w:rPr>
          <w:b/>
          <w:sz w:val="24"/>
          <w:szCs w:val="24"/>
        </w:rPr>
        <w:t xml:space="preserve">__________________________________________________________ </w:t>
      </w:r>
    </w:p>
    <w:p w14:paraId="6783D8A5" w14:textId="77777777" w:rsidR="003B657C" w:rsidRPr="003B657C" w:rsidRDefault="003B657C" w:rsidP="003B657C">
      <w:pPr>
        <w:spacing w:after="0" w:line="240" w:lineRule="auto"/>
        <w:jc w:val="left"/>
        <w:rPr>
          <w:b/>
          <w:sz w:val="24"/>
          <w:szCs w:val="24"/>
        </w:rPr>
      </w:pPr>
    </w:p>
    <w:p w14:paraId="481B1C90" w14:textId="77777777" w:rsidR="003B657C" w:rsidRPr="003B657C" w:rsidRDefault="00AE6959" w:rsidP="003B657C">
      <w:pPr>
        <w:spacing w:after="0" w:line="240" w:lineRule="auto"/>
        <w:jc w:val="left"/>
        <w:rPr>
          <w:sz w:val="24"/>
          <w:szCs w:val="24"/>
        </w:rPr>
      </w:pPr>
      <w:r w:rsidRPr="003B657C">
        <w:rPr>
          <w:b/>
          <w:bCs/>
          <w:sz w:val="24"/>
          <w:szCs w:val="24"/>
          <w:u w:val="single"/>
        </w:rPr>
        <w:t>Procedural Posture</w:t>
      </w:r>
      <w:r w:rsidRPr="003B657C">
        <w:rPr>
          <w:b/>
          <w:bCs/>
          <w:sz w:val="24"/>
          <w:szCs w:val="24"/>
        </w:rPr>
        <w:t xml:space="preserve"> </w:t>
      </w:r>
      <w:r w:rsidRPr="003B657C">
        <w:rPr>
          <w:sz w:val="24"/>
          <w:szCs w:val="24"/>
        </w:rPr>
        <w:t>(see XX below)</w:t>
      </w:r>
    </w:p>
    <w:p w14:paraId="5323AC5C" w14:textId="77777777" w:rsidR="003B657C" w:rsidRPr="003B657C" w:rsidRDefault="00AE6959" w:rsidP="003B657C">
      <w:pPr>
        <w:spacing w:after="0" w:line="240" w:lineRule="auto"/>
        <w:jc w:val="left"/>
        <w:rPr>
          <w:sz w:val="24"/>
          <w:szCs w:val="24"/>
        </w:rPr>
      </w:pPr>
      <w:r w:rsidRPr="003B657C">
        <w:rPr>
          <w:b/>
          <w:bCs/>
          <w:sz w:val="24"/>
          <w:szCs w:val="24"/>
        </w:rPr>
        <w:t>Original Appeal</w:t>
      </w:r>
      <w:r w:rsidRPr="003B657C">
        <w:rPr>
          <w:sz w:val="24"/>
          <w:szCs w:val="24"/>
        </w:rPr>
        <w:t xml:space="preserve"> </w:t>
      </w:r>
    </w:p>
    <w:p w14:paraId="1A981C6B" w14:textId="77777777" w:rsidR="003B657C" w:rsidRPr="003B657C" w:rsidRDefault="00AE6959" w:rsidP="003B657C">
      <w:pPr>
        <w:spacing w:after="0" w:line="240" w:lineRule="auto"/>
        <w:jc w:val="left"/>
        <w:rPr>
          <w:b/>
          <w:bCs/>
          <w:sz w:val="24"/>
          <w:szCs w:val="24"/>
        </w:rPr>
      </w:pPr>
      <w:r w:rsidRPr="003B657C">
        <w:rPr>
          <w:b/>
          <w:bCs/>
          <w:sz w:val="24"/>
          <w:szCs w:val="24"/>
        </w:rPr>
        <w:t>Original Proceeding</w:t>
      </w:r>
    </w:p>
    <w:p w14:paraId="5886E3ED" w14:textId="77777777" w:rsidR="003B657C" w:rsidRPr="003B657C" w:rsidRDefault="00AE6959" w:rsidP="003B657C">
      <w:pPr>
        <w:spacing w:after="0" w:line="240" w:lineRule="auto"/>
        <w:jc w:val="left"/>
        <w:rPr>
          <w:sz w:val="24"/>
          <w:szCs w:val="24"/>
        </w:rPr>
      </w:pPr>
      <w:r w:rsidRPr="003B657C">
        <w:rPr>
          <w:b/>
          <w:bCs/>
          <w:sz w:val="24"/>
          <w:szCs w:val="24"/>
        </w:rPr>
        <w:t>Review Granted</w:t>
      </w:r>
      <w:r w:rsidRPr="003B657C">
        <w:rPr>
          <w:sz w:val="24"/>
          <w:szCs w:val="24"/>
        </w:rPr>
        <w:t xml:space="preserve"> </w:t>
      </w:r>
      <w:r w:rsidRPr="003B657C">
        <w:rPr>
          <w:b/>
          <w:bCs/>
          <w:sz w:val="24"/>
          <w:szCs w:val="24"/>
        </w:rPr>
        <w:t xml:space="preserve">(published) </w:t>
      </w:r>
      <w:r w:rsidRPr="003B657C">
        <w:rPr>
          <w:sz w:val="24"/>
          <w:szCs w:val="24"/>
        </w:rPr>
        <w:t>XX 70 Cal.App.5th 628</w:t>
      </w:r>
    </w:p>
    <w:p w14:paraId="49E2D7A2" w14:textId="77777777" w:rsidR="003B657C" w:rsidRPr="003B657C" w:rsidRDefault="00AE6959" w:rsidP="003B657C">
      <w:pPr>
        <w:spacing w:after="0" w:line="240" w:lineRule="auto"/>
        <w:jc w:val="left"/>
        <w:rPr>
          <w:sz w:val="24"/>
          <w:szCs w:val="24"/>
        </w:rPr>
      </w:pPr>
      <w:r w:rsidRPr="003B657C">
        <w:rPr>
          <w:b/>
          <w:bCs/>
          <w:sz w:val="24"/>
          <w:szCs w:val="24"/>
        </w:rPr>
        <w:t xml:space="preserve">Review Granted (unpublished) </w:t>
      </w:r>
    </w:p>
    <w:p w14:paraId="1E774835" w14:textId="77777777" w:rsidR="003B657C" w:rsidRPr="003B657C" w:rsidRDefault="00AE6959" w:rsidP="003B657C">
      <w:pPr>
        <w:spacing w:after="0" w:line="240" w:lineRule="auto"/>
        <w:jc w:val="left"/>
        <w:rPr>
          <w:b/>
          <w:bCs/>
          <w:sz w:val="24"/>
          <w:szCs w:val="24"/>
        </w:rPr>
      </w:pPr>
      <w:r w:rsidRPr="003B657C">
        <w:rPr>
          <w:b/>
          <w:bCs/>
          <w:sz w:val="24"/>
          <w:szCs w:val="24"/>
        </w:rPr>
        <w:t>Rehearing Granted</w:t>
      </w:r>
    </w:p>
    <w:p w14:paraId="6119D160" w14:textId="77777777" w:rsidR="003B657C" w:rsidRPr="003B657C" w:rsidRDefault="00AE6959" w:rsidP="003B657C">
      <w:pPr>
        <w:spacing w:after="0" w:line="240" w:lineRule="auto"/>
        <w:jc w:val="left"/>
        <w:rPr>
          <w:b/>
          <w:sz w:val="24"/>
          <w:szCs w:val="24"/>
        </w:rPr>
      </w:pPr>
      <w:r w:rsidRPr="003B657C">
        <w:rPr>
          <w:b/>
          <w:sz w:val="24"/>
          <w:szCs w:val="24"/>
        </w:rPr>
        <w:t xml:space="preserve">__________________________________________________________ </w:t>
      </w:r>
    </w:p>
    <w:p w14:paraId="36822B97" w14:textId="77777777" w:rsidR="003B657C" w:rsidRPr="003B657C" w:rsidRDefault="003B657C" w:rsidP="003B657C">
      <w:pPr>
        <w:spacing w:after="0" w:line="240" w:lineRule="auto"/>
        <w:jc w:val="left"/>
        <w:rPr>
          <w:b/>
          <w:sz w:val="24"/>
          <w:szCs w:val="24"/>
        </w:rPr>
      </w:pPr>
    </w:p>
    <w:p w14:paraId="3ACEFFEB" w14:textId="77777777" w:rsidR="003B657C" w:rsidRPr="003B657C" w:rsidRDefault="00AE6959" w:rsidP="003B657C">
      <w:pPr>
        <w:spacing w:after="0" w:line="240" w:lineRule="auto"/>
        <w:jc w:val="left"/>
        <w:rPr>
          <w:bCs/>
          <w:sz w:val="24"/>
          <w:szCs w:val="24"/>
        </w:rPr>
      </w:pPr>
      <w:r w:rsidRPr="003B657C">
        <w:rPr>
          <w:b/>
          <w:sz w:val="24"/>
          <w:szCs w:val="24"/>
        </w:rPr>
        <w:t>Opinion No.</w:t>
      </w:r>
      <w:r w:rsidRPr="003B657C">
        <w:rPr>
          <w:sz w:val="24"/>
          <w:szCs w:val="24"/>
        </w:rPr>
        <w:t xml:space="preserve"> S272129</w:t>
      </w:r>
    </w:p>
    <w:p w14:paraId="323CBFD3" w14:textId="77777777" w:rsidR="003B657C" w:rsidRPr="003B657C" w:rsidRDefault="00AE6959" w:rsidP="003B657C">
      <w:pPr>
        <w:spacing w:after="0" w:line="240" w:lineRule="auto"/>
        <w:jc w:val="left"/>
        <w:rPr>
          <w:bCs/>
          <w:sz w:val="24"/>
          <w:szCs w:val="24"/>
        </w:rPr>
      </w:pPr>
      <w:r w:rsidRPr="003B657C">
        <w:rPr>
          <w:b/>
          <w:sz w:val="24"/>
          <w:szCs w:val="24"/>
        </w:rPr>
        <w:t>Date Filed:</w:t>
      </w:r>
      <w:r w:rsidRPr="003B657C">
        <w:rPr>
          <w:sz w:val="24"/>
          <w:szCs w:val="24"/>
        </w:rPr>
        <w:t xml:space="preserve">  December 14, 2023</w:t>
      </w:r>
    </w:p>
    <w:p w14:paraId="5F97D93E" w14:textId="77777777" w:rsidR="003B657C" w:rsidRPr="003B657C" w:rsidRDefault="00AE6959" w:rsidP="003B657C">
      <w:pPr>
        <w:spacing w:after="0" w:line="240" w:lineRule="auto"/>
        <w:jc w:val="left"/>
        <w:rPr>
          <w:b/>
          <w:sz w:val="24"/>
          <w:szCs w:val="24"/>
        </w:rPr>
      </w:pPr>
      <w:r w:rsidRPr="003B657C">
        <w:rPr>
          <w:b/>
          <w:sz w:val="24"/>
          <w:szCs w:val="24"/>
        </w:rPr>
        <w:t xml:space="preserve">__________________________________________________________ </w:t>
      </w:r>
    </w:p>
    <w:p w14:paraId="5F760653" w14:textId="77777777" w:rsidR="003B657C" w:rsidRPr="003B657C" w:rsidRDefault="003B657C" w:rsidP="003B657C">
      <w:pPr>
        <w:spacing w:after="0" w:line="240" w:lineRule="auto"/>
        <w:jc w:val="left"/>
        <w:rPr>
          <w:b/>
          <w:sz w:val="24"/>
          <w:szCs w:val="24"/>
        </w:rPr>
      </w:pPr>
    </w:p>
    <w:p w14:paraId="4DDD8015" w14:textId="77777777" w:rsidR="003B657C" w:rsidRPr="003B657C" w:rsidRDefault="00AE6959" w:rsidP="003B657C">
      <w:pPr>
        <w:spacing w:after="0" w:line="240" w:lineRule="auto"/>
        <w:jc w:val="left"/>
        <w:rPr>
          <w:bCs/>
          <w:sz w:val="24"/>
          <w:szCs w:val="24"/>
        </w:rPr>
      </w:pPr>
      <w:r w:rsidRPr="003B657C">
        <w:rPr>
          <w:b/>
          <w:sz w:val="24"/>
          <w:szCs w:val="24"/>
        </w:rPr>
        <w:t xml:space="preserve">Court:  </w:t>
      </w:r>
      <w:r w:rsidRPr="003B657C">
        <w:rPr>
          <w:bCs/>
          <w:sz w:val="24"/>
          <w:szCs w:val="24"/>
        </w:rPr>
        <w:t>Superior</w:t>
      </w:r>
      <w:r w:rsidRPr="003B657C">
        <w:rPr>
          <w:b/>
          <w:sz w:val="24"/>
          <w:szCs w:val="24"/>
        </w:rPr>
        <w:t xml:space="preserve"> </w:t>
      </w:r>
    </w:p>
    <w:p w14:paraId="45878EFA" w14:textId="77777777" w:rsidR="003B657C" w:rsidRPr="003B657C" w:rsidRDefault="00AE6959" w:rsidP="003B657C">
      <w:pPr>
        <w:spacing w:after="0" w:line="240" w:lineRule="auto"/>
        <w:jc w:val="left"/>
        <w:rPr>
          <w:bCs/>
          <w:sz w:val="24"/>
          <w:szCs w:val="24"/>
        </w:rPr>
      </w:pPr>
      <w:r w:rsidRPr="003B657C">
        <w:rPr>
          <w:b/>
          <w:sz w:val="24"/>
          <w:szCs w:val="24"/>
        </w:rPr>
        <w:t xml:space="preserve">County:  </w:t>
      </w:r>
      <w:r w:rsidRPr="003B657C">
        <w:rPr>
          <w:bCs/>
          <w:sz w:val="24"/>
          <w:szCs w:val="24"/>
        </w:rPr>
        <w:t>Santa Clara</w:t>
      </w:r>
    </w:p>
    <w:p w14:paraId="7C84F57E" w14:textId="77777777" w:rsidR="003B657C" w:rsidRPr="003B657C" w:rsidRDefault="00AE6959" w:rsidP="003B657C">
      <w:pPr>
        <w:spacing w:after="0" w:line="240" w:lineRule="auto"/>
        <w:ind w:left="720" w:hanging="720"/>
        <w:jc w:val="left"/>
        <w:rPr>
          <w:bCs/>
          <w:sz w:val="24"/>
          <w:szCs w:val="24"/>
        </w:rPr>
      </w:pPr>
      <w:r w:rsidRPr="003B657C">
        <w:rPr>
          <w:b/>
          <w:sz w:val="24"/>
          <w:szCs w:val="24"/>
        </w:rPr>
        <w:t xml:space="preserve">Judge: </w:t>
      </w:r>
      <w:r w:rsidRPr="003B657C">
        <w:rPr>
          <w:bCs/>
          <w:sz w:val="24"/>
          <w:szCs w:val="24"/>
        </w:rPr>
        <w:t xml:space="preserve"> Eric S. Geffon</w:t>
      </w:r>
    </w:p>
    <w:p w14:paraId="13CAD976" w14:textId="77777777" w:rsidR="003B657C" w:rsidRPr="003B657C" w:rsidRDefault="00AE6959" w:rsidP="003B657C">
      <w:pPr>
        <w:spacing w:after="0" w:line="240" w:lineRule="auto"/>
        <w:jc w:val="left"/>
        <w:rPr>
          <w:b/>
          <w:sz w:val="24"/>
          <w:szCs w:val="24"/>
        </w:rPr>
      </w:pPr>
      <w:r w:rsidRPr="003B657C">
        <w:rPr>
          <w:b/>
          <w:sz w:val="24"/>
          <w:szCs w:val="24"/>
        </w:rPr>
        <w:t>_____________________</w:t>
      </w:r>
      <w:r w:rsidRPr="003B657C">
        <w:rPr>
          <w:b/>
          <w:sz w:val="24"/>
          <w:szCs w:val="24"/>
        </w:rPr>
        <w:t xml:space="preserve">_____________________________________  </w:t>
      </w:r>
    </w:p>
    <w:p w14:paraId="680552EA" w14:textId="77777777" w:rsidR="003B657C" w:rsidRPr="003B657C" w:rsidRDefault="003B657C" w:rsidP="003B657C">
      <w:pPr>
        <w:spacing w:after="0" w:line="240" w:lineRule="auto"/>
        <w:jc w:val="left"/>
        <w:rPr>
          <w:b/>
          <w:sz w:val="24"/>
          <w:szCs w:val="24"/>
        </w:rPr>
      </w:pPr>
    </w:p>
    <w:p w14:paraId="2F4ACD0D" w14:textId="77777777" w:rsidR="003B657C" w:rsidRPr="003B657C" w:rsidRDefault="00AE6959" w:rsidP="003B657C">
      <w:pPr>
        <w:spacing w:after="0" w:line="240" w:lineRule="auto"/>
        <w:jc w:val="left"/>
        <w:rPr>
          <w:b/>
          <w:sz w:val="24"/>
          <w:szCs w:val="24"/>
        </w:rPr>
      </w:pPr>
      <w:r w:rsidRPr="003B657C">
        <w:rPr>
          <w:b/>
          <w:sz w:val="24"/>
          <w:szCs w:val="24"/>
        </w:rPr>
        <w:t>Counsel:</w:t>
      </w:r>
    </w:p>
    <w:p w14:paraId="63A930BB" w14:textId="77777777" w:rsidR="003B657C" w:rsidRPr="003B657C" w:rsidRDefault="003B657C" w:rsidP="003B657C">
      <w:pPr>
        <w:spacing w:after="0" w:line="240" w:lineRule="auto"/>
        <w:jc w:val="left"/>
        <w:rPr>
          <w:b/>
          <w:sz w:val="24"/>
          <w:szCs w:val="24"/>
        </w:rPr>
      </w:pPr>
    </w:p>
    <w:p w14:paraId="6CBF5AEF"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Brian C. McComas, under appointment by the Supreme Court, for Petitioner.</w:t>
      </w:r>
    </w:p>
    <w:p w14:paraId="04107D56" w14:textId="77777777" w:rsidR="003B657C" w:rsidRPr="003B657C" w:rsidRDefault="003B657C" w:rsidP="003B657C">
      <w:pPr>
        <w:spacing w:after="0" w:line="240" w:lineRule="auto"/>
        <w:jc w:val="left"/>
        <w:rPr>
          <w:color w:val="212121"/>
          <w:sz w:val="24"/>
          <w:szCs w:val="24"/>
          <w:shd w:val="clear" w:color="auto" w:fill="FFFFFF"/>
        </w:rPr>
      </w:pPr>
    </w:p>
    <w:p w14:paraId="07A4FF1F"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 xml:space="preserve">Ellen McDonnell, Public Defender (Contra Costa), and Diana Garrido, Deputy Public Defender, for Contra Costa County Public </w:t>
      </w:r>
      <w:r w:rsidRPr="003B657C">
        <w:rPr>
          <w:color w:val="212121"/>
          <w:sz w:val="24"/>
          <w:szCs w:val="24"/>
          <w:shd w:val="clear" w:color="auto" w:fill="FFFFFF"/>
        </w:rPr>
        <w:t>Defender Office and California Public Defenders Association as Amici Curiae on behalf of Petitioner.</w:t>
      </w:r>
    </w:p>
    <w:p w14:paraId="5FDC088C" w14:textId="77777777" w:rsidR="003B657C" w:rsidRPr="003B657C" w:rsidRDefault="003B657C" w:rsidP="003B657C">
      <w:pPr>
        <w:spacing w:after="0" w:line="240" w:lineRule="auto"/>
        <w:jc w:val="left"/>
        <w:rPr>
          <w:color w:val="212121"/>
          <w:sz w:val="24"/>
          <w:szCs w:val="24"/>
          <w:shd w:val="clear" w:color="auto" w:fill="FFFFFF"/>
        </w:rPr>
      </w:pPr>
    </w:p>
    <w:p w14:paraId="1740DD38"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Emi MacLean and Kim Pederson for American Civil Liberties Union Foundation of Northern California and Disability Rights California as Amici Curiae on beha</w:t>
      </w:r>
      <w:r w:rsidRPr="003B657C">
        <w:rPr>
          <w:color w:val="212121"/>
          <w:sz w:val="24"/>
          <w:szCs w:val="24"/>
          <w:shd w:val="clear" w:color="auto" w:fill="FFFFFF"/>
        </w:rPr>
        <w:t>lf of Petitioner.</w:t>
      </w:r>
    </w:p>
    <w:p w14:paraId="2E737893" w14:textId="77777777" w:rsidR="003B657C" w:rsidRPr="003B657C" w:rsidRDefault="003B657C" w:rsidP="003B657C">
      <w:pPr>
        <w:spacing w:after="0" w:line="240" w:lineRule="auto"/>
        <w:jc w:val="left"/>
        <w:rPr>
          <w:color w:val="212121"/>
          <w:sz w:val="24"/>
          <w:szCs w:val="24"/>
          <w:shd w:val="clear" w:color="auto" w:fill="FFFFFF"/>
        </w:rPr>
      </w:pPr>
    </w:p>
    <w:p w14:paraId="1EE560F8"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DLA Piper and Justin R. Sarno for Silicon Valley De-Bug as Amicus Curiae on behalf of Petitioner.</w:t>
      </w:r>
    </w:p>
    <w:p w14:paraId="60C5BB18" w14:textId="77777777" w:rsidR="003B657C" w:rsidRPr="003B657C" w:rsidRDefault="003B657C" w:rsidP="003B657C">
      <w:pPr>
        <w:spacing w:after="0" w:line="240" w:lineRule="auto"/>
        <w:jc w:val="left"/>
        <w:rPr>
          <w:color w:val="212121"/>
          <w:sz w:val="24"/>
          <w:szCs w:val="24"/>
          <w:shd w:val="clear" w:color="auto" w:fill="FFFFFF"/>
        </w:rPr>
      </w:pPr>
    </w:p>
    <w:p w14:paraId="1CA77FFB"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No appearance for Respondent.</w:t>
      </w:r>
    </w:p>
    <w:p w14:paraId="60E5881D" w14:textId="77777777" w:rsidR="003B657C" w:rsidRPr="003B657C" w:rsidRDefault="003B657C" w:rsidP="003B657C">
      <w:pPr>
        <w:spacing w:after="0" w:line="240" w:lineRule="auto"/>
        <w:jc w:val="left"/>
        <w:rPr>
          <w:color w:val="212121"/>
          <w:sz w:val="24"/>
          <w:szCs w:val="24"/>
          <w:shd w:val="clear" w:color="auto" w:fill="FFFFFF"/>
        </w:rPr>
      </w:pPr>
    </w:p>
    <w:p w14:paraId="60A3A8C2"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Jeffrey F. Rosen, District Attorney, Alexandra W. Gadeberg, Crystal Tindell Seiler and Barbara A. Cathcart,</w:t>
      </w:r>
      <w:r w:rsidRPr="003B657C">
        <w:rPr>
          <w:color w:val="212121"/>
          <w:sz w:val="24"/>
          <w:szCs w:val="24"/>
          <w:shd w:val="clear" w:color="auto" w:fill="FFFFFF"/>
        </w:rPr>
        <w:t xml:space="preserve"> Deputy District Attorneys, for Real Party in Interest. </w:t>
      </w:r>
    </w:p>
    <w:p w14:paraId="018E0DB8" w14:textId="77777777" w:rsidR="003B657C" w:rsidRPr="003B657C" w:rsidRDefault="003B657C" w:rsidP="003B657C">
      <w:pPr>
        <w:spacing w:after="0" w:line="240" w:lineRule="auto"/>
        <w:jc w:val="left"/>
        <w:rPr>
          <w:color w:val="212121"/>
          <w:sz w:val="24"/>
          <w:szCs w:val="24"/>
          <w:shd w:val="clear" w:color="auto" w:fill="FFFFFF"/>
        </w:rPr>
      </w:pPr>
    </w:p>
    <w:p w14:paraId="41B10D42"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 xml:space="preserve">Summer Stephan, District Attorney (San Diego), Linh Lam and Jennifer Kaplan, Deputy District Attorneys, for the San Diego County District Attorney as Amicus Curiae on behalf of Real Party in </w:t>
      </w:r>
      <w:r w:rsidRPr="003B657C">
        <w:rPr>
          <w:color w:val="212121"/>
          <w:sz w:val="24"/>
          <w:szCs w:val="24"/>
          <w:shd w:val="clear" w:color="auto" w:fill="FFFFFF"/>
        </w:rPr>
        <w:t>Interest.</w:t>
      </w:r>
    </w:p>
    <w:p w14:paraId="40566668" w14:textId="77777777" w:rsidR="003B657C" w:rsidRPr="003B657C" w:rsidRDefault="003B657C" w:rsidP="003B657C">
      <w:pPr>
        <w:spacing w:after="0" w:line="240" w:lineRule="auto"/>
        <w:jc w:val="left"/>
        <w:rPr>
          <w:color w:val="212121"/>
          <w:sz w:val="24"/>
          <w:szCs w:val="24"/>
          <w:shd w:val="clear" w:color="auto" w:fill="FFFFFF"/>
        </w:rPr>
      </w:pPr>
    </w:p>
    <w:p w14:paraId="4DA38962"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Rob Bonta, Attorney General, Cheryl L. Feiner, Assistant Attorney General, Gregory D. Brown and Kevin L. Quade, Deputy Attorneys General, for State Department of State Hospitals and State Department of Developmental Services as Amici Curiae on b</w:t>
      </w:r>
      <w:r w:rsidRPr="003B657C">
        <w:rPr>
          <w:color w:val="212121"/>
          <w:sz w:val="24"/>
          <w:szCs w:val="24"/>
          <w:shd w:val="clear" w:color="auto" w:fill="FFFFFF"/>
        </w:rPr>
        <w:t>ehalf of Real Party in Interest.</w:t>
      </w:r>
      <w:r w:rsidRPr="003B657C">
        <w:rPr>
          <w:color w:val="212121"/>
          <w:sz w:val="24"/>
          <w:szCs w:val="24"/>
          <w:shd w:val="clear" w:color="auto" w:fill="FFFFFF"/>
        </w:rPr>
        <w:br w:type="page"/>
      </w:r>
      <w:r w:rsidRPr="003B657C">
        <w:rPr>
          <w:b/>
          <w:sz w:val="24"/>
          <w:szCs w:val="24"/>
        </w:rPr>
        <w:t xml:space="preserve">Counsel who argued in Supreme Court (not intended for publication with opinion): </w:t>
      </w:r>
    </w:p>
    <w:p w14:paraId="15DA5A22" w14:textId="77777777" w:rsidR="003B657C" w:rsidRPr="003B657C" w:rsidRDefault="003B657C" w:rsidP="003B657C">
      <w:pPr>
        <w:spacing w:after="0" w:line="240" w:lineRule="auto"/>
        <w:jc w:val="left"/>
        <w:rPr>
          <w:sz w:val="24"/>
          <w:szCs w:val="24"/>
        </w:rPr>
      </w:pPr>
    </w:p>
    <w:p w14:paraId="74C0828B"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Brian C. McComas</w:t>
      </w:r>
    </w:p>
    <w:p w14:paraId="185D178B" w14:textId="77777777" w:rsidR="003B657C" w:rsidRPr="003B657C" w:rsidRDefault="00AE6959" w:rsidP="003B657C">
      <w:pPr>
        <w:spacing w:after="0" w:line="240" w:lineRule="auto"/>
        <w:jc w:val="left"/>
        <w:rPr>
          <w:sz w:val="24"/>
          <w:szCs w:val="24"/>
        </w:rPr>
      </w:pPr>
      <w:r w:rsidRPr="003B657C">
        <w:rPr>
          <w:sz w:val="24"/>
          <w:szCs w:val="24"/>
        </w:rPr>
        <w:t>The Law Office of B.C. McComas, LLP</w:t>
      </w:r>
    </w:p>
    <w:p w14:paraId="465CEB83" w14:textId="77777777" w:rsidR="003B657C" w:rsidRPr="003B657C" w:rsidRDefault="00AE6959" w:rsidP="003B657C">
      <w:pPr>
        <w:spacing w:after="0" w:line="240" w:lineRule="auto"/>
        <w:jc w:val="left"/>
        <w:rPr>
          <w:sz w:val="24"/>
          <w:szCs w:val="24"/>
        </w:rPr>
      </w:pPr>
      <w:r w:rsidRPr="003B657C">
        <w:rPr>
          <w:sz w:val="24"/>
          <w:szCs w:val="24"/>
        </w:rPr>
        <w:t xml:space="preserve">PMB 1605, 77 Van Ness Avenue, Suite 101 </w:t>
      </w:r>
    </w:p>
    <w:p w14:paraId="75C3ED62" w14:textId="77777777" w:rsidR="003B657C" w:rsidRPr="003B657C" w:rsidRDefault="00AE6959" w:rsidP="003B657C">
      <w:pPr>
        <w:spacing w:after="0" w:line="240" w:lineRule="auto"/>
        <w:jc w:val="left"/>
        <w:rPr>
          <w:sz w:val="24"/>
          <w:szCs w:val="24"/>
        </w:rPr>
      </w:pPr>
      <w:r w:rsidRPr="003B657C">
        <w:rPr>
          <w:sz w:val="24"/>
          <w:szCs w:val="24"/>
        </w:rPr>
        <w:t>San Francisco, CA 94102</w:t>
      </w:r>
    </w:p>
    <w:p w14:paraId="7876BEE9" w14:textId="77777777" w:rsidR="003B657C" w:rsidRPr="003B657C" w:rsidRDefault="00AE6959" w:rsidP="003B657C">
      <w:pPr>
        <w:spacing w:after="0" w:line="240" w:lineRule="auto"/>
        <w:jc w:val="left"/>
        <w:rPr>
          <w:sz w:val="24"/>
          <w:szCs w:val="24"/>
        </w:rPr>
      </w:pPr>
      <w:r w:rsidRPr="003B657C">
        <w:rPr>
          <w:sz w:val="24"/>
          <w:szCs w:val="24"/>
        </w:rPr>
        <w:t>(415) 814-2465</w:t>
      </w:r>
    </w:p>
    <w:p w14:paraId="7E86E9A6" w14:textId="77777777" w:rsidR="003B657C" w:rsidRPr="003B657C" w:rsidRDefault="003B657C" w:rsidP="003B657C">
      <w:pPr>
        <w:spacing w:after="0" w:line="240" w:lineRule="auto"/>
        <w:jc w:val="left"/>
        <w:rPr>
          <w:sz w:val="24"/>
          <w:szCs w:val="24"/>
        </w:rPr>
      </w:pPr>
    </w:p>
    <w:p w14:paraId="18BE92FF" w14:textId="77777777" w:rsidR="003B657C" w:rsidRPr="003B657C" w:rsidRDefault="00AE6959" w:rsidP="003B657C">
      <w:pPr>
        <w:spacing w:after="0" w:line="240" w:lineRule="auto"/>
        <w:jc w:val="left"/>
        <w:rPr>
          <w:sz w:val="24"/>
          <w:szCs w:val="24"/>
        </w:rPr>
      </w:pPr>
      <w:r w:rsidRPr="003B657C">
        <w:rPr>
          <w:sz w:val="24"/>
          <w:szCs w:val="24"/>
        </w:rPr>
        <w:t>Emilou</w:t>
      </w:r>
      <w:r w:rsidRPr="003B657C">
        <w:rPr>
          <w:sz w:val="24"/>
          <w:szCs w:val="24"/>
        </w:rPr>
        <w:t xml:space="preserve"> MacLean</w:t>
      </w:r>
    </w:p>
    <w:p w14:paraId="621A06B1"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American Civil Liberties Union Foundation of Northern California</w:t>
      </w:r>
    </w:p>
    <w:p w14:paraId="1B7FAE23"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39 Drumm Street</w:t>
      </w:r>
    </w:p>
    <w:p w14:paraId="0C483588"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San Francisco, CA 94111-4805</w:t>
      </w:r>
    </w:p>
    <w:p w14:paraId="493A5A74" w14:textId="77777777" w:rsidR="003B657C" w:rsidRPr="003B657C" w:rsidRDefault="00AE6959" w:rsidP="003B657C">
      <w:pPr>
        <w:spacing w:after="0" w:line="240" w:lineRule="auto"/>
        <w:jc w:val="left"/>
        <w:rPr>
          <w:sz w:val="24"/>
          <w:szCs w:val="24"/>
        </w:rPr>
      </w:pPr>
      <w:r w:rsidRPr="003B657C">
        <w:rPr>
          <w:color w:val="212121"/>
          <w:sz w:val="24"/>
          <w:szCs w:val="24"/>
          <w:shd w:val="clear" w:color="auto" w:fill="FFFFFF"/>
        </w:rPr>
        <w:t>(929) 375-1575</w:t>
      </w:r>
    </w:p>
    <w:p w14:paraId="5EACE8E2" w14:textId="77777777" w:rsidR="003B657C" w:rsidRPr="003B657C" w:rsidRDefault="003B657C" w:rsidP="003B657C">
      <w:pPr>
        <w:spacing w:after="0" w:line="240" w:lineRule="auto"/>
        <w:jc w:val="left"/>
        <w:rPr>
          <w:sz w:val="24"/>
          <w:szCs w:val="24"/>
        </w:rPr>
      </w:pPr>
    </w:p>
    <w:p w14:paraId="2A6F10A7"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Alexandra W. Gadeberg</w:t>
      </w:r>
    </w:p>
    <w:p w14:paraId="01DE9563"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Deputy District Attorney</w:t>
      </w:r>
    </w:p>
    <w:p w14:paraId="5315ABB7"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70 West Hedding, West Wing</w:t>
      </w:r>
    </w:p>
    <w:p w14:paraId="01696088" w14:textId="77777777" w:rsidR="003B657C" w:rsidRPr="003B657C" w:rsidRDefault="00AE6959" w:rsidP="003B657C">
      <w:pPr>
        <w:spacing w:after="0" w:line="240" w:lineRule="auto"/>
        <w:jc w:val="left"/>
        <w:rPr>
          <w:color w:val="212121"/>
          <w:sz w:val="24"/>
          <w:szCs w:val="24"/>
          <w:shd w:val="clear" w:color="auto" w:fill="FFFFFF"/>
        </w:rPr>
      </w:pPr>
      <w:r w:rsidRPr="003B657C">
        <w:rPr>
          <w:color w:val="212121"/>
          <w:sz w:val="24"/>
          <w:szCs w:val="24"/>
          <w:shd w:val="clear" w:color="auto" w:fill="FFFFFF"/>
        </w:rPr>
        <w:t>San Jose, CA 95110</w:t>
      </w:r>
    </w:p>
    <w:p w14:paraId="42A8EBBE" w14:textId="77777777" w:rsidR="003B657C" w:rsidRPr="003B657C" w:rsidRDefault="00AE6959" w:rsidP="003B657C">
      <w:pPr>
        <w:spacing w:after="0" w:line="240" w:lineRule="auto"/>
        <w:jc w:val="left"/>
        <w:rPr>
          <w:sz w:val="24"/>
          <w:szCs w:val="24"/>
        </w:rPr>
      </w:pPr>
      <w:r w:rsidRPr="003B657C">
        <w:rPr>
          <w:color w:val="212121"/>
          <w:sz w:val="24"/>
          <w:szCs w:val="24"/>
          <w:shd w:val="clear" w:color="auto" w:fill="FFFFFF"/>
        </w:rPr>
        <w:t>(408) 792-2757</w:t>
      </w:r>
    </w:p>
    <w:p w14:paraId="02C8B0E1" w14:textId="77777777" w:rsidR="00EA1FBE" w:rsidRPr="00B3431F" w:rsidRDefault="00EA1FBE" w:rsidP="00B3431F">
      <w:pPr>
        <w:spacing w:after="0" w:line="240" w:lineRule="auto"/>
        <w:jc w:val="left"/>
        <w:rPr>
          <w:rStyle w:val="normaltextrun"/>
          <w:b/>
        </w:rPr>
      </w:pPr>
    </w:p>
    <w:sectPr w:rsidR="00EA1FBE" w:rsidRPr="00B3431F"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40CF" w14:textId="77777777" w:rsidR="00000000" w:rsidRDefault="00AE6959">
      <w:pPr>
        <w:spacing w:after="0" w:line="240" w:lineRule="auto"/>
      </w:pPr>
      <w:r>
        <w:separator/>
      </w:r>
    </w:p>
  </w:endnote>
  <w:endnote w:type="continuationSeparator" w:id="0">
    <w:p w14:paraId="7B74F97C" w14:textId="77777777" w:rsidR="00000000" w:rsidRDefault="00AE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F138" w14:textId="77777777" w:rsidR="00781AC4" w:rsidRDefault="00AE6959">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F139" w14:textId="77777777" w:rsidR="00560442" w:rsidRDefault="00AE6959">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5E3" w14:textId="5182893D" w:rsidR="003B657C" w:rsidRPr="003B657C" w:rsidRDefault="003B657C" w:rsidP="003B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A744" w14:textId="77777777" w:rsidR="00272CD0" w:rsidRDefault="00AE6959">
      <w:r>
        <w:separator/>
      </w:r>
    </w:p>
  </w:footnote>
  <w:footnote w:type="continuationSeparator" w:id="0">
    <w:p w14:paraId="5B6A896C" w14:textId="77777777" w:rsidR="00272CD0" w:rsidRDefault="00AE6959">
      <w:pPr>
        <w:rPr>
          <w:sz w:val="22"/>
        </w:rPr>
      </w:pPr>
      <w:r>
        <w:continuationSeparator/>
      </w:r>
    </w:p>
  </w:footnote>
  <w:footnote w:type="continuationNotice" w:id="1">
    <w:p w14:paraId="6A5A6DF3" w14:textId="77777777" w:rsidR="00272CD0" w:rsidRDefault="00272CD0">
      <w:pPr>
        <w:jc w:val="right"/>
        <w:rPr>
          <w:i/>
          <w:sz w:val="20"/>
        </w:rPr>
      </w:pPr>
    </w:p>
  </w:footnote>
  <w:footnote w:id="2">
    <w:p w14:paraId="3F29F13A" w14:textId="77777777" w:rsidR="003A5DD4" w:rsidRPr="005D2043" w:rsidRDefault="00AE6959" w:rsidP="00560442">
      <w:pPr>
        <w:pStyle w:val="FootnoteText"/>
      </w:pPr>
      <w:r w:rsidRPr="005D2043">
        <w:rPr>
          <w:rStyle w:val="FootnoteReference"/>
        </w:rPr>
        <w:footnoteRef/>
      </w:r>
      <w:r w:rsidRPr="005D2043">
        <w:t xml:space="preserve"> </w:t>
      </w:r>
      <w:r w:rsidRPr="005D2043">
        <w:tab/>
        <w:t>All further statutory references are to the Penal Code unless otherwise specified.</w:t>
      </w:r>
    </w:p>
  </w:footnote>
  <w:footnote w:id="3">
    <w:p w14:paraId="3F29F13B" w14:textId="77777777" w:rsidR="00A8493E" w:rsidRPr="005D2043" w:rsidRDefault="00AE6959" w:rsidP="00560442">
      <w:pPr>
        <w:pStyle w:val="FootnoteText"/>
      </w:pPr>
      <w:r w:rsidRPr="005D2043">
        <w:rPr>
          <w:rStyle w:val="FootnoteReference"/>
        </w:rPr>
        <w:footnoteRef/>
      </w:r>
      <w:r w:rsidRPr="005D2043">
        <w:t xml:space="preserve"> </w:t>
      </w:r>
      <w:r w:rsidRPr="005D2043">
        <w:tab/>
        <w:t>The judge must order such a hearing if</w:t>
      </w:r>
      <w:r w:rsidR="007D7FE0" w:rsidRPr="005D2043">
        <w:t xml:space="preserve"> defense counsel also declares</w:t>
      </w:r>
      <w:r w:rsidRPr="005D2043">
        <w:t xml:space="preserve"> </w:t>
      </w:r>
      <w:r w:rsidR="007D7FE0" w:rsidRPr="005D2043">
        <w:t xml:space="preserve">a </w:t>
      </w:r>
      <w:r w:rsidRPr="005D2043">
        <w:t>doubt regarding a defendant’s competency.  (</w:t>
      </w:r>
      <w:r w:rsidRPr="005D2043">
        <w:rPr>
          <w:bCs/>
        </w:rPr>
        <w:t>§ 1368, subd. (b).)</w:t>
      </w:r>
      <w:r w:rsidRPr="005D2043">
        <w:t xml:space="preserve">  Even where counsel believes </w:t>
      </w:r>
      <w:r w:rsidR="0091474F" w:rsidRPr="005D2043">
        <w:t xml:space="preserve">the defendant </w:t>
      </w:r>
      <w:r w:rsidRPr="005D2043">
        <w:t>is competent, however, the court “may nevertheless order a hearing.”  (</w:t>
      </w:r>
      <w:r w:rsidRPr="005D2043">
        <w:rPr>
          <w:bCs/>
          <w:i/>
          <w:iCs/>
        </w:rPr>
        <w:t>Ibid</w:t>
      </w:r>
      <w:r w:rsidRPr="005D2043">
        <w:rPr>
          <w:bCs/>
        </w:rPr>
        <w:t>.</w:t>
      </w:r>
      <w:r w:rsidR="00B72069">
        <w:rPr>
          <w:bCs/>
        </w:rPr>
        <w:t xml:space="preserve">; see also </w:t>
      </w:r>
      <w:bookmarkStart w:id="4" w:name="_Hlk146703933"/>
      <w:r w:rsidR="00B72069" w:rsidRPr="00B72069">
        <w:rPr>
          <w:bCs/>
          <w:i/>
          <w:iCs/>
        </w:rPr>
        <w:t>People v. Wycoff</w:t>
      </w:r>
      <w:r w:rsidR="00B72069" w:rsidRPr="00B72069">
        <w:rPr>
          <w:bCs/>
        </w:rPr>
        <w:t xml:space="preserve"> (2021) 12 Cal.5th 58, 8</w:t>
      </w:r>
      <w:bookmarkEnd w:id="4"/>
      <w:r w:rsidR="00B72069">
        <w:rPr>
          <w:bCs/>
        </w:rPr>
        <w:t>2 [explaining that our court has construed section 1368 “ ‘</w:t>
      </w:r>
      <w:r w:rsidR="00B72069" w:rsidRPr="00B72069">
        <w:rPr>
          <w:bCs/>
        </w:rPr>
        <w:t>in conformity with the requirements of federal constitutional law</w:t>
      </w:r>
      <w:r w:rsidR="00B72069">
        <w:rPr>
          <w:bCs/>
        </w:rPr>
        <w:t>’ ” to mean that “[i]</w:t>
      </w:r>
      <w:r w:rsidR="00B72069" w:rsidRPr="00B72069">
        <w:rPr>
          <w:bCs/>
        </w:rPr>
        <w:t>f the court is presented with substantial evidence of mental incompetence</w:t>
      </w:r>
      <w:r w:rsidR="00B72069">
        <w:rPr>
          <w:bCs/>
        </w:rPr>
        <w:t xml:space="preserve"> . . . </w:t>
      </w:r>
      <w:r w:rsidR="00B72069" w:rsidRPr="00B72069">
        <w:rPr>
          <w:bCs/>
        </w:rPr>
        <w:t>the court must declare a doubt about the question and initiate an inquiry</w:t>
      </w:r>
      <w:r w:rsidR="00B72069">
        <w:rPr>
          <w:bCs/>
        </w:rPr>
        <w:t>”]</w:t>
      </w:r>
      <w:r w:rsidR="00C83E3D">
        <w:rPr>
          <w:bCs/>
        </w:rPr>
        <w:t>.</w:t>
      </w:r>
      <w:r w:rsidRPr="005D2043">
        <w:rPr>
          <w:bCs/>
        </w:rPr>
        <w:t>)</w:t>
      </w:r>
    </w:p>
  </w:footnote>
  <w:footnote w:id="4">
    <w:p w14:paraId="3F29F13C" w14:textId="77777777" w:rsidR="00C40499" w:rsidRPr="005D2043" w:rsidRDefault="00AE6959" w:rsidP="00560442">
      <w:pPr>
        <w:pStyle w:val="FootnoteText"/>
      </w:pPr>
      <w:r w:rsidRPr="005D2043">
        <w:rPr>
          <w:rStyle w:val="FootnoteReference"/>
        </w:rPr>
        <w:footnoteRef/>
      </w:r>
      <w:r w:rsidRPr="005D2043">
        <w:t xml:space="preserve"> </w:t>
      </w:r>
      <w:r w:rsidRPr="005D2043">
        <w:tab/>
      </w:r>
      <w:r w:rsidR="00FE7DE1">
        <w:t>Section</w:t>
      </w:r>
      <w:r w:rsidR="008918C6" w:rsidRPr="005D2043">
        <w:t> </w:t>
      </w:r>
      <w:r w:rsidR="009D1BE4" w:rsidRPr="005D2043">
        <w:t>1372, subd</w:t>
      </w:r>
      <w:r w:rsidR="00FE7DE1">
        <w:t>ivision</w:t>
      </w:r>
      <w:r w:rsidR="009D1BE4" w:rsidRPr="005D2043">
        <w:t xml:space="preserve"> (a)</w:t>
      </w:r>
      <w:r w:rsidRPr="005D2043">
        <w:t>.</w:t>
      </w:r>
    </w:p>
  </w:footnote>
  <w:footnote w:id="5">
    <w:p w14:paraId="3F29F13D" w14:textId="77777777" w:rsidR="00C40499" w:rsidRPr="005D2043" w:rsidRDefault="00AE6959" w:rsidP="00560442">
      <w:pPr>
        <w:pStyle w:val="FootnoteText"/>
      </w:pPr>
      <w:r w:rsidRPr="005D2043">
        <w:rPr>
          <w:rStyle w:val="FootnoteReference"/>
        </w:rPr>
        <w:footnoteRef/>
      </w:r>
      <w:r w:rsidRPr="005D2043">
        <w:t xml:space="preserve"> </w:t>
      </w:r>
      <w:r w:rsidRPr="005D2043">
        <w:tab/>
      </w:r>
      <w:r w:rsidR="00FE7DE1">
        <w:t>Section</w:t>
      </w:r>
      <w:r w:rsidR="00AD1BDB" w:rsidRPr="005D2043">
        <w:t> </w:t>
      </w:r>
      <w:r w:rsidRPr="005D2043">
        <w:t>1370, subd</w:t>
      </w:r>
      <w:r w:rsidR="00FE7DE1">
        <w:t>ivision</w:t>
      </w:r>
      <w:r w:rsidRPr="005D2043">
        <w:t xml:space="preserve"> (a)(1)(G) </w:t>
      </w:r>
      <w:r w:rsidR="00D52135">
        <w:t>(</w:t>
      </w:r>
      <w:r w:rsidRPr="005D2043">
        <w:t>“If, at any time after the court has declared a defendant incompetent to stand trial pursuant to this section, counsel for the defendant or a jail medical or mental health staff provider provides the court with substanti</w:t>
      </w:r>
      <w:r w:rsidRPr="005D2043">
        <w:t>al evidence that the defendant’s psychiatric symptoms have changed to such a degree as to create a doubt in the mind of the judge as to the defendant’s current mental incompetence, the court may appoint a psychiatrist or a licensed psychologist to opine as</w:t>
      </w:r>
      <w:r w:rsidRPr="005D2043">
        <w:t xml:space="preserve"> to whether the defendant has regained competence.  If, in the opinion of that expert, the defendant has regained competence, the court shall proceed as if a certificate of restoration of competence has been returned pursuant to paragraph (1) of subdivisio</w:t>
      </w:r>
      <w:r w:rsidRPr="005D2043">
        <w:t>n (a) of Section 1372”</w:t>
      </w:r>
      <w:r w:rsidR="00D52135">
        <w:t>)</w:t>
      </w:r>
      <w:r w:rsidRPr="005D2043">
        <w:t>.</w:t>
      </w:r>
    </w:p>
  </w:footnote>
  <w:footnote w:id="6">
    <w:p w14:paraId="3F29F13E" w14:textId="77777777" w:rsidR="00C40499" w:rsidRPr="005D2043" w:rsidRDefault="00AE6959" w:rsidP="00560442">
      <w:pPr>
        <w:pStyle w:val="FootnoteText"/>
      </w:pPr>
      <w:r w:rsidRPr="005D2043">
        <w:rPr>
          <w:rStyle w:val="FootnoteReference"/>
        </w:rPr>
        <w:footnoteRef/>
      </w:r>
      <w:r w:rsidRPr="005D2043">
        <w:t xml:space="preserve"> </w:t>
      </w:r>
      <w:r w:rsidRPr="005D2043">
        <w:tab/>
      </w:r>
      <w:r w:rsidR="007361CF">
        <w:t>Section</w:t>
      </w:r>
      <w:r w:rsidR="00AD1BDB" w:rsidRPr="005D2043">
        <w:t> 1370, subd</w:t>
      </w:r>
      <w:r w:rsidR="007361CF">
        <w:t>ivision</w:t>
      </w:r>
      <w:r w:rsidR="00AD1BDB" w:rsidRPr="005D2043">
        <w:t xml:space="preserve"> (b)(1)(A) </w:t>
      </w:r>
      <w:r w:rsidR="0080591C">
        <w:t>(</w:t>
      </w:r>
      <w:r w:rsidR="00AD1BDB" w:rsidRPr="005D2043">
        <w:t>specifying the reporting obligations of medical personnel and stating “[i]f the report [filed by the medical director of the State Department of State Hospitals,</w:t>
      </w:r>
      <w:r w:rsidR="005750C3" w:rsidRPr="005D2043">
        <w:t xml:space="preserve"> the</w:t>
      </w:r>
      <w:r w:rsidR="00AD1BDB" w:rsidRPr="005D2043">
        <w:t xml:space="preserve"> person in charge of a treatment facility, or outpatient treatment staff] indicates that there is no substantial likelihood that the defendant will regain mental competence in the foreseeable future, custody of the defendant shall be transferred without delay to the committing county and shall remain with the county until further order of the court.  The defendant shall be returned to the court for proceedings pursuant to paragraph (2) of subdivision (c) no later than 10</w:t>
      </w:r>
      <w:r w:rsidR="006853DC">
        <w:t> </w:t>
      </w:r>
      <w:r w:rsidR="00AD1BDB" w:rsidRPr="005D2043">
        <w:t>days following receipt of the report.  The court shall not order the defendant returned to the custody of the State Department of State Hospitals under the same commitment”</w:t>
      </w:r>
      <w:r w:rsidR="0080591C">
        <w:t>)</w:t>
      </w:r>
      <w:r w:rsidRPr="005D2043">
        <w:t>.</w:t>
      </w:r>
    </w:p>
  </w:footnote>
  <w:footnote w:id="7">
    <w:p w14:paraId="3F29F13F" w14:textId="77777777" w:rsidR="004A1F77" w:rsidRPr="00A415D3" w:rsidRDefault="00AE6959" w:rsidP="00560442">
      <w:pPr>
        <w:pStyle w:val="FootnoteText"/>
      </w:pPr>
      <w:r w:rsidRPr="00A415D3">
        <w:rPr>
          <w:rStyle w:val="FootnoteReference"/>
        </w:rPr>
        <w:footnoteRef/>
      </w:r>
      <w:r w:rsidRPr="00A415D3">
        <w:t xml:space="preserve"> </w:t>
      </w:r>
      <w:r w:rsidR="002D4938" w:rsidRPr="00A415D3">
        <w:tab/>
      </w:r>
      <w:r w:rsidR="007361CF" w:rsidRPr="00A415D3">
        <w:t>Section</w:t>
      </w:r>
      <w:r w:rsidR="00AD1BDB" w:rsidRPr="00A415D3">
        <w:t> 1370(c)(1)</w:t>
      </w:r>
      <w:r w:rsidR="000F0191" w:rsidRPr="00A415D3">
        <w:t xml:space="preserve"> </w:t>
      </w:r>
      <w:r w:rsidR="0080591C">
        <w:t>(</w:t>
      </w:r>
      <w:r w:rsidR="000F0191" w:rsidRPr="00A415D3">
        <w:t>“At the end of two years from the date of commitment or a period of commitment equal to the maximum term of imprisonment provided by law for the most serious offense charged in the information, indictment, or complaint, or the maximum term of imprisonment provided by law for a violation of probation or mandatory supervision, whichever is shorter, but no later than 90 days prior to the expiration of the defendant’s term of commitment, a defendant who has not recovered mental competence shall be returned to the committing court, and custody of the defendant shall be transferred without delay to the committing county and shall remain with the county until further order of the court.  The court shall not order the defendant returned to the custody of the State Department of State Hospitals under the same commitment.  The court shall notify the community program director or a designee of the return and of any resulting court orders”</w:t>
      </w:r>
      <w:r w:rsidR="0080591C">
        <w:t>)</w:t>
      </w:r>
      <w:r w:rsidR="000F0191" w:rsidRPr="00A415D3">
        <w:t>.</w:t>
      </w:r>
    </w:p>
  </w:footnote>
  <w:footnote w:id="8">
    <w:p w14:paraId="3F29F140" w14:textId="77777777" w:rsidR="007A3CA4" w:rsidRPr="00E569A9" w:rsidRDefault="00AE6959">
      <w:pPr>
        <w:pStyle w:val="FootnoteText"/>
      </w:pPr>
      <w:r w:rsidRPr="009F6DB7">
        <w:rPr>
          <w:rStyle w:val="FootnoteReference"/>
        </w:rPr>
        <w:footnoteRef/>
      </w:r>
      <w:r w:rsidRPr="009F6DB7">
        <w:t xml:space="preserve"> </w:t>
      </w:r>
      <w:r w:rsidRPr="009F6DB7">
        <w:tab/>
        <w:t xml:space="preserve">We also note that section 1370, subdivision (a)(3)(C)(ii) </w:t>
      </w:r>
      <w:r w:rsidR="00A25327" w:rsidRPr="009F6DB7">
        <w:t xml:space="preserve">specifies </w:t>
      </w:r>
      <w:r w:rsidR="00EA0327" w:rsidRPr="009F6DB7">
        <w:t xml:space="preserve">that </w:t>
      </w:r>
      <w:r w:rsidR="00E70614" w:rsidRPr="009F6DB7">
        <w:t>“</w:t>
      </w:r>
      <w:r w:rsidR="00A25327" w:rsidRPr="009F6DB7">
        <w:t xml:space="preserve">[i]f </w:t>
      </w:r>
      <w:r w:rsidR="00E70614" w:rsidRPr="009F6DB7">
        <w:t xml:space="preserve">a certificate of restoration of competency was filed with the court pursuant to Section 1372 and the court subsequently rejected the certification,” the court shall </w:t>
      </w:r>
      <w:r w:rsidR="00A25327" w:rsidRPr="009F6DB7">
        <w:t xml:space="preserve">provide </w:t>
      </w:r>
      <w:r w:rsidR="00E70614" w:rsidRPr="009F6DB7">
        <w:t xml:space="preserve">“a new computation or statement setting forth the amount of credit for time served, if any, to be deducted from the defendant’s maximum term of commitment </w:t>
      </w:r>
      <w:r w:rsidR="00E70614" w:rsidRPr="009F6DB7">
        <w:rPr>
          <w:i/>
          <w:iCs/>
        </w:rPr>
        <w:t>based on the court’s rejection of the certification</w:t>
      </w:r>
      <w:r w:rsidR="00E70614" w:rsidRPr="009F6DB7">
        <w:t>.”</w:t>
      </w:r>
      <w:r w:rsidR="00A25327" w:rsidRPr="009F6DB7">
        <w:t xml:space="preserve">  </w:t>
      </w:r>
      <w:r w:rsidR="00477EC5" w:rsidRPr="009F6DB7">
        <w:t>(§ 1370, subd. (a)(3)(C)(ii)</w:t>
      </w:r>
      <w:r w:rsidR="009F6DB7" w:rsidRPr="009F6DB7">
        <w:t>, italics added</w:t>
      </w:r>
      <w:r w:rsidR="00477EC5" w:rsidRPr="009F6DB7">
        <w:t xml:space="preserve">.)  </w:t>
      </w:r>
      <w:r w:rsidR="00AC2835" w:rsidRPr="00AC2835">
        <w:t xml:space="preserve">This language appears to contemplate that when </w:t>
      </w:r>
      <w:r w:rsidR="00AC2835">
        <w:t>“</w:t>
      </w:r>
      <w:r w:rsidR="00AC2835" w:rsidRPr="00AC2835">
        <w:t>a certificate of restoration of competency was filed with the court pursuant to Section 1372 and the court subsequently rejected the certification,</w:t>
      </w:r>
      <w:r w:rsidR="00AC2835">
        <w:t>”</w:t>
      </w:r>
      <w:r w:rsidR="00AC2835" w:rsidRPr="00AC2835">
        <w:t xml:space="preserve"> the period in between the filing of the certificate and the court’s rejection thereof is relevant for purposes of computing the maximum period of commitment allowed by section 1370(c)(1). </w:t>
      </w:r>
      <w:r w:rsidR="00C67DA4">
        <w:t xml:space="preserve"> </w:t>
      </w:r>
      <w:r w:rsidR="00AC2835" w:rsidRPr="00AC2835">
        <w:t>(§</w:t>
      </w:r>
      <w:r w:rsidR="00C67DA4">
        <w:t> </w:t>
      </w:r>
      <w:r w:rsidR="00AC2835" w:rsidRPr="00AC2835">
        <w:t>1370, subd. (a)(3)(C)(ii).)</w:t>
      </w:r>
    </w:p>
  </w:footnote>
  <w:footnote w:id="9">
    <w:p w14:paraId="3F29F141" w14:textId="77777777" w:rsidR="00EA0327" w:rsidRPr="00CB6214" w:rsidRDefault="00AE6959" w:rsidP="00EA0327">
      <w:pPr>
        <w:pStyle w:val="FootnoteText"/>
        <w:rPr>
          <w:i/>
          <w:iCs/>
          <w:u w:val="single"/>
        </w:rPr>
      </w:pPr>
      <w:r>
        <w:rPr>
          <w:rStyle w:val="FootnoteReference"/>
        </w:rPr>
        <w:footnoteRef/>
      </w:r>
      <w:r>
        <w:t xml:space="preserve"> </w:t>
      </w:r>
      <w:r>
        <w:tab/>
        <w:t xml:space="preserve">The Court of Appeal </w:t>
      </w:r>
      <w:r w:rsidR="00E569A9">
        <w:t xml:space="preserve">relied on </w:t>
      </w:r>
      <w:r w:rsidR="00E569A9" w:rsidRPr="000F5E81">
        <w:rPr>
          <w:i/>
          <w:iCs/>
        </w:rPr>
        <w:t>Rells</w:t>
      </w:r>
      <w:r w:rsidR="00E569A9">
        <w:t xml:space="preserve"> in </w:t>
      </w:r>
      <w:r w:rsidR="000F5E81">
        <w:t xml:space="preserve">concluding </w:t>
      </w:r>
      <w:r>
        <w:t xml:space="preserve">that </w:t>
      </w:r>
      <w:r w:rsidRPr="00A02575">
        <w:t>“the filing of the certificate triggers a presumption of mental competency under section 1372</w:t>
      </w:r>
      <w:r>
        <w:t xml:space="preserve">.”  </w:t>
      </w:r>
      <w:r w:rsidRPr="00A02575">
        <w:t>(</w:t>
      </w:r>
      <w:r w:rsidRPr="00CB6214">
        <w:rPr>
          <w:i/>
          <w:iCs/>
        </w:rPr>
        <w:t>Rodriguez</w:t>
      </w:r>
      <w:r w:rsidRPr="00A02575">
        <w:t xml:space="preserve">, </w:t>
      </w:r>
      <w:r w:rsidRPr="00CB6214">
        <w:rPr>
          <w:i/>
          <w:iCs/>
        </w:rPr>
        <w:t>supra</w:t>
      </w:r>
      <w:r w:rsidRPr="00A02575">
        <w:t>, 70</w:t>
      </w:r>
      <w:r w:rsidR="00F65D72">
        <w:t> </w:t>
      </w:r>
      <w:r w:rsidRPr="00A02575">
        <w:t xml:space="preserve">Cal.App.5th </w:t>
      </w:r>
      <w:r>
        <w:t>at p. </w:t>
      </w:r>
      <w:r w:rsidRPr="00A02575">
        <w:t>652.)</w:t>
      </w:r>
      <w:r>
        <w:t xml:space="preserve">  </w:t>
      </w:r>
      <w:r w:rsidR="000F5E81">
        <w:t xml:space="preserve">But </w:t>
      </w:r>
      <w:r w:rsidRPr="000B3A76">
        <w:rPr>
          <w:i/>
          <w:iCs/>
        </w:rPr>
        <w:t>Rells</w:t>
      </w:r>
      <w:r w:rsidR="00E569A9">
        <w:t xml:space="preserve"> </w:t>
      </w:r>
      <w:r w:rsidR="000F5E81">
        <w:t xml:space="preserve">merely </w:t>
      </w:r>
      <w:r w:rsidRPr="00CB6214">
        <w:t xml:space="preserve">stated </w:t>
      </w:r>
      <w:r w:rsidR="001C70AB">
        <w:t xml:space="preserve">that </w:t>
      </w:r>
      <w:r w:rsidRPr="00CB6214">
        <w:t>the filin</w:t>
      </w:r>
      <w:r w:rsidRPr="00CB6214">
        <w:t xml:space="preserve">g of the certificate of restoration “trigger[s] a </w:t>
      </w:r>
      <w:r w:rsidRPr="000B3A76">
        <w:rPr>
          <w:i/>
          <w:iCs/>
        </w:rPr>
        <w:t>hearing</w:t>
      </w:r>
      <w:r w:rsidRPr="00CB6214">
        <w:t xml:space="preserve"> on a defendant’s recovery of mental competence</w:t>
      </w:r>
      <w:r>
        <w:t>.</w:t>
      </w:r>
      <w:r w:rsidRPr="00CB6214">
        <w:t>”</w:t>
      </w:r>
      <w:r>
        <w:t xml:space="preserve">  (</w:t>
      </w:r>
      <w:r w:rsidRPr="00CB6214">
        <w:rPr>
          <w:i/>
          <w:iCs/>
        </w:rPr>
        <w:t xml:space="preserve">Rells, </w:t>
      </w:r>
      <w:r w:rsidRPr="000B3A76">
        <w:rPr>
          <w:i/>
          <w:iCs/>
        </w:rPr>
        <w:t>supra</w:t>
      </w:r>
      <w:r>
        <w:t xml:space="preserve">, </w:t>
      </w:r>
      <w:r w:rsidRPr="000B3A76">
        <w:t>22</w:t>
      </w:r>
      <w:r w:rsidR="00EF7CAF">
        <w:t> </w:t>
      </w:r>
      <w:r w:rsidRPr="000B3A76">
        <w:t xml:space="preserve">Cal.4th </w:t>
      </w:r>
      <w:r>
        <w:t>at p.</w:t>
      </w:r>
      <w:r w:rsidR="000F5E81">
        <w:t> </w:t>
      </w:r>
      <w:r w:rsidRPr="000B3A76">
        <w:t>868</w:t>
      </w:r>
      <w:r w:rsidR="004230BD">
        <w:t>, italics added</w:t>
      </w:r>
      <w:r>
        <w:t xml:space="preserve">.)  At this hearing, </w:t>
      </w:r>
      <w:r w:rsidR="001C70AB">
        <w:t xml:space="preserve">as explained </w:t>
      </w:r>
      <w:r w:rsidR="001C70AB" w:rsidRPr="001C70AB">
        <w:rPr>
          <w:i/>
          <w:iCs/>
        </w:rPr>
        <w:t>post</w:t>
      </w:r>
      <w:r w:rsidR="001C70AB">
        <w:t xml:space="preserve">, </w:t>
      </w:r>
      <w:r w:rsidRPr="000B3A76">
        <w:t xml:space="preserve">the presumption </w:t>
      </w:r>
      <w:r>
        <w:t>of competence</w:t>
      </w:r>
      <w:r w:rsidR="009C2C17">
        <w:t xml:space="preserve"> </w:t>
      </w:r>
      <w:r w:rsidRPr="000B3A76">
        <w:t>operates as a principle of l</w:t>
      </w:r>
      <w:r w:rsidRPr="000B3A76">
        <w:t>aw</w:t>
      </w:r>
      <w:r w:rsidR="001C70AB">
        <w:t xml:space="preserve"> as </w:t>
      </w:r>
      <w:r w:rsidRPr="000B3A76">
        <w:t xml:space="preserve">in </w:t>
      </w:r>
      <w:r>
        <w:rPr>
          <w:i/>
          <w:iCs/>
        </w:rPr>
        <w:t>any</w:t>
      </w:r>
      <w:r w:rsidRPr="000B3A76">
        <w:t xml:space="preserve"> competency proceeding</w:t>
      </w:r>
      <w:r>
        <w:t xml:space="preserve">.  It </w:t>
      </w:r>
      <w:r w:rsidR="00871235">
        <w:t xml:space="preserve">is a </w:t>
      </w:r>
      <w:r>
        <w:t>misread</w:t>
      </w:r>
      <w:r w:rsidR="00871235">
        <w:t>ing of</w:t>
      </w:r>
      <w:r>
        <w:t xml:space="preserve"> </w:t>
      </w:r>
      <w:r w:rsidRPr="00CB6214">
        <w:rPr>
          <w:i/>
          <w:iCs/>
        </w:rPr>
        <w:t>Rells</w:t>
      </w:r>
      <w:r w:rsidRPr="000B3A76">
        <w:t xml:space="preserve"> </w:t>
      </w:r>
      <w:r>
        <w:t xml:space="preserve">to </w:t>
      </w:r>
      <w:r w:rsidR="000F5E81">
        <w:t xml:space="preserve">conclude </w:t>
      </w:r>
      <w:r>
        <w:t>that</w:t>
      </w:r>
      <w:r w:rsidRPr="000B3A76">
        <w:t xml:space="preserve"> a restoration certificate </w:t>
      </w:r>
      <w:r w:rsidR="00871235">
        <w:t xml:space="preserve">itself </w:t>
      </w:r>
      <w:r w:rsidRPr="000B3A76">
        <w:t>creates the presumption of competence.</w:t>
      </w:r>
    </w:p>
  </w:footnote>
  <w:footnote w:id="10">
    <w:p w14:paraId="3F29F142" w14:textId="77777777" w:rsidR="00785150" w:rsidRPr="005D2043" w:rsidRDefault="00AE6959" w:rsidP="00560442">
      <w:pPr>
        <w:pStyle w:val="FootnoteText"/>
      </w:pPr>
      <w:r w:rsidRPr="005D2043">
        <w:rPr>
          <w:rStyle w:val="FootnoteReference"/>
        </w:rPr>
        <w:footnoteRef/>
      </w:r>
      <w:r w:rsidRPr="005D2043">
        <w:t xml:space="preserve"> </w:t>
      </w:r>
      <w:r w:rsidRPr="005D2043">
        <w:tab/>
        <w:t xml:space="preserve">This </w:t>
      </w:r>
      <w:r w:rsidR="000C26CF" w:rsidRPr="005D2043">
        <w:t>contrasts with</w:t>
      </w:r>
      <w:r w:rsidRPr="005D2043">
        <w:t xml:space="preserve"> previous versions of the law, in which a </w:t>
      </w:r>
      <w:r w:rsidR="006E6EB9">
        <w:t>designated medical professional’s</w:t>
      </w:r>
      <w:r w:rsidRPr="005D2043">
        <w:t xml:space="preserve"> certification that a defendant has recovered mental competency served to render a person competent as a matter of law.  (See Stats. 1974, ch. 1511, § 7, p.</w:t>
      </w:r>
      <w:r w:rsidR="00773AC7">
        <w:t> </w:t>
      </w:r>
      <w:r w:rsidRPr="005D2043">
        <w:t xml:space="preserve">3320; </w:t>
      </w:r>
      <w:r w:rsidRPr="005D2043">
        <w:rPr>
          <w:i/>
          <w:iCs/>
        </w:rPr>
        <w:t>People v. Ashley</w:t>
      </w:r>
      <w:r w:rsidRPr="005D2043">
        <w:t> (</w:t>
      </w:r>
      <w:r w:rsidRPr="005D2043">
        <w:t>1963) 59 Cal.2d 339, 359 (</w:t>
      </w:r>
      <w:r w:rsidRPr="005D2043">
        <w:rPr>
          <w:i/>
          <w:iCs/>
        </w:rPr>
        <w:t>Ashley</w:t>
      </w:r>
      <w:r w:rsidRPr="005D2043">
        <w:t xml:space="preserve">) [after a superintendent of a state hospital certifies that a defendant has regained competence, “[t]he defendant is then to be tried”]; </w:t>
      </w:r>
      <w:r w:rsidRPr="005D2043">
        <w:rPr>
          <w:i/>
          <w:iCs/>
        </w:rPr>
        <w:t>In re Phyle</w:t>
      </w:r>
      <w:r w:rsidRPr="005D2043">
        <w:t> (1947) 30 Cal.2d 838, 843–844 (</w:t>
      </w:r>
      <w:r w:rsidRPr="005D2043">
        <w:rPr>
          <w:i/>
          <w:iCs/>
        </w:rPr>
        <w:t>Phyle</w:t>
      </w:r>
      <w:r w:rsidRPr="005D2043">
        <w:t xml:space="preserve">); </w:t>
      </w:r>
      <w:r w:rsidRPr="005D2043">
        <w:rPr>
          <w:i/>
          <w:iCs/>
        </w:rPr>
        <w:t>People v. Superior Court</w:t>
      </w:r>
      <w:r w:rsidR="00112261">
        <w:rPr>
          <w:i/>
          <w:iCs/>
        </w:rPr>
        <w:t xml:space="preserve"> </w:t>
      </w:r>
      <w:r w:rsidR="00112261">
        <w:t>(</w:t>
      </w:r>
      <w:r w:rsidRPr="005D2043">
        <w:rPr>
          <w:i/>
          <w:iCs/>
        </w:rPr>
        <w:t>Contra Co</w:t>
      </w:r>
      <w:r w:rsidRPr="005D2043">
        <w:rPr>
          <w:i/>
          <w:iCs/>
        </w:rPr>
        <w:t>sta County</w:t>
      </w:r>
      <w:r w:rsidR="00112261" w:rsidRPr="0030214C">
        <w:t>)</w:t>
      </w:r>
      <w:r w:rsidRPr="005D2043">
        <w:t> (1935) 4 Cal.2d 136, 145</w:t>
      </w:r>
      <w:r w:rsidR="00112261">
        <w:t xml:space="preserve"> (</w:t>
      </w:r>
      <w:r w:rsidR="00112261" w:rsidRPr="0030214C">
        <w:rPr>
          <w:i/>
          <w:iCs/>
        </w:rPr>
        <w:t>Contra Costa County</w:t>
      </w:r>
      <w:r w:rsidR="00112261">
        <w:t>)</w:t>
      </w:r>
      <w:r w:rsidRPr="005D2043">
        <w:t>.)</w:t>
      </w:r>
    </w:p>
  </w:footnote>
  <w:footnote w:id="11">
    <w:p w14:paraId="3F29F143" w14:textId="77777777" w:rsidR="003841BE" w:rsidRDefault="00AE6959" w:rsidP="0092514F">
      <w:pPr>
        <w:pStyle w:val="FootnoteText"/>
      </w:pPr>
      <w:r>
        <w:rPr>
          <w:rStyle w:val="FootnoteReference"/>
        </w:rPr>
        <w:footnoteRef/>
      </w:r>
      <w:r>
        <w:t xml:space="preserve"> </w:t>
      </w:r>
      <w:r>
        <w:tab/>
      </w:r>
      <w:r w:rsidR="000777B7">
        <w:t>In this case, t</w:t>
      </w:r>
      <w:r w:rsidR="0092514F" w:rsidRPr="005D2043">
        <w:t>he dates of the trial court’s orders of commitment</w:t>
      </w:r>
      <w:r w:rsidR="0092514F">
        <w:t xml:space="preserve"> </w:t>
      </w:r>
      <w:r w:rsidR="0092514F" w:rsidRPr="005D2043">
        <w:t>are not the dates of Rodriguez’s transport to a state hospital or the dates of his admission to such a facility — i.e., they are not when Rodriguez was “physically placed in the care and custody of the state hospital for restoration treatment.”</w:t>
      </w:r>
      <w:r w:rsidR="0092514F">
        <w:t xml:space="preserve">  T</w:t>
      </w:r>
      <w:r w:rsidR="0092514F" w:rsidRPr="005D2043">
        <w:t xml:space="preserve">he record does not reflect when Rodriguez was transported to or from a state hospital for either of his two commitments (see </w:t>
      </w:r>
      <w:r w:rsidR="0092514F" w:rsidRPr="005D2043">
        <w:rPr>
          <w:i/>
          <w:iCs/>
        </w:rPr>
        <w:t>Rodriguez</w:t>
      </w:r>
      <w:r w:rsidR="0092514F" w:rsidRPr="005D2043">
        <w:t xml:space="preserve">, </w:t>
      </w:r>
      <w:r w:rsidR="0092514F" w:rsidRPr="005D2043">
        <w:rPr>
          <w:i/>
          <w:iCs/>
        </w:rPr>
        <w:t>supra</w:t>
      </w:r>
      <w:r w:rsidR="0092514F" w:rsidRPr="005D2043">
        <w:t>, 70 Cal.App.5th at pp. 636–638), making it impossible to evaluate how long Rodriguez has been committed under the People’s reading of the statutes.  This gap in the record may be explained by the fact that the parties below agreed that the dates of the transports were not legally significant.</w:t>
      </w:r>
      <w:r w:rsidR="0092514F">
        <w:t xml:space="preserve">  </w:t>
      </w:r>
      <w:r w:rsidR="0092514F" w:rsidRPr="005D2043">
        <w:t>Before the Court of Appeal, the People “apparently concede[d] that Rodriguez’s ‘commitment’ under section 1370(c)(1) began on the date of the trial court’s order of commitment.”  (</w:t>
      </w:r>
      <w:r w:rsidR="0074263F">
        <w:rPr>
          <w:i/>
          <w:iCs/>
        </w:rPr>
        <w:t>Id</w:t>
      </w:r>
      <w:r w:rsidR="0074263F">
        <w:t>.</w:t>
      </w:r>
      <w:r w:rsidR="0092514F" w:rsidRPr="005D2043">
        <w:t xml:space="preserve"> at p. 650, fn.</w:t>
      </w:r>
      <w:r w:rsidR="0092514F">
        <w:t> </w:t>
      </w:r>
      <w:r w:rsidR="0092514F" w:rsidRPr="005D2043">
        <w:t xml:space="preserve">14.)  </w:t>
      </w:r>
    </w:p>
  </w:footnote>
  <w:footnote w:id="12">
    <w:p w14:paraId="3F29F144" w14:textId="77777777" w:rsidR="0052269F" w:rsidRPr="005D2043" w:rsidRDefault="00AE6959" w:rsidP="00560442">
      <w:pPr>
        <w:pStyle w:val="FootnoteText"/>
      </w:pPr>
      <w:r w:rsidRPr="005D2043">
        <w:rPr>
          <w:rStyle w:val="FootnoteReference"/>
        </w:rPr>
        <w:footnoteRef/>
      </w:r>
      <w:r w:rsidRPr="005D2043">
        <w:t xml:space="preserve"> </w:t>
      </w:r>
      <w:r w:rsidRPr="005D2043">
        <w:tab/>
      </w:r>
      <w:r w:rsidR="006E6EB9">
        <w:t>W</w:t>
      </w:r>
      <w:r w:rsidR="004976B9" w:rsidRPr="005D2043">
        <w:t xml:space="preserve">e need not decide in this case whether defendants placed on outpatient status </w:t>
      </w:r>
      <w:r w:rsidR="004976B9">
        <w:t xml:space="preserve">(see § 1370, subd. (a)(1)(B)(i), (2)(A)(ii)) </w:t>
      </w:r>
      <w:r w:rsidR="004976B9" w:rsidRPr="005D2043">
        <w:t>are, in fact, committed for purposes of the two-year limit</w:t>
      </w:r>
      <w:r w:rsidR="006E6EB9">
        <w:t xml:space="preserve">. </w:t>
      </w:r>
      <w:r w:rsidR="004976B9" w:rsidRPr="005D2043">
        <w:t xml:space="preserve"> </w:t>
      </w:r>
      <w:r w:rsidR="006E6EB9">
        <w:t>U</w:t>
      </w:r>
      <w:r w:rsidR="004976B9" w:rsidRPr="00560442">
        <w:t xml:space="preserve">nder the People’s reading of the statutes, </w:t>
      </w:r>
      <w:r w:rsidR="006E6EB9">
        <w:t xml:space="preserve">however, </w:t>
      </w:r>
      <w:r w:rsidR="004976B9" w:rsidRPr="00560442">
        <w:t xml:space="preserve">defendants who are on outpatient status are </w:t>
      </w:r>
      <w:r w:rsidR="004976B9" w:rsidRPr="00560442">
        <w:rPr>
          <w:i/>
          <w:iCs/>
        </w:rPr>
        <w:t>never</w:t>
      </w:r>
      <w:r w:rsidR="004976B9" w:rsidRPr="00560442">
        <w:t xml:space="preserve"> committed because they are never physically in the custody of a treatment facility.  </w:t>
      </w:r>
      <w:r w:rsidR="006E6EB9">
        <w:t>It is unclear what meaning, if any, section 1370(c)(1)’s two-year</w:t>
      </w:r>
      <w:r w:rsidR="004976B9" w:rsidRPr="00560442">
        <w:t xml:space="preserve"> limit </w:t>
      </w:r>
      <w:r w:rsidR="006E6EB9">
        <w:t xml:space="preserve">would have </w:t>
      </w:r>
      <w:r w:rsidR="004976B9" w:rsidRPr="00560442">
        <w:t>under the People’s reading.</w:t>
      </w:r>
    </w:p>
  </w:footnote>
  <w:footnote w:id="13">
    <w:p w14:paraId="3F29F145" w14:textId="77777777" w:rsidR="00D016D9" w:rsidRPr="005D2043" w:rsidRDefault="00AE6959" w:rsidP="00560442">
      <w:pPr>
        <w:pStyle w:val="FootnoteText"/>
      </w:pPr>
      <w:r w:rsidRPr="005D2043">
        <w:rPr>
          <w:rStyle w:val="FootnoteReference"/>
        </w:rPr>
        <w:footnoteRef/>
      </w:r>
      <w:r w:rsidRPr="005D2043">
        <w:t xml:space="preserve"> </w:t>
      </w:r>
      <w:r w:rsidRPr="005D2043">
        <w:tab/>
      </w:r>
      <w:r w:rsidR="005E1961" w:rsidRPr="005D2043">
        <w:t>T</w:t>
      </w:r>
      <w:r w:rsidR="00612FFA" w:rsidRPr="005D2043">
        <w:t>he People’s</w:t>
      </w:r>
      <w:r w:rsidRPr="005D2043">
        <w:t xml:space="preserve"> argument </w:t>
      </w:r>
      <w:r w:rsidR="005E1961" w:rsidRPr="005D2043">
        <w:t xml:space="preserve">also ignores </w:t>
      </w:r>
      <w:r w:rsidRPr="005D2043">
        <w:t xml:space="preserve">the </w:t>
      </w:r>
      <w:r w:rsidR="002D680C" w:rsidRPr="005D2043">
        <w:t>possibility</w:t>
      </w:r>
      <w:r w:rsidRPr="005D2043">
        <w:t xml:space="preserve"> that an incompetent defendant may be treated at the county jail.  Welfare and Institutions Code section</w:t>
      </w:r>
      <w:r w:rsidR="00022FCA" w:rsidRPr="005D2043">
        <w:t> </w:t>
      </w:r>
      <w:r w:rsidRPr="005D2043">
        <w:t>4100 enumerates the types of facilities over which the Department has jurisdiction.  Among these are</w:t>
      </w:r>
      <w:r w:rsidRPr="005D2043">
        <w:t xml:space="preserve"> “county jail treatment facilit[ies] under contract with the State Department of State Hospitals to provide competency restoration services.”  (Welf. &amp; Inst. Code, § 4100, subd.</w:t>
      </w:r>
      <w:r w:rsidR="00022FCA" w:rsidRPr="005D2043">
        <w:t> </w:t>
      </w:r>
      <w:r w:rsidRPr="005D2043">
        <w:t>(g).)  A defendant committed to a Department facility could be at the county j</w:t>
      </w:r>
      <w:r w:rsidRPr="005D2043">
        <w:t>ail treatment facility for the entire commitment period.</w:t>
      </w:r>
    </w:p>
    <w:p w14:paraId="3F29F146" w14:textId="77777777" w:rsidR="00D016D9" w:rsidRPr="005D2043" w:rsidRDefault="00AE6959" w:rsidP="00560442">
      <w:pPr>
        <w:pStyle w:val="FootnoteText"/>
        <w:ind w:firstLine="720"/>
      </w:pPr>
      <w:r w:rsidRPr="005D2043">
        <w:t>Section 1370(c)(1) th</w:t>
      </w:r>
      <w:r w:rsidR="005E1961" w:rsidRPr="005D2043">
        <w:t>erefore</w:t>
      </w:r>
      <w:r w:rsidRPr="005D2043">
        <w:t xml:space="preserve"> requires that </w:t>
      </w:r>
      <w:r w:rsidR="005E1961" w:rsidRPr="005D2043">
        <w:t xml:space="preserve">defendants </w:t>
      </w:r>
      <w:r w:rsidRPr="005D2043">
        <w:t>treated at the county jails “be returned to the committing court” and their “custody . . . be transferred without delay to the committing county”</w:t>
      </w:r>
      <w:r w:rsidRPr="005D2043">
        <w:t xml:space="preserve"> at the end of their maximum terms of commitment</w:t>
      </w:r>
      <w:r w:rsidR="001B1491">
        <w:t xml:space="preserve"> and “</w:t>
      </w:r>
      <w:r w:rsidR="001B1491" w:rsidRPr="001B1491">
        <w:t>shall remain with the county until further order of the court</w:t>
      </w:r>
      <w:r w:rsidRPr="005D2043">
        <w:t>.</w:t>
      </w:r>
      <w:r w:rsidR="001B1491">
        <w:t>”</w:t>
      </w:r>
      <w:r w:rsidRPr="005D2043">
        <w:t xml:space="preserve">  (</w:t>
      </w:r>
      <w:r w:rsidR="008973FE" w:rsidRPr="005D2043">
        <w:rPr>
          <w:i/>
          <w:iCs/>
        </w:rPr>
        <w:t>Ibid</w:t>
      </w:r>
      <w:r w:rsidRPr="005D2043">
        <w:t>.)  This means that section</w:t>
      </w:r>
      <w:r w:rsidR="00022FCA" w:rsidRPr="005D2043">
        <w:t> </w:t>
      </w:r>
      <w:r w:rsidRPr="005D2043">
        <w:t>1370(c)(1) requires</w:t>
      </w:r>
      <w:r w:rsidR="00484B1D" w:rsidRPr="005D2043">
        <w:t xml:space="preserve"> </w:t>
      </w:r>
      <w:r w:rsidR="00022FCA" w:rsidRPr="005D2043">
        <w:t>defendants</w:t>
      </w:r>
      <w:r w:rsidRPr="005D2043">
        <w:t xml:space="preserve"> already in county </w:t>
      </w:r>
      <w:r w:rsidR="00771843" w:rsidRPr="005D2043">
        <w:t>custody</w:t>
      </w:r>
      <w:r w:rsidRPr="005D2043">
        <w:t xml:space="preserve"> be returned to county custody</w:t>
      </w:r>
      <w:r w:rsidR="001B1491">
        <w:t xml:space="preserve"> until the court takes action regarding their commitment status</w:t>
      </w:r>
      <w:r w:rsidRPr="005D2043">
        <w:t>.  (</w:t>
      </w:r>
      <w:r w:rsidRPr="005D2043">
        <w:rPr>
          <w:i/>
          <w:iCs/>
        </w:rPr>
        <w:t>Ibid</w:t>
      </w:r>
      <w:r w:rsidRPr="005D2043">
        <w:t>.)  Yet, the People do not argue that section</w:t>
      </w:r>
      <w:r w:rsidR="00022FCA" w:rsidRPr="005D2043">
        <w:t> </w:t>
      </w:r>
      <w:r w:rsidRPr="005D2043">
        <w:t xml:space="preserve">1370(c)(1) </w:t>
      </w:r>
      <w:r w:rsidR="00F27851" w:rsidRPr="005D2043">
        <w:t xml:space="preserve">is inapplicable to </w:t>
      </w:r>
      <w:r w:rsidR="00022FCA" w:rsidRPr="005D2043">
        <w:t xml:space="preserve">defendants </w:t>
      </w:r>
      <w:r w:rsidR="00F27851" w:rsidRPr="005D2043">
        <w:t xml:space="preserve">receiving treatment at a county jail facility despite their </w:t>
      </w:r>
      <w:r w:rsidR="001D7A8E" w:rsidRPr="005D2043">
        <w:t xml:space="preserve">county </w:t>
      </w:r>
      <w:r w:rsidR="00F27851" w:rsidRPr="005D2043">
        <w:t xml:space="preserve">custody constituting “an event that has already occurred.”  </w:t>
      </w:r>
      <w:r w:rsidRPr="005D2043">
        <w:t xml:space="preserve">For such </w:t>
      </w:r>
      <w:r w:rsidR="00022FCA" w:rsidRPr="005D2043">
        <w:t>defendants</w:t>
      </w:r>
      <w:r w:rsidRPr="005D2043">
        <w:t xml:space="preserve">, like </w:t>
      </w:r>
      <w:r w:rsidR="00022FCA" w:rsidRPr="005D2043">
        <w:t xml:space="preserve">those </w:t>
      </w:r>
      <w:r w:rsidRPr="005D2043">
        <w:t>in Rodriguez’s situation, section</w:t>
      </w:r>
      <w:r w:rsidR="00022FCA" w:rsidRPr="005D2043">
        <w:t> </w:t>
      </w:r>
      <w:r w:rsidRPr="005D2043">
        <w:t xml:space="preserve">1370(c)(1) </w:t>
      </w:r>
      <w:r w:rsidR="00771843" w:rsidRPr="005D2043">
        <w:t xml:space="preserve">is applicable regardless of the </w:t>
      </w:r>
      <w:r w:rsidR="00022FCA" w:rsidRPr="005D2043">
        <w:t xml:space="preserve">defendant’s </w:t>
      </w:r>
      <w:r w:rsidR="00771843" w:rsidRPr="005D2043">
        <w:t>physical location.</w:t>
      </w:r>
    </w:p>
  </w:footnote>
  <w:footnote w:id="14">
    <w:p w14:paraId="3F29F147" w14:textId="77777777" w:rsidR="00E8312C" w:rsidRDefault="00AE6959" w:rsidP="00560442">
      <w:pPr>
        <w:pStyle w:val="FootnoteText"/>
      </w:pPr>
      <w:r w:rsidRPr="005D2043">
        <w:rPr>
          <w:rStyle w:val="FootnoteReference"/>
        </w:rPr>
        <w:footnoteRef/>
      </w:r>
      <w:r w:rsidRPr="005D2043">
        <w:t xml:space="preserve"> </w:t>
      </w:r>
      <w:r w:rsidRPr="005D2043">
        <w:tab/>
        <w:t>These reporting requirements have remained substantial</w:t>
      </w:r>
      <w:r w:rsidRPr="005D2043">
        <w:t>ly unchanged since 1974, although the statutory language has been amended to take into account placement options not previously available.  (See § 1370, subd. (b).)</w:t>
      </w:r>
    </w:p>
    <w:p w14:paraId="3F29F148" w14:textId="77777777" w:rsidR="00FF21B5" w:rsidRPr="005D2043" w:rsidRDefault="00AE6959" w:rsidP="00560442">
      <w:pPr>
        <w:pStyle w:val="FootnoteText"/>
      </w:pPr>
      <w:r>
        <w:tab/>
      </w:r>
      <w:r w:rsidRPr="005D2043">
        <w:t>Relying on passages from various Court of Appeal decisions, the People argue that “[t]he e</w:t>
      </w:r>
      <w:r w:rsidRPr="005D2043">
        <w:t xml:space="preserve">vil remedied by </w:t>
      </w:r>
      <w:r w:rsidRPr="005D2043">
        <w:rPr>
          <w:i/>
          <w:iCs/>
        </w:rPr>
        <w:t xml:space="preserve">In re Davis </w:t>
      </w:r>
      <w:r w:rsidRPr="005D2043">
        <w:t>and later addressed by the Legislature in enacting section 1370, subd. (c)(1) [in 1974]</w:t>
      </w:r>
      <w:r>
        <w:t>,</w:t>
      </w:r>
      <w:r w:rsidRPr="005D2043">
        <w:t xml:space="preserve"> was the languishing of incompetent defendants </w:t>
      </w:r>
      <w:r w:rsidRPr="005D2043">
        <w:rPr>
          <w:i/>
          <w:iCs/>
        </w:rPr>
        <w:t>in treatment facilities</w:t>
      </w:r>
      <w:r w:rsidRPr="005D2043">
        <w:t>, not delays in judicial determinations of competency or other court b</w:t>
      </w:r>
      <w:r w:rsidRPr="005D2043">
        <w:t xml:space="preserve">usiness when defendants are within the court’s direct control.”  </w:t>
      </w:r>
      <w:r w:rsidRPr="005D2043">
        <w:rPr>
          <w:i/>
          <w:iCs/>
        </w:rPr>
        <w:t>Davis</w:t>
      </w:r>
      <w:r w:rsidRPr="00961F2F">
        <w:t xml:space="preserve"> </w:t>
      </w:r>
      <w:r w:rsidRPr="005D2043">
        <w:t>makes clear, however, that we were also concerned with the lack of court supervision over defendants “confined in state hospitals.”  (</w:t>
      </w:r>
      <w:r w:rsidRPr="005D2043">
        <w:rPr>
          <w:i/>
          <w:iCs/>
        </w:rPr>
        <w:t>Davis</w:t>
      </w:r>
      <w:r w:rsidRPr="005D2043">
        <w:t xml:space="preserve">, </w:t>
      </w:r>
      <w:r w:rsidRPr="005D2043">
        <w:rPr>
          <w:i/>
          <w:iCs/>
        </w:rPr>
        <w:t>supra</w:t>
      </w:r>
      <w:r w:rsidRPr="005D2043">
        <w:t xml:space="preserve">, 8 Cal.3d at p. 806.)  It was with an </w:t>
      </w:r>
      <w:r w:rsidRPr="005D2043">
        <w:t>eye toward imposing more judicial oversight that we directed “the hospitals’ authorities [to] report [to the superior courts]</w:t>
      </w:r>
      <w:r w:rsidR="000872A1">
        <w:t xml:space="preserve"> . . .</w:t>
      </w:r>
      <w:r w:rsidRPr="005D2043">
        <w:t xml:space="preserve"> regarding the</w:t>
      </w:r>
      <w:r w:rsidR="00606576">
        <w:t> </w:t>
      </w:r>
      <w:r w:rsidRPr="005D2043">
        <w:t>. . . progress toward competence” of “all persons</w:t>
      </w:r>
      <w:r>
        <w:t> . . .</w:t>
      </w:r>
      <w:r w:rsidRPr="005D2043">
        <w:t xml:space="preserve"> committed as incompetent to stand trial.”  (</w:t>
      </w:r>
      <w:r w:rsidRPr="005D2043">
        <w:rPr>
          <w:i/>
          <w:iCs/>
        </w:rPr>
        <w:t>Ibid</w:t>
      </w:r>
      <w:r w:rsidRPr="005D2043">
        <w:t>.)  Th</w:t>
      </w:r>
      <w:r w:rsidRPr="005D2043">
        <w:t xml:space="preserve">ese reporting requirements, designed to help courts determine whether progress was made in restoring competency, were then enacted into law when the Legislature overhauled the competency statutory scheme in 1974.  In other words, our court in </w:t>
      </w:r>
      <w:r w:rsidRPr="005D2043">
        <w:rPr>
          <w:i/>
          <w:iCs/>
        </w:rPr>
        <w:t xml:space="preserve">Davis </w:t>
      </w:r>
      <w:r w:rsidRPr="005D2043">
        <w:t>and the</w:t>
      </w:r>
      <w:r w:rsidRPr="005D2043">
        <w:t xml:space="preserve"> Legislature in 1974 both sought to put incompetent defendants more “within the court’s direct control.”</w:t>
      </w:r>
    </w:p>
  </w:footnote>
  <w:footnote w:id="15">
    <w:p w14:paraId="3F29F149" w14:textId="77777777" w:rsidR="00B83A7F" w:rsidRPr="005D2043" w:rsidRDefault="00AE6959" w:rsidP="00560442">
      <w:pPr>
        <w:pStyle w:val="FootnoteText"/>
      </w:pPr>
      <w:r w:rsidRPr="005D2043">
        <w:rPr>
          <w:rStyle w:val="FootnoteReference"/>
        </w:rPr>
        <w:footnoteRef/>
      </w:r>
      <w:r w:rsidRPr="005D2043">
        <w:t xml:space="preserve"> </w:t>
      </w:r>
      <w:r w:rsidRPr="005D2043">
        <w:tab/>
        <w:t xml:space="preserve">The courts in </w:t>
      </w:r>
      <w:r w:rsidRPr="005D2043">
        <w:rPr>
          <w:i/>
          <w:iCs/>
        </w:rPr>
        <w:t>Carr</w:t>
      </w:r>
      <w:r w:rsidRPr="005D2043">
        <w:t xml:space="preserve"> and </w:t>
      </w:r>
      <w:r w:rsidRPr="005D2043">
        <w:rPr>
          <w:i/>
          <w:iCs/>
        </w:rPr>
        <w:t>Rodriguez</w:t>
      </w:r>
      <w:r w:rsidRPr="005D2043">
        <w:t xml:space="preserve"> touch</w:t>
      </w:r>
      <w:r w:rsidR="009D404F" w:rsidRPr="005D2043">
        <w:t>ed</w:t>
      </w:r>
      <w:r w:rsidRPr="005D2043">
        <w:t xml:space="preserve"> on this </w:t>
      </w:r>
      <w:r w:rsidR="001555E3" w:rsidRPr="005D2043">
        <w:t>point</w:t>
      </w:r>
      <w:r w:rsidR="002F185F" w:rsidRPr="005D2043">
        <w:t xml:space="preserve"> as it relates to the question before us</w:t>
      </w:r>
      <w:r w:rsidRPr="005D2043">
        <w:t xml:space="preserve">.  </w:t>
      </w:r>
      <w:r w:rsidR="002F185F" w:rsidRPr="005D2043">
        <w:t>T</w:t>
      </w:r>
      <w:r w:rsidRPr="005D2043">
        <w:t xml:space="preserve">he </w:t>
      </w:r>
      <w:r w:rsidRPr="005D2043">
        <w:rPr>
          <w:i/>
          <w:iCs/>
        </w:rPr>
        <w:t>Carr</w:t>
      </w:r>
      <w:r w:rsidRPr="005D2043">
        <w:t xml:space="preserve"> </w:t>
      </w:r>
      <w:r w:rsidR="00B954FA" w:rsidRPr="005D2043">
        <w:t xml:space="preserve">court </w:t>
      </w:r>
      <w:r w:rsidR="002F185F" w:rsidRPr="005D2043">
        <w:t>reasoned that</w:t>
      </w:r>
      <w:r w:rsidRPr="005D2043">
        <w:t xml:space="preserve"> “if the commitment terminates when a health official files a certification of competence, [no] plausible purpose [</w:t>
      </w:r>
      <w:r w:rsidR="001555E3" w:rsidRPr="005D2043">
        <w:t>would be</w:t>
      </w:r>
      <w:r w:rsidRPr="005D2043">
        <w:t xml:space="preserve">] served in requiring </w:t>
      </w:r>
      <w:r w:rsidR="00815FE7" w:rsidRPr="005D2043">
        <w:t xml:space="preserve">[a] </w:t>
      </w:r>
      <w:r w:rsidRPr="005D2043">
        <w:t>court to approve the certification as expressly contemplated in section 1372, subdivision (d).”  (</w:t>
      </w:r>
      <w:r w:rsidRPr="005D2043">
        <w:rPr>
          <w:i/>
          <w:iCs/>
        </w:rPr>
        <w:t>Carr</w:t>
      </w:r>
      <w:r w:rsidRPr="005D2043">
        <w:t xml:space="preserve">, </w:t>
      </w:r>
      <w:r w:rsidRPr="005D2043">
        <w:rPr>
          <w:i/>
          <w:iCs/>
        </w:rPr>
        <w:t>sup</w:t>
      </w:r>
      <w:r w:rsidRPr="005D2043">
        <w:rPr>
          <w:i/>
          <w:iCs/>
        </w:rPr>
        <w:t>ra</w:t>
      </w:r>
      <w:r w:rsidRPr="005D2043">
        <w:t xml:space="preserve">, 59 Cal.App.5th at p. 1145.)  The court below responded to </w:t>
      </w:r>
      <w:r w:rsidRPr="005D2043">
        <w:rPr>
          <w:i/>
          <w:iCs/>
        </w:rPr>
        <w:t>Carr</w:t>
      </w:r>
      <w:r w:rsidRPr="005D2043">
        <w:t xml:space="preserve"> by positing that “[t]he issuance of the restoration certificate and the subsequent court hearing have distinct statutory objectives.”  (</w:t>
      </w:r>
      <w:r w:rsidRPr="005D2043">
        <w:rPr>
          <w:i/>
          <w:iCs/>
        </w:rPr>
        <w:t>Rodriguez</w:t>
      </w:r>
      <w:r w:rsidRPr="005D2043">
        <w:t xml:space="preserve">, </w:t>
      </w:r>
      <w:r w:rsidRPr="005D2043">
        <w:rPr>
          <w:i/>
          <w:iCs/>
        </w:rPr>
        <w:t>supra</w:t>
      </w:r>
      <w:r w:rsidRPr="005D2043">
        <w:t>, 70 Cal.App.5th at p. 652.)  Accordi</w:t>
      </w:r>
      <w:r w:rsidRPr="005D2043">
        <w:t xml:space="preserve">ng to </w:t>
      </w:r>
      <w:r w:rsidR="00CB4CBD" w:rsidRPr="005D2043">
        <w:rPr>
          <w:i/>
          <w:iCs/>
        </w:rPr>
        <w:t>Rodriguez</w:t>
      </w:r>
      <w:r w:rsidRPr="005D2043">
        <w:t>, “[t]he certificate of restoration to competence by the designated health official and prompt return to the trial court vindicates the defendant’s right not to remain longer than two years in the treatment facility,” whereas “[t]he judicial</w:t>
      </w:r>
      <w:r w:rsidRPr="005D2043">
        <w:t xml:space="preserve"> determination of restoration of competency ensures that the defendant is not tried if incompetent.”  (</w:t>
      </w:r>
      <w:r w:rsidRPr="005D2043">
        <w:rPr>
          <w:i/>
          <w:iCs/>
        </w:rPr>
        <w:t>Id</w:t>
      </w:r>
      <w:r w:rsidRPr="005D2043">
        <w:t>. at p.</w:t>
      </w:r>
      <w:r w:rsidR="00A6376F" w:rsidRPr="005D2043">
        <w:t> </w:t>
      </w:r>
      <w:r w:rsidRPr="005D2043">
        <w:t xml:space="preserve">655.)  The fact remains, however, </w:t>
      </w:r>
      <w:r w:rsidR="00CD6888" w:rsidRPr="005D2043">
        <w:t xml:space="preserve">that </w:t>
      </w:r>
      <w:r w:rsidRPr="005D2043">
        <w:t xml:space="preserve">the </w:t>
      </w:r>
      <w:r w:rsidR="00FF21B5">
        <w:t xml:space="preserve">designated medical professional </w:t>
      </w:r>
      <w:r w:rsidRPr="005D2043">
        <w:t>and the court are making the same determination</w:t>
      </w:r>
      <w:r w:rsidR="00860EBC" w:rsidRPr="005D2043">
        <w:t xml:space="preserve"> — </w:t>
      </w:r>
      <w:r w:rsidRPr="005D2043">
        <w:t>whether</w:t>
      </w:r>
      <w:r w:rsidR="00860EBC" w:rsidRPr="005D2043">
        <w:t xml:space="preserve"> </w:t>
      </w:r>
      <w:r w:rsidRPr="005D2043">
        <w:t>the defend</w:t>
      </w:r>
      <w:r w:rsidRPr="005D2043">
        <w:t>ant is competent</w:t>
      </w:r>
      <w:r w:rsidR="00860EBC" w:rsidRPr="005D2043">
        <w:t> — and the court’s decision controls.</w:t>
      </w:r>
    </w:p>
  </w:footnote>
  <w:footnote w:id="16">
    <w:p w14:paraId="3F29F14A" w14:textId="77777777" w:rsidR="006F31FF" w:rsidRDefault="00AE6959">
      <w:pPr>
        <w:pStyle w:val="FootnoteText"/>
      </w:pPr>
      <w:r>
        <w:rPr>
          <w:rStyle w:val="FootnoteReference"/>
        </w:rPr>
        <w:footnoteRef/>
      </w:r>
      <w:r>
        <w:t xml:space="preserve"> </w:t>
      </w:r>
      <w:r>
        <w:tab/>
        <w:t>Likewise, “</w:t>
      </w:r>
      <w:r w:rsidRPr="006F31FF">
        <w:t>the court shall proceed as if a certificate of restoration of competence has been returned</w:t>
      </w:r>
      <w:r>
        <w:t>” if the Department elects to conduct a telehealth reevaluation of a defendant adjudicated mentall</w:t>
      </w:r>
      <w:r>
        <w:t>y incompetent when the defendant is still in county custody and “</w:t>
      </w:r>
      <w:r w:rsidRPr="006F31FF">
        <w:t>in the opinion of the department’s expert, the defendant has regained competence</w:t>
      </w:r>
      <w:r>
        <w:t>.”  (</w:t>
      </w:r>
      <w:r w:rsidRPr="006F31FF">
        <w:t>§</w:t>
      </w:r>
      <w:r>
        <w:t> </w:t>
      </w:r>
      <w:r w:rsidRPr="006F31FF">
        <w:t>1370</w:t>
      </w:r>
      <w:r>
        <w:t xml:space="preserve">, subd. (a)(1)(H)(ii).)  </w:t>
      </w:r>
      <w:r w:rsidRPr="006F31FF">
        <w:t>If the filing of a certificate ends a commitment as the People argue, it fo</w:t>
      </w:r>
      <w:r w:rsidRPr="006F31FF">
        <w:t xml:space="preserve">llows that an opinion of restored competency </w:t>
      </w:r>
      <w:r w:rsidR="00473C2C">
        <w:t xml:space="preserve">rendered under section 1370, subdivision (a)(1)(G) and (a)(1)(H) </w:t>
      </w:r>
      <w:r w:rsidRPr="006F31FF">
        <w:t xml:space="preserve">should also automatically end a commitment.  </w:t>
      </w:r>
      <w:bookmarkStart w:id="6" w:name="_Hlk148084520"/>
      <w:r w:rsidRPr="006F31FF">
        <w:t xml:space="preserve">It seems unlikely the Legislature would have intended </w:t>
      </w:r>
      <w:r w:rsidR="006B556A">
        <w:t>for multiple events, potentially happening on different dates, to mark the end of a commitment, as that would sow conflict and confusion.</w:t>
      </w:r>
      <w:bookmarkEnd w:id="6"/>
    </w:p>
  </w:footnote>
  <w:footnote w:id="17">
    <w:p w14:paraId="3F29F14B" w14:textId="77777777" w:rsidR="00816B27" w:rsidRPr="005D2043" w:rsidRDefault="00AE6959" w:rsidP="00560442">
      <w:pPr>
        <w:pStyle w:val="FootnoteText"/>
      </w:pPr>
      <w:r w:rsidRPr="005D2043">
        <w:rPr>
          <w:rStyle w:val="FootnoteReference"/>
        </w:rPr>
        <w:footnoteRef/>
      </w:r>
      <w:r w:rsidRPr="005D2043">
        <w:t xml:space="preserve"> </w:t>
      </w:r>
      <w:r w:rsidRPr="005D2043">
        <w:tab/>
        <w:t xml:space="preserve">As </w:t>
      </w:r>
      <w:r w:rsidR="008E4165" w:rsidRPr="005D2043">
        <w:t xml:space="preserve">various amicus </w:t>
      </w:r>
      <w:r w:rsidR="00B657F4" w:rsidRPr="005D2043">
        <w:t>curiae point out, the People’s position would mean that commitment does not encompass “the period of time while an individual is awaiting treatment even where the current average wait time for placement in a state hospital competency restoration program” is significant.</w:t>
      </w:r>
      <w:r w:rsidR="003A1D17">
        <w:t xml:space="preserve">  As discussed </w:t>
      </w:r>
      <w:r w:rsidR="003A1D17" w:rsidRPr="003A1D17">
        <w:rPr>
          <w:i/>
          <w:iCs/>
        </w:rPr>
        <w:t>ante</w:t>
      </w:r>
      <w:r w:rsidR="003A1D17">
        <w:t>, such an interpretation runs counter to the legislative intent to limit the period of detention due to incompetency and provide certainty regarding the length of the detention period.</w:t>
      </w:r>
    </w:p>
  </w:footnote>
  <w:footnote w:id="18">
    <w:p w14:paraId="3F29F14C" w14:textId="77777777" w:rsidR="00E53766" w:rsidRDefault="00AE6959" w:rsidP="00E53766">
      <w:pPr>
        <w:pStyle w:val="FootnoteText"/>
      </w:pPr>
      <w:r>
        <w:rPr>
          <w:rStyle w:val="FootnoteReference"/>
        </w:rPr>
        <w:footnoteRef/>
      </w:r>
      <w:r>
        <w:t xml:space="preserve"> </w:t>
      </w:r>
      <w:r>
        <w:tab/>
        <w:t>In doin</w:t>
      </w:r>
      <w:r w:rsidRPr="00E55321">
        <w:rPr>
          <w:szCs w:val="26"/>
        </w:rPr>
        <w:t xml:space="preserve">g so, </w:t>
      </w:r>
      <w:r w:rsidRPr="00367443">
        <w:rPr>
          <w:i/>
          <w:iCs/>
          <w:szCs w:val="26"/>
        </w:rPr>
        <w:t>G.H.</w:t>
      </w:r>
      <w:r>
        <w:rPr>
          <w:szCs w:val="26"/>
        </w:rPr>
        <w:t xml:space="preserve"> and </w:t>
      </w:r>
      <w:r w:rsidRPr="00367443">
        <w:rPr>
          <w:i/>
          <w:iCs/>
          <w:szCs w:val="26"/>
        </w:rPr>
        <w:t>Reynolds</w:t>
      </w:r>
      <w:r w:rsidRPr="00E55321">
        <w:rPr>
          <w:szCs w:val="26"/>
        </w:rPr>
        <w:t xml:space="preserve"> distinguished </w:t>
      </w:r>
      <w:r>
        <w:rPr>
          <w:i/>
          <w:iCs/>
          <w:szCs w:val="26"/>
        </w:rPr>
        <w:t>In re Banks</w:t>
      </w:r>
      <w:r>
        <w:rPr>
          <w:szCs w:val="26"/>
        </w:rPr>
        <w:t xml:space="preserve"> (1979) 88 Cal.App.3d 864.  </w:t>
      </w:r>
      <w:r>
        <w:rPr>
          <w:i/>
          <w:iCs/>
          <w:szCs w:val="26"/>
        </w:rPr>
        <w:t>Banks</w:t>
      </w:r>
      <w:r>
        <w:t xml:space="preserve"> held equal protection and due process principles mandated application of p</w:t>
      </w:r>
      <w:r>
        <w:t xml:space="preserve">recommitment custody credits when the maximum commitment period is measured by the </w:t>
      </w:r>
      <w:r w:rsidRPr="00C512B3">
        <w:rPr>
          <w:i/>
          <w:iCs/>
          <w:color w:val="000000"/>
          <w:szCs w:val="26"/>
        </w:rPr>
        <w:t>maximum term of imprisonment</w:t>
      </w:r>
      <w:r w:rsidRPr="00C512B3">
        <w:rPr>
          <w:color w:val="000000"/>
          <w:szCs w:val="26"/>
        </w:rPr>
        <w:t xml:space="preserve"> </w:t>
      </w:r>
      <w:r w:rsidRPr="00367443">
        <w:rPr>
          <w:i/>
          <w:iCs/>
          <w:color w:val="000000"/>
          <w:szCs w:val="26"/>
        </w:rPr>
        <w:t>for the most serious offense charged</w:t>
      </w:r>
      <w:r>
        <w:rPr>
          <w:color w:val="000000"/>
          <w:szCs w:val="26"/>
        </w:rPr>
        <w:t xml:space="preserve"> because “the denial of credit</w:t>
      </w:r>
      <w:r w:rsidR="00A91DD9">
        <w:rPr>
          <w:color w:val="000000"/>
          <w:szCs w:val="26"/>
        </w:rPr>
        <w:t>[</w:t>
      </w:r>
      <w:r>
        <w:rPr>
          <w:color w:val="000000"/>
          <w:szCs w:val="26"/>
        </w:rPr>
        <w:t>s</w:t>
      </w:r>
      <w:r w:rsidR="00A91DD9">
        <w:rPr>
          <w:color w:val="000000"/>
          <w:szCs w:val="26"/>
        </w:rPr>
        <w:t>]</w:t>
      </w:r>
      <w:r>
        <w:rPr>
          <w:color w:val="000000"/>
          <w:szCs w:val="26"/>
        </w:rPr>
        <w:t xml:space="preserve"> necessarily results in longer confinement for indigents unable to post bai</w:t>
      </w:r>
      <w:r>
        <w:rPr>
          <w:color w:val="000000"/>
          <w:szCs w:val="26"/>
        </w:rPr>
        <w:t>l bonds.  This discriminatory treatment is constitutionally forbidden</w:t>
      </w:r>
      <w:r w:rsidRPr="005D2043">
        <w:t>.</w:t>
      </w:r>
      <w:r>
        <w:t>”  (</w:t>
      </w:r>
      <w:r w:rsidRPr="00C512B3">
        <w:rPr>
          <w:i/>
          <w:iCs/>
        </w:rPr>
        <w:t>Id</w:t>
      </w:r>
      <w:r>
        <w:t>. at p. 869, fn. omitted.)</w:t>
      </w:r>
      <w:r w:rsidRPr="005D2043">
        <w:t xml:space="preserve">  </w:t>
      </w:r>
      <w:r>
        <w:t xml:space="preserve">However, when the maximum commitment period is set to the statutory maximum limit, </w:t>
      </w:r>
      <w:r>
        <w:rPr>
          <w:i/>
          <w:iCs/>
        </w:rPr>
        <w:t xml:space="preserve">G.H. </w:t>
      </w:r>
      <w:r>
        <w:t xml:space="preserve">and </w:t>
      </w:r>
      <w:r>
        <w:rPr>
          <w:i/>
          <w:iCs/>
        </w:rPr>
        <w:t>Reynolds</w:t>
      </w:r>
      <w:r>
        <w:t xml:space="preserve"> held that there are no potential equal protection o</w:t>
      </w:r>
      <w:r>
        <w:t xml:space="preserve">r due process violations and the statute controls because similarly situated defendants are not deprived of the benefit of the precommitment jail time if convicted.  (See </w:t>
      </w:r>
      <w:r>
        <w:rPr>
          <w:i/>
          <w:iCs/>
        </w:rPr>
        <w:t>G.H.</w:t>
      </w:r>
      <w:r>
        <w:t xml:space="preserve">, </w:t>
      </w:r>
      <w:r w:rsidRPr="00EC58D8">
        <w:rPr>
          <w:i/>
          <w:iCs/>
        </w:rPr>
        <w:t>supra</w:t>
      </w:r>
      <w:r>
        <w:t xml:space="preserve">, </w:t>
      </w:r>
      <w:r w:rsidRPr="00EC58D8">
        <w:t>230</w:t>
      </w:r>
      <w:r>
        <w:t xml:space="preserve"> Cal.App.4th at pp. 1557–1558; </w:t>
      </w:r>
      <w:r>
        <w:rPr>
          <w:i/>
          <w:iCs/>
        </w:rPr>
        <w:t>Reynolds</w:t>
      </w:r>
      <w:r>
        <w:t xml:space="preserve">, </w:t>
      </w:r>
      <w:r w:rsidRPr="00EC58D8">
        <w:rPr>
          <w:i/>
          <w:iCs/>
        </w:rPr>
        <w:t>supra</w:t>
      </w:r>
      <w:r>
        <w:t xml:space="preserve">, </w:t>
      </w:r>
      <w:r w:rsidRPr="00EC58D8">
        <w:t>196</w:t>
      </w:r>
      <w:r>
        <w:t> Cal.App.4</w:t>
      </w:r>
      <w:r w:rsidRPr="00DC60B3">
        <w:t>th</w:t>
      </w:r>
      <w:r>
        <w:t xml:space="preserve"> at pp. 808–809.)</w:t>
      </w:r>
    </w:p>
  </w:footnote>
  <w:footnote w:id="19">
    <w:p w14:paraId="3F29F14D" w14:textId="77777777" w:rsidR="00E53766" w:rsidRDefault="00AE6959" w:rsidP="00E53766">
      <w:pPr>
        <w:pStyle w:val="FootnoteText"/>
      </w:pPr>
      <w:r>
        <w:rPr>
          <w:rStyle w:val="FootnoteReference"/>
        </w:rPr>
        <w:footnoteRef/>
      </w:r>
      <w:r>
        <w:t xml:space="preserve"> </w:t>
      </w:r>
      <w:r>
        <w:tab/>
      </w:r>
      <w:r w:rsidRPr="00176126">
        <w:t xml:space="preserve">In the course of its decision, </w:t>
      </w:r>
      <w:r w:rsidRPr="00176126">
        <w:rPr>
          <w:i/>
          <w:iCs/>
        </w:rPr>
        <w:t>G.H.</w:t>
      </w:r>
      <w:r w:rsidRPr="00176126">
        <w:t xml:space="preserve"> stated that </w:t>
      </w:r>
      <w:bookmarkStart w:id="10" w:name="_Hlk143861807"/>
      <w:r w:rsidRPr="00176126">
        <w:t xml:space="preserve">“[s]ection 1370, subdivision (c)(1)’s three-year statutory limit applies to the total period actually spent in commitment </w:t>
      </w:r>
      <w:r w:rsidRPr="00176126">
        <w:rPr>
          <w:i/>
          <w:iCs/>
        </w:rPr>
        <w:t>at a mental institution</w:t>
      </w:r>
      <w:r w:rsidRPr="00176126">
        <w:rPr>
          <w:szCs w:val="26"/>
        </w:rPr>
        <w:t>.</w:t>
      </w:r>
      <w:bookmarkEnd w:id="10"/>
      <w:r w:rsidRPr="00176126">
        <w:rPr>
          <w:szCs w:val="26"/>
        </w:rPr>
        <w:t xml:space="preserve">  (</w:t>
      </w:r>
      <w:bookmarkStart w:id="11" w:name="_Hlk143861765"/>
      <w:r w:rsidR="0006506E">
        <w:rPr>
          <w:szCs w:val="26"/>
        </w:rPr>
        <w:t>[</w:t>
      </w:r>
      <w:r w:rsidRPr="00176126">
        <w:rPr>
          <w:i/>
          <w:iCs/>
          <w:szCs w:val="26"/>
        </w:rPr>
        <w:t>Polk</w:t>
      </w:r>
      <w:r w:rsidR="0006506E">
        <w:rPr>
          <w:szCs w:val="26"/>
        </w:rPr>
        <w:t xml:space="preserve">, </w:t>
      </w:r>
      <w:r w:rsidR="0006506E">
        <w:rPr>
          <w:i/>
          <w:iCs/>
          <w:szCs w:val="26"/>
        </w:rPr>
        <w:t>supra</w:t>
      </w:r>
      <w:r w:rsidR="0006506E">
        <w:rPr>
          <w:szCs w:val="26"/>
        </w:rPr>
        <w:t>,]</w:t>
      </w:r>
      <w:r w:rsidRPr="00176126">
        <w:rPr>
          <w:szCs w:val="26"/>
        </w:rPr>
        <w:t xml:space="preserve"> 71 Cal.App.</w:t>
      </w:r>
      <w:r w:rsidRPr="00176126">
        <w:rPr>
          <w:szCs w:val="26"/>
        </w:rPr>
        <w:t xml:space="preserve">4th </w:t>
      </w:r>
      <w:bookmarkEnd w:id="11"/>
      <w:r w:rsidR="0006506E">
        <w:rPr>
          <w:szCs w:val="26"/>
        </w:rPr>
        <w:t>[at p.]</w:t>
      </w:r>
      <w:r w:rsidRPr="00176126">
        <w:rPr>
          <w:szCs w:val="26"/>
        </w:rPr>
        <w:t xml:space="preserve"> 1238</w:t>
      </w:r>
      <w:r w:rsidR="0006506E">
        <w:rPr>
          <w:szCs w:val="26"/>
        </w:rPr>
        <w:t> . . . </w:t>
      </w:r>
      <w:r w:rsidRPr="00176126">
        <w:rPr>
          <w:szCs w:val="26"/>
        </w:rPr>
        <w:t>.)”  (</w:t>
      </w:r>
      <w:r w:rsidRPr="00176126">
        <w:rPr>
          <w:i/>
          <w:iCs/>
          <w:szCs w:val="26"/>
        </w:rPr>
        <w:t>G.H</w:t>
      </w:r>
      <w:r w:rsidRPr="00176126">
        <w:rPr>
          <w:szCs w:val="26"/>
        </w:rPr>
        <w:t xml:space="preserve">., </w:t>
      </w:r>
      <w:r w:rsidRPr="00176126">
        <w:rPr>
          <w:i/>
          <w:iCs/>
          <w:szCs w:val="26"/>
        </w:rPr>
        <w:t>supra</w:t>
      </w:r>
      <w:r w:rsidRPr="00176126">
        <w:rPr>
          <w:szCs w:val="26"/>
        </w:rPr>
        <w:t xml:space="preserve">, </w:t>
      </w:r>
      <w:r w:rsidRPr="00176126">
        <w:t xml:space="preserve">230 Cal.App.4th </w:t>
      </w:r>
      <w:r w:rsidRPr="00176126">
        <w:rPr>
          <w:szCs w:val="26"/>
        </w:rPr>
        <w:t>at pp. 1558</w:t>
      </w:r>
      <w:r w:rsidR="00ED34D1">
        <w:rPr>
          <w:szCs w:val="26"/>
        </w:rPr>
        <w:t>–</w:t>
      </w:r>
      <w:r w:rsidRPr="00176126">
        <w:rPr>
          <w:szCs w:val="26"/>
        </w:rPr>
        <w:t xml:space="preserve">1559, italics added.)  </w:t>
      </w:r>
      <w:bookmarkStart w:id="12" w:name="_Hlk143862123"/>
      <w:r w:rsidRPr="00176126">
        <w:t xml:space="preserve">As amicus curiae have observed, </w:t>
      </w:r>
      <w:r w:rsidRPr="00176126">
        <w:rPr>
          <w:i/>
          <w:iCs/>
        </w:rPr>
        <w:t>Polk</w:t>
      </w:r>
      <w:r w:rsidRPr="00176126">
        <w:t xml:space="preserve"> in fact makes no mention of any distinction between time spent postcommitment at a treat</w:t>
      </w:r>
      <w:r w:rsidR="009F48AC">
        <w:t>ment</w:t>
      </w:r>
      <w:r w:rsidRPr="00176126">
        <w:t xml:space="preserve"> facility versus</w:t>
      </w:r>
      <w:r>
        <w:t xml:space="preserve"> time spent postco</w:t>
      </w:r>
      <w:r>
        <w:t xml:space="preserve">mmitment in county custody awaiting judicial proceedings following submission of a certificate of restoration.  </w:t>
      </w:r>
      <w:r w:rsidRPr="00984FE4">
        <w:rPr>
          <w:i/>
          <w:iCs/>
        </w:rPr>
        <w:t>Polk</w:t>
      </w:r>
      <w:r>
        <w:t xml:space="preserve"> held that the maximum statutory period under section 1370(c)(1) applies to “</w:t>
      </w:r>
      <w:r w:rsidRPr="003F69B2">
        <w:t>the aggregate of all commitments on the same charges</w:t>
      </w:r>
      <w:r>
        <w:t>.”  (</w:t>
      </w:r>
      <w:r w:rsidRPr="00C512B3">
        <w:rPr>
          <w:i/>
          <w:iCs/>
        </w:rPr>
        <w:t>Polk</w:t>
      </w:r>
      <w:r>
        <w:t xml:space="preserve">, </w:t>
      </w:r>
      <w:r>
        <w:t>at p. 1238.)  Nothing in our decision contradicts this holding</w:t>
      </w:r>
      <w:bookmarkEnd w:id="12"/>
      <w:r>
        <w:t>.</w:t>
      </w:r>
    </w:p>
  </w:footnote>
  <w:footnote w:id="20">
    <w:p w14:paraId="3F29F14E" w14:textId="77777777" w:rsidR="006F2912" w:rsidRPr="005D2043" w:rsidRDefault="00AE6959" w:rsidP="00560442">
      <w:pPr>
        <w:pStyle w:val="FootnoteText"/>
      </w:pPr>
      <w:r w:rsidRPr="005D2043">
        <w:rPr>
          <w:rStyle w:val="FootnoteReference"/>
        </w:rPr>
        <w:footnoteRef/>
      </w:r>
      <w:r w:rsidRPr="005D2043">
        <w:t xml:space="preserve"> </w:t>
      </w:r>
      <w:r w:rsidRPr="005D2043">
        <w:tab/>
        <w:t xml:space="preserve">To the extent </w:t>
      </w:r>
      <w:r w:rsidR="00040AB5" w:rsidRPr="005D2043">
        <w:t>the Department is</w:t>
      </w:r>
      <w:r w:rsidRPr="005D2043">
        <w:t xml:space="preserve"> concerned about running out of time to provide treatment, </w:t>
      </w:r>
      <w:r w:rsidR="00040AB5" w:rsidRPr="005D2043">
        <w:t>its</w:t>
      </w:r>
      <w:r w:rsidRPr="005D2043">
        <w:t xml:space="preserve"> concerns appear to be based on defendants who have been certified as competent and yet are “ret</w:t>
      </w:r>
      <w:r w:rsidRPr="005D2043">
        <w:t xml:space="preserve">urned to the hospitals for additional competency services.”  </w:t>
      </w:r>
      <w:r w:rsidR="00587C3D" w:rsidRPr="005D2043">
        <w:t>D</w:t>
      </w:r>
      <w:r w:rsidRPr="005D2043">
        <w:t>efendants “returned to the hospital for additional competency services” are those defendants whose certification</w:t>
      </w:r>
      <w:r w:rsidR="008F6AF9" w:rsidRPr="005D2043">
        <w:t>s</w:t>
      </w:r>
      <w:r w:rsidRPr="005D2043">
        <w:t xml:space="preserve"> of competency </w:t>
      </w:r>
      <w:r w:rsidR="00DB058A" w:rsidRPr="005D2043">
        <w:t>have been</w:t>
      </w:r>
      <w:r w:rsidR="00FD1B7C" w:rsidRPr="005D2043">
        <w:t xml:space="preserve"> rejected</w:t>
      </w:r>
      <w:r w:rsidRPr="005D2043">
        <w:t xml:space="preserve"> </w:t>
      </w:r>
      <w:r w:rsidR="00DB058A" w:rsidRPr="005D2043">
        <w:t>by a court</w:t>
      </w:r>
      <w:r w:rsidR="00F97907" w:rsidRPr="005D2043">
        <w:t>,</w:t>
      </w:r>
      <w:r w:rsidR="00DB058A" w:rsidRPr="005D2043">
        <w:t xml:space="preserve"> </w:t>
      </w:r>
      <w:r w:rsidRPr="005D2043">
        <w:t xml:space="preserve">or who </w:t>
      </w:r>
      <w:r w:rsidR="00FD1B7C" w:rsidRPr="005D2043">
        <w:t>had</w:t>
      </w:r>
      <w:r w:rsidRPr="005D2043">
        <w:t xml:space="preserve"> again become incompetent in short succession. </w:t>
      </w:r>
      <w:r w:rsidR="004B2C29" w:rsidRPr="005D2043">
        <w:t xml:space="preserve"> </w:t>
      </w:r>
      <w:r w:rsidR="002E33C2">
        <w:t xml:space="preserve">Although we do not lightly dismiss the Department’s concerns that for these defendants the Department will not have a full two-year period in which to provide treatment, </w:t>
      </w:r>
      <w:r w:rsidR="0030714E">
        <w:t>ultimately</w:t>
      </w:r>
      <w:r w:rsidR="002E33C2">
        <w:t>, i</w:t>
      </w:r>
      <w:r w:rsidR="00E23FE9" w:rsidRPr="005D2043">
        <w:t xml:space="preserve">n setting a maximum term of commitment, the Legislature has accepted </w:t>
      </w:r>
      <w:r w:rsidR="00587C3D" w:rsidRPr="005D2043">
        <w:t>that there will be some individuals for whom the allotted time is not enough to restore competency</w:t>
      </w:r>
      <w:r w:rsidR="00E23FE9" w:rsidRPr="005D2043">
        <w:t>.</w:t>
      </w:r>
      <w:r w:rsidR="00F05F2B" w:rsidRPr="005D2043">
        <w:t xml:space="preserve">  </w:t>
      </w:r>
      <w:r w:rsidR="003B2FDF" w:rsidRPr="005D2043">
        <w:t>It is not t</w:t>
      </w:r>
      <w:r w:rsidR="00E73E46" w:rsidRPr="005D2043">
        <w:t xml:space="preserve">he role of the courts to </w:t>
      </w:r>
      <w:r w:rsidR="0082691F" w:rsidRPr="005D2043">
        <w:t>second</w:t>
      </w:r>
      <w:r w:rsidR="0082691F">
        <w:t>-</w:t>
      </w:r>
      <w:r w:rsidR="00E73E46" w:rsidRPr="005D2043">
        <w:t>guess these legislative choices.</w:t>
      </w:r>
    </w:p>
  </w:footnote>
  <w:footnote w:id="21">
    <w:p w14:paraId="3F29F14F" w14:textId="77777777" w:rsidR="003E4E79" w:rsidRDefault="00AE6959">
      <w:pPr>
        <w:pStyle w:val="FootnoteText"/>
      </w:pPr>
      <w:r>
        <w:rPr>
          <w:rStyle w:val="FootnoteReference"/>
        </w:rPr>
        <w:footnoteRef/>
      </w:r>
      <w:r>
        <w:t xml:space="preserve"> </w:t>
      </w:r>
      <w:r>
        <w:tab/>
      </w:r>
      <w:r>
        <w:rPr>
          <w:szCs w:val="26"/>
        </w:rPr>
        <w:t>Because we</w:t>
      </w:r>
      <w:r w:rsidRPr="005D2043">
        <w:rPr>
          <w:szCs w:val="26"/>
        </w:rPr>
        <w:t xml:space="preserve"> reach this conclusion</w:t>
      </w:r>
      <w:r w:rsidRPr="005D2043">
        <w:rPr>
          <w:szCs w:val="26"/>
        </w:rPr>
        <w:t xml:space="preserve"> based on a reading of the statutes, we </w:t>
      </w:r>
      <w:r>
        <w:rPr>
          <w:szCs w:val="26"/>
        </w:rPr>
        <w:t xml:space="preserve">do </w:t>
      </w:r>
      <w:r w:rsidRPr="005D2043">
        <w:rPr>
          <w:szCs w:val="26"/>
        </w:rPr>
        <w:t>not address Rodriguez’s argument that a holding for the People here would violate constitutional principles of “due process, equal protection, effective assistance of counsel, and proscriptions on cruel and unusua</w:t>
      </w:r>
      <w:r w:rsidRPr="005D2043">
        <w:rPr>
          <w:szCs w:val="26"/>
        </w:rPr>
        <w:t>l punishment.”</w:t>
      </w:r>
    </w:p>
  </w:footnote>
  <w:footnote w:id="22">
    <w:p w14:paraId="3F29F150" w14:textId="77777777" w:rsidR="00971976" w:rsidRDefault="00AE6959">
      <w:pPr>
        <w:pStyle w:val="FootnoteText"/>
      </w:pPr>
      <w:r>
        <w:rPr>
          <w:rStyle w:val="FootnoteReference"/>
        </w:rPr>
        <w:footnoteRef/>
      </w:r>
      <w:r>
        <w:t xml:space="preserve"> </w:t>
      </w:r>
      <w:r>
        <w:tab/>
        <w:t xml:space="preserve">We briefly acknowledge the arguments the parties have made for and against the availability of such tolling in this context.  Rodriguez argues that </w:t>
      </w:r>
      <w:r w:rsidRPr="00A33A1A">
        <w:t>“</w:t>
      </w:r>
      <w:r w:rsidR="00213190">
        <w:t>[</w:t>
      </w:r>
      <w:r w:rsidRPr="00A33A1A">
        <w:t>c</w:t>
      </w:r>
      <w:r w:rsidR="00213190">
        <w:t>]</w:t>
      </w:r>
      <w:r w:rsidRPr="00A33A1A">
        <w:t>ontinuances and waivers are not authorized by sections 1370 and 1372, so the courts ca</w:t>
      </w:r>
      <w:r w:rsidRPr="00A33A1A">
        <w:t>nnot read into the statutes what has ‘been omitted</w:t>
      </w:r>
      <w:r>
        <w:t>.</w:t>
      </w:r>
      <w:r w:rsidRPr="00A33A1A">
        <w:t>’</w:t>
      </w:r>
      <w:r>
        <w:t> </w:t>
      </w:r>
      <w:r w:rsidRPr="00A33A1A">
        <w:t>”</w:t>
      </w:r>
      <w:r>
        <w:t xml:space="preserve">  The People, on the other hand, counter that </w:t>
      </w:r>
      <w:r w:rsidRPr="00A33A1A">
        <w:t>tolling</w:t>
      </w:r>
      <w:r>
        <w:t xml:space="preserve">, like many of the procedures governing a section 1372 hearing, </w:t>
      </w:r>
      <w:r w:rsidRPr="00A33A1A">
        <w:t>may be considered “implied” by the statute</w:t>
      </w:r>
      <w:r>
        <w:t xml:space="preserve">s.  </w:t>
      </w:r>
    </w:p>
  </w:footnote>
  <w:footnote w:id="23">
    <w:p w14:paraId="3F29F151" w14:textId="77777777" w:rsidR="00255EBF" w:rsidRDefault="00AE6959">
      <w:pPr>
        <w:pStyle w:val="FootnoteText"/>
      </w:pPr>
      <w:r>
        <w:rPr>
          <w:rStyle w:val="FootnoteReference"/>
        </w:rPr>
        <w:footnoteRef/>
      </w:r>
      <w:r>
        <w:t xml:space="preserve"> </w:t>
      </w:r>
      <w:r>
        <w:tab/>
        <w:t xml:space="preserve">This court’s decision to issue a </w:t>
      </w:r>
      <w:r>
        <w:t>stay in connection with granting Rodriguez’s petition for review should not be understood to resolve the question whether Rodriguez is entitled to the relief he seeks.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F135" w14:textId="77777777" w:rsidR="00781AC4" w:rsidRDefault="00AE6959">
    <w:pPr>
      <w:pStyle w:val="Header"/>
    </w:pPr>
    <w:r>
      <w:t>RODRIGUEZ v. SUPERIOR COURT</w:t>
    </w:r>
  </w:p>
  <w:p w14:paraId="3F29F136" w14:textId="77777777" w:rsidR="00781AC4" w:rsidRDefault="00AE6959">
    <w:pPr>
      <w:pStyle w:val="Header"/>
    </w:pPr>
    <w:r>
      <w:t xml:space="preserve">Opinion of the Court by Guerrero, </w:t>
    </w:r>
    <w:r>
      <w:t>C. J.</w:t>
    </w:r>
  </w:p>
  <w:p w14:paraId="3F29F137" w14:textId="77777777" w:rsidR="00781AC4" w:rsidRDefault="0078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3B9D" w14:textId="77777777" w:rsidR="003B657C" w:rsidRPr="003B657C" w:rsidRDefault="003B657C" w:rsidP="003B6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E8"/>
    <w:multiLevelType w:val="hybridMultilevel"/>
    <w:tmpl w:val="16CCF404"/>
    <w:lvl w:ilvl="0" w:tplc="CC9C35C2">
      <w:start w:val="1"/>
      <w:numFmt w:val="decimal"/>
      <w:lvlText w:val="%1."/>
      <w:lvlJc w:val="left"/>
      <w:pPr>
        <w:ind w:left="1512" w:hanging="360"/>
      </w:pPr>
      <w:rPr>
        <w:rFonts w:hint="default"/>
        <w:i w:val="0"/>
      </w:rPr>
    </w:lvl>
    <w:lvl w:ilvl="1" w:tplc="ADFAE650" w:tentative="1">
      <w:start w:val="1"/>
      <w:numFmt w:val="lowerLetter"/>
      <w:lvlText w:val="%2."/>
      <w:lvlJc w:val="left"/>
      <w:pPr>
        <w:ind w:left="2232" w:hanging="360"/>
      </w:pPr>
    </w:lvl>
    <w:lvl w:ilvl="2" w:tplc="19F2B816" w:tentative="1">
      <w:start w:val="1"/>
      <w:numFmt w:val="lowerRoman"/>
      <w:lvlText w:val="%3."/>
      <w:lvlJc w:val="right"/>
      <w:pPr>
        <w:ind w:left="2952" w:hanging="180"/>
      </w:pPr>
    </w:lvl>
    <w:lvl w:ilvl="3" w:tplc="C1E401EA" w:tentative="1">
      <w:start w:val="1"/>
      <w:numFmt w:val="decimal"/>
      <w:lvlText w:val="%4."/>
      <w:lvlJc w:val="left"/>
      <w:pPr>
        <w:ind w:left="3672" w:hanging="360"/>
      </w:pPr>
    </w:lvl>
    <w:lvl w:ilvl="4" w:tplc="D96C964A" w:tentative="1">
      <w:start w:val="1"/>
      <w:numFmt w:val="lowerLetter"/>
      <w:lvlText w:val="%5."/>
      <w:lvlJc w:val="left"/>
      <w:pPr>
        <w:ind w:left="4392" w:hanging="360"/>
      </w:pPr>
    </w:lvl>
    <w:lvl w:ilvl="5" w:tplc="02C6E402" w:tentative="1">
      <w:start w:val="1"/>
      <w:numFmt w:val="lowerRoman"/>
      <w:lvlText w:val="%6."/>
      <w:lvlJc w:val="right"/>
      <w:pPr>
        <w:ind w:left="5112" w:hanging="180"/>
      </w:pPr>
    </w:lvl>
    <w:lvl w:ilvl="6" w:tplc="C31455D8" w:tentative="1">
      <w:start w:val="1"/>
      <w:numFmt w:val="decimal"/>
      <w:lvlText w:val="%7."/>
      <w:lvlJc w:val="left"/>
      <w:pPr>
        <w:ind w:left="5832" w:hanging="360"/>
      </w:pPr>
    </w:lvl>
    <w:lvl w:ilvl="7" w:tplc="CB0AE44A" w:tentative="1">
      <w:start w:val="1"/>
      <w:numFmt w:val="lowerLetter"/>
      <w:lvlText w:val="%8."/>
      <w:lvlJc w:val="left"/>
      <w:pPr>
        <w:ind w:left="6552" w:hanging="360"/>
      </w:pPr>
    </w:lvl>
    <w:lvl w:ilvl="8" w:tplc="74927452" w:tentative="1">
      <w:start w:val="1"/>
      <w:numFmt w:val="lowerRoman"/>
      <w:lvlText w:val="%9."/>
      <w:lvlJc w:val="right"/>
      <w:pPr>
        <w:ind w:left="7272" w:hanging="180"/>
      </w:pPr>
    </w:lvl>
  </w:abstractNum>
  <w:abstractNum w:abstractNumId="1" w15:restartNumberingAfterBreak="0">
    <w:nsid w:val="06B03A74"/>
    <w:multiLevelType w:val="hybridMultilevel"/>
    <w:tmpl w:val="9EBE50E2"/>
    <w:lvl w:ilvl="0" w:tplc="2B28117A">
      <w:start w:val="1"/>
      <w:numFmt w:val="lowerLetter"/>
      <w:lvlText w:val="%1."/>
      <w:lvlJc w:val="left"/>
      <w:pPr>
        <w:ind w:left="1944" w:hanging="360"/>
      </w:pPr>
      <w:rPr>
        <w:rFonts w:hint="default"/>
        <w:b w:val="0"/>
        <w:bCs w:val="0"/>
        <w:i/>
        <w:iCs w:val="0"/>
      </w:rPr>
    </w:lvl>
    <w:lvl w:ilvl="1" w:tplc="D3CCCD3A" w:tentative="1">
      <w:start w:val="1"/>
      <w:numFmt w:val="lowerLetter"/>
      <w:lvlText w:val="%2."/>
      <w:lvlJc w:val="left"/>
      <w:pPr>
        <w:ind w:left="2664" w:hanging="360"/>
      </w:pPr>
    </w:lvl>
    <w:lvl w:ilvl="2" w:tplc="E0FA738A" w:tentative="1">
      <w:start w:val="1"/>
      <w:numFmt w:val="lowerRoman"/>
      <w:lvlText w:val="%3."/>
      <w:lvlJc w:val="right"/>
      <w:pPr>
        <w:ind w:left="3384" w:hanging="180"/>
      </w:pPr>
    </w:lvl>
    <w:lvl w:ilvl="3" w:tplc="E084CE84" w:tentative="1">
      <w:start w:val="1"/>
      <w:numFmt w:val="decimal"/>
      <w:lvlText w:val="%4."/>
      <w:lvlJc w:val="left"/>
      <w:pPr>
        <w:ind w:left="4104" w:hanging="360"/>
      </w:pPr>
    </w:lvl>
    <w:lvl w:ilvl="4" w:tplc="37646AE4" w:tentative="1">
      <w:start w:val="1"/>
      <w:numFmt w:val="lowerLetter"/>
      <w:lvlText w:val="%5."/>
      <w:lvlJc w:val="left"/>
      <w:pPr>
        <w:ind w:left="4824" w:hanging="360"/>
      </w:pPr>
    </w:lvl>
    <w:lvl w:ilvl="5" w:tplc="3EF820AA" w:tentative="1">
      <w:start w:val="1"/>
      <w:numFmt w:val="lowerRoman"/>
      <w:lvlText w:val="%6."/>
      <w:lvlJc w:val="right"/>
      <w:pPr>
        <w:ind w:left="5544" w:hanging="180"/>
      </w:pPr>
    </w:lvl>
    <w:lvl w:ilvl="6" w:tplc="A3FEB69E" w:tentative="1">
      <w:start w:val="1"/>
      <w:numFmt w:val="decimal"/>
      <w:lvlText w:val="%7."/>
      <w:lvlJc w:val="left"/>
      <w:pPr>
        <w:ind w:left="6264" w:hanging="360"/>
      </w:pPr>
    </w:lvl>
    <w:lvl w:ilvl="7" w:tplc="7AD47E46" w:tentative="1">
      <w:start w:val="1"/>
      <w:numFmt w:val="lowerLetter"/>
      <w:lvlText w:val="%8."/>
      <w:lvlJc w:val="left"/>
      <w:pPr>
        <w:ind w:left="6984" w:hanging="360"/>
      </w:pPr>
    </w:lvl>
    <w:lvl w:ilvl="8" w:tplc="CA0E34AA" w:tentative="1">
      <w:start w:val="1"/>
      <w:numFmt w:val="lowerRoman"/>
      <w:lvlText w:val="%9."/>
      <w:lvlJc w:val="right"/>
      <w:pPr>
        <w:ind w:left="7704" w:hanging="180"/>
      </w:pPr>
    </w:lvl>
  </w:abstractNum>
  <w:abstractNum w:abstractNumId="2" w15:restartNumberingAfterBreak="0">
    <w:nsid w:val="09A701C7"/>
    <w:multiLevelType w:val="hybridMultilevel"/>
    <w:tmpl w:val="71E03B60"/>
    <w:lvl w:ilvl="0" w:tplc="0066B2C6">
      <w:start w:val="1"/>
      <w:numFmt w:val="decimal"/>
      <w:lvlText w:val="%1."/>
      <w:lvlJc w:val="left"/>
      <w:pPr>
        <w:ind w:left="1512" w:hanging="360"/>
      </w:pPr>
      <w:rPr>
        <w:rFonts w:hint="default"/>
        <w:i w:val="0"/>
      </w:rPr>
    </w:lvl>
    <w:lvl w:ilvl="1" w:tplc="01486C8A" w:tentative="1">
      <w:start w:val="1"/>
      <w:numFmt w:val="lowerLetter"/>
      <w:lvlText w:val="%2."/>
      <w:lvlJc w:val="left"/>
      <w:pPr>
        <w:ind w:left="2232" w:hanging="360"/>
      </w:pPr>
    </w:lvl>
    <w:lvl w:ilvl="2" w:tplc="4D4E39BC" w:tentative="1">
      <w:start w:val="1"/>
      <w:numFmt w:val="lowerRoman"/>
      <w:lvlText w:val="%3."/>
      <w:lvlJc w:val="right"/>
      <w:pPr>
        <w:ind w:left="2952" w:hanging="180"/>
      </w:pPr>
    </w:lvl>
    <w:lvl w:ilvl="3" w:tplc="6C80E538" w:tentative="1">
      <w:start w:val="1"/>
      <w:numFmt w:val="decimal"/>
      <w:lvlText w:val="%4."/>
      <w:lvlJc w:val="left"/>
      <w:pPr>
        <w:ind w:left="3672" w:hanging="360"/>
      </w:pPr>
    </w:lvl>
    <w:lvl w:ilvl="4" w:tplc="4C1E6820" w:tentative="1">
      <w:start w:val="1"/>
      <w:numFmt w:val="lowerLetter"/>
      <w:lvlText w:val="%5."/>
      <w:lvlJc w:val="left"/>
      <w:pPr>
        <w:ind w:left="4392" w:hanging="360"/>
      </w:pPr>
    </w:lvl>
    <w:lvl w:ilvl="5" w:tplc="F5DC8914" w:tentative="1">
      <w:start w:val="1"/>
      <w:numFmt w:val="lowerRoman"/>
      <w:lvlText w:val="%6."/>
      <w:lvlJc w:val="right"/>
      <w:pPr>
        <w:ind w:left="5112" w:hanging="180"/>
      </w:pPr>
    </w:lvl>
    <w:lvl w:ilvl="6" w:tplc="25AC87BE" w:tentative="1">
      <w:start w:val="1"/>
      <w:numFmt w:val="decimal"/>
      <w:lvlText w:val="%7."/>
      <w:lvlJc w:val="left"/>
      <w:pPr>
        <w:ind w:left="5832" w:hanging="360"/>
      </w:pPr>
    </w:lvl>
    <w:lvl w:ilvl="7" w:tplc="E6CCBDD0" w:tentative="1">
      <w:start w:val="1"/>
      <w:numFmt w:val="lowerLetter"/>
      <w:lvlText w:val="%8."/>
      <w:lvlJc w:val="left"/>
      <w:pPr>
        <w:ind w:left="6552" w:hanging="360"/>
      </w:pPr>
    </w:lvl>
    <w:lvl w:ilvl="8" w:tplc="80E2C674" w:tentative="1">
      <w:start w:val="1"/>
      <w:numFmt w:val="lowerRoman"/>
      <w:lvlText w:val="%9."/>
      <w:lvlJc w:val="right"/>
      <w:pPr>
        <w:ind w:left="7272" w:hanging="180"/>
      </w:pPr>
    </w:lvl>
  </w:abstractNum>
  <w:abstractNum w:abstractNumId="3" w15:restartNumberingAfterBreak="0">
    <w:nsid w:val="0AD371CB"/>
    <w:multiLevelType w:val="hybridMultilevel"/>
    <w:tmpl w:val="3F5AB150"/>
    <w:lvl w:ilvl="0" w:tplc="04D4A7FA">
      <w:start w:val="1"/>
      <w:numFmt w:val="lowerLetter"/>
      <w:lvlText w:val="%1."/>
      <w:lvlJc w:val="left"/>
      <w:pPr>
        <w:ind w:left="1512" w:hanging="360"/>
      </w:pPr>
      <w:rPr>
        <w:rFonts w:hint="default"/>
        <w:i w:val="0"/>
      </w:rPr>
    </w:lvl>
    <w:lvl w:ilvl="1" w:tplc="A5F06650" w:tentative="1">
      <w:start w:val="1"/>
      <w:numFmt w:val="lowerLetter"/>
      <w:lvlText w:val="%2."/>
      <w:lvlJc w:val="left"/>
      <w:pPr>
        <w:ind w:left="2232" w:hanging="360"/>
      </w:pPr>
    </w:lvl>
    <w:lvl w:ilvl="2" w:tplc="A4606128" w:tentative="1">
      <w:start w:val="1"/>
      <w:numFmt w:val="lowerRoman"/>
      <w:lvlText w:val="%3."/>
      <w:lvlJc w:val="right"/>
      <w:pPr>
        <w:ind w:left="2952" w:hanging="180"/>
      </w:pPr>
    </w:lvl>
    <w:lvl w:ilvl="3" w:tplc="B6A2F23E" w:tentative="1">
      <w:start w:val="1"/>
      <w:numFmt w:val="decimal"/>
      <w:lvlText w:val="%4."/>
      <w:lvlJc w:val="left"/>
      <w:pPr>
        <w:ind w:left="3672" w:hanging="360"/>
      </w:pPr>
    </w:lvl>
    <w:lvl w:ilvl="4" w:tplc="CD167602" w:tentative="1">
      <w:start w:val="1"/>
      <w:numFmt w:val="lowerLetter"/>
      <w:lvlText w:val="%5."/>
      <w:lvlJc w:val="left"/>
      <w:pPr>
        <w:ind w:left="4392" w:hanging="360"/>
      </w:pPr>
    </w:lvl>
    <w:lvl w:ilvl="5" w:tplc="877AE256" w:tentative="1">
      <w:start w:val="1"/>
      <w:numFmt w:val="lowerRoman"/>
      <w:lvlText w:val="%6."/>
      <w:lvlJc w:val="right"/>
      <w:pPr>
        <w:ind w:left="5112" w:hanging="180"/>
      </w:pPr>
    </w:lvl>
    <w:lvl w:ilvl="6" w:tplc="9260FCE8" w:tentative="1">
      <w:start w:val="1"/>
      <w:numFmt w:val="decimal"/>
      <w:lvlText w:val="%7."/>
      <w:lvlJc w:val="left"/>
      <w:pPr>
        <w:ind w:left="5832" w:hanging="360"/>
      </w:pPr>
    </w:lvl>
    <w:lvl w:ilvl="7" w:tplc="F636051A" w:tentative="1">
      <w:start w:val="1"/>
      <w:numFmt w:val="lowerLetter"/>
      <w:lvlText w:val="%8."/>
      <w:lvlJc w:val="left"/>
      <w:pPr>
        <w:ind w:left="6552" w:hanging="360"/>
      </w:pPr>
    </w:lvl>
    <w:lvl w:ilvl="8" w:tplc="05EC85D0" w:tentative="1">
      <w:start w:val="1"/>
      <w:numFmt w:val="lowerRoman"/>
      <w:lvlText w:val="%9."/>
      <w:lvlJc w:val="right"/>
      <w:pPr>
        <w:ind w:left="7272" w:hanging="180"/>
      </w:pPr>
    </w:lvl>
  </w:abstractNum>
  <w:abstractNum w:abstractNumId="4" w15:restartNumberingAfterBreak="0">
    <w:nsid w:val="0DF512F4"/>
    <w:multiLevelType w:val="hybridMultilevel"/>
    <w:tmpl w:val="3D3EC9A8"/>
    <w:lvl w:ilvl="0" w:tplc="0CC2EC80">
      <w:start w:val="1"/>
      <w:numFmt w:val="lowerLetter"/>
      <w:lvlText w:val="%1."/>
      <w:lvlJc w:val="left"/>
      <w:pPr>
        <w:ind w:left="1944" w:hanging="360"/>
      </w:pPr>
      <w:rPr>
        <w:rFonts w:hint="default"/>
        <w:i w:val="0"/>
        <w:iCs/>
      </w:rPr>
    </w:lvl>
    <w:lvl w:ilvl="1" w:tplc="8F54F7EE" w:tentative="1">
      <w:start w:val="1"/>
      <w:numFmt w:val="lowerLetter"/>
      <w:lvlText w:val="%2."/>
      <w:lvlJc w:val="left"/>
      <w:pPr>
        <w:ind w:left="2664" w:hanging="360"/>
      </w:pPr>
    </w:lvl>
    <w:lvl w:ilvl="2" w:tplc="ED3CC3E6" w:tentative="1">
      <w:start w:val="1"/>
      <w:numFmt w:val="lowerRoman"/>
      <w:lvlText w:val="%3."/>
      <w:lvlJc w:val="right"/>
      <w:pPr>
        <w:ind w:left="3384" w:hanging="180"/>
      </w:pPr>
    </w:lvl>
    <w:lvl w:ilvl="3" w:tplc="0B5AE936" w:tentative="1">
      <w:start w:val="1"/>
      <w:numFmt w:val="decimal"/>
      <w:lvlText w:val="%4."/>
      <w:lvlJc w:val="left"/>
      <w:pPr>
        <w:ind w:left="4104" w:hanging="360"/>
      </w:pPr>
    </w:lvl>
    <w:lvl w:ilvl="4" w:tplc="64547C78" w:tentative="1">
      <w:start w:val="1"/>
      <w:numFmt w:val="lowerLetter"/>
      <w:lvlText w:val="%5."/>
      <w:lvlJc w:val="left"/>
      <w:pPr>
        <w:ind w:left="4824" w:hanging="360"/>
      </w:pPr>
    </w:lvl>
    <w:lvl w:ilvl="5" w:tplc="80AA6F7C" w:tentative="1">
      <w:start w:val="1"/>
      <w:numFmt w:val="lowerRoman"/>
      <w:lvlText w:val="%6."/>
      <w:lvlJc w:val="right"/>
      <w:pPr>
        <w:ind w:left="5544" w:hanging="180"/>
      </w:pPr>
    </w:lvl>
    <w:lvl w:ilvl="6" w:tplc="5D6A1610" w:tentative="1">
      <w:start w:val="1"/>
      <w:numFmt w:val="decimal"/>
      <w:lvlText w:val="%7."/>
      <w:lvlJc w:val="left"/>
      <w:pPr>
        <w:ind w:left="6264" w:hanging="360"/>
      </w:pPr>
    </w:lvl>
    <w:lvl w:ilvl="7" w:tplc="E29E6880" w:tentative="1">
      <w:start w:val="1"/>
      <w:numFmt w:val="lowerLetter"/>
      <w:lvlText w:val="%8."/>
      <w:lvlJc w:val="left"/>
      <w:pPr>
        <w:ind w:left="6984" w:hanging="360"/>
      </w:pPr>
    </w:lvl>
    <w:lvl w:ilvl="8" w:tplc="5088F9D0" w:tentative="1">
      <w:start w:val="1"/>
      <w:numFmt w:val="lowerRoman"/>
      <w:lvlText w:val="%9."/>
      <w:lvlJc w:val="right"/>
      <w:pPr>
        <w:ind w:left="7704" w:hanging="180"/>
      </w:pPr>
    </w:lvl>
  </w:abstractNum>
  <w:abstractNum w:abstractNumId="5" w15:restartNumberingAfterBreak="0">
    <w:nsid w:val="12C37DE1"/>
    <w:multiLevelType w:val="hybridMultilevel"/>
    <w:tmpl w:val="0F28F7FE"/>
    <w:lvl w:ilvl="0" w:tplc="9B38457A">
      <w:start w:val="1"/>
      <w:numFmt w:val="decimal"/>
      <w:lvlText w:val="%1."/>
      <w:lvlJc w:val="left"/>
      <w:pPr>
        <w:ind w:left="1512" w:hanging="360"/>
      </w:pPr>
      <w:rPr>
        <w:rFonts w:hint="default"/>
        <w:i w:val="0"/>
      </w:rPr>
    </w:lvl>
    <w:lvl w:ilvl="1" w:tplc="E8CEB36A" w:tentative="1">
      <w:start w:val="1"/>
      <w:numFmt w:val="lowerLetter"/>
      <w:lvlText w:val="%2."/>
      <w:lvlJc w:val="left"/>
      <w:pPr>
        <w:ind w:left="2232" w:hanging="360"/>
      </w:pPr>
    </w:lvl>
    <w:lvl w:ilvl="2" w:tplc="66F64536" w:tentative="1">
      <w:start w:val="1"/>
      <w:numFmt w:val="lowerRoman"/>
      <w:lvlText w:val="%3."/>
      <w:lvlJc w:val="right"/>
      <w:pPr>
        <w:ind w:left="2952" w:hanging="180"/>
      </w:pPr>
    </w:lvl>
    <w:lvl w:ilvl="3" w:tplc="753C18D6" w:tentative="1">
      <w:start w:val="1"/>
      <w:numFmt w:val="decimal"/>
      <w:lvlText w:val="%4."/>
      <w:lvlJc w:val="left"/>
      <w:pPr>
        <w:ind w:left="3672" w:hanging="360"/>
      </w:pPr>
    </w:lvl>
    <w:lvl w:ilvl="4" w:tplc="3CEC9422" w:tentative="1">
      <w:start w:val="1"/>
      <w:numFmt w:val="lowerLetter"/>
      <w:lvlText w:val="%5."/>
      <w:lvlJc w:val="left"/>
      <w:pPr>
        <w:ind w:left="4392" w:hanging="360"/>
      </w:pPr>
    </w:lvl>
    <w:lvl w:ilvl="5" w:tplc="67385390" w:tentative="1">
      <w:start w:val="1"/>
      <w:numFmt w:val="lowerRoman"/>
      <w:lvlText w:val="%6."/>
      <w:lvlJc w:val="right"/>
      <w:pPr>
        <w:ind w:left="5112" w:hanging="180"/>
      </w:pPr>
    </w:lvl>
    <w:lvl w:ilvl="6" w:tplc="4274B3D0" w:tentative="1">
      <w:start w:val="1"/>
      <w:numFmt w:val="decimal"/>
      <w:lvlText w:val="%7."/>
      <w:lvlJc w:val="left"/>
      <w:pPr>
        <w:ind w:left="5832" w:hanging="360"/>
      </w:pPr>
    </w:lvl>
    <w:lvl w:ilvl="7" w:tplc="BDAC29D0" w:tentative="1">
      <w:start w:val="1"/>
      <w:numFmt w:val="lowerLetter"/>
      <w:lvlText w:val="%8."/>
      <w:lvlJc w:val="left"/>
      <w:pPr>
        <w:ind w:left="6552" w:hanging="360"/>
      </w:pPr>
    </w:lvl>
    <w:lvl w:ilvl="8" w:tplc="8696B160" w:tentative="1">
      <w:start w:val="1"/>
      <w:numFmt w:val="lowerRoman"/>
      <w:lvlText w:val="%9."/>
      <w:lvlJc w:val="right"/>
      <w:pPr>
        <w:ind w:left="7272" w:hanging="180"/>
      </w:pPr>
    </w:lvl>
  </w:abstractNum>
  <w:abstractNum w:abstractNumId="6" w15:restartNumberingAfterBreak="0">
    <w:nsid w:val="168B1577"/>
    <w:multiLevelType w:val="hybridMultilevel"/>
    <w:tmpl w:val="A1F83FB8"/>
    <w:lvl w:ilvl="0" w:tplc="E03E6822">
      <w:start w:val="1"/>
      <w:numFmt w:val="lowerLetter"/>
      <w:lvlText w:val="%1."/>
      <w:lvlJc w:val="left"/>
      <w:pPr>
        <w:ind w:left="1944" w:hanging="360"/>
      </w:pPr>
      <w:rPr>
        <w:rFonts w:hint="default"/>
      </w:rPr>
    </w:lvl>
    <w:lvl w:ilvl="1" w:tplc="617A0FC2" w:tentative="1">
      <w:start w:val="1"/>
      <w:numFmt w:val="lowerLetter"/>
      <w:lvlText w:val="%2."/>
      <w:lvlJc w:val="left"/>
      <w:pPr>
        <w:ind w:left="2664" w:hanging="360"/>
      </w:pPr>
    </w:lvl>
    <w:lvl w:ilvl="2" w:tplc="CD6C2884" w:tentative="1">
      <w:start w:val="1"/>
      <w:numFmt w:val="lowerRoman"/>
      <w:lvlText w:val="%3."/>
      <w:lvlJc w:val="right"/>
      <w:pPr>
        <w:ind w:left="3384" w:hanging="180"/>
      </w:pPr>
    </w:lvl>
    <w:lvl w:ilvl="3" w:tplc="C12EB130" w:tentative="1">
      <w:start w:val="1"/>
      <w:numFmt w:val="decimal"/>
      <w:lvlText w:val="%4."/>
      <w:lvlJc w:val="left"/>
      <w:pPr>
        <w:ind w:left="4104" w:hanging="360"/>
      </w:pPr>
    </w:lvl>
    <w:lvl w:ilvl="4" w:tplc="1842065A" w:tentative="1">
      <w:start w:val="1"/>
      <w:numFmt w:val="lowerLetter"/>
      <w:lvlText w:val="%5."/>
      <w:lvlJc w:val="left"/>
      <w:pPr>
        <w:ind w:left="4824" w:hanging="360"/>
      </w:pPr>
    </w:lvl>
    <w:lvl w:ilvl="5" w:tplc="FA507A78" w:tentative="1">
      <w:start w:val="1"/>
      <w:numFmt w:val="lowerRoman"/>
      <w:lvlText w:val="%6."/>
      <w:lvlJc w:val="right"/>
      <w:pPr>
        <w:ind w:left="5544" w:hanging="180"/>
      </w:pPr>
    </w:lvl>
    <w:lvl w:ilvl="6" w:tplc="D9DC8EA4" w:tentative="1">
      <w:start w:val="1"/>
      <w:numFmt w:val="decimal"/>
      <w:lvlText w:val="%7."/>
      <w:lvlJc w:val="left"/>
      <w:pPr>
        <w:ind w:left="6264" w:hanging="360"/>
      </w:pPr>
    </w:lvl>
    <w:lvl w:ilvl="7" w:tplc="AA12E836" w:tentative="1">
      <w:start w:val="1"/>
      <w:numFmt w:val="lowerLetter"/>
      <w:lvlText w:val="%8."/>
      <w:lvlJc w:val="left"/>
      <w:pPr>
        <w:ind w:left="6984" w:hanging="360"/>
      </w:pPr>
    </w:lvl>
    <w:lvl w:ilvl="8" w:tplc="F9781400" w:tentative="1">
      <w:start w:val="1"/>
      <w:numFmt w:val="lowerRoman"/>
      <w:lvlText w:val="%9."/>
      <w:lvlJc w:val="right"/>
      <w:pPr>
        <w:ind w:left="7704" w:hanging="180"/>
      </w:pPr>
    </w:lvl>
  </w:abstractNum>
  <w:abstractNum w:abstractNumId="7" w15:restartNumberingAfterBreak="0">
    <w:nsid w:val="1DEE7D92"/>
    <w:multiLevelType w:val="hybridMultilevel"/>
    <w:tmpl w:val="1332DDD2"/>
    <w:lvl w:ilvl="0" w:tplc="83689EF0">
      <w:start w:val="1"/>
      <w:numFmt w:val="decimal"/>
      <w:lvlText w:val="%1."/>
      <w:lvlJc w:val="left"/>
      <w:pPr>
        <w:ind w:left="1512" w:hanging="360"/>
      </w:pPr>
      <w:rPr>
        <w:rFonts w:hint="default"/>
        <w:i w:val="0"/>
      </w:rPr>
    </w:lvl>
    <w:lvl w:ilvl="1" w:tplc="D946E3A0" w:tentative="1">
      <w:start w:val="1"/>
      <w:numFmt w:val="lowerLetter"/>
      <w:lvlText w:val="%2."/>
      <w:lvlJc w:val="left"/>
      <w:pPr>
        <w:ind w:left="2232" w:hanging="360"/>
      </w:pPr>
    </w:lvl>
    <w:lvl w:ilvl="2" w:tplc="FB6CF360" w:tentative="1">
      <w:start w:val="1"/>
      <w:numFmt w:val="lowerRoman"/>
      <w:lvlText w:val="%3."/>
      <w:lvlJc w:val="right"/>
      <w:pPr>
        <w:ind w:left="2952" w:hanging="180"/>
      </w:pPr>
    </w:lvl>
    <w:lvl w:ilvl="3" w:tplc="738C22F4" w:tentative="1">
      <w:start w:val="1"/>
      <w:numFmt w:val="decimal"/>
      <w:lvlText w:val="%4."/>
      <w:lvlJc w:val="left"/>
      <w:pPr>
        <w:ind w:left="3672" w:hanging="360"/>
      </w:pPr>
    </w:lvl>
    <w:lvl w:ilvl="4" w:tplc="5FAE1C76" w:tentative="1">
      <w:start w:val="1"/>
      <w:numFmt w:val="lowerLetter"/>
      <w:lvlText w:val="%5."/>
      <w:lvlJc w:val="left"/>
      <w:pPr>
        <w:ind w:left="4392" w:hanging="360"/>
      </w:pPr>
    </w:lvl>
    <w:lvl w:ilvl="5" w:tplc="4F9C9402" w:tentative="1">
      <w:start w:val="1"/>
      <w:numFmt w:val="lowerRoman"/>
      <w:lvlText w:val="%6."/>
      <w:lvlJc w:val="right"/>
      <w:pPr>
        <w:ind w:left="5112" w:hanging="180"/>
      </w:pPr>
    </w:lvl>
    <w:lvl w:ilvl="6" w:tplc="A996876A" w:tentative="1">
      <w:start w:val="1"/>
      <w:numFmt w:val="decimal"/>
      <w:lvlText w:val="%7."/>
      <w:lvlJc w:val="left"/>
      <w:pPr>
        <w:ind w:left="5832" w:hanging="360"/>
      </w:pPr>
    </w:lvl>
    <w:lvl w:ilvl="7" w:tplc="6664A6D2" w:tentative="1">
      <w:start w:val="1"/>
      <w:numFmt w:val="lowerLetter"/>
      <w:lvlText w:val="%8."/>
      <w:lvlJc w:val="left"/>
      <w:pPr>
        <w:ind w:left="6552" w:hanging="360"/>
      </w:pPr>
    </w:lvl>
    <w:lvl w:ilvl="8" w:tplc="65FC11AA" w:tentative="1">
      <w:start w:val="1"/>
      <w:numFmt w:val="lowerRoman"/>
      <w:lvlText w:val="%9."/>
      <w:lvlJc w:val="right"/>
      <w:pPr>
        <w:ind w:left="7272" w:hanging="180"/>
      </w:pPr>
    </w:lvl>
  </w:abstractNum>
  <w:abstractNum w:abstractNumId="8" w15:restartNumberingAfterBreak="0">
    <w:nsid w:val="208D01B0"/>
    <w:multiLevelType w:val="hybridMultilevel"/>
    <w:tmpl w:val="1332DDD2"/>
    <w:lvl w:ilvl="0" w:tplc="DED2CF3E">
      <w:start w:val="1"/>
      <w:numFmt w:val="decimal"/>
      <w:lvlText w:val="%1."/>
      <w:lvlJc w:val="left"/>
      <w:pPr>
        <w:ind w:left="1512" w:hanging="360"/>
      </w:pPr>
      <w:rPr>
        <w:rFonts w:hint="default"/>
        <w:i w:val="0"/>
      </w:rPr>
    </w:lvl>
    <w:lvl w:ilvl="1" w:tplc="25266502" w:tentative="1">
      <w:start w:val="1"/>
      <w:numFmt w:val="lowerLetter"/>
      <w:lvlText w:val="%2."/>
      <w:lvlJc w:val="left"/>
      <w:pPr>
        <w:ind w:left="2232" w:hanging="360"/>
      </w:pPr>
    </w:lvl>
    <w:lvl w:ilvl="2" w:tplc="52B8B778" w:tentative="1">
      <w:start w:val="1"/>
      <w:numFmt w:val="lowerRoman"/>
      <w:lvlText w:val="%3."/>
      <w:lvlJc w:val="right"/>
      <w:pPr>
        <w:ind w:left="2952" w:hanging="180"/>
      </w:pPr>
    </w:lvl>
    <w:lvl w:ilvl="3" w:tplc="1C5EC0F0" w:tentative="1">
      <w:start w:val="1"/>
      <w:numFmt w:val="decimal"/>
      <w:lvlText w:val="%4."/>
      <w:lvlJc w:val="left"/>
      <w:pPr>
        <w:ind w:left="3672" w:hanging="360"/>
      </w:pPr>
    </w:lvl>
    <w:lvl w:ilvl="4" w:tplc="68143BE8" w:tentative="1">
      <w:start w:val="1"/>
      <w:numFmt w:val="lowerLetter"/>
      <w:lvlText w:val="%5."/>
      <w:lvlJc w:val="left"/>
      <w:pPr>
        <w:ind w:left="4392" w:hanging="360"/>
      </w:pPr>
    </w:lvl>
    <w:lvl w:ilvl="5" w:tplc="8EC83BF8" w:tentative="1">
      <w:start w:val="1"/>
      <w:numFmt w:val="lowerRoman"/>
      <w:lvlText w:val="%6."/>
      <w:lvlJc w:val="right"/>
      <w:pPr>
        <w:ind w:left="5112" w:hanging="180"/>
      </w:pPr>
    </w:lvl>
    <w:lvl w:ilvl="6" w:tplc="22EE7EF6" w:tentative="1">
      <w:start w:val="1"/>
      <w:numFmt w:val="decimal"/>
      <w:lvlText w:val="%7."/>
      <w:lvlJc w:val="left"/>
      <w:pPr>
        <w:ind w:left="5832" w:hanging="360"/>
      </w:pPr>
    </w:lvl>
    <w:lvl w:ilvl="7" w:tplc="2E5841A0" w:tentative="1">
      <w:start w:val="1"/>
      <w:numFmt w:val="lowerLetter"/>
      <w:lvlText w:val="%8."/>
      <w:lvlJc w:val="left"/>
      <w:pPr>
        <w:ind w:left="6552" w:hanging="360"/>
      </w:pPr>
    </w:lvl>
    <w:lvl w:ilvl="8" w:tplc="F7CAA37C" w:tentative="1">
      <w:start w:val="1"/>
      <w:numFmt w:val="lowerRoman"/>
      <w:lvlText w:val="%9."/>
      <w:lvlJc w:val="right"/>
      <w:pPr>
        <w:ind w:left="7272" w:hanging="180"/>
      </w:pPr>
    </w:lvl>
  </w:abstractNum>
  <w:abstractNum w:abstractNumId="9" w15:restartNumberingAfterBreak="0">
    <w:nsid w:val="21597D1F"/>
    <w:multiLevelType w:val="hybridMultilevel"/>
    <w:tmpl w:val="CE9A9264"/>
    <w:lvl w:ilvl="0" w:tplc="24367370">
      <w:start w:val="1"/>
      <w:numFmt w:val="decimal"/>
      <w:lvlText w:val="%1."/>
      <w:lvlJc w:val="left"/>
      <w:pPr>
        <w:ind w:left="1080" w:hanging="360"/>
      </w:pPr>
      <w:rPr>
        <w:rFonts w:hint="default"/>
      </w:rPr>
    </w:lvl>
    <w:lvl w:ilvl="1" w:tplc="1ADA8E20">
      <w:start w:val="1"/>
      <w:numFmt w:val="lowerLetter"/>
      <w:lvlText w:val="%2."/>
      <w:lvlJc w:val="left"/>
      <w:pPr>
        <w:ind w:left="1800" w:hanging="360"/>
      </w:pPr>
    </w:lvl>
    <w:lvl w:ilvl="2" w:tplc="0350894A">
      <w:start w:val="1"/>
      <w:numFmt w:val="lowerRoman"/>
      <w:lvlText w:val="%3."/>
      <w:lvlJc w:val="right"/>
      <w:pPr>
        <w:ind w:left="2520" w:hanging="180"/>
      </w:pPr>
    </w:lvl>
    <w:lvl w:ilvl="3" w:tplc="5F909654" w:tentative="1">
      <w:start w:val="1"/>
      <w:numFmt w:val="decimal"/>
      <w:lvlText w:val="%4."/>
      <w:lvlJc w:val="left"/>
      <w:pPr>
        <w:ind w:left="3240" w:hanging="360"/>
      </w:pPr>
    </w:lvl>
    <w:lvl w:ilvl="4" w:tplc="A19AFC1C" w:tentative="1">
      <w:start w:val="1"/>
      <w:numFmt w:val="lowerLetter"/>
      <w:lvlText w:val="%5."/>
      <w:lvlJc w:val="left"/>
      <w:pPr>
        <w:ind w:left="3960" w:hanging="360"/>
      </w:pPr>
    </w:lvl>
    <w:lvl w:ilvl="5" w:tplc="6C2060C0" w:tentative="1">
      <w:start w:val="1"/>
      <w:numFmt w:val="lowerRoman"/>
      <w:lvlText w:val="%6."/>
      <w:lvlJc w:val="right"/>
      <w:pPr>
        <w:ind w:left="4680" w:hanging="180"/>
      </w:pPr>
    </w:lvl>
    <w:lvl w:ilvl="6" w:tplc="FEDCCF2E" w:tentative="1">
      <w:start w:val="1"/>
      <w:numFmt w:val="decimal"/>
      <w:lvlText w:val="%7."/>
      <w:lvlJc w:val="left"/>
      <w:pPr>
        <w:ind w:left="5400" w:hanging="360"/>
      </w:pPr>
    </w:lvl>
    <w:lvl w:ilvl="7" w:tplc="9AB20C06" w:tentative="1">
      <w:start w:val="1"/>
      <w:numFmt w:val="lowerLetter"/>
      <w:lvlText w:val="%8."/>
      <w:lvlJc w:val="left"/>
      <w:pPr>
        <w:ind w:left="6120" w:hanging="360"/>
      </w:pPr>
    </w:lvl>
    <w:lvl w:ilvl="8" w:tplc="7FF0B7E8" w:tentative="1">
      <w:start w:val="1"/>
      <w:numFmt w:val="lowerRoman"/>
      <w:lvlText w:val="%9."/>
      <w:lvlJc w:val="right"/>
      <w:pPr>
        <w:ind w:left="6840" w:hanging="180"/>
      </w:pPr>
    </w:lvl>
  </w:abstractNum>
  <w:abstractNum w:abstractNumId="10" w15:restartNumberingAfterBreak="0">
    <w:nsid w:val="22320C13"/>
    <w:multiLevelType w:val="hybridMultilevel"/>
    <w:tmpl w:val="F96ADD44"/>
    <w:lvl w:ilvl="0" w:tplc="0A20B752">
      <w:start w:val="1"/>
      <w:numFmt w:val="lowerRoman"/>
      <w:lvlText w:val="%1."/>
      <w:lvlJc w:val="left"/>
      <w:pPr>
        <w:ind w:left="2736" w:hanging="720"/>
      </w:pPr>
      <w:rPr>
        <w:rFonts w:hint="default"/>
        <w:i w:val="0"/>
        <w:iCs/>
      </w:rPr>
    </w:lvl>
    <w:lvl w:ilvl="1" w:tplc="71AEA482" w:tentative="1">
      <w:start w:val="1"/>
      <w:numFmt w:val="lowerLetter"/>
      <w:lvlText w:val="%2."/>
      <w:lvlJc w:val="left"/>
      <w:pPr>
        <w:ind w:left="3096" w:hanging="360"/>
      </w:pPr>
    </w:lvl>
    <w:lvl w:ilvl="2" w:tplc="9954A3AC" w:tentative="1">
      <w:start w:val="1"/>
      <w:numFmt w:val="lowerRoman"/>
      <w:lvlText w:val="%3."/>
      <w:lvlJc w:val="right"/>
      <w:pPr>
        <w:ind w:left="3816" w:hanging="180"/>
      </w:pPr>
    </w:lvl>
    <w:lvl w:ilvl="3" w:tplc="7E6692FA" w:tentative="1">
      <w:start w:val="1"/>
      <w:numFmt w:val="decimal"/>
      <w:lvlText w:val="%4."/>
      <w:lvlJc w:val="left"/>
      <w:pPr>
        <w:ind w:left="4536" w:hanging="360"/>
      </w:pPr>
    </w:lvl>
    <w:lvl w:ilvl="4" w:tplc="155CEB3E" w:tentative="1">
      <w:start w:val="1"/>
      <w:numFmt w:val="lowerLetter"/>
      <w:lvlText w:val="%5."/>
      <w:lvlJc w:val="left"/>
      <w:pPr>
        <w:ind w:left="5256" w:hanging="360"/>
      </w:pPr>
    </w:lvl>
    <w:lvl w:ilvl="5" w:tplc="473C3780" w:tentative="1">
      <w:start w:val="1"/>
      <w:numFmt w:val="lowerRoman"/>
      <w:lvlText w:val="%6."/>
      <w:lvlJc w:val="right"/>
      <w:pPr>
        <w:ind w:left="5976" w:hanging="180"/>
      </w:pPr>
    </w:lvl>
    <w:lvl w:ilvl="6" w:tplc="BAE2040E" w:tentative="1">
      <w:start w:val="1"/>
      <w:numFmt w:val="decimal"/>
      <w:lvlText w:val="%7."/>
      <w:lvlJc w:val="left"/>
      <w:pPr>
        <w:ind w:left="6696" w:hanging="360"/>
      </w:pPr>
    </w:lvl>
    <w:lvl w:ilvl="7" w:tplc="CAA6DD26" w:tentative="1">
      <w:start w:val="1"/>
      <w:numFmt w:val="lowerLetter"/>
      <w:lvlText w:val="%8."/>
      <w:lvlJc w:val="left"/>
      <w:pPr>
        <w:ind w:left="7416" w:hanging="360"/>
      </w:pPr>
    </w:lvl>
    <w:lvl w:ilvl="8" w:tplc="75A4B9AC" w:tentative="1">
      <w:start w:val="1"/>
      <w:numFmt w:val="lowerRoman"/>
      <w:lvlText w:val="%9."/>
      <w:lvlJc w:val="right"/>
      <w:pPr>
        <w:ind w:left="8136" w:hanging="180"/>
      </w:pPr>
    </w:lvl>
  </w:abstractNum>
  <w:abstractNum w:abstractNumId="11" w15:restartNumberingAfterBreak="0">
    <w:nsid w:val="2D9A2F6E"/>
    <w:multiLevelType w:val="hybridMultilevel"/>
    <w:tmpl w:val="19BEE19E"/>
    <w:lvl w:ilvl="0" w:tplc="3E387F06">
      <w:start w:val="1"/>
      <w:numFmt w:val="upperLetter"/>
      <w:lvlText w:val="%1."/>
      <w:lvlJc w:val="left"/>
      <w:pPr>
        <w:ind w:left="1080" w:hanging="360"/>
      </w:pPr>
      <w:rPr>
        <w:rFonts w:hint="default"/>
      </w:rPr>
    </w:lvl>
    <w:lvl w:ilvl="1" w:tplc="A184EE68" w:tentative="1">
      <w:start w:val="1"/>
      <w:numFmt w:val="lowerLetter"/>
      <w:lvlText w:val="%2."/>
      <w:lvlJc w:val="left"/>
      <w:pPr>
        <w:ind w:left="1800" w:hanging="360"/>
      </w:pPr>
    </w:lvl>
    <w:lvl w:ilvl="2" w:tplc="8CE4A4D8" w:tentative="1">
      <w:start w:val="1"/>
      <w:numFmt w:val="lowerRoman"/>
      <w:lvlText w:val="%3."/>
      <w:lvlJc w:val="right"/>
      <w:pPr>
        <w:ind w:left="2520" w:hanging="180"/>
      </w:pPr>
    </w:lvl>
    <w:lvl w:ilvl="3" w:tplc="919A59BA" w:tentative="1">
      <w:start w:val="1"/>
      <w:numFmt w:val="decimal"/>
      <w:lvlText w:val="%4."/>
      <w:lvlJc w:val="left"/>
      <w:pPr>
        <w:ind w:left="3240" w:hanging="360"/>
      </w:pPr>
    </w:lvl>
    <w:lvl w:ilvl="4" w:tplc="C98E03B0" w:tentative="1">
      <w:start w:val="1"/>
      <w:numFmt w:val="lowerLetter"/>
      <w:lvlText w:val="%5."/>
      <w:lvlJc w:val="left"/>
      <w:pPr>
        <w:ind w:left="3960" w:hanging="360"/>
      </w:pPr>
    </w:lvl>
    <w:lvl w:ilvl="5" w:tplc="C9A2E85A" w:tentative="1">
      <w:start w:val="1"/>
      <w:numFmt w:val="lowerRoman"/>
      <w:lvlText w:val="%6."/>
      <w:lvlJc w:val="right"/>
      <w:pPr>
        <w:ind w:left="4680" w:hanging="180"/>
      </w:pPr>
    </w:lvl>
    <w:lvl w:ilvl="6" w:tplc="843A13FC" w:tentative="1">
      <w:start w:val="1"/>
      <w:numFmt w:val="decimal"/>
      <w:lvlText w:val="%7."/>
      <w:lvlJc w:val="left"/>
      <w:pPr>
        <w:ind w:left="5400" w:hanging="360"/>
      </w:pPr>
    </w:lvl>
    <w:lvl w:ilvl="7" w:tplc="FB9C17BC" w:tentative="1">
      <w:start w:val="1"/>
      <w:numFmt w:val="lowerLetter"/>
      <w:lvlText w:val="%8."/>
      <w:lvlJc w:val="left"/>
      <w:pPr>
        <w:ind w:left="6120" w:hanging="360"/>
      </w:pPr>
    </w:lvl>
    <w:lvl w:ilvl="8" w:tplc="E28A79CC" w:tentative="1">
      <w:start w:val="1"/>
      <w:numFmt w:val="lowerRoman"/>
      <w:lvlText w:val="%9."/>
      <w:lvlJc w:val="right"/>
      <w:pPr>
        <w:ind w:left="6840" w:hanging="180"/>
      </w:pPr>
    </w:lvl>
  </w:abstractNum>
  <w:abstractNum w:abstractNumId="12" w15:restartNumberingAfterBreak="0">
    <w:nsid w:val="310A7D5C"/>
    <w:multiLevelType w:val="hybridMultilevel"/>
    <w:tmpl w:val="88E09D0C"/>
    <w:lvl w:ilvl="0" w:tplc="C9984FEC">
      <w:start w:val="1"/>
      <w:numFmt w:val="lowerLetter"/>
      <w:lvlText w:val="%1."/>
      <w:lvlJc w:val="left"/>
      <w:pPr>
        <w:ind w:left="1944" w:hanging="360"/>
      </w:pPr>
      <w:rPr>
        <w:rFonts w:hint="default"/>
      </w:rPr>
    </w:lvl>
    <w:lvl w:ilvl="1" w:tplc="75F48A34" w:tentative="1">
      <w:start w:val="1"/>
      <w:numFmt w:val="lowerLetter"/>
      <w:lvlText w:val="%2."/>
      <w:lvlJc w:val="left"/>
      <w:pPr>
        <w:ind w:left="2664" w:hanging="360"/>
      </w:pPr>
    </w:lvl>
    <w:lvl w:ilvl="2" w:tplc="8D9E932E" w:tentative="1">
      <w:start w:val="1"/>
      <w:numFmt w:val="lowerRoman"/>
      <w:lvlText w:val="%3."/>
      <w:lvlJc w:val="right"/>
      <w:pPr>
        <w:ind w:left="3384" w:hanging="180"/>
      </w:pPr>
    </w:lvl>
    <w:lvl w:ilvl="3" w:tplc="D30C0E62" w:tentative="1">
      <w:start w:val="1"/>
      <w:numFmt w:val="decimal"/>
      <w:lvlText w:val="%4."/>
      <w:lvlJc w:val="left"/>
      <w:pPr>
        <w:ind w:left="4104" w:hanging="360"/>
      </w:pPr>
    </w:lvl>
    <w:lvl w:ilvl="4" w:tplc="30E2C804" w:tentative="1">
      <w:start w:val="1"/>
      <w:numFmt w:val="lowerLetter"/>
      <w:lvlText w:val="%5."/>
      <w:lvlJc w:val="left"/>
      <w:pPr>
        <w:ind w:left="4824" w:hanging="360"/>
      </w:pPr>
    </w:lvl>
    <w:lvl w:ilvl="5" w:tplc="D676133E" w:tentative="1">
      <w:start w:val="1"/>
      <w:numFmt w:val="lowerRoman"/>
      <w:lvlText w:val="%6."/>
      <w:lvlJc w:val="right"/>
      <w:pPr>
        <w:ind w:left="5544" w:hanging="180"/>
      </w:pPr>
    </w:lvl>
    <w:lvl w:ilvl="6" w:tplc="89D8A1A2" w:tentative="1">
      <w:start w:val="1"/>
      <w:numFmt w:val="decimal"/>
      <w:lvlText w:val="%7."/>
      <w:lvlJc w:val="left"/>
      <w:pPr>
        <w:ind w:left="6264" w:hanging="360"/>
      </w:pPr>
    </w:lvl>
    <w:lvl w:ilvl="7" w:tplc="2A742C04" w:tentative="1">
      <w:start w:val="1"/>
      <w:numFmt w:val="lowerLetter"/>
      <w:lvlText w:val="%8."/>
      <w:lvlJc w:val="left"/>
      <w:pPr>
        <w:ind w:left="6984" w:hanging="360"/>
      </w:pPr>
    </w:lvl>
    <w:lvl w:ilvl="8" w:tplc="1BAC00B8" w:tentative="1">
      <w:start w:val="1"/>
      <w:numFmt w:val="lowerRoman"/>
      <w:lvlText w:val="%9."/>
      <w:lvlJc w:val="right"/>
      <w:pPr>
        <w:ind w:left="7704" w:hanging="180"/>
      </w:pPr>
    </w:lvl>
  </w:abstractNum>
  <w:abstractNum w:abstractNumId="13" w15:restartNumberingAfterBreak="0">
    <w:nsid w:val="381822DE"/>
    <w:multiLevelType w:val="hybridMultilevel"/>
    <w:tmpl w:val="EFC4DE62"/>
    <w:lvl w:ilvl="0" w:tplc="D54ED104">
      <w:start w:val="1"/>
      <w:numFmt w:val="lowerRoman"/>
      <w:lvlText w:val="%1."/>
      <w:lvlJc w:val="left"/>
      <w:pPr>
        <w:ind w:left="1440" w:hanging="720"/>
      </w:pPr>
      <w:rPr>
        <w:rFonts w:hint="default"/>
      </w:rPr>
    </w:lvl>
    <w:lvl w:ilvl="1" w:tplc="06ECC4B4" w:tentative="1">
      <w:start w:val="1"/>
      <w:numFmt w:val="lowerLetter"/>
      <w:lvlText w:val="%2."/>
      <w:lvlJc w:val="left"/>
      <w:pPr>
        <w:ind w:left="1800" w:hanging="360"/>
      </w:pPr>
    </w:lvl>
    <w:lvl w:ilvl="2" w:tplc="A0C66EE2" w:tentative="1">
      <w:start w:val="1"/>
      <w:numFmt w:val="lowerRoman"/>
      <w:lvlText w:val="%3."/>
      <w:lvlJc w:val="right"/>
      <w:pPr>
        <w:ind w:left="2520" w:hanging="180"/>
      </w:pPr>
    </w:lvl>
    <w:lvl w:ilvl="3" w:tplc="66CAB874" w:tentative="1">
      <w:start w:val="1"/>
      <w:numFmt w:val="decimal"/>
      <w:lvlText w:val="%4."/>
      <w:lvlJc w:val="left"/>
      <w:pPr>
        <w:ind w:left="3240" w:hanging="360"/>
      </w:pPr>
    </w:lvl>
    <w:lvl w:ilvl="4" w:tplc="D2E0518C" w:tentative="1">
      <w:start w:val="1"/>
      <w:numFmt w:val="lowerLetter"/>
      <w:lvlText w:val="%5."/>
      <w:lvlJc w:val="left"/>
      <w:pPr>
        <w:ind w:left="3960" w:hanging="360"/>
      </w:pPr>
    </w:lvl>
    <w:lvl w:ilvl="5" w:tplc="D602A794" w:tentative="1">
      <w:start w:val="1"/>
      <w:numFmt w:val="lowerRoman"/>
      <w:lvlText w:val="%6."/>
      <w:lvlJc w:val="right"/>
      <w:pPr>
        <w:ind w:left="4680" w:hanging="180"/>
      </w:pPr>
    </w:lvl>
    <w:lvl w:ilvl="6" w:tplc="5C6C2DA6" w:tentative="1">
      <w:start w:val="1"/>
      <w:numFmt w:val="decimal"/>
      <w:lvlText w:val="%7."/>
      <w:lvlJc w:val="left"/>
      <w:pPr>
        <w:ind w:left="5400" w:hanging="360"/>
      </w:pPr>
    </w:lvl>
    <w:lvl w:ilvl="7" w:tplc="C24ED472" w:tentative="1">
      <w:start w:val="1"/>
      <w:numFmt w:val="lowerLetter"/>
      <w:lvlText w:val="%8."/>
      <w:lvlJc w:val="left"/>
      <w:pPr>
        <w:ind w:left="6120" w:hanging="360"/>
      </w:pPr>
    </w:lvl>
    <w:lvl w:ilvl="8" w:tplc="D3389F16" w:tentative="1">
      <w:start w:val="1"/>
      <w:numFmt w:val="lowerRoman"/>
      <w:lvlText w:val="%9."/>
      <w:lvlJc w:val="right"/>
      <w:pPr>
        <w:ind w:left="6840" w:hanging="180"/>
      </w:pPr>
    </w:lvl>
  </w:abstractNum>
  <w:abstractNum w:abstractNumId="14" w15:restartNumberingAfterBreak="0">
    <w:nsid w:val="384E384B"/>
    <w:multiLevelType w:val="hybridMultilevel"/>
    <w:tmpl w:val="8FB20C86"/>
    <w:lvl w:ilvl="0" w:tplc="62887522">
      <w:start w:val="1"/>
      <w:numFmt w:val="lowerLetter"/>
      <w:lvlText w:val="%1."/>
      <w:lvlJc w:val="left"/>
      <w:pPr>
        <w:ind w:left="1944" w:hanging="360"/>
      </w:pPr>
      <w:rPr>
        <w:rFonts w:hint="default"/>
        <w:i w:val="0"/>
        <w:iCs/>
      </w:rPr>
    </w:lvl>
    <w:lvl w:ilvl="1" w:tplc="129EA7EA" w:tentative="1">
      <w:start w:val="1"/>
      <w:numFmt w:val="lowerLetter"/>
      <w:lvlText w:val="%2."/>
      <w:lvlJc w:val="left"/>
      <w:pPr>
        <w:ind w:left="2664" w:hanging="360"/>
      </w:pPr>
    </w:lvl>
    <w:lvl w:ilvl="2" w:tplc="38765AC0" w:tentative="1">
      <w:start w:val="1"/>
      <w:numFmt w:val="lowerRoman"/>
      <w:lvlText w:val="%3."/>
      <w:lvlJc w:val="right"/>
      <w:pPr>
        <w:ind w:left="3384" w:hanging="180"/>
      </w:pPr>
    </w:lvl>
    <w:lvl w:ilvl="3" w:tplc="02A0173C" w:tentative="1">
      <w:start w:val="1"/>
      <w:numFmt w:val="decimal"/>
      <w:lvlText w:val="%4."/>
      <w:lvlJc w:val="left"/>
      <w:pPr>
        <w:ind w:left="4104" w:hanging="360"/>
      </w:pPr>
    </w:lvl>
    <w:lvl w:ilvl="4" w:tplc="A7D876A0" w:tentative="1">
      <w:start w:val="1"/>
      <w:numFmt w:val="lowerLetter"/>
      <w:lvlText w:val="%5."/>
      <w:lvlJc w:val="left"/>
      <w:pPr>
        <w:ind w:left="4824" w:hanging="360"/>
      </w:pPr>
    </w:lvl>
    <w:lvl w:ilvl="5" w:tplc="39AA9D2A" w:tentative="1">
      <w:start w:val="1"/>
      <w:numFmt w:val="lowerRoman"/>
      <w:lvlText w:val="%6."/>
      <w:lvlJc w:val="right"/>
      <w:pPr>
        <w:ind w:left="5544" w:hanging="180"/>
      </w:pPr>
    </w:lvl>
    <w:lvl w:ilvl="6" w:tplc="F89C2C28" w:tentative="1">
      <w:start w:val="1"/>
      <w:numFmt w:val="decimal"/>
      <w:lvlText w:val="%7."/>
      <w:lvlJc w:val="left"/>
      <w:pPr>
        <w:ind w:left="6264" w:hanging="360"/>
      </w:pPr>
    </w:lvl>
    <w:lvl w:ilvl="7" w:tplc="7750BCBE" w:tentative="1">
      <w:start w:val="1"/>
      <w:numFmt w:val="lowerLetter"/>
      <w:lvlText w:val="%8."/>
      <w:lvlJc w:val="left"/>
      <w:pPr>
        <w:ind w:left="6984" w:hanging="360"/>
      </w:pPr>
    </w:lvl>
    <w:lvl w:ilvl="8" w:tplc="35DA63F4" w:tentative="1">
      <w:start w:val="1"/>
      <w:numFmt w:val="lowerRoman"/>
      <w:lvlText w:val="%9."/>
      <w:lvlJc w:val="right"/>
      <w:pPr>
        <w:ind w:left="7704" w:hanging="180"/>
      </w:pPr>
    </w:lvl>
  </w:abstractNum>
  <w:abstractNum w:abstractNumId="15" w15:restartNumberingAfterBreak="0">
    <w:nsid w:val="3B32394B"/>
    <w:multiLevelType w:val="hybridMultilevel"/>
    <w:tmpl w:val="1332DDD2"/>
    <w:lvl w:ilvl="0" w:tplc="27A0A274">
      <w:start w:val="1"/>
      <w:numFmt w:val="decimal"/>
      <w:lvlText w:val="%1."/>
      <w:lvlJc w:val="left"/>
      <w:pPr>
        <w:ind w:left="1512" w:hanging="360"/>
      </w:pPr>
      <w:rPr>
        <w:rFonts w:hint="default"/>
        <w:i w:val="0"/>
      </w:rPr>
    </w:lvl>
    <w:lvl w:ilvl="1" w:tplc="B4D87290" w:tentative="1">
      <w:start w:val="1"/>
      <w:numFmt w:val="lowerLetter"/>
      <w:lvlText w:val="%2."/>
      <w:lvlJc w:val="left"/>
      <w:pPr>
        <w:ind w:left="2232" w:hanging="360"/>
      </w:pPr>
    </w:lvl>
    <w:lvl w:ilvl="2" w:tplc="94F4E2E6" w:tentative="1">
      <w:start w:val="1"/>
      <w:numFmt w:val="lowerRoman"/>
      <w:lvlText w:val="%3."/>
      <w:lvlJc w:val="right"/>
      <w:pPr>
        <w:ind w:left="2952" w:hanging="180"/>
      </w:pPr>
    </w:lvl>
    <w:lvl w:ilvl="3" w:tplc="4E56886E" w:tentative="1">
      <w:start w:val="1"/>
      <w:numFmt w:val="decimal"/>
      <w:lvlText w:val="%4."/>
      <w:lvlJc w:val="left"/>
      <w:pPr>
        <w:ind w:left="3672" w:hanging="360"/>
      </w:pPr>
    </w:lvl>
    <w:lvl w:ilvl="4" w:tplc="4948C8BC" w:tentative="1">
      <w:start w:val="1"/>
      <w:numFmt w:val="lowerLetter"/>
      <w:lvlText w:val="%5."/>
      <w:lvlJc w:val="left"/>
      <w:pPr>
        <w:ind w:left="4392" w:hanging="360"/>
      </w:pPr>
    </w:lvl>
    <w:lvl w:ilvl="5" w:tplc="6E729CDA" w:tentative="1">
      <w:start w:val="1"/>
      <w:numFmt w:val="lowerRoman"/>
      <w:lvlText w:val="%6."/>
      <w:lvlJc w:val="right"/>
      <w:pPr>
        <w:ind w:left="5112" w:hanging="180"/>
      </w:pPr>
    </w:lvl>
    <w:lvl w:ilvl="6" w:tplc="F3DE43B8" w:tentative="1">
      <w:start w:val="1"/>
      <w:numFmt w:val="decimal"/>
      <w:lvlText w:val="%7."/>
      <w:lvlJc w:val="left"/>
      <w:pPr>
        <w:ind w:left="5832" w:hanging="360"/>
      </w:pPr>
    </w:lvl>
    <w:lvl w:ilvl="7" w:tplc="574EA4B4" w:tentative="1">
      <w:start w:val="1"/>
      <w:numFmt w:val="lowerLetter"/>
      <w:lvlText w:val="%8."/>
      <w:lvlJc w:val="left"/>
      <w:pPr>
        <w:ind w:left="6552" w:hanging="360"/>
      </w:pPr>
    </w:lvl>
    <w:lvl w:ilvl="8" w:tplc="F6A23696" w:tentative="1">
      <w:start w:val="1"/>
      <w:numFmt w:val="lowerRoman"/>
      <w:lvlText w:val="%9."/>
      <w:lvlJc w:val="right"/>
      <w:pPr>
        <w:ind w:left="7272" w:hanging="180"/>
      </w:pPr>
    </w:lvl>
  </w:abstractNum>
  <w:abstractNum w:abstractNumId="16" w15:restartNumberingAfterBreak="0">
    <w:nsid w:val="41ED5E15"/>
    <w:multiLevelType w:val="hybridMultilevel"/>
    <w:tmpl w:val="1332DDD2"/>
    <w:lvl w:ilvl="0" w:tplc="C136D34E">
      <w:start w:val="1"/>
      <w:numFmt w:val="decimal"/>
      <w:lvlText w:val="%1."/>
      <w:lvlJc w:val="left"/>
      <w:pPr>
        <w:ind w:left="1512" w:hanging="360"/>
      </w:pPr>
      <w:rPr>
        <w:rFonts w:hint="default"/>
        <w:i w:val="0"/>
      </w:rPr>
    </w:lvl>
    <w:lvl w:ilvl="1" w:tplc="0D5E2898" w:tentative="1">
      <w:start w:val="1"/>
      <w:numFmt w:val="lowerLetter"/>
      <w:lvlText w:val="%2."/>
      <w:lvlJc w:val="left"/>
      <w:pPr>
        <w:ind w:left="2232" w:hanging="360"/>
      </w:pPr>
    </w:lvl>
    <w:lvl w:ilvl="2" w:tplc="A394E03C" w:tentative="1">
      <w:start w:val="1"/>
      <w:numFmt w:val="lowerRoman"/>
      <w:lvlText w:val="%3."/>
      <w:lvlJc w:val="right"/>
      <w:pPr>
        <w:ind w:left="2952" w:hanging="180"/>
      </w:pPr>
    </w:lvl>
    <w:lvl w:ilvl="3" w:tplc="1BE0C1F0" w:tentative="1">
      <w:start w:val="1"/>
      <w:numFmt w:val="decimal"/>
      <w:lvlText w:val="%4."/>
      <w:lvlJc w:val="left"/>
      <w:pPr>
        <w:ind w:left="3672" w:hanging="360"/>
      </w:pPr>
    </w:lvl>
    <w:lvl w:ilvl="4" w:tplc="922ADAAE" w:tentative="1">
      <w:start w:val="1"/>
      <w:numFmt w:val="lowerLetter"/>
      <w:lvlText w:val="%5."/>
      <w:lvlJc w:val="left"/>
      <w:pPr>
        <w:ind w:left="4392" w:hanging="360"/>
      </w:pPr>
    </w:lvl>
    <w:lvl w:ilvl="5" w:tplc="CB981E3E" w:tentative="1">
      <w:start w:val="1"/>
      <w:numFmt w:val="lowerRoman"/>
      <w:lvlText w:val="%6."/>
      <w:lvlJc w:val="right"/>
      <w:pPr>
        <w:ind w:left="5112" w:hanging="180"/>
      </w:pPr>
    </w:lvl>
    <w:lvl w:ilvl="6" w:tplc="7690D8AA" w:tentative="1">
      <w:start w:val="1"/>
      <w:numFmt w:val="decimal"/>
      <w:lvlText w:val="%7."/>
      <w:lvlJc w:val="left"/>
      <w:pPr>
        <w:ind w:left="5832" w:hanging="360"/>
      </w:pPr>
    </w:lvl>
    <w:lvl w:ilvl="7" w:tplc="7DEE7DB2" w:tentative="1">
      <w:start w:val="1"/>
      <w:numFmt w:val="lowerLetter"/>
      <w:lvlText w:val="%8."/>
      <w:lvlJc w:val="left"/>
      <w:pPr>
        <w:ind w:left="6552" w:hanging="360"/>
      </w:pPr>
    </w:lvl>
    <w:lvl w:ilvl="8" w:tplc="740424B4" w:tentative="1">
      <w:start w:val="1"/>
      <w:numFmt w:val="lowerRoman"/>
      <w:lvlText w:val="%9."/>
      <w:lvlJc w:val="right"/>
      <w:pPr>
        <w:ind w:left="7272" w:hanging="180"/>
      </w:pPr>
    </w:lvl>
  </w:abstractNum>
  <w:abstractNum w:abstractNumId="17" w15:restartNumberingAfterBreak="0">
    <w:nsid w:val="444C68A6"/>
    <w:multiLevelType w:val="hybridMultilevel"/>
    <w:tmpl w:val="1332DDD2"/>
    <w:lvl w:ilvl="0" w:tplc="11680828">
      <w:start w:val="1"/>
      <w:numFmt w:val="decimal"/>
      <w:lvlText w:val="%1."/>
      <w:lvlJc w:val="left"/>
      <w:pPr>
        <w:ind w:left="1512" w:hanging="360"/>
      </w:pPr>
      <w:rPr>
        <w:rFonts w:hint="default"/>
        <w:i w:val="0"/>
      </w:rPr>
    </w:lvl>
    <w:lvl w:ilvl="1" w:tplc="47E0EE16" w:tentative="1">
      <w:start w:val="1"/>
      <w:numFmt w:val="lowerLetter"/>
      <w:lvlText w:val="%2."/>
      <w:lvlJc w:val="left"/>
      <w:pPr>
        <w:ind w:left="2232" w:hanging="360"/>
      </w:pPr>
    </w:lvl>
    <w:lvl w:ilvl="2" w:tplc="51B05F32" w:tentative="1">
      <w:start w:val="1"/>
      <w:numFmt w:val="lowerRoman"/>
      <w:lvlText w:val="%3."/>
      <w:lvlJc w:val="right"/>
      <w:pPr>
        <w:ind w:left="2952" w:hanging="180"/>
      </w:pPr>
    </w:lvl>
    <w:lvl w:ilvl="3" w:tplc="636EF7F6" w:tentative="1">
      <w:start w:val="1"/>
      <w:numFmt w:val="decimal"/>
      <w:lvlText w:val="%4."/>
      <w:lvlJc w:val="left"/>
      <w:pPr>
        <w:ind w:left="3672" w:hanging="360"/>
      </w:pPr>
    </w:lvl>
    <w:lvl w:ilvl="4" w:tplc="4DECD354" w:tentative="1">
      <w:start w:val="1"/>
      <w:numFmt w:val="lowerLetter"/>
      <w:lvlText w:val="%5."/>
      <w:lvlJc w:val="left"/>
      <w:pPr>
        <w:ind w:left="4392" w:hanging="360"/>
      </w:pPr>
    </w:lvl>
    <w:lvl w:ilvl="5" w:tplc="FB046AD0" w:tentative="1">
      <w:start w:val="1"/>
      <w:numFmt w:val="lowerRoman"/>
      <w:lvlText w:val="%6."/>
      <w:lvlJc w:val="right"/>
      <w:pPr>
        <w:ind w:left="5112" w:hanging="180"/>
      </w:pPr>
    </w:lvl>
    <w:lvl w:ilvl="6" w:tplc="3656FB54" w:tentative="1">
      <w:start w:val="1"/>
      <w:numFmt w:val="decimal"/>
      <w:lvlText w:val="%7."/>
      <w:lvlJc w:val="left"/>
      <w:pPr>
        <w:ind w:left="5832" w:hanging="360"/>
      </w:pPr>
    </w:lvl>
    <w:lvl w:ilvl="7" w:tplc="63426140" w:tentative="1">
      <w:start w:val="1"/>
      <w:numFmt w:val="lowerLetter"/>
      <w:lvlText w:val="%8."/>
      <w:lvlJc w:val="left"/>
      <w:pPr>
        <w:ind w:left="6552" w:hanging="360"/>
      </w:pPr>
    </w:lvl>
    <w:lvl w:ilvl="8" w:tplc="6AAE2DA8" w:tentative="1">
      <w:start w:val="1"/>
      <w:numFmt w:val="lowerRoman"/>
      <w:lvlText w:val="%9."/>
      <w:lvlJc w:val="right"/>
      <w:pPr>
        <w:ind w:left="7272" w:hanging="180"/>
      </w:pPr>
    </w:lvl>
  </w:abstractNum>
  <w:abstractNum w:abstractNumId="18" w15:restartNumberingAfterBreak="0">
    <w:nsid w:val="4F3E4683"/>
    <w:multiLevelType w:val="hybridMultilevel"/>
    <w:tmpl w:val="AE881290"/>
    <w:lvl w:ilvl="0" w:tplc="C59803CA">
      <w:start w:val="1"/>
      <w:numFmt w:val="bullet"/>
      <w:lvlText w:val=""/>
      <w:lvlJc w:val="left"/>
      <w:pPr>
        <w:ind w:left="720" w:hanging="360"/>
      </w:pPr>
      <w:rPr>
        <w:rFonts w:ascii="Symbol" w:hAnsi="Symbol" w:hint="default"/>
      </w:rPr>
    </w:lvl>
    <w:lvl w:ilvl="1" w:tplc="B576F37A">
      <w:start w:val="1"/>
      <w:numFmt w:val="bullet"/>
      <w:lvlText w:val="o"/>
      <w:lvlJc w:val="left"/>
      <w:pPr>
        <w:ind w:left="1440" w:hanging="360"/>
      </w:pPr>
      <w:rPr>
        <w:rFonts w:ascii="Courier New" w:hAnsi="Courier New" w:cs="Courier New" w:hint="default"/>
      </w:rPr>
    </w:lvl>
    <w:lvl w:ilvl="2" w:tplc="35AC69EE" w:tentative="1">
      <w:start w:val="1"/>
      <w:numFmt w:val="bullet"/>
      <w:lvlText w:val=""/>
      <w:lvlJc w:val="left"/>
      <w:pPr>
        <w:ind w:left="2160" w:hanging="360"/>
      </w:pPr>
      <w:rPr>
        <w:rFonts w:ascii="Wingdings" w:hAnsi="Wingdings" w:hint="default"/>
      </w:rPr>
    </w:lvl>
    <w:lvl w:ilvl="3" w:tplc="403ED720" w:tentative="1">
      <w:start w:val="1"/>
      <w:numFmt w:val="bullet"/>
      <w:lvlText w:val=""/>
      <w:lvlJc w:val="left"/>
      <w:pPr>
        <w:ind w:left="2880" w:hanging="360"/>
      </w:pPr>
      <w:rPr>
        <w:rFonts w:ascii="Symbol" w:hAnsi="Symbol" w:hint="default"/>
      </w:rPr>
    </w:lvl>
    <w:lvl w:ilvl="4" w:tplc="922AB9BA" w:tentative="1">
      <w:start w:val="1"/>
      <w:numFmt w:val="bullet"/>
      <w:lvlText w:val="o"/>
      <w:lvlJc w:val="left"/>
      <w:pPr>
        <w:ind w:left="3600" w:hanging="360"/>
      </w:pPr>
      <w:rPr>
        <w:rFonts w:ascii="Courier New" w:hAnsi="Courier New" w:cs="Courier New" w:hint="default"/>
      </w:rPr>
    </w:lvl>
    <w:lvl w:ilvl="5" w:tplc="C054E76E" w:tentative="1">
      <w:start w:val="1"/>
      <w:numFmt w:val="bullet"/>
      <w:lvlText w:val=""/>
      <w:lvlJc w:val="left"/>
      <w:pPr>
        <w:ind w:left="4320" w:hanging="360"/>
      </w:pPr>
      <w:rPr>
        <w:rFonts w:ascii="Wingdings" w:hAnsi="Wingdings" w:hint="default"/>
      </w:rPr>
    </w:lvl>
    <w:lvl w:ilvl="6" w:tplc="1FE6132E" w:tentative="1">
      <w:start w:val="1"/>
      <w:numFmt w:val="bullet"/>
      <w:lvlText w:val=""/>
      <w:lvlJc w:val="left"/>
      <w:pPr>
        <w:ind w:left="5040" w:hanging="360"/>
      </w:pPr>
      <w:rPr>
        <w:rFonts w:ascii="Symbol" w:hAnsi="Symbol" w:hint="default"/>
      </w:rPr>
    </w:lvl>
    <w:lvl w:ilvl="7" w:tplc="4C0AB324" w:tentative="1">
      <w:start w:val="1"/>
      <w:numFmt w:val="bullet"/>
      <w:lvlText w:val="o"/>
      <w:lvlJc w:val="left"/>
      <w:pPr>
        <w:ind w:left="5760" w:hanging="360"/>
      </w:pPr>
      <w:rPr>
        <w:rFonts w:ascii="Courier New" w:hAnsi="Courier New" w:cs="Courier New" w:hint="default"/>
      </w:rPr>
    </w:lvl>
    <w:lvl w:ilvl="8" w:tplc="E48A379C" w:tentative="1">
      <w:start w:val="1"/>
      <w:numFmt w:val="bullet"/>
      <w:lvlText w:val=""/>
      <w:lvlJc w:val="left"/>
      <w:pPr>
        <w:ind w:left="6480" w:hanging="360"/>
      </w:pPr>
      <w:rPr>
        <w:rFonts w:ascii="Wingdings" w:hAnsi="Wingdings" w:hint="default"/>
      </w:rPr>
    </w:lvl>
  </w:abstractNum>
  <w:abstractNum w:abstractNumId="19" w15:restartNumberingAfterBreak="0">
    <w:nsid w:val="51AB4A95"/>
    <w:multiLevelType w:val="hybridMultilevel"/>
    <w:tmpl w:val="3EC6AF8A"/>
    <w:lvl w:ilvl="0" w:tplc="C0A4096A">
      <w:start w:val="1"/>
      <w:numFmt w:val="upperLetter"/>
      <w:lvlText w:val="%1."/>
      <w:lvlJc w:val="left"/>
      <w:pPr>
        <w:ind w:left="1080" w:hanging="360"/>
      </w:pPr>
      <w:rPr>
        <w:rFonts w:hint="default"/>
      </w:rPr>
    </w:lvl>
    <w:lvl w:ilvl="1" w:tplc="7778D6C2" w:tentative="1">
      <w:start w:val="1"/>
      <w:numFmt w:val="lowerLetter"/>
      <w:lvlText w:val="%2."/>
      <w:lvlJc w:val="left"/>
      <w:pPr>
        <w:ind w:left="1800" w:hanging="360"/>
      </w:pPr>
    </w:lvl>
    <w:lvl w:ilvl="2" w:tplc="87A40C14" w:tentative="1">
      <w:start w:val="1"/>
      <w:numFmt w:val="lowerRoman"/>
      <w:lvlText w:val="%3."/>
      <w:lvlJc w:val="right"/>
      <w:pPr>
        <w:ind w:left="2520" w:hanging="180"/>
      </w:pPr>
    </w:lvl>
    <w:lvl w:ilvl="3" w:tplc="9EBC175C" w:tentative="1">
      <w:start w:val="1"/>
      <w:numFmt w:val="decimal"/>
      <w:lvlText w:val="%4."/>
      <w:lvlJc w:val="left"/>
      <w:pPr>
        <w:ind w:left="3240" w:hanging="360"/>
      </w:pPr>
    </w:lvl>
    <w:lvl w:ilvl="4" w:tplc="A9D0FBF0" w:tentative="1">
      <w:start w:val="1"/>
      <w:numFmt w:val="lowerLetter"/>
      <w:lvlText w:val="%5."/>
      <w:lvlJc w:val="left"/>
      <w:pPr>
        <w:ind w:left="3960" w:hanging="360"/>
      </w:pPr>
    </w:lvl>
    <w:lvl w:ilvl="5" w:tplc="C8AE337A" w:tentative="1">
      <w:start w:val="1"/>
      <w:numFmt w:val="lowerRoman"/>
      <w:lvlText w:val="%6."/>
      <w:lvlJc w:val="right"/>
      <w:pPr>
        <w:ind w:left="4680" w:hanging="180"/>
      </w:pPr>
    </w:lvl>
    <w:lvl w:ilvl="6" w:tplc="2EE2DB86" w:tentative="1">
      <w:start w:val="1"/>
      <w:numFmt w:val="decimal"/>
      <w:lvlText w:val="%7."/>
      <w:lvlJc w:val="left"/>
      <w:pPr>
        <w:ind w:left="5400" w:hanging="360"/>
      </w:pPr>
    </w:lvl>
    <w:lvl w:ilvl="7" w:tplc="25CEDBEE" w:tentative="1">
      <w:start w:val="1"/>
      <w:numFmt w:val="lowerLetter"/>
      <w:lvlText w:val="%8."/>
      <w:lvlJc w:val="left"/>
      <w:pPr>
        <w:ind w:left="6120" w:hanging="360"/>
      </w:pPr>
    </w:lvl>
    <w:lvl w:ilvl="8" w:tplc="DA6ACB62" w:tentative="1">
      <w:start w:val="1"/>
      <w:numFmt w:val="lowerRoman"/>
      <w:lvlText w:val="%9."/>
      <w:lvlJc w:val="right"/>
      <w:pPr>
        <w:ind w:left="6840" w:hanging="180"/>
      </w:pPr>
    </w:lvl>
  </w:abstractNum>
  <w:abstractNum w:abstractNumId="20" w15:restartNumberingAfterBreak="0">
    <w:nsid w:val="5EC56D51"/>
    <w:multiLevelType w:val="hybridMultilevel"/>
    <w:tmpl w:val="5A7E039A"/>
    <w:lvl w:ilvl="0" w:tplc="38FA51EC">
      <w:start w:val="1"/>
      <w:numFmt w:val="decimal"/>
      <w:lvlText w:val="%1."/>
      <w:lvlJc w:val="left"/>
      <w:pPr>
        <w:ind w:left="1512" w:hanging="360"/>
      </w:pPr>
      <w:rPr>
        <w:rFonts w:hint="default"/>
        <w:i w:val="0"/>
      </w:rPr>
    </w:lvl>
    <w:lvl w:ilvl="1" w:tplc="4692DC26" w:tentative="1">
      <w:start w:val="1"/>
      <w:numFmt w:val="lowerLetter"/>
      <w:lvlText w:val="%2."/>
      <w:lvlJc w:val="left"/>
      <w:pPr>
        <w:ind w:left="2232" w:hanging="360"/>
      </w:pPr>
    </w:lvl>
    <w:lvl w:ilvl="2" w:tplc="4A88B5AE" w:tentative="1">
      <w:start w:val="1"/>
      <w:numFmt w:val="lowerRoman"/>
      <w:lvlText w:val="%3."/>
      <w:lvlJc w:val="right"/>
      <w:pPr>
        <w:ind w:left="2952" w:hanging="180"/>
      </w:pPr>
    </w:lvl>
    <w:lvl w:ilvl="3" w:tplc="86B0A004" w:tentative="1">
      <w:start w:val="1"/>
      <w:numFmt w:val="decimal"/>
      <w:lvlText w:val="%4."/>
      <w:lvlJc w:val="left"/>
      <w:pPr>
        <w:ind w:left="3672" w:hanging="360"/>
      </w:pPr>
    </w:lvl>
    <w:lvl w:ilvl="4" w:tplc="55121178" w:tentative="1">
      <w:start w:val="1"/>
      <w:numFmt w:val="lowerLetter"/>
      <w:lvlText w:val="%5."/>
      <w:lvlJc w:val="left"/>
      <w:pPr>
        <w:ind w:left="4392" w:hanging="360"/>
      </w:pPr>
    </w:lvl>
    <w:lvl w:ilvl="5" w:tplc="9B36E5A2" w:tentative="1">
      <w:start w:val="1"/>
      <w:numFmt w:val="lowerRoman"/>
      <w:lvlText w:val="%6."/>
      <w:lvlJc w:val="right"/>
      <w:pPr>
        <w:ind w:left="5112" w:hanging="180"/>
      </w:pPr>
    </w:lvl>
    <w:lvl w:ilvl="6" w:tplc="23EEBD80" w:tentative="1">
      <w:start w:val="1"/>
      <w:numFmt w:val="decimal"/>
      <w:lvlText w:val="%7."/>
      <w:lvlJc w:val="left"/>
      <w:pPr>
        <w:ind w:left="5832" w:hanging="360"/>
      </w:pPr>
    </w:lvl>
    <w:lvl w:ilvl="7" w:tplc="7766F77E" w:tentative="1">
      <w:start w:val="1"/>
      <w:numFmt w:val="lowerLetter"/>
      <w:lvlText w:val="%8."/>
      <w:lvlJc w:val="left"/>
      <w:pPr>
        <w:ind w:left="6552" w:hanging="360"/>
      </w:pPr>
    </w:lvl>
    <w:lvl w:ilvl="8" w:tplc="40882C6A" w:tentative="1">
      <w:start w:val="1"/>
      <w:numFmt w:val="lowerRoman"/>
      <w:lvlText w:val="%9."/>
      <w:lvlJc w:val="right"/>
      <w:pPr>
        <w:ind w:left="7272" w:hanging="180"/>
      </w:pPr>
    </w:lvl>
  </w:abstractNum>
  <w:abstractNum w:abstractNumId="21" w15:restartNumberingAfterBreak="0">
    <w:nsid w:val="68085664"/>
    <w:multiLevelType w:val="hybridMultilevel"/>
    <w:tmpl w:val="0180FD54"/>
    <w:lvl w:ilvl="0" w:tplc="0ECE34D0">
      <w:start w:val="1"/>
      <w:numFmt w:val="lowerLetter"/>
      <w:lvlText w:val="%1."/>
      <w:lvlJc w:val="left"/>
      <w:pPr>
        <w:ind w:left="1512" w:hanging="360"/>
      </w:pPr>
      <w:rPr>
        <w:rFonts w:hint="default"/>
        <w:i w:val="0"/>
      </w:rPr>
    </w:lvl>
    <w:lvl w:ilvl="1" w:tplc="787E147A" w:tentative="1">
      <w:start w:val="1"/>
      <w:numFmt w:val="lowerLetter"/>
      <w:lvlText w:val="%2."/>
      <w:lvlJc w:val="left"/>
      <w:pPr>
        <w:ind w:left="2232" w:hanging="360"/>
      </w:pPr>
    </w:lvl>
    <w:lvl w:ilvl="2" w:tplc="CDDE3DAE" w:tentative="1">
      <w:start w:val="1"/>
      <w:numFmt w:val="lowerRoman"/>
      <w:lvlText w:val="%3."/>
      <w:lvlJc w:val="right"/>
      <w:pPr>
        <w:ind w:left="2952" w:hanging="180"/>
      </w:pPr>
    </w:lvl>
    <w:lvl w:ilvl="3" w:tplc="84D8DD20" w:tentative="1">
      <w:start w:val="1"/>
      <w:numFmt w:val="decimal"/>
      <w:lvlText w:val="%4."/>
      <w:lvlJc w:val="left"/>
      <w:pPr>
        <w:ind w:left="3672" w:hanging="360"/>
      </w:pPr>
    </w:lvl>
    <w:lvl w:ilvl="4" w:tplc="AC86FDAA" w:tentative="1">
      <w:start w:val="1"/>
      <w:numFmt w:val="lowerLetter"/>
      <w:lvlText w:val="%5."/>
      <w:lvlJc w:val="left"/>
      <w:pPr>
        <w:ind w:left="4392" w:hanging="360"/>
      </w:pPr>
    </w:lvl>
    <w:lvl w:ilvl="5" w:tplc="1EA2AEA0" w:tentative="1">
      <w:start w:val="1"/>
      <w:numFmt w:val="lowerRoman"/>
      <w:lvlText w:val="%6."/>
      <w:lvlJc w:val="right"/>
      <w:pPr>
        <w:ind w:left="5112" w:hanging="180"/>
      </w:pPr>
    </w:lvl>
    <w:lvl w:ilvl="6" w:tplc="A50083EE" w:tentative="1">
      <w:start w:val="1"/>
      <w:numFmt w:val="decimal"/>
      <w:lvlText w:val="%7."/>
      <w:lvlJc w:val="left"/>
      <w:pPr>
        <w:ind w:left="5832" w:hanging="360"/>
      </w:pPr>
    </w:lvl>
    <w:lvl w:ilvl="7" w:tplc="B330A7B4" w:tentative="1">
      <w:start w:val="1"/>
      <w:numFmt w:val="lowerLetter"/>
      <w:lvlText w:val="%8."/>
      <w:lvlJc w:val="left"/>
      <w:pPr>
        <w:ind w:left="6552" w:hanging="360"/>
      </w:pPr>
    </w:lvl>
    <w:lvl w:ilvl="8" w:tplc="1FF8C51C" w:tentative="1">
      <w:start w:val="1"/>
      <w:numFmt w:val="lowerRoman"/>
      <w:lvlText w:val="%9."/>
      <w:lvlJc w:val="right"/>
      <w:pPr>
        <w:ind w:left="7272" w:hanging="180"/>
      </w:pPr>
    </w:lvl>
  </w:abstractNum>
  <w:abstractNum w:abstractNumId="22" w15:restartNumberingAfterBreak="0">
    <w:nsid w:val="6FC517AE"/>
    <w:multiLevelType w:val="hybridMultilevel"/>
    <w:tmpl w:val="21B47038"/>
    <w:lvl w:ilvl="0" w:tplc="C132431E">
      <w:start w:val="1"/>
      <w:numFmt w:val="decimal"/>
      <w:lvlText w:val="%1."/>
      <w:lvlJc w:val="left"/>
      <w:pPr>
        <w:ind w:left="1800" w:hanging="360"/>
      </w:pPr>
      <w:rPr>
        <w:rFonts w:hint="default"/>
      </w:rPr>
    </w:lvl>
    <w:lvl w:ilvl="1" w:tplc="4268DF84" w:tentative="1">
      <w:start w:val="1"/>
      <w:numFmt w:val="lowerLetter"/>
      <w:lvlText w:val="%2."/>
      <w:lvlJc w:val="left"/>
      <w:pPr>
        <w:ind w:left="2160" w:hanging="360"/>
      </w:pPr>
    </w:lvl>
    <w:lvl w:ilvl="2" w:tplc="5D7AA108" w:tentative="1">
      <w:start w:val="1"/>
      <w:numFmt w:val="lowerRoman"/>
      <w:lvlText w:val="%3."/>
      <w:lvlJc w:val="right"/>
      <w:pPr>
        <w:ind w:left="2880" w:hanging="180"/>
      </w:pPr>
    </w:lvl>
    <w:lvl w:ilvl="3" w:tplc="252087F4" w:tentative="1">
      <w:start w:val="1"/>
      <w:numFmt w:val="decimal"/>
      <w:lvlText w:val="%4."/>
      <w:lvlJc w:val="left"/>
      <w:pPr>
        <w:ind w:left="3600" w:hanging="360"/>
      </w:pPr>
    </w:lvl>
    <w:lvl w:ilvl="4" w:tplc="06FEB850" w:tentative="1">
      <w:start w:val="1"/>
      <w:numFmt w:val="lowerLetter"/>
      <w:lvlText w:val="%5."/>
      <w:lvlJc w:val="left"/>
      <w:pPr>
        <w:ind w:left="4320" w:hanging="360"/>
      </w:pPr>
    </w:lvl>
    <w:lvl w:ilvl="5" w:tplc="70D8837E" w:tentative="1">
      <w:start w:val="1"/>
      <w:numFmt w:val="lowerRoman"/>
      <w:lvlText w:val="%6."/>
      <w:lvlJc w:val="right"/>
      <w:pPr>
        <w:ind w:left="5040" w:hanging="180"/>
      </w:pPr>
    </w:lvl>
    <w:lvl w:ilvl="6" w:tplc="E7E4CB92" w:tentative="1">
      <w:start w:val="1"/>
      <w:numFmt w:val="decimal"/>
      <w:lvlText w:val="%7."/>
      <w:lvlJc w:val="left"/>
      <w:pPr>
        <w:ind w:left="5760" w:hanging="360"/>
      </w:pPr>
    </w:lvl>
    <w:lvl w:ilvl="7" w:tplc="4D400944" w:tentative="1">
      <w:start w:val="1"/>
      <w:numFmt w:val="lowerLetter"/>
      <w:lvlText w:val="%8."/>
      <w:lvlJc w:val="left"/>
      <w:pPr>
        <w:ind w:left="6480" w:hanging="360"/>
      </w:pPr>
    </w:lvl>
    <w:lvl w:ilvl="8" w:tplc="C55857FE" w:tentative="1">
      <w:start w:val="1"/>
      <w:numFmt w:val="lowerRoman"/>
      <w:lvlText w:val="%9."/>
      <w:lvlJc w:val="right"/>
      <w:pPr>
        <w:ind w:left="7200" w:hanging="180"/>
      </w:pPr>
    </w:lvl>
  </w:abstractNum>
  <w:abstractNum w:abstractNumId="23" w15:restartNumberingAfterBreak="0">
    <w:nsid w:val="70123E83"/>
    <w:multiLevelType w:val="hybridMultilevel"/>
    <w:tmpl w:val="84D69168"/>
    <w:lvl w:ilvl="0" w:tplc="BF0261F8">
      <w:start w:val="1"/>
      <w:numFmt w:val="lowerLetter"/>
      <w:lvlText w:val="%1."/>
      <w:lvlJc w:val="left"/>
      <w:pPr>
        <w:ind w:left="1944" w:hanging="360"/>
      </w:pPr>
      <w:rPr>
        <w:rFonts w:hint="default"/>
        <w:b w:val="0"/>
        <w:bCs w:val="0"/>
        <w:i w:val="0"/>
        <w:iCs/>
      </w:rPr>
    </w:lvl>
    <w:lvl w:ilvl="1" w:tplc="CC5A10E2" w:tentative="1">
      <w:start w:val="1"/>
      <w:numFmt w:val="lowerLetter"/>
      <w:lvlText w:val="%2."/>
      <w:lvlJc w:val="left"/>
      <w:pPr>
        <w:ind w:left="2664" w:hanging="360"/>
      </w:pPr>
    </w:lvl>
    <w:lvl w:ilvl="2" w:tplc="0BFADDAE" w:tentative="1">
      <w:start w:val="1"/>
      <w:numFmt w:val="lowerRoman"/>
      <w:lvlText w:val="%3."/>
      <w:lvlJc w:val="right"/>
      <w:pPr>
        <w:ind w:left="3384" w:hanging="180"/>
      </w:pPr>
    </w:lvl>
    <w:lvl w:ilvl="3" w:tplc="14D473DE" w:tentative="1">
      <w:start w:val="1"/>
      <w:numFmt w:val="decimal"/>
      <w:lvlText w:val="%4."/>
      <w:lvlJc w:val="left"/>
      <w:pPr>
        <w:ind w:left="4104" w:hanging="360"/>
      </w:pPr>
    </w:lvl>
    <w:lvl w:ilvl="4" w:tplc="8A88E418" w:tentative="1">
      <w:start w:val="1"/>
      <w:numFmt w:val="lowerLetter"/>
      <w:lvlText w:val="%5."/>
      <w:lvlJc w:val="left"/>
      <w:pPr>
        <w:ind w:left="4824" w:hanging="360"/>
      </w:pPr>
    </w:lvl>
    <w:lvl w:ilvl="5" w:tplc="0ECAE0C4" w:tentative="1">
      <w:start w:val="1"/>
      <w:numFmt w:val="lowerRoman"/>
      <w:lvlText w:val="%6."/>
      <w:lvlJc w:val="right"/>
      <w:pPr>
        <w:ind w:left="5544" w:hanging="180"/>
      </w:pPr>
    </w:lvl>
    <w:lvl w:ilvl="6" w:tplc="6478BC4A" w:tentative="1">
      <w:start w:val="1"/>
      <w:numFmt w:val="decimal"/>
      <w:lvlText w:val="%7."/>
      <w:lvlJc w:val="left"/>
      <w:pPr>
        <w:ind w:left="6264" w:hanging="360"/>
      </w:pPr>
    </w:lvl>
    <w:lvl w:ilvl="7" w:tplc="D81C4E8C" w:tentative="1">
      <w:start w:val="1"/>
      <w:numFmt w:val="lowerLetter"/>
      <w:lvlText w:val="%8."/>
      <w:lvlJc w:val="left"/>
      <w:pPr>
        <w:ind w:left="6984" w:hanging="360"/>
      </w:pPr>
    </w:lvl>
    <w:lvl w:ilvl="8" w:tplc="E42ABC5A" w:tentative="1">
      <w:start w:val="1"/>
      <w:numFmt w:val="lowerRoman"/>
      <w:lvlText w:val="%9."/>
      <w:lvlJc w:val="right"/>
      <w:pPr>
        <w:ind w:left="7704" w:hanging="180"/>
      </w:pPr>
    </w:lvl>
  </w:abstractNum>
  <w:abstractNum w:abstractNumId="24" w15:restartNumberingAfterBreak="0">
    <w:nsid w:val="73AB36BE"/>
    <w:multiLevelType w:val="hybridMultilevel"/>
    <w:tmpl w:val="C9705DD2"/>
    <w:lvl w:ilvl="0" w:tplc="D0387BA2">
      <w:start w:val="1"/>
      <w:numFmt w:val="decimal"/>
      <w:lvlText w:val="%1."/>
      <w:lvlJc w:val="left"/>
      <w:pPr>
        <w:ind w:left="1080" w:hanging="360"/>
      </w:pPr>
      <w:rPr>
        <w:rFonts w:hint="default"/>
      </w:rPr>
    </w:lvl>
    <w:lvl w:ilvl="1" w:tplc="95601F78" w:tentative="1">
      <w:start w:val="1"/>
      <w:numFmt w:val="lowerLetter"/>
      <w:lvlText w:val="%2."/>
      <w:lvlJc w:val="left"/>
      <w:pPr>
        <w:ind w:left="1800" w:hanging="360"/>
      </w:pPr>
    </w:lvl>
    <w:lvl w:ilvl="2" w:tplc="9AF8898E" w:tentative="1">
      <w:start w:val="1"/>
      <w:numFmt w:val="lowerRoman"/>
      <w:lvlText w:val="%3."/>
      <w:lvlJc w:val="right"/>
      <w:pPr>
        <w:ind w:left="2520" w:hanging="180"/>
      </w:pPr>
    </w:lvl>
    <w:lvl w:ilvl="3" w:tplc="A000B4E8" w:tentative="1">
      <w:start w:val="1"/>
      <w:numFmt w:val="decimal"/>
      <w:lvlText w:val="%4."/>
      <w:lvlJc w:val="left"/>
      <w:pPr>
        <w:ind w:left="3240" w:hanging="360"/>
      </w:pPr>
    </w:lvl>
    <w:lvl w:ilvl="4" w:tplc="CD024C14" w:tentative="1">
      <w:start w:val="1"/>
      <w:numFmt w:val="lowerLetter"/>
      <w:lvlText w:val="%5."/>
      <w:lvlJc w:val="left"/>
      <w:pPr>
        <w:ind w:left="3960" w:hanging="360"/>
      </w:pPr>
    </w:lvl>
    <w:lvl w:ilvl="5" w:tplc="08226318" w:tentative="1">
      <w:start w:val="1"/>
      <w:numFmt w:val="lowerRoman"/>
      <w:lvlText w:val="%6."/>
      <w:lvlJc w:val="right"/>
      <w:pPr>
        <w:ind w:left="4680" w:hanging="180"/>
      </w:pPr>
    </w:lvl>
    <w:lvl w:ilvl="6" w:tplc="1C9E450C" w:tentative="1">
      <w:start w:val="1"/>
      <w:numFmt w:val="decimal"/>
      <w:lvlText w:val="%7."/>
      <w:lvlJc w:val="left"/>
      <w:pPr>
        <w:ind w:left="5400" w:hanging="360"/>
      </w:pPr>
    </w:lvl>
    <w:lvl w:ilvl="7" w:tplc="67DE2846" w:tentative="1">
      <w:start w:val="1"/>
      <w:numFmt w:val="lowerLetter"/>
      <w:lvlText w:val="%8."/>
      <w:lvlJc w:val="left"/>
      <w:pPr>
        <w:ind w:left="6120" w:hanging="360"/>
      </w:pPr>
    </w:lvl>
    <w:lvl w:ilvl="8" w:tplc="7238706A" w:tentative="1">
      <w:start w:val="1"/>
      <w:numFmt w:val="lowerRoman"/>
      <w:lvlText w:val="%9."/>
      <w:lvlJc w:val="right"/>
      <w:pPr>
        <w:ind w:left="6840" w:hanging="180"/>
      </w:pPr>
    </w:lvl>
  </w:abstractNum>
  <w:abstractNum w:abstractNumId="25" w15:restartNumberingAfterBreak="0">
    <w:nsid w:val="75657E7B"/>
    <w:multiLevelType w:val="hybridMultilevel"/>
    <w:tmpl w:val="2FE23E22"/>
    <w:lvl w:ilvl="0" w:tplc="8AB25116">
      <w:start w:val="1"/>
      <w:numFmt w:val="bullet"/>
      <w:lvlText w:val="o"/>
      <w:lvlJc w:val="left"/>
      <w:pPr>
        <w:ind w:left="1440" w:hanging="360"/>
      </w:pPr>
      <w:rPr>
        <w:rFonts w:ascii="Courier New" w:hAnsi="Courier New" w:cs="Courier New" w:hint="default"/>
      </w:rPr>
    </w:lvl>
    <w:lvl w:ilvl="1" w:tplc="1C9CD350">
      <w:start w:val="1"/>
      <w:numFmt w:val="bullet"/>
      <w:lvlText w:val="o"/>
      <w:lvlJc w:val="left"/>
      <w:pPr>
        <w:ind w:left="2160" w:hanging="360"/>
      </w:pPr>
      <w:rPr>
        <w:rFonts w:ascii="Courier New" w:hAnsi="Courier New" w:cs="Courier New" w:hint="default"/>
      </w:rPr>
    </w:lvl>
    <w:lvl w:ilvl="2" w:tplc="544C488A">
      <w:start w:val="1"/>
      <w:numFmt w:val="bullet"/>
      <w:lvlText w:val=""/>
      <w:lvlJc w:val="left"/>
      <w:pPr>
        <w:ind w:left="2880" w:hanging="360"/>
      </w:pPr>
      <w:rPr>
        <w:rFonts w:ascii="Wingdings" w:hAnsi="Wingdings" w:hint="default"/>
      </w:rPr>
    </w:lvl>
    <w:lvl w:ilvl="3" w:tplc="52666FC0">
      <w:start w:val="1"/>
      <w:numFmt w:val="bullet"/>
      <w:lvlText w:val=""/>
      <w:lvlJc w:val="left"/>
      <w:pPr>
        <w:ind w:left="3600" w:hanging="360"/>
      </w:pPr>
      <w:rPr>
        <w:rFonts w:ascii="Symbol" w:hAnsi="Symbol" w:hint="default"/>
      </w:rPr>
    </w:lvl>
    <w:lvl w:ilvl="4" w:tplc="A1C0E88C">
      <w:start w:val="1"/>
      <w:numFmt w:val="bullet"/>
      <w:lvlText w:val="o"/>
      <w:lvlJc w:val="left"/>
      <w:pPr>
        <w:ind w:left="4320" w:hanging="360"/>
      </w:pPr>
      <w:rPr>
        <w:rFonts w:ascii="Courier New" w:hAnsi="Courier New" w:cs="Courier New" w:hint="default"/>
      </w:rPr>
    </w:lvl>
    <w:lvl w:ilvl="5" w:tplc="041C19D8">
      <w:start w:val="1"/>
      <w:numFmt w:val="bullet"/>
      <w:lvlText w:val=""/>
      <w:lvlJc w:val="left"/>
      <w:pPr>
        <w:ind w:left="5040" w:hanging="360"/>
      </w:pPr>
      <w:rPr>
        <w:rFonts w:ascii="Wingdings" w:hAnsi="Wingdings" w:hint="default"/>
      </w:rPr>
    </w:lvl>
    <w:lvl w:ilvl="6" w:tplc="D1E03210">
      <w:start w:val="1"/>
      <w:numFmt w:val="bullet"/>
      <w:lvlText w:val=""/>
      <w:lvlJc w:val="left"/>
      <w:pPr>
        <w:ind w:left="5760" w:hanging="360"/>
      </w:pPr>
      <w:rPr>
        <w:rFonts w:ascii="Symbol" w:hAnsi="Symbol" w:hint="default"/>
      </w:rPr>
    </w:lvl>
    <w:lvl w:ilvl="7" w:tplc="F36064C4">
      <w:start w:val="1"/>
      <w:numFmt w:val="bullet"/>
      <w:lvlText w:val="o"/>
      <w:lvlJc w:val="left"/>
      <w:pPr>
        <w:ind w:left="6480" w:hanging="360"/>
      </w:pPr>
      <w:rPr>
        <w:rFonts w:ascii="Courier New" w:hAnsi="Courier New" w:cs="Courier New" w:hint="default"/>
      </w:rPr>
    </w:lvl>
    <w:lvl w:ilvl="8" w:tplc="142EADF0">
      <w:start w:val="1"/>
      <w:numFmt w:val="bullet"/>
      <w:lvlText w:val=""/>
      <w:lvlJc w:val="left"/>
      <w:pPr>
        <w:ind w:left="7200" w:hanging="360"/>
      </w:pPr>
      <w:rPr>
        <w:rFonts w:ascii="Wingdings" w:hAnsi="Wingdings" w:hint="default"/>
      </w:rPr>
    </w:lvl>
  </w:abstractNum>
  <w:abstractNum w:abstractNumId="26" w15:restartNumberingAfterBreak="0">
    <w:nsid w:val="7B7C1A17"/>
    <w:multiLevelType w:val="hybridMultilevel"/>
    <w:tmpl w:val="1332DDD2"/>
    <w:lvl w:ilvl="0" w:tplc="59BACB44">
      <w:start w:val="1"/>
      <w:numFmt w:val="decimal"/>
      <w:lvlText w:val="%1."/>
      <w:lvlJc w:val="left"/>
      <w:pPr>
        <w:ind w:left="1512" w:hanging="360"/>
      </w:pPr>
      <w:rPr>
        <w:rFonts w:hint="default"/>
        <w:i w:val="0"/>
      </w:rPr>
    </w:lvl>
    <w:lvl w:ilvl="1" w:tplc="766A5DAA" w:tentative="1">
      <w:start w:val="1"/>
      <w:numFmt w:val="lowerLetter"/>
      <w:lvlText w:val="%2."/>
      <w:lvlJc w:val="left"/>
      <w:pPr>
        <w:ind w:left="2232" w:hanging="360"/>
      </w:pPr>
    </w:lvl>
    <w:lvl w:ilvl="2" w:tplc="BA0E3120" w:tentative="1">
      <w:start w:val="1"/>
      <w:numFmt w:val="lowerRoman"/>
      <w:lvlText w:val="%3."/>
      <w:lvlJc w:val="right"/>
      <w:pPr>
        <w:ind w:left="2952" w:hanging="180"/>
      </w:pPr>
    </w:lvl>
    <w:lvl w:ilvl="3" w:tplc="F5BE2AF2" w:tentative="1">
      <w:start w:val="1"/>
      <w:numFmt w:val="decimal"/>
      <w:lvlText w:val="%4."/>
      <w:lvlJc w:val="left"/>
      <w:pPr>
        <w:ind w:left="3672" w:hanging="360"/>
      </w:pPr>
    </w:lvl>
    <w:lvl w:ilvl="4" w:tplc="10BC4C18" w:tentative="1">
      <w:start w:val="1"/>
      <w:numFmt w:val="lowerLetter"/>
      <w:lvlText w:val="%5."/>
      <w:lvlJc w:val="left"/>
      <w:pPr>
        <w:ind w:left="4392" w:hanging="360"/>
      </w:pPr>
    </w:lvl>
    <w:lvl w:ilvl="5" w:tplc="AB602A0E" w:tentative="1">
      <w:start w:val="1"/>
      <w:numFmt w:val="lowerRoman"/>
      <w:lvlText w:val="%6."/>
      <w:lvlJc w:val="right"/>
      <w:pPr>
        <w:ind w:left="5112" w:hanging="180"/>
      </w:pPr>
    </w:lvl>
    <w:lvl w:ilvl="6" w:tplc="AFAA81A8" w:tentative="1">
      <w:start w:val="1"/>
      <w:numFmt w:val="decimal"/>
      <w:lvlText w:val="%7."/>
      <w:lvlJc w:val="left"/>
      <w:pPr>
        <w:ind w:left="5832" w:hanging="360"/>
      </w:pPr>
    </w:lvl>
    <w:lvl w:ilvl="7" w:tplc="93F0D1D4" w:tentative="1">
      <w:start w:val="1"/>
      <w:numFmt w:val="lowerLetter"/>
      <w:lvlText w:val="%8."/>
      <w:lvlJc w:val="left"/>
      <w:pPr>
        <w:ind w:left="6552" w:hanging="360"/>
      </w:pPr>
    </w:lvl>
    <w:lvl w:ilvl="8" w:tplc="463864F4" w:tentative="1">
      <w:start w:val="1"/>
      <w:numFmt w:val="lowerRoman"/>
      <w:lvlText w:val="%9."/>
      <w:lvlJc w:val="right"/>
      <w:pPr>
        <w:ind w:left="7272" w:hanging="180"/>
      </w:pPr>
    </w:lvl>
  </w:abstractNum>
  <w:abstractNum w:abstractNumId="27" w15:restartNumberingAfterBreak="0">
    <w:nsid w:val="7F385737"/>
    <w:multiLevelType w:val="hybridMultilevel"/>
    <w:tmpl w:val="AD7AA1A2"/>
    <w:lvl w:ilvl="0" w:tplc="8D800436">
      <w:start w:val="1"/>
      <w:numFmt w:val="upperRoman"/>
      <w:lvlText w:val="%1."/>
      <w:lvlJc w:val="left"/>
      <w:pPr>
        <w:ind w:left="1080" w:hanging="720"/>
      </w:pPr>
      <w:rPr>
        <w:rFonts w:hint="default"/>
      </w:rPr>
    </w:lvl>
    <w:lvl w:ilvl="1" w:tplc="E35E109C" w:tentative="1">
      <w:start w:val="1"/>
      <w:numFmt w:val="lowerLetter"/>
      <w:lvlText w:val="%2."/>
      <w:lvlJc w:val="left"/>
      <w:pPr>
        <w:ind w:left="1440" w:hanging="360"/>
      </w:pPr>
    </w:lvl>
    <w:lvl w:ilvl="2" w:tplc="8DF45746" w:tentative="1">
      <w:start w:val="1"/>
      <w:numFmt w:val="lowerRoman"/>
      <w:lvlText w:val="%3."/>
      <w:lvlJc w:val="right"/>
      <w:pPr>
        <w:ind w:left="2160" w:hanging="180"/>
      </w:pPr>
    </w:lvl>
    <w:lvl w:ilvl="3" w:tplc="76FAD9AA" w:tentative="1">
      <w:start w:val="1"/>
      <w:numFmt w:val="decimal"/>
      <w:lvlText w:val="%4."/>
      <w:lvlJc w:val="left"/>
      <w:pPr>
        <w:ind w:left="2880" w:hanging="360"/>
      </w:pPr>
    </w:lvl>
    <w:lvl w:ilvl="4" w:tplc="C71E4826" w:tentative="1">
      <w:start w:val="1"/>
      <w:numFmt w:val="lowerLetter"/>
      <w:lvlText w:val="%5."/>
      <w:lvlJc w:val="left"/>
      <w:pPr>
        <w:ind w:left="3600" w:hanging="360"/>
      </w:pPr>
    </w:lvl>
    <w:lvl w:ilvl="5" w:tplc="6248E298" w:tentative="1">
      <w:start w:val="1"/>
      <w:numFmt w:val="lowerRoman"/>
      <w:lvlText w:val="%6."/>
      <w:lvlJc w:val="right"/>
      <w:pPr>
        <w:ind w:left="4320" w:hanging="180"/>
      </w:pPr>
    </w:lvl>
    <w:lvl w:ilvl="6" w:tplc="87C86732" w:tentative="1">
      <w:start w:val="1"/>
      <w:numFmt w:val="decimal"/>
      <w:lvlText w:val="%7."/>
      <w:lvlJc w:val="left"/>
      <w:pPr>
        <w:ind w:left="5040" w:hanging="360"/>
      </w:pPr>
    </w:lvl>
    <w:lvl w:ilvl="7" w:tplc="6D08266C" w:tentative="1">
      <w:start w:val="1"/>
      <w:numFmt w:val="lowerLetter"/>
      <w:lvlText w:val="%8."/>
      <w:lvlJc w:val="left"/>
      <w:pPr>
        <w:ind w:left="5760" w:hanging="360"/>
      </w:pPr>
    </w:lvl>
    <w:lvl w:ilvl="8" w:tplc="75689A8A" w:tentative="1">
      <w:start w:val="1"/>
      <w:numFmt w:val="lowerRoman"/>
      <w:lvlText w:val="%9."/>
      <w:lvlJc w:val="right"/>
      <w:pPr>
        <w:ind w:left="6480" w:hanging="180"/>
      </w:pPr>
    </w:lvl>
  </w:abstractNum>
  <w:num w:numId="1" w16cid:durableId="1243292549">
    <w:abstractNumId w:val="27"/>
  </w:num>
  <w:num w:numId="2" w16cid:durableId="63184186">
    <w:abstractNumId w:val="11"/>
  </w:num>
  <w:num w:numId="3" w16cid:durableId="239368469">
    <w:abstractNumId w:val="19"/>
  </w:num>
  <w:num w:numId="4" w16cid:durableId="1822381818">
    <w:abstractNumId w:val="18"/>
  </w:num>
  <w:num w:numId="5" w16cid:durableId="98838953">
    <w:abstractNumId w:val="20"/>
  </w:num>
  <w:num w:numId="6" w16cid:durableId="1240942897">
    <w:abstractNumId w:val="0"/>
  </w:num>
  <w:num w:numId="7" w16cid:durableId="173232959">
    <w:abstractNumId w:val="2"/>
  </w:num>
  <w:num w:numId="8" w16cid:durableId="1393384286">
    <w:abstractNumId w:val="16"/>
  </w:num>
  <w:num w:numId="9" w16cid:durableId="955253924">
    <w:abstractNumId w:val="23"/>
  </w:num>
  <w:num w:numId="10" w16cid:durableId="565410047">
    <w:abstractNumId w:val="6"/>
  </w:num>
  <w:num w:numId="11" w16cid:durableId="2142381907">
    <w:abstractNumId w:val="3"/>
  </w:num>
  <w:num w:numId="12" w16cid:durableId="1819808960">
    <w:abstractNumId w:val="21"/>
  </w:num>
  <w:num w:numId="13" w16cid:durableId="1037974561">
    <w:abstractNumId w:val="14"/>
  </w:num>
  <w:num w:numId="14" w16cid:durableId="1800419270">
    <w:abstractNumId w:val="12"/>
  </w:num>
  <w:num w:numId="15" w16cid:durableId="381831146">
    <w:abstractNumId w:val="1"/>
  </w:num>
  <w:num w:numId="16" w16cid:durableId="416438629">
    <w:abstractNumId w:val="4"/>
  </w:num>
  <w:num w:numId="17" w16cid:durableId="34741946">
    <w:abstractNumId w:val="5"/>
  </w:num>
  <w:num w:numId="18" w16cid:durableId="929462519">
    <w:abstractNumId w:val="25"/>
  </w:num>
  <w:num w:numId="19" w16cid:durableId="2125341788">
    <w:abstractNumId w:val="13"/>
  </w:num>
  <w:num w:numId="20" w16cid:durableId="2007242053">
    <w:abstractNumId w:val="10"/>
  </w:num>
  <w:num w:numId="21" w16cid:durableId="1062950750">
    <w:abstractNumId w:val="9"/>
  </w:num>
  <w:num w:numId="22" w16cid:durableId="1212882018">
    <w:abstractNumId w:val="17"/>
  </w:num>
  <w:num w:numId="23" w16cid:durableId="1288926194">
    <w:abstractNumId w:val="8"/>
  </w:num>
  <w:num w:numId="24" w16cid:durableId="1121340365">
    <w:abstractNumId w:val="15"/>
  </w:num>
  <w:num w:numId="25" w16cid:durableId="698554555">
    <w:abstractNumId w:val="7"/>
  </w:num>
  <w:num w:numId="26" w16cid:durableId="406389735">
    <w:abstractNumId w:val="26"/>
  </w:num>
  <w:num w:numId="27" w16cid:durableId="1164392362">
    <w:abstractNumId w:val="24"/>
  </w:num>
  <w:num w:numId="28" w16cid:durableId="10129510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35"/>
    <w:rsid w:val="00000250"/>
    <w:rsid w:val="000006F1"/>
    <w:rsid w:val="00000952"/>
    <w:rsid w:val="00000FCF"/>
    <w:rsid w:val="0000118A"/>
    <w:rsid w:val="000016D8"/>
    <w:rsid w:val="00001BDC"/>
    <w:rsid w:val="00002746"/>
    <w:rsid w:val="0000300C"/>
    <w:rsid w:val="0000350C"/>
    <w:rsid w:val="00003C42"/>
    <w:rsid w:val="0000685C"/>
    <w:rsid w:val="000070B9"/>
    <w:rsid w:val="00007481"/>
    <w:rsid w:val="000078F4"/>
    <w:rsid w:val="0001040A"/>
    <w:rsid w:val="000104C2"/>
    <w:rsid w:val="0001152D"/>
    <w:rsid w:val="00011FD9"/>
    <w:rsid w:val="00012380"/>
    <w:rsid w:val="00014543"/>
    <w:rsid w:val="0001601D"/>
    <w:rsid w:val="0001798D"/>
    <w:rsid w:val="0002075F"/>
    <w:rsid w:val="000224C8"/>
    <w:rsid w:val="00022FCA"/>
    <w:rsid w:val="000231F9"/>
    <w:rsid w:val="0002341E"/>
    <w:rsid w:val="0002668E"/>
    <w:rsid w:val="00026995"/>
    <w:rsid w:val="00026E47"/>
    <w:rsid w:val="0002709F"/>
    <w:rsid w:val="000300C3"/>
    <w:rsid w:val="0003071B"/>
    <w:rsid w:val="00030B6C"/>
    <w:rsid w:val="0003139D"/>
    <w:rsid w:val="0003162A"/>
    <w:rsid w:val="0003199A"/>
    <w:rsid w:val="000325E0"/>
    <w:rsid w:val="00034932"/>
    <w:rsid w:val="00034A3E"/>
    <w:rsid w:val="0003508D"/>
    <w:rsid w:val="00036397"/>
    <w:rsid w:val="00036A5E"/>
    <w:rsid w:val="0003755A"/>
    <w:rsid w:val="0003771A"/>
    <w:rsid w:val="00040AB5"/>
    <w:rsid w:val="00040E6C"/>
    <w:rsid w:val="00041359"/>
    <w:rsid w:val="000413AA"/>
    <w:rsid w:val="0004184C"/>
    <w:rsid w:val="000423E8"/>
    <w:rsid w:val="00042F59"/>
    <w:rsid w:val="0004376C"/>
    <w:rsid w:val="00043BCD"/>
    <w:rsid w:val="00044869"/>
    <w:rsid w:val="000456C4"/>
    <w:rsid w:val="00045C86"/>
    <w:rsid w:val="00046666"/>
    <w:rsid w:val="00046695"/>
    <w:rsid w:val="00051CA5"/>
    <w:rsid w:val="00052788"/>
    <w:rsid w:val="00052E49"/>
    <w:rsid w:val="00054E16"/>
    <w:rsid w:val="00055772"/>
    <w:rsid w:val="00056809"/>
    <w:rsid w:val="0005701F"/>
    <w:rsid w:val="00057157"/>
    <w:rsid w:val="00060D15"/>
    <w:rsid w:val="00060E74"/>
    <w:rsid w:val="0006250E"/>
    <w:rsid w:val="00063186"/>
    <w:rsid w:val="00063991"/>
    <w:rsid w:val="0006506E"/>
    <w:rsid w:val="000656B7"/>
    <w:rsid w:val="0006572E"/>
    <w:rsid w:val="0006609A"/>
    <w:rsid w:val="00066324"/>
    <w:rsid w:val="00066AC1"/>
    <w:rsid w:val="00070337"/>
    <w:rsid w:val="000703D8"/>
    <w:rsid w:val="00070B15"/>
    <w:rsid w:val="0007176B"/>
    <w:rsid w:val="00071E62"/>
    <w:rsid w:val="00071FA8"/>
    <w:rsid w:val="00072346"/>
    <w:rsid w:val="00072472"/>
    <w:rsid w:val="00072D2A"/>
    <w:rsid w:val="000732A4"/>
    <w:rsid w:val="00073B2C"/>
    <w:rsid w:val="00073EF9"/>
    <w:rsid w:val="00073FB2"/>
    <w:rsid w:val="00074836"/>
    <w:rsid w:val="00075041"/>
    <w:rsid w:val="00076636"/>
    <w:rsid w:val="00076C47"/>
    <w:rsid w:val="00076E78"/>
    <w:rsid w:val="00076F47"/>
    <w:rsid w:val="00077298"/>
    <w:rsid w:val="000777B7"/>
    <w:rsid w:val="00077A4B"/>
    <w:rsid w:val="00077A5C"/>
    <w:rsid w:val="00077C0A"/>
    <w:rsid w:val="000805F4"/>
    <w:rsid w:val="00080B70"/>
    <w:rsid w:val="00081244"/>
    <w:rsid w:val="000815BC"/>
    <w:rsid w:val="00081C5B"/>
    <w:rsid w:val="000827D6"/>
    <w:rsid w:val="000828D0"/>
    <w:rsid w:val="0008336C"/>
    <w:rsid w:val="00083B33"/>
    <w:rsid w:val="0008408D"/>
    <w:rsid w:val="00084B5D"/>
    <w:rsid w:val="000866F8"/>
    <w:rsid w:val="0008684E"/>
    <w:rsid w:val="0008685D"/>
    <w:rsid w:val="000872A1"/>
    <w:rsid w:val="00087A3D"/>
    <w:rsid w:val="00090BD2"/>
    <w:rsid w:val="00091258"/>
    <w:rsid w:val="00092FE1"/>
    <w:rsid w:val="00093B0E"/>
    <w:rsid w:val="00093DD4"/>
    <w:rsid w:val="000942B8"/>
    <w:rsid w:val="00094C30"/>
    <w:rsid w:val="000951A9"/>
    <w:rsid w:val="00095C55"/>
    <w:rsid w:val="0009747D"/>
    <w:rsid w:val="00097FAA"/>
    <w:rsid w:val="000A001E"/>
    <w:rsid w:val="000A03F0"/>
    <w:rsid w:val="000A165C"/>
    <w:rsid w:val="000A1BF7"/>
    <w:rsid w:val="000A2A1D"/>
    <w:rsid w:val="000A4ACA"/>
    <w:rsid w:val="000A4F59"/>
    <w:rsid w:val="000A4FF5"/>
    <w:rsid w:val="000A508C"/>
    <w:rsid w:val="000A540D"/>
    <w:rsid w:val="000A5B7D"/>
    <w:rsid w:val="000A5F1E"/>
    <w:rsid w:val="000A71B9"/>
    <w:rsid w:val="000A77CA"/>
    <w:rsid w:val="000A7CB0"/>
    <w:rsid w:val="000A7E95"/>
    <w:rsid w:val="000A7EF1"/>
    <w:rsid w:val="000B0530"/>
    <w:rsid w:val="000B0C69"/>
    <w:rsid w:val="000B2186"/>
    <w:rsid w:val="000B2B75"/>
    <w:rsid w:val="000B2CD3"/>
    <w:rsid w:val="000B3A76"/>
    <w:rsid w:val="000B54FA"/>
    <w:rsid w:val="000B58B8"/>
    <w:rsid w:val="000B5A6E"/>
    <w:rsid w:val="000B6CAE"/>
    <w:rsid w:val="000B7417"/>
    <w:rsid w:val="000B7715"/>
    <w:rsid w:val="000B7D0C"/>
    <w:rsid w:val="000C040F"/>
    <w:rsid w:val="000C1711"/>
    <w:rsid w:val="000C26CF"/>
    <w:rsid w:val="000C383B"/>
    <w:rsid w:val="000C3FCD"/>
    <w:rsid w:val="000C4A0E"/>
    <w:rsid w:val="000D088D"/>
    <w:rsid w:val="000D0F3C"/>
    <w:rsid w:val="000D1458"/>
    <w:rsid w:val="000D149A"/>
    <w:rsid w:val="000D1D5C"/>
    <w:rsid w:val="000D2344"/>
    <w:rsid w:val="000D2403"/>
    <w:rsid w:val="000D29C8"/>
    <w:rsid w:val="000D2E73"/>
    <w:rsid w:val="000D3BEE"/>
    <w:rsid w:val="000D4DF7"/>
    <w:rsid w:val="000D547E"/>
    <w:rsid w:val="000D6C7B"/>
    <w:rsid w:val="000D74DE"/>
    <w:rsid w:val="000D77DB"/>
    <w:rsid w:val="000E112B"/>
    <w:rsid w:val="000E2426"/>
    <w:rsid w:val="000E24BD"/>
    <w:rsid w:val="000E26A8"/>
    <w:rsid w:val="000E2A73"/>
    <w:rsid w:val="000E2BFA"/>
    <w:rsid w:val="000E3FDB"/>
    <w:rsid w:val="000E41ED"/>
    <w:rsid w:val="000E4C79"/>
    <w:rsid w:val="000E51B3"/>
    <w:rsid w:val="000E7737"/>
    <w:rsid w:val="000F0191"/>
    <w:rsid w:val="000F040A"/>
    <w:rsid w:val="000F2401"/>
    <w:rsid w:val="000F25B6"/>
    <w:rsid w:val="000F2E1D"/>
    <w:rsid w:val="000F31AD"/>
    <w:rsid w:val="000F337C"/>
    <w:rsid w:val="000F3BF1"/>
    <w:rsid w:val="000F407D"/>
    <w:rsid w:val="000F4A4B"/>
    <w:rsid w:val="000F5265"/>
    <w:rsid w:val="000F553B"/>
    <w:rsid w:val="000F5644"/>
    <w:rsid w:val="000F5E81"/>
    <w:rsid w:val="000F628C"/>
    <w:rsid w:val="000F655A"/>
    <w:rsid w:val="000F6DF1"/>
    <w:rsid w:val="000F7E68"/>
    <w:rsid w:val="00101550"/>
    <w:rsid w:val="0010397C"/>
    <w:rsid w:val="00103F66"/>
    <w:rsid w:val="0010403C"/>
    <w:rsid w:val="0010428A"/>
    <w:rsid w:val="00105992"/>
    <w:rsid w:val="00105CA0"/>
    <w:rsid w:val="00105E7E"/>
    <w:rsid w:val="00106A06"/>
    <w:rsid w:val="00110190"/>
    <w:rsid w:val="00110875"/>
    <w:rsid w:val="00110B11"/>
    <w:rsid w:val="00111809"/>
    <w:rsid w:val="00111DC7"/>
    <w:rsid w:val="00112145"/>
    <w:rsid w:val="00112261"/>
    <w:rsid w:val="00112B80"/>
    <w:rsid w:val="00112C2D"/>
    <w:rsid w:val="0011359A"/>
    <w:rsid w:val="00113C25"/>
    <w:rsid w:val="00115123"/>
    <w:rsid w:val="001155F9"/>
    <w:rsid w:val="00115F4E"/>
    <w:rsid w:val="001167C1"/>
    <w:rsid w:val="00116FD4"/>
    <w:rsid w:val="001203A8"/>
    <w:rsid w:val="001205BB"/>
    <w:rsid w:val="001222A6"/>
    <w:rsid w:val="0012391A"/>
    <w:rsid w:val="001244F5"/>
    <w:rsid w:val="0012499B"/>
    <w:rsid w:val="0012563F"/>
    <w:rsid w:val="001257FE"/>
    <w:rsid w:val="00126314"/>
    <w:rsid w:val="001264EE"/>
    <w:rsid w:val="001265E8"/>
    <w:rsid w:val="00126FA4"/>
    <w:rsid w:val="00127CF0"/>
    <w:rsid w:val="001315D6"/>
    <w:rsid w:val="00131CFF"/>
    <w:rsid w:val="00131DA0"/>
    <w:rsid w:val="00132EAD"/>
    <w:rsid w:val="00133077"/>
    <w:rsid w:val="00133695"/>
    <w:rsid w:val="00133A27"/>
    <w:rsid w:val="00135A83"/>
    <w:rsid w:val="001366D7"/>
    <w:rsid w:val="001368FF"/>
    <w:rsid w:val="00137EE8"/>
    <w:rsid w:val="001425A9"/>
    <w:rsid w:val="001432AF"/>
    <w:rsid w:val="00143558"/>
    <w:rsid w:val="00143BEF"/>
    <w:rsid w:val="00144CB6"/>
    <w:rsid w:val="00146C11"/>
    <w:rsid w:val="00146FB5"/>
    <w:rsid w:val="00147497"/>
    <w:rsid w:val="001477DC"/>
    <w:rsid w:val="00147D40"/>
    <w:rsid w:val="0015001F"/>
    <w:rsid w:val="00150462"/>
    <w:rsid w:val="00150A3C"/>
    <w:rsid w:val="00150C43"/>
    <w:rsid w:val="00151718"/>
    <w:rsid w:val="0015267E"/>
    <w:rsid w:val="0015353F"/>
    <w:rsid w:val="00153F26"/>
    <w:rsid w:val="00154782"/>
    <w:rsid w:val="00154C3D"/>
    <w:rsid w:val="001555E3"/>
    <w:rsid w:val="001561A4"/>
    <w:rsid w:val="001569A5"/>
    <w:rsid w:val="001601B8"/>
    <w:rsid w:val="0016021E"/>
    <w:rsid w:val="0016090F"/>
    <w:rsid w:val="00160FE0"/>
    <w:rsid w:val="00161911"/>
    <w:rsid w:val="00161B40"/>
    <w:rsid w:val="00161FD1"/>
    <w:rsid w:val="00162306"/>
    <w:rsid w:val="00162998"/>
    <w:rsid w:val="00162B72"/>
    <w:rsid w:val="00162C79"/>
    <w:rsid w:val="00162D7C"/>
    <w:rsid w:val="00163EC5"/>
    <w:rsid w:val="0016469F"/>
    <w:rsid w:val="00164E02"/>
    <w:rsid w:val="0016607B"/>
    <w:rsid w:val="00166096"/>
    <w:rsid w:val="001661AE"/>
    <w:rsid w:val="00167086"/>
    <w:rsid w:val="00170F0D"/>
    <w:rsid w:val="0017210C"/>
    <w:rsid w:val="0017297E"/>
    <w:rsid w:val="001736A6"/>
    <w:rsid w:val="00176126"/>
    <w:rsid w:val="00176141"/>
    <w:rsid w:val="001761EA"/>
    <w:rsid w:val="00176616"/>
    <w:rsid w:val="001774E3"/>
    <w:rsid w:val="0017795E"/>
    <w:rsid w:val="00180889"/>
    <w:rsid w:val="00180DD9"/>
    <w:rsid w:val="00181335"/>
    <w:rsid w:val="00181D65"/>
    <w:rsid w:val="00181E78"/>
    <w:rsid w:val="001829D2"/>
    <w:rsid w:val="0018316E"/>
    <w:rsid w:val="0018401C"/>
    <w:rsid w:val="00184D3D"/>
    <w:rsid w:val="001856D0"/>
    <w:rsid w:val="001860C0"/>
    <w:rsid w:val="00186F35"/>
    <w:rsid w:val="001872A5"/>
    <w:rsid w:val="00187DAA"/>
    <w:rsid w:val="00187DFA"/>
    <w:rsid w:val="0019140E"/>
    <w:rsid w:val="00191F67"/>
    <w:rsid w:val="00192AF0"/>
    <w:rsid w:val="001931B3"/>
    <w:rsid w:val="00193237"/>
    <w:rsid w:val="00195D1B"/>
    <w:rsid w:val="001967BA"/>
    <w:rsid w:val="0019720D"/>
    <w:rsid w:val="001A15A5"/>
    <w:rsid w:val="001A1888"/>
    <w:rsid w:val="001A37C2"/>
    <w:rsid w:val="001A48BE"/>
    <w:rsid w:val="001A4A8A"/>
    <w:rsid w:val="001A63A4"/>
    <w:rsid w:val="001B00C0"/>
    <w:rsid w:val="001B01BC"/>
    <w:rsid w:val="001B05ED"/>
    <w:rsid w:val="001B0A44"/>
    <w:rsid w:val="001B0CF2"/>
    <w:rsid w:val="001B1224"/>
    <w:rsid w:val="001B12ED"/>
    <w:rsid w:val="001B1491"/>
    <w:rsid w:val="001B14BD"/>
    <w:rsid w:val="001B2C4B"/>
    <w:rsid w:val="001B2EFE"/>
    <w:rsid w:val="001B42DB"/>
    <w:rsid w:val="001B52BF"/>
    <w:rsid w:val="001B5B8F"/>
    <w:rsid w:val="001B5BB0"/>
    <w:rsid w:val="001B6D34"/>
    <w:rsid w:val="001B71F2"/>
    <w:rsid w:val="001C068F"/>
    <w:rsid w:val="001C0B92"/>
    <w:rsid w:val="001C17EF"/>
    <w:rsid w:val="001C1FE7"/>
    <w:rsid w:val="001C3E95"/>
    <w:rsid w:val="001C4012"/>
    <w:rsid w:val="001C4109"/>
    <w:rsid w:val="001C43E2"/>
    <w:rsid w:val="001C50B0"/>
    <w:rsid w:val="001C5881"/>
    <w:rsid w:val="001C5B70"/>
    <w:rsid w:val="001C5E1F"/>
    <w:rsid w:val="001C5E99"/>
    <w:rsid w:val="001C6A30"/>
    <w:rsid w:val="001C70AB"/>
    <w:rsid w:val="001D00D4"/>
    <w:rsid w:val="001D03D7"/>
    <w:rsid w:val="001D1077"/>
    <w:rsid w:val="001D1F69"/>
    <w:rsid w:val="001D24B5"/>
    <w:rsid w:val="001D459A"/>
    <w:rsid w:val="001D4C37"/>
    <w:rsid w:val="001D4CD8"/>
    <w:rsid w:val="001D4EF7"/>
    <w:rsid w:val="001D5468"/>
    <w:rsid w:val="001D5EFB"/>
    <w:rsid w:val="001D6384"/>
    <w:rsid w:val="001D7A8E"/>
    <w:rsid w:val="001E0968"/>
    <w:rsid w:val="001E1DCE"/>
    <w:rsid w:val="001E1FE8"/>
    <w:rsid w:val="001E330E"/>
    <w:rsid w:val="001E36D9"/>
    <w:rsid w:val="001E3B48"/>
    <w:rsid w:val="001E41C4"/>
    <w:rsid w:val="001E4A87"/>
    <w:rsid w:val="001E5338"/>
    <w:rsid w:val="001E5C7B"/>
    <w:rsid w:val="001E6F76"/>
    <w:rsid w:val="001E728D"/>
    <w:rsid w:val="001F0CE4"/>
    <w:rsid w:val="001F2861"/>
    <w:rsid w:val="001F29BF"/>
    <w:rsid w:val="001F2E0F"/>
    <w:rsid w:val="001F3FBE"/>
    <w:rsid w:val="001F48CF"/>
    <w:rsid w:val="001F606C"/>
    <w:rsid w:val="001F6085"/>
    <w:rsid w:val="001F6EBE"/>
    <w:rsid w:val="001F75E6"/>
    <w:rsid w:val="001F7C7C"/>
    <w:rsid w:val="00200915"/>
    <w:rsid w:val="00200C94"/>
    <w:rsid w:val="00200FE3"/>
    <w:rsid w:val="002032A6"/>
    <w:rsid w:val="00203FC9"/>
    <w:rsid w:val="00204D40"/>
    <w:rsid w:val="00204F72"/>
    <w:rsid w:val="00206C9A"/>
    <w:rsid w:val="002070A8"/>
    <w:rsid w:val="0020723B"/>
    <w:rsid w:val="0021034F"/>
    <w:rsid w:val="00210B30"/>
    <w:rsid w:val="00211DBC"/>
    <w:rsid w:val="00213190"/>
    <w:rsid w:val="002143C5"/>
    <w:rsid w:val="0021465E"/>
    <w:rsid w:val="002147AE"/>
    <w:rsid w:val="00214C57"/>
    <w:rsid w:val="00214C63"/>
    <w:rsid w:val="00216797"/>
    <w:rsid w:val="00216966"/>
    <w:rsid w:val="002175D7"/>
    <w:rsid w:val="00220DAD"/>
    <w:rsid w:val="002212FB"/>
    <w:rsid w:val="00221AF6"/>
    <w:rsid w:val="00223D18"/>
    <w:rsid w:val="00223D8A"/>
    <w:rsid w:val="00224619"/>
    <w:rsid w:val="00224EE2"/>
    <w:rsid w:val="00225E4F"/>
    <w:rsid w:val="002261BA"/>
    <w:rsid w:val="0022714F"/>
    <w:rsid w:val="00230AAE"/>
    <w:rsid w:val="002315E9"/>
    <w:rsid w:val="00235991"/>
    <w:rsid w:val="00235D6D"/>
    <w:rsid w:val="00235DC2"/>
    <w:rsid w:val="00236276"/>
    <w:rsid w:val="00236C7B"/>
    <w:rsid w:val="00236CC6"/>
    <w:rsid w:val="002375D1"/>
    <w:rsid w:val="0023769B"/>
    <w:rsid w:val="002379E2"/>
    <w:rsid w:val="00241D69"/>
    <w:rsid w:val="00242FDC"/>
    <w:rsid w:val="002433E4"/>
    <w:rsid w:val="002434BE"/>
    <w:rsid w:val="00243521"/>
    <w:rsid w:val="00243CD0"/>
    <w:rsid w:val="002446F2"/>
    <w:rsid w:val="002451E1"/>
    <w:rsid w:val="00245B80"/>
    <w:rsid w:val="00245DF2"/>
    <w:rsid w:val="00245E76"/>
    <w:rsid w:val="002460F3"/>
    <w:rsid w:val="00246E57"/>
    <w:rsid w:val="00247052"/>
    <w:rsid w:val="002518F5"/>
    <w:rsid w:val="00252E74"/>
    <w:rsid w:val="00253705"/>
    <w:rsid w:val="00253A68"/>
    <w:rsid w:val="002555A3"/>
    <w:rsid w:val="00255EBF"/>
    <w:rsid w:val="002576CC"/>
    <w:rsid w:val="00260072"/>
    <w:rsid w:val="002613A3"/>
    <w:rsid w:val="0026275D"/>
    <w:rsid w:val="0026297C"/>
    <w:rsid w:val="0026354A"/>
    <w:rsid w:val="00263C8D"/>
    <w:rsid w:val="00263E2E"/>
    <w:rsid w:val="00264A31"/>
    <w:rsid w:val="00266049"/>
    <w:rsid w:val="0026606D"/>
    <w:rsid w:val="00267702"/>
    <w:rsid w:val="002678F7"/>
    <w:rsid w:val="00270027"/>
    <w:rsid w:val="0027008C"/>
    <w:rsid w:val="0027062E"/>
    <w:rsid w:val="00270B71"/>
    <w:rsid w:val="00270C9C"/>
    <w:rsid w:val="00270E9A"/>
    <w:rsid w:val="00272CD0"/>
    <w:rsid w:val="00274DAE"/>
    <w:rsid w:val="00274E95"/>
    <w:rsid w:val="002752AD"/>
    <w:rsid w:val="0027628B"/>
    <w:rsid w:val="00276926"/>
    <w:rsid w:val="00276D58"/>
    <w:rsid w:val="00277213"/>
    <w:rsid w:val="00277A5B"/>
    <w:rsid w:val="00277C30"/>
    <w:rsid w:val="00280965"/>
    <w:rsid w:val="00280A6D"/>
    <w:rsid w:val="00280CEA"/>
    <w:rsid w:val="00281AAE"/>
    <w:rsid w:val="002837D8"/>
    <w:rsid w:val="002846C3"/>
    <w:rsid w:val="00284F2A"/>
    <w:rsid w:val="00286129"/>
    <w:rsid w:val="002867EF"/>
    <w:rsid w:val="00287818"/>
    <w:rsid w:val="00292514"/>
    <w:rsid w:val="00292522"/>
    <w:rsid w:val="00293720"/>
    <w:rsid w:val="002950B7"/>
    <w:rsid w:val="002950C3"/>
    <w:rsid w:val="00295A01"/>
    <w:rsid w:val="00295C01"/>
    <w:rsid w:val="00295ECE"/>
    <w:rsid w:val="002967FA"/>
    <w:rsid w:val="00296A7A"/>
    <w:rsid w:val="002A4BFC"/>
    <w:rsid w:val="002A5C06"/>
    <w:rsid w:val="002A5E90"/>
    <w:rsid w:val="002A5FA0"/>
    <w:rsid w:val="002A629A"/>
    <w:rsid w:val="002A6F05"/>
    <w:rsid w:val="002A711A"/>
    <w:rsid w:val="002A724B"/>
    <w:rsid w:val="002A733D"/>
    <w:rsid w:val="002B0425"/>
    <w:rsid w:val="002B0427"/>
    <w:rsid w:val="002B0F11"/>
    <w:rsid w:val="002B1FD4"/>
    <w:rsid w:val="002B33C6"/>
    <w:rsid w:val="002B410E"/>
    <w:rsid w:val="002B42A7"/>
    <w:rsid w:val="002B4691"/>
    <w:rsid w:val="002B58E0"/>
    <w:rsid w:val="002B6343"/>
    <w:rsid w:val="002B6859"/>
    <w:rsid w:val="002B6DB8"/>
    <w:rsid w:val="002B6DF8"/>
    <w:rsid w:val="002B7A74"/>
    <w:rsid w:val="002C0D45"/>
    <w:rsid w:val="002C138B"/>
    <w:rsid w:val="002C183C"/>
    <w:rsid w:val="002C3DF2"/>
    <w:rsid w:val="002C6CD3"/>
    <w:rsid w:val="002C7A4F"/>
    <w:rsid w:val="002D0916"/>
    <w:rsid w:val="002D0E66"/>
    <w:rsid w:val="002D10C7"/>
    <w:rsid w:val="002D17DF"/>
    <w:rsid w:val="002D2828"/>
    <w:rsid w:val="002D2B1E"/>
    <w:rsid w:val="002D2E67"/>
    <w:rsid w:val="002D3449"/>
    <w:rsid w:val="002D3E18"/>
    <w:rsid w:val="002D3FFD"/>
    <w:rsid w:val="002D4938"/>
    <w:rsid w:val="002D4DFA"/>
    <w:rsid w:val="002D4F76"/>
    <w:rsid w:val="002D5120"/>
    <w:rsid w:val="002D5B3B"/>
    <w:rsid w:val="002D5CE2"/>
    <w:rsid w:val="002D680C"/>
    <w:rsid w:val="002D766A"/>
    <w:rsid w:val="002D78DB"/>
    <w:rsid w:val="002E039F"/>
    <w:rsid w:val="002E0510"/>
    <w:rsid w:val="002E14C8"/>
    <w:rsid w:val="002E1797"/>
    <w:rsid w:val="002E1BCD"/>
    <w:rsid w:val="002E2648"/>
    <w:rsid w:val="002E2902"/>
    <w:rsid w:val="002E29A0"/>
    <w:rsid w:val="002E33C2"/>
    <w:rsid w:val="002E3DA7"/>
    <w:rsid w:val="002E4F9B"/>
    <w:rsid w:val="002E5BDD"/>
    <w:rsid w:val="002E7F82"/>
    <w:rsid w:val="002F1334"/>
    <w:rsid w:val="002F185F"/>
    <w:rsid w:val="002F2C4A"/>
    <w:rsid w:val="002F31F2"/>
    <w:rsid w:val="002F3281"/>
    <w:rsid w:val="002F3664"/>
    <w:rsid w:val="002F3860"/>
    <w:rsid w:val="002F41C4"/>
    <w:rsid w:val="002F4273"/>
    <w:rsid w:val="002F4C5E"/>
    <w:rsid w:val="002F5098"/>
    <w:rsid w:val="002F50A0"/>
    <w:rsid w:val="002F51A4"/>
    <w:rsid w:val="002F5274"/>
    <w:rsid w:val="002F5A64"/>
    <w:rsid w:val="002F7C1D"/>
    <w:rsid w:val="003007B9"/>
    <w:rsid w:val="00300B4F"/>
    <w:rsid w:val="0030214C"/>
    <w:rsid w:val="00304098"/>
    <w:rsid w:val="003042EB"/>
    <w:rsid w:val="0030714E"/>
    <w:rsid w:val="00307D8F"/>
    <w:rsid w:val="0031024F"/>
    <w:rsid w:val="00311C3F"/>
    <w:rsid w:val="00312FDB"/>
    <w:rsid w:val="00313C3C"/>
    <w:rsid w:val="00313EF3"/>
    <w:rsid w:val="00314B47"/>
    <w:rsid w:val="0031516A"/>
    <w:rsid w:val="00316758"/>
    <w:rsid w:val="003176FA"/>
    <w:rsid w:val="00320B5F"/>
    <w:rsid w:val="00320F2C"/>
    <w:rsid w:val="0032194B"/>
    <w:rsid w:val="0032381A"/>
    <w:rsid w:val="00324932"/>
    <w:rsid w:val="00325C90"/>
    <w:rsid w:val="00325DE2"/>
    <w:rsid w:val="003260A5"/>
    <w:rsid w:val="003267AF"/>
    <w:rsid w:val="00326CFC"/>
    <w:rsid w:val="00326DD3"/>
    <w:rsid w:val="0032742B"/>
    <w:rsid w:val="00330F0E"/>
    <w:rsid w:val="00330F4B"/>
    <w:rsid w:val="00331216"/>
    <w:rsid w:val="003329B9"/>
    <w:rsid w:val="00332C31"/>
    <w:rsid w:val="00333071"/>
    <w:rsid w:val="003330AD"/>
    <w:rsid w:val="00333FDD"/>
    <w:rsid w:val="003341C5"/>
    <w:rsid w:val="00334C65"/>
    <w:rsid w:val="003351BA"/>
    <w:rsid w:val="003355A2"/>
    <w:rsid w:val="00335AB9"/>
    <w:rsid w:val="00335B92"/>
    <w:rsid w:val="00340783"/>
    <w:rsid w:val="00340789"/>
    <w:rsid w:val="003410E4"/>
    <w:rsid w:val="003419B6"/>
    <w:rsid w:val="00342715"/>
    <w:rsid w:val="003436B3"/>
    <w:rsid w:val="00344BBF"/>
    <w:rsid w:val="0034512E"/>
    <w:rsid w:val="0034583B"/>
    <w:rsid w:val="00346E4D"/>
    <w:rsid w:val="003472FA"/>
    <w:rsid w:val="00347699"/>
    <w:rsid w:val="0035042C"/>
    <w:rsid w:val="0035045A"/>
    <w:rsid w:val="00350767"/>
    <w:rsid w:val="00350902"/>
    <w:rsid w:val="0035144B"/>
    <w:rsid w:val="00351AB9"/>
    <w:rsid w:val="00351EE5"/>
    <w:rsid w:val="00352740"/>
    <w:rsid w:val="00354236"/>
    <w:rsid w:val="00354E9E"/>
    <w:rsid w:val="00355270"/>
    <w:rsid w:val="003554DF"/>
    <w:rsid w:val="00355941"/>
    <w:rsid w:val="00355BF3"/>
    <w:rsid w:val="00355F6E"/>
    <w:rsid w:val="00356B0C"/>
    <w:rsid w:val="0035734B"/>
    <w:rsid w:val="00357695"/>
    <w:rsid w:val="00357C0C"/>
    <w:rsid w:val="00357D97"/>
    <w:rsid w:val="00360D01"/>
    <w:rsid w:val="00361075"/>
    <w:rsid w:val="0036213B"/>
    <w:rsid w:val="0036219C"/>
    <w:rsid w:val="00364148"/>
    <w:rsid w:val="0036486D"/>
    <w:rsid w:val="003663BC"/>
    <w:rsid w:val="003669B8"/>
    <w:rsid w:val="00366AC1"/>
    <w:rsid w:val="00366DD2"/>
    <w:rsid w:val="00366F58"/>
    <w:rsid w:val="00367443"/>
    <w:rsid w:val="00367855"/>
    <w:rsid w:val="00370337"/>
    <w:rsid w:val="00370CDA"/>
    <w:rsid w:val="00371CF4"/>
    <w:rsid w:val="00372430"/>
    <w:rsid w:val="0037285D"/>
    <w:rsid w:val="0037462A"/>
    <w:rsid w:val="0037551C"/>
    <w:rsid w:val="00375E56"/>
    <w:rsid w:val="00376CB9"/>
    <w:rsid w:val="00377027"/>
    <w:rsid w:val="00377663"/>
    <w:rsid w:val="00380054"/>
    <w:rsid w:val="00380F1A"/>
    <w:rsid w:val="003811AB"/>
    <w:rsid w:val="00382023"/>
    <w:rsid w:val="00382FFF"/>
    <w:rsid w:val="00383CFE"/>
    <w:rsid w:val="003841BE"/>
    <w:rsid w:val="0038524F"/>
    <w:rsid w:val="00385854"/>
    <w:rsid w:val="00385E26"/>
    <w:rsid w:val="00385F3F"/>
    <w:rsid w:val="00390950"/>
    <w:rsid w:val="0039117F"/>
    <w:rsid w:val="00392384"/>
    <w:rsid w:val="00392A1E"/>
    <w:rsid w:val="003936AC"/>
    <w:rsid w:val="003951B9"/>
    <w:rsid w:val="003958F7"/>
    <w:rsid w:val="00396586"/>
    <w:rsid w:val="003969AB"/>
    <w:rsid w:val="0039724D"/>
    <w:rsid w:val="003A004A"/>
    <w:rsid w:val="003A0146"/>
    <w:rsid w:val="003A03E9"/>
    <w:rsid w:val="003A1D17"/>
    <w:rsid w:val="003A210D"/>
    <w:rsid w:val="003A21DF"/>
    <w:rsid w:val="003A379C"/>
    <w:rsid w:val="003A390D"/>
    <w:rsid w:val="003A3A23"/>
    <w:rsid w:val="003A4650"/>
    <w:rsid w:val="003A49FB"/>
    <w:rsid w:val="003A4E33"/>
    <w:rsid w:val="003A4E79"/>
    <w:rsid w:val="003A5DD4"/>
    <w:rsid w:val="003B0280"/>
    <w:rsid w:val="003B0386"/>
    <w:rsid w:val="003B1355"/>
    <w:rsid w:val="003B1373"/>
    <w:rsid w:val="003B16AA"/>
    <w:rsid w:val="003B1AD8"/>
    <w:rsid w:val="003B1EFA"/>
    <w:rsid w:val="003B2148"/>
    <w:rsid w:val="003B245B"/>
    <w:rsid w:val="003B2FDF"/>
    <w:rsid w:val="003B38B5"/>
    <w:rsid w:val="003B3AFA"/>
    <w:rsid w:val="003B43A3"/>
    <w:rsid w:val="003B4431"/>
    <w:rsid w:val="003B50F9"/>
    <w:rsid w:val="003B657C"/>
    <w:rsid w:val="003B6DC9"/>
    <w:rsid w:val="003B757E"/>
    <w:rsid w:val="003B7832"/>
    <w:rsid w:val="003B7862"/>
    <w:rsid w:val="003B7D49"/>
    <w:rsid w:val="003C07AF"/>
    <w:rsid w:val="003C0BE4"/>
    <w:rsid w:val="003C0CFC"/>
    <w:rsid w:val="003C0F8B"/>
    <w:rsid w:val="003C27F8"/>
    <w:rsid w:val="003C2F5D"/>
    <w:rsid w:val="003C31E2"/>
    <w:rsid w:val="003C3B2A"/>
    <w:rsid w:val="003C3D6A"/>
    <w:rsid w:val="003C4768"/>
    <w:rsid w:val="003D0F93"/>
    <w:rsid w:val="003D17DE"/>
    <w:rsid w:val="003D1E7D"/>
    <w:rsid w:val="003D2B8A"/>
    <w:rsid w:val="003D324F"/>
    <w:rsid w:val="003D3653"/>
    <w:rsid w:val="003D39B4"/>
    <w:rsid w:val="003D3A65"/>
    <w:rsid w:val="003D4BEF"/>
    <w:rsid w:val="003D5DE7"/>
    <w:rsid w:val="003D6A4F"/>
    <w:rsid w:val="003D6D81"/>
    <w:rsid w:val="003D6FF1"/>
    <w:rsid w:val="003D7667"/>
    <w:rsid w:val="003E0719"/>
    <w:rsid w:val="003E20DC"/>
    <w:rsid w:val="003E474B"/>
    <w:rsid w:val="003E4804"/>
    <w:rsid w:val="003E4E79"/>
    <w:rsid w:val="003E6715"/>
    <w:rsid w:val="003E68B4"/>
    <w:rsid w:val="003E6DAD"/>
    <w:rsid w:val="003E6F08"/>
    <w:rsid w:val="003E7A86"/>
    <w:rsid w:val="003F0BA0"/>
    <w:rsid w:val="003F0BB6"/>
    <w:rsid w:val="003F11F4"/>
    <w:rsid w:val="003F174D"/>
    <w:rsid w:val="003F1999"/>
    <w:rsid w:val="003F2299"/>
    <w:rsid w:val="003F2621"/>
    <w:rsid w:val="003F402E"/>
    <w:rsid w:val="003F43C3"/>
    <w:rsid w:val="003F4565"/>
    <w:rsid w:val="003F4750"/>
    <w:rsid w:val="003F69B2"/>
    <w:rsid w:val="004008A0"/>
    <w:rsid w:val="0040119D"/>
    <w:rsid w:val="004014CC"/>
    <w:rsid w:val="004015F1"/>
    <w:rsid w:val="00401EED"/>
    <w:rsid w:val="00402735"/>
    <w:rsid w:val="004029ED"/>
    <w:rsid w:val="00403F39"/>
    <w:rsid w:val="00404C48"/>
    <w:rsid w:val="00405DAA"/>
    <w:rsid w:val="00405FA5"/>
    <w:rsid w:val="00406DFE"/>
    <w:rsid w:val="00406EA3"/>
    <w:rsid w:val="00407D80"/>
    <w:rsid w:val="00407DAD"/>
    <w:rsid w:val="00410964"/>
    <w:rsid w:val="00410B97"/>
    <w:rsid w:val="00411A40"/>
    <w:rsid w:val="00412373"/>
    <w:rsid w:val="00412A0D"/>
    <w:rsid w:val="00412FF6"/>
    <w:rsid w:val="00413511"/>
    <w:rsid w:val="00413895"/>
    <w:rsid w:val="00413B3A"/>
    <w:rsid w:val="00414D64"/>
    <w:rsid w:val="00416F29"/>
    <w:rsid w:val="004170A8"/>
    <w:rsid w:val="004170F9"/>
    <w:rsid w:val="00417180"/>
    <w:rsid w:val="004172E2"/>
    <w:rsid w:val="00417B1A"/>
    <w:rsid w:val="00417E97"/>
    <w:rsid w:val="0042027E"/>
    <w:rsid w:val="00420B1D"/>
    <w:rsid w:val="00421818"/>
    <w:rsid w:val="0042208D"/>
    <w:rsid w:val="004228EA"/>
    <w:rsid w:val="00422C00"/>
    <w:rsid w:val="004230BD"/>
    <w:rsid w:val="004244A5"/>
    <w:rsid w:val="00425A66"/>
    <w:rsid w:val="00425BFB"/>
    <w:rsid w:val="0042770A"/>
    <w:rsid w:val="00427CE4"/>
    <w:rsid w:val="0043142C"/>
    <w:rsid w:val="0043176F"/>
    <w:rsid w:val="00431E2E"/>
    <w:rsid w:val="00433FAB"/>
    <w:rsid w:val="00434284"/>
    <w:rsid w:val="00434A07"/>
    <w:rsid w:val="004350E7"/>
    <w:rsid w:val="0043639B"/>
    <w:rsid w:val="00436506"/>
    <w:rsid w:val="004366B1"/>
    <w:rsid w:val="00437C73"/>
    <w:rsid w:val="004405D0"/>
    <w:rsid w:val="00441DF8"/>
    <w:rsid w:val="00441FDA"/>
    <w:rsid w:val="004427B4"/>
    <w:rsid w:val="004428FB"/>
    <w:rsid w:val="004435FF"/>
    <w:rsid w:val="00444F04"/>
    <w:rsid w:val="004451CB"/>
    <w:rsid w:val="00445D62"/>
    <w:rsid w:val="004505DD"/>
    <w:rsid w:val="0045145B"/>
    <w:rsid w:val="00451CD9"/>
    <w:rsid w:val="00451DBC"/>
    <w:rsid w:val="00452183"/>
    <w:rsid w:val="0045261E"/>
    <w:rsid w:val="00452643"/>
    <w:rsid w:val="00452B18"/>
    <w:rsid w:val="00455265"/>
    <w:rsid w:val="0045678D"/>
    <w:rsid w:val="00456B3E"/>
    <w:rsid w:val="00456FC2"/>
    <w:rsid w:val="004609E5"/>
    <w:rsid w:val="00460CD9"/>
    <w:rsid w:val="0046102F"/>
    <w:rsid w:val="004616CE"/>
    <w:rsid w:val="00461B8B"/>
    <w:rsid w:val="00462AF5"/>
    <w:rsid w:val="0046392C"/>
    <w:rsid w:val="00464E2F"/>
    <w:rsid w:val="004652B4"/>
    <w:rsid w:val="0046551B"/>
    <w:rsid w:val="00465F7B"/>
    <w:rsid w:val="00467610"/>
    <w:rsid w:val="0047011C"/>
    <w:rsid w:val="00470A71"/>
    <w:rsid w:val="00472672"/>
    <w:rsid w:val="00472C67"/>
    <w:rsid w:val="00472CFD"/>
    <w:rsid w:val="00473C2C"/>
    <w:rsid w:val="004745FA"/>
    <w:rsid w:val="00475251"/>
    <w:rsid w:val="00475D01"/>
    <w:rsid w:val="00475E1A"/>
    <w:rsid w:val="00476A29"/>
    <w:rsid w:val="004770C0"/>
    <w:rsid w:val="0047719F"/>
    <w:rsid w:val="00477A28"/>
    <w:rsid w:val="00477EC5"/>
    <w:rsid w:val="00480F89"/>
    <w:rsid w:val="00481EF3"/>
    <w:rsid w:val="00483030"/>
    <w:rsid w:val="00484103"/>
    <w:rsid w:val="004843E2"/>
    <w:rsid w:val="00484B1D"/>
    <w:rsid w:val="00485F88"/>
    <w:rsid w:val="0048751A"/>
    <w:rsid w:val="00487A57"/>
    <w:rsid w:val="00490F17"/>
    <w:rsid w:val="0049233E"/>
    <w:rsid w:val="00492C82"/>
    <w:rsid w:val="0049321B"/>
    <w:rsid w:val="00493666"/>
    <w:rsid w:val="00493885"/>
    <w:rsid w:val="00495727"/>
    <w:rsid w:val="00495AE9"/>
    <w:rsid w:val="00495DA4"/>
    <w:rsid w:val="0049608D"/>
    <w:rsid w:val="0049674F"/>
    <w:rsid w:val="00497009"/>
    <w:rsid w:val="004976B9"/>
    <w:rsid w:val="0049788F"/>
    <w:rsid w:val="0049797B"/>
    <w:rsid w:val="004A00C2"/>
    <w:rsid w:val="004A1032"/>
    <w:rsid w:val="004A1F77"/>
    <w:rsid w:val="004A27CC"/>
    <w:rsid w:val="004A2F76"/>
    <w:rsid w:val="004A4330"/>
    <w:rsid w:val="004A4D85"/>
    <w:rsid w:val="004A54ED"/>
    <w:rsid w:val="004A5668"/>
    <w:rsid w:val="004A56DB"/>
    <w:rsid w:val="004A59BA"/>
    <w:rsid w:val="004A5A27"/>
    <w:rsid w:val="004A5C87"/>
    <w:rsid w:val="004A6854"/>
    <w:rsid w:val="004A6998"/>
    <w:rsid w:val="004A72E2"/>
    <w:rsid w:val="004A7353"/>
    <w:rsid w:val="004B081A"/>
    <w:rsid w:val="004B108B"/>
    <w:rsid w:val="004B16B4"/>
    <w:rsid w:val="004B1937"/>
    <w:rsid w:val="004B1A6A"/>
    <w:rsid w:val="004B202D"/>
    <w:rsid w:val="004B211A"/>
    <w:rsid w:val="004B29DF"/>
    <w:rsid w:val="004B2C29"/>
    <w:rsid w:val="004B4D41"/>
    <w:rsid w:val="004B55A9"/>
    <w:rsid w:val="004B5CCD"/>
    <w:rsid w:val="004B7ADF"/>
    <w:rsid w:val="004B7CF2"/>
    <w:rsid w:val="004C0659"/>
    <w:rsid w:val="004C0EBC"/>
    <w:rsid w:val="004C1195"/>
    <w:rsid w:val="004C1BD8"/>
    <w:rsid w:val="004C2727"/>
    <w:rsid w:val="004C2D40"/>
    <w:rsid w:val="004C34D0"/>
    <w:rsid w:val="004C493C"/>
    <w:rsid w:val="004C4CD4"/>
    <w:rsid w:val="004C4FE1"/>
    <w:rsid w:val="004C5FA3"/>
    <w:rsid w:val="004C6C7C"/>
    <w:rsid w:val="004C7551"/>
    <w:rsid w:val="004D07E6"/>
    <w:rsid w:val="004D0F8F"/>
    <w:rsid w:val="004D2763"/>
    <w:rsid w:val="004D2B9A"/>
    <w:rsid w:val="004D2F32"/>
    <w:rsid w:val="004D3015"/>
    <w:rsid w:val="004D3C3C"/>
    <w:rsid w:val="004D4413"/>
    <w:rsid w:val="004D4449"/>
    <w:rsid w:val="004D4ED7"/>
    <w:rsid w:val="004D5521"/>
    <w:rsid w:val="004D62D4"/>
    <w:rsid w:val="004D70F7"/>
    <w:rsid w:val="004E0513"/>
    <w:rsid w:val="004E0A38"/>
    <w:rsid w:val="004E0AD1"/>
    <w:rsid w:val="004E0D07"/>
    <w:rsid w:val="004E0E70"/>
    <w:rsid w:val="004E0F98"/>
    <w:rsid w:val="004E10A9"/>
    <w:rsid w:val="004E2259"/>
    <w:rsid w:val="004E25A4"/>
    <w:rsid w:val="004E2F41"/>
    <w:rsid w:val="004E4191"/>
    <w:rsid w:val="004E4F49"/>
    <w:rsid w:val="004E5681"/>
    <w:rsid w:val="004E67AA"/>
    <w:rsid w:val="004E6CC4"/>
    <w:rsid w:val="004E7407"/>
    <w:rsid w:val="004F13A2"/>
    <w:rsid w:val="004F14C9"/>
    <w:rsid w:val="004F1831"/>
    <w:rsid w:val="004F22AC"/>
    <w:rsid w:val="004F29C2"/>
    <w:rsid w:val="004F4A03"/>
    <w:rsid w:val="004F5FB3"/>
    <w:rsid w:val="004F60AB"/>
    <w:rsid w:val="004F65D5"/>
    <w:rsid w:val="004F722E"/>
    <w:rsid w:val="005000BA"/>
    <w:rsid w:val="005000D4"/>
    <w:rsid w:val="005018AE"/>
    <w:rsid w:val="0050226C"/>
    <w:rsid w:val="00502B23"/>
    <w:rsid w:val="00502B4E"/>
    <w:rsid w:val="005036E2"/>
    <w:rsid w:val="005038D4"/>
    <w:rsid w:val="00504FD2"/>
    <w:rsid w:val="00505791"/>
    <w:rsid w:val="00505C98"/>
    <w:rsid w:val="00506136"/>
    <w:rsid w:val="0050659C"/>
    <w:rsid w:val="00507A1A"/>
    <w:rsid w:val="00511528"/>
    <w:rsid w:val="00512D8A"/>
    <w:rsid w:val="00512EE7"/>
    <w:rsid w:val="00513CE5"/>
    <w:rsid w:val="00513FC9"/>
    <w:rsid w:val="00515DAF"/>
    <w:rsid w:val="00516943"/>
    <w:rsid w:val="005174DB"/>
    <w:rsid w:val="00517A68"/>
    <w:rsid w:val="00517C60"/>
    <w:rsid w:val="0052026C"/>
    <w:rsid w:val="0052038A"/>
    <w:rsid w:val="005203DC"/>
    <w:rsid w:val="005204A4"/>
    <w:rsid w:val="00520C54"/>
    <w:rsid w:val="005212E5"/>
    <w:rsid w:val="00522085"/>
    <w:rsid w:val="0052269F"/>
    <w:rsid w:val="005231FD"/>
    <w:rsid w:val="00523436"/>
    <w:rsid w:val="00525180"/>
    <w:rsid w:val="00525F91"/>
    <w:rsid w:val="00526573"/>
    <w:rsid w:val="00527F4A"/>
    <w:rsid w:val="00533C93"/>
    <w:rsid w:val="00536BFF"/>
    <w:rsid w:val="00537AF9"/>
    <w:rsid w:val="00540324"/>
    <w:rsid w:val="005405A6"/>
    <w:rsid w:val="00540B15"/>
    <w:rsid w:val="005418A4"/>
    <w:rsid w:val="00542371"/>
    <w:rsid w:val="0054323E"/>
    <w:rsid w:val="0054354A"/>
    <w:rsid w:val="00544C41"/>
    <w:rsid w:val="0054561F"/>
    <w:rsid w:val="00545D0A"/>
    <w:rsid w:val="00545FCF"/>
    <w:rsid w:val="00550825"/>
    <w:rsid w:val="005512D1"/>
    <w:rsid w:val="00551B99"/>
    <w:rsid w:val="00552028"/>
    <w:rsid w:val="00552382"/>
    <w:rsid w:val="00552E90"/>
    <w:rsid w:val="005534E4"/>
    <w:rsid w:val="00553F58"/>
    <w:rsid w:val="00553FCE"/>
    <w:rsid w:val="005549F2"/>
    <w:rsid w:val="0055550B"/>
    <w:rsid w:val="0055573D"/>
    <w:rsid w:val="00556611"/>
    <w:rsid w:val="0055772C"/>
    <w:rsid w:val="00560241"/>
    <w:rsid w:val="00560442"/>
    <w:rsid w:val="005606D3"/>
    <w:rsid w:val="0056072C"/>
    <w:rsid w:val="00560982"/>
    <w:rsid w:val="00560B1B"/>
    <w:rsid w:val="00560B26"/>
    <w:rsid w:val="00560E0D"/>
    <w:rsid w:val="0056124A"/>
    <w:rsid w:val="00563FB4"/>
    <w:rsid w:val="0056500B"/>
    <w:rsid w:val="005652F1"/>
    <w:rsid w:val="0056542D"/>
    <w:rsid w:val="00565816"/>
    <w:rsid w:val="005660D9"/>
    <w:rsid w:val="00567385"/>
    <w:rsid w:val="00567660"/>
    <w:rsid w:val="00567727"/>
    <w:rsid w:val="005677D2"/>
    <w:rsid w:val="0057045D"/>
    <w:rsid w:val="00571060"/>
    <w:rsid w:val="00571102"/>
    <w:rsid w:val="00571505"/>
    <w:rsid w:val="00571DF3"/>
    <w:rsid w:val="00571F98"/>
    <w:rsid w:val="00573080"/>
    <w:rsid w:val="00574BE8"/>
    <w:rsid w:val="005750C3"/>
    <w:rsid w:val="005751EF"/>
    <w:rsid w:val="00575900"/>
    <w:rsid w:val="00576C88"/>
    <w:rsid w:val="00577130"/>
    <w:rsid w:val="005779E1"/>
    <w:rsid w:val="00577D82"/>
    <w:rsid w:val="00577DEE"/>
    <w:rsid w:val="00581373"/>
    <w:rsid w:val="005823D2"/>
    <w:rsid w:val="00582409"/>
    <w:rsid w:val="00582DB3"/>
    <w:rsid w:val="005833DF"/>
    <w:rsid w:val="00584CA8"/>
    <w:rsid w:val="005852F8"/>
    <w:rsid w:val="0058551B"/>
    <w:rsid w:val="00585549"/>
    <w:rsid w:val="00585A90"/>
    <w:rsid w:val="00586334"/>
    <w:rsid w:val="005877C3"/>
    <w:rsid w:val="00587C3D"/>
    <w:rsid w:val="00587DCA"/>
    <w:rsid w:val="00587F7A"/>
    <w:rsid w:val="0059014E"/>
    <w:rsid w:val="0059037D"/>
    <w:rsid w:val="00590663"/>
    <w:rsid w:val="005907EC"/>
    <w:rsid w:val="00590919"/>
    <w:rsid w:val="005911A3"/>
    <w:rsid w:val="0059148B"/>
    <w:rsid w:val="00593BEA"/>
    <w:rsid w:val="005947BF"/>
    <w:rsid w:val="00594B8D"/>
    <w:rsid w:val="00595246"/>
    <w:rsid w:val="00595BD3"/>
    <w:rsid w:val="005A226D"/>
    <w:rsid w:val="005A276C"/>
    <w:rsid w:val="005A315E"/>
    <w:rsid w:val="005A597E"/>
    <w:rsid w:val="005A7220"/>
    <w:rsid w:val="005A7282"/>
    <w:rsid w:val="005A7818"/>
    <w:rsid w:val="005B01C8"/>
    <w:rsid w:val="005B033E"/>
    <w:rsid w:val="005B2C19"/>
    <w:rsid w:val="005B2FD6"/>
    <w:rsid w:val="005B49FD"/>
    <w:rsid w:val="005B4F9E"/>
    <w:rsid w:val="005B513E"/>
    <w:rsid w:val="005B5F93"/>
    <w:rsid w:val="005B61C2"/>
    <w:rsid w:val="005B6235"/>
    <w:rsid w:val="005B69C1"/>
    <w:rsid w:val="005B6FD4"/>
    <w:rsid w:val="005C00CD"/>
    <w:rsid w:val="005C0134"/>
    <w:rsid w:val="005C092A"/>
    <w:rsid w:val="005C3D6C"/>
    <w:rsid w:val="005C4881"/>
    <w:rsid w:val="005C651C"/>
    <w:rsid w:val="005C6ADD"/>
    <w:rsid w:val="005C7A30"/>
    <w:rsid w:val="005C7DB3"/>
    <w:rsid w:val="005D09E7"/>
    <w:rsid w:val="005D2043"/>
    <w:rsid w:val="005D24C9"/>
    <w:rsid w:val="005D4602"/>
    <w:rsid w:val="005D5753"/>
    <w:rsid w:val="005D63B7"/>
    <w:rsid w:val="005D6F04"/>
    <w:rsid w:val="005D7115"/>
    <w:rsid w:val="005D7B2C"/>
    <w:rsid w:val="005E007A"/>
    <w:rsid w:val="005E0325"/>
    <w:rsid w:val="005E0E75"/>
    <w:rsid w:val="005E1961"/>
    <w:rsid w:val="005E1C9F"/>
    <w:rsid w:val="005E28CE"/>
    <w:rsid w:val="005E348C"/>
    <w:rsid w:val="005E49C2"/>
    <w:rsid w:val="005E50BC"/>
    <w:rsid w:val="005E5DE3"/>
    <w:rsid w:val="005E68E6"/>
    <w:rsid w:val="005F02AB"/>
    <w:rsid w:val="005F19F7"/>
    <w:rsid w:val="005F38C7"/>
    <w:rsid w:val="005F43D9"/>
    <w:rsid w:val="005F4845"/>
    <w:rsid w:val="005F5FE4"/>
    <w:rsid w:val="005F6FB4"/>
    <w:rsid w:val="005F706C"/>
    <w:rsid w:val="005F79D8"/>
    <w:rsid w:val="00601056"/>
    <w:rsid w:val="0060154B"/>
    <w:rsid w:val="0060298F"/>
    <w:rsid w:val="00602EA7"/>
    <w:rsid w:val="006037EE"/>
    <w:rsid w:val="006040DC"/>
    <w:rsid w:val="00605E18"/>
    <w:rsid w:val="00606576"/>
    <w:rsid w:val="0061000E"/>
    <w:rsid w:val="006111D6"/>
    <w:rsid w:val="00612A73"/>
    <w:rsid w:val="00612FFA"/>
    <w:rsid w:val="00613D3B"/>
    <w:rsid w:val="00616C8F"/>
    <w:rsid w:val="0061741B"/>
    <w:rsid w:val="006174BD"/>
    <w:rsid w:val="00617F47"/>
    <w:rsid w:val="00621504"/>
    <w:rsid w:val="00621791"/>
    <w:rsid w:val="00622203"/>
    <w:rsid w:val="006228D4"/>
    <w:rsid w:val="0062351F"/>
    <w:rsid w:val="00623C71"/>
    <w:rsid w:val="00625554"/>
    <w:rsid w:val="00625E3A"/>
    <w:rsid w:val="006260FF"/>
    <w:rsid w:val="006268B2"/>
    <w:rsid w:val="0062695C"/>
    <w:rsid w:val="00627275"/>
    <w:rsid w:val="0063029E"/>
    <w:rsid w:val="0063083F"/>
    <w:rsid w:val="0063146E"/>
    <w:rsid w:val="006319AC"/>
    <w:rsid w:val="00631EE7"/>
    <w:rsid w:val="00631FFB"/>
    <w:rsid w:val="00632846"/>
    <w:rsid w:val="006329D7"/>
    <w:rsid w:val="006344A8"/>
    <w:rsid w:val="006359FE"/>
    <w:rsid w:val="00635EB8"/>
    <w:rsid w:val="00636446"/>
    <w:rsid w:val="006369EF"/>
    <w:rsid w:val="0063731B"/>
    <w:rsid w:val="0064132A"/>
    <w:rsid w:val="0064217A"/>
    <w:rsid w:val="006427D7"/>
    <w:rsid w:val="00643503"/>
    <w:rsid w:val="00643899"/>
    <w:rsid w:val="006450D1"/>
    <w:rsid w:val="006454C6"/>
    <w:rsid w:val="006456A7"/>
    <w:rsid w:val="006458B4"/>
    <w:rsid w:val="00646874"/>
    <w:rsid w:val="0064726F"/>
    <w:rsid w:val="00650098"/>
    <w:rsid w:val="006500C8"/>
    <w:rsid w:val="00650A6A"/>
    <w:rsid w:val="00650F9A"/>
    <w:rsid w:val="00650FEA"/>
    <w:rsid w:val="0065106F"/>
    <w:rsid w:val="0065107D"/>
    <w:rsid w:val="00651450"/>
    <w:rsid w:val="006518E3"/>
    <w:rsid w:val="00651EED"/>
    <w:rsid w:val="00652E51"/>
    <w:rsid w:val="00654D48"/>
    <w:rsid w:val="00654EFC"/>
    <w:rsid w:val="00657E2F"/>
    <w:rsid w:val="00660BC6"/>
    <w:rsid w:val="00661395"/>
    <w:rsid w:val="0066154C"/>
    <w:rsid w:val="00661CB8"/>
    <w:rsid w:val="006635F1"/>
    <w:rsid w:val="00664CAD"/>
    <w:rsid w:val="00665263"/>
    <w:rsid w:val="00665B75"/>
    <w:rsid w:val="00665C91"/>
    <w:rsid w:val="00666F47"/>
    <w:rsid w:val="0067044B"/>
    <w:rsid w:val="00673B68"/>
    <w:rsid w:val="006749EA"/>
    <w:rsid w:val="00674B42"/>
    <w:rsid w:val="006755DE"/>
    <w:rsid w:val="00675C7F"/>
    <w:rsid w:val="00675E39"/>
    <w:rsid w:val="0067672F"/>
    <w:rsid w:val="006772DE"/>
    <w:rsid w:val="00677D59"/>
    <w:rsid w:val="00677F11"/>
    <w:rsid w:val="00680183"/>
    <w:rsid w:val="006827F9"/>
    <w:rsid w:val="0068508F"/>
    <w:rsid w:val="00685310"/>
    <w:rsid w:val="006853DC"/>
    <w:rsid w:val="006857E4"/>
    <w:rsid w:val="00685AFD"/>
    <w:rsid w:val="006868AC"/>
    <w:rsid w:val="00687D72"/>
    <w:rsid w:val="0069104B"/>
    <w:rsid w:val="00691082"/>
    <w:rsid w:val="0069467B"/>
    <w:rsid w:val="0069629F"/>
    <w:rsid w:val="006A00F7"/>
    <w:rsid w:val="006A04CC"/>
    <w:rsid w:val="006A1551"/>
    <w:rsid w:val="006A2468"/>
    <w:rsid w:val="006A4E33"/>
    <w:rsid w:val="006A55DD"/>
    <w:rsid w:val="006A5640"/>
    <w:rsid w:val="006A6075"/>
    <w:rsid w:val="006A6F1D"/>
    <w:rsid w:val="006B0A31"/>
    <w:rsid w:val="006B0FFE"/>
    <w:rsid w:val="006B13AF"/>
    <w:rsid w:val="006B2820"/>
    <w:rsid w:val="006B2A3F"/>
    <w:rsid w:val="006B2F48"/>
    <w:rsid w:val="006B3062"/>
    <w:rsid w:val="006B3647"/>
    <w:rsid w:val="006B3B3B"/>
    <w:rsid w:val="006B4259"/>
    <w:rsid w:val="006B5057"/>
    <w:rsid w:val="006B556A"/>
    <w:rsid w:val="006C087B"/>
    <w:rsid w:val="006C15D9"/>
    <w:rsid w:val="006C2D60"/>
    <w:rsid w:val="006C3FDB"/>
    <w:rsid w:val="006C4CFA"/>
    <w:rsid w:val="006C5834"/>
    <w:rsid w:val="006C622A"/>
    <w:rsid w:val="006D226E"/>
    <w:rsid w:val="006D421B"/>
    <w:rsid w:val="006D50BE"/>
    <w:rsid w:val="006D55AA"/>
    <w:rsid w:val="006D5E89"/>
    <w:rsid w:val="006D5EBF"/>
    <w:rsid w:val="006D64AB"/>
    <w:rsid w:val="006D6ABC"/>
    <w:rsid w:val="006D7789"/>
    <w:rsid w:val="006D7CE5"/>
    <w:rsid w:val="006D7F87"/>
    <w:rsid w:val="006E094B"/>
    <w:rsid w:val="006E11DF"/>
    <w:rsid w:val="006E1878"/>
    <w:rsid w:val="006E22A4"/>
    <w:rsid w:val="006E2443"/>
    <w:rsid w:val="006E3382"/>
    <w:rsid w:val="006E5800"/>
    <w:rsid w:val="006E5F50"/>
    <w:rsid w:val="006E6BAF"/>
    <w:rsid w:val="006E6EB9"/>
    <w:rsid w:val="006E6EE3"/>
    <w:rsid w:val="006E6FFB"/>
    <w:rsid w:val="006E7A51"/>
    <w:rsid w:val="006F0808"/>
    <w:rsid w:val="006F08F1"/>
    <w:rsid w:val="006F1369"/>
    <w:rsid w:val="006F2298"/>
    <w:rsid w:val="006F2912"/>
    <w:rsid w:val="006F31FF"/>
    <w:rsid w:val="006F3571"/>
    <w:rsid w:val="006F360F"/>
    <w:rsid w:val="006F3C1F"/>
    <w:rsid w:val="006F3F04"/>
    <w:rsid w:val="006F4190"/>
    <w:rsid w:val="006F5D59"/>
    <w:rsid w:val="006F6787"/>
    <w:rsid w:val="006F6F15"/>
    <w:rsid w:val="006F7072"/>
    <w:rsid w:val="006F70CE"/>
    <w:rsid w:val="006F74C9"/>
    <w:rsid w:val="0070142F"/>
    <w:rsid w:val="007025EB"/>
    <w:rsid w:val="00702A5B"/>
    <w:rsid w:val="00703076"/>
    <w:rsid w:val="007056D7"/>
    <w:rsid w:val="00705705"/>
    <w:rsid w:val="00705BF3"/>
    <w:rsid w:val="00707650"/>
    <w:rsid w:val="0070774F"/>
    <w:rsid w:val="00707968"/>
    <w:rsid w:val="007107E0"/>
    <w:rsid w:val="0071083B"/>
    <w:rsid w:val="00711395"/>
    <w:rsid w:val="007113E9"/>
    <w:rsid w:val="00712BC9"/>
    <w:rsid w:val="00712BEC"/>
    <w:rsid w:val="00712DA6"/>
    <w:rsid w:val="00712DE5"/>
    <w:rsid w:val="007139EA"/>
    <w:rsid w:val="0071441F"/>
    <w:rsid w:val="007158EA"/>
    <w:rsid w:val="00716E2E"/>
    <w:rsid w:val="00717F51"/>
    <w:rsid w:val="007200C2"/>
    <w:rsid w:val="007202DA"/>
    <w:rsid w:val="007203B4"/>
    <w:rsid w:val="007234A3"/>
    <w:rsid w:val="00723880"/>
    <w:rsid w:val="007244ED"/>
    <w:rsid w:val="007264C6"/>
    <w:rsid w:val="007265F7"/>
    <w:rsid w:val="00726D84"/>
    <w:rsid w:val="00726DF9"/>
    <w:rsid w:val="00726ED5"/>
    <w:rsid w:val="00730C84"/>
    <w:rsid w:val="00730D10"/>
    <w:rsid w:val="00731B58"/>
    <w:rsid w:val="0073270F"/>
    <w:rsid w:val="007361CF"/>
    <w:rsid w:val="00737144"/>
    <w:rsid w:val="0073752F"/>
    <w:rsid w:val="0073782D"/>
    <w:rsid w:val="00742282"/>
    <w:rsid w:val="0074263F"/>
    <w:rsid w:val="00744B4B"/>
    <w:rsid w:val="00745D08"/>
    <w:rsid w:val="007462A2"/>
    <w:rsid w:val="00746A4D"/>
    <w:rsid w:val="007511D8"/>
    <w:rsid w:val="0075260E"/>
    <w:rsid w:val="0075318D"/>
    <w:rsid w:val="0075319F"/>
    <w:rsid w:val="007534B8"/>
    <w:rsid w:val="007536E5"/>
    <w:rsid w:val="00753CB3"/>
    <w:rsid w:val="0075451F"/>
    <w:rsid w:val="007554D9"/>
    <w:rsid w:val="00755E9E"/>
    <w:rsid w:val="00757EF5"/>
    <w:rsid w:val="00760EB8"/>
    <w:rsid w:val="007611AF"/>
    <w:rsid w:val="007612A9"/>
    <w:rsid w:val="00763BB2"/>
    <w:rsid w:val="0076563A"/>
    <w:rsid w:val="00765877"/>
    <w:rsid w:val="00765A11"/>
    <w:rsid w:val="00766257"/>
    <w:rsid w:val="007670FB"/>
    <w:rsid w:val="007679A8"/>
    <w:rsid w:val="00767E65"/>
    <w:rsid w:val="007709D3"/>
    <w:rsid w:val="00771843"/>
    <w:rsid w:val="00773AC7"/>
    <w:rsid w:val="00773DFF"/>
    <w:rsid w:val="00773F5E"/>
    <w:rsid w:val="007745B9"/>
    <w:rsid w:val="00774EED"/>
    <w:rsid w:val="007755F2"/>
    <w:rsid w:val="00775841"/>
    <w:rsid w:val="0077765B"/>
    <w:rsid w:val="00777785"/>
    <w:rsid w:val="00777ADF"/>
    <w:rsid w:val="00780888"/>
    <w:rsid w:val="0078098F"/>
    <w:rsid w:val="00780B67"/>
    <w:rsid w:val="00781381"/>
    <w:rsid w:val="00781AC4"/>
    <w:rsid w:val="00781B0B"/>
    <w:rsid w:val="007825D7"/>
    <w:rsid w:val="00783155"/>
    <w:rsid w:val="00783E6B"/>
    <w:rsid w:val="00785150"/>
    <w:rsid w:val="0078525E"/>
    <w:rsid w:val="00785DF6"/>
    <w:rsid w:val="00786217"/>
    <w:rsid w:val="007863DB"/>
    <w:rsid w:val="007871D0"/>
    <w:rsid w:val="00792185"/>
    <w:rsid w:val="0079275B"/>
    <w:rsid w:val="007929B1"/>
    <w:rsid w:val="00792D96"/>
    <w:rsid w:val="00793727"/>
    <w:rsid w:val="00793816"/>
    <w:rsid w:val="00793A16"/>
    <w:rsid w:val="00793C2E"/>
    <w:rsid w:val="00793F00"/>
    <w:rsid w:val="00794565"/>
    <w:rsid w:val="0079468B"/>
    <w:rsid w:val="00795157"/>
    <w:rsid w:val="00795350"/>
    <w:rsid w:val="00795B49"/>
    <w:rsid w:val="00795CB6"/>
    <w:rsid w:val="007A0363"/>
    <w:rsid w:val="007A0D5C"/>
    <w:rsid w:val="007A196D"/>
    <w:rsid w:val="007A21C0"/>
    <w:rsid w:val="007A21FA"/>
    <w:rsid w:val="007A2550"/>
    <w:rsid w:val="007A2AEC"/>
    <w:rsid w:val="007A2BB1"/>
    <w:rsid w:val="007A3CA4"/>
    <w:rsid w:val="007A4147"/>
    <w:rsid w:val="007A4840"/>
    <w:rsid w:val="007A4C11"/>
    <w:rsid w:val="007A52A9"/>
    <w:rsid w:val="007A6364"/>
    <w:rsid w:val="007A7177"/>
    <w:rsid w:val="007A7C1A"/>
    <w:rsid w:val="007B002A"/>
    <w:rsid w:val="007B01C7"/>
    <w:rsid w:val="007B0580"/>
    <w:rsid w:val="007B05D1"/>
    <w:rsid w:val="007B2433"/>
    <w:rsid w:val="007B2C65"/>
    <w:rsid w:val="007B2F19"/>
    <w:rsid w:val="007B40A9"/>
    <w:rsid w:val="007B6BD0"/>
    <w:rsid w:val="007B7436"/>
    <w:rsid w:val="007B7CE2"/>
    <w:rsid w:val="007C017C"/>
    <w:rsid w:val="007C02D1"/>
    <w:rsid w:val="007C048D"/>
    <w:rsid w:val="007C09D4"/>
    <w:rsid w:val="007C0B3D"/>
    <w:rsid w:val="007C0CBC"/>
    <w:rsid w:val="007C0CFD"/>
    <w:rsid w:val="007C108B"/>
    <w:rsid w:val="007C1178"/>
    <w:rsid w:val="007C176A"/>
    <w:rsid w:val="007C1A38"/>
    <w:rsid w:val="007C28D5"/>
    <w:rsid w:val="007C3228"/>
    <w:rsid w:val="007C4F57"/>
    <w:rsid w:val="007C595D"/>
    <w:rsid w:val="007C6355"/>
    <w:rsid w:val="007C6486"/>
    <w:rsid w:val="007C6B77"/>
    <w:rsid w:val="007C6E9D"/>
    <w:rsid w:val="007C7384"/>
    <w:rsid w:val="007C767C"/>
    <w:rsid w:val="007D075F"/>
    <w:rsid w:val="007D091F"/>
    <w:rsid w:val="007D09DA"/>
    <w:rsid w:val="007D0B3E"/>
    <w:rsid w:val="007D2D7C"/>
    <w:rsid w:val="007D2DAC"/>
    <w:rsid w:val="007D33A5"/>
    <w:rsid w:val="007D3AC1"/>
    <w:rsid w:val="007D4DF1"/>
    <w:rsid w:val="007D59F2"/>
    <w:rsid w:val="007D64C9"/>
    <w:rsid w:val="007D6826"/>
    <w:rsid w:val="007D6D95"/>
    <w:rsid w:val="007D7C19"/>
    <w:rsid w:val="007D7FE0"/>
    <w:rsid w:val="007E142C"/>
    <w:rsid w:val="007E1552"/>
    <w:rsid w:val="007E1E86"/>
    <w:rsid w:val="007E225A"/>
    <w:rsid w:val="007E23C9"/>
    <w:rsid w:val="007E283E"/>
    <w:rsid w:val="007E2871"/>
    <w:rsid w:val="007E3496"/>
    <w:rsid w:val="007E39DB"/>
    <w:rsid w:val="007E4718"/>
    <w:rsid w:val="007E5EE7"/>
    <w:rsid w:val="007E632D"/>
    <w:rsid w:val="007E68F8"/>
    <w:rsid w:val="007E764C"/>
    <w:rsid w:val="007E782B"/>
    <w:rsid w:val="007F02F6"/>
    <w:rsid w:val="007F0529"/>
    <w:rsid w:val="007F1FB5"/>
    <w:rsid w:val="007F65E4"/>
    <w:rsid w:val="007F67D0"/>
    <w:rsid w:val="007F71A4"/>
    <w:rsid w:val="007F7A28"/>
    <w:rsid w:val="007F7D24"/>
    <w:rsid w:val="008014AB"/>
    <w:rsid w:val="008020F9"/>
    <w:rsid w:val="008022B2"/>
    <w:rsid w:val="0080298F"/>
    <w:rsid w:val="00803B1B"/>
    <w:rsid w:val="0080591C"/>
    <w:rsid w:val="008059F1"/>
    <w:rsid w:val="00805B9E"/>
    <w:rsid w:val="00805F8B"/>
    <w:rsid w:val="0080692D"/>
    <w:rsid w:val="00806B0B"/>
    <w:rsid w:val="00806B59"/>
    <w:rsid w:val="00807380"/>
    <w:rsid w:val="00807CD9"/>
    <w:rsid w:val="00810007"/>
    <w:rsid w:val="00810787"/>
    <w:rsid w:val="00811710"/>
    <w:rsid w:val="00812835"/>
    <w:rsid w:val="00813974"/>
    <w:rsid w:val="00815A1F"/>
    <w:rsid w:val="00815FE7"/>
    <w:rsid w:val="0081635E"/>
    <w:rsid w:val="0081649A"/>
    <w:rsid w:val="0081697E"/>
    <w:rsid w:val="00816B27"/>
    <w:rsid w:val="008179CC"/>
    <w:rsid w:val="008211B2"/>
    <w:rsid w:val="00821866"/>
    <w:rsid w:val="00821EFF"/>
    <w:rsid w:val="00822E8E"/>
    <w:rsid w:val="00824506"/>
    <w:rsid w:val="008247AD"/>
    <w:rsid w:val="008253C1"/>
    <w:rsid w:val="008257F8"/>
    <w:rsid w:val="008264E0"/>
    <w:rsid w:val="0082650B"/>
    <w:rsid w:val="0082691F"/>
    <w:rsid w:val="00827E8E"/>
    <w:rsid w:val="00830602"/>
    <w:rsid w:val="00830B56"/>
    <w:rsid w:val="0083196F"/>
    <w:rsid w:val="00833EC4"/>
    <w:rsid w:val="0083436E"/>
    <w:rsid w:val="00834CDE"/>
    <w:rsid w:val="008357E9"/>
    <w:rsid w:val="00835B2E"/>
    <w:rsid w:val="0083684E"/>
    <w:rsid w:val="00840EDB"/>
    <w:rsid w:val="00841372"/>
    <w:rsid w:val="00841529"/>
    <w:rsid w:val="0084205A"/>
    <w:rsid w:val="008422E6"/>
    <w:rsid w:val="00842D43"/>
    <w:rsid w:val="008439A8"/>
    <w:rsid w:val="00843A49"/>
    <w:rsid w:val="00843AA8"/>
    <w:rsid w:val="00844D86"/>
    <w:rsid w:val="0084603C"/>
    <w:rsid w:val="0084622B"/>
    <w:rsid w:val="0084644F"/>
    <w:rsid w:val="0084661F"/>
    <w:rsid w:val="00851290"/>
    <w:rsid w:val="008514BE"/>
    <w:rsid w:val="00851F9D"/>
    <w:rsid w:val="00852C52"/>
    <w:rsid w:val="008547D7"/>
    <w:rsid w:val="0085511E"/>
    <w:rsid w:val="00855513"/>
    <w:rsid w:val="008606F0"/>
    <w:rsid w:val="00860AF6"/>
    <w:rsid w:val="00860EBC"/>
    <w:rsid w:val="00861695"/>
    <w:rsid w:val="008616F7"/>
    <w:rsid w:val="008638AF"/>
    <w:rsid w:val="00863C0B"/>
    <w:rsid w:val="00863EC5"/>
    <w:rsid w:val="00865874"/>
    <w:rsid w:val="00866B84"/>
    <w:rsid w:val="008673D0"/>
    <w:rsid w:val="00870F56"/>
    <w:rsid w:val="00871235"/>
    <w:rsid w:val="00871A8F"/>
    <w:rsid w:val="00872A64"/>
    <w:rsid w:val="00872B29"/>
    <w:rsid w:val="00872D10"/>
    <w:rsid w:val="00872F08"/>
    <w:rsid w:val="00873596"/>
    <w:rsid w:val="00874D42"/>
    <w:rsid w:val="00875087"/>
    <w:rsid w:val="00875EDC"/>
    <w:rsid w:val="00877109"/>
    <w:rsid w:val="00877723"/>
    <w:rsid w:val="008820AB"/>
    <w:rsid w:val="00882118"/>
    <w:rsid w:val="00882C9C"/>
    <w:rsid w:val="008855CB"/>
    <w:rsid w:val="008858FE"/>
    <w:rsid w:val="0088700A"/>
    <w:rsid w:val="00887806"/>
    <w:rsid w:val="00887E68"/>
    <w:rsid w:val="00887ED7"/>
    <w:rsid w:val="008904FC"/>
    <w:rsid w:val="00890A5A"/>
    <w:rsid w:val="00891690"/>
    <w:rsid w:val="008918C6"/>
    <w:rsid w:val="00891D97"/>
    <w:rsid w:val="00891F64"/>
    <w:rsid w:val="0089213B"/>
    <w:rsid w:val="00893B4D"/>
    <w:rsid w:val="00893CE8"/>
    <w:rsid w:val="00893EAE"/>
    <w:rsid w:val="008949A1"/>
    <w:rsid w:val="00895839"/>
    <w:rsid w:val="0089658B"/>
    <w:rsid w:val="008973FE"/>
    <w:rsid w:val="008974EF"/>
    <w:rsid w:val="008976BA"/>
    <w:rsid w:val="00897AA8"/>
    <w:rsid w:val="008A0492"/>
    <w:rsid w:val="008A0649"/>
    <w:rsid w:val="008A0861"/>
    <w:rsid w:val="008A1355"/>
    <w:rsid w:val="008A1B20"/>
    <w:rsid w:val="008A2CB1"/>
    <w:rsid w:val="008A321B"/>
    <w:rsid w:val="008A3831"/>
    <w:rsid w:val="008A3FF6"/>
    <w:rsid w:val="008A508E"/>
    <w:rsid w:val="008A55C9"/>
    <w:rsid w:val="008A56A2"/>
    <w:rsid w:val="008A66FE"/>
    <w:rsid w:val="008A6752"/>
    <w:rsid w:val="008B089D"/>
    <w:rsid w:val="008B1037"/>
    <w:rsid w:val="008B12A4"/>
    <w:rsid w:val="008B1A86"/>
    <w:rsid w:val="008B2407"/>
    <w:rsid w:val="008B2BF8"/>
    <w:rsid w:val="008B2EA7"/>
    <w:rsid w:val="008B4543"/>
    <w:rsid w:val="008B45F4"/>
    <w:rsid w:val="008B483F"/>
    <w:rsid w:val="008B57ED"/>
    <w:rsid w:val="008B70E9"/>
    <w:rsid w:val="008B7E5D"/>
    <w:rsid w:val="008C0C9D"/>
    <w:rsid w:val="008C28D6"/>
    <w:rsid w:val="008C37EA"/>
    <w:rsid w:val="008C408B"/>
    <w:rsid w:val="008C49DA"/>
    <w:rsid w:val="008C4D7F"/>
    <w:rsid w:val="008C51BB"/>
    <w:rsid w:val="008C5C18"/>
    <w:rsid w:val="008C5DC7"/>
    <w:rsid w:val="008C6C35"/>
    <w:rsid w:val="008C776E"/>
    <w:rsid w:val="008D03A9"/>
    <w:rsid w:val="008D1234"/>
    <w:rsid w:val="008D2AF7"/>
    <w:rsid w:val="008D45A8"/>
    <w:rsid w:val="008D45C3"/>
    <w:rsid w:val="008D46C8"/>
    <w:rsid w:val="008D4D0B"/>
    <w:rsid w:val="008D5CBD"/>
    <w:rsid w:val="008D6120"/>
    <w:rsid w:val="008D67BF"/>
    <w:rsid w:val="008D6A64"/>
    <w:rsid w:val="008E0234"/>
    <w:rsid w:val="008E058C"/>
    <w:rsid w:val="008E060E"/>
    <w:rsid w:val="008E0C7A"/>
    <w:rsid w:val="008E135A"/>
    <w:rsid w:val="008E23EF"/>
    <w:rsid w:val="008E3CA2"/>
    <w:rsid w:val="008E4165"/>
    <w:rsid w:val="008E4704"/>
    <w:rsid w:val="008E6631"/>
    <w:rsid w:val="008E6F7D"/>
    <w:rsid w:val="008F103C"/>
    <w:rsid w:val="008F1C30"/>
    <w:rsid w:val="008F337A"/>
    <w:rsid w:val="008F4031"/>
    <w:rsid w:val="008F4FB4"/>
    <w:rsid w:val="008F6AF9"/>
    <w:rsid w:val="008F6B78"/>
    <w:rsid w:val="008F7540"/>
    <w:rsid w:val="008F7B9F"/>
    <w:rsid w:val="008F7FDD"/>
    <w:rsid w:val="00900220"/>
    <w:rsid w:val="00901442"/>
    <w:rsid w:val="009016CD"/>
    <w:rsid w:val="00901EA4"/>
    <w:rsid w:val="00902593"/>
    <w:rsid w:val="00902EA4"/>
    <w:rsid w:val="0090396A"/>
    <w:rsid w:val="009045A2"/>
    <w:rsid w:val="00904786"/>
    <w:rsid w:val="009078BB"/>
    <w:rsid w:val="00910C99"/>
    <w:rsid w:val="009111A4"/>
    <w:rsid w:val="00911615"/>
    <w:rsid w:val="00911742"/>
    <w:rsid w:val="0091258E"/>
    <w:rsid w:val="009127AF"/>
    <w:rsid w:val="00912F9E"/>
    <w:rsid w:val="00913EA9"/>
    <w:rsid w:val="009142EB"/>
    <w:rsid w:val="0091474F"/>
    <w:rsid w:val="00915012"/>
    <w:rsid w:val="00916EDC"/>
    <w:rsid w:val="00917375"/>
    <w:rsid w:val="00920774"/>
    <w:rsid w:val="0092183D"/>
    <w:rsid w:val="00921881"/>
    <w:rsid w:val="00922117"/>
    <w:rsid w:val="009224BD"/>
    <w:rsid w:val="00923485"/>
    <w:rsid w:val="00923614"/>
    <w:rsid w:val="00923984"/>
    <w:rsid w:val="009242B5"/>
    <w:rsid w:val="0092514F"/>
    <w:rsid w:val="00925C46"/>
    <w:rsid w:val="00926934"/>
    <w:rsid w:val="00927F5A"/>
    <w:rsid w:val="00931A52"/>
    <w:rsid w:val="009329B8"/>
    <w:rsid w:val="009332F0"/>
    <w:rsid w:val="00933368"/>
    <w:rsid w:val="0093448D"/>
    <w:rsid w:val="00934492"/>
    <w:rsid w:val="0093467A"/>
    <w:rsid w:val="0093489C"/>
    <w:rsid w:val="0093577D"/>
    <w:rsid w:val="009362F7"/>
    <w:rsid w:val="0093723D"/>
    <w:rsid w:val="00940BB1"/>
    <w:rsid w:val="00940DFB"/>
    <w:rsid w:val="00941250"/>
    <w:rsid w:val="009419C9"/>
    <w:rsid w:val="0094273B"/>
    <w:rsid w:val="00942BB4"/>
    <w:rsid w:val="00944517"/>
    <w:rsid w:val="00944765"/>
    <w:rsid w:val="0094486E"/>
    <w:rsid w:val="0094542B"/>
    <w:rsid w:val="009457F5"/>
    <w:rsid w:val="009457FA"/>
    <w:rsid w:val="00945DE0"/>
    <w:rsid w:val="00947626"/>
    <w:rsid w:val="009479E2"/>
    <w:rsid w:val="00947BBB"/>
    <w:rsid w:val="009527EC"/>
    <w:rsid w:val="00954AD0"/>
    <w:rsid w:val="00954B56"/>
    <w:rsid w:val="00954C06"/>
    <w:rsid w:val="00955264"/>
    <w:rsid w:val="00956F62"/>
    <w:rsid w:val="00957A08"/>
    <w:rsid w:val="00957D31"/>
    <w:rsid w:val="00961F2F"/>
    <w:rsid w:val="0096230A"/>
    <w:rsid w:val="00962361"/>
    <w:rsid w:val="009627C3"/>
    <w:rsid w:val="00962FF8"/>
    <w:rsid w:val="00963FDD"/>
    <w:rsid w:val="00964249"/>
    <w:rsid w:val="00964B64"/>
    <w:rsid w:val="00965438"/>
    <w:rsid w:val="00965FD5"/>
    <w:rsid w:val="00966178"/>
    <w:rsid w:val="00967D69"/>
    <w:rsid w:val="0097049B"/>
    <w:rsid w:val="009714E1"/>
    <w:rsid w:val="00971716"/>
    <w:rsid w:val="00971976"/>
    <w:rsid w:val="00971FBD"/>
    <w:rsid w:val="00973748"/>
    <w:rsid w:val="00974108"/>
    <w:rsid w:val="009748BA"/>
    <w:rsid w:val="00974B6F"/>
    <w:rsid w:val="00974D03"/>
    <w:rsid w:val="009814DF"/>
    <w:rsid w:val="00981C9A"/>
    <w:rsid w:val="00981CCF"/>
    <w:rsid w:val="0098272B"/>
    <w:rsid w:val="009827D6"/>
    <w:rsid w:val="00983040"/>
    <w:rsid w:val="009848BC"/>
    <w:rsid w:val="00984FE4"/>
    <w:rsid w:val="00985020"/>
    <w:rsid w:val="00993712"/>
    <w:rsid w:val="00996106"/>
    <w:rsid w:val="00997316"/>
    <w:rsid w:val="00997EEE"/>
    <w:rsid w:val="009A00D3"/>
    <w:rsid w:val="009A04E8"/>
    <w:rsid w:val="009A124B"/>
    <w:rsid w:val="009A147E"/>
    <w:rsid w:val="009A1D0F"/>
    <w:rsid w:val="009A201F"/>
    <w:rsid w:val="009A26E8"/>
    <w:rsid w:val="009A2783"/>
    <w:rsid w:val="009A2D8F"/>
    <w:rsid w:val="009A3218"/>
    <w:rsid w:val="009A3ED8"/>
    <w:rsid w:val="009A4680"/>
    <w:rsid w:val="009A5305"/>
    <w:rsid w:val="009A548A"/>
    <w:rsid w:val="009A54E2"/>
    <w:rsid w:val="009A59CE"/>
    <w:rsid w:val="009A6AEF"/>
    <w:rsid w:val="009A6DFB"/>
    <w:rsid w:val="009A7530"/>
    <w:rsid w:val="009A7879"/>
    <w:rsid w:val="009A7AD9"/>
    <w:rsid w:val="009A7F84"/>
    <w:rsid w:val="009B064A"/>
    <w:rsid w:val="009B0BF0"/>
    <w:rsid w:val="009B1F8F"/>
    <w:rsid w:val="009B22E7"/>
    <w:rsid w:val="009B2F2D"/>
    <w:rsid w:val="009B310F"/>
    <w:rsid w:val="009B6AC9"/>
    <w:rsid w:val="009B704A"/>
    <w:rsid w:val="009B7C4D"/>
    <w:rsid w:val="009B7E06"/>
    <w:rsid w:val="009C09F0"/>
    <w:rsid w:val="009C182B"/>
    <w:rsid w:val="009C1A66"/>
    <w:rsid w:val="009C2BE0"/>
    <w:rsid w:val="009C2C17"/>
    <w:rsid w:val="009C3315"/>
    <w:rsid w:val="009C4A9E"/>
    <w:rsid w:val="009C5617"/>
    <w:rsid w:val="009C58E9"/>
    <w:rsid w:val="009C5B64"/>
    <w:rsid w:val="009C68F7"/>
    <w:rsid w:val="009C6C23"/>
    <w:rsid w:val="009C6FDB"/>
    <w:rsid w:val="009C6FE5"/>
    <w:rsid w:val="009C7C75"/>
    <w:rsid w:val="009D07A4"/>
    <w:rsid w:val="009D1BE4"/>
    <w:rsid w:val="009D2006"/>
    <w:rsid w:val="009D2D02"/>
    <w:rsid w:val="009D404F"/>
    <w:rsid w:val="009D4440"/>
    <w:rsid w:val="009D50D8"/>
    <w:rsid w:val="009D5B26"/>
    <w:rsid w:val="009D617F"/>
    <w:rsid w:val="009D73C6"/>
    <w:rsid w:val="009D7504"/>
    <w:rsid w:val="009E0002"/>
    <w:rsid w:val="009E01F4"/>
    <w:rsid w:val="009E164A"/>
    <w:rsid w:val="009E3737"/>
    <w:rsid w:val="009E3F18"/>
    <w:rsid w:val="009E44CC"/>
    <w:rsid w:val="009E52F5"/>
    <w:rsid w:val="009E5422"/>
    <w:rsid w:val="009E5E30"/>
    <w:rsid w:val="009E6002"/>
    <w:rsid w:val="009E61BA"/>
    <w:rsid w:val="009E62AD"/>
    <w:rsid w:val="009E7699"/>
    <w:rsid w:val="009F0168"/>
    <w:rsid w:val="009F04C2"/>
    <w:rsid w:val="009F060C"/>
    <w:rsid w:val="009F0D05"/>
    <w:rsid w:val="009F3871"/>
    <w:rsid w:val="009F48AC"/>
    <w:rsid w:val="009F511B"/>
    <w:rsid w:val="009F57DF"/>
    <w:rsid w:val="009F5B20"/>
    <w:rsid w:val="009F5DA0"/>
    <w:rsid w:val="009F6BC8"/>
    <w:rsid w:val="009F6DB7"/>
    <w:rsid w:val="00A004DF"/>
    <w:rsid w:val="00A00820"/>
    <w:rsid w:val="00A00BFD"/>
    <w:rsid w:val="00A00E1C"/>
    <w:rsid w:val="00A01DCB"/>
    <w:rsid w:val="00A0250A"/>
    <w:rsid w:val="00A02575"/>
    <w:rsid w:val="00A0692E"/>
    <w:rsid w:val="00A076F5"/>
    <w:rsid w:val="00A077D7"/>
    <w:rsid w:val="00A1043C"/>
    <w:rsid w:val="00A11476"/>
    <w:rsid w:val="00A133E2"/>
    <w:rsid w:val="00A13C5D"/>
    <w:rsid w:val="00A1513B"/>
    <w:rsid w:val="00A15BFB"/>
    <w:rsid w:val="00A160C5"/>
    <w:rsid w:val="00A1623B"/>
    <w:rsid w:val="00A17946"/>
    <w:rsid w:val="00A17EF5"/>
    <w:rsid w:val="00A2030A"/>
    <w:rsid w:val="00A20681"/>
    <w:rsid w:val="00A20821"/>
    <w:rsid w:val="00A214EB"/>
    <w:rsid w:val="00A215D6"/>
    <w:rsid w:val="00A21802"/>
    <w:rsid w:val="00A223C2"/>
    <w:rsid w:val="00A23CF5"/>
    <w:rsid w:val="00A25327"/>
    <w:rsid w:val="00A253D9"/>
    <w:rsid w:val="00A262CA"/>
    <w:rsid w:val="00A265A9"/>
    <w:rsid w:val="00A276A0"/>
    <w:rsid w:val="00A27888"/>
    <w:rsid w:val="00A3017C"/>
    <w:rsid w:val="00A30DD3"/>
    <w:rsid w:val="00A31155"/>
    <w:rsid w:val="00A31E16"/>
    <w:rsid w:val="00A31F76"/>
    <w:rsid w:val="00A322AE"/>
    <w:rsid w:val="00A32934"/>
    <w:rsid w:val="00A329A4"/>
    <w:rsid w:val="00A335E0"/>
    <w:rsid w:val="00A33A1A"/>
    <w:rsid w:val="00A345E2"/>
    <w:rsid w:val="00A350C6"/>
    <w:rsid w:val="00A3656B"/>
    <w:rsid w:val="00A36A3D"/>
    <w:rsid w:val="00A37A07"/>
    <w:rsid w:val="00A40124"/>
    <w:rsid w:val="00A4136B"/>
    <w:rsid w:val="00A415D3"/>
    <w:rsid w:val="00A42387"/>
    <w:rsid w:val="00A4238E"/>
    <w:rsid w:val="00A42BD7"/>
    <w:rsid w:val="00A42C3A"/>
    <w:rsid w:val="00A43988"/>
    <w:rsid w:val="00A44232"/>
    <w:rsid w:val="00A44291"/>
    <w:rsid w:val="00A452CC"/>
    <w:rsid w:val="00A46A1D"/>
    <w:rsid w:val="00A50598"/>
    <w:rsid w:val="00A5128B"/>
    <w:rsid w:val="00A51309"/>
    <w:rsid w:val="00A525B1"/>
    <w:rsid w:val="00A52687"/>
    <w:rsid w:val="00A528D3"/>
    <w:rsid w:val="00A52A97"/>
    <w:rsid w:val="00A53469"/>
    <w:rsid w:val="00A53B91"/>
    <w:rsid w:val="00A53CF5"/>
    <w:rsid w:val="00A53DBE"/>
    <w:rsid w:val="00A53E0A"/>
    <w:rsid w:val="00A546CA"/>
    <w:rsid w:val="00A6021B"/>
    <w:rsid w:val="00A60DF2"/>
    <w:rsid w:val="00A60E44"/>
    <w:rsid w:val="00A6123E"/>
    <w:rsid w:val="00A6171E"/>
    <w:rsid w:val="00A61A08"/>
    <w:rsid w:val="00A61C9D"/>
    <w:rsid w:val="00A623AD"/>
    <w:rsid w:val="00A636A7"/>
    <w:rsid w:val="00A6376F"/>
    <w:rsid w:val="00A6545D"/>
    <w:rsid w:val="00A70354"/>
    <w:rsid w:val="00A70BA7"/>
    <w:rsid w:val="00A7107F"/>
    <w:rsid w:val="00A72D8B"/>
    <w:rsid w:val="00A74504"/>
    <w:rsid w:val="00A76142"/>
    <w:rsid w:val="00A7799A"/>
    <w:rsid w:val="00A800C0"/>
    <w:rsid w:val="00A802DA"/>
    <w:rsid w:val="00A815E7"/>
    <w:rsid w:val="00A816FD"/>
    <w:rsid w:val="00A81F29"/>
    <w:rsid w:val="00A8225B"/>
    <w:rsid w:val="00A82969"/>
    <w:rsid w:val="00A83235"/>
    <w:rsid w:val="00A83336"/>
    <w:rsid w:val="00A83452"/>
    <w:rsid w:val="00A842D2"/>
    <w:rsid w:val="00A84391"/>
    <w:rsid w:val="00A8457F"/>
    <w:rsid w:val="00A8493E"/>
    <w:rsid w:val="00A853A7"/>
    <w:rsid w:val="00A8587B"/>
    <w:rsid w:val="00A85902"/>
    <w:rsid w:val="00A85AD1"/>
    <w:rsid w:val="00A85C8E"/>
    <w:rsid w:val="00A87421"/>
    <w:rsid w:val="00A8760D"/>
    <w:rsid w:val="00A87D57"/>
    <w:rsid w:val="00A90B7D"/>
    <w:rsid w:val="00A90BFF"/>
    <w:rsid w:val="00A90CCD"/>
    <w:rsid w:val="00A91DD9"/>
    <w:rsid w:val="00A92E9D"/>
    <w:rsid w:val="00A954E4"/>
    <w:rsid w:val="00A9572E"/>
    <w:rsid w:val="00A95915"/>
    <w:rsid w:val="00A96F1A"/>
    <w:rsid w:val="00A96FEA"/>
    <w:rsid w:val="00A97212"/>
    <w:rsid w:val="00AA0BA8"/>
    <w:rsid w:val="00AA0CE5"/>
    <w:rsid w:val="00AA0EB8"/>
    <w:rsid w:val="00AA2255"/>
    <w:rsid w:val="00AA2F20"/>
    <w:rsid w:val="00AA36A5"/>
    <w:rsid w:val="00AA4257"/>
    <w:rsid w:val="00AA5D8D"/>
    <w:rsid w:val="00AA698D"/>
    <w:rsid w:val="00AA6B80"/>
    <w:rsid w:val="00AA7C21"/>
    <w:rsid w:val="00AA7FA8"/>
    <w:rsid w:val="00AB0048"/>
    <w:rsid w:val="00AB1353"/>
    <w:rsid w:val="00AB256A"/>
    <w:rsid w:val="00AB26FE"/>
    <w:rsid w:val="00AB27B1"/>
    <w:rsid w:val="00AB2833"/>
    <w:rsid w:val="00AB4F3F"/>
    <w:rsid w:val="00AB59A4"/>
    <w:rsid w:val="00AB6331"/>
    <w:rsid w:val="00AB6491"/>
    <w:rsid w:val="00AB66CA"/>
    <w:rsid w:val="00AB6D29"/>
    <w:rsid w:val="00AC02D8"/>
    <w:rsid w:val="00AC0B20"/>
    <w:rsid w:val="00AC0B6E"/>
    <w:rsid w:val="00AC204D"/>
    <w:rsid w:val="00AC2808"/>
    <w:rsid w:val="00AC2835"/>
    <w:rsid w:val="00AC2B1A"/>
    <w:rsid w:val="00AC3C60"/>
    <w:rsid w:val="00AC41A0"/>
    <w:rsid w:val="00AC428F"/>
    <w:rsid w:val="00AC4B4F"/>
    <w:rsid w:val="00AC4B76"/>
    <w:rsid w:val="00AC65B4"/>
    <w:rsid w:val="00AC71B8"/>
    <w:rsid w:val="00AC7749"/>
    <w:rsid w:val="00AD0075"/>
    <w:rsid w:val="00AD06D5"/>
    <w:rsid w:val="00AD0AB3"/>
    <w:rsid w:val="00AD1BDB"/>
    <w:rsid w:val="00AD1C8E"/>
    <w:rsid w:val="00AD1E32"/>
    <w:rsid w:val="00AD31EC"/>
    <w:rsid w:val="00AD32D2"/>
    <w:rsid w:val="00AD4391"/>
    <w:rsid w:val="00AD51E9"/>
    <w:rsid w:val="00AD5328"/>
    <w:rsid w:val="00AD5649"/>
    <w:rsid w:val="00AD570E"/>
    <w:rsid w:val="00AD6212"/>
    <w:rsid w:val="00AD6743"/>
    <w:rsid w:val="00AD6AB3"/>
    <w:rsid w:val="00AD7044"/>
    <w:rsid w:val="00AD78B1"/>
    <w:rsid w:val="00AE09FA"/>
    <w:rsid w:val="00AE27CB"/>
    <w:rsid w:val="00AE2869"/>
    <w:rsid w:val="00AE28CD"/>
    <w:rsid w:val="00AE2BC1"/>
    <w:rsid w:val="00AE2F3F"/>
    <w:rsid w:val="00AE328A"/>
    <w:rsid w:val="00AE3CCD"/>
    <w:rsid w:val="00AE4ED2"/>
    <w:rsid w:val="00AE531A"/>
    <w:rsid w:val="00AE5AC1"/>
    <w:rsid w:val="00AE5C63"/>
    <w:rsid w:val="00AE6959"/>
    <w:rsid w:val="00AE6A3B"/>
    <w:rsid w:val="00AE6CD9"/>
    <w:rsid w:val="00AE762B"/>
    <w:rsid w:val="00AE7681"/>
    <w:rsid w:val="00AF0F88"/>
    <w:rsid w:val="00AF1448"/>
    <w:rsid w:val="00AF2F55"/>
    <w:rsid w:val="00AF348A"/>
    <w:rsid w:val="00AF3CBE"/>
    <w:rsid w:val="00AF5B4B"/>
    <w:rsid w:val="00AF6293"/>
    <w:rsid w:val="00AF662A"/>
    <w:rsid w:val="00AF75E8"/>
    <w:rsid w:val="00B0063B"/>
    <w:rsid w:val="00B016DE"/>
    <w:rsid w:val="00B01ADA"/>
    <w:rsid w:val="00B023C2"/>
    <w:rsid w:val="00B026C3"/>
    <w:rsid w:val="00B04855"/>
    <w:rsid w:val="00B05203"/>
    <w:rsid w:val="00B05566"/>
    <w:rsid w:val="00B05D81"/>
    <w:rsid w:val="00B05E2B"/>
    <w:rsid w:val="00B066C7"/>
    <w:rsid w:val="00B07423"/>
    <w:rsid w:val="00B10A1B"/>
    <w:rsid w:val="00B11204"/>
    <w:rsid w:val="00B11ADE"/>
    <w:rsid w:val="00B1358E"/>
    <w:rsid w:val="00B14670"/>
    <w:rsid w:val="00B1469C"/>
    <w:rsid w:val="00B14B59"/>
    <w:rsid w:val="00B14C67"/>
    <w:rsid w:val="00B150DC"/>
    <w:rsid w:val="00B163F7"/>
    <w:rsid w:val="00B16C1D"/>
    <w:rsid w:val="00B17A78"/>
    <w:rsid w:val="00B17A88"/>
    <w:rsid w:val="00B17B75"/>
    <w:rsid w:val="00B17CB9"/>
    <w:rsid w:val="00B20F72"/>
    <w:rsid w:val="00B21486"/>
    <w:rsid w:val="00B21840"/>
    <w:rsid w:val="00B2254D"/>
    <w:rsid w:val="00B24567"/>
    <w:rsid w:val="00B24D57"/>
    <w:rsid w:val="00B25714"/>
    <w:rsid w:val="00B2637E"/>
    <w:rsid w:val="00B265F5"/>
    <w:rsid w:val="00B26B41"/>
    <w:rsid w:val="00B26EED"/>
    <w:rsid w:val="00B27411"/>
    <w:rsid w:val="00B2748D"/>
    <w:rsid w:val="00B279B8"/>
    <w:rsid w:val="00B30011"/>
    <w:rsid w:val="00B30883"/>
    <w:rsid w:val="00B30B39"/>
    <w:rsid w:val="00B31710"/>
    <w:rsid w:val="00B31DBE"/>
    <w:rsid w:val="00B320EA"/>
    <w:rsid w:val="00B324F3"/>
    <w:rsid w:val="00B330C7"/>
    <w:rsid w:val="00B3431F"/>
    <w:rsid w:val="00B34E0B"/>
    <w:rsid w:val="00B35196"/>
    <w:rsid w:val="00B36E20"/>
    <w:rsid w:val="00B37FC8"/>
    <w:rsid w:val="00B4096D"/>
    <w:rsid w:val="00B40E51"/>
    <w:rsid w:val="00B418FF"/>
    <w:rsid w:val="00B41962"/>
    <w:rsid w:val="00B4220D"/>
    <w:rsid w:val="00B427F1"/>
    <w:rsid w:val="00B42BF8"/>
    <w:rsid w:val="00B43026"/>
    <w:rsid w:val="00B43F91"/>
    <w:rsid w:val="00B44EFE"/>
    <w:rsid w:val="00B457C9"/>
    <w:rsid w:val="00B46884"/>
    <w:rsid w:val="00B46D39"/>
    <w:rsid w:val="00B47E48"/>
    <w:rsid w:val="00B50E01"/>
    <w:rsid w:val="00B52407"/>
    <w:rsid w:val="00B52547"/>
    <w:rsid w:val="00B52679"/>
    <w:rsid w:val="00B53373"/>
    <w:rsid w:val="00B535C8"/>
    <w:rsid w:val="00B54445"/>
    <w:rsid w:val="00B54801"/>
    <w:rsid w:val="00B54A7D"/>
    <w:rsid w:val="00B55279"/>
    <w:rsid w:val="00B56757"/>
    <w:rsid w:val="00B57426"/>
    <w:rsid w:val="00B6019C"/>
    <w:rsid w:val="00B62AD2"/>
    <w:rsid w:val="00B62B02"/>
    <w:rsid w:val="00B62E6A"/>
    <w:rsid w:val="00B63C78"/>
    <w:rsid w:val="00B64752"/>
    <w:rsid w:val="00B6510B"/>
    <w:rsid w:val="00B657F4"/>
    <w:rsid w:val="00B65893"/>
    <w:rsid w:val="00B65EF9"/>
    <w:rsid w:val="00B66EC0"/>
    <w:rsid w:val="00B67305"/>
    <w:rsid w:val="00B701F1"/>
    <w:rsid w:val="00B7060B"/>
    <w:rsid w:val="00B71782"/>
    <w:rsid w:val="00B72069"/>
    <w:rsid w:val="00B723D0"/>
    <w:rsid w:val="00B728F0"/>
    <w:rsid w:val="00B729B9"/>
    <w:rsid w:val="00B737CA"/>
    <w:rsid w:val="00B75707"/>
    <w:rsid w:val="00B75A0C"/>
    <w:rsid w:val="00B75C32"/>
    <w:rsid w:val="00B75CCC"/>
    <w:rsid w:val="00B769A8"/>
    <w:rsid w:val="00B81AB8"/>
    <w:rsid w:val="00B81ACA"/>
    <w:rsid w:val="00B8223C"/>
    <w:rsid w:val="00B82FFF"/>
    <w:rsid w:val="00B83A7F"/>
    <w:rsid w:val="00B84E64"/>
    <w:rsid w:val="00B85130"/>
    <w:rsid w:val="00B860A1"/>
    <w:rsid w:val="00B8623D"/>
    <w:rsid w:val="00B86E75"/>
    <w:rsid w:val="00B903A2"/>
    <w:rsid w:val="00B90C45"/>
    <w:rsid w:val="00B90D33"/>
    <w:rsid w:val="00B91A7B"/>
    <w:rsid w:val="00B927EF"/>
    <w:rsid w:val="00B92FD2"/>
    <w:rsid w:val="00B93665"/>
    <w:rsid w:val="00B944C2"/>
    <w:rsid w:val="00B948C1"/>
    <w:rsid w:val="00B954FA"/>
    <w:rsid w:val="00B96628"/>
    <w:rsid w:val="00B976C2"/>
    <w:rsid w:val="00BA03E1"/>
    <w:rsid w:val="00BA0828"/>
    <w:rsid w:val="00BA13F0"/>
    <w:rsid w:val="00BA1C9A"/>
    <w:rsid w:val="00BA2AD7"/>
    <w:rsid w:val="00BA362E"/>
    <w:rsid w:val="00BA3803"/>
    <w:rsid w:val="00BA3D85"/>
    <w:rsid w:val="00BA41FA"/>
    <w:rsid w:val="00BA4309"/>
    <w:rsid w:val="00BA4DD2"/>
    <w:rsid w:val="00BA5AE7"/>
    <w:rsid w:val="00BA61FE"/>
    <w:rsid w:val="00BA7D4B"/>
    <w:rsid w:val="00BB0214"/>
    <w:rsid w:val="00BB0ACA"/>
    <w:rsid w:val="00BB0D6D"/>
    <w:rsid w:val="00BB117F"/>
    <w:rsid w:val="00BB1CD0"/>
    <w:rsid w:val="00BB28DF"/>
    <w:rsid w:val="00BB4158"/>
    <w:rsid w:val="00BB4250"/>
    <w:rsid w:val="00BB5411"/>
    <w:rsid w:val="00BB5791"/>
    <w:rsid w:val="00BB640C"/>
    <w:rsid w:val="00BB6893"/>
    <w:rsid w:val="00BB6AE6"/>
    <w:rsid w:val="00BB7266"/>
    <w:rsid w:val="00BB7300"/>
    <w:rsid w:val="00BC10DC"/>
    <w:rsid w:val="00BC3E60"/>
    <w:rsid w:val="00BC426E"/>
    <w:rsid w:val="00BC432F"/>
    <w:rsid w:val="00BC43EE"/>
    <w:rsid w:val="00BC523C"/>
    <w:rsid w:val="00BC5E37"/>
    <w:rsid w:val="00BC5EB3"/>
    <w:rsid w:val="00BC5ECE"/>
    <w:rsid w:val="00BC6DD2"/>
    <w:rsid w:val="00BC7078"/>
    <w:rsid w:val="00BC733A"/>
    <w:rsid w:val="00BD006D"/>
    <w:rsid w:val="00BD09EA"/>
    <w:rsid w:val="00BD1F47"/>
    <w:rsid w:val="00BD23C9"/>
    <w:rsid w:val="00BD2EB2"/>
    <w:rsid w:val="00BD4DAC"/>
    <w:rsid w:val="00BD5290"/>
    <w:rsid w:val="00BD68D8"/>
    <w:rsid w:val="00BD6B67"/>
    <w:rsid w:val="00BD7A87"/>
    <w:rsid w:val="00BE0A72"/>
    <w:rsid w:val="00BE0D43"/>
    <w:rsid w:val="00BE13A2"/>
    <w:rsid w:val="00BE144C"/>
    <w:rsid w:val="00BE2ADA"/>
    <w:rsid w:val="00BE2FA5"/>
    <w:rsid w:val="00BE3113"/>
    <w:rsid w:val="00BE3266"/>
    <w:rsid w:val="00BE3D91"/>
    <w:rsid w:val="00BE53BC"/>
    <w:rsid w:val="00BE53FF"/>
    <w:rsid w:val="00BE5711"/>
    <w:rsid w:val="00BE6C95"/>
    <w:rsid w:val="00BF0740"/>
    <w:rsid w:val="00BF07FB"/>
    <w:rsid w:val="00BF21B4"/>
    <w:rsid w:val="00BF2D62"/>
    <w:rsid w:val="00BF3FDC"/>
    <w:rsid w:val="00BF4128"/>
    <w:rsid w:val="00BF51E7"/>
    <w:rsid w:val="00BF5210"/>
    <w:rsid w:val="00BF5B46"/>
    <w:rsid w:val="00BF5CE8"/>
    <w:rsid w:val="00BF5E47"/>
    <w:rsid w:val="00BF677B"/>
    <w:rsid w:val="00BF707C"/>
    <w:rsid w:val="00C01CB2"/>
    <w:rsid w:val="00C031E1"/>
    <w:rsid w:val="00C03C46"/>
    <w:rsid w:val="00C046E7"/>
    <w:rsid w:val="00C04D19"/>
    <w:rsid w:val="00C04FD5"/>
    <w:rsid w:val="00C050D5"/>
    <w:rsid w:val="00C05368"/>
    <w:rsid w:val="00C054AB"/>
    <w:rsid w:val="00C05BD2"/>
    <w:rsid w:val="00C072B3"/>
    <w:rsid w:val="00C10182"/>
    <w:rsid w:val="00C114A2"/>
    <w:rsid w:val="00C11812"/>
    <w:rsid w:val="00C12023"/>
    <w:rsid w:val="00C12838"/>
    <w:rsid w:val="00C12D5E"/>
    <w:rsid w:val="00C132D1"/>
    <w:rsid w:val="00C13789"/>
    <w:rsid w:val="00C14491"/>
    <w:rsid w:val="00C14C6E"/>
    <w:rsid w:val="00C16151"/>
    <w:rsid w:val="00C16173"/>
    <w:rsid w:val="00C169EE"/>
    <w:rsid w:val="00C172D4"/>
    <w:rsid w:val="00C17C22"/>
    <w:rsid w:val="00C20490"/>
    <w:rsid w:val="00C20D76"/>
    <w:rsid w:val="00C216B5"/>
    <w:rsid w:val="00C21FD4"/>
    <w:rsid w:val="00C22986"/>
    <w:rsid w:val="00C23E14"/>
    <w:rsid w:val="00C23F3D"/>
    <w:rsid w:val="00C249DB"/>
    <w:rsid w:val="00C24B2D"/>
    <w:rsid w:val="00C24C03"/>
    <w:rsid w:val="00C25E18"/>
    <w:rsid w:val="00C2722B"/>
    <w:rsid w:val="00C30197"/>
    <w:rsid w:val="00C309BD"/>
    <w:rsid w:val="00C313F5"/>
    <w:rsid w:val="00C31BFC"/>
    <w:rsid w:val="00C31D3A"/>
    <w:rsid w:val="00C323FE"/>
    <w:rsid w:val="00C3262B"/>
    <w:rsid w:val="00C3327E"/>
    <w:rsid w:val="00C33360"/>
    <w:rsid w:val="00C339D1"/>
    <w:rsid w:val="00C34F34"/>
    <w:rsid w:val="00C358FA"/>
    <w:rsid w:val="00C35B09"/>
    <w:rsid w:val="00C364E9"/>
    <w:rsid w:val="00C370A2"/>
    <w:rsid w:val="00C37F2F"/>
    <w:rsid w:val="00C40499"/>
    <w:rsid w:val="00C419F1"/>
    <w:rsid w:val="00C41A0C"/>
    <w:rsid w:val="00C4210A"/>
    <w:rsid w:val="00C422BA"/>
    <w:rsid w:val="00C42F8C"/>
    <w:rsid w:val="00C43234"/>
    <w:rsid w:val="00C4412C"/>
    <w:rsid w:val="00C44827"/>
    <w:rsid w:val="00C45EDC"/>
    <w:rsid w:val="00C47CA1"/>
    <w:rsid w:val="00C510ED"/>
    <w:rsid w:val="00C512B3"/>
    <w:rsid w:val="00C51B1D"/>
    <w:rsid w:val="00C52269"/>
    <w:rsid w:val="00C52FF4"/>
    <w:rsid w:val="00C54156"/>
    <w:rsid w:val="00C54542"/>
    <w:rsid w:val="00C54D42"/>
    <w:rsid w:val="00C54F3A"/>
    <w:rsid w:val="00C55CC8"/>
    <w:rsid w:val="00C56E08"/>
    <w:rsid w:val="00C56E54"/>
    <w:rsid w:val="00C56ED6"/>
    <w:rsid w:val="00C5708B"/>
    <w:rsid w:val="00C611E5"/>
    <w:rsid w:val="00C61291"/>
    <w:rsid w:val="00C62CFD"/>
    <w:rsid w:val="00C64DEF"/>
    <w:rsid w:val="00C65364"/>
    <w:rsid w:val="00C6598A"/>
    <w:rsid w:val="00C66160"/>
    <w:rsid w:val="00C6726B"/>
    <w:rsid w:val="00C6736B"/>
    <w:rsid w:val="00C6742F"/>
    <w:rsid w:val="00C674D0"/>
    <w:rsid w:val="00C678BE"/>
    <w:rsid w:val="00C67D6A"/>
    <w:rsid w:val="00C67DA4"/>
    <w:rsid w:val="00C70872"/>
    <w:rsid w:val="00C71488"/>
    <w:rsid w:val="00C719FE"/>
    <w:rsid w:val="00C72390"/>
    <w:rsid w:val="00C7244C"/>
    <w:rsid w:val="00C7266D"/>
    <w:rsid w:val="00C7273E"/>
    <w:rsid w:val="00C7393E"/>
    <w:rsid w:val="00C745B5"/>
    <w:rsid w:val="00C74D92"/>
    <w:rsid w:val="00C74DFF"/>
    <w:rsid w:val="00C74F1E"/>
    <w:rsid w:val="00C771D1"/>
    <w:rsid w:val="00C771F6"/>
    <w:rsid w:val="00C77C06"/>
    <w:rsid w:val="00C81522"/>
    <w:rsid w:val="00C82CDC"/>
    <w:rsid w:val="00C83B7C"/>
    <w:rsid w:val="00C83E1A"/>
    <w:rsid w:val="00C83E3D"/>
    <w:rsid w:val="00C84ACB"/>
    <w:rsid w:val="00C84D28"/>
    <w:rsid w:val="00C85AC1"/>
    <w:rsid w:val="00C86B19"/>
    <w:rsid w:val="00C8707D"/>
    <w:rsid w:val="00C90293"/>
    <w:rsid w:val="00C91272"/>
    <w:rsid w:val="00C93550"/>
    <w:rsid w:val="00C93716"/>
    <w:rsid w:val="00C938D6"/>
    <w:rsid w:val="00C93F02"/>
    <w:rsid w:val="00C94110"/>
    <w:rsid w:val="00C96791"/>
    <w:rsid w:val="00C97967"/>
    <w:rsid w:val="00CA2CE2"/>
    <w:rsid w:val="00CA33EF"/>
    <w:rsid w:val="00CA4427"/>
    <w:rsid w:val="00CA49C7"/>
    <w:rsid w:val="00CA611F"/>
    <w:rsid w:val="00CA6A3B"/>
    <w:rsid w:val="00CA7678"/>
    <w:rsid w:val="00CA7AC9"/>
    <w:rsid w:val="00CB00C4"/>
    <w:rsid w:val="00CB0AEA"/>
    <w:rsid w:val="00CB0B60"/>
    <w:rsid w:val="00CB1F08"/>
    <w:rsid w:val="00CB23C8"/>
    <w:rsid w:val="00CB2740"/>
    <w:rsid w:val="00CB2D23"/>
    <w:rsid w:val="00CB2F04"/>
    <w:rsid w:val="00CB3997"/>
    <w:rsid w:val="00CB3D6A"/>
    <w:rsid w:val="00CB3DD1"/>
    <w:rsid w:val="00CB4027"/>
    <w:rsid w:val="00CB4CBD"/>
    <w:rsid w:val="00CB5AD7"/>
    <w:rsid w:val="00CB6214"/>
    <w:rsid w:val="00CB6751"/>
    <w:rsid w:val="00CB677C"/>
    <w:rsid w:val="00CC0BFA"/>
    <w:rsid w:val="00CC1DCE"/>
    <w:rsid w:val="00CC3551"/>
    <w:rsid w:val="00CC3DE8"/>
    <w:rsid w:val="00CC3FD9"/>
    <w:rsid w:val="00CC42B8"/>
    <w:rsid w:val="00CC4773"/>
    <w:rsid w:val="00CC4D47"/>
    <w:rsid w:val="00CC5380"/>
    <w:rsid w:val="00CC6348"/>
    <w:rsid w:val="00CC63AA"/>
    <w:rsid w:val="00CC65D0"/>
    <w:rsid w:val="00CD0EEC"/>
    <w:rsid w:val="00CD27A6"/>
    <w:rsid w:val="00CD39A4"/>
    <w:rsid w:val="00CD3FFC"/>
    <w:rsid w:val="00CD4522"/>
    <w:rsid w:val="00CD4562"/>
    <w:rsid w:val="00CD530A"/>
    <w:rsid w:val="00CD57FF"/>
    <w:rsid w:val="00CD6807"/>
    <w:rsid w:val="00CD6888"/>
    <w:rsid w:val="00CD6956"/>
    <w:rsid w:val="00CD6ECE"/>
    <w:rsid w:val="00CD7332"/>
    <w:rsid w:val="00CD73E7"/>
    <w:rsid w:val="00CE0C16"/>
    <w:rsid w:val="00CE1149"/>
    <w:rsid w:val="00CE194B"/>
    <w:rsid w:val="00CE1B02"/>
    <w:rsid w:val="00CE1BF1"/>
    <w:rsid w:val="00CE317F"/>
    <w:rsid w:val="00CE3F01"/>
    <w:rsid w:val="00CE47C5"/>
    <w:rsid w:val="00CE4F96"/>
    <w:rsid w:val="00CE5C1B"/>
    <w:rsid w:val="00CE787A"/>
    <w:rsid w:val="00CF0262"/>
    <w:rsid w:val="00CF03A3"/>
    <w:rsid w:val="00CF0EEB"/>
    <w:rsid w:val="00CF1BD6"/>
    <w:rsid w:val="00CF209F"/>
    <w:rsid w:val="00CF2383"/>
    <w:rsid w:val="00CF2AEA"/>
    <w:rsid w:val="00CF30BE"/>
    <w:rsid w:val="00CF3456"/>
    <w:rsid w:val="00CF48E0"/>
    <w:rsid w:val="00CF553B"/>
    <w:rsid w:val="00CF62DF"/>
    <w:rsid w:val="00CF6430"/>
    <w:rsid w:val="00CF6F57"/>
    <w:rsid w:val="00CF71DB"/>
    <w:rsid w:val="00D016D9"/>
    <w:rsid w:val="00D01DF9"/>
    <w:rsid w:val="00D0276D"/>
    <w:rsid w:val="00D02B75"/>
    <w:rsid w:val="00D03002"/>
    <w:rsid w:val="00D0365F"/>
    <w:rsid w:val="00D0402D"/>
    <w:rsid w:val="00D04545"/>
    <w:rsid w:val="00D045ED"/>
    <w:rsid w:val="00D105CB"/>
    <w:rsid w:val="00D10A55"/>
    <w:rsid w:val="00D11073"/>
    <w:rsid w:val="00D12D2B"/>
    <w:rsid w:val="00D13179"/>
    <w:rsid w:val="00D14A19"/>
    <w:rsid w:val="00D1535F"/>
    <w:rsid w:val="00D17370"/>
    <w:rsid w:val="00D20AE9"/>
    <w:rsid w:val="00D22B31"/>
    <w:rsid w:val="00D24626"/>
    <w:rsid w:val="00D26B62"/>
    <w:rsid w:val="00D27374"/>
    <w:rsid w:val="00D275A1"/>
    <w:rsid w:val="00D30276"/>
    <w:rsid w:val="00D30806"/>
    <w:rsid w:val="00D30CA3"/>
    <w:rsid w:val="00D30F78"/>
    <w:rsid w:val="00D31AFD"/>
    <w:rsid w:val="00D3239E"/>
    <w:rsid w:val="00D335C7"/>
    <w:rsid w:val="00D33731"/>
    <w:rsid w:val="00D33B33"/>
    <w:rsid w:val="00D352C2"/>
    <w:rsid w:val="00D3564B"/>
    <w:rsid w:val="00D40289"/>
    <w:rsid w:val="00D40E33"/>
    <w:rsid w:val="00D413A5"/>
    <w:rsid w:val="00D42A82"/>
    <w:rsid w:val="00D4477E"/>
    <w:rsid w:val="00D450F0"/>
    <w:rsid w:val="00D47539"/>
    <w:rsid w:val="00D50621"/>
    <w:rsid w:val="00D513F1"/>
    <w:rsid w:val="00D52135"/>
    <w:rsid w:val="00D525CB"/>
    <w:rsid w:val="00D52CCD"/>
    <w:rsid w:val="00D54213"/>
    <w:rsid w:val="00D554BF"/>
    <w:rsid w:val="00D5581B"/>
    <w:rsid w:val="00D55F2A"/>
    <w:rsid w:val="00D562C8"/>
    <w:rsid w:val="00D5649F"/>
    <w:rsid w:val="00D573FE"/>
    <w:rsid w:val="00D631DD"/>
    <w:rsid w:val="00D63473"/>
    <w:rsid w:val="00D639AB"/>
    <w:rsid w:val="00D65308"/>
    <w:rsid w:val="00D65670"/>
    <w:rsid w:val="00D65E5A"/>
    <w:rsid w:val="00D66FB0"/>
    <w:rsid w:val="00D7004A"/>
    <w:rsid w:val="00D70055"/>
    <w:rsid w:val="00D74024"/>
    <w:rsid w:val="00D74034"/>
    <w:rsid w:val="00D741A0"/>
    <w:rsid w:val="00D74D96"/>
    <w:rsid w:val="00D75405"/>
    <w:rsid w:val="00D7582B"/>
    <w:rsid w:val="00D75B0D"/>
    <w:rsid w:val="00D8069C"/>
    <w:rsid w:val="00D810C2"/>
    <w:rsid w:val="00D81F95"/>
    <w:rsid w:val="00D8331E"/>
    <w:rsid w:val="00D845F0"/>
    <w:rsid w:val="00D85B02"/>
    <w:rsid w:val="00D85D86"/>
    <w:rsid w:val="00D86979"/>
    <w:rsid w:val="00D8735E"/>
    <w:rsid w:val="00D874FE"/>
    <w:rsid w:val="00D901D4"/>
    <w:rsid w:val="00D90507"/>
    <w:rsid w:val="00D90DCD"/>
    <w:rsid w:val="00D918D0"/>
    <w:rsid w:val="00D93B3F"/>
    <w:rsid w:val="00D93FF8"/>
    <w:rsid w:val="00D9516D"/>
    <w:rsid w:val="00D967F4"/>
    <w:rsid w:val="00D97FB1"/>
    <w:rsid w:val="00DA0500"/>
    <w:rsid w:val="00DA052B"/>
    <w:rsid w:val="00DA14F2"/>
    <w:rsid w:val="00DA1A52"/>
    <w:rsid w:val="00DA2C69"/>
    <w:rsid w:val="00DA4660"/>
    <w:rsid w:val="00DA4FAA"/>
    <w:rsid w:val="00DA5A8C"/>
    <w:rsid w:val="00DA5F3F"/>
    <w:rsid w:val="00DA6130"/>
    <w:rsid w:val="00DA699B"/>
    <w:rsid w:val="00DA7779"/>
    <w:rsid w:val="00DA7C67"/>
    <w:rsid w:val="00DB01F3"/>
    <w:rsid w:val="00DB058A"/>
    <w:rsid w:val="00DB179B"/>
    <w:rsid w:val="00DB1D33"/>
    <w:rsid w:val="00DB2727"/>
    <w:rsid w:val="00DB3295"/>
    <w:rsid w:val="00DB487E"/>
    <w:rsid w:val="00DB5267"/>
    <w:rsid w:val="00DB5894"/>
    <w:rsid w:val="00DB686A"/>
    <w:rsid w:val="00DB6A58"/>
    <w:rsid w:val="00DB6AC5"/>
    <w:rsid w:val="00DB7B62"/>
    <w:rsid w:val="00DB7D38"/>
    <w:rsid w:val="00DC04E1"/>
    <w:rsid w:val="00DC1013"/>
    <w:rsid w:val="00DC1266"/>
    <w:rsid w:val="00DC56FD"/>
    <w:rsid w:val="00DC5CED"/>
    <w:rsid w:val="00DC60B3"/>
    <w:rsid w:val="00DC792C"/>
    <w:rsid w:val="00DD0C17"/>
    <w:rsid w:val="00DD133F"/>
    <w:rsid w:val="00DD1891"/>
    <w:rsid w:val="00DD1A41"/>
    <w:rsid w:val="00DD2EE0"/>
    <w:rsid w:val="00DD461C"/>
    <w:rsid w:val="00DD4CB8"/>
    <w:rsid w:val="00DD5AEA"/>
    <w:rsid w:val="00DD60A3"/>
    <w:rsid w:val="00DD6134"/>
    <w:rsid w:val="00DD6747"/>
    <w:rsid w:val="00DD687E"/>
    <w:rsid w:val="00DE0ECD"/>
    <w:rsid w:val="00DE1E7F"/>
    <w:rsid w:val="00DE1F8A"/>
    <w:rsid w:val="00DE1FE0"/>
    <w:rsid w:val="00DE203D"/>
    <w:rsid w:val="00DE343B"/>
    <w:rsid w:val="00DE3813"/>
    <w:rsid w:val="00DE3946"/>
    <w:rsid w:val="00DE3A4B"/>
    <w:rsid w:val="00DE3CEE"/>
    <w:rsid w:val="00DE3D51"/>
    <w:rsid w:val="00DE3F1E"/>
    <w:rsid w:val="00DE41E1"/>
    <w:rsid w:val="00DE4AC9"/>
    <w:rsid w:val="00DE703A"/>
    <w:rsid w:val="00DF0841"/>
    <w:rsid w:val="00DF12A1"/>
    <w:rsid w:val="00DF279A"/>
    <w:rsid w:val="00DF2927"/>
    <w:rsid w:val="00DF2CD8"/>
    <w:rsid w:val="00DF348F"/>
    <w:rsid w:val="00DF4E77"/>
    <w:rsid w:val="00DF60D1"/>
    <w:rsid w:val="00DF6A15"/>
    <w:rsid w:val="00DF6E97"/>
    <w:rsid w:val="00DF7FC5"/>
    <w:rsid w:val="00E00BA6"/>
    <w:rsid w:val="00E00BCD"/>
    <w:rsid w:val="00E014F5"/>
    <w:rsid w:val="00E02A54"/>
    <w:rsid w:val="00E03141"/>
    <w:rsid w:val="00E03862"/>
    <w:rsid w:val="00E04DB9"/>
    <w:rsid w:val="00E0714C"/>
    <w:rsid w:val="00E07482"/>
    <w:rsid w:val="00E07502"/>
    <w:rsid w:val="00E10D61"/>
    <w:rsid w:val="00E10E09"/>
    <w:rsid w:val="00E1148A"/>
    <w:rsid w:val="00E11C2C"/>
    <w:rsid w:val="00E1288B"/>
    <w:rsid w:val="00E131B6"/>
    <w:rsid w:val="00E141A8"/>
    <w:rsid w:val="00E15DD7"/>
    <w:rsid w:val="00E16518"/>
    <w:rsid w:val="00E168C1"/>
    <w:rsid w:val="00E20B9E"/>
    <w:rsid w:val="00E211F7"/>
    <w:rsid w:val="00E21813"/>
    <w:rsid w:val="00E22FC4"/>
    <w:rsid w:val="00E23FE9"/>
    <w:rsid w:val="00E240A9"/>
    <w:rsid w:val="00E24D5A"/>
    <w:rsid w:val="00E25FE2"/>
    <w:rsid w:val="00E262B7"/>
    <w:rsid w:val="00E262FF"/>
    <w:rsid w:val="00E27181"/>
    <w:rsid w:val="00E27258"/>
    <w:rsid w:val="00E277F6"/>
    <w:rsid w:val="00E3165C"/>
    <w:rsid w:val="00E317C0"/>
    <w:rsid w:val="00E318A1"/>
    <w:rsid w:val="00E31A51"/>
    <w:rsid w:val="00E326E7"/>
    <w:rsid w:val="00E33828"/>
    <w:rsid w:val="00E339D4"/>
    <w:rsid w:val="00E341D4"/>
    <w:rsid w:val="00E34A88"/>
    <w:rsid w:val="00E34F1C"/>
    <w:rsid w:val="00E358B7"/>
    <w:rsid w:val="00E4032E"/>
    <w:rsid w:val="00E41561"/>
    <w:rsid w:val="00E416A1"/>
    <w:rsid w:val="00E41D5F"/>
    <w:rsid w:val="00E426A1"/>
    <w:rsid w:val="00E43289"/>
    <w:rsid w:val="00E435D3"/>
    <w:rsid w:val="00E4385B"/>
    <w:rsid w:val="00E43EFE"/>
    <w:rsid w:val="00E44018"/>
    <w:rsid w:val="00E4465F"/>
    <w:rsid w:val="00E447F2"/>
    <w:rsid w:val="00E4499D"/>
    <w:rsid w:val="00E45C7A"/>
    <w:rsid w:val="00E46660"/>
    <w:rsid w:val="00E46723"/>
    <w:rsid w:val="00E47AE5"/>
    <w:rsid w:val="00E501B5"/>
    <w:rsid w:val="00E50466"/>
    <w:rsid w:val="00E50D2D"/>
    <w:rsid w:val="00E5120D"/>
    <w:rsid w:val="00E51242"/>
    <w:rsid w:val="00E51315"/>
    <w:rsid w:val="00E528EC"/>
    <w:rsid w:val="00E53766"/>
    <w:rsid w:val="00E54BF3"/>
    <w:rsid w:val="00E55321"/>
    <w:rsid w:val="00E569A9"/>
    <w:rsid w:val="00E57184"/>
    <w:rsid w:val="00E57847"/>
    <w:rsid w:val="00E57DFA"/>
    <w:rsid w:val="00E61AA7"/>
    <w:rsid w:val="00E61C18"/>
    <w:rsid w:val="00E61FC0"/>
    <w:rsid w:val="00E64674"/>
    <w:rsid w:val="00E66517"/>
    <w:rsid w:val="00E669FA"/>
    <w:rsid w:val="00E66AE3"/>
    <w:rsid w:val="00E6749F"/>
    <w:rsid w:val="00E6798B"/>
    <w:rsid w:val="00E70614"/>
    <w:rsid w:val="00E714F8"/>
    <w:rsid w:val="00E717C7"/>
    <w:rsid w:val="00E73022"/>
    <w:rsid w:val="00E732E5"/>
    <w:rsid w:val="00E73DAB"/>
    <w:rsid w:val="00E73E46"/>
    <w:rsid w:val="00E74649"/>
    <w:rsid w:val="00E74F49"/>
    <w:rsid w:val="00E76717"/>
    <w:rsid w:val="00E80A8B"/>
    <w:rsid w:val="00E81A14"/>
    <w:rsid w:val="00E81DF2"/>
    <w:rsid w:val="00E8312C"/>
    <w:rsid w:val="00E84663"/>
    <w:rsid w:val="00E85632"/>
    <w:rsid w:val="00E8606A"/>
    <w:rsid w:val="00E91BC4"/>
    <w:rsid w:val="00E91E60"/>
    <w:rsid w:val="00E9258A"/>
    <w:rsid w:val="00E93E40"/>
    <w:rsid w:val="00E942C4"/>
    <w:rsid w:val="00E9448C"/>
    <w:rsid w:val="00E95004"/>
    <w:rsid w:val="00E95BA7"/>
    <w:rsid w:val="00E96114"/>
    <w:rsid w:val="00E964C3"/>
    <w:rsid w:val="00E97C5B"/>
    <w:rsid w:val="00EA0327"/>
    <w:rsid w:val="00EA1FBE"/>
    <w:rsid w:val="00EA3317"/>
    <w:rsid w:val="00EA353B"/>
    <w:rsid w:val="00EA38A6"/>
    <w:rsid w:val="00EA471F"/>
    <w:rsid w:val="00EA4C67"/>
    <w:rsid w:val="00EA4EF9"/>
    <w:rsid w:val="00EA590F"/>
    <w:rsid w:val="00EA591F"/>
    <w:rsid w:val="00EA62C0"/>
    <w:rsid w:val="00EB0355"/>
    <w:rsid w:val="00EB042E"/>
    <w:rsid w:val="00EB0803"/>
    <w:rsid w:val="00EB0E55"/>
    <w:rsid w:val="00EB1437"/>
    <w:rsid w:val="00EB1D77"/>
    <w:rsid w:val="00EB1FF9"/>
    <w:rsid w:val="00EB3924"/>
    <w:rsid w:val="00EB5007"/>
    <w:rsid w:val="00EB5134"/>
    <w:rsid w:val="00EB6920"/>
    <w:rsid w:val="00EB69AE"/>
    <w:rsid w:val="00EC004F"/>
    <w:rsid w:val="00EC10FB"/>
    <w:rsid w:val="00EC15F6"/>
    <w:rsid w:val="00EC3EA7"/>
    <w:rsid w:val="00EC422B"/>
    <w:rsid w:val="00EC4AF7"/>
    <w:rsid w:val="00EC5840"/>
    <w:rsid w:val="00EC58B9"/>
    <w:rsid w:val="00EC58D8"/>
    <w:rsid w:val="00EC73B2"/>
    <w:rsid w:val="00EC7F98"/>
    <w:rsid w:val="00ED04A9"/>
    <w:rsid w:val="00ED0ABD"/>
    <w:rsid w:val="00ED106E"/>
    <w:rsid w:val="00ED1171"/>
    <w:rsid w:val="00ED14E6"/>
    <w:rsid w:val="00ED34D1"/>
    <w:rsid w:val="00ED36F8"/>
    <w:rsid w:val="00ED3BE9"/>
    <w:rsid w:val="00ED3EAC"/>
    <w:rsid w:val="00ED472C"/>
    <w:rsid w:val="00ED573D"/>
    <w:rsid w:val="00ED579E"/>
    <w:rsid w:val="00ED5905"/>
    <w:rsid w:val="00ED6C3D"/>
    <w:rsid w:val="00ED7CBE"/>
    <w:rsid w:val="00EE02C6"/>
    <w:rsid w:val="00EE0880"/>
    <w:rsid w:val="00EE3D61"/>
    <w:rsid w:val="00EE4456"/>
    <w:rsid w:val="00EE44BB"/>
    <w:rsid w:val="00EE45D6"/>
    <w:rsid w:val="00EE68FC"/>
    <w:rsid w:val="00EE6A05"/>
    <w:rsid w:val="00EF0838"/>
    <w:rsid w:val="00EF0C67"/>
    <w:rsid w:val="00EF1351"/>
    <w:rsid w:val="00EF16E3"/>
    <w:rsid w:val="00EF27AE"/>
    <w:rsid w:val="00EF3D31"/>
    <w:rsid w:val="00EF4625"/>
    <w:rsid w:val="00EF5873"/>
    <w:rsid w:val="00EF5B24"/>
    <w:rsid w:val="00EF6942"/>
    <w:rsid w:val="00EF7BC4"/>
    <w:rsid w:val="00EF7CAF"/>
    <w:rsid w:val="00F00387"/>
    <w:rsid w:val="00F00B45"/>
    <w:rsid w:val="00F02135"/>
    <w:rsid w:val="00F02703"/>
    <w:rsid w:val="00F02A1E"/>
    <w:rsid w:val="00F04F0D"/>
    <w:rsid w:val="00F05452"/>
    <w:rsid w:val="00F055D3"/>
    <w:rsid w:val="00F05BB5"/>
    <w:rsid w:val="00F05F2B"/>
    <w:rsid w:val="00F07502"/>
    <w:rsid w:val="00F07870"/>
    <w:rsid w:val="00F07CD4"/>
    <w:rsid w:val="00F10286"/>
    <w:rsid w:val="00F1033C"/>
    <w:rsid w:val="00F11A99"/>
    <w:rsid w:val="00F127EB"/>
    <w:rsid w:val="00F12F64"/>
    <w:rsid w:val="00F14CFF"/>
    <w:rsid w:val="00F154EC"/>
    <w:rsid w:val="00F15BAB"/>
    <w:rsid w:val="00F15F51"/>
    <w:rsid w:val="00F172A0"/>
    <w:rsid w:val="00F17EA3"/>
    <w:rsid w:val="00F2073F"/>
    <w:rsid w:val="00F20C16"/>
    <w:rsid w:val="00F21C87"/>
    <w:rsid w:val="00F21DC3"/>
    <w:rsid w:val="00F221FE"/>
    <w:rsid w:val="00F22BDB"/>
    <w:rsid w:val="00F237E5"/>
    <w:rsid w:val="00F238A3"/>
    <w:rsid w:val="00F23D12"/>
    <w:rsid w:val="00F248A3"/>
    <w:rsid w:val="00F25AEF"/>
    <w:rsid w:val="00F27851"/>
    <w:rsid w:val="00F300BD"/>
    <w:rsid w:val="00F30457"/>
    <w:rsid w:val="00F323AA"/>
    <w:rsid w:val="00F326E7"/>
    <w:rsid w:val="00F32A0B"/>
    <w:rsid w:val="00F3327E"/>
    <w:rsid w:val="00F3328D"/>
    <w:rsid w:val="00F333DC"/>
    <w:rsid w:val="00F3363D"/>
    <w:rsid w:val="00F33853"/>
    <w:rsid w:val="00F33BF0"/>
    <w:rsid w:val="00F34709"/>
    <w:rsid w:val="00F35D8F"/>
    <w:rsid w:val="00F37526"/>
    <w:rsid w:val="00F37C13"/>
    <w:rsid w:val="00F40E99"/>
    <w:rsid w:val="00F42300"/>
    <w:rsid w:val="00F45105"/>
    <w:rsid w:val="00F45FC0"/>
    <w:rsid w:val="00F469C8"/>
    <w:rsid w:val="00F472BD"/>
    <w:rsid w:val="00F500E5"/>
    <w:rsid w:val="00F503EC"/>
    <w:rsid w:val="00F505EE"/>
    <w:rsid w:val="00F50D3F"/>
    <w:rsid w:val="00F53278"/>
    <w:rsid w:val="00F53E6F"/>
    <w:rsid w:val="00F5403A"/>
    <w:rsid w:val="00F548C6"/>
    <w:rsid w:val="00F550C7"/>
    <w:rsid w:val="00F55463"/>
    <w:rsid w:val="00F55AE7"/>
    <w:rsid w:val="00F55D7A"/>
    <w:rsid w:val="00F56A5A"/>
    <w:rsid w:val="00F60602"/>
    <w:rsid w:val="00F612BD"/>
    <w:rsid w:val="00F624F8"/>
    <w:rsid w:val="00F6313C"/>
    <w:rsid w:val="00F64236"/>
    <w:rsid w:val="00F65D72"/>
    <w:rsid w:val="00F6765B"/>
    <w:rsid w:val="00F709C4"/>
    <w:rsid w:val="00F70B7F"/>
    <w:rsid w:val="00F7148D"/>
    <w:rsid w:val="00F71BA5"/>
    <w:rsid w:val="00F7249E"/>
    <w:rsid w:val="00F734C6"/>
    <w:rsid w:val="00F73B17"/>
    <w:rsid w:val="00F744D5"/>
    <w:rsid w:val="00F7531E"/>
    <w:rsid w:val="00F76770"/>
    <w:rsid w:val="00F768CD"/>
    <w:rsid w:val="00F76E6D"/>
    <w:rsid w:val="00F77368"/>
    <w:rsid w:val="00F77F8F"/>
    <w:rsid w:val="00F81530"/>
    <w:rsid w:val="00F82080"/>
    <w:rsid w:val="00F82AB5"/>
    <w:rsid w:val="00F82E9F"/>
    <w:rsid w:val="00F83B11"/>
    <w:rsid w:val="00F8551B"/>
    <w:rsid w:val="00F85707"/>
    <w:rsid w:val="00F85A0A"/>
    <w:rsid w:val="00F8634F"/>
    <w:rsid w:val="00F90634"/>
    <w:rsid w:val="00F91834"/>
    <w:rsid w:val="00F91835"/>
    <w:rsid w:val="00F92164"/>
    <w:rsid w:val="00F932E1"/>
    <w:rsid w:val="00F93502"/>
    <w:rsid w:val="00F953DF"/>
    <w:rsid w:val="00F96D4E"/>
    <w:rsid w:val="00F96F6A"/>
    <w:rsid w:val="00F96F82"/>
    <w:rsid w:val="00F9775F"/>
    <w:rsid w:val="00F97907"/>
    <w:rsid w:val="00F97B6C"/>
    <w:rsid w:val="00FA02EE"/>
    <w:rsid w:val="00FA065F"/>
    <w:rsid w:val="00FA2AEB"/>
    <w:rsid w:val="00FA34C0"/>
    <w:rsid w:val="00FA393E"/>
    <w:rsid w:val="00FA54EE"/>
    <w:rsid w:val="00FA5EDB"/>
    <w:rsid w:val="00FA6210"/>
    <w:rsid w:val="00FA7800"/>
    <w:rsid w:val="00FA7F20"/>
    <w:rsid w:val="00FB03A7"/>
    <w:rsid w:val="00FB2BBF"/>
    <w:rsid w:val="00FB54B3"/>
    <w:rsid w:val="00FB54BC"/>
    <w:rsid w:val="00FB59E5"/>
    <w:rsid w:val="00FB5E39"/>
    <w:rsid w:val="00FB6EAB"/>
    <w:rsid w:val="00FB7570"/>
    <w:rsid w:val="00FB7B08"/>
    <w:rsid w:val="00FC108F"/>
    <w:rsid w:val="00FC17E2"/>
    <w:rsid w:val="00FC1A37"/>
    <w:rsid w:val="00FC1DD1"/>
    <w:rsid w:val="00FC31A5"/>
    <w:rsid w:val="00FC35B4"/>
    <w:rsid w:val="00FC54BD"/>
    <w:rsid w:val="00FC5EA2"/>
    <w:rsid w:val="00FC6C94"/>
    <w:rsid w:val="00FC74AD"/>
    <w:rsid w:val="00FC7792"/>
    <w:rsid w:val="00FC795C"/>
    <w:rsid w:val="00FD1B7C"/>
    <w:rsid w:val="00FD337E"/>
    <w:rsid w:val="00FD4264"/>
    <w:rsid w:val="00FD4DA0"/>
    <w:rsid w:val="00FD4DE1"/>
    <w:rsid w:val="00FD4F9F"/>
    <w:rsid w:val="00FD775A"/>
    <w:rsid w:val="00FE1EEC"/>
    <w:rsid w:val="00FE24A3"/>
    <w:rsid w:val="00FE2CA8"/>
    <w:rsid w:val="00FE3E08"/>
    <w:rsid w:val="00FE443B"/>
    <w:rsid w:val="00FE4826"/>
    <w:rsid w:val="00FE5187"/>
    <w:rsid w:val="00FE5652"/>
    <w:rsid w:val="00FE6A17"/>
    <w:rsid w:val="00FE75DE"/>
    <w:rsid w:val="00FE7DE1"/>
    <w:rsid w:val="00FF03EB"/>
    <w:rsid w:val="00FF0667"/>
    <w:rsid w:val="00FF0C9E"/>
    <w:rsid w:val="00FF1366"/>
    <w:rsid w:val="00FF1E46"/>
    <w:rsid w:val="00FF21B5"/>
    <w:rsid w:val="00FF29CA"/>
    <w:rsid w:val="00FF3A5B"/>
    <w:rsid w:val="00FF4836"/>
    <w:rsid w:val="00FF4B38"/>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42"/>
    <w:pPr>
      <w:spacing w:after="100" w:line="400" w:lineRule="exact"/>
      <w:jc w:val="both"/>
    </w:pPr>
    <w:rPr>
      <w:rFonts w:ascii="Century Schoolbook" w:hAnsi="Century Schoolbook"/>
      <w:sz w:val="27"/>
    </w:rPr>
  </w:style>
  <w:style w:type="paragraph" w:styleId="Heading1">
    <w:name w:val="heading 1"/>
    <w:basedOn w:val="Normal"/>
    <w:next w:val="Normal"/>
    <w:qFormat/>
    <w:rsid w:val="00560442"/>
    <w:pPr>
      <w:keepNext/>
      <w:spacing w:before="140" w:line="240" w:lineRule="atLeast"/>
      <w:jc w:val="center"/>
      <w:outlineLvl w:val="0"/>
    </w:pPr>
    <w:rPr>
      <w:b/>
      <w:smallCaps/>
    </w:rPr>
  </w:style>
  <w:style w:type="paragraph" w:styleId="Heading2">
    <w:name w:val="heading 2"/>
    <w:basedOn w:val="Normal"/>
    <w:next w:val="Normal"/>
    <w:qFormat/>
    <w:rsid w:val="0056044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60442"/>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560442"/>
    <w:pPr>
      <w:keepNext/>
      <w:tabs>
        <w:tab w:val="left" w:pos="2016"/>
      </w:tabs>
      <w:spacing w:before="140" w:line="240" w:lineRule="atLeast"/>
      <w:ind w:left="2016" w:hanging="432"/>
      <w:jc w:val="left"/>
      <w:outlineLvl w:val="3"/>
    </w:pPr>
    <w:rPr>
      <w:i/>
    </w:rPr>
  </w:style>
  <w:style w:type="paragraph" w:styleId="Heading5">
    <w:name w:val="heading 5"/>
    <w:basedOn w:val="Normal"/>
    <w:rsid w:val="0056044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60442"/>
    <w:pPr>
      <w:ind w:left="720"/>
    </w:pPr>
  </w:style>
  <w:style w:type="paragraph" w:styleId="Footer">
    <w:name w:val="footer"/>
    <w:basedOn w:val="Normal"/>
    <w:qFormat/>
    <w:rsid w:val="00560442"/>
    <w:pPr>
      <w:tabs>
        <w:tab w:val="center" w:pos="3960"/>
        <w:tab w:val="right" w:pos="10080"/>
      </w:tabs>
      <w:spacing w:after="0" w:line="240" w:lineRule="auto"/>
      <w:jc w:val="center"/>
    </w:pPr>
    <w:rPr>
      <w:sz w:val="22"/>
    </w:rPr>
  </w:style>
  <w:style w:type="paragraph" w:styleId="Header">
    <w:name w:val="header"/>
    <w:basedOn w:val="Normal"/>
    <w:qFormat/>
    <w:rsid w:val="0056044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60442"/>
    <w:rPr>
      <w:rFonts w:ascii="Century Schoolbook" w:hAnsi="Century Schoolbook"/>
      <w:b/>
      <w:i w:val="0"/>
      <w:position w:val="4"/>
      <w:sz w:val="27"/>
      <w:vertAlign w:val="superscript"/>
    </w:rPr>
  </w:style>
  <w:style w:type="paragraph" w:styleId="FootnoteText">
    <w:name w:val="footnote text"/>
    <w:basedOn w:val="Normal"/>
    <w:link w:val="FootnoteTextChar"/>
    <w:rsid w:val="00560442"/>
    <w:pPr>
      <w:spacing w:line="300" w:lineRule="exact"/>
    </w:pPr>
  </w:style>
  <w:style w:type="paragraph" w:customStyle="1" w:styleId="Title1">
    <w:name w:val="Title1"/>
    <w:basedOn w:val="Normal"/>
    <w:rsid w:val="00560442"/>
    <w:pPr>
      <w:tabs>
        <w:tab w:val="left" w:pos="5760"/>
        <w:tab w:val="left" w:pos="6480"/>
      </w:tabs>
      <w:spacing w:line="240" w:lineRule="atLeast"/>
    </w:pPr>
  </w:style>
  <w:style w:type="paragraph" w:customStyle="1" w:styleId="Recommend">
    <w:name w:val="Recommend"/>
    <w:basedOn w:val="Normal"/>
    <w:rsid w:val="00560442"/>
  </w:style>
  <w:style w:type="paragraph" w:customStyle="1" w:styleId="Summary">
    <w:name w:val="Summary"/>
    <w:basedOn w:val="Normal"/>
    <w:rsid w:val="00560442"/>
    <w:pPr>
      <w:ind w:left="2160" w:hanging="2160"/>
    </w:pPr>
  </w:style>
  <w:style w:type="paragraph" w:customStyle="1" w:styleId="Text">
    <w:name w:val="Text"/>
    <w:basedOn w:val="Normal"/>
    <w:rsid w:val="00560442"/>
    <w:pPr>
      <w:tabs>
        <w:tab w:val="left" w:pos="720"/>
        <w:tab w:val="left" w:pos="1440"/>
        <w:tab w:val="left" w:pos="2160"/>
        <w:tab w:val="center" w:pos="4320"/>
      </w:tabs>
      <w:spacing w:line="480" w:lineRule="atLeast"/>
      <w:ind w:firstLine="540"/>
    </w:pPr>
  </w:style>
  <w:style w:type="paragraph" w:styleId="Date">
    <w:name w:val="Date"/>
    <w:basedOn w:val="Normal"/>
    <w:semiHidden/>
    <w:rsid w:val="00560442"/>
    <w:pPr>
      <w:jc w:val="right"/>
    </w:pPr>
  </w:style>
  <w:style w:type="character" w:styleId="PageNumber">
    <w:name w:val="page number"/>
    <w:basedOn w:val="DefaultParagraphFont"/>
    <w:rsid w:val="00560442"/>
  </w:style>
  <w:style w:type="paragraph" w:customStyle="1" w:styleId="subject">
    <w:name w:val="subject"/>
    <w:basedOn w:val="Normal"/>
    <w:rsid w:val="00560442"/>
    <w:pPr>
      <w:tabs>
        <w:tab w:val="left" w:pos="1008"/>
      </w:tabs>
      <w:ind w:left="990" w:hanging="990"/>
    </w:pPr>
    <w:rPr>
      <w:b/>
    </w:rPr>
  </w:style>
  <w:style w:type="paragraph" w:customStyle="1" w:styleId="Titles">
    <w:name w:val="Titles"/>
    <w:basedOn w:val="Normal"/>
    <w:rsid w:val="00560442"/>
    <w:pPr>
      <w:tabs>
        <w:tab w:val="left" w:pos="2160"/>
      </w:tabs>
      <w:ind w:left="2160" w:hanging="2160"/>
    </w:pPr>
    <w:rPr>
      <w:b/>
    </w:rPr>
  </w:style>
  <w:style w:type="paragraph" w:styleId="TOAHeading">
    <w:name w:val="toa heading"/>
    <w:basedOn w:val="Normal"/>
    <w:next w:val="Normal"/>
    <w:semiHidden/>
    <w:rsid w:val="00560442"/>
    <w:pPr>
      <w:spacing w:before="120"/>
    </w:pPr>
    <w:rPr>
      <w:b/>
    </w:rPr>
  </w:style>
  <w:style w:type="paragraph" w:styleId="TOC1">
    <w:name w:val="toc 1"/>
    <w:basedOn w:val="Normal"/>
    <w:next w:val="Normal"/>
    <w:autoRedefine/>
    <w:semiHidden/>
    <w:rsid w:val="00560442"/>
  </w:style>
  <w:style w:type="paragraph" w:styleId="TOC2">
    <w:name w:val="toc 2"/>
    <w:basedOn w:val="Normal"/>
    <w:next w:val="Normal"/>
    <w:autoRedefine/>
    <w:semiHidden/>
    <w:rsid w:val="00560442"/>
    <w:pPr>
      <w:ind w:left="259"/>
    </w:pPr>
  </w:style>
  <w:style w:type="paragraph" w:styleId="TOC3">
    <w:name w:val="toc 3"/>
    <w:basedOn w:val="Normal"/>
    <w:next w:val="Normal"/>
    <w:autoRedefine/>
    <w:semiHidden/>
    <w:rsid w:val="00560442"/>
    <w:pPr>
      <w:ind w:left="520"/>
    </w:pPr>
  </w:style>
  <w:style w:type="paragraph" w:styleId="TOC4">
    <w:name w:val="toc 4"/>
    <w:basedOn w:val="Normal"/>
    <w:next w:val="Normal"/>
    <w:autoRedefine/>
    <w:semiHidden/>
    <w:rsid w:val="00560442"/>
    <w:pPr>
      <w:ind w:left="780"/>
    </w:pPr>
  </w:style>
  <w:style w:type="paragraph" w:styleId="TOC5">
    <w:name w:val="toc 5"/>
    <w:basedOn w:val="Normal"/>
    <w:next w:val="Normal"/>
    <w:autoRedefine/>
    <w:semiHidden/>
    <w:rsid w:val="00560442"/>
    <w:pPr>
      <w:ind w:left="1040"/>
    </w:pPr>
  </w:style>
  <w:style w:type="paragraph" w:styleId="TOC6">
    <w:name w:val="toc 6"/>
    <w:basedOn w:val="Normal"/>
    <w:next w:val="Normal"/>
    <w:autoRedefine/>
    <w:semiHidden/>
    <w:rsid w:val="00560442"/>
    <w:pPr>
      <w:ind w:left="1300"/>
    </w:pPr>
  </w:style>
  <w:style w:type="paragraph" w:styleId="TOC7">
    <w:name w:val="toc 7"/>
    <w:basedOn w:val="Normal"/>
    <w:next w:val="Normal"/>
    <w:autoRedefine/>
    <w:semiHidden/>
    <w:rsid w:val="00560442"/>
    <w:pPr>
      <w:ind w:left="1560"/>
    </w:pPr>
  </w:style>
  <w:style w:type="paragraph" w:styleId="TOC8">
    <w:name w:val="toc 8"/>
    <w:basedOn w:val="Normal"/>
    <w:next w:val="Normal"/>
    <w:autoRedefine/>
    <w:semiHidden/>
    <w:rsid w:val="00560442"/>
    <w:pPr>
      <w:ind w:left="1820"/>
    </w:pPr>
  </w:style>
  <w:style w:type="paragraph" w:styleId="TOC9">
    <w:name w:val="toc 9"/>
    <w:basedOn w:val="Normal"/>
    <w:next w:val="Normal"/>
    <w:autoRedefine/>
    <w:semiHidden/>
    <w:rsid w:val="00560442"/>
    <w:pPr>
      <w:ind w:left="2080"/>
    </w:pPr>
  </w:style>
  <w:style w:type="paragraph" w:customStyle="1" w:styleId="Contents">
    <w:name w:val="Contents"/>
    <w:basedOn w:val="Normal"/>
    <w:rsid w:val="00560442"/>
    <w:pPr>
      <w:jc w:val="center"/>
    </w:pPr>
    <w:rPr>
      <w:b/>
      <w:spacing w:val="100"/>
    </w:rPr>
  </w:style>
  <w:style w:type="paragraph" w:styleId="ListParagraph">
    <w:name w:val="List Paragraph"/>
    <w:basedOn w:val="Normal"/>
    <w:uiPriority w:val="34"/>
    <w:qFormat/>
    <w:rsid w:val="003B3AFA"/>
    <w:pPr>
      <w:ind w:left="720"/>
      <w:contextualSpacing/>
    </w:pPr>
  </w:style>
  <w:style w:type="character" w:customStyle="1" w:styleId="acy">
    <w:name w:val="acy"/>
    <w:basedOn w:val="DefaultParagraphFont"/>
    <w:rsid w:val="00CE787A"/>
  </w:style>
  <w:style w:type="character" w:styleId="CommentReference">
    <w:name w:val="annotation reference"/>
    <w:basedOn w:val="DefaultParagraphFont"/>
    <w:uiPriority w:val="99"/>
    <w:semiHidden/>
    <w:unhideWhenUsed/>
    <w:rsid w:val="00C65364"/>
    <w:rPr>
      <w:sz w:val="16"/>
      <w:szCs w:val="16"/>
    </w:rPr>
  </w:style>
  <w:style w:type="paragraph" w:styleId="CommentText">
    <w:name w:val="annotation text"/>
    <w:basedOn w:val="Normal"/>
    <w:link w:val="CommentTextChar"/>
    <w:uiPriority w:val="99"/>
    <w:unhideWhenUsed/>
    <w:rsid w:val="00C65364"/>
    <w:rPr>
      <w:sz w:val="20"/>
    </w:rPr>
  </w:style>
  <w:style w:type="character" w:customStyle="1" w:styleId="CommentTextChar">
    <w:name w:val="Comment Text Char"/>
    <w:basedOn w:val="DefaultParagraphFont"/>
    <w:link w:val="CommentText"/>
    <w:uiPriority w:val="99"/>
    <w:rsid w:val="00C65364"/>
  </w:style>
  <w:style w:type="paragraph" w:styleId="CommentSubject">
    <w:name w:val="annotation subject"/>
    <w:basedOn w:val="CommentText"/>
    <w:next w:val="CommentText"/>
    <w:link w:val="CommentSubjectChar"/>
    <w:uiPriority w:val="99"/>
    <w:semiHidden/>
    <w:unhideWhenUsed/>
    <w:rsid w:val="00C65364"/>
    <w:rPr>
      <w:b/>
      <w:bCs/>
    </w:rPr>
  </w:style>
  <w:style w:type="character" w:customStyle="1" w:styleId="CommentSubjectChar">
    <w:name w:val="Comment Subject Char"/>
    <w:basedOn w:val="CommentTextChar"/>
    <w:link w:val="CommentSubject"/>
    <w:uiPriority w:val="99"/>
    <w:semiHidden/>
    <w:rsid w:val="00C65364"/>
    <w:rPr>
      <w:b/>
      <w:bCs/>
    </w:rPr>
  </w:style>
  <w:style w:type="character" w:styleId="Hyperlink">
    <w:name w:val="Hyperlink"/>
    <w:basedOn w:val="DefaultParagraphFont"/>
    <w:uiPriority w:val="99"/>
    <w:unhideWhenUsed/>
    <w:rsid w:val="00A815E7"/>
    <w:rPr>
      <w:color w:val="0000FF" w:themeColor="hyperlink"/>
      <w:u w:val="single"/>
    </w:rPr>
  </w:style>
  <w:style w:type="character" w:customStyle="1" w:styleId="UnresolvedMention1">
    <w:name w:val="Unresolved Mention1"/>
    <w:basedOn w:val="DefaultParagraphFont"/>
    <w:uiPriority w:val="99"/>
    <w:semiHidden/>
    <w:unhideWhenUsed/>
    <w:rsid w:val="00A815E7"/>
    <w:rPr>
      <w:color w:val="605E5C"/>
      <w:shd w:val="clear" w:color="auto" w:fill="E1DFDD"/>
    </w:rPr>
  </w:style>
  <w:style w:type="character" w:customStyle="1" w:styleId="Heading4Char">
    <w:name w:val="Heading 4 Char"/>
    <w:basedOn w:val="DefaultParagraphFont"/>
    <w:link w:val="Heading4"/>
    <w:rsid w:val="00C62CFD"/>
    <w:rPr>
      <w:rFonts w:ascii="Century Schoolbook" w:hAnsi="Century Schoolbook"/>
      <w:i/>
      <w:sz w:val="27"/>
    </w:rPr>
  </w:style>
  <w:style w:type="character" w:customStyle="1" w:styleId="FootnoteTextChar">
    <w:name w:val="Footnote Text Char"/>
    <w:basedOn w:val="DefaultParagraphFont"/>
    <w:link w:val="FootnoteText"/>
    <w:rsid w:val="00FE3E08"/>
    <w:rPr>
      <w:rFonts w:ascii="Century Schoolbook" w:hAnsi="Century Schoolbook"/>
      <w:sz w:val="27"/>
    </w:rPr>
  </w:style>
  <w:style w:type="paragraph" w:styleId="Revision">
    <w:name w:val="Revision"/>
    <w:hidden/>
    <w:uiPriority w:val="99"/>
    <w:semiHidden/>
    <w:rsid w:val="002B6343"/>
    <w:rPr>
      <w:sz w:val="26"/>
    </w:rPr>
  </w:style>
  <w:style w:type="character" w:customStyle="1" w:styleId="DefaultFontHxMailStyle">
    <w:name w:val="Default Font HxMail Style"/>
    <w:basedOn w:val="DefaultParagraphFont"/>
    <w:rsid w:val="000A7EF1"/>
    <w:rPr>
      <w:rFonts w:ascii="Times New Roman" w:hAnsi="Times New Roman" w:cs="Times New Roman" w:hint="default"/>
      <w:b w:val="0"/>
      <w:bCs w:val="0"/>
      <w:i w:val="0"/>
      <w:iCs w:val="0"/>
      <w:strike w:val="0"/>
      <w:dstrike w:val="0"/>
      <w:color w:val="auto"/>
      <w:sz w:val="28"/>
      <w:u w:val="none"/>
      <w:effect w:val="none"/>
    </w:rPr>
  </w:style>
  <w:style w:type="paragraph" w:styleId="BodyText">
    <w:name w:val="Body Text"/>
    <w:basedOn w:val="Normal"/>
    <w:link w:val="BodyTextChar"/>
    <w:qFormat/>
    <w:rsid w:val="00560442"/>
  </w:style>
  <w:style w:type="character" w:customStyle="1" w:styleId="BodyTextChar">
    <w:name w:val="Body Text Char"/>
    <w:basedOn w:val="DefaultParagraphFont"/>
    <w:link w:val="BodyText"/>
    <w:rsid w:val="00560442"/>
    <w:rPr>
      <w:rFonts w:ascii="Century Schoolbook" w:hAnsi="Century Schoolbook"/>
      <w:sz w:val="27"/>
    </w:rPr>
  </w:style>
  <w:style w:type="character" w:customStyle="1" w:styleId="acb">
    <w:name w:val="acb"/>
    <w:basedOn w:val="DefaultParagraphFont"/>
    <w:rsid w:val="008020F9"/>
  </w:style>
  <w:style w:type="character" w:customStyle="1" w:styleId="normaltextrun">
    <w:name w:val="normaltextrun"/>
    <w:basedOn w:val="DefaultParagraphFont"/>
    <w:rsid w:val="00C54F3A"/>
  </w:style>
  <w:style w:type="character" w:styleId="PlaceholderText">
    <w:name w:val="Placeholder Text"/>
    <w:basedOn w:val="DefaultParagraphFont"/>
    <w:uiPriority w:val="99"/>
    <w:semiHidden/>
    <w:rsid w:val="00AD00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3023-C30B-4394-AC11-804655F7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13086</Words>
  <Characters>70882</Characters>
  <Application>Microsoft Office Word</Application>
  <DocSecurity>0</DocSecurity>
  <Lines>1513</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2023-12-14T16:57:00Z</dcterms:created>
  <dcterms:modified xsi:type="dcterms:W3CDTF">2023-12-14T16:57:00Z</dcterms:modified>
  <cp:category/>
</cp:coreProperties>
</file>