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B025D" w:rsidP="00535B5A" w14:paraId="0B824FE2" w14:textId="64B419A2">
      <w:pPr>
        <w:tabs>
          <w:tab w:val="left" w:leader="underscore" w:pos="4680"/>
        </w:tabs>
        <w:spacing w:after="0"/>
        <w:jc w:val="center"/>
        <w:rPr>
          <w:sz w:val="36"/>
        </w:rPr>
      </w:pPr>
      <w:bookmarkStart w:id="0" w:name="MarkDocLoc"/>
      <w:bookmarkEnd w:id="0"/>
      <w:r>
        <w:rPr>
          <w:b/>
          <w:sz w:val="36"/>
        </w:rPr>
        <w:t>IN THE SUPREME COURT OF CALIFORNIA</w:t>
      </w:r>
    </w:p>
    <w:p w:rsidR="00535B5A" w:rsidP="00535B5A" w14:paraId="6F4E8126" w14:textId="31BD8172">
      <w:pPr>
        <w:tabs>
          <w:tab w:val="left" w:leader="underscore" w:pos="4680"/>
        </w:tabs>
        <w:spacing w:after="0"/>
        <w:jc w:val="center"/>
      </w:pPr>
    </w:p>
    <w:p w:rsidR="00535B5A" w:rsidP="00535B5A" w14:paraId="4E1BC8F5" w14:textId="64D8B5B8">
      <w:pPr>
        <w:tabs>
          <w:tab w:val="left" w:leader="underscore" w:pos="4680"/>
        </w:tabs>
        <w:spacing w:after="0"/>
        <w:jc w:val="center"/>
      </w:pPr>
      <w:r>
        <w:t>THE PEOPLE,</w:t>
      </w:r>
    </w:p>
    <w:p w:rsidR="00535B5A" w:rsidP="00535B5A" w14:paraId="68C037F2" w14:textId="7AB2494B">
      <w:pPr>
        <w:tabs>
          <w:tab w:val="left" w:leader="underscore" w:pos="4680"/>
        </w:tabs>
        <w:spacing w:after="0"/>
        <w:jc w:val="center"/>
      </w:pPr>
      <w:r>
        <w:t>Plaintiff and Respondent,</w:t>
      </w:r>
    </w:p>
    <w:p w:rsidR="00535B5A" w:rsidP="00535B5A" w14:paraId="24B2C3CD" w14:textId="33817212">
      <w:pPr>
        <w:tabs>
          <w:tab w:val="left" w:leader="underscore" w:pos="4680"/>
        </w:tabs>
        <w:spacing w:after="0"/>
        <w:jc w:val="center"/>
      </w:pPr>
      <w:r>
        <w:t>v.</w:t>
      </w:r>
    </w:p>
    <w:p w:rsidR="00535B5A" w:rsidP="00535B5A" w14:paraId="0801ED64" w14:textId="18A1F928">
      <w:pPr>
        <w:tabs>
          <w:tab w:val="left" w:leader="underscore" w:pos="4680"/>
        </w:tabs>
        <w:spacing w:after="0"/>
        <w:jc w:val="center"/>
      </w:pPr>
      <w:r>
        <w:t>DAJAH BROWN,</w:t>
      </w:r>
    </w:p>
    <w:p w:rsidR="00535B5A" w:rsidP="00535B5A" w14:paraId="18E03B2A" w14:textId="5F1AEC08">
      <w:pPr>
        <w:tabs>
          <w:tab w:val="left" w:leader="underscore" w:pos="4680"/>
        </w:tabs>
        <w:spacing w:after="0"/>
        <w:jc w:val="center"/>
      </w:pPr>
      <w:r>
        <w:t>Defendant and Appellant.</w:t>
      </w:r>
    </w:p>
    <w:p w:rsidR="00535B5A" w:rsidP="00535B5A" w14:paraId="26DDD556" w14:textId="274E0355">
      <w:pPr>
        <w:tabs>
          <w:tab w:val="left" w:leader="underscore" w:pos="4680"/>
        </w:tabs>
        <w:spacing w:after="0"/>
        <w:jc w:val="center"/>
      </w:pPr>
    </w:p>
    <w:p w:rsidR="00535B5A" w:rsidP="00535B5A" w14:paraId="76E2AB78" w14:textId="5017619F">
      <w:pPr>
        <w:tabs>
          <w:tab w:val="left" w:leader="underscore" w:pos="4680"/>
        </w:tabs>
        <w:spacing w:after="0"/>
        <w:jc w:val="center"/>
      </w:pPr>
      <w:r>
        <w:t>S271877</w:t>
      </w:r>
    </w:p>
    <w:p w:rsidR="00535B5A" w:rsidP="00535B5A" w14:paraId="2C08FA30" w14:textId="6F72CCB7">
      <w:pPr>
        <w:tabs>
          <w:tab w:val="left" w:leader="underscore" w:pos="4680"/>
        </w:tabs>
        <w:spacing w:after="0"/>
        <w:jc w:val="center"/>
      </w:pPr>
    </w:p>
    <w:p w:rsidR="00535B5A" w:rsidP="00535B5A" w14:paraId="22247B0C" w14:textId="1CF1A90C">
      <w:pPr>
        <w:tabs>
          <w:tab w:val="left" w:leader="underscore" w:pos="4680"/>
        </w:tabs>
        <w:spacing w:after="0"/>
        <w:jc w:val="center"/>
      </w:pPr>
      <w:r>
        <w:t>Sixth Appellate District</w:t>
      </w:r>
    </w:p>
    <w:p w:rsidR="00535B5A" w:rsidP="00535B5A" w14:paraId="7DEF0400" w14:textId="316E4990">
      <w:pPr>
        <w:tabs>
          <w:tab w:val="left" w:leader="underscore" w:pos="4680"/>
        </w:tabs>
        <w:spacing w:after="0"/>
        <w:jc w:val="center"/>
      </w:pPr>
      <w:r>
        <w:t>H048462</w:t>
      </w:r>
    </w:p>
    <w:p w:rsidR="00535B5A" w:rsidP="00535B5A" w14:paraId="6F08F7DF" w14:textId="461A08B1">
      <w:pPr>
        <w:tabs>
          <w:tab w:val="left" w:leader="underscore" w:pos="4680"/>
        </w:tabs>
        <w:spacing w:after="0"/>
        <w:jc w:val="center"/>
      </w:pPr>
    </w:p>
    <w:p w:rsidR="00535B5A" w:rsidP="00535B5A" w14:paraId="6FCC50AE" w14:textId="57962A40">
      <w:pPr>
        <w:tabs>
          <w:tab w:val="left" w:leader="underscore" w:pos="4680"/>
        </w:tabs>
        <w:spacing w:after="0"/>
        <w:jc w:val="center"/>
      </w:pPr>
      <w:r>
        <w:t>Santa Clara County</w:t>
      </w:r>
      <w:r w:rsidR="00FC17EC">
        <w:t xml:space="preserve"> Superior Court</w:t>
      </w:r>
    </w:p>
    <w:p w:rsidR="00535B5A" w:rsidP="00535B5A" w14:paraId="3B2E7B6B" w14:textId="4C76F9AB">
      <w:pPr>
        <w:tabs>
          <w:tab w:val="left" w:leader="underscore" w:pos="4680"/>
        </w:tabs>
        <w:spacing w:after="0"/>
        <w:jc w:val="center"/>
      </w:pPr>
      <w:r>
        <w:t>17AP002184, C1646856</w:t>
      </w:r>
    </w:p>
    <w:p w:rsidR="00535B5A" w:rsidP="00535B5A" w14:paraId="0B54E560" w14:textId="52F0410E">
      <w:pPr>
        <w:pBdr>
          <w:bottom w:val="single" w:sz="4" w:space="1" w:color="auto"/>
        </w:pBdr>
        <w:tabs>
          <w:tab w:val="left" w:leader="underscore" w:pos="4680"/>
        </w:tabs>
        <w:spacing w:after="0"/>
        <w:jc w:val="center"/>
      </w:pPr>
    </w:p>
    <w:p w:rsidR="00535B5A" w:rsidP="00535B5A" w14:paraId="65FCA43B" w14:textId="283545B9">
      <w:pPr>
        <w:tabs>
          <w:tab w:val="left" w:leader="underscore" w:pos="4680"/>
        </w:tabs>
        <w:spacing w:after="0"/>
        <w:jc w:val="center"/>
      </w:pPr>
    </w:p>
    <w:p w:rsidR="00535B5A" w:rsidP="00535B5A" w14:paraId="1EC09F54" w14:textId="39F9831D">
      <w:pPr>
        <w:tabs>
          <w:tab w:val="left" w:leader="underscore" w:pos="4680"/>
        </w:tabs>
        <w:spacing w:after="0"/>
        <w:jc w:val="center"/>
      </w:pPr>
      <w:r>
        <w:t>March 27</w:t>
      </w:r>
      <w:r>
        <w:t>, 2023</w:t>
      </w:r>
    </w:p>
    <w:p w:rsidR="00535B5A" w:rsidP="00535B5A" w14:paraId="6636130F" w14:textId="43861040">
      <w:pPr>
        <w:tabs>
          <w:tab w:val="left" w:leader="underscore" w:pos="4680"/>
        </w:tabs>
        <w:spacing w:after="0"/>
        <w:jc w:val="center"/>
      </w:pPr>
    </w:p>
    <w:p w:rsidR="00535B5A" w:rsidP="00535B5A" w14:paraId="092A2D03" w14:textId="769E5E9F">
      <w:pPr>
        <w:tabs>
          <w:tab w:val="left" w:leader="underscore" w:pos="4680"/>
        </w:tabs>
        <w:spacing w:after="0"/>
        <w:jc w:val="left"/>
      </w:pPr>
      <w:r>
        <w:t xml:space="preserve">Justice Corrigan authored the opinion of the Court, in which </w:t>
      </w:r>
      <w:r w:rsidR="00D433C2">
        <w:t>Chief Justice Guerrero and Justices Kruger and Jenkins</w:t>
      </w:r>
      <w:r>
        <w:t xml:space="preserve"> concurred.</w:t>
      </w:r>
    </w:p>
    <w:p w:rsidR="00535B5A" w:rsidP="00535B5A" w14:paraId="4CEB82B5" w14:textId="34A102F5">
      <w:pPr>
        <w:pBdr>
          <w:bottom w:val="single" w:sz="4" w:space="1" w:color="auto"/>
        </w:pBdr>
        <w:tabs>
          <w:tab w:val="left" w:leader="underscore" w:pos="4680"/>
        </w:tabs>
        <w:spacing w:after="0"/>
        <w:jc w:val="left"/>
      </w:pPr>
    </w:p>
    <w:p w:rsidR="00802753" w:rsidP="00677692" w14:paraId="70D26886" w14:textId="5300E38D">
      <w:pPr>
        <w:pBdr>
          <w:bottom w:val="single" w:sz="4" w:space="1" w:color="auto"/>
        </w:pBdr>
        <w:tabs>
          <w:tab w:val="left" w:leader="underscore" w:pos="4680"/>
        </w:tabs>
        <w:spacing w:after="0"/>
        <w:jc w:val="left"/>
      </w:pPr>
      <w:r>
        <w:t>Justice Groban filed a concurring and dissenting opinion, in which Justices Liu and Evans concurred.</w:t>
      </w:r>
    </w:p>
    <w:p w:rsidR="00535B5A" w:rsidRPr="00535B5A" w:rsidP="00535B5A" w14:paraId="2ADB1060" w14:textId="77777777">
      <w:pPr>
        <w:pBdr>
          <w:bottom w:val="single" w:sz="4" w:space="1" w:color="auto"/>
        </w:pBdr>
        <w:tabs>
          <w:tab w:val="left" w:leader="underscore" w:pos="4680"/>
        </w:tabs>
        <w:spacing w:line="240" w:lineRule="atLeast"/>
        <w:jc w:val="left"/>
      </w:pPr>
      <w:bookmarkStart w:id="1" w:name="Return"/>
      <w:bookmarkEnd w:id="1"/>
    </w:p>
    <w:p w:rsidR="00535B5A" w:rsidP="00CF0FA4" w14:paraId="1EA74FD8" w14:textId="77777777">
      <w:pPr>
        <w:tabs>
          <w:tab w:val="left" w:leader="underscore" w:pos="4680"/>
        </w:tabs>
        <w:spacing w:line="240" w:lineRule="atLeast"/>
        <w:sectPr w:rsidSect="00535B5A">
          <w:headerReference w:type="default" r:id="rId6"/>
          <w:footerReference w:type="default" r:id="rId7"/>
          <w:pgSz w:w="12240" w:h="15840"/>
          <w:pgMar w:top="1800" w:right="2160" w:bottom="1440" w:left="2160" w:header="720" w:footer="720" w:gutter="0"/>
          <w:cols w:space="720"/>
          <w:titlePg/>
          <w:docGrid w:linePitch="367"/>
        </w:sectPr>
      </w:pPr>
    </w:p>
    <w:p w:rsidR="00535B5A" w:rsidP="00535B5A" w14:paraId="2AA1DCFB" w14:textId="7C50B7D4">
      <w:pPr>
        <w:tabs>
          <w:tab w:val="left" w:leader="underscore" w:pos="4680"/>
        </w:tabs>
        <w:jc w:val="center"/>
      </w:pPr>
      <w:r>
        <w:t>PEOPLE v. BROWN</w:t>
      </w:r>
    </w:p>
    <w:p w:rsidR="00535B5A" w:rsidP="00535B5A" w14:paraId="3C2BD2E0" w14:textId="22FB6B09">
      <w:pPr>
        <w:tabs>
          <w:tab w:val="left" w:leader="underscore" w:pos="4680"/>
        </w:tabs>
        <w:jc w:val="center"/>
      </w:pPr>
      <w:r>
        <w:t>S271877</w:t>
      </w:r>
    </w:p>
    <w:p w:rsidR="00535B5A" w:rsidP="00535B5A" w14:paraId="22460E84" w14:textId="74A7940C">
      <w:pPr>
        <w:tabs>
          <w:tab w:val="left" w:leader="underscore" w:pos="4680"/>
        </w:tabs>
        <w:jc w:val="center"/>
      </w:pPr>
    </w:p>
    <w:p w:rsidR="00535B5A" w:rsidP="00535B5A" w14:paraId="5BE7961B" w14:textId="002CD9B8">
      <w:pPr>
        <w:tabs>
          <w:tab w:val="left" w:leader="underscore" w:pos="4680"/>
        </w:tabs>
        <w:jc w:val="center"/>
      </w:pPr>
      <w:r>
        <w:t>Opinion of the Court by Corrigan, J.</w:t>
      </w:r>
    </w:p>
    <w:p w:rsidR="00535B5A" w:rsidRPr="00535B5A" w:rsidP="00535B5A" w14:paraId="53A9274F" w14:textId="77777777">
      <w:pPr>
        <w:tabs>
          <w:tab w:val="left" w:leader="underscore" w:pos="4680"/>
        </w:tabs>
        <w:jc w:val="center"/>
      </w:pPr>
    </w:p>
    <w:p w:rsidR="00B50395" w:rsidRPr="00535B5A" w:rsidP="00535B5A" w14:paraId="22DDA6CB" w14:textId="6BA5BF44">
      <w:bookmarkStart w:id="2" w:name="mainstory"/>
      <w:bookmarkEnd w:id="2"/>
      <w:r w:rsidRPr="00535B5A">
        <w:tab/>
      </w:r>
      <w:r w:rsidRPr="00535B5A" w:rsidR="00222271">
        <w:t xml:space="preserve">As part of their </w:t>
      </w:r>
      <w:r w:rsidRPr="00535B5A" w:rsidR="00FD5D99">
        <w:t>inherent power to control the litigation before them</w:t>
      </w:r>
      <w:r w:rsidRPr="00535B5A" w:rsidR="00222271">
        <w:t>, trial courts</w:t>
      </w:r>
      <w:r w:rsidRPr="00535B5A" w:rsidR="00FD5D99">
        <w:t xml:space="preserve"> enjoy broad discretion to deny continuances unsupported by </w:t>
      </w:r>
      <w:r w:rsidRPr="00535B5A" w:rsidR="000B7854">
        <w:t xml:space="preserve">a showing of </w:t>
      </w:r>
      <w:r w:rsidRPr="00535B5A" w:rsidR="00FD5D99">
        <w:t xml:space="preserve">good cause.  </w:t>
      </w:r>
      <w:r w:rsidRPr="00535B5A" w:rsidR="000B7854">
        <w:t xml:space="preserve">However, </w:t>
      </w:r>
      <w:r w:rsidRPr="00535B5A" w:rsidR="008A0236">
        <w:t>established case law</w:t>
      </w:r>
      <w:r w:rsidRPr="00535B5A" w:rsidR="00064079">
        <w:t xml:space="preserve"> </w:t>
      </w:r>
      <w:r w:rsidRPr="00535B5A" w:rsidR="008A0236">
        <w:t>holds that</w:t>
      </w:r>
      <w:r w:rsidRPr="00535B5A" w:rsidR="00064079">
        <w:t xml:space="preserve"> it is an abuse of discretion to deny a </w:t>
      </w:r>
      <w:r w:rsidR="00745BA9">
        <w:t xml:space="preserve">trial </w:t>
      </w:r>
      <w:r w:rsidRPr="00535B5A" w:rsidR="00064079">
        <w:t>continuance</w:t>
      </w:r>
      <w:r w:rsidR="00745BA9">
        <w:t>,</w:t>
      </w:r>
      <w:r w:rsidRPr="00535B5A" w:rsidR="00064079">
        <w:t xml:space="preserve"> </w:t>
      </w:r>
      <w:r w:rsidR="00745BA9">
        <w:t xml:space="preserve">solely because good cause is lacking, </w:t>
      </w:r>
      <w:r w:rsidRPr="00535B5A" w:rsidR="00064079">
        <w:t>when doing so will result</w:t>
      </w:r>
      <w:r w:rsidRPr="00535B5A" w:rsidR="008A0236">
        <w:t xml:space="preserve"> </w:t>
      </w:r>
      <w:r w:rsidRPr="00535B5A" w:rsidR="00064079">
        <w:t xml:space="preserve">in dismissal of the charges </w:t>
      </w:r>
      <w:r w:rsidR="00DF2D4E">
        <w:t xml:space="preserve">and </w:t>
      </w:r>
      <w:r w:rsidR="004525AB">
        <w:t xml:space="preserve">the </w:t>
      </w:r>
      <w:r w:rsidRPr="00535B5A" w:rsidR="008A0236">
        <w:t xml:space="preserve">continuance can be granted </w:t>
      </w:r>
      <w:r w:rsidRPr="00535B5A" w:rsidR="007B5B8A">
        <w:t xml:space="preserve">without </w:t>
      </w:r>
      <w:r w:rsidRPr="00535B5A" w:rsidR="0070656E">
        <w:t>violating</w:t>
      </w:r>
      <w:r w:rsidRPr="00535B5A" w:rsidR="007B5B8A">
        <w:t xml:space="preserve"> the defendant’s speedy trial rights.</w:t>
      </w:r>
      <w:r w:rsidRPr="00535B5A" w:rsidR="00AC61F8">
        <w:t xml:space="preserve"> </w:t>
      </w:r>
      <w:r w:rsidRPr="00535B5A" w:rsidR="007B5B8A">
        <w:t xml:space="preserve"> </w:t>
      </w:r>
      <w:r w:rsidRPr="00535B5A" w:rsidR="00AC61F8">
        <w:t>(See</w:t>
      </w:r>
      <w:r w:rsidRPr="00535B5A" w:rsidR="0070656E">
        <w:t xml:space="preserve"> </w:t>
      </w:r>
      <w:r w:rsidRPr="00535B5A" w:rsidR="0070656E">
        <w:rPr>
          <w:i/>
          <w:iCs/>
        </w:rPr>
        <w:t>People v. Ferguson</w:t>
      </w:r>
      <w:r w:rsidRPr="00535B5A" w:rsidR="0070656E">
        <w:t xml:space="preserve"> (1990) 218 Cal.App.3d 1173 (</w:t>
      </w:r>
      <w:r w:rsidRPr="00535B5A" w:rsidR="0070656E">
        <w:rPr>
          <w:i/>
          <w:iCs/>
        </w:rPr>
        <w:t>Ferguson</w:t>
      </w:r>
      <w:r w:rsidRPr="00535B5A" w:rsidR="0070656E">
        <w:t>)</w:t>
      </w:r>
      <w:r w:rsidRPr="00535B5A" w:rsidR="00AC61F8">
        <w:t xml:space="preserve">; </w:t>
      </w:r>
      <w:r w:rsidRPr="00535B5A" w:rsidR="00CF7338">
        <w:t xml:space="preserve">see also </w:t>
      </w:r>
      <w:r w:rsidRPr="00535B5A" w:rsidR="0070656E">
        <w:t>Pen. Code., §§ 1050, subd. (</w:t>
      </w:r>
      <w:r w:rsidRPr="00535B5A" w:rsidR="0070656E">
        <w:rPr>
          <w:i/>
          <w:iCs/>
        </w:rPr>
        <w:t>l</w:t>
      </w:r>
      <w:r w:rsidRPr="00535B5A" w:rsidR="0070656E">
        <w:t>), 1050.5, subd. (b).)</w:t>
      </w:r>
      <w:r>
        <w:rPr>
          <w:rStyle w:val="FootnoteReference"/>
        </w:rPr>
        <w:footnoteReference w:id="3"/>
      </w:r>
    </w:p>
    <w:p w:rsidR="006B716C" w:rsidRPr="00535B5A" w:rsidP="00535B5A" w14:paraId="35364CBA" w14:textId="75070BC8">
      <w:r w:rsidRPr="00535B5A">
        <w:tab/>
      </w:r>
      <w:r w:rsidRPr="00535B5A" w:rsidR="000C04A1">
        <w:t xml:space="preserve">This case involves a motion to continue </w:t>
      </w:r>
      <w:r w:rsidRPr="00535B5A" w:rsidR="00DD7B97">
        <w:t xml:space="preserve">the hearing on </w:t>
      </w:r>
      <w:r w:rsidRPr="00535B5A" w:rsidR="000C04A1">
        <w:t xml:space="preserve">a </w:t>
      </w:r>
      <w:r w:rsidRPr="00535B5A" w:rsidR="00DD7B97">
        <w:t xml:space="preserve">suppression </w:t>
      </w:r>
      <w:r w:rsidRPr="00535B5A" w:rsidR="000C04A1">
        <w:t>motion.</w:t>
      </w:r>
      <w:r w:rsidRPr="00535B5A" w:rsidR="00DD7B97">
        <w:t xml:space="preserve">  (§ 1538.5.)</w:t>
      </w:r>
      <w:r w:rsidRPr="00535B5A" w:rsidR="000C04A1">
        <w:t xml:space="preserve">  </w:t>
      </w:r>
      <w:r w:rsidRPr="00535B5A" w:rsidR="00064079">
        <w:t>We conclude</w:t>
      </w:r>
      <w:r w:rsidRPr="00535B5A" w:rsidR="00E2239B">
        <w:t xml:space="preserve"> </w:t>
      </w:r>
      <w:r w:rsidRPr="00535B5A" w:rsidR="007B5B8A">
        <w:t xml:space="preserve">the </w:t>
      </w:r>
      <w:r w:rsidR="00D94C81">
        <w:rPr>
          <w:i/>
          <w:iCs/>
        </w:rPr>
        <w:t xml:space="preserve">Ferguson </w:t>
      </w:r>
      <w:r w:rsidRPr="00535B5A" w:rsidR="00D64CD9">
        <w:t xml:space="preserve">principles apply </w:t>
      </w:r>
      <w:r w:rsidRPr="00535B5A" w:rsidR="00E2239B">
        <w:t xml:space="preserve">when the People are unable to proceed with </w:t>
      </w:r>
      <w:r w:rsidRPr="00535B5A" w:rsidR="00DD7B97">
        <w:t xml:space="preserve">such </w:t>
      </w:r>
      <w:r w:rsidRPr="00535B5A" w:rsidR="00E2239B">
        <w:t xml:space="preserve">a </w:t>
      </w:r>
      <w:r w:rsidRPr="00535B5A" w:rsidR="00DD7B97">
        <w:t>hearing</w:t>
      </w:r>
      <w:r w:rsidRPr="00535B5A" w:rsidR="00E2239B">
        <w:t xml:space="preserve">. </w:t>
      </w:r>
      <w:r w:rsidRPr="00535B5A" w:rsidR="00D64CD9">
        <w:t xml:space="preserve"> </w:t>
      </w:r>
      <w:r w:rsidRPr="00535B5A" w:rsidR="00E2239B">
        <w:t xml:space="preserve">If </w:t>
      </w:r>
      <w:r w:rsidRPr="00535B5A" w:rsidR="00337D8E">
        <w:t>the</w:t>
      </w:r>
      <w:r w:rsidR="004525AB">
        <w:t xml:space="preserve"> challenged</w:t>
      </w:r>
      <w:r w:rsidR="00F420F9">
        <w:t xml:space="preserve"> </w:t>
      </w:r>
      <w:r w:rsidRPr="00535B5A" w:rsidR="002134C0">
        <w:t xml:space="preserve">evidence is so critical </w:t>
      </w:r>
      <w:r w:rsidRPr="00535B5A">
        <w:t xml:space="preserve">that </w:t>
      </w:r>
      <w:r w:rsidRPr="00535B5A" w:rsidR="00337D8E">
        <w:t xml:space="preserve">its suppression </w:t>
      </w:r>
      <w:r w:rsidRPr="00535B5A">
        <w:t xml:space="preserve">would </w:t>
      </w:r>
      <w:r w:rsidRPr="00535B5A" w:rsidR="00337D8E">
        <w:t>require dismissal of the case</w:t>
      </w:r>
      <w:r w:rsidRPr="00535B5A">
        <w:t xml:space="preserve">, the court </w:t>
      </w:r>
      <w:r w:rsidRPr="00535B5A" w:rsidR="0072746F">
        <w:t xml:space="preserve">must </w:t>
      </w:r>
      <w:r w:rsidRPr="00535B5A" w:rsidR="00064079">
        <w:t xml:space="preserve">generally </w:t>
      </w:r>
      <w:r w:rsidRPr="00535B5A" w:rsidR="0072746F">
        <w:t xml:space="preserve">grant a </w:t>
      </w:r>
      <w:r w:rsidRPr="00535B5A" w:rsidR="00337D8E">
        <w:t xml:space="preserve">continuance </w:t>
      </w:r>
      <w:r w:rsidR="00B33BFD">
        <w:t>unless dismissal would be in furtherance of justice</w:t>
      </w:r>
      <w:r w:rsidRPr="00535B5A" w:rsidR="00FB5FF3">
        <w:t>.</w:t>
      </w:r>
      <w:r w:rsidRPr="00535B5A" w:rsidR="00064079">
        <w:t xml:space="preserve">  </w:t>
      </w:r>
      <w:r w:rsidR="00751138">
        <w:t>T</w:t>
      </w:r>
      <w:r w:rsidRPr="00535B5A" w:rsidR="00064079">
        <w:t>he burden is on the prosecution</w:t>
      </w:r>
      <w:r w:rsidRPr="00535B5A" w:rsidR="00987E01">
        <w:t xml:space="preserve"> to show </w:t>
      </w:r>
      <w:r w:rsidR="004525AB">
        <w:t>an inability to go forward with</w:t>
      </w:r>
      <w:r w:rsidR="00751138">
        <w:t xml:space="preserve">out the </w:t>
      </w:r>
      <w:r w:rsidR="00BF2801">
        <w:t xml:space="preserve">evidence in dispute.  </w:t>
      </w:r>
      <w:r w:rsidR="00745BA9">
        <w:t>T</w:t>
      </w:r>
      <w:r w:rsidRPr="00301452" w:rsidR="004525AB">
        <w:t xml:space="preserve">he </w:t>
      </w:r>
      <w:r w:rsidRPr="00535B5A" w:rsidR="00AD33FC">
        <w:t>court</w:t>
      </w:r>
      <w:r w:rsidR="007C6B94">
        <w:t>, however, must</w:t>
      </w:r>
      <w:r w:rsidRPr="00535B5A" w:rsidR="00AD33FC">
        <w:t xml:space="preserve"> </w:t>
      </w:r>
      <w:r w:rsidR="00BF2801">
        <w:t>ultimately</w:t>
      </w:r>
      <w:r w:rsidR="004C41C0">
        <w:t xml:space="preserve"> determine whether dismissal of the case is reasonably probable</w:t>
      </w:r>
      <w:r w:rsidR="00E76038">
        <w:t xml:space="preserve"> absent a continuance. </w:t>
      </w:r>
    </w:p>
    <w:p w:rsidR="00CF0FA4" w:rsidRPr="00535B5A" w:rsidP="00535B5A" w14:paraId="02D2578F" w14:textId="77777777">
      <w:pPr>
        <w:keepNext/>
        <w:tabs>
          <w:tab w:val="left" w:pos="1440"/>
        </w:tabs>
        <w:jc w:val="center"/>
        <w:outlineLvl w:val="0"/>
        <w:rPr>
          <w:bCs/>
          <w:caps/>
        </w:rPr>
      </w:pPr>
      <w:r w:rsidRPr="00535B5A">
        <w:rPr>
          <w:bCs/>
          <w:caps/>
        </w:rPr>
        <w:t xml:space="preserve">I.  </w:t>
      </w:r>
      <w:r w:rsidRPr="00535B5A">
        <w:rPr>
          <w:bCs/>
          <w:caps/>
        </w:rPr>
        <w:t>BACKGROUND</w:t>
      </w:r>
    </w:p>
    <w:p w:rsidR="0021071E" w:rsidRPr="00535B5A" w:rsidP="00535B5A" w14:paraId="6758E292" w14:textId="1E1CA192">
      <w:r w:rsidRPr="00535B5A">
        <w:tab/>
      </w:r>
      <w:r w:rsidRPr="00535B5A" w:rsidR="00222271">
        <w:t xml:space="preserve">Near 11:30 p.m. on July 13, 2016, San Jose Police Department Officer Nader Yasin </w:t>
      </w:r>
      <w:r w:rsidRPr="00535B5A" w:rsidR="00B94780">
        <w:t xml:space="preserve">saw defendant </w:t>
      </w:r>
      <w:r w:rsidRPr="00535B5A" w:rsidR="00E2239B">
        <w:t xml:space="preserve">and another woman standing </w:t>
      </w:r>
      <w:r w:rsidRPr="00535B5A" w:rsidR="00222271">
        <w:t xml:space="preserve">in an area known for prostitution. </w:t>
      </w:r>
      <w:r w:rsidRPr="00535B5A" w:rsidR="007450EC">
        <w:t xml:space="preserve"> </w:t>
      </w:r>
      <w:r w:rsidRPr="00535B5A" w:rsidR="00987E01">
        <w:t>Upon noticing</w:t>
      </w:r>
      <w:r w:rsidRPr="00535B5A" w:rsidR="00E2239B">
        <w:t xml:space="preserve"> </w:t>
      </w:r>
      <w:r w:rsidRPr="00535B5A" w:rsidR="007450EC">
        <w:t>the officer’s patrol car, the</w:t>
      </w:r>
      <w:r w:rsidRPr="00535B5A" w:rsidR="00987E01">
        <w:t xml:space="preserve"> women</w:t>
      </w:r>
      <w:r w:rsidRPr="00535B5A" w:rsidR="007450EC">
        <w:t xml:space="preserve"> walked away in </w:t>
      </w:r>
      <w:r w:rsidRPr="00535B5A" w:rsidR="00DF3976">
        <w:t xml:space="preserve">opposite </w:t>
      </w:r>
      <w:r w:rsidRPr="00535B5A" w:rsidR="007450EC">
        <w:t>directions.  O</w:t>
      </w:r>
      <w:r w:rsidRPr="00535B5A" w:rsidR="00222271">
        <w:t>fficer</w:t>
      </w:r>
      <w:r w:rsidRPr="00535B5A" w:rsidR="007450EC">
        <w:t xml:space="preserve"> Yasin</w:t>
      </w:r>
      <w:r w:rsidRPr="00535B5A" w:rsidR="00222271">
        <w:t xml:space="preserve"> followed </w:t>
      </w:r>
      <w:r w:rsidRPr="00535B5A" w:rsidR="007450EC">
        <w:t xml:space="preserve">defendant </w:t>
      </w:r>
      <w:r w:rsidRPr="00535B5A" w:rsidR="00522BF6">
        <w:t xml:space="preserve">and </w:t>
      </w:r>
      <w:r w:rsidRPr="00535B5A" w:rsidR="00DF3976">
        <w:t xml:space="preserve">detained </w:t>
      </w:r>
      <w:r w:rsidRPr="00535B5A" w:rsidR="00222271">
        <w:t xml:space="preserve">her.  </w:t>
      </w:r>
      <w:r w:rsidRPr="00535B5A" w:rsidR="007450EC">
        <w:t>Defendant</w:t>
      </w:r>
      <w:r w:rsidRPr="00535B5A" w:rsidR="00222271">
        <w:t xml:space="preserve"> </w:t>
      </w:r>
      <w:r w:rsidRPr="00535B5A" w:rsidR="00DF3976">
        <w:t>admitted</w:t>
      </w:r>
      <w:r w:rsidRPr="00535B5A" w:rsidR="00222271">
        <w:t xml:space="preserve"> </w:t>
      </w:r>
      <w:r w:rsidRPr="00535B5A" w:rsidR="000C04A1">
        <w:t xml:space="preserve">she worked </w:t>
      </w:r>
      <w:r w:rsidRPr="00535B5A" w:rsidR="00222271">
        <w:t xml:space="preserve">as a prostitute but </w:t>
      </w:r>
      <w:r w:rsidRPr="00535B5A" w:rsidR="007450EC">
        <w:t xml:space="preserve">said she </w:t>
      </w:r>
      <w:r w:rsidRPr="00535B5A" w:rsidR="00222271">
        <w:t>had</w:t>
      </w:r>
      <w:r w:rsidRPr="00535B5A" w:rsidR="007450EC">
        <w:t xml:space="preserve"> no</w:t>
      </w:r>
      <w:r w:rsidRPr="00535B5A" w:rsidR="00222271">
        <w:t xml:space="preserve">t had any “dates” </w:t>
      </w:r>
      <w:r w:rsidRPr="00535B5A" w:rsidR="007450EC">
        <w:t>that night</w:t>
      </w:r>
      <w:r w:rsidRPr="00535B5A" w:rsidR="00222271">
        <w:t xml:space="preserve">. </w:t>
      </w:r>
      <w:r w:rsidRPr="00535B5A" w:rsidR="007450EC">
        <w:t xml:space="preserve"> </w:t>
      </w:r>
      <w:r w:rsidRPr="00535B5A" w:rsidR="00222271">
        <w:t xml:space="preserve">When asked if </w:t>
      </w:r>
      <w:r w:rsidRPr="00535B5A" w:rsidR="00AB4509">
        <w:t>she</w:t>
      </w:r>
      <w:r w:rsidRPr="00535B5A" w:rsidR="00222271">
        <w:t xml:space="preserve"> had any condoms, she </w:t>
      </w:r>
      <w:r w:rsidRPr="00535B5A" w:rsidR="007450EC">
        <w:t>produced</w:t>
      </w:r>
      <w:r w:rsidRPr="00535B5A" w:rsidR="00222271">
        <w:t xml:space="preserve"> four.</w:t>
      </w:r>
      <w:r w:rsidRPr="00535B5A" w:rsidR="00AB4509">
        <w:t xml:space="preserve"> </w:t>
      </w:r>
      <w:r w:rsidRPr="00535B5A" w:rsidR="00222271">
        <w:t xml:space="preserve"> </w:t>
      </w:r>
      <w:r w:rsidRPr="00535B5A" w:rsidR="00AB4509">
        <w:t>After an advisement, defendant</w:t>
      </w:r>
      <w:r w:rsidRPr="00535B5A" w:rsidR="00222271">
        <w:t xml:space="preserve"> waived </w:t>
      </w:r>
      <w:r w:rsidRPr="00535B5A" w:rsidR="00AB4509">
        <w:t xml:space="preserve">her </w:t>
      </w:r>
      <w:r w:rsidRPr="00535B5A" w:rsidR="00AB4509">
        <w:rPr>
          <w:i/>
          <w:iCs/>
        </w:rPr>
        <w:t>Miranda</w:t>
      </w:r>
      <w:r w:rsidRPr="00535B5A" w:rsidR="00222271">
        <w:t xml:space="preserve"> rights and</w:t>
      </w:r>
      <w:r w:rsidRPr="00535B5A" w:rsidR="003C2DCB">
        <w:t xml:space="preserve"> admitted </w:t>
      </w:r>
      <w:r w:rsidRPr="00535B5A" w:rsidR="0094715A">
        <w:t xml:space="preserve">she had been </w:t>
      </w:r>
      <w:r w:rsidRPr="00535B5A" w:rsidR="003C2DCB">
        <w:t>loitering for purposes of prostitution</w:t>
      </w:r>
      <w:r w:rsidRPr="00535B5A" w:rsidR="00987E01">
        <w:t xml:space="preserve">. </w:t>
      </w:r>
      <w:r w:rsidRPr="00535B5A" w:rsidR="003C2DCB">
        <w:t xml:space="preserve"> (</w:t>
      </w:r>
      <w:r w:rsidR="00EF219A">
        <w:t xml:space="preserve">Former </w:t>
      </w:r>
      <w:r w:rsidRPr="00535B5A" w:rsidR="003C2DCB">
        <w:t>§ 653.22, subd. (a)</w:t>
      </w:r>
      <w:r w:rsidRPr="00535B5A" w:rsidR="00987E01">
        <w:t xml:space="preserve">; </w:t>
      </w:r>
      <w:r w:rsidRPr="00535B5A" w:rsidR="00987E01">
        <w:rPr>
          <w:i/>
          <w:iCs/>
        </w:rPr>
        <w:t>Miranda v. Arizona</w:t>
      </w:r>
      <w:r w:rsidRPr="00535B5A" w:rsidR="00987E01">
        <w:t xml:space="preserve"> (1966) 384 U.S. 436.</w:t>
      </w:r>
      <w:r w:rsidRPr="00535B5A" w:rsidR="003C2DCB">
        <w:t>)</w:t>
      </w:r>
      <w:r w:rsidRPr="00535B5A" w:rsidR="0094715A">
        <w:t xml:space="preserve">  She was cited</w:t>
      </w:r>
      <w:r w:rsidRPr="00535B5A" w:rsidR="003C2DCB">
        <w:t xml:space="preserve"> and </w:t>
      </w:r>
      <w:r w:rsidRPr="00535B5A" w:rsidR="00AB4509">
        <w:t xml:space="preserve">released. </w:t>
      </w:r>
    </w:p>
    <w:p w:rsidR="00AC5636" w:rsidRPr="00535B5A" w:rsidP="00535B5A" w14:paraId="6C160CB7" w14:textId="3444B11E">
      <w:r w:rsidRPr="00535B5A">
        <w:tab/>
      </w:r>
      <w:r w:rsidRPr="00535B5A" w:rsidR="00B177C5">
        <w:t>D</w:t>
      </w:r>
      <w:r w:rsidRPr="00535B5A" w:rsidR="003C2DCB">
        <w:t xml:space="preserve">efendant </w:t>
      </w:r>
      <w:r w:rsidRPr="00535B5A" w:rsidR="00B177C5">
        <w:t>was arraigned</w:t>
      </w:r>
      <w:r w:rsidRPr="00535B5A" w:rsidR="0075282C">
        <w:t>,</w:t>
      </w:r>
      <w:r w:rsidRPr="00535B5A" w:rsidR="00B177C5">
        <w:t xml:space="preserve"> </w:t>
      </w:r>
      <w:r w:rsidRPr="00535B5A" w:rsidR="0075282C">
        <w:t xml:space="preserve">entered a plea of not guilty, and waived her right to a speedy trial.  On January 19, 2017, she </w:t>
      </w:r>
      <w:r w:rsidRPr="00535B5A" w:rsidR="003C2DCB">
        <w:t xml:space="preserve">moved to suppress </w:t>
      </w:r>
      <w:r w:rsidR="00DF22D5">
        <w:t xml:space="preserve">both </w:t>
      </w:r>
      <w:r w:rsidR="004525AB">
        <w:t xml:space="preserve">her statements and the physical </w:t>
      </w:r>
      <w:r w:rsidRPr="00535B5A" w:rsidR="003C2DCB">
        <w:t xml:space="preserve">evidence </w:t>
      </w:r>
      <w:r w:rsidRPr="00535B5A" w:rsidR="004C67C3">
        <w:t>gathered by</w:t>
      </w:r>
      <w:r w:rsidRPr="00535B5A" w:rsidR="003C2DCB">
        <w:t xml:space="preserve"> Officer Yasin</w:t>
      </w:r>
      <w:r w:rsidRPr="00535B5A" w:rsidR="004C67C3">
        <w:t xml:space="preserve"> as the fruit of an unlawful detention</w:t>
      </w:r>
      <w:r w:rsidRPr="00535B5A" w:rsidR="0094715A">
        <w:t xml:space="preserve">. </w:t>
      </w:r>
      <w:r w:rsidRPr="00535B5A" w:rsidR="003C2DCB">
        <w:t xml:space="preserve"> </w:t>
      </w:r>
      <w:r w:rsidRPr="00535B5A" w:rsidR="00B177C5">
        <w:t xml:space="preserve">(§ 1538.5.) </w:t>
      </w:r>
      <w:r w:rsidRPr="00535B5A" w:rsidR="0075282C">
        <w:t xml:space="preserve"> </w:t>
      </w:r>
      <w:r w:rsidRPr="00535B5A" w:rsidR="0094715A">
        <w:t xml:space="preserve">On the date scheduled for the suppression </w:t>
      </w:r>
      <w:r w:rsidRPr="00535B5A" w:rsidR="0075282C">
        <w:t>hearing</w:t>
      </w:r>
      <w:r w:rsidRPr="00535B5A" w:rsidR="0094715A">
        <w:t xml:space="preserve">, </w:t>
      </w:r>
      <w:r w:rsidRPr="00535B5A" w:rsidR="00B177C5">
        <w:t xml:space="preserve">the prosecutor </w:t>
      </w:r>
      <w:r w:rsidRPr="00535B5A" w:rsidR="0094715A">
        <w:t xml:space="preserve">orally </w:t>
      </w:r>
      <w:r w:rsidRPr="00535B5A" w:rsidR="00B177C5">
        <w:t>requested a continuance.  He explained that</w:t>
      </w:r>
      <w:r w:rsidRPr="00535B5A" w:rsidR="004C67C3">
        <w:t xml:space="preserve"> </w:t>
      </w:r>
      <w:r w:rsidRPr="00535B5A" w:rsidR="00B177C5">
        <w:t xml:space="preserve">Yasin </w:t>
      </w:r>
      <w:r w:rsidRPr="00535B5A" w:rsidR="00802D77">
        <w:t xml:space="preserve">was under subpoena </w:t>
      </w:r>
      <w:r w:rsidRPr="00535B5A" w:rsidR="004C67C3">
        <w:t xml:space="preserve">but </w:t>
      </w:r>
      <w:r w:rsidRPr="00535B5A" w:rsidR="00B177C5">
        <w:t xml:space="preserve">had called </w:t>
      </w:r>
      <w:r w:rsidRPr="00535B5A" w:rsidR="00802D77">
        <w:t xml:space="preserve">during the lunch </w:t>
      </w:r>
      <w:r w:rsidRPr="00535B5A" w:rsidR="0094715A">
        <w:t xml:space="preserve">recess to report </w:t>
      </w:r>
      <w:r w:rsidRPr="00535B5A" w:rsidR="0075282C">
        <w:t>that</w:t>
      </w:r>
      <w:r w:rsidRPr="00535B5A" w:rsidR="00802D77">
        <w:t xml:space="preserve"> he was the only</w:t>
      </w:r>
      <w:r w:rsidRPr="00535B5A" w:rsidR="003031ED">
        <w:t xml:space="preserve"> gang unit</w:t>
      </w:r>
      <w:r w:rsidRPr="00535B5A" w:rsidR="00802D77">
        <w:t xml:space="preserve"> officer</w:t>
      </w:r>
      <w:r w:rsidRPr="00535B5A" w:rsidR="003031ED">
        <w:t xml:space="preserve"> available to interview a </w:t>
      </w:r>
      <w:r w:rsidRPr="00535B5A" w:rsidR="00983714">
        <w:t xml:space="preserve">percipient </w:t>
      </w:r>
      <w:r w:rsidRPr="00535B5A" w:rsidR="003031ED">
        <w:t xml:space="preserve">witness to a shooting.  The interview was scheduled at the same time as the hearing.  </w:t>
      </w:r>
      <w:r w:rsidRPr="00535B5A" w:rsidR="0094715A">
        <w:t>Without consulting the court or notifying</w:t>
      </w:r>
      <w:r w:rsidRPr="00535B5A" w:rsidR="00527517">
        <w:t xml:space="preserve"> opposing</w:t>
      </w:r>
      <w:r w:rsidRPr="00535B5A" w:rsidR="0094715A">
        <w:t xml:space="preserve"> counsel, the </w:t>
      </w:r>
      <w:r w:rsidRPr="00535B5A" w:rsidR="003031ED">
        <w:t>prosecutor told Yasin “it would be okay</w:t>
      </w:r>
      <w:r w:rsidRPr="00535B5A" w:rsidR="00865D02">
        <w:t xml:space="preserve">” for him to conduct the interview </w:t>
      </w:r>
      <w:r w:rsidR="004525AB">
        <w:t xml:space="preserve">rather than </w:t>
      </w:r>
      <w:r w:rsidRPr="00535B5A" w:rsidR="0094715A">
        <w:t>com</w:t>
      </w:r>
      <w:r w:rsidR="007C6B94">
        <w:t>e</w:t>
      </w:r>
      <w:r w:rsidRPr="00535B5A" w:rsidR="0094715A">
        <w:t xml:space="preserve"> to court.</w:t>
      </w:r>
      <w:r w:rsidRPr="00535B5A" w:rsidR="00865D02">
        <w:t xml:space="preserve">  Defendant objected to </w:t>
      </w:r>
      <w:r w:rsidRPr="00535B5A" w:rsidR="00983714">
        <w:t>a</w:t>
      </w:r>
      <w:r w:rsidRPr="00535B5A" w:rsidR="00865D02">
        <w:t xml:space="preserve"> continuance, arguing </w:t>
      </w:r>
      <w:r w:rsidRPr="00535B5A" w:rsidR="0094715A">
        <w:t xml:space="preserve">a lack of good cause. </w:t>
      </w:r>
      <w:r w:rsidRPr="00535B5A" w:rsidR="00865D02">
        <w:t xml:space="preserve"> The court agreed</w:t>
      </w:r>
      <w:r w:rsidR="004525AB">
        <w:t xml:space="preserve"> and</w:t>
      </w:r>
      <w:r w:rsidR="00F420F9">
        <w:t xml:space="preserve"> </w:t>
      </w:r>
      <w:r w:rsidRPr="00535B5A" w:rsidR="00865D02">
        <w:t>passed the matter</w:t>
      </w:r>
      <w:r w:rsidR="004525AB">
        <w:t xml:space="preserve"> </w:t>
      </w:r>
      <w:r w:rsidR="00C000FA">
        <w:t xml:space="preserve">to the afternoon </w:t>
      </w:r>
      <w:r w:rsidRPr="00535B5A" w:rsidR="0094715A">
        <w:t xml:space="preserve">to allow </w:t>
      </w:r>
      <w:r w:rsidRPr="00535B5A" w:rsidR="00865D02">
        <w:t xml:space="preserve">the prosecutor </w:t>
      </w:r>
      <w:r w:rsidRPr="00535B5A" w:rsidR="0094715A">
        <w:t xml:space="preserve">to secure the officer’s presence. </w:t>
      </w:r>
    </w:p>
    <w:p w:rsidR="00AB4509" w:rsidRPr="00535B5A" w:rsidP="00535B5A" w14:paraId="107A2C9C" w14:textId="14767F1C">
      <w:r w:rsidRPr="00535B5A">
        <w:tab/>
      </w:r>
      <w:r w:rsidRPr="00535B5A" w:rsidR="00983714">
        <w:t xml:space="preserve">When the </w:t>
      </w:r>
      <w:r w:rsidRPr="00535B5A" w:rsidR="004C67C3">
        <w:t>case</w:t>
      </w:r>
      <w:r w:rsidRPr="00535B5A" w:rsidR="00983714">
        <w:t xml:space="preserve"> was recalled, </w:t>
      </w:r>
      <w:r w:rsidRPr="00535B5A">
        <w:t>Officer Yasi</w:t>
      </w:r>
      <w:r w:rsidRPr="00535B5A" w:rsidR="0094715A">
        <w:t>n did not appear</w:t>
      </w:r>
      <w:r w:rsidRPr="00535B5A" w:rsidR="00EA6A51">
        <w:t xml:space="preserve"> and the prosecutor gave no further explanation. </w:t>
      </w:r>
      <w:r w:rsidRPr="00535B5A">
        <w:t xml:space="preserve"> </w:t>
      </w:r>
      <w:r w:rsidRPr="00535B5A" w:rsidR="00EA6A51">
        <w:t>N</w:t>
      </w:r>
      <w:r w:rsidRPr="00535B5A">
        <w:t>evertheless</w:t>
      </w:r>
      <w:r w:rsidRPr="00535B5A" w:rsidR="00AD33FC">
        <w:t>,</w:t>
      </w:r>
      <w:r w:rsidRPr="00535B5A">
        <w:t xml:space="preserve"> </w:t>
      </w:r>
      <w:r w:rsidRPr="00535B5A" w:rsidR="00EA6A51">
        <w:t xml:space="preserve">he </w:t>
      </w:r>
      <w:r w:rsidRPr="00535B5A">
        <w:t xml:space="preserve">urged the court to </w:t>
      </w:r>
      <w:r w:rsidRPr="00535B5A" w:rsidR="00522BF6">
        <w:t xml:space="preserve">continue the matter, </w:t>
      </w:r>
      <w:r w:rsidRPr="00535B5A" w:rsidR="008A0F9C">
        <w:t xml:space="preserve">noting Yasin’s testimony was </w:t>
      </w:r>
      <w:r w:rsidRPr="00535B5A" w:rsidR="00430535">
        <w:t>needed to respond to the motion</w:t>
      </w:r>
      <w:r w:rsidRPr="00535B5A" w:rsidR="00255A09">
        <w:t xml:space="preserve"> and the </w:t>
      </w:r>
      <w:r w:rsidR="009B5A2C">
        <w:t>challenged</w:t>
      </w:r>
      <w:r w:rsidR="004525AB">
        <w:t xml:space="preserve"> evidence was </w:t>
      </w:r>
      <w:r w:rsidRPr="00535B5A" w:rsidR="008A0F9C">
        <w:t>critical to the People’s case</w:t>
      </w:r>
      <w:r w:rsidRPr="00535B5A">
        <w:t xml:space="preserve">.  </w:t>
      </w:r>
      <w:r w:rsidRPr="00535B5A" w:rsidR="008A0F9C">
        <w:t xml:space="preserve">He observed that the People needed only a brief continuance and </w:t>
      </w:r>
      <w:r w:rsidRPr="00535B5A" w:rsidR="00987E01">
        <w:t xml:space="preserve">argued </w:t>
      </w:r>
      <w:r w:rsidRPr="00535B5A" w:rsidR="008A0F9C">
        <w:t xml:space="preserve">defendant would suffer no prejudice because she </w:t>
      </w:r>
      <w:r w:rsidR="004525AB">
        <w:t xml:space="preserve">was out of custody and </w:t>
      </w:r>
      <w:r w:rsidRPr="00535B5A" w:rsidR="008A0F9C">
        <w:t>had waived her speedy trial rights</w:t>
      </w:r>
      <w:r w:rsidRPr="00535B5A">
        <w:t xml:space="preserve">. </w:t>
      </w:r>
      <w:r w:rsidRPr="00535B5A" w:rsidR="008A0F9C">
        <w:t xml:space="preserve"> </w:t>
      </w:r>
      <w:r w:rsidRPr="00CB1F98" w:rsidR="008A0F9C">
        <w:t>The</w:t>
      </w:r>
      <w:r w:rsidRPr="00535B5A" w:rsidR="008A0F9C">
        <w:t xml:space="preserve"> court rejected these arguments and denied the continuance for lack of good cause</w:t>
      </w:r>
      <w:r w:rsidRPr="00535B5A" w:rsidR="000140BF">
        <w:t xml:space="preserve">. </w:t>
      </w:r>
      <w:r w:rsidRPr="00535B5A" w:rsidR="004C67C3">
        <w:t xml:space="preserve"> Because the People </w:t>
      </w:r>
      <w:r w:rsidR="00C25F8A">
        <w:t>had no witness</w:t>
      </w:r>
      <w:r w:rsidR="004525AB">
        <w:t>,</w:t>
      </w:r>
      <w:r w:rsidRPr="00535B5A" w:rsidR="0094715A">
        <w:t xml:space="preserve"> </w:t>
      </w:r>
      <w:r w:rsidRPr="00535B5A" w:rsidR="007900B4">
        <w:t xml:space="preserve">the </w:t>
      </w:r>
      <w:r w:rsidR="0027152B">
        <w:t xml:space="preserve">suppression motion was </w:t>
      </w:r>
      <w:r w:rsidRPr="00535B5A" w:rsidR="007900B4">
        <w:t>granted</w:t>
      </w:r>
      <w:r w:rsidR="0027152B">
        <w:t>.</w:t>
      </w:r>
      <w:r w:rsidRPr="00535B5A" w:rsidR="007900B4">
        <w:t xml:space="preserve"> </w:t>
      </w:r>
      <w:r w:rsidR="00C25F8A">
        <w:t xml:space="preserve"> Asked how he wished to proceed, t</w:t>
      </w:r>
      <w:r w:rsidRPr="00535B5A" w:rsidR="001D6902">
        <w:t xml:space="preserve">he prosecutor </w:t>
      </w:r>
      <w:r w:rsidR="00C25F8A">
        <w:t>relayed his understanding that “a lot of the evidence in this case was evidence obtained by . . . observation from the police officer before any contact with the defendant.”  He</w:t>
      </w:r>
      <w:r w:rsidRPr="00535B5A" w:rsidR="00C25F8A">
        <w:t xml:space="preserve"> </w:t>
      </w:r>
      <w:r w:rsidRPr="00535B5A" w:rsidR="00A5177A">
        <w:t xml:space="preserve">asked the court not to dismiss the case </w:t>
      </w:r>
      <w:r w:rsidRPr="00535B5A" w:rsidR="000060CB">
        <w:t xml:space="preserve">but </w:t>
      </w:r>
      <w:r w:rsidRPr="00535B5A" w:rsidR="0079152F">
        <w:t xml:space="preserve">instead </w:t>
      </w:r>
      <w:r w:rsidR="005E257A">
        <w:t xml:space="preserve">to </w:t>
      </w:r>
      <w:r w:rsidRPr="00535B5A" w:rsidR="000060CB">
        <w:t xml:space="preserve">give the People additional </w:t>
      </w:r>
      <w:r w:rsidRPr="00535B5A" w:rsidR="00A5177A">
        <w:t>time to determine whether the</w:t>
      </w:r>
      <w:r w:rsidRPr="00535B5A" w:rsidR="000060CB">
        <w:t xml:space="preserve">y </w:t>
      </w:r>
      <w:r w:rsidRPr="00535B5A" w:rsidR="00A5177A">
        <w:t>could proceed</w:t>
      </w:r>
      <w:r w:rsidRPr="00535B5A" w:rsidR="001D6902">
        <w:t xml:space="preserve"> </w:t>
      </w:r>
      <w:r w:rsidRPr="00535B5A" w:rsidR="00A5177A">
        <w:t>with</w:t>
      </w:r>
      <w:r w:rsidRPr="00535B5A" w:rsidR="0079152F">
        <w:t>out the suppressed evidence.</w:t>
      </w:r>
      <w:r w:rsidR="00D31B3B">
        <w:t xml:space="preserve">  Defense counsel responded that the People had no remaining evidence sufficient to prove the </w:t>
      </w:r>
      <w:r w:rsidRPr="00301452" w:rsidR="00D31B3B">
        <w:t xml:space="preserve">charges </w:t>
      </w:r>
      <w:r w:rsidRPr="00301452" w:rsidR="00E00115">
        <w:t xml:space="preserve">and invited </w:t>
      </w:r>
      <w:r w:rsidRPr="00301452" w:rsidR="00D31B3B">
        <w:t xml:space="preserve">the court </w:t>
      </w:r>
      <w:r w:rsidRPr="00301452" w:rsidR="00E00115">
        <w:t xml:space="preserve">to </w:t>
      </w:r>
      <w:r w:rsidR="00D31B3B">
        <w:t xml:space="preserve">dismiss the case under section 1385. </w:t>
      </w:r>
      <w:r w:rsidRPr="00535B5A" w:rsidR="000060CB">
        <w:t xml:space="preserve"> Defendant then </w:t>
      </w:r>
      <w:r w:rsidRPr="00535B5A" w:rsidR="0079152F">
        <w:t>withdrew</w:t>
      </w:r>
      <w:r w:rsidRPr="00535B5A" w:rsidR="000060CB">
        <w:t xml:space="preserve"> her time waiver, making March 20, 2017 the last day </w:t>
      </w:r>
      <w:r w:rsidRPr="00535B5A" w:rsidR="00527517">
        <w:t xml:space="preserve">on which </w:t>
      </w:r>
      <w:r w:rsidRPr="00535B5A" w:rsidR="00430535">
        <w:t>t</w:t>
      </w:r>
      <w:r w:rsidRPr="00535B5A" w:rsidR="00527517">
        <w:t>rial could</w:t>
      </w:r>
      <w:r w:rsidRPr="00535B5A" w:rsidR="0079152F">
        <w:t xml:space="preserve"> begin </w:t>
      </w:r>
      <w:r w:rsidRPr="00535B5A" w:rsidR="000060CB">
        <w:t xml:space="preserve">under section 1382.  The court set a trial date of March 6, 2017. </w:t>
      </w:r>
    </w:p>
    <w:p w:rsidR="00C5112E" w:rsidRPr="00535B5A" w:rsidP="00535B5A" w14:paraId="752A8635" w14:textId="07919232">
      <w:r w:rsidRPr="00535B5A">
        <w:tab/>
      </w:r>
      <w:r w:rsidRPr="00535B5A" w:rsidR="00784096">
        <w:t xml:space="preserve">On March 2, </w:t>
      </w:r>
      <w:r w:rsidRPr="00535B5A" w:rsidR="00AC61F8">
        <w:t>the People moved for reconsideration</w:t>
      </w:r>
      <w:r w:rsidRPr="00535B5A" w:rsidR="00AD49D2">
        <w:t xml:space="preserve"> based on</w:t>
      </w:r>
      <w:r w:rsidRPr="00535B5A" w:rsidR="00AC61F8">
        <w:t xml:space="preserve"> </w:t>
      </w:r>
      <w:r w:rsidRPr="00535B5A" w:rsidR="007B0840">
        <w:rPr>
          <w:i/>
          <w:iCs/>
        </w:rPr>
        <w:t>People v. Ferrer</w:t>
      </w:r>
      <w:r w:rsidRPr="00535B5A" w:rsidR="007B0840">
        <w:t xml:space="preserve"> (2010) 184 Cal.App.4th 873 (</w:t>
      </w:r>
      <w:r w:rsidRPr="00535B5A" w:rsidR="007B0840">
        <w:rPr>
          <w:i/>
          <w:iCs/>
        </w:rPr>
        <w:t>Ferrer</w:t>
      </w:r>
      <w:r w:rsidRPr="00535B5A" w:rsidR="007B0840">
        <w:t>)</w:t>
      </w:r>
      <w:r w:rsidRPr="00535B5A" w:rsidR="00527517">
        <w:t>,</w:t>
      </w:r>
      <w:r w:rsidRPr="00535B5A" w:rsidR="006351BB">
        <w:t xml:space="preserve"> </w:t>
      </w:r>
      <w:r w:rsidRPr="00535B5A" w:rsidR="00527517">
        <w:t xml:space="preserve">which </w:t>
      </w:r>
      <w:r w:rsidRPr="00535B5A" w:rsidR="005335F7">
        <w:t xml:space="preserve">held </w:t>
      </w:r>
      <w:r w:rsidRPr="00535B5A" w:rsidR="00177734">
        <w:t xml:space="preserve">that </w:t>
      </w:r>
      <w:r w:rsidRPr="00535B5A" w:rsidR="00476A65">
        <w:t>a</w:t>
      </w:r>
      <w:r w:rsidRPr="00535B5A" w:rsidR="00CD31F9">
        <w:t xml:space="preserve"> court </w:t>
      </w:r>
      <w:r w:rsidRPr="00535B5A" w:rsidR="005335F7">
        <w:t>abuse</w:t>
      </w:r>
      <w:r w:rsidRPr="00535B5A" w:rsidR="00CD31F9">
        <w:t>s its</w:t>
      </w:r>
      <w:r w:rsidRPr="00535B5A" w:rsidR="005335F7">
        <w:t xml:space="preserve"> discretion </w:t>
      </w:r>
      <w:r w:rsidRPr="00535B5A" w:rsidR="00CD31F9">
        <w:t>by</w:t>
      </w:r>
      <w:r w:rsidRPr="00535B5A" w:rsidR="005335F7">
        <w:t xml:space="preserve"> deny</w:t>
      </w:r>
      <w:r w:rsidRPr="00535B5A" w:rsidR="00CD31F9">
        <w:t>ing</w:t>
      </w:r>
      <w:r w:rsidRPr="00535B5A" w:rsidR="005335F7">
        <w:t xml:space="preserve"> a prosecutor’s request to continue a suppression hearing when the denial will foreseeably result in dismissal of the case.  </w:t>
      </w:r>
      <w:r w:rsidRPr="00535B5A" w:rsidR="0063073B">
        <w:t>The prosecu</w:t>
      </w:r>
      <w:r w:rsidRPr="00535B5A" w:rsidR="00177734">
        <w:t>tor</w:t>
      </w:r>
      <w:r w:rsidR="002643B8">
        <w:t xml:space="preserve"> stated </w:t>
      </w:r>
      <w:r w:rsidRPr="00535B5A" w:rsidR="00476A65">
        <w:t>that the</w:t>
      </w:r>
      <w:r w:rsidRPr="00535B5A" w:rsidR="00177734">
        <w:t xml:space="preserve"> People</w:t>
      </w:r>
      <w:r w:rsidRPr="00535B5A" w:rsidR="00476A65">
        <w:t xml:space="preserve"> would be unable to proceed</w:t>
      </w:r>
      <w:r w:rsidRPr="00535B5A" w:rsidR="008A03D4">
        <w:t xml:space="preserve"> to trial</w:t>
      </w:r>
      <w:r w:rsidRPr="00535B5A" w:rsidR="0079152F">
        <w:t xml:space="preserve"> if </w:t>
      </w:r>
      <w:r w:rsidR="004525AB">
        <w:t xml:space="preserve">the evidence was </w:t>
      </w:r>
      <w:r w:rsidRPr="00535B5A" w:rsidR="0079152F">
        <w:t xml:space="preserve">suppressed. </w:t>
      </w:r>
      <w:r w:rsidRPr="00535B5A" w:rsidR="0063073B">
        <w:t xml:space="preserve"> </w:t>
      </w:r>
      <w:r w:rsidRPr="00535B5A" w:rsidR="00D366D6">
        <w:t>The court declined to impose</w:t>
      </w:r>
      <w:r w:rsidR="00571D56">
        <w:t xml:space="preserve"> monetary</w:t>
      </w:r>
      <w:r w:rsidRPr="00535B5A" w:rsidR="00D366D6">
        <w:t xml:space="preserve"> sanctions because it found the prosecutor had not acted in bad faith.</w:t>
      </w:r>
      <w:r w:rsidRPr="00535B5A" w:rsidR="0063073B">
        <w:t xml:space="preserve"> </w:t>
      </w:r>
      <w:r w:rsidRPr="00535B5A" w:rsidR="00987E01">
        <w:t xml:space="preserve"> </w:t>
      </w:r>
      <w:r w:rsidRPr="00535B5A" w:rsidR="00571D56">
        <w:t xml:space="preserve">Based on </w:t>
      </w:r>
      <w:r w:rsidRPr="00535B5A" w:rsidR="00571D56">
        <w:rPr>
          <w:i/>
          <w:iCs/>
        </w:rPr>
        <w:t>Ferrer</w:t>
      </w:r>
      <w:r w:rsidRPr="00535B5A" w:rsidR="00571D56">
        <w:t>, the court vacated its prior orders and held a new suppression hearing</w:t>
      </w:r>
      <w:r w:rsidR="00571D56">
        <w:t xml:space="preserve"> on March 17</w:t>
      </w:r>
      <w:r w:rsidRPr="00535B5A" w:rsidR="00571D56">
        <w:t xml:space="preserve">.  </w:t>
      </w:r>
      <w:r w:rsidRPr="00535B5A" w:rsidR="00CF1120">
        <w:t xml:space="preserve">After hearing testimony from </w:t>
      </w:r>
      <w:r w:rsidRPr="00535B5A" w:rsidR="0079152F">
        <w:t xml:space="preserve">both </w:t>
      </w:r>
      <w:r w:rsidRPr="00535B5A" w:rsidR="00CF1120">
        <w:t xml:space="preserve">Officer Yasin and defendant, the court denied the </w:t>
      </w:r>
      <w:r w:rsidRPr="00535B5A">
        <w:t xml:space="preserve">suppression </w:t>
      </w:r>
      <w:r w:rsidRPr="00535B5A" w:rsidR="00CF1120">
        <w:t xml:space="preserve">motion. </w:t>
      </w:r>
    </w:p>
    <w:p w:rsidR="000060CB" w:rsidRPr="00535B5A" w:rsidP="00535B5A" w14:paraId="4D4D48AC" w14:textId="22FA3E25">
      <w:r w:rsidRPr="00535B5A">
        <w:tab/>
      </w:r>
      <w:r w:rsidRPr="00535B5A" w:rsidR="008D091D">
        <w:t xml:space="preserve">When the case was called for trial on March 20, 2017, defendant </w:t>
      </w:r>
      <w:r w:rsidRPr="00535B5A" w:rsidR="0079152F">
        <w:t>agreed to a “slow plea”</w:t>
      </w:r>
      <w:r w:rsidRPr="00535B5A" w:rsidR="008D091D">
        <w:t xml:space="preserve"> pursuant to </w:t>
      </w:r>
      <w:r w:rsidRPr="00535B5A" w:rsidR="008D091D">
        <w:rPr>
          <w:i/>
          <w:iCs/>
        </w:rPr>
        <w:t>Bunnell v. Superior Court</w:t>
      </w:r>
      <w:r w:rsidRPr="00535B5A" w:rsidR="008D091D">
        <w:t xml:space="preserve"> (1975) 13 Cal.3d 592</w:t>
      </w:r>
      <w:r w:rsidRPr="00535B5A" w:rsidR="0016415F">
        <w:t xml:space="preserve">. </w:t>
      </w:r>
      <w:r w:rsidRPr="00535B5A" w:rsidR="006957E3">
        <w:t xml:space="preserve"> </w:t>
      </w:r>
      <w:r w:rsidRPr="00535B5A" w:rsidR="0079152F">
        <w:t xml:space="preserve">Under </w:t>
      </w:r>
      <w:r w:rsidRPr="00535B5A" w:rsidR="00987E01">
        <w:t xml:space="preserve">this </w:t>
      </w:r>
      <w:r w:rsidRPr="00535B5A" w:rsidR="0079152F">
        <w:t>procedure</w:t>
      </w:r>
      <w:r w:rsidRPr="00535B5A" w:rsidR="00AD49D2">
        <w:t>,</w:t>
      </w:r>
      <w:r w:rsidRPr="00535B5A" w:rsidR="0079152F">
        <w:t xml:space="preserve"> a defendant waive</w:t>
      </w:r>
      <w:r w:rsidRPr="00535B5A" w:rsidR="00F632E5">
        <w:t>s</w:t>
      </w:r>
      <w:r w:rsidRPr="00535B5A" w:rsidR="0079152F">
        <w:t xml:space="preserve"> the right to j</w:t>
      </w:r>
      <w:r w:rsidRPr="00535B5A" w:rsidR="00F632E5">
        <w:t>u</w:t>
      </w:r>
      <w:r w:rsidRPr="00535B5A" w:rsidR="0079152F">
        <w:t>ry trial and allows the court to decide the case based on police reports or other agreed</w:t>
      </w:r>
      <w:r w:rsidR="007C6B94">
        <w:t>-</w:t>
      </w:r>
      <w:r w:rsidRPr="00535B5A" w:rsidR="0079152F">
        <w:t xml:space="preserve">upon evidence. </w:t>
      </w:r>
      <w:r w:rsidRPr="00535B5A" w:rsidR="00AD49D2">
        <w:t xml:space="preserve"> (</w:t>
      </w:r>
      <w:r w:rsidRPr="00535B5A" w:rsidR="00AD49D2">
        <w:rPr>
          <w:i/>
          <w:iCs/>
        </w:rPr>
        <w:t>People v. Robertson</w:t>
      </w:r>
      <w:r w:rsidRPr="00535B5A" w:rsidR="00AD49D2">
        <w:t xml:space="preserve"> (1989) 48 Cal.3d 18, 39</w:t>
      </w:r>
      <w:r w:rsidRPr="00535B5A" w:rsidR="00C635F1">
        <w:t>–</w:t>
      </w:r>
      <w:r w:rsidRPr="00535B5A" w:rsidR="00AD49D2">
        <w:t xml:space="preserve">40.)  </w:t>
      </w:r>
      <w:r w:rsidRPr="00535B5A" w:rsidR="006957E3">
        <w:t xml:space="preserve">The court accepted </w:t>
      </w:r>
      <w:r w:rsidRPr="00535B5A" w:rsidR="00527517">
        <w:t xml:space="preserve">defendant’s </w:t>
      </w:r>
      <w:r w:rsidRPr="00535B5A" w:rsidR="006957E3">
        <w:t xml:space="preserve">plea, found her guilty, and placed her on probation for three years. </w:t>
      </w:r>
      <w:r w:rsidRPr="00535B5A" w:rsidR="00784096">
        <w:t xml:space="preserve"> It imposed fines and fees of $235 </w:t>
      </w:r>
      <w:r w:rsidRPr="00535B5A" w:rsidR="00430535">
        <w:t xml:space="preserve">but ordered no jail time. </w:t>
      </w:r>
    </w:p>
    <w:p w:rsidR="0021071E" w:rsidRPr="00787A0F" w:rsidP="00535B5A" w14:paraId="65B22942" w14:textId="4242B212">
      <w:r w:rsidRPr="00535B5A">
        <w:tab/>
        <w:t xml:space="preserve">Defendant appealed, challenging the court’s decision to reconsider its </w:t>
      </w:r>
      <w:r w:rsidR="005C04DF">
        <w:t>continuance and suppression</w:t>
      </w:r>
      <w:r w:rsidRPr="00535B5A" w:rsidR="005C04DF">
        <w:t xml:space="preserve"> </w:t>
      </w:r>
      <w:r w:rsidRPr="00535B5A">
        <w:t xml:space="preserve">rulings.  The superior court’s appellate division affirmed, noting the </w:t>
      </w:r>
      <w:r w:rsidRPr="00535B5A">
        <w:rPr>
          <w:i/>
          <w:iCs/>
        </w:rPr>
        <w:t>Ferrer</w:t>
      </w:r>
      <w:r w:rsidRPr="00535B5A">
        <w:t xml:space="preserve"> decision was dispositive. </w:t>
      </w:r>
      <w:r w:rsidRPr="00535B5A" w:rsidR="00221202">
        <w:t xml:space="preserve"> (See </w:t>
      </w:r>
      <w:r w:rsidRPr="00535B5A" w:rsidR="00221202">
        <w:rPr>
          <w:i/>
          <w:iCs/>
        </w:rPr>
        <w:t>Auto Equity Sales, Inc. v. Superior Court</w:t>
      </w:r>
      <w:r w:rsidRPr="00535B5A" w:rsidR="00221202">
        <w:t xml:space="preserve"> (1962) 57 Cal.2d 450, 455.)  </w:t>
      </w:r>
      <w:r w:rsidRPr="00535B5A" w:rsidR="007E5C56">
        <w:t xml:space="preserve">A </w:t>
      </w:r>
      <w:r w:rsidRPr="00535B5A" w:rsidR="004A0E0C">
        <w:t>lengthy</w:t>
      </w:r>
      <w:r w:rsidRPr="00535B5A" w:rsidR="00221202">
        <w:t xml:space="preserve"> concurrence</w:t>
      </w:r>
      <w:r w:rsidRPr="00535B5A" w:rsidR="00430535">
        <w:t xml:space="preserve"> urged that </w:t>
      </w:r>
      <w:r w:rsidRPr="00535B5A" w:rsidR="004A0E0C">
        <w:rPr>
          <w:i/>
          <w:iCs/>
        </w:rPr>
        <w:t>Ferrer</w:t>
      </w:r>
      <w:r w:rsidRPr="00535B5A" w:rsidR="00430535">
        <w:rPr>
          <w:i/>
          <w:iCs/>
        </w:rPr>
        <w:t xml:space="preserve"> </w:t>
      </w:r>
      <w:r w:rsidRPr="00535B5A" w:rsidR="00430535">
        <w:t xml:space="preserve">was wrongly decided. </w:t>
      </w:r>
      <w:r w:rsidRPr="00535B5A" w:rsidR="004A0E0C">
        <w:t xml:space="preserve"> </w:t>
      </w:r>
      <w:r w:rsidRPr="00535B5A" w:rsidR="00ED64B5">
        <w:t xml:space="preserve">The </w:t>
      </w:r>
      <w:r w:rsidRPr="00535B5A" w:rsidR="004A0E0C">
        <w:t>Sixth District Court of Appe</w:t>
      </w:r>
      <w:r w:rsidRPr="00535B5A" w:rsidR="00430535">
        <w:t xml:space="preserve">al </w:t>
      </w:r>
      <w:r w:rsidRPr="00535B5A" w:rsidR="004A0E0C">
        <w:t xml:space="preserve">granted defendant’s petition to transfer (Cal. Rules of Court, rule </w:t>
      </w:r>
      <w:r w:rsidRPr="00535B5A" w:rsidR="00272A78">
        <w:t>8.1006</w:t>
      </w:r>
      <w:r w:rsidRPr="00535B5A" w:rsidR="004A0E0C">
        <w:t xml:space="preserve">) and issued an opinion disagreeing with </w:t>
      </w:r>
      <w:r w:rsidRPr="00535B5A" w:rsidR="004A0E0C">
        <w:rPr>
          <w:i/>
          <w:iCs/>
        </w:rPr>
        <w:t>Ferrer</w:t>
      </w:r>
      <w:r w:rsidRPr="00535B5A" w:rsidR="004A0E0C">
        <w:t xml:space="preserve">. </w:t>
      </w:r>
      <w:r w:rsidRPr="00535B5A" w:rsidR="00272A78">
        <w:t xml:space="preserve"> The Court of Appeal</w:t>
      </w:r>
      <w:r w:rsidRPr="00535B5A" w:rsidR="001D247C">
        <w:t xml:space="preserve"> concluded</w:t>
      </w:r>
      <w:r w:rsidRPr="00535B5A" w:rsidR="00272A78">
        <w:t xml:space="preserve"> </w:t>
      </w:r>
      <w:r w:rsidRPr="00535B5A" w:rsidR="00272A78">
        <w:rPr>
          <w:i/>
          <w:iCs/>
        </w:rPr>
        <w:t>Ferrer</w:t>
      </w:r>
      <w:r w:rsidRPr="00535B5A" w:rsidR="00272A78">
        <w:t xml:space="preserve">’s rule </w:t>
      </w:r>
      <w:r w:rsidRPr="00535B5A" w:rsidR="001D247C">
        <w:t xml:space="preserve">was unsupported </w:t>
      </w:r>
      <w:r w:rsidRPr="00535B5A" w:rsidR="00272A78">
        <w:t>and criticized the rule’s “difficulties in application.”  (</w:t>
      </w:r>
      <w:r w:rsidRPr="00535B5A" w:rsidR="00272A78">
        <w:rPr>
          <w:i/>
          <w:iCs/>
        </w:rPr>
        <w:t>People v. Brown</w:t>
      </w:r>
      <w:r w:rsidRPr="00535B5A" w:rsidR="00272A78">
        <w:t xml:space="preserve"> (2021) 69 Cal.App.5th 15, 31</w:t>
      </w:r>
      <w:r w:rsidRPr="00535B5A" w:rsidR="00063524">
        <w:t xml:space="preserve"> (</w:t>
      </w:r>
      <w:r w:rsidRPr="00535B5A" w:rsidR="00063524">
        <w:rPr>
          <w:i/>
          <w:iCs/>
        </w:rPr>
        <w:t>Brown</w:t>
      </w:r>
      <w:r w:rsidRPr="00535B5A" w:rsidR="00063524">
        <w:t>)</w:t>
      </w:r>
      <w:r w:rsidRPr="00535B5A" w:rsidR="00272A78">
        <w:t xml:space="preserve">.)  </w:t>
      </w:r>
      <w:r w:rsidRPr="00535B5A" w:rsidR="00053D35">
        <w:t xml:space="preserve">Instead, the court held </w:t>
      </w:r>
      <w:r w:rsidRPr="00535B5A" w:rsidR="00F632E5">
        <w:t xml:space="preserve">that </w:t>
      </w:r>
      <w:r w:rsidRPr="00535B5A" w:rsidR="00053D35">
        <w:t>trial courts retain authority to deny a continuance unsupported by good cause even if the decision will foreseeably result in dismissal of the case for lack of evidence.  (</w:t>
      </w:r>
      <w:r w:rsidRPr="00535B5A" w:rsidR="00053D35">
        <w:rPr>
          <w:i/>
          <w:iCs/>
        </w:rPr>
        <w:t>Id</w:t>
      </w:r>
      <w:r w:rsidRPr="00535B5A" w:rsidR="00053D35">
        <w:t>.</w:t>
      </w:r>
      <w:r w:rsidRPr="00535B5A" w:rsidR="006B5014">
        <w:t xml:space="preserve"> at p. 32.</w:t>
      </w:r>
      <w:r w:rsidRPr="00535B5A" w:rsidR="00053D35">
        <w:t>)</w:t>
      </w:r>
      <w:r w:rsidRPr="00535B5A" w:rsidR="00C5112E">
        <w:t xml:space="preserve">  </w:t>
      </w:r>
      <w:r w:rsidRPr="00535B5A" w:rsidR="00053D35">
        <w:t>We granted review to resolve the conflict.</w:t>
      </w:r>
      <w:r w:rsidRPr="00535B5A" w:rsidR="00AD49D2">
        <w:t xml:space="preserve"> </w:t>
      </w:r>
      <w:r w:rsidR="007038DB">
        <w:t xml:space="preserve"> </w:t>
      </w:r>
      <w:r w:rsidR="006E5766">
        <w:t xml:space="preserve">We reverse the Court of Appeal’s judgment and </w:t>
      </w:r>
      <w:r w:rsidR="00787A0F">
        <w:t xml:space="preserve">clarify the </w:t>
      </w:r>
      <w:r w:rsidR="00787A0F">
        <w:rPr>
          <w:i/>
          <w:iCs/>
        </w:rPr>
        <w:t>Ferrer</w:t>
      </w:r>
      <w:r w:rsidR="00787A0F">
        <w:t xml:space="preserve"> rule.</w:t>
      </w:r>
    </w:p>
    <w:p w:rsidR="00CF0FA4" w:rsidRPr="00535B5A" w:rsidP="00535B5A" w14:paraId="0806AAE1" w14:textId="77777777">
      <w:pPr>
        <w:keepNext/>
        <w:tabs>
          <w:tab w:val="left" w:pos="1440"/>
        </w:tabs>
        <w:jc w:val="center"/>
        <w:outlineLvl w:val="0"/>
        <w:rPr>
          <w:bCs/>
          <w:caps/>
        </w:rPr>
      </w:pPr>
      <w:r w:rsidRPr="00535B5A">
        <w:rPr>
          <w:bCs/>
          <w:caps/>
        </w:rPr>
        <w:t xml:space="preserve">II.  </w:t>
      </w:r>
      <w:r w:rsidRPr="00535B5A">
        <w:rPr>
          <w:bCs/>
          <w:caps/>
        </w:rPr>
        <w:t>DISCUSSION</w:t>
      </w:r>
    </w:p>
    <w:p w:rsidR="00C86680" w:rsidP="00535B5A" w14:paraId="19BAC34D" w14:textId="464E6560">
      <w:pPr>
        <w:rPr>
          <w:bCs/>
        </w:rPr>
      </w:pPr>
      <w:r w:rsidRPr="00535B5A">
        <w:rPr>
          <w:bCs/>
        </w:rPr>
        <w:tab/>
        <w:t>The trial court</w:t>
      </w:r>
      <w:r w:rsidRPr="00535B5A" w:rsidR="00AE500E">
        <w:rPr>
          <w:bCs/>
        </w:rPr>
        <w:t>’</w:t>
      </w:r>
      <w:r w:rsidRPr="00535B5A">
        <w:rPr>
          <w:bCs/>
        </w:rPr>
        <w:t xml:space="preserve">s authority to grant continuances </w:t>
      </w:r>
      <w:r w:rsidRPr="00535B5A" w:rsidR="00AE500E">
        <w:rPr>
          <w:bCs/>
        </w:rPr>
        <w:t>in</w:t>
      </w:r>
      <w:r w:rsidRPr="00535B5A">
        <w:rPr>
          <w:bCs/>
        </w:rPr>
        <w:t xml:space="preserve"> criminal </w:t>
      </w:r>
      <w:r w:rsidRPr="00535B5A" w:rsidR="00AE500E">
        <w:rPr>
          <w:bCs/>
        </w:rPr>
        <w:t>cases</w:t>
      </w:r>
      <w:r w:rsidRPr="00535B5A">
        <w:rPr>
          <w:bCs/>
        </w:rPr>
        <w:t xml:space="preserve"> is governed by statute</w:t>
      </w:r>
      <w:r w:rsidRPr="00535B5A" w:rsidR="00475F0A">
        <w:rPr>
          <w:bCs/>
        </w:rPr>
        <w:t xml:space="preserve">.  Accordingly, </w:t>
      </w:r>
      <w:r w:rsidRPr="00535B5A" w:rsidR="00DC44B5">
        <w:rPr>
          <w:bCs/>
        </w:rPr>
        <w:t xml:space="preserve">we begin with an examination of the relevant </w:t>
      </w:r>
      <w:r w:rsidR="003C4D58">
        <w:rPr>
          <w:bCs/>
        </w:rPr>
        <w:t xml:space="preserve">provisions, </w:t>
      </w:r>
      <w:r w:rsidRPr="00535B5A" w:rsidR="00475F0A">
        <w:rPr>
          <w:bCs/>
        </w:rPr>
        <w:t>guided by familiar principles.  “ ‘ “We first examine the statutory language, giving it a plain and commonsense meaning.  We do not examine that language in isolation, but in the context of the statutory framework as a whole in order to determine its scope and purpose and to harmonize the various parts of the enactment.  If the language is clear, courts must generally follow its plain meaning unless a literal interpretation would result in absurd consequences the Legislature did not intend.  If the statutory language permits more than one reasonable interpretation, courts may consider other aids, such as the statute’s purpose, legislative history, and public policy.” ’ ”  (</w:t>
      </w:r>
      <w:r w:rsidRPr="00535B5A" w:rsidR="00475F0A">
        <w:rPr>
          <w:bCs/>
          <w:i/>
          <w:iCs/>
        </w:rPr>
        <w:t>City of San Jose v. Superior Court</w:t>
      </w:r>
      <w:r w:rsidRPr="00535B5A" w:rsidR="00475F0A">
        <w:rPr>
          <w:bCs/>
        </w:rPr>
        <w:t xml:space="preserve"> (2017) 2 Cal.5th 608, 616–617.)  </w:t>
      </w:r>
      <w:r w:rsidRPr="00535B5A" w:rsidR="00920AB5">
        <w:rPr>
          <w:bCs/>
        </w:rPr>
        <w:t>Issues of s</w:t>
      </w:r>
      <w:r w:rsidRPr="00535B5A" w:rsidR="00475F0A">
        <w:rPr>
          <w:bCs/>
        </w:rPr>
        <w:t xml:space="preserve">tatutory construction </w:t>
      </w:r>
      <w:r w:rsidRPr="00535B5A" w:rsidR="00920AB5">
        <w:rPr>
          <w:bCs/>
        </w:rPr>
        <w:t>are</w:t>
      </w:r>
      <w:r w:rsidRPr="00535B5A" w:rsidR="00F632E5">
        <w:rPr>
          <w:bCs/>
        </w:rPr>
        <w:t xml:space="preserve"> reviewed </w:t>
      </w:r>
      <w:r w:rsidRPr="00535B5A" w:rsidR="00475F0A">
        <w:rPr>
          <w:bCs/>
        </w:rPr>
        <w:t>de novo.  (</w:t>
      </w:r>
      <w:r w:rsidRPr="00535B5A" w:rsidR="00475F0A">
        <w:rPr>
          <w:bCs/>
          <w:i/>
          <w:iCs/>
        </w:rPr>
        <w:t>People v. Jimenez</w:t>
      </w:r>
      <w:r w:rsidRPr="00535B5A" w:rsidR="00475F0A">
        <w:rPr>
          <w:bCs/>
        </w:rPr>
        <w:t xml:space="preserve"> (2020) 9 Cal.5th 53, 61.)</w:t>
      </w:r>
    </w:p>
    <w:p w:rsidR="00787A0F" w:rsidRPr="00535B5A" w:rsidP="00787A0F" w14:paraId="4FC18335" w14:textId="77777777">
      <w:pPr>
        <w:keepNext/>
        <w:rPr>
          <w:bCs/>
          <w:i/>
          <w:iCs/>
        </w:rPr>
      </w:pPr>
      <w:r w:rsidRPr="00535B5A">
        <w:rPr>
          <w:bCs/>
        </w:rPr>
        <w:t>A.</w:t>
      </w:r>
      <w:r w:rsidRPr="00535B5A">
        <w:rPr>
          <w:bCs/>
        </w:rPr>
        <w:tab/>
      </w:r>
      <w:r w:rsidRPr="00535B5A">
        <w:rPr>
          <w:bCs/>
          <w:i/>
          <w:iCs/>
        </w:rPr>
        <w:t>Statutory Text</w:t>
      </w:r>
    </w:p>
    <w:p w:rsidR="006E2F13" w:rsidRPr="00535B5A" w:rsidP="00535B5A" w14:paraId="4BEA8ADF" w14:textId="0F8716A7">
      <w:pPr>
        <w:rPr>
          <w:bCs/>
        </w:rPr>
      </w:pPr>
      <w:r w:rsidRPr="00535B5A">
        <w:rPr>
          <w:bCs/>
        </w:rPr>
        <w:tab/>
      </w:r>
      <w:r w:rsidRPr="00535B5A" w:rsidR="00AE3738">
        <w:rPr>
          <w:bCs/>
        </w:rPr>
        <w:t>O</w:t>
      </w:r>
      <w:r w:rsidRPr="00535B5A" w:rsidR="00F632E5">
        <w:rPr>
          <w:bCs/>
        </w:rPr>
        <w:t xml:space="preserve">riginally enacted in 1927 </w:t>
      </w:r>
      <w:r w:rsidRPr="00535B5A" w:rsidR="00AE3738">
        <w:rPr>
          <w:bCs/>
        </w:rPr>
        <w:t>and</w:t>
      </w:r>
      <w:r w:rsidRPr="00535B5A" w:rsidR="00F632E5">
        <w:rPr>
          <w:bCs/>
        </w:rPr>
        <w:t xml:space="preserve"> amended many times since</w:t>
      </w:r>
      <w:r w:rsidRPr="00535B5A" w:rsidR="00AE3738">
        <w:rPr>
          <w:bCs/>
        </w:rPr>
        <w:t xml:space="preserve">, </w:t>
      </w:r>
      <w:r w:rsidRPr="00535B5A" w:rsidR="00B5160B">
        <w:rPr>
          <w:bCs/>
        </w:rPr>
        <w:t>s</w:t>
      </w:r>
      <w:r w:rsidRPr="00535B5A" w:rsidR="00AE3738">
        <w:rPr>
          <w:bCs/>
        </w:rPr>
        <w:t>ection</w:t>
      </w:r>
      <w:r w:rsidRPr="00535B5A" w:rsidR="00B5160B">
        <w:rPr>
          <w:bCs/>
        </w:rPr>
        <w:t> </w:t>
      </w:r>
      <w:r w:rsidRPr="00535B5A" w:rsidR="00AE3738">
        <w:rPr>
          <w:bCs/>
        </w:rPr>
        <w:t>1050</w:t>
      </w:r>
      <w:r w:rsidRPr="00535B5A" w:rsidR="00F632E5">
        <w:rPr>
          <w:bCs/>
        </w:rPr>
        <w:t xml:space="preserve"> </w:t>
      </w:r>
      <w:r w:rsidR="000C0370">
        <w:rPr>
          <w:bCs/>
        </w:rPr>
        <w:t>re</w:t>
      </w:r>
      <w:r w:rsidR="00CE44CF">
        <w:rPr>
          <w:bCs/>
        </w:rPr>
        <w:t xml:space="preserve">gulates </w:t>
      </w:r>
      <w:r w:rsidRPr="00535B5A" w:rsidR="00F632E5">
        <w:rPr>
          <w:bCs/>
        </w:rPr>
        <w:t>the granting of continuances in criminal cases.</w:t>
      </w:r>
      <w:r>
        <w:rPr>
          <w:rStyle w:val="FootnoteReference"/>
          <w:bCs/>
        </w:rPr>
        <w:footnoteReference w:id="4"/>
      </w:r>
      <w:r w:rsidRPr="00535B5A" w:rsidR="00F632E5">
        <w:rPr>
          <w:bCs/>
        </w:rPr>
        <w:t xml:space="preserve">  </w:t>
      </w:r>
      <w:r w:rsidRPr="00535B5A" w:rsidR="00E41E6F">
        <w:rPr>
          <w:bCs/>
        </w:rPr>
        <w:t xml:space="preserve">Its initial subdivision </w:t>
      </w:r>
      <w:r w:rsidRPr="00535B5A">
        <w:rPr>
          <w:bCs/>
        </w:rPr>
        <w:t>describes the statute’s aim as follows</w:t>
      </w:r>
      <w:r w:rsidRPr="00535B5A" w:rsidR="00D118BA">
        <w:rPr>
          <w:bCs/>
        </w:rPr>
        <w:t>:</w:t>
      </w:r>
      <w:r w:rsidRPr="00535B5A" w:rsidR="00E41E6F">
        <w:rPr>
          <w:bCs/>
        </w:rPr>
        <w:t xml:space="preserve"> </w:t>
      </w:r>
      <w:r w:rsidRPr="00535B5A" w:rsidR="00D118BA">
        <w:rPr>
          <w:bCs/>
        </w:rPr>
        <w:t xml:space="preserve"> “The welfare of the people of the State of California requires that all proceedings in criminal cases shall be set for trial and heard and determined at the earliest possible time.  To th</w:t>
      </w:r>
      <w:r w:rsidRPr="00535B5A" w:rsidR="00A85ED9">
        <w:rPr>
          <w:bCs/>
        </w:rPr>
        <w:t>is</w:t>
      </w:r>
      <w:r w:rsidRPr="00535B5A" w:rsidR="00D118BA">
        <w:rPr>
          <w:bCs/>
        </w:rPr>
        <w:t xml:space="preserve"> end the Legislature finds that the criminal courts are becoming increasingly congested with resulting adverse consequences to the welfare of the people and the defendant.  Excessive continuances contribute substantially to this congestion and cause substantial hardship to victims and other witnesses.  Continuances also lead to longer periods of presentence confinement for those defendants in custody and </w:t>
      </w:r>
      <w:r w:rsidRPr="00535B5A" w:rsidR="00A85ED9">
        <w:rPr>
          <w:bCs/>
        </w:rPr>
        <w:t xml:space="preserve">the </w:t>
      </w:r>
      <w:r w:rsidRPr="00535B5A" w:rsidR="00D118BA">
        <w:rPr>
          <w:bCs/>
        </w:rPr>
        <w:t>concomitant overcrowding and increased expenses of local jails.  It is therefore recognized that the people, the defendant, and the victims and other witnesses have the right to an expeditious disposition, and to that end it shall be the duty of all courts and judicial officers and of all counsel, both for the prosecution and the defense, to expedite these proceedings to the greatest degree that is consistent with the ends of justice.</w:t>
      </w:r>
      <w:r w:rsidRPr="00535B5A" w:rsidR="00E41E6F">
        <w:rPr>
          <w:bCs/>
        </w:rPr>
        <w:t xml:space="preserve">” </w:t>
      </w:r>
      <w:r w:rsidRPr="00535B5A" w:rsidR="00D118BA">
        <w:rPr>
          <w:bCs/>
        </w:rPr>
        <w:t xml:space="preserve"> (</w:t>
      </w:r>
      <w:r w:rsidRPr="00535B5A" w:rsidR="00E41E6F">
        <w:rPr>
          <w:bCs/>
        </w:rPr>
        <w:t>§ </w:t>
      </w:r>
      <w:r w:rsidRPr="00535B5A" w:rsidR="00D118BA">
        <w:rPr>
          <w:bCs/>
        </w:rPr>
        <w:t>1050</w:t>
      </w:r>
      <w:r w:rsidRPr="00535B5A" w:rsidR="00E41E6F">
        <w:rPr>
          <w:bCs/>
        </w:rPr>
        <w:t>,</w:t>
      </w:r>
      <w:r w:rsidRPr="00535B5A" w:rsidR="00D118BA">
        <w:rPr>
          <w:bCs/>
        </w:rPr>
        <w:t xml:space="preserve"> </w:t>
      </w:r>
      <w:r w:rsidRPr="00535B5A" w:rsidR="00E41E6F">
        <w:rPr>
          <w:bCs/>
        </w:rPr>
        <w:t>subd. </w:t>
      </w:r>
      <w:r w:rsidRPr="00535B5A" w:rsidR="00D118BA">
        <w:rPr>
          <w:bCs/>
        </w:rPr>
        <w:t>(a).</w:t>
      </w:r>
      <w:r w:rsidRPr="00535B5A" w:rsidR="00E41E6F">
        <w:rPr>
          <w:bCs/>
        </w:rPr>
        <w:t xml:space="preserve">) </w:t>
      </w:r>
      <w:r w:rsidR="007038DB">
        <w:rPr>
          <w:bCs/>
        </w:rPr>
        <w:t xml:space="preserve"> </w:t>
      </w:r>
      <w:r w:rsidR="00CE44CF">
        <w:rPr>
          <w:bCs/>
        </w:rPr>
        <w:t xml:space="preserve">Later provisions set out both procedural requirements and the </w:t>
      </w:r>
      <w:r w:rsidR="00A62C69">
        <w:rPr>
          <w:bCs/>
        </w:rPr>
        <w:t xml:space="preserve">necessary substantive showing.  </w:t>
      </w:r>
    </w:p>
    <w:p w:rsidR="00305798" w:rsidRPr="00535B5A" w:rsidP="00535B5A" w14:paraId="3564755D" w14:textId="5FADCD41">
      <w:pPr>
        <w:rPr>
          <w:bCs/>
        </w:rPr>
      </w:pPr>
      <w:r w:rsidRPr="00535B5A">
        <w:rPr>
          <w:bCs/>
        </w:rPr>
        <w:tab/>
      </w:r>
      <w:r w:rsidRPr="00535B5A" w:rsidR="0034032D">
        <w:rPr>
          <w:bCs/>
        </w:rPr>
        <w:t xml:space="preserve">Subdivisions (b) through (d) of section 1050 </w:t>
      </w:r>
      <w:r w:rsidR="00A62C69">
        <w:rPr>
          <w:bCs/>
        </w:rPr>
        <w:t xml:space="preserve">address </w:t>
      </w:r>
      <w:r w:rsidRPr="00535B5A" w:rsidR="00046824">
        <w:rPr>
          <w:bCs/>
        </w:rPr>
        <w:t>procedure</w:t>
      </w:r>
      <w:r w:rsidR="00A62C69">
        <w:rPr>
          <w:bCs/>
        </w:rPr>
        <w:t>.</w:t>
      </w:r>
      <w:r w:rsidRPr="00535B5A">
        <w:rPr>
          <w:bCs/>
        </w:rPr>
        <w:t xml:space="preserve">  </w:t>
      </w:r>
      <w:r w:rsidRPr="00535B5A" w:rsidR="00E32EC4">
        <w:rPr>
          <w:bCs/>
        </w:rPr>
        <w:t>As relevant here, s</w:t>
      </w:r>
      <w:r w:rsidRPr="00535B5A" w:rsidR="00D118BA">
        <w:rPr>
          <w:bCs/>
        </w:rPr>
        <w:t>ubdivision</w:t>
      </w:r>
      <w:r w:rsidRPr="00535B5A" w:rsidR="00624794">
        <w:rPr>
          <w:bCs/>
        </w:rPr>
        <w:t> </w:t>
      </w:r>
      <w:r w:rsidRPr="00535B5A" w:rsidR="00D118BA">
        <w:rPr>
          <w:bCs/>
        </w:rPr>
        <w:t xml:space="preserve">(b) </w:t>
      </w:r>
      <w:r w:rsidRPr="00535B5A" w:rsidR="00046824">
        <w:rPr>
          <w:bCs/>
        </w:rPr>
        <w:t>requires that</w:t>
      </w:r>
      <w:r w:rsidRPr="00535B5A" w:rsidR="00675155">
        <w:rPr>
          <w:bCs/>
        </w:rPr>
        <w:t xml:space="preserve"> motions </w:t>
      </w:r>
      <w:r w:rsidRPr="00535B5A" w:rsidR="00046824">
        <w:rPr>
          <w:bCs/>
        </w:rPr>
        <w:t>for a continuance be supported</w:t>
      </w:r>
      <w:r w:rsidR="008A26A4">
        <w:rPr>
          <w:bCs/>
        </w:rPr>
        <w:t xml:space="preserve"> by</w:t>
      </w:r>
      <w:r w:rsidRPr="00535B5A" w:rsidR="00675155">
        <w:rPr>
          <w:bCs/>
        </w:rPr>
        <w:t xml:space="preserve"> written notice</w:t>
      </w:r>
      <w:r w:rsidRPr="00535B5A" w:rsidR="00046824">
        <w:rPr>
          <w:bCs/>
        </w:rPr>
        <w:t>, filed and served at least two court days before the</w:t>
      </w:r>
      <w:r w:rsidR="000036E8">
        <w:rPr>
          <w:bCs/>
        </w:rPr>
        <w:t xml:space="preserve"> hearing in question, together with </w:t>
      </w:r>
      <w:r w:rsidRPr="00535B5A" w:rsidR="00046824">
        <w:rPr>
          <w:bCs/>
        </w:rPr>
        <w:t>“</w:t>
      </w:r>
      <w:r w:rsidRPr="00535B5A" w:rsidR="00675155">
        <w:rPr>
          <w:bCs/>
        </w:rPr>
        <w:t xml:space="preserve">affidavits </w:t>
      </w:r>
      <w:r w:rsidRPr="00535B5A" w:rsidR="00C37B20">
        <w:rPr>
          <w:bCs/>
        </w:rPr>
        <w:t xml:space="preserve">or declarations </w:t>
      </w:r>
      <w:r w:rsidRPr="00535B5A" w:rsidR="00675155">
        <w:rPr>
          <w:bCs/>
        </w:rPr>
        <w:t xml:space="preserve">detailing </w:t>
      </w:r>
      <w:r w:rsidRPr="00535B5A" w:rsidR="00C37B20">
        <w:rPr>
          <w:bCs/>
        </w:rPr>
        <w:t>specific facts showing that a</w:t>
      </w:r>
      <w:r w:rsidRPr="00535B5A" w:rsidR="00675155">
        <w:rPr>
          <w:bCs/>
        </w:rPr>
        <w:t xml:space="preserve"> continuance is necessary.</w:t>
      </w:r>
      <w:r w:rsidRPr="00535B5A" w:rsidR="00C37B20">
        <w:rPr>
          <w:bCs/>
        </w:rPr>
        <w:t>”  (§ 1050, subd. (b).)</w:t>
      </w:r>
      <w:r w:rsidRPr="00535B5A" w:rsidR="00675155">
        <w:rPr>
          <w:bCs/>
        </w:rPr>
        <w:t xml:space="preserve">  Subdivision</w:t>
      </w:r>
      <w:r w:rsidRPr="00535B5A" w:rsidR="00964037">
        <w:rPr>
          <w:bCs/>
        </w:rPr>
        <w:t> </w:t>
      </w:r>
      <w:r w:rsidRPr="00535B5A" w:rsidR="00675155">
        <w:rPr>
          <w:bCs/>
        </w:rPr>
        <w:t>(c) provides that a party</w:t>
      </w:r>
      <w:r w:rsidR="00405A8F">
        <w:rPr>
          <w:bCs/>
        </w:rPr>
        <w:t xml:space="preserve"> who has not followed the procedures in subdivision (b)</w:t>
      </w:r>
      <w:r w:rsidRPr="00535B5A" w:rsidR="00675155">
        <w:rPr>
          <w:bCs/>
        </w:rPr>
        <w:t xml:space="preserve"> may still request a continuance</w:t>
      </w:r>
      <w:r w:rsidR="00A81AA5">
        <w:rPr>
          <w:bCs/>
        </w:rPr>
        <w:t>,</w:t>
      </w:r>
      <w:r w:rsidRPr="00535B5A" w:rsidR="00675155">
        <w:rPr>
          <w:bCs/>
        </w:rPr>
        <w:t xml:space="preserve"> </w:t>
      </w:r>
      <w:r w:rsidRPr="00535B5A" w:rsidR="00E32EC4">
        <w:rPr>
          <w:bCs/>
        </w:rPr>
        <w:t>b</w:t>
      </w:r>
      <w:r w:rsidRPr="00535B5A" w:rsidR="000B1BE7">
        <w:rPr>
          <w:bCs/>
        </w:rPr>
        <w:t>ut</w:t>
      </w:r>
      <w:r w:rsidRPr="00535B5A" w:rsidR="00675155">
        <w:rPr>
          <w:bCs/>
        </w:rPr>
        <w:t xml:space="preserve"> </w:t>
      </w:r>
      <w:r w:rsidRPr="00535B5A" w:rsidR="00784096">
        <w:rPr>
          <w:bCs/>
        </w:rPr>
        <w:t>“unless the moving party shows good cause for a failure to comply with those requirements</w:t>
      </w:r>
      <w:r w:rsidRPr="00535B5A" w:rsidR="00261E75">
        <w:rPr>
          <w:bCs/>
        </w:rPr>
        <w:t>,</w:t>
      </w:r>
      <w:r w:rsidRPr="00535B5A" w:rsidR="003715B7">
        <w:rPr>
          <w:bCs/>
        </w:rPr>
        <w:t xml:space="preserve"> the court may impose sanctions as provided in Section 1050.5.” </w:t>
      </w:r>
      <w:r w:rsidRPr="00535B5A" w:rsidR="002D5926">
        <w:rPr>
          <w:bCs/>
        </w:rPr>
        <w:t xml:space="preserve"> (§ 1050, subd. (c).)</w:t>
      </w:r>
      <w:r w:rsidRPr="00535B5A" w:rsidR="000B1BE7">
        <w:rPr>
          <w:bCs/>
        </w:rPr>
        <w:t xml:space="preserve">  </w:t>
      </w:r>
      <w:r w:rsidR="00A81AA5">
        <w:rPr>
          <w:bCs/>
        </w:rPr>
        <w:t>Those</w:t>
      </w:r>
      <w:r w:rsidR="00F420F9">
        <w:rPr>
          <w:bCs/>
        </w:rPr>
        <w:t xml:space="preserve"> </w:t>
      </w:r>
      <w:r w:rsidRPr="00535B5A" w:rsidR="00465525">
        <w:rPr>
          <w:bCs/>
        </w:rPr>
        <w:t>sanctions may include a fine of up to $1</w:t>
      </w:r>
      <w:r w:rsidRPr="00535B5A" w:rsidR="00A85ED9">
        <w:rPr>
          <w:bCs/>
        </w:rPr>
        <w:t>,</w:t>
      </w:r>
      <w:r w:rsidRPr="00535B5A" w:rsidR="00465525">
        <w:rPr>
          <w:bCs/>
        </w:rPr>
        <w:t>000 and a report to “an appropriate disciplinary committee</w:t>
      </w:r>
      <w:r w:rsidRPr="00535B5A" w:rsidR="00A85ED9">
        <w:rPr>
          <w:bCs/>
        </w:rPr>
        <w:t>”</w:t>
      </w:r>
      <w:r w:rsidRPr="00535B5A" w:rsidR="00465525">
        <w:rPr>
          <w:bCs/>
        </w:rPr>
        <w:t xml:space="preserve"> (§ 1050.5, subd</w:t>
      </w:r>
      <w:r w:rsidRPr="00535B5A" w:rsidR="00A85ED9">
        <w:rPr>
          <w:bCs/>
        </w:rPr>
        <w:t>.</w:t>
      </w:r>
      <w:r w:rsidRPr="00535B5A" w:rsidR="00465525">
        <w:rPr>
          <w:bCs/>
        </w:rPr>
        <w:t> (a))</w:t>
      </w:r>
      <w:r w:rsidR="007038DB">
        <w:rPr>
          <w:bCs/>
        </w:rPr>
        <w:t>,</w:t>
      </w:r>
      <w:r w:rsidRPr="00535B5A" w:rsidR="00465525">
        <w:rPr>
          <w:bCs/>
        </w:rPr>
        <w:t xml:space="preserve"> </w:t>
      </w:r>
      <w:r w:rsidRPr="00535B5A" w:rsidR="00E32EC4">
        <w:rPr>
          <w:bCs/>
        </w:rPr>
        <w:t xml:space="preserve">but </w:t>
      </w:r>
      <w:r w:rsidR="00080F21">
        <w:rPr>
          <w:bCs/>
        </w:rPr>
        <w:t xml:space="preserve">they </w:t>
      </w:r>
      <w:r w:rsidRPr="00535B5A" w:rsidR="00E32EC4">
        <w:rPr>
          <w:bCs/>
        </w:rPr>
        <w:t xml:space="preserve">may </w:t>
      </w:r>
      <w:r w:rsidRPr="00535B5A" w:rsidR="00E32EC4">
        <w:rPr>
          <w:bCs/>
          <w:i/>
          <w:iCs/>
        </w:rPr>
        <w:t>not</w:t>
      </w:r>
      <w:r w:rsidRPr="00535B5A" w:rsidR="00E32EC4">
        <w:rPr>
          <w:bCs/>
        </w:rPr>
        <w:t xml:space="preserve"> include dismissal of the case (§ 1050.5, subd. (b)).  Finally, when the moving party has failed to satisfy the procedural requirements of section 1050, subdivision (b), subdivision (d) requires the court to hold a hearing to determine whether </w:t>
      </w:r>
      <w:r w:rsidRPr="00535B5A">
        <w:rPr>
          <w:bCs/>
        </w:rPr>
        <w:t xml:space="preserve">good cause excuses the lack of </w:t>
      </w:r>
      <w:r w:rsidR="00080F21">
        <w:rPr>
          <w:bCs/>
        </w:rPr>
        <w:t xml:space="preserve">procedural </w:t>
      </w:r>
      <w:r w:rsidRPr="00535B5A">
        <w:rPr>
          <w:bCs/>
        </w:rPr>
        <w:t xml:space="preserve">compliance.  </w:t>
      </w:r>
      <w:r w:rsidRPr="00535B5A" w:rsidR="001677DF">
        <w:rPr>
          <w:bCs/>
        </w:rPr>
        <w:t>I</w:t>
      </w:r>
      <w:r w:rsidRPr="00535B5A" w:rsidR="00675155">
        <w:rPr>
          <w:bCs/>
        </w:rPr>
        <w:t>f the moving party cannot show good caus</w:t>
      </w:r>
      <w:r w:rsidRPr="00535B5A" w:rsidR="002F2893">
        <w:rPr>
          <w:bCs/>
        </w:rPr>
        <w:t>e</w:t>
      </w:r>
      <w:r w:rsidRPr="00535B5A">
        <w:rPr>
          <w:bCs/>
        </w:rPr>
        <w:t xml:space="preserve"> for </w:t>
      </w:r>
      <w:r w:rsidR="008D5086">
        <w:rPr>
          <w:bCs/>
        </w:rPr>
        <w:t>that</w:t>
      </w:r>
      <w:r w:rsidRPr="00535B5A">
        <w:rPr>
          <w:bCs/>
        </w:rPr>
        <w:t xml:space="preserve"> failure</w:t>
      </w:r>
      <w:r w:rsidR="008D5086">
        <w:rPr>
          <w:bCs/>
        </w:rPr>
        <w:t xml:space="preserve">, </w:t>
      </w:r>
      <w:r w:rsidRPr="00535B5A" w:rsidR="001677DF">
        <w:rPr>
          <w:bCs/>
        </w:rPr>
        <w:t xml:space="preserve">subdivision (d) </w:t>
      </w:r>
      <w:r w:rsidRPr="00535B5A">
        <w:rPr>
          <w:bCs/>
        </w:rPr>
        <w:t>states</w:t>
      </w:r>
      <w:r w:rsidRPr="00535B5A" w:rsidR="001677DF">
        <w:rPr>
          <w:bCs/>
        </w:rPr>
        <w:t xml:space="preserve"> that </w:t>
      </w:r>
      <w:r w:rsidRPr="00535B5A" w:rsidR="00675155">
        <w:rPr>
          <w:bCs/>
        </w:rPr>
        <w:t>“the motion for continuance shall not be granted.”</w:t>
      </w:r>
      <w:r w:rsidRPr="00535B5A" w:rsidR="002D5926">
        <w:rPr>
          <w:bCs/>
        </w:rPr>
        <w:t xml:space="preserve">  (§ 1050, subd. (d).) </w:t>
      </w:r>
      <w:r w:rsidRPr="00535B5A" w:rsidR="00675155">
        <w:rPr>
          <w:bCs/>
        </w:rPr>
        <w:t xml:space="preserve"> </w:t>
      </w:r>
    </w:p>
    <w:p w:rsidR="00675155" w:rsidRPr="00535B5A" w:rsidP="00535B5A" w14:paraId="72566E39" w14:textId="7A00C949">
      <w:pPr>
        <w:rPr>
          <w:bCs/>
        </w:rPr>
      </w:pPr>
      <w:r w:rsidRPr="00535B5A">
        <w:rPr>
          <w:bCs/>
        </w:rPr>
        <w:tab/>
      </w:r>
      <w:r w:rsidRPr="00535B5A" w:rsidR="003F674E">
        <w:rPr>
          <w:bCs/>
        </w:rPr>
        <w:t xml:space="preserve">Other </w:t>
      </w:r>
      <w:r w:rsidRPr="00535B5A">
        <w:rPr>
          <w:bCs/>
        </w:rPr>
        <w:t xml:space="preserve">subdivisions </w:t>
      </w:r>
      <w:r w:rsidRPr="00535B5A" w:rsidR="002666A4">
        <w:rPr>
          <w:bCs/>
        </w:rPr>
        <w:t xml:space="preserve">of section 1050 </w:t>
      </w:r>
      <w:r w:rsidR="008D5086">
        <w:rPr>
          <w:bCs/>
        </w:rPr>
        <w:t xml:space="preserve">go on to </w:t>
      </w:r>
      <w:r w:rsidRPr="00535B5A">
        <w:rPr>
          <w:bCs/>
        </w:rPr>
        <w:t xml:space="preserve">explain the substantive requirements for </w:t>
      </w:r>
      <w:r w:rsidRPr="00535B5A" w:rsidR="00EC5685">
        <w:rPr>
          <w:bCs/>
        </w:rPr>
        <w:t xml:space="preserve">obtaining </w:t>
      </w:r>
      <w:r w:rsidR="007038DB">
        <w:rPr>
          <w:bCs/>
        </w:rPr>
        <w:t xml:space="preserve">a </w:t>
      </w:r>
      <w:r w:rsidRPr="00535B5A" w:rsidR="00EC5685">
        <w:rPr>
          <w:bCs/>
        </w:rPr>
        <w:t>continuance</w:t>
      </w:r>
      <w:r w:rsidR="00A43A4F">
        <w:rPr>
          <w:bCs/>
        </w:rPr>
        <w:t>.</w:t>
      </w:r>
      <w:r w:rsidRPr="00535B5A" w:rsidR="00EC5685">
        <w:rPr>
          <w:bCs/>
        </w:rPr>
        <w:t xml:space="preserve"> </w:t>
      </w:r>
      <w:r w:rsidRPr="00535B5A">
        <w:rPr>
          <w:bCs/>
        </w:rPr>
        <w:t xml:space="preserve"> </w:t>
      </w:r>
      <w:r w:rsidRPr="00535B5A" w:rsidR="002666A4">
        <w:rPr>
          <w:bCs/>
        </w:rPr>
        <w:t xml:space="preserve">Subdivision (e) states: </w:t>
      </w:r>
      <w:r w:rsidR="007038DB">
        <w:rPr>
          <w:bCs/>
        </w:rPr>
        <w:t xml:space="preserve"> </w:t>
      </w:r>
      <w:r w:rsidRPr="00535B5A" w:rsidR="002666A4">
        <w:rPr>
          <w:bCs/>
        </w:rPr>
        <w:t>“Continuances shall be granted only upon a showing of good cause.  Neither the convenience of the parties nor a stipulation of the parties is in and of itself good cause.”  (§ 1050, subd. (e).)  C</w:t>
      </w:r>
      <w:r w:rsidRPr="00535B5A">
        <w:rPr>
          <w:bCs/>
        </w:rPr>
        <w:t>onvenience of witnesses is</w:t>
      </w:r>
      <w:r w:rsidRPr="00535B5A" w:rsidR="002666A4">
        <w:rPr>
          <w:bCs/>
        </w:rPr>
        <w:t>, however,</w:t>
      </w:r>
      <w:r w:rsidRPr="00535B5A">
        <w:rPr>
          <w:bCs/>
        </w:rPr>
        <w:t xml:space="preserve"> a factor </w:t>
      </w:r>
      <w:r w:rsidRPr="00535B5A" w:rsidR="002666A4">
        <w:rPr>
          <w:bCs/>
        </w:rPr>
        <w:t>for</w:t>
      </w:r>
      <w:r w:rsidRPr="00535B5A">
        <w:rPr>
          <w:bCs/>
        </w:rPr>
        <w:t xml:space="preserve"> the court</w:t>
      </w:r>
      <w:r w:rsidRPr="00535B5A" w:rsidR="002666A4">
        <w:rPr>
          <w:bCs/>
        </w:rPr>
        <w:t xml:space="preserve"> to consider both in deciding</w:t>
      </w:r>
      <w:r w:rsidRPr="00535B5A">
        <w:rPr>
          <w:bCs/>
        </w:rPr>
        <w:t xml:space="preserve"> </w:t>
      </w:r>
      <w:r w:rsidRPr="00535B5A" w:rsidR="00FA42E7">
        <w:rPr>
          <w:bCs/>
        </w:rPr>
        <w:t>whether good cause has been shown</w:t>
      </w:r>
      <w:r w:rsidRPr="00535B5A" w:rsidR="002666A4">
        <w:rPr>
          <w:bCs/>
        </w:rPr>
        <w:t xml:space="preserve"> and in </w:t>
      </w:r>
      <w:r w:rsidR="00EE07D2">
        <w:rPr>
          <w:bCs/>
        </w:rPr>
        <w:t xml:space="preserve">selecting the new date.  </w:t>
      </w:r>
      <w:r w:rsidRPr="00535B5A">
        <w:rPr>
          <w:bCs/>
        </w:rPr>
        <w:t>(</w:t>
      </w:r>
      <w:r w:rsidRPr="00535B5A" w:rsidR="00FA42E7">
        <w:rPr>
          <w:bCs/>
        </w:rPr>
        <w:t>§</w:t>
      </w:r>
      <w:r w:rsidRPr="00535B5A" w:rsidR="00A85ED9">
        <w:rPr>
          <w:bCs/>
        </w:rPr>
        <w:t> </w:t>
      </w:r>
      <w:r w:rsidRPr="00535B5A" w:rsidR="00FA42E7">
        <w:rPr>
          <w:bCs/>
        </w:rPr>
        <w:t>1050, subd. </w:t>
      </w:r>
      <w:r w:rsidRPr="00535B5A">
        <w:rPr>
          <w:bCs/>
        </w:rPr>
        <w:t>(g)(1)</w:t>
      </w:r>
      <w:r w:rsidRPr="00535B5A" w:rsidR="002666A4">
        <w:rPr>
          <w:bCs/>
        </w:rPr>
        <w:t>.</w:t>
      </w:r>
      <w:r w:rsidRPr="00535B5A" w:rsidR="00FA42E7">
        <w:rPr>
          <w:bCs/>
        </w:rPr>
        <w:t>)</w:t>
      </w:r>
      <w:r w:rsidRPr="00535B5A">
        <w:rPr>
          <w:bCs/>
        </w:rPr>
        <w:t xml:space="preserve"> </w:t>
      </w:r>
      <w:r w:rsidRPr="00535B5A" w:rsidR="002666A4">
        <w:rPr>
          <w:bCs/>
        </w:rPr>
        <w:t xml:space="preserve"> </w:t>
      </w:r>
      <w:r w:rsidRPr="00535B5A" w:rsidR="003F674E">
        <w:rPr>
          <w:bCs/>
        </w:rPr>
        <w:t xml:space="preserve">If the court concludes </w:t>
      </w:r>
      <w:r w:rsidR="00A43A4F">
        <w:rPr>
          <w:bCs/>
        </w:rPr>
        <w:t>that a continuance is necessary</w:t>
      </w:r>
      <w:r w:rsidR="007038DB">
        <w:rPr>
          <w:bCs/>
        </w:rPr>
        <w:t>,</w:t>
      </w:r>
      <w:r w:rsidRPr="00535B5A" w:rsidR="003F674E">
        <w:rPr>
          <w:bCs/>
        </w:rPr>
        <w:t xml:space="preserve"> it must state on the record the facts justifying that finding.  (§ 1050, subd. (f).)  Any</w:t>
      </w:r>
      <w:r w:rsidR="00567894">
        <w:rPr>
          <w:bCs/>
        </w:rPr>
        <w:t xml:space="preserve"> permitted </w:t>
      </w:r>
      <w:r w:rsidRPr="00535B5A" w:rsidR="003F674E">
        <w:rPr>
          <w:bCs/>
        </w:rPr>
        <w:t>continuance must be limited to “only . . . that period of time shown to be necessary by the evidence considered at the hearing on the motion.”  (§ 1050, subd. (i).)</w:t>
      </w:r>
      <w:r w:rsidR="007038DB">
        <w:rPr>
          <w:bCs/>
        </w:rPr>
        <w:t xml:space="preserve"> </w:t>
      </w:r>
      <w:r w:rsidR="003441DF">
        <w:rPr>
          <w:bCs/>
        </w:rPr>
        <w:t xml:space="preserve"> Section 1050, then, provides for two different good cause showings.  If the moving party has not </w:t>
      </w:r>
      <w:r w:rsidR="00DF5B55">
        <w:rPr>
          <w:bCs/>
        </w:rPr>
        <w:t>complied with the</w:t>
      </w:r>
      <w:r w:rsidR="00F420F9">
        <w:rPr>
          <w:bCs/>
        </w:rPr>
        <w:t xml:space="preserve"> </w:t>
      </w:r>
      <w:r w:rsidR="00DF5B55">
        <w:rPr>
          <w:bCs/>
        </w:rPr>
        <w:t>procedures of s</w:t>
      </w:r>
      <w:r w:rsidR="007038DB">
        <w:rPr>
          <w:bCs/>
        </w:rPr>
        <w:t>u</w:t>
      </w:r>
      <w:r w:rsidR="00DF5B55">
        <w:rPr>
          <w:bCs/>
        </w:rPr>
        <w:t>bdivision</w:t>
      </w:r>
      <w:r w:rsidR="007038DB">
        <w:rPr>
          <w:bCs/>
        </w:rPr>
        <w:t> </w:t>
      </w:r>
      <w:r w:rsidR="00DF5B55">
        <w:rPr>
          <w:bCs/>
        </w:rPr>
        <w:t>(b), it must show that there is good cause to excuse</w:t>
      </w:r>
      <w:r w:rsidR="00987A61">
        <w:rPr>
          <w:bCs/>
        </w:rPr>
        <w:t xml:space="preserve"> that </w:t>
      </w:r>
      <w:r w:rsidR="00DF5B55">
        <w:rPr>
          <w:bCs/>
        </w:rPr>
        <w:t xml:space="preserve">failure.  If such a showing is not made the court may impose </w:t>
      </w:r>
      <w:r w:rsidR="006F314F">
        <w:rPr>
          <w:bCs/>
        </w:rPr>
        <w:t>sanctions.  As to the merits of a continuance motion, subdivision (</w:t>
      </w:r>
      <w:r w:rsidR="00971051">
        <w:rPr>
          <w:bCs/>
        </w:rPr>
        <w:t>e</w:t>
      </w:r>
      <w:r w:rsidR="006F314F">
        <w:rPr>
          <w:bCs/>
        </w:rPr>
        <w:t xml:space="preserve">) requires a good cause showing that a continuance is necessary.  </w:t>
      </w:r>
    </w:p>
    <w:p w:rsidR="005A5CB0" w:rsidRPr="00535B5A" w:rsidP="00535B5A" w14:paraId="196FB18C" w14:textId="752EC4C4">
      <w:pPr>
        <w:rPr>
          <w:bCs/>
        </w:rPr>
      </w:pPr>
      <w:r w:rsidRPr="00535B5A">
        <w:rPr>
          <w:bCs/>
        </w:rPr>
        <w:tab/>
      </w:r>
      <w:r w:rsidRPr="00535B5A" w:rsidR="001D247C">
        <w:rPr>
          <w:bCs/>
        </w:rPr>
        <w:t xml:space="preserve">A trial court’s exercise of its broad </w:t>
      </w:r>
      <w:r w:rsidRPr="00535B5A">
        <w:rPr>
          <w:bCs/>
        </w:rPr>
        <w:t>discretio</w:t>
      </w:r>
      <w:r w:rsidRPr="00535B5A" w:rsidR="00BD312F">
        <w:rPr>
          <w:bCs/>
        </w:rPr>
        <w:t xml:space="preserve">n </w:t>
      </w:r>
      <w:r w:rsidRPr="00535B5A" w:rsidR="001004D4">
        <w:rPr>
          <w:bCs/>
        </w:rPr>
        <w:t xml:space="preserve">when ruling on </w:t>
      </w:r>
      <w:r w:rsidRPr="00535B5A">
        <w:rPr>
          <w:bCs/>
        </w:rPr>
        <w:t>a continuance</w:t>
      </w:r>
      <w:r w:rsidRPr="00535B5A" w:rsidR="001D247C">
        <w:rPr>
          <w:bCs/>
        </w:rPr>
        <w:t xml:space="preserve"> motion</w:t>
      </w:r>
      <w:r w:rsidRPr="00535B5A" w:rsidR="00A14FCC">
        <w:rPr>
          <w:bCs/>
        </w:rPr>
        <w:t xml:space="preserve"> </w:t>
      </w:r>
      <w:r w:rsidRPr="00535B5A" w:rsidR="001D247C">
        <w:rPr>
          <w:bCs/>
        </w:rPr>
        <w:t xml:space="preserve">is </w:t>
      </w:r>
      <w:r w:rsidRPr="00535B5A" w:rsidR="00A14FCC">
        <w:rPr>
          <w:bCs/>
        </w:rPr>
        <w:t>accorded substantial deference on appeal</w:t>
      </w:r>
      <w:r w:rsidRPr="00535B5A" w:rsidR="00987E01">
        <w:rPr>
          <w:bCs/>
        </w:rPr>
        <w:t xml:space="preserve">. </w:t>
      </w:r>
      <w:r w:rsidRPr="00535B5A" w:rsidR="00A14FCC">
        <w:rPr>
          <w:bCs/>
        </w:rPr>
        <w:t xml:space="preserve"> (</w:t>
      </w:r>
      <w:r w:rsidRPr="00535B5A" w:rsidR="00987E01">
        <w:rPr>
          <w:bCs/>
          <w:i/>
          <w:iCs/>
        </w:rPr>
        <w:t>People v. Mora and Rangel</w:t>
      </w:r>
      <w:r w:rsidRPr="00535B5A" w:rsidR="00987E01">
        <w:rPr>
          <w:bCs/>
        </w:rPr>
        <w:t xml:space="preserve"> (2018) 5 Cal.5th 442, 508; </w:t>
      </w:r>
      <w:r w:rsidRPr="00535B5A" w:rsidR="00475F0A">
        <w:rPr>
          <w:bCs/>
          <w:i/>
          <w:iCs/>
        </w:rPr>
        <w:t>People v. Beames</w:t>
      </w:r>
      <w:r w:rsidRPr="00535B5A" w:rsidR="00475F0A">
        <w:rPr>
          <w:bCs/>
        </w:rPr>
        <w:t xml:space="preserve"> (2007) 40 Cal.4th 907, 920</w:t>
      </w:r>
      <w:r w:rsidR="002022AC">
        <w:rPr>
          <w:bCs/>
        </w:rPr>
        <w:t xml:space="preserve"> (</w:t>
      </w:r>
      <w:r w:rsidR="002022AC">
        <w:rPr>
          <w:bCs/>
          <w:i/>
          <w:iCs/>
        </w:rPr>
        <w:t>Beames</w:t>
      </w:r>
      <w:r w:rsidR="002022AC">
        <w:rPr>
          <w:bCs/>
        </w:rPr>
        <w:t>)</w:t>
      </w:r>
      <w:r w:rsidRPr="00535B5A" w:rsidR="00475F0A">
        <w:rPr>
          <w:bCs/>
        </w:rPr>
        <w:t>.</w:t>
      </w:r>
      <w:r w:rsidR="009923A2">
        <w:rPr>
          <w:bCs/>
        </w:rPr>
        <w:t>)</w:t>
      </w:r>
      <w:r w:rsidRPr="00535B5A" w:rsidR="00A14FCC">
        <w:rPr>
          <w:bCs/>
        </w:rPr>
        <w:t xml:space="preserve">  </w:t>
      </w:r>
      <w:r w:rsidRPr="00535B5A" w:rsidR="00FB2F9A">
        <w:rPr>
          <w:bCs/>
        </w:rPr>
        <w:t>Al</w:t>
      </w:r>
      <w:r w:rsidRPr="00535B5A" w:rsidR="00A14FCC">
        <w:rPr>
          <w:bCs/>
        </w:rPr>
        <w:t>though</w:t>
      </w:r>
      <w:r w:rsidRPr="00535B5A">
        <w:rPr>
          <w:bCs/>
        </w:rPr>
        <w:t xml:space="preserve"> section 1050 </w:t>
      </w:r>
      <w:r w:rsidRPr="00535B5A" w:rsidR="00A14FCC">
        <w:rPr>
          <w:bCs/>
        </w:rPr>
        <w:t xml:space="preserve">states </w:t>
      </w:r>
      <w:r w:rsidRPr="00535B5A" w:rsidR="00901AD5">
        <w:rPr>
          <w:bCs/>
        </w:rPr>
        <w:t>conditions under which</w:t>
      </w:r>
      <w:r w:rsidRPr="00535B5A" w:rsidR="00A14FCC">
        <w:rPr>
          <w:bCs/>
        </w:rPr>
        <w:t xml:space="preserve"> </w:t>
      </w:r>
      <w:r w:rsidRPr="00535B5A" w:rsidR="00E86D19">
        <w:rPr>
          <w:bCs/>
        </w:rPr>
        <w:t xml:space="preserve">continuances </w:t>
      </w:r>
      <w:r w:rsidRPr="00535B5A" w:rsidR="00E81A82">
        <w:rPr>
          <w:bCs/>
        </w:rPr>
        <w:t>“shall</w:t>
      </w:r>
      <w:r w:rsidRPr="00535B5A" w:rsidR="00A14FCC">
        <w:rPr>
          <w:bCs/>
        </w:rPr>
        <w:t>” and “shall</w:t>
      </w:r>
      <w:r w:rsidRPr="00535B5A" w:rsidR="00E81A82">
        <w:rPr>
          <w:bCs/>
        </w:rPr>
        <w:t xml:space="preserve"> not” </w:t>
      </w:r>
      <w:r w:rsidRPr="00535B5A" w:rsidR="00E86D19">
        <w:rPr>
          <w:bCs/>
        </w:rPr>
        <w:t xml:space="preserve">be </w:t>
      </w:r>
      <w:r w:rsidRPr="00535B5A" w:rsidR="00A14FCC">
        <w:rPr>
          <w:bCs/>
        </w:rPr>
        <w:t>grant</w:t>
      </w:r>
      <w:r w:rsidRPr="00535B5A" w:rsidR="00E86D19">
        <w:rPr>
          <w:bCs/>
        </w:rPr>
        <w:t>ed</w:t>
      </w:r>
      <w:r w:rsidRPr="00535B5A" w:rsidR="00A14FCC">
        <w:rPr>
          <w:bCs/>
        </w:rPr>
        <w:t xml:space="preserve">, </w:t>
      </w:r>
      <w:r w:rsidRPr="00535B5A" w:rsidR="00BD312F">
        <w:rPr>
          <w:bCs/>
        </w:rPr>
        <w:t xml:space="preserve">case law has long recognized </w:t>
      </w:r>
      <w:r w:rsidRPr="00535B5A" w:rsidR="00C20A4A">
        <w:rPr>
          <w:bCs/>
        </w:rPr>
        <w:t xml:space="preserve">that various aspects of </w:t>
      </w:r>
      <w:r w:rsidRPr="00535B5A" w:rsidR="00A85ED9">
        <w:rPr>
          <w:bCs/>
        </w:rPr>
        <w:t>s</w:t>
      </w:r>
      <w:r w:rsidRPr="00535B5A" w:rsidR="00C20A4A">
        <w:rPr>
          <w:bCs/>
        </w:rPr>
        <w:t>ection</w:t>
      </w:r>
      <w:r w:rsidRPr="00535B5A" w:rsidR="00987E01">
        <w:rPr>
          <w:bCs/>
        </w:rPr>
        <w:t> </w:t>
      </w:r>
      <w:r w:rsidRPr="00535B5A" w:rsidR="00C20A4A">
        <w:rPr>
          <w:bCs/>
        </w:rPr>
        <w:t>1050</w:t>
      </w:r>
      <w:r w:rsidRPr="00535B5A" w:rsidR="00BD312F">
        <w:rPr>
          <w:bCs/>
        </w:rPr>
        <w:t xml:space="preserve"> are </w:t>
      </w:r>
      <w:r w:rsidRPr="00535B5A" w:rsidR="00E86D19">
        <w:rPr>
          <w:bCs/>
        </w:rPr>
        <w:t>directory</w:t>
      </w:r>
      <w:r w:rsidR="00393FAC">
        <w:rPr>
          <w:bCs/>
        </w:rPr>
        <w:t xml:space="preserve"> </w:t>
      </w:r>
      <w:r w:rsidRPr="00535B5A" w:rsidR="00E86D19">
        <w:rPr>
          <w:bCs/>
        </w:rPr>
        <w:t>rather than mandatory</w:t>
      </w:r>
      <w:r w:rsidRPr="00535B5A" w:rsidR="00BD312F">
        <w:rPr>
          <w:bCs/>
        </w:rPr>
        <w:t>.</w:t>
      </w:r>
      <w:r>
        <w:rPr>
          <w:rStyle w:val="FootnoteReference"/>
          <w:bCs/>
        </w:rPr>
        <w:footnoteReference w:id="5"/>
      </w:r>
      <w:r w:rsidRPr="00535B5A" w:rsidR="00BD312F">
        <w:rPr>
          <w:bCs/>
        </w:rPr>
        <w:t xml:space="preserve"> </w:t>
      </w:r>
      <w:r w:rsidRPr="00535B5A" w:rsidR="00E86D19">
        <w:rPr>
          <w:bCs/>
        </w:rPr>
        <w:t xml:space="preserve"> </w:t>
      </w:r>
      <w:r w:rsidR="00EF219A">
        <w:rPr>
          <w:bCs/>
        </w:rPr>
        <w:t>This principle</w:t>
      </w:r>
      <w:r w:rsidRPr="00535B5A" w:rsidR="00EF219A">
        <w:rPr>
          <w:bCs/>
        </w:rPr>
        <w:t xml:space="preserve"> is confirmed by the statute’s final subdivision.  Enacted in 2003, subdivision (</w:t>
      </w:r>
      <w:r w:rsidRPr="00535B5A" w:rsidR="00EF219A">
        <w:rPr>
          <w:bCs/>
          <w:i/>
          <w:iCs/>
        </w:rPr>
        <w:t>l</w:t>
      </w:r>
      <w:r w:rsidRPr="00535B5A" w:rsidR="00EF219A">
        <w:rPr>
          <w:bCs/>
        </w:rPr>
        <w:t>) states:  “This section is directory only and does not mandate dismissal of an action by its terms.”  (§ 1050, subd. (</w:t>
      </w:r>
      <w:r w:rsidRPr="00535B5A" w:rsidR="00EF219A">
        <w:rPr>
          <w:bCs/>
          <w:i/>
          <w:iCs/>
        </w:rPr>
        <w:t>l</w:t>
      </w:r>
      <w:r w:rsidRPr="00535B5A" w:rsidR="00EF219A">
        <w:rPr>
          <w:bCs/>
        </w:rPr>
        <w:t xml:space="preserve">).)  </w:t>
      </w:r>
      <w:r w:rsidRPr="00381539" w:rsidR="00216C2D">
        <w:rPr>
          <w:bCs/>
        </w:rPr>
        <w:t>Accordingly</w:t>
      </w:r>
      <w:r w:rsidR="00654046">
        <w:rPr>
          <w:bCs/>
        </w:rPr>
        <w:t>,</w:t>
      </w:r>
      <w:r w:rsidR="00216C2D">
        <w:rPr>
          <w:bCs/>
        </w:rPr>
        <w:t xml:space="preserve"> </w:t>
      </w:r>
      <w:r w:rsidR="00DF359E">
        <w:rPr>
          <w:bCs/>
        </w:rPr>
        <w:t>“</w:t>
      </w:r>
      <w:r w:rsidR="00CB69B3">
        <w:rPr>
          <w:bCs/>
        </w:rPr>
        <w:t>a</w:t>
      </w:r>
      <w:r w:rsidR="00DF359E">
        <w:rPr>
          <w:bCs/>
        </w:rPr>
        <w:t xml:space="preserve"> </w:t>
      </w:r>
      <w:r w:rsidRPr="00535B5A" w:rsidR="00E86D19">
        <w:rPr>
          <w:bCs/>
        </w:rPr>
        <w:t xml:space="preserve">failure to comply with a particular directive set forth in section 1050 does not, in itself, </w:t>
      </w:r>
      <w:r w:rsidRPr="00654046" w:rsidR="00E86D19">
        <w:rPr>
          <w:bCs/>
          <w:i/>
          <w:iCs/>
        </w:rPr>
        <w:t>require</w:t>
      </w:r>
      <w:r w:rsidRPr="00CB69B3" w:rsidR="00E86D19">
        <w:rPr>
          <w:bCs/>
        </w:rPr>
        <w:t xml:space="preserve"> </w:t>
      </w:r>
      <w:r w:rsidRPr="00535B5A" w:rsidR="00E86D19">
        <w:rPr>
          <w:bCs/>
        </w:rPr>
        <w:t>dismissal of a criminal proceeding.”  (</w:t>
      </w:r>
      <w:r w:rsidRPr="00535B5A" w:rsidR="00E86D19">
        <w:rPr>
          <w:bCs/>
          <w:i/>
          <w:iCs/>
        </w:rPr>
        <w:t>Engram</w:t>
      </w:r>
      <w:r w:rsidRPr="00535B5A" w:rsidR="002D45D8">
        <w:rPr>
          <w:bCs/>
        </w:rPr>
        <w:t xml:space="preserve">, </w:t>
      </w:r>
      <w:r w:rsidRPr="00535B5A" w:rsidR="002D45D8">
        <w:rPr>
          <w:bCs/>
          <w:i/>
        </w:rPr>
        <w:t>supra</w:t>
      </w:r>
      <w:r w:rsidRPr="00535B5A" w:rsidR="002D45D8">
        <w:rPr>
          <w:bCs/>
        </w:rPr>
        <w:t xml:space="preserve">, </w:t>
      </w:r>
      <w:r w:rsidRPr="00535B5A" w:rsidR="00E86D19">
        <w:rPr>
          <w:bCs/>
        </w:rPr>
        <w:t xml:space="preserve">50 Cal.4th </w:t>
      </w:r>
      <w:r w:rsidRPr="00535B5A" w:rsidR="002D45D8">
        <w:rPr>
          <w:bCs/>
        </w:rPr>
        <w:t>at p. </w:t>
      </w:r>
      <w:r w:rsidRPr="00535B5A" w:rsidR="00E86D19">
        <w:rPr>
          <w:bCs/>
        </w:rPr>
        <w:t>1151</w:t>
      </w:r>
      <w:r w:rsidRPr="00535B5A" w:rsidR="00A85ED9">
        <w:rPr>
          <w:bCs/>
        </w:rPr>
        <w:t>,</w:t>
      </w:r>
      <w:r w:rsidRPr="00535B5A" w:rsidR="00E86D19">
        <w:rPr>
          <w:bCs/>
        </w:rPr>
        <w:t xml:space="preserve"> fn. 8</w:t>
      </w:r>
      <w:r w:rsidR="00CB69B3">
        <w:rPr>
          <w:bCs/>
        </w:rPr>
        <w:t xml:space="preserve">, </w:t>
      </w:r>
      <w:r w:rsidR="00DF359E">
        <w:rPr>
          <w:bCs/>
        </w:rPr>
        <w:t>ital</w:t>
      </w:r>
      <w:r w:rsidR="00CB69B3">
        <w:rPr>
          <w:bCs/>
        </w:rPr>
        <w:t>ics</w:t>
      </w:r>
      <w:r w:rsidR="00DF359E">
        <w:rPr>
          <w:bCs/>
        </w:rPr>
        <w:t xml:space="preserve"> added</w:t>
      </w:r>
      <w:r w:rsidRPr="00535B5A" w:rsidR="00FB2F9A">
        <w:rPr>
          <w:bCs/>
        </w:rPr>
        <w:t>; see</w:t>
      </w:r>
      <w:r w:rsidRPr="00535B5A" w:rsidR="002D45D8">
        <w:rPr>
          <w:bCs/>
        </w:rPr>
        <w:t xml:space="preserve"> </w:t>
      </w:r>
      <w:r w:rsidRPr="00535B5A" w:rsidR="00F94B61">
        <w:rPr>
          <w:bCs/>
          <w:i/>
          <w:iCs/>
        </w:rPr>
        <w:t>Johnson</w:t>
      </w:r>
      <w:r w:rsidRPr="00535B5A" w:rsidR="002D45D8">
        <w:rPr>
          <w:bCs/>
        </w:rPr>
        <w:t xml:space="preserve">, </w:t>
      </w:r>
      <w:r w:rsidRPr="00535B5A" w:rsidR="002D45D8">
        <w:rPr>
          <w:bCs/>
          <w:i/>
        </w:rPr>
        <w:t>supra</w:t>
      </w:r>
      <w:r w:rsidRPr="00535B5A" w:rsidR="002D45D8">
        <w:rPr>
          <w:bCs/>
        </w:rPr>
        <w:t xml:space="preserve">, </w:t>
      </w:r>
      <w:r w:rsidRPr="00535B5A" w:rsidR="00F94B61">
        <w:rPr>
          <w:bCs/>
        </w:rPr>
        <w:t xml:space="preserve">218 Cal.App.4th </w:t>
      </w:r>
      <w:r w:rsidRPr="00535B5A" w:rsidR="002D45D8">
        <w:rPr>
          <w:bCs/>
        </w:rPr>
        <w:t>at pp. </w:t>
      </w:r>
      <w:r w:rsidRPr="00535B5A" w:rsidR="00F94B61">
        <w:rPr>
          <w:bCs/>
        </w:rPr>
        <w:t>942</w:t>
      </w:r>
      <w:r w:rsidRPr="00535B5A" w:rsidR="00C635F1">
        <w:t>–</w:t>
      </w:r>
      <w:r w:rsidRPr="00535B5A" w:rsidR="00F94B61">
        <w:rPr>
          <w:bCs/>
        </w:rPr>
        <w:t>943</w:t>
      </w:r>
      <w:r w:rsidRPr="00535B5A" w:rsidR="002D45D8">
        <w:rPr>
          <w:bCs/>
        </w:rPr>
        <w:t xml:space="preserve">; see also </w:t>
      </w:r>
      <w:r w:rsidRPr="00535B5A" w:rsidR="002D45D8">
        <w:rPr>
          <w:bCs/>
          <w:i/>
          <w:iCs/>
        </w:rPr>
        <w:t>Malengo v. Municipal Court</w:t>
      </w:r>
      <w:r w:rsidRPr="00535B5A" w:rsidR="002D45D8">
        <w:rPr>
          <w:bCs/>
        </w:rPr>
        <w:t xml:space="preserve"> (1961) 56 Cal.2d 813, 816; </w:t>
      </w:r>
      <w:r w:rsidRPr="00535B5A" w:rsidR="002D45D8">
        <w:rPr>
          <w:bCs/>
          <w:i/>
          <w:iCs/>
        </w:rPr>
        <w:t>People v. Brown</w:t>
      </w:r>
      <w:r w:rsidRPr="00535B5A" w:rsidR="002D45D8">
        <w:rPr>
          <w:bCs/>
        </w:rPr>
        <w:t xml:space="preserve"> (1956) 141 Cal.App.2d 299, 302</w:t>
      </w:r>
      <w:r w:rsidRPr="00535B5A" w:rsidR="00001CD4">
        <w:rPr>
          <w:bCs/>
        </w:rPr>
        <w:t>–303</w:t>
      </w:r>
      <w:r w:rsidRPr="00535B5A" w:rsidR="00F94B61">
        <w:rPr>
          <w:bCs/>
        </w:rPr>
        <w:t>.)</w:t>
      </w:r>
      <w:r w:rsidRPr="00535B5A" w:rsidR="00922E81">
        <w:rPr>
          <w:bCs/>
        </w:rPr>
        <w:t xml:space="preserve">  </w:t>
      </w:r>
      <w:r w:rsidR="000F6C85">
        <w:rPr>
          <w:bCs/>
        </w:rPr>
        <w:t xml:space="preserve">Thus, despite </w:t>
      </w:r>
      <w:r w:rsidRPr="00535B5A" w:rsidR="00922E81">
        <w:rPr>
          <w:bCs/>
        </w:rPr>
        <w:t xml:space="preserve">the seemingly mandatory phrasing of some portions of section 1050, </w:t>
      </w:r>
      <w:r w:rsidR="0029258D">
        <w:rPr>
          <w:bCs/>
        </w:rPr>
        <w:t xml:space="preserve">a number of </w:t>
      </w:r>
      <w:r w:rsidRPr="00535B5A" w:rsidR="00922E81">
        <w:rPr>
          <w:bCs/>
        </w:rPr>
        <w:t xml:space="preserve">appellate decisions have </w:t>
      </w:r>
      <w:r w:rsidR="0029258D">
        <w:rPr>
          <w:bCs/>
        </w:rPr>
        <w:t xml:space="preserve">recognized the </w:t>
      </w:r>
      <w:r w:rsidR="0014602F">
        <w:rPr>
          <w:bCs/>
        </w:rPr>
        <w:t xml:space="preserve">trial </w:t>
      </w:r>
      <w:r w:rsidR="0029258D">
        <w:rPr>
          <w:bCs/>
        </w:rPr>
        <w:t xml:space="preserve">court’s </w:t>
      </w:r>
      <w:r w:rsidRPr="00535B5A" w:rsidR="00922E81">
        <w:rPr>
          <w:bCs/>
        </w:rPr>
        <w:t xml:space="preserve">discretion to allow a continuance even </w:t>
      </w:r>
      <w:r w:rsidR="0003569B">
        <w:rPr>
          <w:bCs/>
        </w:rPr>
        <w:t>without</w:t>
      </w:r>
      <w:r w:rsidRPr="00535B5A" w:rsidR="00922E81">
        <w:rPr>
          <w:bCs/>
        </w:rPr>
        <w:t xml:space="preserve"> a</w:t>
      </w:r>
      <w:r w:rsidR="00F043FF">
        <w:rPr>
          <w:bCs/>
        </w:rPr>
        <w:t xml:space="preserve"> factual</w:t>
      </w:r>
      <w:r w:rsidRPr="00535B5A" w:rsidR="00922E81">
        <w:rPr>
          <w:bCs/>
        </w:rPr>
        <w:t xml:space="preserve"> showing of </w:t>
      </w:r>
      <w:r w:rsidR="00F043FF">
        <w:rPr>
          <w:bCs/>
        </w:rPr>
        <w:t>necessity</w:t>
      </w:r>
      <w:r w:rsidR="008F4ADD">
        <w:rPr>
          <w:bCs/>
        </w:rPr>
        <w:t>.</w:t>
      </w:r>
      <w:r w:rsidR="00F043FF">
        <w:rPr>
          <w:bCs/>
        </w:rPr>
        <w:t xml:space="preserve"> </w:t>
      </w:r>
      <w:r w:rsidRPr="00535B5A" w:rsidR="00922E81">
        <w:rPr>
          <w:bCs/>
        </w:rPr>
        <w:t xml:space="preserve"> (See </w:t>
      </w:r>
      <w:r w:rsidRPr="00535B5A" w:rsidR="00922E81">
        <w:rPr>
          <w:bCs/>
          <w:i/>
          <w:iCs/>
        </w:rPr>
        <w:t>Johnson</w:t>
      </w:r>
      <w:r w:rsidRPr="00535B5A" w:rsidR="00922E81">
        <w:rPr>
          <w:bCs/>
        </w:rPr>
        <w:t xml:space="preserve">, at pp. 942–943; </w:t>
      </w:r>
      <w:r w:rsidRPr="00535B5A" w:rsidR="00922E81">
        <w:rPr>
          <w:bCs/>
          <w:i/>
          <w:iCs/>
        </w:rPr>
        <w:t>Brown</w:t>
      </w:r>
      <w:r w:rsidRPr="00535B5A" w:rsidR="00922E81">
        <w:rPr>
          <w:bCs/>
        </w:rPr>
        <w:t>, at p. 303.)</w:t>
      </w:r>
    </w:p>
    <w:p w:rsidR="002535FB" w:rsidRPr="00535B5A" w:rsidP="00535B5A" w14:paraId="787518AD" w14:textId="0440745E">
      <w:pPr>
        <w:rPr>
          <w:bCs/>
        </w:rPr>
      </w:pPr>
      <w:r w:rsidRPr="00535B5A">
        <w:rPr>
          <w:bCs/>
        </w:rPr>
        <w:tab/>
      </w:r>
      <w:r w:rsidRPr="00654046">
        <w:rPr>
          <w:bCs/>
        </w:rPr>
        <w:t>Section 1050.5</w:t>
      </w:r>
      <w:r w:rsidRPr="00654046" w:rsidR="00654046">
        <w:rPr>
          <w:bCs/>
        </w:rPr>
        <w:t xml:space="preserve"> was</w:t>
      </w:r>
      <w:r w:rsidRPr="00654046">
        <w:rPr>
          <w:bCs/>
        </w:rPr>
        <w:t xml:space="preserve"> also added in 2003</w:t>
      </w:r>
      <w:r w:rsidRPr="00654046" w:rsidR="00654046">
        <w:rPr>
          <w:bCs/>
        </w:rPr>
        <w:t xml:space="preserve">.  </w:t>
      </w:r>
      <w:r w:rsidRPr="00654046">
        <w:rPr>
          <w:bCs/>
        </w:rPr>
        <w:t xml:space="preserve">After prescribing sanctions for a movant’s failure to comply with section 1050’s </w:t>
      </w:r>
      <w:r w:rsidRPr="00535B5A">
        <w:rPr>
          <w:bCs/>
        </w:rPr>
        <w:t>procedural requirements, section 1050.5 states that these sanctions “shall be in addition to any other authority or power available to the court, except that the court or magistrate shall not dismiss the case.”  (§ 1050.5, subd. (b).)</w:t>
      </w:r>
    </w:p>
    <w:p w:rsidR="00DB2B75" w:rsidP="00FC31FB" w14:paraId="0B95589E" w14:textId="6B554623">
      <w:pPr>
        <w:rPr>
          <w:bCs/>
        </w:rPr>
      </w:pPr>
      <w:r w:rsidRPr="00535B5A">
        <w:tab/>
      </w:r>
      <w:r w:rsidR="009F7096">
        <w:t xml:space="preserve">The text of </w:t>
      </w:r>
      <w:r w:rsidRPr="00535B5A">
        <w:t xml:space="preserve">section 1050 </w:t>
      </w:r>
      <w:r w:rsidR="00402074">
        <w:t xml:space="preserve">speaks </w:t>
      </w:r>
      <w:r w:rsidR="009F7096">
        <w:t xml:space="preserve">only </w:t>
      </w:r>
      <w:r w:rsidR="00402074">
        <w:t>to continuance</w:t>
      </w:r>
      <w:r w:rsidR="00A33748">
        <w:t>s</w:t>
      </w:r>
      <w:r w:rsidR="0000089B">
        <w:t xml:space="preserve">; </w:t>
      </w:r>
      <w:r w:rsidR="0084713F">
        <w:t xml:space="preserve">it </w:t>
      </w:r>
      <w:r w:rsidRPr="00535B5A">
        <w:t xml:space="preserve">is not an independent source of dismissal authority.  </w:t>
      </w:r>
      <w:r w:rsidR="00AD04CE">
        <w:t>It is important to keep the distinction in mind</w:t>
      </w:r>
      <w:r w:rsidR="00A462DB">
        <w:t xml:space="preserve">. </w:t>
      </w:r>
      <w:r>
        <w:t xml:space="preserve"> </w:t>
      </w:r>
      <w:r w:rsidRPr="00535B5A">
        <w:rPr>
          <w:bCs/>
        </w:rPr>
        <w:t>Although s</w:t>
      </w:r>
      <w:r w:rsidRPr="00535B5A" w:rsidR="00A1131A">
        <w:rPr>
          <w:bCs/>
        </w:rPr>
        <w:t xml:space="preserve">ection 1050, </w:t>
      </w:r>
      <w:r w:rsidRPr="00535B5A" w:rsidR="009860BC">
        <w:rPr>
          <w:bCs/>
        </w:rPr>
        <w:t>subdivision (</w:t>
      </w:r>
      <w:r w:rsidRPr="00535B5A" w:rsidR="009860BC">
        <w:rPr>
          <w:bCs/>
          <w:i/>
          <w:iCs/>
        </w:rPr>
        <w:t>l</w:t>
      </w:r>
      <w:r w:rsidRPr="00535B5A" w:rsidR="009860BC">
        <w:rPr>
          <w:bCs/>
        </w:rPr>
        <w:t>) makes clear that dismissal of an action</w:t>
      </w:r>
      <w:r>
        <w:rPr>
          <w:bCs/>
        </w:rPr>
        <w:t xml:space="preserve"> is never </w:t>
      </w:r>
      <w:r w:rsidRPr="00E87F40">
        <w:rPr>
          <w:bCs/>
          <w:i/>
          <w:iCs/>
        </w:rPr>
        <w:t>required</w:t>
      </w:r>
      <w:r w:rsidRPr="00535B5A" w:rsidR="009860BC">
        <w:rPr>
          <w:bCs/>
        </w:rPr>
        <w:t>,</w:t>
      </w:r>
      <w:r w:rsidRPr="00535B5A" w:rsidR="00863FF7">
        <w:rPr>
          <w:bCs/>
        </w:rPr>
        <w:t xml:space="preserve"> </w:t>
      </w:r>
      <w:r>
        <w:rPr>
          <w:bCs/>
        </w:rPr>
        <w:t>the statute</w:t>
      </w:r>
      <w:r w:rsidRPr="00535B5A">
        <w:rPr>
          <w:bCs/>
        </w:rPr>
        <w:t xml:space="preserve"> </w:t>
      </w:r>
      <w:r w:rsidRPr="00535B5A" w:rsidR="009860BC">
        <w:rPr>
          <w:bCs/>
        </w:rPr>
        <w:t xml:space="preserve">does not </w:t>
      </w:r>
      <w:r>
        <w:rPr>
          <w:bCs/>
        </w:rPr>
        <w:t xml:space="preserve">explicitly </w:t>
      </w:r>
      <w:r w:rsidRPr="00535B5A">
        <w:rPr>
          <w:bCs/>
        </w:rPr>
        <w:t>forbid</w:t>
      </w:r>
      <w:r w:rsidRPr="00535B5A" w:rsidR="009860BC">
        <w:rPr>
          <w:bCs/>
        </w:rPr>
        <w:t xml:space="preserve"> dismissals that may result from a continuance denial.</w:t>
      </w:r>
      <w:r w:rsidRPr="00535B5A" w:rsidR="00A1131A">
        <w:rPr>
          <w:bCs/>
        </w:rPr>
        <w:t xml:space="preserve">  </w:t>
      </w:r>
      <w:r w:rsidR="00D0423E">
        <w:rPr>
          <w:bCs/>
        </w:rPr>
        <w:t xml:space="preserve">Further, </w:t>
      </w:r>
      <w:r w:rsidRPr="00535B5A" w:rsidR="00863FF7">
        <w:rPr>
          <w:bCs/>
        </w:rPr>
        <w:t xml:space="preserve">section 1050.5 </w:t>
      </w:r>
      <w:r w:rsidR="0058616B">
        <w:rPr>
          <w:bCs/>
        </w:rPr>
        <w:t>is in</w:t>
      </w:r>
      <w:r w:rsidRPr="00535B5A" w:rsidR="00863FF7">
        <w:rPr>
          <w:bCs/>
        </w:rPr>
        <w:t xml:space="preserve">applicable here.  </w:t>
      </w:r>
      <w:r w:rsidRPr="00535B5A">
        <w:rPr>
          <w:bCs/>
        </w:rPr>
        <w:t>T</w:t>
      </w:r>
      <w:r w:rsidRPr="00535B5A" w:rsidR="00863FF7">
        <w:rPr>
          <w:bCs/>
        </w:rPr>
        <w:t>he sanctions statute</w:t>
      </w:r>
      <w:r w:rsidRPr="00535B5A" w:rsidR="00A1131A">
        <w:rPr>
          <w:bCs/>
        </w:rPr>
        <w:t xml:space="preserve"> </w:t>
      </w:r>
      <w:r w:rsidR="00F16FDE">
        <w:rPr>
          <w:bCs/>
        </w:rPr>
        <w:t>forbi</w:t>
      </w:r>
      <w:r w:rsidR="0034386C">
        <w:rPr>
          <w:bCs/>
        </w:rPr>
        <w:t>d</w:t>
      </w:r>
      <w:r w:rsidR="00F16FDE">
        <w:rPr>
          <w:bCs/>
        </w:rPr>
        <w:t xml:space="preserve">s </w:t>
      </w:r>
      <w:r w:rsidR="00BD7456">
        <w:rPr>
          <w:bCs/>
        </w:rPr>
        <w:t xml:space="preserve">dismissal of an action </w:t>
      </w:r>
      <w:r w:rsidRPr="00535B5A" w:rsidR="00863FF7">
        <w:rPr>
          <w:bCs/>
        </w:rPr>
        <w:t>as punishment for</w:t>
      </w:r>
      <w:r w:rsidRPr="00535B5A" w:rsidR="00A1131A">
        <w:rPr>
          <w:bCs/>
        </w:rPr>
        <w:t xml:space="preserve"> a party</w:t>
      </w:r>
      <w:r w:rsidRPr="00535B5A" w:rsidR="00863FF7">
        <w:rPr>
          <w:bCs/>
        </w:rPr>
        <w:t xml:space="preserve">’s </w:t>
      </w:r>
      <w:r w:rsidRPr="00535B5A" w:rsidR="00A1131A">
        <w:rPr>
          <w:bCs/>
        </w:rPr>
        <w:t>fail</w:t>
      </w:r>
      <w:r w:rsidRPr="00535B5A" w:rsidR="00863FF7">
        <w:rPr>
          <w:bCs/>
        </w:rPr>
        <w:t>ure</w:t>
      </w:r>
      <w:r w:rsidRPr="00535B5A" w:rsidR="00A1131A">
        <w:rPr>
          <w:bCs/>
        </w:rPr>
        <w:t xml:space="preserve"> to satisfy </w:t>
      </w:r>
      <w:r w:rsidRPr="00E87F40" w:rsidR="00A1131A">
        <w:rPr>
          <w:bCs/>
        </w:rPr>
        <w:t>procedural</w:t>
      </w:r>
      <w:r w:rsidRPr="00535B5A" w:rsidR="00A1131A">
        <w:rPr>
          <w:bCs/>
        </w:rPr>
        <w:t xml:space="preserve"> requirements</w:t>
      </w:r>
      <w:r w:rsidRPr="00535B5A" w:rsidR="00863FF7">
        <w:rPr>
          <w:bCs/>
        </w:rPr>
        <w:t xml:space="preserve"> (§ 1050.5, subd. (b)</w:t>
      </w:r>
      <w:r w:rsidR="00CC17B5">
        <w:rPr>
          <w:bCs/>
        </w:rPr>
        <w:t>)</w:t>
      </w:r>
      <w:r w:rsidRPr="00535B5A" w:rsidR="00A1131A">
        <w:rPr>
          <w:bCs/>
        </w:rPr>
        <w:t>,</w:t>
      </w:r>
      <w:r w:rsidRPr="00535B5A">
        <w:rPr>
          <w:bCs/>
        </w:rPr>
        <w:t xml:space="preserve"> but</w:t>
      </w:r>
      <w:r w:rsidRPr="00535B5A" w:rsidR="00A1131A">
        <w:rPr>
          <w:bCs/>
        </w:rPr>
        <w:t xml:space="preserve"> it does not speak to the court’s authority in ruling on a</w:t>
      </w:r>
      <w:r w:rsidRPr="00535B5A" w:rsidR="00863FF7">
        <w:rPr>
          <w:bCs/>
        </w:rPr>
        <w:t xml:space="preserve"> motion</w:t>
      </w:r>
      <w:r w:rsidR="00FB195C">
        <w:rPr>
          <w:bCs/>
        </w:rPr>
        <w:t xml:space="preserve"> that fails to demonstrate a continuance is necessary. </w:t>
      </w:r>
      <w:r>
        <w:rPr>
          <w:bCs/>
        </w:rPr>
        <w:t xml:space="preserve"> </w:t>
      </w:r>
    </w:p>
    <w:p w:rsidR="00475F0A" w:rsidRPr="00535B5A" w:rsidP="00FC31FB" w14:paraId="1C67FA75" w14:textId="1E3F7D4E">
      <w:pPr>
        <w:rPr>
          <w:bCs/>
        </w:rPr>
      </w:pPr>
      <w:r>
        <w:rPr>
          <w:bCs/>
        </w:rPr>
        <w:tab/>
      </w:r>
      <w:r w:rsidRPr="00535B5A">
        <w:rPr>
          <w:bCs/>
        </w:rPr>
        <w:t xml:space="preserve">The </w:t>
      </w:r>
      <w:r w:rsidR="00547EA8">
        <w:rPr>
          <w:bCs/>
        </w:rPr>
        <w:t>language of section</w:t>
      </w:r>
      <w:r w:rsidR="00E87F40">
        <w:rPr>
          <w:bCs/>
        </w:rPr>
        <w:t> </w:t>
      </w:r>
      <w:r w:rsidR="00547EA8">
        <w:rPr>
          <w:bCs/>
        </w:rPr>
        <w:t xml:space="preserve">1050 </w:t>
      </w:r>
      <w:r w:rsidR="002866A2">
        <w:rPr>
          <w:bCs/>
        </w:rPr>
        <w:t xml:space="preserve">thus </w:t>
      </w:r>
      <w:r w:rsidRPr="00535B5A">
        <w:rPr>
          <w:bCs/>
        </w:rPr>
        <w:t>does not resolve the issue before us</w:t>
      </w:r>
      <w:r w:rsidR="002866A2">
        <w:rPr>
          <w:bCs/>
        </w:rPr>
        <w:t>,</w:t>
      </w:r>
      <w:r w:rsidRPr="00535B5A">
        <w:rPr>
          <w:bCs/>
        </w:rPr>
        <w:t xml:space="preserve"> because it neither authorizes nor prohibits dismissals.  </w:t>
      </w:r>
      <w:r w:rsidR="00663787">
        <w:rPr>
          <w:bCs/>
        </w:rPr>
        <w:t>To</w:t>
      </w:r>
      <w:r w:rsidR="00E71678">
        <w:rPr>
          <w:bCs/>
        </w:rPr>
        <w:t xml:space="preserve"> consider how the </w:t>
      </w:r>
      <w:r w:rsidR="002F6E0C">
        <w:rPr>
          <w:bCs/>
        </w:rPr>
        <w:t xml:space="preserve">relevant </w:t>
      </w:r>
      <w:r w:rsidR="00E71678">
        <w:rPr>
          <w:bCs/>
        </w:rPr>
        <w:t>statutes can be read together, we</w:t>
      </w:r>
      <w:r w:rsidR="004B6FA2">
        <w:rPr>
          <w:bCs/>
        </w:rPr>
        <w:t xml:space="preserve"> turn to their</w:t>
      </w:r>
      <w:r w:rsidR="00E71678">
        <w:rPr>
          <w:bCs/>
        </w:rPr>
        <w:t xml:space="preserve"> </w:t>
      </w:r>
      <w:r w:rsidR="00676F9A">
        <w:rPr>
          <w:bCs/>
        </w:rPr>
        <w:t xml:space="preserve">legislative history and </w:t>
      </w:r>
      <w:r w:rsidR="00663787">
        <w:rPr>
          <w:bCs/>
        </w:rPr>
        <w:t>interpretative</w:t>
      </w:r>
      <w:r w:rsidR="00676F9A">
        <w:rPr>
          <w:bCs/>
        </w:rPr>
        <w:t xml:space="preserve"> case law.</w:t>
      </w:r>
      <w:r w:rsidRPr="00535B5A" w:rsidR="00863FF7">
        <w:rPr>
          <w:bCs/>
        </w:rPr>
        <w:t xml:space="preserve">  </w:t>
      </w:r>
    </w:p>
    <w:p w:rsidR="005A5CB0" w:rsidRPr="00535B5A" w:rsidP="00535B5A" w14:paraId="3B166C0F" w14:textId="61CBD986">
      <w:pPr>
        <w:keepNext/>
        <w:rPr>
          <w:bCs/>
          <w:i/>
          <w:iCs/>
        </w:rPr>
      </w:pPr>
      <w:r w:rsidRPr="00535B5A">
        <w:rPr>
          <w:bCs/>
        </w:rPr>
        <w:t>B.</w:t>
      </w:r>
      <w:r w:rsidRPr="00535B5A">
        <w:rPr>
          <w:bCs/>
        </w:rPr>
        <w:tab/>
      </w:r>
      <w:r w:rsidRPr="00535B5A" w:rsidR="006017D7">
        <w:rPr>
          <w:bCs/>
          <w:i/>
          <w:iCs/>
        </w:rPr>
        <w:t xml:space="preserve">Case Law Context and </w:t>
      </w:r>
      <w:r w:rsidRPr="00535B5A">
        <w:rPr>
          <w:bCs/>
          <w:i/>
          <w:iCs/>
        </w:rPr>
        <w:t>Legislative History</w:t>
      </w:r>
    </w:p>
    <w:p w:rsidR="00475F0A" w:rsidRPr="00535B5A" w:rsidP="00535B5A" w14:paraId="6E29E167" w14:textId="21FF626C">
      <w:pPr>
        <w:rPr>
          <w:bCs/>
        </w:rPr>
      </w:pPr>
      <w:r w:rsidRPr="00535B5A">
        <w:rPr>
          <w:bCs/>
        </w:rPr>
        <w:tab/>
      </w:r>
      <w:r w:rsidRPr="00535B5A" w:rsidR="00A2583A">
        <w:rPr>
          <w:bCs/>
        </w:rPr>
        <w:t>Both s</w:t>
      </w:r>
      <w:r w:rsidRPr="00535B5A">
        <w:rPr>
          <w:bCs/>
        </w:rPr>
        <w:t>ection 1050, subdivision (</w:t>
      </w:r>
      <w:r w:rsidRPr="00535B5A">
        <w:rPr>
          <w:bCs/>
          <w:i/>
          <w:iCs/>
        </w:rPr>
        <w:t>l</w:t>
      </w:r>
      <w:r w:rsidRPr="00535B5A">
        <w:rPr>
          <w:bCs/>
        </w:rPr>
        <w:t xml:space="preserve">) and </w:t>
      </w:r>
      <w:r w:rsidRPr="00535B5A" w:rsidR="001A0F81">
        <w:rPr>
          <w:bCs/>
        </w:rPr>
        <w:t xml:space="preserve">the language of section 1050.5, subdivision (b) </w:t>
      </w:r>
      <w:r w:rsidR="00E87F40">
        <w:rPr>
          <w:bCs/>
        </w:rPr>
        <w:t xml:space="preserve">discussed above </w:t>
      </w:r>
      <w:r w:rsidRPr="00535B5A" w:rsidR="001A0F81">
        <w:rPr>
          <w:bCs/>
        </w:rPr>
        <w:t>were added by Assembly Bill No. 1273 (</w:t>
      </w:r>
      <w:r w:rsidR="00E93EF2">
        <w:rPr>
          <w:bCs/>
        </w:rPr>
        <w:t>2003–2004</w:t>
      </w:r>
      <w:r w:rsidRPr="00535B5A" w:rsidR="001A0F81">
        <w:rPr>
          <w:bCs/>
        </w:rPr>
        <w:t xml:space="preserve"> Reg. Sess.).  </w:t>
      </w:r>
      <w:r w:rsidR="00692BE2">
        <w:rPr>
          <w:bCs/>
        </w:rPr>
        <w:t xml:space="preserve">The </w:t>
      </w:r>
      <w:r w:rsidRPr="00535B5A" w:rsidR="001A0F81">
        <w:rPr>
          <w:bCs/>
        </w:rPr>
        <w:t xml:space="preserve">Legislature </w:t>
      </w:r>
      <w:r w:rsidRPr="00535B5A" w:rsidR="006017D7">
        <w:rPr>
          <w:bCs/>
        </w:rPr>
        <w:t xml:space="preserve">acted </w:t>
      </w:r>
      <w:r w:rsidRPr="00535B5A" w:rsidR="001A0F81">
        <w:rPr>
          <w:bCs/>
        </w:rPr>
        <w:t>in response to a series of cases</w:t>
      </w:r>
      <w:r w:rsidR="002866A2">
        <w:rPr>
          <w:bCs/>
        </w:rPr>
        <w:t>,</w:t>
      </w:r>
      <w:r w:rsidR="008D2790">
        <w:rPr>
          <w:bCs/>
        </w:rPr>
        <w:t xml:space="preserve"> which </w:t>
      </w:r>
      <w:r w:rsidRPr="00535B5A" w:rsidR="001A0F81">
        <w:rPr>
          <w:bCs/>
        </w:rPr>
        <w:t>we discuss before review</w:t>
      </w:r>
      <w:r w:rsidRPr="00535B5A" w:rsidR="005E7F7E">
        <w:rPr>
          <w:bCs/>
        </w:rPr>
        <w:t>ing</w:t>
      </w:r>
      <w:r w:rsidRPr="00535B5A" w:rsidR="00AF6D6F">
        <w:rPr>
          <w:bCs/>
        </w:rPr>
        <w:t xml:space="preserve"> the bill’s legislative history.</w:t>
      </w:r>
    </w:p>
    <w:p w:rsidR="00AB2FC9" w:rsidRPr="00535B5A" w:rsidP="00535B5A" w14:paraId="05274998" w14:textId="03F0AAF9">
      <w:pPr>
        <w:keepNext/>
        <w:rPr>
          <w:bCs/>
          <w:i/>
          <w:iCs/>
        </w:rPr>
      </w:pPr>
      <w:r w:rsidRPr="00535B5A">
        <w:rPr>
          <w:bCs/>
        </w:rPr>
        <w:tab/>
      </w:r>
      <w:r w:rsidRPr="00535B5A" w:rsidR="001A0F81">
        <w:rPr>
          <w:bCs/>
        </w:rPr>
        <w:t>1</w:t>
      </w:r>
      <w:r w:rsidRPr="00535B5A">
        <w:rPr>
          <w:bCs/>
        </w:rPr>
        <w:t>.</w:t>
      </w:r>
      <w:r w:rsidRPr="00535B5A">
        <w:rPr>
          <w:bCs/>
        </w:rPr>
        <w:tab/>
      </w:r>
      <w:r w:rsidRPr="00535B5A" w:rsidR="006373E4">
        <w:rPr>
          <w:bCs/>
          <w:i/>
          <w:iCs/>
        </w:rPr>
        <w:t xml:space="preserve">Cases Addressing </w:t>
      </w:r>
      <w:r w:rsidRPr="00535B5A">
        <w:rPr>
          <w:bCs/>
          <w:i/>
          <w:iCs/>
        </w:rPr>
        <w:t>Continuance of Trial</w:t>
      </w:r>
    </w:p>
    <w:p w:rsidR="00AB2FC9" w:rsidRPr="00535B5A" w:rsidP="00535B5A" w14:paraId="1228F6FC" w14:textId="20DFD181">
      <w:pPr>
        <w:rPr>
          <w:bCs/>
        </w:rPr>
      </w:pPr>
      <w:r w:rsidRPr="00535B5A">
        <w:rPr>
          <w:bCs/>
        </w:rPr>
        <w:tab/>
      </w:r>
      <w:r w:rsidRPr="00535B5A" w:rsidR="00A6413C">
        <w:rPr>
          <w:bCs/>
        </w:rPr>
        <w:t>Several opinions have examined how t</w:t>
      </w:r>
      <w:r w:rsidRPr="00535B5A" w:rsidR="006017D7">
        <w:rPr>
          <w:bCs/>
        </w:rPr>
        <w:t>he</w:t>
      </w:r>
      <w:r w:rsidRPr="00535B5A" w:rsidR="00A6413C">
        <w:rPr>
          <w:bCs/>
        </w:rPr>
        <w:t xml:space="preserve"> </w:t>
      </w:r>
      <w:r w:rsidRPr="00535B5A" w:rsidR="006017D7">
        <w:rPr>
          <w:bCs/>
        </w:rPr>
        <w:t xml:space="preserve">time limits in </w:t>
      </w:r>
      <w:r w:rsidRPr="00535B5A" w:rsidR="004859FA">
        <w:rPr>
          <w:bCs/>
        </w:rPr>
        <w:t xml:space="preserve">section 1382 </w:t>
      </w:r>
      <w:r w:rsidRPr="00535B5A" w:rsidR="00B0130B">
        <w:rPr>
          <w:bCs/>
        </w:rPr>
        <w:t>affect</w:t>
      </w:r>
      <w:r w:rsidRPr="00535B5A" w:rsidR="004859FA">
        <w:rPr>
          <w:bCs/>
        </w:rPr>
        <w:t xml:space="preserve"> the court’s </w:t>
      </w:r>
      <w:r w:rsidRPr="00535B5A" w:rsidR="00B0130B">
        <w:rPr>
          <w:bCs/>
        </w:rPr>
        <w:t>discretion</w:t>
      </w:r>
      <w:r w:rsidRPr="00535B5A" w:rsidR="004859FA">
        <w:rPr>
          <w:bCs/>
        </w:rPr>
        <w:t xml:space="preserve"> </w:t>
      </w:r>
      <w:r w:rsidRPr="00535B5A" w:rsidR="00B0130B">
        <w:rPr>
          <w:bCs/>
        </w:rPr>
        <w:t xml:space="preserve">in ruling on </w:t>
      </w:r>
      <w:r w:rsidRPr="00535B5A" w:rsidR="004859FA">
        <w:rPr>
          <w:bCs/>
        </w:rPr>
        <w:t>continuance</w:t>
      </w:r>
      <w:r w:rsidRPr="00535B5A" w:rsidR="00B0130B">
        <w:rPr>
          <w:bCs/>
        </w:rPr>
        <w:t>s that would</w:t>
      </w:r>
      <w:r w:rsidRPr="00535B5A" w:rsidR="004859FA">
        <w:rPr>
          <w:bCs/>
        </w:rPr>
        <w:t xml:space="preserve"> delay the start of trial.  </w:t>
      </w:r>
      <w:r w:rsidRPr="00535B5A" w:rsidR="0001333B">
        <w:rPr>
          <w:bCs/>
        </w:rPr>
        <w:t xml:space="preserve">Without </w:t>
      </w:r>
      <w:r w:rsidRPr="00535B5A" w:rsidR="0077243E">
        <w:rPr>
          <w:bCs/>
        </w:rPr>
        <w:t xml:space="preserve">the defendant’s waiver or consent, </w:t>
      </w:r>
      <w:r w:rsidRPr="00535B5A" w:rsidR="00A54B1C">
        <w:rPr>
          <w:bCs/>
        </w:rPr>
        <w:t xml:space="preserve">or a showing of “good cause to the contrary,” </w:t>
      </w:r>
      <w:r w:rsidRPr="00535B5A" w:rsidR="004859FA">
        <w:rPr>
          <w:bCs/>
        </w:rPr>
        <w:t xml:space="preserve">section 1382 requires </w:t>
      </w:r>
      <w:r w:rsidR="00D323F4">
        <w:rPr>
          <w:bCs/>
        </w:rPr>
        <w:t xml:space="preserve">that </w:t>
      </w:r>
      <w:r w:rsidRPr="00535B5A" w:rsidR="004859FA">
        <w:rPr>
          <w:bCs/>
        </w:rPr>
        <w:t>the court dismiss an action not brought to trial</w:t>
      </w:r>
      <w:r w:rsidR="00386FE6">
        <w:rPr>
          <w:bCs/>
        </w:rPr>
        <w:t xml:space="preserve"> within</w:t>
      </w:r>
      <w:r w:rsidRPr="00535B5A" w:rsidR="004859FA">
        <w:rPr>
          <w:bCs/>
        </w:rPr>
        <w:t>:  (</w:t>
      </w:r>
      <w:r w:rsidRPr="00535B5A" w:rsidR="0077243E">
        <w:rPr>
          <w:bCs/>
        </w:rPr>
        <w:t>1) 60 days after the defendant’s arraignment or plea in felony cases; (2) 30 days after the arraignment or plea in misdemeanor cases when the defendant is in custody; or (3) 45 days after the arraignment or plea in misdemeanor cases when the defendant is not in custody.  (§ 1382, subd. (a)(2)</w:t>
      </w:r>
      <w:r w:rsidRPr="00535B5A" w:rsidR="00FC6A68">
        <w:rPr>
          <w:bCs/>
        </w:rPr>
        <w:t>–</w:t>
      </w:r>
      <w:r w:rsidRPr="00535B5A" w:rsidR="0077243E">
        <w:rPr>
          <w:bCs/>
        </w:rPr>
        <w:t>(3).)</w:t>
      </w:r>
      <w:r w:rsidRPr="00535B5A" w:rsidR="008510BC">
        <w:rPr>
          <w:bCs/>
        </w:rPr>
        <w:t xml:space="preserve">  </w:t>
      </w:r>
      <w:r w:rsidR="00327B03">
        <w:rPr>
          <w:bCs/>
        </w:rPr>
        <w:t xml:space="preserve">Whenever </w:t>
      </w:r>
      <w:r w:rsidRPr="00535B5A" w:rsidR="008510BC">
        <w:rPr>
          <w:bCs/>
        </w:rPr>
        <w:t>the defendant has requested or agreed to begin trial on a date beyond the applicable period, the case must be brought to trial no later than 10 days after that date.  (</w:t>
      </w:r>
      <w:r w:rsidRPr="00535B5A" w:rsidR="008510BC">
        <w:rPr>
          <w:bCs/>
          <w:i/>
          <w:iCs/>
        </w:rPr>
        <w:t>Id</w:t>
      </w:r>
      <w:r w:rsidRPr="00535B5A" w:rsidR="008510BC">
        <w:rPr>
          <w:bCs/>
        </w:rPr>
        <w:t>., subd. (a)(2)(B), (a)(3)(B).)</w:t>
      </w:r>
    </w:p>
    <w:p w:rsidR="00FC6A68" w:rsidRPr="00535B5A" w:rsidP="00535B5A" w14:paraId="286DA1A8" w14:textId="04334DE0">
      <w:pPr>
        <w:rPr>
          <w:bCs/>
        </w:rPr>
      </w:pPr>
      <w:r w:rsidRPr="00535B5A">
        <w:rPr>
          <w:bCs/>
        </w:rPr>
        <w:tab/>
      </w:r>
      <w:r w:rsidR="00E87F40">
        <w:rPr>
          <w:bCs/>
        </w:rPr>
        <w:t>An early</w:t>
      </w:r>
      <w:r w:rsidRPr="00535B5A">
        <w:rPr>
          <w:bCs/>
        </w:rPr>
        <w:t xml:space="preserve"> </w:t>
      </w:r>
      <w:r w:rsidRPr="00535B5A" w:rsidR="00A31D90">
        <w:rPr>
          <w:bCs/>
        </w:rPr>
        <w:t>decision</w:t>
      </w:r>
      <w:r w:rsidRPr="00535B5A">
        <w:rPr>
          <w:bCs/>
        </w:rPr>
        <w:t xml:space="preserve"> touching on </w:t>
      </w:r>
      <w:r w:rsidRPr="00535B5A" w:rsidR="00EA20B8">
        <w:rPr>
          <w:bCs/>
        </w:rPr>
        <w:t>the interplay between section 1382 and continuances</w:t>
      </w:r>
      <w:r w:rsidRPr="00535B5A">
        <w:rPr>
          <w:bCs/>
        </w:rPr>
        <w:t xml:space="preserve"> </w:t>
      </w:r>
      <w:r w:rsidRPr="00535B5A" w:rsidR="00A31D90">
        <w:rPr>
          <w:bCs/>
        </w:rPr>
        <w:t>wa</w:t>
      </w:r>
      <w:r w:rsidRPr="00535B5A">
        <w:rPr>
          <w:bCs/>
        </w:rPr>
        <w:t xml:space="preserve">s </w:t>
      </w:r>
      <w:r w:rsidRPr="00535B5A">
        <w:rPr>
          <w:bCs/>
          <w:i/>
          <w:iCs/>
        </w:rPr>
        <w:t>People v. Kessel</w:t>
      </w:r>
      <w:r w:rsidRPr="00535B5A">
        <w:rPr>
          <w:bCs/>
        </w:rPr>
        <w:t xml:space="preserve"> (1976) 61 Cal.App.3d 322</w:t>
      </w:r>
      <w:r w:rsidRPr="00535B5A" w:rsidR="00912A96">
        <w:rPr>
          <w:bCs/>
        </w:rPr>
        <w:t xml:space="preserve"> (</w:t>
      </w:r>
      <w:r w:rsidRPr="00535B5A" w:rsidR="00912A96">
        <w:rPr>
          <w:bCs/>
          <w:i/>
          <w:iCs/>
        </w:rPr>
        <w:t>Kessel</w:t>
      </w:r>
      <w:r w:rsidRPr="00535B5A" w:rsidR="00912A96">
        <w:rPr>
          <w:bCs/>
        </w:rPr>
        <w:t>)</w:t>
      </w:r>
      <w:r w:rsidRPr="00535B5A">
        <w:rPr>
          <w:bCs/>
        </w:rPr>
        <w:t xml:space="preserve">.  </w:t>
      </w:r>
      <w:r w:rsidR="00AE3384">
        <w:rPr>
          <w:bCs/>
        </w:rPr>
        <w:t xml:space="preserve">On the day set for trial, the </w:t>
      </w:r>
      <w:r w:rsidRPr="00535B5A">
        <w:rPr>
          <w:bCs/>
        </w:rPr>
        <w:t xml:space="preserve">People moved for a </w:t>
      </w:r>
      <w:r w:rsidR="007226E8">
        <w:rPr>
          <w:bCs/>
        </w:rPr>
        <w:t>seven</w:t>
      </w:r>
      <w:r w:rsidRPr="00535B5A">
        <w:rPr>
          <w:bCs/>
        </w:rPr>
        <w:t>-day continuance because the deputy district attorney assigned to the case was unavailable.  The court denied the continuance and dismissed the case under section 1382.  (</w:t>
      </w:r>
      <w:r w:rsidRPr="00C36A7B" w:rsidR="007226E8">
        <w:rPr>
          <w:bCs/>
          <w:i/>
          <w:iCs/>
        </w:rPr>
        <w:t>Kessel</w:t>
      </w:r>
      <w:r w:rsidR="007226E8">
        <w:rPr>
          <w:bCs/>
        </w:rPr>
        <w:t>,</w:t>
      </w:r>
      <w:r w:rsidRPr="00535B5A">
        <w:rPr>
          <w:bCs/>
        </w:rPr>
        <w:t xml:space="preserve"> at pp. 324–325.)  Although the Court of Appeal did not separately address the propriety of the continuance ruling, it </w:t>
      </w:r>
      <w:r w:rsidR="00805C29">
        <w:rPr>
          <w:bCs/>
        </w:rPr>
        <w:t xml:space="preserve">held </w:t>
      </w:r>
      <w:r w:rsidRPr="00535B5A">
        <w:rPr>
          <w:bCs/>
        </w:rPr>
        <w:t xml:space="preserve">that dismissal of the case was an abuse of discretion because the </w:t>
      </w:r>
      <w:r w:rsidR="007226E8">
        <w:rPr>
          <w:bCs/>
        </w:rPr>
        <w:t>seven</w:t>
      </w:r>
      <w:r w:rsidRPr="00535B5A">
        <w:rPr>
          <w:bCs/>
        </w:rPr>
        <w:t xml:space="preserve">-day continuance would have resulted in a trial date </w:t>
      </w:r>
      <w:r w:rsidR="00FB7066">
        <w:rPr>
          <w:bCs/>
        </w:rPr>
        <w:t xml:space="preserve">set </w:t>
      </w:r>
      <w:r w:rsidRPr="00535B5A">
        <w:rPr>
          <w:bCs/>
        </w:rPr>
        <w:t>within section 1382’s 10-day grace period.  (</w:t>
      </w:r>
      <w:r w:rsidRPr="00C36A7B" w:rsidR="007226E8">
        <w:rPr>
          <w:bCs/>
          <w:i/>
          <w:iCs/>
        </w:rPr>
        <w:t>Kessel</w:t>
      </w:r>
      <w:r w:rsidR="007226E8">
        <w:rPr>
          <w:bCs/>
        </w:rPr>
        <w:t>,</w:t>
      </w:r>
      <w:r w:rsidRPr="00535B5A">
        <w:rPr>
          <w:bCs/>
        </w:rPr>
        <w:t xml:space="preserve"> at p. 325</w:t>
      </w:r>
      <w:r w:rsidRPr="00535B5A" w:rsidR="008D2904">
        <w:rPr>
          <w:bCs/>
        </w:rPr>
        <w:t xml:space="preserve">.)  </w:t>
      </w:r>
      <w:r w:rsidR="00FB7066">
        <w:rPr>
          <w:bCs/>
        </w:rPr>
        <w:t xml:space="preserve">Further, </w:t>
      </w:r>
      <w:r w:rsidRPr="00535B5A" w:rsidR="008D2904">
        <w:rPr>
          <w:bCs/>
        </w:rPr>
        <w:t xml:space="preserve">the dismissal </w:t>
      </w:r>
      <w:r w:rsidR="00FB7066">
        <w:rPr>
          <w:bCs/>
        </w:rPr>
        <w:t xml:space="preserve">could not </w:t>
      </w:r>
      <w:r w:rsidRPr="00535B5A" w:rsidR="008D2904">
        <w:rPr>
          <w:bCs/>
        </w:rPr>
        <w:t>be justified under section 1385, which permits an action to be dismissed “in furtherance of justice” (§ 1385, subd. (a)), because there had been no showing of prejudice to the defendant.  (</w:t>
      </w:r>
      <w:r w:rsidRPr="00535B5A" w:rsidR="008D2904">
        <w:rPr>
          <w:bCs/>
          <w:i/>
          <w:iCs/>
        </w:rPr>
        <w:t>Kessel</w:t>
      </w:r>
      <w:r w:rsidRPr="00535B5A" w:rsidR="008D2904">
        <w:rPr>
          <w:bCs/>
        </w:rPr>
        <w:t>, at p. 325.)  The court explained:  “The People’s right to be heard cannot be frustrated to accommodate judicial convenience or because of court congestion.  A dismissal under section 1385 for such a reason is an abuse of discretion.”  (</w:t>
      </w:r>
      <w:r w:rsidRPr="00535B5A" w:rsidR="008D2904">
        <w:rPr>
          <w:bCs/>
          <w:i/>
          <w:iCs/>
        </w:rPr>
        <w:t>Id</w:t>
      </w:r>
      <w:r w:rsidRPr="00535B5A" w:rsidR="008D2904">
        <w:rPr>
          <w:bCs/>
        </w:rPr>
        <w:t xml:space="preserve">. at p. 326; see </w:t>
      </w:r>
      <w:r w:rsidRPr="00535B5A" w:rsidR="008D2904">
        <w:rPr>
          <w:bCs/>
          <w:i/>
          <w:iCs/>
        </w:rPr>
        <w:t>People v. Orin</w:t>
      </w:r>
      <w:r w:rsidRPr="00535B5A" w:rsidR="008D2904">
        <w:rPr>
          <w:bCs/>
        </w:rPr>
        <w:t xml:space="preserve"> (1975) 13 Cal.3d 937, 946</w:t>
      </w:r>
      <w:r w:rsidRPr="00535B5A" w:rsidR="008D2904">
        <w:t>–</w:t>
      </w:r>
      <w:r w:rsidRPr="00535B5A" w:rsidR="008D2904">
        <w:rPr>
          <w:bCs/>
        </w:rPr>
        <w:t>947 (</w:t>
      </w:r>
      <w:r w:rsidRPr="00535B5A" w:rsidR="008D2904">
        <w:rPr>
          <w:bCs/>
          <w:i/>
          <w:iCs/>
        </w:rPr>
        <w:t>Orin</w:t>
      </w:r>
      <w:r w:rsidRPr="00535B5A" w:rsidR="008D2904">
        <w:rPr>
          <w:bCs/>
        </w:rPr>
        <w:t>).)</w:t>
      </w:r>
    </w:p>
    <w:p w:rsidR="00290C4D" w:rsidRPr="00535B5A" w:rsidP="00535B5A" w14:paraId="247C6792" w14:textId="65DFD98E">
      <w:pPr>
        <w:rPr>
          <w:bCs/>
        </w:rPr>
      </w:pPr>
      <w:r w:rsidRPr="00535B5A">
        <w:rPr>
          <w:bCs/>
        </w:rPr>
        <w:tab/>
      </w:r>
      <w:r w:rsidRPr="00535B5A" w:rsidR="008510BC">
        <w:rPr>
          <w:bCs/>
          <w:i/>
          <w:iCs/>
        </w:rPr>
        <w:t>People v. Flores</w:t>
      </w:r>
      <w:r w:rsidRPr="00535B5A" w:rsidR="008510BC">
        <w:rPr>
          <w:bCs/>
        </w:rPr>
        <w:t xml:space="preserve"> (1978) 90 Cal.App.3d Supp. 1, 6</w:t>
      </w:r>
      <w:r w:rsidRPr="00535B5A" w:rsidR="003F3686">
        <w:rPr>
          <w:bCs/>
        </w:rPr>
        <w:t xml:space="preserve"> (</w:t>
      </w:r>
      <w:r w:rsidRPr="00535B5A" w:rsidR="003F3686">
        <w:rPr>
          <w:bCs/>
          <w:i/>
          <w:iCs/>
        </w:rPr>
        <w:t>Flores</w:t>
      </w:r>
      <w:r w:rsidRPr="00535B5A" w:rsidR="003F3686">
        <w:rPr>
          <w:bCs/>
        </w:rPr>
        <w:t>)</w:t>
      </w:r>
      <w:r w:rsidRPr="00535B5A" w:rsidR="008D2904">
        <w:rPr>
          <w:bCs/>
        </w:rPr>
        <w:t>,</w:t>
      </w:r>
      <w:r w:rsidRPr="00535B5A" w:rsidR="0001333B">
        <w:rPr>
          <w:bCs/>
        </w:rPr>
        <w:t xml:space="preserve"> highlight</w:t>
      </w:r>
      <w:r w:rsidRPr="00535B5A" w:rsidR="00EA0A52">
        <w:rPr>
          <w:bCs/>
        </w:rPr>
        <w:t>ed</w:t>
      </w:r>
      <w:r w:rsidRPr="00535B5A" w:rsidR="0001333B">
        <w:rPr>
          <w:bCs/>
        </w:rPr>
        <w:t xml:space="preserve"> the distinction between continuances and dismissals. </w:t>
      </w:r>
      <w:r w:rsidRPr="00535B5A" w:rsidR="00A75101">
        <w:rPr>
          <w:bCs/>
        </w:rPr>
        <w:t xml:space="preserve"> On the date of trial</w:t>
      </w:r>
      <w:r w:rsidRPr="00535B5A" w:rsidR="00EA20B8">
        <w:rPr>
          <w:bCs/>
        </w:rPr>
        <w:t>,</w:t>
      </w:r>
      <w:r w:rsidRPr="00535B5A" w:rsidR="00A75101">
        <w:rPr>
          <w:bCs/>
        </w:rPr>
        <w:t xml:space="preserve"> </w:t>
      </w:r>
      <w:r w:rsidRPr="00535B5A" w:rsidR="008510BC">
        <w:rPr>
          <w:bCs/>
        </w:rPr>
        <w:t xml:space="preserve">the </w:t>
      </w:r>
      <w:r w:rsidRPr="00535B5A" w:rsidR="00A128E3">
        <w:rPr>
          <w:bCs/>
        </w:rPr>
        <w:t>prosecution</w:t>
      </w:r>
      <w:r w:rsidRPr="00535B5A" w:rsidR="008510BC">
        <w:rPr>
          <w:bCs/>
        </w:rPr>
        <w:t xml:space="preserve"> requested a one-week continuance</w:t>
      </w:r>
      <w:r w:rsidRPr="00535B5A" w:rsidR="00A128E3">
        <w:rPr>
          <w:bCs/>
        </w:rPr>
        <w:t xml:space="preserve"> </w:t>
      </w:r>
      <w:r w:rsidRPr="00535B5A" w:rsidR="008510BC">
        <w:rPr>
          <w:bCs/>
        </w:rPr>
        <w:t>because the arresting officer was unavailable to testify.  The court denied the request</w:t>
      </w:r>
      <w:r w:rsidRPr="00535B5A" w:rsidR="003E732A">
        <w:rPr>
          <w:bCs/>
        </w:rPr>
        <w:t xml:space="preserve"> and</w:t>
      </w:r>
      <w:r w:rsidRPr="00535B5A" w:rsidR="0001333B">
        <w:rPr>
          <w:bCs/>
        </w:rPr>
        <w:t xml:space="preserve"> dismissed the case </w:t>
      </w:r>
      <w:r w:rsidRPr="00535B5A" w:rsidR="003E732A">
        <w:rPr>
          <w:bCs/>
        </w:rPr>
        <w:t>because the People were not ready to proceed</w:t>
      </w:r>
      <w:r w:rsidRPr="00535B5A" w:rsidR="0001333B">
        <w:rPr>
          <w:bCs/>
        </w:rPr>
        <w:t>.</w:t>
      </w:r>
      <w:r w:rsidRPr="00535B5A" w:rsidR="003E732A">
        <w:rPr>
          <w:bCs/>
        </w:rPr>
        <w:t xml:space="preserve">  (</w:t>
      </w:r>
      <w:r w:rsidRPr="00535B5A" w:rsidR="00A85ED9">
        <w:rPr>
          <w:bCs/>
          <w:i/>
          <w:iCs/>
        </w:rPr>
        <w:t>Ibid</w:t>
      </w:r>
      <w:r w:rsidRPr="00535B5A" w:rsidR="003E732A">
        <w:rPr>
          <w:bCs/>
        </w:rPr>
        <w:t>.)  The superior court’s appellate division reversed.  First, it observed that the requested continuance was “</w:t>
      </w:r>
      <w:r w:rsidRPr="00535B5A" w:rsidR="003E732A">
        <w:rPr>
          <w:bCs/>
          <w:i/>
          <w:iCs/>
        </w:rPr>
        <w:t>well within</w:t>
      </w:r>
      <w:r w:rsidRPr="00535B5A" w:rsidR="003E732A">
        <w:rPr>
          <w:bCs/>
        </w:rPr>
        <w:t>” the time limit prescribed by section 1382.  (</w:t>
      </w:r>
      <w:r w:rsidRPr="00535B5A" w:rsidR="003E732A">
        <w:rPr>
          <w:bCs/>
          <w:i/>
          <w:iCs/>
        </w:rPr>
        <w:t>Flores</w:t>
      </w:r>
      <w:r w:rsidRPr="00535B5A" w:rsidR="003E732A">
        <w:rPr>
          <w:bCs/>
        </w:rPr>
        <w:t xml:space="preserve">, at p. 6.) </w:t>
      </w:r>
      <w:r w:rsidR="00F61D5A">
        <w:rPr>
          <w:bCs/>
        </w:rPr>
        <w:t xml:space="preserve"> So </w:t>
      </w:r>
      <w:r w:rsidRPr="00535B5A" w:rsidR="003E732A">
        <w:rPr>
          <w:bCs/>
        </w:rPr>
        <w:t>th</w:t>
      </w:r>
      <w:r w:rsidRPr="00535B5A" w:rsidR="00A837F1">
        <w:rPr>
          <w:bCs/>
        </w:rPr>
        <w:t>at</w:t>
      </w:r>
      <w:r w:rsidRPr="00535B5A" w:rsidR="003E732A">
        <w:rPr>
          <w:bCs/>
        </w:rPr>
        <w:t xml:space="preserve"> statute provided no basis for dismissing the action.  (</w:t>
      </w:r>
      <w:r w:rsidRPr="00535B5A" w:rsidR="003E732A">
        <w:rPr>
          <w:bCs/>
          <w:i/>
          <w:iCs/>
        </w:rPr>
        <w:t>Id</w:t>
      </w:r>
      <w:r w:rsidRPr="00535B5A" w:rsidR="003E732A">
        <w:rPr>
          <w:bCs/>
        </w:rPr>
        <w:t xml:space="preserve">. at p. 7.)  Nor would </w:t>
      </w:r>
      <w:r w:rsidRPr="00535B5A" w:rsidR="009B7875">
        <w:rPr>
          <w:bCs/>
        </w:rPr>
        <w:t>a</w:t>
      </w:r>
      <w:r w:rsidRPr="00535B5A" w:rsidR="003E732A">
        <w:rPr>
          <w:bCs/>
        </w:rPr>
        <w:t xml:space="preserve"> continuance have</w:t>
      </w:r>
      <w:r w:rsidRPr="00535B5A" w:rsidR="00830C77">
        <w:rPr>
          <w:bCs/>
        </w:rPr>
        <w:t xml:space="preserve"> </w:t>
      </w:r>
      <w:r w:rsidR="00744E24">
        <w:rPr>
          <w:bCs/>
        </w:rPr>
        <w:t xml:space="preserve">impinged on the defendant’s </w:t>
      </w:r>
      <w:r w:rsidR="00086D83">
        <w:rPr>
          <w:bCs/>
        </w:rPr>
        <w:t xml:space="preserve">constitutional speedy trial rights.  </w:t>
      </w:r>
      <w:r w:rsidRPr="00535B5A" w:rsidR="003E732A">
        <w:rPr>
          <w:bCs/>
        </w:rPr>
        <w:t>(</w:t>
      </w:r>
      <w:r w:rsidRPr="00535B5A" w:rsidR="003E732A">
        <w:rPr>
          <w:bCs/>
          <w:i/>
          <w:iCs/>
        </w:rPr>
        <w:t>Id</w:t>
      </w:r>
      <w:r w:rsidRPr="00535B5A" w:rsidR="003E732A">
        <w:rPr>
          <w:bCs/>
        </w:rPr>
        <w:t>. at pp. 7</w:t>
      </w:r>
      <w:r w:rsidRPr="00535B5A" w:rsidR="00C635F1">
        <w:t>–</w:t>
      </w:r>
      <w:r w:rsidRPr="00535B5A" w:rsidR="003E732A">
        <w:rPr>
          <w:bCs/>
        </w:rPr>
        <w:t>8.)</w:t>
      </w:r>
      <w:r w:rsidRPr="00535B5A" w:rsidR="00830C77">
        <w:rPr>
          <w:bCs/>
        </w:rPr>
        <w:t xml:space="preserve">  </w:t>
      </w:r>
      <w:r w:rsidR="00086D83">
        <w:rPr>
          <w:bCs/>
        </w:rPr>
        <w:t xml:space="preserve">The </w:t>
      </w:r>
      <w:r w:rsidRPr="00535B5A" w:rsidR="009306F8">
        <w:rPr>
          <w:bCs/>
        </w:rPr>
        <w:t>appellate division</w:t>
      </w:r>
      <w:r w:rsidRPr="00535B5A" w:rsidR="00830C77">
        <w:rPr>
          <w:bCs/>
        </w:rPr>
        <w:t xml:space="preserve"> </w:t>
      </w:r>
      <w:r w:rsidR="00086D83">
        <w:rPr>
          <w:bCs/>
        </w:rPr>
        <w:t xml:space="preserve">then </w:t>
      </w:r>
      <w:r w:rsidRPr="00535B5A" w:rsidR="00830C77">
        <w:rPr>
          <w:bCs/>
        </w:rPr>
        <w:t xml:space="preserve">considered section 1050’s requirement that continuances be granted “only upon a showing of good cause.”  (§ 1050, subd. (e); see </w:t>
      </w:r>
      <w:r w:rsidRPr="00535B5A" w:rsidR="00830C77">
        <w:rPr>
          <w:bCs/>
          <w:i/>
          <w:iCs/>
        </w:rPr>
        <w:t>Flores</w:t>
      </w:r>
      <w:r w:rsidRPr="00535B5A" w:rsidR="00830C77">
        <w:rPr>
          <w:bCs/>
        </w:rPr>
        <w:t>, at pp. 8</w:t>
      </w:r>
      <w:r w:rsidRPr="00535B5A" w:rsidR="00C635F1">
        <w:t>–</w:t>
      </w:r>
      <w:r w:rsidRPr="00535B5A" w:rsidR="00830C77">
        <w:rPr>
          <w:bCs/>
        </w:rPr>
        <w:t>9.)</w:t>
      </w:r>
      <w:r w:rsidRPr="00535B5A" w:rsidR="009B7875">
        <w:rPr>
          <w:bCs/>
        </w:rPr>
        <w:t xml:space="preserve">  </w:t>
      </w:r>
      <w:r w:rsidRPr="00535B5A" w:rsidR="0001333B">
        <w:rPr>
          <w:bCs/>
        </w:rPr>
        <w:t xml:space="preserve">Noting </w:t>
      </w:r>
      <w:r w:rsidR="00123827">
        <w:rPr>
          <w:bCs/>
        </w:rPr>
        <w:t xml:space="preserve">that </w:t>
      </w:r>
      <w:r w:rsidRPr="00535B5A" w:rsidR="00A837F1">
        <w:rPr>
          <w:bCs/>
        </w:rPr>
        <w:t>section 1050’s</w:t>
      </w:r>
      <w:r w:rsidRPr="00535B5A" w:rsidR="009B7875">
        <w:rPr>
          <w:bCs/>
        </w:rPr>
        <w:t xml:space="preserve"> provisions are not mandatory, the court </w:t>
      </w:r>
      <w:r w:rsidRPr="00535B5A" w:rsidR="0001333B">
        <w:rPr>
          <w:bCs/>
        </w:rPr>
        <w:t xml:space="preserve">relied on </w:t>
      </w:r>
      <w:r w:rsidRPr="00535B5A" w:rsidR="00A837F1">
        <w:rPr>
          <w:bCs/>
        </w:rPr>
        <w:t xml:space="preserve">the language of </w:t>
      </w:r>
      <w:r w:rsidRPr="00535B5A" w:rsidR="009B7875">
        <w:rPr>
          <w:bCs/>
        </w:rPr>
        <w:t>section 1382</w:t>
      </w:r>
      <w:r w:rsidRPr="00535B5A" w:rsidR="00A837F1">
        <w:rPr>
          <w:bCs/>
        </w:rPr>
        <w:t xml:space="preserve"> </w:t>
      </w:r>
      <w:r w:rsidRPr="00535B5A" w:rsidR="00A75101">
        <w:rPr>
          <w:bCs/>
        </w:rPr>
        <w:t xml:space="preserve">to conclude an </w:t>
      </w:r>
      <w:r w:rsidRPr="00535B5A" w:rsidR="00A837F1">
        <w:rPr>
          <w:bCs/>
        </w:rPr>
        <w:t xml:space="preserve">action </w:t>
      </w:r>
      <w:r w:rsidRPr="00535B5A" w:rsidR="00A75101">
        <w:rPr>
          <w:bCs/>
        </w:rPr>
        <w:t xml:space="preserve">that can be </w:t>
      </w:r>
      <w:r w:rsidRPr="00535B5A" w:rsidR="00A837F1">
        <w:rPr>
          <w:bCs/>
        </w:rPr>
        <w:t xml:space="preserve">brought to trial within the applicable section 1382 time limit </w:t>
      </w:r>
      <w:r w:rsidRPr="00535B5A" w:rsidR="002C3695">
        <w:rPr>
          <w:bCs/>
        </w:rPr>
        <w:t xml:space="preserve">may </w:t>
      </w:r>
      <w:r w:rsidRPr="00535B5A" w:rsidR="004E3E76">
        <w:rPr>
          <w:bCs/>
        </w:rPr>
        <w:t xml:space="preserve">not be dismissed </w:t>
      </w:r>
      <w:r w:rsidRPr="00535B5A" w:rsidR="00A837F1">
        <w:rPr>
          <w:bCs/>
        </w:rPr>
        <w:t xml:space="preserve">despite the </w:t>
      </w:r>
      <w:r w:rsidR="00691AF0">
        <w:rPr>
          <w:bCs/>
        </w:rPr>
        <w:t xml:space="preserve">absence </w:t>
      </w:r>
      <w:r w:rsidRPr="00535B5A" w:rsidR="00A837F1">
        <w:rPr>
          <w:bCs/>
        </w:rPr>
        <w:t>of good cause for a continuance</w:t>
      </w:r>
      <w:r w:rsidRPr="00535B5A" w:rsidR="009B7875">
        <w:rPr>
          <w:bCs/>
        </w:rPr>
        <w:t xml:space="preserve">.  </w:t>
      </w:r>
      <w:r w:rsidRPr="00535B5A" w:rsidR="00A837F1">
        <w:rPr>
          <w:bCs/>
        </w:rPr>
        <w:t>(</w:t>
      </w:r>
      <w:r w:rsidRPr="00535B5A" w:rsidR="00A837F1">
        <w:rPr>
          <w:bCs/>
          <w:i/>
          <w:iCs/>
        </w:rPr>
        <w:t>Flores</w:t>
      </w:r>
      <w:r w:rsidRPr="00535B5A" w:rsidR="00A837F1">
        <w:rPr>
          <w:bCs/>
        </w:rPr>
        <w:t xml:space="preserve">, at p. 9.)  </w:t>
      </w:r>
      <w:r w:rsidRPr="00535B5A" w:rsidR="009306F8">
        <w:rPr>
          <w:bCs/>
        </w:rPr>
        <w:t xml:space="preserve">Finally, </w:t>
      </w:r>
      <w:r w:rsidRPr="00535B5A" w:rsidR="00A128E3">
        <w:rPr>
          <w:bCs/>
        </w:rPr>
        <w:t xml:space="preserve">the court concluded </w:t>
      </w:r>
      <w:r w:rsidRPr="00535B5A" w:rsidR="009306F8">
        <w:rPr>
          <w:bCs/>
        </w:rPr>
        <w:t>dismissal was not appropriate under section 1385</w:t>
      </w:r>
      <w:r w:rsidRPr="00535B5A" w:rsidR="008D2904">
        <w:rPr>
          <w:bCs/>
        </w:rPr>
        <w:t xml:space="preserve"> </w:t>
      </w:r>
      <w:r w:rsidRPr="00535B5A" w:rsidR="0004586F">
        <w:rPr>
          <w:bCs/>
        </w:rPr>
        <w:t xml:space="preserve">because </w:t>
      </w:r>
      <w:r w:rsidRPr="00535B5A" w:rsidR="00A128E3">
        <w:rPr>
          <w:bCs/>
        </w:rPr>
        <w:t>such a dismissal</w:t>
      </w:r>
      <w:r w:rsidRPr="00535B5A" w:rsidR="0004586F">
        <w:rPr>
          <w:bCs/>
        </w:rPr>
        <w:t xml:space="preserve"> arbitrarily prevent</w:t>
      </w:r>
      <w:r w:rsidRPr="00535B5A" w:rsidR="000E3DCA">
        <w:rPr>
          <w:bCs/>
        </w:rPr>
        <w:t>s</w:t>
      </w:r>
      <w:r w:rsidRPr="00535B5A" w:rsidR="0004586F">
        <w:rPr>
          <w:bCs/>
        </w:rPr>
        <w:t xml:space="preserve"> the People</w:t>
      </w:r>
      <w:r w:rsidRPr="00535B5A" w:rsidR="00F0276E">
        <w:rPr>
          <w:bCs/>
        </w:rPr>
        <w:t xml:space="preserve"> from prosecuting </w:t>
      </w:r>
      <w:r w:rsidRPr="00535B5A" w:rsidR="0004586F">
        <w:rPr>
          <w:bCs/>
        </w:rPr>
        <w:t>an offense supported by probable cause,</w:t>
      </w:r>
      <w:r w:rsidRPr="00535B5A" w:rsidR="00F0276E">
        <w:rPr>
          <w:bCs/>
        </w:rPr>
        <w:t xml:space="preserve"> without a</w:t>
      </w:r>
      <w:r w:rsidRPr="00535B5A" w:rsidR="0004586F">
        <w:rPr>
          <w:bCs/>
        </w:rPr>
        <w:t>ny</w:t>
      </w:r>
      <w:r w:rsidRPr="00535B5A" w:rsidR="00F0276E">
        <w:rPr>
          <w:bCs/>
        </w:rPr>
        <w:t xml:space="preserve"> showing of detriment to the defendant</w:t>
      </w:r>
      <w:r w:rsidRPr="00535B5A" w:rsidR="0004586F">
        <w:rPr>
          <w:bCs/>
        </w:rPr>
        <w:t>.  (</w:t>
      </w:r>
      <w:r w:rsidRPr="00535B5A" w:rsidR="0004586F">
        <w:rPr>
          <w:bCs/>
          <w:i/>
          <w:iCs/>
        </w:rPr>
        <w:t>Flores</w:t>
      </w:r>
      <w:r w:rsidRPr="00535B5A" w:rsidR="0004586F">
        <w:rPr>
          <w:bCs/>
        </w:rPr>
        <w:t>, at p. </w:t>
      </w:r>
      <w:r w:rsidRPr="00535B5A" w:rsidR="008D2904">
        <w:rPr>
          <w:bCs/>
        </w:rPr>
        <w:t>9</w:t>
      </w:r>
      <w:r w:rsidRPr="00535B5A" w:rsidR="0004586F">
        <w:rPr>
          <w:bCs/>
        </w:rPr>
        <w:t>.)</w:t>
      </w:r>
    </w:p>
    <w:p w:rsidR="00CC17B5" w:rsidP="00535B5A" w14:paraId="5EA22E09" w14:textId="77777777">
      <w:pPr>
        <w:rPr>
          <w:bCs/>
        </w:rPr>
      </w:pPr>
      <w:r>
        <w:rPr>
          <w:bCs/>
        </w:rPr>
        <w:tab/>
      </w:r>
      <w:r w:rsidR="00691AF0">
        <w:rPr>
          <w:bCs/>
        </w:rPr>
        <w:t xml:space="preserve">Subsequent </w:t>
      </w:r>
      <w:r w:rsidRPr="00535B5A" w:rsidR="009A43A9">
        <w:rPr>
          <w:bCs/>
        </w:rPr>
        <w:t xml:space="preserve">Court of Appeal decisions </w:t>
      </w:r>
      <w:r w:rsidRPr="00535B5A" w:rsidR="00CF546E">
        <w:rPr>
          <w:bCs/>
        </w:rPr>
        <w:t xml:space="preserve">reached the same conclusion.  </w:t>
      </w:r>
      <w:r w:rsidRPr="00535B5A" w:rsidR="009A43A9">
        <w:rPr>
          <w:bCs/>
        </w:rPr>
        <w:t xml:space="preserve">In </w:t>
      </w:r>
      <w:r w:rsidRPr="00535B5A" w:rsidR="009A43A9">
        <w:rPr>
          <w:bCs/>
          <w:i/>
          <w:iCs/>
        </w:rPr>
        <w:t>People v. Arnold</w:t>
      </w:r>
      <w:r w:rsidRPr="00535B5A" w:rsidR="009A43A9">
        <w:rPr>
          <w:bCs/>
        </w:rPr>
        <w:t xml:space="preserve"> (19</w:t>
      </w:r>
      <w:r w:rsidRPr="00535B5A" w:rsidR="00A85ED9">
        <w:rPr>
          <w:bCs/>
        </w:rPr>
        <w:t>80</w:t>
      </w:r>
      <w:r w:rsidRPr="00535B5A" w:rsidR="009A43A9">
        <w:rPr>
          <w:bCs/>
        </w:rPr>
        <w:t>) 105 Cal.App.3d 456, 458</w:t>
      </w:r>
      <w:r w:rsidRPr="00535B5A" w:rsidR="00F74155">
        <w:rPr>
          <w:bCs/>
        </w:rPr>
        <w:t xml:space="preserve"> (</w:t>
      </w:r>
      <w:r w:rsidRPr="00535B5A" w:rsidR="00F74155">
        <w:rPr>
          <w:bCs/>
          <w:i/>
          <w:iCs/>
        </w:rPr>
        <w:t>Arnold</w:t>
      </w:r>
      <w:r w:rsidRPr="00535B5A" w:rsidR="00F74155">
        <w:rPr>
          <w:bCs/>
        </w:rPr>
        <w:t>)</w:t>
      </w:r>
      <w:r w:rsidRPr="00535B5A" w:rsidR="00CF546E">
        <w:rPr>
          <w:bCs/>
        </w:rPr>
        <w:t xml:space="preserve">, the prosecution sought </w:t>
      </w:r>
      <w:r w:rsidR="00220D96">
        <w:rPr>
          <w:bCs/>
        </w:rPr>
        <w:t xml:space="preserve">a trial continuance </w:t>
      </w:r>
      <w:r w:rsidRPr="00535B5A" w:rsidR="006017D7">
        <w:rPr>
          <w:bCs/>
        </w:rPr>
        <w:t xml:space="preserve">to locate an essential </w:t>
      </w:r>
      <w:r w:rsidRPr="00535B5A" w:rsidR="004377CB">
        <w:rPr>
          <w:bCs/>
        </w:rPr>
        <w:t>witness</w:t>
      </w:r>
      <w:r w:rsidRPr="00535B5A" w:rsidR="00EA20B8">
        <w:rPr>
          <w:bCs/>
        </w:rPr>
        <w:t xml:space="preserve">, </w:t>
      </w:r>
      <w:r w:rsidRPr="00535B5A" w:rsidR="006017D7">
        <w:rPr>
          <w:bCs/>
        </w:rPr>
        <w:t>request</w:t>
      </w:r>
      <w:r w:rsidRPr="00535B5A" w:rsidR="00EA20B8">
        <w:rPr>
          <w:bCs/>
        </w:rPr>
        <w:t>ing</w:t>
      </w:r>
      <w:r w:rsidRPr="00535B5A" w:rsidR="006017D7">
        <w:rPr>
          <w:bCs/>
        </w:rPr>
        <w:t xml:space="preserve"> a date </w:t>
      </w:r>
      <w:r w:rsidRPr="00535B5A" w:rsidR="00776EF3">
        <w:rPr>
          <w:bCs/>
        </w:rPr>
        <w:t>within</w:t>
      </w:r>
      <w:r w:rsidRPr="00535B5A" w:rsidR="00CF546E">
        <w:rPr>
          <w:bCs/>
        </w:rPr>
        <w:t xml:space="preserve"> section 1382’s 10-day grace period</w:t>
      </w:r>
      <w:r w:rsidRPr="00535B5A" w:rsidR="006017D7">
        <w:rPr>
          <w:bCs/>
        </w:rPr>
        <w:t xml:space="preserve">. </w:t>
      </w:r>
      <w:r w:rsidRPr="00535B5A" w:rsidR="00CF546E">
        <w:rPr>
          <w:bCs/>
        </w:rPr>
        <w:t xml:space="preserve"> </w:t>
      </w:r>
      <w:r w:rsidRPr="00535B5A" w:rsidR="00776EF3">
        <w:rPr>
          <w:bCs/>
        </w:rPr>
        <w:t xml:space="preserve">The </w:t>
      </w:r>
      <w:r w:rsidR="00D922C6">
        <w:rPr>
          <w:bCs/>
        </w:rPr>
        <w:t xml:space="preserve">request </w:t>
      </w:r>
      <w:r w:rsidRPr="00535B5A" w:rsidR="00776EF3">
        <w:rPr>
          <w:bCs/>
        </w:rPr>
        <w:t xml:space="preserve">was denied and the case dismissed, </w:t>
      </w:r>
      <w:r w:rsidRPr="00535B5A" w:rsidR="00DC4A79">
        <w:rPr>
          <w:bCs/>
        </w:rPr>
        <w:t xml:space="preserve">assertedly </w:t>
      </w:r>
      <w:r w:rsidRPr="00535B5A" w:rsidR="00776EF3">
        <w:rPr>
          <w:bCs/>
        </w:rPr>
        <w:t>pursuant to section 1382.  (</w:t>
      </w:r>
      <w:r w:rsidRPr="00535B5A" w:rsidR="00776EF3">
        <w:rPr>
          <w:bCs/>
          <w:i/>
          <w:iCs/>
        </w:rPr>
        <w:t>Arnold</w:t>
      </w:r>
      <w:r w:rsidRPr="00535B5A" w:rsidR="00776EF3">
        <w:rPr>
          <w:bCs/>
        </w:rPr>
        <w:t xml:space="preserve">, at p. 459.)  The Court of Appeal held </w:t>
      </w:r>
      <w:r w:rsidRPr="00535B5A" w:rsidR="006017D7">
        <w:rPr>
          <w:bCs/>
        </w:rPr>
        <w:t>the rul</w:t>
      </w:r>
      <w:r w:rsidRPr="00535B5A" w:rsidR="00276241">
        <w:rPr>
          <w:bCs/>
        </w:rPr>
        <w:t>ing</w:t>
      </w:r>
      <w:r w:rsidRPr="00535B5A" w:rsidR="006017D7">
        <w:rPr>
          <w:bCs/>
        </w:rPr>
        <w:t xml:space="preserve"> erroneous, </w:t>
      </w:r>
      <w:r w:rsidRPr="00535B5A" w:rsidR="00434044">
        <w:rPr>
          <w:bCs/>
        </w:rPr>
        <w:t>under both section 1382 and section 1385</w:t>
      </w:r>
      <w:r w:rsidRPr="00535B5A" w:rsidR="00776EF3">
        <w:rPr>
          <w:bCs/>
        </w:rPr>
        <w:t xml:space="preserve">.  </w:t>
      </w:r>
      <w:r w:rsidRPr="00535B5A" w:rsidR="00434044">
        <w:rPr>
          <w:bCs/>
        </w:rPr>
        <w:t>A</w:t>
      </w:r>
      <w:r w:rsidRPr="00535B5A" w:rsidR="00776EF3">
        <w:rPr>
          <w:bCs/>
        </w:rPr>
        <w:t xml:space="preserve"> dismissal within the 10-day grace period was directly contrary to section 1382</w:t>
      </w:r>
      <w:r w:rsidR="00D922C6">
        <w:rPr>
          <w:bCs/>
        </w:rPr>
        <w:t>.</w:t>
      </w:r>
      <w:r w:rsidRPr="00535B5A" w:rsidR="00776EF3">
        <w:rPr>
          <w:bCs/>
        </w:rPr>
        <w:t xml:space="preserve"> </w:t>
      </w:r>
      <w:r w:rsidR="00D922C6">
        <w:rPr>
          <w:bCs/>
        </w:rPr>
        <w:t xml:space="preserve"> </w:t>
      </w:r>
      <w:r w:rsidR="004C3002">
        <w:rPr>
          <w:bCs/>
        </w:rPr>
        <w:t xml:space="preserve">In addition, </w:t>
      </w:r>
      <w:r w:rsidRPr="00535B5A" w:rsidR="00434044">
        <w:rPr>
          <w:bCs/>
        </w:rPr>
        <w:t>because such a dismissal undermin</w:t>
      </w:r>
      <w:r w:rsidR="00214013">
        <w:rPr>
          <w:bCs/>
        </w:rPr>
        <w:t>e</w:t>
      </w:r>
      <w:r w:rsidR="009D0B6A">
        <w:rPr>
          <w:bCs/>
        </w:rPr>
        <w:t xml:space="preserve">d </w:t>
      </w:r>
      <w:r w:rsidRPr="00535B5A" w:rsidR="00434044">
        <w:rPr>
          <w:bCs/>
        </w:rPr>
        <w:t xml:space="preserve">the legislative policy expressed in </w:t>
      </w:r>
      <w:r w:rsidR="00F67A3A">
        <w:rPr>
          <w:bCs/>
        </w:rPr>
        <w:t xml:space="preserve">section 1382, </w:t>
      </w:r>
      <w:r w:rsidRPr="00535B5A" w:rsidR="00A75101">
        <w:rPr>
          <w:bCs/>
        </w:rPr>
        <w:t xml:space="preserve">it </w:t>
      </w:r>
      <w:r w:rsidRPr="00535B5A" w:rsidR="00434044">
        <w:rPr>
          <w:bCs/>
        </w:rPr>
        <w:t xml:space="preserve">was not “in furtherance of justice” </w:t>
      </w:r>
      <w:r w:rsidRPr="00535B5A" w:rsidR="00A75101">
        <w:rPr>
          <w:bCs/>
        </w:rPr>
        <w:t xml:space="preserve">under </w:t>
      </w:r>
      <w:r w:rsidRPr="00535B5A" w:rsidR="00434044">
        <w:rPr>
          <w:bCs/>
        </w:rPr>
        <w:t>section 1385.  (</w:t>
      </w:r>
      <w:r w:rsidRPr="00535B5A" w:rsidR="00434044">
        <w:rPr>
          <w:bCs/>
          <w:i/>
          <w:iCs/>
        </w:rPr>
        <w:t>Arnold</w:t>
      </w:r>
      <w:r w:rsidRPr="00535B5A" w:rsidR="00434044">
        <w:rPr>
          <w:bCs/>
        </w:rPr>
        <w:t>, at p. 459.)</w:t>
      </w:r>
    </w:p>
    <w:p w:rsidR="004B1E53" w:rsidRPr="00535B5A" w:rsidP="00685663" w14:paraId="3895DDAC" w14:textId="09E974DB">
      <w:r>
        <w:rPr>
          <w:bCs/>
        </w:rPr>
        <w:tab/>
      </w:r>
      <w:r w:rsidR="009D0B6A">
        <w:rPr>
          <w:bCs/>
        </w:rPr>
        <w:t>Similarly</w:t>
      </w:r>
      <w:r w:rsidR="00F5634F">
        <w:rPr>
          <w:bCs/>
        </w:rPr>
        <w:t>,</w:t>
      </w:r>
      <w:r w:rsidR="009D0B6A">
        <w:rPr>
          <w:bCs/>
        </w:rPr>
        <w:t xml:space="preserve"> </w:t>
      </w:r>
      <w:r w:rsidRPr="00535B5A" w:rsidR="003C782E">
        <w:rPr>
          <w:bCs/>
          <w:i/>
          <w:iCs/>
        </w:rPr>
        <w:t>People v. Hernandez</w:t>
      </w:r>
      <w:r w:rsidRPr="00535B5A" w:rsidR="003C782E">
        <w:rPr>
          <w:bCs/>
        </w:rPr>
        <w:t xml:space="preserve"> (1979) 97 Cal.App.3d 451 </w:t>
      </w:r>
      <w:r w:rsidRPr="00535B5A" w:rsidR="00912A96">
        <w:rPr>
          <w:bCs/>
        </w:rPr>
        <w:t>(</w:t>
      </w:r>
      <w:r w:rsidRPr="00535B5A" w:rsidR="00912A96">
        <w:rPr>
          <w:bCs/>
          <w:i/>
          <w:iCs/>
        </w:rPr>
        <w:t>Hernandez</w:t>
      </w:r>
      <w:r w:rsidRPr="00535B5A" w:rsidR="00912A96">
        <w:rPr>
          <w:bCs/>
        </w:rPr>
        <w:t>)</w:t>
      </w:r>
      <w:r w:rsidR="00F420F9">
        <w:rPr>
          <w:bCs/>
        </w:rPr>
        <w:t xml:space="preserve"> </w:t>
      </w:r>
      <w:r w:rsidRPr="00535B5A" w:rsidR="003C782E">
        <w:rPr>
          <w:bCs/>
        </w:rPr>
        <w:t>held</w:t>
      </w:r>
      <w:r w:rsidRPr="00535B5A" w:rsidR="007D6B6C">
        <w:rPr>
          <w:bCs/>
        </w:rPr>
        <w:t xml:space="preserve"> that</w:t>
      </w:r>
      <w:r w:rsidRPr="00535B5A" w:rsidR="003C782E">
        <w:rPr>
          <w:bCs/>
        </w:rPr>
        <w:t xml:space="preserve"> </w:t>
      </w:r>
      <w:r w:rsidR="00222BB5">
        <w:rPr>
          <w:bCs/>
        </w:rPr>
        <w:t xml:space="preserve">a </w:t>
      </w:r>
      <w:r w:rsidRPr="00535B5A" w:rsidR="003C782E">
        <w:rPr>
          <w:bCs/>
        </w:rPr>
        <w:t>trial court lack</w:t>
      </w:r>
      <w:r w:rsidRPr="00535B5A" w:rsidR="00DA1B08">
        <w:rPr>
          <w:bCs/>
        </w:rPr>
        <w:t>s</w:t>
      </w:r>
      <w:r w:rsidRPr="00535B5A" w:rsidR="003C782E">
        <w:rPr>
          <w:bCs/>
        </w:rPr>
        <w:t xml:space="preserve"> discretion to dismiss </w:t>
      </w:r>
      <w:r w:rsidRPr="00535B5A" w:rsidR="00DA1B08">
        <w:rPr>
          <w:bCs/>
        </w:rPr>
        <w:t>a criminal</w:t>
      </w:r>
      <w:r w:rsidRPr="00535B5A" w:rsidR="003C782E">
        <w:rPr>
          <w:bCs/>
        </w:rPr>
        <w:t xml:space="preserve"> case before expiration of section 1382’s 10-day grace period.  (</w:t>
      </w:r>
      <w:r w:rsidRPr="00535B5A" w:rsidR="003C782E">
        <w:rPr>
          <w:bCs/>
          <w:i/>
          <w:iCs/>
        </w:rPr>
        <w:t>Hernandez</w:t>
      </w:r>
      <w:r w:rsidRPr="00535B5A" w:rsidR="003C782E">
        <w:rPr>
          <w:bCs/>
        </w:rPr>
        <w:t xml:space="preserve">, at p. 454.)  Although the </w:t>
      </w:r>
      <w:r w:rsidRPr="00535B5A" w:rsidR="000E3DCA">
        <w:rPr>
          <w:bCs/>
        </w:rPr>
        <w:t>prosecution</w:t>
      </w:r>
      <w:r w:rsidRPr="00535B5A" w:rsidR="003C782E">
        <w:rPr>
          <w:bCs/>
        </w:rPr>
        <w:t xml:space="preserve"> had failed to show good cause</w:t>
      </w:r>
      <w:r w:rsidRPr="00535B5A" w:rsidR="00DA1B08">
        <w:rPr>
          <w:bCs/>
        </w:rPr>
        <w:t xml:space="preserve"> for its inability to proceed</w:t>
      </w:r>
      <w:r w:rsidRPr="00535B5A" w:rsidR="003C782E">
        <w:rPr>
          <w:bCs/>
        </w:rPr>
        <w:t xml:space="preserve">, the court </w:t>
      </w:r>
      <w:r w:rsidRPr="00535B5A" w:rsidR="00DA1B08">
        <w:rPr>
          <w:bCs/>
        </w:rPr>
        <w:t>reasoned</w:t>
      </w:r>
      <w:r w:rsidRPr="00535B5A" w:rsidR="003F3686">
        <w:rPr>
          <w:bCs/>
        </w:rPr>
        <w:t xml:space="preserve"> no such showing was necessary </w:t>
      </w:r>
      <w:r w:rsidRPr="00535B5A" w:rsidR="00DA1B08">
        <w:rPr>
          <w:bCs/>
        </w:rPr>
        <w:t xml:space="preserve">because section 1382’s </w:t>
      </w:r>
      <w:r w:rsidRPr="00535B5A" w:rsidR="003F3686">
        <w:rPr>
          <w:bCs/>
        </w:rPr>
        <w:t>grace period</w:t>
      </w:r>
      <w:r w:rsidR="00D64CD4">
        <w:rPr>
          <w:bCs/>
        </w:rPr>
        <w:t xml:space="preserve"> operates as</w:t>
      </w:r>
      <w:r w:rsidRPr="00535B5A" w:rsidR="00DA1B08">
        <w:rPr>
          <w:bCs/>
        </w:rPr>
        <w:t xml:space="preserve"> an exception to the </w:t>
      </w:r>
      <w:r w:rsidRPr="00535B5A" w:rsidR="00A54B1C">
        <w:rPr>
          <w:bCs/>
        </w:rPr>
        <w:t xml:space="preserve">statute’s </w:t>
      </w:r>
      <w:r w:rsidRPr="00535B5A" w:rsidR="00DA1B08">
        <w:rPr>
          <w:bCs/>
        </w:rPr>
        <w:t>good cause requirement</w:t>
      </w:r>
      <w:r w:rsidRPr="00535B5A" w:rsidR="003F3686">
        <w:rPr>
          <w:bCs/>
        </w:rPr>
        <w:t>.  (</w:t>
      </w:r>
      <w:r w:rsidRPr="00535B5A" w:rsidR="00DA1B08">
        <w:rPr>
          <w:bCs/>
          <w:i/>
          <w:iCs/>
        </w:rPr>
        <w:t>Hernandez</w:t>
      </w:r>
      <w:r w:rsidRPr="00535B5A" w:rsidR="00DA1B08">
        <w:rPr>
          <w:bCs/>
        </w:rPr>
        <w:t>,</w:t>
      </w:r>
      <w:r w:rsidRPr="00535B5A" w:rsidR="003F3686">
        <w:rPr>
          <w:bCs/>
        </w:rPr>
        <w:t xml:space="preserve"> at pp. 454</w:t>
      </w:r>
      <w:r w:rsidRPr="00535B5A" w:rsidR="00C635F1">
        <w:t>–</w:t>
      </w:r>
      <w:r w:rsidRPr="00535B5A" w:rsidR="003F3686">
        <w:rPr>
          <w:bCs/>
        </w:rPr>
        <w:t xml:space="preserve">455.)  </w:t>
      </w:r>
      <w:r w:rsidR="00D64CD4">
        <w:rPr>
          <w:bCs/>
        </w:rPr>
        <w:t xml:space="preserve">Echoing </w:t>
      </w:r>
      <w:r w:rsidRPr="00535B5A" w:rsidR="00FF5955">
        <w:rPr>
          <w:bCs/>
          <w:i/>
          <w:iCs/>
        </w:rPr>
        <w:t>Kessel</w:t>
      </w:r>
      <w:r w:rsidRPr="00535B5A" w:rsidR="00FF5955">
        <w:rPr>
          <w:bCs/>
        </w:rPr>
        <w:t xml:space="preserve">, </w:t>
      </w:r>
      <w:r w:rsidRPr="00535B5A" w:rsidR="003F3686">
        <w:rPr>
          <w:bCs/>
          <w:i/>
          <w:iCs/>
        </w:rPr>
        <w:t>Arnold</w:t>
      </w:r>
      <w:r w:rsidRPr="00535B5A" w:rsidR="00FF5955">
        <w:rPr>
          <w:bCs/>
        </w:rPr>
        <w:t>,</w:t>
      </w:r>
      <w:r w:rsidRPr="00535B5A" w:rsidR="003F3686">
        <w:rPr>
          <w:bCs/>
        </w:rPr>
        <w:t xml:space="preserve"> and </w:t>
      </w:r>
      <w:r w:rsidRPr="00535B5A" w:rsidR="003F3686">
        <w:rPr>
          <w:bCs/>
          <w:i/>
          <w:iCs/>
        </w:rPr>
        <w:t>Flores</w:t>
      </w:r>
      <w:r w:rsidRPr="00535B5A" w:rsidR="003F3686">
        <w:rPr>
          <w:bCs/>
        </w:rPr>
        <w:t xml:space="preserve">, the </w:t>
      </w:r>
      <w:r w:rsidRPr="00E87F40" w:rsidR="00B206F4">
        <w:rPr>
          <w:bCs/>
          <w:i/>
          <w:iCs/>
        </w:rPr>
        <w:t xml:space="preserve">Hernandez </w:t>
      </w:r>
      <w:r w:rsidRPr="00535B5A" w:rsidR="003F3686">
        <w:rPr>
          <w:bCs/>
        </w:rPr>
        <w:t xml:space="preserve">court </w:t>
      </w:r>
      <w:r w:rsidRPr="00535B5A" w:rsidR="004D7D23">
        <w:rPr>
          <w:bCs/>
        </w:rPr>
        <w:t xml:space="preserve">also </w:t>
      </w:r>
      <w:r w:rsidRPr="00535B5A" w:rsidR="00DA1B08">
        <w:rPr>
          <w:bCs/>
        </w:rPr>
        <w:t>concluded the dismissal contravened the legislative policy underlying section 1382’s grace period</w:t>
      </w:r>
      <w:r w:rsidR="008E11EC">
        <w:rPr>
          <w:bCs/>
        </w:rPr>
        <w:t>.</w:t>
      </w:r>
      <w:r w:rsidR="00B24A84">
        <w:rPr>
          <w:bCs/>
        </w:rPr>
        <w:t xml:space="preserve"> </w:t>
      </w:r>
      <w:r w:rsidR="008E11EC">
        <w:rPr>
          <w:bCs/>
        </w:rPr>
        <w:t xml:space="preserve"> As a result, </w:t>
      </w:r>
      <w:r w:rsidR="000542E3">
        <w:rPr>
          <w:bCs/>
        </w:rPr>
        <w:t>the dismissal</w:t>
      </w:r>
      <w:r w:rsidR="008E11EC">
        <w:rPr>
          <w:bCs/>
        </w:rPr>
        <w:t xml:space="preserve"> </w:t>
      </w:r>
      <w:r w:rsidRPr="00535B5A" w:rsidR="00DA1B08">
        <w:rPr>
          <w:bCs/>
        </w:rPr>
        <w:t xml:space="preserve">was not in </w:t>
      </w:r>
      <w:r w:rsidRPr="00535B5A" w:rsidR="008620FD">
        <w:rPr>
          <w:bCs/>
        </w:rPr>
        <w:t>furtherance of justice</w:t>
      </w:r>
      <w:r w:rsidR="00884A3E">
        <w:rPr>
          <w:bCs/>
        </w:rPr>
        <w:t>, as required by section 1385</w:t>
      </w:r>
      <w:r w:rsidRPr="00535B5A" w:rsidR="008620FD">
        <w:rPr>
          <w:bCs/>
        </w:rPr>
        <w:t>.  (</w:t>
      </w:r>
      <w:r w:rsidRPr="00535B5A" w:rsidR="008620FD">
        <w:rPr>
          <w:bCs/>
          <w:i/>
          <w:iCs/>
        </w:rPr>
        <w:t>Hernandez</w:t>
      </w:r>
      <w:r w:rsidRPr="00535B5A" w:rsidR="008620FD">
        <w:rPr>
          <w:bCs/>
        </w:rPr>
        <w:t>, at p. 455.)</w:t>
      </w:r>
      <w:r w:rsidRPr="00535B5A" w:rsidR="006471C9">
        <w:rPr>
          <w:bCs/>
        </w:rPr>
        <w:t xml:space="preserve">  </w:t>
      </w:r>
      <w:r w:rsidRPr="00535B5A" w:rsidR="006471C9">
        <w:rPr>
          <w:bCs/>
          <w:i/>
          <w:iCs/>
        </w:rPr>
        <w:t>People v. Rubaum</w:t>
      </w:r>
      <w:r w:rsidRPr="00535B5A" w:rsidR="006471C9">
        <w:rPr>
          <w:bCs/>
        </w:rPr>
        <w:t xml:space="preserve"> </w:t>
      </w:r>
      <w:r w:rsidRPr="00535B5A" w:rsidR="006471C9">
        <w:t>(1980) 110 Cal.App.3d 930</w:t>
      </w:r>
      <w:r w:rsidRPr="00535B5A" w:rsidR="00A85ED9">
        <w:t xml:space="preserve"> (</w:t>
      </w:r>
      <w:r w:rsidRPr="00535B5A" w:rsidR="00A85ED9">
        <w:rPr>
          <w:i/>
          <w:iCs/>
        </w:rPr>
        <w:t>Rubaum</w:t>
      </w:r>
      <w:r w:rsidRPr="00535B5A" w:rsidR="00A85ED9">
        <w:t>)</w:t>
      </w:r>
      <w:r w:rsidRPr="00535B5A" w:rsidR="006471C9">
        <w:t xml:space="preserve"> was in accord, holding the trial court</w:t>
      </w:r>
      <w:r w:rsidR="003B5872">
        <w:t xml:space="preserve"> abused its discretion in denying a continuance and dismissing </w:t>
      </w:r>
      <w:r w:rsidRPr="00535B5A" w:rsidR="006471C9">
        <w:t xml:space="preserve">the case under section 1385 when the People’s requested </w:t>
      </w:r>
      <w:r w:rsidR="003B5872">
        <w:t xml:space="preserve">a </w:t>
      </w:r>
      <w:r w:rsidR="0055559D">
        <w:t>continuance</w:t>
      </w:r>
      <w:r w:rsidR="003B5872">
        <w:t xml:space="preserve"> </w:t>
      </w:r>
      <w:r w:rsidRPr="00535B5A" w:rsidR="006471C9">
        <w:t>date within section 1382’s time limit.</w:t>
      </w:r>
    </w:p>
    <w:p w:rsidR="00DC4A79" w:rsidRPr="00535B5A" w:rsidP="00535B5A" w14:paraId="525B8374" w14:textId="3D3CC1E8">
      <w:r w:rsidRPr="00535B5A">
        <w:tab/>
      </w:r>
      <w:r w:rsidRPr="00535B5A">
        <w:rPr>
          <w:i/>
          <w:iCs/>
        </w:rPr>
        <w:t>Ferguson</w:t>
      </w:r>
      <w:r w:rsidRPr="00535B5A" w:rsidR="00A85ED9">
        <w:t xml:space="preserve">, </w:t>
      </w:r>
      <w:r w:rsidRPr="00535B5A" w:rsidR="00A85ED9">
        <w:rPr>
          <w:i/>
          <w:iCs/>
        </w:rPr>
        <w:t>supra</w:t>
      </w:r>
      <w:r w:rsidRPr="00535B5A" w:rsidR="00A85ED9">
        <w:t>,</w:t>
      </w:r>
      <w:r w:rsidRPr="00535B5A">
        <w:t xml:space="preserve"> 218 Cal.App.3d 1173 </w:t>
      </w:r>
      <w:r w:rsidRPr="00535B5A" w:rsidR="006471C9">
        <w:t xml:space="preserve">reaffirmed these </w:t>
      </w:r>
      <w:r w:rsidRPr="00535B5A" w:rsidR="000B5965">
        <w:t>decisions</w:t>
      </w:r>
      <w:r w:rsidRPr="00535B5A" w:rsidR="006471C9">
        <w:t>.</w:t>
      </w:r>
      <w:r w:rsidRPr="00535B5A" w:rsidR="000B5965">
        <w:t xml:space="preserve">  </w:t>
      </w:r>
      <w:r w:rsidR="00BC6E6C">
        <w:t xml:space="preserve">The court there concluded </w:t>
      </w:r>
      <w:r w:rsidRPr="00535B5A" w:rsidR="007C3535">
        <w:t>the</w:t>
      </w:r>
      <w:r w:rsidRPr="00535B5A" w:rsidR="000B5965">
        <w:t xml:space="preserve"> trial court </w:t>
      </w:r>
      <w:r w:rsidRPr="00535B5A" w:rsidR="007C3535">
        <w:t xml:space="preserve">had </w:t>
      </w:r>
      <w:r w:rsidR="00BC6E6C">
        <w:t xml:space="preserve">improperly dismissed </w:t>
      </w:r>
      <w:r w:rsidRPr="00535B5A" w:rsidR="000B5965">
        <w:t xml:space="preserve">a case under section 1385 after denying a brief continuance for </w:t>
      </w:r>
      <w:r w:rsidRPr="00535B5A" w:rsidR="00A54B1C">
        <w:t>the</w:t>
      </w:r>
      <w:r w:rsidRPr="00535B5A" w:rsidR="000B5965">
        <w:t xml:space="preserve"> prosecutor</w:t>
      </w:r>
      <w:r w:rsidRPr="00535B5A" w:rsidR="007C3535">
        <w:t xml:space="preserve"> </w:t>
      </w:r>
      <w:r w:rsidRPr="00535B5A" w:rsidR="00A54B1C">
        <w:t>to complete a different</w:t>
      </w:r>
      <w:r w:rsidRPr="00535B5A" w:rsidR="000B5965">
        <w:t xml:space="preserve"> trial.</w:t>
      </w:r>
      <w:r w:rsidRPr="00535B5A" w:rsidR="007C3535">
        <w:t xml:space="preserve">  (</w:t>
      </w:r>
      <w:r w:rsidRPr="00535B5A" w:rsidR="007C3535">
        <w:rPr>
          <w:i/>
          <w:iCs/>
        </w:rPr>
        <w:t>Ferguson</w:t>
      </w:r>
      <w:r w:rsidRPr="00535B5A" w:rsidR="007C3535">
        <w:t>, at pp. 1176</w:t>
      </w:r>
      <w:r w:rsidRPr="00535B5A" w:rsidR="00C635F1">
        <w:t>–</w:t>
      </w:r>
      <w:r w:rsidRPr="00535B5A" w:rsidR="007C3535">
        <w:t>1177, 1180.)  The Court of Appeal’s reasoning was “strongly guided” (</w:t>
      </w:r>
      <w:r w:rsidRPr="00535B5A" w:rsidR="007C3535">
        <w:rPr>
          <w:i/>
          <w:iCs/>
        </w:rPr>
        <w:t>id</w:t>
      </w:r>
      <w:r w:rsidRPr="00535B5A" w:rsidR="007C3535">
        <w:t xml:space="preserve">. at p. 1181) by our decision in </w:t>
      </w:r>
      <w:r w:rsidRPr="00535B5A" w:rsidR="007C3535">
        <w:rPr>
          <w:i/>
          <w:iCs/>
        </w:rPr>
        <w:t>Orin</w:t>
      </w:r>
      <w:r w:rsidRPr="00535B5A" w:rsidR="007C3535">
        <w:t xml:space="preserve">, which had explained that </w:t>
      </w:r>
      <w:r w:rsidRPr="00535B5A">
        <w:t xml:space="preserve">the </w:t>
      </w:r>
      <w:r w:rsidRPr="00535B5A" w:rsidR="007C3535">
        <w:t>furtherance of justice</w:t>
      </w:r>
      <w:r w:rsidRPr="00535B5A">
        <w:t xml:space="preserve"> determination </w:t>
      </w:r>
      <w:r w:rsidRPr="00535B5A" w:rsidR="007C3535">
        <w:t xml:space="preserve">under section 1385 “ ‘requires consideration both of the constitutional rights of the defendant, and </w:t>
      </w:r>
      <w:r w:rsidRPr="00535B5A" w:rsidR="007C3535">
        <w:rPr>
          <w:i/>
          <w:iCs/>
        </w:rPr>
        <w:t>the interests of society represented by the People</w:t>
      </w:r>
      <w:r w:rsidRPr="00535B5A" w:rsidR="007C3535">
        <w:t>, in determining whether there should be a dismissal.’ ”  (</w:t>
      </w:r>
      <w:r w:rsidRPr="00535B5A" w:rsidR="007C3535">
        <w:rPr>
          <w:i/>
          <w:iCs/>
        </w:rPr>
        <w:t>Orin</w:t>
      </w:r>
      <w:r w:rsidRPr="00535B5A" w:rsidR="007C3535">
        <w:t xml:space="preserve">, </w:t>
      </w:r>
      <w:r w:rsidRPr="00535B5A" w:rsidR="007C3535">
        <w:rPr>
          <w:i/>
        </w:rPr>
        <w:t>supra</w:t>
      </w:r>
      <w:r w:rsidRPr="00535B5A" w:rsidR="007C3535">
        <w:t xml:space="preserve">, 13 Cal.3d at p. 945.)  </w:t>
      </w:r>
      <w:r w:rsidR="00CC17B5">
        <w:t xml:space="preserve">The dismissal in </w:t>
      </w:r>
      <w:r w:rsidRPr="00535B5A" w:rsidR="007C3535">
        <w:rPr>
          <w:i/>
          <w:iCs/>
        </w:rPr>
        <w:t>Ferguson</w:t>
      </w:r>
      <w:r w:rsidRPr="00535B5A" w:rsidR="007C3535">
        <w:t xml:space="preserve"> </w:t>
      </w:r>
      <w:r w:rsidR="00CC17B5">
        <w:t>was</w:t>
      </w:r>
      <w:r w:rsidR="00745BA9">
        <w:t xml:space="preserve"> held to be</w:t>
      </w:r>
      <w:r w:rsidR="00CC17B5">
        <w:t xml:space="preserve"> “without proper and adequate reason”</w:t>
      </w:r>
      <w:r w:rsidRPr="00535B5A" w:rsidR="007C3535">
        <w:t xml:space="preserve"> and “served no policy objective.”  (</w:t>
      </w:r>
      <w:r w:rsidRPr="00535B5A" w:rsidR="007C3535">
        <w:rPr>
          <w:i/>
          <w:iCs/>
        </w:rPr>
        <w:t>Ferguson</w:t>
      </w:r>
      <w:r w:rsidRPr="00535B5A" w:rsidR="007C3535">
        <w:t>, at p</w:t>
      </w:r>
      <w:r w:rsidR="00CC17B5">
        <w:t>p</w:t>
      </w:r>
      <w:r w:rsidRPr="00535B5A" w:rsidR="007C3535">
        <w:t>. </w:t>
      </w:r>
      <w:r w:rsidR="00CC17B5">
        <w:t>1182–</w:t>
      </w:r>
      <w:r w:rsidRPr="00535B5A" w:rsidR="007C3535">
        <w:t>1183.)  Nor would the requested continuance have harmed the defendant, who was not in custody and had previously “seemed in no rush to get to trial.”  (</w:t>
      </w:r>
      <w:r w:rsidRPr="00535B5A" w:rsidR="007C3535">
        <w:rPr>
          <w:i/>
          <w:iCs/>
        </w:rPr>
        <w:t>Ibid</w:t>
      </w:r>
      <w:r w:rsidRPr="00535B5A" w:rsidR="007C3535">
        <w:t>.)</w:t>
      </w:r>
    </w:p>
    <w:p w:rsidR="00CC17B5" w:rsidP="00535B5A" w14:paraId="5E8CA8A7" w14:textId="77777777">
      <w:r w:rsidRPr="00535B5A">
        <w:tab/>
      </w:r>
      <w:r w:rsidR="00FF7BB0">
        <w:t xml:space="preserve">However, </w:t>
      </w:r>
      <w:r w:rsidRPr="00535B5A">
        <w:rPr>
          <w:i/>
          <w:iCs/>
        </w:rPr>
        <w:t>People v. Torres</w:t>
      </w:r>
      <w:r w:rsidRPr="00535B5A">
        <w:t xml:space="preserve"> (1984) 159 Cal.App.3d Supp. 8</w:t>
      </w:r>
      <w:r w:rsidRPr="00535B5A" w:rsidR="008A12E4">
        <w:t xml:space="preserve"> (</w:t>
      </w:r>
      <w:r w:rsidRPr="00535B5A" w:rsidR="008A12E4">
        <w:rPr>
          <w:i/>
          <w:iCs/>
        </w:rPr>
        <w:t>Torres</w:t>
      </w:r>
      <w:r w:rsidRPr="00535B5A" w:rsidR="008A12E4">
        <w:t>)</w:t>
      </w:r>
      <w:r w:rsidR="00FF7BB0">
        <w:t xml:space="preserve"> articulated an important limitation on these general rules.  </w:t>
      </w:r>
      <w:r w:rsidRPr="00535B5A">
        <w:t>There, a prosecutor sought continuances of trial in two cases within the section 1382 time period but</w:t>
      </w:r>
      <w:r w:rsidR="00B24A84">
        <w:t xml:space="preserve"> offered</w:t>
      </w:r>
      <w:r w:rsidRPr="00535B5A">
        <w:t xml:space="preserve"> </w:t>
      </w:r>
      <w:r w:rsidR="003D58AC">
        <w:t xml:space="preserve">no showing of </w:t>
      </w:r>
      <w:r w:rsidRPr="00535B5A">
        <w:t>why the People could not proceed</w:t>
      </w:r>
      <w:r w:rsidR="00456050">
        <w:t xml:space="preserve">. </w:t>
      </w:r>
      <w:r w:rsidRPr="00535B5A">
        <w:t xml:space="preserve"> </w:t>
      </w:r>
      <w:r w:rsidR="00456050">
        <w:t xml:space="preserve">Instead, </w:t>
      </w:r>
      <w:r w:rsidRPr="00535B5A">
        <w:t xml:space="preserve">the prosecutor disclosed a strategy of seeking “ ‘to always drag things out till </w:t>
      </w:r>
      <w:r w:rsidRPr="00535B5A" w:rsidR="00EA20B8">
        <w:t>[</w:t>
      </w:r>
      <w:r w:rsidRPr="00535B5A" w:rsidR="00EA20B8">
        <w:rPr>
          <w:i/>
          <w:iCs/>
        </w:rPr>
        <w:t>sic</w:t>
      </w:r>
      <w:r w:rsidRPr="00535B5A" w:rsidR="00EA20B8">
        <w:t xml:space="preserve">] </w:t>
      </w:r>
      <w:r w:rsidRPr="00535B5A">
        <w:t>the last possible moment so that even if the case was lost or dismissed, the defendants paid the price through the hassle of multiple appearances and the expenses of private counsel.’ ”  (</w:t>
      </w:r>
      <w:r w:rsidRPr="00535B5A">
        <w:rPr>
          <w:i/>
          <w:iCs/>
        </w:rPr>
        <w:t>Torres</w:t>
      </w:r>
      <w:r w:rsidRPr="00535B5A">
        <w:t>, at p. 11.)  Finding no good cause</w:t>
      </w:r>
      <w:r w:rsidRPr="00535B5A" w:rsidR="00DC2295">
        <w:t xml:space="preserve"> for delay</w:t>
      </w:r>
      <w:r w:rsidRPr="00535B5A">
        <w:t>, the trial court denied the continuances and dismissed the cases under section 1385.  (</w:t>
      </w:r>
      <w:r w:rsidRPr="00C36A7B" w:rsidR="00623464">
        <w:rPr>
          <w:i/>
          <w:iCs/>
        </w:rPr>
        <w:t>Torres</w:t>
      </w:r>
      <w:r w:rsidR="00623464">
        <w:t>,</w:t>
      </w:r>
      <w:r w:rsidRPr="00535B5A">
        <w:t xml:space="preserve"> at pp. 11, 15–16.)  </w:t>
      </w:r>
    </w:p>
    <w:p w:rsidR="001C7FD8" w:rsidRPr="00535B5A" w:rsidP="00685663" w14:paraId="5CEE6C77" w14:textId="4206EC6E">
      <w:r>
        <w:tab/>
      </w:r>
      <w:r w:rsidRPr="00535B5A">
        <w:t>The appellate division affirmed</w:t>
      </w:r>
      <w:r w:rsidR="00CC17B5">
        <w:t xml:space="preserve">.  It explained that a trial court has </w:t>
      </w:r>
      <w:r w:rsidRPr="00144D29" w:rsidR="00CC17B5">
        <w:t>“</w:t>
      </w:r>
      <w:r w:rsidR="00CC17B5">
        <w:t> ‘</w:t>
      </w:r>
      <w:r w:rsidRPr="00144D29" w:rsidR="00CC17B5">
        <w:t>discretion to dismiss pursuant to section 1385</w:t>
      </w:r>
      <w:r w:rsidR="00CC17B5">
        <w:t>’ ” provided “ ‘</w:t>
      </w:r>
      <w:r w:rsidRPr="00144D29" w:rsidR="00CC17B5">
        <w:t>that the reasons for the court</w:t>
      </w:r>
      <w:r w:rsidR="00CC17B5">
        <w:t>’</w:t>
      </w:r>
      <w:r w:rsidRPr="00144D29" w:rsidR="00CC17B5">
        <w:t xml:space="preserve">s decision be such as </w:t>
      </w:r>
      <w:r w:rsidR="00CC17B5">
        <w:t>“</w:t>
      </w:r>
      <w:r w:rsidRPr="00144D29" w:rsidR="00CC17B5">
        <w:t>would motivate a reasonable judge.</w:t>
      </w:r>
      <w:r w:rsidR="00CC17B5">
        <w:t xml:space="preserve">” . . . </w:t>
      </w:r>
      <w:r w:rsidRPr="00144D29" w:rsidR="00CC17B5">
        <w:t xml:space="preserve">There must be </w:t>
      </w:r>
      <w:r w:rsidR="009104B6">
        <w:t>‘</w:t>
      </w:r>
      <w:r w:rsidRPr="00144D29" w:rsidR="00CC17B5">
        <w:t>a balancing of society</w:t>
      </w:r>
      <w:r w:rsidR="00CC17B5">
        <w:t>’</w:t>
      </w:r>
      <w:r w:rsidRPr="00144D29" w:rsidR="00CC17B5">
        <w:t>s interest against that of the defendant.</w:t>
      </w:r>
      <w:r w:rsidR="00CC17B5">
        <w:t>’</w:t>
      </w:r>
      <w:r w:rsidRPr="00144D29" w:rsidR="00CC17B5">
        <w:t xml:space="preserve"> </w:t>
      </w:r>
      <w:r w:rsidR="00CC17B5">
        <w:t xml:space="preserve"> [Citation.]  </w:t>
      </w:r>
      <w:r w:rsidRPr="00144D29" w:rsidR="00CC17B5">
        <w:t>There must also be a showing of detriment to the defendant.</w:t>
      </w:r>
      <w:r w:rsidR="00CC17B5">
        <w:t>”  (</w:t>
      </w:r>
      <w:r w:rsidRPr="000E68E8" w:rsidR="009104B6">
        <w:rPr>
          <w:i/>
          <w:iCs/>
        </w:rPr>
        <w:t>Torres</w:t>
      </w:r>
      <w:r w:rsidR="009104B6">
        <w:t xml:space="preserve">, </w:t>
      </w:r>
      <w:r w:rsidRPr="000E68E8" w:rsidR="009104B6">
        <w:rPr>
          <w:i/>
          <w:iCs/>
        </w:rPr>
        <w:t>supra</w:t>
      </w:r>
      <w:r w:rsidR="009104B6">
        <w:t>, 159 Cal</w:t>
      </w:r>
      <w:r w:rsidR="00A970F2">
        <w:t>.</w:t>
      </w:r>
      <w:r w:rsidR="009104B6">
        <w:t>App.3d</w:t>
      </w:r>
      <w:r w:rsidR="000A5EA2">
        <w:t xml:space="preserve"> Supp.</w:t>
      </w:r>
      <w:r w:rsidR="00CC17B5">
        <w:t xml:space="preserve"> at pp. 12–13.)  The court</w:t>
      </w:r>
      <w:r w:rsidRPr="00535B5A">
        <w:t xml:space="preserve"> distinguish</w:t>
      </w:r>
      <w:r w:rsidR="00CC17B5">
        <w:t>ed</w:t>
      </w:r>
      <w:r w:rsidRPr="00535B5A">
        <w:t xml:space="preserve"> the line of cases discussed above because none involved a situation in which the People were capable of proceeding to trial but chose not to</w:t>
      </w:r>
      <w:r w:rsidR="00727659">
        <w:t xml:space="preserve"> </w:t>
      </w:r>
      <w:r w:rsidR="001A53D6">
        <w:t>in order to manip</w:t>
      </w:r>
      <w:r w:rsidR="00146CB0">
        <w:t xml:space="preserve">ulate the court and harass the defendant. </w:t>
      </w:r>
      <w:r w:rsidRPr="00535B5A">
        <w:t xml:space="preserve"> (</w:t>
      </w:r>
      <w:r w:rsidRPr="00535B5A">
        <w:rPr>
          <w:i/>
          <w:iCs/>
        </w:rPr>
        <w:t>I</w:t>
      </w:r>
      <w:r w:rsidR="00CC17B5">
        <w:rPr>
          <w:i/>
          <w:iCs/>
        </w:rPr>
        <w:t>bi</w:t>
      </w:r>
      <w:r w:rsidRPr="00535B5A">
        <w:rPr>
          <w:i/>
          <w:iCs/>
        </w:rPr>
        <w:t>d</w:t>
      </w:r>
      <w:r w:rsidRPr="00535B5A">
        <w:t>.)</w:t>
      </w:r>
      <w:r w:rsidRPr="00535B5A" w:rsidR="00C92466">
        <w:t xml:space="preserve">  </w:t>
      </w:r>
      <w:r w:rsidR="00146CB0">
        <w:rPr>
          <w:i/>
          <w:iCs/>
        </w:rPr>
        <w:t>Torres</w:t>
      </w:r>
      <w:r w:rsidR="00146CB0">
        <w:t xml:space="preserve"> explained</w:t>
      </w:r>
      <w:r w:rsidR="008A26A4">
        <w:t xml:space="preserve">, </w:t>
      </w:r>
      <w:r w:rsidRPr="00535B5A" w:rsidR="00C92466">
        <w:t>“It was never the intent of [</w:t>
      </w:r>
      <w:r w:rsidR="00146CB0">
        <w:t xml:space="preserve">the </w:t>
      </w:r>
      <w:r w:rsidRPr="00535B5A" w:rsidR="00C92466">
        <w:t xml:space="preserve">case law] to shift the control of the calendar from the court to the prosecutor,” </w:t>
      </w:r>
      <w:r w:rsidR="004D5E40">
        <w:t xml:space="preserve">and emphasized that </w:t>
      </w:r>
      <w:r w:rsidRPr="00535B5A" w:rsidR="00C92466">
        <w:t>trial courts retain discretion to dismiss a case under section 1385 to address “a flagrant abuse” of power</w:t>
      </w:r>
      <w:r w:rsidR="00B26281">
        <w:t xml:space="preserve"> or “an attempt by the prosecutor to usurp the inherent right of the court to control the courtroom</w:t>
      </w:r>
      <w:r w:rsidRPr="00535B5A" w:rsidR="00B26281">
        <w:t>.</w:t>
      </w:r>
      <w:r w:rsidR="00B26281">
        <w:t>”</w:t>
      </w:r>
      <w:r w:rsidRPr="00535B5A" w:rsidR="00C92466">
        <w:t xml:space="preserve">  (</w:t>
      </w:r>
      <w:r w:rsidRPr="00535B5A" w:rsidR="00C92466">
        <w:rPr>
          <w:i/>
          <w:iCs/>
        </w:rPr>
        <w:t>Id</w:t>
      </w:r>
      <w:r w:rsidRPr="00535B5A" w:rsidR="00C92466">
        <w:t>. at p. 13.)</w:t>
      </w:r>
    </w:p>
    <w:p w:rsidR="001A0F81" w:rsidRPr="00535B5A" w:rsidP="00535B5A" w14:paraId="79E8DC79" w14:textId="3498CC7E">
      <w:pPr>
        <w:keepNext/>
        <w:rPr>
          <w:i/>
          <w:iCs/>
        </w:rPr>
      </w:pPr>
      <w:r w:rsidRPr="00535B5A">
        <w:tab/>
        <w:t>2.</w:t>
      </w:r>
      <w:r w:rsidRPr="00535B5A">
        <w:tab/>
      </w:r>
      <w:r w:rsidRPr="00535B5A">
        <w:rPr>
          <w:bCs/>
          <w:i/>
          <w:iCs/>
        </w:rPr>
        <w:t>Assembly Bill No. 1273</w:t>
      </w:r>
    </w:p>
    <w:p w:rsidR="006A6136" w:rsidRPr="00535B5A" w:rsidP="00535B5A" w14:paraId="7CF0B5F2" w14:textId="29220D4A">
      <w:pPr>
        <w:rPr>
          <w:bCs/>
        </w:rPr>
      </w:pPr>
      <w:r w:rsidRPr="00535B5A">
        <w:rPr>
          <w:bCs/>
        </w:rPr>
        <w:tab/>
        <w:t xml:space="preserve">The Legislature </w:t>
      </w:r>
      <w:r w:rsidRPr="00535B5A" w:rsidR="000F55F6">
        <w:rPr>
          <w:bCs/>
        </w:rPr>
        <w:t>responded to</w:t>
      </w:r>
      <w:r w:rsidRPr="00535B5A">
        <w:rPr>
          <w:bCs/>
        </w:rPr>
        <w:t xml:space="preserve"> these decisions </w:t>
      </w:r>
      <w:r w:rsidR="000F2E78">
        <w:rPr>
          <w:bCs/>
        </w:rPr>
        <w:t>by enacting</w:t>
      </w:r>
      <w:r w:rsidRPr="00535B5A">
        <w:rPr>
          <w:bCs/>
        </w:rPr>
        <w:t xml:space="preserve"> </w:t>
      </w:r>
      <w:r w:rsidRPr="00535B5A" w:rsidR="00BE3344">
        <w:rPr>
          <w:bCs/>
        </w:rPr>
        <w:t>Assembly Bill No. 1273 (2003</w:t>
      </w:r>
      <w:r w:rsidR="00E93EF2">
        <w:rPr>
          <w:bCs/>
        </w:rPr>
        <w:t>–</w:t>
      </w:r>
      <w:r w:rsidRPr="00535B5A" w:rsidR="00BE3344">
        <w:rPr>
          <w:bCs/>
        </w:rPr>
        <w:t>2004 Reg. Sess.)</w:t>
      </w:r>
      <w:r w:rsidR="000F2E78">
        <w:rPr>
          <w:bCs/>
        </w:rPr>
        <w:t>, which</w:t>
      </w:r>
      <w:r w:rsidRPr="00535B5A" w:rsidR="002C2C10">
        <w:rPr>
          <w:bCs/>
        </w:rPr>
        <w:t xml:space="preserve"> added</w:t>
      </w:r>
      <w:r w:rsidRPr="00535B5A" w:rsidR="00BE3344">
        <w:rPr>
          <w:bCs/>
        </w:rPr>
        <w:t xml:space="preserve"> subdivision (</w:t>
      </w:r>
      <w:r w:rsidRPr="00535B5A" w:rsidR="00BE3344">
        <w:rPr>
          <w:bCs/>
          <w:i/>
          <w:iCs/>
        </w:rPr>
        <w:t>l</w:t>
      </w:r>
      <w:r w:rsidRPr="00535B5A" w:rsidR="00BE3344">
        <w:rPr>
          <w:bCs/>
        </w:rPr>
        <w:t>)</w:t>
      </w:r>
      <w:r w:rsidRPr="00535B5A" w:rsidR="007D6B6C">
        <w:rPr>
          <w:bCs/>
        </w:rPr>
        <w:t xml:space="preserve"> to section 1050</w:t>
      </w:r>
      <w:r w:rsidRPr="00535B5A" w:rsidR="00BE3344">
        <w:rPr>
          <w:bCs/>
        </w:rPr>
        <w:t xml:space="preserve"> </w:t>
      </w:r>
      <w:r w:rsidR="001613F7">
        <w:rPr>
          <w:bCs/>
        </w:rPr>
        <w:t xml:space="preserve">to </w:t>
      </w:r>
      <w:r w:rsidR="00912AFE">
        <w:rPr>
          <w:bCs/>
        </w:rPr>
        <w:t xml:space="preserve">make clear </w:t>
      </w:r>
      <w:r w:rsidR="00D61043">
        <w:rPr>
          <w:bCs/>
        </w:rPr>
        <w:t xml:space="preserve">that </w:t>
      </w:r>
      <w:r w:rsidR="00912AFE">
        <w:rPr>
          <w:bCs/>
        </w:rPr>
        <w:t xml:space="preserve">the statute </w:t>
      </w:r>
      <w:r w:rsidRPr="00535B5A" w:rsidR="00BE3344">
        <w:rPr>
          <w:bCs/>
        </w:rPr>
        <w:t xml:space="preserve">“is directory only and does not mandate dismissal of an action by its terms.”  </w:t>
      </w:r>
      <w:r w:rsidRPr="00535B5A" w:rsidR="002C2C10">
        <w:rPr>
          <w:bCs/>
        </w:rPr>
        <w:t xml:space="preserve">The bill also amended section 1050.5, subdivision (b) to add the final clause:  “The authority </w:t>
      </w:r>
      <w:r w:rsidRPr="00535B5A" w:rsidR="00432494">
        <w:rPr>
          <w:bCs/>
        </w:rPr>
        <w:t xml:space="preserve">to impose sanctions provided for by this section shall be in addition to any other authority or power available to the court, </w:t>
      </w:r>
      <w:r w:rsidRPr="00535B5A" w:rsidR="00432494">
        <w:rPr>
          <w:bCs/>
          <w:i/>
          <w:iCs/>
        </w:rPr>
        <w:t>except that the court or magistrate shall not dismiss the case</w:t>
      </w:r>
      <w:r w:rsidRPr="00535B5A" w:rsidR="00432494">
        <w:rPr>
          <w:bCs/>
        </w:rPr>
        <w:t>.”  (§ 1050</w:t>
      </w:r>
      <w:r w:rsidRPr="00535B5A" w:rsidR="00A85ED9">
        <w:rPr>
          <w:bCs/>
        </w:rPr>
        <w:t>.5</w:t>
      </w:r>
      <w:r w:rsidRPr="00535B5A" w:rsidR="00432494">
        <w:rPr>
          <w:bCs/>
        </w:rPr>
        <w:t>, subd. (b), italics added.)</w:t>
      </w:r>
      <w:r w:rsidRPr="00535B5A" w:rsidR="000F55F6">
        <w:rPr>
          <w:bCs/>
        </w:rPr>
        <w:t xml:space="preserve"> </w:t>
      </w:r>
      <w:r w:rsidRPr="00535B5A">
        <w:rPr>
          <w:bCs/>
        </w:rPr>
        <w:t xml:space="preserve"> </w:t>
      </w:r>
      <w:r w:rsidRPr="00535B5A" w:rsidR="007D6B6C">
        <w:rPr>
          <w:bCs/>
        </w:rPr>
        <w:t>Legislative history confirms that the</w:t>
      </w:r>
      <w:r w:rsidRPr="00535B5A" w:rsidR="000F55F6">
        <w:rPr>
          <w:bCs/>
        </w:rPr>
        <w:t xml:space="preserve"> purpose of these amendments was to codify holding</w:t>
      </w:r>
      <w:r w:rsidRPr="00535B5A" w:rsidR="009519D5">
        <w:rPr>
          <w:bCs/>
        </w:rPr>
        <w:t>s</w:t>
      </w:r>
      <w:r w:rsidRPr="00535B5A" w:rsidR="000F55F6">
        <w:rPr>
          <w:bCs/>
        </w:rPr>
        <w:t xml:space="preserve"> in</w:t>
      </w:r>
      <w:r w:rsidRPr="00535B5A" w:rsidR="009519D5">
        <w:rPr>
          <w:bCs/>
        </w:rPr>
        <w:t xml:space="preserve"> the </w:t>
      </w:r>
      <w:r w:rsidRPr="00535B5A" w:rsidR="000F55F6">
        <w:rPr>
          <w:bCs/>
          <w:i/>
          <w:iCs/>
        </w:rPr>
        <w:t>Ferguson</w:t>
      </w:r>
      <w:r w:rsidRPr="00535B5A" w:rsidR="009519D5">
        <w:rPr>
          <w:bCs/>
        </w:rPr>
        <w:t xml:space="preserve"> line of cases</w:t>
      </w:r>
      <w:r w:rsidRPr="00535B5A" w:rsidR="000F55F6">
        <w:rPr>
          <w:bCs/>
        </w:rPr>
        <w:t xml:space="preserve">.  </w:t>
      </w:r>
      <w:r w:rsidRPr="00535B5A">
        <w:rPr>
          <w:bCs/>
        </w:rPr>
        <w:t>(</w:t>
      </w:r>
      <w:r w:rsidRPr="009C0749">
        <w:rPr>
          <w:bCs/>
        </w:rPr>
        <w:t>See, e.g., Assem. Com. on Pub. Safety, Rep. on Assem. Bill No. 1273 (2003</w:t>
      </w:r>
      <w:r w:rsidR="009C0749">
        <w:rPr>
          <w:bCs/>
        </w:rPr>
        <w:t>–</w:t>
      </w:r>
      <w:r w:rsidRPr="009C0749">
        <w:rPr>
          <w:bCs/>
        </w:rPr>
        <w:t>2004 Reg. Sess.) as amended May 1, 2003, pp. 2</w:t>
      </w:r>
      <w:r w:rsidRPr="009C0749" w:rsidR="00C635F1">
        <w:t>–</w:t>
      </w:r>
      <w:r w:rsidRPr="009C0749">
        <w:rPr>
          <w:bCs/>
        </w:rPr>
        <w:t>3; Sen. Com. on Pub. Safety, Rep. on Assem. Bill No. 1273 (2003</w:t>
      </w:r>
      <w:r w:rsidR="009C0749">
        <w:rPr>
          <w:bCs/>
        </w:rPr>
        <w:t>–</w:t>
      </w:r>
      <w:r w:rsidRPr="009C0749">
        <w:rPr>
          <w:bCs/>
        </w:rPr>
        <w:t>2004 Reg. Sess.) as amended May 1, 2003, pp. 2, 5</w:t>
      </w:r>
      <w:r w:rsidRPr="009C0749" w:rsidR="00C635F1">
        <w:t>–</w:t>
      </w:r>
      <w:r w:rsidRPr="009C0749">
        <w:rPr>
          <w:bCs/>
        </w:rPr>
        <w:t>6.</w:t>
      </w:r>
      <w:r w:rsidRPr="00535B5A">
        <w:rPr>
          <w:bCs/>
        </w:rPr>
        <w:t>)</w:t>
      </w:r>
    </w:p>
    <w:p w:rsidR="007D6B6C" w:rsidRPr="00535B5A" w:rsidP="00535B5A" w14:paraId="67373683" w14:textId="47DCA97B">
      <w:pPr>
        <w:rPr>
          <w:bCs/>
        </w:rPr>
      </w:pPr>
      <w:r w:rsidRPr="00535B5A">
        <w:rPr>
          <w:bCs/>
        </w:rPr>
        <w:tab/>
        <w:t xml:space="preserve">A report prepared by the Senate Committee on Public Safety described the need for Assembly Bill No. 1273 as follows:  “Current law (Penal Code section 1382) provides the People and the defendant with a right to a speedy trial, but that right is balanced against the right of both parties to have at least 60 days to prepare their case.  [¶] The problem AB 1273 </w:t>
      </w:r>
      <w:r w:rsidRPr="00535B5A" w:rsidR="00F84D81">
        <w:rPr>
          <w:bCs/>
        </w:rPr>
        <w:t xml:space="preserve">attempts to resolve </w:t>
      </w:r>
      <w:r w:rsidRPr="00535B5A" w:rsidR="00AB253B">
        <w:rPr>
          <w:bCs/>
        </w:rPr>
        <w:t xml:space="preserve">involves situations when a court seeks to dismiss a case before the expiration of the statutory 60 day time limit.  [¶] The confusion involves an apparent conflict between two Penal Code sections. </w:t>
      </w:r>
      <w:r w:rsidRPr="00535B5A" w:rsidR="008C6B0C">
        <w:rPr>
          <w:bCs/>
        </w:rPr>
        <w:t>. . . [O]ne section (Penal Code Section 1050) requires a showing of good cause to trail a case within the 60 day statutory period and the other section (Penal Code Section 1382) does not require a showing of good cause within the 60 day period.</w:t>
      </w:r>
      <w:r w:rsidRPr="00535B5A" w:rsidR="00436B1E">
        <w:rPr>
          <w:bCs/>
        </w:rPr>
        <w:t>”  (Sen. Com. on Pub. Safety, Rep. on Assem. Bill No. 1273</w:t>
      </w:r>
      <w:r w:rsidRPr="00535B5A" w:rsidR="00A85ED9">
        <w:rPr>
          <w:bCs/>
        </w:rPr>
        <w:t xml:space="preserve">, </w:t>
      </w:r>
      <w:r w:rsidRPr="00535B5A" w:rsidR="00A85ED9">
        <w:rPr>
          <w:bCs/>
          <w:i/>
          <w:iCs/>
        </w:rPr>
        <w:t>supra</w:t>
      </w:r>
      <w:r w:rsidRPr="00535B5A" w:rsidR="00436B1E">
        <w:rPr>
          <w:bCs/>
        </w:rPr>
        <w:t>, p</w:t>
      </w:r>
      <w:r w:rsidRPr="00535B5A" w:rsidR="00A85ED9">
        <w:rPr>
          <w:bCs/>
        </w:rPr>
        <w:t>p. 4–5</w:t>
      </w:r>
      <w:r w:rsidRPr="00535B5A" w:rsidR="00436B1E">
        <w:rPr>
          <w:bCs/>
        </w:rPr>
        <w:t>.)</w:t>
      </w:r>
      <w:r>
        <w:rPr>
          <w:rStyle w:val="FootnoteReference"/>
          <w:bCs/>
        </w:rPr>
        <w:footnoteReference w:id="6"/>
      </w:r>
      <w:r w:rsidRPr="00535B5A" w:rsidR="00436B1E">
        <w:rPr>
          <w:bCs/>
        </w:rPr>
        <w:t xml:space="preserve">  </w:t>
      </w:r>
      <w:r w:rsidRPr="00535B5A" w:rsidR="00371CCD">
        <w:rPr>
          <w:bCs/>
        </w:rPr>
        <w:t>A</w:t>
      </w:r>
      <w:r w:rsidRPr="00535B5A" w:rsidR="00436B1E">
        <w:rPr>
          <w:bCs/>
        </w:rPr>
        <w:t>ccording to the bill’s sponsor, courts had sometimes “dismissed cases after the prosecutor failed to establish good cause to continue the trial of the matter even though it was still within the 60-day</w:t>
      </w:r>
      <w:r w:rsidRPr="00535B5A" w:rsidR="00371CCD">
        <w:rPr>
          <w:bCs/>
        </w:rPr>
        <w:t xml:space="preserve"> statutory speedy trial period.”  (</w:t>
      </w:r>
      <w:r w:rsidRPr="00535B5A" w:rsidR="00371CCD">
        <w:rPr>
          <w:bCs/>
          <w:i/>
          <w:iCs/>
        </w:rPr>
        <w:t>Id</w:t>
      </w:r>
      <w:r w:rsidRPr="00535B5A" w:rsidR="00371CCD">
        <w:rPr>
          <w:bCs/>
        </w:rPr>
        <w:t>.</w:t>
      </w:r>
      <w:r w:rsidR="003C6D51">
        <w:rPr>
          <w:bCs/>
        </w:rPr>
        <w:t xml:space="preserve"> at p. 5.</w:t>
      </w:r>
      <w:r w:rsidRPr="00535B5A" w:rsidR="00371CCD">
        <w:rPr>
          <w:bCs/>
        </w:rPr>
        <w:t xml:space="preserve">)  </w:t>
      </w:r>
      <w:r w:rsidRPr="00535B5A" w:rsidR="00507B6D">
        <w:rPr>
          <w:bCs/>
        </w:rPr>
        <w:t>T</w:t>
      </w:r>
      <w:r w:rsidRPr="00535B5A" w:rsidR="00371CCD">
        <w:rPr>
          <w:bCs/>
        </w:rPr>
        <w:t xml:space="preserve">he report stated that Assembly Bill No. 1273 was intended to codify </w:t>
      </w:r>
      <w:r w:rsidRPr="00535B5A" w:rsidR="00507B6D">
        <w:rPr>
          <w:bCs/>
          <w:i/>
          <w:iCs/>
        </w:rPr>
        <w:t>Ferguson</w:t>
      </w:r>
      <w:r w:rsidRPr="00535B5A" w:rsidR="00507B6D">
        <w:rPr>
          <w:bCs/>
        </w:rPr>
        <w:t xml:space="preserve">’s </w:t>
      </w:r>
      <w:r w:rsidRPr="00535B5A" w:rsidR="00371CCD">
        <w:rPr>
          <w:bCs/>
        </w:rPr>
        <w:t>holding</w:t>
      </w:r>
      <w:r w:rsidRPr="00535B5A" w:rsidR="00507B6D">
        <w:rPr>
          <w:bCs/>
        </w:rPr>
        <w:t xml:space="preserve"> that section 1050 “ ‘is directory only and does not mandate</w:t>
      </w:r>
      <w:r w:rsidRPr="00535B5A" w:rsidR="00A85ED9">
        <w:rPr>
          <w:bCs/>
        </w:rPr>
        <w:t xml:space="preserve"> any</w:t>
      </w:r>
      <w:r w:rsidRPr="00535B5A" w:rsidR="00507B6D">
        <w:rPr>
          <w:bCs/>
        </w:rPr>
        <w:t xml:space="preserve"> dismissal of an action by its terms.’ ” </w:t>
      </w:r>
      <w:r w:rsidRPr="00535B5A" w:rsidR="00371CCD">
        <w:rPr>
          <w:bCs/>
        </w:rPr>
        <w:t xml:space="preserve"> (</w:t>
      </w:r>
      <w:r w:rsidRPr="00535B5A" w:rsidR="008636D9">
        <w:rPr>
          <w:bCs/>
          <w:i/>
          <w:iCs/>
        </w:rPr>
        <w:t>Id.</w:t>
      </w:r>
      <w:r w:rsidRPr="00535B5A" w:rsidR="008636D9">
        <w:rPr>
          <w:bCs/>
        </w:rPr>
        <w:t xml:space="preserve"> at</w:t>
      </w:r>
      <w:r w:rsidRPr="00535B5A" w:rsidR="00371CCD">
        <w:rPr>
          <w:bCs/>
        </w:rPr>
        <w:t xml:space="preserve"> p. </w:t>
      </w:r>
      <w:r w:rsidR="00443CEB">
        <w:rPr>
          <w:bCs/>
        </w:rPr>
        <w:t>6</w:t>
      </w:r>
      <w:r w:rsidRPr="00535B5A" w:rsidR="00507B6D">
        <w:rPr>
          <w:bCs/>
        </w:rPr>
        <w:t>.)</w:t>
      </w:r>
      <w:r>
        <w:rPr>
          <w:rStyle w:val="FootnoteReference"/>
          <w:bCs/>
        </w:rPr>
        <w:footnoteReference w:id="7"/>
      </w:r>
      <w:r w:rsidRPr="00535B5A" w:rsidR="004B2F9C">
        <w:rPr>
          <w:bCs/>
        </w:rPr>
        <w:t xml:space="preserve">  “Thus, under </w:t>
      </w:r>
      <w:r w:rsidRPr="00535B5A" w:rsidR="00022E5A">
        <w:rPr>
          <w:bCs/>
        </w:rPr>
        <w:t>this bill a case could not be dismissed as a sanction for failing to comply with the rules governing continuances if the statutory time for a speedy trial has not run</w:t>
      </w:r>
      <w:r w:rsidRPr="00535B5A" w:rsidR="00022E5A">
        <w:rPr>
          <w:bCs/>
          <w:i/>
          <w:iCs/>
        </w:rPr>
        <w:t>.</w:t>
      </w:r>
      <w:r w:rsidRPr="00535B5A" w:rsidR="00022E5A">
        <w:rPr>
          <w:bCs/>
        </w:rPr>
        <w:t>”  (</w:t>
      </w:r>
      <w:r w:rsidRPr="00535B5A" w:rsidR="00022E5A">
        <w:rPr>
          <w:bCs/>
          <w:i/>
          <w:iCs/>
        </w:rPr>
        <w:t>I</w:t>
      </w:r>
      <w:r w:rsidR="00935852">
        <w:rPr>
          <w:bCs/>
          <w:i/>
          <w:iCs/>
        </w:rPr>
        <w:t>bi</w:t>
      </w:r>
      <w:r w:rsidRPr="00535B5A" w:rsidR="00022E5A">
        <w:rPr>
          <w:bCs/>
          <w:i/>
          <w:iCs/>
        </w:rPr>
        <w:t>d</w:t>
      </w:r>
      <w:r w:rsidRPr="00535B5A" w:rsidR="00022E5A">
        <w:rPr>
          <w:bCs/>
        </w:rPr>
        <w:t>.)</w:t>
      </w:r>
    </w:p>
    <w:p w:rsidR="000D1F46" w:rsidRPr="00535B5A" w:rsidP="00535B5A" w14:paraId="7A0A2686" w14:textId="4607692F">
      <w:pPr>
        <w:rPr>
          <w:bCs/>
        </w:rPr>
      </w:pPr>
      <w:r w:rsidRPr="00535B5A">
        <w:rPr>
          <w:bCs/>
        </w:rPr>
        <w:tab/>
        <w:t xml:space="preserve">By clarifying that sections 1050 and 1050.5 do not independently authorize dismissal for failure to satisfy </w:t>
      </w:r>
      <w:r w:rsidR="0031033E">
        <w:rPr>
          <w:bCs/>
        </w:rPr>
        <w:t xml:space="preserve">either </w:t>
      </w:r>
      <w:r w:rsidRPr="00535B5A">
        <w:rPr>
          <w:bCs/>
        </w:rPr>
        <w:t>the procedural or substantive requirements</w:t>
      </w:r>
      <w:r w:rsidR="00180CDB">
        <w:rPr>
          <w:bCs/>
        </w:rPr>
        <w:t xml:space="preserve">, </w:t>
      </w:r>
      <w:r w:rsidRPr="00535B5A">
        <w:rPr>
          <w:bCs/>
        </w:rPr>
        <w:t>the Legislature confirmed that trial courts may dismiss a case, or force a dismissal by denying a continuance, only</w:t>
      </w:r>
      <w:r w:rsidR="00D532DA">
        <w:rPr>
          <w:bCs/>
        </w:rPr>
        <w:t xml:space="preserve"> under the aegis </w:t>
      </w:r>
      <w:r w:rsidR="00FA2A31">
        <w:rPr>
          <w:bCs/>
        </w:rPr>
        <w:t>of</w:t>
      </w:r>
      <w:r w:rsidRPr="00535B5A">
        <w:rPr>
          <w:bCs/>
        </w:rPr>
        <w:t xml:space="preserve"> some </w:t>
      </w:r>
      <w:r w:rsidRPr="00535B5A">
        <w:rPr>
          <w:bCs/>
          <w:i/>
          <w:iCs/>
        </w:rPr>
        <w:t>other</w:t>
      </w:r>
      <w:r w:rsidRPr="00535B5A">
        <w:rPr>
          <w:bCs/>
        </w:rPr>
        <w:t xml:space="preserve"> conferred authority</w:t>
      </w:r>
      <w:r w:rsidRPr="00535B5A" w:rsidR="00B10373">
        <w:rPr>
          <w:bCs/>
        </w:rPr>
        <w:t xml:space="preserve">.  </w:t>
      </w:r>
      <w:r w:rsidR="00A518CA">
        <w:rPr>
          <w:bCs/>
        </w:rPr>
        <w:t>D</w:t>
      </w:r>
      <w:r w:rsidRPr="00535B5A" w:rsidR="00B10373">
        <w:rPr>
          <w:bCs/>
        </w:rPr>
        <w:t>espite limits on their discretion imposed by case law and these statutory amendments</w:t>
      </w:r>
      <w:r w:rsidRPr="00535B5A">
        <w:rPr>
          <w:bCs/>
        </w:rPr>
        <w:t xml:space="preserve">, </w:t>
      </w:r>
      <w:r w:rsidRPr="00535B5A" w:rsidR="00B10373">
        <w:rPr>
          <w:bCs/>
        </w:rPr>
        <w:t xml:space="preserve">trial courts retain the power to dismiss </w:t>
      </w:r>
      <w:r w:rsidRPr="00535B5A">
        <w:rPr>
          <w:bCs/>
        </w:rPr>
        <w:t>“in furtherance of justice” (§ 1385</w:t>
      </w:r>
      <w:r w:rsidR="008E7934">
        <w:rPr>
          <w:bCs/>
        </w:rPr>
        <w:t>, subd. (a)</w:t>
      </w:r>
      <w:r w:rsidR="00B26281">
        <w:rPr>
          <w:bCs/>
        </w:rPr>
        <w:t>; s</w:t>
      </w:r>
      <w:r w:rsidRPr="00535B5A" w:rsidR="00114411">
        <w:rPr>
          <w:bCs/>
        </w:rPr>
        <w:t>ee</w:t>
      </w:r>
      <w:r w:rsidRPr="00535B5A">
        <w:rPr>
          <w:bCs/>
        </w:rPr>
        <w:t xml:space="preserve"> </w:t>
      </w:r>
      <w:r w:rsidRPr="00535B5A">
        <w:rPr>
          <w:bCs/>
          <w:i/>
          <w:iCs/>
        </w:rPr>
        <w:t>Torres</w:t>
      </w:r>
      <w:r w:rsidRPr="00535B5A">
        <w:rPr>
          <w:bCs/>
        </w:rPr>
        <w:t xml:space="preserve">, </w:t>
      </w:r>
      <w:r w:rsidRPr="00535B5A">
        <w:rPr>
          <w:bCs/>
          <w:i/>
        </w:rPr>
        <w:t>supra</w:t>
      </w:r>
      <w:r w:rsidRPr="00535B5A">
        <w:rPr>
          <w:bCs/>
        </w:rPr>
        <w:t xml:space="preserve">, </w:t>
      </w:r>
      <w:r w:rsidRPr="00535B5A">
        <w:t>159 Cal.App.3d Supp. at pp. 12–13.)</w:t>
      </w:r>
    </w:p>
    <w:p w:rsidR="00D906AB" w:rsidRPr="00535B5A" w:rsidP="00535B5A" w14:paraId="763E6648" w14:textId="2B5C1ABB">
      <w:pPr>
        <w:rPr>
          <w:bCs/>
        </w:rPr>
      </w:pPr>
      <w:r w:rsidRPr="00535B5A">
        <w:rPr>
          <w:bCs/>
        </w:rPr>
        <w:tab/>
      </w:r>
      <w:r w:rsidRPr="00535B5A" w:rsidR="004A3E52">
        <w:rPr>
          <w:bCs/>
        </w:rPr>
        <w:t xml:space="preserve">It is evident from </w:t>
      </w:r>
      <w:r w:rsidRPr="00535B5A" w:rsidR="00114411">
        <w:rPr>
          <w:bCs/>
        </w:rPr>
        <w:t>committee reports</w:t>
      </w:r>
      <w:r w:rsidRPr="00535B5A" w:rsidR="004A3E52">
        <w:rPr>
          <w:bCs/>
        </w:rPr>
        <w:t xml:space="preserve"> </w:t>
      </w:r>
      <w:r w:rsidR="00550980">
        <w:rPr>
          <w:bCs/>
        </w:rPr>
        <w:t xml:space="preserve">on </w:t>
      </w:r>
      <w:r w:rsidRPr="00535B5A" w:rsidR="00114411">
        <w:rPr>
          <w:bCs/>
        </w:rPr>
        <w:t>Assembly Bill No. 1273</w:t>
      </w:r>
      <w:r w:rsidR="00550980">
        <w:rPr>
          <w:bCs/>
        </w:rPr>
        <w:t xml:space="preserve"> that</w:t>
      </w:r>
      <w:r w:rsidRPr="00535B5A" w:rsidR="00114411">
        <w:rPr>
          <w:bCs/>
        </w:rPr>
        <w:t xml:space="preserve"> </w:t>
      </w:r>
      <w:r w:rsidRPr="00535B5A">
        <w:rPr>
          <w:bCs/>
        </w:rPr>
        <w:t xml:space="preserve">the Legislature </w:t>
      </w:r>
      <w:r w:rsidRPr="00535B5A" w:rsidR="004A3E52">
        <w:rPr>
          <w:bCs/>
        </w:rPr>
        <w:t xml:space="preserve">was specifically concerned with continuances of trial.  </w:t>
      </w:r>
      <w:r w:rsidRPr="00535B5A" w:rsidR="00114411">
        <w:rPr>
          <w:bCs/>
        </w:rPr>
        <w:t>But</w:t>
      </w:r>
      <w:r w:rsidRPr="00535B5A" w:rsidR="00EA20B8">
        <w:rPr>
          <w:bCs/>
        </w:rPr>
        <w:t>,</w:t>
      </w:r>
      <w:r w:rsidRPr="00535B5A" w:rsidR="00114411">
        <w:rPr>
          <w:bCs/>
        </w:rPr>
        <w:t xml:space="preserve"> in</w:t>
      </w:r>
      <w:r w:rsidRPr="00535B5A" w:rsidR="00C143AC">
        <w:rPr>
          <w:bCs/>
        </w:rPr>
        <w:t xml:space="preserve"> codifying </w:t>
      </w:r>
      <w:r w:rsidRPr="00535B5A" w:rsidR="00C143AC">
        <w:rPr>
          <w:bCs/>
          <w:i/>
          <w:iCs/>
        </w:rPr>
        <w:t>Ferguson</w:t>
      </w:r>
      <w:r w:rsidRPr="00535B5A" w:rsidR="00C143AC">
        <w:rPr>
          <w:bCs/>
        </w:rPr>
        <w:t>, the Legislature would have been aware of its factual context:  The People were not ready to proceed on the scheduled date because the deputy district attorney</w:t>
      </w:r>
      <w:r w:rsidRPr="00535B5A" w:rsidR="008B756E">
        <w:rPr>
          <w:bCs/>
        </w:rPr>
        <w:t xml:space="preserve"> </w:t>
      </w:r>
      <w:r w:rsidRPr="00535B5A" w:rsidR="00C143AC">
        <w:rPr>
          <w:bCs/>
        </w:rPr>
        <w:t>assigned to the case</w:t>
      </w:r>
      <w:r w:rsidRPr="00535B5A" w:rsidR="008B756E">
        <w:rPr>
          <w:bCs/>
        </w:rPr>
        <w:t xml:space="preserve"> </w:t>
      </w:r>
      <w:r w:rsidRPr="00535B5A" w:rsidR="00C143AC">
        <w:rPr>
          <w:bCs/>
        </w:rPr>
        <w:t>was engaged in a different trial.  (</w:t>
      </w:r>
      <w:r w:rsidRPr="00535B5A" w:rsidR="00C143AC">
        <w:rPr>
          <w:bCs/>
          <w:i/>
          <w:iCs/>
        </w:rPr>
        <w:t>Ferguson</w:t>
      </w:r>
      <w:r w:rsidRPr="00535B5A" w:rsidR="00C143AC">
        <w:rPr>
          <w:bCs/>
        </w:rPr>
        <w:t xml:space="preserve">, </w:t>
      </w:r>
      <w:r w:rsidRPr="00535B5A" w:rsidR="00C143AC">
        <w:rPr>
          <w:bCs/>
          <w:i/>
        </w:rPr>
        <w:t>supra</w:t>
      </w:r>
      <w:r w:rsidRPr="00535B5A" w:rsidR="00C143AC">
        <w:rPr>
          <w:bCs/>
        </w:rPr>
        <w:t xml:space="preserve">, 218 Cal.App.3d at p. 1176.)  </w:t>
      </w:r>
      <w:r w:rsidRPr="00535B5A" w:rsidR="00114B09">
        <w:rPr>
          <w:bCs/>
        </w:rPr>
        <w:t xml:space="preserve">When </w:t>
      </w:r>
      <w:r w:rsidRPr="00535B5A" w:rsidR="00EA20B8">
        <w:rPr>
          <w:bCs/>
        </w:rPr>
        <w:t xml:space="preserve">the Legislature </w:t>
      </w:r>
      <w:r w:rsidRPr="00535B5A" w:rsidR="00114B09">
        <w:rPr>
          <w:bCs/>
        </w:rPr>
        <w:t>a</w:t>
      </w:r>
      <w:r w:rsidRPr="00535B5A" w:rsidR="00C143AC">
        <w:rPr>
          <w:bCs/>
        </w:rPr>
        <w:t>mend</w:t>
      </w:r>
      <w:r w:rsidRPr="00535B5A" w:rsidR="00114B09">
        <w:rPr>
          <w:bCs/>
        </w:rPr>
        <w:t>ed</w:t>
      </w:r>
      <w:r w:rsidRPr="00535B5A" w:rsidR="00C143AC">
        <w:rPr>
          <w:bCs/>
        </w:rPr>
        <w:t xml:space="preserve"> section 1050 to clarify that </w:t>
      </w:r>
      <w:r w:rsidRPr="00535B5A" w:rsidR="00A32083">
        <w:rPr>
          <w:bCs/>
        </w:rPr>
        <w:t>the</w:t>
      </w:r>
      <w:r w:rsidRPr="00535B5A" w:rsidR="00C143AC">
        <w:rPr>
          <w:bCs/>
        </w:rPr>
        <w:t xml:space="preserve"> </w:t>
      </w:r>
      <w:r w:rsidRPr="00535B5A" w:rsidR="00263BF3">
        <w:rPr>
          <w:bCs/>
        </w:rPr>
        <w:t>statute does not require dismissal</w:t>
      </w:r>
      <w:r w:rsidRPr="00535B5A" w:rsidR="00C143AC">
        <w:rPr>
          <w:bCs/>
        </w:rPr>
        <w:t xml:space="preserve"> in </w:t>
      </w:r>
      <w:r w:rsidRPr="00535B5A" w:rsidR="00FA4B52">
        <w:rPr>
          <w:bCs/>
        </w:rPr>
        <w:t>such a</w:t>
      </w:r>
      <w:r w:rsidRPr="00535B5A" w:rsidR="00C143AC">
        <w:rPr>
          <w:bCs/>
        </w:rPr>
        <w:t xml:space="preserve"> circumstance, </w:t>
      </w:r>
      <w:r w:rsidRPr="00535B5A" w:rsidR="00EA20B8">
        <w:rPr>
          <w:bCs/>
        </w:rPr>
        <w:t xml:space="preserve">it </w:t>
      </w:r>
      <w:r w:rsidRPr="00535B5A" w:rsidR="00C143AC">
        <w:rPr>
          <w:bCs/>
        </w:rPr>
        <w:t xml:space="preserve">also </w:t>
      </w:r>
      <w:r w:rsidRPr="00535B5A" w:rsidR="00FA4B52">
        <w:rPr>
          <w:bCs/>
        </w:rPr>
        <w:t xml:space="preserve">effectively </w:t>
      </w:r>
      <w:r w:rsidR="00515D32">
        <w:rPr>
          <w:bCs/>
        </w:rPr>
        <w:t>placed constraints on</w:t>
      </w:r>
      <w:r w:rsidRPr="00535B5A" w:rsidR="00515D32">
        <w:rPr>
          <w:bCs/>
        </w:rPr>
        <w:t xml:space="preserve"> </w:t>
      </w:r>
      <w:r w:rsidRPr="00535B5A" w:rsidR="00FA4B52">
        <w:rPr>
          <w:bCs/>
        </w:rPr>
        <w:t>the court’s ability to deny</w:t>
      </w:r>
      <w:r w:rsidRPr="00535B5A" w:rsidR="008B756E">
        <w:rPr>
          <w:bCs/>
        </w:rPr>
        <w:t xml:space="preserve"> </w:t>
      </w:r>
      <w:r w:rsidRPr="00535B5A" w:rsidR="00FA4B52">
        <w:rPr>
          <w:bCs/>
        </w:rPr>
        <w:t>continuance</w:t>
      </w:r>
      <w:r w:rsidR="00515D32">
        <w:rPr>
          <w:bCs/>
        </w:rPr>
        <w:t>s</w:t>
      </w:r>
      <w:r w:rsidRPr="00535B5A" w:rsidR="00FA4B52">
        <w:rPr>
          <w:bCs/>
        </w:rPr>
        <w:t xml:space="preserve">.  “In codifying the result in </w:t>
      </w:r>
      <w:r w:rsidRPr="00535B5A" w:rsidR="00FA4B52">
        <w:rPr>
          <w:bCs/>
          <w:i/>
          <w:iCs/>
        </w:rPr>
        <w:t>Ferguson</w:t>
      </w:r>
      <w:r w:rsidRPr="00535B5A" w:rsidR="00FA4B52">
        <w:rPr>
          <w:bCs/>
        </w:rPr>
        <w:t>, the Legislature must have understood that it was obligating trial courts to grant continuances where necessary to avoid a dismissal, even in the absence of a showing of good cause” (</w:t>
      </w:r>
      <w:r w:rsidRPr="00535B5A" w:rsidR="00FA4B52">
        <w:rPr>
          <w:bCs/>
          <w:i/>
          <w:iCs/>
        </w:rPr>
        <w:t>Ferrer</w:t>
      </w:r>
      <w:r w:rsidRPr="00535B5A" w:rsidR="00FA4B52">
        <w:rPr>
          <w:bCs/>
        </w:rPr>
        <w:t xml:space="preserve">, </w:t>
      </w:r>
      <w:r w:rsidRPr="00535B5A" w:rsidR="00FA4B52">
        <w:rPr>
          <w:bCs/>
          <w:i/>
        </w:rPr>
        <w:t>supra</w:t>
      </w:r>
      <w:r w:rsidRPr="00535B5A" w:rsidR="00FA4B52">
        <w:rPr>
          <w:bCs/>
        </w:rPr>
        <w:t>, 184 Cal.App.4th at p. 881)</w:t>
      </w:r>
      <w:r w:rsidR="00515D32">
        <w:rPr>
          <w:bCs/>
        </w:rPr>
        <w:t>, unless dismissal would be in furtherance of justice.</w:t>
      </w:r>
      <w:r w:rsidRPr="00535B5A" w:rsidR="00B31DE6">
        <w:rPr>
          <w:bCs/>
        </w:rPr>
        <w:t xml:space="preserve">  </w:t>
      </w:r>
      <w:r w:rsidRPr="00535B5A" w:rsidR="00114411">
        <w:rPr>
          <w:bCs/>
        </w:rPr>
        <w:t xml:space="preserve">Broad language in </w:t>
      </w:r>
      <w:r w:rsidRPr="00535B5A" w:rsidR="00805B01">
        <w:rPr>
          <w:bCs/>
        </w:rPr>
        <w:t xml:space="preserve">the legislative history </w:t>
      </w:r>
      <w:r w:rsidR="00980788">
        <w:rPr>
          <w:bCs/>
        </w:rPr>
        <w:t>is consistent with apply</w:t>
      </w:r>
      <w:r w:rsidR="004D36EC">
        <w:rPr>
          <w:bCs/>
        </w:rPr>
        <w:t xml:space="preserve">ing </w:t>
      </w:r>
      <w:r w:rsidRPr="00535B5A" w:rsidR="00114411">
        <w:rPr>
          <w:bCs/>
          <w:i/>
          <w:iCs/>
        </w:rPr>
        <w:t>Ferguson</w:t>
      </w:r>
      <w:r w:rsidRPr="00535B5A" w:rsidR="00114411">
        <w:rPr>
          <w:bCs/>
        </w:rPr>
        <w:t xml:space="preserve">’s reasoning to continuance requests in other </w:t>
      </w:r>
      <w:r w:rsidR="004D36EC">
        <w:rPr>
          <w:bCs/>
        </w:rPr>
        <w:t xml:space="preserve">proceedings. </w:t>
      </w:r>
      <w:r w:rsidRPr="00535B5A" w:rsidR="00805B01">
        <w:rPr>
          <w:bCs/>
        </w:rPr>
        <w:t xml:space="preserve"> For example, committee reports consistently stated that</w:t>
      </w:r>
      <w:r w:rsidRPr="00535B5A" w:rsidR="00114B09">
        <w:rPr>
          <w:bCs/>
        </w:rPr>
        <w:t xml:space="preserve"> passing</w:t>
      </w:r>
      <w:r w:rsidRPr="00535B5A" w:rsidR="00805B01">
        <w:rPr>
          <w:bCs/>
        </w:rPr>
        <w:t xml:space="preserve"> Assembly Bill No. 1273</w:t>
      </w:r>
      <w:r w:rsidRPr="00535B5A" w:rsidR="008F4342">
        <w:rPr>
          <w:bCs/>
        </w:rPr>
        <w:t xml:space="preserve"> would </w:t>
      </w:r>
      <w:r w:rsidRPr="00535B5A" w:rsidR="00114B09">
        <w:rPr>
          <w:bCs/>
        </w:rPr>
        <w:t>mean</w:t>
      </w:r>
      <w:r w:rsidRPr="00535B5A" w:rsidR="008F4342">
        <w:rPr>
          <w:bCs/>
        </w:rPr>
        <w:t xml:space="preserve"> that “courts may not dismiss a case due to a failure to meet the good cause requirements for a continuance</w:t>
      </w:r>
      <w:r w:rsidRPr="00535B5A" w:rsidR="00C71617">
        <w:rPr>
          <w:bCs/>
        </w:rPr>
        <w:t xml:space="preserve">” before the </w:t>
      </w:r>
      <w:r w:rsidR="00E138DA">
        <w:rPr>
          <w:bCs/>
        </w:rPr>
        <w:t xml:space="preserve">statutory </w:t>
      </w:r>
      <w:r w:rsidRPr="00535B5A" w:rsidR="00C71617">
        <w:rPr>
          <w:bCs/>
        </w:rPr>
        <w:t>period has expired.  (Sen. Rules Com., Rep. on Assem. Bill No. 1273 (2003</w:t>
      </w:r>
      <w:r w:rsidR="00E93EF2">
        <w:rPr>
          <w:bCs/>
        </w:rPr>
        <w:t>–</w:t>
      </w:r>
      <w:r w:rsidRPr="00535B5A" w:rsidR="00C71617">
        <w:rPr>
          <w:bCs/>
        </w:rPr>
        <w:t xml:space="preserve">2004 Reg. Sess.) as amended May 1, 2003, p. 1; see Sen. Com. on Pub. Safety, Rep. on Assem. Bill No. 1273, </w:t>
      </w:r>
      <w:r w:rsidRPr="00535B5A" w:rsidR="00C71617">
        <w:rPr>
          <w:bCs/>
          <w:i/>
          <w:iCs/>
        </w:rPr>
        <w:t>supra</w:t>
      </w:r>
      <w:r w:rsidRPr="00535B5A" w:rsidR="00C71617">
        <w:rPr>
          <w:bCs/>
        </w:rPr>
        <w:t xml:space="preserve">, p. 2; </w:t>
      </w:r>
      <w:r w:rsidRPr="00535B5A" w:rsidR="00B71856">
        <w:rPr>
          <w:bCs/>
        </w:rPr>
        <w:t>Off. Crim. Justice Planning, Enrolled Bill Rep. on Assem. Bill</w:t>
      </w:r>
      <w:r w:rsidRPr="00535B5A" w:rsidR="004028B7">
        <w:rPr>
          <w:bCs/>
        </w:rPr>
        <w:t xml:space="preserve"> </w:t>
      </w:r>
      <w:r w:rsidRPr="00535B5A" w:rsidR="00B71856">
        <w:rPr>
          <w:bCs/>
        </w:rPr>
        <w:t>No. 1273 (2003</w:t>
      </w:r>
      <w:r w:rsidR="00E93EF2">
        <w:rPr>
          <w:bCs/>
        </w:rPr>
        <w:t>–</w:t>
      </w:r>
      <w:r w:rsidRPr="00535B5A" w:rsidR="00B71856">
        <w:rPr>
          <w:bCs/>
        </w:rPr>
        <w:t>2004 Reg. Sess.)</w:t>
      </w:r>
      <w:r w:rsidRPr="00535B5A" w:rsidR="004B03E8">
        <w:t xml:space="preserve"> prepared for Governor Davis (July 15, 2003) </w:t>
      </w:r>
      <w:r w:rsidRPr="00535B5A" w:rsidR="00B71856">
        <w:rPr>
          <w:bCs/>
        </w:rPr>
        <w:t>p. 1.</w:t>
      </w:r>
      <w:r w:rsidRPr="00535B5A" w:rsidR="004028B7">
        <w:rPr>
          <w:bCs/>
        </w:rPr>
        <w:t>)</w:t>
      </w:r>
      <w:r w:rsidRPr="00535B5A" w:rsidR="00B31DE6">
        <w:rPr>
          <w:bCs/>
        </w:rPr>
        <w:t xml:space="preserve">  </w:t>
      </w:r>
    </w:p>
    <w:p w:rsidR="007D6B6C" w:rsidRPr="00535B5A" w:rsidP="00535B5A" w14:paraId="3274D006" w14:textId="47562495">
      <w:pPr>
        <w:keepNext/>
        <w:rPr>
          <w:bCs/>
          <w:i/>
          <w:iCs/>
        </w:rPr>
      </w:pPr>
      <w:r w:rsidRPr="00535B5A">
        <w:rPr>
          <w:bCs/>
        </w:rPr>
        <w:t>C.</w:t>
      </w:r>
      <w:r w:rsidRPr="00535B5A">
        <w:rPr>
          <w:bCs/>
        </w:rPr>
        <w:tab/>
      </w:r>
      <w:r w:rsidRPr="00535B5A">
        <w:rPr>
          <w:bCs/>
          <w:i/>
          <w:iCs/>
        </w:rPr>
        <w:t>Application</w:t>
      </w:r>
      <w:r w:rsidRPr="00535B5A" w:rsidR="008367F4">
        <w:rPr>
          <w:bCs/>
          <w:i/>
          <w:iCs/>
        </w:rPr>
        <w:t>s</w:t>
      </w:r>
      <w:r w:rsidRPr="00535B5A">
        <w:rPr>
          <w:bCs/>
          <w:i/>
          <w:iCs/>
        </w:rPr>
        <w:t xml:space="preserve"> Beyond t</w:t>
      </w:r>
      <w:r w:rsidRPr="00535B5A" w:rsidR="002F04DA">
        <w:rPr>
          <w:bCs/>
          <w:i/>
          <w:iCs/>
        </w:rPr>
        <w:t>he Trial Continuance Context</w:t>
      </w:r>
    </w:p>
    <w:p w:rsidR="002F04DA" w:rsidRPr="00535B5A" w:rsidP="00535B5A" w14:paraId="4A31793D" w14:textId="53A9EB56">
      <w:pPr>
        <w:rPr>
          <w:bCs/>
        </w:rPr>
      </w:pPr>
      <w:r w:rsidRPr="00535B5A">
        <w:rPr>
          <w:bCs/>
        </w:rPr>
        <w:tab/>
      </w:r>
      <w:r w:rsidR="0079411A">
        <w:rPr>
          <w:bCs/>
        </w:rPr>
        <w:t xml:space="preserve">The Courts of Appeal have considered </w:t>
      </w:r>
      <w:r w:rsidRPr="00535B5A">
        <w:rPr>
          <w:bCs/>
        </w:rPr>
        <w:t xml:space="preserve">how </w:t>
      </w:r>
      <w:r w:rsidRPr="00535B5A" w:rsidR="00A534C3">
        <w:rPr>
          <w:bCs/>
        </w:rPr>
        <w:t xml:space="preserve">these principles apply </w:t>
      </w:r>
      <w:r w:rsidRPr="00535B5A">
        <w:rPr>
          <w:bCs/>
        </w:rPr>
        <w:t>to continuances of proceedings other than trial</w:t>
      </w:r>
      <w:r w:rsidR="00CE144D">
        <w:rPr>
          <w:bCs/>
        </w:rPr>
        <w:t>, like preliminary hearings and motions to suppress evidence (</w:t>
      </w:r>
      <w:r w:rsidR="00C151BD">
        <w:rPr>
          <w:rFonts w:ascii="Times New Roman" w:hAnsi="Times New Roman"/>
          <w:bCs/>
        </w:rPr>
        <w:t>§</w:t>
      </w:r>
      <w:r w:rsidR="00C151BD">
        <w:rPr>
          <w:bCs/>
        </w:rPr>
        <w:t> 1</w:t>
      </w:r>
      <w:r w:rsidR="00CE144D">
        <w:rPr>
          <w:bCs/>
        </w:rPr>
        <w:t>538.5</w:t>
      </w:r>
      <w:r w:rsidR="003F4CD0">
        <w:rPr>
          <w:bCs/>
        </w:rPr>
        <w:t>)</w:t>
      </w:r>
      <w:r w:rsidR="00C151BD">
        <w:rPr>
          <w:bCs/>
        </w:rPr>
        <w:t>.</w:t>
      </w:r>
      <w:r w:rsidR="00CE144D">
        <w:rPr>
          <w:bCs/>
        </w:rPr>
        <w:t xml:space="preserve"> </w:t>
      </w:r>
      <w:r w:rsidRPr="00535B5A" w:rsidR="009D2A17">
        <w:rPr>
          <w:bCs/>
        </w:rPr>
        <w:t xml:space="preserve"> </w:t>
      </w:r>
      <w:r w:rsidRPr="00535B5A" w:rsidR="00595527">
        <w:rPr>
          <w:bCs/>
        </w:rPr>
        <w:t xml:space="preserve">With the exception of the Court of Appeal below, all courts </w:t>
      </w:r>
      <w:r w:rsidR="00D02078">
        <w:rPr>
          <w:bCs/>
        </w:rPr>
        <w:t xml:space="preserve">addressing the question </w:t>
      </w:r>
      <w:r w:rsidRPr="00535B5A" w:rsidR="00595527">
        <w:rPr>
          <w:bCs/>
        </w:rPr>
        <w:t xml:space="preserve">have concluded the trial court’s </w:t>
      </w:r>
      <w:r w:rsidRPr="00535B5A" w:rsidR="00B31DE6">
        <w:rPr>
          <w:bCs/>
        </w:rPr>
        <w:t>discretion</w:t>
      </w:r>
      <w:r w:rsidRPr="00535B5A" w:rsidR="00595527">
        <w:rPr>
          <w:bCs/>
        </w:rPr>
        <w:t xml:space="preserve"> to den</w:t>
      </w:r>
      <w:r w:rsidRPr="00535B5A" w:rsidR="008D0843">
        <w:rPr>
          <w:bCs/>
        </w:rPr>
        <w:t>y</w:t>
      </w:r>
      <w:r w:rsidRPr="00535B5A" w:rsidR="00595527">
        <w:rPr>
          <w:bCs/>
        </w:rPr>
        <w:t xml:space="preserve"> a continuance </w:t>
      </w:r>
      <w:r w:rsidRPr="00535B5A" w:rsidR="00B31DE6">
        <w:rPr>
          <w:bCs/>
        </w:rPr>
        <w:t xml:space="preserve">is </w:t>
      </w:r>
      <w:r w:rsidR="003F4CD0">
        <w:rPr>
          <w:bCs/>
        </w:rPr>
        <w:t xml:space="preserve">also </w:t>
      </w:r>
      <w:r w:rsidRPr="00535B5A" w:rsidR="00B31DE6">
        <w:rPr>
          <w:bCs/>
        </w:rPr>
        <w:t xml:space="preserve">limited </w:t>
      </w:r>
      <w:r w:rsidRPr="00535B5A" w:rsidR="00595527">
        <w:rPr>
          <w:bCs/>
        </w:rPr>
        <w:t>in such circumstances.</w:t>
      </w:r>
      <w:r w:rsidRPr="00535B5A" w:rsidR="008D0843">
        <w:rPr>
          <w:bCs/>
        </w:rPr>
        <w:t xml:space="preserve">  </w:t>
      </w:r>
      <w:r w:rsidRPr="00535B5A" w:rsidR="00B31DE6">
        <w:rPr>
          <w:bCs/>
        </w:rPr>
        <w:t>W</w:t>
      </w:r>
      <w:r w:rsidRPr="00535B5A" w:rsidR="008D0843">
        <w:rPr>
          <w:bCs/>
        </w:rPr>
        <w:t>e agree with this prevailing view.</w:t>
      </w:r>
    </w:p>
    <w:p w:rsidR="00AB2FC9" w:rsidRPr="00535B5A" w:rsidP="00535B5A" w14:paraId="603313A5" w14:textId="4EC6347B">
      <w:pPr>
        <w:keepNext/>
        <w:rPr>
          <w:bCs/>
          <w:i/>
          <w:iCs/>
        </w:rPr>
      </w:pPr>
      <w:r w:rsidRPr="00535B5A">
        <w:rPr>
          <w:bCs/>
        </w:rPr>
        <w:tab/>
        <w:t>1</w:t>
      </w:r>
      <w:r w:rsidRPr="00535B5A">
        <w:rPr>
          <w:bCs/>
        </w:rPr>
        <w:t>.</w:t>
      </w:r>
      <w:r w:rsidRPr="00535B5A">
        <w:rPr>
          <w:bCs/>
        </w:rPr>
        <w:tab/>
      </w:r>
      <w:r w:rsidRPr="00535B5A" w:rsidR="00A82B82">
        <w:rPr>
          <w:bCs/>
          <w:i/>
          <w:iCs/>
        </w:rPr>
        <w:t>Preliminary Hearings</w:t>
      </w:r>
    </w:p>
    <w:p w:rsidR="00FC21ED" w:rsidRPr="00535B5A" w:rsidP="00535B5A" w14:paraId="18267122" w14:textId="17753AE4">
      <w:pPr>
        <w:rPr>
          <w:bCs/>
        </w:rPr>
      </w:pPr>
      <w:r w:rsidRPr="00535B5A">
        <w:rPr>
          <w:bCs/>
        </w:rPr>
        <w:tab/>
        <w:t xml:space="preserve">Shortly after </w:t>
      </w:r>
      <w:r w:rsidRPr="00535B5A" w:rsidR="00A534C3">
        <w:rPr>
          <w:bCs/>
        </w:rPr>
        <w:t>the passage of Assembly Bill No. 1273</w:t>
      </w:r>
      <w:r w:rsidRPr="00535B5A">
        <w:rPr>
          <w:bCs/>
        </w:rPr>
        <w:t xml:space="preserve">, </w:t>
      </w:r>
      <w:r w:rsidRPr="00535B5A">
        <w:rPr>
          <w:bCs/>
          <w:i/>
          <w:iCs/>
        </w:rPr>
        <w:t>People v. Henderson</w:t>
      </w:r>
      <w:r w:rsidRPr="00535B5A">
        <w:rPr>
          <w:bCs/>
        </w:rPr>
        <w:t xml:space="preserve"> (2004) 115 Cal.App.4th 922 (</w:t>
      </w:r>
      <w:r w:rsidRPr="00535B5A">
        <w:rPr>
          <w:bCs/>
          <w:i/>
          <w:iCs/>
        </w:rPr>
        <w:t>Henderson</w:t>
      </w:r>
      <w:r w:rsidRPr="00535B5A">
        <w:rPr>
          <w:bCs/>
        </w:rPr>
        <w:t xml:space="preserve">) considered whether </w:t>
      </w:r>
      <w:r w:rsidRPr="00535B5A" w:rsidR="00BE3945">
        <w:rPr>
          <w:bCs/>
          <w:i/>
          <w:iCs/>
        </w:rPr>
        <w:t>Ferguson</w:t>
      </w:r>
      <w:r w:rsidRPr="00535B5A" w:rsidR="00BE3945">
        <w:rPr>
          <w:bCs/>
        </w:rPr>
        <w:t>’s</w:t>
      </w:r>
      <w:r w:rsidRPr="00535B5A" w:rsidR="00A534C3">
        <w:rPr>
          <w:bCs/>
        </w:rPr>
        <w:t xml:space="preserve"> </w:t>
      </w:r>
      <w:r w:rsidRPr="00535B5A" w:rsidR="00BE3945">
        <w:rPr>
          <w:bCs/>
        </w:rPr>
        <w:t>limits</w:t>
      </w:r>
      <w:r w:rsidR="00C151BD">
        <w:rPr>
          <w:bCs/>
        </w:rPr>
        <w:t xml:space="preserve"> on continuance denials </w:t>
      </w:r>
      <w:r w:rsidR="00F66105">
        <w:rPr>
          <w:bCs/>
        </w:rPr>
        <w:t xml:space="preserve">apply </w:t>
      </w:r>
      <w:r w:rsidRPr="00535B5A" w:rsidR="00BE3945">
        <w:rPr>
          <w:bCs/>
        </w:rPr>
        <w:t>to</w:t>
      </w:r>
      <w:r w:rsidRPr="00535B5A">
        <w:rPr>
          <w:bCs/>
        </w:rPr>
        <w:t xml:space="preserve"> preliminary hearing</w:t>
      </w:r>
      <w:r w:rsidRPr="00535B5A" w:rsidR="00BE3945">
        <w:rPr>
          <w:bCs/>
        </w:rPr>
        <w:t>s</w:t>
      </w:r>
      <w:r w:rsidRPr="00535B5A" w:rsidR="00CE7900">
        <w:rPr>
          <w:bCs/>
        </w:rPr>
        <w:t xml:space="preserve">.  </w:t>
      </w:r>
      <w:r w:rsidR="00C151BD">
        <w:rPr>
          <w:bCs/>
        </w:rPr>
        <w:t xml:space="preserve">In </w:t>
      </w:r>
      <w:r w:rsidR="00C151BD">
        <w:rPr>
          <w:bCs/>
          <w:i/>
          <w:iCs/>
        </w:rPr>
        <w:t>Henderson</w:t>
      </w:r>
      <w:r w:rsidR="00C151BD">
        <w:rPr>
          <w:bCs/>
        </w:rPr>
        <w:t xml:space="preserve">, </w:t>
      </w:r>
      <w:r w:rsidR="00F66105">
        <w:rPr>
          <w:bCs/>
        </w:rPr>
        <w:t xml:space="preserve">the </w:t>
      </w:r>
      <w:r w:rsidRPr="00535B5A" w:rsidR="00A54CEB">
        <w:rPr>
          <w:bCs/>
        </w:rPr>
        <w:t>Peopl</w:t>
      </w:r>
      <w:r w:rsidR="00353523">
        <w:rPr>
          <w:bCs/>
        </w:rPr>
        <w:t xml:space="preserve">e </w:t>
      </w:r>
      <w:r w:rsidRPr="00535B5A" w:rsidR="00A54CEB">
        <w:rPr>
          <w:bCs/>
        </w:rPr>
        <w:t>sought to continue a</w:t>
      </w:r>
      <w:r w:rsidRPr="00535B5A">
        <w:rPr>
          <w:bCs/>
        </w:rPr>
        <w:t xml:space="preserve"> preliminary hearing because the victim was absent.  </w:t>
      </w:r>
      <w:r w:rsidRPr="00535B5A" w:rsidR="00C70114">
        <w:rPr>
          <w:bCs/>
        </w:rPr>
        <w:t>Although t</w:t>
      </w:r>
      <w:r w:rsidRPr="00535B5A" w:rsidR="00A54CEB">
        <w:rPr>
          <w:bCs/>
        </w:rPr>
        <w:t xml:space="preserve">he victim </w:t>
      </w:r>
      <w:r w:rsidRPr="00535B5A" w:rsidR="007B092F">
        <w:rPr>
          <w:bCs/>
        </w:rPr>
        <w:t xml:space="preserve">had </w:t>
      </w:r>
      <w:r w:rsidRPr="00535B5A" w:rsidR="00A54CEB">
        <w:rPr>
          <w:bCs/>
        </w:rPr>
        <w:t xml:space="preserve">been </w:t>
      </w:r>
      <w:r w:rsidRPr="00535B5A">
        <w:rPr>
          <w:bCs/>
        </w:rPr>
        <w:t xml:space="preserve">mailed a subpoena, </w:t>
      </w:r>
      <w:r w:rsidRPr="00535B5A" w:rsidR="00A54CEB">
        <w:rPr>
          <w:bCs/>
        </w:rPr>
        <w:t xml:space="preserve">the prosecutor </w:t>
      </w:r>
      <w:r w:rsidRPr="00535B5A">
        <w:rPr>
          <w:bCs/>
        </w:rPr>
        <w:t>made</w:t>
      </w:r>
      <w:r w:rsidRPr="00535B5A" w:rsidR="00B701F7">
        <w:rPr>
          <w:bCs/>
        </w:rPr>
        <w:t xml:space="preserve"> no</w:t>
      </w:r>
      <w:r w:rsidRPr="00535B5A">
        <w:rPr>
          <w:bCs/>
        </w:rPr>
        <w:t xml:space="preserve"> additional efforts</w:t>
      </w:r>
      <w:r w:rsidRPr="00535B5A" w:rsidR="007B092F">
        <w:rPr>
          <w:bCs/>
        </w:rPr>
        <w:t xml:space="preserve"> to secure</w:t>
      </w:r>
      <w:r w:rsidRPr="00535B5A">
        <w:rPr>
          <w:bCs/>
        </w:rPr>
        <w:t xml:space="preserve"> </w:t>
      </w:r>
      <w:r w:rsidRPr="00535B5A" w:rsidR="007B092F">
        <w:rPr>
          <w:bCs/>
        </w:rPr>
        <w:t>attendance.  (</w:t>
      </w:r>
      <w:r w:rsidRPr="00535B5A" w:rsidR="008E7331">
        <w:rPr>
          <w:bCs/>
          <w:i/>
          <w:iCs/>
        </w:rPr>
        <w:t>Henderson</w:t>
      </w:r>
      <w:r w:rsidRPr="00535B5A" w:rsidR="008E7331">
        <w:rPr>
          <w:bCs/>
        </w:rPr>
        <w:t>,</w:t>
      </w:r>
      <w:r w:rsidRPr="00535B5A" w:rsidR="007B092F">
        <w:rPr>
          <w:bCs/>
        </w:rPr>
        <w:t xml:space="preserve"> at p. 928.)  </w:t>
      </w:r>
      <w:r w:rsidRPr="00535B5A" w:rsidR="00A54CEB">
        <w:rPr>
          <w:bCs/>
        </w:rPr>
        <w:t xml:space="preserve">Finding </w:t>
      </w:r>
      <w:r w:rsidRPr="00535B5A" w:rsidR="00DA386B">
        <w:rPr>
          <w:bCs/>
        </w:rPr>
        <w:t>the request lacked</w:t>
      </w:r>
      <w:r w:rsidRPr="00535B5A" w:rsidR="00A54CEB">
        <w:rPr>
          <w:bCs/>
        </w:rPr>
        <w:t xml:space="preserve"> good cause, the </w:t>
      </w:r>
      <w:r w:rsidRPr="00535B5A" w:rsidR="00D33D29">
        <w:rPr>
          <w:bCs/>
        </w:rPr>
        <w:t>magistrate</w:t>
      </w:r>
      <w:r w:rsidRPr="00535B5A" w:rsidR="00A54CEB">
        <w:rPr>
          <w:bCs/>
        </w:rPr>
        <w:t xml:space="preserve"> denied the continuance</w:t>
      </w:r>
      <w:r w:rsidRPr="00535B5A" w:rsidR="00F10006">
        <w:rPr>
          <w:bCs/>
        </w:rPr>
        <w:t>.</w:t>
      </w:r>
      <w:r w:rsidRPr="00535B5A" w:rsidR="00A54CEB">
        <w:rPr>
          <w:bCs/>
        </w:rPr>
        <w:t xml:space="preserve">  (</w:t>
      </w:r>
      <w:r w:rsidRPr="00535B5A" w:rsidR="00A54CEB">
        <w:rPr>
          <w:bCs/>
          <w:i/>
          <w:iCs/>
        </w:rPr>
        <w:t>Id</w:t>
      </w:r>
      <w:r w:rsidRPr="00535B5A" w:rsidR="00A54CEB">
        <w:rPr>
          <w:bCs/>
        </w:rPr>
        <w:t xml:space="preserve">. at p. 929.)  </w:t>
      </w:r>
      <w:r w:rsidRPr="00535B5A" w:rsidR="00F10006">
        <w:rPr>
          <w:bCs/>
        </w:rPr>
        <w:t>T</w:t>
      </w:r>
      <w:r w:rsidRPr="00535B5A" w:rsidR="00A54CEB">
        <w:rPr>
          <w:bCs/>
        </w:rPr>
        <w:t>he People were unable to proceed</w:t>
      </w:r>
      <w:r w:rsidRPr="00535B5A" w:rsidR="009D2A17">
        <w:rPr>
          <w:bCs/>
        </w:rPr>
        <w:t xml:space="preserve">, </w:t>
      </w:r>
      <w:r w:rsidRPr="00535B5A" w:rsidR="008367F4">
        <w:rPr>
          <w:bCs/>
        </w:rPr>
        <w:t xml:space="preserve">and </w:t>
      </w:r>
      <w:r w:rsidRPr="00535B5A" w:rsidR="00A54CEB">
        <w:rPr>
          <w:bCs/>
        </w:rPr>
        <w:t xml:space="preserve">the </w:t>
      </w:r>
      <w:r w:rsidRPr="00535B5A" w:rsidR="00D6295C">
        <w:rPr>
          <w:bCs/>
        </w:rPr>
        <w:t>case was</w:t>
      </w:r>
      <w:r w:rsidRPr="00535B5A" w:rsidR="00A54CEB">
        <w:rPr>
          <w:bCs/>
        </w:rPr>
        <w:t xml:space="preserve"> dismissed.  (</w:t>
      </w:r>
      <w:r w:rsidRPr="00535B5A" w:rsidR="00A54CEB">
        <w:rPr>
          <w:bCs/>
          <w:i/>
          <w:iCs/>
        </w:rPr>
        <w:t>Ibid</w:t>
      </w:r>
      <w:r w:rsidRPr="00535B5A" w:rsidR="00A54CEB">
        <w:rPr>
          <w:bCs/>
        </w:rPr>
        <w:t>.)</w:t>
      </w:r>
      <w:r w:rsidRPr="00535B5A" w:rsidR="00515846">
        <w:rPr>
          <w:bCs/>
        </w:rPr>
        <w:t xml:space="preserve">  The Court of Appeal held </w:t>
      </w:r>
      <w:r w:rsidRPr="00535B5A" w:rsidR="009D2A17">
        <w:rPr>
          <w:bCs/>
        </w:rPr>
        <w:t xml:space="preserve">the ruling </w:t>
      </w:r>
      <w:r w:rsidRPr="00535B5A" w:rsidR="00515846">
        <w:rPr>
          <w:bCs/>
        </w:rPr>
        <w:t xml:space="preserve">was </w:t>
      </w:r>
      <w:r w:rsidRPr="00535B5A" w:rsidR="009D2A17">
        <w:rPr>
          <w:bCs/>
        </w:rPr>
        <w:t xml:space="preserve">improper. </w:t>
      </w:r>
    </w:p>
    <w:p w:rsidR="00515846" w:rsidRPr="00535B5A" w:rsidP="00535B5A" w14:paraId="2FF43092" w14:textId="04B6D49C">
      <w:pPr>
        <w:rPr>
          <w:bCs/>
        </w:rPr>
      </w:pPr>
      <w:r w:rsidRPr="00535B5A">
        <w:rPr>
          <w:bCs/>
        </w:rPr>
        <w:tab/>
        <w:t>First, the court concluded dismissal was not appropriate under</w:t>
      </w:r>
      <w:r w:rsidRPr="00535B5A" w:rsidR="00E723B8">
        <w:rPr>
          <w:bCs/>
        </w:rPr>
        <w:t xml:space="preserve"> </w:t>
      </w:r>
      <w:r w:rsidRPr="00535B5A">
        <w:rPr>
          <w:bCs/>
        </w:rPr>
        <w:t xml:space="preserve">section 859b, </w:t>
      </w:r>
      <w:r w:rsidRPr="00535B5A" w:rsidR="00E723B8">
        <w:rPr>
          <w:bCs/>
        </w:rPr>
        <w:t>which requires that a</w:t>
      </w:r>
      <w:r w:rsidRPr="00535B5A">
        <w:rPr>
          <w:bCs/>
        </w:rPr>
        <w:t xml:space="preserve"> </w:t>
      </w:r>
      <w:r w:rsidRPr="00535B5A" w:rsidR="00480916">
        <w:rPr>
          <w:bCs/>
        </w:rPr>
        <w:t xml:space="preserve">felony </w:t>
      </w:r>
      <w:r w:rsidRPr="00535B5A">
        <w:rPr>
          <w:bCs/>
        </w:rPr>
        <w:t xml:space="preserve">preliminary hearing </w:t>
      </w:r>
      <w:r w:rsidRPr="00535B5A" w:rsidR="00E723B8">
        <w:rPr>
          <w:bCs/>
        </w:rPr>
        <w:t>be held 10 days after</w:t>
      </w:r>
      <w:r w:rsidRPr="00535B5A" w:rsidR="002D6430">
        <w:rPr>
          <w:bCs/>
        </w:rPr>
        <w:t xml:space="preserve"> a defendant’s</w:t>
      </w:r>
      <w:r w:rsidRPr="00535B5A" w:rsidR="00E723B8">
        <w:rPr>
          <w:bCs/>
        </w:rPr>
        <w:t xml:space="preserve"> arraignment or plea unless the prosecution establishes good cause for a continuance or the defendant waive</w:t>
      </w:r>
      <w:r w:rsidRPr="00535B5A" w:rsidR="00480916">
        <w:rPr>
          <w:bCs/>
        </w:rPr>
        <w:t>s</w:t>
      </w:r>
      <w:r w:rsidRPr="00535B5A" w:rsidR="00E723B8">
        <w:rPr>
          <w:bCs/>
        </w:rPr>
        <w:t xml:space="preserve"> time.  If the</w:t>
      </w:r>
      <w:r w:rsidRPr="00535B5A" w:rsidR="00480916">
        <w:rPr>
          <w:bCs/>
        </w:rPr>
        <w:t xml:space="preserve">re is such a </w:t>
      </w:r>
      <w:r w:rsidR="00353523">
        <w:rPr>
          <w:bCs/>
        </w:rPr>
        <w:t xml:space="preserve">showing </w:t>
      </w:r>
      <w:r w:rsidRPr="00535B5A" w:rsidR="00480916">
        <w:rPr>
          <w:bCs/>
        </w:rPr>
        <w:t>or</w:t>
      </w:r>
      <w:r w:rsidRPr="00535B5A" w:rsidR="00CE7900">
        <w:rPr>
          <w:bCs/>
        </w:rPr>
        <w:t xml:space="preserve"> </w:t>
      </w:r>
      <w:r w:rsidR="00353523">
        <w:rPr>
          <w:bCs/>
        </w:rPr>
        <w:t>waiver,</w:t>
      </w:r>
      <w:r w:rsidRPr="00535B5A" w:rsidR="00480916">
        <w:rPr>
          <w:bCs/>
        </w:rPr>
        <w:t xml:space="preserve"> the statute sets an outside date of 60 days </w:t>
      </w:r>
      <w:r w:rsidRPr="00535B5A" w:rsidR="00DA386B">
        <w:rPr>
          <w:bCs/>
        </w:rPr>
        <w:t xml:space="preserve">after the </w:t>
      </w:r>
      <w:r w:rsidRPr="00535B5A" w:rsidR="00480916">
        <w:rPr>
          <w:bCs/>
        </w:rPr>
        <w:t>arraignment or plea</w:t>
      </w:r>
      <w:r w:rsidRPr="00535B5A" w:rsidR="00CE7900">
        <w:rPr>
          <w:bCs/>
        </w:rPr>
        <w:t xml:space="preserve">.  That </w:t>
      </w:r>
      <w:r w:rsidRPr="00535B5A" w:rsidR="00DA386B">
        <w:rPr>
          <w:bCs/>
        </w:rPr>
        <w:t>period that</w:t>
      </w:r>
      <w:r w:rsidRPr="00535B5A" w:rsidR="00480916">
        <w:rPr>
          <w:bCs/>
        </w:rPr>
        <w:t xml:space="preserve"> can be extended </w:t>
      </w:r>
      <w:r w:rsidRPr="00535B5A" w:rsidR="007C6B94">
        <w:rPr>
          <w:bCs/>
        </w:rPr>
        <w:t xml:space="preserve">only </w:t>
      </w:r>
      <w:r w:rsidRPr="00535B5A" w:rsidR="00CE7900">
        <w:rPr>
          <w:bCs/>
        </w:rPr>
        <w:t xml:space="preserve">with </w:t>
      </w:r>
      <w:r w:rsidRPr="00535B5A" w:rsidR="00480916">
        <w:rPr>
          <w:bCs/>
        </w:rPr>
        <w:t xml:space="preserve">the defendant’s personal </w:t>
      </w:r>
      <w:r w:rsidR="00917C95">
        <w:rPr>
          <w:bCs/>
        </w:rPr>
        <w:t xml:space="preserve">consent. </w:t>
      </w:r>
      <w:r w:rsidRPr="00535B5A" w:rsidR="00480916">
        <w:rPr>
          <w:bCs/>
        </w:rPr>
        <w:t xml:space="preserve"> (§ 859b</w:t>
      </w:r>
      <w:r w:rsidR="00E700AD">
        <w:rPr>
          <w:bCs/>
        </w:rPr>
        <w:t>.</w:t>
      </w:r>
      <w:r w:rsidRPr="00535B5A" w:rsidR="00480916">
        <w:rPr>
          <w:bCs/>
        </w:rPr>
        <w:t xml:space="preserve">)  </w:t>
      </w:r>
      <w:r w:rsidRPr="00535B5A" w:rsidR="00746644">
        <w:rPr>
          <w:bCs/>
        </w:rPr>
        <w:t>The complaint is subject to dismissal if a preliminary hearing is not held within these statutory deadlines.  (</w:t>
      </w:r>
      <w:r w:rsidRPr="00535B5A" w:rsidR="00746644">
        <w:rPr>
          <w:bCs/>
          <w:i/>
          <w:iCs/>
        </w:rPr>
        <w:t>I</w:t>
      </w:r>
      <w:r w:rsidRPr="00535B5A" w:rsidR="00222E41">
        <w:rPr>
          <w:bCs/>
          <w:i/>
          <w:iCs/>
        </w:rPr>
        <w:t>bi</w:t>
      </w:r>
      <w:r w:rsidRPr="00535B5A" w:rsidR="00746644">
        <w:rPr>
          <w:bCs/>
          <w:i/>
          <w:iCs/>
        </w:rPr>
        <w:t>d</w:t>
      </w:r>
      <w:r w:rsidRPr="00535B5A" w:rsidR="00746644">
        <w:rPr>
          <w:bCs/>
        </w:rPr>
        <w:t xml:space="preserve">.; see </w:t>
      </w:r>
      <w:r w:rsidRPr="00535B5A" w:rsidR="00746644">
        <w:rPr>
          <w:bCs/>
          <w:i/>
          <w:iCs/>
        </w:rPr>
        <w:t>Henderson</w:t>
      </w:r>
      <w:r w:rsidRPr="00535B5A" w:rsidR="00746644">
        <w:rPr>
          <w:bCs/>
        </w:rPr>
        <w:t xml:space="preserve">, </w:t>
      </w:r>
      <w:r w:rsidRPr="00535B5A" w:rsidR="00746644">
        <w:rPr>
          <w:bCs/>
          <w:i/>
        </w:rPr>
        <w:t>supra</w:t>
      </w:r>
      <w:r w:rsidRPr="00535B5A" w:rsidR="00746644">
        <w:rPr>
          <w:bCs/>
        </w:rPr>
        <w:t>, 115 Cal.App.4th at pp. 930</w:t>
      </w:r>
      <w:r w:rsidRPr="00535B5A" w:rsidR="00C635F1">
        <w:t>–</w:t>
      </w:r>
      <w:r w:rsidRPr="00535B5A" w:rsidR="00746644">
        <w:rPr>
          <w:bCs/>
        </w:rPr>
        <w:t xml:space="preserve">931.)  </w:t>
      </w:r>
      <w:r w:rsidRPr="00535B5A" w:rsidR="00E723B8">
        <w:rPr>
          <w:bCs/>
        </w:rPr>
        <w:t>Henderson had waive</w:t>
      </w:r>
      <w:r w:rsidRPr="00535B5A" w:rsidR="00480916">
        <w:rPr>
          <w:bCs/>
        </w:rPr>
        <w:t>d the 10-day deadline</w:t>
      </w:r>
      <w:r w:rsidRPr="00535B5A" w:rsidR="00746644">
        <w:rPr>
          <w:bCs/>
        </w:rPr>
        <w:t>.</w:t>
      </w:r>
      <w:r w:rsidRPr="00535B5A" w:rsidR="00D6295C">
        <w:rPr>
          <w:bCs/>
        </w:rPr>
        <w:t xml:space="preserve">  (</w:t>
      </w:r>
      <w:r w:rsidRPr="00535B5A" w:rsidR="00D6295C">
        <w:rPr>
          <w:bCs/>
          <w:i/>
          <w:iCs/>
        </w:rPr>
        <w:t>Henderson</w:t>
      </w:r>
      <w:r w:rsidRPr="00535B5A" w:rsidR="00D6295C">
        <w:rPr>
          <w:bCs/>
        </w:rPr>
        <w:t>, at p. 928.)</w:t>
      </w:r>
      <w:r w:rsidRPr="00535B5A" w:rsidR="00746644">
        <w:rPr>
          <w:bCs/>
        </w:rPr>
        <w:t xml:space="preserve">  Thus</w:t>
      </w:r>
      <w:r w:rsidRPr="00535B5A" w:rsidR="00E723B8">
        <w:rPr>
          <w:bCs/>
        </w:rPr>
        <w:t xml:space="preserve">, a continuance was permissible under section 859b </w:t>
      </w:r>
      <w:r w:rsidRPr="00535B5A" w:rsidR="00E723B8">
        <w:rPr>
          <w:bCs/>
          <w:i/>
          <w:iCs/>
        </w:rPr>
        <w:t>without</w:t>
      </w:r>
      <w:r w:rsidRPr="00535B5A" w:rsidR="00E723B8">
        <w:rPr>
          <w:bCs/>
        </w:rPr>
        <w:t xml:space="preserve"> a showing of good cause so long as the </w:t>
      </w:r>
      <w:r w:rsidRPr="00535B5A" w:rsidR="00480916">
        <w:rPr>
          <w:bCs/>
        </w:rPr>
        <w:t>continued hearing date was within the 60-day</w:t>
      </w:r>
      <w:r w:rsidRPr="00535B5A" w:rsidR="00E723B8">
        <w:rPr>
          <w:bCs/>
        </w:rPr>
        <w:t xml:space="preserve"> </w:t>
      </w:r>
      <w:r w:rsidRPr="00535B5A" w:rsidR="00480916">
        <w:rPr>
          <w:bCs/>
        </w:rPr>
        <w:t xml:space="preserve">window. </w:t>
      </w:r>
      <w:r w:rsidRPr="00535B5A" w:rsidR="00E723B8">
        <w:rPr>
          <w:bCs/>
        </w:rPr>
        <w:t xml:space="preserve"> </w:t>
      </w:r>
      <w:r w:rsidRPr="00535B5A" w:rsidR="00480916">
        <w:rPr>
          <w:bCs/>
        </w:rPr>
        <w:t>(</w:t>
      </w:r>
      <w:r w:rsidRPr="00535B5A" w:rsidR="00746644">
        <w:rPr>
          <w:bCs/>
          <w:i/>
          <w:iCs/>
        </w:rPr>
        <w:t>Henderson</w:t>
      </w:r>
      <w:r w:rsidRPr="00535B5A" w:rsidR="00746644">
        <w:rPr>
          <w:bCs/>
        </w:rPr>
        <w:t>, at pp. 931</w:t>
      </w:r>
      <w:r w:rsidRPr="00535B5A" w:rsidR="00C635F1">
        <w:t>–</w:t>
      </w:r>
      <w:r w:rsidRPr="00535B5A" w:rsidR="00746644">
        <w:rPr>
          <w:bCs/>
        </w:rPr>
        <w:t>932.)</w:t>
      </w:r>
    </w:p>
    <w:p w:rsidR="00A674BA" w:rsidRPr="00535B5A" w:rsidP="00535B5A" w14:paraId="50EECC6D" w14:textId="38B6242D">
      <w:pPr>
        <w:rPr>
          <w:bCs/>
        </w:rPr>
      </w:pPr>
      <w:r w:rsidRPr="00535B5A">
        <w:rPr>
          <w:bCs/>
        </w:rPr>
        <w:tab/>
      </w:r>
      <w:r w:rsidRPr="00535B5A">
        <w:rPr>
          <w:bCs/>
        </w:rPr>
        <w:t>Next, t</w:t>
      </w:r>
      <w:r w:rsidRPr="00535B5A">
        <w:rPr>
          <w:bCs/>
        </w:rPr>
        <w:t xml:space="preserve">he court considered whether </w:t>
      </w:r>
      <w:r w:rsidRPr="00535B5A" w:rsidR="002D6430">
        <w:rPr>
          <w:bCs/>
        </w:rPr>
        <w:t xml:space="preserve">any other statute authorized </w:t>
      </w:r>
      <w:r w:rsidRPr="00535B5A">
        <w:rPr>
          <w:bCs/>
        </w:rPr>
        <w:t>dismiss</w:t>
      </w:r>
      <w:r w:rsidRPr="00535B5A" w:rsidR="002D6430">
        <w:rPr>
          <w:bCs/>
        </w:rPr>
        <w:t>al</w:t>
      </w:r>
      <w:r w:rsidRPr="00535B5A" w:rsidR="00CE7900">
        <w:rPr>
          <w:bCs/>
        </w:rPr>
        <w:t xml:space="preserve">. </w:t>
      </w:r>
      <w:r w:rsidRPr="00535B5A" w:rsidR="00706DA0">
        <w:rPr>
          <w:bCs/>
        </w:rPr>
        <w:t xml:space="preserve"> Although section 1050 </w:t>
      </w:r>
      <w:r w:rsidR="00917C95">
        <w:rPr>
          <w:bCs/>
        </w:rPr>
        <w:t>sets out procedural requirements</w:t>
      </w:r>
      <w:r w:rsidR="000955EF">
        <w:rPr>
          <w:bCs/>
        </w:rPr>
        <w:t xml:space="preserve"> </w:t>
      </w:r>
      <w:r w:rsidR="00C151BD">
        <w:rPr>
          <w:bCs/>
        </w:rPr>
        <w:t xml:space="preserve">and </w:t>
      </w:r>
      <w:r w:rsidRPr="00535B5A" w:rsidR="00706DA0">
        <w:rPr>
          <w:bCs/>
        </w:rPr>
        <w:t xml:space="preserve">section 1050.5 permits sanctions </w:t>
      </w:r>
      <w:r w:rsidRPr="00535B5A" w:rsidR="00CE7900">
        <w:rPr>
          <w:bCs/>
        </w:rPr>
        <w:t xml:space="preserve">for non-compliance, </w:t>
      </w:r>
      <w:r w:rsidRPr="00535B5A" w:rsidR="00706DA0">
        <w:rPr>
          <w:bCs/>
        </w:rPr>
        <w:t>neither statute authorizes dismissal of the case when a continuance is denied.  (</w:t>
      </w:r>
      <w:r w:rsidRPr="00535B5A" w:rsidR="00706DA0">
        <w:rPr>
          <w:bCs/>
          <w:i/>
          <w:iCs/>
        </w:rPr>
        <w:t>Henderson</w:t>
      </w:r>
      <w:r w:rsidRPr="00535B5A" w:rsidR="00706DA0">
        <w:rPr>
          <w:bCs/>
        </w:rPr>
        <w:t xml:space="preserve">, </w:t>
      </w:r>
      <w:r w:rsidRPr="00535B5A" w:rsidR="00706DA0">
        <w:rPr>
          <w:bCs/>
          <w:i/>
        </w:rPr>
        <w:t>supra</w:t>
      </w:r>
      <w:r w:rsidRPr="00535B5A" w:rsidR="00706DA0">
        <w:rPr>
          <w:bCs/>
        </w:rPr>
        <w:t xml:space="preserve">, 115 Cal.App.4th at p. 934.)  </w:t>
      </w:r>
      <w:r w:rsidRPr="00535B5A" w:rsidR="004F69D2">
        <w:rPr>
          <w:bCs/>
        </w:rPr>
        <w:t>Th</w:t>
      </w:r>
      <w:r w:rsidRPr="00535B5A" w:rsidR="00706DA0">
        <w:rPr>
          <w:bCs/>
        </w:rPr>
        <w:t>e court</w:t>
      </w:r>
      <w:r w:rsidRPr="00535B5A" w:rsidR="004F69D2">
        <w:rPr>
          <w:bCs/>
        </w:rPr>
        <w:t xml:space="preserve"> discussed</w:t>
      </w:r>
      <w:r w:rsidRPr="00535B5A" w:rsidR="00706DA0">
        <w:rPr>
          <w:bCs/>
        </w:rPr>
        <w:t xml:space="preserve"> Assembly Bill No. 1273’s amendments prohibit</w:t>
      </w:r>
      <w:r w:rsidRPr="00535B5A" w:rsidR="004F69D2">
        <w:rPr>
          <w:bCs/>
        </w:rPr>
        <w:t>ing</w:t>
      </w:r>
      <w:r w:rsidRPr="00535B5A" w:rsidR="00706DA0">
        <w:rPr>
          <w:bCs/>
        </w:rPr>
        <w:t xml:space="preserve"> dismissal</w:t>
      </w:r>
      <w:r w:rsidRPr="00535B5A" w:rsidR="00310210">
        <w:rPr>
          <w:bCs/>
        </w:rPr>
        <w:t xml:space="preserve"> as a sanction</w:t>
      </w:r>
      <w:r w:rsidRPr="00535B5A" w:rsidR="004F69D2">
        <w:rPr>
          <w:bCs/>
        </w:rPr>
        <w:t xml:space="preserve"> for failure to </w:t>
      </w:r>
      <w:r w:rsidR="00E12362">
        <w:rPr>
          <w:bCs/>
        </w:rPr>
        <w:t xml:space="preserve">comply with </w:t>
      </w:r>
      <w:r w:rsidRPr="00535B5A" w:rsidR="004F69D2">
        <w:rPr>
          <w:bCs/>
        </w:rPr>
        <w:t>the continuance statute</w:t>
      </w:r>
      <w:r w:rsidR="009D5851">
        <w:rPr>
          <w:bCs/>
        </w:rPr>
        <w:t>’s procedural requirements</w:t>
      </w:r>
      <w:r w:rsidRPr="00535B5A" w:rsidR="004F69D2">
        <w:rPr>
          <w:bCs/>
        </w:rPr>
        <w:t xml:space="preserve"> and concluded “dismissal is a disfavored and possibly unauthorized remedy” under the circumstances presented</w:t>
      </w:r>
      <w:r w:rsidRPr="00535B5A" w:rsidR="00364069">
        <w:rPr>
          <w:bCs/>
        </w:rPr>
        <w:t>.  (</w:t>
      </w:r>
      <w:r w:rsidRPr="00535B5A" w:rsidR="00364069">
        <w:rPr>
          <w:bCs/>
          <w:i/>
          <w:iCs/>
        </w:rPr>
        <w:t>Henderson</w:t>
      </w:r>
      <w:r w:rsidRPr="00535B5A" w:rsidR="00364069">
        <w:rPr>
          <w:bCs/>
        </w:rPr>
        <w:t>, at p. 93</w:t>
      </w:r>
      <w:r w:rsidR="000B351E">
        <w:rPr>
          <w:bCs/>
        </w:rPr>
        <w:t>6</w:t>
      </w:r>
      <w:r w:rsidRPr="00535B5A" w:rsidR="00364069">
        <w:rPr>
          <w:bCs/>
        </w:rPr>
        <w:t>.)</w:t>
      </w:r>
    </w:p>
    <w:p w:rsidR="009519D5" w:rsidRPr="00535B5A" w:rsidP="00535B5A" w14:paraId="19B17BC1" w14:textId="19749132">
      <w:pPr>
        <w:rPr>
          <w:bCs/>
        </w:rPr>
      </w:pPr>
      <w:r w:rsidRPr="00535B5A">
        <w:rPr>
          <w:bCs/>
        </w:rPr>
        <w:tab/>
      </w:r>
      <w:r w:rsidRPr="00535B5A" w:rsidR="00310210">
        <w:rPr>
          <w:bCs/>
        </w:rPr>
        <w:t xml:space="preserve">Nor </w:t>
      </w:r>
      <w:r w:rsidRPr="00535B5A" w:rsidR="00B34E26">
        <w:rPr>
          <w:bCs/>
        </w:rPr>
        <w:t>wa</w:t>
      </w:r>
      <w:r w:rsidRPr="00535B5A" w:rsidR="00310210">
        <w:rPr>
          <w:bCs/>
        </w:rPr>
        <w:t xml:space="preserve">s dismissal appropriate under section 1385. </w:t>
      </w:r>
      <w:r w:rsidRPr="00535B5A" w:rsidR="00B34E26">
        <w:rPr>
          <w:bCs/>
        </w:rPr>
        <w:t xml:space="preserve"> </w:t>
      </w:r>
      <w:r w:rsidRPr="00535B5A" w:rsidR="00B34E26">
        <w:rPr>
          <w:bCs/>
          <w:i/>
          <w:iCs/>
        </w:rPr>
        <w:t>Henderson</w:t>
      </w:r>
      <w:r w:rsidR="00F420F9">
        <w:rPr>
          <w:bCs/>
        </w:rPr>
        <w:t xml:space="preserve"> </w:t>
      </w:r>
      <w:r w:rsidRPr="00535B5A" w:rsidR="00310210">
        <w:rPr>
          <w:bCs/>
        </w:rPr>
        <w:t>observed that several decisions</w:t>
      </w:r>
      <w:r w:rsidRPr="00535B5A" w:rsidR="001F01F9">
        <w:rPr>
          <w:bCs/>
        </w:rPr>
        <w:t xml:space="preserve">, </w:t>
      </w:r>
      <w:r w:rsidRPr="00535B5A" w:rsidR="00A75101">
        <w:rPr>
          <w:bCs/>
        </w:rPr>
        <w:t xml:space="preserve">including </w:t>
      </w:r>
      <w:r w:rsidRPr="00535B5A" w:rsidR="001F01F9">
        <w:rPr>
          <w:bCs/>
          <w:i/>
          <w:iCs/>
        </w:rPr>
        <w:t>Ferguson</w:t>
      </w:r>
      <w:r w:rsidRPr="00535B5A" w:rsidR="001F01F9">
        <w:rPr>
          <w:bCs/>
        </w:rPr>
        <w:t>,</w:t>
      </w:r>
      <w:r w:rsidRPr="00535B5A" w:rsidR="00310210">
        <w:rPr>
          <w:bCs/>
        </w:rPr>
        <w:t xml:space="preserve"> had “rejected the application</w:t>
      </w:r>
      <w:r w:rsidRPr="00535B5A" w:rsidR="001F01F9">
        <w:rPr>
          <w:bCs/>
        </w:rPr>
        <w:t xml:space="preserve"> of section 1385 to dismiss cases before trial after a failed request for a continuance made within the statutory period.”  (</w:t>
      </w:r>
      <w:r w:rsidRPr="00535B5A" w:rsidR="001F01F9">
        <w:rPr>
          <w:bCs/>
          <w:i/>
          <w:iCs/>
        </w:rPr>
        <w:t>Henderson</w:t>
      </w:r>
      <w:r w:rsidRPr="00535B5A" w:rsidR="001F01F9">
        <w:rPr>
          <w:bCs/>
        </w:rPr>
        <w:t>,</w:t>
      </w:r>
      <w:r w:rsidR="004939F8">
        <w:rPr>
          <w:bCs/>
        </w:rPr>
        <w:t xml:space="preserve"> </w:t>
      </w:r>
      <w:r w:rsidRPr="004939F8" w:rsidR="004939F8">
        <w:rPr>
          <w:bCs/>
          <w:i/>
          <w:iCs/>
        </w:rPr>
        <w:t>supra</w:t>
      </w:r>
      <w:r w:rsidR="004939F8">
        <w:rPr>
          <w:bCs/>
        </w:rPr>
        <w:t>, 115 Cal.App.4th</w:t>
      </w:r>
      <w:r w:rsidRPr="00535B5A" w:rsidR="001F01F9">
        <w:rPr>
          <w:bCs/>
        </w:rPr>
        <w:t xml:space="preserve"> at p. 936.) </w:t>
      </w:r>
      <w:r w:rsidR="00F4383D">
        <w:rPr>
          <w:bCs/>
        </w:rPr>
        <w:t xml:space="preserve"> The</w:t>
      </w:r>
      <w:r w:rsidRPr="00535B5A" w:rsidR="001F01F9">
        <w:rPr>
          <w:bCs/>
        </w:rPr>
        <w:t xml:space="preserve"> court </w:t>
      </w:r>
      <w:r w:rsidRPr="00535B5A" w:rsidR="00B34E26">
        <w:rPr>
          <w:bCs/>
        </w:rPr>
        <w:t>concluded</w:t>
      </w:r>
      <w:r w:rsidRPr="00535B5A" w:rsidR="001F01F9">
        <w:rPr>
          <w:bCs/>
        </w:rPr>
        <w:t xml:space="preserve"> “the same analysis applies to section 859b”</w:t>
      </w:r>
      <w:r w:rsidRPr="00535B5A" w:rsidR="0093525F">
        <w:rPr>
          <w:bCs/>
        </w:rPr>
        <w:t xml:space="preserve"> and preliminary hearing continuances.</w:t>
      </w:r>
      <w:r w:rsidRPr="00535B5A" w:rsidR="001F01F9">
        <w:rPr>
          <w:bCs/>
        </w:rPr>
        <w:t xml:space="preserve">  (</w:t>
      </w:r>
      <w:r w:rsidRPr="00535B5A" w:rsidR="001F01F9">
        <w:rPr>
          <w:bCs/>
          <w:i/>
          <w:iCs/>
        </w:rPr>
        <w:t>Henderson</w:t>
      </w:r>
      <w:r w:rsidRPr="00535B5A" w:rsidR="001F01F9">
        <w:rPr>
          <w:bCs/>
        </w:rPr>
        <w:t>, at p. 936.)  “[B]oth section</w:t>
      </w:r>
      <w:r w:rsidRPr="00535B5A" w:rsidR="008636D9">
        <w:rPr>
          <w:bCs/>
        </w:rPr>
        <w:t>s</w:t>
      </w:r>
      <w:r w:rsidRPr="00535B5A" w:rsidR="001F01F9">
        <w:rPr>
          <w:bCs/>
        </w:rPr>
        <w:t> 1382 and 859b establish statutory limits to safeguard a defendant’s constitutional right to a speedy trial</w:t>
      </w:r>
      <w:r w:rsidRPr="00535B5A" w:rsidR="00EA20B8">
        <w:rPr>
          <w:bCs/>
        </w:rPr>
        <w:t>,</w:t>
      </w:r>
      <w:r w:rsidRPr="00535B5A" w:rsidR="001F01F9">
        <w:rPr>
          <w:bCs/>
        </w:rPr>
        <w:t xml:space="preserve">” yet neither statute authorizes dismissal when </w:t>
      </w:r>
      <w:r w:rsidRPr="00535B5A" w:rsidR="00BD5C13">
        <w:rPr>
          <w:bCs/>
        </w:rPr>
        <w:t>its</w:t>
      </w:r>
      <w:r w:rsidRPr="00535B5A" w:rsidR="00B34E26">
        <w:rPr>
          <w:bCs/>
        </w:rPr>
        <w:t xml:space="preserve"> prescribed</w:t>
      </w:r>
      <w:r w:rsidRPr="00535B5A" w:rsidR="001F01F9">
        <w:rPr>
          <w:bCs/>
        </w:rPr>
        <w:t xml:space="preserve"> time period ha</w:t>
      </w:r>
      <w:r w:rsidRPr="00535B5A" w:rsidR="00BD5C13">
        <w:rPr>
          <w:bCs/>
        </w:rPr>
        <w:t>s</w:t>
      </w:r>
      <w:r w:rsidRPr="00535B5A" w:rsidR="001F01F9">
        <w:rPr>
          <w:bCs/>
        </w:rPr>
        <w:t xml:space="preserve"> not expired.</w:t>
      </w:r>
      <w:r w:rsidRPr="00535B5A" w:rsidR="00EA20B8">
        <w:rPr>
          <w:bCs/>
        </w:rPr>
        <w:t xml:space="preserve">  (</w:t>
      </w:r>
      <w:r w:rsidRPr="00535B5A" w:rsidR="00EA20B8">
        <w:rPr>
          <w:bCs/>
          <w:i/>
          <w:iCs/>
        </w:rPr>
        <w:t>Id</w:t>
      </w:r>
      <w:r w:rsidRPr="00535B5A" w:rsidR="00EA20B8">
        <w:rPr>
          <w:bCs/>
        </w:rPr>
        <w:t>. at p. 939.)</w:t>
      </w:r>
      <w:r w:rsidRPr="00535B5A" w:rsidR="00B34E26">
        <w:rPr>
          <w:bCs/>
        </w:rPr>
        <w:t xml:space="preserve">  </w:t>
      </w:r>
      <w:r w:rsidRPr="00535B5A" w:rsidR="00BD4E1E">
        <w:rPr>
          <w:bCs/>
          <w:i/>
          <w:iCs/>
        </w:rPr>
        <w:t>Henderson</w:t>
      </w:r>
      <w:r w:rsidRPr="00535B5A" w:rsidR="00BD4E1E">
        <w:rPr>
          <w:bCs/>
        </w:rPr>
        <w:t xml:space="preserve"> declined </w:t>
      </w:r>
      <w:r w:rsidRPr="00535B5A" w:rsidR="00B34E26">
        <w:rPr>
          <w:bCs/>
        </w:rPr>
        <w:t xml:space="preserve">to </w:t>
      </w:r>
      <w:r w:rsidRPr="00535B5A" w:rsidR="0093525F">
        <w:rPr>
          <w:bCs/>
        </w:rPr>
        <w:t>confine</w:t>
      </w:r>
      <w:r w:rsidRPr="00535B5A" w:rsidR="00B34E26">
        <w:rPr>
          <w:bCs/>
        </w:rPr>
        <w:t xml:space="preserve"> the </w:t>
      </w:r>
      <w:r w:rsidRPr="00535B5A" w:rsidR="00B34E26">
        <w:rPr>
          <w:bCs/>
          <w:i/>
          <w:iCs/>
        </w:rPr>
        <w:t>Ferguson</w:t>
      </w:r>
      <w:r w:rsidRPr="00535B5A" w:rsidR="00B34E26">
        <w:rPr>
          <w:bCs/>
        </w:rPr>
        <w:t xml:space="preserve"> line of cases to the trial context</w:t>
      </w:r>
      <w:r w:rsidRPr="00535B5A" w:rsidR="00BD4E1E">
        <w:rPr>
          <w:bCs/>
        </w:rPr>
        <w:t xml:space="preserve">.  It </w:t>
      </w:r>
      <w:r w:rsidRPr="00535B5A" w:rsidR="0093525F">
        <w:rPr>
          <w:bCs/>
        </w:rPr>
        <w:t>held</w:t>
      </w:r>
      <w:r w:rsidRPr="00535B5A" w:rsidR="00B34E26">
        <w:rPr>
          <w:bCs/>
        </w:rPr>
        <w:t xml:space="preserve"> “the trial court has no authority to dismiss an action, even when the People have failed to show good cause for a continuance under section 1050, so long as the requested date for the preliminary hearing is within the statutory time limit established in section 859b.”  (</w:t>
      </w:r>
      <w:r w:rsidRPr="00535B5A" w:rsidR="008636D9">
        <w:rPr>
          <w:bCs/>
          <w:i/>
          <w:iCs/>
        </w:rPr>
        <w:t>Ibid</w:t>
      </w:r>
      <w:r w:rsidRPr="00535B5A" w:rsidR="00B34E26">
        <w:rPr>
          <w:bCs/>
        </w:rPr>
        <w:t>.)</w:t>
      </w:r>
      <w:r w:rsidRPr="00535B5A" w:rsidR="006024D2">
        <w:rPr>
          <w:bCs/>
        </w:rPr>
        <w:t xml:space="preserve">  The court stressed that lesser sanctions </w:t>
      </w:r>
      <w:r w:rsidRPr="00535B5A" w:rsidR="00873615">
        <w:rPr>
          <w:bCs/>
        </w:rPr>
        <w:t>a</w:t>
      </w:r>
      <w:r w:rsidRPr="00535B5A" w:rsidR="006024D2">
        <w:rPr>
          <w:bCs/>
        </w:rPr>
        <w:t xml:space="preserve">re available to punish </w:t>
      </w:r>
      <w:r w:rsidRPr="00535B5A" w:rsidR="00873615">
        <w:rPr>
          <w:bCs/>
        </w:rPr>
        <w:t>belated</w:t>
      </w:r>
      <w:r w:rsidRPr="00535B5A" w:rsidR="006024D2">
        <w:rPr>
          <w:bCs/>
        </w:rPr>
        <w:t xml:space="preserve"> continuance requests</w:t>
      </w:r>
      <w:r w:rsidRPr="00535B5A" w:rsidR="00873615">
        <w:rPr>
          <w:bCs/>
        </w:rPr>
        <w:t xml:space="preserve">, and trial courts </w:t>
      </w:r>
      <w:r w:rsidRPr="00535B5A" w:rsidR="00122AC1">
        <w:rPr>
          <w:bCs/>
        </w:rPr>
        <w:t>need not reschedule the</w:t>
      </w:r>
      <w:r w:rsidRPr="00535B5A" w:rsidR="00873615">
        <w:rPr>
          <w:bCs/>
        </w:rPr>
        <w:t xml:space="preserve"> hearing</w:t>
      </w:r>
      <w:r w:rsidRPr="00535B5A" w:rsidR="00122AC1">
        <w:rPr>
          <w:bCs/>
        </w:rPr>
        <w:t xml:space="preserve"> to the prosecutor’s preferred</w:t>
      </w:r>
      <w:r w:rsidRPr="00535B5A" w:rsidR="00873615">
        <w:rPr>
          <w:bCs/>
        </w:rPr>
        <w:t xml:space="preserve"> date</w:t>
      </w:r>
      <w:r w:rsidRPr="00535B5A" w:rsidR="00122AC1">
        <w:rPr>
          <w:bCs/>
        </w:rPr>
        <w:t>.  (</w:t>
      </w:r>
      <w:r w:rsidRPr="00535B5A" w:rsidR="00122AC1">
        <w:rPr>
          <w:bCs/>
          <w:i/>
          <w:iCs/>
        </w:rPr>
        <w:t>Henderson</w:t>
      </w:r>
      <w:r w:rsidRPr="00535B5A" w:rsidR="00122AC1">
        <w:rPr>
          <w:bCs/>
        </w:rPr>
        <w:t>, at pp. 939</w:t>
      </w:r>
      <w:r w:rsidRPr="00535B5A" w:rsidR="00C635F1">
        <w:t>–</w:t>
      </w:r>
      <w:r w:rsidRPr="00535B5A" w:rsidR="00122AC1">
        <w:rPr>
          <w:bCs/>
        </w:rPr>
        <w:t>940.)  But</w:t>
      </w:r>
      <w:r w:rsidRPr="00535B5A" w:rsidR="00E66E60">
        <w:rPr>
          <w:bCs/>
        </w:rPr>
        <w:t>,</w:t>
      </w:r>
      <w:r w:rsidRPr="00535B5A" w:rsidR="00873615">
        <w:rPr>
          <w:bCs/>
        </w:rPr>
        <w:t xml:space="preserve"> so long as</w:t>
      </w:r>
      <w:r w:rsidRPr="00535B5A" w:rsidR="00122AC1">
        <w:rPr>
          <w:bCs/>
        </w:rPr>
        <w:t xml:space="preserve"> the continuance is “</w:t>
      </w:r>
      <w:r w:rsidRPr="00535B5A" w:rsidR="008636D9">
        <w:rPr>
          <w:bCs/>
        </w:rPr>
        <w:t> ‘</w:t>
      </w:r>
      <w:r w:rsidRPr="00535B5A" w:rsidR="00122AC1">
        <w:rPr>
          <w:bCs/>
        </w:rPr>
        <w:t>not sought arbitrarily or for an unlimited period,</w:t>
      </w:r>
      <w:r w:rsidRPr="00535B5A" w:rsidR="008636D9">
        <w:rPr>
          <w:bCs/>
        </w:rPr>
        <w:t>’ </w:t>
      </w:r>
      <w:r w:rsidRPr="00535B5A" w:rsidR="00122AC1">
        <w:rPr>
          <w:bCs/>
        </w:rPr>
        <w:t>”</w:t>
      </w:r>
      <w:r w:rsidRPr="00535B5A" w:rsidR="00E27FA2">
        <w:rPr>
          <w:bCs/>
        </w:rPr>
        <w:t xml:space="preserve"> </w:t>
      </w:r>
      <w:r w:rsidRPr="00535B5A" w:rsidR="00E27FA2">
        <w:rPr>
          <w:bCs/>
          <w:i/>
          <w:iCs/>
        </w:rPr>
        <w:t>it must be granted</w:t>
      </w:r>
      <w:r w:rsidRPr="00535B5A" w:rsidR="00E27FA2">
        <w:rPr>
          <w:bCs/>
        </w:rPr>
        <w:t xml:space="preserve"> if the alternative is dismissal, since a dismissal under these circumstances would not be “in the furtherance of justice within the meaning of</w:t>
      </w:r>
      <w:r w:rsidR="00F420F9">
        <w:rPr>
          <w:bCs/>
        </w:rPr>
        <w:t xml:space="preserve"> </w:t>
      </w:r>
      <w:r w:rsidRPr="00535B5A" w:rsidR="00E27FA2">
        <w:rPr>
          <w:bCs/>
        </w:rPr>
        <w:t>section 1385.”</w:t>
      </w:r>
      <w:r w:rsidRPr="00535B5A" w:rsidR="00E66E60">
        <w:rPr>
          <w:bCs/>
        </w:rPr>
        <w:t xml:space="preserve">  </w:t>
      </w:r>
      <w:r w:rsidRPr="00535B5A" w:rsidR="00E27FA2">
        <w:rPr>
          <w:bCs/>
        </w:rPr>
        <w:t>(</w:t>
      </w:r>
      <w:r w:rsidRPr="00535B5A" w:rsidR="00E27FA2">
        <w:rPr>
          <w:bCs/>
          <w:i/>
          <w:iCs/>
        </w:rPr>
        <w:t>Henderson</w:t>
      </w:r>
      <w:r w:rsidRPr="00535B5A" w:rsidR="00E27FA2">
        <w:rPr>
          <w:bCs/>
        </w:rPr>
        <w:t>, at p. 941.)</w:t>
      </w:r>
    </w:p>
    <w:p w:rsidR="00181F37" w:rsidRPr="00535B5A" w:rsidP="00535B5A" w14:paraId="0974AE77" w14:textId="5447CAD1">
      <w:pPr>
        <w:keepNext/>
        <w:rPr>
          <w:bCs/>
          <w:i/>
          <w:iCs/>
        </w:rPr>
      </w:pPr>
      <w:r w:rsidRPr="00535B5A">
        <w:rPr>
          <w:bCs/>
        </w:rPr>
        <w:tab/>
        <w:t>2</w:t>
      </w:r>
      <w:r w:rsidRPr="00535B5A">
        <w:rPr>
          <w:bCs/>
        </w:rPr>
        <w:t>.</w:t>
      </w:r>
      <w:r w:rsidRPr="00535B5A">
        <w:rPr>
          <w:bCs/>
        </w:rPr>
        <w:tab/>
      </w:r>
      <w:r w:rsidRPr="00535B5A">
        <w:rPr>
          <w:bCs/>
          <w:i/>
          <w:iCs/>
        </w:rPr>
        <w:t>Suppression Hearings</w:t>
      </w:r>
    </w:p>
    <w:p w:rsidR="00181F37" w:rsidRPr="00535B5A" w:rsidP="00535B5A" w14:paraId="6FA0DE15" w14:textId="717F6286">
      <w:pPr>
        <w:rPr>
          <w:bCs/>
        </w:rPr>
      </w:pPr>
      <w:r w:rsidRPr="00535B5A">
        <w:rPr>
          <w:bCs/>
        </w:rPr>
        <w:tab/>
        <w:t xml:space="preserve">The </w:t>
      </w:r>
      <w:r w:rsidRPr="00535B5A">
        <w:rPr>
          <w:bCs/>
          <w:i/>
          <w:iCs/>
        </w:rPr>
        <w:t>Ferrer</w:t>
      </w:r>
      <w:r w:rsidRPr="00535B5A">
        <w:rPr>
          <w:bCs/>
        </w:rPr>
        <w:t xml:space="preserve"> decision was the first to consider</w:t>
      </w:r>
      <w:r w:rsidRPr="00535B5A" w:rsidR="00CE7900">
        <w:rPr>
          <w:bCs/>
        </w:rPr>
        <w:t xml:space="preserve"> </w:t>
      </w:r>
      <w:r w:rsidR="003E4EB0">
        <w:rPr>
          <w:bCs/>
        </w:rPr>
        <w:t xml:space="preserve">these questions </w:t>
      </w:r>
      <w:r w:rsidRPr="00535B5A" w:rsidR="00CE7900">
        <w:rPr>
          <w:bCs/>
        </w:rPr>
        <w:t xml:space="preserve">in the suppression hearing context.  </w:t>
      </w:r>
      <w:r w:rsidRPr="00535B5A" w:rsidR="002710C8">
        <w:rPr>
          <w:bCs/>
        </w:rPr>
        <w:t>After Ferrer was held to answer</w:t>
      </w:r>
      <w:r w:rsidRPr="00535B5A" w:rsidR="00CE7900">
        <w:rPr>
          <w:bCs/>
        </w:rPr>
        <w:t xml:space="preserve">, </w:t>
      </w:r>
      <w:r w:rsidRPr="00535B5A" w:rsidR="002710C8">
        <w:rPr>
          <w:bCs/>
        </w:rPr>
        <w:t xml:space="preserve">he moved to suppress </w:t>
      </w:r>
      <w:r w:rsidR="004E0D53">
        <w:rPr>
          <w:bCs/>
        </w:rPr>
        <w:t xml:space="preserve">statements made and </w:t>
      </w:r>
      <w:r w:rsidRPr="00535B5A" w:rsidR="002710C8">
        <w:rPr>
          <w:bCs/>
        </w:rPr>
        <w:t xml:space="preserve">evidence seized </w:t>
      </w:r>
      <w:r w:rsidRPr="00535B5A" w:rsidR="006974F2">
        <w:rPr>
          <w:bCs/>
        </w:rPr>
        <w:t>during a warrantless detention and search</w:t>
      </w:r>
      <w:r w:rsidRPr="00535B5A" w:rsidR="002710C8">
        <w:rPr>
          <w:bCs/>
        </w:rPr>
        <w:t>.  (</w:t>
      </w:r>
      <w:r w:rsidRPr="00535B5A" w:rsidR="002710C8">
        <w:rPr>
          <w:bCs/>
          <w:i/>
          <w:iCs/>
        </w:rPr>
        <w:t>Ferrer</w:t>
      </w:r>
      <w:r w:rsidRPr="00535B5A" w:rsidR="002710C8">
        <w:rPr>
          <w:bCs/>
        </w:rPr>
        <w:t xml:space="preserve">, </w:t>
      </w:r>
      <w:r w:rsidRPr="00535B5A" w:rsidR="002710C8">
        <w:rPr>
          <w:bCs/>
          <w:i/>
        </w:rPr>
        <w:t>supra</w:t>
      </w:r>
      <w:r w:rsidRPr="00535B5A" w:rsidR="002710C8">
        <w:rPr>
          <w:bCs/>
        </w:rPr>
        <w:t>, 184 Cal.App.4th at pp. 877</w:t>
      </w:r>
      <w:r w:rsidRPr="00535B5A" w:rsidR="00C635F1">
        <w:t>–</w:t>
      </w:r>
      <w:r w:rsidRPr="00535B5A" w:rsidR="002710C8">
        <w:rPr>
          <w:bCs/>
        </w:rPr>
        <w:t>878.)</w:t>
      </w:r>
      <w:r w:rsidRPr="00535B5A" w:rsidR="006974F2">
        <w:rPr>
          <w:bCs/>
        </w:rPr>
        <w:t xml:space="preserve"> </w:t>
      </w:r>
      <w:r w:rsidRPr="00535B5A" w:rsidR="002710C8">
        <w:rPr>
          <w:bCs/>
        </w:rPr>
        <w:t xml:space="preserve"> </w:t>
      </w:r>
      <w:r w:rsidRPr="00535B5A" w:rsidR="006974F2">
        <w:rPr>
          <w:bCs/>
        </w:rPr>
        <w:t>T</w:t>
      </w:r>
      <w:r w:rsidRPr="00535B5A" w:rsidR="002710C8">
        <w:rPr>
          <w:bCs/>
        </w:rPr>
        <w:t xml:space="preserve">he prosecutor appeared </w:t>
      </w:r>
      <w:r w:rsidRPr="00535B5A" w:rsidR="006974F2">
        <w:rPr>
          <w:bCs/>
        </w:rPr>
        <w:t xml:space="preserve">at the suppression hearing </w:t>
      </w:r>
      <w:r w:rsidRPr="00535B5A" w:rsidR="002710C8">
        <w:rPr>
          <w:bCs/>
        </w:rPr>
        <w:t>but requested a continuance, explaining “she had not subpoenaed her witnesses due to a ‘mix up.’ ”  (</w:t>
      </w:r>
      <w:r w:rsidRPr="00535B5A" w:rsidR="002710C8">
        <w:rPr>
          <w:bCs/>
          <w:i/>
          <w:iCs/>
        </w:rPr>
        <w:t>Id</w:t>
      </w:r>
      <w:r w:rsidRPr="00535B5A" w:rsidR="002710C8">
        <w:rPr>
          <w:bCs/>
        </w:rPr>
        <w:t>. at p. 878.)  The court denied the continuance and</w:t>
      </w:r>
      <w:r w:rsidRPr="00535B5A" w:rsidR="00001CD4">
        <w:rPr>
          <w:bCs/>
        </w:rPr>
        <w:t xml:space="preserve"> then</w:t>
      </w:r>
      <w:r w:rsidRPr="00535B5A" w:rsidR="002710C8">
        <w:rPr>
          <w:bCs/>
        </w:rPr>
        <w:t xml:space="preserve"> granted the </w:t>
      </w:r>
      <w:r w:rsidRPr="00535B5A" w:rsidR="00365793">
        <w:rPr>
          <w:bCs/>
        </w:rPr>
        <w:t xml:space="preserve">suppression </w:t>
      </w:r>
      <w:r w:rsidRPr="00535B5A" w:rsidR="002710C8">
        <w:rPr>
          <w:bCs/>
        </w:rPr>
        <w:t>motion</w:t>
      </w:r>
      <w:r w:rsidRPr="00535B5A" w:rsidR="006974F2">
        <w:rPr>
          <w:bCs/>
        </w:rPr>
        <w:t xml:space="preserve"> </w:t>
      </w:r>
      <w:r w:rsidR="002B3581">
        <w:rPr>
          <w:bCs/>
        </w:rPr>
        <w:t>because</w:t>
      </w:r>
      <w:r w:rsidR="00B01C0D">
        <w:rPr>
          <w:bCs/>
        </w:rPr>
        <w:t>,</w:t>
      </w:r>
      <w:r w:rsidR="00F420F9">
        <w:rPr>
          <w:bCs/>
        </w:rPr>
        <w:t xml:space="preserve"> </w:t>
      </w:r>
      <w:r w:rsidR="00B01C0D">
        <w:rPr>
          <w:bCs/>
        </w:rPr>
        <w:t xml:space="preserve">due to the witness’s absence, </w:t>
      </w:r>
      <w:r w:rsidRPr="00535B5A" w:rsidR="006974F2">
        <w:rPr>
          <w:bCs/>
        </w:rPr>
        <w:t xml:space="preserve">the People failed to </w:t>
      </w:r>
      <w:r w:rsidRPr="00535B5A" w:rsidR="00365793">
        <w:rPr>
          <w:bCs/>
        </w:rPr>
        <w:t xml:space="preserve">establish </w:t>
      </w:r>
      <w:r w:rsidRPr="00535B5A" w:rsidR="006974F2">
        <w:rPr>
          <w:bCs/>
        </w:rPr>
        <w:t>the lawfulness of the detention and search.  (</w:t>
      </w:r>
      <w:r w:rsidRPr="00535B5A" w:rsidR="006974F2">
        <w:rPr>
          <w:bCs/>
          <w:i/>
          <w:iCs/>
        </w:rPr>
        <w:t>Ibid</w:t>
      </w:r>
      <w:r w:rsidRPr="00535B5A" w:rsidR="006974F2">
        <w:rPr>
          <w:bCs/>
        </w:rPr>
        <w:t>.)  After a short delay, the People announced</w:t>
      </w:r>
      <w:r w:rsidRPr="00535B5A" w:rsidR="0060121B">
        <w:rPr>
          <w:bCs/>
        </w:rPr>
        <w:t xml:space="preserve"> that</w:t>
      </w:r>
      <w:r w:rsidRPr="00535B5A" w:rsidR="006974F2">
        <w:rPr>
          <w:bCs/>
        </w:rPr>
        <w:t xml:space="preserve"> they were unable to proceed against Ferrer without the suppressed evidence, and the court dismissed </w:t>
      </w:r>
      <w:r w:rsidRPr="00535B5A" w:rsidR="005B3A02">
        <w:rPr>
          <w:bCs/>
        </w:rPr>
        <w:t>the information.  (</w:t>
      </w:r>
      <w:r w:rsidRPr="00535B5A" w:rsidR="005B3A02">
        <w:rPr>
          <w:bCs/>
          <w:i/>
          <w:iCs/>
        </w:rPr>
        <w:t>Ibid</w:t>
      </w:r>
      <w:r w:rsidRPr="00535B5A" w:rsidR="005B3A02">
        <w:rPr>
          <w:bCs/>
        </w:rPr>
        <w:t>.)</w:t>
      </w:r>
    </w:p>
    <w:p w:rsidR="00E878B4" w:rsidRPr="00535B5A" w:rsidP="00535B5A" w14:paraId="4F7147E5" w14:textId="6395DDDC">
      <w:pPr>
        <w:rPr>
          <w:bCs/>
        </w:rPr>
      </w:pPr>
      <w:r w:rsidRPr="00535B5A">
        <w:rPr>
          <w:bCs/>
        </w:rPr>
        <w:tab/>
        <w:t xml:space="preserve">On appeal, the People conceded they had failed to show good cause but argued the court </w:t>
      </w:r>
      <w:r w:rsidRPr="00535B5A" w:rsidR="00160E7D">
        <w:rPr>
          <w:bCs/>
        </w:rPr>
        <w:t xml:space="preserve">nevertheless </w:t>
      </w:r>
      <w:r w:rsidR="0048212B">
        <w:rPr>
          <w:bCs/>
        </w:rPr>
        <w:t xml:space="preserve">could not </w:t>
      </w:r>
      <w:r w:rsidRPr="00535B5A" w:rsidR="00160E7D">
        <w:rPr>
          <w:bCs/>
        </w:rPr>
        <w:t xml:space="preserve">deny a continuance because there was adequate </w:t>
      </w:r>
      <w:r w:rsidR="00E053D7">
        <w:rPr>
          <w:bCs/>
        </w:rPr>
        <w:t>opportunity</w:t>
      </w:r>
      <w:r w:rsidR="00F420F9">
        <w:rPr>
          <w:bCs/>
        </w:rPr>
        <w:t xml:space="preserve"> </w:t>
      </w:r>
      <w:r w:rsidR="00852E35">
        <w:rPr>
          <w:bCs/>
        </w:rPr>
        <w:t>to</w:t>
      </w:r>
      <w:r w:rsidRPr="00535B5A" w:rsidR="00160E7D">
        <w:rPr>
          <w:bCs/>
        </w:rPr>
        <w:t xml:space="preserve"> </w:t>
      </w:r>
      <w:r w:rsidR="0048212B">
        <w:rPr>
          <w:bCs/>
        </w:rPr>
        <w:t>conduct</w:t>
      </w:r>
      <w:r w:rsidR="00F420F9">
        <w:rPr>
          <w:bCs/>
        </w:rPr>
        <w:t xml:space="preserve"> </w:t>
      </w:r>
      <w:r w:rsidRPr="00535B5A" w:rsidR="00160E7D">
        <w:rPr>
          <w:bCs/>
        </w:rPr>
        <w:t xml:space="preserve">the suppression motion before </w:t>
      </w:r>
      <w:r w:rsidR="00852E35">
        <w:rPr>
          <w:bCs/>
        </w:rPr>
        <w:t>the</w:t>
      </w:r>
      <w:r w:rsidR="00E053D7">
        <w:rPr>
          <w:bCs/>
        </w:rPr>
        <w:t xml:space="preserve"> timely </w:t>
      </w:r>
      <w:r w:rsidRPr="00535B5A" w:rsidR="00160E7D">
        <w:rPr>
          <w:bCs/>
        </w:rPr>
        <w:t>trial</w:t>
      </w:r>
      <w:r w:rsidR="00E053D7">
        <w:rPr>
          <w:bCs/>
        </w:rPr>
        <w:t xml:space="preserve"> date</w:t>
      </w:r>
      <w:r w:rsidRPr="00535B5A" w:rsidR="00160E7D">
        <w:rPr>
          <w:bCs/>
        </w:rPr>
        <w:t>.  (</w:t>
      </w:r>
      <w:r w:rsidRPr="00535B5A" w:rsidR="00160E7D">
        <w:rPr>
          <w:bCs/>
          <w:i/>
          <w:iCs/>
        </w:rPr>
        <w:t>Ferrer</w:t>
      </w:r>
      <w:r w:rsidRPr="00535B5A" w:rsidR="00160E7D">
        <w:rPr>
          <w:bCs/>
        </w:rPr>
        <w:t xml:space="preserve">, </w:t>
      </w:r>
      <w:r w:rsidRPr="00535B5A" w:rsidR="00160E7D">
        <w:rPr>
          <w:bCs/>
          <w:i/>
        </w:rPr>
        <w:t>supra</w:t>
      </w:r>
      <w:r w:rsidRPr="00535B5A" w:rsidR="00160E7D">
        <w:rPr>
          <w:bCs/>
        </w:rPr>
        <w:t>, 184 Cal.App.4th at pp. 878</w:t>
      </w:r>
      <w:r w:rsidRPr="00535B5A" w:rsidR="00C635F1">
        <w:t>–</w:t>
      </w:r>
      <w:r w:rsidRPr="00535B5A" w:rsidR="00160E7D">
        <w:rPr>
          <w:bCs/>
        </w:rPr>
        <w:t xml:space="preserve">879.) </w:t>
      </w:r>
      <w:r w:rsidRPr="00535B5A" w:rsidR="00080778">
        <w:rPr>
          <w:bCs/>
        </w:rPr>
        <w:t xml:space="preserve"> </w:t>
      </w:r>
      <w:r w:rsidR="00C104E2">
        <w:rPr>
          <w:bCs/>
        </w:rPr>
        <w:t xml:space="preserve">The </w:t>
      </w:r>
      <w:r w:rsidR="00C104E2">
        <w:rPr>
          <w:bCs/>
          <w:i/>
          <w:iCs/>
        </w:rPr>
        <w:t xml:space="preserve">Ferrer </w:t>
      </w:r>
      <w:r w:rsidR="00AE36C6">
        <w:rPr>
          <w:bCs/>
        </w:rPr>
        <w:t xml:space="preserve">court </w:t>
      </w:r>
      <w:r w:rsidR="00F5475A">
        <w:rPr>
          <w:bCs/>
        </w:rPr>
        <w:t xml:space="preserve">agreed, applying </w:t>
      </w:r>
      <w:r w:rsidRPr="00AE36C6" w:rsidR="00F5475A">
        <w:rPr>
          <w:bCs/>
          <w:i/>
          <w:iCs/>
        </w:rPr>
        <w:t>Henderson</w:t>
      </w:r>
      <w:r w:rsidR="00AE36C6">
        <w:rPr>
          <w:bCs/>
        </w:rPr>
        <w:t>’s</w:t>
      </w:r>
      <w:r w:rsidR="00F5475A">
        <w:rPr>
          <w:bCs/>
        </w:rPr>
        <w:t xml:space="preserve"> analysis in the suppression motion context.  It </w:t>
      </w:r>
      <w:r w:rsidRPr="00F5475A" w:rsidR="00080778">
        <w:rPr>
          <w:bCs/>
        </w:rPr>
        <w:t>explained</w:t>
      </w:r>
      <w:r w:rsidRPr="00535B5A" w:rsidR="00080778">
        <w:rPr>
          <w:bCs/>
        </w:rPr>
        <w:t xml:space="preserve">:  “In </w:t>
      </w:r>
      <w:r w:rsidRPr="00535B5A" w:rsidR="00080778">
        <w:rPr>
          <w:bCs/>
          <w:i/>
          <w:iCs/>
        </w:rPr>
        <w:t>Henderson</w:t>
      </w:r>
      <w:r w:rsidRPr="00535B5A" w:rsidR="00080778">
        <w:rPr>
          <w:bCs/>
        </w:rPr>
        <w:t xml:space="preserve">, the lower court did not literally dismiss the criminal case as a sanction for the prosecutor’s failure to show good cause, but denial of the motion to continue meant the prosecution </w:t>
      </w:r>
      <w:r w:rsidRPr="00535B5A" w:rsidR="00080778">
        <w:rPr>
          <w:bCs/>
          <w:i/>
          <w:iCs/>
        </w:rPr>
        <w:t>lacked the necessary evidence</w:t>
      </w:r>
      <w:r w:rsidRPr="00535B5A" w:rsidR="00080778">
        <w:rPr>
          <w:bCs/>
        </w:rPr>
        <w:t xml:space="preserve"> to present at the preliminary hearing, which led to dismissal of the case.  (</w:t>
      </w:r>
      <w:r w:rsidRPr="00535B5A" w:rsidR="00080778">
        <w:rPr>
          <w:bCs/>
          <w:i/>
          <w:iCs/>
        </w:rPr>
        <w:t>Henderson</w:t>
      </w:r>
      <w:r w:rsidRPr="00535B5A" w:rsidR="00080778">
        <w:rPr>
          <w:bCs/>
        </w:rPr>
        <w:t xml:space="preserve">, </w:t>
      </w:r>
      <w:r w:rsidRPr="00535B5A" w:rsidR="00080778">
        <w:rPr>
          <w:bCs/>
          <w:i/>
          <w:iCs/>
        </w:rPr>
        <w:t>supra</w:t>
      </w:r>
      <w:r w:rsidRPr="00535B5A" w:rsidR="00080778">
        <w:rPr>
          <w:bCs/>
        </w:rPr>
        <w:t xml:space="preserve">, 115 Cal.App.4th at p. 929.)  The </w:t>
      </w:r>
      <w:r w:rsidRPr="00535B5A" w:rsidR="00080778">
        <w:rPr>
          <w:bCs/>
          <w:i/>
          <w:iCs/>
        </w:rPr>
        <w:t>Henderson</w:t>
      </w:r>
      <w:r w:rsidRPr="00535B5A" w:rsidR="00080778">
        <w:rPr>
          <w:bCs/>
        </w:rPr>
        <w:t xml:space="preserve"> court treated the dismissal as an unauthorized sanction for the failure to show good cause even though the dismissal was a </w:t>
      </w:r>
      <w:r w:rsidRPr="00535B5A" w:rsidR="00080778">
        <w:rPr>
          <w:bCs/>
          <w:i/>
          <w:iCs/>
        </w:rPr>
        <w:t>consequence</w:t>
      </w:r>
      <w:r w:rsidRPr="00535B5A" w:rsidR="00080778">
        <w:rPr>
          <w:bCs/>
        </w:rPr>
        <w:t xml:space="preserve"> of the denial of the continuance rather than an express sanction.  (</w:t>
      </w:r>
      <w:r w:rsidRPr="00535B5A" w:rsidR="00080778">
        <w:rPr>
          <w:bCs/>
          <w:i/>
          <w:iCs/>
        </w:rPr>
        <w:t>Id</w:t>
      </w:r>
      <w:r w:rsidRPr="00535B5A" w:rsidR="00080778">
        <w:rPr>
          <w:bCs/>
        </w:rPr>
        <w:t>. at p. 935.)”  (</w:t>
      </w:r>
      <w:r w:rsidRPr="00535B5A" w:rsidR="008E700C">
        <w:rPr>
          <w:bCs/>
          <w:i/>
          <w:iCs/>
        </w:rPr>
        <w:t>Ferrer</w:t>
      </w:r>
      <w:r w:rsidRPr="00535B5A" w:rsidR="00080778">
        <w:rPr>
          <w:bCs/>
        </w:rPr>
        <w:t>,</w:t>
      </w:r>
      <w:r w:rsidRPr="00535B5A" w:rsidR="008E700C">
        <w:rPr>
          <w:bCs/>
        </w:rPr>
        <w:t xml:space="preserve"> at p. 882</w:t>
      </w:r>
      <w:r w:rsidR="007C6B94">
        <w:rPr>
          <w:bCs/>
        </w:rPr>
        <w:t>,</w:t>
      </w:r>
      <w:r w:rsidRPr="00535B5A" w:rsidR="00080778">
        <w:rPr>
          <w:bCs/>
        </w:rPr>
        <w:t xml:space="preserve"> italics added.)  </w:t>
      </w:r>
      <w:r w:rsidRPr="00535B5A" w:rsidR="00D66C30">
        <w:rPr>
          <w:bCs/>
        </w:rPr>
        <w:t>T</w:t>
      </w:r>
      <w:r w:rsidRPr="00535B5A" w:rsidR="00080778">
        <w:rPr>
          <w:bCs/>
        </w:rPr>
        <w:t>his application of the statutes was consistent with legislative intent</w:t>
      </w:r>
      <w:r w:rsidRPr="00535B5A" w:rsidR="00D66C30">
        <w:rPr>
          <w:bCs/>
        </w:rPr>
        <w:t xml:space="preserve">, </w:t>
      </w:r>
      <w:r w:rsidRPr="00535B5A" w:rsidR="00D66C30">
        <w:rPr>
          <w:bCs/>
          <w:i/>
          <w:iCs/>
        </w:rPr>
        <w:t>Ferrer</w:t>
      </w:r>
      <w:r w:rsidRPr="00535B5A" w:rsidR="00D66C30">
        <w:rPr>
          <w:bCs/>
        </w:rPr>
        <w:t xml:space="preserve"> reasoned,</w:t>
      </w:r>
      <w:r w:rsidRPr="00535B5A" w:rsidR="00080778">
        <w:rPr>
          <w:bCs/>
        </w:rPr>
        <w:t xml:space="preserve"> </w:t>
      </w:r>
      <w:r w:rsidRPr="00535B5A" w:rsidR="00D66C30">
        <w:rPr>
          <w:bCs/>
        </w:rPr>
        <w:t xml:space="preserve">because Assembly Bill No. 1273 sought to prevent dismissals resulting from a prosecutor’s </w:t>
      </w:r>
      <w:r w:rsidR="009A568F">
        <w:rPr>
          <w:bCs/>
        </w:rPr>
        <w:t xml:space="preserve">temporary </w:t>
      </w:r>
      <w:r w:rsidRPr="00535B5A" w:rsidR="00D66C30">
        <w:rPr>
          <w:bCs/>
        </w:rPr>
        <w:t>inability to proceed.  (</w:t>
      </w:r>
      <w:r w:rsidRPr="00C36A7B" w:rsidR="00623464">
        <w:rPr>
          <w:bCs/>
          <w:i/>
          <w:iCs/>
        </w:rPr>
        <w:t>Ferrer</w:t>
      </w:r>
      <w:r w:rsidR="00623464">
        <w:rPr>
          <w:bCs/>
        </w:rPr>
        <w:t>, at p. 882</w:t>
      </w:r>
      <w:r w:rsidRPr="00535B5A">
        <w:rPr>
          <w:bCs/>
        </w:rPr>
        <w:t xml:space="preserve">, </w:t>
      </w:r>
      <w:r w:rsidRPr="00535B5A" w:rsidR="00D66C30">
        <w:rPr>
          <w:bCs/>
        </w:rPr>
        <w:t xml:space="preserve">citing </w:t>
      </w:r>
      <w:r w:rsidRPr="00535B5A" w:rsidR="0054685E">
        <w:rPr>
          <w:bCs/>
        </w:rPr>
        <w:t>Sen. Com. on Pub. Safety, Rep. on Assem. Bill No. 1273</w:t>
      </w:r>
      <w:r w:rsidRPr="00535B5A" w:rsidR="008636D9">
        <w:rPr>
          <w:bCs/>
        </w:rPr>
        <w:t xml:space="preserve">, </w:t>
      </w:r>
      <w:r w:rsidRPr="00535B5A" w:rsidR="008636D9">
        <w:rPr>
          <w:bCs/>
          <w:i/>
          <w:iCs/>
        </w:rPr>
        <w:t>supra</w:t>
      </w:r>
      <w:r w:rsidRPr="00535B5A" w:rsidR="0054685E">
        <w:rPr>
          <w:bCs/>
        </w:rPr>
        <w:t>, pp. 5</w:t>
      </w:r>
      <w:r w:rsidRPr="00535B5A" w:rsidR="00C635F1">
        <w:t>–</w:t>
      </w:r>
      <w:r w:rsidRPr="00535B5A" w:rsidR="0054685E">
        <w:rPr>
          <w:bCs/>
        </w:rPr>
        <w:t>6.</w:t>
      </w:r>
      <w:r w:rsidRPr="00535B5A" w:rsidR="00D66C30">
        <w:rPr>
          <w:bCs/>
        </w:rPr>
        <w:t>)  “Thus, the Legislature intended that a dismissal that causally follows from denial of a motion for a continuance be treated as a sanction of dismissal.”  (</w:t>
      </w:r>
      <w:r w:rsidRPr="00535B5A" w:rsidR="0054685E">
        <w:rPr>
          <w:bCs/>
          <w:i/>
          <w:iCs/>
        </w:rPr>
        <w:t>Ferrer</w:t>
      </w:r>
      <w:r w:rsidRPr="00535B5A" w:rsidR="0054685E">
        <w:rPr>
          <w:bCs/>
        </w:rPr>
        <w:t>, at p. 882</w:t>
      </w:r>
      <w:r w:rsidRPr="00535B5A" w:rsidR="00D66C30">
        <w:rPr>
          <w:bCs/>
        </w:rPr>
        <w:t>.)</w:t>
      </w:r>
      <w:r w:rsidRPr="00535B5A">
        <w:rPr>
          <w:bCs/>
        </w:rPr>
        <w:t xml:space="preserve">  </w:t>
      </w:r>
    </w:p>
    <w:p w:rsidR="007E087D" w:rsidP="00535B5A" w14:paraId="319D66C6" w14:textId="7C8852D3">
      <w:pPr>
        <w:rPr>
          <w:bCs/>
        </w:rPr>
      </w:pPr>
      <w:r w:rsidRPr="00535B5A">
        <w:rPr>
          <w:bCs/>
        </w:rPr>
        <w:tab/>
      </w:r>
      <w:r w:rsidRPr="00535B5A">
        <w:rPr>
          <w:bCs/>
          <w:i/>
          <w:iCs/>
        </w:rPr>
        <w:t>Ferrer</w:t>
      </w:r>
      <w:r w:rsidRPr="00535B5A">
        <w:rPr>
          <w:bCs/>
        </w:rPr>
        <w:t xml:space="preserve"> found the suppression hearing context “analogous” to the preliminary hearing and trial </w:t>
      </w:r>
      <w:r w:rsidRPr="00535B5A" w:rsidR="00365793">
        <w:rPr>
          <w:bCs/>
        </w:rPr>
        <w:t xml:space="preserve">situations </w:t>
      </w:r>
      <w:r w:rsidRPr="00535B5A">
        <w:rPr>
          <w:bCs/>
        </w:rPr>
        <w:t xml:space="preserve">addressed in </w:t>
      </w:r>
      <w:r w:rsidRPr="00535B5A">
        <w:rPr>
          <w:bCs/>
          <w:i/>
          <w:iCs/>
        </w:rPr>
        <w:t>Henderson</w:t>
      </w:r>
      <w:r w:rsidRPr="00535B5A">
        <w:rPr>
          <w:bCs/>
        </w:rPr>
        <w:t xml:space="preserve"> and </w:t>
      </w:r>
      <w:r w:rsidRPr="00535B5A">
        <w:rPr>
          <w:bCs/>
          <w:i/>
          <w:iCs/>
        </w:rPr>
        <w:t>Ferguson</w:t>
      </w:r>
      <w:r w:rsidRPr="00535B5A">
        <w:rPr>
          <w:bCs/>
        </w:rPr>
        <w:t>.</w:t>
      </w:r>
      <w:r w:rsidRPr="00535B5A" w:rsidR="005451E2">
        <w:rPr>
          <w:bCs/>
        </w:rPr>
        <w:t xml:space="preserve">  (</w:t>
      </w:r>
      <w:r w:rsidRPr="00535B5A" w:rsidR="005451E2">
        <w:rPr>
          <w:bCs/>
          <w:i/>
          <w:iCs/>
        </w:rPr>
        <w:t>Ferrer</w:t>
      </w:r>
      <w:r w:rsidRPr="00535B5A" w:rsidR="005451E2">
        <w:rPr>
          <w:bCs/>
        </w:rPr>
        <w:t xml:space="preserve">, </w:t>
      </w:r>
      <w:r w:rsidRPr="00535B5A" w:rsidR="005451E2">
        <w:rPr>
          <w:bCs/>
          <w:i/>
        </w:rPr>
        <w:t>supra</w:t>
      </w:r>
      <w:r w:rsidRPr="00535B5A" w:rsidR="005451E2">
        <w:rPr>
          <w:bCs/>
        </w:rPr>
        <w:t>, 184 Cal.App.4th at p. 882.)</w:t>
      </w:r>
      <w:r w:rsidRPr="00535B5A">
        <w:rPr>
          <w:bCs/>
        </w:rPr>
        <w:t xml:space="preserve">  It reasoned that, </w:t>
      </w:r>
      <w:r w:rsidR="00CB59B0">
        <w:rPr>
          <w:bCs/>
        </w:rPr>
        <w:t xml:space="preserve">although </w:t>
      </w:r>
      <w:r w:rsidRPr="00535B5A" w:rsidR="005451E2">
        <w:rPr>
          <w:bCs/>
        </w:rPr>
        <w:t xml:space="preserve">the trial court did not </w:t>
      </w:r>
      <w:r w:rsidR="001F4F01">
        <w:rPr>
          <w:bCs/>
        </w:rPr>
        <w:t xml:space="preserve">literally </w:t>
      </w:r>
      <w:r w:rsidRPr="00535B5A" w:rsidR="005451E2">
        <w:rPr>
          <w:bCs/>
        </w:rPr>
        <w:t>dismiss the action as a sanction</w:t>
      </w:r>
      <w:r w:rsidR="00AE1684">
        <w:rPr>
          <w:bCs/>
        </w:rPr>
        <w:t>,</w:t>
      </w:r>
      <w:r w:rsidRPr="00535B5A" w:rsidR="005451E2">
        <w:rPr>
          <w:bCs/>
        </w:rPr>
        <w:t xml:space="preserve"> it was clear that </w:t>
      </w:r>
      <w:r w:rsidR="00174BD3">
        <w:rPr>
          <w:bCs/>
        </w:rPr>
        <w:t xml:space="preserve">the continuance </w:t>
      </w:r>
      <w:r w:rsidRPr="00535B5A" w:rsidR="005451E2">
        <w:rPr>
          <w:bCs/>
        </w:rPr>
        <w:t>denial was likely to lead to dismissal of the case</w:t>
      </w:r>
      <w:r w:rsidR="0011295E">
        <w:rPr>
          <w:bCs/>
        </w:rPr>
        <w:t xml:space="preserve">. </w:t>
      </w:r>
      <w:r w:rsidRPr="00535B5A" w:rsidR="005451E2">
        <w:rPr>
          <w:bCs/>
        </w:rPr>
        <w:t xml:space="preserve"> (</w:t>
      </w:r>
      <w:r w:rsidRPr="00535B5A" w:rsidR="005451E2">
        <w:rPr>
          <w:bCs/>
          <w:i/>
          <w:iCs/>
        </w:rPr>
        <w:t>Ibid</w:t>
      </w:r>
      <w:r w:rsidRPr="00535B5A" w:rsidR="005451E2">
        <w:rPr>
          <w:bCs/>
        </w:rPr>
        <w:t xml:space="preserve">.)  </w:t>
      </w:r>
      <w:r w:rsidR="0011295E">
        <w:rPr>
          <w:bCs/>
        </w:rPr>
        <w:t xml:space="preserve">The </w:t>
      </w:r>
      <w:r w:rsidRPr="00535B5A" w:rsidR="005451E2">
        <w:rPr>
          <w:bCs/>
        </w:rPr>
        <w:t>People bore the burde</w:t>
      </w:r>
      <w:r w:rsidR="0011295E">
        <w:rPr>
          <w:bCs/>
        </w:rPr>
        <w:t>n to justify</w:t>
      </w:r>
      <w:r w:rsidRPr="00535B5A" w:rsidR="005451E2">
        <w:rPr>
          <w:bCs/>
        </w:rPr>
        <w:t xml:space="preserve"> the warrantless search and seizure, </w:t>
      </w:r>
      <w:r w:rsidR="00CF6AAD">
        <w:rPr>
          <w:bCs/>
        </w:rPr>
        <w:t xml:space="preserve">and the </w:t>
      </w:r>
      <w:r w:rsidRPr="00535B5A" w:rsidR="005451E2">
        <w:rPr>
          <w:bCs/>
        </w:rPr>
        <w:t xml:space="preserve">unavailability of </w:t>
      </w:r>
      <w:r w:rsidR="00CF6AAD">
        <w:rPr>
          <w:bCs/>
        </w:rPr>
        <w:t xml:space="preserve">their </w:t>
      </w:r>
      <w:r w:rsidRPr="00535B5A" w:rsidR="005451E2">
        <w:rPr>
          <w:bCs/>
        </w:rPr>
        <w:t>witnesses “would necessarily result in” the motion</w:t>
      </w:r>
      <w:r w:rsidRPr="00535B5A" w:rsidR="0059274D">
        <w:rPr>
          <w:bCs/>
        </w:rPr>
        <w:t xml:space="preserve"> being granted</w:t>
      </w:r>
      <w:r w:rsidRPr="00535B5A" w:rsidR="005451E2">
        <w:rPr>
          <w:bCs/>
        </w:rPr>
        <w:t>.</w:t>
      </w:r>
      <w:r w:rsidRPr="00535B5A" w:rsidR="0059274D">
        <w:rPr>
          <w:bCs/>
        </w:rPr>
        <w:t xml:space="preserve">  (</w:t>
      </w:r>
      <w:r w:rsidRPr="00535B5A" w:rsidR="0059274D">
        <w:rPr>
          <w:bCs/>
          <w:i/>
          <w:iCs/>
        </w:rPr>
        <w:t>Id</w:t>
      </w:r>
      <w:r w:rsidRPr="00535B5A" w:rsidR="0059274D">
        <w:rPr>
          <w:bCs/>
        </w:rPr>
        <w:t>. at p. 883.)</w:t>
      </w:r>
      <w:r w:rsidRPr="00535B5A" w:rsidR="00190D86">
        <w:rPr>
          <w:bCs/>
        </w:rPr>
        <w:t xml:space="preserve">  </w:t>
      </w:r>
      <w:r w:rsidR="00026972">
        <w:rPr>
          <w:bCs/>
        </w:rPr>
        <w:t>I</w:t>
      </w:r>
      <w:r w:rsidR="009C435D">
        <w:rPr>
          <w:bCs/>
        </w:rPr>
        <w:t xml:space="preserve">f </w:t>
      </w:r>
      <w:r w:rsidRPr="00535B5A" w:rsidR="00190D86">
        <w:rPr>
          <w:bCs/>
        </w:rPr>
        <w:t>the evidence in question</w:t>
      </w:r>
      <w:r w:rsidR="00026972">
        <w:rPr>
          <w:bCs/>
        </w:rPr>
        <w:t xml:space="preserve">, which was </w:t>
      </w:r>
      <w:r w:rsidRPr="00535B5A" w:rsidR="00190D86">
        <w:rPr>
          <w:bCs/>
        </w:rPr>
        <w:t xml:space="preserve">the only </w:t>
      </w:r>
      <w:r w:rsidRPr="00535B5A" w:rsidR="0059274D">
        <w:rPr>
          <w:bCs/>
        </w:rPr>
        <w:t>support for the charges</w:t>
      </w:r>
      <w:r w:rsidR="003751A5">
        <w:rPr>
          <w:bCs/>
        </w:rPr>
        <w:t xml:space="preserve">, </w:t>
      </w:r>
      <w:r w:rsidR="009C435D">
        <w:rPr>
          <w:bCs/>
        </w:rPr>
        <w:t xml:space="preserve">was no longer available, a dismissal of the case </w:t>
      </w:r>
      <w:r w:rsidR="00602DAA">
        <w:rPr>
          <w:bCs/>
        </w:rPr>
        <w:t xml:space="preserve">for lack of evidence </w:t>
      </w:r>
      <w:r w:rsidR="009C435D">
        <w:rPr>
          <w:bCs/>
        </w:rPr>
        <w:t>would follow.</w:t>
      </w:r>
      <w:r w:rsidR="00602DAA">
        <w:rPr>
          <w:bCs/>
        </w:rPr>
        <w:t xml:space="preserve">  (</w:t>
      </w:r>
      <w:r w:rsidR="00602DAA">
        <w:rPr>
          <w:bCs/>
          <w:i/>
          <w:iCs/>
        </w:rPr>
        <w:t>Ibid</w:t>
      </w:r>
      <w:r w:rsidR="00602DAA">
        <w:rPr>
          <w:bCs/>
        </w:rPr>
        <w:t>.)</w:t>
      </w:r>
      <w:r w:rsidR="009C435D">
        <w:rPr>
          <w:bCs/>
        </w:rPr>
        <w:t xml:space="preserve">  </w:t>
      </w:r>
      <w:r w:rsidRPr="00535B5A" w:rsidR="00202936">
        <w:rPr>
          <w:bCs/>
          <w:i/>
          <w:iCs/>
        </w:rPr>
        <w:t>Ferrer</w:t>
      </w:r>
      <w:r w:rsidRPr="00535B5A" w:rsidR="00202936">
        <w:rPr>
          <w:bCs/>
        </w:rPr>
        <w:t xml:space="preserve"> </w:t>
      </w:r>
      <w:r>
        <w:rPr>
          <w:bCs/>
        </w:rPr>
        <w:t xml:space="preserve">ultimately </w:t>
      </w:r>
      <w:r w:rsidR="00E9275B">
        <w:rPr>
          <w:bCs/>
        </w:rPr>
        <w:t xml:space="preserve">held that </w:t>
      </w:r>
      <w:r w:rsidRPr="00535B5A" w:rsidR="00202936">
        <w:rPr>
          <w:bCs/>
        </w:rPr>
        <w:t xml:space="preserve">“[w]here it is reasonably foreseeable that granting a motion to suppress will result ultimately in dismissal of the case, the fact that the dismissal is not inevitable or immediate does not create a material distinction from the circumstances involved in </w:t>
      </w:r>
      <w:r w:rsidRPr="00535B5A" w:rsidR="00202936">
        <w:rPr>
          <w:bCs/>
          <w:i/>
          <w:iCs/>
        </w:rPr>
        <w:t>Henderson</w:t>
      </w:r>
      <w:r w:rsidRPr="00535B5A" w:rsidR="00202936">
        <w:rPr>
          <w:bCs/>
        </w:rPr>
        <w:t xml:space="preserve"> and </w:t>
      </w:r>
      <w:r w:rsidRPr="00535B5A" w:rsidR="00202936">
        <w:rPr>
          <w:bCs/>
          <w:i/>
          <w:iCs/>
        </w:rPr>
        <w:t>Ferguson</w:t>
      </w:r>
      <w:r w:rsidRPr="00535B5A" w:rsidR="00202936">
        <w:rPr>
          <w:bCs/>
        </w:rPr>
        <w:t>.”  (</w:t>
      </w:r>
      <w:r w:rsidRPr="00535B5A" w:rsidR="008636D9">
        <w:rPr>
          <w:bCs/>
          <w:i/>
          <w:iCs/>
        </w:rPr>
        <w:t>Ibid</w:t>
      </w:r>
      <w:r w:rsidRPr="00535B5A" w:rsidR="00202936">
        <w:rPr>
          <w:bCs/>
        </w:rPr>
        <w:t>.)</w:t>
      </w:r>
    </w:p>
    <w:p w:rsidR="00DA40CA" w:rsidRPr="00535B5A" w:rsidP="00535B5A" w14:paraId="5A769E85" w14:textId="6013B039">
      <w:pPr>
        <w:rPr>
          <w:bCs/>
        </w:rPr>
      </w:pPr>
      <w:r>
        <w:rPr>
          <w:bCs/>
        </w:rPr>
        <w:tab/>
      </w:r>
      <w:r w:rsidR="00070D66">
        <w:rPr>
          <w:bCs/>
          <w:i/>
          <w:iCs/>
        </w:rPr>
        <w:t>Ferrer</w:t>
      </w:r>
      <w:r w:rsidR="00070D66">
        <w:rPr>
          <w:bCs/>
        </w:rPr>
        <w:t xml:space="preserve"> grounded its analysis on</w:t>
      </w:r>
      <w:r>
        <w:rPr>
          <w:bCs/>
        </w:rPr>
        <w:t xml:space="preserve"> the language of</w:t>
      </w:r>
      <w:r w:rsidR="00070D66">
        <w:rPr>
          <w:bCs/>
        </w:rPr>
        <w:t xml:space="preserve"> sections</w:t>
      </w:r>
      <w:r w:rsidR="00E700AD">
        <w:rPr>
          <w:bCs/>
        </w:rPr>
        <w:t> </w:t>
      </w:r>
      <w:r w:rsidR="00070D66">
        <w:rPr>
          <w:bCs/>
        </w:rPr>
        <w:t xml:space="preserve">1050 and 1050.5.  </w:t>
      </w:r>
      <w:r>
        <w:rPr>
          <w:bCs/>
        </w:rPr>
        <w:t>(</w:t>
      </w:r>
      <w:r>
        <w:rPr>
          <w:bCs/>
          <w:i/>
          <w:iCs/>
        </w:rPr>
        <w:t>Ferrer</w:t>
      </w:r>
      <w:r>
        <w:rPr>
          <w:bCs/>
        </w:rPr>
        <w:t xml:space="preserve">, </w:t>
      </w:r>
      <w:r>
        <w:rPr>
          <w:bCs/>
          <w:i/>
        </w:rPr>
        <w:t>supra</w:t>
      </w:r>
      <w:r>
        <w:rPr>
          <w:bCs/>
        </w:rPr>
        <w:t xml:space="preserve">, 184 Cal.App.4th at pp. 879–881.)  </w:t>
      </w:r>
      <w:r w:rsidR="00070D66">
        <w:rPr>
          <w:bCs/>
        </w:rPr>
        <w:t xml:space="preserve">However, </w:t>
      </w:r>
      <w:r>
        <w:rPr>
          <w:bCs/>
        </w:rPr>
        <w:t xml:space="preserve">the court </w:t>
      </w:r>
      <w:r w:rsidR="00070D66">
        <w:rPr>
          <w:bCs/>
        </w:rPr>
        <w:t xml:space="preserve">went on to </w:t>
      </w:r>
      <w:r>
        <w:rPr>
          <w:bCs/>
        </w:rPr>
        <w:t xml:space="preserve">discuss the conclusions in </w:t>
      </w:r>
      <w:r w:rsidRPr="00535B5A" w:rsidR="00836F7F">
        <w:rPr>
          <w:bCs/>
          <w:i/>
          <w:iCs/>
        </w:rPr>
        <w:t>Ferguson</w:t>
      </w:r>
      <w:r w:rsidRPr="00535B5A" w:rsidR="00836F7F">
        <w:rPr>
          <w:bCs/>
        </w:rPr>
        <w:t xml:space="preserve"> and </w:t>
      </w:r>
      <w:r w:rsidRPr="00535B5A" w:rsidR="00836F7F">
        <w:rPr>
          <w:bCs/>
          <w:i/>
          <w:iCs/>
        </w:rPr>
        <w:t>Henderson</w:t>
      </w:r>
      <w:r w:rsidRPr="00535B5A" w:rsidR="00836F7F">
        <w:rPr>
          <w:bCs/>
        </w:rPr>
        <w:t xml:space="preserve"> </w:t>
      </w:r>
      <w:r>
        <w:rPr>
          <w:bCs/>
        </w:rPr>
        <w:t xml:space="preserve">that </w:t>
      </w:r>
      <w:r w:rsidRPr="00535B5A" w:rsidR="00836F7F">
        <w:rPr>
          <w:bCs/>
        </w:rPr>
        <w:t xml:space="preserve">dismissals </w:t>
      </w:r>
      <w:r w:rsidR="00E700AD">
        <w:rPr>
          <w:bCs/>
        </w:rPr>
        <w:t>based solely on</w:t>
      </w:r>
      <w:r w:rsidRPr="00535B5A" w:rsidR="00E700AD">
        <w:rPr>
          <w:bCs/>
        </w:rPr>
        <w:t xml:space="preserve"> </w:t>
      </w:r>
      <w:r w:rsidRPr="00535B5A" w:rsidR="00836F7F">
        <w:rPr>
          <w:bCs/>
        </w:rPr>
        <w:t>a failure to show good cause are not “in furtherance of justice</w:t>
      </w:r>
      <w:r w:rsidRPr="00535B5A" w:rsidR="00FB1E25">
        <w:rPr>
          <w:bCs/>
        </w:rPr>
        <w:t>.</w:t>
      </w:r>
      <w:r w:rsidRPr="00535B5A" w:rsidR="00836F7F">
        <w:rPr>
          <w:bCs/>
        </w:rPr>
        <w:t>”</w:t>
      </w:r>
      <w:r w:rsidRPr="00535B5A" w:rsidR="00FB1E25">
        <w:rPr>
          <w:bCs/>
        </w:rPr>
        <w:t xml:space="preserve"> </w:t>
      </w:r>
      <w:r w:rsidRPr="00535B5A" w:rsidR="00836F7F">
        <w:rPr>
          <w:bCs/>
        </w:rPr>
        <w:t xml:space="preserve"> (§ 1385</w:t>
      </w:r>
      <w:r w:rsidR="00EB55FC">
        <w:rPr>
          <w:bCs/>
        </w:rPr>
        <w:t>, subd. (a))</w:t>
      </w:r>
      <w:r w:rsidRPr="00535B5A" w:rsidR="00836F7F">
        <w:rPr>
          <w:bCs/>
        </w:rPr>
        <w:t xml:space="preserve">; see </w:t>
      </w:r>
      <w:r w:rsidRPr="00535B5A" w:rsidR="00836F7F">
        <w:rPr>
          <w:bCs/>
          <w:i/>
          <w:iCs/>
        </w:rPr>
        <w:t>Henderson</w:t>
      </w:r>
      <w:r w:rsidRPr="00535B5A" w:rsidR="00836F7F">
        <w:rPr>
          <w:bCs/>
        </w:rPr>
        <w:t xml:space="preserve">, </w:t>
      </w:r>
      <w:r w:rsidRPr="00535B5A" w:rsidR="00836F7F">
        <w:rPr>
          <w:bCs/>
          <w:i/>
        </w:rPr>
        <w:t>supra</w:t>
      </w:r>
      <w:r w:rsidRPr="00535B5A" w:rsidR="00836F7F">
        <w:rPr>
          <w:bCs/>
        </w:rPr>
        <w:t xml:space="preserve">, 115 Cal.App.4th at p. 940; </w:t>
      </w:r>
      <w:r w:rsidRPr="00535B5A" w:rsidR="00836F7F">
        <w:rPr>
          <w:bCs/>
          <w:i/>
          <w:iCs/>
        </w:rPr>
        <w:t>Ferguson</w:t>
      </w:r>
      <w:r w:rsidRPr="00535B5A" w:rsidR="00836F7F">
        <w:rPr>
          <w:bCs/>
        </w:rPr>
        <w:t xml:space="preserve">, </w:t>
      </w:r>
      <w:r w:rsidRPr="00535B5A" w:rsidR="00836F7F">
        <w:rPr>
          <w:bCs/>
          <w:i/>
        </w:rPr>
        <w:t>supra</w:t>
      </w:r>
      <w:r w:rsidRPr="00535B5A" w:rsidR="00836F7F">
        <w:rPr>
          <w:bCs/>
        </w:rPr>
        <w:t xml:space="preserve">, </w:t>
      </w:r>
      <w:r w:rsidRPr="00535B5A" w:rsidR="000A6588">
        <w:rPr>
          <w:bCs/>
        </w:rPr>
        <w:t>218 Cal.App.3d at p. 1182</w:t>
      </w:r>
      <w:r w:rsidRPr="00535B5A" w:rsidR="00FB1E25">
        <w:rPr>
          <w:bCs/>
        </w:rPr>
        <w:t>.</w:t>
      </w:r>
      <w:r w:rsidRPr="00535B5A" w:rsidR="000A6588">
        <w:rPr>
          <w:bCs/>
        </w:rPr>
        <w:t>)</w:t>
      </w:r>
      <w:r w:rsidRPr="00535B5A" w:rsidR="00FB1E25">
        <w:rPr>
          <w:bCs/>
        </w:rPr>
        <w:t xml:space="preserve"> </w:t>
      </w:r>
      <w:r w:rsidRPr="00535B5A" w:rsidR="000A6588">
        <w:rPr>
          <w:bCs/>
        </w:rPr>
        <w:t xml:space="preserve"> </w:t>
      </w:r>
      <w:r w:rsidR="00FC56F5">
        <w:rPr>
          <w:bCs/>
        </w:rPr>
        <w:t xml:space="preserve">It reasoned </w:t>
      </w:r>
      <w:r>
        <w:rPr>
          <w:bCs/>
        </w:rPr>
        <w:t xml:space="preserve">that </w:t>
      </w:r>
      <w:r w:rsidR="00FC56F5">
        <w:rPr>
          <w:bCs/>
        </w:rPr>
        <w:t xml:space="preserve">the </w:t>
      </w:r>
      <w:r w:rsidRPr="00535B5A" w:rsidR="000A6588">
        <w:rPr>
          <w:bCs/>
        </w:rPr>
        <w:t>same can be said for dismissals resulting from the court’s refusal to continue a hearing</w:t>
      </w:r>
      <w:r w:rsidR="00FC56F5">
        <w:rPr>
          <w:bCs/>
        </w:rPr>
        <w:t xml:space="preserve"> </w:t>
      </w:r>
      <w:r w:rsidR="00A52E70">
        <w:rPr>
          <w:bCs/>
        </w:rPr>
        <w:t xml:space="preserve">to determine whether evidence </w:t>
      </w:r>
      <w:r>
        <w:rPr>
          <w:bCs/>
        </w:rPr>
        <w:t xml:space="preserve">supporting the charges </w:t>
      </w:r>
      <w:r w:rsidR="00A52E70">
        <w:rPr>
          <w:bCs/>
        </w:rPr>
        <w:t xml:space="preserve">was </w:t>
      </w:r>
      <w:r w:rsidRPr="00535B5A" w:rsidR="000A6588">
        <w:rPr>
          <w:bCs/>
        </w:rPr>
        <w:t>legally obtained.  (</w:t>
      </w:r>
      <w:r w:rsidRPr="00535B5A" w:rsidR="000A6588">
        <w:rPr>
          <w:bCs/>
          <w:i/>
          <w:iCs/>
        </w:rPr>
        <w:t>Ferrer</w:t>
      </w:r>
      <w:r w:rsidRPr="00535B5A" w:rsidR="000A6588">
        <w:rPr>
          <w:bCs/>
        </w:rPr>
        <w:t xml:space="preserve">, </w:t>
      </w:r>
      <w:r w:rsidRPr="00535B5A" w:rsidR="000A6588">
        <w:rPr>
          <w:bCs/>
          <w:i/>
        </w:rPr>
        <w:t>supra</w:t>
      </w:r>
      <w:r w:rsidRPr="00535B5A" w:rsidR="000A6588">
        <w:rPr>
          <w:bCs/>
        </w:rPr>
        <w:t xml:space="preserve">, 184 Cal.App.4th at p. 885.)  Indeed, the policy balance is arguably even more compelling in the suppression hearing context because, unlike </w:t>
      </w:r>
      <w:r w:rsidRPr="00535B5A" w:rsidR="007E7DA7">
        <w:rPr>
          <w:bCs/>
        </w:rPr>
        <w:t>preliminary hearings and trial, the Legislature “has not provided any independent right to a speedy suppression hearing.”  (</w:t>
      </w:r>
      <w:r w:rsidRPr="00535B5A" w:rsidR="007E7DA7">
        <w:rPr>
          <w:bCs/>
          <w:i/>
          <w:iCs/>
        </w:rPr>
        <w:t>Id</w:t>
      </w:r>
      <w:r w:rsidRPr="00535B5A" w:rsidR="007E7DA7">
        <w:rPr>
          <w:bCs/>
        </w:rPr>
        <w:t>. at p. 884.)  It would be anomalous to conclude the Legislature intended greater protection for a defendant’s interest in a prompt suppression hearing than in a prompt preliminary hearing or trial.  (</w:t>
      </w:r>
      <w:r w:rsidRPr="00535B5A" w:rsidR="007E7DA7">
        <w:rPr>
          <w:bCs/>
          <w:i/>
          <w:iCs/>
        </w:rPr>
        <w:t>Ibid</w:t>
      </w:r>
      <w:r w:rsidRPr="00535B5A" w:rsidR="007E7DA7">
        <w:rPr>
          <w:bCs/>
        </w:rPr>
        <w:t>.)</w:t>
      </w:r>
      <w:r>
        <w:rPr>
          <w:rStyle w:val="FootnoteReference"/>
          <w:bCs/>
        </w:rPr>
        <w:footnoteReference w:id="8"/>
      </w:r>
      <w:r w:rsidRPr="00535B5A" w:rsidR="007E7DA7">
        <w:rPr>
          <w:bCs/>
        </w:rPr>
        <w:t xml:space="preserve">  Accordingly, </w:t>
      </w:r>
      <w:r w:rsidRPr="00535B5A" w:rsidR="007E7DA7">
        <w:rPr>
          <w:bCs/>
          <w:i/>
          <w:iCs/>
        </w:rPr>
        <w:t>Ferrer</w:t>
      </w:r>
      <w:r w:rsidRPr="00535B5A" w:rsidR="007E7DA7">
        <w:rPr>
          <w:bCs/>
        </w:rPr>
        <w:t xml:space="preserve"> concluded</w:t>
      </w:r>
      <w:r w:rsidRPr="00535B5A" w:rsidR="0037161B">
        <w:rPr>
          <w:bCs/>
        </w:rPr>
        <w:t>,</w:t>
      </w:r>
      <w:r w:rsidRPr="00535B5A" w:rsidR="007E7DA7">
        <w:rPr>
          <w:bCs/>
        </w:rPr>
        <w:t xml:space="preserve"> “the Legislature did not intend for a dismissal to result unless the requested continuance results in violation of a statutory time limit (such as </w:t>
      </w:r>
      <w:r w:rsidR="00623464">
        <w:rPr>
          <w:bCs/>
        </w:rPr>
        <w:t>§ </w:t>
      </w:r>
      <w:r w:rsidRPr="00535B5A" w:rsidR="007E7DA7">
        <w:rPr>
          <w:bCs/>
        </w:rPr>
        <w:t xml:space="preserve">859b or </w:t>
      </w:r>
      <w:r w:rsidR="00623464">
        <w:rPr>
          <w:bCs/>
        </w:rPr>
        <w:t>§ </w:t>
      </w:r>
      <w:r w:rsidRPr="00535B5A" w:rsidR="007E7DA7">
        <w:rPr>
          <w:bCs/>
        </w:rPr>
        <w:t xml:space="preserve">1382) or defendant’s constitutional right to a fair trial (see </w:t>
      </w:r>
      <w:r w:rsidRPr="00535B5A" w:rsidR="007E7DA7">
        <w:rPr>
          <w:bCs/>
          <w:i/>
          <w:iCs/>
        </w:rPr>
        <w:t>Henderson</w:t>
      </w:r>
      <w:r w:rsidRPr="00535B5A" w:rsidR="007E7DA7">
        <w:rPr>
          <w:bCs/>
        </w:rPr>
        <w:t xml:space="preserve">, </w:t>
      </w:r>
      <w:r w:rsidRPr="00535B5A" w:rsidR="007E7DA7">
        <w:rPr>
          <w:bCs/>
          <w:i/>
          <w:iCs/>
        </w:rPr>
        <w:t>supra</w:t>
      </w:r>
      <w:r w:rsidRPr="00535B5A" w:rsidR="007E7DA7">
        <w:rPr>
          <w:bCs/>
        </w:rPr>
        <w:t>, 115 Cal.App.4th at p. 940).”  (</w:t>
      </w:r>
      <w:r w:rsidRPr="004C7A05" w:rsidR="004C7A05">
        <w:rPr>
          <w:bCs/>
          <w:i/>
          <w:iCs/>
        </w:rPr>
        <w:t>Ferrer</w:t>
      </w:r>
      <w:r w:rsidR="004C7A05">
        <w:rPr>
          <w:bCs/>
        </w:rPr>
        <w:t>, at p. 884</w:t>
      </w:r>
      <w:r w:rsidR="00FD460D">
        <w:rPr>
          <w:bCs/>
        </w:rPr>
        <w:t>, fn. omitted.</w:t>
      </w:r>
      <w:r w:rsidRPr="00535B5A" w:rsidR="007E7DA7">
        <w:rPr>
          <w:bCs/>
        </w:rPr>
        <w:t>)</w:t>
      </w:r>
    </w:p>
    <w:p w:rsidR="00AE4DC3" w:rsidRPr="00535B5A" w:rsidP="00535B5A" w14:paraId="0088CD8F" w14:textId="4546C64E">
      <w:pPr>
        <w:tabs>
          <w:tab w:val="left" w:pos="720"/>
        </w:tabs>
      </w:pPr>
      <w:r w:rsidRPr="00535B5A">
        <w:rPr>
          <w:bCs/>
        </w:rPr>
        <w:tab/>
        <w:t xml:space="preserve">The Court of Appeal below disagreed with </w:t>
      </w:r>
      <w:r w:rsidRPr="00535B5A">
        <w:rPr>
          <w:bCs/>
          <w:i/>
          <w:iCs/>
        </w:rPr>
        <w:t>Ferrer</w:t>
      </w:r>
      <w:r w:rsidRPr="00535B5A">
        <w:rPr>
          <w:bCs/>
        </w:rPr>
        <w:t>’s reading of both the statutory text and legislative history.</w:t>
      </w:r>
      <w:r w:rsidRPr="00535B5A">
        <w:rPr>
          <w:bCs/>
        </w:rPr>
        <w:t xml:space="preserve">  </w:t>
      </w:r>
      <w:r w:rsidRPr="00535B5A">
        <w:t>Construing section 1050, subdivision (</w:t>
      </w:r>
      <w:r w:rsidRPr="00535B5A">
        <w:rPr>
          <w:i/>
          <w:iCs/>
        </w:rPr>
        <w:t>l</w:t>
      </w:r>
      <w:r w:rsidRPr="00535B5A">
        <w:t xml:space="preserve">)’s statement that the statute </w:t>
      </w:r>
      <w:r w:rsidR="00834D54">
        <w:t>“</w:t>
      </w:r>
      <w:r w:rsidRPr="00535B5A">
        <w:t xml:space="preserve">does not mandate dismissal of an action by its terms,” the court noted that the provision does not </w:t>
      </w:r>
      <w:r w:rsidRPr="00602DAA">
        <w:rPr>
          <w:i/>
          <w:iCs/>
        </w:rPr>
        <w:t>require</w:t>
      </w:r>
      <w:r w:rsidRPr="00000F9C">
        <w:t xml:space="preserve"> </w:t>
      </w:r>
      <w:r w:rsidRPr="00535B5A">
        <w:t xml:space="preserve">dismissal but does not </w:t>
      </w:r>
      <w:r w:rsidRPr="00535B5A">
        <w:rPr>
          <w:i/>
          <w:iCs/>
        </w:rPr>
        <w:t>preclude</w:t>
      </w:r>
      <w:r w:rsidRPr="00535B5A">
        <w:t xml:space="preserve"> dismissal either.  It observed the statute “can hardly stand for proposition that the trial court has no authority — for example, under section 1385 </w:t>
      </w:r>
      <w:r w:rsidR="00000F9C">
        <w:t>. . .</w:t>
      </w:r>
      <w:r w:rsidR="00017819">
        <w:t> </w:t>
      </w:r>
      <w:r w:rsidRPr="00535B5A" w:rsidR="00000F9C">
        <w:t>—</w:t>
      </w:r>
      <w:r w:rsidR="00B34E20">
        <w:t xml:space="preserve"> </w:t>
      </w:r>
      <w:r w:rsidRPr="00535B5A">
        <w:t>to dismiss an action in the first place.”  (</w:t>
      </w:r>
      <w:r w:rsidRPr="00535B5A">
        <w:rPr>
          <w:i/>
          <w:iCs/>
        </w:rPr>
        <w:t>Brown</w:t>
      </w:r>
      <w:r w:rsidRPr="00535B5A">
        <w:t xml:space="preserve">, </w:t>
      </w:r>
      <w:r w:rsidRPr="00535B5A">
        <w:rPr>
          <w:i/>
        </w:rPr>
        <w:t>supra</w:t>
      </w:r>
      <w:r w:rsidRPr="00535B5A">
        <w:t xml:space="preserve">, 69 Cal.App.5th at p. 26, fn. omitted.)  </w:t>
      </w:r>
      <w:r w:rsidRPr="00535B5A" w:rsidR="00A6448E">
        <w:t xml:space="preserve">The court concluded there was no basis in the statutory text for </w:t>
      </w:r>
      <w:r w:rsidRPr="00535B5A" w:rsidR="00A6448E">
        <w:rPr>
          <w:i/>
          <w:iCs/>
        </w:rPr>
        <w:t>Ferrer</w:t>
      </w:r>
      <w:r w:rsidRPr="00535B5A" w:rsidR="00A6448E">
        <w:t>’s rule.  (</w:t>
      </w:r>
      <w:r w:rsidRPr="00535B5A" w:rsidR="00A6448E">
        <w:rPr>
          <w:i/>
          <w:iCs/>
        </w:rPr>
        <w:t>Id</w:t>
      </w:r>
      <w:r w:rsidRPr="00535B5A" w:rsidR="00A6448E">
        <w:t>. at p. 25.)</w:t>
      </w:r>
    </w:p>
    <w:p w:rsidR="00E5325A" w:rsidRPr="00535B5A" w:rsidP="00535B5A" w14:paraId="3A48EA05" w14:textId="4ABBA89E">
      <w:pPr>
        <w:tabs>
          <w:tab w:val="left" w:pos="720"/>
        </w:tabs>
        <w:rPr>
          <w:bCs/>
        </w:rPr>
      </w:pPr>
      <w:r w:rsidRPr="00535B5A">
        <w:tab/>
      </w:r>
      <w:r w:rsidRPr="00535B5A" w:rsidR="00A6448E">
        <w:t xml:space="preserve">In disagreeing with </w:t>
      </w:r>
      <w:r w:rsidRPr="00535B5A" w:rsidR="00A6448E">
        <w:rPr>
          <w:i/>
          <w:iCs/>
        </w:rPr>
        <w:t>Ferrer</w:t>
      </w:r>
      <w:r w:rsidRPr="00535B5A" w:rsidR="00A6448E">
        <w:t xml:space="preserve">’s reading </w:t>
      </w:r>
      <w:r w:rsidRPr="00535B5A">
        <w:t>of legislative history</w:t>
      </w:r>
      <w:r w:rsidRPr="00535B5A" w:rsidR="00A6448E">
        <w:t xml:space="preserve">, the Court of Appeal </w:t>
      </w:r>
      <w:r w:rsidRPr="00535B5A">
        <w:t xml:space="preserve">focused on language that was removed from the original version of Assembly Bill No. 1273.  As introduced, the bill proposed to add an express exception to section 1050’s good cause requirement.  </w:t>
      </w:r>
      <w:r w:rsidR="00E154D6">
        <w:t xml:space="preserve">Proposed </w:t>
      </w:r>
      <w:r w:rsidRPr="00535B5A">
        <w:t>subdivision (e)(2) would have stated:  “</w:t>
      </w:r>
      <w:r w:rsidRPr="00EF69CF">
        <w:t>The good cause requirement shall not apply to a prosecution or defense motion to continue a felony trial to a date not more than 60 days from the date of the defendant’s arraignment on the information, or to a date not more than 10 days from a trial date set following the defendant’s waiver pursuant to [section 1382, subdivision (a)(2)(B)].  This exception to the requirement of a finding of good cause is intended to codify existing case law</w:t>
      </w:r>
      <w:r w:rsidRPr="00535B5A">
        <w:t xml:space="preserve">.”  </w:t>
      </w:r>
      <w:r w:rsidRPr="00535B5A">
        <w:rPr>
          <w:bCs/>
        </w:rPr>
        <w:t>(Assem. Bill No. 1273 (2003</w:t>
      </w:r>
      <w:r w:rsidR="00E93EF2">
        <w:rPr>
          <w:bCs/>
        </w:rPr>
        <w:t>–</w:t>
      </w:r>
      <w:r w:rsidRPr="00535B5A">
        <w:rPr>
          <w:bCs/>
        </w:rPr>
        <w:t xml:space="preserve">2004 Reg. Sess.) as introduced Feb. 21, 2003, § 1.) </w:t>
      </w:r>
      <w:r w:rsidRPr="00535B5A">
        <w:t xml:space="preserve"> </w:t>
      </w:r>
      <w:r w:rsidR="00E154D6">
        <w:t>A</w:t>
      </w:r>
      <w:r w:rsidRPr="00535B5A">
        <w:t xml:space="preserve">mendments removed this proposed language, </w:t>
      </w:r>
      <w:r w:rsidRPr="00535B5A" w:rsidR="004C2F31">
        <w:t xml:space="preserve">which would have eliminated the good cause requirement for continuances within the speedy trial period, and </w:t>
      </w:r>
      <w:r w:rsidRPr="00535B5A">
        <w:t>replac</w:t>
      </w:r>
      <w:r w:rsidRPr="00535B5A" w:rsidR="004C2F31">
        <w:t>ed</w:t>
      </w:r>
      <w:r w:rsidRPr="00535B5A">
        <w:t xml:space="preserve"> it with subdivision (</w:t>
      </w:r>
      <w:r w:rsidRPr="00535B5A">
        <w:rPr>
          <w:i/>
          <w:iCs/>
        </w:rPr>
        <w:t>l</w:t>
      </w:r>
      <w:r w:rsidRPr="00535B5A">
        <w:t>)</w:t>
      </w:r>
      <w:r w:rsidRPr="00535B5A" w:rsidR="004C2F31">
        <w:t xml:space="preserve"> </w:t>
      </w:r>
      <w:r w:rsidRPr="00535B5A">
        <w:t xml:space="preserve">and </w:t>
      </w:r>
      <w:r w:rsidRPr="00535B5A" w:rsidR="004C2F31">
        <w:t>an</w:t>
      </w:r>
      <w:r w:rsidRPr="00535B5A">
        <w:t xml:space="preserve"> amendment </w:t>
      </w:r>
      <w:r w:rsidRPr="00535B5A" w:rsidR="004C2F31">
        <w:t>to</w:t>
      </w:r>
      <w:r w:rsidRPr="00535B5A">
        <w:t xml:space="preserve"> section 1050.5, subdivision</w:t>
      </w:r>
      <w:r w:rsidRPr="00535B5A" w:rsidR="004C2F31">
        <w:t> </w:t>
      </w:r>
      <w:r w:rsidRPr="00535B5A">
        <w:t>(b) specifying that “the court or magistrate shall not dismiss the case” as a sanction</w:t>
      </w:r>
      <w:r w:rsidRPr="00535B5A">
        <w:rPr>
          <w:bCs/>
        </w:rPr>
        <w:t>.  (Assem. Amend. to Assem. Bill No. 1273 (2003</w:t>
      </w:r>
      <w:r w:rsidR="00E93EF2">
        <w:rPr>
          <w:bCs/>
        </w:rPr>
        <w:t>–</w:t>
      </w:r>
      <w:r w:rsidRPr="00535B5A">
        <w:rPr>
          <w:bCs/>
        </w:rPr>
        <w:t>2004 Reg. Sess.) May 1, 2003, § </w:t>
      </w:r>
      <w:r w:rsidR="00613E40">
        <w:rPr>
          <w:bCs/>
        </w:rPr>
        <w:t>2</w:t>
      </w:r>
      <w:r w:rsidRPr="00535B5A">
        <w:rPr>
          <w:bCs/>
        </w:rPr>
        <w:t>.)</w:t>
      </w:r>
    </w:p>
    <w:p w:rsidR="004C2F31" w:rsidRPr="00535B5A" w:rsidP="00535B5A" w14:paraId="4D7E8351" w14:textId="759593E1">
      <w:pPr>
        <w:tabs>
          <w:tab w:val="left" w:pos="720"/>
        </w:tabs>
        <w:rPr>
          <w:bCs/>
        </w:rPr>
      </w:pPr>
      <w:r w:rsidRPr="00535B5A">
        <w:rPr>
          <w:bCs/>
        </w:rPr>
        <w:tab/>
      </w:r>
      <w:r w:rsidRPr="00535B5A" w:rsidR="007140D5">
        <w:t xml:space="preserve">As discussed, </w:t>
      </w:r>
      <w:r w:rsidR="00EE3B4A">
        <w:t xml:space="preserve">even after the amendment, </w:t>
      </w:r>
      <w:r w:rsidRPr="00535B5A" w:rsidR="007140D5">
        <w:t>committee reports consistently state</w:t>
      </w:r>
      <w:r w:rsidRPr="00535B5A">
        <w:t>d</w:t>
      </w:r>
      <w:r w:rsidRPr="00535B5A" w:rsidR="007140D5">
        <w:t xml:space="preserve"> that </w:t>
      </w:r>
      <w:r w:rsidRPr="00535B5A">
        <w:rPr>
          <w:bCs/>
        </w:rPr>
        <w:t>Assembly</w:t>
      </w:r>
      <w:r w:rsidRPr="00535B5A" w:rsidR="007140D5">
        <w:rPr>
          <w:bCs/>
        </w:rPr>
        <w:t xml:space="preserve"> </w:t>
      </w:r>
      <w:r w:rsidRPr="00535B5A">
        <w:rPr>
          <w:bCs/>
        </w:rPr>
        <w:t>B</w:t>
      </w:r>
      <w:r w:rsidRPr="00535B5A" w:rsidR="007140D5">
        <w:rPr>
          <w:bCs/>
        </w:rPr>
        <w:t>ill</w:t>
      </w:r>
      <w:r w:rsidRPr="00535B5A">
        <w:rPr>
          <w:bCs/>
        </w:rPr>
        <w:t xml:space="preserve"> No. 1273</w:t>
      </w:r>
      <w:r w:rsidRPr="00535B5A" w:rsidR="007140D5">
        <w:rPr>
          <w:bCs/>
        </w:rPr>
        <w:t xml:space="preserve">’s purpose </w:t>
      </w:r>
      <w:r w:rsidRPr="00535B5A" w:rsidR="007140D5">
        <w:t>was to codify case law holding that dismissals resulting from a party’s failure to satisfy the requirements for a continuance are disfavored.  (See</w:t>
      </w:r>
      <w:r w:rsidRPr="00535B5A">
        <w:t>, e.g.,</w:t>
      </w:r>
      <w:r w:rsidRPr="00535B5A" w:rsidR="007140D5">
        <w:t xml:space="preserve"> Sen. Com. on Pub. Safety, Rep. on Assem. Bill No. 1273, </w:t>
      </w:r>
      <w:r w:rsidRPr="00535B5A" w:rsidR="007140D5">
        <w:rPr>
          <w:i/>
          <w:iCs/>
        </w:rPr>
        <w:t>supra</w:t>
      </w:r>
      <w:r w:rsidRPr="00535B5A" w:rsidR="007140D5">
        <w:t>, p. 2; Sen. Rules Com., Off of Sen. Floor Analyses, 3d reading of analysis of Assem. Bill No. 1273</w:t>
      </w:r>
      <w:r w:rsidRPr="00535B5A">
        <w:t xml:space="preserve">, </w:t>
      </w:r>
      <w:r w:rsidRPr="00535B5A">
        <w:rPr>
          <w:i/>
        </w:rPr>
        <w:t>supra</w:t>
      </w:r>
      <w:r w:rsidRPr="00535B5A">
        <w:t xml:space="preserve">, </w:t>
      </w:r>
      <w:r w:rsidRPr="00535B5A" w:rsidR="007140D5">
        <w:t>p. 1.)  The Court of Appeal</w:t>
      </w:r>
      <w:r w:rsidR="00FF7A31">
        <w:t xml:space="preserve"> below </w:t>
      </w:r>
      <w:r w:rsidRPr="00535B5A" w:rsidR="007140D5">
        <w:t xml:space="preserve">asserted these </w:t>
      </w:r>
      <w:r w:rsidRPr="00535B5A" w:rsidR="0020224C">
        <w:t>statements of purpose</w:t>
      </w:r>
      <w:r w:rsidRPr="00535B5A" w:rsidR="007140D5">
        <w:t xml:space="preserve"> </w:t>
      </w:r>
      <w:r w:rsidRPr="00535B5A" w:rsidR="0020224C">
        <w:t xml:space="preserve">should be disregarded because they </w:t>
      </w:r>
      <w:r w:rsidRPr="00535B5A" w:rsidR="007140D5">
        <w:t xml:space="preserve">were erroneously referring to the original version of the bill.  </w:t>
      </w:r>
      <w:r w:rsidRPr="00535B5A" w:rsidR="007140D5">
        <w:rPr>
          <w:bCs/>
        </w:rPr>
        <w:t xml:space="preserve">(See </w:t>
      </w:r>
      <w:r w:rsidRPr="00535B5A" w:rsidR="007140D5">
        <w:rPr>
          <w:bCs/>
          <w:i/>
          <w:iCs/>
        </w:rPr>
        <w:t>Brown</w:t>
      </w:r>
      <w:r w:rsidRPr="00535B5A" w:rsidR="007140D5">
        <w:rPr>
          <w:bCs/>
        </w:rPr>
        <w:t xml:space="preserve">, </w:t>
      </w:r>
      <w:r w:rsidRPr="00535B5A" w:rsidR="007140D5">
        <w:rPr>
          <w:bCs/>
          <w:i/>
        </w:rPr>
        <w:t>supra</w:t>
      </w:r>
      <w:r w:rsidRPr="00535B5A" w:rsidR="007140D5">
        <w:rPr>
          <w:bCs/>
        </w:rPr>
        <w:t>, 69 Cal.App.5th at p. 29.)</w:t>
      </w:r>
      <w:r w:rsidRPr="00535B5A" w:rsidR="0020224C">
        <w:rPr>
          <w:bCs/>
        </w:rPr>
        <w:t xml:space="preserve">  Instead, the court stressed that the changes to sections 1050 and 1050.5 actually enacted did not eliminate the good cause requirement and did not prohibit dismissals.  Accordingly, the court concluded, trial courts have authority to deny a continuance unsupported by good cause “even if this decision may foreseeably result in a dismissal of the matter for lack of evidence.”  (</w:t>
      </w:r>
      <w:r w:rsidRPr="00535B5A" w:rsidR="0020224C">
        <w:rPr>
          <w:bCs/>
          <w:i/>
          <w:iCs/>
        </w:rPr>
        <w:t>Brown</w:t>
      </w:r>
      <w:r w:rsidRPr="00535B5A" w:rsidR="0020224C">
        <w:rPr>
          <w:bCs/>
        </w:rPr>
        <w:t>, at p. 32.)</w:t>
      </w:r>
      <w:r w:rsidR="00FF7A31">
        <w:rPr>
          <w:bCs/>
        </w:rPr>
        <w:t xml:space="preserve"> </w:t>
      </w:r>
      <w:r w:rsidR="00000F9C">
        <w:rPr>
          <w:bCs/>
        </w:rPr>
        <w:t xml:space="preserve"> </w:t>
      </w:r>
      <w:r w:rsidR="00FF7A31">
        <w:rPr>
          <w:bCs/>
        </w:rPr>
        <w:t>That reading is over</w:t>
      </w:r>
      <w:r w:rsidR="00000F9C">
        <w:rPr>
          <w:bCs/>
        </w:rPr>
        <w:t>ly</w:t>
      </w:r>
      <w:r w:rsidR="00FF7A31">
        <w:rPr>
          <w:bCs/>
        </w:rPr>
        <w:t xml:space="preserve"> expansive</w:t>
      </w:r>
      <w:r w:rsidR="007E77FD">
        <w:rPr>
          <w:bCs/>
        </w:rPr>
        <w:t>.</w:t>
      </w:r>
      <w:r w:rsidR="00FF7A31">
        <w:rPr>
          <w:bCs/>
        </w:rPr>
        <w:t xml:space="preserve"> </w:t>
      </w:r>
    </w:p>
    <w:p w:rsidR="00AE4DC3" w:rsidRPr="00634036" w:rsidP="00535B5A" w14:paraId="36367192" w14:textId="7B2BCB7C">
      <w:pPr>
        <w:tabs>
          <w:tab w:val="left" w:pos="720"/>
        </w:tabs>
      </w:pPr>
      <w:r w:rsidRPr="00535B5A">
        <w:rPr>
          <w:bCs/>
        </w:rPr>
        <w:tab/>
      </w:r>
      <w:r w:rsidRPr="00535B5A">
        <w:t xml:space="preserve">Although legislative history does not </w:t>
      </w:r>
      <w:r w:rsidRPr="00535B5A" w:rsidR="00C942C8">
        <w:t>disclose why the original bill was amended</w:t>
      </w:r>
      <w:r w:rsidRPr="00535B5A">
        <w:t xml:space="preserve">, it is evident that the Legislature did not want to abandon the requirement that parties seeking a continuance show good cause </w:t>
      </w:r>
      <w:r w:rsidR="00AB010B">
        <w:t xml:space="preserve">for </w:t>
      </w:r>
      <w:r w:rsidRPr="00535B5A">
        <w:t>the attendant delay</w:t>
      </w:r>
      <w:r w:rsidR="009A411B">
        <w:t xml:space="preserve"> or </w:t>
      </w:r>
      <w:r w:rsidR="00C875D5">
        <w:t xml:space="preserve">potentially </w:t>
      </w:r>
      <w:r w:rsidR="009A411B">
        <w:t>face sanctions</w:t>
      </w:r>
      <w:r w:rsidRPr="00535B5A">
        <w:t xml:space="preserve">.  That choice is consistent with </w:t>
      </w:r>
      <w:r w:rsidR="00EF219A">
        <w:t>the statute’s express</w:t>
      </w:r>
      <w:r w:rsidRPr="00535B5A" w:rsidR="00EF219A">
        <w:t xml:space="preserve"> </w:t>
      </w:r>
      <w:r w:rsidRPr="00535B5A">
        <w:t xml:space="preserve">intent to discourage unwarranted continuances and to change a legal culture in which continuances had become </w:t>
      </w:r>
      <w:r w:rsidR="009A411B">
        <w:t>unaccept</w:t>
      </w:r>
      <w:r w:rsidR="009664BE">
        <w:t xml:space="preserve">ably </w:t>
      </w:r>
      <w:r w:rsidRPr="00535B5A">
        <w:t>commonplace.</w:t>
      </w:r>
      <w:r w:rsidR="00EF219A">
        <w:t xml:space="preserve">  (See </w:t>
      </w:r>
      <w:r w:rsidR="00EF219A">
        <w:rPr>
          <w:rFonts w:ascii="Times New Roman" w:hAnsi="Times New Roman"/>
        </w:rPr>
        <w:t>§</w:t>
      </w:r>
      <w:r w:rsidR="00EF219A">
        <w:t> 1050, subd. (a).)</w:t>
      </w:r>
      <w:r w:rsidRPr="00535B5A">
        <w:t xml:space="preserve">  But it does not follow that the amendment signaled </w:t>
      </w:r>
      <w:r w:rsidR="00A606BD">
        <w:t xml:space="preserve">an intent to read </w:t>
      </w:r>
      <w:r w:rsidR="00B439C0">
        <w:t>a new</w:t>
      </w:r>
      <w:r w:rsidR="00A606BD">
        <w:t xml:space="preserve"> dismissal authority into section</w:t>
      </w:r>
      <w:r w:rsidR="00C875D5">
        <w:t> </w:t>
      </w:r>
      <w:r w:rsidR="00A606BD">
        <w:t>1050</w:t>
      </w:r>
      <w:r w:rsidR="00B439C0">
        <w:t xml:space="preserve"> and upset the balance between the court’s control of its calendar and </w:t>
      </w:r>
      <w:r w:rsidR="006705EE">
        <w:t xml:space="preserve">a strong </w:t>
      </w:r>
      <w:r w:rsidR="00C875D5">
        <w:t xml:space="preserve">policy </w:t>
      </w:r>
      <w:r w:rsidR="006705EE">
        <w:t xml:space="preserve">preference for cases to be resolved on their merits. </w:t>
      </w:r>
      <w:r w:rsidR="00B5118B">
        <w:t xml:space="preserve"> </w:t>
      </w:r>
      <w:r w:rsidRPr="00535B5A" w:rsidR="00B5118B">
        <w:t xml:space="preserve">Because the Legislature chose to retain the good cause requirement, prosecutors who seek a continuance within the speedy trial window </w:t>
      </w:r>
      <w:r w:rsidR="00D976E7">
        <w:t>remain</w:t>
      </w:r>
      <w:r w:rsidRPr="00535B5A" w:rsidR="00B5118B">
        <w:t xml:space="preserve"> obligated to provide the court with a showing of </w:t>
      </w:r>
      <w:r w:rsidR="00D976E7">
        <w:t>necessity</w:t>
      </w:r>
      <w:r w:rsidRPr="00535B5A" w:rsidR="00B5118B">
        <w:t xml:space="preserve">.  </w:t>
      </w:r>
      <w:r w:rsidR="00EF219A">
        <w:t>But i</w:t>
      </w:r>
      <w:r w:rsidRPr="00535B5A" w:rsidR="00B5118B">
        <w:t xml:space="preserve">f they do not, case law codified in Assembly Bill No. 1273 places limits on </w:t>
      </w:r>
      <w:r w:rsidR="00245E01">
        <w:t>the court’s ability to deny the continuance</w:t>
      </w:r>
      <w:r w:rsidRPr="00535B5A" w:rsidR="00B5118B">
        <w:t xml:space="preserve"> when such a denial will foreseeably result in dismissal of the case.</w:t>
      </w:r>
      <w:r w:rsidR="006705EE">
        <w:t xml:space="preserve"> </w:t>
      </w:r>
    </w:p>
    <w:p w:rsidR="00AE4DC3" w:rsidRPr="00535B5A" w:rsidP="00535B5A" w14:paraId="2118BF66" w14:textId="2571DD96">
      <w:pPr>
        <w:keepNext/>
        <w:rPr>
          <w:i/>
          <w:iCs/>
        </w:rPr>
      </w:pPr>
      <w:r w:rsidRPr="00535B5A">
        <w:t>D.</w:t>
      </w:r>
      <w:r w:rsidRPr="00535B5A">
        <w:tab/>
      </w:r>
      <w:r w:rsidRPr="00535B5A" w:rsidR="00C942C8">
        <w:rPr>
          <w:i/>
          <w:iCs/>
        </w:rPr>
        <w:t xml:space="preserve">Limits on the Court’s Discretion </w:t>
      </w:r>
      <w:r w:rsidR="00081705">
        <w:rPr>
          <w:i/>
          <w:iCs/>
        </w:rPr>
        <w:t>T</w:t>
      </w:r>
      <w:r w:rsidRPr="00535B5A" w:rsidR="00C942C8">
        <w:rPr>
          <w:i/>
          <w:iCs/>
        </w:rPr>
        <w:t>o Deny a Continuance</w:t>
      </w:r>
    </w:p>
    <w:p w:rsidR="00332309" w:rsidRPr="00535B5A" w:rsidP="00535B5A" w14:paraId="0A4B95EA" w14:textId="21E5B718">
      <w:pPr>
        <w:rPr>
          <w:bCs/>
        </w:rPr>
      </w:pPr>
      <w:r w:rsidRPr="00535B5A">
        <w:rPr>
          <w:bCs/>
        </w:rPr>
        <w:tab/>
      </w:r>
      <w:r w:rsidR="00BE473E">
        <w:rPr>
          <w:bCs/>
        </w:rPr>
        <w:t xml:space="preserve">As we explain, a </w:t>
      </w:r>
      <w:r w:rsidRPr="00535B5A">
        <w:rPr>
          <w:bCs/>
        </w:rPr>
        <w:t xml:space="preserve">review </w:t>
      </w:r>
      <w:r w:rsidRPr="00535B5A">
        <w:rPr>
          <w:bCs/>
        </w:rPr>
        <w:t xml:space="preserve">of the relevant statutory text, legislative history, and case law leads us to a different conclusion </w:t>
      </w:r>
      <w:r w:rsidR="00BE473E">
        <w:rPr>
          <w:bCs/>
        </w:rPr>
        <w:t xml:space="preserve">from </w:t>
      </w:r>
      <w:r w:rsidRPr="00535B5A" w:rsidR="00EA20B8">
        <w:rPr>
          <w:bCs/>
        </w:rPr>
        <w:t xml:space="preserve">that </w:t>
      </w:r>
      <w:r w:rsidRPr="00535B5A">
        <w:rPr>
          <w:bCs/>
        </w:rPr>
        <w:t xml:space="preserve">reached by </w:t>
      </w:r>
      <w:r w:rsidRPr="00535B5A">
        <w:rPr>
          <w:bCs/>
        </w:rPr>
        <w:t>t</w:t>
      </w:r>
      <w:r w:rsidRPr="00535B5A">
        <w:rPr>
          <w:bCs/>
        </w:rPr>
        <w:t>he Court of Appeal below</w:t>
      </w:r>
      <w:r w:rsidR="00057BE7">
        <w:rPr>
          <w:bCs/>
        </w:rPr>
        <w:t xml:space="preserve">. </w:t>
      </w:r>
      <w:r w:rsidR="00D976E7">
        <w:rPr>
          <w:bCs/>
        </w:rPr>
        <w:t xml:space="preserve"> </w:t>
      </w:r>
      <w:r w:rsidR="00057BE7">
        <w:rPr>
          <w:bCs/>
        </w:rPr>
        <w:t>However</w:t>
      </w:r>
      <w:r w:rsidR="006868F0">
        <w:rPr>
          <w:bCs/>
        </w:rPr>
        <w:t>,</w:t>
      </w:r>
      <w:r w:rsidR="00057BE7">
        <w:rPr>
          <w:bCs/>
        </w:rPr>
        <w:t xml:space="preserve"> we do not completely embrace</w:t>
      </w:r>
      <w:r w:rsidR="0038208B">
        <w:rPr>
          <w:bCs/>
        </w:rPr>
        <w:t xml:space="preserve"> </w:t>
      </w:r>
      <w:r w:rsidR="0038208B">
        <w:rPr>
          <w:bCs/>
          <w:i/>
          <w:iCs/>
        </w:rPr>
        <w:t xml:space="preserve">Ferrer’s </w:t>
      </w:r>
      <w:r w:rsidRPr="00535B5A">
        <w:rPr>
          <w:bCs/>
        </w:rPr>
        <w:t>statutory analysis</w:t>
      </w:r>
      <w:r w:rsidR="00534758">
        <w:rPr>
          <w:bCs/>
        </w:rPr>
        <w:t xml:space="preserve">, either.  </w:t>
      </w:r>
      <w:r w:rsidR="00D976E7">
        <w:t xml:space="preserve">The court below was correct to observe that the trial court retains its discretion to dismiss a case under section 1385.  But it overlooked the line of cases, codified in Assembly Bill No. 1273, holding it is an abuse of that discretion to dismiss a case </w:t>
      </w:r>
      <w:r w:rsidR="00847CAE">
        <w:t xml:space="preserve">based solely on a failure to show good cause </w:t>
      </w:r>
      <w:r w:rsidR="00D976E7">
        <w:t xml:space="preserve">when a continuance can be granted within the section 1382 window.  The </w:t>
      </w:r>
      <w:r w:rsidR="00D976E7">
        <w:rPr>
          <w:i/>
          <w:iCs/>
        </w:rPr>
        <w:t>Ferrer</w:t>
      </w:r>
      <w:r w:rsidR="00D976E7">
        <w:t xml:space="preserve"> court was correct in concluding that the trial court abuses its discretion when it declines </w:t>
      </w:r>
      <w:r w:rsidR="00227BD9">
        <w:t xml:space="preserve">such a request </w:t>
      </w:r>
      <w:r w:rsidR="00D976E7">
        <w:t xml:space="preserve">to continue a suppression hearing if a dismissal of the underlying case is reasonably foreseeable.  But it went astray in basing its analysis on sections 1050 and 1050.5.  </w:t>
      </w:r>
    </w:p>
    <w:p w:rsidR="003E1857" w:rsidP="00535B5A" w14:paraId="61FACFD2" w14:textId="198D8C19">
      <w:r>
        <w:rPr>
          <w:bCs/>
        </w:rPr>
        <w:tab/>
      </w:r>
      <w:r w:rsidR="00534758">
        <w:rPr>
          <w:bCs/>
        </w:rPr>
        <w:t>S</w:t>
      </w:r>
      <w:r w:rsidRPr="00535B5A" w:rsidR="00332309">
        <w:rPr>
          <w:bCs/>
        </w:rPr>
        <w:t xml:space="preserve">ections 1050 and 1050.5 </w:t>
      </w:r>
      <w:r w:rsidR="005D6939">
        <w:rPr>
          <w:bCs/>
        </w:rPr>
        <w:t xml:space="preserve">continue to </w:t>
      </w:r>
      <w:r w:rsidRPr="00535B5A" w:rsidR="00332309">
        <w:rPr>
          <w:bCs/>
        </w:rPr>
        <w:t xml:space="preserve">require a showing of good cause </w:t>
      </w:r>
      <w:r w:rsidR="005D6939">
        <w:rPr>
          <w:bCs/>
        </w:rPr>
        <w:t xml:space="preserve">that the </w:t>
      </w:r>
      <w:r w:rsidRPr="00535B5A" w:rsidR="00332309">
        <w:rPr>
          <w:bCs/>
        </w:rPr>
        <w:t>continuance of any criminal hearing</w:t>
      </w:r>
      <w:r w:rsidR="00337E5A">
        <w:rPr>
          <w:bCs/>
        </w:rPr>
        <w:t xml:space="preserve"> is necessary. </w:t>
      </w:r>
      <w:r w:rsidRPr="00535B5A" w:rsidR="00332309">
        <w:rPr>
          <w:bCs/>
        </w:rPr>
        <w:t xml:space="preserve"> </w:t>
      </w:r>
      <w:r w:rsidR="00337E5A">
        <w:rPr>
          <w:bCs/>
        </w:rPr>
        <w:t xml:space="preserve">They </w:t>
      </w:r>
      <w:r w:rsidRPr="00535B5A" w:rsidR="00332309">
        <w:rPr>
          <w:bCs/>
        </w:rPr>
        <w:t xml:space="preserve">do not prohibit the trial court from </w:t>
      </w:r>
      <w:r w:rsidRPr="00535B5A" w:rsidR="000121FD">
        <w:rPr>
          <w:bCs/>
        </w:rPr>
        <w:t xml:space="preserve">denying a </w:t>
      </w:r>
      <w:r w:rsidRPr="003E011F" w:rsidR="000121FD">
        <w:rPr>
          <w:bCs/>
          <w:i/>
          <w:iCs/>
        </w:rPr>
        <w:t>continuance</w:t>
      </w:r>
      <w:r w:rsidRPr="00535B5A" w:rsidR="000121FD">
        <w:rPr>
          <w:bCs/>
        </w:rPr>
        <w:t xml:space="preserve"> when</w:t>
      </w:r>
      <w:r w:rsidRPr="00535B5A" w:rsidR="00332309">
        <w:rPr>
          <w:bCs/>
        </w:rPr>
        <w:t xml:space="preserve"> the prosecutor</w:t>
      </w:r>
      <w:r w:rsidRPr="00535B5A" w:rsidR="000121FD">
        <w:rPr>
          <w:bCs/>
        </w:rPr>
        <w:t xml:space="preserve"> fails to make such a showing.  </w:t>
      </w:r>
      <w:r w:rsidRPr="00535B5A" w:rsidR="00EA20B8">
        <w:rPr>
          <w:bCs/>
        </w:rPr>
        <w:t>B</w:t>
      </w:r>
      <w:r w:rsidRPr="00535B5A" w:rsidR="000121FD">
        <w:rPr>
          <w:bCs/>
        </w:rPr>
        <w:t xml:space="preserve">ecause the continuance statutes do not themselves authorize </w:t>
      </w:r>
      <w:r w:rsidRPr="003E011F" w:rsidR="000121FD">
        <w:rPr>
          <w:bCs/>
          <w:i/>
          <w:iCs/>
        </w:rPr>
        <w:t xml:space="preserve">dismissal, </w:t>
      </w:r>
      <w:r w:rsidRPr="006E5384" w:rsidR="00EA20B8">
        <w:rPr>
          <w:bCs/>
        </w:rPr>
        <w:t xml:space="preserve">however, </w:t>
      </w:r>
      <w:r w:rsidRPr="006E5384" w:rsidR="000121FD">
        <w:rPr>
          <w:bCs/>
        </w:rPr>
        <w:t>a dismissal under these circumstances is</w:t>
      </w:r>
      <w:r w:rsidRPr="00535B5A" w:rsidR="000121FD">
        <w:rPr>
          <w:bCs/>
        </w:rPr>
        <w:t xml:space="preserve"> appropriate only if it is </w:t>
      </w:r>
      <w:r w:rsidRPr="00535B5A" w:rsidR="000121FD">
        <w:t>“in furtherance of justice.”  (§ 1385</w:t>
      </w:r>
      <w:r w:rsidR="00FE1939">
        <w:t>, subd.</w:t>
      </w:r>
      <w:r w:rsidR="00227BD9">
        <w:t> </w:t>
      </w:r>
      <w:r w:rsidR="00FE1939">
        <w:t>(a)</w:t>
      </w:r>
      <w:r w:rsidRPr="00535B5A" w:rsidR="000121FD">
        <w:t>.)</w:t>
      </w:r>
    </w:p>
    <w:p w:rsidR="00227BD9" w:rsidRPr="00535B5A" w:rsidP="00535B5A" w14:paraId="2757916D" w14:textId="35643628">
      <w:r>
        <w:tab/>
      </w:r>
      <w:r w:rsidRPr="008974C9">
        <w:rPr>
          <w:bCs/>
        </w:rPr>
        <w:t>Section 1385 grants trial courts the power to dismiss if, under the totality of the circumstances, after weighing “</w:t>
      </w:r>
      <w:r w:rsidR="00A970F2">
        <w:rPr>
          <w:bCs/>
        </w:rPr>
        <w:t> ‘</w:t>
      </w:r>
      <w:r w:rsidRPr="008974C9">
        <w:rPr>
          <w:bCs/>
        </w:rPr>
        <w:t xml:space="preserve">the constitutional rights of the defendant, and </w:t>
      </w:r>
      <w:r w:rsidRPr="000E68E8" w:rsidR="000A5EA2">
        <w:rPr>
          <w:bCs/>
          <w:i/>
          <w:iCs/>
        </w:rPr>
        <w:t>t</w:t>
      </w:r>
      <w:r w:rsidRPr="000E68E8">
        <w:rPr>
          <w:bCs/>
          <w:i/>
          <w:iCs/>
        </w:rPr>
        <w:t>he interests of society represented by the People</w:t>
      </w:r>
      <w:r w:rsidR="00A970F2">
        <w:rPr>
          <w:bCs/>
          <w:i/>
          <w:iCs/>
        </w:rPr>
        <w:t>’ </w:t>
      </w:r>
      <w:r w:rsidRPr="008974C9">
        <w:rPr>
          <w:bCs/>
        </w:rPr>
        <w:t>” (</w:t>
      </w:r>
      <w:r w:rsidRPr="008974C9">
        <w:rPr>
          <w:bCs/>
          <w:i/>
          <w:iCs/>
        </w:rPr>
        <w:t>Orin</w:t>
      </w:r>
      <w:r w:rsidRPr="008974C9">
        <w:rPr>
          <w:bCs/>
        </w:rPr>
        <w:t xml:space="preserve">, </w:t>
      </w:r>
      <w:r w:rsidRPr="008974C9">
        <w:rPr>
          <w:bCs/>
          <w:i/>
          <w:iCs/>
        </w:rPr>
        <w:t>supra</w:t>
      </w:r>
      <w:r w:rsidRPr="008974C9">
        <w:rPr>
          <w:bCs/>
        </w:rPr>
        <w:t>, 13 Cal.3d at p. 945), the court finds that dismissal would be “in furtherance of justice” (§ 1385, subd.</w:t>
      </w:r>
      <w:r>
        <w:rPr>
          <w:bCs/>
        </w:rPr>
        <w:t> </w:t>
      </w:r>
      <w:r w:rsidRPr="008974C9">
        <w:rPr>
          <w:bCs/>
        </w:rPr>
        <w:t>(a)).  In conducting this inquiry, a court may consider whether the prosecution acted abusively or in bad faith (</w:t>
      </w:r>
      <w:r w:rsidRPr="008974C9">
        <w:rPr>
          <w:bCs/>
          <w:i/>
          <w:iCs/>
        </w:rPr>
        <w:t>Torres</w:t>
      </w:r>
      <w:r w:rsidRPr="008974C9">
        <w:rPr>
          <w:bCs/>
        </w:rPr>
        <w:t xml:space="preserve">, </w:t>
      </w:r>
      <w:r w:rsidRPr="008974C9">
        <w:rPr>
          <w:bCs/>
          <w:i/>
        </w:rPr>
        <w:t>supra</w:t>
      </w:r>
      <w:r w:rsidRPr="008974C9">
        <w:rPr>
          <w:bCs/>
        </w:rPr>
        <w:t xml:space="preserve">, </w:t>
      </w:r>
      <w:r w:rsidRPr="008974C9">
        <w:t>159 Cal.App.3d Supp. at pp. 12–13), whether the defendant has suffered prejudice</w:t>
      </w:r>
      <w:r>
        <w:t xml:space="preserve"> </w:t>
      </w:r>
      <w:r w:rsidRPr="008974C9">
        <w:t>(</w:t>
      </w:r>
      <w:r w:rsidRPr="008974C9">
        <w:rPr>
          <w:bCs/>
          <w:i/>
          <w:iCs/>
        </w:rPr>
        <w:t>Kessel</w:t>
      </w:r>
      <w:r w:rsidRPr="008974C9">
        <w:rPr>
          <w:bCs/>
        </w:rPr>
        <w:t xml:space="preserve">, </w:t>
      </w:r>
      <w:r w:rsidRPr="008974C9">
        <w:rPr>
          <w:bCs/>
          <w:i/>
          <w:iCs/>
        </w:rPr>
        <w:t>supra</w:t>
      </w:r>
      <w:r w:rsidRPr="008974C9">
        <w:rPr>
          <w:bCs/>
        </w:rPr>
        <w:t>, 61 Cal.App.3d at p. 325</w:t>
      </w:r>
      <w:r w:rsidRPr="008974C9">
        <w:t>), society’s interest in the prosecution of the crime</w:t>
      </w:r>
      <w:r>
        <w:t xml:space="preserve"> </w:t>
      </w:r>
      <w:r w:rsidRPr="008974C9">
        <w:rPr>
          <w:bCs/>
        </w:rPr>
        <w:t>(</w:t>
      </w:r>
      <w:r w:rsidRPr="008974C9">
        <w:rPr>
          <w:bCs/>
          <w:i/>
          <w:iCs/>
        </w:rPr>
        <w:t>Orin</w:t>
      </w:r>
      <w:r w:rsidRPr="008974C9">
        <w:rPr>
          <w:bCs/>
        </w:rPr>
        <w:t>, at p. 945)</w:t>
      </w:r>
      <w:r w:rsidRPr="008974C9">
        <w:t xml:space="preserve">, and other relevant factors.   </w:t>
      </w:r>
    </w:p>
    <w:p w:rsidR="000121FD" w:rsidRPr="00535B5A" w:rsidP="00535B5A" w14:paraId="06A7C9A7" w14:textId="4F9D985B">
      <w:r w:rsidRPr="00535B5A">
        <w:tab/>
      </w:r>
      <w:r w:rsidRPr="00535B5A">
        <w:t xml:space="preserve">When the People are unable to proceed to trial </w:t>
      </w:r>
      <w:r w:rsidR="001F3619">
        <w:t>because the court has suppressed evidence following a hearing</w:t>
      </w:r>
      <w:r w:rsidR="00492E11">
        <w:t xml:space="preserve"> on the merits</w:t>
      </w:r>
      <w:r w:rsidR="001F3619">
        <w:t xml:space="preserve">, </w:t>
      </w:r>
      <w:r w:rsidR="00492E11">
        <w:t xml:space="preserve">a dismissal </w:t>
      </w:r>
      <w:r w:rsidRPr="00535B5A">
        <w:t>is generally appropriate under section</w:t>
      </w:r>
      <w:r w:rsidRPr="00535B5A">
        <w:t> </w:t>
      </w:r>
      <w:r w:rsidRPr="00535B5A">
        <w:t>1385</w:t>
      </w:r>
      <w:r w:rsidRPr="00535B5A">
        <w:rPr>
          <w:bCs/>
        </w:rPr>
        <w:t xml:space="preserve">.  (See </w:t>
      </w:r>
      <w:r w:rsidRPr="00535B5A">
        <w:rPr>
          <w:bCs/>
          <w:i/>
          <w:iCs/>
        </w:rPr>
        <w:t>People v. Laiwa</w:t>
      </w:r>
      <w:r w:rsidRPr="00535B5A">
        <w:rPr>
          <w:bCs/>
        </w:rPr>
        <w:t xml:space="preserve"> (1983) 34 Cal.3d 711, 722; </w:t>
      </w:r>
      <w:r w:rsidRPr="00535B5A">
        <w:rPr>
          <w:bCs/>
          <w:i/>
          <w:iCs/>
        </w:rPr>
        <w:t>People v. Bonds</w:t>
      </w:r>
      <w:r w:rsidRPr="00535B5A">
        <w:rPr>
          <w:bCs/>
        </w:rPr>
        <w:t xml:space="preserve"> (1999) 70 Cal.App.4th 732, 738</w:t>
      </w:r>
      <w:r w:rsidRPr="00535B5A">
        <w:t>–</w:t>
      </w:r>
      <w:r w:rsidRPr="00535B5A">
        <w:rPr>
          <w:bCs/>
        </w:rPr>
        <w:t xml:space="preserve">740.)  </w:t>
      </w:r>
      <w:r w:rsidRPr="00535B5A">
        <w:t>But there is a “distinction between evidence that does not exist and evidence that is simply unavailable at the moment.”</w:t>
      </w:r>
      <w:r w:rsidRPr="00535B5A">
        <w:rPr>
          <w:bCs/>
        </w:rPr>
        <w:t xml:space="preserve">  (</w:t>
      </w:r>
      <w:r w:rsidRPr="00535B5A">
        <w:rPr>
          <w:bCs/>
          <w:i/>
          <w:iCs/>
        </w:rPr>
        <w:t>Henderson</w:t>
      </w:r>
      <w:r w:rsidRPr="00535B5A">
        <w:rPr>
          <w:bCs/>
        </w:rPr>
        <w:t xml:space="preserve">, </w:t>
      </w:r>
      <w:r w:rsidRPr="00535B5A">
        <w:rPr>
          <w:bCs/>
          <w:i/>
        </w:rPr>
        <w:t>supra</w:t>
      </w:r>
      <w:r w:rsidRPr="00535B5A">
        <w:rPr>
          <w:bCs/>
        </w:rPr>
        <w:t>, 115 Cal.App.4th at p. 942.)</w:t>
      </w:r>
      <w:r w:rsidRPr="00535B5A">
        <w:rPr>
          <w:bCs/>
        </w:rPr>
        <w:t xml:space="preserve">  </w:t>
      </w:r>
      <w:r w:rsidRPr="00535B5A">
        <w:t>Dismissals under section 1385 are disfavored when “the People are thereby prevented from prosecuting defendants for offenses of which there is probable cause to believe they are guilty as charged.  Courts have recognized that society, represented by the People, has a legitimate interest in ‘the fair prosecution of crimes properly alleged’  [Citation]</w:t>
      </w:r>
      <w:r w:rsidR="008E7934">
        <w:t xml:space="preserve">  </w:t>
      </w:r>
      <w:r w:rsidRPr="00535B5A">
        <w:rPr>
          <w:bCs/>
        </w:rPr>
        <w:t>‘ “[</w:t>
      </w:r>
      <w:r w:rsidRPr="00535B5A">
        <w:t>A] dismissal which arbitrarily cuts those rights without a showing of detriment to the defendant is an abuse of discretion.” ’ ”  (</w:t>
      </w:r>
      <w:r w:rsidRPr="00535B5A">
        <w:rPr>
          <w:bCs/>
          <w:i/>
          <w:iCs/>
        </w:rPr>
        <w:t>Orin</w:t>
      </w:r>
      <w:r w:rsidRPr="00535B5A">
        <w:rPr>
          <w:bCs/>
        </w:rPr>
        <w:t xml:space="preserve">, </w:t>
      </w:r>
      <w:r w:rsidRPr="00227BD9" w:rsidR="00227BD9">
        <w:rPr>
          <w:bCs/>
          <w:i/>
        </w:rPr>
        <w:t>supra</w:t>
      </w:r>
      <w:r w:rsidR="00227BD9">
        <w:rPr>
          <w:bCs/>
          <w:iCs/>
        </w:rPr>
        <w:t xml:space="preserve">, 13 Cal.3d </w:t>
      </w:r>
      <w:r w:rsidRPr="00227BD9">
        <w:rPr>
          <w:bCs/>
          <w:iCs/>
        </w:rPr>
        <w:t>at</w:t>
      </w:r>
      <w:r w:rsidRPr="00535B5A">
        <w:rPr>
          <w:bCs/>
        </w:rPr>
        <w:t xml:space="preserve"> p. 947.)</w:t>
      </w:r>
      <w:r w:rsidRPr="00535B5A">
        <w:t xml:space="preserve">  </w:t>
      </w:r>
    </w:p>
    <w:p w:rsidR="00332309" w:rsidRPr="00535B5A" w:rsidP="00535B5A" w14:paraId="278FF29E" w14:textId="23707096">
      <w:pPr>
        <w:rPr>
          <w:bCs/>
        </w:rPr>
      </w:pPr>
      <w:r w:rsidRPr="00535B5A">
        <w:rPr>
          <w:bCs/>
        </w:rPr>
        <w:tab/>
        <w:t xml:space="preserve">For nearly 50 years, appellate decisions have </w:t>
      </w:r>
      <w:r w:rsidRPr="00535B5A">
        <w:t xml:space="preserve">held that it is an abuse of discretion for the court to deny a continuance within the speedy trial period, absent </w:t>
      </w:r>
      <w:r w:rsidR="009E0256">
        <w:t>countervailing factors warranting dismissal</w:t>
      </w:r>
      <w:r w:rsidRPr="00535B5A">
        <w:t xml:space="preserve">.  </w:t>
      </w:r>
      <w:r w:rsidRPr="00535B5A" w:rsidR="008354BF">
        <w:t>(</w:t>
      </w:r>
      <w:r w:rsidRPr="00535B5A" w:rsidR="00912A96">
        <w:t xml:space="preserve">See </w:t>
      </w:r>
      <w:r w:rsidRPr="00535B5A" w:rsidR="00912A96">
        <w:rPr>
          <w:i/>
          <w:iCs/>
        </w:rPr>
        <w:t>Ferguson</w:t>
      </w:r>
      <w:r w:rsidRPr="00535B5A" w:rsidR="00912A96">
        <w:t xml:space="preserve">, </w:t>
      </w:r>
      <w:r w:rsidRPr="00535B5A" w:rsidR="00912A96">
        <w:rPr>
          <w:i/>
        </w:rPr>
        <w:t>supra</w:t>
      </w:r>
      <w:r w:rsidRPr="00535B5A" w:rsidR="00912A96">
        <w:t xml:space="preserve">, 218 Cal.App.3d at p. 1183; </w:t>
      </w:r>
      <w:r w:rsidRPr="00535B5A" w:rsidR="00912A96">
        <w:rPr>
          <w:bCs/>
          <w:i/>
          <w:iCs/>
        </w:rPr>
        <w:t>Rubaum</w:t>
      </w:r>
      <w:r w:rsidRPr="00535B5A" w:rsidR="00912A96">
        <w:rPr>
          <w:bCs/>
        </w:rPr>
        <w:t xml:space="preserve">, </w:t>
      </w:r>
      <w:r w:rsidRPr="00535B5A" w:rsidR="00912A96">
        <w:rPr>
          <w:bCs/>
          <w:i/>
        </w:rPr>
        <w:t>supra</w:t>
      </w:r>
      <w:r w:rsidRPr="00535B5A" w:rsidR="00912A96">
        <w:rPr>
          <w:bCs/>
        </w:rPr>
        <w:t xml:space="preserve">, </w:t>
      </w:r>
      <w:r w:rsidRPr="00535B5A" w:rsidR="00912A96">
        <w:t xml:space="preserve">110 Cal.App.3d at p. 935; </w:t>
      </w:r>
      <w:r w:rsidRPr="00535B5A" w:rsidR="00912A96">
        <w:rPr>
          <w:bCs/>
          <w:i/>
          <w:iCs/>
        </w:rPr>
        <w:t>Arnold</w:t>
      </w:r>
      <w:r w:rsidRPr="00535B5A" w:rsidR="00912A96">
        <w:rPr>
          <w:bCs/>
        </w:rPr>
        <w:t xml:space="preserve">, </w:t>
      </w:r>
      <w:r w:rsidRPr="00535B5A" w:rsidR="00912A96">
        <w:rPr>
          <w:bCs/>
          <w:i/>
        </w:rPr>
        <w:t>supra</w:t>
      </w:r>
      <w:r w:rsidRPr="00535B5A" w:rsidR="00912A96">
        <w:rPr>
          <w:bCs/>
        </w:rPr>
        <w:t xml:space="preserve">, 105 Cal.App.3d at p. 459; </w:t>
      </w:r>
      <w:r w:rsidRPr="00535B5A" w:rsidR="00912A96">
        <w:rPr>
          <w:bCs/>
          <w:i/>
          <w:iCs/>
        </w:rPr>
        <w:t>Hernandez</w:t>
      </w:r>
      <w:r w:rsidRPr="00535B5A" w:rsidR="00912A96">
        <w:rPr>
          <w:bCs/>
        </w:rPr>
        <w:t xml:space="preserve">, </w:t>
      </w:r>
      <w:r w:rsidRPr="00535B5A" w:rsidR="00912A96">
        <w:rPr>
          <w:bCs/>
          <w:i/>
        </w:rPr>
        <w:t>supra</w:t>
      </w:r>
      <w:r w:rsidRPr="00535B5A" w:rsidR="00912A96">
        <w:rPr>
          <w:bCs/>
        </w:rPr>
        <w:t>, 97 Cal.App.3d at p. 455;</w:t>
      </w:r>
      <w:r w:rsidRPr="00535B5A" w:rsidR="00912A96">
        <w:t xml:space="preserve"> </w:t>
      </w:r>
      <w:r w:rsidRPr="00535B5A" w:rsidR="00912A96">
        <w:rPr>
          <w:bCs/>
          <w:i/>
          <w:iCs/>
        </w:rPr>
        <w:t>Flores</w:t>
      </w:r>
      <w:r w:rsidR="004B5401">
        <w:rPr>
          <w:bCs/>
        </w:rPr>
        <w:t xml:space="preserve">, </w:t>
      </w:r>
      <w:r w:rsidRPr="00C36A7B" w:rsidR="004B5401">
        <w:rPr>
          <w:bCs/>
          <w:i/>
          <w:iCs/>
        </w:rPr>
        <w:t>supra</w:t>
      </w:r>
      <w:r w:rsidR="004B5401">
        <w:rPr>
          <w:bCs/>
        </w:rPr>
        <w:t>,</w:t>
      </w:r>
      <w:r w:rsidRPr="00535B5A" w:rsidR="00912A96">
        <w:rPr>
          <w:bCs/>
        </w:rPr>
        <w:t xml:space="preserve"> 90 Cal.App.3d Supp. at p. 9;</w:t>
      </w:r>
      <w:r w:rsidRPr="00535B5A" w:rsidR="00912A96">
        <w:rPr>
          <w:bCs/>
          <w:i/>
          <w:iCs/>
        </w:rPr>
        <w:t xml:space="preserve"> Kessel</w:t>
      </w:r>
      <w:r w:rsidRPr="00535B5A" w:rsidR="00912A96">
        <w:rPr>
          <w:bCs/>
        </w:rPr>
        <w:t xml:space="preserve">, </w:t>
      </w:r>
      <w:r w:rsidRPr="00535B5A" w:rsidR="00912A96">
        <w:rPr>
          <w:bCs/>
          <w:i/>
        </w:rPr>
        <w:t>supra</w:t>
      </w:r>
      <w:r w:rsidRPr="00535B5A" w:rsidR="00912A96">
        <w:rPr>
          <w:bCs/>
        </w:rPr>
        <w:t xml:space="preserve">, 61 Cal.App.3d at pp. 325–326; see also </w:t>
      </w:r>
      <w:r w:rsidRPr="00535B5A" w:rsidR="00912A96">
        <w:rPr>
          <w:bCs/>
          <w:i/>
          <w:iCs/>
        </w:rPr>
        <w:t>Henderson</w:t>
      </w:r>
      <w:r w:rsidRPr="00535B5A" w:rsidR="00912A96">
        <w:rPr>
          <w:bCs/>
        </w:rPr>
        <w:t xml:space="preserve">, </w:t>
      </w:r>
      <w:r w:rsidRPr="00535B5A" w:rsidR="00912A96">
        <w:rPr>
          <w:bCs/>
          <w:i/>
        </w:rPr>
        <w:t>supra</w:t>
      </w:r>
      <w:r w:rsidRPr="00535B5A" w:rsidR="00912A96">
        <w:rPr>
          <w:bCs/>
        </w:rPr>
        <w:t xml:space="preserve">, 115 Cal.App.4th at p. 936.) </w:t>
      </w:r>
      <w:r w:rsidRPr="00535B5A" w:rsidR="00ED34D1">
        <w:rPr>
          <w:bCs/>
        </w:rPr>
        <w:t xml:space="preserve"> The</w:t>
      </w:r>
      <w:r w:rsidRPr="00535B5A" w:rsidR="000121FD">
        <w:rPr>
          <w:bCs/>
        </w:rPr>
        <w:t xml:space="preserve"> </w:t>
      </w:r>
      <w:r w:rsidRPr="00535B5A" w:rsidR="00ED34D1">
        <w:rPr>
          <w:bCs/>
        </w:rPr>
        <w:t xml:space="preserve">Legislature was aware of this </w:t>
      </w:r>
      <w:r w:rsidRPr="00535B5A" w:rsidR="000121FD">
        <w:rPr>
          <w:bCs/>
        </w:rPr>
        <w:t>settled case law</w:t>
      </w:r>
      <w:r w:rsidRPr="00535B5A" w:rsidR="00ED34D1">
        <w:rPr>
          <w:bCs/>
        </w:rPr>
        <w:t xml:space="preserve"> </w:t>
      </w:r>
      <w:r w:rsidRPr="00535B5A" w:rsidR="000121FD">
        <w:rPr>
          <w:bCs/>
        </w:rPr>
        <w:t xml:space="preserve">and expressly set out to codify </w:t>
      </w:r>
      <w:r w:rsidRPr="00535B5A" w:rsidR="00ED34D1">
        <w:rPr>
          <w:bCs/>
        </w:rPr>
        <w:t xml:space="preserve">it </w:t>
      </w:r>
      <w:r w:rsidRPr="00535B5A" w:rsidR="000121FD">
        <w:rPr>
          <w:bCs/>
        </w:rPr>
        <w:t xml:space="preserve">in </w:t>
      </w:r>
      <w:r w:rsidRPr="00535B5A" w:rsidR="000121FD">
        <w:t>Assembly Bill No. 1273.</w:t>
      </w:r>
      <w:r w:rsidRPr="00535B5A" w:rsidR="00ED34D1">
        <w:t xml:space="preserve"> </w:t>
      </w:r>
      <w:r w:rsidRPr="00535B5A" w:rsidR="000178E8">
        <w:rPr>
          <w:bCs/>
        </w:rPr>
        <w:t xml:space="preserve">When time remains to bring the matter to trial, and thus to hear the defendant’s motion to suppress, </w:t>
      </w:r>
      <w:r w:rsidR="003832B6">
        <w:rPr>
          <w:bCs/>
        </w:rPr>
        <w:t xml:space="preserve">it </w:t>
      </w:r>
      <w:r w:rsidR="009E0256">
        <w:rPr>
          <w:bCs/>
        </w:rPr>
        <w:t xml:space="preserve">typically </w:t>
      </w:r>
      <w:r w:rsidR="003832B6">
        <w:rPr>
          <w:bCs/>
        </w:rPr>
        <w:t xml:space="preserve">does not further </w:t>
      </w:r>
      <w:r w:rsidRPr="00535B5A" w:rsidR="000178E8">
        <w:rPr>
          <w:bCs/>
        </w:rPr>
        <w:t>justice for the</w:t>
      </w:r>
      <w:r w:rsidR="00F420F9">
        <w:rPr>
          <w:bCs/>
        </w:rPr>
        <w:t xml:space="preserve"> </w:t>
      </w:r>
      <w:r w:rsidRPr="00535B5A" w:rsidR="000178E8">
        <w:rPr>
          <w:bCs/>
        </w:rPr>
        <w:t>court to force</w:t>
      </w:r>
      <w:r w:rsidRPr="00535B5A" w:rsidR="00EA20B8">
        <w:rPr>
          <w:bCs/>
        </w:rPr>
        <w:t xml:space="preserve"> a</w:t>
      </w:r>
      <w:r w:rsidRPr="00535B5A" w:rsidR="000178E8">
        <w:rPr>
          <w:bCs/>
        </w:rPr>
        <w:t xml:space="preserve"> dismissal </w:t>
      </w:r>
      <w:r w:rsidR="00140375">
        <w:rPr>
          <w:bCs/>
        </w:rPr>
        <w:t>a</w:t>
      </w:r>
      <w:r w:rsidR="003F4C47">
        <w:rPr>
          <w:bCs/>
        </w:rPr>
        <w:t>nd</w:t>
      </w:r>
      <w:r w:rsidR="0076293D">
        <w:rPr>
          <w:bCs/>
        </w:rPr>
        <w:t xml:space="preserve"> forestall</w:t>
      </w:r>
      <w:r w:rsidR="00137FB0">
        <w:rPr>
          <w:bCs/>
        </w:rPr>
        <w:t xml:space="preserve"> a legitimate prosecution </w:t>
      </w:r>
      <w:r w:rsidR="003F4C47">
        <w:rPr>
          <w:bCs/>
        </w:rPr>
        <w:t>conducted in compliance with</w:t>
      </w:r>
      <w:r w:rsidR="00137FB0">
        <w:rPr>
          <w:bCs/>
        </w:rPr>
        <w:t xml:space="preserve"> the speedy trial st</w:t>
      </w:r>
      <w:r w:rsidR="00655F2F">
        <w:rPr>
          <w:bCs/>
        </w:rPr>
        <w:t>atutes.</w:t>
      </w:r>
      <w:r w:rsidR="00F420F9">
        <w:rPr>
          <w:bCs/>
        </w:rPr>
        <w:t xml:space="preserve"> </w:t>
      </w:r>
      <w:r w:rsidRPr="00535B5A" w:rsidR="000178E8">
        <w:rPr>
          <w:bCs/>
        </w:rPr>
        <w:t xml:space="preserve"> </w:t>
      </w:r>
      <w:r w:rsidRPr="00535B5A" w:rsidR="00140375">
        <w:t>As we have observed in other circumstances, “</w:t>
      </w:r>
      <w:r w:rsidR="006868F0">
        <w:t>[I]</w:t>
      </w:r>
      <w:r w:rsidRPr="00535B5A" w:rsidR="00140375">
        <w:t xml:space="preserve">t would frustrate the orderly and effective operation of our criminal procedure as envisioned by the Legislature if without proper and adequate reason section 1385 were used to terminate the prosecution of defendants for crimes properly charged in accordance with legal procedure.”  </w:t>
      </w:r>
      <w:r w:rsidRPr="00535B5A" w:rsidR="000178E8">
        <w:rPr>
          <w:bCs/>
        </w:rPr>
        <w:t>(</w:t>
      </w:r>
      <w:r w:rsidRPr="00535B5A" w:rsidR="000178E8">
        <w:rPr>
          <w:bCs/>
          <w:i/>
          <w:iCs/>
        </w:rPr>
        <w:t>Orin</w:t>
      </w:r>
      <w:r w:rsidRPr="00535B5A" w:rsidR="000178E8">
        <w:rPr>
          <w:bCs/>
        </w:rPr>
        <w:t xml:space="preserve">, </w:t>
      </w:r>
      <w:r w:rsidRPr="00535B5A" w:rsidR="000178E8">
        <w:rPr>
          <w:bCs/>
          <w:i/>
        </w:rPr>
        <w:t>supra</w:t>
      </w:r>
      <w:r w:rsidRPr="00535B5A" w:rsidR="000178E8">
        <w:rPr>
          <w:bCs/>
        </w:rPr>
        <w:t>, 13 Cal.3d at p. 947.)</w:t>
      </w:r>
    </w:p>
    <w:p w:rsidR="00C942C8" w:rsidRPr="00535B5A" w:rsidP="00535B5A" w14:paraId="5C7F9CFB" w14:textId="1253B9D6">
      <w:pPr>
        <w:rPr>
          <w:bCs/>
        </w:rPr>
      </w:pPr>
      <w:r w:rsidRPr="00535B5A">
        <w:rPr>
          <w:bCs/>
        </w:rPr>
        <w:tab/>
        <w:t xml:space="preserve">Accordingly, </w:t>
      </w:r>
      <w:r w:rsidRPr="00535B5A">
        <w:t xml:space="preserve">consistent with </w:t>
      </w:r>
      <w:r w:rsidRPr="00535B5A">
        <w:rPr>
          <w:i/>
          <w:iCs/>
        </w:rPr>
        <w:t>Ferrer</w:t>
      </w:r>
      <w:r w:rsidRPr="00535B5A">
        <w:t xml:space="preserve"> and</w:t>
      </w:r>
      <w:r w:rsidR="0076293D">
        <w:t xml:space="preserve"> the</w:t>
      </w:r>
      <w:r w:rsidRPr="00535B5A">
        <w:t xml:space="preserve"> case law codified in Assembly Bill No. 1273, we </w:t>
      </w:r>
      <w:r w:rsidRPr="00535B5A">
        <w:t>hold that</w:t>
      </w:r>
      <w:r w:rsidR="00016E07">
        <w:t xml:space="preserve"> </w:t>
      </w:r>
      <w:r w:rsidRPr="00535B5A">
        <w:t>it is an abuse of discretion for the court to deny continuance of a suppression hearing when it is reasonably foreseeable that dismissal of the case will result</w:t>
      </w:r>
      <w:r w:rsidR="00016E07">
        <w:t>, unless dismissal would be in furtherance of justice</w:t>
      </w:r>
      <w:r w:rsidRPr="00535B5A">
        <w:t>.</w:t>
      </w:r>
      <w:r w:rsidR="00016E07">
        <w:t xml:space="preserve">  (</w:t>
      </w:r>
      <w:r w:rsidR="00016E07">
        <w:rPr>
          <w:rFonts w:ascii="Times New Roman" w:hAnsi="Times New Roman"/>
        </w:rPr>
        <w:t>§</w:t>
      </w:r>
      <w:r w:rsidR="00016E07">
        <w:t> 1385, subd. (a).)</w:t>
      </w:r>
    </w:p>
    <w:p w:rsidR="00AE4DC3" w:rsidRPr="00535B5A" w:rsidP="00535B5A" w14:paraId="62382722" w14:textId="0FE9BACF">
      <w:pPr>
        <w:rPr>
          <w:bCs/>
        </w:rPr>
      </w:pPr>
      <w:r w:rsidRPr="00535B5A">
        <w:rPr>
          <w:bCs/>
        </w:rPr>
        <w:tab/>
        <w:t xml:space="preserve">This is not to say that the court’s hands are tied when the prosecution seeks a continuance without </w:t>
      </w:r>
      <w:r w:rsidR="0013246D">
        <w:rPr>
          <w:bCs/>
        </w:rPr>
        <w:t>satisfying section</w:t>
      </w:r>
      <w:r w:rsidR="00016E07">
        <w:rPr>
          <w:bCs/>
        </w:rPr>
        <w:t> </w:t>
      </w:r>
      <w:r w:rsidR="0013246D">
        <w:rPr>
          <w:bCs/>
        </w:rPr>
        <w:t xml:space="preserve">1050’s requirements.  </w:t>
      </w:r>
      <w:r w:rsidRPr="00535B5A">
        <w:rPr>
          <w:bCs/>
        </w:rPr>
        <w:t xml:space="preserve">It </w:t>
      </w:r>
      <w:r w:rsidR="006C3493">
        <w:rPr>
          <w:bCs/>
        </w:rPr>
        <w:t>may</w:t>
      </w:r>
      <w:r w:rsidR="00F420F9">
        <w:rPr>
          <w:bCs/>
        </w:rPr>
        <w:t xml:space="preserve"> </w:t>
      </w:r>
      <w:r w:rsidRPr="00535B5A">
        <w:rPr>
          <w:bCs/>
        </w:rPr>
        <w:t xml:space="preserve">impose fines, refer the prosecutor for discipline, and impose any other sanctions at its disposal short of </w:t>
      </w:r>
      <w:r w:rsidRPr="00602DAA">
        <w:rPr>
          <w:bCs/>
        </w:rPr>
        <w:t>dismissal</w:t>
      </w:r>
      <w:r w:rsidRPr="00602DAA" w:rsidR="00164EE3">
        <w:rPr>
          <w:bCs/>
        </w:rPr>
        <w:t xml:space="preserve"> for procedural </w:t>
      </w:r>
      <w:r w:rsidR="007F31D9">
        <w:rPr>
          <w:bCs/>
        </w:rPr>
        <w:t>noncompliance</w:t>
      </w:r>
      <w:r w:rsidRPr="00602DAA" w:rsidR="00164EE3">
        <w:rPr>
          <w:bCs/>
        </w:rPr>
        <w:t xml:space="preserve">.  </w:t>
      </w:r>
      <w:r w:rsidRPr="00535B5A">
        <w:rPr>
          <w:bCs/>
        </w:rPr>
        <w:t>(§ 1050.5, subd.</w:t>
      </w:r>
      <w:r w:rsidRPr="00535B5A" w:rsidR="000178E8">
        <w:rPr>
          <w:bCs/>
        </w:rPr>
        <w:t> </w:t>
      </w:r>
      <w:r w:rsidRPr="00535B5A">
        <w:rPr>
          <w:bCs/>
        </w:rPr>
        <w:t>(b</w:t>
      </w:r>
      <w:r w:rsidRPr="00535B5A" w:rsidR="00A97CBE">
        <w:rPr>
          <w:bCs/>
        </w:rPr>
        <w:t>)</w:t>
      </w:r>
      <w:r w:rsidRPr="00535B5A" w:rsidR="000178E8">
        <w:rPr>
          <w:bCs/>
        </w:rPr>
        <w:t>; see § 1050, subd. (b</w:t>
      </w:r>
      <w:r w:rsidRPr="00535B5A">
        <w:rPr>
          <w:bCs/>
        </w:rPr>
        <w:t>).)  “And, of course, the trial court may exercise its discretion in selecting the length of a continuance; it need not necessarily accede to the prosecutor’s preferred date.”  (</w:t>
      </w:r>
      <w:r w:rsidRPr="00535B5A">
        <w:rPr>
          <w:bCs/>
          <w:i/>
          <w:iCs/>
        </w:rPr>
        <w:t>Ferrer</w:t>
      </w:r>
      <w:r w:rsidRPr="00535B5A">
        <w:rPr>
          <w:bCs/>
        </w:rPr>
        <w:t xml:space="preserve">, </w:t>
      </w:r>
      <w:r w:rsidRPr="00535B5A">
        <w:rPr>
          <w:bCs/>
          <w:i/>
        </w:rPr>
        <w:t>supra</w:t>
      </w:r>
      <w:r w:rsidRPr="00535B5A">
        <w:rPr>
          <w:bCs/>
        </w:rPr>
        <w:t xml:space="preserve">, 184 Cal.App.4th at p. 886.) </w:t>
      </w:r>
    </w:p>
    <w:p w:rsidR="006C14C8" w:rsidRPr="00535B5A" w:rsidP="00535B5A" w14:paraId="60D6CE9C" w14:textId="7DB07B7F">
      <w:pPr>
        <w:tabs>
          <w:tab w:val="left" w:pos="720"/>
        </w:tabs>
        <w:rPr>
          <w:b/>
          <w:bCs/>
          <w:vertAlign w:val="superscript"/>
        </w:rPr>
      </w:pPr>
      <w:r w:rsidRPr="00535B5A">
        <w:tab/>
      </w:r>
      <w:r w:rsidR="00364034">
        <w:t xml:space="preserve">The court below criticized </w:t>
      </w:r>
      <w:r w:rsidR="00364034">
        <w:rPr>
          <w:i/>
          <w:iCs/>
        </w:rPr>
        <w:t xml:space="preserve">Ferrer’s </w:t>
      </w:r>
      <w:r w:rsidRPr="00535B5A">
        <w:t>“reasonable foreseeability” standard</w:t>
      </w:r>
      <w:r w:rsidR="00DB71A6">
        <w:t xml:space="preserve"> as posing </w:t>
      </w:r>
      <w:r w:rsidRPr="00535B5A">
        <w:t xml:space="preserve">some </w:t>
      </w:r>
      <w:r w:rsidRPr="00535B5A" w:rsidR="00ED70D4">
        <w:t>practical difficulties</w:t>
      </w:r>
      <w:r w:rsidRPr="00535B5A">
        <w:t xml:space="preserve"> in application.  (See </w:t>
      </w:r>
      <w:r w:rsidRPr="00535B5A">
        <w:rPr>
          <w:bCs/>
          <w:i/>
          <w:iCs/>
        </w:rPr>
        <w:t>Brown</w:t>
      </w:r>
      <w:r w:rsidRPr="00535B5A">
        <w:rPr>
          <w:bCs/>
        </w:rPr>
        <w:t xml:space="preserve">, </w:t>
      </w:r>
      <w:r w:rsidRPr="00535B5A">
        <w:rPr>
          <w:bCs/>
          <w:i/>
        </w:rPr>
        <w:t>supra</w:t>
      </w:r>
      <w:r w:rsidRPr="00535B5A">
        <w:rPr>
          <w:bCs/>
        </w:rPr>
        <w:t xml:space="preserve">, 69 Cal.App.5th at </w:t>
      </w:r>
      <w:r w:rsidRPr="00535B5A">
        <w:rPr>
          <w:bCs/>
        </w:rPr>
        <w:t>p</w:t>
      </w:r>
      <w:r w:rsidRPr="00535B5A">
        <w:rPr>
          <w:bCs/>
        </w:rPr>
        <w:t>p. 31</w:t>
      </w:r>
      <w:r w:rsidRPr="00535B5A">
        <w:rPr>
          <w:bCs/>
        </w:rPr>
        <w:t>–32</w:t>
      </w:r>
      <w:r w:rsidRPr="00535B5A">
        <w:rPr>
          <w:bCs/>
        </w:rPr>
        <w:t xml:space="preserve">.)  </w:t>
      </w:r>
      <w:r w:rsidR="00B62730">
        <w:rPr>
          <w:bCs/>
        </w:rPr>
        <w:t xml:space="preserve">In determining whether the denial of a continuance will make it </w:t>
      </w:r>
      <w:r w:rsidR="002F3047">
        <w:rPr>
          <w:bCs/>
        </w:rPr>
        <w:t xml:space="preserve">reasonably foreseeable that a case </w:t>
      </w:r>
      <w:r w:rsidR="00486728">
        <w:rPr>
          <w:bCs/>
        </w:rPr>
        <w:t xml:space="preserve">will </w:t>
      </w:r>
      <w:r w:rsidR="002F3047">
        <w:rPr>
          <w:bCs/>
        </w:rPr>
        <w:t xml:space="preserve">be dismissed, the court must consider the totality of the </w:t>
      </w:r>
      <w:r w:rsidR="008F3C5F">
        <w:rPr>
          <w:bCs/>
        </w:rPr>
        <w:t>extant circumstances.  One of the factors</w:t>
      </w:r>
      <w:r w:rsidR="00486728">
        <w:rPr>
          <w:bCs/>
        </w:rPr>
        <w:t xml:space="preserve"> to be considered</w:t>
      </w:r>
      <w:r w:rsidR="008F3C5F">
        <w:rPr>
          <w:bCs/>
        </w:rPr>
        <w:t xml:space="preserve"> is the People</w:t>
      </w:r>
      <w:r w:rsidR="00486728">
        <w:rPr>
          <w:bCs/>
        </w:rPr>
        <w:t>’</w:t>
      </w:r>
      <w:r w:rsidR="008F3C5F">
        <w:rPr>
          <w:bCs/>
        </w:rPr>
        <w:t>s representation that they will be unable to proceed without the challenged evidence.  But the cou</w:t>
      </w:r>
      <w:r w:rsidR="007C2A38">
        <w:rPr>
          <w:bCs/>
        </w:rPr>
        <w:t>rt must independently examine that representation.  In the end it is the court’s determination, not the People’s representation</w:t>
      </w:r>
      <w:r w:rsidR="00486728">
        <w:rPr>
          <w:bCs/>
        </w:rPr>
        <w:t>,</w:t>
      </w:r>
      <w:r w:rsidR="007C2A38">
        <w:rPr>
          <w:bCs/>
        </w:rPr>
        <w:t xml:space="preserve"> that is dispositive.  </w:t>
      </w:r>
      <w:r w:rsidR="008F3D42">
        <w:rPr>
          <w:bCs/>
        </w:rPr>
        <w:t xml:space="preserve">The </w:t>
      </w:r>
      <w:r w:rsidR="00E33031">
        <w:rPr>
          <w:bCs/>
        </w:rPr>
        <w:t xml:space="preserve">reasonable foreseeability standard </w:t>
      </w:r>
      <w:r w:rsidR="007E2414">
        <w:rPr>
          <w:bCs/>
        </w:rPr>
        <w:t xml:space="preserve">comes into play when the </w:t>
      </w:r>
      <w:r w:rsidR="007A62D8">
        <w:rPr>
          <w:bCs/>
        </w:rPr>
        <w:t xml:space="preserve">case </w:t>
      </w:r>
      <w:r w:rsidRPr="00486728" w:rsidR="007A62D8">
        <w:rPr>
          <w:bCs/>
          <w:i/>
          <w:iCs/>
        </w:rPr>
        <w:t>cannot</w:t>
      </w:r>
      <w:r w:rsidR="00260A10">
        <w:rPr>
          <w:bCs/>
          <w:i/>
          <w:iCs/>
        </w:rPr>
        <w:t xml:space="preserve"> </w:t>
      </w:r>
      <w:r w:rsidR="007A62D8">
        <w:rPr>
          <w:bCs/>
        </w:rPr>
        <w:t xml:space="preserve">be tried absent the </w:t>
      </w:r>
      <w:r w:rsidR="00C12508">
        <w:rPr>
          <w:bCs/>
        </w:rPr>
        <w:t xml:space="preserve">evidence, not when the case will simply be more difficult to prove.  </w:t>
      </w:r>
      <w:r w:rsidR="002E6FB9">
        <w:rPr>
          <w:bCs/>
        </w:rPr>
        <w:t xml:space="preserve">The standard </w:t>
      </w:r>
      <w:r w:rsidR="00E33031">
        <w:rPr>
          <w:bCs/>
        </w:rPr>
        <w:t>requires the prosecution to defend its assertion that the contested evidence is vital.  At the same time</w:t>
      </w:r>
      <w:r w:rsidR="005D7072">
        <w:rPr>
          <w:bCs/>
        </w:rPr>
        <w:t>,</w:t>
      </w:r>
      <w:r w:rsidR="00E33031">
        <w:rPr>
          <w:bCs/>
        </w:rPr>
        <w:t xml:space="preserve"> the defense, in possession of discovery, will be poised to </w:t>
      </w:r>
      <w:r w:rsidR="000F2E78">
        <w:rPr>
          <w:bCs/>
        </w:rPr>
        <w:t xml:space="preserve">argue against </w:t>
      </w:r>
      <w:r w:rsidR="00E33031">
        <w:rPr>
          <w:bCs/>
        </w:rPr>
        <w:t>this assertion</w:t>
      </w:r>
      <w:r w:rsidR="00456F3B">
        <w:rPr>
          <w:bCs/>
        </w:rPr>
        <w:t>, as it did here.</w:t>
      </w:r>
      <w:r w:rsidR="00E33031">
        <w:rPr>
          <w:bCs/>
        </w:rPr>
        <w:t xml:space="preserve">  </w:t>
      </w:r>
      <w:r w:rsidR="008406CE">
        <w:rPr>
          <w:bCs/>
        </w:rPr>
        <w:t>Of course the defense cannot be put to the burden of arguing the strength of the prosecution’s case</w:t>
      </w:r>
      <w:r w:rsidR="003A3947">
        <w:rPr>
          <w:bCs/>
        </w:rPr>
        <w:t>.  And while the court is generally precluded from reading the police reports</w:t>
      </w:r>
      <w:r w:rsidR="002D60AB">
        <w:rPr>
          <w:bCs/>
        </w:rPr>
        <w:t xml:space="preserve"> and other supporting documents </w:t>
      </w:r>
      <w:r w:rsidR="00FD02A3">
        <w:rPr>
          <w:bCs/>
        </w:rPr>
        <w:t xml:space="preserve">(see </w:t>
      </w:r>
      <w:r w:rsidR="00486728">
        <w:rPr>
          <w:rFonts w:ascii="Times New Roman" w:hAnsi="Times New Roman"/>
          <w:bCs/>
        </w:rPr>
        <w:t>§</w:t>
      </w:r>
      <w:r w:rsidR="00486728">
        <w:rPr>
          <w:bCs/>
        </w:rPr>
        <w:t> </w:t>
      </w:r>
      <w:r w:rsidR="00CA7E12">
        <w:rPr>
          <w:bCs/>
        </w:rPr>
        <w:t>1204.5</w:t>
      </w:r>
      <w:r w:rsidR="00FD02A3">
        <w:rPr>
          <w:bCs/>
        </w:rPr>
        <w:t>)</w:t>
      </w:r>
      <w:r w:rsidR="00486728">
        <w:rPr>
          <w:bCs/>
        </w:rPr>
        <w:t>,</w:t>
      </w:r>
      <w:r w:rsidR="00FD02A3">
        <w:rPr>
          <w:bCs/>
        </w:rPr>
        <w:t xml:space="preserve"> the defense may give its consent for the court to do so, to assist in its consideration of the question.  </w:t>
      </w:r>
      <w:r w:rsidR="000317A8">
        <w:t>In the final analysis</w:t>
      </w:r>
      <w:r w:rsidR="00486728">
        <w:t>,</w:t>
      </w:r>
      <w:r w:rsidR="000317A8">
        <w:t xml:space="preserve"> </w:t>
      </w:r>
      <w:r w:rsidR="009D4502">
        <w:t>the</w:t>
      </w:r>
      <w:r w:rsidRPr="00535B5A" w:rsidR="002D78AF">
        <w:t xml:space="preserve"> </w:t>
      </w:r>
      <w:r w:rsidRPr="00535B5A">
        <w:t xml:space="preserve">burden </w:t>
      </w:r>
      <w:r w:rsidRPr="00535B5A" w:rsidR="002D78AF">
        <w:t>is</w:t>
      </w:r>
      <w:r w:rsidRPr="00535B5A">
        <w:t xml:space="preserve"> on the People to </w:t>
      </w:r>
      <w:r w:rsidRPr="00535B5A" w:rsidR="002D78AF">
        <w:t>make this</w:t>
      </w:r>
      <w:r w:rsidRPr="00535B5A">
        <w:t xml:space="preserve"> showing</w:t>
      </w:r>
      <w:r w:rsidR="00F067B8">
        <w:t>.</w:t>
      </w:r>
      <w:r w:rsidRPr="00535B5A" w:rsidR="002D78AF">
        <w:t xml:space="preserve">  </w:t>
      </w:r>
      <w:r w:rsidR="00DB328E">
        <w:t>If that showing falls short</w:t>
      </w:r>
      <w:r w:rsidR="00486728">
        <w:t>,</w:t>
      </w:r>
      <w:r w:rsidRPr="00535B5A">
        <w:t xml:space="preserve"> the court is free to deny the continuance and proceed with the suppression hearing.  Since </w:t>
      </w:r>
      <w:r w:rsidRPr="00535B5A">
        <w:rPr>
          <w:i/>
          <w:iCs/>
        </w:rPr>
        <w:t>Ferrer</w:t>
      </w:r>
      <w:r w:rsidRPr="00535B5A">
        <w:t xml:space="preserve"> was decided more than a decade ago, neither parties nor trial courts appear to have struggled unduly with this pro</w:t>
      </w:r>
      <w:r w:rsidR="004260B9">
        <w:t>cedure</w:t>
      </w:r>
      <w:r w:rsidR="00257D04">
        <w:t>.</w:t>
      </w:r>
    </w:p>
    <w:p w:rsidR="005D479B" w:rsidRPr="00535B5A" w:rsidP="00535B5A" w14:paraId="4907ECC1" w14:textId="40DC6D88">
      <w:pPr>
        <w:tabs>
          <w:tab w:val="left" w:pos="720"/>
        </w:tabs>
        <w:rPr>
          <w:bCs/>
        </w:rPr>
      </w:pPr>
      <w:r w:rsidRPr="00535B5A">
        <w:tab/>
        <w:t>As an alternative to the reasonable foreseeability standard, the Attorney General argues trial courts should simply rely on prosecutors’ representations as to their ability to proceed.  We reject this suggestion</w:t>
      </w:r>
      <w:r w:rsidR="000C37A8">
        <w:t xml:space="preserve">. </w:t>
      </w:r>
      <w:r w:rsidR="00486728">
        <w:t xml:space="preserve"> </w:t>
      </w:r>
      <w:r w:rsidR="007D1566">
        <w:t>That approach would abrogate the court’s independent responsibility and deprive the defense of its legitima</w:t>
      </w:r>
      <w:r w:rsidR="002C66BA">
        <w:t>t</w:t>
      </w:r>
      <w:r w:rsidR="007D1566">
        <w:t xml:space="preserve">e opportunity to challenge the </w:t>
      </w:r>
      <w:r w:rsidR="00186122">
        <w:t>prosecutor’s assertions</w:t>
      </w:r>
      <w:r w:rsidR="00486728">
        <w:t xml:space="preserve">. </w:t>
      </w:r>
      <w:r w:rsidR="00186122">
        <w:t xml:space="preserve"> </w:t>
      </w:r>
      <w:r w:rsidRPr="00535B5A" w:rsidR="00805865">
        <w:t>Although the prosecutor’s representation</w:t>
      </w:r>
      <w:r w:rsidR="00E64BC8">
        <w:t xml:space="preserve"> is certainly a relevant </w:t>
      </w:r>
      <w:r w:rsidR="004C5A50">
        <w:t>consideration,</w:t>
      </w:r>
      <w:r w:rsidRPr="00535B5A" w:rsidR="00805865">
        <w:t xml:space="preserve"> we stress that trial courts are obliged to take into account all facts and arguments presented on the issue and </w:t>
      </w:r>
      <w:r w:rsidR="004C5A50">
        <w:t xml:space="preserve">to </w:t>
      </w:r>
      <w:r w:rsidRPr="00535B5A" w:rsidR="00805865">
        <w:t xml:space="preserve">make their own independent determination of whether dismissal of the case is reasonably foreseeable </w:t>
      </w:r>
      <w:r w:rsidR="006B1314">
        <w:t xml:space="preserve">if </w:t>
      </w:r>
      <w:r w:rsidRPr="00535B5A" w:rsidR="00805865">
        <w:t>a continuance</w:t>
      </w:r>
      <w:r w:rsidR="006B1314">
        <w:t xml:space="preserve"> is denied</w:t>
      </w:r>
      <w:r w:rsidRPr="00535B5A" w:rsidR="00805865">
        <w:t>.</w:t>
      </w:r>
    </w:p>
    <w:p w:rsidR="000178E8" w:rsidRPr="00535B5A" w:rsidP="00535B5A" w14:paraId="09C31657" w14:textId="06D70816">
      <w:pPr>
        <w:keepNext/>
        <w:tabs>
          <w:tab w:val="left" w:pos="720"/>
        </w:tabs>
        <w:rPr>
          <w:i/>
          <w:iCs/>
        </w:rPr>
      </w:pPr>
      <w:r w:rsidRPr="00535B5A">
        <w:t>E.</w:t>
      </w:r>
      <w:r w:rsidRPr="00535B5A">
        <w:tab/>
      </w:r>
      <w:r w:rsidRPr="00535B5A">
        <w:rPr>
          <w:i/>
          <w:iCs/>
        </w:rPr>
        <w:t>Application</w:t>
      </w:r>
    </w:p>
    <w:p w:rsidR="00522E8B" w:rsidRPr="00F067B8" w:rsidP="00535B5A" w14:paraId="487EFD64" w14:textId="7573AE8E">
      <w:pPr>
        <w:rPr>
          <w:u w:val="double"/>
        </w:rPr>
      </w:pPr>
      <w:r w:rsidRPr="00535B5A">
        <w:tab/>
      </w:r>
      <w:r w:rsidR="000F2E78">
        <w:t>Here,</w:t>
      </w:r>
      <w:r w:rsidRPr="00535B5A">
        <w:t xml:space="preserve"> the prosecutor failed to satisfy either the procedural or substantive requirements of section 1050 in moving for a continuance.  He provided neither advance written notice nor documentary support for the motion.  (See § 1050, subd. (b).)</w:t>
      </w:r>
      <w:r w:rsidRPr="00535B5A" w:rsidR="00192173">
        <w:t xml:space="preserve">  He also failed to present a showing of good cause.  (See § 1050, subd. (e).)  The prosecutor had unilaterally excused a subpoenaed witness from attending a court hearing, for reasons the court rightly viewed with skepticism. </w:t>
      </w:r>
      <w:r w:rsidR="00486728">
        <w:t xml:space="preserve"> </w:t>
      </w:r>
      <w:r w:rsidRPr="00535B5A" w:rsidR="00CF7D67">
        <w:t>The trial court was thus correct in concluding good cause did not support the continuance request</w:t>
      </w:r>
      <w:r w:rsidR="00F9704A">
        <w:t xml:space="preserve">, even if the prosecutor acted with </w:t>
      </w:r>
      <w:r w:rsidR="00486728">
        <w:t xml:space="preserve">poor </w:t>
      </w:r>
      <w:r w:rsidR="00F9704A">
        <w:t xml:space="preserve">judgment rather than bad faith.  </w:t>
      </w:r>
      <w:r w:rsidR="00FD3FF0">
        <w:t>We emphasize that the prosecutor’s unilateral decision to tell Officer Ya</w:t>
      </w:r>
      <w:r w:rsidR="00486728">
        <w:t>s</w:t>
      </w:r>
      <w:r w:rsidR="00FD3FF0">
        <w:t xml:space="preserve">in he need not appear is not </w:t>
      </w:r>
      <w:r w:rsidR="0025206E">
        <w:t xml:space="preserve">condoned under these circumstances. </w:t>
      </w:r>
      <w:r w:rsidR="00486728">
        <w:t xml:space="preserve"> </w:t>
      </w:r>
      <w:r w:rsidR="00BE108F">
        <w:t xml:space="preserve">The subpoenaing of witnesses is part of the process by which courts and parties can </w:t>
      </w:r>
      <w:r w:rsidR="00486728">
        <w:t>e</w:t>
      </w:r>
      <w:r w:rsidR="00BE108F">
        <w:t xml:space="preserve">nsure </w:t>
      </w:r>
      <w:r w:rsidR="00A57D5C">
        <w:t>cases will be ready to proceed when scheduled.</w:t>
      </w:r>
      <w:r w:rsidR="0025206E">
        <w:t xml:space="preserve"> </w:t>
      </w:r>
      <w:r w:rsidR="00486728">
        <w:t xml:space="preserve"> </w:t>
      </w:r>
      <w:r w:rsidR="0025206E">
        <w:t>In subpoenaing witnesses</w:t>
      </w:r>
      <w:r w:rsidR="00486728">
        <w:t>,</w:t>
      </w:r>
      <w:r w:rsidR="0025206E">
        <w:t xml:space="preserve"> </w:t>
      </w:r>
      <w:r w:rsidR="00736231">
        <w:t xml:space="preserve">the parties ultimately rely on the authority of the court to compel those summoned to </w:t>
      </w:r>
      <w:r w:rsidR="00EE3A77">
        <w:t>appear</w:t>
      </w:r>
      <w:r w:rsidR="00997D6D">
        <w:t xml:space="preserve">. </w:t>
      </w:r>
      <w:r w:rsidR="00736231">
        <w:t xml:space="preserve"> </w:t>
      </w:r>
      <w:r w:rsidR="00F067B8">
        <w:t>P</w:t>
      </w:r>
      <w:r w:rsidR="00B03369">
        <w:t>art</w:t>
      </w:r>
      <w:r w:rsidR="00F067B8">
        <w:t>ies</w:t>
      </w:r>
      <w:r w:rsidR="00B03369">
        <w:t xml:space="preserve"> who release a witness from that duty do so at their peril</w:t>
      </w:r>
      <w:r w:rsidR="00063E27">
        <w:t xml:space="preserve">. </w:t>
      </w:r>
      <w:r w:rsidR="00F067B8">
        <w:t xml:space="preserve"> </w:t>
      </w:r>
      <w:r w:rsidRPr="00F067B8" w:rsidR="00997D6D">
        <w:t xml:space="preserve">The prosecutor’s action here, without consultation with the court, was distinctly ill-advised. </w:t>
      </w:r>
      <w:r w:rsidRPr="00F067B8" w:rsidR="00063E27">
        <w:t xml:space="preserve"> </w:t>
      </w:r>
    </w:p>
    <w:p w:rsidR="009B2B35" w14:paraId="14617CE4" w14:textId="6A7E1181">
      <w:r w:rsidRPr="00535B5A">
        <w:tab/>
        <w:t>W</w:t>
      </w:r>
      <w:r w:rsidRPr="00535B5A" w:rsidR="000178E8">
        <w:t>hen</w:t>
      </w:r>
      <w:r w:rsidRPr="00535B5A">
        <w:t xml:space="preserve"> the prosecution</w:t>
      </w:r>
      <w:r w:rsidRPr="00535B5A" w:rsidR="000178E8">
        <w:t xml:space="preserve"> mov</w:t>
      </w:r>
      <w:r w:rsidRPr="00535B5A">
        <w:t>ed</w:t>
      </w:r>
      <w:r w:rsidRPr="00535B5A" w:rsidR="000178E8">
        <w:t xml:space="preserve"> for reconsideration of </w:t>
      </w:r>
      <w:r w:rsidR="008D22C8">
        <w:t xml:space="preserve">the court’s </w:t>
      </w:r>
      <w:r w:rsidRPr="00535B5A">
        <w:t xml:space="preserve">ruling, it alerted the court to </w:t>
      </w:r>
      <w:r w:rsidRPr="00535B5A">
        <w:rPr>
          <w:i/>
          <w:iCs/>
        </w:rPr>
        <w:t>Ferrer</w:t>
      </w:r>
      <w:r w:rsidRPr="00535B5A">
        <w:t>’s holding and</w:t>
      </w:r>
      <w:r w:rsidRPr="00535B5A" w:rsidR="000178E8">
        <w:t xml:space="preserve"> represented that the People would be unable to proceed to trial </w:t>
      </w:r>
      <w:r w:rsidR="007651FD">
        <w:t>i</w:t>
      </w:r>
      <w:r w:rsidR="00485B1E">
        <w:t>f</w:t>
      </w:r>
      <w:r w:rsidR="007651FD">
        <w:t xml:space="preserve"> the challenged evidence was suppressed. </w:t>
      </w:r>
      <w:r w:rsidRPr="00535B5A" w:rsidR="000178E8">
        <w:t xml:space="preserve"> </w:t>
      </w:r>
      <w:r w:rsidRPr="00535B5A" w:rsidR="0093509B">
        <w:t xml:space="preserve">After reviewing </w:t>
      </w:r>
      <w:r w:rsidRPr="00535B5A" w:rsidR="0093509B">
        <w:rPr>
          <w:i/>
          <w:iCs/>
        </w:rPr>
        <w:t>Ferrer</w:t>
      </w:r>
      <w:r w:rsidRPr="00535B5A" w:rsidR="0093509B">
        <w:t xml:space="preserve">, the court </w:t>
      </w:r>
      <w:r w:rsidRPr="00535B5A" w:rsidR="000178E8">
        <w:t>vacated its prior orders</w:t>
      </w:r>
      <w:r w:rsidRPr="00535B5A" w:rsidR="00F11FCB">
        <w:t>, held a suppression hearing,</w:t>
      </w:r>
      <w:r w:rsidRPr="00535B5A" w:rsidR="000178E8">
        <w:t xml:space="preserve"> and ultimately denied the suppression motion.</w:t>
      </w:r>
      <w:r w:rsidR="00212C31">
        <w:t xml:space="preserve"> </w:t>
      </w:r>
      <w:r w:rsidR="00485B1E">
        <w:t xml:space="preserve"> </w:t>
      </w:r>
      <w:r w:rsidR="00212C31">
        <w:t>This decision reposed within the court</w:t>
      </w:r>
      <w:r w:rsidR="00C16CC1">
        <w:t xml:space="preserve">’s sound discretion.  </w:t>
      </w:r>
      <w:r w:rsidRPr="00535B5A" w:rsidR="007F5A4A">
        <w:t xml:space="preserve">Defendant was out of custody, and the continuance was within the speedy trial timeframe.  </w:t>
      </w:r>
      <w:r w:rsidR="00C16CC1">
        <w:t xml:space="preserve">There is no indication that she suffered </w:t>
      </w:r>
      <w:r w:rsidR="007D2A22">
        <w:t>a</w:t>
      </w:r>
      <w:r w:rsidR="00C16CC1">
        <w:t xml:space="preserve">ny prejudice by the </w:t>
      </w:r>
      <w:r w:rsidR="007D2A22">
        <w:t xml:space="preserve">hearing’s delay.  </w:t>
      </w:r>
      <w:r w:rsidRPr="00535B5A" w:rsidR="008A611B">
        <w:t>T</w:t>
      </w:r>
      <w:r w:rsidRPr="00535B5A" w:rsidR="007F5A4A">
        <w:t xml:space="preserve">he court </w:t>
      </w:r>
      <w:r w:rsidRPr="00535B5A" w:rsidR="008A611B">
        <w:t xml:space="preserve">also </w:t>
      </w:r>
      <w:r w:rsidRPr="00535B5A" w:rsidR="007F5A4A">
        <w:t xml:space="preserve">expressly found that </w:t>
      </w:r>
      <w:r w:rsidRPr="00535B5A" w:rsidR="008A611B">
        <w:t xml:space="preserve">the prosecutor </w:t>
      </w:r>
      <w:r w:rsidRPr="00535B5A" w:rsidR="007F5A4A">
        <w:t>had not sought the continuance in bad faith.</w:t>
      </w:r>
      <w:r w:rsidRPr="00535B5A" w:rsidR="008A611B">
        <w:t xml:space="preserve">  The court</w:t>
      </w:r>
      <w:r w:rsidR="00425DFE">
        <w:t xml:space="preserve"> said it had reviewed portions of the police report at the initial suppression hearing, and it</w:t>
      </w:r>
      <w:r w:rsidRPr="00535B5A" w:rsidR="008A611B">
        <w:t xml:space="preserve"> </w:t>
      </w:r>
      <w:r w:rsidR="00425DFE">
        <w:t>was provided</w:t>
      </w:r>
      <w:r w:rsidRPr="00535B5A" w:rsidR="008A611B">
        <w:t xml:space="preserve"> </w:t>
      </w:r>
      <w:r w:rsidR="00425DFE">
        <w:t>additional</w:t>
      </w:r>
      <w:r w:rsidRPr="00535B5A" w:rsidR="008A611B">
        <w:t xml:space="preserve"> facts </w:t>
      </w:r>
      <w:r w:rsidR="00425DFE">
        <w:t>in</w:t>
      </w:r>
      <w:r w:rsidRPr="00535B5A" w:rsidR="00425DFE">
        <w:t xml:space="preserve"> </w:t>
      </w:r>
      <w:r w:rsidRPr="00535B5A" w:rsidR="008A611B">
        <w:t>the People’s opposition to the suppression motion</w:t>
      </w:r>
      <w:r w:rsidR="00425DFE">
        <w:t xml:space="preserve">.  From these materials, the court would have </w:t>
      </w:r>
      <w:r w:rsidRPr="00535B5A" w:rsidR="008A611B">
        <w:t xml:space="preserve">readily appreciated the centrality of defendant’s incriminating statements and the items collected by </w:t>
      </w:r>
      <w:r w:rsidRPr="00535B5A" w:rsidR="00EA20B8">
        <w:t xml:space="preserve">Officer </w:t>
      </w:r>
      <w:r w:rsidRPr="00535B5A" w:rsidR="008A611B">
        <w:t>Yasin.</w:t>
      </w:r>
      <w:r w:rsidR="00CD0BE8">
        <w:t xml:space="preserve">  </w:t>
      </w:r>
      <w:r w:rsidRPr="000E68E8" w:rsidR="00CD0BE8">
        <w:t xml:space="preserve">The trial court </w:t>
      </w:r>
      <w:r w:rsidRPr="000E68E8" w:rsidR="00685663">
        <w:t>repeated</w:t>
      </w:r>
      <w:r w:rsidRPr="000E68E8" w:rsidR="00CD0BE8">
        <w:t xml:space="preserve"> that it had not suppressed the officer’s observations, but then concluded the People were unable to proceed “because those were the</w:t>
      </w:r>
      <w:r w:rsidR="00DD1132">
        <w:t> </w:t>
      </w:r>
      <w:r w:rsidRPr="000E68E8" w:rsidR="00CD0BE8">
        <w:t>— all of the facts that were available.”</w:t>
      </w:r>
      <w:r w:rsidRPr="000E68E8" w:rsidR="008A611B">
        <w:t xml:space="preserve"> </w:t>
      </w:r>
      <w:r w:rsidRPr="00535B5A" w:rsidR="008A611B">
        <w:t xml:space="preserve"> This</w:t>
      </w:r>
      <w:r w:rsidR="00FC4238">
        <w:t xml:space="preserve"> record </w:t>
      </w:r>
      <w:r w:rsidR="00425DFE">
        <w:t xml:space="preserve">is sufficient to show the trial court made </w:t>
      </w:r>
      <w:r w:rsidR="00FC4238">
        <w:t xml:space="preserve">an independent conclusion </w:t>
      </w:r>
      <w:r w:rsidRPr="00535B5A" w:rsidR="008A611B">
        <w:t>that the People could not proceed without the suppressed evidence</w:t>
      </w:r>
      <w:r w:rsidR="00425DFE">
        <w:t>.  D</w:t>
      </w:r>
      <w:r w:rsidR="00FB02C0">
        <w:t xml:space="preserve">efendant has not </w:t>
      </w:r>
      <w:r w:rsidR="00425DFE">
        <w:t xml:space="preserve">established that </w:t>
      </w:r>
      <w:r w:rsidR="00FB02C0">
        <w:t xml:space="preserve">the court abused its discretion by </w:t>
      </w:r>
      <w:r w:rsidR="00403B61">
        <w:t>concluding</w:t>
      </w:r>
      <w:r w:rsidRPr="00535B5A" w:rsidR="008A611B">
        <w:t xml:space="preserve"> that dismissal of the case was reasonably foreseeable </w:t>
      </w:r>
      <w:r w:rsidR="004B41B8">
        <w:t>should a continuance be denied.</w:t>
      </w:r>
      <w:r>
        <w:rPr>
          <w:rStyle w:val="FootnoteReference"/>
        </w:rPr>
        <w:footnoteReference w:id="9"/>
      </w:r>
    </w:p>
    <w:p w:rsidR="000F2E78" w14:paraId="5E0EEAF8" w14:textId="10CFDFC6">
      <w:r>
        <w:tab/>
      </w:r>
      <w:r w:rsidRPr="000F2E78">
        <w:t>In summary, reading the statutes together, the following legislative intent is evident.  Requests for continuances in criminal cases are to be justified by good cause following the procedures and showings required in section</w:t>
      </w:r>
      <w:r>
        <w:t> </w:t>
      </w:r>
      <w:r w:rsidRPr="000F2E78">
        <w:t>1050.  Failure to follow the required procedures can be sanctioned under section</w:t>
      </w:r>
      <w:r>
        <w:t> </w:t>
      </w:r>
      <w:r w:rsidRPr="000F2E78">
        <w:t>1050.5.  While the statutory requirements cannot be ignored without consequences, they are not intended to be so rigidly applied as to require dismissal of the case.  Thus understood, the statutes empower the court to hold accountable those who fail to comply with them.  But they should not be applied so stringently that legitimate prosecutions cannot be pursued within statutory time frames and constitutional protections.</w:t>
      </w:r>
    </w:p>
    <w:p w:rsidR="00CF0FA4" w:rsidRPr="00535B5A" w:rsidP="00F067B8" w14:paraId="18D18345" w14:textId="7BC4F18D">
      <w:pPr>
        <w:jc w:val="center"/>
        <w:rPr>
          <w:bCs/>
          <w:caps/>
        </w:rPr>
      </w:pPr>
      <w:r w:rsidRPr="00535B5A">
        <w:rPr>
          <w:bCs/>
          <w:caps/>
        </w:rPr>
        <w:t xml:space="preserve">III.  </w:t>
      </w:r>
      <w:r w:rsidRPr="00535B5A">
        <w:rPr>
          <w:bCs/>
          <w:caps/>
        </w:rPr>
        <w:t>DISPOSITION</w:t>
      </w:r>
    </w:p>
    <w:p w:rsidR="00D6323A" w:rsidRPr="00535B5A" w:rsidP="00535B5A" w14:paraId="38A5B519" w14:textId="60F614CB">
      <w:pPr>
        <w:outlineLvl w:val="0"/>
      </w:pPr>
      <w:r w:rsidRPr="00535B5A">
        <w:tab/>
      </w:r>
      <w:r w:rsidRPr="00535B5A" w:rsidR="0018004D">
        <w:t>T</w:t>
      </w:r>
      <w:r w:rsidRPr="00535B5A" w:rsidR="00DA386B">
        <w:t xml:space="preserve">he Court of Appeal’s </w:t>
      </w:r>
      <w:r w:rsidRPr="00535B5A" w:rsidR="0018004D">
        <w:t xml:space="preserve">decision </w:t>
      </w:r>
      <w:r w:rsidRPr="00535B5A" w:rsidR="00D96BCF">
        <w:t>is</w:t>
      </w:r>
      <w:r w:rsidRPr="00535B5A" w:rsidR="0018004D">
        <w:t xml:space="preserve"> reverse</w:t>
      </w:r>
      <w:r w:rsidRPr="00535B5A" w:rsidR="0073579F">
        <w:t>d</w:t>
      </w:r>
      <w:r w:rsidRPr="00535B5A" w:rsidR="00A96CDD">
        <w:t>.</w:t>
      </w:r>
      <w:r w:rsidRPr="00535B5A" w:rsidR="0073579F">
        <w:t xml:space="preserve">  </w:t>
      </w:r>
      <w:r w:rsidRPr="00535B5A" w:rsidR="0018004D">
        <w:t xml:space="preserve">The trial court’s </w:t>
      </w:r>
      <w:r w:rsidRPr="00535B5A" w:rsidR="00DA386B">
        <w:t>judgment</w:t>
      </w:r>
      <w:r w:rsidRPr="00535B5A" w:rsidR="00FF5073">
        <w:t>, finding defendant guilty of the charge, is affirmed</w:t>
      </w:r>
      <w:r w:rsidRPr="00535B5A" w:rsidR="00DA386B">
        <w:t>.</w:t>
      </w:r>
      <w:r w:rsidR="008567D6">
        <w:t xml:space="preserve"> </w:t>
      </w:r>
      <w:r w:rsidR="00B455C2">
        <w:t xml:space="preserve"> While this appeal was pending,</w:t>
      </w:r>
      <w:r w:rsidR="008567D6">
        <w:t xml:space="preserve"> the Legislature decriminalized the act of loitering for purposes of prostitution, the offense of which defe</w:t>
      </w:r>
      <w:r w:rsidR="0046193F">
        <w:t>n</w:t>
      </w:r>
      <w:r w:rsidR="008567D6">
        <w:t xml:space="preserve">dant was convicted. </w:t>
      </w:r>
      <w:r w:rsidR="00B455C2">
        <w:t xml:space="preserve"> (See Stats.</w:t>
      </w:r>
      <w:r w:rsidR="00D716F1">
        <w:t xml:space="preserve"> </w:t>
      </w:r>
      <w:r w:rsidR="00B455C2">
        <w:t xml:space="preserve">2022, ch. 86 (Sen. Bill No. 357), </w:t>
      </w:r>
      <w:r w:rsidR="00B455C2">
        <w:rPr>
          <w:rFonts w:ascii="Times New Roman" w:hAnsi="Times New Roman"/>
        </w:rPr>
        <w:t>§</w:t>
      </w:r>
      <w:r w:rsidR="00B455C2">
        <w:t xml:space="preserve"> 4, effective </w:t>
      </w:r>
      <w:r w:rsidR="001E16C4">
        <w:t>Jan. 1, 2023.)</w:t>
      </w:r>
      <w:r w:rsidR="008567D6">
        <w:t xml:space="preserve">  In doing so</w:t>
      </w:r>
      <w:r w:rsidR="00B455C2">
        <w:t>,</w:t>
      </w:r>
      <w:r w:rsidR="008567D6">
        <w:t xml:space="preserve"> the Legislature provid</w:t>
      </w:r>
      <w:r w:rsidR="0046193F">
        <w:t>e</w:t>
      </w:r>
      <w:r w:rsidR="005479A7">
        <w:t>d</w:t>
      </w:r>
      <w:r w:rsidR="008567D6">
        <w:t xml:space="preserve"> </w:t>
      </w:r>
      <w:r w:rsidR="001E16C4">
        <w:t xml:space="preserve">a mechanism for </w:t>
      </w:r>
      <w:r w:rsidR="008567D6">
        <w:t xml:space="preserve">those previously convicted of that offense to request resentencing or dismissal and sealing of their case, as applicable.  (See </w:t>
      </w:r>
      <w:r w:rsidR="003207DD">
        <w:rPr>
          <w:rFonts w:ascii="Times New Roman" w:hAnsi="Times New Roman"/>
        </w:rPr>
        <w:t>§</w:t>
      </w:r>
      <w:r w:rsidR="003207DD">
        <w:t> </w:t>
      </w:r>
      <w:r w:rsidR="008567D6">
        <w:t xml:space="preserve">653.29.) </w:t>
      </w:r>
      <w:r w:rsidR="003207DD">
        <w:t xml:space="preserve"> </w:t>
      </w:r>
      <w:r w:rsidR="008567D6">
        <w:t>Nothing we say here prohibits defendant from seeking that relief.</w:t>
      </w:r>
    </w:p>
    <w:p w:rsidR="000E2CB8" w:rsidRPr="00535B5A" w:rsidP="00535B5A" w14:paraId="4821616A" w14:textId="77777777"/>
    <w:p w:rsidR="00195A41" w:rsidRPr="00535B5A" w:rsidP="00535B5A" w14:paraId="43A2F779" w14:textId="77777777">
      <w:pPr>
        <w:rPr>
          <w:b/>
          <w:bCs/>
        </w:rPr>
      </w:pPr>
      <w:r w:rsidRPr="00535B5A">
        <w:rPr>
          <w:b/>
          <w:bCs/>
        </w:rPr>
        <w:tab/>
      </w:r>
      <w:r w:rsidRPr="00535B5A">
        <w:rPr>
          <w:b/>
          <w:bCs/>
        </w:rPr>
        <w:tab/>
      </w:r>
      <w:r w:rsidRPr="00535B5A">
        <w:rPr>
          <w:b/>
          <w:bCs/>
        </w:rPr>
        <w:tab/>
      </w:r>
      <w:r w:rsidRPr="00535B5A">
        <w:rPr>
          <w:b/>
          <w:bCs/>
        </w:rPr>
        <w:tab/>
      </w:r>
      <w:r w:rsidRPr="00535B5A">
        <w:rPr>
          <w:b/>
          <w:bCs/>
        </w:rPr>
        <w:tab/>
      </w:r>
      <w:r w:rsidRPr="00535B5A">
        <w:rPr>
          <w:b/>
          <w:bCs/>
        </w:rPr>
        <w:tab/>
      </w:r>
      <w:r w:rsidRPr="00535B5A">
        <w:rPr>
          <w:b/>
          <w:bCs/>
        </w:rPr>
        <w:tab/>
      </w:r>
      <w:r w:rsidRPr="00535B5A">
        <w:rPr>
          <w:b/>
          <w:bCs/>
        </w:rPr>
        <w:tab/>
        <w:t>CORRIGAN, J.</w:t>
      </w:r>
    </w:p>
    <w:p w:rsidR="00DA386B" w:rsidRPr="00535B5A" w:rsidP="00535B5A" w14:paraId="123073FC" w14:textId="77777777">
      <w:pPr>
        <w:tabs>
          <w:tab w:val="left" w:pos="1440"/>
        </w:tabs>
        <w:rPr>
          <w:b/>
          <w:bCs/>
        </w:rPr>
      </w:pPr>
    </w:p>
    <w:p w:rsidR="00A731E9" w:rsidP="00535B5A" w14:paraId="5118B601" w14:textId="775951D0">
      <w:pPr>
        <w:tabs>
          <w:tab w:val="left" w:pos="1440"/>
        </w:tabs>
        <w:rPr>
          <w:b/>
          <w:bCs/>
        </w:rPr>
      </w:pPr>
      <w:r w:rsidRPr="00535B5A">
        <w:rPr>
          <w:b/>
          <w:bCs/>
        </w:rPr>
        <w:t>We Concur:</w:t>
      </w:r>
    </w:p>
    <w:p w:rsidR="00535B5A" w:rsidP="00D433C2" w14:paraId="38A490D3" w14:textId="46083F1A">
      <w:pPr>
        <w:tabs>
          <w:tab w:val="left" w:pos="1440"/>
        </w:tabs>
        <w:spacing w:after="0" w:line="240" w:lineRule="auto"/>
        <w:rPr>
          <w:b/>
          <w:bCs/>
        </w:rPr>
      </w:pPr>
      <w:r>
        <w:rPr>
          <w:b/>
          <w:bCs/>
        </w:rPr>
        <w:t>GUERRERO, C.</w:t>
      </w:r>
      <w:r w:rsidR="00291892">
        <w:rPr>
          <w:b/>
          <w:bCs/>
        </w:rPr>
        <w:t> </w:t>
      </w:r>
      <w:r>
        <w:rPr>
          <w:b/>
          <w:bCs/>
        </w:rPr>
        <w:t>J.</w:t>
      </w:r>
    </w:p>
    <w:p w:rsidR="00D433C2" w:rsidP="00D433C2" w14:paraId="53914C98" w14:textId="22F8C1D4">
      <w:pPr>
        <w:tabs>
          <w:tab w:val="left" w:pos="1440"/>
        </w:tabs>
        <w:spacing w:after="0" w:line="240" w:lineRule="auto"/>
        <w:rPr>
          <w:b/>
          <w:bCs/>
        </w:rPr>
      </w:pPr>
      <w:r>
        <w:rPr>
          <w:b/>
          <w:bCs/>
        </w:rPr>
        <w:t>KRUGER, J.</w:t>
      </w:r>
    </w:p>
    <w:p w:rsidR="005A22CC" w:rsidP="00D433C2" w14:paraId="0220B7FE" w14:textId="77777777">
      <w:pPr>
        <w:tabs>
          <w:tab w:val="left" w:pos="1440"/>
        </w:tabs>
        <w:spacing w:after="0" w:line="240" w:lineRule="auto"/>
        <w:rPr>
          <w:b/>
          <w:bCs/>
        </w:rPr>
        <w:sectPr w:rsidSect="00535B5A">
          <w:footerReference w:type="first" r:id="rId8"/>
          <w:pgSz w:w="12240" w:h="15840"/>
          <w:pgMar w:top="1800" w:right="2160" w:bottom="1440" w:left="2160" w:header="720" w:footer="720" w:gutter="0"/>
          <w:pgNumType w:start="1"/>
          <w:cols w:space="720"/>
          <w:titlePg/>
          <w:docGrid w:linePitch="367"/>
        </w:sectPr>
      </w:pPr>
      <w:r>
        <w:rPr>
          <w:b/>
          <w:bCs/>
        </w:rPr>
        <w:t>JENKINS, J.</w:t>
      </w:r>
    </w:p>
    <w:p w:rsidR="005A22CC" w:rsidRPr="005A22CC" w:rsidP="00677692" w14:paraId="69C38D69" w14:textId="77777777">
      <w:pPr>
        <w:jc w:val="center"/>
        <w:rPr>
          <w:bCs/>
          <w:caps/>
          <w:szCs w:val="27"/>
        </w:rPr>
      </w:pPr>
      <w:bookmarkStart w:id="5" w:name="_Hlk127883215"/>
      <w:bookmarkEnd w:id="5"/>
      <w:r w:rsidRPr="005A22CC">
        <w:rPr>
          <w:bCs/>
          <w:caps/>
          <w:szCs w:val="27"/>
        </w:rPr>
        <w:t xml:space="preserve">PEOPLE </w:t>
      </w:r>
      <w:r w:rsidRPr="005A22CC">
        <w:rPr>
          <w:bCs/>
          <w:szCs w:val="27"/>
        </w:rPr>
        <w:t>v</w:t>
      </w:r>
      <w:r w:rsidRPr="005A22CC">
        <w:rPr>
          <w:bCs/>
          <w:caps/>
          <w:szCs w:val="27"/>
        </w:rPr>
        <w:t xml:space="preserve">. </w:t>
      </w:r>
      <w:bookmarkStart w:id="6" w:name="defendant"/>
      <w:bookmarkEnd w:id="6"/>
      <w:r w:rsidRPr="005A22CC">
        <w:rPr>
          <w:bCs/>
          <w:caps/>
          <w:szCs w:val="27"/>
        </w:rPr>
        <w:t>BROWN</w:t>
      </w:r>
    </w:p>
    <w:p w:rsidR="005A22CC" w:rsidRPr="005A22CC" w:rsidP="00677692" w14:paraId="0E14E132" w14:textId="77777777">
      <w:pPr>
        <w:jc w:val="center"/>
        <w:rPr>
          <w:bCs/>
          <w:iCs/>
          <w:szCs w:val="27"/>
        </w:rPr>
      </w:pPr>
      <w:bookmarkStart w:id="7" w:name="_Hlk128658598"/>
      <w:bookmarkStart w:id="8" w:name="_Hlk128658839"/>
      <w:r w:rsidRPr="005A22CC">
        <w:rPr>
          <w:bCs/>
          <w:iCs/>
          <w:szCs w:val="27"/>
        </w:rPr>
        <w:t>S271877</w:t>
      </w:r>
      <w:bookmarkStart w:id="9" w:name="opinion"/>
      <w:bookmarkEnd w:id="7"/>
      <w:bookmarkEnd w:id="9"/>
    </w:p>
    <w:bookmarkEnd w:id="8"/>
    <w:p w:rsidR="005A22CC" w:rsidRPr="005A22CC" w:rsidP="005A22CC" w14:paraId="520FEBCB" w14:textId="77777777">
      <w:pPr>
        <w:ind w:firstLine="720"/>
        <w:jc w:val="center"/>
        <w:rPr>
          <w:bCs/>
          <w:szCs w:val="27"/>
        </w:rPr>
      </w:pPr>
    </w:p>
    <w:p w:rsidR="005A22CC" w:rsidRPr="005A22CC" w:rsidP="00677692" w14:paraId="47D5A02A" w14:textId="77777777">
      <w:pPr>
        <w:jc w:val="center"/>
        <w:rPr>
          <w:bCs/>
          <w:caps/>
          <w:szCs w:val="27"/>
        </w:rPr>
      </w:pPr>
      <w:r w:rsidRPr="005A22CC">
        <w:rPr>
          <w:bCs/>
          <w:szCs w:val="27"/>
        </w:rPr>
        <w:t>Concurring and Dissenting Opinion by Justice Groban</w:t>
      </w:r>
    </w:p>
    <w:p w:rsidR="005A22CC" w:rsidRPr="005A22CC" w:rsidP="005A22CC" w14:paraId="696E47CB" w14:textId="77777777">
      <w:pPr>
        <w:spacing w:after="0"/>
        <w:rPr>
          <w:szCs w:val="27"/>
        </w:rPr>
      </w:pPr>
    </w:p>
    <w:p w:rsidR="005A22CC" w:rsidRPr="005A22CC" w:rsidP="007E1475" w14:paraId="46C51D19" w14:textId="77777777">
      <w:pPr>
        <w:rPr>
          <w:szCs w:val="27"/>
        </w:rPr>
      </w:pPr>
      <w:r w:rsidRPr="005A22CC">
        <w:rPr>
          <w:szCs w:val="27"/>
        </w:rPr>
        <w:tab/>
        <w:t>I agree with the majority’s conclusion that the Penal Code provisions governing continuances and dismissals (see, e.g., Pen. Code, §§ 1050; 1385)</w:t>
      </w:r>
      <w:r>
        <w:rPr>
          <w:b/>
          <w:position w:val="6"/>
          <w:sz w:val="20"/>
          <w:szCs w:val="27"/>
        </w:rPr>
        <w:footnoteReference w:id="10"/>
      </w:r>
      <w:r w:rsidRPr="005A22CC">
        <w:rPr>
          <w:szCs w:val="27"/>
        </w:rPr>
        <w:t xml:space="preserve"> do not permit a trial court to deny a continuance of a suppression hearing “solely because good cause is lacking, when doing so will result in dismissal of the charges and the continuance can be granted without violating the defendant’s speedy trial rights.”  (Maj. opn., </w:t>
      </w:r>
      <w:r w:rsidRPr="005A22CC">
        <w:rPr>
          <w:i/>
          <w:iCs/>
          <w:szCs w:val="27"/>
        </w:rPr>
        <w:t>ante</w:t>
      </w:r>
      <w:r w:rsidRPr="005A22CC">
        <w:rPr>
          <w:szCs w:val="27"/>
        </w:rPr>
        <w:t xml:space="preserve">, at p. 1.)  I write separately for two reasons.  </w:t>
      </w:r>
    </w:p>
    <w:p w:rsidR="005A22CC" w:rsidRPr="005A22CC" w:rsidP="007E1475" w14:paraId="12FA2692" w14:textId="77777777">
      <w:pPr>
        <w:ind w:firstLine="720"/>
        <w:rPr>
          <w:szCs w:val="27"/>
        </w:rPr>
      </w:pPr>
      <w:r w:rsidRPr="005A22CC">
        <w:rPr>
          <w:szCs w:val="27"/>
        </w:rPr>
        <w:t xml:space="preserve">First, I share the Court of Appeal’s concerns that the statutory procedures governing continuance requests of suppression hearings pose various practical complications for defendants and our trial courts.  (See </w:t>
      </w:r>
      <w:r w:rsidRPr="005A22CC">
        <w:rPr>
          <w:i/>
          <w:iCs/>
          <w:szCs w:val="27"/>
        </w:rPr>
        <w:t>People v. Brown</w:t>
      </w:r>
      <w:r w:rsidRPr="005A22CC">
        <w:rPr>
          <w:szCs w:val="27"/>
        </w:rPr>
        <w:t xml:space="preserve"> (2021) 69 Cal.App.5th 15, 31–32 (</w:t>
      </w:r>
      <w:r w:rsidRPr="005A22CC">
        <w:rPr>
          <w:i/>
          <w:iCs/>
          <w:szCs w:val="27"/>
        </w:rPr>
        <w:t>Brown</w:t>
      </w:r>
      <w:r w:rsidRPr="005A22CC">
        <w:rPr>
          <w:szCs w:val="27"/>
        </w:rPr>
        <w:t>); cf. maj. opn.,</w:t>
      </w:r>
      <w:r w:rsidRPr="005A22CC">
        <w:rPr>
          <w:rFonts w:ascii="Times New Roman" w:hAnsi="Times New Roman"/>
          <w:sz w:val="26"/>
        </w:rPr>
        <w:t xml:space="preserve"> </w:t>
      </w:r>
      <w:r w:rsidRPr="005A22CC">
        <w:rPr>
          <w:i/>
          <w:iCs/>
          <w:szCs w:val="27"/>
        </w:rPr>
        <w:t>ante</w:t>
      </w:r>
      <w:r w:rsidRPr="005A22CC">
        <w:rPr>
          <w:szCs w:val="27"/>
        </w:rPr>
        <w:t xml:space="preserve">, at p.  27.)  Whether those complications warrant amendment of the controlling statutes, however, is ultimately a question for the Legislature to decide.  </w:t>
      </w:r>
    </w:p>
    <w:p w:rsidR="005A22CC" w:rsidRPr="005A22CC" w:rsidP="007E1475" w14:paraId="21A66464" w14:textId="77777777">
      <w:pPr>
        <w:ind w:firstLine="720"/>
        <w:rPr>
          <w:szCs w:val="27"/>
        </w:rPr>
      </w:pPr>
      <w:r w:rsidRPr="005A22CC">
        <w:rPr>
          <w:szCs w:val="27"/>
        </w:rPr>
        <w:t xml:space="preserve">Second, I do not agree with the majority’s conclusion that the record in this case demonstrates the prosecution and the trial court complied with the standards articulated in today’s opinion.  Because I am not persuaded the record supports such a finding, I dissent from that portion of the opinion and the disposition affirming Brown’s judgment of conviction.  I would reverse the judgment and remand the matter to the trial court with directions to conduct a hearing on whether the prosecution has satisfied (or can satisfy) its burden to show “the case cannot be tried absent the [challenged] evidence.”  (Maj. opn., </w:t>
      </w:r>
      <w:r w:rsidRPr="005A22CC">
        <w:rPr>
          <w:i/>
          <w:iCs/>
          <w:szCs w:val="27"/>
        </w:rPr>
        <w:t>ante</w:t>
      </w:r>
      <w:r w:rsidRPr="005A22CC">
        <w:rPr>
          <w:szCs w:val="27"/>
        </w:rPr>
        <w:t>, at p. 27, italics omitted.)</w:t>
      </w:r>
    </w:p>
    <w:p w:rsidR="005A22CC" w:rsidRPr="005A22CC" w:rsidP="007E1475" w14:paraId="07661065" w14:textId="77777777">
      <w:pPr>
        <w:jc w:val="center"/>
        <w:rPr>
          <w:b/>
          <w:bCs/>
          <w:color w:val="000000"/>
          <w:szCs w:val="27"/>
        </w:rPr>
      </w:pPr>
      <w:r w:rsidRPr="005A22CC">
        <w:rPr>
          <w:b/>
          <w:bCs/>
          <w:color w:val="000000"/>
          <w:szCs w:val="27"/>
        </w:rPr>
        <w:t>I.</w:t>
      </w:r>
    </w:p>
    <w:p w:rsidR="005A22CC" w:rsidRPr="005A22CC" w:rsidP="007E1475" w14:paraId="718FB1C7" w14:textId="77777777">
      <w:pPr>
        <w:rPr>
          <w:color w:val="000000"/>
          <w:szCs w:val="27"/>
        </w:rPr>
      </w:pPr>
      <w:r w:rsidRPr="005A22CC">
        <w:rPr>
          <w:color w:val="000000"/>
          <w:szCs w:val="27"/>
        </w:rPr>
        <w:tab/>
        <w:t>Although I find the language of Penal Code section 1050, and in particular subdivision (</w:t>
      </w:r>
      <w:r w:rsidRPr="005A22CC">
        <w:rPr>
          <w:i/>
          <w:iCs/>
          <w:color w:val="000000"/>
          <w:szCs w:val="27"/>
        </w:rPr>
        <w:t>l</w:t>
      </w:r>
      <w:r w:rsidRPr="005A22CC">
        <w:rPr>
          <w:color w:val="000000"/>
          <w:szCs w:val="27"/>
        </w:rPr>
        <w:t xml:space="preserve">), to be susceptible to more than one reading, I agree that the statutory scheme is most reasonably construed as requiring trial courts to grant a continuance of a suppression hearing if the prosecution shows “the challenged evidence is so critical that its suppression would require dismissal of the case.”  (Maj. opn., </w:t>
      </w:r>
      <w:r w:rsidRPr="005A22CC">
        <w:rPr>
          <w:i/>
          <w:iCs/>
          <w:szCs w:val="27"/>
        </w:rPr>
        <w:t>ante</w:t>
      </w:r>
      <w:r w:rsidRPr="005A22CC">
        <w:rPr>
          <w:szCs w:val="27"/>
        </w:rPr>
        <w:t xml:space="preserve">, </w:t>
      </w:r>
      <w:r w:rsidRPr="005A22CC">
        <w:rPr>
          <w:color w:val="000000"/>
          <w:szCs w:val="27"/>
        </w:rPr>
        <w:t>at p. 1.)</w:t>
      </w:r>
    </w:p>
    <w:p w:rsidR="005A22CC" w:rsidRPr="005A22CC" w:rsidP="007E1475" w14:paraId="30A41D40" w14:textId="77777777">
      <w:pPr>
        <w:rPr>
          <w:color w:val="000000"/>
          <w:szCs w:val="27"/>
        </w:rPr>
      </w:pPr>
      <w:r w:rsidRPr="005A22CC">
        <w:rPr>
          <w:color w:val="000000"/>
          <w:szCs w:val="27"/>
        </w:rPr>
        <w:tab/>
        <w:t xml:space="preserve">Nonetheless, I agree with the Court of Appeal that this “reasonable foreseeability standard” (maj. opn., </w:t>
      </w:r>
      <w:r w:rsidRPr="005A22CC">
        <w:rPr>
          <w:i/>
          <w:iCs/>
          <w:szCs w:val="27"/>
        </w:rPr>
        <w:t>ante</w:t>
      </w:r>
      <w:r w:rsidRPr="005A22CC">
        <w:rPr>
          <w:szCs w:val="27"/>
        </w:rPr>
        <w:t xml:space="preserve">, </w:t>
      </w:r>
      <w:r w:rsidRPr="005A22CC">
        <w:rPr>
          <w:color w:val="000000"/>
          <w:szCs w:val="27"/>
        </w:rPr>
        <w:t>at p. 27) poses some “distinctive difficulties in application” (</w:t>
      </w:r>
      <w:r w:rsidRPr="005A22CC">
        <w:rPr>
          <w:i/>
          <w:iCs/>
          <w:color w:val="000000"/>
          <w:szCs w:val="27"/>
        </w:rPr>
        <w:t xml:space="preserve">Brown, supra, </w:t>
      </w:r>
      <w:r w:rsidRPr="005A22CC">
        <w:rPr>
          <w:color w:val="000000"/>
          <w:szCs w:val="27"/>
        </w:rPr>
        <w:t xml:space="preserve">69 Cal.App.5th at p. 31; see </w:t>
      </w:r>
      <w:r w:rsidRPr="005A22CC">
        <w:rPr>
          <w:i/>
          <w:iCs/>
          <w:color w:val="000000"/>
          <w:szCs w:val="27"/>
        </w:rPr>
        <w:t>People v. Brown</w:t>
      </w:r>
      <w:r w:rsidRPr="005A22CC">
        <w:rPr>
          <w:color w:val="000000"/>
          <w:szCs w:val="27"/>
        </w:rPr>
        <w:t xml:space="preserve"> (Santa Clara App.Div., Aug. 20, 2020, No. 17AP002184) [nonpub. opn.], conc. opn. of Saban, J. [describing practical difficulties of requiring trial courts to determine whether dismissal is likely]; cf. maj. opn., </w:t>
      </w:r>
      <w:r w:rsidRPr="005A22CC">
        <w:rPr>
          <w:i/>
          <w:iCs/>
          <w:szCs w:val="27"/>
        </w:rPr>
        <w:t>ante</w:t>
      </w:r>
      <w:r w:rsidRPr="005A22CC">
        <w:rPr>
          <w:szCs w:val="27"/>
        </w:rPr>
        <w:t xml:space="preserve">, </w:t>
      </w:r>
      <w:r w:rsidRPr="005A22CC">
        <w:rPr>
          <w:color w:val="000000"/>
          <w:szCs w:val="27"/>
        </w:rPr>
        <w:t xml:space="preserve">at p.  27).  It is unclear, for example, what type of evidentiary showing the prosecution must make to establish that denial of a continuance will result in dismissal.  Nor is it clear how a trial court should go about making an “independent determination of whether dismissal” will occur.  (Maj. opn., </w:t>
      </w:r>
      <w:r w:rsidRPr="005A22CC">
        <w:rPr>
          <w:i/>
          <w:iCs/>
          <w:szCs w:val="27"/>
        </w:rPr>
        <w:t>ante</w:t>
      </w:r>
      <w:r w:rsidRPr="005A22CC">
        <w:rPr>
          <w:szCs w:val="27"/>
        </w:rPr>
        <w:t xml:space="preserve">, </w:t>
      </w:r>
      <w:r w:rsidRPr="005A22CC">
        <w:rPr>
          <w:color w:val="000000"/>
          <w:szCs w:val="27"/>
        </w:rPr>
        <w:t xml:space="preserve">at p. 28.)  Is the prosecution required to describe all of the admissible evidence that remains in the case and explain why that evidence is insufficient to continue?  Does the court have a duty to independently review the entire record to ensure the prosecution’s representations are accurate?  Should the court hold an evidentiary hearing to determine the remaining strength of the prosecution’s case?  At a minimum, forcing the trial court to assess the state of the prosecution’s evidence, without having heard or seen that evidence, seems to place the court in a very difficult position. </w:t>
      </w:r>
    </w:p>
    <w:p w:rsidR="005A22CC" w:rsidRPr="005A22CC" w:rsidP="007E1475" w14:paraId="2302E0C4" w14:textId="77777777">
      <w:pPr>
        <w:ind w:firstLine="720"/>
        <w:rPr>
          <w:color w:val="000000"/>
          <w:szCs w:val="27"/>
        </w:rPr>
      </w:pPr>
      <w:r w:rsidRPr="005A22CC">
        <w:rPr>
          <w:szCs w:val="27"/>
        </w:rPr>
        <w:t xml:space="preserve">The “reasonable foreseeability” inquiry places defendants and their counsel in an even more difficult position.  The majority notes that the defense can challenge the prosecution’s assertion that denial of a continuance is likely to result in dismissal.  (See maj. opn., </w:t>
      </w:r>
      <w:r w:rsidRPr="005A22CC">
        <w:rPr>
          <w:i/>
          <w:iCs/>
          <w:szCs w:val="27"/>
        </w:rPr>
        <w:t>ante</w:t>
      </w:r>
      <w:r w:rsidRPr="005A22CC">
        <w:rPr>
          <w:szCs w:val="27"/>
        </w:rPr>
        <w:t xml:space="preserve">, at p. 27.)  It seems highly unusual, however, to place defense counsel in the position of arguing </w:t>
      </w:r>
      <w:r w:rsidRPr="005A22CC">
        <w:rPr>
          <w:i/>
          <w:iCs/>
          <w:szCs w:val="27"/>
        </w:rPr>
        <w:t>in</w:t>
      </w:r>
      <w:r w:rsidRPr="005A22CC">
        <w:rPr>
          <w:szCs w:val="27"/>
        </w:rPr>
        <w:t xml:space="preserve"> </w:t>
      </w:r>
      <w:r w:rsidRPr="005A22CC">
        <w:rPr>
          <w:i/>
          <w:iCs/>
          <w:szCs w:val="27"/>
        </w:rPr>
        <w:t>favor</w:t>
      </w:r>
      <w:r w:rsidRPr="005A22CC">
        <w:rPr>
          <w:szCs w:val="27"/>
        </w:rPr>
        <w:t xml:space="preserve"> of the strength of the State’s case.  I agree  with the majority that the “burden of arguing the strength of the . . . case” ultimately resides with the prosecution, and not the defendant.  (</w:t>
      </w:r>
      <w:r w:rsidRPr="005A22CC">
        <w:rPr>
          <w:i/>
          <w:iCs/>
          <w:szCs w:val="27"/>
        </w:rPr>
        <w:t>Ibid</w:t>
      </w:r>
      <w:r w:rsidRPr="005A22CC">
        <w:rPr>
          <w:szCs w:val="27"/>
        </w:rPr>
        <w:t>.)  I also agree with the majority’s rejection of the Attorney General’s proposal that trial courts should simply rely on prosecutors’ representations as to their ability to proceed.  (</w:t>
      </w:r>
      <w:r w:rsidRPr="005A22CC">
        <w:rPr>
          <w:i/>
          <w:iCs/>
          <w:szCs w:val="27"/>
        </w:rPr>
        <w:t>Id</w:t>
      </w:r>
      <w:r w:rsidRPr="005A22CC">
        <w:rPr>
          <w:szCs w:val="27"/>
        </w:rPr>
        <w:t xml:space="preserve">. at p. 28.)  Even so, our decision today leaves defense counsel in a quandary.  </w:t>
      </w:r>
      <w:r w:rsidRPr="005A22CC">
        <w:rPr>
          <w:bCs/>
          <w:szCs w:val="27"/>
        </w:rPr>
        <w:t xml:space="preserve">Take the situation here:  Brown  surely would have benefitted if the trial court had denied a continuance and forced the prosecution to proceed to trial without Officer Yasin’s challenged statements.  But to advocate for such a result, defense counsel would have had to argue that the prosecution’s remaining evidence against Brown was strong enough  to move forward with the case.  Does the possibility of having the continuance denied, and thus the challenged evidence suppressed, warrant arguing in favor of the strength of the State’s case?  Perhaps, but that is a tricky position for any defense lawyer to be in.  </w:t>
      </w:r>
    </w:p>
    <w:p w:rsidR="005A22CC" w:rsidRPr="005A22CC" w:rsidP="007E1475" w14:paraId="407581BD" w14:textId="77777777">
      <w:pPr>
        <w:ind w:firstLine="720"/>
        <w:rPr>
          <w:szCs w:val="27"/>
        </w:rPr>
      </w:pPr>
      <w:r w:rsidRPr="005A22CC">
        <w:rPr>
          <w:szCs w:val="27"/>
        </w:rPr>
        <w:t>Moreover, requiring our trial courts to grant continuance requests of suppression hearings that are unsupported by good cause diminishes their ability to manage their calendars.  As we have previously explained in interpreting section 1050, “one important element of a court’s inherent judicial authority . . . is ‘the power . . . to control the disposition of the causes on its docket with economy of time and effort for itself, for counsel, and for litigants.”  (</w:t>
      </w:r>
      <w:r w:rsidRPr="005A22CC">
        <w:rPr>
          <w:i/>
          <w:iCs/>
          <w:szCs w:val="27"/>
        </w:rPr>
        <w:t>People v. Engram</w:t>
      </w:r>
      <w:r w:rsidRPr="005A22CC">
        <w:rPr>
          <w:szCs w:val="27"/>
        </w:rPr>
        <w:t xml:space="preserve"> (2010) 50 Cal.4th 1131, 1146.)  Creating a rule that trial courts must grant continuances of suppression hearings, regardless of good cause, undoubtedly cuts against those interests.  This case is illustrative.  Without consulting the defense or the trial court, the prosecution instructed a subpoenaed police officer that he could skip the suppression hearing to conduct a routine witness interview in another matter.  As a result of such conduct, Brown, her defense counsel and the trial court were all required to expend time and resources to reschedule a hearing for which there was no good reason to delay.  One might fairly question whether that outcome is consistent with the purposes underlying subdivision (e)’s good cause requirement.  (See § 1050, subd. (a) [“the Legislature finds that . . . . [e]xcessive continuances contribute substantially to th[e] congestion [of criminal courts] and cause substantial hardship to victims and other witnesses”].)  </w:t>
      </w:r>
    </w:p>
    <w:p w:rsidR="005A22CC" w:rsidRPr="005A22CC" w:rsidP="007E1475" w14:paraId="76FF14E3" w14:textId="77777777">
      <w:pPr>
        <w:ind w:firstLine="720"/>
        <w:rPr>
          <w:szCs w:val="27"/>
        </w:rPr>
      </w:pPr>
      <w:r w:rsidRPr="005A22CC">
        <w:rPr>
          <w:szCs w:val="27"/>
        </w:rPr>
        <w:t xml:space="preserve">The complications described above take on added significance given that, at least in the context of felony cases, section 1538.5 substantially mitigates the consequences of the trial court’s grant of a suppression order.  If a suppression motion is granted in a felony case, the prosecutor is statutorily authorized to dismiss the case, refile, and relitigate the suppression ruling.  (See § 1538.5, subd. (j).)  Thus, when a court grants a suppression motion, the prosecution is left to determine whether the suppressed evidence is sufficiently important to go through the inconvenience of refiling the case and relitigating the motion.  One might wonder why that remedy — which places the onus on the prosecution rather than the courts to evaluate the importance of the evidence in question — is not equally appropriate when a prosecutor lacks good cause for being unprepared to participate in a suppression hearing.  </w:t>
      </w:r>
    </w:p>
    <w:p w:rsidR="005A22CC" w:rsidRPr="005A22CC" w:rsidP="007E1475" w14:paraId="32D13184" w14:textId="77777777">
      <w:pPr>
        <w:ind w:firstLine="720"/>
        <w:rPr>
          <w:szCs w:val="27"/>
        </w:rPr>
      </w:pPr>
      <w:r w:rsidRPr="005A22CC">
        <w:rPr>
          <w:szCs w:val="27"/>
        </w:rPr>
        <w:t xml:space="preserve">In the end, however, whether these practical complications warrant changing the statutory procedures that govern continuance requests of suppression hearings, or otherwise warrant giving our trial courts more discretionary authority to deny such requests when unsupported by good cause, are questions for the Legislature to decide.  </w:t>
      </w:r>
    </w:p>
    <w:p w:rsidR="005A22CC" w:rsidRPr="005A22CC" w:rsidP="007E1475" w14:paraId="1E6561E8" w14:textId="77777777">
      <w:pPr>
        <w:jc w:val="center"/>
        <w:rPr>
          <w:b/>
          <w:bCs/>
          <w:szCs w:val="27"/>
        </w:rPr>
      </w:pPr>
      <w:r w:rsidRPr="005A22CC">
        <w:rPr>
          <w:b/>
          <w:bCs/>
          <w:szCs w:val="27"/>
        </w:rPr>
        <w:t>II.</w:t>
      </w:r>
    </w:p>
    <w:p w:rsidR="005A22CC" w:rsidRPr="005A22CC" w:rsidP="007E1475" w14:paraId="3269C9AA" w14:textId="77777777">
      <w:pPr>
        <w:ind w:firstLine="720"/>
        <w:rPr>
          <w:szCs w:val="27"/>
        </w:rPr>
      </w:pPr>
      <w:r w:rsidRPr="005A22CC">
        <w:rPr>
          <w:szCs w:val="27"/>
        </w:rPr>
        <w:t xml:space="preserve">I agree that the reasonable foreseeability standard places the burden on the People to show the contested evidence “is so critical that its suppression would require dismissal of the case.”  (Maj. opn., </w:t>
      </w:r>
      <w:r w:rsidRPr="005A22CC">
        <w:rPr>
          <w:i/>
          <w:iCs/>
          <w:szCs w:val="27"/>
        </w:rPr>
        <w:t>ante</w:t>
      </w:r>
      <w:r w:rsidRPr="005A22CC">
        <w:rPr>
          <w:szCs w:val="27"/>
        </w:rPr>
        <w:t xml:space="preserve">, p. 1; see </w:t>
      </w:r>
      <w:r w:rsidRPr="005A22CC">
        <w:rPr>
          <w:i/>
          <w:iCs/>
          <w:szCs w:val="27"/>
        </w:rPr>
        <w:t>id</w:t>
      </w:r>
      <w:r w:rsidRPr="005A22CC">
        <w:rPr>
          <w:szCs w:val="27"/>
        </w:rPr>
        <w:t>. at pp. 27–28.)  I also agree that trial courts cannot “simply rely on prosecutors’ representations as to their ability to proceed” (</w:t>
      </w:r>
      <w:r w:rsidRPr="005A22CC">
        <w:rPr>
          <w:i/>
          <w:iCs/>
          <w:szCs w:val="27"/>
        </w:rPr>
        <w:t>id</w:t>
      </w:r>
      <w:r w:rsidRPr="005A22CC">
        <w:rPr>
          <w:szCs w:val="27"/>
        </w:rPr>
        <w:t>. at p. 28), but rather must make their “own independent determination” (</w:t>
      </w:r>
      <w:r w:rsidRPr="005A22CC">
        <w:rPr>
          <w:i/>
          <w:iCs/>
          <w:szCs w:val="27"/>
        </w:rPr>
        <w:t>ibid</w:t>
      </w:r>
      <w:r w:rsidRPr="005A22CC">
        <w:rPr>
          <w:szCs w:val="27"/>
        </w:rPr>
        <w:t>.) whether the prosecution has shown “the case cannot be tried absent the evidence” (</w:t>
      </w:r>
      <w:r w:rsidRPr="005A22CC">
        <w:rPr>
          <w:i/>
          <w:iCs/>
          <w:szCs w:val="27"/>
        </w:rPr>
        <w:t>id</w:t>
      </w:r>
      <w:r w:rsidRPr="005A22CC">
        <w:rPr>
          <w:szCs w:val="27"/>
        </w:rPr>
        <w:t xml:space="preserve">. at p. 27, italics omitted).  </w:t>
      </w:r>
    </w:p>
    <w:p w:rsidR="005A22CC" w:rsidRPr="005A22CC" w:rsidP="007E1475" w14:paraId="1F6A4412" w14:textId="77777777">
      <w:pPr>
        <w:ind w:firstLine="720"/>
        <w:rPr>
          <w:szCs w:val="27"/>
        </w:rPr>
      </w:pPr>
      <w:r w:rsidRPr="005A22CC">
        <w:rPr>
          <w:szCs w:val="27"/>
        </w:rPr>
        <w:t>I do not agree, however, with the majority’s further finding that the record here shows the prosecution and the trial court actually complied with these requirements — requirements that are articulated for the first time in today’s opinion.  I would therefore reverse the judgment of guilt and remand the matter to allow the trial court to hold further hearings on whether the prosecution can proceed without the suppressed evidence.</w:t>
      </w:r>
    </w:p>
    <w:p w:rsidR="005A22CC" w:rsidRPr="005A22CC" w:rsidP="009A4CB1" w14:paraId="4AC21AB0" w14:textId="77777777">
      <w:pPr>
        <w:keepNext/>
        <w:numPr>
          <w:ilvl w:val="0"/>
          <w:numId w:val="2"/>
        </w:numPr>
        <w:contextualSpacing/>
        <w:jc w:val="left"/>
        <w:rPr>
          <w:i/>
          <w:iCs/>
          <w:szCs w:val="27"/>
        </w:rPr>
      </w:pPr>
      <w:r w:rsidRPr="005A22CC">
        <w:rPr>
          <w:i/>
          <w:iCs/>
          <w:szCs w:val="27"/>
        </w:rPr>
        <w:t xml:space="preserve">Factual summary </w:t>
      </w:r>
    </w:p>
    <w:p w:rsidR="005A22CC" w:rsidRPr="005A22CC" w:rsidP="007E1475" w14:paraId="1386BBF7" w14:textId="77777777">
      <w:pPr>
        <w:ind w:firstLine="720"/>
        <w:rPr>
          <w:szCs w:val="27"/>
        </w:rPr>
      </w:pPr>
      <w:r w:rsidRPr="005A22CC">
        <w:rPr>
          <w:szCs w:val="27"/>
        </w:rPr>
        <w:t>Prior to trial, Brown filed a motion to suppress evidence that had been gathered by Officer Yasin during an allegedly unlawful detention.  (See § 1538.5.)  On the day of the suppression hearing, the People requested a continuance.  The prosecutor explained that he had told Yasin, who was then under subpoena, that he could skip the hearing to conduct a witness interview in another case.  The prosecutor described Yasin as the People’s only witness, but provided no description of what Yasin would testify to or the nature of the evidence at issue in the suppression hearing.</w:t>
      </w:r>
      <w:r>
        <w:rPr>
          <w:b/>
          <w:position w:val="6"/>
          <w:sz w:val="20"/>
          <w:szCs w:val="27"/>
        </w:rPr>
        <w:footnoteReference w:id="11"/>
      </w:r>
      <w:r w:rsidRPr="005A22CC">
        <w:rPr>
          <w:szCs w:val="27"/>
        </w:rPr>
        <w:t xml:space="preserve">  </w:t>
      </w:r>
    </w:p>
    <w:p w:rsidR="005A22CC" w:rsidRPr="005A22CC" w:rsidP="007E1475" w14:paraId="32E5A708" w14:textId="77777777">
      <w:pPr>
        <w:ind w:firstLine="720"/>
        <w:rPr>
          <w:szCs w:val="27"/>
        </w:rPr>
      </w:pPr>
      <w:r w:rsidRPr="005A22CC">
        <w:rPr>
          <w:szCs w:val="27"/>
        </w:rPr>
        <w:t>The court concluded the prosecution had failed to establish good cause and then granted the motion to suppress due to Yasin’s absence.  The court clarified it was excluding all statements Brown had made to Yasin during the allegedly unlawful stop but was not excluding any of Yasin’s observations of Brown.  Defense counsel argued that the case should be dismissed in light of the suppression ruling.  The prosecutor, however, requested time to evaluate whether to proceed, explaining that he believed the State might be able to continue with the case because “a lot of the evidence in this case was evidence obtained by . . . observation from the police officer before any contact with the defendant.”  The court then set the matter for trial.</w:t>
      </w:r>
    </w:p>
    <w:p w:rsidR="005A22CC" w:rsidRPr="005A22CC" w:rsidP="007E1475" w14:paraId="2F45AF81" w14:textId="77777777">
      <w:pPr>
        <w:ind w:firstLine="720"/>
        <w:rPr>
          <w:szCs w:val="27"/>
        </w:rPr>
      </w:pPr>
      <w:r w:rsidRPr="005A22CC">
        <w:rPr>
          <w:szCs w:val="27"/>
        </w:rPr>
        <w:t xml:space="preserve">Two weeks later, the People filed a motion for reconsideration arguing that the court was required to grant a continuance under </w:t>
      </w:r>
      <w:r w:rsidRPr="005A22CC">
        <w:rPr>
          <w:i/>
          <w:iCs/>
          <w:szCs w:val="27"/>
        </w:rPr>
        <w:t>People v. Ferrer</w:t>
      </w:r>
      <w:r w:rsidRPr="005A22CC">
        <w:rPr>
          <w:szCs w:val="27"/>
        </w:rPr>
        <w:t xml:space="preserve"> (2010) 184 Cal.App.4th 873 (</w:t>
      </w:r>
      <w:r w:rsidRPr="005A22CC">
        <w:rPr>
          <w:i/>
          <w:iCs/>
          <w:szCs w:val="27"/>
        </w:rPr>
        <w:t>Ferrer</w:t>
      </w:r>
      <w:r w:rsidRPr="005A22CC">
        <w:rPr>
          <w:szCs w:val="27"/>
        </w:rPr>
        <w:t xml:space="preserve">).  The motion and accompanying memorandum of points and authorities contained an extensive discussion of </w:t>
      </w:r>
      <w:r w:rsidRPr="005A22CC">
        <w:rPr>
          <w:i/>
          <w:iCs/>
          <w:szCs w:val="27"/>
        </w:rPr>
        <w:t>Ferrer</w:t>
      </w:r>
      <w:r w:rsidRPr="005A22CC">
        <w:rPr>
          <w:szCs w:val="27"/>
        </w:rPr>
        <w:t xml:space="preserve"> but did not include any discussion of the evidence against Brown or otherwise explain why the prosecution could not continue without the suppressed evidence.  At the hearing on the motion, the prosecution asserted that it intended to dismiss if the suppression order was left in place but again presented no argument regarding the state of the remaining evidence.  The prosecution did not mention its earlier claim that much of the evidence against Brown consisted of “observation[s] from the police” that were not subject to suppression, nor did it explain why the State’s evaluation of the case had apparently changed.  The court concluded that </w:t>
      </w:r>
      <w:r w:rsidRPr="005A22CC">
        <w:rPr>
          <w:i/>
          <w:iCs/>
          <w:szCs w:val="27"/>
        </w:rPr>
        <w:t>Ferrer</w:t>
      </w:r>
      <w:r w:rsidRPr="005A22CC">
        <w:rPr>
          <w:szCs w:val="27"/>
        </w:rPr>
        <w:t xml:space="preserve"> required it to grant the continuance, explaining that the People had stated “they were unable to go forward.”  The court withdrew its prior orders, rescheduled the suppression hearing, and ultimately denied the suppression motion.  Brown was later found guilty.  </w:t>
      </w:r>
    </w:p>
    <w:p w:rsidR="005A22CC" w:rsidRPr="005A22CC" w:rsidP="007E1475" w14:paraId="1F6ABA49" w14:textId="77777777">
      <w:pPr>
        <w:rPr>
          <w:szCs w:val="27"/>
        </w:rPr>
      </w:pPr>
      <w:r w:rsidRPr="005A22CC">
        <w:rPr>
          <w:szCs w:val="27"/>
        </w:rPr>
        <w:tab/>
        <w:t xml:space="preserve">On appeal, Brown argued that even if </w:t>
      </w:r>
      <w:r w:rsidRPr="005A22CC">
        <w:rPr>
          <w:i/>
          <w:iCs/>
          <w:szCs w:val="27"/>
        </w:rPr>
        <w:t>Ferrer, supra</w:t>
      </w:r>
      <w:r w:rsidRPr="005A22CC">
        <w:rPr>
          <w:szCs w:val="27"/>
        </w:rPr>
        <w:t xml:space="preserve">, 184 Cal.App.4th 873, was correctly decided, the prosecution had failed to satisfy the “reasonable foreseeability” standard because it had presented no argument that the remaining evidence was insufficient to move forward with the case.  The Attorney General’s answer brief did not respond to that argument.  Instead, the Attorney General argued that the appropriate inquiry under </w:t>
      </w:r>
      <w:r w:rsidRPr="005A22CC">
        <w:rPr>
          <w:i/>
          <w:iCs/>
          <w:szCs w:val="27"/>
        </w:rPr>
        <w:t>Ferrer</w:t>
      </w:r>
      <w:r w:rsidRPr="005A22CC">
        <w:rPr>
          <w:szCs w:val="27"/>
        </w:rPr>
        <w:t xml:space="preserve"> “is not whether it is reasonably foreseeable that the case will still be strong enough to prosecute without the suppressed evidence,” but rather “whether it is reasonably foreseeable that the district attorney’s office, in its discretion, will express an inability to proceed or prove the case beyond a reasonable doubt once the evidence is suppressed.”  The People further contended that applying that standard here, the trial court had properly granted a continuance because it had been “advised [by the prosecution] that the case would be dismissed absent the suppressed evidence.”  Because the Court of Appeal ultimately rejected </w:t>
      </w:r>
      <w:r w:rsidRPr="005A22CC">
        <w:rPr>
          <w:i/>
          <w:iCs/>
          <w:szCs w:val="27"/>
        </w:rPr>
        <w:t>Ferrer’s</w:t>
      </w:r>
      <w:r w:rsidRPr="005A22CC">
        <w:rPr>
          <w:szCs w:val="27"/>
        </w:rPr>
        <w:t xml:space="preserve"> conclusion that a trial court must grant a continuance of a suppression hearing when it is reasonably foreseeable that denying such a request will result in dismissal, the court did not address what showing the prosecution must make under the reasonable foreseeability standard or whether the prosecution had in fact made such a showing.</w:t>
      </w:r>
    </w:p>
    <w:p w:rsidR="005A22CC" w:rsidRPr="005A22CC" w:rsidP="007E1475" w14:paraId="5C7954DD" w14:textId="77777777">
      <w:pPr>
        <w:ind w:firstLine="720"/>
        <w:rPr>
          <w:szCs w:val="27"/>
        </w:rPr>
      </w:pPr>
      <w:r w:rsidRPr="005A22CC">
        <w:rPr>
          <w:szCs w:val="27"/>
        </w:rPr>
        <w:t xml:space="preserve">In its briefing before this court, the Attorney General has again declined to evaluate the state of the remaining evidence against Brown.  While acknowledging that </w:t>
      </w:r>
      <w:r w:rsidRPr="005A22CC">
        <w:rPr>
          <w:i/>
          <w:iCs/>
          <w:szCs w:val="27"/>
        </w:rPr>
        <w:t>Ferrer</w:t>
      </w:r>
      <w:r w:rsidRPr="005A22CC">
        <w:rPr>
          <w:szCs w:val="27"/>
        </w:rPr>
        <w:t xml:space="preserve"> does “not provide any specific guidance for determining when a denial of a continuance may result in a dismissal,” the Attorney General instead reiterates that the People believe the appropriate  “test . . . is whether . . . the prosecutor expresses an inability to proceed to trial.  If so, the continuance must be granted.”  Indeed, the Attorney General goes so far as to argue that “[t]he prosecutor’s assessment of the case without the challenged evidence must necessarily be the determinative factor in deciding whether denial of the continuance will lead to dismissal,” and that it would be </w:t>
      </w:r>
      <w:r w:rsidRPr="005A22CC">
        <w:rPr>
          <w:i/>
          <w:iCs/>
          <w:szCs w:val="27"/>
        </w:rPr>
        <w:t>improper</w:t>
      </w:r>
      <w:r w:rsidRPr="005A22CC">
        <w:rPr>
          <w:szCs w:val="27"/>
        </w:rPr>
        <w:t xml:space="preserve"> for “a court or magistrate to conduct an ‘independent review’ of the evidence.”  While the majority rejects the Attorney General’s proposed approach (see maj. opn., </w:t>
      </w:r>
      <w:r w:rsidRPr="005A22CC">
        <w:rPr>
          <w:i/>
          <w:iCs/>
          <w:szCs w:val="27"/>
        </w:rPr>
        <w:t>ante</w:t>
      </w:r>
      <w:r w:rsidRPr="005A22CC">
        <w:rPr>
          <w:szCs w:val="27"/>
        </w:rPr>
        <w:t xml:space="preserve">, at p. 28), it nonetheless concludes that the record here shows the continuance was properly granted in accord with the procedures that we have articulated in today’s opinion.   </w:t>
      </w:r>
    </w:p>
    <w:p w:rsidR="005A22CC" w:rsidRPr="005A22CC" w:rsidP="007E1475" w14:paraId="35B99407" w14:textId="77777777">
      <w:pPr>
        <w:keepNext/>
        <w:numPr>
          <w:ilvl w:val="0"/>
          <w:numId w:val="2"/>
        </w:numPr>
        <w:contextualSpacing/>
        <w:jc w:val="left"/>
        <w:rPr>
          <w:i/>
          <w:iCs/>
          <w:szCs w:val="27"/>
        </w:rPr>
      </w:pPr>
      <w:r w:rsidRPr="005A22CC">
        <w:rPr>
          <w:i/>
          <w:iCs/>
          <w:szCs w:val="27"/>
        </w:rPr>
        <w:t xml:space="preserve">Analysis  </w:t>
      </w:r>
    </w:p>
    <w:p w:rsidR="005A22CC" w:rsidRPr="005A22CC" w:rsidP="007E1475" w14:paraId="2B70A00B" w14:textId="77777777">
      <w:pPr>
        <w:ind w:firstLine="720"/>
        <w:rPr>
          <w:szCs w:val="27"/>
        </w:rPr>
      </w:pPr>
      <w:r w:rsidRPr="005A22CC">
        <w:rPr>
          <w:szCs w:val="27"/>
        </w:rPr>
        <w:t>On this record, I am not persuaded we can conclude that the prosecution satisfied its burden to show “the case cannot be tried absent the [suppressed] evidence.”  (Maj. opn.,</w:t>
      </w:r>
      <w:r w:rsidRPr="005A22CC">
        <w:rPr>
          <w:i/>
          <w:iCs/>
          <w:szCs w:val="27"/>
        </w:rPr>
        <w:t xml:space="preserve"> ante</w:t>
      </w:r>
      <w:r w:rsidRPr="005A22CC">
        <w:rPr>
          <w:szCs w:val="27"/>
        </w:rPr>
        <w:t>, at p. 27, italics omitted.)  Nor do I believe we  can assess whether the trial court did “not simply rely on prosecutors’ representations as to their ability to proceed” (</w:t>
      </w:r>
      <w:r w:rsidRPr="005A22CC">
        <w:rPr>
          <w:i/>
          <w:iCs/>
          <w:szCs w:val="27"/>
        </w:rPr>
        <w:t>id</w:t>
      </w:r>
      <w:r w:rsidRPr="005A22CC">
        <w:rPr>
          <w:szCs w:val="27"/>
        </w:rPr>
        <w:t>. at p. 28), but rather made an “independent determination” (</w:t>
      </w:r>
      <w:r w:rsidRPr="005A22CC">
        <w:rPr>
          <w:i/>
          <w:iCs/>
          <w:szCs w:val="27"/>
        </w:rPr>
        <w:t>ibid</w:t>
      </w:r>
      <w:r w:rsidRPr="005A22CC">
        <w:rPr>
          <w:szCs w:val="27"/>
        </w:rPr>
        <w:t xml:space="preserve">.) that dismissal would be required.  </w:t>
      </w:r>
    </w:p>
    <w:p w:rsidR="005A22CC" w:rsidRPr="005A22CC" w:rsidP="007E1475" w14:paraId="1AB8951F" w14:textId="77777777">
      <w:pPr>
        <w:ind w:firstLine="720"/>
        <w:rPr>
          <w:szCs w:val="27"/>
        </w:rPr>
      </w:pPr>
      <w:r w:rsidRPr="005A22CC">
        <w:rPr>
          <w:szCs w:val="27"/>
        </w:rPr>
        <w:t xml:space="preserve">The fact that the record provides no indication that the prosecutor or the trial court complied with these requirements is not particularly surprising given that, before today, it was unclear what standards courts should apply when evaluating a continuance request of a suppression hearing that is unsupported by good cause.  There is nothing in </w:t>
      </w:r>
      <w:r w:rsidRPr="005A22CC">
        <w:rPr>
          <w:i/>
          <w:iCs/>
          <w:szCs w:val="27"/>
        </w:rPr>
        <w:t>Ferrer, supra</w:t>
      </w:r>
      <w:r w:rsidRPr="005A22CC">
        <w:rPr>
          <w:szCs w:val="27"/>
        </w:rPr>
        <w:t>, 184 Cal.App.4th 873, signifying that the prosecution has the burden to show the “challenged evidence is so critical that its suppression would require dismissal of the case” (maj. opn.,</w:t>
      </w:r>
      <w:r w:rsidRPr="005A22CC">
        <w:rPr>
          <w:i/>
          <w:iCs/>
          <w:szCs w:val="27"/>
        </w:rPr>
        <w:t xml:space="preserve"> ante</w:t>
      </w:r>
      <w:r w:rsidRPr="005A22CC">
        <w:rPr>
          <w:szCs w:val="27"/>
        </w:rPr>
        <w:t>, at p. 1) or that trial courts must “make their own independent determination of whether dismissal of the case is reasonably foreseeable” (</w:t>
      </w:r>
      <w:r w:rsidRPr="005A22CC">
        <w:rPr>
          <w:i/>
          <w:iCs/>
          <w:szCs w:val="27"/>
        </w:rPr>
        <w:t>id</w:t>
      </w:r>
      <w:r w:rsidRPr="005A22CC">
        <w:rPr>
          <w:szCs w:val="27"/>
        </w:rPr>
        <w:t xml:space="preserve">. at p. 28).  Indeed, the Attorney General has consistently argued that under </w:t>
      </w:r>
      <w:r w:rsidRPr="005A22CC">
        <w:rPr>
          <w:i/>
          <w:iCs/>
          <w:szCs w:val="27"/>
        </w:rPr>
        <w:t>Ferrer</w:t>
      </w:r>
      <w:r w:rsidRPr="005A22CC">
        <w:rPr>
          <w:szCs w:val="27"/>
        </w:rPr>
        <w:t xml:space="preserve">, a trial court can (and indeed should) rely solely on the prosecution’s representation regarding dismissal and </w:t>
      </w:r>
      <w:r w:rsidRPr="005A22CC">
        <w:rPr>
          <w:i/>
          <w:iCs/>
          <w:szCs w:val="27"/>
        </w:rPr>
        <w:t>not</w:t>
      </w:r>
      <w:r w:rsidRPr="005A22CC">
        <w:rPr>
          <w:szCs w:val="27"/>
        </w:rPr>
        <w:t xml:space="preserve"> make any independent determination of that question — a proposition that the majority correctly rejects.</w:t>
      </w:r>
    </w:p>
    <w:p w:rsidR="005A22CC" w:rsidRPr="005A22CC" w:rsidP="007E1475" w14:paraId="363D98E9" w14:textId="77777777">
      <w:pPr>
        <w:ind w:firstLine="720"/>
        <w:rPr>
          <w:szCs w:val="27"/>
        </w:rPr>
      </w:pPr>
      <w:r w:rsidRPr="005A22CC">
        <w:rPr>
          <w:szCs w:val="27"/>
        </w:rPr>
        <w:t xml:space="preserve">Nor do I find anything in the record that suggests the trial court intuited the standards we have articulated in our opinion today.  As noted, the court provided no indication that it had independently evaluated the state of the evidence or that it believed the prosecution had a burden to show the case could not proceed without the disputed evidence.  Nor did the court make any inquiry regarding the People’s prior representation that “a lot of evidence” in the case consisted of “observations from the police officer before any contact with the defendant.”  The fact that the court made no inquiry about the remaining evidence, and instead seems to have relied on the prosecution’s assertion that it would dismiss, suggests it may well have wrongly interpreted </w:t>
      </w:r>
      <w:r w:rsidRPr="005A22CC">
        <w:rPr>
          <w:i/>
          <w:iCs/>
          <w:szCs w:val="27"/>
        </w:rPr>
        <w:t>Ferrer’s</w:t>
      </w:r>
      <w:r w:rsidRPr="005A22CC">
        <w:rPr>
          <w:szCs w:val="27"/>
        </w:rPr>
        <w:t xml:space="preserve"> standard in accordance with the Attorney General’s position. </w:t>
      </w:r>
    </w:p>
    <w:p w:rsidR="005A22CC" w:rsidRPr="005A22CC" w:rsidP="007E1475" w14:paraId="741FE388" w14:textId="77777777">
      <w:pPr>
        <w:ind w:firstLine="720"/>
        <w:rPr>
          <w:szCs w:val="27"/>
        </w:rPr>
      </w:pPr>
      <w:r w:rsidRPr="005A22CC">
        <w:rPr>
          <w:szCs w:val="27"/>
        </w:rPr>
        <w:t xml:space="preserve">And it appears beyond dispute that the prosecution did not believe it had any burden to show the suppressed evidence was “so critical that its suppression would require dismissal of the case.”  (Maj. opn., </w:t>
      </w:r>
      <w:r w:rsidRPr="005A22CC">
        <w:rPr>
          <w:i/>
          <w:iCs/>
          <w:szCs w:val="27"/>
        </w:rPr>
        <w:t>ante</w:t>
      </w:r>
      <w:r w:rsidRPr="005A22CC">
        <w:rPr>
          <w:szCs w:val="27"/>
        </w:rPr>
        <w:t xml:space="preserve">, at p. 1.)  Instead, the State has consistently taken the position that the prosecution’s representation to the court that it would dismiss was, in itself, sufficient to require a continuance.  (See </w:t>
      </w:r>
      <w:r w:rsidRPr="005A22CC">
        <w:rPr>
          <w:i/>
          <w:iCs/>
          <w:szCs w:val="27"/>
        </w:rPr>
        <w:t>ante</w:t>
      </w:r>
      <w:r w:rsidRPr="005A22CC">
        <w:rPr>
          <w:szCs w:val="27"/>
        </w:rPr>
        <w:t xml:space="preserve">, at pp. 7–8.)  Indeed, I find it noteworthy that despite multiple opportunities to do so, neither the prosecution nor the Attorney General has </w:t>
      </w:r>
      <w:r w:rsidRPr="005A22CC">
        <w:rPr>
          <w:i/>
          <w:iCs/>
          <w:szCs w:val="27"/>
        </w:rPr>
        <w:t>ever</w:t>
      </w:r>
      <w:r w:rsidRPr="005A22CC">
        <w:rPr>
          <w:szCs w:val="27"/>
        </w:rPr>
        <w:t xml:space="preserve"> argued that the case would not merely “be more difficult to prove” (maj. opn., </w:t>
      </w:r>
      <w:r w:rsidRPr="005A22CC">
        <w:rPr>
          <w:i/>
          <w:iCs/>
          <w:szCs w:val="27"/>
        </w:rPr>
        <w:t>ante</w:t>
      </w:r>
      <w:r w:rsidRPr="005A22CC">
        <w:rPr>
          <w:szCs w:val="27"/>
        </w:rPr>
        <w:t xml:space="preserve">, at p. 27) without the suppressed evidence, but rather would require dismissal. </w:t>
      </w:r>
    </w:p>
    <w:p w:rsidR="005A22CC" w:rsidRPr="005A22CC" w:rsidP="007E1475" w14:paraId="0668BDCA" w14:textId="77777777">
      <w:pPr>
        <w:ind w:firstLine="720"/>
        <w:rPr>
          <w:szCs w:val="27"/>
        </w:rPr>
      </w:pPr>
      <w:r w:rsidRPr="005A22CC">
        <w:rPr>
          <w:szCs w:val="27"/>
        </w:rPr>
        <w:t xml:space="preserve">The majority, however, appears to conclude that various items in the record demonstrate the trial court did make an independent determination that the case could not proceed without the suppressed evidence.  First, the majority surmises that the court “would have readily appreciated the centrality of defendant’s incriminating statements” (maj. opn., </w:t>
      </w:r>
      <w:r w:rsidRPr="005A22CC">
        <w:rPr>
          <w:i/>
          <w:iCs/>
          <w:szCs w:val="27"/>
        </w:rPr>
        <w:t>ante</w:t>
      </w:r>
      <w:r w:rsidRPr="005A22CC">
        <w:rPr>
          <w:szCs w:val="27"/>
        </w:rPr>
        <w:t xml:space="preserve">, at p. 29) based on the police report and the factual summary set forth in the People’s opposition to the original suppression motion, both of which were provided to the court before the prosecution had ever requested a continuance.  Those materials, however,  merely contain a brief description of the events that preceded Yasin’s stop of Brown.  The prosecution never represented to the court, nor was it ever asked, whether the summary contained in either document represented a full description of the evidence against Brown.  Indeed, at the time those materials were presented to the court, the prosecutor argued </w:t>
      </w:r>
      <w:r w:rsidRPr="005A22CC">
        <w:rPr>
          <w:i/>
          <w:iCs/>
          <w:szCs w:val="27"/>
        </w:rPr>
        <w:t>against</w:t>
      </w:r>
      <w:r w:rsidRPr="005A22CC">
        <w:rPr>
          <w:szCs w:val="27"/>
        </w:rPr>
        <w:t xml:space="preserve"> dismissal, contending that “a lot” of the evidence against Brown was not subject to the suppression order.  (See </w:t>
      </w:r>
      <w:r w:rsidRPr="005A22CC">
        <w:rPr>
          <w:i/>
          <w:iCs/>
          <w:szCs w:val="27"/>
        </w:rPr>
        <w:t>ante</w:t>
      </w:r>
      <w:r w:rsidRPr="005A22CC">
        <w:rPr>
          <w:szCs w:val="27"/>
        </w:rPr>
        <w:t xml:space="preserve">, at p. 6.)  </w:t>
      </w:r>
    </w:p>
    <w:p w:rsidR="005A22CC" w:rsidRPr="005A22CC" w:rsidP="007E1475" w14:paraId="7B4598B7" w14:textId="77777777">
      <w:pPr>
        <w:ind w:firstLine="720"/>
        <w:rPr>
          <w:szCs w:val="27"/>
        </w:rPr>
      </w:pPr>
      <w:r w:rsidRPr="005A22CC">
        <w:rPr>
          <w:szCs w:val="27"/>
        </w:rPr>
        <w:t xml:space="preserve">But even if these materials  could be said to support a trial court’s “independent determination” (maj. opn., </w:t>
      </w:r>
      <w:r w:rsidRPr="005A22CC">
        <w:rPr>
          <w:i/>
          <w:iCs/>
          <w:szCs w:val="27"/>
        </w:rPr>
        <w:t>ante</w:t>
      </w:r>
      <w:r w:rsidRPr="005A22CC">
        <w:rPr>
          <w:szCs w:val="27"/>
        </w:rPr>
        <w:t>, at p. 28) that the denial of a continuance would result in dismissal, they do nothing to show the trial court actually made such an independent determination here or otherwise understood that it was required to do so.  To be clear, the relevant problem as I view it is not that the record contains insufficient evidence to support a finding that the denial of a continuance would result in dismissal.  Rather, the problem is that on this record we simply cannot determine (and indeed have reason to doubt) whether the trial court understood or applied the standards we have articulated for the first time in today’s opinion.  The materials submitted at the initial suppression hearing do nothing to rectify that problem.</w:t>
      </w:r>
    </w:p>
    <w:p w:rsidR="005A22CC" w:rsidRPr="005A22CC" w:rsidP="007E1475" w14:paraId="3800965F" w14:textId="77777777">
      <w:pPr>
        <w:ind w:firstLine="720"/>
        <w:rPr>
          <w:szCs w:val="27"/>
        </w:rPr>
      </w:pPr>
      <w:r w:rsidRPr="005A22CC">
        <w:rPr>
          <w:szCs w:val="27"/>
        </w:rPr>
        <w:t xml:space="preserve">The majority next asserts that during the hearing on the prosecution’s motion for reconsideration, the trial court stated that it did not believe the People could proceed with the case because the suppressed statements were “ ‘all of the facts that were available.’ ”  (Maj. opn., </w:t>
      </w:r>
      <w:r w:rsidRPr="005A22CC">
        <w:rPr>
          <w:i/>
          <w:iCs/>
          <w:szCs w:val="27"/>
        </w:rPr>
        <w:t>ante</w:t>
      </w:r>
      <w:r w:rsidRPr="005A22CC">
        <w:rPr>
          <w:szCs w:val="27"/>
        </w:rPr>
        <w:t xml:space="preserve">, at p. 29.)  Contrary to the majority’s characterization, however, the record shows the trial court did not state that </w:t>
      </w:r>
      <w:r w:rsidRPr="005A22CC">
        <w:rPr>
          <w:i/>
          <w:iCs/>
          <w:szCs w:val="27"/>
        </w:rPr>
        <w:t>it had found</w:t>
      </w:r>
      <w:r w:rsidRPr="005A22CC">
        <w:rPr>
          <w:szCs w:val="27"/>
        </w:rPr>
        <w:t xml:space="preserve"> the suppressed statements made up all the facts of the case.  Rather, the record makes clear that the court was referring to statements </w:t>
      </w:r>
      <w:r w:rsidRPr="005A22CC">
        <w:rPr>
          <w:i/>
          <w:iCs/>
          <w:szCs w:val="27"/>
        </w:rPr>
        <w:t>defense counsel</w:t>
      </w:r>
      <w:r w:rsidRPr="005A22CC">
        <w:rPr>
          <w:szCs w:val="27"/>
        </w:rPr>
        <w:t xml:space="preserve"> made at the initial hearing on the motion to suppress.  The full statement at issue made by the court is:  “</w:t>
      </w:r>
      <w:r w:rsidRPr="005A22CC">
        <w:rPr>
          <w:i/>
          <w:iCs/>
          <w:szCs w:val="27"/>
        </w:rPr>
        <w:t>The Defense</w:t>
      </w:r>
      <w:r w:rsidRPr="005A22CC">
        <w:rPr>
          <w:szCs w:val="27"/>
        </w:rPr>
        <w:t xml:space="preserve"> at the time conceded, uh, as much because those were the — all the facts that were available.”  (Italics added.) </w:t>
      </w:r>
      <w:r w:rsidRPr="005A22CC">
        <w:rPr>
          <w:color w:val="0000FF"/>
          <w:szCs w:val="27"/>
          <w:u w:val="double"/>
        </w:rPr>
        <w:t xml:space="preserve"> </w:t>
      </w:r>
    </w:p>
    <w:p w:rsidR="005A22CC" w:rsidRPr="005A22CC" w:rsidP="007E1475" w14:paraId="099597F3" w14:textId="77777777">
      <w:pPr>
        <w:ind w:firstLine="720"/>
        <w:rPr>
          <w:szCs w:val="27"/>
        </w:rPr>
      </w:pPr>
      <w:r w:rsidRPr="005A22CC">
        <w:rPr>
          <w:szCs w:val="27"/>
        </w:rPr>
        <w:t xml:space="preserve">The discussion from the initial suppression hearing  (that the court is referring to above) is illuminating.  It shows that after the court had denied a continuance and granted the motion to suppress, the court had an exchange with the parties about how to proceed.  During that exchange, the court explained that it intended to dismiss unless the prosecution believed there was “other evidence” in the case that would allow it “to proceed.”  Defense counsel argued dismissal would be appropriate because Yasin’s suppressed statements comprised “essentially . . .everything” in the case and there was no longer sufficient evidence to prove the charges.  Crucially, the trial court noted in response that defense counsel’s evaluation of the remaining evidence was “not necessarily” accurate.  The prosecution then expressly disagreed with the defense, contending that the People might be able to proceed because “a lot of the evidence” against Brown was comprised of observations that were not subject to the suppression order.  The trial court, apparently having accepted the prosecution’s representations, declined to dismiss the case and set the matter for trial. </w:t>
      </w:r>
    </w:p>
    <w:p w:rsidR="005A22CC" w:rsidRPr="005A22CC" w:rsidP="007E1475" w14:paraId="4AF30C29" w14:textId="77777777">
      <w:pPr>
        <w:ind w:firstLine="720"/>
        <w:rPr>
          <w:szCs w:val="27"/>
        </w:rPr>
      </w:pPr>
      <w:r w:rsidRPr="005A22CC">
        <w:rPr>
          <w:szCs w:val="27"/>
        </w:rPr>
        <w:t xml:space="preserve">On this record, I cannot conclude that the trial court </w:t>
      </w:r>
      <w:bookmarkStart w:id="10" w:name="_Hlk128640600"/>
      <w:r w:rsidRPr="005A22CC">
        <w:rPr>
          <w:szCs w:val="27"/>
        </w:rPr>
        <w:t>understood the prosecution had a burden to show the People could not proceed without the suppressed evidence or that the court made an independent determination that</w:t>
      </w:r>
      <w:bookmarkEnd w:id="10"/>
      <w:r w:rsidRPr="005A22CC">
        <w:rPr>
          <w:szCs w:val="27"/>
        </w:rPr>
        <w:t xml:space="preserve"> the case would have to be dismissed.  In my view, the trial court’s reference to statements and arguments defense counsel made during the original suppression hearing, which was held before any party had even brought </w:t>
      </w:r>
      <w:r w:rsidRPr="005A22CC">
        <w:rPr>
          <w:i/>
          <w:iCs/>
          <w:szCs w:val="27"/>
        </w:rPr>
        <w:t>Ferrer</w:t>
      </w:r>
      <w:r w:rsidRPr="005A22CC">
        <w:rPr>
          <w:szCs w:val="27"/>
        </w:rPr>
        <w:t xml:space="preserve"> to the court’s attention, does not show that the court evaluated the prosecution’s continuance request under the standards we have articulated today.  </w:t>
      </w:r>
    </w:p>
    <w:p w:rsidR="005A22CC" w:rsidRPr="005A22CC" w:rsidP="007E1475" w14:paraId="6926544A" w14:textId="77777777">
      <w:pPr>
        <w:ind w:firstLine="720"/>
        <w:rPr>
          <w:szCs w:val="27"/>
        </w:rPr>
      </w:pPr>
      <w:r w:rsidRPr="005A22CC">
        <w:rPr>
          <w:szCs w:val="27"/>
        </w:rPr>
        <w:t xml:space="preserve">Indeed, the only thing that appears to have changed between the suppression hearing and the hearing on the motion for reconsideration was the prosecution’s representations about whether the case could continue:  When faced with dismissal at the first hearing, the prosecution argued that it might be able to continue, but after identifying the </w:t>
      </w:r>
      <w:r w:rsidRPr="005A22CC">
        <w:rPr>
          <w:i/>
          <w:iCs/>
          <w:szCs w:val="27"/>
        </w:rPr>
        <w:t>Ferrer</w:t>
      </w:r>
      <w:r w:rsidRPr="005A22CC">
        <w:rPr>
          <w:szCs w:val="27"/>
        </w:rPr>
        <w:t xml:space="preserve"> holding (which requires the court to grant a continuance if dismissal would otherwise result) the prosecution asserted that it could not proceed without the suppressed evidence.  As noted, the trial court granted the continuance without ever asking the prosecution why its evaluation of the case had changed or otherwise inquiring about the state of the remaining evidence.  In my view, the court’s actions suggest that rather than making any independent determination of the issue, it may have granted the continuance based solely on the prosecution’s representation that it would dismiss.</w:t>
      </w:r>
      <w:r>
        <w:rPr>
          <w:b/>
          <w:position w:val="6"/>
          <w:sz w:val="20"/>
          <w:szCs w:val="27"/>
        </w:rPr>
        <w:footnoteReference w:id="12"/>
      </w:r>
    </w:p>
    <w:p w:rsidR="005A22CC" w:rsidRPr="005A22CC" w:rsidP="007E1475" w14:paraId="7E7C7B16" w14:textId="77777777">
      <w:pPr>
        <w:ind w:firstLine="720"/>
        <w:rPr>
          <w:szCs w:val="27"/>
        </w:rPr>
      </w:pPr>
      <w:r w:rsidRPr="005A22CC">
        <w:rPr>
          <w:szCs w:val="27"/>
        </w:rPr>
        <w:t>Because I understand our decision today to clarify the legal standards that govern continuance requests in the context of suppression hearings, and because I do not believe we can discern from this record whether the trial court applied those standards here — indeed, if anything the record suggests it did not — I would reverse the judgment of guilt and remand the matter to the trial court with directions to hold a hearing as to whether the prosecution can satisfy its “burden . . . to show an inability to go forward without the evidence in dispute.”</w:t>
      </w:r>
      <w:r>
        <w:rPr>
          <w:b/>
          <w:position w:val="6"/>
          <w:sz w:val="20"/>
          <w:szCs w:val="27"/>
        </w:rPr>
        <w:footnoteReference w:id="13"/>
      </w:r>
      <w:r w:rsidRPr="005A22CC">
        <w:rPr>
          <w:szCs w:val="27"/>
        </w:rPr>
        <w:t xml:space="preserve">  (Maj. opn., at p. 1; see </w:t>
      </w:r>
      <w:r w:rsidRPr="005A22CC">
        <w:rPr>
          <w:i/>
          <w:iCs/>
          <w:szCs w:val="27"/>
        </w:rPr>
        <w:t>People v. Jimenez</w:t>
      </w:r>
      <w:r w:rsidRPr="005A22CC">
        <w:rPr>
          <w:szCs w:val="27"/>
        </w:rPr>
        <w:t xml:space="preserve"> (1978) 21 Cal.3d 595, 609, overruled by </w:t>
      </w:r>
      <w:r w:rsidRPr="005A22CC">
        <w:rPr>
          <w:i/>
          <w:iCs/>
          <w:szCs w:val="27"/>
        </w:rPr>
        <w:t>People v. Cahill</w:t>
      </w:r>
      <w:r w:rsidRPr="005A22CC">
        <w:rPr>
          <w:szCs w:val="27"/>
        </w:rPr>
        <w:t xml:space="preserve"> (1993) 5 Cal.4th 478 on another ground [where opinion clarified uncertainty in the law, reviewing court would not “presume[] that the trial court applied the correct standard in those cases in which the record is silent in this regard”]; </w:t>
      </w:r>
      <w:r w:rsidRPr="005A22CC">
        <w:rPr>
          <w:i/>
          <w:iCs/>
          <w:szCs w:val="27"/>
        </w:rPr>
        <w:t>Richards v. CH2M Hill, Inc</w:t>
      </w:r>
      <w:r w:rsidRPr="005A22CC">
        <w:rPr>
          <w:szCs w:val="27"/>
        </w:rPr>
        <w:t xml:space="preserve">. (2001) 26 Cal.4th 798, 824 [“proper course” is to remand for application of “new” standard “to the facts of this case”].)  </w:t>
      </w:r>
    </w:p>
    <w:p w:rsidR="005A22CC" w:rsidRPr="005A22CC" w:rsidP="005A22CC" w14:paraId="088B03E4" w14:textId="77777777">
      <w:pPr>
        <w:spacing w:after="0"/>
        <w:ind w:firstLine="720"/>
        <w:rPr>
          <w:szCs w:val="27"/>
        </w:rPr>
      </w:pPr>
    </w:p>
    <w:p w:rsidR="005A22CC" w:rsidRPr="005A22CC" w:rsidP="005A22CC" w14:paraId="5820EFE8" w14:textId="77777777">
      <w:pPr>
        <w:ind w:firstLine="720"/>
        <w:rPr>
          <w:szCs w:val="27"/>
        </w:rPr>
      </w:pPr>
    </w:p>
    <w:p w:rsidR="005A22CC" w:rsidRPr="005A22CC" w:rsidP="005A22CC" w14:paraId="02A08C53" w14:textId="77777777">
      <w:pPr>
        <w:ind w:firstLine="720"/>
        <w:rPr>
          <w:b/>
          <w:szCs w:val="27"/>
        </w:rPr>
      </w:pPr>
      <w:r w:rsidRPr="005A22CC">
        <w:rPr>
          <w:b/>
          <w:szCs w:val="27"/>
        </w:rPr>
        <w:tab/>
      </w:r>
      <w:r w:rsidRPr="005A22CC">
        <w:rPr>
          <w:b/>
          <w:szCs w:val="27"/>
        </w:rPr>
        <w:tab/>
      </w:r>
      <w:r w:rsidRPr="005A22CC">
        <w:rPr>
          <w:b/>
          <w:szCs w:val="27"/>
        </w:rPr>
        <w:tab/>
      </w:r>
      <w:r w:rsidRPr="005A22CC">
        <w:rPr>
          <w:b/>
          <w:szCs w:val="27"/>
        </w:rPr>
        <w:tab/>
      </w:r>
      <w:r w:rsidRPr="005A22CC">
        <w:rPr>
          <w:b/>
          <w:szCs w:val="27"/>
        </w:rPr>
        <w:tab/>
      </w:r>
      <w:r w:rsidRPr="005A22CC">
        <w:rPr>
          <w:b/>
          <w:szCs w:val="27"/>
        </w:rPr>
        <w:tab/>
      </w:r>
      <w:r w:rsidRPr="005A22CC">
        <w:rPr>
          <w:b/>
          <w:szCs w:val="27"/>
        </w:rPr>
        <w:tab/>
        <w:t>GROBAN, J.</w:t>
      </w:r>
    </w:p>
    <w:p w:rsidR="005A22CC" w:rsidRPr="005A22CC" w:rsidP="005A22CC" w14:paraId="6433F4FD" w14:textId="77777777">
      <w:pPr>
        <w:rPr>
          <w:b/>
          <w:szCs w:val="27"/>
        </w:rPr>
      </w:pPr>
    </w:p>
    <w:p w:rsidR="005A22CC" w:rsidRPr="005A22CC" w:rsidP="00726549" w14:paraId="384A6787" w14:textId="77777777">
      <w:pPr>
        <w:jc w:val="left"/>
        <w:rPr>
          <w:b/>
          <w:szCs w:val="27"/>
        </w:rPr>
      </w:pPr>
      <w:r w:rsidRPr="005A22CC">
        <w:rPr>
          <w:b/>
          <w:szCs w:val="27"/>
        </w:rPr>
        <w:t>We Concur:</w:t>
      </w:r>
    </w:p>
    <w:p w:rsidR="005A22CC" w:rsidRPr="005A22CC" w:rsidP="005A22CC" w14:paraId="197279D1" w14:textId="77777777">
      <w:pPr>
        <w:spacing w:after="0" w:line="240" w:lineRule="auto"/>
        <w:jc w:val="left"/>
        <w:rPr>
          <w:b/>
          <w:szCs w:val="27"/>
          <w:lang w:val="it-IT"/>
        </w:rPr>
      </w:pPr>
      <w:r w:rsidRPr="005A22CC">
        <w:rPr>
          <w:b/>
          <w:szCs w:val="27"/>
          <w:lang w:val="it-IT"/>
        </w:rPr>
        <w:t>LIU, J.</w:t>
      </w:r>
    </w:p>
    <w:p w:rsidR="005A22CC" w:rsidRPr="005A22CC" w:rsidP="005A22CC" w14:paraId="57B7FD3F" w14:textId="77777777">
      <w:pPr>
        <w:spacing w:after="0" w:line="240" w:lineRule="auto"/>
        <w:jc w:val="left"/>
        <w:rPr>
          <w:b/>
          <w:szCs w:val="27"/>
          <w:lang w:val="it-IT"/>
        </w:rPr>
      </w:pPr>
      <w:r w:rsidRPr="005A22CC">
        <w:rPr>
          <w:b/>
          <w:szCs w:val="27"/>
          <w:lang w:val="it-IT"/>
        </w:rPr>
        <w:t>EVANS, J.</w:t>
      </w:r>
    </w:p>
    <w:p w:rsidR="005A22CC" w:rsidRPr="005A22CC" w:rsidP="005A22CC" w14:paraId="487B4E2D" w14:textId="77777777">
      <w:pPr>
        <w:ind w:firstLine="720"/>
        <w:rPr>
          <w:szCs w:val="27"/>
        </w:rPr>
      </w:pPr>
    </w:p>
    <w:p w:rsidR="005A22CC" w:rsidP="00D433C2" w14:paraId="58AE1A8B" w14:textId="77777777">
      <w:pPr>
        <w:tabs>
          <w:tab w:val="left" w:pos="1440"/>
        </w:tabs>
        <w:spacing w:after="0" w:line="240" w:lineRule="auto"/>
        <w:rPr>
          <w:b/>
          <w:bCs/>
        </w:rPr>
        <w:sectPr w:rsidSect="00BC3CB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1800" w:right="2160" w:bottom="1440" w:left="2160" w:header="720" w:footer="720" w:gutter="0"/>
          <w:pgNumType w:start="1"/>
          <w:cols w:space="720"/>
          <w:titlePg/>
          <w:docGrid w:linePitch="354"/>
        </w:sectPr>
      </w:pPr>
    </w:p>
    <w:p w:rsidR="00BC3CBE" w:rsidRPr="00BC3CBE" w:rsidP="00BC3CBE" w14:paraId="63AB7BDC" w14:textId="77777777">
      <w:pPr>
        <w:spacing w:after="0" w:line="240" w:lineRule="auto"/>
        <w:jc w:val="left"/>
        <w:rPr>
          <w:i/>
          <w:sz w:val="24"/>
          <w:szCs w:val="24"/>
        </w:rPr>
      </w:pPr>
      <w:r w:rsidRPr="00BC3CBE">
        <w:rPr>
          <w:i/>
          <w:sz w:val="24"/>
          <w:szCs w:val="24"/>
        </w:rPr>
        <w:t>See next page for addresses and telephone numbers for counsel who argued in Supreme Court.</w:t>
      </w:r>
    </w:p>
    <w:p w:rsidR="00BC3CBE" w:rsidRPr="00BC3CBE" w:rsidP="00BC3CBE" w14:paraId="44BB95AA" w14:textId="77777777">
      <w:pPr>
        <w:spacing w:after="0" w:line="240" w:lineRule="auto"/>
        <w:jc w:val="left"/>
        <w:rPr>
          <w:i/>
          <w:sz w:val="24"/>
          <w:szCs w:val="24"/>
        </w:rPr>
      </w:pPr>
    </w:p>
    <w:p w:rsidR="00BC3CBE" w:rsidRPr="00BC3CBE" w:rsidP="00BC3CBE" w14:paraId="6B69866D" w14:textId="77777777">
      <w:pPr>
        <w:spacing w:after="0" w:line="240" w:lineRule="auto"/>
        <w:jc w:val="left"/>
        <w:rPr>
          <w:bCs/>
          <w:sz w:val="24"/>
          <w:szCs w:val="24"/>
        </w:rPr>
      </w:pPr>
      <w:r w:rsidRPr="00BC3CBE">
        <w:rPr>
          <w:b/>
          <w:sz w:val="24"/>
          <w:szCs w:val="24"/>
        </w:rPr>
        <w:t xml:space="preserve">Name of Opinion  </w:t>
      </w:r>
      <w:r w:rsidRPr="00BC3CBE">
        <w:rPr>
          <w:bCs/>
          <w:sz w:val="24"/>
          <w:szCs w:val="24"/>
        </w:rPr>
        <w:t>People v. Brown</w:t>
      </w:r>
    </w:p>
    <w:p w:rsidR="00BC3CBE" w:rsidRPr="00BC3CBE" w:rsidP="00BC3CBE" w14:paraId="4A570479" w14:textId="77777777">
      <w:pPr>
        <w:spacing w:after="0" w:line="240" w:lineRule="auto"/>
        <w:jc w:val="left"/>
        <w:rPr>
          <w:b/>
          <w:sz w:val="24"/>
          <w:szCs w:val="24"/>
        </w:rPr>
      </w:pPr>
      <w:r w:rsidRPr="00BC3CBE">
        <w:rPr>
          <w:b/>
          <w:sz w:val="24"/>
          <w:szCs w:val="24"/>
        </w:rPr>
        <w:t xml:space="preserve">__________________________________________________________ </w:t>
      </w:r>
    </w:p>
    <w:p w:rsidR="00BC3CBE" w:rsidRPr="00BC3CBE" w:rsidP="00BC3CBE" w14:paraId="07537FFC" w14:textId="77777777">
      <w:pPr>
        <w:spacing w:after="0" w:line="240" w:lineRule="auto"/>
        <w:jc w:val="left"/>
        <w:rPr>
          <w:b/>
          <w:sz w:val="24"/>
          <w:szCs w:val="24"/>
        </w:rPr>
      </w:pPr>
    </w:p>
    <w:p w:rsidR="00BC3CBE" w:rsidRPr="00BC3CBE" w:rsidP="00BC3CBE" w14:paraId="29619AD9" w14:textId="77777777">
      <w:pPr>
        <w:spacing w:after="0" w:line="240" w:lineRule="auto"/>
        <w:jc w:val="left"/>
        <w:rPr>
          <w:sz w:val="24"/>
          <w:szCs w:val="24"/>
        </w:rPr>
      </w:pPr>
      <w:r w:rsidRPr="00BC3CBE">
        <w:rPr>
          <w:b/>
          <w:bCs/>
          <w:sz w:val="24"/>
          <w:szCs w:val="24"/>
          <w:u w:val="single"/>
        </w:rPr>
        <w:t>Procedural Posture</w:t>
      </w:r>
      <w:r w:rsidRPr="00BC3CBE">
        <w:rPr>
          <w:b/>
          <w:bCs/>
          <w:sz w:val="24"/>
          <w:szCs w:val="24"/>
        </w:rPr>
        <w:t xml:space="preserve"> </w:t>
      </w:r>
      <w:r w:rsidRPr="00BC3CBE">
        <w:rPr>
          <w:sz w:val="24"/>
          <w:szCs w:val="24"/>
        </w:rPr>
        <w:t>(see XX below)</w:t>
      </w:r>
    </w:p>
    <w:p w:rsidR="00BC3CBE" w:rsidRPr="00BC3CBE" w:rsidP="00BC3CBE" w14:paraId="207E486E" w14:textId="77777777">
      <w:pPr>
        <w:spacing w:after="0" w:line="240" w:lineRule="auto"/>
        <w:jc w:val="left"/>
        <w:rPr>
          <w:sz w:val="24"/>
          <w:szCs w:val="24"/>
        </w:rPr>
      </w:pPr>
      <w:r w:rsidRPr="00BC3CBE">
        <w:rPr>
          <w:b/>
          <w:bCs/>
          <w:sz w:val="24"/>
          <w:szCs w:val="24"/>
        </w:rPr>
        <w:t>Original Appeal</w:t>
      </w:r>
      <w:r w:rsidRPr="00BC3CBE">
        <w:rPr>
          <w:sz w:val="24"/>
          <w:szCs w:val="24"/>
        </w:rPr>
        <w:t xml:space="preserve"> </w:t>
      </w:r>
    </w:p>
    <w:p w:rsidR="00BC3CBE" w:rsidRPr="00BC3CBE" w:rsidP="00BC3CBE" w14:paraId="27AD7662" w14:textId="77777777">
      <w:pPr>
        <w:spacing w:after="0" w:line="240" w:lineRule="auto"/>
        <w:jc w:val="left"/>
        <w:rPr>
          <w:b/>
          <w:bCs/>
          <w:sz w:val="24"/>
          <w:szCs w:val="24"/>
        </w:rPr>
      </w:pPr>
      <w:r w:rsidRPr="00BC3CBE">
        <w:rPr>
          <w:b/>
          <w:bCs/>
          <w:sz w:val="24"/>
          <w:szCs w:val="24"/>
        </w:rPr>
        <w:t>Original Proceeding</w:t>
      </w:r>
    </w:p>
    <w:p w:rsidR="00BC3CBE" w:rsidRPr="00BC3CBE" w:rsidP="00BC3CBE" w14:paraId="44A35FF3" w14:textId="77777777">
      <w:pPr>
        <w:spacing w:after="0" w:line="240" w:lineRule="auto"/>
        <w:jc w:val="left"/>
        <w:rPr>
          <w:sz w:val="24"/>
          <w:szCs w:val="24"/>
        </w:rPr>
      </w:pPr>
      <w:r w:rsidRPr="00BC3CBE">
        <w:rPr>
          <w:b/>
          <w:bCs/>
          <w:sz w:val="24"/>
          <w:szCs w:val="24"/>
        </w:rPr>
        <w:t>Review Granted</w:t>
      </w:r>
      <w:r w:rsidRPr="00BC3CBE">
        <w:rPr>
          <w:sz w:val="24"/>
          <w:szCs w:val="24"/>
        </w:rPr>
        <w:t xml:space="preserve"> </w:t>
      </w:r>
      <w:r w:rsidRPr="00BC3CBE">
        <w:rPr>
          <w:b/>
          <w:bCs/>
          <w:sz w:val="24"/>
          <w:szCs w:val="24"/>
        </w:rPr>
        <w:t xml:space="preserve">(published) </w:t>
      </w:r>
      <w:r w:rsidRPr="00BC3CBE">
        <w:rPr>
          <w:sz w:val="24"/>
          <w:szCs w:val="24"/>
        </w:rPr>
        <w:t>XX 69 Cal.App.5th 15</w:t>
      </w:r>
    </w:p>
    <w:p w:rsidR="00BC3CBE" w:rsidRPr="00BC3CBE" w:rsidP="00BC3CBE" w14:paraId="4AA4B8A8" w14:textId="77777777">
      <w:pPr>
        <w:spacing w:after="0" w:line="240" w:lineRule="auto"/>
        <w:jc w:val="left"/>
        <w:rPr>
          <w:sz w:val="24"/>
          <w:szCs w:val="24"/>
        </w:rPr>
      </w:pPr>
      <w:r w:rsidRPr="00BC3CBE">
        <w:rPr>
          <w:b/>
          <w:bCs/>
          <w:sz w:val="24"/>
          <w:szCs w:val="24"/>
        </w:rPr>
        <w:t xml:space="preserve">Review Granted (unpublished) </w:t>
      </w:r>
    </w:p>
    <w:p w:rsidR="00BC3CBE" w:rsidRPr="00BC3CBE" w:rsidP="00BC3CBE" w14:paraId="2C4CD488" w14:textId="77777777">
      <w:pPr>
        <w:spacing w:after="0" w:line="240" w:lineRule="auto"/>
        <w:jc w:val="left"/>
        <w:rPr>
          <w:b/>
          <w:bCs/>
          <w:sz w:val="24"/>
          <w:szCs w:val="24"/>
        </w:rPr>
      </w:pPr>
      <w:r w:rsidRPr="00BC3CBE">
        <w:rPr>
          <w:b/>
          <w:bCs/>
          <w:sz w:val="24"/>
          <w:szCs w:val="24"/>
        </w:rPr>
        <w:t>Rehearing Granted</w:t>
      </w:r>
    </w:p>
    <w:p w:rsidR="00BC3CBE" w:rsidRPr="00BC3CBE" w:rsidP="00BC3CBE" w14:paraId="1A823488" w14:textId="77777777">
      <w:pPr>
        <w:spacing w:after="0" w:line="240" w:lineRule="auto"/>
        <w:jc w:val="left"/>
        <w:rPr>
          <w:b/>
          <w:sz w:val="24"/>
          <w:szCs w:val="24"/>
        </w:rPr>
      </w:pPr>
      <w:r w:rsidRPr="00BC3CBE">
        <w:rPr>
          <w:b/>
          <w:sz w:val="24"/>
          <w:szCs w:val="24"/>
        </w:rPr>
        <w:t xml:space="preserve">__________________________________________________________ </w:t>
      </w:r>
    </w:p>
    <w:p w:rsidR="00BC3CBE" w:rsidRPr="00BC3CBE" w:rsidP="00BC3CBE" w14:paraId="1026180E" w14:textId="77777777">
      <w:pPr>
        <w:spacing w:after="0" w:line="240" w:lineRule="auto"/>
        <w:jc w:val="left"/>
        <w:rPr>
          <w:b/>
          <w:sz w:val="24"/>
          <w:szCs w:val="24"/>
        </w:rPr>
      </w:pPr>
    </w:p>
    <w:p w:rsidR="00BC3CBE" w:rsidRPr="00BC3CBE" w:rsidP="00BC3CBE" w14:paraId="207591FA" w14:textId="77777777">
      <w:pPr>
        <w:spacing w:after="0" w:line="240" w:lineRule="auto"/>
        <w:jc w:val="left"/>
        <w:rPr>
          <w:bCs/>
          <w:sz w:val="24"/>
          <w:szCs w:val="24"/>
        </w:rPr>
      </w:pPr>
      <w:r w:rsidRPr="00BC3CBE">
        <w:rPr>
          <w:b/>
          <w:sz w:val="24"/>
          <w:szCs w:val="24"/>
        </w:rPr>
        <w:t>Opinion No.</w:t>
      </w:r>
      <w:r w:rsidRPr="00BC3CBE">
        <w:rPr>
          <w:sz w:val="24"/>
          <w:szCs w:val="24"/>
        </w:rPr>
        <w:t xml:space="preserve"> S271877</w:t>
      </w:r>
    </w:p>
    <w:p w:rsidR="00BC3CBE" w:rsidRPr="00BC3CBE" w:rsidP="00BC3CBE" w14:paraId="596DE2D5" w14:textId="77777777">
      <w:pPr>
        <w:spacing w:after="0" w:line="240" w:lineRule="auto"/>
        <w:jc w:val="left"/>
        <w:rPr>
          <w:bCs/>
          <w:sz w:val="24"/>
          <w:szCs w:val="24"/>
        </w:rPr>
      </w:pPr>
      <w:r w:rsidRPr="00BC3CBE">
        <w:rPr>
          <w:b/>
          <w:sz w:val="24"/>
          <w:szCs w:val="24"/>
        </w:rPr>
        <w:t>Date Filed:</w:t>
      </w:r>
      <w:r w:rsidRPr="00BC3CBE">
        <w:rPr>
          <w:sz w:val="24"/>
          <w:szCs w:val="24"/>
        </w:rPr>
        <w:t xml:space="preserve">  March 27, 2023</w:t>
      </w:r>
    </w:p>
    <w:p w:rsidR="00BC3CBE" w:rsidRPr="00BC3CBE" w:rsidP="00BC3CBE" w14:paraId="67A3FC5D" w14:textId="77777777">
      <w:pPr>
        <w:spacing w:after="0" w:line="240" w:lineRule="auto"/>
        <w:jc w:val="left"/>
        <w:rPr>
          <w:b/>
          <w:sz w:val="24"/>
          <w:szCs w:val="24"/>
        </w:rPr>
      </w:pPr>
      <w:r w:rsidRPr="00BC3CBE">
        <w:rPr>
          <w:b/>
          <w:sz w:val="24"/>
          <w:szCs w:val="24"/>
        </w:rPr>
        <w:t xml:space="preserve">__________________________________________________________ </w:t>
      </w:r>
    </w:p>
    <w:p w:rsidR="00BC3CBE" w:rsidRPr="00BC3CBE" w:rsidP="00BC3CBE" w14:paraId="191566B6" w14:textId="77777777">
      <w:pPr>
        <w:spacing w:after="0" w:line="240" w:lineRule="auto"/>
        <w:jc w:val="left"/>
        <w:rPr>
          <w:b/>
          <w:sz w:val="24"/>
          <w:szCs w:val="24"/>
        </w:rPr>
      </w:pPr>
    </w:p>
    <w:p w:rsidR="00BC3CBE" w:rsidRPr="00BC3CBE" w:rsidP="00BC3CBE" w14:paraId="65120F4F" w14:textId="77777777">
      <w:pPr>
        <w:spacing w:after="0" w:line="240" w:lineRule="auto"/>
        <w:jc w:val="left"/>
        <w:rPr>
          <w:bCs/>
          <w:sz w:val="24"/>
          <w:szCs w:val="24"/>
        </w:rPr>
      </w:pPr>
      <w:r w:rsidRPr="00BC3CBE">
        <w:rPr>
          <w:b/>
          <w:sz w:val="24"/>
          <w:szCs w:val="24"/>
        </w:rPr>
        <w:t xml:space="preserve">Court:  </w:t>
      </w:r>
      <w:r w:rsidRPr="00BC3CBE">
        <w:rPr>
          <w:bCs/>
          <w:sz w:val="24"/>
          <w:szCs w:val="24"/>
        </w:rPr>
        <w:t>Superior</w:t>
      </w:r>
      <w:r w:rsidRPr="00BC3CBE">
        <w:rPr>
          <w:b/>
          <w:sz w:val="24"/>
          <w:szCs w:val="24"/>
        </w:rPr>
        <w:t xml:space="preserve"> </w:t>
      </w:r>
    </w:p>
    <w:p w:rsidR="00BC3CBE" w:rsidRPr="00BC3CBE" w:rsidP="00BC3CBE" w14:paraId="00E23693" w14:textId="77777777">
      <w:pPr>
        <w:spacing w:after="0" w:line="240" w:lineRule="auto"/>
        <w:jc w:val="left"/>
        <w:rPr>
          <w:bCs/>
          <w:sz w:val="24"/>
          <w:szCs w:val="24"/>
        </w:rPr>
      </w:pPr>
      <w:r w:rsidRPr="00BC3CBE">
        <w:rPr>
          <w:b/>
          <w:sz w:val="24"/>
          <w:szCs w:val="24"/>
        </w:rPr>
        <w:t xml:space="preserve">County:  </w:t>
      </w:r>
      <w:r w:rsidRPr="00BC3CBE">
        <w:rPr>
          <w:bCs/>
          <w:sz w:val="24"/>
          <w:szCs w:val="24"/>
        </w:rPr>
        <w:t>Santa Clara</w:t>
      </w:r>
    </w:p>
    <w:p w:rsidR="00BC3CBE" w:rsidRPr="00BC3CBE" w:rsidP="00BC3CBE" w14:paraId="015455F6" w14:textId="77777777">
      <w:pPr>
        <w:spacing w:after="0" w:line="240" w:lineRule="auto"/>
        <w:ind w:left="720" w:hanging="720"/>
        <w:jc w:val="left"/>
        <w:rPr>
          <w:bCs/>
          <w:sz w:val="24"/>
          <w:szCs w:val="24"/>
        </w:rPr>
      </w:pPr>
      <w:r w:rsidRPr="00BC3CBE">
        <w:rPr>
          <w:b/>
          <w:sz w:val="24"/>
          <w:szCs w:val="24"/>
        </w:rPr>
        <w:t xml:space="preserve">Judge: </w:t>
      </w:r>
      <w:r w:rsidRPr="00BC3CBE">
        <w:rPr>
          <w:bCs/>
          <w:sz w:val="24"/>
          <w:szCs w:val="24"/>
        </w:rPr>
        <w:t xml:space="preserve"> Jesus Valencia, Jr.</w:t>
      </w:r>
    </w:p>
    <w:p w:rsidR="00BC3CBE" w:rsidRPr="00BC3CBE" w:rsidP="00BC3CBE" w14:paraId="1B726675" w14:textId="77777777">
      <w:pPr>
        <w:spacing w:after="0" w:line="240" w:lineRule="auto"/>
        <w:jc w:val="left"/>
        <w:rPr>
          <w:b/>
          <w:sz w:val="24"/>
          <w:szCs w:val="24"/>
        </w:rPr>
      </w:pPr>
      <w:r w:rsidRPr="00BC3CBE">
        <w:rPr>
          <w:b/>
          <w:sz w:val="24"/>
          <w:szCs w:val="24"/>
        </w:rPr>
        <w:t xml:space="preserve">__________________________________________________________  </w:t>
      </w:r>
    </w:p>
    <w:p w:rsidR="00BC3CBE" w:rsidRPr="00BC3CBE" w:rsidP="00BC3CBE" w14:paraId="0ED15C4D" w14:textId="77777777">
      <w:pPr>
        <w:spacing w:after="0" w:line="240" w:lineRule="auto"/>
        <w:jc w:val="left"/>
        <w:rPr>
          <w:b/>
          <w:sz w:val="24"/>
          <w:szCs w:val="24"/>
        </w:rPr>
      </w:pPr>
    </w:p>
    <w:p w:rsidR="00BC3CBE" w:rsidRPr="00BC3CBE" w:rsidP="00BC3CBE" w14:paraId="10CEAD3C" w14:textId="77777777">
      <w:pPr>
        <w:spacing w:after="0" w:line="240" w:lineRule="auto"/>
        <w:jc w:val="left"/>
        <w:rPr>
          <w:b/>
          <w:sz w:val="24"/>
          <w:szCs w:val="24"/>
        </w:rPr>
      </w:pPr>
      <w:r w:rsidRPr="00BC3CBE">
        <w:rPr>
          <w:b/>
          <w:sz w:val="24"/>
          <w:szCs w:val="24"/>
        </w:rPr>
        <w:t>Counsel:</w:t>
      </w:r>
    </w:p>
    <w:p w:rsidR="00BC3CBE" w:rsidRPr="00BC3CBE" w:rsidP="00BC3CBE" w14:paraId="63D89BEB" w14:textId="77777777">
      <w:pPr>
        <w:spacing w:after="0" w:line="240" w:lineRule="auto"/>
        <w:jc w:val="left"/>
        <w:rPr>
          <w:b/>
          <w:sz w:val="24"/>
          <w:szCs w:val="24"/>
        </w:rPr>
      </w:pPr>
    </w:p>
    <w:p w:rsidR="00BC3CBE" w:rsidRPr="00BC3CBE" w:rsidP="00BC3CBE" w14:paraId="07E262A6" w14:textId="77777777">
      <w:pPr>
        <w:spacing w:after="0" w:line="240" w:lineRule="auto"/>
        <w:jc w:val="left"/>
        <w:rPr>
          <w:color w:val="212121"/>
          <w:sz w:val="24"/>
          <w:szCs w:val="24"/>
          <w:shd w:val="clear" w:color="auto" w:fill="FFFFFF"/>
        </w:rPr>
      </w:pPr>
      <w:r w:rsidRPr="00BC3CBE">
        <w:rPr>
          <w:color w:val="212121"/>
          <w:sz w:val="24"/>
          <w:szCs w:val="24"/>
          <w:shd w:val="clear" w:color="auto" w:fill="FFFFFF"/>
        </w:rPr>
        <w:t>William M. Robinson, under appointment by the Supreme Court, for Defendant and Appellant.</w:t>
      </w:r>
    </w:p>
    <w:p w:rsidR="00BC3CBE" w:rsidRPr="00BC3CBE" w:rsidP="00BC3CBE" w14:paraId="12EF350D" w14:textId="77777777">
      <w:pPr>
        <w:spacing w:after="0" w:line="240" w:lineRule="auto"/>
        <w:jc w:val="left"/>
        <w:rPr>
          <w:color w:val="212121"/>
          <w:sz w:val="24"/>
          <w:szCs w:val="24"/>
          <w:shd w:val="clear" w:color="auto" w:fill="FFFFFF"/>
        </w:rPr>
      </w:pPr>
    </w:p>
    <w:p w:rsidR="00BC3CBE" w:rsidRPr="00BC3CBE" w:rsidP="00BC3CBE" w14:paraId="7DD2F6C8" w14:textId="77777777">
      <w:pPr>
        <w:spacing w:after="0" w:line="240" w:lineRule="auto"/>
        <w:jc w:val="left"/>
        <w:rPr>
          <w:color w:val="212121"/>
          <w:sz w:val="24"/>
          <w:szCs w:val="24"/>
          <w:shd w:val="clear" w:color="auto" w:fill="FFFFFF"/>
        </w:rPr>
      </w:pPr>
      <w:r w:rsidRPr="00BC3CBE">
        <w:rPr>
          <w:color w:val="212121"/>
          <w:sz w:val="24"/>
          <w:szCs w:val="24"/>
          <w:shd w:val="clear" w:color="auto" w:fill="FFFFFF"/>
        </w:rPr>
        <w:t xml:space="preserve">Xavier Becerra and Rob Bonta, Attorneys General, Lance E. Winters, Chief Assistant Attorney General, Jeffrey M. Laurence, Assistant Attorney General, Seth K. Schalit and </w:t>
      </w:r>
      <w:bookmarkStart w:id="17" w:name="_Hlk125728271"/>
      <w:r w:rsidRPr="00BC3CBE">
        <w:rPr>
          <w:color w:val="212121"/>
          <w:sz w:val="24"/>
          <w:szCs w:val="24"/>
          <w:shd w:val="clear" w:color="auto" w:fill="FFFFFF"/>
        </w:rPr>
        <w:t>Bridget Billeter, Deputy Attorneys General</w:t>
      </w:r>
      <w:bookmarkEnd w:id="17"/>
      <w:r w:rsidRPr="00BC3CBE">
        <w:rPr>
          <w:color w:val="212121"/>
          <w:sz w:val="24"/>
          <w:szCs w:val="24"/>
          <w:shd w:val="clear" w:color="auto" w:fill="FFFFFF"/>
        </w:rPr>
        <w:t>, for Plaintiff and Respondent.</w:t>
      </w:r>
      <w:r w:rsidRPr="00BC3CBE">
        <w:rPr>
          <w:color w:val="212121"/>
          <w:sz w:val="24"/>
          <w:szCs w:val="24"/>
          <w:shd w:val="clear" w:color="auto" w:fill="FFFFFF"/>
        </w:rPr>
        <w:br w:type="page"/>
      </w:r>
      <w:r w:rsidRPr="00BC3CBE">
        <w:rPr>
          <w:b/>
          <w:sz w:val="24"/>
          <w:szCs w:val="24"/>
        </w:rPr>
        <w:t>Counsel who argued in Supreme Court (not intended for publication with opinion):</w:t>
      </w:r>
    </w:p>
    <w:p w:rsidR="00BC3CBE" w:rsidRPr="00BC3CBE" w:rsidP="00BC3CBE" w14:paraId="2152464D" w14:textId="77777777">
      <w:pPr>
        <w:spacing w:after="0" w:line="240" w:lineRule="auto"/>
        <w:jc w:val="left"/>
        <w:rPr>
          <w:sz w:val="24"/>
          <w:szCs w:val="24"/>
        </w:rPr>
      </w:pPr>
    </w:p>
    <w:p w:rsidR="00BC3CBE" w:rsidRPr="00BC3CBE" w:rsidP="00BC3CBE" w14:paraId="6C5FC452" w14:textId="77777777">
      <w:pPr>
        <w:spacing w:after="0" w:line="240" w:lineRule="auto"/>
        <w:jc w:val="left"/>
        <w:rPr>
          <w:bCs/>
          <w:sz w:val="24"/>
          <w:szCs w:val="24"/>
        </w:rPr>
      </w:pPr>
      <w:r w:rsidRPr="00BC3CBE">
        <w:rPr>
          <w:bCs/>
          <w:sz w:val="24"/>
          <w:szCs w:val="24"/>
        </w:rPr>
        <w:t>William M. Robinson</w:t>
      </w:r>
    </w:p>
    <w:p w:rsidR="00BC3CBE" w:rsidRPr="00BC3CBE" w:rsidP="00BC3CBE" w14:paraId="30FB8184" w14:textId="77777777">
      <w:pPr>
        <w:spacing w:after="0" w:line="240" w:lineRule="auto"/>
        <w:jc w:val="left"/>
        <w:rPr>
          <w:bCs/>
          <w:sz w:val="24"/>
          <w:szCs w:val="24"/>
        </w:rPr>
      </w:pPr>
      <w:r w:rsidRPr="00BC3CBE">
        <w:rPr>
          <w:bCs/>
          <w:sz w:val="24"/>
          <w:szCs w:val="24"/>
        </w:rPr>
        <w:t>Attorney at Law</w:t>
      </w:r>
    </w:p>
    <w:p w:rsidR="00BC3CBE" w:rsidRPr="00BC3CBE" w:rsidP="00BC3CBE" w14:paraId="3BA46504" w14:textId="77777777">
      <w:pPr>
        <w:spacing w:after="0" w:line="240" w:lineRule="auto"/>
        <w:jc w:val="left"/>
        <w:rPr>
          <w:bCs/>
          <w:sz w:val="24"/>
          <w:szCs w:val="24"/>
        </w:rPr>
      </w:pPr>
      <w:r w:rsidRPr="00BC3CBE">
        <w:rPr>
          <w:bCs/>
          <w:sz w:val="24"/>
          <w:szCs w:val="24"/>
        </w:rPr>
        <w:t>95 South Market Street, Suite 570</w:t>
      </w:r>
    </w:p>
    <w:p w:rsidR="00BC3CBE" w:rsidRPr="00BC3CBE" w:rsidP="00BC3CBE" w14:paraId="2CC42FE8" w14:textId="77777777">
      <w:pPr>
        <w:spacing w:after="0" w:line="240" w:lineRule="auto"/>
        <w:jc w:val="left"/>
        <w:rPr>
          <w:bCs/>
          <w:sz w:val="24"/>
          <w:szCs w:val="24"/>
        </w:rPr>
      </w:pPr>
      <w:r w:rsidRPr="00BC3CBE">
        <w:rPr>
          <w:bCs/>
          <w:sz w:val="24"/>
          <w:szCs w:val="24"/>
        </w:rPr>
        <w:t>San Jose, CA 95113</w:t>
      </w:r>
    </w:p>
    <w:p w:rsidR="00BC3CBE" w:rsidRPr="00BC3CBE" w:rsidP="00BC3CBE" w14:paraId="7D6EAEDE" w14:textId="77777777">
      <w:pPr>
        <w:spacing w:after="0" w:line="240" w:lineRule="auto"/>
        <w:jc w:val="left"/>
        <w:rPr>
          <w:sz w:val="24"/>
          <w:szCs w:val="24"/>
        </w:rPr>
      </w:pPr>
      <w:r w:rsidRPr="00BC3CBE">
        <w:rPr>
          <w:bCs/>
          <w:sz w:val="24"/>
          <w:szCs w:val="24"/>
        </w:rPr>
        <w:t>(408) 241-6171</w:t>
      </w:r>
    </w:p>
    <w:p w:rsidR="00BC3CBE" w:rsidRPr="00BC3CBE" w:rsidP="00BC3CBE" w14:paraId="1A3787D1" w14:textId="77777777">
      <w:pPr>
        <w:spacing w:after="0" w:line="240" w:lineRule="auto"/>
        <w:jc w:val="left"/>
        <w:rPr>
          <w:bCs/>
          <w:sz w:val="24"/>
          <w:szCs w:val="24"/>
        </w:rPr>
      </w:pPr>
    </w:p>
    <w:p w:rsidR="00BC3CBE" w:rsidRPr="00BC3CBE" w:rsidP="00BC3CBE" w14:paraId="5F62187E" w14:textId="77777777">
      <w:pPr>
        <w:spacing w:after="0" w:line="240" w:lineRule="auto"/>
        <w:jc w:val="left"/>
        <w:rPr>
          <w:bCs/>
          <w:sz w:val="24"/>
          <w:szCs w:val="24"/>
        </w:rPr>
      </w:pPr>
      <w:r w:rsidRPr="00BC3CBE">
        <w:rPr>
          <w:bCs/>
          <w:sz w:val="24"/>
          <w:szCs w:val="24"/>
        </w:rPr>
        <w:t>Bridget Billeter</w:t>
      </w:r>
    </w:p>
    <w:p w:rsidR="00BC3CBE" w:rsidRPr="00BC3CBE" w:rsidP="00BC3CBE" w14:paraId="5152831F" w14:textId="77777777">
      <w:pPr>
        <w:spacing w:after="0" w:line="240" w:lineRule="auto"/>
        <w:jc w:val="left"/>
        <w:rPr>
          <w:bCs/>
          <w:sz w:val="24"/>
          <w:szCs w:val="24"/>
        </w:rPr>
      </w:pPr>
      <w:r w:rsidRPr="00BC3CBE">
        <w:rPr>
          <w:bCs/>
          <w:sz w:val="24"/>
          <w:szCs w:val="24"/>
        </w:rPr>
        <w:t>Deputy Attorney General</w:t>
      </w:r>
    </w:p>
    <w:p w:rsidR="00BC3CBE" w:rsidRPr="00BC3CBE" w:rsidP="00BC3CBE" w14:paraId="657D24EF" w14:textId="77777777">
      <w:pPr>
        <w:spacing w:after="0" w:line="240" w:lineRule="auto"/>
        <w:jc w:val="left"/>
        <w:rPr>
          <w:sz w:val="24"/>
          <w:szCs w:val="24"/>
        </w:rPr>
      </w:pPr>
      <w:r w:rsidRPr="00BC3CBE">
        <w:rPr>
          <w:sz w:val="24"/>
          <w:szCs w:val="24"/>
        </w:rPr>
        <w:t>455 Golden Gate Avenue, Suite 11000</w:t>
      </w:r>
    </w:p>
    <w:p w:rsidR="00BC3CBE" w:rsidRPr="00BC3CBE" w:rsidP="00BC3CBE" w14:paraId="0CFEDB84" w14:textId="77777777">
      <w:pPr>
        <w:spacing w:after="0" w:line="240" w:lineRule="auto"/>
        <w:jc w:val="left"/>
        <w:rPr>
          <w:sz w:val="24"/>
          <w:szCs w:val="24"/>
        </w:rPr>
      </w:pPr>
      <w:r w:rsidRPr="00BC3CBE">
        <w:rPr>
          <w:sz w:val="24"/>
          <w:szCs w:val="24"/>
        </w:rPr>
        <w:t>San Francisco, CA 94102</w:t>
      </w:r>
    </w:p>
    <w:p w:rsidR="00BC3CBE" w:rsidRPr="00BC3CBE" w:rsidP="00BC3CBE" w14:paraId="2837FFA4" w14:textId="77777777">
      <w:pPr>
        <w:spacing w:after="0" w:line="240" w:lineRule="auto"/>
        <w:jc w:val="left"/>
        <w:rPr>
          <w:sz w:val="24"/>
          <w:szCs w:val="24"/>
        </w:rPr>
      </w:pPr>
      <w:r w:rsidRPr="00BC3CBE">
        <w:rPr>
          <w:sz w:val="24"/>
          <w:szCs w:val="24"/>
        </w:rPr>
        <w:t>(415) 510-3763</w:t>
      </w:r>
    </w:p>
    <w:p w:rsidR="00D433C2" w:rsidRPr="00535B5A" w:rsidP="00D433C2" w14:paraId="3C30AAFF" w14:textId="4EA91586">
      <w:pPr>
        <w:tabs>
          <w:tab w:val="left" w:pos="1440"/>
        </w:tabs>
        <w:spacing w:after="0" w:line="240" w:lineRule="auto"/>
        <w:rPr>
          <w:b/>
          <w:bCs/>
        </w:rPr>
      </w:pPr>
    </w:p>
    <w:sectPr w:rsidSect="00EC2BB8">
      <w:headerReference w:type="even" r:id="rId15"/>
      <w:headerReference w:type="default" r:id="rId16"/>
      <w:footerReference w:type="even" r:id="rId17"/>
      <w:footerReference w:type="default" r:id="rId18"/>
      <w:headerReference w:type="first" r:id="rId19"/>
      <w:footerReference w:type="first" r:id="rId2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7FF" w14:paraId="3B9FB9EE" w14:textId="77777777">
    <w:pPr>
      <w:pStyle w:val="Footer"/>
    </w:pPr>
    <w:r>
      <w:fldChar w:fldCharType="begin"/>
    </w:r>
    <w:r>
      <w:instrText>PAGE</w:instrText>
    </w:r>
    <w:r>
      <w:fldChar w:fldCharType="separate"/>
    </w:r>
    <w:r>
      <w:rPr>
        <w:noProof/>
      </w:rPr>
      <w:t>38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B5A" w14:paraId="53DC19F0"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314" w14:paraId="5A64710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27D" w:rsidRPr="00D07763" w14:paraId="6CAA3E63" w14:textId="77777777">
    <w:pPr>
      <w:pStyle w:val="Footer"/>
      <w:rPr>
        <w:szCs w:val="22"/>
      </w:rPr>
    </w:pPr>
    <w:r w:rsidRPr="00D07763">
      <w:rPr>
        <w:szCs w:val="22"/>
      </w:rPr>
      <w:fldChar w:fldCharType="begin"/>
    </w:r>
    <w:r w:rsidRPr="00D07763">
      <w:rPr>
        <w:szCs w:val="22"/>
      </w:rPr>
      <w:instrText>PAGE</w:instrText>
    </w:r>
    <w:r w:rsidRPr="00D07763">
      <w:rPr>
        <w:szCs w:val="22"/>
      </w:rPr>
      <w:fldChar w:fldCharType="separate"/>
    </w:r>
    <w:r w:rsidRPr="00D07763">
      <w:rPr>
        <w:noProof/>
        <w:szCs w:val="22"/>
      </w:rPr>
      <w:t>24</w:t>
    </w:r>
    <w:r w:rsidRPr="00D07763">
      <w:rPr>
        <w:noProof/>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4113798"/>
      <w:docPartObj>
        <w:docPartGallery w:val="Page Numbers (Bottom of Page)"/>
        <w:docPartUnique/>
      </w:docPartObj>
    </w:sdtPr>
    <w:sdtEndPr>
      <w:rPr>
        <w:noProof/>
        <w:szCs w:val="22"/>
      </w:rPr>
    </w:sdtEndPr>
    <w:sdtContent>
      <w:p w:rsidR="00BE627D" w:rsidRPr="007D4372" w14:paraId="3BE36183" w14:textId="77777777">
        <w:pPr>
          <w:pStyle w:val="Footer"/>
          <w:rPr>
            <w:szCs w:val="22"/>
          </w:rPr>
        </w:pPr>
        <w:r w:rsidRPr="007D4372">
          <w:rPr>
            <w:szCs w:val="22"/>
          </w:rPr>
          <w:fldChar w:fldCharType="begin"/>
        </w:r>
        <w:r w:rsidRPr="007D4372">
          <w:rPr>
            <w:szCs w:val="22"/>
          </w:rPr>
          <w:instrText xml:space="preserve"> PAGE   \* MERGEFORMAT </w:instrText>
        </w:r>
        <w:r w:rsidRPr="007D4372">
          <w:rPr>
            <w:szCs w:val="22"/>
          </w:rPr>
          <w:fldChar w:fldCharType="separate"/>
        </w:r>
        <w:r w:rsidRPr="007D4372">
          <w:rPr>
            <w:noProof/>
            <w:szCs w:val="22"/>
          </w:rPr>
          <w:t>2</w:t>
        </w:r>
        <w:r w:rsidRPr="007D4372">
          <w:rPr>
            <w:noProof/>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A04" w14:paraId="0C24C251"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A04" w14:paraId="0DEFB581"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A04" w14:paraId="4F8DE19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0B6F" w14:paraId="4D078BEC" w14:textId="77777777">
      <w:r>
        <w:separator/>
      </w:r>
    </w:p>
  </w:footnote>
  <w:footnote w:type="continuationSeparator" w:id="1">
    <w:p w:rsidR="00A80B6F" w:rsidRPr="00431F96" w:rsidP="00431F96" w14:paraId="66D48621" w14:textId="77777777">
      <w:pPr>
        <w:pStyle w:val="Footer"/>
        <w:jc w:val="both"/>
      </w:pPr>
    </w:p>
  </w:footnote>
  <w:footnote w:type="continuationNotice" w:id="2">
    <w:p w:rsidR="00A80B6F" w:rsidRPr="002A1F99" w:rsidP="002A1F99" w14:paraId="37D4AF09" w14:textId="77777777">
      <w:pPr>
        <w:pStyle w:val="Footer"/>
        <w:jc w:val="both"/>
      </w:pPr>
    </w:p>
  </w:footnote>
  <w:footnote w:id="3">
    <w:p w:rsidR="00CD497D" w:rsidP="00535B5A" w14:paraId="219EF72C" w14:textId="618B1AD8">
      <w:pPr>
        <w:pStyle w:val="FootnoteText"/>
      </w:pPr>
      <w:r>
        <w:rPr>
          <w:rStyle w:val="FootnoteReference"/>
        </w:rPr>
        <w:footnoteRef/>
      </w:r>
      <w:r>
        <w:t xml:space="preserve"> </w:t>
      </w:r>
      <w:r>
        <w:tab/>
        <w:t>All statutory references are to the Penal Code</w:t>
      </w:r>
      <w:r w:rsidR="00F7215B">
        <w:t xml:space="preserve"> unless otherwise noted</w:t>
      </w:r>
      <w:r>
        <w:t>.</w:t>
      </w:r>
    </w:p>
  </w:footnote>
  <w:footnote w:id="4">
    <w:p w:rsidR="00852197" w:rsidRPr="00C37B20" w:rsidP="00535B5A" w14:paraId="296580C4" w14:textId="77777777">
      <w:pPr>
        <w:pStyle w:val="FootnoteText"/>
      </w:pPr>
      <w:r>
        <w:rPr>
          <w:rStyle w:val="FootnoteReference"/>
        </w:rPr>
        <w:footnoteRef/>
      </w:r>
      <w:r>
        <w:t xml:space="preserve"> </w:t>
      </w:r>
      <w:r>
        <w:tab/>
        <w:t xml:space="preserve">Early versions of section 1050 placed limits only on continuances of trial (see </w:t>
      </w:r>
      <w:r>
        <w:rPr>
          <w:i/>
          <w:iCs/>
        </w:rPr>
        <w:t>People v. Iocca</w:t>
      </w:r>
      <w:r>
        <w:t xml:space="preserve"> (1974) 37 Cal.App.3d 73, 78), but amendments have expanded the statute’s reach to all criminal hearings.  (See </w:t>
      </w:r>
      <w:r>
        <w:rPr>
          <w:i/>
          <w:iCs/>
        </w:rPr>
        <w:t>People v. Johnson</w:t>
      </w:r>
      <w:r>
        <w:t xml:space="preserve"> (2013) 218 Cal.App.4th 938, 942 (</w:t>
      </w:r>
      <w:r>
        <w:rPr>
          <w:i/>
          <w:iCs/>
        </w:rPr>
        <w:t>Johnson</w:t>
      </w:r>
      <w:r>
        <w:t>).)</w:t>
      </w:r>
    </w:p>
  </w:footnote>
  <w:footnote w:id="5">
    <w:p w:rsidR="00922E81" w:rsidP="00535B5A" w14:paraId="13E76773" w14:textId="150087BF">
      <w:pPr>
        <w:pStyle w:val="FootnoteText"/>
      </w:pPr>
      <w:r>
        <w:rPr>
          <w:rStyle w:val="FootnoteReference"/>
        </w:rPr>
        <w:footnoteRef/>
      </w:r>
      <w:r>
        <w:t xml:space="preserve"> </w:t>
      </w:r>
      <w:r>
        <w:tab/>
      </w:r>
      <w:r>
        <w:rPr>
          <w:bCs/>
        </w:rPr>
        <w:t xml:space="preserve">As we explained in </w:t>
      </w:r>
      <w:r>
        <w:rPr>
          <w:bCs/>
          <w:i/>
          <w:iCs/>
        </w:rPr>
        <w:t>People v. Engram</w:t>
      </w:r>
      <w:r>
        <w:rPr>
          <w:bCs/>
        </w:rPr>
        <w:t xml:space="preserve"> (2010) 50 Cal.4th 1131, 1148, footnote 7 (</w:t>
      </w:r>
      <w:r>
        <w:rPr>
          <w:bCs/>
          <w:i/>
          <w:iCs/>
        </w:rPr>
        <w:t>Engram</w:t>
      </w:r>
      <w:r>
        <w:rPr>
          <w:bCs/>
        </w:rPr>
        <w:t>) in regard to another aspect of section 1050:  “</w:t>
      </w:r>
      <w:r w:rsidR="00D572A8">
        <w:rPr>
          <w:bCs/>
        </w:rPr>
        <w:t>[T]</w:t>
      </w:r>
      <w:r>
        <w:rPr>
          <w:bCs/>
        </w:rPr>
        <w:t xml:space="preserve">he term ‘directory,’ when used in reference to a statute, has been employed to denote different concepts — sometimes referring solely to the lack of (or limited type of) remedy prescribed when the statute is violated, and sometimes referring to whether a statute is simply ‘directive’ or ‘permissive’ rather than ‘obligatory,’ ‘compulsory,’ or ‘mandatory.’ ” </w:t>
      </w:r>
    </w:p>
  </w:footnote>
  <w:footnote w:id="6">
    <w:p w:rsidR="00507B6D" w:rsidP="00535B5A" w14:paraId="36EE4375" w14:textId="77777777">
      <w:pPr>
        <w:pStyle w:val="FootnoteText"/>
      </w:pPr>
      <w:r>
        <w:rPr>
          <w:rStyle w:val="FootnoteReference"/>
        </w:rPr>
        <w:footnoteRef/>
      </w:r>
      <w:r>
        <w:t xml:space="preserve"> </w:t>
      </w:r>
      <w:r>
        <w:tab/>
        <w:t>This analysis addressed the final version of the bill, after it had passed in the Assembly.</w:t>
      </w:r>
    </w:p>
  </w:footnote>
  <w:footnote w:id="7">
    <w:p w:rsidR="00043174" w:rsidRPr="00043174" w:rsidP="00535B5A" w14:paraId="68C20D45" w14:textId="0823D2A2">
      <w:pPr>
        <w:pStyle w:val="FootnoteText"/>
      </w:pPr>
      <w:r>
        <w:rPr>
          <w:rStyle w:val="FootnoteReference"/>
        </w:rPr>
        <w:footnoteRef/>
      </w:r>
      <w:r>
        <w:t xml:space="preserve"> </w:t>
      </w:r>
      <w:r>
        <w:tab/>
        <w:t xml:space="preserve">Although the report cited </w:t>
      </w:r>
      <w:r w:rsidRPr="00043174">
        <w:rPr>
          <w:i/>
          <w:iCs/>
        </w:rPr>
        <w:t>Ferguson</w:t>
      </w:r>
      <w:r>
        <w:t xml:space="preserve">, the language was in fact a quotation from </w:t>
      </w:r>
      <w:r>
        <w:rPr>
          <w:i/>
          <w:iCs/>
        </w:rPr>
        <w:t>Rubaum</w:t>
      </w:r>
      <w:r>
        <w:t xml:space="preserve">, </w:t>
      </w:r>
      <w:r>
        <w:rPr>
          <w:i/>
        </w:rPr>
        <w:t>supra</w:t>
      </w:r>
      <w:r>
        <w:t>, 110 Cal.App.3d at p</w:t>
      </w:r>
      <w:r w:rsidR="00EA20B8">
        <w:t>age</w:t>
      </w:r>
      <w:r>
        <w:t xml:space="preserve"> 935.  (See </w:t>
      </w:r>
      <w:r>
        <w:rPr>
          <w:i/>
          <w:iCs/>
        </w:rPr>
        <w:t>Ferguson</w:t>
      </w:r>
      <w:r>
        <w:t xml:space="preserve">, </w:t>
      </w:r>
      <w:r>
        <w:rPr>
          <w:i/>
        </w:rPr>
        <w:t>supra</w:t>
      </w:r>
      <w:r>
        <w:t>, 218 Cal.App.3d at p. 1181</w:t>
      </w:r>
      <w:r w:rsidR="007679D4">
        <w:t xml:space="preserve">.)  The original source of this language appears to be </w:t>
      </w:r>
      <w:r w:rsidR="007679D4">
        <w:rPr>
          <w:bCs/>
          <w:i/>
          <w:iCs/>
        </w:rPr>
        <w:t>Malengo v. Municipal Court</w:t>
      </w:r>
      <w:r w:rsidR="007679D4">
        <w:rPr>
          <w:bCs/>
        </w:rPr>
        <w:t xml:space="preserve">, </w:t>
      </w:r>
      <w:r w:rsidR="007679D4">
        <w:rPr>
          <w:bCs/>
          <w:i/>
        </w:rPr>
        <w:t>supra</w:t>
      </w:r>
      <w:r w:rsidR="007679D4">
        <w:rPr>
          <w:bCs/>
        </w:rPr>
        <w:t>, 56 Cal.2d at page 816</w:t>
      </w:r>
      <w:r w:rsidR="007679D4">
        <w:t xml:space="preserve"> (</w:t>
      </w:r>
      <w:r w:rsidR="007679D4">
        <w:rPr>
          <w:bCs/>
        </w:rPr>
        <w:t>“</w:t>
      </w:r>
      <w:r w:rsidRPr="002D45D8" w:rsidR="007679D4">
        <w:rPr>
          <w:bCs/>
        </w:rPr>
        <w:t>section</w:t>
      </w:r>
      <w:r w:rsidR="007679D4">
        <w:rPr>
          <w:bCs/>
        </w:rPr>
        <w:t> </w:t>
      </w:r>
      <w:r w:rsidRPr="002D45D8" w:rsidR="007679D4">
        <w:rPr>
          <w:bCs/>
        </w:rPr>
        <w:t xml:space="preserve">1050 </w:t>
      </w:r>
      <w:r w:rsidR="007679D4">
        <w:rPr>
          <w:bCs/>
        </w:rPr>
        <w:t xml:space="preserve">. . . </w:t>
      </w:r>
      <w:r w:rsidRPr="002D45D8" w:rsidR="007679D4">
        <w:rPr>
          <w:bCs/>
        </w:rPr>
        <w:t>is directory only and contains no provision for the dismissal of a case when its terms are not complied with</w:t>
      </w:r>
      <w:r w:rsidR="007679D4">
        <w:rPr>
          <w:bCs/>
        </w:rPr>
        <w:t>”).</w:t>
      </w:r>
    </w:p>
  </w:footnote>
  <w:footnote w:id="8">
    <w:p w:rsidR="003B0E8A" w:rsidRPr="00F067B8" w14:paraId="793C3384" w14:textId="723198E2">
      <w:pPr>
        <w:pStyle w:val="FootnoteText"/>
      </w:pPr>
      <w:r>
        <w:rPr>
          <w:rStyle w:val="FootnoteReference"/>
        </w:rPr>
        <w:footnoteRef/>
      </w:r>
      <w:r>
        <w:t xml:space="preserve"> </w:t>
      </w:r>
      <w:r>
        <w:tab/>
      </w:r>
      <w:r>
        <w:rPr>
          <w:bCs/>
        </w:rPr>
        <w:t xml:space="preserve">And, because a suppression hearing is usually conducted before trial or in connection with a preliminary hearing (see </w:t>
      </w:r>
      <w:r>
        <w:rPr>
          <w:rFonts w:ascii="Times New Roman" w:hAnsi="Times New Roman"/>
          <w:bCs/>
        </w:rPr>
        <w:t>§</w:t>
      </w:r>
      <w:r>
        <w:rPr>
          <w:bCs/>
        </w:rPr>
        <w:t xml:space="preserve"> 1538.5, subds. (f)–(g)), the time limits required in those contexts protect a defendant’s right to speedy adjudication.  </w:t>
      </w:r>
    </w:p>
  </w:footnote>
  <w:footnote w:id="9">
    <w:p w:rsidR="00425DFE" w:rsidRPr="002022AC" w14:paraId="41AD36C2" w14:textId="30D524D7">
      <w:pPr>
        <w:pStyle w:val="FootnoteText"/>
      </w:pPr>
      <w:bookmarkStart w:id="3" w:name="_Hlk129163637"/>
      <w:r>
        <w:rPr>
          <w:rStyle w:val="FootnoteReference"/>
        </w:rPr>
        <w:footnoteRef/>
      </w:r>
      <w:r>
        <w:t xml:space="preserve"> </w:t>
      </w:r>
      <w:r>
        <w:tab/>
        <w:t xml:space="preserve">In </w:t>
      </w:r>
      <w:r w:rsidR="004613E7">
        <w:t>speculating</w:t>
      </w:r>
      <w:r>
        <w:t xml:space="preserve"> that the trial court “may have” based its ruling on the prosecutor’s representation alone (conc. &amp; dis. opn., </w:t>
      </w:r>
      <w:r>
        <w:rPr>
          <w:i/>
          <w:iCs/>
        </w:rPr>
        <w:t>post</w:t>
      </w:r>
      <w:r>
        <w:t>, at p. 13, fn. 3)</w:t>
      </w:r>
      <w:r w:rsidR="004613E7">
        <w:t xml:space="preserve"> and arguing reversal is necessary because “</w:t>
      </w:r>
      <w:bookmarkStart w:id="4" w:name="_Hlk129358479"/>
      <w:r w:rsidR="004613E7">
        <w:t>we simply cannot determine</w:t>
      </w:r>
      <w:r w:rsidR="00E6063D">
        <w:t xml:space="preserve"> . . .</w:t>
      </w:r>
      <w:r w:rsidR="004613E7">
        <w:t xml:space="preserve"> whether the trial court understood or applied</w:t>
      </w:r>
      <w:bookmarkEnd w:id="4"/>
      <w:r w:rsidR="004613E7">
        <w:t xml:space="preserve">” </w:t>
      </w:r>
      <w:r w:rsidR="004613E7">
        <w:rPr>
          <w:i/>
          <w:iCs/>
        </w:rPr>
        <w:t>Ferrer</w:t>
      </w:r>
      <w:r w:rsidR="004613E7">
        <w:t>’s reasonable probability standard (</w:t>
      </w:r>
      <w:r w:rsidR="004613E7">
        <w:rPr>
          <w:i/>
          <w:iCs/>
        </w:rPr>
        <w:t>id</w:t>
      </w:r>
      <w:r w:rsidR="004613E7">
        <w:t xml:space="preserve">. at p. 11), the concurring and dissenting opinion loses sight of our standard of review.  The California Constitution prohibits </w:t>
      </w:r>
      <w:r w:rsidR="00F1025E">
        <w:t xml:space="preserve">a </w:t>
      </w:r>
      <w:r w:rsidR="004613E7">
        <w:t xml:space="preserve">judgment from being set aside </w:t>
      </w:r>
      <w:r w:rsidR="002022AC">
        <w:t xml:space="preserve">on appeal </w:t>
      </w:r>
      <w:r w:rsidR="00F1025E">
        <w:t xml:space="preserve">absent an error that “has resulted in a miscarriage of justice.”  (Cal. Const., art. VI, </w:t>
      </w:r>
      <w:r w:rsidR="00F1025E">
        <w:rPr>
          <w:rFonts w:ascii="Times New Roman" w:hAnsi="Times New Roman"/>
        </w:rPr>
        <w:t>§</w:t>
      </w:r>
      <w:r w:rsidR="00F1025E">
        <w:t xml:space="preserve"> 13.)  The separate opinion identifies no such error.  Nor can reversal be justified on the theory that our opinion announces a new legal standard (see conc. &amp; dis. opn., </w:t>
      </w:r>
      <w:r w:rsidR="00F1025E">
        <w:rPr>
          <w:i/>
          <w:iCs/>
        </w:rPr>
        <w:t>post</w:t>
      </w:r>
      <w:r w:rsidR="00F1025E">
        <w:t>, at pp. 13–14)</w:t>
      </w:r>
      <w:r w:rsidR="00263583">
        <w:t>.</w:t>
      </w:r>
      <w:r w:rsidR="00F1025E">
        <w:t xml:space="preserve">  We have merely affirmed and elaborated on the standard set forth in </w:t>
      </w:r>
      <w:r w:rsidR="00F1025E">
        <w:rPr>
          <w:i/>
          <w:iCs/>
        </w:rPr>
        <w:t>Ferrer</w:t>
      </w:r>
      <w:r w:rsidR="004E1149">
        <w:t>.  That</w:t>
      </w:r>
      <w:r w:rsidR="006C123D">
        <w:t xml:space="preserve"> case, contrary to the separate opinion’s assertion, </w:t>
      </w:r>
      <w:r w:rsidR="004E1149">
        <w:t xml:space="preserve">considered the totality of the circumstances and </w:t>
      </w:r>
      <w:r w:rsidR="006C123D">
        <w:t>never suggested courts should abdicate their role and rely solely on prosecutors’ representations</w:t>
      </w:r>
      <w:r w:rsidR="00F1025E">
        <w:t>.</w:t>
      </w:r>
      <w:r w:rsidR="006C123D">
        <w:t xml:space="preserve">  (See </w:t>
      </w:r>
      <w:r w:rsidR="006C123D">
        <w:rPr>
          <w:i/>
          <w:iCs/>
        </w:rPr>
        <w:t>Ferrer</w:t>
      </w:r>
      <w:r w:rsidR="006C123D">
        <w:t xml:space="preserve">, </w:t>
      </w:r>
      <w:r w:rsidR="006C123D">
        <w:rPr>
          <w:i/>
        </w:rPr>
        <w:t>supra</w:t>
      </w:r>
      <w:r w:rsidR="006C123D">
        <w:t>, 184 Cal.App.4th at p. 883.)</w:t>
      </w:r>
      <w:r w:rsidR="002469AC">
        <w:t xml:space="preserve">  Because the trial court applied a legal standard we have now approved, reversal of its decision would be appropriate only if the court </w:t>
      </w:r>
      <w:r w:rsidR="002022AC">
        <w:t xml:space="preserve">had </w:t>
      </w:r>
      <w:r w:rsidR="002469AC">
        <w:t>abused its discretion</w:t>
      </w:r>
      <w:r w:rsidR="002022AC">
        <w:t xml:space="preserve"> </w:t>
      </w:r>
      <w:r w:rsidR="002469AC">
        <w:t xml:space="preserve">by </w:t>
      </w:r>
      <w:r w:rsidR="002022AC">
        <w:t xml:space="preserve">acting arbitrarily or </w:t>
      </w:r>
      <w:r w:rsidR="002469AC">
        <w:t>basing its decision on insufficient evidence.</w:t>
      </w:r>
      <w:r w:rsidR="002022AC">
        <w:t xml:space="preserve">  (See </w:t>
      </w:r>
      <w:r w:rsidR="002022AC">
        <w:rPr>
          <w:i/>
          <w:iCs/>
        </w:rPr>
        <w:t>Beames</w:t>
      </w:r>
      <w:r w:rsidR="002022AC">
        <w:t xml:space="preserve">, </w:t>
      </w:r>
      <w:r w:rsidR="002022AC">
        <w:rPr>
          <w:i/>
        </w:rPr>
        <w:t>supra</w:t>
      </w:r>
      <w:r w:rsidR="002022AC">
        <w:t xml:space="preserve">, 40 Cal.4th at pp. 920–921.)  </w:t>
      </w:r>
      <w:r w:rsidR="00CC077D">
        <w:t>As the party opposing continuance, it</w:t>
      </w:r>
      <w:r w:rsidR="002022AC">
        <w:t xml:space="preserve"> is the </w:t>
      </w:r>
      <w:r w:rsidR="002022AC">
        <w:rPr>
          <w:i/>
          <w:iCs/>
        </w:rPr>
        <w:t>defendant</w:t>
      </w:r>
      <w:r w:rsidR="002022AC">
        <w:t xml:space="preserve">’s burden to </w:t>
      </w:r>
      <w:r w:rsidR="0073116F">
        <w:t>show</w:t>
      </w:r>
      <w:r w:rsidR="002022AC">
        <w:t xml:space="preserve"> such an abuse of discretion.  (See </w:t>
      </w:r>
      <w:r w:rsidR="002022AC">
        <w:rPr>
          <w:i/>
          <w:iCs/>
        </w:rPr>
        <w:t>id</w:t>
      </w:r>
      <w:r w:rsidR="002022AC">
        <w:t>. at p. 920.)  She has not done so.</w:t>
      </w:r>
      <w:bookmarkEnd w:id="3"/>
    </w:p>
  </w:footnote>
  <w:footnote w:id="10">
    <w:p w:rsidR="005A22CC" w:rsidP="005A22CC" w14:paraId="3D72EA97" w14:textId="77777777">
      <w:pPr>
        <w:pStyle w:val="FootnoteText"/>
      </w:pPr>
      <w:r>
        <w:rPr>
          <w:rStyle w:val="FootnoteReference"/>
        </w:rPr>
        <w:footnoteRef/>
      </w:r>
      <w:r>
        <w:t xml:space="preserve"> </w:t>
      </w:r>
      <w:r>
        <w:tab/>
      </w:r>
      <w:r w:rsidRPr="00220572">
        <w:rPr>
          <w:szCs w:val="27"/>
        </w:rPr>
        <w:t>All further statutory references are to the Penal Code</w:t>
      </w:r>
      <w:r>
        <w:t>.</w:t>
      </w:r>
    </w:p>
  </w:footnote>
  <w:footnote w:id="11">
    <w:p w:rsidR="005A22CC" w:rsidRPr="00C35E58" w:rsidP="005A22CC" w14:paraId="7C9E7F50" w14:textId="77777777">
      <w:pPr>
        <w:pStyle w:val="FootnoteText"/>
        <w:rPr>
          <w:szCs w:val="27"/>
        </w:rPr>
      </w:pPr>
      <w:r w:rsidRPr="007E2C1D">
        <w:rPr>
          <w:rStyle w:val="FootnoteReference"/>
        </w:rPr>
        <w:footnoteRef/>
      </w:r>
      <w:r w:rsidRPr="007E2C1D">
        <w:rPr>
          <w:sz w:val="20"/>
        </w:rPr>
        <w:t xml:space="preserve"> </w:t>
      </w:r>
      <w:r w:rsidRPr="00C35E58">
        <w:rPr>
          <w:szCs w:val="27"/>
        </w:rPr>
        <w:tab/>
        <w:t xml:space="preserve">The majority </w:t>
      </w:r>
      <w:r>
        <w:rPr>
          <w:szCs w:val="27"/>
        </w:rPr>
        <w:t>asserts</w:t>
      </w:r>
      <w:r w:rsidRPr="00C35E58">
        <w:rPr>
          <w:szCs w:val="27"/>
        </w:rPr>
        <w:t xml:space="preserve"> that the prosecution </w:t>
      </w:r>
      <w:r>
        <w:rPr>
          <w:szCs w:val="27"/>
        </w:rPr>
        <w:t>told the court that</w:t>
      </w:r>
      <w:r w:rsidRPr="00C35E58">
        <w:rPr>
          <w:szCs w:val="27"/>
        </w:rPr>
        <w:t xml:space="preserve"> “the challenged evidence was critical to the People’s case</w:t>
      </w:r>
      <w:r>
        <w:rPr>
          <w:szCs w:val="27"/>
        </w:rPr>
        <w:t>.</w:t>
      </w:r>
      <w:r w:rsidRPr="00C35E58">
        <w:rPr>
          <w:szCs w:val="27"/>
        </w:rPr>
        <w:t xml:space="preserve">” </w:t>
      </w:r>
      <w:r>
        <w:rPr>
          <w:szCs w:val="27"/>
        </w:rPr>
        <w:t xml:space="preserve"> </w:t>
      </w:r>
      <w:r w:rsidRPr="00C35E58">
        <w:rPr>
          <w:szCs w:val="27"/>
        </w:rPr>
        <w:t>(</w:t>
      </w:r>
      <w:r>
        <w:rPr>
          <w:szCs w:val="27"/>
        </w:rPr>
        <w:t>M</w:t>
      </w:r>
      <w:r w:rsidRPr="00C35E58">
        <w:rPr>
          <w:szCs w:val="27"/>
        </w:rPr>
        <w:t xml:space="preserve">aj. opn., </w:t>
      </w:r>
      <w:r w:rsidRPr="0080282B">
        <w:rPr>
          <w:i/>
          <w:iCs/>
          <w:szCs w:val="27"/>
        </w:rPr>
        <w:t>ante</w:t>
      </w:r>
      <w:r w:rsidRPr="0080282B">
        <w:rPr>
          <w:szCs w:val="27"/>
        </w:rPr>
        <w:t xml:space="preserve">, </w:t>
      </w:r>
      <w:r w:rsidRPr="00C35E58">
        <w:rPr>
          <w:szCs w:val="27"/>
        </w:rPr>
        <w:t>at p.</w:t>
      </w:r>
      <w:r>
        <w:rPr>
          <w:szCs w:val="27"/>
        </w:rPr>
        <w:t> 3.</w:t>
      </w:r>
      <w:r w:rsidRPr="00C35E58">
        <w:rPr>
          <w:szCs w:val="27"/>
        </w:rPr>
        <w:t xml:space="preserve">) </w:t>
      </w:r>
      <w:r>
        <w:rPr>
          <w:szCs w:val="27"/>
        </w:rPr>
        <w:t xml:space="preserve"> However, t</w:t>
      </w:r>
      <w:r w:rsidRPr="00C35E58">
        <w:rPr>
          <w:szCs w:val="27"/>
        </w:rPr>
        <w:t xml:space="preserve">he </w:t>
      </w:r>
      <w:r>
        <w:rPr>
          <w:szCs w:val="27"/>
        </w:rPr>
        <w:t xml:space="preserve">hearing transcript shows the prosecution  merely asserted that Yasin was the State’s only witness; it did not make any representations about the </w:t>
      </w:r>
      <w:r w:rsidRPr="00C35E58">
        <w:rPr>
          <w:szCs w:val="27"/>
        </w:rPr>
        <w:t>importance of the</w:t>
      </w:r>
      <w:r>
        <w:rPr>
          <w:szCs w:val="27"/>
        </w:rPr>
        <w:t xml:space="preserve"> evidence at issue in the suppression hearing</w:t>
      </w:r>
      <w:r w:rsidRPr="00C35E58">
        <w:rPr>
          <w:szCs w:val="27"/>
        </w:rPr>
        <w:t>.</w:t>
      </w:r>
      <w:r>
        <w:rPr>
          <w:szCs w:val="27"/>
        </w:rPr>
        <w:t xml:space="preserve">  Indeed, as discussed below, later in the same hearing, the prosecutor clarified that he believed much of the evidence Yasin had gathered came in the form of observations that were not at issue in the suppression motion.</w:t>
      </w:r>
    </w:p>
  </w:footnote>
  <w:footnote w:id="12">
    <w:p w:rsidR="005A22CC" w:rsidP="005A22CC" w14:paraId="678725CF" w14:textId="77777777">
      <w:pPr>
        <w:pStyle w:val="FootnoteText"/>
        <w:rPr>
          <w:szCs w:val="27"/>
        </w:rPr>
      </w:pPr>
      <w:r>
        <w:rPr>
          <w:rStyle w:val="FootnoteReference"/>
        </w:rPr>
        <w:footnoteRef/>
      </w:r>
      <w:r>
        <w:t xml:space="preserve"> </w:t>
      </w:r>
      <w:r>
        <w:tab/>
      </w:r>
      <w:r w:rsidRPr="003A7491">
        <w:rPr>
          <w:szCs w:val="27"/>
        </w:rPr>
        <w:t xml:space="preserve">While noting that a presumption of correctness generally applies to judgments on appeal, the majority appears to </w:t>
      </w:r>
      <w:r>
        <w:rPr>
          <w:szCs w:val="27"/>
        </w:rPr>
        <w:t>agree</w:t>
      </w:r>
      <w:r w:rsidRPr="003A7491">
        <w:rPr>
          <w:szCs w:val="27"/>
        </w:rPr>
        <w:t xml:space="preserve"> that </w:t>
      </w:r>
      <w:r w:rsidRPr="00E159CD">
        <w:rPr>
          <w:szCs w:val="27"/>
        </w:rPr>
        <w:t xml:space="preserve">remand is appropriate when a reviewing court has announced a new legal standard.  (See maj. opn., </w:t>
      </w:r>
      <w:r w:rsidRPr="0096478A">
        <w:rPr>
          <w:i/>
          <w:iCs/>
          <w:szCs w:val="27"/>
        </w:rPr>
        <w:t>ante</w:t>
      </w:r>
      <w:r w:rsidRPr="0096478A">
        <w:rPr>
          <w:szCs w:val="27"/>
        </w:rPr>
        <w:t>,</w:t>
      </w:r>
      <w:r>
        <w:rPr>
          <w:szCs w:val="27"/>
        </w:rPr>
        <w:t xml:space="preserve"> </w:t>
      </w:r>
      <w:r w:rsidRPr="00E159CD">
        <w:rPr>
          <w:szCs w:val="27"/>
        </w:rPr>
        <w:t xml:space="preserve">at p. 30, fn. 7.)  </w:t>
      </w:r>
      <w:r w:rsidRPr="0096478A">
        <w:rPr>
          <w:szCs w:val="27"/>
        </w:rPr>
        <w:t>T</w:t>
      </w:r>
      <w:r w:rsidRPr="00E159CD">
        <w:rPr>
          <w:szCs w:val="27"/>
        </w:rPr>
        <w:t>he majority insists</w:t>
      </w:r>
      <w:r w:rsidRPr="003A7491">
        <w:rPr>
          <w:szCs w:val="27"/>
        </w:rPr>
        <w:t>, however, that today’s opinion do</w:t>
      </w:r>
      <w:r>
        <w:rPr>
          <w:szCs w:val="27"/>
        </w:rPr>
        <w:t>es</w:t>
      </w:r>
      <w:r w:rsidRPr="003A7491">
        <w:rPr>
          <w:szCs w:val="27"/>
        </w:rPr>
        <w:t xml:space="preserve"> nothing more than “approve”</w:t>
      </w:r>
      <w:r>
        <w:rPr>
          <w:szCs w:val="27"/>
        </w:rPr>
        <w:t xml:space="preserve"> (</w:t>
      </w:r>
      <w:r w:rsidRPr="003A7491">
        <w:rPr>
          <w:i/>
          <w:iCs/>
          <w:szCs w:val="27"/>
        </w:rPr>
        <w:t>ibid</w:t>
      </w:r>
      <w:r>
        <w:rPr>
          <w:i/>
          <w:iCs/>
          <w:szCs w:val="27"/>
        </w:rPr>
        <w:t>.</w:t>
      </w:r>
      <w:r w:rsidRPr="003A7491">
        <w:rPr>
          <w:i/>
          <w:iCs/>
          <w:szCs w:val="27"/>
        </w:rPr>
        <w:t>)</w:t>
      </w:r>
      <w:r w:rsidRPr="003A7491">
        <w:rPr>
          <w:szCs w:val="27"/>
        </w:rPr>
        <w:t xml:space="preserve"> standards that were already articulated in </w:t>
      </w:r>
      <w:r w:rsidRPr="003A7491">
        <w:rPr>
          <w:i/>
          <w:iCs/>
          <w:szCs w:val="27"/>
        </w:rPr>
        <w:t>Ferrer</w:t>
      </w:r>
      <w:r>
        <w:rPr>
          <w:i/>
          <w:iCs/>
          <w:szCs w:val="27"/>
        </w:rPr>
        <w:t>, supra</w:t>
      </w:r>
      <w:r>
        <w:rPr>
          <w:szCs w:val="27"/>
        </w:rPr>
        <w:t xml:space="preserve">, </w:t>
      </w:r>
      <w:r w:rsidRPr="0005471E">
        <w:rPr>
          <w:szCs w:val="27"/>
        </w:rPr>
        <w:t>184 Cal.App.4th 873</w:t>
      </w:r>
      <w:r w:rsidRPr="0096478A">
        <w:rPr>
          <w:szCs w:val="27"/>
        </w:rPr>
        <w:t>.</w:t>
      </w:r>
      <w:r>
        <w:rPr>
          <w:i/>
          <w:iCs/>
          <w:szCs w:val="27"/>
        </w:rPr>
        <w:t xml:space="preserve"> </w:t>
      </w:r>
      <w:r>
        <w:rPr>
          <w:szCs w:val="27"/>
        </w:rPr>
        <w:t xml:space="preserve"> This conclusion is at odds with the</w:t>
      </w:r>
      <w:r w:rsidRPr="003A7491">
        <w:rPr>
          <w:szCs w:val="27"/>
        </w:rPr>
        <w:t xml:space="preserve"> parties’ reading of that opinion.  </w:t>
      </w:r>
      <w:r>
        <w:rPr>
          <w:szCs w:val="27"/>
        </w:rPr>
        <w:t>T</w:t>
      </w:r>
      <w:r w:rsidRPr="003A7491">
        <w:rPr>
          <w:szCs w:val="27"/>
        </w:rPr>
        <w:t xml:space="preserve">he Attorney General explains that </w:t>
      </w:r>
      <w:r w:rsidRPr="003A7491">
        <w:rPr>
          <w:i/>
          <w:iCs/>
          <w:szCs w:val="27"/>
        </w:rPr>
        <w:t>Ferrer</w:t>
      </w:r>
      <w:r w:rsidRPr="003A7491">
        <w:rPr>
          <w:szCs w:val="27"/>
        </w:rPr>
        <w:t xml:space="preserve"> does “not provide any specific guidance for determining when a denial of a continuance may result in a dismissal,” while Brown</w:t>
      </w:r>
      <w:r>
        <w:rPr>
          <w:szCs w:val="27"/>
        </w:rPr>
        <w:t>’s briefing before the Court of Appeal</w:t>
      </w:r>
      <w:r w:rsidRPr="003A7491">
        <w:rPr>
          <w:szCs w:val="27"/>
        </w:rPr>
        <w:t xml:space="preserve"> notes that the decision raises “fundamental uncertainties” regarding how trial courts should decide that question.  I agree with the parties.  </w:t>
      </w:r>
    </w:p>
    <w:p w:rsidR="005A22CC" w:rsidRPr="003A7491" w:rsidP="005A22CC" w14:paraId="28D8920C" w14:textId="440C3118">
      <w:pPr>
        <w:pStyle w:val="FootnoteText"/>
        <w:ind w:firstLine="720"/>
        <w:rPr>
          <w:szCs w:val="27"/>
        </w:rPr>
      </w:pPr>
      <w:r>
        <w:rPr>
          <w:szCs w:val="27"/>
        </w:rPr>
        <w:t>Although</w:t>
      </w:r>
      <w:r w:rsidRPr="003A7491">
        <w:rPr>
          <w:szCs w:val="27"/>
        </w:rPr>
        <w:t xml:space="preserve"> the majority adopts the same “reasonably foreseeable” parlance as </w:t>
      </w:r>
      <w:r w:rsidRPr="003A7491">
        <w:rPr>
          <w:i/>
          <w:iCs/>
          <w:szCs w:val="27"/>
        </w:rPr>
        <w:t>Ferrer</w:t>
      </w:r>
      <w:r w:rsidRPr="003A7491">
        <w:rPr>
          <w:szCs w:val="27"/>
        </w:rPr>
        <w:t xml:space="preserve">, I find nothing in </w:t>
      </w:r>
      <w:r w:rsidRPr="003A7491">
        <w:rPr>
          <w:i/>
          <w:iCs/>
          <w:szCs w:val="27"/>
        </w:rPr>
        <w:t>Ferrer</w:t>
      </w:r>
      <w:r w:rsidRPr="003A7491">
        <w:rPr>
          <w:szCs w:val="27"/>
        </w:rPr>
        <w:t xml:space="preserve"> </w:t>
      </w:r>
      <w:r>
        <w:rPr>
          <w:szCs w:val="27"/>
        </w:rPr>
        <w:t>directing that the prosecution</w:t>
      </w:r>
      <w:r w:rsidRPr="003A7491">
        <w:rPr>
          <w:szCs w:val="27"/>
        </w:rPr>
        <w:t xml:space="preserve"> </w:t>
      </w:r>
      <w:r>
        <w:rPr>
          <w:szCs w:val="27"/>
        </w:rPr>
        <w:t xml:space="preserve">has </w:t>
      </w:r>
      <w:r w:rsidRPr="003A7491">
        <w:rPr>
          <w:szCs w:val="27"/>
        </w:rPr>
        <w:t xml:space="preserve">an initial burden to show the case </w:t>
      </w:r>
      <w:r>
        <w:rPr>
          <w:szCs w:val="27"/>
        </w:rPr>
        <w:t>“</w:t>
      </w:r>
      <w:r w:rsidRPr="003A7491">
        <w:rPr>
          <w:szCs w:val="27"/>
        </w:rPr>
        <w:t>cannot</w:t>
      </w:r>
      <w:r>
        <w:rPr>
          <w:szCs w:val="27"/>
        </w:rPr>
        <w:t xml:space="preserve"> be tried</w:t>
      </w:r>
      <w:r w:rsidRPr="003A7491">
        <w:rPr>
          <w:szCs w:val="27"/>
        </w:rPr>
        <w:t xml:space="preserve">” </w:t>
      </w:r>
      <w:r>
        <w:rPr>
          <w:szCs w:val="27"/>
        </w:rPr>
        <w:t xml:space="preserve">(maj. opn., </w:t>
      </w:r>
      <w:r w:rsidRPr="0096478A">
        <w:rPr>
          <w:i/>
          <w:iCs/>
          <w:szCs w:val="27"/>
        </w:rPr>
        <w:t>ante</w:t>
      </w:r>
      <w:r w:rsidRPr="0096478A">
        <w:rPr>
          <w:szCs w:val="27"/>
        </w:rPr>
        <w:t xml:space="preserve">, </w:t>
      </w:r>
      <w:r>
        <w:rPr>
          <w:szCs w:val="27"/>
        </w:rPr>
        <w:t xml:space="preserve">at p.  27, italics omitted) </w:t>
      </w:r>
      <w:r w:rsidRPr="003A7491">
        <w:rPr>
          <w:szCs w:val="27"/>
        </w:rPr>
        <w:t>without the challenged evidence.  Nor do</w:t>
      </w:r>
      <w:r>
        <w:rPr>
          <w:szCs w:val="27"/>
        </w:rPr>
        <w:t xml:space="preserve">es </w:t>
      </w:r>
      <w:r w:rsidRPr="003A7491">
        <w:rPr>
          <w:i/>
          <w:iCs/>
          <w:szCs w:val="27"/>
        </w:rPr>
        <w:t>Ferrer</w:t>
      </w:r>
      <w:r w:rsidRPr="003A7491">
        <w:rPr>
          <w:szCs w:val="27"/>
        </w:rPr>
        <w:t xml:space="preserve"> direct trial courts that they must make an independent assessment of the prosecution’s representations about its ability to proceed.  Although the majority characterizes these requirements as mere “</w:t>
      </w:r>
      <w:r>
        <w:rPr>
          <w:szCs w:val="27"/>
        </w:rPr>
        <w:t>elaborat[</w:t>
      </w:r>
      <w:r w:rsidRPr="003A7491">
        <w:rPr>
          <w:szCs w:val="27"/>
        </w:rPr>
        <w:t>ions</w:t>
      </w:r>
      <w:r>
        <w:rPr>
          <w:szCs w:val="27"/>
        </w:rPr>
        <w:t>]</w:t>
      </w:r>
      <w:r w:rsidRPr="003A7491">
        <w:rPr>
          <w:szCs w:val="27"/>
        </w:rPr>
        <w:t xml:space="preserve">” </w:t>
      </w:r>
      <w:r>
        <w:rPr>
          <w:szCs w:val="27"/>
        </w:rPr>
        <w:t xml:space="preserve">(maj. opn., </w:t>
      </w:r>
      <w:r w:rsidRPr="0096478A">
        <w:rPr>
          <w:i/>
          <w:iCs/>
          <w:szCs w:val="27"/>
        </w:rPr>
        <w:t>ante</w:t>
      </w:r>
      <w:r w:rsidRPr="0096478A">
        <w:rPr>
          <w:szCs w:val="27"/>
        </w:rPr>
        <w:t>,</w:t>
      </w:r>
      <w:r>
        <w:rPr>
          <w:szCs w:val="27"/>
        </w:rPr>
        <w:t xml:space="preserve"> at p. 30, fn. 7</w:t>
      </w:r>
      <w:r w:rsidRPr="003A7491">
        <w:rPr>
          <w:szCs w:val="27"/>
        </w:rPr>
        <w:t xml:space="preserve">) on what was already said in </w:t>
      </w:r>
      <w:r w:rsidRPr="003A7491">
        <w:rPr>
          <w:i/>
          <w:iCs/>
          <w:szCs w:val="27"/>
        </w:rPr>
        <w:t>Ferrer</w:t>
      </w:r>
      <w:r w:rsidRPr="003A7491">
        <w:rPr>
          <w:szCs w:val="27"/>
        </w:rPr>
        <w:t xml:space="preserve">, I view them as addressing an issue </w:t>
      </w:r>
      <w:r w:rsidRPr="00AC1F63">
        <w:rPr>
          <w:i/>
          <w:iCs/>
          <w:szCs w:val="27"/>
        </w:rPr>
        <w:t>Ferrer</w:t>
      </w:r>
      <w:r w:rsidRPr="003A7491">
        <w:rPr>
          <w:szCs w:val="27"/>
        </w:rPr>
        <w:t xml:space="preserve"> simply did not reach:  </w:t>
      </w:r>
      <w:r>
        <w:rPr>
          <w:szCs w:val="27"/>
        </w:rPr>
        <w:t>W</w:t>
      </w:r>
      <w:r w:rsidRPr="003A7491">
        <w:rPr>
          <w:szCs w:val="27"/>
        </w:rPr>
        <w:t>hat standards should trial courts apply in assessing whether it is reasonably foreseeable that denial of a continuance will result in dismissal</w:t>
      </w:r>
      <w:r>
        <w:rPr>
          <w:szCs w:val="27"/>
        </w:rPr>
        <w:t xml:space="preserve">?  </w:t>
      </w:r>
    </w:p>
  </w:footnote>
  <w:footnote w:id="13">
    <w:p w:rsidR="005A22CC" w:rsidP="005A22CC" w14:paraId="176795D4" w14:textId="77777777">
      <w:pPr>
        <w:pStyle w:val="FootnoteText"/>
      </w:pPr>
      <w:r>
        <w:rPr>
          <w:rStyle w:val="FootnoteReference"/>
        </w:rPr>
        <w:footnoteRef/>
      </w:r>
      <w:r>
        <w:t xml:space="preserve"> </w:t>
      </w:r>
      <w:r>
        <w:tab/>
      </w:r>
      <w:r w:rsidRPr="0096478A">
        <w:rPr>
          <w:szCs w:val="27"/>
        </w:rPr>
        <w:t xml:space="preserve">As the majority notes, while this appeal was pending, “the Legislature decriminalized the act of loitering for purposes of prostitution, the offense of which defendant was convicted.  (See Stats. 2022, ch. 86 (Sen. Bill No. 357), § 4, effective Jan. 1, 2023.)”  (Maj. opn., </w:t>
      </w:r>
      <w:r w:rsidRPr="0096478A">
        <w:rPr>
          <w:i/>
          <w:iCs/>
          <w:szCs w:val="27"/>
        </w:rPr>
        <w:t>ante</w:t>
      </w:r>
      <w:r w:rsidRPr="0096478A">
        <w:rPr>
          <w:szCs w:val="27"/>
        </w:rPr>
        <w:t>,</w:t>
      </w:r>
      <w:r>
        <w:rPr>
          <w:szCs w:val="27"/>
        </w:rPr>
        <w:t xml:space="preserve"> </w:t>
      </w:r>
      <w:r w:rsidRPr="0096478A">
        <w:rPr>
          <w:szCs w:val="27"/>
        </w:rPr>
        <w:t>at p. 31.)  Were we to reverse the judgment and remand, I would direct the trial court to consider whether this intervening legislation requires the People to dismiss this case.  Under the majority’s approach, however, Brown’s judgment of conviction has now been affirmed, meaning that she must file a petition or application in the trial court (which will presumably require the assistance of counsel) requesting dismissal of her conviction.  (See § 653.29, subds. (a),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B5A" w14:paraId="52BC3222" w14:textId="2AE4EEC1">
    <w:pPr>
      <w:pStyle w:val="Header"/>
    </w:pPr>
    <w:r>
      <w:t>PEOPLE v. BROWN</w:t>
    </w:r>
  </w:p>
  <w:p w:rsidR="00535B5A" w14:paraId="0442DBD1" w14:textId="1DDC6FE2">
    <w:pPr>
      <w:pStyle w:val="Header"/>
    </w:pPr>
    <w:r>
      <w:t>Opinion of the Court by Corrigan, J.</w:t>
    </w:r>
  </w:p>
  <w:p w:rsidR="00535B5A" w14:paraId="2CBCF2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314" w14:paraId="7BEB93B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27D" w:rsidRPr="00D07763" w:rsidP="00D07763" w14:paraId="61F63D4C" w14:textId="77777777">
    <w:pPr>
      <w:pStyle w:val="Header"/>
    </w:pPr>
    <w:bookmarkStart w:id="11" w:name="_Hlk69208579"/>
    <w:bookmarkStart w:id="12" w:name="_Hlk69208580"/>
    <w:bookmarkStart w:id="13" w:name="_Hlk69208581"/>
    <w:bookmarkStart w:id="14" w:name="_Hlk69208582"/>
    <w:bookmarkStart w:id="15" w:name="_Hlk69208583"/>
    <w:bookmarkStart w:id="16" w:name="_Hlk69208584"/>
    <w:r w:rsidRPr="00D07763">
      <w:t xml:space="preserve">PEOPLE v. </w:t>
    </w:r>
    <w:r>
      <w:t>BROWN</w:t>
    </w:r>
  </w:p>
  <w:p w:rsidR="00BE627D" w:rsidRPr="00D07763" w:rsidP="00D07763" w14:paraId="3E9A6B52" w14:textId="77777777">
    <w:pPr>
      <w:pStyle w:val="Header"/>
    </w:pPr>
    <w:r>
      <w:t>Groban</w:t>
    </w:r>
    <w:r w:rsidRPr="00D07763">
      <w:t>, J., concurring and dissenting</w:t>
    </w:r>
  </w:p>
  <w:bookmarkEnd w:id="11"/>
  <w:bookmarkEnd w:id="12"/>
  <w:bookmarkEnd w:id="13"/>
  <w:bookmarkEnd w:id="14"/>
  <w:bookmarkEnd w:id="15"/>
  <w:bookmarkEnd w:id="1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314" w14:paraId="55B2F9F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A04" w14:paraId="07570242"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A04" w14:paraId="4D28428D"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A04" w14:paraId="2F43B7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5E1267D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2F63B9"/>
    <w:multiLevelType w:val="hybridMultilevel"/>
    <w:tmpl w:val="8554837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A4"/>
    <w:rsid w:val="0000089B"/>
    <w:rsid w:val="00000E4D"/>
    <w:rsid w:val="00000F9C"/>
    <w:rsid w:val="000015E9"/>
    <w:rsid w:val="00001CD4"/>
    <w:rsid w:val="0000202A"/>
    <w:rsid w:val="00002FD8"/>
    <w:rsid w:val="00003083"/>
    <w:rsid w:val="000035A5"/>
    <w:rsid w:val="000036E8"/>
    <w:rsid w:val="000052A1"/>
    <w:rsid w:val="000060CB"/>
    <w:rsid w:val="000068CC"/>
    <w:rsid w:val="000101DC"/>
    <w:rsid w:val="0001056E"/>
    <w:rsid w:val="00010E90"/>
    <w:rsid w:val="0001156F"/>
    <w:rsid w:val="000121FD"/>
    <w:rsid w:val="00012759"/>
    <w:rsid w:val="00012A73"/>
    <w:rsid w:val="0001333B"/>
    <w:rsid w:val="0001378A"/>
    <w:rsid w:val="00013916"/>
    <w:rsid w:val="00013AF3"/>
    <w:rsid w:val="00013D28"/>
    <w:rsid w:val="000140BF"/>
    <w:rsid w:val="00015039"/>
    <w:rsid w:val="00015A40"/>
    <w:rsid w:val="00016D6D"/>
    <w:rsid w:val="00016E07"/>
    <w:rsid w:val="00017819"/>
    <w:rsid w:val="000178E8"/>
    <w:rsid w:val="000179C3"/>
    <w:rsid w:val="000202BF"/>
    <w:rsid w:val="0002087D"/>
    <w:rsid w:val="0002125D"/>
    <w:rsid w:val="000216A1"/>
    <w:rsid w:val="00021948"/>
    <w:rsid w:val="00022148"/>
    <w:rsid w:val="00022360"/>
    <w:rsid w:val="00022913"/>
    <w:rsid w:val="000229F7"/>
    <w:rsid w:val="00022E5A"/>
    <w:rsid w:val="00023587"/>
    <w:rsid w:val="00023681"/>
    <w:rsid w:val="0002369D"/>
    <w:rsid w:val="00024503"/>
    <w:rsid w:val="000245B2"/>
    <w:rsid w:val="000248C6"/>
    <w:rsid w:val="000254B6"/>
    <w:rsid w:val="0002633A"/>
    <w:rsid w:val="0002691B"/>
    <w:rsid w:val="00026972"/>
    <w:rsid w:val="000317A8"/>
    <w:rsid w:val="00032445"/>
    <w:rsid w:val="00032D13"/>
    <w:rsid w:val="000339E0"/>
    <w:rsid w:val="00035291"/>
    <w:rsid w:val="0003569B"/>
    <w:rsid w:val="00035876"/>
    <w:rsid w:val="000361FE"/>
    <w:rsid w:val="0003622E"/>
    <w:rsid w:val="00040F7B"/>
    <w:rsid w:val="00040FFE"/>
    <w:rsid w:val="00041E3E"/>
    <w:rsid w:val="00042502"/>
    <w:rsid w:val="00043174"/>
    <w:rsid w:val="00044D44"/>
    <w:rsid w:val="0004586F"/>
    <w:rsid w:val="00046058"/>
    <w:rsid w:val="000460C0"/>
    <w:rsid w:val="00046824"/>
    <w:rsid w:val="00047553"/>
    <w:rsid w:val="000476AC"/>
    <w:rsid w:val="00050D02"/>
    <w:rsid w:val="000513D0"/>
    <w:rsid w:val="000527E6"/>
    <w:rsid w:val="00052F00"/>
    <w:rsid w:val="00053A47"/>
    <w:rsid w:val="00053D35"/>
    <w:rsid w:val="000542E3"/>
    <w:rsid w:val="0005471E"/>
    <w:rsid w:val="00054722"/>
    <w:rsid w:val="00055169"/>
    <w:rsid w:val="000558C2"/>
    <w:rsid w:val="00056778"/>
    <w:rsid w:val="000567AE"/>
    <w:rsid w:val="00057BE7"/>
    <w:rsid w:val="0006030F"/>
    <w:rsid w:val="00060884"/>
    <w:rsid w:val="00060965"/>
    <w:rsid w:val="00060CA3"/>
    <w:rsid w:val="00061791"/>
    <w:rsid w:val="0006301A"/>
    <w:rsid w:val="00063524"/>
    <w:rsid w:val="00063B48"/>
    <w:rsid w:val="00063E27"/>
    <w:rsid w:val="00064079"/>
    <w:rsid w:val="0006505C"/>
    <w:rsid w:val="00065171"/>
    <w:rsid w:val="000663A4"/>
    <w:rsid w:val="00066C09"/>
    <w:rsid w:val="00070568"/>
    <w:rsid w:val="0007068E"/>
    <w:rsid w:val="00070D66"/>
    <w:rsid w:val="0007169B"/>
    <w:rsid w:val="00071F76"/>
    <w:rsid w:val="00072598"/>
    <w:rsid w:val="00072640"/>
    <w:rsid w:val="000726D0"/>
    <w:rsid w:val="00072E06"/>
    <w:rsid w:val="00073756"/>
    <w:rsid w:val="0007460B"/>
    <w:rsid w:val="00075E3B"/>
    <w:rsid w:val="00076052"/>
    <w:rsid w:val="00076726"/>
    <w:rsid w:val="000769F3"/>
    <w:rsid w:val="000802C0"/>
    <w:rsid w:val="00080778"/>
    <w:rsid w:val="00080F21"/>
    <w:rsid w:val="00081491"/>
    <w:rsid w:val="000816EF"/>
    <w:rsid w:val="00081705"/>
    <w:rsid w:val="00083A34"/>
    <w:rsid w:val="00084163"/>
    <w:rsid w:val="00084B8B"/>
    <w:rsid w:val="00085D84"/>
    <w:rsid w:val="00085E9C"/>
    <w:rsid w:val="00086480"/>
    <w:rsid w:val="00086D83"/>
    <w:rsid w:val="00086FFB"/>
    <w:rsid w:val="00090245"/>
    <w:rsid w:val="00090490"/>
    <w:rsid w:val="00090C05"/>
    <w:rsid w:val="00091EB7"/>
    <w:rsid w:val="00092777"/>
    <w:rsid w:val="00092C6A"/>
    <w:rsid w:val="000930FD"/>
    <w:rsid w:val="00093F0F"/>
    <w:rsid w:val="00095330"/>
    <w:rsid w:val="000955EF"/>
    <w:rsid w:val="00095CFE"/>
    <w:rsid w:val="000966CA"/>
    <w:rsid w:val="00097320"/>
    <w:rsid w:val="00097BF2"/>
    <w:rsid w:val="000A21BD"/>
    <w:rsid w:val="000A3181"/>
    <w:rsid w:val="000A41BE"/>
    <w:rsid w:val="000A4579"/>
    <w:rsid w:val="000A4C36"/>
    <w:rsid w:val="000A5A59"/>
    <w:rsid w:val="000A5EA2"/>
    <w:rsid w:val="000A6588"/>
    <w:rsid w:val="000A67CD"/>
    <w:rsid w:val="000A71C4"/>
    <w:rsid w:val="000A76E9"/>
    <w:rsid w:val="000B025D"/>
    <w:rsid w:val="000B03FF"/>
    <w:rsid w:val="000B1A8B"/>
    <w:rsid w:val="000B1A99"/>
    <w:rsid w:val="000B1BE7"/>
    <w:rsid w:val="000B1D9B"/>
    <w:rsid w:val="000B232A"/>
    <w:rsid w:val="000B3425"/>
    <w:rsid w:val="000B351E"/>
    <w:rsid w:val="000B39F6"/>
    <w:rsid w:val="000B3C7C"/>
    <w:rsid w:val="000B40E3"/>
    <w:rsid w:val="000B4E68"/>
    <w:rsid w:val="000B4F05"/>
    <w:rsid w:val="000B58B2"/>
    <w:rsid w:val="000B5965"/>
    <w:rsid w:val="000B5B25"/>
    <w:rsid w:val="000B6937"/>
    <w:rsid w:val="000B76E0"/>
    <w:rsid w:val="000B7854"/>
    <w:rsid w:val="000C0370"/>
    <w:rsid w:val="000C041C"/>
    <w:rsid w:val="000C04A1"/>
    <w:rsid w:val="000C058F"/>
    <w:rsid w:val="000C059D"/>
    <w:rsid w:val="000C0F8C"/>
    <w:rsid w:val="000C22E6"/>
    <w:rsid w:val="000C2FCC"/>
    <w:rsid w:val="000C37A8"/>
    <w:rsid w:val="000C5AA4"/>
    <w:rsid w:val="000C65F2"/>
    <w:rsid w:val="000C7980"/>
    <w:rsid w:val="000C7CEE"/>
    <w:rsid w:val="000D02D8"/>
    <w:rsid w:val="000D0CBC"/>
    <w:rsid w:val="000D10AB"/>
    <w:rsid w:val="000D13BF"/>
    <w:rsid w:val="000D1957"/>
    <w:rsid w:val="000D1C19"/>
    <w:rsid w:val="000D1F46"/>
    <w:rsid w:val="000D25DE"/>
    <w:rsid w:val="000D3022"/>
    <w:rsid w:val="000D4997"/>
    <w:rsid w:val="000D4E19"/>
    <w:rsid w:val="000D62E0"/>
    <w:rsid w:val="000D7679"/>
    <w:rsid w:val="000E06F6"/>
    <w:rsid w:val="000E12BD"/>
    <w:rsid w:val="000E155F"/>
    <w:rsid w:val="000E1572"/>
    <w:rsid w:val="000E17E3"/>
    <w:rsid w:val="000E2A45"/>
    <w:rsid w:val="000E2CB8"/>
    <w:rsid w:val="000E2FB7"/>
    <w:rsid w:val="000E36EB"/>
    <w:rsid w:val="000E3A40"/>
    <w:rsid w:val="000E3DCA"/>
    <w:rsid w:val="000E4B20"/>
    <w:rsid w:val="000E53E0"/>
    <w:rsid w:val="000E5E17"/>
    <w:rsid w:val="000E5F0E"/>
    <w:rsid w:val="000E6169"/>
    <w:rsid w:val="000E6672"/>
    <w:rsid w:val="000E68E8"/>
    <w:rsid w:val="000E75E4"/>
    <w:rsid w:val="000E7A1F"/>
    <w:rsid w:val="000F0613"/>
    <w:rsid w:val="000F0A4F"/>
    <w:rsid w:val="000F2645"/>
    <w:rsid w:val="000F2E78"/>
    <w:rsid w:val="000F3019"/>
    <w:rsid w:val="000F3EC3"/>
    <w:rsid w:val="000F53C5"/>
    <w:rsid w:val="000F55F6"/>
    <w:rsid w:val="000F6C85"/>
    <w:rsid w:val="001004D4"/>
    <w:rsid w:val="001015C9"/>
    <w:rsid w:val="0010182B"/>
    <w:rsid w:val="00101B36"/>
    <w:rsid w:val="0010204E"/>
    <w:rsid w:val="001021AF"/>
    <w:rsid w:val="0010279D"/>
    <w:rsid w:val="00102A64"/>
    <w:rsid w:val="00107722"/>
    <w:rsid w:val="00107971"/>
    <w:rsid w:val="00107D19"/>
    <w:rsid w:val="001116A3"/>
    <w:rsid w:val="001119E9"/>
    <w:rsid w:val="0011295E"/>
    <w:rsid w:val="00114411"/>
    <w:rsid w:val="00114B09"/>
    <w:rsid w:val="00114B92"/>
    <w:rsid w:val="001152BD"/>
    <w:rsid w:val="0011564B"/>
    <w:rsid w:val="00116C92"/>
    <w:rsid w:val="00117A19"/>
    <w:rsid w:val="00121100"/>
    <w:rsid w:val="0012147E"/>
    <w:rsid w:val="0012275E"/>
    <w:rsid w:val="00122AC1"/>
    <w:rsid w:val="00123827"/>
    <w:rsid w:val="00124221"/>
    <w:rsid w:val="001242C7"/>
    <w:rsid w:val="00124EFB"/>
    <w:rsid w:val="001252EA"/>
    <w:rsid w:val="001265DB"/>
    <w:rsid w:val="00126B80"/>
    <w:rsid w:val="00127453"/>
    <w:rsid w:val="00127A54"/>
    <w:rsid w:val="001300E7"/>
    <w:rsid w:val="001300ED"/>
    <w:rsid w:val="001308F5"/>
    <w:rsid w:val="00130D9A"/>
    <w:rsid w:val="0013196B"/>
    <w:rsid w:val="00131AF9"/>
    <w:rsid w:val="0013246D"/>
    <w:rsid w:val="0013361A"/>
    <w:rsid w:val="00134193"/>
    <w:rsid w:val="001343EC"/>
    <w:rsid w:val="001347C9"/>
    <w:rsid w:val="00135B52"/>
    <w:rsid w:val="001366D7"/>
    <w:rsid w:val="00137572"/>
    <w:rsid w:val="00137674"/>
    <w:rsid w:val="00137FB0"/>
    <w:rsid w:val="001402CE"/>
    <w:rsid w:val="00140375"/>
    <w:rsid w:val="0014162F"/>
    <w:rsid w:val="00141D08"/>
    <w:rsid w:val="00141F07"/>
    <w:rsid w:val="00142F1A"/>
    <w:rsid w:val="00144D29"/>
    <w:rsid w:val="00145590"/>
    <w:rsid w:val="0014602F"/>
    <w:rsid w:val="00146CB0"/>
    <w:rsid w:val="001477E7"/>
    <w:rsid w:val="00150BEC"/>
    <w:rsid w:val="00150CDA"/>
    <w:rsid w:val="00151515"/>
    <w:rsid w:val="00152688"/>
    <w:rsid w:val="001528DD"/>
    <w:rsid w:val="00152D99"/>
    <w:rsid w:val="00153511"/>
    <w:rsid w:val="00154092"/>
    <w:rsid w:val="001541C0"/>
    <w:rsid w:val="0015465E"/>
    <w:rsid w:val="00154FBB"/>
    <w:rsid w:val="00155591"/>
    <w:rsid w:val="0015690B"/>
    <w:rsid w:val="00156A2E"/>
    <w:rsid w:val="00157F19"/>
    <w:rsid w:val="00160750"/>
    <w:rsid w:val="00160E7D"/>
    <w:rsid w:val="00161025"/>
    <w:rsid w:val="0016130C"/>
    <w:rsid w:val="001613F7"/>
    <w:rsid w:val="00161F4F"/>
    <w:rsid w:val="0016216D"/>
    <w:rsid w:val="001622A0"/>
    <w:rsid w:val="0016299E"/>
    <w:rsid w:val="00163071"/>
    <w:rsid w:val="00163169"/>
    <w:rsid w:val="001636B4"/>
    <w:rsid w:val="0016415F"/>
    <w:rsid w:val="00164EE3"/>
    <w:rsid w:val="0016541A"/>
    <w:rsid w:val="00165556"/>
    <w:rsid w:val="00165BE9"/>
    <w:rsid w:val="00166EEA"/>
    <w:rsid w:val="001676BC"/>
    <w:rsid w:val="001677DF"/>
    <w:rsid w:val="0016794A"/>
    <w:rsid w:val="00170680"/>
    <w:rsid w:val="00172291"/>
    <w:rsid w:val="00172DA3"/>
    <w:rsid w:val="00172F90"/>
    <w:rsid w:val="001730B6"/>
    <w:rsid w:val="001736E5"/>
    <w:rsid w:val="001737AA"/>
    <w:rsid w:val="00173E8A"/>
    <w:rsid w:val="001746CA"/>
    <w:rsid w:val="00174BD3"/>
    <w:rsid w:val="00175239"/>
    <w:rsid w:val="001753E1"/>
    <w:rsid w:val="00175783"/>
    <w:rsid w:val="00175F76"/>
    <w:rsid w:val="00177734"/>
    <w:rsid w:val="0018004D"/>
    <w:rsid w:val="001801DB"/>
    <w:rsid w:val="00180CDB"/>
    <w:rsid w:val="00181982"/>
    <w:rsid w:val="00181F37"/>
    <w:rsid w:val="0018209C"/>
    <w:rsid w:val="0018252E"/>
    <w:rsid w:val="00182FC9"/>
    <w:rsid w:val="0018350A"/>
    <w:rsid w:val="00183DD1"/>
    <w:rsid w:val="00184491"/>
    <w:rsid w:val="00184818"/>
    <w:rsid w:val="00184C28"/>
    <w:rsid w:val="00185F75"/>
    <w:rsid w:val="00186122"/>
    <w:rsid w:val="001865F7"/>
    <w:rsid w:val="00187650"/>
    <w:rsid w:val="00190AA2"/>
    <w:rsid w:val="00190CF8"/>
    <w:rsid w:val="00190D86"/>
    <w:rsid w:val="00191D22"/>
    <w:rsid w:val="00192173"/>
    <w:rsid w:val="00192B66"/>
    <w:rsid w:val="00192C09"/>
    <w:rsid w:val="00193659"/>
    <w:rsid w:val="00193F5B"/>
    <w:rsid w:val="00194B86"/>
    <w:rsid w:val="001954FC"/>
    <w:rsid w:val="00195A41"/>
    <w:rsid w:val="001961FC"/>
    <w:rsid w:val="00196ED5"/>
    <w:rsid w:val="00197BDB"/>
    <w:rsid w:val="001A0F81"/>
    <w:rsid w:val="001A1010"/>
    <w:rsid w:val="001A1225"/>
    <w:rsid w:val="001A2A02"/>
    <w:rsid w:val="001A2DE8"/>
    <w:rsid w:val="001A3C8C"/>
    <w:rsid w:val="001A3D0F"/>
    <w:rsid w:val="001A4056"/>
    <w:rsid w:val="001A4F2A"/>
    <w:rsid w:val="001A52B0"/>
    <w:rsid w:val="001A53D6"/>
    <w:rsid w:val="001A6D17"/>
    <w:rsid w:val="001A7426"/>
    <w:rsid w:val="001B07AD"/>
    <w:rsid w:val="001B0FAB"/>
    <w:rsid w:val="001B1588"/>
    <w:rsid w:val="001B39D7"/>
    <w:rsid w:val="001B39F3"/>
    <w:rsid w:val="001B4423"/>
    <w:rsid w:val="001B750C"/>
    <w:rsid w:val="001C00AC"/>
    <w:rsid w:val="001C0ECC"/>
    <w:rsid w:val="001C12EF"/>
    <w:rsid w:val="001C1B9C"/>
    <w:rsid w:val="001C1D9F"/>
    <w:rsid w:val="001C2CD5"/>
    <w:rsid w:val="001C342C"/>
    <w:rsid w:val="001C3D11"/>
    <w:rsid w:val="001C491F"/>
    <w:rsid w:val="001C5241"/>
    <w:rsid w:val="001C56B5"/>
    <w:rsid w:val="001C5F8E"/>
    <w:rsid w:val="001C640C"/>
    <w:rsid w:val="001C795F"/>
    <w:rsid w:val="001C7FD8"/>
    <w:rsid w:val="001D04AD"/>
    <w:rsid w:val="001D0818"/>
    <w:rsid w:val="001D129E"/>
    <w:rsid w:val="001D185B"/>
    <w:rsid w:val="001D2035"/>
    <w:rsid w:val="001D247C"/>
    <w:rsid w:val="001D2680"/>
    <w:rsid w:val="001D2D45"/>
    <w:rsid w:val="001D3DA4"/>
    <w:rsid w:val="001D603C"/>
    <w:rsid w:val="001D6902"/>
    <w:rsid w:val="001D717C"/>
    <w:rsid w:val="001D7408"/>
    <w:rsid w:val="001D7EE8"/>
    <w:rsid w:val="001E0B4A"/>
    <w:rsid w:val="001E15AE"/>
    <w:rsid w:val="001E16C4"/>
    <w:rsid w:val="001E1BDA"/>
    <w:rsid w:val="001E1CAB"/>
    <w:rsid w:val="001E1DDD"/>
    <w:rsid w:val="001E320E"/>
    <w:rsid w:val="001E36AA"/>
    <w:rsid w:val="001E3C12"/>
    <w:rsid w:val="001E4D83"/>
    <w:rsid w:val="001E6281"/>
    <w:rsid w:val="001E7751"/>
    <w:rsid w:val="001E78E5"/>
    <w:rsid w:val="001E7CC4"/>
    <w:rsid w:val="001F01F9"/>
    <w:rsid w:val="001F1079"/>
    <w:rsid w:val="001F1C77"/>
    <w:rsid w:val="001F20AA"/>
    <w:rsid w:val="001F2724"/>
    <w:rsid w:val="001F296C"/>
    <w:rsid w:val="001F2D3B"/>
    <w:rsid w:val="001F2E5C"/>
    <w:rsid w:val="001F332F"/>
    <w:rsid w:val="001F360A"/>
    <w:rsid w:val="001F3619"/>
    <w:rsid w:val="001F365C"/>
    <w:rsid w:val="001F4E96"/>
    <w:rsid w:val="001F4F01"/>
    <w:rsid w:val="001F510E"/>
    <w:rsid w:val="001F5BBD"/>
    <w:rsid w:val="001F661C"/>
    <w:rsid w:val="001F77A9"/>
    <w:rsid w:val="002007B6"/>
    <w:rsid w:val="00200857"/>
    <w:rsid w:val="0020191B"/>
    <w:rsid w:val="00201FD7"/>
    <w:rsid w:val="002021FE"/>
    <w:rsid w:val="00202201"/>
    <w:rsid w:val="0020224C"/>
    <w:rsid w:val="002022AC"/>
    <w:rsid w:val="00202936"/>
    <w:rsid w:val="00202B89"/>
    <w:rsid w:val="00203946"/>
    <w:rsid w:val="0020462E"/>
    <w:rsid w:val="00204829"/>
    <w:rsid w:val="0020508E"/>
    <w:rsid w:val="0020691A"/>
    <w:rsid w:val="0021071E"/>
    <w:rsid w:val="00210B63"/>
    <w:rsid w:val="00211FCF"/>
    <w:rsid w:val="00212488"/>
    <w:rsid w:val="002124AC"/>
    <w:rsid w:val="00212938"/>
    <w:rsid w:val="00212C31"/>
    <w:rsid w:val="00212DED"/>
    <w:rsid w:val="002134C0"/>
    <w:rsid w:val="00213684"/>
    <w:rsid w:val="00213695"/>
    <w:rsid w:val="002136C5"/>
    <w:rsid w:val="00214013"/>
    <w:rsid w:val="00215504"/>
    <w:rsid w:val="00215CEC"/>
    <w:rsid w:val="00216245"/>
    <w:rsid w:val="00216C2D"/>
    <w:rsid w:val="00217ACE"/>
    <w:rsid w:val="00220572"/>
    <w:rsid w:val="00220D96"/>
    <w:rsid w:val="00221202"/>
    <w:rsid w:val="00222271"/>
    <w:rsid w:val="00222BB5"/>
    <w:rsid w:val="00222E41"/>
    <w:rsid w:val="002233C1"/>
    <w:rsid w:val="0022358C"/>
    <w:rsid w:val="00224168"/>
    <w:rsid w:val="00224827"/>
    <w:rsid w:val="00224AF6"/>
    <w:rsid w:val="00224C5B"/>
    <w:rsid w:val="00225242"/>
    <w:rsid w:val="002258DA"/>
    <w:rsid w:val="0022671C"/>
    <w:rsid w:val="002271BA"/>
    <w:rsid w:val="00227BD9"/>
    <w:rsid w:val="00230C26"/>
    <w:rsid w:val="002316BA"/>
    <w:rsid w:val="00232240"/>
    <w:rsid w:val="00232DF4"/>
    <w:rsid w:val="0023398E"/>
    <w:rsid w:val="00234C0D"/>
    <w:rsid w:val="00234F45"/>
    <w:rsid w:val="00236C93"/>
    <w:rsid w:val="00236CC8"/>
    <w:rsid w:val="002375E8"/>
    <w:rsid w:val="00241905"/>
    <w:rsid w:val="00241C5D"/>
    <w:rsid w:val="00241FC8"/>
    <w:rsid w:val="002420C0"/>
    <w:rsid w:val="00242959"/>
    <w:rsid w:val="00242A4D"/>
    <w:rsid w:val="00242C69"/>
    <w:rsid w:val="00243D80"/>
    <w:rsid w:val="00245E01"/>
    <w:rsid w:val="002469AC"/>
    <w:rsid w:val="002473AB"/>
    <w:rsid w:val="002508CA"/>
    <w:rsid w:val="002509CE"/>
    <w:rsid w:val="00251BD4"/>
    <w:rsid w:val="0025206E"/>
    <w:rsid w:val="00252729"/>
    <w:rsid w:val="002535FB"/>
    <w:rsid w:val="00254508"/>
    <w:rsid w:val="00254640"/>
    <w:rsid w:val="00254D8C"/>
    <w:rsid w:val="002557CE"/>
    <w:rsid w:val="00255A09"/>
    <w:rsid w:val="00257D04"/>
    <w:rsid w:val="0026016A"/>
    <w:rsid w:val="00260A10"/>
    <w:rsid w:val="002613C8"/>
    <w:rsid w:val="00261678"/>
    <w:rsid w:val="002616BF"/>
    <w:rsid w:val="00261AD4"/>
    <w:rsid w:val="00261C24"/>
    <w:rsid w:val="00261E75"/>
    <w:rsid w:val="002634A8"/>
    <w:rsid w:val="00263583"/>
    <w:rsid w:val="00263A9C"/>
    <w:rsid w:val="00263AD8"/>
    <w:rsid w:val="00263BF3"/>
    <w:rsid w:val="002643B8"/>
    <w:rsid w:val="0026444F"/>
    <w:rsid w:val="0026468E"/>
    <w:rsid w:val="002651E1"/>
    <w:rsid w:val="002654F8"/>
    <w:rsid w:val="00265B58"/>
    <w:rsid w:val="002666A4"/>
    <w:rsid w:val="002669F3"/>
    <w:rsid w:val="00266ABA"/>
    <w:rsid w:val="0026737C"/>
    <w:rsid w:val="002707B1"/>
    <w:rsid w:val="002710C8"/>
    <w:rsid w:val="0027148C"/>
    <w:rsid w:val="0027152B"/>
    <w:rsid w:val="0027172F"/>
    <w:rsid w:val="002717FF"/>
    <w:rsid w:val="00271B2B"/>
    <w:rsid w:val="00271E1F"/>
    <w:rsid w:val="00272263"/>
    <w:rsid w:val="00272A78"/>
    <w:rsid w:val="00272D85"/>
    <w:rsid w:val="0027322B"/>
    <w:rsid w:val="002736A7"/>
    <w:rsid w:val="00274177"/>
    <w:rsid w:val="00275A71"/>
    <w:rsid w:val="00275CA8"/>
    <w:rsid w:val="00276241"/>
    <w:rsid w:val="002770F7"/>
    <w:rsid w:val="0027749C"/>
    <w:rsid w:val="00280580"/>
    <w:rsid w:val="002807E2"/>
    <w:rsid w:val="00280A18"/>
    <w:rsid w:val="00281237"/>
    <w:rsid w:val="002826C2"/>
    <w:rsid w:val="00282A1E"/>
    <w:rsid w:val="0028345E"/>
    <w:rsid w:val="00284D3D"/>
    <w:rsid w:val="002866A2"/>
    <w:rsid w:val="002868AC"/>
    <w:rsid w:val="00286B61"/>
    <w:rsid w:val="00287B1B"/>
    <w:rsid w:val="00287C8B"/>
    <w:rsid w:val="0029087C"/>
    <w:rsid w:val="00290C4D"/>
    <w:rsid w:val="00290E67"/>
    <w:rsid w:val="002914ED"/>
    <w:rsid w:val="00291892"/>
    <w:rsid w:val="0029258D"/>
    <w:rsid w:val="002933A1"/>
    <w:rsid w:val="00294574"/>
    <w:rsid w:val="00294B2F"/>
    <w:rsid w:val="00296636"/>
    <w:rsid w:val="002975C7"/>
    <w:rsid w:val="002A07C7"/>
    <w:rsid w:val="002A17CD"/>
    <w:rsid w:val="002A1F07"/>
    <w:rsid w:val="002A1F99"/>
    <w:rsid w:val="002A434D"/>
    <w:rsid w:val="002A4629"/>
    <w:rsid w:val="002A4D0C"/>
    <w:rsid w:val="002A57D6"/>
    <w:rsid w:val="002A5C8B"/>
    <w:rsid w:val="002A643B"/>
    <w:rsid w:val="002A6D6C"/>
    <w:rsid w:val="002A72E8"/>
    <w:rsid w:val="002A75E7"/>
    <w:rsid w:val="002A7C92"/>
    <w:rsid w:val="002A7C9C"/>
    <w:rsid w:val="002B1D46"/>
    <w:rsid w:val="002B2502"/>
    <w:rsid w:val="002B2B4C"/>
    <w:rsid w:val="002B2E3F"/>
    <w:rsid w:val="002B3581"/>
    <w:rsid w:val="002B4E85"/>
    <w:rsid w:val="002B5279"/>
    <w:rsid w:val="002B7542"/>
    <w:rsid w:val="002B7B08"/>
    <w:rsid w:val="002B7E98"/>
    <w:rsid w:val="002C2C10"/>
    <w:rsid w:val="002C2E75"/>
    <w:rsid w:val="002C3695"/>
    <w:rsid w:val="002C411C"/>
    <w:rsid w:val="002C4D3D"/>
    <w:rsid w:val="002C5E25"/>
    <w:rsid w:val="002C5FAA"/>
    <w:rsid w:val="002C6489"/>
    <w:rsid w:val="002C66BA"/>
    <w:rsid w:val="002C6A9F"/>
    <w:rsid w:val="002C6B66"/>
    <w:rsid w:val="002C6FB1"/>
    <w:rsid w:val="002C70B1"/>
    <w:rsid w:val="002C7846"/>
    <w:rsid w:val="002C7C2D"/>
    <w:rsid w:val="002D035B"/>
    <w:rsid w:val="002D1D42"/>
    <w:rsid w:val="002D25A5"/>
    <w:rsid w:val="002D25BB"/>
    <w:rsid w:val="002D29F0"/>
    <w:rsid w:val="002D2F09"/>
    <w:rsid w:val="002D45D8"/>
    <w:rsid w:val="002D5926"/>
    <w:rsid w:val="002D5ADF"/>
    <w:rsid w:val="002D5D01"/>
    <w:rsid w:val="002D60AB"/>
    <w:rsid w:val="002D6430"/>
    <w:rsid w:val="002D64AA"/>
    <w:rsid w:val="002D67B0"/>
    <w:rsid w:val="002D68B6"/>
    <w:rsid w:val="002D78AF"/>
    <w:rsid w:val="002D7C30"/>
    <w:rsid w:val="002E0421"/>
    <w:rsid w:val="002E0447"/>
    <w:rsid w:val="002E1D31"/>
    <w:rsid w:val="002E1E70"/>
    <w:rsid w:val="002E1E98"/>
    <w:rsid w:val="002E1F98"/>
    <w:rsid w:val="002E2486"/>
    <w:rsid w:val="002E2668"/>
    <w:rsid w:val="002E3C3C"/>
    <w:rsid w:val="002E5642"/>
    <w:rsid w:val="002E56E5"/>
    <w:rsid w:val="002E59D4"/>
    <w:rsid w:val="002E6723"/>
    <w:rsid w:val="002E6FB9"/>
    <w:rsid w:val="002E72CA"/>
    <w:rsid w:val="002F04DA"/>
    <w:rsid w:val="002F0601"/>
    <w:rsid w:val="002F1344"/>
    <w:rsid w:val="002F1C01"/>
    <w:rsid w:val="002F2893"/>
    <w:rsid w:val="002F3047"/>
    <w:rsid w:val="002F3CDA"/>
    <w:rsid w:val="002F6284"/>
    <w:rsid w:val="002F65E4"/>
    <w:rsid w:val="002F69DC"/>
    <w:rsid w:val="002F6E0C"/>
    <w:rsid w:val="00300213"/>
    <w:rsid w:val="00300639"/>
    <w:rsid w:val="003013CA"/>
    <w:rsid w:val="00301452"/>
    <w:rsid w:val="00301D39"/>
    <w:rsid w:val="00301F4A"/>
    <w:rsid w:val="003031ED"/>
    <w:rsid w:val="003037C8"/>
    <w:rsid w:val="00304EAF"/>
    <w:rsid w:val="00305798"/>
    <w:rsid w:val="003064C4"/>
    <w:rsid w:val="00310111"/>
    <w:rsid w:val="00310210"/>
    <w:rsid w:val="0031033E"/>
    <w:rsid w:val="003115BB"/>
    <w:rsid w:val="003120FF"/>
    <w:rsid w:val="0031271E"/>
    <w:rsid w:val="00312E88"/>
    <w:rsid w:val="00312EA6"/>
    <w:rsid w:val="003144E7"/>
    <w:rsid w:val="00314658"/>
    <w:rsid w:val="00314B93"/>
    <w:rsid w:val="00314D5C"/>
    <w:rsid w:val="0031584C"/>
    <w:rsid w:val="00315F88"/>
    <w:rsid w:val="00316387"/>
    <w:rsid w:val="003171EA"/>
    <w:rsid w:val="00317280"/>
    <w:rsid w:val="00317551"/>
    <w:rsid w:val="003207DD"/>
    <w:rsid w:val="00320939"/>
    <w:rsid w:val="00322E49"/>
    <w:rsid w:val="003240DD"/>
    <w:rsid w:val="00325C10"/>
    <w:rsid w:val="0032661F"/>
    <w:rsid w:val="0032683E"/>
    <w:rsid w:val="00327999"/>
    <w:rsid w:val="00327B03"/>
    <w:rsid w:val="00327EF0"/>
    <w:rsid w:val="003301F9"/>
    <w:rsid w:val="00330D24"/>
    <w:rsid w:val="00331294"/>
    <w:rsid w:val="00331B8E"/>
    <w:rsid w:val="00331D24"/>
    <w:rsid w:val="00332309"/>
    <w:rsid w:val="003324DB"/>
    <w:rsid w:val="0033265B"/>
    <w:rsid w:val="00332D89"/>
    <w:rsid w:val="00333D0B"/>
    <w:rsid w:val="00333F43"/>
    <w:rsid w:val="0033403B"/>
    <w:rsid w:val="003342C7"/>
    <w:rsid w:val="003347CA"/>
    <w:rsid w:val="003348DF"/>
    <w:rsid w:val="00337D8E"/>
    <w:rsid w:val="00337E2B"/>
    <w:rsid w:val="00337E5A"/>
    <w:rsid w:val="0034032D"/>
    <w:rsid w:val="003408E1"/>
    <w:rsid w:val="003413BB"/>
    <w:rsid w:val="0034153A"/>
    <w:rsid w:val="0034163D"/>
    <w:rsid w:val="00341813"/>
    <w:rsid w:val="00342748"/>
    <w:rsid w:val="00343102"/>
    <w:rsid w:val="0034386C"/>
    <w:rsid w:val="003438A8"/>
    <w:rsid w:val="003441DF"/>
    <w:rsid w:val="00344CE6"/>
    <w:rsid w:val="00344DB2"/>
    <w:rsid w:val="00345DBC"/>
    <w:rsid w:val="0034600F"/>
    <w:rsid w:val="00346578"/>
    <w:rsid w:val="00347938"/>
    <w:rsid w:val="003515C5"/>
    <w:rsid w:val="00351BD5"/>
    <w:rsid w:val="003526A5"/>
    <w:rsid w:val="00352DD2"/>
    <w:rsid w:val="00353523"/>
    <w:rsid w:val="003543B0"/>
    <w:rsid w:val="00354866"/>
    <w:rsid w:val="00355799"/>
    <w:rsid w:val="00355DC3"/>
    <w:rsid w:val="00356A08"/>
    <w:rsid w:val="00356FB3"/>
    <w:rsid w:val="00356FED"/>
    <w:rsid w:val="0035760A"/>
    <w:rsid w:val="00360933"/>
    <w:rsid w:val="00360D11"/>
    <w:rsid w:val="0036212D"/>
    <w:rsid w:val="00362636"/>
    <w:rsid w:val="00363197"/>
    <w:rsid w:val="003631B7"/>
    <w:rsid w:val="003634CD"/>
    <w:rsid w:val="00363DAE"/>
    <w:rsid w:val="00364034"/>
    <w:rsid w:val="00364069"/>
    <w:rsid w:val="00364A1A"/>
    <w:rsid w:val="00365063"/>
    <w:rsid w:val="0036513A"/>
    <w:rsid w:val="00365793"/>
    <w:rsid w:val="00365D7A"/>
    <w:rsid w:val="003662D8"/>
    <w:rsid w:val="00367B98"/>
    <w:rsid w:val="00370443"/>
    <w:rsid w:val="00371598"/>
    <w:rsid w:val="003715B7"/>
    <w:rsid w:val="0037161B"/>
    <w:rsid w:val="00371CCD"/>
    <w:rsid w:val="00371D10"/>
    <w:rsid w:val="003741B3"/>
    <w:rsid w:val="003751A5"/>
    <w:rsid w:val="0037706F"/>
    <w:rsid w:val="00380844"/>
    <w:rsid w:val="00380A39"/>
    <w:rsid w:val="00381539"/>
    <w:rsid w:val="0038208B"/>
    <w:rsid w:val="00382834"/>
    <w:rsid w:val="00382A99"/>
    <w:rsid w:val="003832B6"/>
    <w:rsid w:val="003835DE"/>
    <w:rsid w:val="0038407A"/>
    <w:rsid w:val="00384FB6"/>
    <w:rsid w:val="00384FD9"/>
    <w:rsid w:val="00385AA2"/>
    <w:rsid w:val="0038637A"/>
    <w:rsid w:val="00386FE6"/>
    <w:rsid w:val="00387190"/>
    <w:rsid w:val="003876CE"/>
    <w:rsid w:val="00387EE9"/>
    <w:rsid w:val="0039057D"/>
    <w:rsid w:val="003915E3"/>
    <w:rsid w:val="0039167C"/>
    <w:rsid w:val="00392D01"/>
    <w:rsid w:val="00392F1C"/>
    <w:rsid w:val="00393FAC"/>
    <w:rsid w:val="00394859"/>
    <w:rsid w:val="003959ED"/>
    <w:rsid w:val="003963D8"/>
    <w:rsid w:val="00396AF1"/>
    <w:rsid w:val="003975D8"/>
    <w:rsid w:val="003A0032"/>
    <w:rsid w:val="003A0200"/>
    <w:rsid w:val="003A0354"/>
    <w:rsid w:val="003A05B5"/>
    <w:rsid w:val="003A0F42"/>
    <w:rsid w:val="003A1338"/>
    <w:rsid w:val="003A1E2E"/>
    <w:rsid w:val="003A23E0"/>
    <w:rsid w:val="003A31F6"/>
    <w:rsid w:val="003A3947"/>
    <w:rsid w:val="003A4458"/>
    <w:rsid w:val="003A4E4D"/>
    <w:rsid w:val="003A52C6"/>
    <w:rsid w:val="003A5BAC"/>
    <w:rsid w:val="003A62C9"/>
    <w:rsid w:val="003A673D"/>
    <w:rsid w:val="003A7491"/>
    <w:rsid w:val="003B0E8A"/>
    <w:rsid w:val="003B147E"/>
    <w:rsid w:val="003B36DF"/>
    <w:rsid w:val="003B552D"/>
    <w:rsid w:val="003B55D8"/>
    <w:rsid w:val="003B5872"/>
    <w:rsid w:val="003B6574"/>
    <w:rsid w:val="003C013C"/>
    <w:rsid w:val="003C183D"/>
    <w:rsid w:val="003C1A49"/>
    <w:rsid w:val="003C1D3E"/>
    <w:rsid w:val="003C265D"/>
    <w:rsid w:val="003C2971"/>
    <w:rsid w:val="003C2DCB"/>
    <w:rsid w:val="003C348B"/>
    <w:rsid w:val="003C3BF7"/>
    <w:rsid w:val="003C3FB0"/>
    <w:rsid w:val="003C4A1B"/>
    <w:rsid w:val="003C4D58"/>
    <w:rsid w:val="003C5201"/>
    <w:rsid w:val="003C5B30"/>
    <w:rsid w:val="003C6389"/>
    <w:rsid w:val="003C6D51"/>
    <w:rsid w:val="003C71B8"/>
    <w:rsid w:val="003C760D"/>
    <w:rsid w:val="003C782E"/>
    <w:rsid w:val="003C7892"/>
    <w:rsid w:val="003D083B"/>
    <w:rsid w:val="003D2D5B"/>
    <w:rsid w:val="003D327C"/>
    <w:rsid w:val="003D3C69"/>
    <w:rsid w:val="003D4E0E"/>
    <w:rsid w:val="003D53A7"/>
    <w:rsid w:val="003D58AC"/>
    <w:rsid w:val="003D5E55"/>
    <w:rsid w:val="003D6CBA"/>
    <w:rsid w:val="003E011F"/>
    <w:rsid w:val="003E01A2"/>
    <w:rsid w:val="003E1857"/>
    <w:rsid w:val="003E1909"/>
    <w:rsid w:val="003E1F59"/>
    <w:rsid w:val="003E2BA9"/>
    <w:rsid w:val="003E4496"/>
    <w:rsid w:val="003E4C37"/>
    <w:rsid w:val="003E4EB0"/>
    <w:rsid w:val="003E56BE"/>
    <w:rsid w:val="003E5783"/>
    <w:rsid w:val="003E732A"/>
    <w:rsid w:val="003F05E3"/>
    <w:rsid w:val="003F180D"/>
    <w:rsid w:val="003F1EF9"/>
    <w:rsid w:val="003F1FA5"/>
    <w:rsid w:val="003F3686"/>
    <w:rsid w:val="003F3D52"/>
    <w:rsid w:val="003F435D"/>
    <w:rsid w:val="003F4C47"/>
    <w:rsid w:val="003F4C6F"/>
    <w:rsid w:val="003F4CD0"/>
    <w:rsid w:val="003F56E0"/>
    <w:rsid w:val="003F59DB"/>
    <w:rsid w:val="003F5AE5"/>
    <w:rsid w:val="003F613B"/>
    <w:rsid w:val="003F674E"/>
    <w:rsid w:val="003F694C"/>
    <w:rsid w:val="003F7B3F"/>
    <w:rsid w:val="004003D2"/>
    <w:rsid w:val="004017B7"/>
    <w:rsid w:val="00402015"/>
    <w:rsid w:val="00402074"/>
    <w:rsid w:val="004028B7"/>
    <w:rsid w:val="00403179"/>
    <w:rsid w:val="0040363C"/>
    <w:rsid w:val="00403B61"/>
    <w:rsid w:val="00403C07"/>
    <w:rsid w:val="00403E36"/>
    <w:rsid w:val="00404515"/>
    <w:rsid w:val="00404A05"/>
    <w:rsid w:val="00404BFE"/>
    <w:rsid w:val="004058EE"/>
    <w:rsid w:val="00405A81"/>
    <w:rsid w:val="00405A8F"/>
    <w:rsid w:val="00406DE7"/>
    <w:rsid w:val="0040791B"/>
    <w:rsid w:val="00410943"/>
    <w:rsid w:val="00410FB9"/>
    <w:rsid w:val="0041247F"/>
    <w:rsid w:val="00412D0F"/>
    <w:rsid w:val="00412FFB"/>
    <w:rsid w:val="00413272"/>
    <w:rsid w:val="00413884"/>
    <w:rsid w:val="004138DE"/>
    <w:rsid w:val="00413EB6"/>
    <w:rsid w:val="00415389"/>
    <w:rsid w:val="00415CE1"/>
    <w:rsid w:val="0041619C"/>
    <w:rsid w:val="0041624A"/>
    <w:rsid w:val="00416473"/>
    <w:rsid w:val="00416841"/>
    <w:rsid w:val="00416FFE"/>
    <w:rsid w:val="00417161"/>
    <w:rsid w:val="00417441"/>
    <w:rsid w:val="00417EFF"/>
    <w:rsid w:val="00422CB3"/>
    <w:rsid w:val="00422EF1"/>
    <w:rsid w:val="00423466"/>
    <w:rsid w:val="00423BAB"/>
    <w:rsid w:val="0042500E"/>
    <w:rsid w:val="00425015"/>
    <w:rsid w:val="0042508F"/>
    <w:rsid w:val="00425DFE"/>
    <w:rsid w:val="004260B9"/>
    <w:rsid w:val="00426DA5"/>
    <w:rsid w:val="004300E3"/>
    <w:rsid w:val="00430535"/>
    <w:rsid w:val="00430C70"/>
    <w:rsid w:val="004315CB"/>
    <w:rsid w:val="00431F96"/>
    <w:rsid w:val="00432494"/>
    <w:rsid w:val="00432997"/>
    <w:rsid w:val="00432AEA"/>
    <w:rsid w:val="00433217"/>
    <w:rsid w:val="00433245"/>
    <w:rsid w:val="00433C29"/>
    <w:rsid w:val="00434044"/>
    <w:rsid w:val="004347EA"/>
    <w:rsid w:val="00434EBD"/>
    <w:rsid w:val="00434F3E"/>
    <w:rsid w:val="0043504C"/>
    <w:rsid w:val="00435FBE"/>
    <w:rsid w:val="00436B1E"/>
    <w:rsid w:val="0043711E"/>
    <w:rsid w:val="004371F8"/>
    <w:rsid w:val="0043762E"/>
    <w:rsid w:val="004377CB"/>
    <w:rsid w:val="00437FDE"/>
    <w:rsid w:val="004406F7"/>
    <w:rsid w:val="00440999"/>
    <w:rsid w:val="0044216D"/>
    <w:rsid w:val="00442C48"/>
    <w:rsid w:val="00443733"/>
    <w:rsid w:val="0044386B"/>
    <w:rsid w:val="00443CEB"/>
    <w:rsid w:val="004445B0"/>
    <w:rsid w:val="004463A2"/>
    <w:rsid w:val="00447BE8"/>
    <w:rsid w:val="004504FB"/>
    <w:rsid w:val="0045077D"/>
    <w:rsid w:val="00452300"/>
    <w:rsid w:val="004525AB"/>
    <w:rsid w:val="00452EFC"/>
    <w:rsid w:val="00453D07"/>
    <w:rsid w:val="00453FFE"/>
    <w:rsid w:val="0045460D"/>
    <w:rsid w:val="00455A0B"/>
    <w:rsid w:val="00455F31"/>
    <w:rsid w:val="00456050"/>
    <w:rsid w:val="0045681E"/>
    <w:rsid w:val="00456F3B"/>
    <w:rsid w:val="004571D2"/>
    <w:rsid w:val="00457F51"/>
    <w:rsid w:val="004609E9"/>
    <w:rsid w:val="00460B16"/>
    <w:rsid w:val="004613E7"/>
    <w:rsid w:val="0046144A"/>
    <w:rsid w:val="0046193F"/>
    <w:rsid w:val="00461D6D"/>
    <w:rsid w:val="00463355"/>
    <w:rsid w:val="004633AD"/>
    <w:rsid w:val="004639E1"/>
    <w:rsid w:val="0046432A"/>
    <w:rsid w:val="00465525"/>
    <w:rsid w:val="004661F4"/>
    <w:rsid w:val="004662BA"/>
    <w:rsid w:val="004676F1"/>
    <w:rsid w:val="00470245"/>
    <w:rsid w:val="00470678"/>
    <w:rsid w:val="00470D20"/>
    <w:rsid w:val="004712CD"/>
    <w:rsid w:val="0047331D"/>
    <w:rsid w:val="0047390B"/>
    <w:rsid w:val="00474332"/>
    <w:rsid w:val="0047491B"/>
    <w:rsid w:val="004749BC"/>
    <w:rsid w:val="00474C7F"/>
    <w:rsid w:val="00475E72"/>
    <w:rsid w:val="00475F0A"/>
    <w:rsid w:val="00476302"/>
    <w:rsid w:val="0047667E"/>
    <w:rsid w:val="00476A65"/>
    <w:rsid w:val="004770AC"/>
    <w:rsid w:val="004770BD"/>
    <w:rsid w:val="004772EC"/>
    <w:rsid w:val="004778B2"/>
    <w:rsid w:val="00477A07"/>
    <w:rsid w:val="00480916"/>
    <w:rsid w:val="004811F0"/>
    <w:rsid w:val="004819FD"/>
    <w:rsid w:val="00481C6C"/>
    <w:rsid w:val="0048212B"/>
    <w:rsid w:val="00482CB2"/>
    <w:rsid w:val="004830F3"/>
    <w:rsid w:val="00483C33"/>
    <w:rsid w:val="0048572E"/>
    <w:rsid w:val="004857DE"/>
    <w:rsid w:val="00485817"/>
    <w:rsid w:val="004859FA"/>
    <w:rsid w:val="00485B1E"/>
    <w:rsid w:val="00486728"/>
    <w:rsid w:val="00486E81"/>
    <w:rsid w:val="00487593"/>
    <w:rsid w:val="00487FB5"/>
    <w:rsid w:val="0049008D"/>
    <w:rsid w:val="0049042E"/>
    <w:rsid w:val="004910E4"/>
    <w:rsid w:val="00492E11"/>
    <w:rsid w:val="0049313B"/>
    <w:rsid w:val="00493698"/>
    <w:rsid w:val="004939F8"/>
    <w:rsid w:val="004946B8"/>
    <w:rsid w:val="004973F6"/>
    <w:rsid w:val="004A00E5"/>
    <w:rsid w:val="004A0E0C"/>
    <w:rsid w:val="004A1855"/>
    <w:rsid w:val="004A1C8F"/>
    <w:rsid w:val="004A2724"/>
    <w:rsid w:val="004A2F39"/>
    <w:rsid w:val="004A2FAA"/>
    <w:rsid w:val="004A38DF"/>
    <w:rsid w:val="004A3A17"/>
    <w:rsid w:val="004A3E52"/>
    <w:rsid w:val="004A5AE0"/>
    <w:rsid w:val="004A6414"/>
    <w:rsid w:val="004A7C10"/>
    <w:rsid w:val="004A7F30"/>
    <w:rsid w:val="004B03E8"/>
    <w:rsid w:val="004B179B"/>
    <w:rsid w:val="004B1E53"/>
    <w:rsid w:val="004B1ED6"/>
    <w:rsid w:val="004B2A32"/>
    <w:rsid w:val="004B2F9C"/>
    <w:rsid w:val="004B3575"/>
    <w:rsid w:val="004B37BB"/>
    <w:rsid w:val="004B3B88"/>
    <w:rsid w:val="004B41B8"/>
    <w:rsid w:val="004B4714"/>
    <w:rsid w:val="004B5043"/>
    <w:rsid w:val="004B5401"/>
    <w:rsid w:val="004B6FA2"/>
    <w:rsid w:val="004B7058"/>
    <w:rsid w:val="004B7BA6"/>
    <w:rsid w:val="004C01F3"/>
    <w:rsid w:val="004C025D"/>
    <w:rsid w:val="004C0393"/>
    <w:rsid w:val="004C24C5"/>
    <w:rsid w:val="004C2F31"/>
    <w:rsid w:val="004C3002"/>
    <w:rsid w:val="004C41C0"/>
    <w:rsid w:val="004C5625"/>
    <w:rsid w:val="004C5A50"/>
    <w:rsid w:val="004C5ADF"/>
    <w:rsid w:val="004C5F00"/>
    <w:rsid w:val="004C6346"/>
    <w:rsid w:val="004C67C3"/>
    <w:rsid w:val="004C67DE"/>
    <w:rsid w:val="004C694A"/>
    <w:rsid w:val="004C736B"/>
    <w:rsid w:val="004C7A05"/>
    <w:rsid w:val="004C7B1C"/>
    <w:rsid w:val="004D06D3"/>
    <w:rsid w:val="004D0987"/>
    <w:rsid w:val="004D1862"/>
    <w:rsid w:val="004D21BC"/>
    <w:rsid w:val="004D2641"/>
    <w:rsid w:val="004D2BC1"/>
    <w:rsid w:val="004D36EC"/>
    <w:rsid w:val="004D3896"/>
    <w:rsid w:val="004D38F3"/>
    <w:rsid w:val="004D3D7F"/>
    <w:rsid w:val="004D3D91"/>
    <w:rsid w:val="004D3E43"/>
    <w:rsid w:val="004D432B"/>
    <w:rsid w:val="004D5E0E"/>
    <w:rsid w:val="004D5E40"/>
    <w:rsid w:val="004D7D23"/>
    <w:rsid w:val="004E0612"/>
    <w:rsid w:val="004E0826"/>
    <w:rsid w:val="004E0A16"/>
    <w:rsid w:val="004E0D53"/>
    <w:rsid w:val="004E0E3B"/>
    <w:rsid w:val="004E1149"/>
    <w:rsid w:val="004E3E76"/>
    <w:rsid w:val="004E42BA"/>
    <w:rsid w:val="004E567C"/>
    <w:rsid w:val="004E7A4F"/>
    <w:rsid w:val="004E7B51"/>
    <w:rsid w:val="004F0C35"/>
    <w:rsid w:val="004F0D00"/>
    <w:rsid w:val="004F24E0"/>
    <w:rsid w:val="004F2850"/>
    <w:rsid w:val="004F29E5"/>
    <w:rsid w:val="004F34F3"/>
    <w:rsid w:val="004F41FC"/>
    <w:rsid w:val="004F4328"/>
    <w:rsid w:val="004F4A2F"/>
    <w:rsid w:val="004F4C9B"/>
    <w:rsid w:val="004F542E"/>
    <w:rsid w:val="004F573A"/>
    <w:rsid w:val="004F592F"/>
    <w:rsid w:val="004F596F"/>
    <w:rsid w:val="004F664C"/>
    <w:rsid w:val="004F69D2"/>
    <w:rsid w:val="004F7860"/>
    <w:rsid w:val="00501F2D"/>
    <w:rsid w:val="00503A46"/>
    <w:rsid w:val="00503A47"/>
    <w:rsid w:val="0050482D"/>
    <w:rsid w:val="00507B6D"/>
    <w:rsid w:val="00510119"/>
    <w:rsid w:val="00512FBE"/>
    <w:rsid w:val="00514FEE"/>
    <w:rsid w:val="00515846"/>
    <w:rsid w:val="005159F4"/>
    <w:rsid w:val="00515D32"/>
    <w:rsid w:val="00517448"/>
    <w:rsid w:val="00517793"/>
    <w:rsid w:val="00520610"/>
    <w:rsid w:val="00520B98"/>
    <w:rsid w:val="00520E76"/>
    <w:rsid w:val="0052296D"/>
    <w:rsid w:val="005229C3"/>
    <w:rsid w:val="00522BF6"/>
    <w:rsid w:val="00522E8B"/>
    <w:rsid w:val="00522FD1"/>
    <w:rsid w:val="0052364A"/>
    <w:rsid w:val="00523F41"/>
    <w:rsid w:val="0052476C"/>
    <w:rsid w:val="00524BE5"/>
    <w:rsid w:val="00524C5B"/>
    <w:rsid w:val="00526AAB"/>
    <w:rsid w:val="00526B3E"/>
    <w:rsid w:val="00526F64"/>
    <w:rsid w:val="005273BB"/>
    <w:rsid w:val="00527517"/>
    <w:rsid w:val="00527900"/>
    <w:rsid w:val="00527E56"/>
    <w:rsid w:val="005304C6"/>
    <w:rsid w:val="00530997"/>
    <w:rsid w:val="00530A28"/>
    <w:rsid w:val="00530E83"/>
    <w:rsid w:val="0053230C"/>
    <w:rsid w:val="005332F9"/>
    <w:rsid w:val="005334A6"/>
    <w:rsid w:val="00533538"/>
    <w:rsid w:val="005335F7"/>
    <w:rsid w:val="00533C5F"/>
    <w:rsid w:val="00533FDA"/>
    <w:rsid w:val="0053457A"/>
    <w:rsid w:val="005345C1"/>
    <w:rsid w:val="00534758"/>
    <w:rsid w:val="00535B5A"/>
    <w:rsid w:val="0053715F"/>
    <w:rsid w:val="00537D7B"/>
    <w:rsid w:val="0054080A"/>
    <w:rsid w:val="00541150"/>
    <w:rsid w:val="0054275D"/>
    <w:rsid w:val="00542886"/>
    <w:rsid w:val="00544880"/>
    <w:rsid w:val="005451E2"/>
    <w:rsid w:val="00545F50"/>
    <w:rsid w:val="0054685E"/>
    <w:rsid w:val="005471EB"/>
    <w:rsid w:val="00547707"/>
    <w:rsid w:val="005479A7"/>
    <w:rsid w:val="00547EA8"/>
    <w:rsid w:val="00547FA6"/>
    <w:rsid w:val="00550980"/>
    <w:rsid w:val="00551B7E"/>
    <w:rsid w:val="005520BC"/>
    <w:rsid w:val="005522CC"/>
    <w:rsid w:val="005529C9"/>
    <w:rsid w:val="00552F48"/>
    <w:rsid w:val="00553BD0"/>
    <w:rsid w:val="00553E83"/>
    <w:rsid w:val="0055483B"/>
    <w:rsid w:val="00554BFB"/>
    <w:rsid w:val="005550D2"/>
    <w:rsid w:val="0055559D"/>
    <w:rsid w:val="0055566F"/>
    <w:rsid w:val="005565BC"/>
    <w:rsid w:val="00556E5D"/>
    <w:rsid w:val="005571DA"/>
    <w:rsid w:val="00557F9C"/>
    <w:rsid w:val="00560929"/>
    <w:rsid w:val="00561AD2"/>
    <w:rsid w:val="005621E0"/>
    <w:rsid w:val="00562753"/>
    <w:rsid w:val="00562CA5"/>
    <w:rsid w:val="005633B6"/>
    <w:rsid w:val="00563AC7"/>
    <w:rsid w:val="00564312"/>
    <w:rsid w:val="00564473"/>
    <w:rsid w:val="00564EFD"/>
    <w:rsid w:val="00565945"/>
    <w:rsid w:val="00565C5B"/>
    <w:rsid w:val="005661C0"/>
    <w:rsid w:val="005663D5"/>
    <w:rsid w:val="00567894"/>
    <w:rsid w:val="005707CF"/>
    <w:rsid w:val="0057089D"/>
    <w:rsid w:val="00571D56"/>
    <w:rsid w:val="005725FD"/>
    <w:rsid w:val="00573526"/>
    <w:rsid w:val="00573574"/>
    <w:rsid w:val="00574299"/>
    <w:rsid w:val="00574782"/>
    <w:rsid w:val="00574945"/>
    <w:rsid w:val="005757AD"/>
    <w:rsid w:val="00576109"/>
    <w:rsid w:val="00576A64"/>
    <w:rsid w:val="00576B36"/>
    <w:rsid w:val="005777F0"/>
    <w:rsid w:val="00577E59"/>
    <w:rsid w:val="0058170B"/>
    <w:rsid w:val="00581D4C"/>
    <w:rsid w:val="005829B8"/>
    <w:rsid w:val="00583529"/>
    <w:rsid w:val="00583752"/>
    <w:rsid w:val="00583E96"/>
    <w:rsid w:val="00583F59"/>
    <w:rsid w:val="00584FA1"/>
    <w:rsid w:val="0058612B"/>
    <w:rsid w:val="0058616B"/>
    <w:rsid w:val="00586910"/>
    <w:rsid w:val="00586E44"/>
    <w:rsid w:val="00587858"/>
    <w:rsid w:val="00587C67"/>
    <w:rsid w:val="00587D76"/>
    <w:rsid w:val="00587E29"/>
    <w:rsid w:val="00591459"/>
    <w:rsid w:val="00591977"/>
    <w:rsid w:val="00591C57"/>
    <w:rsid w:val="0059274D"/>
    <w:rsid w:val="00592DEB"/>
    <w:rsid w:val="005940B6"/>
    <w:rsid w:val="00594713"/>
    <w:rsid w:val="0059472F"/>
    <w:rsid w:val="00595439"/>
    <w:rsid w:val="00595527"/>
    <w:rsid w:val="00596730"/>
    <w:rsid w:val="00597659"/>
    <w:rsid w:val="00597F2F"/>
    <w:rsid w:val="005A0C30"/>
    <w:rsid w:val="005A13D0"/>
    <w:rsid w:val="005A1402"/>
    <w:rsid w:val="005A19D9"/>
    <w:rsid w:val="005A22CC"/>
    <w:rsid w:val="005A2479"/>
    <w:rsid w:val="005A35EC"/>
    <w:rsid w:val="005A374D"/>
    <w:rsid w:val="005A37D6"/>
    <w:rsid w:val="005A4639"/>
    <w:rsid w:val="005A4EE7"/>
    <w:rsid w:val="005A560F"/>
    <w:rsid w:val="005A5CB0"/>
    <w:rsid w:val="005A6CB8"/>
    <w:rsid w:val="005A77F7"/>
    <w:rsid w:val="005B0A69"/>
    <w:rsid w:val="005B1400"/>
    <w:rsid w:val="005B324E"/>
    <w:rsid w:val="005B3492"/>
    <w:rsid w:val="005B3A02"/>
    <w:rsid w:val="005B40BB"/>
    <w:rsid w:val="005B54D2"/>
    <w:rsid w:val="005B5832"/>
    <w:rsid w:val="005B686B"/>
    <w:rsid w:val="005B75CF"/>
    <w:rsid w:val="005B7BDD"/>
    <w:rsid w:val="005C011D"/>
    <w:rsid w:val="005C04DF"/>
    <w:rsid w:val="005C0CE2"/>
    <w:rsid w:val="005C1203"/>
    <w:rsid w:val="005C1221"/>
    <w:rsid w:val="005C382C"/>
    <w:rsid w:val="005C3CAD"/>
    <w:rsid w:val="005C3FE0"/>
    <w:rsid w:val="005C5708"/>
    <w:rsid w:val="005C58B5"/>
    <w:rsid w:val="005C5DF1"/>
    <w:rsid w:val="005C65A5"/>
    <w:rsid w:val="005C66B8"/>
    <w:rsid w:val="005C6B30"/>
    <w:rsid w:val="005C7005"/>
    <w:rsid w:val="005C787C"/>
    <w:rsid w:val="005C7E4F"/>
    <w:rsid w:val="005C7F5B"/>
    <w:rsid w:val="005D03C6"/>
    <w:rsid w:val="005D1F29"/>
    <w:rsid w:val="005D23AD"/>
    <w:rsid w:val="005D33A2"/>
    <w:rsid w:val="005D4313"/>
    <w:rsid w:val="005D479B"/>
    <w:rsid w:val="005D54BF"/>
    <w:rsid w:val="005D5529"/>
    <w:rsid w:val="005D55DE"/>
    <w:rsid w:val="005D6690"/>
    <w:rsid w:val="005D6939"/>
    <w:rsid w:val="005D6B59"/>
    <w:rsid w:val="005D7072"/>
    <w:rsid w:val="005D7A36"/>
    <w:rsid w:val="005E0A33"/>
    <w:rsid w:val="005E0E07"/>
    <w:rsid w:val="005E0E86"/>
    <w:rsid w:val="005E0F0F"/>
    <w:rsid w:val="005E1745"/>
    <w:rsid w:val="005E257A"/>
    <w:rsid w:val="005E2909"/>
    <w:rsid w:val="005E31F7"/>
    <w:rsid w:val="005E4619"/>
    <w:rsid w:val="005E4698"/>
    <w:rsid w:val="005E4B7F"/>
    <w:rsid w:val="005E635E"/>
    <w:rsid w:val="005E6D26"/>
    <w:rsid w:val="005E7574"/>
    <w:rsid w:val="005E7D69"/>
    <w:rsid w:val="005E7F7E"/>
    <w:rsid w:val="005F04BB"/>
    <w:rsid w:val="005F06B0"/>
    <w:rsid w:val="005F28CA"/>
    <w:rsid w:val="005F4CB4"/>
    <w:rsid w:val="005F4E94"/>
    <w:rsid w:val="005F54B6"/>
    <w:rsid w:val="005F5AFC"/>
    <w:rsid w:val="005F600D"/>
    <w:rsid w:val="005F6B89"/>
    <w:rsid w:val="005F7715"/>
    <w:rsid w:val="006010E7"/>
    <w:rsid w:val="0060121B"/>
    <w:rsid w:val="006017D7"/>
    <w:rsid w:val="006024D2"/>
    <w:rsid w:val="00602DAA"/>
    <w:rsid w:val="00603C90"/>
    <w:rsid w:val="0060410A"/>
    <w:rsid w:val="00604687"/>
    <w:rsid w:val="00604705"/>
    <w:rsid w:val="00604DB6"/>
    <w:rsid w:val="00604E43"/>
    <w:rsid w:val="00604ED1"/>
    <w:rsid w:val="00605715"/>
    <w:rsid w:val="00606B82"/>
    <w:rsid w:val="0061022A"/>
    <w:rsid w:val="006105A0"/>
    <w:rsid w:val="0061138C"/>
    <w:rsid w:val="006116FC"/>
    <w:rsid w:val="00612B4E"/>
    <w:rsid w:val="0061317E"/>
    <w:rsid w:val="00613E40"/>
    <w:rsid w:val="006142D8"/>
    <w:rsid w:val="00616743"/>
    <w:rsid w:val="00617854"/>
    <w:rsid w:val="00617A77"/>
    <w:rsid w:val="00617DD3"/>
    <w:rsid w:val="00620493"/>
    <w:rsid w:val="00620D15"/>
    <w:rsid w:val="006216BB"/>
    <w:rsid w:val="00622F92"/>
    <w:rsid w:val="00623464"/>
    <w:rsid w:val="00624794"/>
    <w:rsid w:val="0062621C"/>
    <w:rsid w:val="0062672A"/>
    <w:rsid w:val="00626782"/>
    <w:rsid w:val="00627729"/>
    <w:rsid w:val="00627F42"/>
    <w:rsid w:val="006301F8"/>
    <w:rsid w:val="0063073B"/>
    <w:rsid w:val="006318A8"/>
    <w:rsid w:val="006321C8"/>
    <w:rsid w:val="00633429"/>
    <w:rsid w:val="00633919"/>
    <w:rsid w:val="00634036"/>
    <w:rsid w:val="006351BB"/>
    <w:rsid w:val="006352B9"/>
    <w:rsid w:val="006362D3"/>
    <w:rsid w:val="00636EF5"/>
    <w:rsid w:val="006373E4"/>
    <w:rsid w:val="00637B69"/>
    <w:rsid w:val="006402CC"/>
    <w:rsid w:val="006411D5"/>
    <w:rsid w:val="00641223"/>
    <w:rsid w:val="00642039"/>
    <w:rsid w:val="00642BB7"/>
    <w:rsid w:val="00644C0C"/>
    <w:rsid w:val="0064517A"/>
    <w:rsid w:val="006453A1"/>
    <w:rsid w:val="0064570D"/>
    <w:rsid w:val="00646059"/>
    <w:rsid w:val="0064660C"/>
    <w:rsid w:val="006466C8"/>
    <w:rsid w:val="00647082"/>
    <w:rsid w:val="006471C9"/>
    <w:rsid w:val="0065007F"/>
    <w:rsid w:val="0065089D"/>
    <w:rsid w:val="00650BD5"/>
    <w:rsid w:val="006520E5"/>
    <w:rsid w:val="006522A8"/>
    <w:rsid w:val="006529F9"/>
    <w:rsid w:val="00654046"/>
    <w:rsid w:val="006540CB"/>
    <w:rsid w:val="00654799"/>
    <w:rsid w:val="006557D3"/>
    <w:rsid w:val="00655F2F"/>
    <w:rsid w:val="00655FB3"/>
    <w:rsid w:val="006561EF"/>
    <w:rsid w:val="0065708A"/>
    <w:rsid w:val="00657147"/>
    <w:rsid w:val="00661175"/>
    <w:rsid w:val="00661362"/>
    <w:rsid w:val="0066181E"/>
    <w:rsid w:val="0066308B"/>
    <w:rsid w:val="0066337A"/>
    <w:rsid w:val="00663787"/>
    <w:rsid w:val="00663C6F"/>
    <w:rsid w:val="0066463E"/>
    <w:rsid w:val="006655B6"/>
    <w:rsid w:val="00666BA2"/>
    <w:rsid w:val="00666C2B"/>
    <w:rsid w:val="0066781B"/>
    <w:rsid w:val="00667849"/>
    <w:rsid w:val="006705EE"/>
    <w:rsid w:val="00670DA6"/>
    <w:rsid w:val="00671837"/>
    <w:rsid w:val="00671DDD"/>
    <w:rsid w:val="006722B6"/>
    <w:rsid w:val="006724E2"/>
    <w:rsid w:val="00673197"/>
    <w:rsid w:val="0067355D"/>
    <w:rsid w:val="006735CC"/>
    <w:rsid w:val="00673B3E"/>
    <w:rsid w:val="00673CE8"/>
    <w:rsid w:val="006744FC"/>
    <w:rsid w:val="00674D8C"/>
    <w:rsid w:val="00675155"/>
    <w:rsid w:val="00675790"/>
    <w:rsid w:val="00675D66"/>
    <w:rsid w:val="006761D2"/>
    <w:rsid w:val="00676F9A"/>
    <w:rsid w:val="00677127"/>
    <w:rsid w:val="006771E5"/>
    <w:rsid w:val="00677575"/>
    <w:rsid w:val="00677590"/>
    <w:rsid w:val="00677692"/>
    <w:rsid w:val="00677E6C"/>
    <w:rsid w:val="0068102F"/>
    <w:rsid w:val="006812D3"/>
    <w:rsid w:val="00681DF2"/>
    <w:rsid w:val="00681F3C"/>
    <w:rsid w:val="00682A1F"/>
    <w:rsid w:val="006831CF"/>
    <w:rsid w:val="00684652"/>
    <w:rsid w:val="00685441"/>
    <w:rsid w:val="00685551"/>
    <w:rsid w:val="00685663"/>
    <w:rsid w:val="006868F0"/>
    <w:rsid w:val="00686E32"/>
    <w:rsid w:val="0068703B"/>
    <w:rsid w:val="00687357"/>
    <w:rsid w:val="006873C6"/>
    <w:rsid w:val="0069098F"/>
    <w:rsid w:val="00691AF0"/>
    <w:rsid w:val="00691CBB"/>
    <w:rsid w:val="00692656"/>
    <w:rsid w:val="006929AD"/>
    <w:rsid w:val="00692BE2"/>
    <w:rsid w:val="00692F85"/>
    <w:rsid w:val="00693210"/>
    <w:rsid w:val="00693B86"/>
    <w:rsid w:val="006940B1"/>
    <w:rsid w:val="0069431C"/>
    <w:rsid w:val="0069446D"/>
    <w:rsid w:val="00694556"/>
    <w:rsid w:val="00694D16"/>
    <w:rsid w:val="00695657"/>
    <w:rsid w:val="006957E3"/>
    <w:rsid w:val="00695D77"/>
    <w:rsid w:val="00695D9F"/>
    <w:rsid w:val="006974F2"/>
    <w:rsid w:val="006976D5"/>
    <w:rsid w:val="006A07B9"/>
    <w:rsid w:val="006A2C72"/>
    <w:rsid w:val="006A347E"/>
    <w:rsid w:val="006A5814"/>
    <w:rsid w:val="006A6136"/>
    <w:rsid w:val="006A6532"/>
    <w:rsid w:val="006A6A3E"/>
    <w:rsid w:val="006A74DB"/>
    <w:rsid w:val="006B068D"/>
    <w:rsid w:val="006B0706"/>
    <w:rsid w:val="006B0B1E"/>
    <w:rsid w:val="006B1314"/>
    <w:rsid w:val="006B17E1"/>
    <w:rsid w:val="006B1AE6"/>
    <w:rsid w:val="006B2A92"/>
    <w:rsid w:val="006B2AB4"/>
    <w:rsid w:val="006B4B9C"/>
    <w:rsid w:val="006B5014"/>
    <w:rsid w:val="006B716C"/>
    <w:rsid w:val="006B726A"/>
    <w:rsid w:val="006B727F"/>
    <w:rsid w:val="006B73C5"/>
    <w:rsid w:val="006C088E"/>
    <w:rsid w:val="006C123D"/>
    <w:rsid w:val="006C14C8"/>
    <w:rsid w:val="006C1EA4"/>
    <w:rsid w:val="006C3493"/>
    <w:rsid w:val="006C495A"/>
    <w:rsid w:val="006C7912"/>
    <w:rsid w:val="006D04CF"/>
    <w:rsid w:val="006D0610"/>
    <w:rsid w:val="006D10FE"/>
    <w:rsid w:val="006D1254"/>
    <w:rsid w:val="006D171B"/>
    <w:rsid w:val="006D240A"/>
    <w:rsid w:val="006D2C8E"/>
    <w:rsid w:val="006D2E16"/>
    <w:rsid w:val="006D2F8A"/>
    <w:rsid w:val="006D36DA"/>
    <w:rsid w:val="006D5FBC"/>
    <w:rsid w:val="006D6189"/>
    <w:rsid w:val="006D63CC"/>
    <w:rsid w:val="006D6727"/>
    <w:rsid w:val="006D7C45"/>
    <w:rsid w:val="006E0DEE"/>
    <w:rsid w:val="006E1401"/>
    <w:rsid w:val="006E185D"/>
    <w:rsid w:val="006E1C05"/>
    <w:rsid w:val="006E1D6A"/>
    <w:rsid w:val="006E205B"/>
    <w:rsid w:val="006E2A08"/>
    <w:rsid w:val="006E2AF7"/>
    <w:rsid w:val="006E2C46"/>
    <w:rsid w:val="006E2F13"/>
    <w:rsid w:val="006E4073"/>
    <w:rsid w:val="006E40F9"/>
    <w:rsid w:val="006E44DA"/>
    <w:rsid w:val="006E5384"/>
    <w:rsid w:val="006E5766"/>
    <w:rsid w:val="006E6B53"/>
    <w:rsid w:val="006E73A3"/>
    <w:rsid w:val="006E7826"/>
    <w:rsid w:val="006E7B5E"/>
    <w:rsid w:val="006F02D8"/>
    <w:rsid w:val="006F0372"/>
    <w:rsid w:val="006F166A"/>
    <w:rsid w:val="006F264D"/>
    <w:rsid w:val="006F309D"/>
    <w:rsid w:val="006F314F"/>
    <w:rsid w:val="006F3312"/>
    <w:rsid w:val="006F4027"/>
    <w:rsid w:val="006F52E6"/>
    <w:rsid w:val="006F5447"/>
    <w:rsid w:val="006F55E1"/>
    <w:rsid w:val="006F5C21"/>
    <w:rsid w:val="006F73CC"/>
    <w:rsid w:val="006F7CCC"/>
    <w:rsid w:val="00702E53"/>
    <w:rsid w:val="00703279"/>
    <w:rsid w:val="007038DB"/>
    <w:rsid w:val="00703DED"/>
    <w:rsid w:val="00703FD4"/>
    <w:rsid w:val="00704560"/>
    <w:rsid w:val="007046F0"/>
    <w:rsid w:val="00704866"/>
    <w:rsid w:val="0070656E"/>
    <w:rsid w:val="00706636"/>
    <w:rsid w:val="00706DA0"/>
    <w:rsid w:val="00710EB8"/>
    <w:rsid w:val="00711C4B"/>
    <w:rsid w:val="007125B1"/>
    <w:rsid w:val="00712D87"/>
    <w:rsid w:val="00713EDB"/>
    <w:rsid w:val="007140D5"/>
    <w:rsid w:val="007160C5"/>
    <w:rsid w:val="00716768"/>
    <w:rsid w:val="00717779"/>
    <w:rsid w:val="0071785E"/>
    <w:rsid w:val="00717A8E"/>
    <w:rsid w:val="0072073D"/>
    <w:rsid w:val="00720755"/>
    <w:rsid w:val="00721DFD"/>
    <w:rsid w:val="007226E8"/>
    <w:rsid w:val="0072304E"/>
    <w:rsid w:val="007243C7"/>
    <w:rsid w:val="007249FB"/>
    <w:rsid w:val="00724A07"/>
    <w:rsid w:val="00726549"/>
    <w:rsid w:val="00726E3D"/>
    <w:rsid w:val="0072746F"/>
    <w:rsid w:val="00727659"/>
    <w:rsid w:val="00727FE4"/>
    <w:rsid w:val="0073028A"/>
    <w:rsid w:val="0073067D"/>
    <w:rsid w:val="00730B4B"/>
    <w:rsid w:val="0073116F"/>
    <w:rsid w:val="00731A72"/>
    <w:rsid w:val="00731DA3"/>
    <w:rsid w:val="00732957"/>
    <w:rsid w:val="00732AD5"/>
    <w:rsid w:val="007343A9"/>
    <w:rsid w:val="00734607"/>
    <w:rsid w:val="007346CD"/>
    <w:rsid w:val="00734B72"/>
    <w:rsid w:val="00734DBD"/>
    <w:rsid w:val="0073579F"/>
    <w:rsid w:val="00736231"/>
    <w:rsid w:val="00736441"/>
    <w:rsid w:val="00736600"/>
    <w:rsid w:val="00736781"/>
    <w:rsid w:val="00736967"/>
    <w:rsid w:val="00736F60"/>
    <w:rsid w:val="00737750"/>
    <w:rsid w:val="00737B8E"/>
    <w:rsid w:val="00740046"/>
    <w:rsid w:val="00740693"/>
    <w:rsid w:val="00740FCC"/>
    <w:rsid w:val="007415F2"/>
    <w:rsid w:val="00741F08"/>
    <w:rsid w:val="007437F7"/>
    <w:rsid w:val="00743E2C"/>
    <w:rsid w:val="00744E24"/>
    <w:rsid w:val="007450EC"/>
    <w:rsid w:val="007451A8"/>
    <w:rsid w:val="00745A42"/>
    <w:rsid w:val="00745BA9"/>
    <w:rsid w:val="00745FCD"/>
    <w:rsid w:val="00746248"/>
    <w:rsid w:val="007463A8"/>
    <w:rsid w:val="00746644"/>
    <w:rsid w:val="0074673A"/>
    <w:rsid w:val="00747931"/>
    <w:rsid w:val="00747B55"/>
    <w:rsid w:val="0075069A"/>
    <w:rsid w:val="007509BA"/>
    <w:rsid w:val="00750BDF"/>
    <w:rsid w:val="00751113"/>
    <w:rsid w:val="00751138"/>
    <w:rsid w:val="007516DA"/>
    <w:rsid w:val="00751A85"/>
    <w:rsid w:val="0075253E"/>
    <w:rsid w:val="0075282C"/>
    <w:rsid w:val="00752834"/>
    <w:rsid w:val="00752BC0"/>
    <w:rsid w:val="00754386"/>
    <w:rsid w:val="007549BF"/>
    <w:rsid w:val="00755425"/>
    <w:rsid w:val="007555AC"/>
    <w:rsid w:val="00755C4B"/>
    <w:rsid w:val="00755D71"/>
    <w:rsid w:val="0075629F"/>
    <w:rsid w:val="007564A7"/>
    <w:rsid w:val="00756520"/>
    <w:rsid w:val="007566EC"/>
    <w:rsid w:val="0075701F"/>
    <w:rsid w:val="00757314"/>
    <w:rsid w:val="00757F8F"/>
    <w:rsid w:val="00760519"/>
    <w:rsid w:val="00761137"/>
    <w:rsid w:val="007616CA"/>
    <w:rsid w:val="007617BA"/>
    <w:rsid w:val="00762141"/>
    <w:rsid w:val="0076293D"/>
    <w:rsid w:val="007629D3"/>
    <w:rsid w:val="00762BFA"/>
    <w:rsid w:val="00763581"/>
    <w:rsid w:val="007638F4"/>
    <w:rsid w:val="007643DA"/>
    <w:rsid w:val="00764BCC"/>
    <w:rsid w:val="007650EB"/>
    <w:rsid w:val="007651FD"/>
    <w:rsid w:val="00765519"/>
    <w:rsid w:val="007662CD"/>
    <w:rsid w:val="007666B3"/>
    <w:rsid w:val="00766C44"/>
    <w:rsid w:val="00766CB4"/>
    <w:rsid w:val="007679D4"/>
    <w:rsid w:val="00767F1C"/>
    <w:rsid w:val="0077019A"/>
    <w:rsid w:val="00771D8A"/>
    <w:rsid w:val="007723CC"/>
    <w:rsid w:val="0077243E"/>
    <w:rsid w:val="007734BE"/>
    <w:rsid w:val="0077382B"/>
    <w:rsid w:val="00773A4A"/>
    <w:rsid w:val="007756CB"/>
    <w:rsid w:val="007756FA"/>
    <w:rsid w:val="007764B4"/>
    <w:rsid w:val="007767F7"/>
    <w:rsid w:val="00776BBB"/>
    <w:rsid w:val="00776EF3"/>
    <w:rsid w:val="00780956"/>
    <w:rsid w:val="0078120E"/>
    <w:rsid w:val="007834F4"/>
    <w:rsid w:val="00784096"/>
    <w:rsid w:val="007840CC"/>
    <w:rsid w:val="00784BB8"/>
    <w:rsid w:val="00785507"/>
    <w:rsid w:val="00785B95"/>
    <w:rsid w:val="00785E86"/>
    <w:rsid w:val="00786069"/>
    <w:rsid w:val="0078675A"/>
    <w:rsid w:val="00786884"/>
    <w:rsid w:val="007869BA"/>
    <w:rsid w:val="00787440"/>
    <w:rsid w:val="0078757C"/>
    <w:rsid w:val="00787802"/>
    <w:rsid w:val="00787873"/>
    <w:rsid w:val="00787A0F"/>
    <w:rsid w:val="007900B4"/>
    <w:rsid w:val="0079152F"/>
    <w:rsid w:val="00791E99"/>
    <w:rsid w:val="00791F74"/>
    <w:rsid w:val="007925A5"/>
    <w:rsid w:val="00792848"/>
    <w:rsid w:val="00793287"/>
    <w:rsid w:val="00793DBB"/>
    <w:rsid w:val="0079411A"/>
    <w:rsid w:val="00795B1B"/>
    <w:rsid w:val="00796FEF"/>
    <w:rsid w:val="0079761A"/>
    <w:rsid w:val="007976EA"/>
    <w:rsid w:val="0079792F"/>
    <w:rsid w:val="007A0E4C"/>
    <w:rsid w:val="007A13E8"/>
    <w:rsid w:val="007A1404"/>
    <w:rsid w:val="007A1ACB"/>
    <w:rsid w:val="007A1E2C"/>
    <w:rsid w:val="007A28DD"/>
    <w:rsid w:val="007A3362"/>
    <w:rsid w:val="007A36EE"/>
    <w:rsid w:val="007A3B36"/>
    <w:rsid w:val="007A3BBD"/>
    <w:rsid w:val="007A4086"/>
    <w:rsid w:val="007A4304"/>
    <w:rsid w:val="007A4F44"/>
    <w:rsid w:val="007A56D0"/>
    <w:rsid w:val="007A5F64"/>
    <w:rsid w:val="007A62D8"/>
    <w:rsid w:val="007A6574"/>
    <w:rsid w:val="007A791F"/>
    <w:rsid w:val="007A7965"/>
    <w:rsid w:val="007A79FF"/>
    <w:rsid w:val="007A7F37"/>
    <w:rsid w:val="007B0840"/>
    <w:rsid w:val="007B092F"/>
    <w:rsid w:val="007B19A9"/>
    <w:rsid w:val="007B1A04"/>
    <w:rsid w:val="007B2F5A"/>
    <w:rsid w:val="007B3015"/>
    <w:rsid w:val="007B4150"/>
    <w:rsid w:val="007B481A"/>
    <w:rsid w:val="007B55E8"/>
    <w:rsid w:val="007B5B8A"/>
    <w:rsid w:val="007B6051"/>
    <w:rsid w:val="007B6555"/>
    <w:rsid w:val="007B7AC0"/>
    <w:rsid w:val="007B7E47"/>
    <w:rsid w:val="007C0A00"/>
    <w:rsid w:val="007C0C35"/>
    <w:rsid w:val="007C2A38"/>
    <w:rsid w:val="007C345E"/>
    <w:rsid w:val="007C3464"/>
    <w:rsid w:val="007C34FE"/>
    <w:rsid w:val="007C3535"/>
    <w:rsid w:val="007C5049"/>
    <w:rsid w:val="007C5315"/>
    <w:rsid w:val="007C56A1"/>
    <w:rsid w:val="007C5CF4"/>
    <w:rsid w:val="007C6793"/>
    <w:rsid w:val="007C6798"/>
    <w:rsid w:val="007C6B94"/>
    <w:rsid w:val="007C74A0"/>
    <w:rsid w:val="007C7AFB"/>
    <w:rsid w:val="007C7B11"/>
    <w:rsid w:val="007D1566"/>
    <w:rsid w:val="007D2851"/>
    <w:rsid w:val="007D2A22"/>
    <w:rsid w:val="007D2A69"/>
    <w:rsid w:val="007D3209"/>
    <w:rsid w:val="007D3887"/>
    <w:rsid w:val="007D40C7"/>
    <w:rsid w:val="007D4163"/>
    <w:rsid w:val="007D4372"/>
    <w:rsid w:val="007D460B"/>
    <w:rsid w:val="007D484D"/>
    <w:rsid w:val="007D4F1F"/>
    <w:rsid w:val="007D58FE"/>
    <w:rsid w:val="007D5F1C"/>
    <w:rsid w:val="007D617B"/>
    <w:rsid w:val="007D6A45"/>
    <w:rsid w:val="007D6B6C"/>
    <w:rsid w:val="007D786E"/>
    <w:rsid w:val="007D7A19"/>
    <w:rsid w:val="007D7D22"/>
    <w:rsid w:val="007E087D"/>
    <w:rsid w:val="007E1475"/>
    <w:rsid w:val="007E20A2"/>
    <w:rsid w:val="007E2414"/>
    <w:rsid w:val="007E241C"/>
    <w:rsid w:val="007E2C1D"/>
    <w:rsid w:val="007E3704"/>
    <w:rsid w:val="007E3DAD"/>
    <w:rsid w:val="007E4B19"/>
    <w:rsid w:val="007E4E41"/>
    <w:rsid w:val="007E52F8"/>
    <w:rsid w:val="007E5C56"/>
    <w:rsid w:val="007E6987"/>
    <w:rsid w:val="007E71D2"/>
    <w:rsid w:val="007E77FD"/>
    <w:rsid w:val="007E79B3"/>
    <w:rsid w:val="007E7C14"/>
    <w:rsid w:val="007E7D5B"/>
    <w:rsid w:val="007E7DA7"/>
    <w:rsid w:val="007F1744"/>
    <w:rsid w:val="007F1E89"/>
    <w:rsid w:val="007F31D9"/>
    <w:rsid w:val="007F5A4A"/>
    <w:rsid w:val="007F5D81"/>
    <w:rsid w:val="007F6196"/>
    <w:rsid w:val="007F7EDE"/>
    <w:rsid w:val="0080043E"/>
    <w:rsid w:val="0080131C"/>
    <w:rsid w:val="008014B4"/>
    <w:rsid w:val="00801946"/>
    <w:rsid w:val="00801F47"/>
    <w:rsid w:val="00802753"/>
    <w:rsid w:val="00802790"/>
    <w:rsid w:val="00802819"/>
    <w:rsid w:val="0080282B"/>
    <w:rsid w:val="00802D77"/>
    <w:rsid w:val="0080543A"/>
    <w:rsid w:val="008057BC"/>
    <w:rsid w:val="00805865"/>
    <w:rsid w:val="0080590D"/>
    <w:rsid w:val="00805B01"/>
    <w:rsid w:val="00805C29"/>
    <w:rsid w:val="008068F8"/>
    <w:rsid w:val="008101A2"/>
    <w:rsid w:val="00810230"/>
    <w:rsid w:val="00810FA4"/>
    <w:rsid w:val="0081190A"/>
    <w:rsid w:val="0081191E"/>
    <w:rsid w:val="0081257F"/>
    <w:rsid w:val="008129E2"/>
    <w:rsid w:val="00812FAF"/>
    <w:rsid w:val="00813589"/>
    <w:rsid w:val="00814522"/>
    <w:rsid w:val="00815FD3"/>
    <w:rsid w:val="008169A5"/>
    <w:rsid w:val="008169CA"/>
    <w:rsid w:val="0081762D"/>
    <w:rsid w:val="0082011E"/>
    <w:rsid w:val="008202B5"/>
    <w:rsid w:val="00820387"/>
    <w:rsid w:val="00820D84"/>
    <w:rsid w:val="00821658"/>
    <w:rsid w:val="0082274D"/>
    <w:rsid w:val="00823599"/>
    <w:rsid w:val="00824228"/>
    <w:rsid w:val="00824261"/>
    <w:rsid w:val="00824560"/>
    <w:rsid w:val="00824796"/>
    <w:rsid w:val="00824E67"/>
    <w:rsid w:val="0082536E"/>
    <w:rsid w:val="008269AC"/>
    <w:rsid w:val="00826C8D"/>
    <w:rsid w:val="0083015B"/>
    <w:rsid w:val="00830384"/>
    <w:rsid w:val="00830401"/>
    <w:rsid w:val="008308B2"/>
    <w:rsid w:val="00830C77"/>
    <w:rsid w:val="00831A72"/>
    <w:rsid w:val="00833E66"/>
    <w:rsid w:val="00834A56"/>
    <w:rsid w:val="00834D54"/>
    <w:rsid w:val="008354BF"/>
    <w:rsid w:val="00835CF6"/>
    <w:rsid w:val="00835D90"/>
    <w:rsid w:val="0083640D"/>
    <w:rsid w:val="008367F4"/>
    <w:rsid w:val="00836F7F"/>
    <w:rsid w:val="00836FC4"/>
    <w:rsid w:val="008372FF"/>
    <w:rsid w:val="008373D2"/>
    <w:rsid w:val="008406CE"/>
    <w:rsid w:val="00841000"/>
    <w:rsid w:val="00841275"/>
    <w:rsid w:val="0084163C"/>
    <w:rsid w:val="00841C2E"/>
    <w:rsid w:val="0084270A"/>
    <w:rsid w:val="00843C0E"/>
    <w:rsid w:val="008441E2"/>
    <w:rsid w:val="008443A1"/>
    <w:rsid w:val="00844A3A"/>
    <w:rsid w:val="0084536E"/>
    <w:rsid w:val="00845588"/>
    <w:rsid w:val="008466C6"/>
    <w:rsid w:val="00846BCF"/>
    <w:rsid w:val="0084713F"/>
    <w:rsid w:val="008473BF"/>
    <w:rsid w:val="00847CAE"/>
    <w:rsid w:val="00850692"/>
    <w:rsid w:val="00850B2A"/>
    <w:rsid w:val="00850EDF"/>
    <w:rsid w:val="008510BC"/>
    <w:rsid w:val="00852197"/>
    <w:rsid w:val="00852A18"/>
    <w:rsid w:val="00852CEE"/>
    <w:rsid w:val="00852D87"/>
    <w:rsid w:val="00852E35"/>
    <w:rsid w:val="0085341D"/>
    <w:rsid w:val="00853CB9"/>
    <w:rsid w:val="0085475F"/>
    <w:rsid w:val="0085553F"/>
    <w:rsid w:val="008558FE"/>
    <w:rsid w:val="00856143"/>
    <w:rsid w:val="00856748"/>
    <w:rsid w:val="008567D6"/>
    <w:rsid w:val="00857283"/>
    <w:rsid w:val="00857C5A"/>
    <w:rsid w:val="008610C1"/>
    <w:rsid w:val="008611F7"/>
    <w:rsid w:val="008615DA"/>
    <w:rsid w:val="00861733"/>
    <w:rsid w:val="008618F3"/>
    <w:rsid w:val="008620FD"/>
    <w:rsid w:val="00862398"/>
    <w:rsid w:val="008624BD"/>
    <w:rsid w:val="008636D9"/>
    <w:rsid w:val="00863FF7"/>
    <w:rsid w:val="0086413D"/>
    <w:rsid w:val="00864586"/>
    <w:rsid w:val="008645E0"/>
    <w:rsid w:val="00865A3D"/>
    <w:rsid w:val="00865ACE"/>
    <w:rsid w:val="00865D02"/>
    <w:rsid w:val="00865DAC"/>
    <w:rsid w:val="00870129"/>
    <w:rsid w:val="00870C2B"/>
    <w:rsid w:val="00871228"/>
    <w:rsid w:val="008713AA"/>
    <w:rsid w:val="008723F8"/>
    <w:rsid w:val="00873615"/>
    <w:rsid w:val="00873AAD"/>
    <w:rsid w:val="00873B04"/>
    <w:rsid w:val="00873C87"/>
    <w:rsid w:val="008744FE"/>
    <w:rsid w:val="008747B9"/>
    <w:rsid w:val="00875238"/>
    <w:rsid w:val="00875BB9"/>
    <w:rsid w:val="00881350"/>
    <w:rsid w:val="00881AC8"/>
    <w:rsid w:val="00881C51"/>
    <w:rsid w:val="008820D6"/>
    <w:rsid w:val="008832C2"/>
    <w:rsid w:val="008837FB"/>
    <w:rsid w:val="00884776"/>
    <w:rsid w:val="00884A3E"/>
    <w:rsid w:val="00884BD3"/>
    <w:rsid w:val="00884F8B"/>
    <w:rsid w:val="00885428"/>
    <w:rsid w:val="00885C7A"/>
    <w:rsid w:val="0088624E"/>
    <w:rsid w:val="00886641"/>
    <w:rsid w:val="008872EF"/>
    <w:rsid w:val="00887B76"/>
    <w:rsid w:val="008904D2"/>
    <w:rsid w:val="008904F9"/>
    <w:rsid w:val="00890692"/>
    <w:rsid w:val="00891167"/>
    <w:rsid w:val="0089126A"/>
    <w:rsid w:val="008914B2"/>
    <w:rsid w:val="00891922"/>
    <w:rsid w:val="00891EA5"/>
    <w:rsid w:val="00892850"/>
    <w:rsid w:val="00892B57"/>
    <w:rsid w:val="00893DB3"/>
    <w:rsid w:val="008942AF"/>
    <w:rsid w:val="0089464A"/>
    <w:rsid w:val="00896223"/>
    <w:rsid w:val="00896AAB"/>
    <w:rsid w:val="008974C9"/>
    <w:rsid w:val="008A007B"/>
    <w:rsid w:val="008A01CB"/>
    <w:rsid w:val="008A0236"/>
    <w:rsid w:val="008A03D4"/>
    <w:rsid w:val="008A0F9C"/>
    <w:rsid w:val="008A12E4"/>
    <w:rsid w:val="008A1AD6"/>
    <w:rsid w:val="008A1B2D"/>
    <w:rsid w:val="008A1B34"/>
    <w:rsid w:val="008A1FDF"/>
    <w:rsid w:val="008A26A4"/>
    <w:rsid w:val="008A3F57"/>
    <w:rsid w:val="008A4438"/>
    <w:rsid w:val="008A4CAF"/>
    <w:rsid w:val="008A611B"/>
    <w:rsid w:val="008A6D1B"/>
    <w:rsid w:val="008A6F53"/>
    <w:rsid w:val="008B090D"/>
    <w:rsid w:val="008B0BB3"/>
    <w:rsid w:val="008B3129"/>
    <w:rsid w:val="008B3604"/>
    <w:rsid w:val="008B4BC6"/>
    <w:rsid w:val="008B5384"/>
    <w:rsid w:val="008B6E79"/>
    <w:rsid w:val="008B756E"/>
    <w:rsid w:val="008B75E6"/>
    <w:rsid w:val="008B7D98"/>
    <w:rsid w:val="008C14DE"/>
    <w:rsid w:val="008C3C5C"/>
    <w:rsid w:val="008C40CF"/>
    <w:rsid w:val="008C4986"/>
    <w:rsid w:val="008C52E1"/>
    <w:rsid w:val="008C64CB"/>
    <w:rsid w:val="008C66DF"/>
    <w:rsid w:val="008C6B0C"/>
    <w:rsid w:val="008C6DC8"/>
    <w:rsid w:val="008C77F5"/>
    <w:rsid w:val="008D01BF"/>
    <w:rsid w:val="008D0843"/>
    <w:rsid w:val="008D091D"/>
    <w:rsid w:val="008D095D"/>
    <w:rsid w:val="008D22C8"/>
    <w:rsid w:val="008D2790"/>
    <w:rsid w:val="008D2904"/>
    <w:rsid w:val="008D3118"/>
    <w:rsid w:val="008D3154"/>
    <w:rsid w:val="008D34C9"/>
    <w:rsid w:val="008D4BE1"/>
    <w:rsid w:val="008D4D5D"/>
    <w:rsid w:val="008D5086"/>
    <w:rsid w:val="008D540B"/>
    <w:rsid w:val="008D57BF"/>
    <w:rsid w:val="008D587E"/>
    <w:rsid w:val="008D6C7F"/>
    <w:rsid w:val="008E1105"/>
    <w:rsid w:val="008E11EC"/>
    <w:rsid w:val="008E1834"/>
    <w:rsid w:val="008E3375"/>
    <w:rsid w:val="008E42F9"/>
    <w:rsid w:val="008E445F"/>
    <w:rsid w:val="008E462A"/>
    <w:rsid w:val="008E490C"/>
    <w:rsid w:val="008E6224"/>
    <w:rsid w:val="008E6578"/>
    <w:rsid w:val="008E6A21"/>
    <w:rsid w:val="008E6B5E"/>
    <w:rsid w:val="008E6BE1"/>
    <w:rsid w:val="008E6D8D"/>
    <w:rsid w:val="008E6F27"/>
    <w:rsid w:val="008E700C"/>
    <w:rsid w:val="008E7331"/>
    <w:rsid w:val="008E7934"/>
    <w:rsid w:val="008F0630"/>
    <w:rsid w:val="008F0EEB"/>
    <w:rsid w:val="008F147C"/>
    <w:rsid w:val="008F321F"/>
    <w:rsid w:val="008F3C5F"/>
    <w:rsid w:val="008F3D42"/>
    <w:rsid w:val="008F4342"/>
    <w:rsid w:val="008F48FE"/>
    <w:rsid w:val="008F4ADD"/>
    <w:rsid w:val="008F4BF3"/>
    <w:rsid w:val="008F4C33"/>
    <w:rsid w:val="008F4FC0"/>
    <w:rsid w:val="008F517B"/>
    <w:rsid w:val="008F54AC"/>
    <w:rsid w:val="008F5C7C"/>
    <w:rsid w:val="008F615A"/>
    <w:rsid w:val="008F7D0F"/>
    <w:rsid w:val="00900231"/>
    <w:rsid w:val="0090095E"/>
    <w:rsid w:val="00901AD5"/>
    <w:rsid w:val="00902388"/>
    <w:rsid w:val="00902DD3"/>
    <w:rsid w:val="00903AE4"/>
    <w:rsid w:val="0090451D"/>
    <w:rsid w:val="009069A6"/>
    <w:rsid w:val="00906F35"/>
    <w:rsid w:val="00907478"/>
    <w:rsid w:val="00907602"/>
    <w:rsid w:val="00907D59"/>
    <w:rsid w:val="00910387"/>
    <w:rsid w:val="009104B6"/>
    <w:rsid w:val="0091058C"/>
    <w:rsid w:val="00910B50"/>
    <w:rsid w:val="0091215A"/>
    <w:rsid w:val="009122C6"/>
    <w:rsid w:val="0091280F"/>
    <w:rsid w:val="00912A96"/>
    <w:rsid w:val="00912AFE"/>
    <w:rsid w:val="00912DF2"/>
    <w:rsid w:val="00913A99"/>
    <w:rsid w:val="00914588"/>
    <w:rsid w:val="009149B7"/>
    <w:rsid w:val="009157E4"/>
    <w:rsid w:val="0091592E"/>
    <w:rsid w:val="00915A5D"/>
    <w:rsid w:val="00915AF1"/>
    <w:rsid w:val="00915B1C"/>
    <w:rsid w:val="009160B7"/>
    <w:rsid w:val="00917C95"/>
    <w:rsid w:val="00917F47"/>
    <w:rsid w:val="009203CB"/>
    <w:rsid w:val="00920467"/>
    <w:rsid w:val="00920AB5"/>
    <w:rsid w:val="00921E88"/>
    <w:rsid w:val="00921FC8"/>
    <w:rsid w:val="00921FC9"/>
    <w:rsid w:val="009220C9"/>
    <w:rsid w:val="00922C5B"/>
    <w:rsid w:val="00922E81"/>
    <w:rsid w:val="00923193"/>
    <w:rsid w:val="00923588"/>
    <w:rsid w:val="009236CE"/>
    <w:rsid w:val="00924642"/>
    <w:rsid w:val="00925423"/>
    <w:rsid w:val="009255C2"/>
    <w:rsid w:val="00927523"/>
    <w:rsid w:val="00927FD0"/>
    <w:rsid w:val="009306F8"/>
    <w:rsid w:val="00932618"/>
    <w:rsid w:val="00932894"/>
    <w:rsid w:val="009338BB"/>
    <w:rsid w:val="00934869"/>
    <w:rsid w:val="00934F2D"/>
    <w:rsid w:val="0093509B"/>
    <w:rsid w:val="0093525F"/>
    <w:rsid w:val="00935852"/>
    <w:rsid w:val="00936CAB"/>
    <w:rsid w:val="00936CE0"/>
    <w:rsid w:val="00937521"/>
    <w:rsid w:val="009375B2"/>
    <w:rsid w:val="00937AE8"/>
    <w:rsid w:val="00937C3D"/>
    <w:rsid w:val="00937CC9"/>
    <w:rsid w:val="00937EB5"/>
    <w:rsid w:val="0094004F"/>
    <w:rsid w:val="00940450"/>
    <w:rsid w:val="009407FC"/>
    <w:rsid w:val="00940BC7"/>
    <w:rsid w:val="0094167F"/>
    <w:rsid w:val="00941EF5"/>
    <w:rsid w:val="00942A33"/>
    <w:rsid w:val="00943ADD"/>
    <w:rsid w:val="00943B88"/>
    <w:rsid w:val="009450A6"/>
    <w:rsid w:val="00945A89"/>
    <w:rsid w:val="00946D1A"/>
    <w:rsid w:val="0094715A"/>
    <w:rsid w:val="009472A1"/>
    <w:rsid w:val="009477D0"/>
    <w:rsid w:val="00947E23"/>
    <w:rsid w:val="009502E1"/>
    <w:rsid w:val="00950555"/>
    <w:rsid w:val="00950D66"/>
    <w:rsid w:val="009519D5"/>
    <w:rsid w:val="00951AE1"/>
    <w:rsid w:val="00952172"/>
    <w:rsid w:val="00952696"/>
    <w:rsid w:val="00952DDF"/>
    <w:rsid w:val="00953CFE"/>
    <w:rsid w:val="00954D2A"/>
    <w:rsid w:val="00955049"/>
    <w:rsid w:val="0095587F"/>
    <w:rsid w:val="00955923"/>
    <w:rsid w:val="00956C28"/>
    <w:rsid w:val="00960AAC"/>
    <w:rsid w:val="0096126B"/>
    <w:rsid w:val="009613C1"/>
    <w:rsid w:val="00961DF2"/>
    <w:rsid w:val="00962B5B"/>
    <w:rsid w:val="00964037"/>
    <w:rsid w:val="0096478A"/>
    <w:rsid w:val="00964C95"/>
    <w:rsid w:val="00964E0B"/>
    <w:rsid w:val="00965ECF"/>
    <w:rsid w:val="009664BE"/>
    <w:rsid w:val="009677AB"/>
    <w:rsid w:val="00967ABE"/>
    <w:rsid w:val="00970712"/>
    <w:rsid w:val="00970F49"/>
    <w:rsid w:val="00971051"/>
    <w:rsid w:val="009714AE"/>
    <w:rsid w:val="00971ED9"/>
    <w:rsid w:val="00971FE2"/>
    <w:rsid w:val="00972188"/>
    <w:rsid w:val="00972257"/>
    <w:rsid w:val="009723C3"/>
    <w:rsid w:val="00972DBB"/>
    <w:rsid w:val="00973152"/>
    <w:rsid w:val="00973601"/>
    <w:rsid w:val="00973608"/>
    <w:rsid w:val="00973619"/>
    <w:rsid w:val="009737C1"/>
    <w:rsid w:val="00974810"/>
    <w:rsid w:val="00974DA5"/>
    <w:rsid w:val="009767FC"/>
    <w:rsid w:val="00976E99"/>
    <w:rsid w:val="0097783B"/>
    <w:rsid w:val="00977FBE"/>
    <w:rsid w:val="0098072A"/>
    <w:rsid w:val="00980788"/>
    <w:rsid w:val="00980E1D"/>
    <w:rsid w:val="00981BD1"/>
    <w:rsid w:val="00981BF2"/>
    <w:rsid w:val="00982A5B"/>
    <w:rsid w:val="00983162"/>
    <w:rsid w:val="00983669"/>
    <w:rsid w:val="00983714"/>
    <w:rsid w:val="00983E04"/>
    <w:rsid w:val="0098439D"/>
    <w:rsid w:val="00984E96"/>
    <w:rsid w:val="00985554"/>
    <w:rsid w:val="009860BC"/>
    <w:rsid w:val="00987A61"/>
    <w:rsid w:val="00987B96"/>
    <w:rsid w:val="00987E01"/>
    <w:rsid w:val="009903C0"/>
    <w:rsid w:val="009923A2"/>
    <w:rsid w:val="00992EEA"/>
    <w:rsid w:val="00993C09"/>
    <w:rsid w:val="009941AA"/>
    <w:rsid w:val="009942D5"/>
    <w:rsid w:val="0099484B"/>
    <w:rsid w:val="00995316"/>
    <w:rsid w:val="00996AD7"/>
    <w:rsid w:val="0099720A"/>
    <w:rsid w:val="00997D6D"/>
    <w:rsid w:val="009A0890"/>
    <w:rsid w:val="009A1084"/>
    <w:rsid w:val="009A1B6C"/>
    <w:rsid w:val="009A2184"/>
    <w:rsid w:val="009A34BB"/>
    <w:rsid w:val="009A411B"/>
    <w:rsid w:val="009A43A9"/>
    <w:rsid w:val="009A43AD"/>
    <w:rsid w:val="009A49C8"/>
    <w:rsid w:val="009A4CB1"/>
    <w:rsid w:val="009A568F"/>
    <w:rsid w:val="009A57C4"/>
    <w:rsid w:val="009A633D"/>
    <w:rsid w:val="009A768F"/>
    <w:rsid w:val="009A78B4"/>
    <w:rsid w:val="009B0619"/>
    <w:rsid w:val="009B0956"/>
    <w:rsid w:val="009B0F3A"/>
    <w:rsid w:val="009B1A10"/>
    <w:rsid w:val="009B1CCF"/>
    <w:rsid w:val="009B2020"/>
    <w:rsid w:val="009B2B35"/>
    <w:rsid w:val="009B3E48"/>
    <w:rsid w:val="009B4C0D"/>
    <w:rsid w:val="009B59BB"/>
    <w:rsid w:val="009B5A2C"/>
    <w:rsid w:val="009B5C13"/>
    <w:rsid w:val="009B72D8"/>
    <w:rsid w:val="009B7875"/>
    <w:rsid w:val="009B7B39"/>
    <w:rsid w:val="009C0749"/>
    <w:rsid w:val="009C115A"/>
    <w:rsid w:val="009C2BBC"/>
    <w:rsid w:val="009C2CF5"/>
    <w:rsid w:val="009C435D"/>
    <w:rsid w:val="009C5569"/>
    <w:rsid w:val="009C5A09"/>
    <w:rsid w:val="009C6E1B"/>
    <w:rsid w:val="009D0B6A"/>
    <w:rsid w:val="009D1CA7"/>
    <w:rsid w:val="009D1F18"/>
    <w:rsid w:val="009D2073"/>
    <w:rsid w:val="009D25FB"/>
    <w:rsid w:val="009D2A17"/>
    <w:rsid w:val="009D317F"/>
    <w:rsid w:val="009D4301"/>
    <w:rsid w:val="009D4502"/>
    <w:rsid w:val="009D4630"/>
    <w:rsid w:val="009D5244"/>
    <w:rsid w:val="009D5851"/>
    <w:rsid w:val="009D69A5"/>
    <w:rsid w:val="009D72F0"/>
    <w:rsid w:val="009E00DD"/>
    <w:rsid w:val="009E01EB"/>
    <w:rsid w:val="009E0256"/>
    <w:rsid w:val="009E1053"/>
    <w:rsid w:val="009E3616"/>
    <w:rsid w:val="009E3FD2"/>
    <w:rsid w:val="009E4CE3"/>
    <w:rsid w:val="009E4F1C"/>
    <w:rsid w:val="009E59E6"/>
    <w:rsid w:val="009E6A1D"/>
    <w:rsid w:val="009E6D73"/>
    <w:rsid w:val="009E7C98"/>
    <w:rsid w:val="009F1113"/>
    <w:rsid w:val="009F1A32"/>
    <w:rsid w:val="009F1C25"/>
    <w:rsid w:val="009F2553"/>
    <w:rsid w:val="009F2CF2"/>
    <w:rsid w:val="009F395F"/>
    <w:rsid w:val="009F431D"/>
    <w:rsid w:val="009F5115"/>
    <w:rsid w:val="009F5157"/>
    <w:rsid w:val="009F56BF"/>
    <w:rsid w:val="009F6D00"/>
    <w:rsid w:val="009F7096"/>
    <w:rsid w:val="009F722B"/>
    <w:rsid w:val="009F7DE3"/>
    <w:rsid w:val="009F7EEA"/>
    <w:rsid w:val="00A00A91"/>
    <w:rsid w:val="00A00AD2"/>
    <w:rsid w:val="00A02198"/>
    <w:rsid w:val="00A022DC"/>
    <w:rsid w:val="00A024A7"/>
    <w:rsid w:val="00A0261F"/>
    <w:rsid w:val="00A0366D"/>
    <w:rsid w:val="00A0422F"/>
    <w:rsid w:val="00A044B5"/>
    <w:rsid w:val="00A04EE9"/>
    <w:rsid w:val="00A0646F"/>
    <w:rsid w:val="00A07366"/>
    <w:rsid w:val="00A07708"/>
    <w:rsid w:val="00A07D97"/>
    <w:rsid w:val="00A1131A"/>
    <w:rsid w:val="00A11B09"/>
    <w:rsid w:val="00A123F4"/>
    <w:rsid w:val="00A128E3"/>
    <w:rsid w:val="00A12910"/>
    <w:rsid w:val="00A12FDC"/>
    <w:rsid w:val="00A135C8"/>
    <w:rsid w:val="00A14251"/>
    <w:rsid w:val="00A143CC"/>
    <w:rsid w:val="00A14978"/>
    <w:rsid w:val="00A14FCC"/>
    <w:rsid w:val="00A16B5D"/>
    <w:rsid w:val="00A16D8D"/>
    <w:rsid w:val="00A174A7"/>
    <w:rsid w:val="00A2132D"/>
    <w:rsid w:val="00A214C0"/>
    <w:rsid w:val="00A217CE"/>
    <w:rsid w:val="00A2318B"/>
    <w:rsid w:val="00A23429"/>
    <w:rsid w:val="00A2543A"/>
    <w:rsid w:val="00A2583A"/>
    <w:rsid w:val="00A25941"/>
    <w:rsid w:val="00A260F4"/>
    <w:rsid w:val="00A276BD"/>
    <w:rsid w:val="00A27738"/>
    <w:rsid w:val="00A306A4"/>
    <w:rsid w:val="00A306EF"/>
    <w:rsid w:val="00A31991"/>
    <w:rsid w:val="00A31A2F"/>
    <w:rsid w:val="00A31B4C"/>
    <w:rsid w:val="00A31D90"/>
    <w:rsid w:val="00A32083"/>
    <w:rsid w:val="00A3268E"/>
    <w:rsid w:val="00A3301D"/>
    <w:rsid w:val="00A3317F"/>
    <w:rsid w:val="00A331A8"/>
    <w:rsid w:val="00A334E3"/>
    <w:rsid w:val="00A33748"/>
    <w:rsid w:val="00A33C51"/>
    <w:rsid w:val="00A33FDD"/>
    <w:rsid w:val="00A34362"/>
    <w:rsid w:val="00A343AE"/>
    <w:rsid w:val="00A349F2"/>
    <w:rsid w:val="00A34EC4"/>
    <w:rsid w:val="00A35A39"/>
    <w:rsid w:val="00A35AF1"/>
    <w:rsid w:val="00A3661E"/>
    <w:rsid w:val="00A36677"/>
    <w:rsid w:val="00A36A52"/>
    <w:rsid w:val="00A36BA0"/>
    <w:rsid w:val="00A3729C"/>
    <w:rsid w:val="00A37D8C"/>
    <w:rsid w:val="00A40184"/>
    <w:rsid w:val="00A401FC"/>
    <w:rsid w:val="00A42704"/>
    <w:rsid w:val="00A42724"/>
    <w:rsid w:val="00A42CAF"/>
    <w:rsid w:val="00A432B8"/>
    <w:rsid w:val="00A43A4F"/>
    <w:rsid w:val="00A4446B"/>
    <w:rsid w:val="00A462DB"/>
    <w:rsid w:val="00A468AF"/>
    <w:rsid w:val="00A469DE"/>
    <w:rsid w:val="00A476C1"/>
    <w:rsid w:val="00A478D5"/>
    <w:rsid w:val="00A50AAF"/>
    <w:rsid w:val="00A51524"/>
    <w:rsid w:val="00A515D6"/>
    <w:rsid w:val="00A5177A"/>
    <w:rsid w:val="00A518CA"/>
    <w:rsid w:val="00A52776"/>
    <w:rsid w:val="00A52E70"/>
    <w:rsid w:val="00A534C3"/>
    <w:rsid w:val="00A54B1C"/>
    <w:rsid w:val="00A54CEB"/>
    <w:rsid w:val="00A55A37"/>
    <w:rsid w:val="00A56A4C"/>
    <w:rsid w:val="00A570F4"/>
    <w:rsid w:val="00A577F1"/>
    <w:rsid w:val="00A57D5C"/>
    <w:rsid w:val="00A606BD"/>
    <w:rsid w:val="00A60B29"/>
    <w:rsid w:val="00A6108C"/>
    <w:rsid w:val="00A618D3"/>
    <w:rsid w:val="00A61FD5"/>
    <w:rsid w:val="00A62419"/>
    <w:rsid w:val="00A62C69"/>
    <w:rsid w:val="00A63097"/>
    <w:rsid w:val="00A6413C"/>
    <w:rsid w:val="00A641EF"/>
    <w:rsid w:val="00A64337"/>
    <w:rsid w:val="00A6448E"/>
    <w:rsid w:val="00A647DB"/>
    <w:rsid w:val="00A65284"/>
    <w:rsid w:val="00A657D9"/>
    <w:rsid w:val="00A658B5"/>
    <w:rsid w:val="00A65E18"/>
    <w:rsid w:val="00A664AD"/>
    <w:rsid w:val="00A67250"/>
    <w:rsid w:val="00A674BA"/>
    <w:rsid w:val="00A71429"/>
    <w:rsid w:val="00A71476"/>
    <w:rsid w:val="00A72505"/>
    <w:rsid w:val="00A726B7"/>
    <w:rsid w:val="00A7284C"/>
    <w:rsid w:val="00A731E9"/>
    <w:rsid w:val="00A74390"/>
    <w:rsid w:val="00A75101"/>
    <w:rsid w:val="00A7530F"/>
    <w:rsid w:val="00A75910"/>
    <w:rsid w:val="00A76BF1"/>
    <w:rsid w:val="00A76E56"/>
    <w:rsid w:val="00A77330"/>
    <w:rsid w:val="00A77B77"/>
    <w:rsid w:val="00A80148"/>
    <w:rsid w:val="00A803BB"/>
    <w:rsid w:val="00A80B6F"/>
    <w:rsid w:val="00A811CA"/>
    <w:rsid w:val="00A813AE"/>
    <w:rsid w:val="00A818CB"/>
    <w:rsid w:val="00A81AA5"/>
    <w:rsid w:val="00A82B82"/>
    <w:rsid w:val="00A83011"/>
    <w:rsid w:val="00A831F8"/>
    <w:rsid w:val="00A832B3"/>
    <w:rsid w:val="00A837F1"/>
    <w:rsid w:val="00A8412E"/>
    <w:rsid w:val="00A85015"/>
    <w:rsid w:val="00A85642"/>
    <w:rsid w:val="00A85B9A"/>
    <w:rsid w:val="00A85ED4"/>
    <w:rsid w:val="00A85ED9"/>
    <w:rsid w:val="00A87041"/>
    <w:rsid w:val="00A907C2"/>
    <w:rsid w:val="00A91351"/>
    <w:rsid w:val="00A91467"/>
    <w:rsid w:val="00A92524"/>
    <w:rsid w:val="00A92B9A"/>
    <w:rsid w:val="00A9310F"/>
    <w:rsid w:val="00A940AC"/>
    <w:rsid w:val="00A94DE3"/>
    <w:rsid w:val="00A954B8"/>
    <w:rsid w:val="00A95535"/>
    <w:rsid w:val="00A95918"/>
    <w:rsid w:val="00A959C1"/>
    <w:rsid w:val="00A95EE1"/>
    <w:rsid w:val="00A96102"/>
    <w:rsid w:val="00A96627"/>
    <w:rsid w:val="00A96CDD"/>
    <w:rsid w:val="00A970F2"/>
    <w:rsid w:val="00A9713F"/>
    <w:rsid w:val="00A97CBE"/>
    <w:rsid w:val="00AA1029"/>
    <w:rsid w:val="00AA1FF6"/>
    <w:rsid w:val="00AA302B"/>
    <w:rsid w:val="00AA3351"/>
    <w:rsid w:val="00AA4260"/>
    <w:rsid w:val="00AA436D"/>
    <w:rsid w:val="00AA44C8"/>
    <w:rsid w:val="00AA535F"/>
    <w:rsid w:val="00AA74B7"/>
    <w:rsid w:val="00AA7B5C"/>
    <w:rsid w:val="00AA7DC0"/>
    <w:rsid w:val="00AA7F64"/>
    <w:rsid w:val="00AB0002"/>
    <w:rsid w:val="00AB010B"/>
    <w:rsid w:val="00AB0219"/>
    <w:rsid w:val="00AB061D"/>
    <w:rsid w:val="00AB0C99"/>
    <w:rsid w:val="00AB24B9"/>
    <w:rsid w:val="00AB253B"/>
    <w:rsid w:val="00AB281F"/>
    <w:rsid w:val="00AB2FC9"/>
    <w:rsid w:val="00AB4509"/>
    <w:rsid w:val="00AB546B"/>
    <w:rsid w:val="00AB576C"/>
    <w:rsid w:val="00AB5C07"/>
    <w:rsid w:val="00AB71EE"/>
    <w:rsid w:val="00AC1DF8"/>
    <w:rsid w:val="00AC1F63"/>
    <w:rsid w:val="00AC3D83"/>
    <w:rsid w:val="00AC407E"/>
    <w:rsid w:val="00AC4168"/>
    <w:rsid w:val="00AC5093"/>
    <w:rsid w:val="00AC5636"/>
    <w:rsid w:val="00AC5E8B"/>
    <w:rsid w:val="00AC61F8"/>
    <w:rsid w:val="00AC67FF"/>
    <w:rsid w:val="00AD0227"/>
    <w:rsid w:val="00AD04CE"/>
    <w:rsid w:val="00AD08BD"/>
    <w:rsid w:val="00AD10C2"/>
    <w:rsid w:val="00AD123F"/>
    <w:rsid w:val="00AD1EE9"/>
    <w:rsid w:val="00AD263E"/>
    <w:rsid w:val="00AD33FC"/>
    <w:rsid w:val="00AD3E02"/>
    <w:rsid w:val="00AD49D2"/>
    <w:rsid w:val="00AD4A05"/>
    <w:rsid w:val="00AD4A84"/>
    <w:rsid w:val="00AD527B"/>
    <w:rsid w:val="00AD582B"/>
    <w:rsid w:val="00AD64E1"/>
    <w:rsid w:val="00AD6F9E"/>
    <w:rsid w:val="00AE06C6"/>
    <w:rsid w:val="00AE1684"/>
    <w:rsid w:val="00AE1823"/>
    <w:rsid w:val="00AE20AA"/>
    <w:rsid w:val="00AE2996"/>
    <w:rsid w:val="00AE3384"/>
    <w:rsid w:val="00AE36C6"/>
    <w:rsid w:val="00AE3738"/>
    <w:rsid w:val="00AE3E89"/>
    <w:rsid w:val="00AE48B0"/>
    <w:rsid w:val="00AE4DC3"/>
    <w:rsid w:val="00AE500E"/>
    <w:rsid w:val="00AE5606"/>
    <w:rsid w:val="00AE5F78"/>
    <w:rsid w:val="00AE7443"/>
    <w:rsid w:val="00AF0849"/>
    <w:rsid w:val="00AF114E"/>
    <w:rsid w:val="00AF2A27"/>
    <w:rsid w:val="00AF4A3B"/>
    <w:rsid w:val="00AF4DBE"/>
    <w:rsid w:val="00AF59EA"/>
    <w:rsid w:val="00AF614C"/>
    <w:rsid w:val="00AF63F0"/>
    <w:rsid w:val="00AF6D6F"/>
    <w:rsid w:val="00AF6D75"/>
    <w:rsid w:val="00AF6D7A"/>
    <w:rsid w:val="00AF6FF2"/>
    <w:rsid w:val="00B00D84"/>
    <w:rsid w:val="00B0130B"/>
    <w:rsid w:val="00B01C0D"/>
    <w:rsid w:val="00B02B00"/>
    <w:rsid w:val="00B02B02"/>
    <w:rsid w:val="00B02E55"/>
    <w:rsid w:val="00B03369"/>
    <w:rsid w:val="00B03A84"/>
    <w:rsid w:val="00B0473F"/>
    <w:rsid w:val="00B04A46"/>
    <w:rsid w:val="00B057B7"/>
    <w:rsid w:val="00B10373"/>
    <w:rsid w:val="00B11061"/>
    <w:rsid w:val="00B1194C"/>
    <w:rsid w:val="00B11E3B"/>
    <w:rsid w:val="00B13C23"/>
    <w:rsid w:val="00B1598E"/>
    <w:rsid w:val="00B161AC"/>
    <w:rsid w:val="00B16305"/>
    <w:rsid w:val="00B177C5"/>
    <w:rsid w:val="00B204F5"/>
    <w:rsid w:val="00B206F4"/>
    <w:rsid w:val="00B20C58"/>
    <w:rsid w:val="00B21EA2"/>
    <w:rsid w:val="00B2434D"/>
    <w:rsid w:val="00B24392"/>
    <w:rsid w:val="00B24A84"/>
    <w:rsid w:val="00B24F90"/>
    <w:rsid w:val="00B2527D"/>
    <w:rsid w:val="00B25CE5"/>
    <w:rsid w:val="00B26281"/>
    <w:rsid w:val="00B26E79"/>
    <w:rsid w:val="00B26F14"/>
    <w:rsid w:val="00B279D2"/>
    <w:rsid w:val="00B27ADE"/>
    <w:rsid w:val="00B30138"/>
    <w:rsid w:val="00B30611"/>
    <w:rsid w:val="00B31184"/>
    <w:rsid w:val="00B311D7"/>
    <w:rsid w:val="00B3153A"/>
    <w:rsid w:val="00B31DE6"/>
    <w:rsid w:val="00B327EE"/>
    <w:rsid w:val="00B33BFD"/>
    <w:rsid w:val="00B3466B"/>
    <w:rsid w:val="00B34C57"/>
    <w:rsid w:val="00B34E20"/>
    <w:rsid w:val="00B34E26"/>
    <w:rsid w:val="00B34EEB"/>
    <w:rsid w:val="00B35154"/>
    <w:rsid w:val="00B3546C"/>
    <w:rsid w:val="00B364D4"/>
    <w:rsid w:val="00B3699A"/>
    <w:rsid w:val="00B36C56"/>
    <w:rsid w:val="00B370F8"/>
    <w:rsid w:val="00B403D5"/>
    <w:rsid w:val="00B40BF9"/>
    <w:rsid w:val="00B411A6"/>
    <w:rsid w:val="00B41940"/>
    <w:rsid w:val="00B424B7"/>
    <w:rsid w:val="00B439C0"/>
    <w:rsid w:val="00B43BEF"/>
    <w:rsid w:val="00B44479"/>
    <w:rsid w:val="00B44A85"/>
    <w:rsid w:val="00B44A8A"/>
    <w:rsid w:val="00B44D06"/>
    <w:rsid w:val="00B455C2"/>
    <w:rsid w:val="00B45C27"/>
    <w:rsid w:val="00B460B7"/>
    <w:rsid w:val="00B47635"/>
    <w:rsid w:val="00B47AD9"/>
    <w:rsid w:val="00B47C37"/>
    <w:rsid w:val="00B500BD"/>
    <w:rsid w:val="00B50121"/>
    <w:rsid w:val="00B50395"/>
    <w:rsid w:val="00B50C31"/>
    <w:rsid w:val="00B50E1C"/>
    <w:rsid w:val="00B5118B"/>
    <w:rsid w:val="00B5160B"/>
    <w:rsid w:val="00B516CD"/>
    <w:rsid w:val="00B51712"/>
    <w:rsid w:val="00B520C9"/>
    <w:rsid w:val="00B522D5"/>
    <w:rsid w:val="00B526D2"/>
    <w:rsid w:val="00B5274F"/>
    <w:rsid w:val="00B527A9"/>
    <w:rsid w:val="00B52944"/>
    <w:rsid w:val="00B53CD0"/>
    <w:rsid w:val="00B53D75"/>
    <w:rsid w:val="00B54595"/>
    <w:rsid w:val="00B55704"/>
    <w:rsid w:val="00B55FC5"/>
    <w:rsid w:val="00B5621F"/>
    <w:rsid w:val="00B61E48"/>
    <w:rsid w:val="00B62118"/>
    <w:rsid w:val="00B62730"/>
    <w:rsid w:val="00B627E9"/>
    <w:rsid w:val="00B63611"/>
    <w:rsid w:val="00B641D2"/>
    <w:rsid w:val="00B64C7A"/>
    <w:rsid w:val="00B64DD2"/>
    <w:rsid w:val="00B65B46"/>
    <w:rsid w:val="00B665CD"/>
    <w:rsid w:val="00B668EB"/>
    <w:rsid w:val="00B67A19"/>
    <w:rsid w:val="00B701F7"/>
    <w:rsid w:val="00B708D3"/>
    <w:rsid w:val="00B713F2"/>
    <w:rsid w:val="00B71856"/>
    <w:rsid w:val="00B720A5"/>
    <w:rsid w:val="00B72D99"/>
    <w:rsid w:val="00B739BD"/>
    <w:rsid w:val="00B73BE7"/>
    <w:rsid w:val="00B74976"/>
    <w:rsid w:val="00B75BFE"/>
    <w:rsid w:val="00B75C3F"/>
    <w:rsid w:val="00B77224"/>
    <w:rsid w:val="00B77253"/>
    <w:rsid w:val="00B77599"/>
    <w:rsid w:val="00B779EF"/>
    <w:rsid w:val="00B77DF4"/>
    <w:rsid w:val="00B77FF5"/>
    <w:rsid w:val="00B83F29"/>
    <w:rsid w:val="00B843E6"/>
    <w:rsid w:val="00B867A3"/>
    <w:rsid w:val="00B871BA"/>
    <w:rsid w:val="00B876D0"/>
    <w:rsid w:val="00B878CC"/>
    <w:rsid w:val="00B90B04"/>
    <w:rsid w:val="00B90F7D"/>
    <w:rsid w:val="00B90FF9"/>
    <w:rsid w:val="00B92A93"/>
    <w:rsid w:val="00B93706"/>
    <w:rsid w:val="00B94025"/>
    <w:rsid w:val="00B94780"/>
    <w:rsid w:val="00B96305"/>
    <w:rsid w:val="00B96C2C"/>
    <w:rsid w:val="00B96DFE"/>
    <w:rsid w:val="00B97808"/>
    <w:rsid w:val="00BA0119"/>
    <w:rsid w:val="00BA10D2"/>
    <w:rsid w:val="00BA18E7"/>
    <w:rsid w:val="00BA1CFC"/>
    <w:rsid w:val="00BA2DCD"/>
    <w:rsid w:val="00BA3D7E"/>
    <w:rsid w:val="00BA4417"/>
    <w:rsid w:val="00BA663A"/>
    <w:rsid w:val="00BA6E5F"/>
    <w:rsid w:val="00BA7F4D"/>
    <w:rsid w:val="00BB1009"/>
    <w:rsid w:val="00BB1224"/>
    <w:rsid w:val="00BB153F"/>
    <w:rsid w:val="00BB2092"/>
    <w:rsid w:val="00BB232C"/>
    <w:rsid w:val="00BB6047"/>
    <w:rsid w:val="00BB66D6"/>
    <w:rsid w:val="00BB6721"/>
    <w:rsid w:val="00BB6FAA"/>
    <w:rsid w:val="00BB7470"/>
    <w:rsid w:val="00BB7F14"/>
    <w:rsid w:val="00BC2911"/>
    <w:rsid w:val="00BC2B9D"/>
    <w:rsid w:val="00BC30F7"/>
    <w:rsid w:val="00BC389E"/>
    <w:rsid w:val="00BC3CBE"/>
    <w:rsid w:val="00BC5B22"/>
    <w:rsid w:val="00BC6E6C"/>
    <w:rsid w:val="00BD015A"/>
    <w:rsid w:val="00BD0A6E"/>
    <w:rsid w:val="00BD0CE9"/>
    <w:rsid w:val="00BD15FA"/>
    <w:rsid w:val="00BD163E"/>
    <w:rsid w:val="00BD1EA2"/>
    <w:rsid w:val="00BD1EAD"/>
    <w:rsid w:val="00BD248B"/>
    <w:rsid w:val="00BD2E21"/>
    <w:rsid w:val="00BD312F"/>
    <w:rsid w:val="00BD3E4A"/>
    <w:rsid w:val="00BD4229"/>
    <w:rsid w:val="00BD47A0"/>
    <w:rsid w:val="00BD4DE3"/>
    <w:rsid w:val="00BD4E1E"/>
    <w:rsid w:val="00BD5C13"/>
    <w:rsid w:val="00BD6A2B"/>
    <w:rsid w:val="00BD72EA"/>
    <w:rsid w:val="00BD7456"/>
    <w:rsid w:val="00BD7DB2"/>
    <w:rsid w:val="00BE01DD"/>
    <w:rsid w:val="00BE082C"/>
    <w:rsid w:val="00BE0FA2"/>
    <w:rsid w:val="00BE108F"/>
    <w:rsid w:val="00BE1903"/>
    <w:rsid w:val="00BE1ED7"/>
    <w:rsid w:val="00BE3344"/>
    <w:rsid w:val="00BE3945"/>
    <w:rsid w:val="00BE473E"/>
    <w:rsid w:val="00BE4AA3"/>
    <w:rsid w:val="00BE5FA5"/>
    <w:rsid w:val="00BE5FB1"/>
    <w:rsid w:val="00BE627D"/>
    <w:rsid w:val="00BE63FB"/>
    <w:rsid w:val="00BE71E1"/>
    <w:rsid w:val="00BF0A1A"/>
    <w:rsid w:val="00BF0DD3"/>
    <w:rsid w:val="00BF18E5"/>
    <w:rsid w:val="00BF23A9"/>
    <w:rsid w:val="00BF26B7"/>
    <w:rsid w:val="00BF2801"/>
    <w:rsid w:val="00BF2B1B"/>
    <w:rsid w:val="00BF3129"/>
    <w:rsid w:val="00BF342B"/>
    <w:rsid w:val="00BF3668"/>
    <w:rsid w:val="00BF47C1"/>
    <w:rsid w:val="00BF4F1B"/>
    <w:rsid w:val="00BF5577"/>
    <w:rsid w:val="00BF6B00"/>
    <w:rsid w:val="00BF6F6C"/>
    <w:rsid w:val="00BF7683"/>
    <w:rsid w:val="00BF7A48"/>
    <w:rsid w:val="00BF7B24"/>
    <w:rsid w:val="00C000FA"/>
    <w:rsid w:val="00C01CA1"/>
    <w:rsid w:val="00C022AC"/>
    <w:rsid w:val="00C02647"/>
    <w:rsid w:val="00C0332B"/>
    <w:rsid w:val="00C034F5"/>
    <w:rsid w:val="00C03D83"/>
    <w:rsid w:val="00C03DB5"/>
    <w:rsid w:val="00C04236"/>
    <w:rsid w:val="00C0534E"/>
    <w:rsid w:val="00C061B5"/>
    <w:rsid w:val="00C06A85"/>
    <w:rsid w:val="00C074E8"/>
    <w:rsid w:val="00C07AB2"/>
    <w:rsid w:val="00C07CAE"/>
    <w:rsid w:val="00C104E2"/>
    <w:rsid w:val="00C10660"/>
    <w:rsid w:val="00C106F2"/>
    <w:rsid w:val="00C1081B"/>
    <w:rsid w:val="00C10953"/>
    <w:rsid w:val="00C1163A"/>
    <w:rsid w:val="00C11998"/>
    <w:rsid w:val="00C1212B"/>
    <w:rsid w:val="00C12508"/>
    <w:rsid w:val="00C12D5E"/>
    <w:rsid w:val="00C13ABE"/>
    <w:rsid w:val="00C13CA7"/>
    <w:rsid w:val="00C143AC"/>
    <w:rsid w:val="00C151BD"/>
    <w:rsid w:val="00C154E1"/>
    <w:rsid w:val="00C156C7"/>
    <w:rsid w:val="00C16190"/>
    <w:rsid w:val="00C16CC1"/>
    <w:rsid w:val="00C17406"/>
    <w:rsid w:val="00C2014A"/>
    <w:rsid w:val="00C20A4A"/>
    <w:rsid w:val="00C2118A"/>
    <w:rsid w:val="00C2319F"/>
    <w:rsid w:val="00C24651"/>
    <w:rsid w:val="00C24939"/>
    <w:rsid w:val="00C24A1D"/>
    <w:rsid w:val="00C24B11"/>
    <w:rsid w:val="00C24E1E"/>
    <w:rsid w:val="00C25F8A"/>
    <w:rsid w:val="00C27D77"/>
    <w:rsid w:val="00C27FA1"/>
    <w:rsid w:val="00C30015"/>
    <w:rsid w:val="00C306BA"/>
    <w:rsid w:val="00C311EE"/>
    <w:rsid w:val="00C31328"/>
    <w:rsid w:val="00C32FC6"/>
    <w:rsid w:val="00C33154"/>
    <w:rsid w:val="00C3332D"/>
    <w:rsid w:val="00C33674"/>
    <w:rsid w:val="00C3417E"/>
    <w:rsid w:val="00C3549A"/>
    <w:rsid w:val="00C35E58"/>
    <w:rsid w:val="00C36528"/>
    <w:rsid w:val="00C368B7"/>
    <w:rsid w:val="00C36967"/>
    <w:rsid w:val="00C36A7B"/>
    <w:rsid w:val="00C377C2"/>
    <w:rsid w:val="00C37B20"/>
    <w:rsid w:val="00C37DBF"/>
    <w:rsid w:val="00C37EC7"/>
    <w:rsid w:val="00C40639"/>
    <w:rsid w:val="00C40683"/>
    <w:rsid w:val="00C40A93"/>
    <w:rsid w:val="00C40E5D"/>
    <w:rsid w:val="00C41C6B"/>
    <w:rsid w:val="00C4291D"/>
    <w:rsid w:val="00C42FB1"/>
    <w:rsid w:val="00C4300E"/>
    <w:rsid w:val="00C445E2"/>
    <w:rsid w:val="00C4497D"/>
    <w:rsid w:val="00C44B1C"/>
    <w:rsid w:val="00C45480"/>
    <w:rsid w:val="00C466A5"/>
    <w:rsid w:val="00C46A81"/>
    <w:rsid w:val="00C47C4E"/>
    <w:rsid w:val="00C5112E"/>
    <w:rsid w:val="00C511F7"/>
    <w:rsid w:val="00C514AF"/>
    <w:rsid w:val="00C522CE"/>
    <w:rsid w:val="00C52701"/>
    <w:rsid w:val="00C52948"/>
    <w:rsid w:val="00C53709"/>
    <w:rsid w:val="00C5399F"/>
    <w:rsid w:val="00C544DE"/>
    <w:rsid w:val="00C5475C"/>
    <w:rsid w:val="00C55038"/>
    <w:rsid w:val="00C5570E"/>
    <w:rsid w:val="00C55926"/>
    <w:rsid w:val="00C56037"/>
    <w:rsid w:val="00C56799"/>
    <w:rsid w:val="00C56A40"/>
    <w:rsid w:val="00C56EDB"/>
    <w:rsid w:val="00C57BDF"/>
    <w:rsid w:val="00C60547"/>
    <w:rsid w:val="00C60724"/>
    <w:rsid w:val="00C60F91"/>
    <w:rsid w:val="00C610E3"/>
    <w:rsid w:val="00C61A15"/>
    <w:rsid w:val="00C635F1"/>
    <w:rsid w:val="00C6528E"/>
    <w:rsid w:val="00C65B38"/>
    <w:rsid w:val="00C66475"/>
    <w:rsid w:val="00C66996"/>
    <w:rsid w:val="00C6725F"/>
    <w:rsid w:val="00C6770D"/>
    <w:rsid w:val="00C678D8"/>
    <w:rsid w:val="00C7001A"/>
    <w:rsid w:val="00C70114"/>
    <w:rsid w:val="00C713F5"/>
    <w:rsid w:val="00C71617"/>
    <w:rsid w:val="00C71FD8"/>
    <w:rsid w:val="00C72595"/>
    <w:rsid w:val="00C72771"/>
    <w:rsid w:val="00C729BD"/>
    <w:rsid w:val="00C73397"/>
    <w:rsid w:val="00C74844"/>
    <w:rsid w:val="00C750F8"/>
    <w:rsid w:val="00C755CA"/>
    <w:rsid w:val="00C76681"/>
    <w:rsid w:val="00C76E27"/>
    <w:rsid w:val="00C80005"/>
    <w:rsid w:val="00C80CD8"/>
    <w:rsid w:val="00C81325"/>
    <w:rsid w:val="00C81E6B"/>
    <w:rsid w:val="00C82A2F"/>
    <w:rsid w:val="00C82DBD"/>
    <w:rsid w:val="00C831C1"/>
    <w:rsid w:val="00C835FA"/>
    <w:rsid w:val="00C83F48"/>
    <w:rsid w:val="00C8413E"/>
    <w:rsid w:val="00C85406"/>
    <w:rsid w:val="00C85FB4"/>
    <w:rsid w:val="00C860C1"/>
    <w:rsid w:val="00C86680"/>
    <w:rsid w:val="00C86E01"/>
    <w:rsid w:val="00C87278"/>
    <w:rsid w:val="00C875D5"/>
    <w:rsid w:val="00C9160E"/>
    <w:rsid w:val="00C9215D"/>
    <w:rsid w:val="00C92466"/>
    <w:rsid w:val="00C93C92"/>
    <w:rsid w:val="00C93FCF"/>
    <w:rsid w:val="00C942C8"/>
    <w:rsid w:val="00C94851"/>
    <w:rsid w:val="00C94B0E"/>
    <w:rsid w:val="00C94E2A"/>
    <w:rsid w:val="00C953D9"/>
    <w:rsid w:val="00C95EE5"/>
    <w:rsid w:val="00C96800"/>
    <w:rsid w:val="00C96F37"/>
    <w:rsid w:val="00CA10D6"/>
    <w:rsid w:val="00CA12CA"/>
    <w:rsid w:val="00CA2205"/>
    <w:rsid w:val="00CA25F2"/>
    <w:rsid w:val="00CA2BC6"/>
    <w:rsid w:val="00CA32E4"/>
    <w:rsid w:val="00CA3B09"/>
    <w:rsid w:val="00CA3DDF"/>
    <w:rsid w:val="00CA4548"/>
    <w:rsid w:val="00CA4C19"/>
    <w:rsid w:val="00CA6826"/>
    <w:rsid w:val="00CA6D7B"/>
    <w:rsid w:val="00CA796C"/>
    <w:rsid w:val="00CA7E12"/>
    <w:rsid w:val="00CB076A"/>
    <w:rsid w:val="00CB1F98"/>
    <w:rsid w:val="00CB2FFB"/>
    <w:rsid w:val="00CB3B07"/>
    <w:rsid w:val="00CB3FB3"/>
    <w:rsid w:val="00CB48DB"/>
    <w:rsid w:val="00CB5053"/>
    <w:rsid w:val="00CB53F8"/>
    <w:rsid w:val="00CB57D6"/>
    <w:rsid w:val="00CB59B0"/>
    <w:rsid w:val="00CB5CAA"/>
    <w:rsid w:val="00CB69B3"/>
    <w:rsid w:val="00CB7596"/>
    <w:rsid w:val="00CC03F8"/>
    <w:rsid w:val="00CC077D"/>
    <w:rsid w:val="00CC10A7"/>
    <w:rsid w:val="00CC12EC"/>
    <w:rsid w:val="00CC15A8"/>
    <w:rsid w:val="00CC1771"/>
    <w:rsid w:val="00CC17B5"/>
    <w:rsid w:val="00CC26AD"/>
    <w:rsid w:val="00CC2FA8"/>
    <w:rsid w:val="00CC31F7"/>
    <w:rsid w:val="00CC3288"/>
    <w:rsid w:val="00CC3B1A"/>
    <w:rsid w:val="00CC46D0"/>
    <w:rsid w:val="00CC4FFC"/>
    <w:rsid w:val="00CC6C91"/>
    <w:rsid w:val="00CC750C"/>
    <w:rsid w:val="00CC76B4"/>
    <w:rsid w:val="00CC7EB1"/>
    <w:rsid w:val="00CD04E8"/>
    <w:rsid w:val="00CD0BE8"/>
    <w:rsid w:val="00CD1043"/>
    <w:rsid w:val="00CD3016"/>
    <w:rsid w:val="00CD31F9"/>
    <w:rsid w:val="00CD3857"/>
    <w:rsid w:val="00CD41F4"/>
    <w:rsid w:val="00CD497D"/>
    <w:rsid w:val="00CD51C5"/>
    <w:rsid w:val="00CD53E2"/>
    <w:rsid w:val="00CD5D29"/>
    <w:rsid w:val="00CD6DEF"/>
    <w:rsid w:val="00CE05BB"/>
    <w:rsid w:val="00CE07FB"/>
    <w:rsid w:val="00CE08CE"/>
    <w:rsid w:val="00CE0F62"/>
    <w:rsid w:val="00CE1292"/>
    <w:rsid w:val="00CE144D"/>
    <w:rsid w:val="00CE164B"/>
    <w:rsid w:val="00CE1FDE"/>
    <w:rsid w:val="00CE2CBB"/>
    <w:rsid w:val="00CE2FCF"/>
    <w:rsid w:val="00CE3AA4"/>
    <w:rsid w:val="00CE3AB9"/>
    <w:rsid w:val="00CE3DFF"/>
    <w:rsid w:val="00CE44CF"/>
    <w:rsid w:val="00CE7900"/>
    <w:rsid w:val="00CE79F5"/>
    <w:rsid w:val="00CE7F0D"/>
    <w:rsid w:val="00CE7F67"/>
    <w:rsid w:val="00CF0751"/>
    <w:rsid w:val="00CF0797"/>
    <w:rsid w:val="00CF0FA4"/>
    <w:rsid w:val="00CF1120"/>
    <w:rsid w:val="00CF1180"/>
    <w:rsid w:val="00CF1D24"/>
    <w:rsid w:val="00CF3251"/>
    <w:rsid w:val="00CF4286"/>
    <w:rsid w:val="00CF49A5"/>
    <w:rsid w:val="00CF546E"/>
    <w:rsid w:val="00CF54F8"/>
    <w:rsid w:val="00CF575B"/>
    <w:rsid w:val="00CF5F07"/>
    <w:rsid w:val="00CF5F16"/>
    <w:rsid w:val="00CF6628"/>
    <w:rsid w:val="00CF6AAD"/>
    <w:rsid w:val="00CF7338"/>
    <w:rsid w:val="00CF7D67"/>
    <w:rsid w:val="00CF7DD2"/>
    <w:rsid w:val="00D00168"/>
    <w:rsid w:val="00D008AD"/>
    <w:rsid w:val="00D00E89"/>
    <w:rsid w:val="00D02078"/>
    <w:rsid w:val="00D022C9"/>
    <w:rsid w:val="00D031DF"/>
    <w:rsid w:val="00D03C52"/>
    <w:rsid w:val="00D0423E"/>
    <w:rsid w:val="00D04869"/>
    <w:rsid w:val="00D0493E"/>
    <w:rsid w:val="00D05076"/>
    <w:rsid w:val="00D05CD8"/>
    <w:rsid w:val="00D05D6A"/>
    <w:rsid w:val="00D062D8"/>
    <w:rsid w:val="00D07763"/>
    <w:rsid w:val="00D1099F"/>
    <w:rsid w:val="00D10C5F"/>
    <w:rsid w:val="00D10CB6"/>
    <w:rsid w:val="00D10E08"/>
    <w:rsid w:val="00D11860"/>
    <w:rsid w:val="00D118BA"/>
    <w:rsid w:val="00D11928"/>
    <w:rsid w:val="00D123AA"/>
    <w:rsid w:val="00D12DEF"/>
    <w:rsid w:val="00D14DE9"/>
    <w:rsid w:val="00D1522B"/>
    <w:rsid w:val="00D1543C"/>
    <w:rsid w:val="00D157AF"/>
    <w:rsid w:val="00D200CA"/>
    <w:rsid w:val="00D2037E"/>
    <w:rsid w:val="00D23D93"/>
    <w:rsid w:val="00D240E6"/>
    <w:rsid w:val="00D244CE"/>
    <w:rsid w:val="00D24FEF"/>
    <w:rsid w:val="00D25021"/>
    <w:rsid w:val="00D25AEA"/>
    <w:rsid w:val="00D25F65"/>
    <w:rsid w:val="00D262CD"/>
    <w:rsid w:val="00D2651D"/>
    <w:rsid w:val="00D27639"/>
    <w:rsid w:val="00D27775"/>
    <w:rsid w:val="00D3082D"/>
    <w:rsid w:val="00D31338"/>
    <w:rsid w:val="00D31A46"/>
    <w:rsid w:val="00D31B3B"/>
    <w:rsid w:val="00D31CB8"/>
    <w:rsid w:val="00D323C6"/>
    <w:rsid w:val="00D323F4"/>
    <w:rsid w:val="00D32CEC"/>
    <w:rsid w:val="00D32DFD"/>
    <w:rsid w:val="00D33D29"/>
    <w:rsid w:val="00D344BC"/>
    <w:rsid w:val="00D3480B"/>
    <w:rsid w:val="00D35240"/>
    <w:rsid w:val="00D366D6"/>
    <w:rsid w:val="00D36713"/>
    <w:rsid w:val="00D379F5"/>
    <w:rsid w:val="00D37B4F"/>
    <w:rsid w:val="00D40FF6"/>
    <w:rsid w:val="00D421BC"/>
    <w:rsid w:val="00D4228E"/>
    <w:rsid w:val="00D427A0"/>
    <w:rsid w:val="00D433C2"/>
    <w:rsid w:val="00D449A5"/>
    <w:rsid w:val="00D44EAA"/>
    <w:rsid w:val="00D46C07"/>
    <w:rsid w:val="00D4717A"/>
    <w:rsid w:val="00D474A7"/>
    <w:rsid w:val="00D4769D"/>
    <w:rsid w:val="00D476A0"/>
    <w:rsid w:val="00D501F6"/>
    <w:rsid w:val="00D505D0"/>
    <w:rsid w:val="00D522BC"/>
    <w:rsid w:val="00D532DA"/>
    <w:rsid w:val="00D5423C"/>
    <w:rsid w:val="00D543A7"/>
    <w:rsid w:val="00D5546A"/>
    <w:rsid w:val="00D560AA"/>
    <w:rsid w:val="00D5623C"/>
    <w:rsid w:val="00D5669F"/>
    <w:rsid w:val="00D572A8"/>
    <w:rsid w:val="00D57531"/>
    <w:rsid w:val="00D57D2F"/>
    <w:rsid w:val="00D60453"/>
    <w:rsid w:val="00D61043"/>
    <w:rsid w:val="00D613E4"/>
    <w:rsid w:val="00D6295C"/>
    <w:rsid w:val="00D6323A"/>
    <w:rsid w:val="00D63EB9"/>
    <w:rsid w:val="00D6467D"/>
    <w:rsid w:val="00D64CD4"/>
    <w:rsid w:val="00D64CD9"/>
    <w:rsid w:val="00D66668"/>
    <w:rsid w:val="00D66C30"/>
    <w:rsid w:val="00D6723F"/>
    <w:rsid w:val="00D704FA"/>
    <w:rsid w:val="00D707BD"/>
    <w:rsid w:val="00D70B23"/>
    <w:rsid w:val="00D7106D"/>
    <w:rsid w:val="00D711F3"/>
    <w:rsid w:val="00D7148E"/>
    <w:rsid w:val="00D716F1"/>
    <w:rsid w:val="00D71792"/>
    <w:rsid w:val="00D7361C"/>
    <w:rsid w:val="00D73D05"/>
    <w:rsid w:val="00D74854"/>
    <w:rsid w:val="00D75429"/>
    <w:rsid w:val="00D7548D"/>
    <w:rsid w:val="00D7593C"/>
    <w:rsid w:val="00D763FA"/>
    <w:rsid w:val="00D766E8"/>
    <w:rsid w:val="00D8034C"/>
    <w:rsid w:val="00D8085C"/>
    <w:rsid w:val="00D80C5E"/>
    <w:rsid w:val="00D81548"/>
    <w:rsid w:val="00D81BA6"/>
    <w:rsid w:val="00D82AF8"/>
    <w:rsid w:val="00D83962"/>
    <w:rsid w:val="00D83F8F"/>
    <w:rsid w:val="00D84DF7"/>
    <w:rsid w:val="00D85635"/>
    <w:rsid w:val="00D86993"/>
    <w:rsid w:val="00D869B0"/>
    <w:rsid w:val="00D90076"/>
    <w:rsid w:val="00D906AB"/>
    <w:rsid w:val="00D910C6"/>
    <w:rsid w:val="00D922C6"/>
    <w:rsid w:val="00D92619"/>
    <w:rsid w:val="00D94C2D"/>
    <w:rsid w:val="00D94C81"/>
    <w:rsid w:val="00D95CD2"/>
    <w:rsid w:val="00D95F9B"/>
    <w:rsid w:val="00D96869"/>
    <w:rsid w:val="00D96BCF"/>
    <w:rsid w:val="00D96E3C"/>
    <w:rsid w:val="00D976E7"/>
    <w:rsid w:val="00D97C89"/>
    <w:rsid w:val="00D97F1D"/>
    <w:rsid w:val="00DA0199"/>
    <w:rsid w:val="00DA03E9"/>
    <w:rsid w:val="00DA18C7"/>
    <w:rsid w:val="00DA1A8E"/>
    <w:rsid w:val="00DA1B08"/>
    <w:rsid w:val="00DA25F0"/>
    <w:rsid w:val="00DA2D06"/>
    <w:rsid w:val="00DA3076"/>
    <w:rsid w:val="00DA386B"/>
    <w:rsid w:val="00DA3F98"/>
    <w:rsid w:val="00DA4021"/>
    <w:rsid w:val="00DA40CA"/>
    <w:rsid w:val="00DA44FD"/>
    <w:rsid w:val="00DA4B26"/>
    <w:rsid w:val="00DA54C0"/>
    <w:rsid w:val="00DA6390"/>
    <w:rsid w:val="00DA7376"/>
    <w:rsid w:val="00DA75DA"/>
    <w:rsid w:val="00DB0491"/>
    <w:rsid w:val="00DB06BE"/>
    <w:rsid w:val="00DB1E26"/>
    <w:rsid w:val="00DB1EE4"/>
    <w:rsid w:val="00DB2393"/>
    <w:rsid w:val="00DB2AF7"/>
    <w:rsid w:val="00DB2B75"/>
    <w:rsid w:val="00DB2C9D"/>
    <w:rsid w:val="00DB328E"/>
    <w:rsid w:val="00DB3338"/>
    <w:rsid w:val="00DB3D74"/>
    <w:rsid w:val="00DB58BE"/>
    <w:rsid w:val="00DB5BF9"/>
    <w:rsid w:val="00DB5BFD"/>
    <w:rsid w:val="00DB63FC"/>
    <w:rsid w:val="00DB71A6"/>
    <w:rsid w:val="00DC2295"/>
    <w:rsid w:val="00DC30FC"/>
    <w:rsid w:val="00DC38AB"/>
    <w:rsid w:val="00DC40F5"/>
    <w:rsid w:val="00DC44B5"/>
    <w:rsid w:val="00DC4A79"/>
    <w:rsid w:val="00DC4C3A"/>
    <w:rsid w:val="00DC6A4B"/>
    <w:rsid w:val="00DC785A"/>
    <w:rsid w:val="00DD067D"/>
    <w:rsid w:val="00DD0718"/>
    <w:rsid w:val="00DD0E98"/>
    <w:rsid w:val="00DD1023"/>
    <w:rsid w:val="00DD1132"/>
    <w:rsid w:val="00DD2527"/>
    <w:rsid w:val="00DD2555"/>
    <w:rsid w:val="00DD27E7"/>
    <w:rsid w:val="00DD2AC5"/>
    <w:rsid w:val="00DD3690"/>
    <w:rsid w:val="00DD37AE"/>
    <w:rsid w:val="00DD3E2A"/>
    <w:rsid w:val="00DD508C"/>
    <w:rsid w:val="00DD54B3"/>
    <w:rsid w:val="00DD5C07"/>
    <w:rsid w:val="00DD6FAB"/>
    <w:rsid w:val="00DD7810"/>
    <w:rsid w:val="00DD7B97"/>
    <w:rsid w:val="00DE0E14"/>
    <w:rsid w:val="00DE13BA"/>
    <w:rsid w:val="00DE2148"/>
    <w:rsid w:val="00DE2962"/>
    <w:rsid w:val="00DE4D3F"/>
    <w:rsid w:val="00DE4D64"/>
    <w:rsid w:val="00DE52F0"/>
    <w:rsid w:val="00DE6D4B"/>
    <w:rsid w:val="00DE7612"/>
    <w:rsid w:val="00DF0B29"/>
    <w:rsid w:val="00DF22D5"/>
    <w:rsid w:val="00DF27B1"/>
    <w:rsid w:val="00DF2D4E"/>
    <w:rsid w:val="00DF31B2"/>
    <w:rsid w:val="00DF359E"/>
    <w:rsid w:val="00DF3976"/>
    <w:rsid w:val="00DF4344"/>
    <w:rsid w:val="00DF4FA3"/>
    <w:rsid w:val="00DF54FD"/>
    <w:rsid w:val="00DF57D3"/>
    <w:rsid w:val="00DF5B55"/>
    <w:rsid w:val="00DF62EA"/>
    <w:rsid w:val="00E00115"/>
    <w:rsid w:val="00E009F3"/>
    <w:rsid w:val="00E00CC0"/>
    <w:rsid w:val="00E013A2"/>
    <w:rsid w:val="00E01834"/>
    <w:rsid w:val="00E02C84"/>
    <w:rsid w:val="00E03491"/>
    <w:rsid w:val="00E03947"/>
    <w:rsid w:val="00E03D9F"/>
    <w:rsid w:val="00E04C6C"/>
    <w:rsid w:val="00E053D7"/>
    <w:rsid w:val="00E07001"/>
    <w:rsid w:val="00E101A8"/>
    <w:rsid w:val="00E10DC1"/>
    <w:rsid w:val="00E12294"/>
    <w:rsid w:val="00E12362"/>
    <w:rsid w:val="00E125A1"/>
    <w:rsid w:val="00E12875"/>
    <w:rsid w:val="00E12BF6"/>
    <w:rsid w:val="00E1333D"/>
    <w:rsid w:val="00E136B3"/>
    <w:rsid w:val="00E138DA"/>
    <w:rsid w:val="00E14FD8"/>
    <w:rsid w:val="00E154D6"/>
    <w:rsid w:val="00E159CD"/>
    <w:rsid w:val="00E15CEA"/>
    <w:rsid w:val="00E16B99"/>
    <w:rsid w:val="00E17D74"/>
    <w:rsid w:val="00E204E6"/>
    <w:rsid w:val="00E2239B"/>
    <w:rsid w:val="00E22FB7"/>
    <w:rsid w:val="00E24E91"/>
    <w:rsid w:val="00E25678"/>
    <w:rsid w:val="00E258A0"/>
    <w:rsid w:val="00E26493"/>
    <w:rsid w:val="00E27FA2"/>
    <w:rsid w:val="00E30F82"/>
    <w:rsid w:val="00E31122"/>
    <w:rsid w:val="00E312F1"/>
    <w:rsid w:val="00E314CE"/>
    <w:rsid w:val="00E31559"/>
    <w:rsid w:val="00E31AE1"/>
    <w:rsid w:val="00E31F80"/>
    <w:rsid w:val="00E32EC4"/>
    <w:rsid w:val="00E33031"/>
    <w:rsid w:val="00E33804"/>
    <w:rsid w:val="00E33E68"/>
    <w:rsid w:val="00E33FE8"/>
    <w:rsid w:val="00E34680"/>
    <w:rsid w:val="00E34779"/>
    <w:rsid w:val="00E34BBF"/>
    <w:rsid w:val="00E34F15"/>
    <w:rsid w:val="00E361BD"/>
    <w:rsid w:val="00E3647C"/>
    <w:rsid w:val="00E36858"/>
    <w:rsid w:val="00E36864"/>
    <w:rsid w:val="00E37908"/>
    <w:rsid w:val="00E41E6F"/>
    <w:rsid w:val="00E42367"/>
    <w:rsid w:val="00E42671"/>
    <w:rsid w:val="00E42726"/>
    <w:rsid w:val="00E44671"/>
    <w:rsid w:val="00E44F95"/>
    <w:rsid w:val="00E452F0"/>
    <w:rsid w:val="00E45936"/>
    <w:rsid w:val="00E46EFF"/>
    <w:rsid w:val="00E47C48"/>
    <w:rsid w:val="00E50CA5"/>
    <w:rsid w:val="00E51F59"/>
    <w:rsid w:val="00E52075"/>
    <w:rsid w:val="00E5325A"/>
    <w:rsid w:val="00E549E4"/>
    <w:rsid w:val="00E553DB"/>
    <w:rsid w:val="00E55438"/>
    <w:rsid w:val="00E5565D"/>
    <w:rsid w:val="00E56397"/>
    <w:rsid w:val="00E56C36"/>
    <w:rsid w:val="00E5786D"/>
    <w:rsid w:val="00E57C6A"/>
    <w:rsid w:val="00E60021"/>
    <w:rsid w:val="00E6063D"/>
    <w:rsid w:val="00E60C56"/>
    <w:rsid w:val="00E61987"/>
    <w:rsid w:val="00E61B6B"/>
    <w:rsid w:val="00E61B72"/>
    <w:rsid w:val="00E61B81"/>
    <w:rsid w:val="00E61C63"/>
    <w:rsid w:val="00E625BD"/>
    <w:rsid w:val="00E62F56"/>
    <w:rsid w:val="00E63932"/>
    <w:rsid w:val="00E63D38"/>
    <w:rsid w:val="00E64BC8"/>
    <w:rsid w:val="00E65D8B"/>
    <w:rsid w:val="00E65F05"/>
    <w:rsid w:val="00E66E60"/>
    <w:rsid w:val="00E675EA"/>
    <w:rsid w:val="00E700AD"/>
    <w:rsid w:val="00E70F25"/>
    <w:rsid w:val="00E71650"/>
    <w:rsid w:val="00E71678"/>
    <w:rsid w:val="00E71EAB"/>
    <w:rsid w:val="00E720F7"/>
    <w:rsid w:val="00E723B8"/>
    <w:rsid w:val="00E73C19"/>
    <w:rsid w:val="00E740E0"/>
    <w:rsid w:val="00E7448E"/>
    <w:rsid w:val="00E74A6B"/>
    <w:rsid w:val="00E74BF0"/>
    <w:rsid w:val="00E74D99"/>
    <w:rsid w:val="00E757E2"/>
    <w:rsid w:val="00E76038"/>
    <w:rsid w:val="00E77596"/>
    <w:rsid w:val="00E800DD"/>
    <w:rsid w:val="00E81A82"/>
    <w:rsid w:val="00E83007"/>
    <w:rsid w:val="00E832AB"/>
    <w:rsid w:val="00E837D3"/>
    <w:rsid w:val="00E83E15"/>
    <w:rsid w:val="00E8482E"/>
    <w:rsid w:val="00E8500E"/>
    <w:rsid w:val="00E869E1"/>
    <w:rsid w:val="00E86D19"/>
    <w:rsid w:val="00E872C5"/>
    <w:rsid w:val="00E87437"/>
    <w:rsid w:val="00E87494"/>
    <w:rsid w:val="00E878B4"/>
    <w:rsid w:val="00E87F40"/>
    <w:rsid w:val="00E90A28"/>
    <w:rsid w:val="00E90B23"/>
    <w:rsid w:val="00E912E9"/>
    <w:rsid w:val="00E91583"/>
    <w:rsid w:val="00E91EE0"/>
    <w:rsid w:val="00E9275B"/>
    <w:rsid w:val="00E93EF2"/>
    <w:rsid w:val="00E94218"/>
    <w:rsid w:val="00E94249"/>
    <w:rsid w:val="00E947CA"/>
    <w:rsid w:val="00E94DDB"/>
    <w:rsid w:val="00E968E2"/>
    <w:rsid w:val="00E97ACC"/>
    <w:rsid w:val="00E97BF8"/>
    <w:rsid w:val="00EA0066"/>
    <w:rsid w:val="00EA0A52"/>
    <w:rsid w:val="00EA0F5F"/>
    <w:rsid w:val="00EA134A"/>
    <w:rsid w:val="00EA1B9B"/>
    <w:rsid w:val="00EA20B8"/>
    <w:rsid w:val="00EA2253"/>
    <w:rsid w:val="00EA2482"/>
    <w:rsid w:val="00EA43BB"/>
    <w:rsid w:val="00EA48D4"/>
    <w:rsid w:val="00EA4A50"/>
    <w:rsid w:val="00EA6740"/>
    <w:rsid w:val="00EA67F1"/>
    <w:rsid w:val="00EA6A51"/>
    <w:rsid w:val="00EA6F59"/>
    <w:rsid w:val="00EA7CBF"/>
    <w:rsid w:val="00EB11DD"/>
    <w:rsid w:val="00EB13BD"/>
    <w:rsid w:val="00EB1ACB"/>
    <w:rsid w:val="00EB223B"/>
    <w:rsid w:val="00EB4678"/>
    <w:rsid w:val="00EB5376"/>
    <w:rsid w:val="00EB55FC"/>
    <w:rsid w:val="00EB56AA"/>
    <w:rsid w:val="00EB576F"/>
    <w:rsid w:val="00EB5D9E"/>
    <w:rsid w:val="00EB6FE3"/>
    <w:rsid w:val="00EB72E8"/>
    <w:rsid w:val="00EC0C6B"/>
    <w:rsid w:val="00EC0D10"/>
    <w:rsid w:val="00EC0FFF"/>
    <w:rsid w:val="00EC16A3"/>
    <w:rsid w:val="00EC29F1"/>
    <w:rsid w:val="00EC2D40"/>
    <w:rsid w:val="00EC3AA9"/>
    <w:rsid w:val="00EC4391"/>
    <w:rsid w:val="00EC4B3E"/>
    <w:rsid w:val="00EC4E78"/>
    <w:rsid w:val="00EC5685"/>
    <w:rsid w:val="00EC795B"/>
    <w:rsid w:val="00ED02FE"/>
    <w:rsid w:val="00ED1744"/>
    <w:rsid w:val="00ED2789"/>
    <w:rsid w:val="00ED32BC"/>
    <w:rsid w:val="00ED34D1"/>
    <w:rsid w:val="00ED381E"/>
    <w:rsid w:val="00ED39C6"/>
    <w:rsid w:val="00ED4C42"/>
    <w:rsid w:val="00ED4EC9"/>
    <w:rsid w:val="00ED5520"/>
    <w:rsid w:val="00ED5D67"/>
    <w:rsid w:val="00ED64B5"/>
    <w:rsid w:val="00ED6B92"/>
    <w:rsid w:val="00ED70D4"/>
    <w:rsid w:val="00ED7EE0"/>
    <w:rsid w:val="00EE07D2"/>
    <w:rsid w:val="00EE166B"/>
    <w:rsid w:val="00EE1671"/>
    <w:rsid w:val="00EE2427"/>
    <w:rsid w:val="00EE2CB9"/>
    <w:rsid w:val="00EE2D7D"/>
    <w:rsid w:val="00EE36A8"/>
    <w:rsid w:val="00EE3888"/>
    <w:rsid w:val="00EE3A77"/>
    <w:rsid w:val="00EE3B4A"/>
    <w:rsid w:val="00EE3CDE"/>
    <w:rsid w:val="00EE3DF3"/>
    <w:rsid w:val="00EE5A0A"/>
    <w:rsid w:val="00EE645C"/>
    <w:rsid w:val="00EE767C"/>
    <w:rsid w:val="00EE7862"/>
    <w:rsid w:val="00EE7AD3"/>
    <w:rsid w:val="00EF074D"/>
    <w:rsid w:val="00EF07DC"/>
    <w:rsid w:val="00EF2101"/>
    <w:rsid w:val="00EF219A"/>
    <w:rsid w:val="00EF540F"/>
    <w:rsid w:val="00EF5B21"/>
    <w:rsid w:val="00EF6138"/>
    <w:rsid w:val="00EF69CF"/>
    <w:rsid w:val="00EF6CFC"/>
    <w:rsid w:val="00EF6D44"/>
    <w:rsid w:val="00EF783B"/>
    <w:rsid w:val="00F00B75"/>
    <w:rsid w:val="00F01F08"/>
    <w:rsid w:val="00F0276E"/>
    <w:rsid w:val="00F02CD1"/>
    <w:rsid w:val="00F02F98"/>
    <w:rsid w:val="00F031DC"/>
    <w:rsid w:val="00F0350E"/>
    <w:rsid w:val="00F038B4"/>
    <w:rsid w:val="00F043FF"/>
    <w:rsid w:val="00F04C9A"/>
    <w:rsid w:val="00F05229"/>
    <w:rsid w:val="00F0542D"/>
    <w:rsid w:val="00F067B8"/>
    <w:rsid w:val="00F10006"/>
    <w:rsid w:val="00F1025E"/>
    <w:rsid w:val="00F10B12"/>
    <w:rsid w:val="00F11FCB"/>
    <w:rsid w:val="00F12981"/>
    <w:rsid w:val="00F141E3"/>
    <w:rsid w:val="00F145EB"/>
    <w:rsid w:val="00F14FCF"/>
    <w:rsid w:val="00F15889"/>
    <w:rsid w:val="00F16504"/>
    <w:rsid w:val="00F16761"/>
    <w:rsid w:val="00F167A0"/>
    <w:rsid w:val="00F16893"/>
    <w:rsid w:val="00F16E19"/>
    <w:rsid w:val="00F16FDE"/>
    <w:rsid w:val="00F237A5"/>
    <w:rsid w:val="00F2565B"/>
    <w:rsid w:val="00F256AD"/>
    <w:rsid w:val="00F25B13"/>
    <w:rsid w:val="00F261CA"/>
    <w:rsid w:val="00F26895"/>
    <w:rsid w:val="00F30752"/>
    <w:rsid w:val="00F31245"/>
    <w:rsid w:val="00F31310"/>
    <w:rsid w:val="00F33078"/>
    <w:rsid w:val="00F335DE"/>
    <w:rsid w:val="00F33DCB"/>
    <w:rsid w:val="00F34003"/>
    <w:rsid w:val="00F34980"/>
    <w:rsid w:val="00F3514B"/>
    <w:rsid w:val="00F359E8"/>
    <w:rsid w:val="00F360DB"/>
    <w:rsid w:val="00F36BDC"/>
    <w:rsid w:val="00F3724F"/>
    <w:rsid w:val="00F40FFC"/>
    <w:rsid w:val="00F4198C"/>
    <w:rsid w:val="00F419F4"/>
    <w:rsid w:val="00F420F9"/>
    <w:rsid w:val="00F42109"/>
    <w:rsid w:val="00F426F3"/>
    <w:rsid w:val="00F42F52"/>
    <w:rsid w:val="00F43789"/>
    <w:rsid w:val="00F437AC"/>
    <w:rsid w:val="00F4383D"/>
    <w:rsid w:val="00F43A6A"/>
    <w:rsid w:val="00F442AF"/>
    <w:rsid w:val="00F44686"/>
    <w:rsid w:val="00F455CE"/>
    <w:rsid w:val="00F45720"/>
    <w:rsid w:val="00F45E27"/>
    <w:rsid w:val="00F4662B"/>
    <w:rsid w:val="00F467F6"/>
    <w:rsid w:val="00F47408"/>
    <w:rsid w:val="00F475DC"/>
    <w:rsid w:val="00F50D86"/>
    <w:rsid w:val="00F51624"/>
    <w:rsid w:val="00F51884"/>
    <w:rsid w:val="00F5236B"/>
    <w:rsid w:val="00F524B0"/>
    <w:rsid w:val="00F5375F"/>
    <w:rsid w:val="00F5475A"/>
    <w:rsid w:val="00F54A3D"/>
    <w:rsid w:val="00F55152"/>
    <w:rsid w:val="00F55AF1"/>
    <w:rsid w:val="00F561C6"/>
    <w:rsid w:val="00F5634F"/>
    <w:rsid w:val="00F575E0"/>
    <w:rsid w:val="00F602C6"/>
    <w:rsid w:val="00F616A9"/>
    <w:rsid w:val="00F61CE7"/>
    <w:rsid w:val="00F61D5A"/>
    <w:rsid w:val="00F61DBD"/>
    <w:rsid w:val="00F628E4"/>
    <w:rsid w:val="00F62E36"/>
    <w:rsid w:val="00F632E5"/>
    <w:rsid w:val="00F63468"/>
    <w:rsid w:val="00F646E1"/>
    <w:rsid w:val="00F647A4"/>
    <w:rsid w:val="00F647DB"/>
    <w:rsid w:val="00F6579A"/>
    <w:rsid w:val="00F65A5C"/>
    <w:rsid w:val="00F65AEC"/>
    <w:rsid w:val="00F65E3A"/>
    <w:rsid w:val="00F66105"/>
    <w:rsid w:val="00F66C1E"/>
    <w:rsid w:val="00F670CF"/>
    <w:rsid w:val="00F67A3A"/>
    <w:rsid w:val="00F70106"/>
    <w:rsid w:val="00F70B43"/>
    <w:rsid w:val="00F71D37"/>
    <w:rsid w:val="00F71D89"/>
    <w:rsid w:val="00F7215B"/>
    <w:rsid w:val="00F7233E"/>
    <w:rsid w:val="00F724FF"/>
    <w:rsid w:val="00F74155"/>
    <w:rsid w:val="00F746E1"/>
    <w:rsid w:val="00F74890"/>
    <w:rsid w:val="00F7615A"/>
    <w:rsid w:val="00F769D8"/>
    <w:rsid w:val="00F76D4B"/>
    <w:rsid w:val="00F7778E"/>
    <w:rsid w:val="00F800EB"/>
    <w:rsid w:val="00F801E4"/>
    <w:rsid w:val="00F808B6"/>
    <w:rsid w:val="00F80D52"/>
    <w:rsid w:val="00F817B8"/>
    <w:rsid w:val="00F81AE4"/>
    <w:rsid w:val="00F827B6"/>
    <w:rsid w:val="00F82BCD"/>
    <w:rsid w:val="00F8310A"/>
    <w:rsid w:val="00F834D9"/>
    <w:rsid w:val="00F83A4E"/>
    <w:rsid w:val="00F83A7C"/>
    <w:rsid w:val="00F843AD"/>
    <w:rsid w:val="00F84CCC"/>
    <w:rsid w:val="00F84D81"/>
    <w:rsid w:val="00F86370"/>
    <w:rsid w:val="00F86456"/>
    <w:rsid w:val="00F864DA"/>
    <w:rsid w:val="00F87192"/>
    <w:rsid w:val="00F90D97"/>
    <w:rsid w:val="00F9126B"/>
    <w:rsid w:val="00F91ECE"/>
    <w:rsid w:val="00F923EE"/>
    <w:rsid w:val="00F9280B"/>
    <w:rsid w:val="00F929A8"/>
    <w:rsid w:val="00F92F2D"/>
    <w:rsid w:val="00F932CE"/>
    <w:rsid w:val="00F93855"/>
    <w:rsid w:val="00F938E9"/>
    <w:rsid w:val="00F94B61"/>
    <w:rsid w:val="00F94EED"/>
    <w:rsid w:val="00F95412"/>
    <w:rsid w:val="00F9704A"/>
    <w:rsid w:val="00F97EB0"/>
    <w:rsid w:val="00FA0DE3"/>
    <w:rsid w:val="00FA122C"/>
    <w:rsid w:val="00FA229F"/>
    <w:rsid w:val="00FA25B2"/>
    <w:rsid w:val="00FA2A31"/>
    <w:rsid w:val="00FA2BEA"/>
    <w:rsid w:val="00FA42E7"/>
    <w:rsid w:val="00FA4758"/>
    <w:rsid w:val="00FA4B52"/>
    <w:rsid w:val="00FA4C25"/>
    <w:rsid w:val="00FA7198"/>
    <w:rsid w:val="00FB02C0"/>
    <w:rsid w:val="00FB0BB2"/>
    <w:rsid w:val="00FB195C"/>
    <w:rsid w:val="00FB1E25"/>
    <w:rsid w:val="00FB2097"/>
    <w:rsid w:val="00FB2549"/>
    <w:rsid w:val="00FB2716"/>
    <w:rsid w:val="00FB2EF5"/>
    <w:rsid w:val="00FB2F9A"/>
    <w:rsid w:val="00FB32DA"/>
    <w:rsid w:val="00FB5210"/>
    <w:rsid w:val="00FB5AB1"/>
    <w:rsid w:val="00FB5FF3"/>
    <w:rsid w:val="00FB64D4"/>
    <w:rsid w:val="00FB652F"/>
    <w:rsid w:val="00FB6588"/>
    <w:rsid w:val="00FB65A5"/>
    <w:rsid w:val="00FB6A01"/>
    <w:rsid w:val="00FB7066"/>
    <w:rsid w:val="00FB7C30"/>
    <w:rsid w:val="00FB7EA1"/>
    <w:rsid w:val="00FC097C"/>
    <w:rsid w:val="00FC119A"/>
    <w:rsid w:val="00FC168F"/>
    <w:rsid w:val="00FC17EC"/>
    <w:rsid w:val="00FC1A5A"/>
    <w:rsid w:val="00FC218A"/>
    <w:rsid w:val="00FC21ED"/>
    <w:rsid w:val="00FC31FB"/>
    <w:rsid w:val="00FC4062"/>
    <w:rsid w:val="00FC4238"/>
    <w:rsid w:val="00FC5672"/>
    <w:rsid w:val="00FC56F5"/>
    <w:rsid w:val="00FC5B2F"/>
    <w:rsid w:val="00FC6A68"/>
    <w:rsid w:val="00FC7290"/>
    <w:rsid w:val="00FC72A8"/>
    <w:rsid w:val="00FC7A3C"/>
    <w:rsid w:val="00FD02A3"/>
    <w:rsid w:val="00FD02FF"/>
    <w:rsid w:val="00FD1EF4"/>
    <w:rsid w:val="00FD22B0"/>
    <w:rsid w:val="00FD2852"/>
    <w:rsid w:val="00FD3014"/>
    <w:rsid w:val="00FD3B93"/>
    <w:rsid w:val="00FD3FF0"/>
    <w:rsid w:val="00FD45A0"/>
    <w:rsid w:val="00FD460D"/>
    <w:rsid w:val="00FD50DE"/>
    <w:rsid w:val="00FD5758"/>
    <w:rsid w:val="00FD5B5E"/>
    <w:rsid w:val="00FD5B74"/>
    <w:rsid w:val="00FD5D99"/>
    <w:rsid w:val="00FD6317"/>
    <w:rsid w:val="00FD637C"/>
    <w:rsid w:val="00FD741E"/>
    <w:rsid w:val="00FD7436"/>
    <w:rsid w:val="00FD7AC8"/>
    <w:rsid w:val="00FD7C0B"/>
    <w:rsid w:val="00FD7F2E"/>
    <w:rsid w:val="00FE015C"/>
    <w:rsid w:val="00FE1939"/>
    <w:rsid w:val="00FE1AF4"/>
    <w:rsid w:val="00FE1FEA"/>
    <w:rsid w:val="00FE20FA"/>
    <w:rsid w:val="00FE2386"/>
    <w:rsid w:val="00FE350C"/>
    <w:rsid w:val="00FE4E9B"/>
    <w:rsid w:val="00FE5583"/>
    <w:rsid w:val="00FE73BD"/>
    <w:rsid w:val="00FF279F"/>
    <w:rsid w:val="00FF30B0"/>
    <w:rsid w:val="00FF35CF"/>
    <w:rsid w:val="00FF36EB"/>
    <w:rsid w:val="00FF4B9B"/>
    <w:rsid w:val="00FF4D92"/>
    <w:rsid w:val="00FF5073"/>
    <w:rsid w:val="00FF5955"/>
    <w:rsid w:val="00FF5F36"/>
    <w:rsid w:val="00FF5F4B"/>
    <w:rsid w:val="00FF6B43"/>
    <w:rsid w:val="00FF73C0"/>
    <w:rsid w:val="00FF7A31"/>
    <w:rsid w:val="00FF7BB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5A"/>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535B5A"/>
    <w:pPr>
      <w:keepNext/>
      <w:spacing w:before="140" w:line="240" w:lineRule="atLeast"/>
      <w:jc w:val="center"/>
      <w:outlineLvl w:val="0"/>
    </w:pPr>
    <w:rPr>
      <w:smallCaps/>
    </w:rPr>
  </w:style>
  <w:style w:type="paragraph" w:styleId="Heading2">
    <w:name w:val="heading 2"/>
    <w:basedOn w:val="Normal"/>
    <w:next w:val="Normal"/>
    <w:link w:val="Heading2Char"/>
    <w:qFormat/>
    <w:rsid w:val="00535B5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535B5A"/>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535B5A"/>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535B5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535B5A"/>
    <w:pPr>
      <w:tabs>
        <w:tab w:val="center" w:pos="3960"/>
        <w:tab w:val="right" w:pos="10080"/>
      </w:tabs>
      <w:spacing w:after="0" w:line="240" w:lineRule="auto"/>
      <w:jc w:val="center"/>
    </w:pPr>
    <w:rPr>
      <w:sz w:val="22"/>
    </w:rPr>
  </w:style>
  <w:style w:type="character" w:styleId="FootnoteReference">
    <w:name w:val="footnote reference"/>
    <w:basedOn w:val="DefaultParagraphFont"/>
    <w:rsid w:val="00535B5A"/>
    <w:rPr>
      <w:rFonts w:ascii="Century Schoolbook" w:hAnsi="Century Schoolbook"/>
      <w:b/>
      <w:i w:val="0"/>
      <w:position w:val="4"/>
      <w:sz w:val="27"/>
      <w:vertAlign w:val="superscript"/>
    </w:rPr>
  </w:style>
  <w:style w:type="paragraph" w:styleId="FootnoteText">
    <w:name w:val="footnote text"/>
    <w:basedOn w:val="Normal"/>
    <w:rsid w:val="00535B5A"/>
    <w:pPr>
      <w:spacing w:line="300" w:lineRule="exact"/>
    </w:pPr>
  </w:style>
  <w:style w:type="paragraph" w:styleId="Header">
    <w:name w:val="header"/>
    <w:basedOn w:val="Normal"/>
    <w:link w:val="HeaderChar"/>
    <w:qFormat/>
    <w:rsid w:val="00535B5A"/>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7B4150"/>
    <w:rPr>
      <w:rFonts w:ascii="Century Schoolbook" w:hAnsi="Century Schoolbook"/>
      <w:sz w:val="22"/>
    </w:rPr>
  </w:style>
  <w:style w:type="paragraph" w:styleId="BalloonText">
    <w:name w:val="Balloon Text"/>
    <w:basedOn w:val="Normal"/>
    <w:link w:val="BalloonTextChar"/>
    <w:rsid w:val="004D06D3"/>
    <w:rPr>
      <w:rFonts w:ascii="Segoe UI" w:hAnsi="Segoe UI" w:cs="Segoe UI"/>
      <w:sz w:val="18"/>
      <w:szCs w:val="18"/>
    </w:rPr>
  </w:style>
  <w:style w:type="character" w:customStyle="1" w:styleId="BalloonTextChar">
    <w:name w:val="Balloon Text Char"/>
    <w:basedOn w:val="DefaultParagraphFont"/>
    <w:link w:val="BalloonText"/>
    <w:rsid w:val="004D06D3"/>
    <w:rPr>
      <w:rFonts w:ascii="Segoe UI" w:hAnsi="Segoe UI" w:cs="Segoe UI"/>
      <w:sz w:val="18"/>
      <w:szCs w:val="18"/>
    </w:rPr>
  </w:style>
  <w:style w:type="character" w:styleId="Hyperlink">
    <w:name w:val="Hyperlink"/>
    <w:basedOn w:val="DefaultParagraphFont"/>
    <w:unhideWhenUsed/>
    <w:rsid w:val="00641223"/>
    <w:rPr>
      <w:color w:val="0000FF" w:themeColor="hyperlink"/>
      <w:u w:val="single"/>
    </w:rPr>
  </w:style>
  <w:style w:type="character" w:customStyle="1" w:styleId="UnresolvedMention">
    <w:name w:val="Unresolved Mention"/>
    <w:basedOn w:val="DefaultParagraphFont"/>
    <w:uiPriority w:val="99"/>
    <w:semiHidden/>
    <w:unhideWhenUsed/>
    <w:rsid w:val="00641223"/>
    <w:rPr>
      <w:color w:val="605E5C"/>
      <w:shd w:val="clear" w:color="auto" w:fill="E1DFDD"/>
    </w:rPr>
  </w:style>
  <w:style w:type="character" w:styleId="FollowedHyperlink">
    <w:name w:val="FollowedHyperlink"/>
    <w:basedOn w:val="DefaultParagraphFont"/>
    <w:semiHidden/>
    <w:unhideWhenUsed/>
    <w:rsid w:val="00641223"/>
    <w:rPr>
      <w:color w:val="800080" w:themeColor="followedHyperlink"/>
      <w:u w:val="single"/>
    </w:rPr>
  </w:style>
  <w:style w:type="character" w:styleId="CommentReference">
    <w:name w:val="annotation reference"/>
    <w:basedOn w:val="DefaultParagraphFont"/>
    <w:semiHidden/>
    <w:unhideWhenUsed/>
    <w:rsid w:val="00C37B20"/>
    <w:rPr>
      <w:sz w:val="16"/>
      <w:szCs w:val="16"/>
    </w:rPr>
  </w:style>
  <w:style w:type="paragraph" w:styleId="CommentText">
    <w:name w:val="annotation text"/>
    <w:basedOn w:val="Normal"/>
    <w:link w:val="CommentTextChar"/>
    <w:unhideWhenUsed/>
    <w:rsid w:val="00C37B20"/>
    <w:rPr>
      <w:sz w:val="20"/>
    </w:rPr>
  </w:style>
  <w:style w:type="character" w:customStyle="1" w:styleId="CommentTextChar">
    <w:name w:val="Comment Text Char"/>
    <w:basedOn w:val="DefaultParagraphFont"/>
    <w:link w:val="CommentText"/>
    <w:rsid w:val="00C37B20"/>
  </w:style>
  <w:style w:type="paragraph" w:styleId="CommentSubject">
    <w:name w:val="annotation subject"/>
    <w:basedOn w:val="CommentText"/>
    <w:next w:val="CommentText"/>
    <w:link w:val="CommentSubjectChar"/>
    <w:semiHidden/>
    <w:unhideWhenUsed/>
    <w:rsid w:val="00C37B20"/>
    <w:rPr>
      <w:b/>
      <w:bCs/>
    </w:rPr>
  </w:style>
  <w:style w:type="character" w:customStyle="1" w:styleId="CommentSubjectChar">
    <w:name w:val="Comment Subject Char"/>
    <w:basedOn w:val="CommentTextChar"/>
    <w:link w:val="CommentSubject"/>
    <w:semiHidden/>
    <w:rsid w:val="00C37B20"/>
    <w:rPr>
      <w:b/>
      <w:bCs/>
    </w:rPr>
  </w:style>
  <w:style w:type="paragraph" w:styleId="Revision">
    <w:name w:val="Revision"/>
    <w:hidden/>
    <w:uiPriority w:val="71"/>
    <w:semiHidden/>
    <w:rsid w:val="00C37B20"/>
    <w:rPr>
      <w:sz w:val="26"/>
    </w:rPr>
  </w:style>
  <w:style w:type="character" w:customStyle="1" w:styleId="Heading1Char">
    <w:name w:val="Heading 1 Char"/>
    <w:basedOn w:val="DefaultParagraphFont"/>
    <w:link w:val="Heading1"/>
    <w:rsid w:val="00535B5A"/>
    <w:rPr>
      <w:rFonts w:ascii="Century Schoolbook" w:hAnsi="Century Schoolbook"/>
      <w:smallCaps/>
      <w:sz w:val="27"/>
    </w:rPr>
  </w:style>
  <w:style w:type="character" w:customStyle="1" w:styleId="Heading2Char">
    <w:name w:val="Heading 2 Char"/>
    <w:basedOn w:val="DefaultParagraphFont"/>
    <w:link w:val="Heading2"/>
    <w:rsid w:val="00535B5A"/>
    <w:rPr>
      <w:rFonts w:ascii="Century Schoolbook" w:hAnsi="Century Schoolbook"/>
      <w:b/>
      <w:sz w:val="27"/>
    </w:rPr>
  </w:style>
  <w:style w:type="character" w:customStyle="1" w:styleId="Heading3Char">
    <w:name w:val="Heading 3 Char"/>
    <w:basedOn w:val="DefaultParagraphFont"/>
    <w:link w:val="Heading3"/>
    <w:rsid w:val="00535B5A"/>
    <w:rPr>
      <w:rFonts w:ascii="Century Schoolbook" w:hAnsi="Century Schoolbook"/>
      <w:i/>
      <w:sz w:val="27"/>
    </w:rPr>
  </w:style>
  <w:style w:type="character" w:customStyle="1" w:styleId="Heading4Char">
    <w:name w:val="Heading 4 Char"/>
    <w:basedOn w:val="DefaultParagraphFont"/>
    <w:link w:val="Heading4"/>
    <w:rsid w:val="00535B5A"/>
    <w:rPr>
      <w:rFonts w:ascii="Century Schoolbook" w:hAnsi="Century Schoolbook"/>
      <w:i/>
      <w:sz w:val="27"/>
    </w:rPr>
  </w:style>
  <w:style w:type="character" w:customStyle="1" w:styleId="Heading5Char">
    <w:name w:val="Heading 5 Char"/>
    <w:basedOn w:val="DefaultParagraphFont"/>
    <w:link w:val="Heading5"/>
    <w:rsid w:val="00535B5A"/>
    <w:rPr>
      <w:rFonts w:ascii="Century Schoolbook" w:hAnsi="Century Schoolbook"/>
      <w:i/>
      <w:sz w:val="27"/>
    </w:rPr>
  </w:style>
  <w:style w:type="paragraph" w:styleId="Date">
    <w:name w:val="Date"/>
    <w:basedOn w:val="Normal"/>
    <w:link w:val="DateChar"/>
    <w:semiHidden/>
    <w:rsid w:val="00535B5A"/>
    <w:pPr>
      <w:jc w:val="right"/>
    </w:pPr>
  </w:style>
  <w:style w:type="character" w:customStyle="1" w:styleId="DateChar">
    <w:name w:val="Date Char"/>
    <w:basedOn w:val="DefaultParagraphFont"/>
    <w:link w:val="Date"/>
    <w:semiHidden/>
    <w:rsid w:val="00535B5A"/>
    <w:rPr>
      <w:rFonts w:ascii="Century Schoolbook" w:hAnsi="Century Schoolbook"/>
      <w:sz w:val="27"/>
    </w:rPr>
  </w:style>
  <w:style w:type="paragraph" w:styleId="NormalIndent">
    <w:name w:val="Normal Indent"/>
    <w:basedOn w:val="Normal"/>
    <w:semiHidden/>
    <w:rsid w:val="00535B5A"/>
    <w:pPr>
      <w:ind w:left="720"/>
    </w:pPr>
  </w:style>
  <w:style w:type="character" w:styleId="PageNumber">
    <w:name w:val="page number"/>
    <w:basedOn w:val="DefaultParagraphFont"/>
    <w:semiHidden/>
    <w:rsid w:val="00535B5A"/>
  </w:style>
  <w:style w:type="paragraph" w:customStyle="1" w:styleId="Recommend">
    <w:name w:val="Recommend"/>
    <w:basedOn w:val="Normal"/>
    <w:rsid w:val="00535B5A"/>
  </w:style>
  <w:style w:type="paragraph" w:customStyle="1" w:styleId="subject">
    <w:name w:val="subject"/>
    <w:basedOn w:val="Normal"/>
    <w:rsid w:val="00535B5A"/>
    <w:pPr>
      <w:tabs>
        <w:tab w:val="left" w:pos="1008"/>
      </w:tabs>
      <w:ind w:left="990" w:hanging="990"/>
    </w:pPr>
    <w:rPr>
      <w:b/>
    </w:rPr>
  </w:style>
  <w:style w:type="paragraph" w:customStyle="1" w:styleId="Summary">
    <w:name w:val="Summary"/>
    <w:basedOn w:val="Normal"/>
    <w:rsid w:val="00535B5A"/>
    <w:pPr>
      <w:ind w:left="2160" w:hanging="2160"/>
    </w:pPr>
  </w:style>
  <w:style w:type="paragraph" w:customStyle="1" w:styleId="Text">
    <w:name w:val="Text"/>
    <w:basedOn w:val="Normal"/>
    <w:rsid w:val="00535B5A"/>
    <w:pPr>
      <w:tabs>
        <w:tab w:val="left" w:pos="720"/>
        <w:tab w:val="left" w:pos="1440"/>
        <w:tab w:val="left" w:pos="2160"/>
        <w:tab w:val="center" w:pos="4320"/>
      </w:tabs>
      <w:spacing w:line="480" w:lineRule="atLeast"/>
      <w:ind w:firstLine="540"/>
    </w:pPr>
  </w:style>
  <w:style w:type="paragraph" w:customStyle="1" w:styleId="Title1">
    <w:name w:val="Title1"/>
    <w:basedOn w:val="Normal"/>
    <w:rsid w:val="00535B5A"/>
    <w:pPr>
      <w:tabs>
        <w:tab w:val="left" w:pos="5760"/>
        <w:tab w:val="left" w:pos="6480"/>
      </w:tabs>
      <w:spacing w:line="240" w:lineRule="atLeast"/>
    </w:pPr>
  </w:style>
  <w:style w:type="paragraph" w:customStyle="1" w:styleId="Titles">
    <w:name w:val="Titles"/>
    <w:basedOn w:val="Normal"/>
    <w:rsid w:val="00535B5A"/>
    <w:pPr>
      <w:tabs>
        <w:tab w:val="left" w:pos="2160"/>
      </w:tabs>
      <w:ind w:left="2160" w:hanging="2160"/>
    </w:pPr>
    <w:rPr>
      <w:b/>
    </w:rPr>
  </w:style>
  <w:style w:type="paragraph" w:styleId="TOAHeading">
    <w:name w:val="toa heading"/>
    <w:basedOn w:val="Normal"/>
    <w:next w:val="Normal"/>
    <w:semiHidden/>
    <w:rsid w:val="00535B5A"/>
    <w:pPr>
      <w:spacing w:before="120"/>
    </w:pPr>
    <w:rPr>
      <w:b/>
    </w:rPr>
  </w:style>
  <w:style w:type="paragraph" w:styleId="TOC1">
    <w:name w:val="toc 1"/>
    <w:basedOn w:val="Normal"/>
    <w:next w:val="Normal"/>
    <w:autoRedefine/>
    <w:semiHidden/>
    <w:rsid w:val="00535B5A"/>
  </w:style>
  <w:style w:type="paragraph" w:styleId="TOC2">
    <w:name w:val="toc 2"/>
    <w:basedOn w:val="Normal"/>
    <w:next w:val="Normal"/>
    <w:autoRedefine/>
    <w:semiHidden/>
    <w:rsid w:val="00535B5A"/>
    <w:pPr>
      <w:ind w:left="259"/>
    </w:pPr>
  </w:style>
  <w:style w:type="paragraph" w:styleId="TOC3">
    <w:name w:val="toc 3"/>
    <w:basedOn w:val="Normal"/>
    <w:next w:val="Normal"/>
    <w:autoRedefine/>
    <w:semiHidden/>
    <w:rsid w:val="00535B5A"/>
    <w:pPr>
      <w:ind w:left="520"/>
    </w:pPr>
  </w:style>
  <w:style w:type="paragraph" w:styleId="TOC4">
    <w:name w:val="toc 4"/>
    <w:basedOn w:val="Normal"/>
    <w:next w:val="Normal"/>
    <w:autoRedefine/>
    <w:semiHidden/>
    <w:rsid w:val="00535B5A"/>
    <w:pPr>
      <w:ind w:left="780"/>
    </w:pPr>
  </w:style>
  <w:style w:type="paragraph" w:styleId="TOC5">
    <w:name w:val="toc 5"/>
    <w:basedOn w:val="Normal"/>
    <w:next w:val="Normal"/>
    <w:autoRedefine/>
    <w:semiHidden/>
    <w:rsid w:val="00535B5A"/>
    <w:pPr>
      <w:ind w:left="1040"/>
    </w:pPr>
  </w:style>
  <w:style w:type="paragraph" w:styleId="TOC6">
    <w:name w:val="toc 6"/>
    <w:basedOn w:val="Normal"/>
    <w:next w:val="Normal"/>
    <w:autoRedefine/>
    <w:semiHidden/>
    <w:rsid w:val="00535B5A"/>
    <w:pPr>
      <w:ind w:left="1300"/>
    </w:pPr>
  </w:style>
  <w:style w:type="paragraph" w:styleId="TOC7">
    <w:name w:val="toc 7"/>
    <w:basedOn w:val="Normal"/>
    <w:next w:val="Normal"/>
    <w:autoRedefine/>
    <w:semiHidden/>
    <w:rsid w:val="00535B5A"/>
    <w:pPr>
      <w:ind w:left="1560"/>
    </w:pPr>
  </w:style>
  <w:style w:type="paragraph" w:styleId="TOC8">
    <w:name w:val="toc 8"/>
    <w:basedOn w:val="Normal"/>
    <w:next w:val="Normal"/>
    <w:autoRedefine/>
    <w:semiHidden/>
    <w:rsid w:val="00535B5A"/>
    <w:pPr>
      <w:ind w:left="1820"/>
    </w:pPr>
  </w:style>
  <w:style w:type="paragraph" w:styleId="TOC9">
    <w:name w:val="toc 9"/>
    <w:basedOn w:val="Normal"/>
    <w:next w:val="Normal"/>
    <w:autoRedefine/>
    <w:semiHidden/>
    <w:rsid w:val="00535B5A"/>
    <w:pPr>
      <w:ind w:left="2080"/>
    </w:pPr>
  </w:style>
  <w:style w:type="paragraph" w:customStyle="1" w:styleId="Contents">
    <w:name w:val="Contents"/>
    <w:basedOn w:val="Normal"/>
    <w:rsid w:val="00535B5A"/>
    <w:pPr>
      <w:jc w:val="center"/>
    </w:pPr>
    <w:rPr>
      <w:b/>
      <w:spacing w:val="100"/>
    </w:rPr>
  </w:style>
  <w:style w:type="paragraph" w:styleId="BodyText">
    <w:name w:val="Body Text"/>
    <w:basedOn w:val="Normal"/>
    <w:link w:val="BodyTextChar"/>
    <w:qFormat/>
    <w:rsid w:val="00535B5A"/>
  </w:style>
  <w:style w:type="character" w:customStyle="1" w:styleId="BodyTextChar">
    <w:name w:val="Body Text Char"/>
    <w:basedOn w:val="DefaultParagraphFont"/>
    <w:link w:val="BodyText"/>
    <w:rsid w:val="00535B5A"/>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1B685-0911-40E8-A695-8FB07AB3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11556</Words>
  <Characters>65874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2023-03-27T15:50:08Z</dcterms:created>
  <dcterms:modified xsi:type="dcterms:W3CDTF">2023-03-27T15:50:08Z</dcterms:modified>
</cp:coreProperties>
</file>